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9B13" w14:textId="77777777" w:rsidR="00A45BD4" w:rsidRDefault="00A45BD4" w:rsidP="00A45BD4">
      <w:pPr>
        <w:widowControl w:val="0"/>
        <w:spacing w:before="240" w:after="60" w:line="240" w:lineRule="auto"/>
        <w:jc w:val="center"/>
        <w:outlineLvl w:val="0"/>
        <w:rPr>
          <w:rFonts w:cs="Arial"/>
          <w:b/>
          <w:bCs/>
          <w:kern w:val="32"/>
          <w:sz w:val="32"/>
          <w:szCs w:val="32"/>
          <w:lang w:eastAsia="sk-SK"/>
        </w:rPr>
      </w:pPr>
    </w:p>
    <w:p w14:paraId="79F8EF75" w14:textId="77777777" w:rsidR="00BE704E" w:rsidRDefault="00BE704E" w:rsidP="00BE704E">
      <w:pPr>
        <w:widowControl w:val="0"/>
        <w:spacing w:before="240" w:after="60" w:line="240" w:lineRule="auto"/>
        <w:jc w:val="center"/>
        <w:outlineLvl w:val="0"/>
        <w:rPr>
          <w:rFonts w:cs="Arial"/>
          <w:b/>
          <w:bCs/>
          <w:kern w:val="32"/>
          <w:sz w:val="32"/>
          <w:szCs w:val="32"/>
          <w:lang w:eastAsia="sk-SK"/>
        </w:rPr>
      </w:pPr>
    </w:p>
    <w:p w14:paraId="5E074740" w14:textId="77777777" w:rsidR="00BE704E" w:rsidRPr="00F865DA" w:rsidRDefault="00BE704E" w:rsidP="00BE704E">
      <w:pPr>
        <w:widowControl w:val="0"/>
        <w:spacing w:before="240" w:after="60" w:line="240" w:lineRule="auto"/>
        <w:outlineLvl w:val="0"/>
        <w:rPr>
          <w:rFonts w:cs="Arial"/>
          <w:b/>
          <w:bCs/>
          <w:kern w:val="32"/>
          <w:sz w:val="32"/>
          <w:szCs w:val="32"/>
          <w:lang w:eastAsia="sk-SK"/>
        </w:rPr>
      </w:pPr>
    </w:p>
    <w:p w14:paraId="584543E1" w14:textId="77777777" w:rsidR="00BE704E" w:rsidRPr="001F2FDE" w:rsidRDefault="00BE704E" w:rsidP="00BE704E">
      <w:pPr>
        <w:widowControl w:val="0"/>
        <w:spacing w:before="240" w:after="60" w:line="240" w:lineRule="auto"/>
        <w:jc w:val="center"/>
        <w:outlineLvl w:val="0"/>
        <w:rPr>
          <w:rFonts w:cs="Arial"/>
          <w:b/>
          <w:bCs/>
          <w:kern w:val="32"/>
          <w:sz w:val="32"/>
          <w:szCs w:val="32"/>
          <w:lang w:eastAsia="sk-SK"/>
        </w:rPr>
      </w:pPr>
    </w:p>
    <w:p w14:paraId="744A0293" w14:textId="77777777" w:rsidR="00BE704E" w:rsidRPr="00F865DA" w:rsidRDefault="00BE704E" w:rsidP="00BE704E">
      <w:pPr>
        <w:widowControl w:val="0"/>
        <w:spacing w:before="240" w:after="60" w:line="240" w:lineRule="auto"/>
        <w:jc w:val="center"/>
        <w:outlineLvl w:val="0"/>
        <w:rPr>
          <w:rFonts w:cs="Arial"/>
          <w:b/>
          <w:bCs/>
          <w:kern w:val="32"/>
          <w:sz w:val="32"/>
          <w:szCs w:val="32"/>
          <w:lang w:eastAsia="sk-SK"/>
        </w:rPr>
      </w:pPr>
    </w:p>
    <w:p w14:paraId="5651BA8F" w14:textId="77777777" w:rsidR="00BE704E" w:rsidRPr="00F865DA" w:rsidRDefault="00BE704E" w:rsidP="00BE704E">
      <w:pPr>
        <w:widowControl w:val="0"/>
        <w:spacing w:before="240" w:after="60" w:line="240" w:lineRule="auto"/>
        <w:jc w:val="center"/>
        <w:outlineLvl w:val="0"/>
        <w:rPr>
          <w:rFonts w:cs="Arial"/>
          <w:b/>
          <w:bCs/>
          <w:kern w:val="32"/>
          <w:sz w:val="32"/>
          <w:szCs w:val="32"/>
          <w:lang w:eastAsia="sk-SK"/>
        </w:rPr>
      </w:pPr>
      <w:r>
        <w:rPr>
          <w:rFonts w:ascii="Arial" w:hAnsi="Arial" w:cs="Arial"/>
          <w:noProof/>
          <w:sz w:val="24"/>
          <w:szCs w:val="24"/>
          <w:lang w:eastAsia="sk-SK"/>
        </w:rPr>
        <w:drawing>
          <wp:inline distT="0" distB="0" distL="0" distR="0" wp14:anchorId="105B9510" wp14:editId="247239EA">
            <wp:extent cx="1162685" cy="1257300"/>
            <wp:effectExtent l="0" t="0" r="0" b="0"/>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685" cy="1257300"/>
                    </a:xfrm>
                    <a:prstGeom prst="rect">
                      <a:avLst/>
                    </a:prstGeom>
                    <a:noFill/>
                    <a:ln>
                      <a:noFill/>
                    </a:ln>
                  </pic:spPr>
                </pic:pic>
              </a:graphicData>
            </a:graphic>
          </wp:inline>
        </w:drawing>
      </w:r>
    </w:p>
    <w:p w14:paraId="186EF537" w14:textId="77777777" w:rsidR="00BE704E" w:rsidRDefault="00BE704E" w:rsidP="00BE704E">
      <w:pPr>
        <w:widowControl w:val="0"/>
        <w:spacing w:before="240" w:after="60" w:line="240" w:lineRule="auto"/>
        <w:jc w:val="center"/>
        <w:outlineLvl w:val="0"/>
        <w:rPr>
          <w:rFonts w:cs="Arial"/>
          <w:b/>
          <w:bCs/>
          <w:kern w:val="32"/>
          <w:sz w:val="32"/>
          <w:szCs w:val="32"/>
          <w:lang w:eastAsia="sk-SK"/>
        </w:rPr>
      </w:pPr>
    </w:p>
    <w:p w14:paraId="73C1FCB8" w14:textId="77777777" w:rsidR="00BE704E" w:rsidRPr="00F865DA" w:rsidRDefault="00BE704E" w:rsidP="00BE704E">
      <w:pPr>
        <w:widowControl w:val="0"/>
        <w:spacing w:before="240" w:after="60" w:line="240" w:lineRule="auto"/>
        <w:jc w:val="center"/>
        <w:outlineLvl w:val="0"/>
        <w:rPr>
          <w:rFonts w:cs="Arial"/>
          <w:b/>
          <w:bCs/>
          <w:kern w:val="32"/>
          <w:sz w:val="32"/>
          <w:szCs w:val="32"/>
          <w:lang w:eastAsia="sk-SK"/>
        </w:rPr>
      </w:pPr>
    </w:p>
    <w:p w14:paraId="74091275" w14:textId="77777777" w:rsidR="00BE704E" w:rsidRPr="00CC1991" w:rsidRDefault="00BE704E" w:rsidP="00BE704E">
      <w:pPr>
        <w:widowControl w:val="0"/>
        <w:spacing w:after="0" w:line="240" w:lineRule="auto"/>
        <w:jc w:val="center"/>
        <w:outlineLvl w:val="0"/>
        <w:rPr>
          <w:rFonts w:cs="Arial"/>
          <w:b/>
          <w:bCs/>
          <w:color w:val="17365D"/>
          <w:kern w:val="32"/>
          <w:sz w:val="32"/>
          <w:szCs w:val="32"/>
          <w:lang w:eastAsia="sk-SK"/>
        </w:rPr>
      </w:pPr>
    </w:p>
    <w:p w14:paraId="1B15F6D6" w14:textId="77777777" w:rsidR="00BE704E" w:rsidRDefault="00BE704E" w:rsidP="00BE704E">
      <w:pPr>
        <w:widowControl w:val="0"/>
        <w:spacing w:after="0" w:line="360" w:lineRule="auto"/>
        <w:jc w:val="center"/>
        <w:outlineLvl w:val="0"/>
        <w:rPr>
          <w:rFonts w:cs="Arial"/>
          <w:b/>
          <w:bCs/>
          <w:color w:val="17365D"/>
          <w:kern w:val="32"/>
          <w:sz w:val="32"/>
          <w:szCs w:val="32"/>
          <w:lang w:eastAsia="sk-SK"/>
        </w:rPr>
      </w:pPr>
      <w:r w:rsidRPr="00CC1991">
        <w:rPr>
          <w:rFonts w:cs="Arial"/>
          <w:b/>
          <w:bCs/>
          <w:color w:val="17365D"/>
          <w:kern w:val="32"/>
          <w:sz w:val="32"/>
          <w:szCs w:val="32"/>
          <w:lang w:eastAsia="sk-SK"/>
        </w:rPr>
        <w:t>Záverečn</w:t>
      </w:r>
      <w:r>
        <w:rPr>
          <w:rFonts w:cs="Arial"/>
          <w:b/>
          <w:bCs/>
          <w:color w:val="17365D"/>
          <w:kern w:val="32"/>
          <w:sz w:val="32"/>
          <w:szCs w:val="32"/>
          <w:lang w:eastAsia="sk-SK"/>
        </w:rPr>
        <w:t>ý</w:t>
      </w:r>
      <w:r w:rsidRPr="00CC1991">
        <w:rPr>
          <w:rFonts w:cs="Arial"/>
          <w:b/>
          <w:bCs/>
          <w:color w:val="17365D"/>
          <w:kern w:val="32"/>
          <w:sz w:val="32"/>
          <w:szCs w:val="32"/>
          <w:lang w:eastAsia="sk-SK"/>
        </w:rPr>
        <w:t xml:space="preserve"> úč</w:t>
      </w:r>
      <w:r>
        <w:rPr>
          <w:rFonts w:cs="Arial"/>
          <w:b/>
          <w:bCs/>
          <w:color w:val="17365D"/>
          <w:kern w:val="32"/>
          <w:sz w:val="32"/>
          <w:szCs w:val="32"/>
          <w:lang w:eastAsia="sk-SK"/>
        </w:rPr>
        <w:t>et</w:t>
      </w:r>
    </w:p>
    <w:p w14:paraId="34AB2B9C" w14:textId="249D64F4" w:rsidR="00BE704E" w:rsidRPr="004D62F6" w:rsidRDefault="00BE704E" w:rsidP="00BE704E">
      <w:pPr>
        <w:widowControl w:val="0"/>
        <w:spacing w:after="0" w:line="360" w:lineRule="auto"/>
        <w:jc w:val="center"/>
        <w:outlineLvl w:val="0"/>
        <w:rPr>
          <w:rFonts w:cs="Arial"/>
          <w:b/>
          <w:bCs/>
          <w:color w:val="17365D"/>
          <w:kern w:val="32"/>
          <w:sz w:val="32"/>
          <w:szCs w:val="32"/>
          <w:lang w:eastAsia="sk-SK"/>
        </w:rPr>
      </w:pPr>
      <w:r w:rsidRPr="00CC1991">
        <w:rPr>
          <w:rFonts w:cs="Arial"/>
          <w:b/>
          <w:bCs/>
          <w:color w:val="17365D"/>
          <w:kern w:val="32"/>
          <w:sz w:val="32"/>
          <w:szCs w:val="32"/>
          <w:lang w:eastAsia="sk-SK"/>
        </w:rPr>
        <w:t xml:space="preserve"> </w:t>
      </w:r>
      <w:r w:rsidRPr="00CC1991">
        <w:rPr>
          <w:rFonts w:cs="Arial"/>
          <w:b/>
          <w:bCs/>
          <w:color w:val="17365D"/>
          <w:sz w:val="32"/>
          <w:szCs w:val="20"/>
          <w:lang w:eastAsia="sk-SK"/>
        </w:rPr>
        <w:t>Bratislavského samosprávneho kraja</w:t>
      </w:r>
      <w:r>
        <w:rPr>
          <w:rFonts w:cs="Arial"/>
          <w:b/>
          <w:bCs/>
          <w:color w:val="17365D"/>
          <w:kern w:val="32"/>
          <w:sz w:val="32"/>
          <w:szCs w:val="32"/>
          <w:lang w:eastAsia="sk-SK"/>
        </w:rPr>
        <w:t xml:space="preserve"> </w:t>
      </w:r>
      <w:r w:rsidRPr="00CC1991">
        <w:rPr>
          <w:rFonts w:cs="Arial"/>
          <w:b/>
          <w:bCs/>
          <w:color w:val="17365D"/>
          <w:sz w:val="32"/>
          <w:szCs w:val="20"/>
          <w:lang w:eastAsia="sk-SK"/>
        </w:rPr>
        <w:t xml:space="preserve">za rok </w:t>
      </w:r>
      <w:r w:rsidR="00C71576">
        <w:rPr>
          <w:rFonts w:cs="Arial"/>
          <w:b/>
          <w:bCs/>
          <w:color w:val="17365D"/>
          <w:sz w:val="32"/>
          <w:szCs w:val="20"/>
          <w:lang w:eastAsia="sk-SK"/>
        </w:rPr>
        <w:t>20</w:t>
      </w:r>
      <w:r w:rsidR="000C23E6">
        <w:rPr>
          <w:rFonts w:cs="Arial"/>
          <w:b/>
          <w:bCs/>
          <w:color w:val="17365D"/>
          <w:sz w:val="32"/>
          <w:szCs w:val="20"/>
          <w:lang w:eastAsia="sk-SK"/>
        </w:rPr>
        <w:t>20</w:t>
      </w:r>
    </w:p>
    <w:p w14:paraId="25B4DE88" w14:textId="77777777" w:rsidR="00BE704E" w:rsidRDefault="00BE704E" w:rsidP="00BE704E">
      <w:pPr>
        <w:spacing w:after="0" w:line="360" w:lineRule="auto"/>
        <w:rPr>
          <w:rFonts w:cs="Arial"/>
          <w:b/>
          <w:bCs/>
          <w:color w:val="17365D"/>
          <w:sz w:val="32"/>
          <w:szCs w:val="20"/>
          <w:lang w:eastAsia="sk-SK"/>
        </w:rPr>
      </w:pPr>
    </w:p>
    <w:p w14:paraId="26C9DF99" w14:textId="77777777" w:rsidR="006700E7" w:rsidRDefault="006700E7" w:rsidP="00BE704E">
      <w:pPr>
        <w:spacing w:after="0" w:line="360" w:lineRule="auto"/>
        <w:rPr>
          <w:rFonts w:cs="Arial"/>
          <w:b/>
          <w:bCs/>
          <w:color w:val="17365D"/>
          <w:sz w:val="32"/>
          <w:szCs w:val="20"/>
          <w:lang w:eastAsia="sk-SK"/>
        </w:rPr>
      </w:pPr>
    </w:p>
    <w:p w14:paraId="2993C268" w14:textId="77777777" w:rsidR="006700E7" w:rsidRDefault="006700E7" w:rsidP="00BE704E">
      <w:pPr>
        <w:spacing w:after="0" w:line="360" w:lineRule="auto"/>
        <w:rPr>
          <w:rFonts w:cs="Arial"/>
          <w:b/>
          <w:bCs/>
          <w:color w:val="17365D"/>
          <w:sz w:val="32"/>
          <w:szCs w:val="20"/>
          <w:lang w:eastAsia="sk-SK"/>
        </w:rPr>
      </w:pPr>
    </w:p>
    <w:p w14:paraId="2495D0BF" w14:textId="77777777" w:rsidR="00BE704E" w:rsidRPr="00F865DA" w:rsidRDefault="00BE704E" w:rsidP="00BE704E">
      <w:pPr>
        <w:spacing w:after="0" w:line="240" w:lineRule="auto"/>
        <w:rPr>
          <w:rFonts w:cs="Arial"/>
          <w:b/>
          <w:bCs/>
          <w:sz w:val="32"/>
          <w:szCs w:val="20"/>
          <w:lang w:eastAsia="sk-SK"/>
        </w:rPr>
      </w:pPr>
    </w:p>
    <w:p w14:paraId="2275F55F" w14:textId="77777777" w:rsidR="00BE704E" w:rsidRPr="00F865DA" w:rsidRDefault="00BE704E" w:rsidP="00BE704E">
      <w:pPr>
        <w:spacing w:after="0" w:line="240" w:lineRule="auto"/>
        <w:rPr>
          <w:rFonts w:cs="Arial"/>
          <w:b/>
          <w:bCs/>
          <w:sz w:val="32"/>
          <w:szCs w:val="20"/>
          <w:lang w:eastAsia="sk-SK"/>
        </w:rPr>
      </w:pPr>
    </w:p>
    <w:p w14:paraId="22530A04" w14:textId="77777777" w:rsidR="00BE704E" w:rsidRPr="00F865DA" w:rsidRDefault="00BE704E" w:rsidP="00BE704E">
      <w:pPr>
        <w:spacing w:after="0" w:line="240" w:lineRule="auto"/>
        <w:rPr>
          <w:rFonts w:cs="Arial"/>
          <w:b/>
          <w:bCs/>
          <w:sz w:val="32"/>
          <w:szCs w:val="20"/>
          <w:lang w:eastAsia="sk-SK"/>
        </w:rPr>
      </w:pPr>
    </w:p>
    <w:p w14:paraId="66B40063" w14:textId="77777777" w:rsidR="00BE704E" w:rsidRPr="00F865DA" w:rsidRDefault="00BE704E" w:rsidP="00BE704E">
      <w:pPr>
        <w:spacing w:after="0" w:line="240" w:lineRule="auto"/>
        <w:rPr>
          <w:rFonts w:cs="Arial"/>
          <w:b/>
          <w:bCs/>
          <w:sz w:val="32"/>
          <w:szCs w:val="20"/>
          <w:lang w:eastAsia="sk-SK"/>
        </w:rPr>
      </w:pPr>
    </w:p>
    <w:p w14:paraId="227FB401" w14:textId="77777777" w:rsidR="00BE704E" w:rsidRPr="00F865DA" w:rsidRDefault="00BE704E" w:rsidP="00BE704E">
      <w:pPr>
        <w:spacing w:after="0" w:line="240" w:lineRule="auto"/>
        <w:rPr>
          <w:rFonts w:cs="Arial"/>
          <w:b/>
          <w:bCs/>
          <w:sz w:val="32"/>
          <w:szCs w:val="20"/>
          <w:lang w:eastAsia="sk-SK"/>
        </w:rPr>
      </w:pPr>
    </w:p>
    <w:p w14:paraId="18293C45" w14:textId="77777777" w:rsidR="00BE704E" w:rsidRPr="00F865DA" w:rsidRDefault="00BE704E" w:rsidP="00BE704E">
      <w:pPr>
        <w:spacing w:after="0" w:line="240" w:lineRule="auto"/>
        <w:rPr>
          <w:rFonts w:cs="Arial"/>
          <w:b/>
          <w:bCs/>
          <w:sz w:val="32"/>
          <w:szCs w:val="20"/>
          <w:lang w:eastAsia="sk-SK"/>
        </w:rPr>
      </w:pPr>
    </w:p>
    <w:p w14:paraId="00F9D57F" w14:textId="77777777" w:rsidR="00BE704E" w:rsidRPr="00F865DA" w:rsidRDefault="00BE704E" w:rsidP="00BE704E">
      <w:pPr>
        <w:spacing w:after="0" w:line="240" w:lineRule="auto"/>
        <w:rPr>
          <w:rFonts w:cs="Arial"/>
          <w:b/>
          <w:bCs/>
          <w:sz w:val="32"/>
          <w:szCs w:val="20"/>
          <w:lang w:eastAsia="sk-SK"/>
        </w:rPr>
      </w:pPr>
    </w:p>
    <w:p w14:paraId="0B8025FB" w14:textId="77777777" w:rsidR="00BE704E" w:rsidRPr="00F865DA" w:rsidRDefault="00BE704E" w:rsidP="00BE704E">
      <w:pPr>
        <w:spacing w:after="0" w:line="240" w:lineRule="auto"/>
        <w:rPr>
          <w:rFonts w:cs="Arial"/>
          <w:b/>
          <w:bCs/>
          <w:sz w:val="32"/>
          <w:szCs w:val="20"/>
          <w:lang w:eastAsia="sk-SK"/>
        </w:rPr>
      </w:pPr>
    </w:p>
    <w:p w14:paraId="4E3DD48B" w14:textId="77777777" w:rsidR="00BE704E" w:rsidRPr="00F865DA" w:rsidRDefault="00BE704E" w:rsidP="00BE704E">
      <w:pPr>
        <w:spacing w:after="0" w:line="240" w:lineRule="auto"/>
        <w:rPr>
          <w:rFonts w:cs="Arial"/>
          <w:b/>
          <w:bCs/>
          <w:sz w:val="32"/>
          <w:szCs w:val="20"/>
          <w:lang w:eastAsia="sk-SK"/>
        </w:rPr>
      </w:pPr>
    </w:p>
    <w:p w14:paraId="350FACFB" w14:textId="77777777" w:rsidR="00BE704E" w:rsidRPr="00F865DA" w:rsidRDefault="00BE704E" w:rsidP="00BE704E">
      <w:pPr>
        <w:spacing w:after="0" w:line="240" w:lineRule="auto"/>
        <w:rPr>
          <w:rFonts w:cs="Arial"/>
          <w:b/>
          <w:bCs/>
          <w:sz w:val="32"/>
          <w:szCs w:val="20"/>
          <w:lang w:eastAsia="sk-SK"/>
        </w:rPr>
      </w:pPr>
    </w:p>
    <w:p w14:paraId="356BD820" w14:textId="1E1530D6" w:rsidR="00BE704E" w:rsidRPr="00B24487" w:rsidRDefault="00BE704E" w:rsidP="00BE704E">
      <w:pPr>
        <w:widowControl w:val="0"/>
        <w:spacing w:after="0" w:line="360" w:lineRule="auto"/>
        <w:jc w:val="center"/>
        <w:outlineLvl w:val="0"/>
        <w:rPr>
          <w:rFonts w:cs="Arial"/>
          <w:b/>
          <w:bCs/>
          <w:color w:val="17365D"/>
          <w:kern w:val="32"/>
          <w:sz w:val="32"/>
          <w:szCs w:val="32"/>
          <w:lang w:eastAsia="sk-SK"/>
        </w:rPr>
      </w:pPr>
      <w:r w:rsidRPr="00B24487">
        <w:rPr>
          <w:rFonts w:cs="Arial"/>
          <w:b/>
          <w:bCs/>
          <w:color w:val="17365D"/>
          <w:kern w:val="32"/>
          <w:sz w:val="32"/>
          <w:szCs w:val="32"/>
          <w:lang w:eastAsia="sk-SK"/>
        </w:rPr>
        <w:t>Bratislava</w:t>
      </w:r>
      <w:r>
        <w:rPr>
          <w:rFonts w:cs="Arial"/>
          <w:b/>
          <w:bCs/>
          <w:color w:val="17365D"/>
          <w:kern w:val="32"/>
          <w:sz w:val="32"/>
          <w:szCs w:val="32"/>
          <w:lang w:eastAsia="sk-SK"/>
        </w:rPr>
        <w:t>,</w:t>
      </w:r>
      <w:r w:rsidR="00C71576">
        <w:rPr>
          <w:rFonts w:cs="Arial"/>
          <w:b/>
          <w:bCs/>
          <w:color w:val="17365D"/>
          <w:kern w:val="32"/>
          <w:sz w:val="32"/>
          <w:szCs w:val="32"/>
          <w:lang w:eastAsia="sk-SK"/>
        </w:rPr>
        <w:t xml:space="preserve"> </w:t>
      </w:r>
      <w:r w:rsidR="0068398E">
        <w:rPr>
          <w:rFonts w:cs="Arial"/>
          <w:b/>
          <w:bCs/>
          <w:color w:val="17365D"/>
          <w:kern w:val="32"/>
          <w:sz w:val="32"/>
          <w:szCs w:val="32"/>
          <w:lang w:eastAsia="sk-SK"/>
        </w:rPr>
        <w:t>jún</w:t>
      </w:r>
      <w:r w:rsidRPr="00B24487">
        <w:rPr>
          <w:rFonts w:cs="Arial"/>
          <w:b/>
          <w:bCs/>
          <w:color w:val="17365D"/>
          <w:kern w:val="32"/>
          <w:sz w:val="32"/>
          <w:szCs w:val="32"/>
          <w:lang w:eastAsia="sk-SK"/>
        </w:rPr>
        <w:t xml:space="preserve"> 20</w:t>
      </w:r>
      <w:r w:rsidR="00C71576">
        <w:rPr>
          <w:rFonts w:cs="Arial"/>
          <w:b/>
          <w:bCs/>
          <w:color w:val="17365D"/>
          <w:kern w:val="32"/>
          <w:sz w:val="32"/>
          <w:szCs w:val="32"/>
          <w:lang w:eastAsia="sk-SK"/>
        </w:rPr>
        <w:t>2</w:t>
      </w:r>
      <w:r w:rsidR="00EC2E1A">
        <w:rPr>
          <w:rFonts w:cs="Arial"/>
          <w:b/>
          <w:bCs/>
          <w:color w:val="17365D"/>
          <w:kern w:val="32"/>
          <w:sz w:val="32"/>
          <w:szCs w:val="32"/>
          <w:lang w:eastAsia="sk-SK"/>
        </w:rPr>
        <w:t>1</w:t>
      </w:r>
    </w:p>
    <w:p w14:paraId="054F0D49" w14:textId="77777777" w:rsidR="00BE704E" w:rsidRDefault="00BE704E" w:rsidP="00BE704E">
      <w:pPr>
        <w:tabs>
          <w:tab w:val="left" w:pos="9781"/>
        </w:tabs>
        <w:spacing w:after="0" w:line="240" w:lineRule="auto"/>
        <w:ind w:left="284"/>
        <w:jc w:val="both"/>
        <w:rPr>
          <w:rFonts w:cs="Calibri"/>
          <w:smallCaps/>
        </w:rPr>
      </w:pPr>
    </w:p>
    <w:p w14:paraId="44BD4BD6" w14:textId="77777777" w:rsidR="00BE704E" w:rsidRDefault="00BE704E" w:rsidP="00BE704E">
      <w:pPr>
        <w:pStyle w:val="Hlavikaobsahu"/>
        <w:tabs>
          <w:tab w:val="left" w:pos="8070"/>
          <w:tab w:val="right" w:pos="10206"/>
        </w:tabs>
        <w:rPr>
          <w:rFonts w:ascii="Calibri" w:hAnsi="Calibri" w:cs="Arial"/>
          <w:color w:val="17365D"/>
          <w:kern w:val="32"/>
          <w:sz w:val="32"/>
          <w:szCs w:val="32"/>
        </w:rPr>
      </w:pPr>
      <w:bookmarkStart w:id="0" w:name="_Hlk4494801"/>
      <w:r>
        <w:rPr>
          <w:rFonts w:ascii="Calibri" w:hAnsi="Calibri" w:cs="Arial"/>
          <w:color w:val="17365D"/>
          <w:kern w:val="32"/>
          <w:sz w:val="32"/>
          <w:szCs w:val="32"/>
        </w:rPr>
        <w:lastRenderedPageBreak/>
        <w:t>Obsah</w:t>
      </w:r>
      <w:r>
        <w:rPr>
          <w:rFonts w:ascii="Calibri" w:hAnsi="Calibri" w:cs="Arial"/>
          <w:color w:val="17365D"/>
          <w:kern w:val="32"/>
          <w:sz w:val="32"/>
          <w:szCs w:val="32"/>
        </w:rPr>
        <w:tab/>
      </w:r>
      <w:r>
        <w:rPr>
          <w:rFonts w:ascii="Calibri" w:hAnsi="Calibri" w:cs="Arial"/>
          <w:color w:val="17365D"/>
          <w:kern w:val="32"/>
          <w:sz w:val="32"/>
          <w:szCs w:val="32"/>
        </w:rPr>
        <w:tab/>
      </w:r>
    </w:p>
    <w:p w14:paraId="2D1331ED" w14:textId="53C25082" w:rsidR="00BE704E" w:rsidRPr="00BE704E" w:rsidRDefault="00BE704E" w:rsidP="00783D43">
      <w:pPr>
        <w:pStyle w:val="Obsah1"/>
      </w:pPr>
      <w:r w:rsidRPr="00BE704E">
        <w:t>A. rozpočet BSK na rok 20</w:t>
      </w:r>
      <w:r w:rsidR="000C23E6">
        <w:t xml:space="preserve">20 </w:t>
      </w:r>
      <w:r w:rsidRPr="00BE704E">
        <w:t>a jeho zmeny</w:t>
      </w:r>
      <w:r w:rsidRPr="00BE704E">
        <w:tab/>
      </w:r>
      <w:r w:rsidR="00601D70">
        <w:t>2</w:t>
      </w:r>
    </w:p>
    <w:p w14:paraId="546F1B20" w14:textId="77777777" w:rsidR="00BE704E" w:rsidRPr="00C636DD" w:rsidRDefault="00BE704E" w:rsidP="00783D43">
      <w:pPr>
        <w:pStyle w:val="Obsah1"/>
      </w:pPr>
      <w:r w:rsidRPr="009F6D03">
        <w:t>B. Plnenie a čerpanie rozpočtu B</w:t>
      </w:r>
      <w:r>
        <w:t>SK...........................................................................................</w:t>
      </w:r>
      <w:r w:rsidR="007A291D">
        <w:t>3</w:t>
      </w:r>
    </w:p>
    <w:p w14:paraId="45708626" w14:textId="77777777" w:rsidR="00BE704E" w:rsidRPr="00601D70" w:rsidRDefault="00BE704E" w:rsidP="00783D43">
      <w:pPr>
        <w:pStyle w:val="Obsah2"/>
      </w:pPr>
      <w:r w:rsidRPr="00C636DD">
        <w:t xml:space="preserve">B.1  Príjmy a príjmové finančné operácie </w:t>
      </w:r>
      <w:r w:rsidRPr="00C636DD">
        <w:rPr>
          <w:bCs/>
          <w:caps/>
        </w:rPr>
        <w:tab/>
      </w:r>
      <w:r>
        <w:rPr>
          <w:bCs/>
          <w:caps/>
        </w:rPr>
        <w:t>...</w:t>
      </w:r>
      <w:r w:rsidR="007A291D" w:rsidRPr="00601D70">
        <w:rPr>
          <w:bCs/>
          <w:caps/>
        </w:rPr>
        <w:t>3</w:t>
      </w:r>
    </w:p>
    <w:p w14:paraId="08D72C63" w14:textId="1224A0EE" w:rsidR="00BE704E" w:rsidRPr="00601D70" w:rsidRDefault="00BE704E" w:rsidP="00783D43">
      <w:pPr>
        <w:pStyle w:val="Obsah3"/>
        <w:rPr>
          <w:i w:val="0"/>
          <w:iCs w:val="0"/>
        </w:rPr>
      </w:pPr>
      <w:r w:rsidRPr="00601D70">
        <w:rPr>
          <w:i w:val="0"/>
          <w:iCs w:val="0"/>
        </w:rPr>
        <w:t xml:space="preserve">     B.2. </w:t>
      </w:r>
      <w:r w:rsidRPr="00601D70">
        <w:rPr>
          <w:i w:val="0"/>
          <w:iCs w:val="0"/>
          <w:smallCaps/>
        </w:rPr>
        <w:t>Výdavky  a výdavkové finančné operácie</w:t>
      </w:r>
      <w:r w:rsidRPr="00601D70">
        <w:rPr>
          <w:bCs/>
          <w:i w:val="0"/>
          <w:iCs w:val="0"/>
          <w:caps/>
        </w:rPr>
        <w:t xml:space="preserve"> </w:t>
      </w:r>
      <w:r w:rsidRPr="00601D70">
        <w:rPr>
          <w:bCs/>
          <w:i w:val="0"/>
          <w:iCs w:val="0"/>
          <w:caps/>
        </w:rPr>
        <w:tab/>
        <w:t>1</w:t>
      </w:r>
      <w:r w:rsidR="0056420B">
        <w:rPr>
          <w:bCs/>
          <w:i w:val="0"/>
          <w:iCs w:val="0"/>
          <w:caps/>
        </w:rPr>
        <w:t>2</w:t>
      </w:r>
    </w:p>
    <w:p w14:paraId="41CE7781" w14:textId="5AE58853" w:rsidR="00BE704E" w:rsidRPr="00601D70" w:rsidRDefault="00BE704E" w:rsidP="00783D43">
      <w:pPr>
        <w:pStyle w:val="Obsah3"/>
        <w:rPr>
          <w:i w:val="0"/>
          <w:iCs w:val="0"/>
        </w:rPr>
      </w:pPr>
      <w:r w:rsidRPr="00601D70">
        <w:rPr>
          <w:i w:val="0"/>
          <w:iCs w:val="0"/>
        </w:rPr>
        <w:t xml:space="preserve">     B.3. </w:t>
      </w:r>
      <w:r w:rsidRPr="00601D70">
        <w:rPr>
          <w:i w:val="0"/>
          <w:iCs w:val="0"/>
          <w:smallCaps/>
        </w:rPr>
        <w:t>Vyčíslenie výsledku rozpočtového hospodárenia BSK za rok 20</w:t>
      </w:r>
      <w:r w:rsidR="000C23E6">
        <w:rPr>
          <w:i w:val="0"/>
          <w:iCs w:val="0"/>
          <w:smallCaps/>
        </w:rPr>
        <w:t>20</w:t>
      </w:r>
      <w:r w:rsidRPr="00601D70">
        <w:rPr>
          <w:i w:val="0"/>
          <w:iCs w:val="0"/>
        </w:rPr>
        <w:tab/>
        <w:t>2</w:t>
      </w:r>
      <w:r w:rsidR="007A291D" w:rsidRPr="00601D70">
        <w:rPr>
          <w:i w:val="0"/>
          <w:iCs w:val="0"/>
        </w:rPr>
        <w:t>6</w:t>
      </w:r>
    </w:p>
    <w:p w14:paraId="28CB69C7" w14:textId="1DAC4400" w:rsidR="00BE704E" w:rsidRPr="00C636DD" w:rsidRDefault="00BE704E" w:rsidP="00783D43">
      <w:pPr>
        <w:pStyle w:val="Obsah3"/>
      </w:pPr>
      <w:r w:rsidRPr="00601D70">
        <w:rPr>
          <w:i w:val="0"/>
          <w:iCs w:val="0"/>
        </w:rPr>
        <w:t xml:space="preserve">     B.4  </w:t>
      </w:r>
      <w:r w:rsidRPr="00601D70">
        <w:rPr>
          <w:i w:val="0"/>
          <w:iCs w:val="0"/>
          <w:smallCaps/>
        </w:rPr>
        <w:t>Použitie Prebytku rozpočtu BSK z roku 20</w:t>
      </w:r>
      <w:r w:rsidR="000C23E6">
        <w:rPr>
          <w:i w:val="0"/>
          <w:iCs w:val="0"/>
          <w:smallCaps/>
        </w:rPr>
        <w:t>20</w:t>
      </w:r>
      <w:r w:rsidRPr="00601D70">
        <w:rPr>
          <w:i w:val="0"/>
          <w:iCs w:val="0"/>
        </w:rPr>
        <w:tab/>
      </w:r>
      <w:r w:rsidR="0056420B">
        <w:rPr>
          <w:i w:val="0"/>
          <w:iCs w:val="0"/>
        </w:rPr>
        <w:t>29</w:t>
      </w:r>
    </w:p>
    <w:p w14:paraId="1EA5CFEF" w14:textId="77777777" w:rsidR="00BE704E" w:rsidRPr="00C636DD" w:rsidRDefault="00BE704E" w:rsidP="00783D43">
      <w:pPr>
        <w:pStyle w:val="Obsah1"/>
      </w:pPr>
      <w:r w:rsidRPr="009F6D03">
        <w:t>c. Tvorba a použitie peňažných fondov B</w:t>
      </w:r>
      <w:r>
        <w:t>SK...........................................................................</w:t>
      </w:r>
      <w:r w:rsidRPr="00C636DD">
        <w:t>2</w:t>
      </w:r>
      <w:r w:rsidR="007A291D">
        <w:t>9</w:t>
      </w:r>
    </w:p>
    <w:p w14:paraId="5A26D917" w14:textId="77777777" w:rsidR="00BE704E" w:rsidRPr="00C636DD" w:rsidRDefault="00BE704E" w:rsidP="00783D43">
      <w:pPr>
        <w:pStyle w:val="Obsah2"/>
      </w:pPr>
      <w:r w:rsidRPr="00C636DD">
        <w:t xml:space="preserve">C.1  sociálny fond </w:t>
      </w:r>
      <w:r w:rsidRPr="00C636DD">
        <w:rPr>
          <w:bCs/>
          <w:caps/>
        </w:rPr>
        <w:tab/>
      </w:r>
      <w:r>
        <w:rPr>
          <w:bCs/>
          <w:caps/>
        </w:rPr>
        <w:t>..</w:t>
      </w:r>
      <w:r w:rsidRPr="00C636DD">
        <w:rPr>
          <w:bCs/>
          <w:caps/>
        </w:rPr>
        <w:t>2</w:t>
      </w:r>
      <w:r w:rsidR="007A291D">
        <w:rPr>
          <w:bCs/>
          <w:caps/>
        </w:rPr>
        <w:t>9</w:t>
      </w:r>
    </w:p>
    <w:p w14:paraId="1F633C52" w14:textId="77777777" w:rsidR="00BE704E" w:rsidRPr="00C636DD" w:rsidRDefault="00BE704E" w:rsidP="00783D43">
      <w:pPr>
        <w:pStyle w:val="Obsah2"/>
        <w:rPr>
          <w:bCs/>
          <w:caps/>
        </w:rPr>
      </w:pPr>
      <w:r w:rsidRPr="00C636DD">
        <w:t xml:space="preserve">C.2  rezervný fond </w:t>
      </w:r>
      <w:r w:rsidRPr="00C636DD">
        <w:rPr>
          <w:bCs/>
          <w:caps/>
        </w:rPr>
        <w:tab/>
      </w:r>
      <w:r w:rsidR="007A291D">
        <w:rPr>
          <w:bCs/>
          <w:caps/>
        </w:rPr>
        <w:t>30</w:t>
      </w:r>
    </w:p>
    <w:p w14:paraId="3D0DDE05" w14:textId="0A3EC86A" w:rsidR="00BE704E" w:rsidRPr="00C636DD" w:rsidRDefault="00BE704E" w:rsidP="00783D43">
      <w:pPr>
        <w:pStyle w:val="Obsah1"/>
      </w:pPr>
      <w:r w:rsidRPr="009F6D03">
        <w:t>D. Bilancia aktív a pasív BSK</w:t>
      </w:r>
      <w:r w:rsidRPr="00C636DD">
        <w:tab/>
      </w:r>
      <w:r>
        <w:t>3</w:t>
      </w:r>
      <w:r w:rsidR="0056420B">
        <w:t>2</w:t>
      </w:r>
    </w:p>
    <w:p w14:paraId="580B438D" w14:textId="5115ADAA" w:rsidR="00BE704E" w:rsidRPr="00C636DD" w:rsidRDefault="00BE704E" w:rsidP="00783D43">
      <w:pPr>
        <w:pStyle w:val="Obsah2"/>
      </w:pPr>
      <w:r w:rsidRPr="00C636DD">
        <w:t xml:space="preserve">D.1  Rozpočtové organizácie </w:t>
      </w:r>
      <w:proofErr w:type="spellStart"/>
      <w:r w:rsidRPr="00C636DD">
        <w:t>bsk</w:t>
      </w:r>
      <w:proofErr w:type="spellEnd"/>
      <w:r w:rsidRPr="00C636DD">
        <w:rPr>
          <w:bCs/>
          <w:caps/>
        </w:rPr>
        <w:tab/>
      </w:r>
      <w:r>
        <w:rPr>
          <w:bCs/>
          <w:caps/>
        </w:rPr>
        <w:t>3</w:t>
      </w:r>
      <w:r w:rsidR="0056420B">
        <w:rPr>
          <w:bCs/>
          <w:caps/>
        </w:rPr>
        <w:t>2</w:t>
      </w:r>
    </w:p>
    <w:p w14:paraId="432B5AFA" w14:textId="677E6B79" w:rsidR="00BE704E" w:rsidRPr="00C636DD" w:rsidRDefault="00BE704E" w:rsidP="00783D43">
      <w:pPr>
        <w:pStyle w:val="Obsah2"/>
      </w:pPr>
      <w:r w:rsidRPr="00C636DD">
        <w:t xml:space="preserve">D.2  príspevkové organizácie </w:t>
      </w:r>
      <w:proofErr w:type="spellStart"/>
      <w:r w:rsidRPr="00C636DD">
        <w:t>bsk</w:t>
      </w:r>
      <w:proofErr w:type="spellEnd"/>
      <w:r w:rsidRPr="00C636DD">
        <w:t xml:space="preserve"> </w:t>
      </w:r>
      <w:r w:rsidRPr="00C636DD">
        <w:rPr>
          <w:bCs/>
          <w:caps/>
        </w:rPr>
        <w:tab/>
      </w:r>
      <w:r>
        <w:rPr>
          <w:bCs/>
          <w:caps/>
        </w:rPr>
        <w:t>3</w:t>
      </w:r>
      <w:r w:rsidR="0056420B">
        <w:rPr>
          <w:bCs/>
          <w:caps/>
        </w:rPr>
        <w:t>3</w:t>
      </w:r>
    </w:p>
    <w:p w14:paraId="714E1218" w14:textId="0002DB55" w:rsidR="00BE704E" w:rsidRPr="00C636DD" w:rsidRDefault="00BE704E" w:rsidP="00783D43">
      <w:pPr>
        <w:pStyle w:val="Obsah1"/>
      </w:pPr>
      <w:r>
        <w:t>E</w:t>
      </w:r>
      <w:r w:rsidRPr="009F6D03">
        <w:t>. Prehľad o záväzkoch a</w:t>
      </w:r>
      <w:r>
        <w:t> </w:t>
      </w:r>
      <w:r w:rsidRPr="009F6D03">
        <w:t>pohľadávkach</w:t>
      </w:r>
      <w:r>
        <w:t xml:space="preserve"> BSK</w:t>
      </w:r>
      <w:r w:rsidRPr="00C636DD">
        <w:tab/>
      </w:r>
      <w:r>
        <w:t>3</w:t>
      </w:r>
      <w:r w:rsidR="0056420B">
        <w:t>3</w:t>
      </w:r>
    </w:p>
    <w:p w14:paraId="5B19046D" w14:textId="39A93CFA" w:rsidR="00BE704E" w:rsidRPr="00C636DD" w:rsidRDefault="00BE704E" w:rsidP="00783D43">
      <w:pPr>
        <w:pStyle w:val="Obsah2"/>
      </w:pPr>
      <w:r>
        <w:t>E</w:t>
      </w:r>
      <w:r w:rsidRPr="00C636DD">
        <w:t xml:space="preserve">.1  záväzky </w:t>
      </w:r>
      <w:proofErr w:type="spellStart"/>
      <w:r w:rsidRPr="00C636DD">
        <w:t>bsk</w:t>
      </w:r>
      <w:proofErr w:type="spellEnd"/>
      <w:r w:rsidRPr="00C636DD">
        <w:rPr>
          <w:bCs/>
          <w:caps/>
        </w:rPr>
        <w:tab/>
      </w:r>
      <w:r>
        <w:rPr>
          <w:bCs/>
          <w:caps/>
        </w:rPr>
        <w:t>3</w:t>
      </w:r>
      <w:r w:rsidR="0056420B">
        <w:rPr>
          <w:bCs/>
          <w:caps/>
        </w:rPr>
        <w:t>3</w:t>
      </w:r>
    </w:p>
    <w:p w14:paraId="69CB9E0A" w14:textId="24927579" w:rsidR="00BE704E" w:rsidRPr="00C636DD" w:rsidRDefault="00BE704E" w:rsidP="00783D43">
      <w:pPr>
        <w:pStyle w:val="Obsah2"/>
      </w:pPr>
      <w:r>
        <w:t>E</w:t>
      </w:r>
      <w:r w:rsidRPr="00C636DD">
        <w:t xml:space="preserve">.2  </w:t>
      </w:r>
      <w:proofErr w:type="spellStart"/>
      <w:r>
        <w:t>Pohĺadávky</w:t>
      </w:r>
      <w:proofErr w:type="spellEnd"/>
      <w:r>
        <w:t xml:space="preserve"> </w:t>
      </w:r>
      <w:proofErr w:type="spellStart"/>
      <w:r>
        <w:t>bsk</w:t>
      </w:r>
      <w:proofErr w:type="spellEnd"/>
      <w:r w:rsidRPr="00C636DD">
        <w:rPr>
          <w:bCs/>
          <w:caps/>
        </w:rPr>
        <w:tab/>
      </w:r>
      <w:r>
        <w:rPr>
          <w:bCs/>
          <w:caps/>
        </w:rPr>
        <w:t>3</w:t>
      </w:r>
      <w:r w:rsidR="0056420B">
        <w:rPr>
          <w:bCs/>
          <w:caps/>
        </w:rPr>
        <w:t>6</w:t>
      </w:r>
    </w:p>
    <w:p w14:paraId="437ADAAC" w14:textId="567B3B3C" w:rsidR="00BE704E" w:rsidRPr="00C636DD" w:rsidRDefault="00BE704E" w:rsidP="00783D43">
      <w:pPr>
        <w:pStyle w:val="Obsah1"/>
      </w:pPr>
      <w:r>
        <w:t>F</w:t>
      </w:r>
      <w:r w:rsidRPr="009F6D03">
        <w:t>. Prehľad o stave a vývoji dlhu BSK</w:t>
      </w:r>
      <w:r w:rsidRPr="00C636DD">
        <w:tab/>
      </w:r>
      <w:r w:rsidR="0056420B">
        <w:t>39</w:t>
      </w:r>
    </w:p>
    <w:p w14:paraId="5B23C7AF" w14:textId="18FACE1C" w:rsidR="00BE704E" w:rsidRPr="00C636DD" w:rsidRDefault="00BE704E" w:rsidP="00783D43">
      <w:pPr>
        <w:pStyle w:val="Obsah1"/>
      </w:pPr>
      <w:r w:rsidRPr="0059142E">
        <w:t xml:space="preserve">G. Prehľad O POSKYTNUTÝCH DOTÁCIÁCH V ZMYSLE VZN </w:t>
      </w:r>
      <w:r w:rsidR="000C500B" w:rsidRPr="0059142E">
        <w:t>5</w:t>
      </w:r>
      <w:r w:rsidRPr="0059142E">
        <w:t>/2018 BSK</w:t>
      </w:r>
      <w:r w:rsidR="003A1912" w:rsidRPr="0059142E">
        <w:t xml:space="preserve"> </w:t>
      </w:r>
      <w:r w:rsidR="000C500B" w:rsidRPr="0059142E">
        <w:t>......................</w:t>
      </w:r>
      <w:r w:rsidRPr="0059142E">
        <w:t>..................</w:t>
      </w:r>
      <w:r w:rsidR="007A291D" w:rsidRPr="0059142E">
        <w:t>4</w:t>
      </w:r>
      <w:r w:rsidR="0056420B">
        <w:t>1</w:t>
      </w:r>
    </w:p>
    <w:p w14:paraId="06B05E31" w14:textId="67BDC897" w:rsidR="00BE704E" w:rsidRDefault="00BE704E" w:rsidP="00783D43">
      <w:pPr>
        <w:pStyle w:val="Obsah1"/>
      </w:pPr>
      <w:r w:rsidRPr="009F6D03">
        <w:t>H. Prehľad o hospodárení príspevkových organizácií v zP BSK</w:t>
      </w:r>
      <w:r w:rsidRPr="00C636DD">
        <w:tab/>
      </w:r>
      <w:r w:rsidR="0056420B">
        <w:t>49</w:t>
      </w:r>
    </w:p>
    <w:p w14:paraId="371A3A92" w14:textId="53E7735E" w:rsidR="00BE704E" w:rsidRPr="00C636DD" w:rsidRDefault="00BE704E" w:rsidP="00783D43">
      <w:pPr>
        <w:pStyle w:val="Obsah1"/>
      </w:pPr>
      <w:r w:rsidRPr="009F6D03">
        <w:t>I. Náklady a výnosy podnikateľskej činnosti organizácií v zP BSK</w:t>
      </w:r>
      <w:r w:rsidRPr="00C636DD">
        <w:tab/>
      </w:r>
      <w:r w:rsidR="0056420B">
        <w:t>51</w:t>
      </w:r>
    </w:p>
    <w:p w14:paraId="0445B26F" w14:textId="73B3FF22" w:rsidR="00BE704E" w:rsidRPr="00C636DD" w:rsidRDefault="00BE704E" w:rsidP="00783D43">
      <w:pPr>
        <w:pStyle w:val="Obsah2"/>
      </w:pPr>
      <w:r w:rsidRPr="00C636DD">
        <w:t xml:space="preserve">I.1  Rozpočtové organizácie </w:t>
      </w:r>
      <w:proofErr w:type="spellStart"/>
      <w:r w:rsidRPr="00C636DD">
        <w:t>bsk</w:t>
      </w:r>
      <w:proofErr w:type="spellEnd"/>
      <w:r w:rsidRPr="00C636DD">
        <w:rPr>
          <w:bCs/>
          <w:caps/>
        </w:rPr>
        <w:tab/>
      </w:r>
      <w:r w:rsidR="0056420B">
        <w:rPr>
          <w:bCs/>
          <w:caps/>
        </w:rPr>
        <w:t>51</w:t>
      </w:r>
    </w:p>
    <w:p w14:paraId="00DAF311" w14:textId="6AFF00A2" w:rsidR="00BE704E" w:rsidRPr="00C636DD" w:rsidRDefault="00BE704E" w:rsidP="00783D43">
      <w:pPr>
        <w:pStyle w:val="Obsah2"/>
      </w:pPr>
      <w:r w:rsidRPr="00C636DD">
        <w:t xml:space="preserve">I.2  príspevkové organizácie </w:t>
      </w:r>
      <w:proofErr w:type="spellStart"/>
      <w:r w:rsidRPr="00C636DD">
        <w:t>bsk</w:t>
      </w:r>
      <w:proofErr w:type="spellEnd"/>
      <w:r w:rsidRPr="00C636DD">
        <w:rPr>
          <w:bCs/>
          <w:caps/>
        </w:rPr>
        <w:tab/>
      </w:r>
      <w:r w:rsidR="0056420B">
        <w:rPr>
          <w:bCs/>
          <w:caps/>
        </w:rPr>
        <w:t>53</w:t>
      </w:r>
    </w:p>
    <w:p w14:paraId="6AAB8321" w14:textId="4B19C4DB" w:rsidR="00BE704E" w:rsidRPr="00C636DD" w:rsidRDefault="00BE704E" w:rsidP="00783D43">
      <w:pPr>
        <w:pStyle w:val="Obsah1"/>
      </w:pPr>
      <w:r w:rsidRPr="00C636DD">
        <w:t xml:space="preserve">J. </w:t>
      </w:r>
      <w:r w:rsidRPr="009F6D03">
        <w:t>Prehľad o majetku BSK</w:t>
      </w:r>
      <w:r w:rsidRPr="00C636DD">
        <w:tab/>
      </w:r>
      <w:r w:rsidR="0056420B">
        <w:t>54</w:t>
      </w:r>
    </w:p>
    <w:p w14:paraId="50D26C6B" w14:textId="484FDDDE" w:rsidR="00BE704E" w:rsidRPr="00C636DD" w:rsidRDefault="00BE704E" w:rsidP="00783D43">
      <w:pPr>
        <w:pStyle w:val="Obsah2"/>
      </w:pPr>
      <w:r w:rsidRPr="00C636DD">
        <w:t xml:space="preserve">J.1  Rozpočtové organizácie </w:t>
      </w:r>
      <w:proofErr w:type="spellStart"/>
      <w:r w:rsidRPr="00C636DD">
        <w:t>bsk</w:t>
      </w:r>
      <w:proofErr w:type="spellEnd"/>
      <w:r w:rsidRPr="00C636DD">
        <w:rPr>
          <w:bCs/>
          <w:caps/>
        </w:rPr>
        <w:tab/>
      </w:r>
      <w:r w:rsidR="0056420B">
        <w:rPr>
          <w:bCs/>
          <w:caps/>
        </w:rPr>
        <w:t>54</w:t>
      </w:r>
    </w:p>
    <w:p w14:paraId="33962B99" w14:textId="766E94E9" w:rsidR="00BE704E" w:rsidRPr="00C636DD" w:rsidRDefault="00BE704E" w:rsidP="00783D43">
      <w:pPr>
        <w:pStyle w:val="Obsah2"/>
      </w:pPr>
      <w:r w:rsidRPr="00C636DD">
        <w:t xml:space="preserve">J.2  príspevkové organizácie </w:t>
      </w:r>
      <w:proofErr w:type="spellStart"/>
      <w:r w:rsidRPr="00C636DD">
        <w:t>bsk</w:t>
      </w:r>
      <w:proofErr w:type="spellEnd"/>
      <w:r w:rsidRPr="00C636DD">
        <w:rPr>
          <w:bCs/>
          <w:caps/>
        </w:rPr>
        <w:tab/>
      </w:r>
      <w:r w:rsidR="0056420B">
        <w:rPr>
          <w:bCs/>
          <w:caps/>
        </w:rPr>
        <w:t>56</w:t>
      </w:r>
    </w:p>
    <w:p w14:paraId="2313678C" w14:textId="212DFC6C" w:rsidR="00BE704E" w:rsidRPr="00C636DD" w:rsidRDefault="00BE704E" w:rsidP="00783D43">
      <w:pPr>
        <w:pStyle w:val="Obsah1"/>
      </w:pPr>
      <w:r w:rsidRPr="009F6D03">
        <w:t>K. Záver</w:t>
      </w:r>
      <w:r w:rsidRPr="00C636DD">
        <w:tab/>
      </w:r>
      <w:r w:rsidR="0056420B">
        <w:t>57</w:t>
      </w:r>
    </w:p>
    <w:p w14:paraId="3A782CF8" w14:textId="2A3B2A6F" w:rsidR="00BE704E" w:rsidRPr="00C636DD" w:rsidRDefault="00BE704E" w:rsidP="00783D43">
      <w:pPr>
        <w:pStyle w:val="Obsah1"/>
      </w:pPr>
      <w:r w:rsidRPr="0029619B">
        <w:t>L. Hodnotenie plnenia programov BSK</w:t>
      </w:r>
      <w:r w:rsidRPr="0029619B">
        <w:tab/>
      </w:r>
      <w:r w:rsidR="00783D43">
        <w:t>....................</w:t>
      </w:r>
      <w:r>
        <w:t>..</w:t>
      </w:r>
      <w:r w:rsidR="0056420B">
        <w:t>58</w:t>
      </w:r>
    </w:p>
    <w:p w14:paraId="2F61E808" w14:textId="53DC9A98" w:rsidR="00BE704E" w:rsidRPr="00C636DD" w:rsidRDefault="00BE704E" w:rsidP="00783D43">
      <w:pPr>
        <w:pStyle w:val="Obsah2"/>
        <w:rPr>
          <w:sz w:val="22"/>
          <w:szCs w:val="22"/>
        </w:rPr>
      </w:pPr>
      <w:r w:rsidRPr="00C636DD">
        <w:t>Program 1:  Plánovanie, manažment a kontrola</w:t>
      </w:r>
      <w:r w:rsidRPr="00C636DD">
        <w:rPr>
          <w:bCs/>
          <w:caps/>
          <w:sz w:val="22"/>
          <w:szCs w:val="22"/>
        </w:rPr>
        <w:tab/>
      </w:r>
      <w:r w:rsidR="00783D43">
        <w:rPr>
          <w:bCs/>
          <w:caps/>
          <w:sz w:val="22"/>
          <w:szCs w:val="22"/>
        </w:rPr>
        <w:t xml:space="preserve"> </w:t>
      </w:r>
      <w:r w:rsidR="00137BE6">
        <w:rPr>
          <w:bCs/>
          <w:caps/>
          <w:sz w:val="22"/>
          <w:szCs w:val="22"/>
        </w:rPr>
        <w:t>58</w:t>
      </w:r>
    </w:p>
    <w:p w14:paraId="5A0F4EC0" w14:textId="595FE11F" w:rsidR="00BE704E" w:rsidRPr="00C636DD" w:rsidRDefault="00BE704E" w:rsidP="00783D43">
      <w:pPr>
        <w:pStyle w:val="Obsah2"/>
        <w:rPr>
          <w:sz w:val="22"/>
          <w:szCs w:val="22"/>
        </w:rPr>
      </w:pPr>
      <w:r w:rsidRPr="00C636DD">
        <w:t>Program 2:  Propagácia a marketing</w:t>
      </w:r>
      <w:r w:rsidR="00783D43">
        <w:rPr>
          <w:bCs/>
          <w:caps/>
          <w:sz w:val="22"/>
          <w:szCs w:val="22"/>
        </w:rPr>
        <w:tab/>
      </w:r>
      <w:r w:rsidR="00137BE6">
        <w:rPr>
          <w:bCs/>
          <w:caps/>
          <w:sz w:val="22"/>
          <w:szCs w:val="22"/>
        </w:rPr>
        <w:t>69</w:t>
      </w:r>
    </w:p>
    <w:p w14:paraId="184CFF68" w14:textId="5413C695" w:rsidR="00BE704E" w:rsidRPr="00C636DD" w:rsidRDefault="00BE704E" w:rsidP="00783D43">
      <w:pPr>
        <w:pStyle w:val="Obsah2"/>
        <w:rPr>
          <w:sz w:val="22"/>
          <w:szCs w:val="22"/>
        </w:rPr>
      </w:pPr>
      <w:r w:rsidRPr="00C636DD">
        <w:t>Program 3:  Interné služby</w:t>
      </w:r>
      <w:r w:rsidRPr="00C636DD">
        <w:rPr>
          <w:bCs/>
          <w:caps/>
          <w:sz w:val="22"/>
          <w:szCs w:val="22"/>
        </w:rPr>
        <w:tab/>
      </w:r>
      <w:r w:rsidR="00137BE6">
        <w:rPr>
          <w:bCs/>
          <w:caps/>
          <w:sz w:val="22"/>
          <w:szCs w:val="22"/>
        </w:rPr>
        <w:t>71</w:t>
      </w:r>
    </w:p>
    <w:p w14:paraId="5CEF0296" w14:textId="3FCA7A07" w:rsidR="00BE704E" w:rsidRPr="00C636DD" w:rsidRDefault="00BE704E" w:rsidP="00783D43">
      <w:pPr>
        <w:pStyle w:val="Obsah2"/>
        <w:rPr>
          <w:sz w:val="22"/>
          <w:szCs w:val="22"/>
        </w:rPr>
      </w:pPr>
      <w:r w:rsidRPr="00C636DD">
        <w:t>Program 4:  Cestovný ruch</w:t>
      </w:r>
      <w:r w:rsidRPr="00C636DD">
        <w:rPr>
          <w:bCs/>
          <w:caps/>
          <w:sz w:val="22"/>
          <w:szCs w:val="22"/>
        </w:rPr>
        <w:tab/>
      </w:r>
      <w:r w:rsidR="00137BE6">
        <w:rPr>
          <w:bCs/>
          <w:caps/>
          <w:sz w:val="22"/>
          <w:szCs w:val="22"/>
        </w:rPr>
        <w:t>74</w:t>
      </w:r>
    </w:p>
    <w:p w14:paraId="58430B1C" w14:textId="75CB90C6" w:rsidR="00BE704E" w:rsidRPr="00C636DD" w:rsidRDefault="00C10B30" w:rsidP="00783D43">
      <w:pPr>
        <w:pStyle w:val="Obsah2"/>
        <w:rPr>
          <w:sz w:val="22"/>
          <w:szCs w:val="22"/>
        </w:rPr>
      </w:pPr>
      <w:r w:rsidRPr="00C10B30">
        <w:t>Program 5: Starostlivosť o krajinu, prírodné zdroje, územné plánovanie a prevenciu obyvateľstva</w:t>
      </w:r>
      <w:r w:rsidR="00BE704E" w:rsidRPr="00C636DD">
        <w:rPr>
          <w:bCs/>
          <w:caps/>
          <w:sz w:val="22"/>
          <w:szCs w:val="22"/>
        </w:rPr>
        <w:tab/>
      </w:r>
      <w:r w:rsidR="00137BE6">
        <w:rPr>
          <w:bCs/>
          <w:caps/>
          <w:sz w:val="22"/>
          <w:szCs w:val="22"/>
        </w:rPr>
        <w:t>75</w:t>
      </w:r>
    </w:p>
    <w:p w14:paraId="1F0E0A1D" w14:textId="1EBD6DD7" w:rsidR="00BE704E" w:rsidRPr="00C636DD" w:rsidRDefault="00BE704E" w:rsidP="00783D43">
      <w:pPr>
        <w:pStyle w:val="Obsah2"/>
        <w:rPr>
          <w:sz w:val="22"/>
          <w:szCs w:val="22"/>
        </w:rPr>
      </w:pPr>
      <w:r w:rsidRPr="00C636DD">
        <w:t>Program 6:  Komunikácie</w:t>
      </w:r>
      <w:r w:rsidRPr="00C636DD">
        <w:rPr>
          <w:bCs/>
          <w:caps/>
          <w:sz w:val="22"/>
          <w:szCs w:val="22"/>
        </w:rPr>
        <w:tab/>
      </w:r>
      <w:r w:rsidR="00137BE6">
        <w:rPr>
          <w:bCs/>
          <w:caps/>
          <w:sz w:val="22"/>
          <w:szCs w:val="22"/>
        </w:rPr>
        <w:t>76</w:t>
      </w:r>
    </w:p>
    <w:p w14:paraId="78A6C54F" w14:textId="5CD09B27" w:rsidR="00BE704E" w:rsidRPr="00C636DD" w:rsidRDefault="00BE704E" w:rsidP="00783D43">
      <w:pPr>
        <w:pStyle w:val="Obsah2"/>
        <w:rPr>
          <w:sz w:val="22"/>
          <w:szCs w:val="22"/>
        </w:rPr>
      </w:pPr>
      <w:r w:rsidRPr="00C636DD">
        <w:t>Program 7:  Doprava</w:t>
      </w:r>
      <w:r w:rsidRPr="00C636DD">
        <w:rPr>
          <w:bCs/>
          <w:caps/>
          <w:sz w:val="22"/>
          <w:szCs w:val="22"/>
        </w:rPr>
        <w:tab/>
      </w:r>
      <w:r w:rsidR="00137BE6">
        <w:rPr>
          <w:bCs/>
          <w:caps/>
          <w:sz w:val="22"/>
          <w:szCs w:val="22"/>
        </w:rPr>
        <w:t>78</w:t>
      </w:r>
    </w:p>
    <w:p w14:paraId="30EC728B" w14:textId="736753B4" w:rsidR="00BE704E" w:rsidRPr="00C636DD" w:rsidRDefault="00BE704E" w:rsidP="00783D43">
      <w:pPr>
        <w:pStyle w:val="Obsah2"/>
        <w:rPr>
          <w:sz w:val="22"/>
          <w:szCs w:val="22"/>
        </w:rPr>
      </w:pPr>
      <w:r w:rsidRPr="00C636DD">
        <w:t>Program 8:  Vzdelávanie</w:t>
      </w:r>
      <w:r w:rsidRPr="00C636DD">
        <w:rPr>
          <w:bCs/>
          <w:caps/>
          <w:sz w:val="22"/>
          <w:szCs w:val="22"/>
        </w:rPr>
        <w:tab/>
      </w:r>
      <w:r w:rsidR="00137BE6">
        <w:rPr>
          <w:bCs/>
          <w:caps/>
          <w:sz w:val="22"/>
          <w:szCs w:val="22"/>
        </w:rPr>
        <w:t>81</w:t>
      </w:r>
    </w:p>
    <w:p w14:paraId="79F3084C" w14:textId="4A178C7B" w:rsidR="00BE704E" w:rsidRPr="00C636DD" w:rsidRDefault="00BE704E" w:rsidP="00783D43">
      <w:pPr>
        <w:pStyle w:val="Obsah2"/>
        <w:rPr>
          <w:sz w:val="22"/>
          <w:szCs w:val="22"/>
        </w:rPr>
      </w:pPr>
      <w:r w:rsidRPr="00C636DD">
        <w:t>Program 9:  Šport</w:t>
      </w:r>
      <w:r w:rsidR="000C23E6">
        <w:t xml:space="preserve"> a Mládežnícke aktivity</w:t>
      </w:r>
      <w:r w:rsidRPr="00C636DD">
        <w:rPr>
          <w:bCs/>
          <w:caps/>
          <w:sz w:val="22"/>
          <w:szCs w:val="22"/>
        </w:rPr>
        <w:tab/>
      </w:r>
      <w:r>
        <w:rPr>
          <w:bCs/>
          <w:caps/>
          <w:sz w:val="22"/>
          <w:szCs w:val="22"/>
        </w:rPr>
        <w:t>1</w:t>
      </w:r>
      <w:r w:rsidR="00FD4BC5">
        <w:rPr>
          <w:bCs/>
          <w:caps/>
          <w:sz w:val="22"/>
          <w:szCs w:val="22"/>
        </w:rPr>
        <w:t>31</w:t>
      </w:r>
    </w:p>
    <w:p w14:paraId="7B924896" w14:textId="5EBAC9CB" w:rsidR="00BE704E" w:rsidRPr="00C636DD" w:rsidRDefault="00BE704E" w:rsidP="00783D43">
      <w:pPr>
        <w:pStyle w:val="Obsah2"/>
        <w:rPr>
          <w:sz w:val="22"/>
          <w:szCs w:val="22"/>
        </w:rPr>
      </w:pPr>
      <w:r w:rsidRPr="00C636DD">
        <w:t>Program 10: Kultúra</w:t>
      </w:r>
      <w:r w:rsidRPr="00C636DD">
        <w:rPr>
          <w:bCs/>
          <w:caps/>
          <w:sz w:val="22"/>
          <w:szCs w:val="22"/>
        </w:rPr>
        <w:tab/>
      </w:r>
      <w:r>
        <w:rPr>
          <w:bCs/>
          <w:caps/>
          <w:sz w:val="22"/>
          <w:szCs w:val="22"/>
        </w:rPr>
        <w:t>1</w:t>
      </w:r>
      <w:r w:rsidR="00FD4BC5">
        <w:rPr>
          <w:bCs/>
          <w:caps/>
          <w:sz w:val="22"/>
          <w:szCs w:val="22"/>
        </w:rPr>
        <w:t>32</w:t>
      </w:r>
    </w:p>
    <w:p w14:paraId="35F7A1CC" w14:textId="013A1E20" w:rsidR="00BE704E" w:rsidRPr="00C636DD" w:rsidRDefault="00BE704E" w:rsidP="00783D43">
      <w:pPr>
        <w:pStyle w:val="Obsah2"/>
        <w:rPr>
          <w:sz w:val="22"/>
          <w:szCs w:val="22"/>
        </w:rPr>
      </w:pPr>
      <w:r w:rsidRPr="00C636DD">
        <w:t>Program 11: Sociálne zabezpečenie</w:t>
      </w:r>
      <w:r w:rsidRPr="00C636DD">
        <w:rPr>
          <w:bCs/>
          <w:caps/>
          <w:sz w:val="22"/>
          <w:szCs w:val="22"/>
        </w:rPr>
        <w:tab/>
      </w:r>
      <w:r>
        <w:rPr>
          <w:bCs/>
          <w:caps/>
          <w:sz w:val="22"/>
          <w:szCs w:val="22"/>
        </w:rPr>
        <w:t>1</w:t>
      </w:r>
      <w:r w:rsidR="00FD4BC5">
        <w:rPr>
          <w:bCs/>
          <w:caps/>
          <w:sz w:val="22"/>
          <w:szCs w:val="22"/>
        </w:rPr>
        <w:t>40</w:t>
      </w:r>
    </w:p>
    <w:p w14:paraId="7806D9F6" w14:textId="2D2F9814" w:rsidR="00BE704E" w:rsidRPr="00C636DD" w:rsidRDefault="00BE704E" w:rsidP="00783D43">
      <w:pPr>
        <w:pStyle w:val="Obsah2"/>
        <w:rPr>
          <w:sz w:val="22"/>
          <w:szCs w:val="22"/>
        </w:rPr>
      </w:pPr>
      <w:r w:rsidRPr="00C636DD">
        <w:t>Program 12: Zdravotníctvo</w:t>
      </w:r>
      <w:r w:rsidRPr="00C636DD">
        <w:rPr>
          <w:bCs/>
          <w:caps/>
          <w:sz w:val="22"/>
          <w:szCs w:val="22"/>
        </w:rPr>
        <w:tab/>
      </w:r>
      <w:r>
        <w:rPr>
          <w:bCs/>
          <w:caps/>
          <w:sz w:val="22"/>
          <w:szCs w:val="22"/>
        </w:rPr>
        <w:t>1</w:t>
      </w:r>
      <w:r w:rsidR="00FD4BC5">
        <w:rPr>
          <w:bCs/>
          <w:caps/>
          <w:sz w:val="22"/>
          <w:szCs w:val="22"/>
        </w:rPr>
        <w:t>55</w:t>
      </w:r>
    </w:p>
    <w:p w14:paraId="39E49DD1" w14:textId="5D17232B" w:rsidR="00BE704E" w:rsidRPr="00C636DD" w:rsidRDefault="00BE704E" w:rsidP="00783D43">
      <w:pPr>
        <w:pStyle w:val="Obsah2"/>
        <w:rPr>
          <w:sz w:val="22"/>
          <w:szCs w:val="22"/>
        </w:rPr>
      </w:pPr>
      <w:r w:rsidRPr="00C636DD">
        <w:t>Program 13: Administratíva</w:t>
      </w:r>
      <w:r w:rsidRPr="00C636DD">
        <w:rPr>
          <w:bCs/>
          <w:caps/>
          <w:sz w:val="22"/>
          <w:szCs w:val="22"/>
        </w:rPr>
        <w:tab/>
      </w:r>
      <w:r>
        <w:rPr>
          <w:bCs/>
          <w:caps/>
          <w:sz w:val="22"/>
          <w:szCs w:val="22"/>
        </w:rPr>
        <w:t>1</w:t>
      </w:r>
      <w:r w:rsidR="00FD4BC5">
        <w:rPr>
          <w:bCs/>
          <w:caps/>
          <w:sz w:val="22"/>
          <w:szCs w:val="22"/>
        </w:rPr>
        <w:t>56</w:t>
      </w:r>
    </w:p>
    <w:p w14:paraId="128720B0" w14:textId="3EBDBA09" w:rsidR="00BE704E" w:rsidRPr="00C636DD" w:rsidRDefault="00BE704E" w:rsidP="00783D43">
      <w:pPr>
        <w:pStyle w:val="Obsah2"/>
        <w:rPr>
          <w:sz w:val="22"/>
          <w:szCs w:val="22"/>
        </w:rPr>
      </w:pPr>
      <w:r w:rsidRPr="00C636DD">
        <w:t>Program 1</w:t>
      </w:r>
      <w:r>
        <w:t>4</w:t>
      </w:r>
      <w:r w:rsidRPr="00C636DD">
        <w:t>:</w:t>
      </w:r>
      <w:r w:rsidRPr="008D23F7">
        <w:t xml:space="preserve"> Strategická podpora verejného života a rozvoja regiónu</w:t>
      </w:r>
      <w:r w:rsidRPr="00C636DD">
        <w:rPr>
          <w:bCs/>
          <w:caps/>
          <w:sz w:val="22"/>
          <w:szCs w:val="22"/>
        </w:rPr>
        <w:tab/>
      </w:r>
      <w:bookmarkEnd w:id="0"/>
      <w:r>
        <w:rPr>
          <w:bCs/>
          <w:caps/>
          <w:sz w:val="22"/>
          <w:szCs w:val="22"/>
        </w:rPr>
        <w:t>1</w:t>
      </w:r>
      <w:r w:rsidR="00FD4BC5">
        <w:rPr>
          <w:bCs/>
          <w:caps/>
          <w:sz w:val="22"/>
          <w:szCs w:val="22"/>
        </w:rPr>
        <w:t>57</w:t>
      </w:r>
    </w:p>
    <w:p w14:paraId="64FDB788" w14:textId="77777777" w:rsidR="00BE704E" w:rsidRDefault="00BE704E" w:rsidP="00BE704E">
      <w:pPr>
        <w:tabs>
          <w:tab w:val="left" w:pos="360"/>
          <w:tab w:val="right" w:leader="dot" w:pos="8820"/>
          <w:tab w:val="right" w:pos="9214"/>
        </w:tabs>
        <w:spacing w:after="0" w:line="240" w:lineRule="auto"/>
        <w:ind w:right="72"/>
        <w:jc w:val="both"/>
        <w:rPr>
          <w:rFonts w:cs="Arial"/>
          <w:sz w:val="24"/>
          <w:szCs w:val="24"/>
          <w:lang w:eastAsia="sk-SK"/>
        </w:rPr>
      </w:pPr>
    </w:p>
    <w:p w14:paraId="7476D410" w14:textId="77777777" w:rsidR="00783D43" w:rsidRDefault="00783D43" w:rsidP="00BE704E">
      <w:pPr>
        <w:tabs>
          <w:tab w:val="left" w:pos="360"/>
          <w:tab w:val="right" w:leader="dot" w:pos="8820"/>
          <w:tab w:val="right" w:pos="9214"/>
        </w:tabs>
        <w:spacing w:after="0" w:line="240" w:lineRule="auto"/>
        <w:ind w:right="72"/>
        <w:jc w:val="both"/>
        <w:rPr>
          <w:rFonts w:cs="Arial"/>
          <w:sz w:val="24"/>
          <w:szCs w:val="24"/>
          <w:lang w:eastAsia="sk-SK"/>
        </w:rPr>
      </w:pPr>
    </w:p>
    <w:p w14:paraId="0DB26D17" w14:textId="77777777" w:rsidR="00783D43" w:rsidRDefault="00783D43" w:rsidP="00BE704E">
      <w:pPr>
        <w:tabs>
          <w:tab w:val="left" w:pos="360"/>
          <w:tab w:val="right" w:leader="dot" w:pos="8820"/>
          <w:tab w:val="right" w:pos="9214"/>
        </w:tabs>
        <w:spacing w:after="0" w:line="240" w:lineRule="auto"/>
        <w:ind w:right="72"/>
        <w:jc w:val="both"/>
        <w:rPr>
          <w:rFonts w:cs="Arial"/>
          <w:sz w:val="24"/>
          <w:szCs w:val="24"/>
          <w:lang w:eastAsia="sk-SK"/>
        </w:rPr>
      </w:pPr>
    </w:p>
    <w:p w14:paraId="110FC7D3" w14:textId="77777777" w:rsidR="005E0EA5" w:rsidRDefault="005E0EA5" w:rsidP="00BE704E">
      <w:pPr>
        <w:tabs>
          <w:tab w:val="left" w:pos="360"/>
          <w:tab w:val="right" w:leader="dot" w:pos="8820"/>
          <w:tab w:val="right" w:pos="9214"/>
        </w:tabs>
        <w:spacing w:after="0" w:line="240" w:lineRule="auto"/>
        <w:ind w:right="72"/>
        <w:jc w:val="both"/>
        <w:rPr>
          <w:rFonts w:cs="Arial"/>
          <w:sz w:val="24"/>
          <w:szCs w:val="24"/>
          <w:lang w:eastAsia="sk-SK"/>
        </w:rPr>
      </w:pPr>
    </w:p>
    <w:p w14:paraId="2571B389" w14:textId="77777777" w:rsidR="00BE704E" w:rsidRDefault="00BE704E" w:rsidP="00BE704E">
      <w:pPr>
        <w:tabs>
          <w:tab w:val="left" w:pos="360"/>
          <w:tab w:val="right" w:leader="dot" w:pos="8820"/>
          <w:tab w:val="right" w:pos="9214"/>
        </w:tabs>
        <w:spacing w:after="0" w:line="240" w:lineRule="auto"/>
        <w:ind w:right="72"/>
        <w:jc w:val="both"/>
        <w:rPr>
          <w:rFonts w:cs="Arial"/>
          <w:sz w:val="24"/>
          <w:szCs w:val="24"/>
          <w:lang w:eastAsia="sk-SK"/>
        </w:rPr>
      </w:pPr>
    </w:p>
    <w:p w14:paraId="160145FF" w14:textId="776A357C" w:rsidR="00BE704E" w:rsidRPr="002A2EDF" w:rsidRDefault="00BE704E" w:rsidP="00BE704E">
      <w:pPr>
        <w:pStyle w:val="tl1"/>
      </w:pPr>
      <w:r w:rsidRPr="002A2EDF">
        <w:lastRenderedPageBreak/>
        <w:t xml:space="preserve">Rozpočet BSK na rok </w:t>
      </w:r>
      <w:r>
        <w:t>20</w:t>
      </w:r>
      <w:r w:rsidR="00EC2E1A">
        <w:t>20</w:t>
      </w:r>
      <w:r w:rsidRPr="002A2EDF">
        <w:t xml:space="preserve"> a jeho zmeny</w:t>
      </w:r>
      <w:r>
        <w:t xml:space="preserve"> </w:t>
      </w:r>
    </w:p>
    <w:p w14:paraId="49E6F618" w14:textId="62859C84" w:rsidR="00BE704E" w:rsidRPr="009D37EE" w:rsidRDefault="00A711BC" w:rsidP="00BF41CC">
      <w:pPr>
        <w:spacing w:after="0" w:line="240" w:lineRule="auto"/>
        <w:jc w:val="both"/>
        <w:rPr>
          <w:rFonts w:cs="Calibri"/>
          <w:b/>
          <w:bCs/>
          <w:i/>
          <w:iCs/>
          <w:sz w:val="28"/>
          <w:szCs w:val="28"/>
          <w:lang w:eastAsia="sk-SK"/>
        </w:rPr>
      </w:pPr>
      <w:r>
        <w:pict w14:anchorId="4D249B33">
          <v:rect id="_x0000_i1025" style="width:523.3pt;height:1.5pt" o:hralign="center" o:hrstd="t" o:hr="t" fillcolor="#a0a0a0" stroked="f"/>
        </w:pict>
      </w:r>
      <w:r w:rsidR="00BE704E">
        <w:rPr>
          <w:rFonts w:cs="Calibri"/>
          <w:sz w:val="24"/>
          <w:szCs w:val="24"/>
        </w:rPr>
        <w:t xml:space="preserve"> </w:t>
      </w:r>
      <w:r w:rsidR="00BE704E" w:rsidRPr="00BD0B76">
        <w:rPr>
          <w:rFonts w:cs="Calibri"/>
          <w:sz w:val="24"/>
          <w:szCs w:val="24"/>
        </w:rPr>
        <w:t xml:space="preserve">V súlade s § 10 ods. 3 a 7 zákona č. 583/2004 Z. z. o rozpočtových pravidlách územnej samosprávy a o zmene a doplnení niektorých zákonov v znení neskorších predpisov (ďalej len „zákon o rozpočtových pravidlách územnej samosprávy“) bol </w:t>
      </w:r>
      <w:r w:rsidR="00BE704E" w:rsidRPr="00BD0B76">
        <w:rPr>
          <w:rFonts w:cs="Calibri"/>
          <w:b/>
          <w:sz w:val="24"/>
          <w:szCs w:val="24"/>
        </w:rPr>
        <w:t>rozpočet Bratislavského samosprávneho kraja</w:t>
      </w:r>
      <w:r w:rsidR="00BE704E" w:rsidRPr="00BD0B76">
        <w:rPr>
          <w:rFonts w:cs="Calibri"/>
          <w:sz w:val="24"/>
          <w:szCs w:val="24"/>
        </w:rPr>
        <w:t xml:space="preserve"> vrátane organizácii v jeho zriaďovateľskej pôsobnosti </w:t>
      </w:r>
      <w:r w:rsidR="00BE704E" w:rsidRPr="00BD0B76">
        <w:rPr>
          <w:rFonts w:cs="Calibri"/>
          <w:b/>
          <w:sz w:val="24"/>
          <w:szCs w:val="24"/>
        </w:rPr>
        <w:t xml:space="preserve">schválený uznesením zastupiteľstva č. </w:t>
      </w:r>
      <w:r w:rsidR="00EC2E1A">
        <w:rPr>
          <w:rFonts w:cs="Calibri"/>
          <w:b/>
          <w:sz w:val="24"/>
          <w:szCs w:val="24"/>
        </w:rPr>
        <w:t>226</w:t>
      </w:r>
      <w:r w:rsidR="00BE704E">
        <w:rPr>
          <w:rFonts w:cs="Calibri"/>
          <w:b/>
          <w:sz w:val="24"/>
          <w:szCs w:val="24"/>
        </w:rPr>
        <w:t>/201</w:t>
      </w:r>
      <w:r w:rsidR="008232F8">
        <w:rPr>
          <w:rFonts w:cs="Calibri"/>
          <w:b/>
          <w:sz w:val="24"/>
          <w:szCs w:val="24"/>
        </w:rPr>
        <w:t>9</w:t>
      </w:r>
      <w:r w:rsidR="00BE704E" w:rsidRPr="00BD0B76">
        <w:rPr>
          <w:rFonts w:cs="Calibri"/>
          <w:sz w:val="24"/>
          <w:szCs w:val="24"/>
        </w:rPr>
        <w:t xml:space="preserve"> na riadnom zasadnutí Zastupiteľstva BSK dňa </w:t>
      </w:r>
      <w:r w:rsidR="008232F8">
        <w:rPr>
          <w:rFonts w:cs="Calibri"/>
          <w:sz w:val="24"/>
          <w:szCs w:val="24"/>
        </w:rPr>
        <w:t>1</w:t>
      </w:r>
      <w:r w:rsidR="00EC2E1A">
        <w:rPr>
          <w:rFonts w:cs="Calibri"/>
          <w:sz w:val="24"/>
          <w:szCs w:val="24"/>
        </w:rPr>
        <w:t>3</w:t>
      </w:r>
      <w:r w:rsidR="00BE704E" w:rsidRPr="00BD0B76">
        <w:rPr>
          <w:rFonts w:cs="Calibri"/>
          <w:sz w:val="24"/>
          <w:szCs w:val="24"/>
        </w:rPr>
        <w:t xml:space="preserve">. </w:t>
      </w:r>
      <w:r w:rsidR="008232F8">
        <w:rPr>
          <w:rFonts w:cs="Calibri"/>
          <w:sz w:val="24"/>
          <w:szCs w:val="24"/>
        </w:rPr>
        <w:t>decembra</w:t>
      </w:r>
      <w:r w:rsidR="00BE704E" w:rsidRPr="00BD0B76">
        <w:rPr>
          <w:rFonts w:cs="Calibri"/>
          <w:sz w:val="24"/>
          <w:szCs w:val="24"/>
        </w:rPr>
        <w:t xml:space="preserve"> 201</w:t>
      </w:r>
      <w:r w:rsidR="008232F8">
        <w:rPr>
          <w:rFonts w:cs="Calibri"/>
          <w:sz w:val="24"/>
          <w:szCs w:val="24"/>
        </w:rPr>
        <w:t>9</w:t>
      </w:r>
      <w:r w:rsidR="00BE704E" w:rsidRPr="00BD0B76">
        <w:rPr>
          <w:rFonts w:cs="Calibri"/>
          <w:sz w:val="24"/>
          <w:szCs w:val="24"/>
        </w:rPr>
        <w:t xml:space="preserve"> </w:t>
      </w:r>
      <w:r w:rsidR="00BE704E" w:rsidRPr="00BD0B76">
        <w:rPr>
          <w:rFonts w:cs="Calibri"/>
          <w:b/>
          <w:sz w:val="24"/>
          <w:szCs w:val="24"/>
        </w:rPr>
        <w:t>ako vyrovnaný</w:t>
      </w:r>
      <w:r w:rsidR="00BE704E" w:rsidRPr="00BD0B76">
        <w:rPr>
          <w:rFonts w:cs="Calibri"/>
          <w:sz w:val="24"/>
          <w:szCs w:val="24"/>
        </w:rPr>
        <w:t xml:space="preserve"> v príjmovej a výdavkovej časti </w:t>
      </w:r>
      <w:r w:rsidR="00BE704E" w:rsidRPr="00BD0B76">
        <w:rPr>
          <w:rFonts w:cs="Calibri"/>
          <w:b/>
          <w:sz w:val="24"/>
          <w:szCs w:val="24"/>
        </w:rPr>
        <w:t>vo výške</w:t>
      </w:r>
      <w:r w:rsidR="00BE704E" w:rsidRPr="00BD0B76">
        <w:rPr>
          <w:rFonts w:cs="Calibri"/>
          <w:sz w:val="24"/>
          <w:szCs w:val="24"/>
        </w:rPr>
        <w:t xml:space="preserve"> </w:t>
      </w:r>
      <w:r w:rsidR="00BE704E">
        <w:rPr>
          <w:rFonts w:cs="Calibri"/>
          <w:sz w:val="24"/>
          <w:szCs w:val="24"/>
        </w:rPr>
        <w:br/>
      </w:r>
      <w:r w:rsidR="00EC2E1A">
        <w:rPr>
          <w:rFonts w:cs="Calibri"/>
          <w:b/>
          <w:sz w:val="24"/>
          <w:szCs w:val="24"/>
        </w:rPr>
        <w:t>210 708 035,37</w:t>
      </w:r>
      <w:r w:rsidR="00BE704E">
        <w:rPr>
          <w:rFonts w:cs="Calibri"/>
          <w:b/>
          <w:sz w:val="24"/>
          <w:szCs w:val="24"/>
        </w:rPr>
        <w:t xml:space="preserve"> </w:t>
      </w:r>
      <w:r w:rsidR="00BE704E" w:rsidRPr="00BD0B76">
        <w:rPr>
          <w:rFonts w:cs="Calibri"/>
          <w:b/>
          <w:sz w:val="24"/>
          <w:szCs w:val="24"/>
        </w:rPr>
        <w:t>EUR</w:t>
      </w:r>
      <w:r w:rsidR="00BE704E" w:rsidRPr="00BD0B76">
        <w:rPr>
          <w:rFonts w:cs="Calibri"/>
          <w:sz w:val="24"/>
          <w:szCs w:val="24"/>
        </w:rPr>
        <w:t xml:space="preserve">. </w:t>
      </w:r>
    </w:p>
    <w:p w14:paraId="72C968F7" w14:textId="38B4BEF1" w:rsidR="00BE704E" w:rsidRPr="00BD0B76" w:rsidRDefault="00BE704E" w:rsidP="009D37EE">
      <w:pPr>
        <w:spacing w:after="120" w:line="240" w:lineRule="auto"/>
        <w:jc w:val="both"/>
        <w:rPr>
          <w:rFonts w:cs="Calibri"/>
          <w:sz w:val="24"/>
          <w:szCs w:val="24"/>
        </w:rPr>
      </w:pPr>
      <w:r w:rsidRPr="00BD0B76">
        <w:rPr>
          <w:sz w:val="24"/>
          <w:szCs w:val="24"/>
        </w:rPr>
        <w:t>Vývoj rozpočtového hospodárenia v priebehu roka 20</w:t>
      </w:r>
      <w:r w:rsidR="001E5F90">
        <w:rPr>
          <w:sz w:val="24"/>
          <w:szCs w:val="24"/>
        </w:rPr>
        <w:t>20</w:t>
      </w:r>
      <w:r w:rsidRPr="00BD0B76">
        <w:rPr>
          <w:sz w:val="24"/>
          <w:szCs w:val="24"/>
        </w:rPr>
        <w:t xml:space="preserve"> si vyžiadal korekciu viacerých rozpočtovaných príjmových a výdavkových položiek. Ich úpravy sa realizovali na základe schválenia zmien rozpočtu zastupiteľstvom BSK (</w:t>
      </w:r>
      <w:r w:rsidRPr="00BD0B76">
        <w:rPr>
          <w:rFonts w:cs="Calibri"/>
          <w:sz w:val="24"/>
          <w:szCs w:val="24"/>
        </w:rPr>
        <w:t xml:space="preserve">UZN č. </w:t>
      </w:r>
      <w:r w:rsidR="001E5F90">
        <w:rPr>
          <w:rFonts w:cs="Calibri"/>
          <w:sz w:val="24"/>
          <w:szCs w:val="24"/>
        </w:rPr>
        <w:t>247</w:t>
      </w:r>
      <w:r>
        <w:rPr>
          <w:rFonts w:cs="Calibri"/>
          <w:sz w:val="24"/>
          <w:szCs w:val="24"/>
        </w:rPr>
        <w:t>/</w:t>
      </w:r>
      <w:r w:rsidRPr="00BD0B76">
        <w:rPr>
          <w:rFonts w:cs="Calibri"/>
          <w:sz w:val="24"/>
          <w:szCs w:val="24"/>
        </w:rPr>
        <w:t>20</w:t>
      </w:r>
      <w:r w:rsidR="001E5F90">
        <w:rPr>
          <w:rFonts w:cs="Calibri"/>
          <w:sz w:val="24"/>
          <w:szCs w:val="24"/>
        </w:rPr>
        <w:t>20</w:t>
      </w:r>
      <w:r w:rsidRPr="00BD0B76">
        <w:rPr>
          <w:rFonts w:cs="Calibri"/>
          <w:sz w:val="24"/>
          <w:szCs w:val="24"/>
        </w:rPr>
        <w:t xml:space="preserve"> zo dňa </w:t>
      </w:r>
      <w:r w:rsidR="001E5F90">
        <w:rPr>
          <w:rFonts w:cs="Calibri"/>
          <w:sz w:val="24"/>
          <w:szCs w:val="24"/>
        </w:rPr>
        <w:t>29</w:t>
      </w:r>
      <w:r w:rsidRPr="00BD0B76">
        <w:rPr>
          <w:rFonts w:cs="Calibri"/>
          <w:sz w:val="24"/>
          <w:szCs w:val="24"/>
        </w:rPr>
        <w:t>.</w:t>
      </w:r>
      <w:r w:rsidR="008232F8">
        <w:rPr>
          <w:rFonts w:cs="Calibri"/>
          <w:sz w:val="24"/>
          <w:szCs w:val="24"/>
        </w:rPr>
        <w:t>0</w:t>
      </w:r>
      <w:r w:rsidR="001E5F90">
        <w:rPr>
          <w:rFonts w:cs="Calibri"/>
          <w:sz w:val="24"/>
          <w:szCs w:val="24"/>
        </w:rPr>
        <w:t>5</w:t>
      </w:r>
      <w:r w:rsidRPr="00BD0B76">
        <w:rPr>
          <w:rFonts w:cs="Calibri"/>
          <w:sz w:val="24"/>
          <w:szCs w:val="24"/>
        </w:rPr>
        <w:t>.20</w:t>
      </w:r>
      <w:r w:rsidR="001E5F90">
        <w:rPr>
          <w:rFonts w:cs="Calibri"/>
          <w:sz w:val="24"/>
          <w:szCs w:val="24"/>
        </w:rPr>
        <w:t>20</w:t>
      </w:r>
      <w:r w:rsidRPr="00BD0B76">
        <w:rPr>
          <w:rFonts w:cs="Calibri"/>
          <w:sz w:val="24"/>
          <w:szCs w:val="24"/>
        </w:rPr>
        <w:t xml:space="preserve">,  UZN č. </w:t>
      </w:r>
      <w:r w:rsidR="001E5F90">
        <w:rPr>
          <w:rFonts w:cs="Calibri"/>
          <w:sz w:val="24"/>
          <w:szCs w:val="24"/>
        </w:rPr>
        <w:t>300</w:t>
      </w:r>
      <w:r w:rsidRPr="00BD0B76">
        <w:rPr>
          <w:rFonts w:cs="Calibri"/>
          <w:sz w:val="24"/>
          <w:szCs w:val="24"/>
        </w:rPr>
        <w:t>/20</w:t>
      </w:r>
      <w:r w:rsidR="001E5F90">
        <w:rPr>
          <w:rFonts w:cs="Calibri"/>
          <w:sz w:val="24"/>
          <w:szCs w:val="24"/>
        </w:rPr>
        <w:t>20</w:t>
      </w:r>
      <w:r w:rsidRPr="00BD0B76">
        <w:rPr>
          <w:rFonts w:cs="Calibri"/>
          <w:sz w:val="24"/>
          <w:szCs w:val="24"/>
        </w:rPr>
        <w:t xml:space="preserve">  zo dňa </w:t>
      </w:r>
      <w:r w:rsidR="001E5F90">
        <w:rPr>
          <w:rFonts w:cs="Calibri"/>
          <w:sz w:val="24"/>
          <w:szCs w:val="24"/>
        </w:rPr>
        <w:t>16</w:t>
      </w:r>
      <w:r w:rsidR="008232F8">
        <w:rPr>
          <w:rFonts w:cs="Calibri"/>
          <w:sz w:val="24"/>
          <w:szCs w:val="24"/>
        </w:rPr>
        <w:t>.1</w:t>
      </w:r>
      <w:r w:rsidR="001E5F90">
        <w:rPr>
          <w:rFonts w:cs="Calibri"/>
          <w:sz w:val="24"/>
          <w:szCs w:val="24"/>
        </w:rPr>
        <w:t>0</w:t>
      </w:r>
      <w:r w:rsidRPr="00BD0B76">
        <w:rPr>
          <w:rFonts w:cs="Calibri"/>
          <w:sz w:val="24"/>
          <w:szCs w:val="24"/>
        </w:rPr>
        <w:t>.20</w:t>
      </w:r>
      <w:r w:rsidR="001E5F90">
        <w:rPr>
          <w:rFonts w:cs="Calibri"/>
          <w:sz w:val="24"/>
          <w:szCs w:val="24"/>
        </w:rPr>
        <w:t>20 a UZN č. 319/2020 zo dňa 18.12.2020</w:t>
      </w:r>
      <w:r w:rsidRPr="00BD0B76">
        <w:rPr>
          <w:sz w:val="24"/>
          <w:szCs w:val="24"/>
        </w:rPr>
        <w:t xml:space="preserve">) ako aj v rámci splnomocnenia predsedu samosprávneho kraja zastupiteľstvom BSK. Okrem toho zmeny rozpočtu zohľadňujú aj úpravy účelových dotácii zo štátneho rozpočtu, </w:t>
      </w:r>
      <w:r w:rsidR="00DE5696">
        <w:rPr>
          <w:sz w:val="24"/>
          <w:szCs w:val="24"/>
        </w:rPr>
        <w:br/>
      </w:r>
      <w:r w:rsidRPr="00BD0B76">
        <w:rPr>
          <w:sz w:val="24"/>
          <w:szCs w:val="24"/>
        </w:rPr>
        <w:t xml:space="preserve">z prostriedkov EÚ, </w:t>
      </w:r>
      <w:r w:rsidR="00DE5696">
        <w:rPr>
          <w:sz w:val="24"/>
          <w:szCs w:val="24"/>
        </w:rPr>
        <w:t xml:space="preserve">z </w:t>
      </w:r>
      <w:r w:rsidRPr="00BD0B76">
        <w:rPr>
          <w:sz w:val="24"/>
          <w:szCs w:val="24"/>
        </w:rPr>
        <w:t>darov, ktoré v zmysle zákona o rozpočtových pravidlách územnej samosprávy zastupiteľstvo BSK neschvaľuje.</w:t>
      </w:r>
      <w:r w:rsidRPr="00BD0B76">
        <w:rPr>
          <w:rFonts w:cs="Calibri"/>
          <w:sz w:val="24"/>
          <w:szCs w:val="24"/>
        </w:rPr>
        <w:t xml:space="preserve"> V rámci úprav jednotlivých položiek </w:t>
      </w:r>
      <w:r w:rsidRPr="007078D4">
        <w:rPr>
          <w:rFonts w:cs="Calibri"/>
          <w:b/>
          <w:bCs/>
          <w:sz w:val="24"/>
          <w:szCs w:val="24"/>
        </w:rPr>
        <w:t>rozpočtu BSK v priebehu rozpočtového roka 20</w:t>
      </w:r>
      <w:r w:rsidR="001E5F90" w:rsidRPr="007078D4">
        <w:rPr>
          <w:rFonts w:cs="Calibri"/>
          <w:b/>
          <w:bCs/>
          <w:sz w:val="24"/>
          <w:szCs w:val="24"/>
        </w:rPr>
        <w:t>20</w:t>
      </w:r>
      <w:r w:rsidRPr="007078D4">
        <w:rPr>
          <w:rFonts w:cs="Calibri"/>
          <w:b/>
          <w:bCs/>
          <w:sz w:val="24"/>
          <w:szCs w:val="24"/>
        </w:rPr>
        <w:t xml:space="preserve"> bol rozpočet BSK celkovo </w:t>
      </w:r>
      <w:r w:rsidR="001E5F90" w:rsidRPr="007078D4">
        <w:rPr>
          <w:rFonts w:cs="Calibri"/>
          <w:b/>
          <w:bCs/>
          <w:sz w:val="24"/>
          <w:szCs w:val="24"/>
        </w:rPr>
        <w:t>znížený o 387 793,35  EUR</w:t>
      </w:r>
      <w:r w:rsidR="001E5F90">
        <w:rPr>
          <w:rFonts w:cs="Calibri"/>
          <w:sz w:val="24"/>
          <w:szCs w:val="24"/>
        </w:rPr>
        <w:t xml:space="preserve"> </w:t>
      </w:r>
      <w:r w:rsidRPr="00BD0B76">
        <w:rPr>
          <w:rFonts w:cs="Calibri"/>
          <w:sz w:val="24"/>
          <w:szCs w:val="24"/>
        </w:rPr>
        <w:t xml:space="preserve">a </w:t>
      </w:r>
      <w:r w:rsidRPr="00BD0B76">
        <w:rPr>
          <w:rFonts w:cs="Calibri"/>
          <w:b/>
          <w:sz w:val="24"/>
          <w:szCs w:val="24"/>
        </w:rPr>
        <w:t>na konci</w:t>
      </w:r>
      <w:r w:rsidRPr="00BD0B76">
        <w:rPr>
          <w:rFonts w:cs="Calibri"/>
          <w:sz w:val="24"/>
          <w:szCs w:val="24"/>
        </w:rPr>
        <w:t xml:space="preserve"> rozpočtového </w:t>
      </w:r>
      <w:r w:rsidRPr="00BD0B76">
        <w:rPr>
          <w:rFonts w:cs="Calibri"/>
          <w:b/>
          <w:sz w:val="24"/>
          <w:szCs w:val="24"/>
        </w:rPr>
        <w:t>roka 20</w:t>
      </w:r>
      <w:r w:rsidR="001E5F90">
        <w:rPr>
          <w:rFonts w:cs="Calibri"/>
          <w:b/>
          <w:sz w:val="24"/>
          <w:szCs w:val="24"/>
        </w:rPr>
        <w:t>20</w:t>
      </w:r>
      <w:r w:rsidRPr="00BD0B76">
        <w:rPr>
          <w:rFonts w:cs="Calibri"/>
          <w:b/>
          <w:sz w:val="24"/>
          <w:szCs w:val="24"/>
        </w:rPr>
        <w:t xml:space="preserve"> dosiahol upravený rozpočet objem</w:t>
      </w:r>
      <w:r w:rsidRPr="00BD0B76">
        <w:rPr>
          <w:rFonts w:ascii="Arial" w:hAnsi="Arial" w:cs="Arial"/>
          <w:b/>
          <w:sz w:val="24"/>
          <w:szCs w:val="24"/>
          <w:lang w:eastAsia="sk-SK"/>
        </w:rPr>
        <w:t xml:space="preserve"> </w:t>
      </w:r>
      <w:r w:rsidRPr="00BD0B76">
        <w:rPr>
          <w:rFonts w:cs="Calibri"/>
          <w:b/>
          <w:sz w:val="24"/>
          <w:szCs w:val="24"/>
        </w:rPr>
        <w:t>v príjmovej aj výdavkovej časti</w:t>
      </w:r>
      <w:r w:rsidRPr="00BD0B76">
        <w:rPr>
          <w:rFonts w:ascii="Arial" w:hAnsi="Arial" w:cs="Arial"/>
          <w:b/>
          <w:sz w:val="24"/>
          <w:szCs w:val="24"/>
          <w:lang w:eastAsia="sk-SK"/>
        </w:rPr>
        <w:t xml:space="preserve"> </w:t>
      </w:r>
      <w:r w:rsidR="001E5F90">
        <w:rPr>
          <w:rFonts w:cs="Calibri"/>
          <w:b/>
          <w:sz w:val="24"/>
          <w:szCs w:val="24"/>
        </w:rPr>
        <w:t>210 320 242,02 EUR.</w:t>
      </w:r>
    </w:p>
    <w:p w14:paraId="33CCCD95" w14:textId="090DFD2B" w:rsidR="00BE704E" w:rsidRPr="00B05637" w:rsidRDefault="00BE704E" w:rsidP="009D37EE">
      <w:pPr>
        <w:pStyle w:val="Hlavika"/>
        <w:tabs>
          <w:tab w:val="clear" w:pos="4536"/>
          <w:tab w:val="clear" w:pos="9072"/>
          <w:tab w:val="left" w:pos="3105"/>
        </w:tabs>
        <w:rPr>
          <w:rFonts w:ascii="Calibri" w:hAnsi="Calibri" w:cs="Calibri"/>
          <w:b/>
          <w:szCs w:val="24"/>
          <w:u w:val="single"/>
          <w:lang w:val="sk-SK"/>
        </w:rPr>
      </w:pPr>
      <w:r w:rsidRPr="00BD0B76">
        <w:rPr>
          <w:rFonts w:ascii="Calibri" w:hAnsi="Calibri" w:cs="Calibri"/>
          <w:szCs w:val="24"/>
          <w:lang w:val="sk-SK"/>
        </w:rPr>
        <w:t>Bratislavský samosprávny kraj k</w:t>
      </w:r>
      <w:r w:rsidRPr="00BD0B76">
        <w:rPr>
          <w:rFonts w:ascii="Calibri" w:hAnsi="Calibri" w:cs="Calibri"/>
          <w:b/>
          <w:szCs w:val="24"/>
          <w:lang w:val="sk-SK"/>
        </w:rPr>
        <w:t> 31.12.20</w:t>
      </w:r>
      <w:r w:rsidR="00300A31">
        <w:rPr>
          <w:rFonts w:ascii="Calibri" w:hAnsi="Calibri" w:cs="Calibri"/>
          <w:b/>
          <w:szCs w:val="24"/>
          <w:lang w:val="sk-SK"/>
        </w:rPr>
        <w:t>20</w:t>
      </w:r>
      <w:r w:rsidRPr="00BD0B76">
        <w:rPr>
          <w:rFonts w:ascii="Calibri" w:hAnsi="Calibri" w:cs="Calibri"/>
          <w:b/>
          <w:szCs w:val="24"/>
          <w:lang w:val="sk-SK"/>
        </w:rPr>
        <w:t xml:space="preserve"> vykazuje </w:t>
      </w:r>
      <w:r w:rsidRPr="00BD0B76">
        <w:rPr>
          <w:rFonts w:ascii="Calibri" w:hAnsi="Calibri" w:cs="Calibri"/>
          <w:szCs w:val="24"/>
          <w:lang w:val="sk-SK"/>
        </w:rPr>
        <w:t xml:space="preserve">skutočné plnenie príjmov a príjmových finančných operácií vo výške  </w:t>
      </w:r>
      <w:r w:rsidR="00C03CC4" w:rsidRPr="00C03CC4">
        <w:rPr>
          <w:rFonts w:ascii="Calibri" w:hAnsi="Calibri" w:cs="Calibri"/>
          <w:b/>
          <w:szCs w:val="24"/>
          <w:lang w:val="sk-SK"/>
        </w:rPr>
        <w:t>196 565 475,81</w:t>
      </w:r>
      <w:r w:rsidR="00C03CC4">
        <w:rPr>
          <w:rFonts w:ascii="Calibri" w:hAnsi="Calibri" w:cs="Calibri"/>
          <w:b/>
          <w:szCs w:val="24"/>
          <w:lang w:val="sk-SK"/>
        </w:rPr>
        <w:t xml:space="preserve"> </w:t>
      </w:r>
      <w:r w:rsidRPr="00BD0B76">
        <w:rPr>
          <w:rFonts w:ascii="Calibri" w:hAnsi="Calibri" w:cs="Calibri"/>
          <w:b/>
          <w:szCs w:val="24"/>
          <w:lang w:val="sk-SK"/>
        </w:rPr>
        <w:t xml:space="preserve">EUR a </w:t>
      </w:r>
      <w:r w:rsidRPr="00BD0B76">
        <w:rPr>
          <w:rFonts w:ascii="Calibri" w:hAnsi="Calibri" w:cs="Calibri"/>
          <w:szCs w:val="24"/>
          <w:lang w:val="sk-SK"/>
        </w:rPr>
        <w:t xml:space="preserve">skutočné čerpanie výdavkov a výdavkových finančných operácií vo výške  </w:t>
      </w:r>
      <w:r w:rsidR="00C03CC4" w:rsidRPr="00C03CC4">
        <w:rPr>
          <w:rFonts w:ascii="Calibri" w:hAnsi="Calibri" w:cs="Calibri"/>
          <w:b/>
          <w:szCs w:val="24"/>
          <w:lang w:val="sk-SK"/>
        </w:rPr>
        <w:t>170 448 323,46</w:t>
      </w:r>
      <w:r w:rsidR="00C03CC4">
        <w:rPr>
          <w:rFonts w:ascii="Calibri" w:hAnsi="Calibri" w:cs="Calibri"/>
          <w:b/>
          <w:szCs w:val="24"/>
          <w:lang w:val="sk-SK"/>
        </w:rPr>
        <w:t xml:space="preserve"> </w:t>
      </w:r>
      <w:r w:rsidRPr="00BD0B76">
        <w:rPr>
          <w:rFonts w:ascii="Calibri" w:hAnsi="Calibri" w:cs="Calibri"/>
          <w:b/>
          <w:szCs w:val="24"/>
          <w:lang w:val="sk-SK"/>
        </w:rPr>
        <w:t>EUR</w:t>
      </w:r>
      <w:r w:rsidRPr="00BD0B76">
        <w:rPr>
          <w:rFonts w:ascii="Calibri" w:hAnsi="Calibri" w:cs="Calibri"/>
          <w:szCs w:val="24"/>
          <w:lang w:val="sk-SK"/>
        </w:rPr>
        <w:t xml:space="preserve">. </w:t>
      </w:r>
      <w:r w:rsidRPr="00BD0B76">
        <w:rPr>
          <w:rFonts w:ascii="Calibri" w:hAnsi="Calibri" w:cs="Calibri"/>
          <w:b/>
          <w:szCs w:val="24"/>
          <w:lang w:val="sk-SK"/>
        </w:rPr>
        <w:t>Rozdiel</w:t>
      </w:r>
      <w:r w:rsidRPr="00BD0B76">
        <w:rPr>
          <w:rFonts w:ascii="Calibri" w:hAnsi="Calibri" w:cs="Calibri"/>
          <w:szCs w:val="24"/>
          <w:lang w:val="sk-SK"/>
        </w:rPr>
        <w:t xml:space="preserve"> v plnení príjmovej časti rozpočtu a čerpaní výdavkovej časti rozpočtu na konci roka je vo výške </w:t>
      </w:r>
      <w:r w:rsidR="00C03CC4" w:rsidRPr="00C03CC4">
        <w:rPr>
          <w:rFonts w:ascii="Calibri" w:hAnsi="Calibri" w:cs="Calibri"/>
          <w:b/>
          <w:szCs w:val="24"/>
          <w:lang w:val="sk-SK"/>
        </w:rPr>
        <w:t>26 117 152,35</w:t>
      </w:r>
      <w:r w:rsidR="00C03CC4">
        <w:rPr>
          <w:rFonts w:ascii="Calibri" w:hAnsi="Calibri" w:cs="Calibri"/>
          <w:b/>
          <w:szCs w:val="24"/>
          <w:lang w:val="sk-SK"/>
        </w:rPr>
        <w:t xml:space="preserve"> </w:t>
      </w:r>
      <w:r w:rsidRPr="00BD0B76">
        <w:rPr>
          <w:rFonts w:ascii="Calibri" w:hAnsi="Calibri" w:cs="Calibri"/>
          <w:b/>
          <w:szCs w:val="24"/>
          <w:lang w:val="sk-SK"/>
        </w:rPr>
        <w:t>EUR</w:t>
      </w:r>
      <w:r w:rsidRPr="00BD0B76">
        <w:rPr>
          <w:rFonts w:ascii="Calibri" w:hAnsi="Calibri" w:cs="Calibri"/>
          <w:szCs w:val="24"/>
          <w:lang w:val="sk-SK"/>
        </w:rPr>
        <w:t xml:space="preserve">.  Tento rozdiel sa, v zmysle platného znenia § 16 zákona </w:t>
      </w:r>
      <w:r w:rsidR="00DE5696">
        <w:rPr>
          <w:rFonts w:ascii="Calibri" w:hAnsi="Calibri" w:cs="Calibri"/>
          <w:szCs w:val="24"/>
          <w:lang w:val="sk-SK"/>
        </w:rPr>
        <w:br/>
      </w:r>
      <w:r w:rsidRPr="00BD0B76">
        <w:rPr>
          <w:rFonts w:ascii="Calibri" w:hAnsi="Calibri" w:cs="Calibri"/>
          <w:szCs w:val="24"/>
          <w:lang w:val="sk-SK"/>
        </w:rPr>
        <w:t xml:space="preserve">o rozpočtových pravidlách územnej samosprávy,  </w:t>
      </w:r>
      <w:r w:rsidRPr="00BD0B76">
        <w:rPr>
          <w:rFonts w:ascii="Calibri" w:hAnsi="Calibri" w:cs="Calibri"/>
          <w:b/>
          <w:szCs w:val="24"/>
          <w:lang w:val="sk-SK"/>
        </w:rPr>
        <w:t>upravuje</w:t>
      </w:r>
      <w:r w:rsidRPr="00BD0B76">
        <w:rPr>
          <w:rFonts w:ascii="Calibri" w:hAnsi="Calibri" w:cs="Calibri"/>
          <w:szCs w:val="24"/>
          <w:lang w:val="sk-SK"/>
        </w:rPr>
        <w:t xml:space="preserve"> </w:t>
      </w:r>
      <w:r w:rsidRPr="00BD0B76">
        <w:rPr>
          <w:rFonts w:ascii="Calibri" w:hAnsi="Calibri" w:cs="Calibri"/>
          <w:b/>
          <w:szCs w:val="24"/>
          <w:lang w:val="sk-SK"/>
        </w:rPr>
        <w:t>o</w:t>
      </w:r>
      <w:r w:rsidRPr="00BD0B76">
        <w:rPr>
          <w:rFonts w:ascii="Calibri" w:hAnsi="Calibri" w:cs="Calibri"/>
          <w:szCs w:val="24"/>
          <w:lang w:val="sk-SK"/>
        </w:rPr>
        <w:t> </w:t>
      </w:r>
      <w:r w:rsidRPr="00BD0B76">
        <w:rPr>
          <w:rFonts w:ascii="Calibri" w:hAnsi="Calibri" w:cs="Calibri"/>
          <w:b/>
          <w:szCs w:val="24"/>
          <w:lang w:val="sk-SK"/>
        </w:rPr>
        <w:t>nevyčerpan</w:t>
      </w:r>
      <w:r>
        <w:rPr>
          <w:rFonts w:ascii="Calibri" w:hAnsi="Calibri" w:cs="Calibri"/>
          <w:b/>
          <w:szCs w:val="24"/>
          <w:lang w:val="sk-SK"/>
        </w:rPr>
        <w:t>é</w:t>
      </w:r>
      <w:r w:rsidRPr="00BD0B76">
        <w:rPr>
          <w:rFonts w:ascii="Calibri" w:hAnsi="Calibri" w:cs="Calibri"/>
          <w:b/>
          <w:szCs w:val="24"/>
          <w:lang w:val="sk-SK"/>
        </w:rPr>
        <w:t xml:space="preserve"> dotácie zo ŠR,  </w:t>
      </w:r>
      <w:r>
        <w:rPr>
          <w:rFonts w:ascii="Calibri" w:hAnsi="Calibri" w:cs="Calibri"/>
          <w:b/>
          <w:szCs w:val="24"/>
          <w:lang w:val="sk-SK"/>
        </w:rPr>
        <w:t>o zostatky finančných prostriedkov na samostatných účtoch zariadení v zriaďovateľskej pôsobnosti BSK,</w:t>
      </w:r>
      <w:r w:rsidRPr="00BD0B76">
        <w:rPr>
          <w:rFonts w:ascii="Calibri" w:hAnsi="Calibri" w:cs="Calibri"/>
          <w:szCs w:val="24"/>
          <w:lang w:val="sk-SK"/>
        </w:rPr>
        <w:t xml:space="preserve"> </w:t>
      </w:r>
      <w:r w:rsidRPr="00BD0B76">
        <w:rPr>
          <w:rFonts w:ascii="Calibri" w:hAnsi="Calibri" w:cs="Calibri"/>
          <w:b/>
          <w:szCs w:val="24"/>
          <w:lang w:val="sk-SK"/>
        </w:rPr>
        <w:t>z projektov EÚ</w:t>
      </w:r>
      <w:r>
        <w:rPr>
          <w:rFonts w:ascii="Calibri" w:hAnsi="Calibri" w:cs="Calibri"/>
          <w:b/>
          <w:szCs w:val="24"/>
          <w:lang w:val="sk-SK"/>
        </w:rPr>
        <w:t xml:space="preserve">, </w:t>
      </w:r>
      <w:r w:rsidRPr="00BD0B76">
        <w:rPr>
          <w:rFonts w:ascii="Calibri" w:hAnsi="Calibri" w:cs="Calibri"/>
          <w:b/>
          <w:szCs w:val="24"/>
          <w:lang w:val="sk-SK"/>
        </w:rPr>
        <w:t xml:space="preserve">a  o iné  </w:t>
      </w:r>
      <w:r w:rsidRPr="00903665">
        <w:rPr>
          <w:rFonts w:ascii="Calibri" w:hAnsi="Calibri" w:cs="Calibri"/>
          <w:b/>
          <w:szCs w:val="24"/>
          <w:lang w:val="sk-SK"/>
        </w:rPr>
        <w:t>záväzky  v celkovej výške</w:t>
      </w:r>
      <w:r w:rsidRPr="00903665">
        <w:rPr>
          <w:rFonts w:ascii="Calibri" w:hAnsi="Calibri" w:cs="Calibri"/>
          <w:szCs w:val="24"/>
          <w:lang w:val="sk-SK"/>
        </w:rPr>
        <w:t xml:space="preserve"> </w:t>
      </w:r>
      <w:r w:rsidR="00E359A5" w:rsidRPr="00E359A5">
        <w:rPr>
          <w:rFonts w:asciiTheme="minorHAnsi" w:hAnsiTheme="minorHAnsi" w:cs="Calibri"/>
          <w:b/>
          <w:bCs/>
          <w:szCs w:val="24"/>
        </w:rPr>
        <w:t>4 282 640,58</w:t>
      </w:r>
      <w:r w:rsidR="00E359A5">
        <w:rPr>
          <w:rFonts w:asciiTheme="minorHAnsi" w:hAnsiTheme="minorHAnsi" w:cs="Calibri"/>
          <w:b/>
          <w:bCs/>
          <w:szCs w:val="24"/>
        </w:rPr>
        <w:t xml:space="preserve"> </w:t>
      </w:r>
      <w:r w:rsidRPr="00AB5525">
        <w:rPr>
          <w:rFonts w:asciiTheme="minorHAnsi" w:hAnsiTheme="minorHAnsi" w:cs="Calibri"/>
          <w:b/>
          <w:bCs/>
          <w:szCs w:val="24"/>
        </w:rPr>
        <w:t>EUR</w:t>
      </w:r>
      <w:r w:rsidRPr="00AB5525">
        <w:rPr>
          <w:rFonts w:ascii="Calibri" w:hAnsi="Calibri" w:cs="Calibri"/>
          <w:b/>
          <w:szCs w:val="24"/>
          <w:lang w:val="sk-SK"/>
        </w:rPr>
        <w:t xml:space="preserve">, </w:t>
      </w:r>
      <w:r w:rsidRPr="00AB5525">
        <w:rPr>
          <w:rFonts w:ascii="Calibri" w:hAnsi="Calibri" w:cs="Calibri"/>
          <w:szCs w:val="24"/>
          <w:lang w:val="sk-SK"/>
        </w:rPr>
        <w:t>ktoré môže BSK</w:t>
      </w:r>
      <w:r w:rsidRPr="00AB5525">
        <w:rPr>
          <w:rFonts w:ascii="Calibri" w:hAnsi="Calibri" w:cs="Calibri"/>
          <w:b/>
          <w:szCs w:val="24"/>
          <w:lang w:val="sk-SK"/>
        </w:rPr>
        <w:t xml:space="preserve"> </w:t>
      </w:r>
      <w:r w:rsidR="008232F8" w:rsidRPr="00AB5525">
        <w:rPr>
          <w:rFonts w:ascii="Calibri" w:hAnsi="Calibri" w:cs="Calibri"/>
          <w:szCs w:val="24"/>
          <w:lang w:val="sk-SK"/>
        </w:rPr>
        <w:t xml:space="preserve">vrátane </w:t>
      </w:r>
      <w:proofErr w:type="spellStart"/>
      <w:r w:rsidR="008232F8" w:rsidRPr="00AB5525">
        <w:rPr>
          <w:rFonts w:ascii="Calibri" w:hAnsi="Calibri" w:cs="Calibri"/>
          <w:szCs w:val="24"/>
          <w:lang w:val="sk-SK"/>
        </w:rPr>
        <w:t>svojích</w:t>
      </w:r>
      <w:proofErr w:type="spellEnd"/>
      <w:r w:rsidR="008232F8" w:rsidRPr="00AB5525">
        <w:rPr>
          <w:rFonts w:ascii="Calibri" w:hAnsi="Calibri" w:cs="Calibri"/>
          <w:szCs w:val="24"/>
          <w:lang w:val="sk-SK"/>
        </w:rPr>
        <w:t xml:space="preserve"> rozpočtových</w:t>
      </w:r>
      <w:r w:rsidR="008232F8" w:rsidRPr="00AB5525">
        <w:rPr>
          <w:rFonts w:ascii="Calibri" w:hAnsi="Calibri" w:cs="Calibri"/>
          <w:b/>
          <w:szCs w:val="24"/>
          <w:lang w:val="sk-SK"/>
        </w:rPr>
        <w:t xml:space="preserve"> </w:t>
      </w:r>
      <w:r w:rsidRPr="00AB5525">
        <w:rPr>
          <w:rFonts w:ascii="Calibri" w:hAnsi="Calibri" w:cs="Calibri"/>
          <w:szCs w:val="24"/>
          <w:lang w:val="sk-SK"/>
        </w:rPr>
        <w:t>organizáci</w:t>
      </w:r>
      <w:r w:rsidR="008232F8" w:rsidRPr="00AB5525">
        <w:rPr>
          <w:rFonts w:ascii="Calibri" w:hAnsi="Calibri" w:cs="Calibri"/>
          <w:szCs w:val="24"/>
          <w:lang w:val="sk-SK"/>
        </w:rPr>
        <w:t>i</w:t>
      </w:r>
      <w:r w:rsidRPr="00AB5525">
        <w:rPr>
          <w:rFonts w:ascii="Calibri" w:hAnsi="Calibri" w:cs="Calibri"/>
          <w:b/>
          <w:szCs w:val="24"/>
          <w:lang w:val="sk-SK"/>
        </w:rPr>
        <w:t xml:space="preserve"> </w:t>
      </w:r>
      <w:r w:rsidRPr="00AB5525">
        <w:rPr>
          <w:rFonts w:ascii="Calibri" w:hAnsi="Calibri" w:cs="Calibri"/>
          <w:szCs w:val="24"/>
          <w:lang w:val="sk-SK"/>
        </w:rPr>
        <w:t xml:space="preserve">použiť v nasledujúcom rozpočtovom roku. </w:t>
      </w:r>
      <w:r w:rsidRPr="00AB5525">
        <w:rPr>
          <w:rFonts w:ascii="Calibri" w:hAnsi="Calibri" w:cs="Calibri"/>
          <w:b/>
          <w:szCs w:val="24"/>
          <w:u w:val="single"/>
          <w:lang w:val="sk-SK"/>
        </w:rPr>
        <w:t xml:space="preserve">Zostatok finančných operácii za uplynulý rozpočtový rok je po úprave </w:t>
      </w:r>
      <w:r w:rsidRPr="00AB5525">
        <w:rPr>
          <w:rFonts w:asciiTheme="minorHAnsi" w:hAnsiTheme="minorHAnsi" w:cs="Calibri"/>
          <w:b/>
          <w:szCs w:val="24"/>
          <w:u w:val="single"/>
          <w:lang w:val="sk-SK"/>
        </w:rPr>
        <w:t xml:space="preserve">vo výške </w:t>
      </w:r>
      <w:r w:rsidR="00E359A5" w:rsidRPr="00E359A5">
        <w:rPr>
          <w:rFonts w:asciiTheme="minorHAnsi" w:hAnsiTheme="minorHAnsi" w:cs="Calibri"/>
          <w:b/>
          <w:szCs w:val="24"/>
          <w:u w:val="single"/>
          <w:lang w:val="sk-SK"/>
        </w:rPr>
        <w:t>21 834 511,77</w:t>
      </w:r>
      <w:r w:rsidR="00E359A5">
        <w:rPr>
          <w:rFonts w:asciiTheme="minorHAnsi" w:hAnsiTheme="minorHAnsi" w:cs="Calibri"/>
          <w:b/>
          <w:szCs w:val="24"/>
          <w:u w:val="single"/>
          <w:lang w:val="sk-SK"/>
        </w:rPr>
        <w:t xml:space="preserve"> </w:t>
      </w:r>
      <w:r w:rsidR="00903665" w:rsidRPr="00AB5525">
        <w:rPr>
          <w:rFonts w:asciiTheme="minorHAnsi" w:hAnsiTheme="minorHAnsi" w:cs="Calibri"/>
          <w:b/>
          <w:szCs w:val="24"/>
          <w:u w:val="single"/>
          <w:lang w:val="sk-SK"/>
        </w:rPr>
        <w:t>EUR</w:t>
      </w:r>
      <w:r w:rsidRPr="00AB5525">
        <w:rPr>
          <w:rFonts w:ascii="Calibri" w:hAnsi="Calibri" w:cs="Calibri"/>
          <w:b/>
          <w:szCs w:val="24"/>
          <w:u w:val="single"/>
          <w:lang w:val="sk-SK"/>
        </w:rPr>
        <w:t>.</w:t>
      </w:r>
      <w:r w:rsidRPr="00AB5525">
        <w:rPr>
          <w:rFonts w:ascii="Calibri" w:hAnsi="Calibri" w:cs="Calibri"/>
          <w:b/>
          <w:szCs w:val="24"/>
          <w:lang w:val="sk-SK"/>
        </w:rPr>
        <w:t xml:space="preserve"> </w:t>
      </w:r>
      <w:r w:rsidRPr="00AB5525">
        <w:rPr>
          <w:rFonts w:ascii="Calibri" w:hAnsi="Calibri" w:cs="Calibri"/>
          <w:szCs w:val="24"/>
          <w:lang w:val="sk-SK"/>
        </w:rPr>
        <w:t>Podrobne</w:t>
      </w:r>
      <w:r w:rsidRPr="00BD0B76">
        <w:rPr>
          <w:rFonts w:ascii="Calibri" w:hAnsi="Calibri" w:cs="Calibri"/>
          <w:szCs w:val="24"/>
          <w:lang w:val="sk-SK"/>
        </w:rPr>
        <w:t xml:space="preserve"> rozpísané </w:t>
      </w:r>
      <w:r w:rsidR="00380467">
        <w:rPr>
          <w:rFonts w:ascii="Calibri" w:hAnsi="Calibri" w:cs="Calibri"/>
          <w:szCs w:val="24"/>
          <w:lang w:val="sk-SK"/>
        </w:rPr>
        <w:t>od</w:t>
      </w:r>
      <w:r w:rsidRPr="00BD0B76">
        <w:rPr>
          <w:rFonts w:ascii="Calibri" w:hAnsi="Calibri" w:cs="Calibri"/>
          <w:szCs w:val="24"/>
          <w:lang w:val="sk-SK"/>
        </w:rPr>
        <w:t xml:space="preserve"> str. 2</w:t>
      </w:r>
      <w:r w:rsidR="00F52943">
        <w:rPr>
          <w:rFonts w:ascii="Calibri" w:hAnsi="Calibri" w:cs="Calibri"/>
          <w:szCs w:val="24"/>
          <w:lang w:val="sk-SK"/>
        </w:rPr>
        <w:t>6</w:t>
      </w:r>
      <w:r w:rsidR="00380467">
        <w:rPr>
          <w:rFonts w:ascii="Calibri" w:hAnsi="Calibri" w:cs="Calibri"/>
          <w:szCs w:val="24"/>
          <w:lang w:val="sk-SK"/>
        </w:rPr>
        <w:t xml:space="preserve"> po 28.</w:t>
      </w:r>
    </w:p>
    <w:p w14:paraId="52F79EBA" w14:textId="77777777" w:rsidR="00BE704E" w:rsidRPr="0044568D" w:rsidRDefault="00BE704E" w:rsidP="00BE704E">
      <w:pPr>
        <w:pStyle w:val="Hlavika"/>
        <w:tabs>
          <w:tab w:val="clear" w:pos="4536"/>
          <w:tab w:val="clear" w:pos="9072"/>
          <w:tab w:val="left" w:pos="0"/>
        </w:tabs>
        <w:rPr>
          <w:rFonts w:ascii="Calibri" w:hAnsi="Calibri" w:cs="Calibri"/>
          <w:szCs w:val="24"/>
          <w:lang w:val="sk-SK"/>
        </w:rPr>
      </w:pPr>
    </w:p>
    <w:p w14:paraId="009117FF" w14:textId="20F31100" w:rsidR="00BE704E" w:rsidRDefault="00BE704E" w:rsidP="009D37EE">
      <w:pPr>
        <w:spacing w:after="0" w:line="240" w:lineRule="auto"/>
        <w:jc w:val="both"/>
        <w:rPr>
          <w:rFonts w:cs="Calibri"/>
          <w:sz w:val="24"/>
          <w:szCs w:val="24"/>
        </w:rPr>
      </w:pPr>
      <w:r w:rsidRPr="00263D6A">
        <w:rPr>
          <w:rFonts w:cs="Calibri"/>
          <w:sz w:val="24"/>
          <w:szCs w:val="24"/>
        </w:rPr>
        <w:t xml:space="preserve">Schválený rozpočet BSK na rok </w:t>
      </w:r>
      <w:r>
        <w:rPr>
          <w:rFonts w:cs="Calibri"/>
          <w:sz w:val="24"/>
          <w:szCs w:val="24"/>
        </w:rPr>
        <w:t>20</w:t>
      </w:r>
      <w:r w:rsidR="00300A31">
        <w:rPr>
          <w:rFonts w:cs="Calibri"/>
          <w:sz w:val="24"/>
          <w:szCs w:val="24"/>
        </w:rPr>
        <w:t>20</w:t>
      </w:r>
      <w:r w:rsidRPr="00263D6A">
        <w:rPr>
          <w:rFonts w:cs="Calibri"/>
          <w:sz w:val="24"/>
          <w:szCs w:val="24"/>
        </w:rPr>
        <w:t>, jeho zmenu</w:t>
      </w:r>
      <w:r>
        <w:rPr>
          <w:rFonts w:cs="Calibri"/>
          <w:sz w:val="24"/>
          <w:szCs w:val="24"/>
        </w:rPr>
        <w:t xml:space="preserve">, </w:t>
      </w:r>
      <w:r w:rsidRPr="00263D6A">
        <w:rPr>
          <w:rFonts w:cs="Calibri"/>
          <w:sz w:val="24"/>
          <w:szCs w:val="24"/>
        </w:rPr>
        <w:t>plnenie</w:t>
      </w:r>
      <w:r w:rsidR="00300A31">
        <w:rPr>
          <w:rFonts w:cs="Calibri"/>
          <w:sz w:val="24"/>
          <w:szCs w:val="24"/>
        </w:rPr>
        <w:t xml:space="preserve"> a</w:t>
      </w:r>
      <w:r w:rsidRPr="00263D6A">
        <w:rPr>
          <w:rFonts w:cs="Calibri"/>
          <w:sz w:val="24"/>
          <w:szCs w:val="24"/>
        </w:rPr>
        <w:t xml:space="preserve"> čerpanie k 31.12.</w:t>
      </w:r>
      <w:r>
        <w:rPr>
          <w:rFonts w:cs="Calibri"/>
          <w:sz w:val="24"/>
          <w:szCs w:val="24"/>
        </w:rPr>
        <w:t>20</w:t>
      </w:r>
      <w:r w:rsidR="00300A31">
        <w:rPr>
          <w:rFonts w:cs="Calibri"/>
          <w:sz w:val="24"/>
          <w:szCs w:val="24"/>
        </w:rPr>
        <w:t>20</w:t>
      </w:r>
      <w:r w:rsidRPr="00263D6A">
        <w:rPr>
          <w:rFonts w:cs="Calibri"/>
          <w:sz w:val="24"/>
          <w:szCs w:val="24"/>
        </w:rPr>
        <w:t xml:space="preserve"> charakterizuje nasled</w:t>
      </w:r>
      <w:r>
        <w:rPr>
          <w:rFonts w:cs="Calibri"/>
          <w:sz w:val="24"/>
          <w:szCs w:val="24"/>
        </w:rPr>
        <w:t>ovná</w:t>
      </w:r>
      <w:r w:rsidRPr="00263D6A">
        <w:rPr>
          <w:rFonts w:cs="Calibri"/>
          <w:sz w:val="24"/>
          <w:szCs w:val="24"/>
        </w:rPr>
        <w:t xml:space="preserve"> tabuľka:</w:t>
      </w:r>
    </w:p>
    <w:tbl>
      <w:tblPr>
        <w:tblW w:w="5000" w:type="pct"/>
        <w:tblCellMar>
          <w:left w:w="70" w:type="dxa"/>
          <w:right w:w="70" w:type="dxa"/>
        </w:tblCellMar>
        <w:tblLook w:val="04A0" w:firstRow="1" w:lastRow="0" w:firstColumn="1" w:lastColumn="0" w:noHBand="0" w:noVBand="1"/>
      </w:tblPr>
      <w:tblGrid>
        <w:gridCol w:w="3525"/>
        <w:gridCol w:w="1524"/>
        <w:gridCol w:w="1428"/>
        <w:gridCol w:w="1397"/>
        <w:gridCol w:w="1379"/>
        <w:gridCol w:w="1067"/>
        <w:gridCol w:w="146"/>
      </w:tblGrid>
      <w:tr w:rsidR="004E0A27" w:rsidRPr="004E0A27" w14:paraId="0709CAC5" w14:textId="77777777" w:rsidTr="004E0A27">
        <w:trPr>
          <w:gridAfter w:val="1"/>
          <w:wAfter w:w="57" w:type="pct"/>
          <w:trHeight w:val="405"/>
        </w:trPr>
        <w:tc>
          <w:tcPr>
            <w:tcW w:w="1731" w:type="pct"/>
            <w:vMerge w:val="restart"/>
            <w:tcBorders>
              <w:top w:val="nil"/>
              <w:left w:val="nil"/>
              <w:bottom w:val="single" w:sz="8" w:space="0" w:color="DCE6F1"/>
              <w:right w:val="nil"/>
            </w:tcBorders>
            <w:shd w:val="clear" w:color="000000" w:fill="366092"/>
            <w:vAlign w:val="center"/>
            <w:hideMark/>
          </w:tcPr>
          <w:p w14:paraId="7D473AA3" w14:textId="77777777" w:rsidR="004E0A27" w:rsidRPr="004E0A27" w:rsidRDefault="004E0A27" w:rsidP="004E0A27">
            <w:pPr>
              <w:spacing w:after="0" w:line="240" w:lineRule="auto"/>
              <w:rPr>
                <w:b/>
                <w:bCs/>
                <w:color w:val="FFFFFF"/>
                <w:sz w:val="20"/>
                <w:szCs w:val="20"/>
                <w:lang w:eastAsia="sk-SK"/>
              </w:rPr>
            </w:pPr>
            <w:r w:rsidRPr="004E0A27">
              <w:rPr>
                <w:rFonts w:cs="Calibri"/>
                <w:b/>
                <w:bCs/>
                <w:color w:val="FFFFFF"/>
                <w:sz w:val="20"/>
                <w:szCs w:val="20"/>
                <w:lang w:eastAsia="sk-SK"/>
              </w:rPr>
              <w:t>Ukazovateľ</w:t>
            </w:r>
          </w:p>
        </w:tc>
        <w:tc>
          <w:tcPr>
            <w:tcW w:w="775" w:type="pct"/>
            <w:vMerge w:val="restart"/>
            <w:tcBorders>
              <w:top w:val="nil"/>
              <w:left w:val="nil"/>
              <w:bottom w:val="single" w:sz="8" w:space="0" w:color="DCE6F1"/>
              <w:right w:val="nil"/>
            </w:tcBorders>
            <w:shd w:val="clear" w:color="000000" w:fill="366092"/>
            <w:vAlign w:val="center"/>
            <w:hideMark/>
          </w:tcPr>
          <w:p w14:paraId="30A17F58" w14:textId="77777777" w:rsidR="004E0A27" w:rsidRPr="004E0A27" w:rsidRDefault="004E0A27" w:rsidP="004E0A27">
            <w:pPr>
              <w:spacing w:after="0" w:line="240" w:lineRule="auto"/>
              <w:jc w:val="center"/>
              <w:rPr>
                <w:b/>
                <w:bCs/>
                <w:color w:val="FFFFFF"/>
                <w:sz w:val="18"/>
                <w:szCs w:val="18"/>
                <w:lang w:eastAsia="sk-SK"/>
              </w:rPr>
            </w:pPr>
            <w:r w:rsidRPr="004E0A27">
              <w:rPr>
                <w:rFonts w:cs="Calibri"/>
                <w:b/>
                <w:bCs/>
                <w:color w:val="FFFFFF"/>
                <w:sz w:val="18"/>
                <w:szCs w:val="18"/>
                <w:lang w:eastAsia="sk-SK"/>
              </w:rPr>
              <w:t>Skutočnosť za rok 2019 v EUR</w:t>
            </w:r>
          </w:p>
        </w:tc>
        <w:tc>
          <w:tcPr>
            <w:tcW w:w="729" w:type="pct"/>
            <w:vMerge w:val="restart"/>
            <w:tcBorders>
              <w:top w:val="nil"/>
              <w:left w:val="nil"/>
              <w:bottom w:val="single" w:sz="8" w:space="0" w:color="DCE6F1"/>
              <w:right w:val="nil"/>
            </w:tcBorders>
            <w:shd w:val="clear" w:color="000000" w:fill="366092"/>
            <w:vAlign w:val="center"/>
            <w:hideMark/>
          </w:tcPr>
          <w:p w14:paraId="3E9F1DD3" w14:textId="77777777" w:rsidR="004E0A27" w:rsidRPr="004E0A27" w:rsidRDefault="004E0A27" w:rsidP="004E0A27">
            <w:pPr>
              <w:spacing w:after="0" w:line="240" w:lineRule="auto"/>
              <w:jc w:val="center"/>
              <w:rPr>
                <w:b/>
                <w:bCs/>
                <w:color w:val="FFFFFF"/>
                <w:sz w:val="18"/>
                <w:szCs w:val="18"/>
                <w:lang w:eastAsia="sk-SK"/>
              </w:rPr>
            </w:pPr>
            <w:r w:rsidRPr="004E0A27">
              <w:rPr>
                <w:rFonts w:cs="Calibri"/>
                <w:b/>
                <w:bCs/>
                <w:color w:val="FFFFFF"/>
                <w:sz w:val="18"/>
                <w:szCs w:val="18"/>
                <w:lang w:eastAsia="sk-SK"/>
              </w:rPr>
              <w:t>Schválený rozpočet 2020</w:t>
            </w:r>
          </w:p>
        </w:tc>
        <w:tc>
          <w:tcPr>
            <w:tcW w:w="714" w:type="pct"/>
            <w:vMerge w:val="restart"/>
            <w:tcBorders>
              <w:top w:val="nil"/>
              <w:left w:val="nil"/>
              <w:bottom w:val="single" w:sz="8" w:space="0" w:color="DCE6F1"/>
              <w:right w:val="nil"/>
            </w:tcBorders>
            <w:shd w:val="clear" w:color="000000" w:fill="366092"/>
            <w:vAlign w:val="center"/>
            <w:hideMark/>
          </w:tcPr>
          <w:p w14:paraId="7947ECBC" w14:textId="77777777" w:rsidR="004E0A27" w:rsidRPr="004E0A27" w:rsidRDefault="004E0A27" w:rsidP="004E0A27">
            <w:pPr>
              <w:spacing w:after="0" w:line="240" w:lineRule="auto"/>
              <w:jc w:val="center"/>
              <w:rPr>
                <w:b/>
                <w:bCs/>
                <w:color w:val="FFFFFF"/>
                <w:sz w:val="18"/>
                <w:szCs w:val="18"/>
                <w:lang w:eastAsia="sk-SK"/>
              </w:rPr>
            </w:pPr>
            <w:r w:rsidRPr="004E0A27">
              <w:rPr>
                <w:rFonts w:cs="Calibri"/>
                <w:b/>
                <w:bCs/>
                <w:color w:val="FFFFFF"/>
                <w:sz w:val="18"/>
                <w:szCs w:val="18"/>
                <w:lang w:eastAsia="sk-SK"/>
              </w:rPr>
              <w:t>Upravený rozpočet 2020</w:t>
            </w:r>
          </w:p>
        </w:tc>
        <w:tc>
          <w:tcPr>
            <w:tcW w:w="552" w:type="pct"/>
            <w:vMerge w:val="restart"/>
            <w:tcBorders>
              <w:top w:val="nil"/>
              <w:left w:val="nil"/>
              <w:bottom w:val="single" w:sz="8" w:space="0" w:color="DCE6F1"/>
              <w:right w:val="nil"/>
            </w:tcBorders>
            <w:shd w:val="clear" w:color="000000" w:fill="366092"/>
            <w:vAlign w:val="center"/>
            <w:hideMark/>
          </w:tcPr>
          <w:p w14:paraId="5751D444" w14:textId="77777777" w:rsidR="004E0A27" w:rsidRPr="004E0A27" w:rsidRDefault="004E0A27" w:rsidP="004E0A27">
            <w:pPr>
              <w:spacing w:after="0" w:line="240" w:lineRule="auto"/>
              <w:jc w:val="center"/>
              <w:rPr>
                <w:b/>
                <w:bCs/>
                <w:color w:val="FFFFFF"/>
                <w:sz w:val="18"/>
                <w:szCs w:val="18"/>
                <w:lang w:eastAsia="sk-SK"/>
              </w:rPr>
            </w:pPr>
            <w:r w:rsidRPr="004E0A27">
              <w:rPr>
                <w:rFonts w:cs="Calibri"/>
                <w:b/>
                <w:bCs/>
                <w:color w:val="FFFFFF"/>
                <w:sz w:val="18"/>
                <w:szCs w:val="18"/>
                <w:lang w:eastAsia="sk-SK"/>
              </w:rPr>
              <w:t>Plnenie/čerpane k 31.12.2020</w:t>
            </w:r>
          </w:p>
        </w:tc>
        <w:tc>
          <w:tcPr>
            <w:tcW w:w="443" w:type="pct"/>
            <w:vMerge w:val="restart"/>
            <w:tcBorders>
              <w:top w:val="nil"/>
              <w:left w:val="nil"/>
              <w:bottom w:val="single" w:sz="8" w:space="0" w:color="DCE6F1"/>
              <w:right w:val="nil"/>
            </w:tcBorders>
            <w:shd w:val="clear" w:color="000000" w:fill="366092"/>
            <w:vAlign w:val="center"/>
            <w:hideMark/>
          </w:tcPr>
          <w:p w14:paraId="79492B29" w14:textId="77777777" w:rsidR="004E0A27" w:rsidRPr="004E0A27" w:rsidRDefault="004E0A27" w:rsidP="004E0A27">
            <w:pPr>
              <w:spacing w:after="0" w:line="240" w:lineRule="auto"/>
              <w:jc w:val="center"/>
              <w:rPr>
                <w:b/>
                <w:bCs/>
                <w:color w:val="FFFFFF"/>
                <w:sz w:val="18"/>
                <w:szCs w:val="18"/>
                <w:lang w:eastAsia="sk-SK"/>
              </w:rPr>
            </w:pPr>
            <w:r w:rsidRPr="004E0A27">
              <w:rPr>
                <w:rFonts w:cs="Calibri"/>
                <w:b/>
                <w:bCs/>
                <w:color w:val="FFFFFF"/>
                <w:sz w:val="18"/>
                <w:szCs w:val="18"/>
                <w:lang w:eastAsia="sk-SK"/>
              </w:rPr>
              <w:t>% plnenie k zmenenému rozpočtu k 31.12.2020</w:t>
            </w:r>
          </w:p>
        </w:tc>
      </w:tr>
      <w:tr w:rsidR="004E0A27" w:rsidRPr="004E0A27" w14:paraId="48138C73" w14:textId="77777777" w:rsidTr="004E0A27">
        <w:trPr>
          <w:trHeight w:val="315"/>
        </w:trPr>
        <w:tc>
          <w:tcPr>
            <w:tcW w:w="1731" w:type="pct"/>
            <w:vMerge/>
            <w:tcBorders>
              <w:top w:val="nil"/>
              <w:left w:val="nil"/>
              <w:bottom w:val="single" w:sz="8" w:space="0" w:color="DCE6F1"/>
              <w:right w:val="nil"/>
            </w:tcBorders>
            <w:vAlign w:val="center"/>
            <w:hideMark/>
          </w:tcPr>
          <w:p w14:paraId="1DB4993F" w14:textId="77777777" w:rsidR="004E0A27" w:rsidRPr="004E0A27" w:rsidRDefault="004E0A27" w:rsidP="004E0A27">
            <w:pPr>
              <w:spacing w:after="0" w:line="240" w:lineRule="auto"/>
              <w:rPr>
                <w:b/>
                <w:bCs/>
                <w:color w:val="FFFFFF"/>
                <w:sz w:val="20"/>
                <w:szCs w:val="20"/>
                <w:lang w:eastAsia="sk-SK"/>
              </w:rPr>
            </w:pPr>
          </w:p>
        </w:tc>
        <w:tc>
          <w:tcPr>
            <w:tcW w:w="775" w:type="pct"/>
            <w:vMerge/>
            <w:tcBorders>
              <w:top w:val="nil"/>
              <w:left w:val="nil"/>
              <w:bottom w:val="single" w:sz="8" w:space="0" w:color="DCE6F1"/>
              <w:right w:val="nil"/>
            </w:tcBorders>
            <w:vAlign w:val="center"/>
            <w:hideMark/>
          </w:tcPr>
          <w:p w14:paraId="3467C9C6" w14:textId="77777777" w:rsidR="004E0A27" w:rsidRPr="004E0A27" w:rsidRDefault="004E0A27" w:rsidP="004E0A27">
            <w:pPr>
              <w:spacing w:after="0" w:line="240" w:lineRule="auto"/>
              <w:rPr>
                <w:b/>
                <w:bCs/>
                <w:color w:val="FFFFFF"/>
                <w:sz w:val="18"/>
                <w:szCs w:val="18"/>
                <w:lang w:eastAsia="sk-SK"/>
              </w:rPr>
            </w:pPr>
          </w:p>
        </w:tc>
        <w:tc>
          <w:tcPr>
            <w:tcW w:w="729" w:type="pct"/>
            <w:vMerge/>
            <w:tcBorders>
              <w:top w:val="nil"/>
              <w:left w:val="nil"/>
              <w:bottom w:val="single" w:sz="8" w:space="0" w:color="DCE6F1"/>
              <w:right w:val="nil"/>
            </w:tcBorders>
            <w:vAlign w:val="center"/>
            <w:hideMark/>
          </w:tcPr>
          <w:p w14:paraId="0CB47A23" w14:textId="77777777" w:rsidR="004E0A27" w:rsidRPr="004E0A27" w:rsidRDefault="004E0A27" w:rsidP="004E0A27">
            <w:pPr>
              <w:spacing w:after="0" w:line="240" w:lineRule="auto"/>
              <w:rPr>
                <w:b/>
                <w:bCs/>
                <w:color w:val="FFFFFF"/>
                <w:sz w:val="18"/>
                <w:szCs w:val="18"/>
                <w:lang w:eastAsia="sk-SK"/>
              </w:rPr>
            </w:pPr>
          </w:p>
        </w:tc>
        <w:tc>
          <w:tcPr>
            <w:tcW w:w="714" w:type="pct"/>
            <w:vMerge/>
            <w:tcBorders>
              <w:top w:val="nil"/>
              <w:left w:val="nil"/>
              <w:bottom w:val="single" w:sz="8" w:space="0" w:color="DCE6F1"/>
              <w:right w:val="nil"/>
            </w:tcBorders>
            <w:vAlign w:val="center"/>
            <w:hideMark/>
          </w:tcPr>
          <w:p w14:paraId="02BE55F4" w14:textId="77777777" w:rsidR="004E0A27" w:rsidRPr="004E0A27" w:rsidRDefault="004E0A27" w:rsidP="004E0A27">
            <w:pPr>
              <w:spacing w:after="0" w:line="240" w:lineRule="auto"/>
              <w:rPr>
                <w:b/>
                <w:bCs/>
                <w:color w:val="FFFFFF"/>
                <w:sz w:val="18"/>
                <w:szCs w:val="18"/>
                <w:lang w:eastAsia="sk-SK"/>
              </w:rPr>
            </w:pPr>
          </w:p>
        </w:tc>
        <w:tc>
          <w:tcPr>
            <w:tcW w:w="552" w:type="pct"/>
            <w:vMerge/>
            <w:tcBorders>
              <w:top w:val="nil"/>
              <w:left w:val="nil"/>
              <w:bottom w:val="single" w:sz="8" w:space="0" w:color="DCE6F1"/>
              <w:right w:val="nil"/>
            </w:tcBorders>
            <w:vAlign w:val="center"/>
            <w:hideMark/>
          </w:tcPr>
          <w:p w14:paraId="5AF41ED2" w14:textId="77777777" w:rsidR="004E0A27" w:rsidRPr="004E0A27" w:rsidRDefault="004E0A27" w:rsidP="004E0A27">
            <w:pPr>
              <w:spacing w:after="0" w:line="240" w:lineRule="auto"/>
              <w:rPr>
                <w:b/>
                <w:bCs/>
                <w:color w:val="FFFFFF"/>
                <w:sz w:val="18"/>
                <w:szCs w:val="18"/>
                <w:lang w:eastAsia="sk-SK"/>
              </w:rPr>
            </w:pPr>
          </w:p>
        </w:tc>
        <w:tc>
          <w:tcPr>
            <w:tcW w:w="443" w:type="pct"/>
            <w:vMerge/>
            <w:tcBorders>
              <w:top w:val="nil"/>
              <w:left w:val="nil"/>
              <w:bottom w:val="single" w:sz="8" w:space="0" w:color="DCE6F1"/>
              <w:right w:val="nil"/>
            </w:tcBorders>
            <w:vAlign w:val="center"/>
            <w:hideMark/>
          </w:tcPr>
          <w:p w14:paraId="624F4C6F" w14:textId="77777777" w:rsidR="004E0A27" w:rsidRPr="004E0A27" w:rsidRDefault="004E0A27" w:rsidP="004E0A27">
            <w:pPr>
              <w:spacing w:after="0" w:line="240" w:lineRule="auto"/>
              <w:rPr>
                <w:b/>
                <w:bCs/>
                <w:color w:val="FFFFFF"/>
                <w:sz w:val="18"/>
                <w:szCs w:val="18"/>
                <w:lang w:eastAsia="sk-SK"/>
              </w:rPr>
            </w:pPr>
          </w:p>
        </w:tc>
        <w:tc>
          <w:tcPr>
            <w:tcW w:w="57" w:type="pct"/>
            <w:tcBorders>
              <w:top w:val="nil"/>
              <w:left w:val="nil"/>
              <w:bottom w:val="nil"/>
              <w:right w:val="nil"/>
            </w:tcBorders>
            <w:shd w:val="clear" w:color="auto" w:fill="auto"/>
            <w:noWrap/>
            <w:vAlign w:val="bottom"/>
            <w:hideMark/>
          </w:tcPr>
          <w:p w14:paraId="17342F9E" w14:textId="77777777" w:rsidR="004E0A27" w:rsidRPr="004E0A27" w:rsidRDefault="004E0A27" w:rsidP="004E0A27">
            <w:pPr>
              <w:spacing w:after="0" w:line="240" w:lineRule="auto"/>
              <w:jc w:val="center"/>
              <w:rPr>
                <w:b/>
                <w:bCs/>
                <w:color w:val="FFFFFF"/>
                <w:sz w:val="18"/>
                <w:szCs w:val="18"/>
                <w:lang w:eastAsia="sk-SK"/>
              </w:rPr>
            </w:pPr>
          </w:p>
        </w:tc>
      </w:tr>
      <w:tr w:rsidR="004E0A27" w:rsidRPr="004E0A27" w14:paraId="4BF211FD" w14:textId="77777777" w:rsidTr="004E0A27">
        <w:trPr>
          <w:cantSplit/>
          <w:trHeight w:hRule="exact" w:val="300"/>
        </w:trPr>
        <w:tc>
          <w:tcPr>
            <w:tcW w:w="1731" w:type="pct"/>
            <w:tcBorders>
              <w:top w:val="nil"/>
              <w:left w:val="nil"/>
              <w:bottom w:val="nil"/>
              <w:right w:val="nil"/>
            </w:tcBorders>
            <w:shd w:val="clear" w:color="auto" w:fill="auto"/>
            <w:noWrap/>
            <w:vAlign w:val="center"/>
            <w:hideMark/>
          </w:tcPr>
          <w:p w14:paraId="30FFFFA1" w14:textId="77777777" w:rsidR="004E0A27" w:rsidRPr="004E0A27" w:rsidRDefault="004E0A27" w:rsidP="004E0A27">
            <w:pPr>
              <w:spacing w:after="0" w:line="240" w:lineRule="auto"/>
              <w:rPr>
                <w:color w:val="000000"/>
                <w:sz w:val="18"/>
                <w:szCs w:val="18"/>
                <w:lang w:eastAsia="sk-SK"/>
              </w:rPr>
            </w:pPr>
            <w:r w:rsidRPr="004E0A27">
              <w:rPr>
                <w:rFonts w:cs="Calibri"/>
                <w:color w:val="000000"/>
                <w:sz w:val="18"/>
                <w:szCs w:val="18"/>
                <w:lang w:eastAsia="sk-SK"/>
              </w:rPr>
              <w:t>Bežné príjmy</w:t>
            </w:r>
          </w:p>
        </w:tc>
        <w:tc>
          <w:tcPr>
            <w:tcW w:w="775" w:type="pct"/>
            <w:tcBorders>
              <w:top w:val="nil"/>
              <w:left w:val="nil"/>
              <w:bottom w:val="nil"/>
              <w:right w:val="nil"/>
            </w:tcBorders>
            <w:shd w:val="clear" w:color="auto" w:fill="auto"/>
            <w:noWrap/>
            <w:vAlign w:val="center"/>
            <w:hideMark/>
          </w:tcPr>
          <w:p w14:paraId="67FE93E2"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166 251 797,08</w:t>
            </w:r>
          </w:p>
        </w:tc>
        <w:tc>
          <w:tcPr>
            <w:tcW w:w="729" w:type="pct"/>
            <w:tcBorders>
              <w:top w:val="nil"/>
              <w:left w:val="nil"/>
              <w:bottom w:val="nil"/>
              <w:right w:val="nil"/>
            </w:tcBorders>
            <w:shd w:val="clear" w:color="auto" w:fill="auto"/>
            <w:noWrap/>
            <w:vAlign w:val="center"/>
            <w:hideMark/>
          </w:tcPr>
          <w:p w14:paraId="2C7C417C"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175 181 988,30</w:t>
            </w:r>
          </w:p>
        </w:tc>
        <w:tc>
          <w:tcPr>
            <w:tcW w:w="714" w:type="pct"/>
            <w:tcBorders>
              <w:top w:val="nil"/>
              <w:left w:val="nil"/>
              <w:bottom w:val="nil"/>
              <w:right w:val="nil"/>
            </w:tcBorders>
            <w:shd w:val="clear" w:color="auto" w:fill="auto"/>
            <w:noWrap/>
            <w:vAlign w:val="center"/>
            <w:hideMark/>
          </w:tcPr>
          <w:p w14:paraId="35E8F99B"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177 780 887,20</w:t>
            </w:r>
          </w:p>
        </w:tc>
        <w:tc>
          <w:tcPr>
            <w:tcW w:w="552" w:type="pct"/>
            <w:tcBorders>
              <w:top w:val="nil"/>
              <w:left w:val="nil"/>
              <w:bottom w:val="nil"/>
              <w:right w:val="nil"/>
            </w:tcBorders>
            <w:shd w:val="clear" w:color="auto" w:fill="auto"/>
            <w:noWrap/>
            <w:vAlign w:val="center"/>
            <w:hideMark/>
          </w:tcPr>
          <w:p w14:paraId="45BC74B1"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175 613 428,04</w:t>
            </w:r>
          </w:p>
        </w:tc>
        <w:tc>
          <w:tcPr>
            <w:tcW w:w="443" w:type="pct"/>
            <w:tcBorders>
              <w:top w:val="nil"/>
              <w:left w:val="nil"/>
              <w:bottom w:val="nil"/>
              <w:right w:val="nil"/>
            </w:tcBorders>
            <w:shd w:val="clear" w:color="auto" w:fill="auto"/>
            <w:noWrap/>
            <w:vAlign w:val="center"/>
            <w:hideMark/>
          </w:tcPr>
          <w:p w14:paraId="69D58BC8"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98,78%</w:t>
            </w:r>
          </w:p>
        </w:tc>
        <w:tc>
          <w:tcPr>
            <w:tcW w:w="57" w:type="pct"/>
            <w:vAlign w:val="center"/>
            <w:hideMark/>
          </w:tcPr>
          <w:p w14:paraId="40605D8F"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44C6706E" w14:textId="77777777" w:rsidTr="004E0A27">
        <w:trPr>
          <w:cantSplit/>
          <w:trHeight w:val="315"/>
        </w:trPr>
        <w:tc>
          <w:tcPr>
            <w:tcW w:w="1731" w:type="pct"/>
            <w:tcBorders>
              <w:top w:val="nil"/>
              <w:left w:val="nil"/>
              <w:bottom w:val="nil"/>
              <w:right w:val="nil"/>
            </w:tcBorders>
            <w:shd w:val="clear" w:color="auto" w:fill="auto"/>
            <w:noWrap/>
            <w:vAlign w:val="center"/>
            <w:hideMark/>
          </w:tcPr>
          <w:p w14:paraId="20A8E4FD" w14:textId="77777777" w:rsidR="004E0A27" w:rsidRPr="004E0A27" w:rsidRDefault="004E0A27" w:rsidP="004E0A27">
            <w:pPr>
              <w:spacing w:after="0" w:line="240" w:lineRule="auto"/>
              <w:rPr>
                <w:color w:val="000000"/>
                <w:sz w:val="18"/>
                <w:szCs w:val="18"/>
                <w:lang w:eastAsia="sk-SK"/>
              </w:rPr>
            </w:pPr>
            <w:r w:rsidRPr="004E0A27">
              <w:rPr>
                <w:rFonts w:cs="Calibri"/>
                <w:color w:val="000000"/>
                <w:sz w:val="18"/>
                <w:szCs w:val="18"/>
                <w:lang w:eastAsia="sk-SK"/>
              </w:rPr>
              <w:t>Bežné výdavky</w:t>
            </w:r>
          </w:p>
        </w:tc>
        <w:tc>
          <w:tcPr>
            <w:tcW w:w="775" w:type="pct"/>
            <w:tcBorders>
              <w:top w:val="nil"/>
              <w:left w:val="nil"/>
              <w:bottom w:val="nil"/>
              <w:right w:val="nil"/>
            </w:tcBorders>
            <w:shd w:val="clear" w:color="auto" w:fill="auto"/>
            <w:noWrap/>
            <w:vAlign w:val="center"/>
            <w:hideMark/>
          </w:tcPr>
          <w:p w14:paraId="0A657BBB"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154 227 381,70</w:t>
            </w:r>
          </w:p>
        </w:tc>
        <w:tc>
          <w:tcPr>
            <w:tcW w:w="729" w:type="pct"/>
            <w:tcBorders>
              <w:top w:val="nil"/>
              <w:left w:val="nil"/>
              <w:bottom w:val="nil"/>
              <w:right w:val="nil"/>
            </w:tcBorders>
            <w:shd w:val="clear" w:color="auto" w:fill="auto"/>
            <w:noWrap/>
            <w:vAlign w:val="center"/>
            <w:hideMark/>
          </w:tcPr>
          <w:p w14:paraId="724862C9"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170 922 732,53</w:t>
            </w:r>
          </w:p>
        </w:tc>
        <w:tc>
          <w:tcPr>
            <w:tcW w:w="714" w:type="pct"/>
            <w:tcBorders>
              <w:top w:val="nil"/>
              <w:left w:val="nil"/>
              <w:bottom w:val="nil"/>
              <w:right w:val="nil"/>
            </w:tcBorders>
            <w:shd w:val="clear" w:color="auto" w:fill="auto"/>
            <w:noWrap/>
            <w:vAlign w:val="center"/>
            <w:hideMark/>
          </w:tcPr>
          <w:p w14:paraId="5E02BF84"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174 221 749,52</w:t>
            </w:r>
          </w:p>
        </w:tc>
        <w:tc>
          <w:tcPr>
            <w:tcW w:w="552" w:type="pct"/>
            <w:tcBorders>
              <w:top w:val="nil"/>
              <w:left w:val="nil"/>
              <w:bottom w:val="nil"/>
              <w:right w:val="nil"/>
            </w:tcBorders>
            <w:shd w:val="clear" w:color="auto" w:fill="auto"/>
            <w:noWrap/>
            <w:vAlign w:val="center"/>
            <w:hideMark/>
          </w:tcPr>
          <w:p w14:paraId="2A7A0698"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155 827 379,05</w:t>
            </w:r>
          </w:p>
        </w:tc>
        <w:tc>
          <w:tcPr>
            <w:tcW w:w="443" w:type="pct"/>
            <w:tcBorders>
              <w:top w:val="nil"/>
              <w:left w:val="nil"/>
              <w:bottom w:val="nil"/>
              <w:right w:val="nil"/>
            </w:tcBorders>
            <w:shd w:val="clear" w:color="auto" w:fill="auto"/>
            <w:noWrap/>
            <w:vAlign w:val="center"/>
            <w:hideMark/>
          </w:tcPr>
          <w:p w14:paraId="265BAE51"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89,44%</w:t>
            </w:r>
          </w:p>
        </w:tc>
        <w:tc>
          <w:tcPr>
            <w:tcW w:w="57" w:type="pct"/>
            <w:vAlign w:val="center"/>
            <w:hideMark/>
          </w:tcPr>
          <w:p w14:paraId="263B1CA3"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6B5DEF31" w14:textId="77777777" w:rsidTr="004E0A27">
        <w:trPr>
          <w:cantSplit/>
          <w:trHeight w:hRule="exact" w:val="315"/>
        </w:trPr>
        <w:tc>
          <w:tcPr>
            <w:tcW w:w="1731" w:type="pct"/>
            <w:tcBorders>
              <w:top w:val="single" w:sz="8" w:space="0" w:color="DCE6F1"/>
              <w:left w:val="nil"/>
              <w:bottom w:val="single" w:sz="8" w:space="0" w:color="DCE6F1"/>
              <w:right w:val="nil"/>
            </w:tcBorders>
            <w:shd w:val="clear" w:color="000000" w:fill="95B3D7"/>
            <w:noWrap/>
            <w:vAlign w:val="center"/>
            <w:hideMark/>
          </w:tcPr>
          <w:p w14:paraId="0BD4164A" w14:textId="77777777" w:rsidR="004E0A27" w:rsidRPr="004E0A27" w:rsidRDefault="004E0A27" w:rsidP="004E0A27">
            <w:pPr>
              <w:spacing w:after="0" w:line="240" w:lineRule="auto"/>
              <w:rPr>
                <w:b/>
                <w:bCs/>
                <w:color w:val="000000"/>
                <w:sz w:val="20"/>
                <w:szCs w:val="20"/>
                <w:lang w:eastAsia="sk-SK"/>
              </w:rPr>
            </w:pPr>
            <w:r w:rsidRPr="004E0A27">
              <w:rPr>
                <w:rFonts w:cs="Calibri"/>
                <w:b/>
                <w:bCs/>
                <w:color w:val="000000"/>
                <w:sz w:val="20"/>
                <w:szCs w:val="20"/>
                <w:lang w:eastAsia="sk-SK"/>
              </w:rPr>
              <w:t>Bilancia bežného rozpočtu</w:t>
            </w:r>
          </w:p>
        </w:tc>
        <w:tc>
          <w:tcPr>
            <w:tcW w:w="775" w:type="pct"/>
            <w:tcBorders>
              <w:top w:val="single" w:sz="8" w:space="0" w:color="DCE6F1"/>
              <w:left w:val="nil"/>
              <w:bottom w:val="single" w:sz="8" w:space="0" w:color="DCE6F1"/>
              <w:right w:val="nil"/>
            </w:tcBorders>
            <w:shd w:val="clear" w:color="000000" w:fill="95B3D7"/>
            <w:noWrap/>
            <w:vAlign w:val="center"/>
            <w:hideMark/>
          </w:tcPr>
          <w:p w14:paraId="6267BEB1"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12 024 415,38</w:t>
            </w:r>
          </w:p>
        </w:tc>
        <w:tc>
          <w:tcPr>
            <w:tcW w:w="729" w:type="pct"/>
            <w:tcBorders>
              <w:top w:val="single" w:sz="8" w:space="0" w:color="DCE6F1"/>
              <w:left w:val="nil"/>
              <w:bottom w:val="single" w:sz="8" w:space="0" w:color="DCE6F1"/>
              <w:right w:val="nil"/>
            </w:tcBorders>
            <w:shd w:val="clear" w:color="000000" w:fill="95B3D7"/>
            <w:noWrap/>
            <w:vAlign w:val="center"/>
            <w:hideMark/>
          </w:tcPr>
          <w:p w14:paraId="410B73C7"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4 259 255,77</w:t>
            </w:r>
          </w:p>
        </w:tc>
        <w:tc>
          <w:tcPr>
            <w:tcW w:w="714" w:type="pct"/>
            <w:tcBorders>
              <w:top w:val="single" w:sz="8" w:space="0" w:color="DCE6F1"/>
              <w:left w:val="nil"/>
              <w:bottom w:val="single" w:sz="8" w:space="0" w:color="DCE6F1"/>
              <w:right w:val="nil"/>
            </w:tcBorders>
            <w:shd w:val="clear" w:color="000000" w:fill="95B3D7"/>
            <w:noWrap/>
            <w:vAlign w:val="center"/>
            <w:hideMark/>
          </w:tcPr>
          <w:p w14:paraId="6F656D36"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3 559 137,68</w:t>
            </w:r>
          </w:p>
        </w:tc>
        <w:tc>
          <w:tcPr>
            <w:tcW w:w="552" w:type="pct"/>
            <w:tcBorders>
              <w:top w:val="single" w:sz="8" w:space="0" w:color="DCE6F1"/>
              <w:left w:val="nil"/>
              <w:bottom w:val="single" w:sz="8" w:space="0" w:color="DCE6F1"/>
              <w:right w:val="nil"/>
            </w:tcBorders>
            <w:shd w:val="clear" w:color="000000" w:fill="95B3D7"/>
            <w:noWrap/>
            <w:vAlign w:val="center"/>
            <w:hideMark/>
          </w:tcPr>
          <w:p w14:paraId="211B9B3E"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19 786 048,99</w:t>
            </w:r>
          </w:p>
        </w:tc>
        <w:tc>
          <w:tcPr>
            <w:tcW w:w="443" w:type="pct"/>
            <w:tcBorders>
              <w:top w:val="single" w:sz="8" w:space="0" w:color="DCE6F1"/>
              <w:left w:val="nil"/>
              <w:bottom w:val="single" w:sz="8" w:space="0" w:color="DCE6F1"/>
              <w:right w:val="nil"/>
            </w:tcBorders>
            <w:shd w:val="clear" w:color="000000" w:fill="95B3D7"/>
            <w:noWrap/>
            <w:vAlign w:val="center"/>
            <w:hideMark/>
          </w:tcPr>
          <w:p w14:paraId="3B1F5F48"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 </w:t>
            </w:r>
          </w:p>
        </w:tc>
        <w:tc>
          <w:tcPr>
            <w:tcW w:w="57" w:type="pct"/>
            <w:vAlign w:val="center"/>
            <w:hideMark/>
          </w:tcPr>
          <w:p w14:paraId="3D972B1E"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780FB446" w14:textId="77777777" w:rsidTr="004E0A27">
        <w:trPr>
          <w:cantSplit/>
          <w:trHeight w:hRule="exact" w:val="300"/>
        </w:trPr>
        <w:tc>
          <w:tcPr>
            <w:tcW w:w="1731" w:type="pct"/>
            <w:tcBorders>
              <w:top w:val="nil"/>
              <w:left w:val="nil"/>
              <w:bottom w:val="nil"/>
              <w:right w:val="nil"/>
            </w:tcBorders>
            <w:shd w:val="clear" w:color="auto" w:fill="auto"/>
            <w:noWrap/>
            <w:vAlign w:val="center"/>
            <w:hideMark/>
          </w:tcPr>
          <w:p w14:paraId="0DAE2E14" w14:textId="77777777" w:rsidR="004E0A27" w:rsidRPr="004E0A27" w:rsidRDefault="004E0A27" w:rsidP="004E0A27">
            <w:pPr>
              <w:spacing w:after="0" w:line="240" w:lineRule="auto"/>
              <w:rPr>
                <w:color w:val="000000"/>
                <w:sz w:val="18"/>
                <w:szCs w:val="18"/>
                <w:lang w:eastAsia="sk-SK"/>
              </w:rPr>
            </w:pPr>
            <w:r w:rsidRPr="004E0A27">
              <w:rPr>
                <w:rFonts w:cs="Calibri"/>
                <w:color w:val="000000"/>
                <w:sz w:val="18"/>
                <w:szCs w:val="18"/>
                <w:lang w:eastAsia="sk-SK"/>
              </w:rPr>
              <w:t>Kapitálové príjmy</w:t>
            </w:r>
          </w:p>
        </w:tc>
        <w:tc>
          <w:tcPr>
            <w:tcW w:w="775" w:type="pct"/>
            <w:tcBorders>
              <w:top w:val="nil"/>
              <w:left w:val="nil"/>
              <w:bottom w:val="nil"/>
              <w:right w:val="nil"/>
            </w:tcBorders>
            <w:shd w:val="clear" w:color="auto" w:fill="auto"/>
            <w:noWrap/>
            <w:vAlign w:val="center"/>
            <w:hideMark/>
          </w:tcPr>
          <w:p w14:paraId="6E2A71BB"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11 029 851,43</w:t>
            </w:r>
          </w:p>
        </w:tc>
        <w:tc>
          <w:tcPr>
            <w:tcW w:w="729" w:type="pct"/>
            <w:tcBorders>
              <w:top w:val="nil"/>
              <w:left w:val="nil"/>
              <w:bottom w:val="nil"/>
              <w:right w:val="nil"/>
            </w:tcBorders>
            <w:shd w:val="clear" w:color="auto" w:fill="auto"/>
            <w:noWrap/>
            <w:vAlign w:val="center"/>
            <w:hideMark/>
          </w:tcPr>
          <w:p w14:paraId="6D5A032C"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11 212 450,55</w:t>
            </w:r>
          </w:p>
        </w:tc>
        <w:tc>
          <w:tcPr>
            <w:tcW w:w="714" w:type="pct"/>
            <w:tcBorders>
              <w:top w:val="nil"/>
              <w:left w:val="nil"/>
              <w:bottom w:val="nil"/>
              <w:right w:val="nil"/>
            </w:tcBorders>
            <w:shd w:val="clear" w:color="auto" w:fill="auto"/>
            <w:noWrap/>
            <w:vAlign w:val="center"/>
            <w:hideMark/>
          </w:tcPr>
          <w:p w14:paraId="3138B316"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11 621 297,70</w:t>
            </w:r>
          </w:p>
        </w:tc>
        <w:tc>
          <w:tcPr>
            <w:tcW w:w="552" w:type="pct"/>
            <w:tcBorders>
              <w:top w:val="nil"/>
              <w:left w:val="nil"/>
              <w:bottom w:val="nil"/>
              <w:right w:val="nil"/>
            </w:tcBorders>
            <w:shd w:val="clear" w:color="auto" w:fill="auto"/>
            <w:noWrap/>
            <w:vAlign w:val="center"/>
            <w:hideMark/>
          </w:tcPr>
          <w:p w14:paraId="673B0F75"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4 100 517,78</w:t>
            </w:r>
          </w:p>
        </w:tc>
        <w:tc>
          <w:tcPr>
            <w:tcW w:w="443" w:type="pct"/>
            <w:tcBorders>
              <w:top w:val="nil"/>
              <w:left w:val="nil"/>
              <w:bottom w:val="nil"/>
              <w:right w:val="nil"/>
            </w:tcBorders>
            <w:shd w:val="clear" w:color="auto" w:fill="auto"/>
            <w:noWrap/>
            <w:vAlign w:val="center"/>
            <w:hideMark/>
          </w:tcPr>
          <w:p w14:paraId="5FCCEBBF"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35,28%</w:t>
            </w:r>
          </w:p>
        </w:tc>
        <w:tc>
          <w:tcPr>
            <w:tcW w:w="57" w:type="pct"/>
            <w:vAlign w:val="center"/>
            <w:hideMark/>
          </w:tcPr>
          <w:p w14:paraId="537CDBF9"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6E7708EB" w14:textId="77777777" w:rsidTr="004E0A27">
        <w:trPr>
          <w:cantSplit/>
          <w:trHeight w:val="315"/>
        </w:trPr>
        <w:tc>
          <w:tcPr>
            <w:tcW w:w="1731" w:type="pct"/>
            <w:tcBorders>
              <w:top w:val="nil"/>
              <w:left w:val="nil"/>
              <w:bottom w:val="nil"/>
              <w:right w:val="nil"/>
            </w:tcBorders>
            <w:shd w:val="clear" w:color="auto" w:fill="auto"/>
            <w:noWrap/>
            <w:vAlign w:val="center"/>
            <w:hideMark/>
          </w:tcPr>
          <w:p w14:paraId="0D83D2F3" w14:textId="77777777" w:rsidR="004E0A27" w:rsidRPr="004E0A27" w:rsidRDefault="004E0A27" w:rsidP="004E0A27">
            <w:pPr>
              <w:spacing w:after="0" w:line="240" w:lineRule="auto"/>
              <w:rPr>
                <w:color w:val="000000"/>
                <w:sz w:val="18"/>
                <w:szCs w:val="18"/>
                <w:lang w:eastAsia="sk-SK"/>
              </w:rPr>
            </w:pPr>
            <w:r w:rsidRPr="004E0A27">
              <w:rPr>
                <w:rFonts w:cs="Calibri"/>
                <w:color w:val="000000"/>
                <w:sz w:val="18"/>
                <w:szCs w:val="18"/>
                <w:lang w:eastAsia="sk-SK"/>
              </w:rPr>
              <w:t>Kapitálové výdavky</w:t>
            </w:r>
          </w:p>
        </w:tc>
        <w:tc>
          <w:tcPr>
            <w:tcW w:w="775" w:type="pct"/>
            <w:tcBorders>
              <w:top w:val="nil"/>
              <w:left w:val="nil"/>
              <w:bottom w:val="nil"/>
              <w:right w:val="nil"/>
            </w:tcBorders>
            <w:shd w:val="clear" w:color="auto" w:fill="auto"/>
            <w:noWrap/>
            <w:vAlign w:val="center"/>
            <w:hideMark/>
          </w:tcPr>
          <w:p w14:paraId="15406EF3"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23 810 769,76</w:t>
            </w:r>
          </w:p>
        </w:tc>
        <w:tc>
          <w:tcPr>
            <w:tcW w:w="729" w:type="pct"/>
            <w:tcBorders>
              <w:top w:val="nil"/>
              <w:left w:val="nil"/>
              <w:bottom w:val="nil"/>
              <w:right w:val="nil"/>
            </w:tcBorders>
            <w:shd w:val="clear" w:color="auto" w:fill="auto"/>
            <w:noWrap/>
            <w:vAlign w:val="center"/>
            <w:hideMark/>
          </w:tcPr>
          <w:p w14:paraId="63ED1C5E"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35 710 134,42</w:t>
            </w:r>
          </w:p>
        </w:tc>
        <w:tc>
          <w:tcPr>
            <w:tcW w:w="714" w:type="pct"/>
            <w:tcBorders>
              <w:top w:val="nil"/>
              <w:left w:val="nil"/>
              <w:bottom w:val="nil"/>
              <w:right w:val="nil"/>
            </w:tcBorders>
            <w:shd w:val="clear" w:color="auto" w:fill="auto"/>
            <w:noWrap/>
            <w:vAlign w:val="center"/>
            <w:hideMark/>
          </w:tcPr>
          <w:p w14:paraId="1A6635EA"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31 995 824,08</w:t>
            </w:r>
          </w:p>
        </w:tc>
        <w:tc>
          <w:tcPr>
            <w:tcW w:w="552" w:type="pct"/>
            <w:tcBorders>
              <w:top w:val="nil"/>
              <w:left w:val="nil"/>
              <w:bottom w:val="nil"/>
              <w:right w:val="nil"/>
            </w:tcBorders>
            <w:shd w:val="clear" w:color="auto" w:fill="auto"/>
            <w:noWrap/>
            <w:vAlign w:val="center"/>
            <w:hideMark/>
          </w:tcPr>
          <w:p w14:paraId="5E2F1DD5"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10 064 814,06</w:t>
            </w:r>
          </w:p>
        </w:tc>
        <w:tc>
          <w:tcPr>
            <w:tcW w:w="443" w:type="pct"/>
            <w:tcBorders>
              <w:top w:val="nil"/>
              <w:left w:val="nil"/>
              <w:bottom w:val="nil"/>
              <w:right w:val="nil"/>
            </w:tcBorders>
            <w:shd w:val="clear" w:color="auto" w:fill="auto"/>
            <w:noWrap/>
            <w:vAlign w:val="center"/>
            <w:hideMark/>
          </w:tcPr>
          <w:p w14:paraId="50986DB0"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31,46%</w:t>
            </w:r>
          </w:p>
        </w:tc>
        <w:tc>
          <w:tcPr>
            <w:tcW w:w="57" w:type="pct"/>
            <w:vAlign w:val="center"/>
            <w:hideMark/>
          </w:tcPr>
          <w:p w14:paraId="02B4D5B4"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7B083C2C" w14:textId="77777777" w:rsidTr="004E0A27">
        <w:trPr>
          <w:cantSplit/>
          <w:trHeight w:hRule="exact" w:val="315"/>
        </w:trPr>
        <w:tc>
          <w:tcPr>
            <w:tcW w:w="1731" w:type="pct"/>
            <w:tcBorders>
              <w:top w:val="single" w:sz="8" w:space="0" w:color="DCE6F1"/>
              <w:left w:val="nil"/>
              <w:bottom w:val="single" w:sz="8" w:space="0" w:color="DCE6F1"/>
              <w:right w:val="nil"/>
            </w:tcBorders>
            <w:shd w:val="clear" w:color="000000" w:fill="95B3D7"/>
            <w:noWrap/>
            <w:vAlign w:val="center"/>
            <w:hideMark/>
          </w:tcPr>
          <w:p w14:paraId="679E17DB" w14:textId="77777777" w:rsidR="004E0A27" w:rsidRPr="004E0A27" w:rsidRDefault="004E0A27" w:rsidP="004E0A27">
            <w:pPr>
              <w:spacing w:after="0" w:line="240" w:lineRule="auto"/>
              <w:rPr>
                <w:b/>
                <w:bCs/>
                <w:color w:val="000000"/>
                <w:sz w:val="20"/>
                <w:szCs w:val="20"/>
                <w:lang w:eastAsia="sk-SK"/>
              </w:rPr>
            </w:pPr>
            <w:r w:rsidRPr="004E0A27">
              <w:rPr>
                <w:rFonts w:cs="Calibri"/>
                <w:b/>
                <w:bCs/>
                <w:color w:val="000000"/>
                <w:sz w:val="20"/>
                <w:szCs w:val="20"/>
                <w:lang w:eastAsia="sk-SK"/>
              </w:rPr>
              <w:t>Bilancia kapitálového rozpočtu</w:t>
            </w:r>
          </w:p>
        </w:tc>
        <w:tc>
          <w:tcPr>
            <w:tcW w:w="775" w:type="pct"/>
            <w:tcBorders>
              <w:top w:val="single" w:sz="8" w:space="0" w:color="DCE6F1"/>
              <w:left w:val="nil"/>
              <w:bottom w:val="single" w:sz="8" w:space="0" w:color="DCE6F1"/>
              <w:right w:val="nil"/>
            </w:tcBorders>
            <w:shd w:val="clear" w:color="000000" w:fill="95B3D7"/>
            <w:noWrap/>
            <w:vAlign w:val="center"/>
            <w:hideMark/>
          </w:tcPr>
          <w:p w14:paraId="37062079"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-12 780 918,33</w:t>
            </w:r>
          </w:p>
        </w:tc>
        <w:tc>
          <w:tcPr>
            <w:tcW w:w="729" w:type="pct"/>
            <w:tcBorders>
              <w:top w:val="single" w:sz="8" w:space="0" w:color="DCE6F1"/>
              <w:left w:val="nil"/>
              <w:bottom w:val="single" w:sz="8" w:space="0" w:color="DCE6F1"/>
              <w:right w:val="nil"/>
            </w:tcBorders>
            <w:shd w:val="clear" w:color="000000" w:fill="95B3D7"/>
            <w:noWrap/>
            <w:vAlign w:val="center"/>
            <w:hideMark/>
          </w:tcPr>
          <w:p w14:paraId="01189BBA"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-24 497 683,87</w:t>
            </w:r>
          </w:p>
        </w:tc>
        <w:tc>
          <w:tcPr>
            <w:tcW w:w="714" w:type="pct"/>
            <w:tcBorders>
              <w:top w:val="single" w:sz="8" w:space="0" w:color="DCE6F1"/>
              <w:left w:val="nil"/>
              <w:bottom w:val="single" w:sz="8" w:space="0" w:color="DCE6F1"/>
              <w:right w:val="nil"/>
            </w:tcBorders>
            <w:shd w:val="clear" w:color="000000" w:fill="95B3D7"/>
            <w:noWrap/>
            <w:vAlign w:val="center"/>
            <w:hideMark/>
          </w:tcPr>
          <w:p w14:paraId="281AD2EA"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-20 374 526,38</w:t>
            </w:r>
          </w:p>
        </w:tc>
        <w:tc>
          <w:tcPr>
            <w:tcW w:w="552" w:type="pct"/>
            <w:tcBorders>
              <w:top w:val="single" w:sz="8" w:space="0" w:color="DCE6F1"/>
              <w:left w:val="nil"/>
              <w:bottom w:val="single" w:sz="8" w:space="0" w:color="DCE6F1"/>
              <w:right w:val="nil"/>
            </w:tcBorders>
            <w:shd w:val="clear" w:color="000000" w:fill="95B3D7"/>
            <w:noWrap/>
            <w:vAlign w:val="center"/>
            <w:hideMark/>
          </w:tcPr>
          <w:p w14:paraId="281A1228"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-5 964 296,28</w:t>
            </w:r>
          </w:p>
        </w:tc>
        <w:tc>
          <w:tcPr>
            <w:tcW w:w="443" w:type="pct"/>
            <w:tcBorders>
              <w:top w:val="single" w:sz="8" w:space="0" w:color="DCE6F1"/>
              <w:left w:val="nil"/>
              <w:bottom w:val="single" w:sz="8" w:space="0" w:color="DCE6F1"/>
              <w:right w:val="nil"/>
            </w:tcBorders>
            <w:shd w:val="clear" w:color="000000" w:fill="95B3D7"/>
            <w:noWrap/>
            <w:vAlign w:val="center"/>
            <w:hideMark/>
          </w:tcPr>
          <w:p w14:paraId="0B3761E3"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 </w:t>
            </w:r>
          </w:p>
        </w:tc>
        <w:tc>
          <w:tcPr>
            <w:tcW w:w="57" w:type="pct"/>
            <w:vAlign w:val="center"/>
            <w:hideMark/>
          </w:tcPr>
          <w:p w14:paraId="66B2F906"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40DCE4E0" w14:textId="77777777" w:rsidTr="004E0A27">
        <w:trPr>
          <w:cantSplit/>
          <w:trHeight w:val="300"/>
        </w:trPr>
        <w:tc>
          <w:tcPr>
            <w:tcW w:w="1731" w:type="pct"/>
            <w:tcBorders>
              <w:top w:val="nil"/>
              <w:left w:val="nil"/>
              <w:bottom w:val="nil"/>
              <w:right w:val="nil"/>
            </w:tcBorders>
            <w:shd w:val="clear" w:color="000000" w:fill="808080"/>
            <w:noWrap/>
            <w:vAlign w:val="center"/>
            <w:hideMark/>
          </w:tcPr>
          <w:p w14:paraId="05F9562E" w14:textId="77777777" w:rsidR="004E0A27" w:rsidRPr="004E0A27" w:rsidRDefault="004E0A27" w:rsidP="004E0A27">
            <w:pPr>
              <w:spacing w:after="0" w:line="240" w:lineRule="auto"/>
              <w:rPr>
                <w:b/>
                <w:bCs/>
                <w:color w:val="FFFFFF"/>
                <w:sz w:val="18"/>
                <w:szCs w:val="18"/>
                <w:lang w:eastAsia="sk-SK"/>
              </w:rPr>
            </w:pPr>
            <w:r w:rsidRPr="004E0A27">
              <w:rPr>
                <w:b/>
                <w:bCs/>
                <w:color w:val="FFFFFF"/>
                <w:sz w:val="18"/>
                <w:szCs w:val="18"/>
                <w:lang w:eastAsia="sk-SK"/>
              </w:rPr>
              <w:t>Bilancia bežného a kapitálového rozpočtu</w:t>
            </w:r>
          </w:p>
        </w:tc>
        <w:tc>
          <w:tcPr>
            <w:tcW w:w="775" w:type="pct"/>
            <w:tcBorders>
              <w:top w:val="nil"/>
              <w:left w:val="nil"/>
              <w:bottom w:val="nil"/>
              <w:right w:val="nil"/>
            </w:tcBorders>
            <w:shd w:val="clear" w:color="000000" w:fill="808080"/>
            <w:noWrap/>
            <w:vAlign w:val="center"/>
            <w:hideMark/>
          </w:tcPr>
          <w:p w14:paraId="496BCF4B" w14:textId="77777777" w:rsidR="004E0A27" w:rsidRPr="004E0A27" w:rsidRDefault="004E0A27" w:rsidP="004E0A27">
            <w:pPr>
              <w:spacing w:after="0" w:line="240" w:lineRule="auto"/>
              <w:jc w:val="right"/>
              <w:rPr>
                <w:b/>
                <w:bCs/>
                <w:color w:val="FFFFFF"/>
                <w:sz w:val="18"/>
                <w:szCs w:val="18"/>
                <w:lang w:eastAsia="sk-SK"/>
              </w:rPr>
            </w:pPr>
            <w:r w:rsidRPr="004E0A27">
              <w:rPr>
                <w:rFonts w:cs="Calibri"/>
                <w:b/>
                <w:bCs/>
                <w:color w:val="FFFFFF"/>
                <w:sz w:val="18"/>
                <w:szCs w:val="18"/>
                <w:lang w:eastAsia="sk-SK"/>
              </w:rPr>
              <w:t>-756 502,95</w:t>
            </w:r>
          </w:p>
        </w:tc>
        <w:tc>
          <w:tcPr>
            <w:tcW w:w="729" w:type="pct"/>
            <w:tcBorders>
              <w:top w:val="nil"/>
              <w:left w:val="nil"/>
              <w:bottom w:val="nil"/>
              <w:right w:val="nil"/>
            </w:tcBorders>
            <w:shd w:val="clear" w:color="000000" w:fill="808080"/>
            <w:noWrap/>
            <w:vAlign w:val="center"/>
            <w:hideMark/>
          </w:tcPr>
          <w:p w14:paraId="47FC4D02" w14:textId="77777777" w:rsidR="004E0A27" w:rsidRPr="004E0A27" w:rsidRDefault="004E0A27" w:rsidP="004E0A27">
            <w:pPr>
              <w:spacing w:after="0" w:line="240" w:lineRule="auto"/>
              <w:jc w:val="right"/>
              <w:rPr>
                <w:b/>
                <w:bCs/>
                <w:color w:val="FFFFFF"/>
                <w:sz w:val="18"/>
                <w:szCs w:val="18"/>
                <w:lang w:eastAsia="sk-SK"/>
              </w:rPr>
            </w:pPr>
            <w:r w:rsidRPr="004E0A27">
              <w:rPr>
                <w:rFonts w:cs="Calibri"/>
                <w:b/>
                <w:bCs/>
                <w:color w:val="FFFFFF"/>
                <w:sz w:val="18"/>
                <w:szCs w:val="18"/>
                <w:lang w:eastAsia="sk-SK"/>
              </w:rPr>
              <w:t>-20 238 428,10</w:t>
            </w:r>
          </w:p>
        </w:tc>
        <w:tc>
          <w:tcPr>
            <w:tcW w:w="714" w:type="pct"/>
            <w:tcBorders>
              <w:top w:val="nil"/>
              <w:left w:val="nil"/>
              <w:bottom w:val="nil"/>
              <w:right w:val="nil"/>
            </w:tcBorders>
            <w:shd w:val="clear" w:color="000000" w:fill="808080"/>
            <w:noWrap/>
            <w:vAlign w:val="center"/>
            <w:hideMark/>
          </w:tcPr>
          <w:p w14:paraId="35231A9F" w14:textId="77777777" w:rsidR="004E0A27" w:rsidRPr="004E0A27" w:rsidRDefault="004E0A27" w:rsidP="004E0A27">
            <w:pPr>
              <w:spacing w:after="0" w:line="240" w:lineRule="auto"/>
              <w:jc w:val="right"/>
              <w:rPr>
                <w:b/>
                <w:bCs/>
                <w:color w:val="FFFFFF"/>
                <w:sz w:val="18"/>
                <w:szCs w:val="18"/>
                <w:lang w:eastAsia="sk-SK"/>
              </w:rPr>
            </w:pPr>
            <w:r w:rsidRPr="004E0A27">
              <w:rPr>
                <w:rFonts w:cs="Calibri"/>
                <w:b/>
                <w:bCs/>
                <w:color w:val="FFFFFF"/>
                <w:sz w:val="18"/>
                <w:szCs w:val="18"/>
                <w:lang w:eastAsia="sk-SK"/>
              </w:rPr>
              <w:t>-16 815 388,70</w:t>
            </w:r>
          </w:p>
        </w:tc>
        <w:tc>
          <w:tcPr>
            <w:tcW w:w="552" w:type="pct"/>
            <w:tcBorders>
              <w:top w:val="nil"/>
              <w:left w:val="nil"/>
              <w:bottom w:val="nil"/>
              <w:right w:val="nil"/>
            </w:tcBorders>
            <w:shd w:val="clear" w:color="000000" w:fill="808080"/>
            <w:noWrap/>
            <w:vAlign w:val="center"/>
            <w:hideMark/>
          </w:tcPr>
          <w:p w14:paraId="1EC117E3" w14:textId="77777777" w:rsidR="004E0A27" w:rsidRPr="004E0A27" w:rsidRDefault="004E0A27" w:rsidP="004E0A27">
            <w:pPr>
              <w:spacing w:after="0" w:line="240" w:lineRule="auto"/>
              <w:jc w:val="right"/>
              <w:rPr>
                <w:b/>
                <w:bCs/>
                <w:color w:val="FFFFFF"/>
                <w:sz w:val="18"/>
                <w:szCs w:val="18"/>
                <w:lang w:eastAsia="sk-SK"/>
              </w:rPr>
            </w:pPr>
            <w:r w:rsidRPr="004E0A27">
              <w:rPr>
                <w:rFonts w:cs="Calibri"/>
                <w:b/>
                <w:bCs/>
                <w:color w:val="FFFFFF"/>
                <w:sz w:val="18"/>
                <w:szCs w:val="18"/>
                <w:lang w:eastAsia="sk-SK"/>
              </w:rPr>
              <w:t>13 821 752,71</w:t>
            </w:r>
          </w:p>
        </w:tc>
        <w:tc>
          <w:tcPr>
            <w:tcW w:w="443" w:type="pct"/>
            <w:tcBorders>
              <w:top w:val="nil"/>
              <w:left w:val="nil"/>
              <w:bottom w:val="nil"/>
              <w:right w:val="nil"/>
            </w:tcBorders>
            <w:shd w:val="clear" w:color="000000" w:fill="808080"/>
            <w:noWrap/>
            <w:vAlign w:val="center"/>
            <w:hideMark/>
          </w:tcPr>
          <w:p w14:paraId="70BE15EF" w14:textId="77777777" w:rsidR="004E0A27" w:rsidRPr="004E0A27" w:rsidRDefault="004E0A27" w:rsidP="004E0A27">
            <w:pPr>
              <w:spacing w:after="0" w:line="240" w:lineRule="auto"/>
              <w:jc w:val="right"/>
              <w:rPr>
                <w:b/>
                <w:bCs/>
                <w:color w:val="FFFFFF"/>
                <w:sz w:val="18"/>
                <w:szCs w:val="18"/>
                <w:lang w:eastAsia="sk-SK"/>
              </w:rPr>
            </w:pPr>
            <w:r w:rsidRPr="004E0A27">
              <w:rPr>
                <w:rFonts w:cs="Calibri"/>
                <w:b/>
                <w:bCs/>
                <w:color w:val="FFFFFF"/>
                <w:sz w:val="18"/>
                <w:szCs w:val="18"/>
                <w:lang w:eastAsia="sk-SK"/>
              </w:rPr>
              <w:t> </w:t>
            </w:r>
          </w:p>
        </w:tc>
        <w:tc>
          <w:tcPr>
            <w:tcW w:w="57" w:type="pct"/>
            <w:vAlign w:val="center"/>
            <w:hideMark/>
          </w:tcPr>
          <w:p w14:paraId="475C740D"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2C72A0CD" w14:textId="77777777" w:rsidTr="004E0A27">
        <w:trPr>
          <w:cantSplit/>
          <w:trHeight w:hRule="exact" w:val="300"/>
        </w:trPr>
        <w:tc>
          <w:tcPr>
            <w:tcW w:w="1731" w:type="pct"/>
            <w:tcBorders>
              <w:top w:val="nil"/>
              <w:left w:val="nil"/>
              <w:bottom w:val="nil"/>
              <w:right w:val="nil"/>
            </w:tcBorders>
            <w:shd w:val="clear" w:color="auto" w:fill="auto"/>
            <w:noWrap/>
            <w:vAlign w:val="center"/>
            <w:hideMark/>
          </w:tcPr>
          <w:p w14:paraId="75452A28" w14:textId="77777777" w:rsidR="004E0A27" w:rsidRPr="004E0A27" w:rsidRDefault="004E0A27" w:rsidP="004E0A27">
            <w:pPr>
              <w:spacing w:after="0" w:line="240" w:lineRule="auto"/>
              <w:rPr>
                <w:color w:val="000000"/>
                <w:sz w:val="18"/>
                <w:szCs w:val="18"/>
                <w:lang w:eastAsia="sk-SK"/>
              </w:rPr>
            </w:pPr>
            <w:r w:rsidRPr="004E0A27">
              <w:rPr>
                <w:rFonts w:cs="Calibri"/>
                <w:color w:val="000000"/>
                <w:sz w:val="18"/>
                <w:szCs w:val="18"/>
                <w:lang w:eastAsia="sk-SK"/>
              </w:rPr>
              <w:t>Príjmové finančné operácie</w:t>
            </w:r>
          </w:p>
        </w:tc>
        <w:tc>
          <w:tcPr>
            <w:tcW w:w="775" w:type="pct"/>
            <w:tcBorders>
              <w:top w:val="nil"/>
              <w:left w:val="nil"/>
              <w:bottom w:val="nil"/>
              <w:right w:val="nil"/>
            </w:tcBorders>
            <w:shd w:val="clear" w:color="auto" w:fill="auto"/>
            <w:noWrap/>
            <w:vAlign w:val="center"/>
            <w:hideMark/>
          </w:tcPr>
          <w:p w14:paraId="796F36FD"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19 548 920,34</w:t>
            </w:r>
          </w:p>
        </w:tc>
        <w:tc>
          <w:tcPr>
            <w:tcW w:w="729" w:type="pct"/>
            <w:tcBorders>
              <w:top w:val="nil"/>
              <w:left w:val="nil"/>
              <w:bottom w:val="nil"/>
              <w:right w:val="nil"/>
            </w:tcBorders>
            <w:shd w:val="clear" w:color="auto" w:fill="auto"/>
            <w:noWrap/>
            <w:vAlign w:val="center"/>
            <w:hideMark/>
          </w:tcPr>
          <w:p w14:paraId="3A9D8EDB"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24 313 596,52</w:t>
            </w:r>
          </w:p>
        </w:tc>
        <w:tc>
          <w:tcPr>
            <w:tcW w:w="714" w:type="pct"/>
            <w:tcBorders>
              <w:top w:val="nil"/>
              <w:left w:val="nil"/>
              <w:bottom w:val="nil"/>
              <w:right w:val="nil"/>
            </w:tcBorders>
            <w:shd w:val="clear" w:color="auto" w:fill="auto"/>
            <w:noWrap/>
            <w:vAlign w:val="center"/>
            <w:hideMark/>
          </w:tcPr>
          <w:p w14:paraId="497E46A4"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20 918 057,12</w:t>
            </w:r>
          </w:p>
        </w:tc>
        <w:tc>
          <w:tcPr>
            <w:tcW w:w="552" w:type="pct"/>
            <w:tcBorders>
              <w:top w:val="nil"/>
              <w:left w:val="nil"/>
              <w:bottom w:val="nil"/>
              <w:right w:val="nil"/>
            </w:tcBorders>
            <w:shd w:val="clear" w:color="auto" w:fill="auto"/>
            <w:noWrap/>
            <w:vAlign w:val="center"/>
            <w:hideMark/>
          </w:tcPr>
          <w:p w14:paraId="0C68EEAD"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16 851 529,99</w:t>
            </w:r>
          </w:p>
        </w:tc>
        <w:tc>
          <w:tcPr>
            <w:tcW w:w="443" w:type="pct"/>
            <w:tcBorders>
              <w:top w:val="nil"/>
              <w:left w:val="nil"/>
              <w:bottom w:val="nil"/>
              <w:right w:val="nil"/>
            </w:tcBorders>
            <w:shd w:val="clear" w:color="auto" w:fill="auto"/>
            <w:noWrap/>
            <w:vAlign w:val="center"/>
            <w:hideMark/>
          </w:tcPr>
          <w:p w14:paraId="3099284F"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80,56%</w:t>
            </w:r>
          </w:p>
        </w:tc>
        <w:tc>
          <w:tcPr>
            <w:tcW w:w="57" w:type="pct"/>
            <w:vAlign w:val="center"/>
            <w:hideMark/>
          </w:tcPr>
          <w:p w14:paraId="7EAC20C8"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2B62A40A" w14:textId="77777777" w:rsidTr="004E0A27">
        <w:trPr>
          <w:cantSplit/>
          <w:trHeight w:val="315"/>
        </w:trPr>
        <w:tc>
          <w:tcPr>
            <w:tcW w:w="1731" w:type="pct"/>
            <w:tcBorders>
              <w:top w:val="nil"/>
              <w:left w:val="nil"/>
              <w:bottom w:val="nil"/>
              <w:right w:val="nil"/>
            </w:tcBorders>
            <w:shd w:val="clear" w:color="auto" w:fill="auto"/>
            <w:noWrap/>
            <w:vAlign w:val="center"/>
            <w:hideMark/>
          </w:tcPr>
          <w:p w14:paraId="448FB3F6" w14:textId="77777777" w:rsidR="004E0A27" w:rsidRPr="004E0A27" w:rsidRDefault="004E0A27" w:rsidP="004E0A27">
            <w:pPr>
              <w:spacing w:after="0" w:line="240" w:lineRule="auto"/>
              <w:rPr>
                <w:color w:val="000000"/>
                <w:sz w:val="18"/>
                <w:szCs w:val="18"/>
                <w:lang w:eastAsia="sk-SK"/>
              </w:rPr>
            </w:pPr>
            <w:r w:rsidRPr="004E0A27">
              <w:rPr>
                <w:rFonts w:cs="Calibri"/>
                <w:color w:val="000000"/>
                <w:sz w:val="18"/>
                <w:szCs w:val="18"/>
                <w:lang w:eastAsia="sk-SK"/>
              </w:rPr>
              <w:t>Výdavkové finančné operácie</w:t>
            </w:r>
          </w:p>
        </w:tc>
        <w:tc>
          <w:tcPr>
            <w:tcW w:w="775" w:type="pct"/>
            <w:tcBorders>
              <w:top w:val="nil"/>
              <w:left w:val="nil"/>
              <w:bottom w:val="nil"/>
              <w:right w:val="nil"/>
            </w:tcBorders>
            <w:shd w:val="clear" w:color="auto" w:fill="auto"/>
            <w:noWrap/>
            <w:vAlign w:val="center"/>
            <w:hideMark/>
          </w:tcPr>
          <w:p w14:paraId="57F7B5E3"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4 085 016,79</w:t>
            </w:r>
          </w:p>
        </w:tc>
        <w:tc>
          <w:tcPr>
            <w:tcW w:w="729" w:type="pct"/>
            <w:tcBorders>
              <w:top w:val="nil"/>
              <w:left w:val="nil"/>
              <w:bottom w:val="nil"/>
              <w:right w:val="nil"/>
            </w:tcBorders>
            <w:shd w:val="clear" w:color="auto" w:fill="auto"/>
            <w:noWrap/>
            <w:vAlign w:val="center"/>
            <w:hideMark/>
          </w:tcPr>
          <w:p w14:paraId="5509B748"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4 075 168,42</w:t>
            </w:r>
          </w:p>
        </w:tc>
        <w:tc>
          <w:tcPr>
            <w:tcW w:w="714" w:type="pct"/>
            <w:tcBorders>
              <w:top w:val="nil"/>
              <w:left w:val="nil"/>
              <w:bottom w:val="nil"/>
              <w:right w:val="nil"/>
            </w:tcBorders>
            <w:shd w:val="clear" w:color="auto" w:fill="auto"/>
            <w:noWrap/>
            <w:vAlign w:val="center"/>
            <w:hideMark/>
          </w:tcPr>
          <w:p w14:paraId="70C91B9F"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4 102 668,42</w:t>
            </w:r>
          </w:p>
        </w:tc>
        <w:tc>
          <w:tcPr>
            <w:tcW w:w="552" w:type="pct"/>
            <w:tcBorders>
              <w:top w:val="nil"/>
              <w:left w:val="nil"/>
              <w:bottom w:val="nil"/>
              <w:right w:val="nil"/>
            </w:tcBorders>
            <w:shd w:val="clear" w:color="auto" w:fill="auto"/>
            <w:noWrap/>
            <w:vAlign w:val="center"/>
            <w:hideMark/>
          </w:tcPr>
          <w:p w14:paraId="6E359420"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4 556 130,35</w:t>
            </w:r>
          </w:p>
        </w:tc>
        <w:tc>
          <w:tcPr>
            <w:tcW w:w="443" w:type="pct"/>
            <w:tcBorders>
              <w:top w:val="nil"/>
              <w:left w:val="nil"/>
              <w:bottom w:val="nil"/>
              <w:right w:val="nil"/>
            </w:tcBorders>
            <w:shd w:val="clear" w:color="auto" w:fill="auto"/>
            <w:noWrap/>
            <w:vAlign w:val="center"/>
            <w:hideMark/>
          </w:tcPr>
          <w:p w14:paraId="18808916"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111,05%</w:t>
            </w:r>
          </w:p>
        </w:tc>
        <w:tc>
          <w:tcPr>
            <w:tcW w:w="57" w:type="pct"/>
            <w:vAlign w:val="center"/>
            <w:hideMark/>
          </w:tcPr>
          <w:p w14:paraId="1617D568"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32756413" w14:textId="77777777" w:rsidTr="004E0A27">
        <w:trPr>
          <w:cantSplit/>
          <w:trHeight w:hRule="exact" w:val="315"/>
        </w:trPr>
        <w:tc>
          <w:tcPr>
            <w:tcW w:w="1731" w:type="pct"/>
            <w:tcBorders>
              <w:top w:val="single" w:sz="8" w:space="0" w:color="DCE6F1"/>
              <w:left w:val="nil"/>
              <w:bottom w:val="single" w:sz="8" w:space="0" w:color="DCE6F1"/>
              <w:right w:val="nil"/>
            </w:tcBorders>
            <w:shd w:val="clear" w:color="000000" w:fill="95B3D7"/>
            <w:noWrap/>
            <w:vAlign w:val="center"/>
            <w:hideMark/>
          </w:tcPr>
          <w:p w14:paraId="023BE263" w14:textId="77777777" w:rsidR="004E0A27" w:rsidRPr="004E0A27" w:rsidRDefault="004E0A27" w:rsidP="004E0A27">
            <w:pPr>
              <w:spacing w:after="0" w:line="240" w:lineRule="auto"/>
              <w:rPr>
                <w:b/>
                <w:bCs/>
                <w:color w:val="000000"/>
                <w:sz w:val="20"/>
                <w:szCs w:val="20"/>
                <w:lang w:eastAsia="sk-SK"/>
              </w:rPr>
            </w:pPr>
            <w:r w:rsidRPr="004E0A27">
              <w:rPr>
                <w:rFonts w:cs="Calibri"/>
                <w:b/>
                <w:bCs/>
                <w:color w:val="000000"/>
                <w:sz w:val="20"/>
                <w:szCs w:val="20"/>
                <w:lang w:eastAsia="sk-SK"/>
              </w:rPr>
              <w:t>Bilancia finančných operácií</w:t>
            </w:r>
          </w:p>
        </w:tc>
        <w:tc>
          <w:tcPr>
            <w:tcW w:w="775" w:type="pct"/>
            <w:tcBorders>
              <w:top w:val="single" w:sz="8" w:space="0" w:color="DCE6F1"/>
              <w:left w:val="nil"/>
              <w:bottom w:val="single" w:sz="8" w:space="0" w:color="DCE6F1"/>
              <w:right w:val="nil"/>
            </w:tcBorders>
            <w:shd w:val="clear" w:color="000000" w:fill="95B3D7"/>
            <w:noWrap/>
            <w:vAlign w:val="center"/>
            <w:hideMark/>
          </w:tcPr>
          <w:p w14:paraId="4E689FC5"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15 463 903,55</w:t>
            </w:r>
          </w:p>
        </w:tc>
        <w:tc>
          <w:tcPr>
            <w:tcW w:w="729" w:type="pct"/>
            <w:tcBorders>
              <w:top w:val="single" w:sz="8" w:space="0" w:color="DCE6F1"/>
              <w:left w:val="nil"/>
              <w:bottom w:val="single" w:sz="8" w:space="0" w:color="DCE6F1"/>
              <w:right w:val="nil"/>
            </w:tcBorders>
            <w:shd w:val="clear" w:color="000000" w:fill="95B3D7"/>
            <w:noWrap/>
            <w:vAlign w:val="center"/>
            <w:hideMark/>
          </w:tcPr>
          <w:p w14:paraId="1EC61E10"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20 238 428,10</w:t>
            </w:r>
          </w:p>
        </w:tc>
        <w:tc>
          <w:tcPr>
            <w:tcW w:w="714" w:type="pct"/>
            <w:tcBorders>
              <w:top w:val="single" w:sz="8" w:space="0" w:color="DCE6F1"/>
              <w:left w:val="nil"/>
              <w:bottom w:val="single" w:sz="8" w:space="0" w:color="DCE6F1"/>
              <w:right w:val="nil"/>
            </w:tcBorders>
            <w:shd w:val="clear" w:color="000000" w:fill="95B3D7"/>
            <w:noWrap/>
            <w:vAlign w:val="center"/>
            <w:hideMark/>
          </w:tcPr>
          <w:p w14:paraId="317C1FF5"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16 815 388,70</w:t>
            </w:r>
          </w:p>
        </w:tc>
        <w:tc>
          <w:tcPr>
            <w:tcW w:w="552" w:type="pct"/>
            <w:tcBorders>
              <w:top w:val="single" w:sz="8" w:space="0" w:color="DCE6F1"/>
              <w:left w:val="nil"/>
              <w:bottom w:val="single" w:sz="8" w:space="0" w:color="DCE6F1"/>
              <w:right w:val="nil"/>
            </w:tcBorders>
            <w:shd w:val="clear" w:color="000000" w:fill="95B3D7"/>
            <w:noWrap/>
            <w:vAlign w:val="center"/>
            <w:hideMark/>
          </w:tcPr>
          <w:p w14:paraId="01E2D32C"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12 295 399,64</w:t>
            </w:r>
          </w:p>
        </w:tc>
        <w:tc>
          <w:tcPr>
            <w:tcW w:w="443" w:type="pct"/>
            <w:tcBorders>
              <w:top w:val="single" w:sz="8" w:space="0" w:color="DCE6F1"/>
              <w:left w:val="nil"/>
              <w:bottom w:val="single" w:sz="8" w:space="0" w:color="DCE6F1"/>
              <w:right w:val="nil"/>
            </w:tcBorders>
            <w:shd w:val="clear" w:color="000000" w:fill="95B3D7"/>
            <w:noWrap/>
            <w:vAlign w:val="center"/>
            <w:hideMark/>
          </w:tcPr>
          <w:p w14:paraId="75CBF84D"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 </w:t>
            </w:r>
          </w:p>
        </w:tc>
        <w:tc>
          <w:tcPr>
            <w:tcW w:w="57" w:type="pct"/>
            <w:vAlign w:val="center"/>
            <w:hideMark/>
          </w:tcPr>
          <w:p w14:paraId="2D01A075"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5935A7A6" w14:textId="77777777" w:rsidTr="004E0A27">
        <w:trPr>
          <w:cantSplit/>
          <w:trHeight w:val="300"/>
        </w:trPr>
        <w:tc>
          <w:tcPr>
            <w:tcW w:w="1731" w:type="pct"/>
            <w:tcBorders>
              <w:top w:val="nil"/>
              <w:left w:val="nil"/>
              <w:bottom w:val="nil"/>
              <w:right w:val="nil"/>
            </w:tcBorders>
            <w:shd w:val="clear" w:color="000000" w:fill="D9D9D9"/>
            <w:noWrap/>
            <w:vAlign w:val="center"/>
            <w:hideMark/>
          </w:tcPr>
          <w:p w14:paraId="5C8CEFE3" w14:textId="77777777" w:rsidR="004E0A27" w:rsidRPr="004E0A27" w:rsidRDefault="004E0A27" w:rsidP="004E0A27">
            <w:pPr>
              <w:spacing w:after="0" w:line="240" w:lineRule="auto"/>
              <w:rPr>
                <w:color w:val="000000"/>
                <w:sz w:val="18"/>
                <w:szCs w:val="18"/>
                <w:lang w:eastAsia="sk-SK"/>
              </w:rPr>
            </w:pPr>
            <w:r w:rsidRPr="004E0A27">
              <w:rPr>
                <w:color w:val="000000"/>
                <w:sz w:val="18"/>
                <w:szCs w:val="18"/>
                <w:lang w:eastAsia="sk-SK"/>
              </w:rPr>
              <w:t>Príjmy a príjmové finančné operácie</w:t>
            </w:r>
          </w:p>
        </w:tc>
        <w:tc>
          <w:tcPr>
            <w:tcW w:w="775" w:type="pct"/>
            <w:tcBorders>
              <w:top w:val="nil"/>
              <w:left w:val="nil"/>
              <w:bottom w:val="nil"/>
              <w:right w:val="nil"/>
            </w:tcBorders>
            <w:shd w:val="clear" w:color="000000" w:fill="D9D9D9"/>
            <w:noWrap/>
            <w:vAlign w:val="center"/>
            <w:hideMark/>
          </w:tcPr>
          <w:p w14:paraId="25DBC024"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196 830 568,85</w:t>
            </w:r>
          </w:p>
        </w:tc>
        <w:tc>
          <w:tcPr>
            <w:tcW w:w="729" w:type="pct"/>
            <w:tcBorders>
              <w:top w:val="nil"/>
              <w:left w:val="nil"/>
              <w:bottom w:val="nil"/>
              <w:right w:val="nil"/>
            </w:tcBorders>
            <w:shd w:val="clear" w:color="000000" w:fill="D9D9D9"/>
            <w:noWrap/>
            <w:vAlign w:val="center"/>
            <w:hideMark/>
          </w:tcPr>
          <w:p w14:paraId="7A66F566"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210 708 035,37</w:t>
            </w:r>
          </w:p>
        </w:tc>
        <w:tc>
          <w:tcPr>
            <w:tcW w:w="714" w:type="pct"/>
            <w:tcBorders>
              <w:top w:val="nil"/>
              <w:left w:val="nil"/>
              <w:bottom w:val="nil"/>
              <w:right w:val="nil"/>
            </w:tcBorders>
            <w:shd w:val="clear" w:color="000000" w:fill="D9D9D9"/>
            <w:noWrap/>
            <w:vAlign w:val="center"/>
            <w:hideMark/>
          </w:tcPr>
          <w:p w14:paraId="5AE13F77"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210 320 242,02</w:t>
            </w:r>
          </w:p>
        </w:tc>
        <w:tc>
          <w:tcPr>
            <w:tcW w:w="552" w:type="pct"/>
            <w:tcBorders>
              <w:top w:val="nil"/>
              <w:left w:val="nil"/>
              <w:bottom w:val="nil"/>
              <w:right w:val="nil"/>
            </w:tcBorders>
            <w:shd w:val="clear" w:color="000000" w:fill="D9D9D9"/>
            <w:noWrap/>
            <w:vAlign w:val="center"/>
            <w:hideMark/>
          </w:tcPr>
          <w:p w14:paraId="0E4CAA5A"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196 565 475,81</w:t>
            </w:r>
          </w:p>
        </w:tc>
        <w:tc>
          <w:tcPr>
            <w:tcW w:w="443" w:type="pct"/>
            <w:tcBorders>
              <w:top w:val="nil"/>
              <w:left w:val="nil"/>
              <w:bottom w:val="nil"/>
              <w:right w:val="nil"/>
            </w:tcBorders>
            <w:shd w:val="clear" w:color="000000" w:fill="D9D9D9"/>
            <w:noWrap/>
            <w:vAlign w:val="center"/>
            <w:hideMark/>
          </w:tcPr>
          <w:p w14:paraId="2E2FE450"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93,46%</w:t>
            </w:r>
          </w:p>
        </w:tc>
        <w:tc>
          <w:tcPr>
            <w:tcW w:w="57" w:type="pct"/>
            <w:vAlign w:val="center"/>
            <w:hideMark/>
          </w:tcPr>
          <w:p w14:paraId="7E568B94"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4BFE968F" w14:textId="77777777" w:rsidTr="004E0A27">
        <w:trPr>
          <w:cantSplit/>
          <w:trHeight w:hRule="exact" w:val="300"/>
        </w:trPr>
        <w:tc>
          <w:tcPr>
            <w:tcW w:w="1731" w:type="pct"/>
            <w:tcBorders>
              <w:top w:val="nil"/>
              <w:left w:val="nil"/>
              <w:bottom w:val="nil"/>
              <w:right w:val="nil"/>
            </w:tcBorders>
            <w:shd w:val="clear" w:color="000000" w:fill="D9D9D9"/>
            <w:noWrap/>
            <w:vAlign w:val="center"/>
            <w:hideMark/>
          </w:tcPr>
          <w:p w14:paraId="7A6D60F2" w14:textId="77777777" w:rsidR="004E0A27" w:rsidRPr="004E0A27" w:rsidRDefault="004E0A27" w:rsidP="004E0A27">
            <w:pPr>
              <w:spacing w:after="0" w:line="240" w:lineRule="auto"/>
              <w:rPr>
                <w:color w:val="000000"/>
                <w:sz w:val="18"/>
                <w:szCs w:val="18"/>
                <w:lang w:eastAsia="sk-SK"/>
              </w:rPr>
            </w:pPr>
            <w:r w:rsidRPr="004E0A27">
              <w:rPr>
                <w:color w:val="000000"/>
                <w:sz w:val="18"/>
                <w:szCs w:val="18"/>
                <w:lang w:eastAsia="sk-SK"/>
              </w:rPr>
              <w:t>Výdavky  a výdavkové finančné operácie</w:t>
            </w:r>
          </w:p>
        </w:tc>
        <w:tc>
          <w:tcPr>
            <w:tcW w:w="775" w:type="pct"/>
            <w:tcBorders>
              <w:top w:val="nil"/>
              <w:left w:val="nil"/>
              <w:bottom w:val="nil"/>
              <w:right w:val="nil"/>
            </w:tcBorders>
            <w:shd w:val="clear" w:color="000000" w:fill="D9D9D9"/>
            <w:noWrap/>
            <w:vAlign w:val="center"/>
            <w:hideMark/>
          </w:tcPr>
          <w:p w14:paraId="512D155B"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182 123 168,25</w:t>
            </w:r>
          </w:p>
        </w:tc>
        <w:tc>
          <w:tcPr>
            <w:tcW w:w="729" w:type="pct"/>
            <w:tcBorders>
              <w:top w:val="nil"/>
              <w:left w:val="nil"/>
              <w:bottom w:val="nil"/>
              <w:right w:val="nil"/>
            </w:tcBorders>
            <w:shd w:val="clear" w:color="000000" w:fill="D9D9D9"/>
            <w:noWrap/>
            <w:vAlign w:val="center"/>
            <w:hideMark/>
          </w:tcPr>
          <w:p w14:paraId="49991E32"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210 708 035,37</w:t>
            </w:r>
          </w:p>
        </w:tc>
        <w:tc>
          <w:tcPr>
            <w:tcW w:w="714" w:type="pct"/>
            <w:tcBorders>
              <w:top w:val="nil"/>
              <w:left w:val="nil"/>
              <w:bottom w:val="nil"/>
              <w:right w:val="nil"/>
            </w:tcBorders>
            <w:shd w:val="clear" w:color="000000" w:fill="D9D9D9"/>
            <w:noWrap/>
            <w:vAlign w:val="center"/>
            <w:hideMark/>
          </w:tcPr>
          <w:p w14:paraId="122851B6"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210 320 242,02</w:t>
            </w:r>
          </w:p>
        </w:tc>
        <w:tc>
          <w:tcPr>
            <w:tcW w:w="552" w:type="pct"/>
            <w:tcBorders>
              <w:top w:val="nil"/>
              <w:left w:val="nil"/>
              <w:bottom w:val="nil"/>
              <w:right w:val="nil"/>
            </w:tcBorders>
            <w:shd w:val="clear" w:color="000000" w:fill="D9D9D9"/>
            <w:noWrap/>
            <w:vAlign w:val="center"/>
            <w:hideMark/>
          </w:tcPr>
          <w:p w14:paraId="2FD37C06"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170 448 323,46</w:t>
            </w:r>
          </w:p>
        </w:tc>
        <w:tc>
          <w:tcPr>
            <w:tcW w:w="443" w:type="pct"/>
            <w:tcBorders>
              <w:top w:val="nil"/>
              <w:left w:val="nil"/>
              <w:bottom w:val="nil"/>
              <w:right w:val="nil"/>
            </w:tcBorders>
            <w:shd w:val="clear" w:color="000000" w:fill="D9D9D9"/>
            <w:noWrap/>
            <w:vAlign w:val="center"/>
            <w:hideMark/>
          </w:tcPr>
          <w:p w14:paraId="5F49C1E7" w14:textId="77777777" w:rsidR="004E0A27" w:rsidRPr="004E0A27" w:rsidRDefault="004E0A27" w:rsidP="004E0A27">
            <w:pPr>
              <w:spacing w:after="0" w:line="240" w:lineRule="auto"/>
              <w:jc w:val="right"/>
              <w:rPr>
                <w:color w:val="000000"/>
                <w:sz w:val="18"/>
                <w:szCs w:val="18"/>
                <w:lang w:eastAsia="sk-SK"/>
              </w:rPr>
            </w:pPr>
            <w:r w:rsidRPr="004E0A27">
              <w:rPr>
                <w:rFonts w:cs="Calibri"/>
                <w:color w:val="000000"/>
                <w:sz w:val="18"/>
                <w:szCs w:val="18"/>
                <w:lang w:eastAsia="sk-SK"/>
              </w:rPr>
              <w:t>81,04%</w:t>
            </w:r>
          </w:p>
        </w:tc>
        <w:tc>
          <w:tcPr>
            <w:tcW w:w="57" w:type="pct"/>
            <w:vAlign w:val="center"/>
            <w:hideMark/>
          </w:tcPr>
          <w:p w14:paraId="2BA09EF3"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0558638A" w14:textId="77777777" w:rsidTr="004E0A27">
        <w:trPr>
          <w:trHeight w:val="300"/>
        </w:trPr>
        <w:tc>
          <w:tcPr>
            <w:tcW w:w="1731" w:type="pct"/>
            <w:tcBorders>
              <w:top w:val="nil"/>
              <w:left w:val="nil"/>
              <w:bottom w:val="nil"/>
              <w:right w:val="nil"/>
            </w:tcBorders>
            <w:shd w:val="clear" w:color="000000" w:fill="808080"/>
            <w:noWrap/>
            <w:vAlign w:val="center"/>
            <w:hideMark/>
          </w:tcPr>
          <w:p w14:paraId="00E2D454" w14:textId="77777777" w:rsidR="004E0A27" w:rsidRPr="004E0A27" w:rsidRDefault="004E0A27" w:rsidP="004E0A27">
            <w:pPr>
              <w:spacing w:after="0" w:line="240" w:lineRule="auto"/>
              <w:rPr>
                <w:b/>
                <w:bCs/>
                <w:color w:val="FFFFFF"/>
                <w:sz w:val="20"/>
                <w:szCs w:val="20"/>
                <w:lang w:eastAsia="sk-SK"/>
              </w:rPr>
            </w:pPr>
            <w:r w:rsidRPr="004E0A27">
              <w:rPr>
                <w:b/>
                <w:bCs/>
                <w:color w:val="FFFFFF"/>
                <w:sz w:val="20"/>
                <w:szCs w:val="20"/>
                <w:lang w:eastAsia="sk-SK"/>
              </w:rPr>
              <w:t>Bilancia rozpočtu vrátane fin. operácií</w:t>
            </w:r>
          </w:p>
        </w:tc>
        <w:tc>
          <w:tcPr>
            <w:tcW w:w="775" w:type="pct"/>
            <w:tcBorders>
              <w:top w:val="nil"/>
              <w:left w:val="nil"/>
              <w:bottom w:val="nil"/>
              <w:right w:val="nil"/>
            </w:tcBorders>
            <w:shd w:val="clear" w:color="000000" w:fill="808080"/>
            <w:noWrap/>
            <w:vAlign w:val="center"/>
            <w:hideMark/>
          </w:tcPr>
          <w:p w14:paraId="18F84EF8" w14:textId="77777777" w:rsidR="004E0A27" w:rsidRPr="004E0A27" w:rsidRDefault="004E0A27" w:rsidP="004E0A27">
            <w:pPr>
              <w:spacing w:after="0" w:line="240" w:lineRule="auto"/>
              <w:jc w:val="right"/>
              <w:rPr>
                <w:b/>
                <w:bCs/>
                <w:color w:val="FFFFFF"/>
                <w:sz w:val="20"/>
                <w:szCs w:val="20"/>
                <w:lang w:eastAsia="sk-SK"/>
              </w:rPr>
            </w:pPr>
            <w:r w:rsidRPr="004E0A27">
              <w:rPr>
                <w:rFonts w:cs="Calibri"/>
                <w:b/>
                <w:bCs/>
                <w:color w:val="FFFFFF"/>
                <w:sz w:val="20"/>
                <w:szCs w:val="20"/>
                <w:lang w:eastAsia="sk-SK"/>
              </w:rPr>
              <w:t>14 707 400,60</w:t>
            </w:r>
          </w:p>
        </w:tc>
        <w:tc>
          <w:tcPr>
            <w:tcW w:w="729" w:type="pct"/>
            <w:tcBorders>
              <w:top w:val="nil"/>
              <w:left w:val="nil"/>
              <w:bottom w:val="nil"/>
              <w:right w:val="nil"/>
            </w:tcBorders>
            <w:shd w:val="clear" w:color="000000" w:fill="808080"/>
            <w:noWrap/>
            <w:vAlign w:val="center"/>
            <w:hideMark/>
          </w:tcPr>
          <w:p w14:paraId="08FA3945" w14:textId="77777777" w:rsidR="004E0A27" w:rsidRPr="004E0A27" w:rsidRDefault="004E0A27" w:rsidP="004E0A27">
            <w:pPr>
              <w:spacing w:after="0" w:line="240" w:lineRule="auto"/>
              <w:jc w:val="right"/>
              <w:rPr>
                <w:b/>
                <w:bCs/>
                <w:color w:val="FFFFFF"/>
                <w:sz w:val="20"/>
                <w:szCs w:val="20"/>
                <w:lang w:eastAsia="sk-SK"/>
              </w:rPr>
            </w:pPr>
            <w:r w:rsidRPr="004E0A27">
              <w:rPr>
                <w:rFonts w:cs="Calibri"/>
                <w:b/>
                <w:bCs/>
                <w:color w:val="FFFFFF"/>
                <w:sz w:val="20"/>
                <w:szCs w:val="20"/>
                <w:lang w:eastAsia="sk-SK"/>
              </w:rPr>
              <w:t>0,00</w:t>
            </w:r>
          </w:p>
        </w:tc>
        <w:tc>
          <w:tcPr>
            <w:tcW w:w="714" w:type="pct"/>
            <w:tcBorders>
              <w:top w:val="nil"/>
              <w:left w:val="nil"/>
              <w:bottom w:val="nil"/>
              <w:right w:val="nil"/>
            </w:tcBorders>
            <w:shd w:val="clear" w:color="000000" w:fill="808080"/>
            <w:noWrap/>
            <w:vAlign w:val="center"/>
            <w:hideMark/>
          </w:tcPr>
          <w:p w14:paraId="0273BB63" w14:textId="77777777" w:rsidR="004E0A27" w:rsidRPr="004E0A27" w:rsidRDefault="004E0A27" w:rsidP="004E0A27">
            <w:pPr>
              <w:spacing w:after="0" w:line="240" w:lineRule="auto"/>
              <w:jc w:val="right"/>
              <w:rPr>
                <w:b/>
                <w:bCs/>
                <w:color w:val="FFFFFF"/>
                <w:sz w:val="20"/>
                <w:szCs w:val="20"/>
                <w:lang w:eastAsia="sk-SK"/>
              </w:rPr>
            </w:pPr>
            <w:r w:rsidRPr="004E0A27">
              <w:rPr>
                <w:rFonts w:cs="Calibri"/>
                <w:b/>
                <w:bCs/>
                <w:color w:val="FFFFFF"/>
                <w:sz w:val="20"/>
                <w:szCs w:val="20"/>
                <w:lang w:eastAsia="sk-SK"/>
              </w:rPr>
              <w:t>0,00</w:t>
            </w:r>
          </w:p>
        </w:tc>
        <w:tc>
          <w:tcPr>
            <w:tcW w:w="552" w:type="pct"/>
            <w:tcBorders>
              <w:top w:val="nil"/>
              <w:left w:val="nil"/>
              <w:bottom w:val="nil"/>
              <w:right w:val="nil"/>
            </w:tcBorders>
            <w:shd w:val="clear" w:color="000000" w:fill="808080"/>
            <w:noWrap/>
            <w:vAlign w:val="center"/>
            <w:hideMark/>
          </w:tcPr>
          <w:p w14:paraId="2CE88059" w14:textId="77777777" w:rsidR="004E0A27" w:rsidRPr="004E0A27" w:rsidRDefault="004E0A27" w:rsidP="004E0A27">
            <w:pPr>
              <w:spacing w:after="0" w:line="240" w:lineRule="auto"/>
              <w:jc w:val="right"/>
              <w:rPr>
                <w:b/>
                <w:bCs/>
                <w:color w:val="FFFFFF"/>
                <w:sz w:val="20"/>
                <w:szCs w:val="20"/>
                <w:lang w:eastAsia="sk-SK"/>
              </w:rPr>
            </w:pPr>
            <w:r w:rsidRPr="004E0A27">
              <w:rPr>
                <w:rFonts w:cs="Calibri"/>
                <w:b/>
                <w:bCs/>
                <w:color w:val="FFFFFF"/>
                <w:sz w:val="20"/>
                <w:szCs w:val="20"/>
                <w:lang w:eastAsia="sk-SK"/>
              </w:rPr>
              <w:t>26 117 152,35</w:t>
            </w:r>
          </w:p>
        </w:tc>
        <w:tc>
          <w:tcPr>
            <w:tcW w:w="443" w:type="pct"/>
            <w:tcBorders>
              <w:top w:val="nil"/>
              <w:left w:val="nil"/>
              <w:bottom w:val="nil"/>
              <w:right w:val="nil"/>
            </w:tcBorders>
            <w:shd w:val="clear" w:color="000000" w:fill="808080"/>
            <w:noWrap/>
            <w:vAlign w:val="center"/>
            <w:hideMark/>
          </w:tcPr>
          <w:p w14:paraId="6E909B14" w14:textId="77777777" w:rsidR="004E0A27" w:rsidRPr="004E0A27" w:rsidRDefault="004E0A27" w:rsidP="004E0A27">
            <w:pPr>
              <w:spacing w:after="0" w:line="240" w:lineRule="auto"/>
              <w:jc w:val="right"/>
              <w:rPr>
                <w:b/>
                <w:bCs/>
                <w:color w:val="FFFFFF"/>
                <w:sz w:val="20"/>
                <w:szCs w:val="20"/>
                <w:lang w:eastAsia="sk-SK"/>
              </w:rPr>
            </w:pPr>
            <w:r w:rsidRPr="004E0A27">
              <w:rPr>
                <w:rFonts w:cs="Calibri"/>
                <w:b/>
                <w:bCs/>
                <w:color w:val="FFFFFF"/>
                <w:sz w:val="20"/>
                <w:szCs w:val="20"/>
                <w:lang w:eastAsia="sk-SK"/>
              </w:rPr>
              <w:t> </w:t>
            </w:r>
          </w:p>
        </w:tc>
        <w:tc>
          <w:tcPr>
            <w:tcW w:w="57" w:type="pct"/>
            <w:vAlign w:val="center"/>
            <w:hideMark/>
          </w:tcPr>
          <w:p w14:paraId="3C9A4511"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2885201C" w14:textId="77777777" w:rsidTr="004E0A27">
        <w:trPr>
          <w:trHeight w:val="1020"/>
        </w:trPr>
        <w:tc>
          <w:tcPr>
            <w:tcW w:w="3949" w:type="pct"/>
            <w:gridSpan w:val="4"/>
            <w:tcBorders>
              <w:top w:val="nil"/>
              <w:left w:val="nil"/>
              <w:bottom w:val="nil"/>
              <w:right w:val="nil"/>
            </w:tcBorders>
            <w:shd w:val="clear" w:color="000000" w:fill="A6A6A6"/>
            <w:vAlign w:val="center"/>
            <w:hideMark/>
          </w:tcPr>
          <w:p w14:paraId="2AEF47C0" w14:textId="77777777" w:rsidR="004E0A27" w:rsidRPr="004E0A27" w:rsidRDefault="004E0A27" w:rsidP="004E0A27">
            <w:pPr>
              <w:spacing w:after="0" w:line="240" w:lineRule="auto"/>
              <w:rPr>
                <w:b/>
                <w:bCs/>
                <w:color w:val="000000"/>
                <w:sz w:val="20"/>
                <w:szCs w:val="20"/>
                <w:lang w:eastAsia="sk-SK"/>
              </w:rPr>
            </w:pPr>
            <w:r w:rsidRPr="004E0A27">
              <w:rPr>
                <w:b/>
                <w:bCs/>
                <w:color w:val="000000"/>
                <w:sz w:val="20"/>
                <w:szCs w:val="20"/>
                <w:lang w:eastAsia="sk-SK"/>
              </w:rPr>
              <w:t>Vylučovanie z prebytku podľa § 16 ods. 6 zákona č. 583/2004 Z. z. o nevyčerpané účelovo určené prostriedky poskytnuté zo štátneho rozpočtu, z rozpočtu EÚ, alebo na základe osobitného predpisu</w:t>
            </w:r>
          </w:p>
        </w:tc>
        <w:tc>
          <w:tcPr>
            <w:tcW w:w="552" w:type="pct"/>
            <w:tcBorders>
              <w:top w:val="nil"/>
              <w:left w:val="nil"/>
              <w:bottom w:val="nil"/>
              <w:right w:val="nil"/>
            </w:tcBorders>
            <w:shd w:val="clear" w:color="000000" w:fill="A6A6A6"/>
            <w:noWrap/>
            <w:vAlign w:val="center"/>
            <w:hideMark/>
          </w:tcPr>
          <w:p w14:paraId="38A06771" w14:textId="6ED0B7BE" w:rsidR="004E0A27" w:rsidRPr="004E0A27" w:rsidRDefault="00E359A5" w:rsidP="004E0A27">
            <w:pPr>
              <w:spacing w:after="0" w:line="240" w:lineRule="auto"/>
              <w:jc w:val="right"/>
              <w:rPr>
                <w:b/>
                <w:bCs/>
                <w:color w:val="000000"/>
                <w:sz w:val="20"/>
                <w:szCs w:val="20"/>
                <w:lang w:eastAsia="sk-SK"/>
              </w:rPr>
            </w:pPr>
            <w:r>
              <w:rPr>
                <w:b/>
                <w:bCs/>
                <w:color w:val="000000"/>
                <w:sz w:val="20"/>
                <w:szCs w:val="20"/>
                <w:lang w:eastAsia="sk-SK"/>
              </w:rPr>
              <w:t>-</w:t>
            </w:r>
            <w:r w:rsidRPr="00E359A5">
              <w:rPr>
                <w:b/>
                <w:bCs/>
                <w:color w:val="000000"/>
                <w:sz w:val="20"/>
                <w:szCs w:val="20"/>
                <w:lang w:eastAsia="sk-SK"/>
              </w:rPr>
              <w:t>4 282 640,58</w:t>
            </w:r>
          </w:p>
        </w:tc>
        <w:tc>
          <w:tcPr>
            <w:tcW w:w="443" w:type="pct"/>
            <w:tcBorders>
              <w:top w:val="nil"/>
              <w:left w:val="nil"/>
              <w:bottom w:val="nil"/>
              <w:right w:val="nil"/>
            </w:tcBorders>
            <w:shd w:val="clear" w:color="000000" w:fill="A6A6A6"/>
            <w:noWrap/>
            <w:vAlign w:val="center"/>
            <w:hideMark/>
          </w:tcPr>
          <w:p w14:paraId="7CAD39F5" w14:textId="77777777" w:rsidR="004E0A27" w:rsidRPr="004E0A27" w:rsidRDefault="004E0A27" w:rsidP="004E0A27">
            <w:pPr>
              <w:spacing w:after="0" w:line="240" w:lineRule="auto"/>
              <w:jc w:val="right"/>
              <w:rPr>
                <w:b/>
                <w:bCs/>
                <w:color w:val="000000"/>
                <w:sz w:val="20"/>
                <w:szCs w:val="20"/>
                <w:lang w:eastAsia="sk-SK"/>
              </w:rPr>
            </w:pPr>
            <w:r w:rsidRPr="004E0A27">
              <w:rPr>
                <w:rFonts w:cs="Calibri"/>
                <w:b/>
                <w:bCs/>
                <w:color w:val="000000"/>
                <w:sz w:val="20"/>
                <w:szCs w:val="20"/>
                <w:lang w:eastAsia="sk-SK"/>
              </w:rPr>
              <w:t> </w:t>
            </w:r>
          </w:p>
        </w:tc>
        <w:tc>
          <w:tcPr>
            <w:tcW w:w="57" w:type="pct"/>
            <w:vAlign w:val="center"/>
            <w:hideMark/>
          </w:tcPr>
          <w:p w14:paraId="1C955907" w14:textId="77777777" w:rsidR="004E0A27" w:rsidRPr="004E0A27" w:rsidRDefault="004E0A27" w:rsidP="004E0A27">
            <w:pPr>
              <w:spacing w:after="0" w:line="240" w:lineRule="auto"/>
              <w:rPr>
                <w:rFonts w:ascii="Times New Roman" w:hAnsi="Times New Roman"/>
                <w:sz w:val="20"/>
                <w:szCs w:val="20"/>
                <w:lang w:eastAsia="sk-SK"/>
              </w:rPr>
            </w:pPr>
          </w:p>
        </w:tc>
      </w:tr>
      <w:tr w:rsidR="004E0A27" w:rsidRPr="004E0A27" w14:paraId="0584C4CA" w14:textId="77777777" w:rsidTr="004E0A27">
        <w:trPr>
          <w:trHeight w:val="315"/>
        </w:trPr>
        <w:tc>
          <w:tcPr>
            <w:tcW w:w="3949" w:type="pct"/>
            <w:gridSpan w:val="4"/>
            <w:tcBorders>
              <w:top w:val="single" w:sz="8" w:space="0" w:color="DCE6F1"/>
              <w:left w:val="nil"/>
              <w:bottom w:val="single" w:sz="8" w:space="0" w:color="DCE6F1"/>
              <w:right w:val="nil"/>
            </w:tcBorders>
            <w:shd w:val="clear" w:color="000000" w:fill="95B3D7"/>
            <w:noWrap/>
            <w:vAlign w:val="center"/>
            <w:hideMark/>
          </w:tcPr>
          <w:p w14:paraId="162D9F5A" w14:textId="77777777" w:rsidR="004E0A27" w:rsidRPr="004E0A27" w:rsidRDefault="004E0A27" w:rsidP="004E0A27">
            <w:pPr>
              <w:spacing w:after="0" w:line="240" w:lineRule="auto"/>
              <w:rPr>
                <w:b/>
                <w:bCs/>
                <w:color w:val="000000"/>
                <w:sz w:val="20"/>
                <w:szCs w:val="20"/>
                <w:lang w:eastAsia="sk-SK"/>
              </w:rPr>
            </w:pPr>
            <w:r w:rsidRPr="004E0A27">
              <w:rPr>
                <w:b/>
                <w:bCs/>
                <w:color w:val="000000"/>
                <w:sz w:val="20"/>
                <w:szCs w:val="20"/>
                <w:lang w:eastAsia="sk-SK"/>
              </w:rPr>
              <w:t>Prebytok po vylúčení</w:t>
            </w:r>
          </w:p>
        </w:tc>
        <w:tc>
          <w:tcPr>
            <w:tcW w:w="552" w:type="pct"/>
            <w:tcBorders>
              <w:top w:val="single" w:sz="8" w:space="0" w:color="DCE6F1"/>
              <w:left w:val="nil"/>
              <w:bottom w:val="single" w:sz="8" w:space="0" w:color="DCE6F1"/>
              <w:right w:val="nil"/>
            </w:tcBorders>
            <w:shd w:val="clear" w:color="000000" w:fill="95B3D7"/>
            <w:noWrap/>
            <w:vAlign w:val="center"/>
            <w:hideMark/>
          </w:tcPr>
          <w:p w14:paraId="6F46F69D" w14:textId="3E9AC87E" w:rsidR="004E0A27" w:rsidRPr="004E0A27" w:rsidRDefault="00E359A5" w:rsidP="004E0A27">
            <w:pPr>
              <w:spacing w:after="0" w:line="240" w:lineRule="auto"/>
              <w:jc w:val="right"/>
              <w:rPr>
                <w:b/>
                <w:bCs/>
                <w:color w:val="000000"/>
                <w:sz w:val="20"/>
                <w:szCs w:val="20"/>
                <w:lang w:eastAsia="sk-SK"/>
              </w:rPr>
            </w:pPr>
            <w:r w:rsidRPr="00E359A5">
              <w:rPr>
                <w:b/>
                <w:bCs/>
                <w:color w:val="000000"/>
                <w:sz w:val="20"/>
                <w:szCs w:val="20"/>
                <w:lang w:eastAsia="sk-SK"/>
              </w:rPr>
              <w:t>21 834 511,77</w:t>
            </w:r>
          </w:p>
        </w:tc>
        <w:tc>
          <w:tcPr>
            <w:tcW w:w="443" w:type="pct"/>
            <w:tcBorders>
              <w:top w:val="single" w:sz="8" w:space="0" w:color="DCE6F1"/>
              <w:left w:val="nil"/>
              <w:bottom w:val="single" w:sz="8" w:space="0" w:color="DCE6F1"/>
              <w:right w:val="nil"/>
            </w:tcBorders>
            <w:shd w:val="clear" w:color="000000" w:fill="95B3D7"/>
            <w:noWrap/>
            <w:vAlign w:val="center"/>
            <w:hideMark/>
          </w:tcPr>
          <w:p w14:paraId="106FEAB6" w14:textId="77777777" w:rsidR="004E0A27" w:rsidRPr="004E0A27" w:rsidRDefault="004E0A27" w:rsidP="004E0A27">
            <w:pPr>
              <w:spacing w:after="0" w:line="240" w:lineRule="auto"/>
              <w:jc w:val="right"/>
              <w:rPr>
                <w:b/>
                <w:bCs/>
                <w:color w:val="000000"/>
                <w:sz w:val="20"/>
                <w:szCs w:val="20"/>
                <w:lang w:eastAsia="sk-SK"/>
              </w:rPr>
            </w:pPr>
            <w:r w:rsidRPr="004E0A27">
              <w:rPr>
                <w:b/>
                <w:bCs/>
                <w:color w:val="000000"/>
                <w:sz w:val="20"/>
                <w:szCs w:val="20"/>
                <w:lang w:eastAsia="sk-SK"/>
              </w:rPr>
              <w:t> </w:t>
            </w:r>
          </w:p>
        </w:tc>
        <w:tc>
          <w:tcPr>
            <w:tcW w:w="57" w:type="pct"/>
            <w:vAlign w:val="center"/>
            <w:hideMark/>
          </w:tcPr>
          <w:p w14:paraId="308BFD64" w14:textId="77777777" w:rsidR="004E0A27" w:rsidRPr="004E0A27" w:rsidRDefault="004E0A27" w:rsidP="004E0A27">
            <w:pPr>
              <w:spacing w:after="0" w:line="240" w:lineRule="auto"/>
              <w:rPr>
                <w:rFonts w:ascii="Times New Roman" w:hAnsi="Times New Roman"/>
                <w:sz w:val="20"/>
                <w:szCs w:val="20"/>
                <w:lang w:eastAsia="sk-SK"/>
              </w:rPr>
            </w:pPr>
          </w:p>
        </w:tc>
      </w:tr>
    </w:tbl>
    <w:p w14:paraId="698580C4" w14:textId="333CAD9E" w:rsidR="00BE704E" w:rsidRPr="002A2EDF" w:rsidRDefault="00BE704E" w:rsidP="00BE704E">
      <w:pPr>
        <w:pStyle w:val="tl1"/>
      </w:pPr>
      <w:r w:rsidRPr="002A2EDF">
        <w:lastRenderedPageBreak/>
        <w:t xml:space="preserve">Plnenie a čerpanie rozpočtu </w:t>
      </w:r>
      <w:r>
        <w:t>BSK</w:t>
      </w:r>
      <w:r w:rsidRPr="002A2EDF">
        <w:t xml:space="preserve"> v roku </w:t>
      </w:r>
      <w:r>
        <w:t>20</w:t>
      </w:r>
      <w:r w:rsidR="00EC2E1A">
        <w:t>20</w:t>
      </w:r>
    </w:p>
    <w:p w14:paraId="41A9D870" w14:textId="77777777" w:rsidR="00BE704E" w:rsidRPr="00CF37DA" w:rsidRDefault="00A711BC" w:rsidP="00BE704E">
      <w:pPr>
        <w:pStyle w:val="tl1"/>
        <w:numPr>
          <w:ilvl w:val="0"/>
          <w:numId w:val="0"/>
        </w:numPr>
        <w:ind w:left="142"/>
      </w:pPr>
      <w:r>
        <w:pict w14:anchorId="1062E186">
          <v:rect id="_x0000_i1026" style="width:0;height:1.5pt" o:hralign="center" o:hrstd="t" o:hr="t" fillcolor="#a0a0a0" stroked="f"/>
        </w:pict>
      </w:r>
    </w:p>
    <w:p w14:paraId="2BE1167B" w14:textId="77777777" w:rsidR="00BE704E" w:rsidRPr="00077EDF" w:rsidRDefault="00BE704E" w:rsidP="00783D43">
      <w:pPr>
        <w:pStyle w:val="tl2"/>
        <w:spacing w:before="120" w:after="120"/>
        <w:ind w:left="0" w:firstLine="0"/>
      </w:pPr>
      <w:r w:rsidRPr="00077EDF">
        <w:t>B.1  Príjmy a príjmové finančné operácie</w:t>
      </w:r>
    </w:p>
    <w:p w14:paraId="752845B2" w14:textId="7B8F0D67" w:rsidR="00BE704E" w:rsidRPr="0018360A" w:rsidRDefault="00BE704E" w:rsidP="00783D43">
      <w:pPr>
        <w:spacing w:after="0" w:line="240" w:lineRule="auto"/>
        <w:jc w:val="both"/>
        <w:rPr>
          <w:rFonts w:cs="Calibri"/>
          <w:sz w:val="24"/>
          <w:szCs w:val="24"/>
        </w:rPr>
      </w:pPr>
      <w:r>
        <w:rPr>
          <w:rFonts w:cs="Calibri"/>
          <w:b/>
          <w:sz w:val="24"/>
          <w:szCs w:val="24"/>
        </w:rPr>
        <w:t>Rozpočet  príjmov  vrátane  príjmových finančných  operácií  bol na rok 20</w:t>
      </w:r>
      <w:r w:rsidR="001C1C96">
        <w:rPr>
          <w:rFonts w:cs="Calibri"/>
          <w:b/>
          <w:sz w:val="24"/>
          <w:szCs w:val="24"/>
        </w:rPr>
        <w:t>20</w:t>
      </w:r>
      <w:r>
        <w:rPr>
          <w:rFonts w:cs="Calibri"/>
          <w:b/>
          <w:sz w:val="24"/>
          <w:szCs w:val="24"/>
        </w:rPr>
        <w:t xml:space="preserve"> schválený vo výške </w:t>
      </w:r>
      <w:r>
        <w:rPr>
          <w:rFonts w:cs="Calibri"/>
          <w:b/>
          <w:sz w:val="24"/>
          <w:szCs w:val="24"/>
        </w:rPr>
        <w:br/>
      </w:r>
      <w:r w:rsidR="001C1C96">
        <w:rPr>
          <w:rFonts w:cs="Calibri"/>
          <w:b/>
          <w:sz w:val="24"/>
          <w:szCs w:val="24"/>
        </w:rPr>
        <w:t xml:space="preserve">210 708 035,37 </w:t>
      </w:r>
      <w:r w:rsidRPr="00CE791A">
        <w:rPr>
          <w:rFonts w:cs="Calibri"/>
          <w:b/>
          <w:sz w:val="24"/>
          <w:szCs w:val="24"/>
        </w:rPr>
        <w:t>EUR</w:t>
      </w:r>
      <w:r>
        <w:rPr>
          <w:rFonts w:cs="Calibri"/>
          <w:sz w:val="24"/>
          <w:szCs w:val="24"/>
        </w:rPr>
        <w:t>.</w:t>
      </w:r>
      <w:r w:rsidR="000F7B49">
        <w:rPr>
          <w:rFonts w:cs="Calibri"/>
          <w:sz w:val="24"/>
          <w:szCs w:val="24"/>
        </w:rPr>
        <w:t xml:space="preserve"> </w:t>
      </w:r>
      <w:r>
        <w:rPr>
          <w:rFonts w:cs="Calibri"/>
          <w:sz w:val="24"/>
          <w:szCs w:val="24"/>
        </w:rPr>
        <w:t xml:space="preserve">Počas roka bol rozpočet úpravami v príjmovej časti zmenený na sumu </w:t>
      </w:r>
      <w:r>
        <w:rPr>
          <w:rFonts w:cs="Calibri"/>
          <w:sz w:val="24"/>
          <w:szCs w:val="24"/>
        </w:rPr>
        <w:br/>
      </w:r>
      <w:r w:rsidR="00976168" w:rsidRPr="00976168">
        <w:rPr>
          <w:rFonts w:cs="Calibri"/>
          <w:b/>
          <w:sz w:val="24"/>
          <w:szCs w:val="24"/>
        </w:rPr>
        <w:t>210 320 242,02</w:t>
      </w:r>
      <w:r w:rsidR="00976168">
        <w:rPr>
          <w:rFonts w:cs="Calibri"/>
          <w:b/>
          <w:sz w:val="24"/>
          <w:szCs w:val="24"/>
        </w:rPr>
        <w:t xml:space="preserve"> </w:t>
      </w:r>
      <w:r w:rsidRPr="00F12730">
        <w:rPr>
          <w:rFonts w:cs="Calibri"/>
          <w:b/>
          <w:sz w:val="24"/>
          <w:szCs w:val="24"/>
        </w:rPr>
        <w:t xml:space="preserve">EUR </w:t>
      </w:r>
      <w:r>
        <w:rPr>
          <w:rFonts w:cs="Calibri"/>
          <w:sz w:val="24"/>
          <w:szCs w:val="24"/>
        </w:rPr>
        <w:t xml:space="preserve">a </w:t>
      </w:r>
      <w:r w:rsidRPr="00497B57">
        <w:rPr>
          <w:rFonts w:cs="Calibri"/>
          <w:sz w:val="24"/>
          <w:szCs w:val="24"/>
        </w:rPr>
        <w:t>jeho</w:t>
      </w:r>
      <w:r>
        <w:rPr>
          <w:rFonts w:cs="Calibri"/>
          <w:b/>
          <w:sz w:val="24"/>
          <w:szCs w:val="24"/>
        </w:rPr>
        <w:t xml:space="preserve"> plnenie na konci roka 20</w:t>
      </w:r>
      <w:r w:rsidR="001C1C96">
        <w:rPr>
          <w:rFonts w:cs="Calibri"/>
          <w:b/>
          <w:sz w:val="24"/>
          <w:szCs w:val="24"/>
        </w:rPr>
        <w:t>20</w:t>
      </w:r>
      <w:r>
        <w:rPr>
          <w:rFonts w:cs="Calibri"/>
          <w:b/>
          <w:sz w:val="24"/>
          <w:szCs w:val="24"/>
        </w:rPr>
        <w:t xml:space="preserve"> dosiahlo</w:t>
      </w:r>
      <w:r w:rsidRPr="000D0F0B">
        <w:rPr>
          <w:rFonts w:cs="Calibri"/>
          <w:sz w:val="24"/>
          <w:szCs w:val="24"/>
        </w:rPr>
        <w:t xml:space="preserve"> úroveň </w:t>
      </w:r>
      <w:r w:rsidR="00976168" w:rsidRPr="00976168">
        <w:rPr>
          <w:rFonts w:cs="Calibri"/>
          <w:b/>
          <w:sz w:val="24"/>
          <w:szCs w:val="24"/>
        </w:rPr>
        <w:t>196 565 475,81</w:t>
      </w:r>
      <w:r w:rsidRPr="00656CAE">
        <w:rPr>
          <w:rFonts w:cs="Calibri"/>
          <w:b/>
          <w:sz w:val="24"/>
          <w:szCs w:val="24"/>
        </w:rPr>
        <w:t>EUR</w:t>
      </w:r>
      <w:r>
        <w:rPr>
          <w:rFonts w:cs="Calibri"/>
          <w:sz w:val="24"/>
          <w:szCs w:val="24"/>
        </w:rPr>
        <w:t xml:space="preserve">, čo predstavuje </w:t>
      </w:r>
      <w:r w:rsidR="00976168">
        <w:rPr>
          <w:rFonts w:cs="Calibri"/>
          <w:b/>
          <w:bCs/>
          <w:sz w:val="24"/>
          <w:szCs w:val="24"/>
        </w:rPr>
        <w:t>93,46</w:t>
      </w:r>
      <w:r w:rsidRPr="000E7C7A">
        <w:rPr>
          <w:rFonts w:cs="Calibri"/>
          <w:b/>
          <w:sz w:val="24"/>
          <w:szCs w:val="24"/>
        </w:rPr>
        <w:t>%-</w:t>
      </w:r>
      <w:proofErr w:type="spellStart"/>
      <w:r w:rsidRPr="00656CAE">
        <w:rPr>
          <w:rFonts w:cs="Calibri"/>
          <w:b/>
          <w:sz w:val="24"/>
          <w:szCs w:val="24"/>
        </w:rPr>
        <w:t>né</w:t>
      </w:r>
      <w:proofErr w:type="spellEnd"/>
      <w:r>
        <w:rPr>
          <w:rFonts w:cs="Calibri"/>
          <w:b/>
          <w:sz w:val="24"/>
          <w:szCs w:val="24"/>
        </w:rPr>
        <w:t xml:space="preserve"> </w:t>
      </w:r>
      <w:r w:rsidRPr="000D0F0B">
        <w:rPr>
          <w:rFonts w:cs="Calibri"/>
          <w:b/>
          <w:sz w:val="24"/>
          <w:szCs w:val="24"/>
        </w:rPr>
        <w:t>plneni</w:t>
      </w:r>
      <w:r>
        <w:rPr>
          <w:rFonts w:cs="Calibri"/>
          <w:b/>
          <w:sz w:val="24"/>
          <w:szCs w:val="24"/>
        </w:rPr>
        <w:t>e</w:t>
      </w:r>
      <w:r w:rsidRPr="000D0F0B">
        <w:rPr>
          <w:rFonts w:cs="Calibri"/>
          <w:b/>
          <w:sz w:val="24"/>
          <w:szCs w:val="24"/>
        </w:rPr>
        <w:t xml:space="preserve"> k zmenenému rozpočtu</w:t>
      </w:r>
      <w:r>
        <w:rPr>
          <w:rFonts w:cs="Calibri"/>
          <w:b/>
          <w:sz w:val="24"/>
          <w:szCs w:val="24"/>
        </w:rPr>
        <w:t xml:space="preserve">. </w:t>
      </w:r>
    </w:p>
    <w:p w14:paraId="2506B5C7" w14:textId="77777777" w:rsidR="00BE704E" w:rsidRDefault="00BE704E" w:rsidP="00783D43">
      <w:pPr>
        <w:spacing w:after="0" w:line="240" w:lineRule="auto"/>
        <w:jc w:val="both"/>
        <w:rPr>
          <w:rFonts w:cs="Calibri"/>
          <w:b/>
          <w:sz w:val="24"/>
          <w:szCs w:val="24"/>
        </w:rPr>
      </w:pPr>
    </w:p>
    <w:p w14:paraId="0D784D5E" w14:textId="196E1713" w:rsidR="00BE704E" w:rsidRPr="00AA3476" w:rsidRDefault="00BE704E" w:rsidP="00783D43">
      <w:pPr>
        <w:spacing w:line="240" w:lineRule="auto"/>
        <w:jc w:val="both"/>
        <w:rPr>
          <w:rFonts w:cs="Calibri"/>
          <w:sz w:val="24"/>
          <w:szCs w:val="24"/>
        </w:rPr>
      </w:pPr>
      <w:r>
        <w:rPr>
          <w:rFonts w:cs="Calibri"/>
          <w:b/>
          <w:sz w:val="24"/>
          <w:szCs w:val="24"/>
        </w:rPr>
        <w:t xml:space="preserve">Príjmy </w:t>
      </w:r>
      <w:r w:rsidRPr="00726141">
        <w:rPr>
          <w:rFonts w:cs="Calibri"/>
          <w:b/>
          <w:sz w:val="24"/>
          <w:szCs w:val="24"/>
          <w:u w:val="single"/>
        </w:rPr>
        <w:t>bez finančných operácii</w:t>
      </w:r>
      <w:r>
        <w:rPr>
          <w:rFonts w:cs="Calibri"/>
          <w:b/>
          <w:sz w:val="24"/>
          <w:szCs w:val="24"/>
        </w:rPr>
        <w:t xml:space="preserve"> dosiahli výšku </w:t>
      </w:r>
      <w:r w:rsidR="00976168" w:rsidRPr="00976168">
        <w:rPr>
          <w:rFonts w:cs="Calibri"/>
          <w:b/>
          <w:sz w:val="24"/>
          <w:szCs w:val="24"/>
        </w:rPr>
        <w:t>179 713 945,82</w:t>
      </w:r>
      <w:r w:rsidR="00976168">
        <w:rPr>
          <w:rFonts w:cs="Calibri"/>
          <w:b/>
          <w:sz w:val="24"/>
          <w:szCs w:val="24"/>
        </w:rPr>
        <w:t xml:space="preserve"> </w:t>
      </w:r>
      <w:r>
        <w:rPr>
          <w:rFonts w:cs="Calibri"/>
          <w:b/>
          <w:sz w:val="24"/>
          <w:szCs w:val="24"/>
        </w:rPr>
        <w:t xml:space="preserve">EUR, čo predstavuje </w:t>
      </w:r>
      <w:r w:rsidR="00976168">
        <w:rPr>
          <w:rFonts w:cs="Calibri"/>
          <w:b/>
          <w:sz w:val="24"/>
          <w:szCs w:val="24"/>
        </w:rPr>
        <w:t>94,88</w:t>
      </w:r>
      <w:r w:rsidRPr="00950E19">
        <w:rPr>
          <w:rFonts w:cs="Calibri"/>
          <w:b/>
          <w:sz w:val="24"/>
          <w:szCs w:val="24"/>
        </w:rPr>
        <w:t>%</w:t>
      </w:r>
      <w:r>
        <w:rPr>
          <w:rFonts w:cs="Calibri"/>
          <w:b/>
          <w:sz w:val="24"/>
          <w:szCs w:val="24"/>
        </w:rPr>
        <w:t xml:space="preserve"> z ich ročného rozpočtu.</w:t>
      </w:r>
      <w:r>
        <w:rPr>
          <w:rFonts w:cs="Calibri"/>
          <w:sz w:val="24"/>
          <w:szCs w:val="24"/>
        </w:rPr>
        <w:t xml:space="preserve"> V medziročnom porovnaní je to cca o</w:t>
      </w:r>
      <w:r w:rsidR="00DE5696">
        <w:rPr>
          <w:rFonts w:cs="Calibri"/>
          <w:sz w:val="24"/>
          <w:szCs w:val="24"/>
        </w:rPr>
        <w:t> 2,4</w:t>
      </w:r>
      <w:r w:rsidR="00AA3476">
        <w:rPr>
          <w:rFonts w:cs="Calibri"/>
          <w:sz w:val="24"/>
          <w:szCs w:val="24"/>
        </w:rPr>
        <w:t xml:space="preserve"> </w:t>
      </w:r>
      <w:r>
        <w:rPr>
          <w:rFonts w:cs="Calibri"/>
          <w:sz w:val="24"/>
          <w:szCs w:val="24"/>
        </w:rPr>
        <w:t xml:space="preserve">mil. EUR </w:t>
      </w:r>
      <w:r w:rsidR="00DE5696">
        <w:rPr>
          <w:rFonts w:cs="Calibri"/>
          <w:sz w:val="24"/>
          <w:szCs w:val="24"/>
        </w:rPr>
        <w:t xml:space="preserve">viac </w:t>
      </w:r>
      <w:r>
        <w:rPr>
          <w:rFonts w:cs="Calibri"/>
          <w:sz w:val="24"/>
          <w:szCs w:val="24"/>
        </w:rPr>
        <w:t>(</w:t>
      </w:r>
      <w:r w:rsidR="00DE5696">
        <w:rPr>
          <w:rFonts w:cs="Calibri"/>
          <w:sz w:val="24"/>
          <w:szCs w:val="24"/>
        </w:rPr>
        <w:t xml:space="preserve">nárast </w:t>
      </w:r>
      <w:r>
        <w:rPr>
          <w:rFonts w:cs="Calibri"/>
          <w:sz w:val="24"/>
          <w:szCs w:val="24"/>
        </w:rPr>
        <w:t xml:space="preserve">o </w:t>
      </w:r>
      <w:r w:rsidR="003C2383">
        <w:rPr>
          <w:rFonts w:cs="Calibri"/>
          <w:sz w:val="24"/>
          <w:szCs w:val="24"/>
        </w:rPr>
        <w:t>1,</w:t>
      </w:r>
      <w:r w:rsidR="00DE5696">
        <w:rPr>
          <w:rFonts w:cs="Calibri"/>
          <w:sz w:val="24"/>
          <w:szCs w:val="24"/>
        </w:rPr>
        <w:t>37</w:t>
      </w:r>
      <w:r>
        <w:rPr>
          <w:rFonts w:cs="Calibri"/>
          <w:sz w:val="24"/>
          <w:szCs w:val="24"/>
        </w:rPr>
        <w:t>%)</w:t>
      </w:r>
      <w:r w:rsidR="00AA3476">
        <w:rPr>
          <w:rFonts w:cs="Calibri"/>
          <w:sz w:val="24"/>
          <w:szCs w:val="24"/>
        </w:rPr>
        <w:t xml:space="preserve">. </w:t>
      </w:r>
      <w:r w:rsidRPr="00031D30">
        <w:rPr>
          <w:rFonts w:cs="Calibri"/>
          <w:b/>
          <w:sz w:val="24"/>
          <w:szCs w:val="24"/>
        </w:rPr>
        <w:t>B</w:t>
      </w:r>
      <w:r w:rsidRPr="000D0F0B">
        <w:rPr>
          <w:rFonts w:cs="Calibri"/>
          <w:b/>
          <w:sz w:val="24"/>
          <w:szCs w:val="24"/>
        </w:rPr>
        <w:t>ežné príjmy</w:t>
      </w:r>
      <w:r>
        <w:rPr>
          <w:rFonts w:cs="Calibri"/>
          <w:sz w:val="24"/>
          <w:szCs w:val="24"/>
        </w:rPr>
        <w:t xml:space="preserve"> dosiahli úroveň </w:t>
      </w:r>
      <w:r w:rsidR="00976168" w:rsidRPr="00976168">
        <w:rPr>
          <w:rFonts w:cs="Calibri"/>
          <w:b/>
          <w:color w:val="000000"/>
          <w:sz w:val="24"/>
          <w:szCs w:val="24"/>
          <w:lang w:eastAsia="sk-SK"/>
        </w:rPr>
        <w:t>175 613 428,04</w:t>
      </w:r>
      <w:r w:rsidR="00976168">
        <w:rPr>
          <w:rFonts w:cs="Calibri"/>
          <w:b/>
          <w:color w:val="000000"/>
          <w:sz w:val="24"/>
          <w:szCs w:val="24"/>
          <w:lang w:eastAsia="sk-SK"/>
        </w:rPr>
        <w:t xml:space="preserve"> </w:t>
      </w:r>
      <w:r w:rsidRPr="000D0F0B">
        <w:rPr>
          <w:rFonts w:cs="Calibri"/>
          <w:b/>
          <w:color w:val="000000"/>
          <w:sz w:val="24"/>
          <w:szCs w:val="24"/>
          <w:lang w:eastAsia="sk-SK"/>
        </w:rPr>
        <w:t>EUR</w:t>
      </w:r>
      <w:r>
        <w:rPr>
          <w:rFonts w:cs="Calibri"/>
          <w:b/>
          <w:color w:val="000000"/>
          <w:sz w:val="24"/>
          <w:szCs w:val="24"/>
          <w:lang w:eastAsia="sk-SK"/>
        </w:rPr>
        <w:t xml:space="preserve"> </w:t>
      </w:r>
      <w:r w:rsidRPr="0021023A">
        <w:rPr>
          <w:rFonts w:cs="Calibri"/>
          <w:color w:val="000000"/>
          <w:sz w:val="24"/>
          <w:szCs w:val="24"/>
          <w:lang w:eastAsia="sk-SK"/>
        </w:rPr>
        <w:t>a</w:t>
      </w:r>
      <w:r>
        <w:rPr>
          <w:rFonts w:cs="Calibri"/>
          <w:b/>
          <w:color w:val="000000"/>
          <w:sz w:val="24"/>
          <w:szCs w:val="24"/>
          <w:lang w:eastAsia="sk-SK"/>
        </w:rPr>
        <w:t> </w:t>
      </w:r>
      <w:r w:rsidRPr="007D7038">
        <w:rPr>
          <w:rFonts w:cs="Calibri"/>
          <w:sz w:val="24"/>
          <w:szCs w:val="24"/>
        </w:rPr>
        <w:t>medziročn</w:t>
      </w:r>
      <w:r>
        <w:rPr>
          <w:rFonts w:cs="Calibri"/>
          <w:sz w:val="24"/>
          <w:szCs w:val="24"/>
        </w:rPr>
        <w:t xml:space="preserve">e sa zvýšili </w:t>
      </w:r>
      <w:r w:rsidR="003C2383">
        <w:rPr>
          <w:rFonts w:cs="Calibri"/>
          <w:sz w:val="24"/>
          <w:szCs w:val="24"/>
        </w:rPr>
        <w:t>o 9,</w:t>
      </w:r>
      <w:r w:rsidR="003236AF">
        <w:rPr>
          <w:rFonts w:cs="Calibri"/>
          <w:sz w:val="24"/>
          <w:szCs w:val="24"/>
        </w:rPr>
        <w:t>36</w:t>
      </w:r>
      <w:r w:rsidR="003C2383">
        <w:rPr>
          <w:rFonts w:cs="Calibri"/>
          <w:sz w:val="24"/>
          <w:szCs w:val="24"/>
        </w:rPr>
        <w:t xml:space="preserve"> </w:t>
      </w:r>
      <w:r w:rsidRPr="00031D30">
        <w:rPr>
          <w:rFonts w:cs="Calibri"/>
          <w:sz w:val="24"/>
          <w:szCs w:val="24"/>
        </w:rPr>
        <w:t>mil. EUR</w:t>
      </w:r>
      <w:r w:rsidR="00DE5696">
        <w:rPr>
          <w:rFonts w:cs="Calibri"/>
          <w:sz w:val="24"/>
          <w:szCs w:val="24"/>
        </w:rPr>
        <w:t xml:space="preserve"> (nárast o 5,63%)</w:t>
      </w:r>
      <w:r w:rsidRPr="00031D30">
        <w:rPr>
          <w:rFonts w:cs="Calibri"/>
          <w:b/>
          <w:sz w:val="24"/>
          <w:szCs w:val="24"/>
        </w:rPr>
        <w:t xml:space="preserve">. </w:t>
      </w:r>
      <w:r w:rsidRPr="00031D30">
        <w:rPr>
          <w:rFonts w:cs="Calibri"/>
          <w:sz w:val="24"/>
          <w:szCs w:val="24"/>
        </w:rPr>
        <w:t>Zvýšenie rozpočtu bežných príjmov ovplyvnil</w:t>
      </w:r>
      <w:r w:rsidR="00DE5696">
        <w:rPr>
          <w:rFonts w:cs="Calibri"/>
          <w:sz w:val="24"/>
          <w:szCs w:val="24"/>
        </w:rPr>
        <w:t>i</w:t>
      </w:r>
      <w:r w:rsidRPr="00031D30">
        <w:rPr>
          <w:rFonts w:cs="Calibri"/>
          <w:sz w:val="24"/>
          <w:szCs w:val="24"/>
        </w:rPr>
        <w:t xml:space="preserve"> najmä</w:t>
      </w:r>
      <w:r>
        <w:rPr>
          <w:rFonts w:cs="Calibri"/>
          <w:sz w:val="24"/>
          <w:szCs w:val="24"/>
        </w:rPr>
        <w:t xml:space="preserve"> </w:t>
      </w:r>
      <w:r w:rsidRPr="00031D30">
        <w:rPr>
          <w:rFonts w:cs="Calibri"/>
          <w:sz w:val="24"/>
          <w:szCs w:val="24"/>
        </w:rPr>
        <w:t>poskytnuté transfery zo štátneho rozpočtu na úhradu nákladov preneseného výkonu štátnej správy</w:t>
      </w:r>
      <w:r w:rsidR="00790F0D">
        <w:rPr>
          <w:rFonts w:cs="Calibri"/>
          <w:sz w:val="24"/>
          <w:szCs w:val="24"/>
        </w:rPr>
        <w:t xml:space="preserve"> </w:t>
      </w:r>
      <w:r w:rsidR="003236AF">
        <w:rPr>
          <w:rFonts w:cs="Calibri"/>
          <w:sz w:val="24"/>
          <w:szCs w:val="24"/>
        </w:rPr>
        <w:t xml:space="preserve">v oblasti vzdelávania, a to oproti roku 2019 </w:t>
      </w:r>
      <w:r w:rsidR="00790F0D">
        <w:rPr>
          <w:rFonts w:cs="Calibri"/>
          <w:sz w:val="24"/>
          <w:szCs w:val="24"/>
        </w:rPr>
        <w:t>cca o</w:t>
      </w:r>
      <w:r w:rsidR="003236AF">
        <w:rPr>
          <w:rFonts w:cs="Calibri"/>
          <w:sz w:val="24"/>
          <w:szCs w:val="24"/>
        </w:rPr>
        <w:t xml:space="preserve"> 9, 68 </w:t>
      </w:r>
      <w:proofErr w:type="spellStart"/>
      <w:r w:rsidR="00790F0D">
        <w:rPr>
          <w:rFonts w:cs="Calibri"/>
          <w:sz w:val="24"/>
          <w:szCs w:val="24"/>
        </w:rPr>
        <w:t>mil</w:t>
      </w:r>
      <w:proofErr w:type="spellEnd"/>
      <w:r w:rsidR="00790F0D">
        <w:rPr>
          <w:rFonts w:cs="Calibri"/>
          <w:sz w:val="24"/>
          <w:szCs w:val="24"/>
        </w:rPr>
        <w:t xml:space="preserve"> EUR</w:t>
      </w:r>
      <w:r w:rsidR="003236AF">
        <w:rPr>
          <w:rFonts w:cs="Calibri"/>
          <w:sz w:val="24"/>
          <w:szCs w:val="24"/>
        </w:rPr>
        <w:t xml:space="preserve"> viac</w:t>
      </w:r>
      <w:r w:rsidRPr="00031D30">
        <w:rPr>
          <w:rFonts w:cs="Calibri"/>
          <w:sz w:val="24"/>
          <w:szCs w:val="24"/>
        </w:rPr>
        <w:t>.</w:t>
      </w:r>
      <w:r w:rsidRPr="00031D30">
        <w:rPr>
          <w:rFonts w:cs="Calibri"/>
          <w:b/>
          <w:sz w:val="24"/>
          <w:szCs w:val="24"/>
        </w:rPr>
        <w:t xml:space="preserve">  Kapitálové  príjmy  </w:t>
      </w:r>
      <w:r w:rsidRPr="00031D30">
        <w:rPr>
          <w:rFonts w:cs="Calibri"/>
          <w:sz w:val="24"/>
          <w:szCs w:val="24"/>
        </w:rPr>
        <w:t xml:space="preserve">dosiahli na konci roka výšku </w:t>
      </w:r>
      <w:r w:rsidR="003236AF" w:rsidRPr="003236AF">
        <w:rPr>
          <w:rFonts w:cs="Calibri"/>
          <w:b/>
          <w:color w:val="000000"/>
          <w:sz w:val="24"/>
          <w:szCs w:val="24"/>
          <w:lang w:eastAsia="sk-SK"/>
        </w:rPr>
        <w:t>4 100 517,78</w:t>
      </w:r>
      <w:r w:rsidR="003236AF">
        <w:rPr>
          <w:rFonts w:cs="Calibri"/>
          <w:b/>
          <w:color w:val="000000"/>
          <w:sz w:val="24"/>
          <w:szCs w:val="24"/>
          <w:lang w:eastAsia="sk-SK"/>
        </w:rPr>
        <w:t xml:space="preserve"> </w:t>
      </w:r>
      <w:r w:rsidRPr="00031D30">
        <w:rPr>
          <w:rFonts w:cs="Calibri"/>
          <w:b/>
          <w:color w:val="000000"/>
          <w:sz w:val="24"/>
          <w:szCs w:val="24"/>
          <w:lang w:eastAsia="sk-SK"/>
        </w:rPr>
        <w:t>EUR.</w:t>
      </w:r>
      <w:r>
        <w:rPr>
          <w:rFonts w:cs="Calibri"/>
          <w:b/>
          <w:color w:val="000000"/>
          <w:sz w:val="24"/>
          <w:szCs w:val="24"/>
          <w:lang w:eastAsia="sk-SK"/>
        </w:rPr>
        <w:t xml:space="preserve"> </w:t>
      </w:r>
      <w:r w:rsidRPr="0021023A">
        <w:rPr>
          <w:rFonts w:cs="Calibri"/>
          <w:color w:val="000000"/>
          <w:sz w:val="24"/>
          <w:szCs w:val="24"/>
          <w:lang w:eastAsia="sk-SK"/>
        </w:rPr>
        <w:t>Medziročne sa ich príjem</w:t>
      </w:r>
      <w:r>
        <w:rPr>
          <w:rFonts w:cs="Calibri"/>
          <w:color w:val="000000"/>
          <w:sz w:val="24"/>
          <w:szCs w:val="24"/>
          <w:lang w:eastAsia="sk-SK"/>
        </w:rPr>
        <w:t xml:space="preserve"> </w:t>
      </w:r>
      <w:r w:rsidR="003236AF">
        <w:rPr>
          <w:rFonts w:cs="Calibri"/>
          <w:color w:val="000000"/>
          <w:sz w:val="24"/>
          <w:szCs w:val="24"/>
          <w:lang w:eastAsia="sk-SK"/>
        </w:rPr>
        <w:t xml:space="preserve">znížil o 6,93 </w:t>
      </w:r>
      <w:proofErr w:type="spellStart"/>
      <w:r w:rsidR="003236AF">
        <w:rPr>
          <w:rFonts w:cs="Calibri"/>
          <w:color w:val="000000"/>
          <w:sz w:val="24"/>
          <w:szCs w:val="24"/>
          <w:lang w:eastAsia="sk-SK"/>
        </w:rPr>
        <w:t>mil</w:t>
      </w:r>
      <w:proofErr w:type="spellEnd"/>
      <w:r w:rsidR="003236AF">
        <w:rPr>
          <w:rFonts w:cs="Calibri"/>
          <w:color w:val="000000"/>
          <w:sz w:val="24"/>
          <w:szCs w:val="24"/>
          <w:lang w:eastAsia="sk-SK"/>
        </w:rPr>
        <w:t xml:space="preserve"> EUR (pokles o 62,82%). </w:t>
      </w:r>
    </w:p>
    <w:p w14:paraId="5B3CB9DB" w14:textId="24DA155D" w:rsidR="00BE704E" w:rsidRDefault="00BE704E" w:rsidP="00E47BB1">
      <w:pPr>
        <w:spacing w:line="240" w:lineRule="auto"/>
        <w:jc w:val="both"/>
        <w:rPr>
          <w:rFonts w:cs="Calibri"/>
          <w:color w:val="000000"/>
          <w:sz w:val="24"/>
          <w:szCs w:val="24"/>
          <w:lang w:eastAsia="sk-SK"/>
        </w:rPr>
      </w:pPr>
      <w:r w:rsidRPr="0021023A">
        <w:rPr>
          <w:rFonts w:cs="Calibri"/>
          <w:b/>
          <w:color w:val="000000"/>
          <w:sz w:val="24"/>
          <w:szCs w:val="24"/>
          <w:lang w:eastAsia="sk-SK"/>
        </w:rPr>
        <w:t>P</w:t>
      </w:r>
      <w:r>
        <w:rPr>
          <w:rFonts w:cs="Calibri"/>
          <w:b/>
          <w:color w:val="000000"/>
          <w:sz w:val="24"/>
          <w:szCs w:val="24"/>
          <w:lang w:eastAsia="sk-SK"/>
        </w:rPr>
        <w:t xml:space="preserve">ríjmové finančné operácie dosiahli úroveň </w:t>
      </w:r>
      <w:r w:rsidR="003236AF" w:rsidRPr="003236AF">
        <w:rPr>
          <w:rFonts w:cs="Calibri"/>
          <w:b/>
          <w:color w:val="000000"/>
          <w:sz w:val="24"/>
          <w:szCs w:val="24"/>
          <w:lang w:eastAsia="sk-SK"/>
        </w:rPr>
        <w:t>16 851 529,99</w:t>
      </w:r>
      <w:r w:rsidR="003236AF">
        <w:rPr>
          <w:rFonts w:cs="Calibri"/>
          <w:b/>
          <w:color w:val="000000"/>
          <w:sz w:val="24"/>
          <w:szCs w:val="24"/>
          <w:lang w:eastAsia="sk-SK"/>
        </w:rPr>
        <w:t xml:space="preserve"> </w:t>
      </w:r>
      <w:r>
        <w:rPr>
          <w:rFonts w:cs="Calibri"/>
          <w:b/>
          <w:color w:val="000000"/>
          <w:sz w:val="24"/>
          <w:szCs w:val="24"/>
          <w:lang w:eastAsia="sk-SK"/>
        </w:rPr>
        <w:t xml:space="preserve">EUR, </w:t>
      </w:r>
      <w:r w:rsidR="00790F0D" w:rsidRPr="00790F0D">
        <w:rPr>
          <w:rFonts w:cs="Calibri"/>
          <w:bCs/>
          <w:color w:val="000000"/>
          <w:sz w:val="24"/>
          <w:szCs w:val="24"/>
          <w:lang w:eastAsia="sk-SK"/>
        </w:rPr>
        <w:t xml:space="preserve">a to </w:t>
      </w:r>
      <w:r w:rsidR="00790F0D">
        <w:rPr>
          <w:rFonts w:cs="Calibri"/>
          <w:bCs/>
          <w:color w:val="000000"/>
          <w:sz w:val="24"/>
          <w:szCs w:val="24"/>
          <w:lang w:eastAsia="sk-SK"/>
        </w:rPr>
        <w:t xml:space="preserve">predovšetkým </w:t>
      </w:r>
      <w:r w:rsidR="00790F0D" w:rsidRPr="00790F0D">
        <w:rPr>
          <w:rFonts w:cs="Calibri"/>
          <w:bCs/>
          <w:color w:val="000000"/>
          <w:sz w:val="24"/>
          <w:szCs w:val="24"/>
          <w:lang w:eastAsia="sk-SK"/>
        </w:rPr>
        <w:t>z</w:t>
      </w:r>
      <w:r w:rsidR="00790F0D">
        <w:rPr>
          <w:rFonts w:cs="Calibri"/>
          <w:bCs/>
          <w:color w:val="000000"/>
          <w:sz w:val="24"/>
          <w:szCs w:val="24"/>
          <w:lang w:eastAsia="sk-SK"/>
        </w:rPr>
        <w:t xml:space="preserve"> prostriedkov </w:t>
      </w:r>
      <w:r w:rsidR="00790F0D" w:rsidRPr="00790F0D">
        <w:rPr>
          <w:rFonts w:cs="Calibri"/>
          <w:bCs/>
          <w:color w:val="000000"/>
          <w:sz w:val="24"/>
          <w:szCs w:val="24"/>
          <w:lang w:eastAsia="sk-SK"/>
        </w:rPr>
        <w:t>prijatého ú</w:t>
      </w:r>
      <w:r w:rsidR="00790F0D">
        <w:rPr>
          <w:rFonts w:cs="Calibri"/>
          <w:bCs/>
          <w:color w:val="000000"/>
          <w:sz w:val="24"/>
          <w:szCs w:val="24"/>
          <w:lang w:eastAsia="sk-SK"/>
        </w:rPr>
        <w:t>v</w:t>
      </w:r>
      <w:r w:rsidR="00790F0D" w:rsidRPr="00790F0D">
        <w:rPr>
          <w:rFonts w:cs="Calibri"/>
          <w:bCs/>
          <w:color w:val="000000"/>
          <w:sz w:val="24"/>
          <w:szCs w:val="24"/>
          <w:lang w:eastAsia="sk-SK"/>
        </w:rPr>
        <w:t xml:space="preserve">eru z EIB vo výške </w:t>
      </w:r>
      <w:r w:rsidR="001360E8">
        <w:rPr>
          <w:rFonts w:cs="Calibri"/>
          <w:bCs/>
          <w:color w:val="000000"/>
          <w:sz w:val="24"/>
          <w:szCs w:val="24"/>
          <w:lang w:eastAsia="sk-SK"/>
        </w:rPr>
        <w:t>6</w:t>
      </w:r>
      <w:r w:rsidR="00790F0D" w:rsidRPr="00790F0D">
        <w:rPr>
          <w:rFonts w:cs="Calibri"/>
          <w:bCs/>
          <w:color w:val="000000"/>
          <w:sz w:val="24"/>
          <w:szCs w:val="24"/>
          <w:lang w:eastAsia="sk-SK"/>
        </w:rPr>
        <w:t xml:space="preserve"> </w:t>
      </w:r>
      <w:proofErr w:type="spellStart"/>
      <w:r w:rsidR="00790F0D" w:rsidRPr="00790F0D">
        <w:rPr>
          <w:rFonts w:cs="Calibri"/>
          <w:bCs/>
          <w:color w:val="000000"/>
          <w:sz w:val="24"/>
          <w:szCs w:val="24"/>
          <w:lang w:eastAsia="sk-SK"/>
        </w:rPr>
        <w:t>mil</w:t>
      </w:r>
      <w:proofErr w:type="spellEnd"/>
      <w:r w:rsidR="00790F0D" w:rsidRPr="00790F0D">
        <w:rPr>
          <w:rFonts w:cs="Calibri"/>
          <w:bCs/>
          <w:color w:val="000000"/>
          <w:sz w:val="24"/>
          <w:szCs w:val="24"/>
          <w:lang w:eastAsia="sk-SK"/>
        </w:rPr>
        <w:t xml:space="preserve"> EUR</w:t>
      </w:r>
      <w:r w:rsidR="00790F0D">
        <w:rPr>
          <w:rFonts w:cs="Calibri"/>
          <w:bCs/>
          <w:color w:val="000000"/>
          <w:sz w:val="24"/>
          <w:szCs w:val="24"/>
          <w:lang w:eastAsia="sk-SK"/>
        </w:rPr>
        <w:t>,</w:t>
      </w:r>
      <w:r>
        <w:rPr>
          <w:rFonts w:cs="Calibri"/>
          <w:color w:val="000000"/>
          <w:sz w:val="24"/>
          <w:szCs w:val="24"/>
          <w:lang w:eastAsia="sk-SK"/>
        </w:rPr>
        <w:t xml:space="preserve"> </w:t>
      </w:r>
      <w:r w:rsidR="001360E8">
        <w:rPr>
          <w:rFonts w:cs="Calibri"/>
          <w:color w:val="000000"/>
          <w:sz w:val="24"/>
          <w:szCs w:val="24"/>
          <w:lang w:eastAsia="sk-SK"/>
        </w:rPr>
        <w:t xml:space="preserve">prijatej návratnej finančnej výpomoci z MF SR vo výške 5,67 </w:t>
      </w:r>
      <w:proofErr w:type="spellStart"/>
      <w:r w:rsidR="001360E8">
        <w:rPr>
          <w:rFonts w:cs="Calibri"/>
          <w:color w:val="000000"/>
          <w:sz w:val="24"/>
          <w:szCs w:val="24"/>
          <w:lang w:eastAsia="sk-SK"/>
        </w:rPr>
        <w:t>mil</w:t>
      </w:r>
      <w:proofErr w:type="spellEnd"/>
      <w:r w:rsidR="001360E8">
        <w:rPr>
          <w:rFonts w:cs="Calibri"/>
          <w:color w:val="000000"/>
          <w:sz w:val="24"/>
          <w:szCs w:val="24"/>
          <w:lang w:eastAsia="sk-SK"/>
        </w:rPr>
        <w:t xml:space="preserve"> EUR,</w:t>
      </w:r>
      <w:r w:rsidR="00790F0D">
        <w:rPr>
          <w:rFonts w:cs="Calibri"/>
          <w:color w:val="000000"/>
          <w:sz w:val="24"/>
          <w:szCs w:val="24"/>
          <w:lang w:eastAsia="sk-SK"/>
        </w:rPr>
        <w:t xml:space="preserve"> zo zapojenia prostriedkov </w:t>
      </w:r>
      <w:r>
        <w:rPr>
          <w:rFonts w:cs="Calibri"/>
          <w:color w:val="000000"/>
          <w:sz w:val="24"/>
          <w:szCs w:val="24"/>
          <w:lang w:eastAsia="sk-SK"/>
        </w:rPr>
        <w:t xml:space="preserve">rezervného fondu BSK </w:t>
      </w:r>
      <w:r w:rsidRPr="00444F69">
        <w:rPr>
          <w:rFonts w:cs="Calibri"/>
          <w:color w:val="000000"/>
          <w:sz w:val="24"/>
          <w:szCs w:val="24"/>
          <w:lang w:eastAsia="sk-SK"/>
        </w:rPr>
        <w:t>a</w:t>
      </w:r>
      <w:r w:rsidR="00790F0D">
        <w:rPr>
          <w:rFonts w:cs="Calibri"/>
          <w:color w:val="000000"/>
          <w:sz w:val="24"/>
          <w:szCs w:val="24"/>
          <w:lang w:eastAsia="sk-SK"/>
        </w:rPr>
        <w:t> </w:t>
      </w:r>
      <w:r w:rsidRPr="00444F69">
        <w:rPr>
          <w:rFonts w:cs="Calibri"/>
          <w:color w:val="000000"/>
          <w:sz w:val="24"/>
          <w:szCs w:val="24"/>
          <w:lang w:eastAsia="sk-SK"/>
        </w:rPr>
        <w:t>zostatk</w:t>
      </w:r>
      <w:r w:rsidR="00790F0D">
        <w:rPr>
          <w:rFonts w:cs="Calibri"/>
          <w:color w:val="000000"/>
          <w:sz w:val="24"/>
          <w:szCs w:val="24"/>
          <w:lang w:eastAsia="sk-SK"/>
        </w:rPr>
        <w:t>ov finančných</w:t>
      </w:r>
      <w:r w:rsidRPr="00444F69">
        <w:rPr>
          <w:rFonts w:cs="Calibri"/>
          <w:color w:val="000000"/>
          <w:sz w:val="24"/>
          <w:szCs w:val="24"/>
          <w:lang w:eastAsia="sk-SK"/>
        </w:rPr>
        <w:t xml:space="preserve"> prostriedkov z minulých rokov.</w:t>
      </w:r>
    </w:p>
    <w:p w14:paraId="43B2F4EE" w14:textId="09DA818F" w:rsidR="00AA3476" w:rsidRDefault="00BE704E" w:rsidP="00783D43">
      <w:pPr>
        <w:spacing w:after="120" w:line="240" w:lineRule="auto"/>
        <w:jc w:val="both"/>
        <w:rPr>
          <w:rFonts w:cs="Calibri"/>
          <w:color w:val="000000"/>
          <w:sz w:val="24"/>
          <w:szCs w:val="24"/>
          <w:lang w:eastAsia="sk-SK"/>
        </w:rPr>
      </w:pPr>
      <w:r>
        <w:rPr>
          <w:rFonts w:cs="Calibri"/>
          <w:color w:val="000000"/>
          <w:sz w:val="24"/>
          <w:szCs w:val="24"/>
          <w:lang w:eastAsia="sk-SK"/>
        </w:rPr>
        <w:t>Nasledujúca tabuľka prezentuje plnenie príjmovej časti rozpočtu v roku 20</w:t>
      </w:r>
      <w:r w:rsidR="001C1C96">
        <w:rPr>
          <w:rFonts w:cs="Calibri"/>
          <w:color w:val="000000"/>
          <w:sz w:val="24"/>
          <w:szCs w:val="24"/>
          <w:lang w:eastAsia="sk-SK"/>
        </w:rPr>
        <w:t>20</w:t>
      </w:r>
      <w:r>
        <w:rPr>
          <w:rFonts w:cs="Calibri"/>
          <w:color w:val="000000"/>
          <w:sz w:val="24"/>
          <w:szCs w:val="24"/>
          <w:lang w:eastAsia="sk-SK"/>
        </w:rPr>
        <w:t>:</w:t>
      </w:r>
    </w:p>
    <w:tbl>
      <w:tblPr>
        <w:tblW w:w="0" w:type="auto"/>
        <w:tblCellMar>
          <w:left w:w="70" w:type="dxa"/>
          <w:right w:w="70" w:type="dxa"/>
        </w:tblCellMar>
        <w:tblLook w:val="04A0" w:firstRow="1" w:lastRow="0" w:firstColumn="1" w:lastColumn="0" w:noHBand="0" w:noVBand="1"/>
      </w:tblPr>
      <w:tblGrid>
        <w:gridCol w:w="1686"/>
        <w:gridCol w:w="1418"/>
        <w:gridCol w:w="1417"/>
        <w:gridCol w:w="1418"/>
        <w:gridCol w:w="1559"/>
        <w:gridCol w:w="1418"/>
        <w:gridCol w:w="1520"/>
      </w:tblGrid>
      <w:tr w:rsidR="00AA3476" w:rsidRPr="00AA3476" w14:paraId="6D0597EA" w14:textId="77777777" w:rsidTr="00AA3476">
        <w:trPr>
          <w:trHeight w:val="885"/>
        </w:trPr>
        <w:tc>
          <w:tcPr>
            <w:tcW w:w="1686" w:type="dxa"/>
            <w:tcBorders>
              <w:top w:val="nil"/>
              <w:left w:val="single" w:sz="12" w:space="0" w:color="FFFFFF"/>
              <w:bottom w:val="nil"/>
              <w:right w:val="single" w:sz="12" w:space="0" w:color="FFFFFF"/>
            </w:tcBorders>
            <w:shd w:val="clear" w:color="000000" w:fill="8DB3E2"/>
            <w:vAlign w:val="center"/>
            <w:hideMark/>
          </w:tcPr>
          <w:p w14:paraId="436B174B" w14:textId="77777777" w:rsidR="00AA3476" w:rsidRPr="005B6B30" w:rsidRDefault="00AA3476" w:rsidP="00AA3476">
            <w:pPr>
              <w:spacing w:after="0" w:line="240" w:lineRule="auto"/>
              <w:jc w:val="center"/>
              <w:rPr>
                <w:rFonts w:cs="Calibri"/>
                <w:b/>
                <w:bCs/>
                <w:sz w:val="18"/>
                <w:szCs w:val="18"/>
                <w:lang w:eastAsia="sk-SK"/>
              </w:rPr>
            </w:pPr>
            <w:r w:rsidRPr="005B6B30">
              <w:rPr>
                <w:rFonts w:cs="Calibri"/>
                <w:b/>
                <w:bCs/>
                <w:sz w:val="18"/>
                <w:szCs w:val="18"/>
                <w:lang w:eastAsia="sk-SK"/>
              </w:rPr>
              <w:t xml:space="preserve">Príjmy BSK </w:t>
            </w:r>
          </w:p>
        </w:tc>
        <w:tc>
          <w:tcPr>
            <w:tcW w:w="1418" w:type="dxa"/>
            <w:tcBorders>
              <w:top w:val="single" w:sz="12" w:space="0" w:color="FFFFFF"/>
              <w:left w:val="nil"/>
              <w:bottom w:val="nil"/>
              <w:right w:val="single" w:sz="12" w:space="0" w:color="FFFFFF"/>
            </w:tcBorders>
            <w:shd w:val="clear" w:color="000000" w:fill="8DB3E2"/>
            <w:vAlign w:val="center"/>
            <w:hideMark/>
          </w:tcPr>
          <w:p w14:paraId="7E6960FF" w14:textId="1ED09C67" w:rsidR="00AA3476" w:rsidRPr="000E7C7A" w:rsidRDefault="00AA3476" w:rsidP="00AA3476">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31.12.201</w:t>
            </w:r>
            <w:r w:rsidR="00E804AA">
              <w:rPr>
                <w:rFonts w:cs="Calibri"/>
                <w:b/>
                <w:bCs/>
                <w:color w:val="000000"/>
                <w:sz w:val="18"/>
                <w:szCs w:val="18"/>
                <w:lang w:eastAsia="sk-SK"/>
              </w:rPr>
              <w:t>9</w:t>
            </w:r>
          </w:p>
        </w:tc>
        <w:tc>
          <w:tcPr>
            <w:tcW w:w="1417" w:type="dxa"/>
            <w:tcBorders>
              <w:top w:val="single" w:sz="12" w:space="0" w:color="FFFFFF"/>
              <w:left w:val="nil"/>
              <w:bottom w:val="nil"/>
              <w:right w:val="single" w:sz="12" w:space="0" w:color="FFFFFF"/>
            </w:tcBorders>
            <w:shd w:val="clear" w:color="000000" w:fill="8DB3E2"/>
            <w:vAlign w:val="center"/>
            <w:hideMark/>
          </w:tcPr>
          <w:p w14:paraId="2BBB2527" w14:textId="153011CF" w:rsidR="00AA3476" w:rsidRPr="000E7C7A" w:rsidRDefault="00AA3476" w:rsidP="00AA3476">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Schválený rozpočet 20</w:t>
            </w:r>
            <w:r w:rsidR="001C1C96">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418" w:type="dxa"/>
            <w:tcBorders>
              <w:top w:val="single" w:sz="12" w:space="0" w:color="FFFFFF"/>
              <w:left w:val="nil"/>
              <w:bottom w:val="nil"/>
              <w:right w:val="single" w:sz="12" w:space="0" w:color="FFFFFF"/>
            </w:tcBorders>
            <w:shd w:val="clear" w:color="000000" w:fill="8DB3E2"/>
            <w:vAlign w:val="center"/>
            <w:hideMark/>
          </w:tcPr>
          <w:p w14:paraId="458D0F3A" w14:textId="1262411F" w:rsidR="00AA3476" w:rsidRPr="000E7C7A" w:rsidRDefault="00AA3476" w:rsidP="00AA3476">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Zmenený rozpočet k 31.12.20</w:t>
            </w:r>
            <w:r w:rsidR="001C1C96">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559" w:type="dxa"/>
            <w:tcBorders>
              <w:top w:val="single" w:sz="12" w:space="0" w:color="FFFFFF"/>
              <w:left w:val="nil"/>
              <w:bottom w:val="nil"/>
              <w:right w:val="single" w:sz="12" w:space="0" w:color="FFFFFF"/>
            </w:tcBorders>
            <w:shd w:val="clear" w:color="000000" w:fill="8DB3E2"/>
            <w:vAlign w:val="center"/>
            <w:hideMark/>
          </w:tcPr>
          <w:p w14:paraId="4F8DF78A" w14:textId="17E911B3" w:rsidR="00AA3476" w:rsidRPr="000E7C7A" w:rsidRDefault="00AA3476" w:rsidP="00AA3476">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w:t>
            </w:r>
            <w:r w:rsidR="001C1C96">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418" w:type="dxa"/>
            <w:tcBorders>
              <w:top w:val="single" w:sz="12" w:space="0" w:color="FFFFFF"/>
              <w:left w:val="nil"/>
              <w:bottom w:val="nil"/>
              <w:right w:val="single" w:sz="12" w:space="0" w:color="FFFFFF"/>
            </w:tcBorders>
            <w:shd w:val="clear" w:color="000000" w:fill="8DB3E2"/>
            <w:vAlign w:val="center"/>
            <w:hideMark/>
          </w:tcPr>
          <w:p w14:paraId="145E5050" w14:textId="7BF5093A" w:rsidR="00AA3476" w:rsidRPr="000E7C7A" w:rsidRDefault="00AA3476" w:rsidP="00AA3476">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 plnenie k zmenenému rozpočtu k 31.12.20</w:t>
            </w:r>
            <w:r w:rsidR="001C1C96">
              <w:rPr>
                <w:rFonts w:cs="Calibri"/>
                <w:b/>
                <w:bCs/>
                <w:color w:val="000000"/>
                <w:sz w:val="18"/>
                <w:szCs w:val="18"/>
                <w:lang w:eastAsia="sk-SK"/>
              </w:rPr>
              <w:t>20</w:t>
            </w:r>
          </w:p>
        </w:tc>
        <w:tc>
          <w:tcPr>
            <w:tcW w:w="1520" w:type="dxa"/>
            <w:tcBorders>
              <w:top w:val="single" w:sz="12" w:space="0" w:color="FFFFFF"/>
              <w:left w:val="nil"/>
              <w:bottom w:val="nil"/>
              <w:right w:val="single" w:sz="12" w:space="0" w:color="FFFFFF"/>
            </w:tcBorders>
            <w:shd w:val="clear" w:color="000000" w:fill="8DB3E2"/>
            <w:vAlign w:val="center"/>
            <w:hideMark/>
          </w:tcPr>
          <w:p w14:paraId="013BC51D" w14:textId="77777777" w:rsidR="00AA3476" w:rsidRPr="000E7C7A" w:rsidRDefault="00AA3476" w:rsidP="00AA3476">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Zmeny rozpočtu</w:t>
            </w:r>
          </w:p>
        </w:tc>
      </w:tr>
      <w:tr w:rsidR="00017875" w:rsidRPr="00AA3476" w14:paraId="4D284795" w14:textId="77777777" w:rsidTr="001C1C96">
        <w:trPr>
          <w:trHeight w:val="315"/>
        </w:trPr>
        <w:tc>
          <w:tcPr>
            <w:tcW w:w="1686" w:type="dxa"/>
            <w:tcBorders>
              <w:top w:val="nil"/>
              <w:left w:val="single" w:sz="12" w:space="0" w:color="FFFFFF"/>
              <w:bottom w:val="single" w:sz="12" w:space="0" w:color="FFFFFF"/>
              <w:right w:val="single" w:sz="12" w:space="0" w:color="FFFFFF"/>
            </w:tcBorders>
            <w:shd w:val="clear" w:color="000000" w:fill="8DB3E2"/>
            <w:vAlign w:val="center"/>
            <w:hideMark/>
          </w:tcPr>
          <w:p w14:paraId="0AA1D690" w14:textId="77777777" w:rsidR="00017875" w:rsidRPr="00AA3476" w:rsidRDefault="00017875" w:rsidP="00017875">
            <w:pPr>
              <w:spacing w:after="0" w:line="240" w:lineRule="auto"/>
              <w:rPr>
                <w:rFonts w:cs="Calibri"/>
                <w:b/>
                <w:bCs/>
                <w:color w:val="000000"/>
                <w:sz w:val="20"/>
                <w:szCs w:val="20"/>
                <w:lang w:eastAsia="sk-SK"/>
              </w:rPr>
            </w:pPr>
            <w:r w:rsidRPr="00AA3476">
              <w:rPr>
                <w:rFonts w:cs="Calibri"/>
                <w:b/>
                <w:bCs/>
                <w:color w:val="000000"/>
                <w:sz w:val="20"/>
                <w:szCs w:val="20"/>
                <w:lang w:eastAsia="sk-SK"/>
              </w:rPr>
              <w:t>Príjmy</w:t>
            </w:r>
          </w:p>
        </w:tc>
        <w:tc>
          <w:tcPr>
            <w:tcW w:w="1418" w:type="dxa"/>
            <w:tcBorders>
              <w:top w:val="nil"/>
              <w:left w:val="nil"/>
              <w:bottom w:val="single" w:sz="12" w:space="0" w:color="FFFFFF"/>
              <w:right w:val="single" w:sz="12" w:space="0" w:color="FFFFFF"/>
            </w:tcBorders>
            <w:shd w:val="clear" w:color="000000" w:fill="8DB3E2"/>
            <w:vAlign w:val="center"/>
            <w:hideMark/>
          </w:tcPr>
          <w:p w14:paraId="7DB0F633" w14:textId="491EDCBF" w:rsidR="00017875" w:rsidRPr="00AA3476" w:rsidRDefault="00017875" w:rsidP="00017875">
            <w:pPr>
              <w:spacing w:after="0" w:line="240" w:lineRule="auto"/>
              <w:jc w:val="right"/>
              <w:rPr>
                <w:rFonts w:cs="Calibri"/>
                <w:b/>
                <w:bCs/>
                <w:color w:val="000000"/>
                <w:sz w:val="20"/>
                <w:szCs w:val="20"/>
                <w:lang w:eastAsia="sk-SK"/>
              </w:rPr>
            </w:pPr>
            <w:r w:rsidRPr="00AA3476">
              <w:rPr>
                <w:rFonts w:cs="Calibri"/>
                <w:b/>
                <w:bCs/>
                <w:color w:val="000000"/>
                <w:sz w:val="20"/>
                <w:szCs w:val="20"/>
                <w:lang w:eastAsia="sk-SK"/>
              </w:rPr>
              <w:t>177 281 648,51</w:t>
            </w:r>
          </w:p>
        </w:tc>
        <w:tc>
          <w:tcPr>
            <w:tcW w:w="1417" w:type="dxa"/>
            <w:tcBorders>
              <w:top w:val="nil"/>
              <w:left w:val="nil"/>
              <w:bottom w:val="single" w:sz="12" w:space="0" w:color="FFFFFF"/>
              <w:right w:val="single" w:sz="12" w:space="0" w:color="FFFFFF"/>
            </w:tcBorders>
            <w:shd w:val="clear" w:color="000000" w:fill="8DB3E2"/>
            <w:vAlign w:val="center"/>
          </w:tcPr>
          <w:p w14:paraId="08E202F5" w14:textId="4AAD74CF"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186 394 438,85</w:t>
            </w:r>
          </w:p>
        </w:tc>
        <w:tc>
          <w:tcPr>
            <w:tcW w:w="1418" w:type="dxa"/>
            <w:tcBorders>
              <w:top w:val="nil"/>
              <w:left w:val="nil"/>
              <w:bottom w:val="single" w:sz="12" w:space="0" w:color="FFFFFF"/>
              <w:right w:val="single" w:sz="12" w:space="0" w:color="FFFFFF"/>
            </w:tcBorders>
            <w:shd w:val="clear" w:color="000000" w:fill="8DB3E2"/>
            <w:vAlign w:val="center"/>
          </w:tcPr>
          <w:p w14:paraId="6198315E" w14:textId="7B6707FB"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189 402 184,90</w:t>
            </w:r>
          </w:p>
        </w:tc>
        <w:tc>
          <w:tcPr>
            <w:tcW w:w="1559" w:type="dxa"/>
            <w:tcBorders>
              <w:top w:val="nil"/>
              <w:left w:val="nil"/>
              <w:bottom w:val="single" w:sz="12" w:space="0" w:color="FFFFFF"/>
              <w:right w:val="single" w:sz="12" w:space="0" w:color="FFFFFF"/>
            </w:tcBorders>
            <w:shd w:val="clear" w:color="000000" w:fill="8DB3E2"/>
            <w:vAlign w:val="center"/>
          </w:tcPr>
          <w:p w14:paraId="26AABE1D" w14:textId="3AAA1FC5"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179 713 945,82</w:t>
            </w:r>
          </w:p>
        </w:tc>
        <w:tc>
          <w:tcPr>
            <w:tcW w:w="1418" w:type="dxa"/>
            <w:tcBorders>
              <w:top w:val="nil"/>
              <w:left w:val="nil"/>
              <w:bottom w:val="single" w:sz="12" w:space="0" w:color="FFFFFF"/>
              <w:right w:val="single" w:sz="12" w:space="0" w:color="FFFFFF"/>
            </w:tcBorders>
            <w:shd w:val="clear" w:color="000000" w:fill="95B3D7"/>
            <w:vAlign w:val="center"/>
          </w:tcPr>
          <w:p w14:paraId="7F4C25A3" w14:textId="5BEDE208" w:rsidR="00017875" w:rsidRPr="00AA3476" w:rsidRDefault="00017875" w:rsidP="00017875">
            <w:pPr>
              <w:spacing w:after="0" w:line="240" w:lineRule="auto"/>
              <w:jc w:val="right"/>
              <w:rPr>
                <w:rFonts w:cs="Calibri"/>
                <w:b/>
                <w:bCs/>
                <w:color w:val="000000"/>
                <w:sz w:val="20"/>
                <w:szCs w:val="20"/>
                <w:lang w:eastAsia="sk-SK"/>
              </w:rPr>
            </w:pPr>
            <w:r w:rsidRPr="00017875">
              <w:rPr>
                <w:rFonts w:cs="Calibri"/>
                <w:b/>
                <w:bCs/>
                <w:color w:val="000000"/>
                <w:sz w:val="20"/>
                <w:szCs w:val="20"/>
              </w:rPr>
              <w:t>94,88%</w:t>
            </w:r>
            <w:r>
              <w:rPr>
                <w:rFonts w:cs="Calibri"/>
                <w:b/>
                <w:bCs/>
                <w:color w:val="000000"/>
                <w:sz w:val="20"/>
                <w:szCs w:val="20"/>
              </w:rPr>
              <w:t> </w:t>
            </w:r>
          </w:p>
        </w:tc>
        <w:tc>
          <w:tcPr>
            <w:tcW w:w="1520" w:type="dxa"/>
            <w:tcBorders>
              <w:top w:val="nil"/>
              <w:left w:val="nil"/>
              <w:bottom w:val="single" w:sz="12" w:space="0" w:color="FFFFFF"/>
              <w:right w:val="single" w:sz="12" w:space="0" w:color="FFFFFF"/>
            </w:tcBorders>
            <w:shd w:val="clear" w:color="000000" w:fill="8DB3E2"/>
            <w:vAlign w:val="center"/>
          </w:tcPr>
          <w:p w14:paraId="274CECE1" w14:textId="0C7AC82E"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3 007 746,05</w:t>
            </w:r>
          </w:p>
        </w:tc>
      </w:tr>
      <w:tr w:rsidR="00017875" w:rsidRPr="00AA3476" w14:paraId="3D449EAD" w14:textId="77777777" w:rsidTr="001C1C96">
        <w:trPr>
          <w:trHeight w:val="330"/>
        </w:trPr>
        <w:tc>
          <w:tcPr>
            <w:tcW w:w="1686" w:type="dxa"/>
            <w:tcBorders>
              <w:top w:val="nil"/>
              <w:left w:val="single" w:sz="12" w:space="0" w:color="FFFFFF"/>
              <w:bottom w:val="single" w:sz="12" w:space="0" w:color="FFFFFF"/>
              <w:right w:val="single" w:sz="12" w:space="0" w:color="FFFFFF"/>
            </w:tcBorders>
            <w:shd w:val="clear" w:color="000000" w:fill="F2F2F2"/>
            <w:vAlign w:val="center"/>
            <w:hideMark/>
          </w:tcPr>
          <w:p w14:paraId="1D4F02C9" w14:textId="77777777" w:rsidR="00017875" w:rsidRPr="00AA3476" w:rsidRDefault="00017875" w:rsidP="00017875">
            <w:pPr>
              <w:spacing w:after="0" w:line="240" w:lineRule="auto"/>
              <w:rPr>
                <w:rFonts w:cs="Calibri"/>
                <w:color w:val="000000"/>
                <w:sz w:val="20"/>
                <w:szCs w:val="20"/>
                <w:lang w:eastAsia="sk-SK"/>
              </w:rPr>
            </w:pPr>
            <w:r w:rsidRPr="00AA3476">
              <w:rPr>
                <w:rFonts w:cs="Calibri"/>
                <w:color w:val="000000"/>
                <w:sz w:val="20"/>
                <w:szCs w:val="20"/>
                <w:lang w:eastAsia="sk-SK"/>
              </w:rPr>
              <w:t>Bežné príjmy</w:t>
            </w:r>
          </w:p>
        </w:tc>
        <w:tc>
          <w:tcPr>
            <w:tcW w:w="1418" w:type="dxa"/>
            <w:tcBorders>
              <w:top w:val="nil"/>
              <w:left w:val="nil"/>
              <w:bottom w:val="single" w:sz="12" w:space="0" w:color="FFFFFF"/>
              <w:right w:val="single" w:sz="12" w:space="0" w:color="FFFFFF"/>
            </w:tcBorders>
            <w:shd w:val="clear" w:color="000000" w:fill="F2F2F2"/>
            <w:vAlign w:val="center"/>
            <w:hideMark/>
          </w:tcPr>
          <w:p w14:paraId="7B2AA2D2" w14:textId="74816DBC" w:rsidR="00017875" w:rsidRPr="00AA3476" w:rsidRDefault="00017875" w:rsidP="00017875">
            <w:pPr>
              <w:spacing w:after="0" w:line="240" w:lineRule="auto"/>
              <w:jc w:val="right"/>
              <w:rPr>
                <w:rFonts w:cs="Calibri"/>
                <w:color w:val="000000"/>
                <w:sz w:val="20"/>
                <w:szCs w:val="20"/>
                <w:lang w:eastAsia="sk-SK"/>
              </w:rPr>
            </w:pPr>
            <w:r w:rsidRPr="00AA3476">
              <w:rPr>
                <w:rFonts w:cs="Calibri"/>
                <w:color w:val="000000"/>
                <w:sz w:val="20"/>
                <w:szCs w:val="20"/>
                <w:lang w:eastAsia="sk-SK"/>
              </w:rPr>
              <w:t>166 251 797,08</w:t>
            </w:r>
          </w:p>
        </w:tc>
        <w:tc>
          <w:tcPr>
            <w:tcW w:w="1417" w:type="dxa"/>
            <w:tcBorders>
              <w:top w:val="nil"/>
              <w:left w:val="nil"/>
              <w:bottom w:val="single" w:sz="12" w:space="0" w:color="FFFFFF"/>
              <w:right w:val="single" w:sz="12" w:space="0" w:color="FFFFFF"/>
            </w:tcBorders>
            <w:shd w:val="clear" w:color="000000" w:fill="F2F2F2"/>
            <w:vAlign w:val="center"/>
          </w:tcPr>
          <w:p w14:paraId="2DB54F45" w14:textId="5D5E5637"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175 181 988,30</w:t>
            </w:r>
          </w:p>
        </w:tc>
        <w:tc>
          <w:tcPr>
            <w:tcW w:w="1418" w:type="dxa"/>
            <w:tcBorders>
              <w:top w:val="nil"/>
              <w:left w:val="nil"/>
              <w:bottom w:val="single" w:sz="12" w:space="0" w:color="FFFFFF"/>
              <w:right w:val="single" w:sz="12" w:space="0" w:color="FFFFFF"/>
            </w:tcBorders>
            <w:shd w:val="clear" w:color="000000" w:fill="F2F2F2"/>
            <w:vAlign w:val="center"/>
          </w:tcPr>
          <w:p w14:paraId="1FAEE302" w14:textId="071E5D17"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177 780 887,20</w:t>
            </w:r>
          </w:p>
        </w:tc>
        <w:tc>
          <w:tcPr>
            <w:tcW w:w="1559" w:type="dxa"/>
            <w:tcBorders>
              <w:top w:val="nil"/>
              <w:left w:val="nil"/>
              <w:bottom w:val="single" w:sz="12" w:space="0" w:color="FFFFFF"/>
              <w:right w:val="single" w:sz="12" w:space="0" w:color="FFFFFF"/>
            </w:tcBorders>
            <w:shd w:val="clear" w:color="000000" w:fill="F2F2F2"/>
            <w:vAlign w:val="center"/>
          </w:tcPr>
          <w:p w14:paraId="13478E82" w14:textId="32E5FE6B"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175 613 428,04</w:t>
            </w:r>
          </w:p>
        </w:tc>
        <w:tc>
          <w:tcPr>
            <w:tcW w:w="1418" w:type="dxa"/>
            <w:tcBorders>
              <w:top w:val="nil"/>
              <w:left w:val="nil"/>
              <w:bottom w:val="single" w:sz="12" w:space="0" w:color="FFFFFF"/>
              <w:right w:val="single" w:sz="12" w:space="0" w:color="FFFFFF"/>
            </w:tcBorders>
            <w:shd w:val="clear" w:color="000000" w:fill="F2F2F2"/>
            <w:vAlign w:val="center"/>
          </w:tcPr>
          <w:p w14:paraId="3B32CF58" w14:textId="3C5E1827"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98,78%</w:t>
            </w:r>
          </w:p>
        </w:tc>
        <w:tc>
          <w:tcPr>
            <w:tcW w:w="1520" w:type="dxa"/>
            <w:tcBorders>
              <w:top w:val="nil"/>
              <w:left w:val="nil"/>
              <w:bottom w:val="single" w:sz="12" w:space="0" w:color="FFFFFF"/>
              <w:right w:val="single" w:sz="12" w:space="0" w:color="FFFFFF"/>
            </w:tcBorders>
            <w:shd w:val="clear" w:color="000000" w:fill="F2F2F2"/>
            <w:vAlign w:val="center"/>
          </w:tcPr>
          <w:p w14:paraId="27492CB3" w14:textId="00D15C60"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2 598 898,90</w:t>
            </w:r>
          </w:p>
        </w:tc>
      </w:tr>
      <w:tr w:rsidR="00017875" w:rsidRPr="00AA3476" w14:paraId="48F92FF8" w14:textId="77777777" w:rsidTr="001C1C96">
        <w:trPr>
          <w:trHeight w:val="330"/>
        </w:trPr>
        <w:tc>
          <w:tcPr>
            <w:tcW w:w="1686" w:type="dxa"/>
            <w:tcBorders>
              <w:top w:val="nil"/>
              <w:left w:val="single" w:sz="12" w:space="0" w:color="FFFFFF"/>
              <w:bottom w:val="single" w:sz="12" w:space="0" w:color="FFFFFF"/>
              <w:right w:val="single" w:sz="12" w:space="0" w:color="FFFFFF"/>
            </w:tcBorders>
            <w:shd w:val="clear" w:color="000000" w:fill="F2F2F2"/>
            <w:vAlign w:val="center"/>
            <w:hideMark/>
          </w:tcPr>
          <w:p w14:paraId="0C882FE9" w14:textId="77777777" w:rsidR="00017875" w:rsidRPr="00AA3476" w:rsidRDefault="00017875" w:rsidP="00017875">
            <w:pPr>
              <w:spacing w:after="0" w:line="240" w:lineRule="auto"/>
              <w:rPr>
                <w:rFonts w:cs="Calibri"/>
                <w:color w:val="000000"/>
                <w:sz w:val="20"/>
                <w:szCs w:val="20"/>
                <w:lang w:eastAsia="sk-SK"/>
              </w:rPr>
            </w:pPr>
            <w:r w:rsidRPr="00AA3476">
              <w:rPr>
                <w:rFonts w:cs="Calibri"/>
                <w:color w:val="000000"/>
                <w:sz w:val="20"/>
                <w:szCs w:val="20"/>
                <w:lang w:eastAsia="sk-SK"/>
              </w:rPr>
              <w:t>Kapitálové  príjmy</w:t>
            </w:r>
          </w:p>
        </w:tc>
        <w:tc>
          <w:tcPr>
            <w:tcW w:w="1418" w:type="dxa"/>
            <w:tcBorders>
              <w:top w:val="nil"/>
              <w:left w:val="nil"/>
              <w:bottom w:val="single" w:sz="12" w:space="0" w:color="FFFFFF"/>
              <w:right w:val="single" w:sz="12" w:space="0" w:color="FFFFFF"/>
            </w:tcBorders>
            <w:shd w:val="clear" w:color="000000" w:fill="F2F2F2"/>
            <w:vAlign w:val="center"/>
            <w:hideMark/>
          </w:tcPr>
          <w:p w14:paraId="5FA2C80C" w14:textId="6D4A8CF9" w:rsidR="00017875" w:rsidRPr="00AA3476" w:rsidRDefault="00017875" w:rsidP="00017875">
            <w:pPr>
              <w:spacing w:after="0" w:line="240" w:lineRule="auto"/>
              <w:jc w:val="right"/>
              <w:rPr>
                <w:rFonts w:cs="Calibri"/>
                <w:color w:val="000000"/>
                <w:sz w:val="20"/>
                <w:szCs w:val="20"/>
                <w:lang w:eastAsia="sk-SK"/>
              </w:rPr>
            </w:pPr>
            <w:r w:rsidRPr="00AA3476">
              <w:rPr>
                <w:rFonts w:cs="Calibri"/>
                <w:color w:val="000000"/>
                <w:sz w:val="20"/>
                <w:szCs w:val="20"/>
                <w:lang w:eastAsia="sk-SK"/>
              </w:rPr>
              <w:t>11 029 851,43</w:t>
            </w:r>
          </w:p>
        </w:tc>
        <w:tc>
          <w:tcPr>
            <w:tcW w:w="1417" w:type="dxa"/>
            <w:tcBorders>
              <w:top w:val="nil"/>
              <w:left w:val="nil"/>
              <w:bottom w:val="single" w:sz="12" w:space="0" w:color="FFFFFF"/>
              <w:right w:val="single" w:sz="12" w:space="0" w:color="FFFFFF"/>
            </w:tcBorders>
            <w:shd w:val="clear" w:color="000000" w:fill="F2F2F2"/>
            <w:vAlign w:val="center"/>
          </w:tcPr>
          <w:p w14:paraId="02E15C5D" w14:textId="7AD177EF"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11 212 450,55</w:t>
            </w:r>
          </w:p>
        </w:tc>
        <w:tc>
          <w:tcPr>
            <w:tcW w:w="1418" w:type="dxa"/>
            <w:tcBorders>
              <w:top w:val="nil"/>
              <w:left w:val="nil"/>
              <w:bottom w:val="single" w:sz="12" w:space="0" w:color="FFFFFF"/>
              <w:right w:val="single" w:sz="12" w:space="0" w:color="FFFFFF"/>
            </w:tcBorders>
            <w:shd w:val="clear" w:color="000000" w:fill="F2F2F2"/>
            <w:vAlign w:val="center"/>
          </w:tcPr>
          <w:p w14:paraId="1AA113C2" w14:textId="50F2FA58"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11 621 297,70</w:t>
            </w:r>
          </w:p>
        </w:tc>
        <w:tc>
          <w:tcPr>
            <w:tcW w:w="1559" w:type="dxa"/>
            <w:tcBorders>
              <w:top w:val="nil"/>
              <w:left w:val="nil"/>
              <w:bottom w:val="single" w:sz="12" w:space="0" w:color="FFFFFF"/>
              <w:right w:val="single" w:sz="12" w:space="0" w:color="FFFFFF"/>
            </w:tcBorders>
            <w:shd w:val="clear" w:color="000000" w:fill="F2F2F2"/>
            <w:vAlign w:val="center"/>
          </w:tcPr>
          <w:p w14:paraId="307FC741" w14:textId="147AE45A"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4 100 517,78</w:t>
            </w:r>
          </w:p>
        </w:tc>
        <w:tc>
          <w:tcPr>
            <w:tcW w:w="1418" w:type="dxa"/>
            <w:tcBorders>
              <w:top w:val="nil"/>
              <w:left w:val="nil"/>
              <w:bottom w:val="single" w:sz="12" w:space="0" w:color="FFFFFF"/>
              <w:right w:val="single" w:sz="12" w:space="0" w:color="FFFFFF"/>
            </w:tcBorders>
            <w:shd w:val="clear" w:color="000000" w:fill="F2F2F2"/>
            <w:vAlign w:val="center"/>
          </w:tcPr>
          <w:p w14:paraId="310BE7EC" w14:textId="49971721"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35,28%</w:t>
            </w:r>
          </w:p>
        </w:tc>
        <w:tc>
          <w:tcPr>
            <w:tcW w:w="1520" w:type="dxa"/>
            <w:tcBorders>
              <w:top w:val="nil"/>
              <w:left w:val="nil"/>
              <w:bottom w:val="single" w:sz="12" w:space="0" w:color="FFFFFF"/>
              <w:right w:val="single" w:sz="12" w:space="0" w:color="FFFFFF"/>
            </w:tcBorders>
            <w:shd w:val="clear" w:color="000000" w:fill="F2F2F2"/>
            <w:vAlign w:val="center"/>
          </w:tcPr>
          <w:p w14:paraId="30CD245F" w14:textId="445F1CF0" w:rsidR="00017875" w:rsidRPr="00AA3476" w:rsidRDefault="00017875" w:rsidP="00017875">
            <w:pPr>
              <w:spacing w:after="0" w:line="240" w:lineRule="auto"/>
              <w:jc w:val="right"/>
              <w:rPr>
                <w:rFonts w:cs="Calibri"/>
                <w:color w:val="000000"/>
                <w:sz w:val="20"/>
                <w:szCs w:val="20"/>
                <w:lang w:eastAsia="sk-SK"/>
              </w:rPr>
            </w:pPr>
            <w:r>
              <w:rPr>
                <w:rFonts w:cs="Calibri"/>
                <w:color w:val="000000"/>
                <w:sz w:val="20"/>
                <w:szCs w:val="20"/>
              </w:rPr>
              <w:t>408 847,15</w:t>
            </w:r>
          </w:p>
        </w:tc>
      </w:tr>
      <w:tr w:rsidR="00017875" w:rsidRPr="00AA3476" w14:paraId="50FBA9DD" w14:textId="77777777" w:rsidTr="001C1C96">
        <w:trPr>
          <w:trHeight w:val="330"/>
        </w:trPr>
        <w:tc>
          <w:tcPr>
            <w:tcW w:w="1686" w:type="dxa"/>
            <w:tcBorders>
              <w:top w:val="nil"/>
              <w:left w:val="single" w:sz="12" w:space="0" w:color="FFFFFF"/>
              <w:bottom w:val="single" w:sz="12" w:space="0" w:color="FFFFFF"/>
              <w:right w:val="single" w:sz="12" w:space="0" w:color="FFFFFF"/>
            </w:tcBorders>
            <w:shd w:val="clear" w:color="000000" w:fill="8DB4E2"/>
            <w:vAlign w:val="center"/>
            <w:hideMark/>
          </w:tcPr>
          <w:p w14:paraId="1AB226AC" w14:textId="77777777" w:rsidR="00017875" w:rsidRPr="00AA3476" w:rsidRDefault="00017875" w:rsidP="00017875">
            <w:pPr>
              <w:spacing w:after="0" w:line="240" w:lineRule="auto"/>
              <w:rPr>
                <w:rFonts w:cs="Calibri"/>
                <w:b/>
                <w:bCs/>
                <w:color w:val="000000"/>
                <w:sz w:val="20"/>
                <w:szCs w:val="20"/>
                <w:lang w:eastAsia="sk-SK"/>
              </w:rPr>
            </w:pPr>
            <w:r w:rsidRPr="00AA3476">
              <w:rPr>
                <w:rFonts w:cs="Calibri"/>
                <w:b/>
                <w:bCs/>
                <w:color w:val="000000"/>
                <w:sz w:val="20"/>
                <w:szCs w:val="20"/>
                <w:lang w:eastAsia="sk-SK"/>
              </w:rPr>
              <w:t>Príjmové fin. oper.</w:t>
            </w:r>
          </w:p>
        </w:tc>
        <w:tc>
          <w:tcPr>
            <w:tcW w:w="1418" w:type="dxa"/>
            <w:tcBorders>
              <w:top w:val="nil"/>
              <w:left w:val="nil"/>
              <w:bottom w:val="single" w:sz="12" w:space="0" w:color="FFFFFF"/>
              <w:right w:val="single" w:sz="12" w:space="0" w:color="FFFFFF"/>
            </w:tcBorders>
            <w:shd w:val="clear" w:color="000000" w:fill="8DB4E2"/>
            <w:vAlign w:val="center"/>
            <w:hideMark/>
          </w:tcPr>
          <w:p w14:paraId="3F824557" w14:textId="41ACBBA8" w:rsidR="00017875" w:rsidRPr="00AA3476" w:rsidRDefault="00017875" w:rsidP="00017875">
            <w:pPr>
              <w:spacing w:after="0" w:line="240" w:lineRule="auto"/>
              <w:jc w:val="right"/>
              <w:rPr>
                <w:rFonts w:cs="Calibri"/>
                <w:b/>
                <w:bCs/>
                <w:color w:val="000000"/>
                <w:sz w:val="20"/>
                <w:szCs w:val="20"/>
                <w:lang w:eastAsia="sk-SK"/>
              </w:rPr>
            </w:pPr>
            <w:r w:rsidRPr="00AA3476">
              <w:rPr>
                <w:rFonts w:cs="Calibri"/>
                <w:b/>
                <w:bCs/>
                <w:color w:val="000000"/>
                <w:sz w:val="20"/>
                <w:szCs w:val="20"/>
                <w:lang w:eastAsia="sk-SK"/>
              </w:rPr>
              <w:t>19 548 920,34</w:t>
            </w:r>
          </w:p>
        </w:tc>
        <w:tc>
          <w:tcPr>
            <w:tcW w:w="1417" w:type="dxa"/>
            <w:tcBorders>
              <w:top w:val="nil"/>
              <w:left w:val="nil"/>
              <w:bottom w:val="single" w:sz="12" w:space="0" w:color="FFFFFF"/>
              <w:right w:val="single" w:sz="12" w:space="0" w:color="FFFFFF"/>
            </w:tcBorders>
            <w:shd w:val="clear" w:color="000000" w:fill="8DB4E2"/>
            <w:vAlign w:val="center"/>
          </w:tcPr>
          <w:p w14:paraId="03AADE92" w14:textId="0FE5F5C3"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24 313 596,52</w:t>
            </w:r>
          </w:p>
        </w:tc>
        <w:tc>
          <w:tcPr>
            <w:tcW w:w="1418" w:type="dxa"/>
            <w:tcBorders>
              <w:top w:val="nil"/>
              <w:left w:val="nil"/>
              <w:bottom w:val="single" w:sz="12" w:space="0" w:color="FFFFFF"/>
              <w:right w:val="single" w:sz="12" w:space="0" w:color="FFFFFF"/>
            </w:tcBorders>
            <w:shd w:val="clear" w:color="000000" w:fill="8DB4E2"/>
            <w:vAlign w:val="center"/>
          </w:tcPr>
          <w:p w14:paraId="4D2930D9" w14:textId="0411F3C3"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20 918 057,12</w:t>
            </w:r>
          </w:p>
        </w:tc>
        <w:tc>
          <w:tcPr>
            <w:tcW w:w="1559" w:type="dxa"/>
            <w:tcBorders>
              <w:top w:val="nil"/>
              <w:left w:val="nil"/>
              <w:bottom w:val="single" w:sz="12" w:space="0" w:color="FFFFFF"/>
              <w:right w:val="single" w:sz="12" w:space="0" w:color="FFFFFF"/>
            </w:tcBorders>
            <w:shd w:val="clear" w:color="000000" w:fill="8DB4E2"/>
            <w:vAlign w:val="center"/>
          </w:tcPr>
          <w:p w14:paraId="4043DC4F" w14:textId="3FC142FA"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16 851 529,99</w:t>
            </w:r>
          </w:p>
        </w:tc>
        <w:tc>
          <w:tcPr>
            <w:tcW w:w="1418" w:type="dxa"/>
            <w:tcBorders>
              <w:top w:val="nil"/>
              <w:left w:val="nil"/>
              <w:bottom w:val="single" w:sz="12" w:space="0" w:color="FFFFFF"/>
              <w:right w:val="single" w:sz="12" w:space="0" w:color="FFFFFF"/>
            </w:tcBorders>
            <w:shd w:val="clear" w:color="000000" w:fill="8DB4E2"/>
            <w:vAlign w:val="center"/>
          </w:tcPr>
          <w:p w14:paraId="0667969F" w14:textId="74334111"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80,56%</w:t>
            </w:r>
          </w:p>
        </w:tc>
        <w:tc>
          <w:tcPr>
            <w:tcW w:w="1520" w:type="dxa"/>
            <w:tcBorders>
              <w:top w:val="nil"/>
              <w:left w:val="nil"/>
              <w:bottom w:val="single" w:sz="12" w:space="0" w:color="FFFFFF"/>
              <w:right w:val="single" w:sz="12" w:space="0" w:color="FFFFFF"/>
            </w:tcBorders>
            <w:shd w:val="clear" w:color="000000" w:fill="8DB4E2"/>
            <w:vAlign w:val="center"/>
          </w:tcPr>
          <w:p w14:paraId="4F0A1605" w14:textId="6D54179E"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-3 395 539,40</w:t>
            </w:r>
          </w:p>
        </w:tc>
      </w:tr>
      <w:tr w:rsidR="00017875" w:rsidRPr="00AA3476" w14:paraId="5C69A66F" w14:textId="77777777" w:rsidTr="001C1C96">
        <w:trPr>
          <w:trHeight w:val="330"/>
        </w:trPr>
        <w:tc>
          <w:tcPr>
            <w:tcW w:w="1686" w:type="dxa"/>
            <w:tcBorders>
              <w:top w:val="nil"/>
              <w:left w:val="single" w:sz="12" w:space="0" w:color="FFFFFF"/>
              <w:bottom w:val="single" w:sz="12" w:space="0" w:color="FFFFFF"/>
              <w:right w:val="single" w:sz="12" w:space="0" w:color="FFFFFF"/>
            </w:tcBorders>
            <w:shd w:val="clear" w:color="000000" w:fill="BFBFBF"/>
            <w:vAlign w:val="center"/>
            <w:hideMark/>
          </w:tcPr>
          <w:p w14:paraId="61B05A46" w14:textId="77777777" w:rsidR="00017875" w:rsidRPr="00AA3476" w:rsidRDefault="00017875" w:rsidP="00017875">
            <w:pPr>
              <w:spacing w:after="0" w:line="240" w:lineRule="auto"/>
              <w:rPr>
                <w:rFonts w:cs="Calibri"/>
                <w:b/>
                <w:bCs/>
                <w:color w:val="000000"/>
                <w:sz w:val="20"/>
                <w:szCs w:val="20"/>
                <w:lang w:eastAsia="sk-SK"/>
              </w:rPr>
            </w:pPr>
            <w:r w:rsidRPr="00AA3476">
              <w:rPr>
                <w:rFonts w:cs="Calibri"/>
                <w:b/>
                <w:bCs/>
                <w:color w:val="000000"/>
                <w:sz w:val="20"/>
                <w:szCs w:val="20"/>
                <w:lang w:eastAsia="sk-SK"/>
              </w:rPr>
              <w:t>Príjmy celkom</w:t>
            </w:r>
          </w:p>
        </w:tc>
        <w:tc>
          <w:tcPr>
            <w:tcW w:w="1418" w:type="dxa"/>
            <w:tcBorders>
              <w:top w:val="nil"/>
              <w:left w:val="nil"/>
              <w:bottom w:val="single" w:sz="12" w:space="0" w:color="FFFFFF"/>
              <w:right w:val="single" w:sz="12" w:space="0" w:color="FFFFFF"/>
            </w:tcBorders>
            <w:shd w:val="clear" w:color="000000" w:fill="BFBFBF"/>
            <w:vAlign w:val="center"/>
            <w:hideMark/>
          </w:tcPr>
          <w:p w14:paraId="45842B36" w14:textId="37066F67" w:rsidR="00017875" w:rsidRPr="00AA3476" w:rsidRDefault="00017875" w:rsidP="00017875">
            <w:pPr>
              <w:spacing w:after="0" w:line="240" w:lineRule="auto"/>
              <w:jc w:val="right"/>
              <w:rPr>
                <w:rFonts w:cs="Calibri"/>
                <w:b/>
                <w:bCs/>
                <w:color w:val="000000"/>
                <w:sz w:val="20"/>
                <w:szCs w:val="20"/>
                <w:lang w:eastAsia="sk-SK"/>
              </w:rPr>
            </w:pPr>
            <w:r w:rsidRPr="00AA3476">
              <w:rPr>
                <w:rFonts w:cs="Calibri"/>
                <w:b/>
                <w:bCs/>
                <w:color w:val="000000"/>
                <w:sz w:val="20"/>
                <w:szCs w:val="20"/>
                <w:lang w:eastAsia="sk-SK"/>
              </w:rPr>
              <w:t>196 830 568,85</w:t>
            </w:r>
          </w:p>
        </w:tc>
        <w:tc>
          <w:tcPr>
            <w:tcW w:w="1417" w:type="dxa"/>
            <w:tcBorders>
              <w:top w:val="nil"/>
              <w:left w:val="nil"/>
              <w:bottom w:val="single" w:sz="12" w:space="0" w:color="FFFFFF"/>
              <w:right w:val="single" w:sz="12" w:space="0" w:color="FFFFFF"/>
            </w:tcBorders>
            <w:shd w:val="clear" w:color="000000" w:fill="BFBFBF"/>
            <w:vAlign w:val="center"/>
          </w:tcPr>
          <w:p w14:paraId="7A7A9326" w14:textId="4E1AFEB6"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210 708 035,37</w:t>
            </w:r>
          </w:p>
        </w:tc>
        <w:tc>
          <w:tcPr>
            <w:tcW w:w="1418" w:type="dxa"/>
            <w:tcBorders>
              <w:top w:val="nil"/>
              <w:left w:val="nil"/>
              <w:bottom w:val="single" w:sz="12" w:space="0" w:color="FFFFFF"/>
              <w:right w:val="single" w:sz="12" w:space="0" w:color="FFFFFF"/>
            </w:tcBorders>
            <w:shd w:val="clear" w:color="000000" w:fill="BFBFBF"/>
            <w:vAlign w:val="center"/>
          </w:tcPr>
          <w:p w14:paraId="4B6C2585" w14:textId="7CAA5EC2"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210 320 242,02</w:t>
            </w:r>
          </w:p>
        </w:tc>
        <w:tc>
          <w:tcPr>
            <w:tcW w:w="1559" w:type="dxa"/>
            <w:tcBorders>
              <w:top w:val="nil"/>
              <w:left w:val="nil"/>
              <w:bottom w:val="single" w:sz="12" w:space="0" w:color="FFFFFF"/>
              <w:right w:val="single" w:sz="12" w:space="0" w:color="FFFFFF"/>
            </w:tcBorders>
            <w:shd w:val="clear" w:color="000000" w:fill="BFBFBF"/>
            <w:vAlign w:val="center"/>
          </w:tcPr>
          <w:p w14:paraId="0EE83DF4" w14:textId="2F024618"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196 565 475,81</w:t>
            </w:r>
          </w:p>
        </w:tc>
        <w:tc>
          <w:tcPr>
            <w:tcW w:w="1418" w:type="dxa"/>
            <w:tcBorders>
              <w:top w:val="nil"/>
              <w:left w:val="nil"/>
              <w:bottom w:val="single" w:sz="12" w:space="0" w:color="FFFFFF"/>
              <w:right w:val="single" w:sz="12" w:space="0" w:color="FFFFFF"/>
            </w:tcBorders>
            <w:shd w:val="clear" w:color="000000" w:fill="BFBFBF"/>
            <w:vAlign w:val="center"/>
          </w:tcPr>
          <w:p w14:paraId="7E9D7CEC" w14:textId="0547C5E3"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93,46%</w:t>
            </w:r>
          </w:p>
        </w:tc>
        <w:tc>
          <w:tcPr>
            <w:tcW w:w="1520" w:type="dxa"/>
            <w:tcBorders>
              <w:top w:val="nil"/>
              <w:left w:val="nil"/>
              <w:bottom w:val="single" w:sz="12" w:space="0" w:color="FFFFFF"/>
              <w:right w:val="single" w:sz="12" w:space="0" w:color="FFFFFF"/>
            </w:tcBorders>
            <w:shd w:val="clear" w:color="000000" w:fill="BFBFBF"/>
            <w:vAlign w:val="center"/>
          </w:tcPr>
          <w:p w14:paraId="7ACE6E47" w14:textId="2D7F4DAA" w:rsidR="00017875" w:rsidRPr="00AA3476" w:rsidRDefault="00017875" w:rsidP="00017875">
            <w:pPr>
              <w:spacing w:after="0" w:line="240" w:lineRule="auto"/>
              <w:jc w:val="right"/>
              <w:rPr>
                <w:rFonts w:cs="Calibri"/>
                <w:b/>
                <w:bCs/>
                <w:color w:val="000000"/>
                <w:sz w:val="20"/>
                <w:szCs w:val="20"/>
                <w:lang w:eastAsia="sk-SK"/>
              </w:rPr>
            </w:pPr>
            <w:r>
              <w:rPr>
                <w:rFonts w:cs="Calibri"/>
                <w:b/>
                <w:bCs/>
                <w:color w:val="000000"/>
                <w:sz w:val="20"/>
                <w:szCs w:val="20"/>
              </w:rPr>
              <w:t>-387 793,35</w:t>
            </w:r>
          </w:p>
        </w:tc>
      </w:tr>
    </w:tbl>
    <w:p w14:paraId="396A4781" w14:textId="77777777" w:rsidR="001A2B4D" w:rsidRDefault="001A2B4D" w:rsidP="001A2B4D">
      <w:pPr>
        <w:spacing w:before="120" w:after="0" w:line="240" w:lineRule="auto"/>
        <w:jc w:val="both"/>
        <w:rPr>
          <w:rFonts w:cs="Calibri"/>
          <w:sz w:val="24"/>
          <w:szCs w:val="24"/>
          <w:u w:val="single"/>
        </w:rPr>
      </w:pPr>
    </w:p>
    <w:p w14:paraId="5C22C7EA" w14:textId="02595DA5" w:rsidR="00AA3476" w:rsidRPr="001A2B4D" w:rsidRDefault="00F83F4F" w:rsidP="001A2B4D">
      <w:pPr>
        <w:spacing w:before="120" w:after="0" w:line="240" w:lineRule="auto"/>
        <w:jc w:val="both"/>
        <w:rPr>
          <w:rFonts w:cs="Calibri"/>
          <w:sz w:val="24"/>
          <w:szCs w:val="24"/>
          <w:u w:val="single"/>
        </w:rPr>
      </w:pPr>
      <w:r w:rsidRPr="008009DF">
        <w:rPr>
          <w:rFonts w:cs="Calibri"/>
          <w:sz w:val="24"/>
          <w:szCs w:val="24"/>
          <w:u w:val="single"/>
        </w:rPr>
        <w:t xml:space="preserve">Graf 1: </w:t>
      </w:r>
      <w:r>
        <w:rPr>
          <w:rFonts w:cs="Calibri"/>
          <w:sz w:val="24"/>
          <w:szCs w:val="24"/>
          <w:u w:val="single"/>
        </w:rPr>
        <w:t>Skutočné plneni</w:t>
      </w:r>
      <w:r w:rsidR="00D5759B">
        <w:rPr>
          <w:rFonts w:cs="Calibri"/>
          <w:sz w:val="24"/>
          <w:szCs w:val="24"/>
          <w:u w:val="single"/>
        </w:rPr>
        <w:t>e</w:t>
      </w:r>
      <w:r>
        <w:rPr>
          <w:rFonts w:cs="Calibri"/>
          <w:sz w:val="24"/>
          <w:szCs w:val="24"/>
          <w:u w:val="single"/>
        </w:rPr>
        <w:t xml:space="preserve"> príjmov v rokoch 2019  a 2020:</w:t>
      </w:r>
    </w:p>
    <w:p w14:paraId="026546CA" w14:textId="3FDF5974" w:rsidR="001A2B4D" w:rsidRPr="00E359A5" w:rsidRDefault="00F83F4F" w:rsidP="00E359A5">
      <w:pPr>
        <w:spacing w:after="120" w:line="240" w:lineRule="auto"/>
        <w:jc w:val="both"/>
        <w:rPr>
          <w:rFonts w:cs="Calibri"/>
          <w:color w:val="000000"/>
          <w:sz w:val="24"/>
          <w:szCs w:val="24"/>
          <w:lang w:eastAsia="sk-SK"/>
        </w:rPr>
      </w:pPr>
      <w:r>
        <w:rPr>
          <w:noProof/>
        </w:rPr>
        <w:drawing>
          <wp:inline distT="0" distB="0" distL="0" distR="0" wp14:anchorId="49EBF838" wp14:editId="10B0DDEC">
            <wp:extent cx="6315075" cy="2895600"/>
            <wp:effectExtent l="0" t="0" r="0" b="0"/>
            <wp:docPr id="10" name="Graf 10">
              <a:extLst xmlns:a="http://schemas.openxmlformats.org/drawingml/2006/main">
                <a:ext uri="{FF2B5EF4-FFF2-40B4-BE49-F238E27FC236}">
                  <a16:creationId xmlns:a16="http://schemas.microsoft.com/office/drawing/2014/main" id="{6C9FF63F-D576-4BC4-B131-518800FC80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D5C42CF" w14:textId="08140089" w:rsidR="00E47BB1" w:rsidRDefault="00BE704E" w:rsidP="00783D43">
      <w:pPr>
        <w:spacing w:before="120" w:after="0" w:line="240" w:lineRule="auto"/>
        <w:jc w:val="both"/>
        <w:rPr>
          <w:rFonts w:cs="Calibri"/>
          <w:sz w:val="24"/>
          <w:szCs w:val="24"/>
          <w:u w:val="single"/>
        </w:rPr>
      </w:pPr>
      <w:r w:rsidRPr="008009DF">
        <w:rPr>
          <w:rFonts w:cs="Calibri"/>
          <w:sz w:val="24"/>
          <w:szCs w:val="24"/>
          <w:u w:val="single"/>
        </w:rPr>
        <w:lastRenderedPageBreak/>
        <w:t xml:space="preserve">Graf </w:t>
      </w:r>
      <w:r w:rsidR="00D5759B">
        <w:rPr>
          <w:rFonts w:cs="Calibri"/>
          <w:sz w:val="24"/>
          <w:szCs w:val="24"/>
          <w:u w:val="single"/>
        </w:rPr>
        <w:t>2</w:t>
      </w:r>
      <w:r w:rsidRPr="008009DF">
        <w:rPr>
          <w:rFonts w:cs="Calibri"/>
          <w:sz w:val="24"/>
          <w:szCs w:val="24"/>
          <w:u w:val="single"/>
        </w:rPr>
        <w:t xml:space="preserve">: </w:t>
      </w:r>
      <w:r>
        <w:rPr>
          <w:rFonts w:cs="Calibri"/>
          <w:sz w:val="24"/>
          <w:szCs w:val="24"/>
          <w:u w:val="single"/>
        </w:rPr>
        <w:t xml:space="preserve"> </w:t>
      </w:r>
      <w:r w:rsidRPr="008009DF">
        <w:rPr>
          <w:rFonts w:cs="Calibri"/>
          <w:sz w:val="24"/>
          <w:szCs w:val="24"/>
          <w:u w:val="single"/>
        </w:rPr>
        <w:t>Podiel plnenia bežných, kapitálových príjmov a príjmových FO na celkových príjmoch</w:t>
      </w:r>
    </w:p>
    <w:p w14:paraId="06789857" w14:textId="247FBFE4" w:rsidR="00E47BB1" w:rsidRDefault="00F83F4F" w:rsidP="00783D43">
      <w:pPr>
        <w:spacing w:before="120" w:after="0" w:line="240" w:lineRule="auto"/>
        <w:jc w:val="both"/>
        <w:rPr>
          <w:rFonts w:cs="Calibri"/>
          <w:sz w:val="24"/>
          <w:szCs w:val="24"/>
          <w:u w:val="single"/>
        </w:rPr>
      </w:pPr>
      <w:r>
        <w:rPr>
          <w:noProof/>
        </w:rPr>
        <w:drawing>
          <wp:inline distT="0" distB="0" distL="0" distR="0" wp14:anchorId="2EC0231C" wp14:editId="0F75AA02">
            <wp:extent cx="6267450" cy="2362200"/>
            <wp:effectExtent l="0" t="0" r="0" b="0"/>
            <wp:docPr id="13" name="Graf 13">
              <a:extLst xmlns:a="http://schemas.openxmlformats.org/drawingml/2006/main">
                <a:ext uri="{FF2B5EF4-FFF2-40B4-BE49-F238E27FC236}">
                  <a16:creationId xmlns:a16="http://schemas.microsoft.com/office/drawing/2014/main" id="{EF1ED83A-BDD1-493A-8FF3-539B7FDAB1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981EB2" w14:textId="45583C47" w:rsidR="00BE704E" w:rsidRDefault="00BE704E" w:rsidP="00BE704E">
      <w:pPr>
        <w:spacing w:line="240" w:lineRule="auto"/>
        <w:jc w:val="both"/>
        <w:rPr>
          <w:rFonts w:cs="Calibri"/>
          <w:sz w:val="24"/>
          <w:szCs w:val="24"/>
          <w:u w:val="single"/>
        </w:rPr>
      </w:pPr>
      <w:r w:rsidRPr="008009DF">
        <w:rPr>
          <w:rFonts w:cs="Calibri"/>
          <w:sz w:val="24"/>
          <w:szCs w:val="24"/>
          <w:u w:val="single"/>
        </w:rPr>
        <w:t xml:space="preserve">Graf </w:t>
      </w:r>
      <w:r w:rsidR="00D5759B">
        <w:rPr>
          <w:rFonts w:cs="Calibri"/>
          <w:sz w:val="24"/>
          <w:szCs w:val="24"/>
          <w:u w:val="single"/>
        </w:rPr>
        <w:t>3</w:t>
      </w:r>
      <w:r w:rsidRPr="008009DF">
        <w:rPr>
          <w:rFonts w:cs="Calibri"/>
          <w:sz w:val="24"/>
          <w:szCs w:val="24"/>
          <w:u w:val="single"/>
        </w:rPr>
        <w:t xml:space="preserve">: </w:t>
      </w:r>
      <w:r>
        <w:rPr>
          <w:rFonts w:cs="Calibri"/>
          <w:sz w:val="24"/>
          <w:szCs w:val="24"/>
          <w:u w:val="single"/>
        </w:rPr>
        <w:t xml:space="preserve"> </w:t>
      </w:r>
      <w:r w:rsidRPr="008009DF">
        <w:rPr>
          <w:rFonts w:cs="Calibri"/>
          <w:sz w:val="24"/>
          <w:szCs w:val="24"/>
          <w:u w:val="single"/>
        </w:rPr>
        <w:t xml:space="preserve">Podiel plnenia </w:t>
      </w:r>
      <w:r w:rsidR="007E519B">
        <w:rPr>
          <w:rFonts w:cs="Calibri"/>
          <w:sz w:val="24"/>
          <w:szCs w:val="24"/>
          <w:u w:val="single"/>
        </w:rPr>
        <w:t xml:space="preserve">príjmov </w:t>
      </w:r>
      <w:r w:rsidR="002718D0">
        <w:rPr>
          <w:rFonts w:cs="Calibri"/>
          <w:sz w:val="24"/>
          <w:szCs w:val="24"/>
          <w:u w:val="single"/>
        </w:rPr>
        <w:t xml:space="preserve"> a PFO </w:t>
      </w:r>
      <w:r w:rsidR="007E519B">
        <w:rPr>
          <w:rFonts w:cs="Calibri"/>
          <w:sz w:val="24"/>
          <w:szCs w:val="24"/>
          <w:u w:val="single"/>
        </w:rPr>
        <w:t>BSK podľa ekonomickej klasifikácie</w:t>
      </w:r>
      <w:r w:rsidRPr="008009DF">
        <w:rPr>
          <w:rFonts w:cs="Calibri"/>
          <w:sz w:val="24"/>
          <w:szCs w:val="24"/>
          <w:u w:val="single"/>
        </w:rPr>
        <w:t xml:space="preserve"> na celkových príjmoch</w:t>
      </w:r>
    </w:p>
    <w:p w14:paraId="6C0F4A34" w14:textId="611B97F4" w:rsidR="008B3B82" w:rsidRDefault="00DD65EC" w:rsidP="00BE704E">
      <w:pPr>
        <w:spacing w:line="240" w:lineRule="auto"/>
        <w:jc w:val="both"/>
        <w:rPr>
          <w:rFonts w:cs="Calibri"/>
          <w:sz w:val="24"/>
          <w:szCs w:val="24"/>
          <w:u w:val="single"/>
        </w:rPr>
      </w:pPr>
      <w:r>
        <w:rPr>
          <w:noProof/>
        </w:rPr>
        <w:drawing>
          <wp:inline distT="0" distB="0" distL="0" distR="0" wp14:anchorId="501A6F41" wp14:editId="3007D77C">
            <wp:extent cx="6505575" cy="2247900"/>
            <wp:effectExtent l="0" t="0" r="0" b="0"/>
            <wp:docPr id="24" name="Graf 24">
              <a:extLst xmlns:a="http://schemas.openxmlformats.org/drawingml/2006/main">
                <a:ext uri="{FF2B5EF4-FFF2-40B4-BE49-F238E27FC236}">
                  <a16:creationId xmlns:a16="http://schemas.microsoft.com/office/drawing/2014/main" id="{F120D131-24DF-4B69-B575-6804923C15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8B3B82" w:rsidRPr="008009DF">
        <w:rPr>
          <w:rFonts w:cs="Calibri"/>
          <w:sz w:val="24"/>
          <w:szCs w:val="24"/>
          <w:u w:val="single"/>
        </w:rPr>
        <w:t>Graf</w:t>
      </w:r>
      <w:r w:rsidR="008B3B82">
        <w:rPr>
          <w:rFonts w:cs="Calibri"/>
          <w:sz w:val="24"/>
          <w:szCs w:val="24"/>
          <w:u w:val="single"/>
        </w:rPr>
        <w:t xml:space="preserve"> </w:t>
      </w:r>
      <w:r w:rsidR="00D5759B">
        <w:rPr>
          <w:rFonts w:cs="Calibri"/>
          <w:sz w:val="24"/>
          <w:szCs w:val="24"/>
          <w:u w:val="single"/>
        </w:rPr>
        <w:t>4</w:t>
      </w:r>
      <w:r w:rsidR="008B3B82" w:rsidRPr="008009DF">
        <w:rPr>
          <w:rFonts w:cs="Calibri"/>
          <w:sz w:val="24"/>
          <w:szCs w:val="24"/>
          <w:u w:val="single"/>
        </w:rPr>
        <w:t xml:space="preserve">: </w:t>
      </w:r>
      <w:r w:rsidR="008B3B82">
        <w:rPr>
          <w:rFonts w:cs="Calibri"/>
          <w:sz w:val="24"/>
          <w:szCs w:val="24"/>
          <w:u w:val="single"/>
        </w:rPr>
        <w:t xml:space="preserve"> Skutočné plnenie príjmov podľa zdroja financovania</w:t>
      </w:r>
    </w:p>
    <w:p w14:paraId="5A20B72E" w14:textId="19747844" w:rsidR="00104F51" w:rsidRDefault="00104F51" w:rsidP="00BE704E">
      <w:pPr>
        <w:spacing w:line="240" w:lineRule="auto"/>
        <w:jc w:val="both"/>
        <w:rPr>
          <w:rFonts w:cs="Calibri"/>
          <w:sz w:val="24"/>
          <w:szCs w:val="24"/>
          <w:u w:val="single"/>
        </w:rPr>
      </w:pPr>
      <w:r>
        <w:rPr>
          <w:noProof/>
        </w:rPr>
        <w:drawing>
          <wp:inline distT="0" distB="0" distL="0" distR="0" wp14:anchorId="243695E2" wp14:editId="4BAE803E">
            <wp:extent cx="6993701" cy="2607945"/>
            <wp:effectExtent l="0" t="0" r="0" b="1905"/>
            <wp:docPr id="23" name="Graf 23">
              <a:extLst xmlns:a="http://schemas.openxmlformats.org/drawingml/2006/main">
                <a:ext uri="{FF2B5EF4-FFF2-40B4-BE49-F238E27FC236}">
                  <a16:creationId xmlns:a16="http://schemas.microsoft.com/office/drawing/2014/main" id="{79BA9988-8E58-4A27-AAE0-E89C94710C1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8577529" w14:textId="703A74D5" w:rsidR="00BE704E" w:rsidRDefault="00BE704E" w:rsidP="00BE704E">
      <w:pPr>
        <w:spacing w:line="240" w:lineRule="auto"/>
        <w:jc w:val="both"/>
        <w:rPr>
          <w:rFonts w:cs="Calibri"/>
          <w:b/>
          <w:sz w:val="24"/>
          <w:szCs w:val="24"/>
        </w:rPr>
      </w:pPr>
      <w:r w:rsidRPr="000D0F0B">
        <w:rPr>
          <w:rFonts w:cs="Calibri"/>
          <w:b/>
          <w:sz w:val="24"/>
          <w:szCs w:val="24"/>
        </w:rPr>
        <w:t>Rozpočet príjmov</w:t>
      </w:r>
      <w:r w:rsidRPr="00AE3432">
        <w:rPr>
          <w:rFonts w:cs="Calibri"/>
          <w:sz w:val="24"/>
          <w:szCs w:val="24"/>
        </w:rPr>
        <w:t xml:space="preserve"> </w:t>
      </w:r>
      <w:r w:rsidRPr="00182570">
        <w:rPr>
          <w:rFonts w:cs="Calibri"/>
          <w:b/>
          <w:sz w:val="24"/>
          <w:szCs w:val="24"/>
        </w:rPr>
        <w:t>bez finančných operácii</w:t>
      </w:r>
      <w:r>
        <w:rPr>
          <w:rFonts w:cs="Calibri"/>
          <w:sz w:val="24"/>
          <w:szCs w:val="24"/>
        </w:rPr>
        <w:t xml:space="preserve"> </w:t>
      </w:r>
      <w:r w:rsidRPr="00AE3432">
        <w:rPr>
          <w:rFonts w:cs="Calibri"/>
          <w:sz w:val="24"/>
          <w:szCs w:val="24"/>
        </w:rPr>
        <w:t xml:space="preserve">tvoria </w:t>
      </w:r>
      <w:r w:rsidRPr="001665DE">
        <w:rPr>
          <w:rFonts w:cs="Calibri"/>
          <w:b/>
          <w:sz w:val="24"/>
          <w:szCs w:val="24"/>
        </w:rPr>
        <w:t>príjmy daňové, nedaňové, granty a transfery</w:t>
      </w:r>
      <w:r w:rsidRPr="00AE3432">
        <w:rPr>
          <w:rFonts w:cs="Calibri"/>
          <w:sz w:val="24"/>
          <w:szCs w:val="24"/>
        </w:rPr>
        <w:t xml:space="preserve"> zo štátneho rozpočtu a štrukturálnych fondov</w:t>
      </w:r>
      <w:r>
        <w:rPr>
          <w:rFonts w:cs="Calibri"/>
          <w:b/>
          <w:sz w:val="24"/>
          <w:szCs w:val="24"/>
        </w:rPr>
        <w:t>. Rozpočet týchto príjmov BSK na rok 20</w:t>
      </w:r>
      <w:r w:rsidR="00DB0B89">
        <w:rPr>
          <w:rFonts w:cs="Calibri"/>
          <w:b/>
          <w:sz w:val="24"/>
          <w:szCs w:val="24"/>
        </w:rPr>
        <w:t>20</w:t>
      </w:r>
      <w:r>
        <w:rPr>
          <w:rFonts w:cs="Calibri"/>
          <w:b/>
          <w:sz w:val="24"/>
          <w:szCs w:val="24"/>
        </w:rPr>
        <w:t xml:space="preserve"> </w:t>
      </w:r>
      <w:r w:rsidRPr="00385049">
        <w:rPr>
          <w:rFonts w:cs="Calibri"/>
          <w:sz w:val="24"/>
          <w:szCs w:val="24"/>
        </w:rPr>
        <w:t>bol schválený vo výške</w:t>
      </w:r>
      <w:r>
        <w:rPr>
          <w:rFonts w:cs="Calibri"/>
          <w:b/>
          <w:sz w:val="24"/>
          <w:szCs w:val="24"/>
        </w:rPr>
        <w:t xml:space="preserve"> </w:t>
      </w:r>
      <w:r w:rsidR="008232F8">
        <w:rPr>
          <w:rFonts w:cs="Calibri"/>
          <w:b/>
          <w:sz w:val="24"/>
          <w:szCs w:val="24"/>
        </w:rPr>
        <w:br/>
      </w:r>
      <w:r w:rsidR="003C2383" w:rsidRPr="003C2383">
        <w:rPr>
          <w:rFonts w:cs="Calibri"/>
          <w:b/>
          <w:sz w:val="24"/>
          <w:szCs w:val="24"/>
        </w:rPr>
        <w:t>186 394 438,85</w:t>
      </w:r>
      <w:r w:rsidR="003C2383">
        <w:rPr>
          <w:rFonts w:cs="Calibri"/>
          <w:b/>
          <w:sz w:val="24"/>
          <w:szCs w:val="24"/>
        </w:rPr>
        <w:t xml:space="preserve"> </w:t>
      </w:r>
      <w:r>
        <w:rPr>
          <w:rFonts w:cs="Calibri"/>
          <w:b/>
          <w:sz w:val="24"/>
          <w:szCs w:val="24"/>
        </w:rPr>
        <w:t>EUR, k 31.12.20</w:t>
      </w:r>
      <w:r w:rsidR="00DB0B89">
        <w:rPr>
          <w:rFonts w:cs="Calibri"/>
          <w:b/>
          <w:sz w:val="24"/>
          <w:szCs w:val="24"/>
        </w:rPr>
        <w:t xml:space="preserve">20 </w:t>
      </w:r>
      <w:r>
        <w:rPr>
          <w:rFonts w:cs="Calibri"/>
          <w:b/>
          <w:sz w:val="24"/>
          <w:szCs w:val="24"/>
        </w:rPr>
        <w:t xml:space="preserve">bol upravený na výšku </w:t>
      </w:r>
      <w:r w:rsidR="003C2383" w:rsidRPr="003C2383">
        <w:rPr>
          <w:rFonts w:cs="Calibri"/>
          <w:b/>
          <w:sz w:val="24"/>
          <w:szCs w:val="24"/>
        </w:rPr>
        <w:t>189 402 184,90</w:t>
      </w:r>
      <w:r w:rsidR="003C2383">
        <w:rPr>
          <w:rFonts w:cs="Calibri"/>
          <w:b/>
          <w:sz w:val="24"/>
          <w:szCs w:val="24"/>
        </w:rPr>
        <w:t xml:space="preserve"> </w:t>
      </w:r>
      <w:r w:rsidRPr="000D0F0B">
        <w:rPr>
          <w:rFonts w:cs="Calibri"/>
          <w:b/>
          <w:sz w:val="24"/>
          <w:szCs w:val="24"/>
        </w:rPr>
        <w:t>EUR</w:t>
      </w:r>
      <w:r>
        <w:rPr>
          <w:rFonts w:cs="Calibri"/>
          <w:b/>
          <w:bCs/>
          <w:sz w:val="18"/>
          <w:szCs w:val="18"/>
          <w:lang w:eastAsia="sk-SK"/>
        </w:rPr>
        <w:t xml:space="preserve"> </w:t>
      </w:r>
      <w:r>
        <w:rPr>
          <w:rFonts w:cs="Calibri"/>
          <w:b/>
          <w:sz w:val="24"/>
          <w:szCs w:val="24"/>
        </w:rPr>
        <w:t xml:space="preserve">a jeho plnenie na konci roka dosiahlo úroveň  </w:t>
      </w:r>
      <w:r w:rsidR="003C2383" w:rsidRPr="003C2383">
        <w:rPr>
          <w:rFonts w:cs="Calibri"/>
          <w:b/>
          <w:sz w:val="24"/>
          <w:szCs w:val="24"/>
        </w:rPr>
        <w:t>179 713 945,82</w:t>
      </w:r>
      <w:r w:rsidR="003C2383">
        <w:rPr>
          <w:rFonts w:cs="Calibri"/>
          <w:b/>
          <w:sz w:val="24"/>
          <w:szCs w:val="24"/>
        </w:rPr>
        <w:t xml:space="preserve"> </w:t>
      </w:r>
      <w:r>
        <w:rPr>
          <w:rFonts w:cs="Calibri"/>
          <w:b/>
          <w:sz w:val="24"/>
          <w:szCs w:val="24"/>
        </w:rPr>
        <w:t xml:space="preserve">EUR, </w:t>
      </w:r>
      <w:r w:rsidRPr="00385049">
        <w:rPr>
          <w:rFonts w:cs="Calibri"/>
          <w:sz w:val="24"/>
          <w:szCs w:val="24"/>
        </w:rPr>
        <w:t>čo predstavuje</w:t>
      </w:r>
      <w:r>
        <w:rPr>
          <w:rFonts w:cs="Calibri"/>
          <w:sz w:val="24"/>
          <w:szCs w:val="24"/>
        </w:rPr>
        <w:t xml:space="preserve"> </w:t>
      </w:r>
      <w:r>
        <w:rPr>
          <w:rFonts w:cs="Calibri"/>
          <w:b/>
          <w:sz w:val="24"/>
          <w:szCs w:val="24"/>
        </w:rPr>
        <w:t>9</w:t>
      </w:r>
      <w:r w:rsidR="003C2383">
        <w:rPr>
          <w:rFonts w:cs="Calibri"/>
          <w:b/>
          <w:sz w:val="24"/>
          <w:szCs w:val="24"/>
        </w:rPr>
        <w:t>4,88</w:t>
      </w:r>
      <w:r w:rsidRPr="005B6B30">
        <w:rPr>
          <w:rFonts w:cs="Calibri"/>
          <w:b/>
          <w:sz w:val="24"/>
          <w:szCs w:val="24"/>
        </w:rPr>
        <w:t>%</w:t>
      </w:r>
      <w:r>
        <w:rPr>
          <w:rFonts w:cs="Calibri"/>
          <w:b/>
          <w:sz w:val="24"/>
          <w:szCs w:val="24"/>
        </w:rPr>
        <w:t>-</w:t>
      </w:r>
      <w:proofErr w:type="spellStart"/>
      <w:r>
        <w:rPr>
          <w:rFonts w:cs="Calibri"/>
          <w:b/>
          <w:sz w:val="24"/>
          <w:szCs w:val="24"/>
        </w:rPr>
        <w:t>né</w:t>
      </w:r>
      <w:proofErr w:type="spellEnd"/>
      <w:r>
        <w:rPr>
          <w:rFonts w:cs="Calibri"/>
          <w:b/>
          <w:sz w:val="24"/>
          <w:szCs w:val="24"/>
        </w:rPr>
        <w:t xml:space="preserve"> </w:t>
      </w:r>
      <w:r w:rsidRPr="00385049">
        <w:rPr>
          <w:rFonts w:cs="Calibri"/>
          <w:sz w:val="24"/>
          <w:szCs w:val="24"/>
        </w:rPr>
        <w:t>plnenie k zmenenému rozpočtu</w:t>
      </w:r>
      <w:r>
        <w:rPr>
          <w:rFonts w:cs="Calibri"/>
          <w:b/>
          <w:sz w:val="24"/>
          <w:szCs w:val="24"/>
        </w:rPr>
        <w:t>.</w:t>
      </w:r>
    </w:p>
    <w:p w14:paraId="496FC1CA" w14:textId="77777777" w:rsidR="002718D0" w:rsidRDefault="002718D0" w:rsidP="00BE704E">
      <w:pPr>
        <w:spacing w:line="240" w:lineRule="auto"/>
        <w:jc w:val="both"/>
        <w:rPr>
          <w:rFonts w:cs="Calibri"/>
          <w:sz w:val="24"/>
          <w:szCs w:val="24"/>
        </w:rPr>
      </w:pPr>
    </w:p>
    <w:p w14:paraId="0CA5E514" w14:textId="77777777" w:rsidR="002718D0" w:rsidRDefault="002718D0" w:rsidP="00BE704E">
      <w:pPr>
        <w:spacing w:line="240" w:lineRule="auto"/>
        <w:jc w:val="both"/>
        <w:rPr>
          <w:rFonts w:cs="Calibri"/>
          <w:sz w:val="24"/>
          <w:szCs w:val="24"/>
        </w:rPr>
      </w:pPr>
    </w:p>
    <w:p w14:paraId="3E366AE8" w14:textId="5F6A50AD" w:rsidR="00BE704E" w:rsidRDefault="00BE704E" w:rsidP="00C708A6">
      <w:pPr>
        <w:spacing w:after="0" w:line="240" w:lineRule="auto"/>
        <w:jc w:val="both"/>
        <w:rPr>
          <w:rFonts w:cs="Calibri"/>
          <w:sz w:val="24"/>
          <w:szCs w:val="24"/>
        </w:rPr>
      </w:pPr>
      <w:r w:rsidRPr="00D6447A">
        <w:rPr>
          <w:rFonts w:cs="Calibri"/>
          <w:sz w:val="24"/>
          <w:szCs w:val="24"/>
        </w:rPr>
        <w:lastRenderedPageBreak/>
        <w:t xml:space="preserve">Prehľad plnenia príjmov BSK  podľa </w:t>
      </w:r>
      <w:r w:rsidRPr="000D0F0B">
        <w:rPr>
          <w:rFonts w:cs="Calibri"/>
          <w:b/>
          <w:sz w:val="24"/>
          <w:szCs w:val="24"/>
        </w:rPr>
        <w:t>ekonomickej klasifikácie</w:t>
      </w:r>
      <w:r w:rsidRPr="00D6447A">
        <w:rPr>
          <w:rFonts w:cs="Calibri"/>
          <w:sz w:val="24"/>
          <w:szCs w:val="24"/>
        </w:rPr>
        <w:t xml:space="preserve"> </w:t>
      </w:r>
      <w:r w:rsidRPr="000D0F0B">
        <w:rPr>
          <w:rFonts w:cs="Calibri"/>
          <w:b/>
          <w:sz w:val="24"/>
          <w:szCs w:val="24"/>
        </w:rPr>
        <w:t>k 31.12.</w:t>
      </w:r>
      <w:r>
        <w:rPr>
          <w:rFonts w:cs="Calibri"/>
          <w:b/>
          <w:sz w:val="24"/>
          <w:szCs w:val="24"/>
        </w:rPr>
        <w:t>20</w:t>
      </w:r>
      <w:r w:rsidR="006A4125">
        <w:rPr>
          <w:rFonts w:cs="Calibri"/>
          <w:b/>
          <w:sz w:val="24"/>
          <w:szCs w:val="24"/>
        </w:rPr>
        <w:t>20</w:t>
      </w:r>
      <w:r>
        <w:rPr>
          <w:rFonts w:cs="Calibri"/>
          <w:sz w:val="24"/>
          <w:szCs w:val="24"/>
        </w:rPr>
        <w:t>:</w:t>
      </w:r>
    </w:p>
    <w:tbl>
      <w:tblPr>
        <w:tblW w:w="10361" w:type="dxa"/>
        <w:tblInd w:w="55" w:type="dxa"/>
        <w:tblCellMar>
          <w:left w:w="70" w:type="dxa"/>
          <w:right w:w="70" w:type="dxa"/>
        </w:tblCellMar>
        <w:tblLook w:val="04A0" w:firstRow="1" w:lastRow="0" w:firstColumn="1" w:lastColumn="0" w:noHBand="0" w:noVBand="1"/>
      </w:tblPr>
      <w:tblGrid>
        <w:gridCol w:w="2019"/>
        <w:gridCol w:w="1502"/>
        <w:gridCol w:w="1438"/>
        <w:gridCol w:w="1440"/>
        <w:gridCol w:w="1441"/>
        <w:gridCol w:w="1227"/>
        <w:gridCol w:w="1294"/>
      </w:tblGrid>
      <w:tr w:rsidR="00045693" w:rsidRPr="005B6B30" w14:paraId="455E8D41" w14:textId="77777777" w:rsidTr="003C2383">
        <w:trPr>
          <w:trHeight w:val="750"/>
        </w:trPr>
        <w:tc>
          <w:tcPr>
            <w:tcW w:w="2019" w:type="dxa"/>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48B01BED" w14:textId="77777777" w:rsidR="00045693" w:rsidRPr="005B6B30" w:rsidRDefault="00045693" w:rsidP="00045693">
            <w:pPr>
              <w:spacing w:after="0" w:line="240" w:lineRule="auto"/>
              <w:jc w:val="center"/>
              <w:rPr>
                <w:rFonts w:cs="Calibri"/>
                <w:b/>
                <w:bCs/>
                <w:sz w:val="18"/>
                <w:szCs w:val="18"/>
                <w:lang w:eastAsia="sk-SK"/>
              </w:rPr>
            </w:pPr>
            <w:r w:rsidRPr="005B6B30">
              <w:rPr>
                <w:rFonts w:cs="Calibri"/>
                <w:b/>
                <w:bCs/>
                <w:sz w:val="18"/>
                <w:szCs w:val="18"/>
                <w:lang w:eastAsia="sk-SK"/>
              </w:rPr>
              <w:t xml:space="preserve">Príjmy BSK </w:t>
            </w:r>
          </w:p>
        </w:tc>
        <w:tc>
          <w:tcPr>
            <w:tcW w:w="1502" w:type="dxa"/>
            <w:tcBorders>
              <w:top w:val="single" w:sz="12" w:space="0" w:color="FFFFFF"/>
              <w:left w:val="nil"/>
              <w:bottom w:val="single" w:sz="12" w:space="0" w:color="FFFFFF"/>
              <w:right w:val="single" w:sz="12" w:space="0" w:color="FFFFFF"/>
            </w:tcBorders>
            <w:shd w:val="clear" w:color="000000" w:fill="8DB3E2"/>
            <w:vAlign w:val="center"/>
            <w:hideMark/>
          </w:tcPr>
          <w:p w14:paraId="272C1E2D" w14:textId="6EFA7D6C" w:rsidR="00045693" w:rsidRPr="000E7C7A" w:rsidRDefault="00045693" w:rsidP="00045693">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31.12.201</w:t>
            </w:r>
            <w:r w:rsidR="00DB0B89">
              <w:rPr>
                <w:rFonts w:cs="Calibri"/>
                <w:b/>
                <w:bCs/>
                <w:color w:val="000000"/>
                <w:sz w:val="18"/>
                <w:szCs w:val="18"/>
                <w:lang w:eastAsia="sk-SK"/>
              </w:rPr>
              <w:t>9</w:t>
            </w:r>
          </w:p>
        </w:tc>
        <w:tc>
          <w:tcPr>
            <w:tcW w:w="1438" w:type="dxa"/>
            <w:tcBorders>
              <w:top w:val="single" w:sz="12" w:space="0" w:color="FFFFFF"/>
              <w:left w:val="nil"/>
              <w:bottom w:val="single" w:sz="12" w:space="0" w:color="FFFFFF"/>
              <w:right w:val="single" w:sz="12" w:space="0" w:color="FFFFFF"/>
            </w:tcBorders>
            <w:shd w:val="clear" w:color="000000" w:fill="8DB3E2"/>
            <w:vAlign w:val="center"/>
            <w:hideMark/>
          </w:tcPr>
          <w:p w14:paraId="628E7E56" w14:textId="59CE1D85" w:rsidR="00045693" w:rsidRPr="000E7C7A" w:rsidRDefault="00045693" w:rsidP="00045693">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Schválený rozpočet 20</w:t>
            </w:r>
            <w:r w:rsidR="00DB0B89">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440" w:type="dxa"/>
            <w:tcBorders>
              <w:top w:val="single" w:sz="12" w:space="0" w:color="FFFFFF"/>
              <w:left w:val="nil"/>
              <w:bottom w:val="single" w:sz="12" w:space="0" w:color="FFFFFF"/>
              <w:right w:val="single" w:sz="12" w:space="0" w:color="FFFFFF"/>
            </w:tcBorders>
            <w:shd w:val="clear" w:color="000000" w:fill="8DB3E2"/>
            <w:vAlign w:val="center"/>
            <w:hideMark/>
          </w:tcPr>
          <w:p w14:paraId="0F9188DB" w14:textId="49A24D33" w:rsidR="00045693" w:rsidRPr="000E7C7A" w:rsidRDefault="00045693" w:rsidP="00045693">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Zmenený rozpočet k 31.12.20</w:t>
            </w:r>
            <w:r w:rsidR="00DB0B89">
              <w:rPr>
                <w:rFonts w:cs="Calibri"/>
                <w:b/>
                <w:bCs/>
                <w:color w:val="000000"/>
                <w:sz w:val="18"/>
                <w:szCs w:val="18"/>
                <w:lang w:eastAsia="sk-SK"/>
              </w:rPr>
              <w:t>20</w:t>
            </w:r>
          </w:p>
        </w:tc>
        <w:tc>
          <w:tcPr>
            <w:tcW w:w="1441" w:type="dxa"/>
            <w:tcBorders>
              <w:top w:val="single" w:sz="12" w:space="0" w:color="FFFFFF"/>
              <w:left w:val="nil"/>
              <w:bottom w:val="single" w:sz="12" w:space="0" w:color="FFFFFF"/>
              <w:right w:val="single" w:sz="12" w:space="0" w:color="FFFFFF"/>
            </w:tcBorders>
            <w:shd w:val="clear" w:color="000000" w:fill="8DB3E2"/>
            <w:vAlign w:val="center"/>
            <w:hideMark/>
          </w:tcPr>
          <w:p w14:paraId="5D3BE457" w14:textId="6265B63C" w:rsidR="00045693" w:rsidRPr="000E7C7A" w:rsidRDefault="00045693" w:rsidP="00045693">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w:t>
            </w:r>
            <w:r w:rsidR="00DB0B89">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227" w:type="dxa"/>
            <w:tcBorders>
              <w:top w:val="single" w:sz="12" w:space="0" w:color="FFFFFF"/>
              <w:left w:val="nil"/>
              <w:bottom w:val="single" w:sz="12" w:space="0" w:color="FFFFFF"/>
              <w:right w:val="single" w:sz="12" w:space="0" w:color="FFFFFF"/>
            </w:tcBorders>
            <w:shd w:val="clear" w:color="000000" w:fill="8DB3E2"/>
            <w:vAlign w:val="center"/>
            <w:hideMark/>
          </w:tcPr>
          <w:p w14:paraId="5DB3D2F1" w14:textId="395B1824" w:rsidR="00045693" w:rsidRPr="000E7C7A" w:rsidRDefault="00045693" w:rsidP="00045693">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 plnenie k zmenenému rozpočtu k 31.12.20</w:t>
            </w:r>
            <w:r w:rsidR="00DB0B89">
              <w:rPr>
                <w:rFonts w:cs="Calibri"/>
                <w:b/>
                <w:bCs/>
                <w:color w:val="000000"/>
                <w:sz w:val="18"/>
                <w:szCs w:val="18"/>
                <w:lang w:eastAsia="sk-SK"/>
              </w:rPr>
              <w:t>20</w:t>
            </w:r>
          </w:p>
        </w:tc>
        <w:tc>
          <w:tcPr>
            <w:tcW w:w="1294" w:type="dxa"/>
            <w:tcBorders>
              <w:top w:val="single" w:sz="12" w:space="0" w:color="FFFFFF"/>
              <w:left w:val="nil"/>
              <w:bottom w:val="single" w:sz="12" w:space="0" w:color="FFFFFF"/>
              <w:right w:val="single" w:sz="12" w:space="0" w:color="FFFFFF"/>
            </w:tcBorders>
            <w:shd w:val="clear" w:color="000000" w:fill="8DB3E2"/>
            <w:vAlign w:val="center"/>
            <w:hideMark/>
          </w:tcPr>
          <w:p w14:paraId="56B0529F" w14:textId="77777777" w:rsidR="00045693" w:rsidRPr="000E7C7A" w:rsidRDefault="00045693" w:rsidP="00045693">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Zmeny rozpočtu</w:t>
            </w:r>
          </w:p>
        </w:tc>
      </w:tr>
      <w:tr w:rsidR="003C2383" w:rsidRPr="005B6B30" w14:paraId="6D0DC1BD" w14:textId="77777777" w:rsidTr="003C2383">
        <w:trPr>
          <w:trHeight w:val="285"/>
        </w:trPr>
        <w:tc>
          <w:tcPr>
            <w:tcW w:w="2019" w:type="dxa"/>
            <w:tcBorders>
              <w:top w:val="nil"/>
              <w:left w:val="single" w:sz="12" w:space="0" w:color="FFFFFF"/>
              <w:bottom w:val="single" w:sz="12" w:space="0" w:color="FFFFFF"/>
              <w:right w:val="single" w:sz="12" w:space="0" w:color="FFFFFF"/>
            </w:tcBorders>
            <w:shd w:val="clear" w:color="000000" w:fill="F2F2F2"/>
            <w:vAlign w:val="center"/>
            <w:hideMark/>
          </w:tcPr>
          <w:p w14:paraId="575DDB3E" w14:textId="77777777" w:rsidR="003C2383" w:rsidRPr="005B6B30" w:rsidRDefault="003C2383" w:rsidP="003C2383">
            <w:pPr>
              <w:spacing w:after="0" w:line="240" w:lineRule="auto"/>
              <w:rPr>
                <w:rFonts w:cs="Calibri"/>
                <w:sz w:val="18"/>
                <w:szCs w:val="18"/>
                <w:lang w:eastAsia="sk-SK"/>
              </w:rPr>
            </w:pPr>
            <w:r w:rsidRPr="005B6B30">
              <w:rPr>
                <w:rFonts w:cs="Calibri"/>
                <w:sz w:val="18"/>
                <w:szCs w:val="18"/>
                <w:lang w:eastAsia="sk-SK"/>
              </w:rPr>
              <w:t>100 - Daňové príjmy</w:t>
            </w:r>
          </w:p>
        </w:tc>
        <w:tc>
          <w:tcPr>
            <w:tcW w:w="1502" w:type="dxa"/>
            <w:tcBorders>
              <w:top w:val="nil"/>
              <w:left w:val="nil"/>
              <w:bottom w:val="single" w:sz="12" w:space="0" w:color="FFFFFF"/>
              <w:right w:val="single" w:sz="12" w:space="0" w:color="FFFFFF"/>
            </w:tcBorders>
            <w:shd w:val="clear" w:color="000000" w:fill="F2F2F2"/>
            <w:vAlign w:val="center"/>
            <w:hideMark/>
          </w:tcPr>
          <w:p w14:paraId="46B0B131" w14:textId="1BFDE7C3" w:rsidR="003C2383" w:rsidRDefault="003C2383" w:rsidP="003C2383">
            <w:pPr>
              <w:spacing w:after="0" w:line="240" w:lineRule="auto"/>
              <w:jc w:val="right"/>
              <w:rPr>
                <w:rFonts w:cs="Calibri"/>
                <w:color w:val="000000"/>
                <w:sz w:val="18"/>
                <w:szCs w:val="18"/>
                <w:lang w:eastAsia="sk-SK"/>
              </w:rPr>
            </w:pPr>
            <w:r>
              <w:rPr>
                <w:rFonts w:cs="Calibri"/>
                <w:color w:val="000000"/>
                <w:sz w:val="18"/>
                <w:szCs w:val="18"/>
              </w:rPr>
              <w:t>102 496 546,03</w:t>
            </w:r>
          </w:p>
        </w:tc>
        <w:tc>
          <w:tcPr>
            <w:tcW w:w="1438" w:type="dxa"/>
            <w:tcBorders>
              <w:top w:val="nil"/>
              <w:left w:val="nil"/>
              <w:bottom w:val="single" w:sz="12" w:space="0" w:color="FFFFFF"/>
              <w:right w:val="single" w:sz="12" w:space="0" w:color="FFFFFF"/>
            </w:tcBorders>
            <w:shd w:val="clear" w:color="000000" w:fill="F2F2F2"/>
            <w:vAlign w:val="center"/>
          </w:tcPr>
          <w:p w14:paraId="038A6C36" w14:textId="452023EC" w:rsidR="003C2383" w:rsidRDefault="003C2383" w:rsidP="003C2383">
            <w:pPr>
              <w:jc w:val="right"/>
              <w:rPr>
                <w:rFonts w:cs="Calibri"/>
                <w:color w:val="000000"/>
                <w:sz w:val="18"/>
                <w:szCs w:val="18"/>
              </w:rPr>
            </w:pPr>
            <w:r>
              <w:rPr>
                <w:rFonts w:cs="Calibri"/>
                <w:color w:val="000000"/>
                <w:sz w:val="18"/>
                <w:szCs w:val="18"/>
              </w:rPr>
              <w:t>104 500 000,00</w:t>
            </w:r>
          </w:p>
        </w:tc>
        <w:tc>
          <w:tcPr>
            <w:tcW w:w="1440" w:type="dxa"/>
            <w:tcBorders>
              <w:top w:val="nil"/>
              <w:left w:val="nil"/>
              <w:bottom w:val="single" w:sz="12" w:space="0" w:color="FFFFFF"/>
              <w:right w:val="single" w:sz="12" w:space="0" w:color="FFFFFF"/>
            </w:tcBorders>
            <w:shd w:val="clear" w:color="000000" w:fill="F2F2F2"/>
            <w:vAlign w:val="center"/>
          </w:tcPr>
          <w:p w14:paraId="70660B10" w14:textId="7D0EEAF9" w:rsidR="003C2383" w:rsidRDefault="003C2383" w:rsidP="003C2383">
            <w:pPr>
              <w:jc w:val="right"/>
              <w:rPr>
                <w:rFonts w:cs="Calibri"/>
                <w:color w:val="000000"/>
                <w:sz w:val="18"/>
                <w:szCs w:val="18"/>
              </w:rPr>
            </w:pPr>
            <w:r>
              <w:rPr>
                <w:rFonts w:cs="Calibri"/>
                <w:color w:val="000000"/>
                <w:sz w:val="18"/>
                <w:szCs w:val="18"/>
              </w:rPr>
              <w:t>100 500 000,00</w:t>
            </w:r>
          </w:p>
        </w:tc>
        <w:tc>
          <w:tcPr>
            <w:tcW w:w="1441" w:type="dxa"/>
            <w:tcBorders>
              <w:top w:val="nil"/>
              <w:left w:val="nil"/>
              <w:bottom w:val="single" w:sz="12" w:space="0" w:color="FFFFFF"/>
              <w:right w:val="single" w:sz="12" w:space="0" w:color="FFFFFF"/>
            </w:tcBorders>
            <w:shd w:val="clear" w:color="000000" w:fill="F2F2F2"/>
            <w:vAlign w:val="center"/>
          </w:tcPr>
          <w:p w14:paraId="15C34E8A" w14:textId="40595548" w:rsidR="003C2383" w:rsidRDefault="003C2383" w:rsidP="003C2383">
            <w:pPr>
              <w:jc w:val="right"/>
              <w:rPr>
                <w:rFonts w:cs="Calibri"/>
                <w:color w:val="000000"/>
                <w:sz w:val="18"/>
                <w:szCs w:val="18"/>
              </w:rPr>
            </w:pPr>
            <w:r>
              <w:rPr>
                <w:rFonts w:cs="Calibri"/>
                <w:color w:val="000000"/>
                <w:sz w:val="18"/>
                <w:szCs w:val="18"/>
              </w:rPr>
              <w:t>102 856 871,86</w:t>
            </w:r>
          </w:p>
        </w:tc>
        <w:tc>
          <w:tcPr>
            <w:tcW w:w="1227" w:type="dxa"/>
            <w:tcBorders>
              <w:top w:val="nil"/>
              <w:left w:val="nil"/>
              <w:bottom w:val="single" w:sz="12" w:space="0" w:color="FFFFFF"/>
              <w:right w:val="single" w:sz="12" w:space="0" w:color="FFFFFF"/>
            </w:tcBorders>
            <w:shd w:val="clear" w:color="000000" w:fill="F2F2F2"/>
            <w:vAlign w:val="center"/>
          </w:tcPr>
          <w:p w14:paraId="00A8C300" w14:textId="3E298AB1" w:rsidR="003C2383" w:rsidRDefault="003C2383" w:rsidP="003C2383">
            <w:pPr>
              <w:jc w:val="right"/>
              <w:rPr>
                <w:rFonts w:cs="Calibri"/>
                <w:color w:val="000000"/>
                <w:sz w:val="18"/>
                <w:szCs w:val="18"/>
              </w:rPr>
            </w:pPr>
            <w:r>
              <w:rPr>
                <w:rFonts w:cs="Calibri"/>
                <w:color w:val="000000"/>
                <w:sz w:val="18"/>
                <w:szCs w:val="18"/>
              </w:rPr>
              <w:t>102,35%</w:t>
            </w:r>
          </w:p>
        </w:tc>
        <w:tc>
          <w:tcPr>
            <w:tcW w:w="1294" w:type="dxa"/>
            <w:tcBorders>
              <w:top w:val="nil"/>
              <w:left w:val="nil"/>
              <w:bottom w:val="single" w:sz="12" w:space="0" w:color="FFFFFF"/>
              <w:right w:val="single" w:sz="12" w:space="0" w:color="FFFFFF"/>
            </w:tcBorders>
            <w:shd w:val="clear" w:color="000000" w:fill="F2F2F2"/>
            <w:vAlign w:val="center"/>
          </w:tcPr>
          <w:p w14:paraId="654D99AF" w14:textId="5ABA727A" w:rsidR="003C2383" w:rsidRDefault="003C2383" w:rsidP="003C2383">
            <w:pPr>
              <w:jc w:val="right"/>
              <w:rPr>
                <w:rFonts w:cs="Calibri"/>
                <w:b/>
                <w:bCs/>
                <w:color w:val="000000"/>
                <w:sz w:val="18"/>
                <w:szCs w:val="18"/>
              </w:rPr>
            </w:pPr>
            <w:r>
              <w:rPr>
                <w:rFonts w:cs="Calibri"/>
                <w:b/>
                <w:bCs/>
                <w:color w:val="000000"/>
                <w:sz w:val="18"/>
                <w:szCs w:val="18"/>
              </w:rPr>
              <w:t>-4 000 000,00</w:t>
            </w:r>
          </w:p>
        </w:tc>
      </w:tr>
      <w:tr w:rsidR="003C2383" w:rsidRPr="005B6B30" w14:paraId="70676C5B" w14:textId="77777777" w:rsidTr="003C2383">
        <w:trPr>
          <w:trHeight w:val="285"/>
        </w:trPr>
        <w:tc>
          <w:tcPr>
            <w:tcW w:w="2019" w:type="dxa"/>
            <w:tcBorders>
              <w:top w:val="nil"/>
              <w:left w:val="single" w:sz="12" w:space="0" w:color="FFFFFF"/>
              <w:bottom w:val="single" w:sz="12" w:space="0" w:color="FFFFFF"/>
              <w:right w:val="single" w:sz="12" w:space="0" w:color="FFFFFF"/>
            </w:tcBorders>
            <w:shd w:val="clear" w:color="000000" w:fill="F2F2F2"/>
            <w:vAlign w:val="center"/>
            <w:hideMark/>
          </w:tcPr>
          <w:p w14:paraId="43CE5BEE" w14:textId="77777777" w:rsidR="003C2383" w:rsidRPr="005B6B30" w:rsidRDefault="003C2383" w:rsidP="003C2383">
            <w:pPr>
              <w:spacing w:after="0" w:line="240" w:lineRule="auto"/>
              <w:rPr>
                <w:rFonts w:cs="Calibri"/>
                <w:sz w:val="18"/>
                <w:szCs w:val="18"/>
                <w:lang w:eastAsia="sk-SK"/>
              </w:rPr>
            </w:pPr>
            <w:r w:rsidRPr="005B6B30">
              <w:rPr>
                <w:rFonts w:cs="Calibri"/>
                <w:sz w:val="18"/>
                <w:szCs w:val="18"/>
                <w:lang w:eastAsia="sk-SK"/>
              </w:rPr>
              <w:t>200 - Nedaňové príjmy</w:t>
            </w:r>
          </w:p>
        </w:tc>
        <w:tc>
          <w:tcPr>
            <w:tcW w:w="1502" w:type="dxa"/>
            <w:tcBorders>
              <w:top w:val="nil"/>
              <w:left w:val="nil"/>
              <w:bottom w:val="single" w:sz="12" w:space="0" w:color="FFFFFF"/>
              <w:right w:val="single" w:sz="12" w:space="0" w:color="FFFFFF"/>
            </w:tcBorders>
            <w:shd w:val="clear" w:color="000000" w:fill="F2F2F2"/>
            <w:vAlign w:val="center"/>
            <w:hideMark/>
          </w:tcPr>
          <w:p w14:paraId="5EA9A56E" w14:textId="7AB6BF48" w:rsidR="003C2383" w:rsidRDefault="003C2383" w:rsidP="003C2383">
            <w:pPr>
              <w:jc w:val="right"/>
              <w:rPr>
                <w:rFonts w:cs="Calibri"/>
                <w:color w:val="000000"/>
                <w:sz w:val="18"/>
                <w:szCs w:val="18"/>
              </w:rPr>
            </w:pPr>
            <w:r>
              <w:rPr>
                <w:rFonts w:cs="Calibri"/>
                <w:color w:val="000000"/>
                <w:sz w:val="18"/>
                <w:szCs w:val="18"/>
              </w:rPr>
              <w:t>9 293 262,89</w:t>
            </w:r>
          </w:p>
        </w:tc>
        <w:tc>
          <w:tcPr>
            <w:tcW w:w="1438" w:type="dxa"/>
            <w:tcBorders>
              <w:top w:val="nil"/>
              <w:left w:val="nil"/>
              <w:bottom w:val="single" w:sz="12" w:space="0" w:color="FFFFFF"/>
              <w:right w:val="single" w:sz="12" w:space="0" w:color="FFFFFF"/>
            </w:tcBorders>
            <w:shd w:val="clear" w:color="000000" w:fill="F2F2F2"/>
            <w:vAlign w:val="center"/>
          </w:tcPr>
          <w:p w14:paraId="2D3C6359" w14:textId="3DC6ABC8" w:rsidR="003C2383" w:rsidRDefault="003C2383" w:rsidP="003C2383">
            <w:pPr>
              <w:jc w:val="right"/>
              <w:rPr>
                <w:rFonts w:cs="Calibri"/>
                <w:color w:val="000000"/>
                <w:sz w:val="18"/>
                <w:szCs w:val="18"/>
              </w:rPr>
            </w:pPr>
            <w:r>
              <w:rPr>
                <w:rFonts w:cs="Calibri"/>
                <w:color w:val="000000"/>
                <w:sz w:val="18"/>
                <w:szCs w:val="18"/>
              </w:rPr>
              <w:t>8 465 551,05</w:t>
            </w:r>
          </w:p>
        </w:tc>
        <w:tc>
          <w:tcPr>
            <w:tcW w:w="1440" w:type="dxa"/>
            <w:tcBorders>
              <w:top w:val="nil"/>
              <w:left w:val="nil"/>
              <w:bottom w:val="single" w:sz="12" w:space="0" w:color="FFFFFF"/>
              <w:right w:val="single" w:sz="12" w:space="0" w:color="FFFFFF"/>
            </w:tcBorders>
            <w:shd w:val="clear" w:color="000000" w:fill="F2F2F2"/>
            <w:vAlign w:val="center"/>
          </w:tcPr>
          <w:p w14:paraId="00BC26E0" w14:textId="09B8DBFF" w:rsidR="003C2383" w:rsidRDefault="003C2383" w:rsidP="003C2383">
            <w:pPr>
              <w:jc w:val="right"/>
              <w:rPr>
                <w:rFonts w:cs="Calibri"/>
                <w:color w:val="000000"/>
                <w:sz w:val="18"/>
                <w:szCs w:val="18"/>
              </w:rPr>
            </w:pPr>
            <w:r>
              <w:rPr>
                <w:rFonts w:cs="Calibri"/>
                <w:color w:val="000000"/>
                <w:sz w:val="18"/>
                <w:szCs w:val="18"/>
              </w:rPr>
              <w:t>8 928 777,26</w:t>
            </w:r>
          </w:p>
        </w:tc>
        <w:tc>
          <w:tcPr>
            <w:tcW w:w="1441" w:type="dxa"/>
            <w:tcBorders>
              <w:top w:val="nil"/>
              <w:left w:val="nil"/>
              <w:bottom w:val="single" w:sz="12" w:space="0" w:color="FFFFFF"/>
              <w:right w:val="single" w:sz="12" w:space="0" w:color="FFFFFF"/>
            </w:tcBorders>
            <w:shd w:val="clear" w:color="000000" w:fill="F2F2F2"/>
            <w:vAlign w:val="center"/>
          </w:tcPr>
          <w:p w14:paraId="4D2C152C" w14:textId="13DC6BEE" w:rsidR="003C2383" w:rsidRDefault="003C2383" w:rsidP="003C2383">
            <w:pPr>
              <w:jc w:val="right"/>
              <w:rPr>
                <w:rFonts w:cs="Calibri"/>
                <w:color w:val="000000"/>
                <w:sz w:val="18"/>
                <w:szCs w:val="18"/>
              </w:rPr>
            </w:pPr>
            <w:r>
              <w:rPr>
                <w:rFonts w:cs="Calibri"/>
                <w:color w:val="000000"/>
                <w:sz w:val="18"/>
                <w:szCs w:val="18"/>
              </w:rPr>
              <w:t>7 664 680,06</w:t>
            </w:r>
          </w:p>
        </w:tc>
        <w:tc>
          <w:tcPr>
            <w:tcW w:w="1227" w:type="dxa"/>
            <w:tcBorders>
              <w:top w:val="nil"/>
              <w:left w:val="nil"/>
              <w:bottom w:val="single" w:sz="12" w:space="0" w:color="FFFFFF"/>
              <w:right w:val="single" w:sz="12" w:space="0" w:color="FFFFFF"/>
            </w:tcBorders>
            <w:shd w:val="clear" w:color="000000" w:fill="F2F2F2"/>
            <w:vAlign w:val="center"/>
          </w:tcPr>
          <w:p w14:paraId="2F3522DC" w14:textId="0A2535F9" w:rsidR="003C2383" w:rsidRDefault="003C2383" w:rsidP="003C2383">
            <w:pPr>
              <w:jc w:val="right"/>
              <w:rPr>
                <w:rFonts w:cs="Calibri"/>
                <w:color w:val="000000"/>
                <w:sz w:val="18"/>
                <w:szCs w:val="18"/>
              </w:rPr>
            </w:pPr>
            <w:r>
              <w:rPr>
                <w:rFonts w:cs="Calibri"/>
                <w:color w:val="000000"/>
                <w:sz w:val="18"/>
                <w:szCs w:val="18"/>
              </w:rPr>
              <w:t>85,84%</w:t>
            </w:r>
          </w:p>
        </w:tc>
        <w:tc>
          <w:tcPr>
            <w:tcW w:w="1294" w:type="dxa"/>
            <w:tcBorders>
              <w:top w:val="nil"/>
              <w:left w:val="nil"/>
              <w:bottom w:val="single" w:sz="12" w:space="0" w:color="FFFFFF"/>
              <w:right w:val="single" w:sz="12" w:space="0" w:color="FFFFFF"/>
            </w:tcBorders>
            <w:shd w:val="clear" w:color="000000" w:fill="F2F2F2"/>
            <w:vAlign w:val="center"/>
          </w:tcPr>
          <w:p w14:paraId="24872A1D" w14:textId="509440E3" w:rsidR="003C2383" w:rsidRDefault="003C2383" w:rsidP="003C2383">
            <w:pPr>
              <w:jc w:val="right"/>
              <w:rPr>
                <w:rFonts w:cs="Calibri"/>
                <w:b/>
                <w:bCs/>
                <w:color w:val="000000"/>
                <w:sz w:val="18"/>
                <w:szCs w:val="18"/>
              </w:rPr>
            </w:pPr>
            <w:r>
              <w:rPr>
                <w:rFonts w:cs="Calibri"/>
                <w:b/>
                <w:bCs/>
                <w:color w:val="000000"/>
                <w:sz w:val="18"/>
                <w:szCs w:val="18"/>
              </w:rPr>
              <w:t>463 226,21</w:t>
            </w:r>
          </w:p>
        </w:tc>
      </w:tr>
      <w:tr w:rsidR="003C2383" w:rsidRPr="005B6B30" w14:paraId="4AECA896" w14:textId="77777777" w:rsidTr="003C2383">
        <w:trPr>
          <w:trHeight w:val="285"/>
        </w:trPr>
        <w:tc>
          <w:tcPr>
            <w:tcW w:w="2019" w:type="dxa"/>
            <w:tcBorders>
              <w:top w:val="nil"/>
              <w:left w:val="single" w:sz="12" w:space="0" w:color="FFFFFF"/>
              <w:bottom w:val="single" w:sz="12" w:space="0" w:color="FFFFFF"/>
              <w:right w:val="single" w:sz="12" w:space="0" w:color="FFFFFF"/>
            </w:tcBorders>
            <w:shd w:val="clear" w:color="000000" w:fill="F2F2F2"/>
            <w:vAlign w:val="center"/>
            <w:hideMark/>
          </w:tcPr>
          <w:p w14:paraId="4AB4C662" w14:textId="77777777" w:rsidR="003C2383" w:rsidRPr="005B6B30" w:rsidRDefault="003C2383" w:rsidP="003C2383">
            <w:pPr>
              <w:spacing w:after="0" w:line="240" w:lineRule="auto"/>
              <w:rPr>
                <w:rFonts w:cs="Calibri"/>
                <w:sz w:val="18"/>
                <w:szCs w:val="18"/>
                <w:lang w:eastAsia="sk-SK"/>
              </w:rPr>
            </w:pPr>
            <w:r w:rsidRPr="005B6B30">
              <w:rPr>
                <w:rFonts w:cs="Calibri"/>
                <w:sz w:val="18"/>
                <w:szCs w:val="18"/>
                <w:lang w:eastAsia="sk-SK"/>
              </w:rPr>
              <w:t>300 - Granty a transfery</w:t>
            </w:r>
          </w:p>
        </w:tc>
        <w:tc>
          <w:tcPr>
            <w:tcW w:w="1502" w:type="dxa"/>
            <w:tcBorders>
              <w:top w:val="nil"/>
              <w:left w:val="nil"/>
              <w:bottom w:val="single" w:sz="12" w:space="0" w:color="FFFFFF"/>
              <w:right w:val="single" w:sz="12" w:space="0" w:color="FFFFFF"/>
            </w:tcBorders>
            <w:shd w:val="clear" w:color="000000" w:fill="F2F2F2"/>
            <w:vAlign w:val="center"/>
            <w:hideMark/>
          </w:tcPr>
          <w:p w14:paraId="142B8A07" w14:textId="405C729E" w:rsidR="003C2383" w:rsidRDefault="003C2383" w:rsidP="003C2383">
            <w:pPr>
              <w:jc w:val="right"/>
              <w:rPr>
                <w:rFonts w:cs="Calibri"/>
                <w:color w:val="000000"/>
                <w:sz w:val="18"/>
                <w:szCs w:val="18"/>
              </w:rPr>
            </w:pPr>
            <w:r>
              <w:rPr>
                <w:rFonts w:cs="Calibri"/>
                <w:color w:val="000000"/>
                <w:sz w:val="18"/>
                <w:szCs w:val="18"/>
              </w:rPr>
              <w:t>65 491 839,59</w:t>
            </w:r>
          </w:p>
        </w:tc>
        <w:tc>
          <w:tcPr>
            <w:tcW w:w="1438" w:type="dxa"/>
            <w:tcBorders>
              <w:top w:val="nil"/>
              <w:left w:val="nil"/>
              <w:bottom w:val="single" w:sz="12" w:space="0" w:color="FFFFFF"/>
              <w:right w:val="single" w:sz="12" w:space="0" w:color="FFFFFF"/>
            </w:tcBorders>
            <w:shd w:val="clear" w:color="000000" w:fill="F2F2F2"/>
            <w:vAlign w:val="center"/>
          </w:tcPr>
          <w:p w14:paraId="655ADBA6" w14:textId="628A1D7A" w:rsidR="003C2383" w:rsidRDefault="003C2383" w:rsidP="003C2383">
            <w:pPr>
              <w:jc w:val="right"/>
              <w:rPr>
                <w:rFonts w:cs="Calibri"/>
                <w:color w:val="000000"/>
                <w:sz w:val="18"/>
                <w:szCs w:val="18"/>
              </w:rPr>
            </w:pPr>
            <w:r>
              <w:rPr>
                <w:rFonts w:cs="Calibri"/>
                <w:color w:val="000000"/>
                <w:sz w:val="18"/>
                <w:szCs w:val="18"/>
              </w:rPr>
              <w:t>73 428 887,80</w:t>
            </w:r>
          </w:p>
        </w:tc>
        <w:tc>
          <w:tcPr>
            <w:tcW w:w="1440" w:type="dxa"/>
            <w:tcBorders>
              <w:top w:val="nil"/>
              <w:left w:val="nil"/>
              <w:bottom w:val="single" w:sz="12" w:space="0" w:color="FFFFFF"/>
              <w:right w:val="single" w:sz="12" w:space="0" w:color="FFFFFF"/>
            </w:tcBorders>
            <w:shd w:val="clear" w:color="000000" w:fill="F2F2F2"/>
            <w:vAlign w:val="center"/>
          </w:tcPr>
          <w:p w14:paraId="69A9567B" w14:textId="6799C96E" w:rsidR="003C2383" w:rsidRDefault="003C2383" w:rsidP="003C2383">
            <w:pPr>
              <w:jc w:val="right"/>
              <w:rPr>
                <w:rFonts w:cs="Calibri"/>
                <w:color w:val="000000"/>
                <w:sz w:val="18"/>
                <w:szCs w:val="18"/>
              </w:rPr>
            </w:pPr>
            <w:r>
              <w:rPr>
                <w:rFonts w:cs="Calibri"/>
                <w:color w:val="000000"/>
                <w:sz w:val="18"/>
                <w:szCs w:val="18"/>
              </w:rPr>
              <w:t>79 973 407,64</w:t>
            </w:r>
          </w:p>
        </w:tc>
        <w:tc>
          <w:tcPr>
            <w:tcW w:w="1441" w:type="dxa"/>
            <w:tcBorders>
              <w:top w:val="nil"/>
              <w:left w:val="nil"/>
              <w:bottom w:val="single" w:sz="12" w:space="0" w:color="FFFFFF"/>
              <w:right w:val="single" w:sz="12" w:space="0" w:color="FFFFFF"/>
            </w:tcBorders>
            <w:shd w:val="clear" w:color="000000" w:fill="F2F2F2"/>
            <w:vAlign w:val="center"/>
          </w:tcPr>
          <w:p w14:paraId="20678B18" w14:textId="11D16152" w:rsidR="003C2383" w:rsidRDefault="003C2383" w:rsidP="003C2383">
            <w:pPr>
              <w:jc w:val="right"/>
              <w:rPr>
                <w:rFonts w:cs="Calibri"/>
                <w:color w:val="000000"/>
                <w:sz w:val="18"/>
                <w:szCs w:val="18"/>
              </w:rPr>
            </w:pPr>
            <w:r>
              <w:rPr>
                <w:rFonts w:cs="Calibri"/>
                <w:color w:val="000000"/>
                <w:sz w:val="18"/>
                <w:szCs w:val="18"/>
              </w:rPr>
              <w:t>69 192 393,90</w:t>
            </w:r>
          </w:p>
        </w:tc>
        <w:tc>
          <w:tcPr>
            <w:tcW w:w="1227" w:type="dxa"/>
            <w:tcBorders>
              <w:top w:val="nil"/>
              <w:left w:val="nil"/>
              <w:bottom w:val="single" w:sz="12" w:space="0" w:color="FFFFFF"/>
              <w:right w:val="single" w:sz="12" w:space="0" w:color="FFFFFF"/>
            </w:tcBorders>
            <w:shd w:val="clear" w:color="000000" w:fill="F2F2F2"/>
            <w:vAlign w:val="center"/>
          </w:tcPr>
          <w:p w14:paraId="3F4FEC77" w14:textId="288F50E5" w:rsidR="003C2383" w:rsidRDefault="003C2383" w:rsidP="003C2383">
            <w:pPr>
              <w:jc w:val="right"/>
              <w:rPr>
                <w:rFonts w:cs="Calibri"/>
                <w:color w:val="000000"/>
                <w:sz w:val="18"/>
                <w:szCs w:val="18"/>
              </w:rPr>
            </w:pPr>
            <w:r>
              <w:rPr>
                <w:rFonts w:cs="Calibri"/>
                <w:color w:val="000000"/>
                <w:sz w:val="18"/>
                <w:szCs w:val="18"/>
              </w:rPr>
              <w:t>86,52%</w:t>
            </w:r>
          </w:p>
        </w:tc>
        <w:tc>
          <w:tcPr>
            <w:tcW w:w="1294" w:type="dxa"/>
            <w:tcBorders>
              <w:top w:val="nil"/>
              <w:left w:val="nil"/>
              <w:bottom w:val="single" w:sz="12" w:space="0" w:color="FFFFFF"/>
              <w:right w:val="single" w:sz="12" w:space="0" w:color="FFFFFF"/>
            </w:tcBorders>
            <w:shd w:val="clear" w:color="000000" w:fill="F2F2F2"/>
            <w:vAlign w:val="center"/>
          </w:tcPr>
          <w:p w14:paraId="782F556A" w14:textId="1D1F2D52" w:rsidR="003C2383" w:rsidRDefault="003C2383" w:rsidP="003C2383">
            <w:pPr>
              <w:jc w:val="right"/>
              <w:rPr>
                <w:rFonts w:cs="Calibri"/>
                <w:b/>
                <w:bCs/>
                <w:color w:val="000000"/>
                <w:sz w:val="18"/>
                <w:szCs w:val="18"/>
              </w:rPr>
            </w:pPr>
            <w:r>
              <w:rPr>
                <w:rFonts w:cs="Calibri"/>
                <w:b/>
                <w:bCs/>
                <w:color w:val="000000"/>
                <w:sz w:val="18"/>
                <w:szCs w:val="18"/>
              </w:rPr>
              <w:t>6 544 519,84</w:t>
            </w:r>
          </w:p>
        </w:tc>
      </w:tr>
      <w:tr w:rsidR="003C2383" w:rsidRPr="005B6B30" w14:paraId="3E0C23FF" w14:textId="77777777" w:rsidTr="003C2383">
        <w:trPr>
          <w:trHeight w:val="337"/>
        </w:trPr>
        <w:tc>
          <w:tcPr>
            <w:tcW w:w="2019" w:type="dxa"/>
            <w:tcBorders>
              <w:top w:val="nil"/>
              <w:left w:val="single" w:sz="12" w:space="0" w:color="FFFFFF"/>
              <w:bottom w:val="single" w:sz="12" w:space="0" w:color="FFFFFF"/>
              <w:right w:val="single" w:sz="12" w:space="0" w:color="FFFFFF"/>
            </w:tcBorders>
            <w:shd w:val="clear" w:color="000000" w:fill="8DB3E2"/>
            <w:vAlign w:val="center"/>
            <w:hideMark/>
          </w:tcPr>
          <w:p w14:paraId="740C5DAD" w14:textId="77777777" w:rsidR="003C2383" w:rsidRPr="005B6B30" w:rsidRDefault="003C2383" w:rsidP="003C2383">
            <w:pPr>
              <w:spacing w:after="0" w:line="240" w:lineRule="auto"/>
              <w:rPr>
                <w:rFonts w:cs="Calibri"/>
                <w:b/>
                <w:bCs/>
                <w:sz w:val="18"/>
                <w:szCs w:val="18"/>
                <w:lang w:eastAsia="sk-SK"/>
              </w:rPr>
            </w:pPr>
            <w:r w:rsidRPr="005B6B30">
              <w:rPr>
                <w:rFonts w:cs="Calibri"/>
                <w:b/>
                <w:bCs/>
                <w:sz w:val="18"/>
                <w:szCs w:val="18"/>
                <w:lang w:eastAsia="sk-SK"/>
              </w:rPr>
              <w:t>Celkom</w:t>
            </w:r>
          </w:p>
        </w:tc>
        <w:tc>
          <w:tcPr>
            <w:tcW w:w="1502" w:type="dxa"/>
            <w:tcBorders>
              <w:top w:val="nil"/>
              <w:left w:val="nil"/>
              <w:bottom w:val="single" w:sz="12" w:space="0" w:color="FFFFFF"/>
              <w:right w:val="single" w:sz="12" w:space="0" w:color="FFFFFF"/>
            </w:tcBorders>
            <w:shd w:val="clear" w:color="000000" w:fill="8DB3E2"/>
            <w:vAlign w:val="center"/>
            <w:hideMark/>
          </w:tcPr>
          <w:p w14:paraId="1972B83A" w14:textId="39752AB9" w:rsidR="003C2383" w:rsidRDefault="003C2383" w:rsidP="003C2383">
            <w:pPr>
              <w:jc w:val="right"/>
              <w:rPr>
                <w:rFonts w:cs="Calibri"/>
                <w:b/>
                <w:bCs/>
                <w:color w:val="000000"/>
                <w:sz w:val="20"/>
                <w:szCs w:val="20"/>
              </w:rPr>
            </w:pPr>
            <w:r>
              <w:rPr>
                <w:rFonts w:cs="Calibri"/>
                <w:b/>
                <w:bCs/>
                <w:color w:val="000000"/>
                <w:sz w:val="20"/>
                <w:szCs w:val="20"/>
              </w:rPr>
              <w:t>177 281 648,51</w:t>
            </w:r>
          </w:p>
        </w:tc>
        <w:tc>
          <w:tcPr>
            <w:tcW w:w="1438" w:type="dxa"/>
            <w:tcBorders>
              <w:top w:val="nil"/>
              <w:left w:val="nil"/>
              <w:bottom w:val="single" w:sz="12" w:space="0" w:color="FFFFFF"/>
              <w:right w:val="single" w:sz="12" w:space="0" w:color="FFFFFF"/>
            </w:tcBorders>
            <w:shd w:val="clear" w:color="000000" w:fill="8DB3E2"/>
            <w:vAlign w:val="center"/>
          </w:tcPr>
          <w:p w14:paraId="61123EA4" w14:textId="501A6B3E" w:rsidR="003C2383" w:rsidRDefault="003C2383" w:rsidP="003C2383">
            <w:pPr>
              <w:jc w:val="right"/>
              <w:rPr>
                <w:rFonts w:cs="Calibri"/>
                <w:b/>
                <w:bCs/>
                <w:color w:val="000000"/>
                <w:sz w:val="20"/>
                <w:szCs w:val="20"/>
              </w:rPr>
            </w:pPr>
            <w:r>
              <w:rPr>
                <w:rFonts w:cs="Calibri"/>
                <w:b/>
                <w:bCs/>
                <w:color w:val="000000"/>
                <w:sz w:val="20"/>
                <w:szCs w:val="20"/>
              </w:rPr>
              <w:t>186 394 438,85</w:t>
            </w:r>
          </w:p>
        </w:tc>
        <w:tc>
          <w:tcPr>
            <w:tcW w:w="1440" w:type="dxa"/>
            <w:tcBorders>
              <w:top w:val="nil"/>
              <w:left w:val="nil"/>
              <w:bottom w:val="single" w:sz="12" w:space="0" w:color="FFFFFF"/>
              <w:right w:val="single" w:sz="12" w:space="0" w:color="FFFFFF"/>
            </w:tcBorders>
            <w:shd w:val="clear" w:color="000000" w:fill="8DB3E2"/>
            <w:vAlign w:val="center"/>
          </w:tcPr>
          <w:p w14:paraId="13FA14EA" w14:textId="20911C2A" w:rsidR="003C2383" w:rsidRDefault="003C2383" w:rsidP="003C2383">
            <w:pPr>
              <w:jc w:val="right"/>
              <w:rPr>
                <w:rFonts w:cs="Calibri"/>
                <w:b/>
                <w:bCs/>
                <w:color w:val="000000"/>
                <w:sz w:val="20"/>
                <w:szCs w:val="20"/>
              </w:rPr>
            </w:pPr>
            <w:r>
              <w:rPr>
                <w:rFonts w:cs="Calibri"/>
                <w:b/>
                <w:bCs/>
                <w:color w:val="000000"/>
                <w:sz w:val="20"/>
                <w:szCs w:val="20"/>
              </w:rPr>
              <w:t>189 402 184,90</w:t>
            </w:r>
          </w:p>
        </w:tc>
        <w:tc>
          <w:tcPr>
            <w:tcW w:w="1441" w:type="dxa"/>
            <w:tcBorders>
              <w:top w:val="nil"/>
              <w:left w:val="nil"/>
              <w:bottom w:val="single" w:sz="12" w:space="0" w:color="FFFFFF"/>
              <w:right w:val="single" w:sz="12" w:space="0" w:color="FFFFFF"/>
            </w:tcBorders>
            <w:shd w:val="clear" w:color="000000" w:fill="8DB3E2"/>
            <w:vAlign w:val="center"/>
          </w:tcPr>
          <w:p w14:paraId="7C0107BB" w14:textId="79F24DA6" w:rsidR="003C2383" w:rsidRDefault="003C2383" w:rsidP="003C2383">
            <w:pPr>
              <w:jc w:val="right"/>
              <w:rPr>
                <w:rFonts w:cs="Calibri"/>
                <w:b/>
                <w:bCs/>
                <w:color w:val="000000"/>
                <w:sz w:val="20"/>
                <w:szCs w:val="20"/>
              </w:rPr>
            </w:pPr>
            <w:r>
              <w:rPr>
                <w:rFonts w:cs="Calibri"/>
                <w:b/>
                <w:bCs/>
                <w:color w:val="000000"/>
                <w:sz w:val="20"/>
                <w:szCs w:val="20"/>
              </w:rPr>
              <w:t>179 713 945,82</w:t>
            </w:r>
          </w:p>
        </w:tc>
        <w:tc>
          <w:tcPr>
            <w:tcW w:w="1227" w:type="dxa"/>
            <w:tcBorders>
              <w:top w:val="nil"/>
              <w:left w:val="nil"/>
              <w:bottom w:val="single" w:sz="12" w:space="0" w:color="FFFFFF"/>
              <w:right w:val="single" w:sz="12" w:space="0" w:color="FFFFFF"/>
            </w:tcBorders>
            <w:shd w:val="clear" w:color="000000" w:fill="8DB3E2"/>
            <w:vAlign w:val="center"/>
          </w:tcPr>
          <w:p w14:paraId="4E929003" w14:textId="5F99C3B4" w:rsidR="003C2383" w:rsidRDefault="003C2383" w:rsidP="003C2383">
            <w:pPr>
              <w:jc w:val="right"/>
              <w:rPr>
                <w:rFonts w:cs="Calibri"/>
                <w:b/>
                <w:bCs/>
                <w:color w:val="000000"/>
                <w:sz w:val="18"/>
                <w:szCs w:val="18"/>
              </w:rPr>
            </w:pPr>
            <w:r>
              <w:rPr>
                <w:rFonts w:cs="Calibri"/>
                <w:b/>
                <w:bCs/>
                <w:color w:val="000000"/>
                <w:sz w:val="18"/>
                <w:szCs w:val="18"/>
              </w:rPr>
              <w:t>94,88%</w:t>
            </w:r>
          </w:p>
        </w:tc>
        <w:tc>
          <w:tcPr>
            <w:tcW w:w="1294" w:type="dxa"/>
            <w:tcBorders>
              <w:top w:val="nil"/>
              <w:left w:val="nil"/>
              <w:bottom w:val="single" w:sz="12" w:space="0" w:color="FFFFFF"/>
              <w:right w:val="single" w:sz="12" w:space="0" w:color="FFFFFF"/>
            </w:tcBorders>
            <w:shd w:val="clear" w:color="000000" w:fill="8DB3E2"/>
            <w:vAlign w:val="center"/>
          </w:tcPr>
          <w:p w14:paraId="67AB9F53" w14:textId="28F5A789" w:rsidR="003C2383" w:rsidRDefault="003C2383" w:rsidP="003C2383">
            <w:pPr>
              <w:jc w:val="right"/>
              <w:rPr>
                <w:rFonts w:cs="Calibri"/>
                <w:b/>
                <w:bCs/>
                <w:color w:val="000000"/>
                <w:sz w:val="18"/>
                <w:szCs w:val="18"/>
              </w:rPr>
            </w:pPr>
            <w:r>
              <w:rPr>
                <w:rFonts w:cs="Calibri"/>
                <w:b/>
                <w:bCs/>
                <w:color w:val="000000"/>
                <w:sz w:val="18"/>
                <w:szCs w:val="18"/>
              </w:rPr>
              <w:t>3 007 746,05</w:t>
            </w:r>
          </w:p>
        </w:tc>
      </w:tr>
    </w:tbl>
    <w:p w14:paraId="7BA3C380" w14:textId="77777777" w:rsidR="008B3B82" w:rsidRDefault="008B3B82" w:rsidP="00C708A6">
      <w:pPr>
        <w:pStyle w:val="tl3"/>
        <w:spacing w:after="0"/>
        <w:ind w:firstLine="0"/>
      </w:pPr>
    </w:p>
    <w:p w14:paraId="58D542BC" w14:textId="51D88CF0" w:rsidR="00BE704E" w:rsidRPr="00077EDF" w:rsidRDefault="00BE704E" w:rsidP="00BE704E">
      <w:pPr>
        <w:pStyle w:val="tl3"/>
        <w:ind w:firstLine="0"/>
      </w:pPr>
      <w:r w:rsidRPr="003F1941">
        <w:t>B.1.1 Daňové príjmy</w:t>
      </w:r>
      <w:r w:rsidRPr="00077EDF">
        <w:tab/>
      </w:r>
    </w:p>
    <w:p w14:paraId="086E1AD0" w14:textId="4C18EB3E" w:rsidR="00BE704E" w:rsidRPr="0061340E" w:rsidRDefault="00BE704E" w:rsidP="00A21B75">
      <w:pPr>
        <w:spacing w:line="240" w:lineRule="auto"/>
        <w:jc w:val="both"/>
        <w:rPr>
          <w:rFonts w:ascii="Arial" w:hAnsi="Arial" w:cs="Arial"/>
          <w:sz w:val="20"/>
          <w:szCs w:val="20"/>
          <w:lang w:eastAsia="sk-SK"/>
        </w:rPr>
      </w:pPr>
      <w:r>
        <w:rPr>
          <w:rFonts w:cs="Calibri"/>
          <w:sz w:val="24"/>
          <w:szCs w:val="24"/>
        </w:rPr>
        <w:t>Daňové príjmy (</w:t>
      </w:r>
      <w:r w:rsidRPr="00A21CC7">
        <w:rPr>
          <w:rFonts w:cs="Calibri"/>
          <w:b/>
          <w:sz w:val="24"/>
          <w:szCs w:val="24"/>
        </w:rPr>
        <w:t>v</w:t>
      </w:r>
      <w:r>
        <w:rPr>
          <w:rFonts w:cs="Calibri"/>
          <w:b/>
          <w:sz w:val="24"/>
          <w:szCs w:val="24"/>
        </w:rPr>
        <w:t>ýnos d</w:t>
      </w:r>
      <w:r w:rsidRPr="001A4F1E">
        <w:rPr>
          <w:rFonts w:cs="Calibri"/>
          <w:b/>
          <w:sz w:val="24"/>
          <w:szCs w:val="24"/>
        </w:rPr>
        <w:t>a</w:t>
      </w:r>
      <w:r>
        <w:rPr>
          <w:rFonts w:cs="Calibri"/>
          <w:b/>
          <w:sz w:val="24"/>
          <w:szCs w:val="24"/>
        </w:rPr>
        <w:t>ne</w:t>
      </w:r>
      <w:r w:rsidRPr="001A4F1E">
        <w:rPr>
          <w:rFonts w:cs="Calibri"/>
          <w:b/>
          <w:sz w:val="24"/>
          <w:szCs w:val="24"/>
        </w:rPr>
        <w:t xml:space="preserve"> z príjmov fyzických osôb</w:t>
      </w:r>
      <w:r>
        <w:rPr>
          <w:rFonts w:cs="Calibri"/>
          <w:sz w:val="24"/>
          <w:szCs w:val="24"/>
        </w:rPr>
        <w:t>) boli na rok 20</w:t>
      </w:r>
      <w:r w:rsidR="00DB0B89">
        <w:rPr>
          <w:rFonts w:cs="Calibri"/>
          <w:sz w:val="24"/>
          <w:szCs w:val="24"/>
        </w:rPr>
        <w:t>20</w:t>
      </w:r>
      <w:r>
        <w:rPr>
          <w:rFonts w:cs="Calibri"/>
          <w:sz w:val="24"/>
          <w:szCs w:val="24"/>
        </w:rPr>
        <w:t xml:space="preserve"> rozpočtované sumou </w:t>
      </w:r>
      <w:r>
        <w:rPr>
          <w:rFonts w:cs="Calibri"/>
          <w:sz w:val="24"/>
          <w:szCs w:val="24"/>
        </w:rPr>
        <w:br/>
      </w:r>
      <w:r w:rsidR="00E32148" w:rsidRPr="00E32148">
        <w:rPr>
          <w:rFonts w:cs="Calibri"/>
          <w:b/>
          <w:sz w:val="24"/>
          <w:szCs w:val="24"/>
        </w:rPr>
        <w:t>104 500 000,00</w:t>
      </w:r>
      <w:r w:rsidR="003D6517" w:rsidRPr="003D6517">
        <w:rPr>
          <w:rFonts w:cs="Calibri"/>
          <w:b/>
          <w:sz w:val="24"/>
          <w:szCs w:val="24"/>
        </w:rPr>
        <w:t>4</w:t>
      </w:r>
      <w:r w:rsidR="003D6517">
        <w:rPr>
          <w:rFonts w:cs="Calibri"/>
          <w:b/>
          <w:sz w:val="24"/>
          <w:szCs w:val="24"/>
        </w:rPr>
        <w:t xml:space="preserve"> </w:t>
      </w:r>
      <w:r>
        <w:rPr>
          <w:rFonts w:cs="Calibri"/>
          <w:b/>
          <w:sz w:val="24"/>
          <w:szCs w:val="24"/>
        </w:rPr>
        <w:t>EUR</w:t>
      </w:r>
      <w:r>
        <w:rPr>
          <w:rFonts w:cs="Calibri"/>
          <w:sz w:val="24"/>
          <w:szCs w:val="24"/>
        </w:rPr>
        <w:t xml:space="preserve">. Počas roka bol rozpočet </w:t>
      </w:r>
      <w:r w:rsidRPr="002A57F1">
        <w:rPr>
          <w:rFonts w:cs="Calibri"/>
          <w:sz w:val="24"/>
          <w:szCs w:val="24"/>
        </w:rPr>
        <w:t>výnos</w:t>
      </w:r>
      <w:r>
        <w:rPr>
          <w:rFonts w:cs="Calibri"/>
          <w:sz w:val="24"/>
          <w:szCs w:val="24"/>
        </w:rPr>
        <w:t>u</w:t>
      </w:r>
      <w:r w:rsidRPr="002A57F1">
        <w:rPr>
          <w:rFonts w:cs="Calibri"/>
          <w:sz w:val="24"/>
          <w:szCs w:val="24"/>
        </w:rPr>
        <w:t xml:space="preserve"> dane z príjmov fyzických osôb </w:t>
      </w:r>
      <w:r w:rsidR="00E32148" w:rsidRPr="00002354">
        <w:rPr>
          <w:rFonts w:cs="Calibri"/>
          <w:b/>
          <w:bCs/>
          <w:sz w:val="24"/>
          <w:szCs w:val="24"/>
        </w:rPr>
        <w:t>znížený</w:t>
      </w:r>
      <w:r>
        <w:rPr>
          <w:rFonts w:cs="Calibri"/>
          <w:sz w:val="24"/>
          <w:szCs w:val="24"/>
        </w:rPr>
        <w:t> </w:t>
      </w:r>
      <w:r w:rsidRPr="007C35EC">
        <w:rPr>
          <w:rFonts w:cs="Calibri"/>
          <w:sz w:val="24"/>
          <w:szCs w:val="24"/>
        </w:rPr>
        <w:t xml:space="preserve">v nadväznosti na prognózu daňových príjmov </w:t>
      </w:r>
      <w:r w:rsidR="00E32148" w:rsidRPr="00002354">
        <w:rPr>
          <w:rFonts w:cs="Calibri"/>
          <w:b/>
          <w:bCs/>
          <w:sz w:val="24"/>
          <w:szCs w:val="24"/>
        </w:rPr>
        <w:t xml:space="preserve">celkovo o 4 </w:t>
      </w:r>
      <w:proofErr w:type="spellStart"/>
      <w:r w:rsidR="00E32148" w:rsidRPr="00002354">
        <w:rPr>
          <w:rFonts w:cs="Calibri"/>
          <w:b/>
          <w:bCs/>
          <w:sz w:val="24"/>
          <w:szCs w:val="24"/>
        </w:rPr>
        <w:t>mil</w:t>
      </w:r>
      <w:proofErr w:type="spellEnd"/>
      <w:r w:rsidR="00E32148" w:rsidRPr="00002354">
        <w:rPr>
          <w:rFonts w:cs="Calibri"/>
          <w:b/>
          <w:bCs/>
          <w:sz w:val="24"/>
          <w:szCs w:val="24"/>
        </w:rPr>
        <w:t xml:space="preserve"> EUR</w:t>
      </w:r>
      <w:r w:rsidR="00C708A6">
        <w:rPr>
          <w:rFonts w:cs="Calibri"/>
          <w:b/>
          <w:bCs/>
          <w:sz w:val="24"/>
          <w:szCs w:val="24"/>
        </w:rPr>
        <w:t xml:space="preserve"> </w:t>
      </w:r>
      <w:r w:rsidR="00C708A6" w:rsidRPr="00C708A6">
        <w:rPr>
          <w:rFonts w:cs="Calibri"/>
          <w:sz w:val="24"/>
          <w:szCs w:val="24"/>
        </w:rPr>
        <w:t xml:space="preserve">(na základe prognóz MF SR </w:t>
      </w:r>
      <w:r w:rsidR="00C708A6">
        <w:rPr>
          <w:rFonts w:cs="Calibri"/>
          <w:sz w:val="24"/>
          <w:szCs w:val="24"/>
        </w:rPr>
        <w:t xml:space="preserve">v nadväznosti na pandémiu COVID-19 </w:t>
      </w:r>
      <w:r w:rsidR="00C708A6" w:rsidRPr="00C708A6">
        <w:rPr>
          <w:rFonts w:cs="Calibri"/>
          <w:sz w:val="24"/>
          <w:szCs w:val="24"/>
        </w:rPr>
        <w:t xml:space="preserve">najprv prišlo k zníženiu v máji 2020 o 8 mil. EUR, následne po aktualizovaní </w:t>
      </w:r>
      <w:proofErr w:type="spellStart"/>
      <w:r w:rsidR="00C708A6" w:rsidRPr="00C708A6">
        <w:rPr>
          <w:rFonts w:cs="Calibri"/>
          <w:sz w:val="24"/>
          <w:szCs w:val="24"/>
        </w:rPr>
        <w:t>prognoz</w:t>
      </w:r>
      <w:proofErr w:type="spellEnd"/>
      <w:r w:rsidR="00C708A6" w:rsidRPr="00C708A6">
        <w:rPr>
          <w:rFonts w:cs="Calibri"/>
          <w:sz w:val="24"/>
          <w:szCs w:val="24"/>
        </w:rPr>
        <w:t xml:space="preserve"> prišlo k redukcii tohto zníženia o 4 mil. EUR v decembri 2020)</w:t>
      </w:r>
      <w:r w:rsidRPr="00C708A6">
        <w:rPr>
          <w:rFonts w:cs="Calibri"/>
          <w:sz w:val="24"/>
          <w:szCs w:val="24"/>
        </w:rPr>
        <w:t>.</w:t>
      </w:r>
      <w:r>
        <w:rPr>
          <w:rFonts w:cs="Calibri"/>
          <w:b/>
          <w:sz w:val="24"/>
          <w:szCs w:val="24"/>
        </w:rPr>
        <w:t xml:space="preserve"> </w:t>
      </w:r>
      <w:r>
        <w:rPr>
          <w:rFonts w:cs="Calibri"/>
          <w:sz w:val="24"/>
          <w:szCs w:val="24"/>
        </w:rPr>
        <w:t>Skutočne dosiahnuté daňové príjmy v roku 20</w:t>
      </w:r>
      <w:r w:rsidR="00E32148">
        <w:rPr>
          <w:rFonts w:cs="Calibri"/>
          <w:sz w:val="24"/>
          <w:szCs w:val="24"/>
        </w:rPr>
        <w:t>20</w:t>
      </w:r>
      <w:r>
        <w:rPr>
          <w:rFonts w:cs="Calibri"/>
          <w:sz w:val="24"/>
          <w:szCs w:val="24"/>
        </w:rPr>
        <w:t xml:space="preserve"> </w:t>
      </w:r>
      <w:r w:rsidR="00DD65EC">
        <w:rPr>
          <w:rFonts w:cs="Calibri"/>
          <w:sz w:val="24"/>
          <w:szCs w:val="24"/>
        </w:rPr>
        <w:br/>
      </w:r>
      <w:r w:rsidRPr="00D6447A">
        <w:rPr>
          <w:rFonts w:cs="Calibri"/>
          <w:b/>
          <w:sz w:val="24"/>
          <w:szCs w:val="24"/>
        </w:rPr>
        <w:t>vo výške</w:t>
      </w:r>
      <w:r w:rsidR="003D6517">
        <w:rPr>
          <w:rFonts w:cs="Calibri"/>
          <w:b/>
          <w:sz w:val="24"/>
          <w:szCs w:val="24"/>
        </w:rPr>
        <w:t xml:space="preserve"> </w:t>
      </w:r>
      <w:r w:rsidR="00E32148">
        <w:rPr>
          <w:rFonts w:cs="Calibri"/>
          <w:b/>
          <w:sz w:val="24"/>
          <w:szCs w:val="24"/>
        </w:rPr>
        <w:t xml:space="preserve"> </w:t>
      </w:r>
      <w:r w:rsidR="00E32148" w:rsidRPr="00E32148">
        <w:rPr>
          <w:rFonts w:cs="Calibri"/>
          <w:b/>
          <w:bCs/>
          <w:color w:val="000000"/>
          <w:sz w:val="24"/>
          <w:szCs w:val="24"/>
        </w:rPr>
        <w:t>102 856 871,86</w:t>
      </w:r>
      <w:r w:rsidR="00E32148">
        <w:rPr>
          <w:rFonts w:cs="Calibri"/>
          <w:color w:val="000000"/>
          <w:sz w:val="18"/>
          <w:szCs w:val="18"/>
        </w:rPr>
        <w:t xml:space="preserve"> </w:t>
      </w:r>
      <w:r w:rsidR="00E32148" w:rsidRPr="00E32148">
        <w:rPr>
          <w:rFonts w:cs="Calibri"/>
          <w:b/>
          <w:bCs/>
          <w:color w:val="000000"/>
          <w:sz w:val="24"/>
          <w:szCs w:val="24"/>
        </w:rPr>
        <w:t>EUR</w:t>
      </w:r>
      <w:r w:rsidR="00E32148">
        <w:rPr>
          <w:rFonts w:cs="Calibri"/>
          <w:color w:val="000000"/>
          <w:sz w:val="18"/>
          <w:szCs w:val="18"/>
        </w:rPr>
        <w:t xml:space="preserve"> </w:t>
      </w:r>
      <w:r>
        <w:rPr>
          <w:rFonts w:cs="Calibri"/>
          <w:sz w:val="24"/>
          <w:szCs w:val="24"/>
        </w:rPr>
        <w:t xml:space="preserve">predstavujú plnenie ročného zmeneného rozpočtu </w:t>
      </w:r>
      <w:r>
        <w:rPr>
          <w:rFonts w:cs="Calibri"/>
          <w:b/>
          <w:sz w:val="24"/>
          <w:szCs w:val="24"/>
        </w:rPr>
        <w:t xml:space="preserve">na </w:t>
      </w:r>
      <w:r w:rsidR="00E32148">
        <w:rPr>
          <w:rFonts w:cs="Calibri"/>
          <w:b/>
          <w:sz w:val="24"/>
          <w:szCs w:val="24"/>
        </w:rPr>
        <w:t>102,35</w:t>
      </w:r>
      <w:r>
        <w:rPr>
          <w:rFonts w:cs="Calibri"/>
          <w:b/>
          <w:sz w:val="24"/>
          <w:szCs w:val="24"/>
        </w:rPr>
        <w:t xml:space="preserve">%. </w:t>
      </w:r>
      <w:r w:rsidRPr="00556389">
        <w:rPr>
          <w:rFonts w:cs="Calibri"/>
          <w:sz w:val="24"/>
          <w:szCs w:val="24"/>
        </w:rPr>
        <w:t>Ich podiel na celkových</w:t>
      </w:r>
      <w:r>
        <w:rPr>
          <w:rFonts w:cs="Calibri"/>
          <w:b/>
          <w:sz w:val="24"/>
          <w:szCs w:val="24"/>
        </w:rPr>
        <w:t xml:space="preserve"> </w:t>
      </w:r>
      <w:r>
        <w:rPr>
          <w:rFonts w:cs="Calibri"/>
          <w:sz w:val="24"/>
          <w:szCs w:val="24"/>
        </w:rPr>
        <w:t>príjmoch B</w:t>
      </w:r>
      <w:r w:rsidRPr="00192B7C">
        <w:rPr>
          <w:rFonts w:cs="Calibri"/>
          <w:sz w:val="24"/>
          <w:szCs w:val="24"/>
        </w:rPr>
        <w:t xml:space="preserve">SK </w:t>
      </w:r>
      <w:r w:rsidRPr="00DD65EC">
        <w:rPr>
          <w:rFonts w:cs="Calibri"/>
          <w:sz w:val="24"/>
          <w:szCs w:val="24"/>
        </w:rPr>
        <w:t xml:space="preserve">dosiahol </w:t>
      </w:r>
      <w:r w:rsidR="00DD65EC" w:rsidRPr="00DD65EC">
        <w:rPr>
          <w:rFonts w:cs="Calibri"/>
          <w:sz w:val="24"/>
          <w:szCs w:val="24"/>
        </w:rPr>
        <w:t>52,33</w:t>
      </w:r>
      <w:r w:rsidRPr="00DD65EC">
        <w:rPr>
          <w:rFonts w:cs="Calibri"/>
          <w:sz w:val="24"/>
          <w:szCs w:val="24"/>
        </w:rPr>
        <w:t>%.</w:t>
      </w:r>
      <w:r w:rsidR="00DD65EC">
        <w:rPr>
          <w:rFonts w:cs="Calibri"/>
          <w:sz w:val="24"/>
          <w:szCs w:val="24"/>
        </w:rPr>
        <w:t xml:space="preserve"> Plnenie daňových príjmov v roku 2020 je porovnateľné s plnením v roku 2019.  </w:t>
      </w:r>
    </w:p>
    <w:tbl>
      <w:tblPr>
        <w:tblW w:w="10343" w:type="dxa"/>
        <w:tblInd w:w="-15" w:type="dxa"/>
        <w:tblCellMar>
          <w:left w:w="70" w:type="dxa"/>
          <w:right w:w="70" w:type="dxa"/>
        </w:tblCellMar>
        <w:tblLook w:val="04A0" w:firstRow="1" w:lastRow="0" w:firstColumn="1" w:lastColumn="0" w:noHBand="0" w:noVBand="1"/>
      </w:tblPr>
      <w:tblGrid>
        <w:gridCol w:w="1701"/>
        <w:gridCol w:w="1418"/>
        <w:gridCol w:w="1559"/>
        <w:gridCol w:w="1418"/>
        <w:gridCol w:w="1275"/>
        <w:gridCol w:w="1276"/>
        <w:gridCol w:w="1696"/>
      </w:tblGrid>
      <w:tr w:rsidR="00DB0B89" w:rsidRPr="007C35EC" w14:paraId="289338BF" w14:textId="77777777" w:rsidTr="00DD65EC">
        <w:trPr>
          <w:trHeight w:val="474"/>
        </w:trPr>
        <w:tc>
          <w:tcPr>
            <w:tcW w:w="1701" w:type="dxa"/>
            <w:tcBorders>
              <w:top w:val="single" w:sz="12" w:space="0" w:color="FFFFFF"/>
              <w:left w:val="single" w:sz="12" w:space="0" w:color="FFFFFF"/>
              <w:bottom w:val="nil"/>
              <w:right w:val="single" w:sz="12" w:space="0" w:color="FFFFFF"/>
            </w:tcBorders>
            <w:shd w:val="clear" w:color="000000" w:fill="8DB3E2"/>
            <w:vAlign w:val="center"/>
            <w:hideMark/>
          </w:tcPr>
          <w:p w14:paraId="0307625A" w14:textId="77777777" w:rsidR="00DB0B89" w:rsidRPr="007C35EC" w:rsidRDefault="00DB0B89" w:rsidP="00DB0B89">
            <w:pPr>
              <w:spacing w:after="0" w:line="240" w:lineRule="auto"/>
              <w:rPr>
                <w:b/>
                <w:bCs/>
                <w:color w:val="000000"/>
                <w:sz w:val="18"/>
                <w:szCs w:val="18"/>
                <w:lang w:eastAsia="sk-SK"/>
              </w:rPr>
            </w:pPr>
            <w:r w:rsidRPr="007C35EC">
              <w:rPr>
                <w:rFonts w:cs="Calibri"/>
                <w:b/>
                <w:bCs/>
                <w:color w:val="000000"/>
                <w:sz w:val="18"/>
                <w:szCs w:val="18"/>
                <w:lang w:eastAsia="sk-SK"/>
              </w:rPr>
              <w:t>Daňové príjmy  BSK celkovo</w:t>
            </w:r>
          </w:p>
        </w:tc>
        <w:tc>
          <w:tcPr>
            <w:tcW w:w="1418" w:type="dxa"/>
            <w:tcBorders>
              <w:top w:val="single" w:sz="12" w:space="0" w:color="FFFFFF"/>
              <w:left w:val="nil"/>
              <w:bottom w:val="nil"/>
              <w:right w:val="single" w:sz="12" w:space="0" w:color="FFFFFF"/>
            </w:tcBorders>
            <w:shd w:val="clear" w:color="000000" w:fill="8DB3E2"/>
            <w:vAlign w:val="center"/>
            <w:hideMark/>
          </w:tcPr>
          <w:p w14:paraId="4D54C06E" w14:textId="2B433048"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31.12.201</w:t>
            </w:r>
            <w:r>
              <w:rPr>
                <w:rFonts w:cs="Calibri"/>
                <w:b/>
                <w:bCs/>
                <w:color w:val="000000"/>
                <w:sz w:val="18"/>
                <w:szCs w:val="18"/>
                <w:lang w:eastAsia="sk-SK"/>
              </w:rPr>
              <w:t>9</w:t>
            </w:r>
          </w:p>
        </w:tc>
        <w:tc>
          <w:tcPr>
            <w:tcW w:w="1559" w:type="dxa"/>
            <w:tcBorders>
              <w:top w:val="single" w:sz="12" w:space="0" w:color="FFFFFF"/>
              <w:left w:val="nil"/>
              <w:bottom w:val="nil"/>
              <w:right w:val="single" w:sz="12" w:space="0" w:color="FFFFFF"/>
            </w:tcBorders>
            <w:shd w:val="clear" w:color="000000" w:fill="8DB3E2"/>
            <w:vAlign w:val="center"/>
            <w:hideMark/>
          </w:tcPr>
          <w:p w14:paraId="47671C79" w14:textId="56CFF372"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Schválený rozpočet 20</w:t>
            </w:r>
            <w:r>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418" w:type="dxa"/>
            <w:tcBorders>
              <w:top w:val="single" w:sz="12" w:space="0" w:color="FFFFFF"/>
              <w:left w:val="nil"/>
              <w:bottom w:val="nil"/>
              <w:right w:val="single" w:sz="12" w:space="0" w:color="FFFFFF"/>
            </w:tcBorders>
            <w:shd w:val="clear" w:color="000000" w:fill="8DB3E2"/>
            <w:vAlign w:val="center"/>
            <w:hideMark/>
          </w:tcPr>
          <w:p w14:paraId="59BC16A3" w14:textId="658FD117"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Zmenený rozpočet k 31.12.20</w:t>
            </w:r>
            <w:r>
              <w:rPr>
                <w:rFonts w:cs="Calibri"/>
                <w:b/>
                <w:bCs/>
                <w:color w:val="000000"/>
                <w:sz w:val="18"/>
                <w:szCs w:val="18"/>
                <w:lang w:eastAsia="sk-SK"/>
              </w:rPr>
              <w:t>20</w:t>
            </w:r>
          </w:p>
        </w:tc>
        <w:tc>
          <w:tcPr>
            <w:tcW w:w="1275" w:type="dxa"/>
            <w:tcBorders>
              <w:top w:val="single" w:sz="12" w:space="0" w:color="FFFFFF"/>
              <w:left w:val="nil"/>
              <w:bottom w:val="nil"/>
              <w:right w:val="single" w:sz="12" w:space="0" w:color="FFFFFF"/>
            </w:tcBorders>
            <w:shd w:val="clear" w:color="000000" w:fill="8DB3E2"/>
            <w:vAlign w:val="center"/>
            <w:hideMark/>
          </w:tcPr>
          <w:p w14:paraId="1FBD4C66" w14:textId="38C77614"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w:t>
            </w:r>
            <w:r>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276" w:type="dxa"/>
            <w:tcBorders>
              <w:top w:val="single" w:sz="12" w:space="0" w:color="FFFFFF"/>
              <w:left w:val="nil"/>
              <w:bottom w:val="nil"/>
              <w:right w:val="single" w:sz="12" w:space="0" w:color="FFFFFF"/>
            </w:tcBorders>
            <w:shd w:val="clear" w:color="000000" w:fill="8DB3E2"/>
            <w:vAlign w:val="center"/>
            <w:hideMark/>
          </w:tcPr>
          <w:p w14:paraId="3C28AF16" w14:textId="2738E138"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 plnenie k zmenenému rozpočtu k 31.12.20</w:t>
            </w:r>
            <w:r>
              <w:rPr>
                <w:rFonts w:cs="Calibri"/>
                <w:b/>
                <w:bCs/>
                <w:color w:val="000000"/>
                <w:sz w:val="18"/>
                <w:szCs w:val="18"/>
                <w:lang w:eastAsia="sk-SK"/>
              </w:rPr>
              <w:t>20</w:t>
            </w:r>
          </w:p>
        </w:tc>
        <w:tc>
          <w:tcPr>
            <w:tcW w:w="1696" w:type="dxa"/>
            <w:tcBorders>
              <w:top w:val="single" w:sz="12" w:space="0" w:color="FFFFFF"/>
              <w:left w:val="nil"/>
              <w:bottom w:val="nil"/>
              <w:right w:val="single" w:sz="12" w:space="0" w:color="FFFFFF"/>
            </w:tcBorders>
            <w:shd w:val="clear" w:color="000000" w:fill="8DB3E2"/>
            <w:vAlign w:val="center"/>
            <w:hideMark/>
          </w:tcPr>
          <w:p w14:paraId="7FD1A426" w14:textId="40C53742"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Zmeny rozpočtu</w:t>
            </w:r>
          </w:p>
        </w:tc>
      </w:tr>
      <w:tr w:rsidR="00E32148" w:rsidRPr="007C35EC" w14:paraId="0EF2CAAF" w14:textId="77777777" w:rsidTr="00DD65EC">
        <w:trPr>
          <w:trHeight w:val="220"/>
        </w:trPr>
        <w:tc>
          <w:tcPr>
            <w:tcW w:w="1701" w:type="dxa"/>
            <w:tcBorders>
              <w:top w:val="single" w:sz="12" w:space="0" w:color="FFFFFF"/>
              <w:left w:val="single" w:sz="12" w:space="0" w:color="FFFFFF"/>
              <w:bottom w:val="nil"/>
              <w:right w:val="single" w:sz="12" w:space="0" w:color="FFFFFF"/>
            </w:tcBorders>
            <w:shd w:val="clear" w:color="000000" w:fill="F2F2F2"/>
            <w:vAlign w:val="center"/>
            <w:hideMark/>
          </w:tcPr>
          <w:p w14:paraId="32F4C371" w14:textId="77777777" w:rsidR="00E32148" w:rsidRPr="007C35EC" w:rsidRDefault="00E32148" w:rsidP="00E32148">
            <w:pPr>
              <w:spacing w:after="0" w:line="240" w:lineRule="auto"/>
              <w:rPr>
                <w:color w:val="000000"/>
                <w:sz w:val="18"/>
                <w:szCs w:val="18"/>
                <w:lang w:eastAsia="sk-SK"/>
              </w:rPr>
            </w:pPr>
            <w:r w:rsidRPr="007C35EC">
              <w:rPr>
                <w:rFonts w:cs="Calibri"/>
                <w:color w:val="000000"/>
                <w:sz w:val="18"/>
                <w:szCs w:val="18"/>
                <w:lang w:eastAsia="sk-SK"/>
              </w:rPr>
              <w:t xml:space="preserve">Daň z príjmov </w:t>
            </w:r>
            <w:r>
              <w:rPr>
                <w:rFonts w:cs="Calibri"/>
                <w:color w:val="000000"/>
                <w:sz w:val="18"/>
                <w:szCs w:val="18"/>
                <w:lang w:eastAsia="sk-SK"/>
              </w:rPr>
              <w:t>FO</w:t>
            </w:r>
          </w:p>
        </w:tc>
        <w:tc>
          <w:tcPr>
            <w:tcW w:w="1418" w:type="dxa"/>
            <w:tcBorders>
              <w:top w:val="single" w:sz="12" w:space="0" w:color="FFFFFF"/>
              <w:left w:val="nil"/>
              <w:bottom w:val="nil"/>
              <w:right w:val="single" w:sz="12" w:space="0" w:color="FFFFFF"/>
            </w:tcBorders>
            <w:shd w:val="clear" w:color="000000" w:fill="F2F2F2"/>
            <w:vAlign w:val="center"/>
            <w:hideMark/>
          </w:tcPr>
          <w:p w14:paraId="72FA8789" w14:textId="3E5494CB" w:rsidR="00E32148" w:rsidRDefault="00E32148" w:rsidP="00E32148">
            <w:pPr>
              <w:spacing w:line="240" w:lineRule="auto"/>
              <w:jc w:val="right"/>
              <w:rPr>
                <w:rFonts w:cs="Calibri"/>
                <w:color w:val="000000"/>
                <w:sz w:val="18"/>
                <w:szCs w:val="18"/>
              </w:rPr>
            </w:pPr>
            <w:r>
              <w:rPr>
                <w:rFonts w:cs="Calibri"/>
                <w:color w:val="000000"/>
                <w:sz w:val="18"/>
                <w:szCs w:val="18"/>
              </w:rPr>
              <w:t>102 496 546,03</w:t>
            </w:r>
          </w:p>
        </w:tc>
        <w:tc>
          <w:tcPr>
            <w:tcW w:w="1559" w:type="dxa"/>
            <w:tcBorders>
              <w:top w:val="single" w:sz="12" w:space="0" w:color="FFFFFF"/>
              <w:left w:val="nil"/>
              <w:bottom w:val="nil"/>
              <w:right w:val="single" w:sz="12" w:space="0" w:color="FFFFFF"/>
            </w:tcBorders>
            <w:shd w:val="clear" w:color="000000" w:fill="F2F2F2"/>
            <w:vAlign w:val="center"/>
          </w:tcPr>
          <w:p w14:paraId="102E8989" w14:textId="4DDD0FE1" w:rsidR="00E32148" w:rsidRDefault="00E32148" w:rsidP="00E32148">
            <w:pPr>
              <w:jc w:val="right"/>
              <w:rPr>
                <w:rFonts w:cs="Calibri"/>
                <w:color w:val="000000"/>
                <w:sz w:val="18"/>
                <w:szCs w:val="18"/>
              </w:rPr>
            </w:pPr>
            <w:r>
              <w:rPr>
                <w:rFonts w:cs="Calibri"/>
                <w:color w:val="000000"/>
                <w:sz w:val="18"/>
                <w:szCs w:val="18"/>
              </w:rPr>
              <w:t>104 500 000,00</w:t>
            </w:r>
          </w:p>
        </w:tc>
        <w:tc>
          <w:tcPr>
            <w:tcW w:w="1418" w:type="dxa"/>
            <w:tcBorders>
              <w:top w:val="single" w:sz="12" w:space="0" w:color="FFFFFF"/>
              <w:left w:val="nil"/>
              <w:bottom w:val="nil"/>
              <w:right w:val="single" w:sz="12" w:space="0" w:color="FFFFFF"/>
            </w:tcBorders>
            <w:shd w:val="clear" w:color="000000" w:fill="F2F2F2"/>
            <w:vAlign w:val="center"/>
          </w:tcPr>
          <w:p w14:paraId="645EFC7F" w14:textId="34B7064D" w:rsidR="00E32148" w:rsidRDefault="00E32148" w:rsidP="00E32148">
            <w:pPr>
              <w:jc w:val="right"/>
              <w:rPr>
                <w:rFonts w:cs="Calibri"/>
                <w:color w:val="000000"/>
                <w:sz w:val="18"/>
                <w:szCs w:val="18"/>
              </w:rPr>
            </w:pPr>
            <w:r>
              <w:rPr>
                <w:rFonts w:cs="Calibri"/>
                <w:color w:val="000000"/>
                <w:sz w:val="18"/>
                <w:szCs w:val="18"/>
              </w:rPr>
              <w:t>100 500 000,00</w:t>
            </w:r>
          </w:p>
        </w:tc>
        <w:tc>
          <w:tcPr>
            <w:tcW w:w="1275" w:type="dxa"/>
            <w:tcBorders>
              <w:top w:val="single" w:sz="12" w:space="0" w:color="FFFFFF"/>
              <w:left w:val="nil"/>
              <w:bottom w:val="nil"/>
              <w:right w:val="single" w:sz="12" w:space="0" w:color="FFFFFF"/>
            </w:tcBorders>
            <w:shd w:val="clear" w:color="000000" w:fill="F2F2F2"/>
            <w:vAlign w:val="center"/>
          </w:tcPr>
          <w:p w14:paraId="2B098907" w14:textId="6C799076" w:rsidR="00E32148" w:rsidRDefault="00E32148" w:rsidP="00E32148">
            <w:pPr>
              <w:jc w:val="right"/>
              <w:rPr>
                <w:rFonts w:cs="Calibri"/>
                <w:color w:val="000000"/>
                <w:sz w:val="18"/>
                <w:szCs w:val="18"/>
              </w:rPr>
            </w:pPr>
            <w:r>
              <w:rPr>
                <w:rFonts w:cs="Calibri"/>
                <w:color w:val="000000"/>
                <w:sz w:val="18"/>
                <w:szCs w:val="18"/>
              </w:rPr>
              <w:t>102 856 871,86</w:t>
            </w:r>
          </w:p>
        </w:tc>
        <w:tc>
          <w:tcPr>
            <w:tcW w:w="1276" w:type="dxa"/>
            <w:tcBorders>
              <w:top w:val="single" w:sz="12" w:space="0" w:color="FFFFFF"/>
              <w:left w:val="nil"/>
              <w:bottom w:val="nil"/>
              <w:right w:val="single" w:sz="12" w:space="0" w:color="FFFFFF"/>
            </w:tcBorders>
            <w:shd w:val="clear" w:color="000000" w:fill="F2F2F2"/>
            <w:vAlign w:val="center"/>
          </w:tcPr>
          <w:p w14:paraId="27DA92CF" w14:textId="52DE8A55" w:rsidR="00E32148" w:rsidRDefault="00E32148" w:rsidP="00E32148">
            <w:pPr>
              <w:jc w:val="right"/>
              <w:rPr>
                <w:rFonts w:cs="Calibri"/>
                <w:color w:val="000000"/>
                <w:sz w:val="18"/>
                <w:szCs w:val="18"/>
              </w:rPr>
            </w:pPr>
            <w:r>
              <w:rPr>
                <w:rFonts w:cs="Calibri"/>
                <w:color w:val="000000"/>
                <w:sz w:val="18"/>
                <w:szCs w:val="18"/>
              </w:rPr>
              <w:t>102,35%</w:t>
            </w:r>
          </w:p>
        </w:tc>
        <w:tc>
          <w:tcPr>
            <w:tcW w:w="1696" w:type="dxa"/>
            <w:tcBorders>
              <w:top w:val="single" w:sz="12" w:space="0" w:color="FFFFFF"/>
              <w:left w:val="nil"/>
              <w:bottom w:val="nil"/>
              <w:right w:val="single" w:sz="12" w:space="0" w:color="FFFFFF"/>
            </w:tcBorders>
            <w:shd w:val="clear" w:color="000000" w:fill="F2F2F2"/>
            <w:vAlign w:val="center"/>
          </w:tcPr>
          <w:p w14:paraId="073ECAB2" w14:textId="5B2B2727" w:rsidR="00E32148" w:rsidRDefault="00E32148" w:rsidP="00E32148">
            <w:pPr>
              <w:jc w:val="right"/>
              <w:rPr>
                <w:rFonts w:cs="Calibri"/>
                <w:b/>
                <w:bCs/>
                <w:color w:val="000000"/>
                <w:sz w:val="18"/>
                <w:szCs w:val="18"/>
              </w:rPr>
            </w:pPr>
            <w:r>
              <w:rPr>
                <w:rFonts w:cs="Calibri"/>
                <w:b/>
                <w:bCs/>
                <w:color w:val="000000"/>
                <w:sz w:val="18"/>
                <w:szCs w:val="18"/>
              </w:rPr>
              <w:t>-4 000 000,00</w:t>
            </w:r>
          </w:p>
        </w:tc>
      </w:tr>
      <w:tr w:rsidR="00DA25B3" w:rsidRPr="007C35EC" w14:paraId="6CF590F5" w14:textId="77777777" w:rsidTr="00DD65EC">
        <w:trPr>
          <w:trHeight w:val="261"/>
        </w:trPr>
        <w:tc>
          <w:tcPr>
            <w:tcW w:w="1701" w:type="dxa"/>
            <w:tcBorders>
              <w:top w:val="nil"/>
              <w:left w:val="single" w:sz="12" w:space="0" w:color="FFFFFF"/>
              <w:bottom w:val="single" w:sz="12" w:space="0" w:color="FFFFFF"/>
              <w:right w:val="single" w:sz="12" w:space="0" w:color="FFFFFF"/>
            </w:tcBorders>
            <w:shd w:val="clear" w:color="000000" w:fill="8DB3E2"/>
            <w:vAlign w:val="center"/>
            <w:hideMark/>
          </w:tcPr>
          <w:p w14:paraId="13566203" w14:textId="77777777" w:rsidR="00DA25B3" w:rsidRPr="007C35EC" w:rsidRDefault="00DA25B3" w:rsidP="00DA25B3">
            <w:pPr>
              <w:spacing w:after="0" w:line="240" w:lineRule="auto"/>
              <w:rPr>
                <w:b/>
                <w:bCs/>
                <w:color w:val="000000"/>
                <w:sz w:val="18"/>
                <w:szCs w:val="18"/>
                <w:lang w:eastAsia="sk-SK"/>
              </w:rPr>
            </w:pPr>
            <w:r w:rsidRPr="007C35EC">
              <w:rPr>
                <w:rFonts w:cs="Calibri"/>
                <w:b/>
                <w:bCs/>
                <w:color w:val="000000"/>
                <w:sz w:val="18"/>
                <w:szCs w:val="18"/>
                <w:lang w:eastAsia="sk-SK"/>
              </w:rPr>
              <w:t>Celkom</w:t>
            </w:r>
          </w:p>
        </w:tc>
        <w:tc>
          <w:tcPr>
            <w:tcW w:w="1418" w:type="dxa"/>
            <w:tcBorders>
              <w:top w:val="nil"/>
              <w:left w:val="nil"/>
              <w:bottom w:val="single" w:sz="12" w:space="0" w:color="FFFFFF"/>
              <w:right w:val="single" w:sz="12" w:space="0" w:color="FFFFFF"/>
            </w:tcBorders>
            <w:shd w:val="clear" w:color="000000" w:fill="8DB3E2"/>
            <w:vAlign w:val="center"/>
            <w:hideMark/>
          </w:tcPr>
          <w:p w14:paraId="73FAB6AC" w14:textId="43EFE4DE" w:rsidR="00DA25B3" w:rsidRPr="00EF0131" w:rsidRDefault="00DA25B3" w:rsidP="00DA25B3">
            <w:pPr>
              <w:spacing w:line="240" w:lineRule="auto"/>
              <w:jc w:val="right"/>
              <w:rPr>
                <w:b/>
                <w:bCs/>
                <w:color w:val="000000"/>
                <w:sz w:val="18"/>
                <w:szCs w:val="18"/>
                <w:lang w:eastAsia="sk-SK"/>
              </w:rPr>
            </w:pPr>
            <w:r>
              <w:rPr>
                <w:rFonts w:cs="Calibri"/>
                <w:b/>
                <w:bCs/>
                <w:color w:val="000000"/>
                <w:sz w:val="18"/>
                <w:szCs w:val="18"/>
              </w:rPr>
              <w:t>102 496 546,03</w:t>
            </w:r>
          </w:p>
        </w:tc>
        <w:tc>
          <w:tcPr>
            <w:tcW w:w="1559" w:type="dxa"/>
            <w:tcBorders>
              <w:top w:val="nil"/>
              <w:left w:val="nil"/>
              <w:bottom w:val="single" w:sz="12" w:space="0" w:color="FFFFFF"/>
              <w:right w:val="single" w:sz="12" w:space="0" w:color="FFFFFF"/>
            </w:tcBorders>
            <w:shd w:val="clear" w:color="000000" w:fill="8DB3E2"/>
            <w:vAlign w:val="center"/>
          </w:tcPr>
          <w:p w14:paraId="743EDD6A" w14:textId="652BFE40" w:rsidR="00DA25B3" w:rsidRPr="003D6517" w:rsidRDefault="00DA25B3" w:rsidP="00DA25B3">
            <w:pPr>
              <w:jc w:val="right"/>
              <w:rPr>
                <w:rFonts w:cs="Calibri"/>
                <w:b/>
                <w:bCs/>
                <w:color w:val="000000"/>
                <w:sz w:val="18"/>
                <w:szCs w:val="18"/>
              </w:rPr>
            </w:pPr>
            <w:r>
              <w:rPr>
                <w:rFonts w:cs="Calibri"/>
                <w:b/>
                <w:bCs/>
                <w:color w:val="000000"/>
                <w:sz w:val="18"/>
                <w:szCs w:val="18"/>
              </w:rPr>
              <w:t>104 500 000,00</w:t>
            </w:r>
          </w:p>
        </w:tc>
        <w:tc>
          <w:tcPr>
            <w:tcW w:w="1418" w:type="dxa"/>
            <w:tcBorders>
              <w:top w:val="nil"/>
              <w:left w:val="nil"/>
              <w:bottom w:val="single" w:sz="12" w:space="0" w:color="FFFFFF"/>
              <w:right w:val="single" w:sz="12" w:space="0" w:color="FFFFFF"/>
            </w:tcBorders>
            <w:shd w:val="clear" w:color="000000" w:fill="8DB3E2"/>
            <w:vAlign w:val="center"/>
          </w:tcPr>
          <w:p w14:paraId="2AC1324E" w14:textId="63C5C2C7" w:rsidR="00DA25B3" w:rsidRPr="003D6517" w:rsidRDefault="00DA25B3" w:rsidP="00DA25B3">
            <w:pPr>
              <w:jc w:val="right"/>
              <w:rPr>
                <w:rFonts w:cs="Calibri"/>
                <w:b/>
                <w:bCs/>
                <w:color w:val="000000"/>
                <w:sz w:val="18"/>
                <w:szCs w:val="18"/>
              </w:rPr>
            </w:pPr>
            <w:r>
              <w:rPr>
                <w:rFonts w:cs="Calibri"/>
                <w:b/>
                <w:bCs/>
                <w:color w:val="000000"/>
                <w:sz w:val="18"/>
                <w:szCs w:val="18"/>
              </w:rPr>
              <w:t>100 500 000,00</w:t>
            </w:r>
          </w:p>
        </w:tc>
        <w:tc>
          <w:tcPr>
            <w:tcW w:w="1275" w:type="dxa"/>
            <w:tcBorders>
              <w:top w:val="nil"/>
              <w:left w:val="nil"/>
              <w:bottom w:val="single" w:sz="12" w:space="0" w:color="FFFFFF"/>
              <w:right w:val="single" w:sz="12" w:space="0" w:color="FFFFFF"/>
            </w:tcBorders>
            <w:shd w:val="clear" w:color="000000" w:fill="8DB3E2"/>
            <w:vAlign w:val="center"/>
          </w:tcPr>
          <w:p w14:paraId="50B3AB7C" w14:textId="34CE2ADA" w:rsidR="00DA25B3" w:rsidRPr="003D6517" w:rsidRDefault="00DA25B3" w:rsidP="00DA25B3">
            <w:pPr>
              <w:jc w:val="right"/>
              <w:rPr>
                <w:rFonts w:cs="Calibri"/>
                <w:b/>
                <w:bCs/>
                <w:color w:val="000000"/>
                <w:sz w:val="18"/>
                <w:szCs w:val="18"/>
              </w:rPr>
            </w:pPr>
            <w:r>
              <w:rPr>
                <w:rFonts w:cs="Calibri"/>
                <w:b/>
                <w:bCs/>
                <w:color w:val="000000"/>
                <w:sz w:val="18"/>
                <w:szCs w:val="18"/>
              </w:rPr>
              <w:t>102 856 871,86</w:t>
            </w:r>
          </w:p>
        </w:tc>
        <w:tc>
          <w:tcPr>
            <w:tcW w:w="1276" w:type="dxa"/>
            <w:tcBorders>
              <w:top w:val="nil"/>
              <w:left w:val="nil"/>
              <w:bottom w:val="single" w:sz="12" w:space="0" w:color="FFFFFF"/>
              <w:right w:val="single" w:sz="12" w:space="0" w:color="FFFFFF"/>
            </w:tcBorders>
            <w:shd w:val="clear" w:color="000000" w:fill="8DB3E2"/>
            <w:vAlign w:val="center"/>
          </w:tcPr>
          <w:p w14:paraId="17C68306" w14:textId="6222B327" w:rsidR="00DA25B3" w:rsidRPr="003D6517" w:rsidRDefault="00DA25B3" w:rsidP="00DA25B3">
            <w:pPr>
              <w:jc w:val="right"/>
              <w:rPr>
                <w:rFonts w:cs="Calibri"/>
                <w:b/>
                <w:bCs/>
                <w:color w:val="000000"/>
                <w:sz w:val="18"/>
                <w:szCs w:val="18"/>
              </w:rPr>
            </w:pPr>
            <w:r>
              <w:rPr>
                <w:rFonts w:cs="Calibri"/>
                <w:b/>
                <w:bCs/>
                <w:color w:val="000000"/>
                <w:sz w:val="18"/>
                <w:szCs w:val="18"/>
              </w:rPr>
              <w:t>102,35%</w:t>
            </w:r>
          </w:p>
        </w:tc>
        <w:tc>
          <w:tcPr>
            <w:tcW w:w="1696" w:type="dxa"/>
            <w:tcBorders>
              <w:top w:val="nil"/>
              <w:left w:val="nil"/>
              <w:bottom w:val="single" w:sz="12" w:space="0" w:color="FFFFFF"/>
              <w:right w:val="single" w:sz="12" w:space="0" w:color="FFFFFF"/>
            </w:tcBorders>
            <w:shd w:val="clear" w:color="000000" w:fill="8DB3E2"/>
            <w:vAlign w:val="center"/>
          </w:tcPr>
          <w:p w14:paraId="359D41E4" w14:textId="674D4E6A" w:rsidR="00DA25B3" w:rsidRPr="003D6517" w:rsidRDefault="00DA25B3" w:rsidP="00DA25B3">
            <w:pPr>
              <w:jc w:val="right"/>
              <w:rPr>
                <w:rFonts w:cs="Calibri"/>
                <w:b/>
                <w:bCs/>
                <w:color w:val="000000"/>
                <w:sz w:val="18"/>
                <w:szCs w:val="18"/>
              </w:rPr>
            </w:pPr>
            <w:r>
              <w:rPr>
                <w:rFonts w:cs="Calibri"/>
                <w:b/>
                <w:bCs/>
                <w:color w:val="000000"/>
                <w:sz w:val="18"/>
                <w:szCs w:val="18"/>
              </w:rPr>
              <w:t>-4 000 000,00</w:t>
            </w:r>
          </w:p>
        </w:tc>
      </w:tr>
    </w:tbl>
    <w:p w14:paraId="23F3E6E9" w14:textId="77777777" w:rsidR="00614652" w:rsidRDefault="00614652" w:rsidP="00BE704E">
      <w:pPr>
        <w:spacing w:line="240" w:lineRule="auto"/>
        <w:jc w:val="both"/>
        <w:rPr>
          <w:rFonts w:cs="Calibri"/>
          <w:sz w:val="16"/>
          <w:szCs w:val="16"/>
        </w:rPr>
      </w:pPr>
    </w:p>
    <w:p w14:paraId="5EEE3C61" w14:textId="77777777" w:rsidR="00BE704E" w:rsidRPr="00077EDF" w:rsidRDefault="00BE704E" w:rsidP="00BE704E">
      <w:pPr>
        <w:pStyle w:val="tl3"/>
        <w:ind w:firstLine="0"/>
      </w:pPr>
      <w:r w:rsidRPr="00C27114">
        <w:t>B.1.2 Nedaňové príjmy</w:t>
      </w:r>
    </w:p>
    <w:p w14:paraId="748F36DE" w14:textId="1E9DB088" w:rsidR="00BE704E" w:rsidRPr="00004489" w:rsidRDefault="00BE704E" w:rsidP="00614652">
      <w:pPr>
        <w:spacing w:after="0" w:line="240" w:lineRule="auto"/>
        <w:jc w:val="both"/>
        <w:rPr>
          <w:color w:val="000000"/>
          <w:lang w:eastAsia="sk-SK"/>
        </w:rPr>
      </w:pPr>
      <w:r w:rsidRPr="0073114C">
        <w:rPr>
          <w:rFonts w:cs="Calibri"/>
          <w:sz w:val="24"/>
          <w:szCs w:val="24"/>
        </w:rPr>
        <w:t xml:space="preserve">Celková výška </w:t>
      </w:r>
      <w:r w:rsidRPr="0073114C">
        <w:rPr>
          <w:rFonts w:cs="Calibri"/>
          <w:b/>
          <w:sz w:val="24"/>
          <w:szCs w:val="24"/>
        </w:rPr>
        <w:t>nedaňových príjmov</w:t>
      </w:r>
      <w:r w:rsidRPr="001665DE">
        <w:rPr>
          <w:rFonts w:cs="Calibri"/>
          <w:sz w:val="24"/>
          <w:szCs w:val="24"/>
        </w:rPr>
        <w:t>,  ktoré dosiahol Bratislavský samosprávny kraj do 31.12.</w:t>
      </w:r>
      <w:r>
        <w:rPr>
          <w:rFonts w:cs="Calibri"/>
          <w:sz w:val="24"/>
          <w:szCs w:val="24"/>
        </w:rPr>
        <w:t>20</w:t>
      </w:r>
      <w:r w:rsidR="009651D6">
        <w:rPr>
          <w:rFonts w:cs="Calibri"/>
          <w:sz w:val="24"/>
          <w:szCs w:val="24"/>
        </w:rPr>
        <w:t>20</w:t>
      </w:r>
      <w:r w:rsidRPr="001665DE">
        <w:rPr>
          <w:rFonts w:cs="Calibri"/>
          <w:sz w:val="24"/>
          <w:szCs w:val="24"/>
        </w:rPr>
        <w:t xml:space="preserve"> predstavuje sumu </w:t>
      </w:r>
      <w:r w:rsidR="00AC7392" w:rsidRPr="00AC7392">
        <w:rPr>
          <w:rFonts w:cs="Calibri"/>
          <w:b/>
          <w:sz w:val="24"/>
          <w:szCs w:val="24"/>
        </w:rPr>
        <w:t>7 664 680,06</w:t>
      </w:r>
      <w:r w:rsidR="00AC7392">
        <w:rPr>
          <w:rFonts w:cs="Calibri"/>
          <w:b/>
          <w:sz w:val="24"/>
          <w:szCs w:val="24"/>
        </w:rPr>
        <w:t xml:space="preserve"> </w:t>
      </w:r>
      <w:r w:rsidRPr="000D0F0B">
        <w:rPr>
          <w:rFonts w:cs="Calibri"/>
          <w:b/>
          <w:sz w:val="24"/>
          <w:szCs w:val="24"/>
        </w:rPr>
        <w:t>EUR</w:t>
      </w:r>
      <w:r>
        <w:rPr>
          <w:rFonts w:cs="Calibri"/>
          <w:sz w:val="24"/>
          <w:szCs w:val="24"/>
        </w:rPr>
        <w:t xml:space="preserve">, čo predstavuje pomerné naplnenie na úrovni </w:t>
      </w:r>
      <w:r w:rsidR="00AC7392">
        <w:rPr>
          <w:rFonts w:cs="Calibri"/>
          <w:sz w:val="24"/>
          <w:szCs w:val="24"/>
        </w:rPr>
        <w:t>85,84</w:t>
      </w:r>
      <w:r w:rsidRPr="00AF1B86">
        <w:rPr>
          <w:rFonts w:cs="Calibri"/>
          <w:b/>
          <w:sz w:val="24"/>
          <w:szCs w:val="24"/>
        </w:rPr>
        <w:t>%</w:t>
      </w:r>
      <w:r w:rsidRPr="00B70990">
        <w:rPr>
          <w:rFonts w:cs="Calibri"/>
          <w:b/>
          <w:sz w:val="24"/>
          <w:szCs w:val="24"/>
        </w:rPr>
        <w:t>.</w:t>
      </w:r>
      <w:r>
        <w:rPr>
          <w:rFonts w:cs="Calibri"/>
          <w:b/>
          <w:sz w:val="24"/>
          <w:szCs w:val="24"/>
        </w:rPr>
        <w:t xml:space="preserve">  </w:t>
      </w:r>
      <w:r>
        <w:rPr>
          <w:rFonts w:cs="Calibri"/>
          <w:sz w:val="24"/>
          <w:szCs w:val="24"/>
        </w:rPr>
        <w:t xml:space="preserve">Nedaňové príjmy tvorili </w:t>
      </w:r>
      <w:r w:rsidR="00AC7392">
        <w:rPr>
          <w:rFonts w:cs="Calibri"/>
          <w:sz w:val="24"/>
          <w:szCs w:val="24"/>
        </w:rPr>
        <w:t>3,17</w:t>
      </w:r>
      <w:r w:rsidRPr="00004489">
        <w:rPr>
          <w:rFonts w:cs="Calibri"/>
          <w:sz w:val="24"/>
          <w:szCs w:val="24"/>
        </w:rPr>
        <w:t>%</w:t>
      </w:r>
      <w:r>
        <w:rPr>
          <w:rFonts w:cs="Calibri"/>
          <w:sz w:val="24"/>
          <w:szCs w:val="24"/>
        </w:rPr>
        <w:t xml:space="preserve">- </w:t>
      </w:r>
      <w:proofErr w:type="spellStart"/>
      <w:r>
        <w:rPr>
          <w:rFonts w:cs="Calibri"/>
          <w:sz w:val="24"/>
          <w:szCs w:val="24"/>
        </w:rPr>
        <w:t>ný</w:t>
      </w:r>
      <w:proofErr w:type="spellEnd"/>
      <w:r>
        <w:rPr>
          <w:rFonts w:cs="Calibri"/>
          <w:sz w:val="24"/>
          <w:szCs w:val="24"/>
        </w:rPr>
        <w:t xml:space="preserve"> podiel na príjmoch BSK bez finančných operácii a</w:t>
      </w:r>
      <w:r w:rsidR="00AC7392">
        <w:rPr>
          <w:rFonts w:cs="Calibri"/>
          <w:sz w:val="24"/>
          <w:szCs w:val="24"/>
        </w:rPr>
        <w:t> 3,90</w:t>
      </w:r>
      <w:r w:rsidRPr="00004489">
        <w:rPr>
          <w:color w:val="000000"/>
          <w:lang w:eastAsia="sk-SK"/>
        </w:rPr>
        <w:t>%</w:t>
      </w:r>
      <w:r>
        <w:rPr>
          <w:rFonts w:cs="Calibri"/>
          <w:sz w:val="24"/>
          <w:szCs w:val="24"/>
        </w:rPr>
        <w:t>-</w:t>
      </w:r>
      <w:proofErr w:type="spellStart"/>
      <w:r>
        <w:rPr>
          <w:rFonts w:cs="Calibri"/>
          <w:sz w:val="24"/>
          <w:szCs w:val="24"/>
        </w:rPr>
        <w:t>ný</w:t>
      </w:r>
      <w:proofErr w:type="spellEnd"/>
      <w:r>
        <w:rPr>
          <w:rFonts w:cs="Calibri"/>
          <w:sz w:val="24"/>
          <w:szCs w:val="24"/>
        </w:rPr>
        <w:t xml:space="preserve"> podiel na celkových príjmoch.</w:t>
      </w:r>
      <w:r w:rsidR="00AC7392">
        <w:rPr>
          <w:rFonts w:cs="Calibri"/>
          <w:sz w:val="24"/>
          <w:szCs w:val="24"/>
        </w:rPr>
        <w:t xml:space="preserve"> Oproti predchádzajúcemu roku sa znížili cca o 1,6 </w:t>
      </w:r>
      <w:proofErr w:type="spellStart"/>
      <w:r w:rsidR="00AC7392">
        <w:rPr>
          <w:rFonts w:cs="Calibri"/>
          <w:sz w:val="24"/>
          <w:szCs w:val="24"/>
        </w:rPr>
        <w:t>mil</w:t>
      </w:r>
      <w:proofErr w:type="spellEnd"/>
      <w:r w:rsidR="00AC7392">
        <w:rPr>
          <w:rFonts w:cs="Calibri"/>
          <w:sz w:val="24"/>
          <w:szCs w:val="24"/>
        </w:rPr>
        <w:t xml:space="preserve"> EUR</w:t>
      </w:r>
      <w:r w:rsidR="00C708A6">
        <w:rPr>
          <w:rFonts w:cs="Calibri"/>
          <w:sz w:val="24"/>
          <w:szCs w:val="24"/>
        </w:rPr>
        <w:t xml:space="preserve"> (predovšetkým z dôvodu pandémie COVID-19)</w:t>
      </w:r>
      <w:r w:rsidR="00AC7392">
        <w:rPr>
          <w:rFonts w:cs="Calibri"/>
          <w:sz w:val="24"/>
          <w:szCs w:val="24"/>
        </w:rPr>
        <w:t>, čo predstavuje 17,5% pokles.</w:t>
      </w:r>
    </w:p>
    <w:tbl>
      <w:tblPr>
        <w:tblpPr w:leftFromText="141" w:rightFromText="141" w:vertAnchor="text" w:tblpY="1"/>
        <w:tblOverlap w:val="never"/>
        <w:tblW w:w="10359" w:type="dxa"/>
        <w:tblCellMar>
          <w:left w:w="70" w:type="dxa"/>
          <w:right w:w="70" w:type="dxa"/>
        </w:tblCellMar>
        <w:tblLook w:val="04A0" w:firstRow="1" w:lastRow="0" w:firstColumn="1" w:lastColumn="0" w:noHBand="0" w:noVBand="1"/>
      </w:tblPr>
      <w:tblGrid>
        <w:gridCol w:w="2676"/>
        <w:gridCol w:w="1282"/>
        <w:gridCol w:w="1281"/>
        <w:gridCol w:w="1424"/>
        <w:gridCol w:w="1282"/>
        <w:gridCol w:w="1205"/>
        <w:gridCol w:w="1171"/>
        <w:gridCol w:w="38"/>
      </w:tblGrid>
      <w:tr w:rsidR="00DB0B89" w:rsidRPr="00557EEC" w14:paraId="7A89069E" w14:textId="77777777" w:rsidTr="009A7729">
        <w:trPr>
          <w:trHeight w:val="269"/>
        </w:trPr>
        <w:tc>
          <w:tcPr>
            <w:tcW w:w="2676"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0894C5B" w14:textId="77777777" w:rsidR="00DB0B89" w:rsidRPr="00614652" w:rsidRDefault="00DB0B89" w:rsidP="00DB0B89">
            <w:pPr>
              <w:spacing w:after="0" w:line="240" w:lineRule="auto"/>
              <w:jc w:val="center"/>
              <w:rPr>
                <w:rFonts w:cs="Calibri"/>
                <w:b/>
                <w:bCs/>
                <w:sz w:val="18"/>
                <w:szCs w:val="18"/>
                <w:lang w:eastAsia="sk-SK"/>
              </w:rPr>
            </w:pPr>
            <w:r w:rsidRPr="00614652">
              <w:rPr>
                <w:rFonts w:cs="Calibri"/>
                <w:b/>
                <w:bCs/>
                <w:sz w:val="18"/>
                <w:szCs w:val="18"/>
                <w:lang w:eastAsia="sk-SK"/>
              </w:rPr>
              <w:t>Nedaňové príjmy BSK celkovo</w:t>
            </w:r>
          </w:p>
        </w:tc>
        <w:tc>
          <w:tcPr>
            <w:tcW w:w="1282"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E431BD3" w14:textId="70D6C0C9"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31.12.201</w:t>
            </w:r>
            <w:r>
              <w:rPr>
                <w:rFonts w:cs="Calibri"/>
                <w:b/>
                <w:bCs/>
                <w:color w:val="000000"/>
                <w:sz w:val="18"/>
                <w:szCs w:val="18"/>
                <w:lang w:eastAsia="sk-SK"/>
              </w:rPr>
              <w:t>9</w:t>
            </w:r>
          </w:p>
        </w:tc>
        <w:tc>
          <w:tcPr>
            <w:tcW w:w="1281"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3F8F1C2F" w14:textId="44CD5E6B"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Schválený rozpočet 20</w:t>
            </w:r>
            <w:r>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424"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70390931" w14:textId="05A2EB1A"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Zmenený rozpočet k 31.12.20</w:t>
            </w:r>
            <w:r>
              <w:rPr>
                <w:rFonts w:cs="Calibri"/>
                <w:b/>
                <w:bCs/>
                <w:color w:val="000000"/>
                <w:sz w:val="18"/>
                <w:szCs w:val="18"/>
                <w:lang w:eastAsia="sk-SK"/>
              </w:rPr>
              <w:t>20</w:t>
            </w:r>
          </w:p>
        </w:tc>
        <w:tc>
          <w:tcPr>
            <w:tcW w:w="1282"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5722A000" w14:textId="6F0BB798"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w:t>
            </w:r>
            <w:r>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205"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660FBEF" w14:textId="25A37E9B" w:rsidR="00DB0B89" w:rsidRPr="000E7C7A" w:rsidRDefault="00DB0B89" w:rsidP="00DB0B89">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 plnenie k zmenenému rozpočtu k 31.12.20</w:t>
            </w:r>
            <w:r>
              <w:rPr>
                <w:rFonts w:cs="Calibri"/>
                <w:b/>
                <w:bCs/>
                <w:color w:val="000000"/>
                <w:sz w:val="18"/>
                <w:szCs w:val="18"/>
                <w:lang w:eastAsia="sk-SK"/>
              </w:rPr>
              <w:t>20</w:t>
            </w:r>
          </w:p>
        </w:tc>
        <w:tc>
          <w:tcPr>
            <w:tcW w:w="1209" w:type="dxa"/>
            <w:gridSpan w:val="2"/>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31ADFB28" w14:textId="77777777" w:rsidR="00DB0B89" w:rsidRPr="00557EEC" w:rsidRDefault="00DB0B89" w:rsidP="00DB0B89">
            <w:pPr>
              <w:spacing w:after="0" w:line="240" w:lineRule="auto"/>
              <w:jc w:val="center"/>
              <w:rPr>
                <w:rFonts w:cs="Calibri"/>
                <w:b/>
                <w:bCs/>
                <w:sz w:val="18"/>
                <w:szCs w:val="18"/>
                <w:lang w:eastAsia="sk-SK"/>
              </w:rPr>
            </w:pPr>
            <w:r w:rsidRPr="00557EEC">
              <w:rPr>
                <w:rFonts w:cs="Calibri"/>
                <w:b/>
                <w:bCs/>
                <w:sz w:val="18"/>
                <w:szCs w:val="18"/>
                <w:lang w:eastAsia="sk-SK"/>
              </w:rPr>
              <w:t>Zmeny rozpočtu</w:t>
            </w:r>
          </w:p>
        </w:tc>
      </w:tr>
      <w:tr w:rsidR="00BE704E" w:rsidRPr="00557EEC" w14:paraId="023CD81A" w14:textId="77777777" w:rsidTr="009A7729">
        <w:trPr>
          <w:trHeight w:val="269"/>
        </w:trPr>
        <w:tc>
          <w:tcPr>
            <w:tcW w:w="2676" w:type="dxa"/>
            <w:vMerge/>
            <w:tcBorders>
              <w:top w:val="single" w:sz="12" w:space="0" w:color="FFFFFF"/>
              <w:left w:val="single" w:sz="12" w:space="0" w:color="FFFFFF"/>
              <w:bottom w:val="single" w:sz="12" w:space="0" w:color="FFFFFF"/>
              <w:right w:val="single" w:sz="12" w:space="0" w:color="FFFFFF"/>
            </w:tcBorders>
            <w:vAlign w:val="center"/>
            <w:hideMark/>
          </w:tcPr>
          <w:p w14:paraId="75CFDA79" w14:textId="77777777" w:rsidR="00BE704E" w:rsidRPr="00614652" w:rsidRDefault="00BE704E" w:rsidP="00B23D26">
            <w:pPr>
              <w:spacing w:after="0" w:line="240" w:lineRule="auto"/>
              <w:rPr>
                <w:rFonts w:cs="Calibri"/>
                <w:bCs/>
                <w:sz w:val="18"/>
                <w:szCs w:val="18"/>
                <w:lang w:eastAsia="sk-SK"/>
              </w:rPr>
            </w:pPr>
          </w:p>
        </w:tc>
        <w:tc>
          <w:tcPr>
            <w:tcW w:w="1282" w:type="dxa"/>
            <w:vMerge/>
            <w:tcBorders>
              <w:top w:val="single" w:sz="12" w:space="0" w:color="FFFFFF"/>
              <w:left w:val="single" w:sz="12" w:space="0" w:color="FFFFFF"/>
              <w:bottom w:val="single" w:sz="12" w:space="0" w:color="FFFFFF"/>
              <w:right w:val="single" w:sz="12" w:space="0" w:color="FFFFFF"/>
            </w:tcBorders>
            <w:vAlign w:val="center"/>
            <w:hideMark/>
          </w:tcPr>
          <w:p w14:paraId="41FD568F" w14:textId="77777777" w:rsidR="00BE704E" w:rsidRPr="00557EEC" w:rsidRDefault="00BE704E" w:rsidP="00B23D26">
            <w:pPr>
              <w:spacing w:after="0" w:line="240" w:lineRule="auto"/>
              <w:rPr>
                <w:rFonts w:cs="Calibri"/>
                <w:b/>
                <w:bCs/>
                <w:sz w:val="18"/>
                <w:szCs w:val="18"/>
                <w:lang w:eastAsia="sk-SK"/>
              </w:rPr>
            </w:pPr>
          </w:p>
        </w:tc>
        <w:tc>
          <w:tcPr>
            <w:tcW w:w="1281" w:type="dxa"/>
            <w:vMerge/>
            <w:tcBorders>
              <w:top w:val="single" w:sz="12" w:space="0" w:color="FFFFFF"/>
              <w:left w:val="single" w:sz="12" w:space="0" w:color="FFFFFF"/>
              <w:bottom w:val="single" w:sz="12" w:space="0" w:color="FFFFFF"/>
              <w:right w:val="single" w:sz="12" w:space="0" w:color="FFFFFF"/>
            </w:tcBorders>
            <w:vAlign w:val="center"/>
            <w:hideMark/>
          </w:tcPr>
          <w:p w14:paraId="2EEE7681" w14:textId="77777777" w:rsidR="00BE704E" w:rsidRPr="00557EEC" w:rsidRDefault="00BE704E" w:rsidP="00B23D26">
            <w:pPr>
              <w:spacing w:after="0" w:line="240" w:lineRule="auto"/>
              <w:rPr>
                <w:rFonts w:cs="Calibri"/>
                <w:b/>
                <w:bCs/>
                <w:sz w:val="18"/>
                <w:szCs w:val="18"/>
                <w:lang w:eastAsia="sk-SK"/>
              </w:rPr>
            </w:pPr>
          </w:p>
        </w:tc>
        <w:tc>
          <w:tcPr>
            <w:tcW w:w="1424" w:type="dxa"/>
            <w:vMerge/>
            <w:tcBorders>
              <w:top w:val="single" w:sz="12" w:space="0" w:color="FFFFFF"/>
              <w:left w:val="single" w:sz="12" w:space="0" w:color="FFFFFF"/>
              <w:bottom w:val="single" w:sz="12" w:space="0" w:color="FFFFFF"/>
              <w:right w:val="single" w:sz="12" w:space="0" w:color="FFFFFF"/>
            </w:tcBorders>
            <w:vAlign w:val="center"/>
            <w:hideMark/>
          </w:tcPr>
          <w:p w14:paraId="0D450271" w14:textId="77777777" w:rsidR="00BE704E" w:rsidRPr="00557EEC" w:rsidRDefault="00BE704E" w:rsidP="00B23D26">
            <w:pPr>
              <w:spacing w:after="0" w:line="240" w:lineRule="auto"/>
              <w:rPr>
                <w:rFonts w:cs="Calibri"/>
                <w:b/>
                <w:bCs/>
                <w:sz w:val="18"/>
                <w:szCs w:val="18"/>
                <w:lang w:eastAsia="sk-SK"/>
              </w:rPr>
            </w:pPr>
          </w:p>
        </w:tc>
        <w:tc>
          <w:tcPr>
            <w:tcW w:w="1282" w:type="dxa"/>
            <w:vMerge/>
            <w:tcBorders>
              <w:top w:val="single" w:sz="12" w:space="0" w:color="FFFFFF"/>
              <w:left w:val="single" w:sz="12" w:space="0" w:color="FFFFFF"/>
              <w:bottom w:val="single" w:sz="12" w:space="0" w:color="FFFFFF"/>
              <w:right w:val="single" w:sz="12" w:space="0" w:color="FFFFFF"/>
            </w:tcBorders>
            <w:vAlign w:val="center"/>
            <w:hideMark/>
          </w:tcPr>
          <w:p w14:paraId="2B7B58C8" w14:textId="77777777" w:rsidR="00BE704E" w:rsidRPr="00557EEC" w:rsidRDefault="00BE704E" w:rsidP="00B23D26">
            <w:pPr>
              <w:spacing w:after="0" w:line="240" w:lineRule="auto"/>
              <w:rPr>
                <w:rFonts w:cs="Calibri"/>
                <w:b/>
                <w:bCs/>
                <w:sz w:val="18"/>
                <w:szCs w:val="18"/>
                <w:lang w:eastAsia="sk-SK"/>
              </w:rPr>
            </w:pPr>
          </w:p>
        </w:tc>
        <w:tc>
          <w:tcPr>
            <w:tcW w:w="1205" w:type="dxa"/>
            <w:vMerge/>
            <w:tcBorders>
              <w:top w:val="single" w:sz="12" w:space="0" w:color="FFFFFF"/>
              <w:left w:val="single" w:sz="12" w:space="0" w:color="FFFFFF"/>
              <w:bottom w:val="single" w:sz="12" w:space="0" w:color="FFFFFF"/>
              <w:right w:val="single" w:sz="12" w:space="0" w:color="FFFFFF"/>
            </w:tcBorders>
            <w:vAlign w:val="center"/>
            <w:hideMark/>
          </w:tcPr>
          <w:p w14:paraId="3609BF2F" w14:textId="77777777" w:rsidR="00BE704E" w:rsidRPr="00557EEC" w:rsidRDefault="00BE704E" w:rsidP="00B23D26">
            <w:pPr>
              <w:spacing w:after="0" w:line="240" w:lineRule="auto"/>
              <w:rPr>
                <w:rFonts w:cs="Calibri"/>
                <w:b/>
                <w:bCs/>
                <w:sz w:val="18"/>
                <w:szCs w:val="18"/>
                <w:lang w:eastAsia="sk-SK"/>
              </w:rPr>
            </w:pPr>
          </w:p>
        </w:tc>
        <w:tc>
          <w:tcPr>
            <w:tcW w:w="1209" w:type="dxa"/>
            <w:gridSpan w:val="2"/>
            <w:vMerge/>
            <w:tcBorders>
              <w:top w:val="single" w:sz="12" w:space="0" w:color="FFFFFF"/>
              <w:left w:val="single" w:sz="12" w:space="0" w:color="FFFFFF"/>
              <w:bottom w:val="single" w:sz="12" w:space="0" w:color="FFFFFF"/>
              <w:right w:val="single" w:sz="12" w:space="0" w:color="FFFFFF"/>
            </w:tcBorders>
            <w:vAlign w:val="center"/>
            <w:hideMark/>
          </w:tcPr>
          <w:p w14:paraId="2EF82F57" w14:textId="77777777" w:rsidR="00BE704E" w:rsidRPr="00557EEC" w:rsidRDefault="00BE704E" w:rsidP="00B23D26">
            <w:pPr>
              <w:spacing w:after="0" w:line="240" w:lineRule="auto"/>
              <w:rPr>
                <w:rFonts w:cs="Calibri"/>
                <w:b/>
                <w:bCs/>
                <w:sz w:val="18"/>
                <w:szCs w:val="18"/>
                <w:lang w:eastAsia="sk-SK"/>
              </w:rPr>
            </w:pPr>
          </w:p>
        </w:tc>
      </w:tr>
      <w:tr w:rsidR="00BE704E" w:rsidRPr="00557EEC" w14:paraId="5204E52F" w14:textId="77777777" w:rsidTr="009A7729">
        <w:trPr>
          <w:trHeight w:val="269"/>
        </w:trPr>
        <w:tc>
          <w:tcPr>
            <w:tcW w:w="2676" w:type="dxa"/>
            <w:vMerge/>
            <w:tcBorders>
              <w:top w:val="single" w:sz="12" w:space="0" w:color="FFFFFF"/>
              <w:left w:val="single" w:sz="12" w:space="0" w:color="FFFFFF"/>
              <w:bottom w:val="single" w:sz="12" w:space="0" w:color="FFFFFF"/>
              <w:right w:val="single" w:sz="12" w:space="0" w:color="FFFFFF"/>
            </w:tcBorders>
            <w:vAlign w:val="center"/>
            <w:hideMark/>
          </w:tcPr>
          <w:p w14:paraId="733B1976" w14:textId="77777777" w:rsidR="00BE704E" w:rsidRPr="00614652" w:rsidRDefault="00BE704E" w:rsidP="00B23D26">
            <w:pPr>
              <w:spacing w:after="0" w:line="240" w:lineRule="auto"/>
              <w:rPr>
                <w:rFonts w:cs="Calibri"/>
                <w:bCs/>
                <w:sz w:val="18"/>
                <w:szCs w:val="18"/>
                <w:lang w:eastAsia="sk-SK"/>
              </w:rPr>
            </w:pPr>
          </w:p>
        </w:tc>
        <w:tc>
          <w:tcPr>
            <w:tcW w:w="1282" w:type="dxa"/>
            <w:vMerge/>
            <w:tcBorders>
              <w:top w:val="single" w:sz="12" w:space="0" w:color="FFFFFF"/>
              <w:left w:val="single" w:sz="12" w:space="0" w:color="FFFFFF"/>
              <w:bottom w:val="single" w:sz="12" w:space="0" w:color="FFFFFF"/>
              <w:right w:val="single" w:sz="12" w:space="0" w:color="FFFFFF"/>
            </w:tcBorders>
            <w:vAlign w:val="center"/>
            <w:hideMark/>
          </w:tcPr>
          <w:p w14:paraId="3D4CB0AA" w14:textId="77777777" w:rsidR="00BE704E" w:rsidRPr="00557EEC" w:rsidRDefault="00BE704E" w:rsidP="00B23D26">
            <w:pPr>
              <w:spacing w:after="0" w:line="240" w:lineRule="auto"/>
              <w:rPr>
                <w:rFonts w:cs="Calibri"/>
                <w:b/>
                <w:bCs/>
                <w:sz w:val="18"/>
                <w:szCs w:val="18"/>
                <w:lang w:eastAsia="sk-SK"/>
              </w:rPr>
            </w:pPr>
          </w:p>
        </w:tc>
        <w:tc>
          <w:tcPr>
            <w:tcW w:w="1281" w:type="dxa"/>
            <w:vMerge/>
            <w:tcBorders>
              <w:top w:val="single" w:sz="12" w:space="0" w:color="FFFFFF"/>
              <w:left w:val="single" w:sz="12" w:space="0" w:color="FFFFFF"/>
              <w:bottom w:val="single" w:sz="12" w:space="0" w:color="FFFFFF"/>
              <w:right w:val="single" w:sz="12" w:space="0" w:color="FFFFFF"/>
            </w:tcBorders>
            <w:vAlign w:val="center"/>
            <w:hideMark/>
          </w:tcPr>
          <w:p w14:paraId="422250C9" w14:textId="77777777" w:rsidR="00BE704E" w:rsidRPr="00557EEC" w:rsidRDefault="00BE704E" w:rsidP="00B23D26">
            <w:pPr>
              <w:spacing w:after="0" w:line="240" w:lineRule="auto"/>
              <w:rPr>
                <w:rFonts w:cs="Calibri"/>
                <w:b/>
                <w:bCs/>
                <w:sz w:val="18"/>
                <w:szCs w:val="18"/>
                <w:lang w:eastAsia="sk-SK"/>
              </w:rPr>
            </w:pPr>
          </w:p>
        </w:tc>
        <w:tc>
          <w:tcPr>
            <w:tcW w:w="1424" w:type="dxa"/>
            <w:vMerge/>
            <w:tcBorders>
              <w:top w:val="single" w:sz="12" w:space="0" w:color="FFFFFF"/>
              <w:left w:val="single" w:sz="12" w:space="0" w:color="FFFFFF"/>
              <w:bottom w:val="single" w:sz="12" w:space="0" w:color="FFFFFF"/>
              <w:right w:val="single" w:sz="12" w:space="0" w:color="FFFFFF"/>
            </w:tcBorders>
            <w:vAlign w:val="center"/>
            <w:hideMark/>
          </w:tcPr>
          <w:p w14:paraId="3981FF7E" w14:textId="77777777" w:rsidR="00BE704E" w:rsidRPr="00557EEC" w:rsidRDefault="00BE704E" w:rsidP="00B23D26">
            <w:pPr>
              <w:spacing w:after="0" w:line="240" w:lineRule="auto"/>
              <w:rPr>
                <w:rFonts w:cs="Calibri"/>
                <w:b/>
                <w:bCs/>
                <w:sz w:val="18"/>
                <w:szCs w:val="18"/>
                <w:lang w:eastAsia="sk-SK"/>
              </w:rPr>
            </w:pPr>
          </w:p>
        </w:tc>
        <w:tc>
          <w:tcPr>
            <w:tcW w:w="1282" w:type="dxa"/>
            <w:vMerge/>
            <w:tcBorders>
              <w:top w:val="single" w:sz="12" w:space="0" w:color="FFFFFF"/>
              <w:left w:val="single" w:sz="12" w:space="0" w:color="FFFFFF"/>
              <w:bottom w:val="single" w:sz="12" w:space="0" w:color="FFFFFF"/>
              <w:right w:val="single" w:sz="12" w:space="0" w:color="FFFFFF"/>
            </w:tcBorders>
            <w:vAlign w:val="center"/>
            <w:hideMark/>
          </w:tcPr>
          <w:p w14:paraId="4B3361C2" w14:textId="77777777" w:rsidR="00BE704E" w:rsidRPr="00557EEC" w:rsidRDefault="00BE704E" w:rsidP="00B23D26">
            <w:pPr>
              <w:spacing w:after="0" w:line="240" w:lineRule="auto"/>
              <w:rPr>
                <w:rFonts w:cs="Calibri"/>
                <w:b/>
                <w:bCs/>
                <w:sz w:val="18"/>
                <w:szCs w:val="18"/>
                <w:lang w:eastAsia="sk-SK"/>
              </w:rPr>
            </w:pPr>
          </w:p>
        </w:tc>
        <w:tc>
          <w:tcPr>
            <w:tcW w:w="1205" w:type="dxa"/>
            <w:vMerge/>
            <w:tcBorders>
              <w:top w:val="single" w:sz="12" w:space="0" w:color="FFFFFF"/>
              <w:left w:val="single" w:sz="12" w:space="0" w:color="FFFFFF"/>
              <w:bottom w:val="single" w:sz="12" w:space="0" w:color="FFFFFF"/>
              <w:right w:val="single" w:sz="12" w:space="0" w:color="FFFFFF"/>
            </w:tcBorders>
            <w:vAlign w:val="center"/>
            <w:hideMark/>
          </w:tcPr>
          <w:p w14:paraId="0D3A3947" w14:textId="77777777" w:rsidR="00BE704E" w:rsidRPr="00557EEC" w:rsidRDefault="00BE704E" w:rsidP="00B23D26">
            <w:pPr>
              <w:spacing w:after="0" w:line="240" w:lineRule="auto"/>
              <w:rPr>
                <w:rFonts w:cs="Calibri"/>
                <w:b/>
                <w:bCs/>
                <w:sz w:val="18"/>
                <w:szCs w:val="18"/>
                <w:lang w:eastAsia="sk-SK"/>
              </w:rPr>
            </w:pPr>
          </w:p>
        </w:tc>
        <w:tc>
          <w:tcPr>
            <w:tcW w:w="1209" w:type="dxa"/>
            <w:gridSpan w:val="2"/>
            <w:vMerge/>
            <w:tcBorders>
              <w:top w:val="single" w:sz="12" w:space="0" w:color="FFFFFF"/>
              <w:left w:val="single" w:sz="12" w:space="0" w:color="FFFFFF"/>
              <w:bottom w:val="single" w:sz="12" w:space="0" w:color="FFFFFF"/>
              <w:right w:val="single" w:sz="12" w:space="0" w:color="FFFFFF"/>
            </w:tcBorders>
            <w:vAlign w:val="center"/>
            <w:hideMark/>
          </w:tcPr>
          <w:p w14:paraId="0DB41E8E" w14:textId="77777777" w:rsidR="00BE704E" w:rsidRPr="00557EEC" w:rsidRDefault="00BE704E" w:rsidP="00B23D26">
            <w:pPr>
              <w:spacing w:after="0" w:line="240" w:lineRule="auto"/>
              <w:rPr>
                <w:rFonts w:cs="Calibri"/>
                <w:b/>
                <w:bCs/>
                <w:sz w:val="18"/>
                <w:szCs w:val="18"/>
                <w:lang w:eastAsia="sk-SK"/>
              </w:rPr>
            </w:pPr>
          </w:p>
        </w:tc>
      </w:tr>
      <w:tr w:rsidR="00BE704E" w:rsidRPr="00557EEC" w14:paraId="0B872E5F" w14:textId="77777777" w:rsidTr="009A7729">
        <w:trPr>
          <w:trHeight w:val="269"/>
        </w:trPr>
        <w:tc>
          <w:tcPr>
            <w:tcW w:w="2676" w:type="dxa"/>
            <w:vMerge/>
            <w:tcBorders>
              <w:top w:val="single" w:sz="12" w:space="0" w:color="FFFFFF"/>
              <w:left w:val="single" w:sz="12" w:space="0" w:color="FFFFFF"/>
              <w:bottom w:val="single" w:sz="12" w:space="0" w:color="FFFFFF"/>
              <w:right w:val="single" w:sz="12" w:space="0" w:color="FFFFFF"/>
            </w:tcBorders>
            <w:vAlign w:val="center"/>
            <w:hideMark/>
          </w:tcPr>
          <w:p w14:paraId="20D90D60" w14:textId="77777777" w:rsidR="00BE704E" w:rsidRPr="00614652" w:rsidRDefault="00BE704E" w:rsidP="00B23D26">
            <w:pPr>
              <w:spacing w:after="0" w:line="240" w:lineRule="auto"/>
              <w:rPr>
                <w:rFonts w:cs="Calibri"/>
                <w:bCs/>
                <w:sz w:val="18"/>
                <w:szCs w:val="18"/>
                <w:lang w:eastAsia="sk-SK"/>
              </w:rPr>
            </w:pPr>
          </w:p>
        </w:tc>
        <w:tc>
          <w:tcPr>
            <w:tcW w:w="1282" w:type="dxa"/>
            <w:vMerge/>
            <w:tcBorders>
              <w:top w:val="single" w:sz="12" w:space="0" w:color="FFFFFF"/>
              <w:left w:val="single" w:sz="12" w:space="0" w:color="FFFFFF"/>
              <w:bottom w:val="single" w:sz="12" w:space="0" w:color="FFFFFF"/>
              <w:right w:val="single" w:sz="12" w:space="0" w:color="FFFFFF"/>
            </w:tcBorders>
            <w:vAlign w:val="center"/>
            <w:hideMark/>
          </w:tcPr>
          <w:p w14:paraId="41E2D26C" w14:textId="77777777" w:rsidR="00BE704E" w:rsidRPr="00557EEC" w:rsidRDefault="00BE704E" w:rsidP="00B23D26">
            <w:pPr>
              <w:spacing w:after="0" w:line="240" w:lineRule="auto"/>
              <w:rPr>
                <w:rFonts w:cs="Calibri"/>
                <w:b/>
                <w:bCs/>
                <w:sz w:val="18"/>
                <w:szCs w:val="18"/>
                <w:lang w:eastAsia="sk-SK"/>
              </w:rPr>
            </w:pPr>
          </w:p>
        </w:tc>
        <w:tc>
          <w:tcPr>
            <w:tcW w:w="1281" w:type="dxa"/>
            <w:vMerge/>
            <w:tcBorders>
              <w:top w:val="single" w:sz="12" w:space="0" w:color="FFFFFF"/>
              <w:left w:val="single" w:sz="12" w:space="0" w:color="FFFFFF"/>
              <w:bottom w:val="single" w:sz="12" w:space="0" w:color="FFFFFF"/>
              <w:right w:val="single" w:sz="12" w:space="0" w:color="FFFFFF"/>
            </w:tcBorders>
            <w:vAlign w:val="center"/>
            <w:hideMark/>
          </w:tcPr>
          <w:p w14:paraId="35AF5C11" w14:textId="77777777" w:rsidR="00BE704E" w:rsidRPr="00557EEC" w:rsidRDefault="00BE704E" w:rsidP="00B23D26">
            <w:pPr>
              <w:spacing w:after="0" w:line="240" w:lineRule="auto"/>
              <w:rPr>
                <w:rFonts w:cs="Calibri"/>
                <w:b/>
                <w:bCs/>
                <w:sz w:val="18"/>
                <w:szCs w:val="18"/>
                <w:lang w:eastAsia="sk-SK"/>
              </w:rPr>
            </w:pPr>
          </w:p>
        </w:tc>
        <w:tc>
          <w:tcPr>
            <w:tcW w:w="1424" w:type="dxa"/>
            <w:vMerge/>
            <w:tcBorders>
              <w:top w:val="single" w:sz="12" w:space="0" w:color="FFFFFF"/>
              <w:left w:val="single" w:sz="12" w:space="0" w:color="FFFFFF"/>
              <w:bottom w:val="single" w:sz="12" w:space="0" w:color="FFFFFF"/>
              <w:right w:val="single" w:sz="12" w:space="0" w:color="FFFFFF"/>
            </w:tcBorders>
            <w:vAlign w:val="center"/>
            <w:hideMark/>
          </w:tcPr>
          <w:p w14:paraId="236BC20F" w14:textId="77777777" w:rsidR="00BE704E" w:rsidRPr="00557EEC" w:rsidRDefault="00BE704E" w:rsidP="00B23D26">
            <w:pPr>
              <w:spacing w:after="0" w:line="240" w:lineRule="auto"/>
              <w:rPr>
                <w:rFonts w:cs="Calibri"/>
                <w:b/>
                <w:bCs/>
                <w:sz w:val="18"/>
                <w:szCs w:val="18"/>
                <w:lang w:eastAsia="sk-SK"/>
              </w:rPr>
            </w:pPr>
          </w:p>
        </w:tc>
        <w:tc>
          <w:tcPr>
            <w:tcW w:w="1282" w:type="dxa"/>
            <w:vMerge/>
            <w:tcBorders>
              <w:top w:val="single" w:sz="12" w:space="0" w:color="FFFFFF"/>
              <w:left w:val="single" w:sz="12" w:space="0" w:color="FFFFFF"/>
              <w:bottom w:val="single" w:sz="12" w:space="0" w:color="FFFFFF"/>
              <w:right w:val="single" w:sz="12" w:space="0" w:color="FFFFFF"/>
            </w:tcBorders>
            <w:vAlign w:val="center"/>
            <w:hideMark/>
          </w:tcPr>
          <w:p w14:paraId="780070AB" w14:textId="77777777" w:rsidR="00BE704E" w:rsidRPr="00557EEC" w:rsidRDefault="00BE704E" w:rsidP="00B23D26">
            <w:pPr>
              <w:spacing w:after="0" w:line="240" w:lineRule="auto"/>
              <w:rPr>
                <w:rFonts w:cs="Calibri"/>
                <w:b/>
                <w:bCs/>
                <w:sz w:val="18"/>
                <w:szCs w:val="18"/>
                <w:lang w:eastAsia="sk-SK"/>
              </w:rPr>
            </w:pPr>
          </w:p>
        </w:tc>
        <w:tc>
          <w:tcPr>
            <w:tcW w:w="1205" w:type="dxa"/>
            <w:vMerge/>
            <w:tcBorders>
              <w:top w:val="single" w:sz="12" w:space="0" w:color="FFFFFF"/>
              <w:left w:val="single" w:sz="12" w:space="0" w:color="FFFFFF"/>
              <w:bottom w:val="single" w:sz="12" w:space="0" w:color="FFFFFF"/>
              <w:right w:val="single" w:sz="12" w:space="0" w:color="FFFFFF"/>
            </w:tcBorders>
            <w:vAlign w:val="center"/>
            <w:hideMark/>
          </w:tcPr>
          <w:p w14:paraId="43EF4B4E" w14:textId="77777777" w:rsidR="00BE704E" w:rsidRPr="00557EEC" w:rsidRDefault="00BE704E" w:rsidP="00B23D26">
            <w:pPr>
              <w:spacing w:after="0" w:line="240" w:lineRule="auto"/>
              <w:rPr>
                <w:rFonts w:cs="Calibri"/>
                <w:b/>
                <w:bCs/>
                <w:sz w:val="18"/>
                <w:szCs w:val="18"/>
                <w:lang w:eastAsia="sk-SK"/>
              </w:rPr>
            </w:pPr>
          </w:p>
        </w:tc>
        <w:tc>
          <w:tcPr>
            <w:tcW w:w="1209" w:type="dxa"/>
            <w:gridSpan w:val="2"/>
            <w:vMerge/>
            <w:tcBorders>
              <w:top w:val="single" w:sz="12" w:space="0" w:color="FFFFFF"/>
              <w:left w:val="single" w:sz="12" w:space="0" w:color="FFFFFF"/>
              <w:bottom w:val="single" w:sz="12" w:space="0" w:color="FFFFFF"/>
              <w:right w:val="single" w:sz="12" w:space="0" w:color="FFFFFF"/>
            </w:tcBorders>
            <w:vAlign w:val="center"/>
            <w:hideMark/>
          </w:tcPr>
          <w:p w14:paraId="4E28BA7D" w14:textId="77777777" w:rsidR="00BE704E" w:rsidRPr="00557EEC" w:rsidRDefault="00BE704E" w:rsidP="00B23D26">
            <w:pPr>
              <w:spacing w:after="0" w:line="240" w:lineRule="auto"/>
              <w:rPr>
                <w:rFonts w:cs="Calibri"/>
                <w:b/>
                <w:bCs/>
                <w:sz w:val="18"/>
                <w:szCs w:val="18"/>
                <w:lang w:eastAsia="sk-SK"/>
              </w:rPr>
            </w:pPr>
          </w:p>
        </w:tc>
      </w:tr>
      <w:tr w:rsidR="00AC7392" w:rsidRPr="00557EEC" w14:paraId="26E1BA78" w14:textId="77777777" w:rsidTr="009A7729">
        <w:trPr>
          <w:gridAfter w:val="1"/>
          <w:wAfter w:w="38" w:type="dxa"/>
          <w:trHeight w:val="187"/>
        </w:trPr>
        <w:tc>
          <w:tcPr>
            <w:tcW w:w="2676" w:type="dxa"/>
            <w:tcBorders>
              <w:top w:val="nil"/>
              <w:left w:val="single" w:sz="12" w:space="0" w:color="FFFFFF"/>
              <w:bottom w:val="single" w:sz="12" w:space="0" w:color="FFFFFF"/>
              <w:right w:val="single" w:sz="12" w:space="0" w:color="FFFFFF"/>
            </w:tcBorders>
            <w:shd w:val="clear" w:color="000000" w:fill="F2F2F2"/>
            <w:vAlign w:val="center"/>
            <w:hideMark/>
          </w:tcPr>
          <w:p w14:paraId="5C0AA7A2" w14:textId="77777777" w:rsidR="00AC7392" w:rsidRPr="00614652" w:rsidRDefault="00AC7392" w:rsidP="00AC7392">
            <w:pPr>
              <w:spacing w:after="0" w:line="240" w:lineRule="auto"/>
              <w:rPr>
                <w:rFonts w:cs="Calibri"/>
                <w:sz w:val="18"/>
                <w:szCs w:val="18"/>
                <w:lang w:eastAsia="sk-SK"/>
              </w:rPr>
            </w:pPr>
            <w:r w:rsidRPr="00614652">
              <w:rPr>
                <w:rFonts w:cs="Calibri"/>
                <w:sz w:val="18"/>
                <w:szCs w:val="18"/>
                <w:lang w:eastAsia="sk-SK"/>
              </w:rPr>
              <w:t>210 - Príjmy z prenajatých budov</w:t>
            </w:r>
          </w:p>
        </w:tc>
        <w:tc>
          <w:tcPr>
            <w:tcW w:w="1282" w:type="dxa"/>
            <w:tcBorders>
              <w:top w:val="nil"/>
              <w:left w:val="nil"/>
              <w:bottom w:val="single" w:sz="12" w:space="0" w:color="FFFFFF"/>
              <w:right w:val="single" w:sz="12" w:space="0" w:color="FFFFFF"/>
            </w:tcBorders>
            <w:shd w:val="clear" w:color="000000" w:fill="F2F2F2"/>
            <w:vAlign w:val="center"/>
            <w:hideMark/>
          </w:tcPr>
          <w:p w14:paraId="1FCDE9BD" w14:textId="1B82EE25" w:rsidR="00AC7392" w:rsidRDefault="00AC7392" w:rsidP="00AC7392">
            <w:pPr>
              <w:spacing w:after="0" w:line="240" w:lineRule="auto"/>
              <w:jc w:val="right"/>
              <w:rPr>
                <w:rFonts w:cs="Calibri"/>
                <w:color w:val="000000"/>
                <w:sz w:val="18"/>
                <w:szCs w:val="18"/>
                <w:lang w:eastAsia="sk-SK"/>
              </w:rPr>
            </w:pPr>
            <w:r>
              <w:rPr>
                <w:rFonts w:cs="Calibri"/>
                <w:color w:val="000000"/>
                <w:sz w:val="18"/>
                <w:szCs w:val="18"/>
              </w:rPr>
              <w:t>2 327 068,10</w:t>
            </w:r>
          </w:p>
        </w:tc>
        <w:tc>
          <w:tcPr>
            <w:tcW w:w="1281" w:type="dxa"/>
            <w:tcBorders>
              <w:top w:val="nil"/>
              <w:left w:val="nil"/>
              <w:bottom w:val="single" w:sz="12" w:space="0" w:color="FFFFFF"/>
              <w:right w:val="single" w:sz="12" w:space="0" w:color="FFFFFF"/>
            </w:tcBorders>
            <w:shd w:val="clear" w:color="000000" w:fill="F2F2F2"/>
            <w:vAlign w:val="center"/>
          </w:tcPr>
          <w:p w14:paraId="398CC31D" w14:textId="1AFCFB29" w:rsidR="00AC7392" w:rsidRDefault="00AC7392" w:rsidP="00AC7392">
            <w:pPr>
              <w:jc w:val="right"/>
              <w:rPr>
                <w:rFonts w:cs="Calibri"/>
                <w:color w:val="000000"/>
                <w:sz w:val="18"/>
                <w:szCs w:val="18"/>
              </w:rPr>
            </w:pPr>
            <w:r>
              <w:rPr>
                <w:rFonts w:cs="Calibri"/>
                <w:color w:val="000000"/>
                <w:sz w:val="18"/>
                <w:szCs w:val="18"/>
              </w:rPr>
              <w:t>1 651 488,26</w:t>
            </w:r>
          </w:p>
        </w:tc>
        <w:tc>
          <w:tcPr>
            <w:tcW w:w="1424" w:type="dxa"/>
            <w:tcBorders>
              <w:top w:val="nil"/>
              <w:left w:val="nil"/>
              <w:bottom w:val="single" w:sz="12" w:space="0" w:color="FFFFFF"/>
              <w:right w:val="single" w:sz="12" w:space="0" w:color="FFFFFF"/>
            </w:tcBorders>
            <w:shd w:val="clear" w:color="000000" w:fill="F2F2F2"/>
            <w:vAlign w:val="center"/>
          </w:tcPr>
          <w:p w14:paraId="68260600" w14:textId="763C0B6A" w:rsidR="00AC7392" w:rsidRDefault="00AC7392" w:rsidP="00AC7392">
            <w:pPr>
              <w:jc w:val="right"/>
              <w:rPr>
                <w:rFonts w:cs="Calibri"/>
                <w:color w:val="000000"/>
                <w:sz w:val="18"/>
                <w:szCs w:val="18"/>
              </w:rPr>
            </w:pPr>
            <w:r>
              <w:rPr>
                <w:rFonts w:cs="Calibri"/>
                <w:color w:val="000000"/>
                <w:sz w:val="18"/>
                <w:szCs w:val="18"/>
              </w:rPr>
              <w:t>1 784 540,61</w:t>
            </w:r>
          </w:p>
        </w:tc>
        <w:tc>
          <w:tcPr>
            <w:tcW w:w="1282" w:type="dxa"/>
            <w:tcBorders>
              <w:top w:val="nil"/>
              <w:left w:val="nil"/>
              <w:bottom w:val="single" w:sz="12" w:space="0" w:color="FFFFFF"/>
              <w:right w:val="single" w:sz="12" w:space="0" w:color="FFFFFF"/>
            </w:tcBorders>
            <w:shd w:val="clear" w:color="000000" w:fill="F2F2F2"/>
            <w:vAlign w:val="center"/>
          </w:tcPr>
          <w:p w14:paraId="15C11F5F" w14:textId="788ED232" w:rsidR="00AC7392" w:rsidRDefault="00AC7392" w:rsidP="00AC7392">
            <w:pPr>
              <w:jc w:val="right"/>
              <w:rPr>
                <w:rFonts w:cs="Calibri"/>
                <w:color w:val="000000"/>
                <w:sz w:val="18"/>
                <w:szCs w:val="18"/>
              </w:rPr>
            </w:pPr>
            <w:r>
              <w:rPr>
                <w:rFonts w:cs="Calibri"/>
                <w:color w:val="000000"/>
                <w:sz w:val="18"/>
                <w:szCs w:val="18"/>
              </w:rPr>
              <w:t>1 386 928,44</w:t>
            </w:r>
          </w:p>
        </w:tc>
        <w:tc>
          <w:tcPr>
            <w:tcW w:w="1205" w:type="dxa"/>
            <w:tcBorders>
              <w:top w:val="nil"/>
              <w:left w:val="nil"/>
              <w:bottom w:val="single" w:sz="12" w:space="0" w:color="FFFFFF"/>
              <w:right w:val="single" w:sz="12" w:space="0" w:color="FFFFFF"/>
            </w:tcBorders>
            <w:shd w:val="clear" w:color="000000" w:fill="F2F2F2"/>
            <w:vAlign w:val="center"/>
          </w:tcPr>
          <w:p w14:paraId="2CDD2C2C" w14:textId="1A22CF90" w:rsidR="00AC7392" w:rsidRDefault="00AC7392" w:rsidP="00AC7392">
            <w:pPr>
              <w:jc w:val="right"/>
              <w:rPr>
                <w:rFonts w:cs="Calibri"/>
                <w:color w:val="000000"/>
                <w:sz w:val="18"/>
                <w:szCs w:val="18"/>
              </w:rPr>
            </w:pPr>
            <w:r>
              <w:rPr>
                <w:rFonts w:cs="Calibri"/>
                <w:color w:val="000000"/>
                <w:sz w:val="18"/>
                <w:szCs w:val="18"/>
              </w:rPr>
              <w:t>77,72%</w:t>
            </w:r>
          </w:p>
        </w:tc>
        <w:tc>
          <w:tcPr>
            <w:tcW w:w="1171" w:type="dxa"/>
            <w:tcBorders>
              <w:top w:val="nil"/>
              <w:left w:val="nil"/>
              <w:bottom w:val="single" w:sz="12" w:space="0" w:color="FFFFFF"/>
              <w:right w:val="single" w:sz="12" w:space="0" w:color="FFFFFF"/>
            </w:tcBorders>
            <w:shd w:val="clear" w:color="000000" w:fill="F2F2F2"/>
            <w:vAlign w:val="center"/>
          </w:tcPr>
          <w:p w14:paraId="3BF4515A" w14:textId="4481837B" w:rsidR="00AC7392" w:rsidRDefault="00AC7392" w:rsidP="00AC7392">
            <w:pPr>
              <w:jc w:val="right"/>
              <w:rPr>
                <w:rFonts w:cs="Calibri"/>
                <w:color w:val="000000"/>
                <w:sz w:val="18"/>
                <w:szCs w:val="18"/>
              </w:rPr>
            </w:pPr>
            <w:r>
              <w:rPr>
                <w:rFonts w:cs="Calibri"/>
                <w:color w:val="000000"/>
                <w:sz w:val="18"/>
                <w:szCs w:val="18"/>
              </w:rPr>
              <w:t>133 052,35</w:t>
            </w:r>
          </w:p>
        </w:tc>
      </w:tr>
      <w:tr w:rsidR="00AC7392" w:rsidRPr="00557EEC" w14:paraId="282AFA6D" w14:textId="77777777" w:rsidTr="009A7729">
        <w:trPr>
          <w:gridAfter w:val="1"/>
          <w:wAfter w:w="38" w:type="dxa"/>
          <w:trHeight w:val="158"/>
        </w:trPr>
        <w:tc>
          <w:tcPr>
            <w:tcW w:w="2676" w:type="dxa"/>
            <w:tcBorders>
              <w:top w:val="nil"/>
              <w:left w:val="single" w:sz="12" w:space="0" w:color="FFFFFF"/>
              <w:bottom w:val="single" w:sz="12" w:space="0" w:color="FFFFFF"/>
              <w:right w:val="single" w:sz="12" w:space="0" w:color="FFFFFF"/>
            </w:tcBorders>
            <w:shd w:val="clear" w:color="000000" w:fill="F2F2F2"/>
            <w:vAlign w:val="center"/>
            <w:hideMark/>
          </w:tcPr>
          <w:p w14:paraId="3CBB6017" w14:textId="77777777" w:rsidR="00AC7392" w:rsidRPr="00557EEC" w:rsidRDefault="00AC7392" w:rsidP="00AC7392">
            <w:pPr>
              <w:spacing w:after="0" w:line="240" w:lineRule="auto"/>
              <w:rPr>
                <w:rFonts w:cs="Calibri"/>
                <w:sz w:val="18"/>
                <w:szCs w:val="18"/>
                <w:lang w:eastAsia="sk-SK"/>
              </w:rPr>
            </w:pPr>
            <w:r w:rsidRPr="00557EEC">
              <w:rPr>
                <w:rFonts w:cs="Calibri"/>
                <w:sz w:val="18"/>
                <w:szCs w:val="18"/>
                <w:lang w:eastAsia="sk-SK"/>
              </w:rPr>
              <w:t>220 - Admin. a iné pop. a  platby</w:t>
            </w:r>
          </w:p>
        </w:tc>
        <w:tc>
          <w:tcPr>
            <w:tcW w:w="1282" w:type="dxa"/>
            <w:tcBorders>
              <w:top w:val="nil"/>
              <w:left w:val="nil"/>
              <w:bottom w:val="single" w:sz="12" w:space="0" w:color="FFFFFF"/>
              <w:right w:val="single" w:sz="12" w:space="0" w:color="FFFFFF"/>
            </w:tcBorders>
            <w:shd w:val="clear" w:color="000000" w:fill="F2F2F2"/>
            <w:vAlign w:val="center"/>
            <w:hideMark/>
          </w:tcPr>
          <w:p w14:paraId="7B622BAB" w14:textId="7E13EFAF" w:rsidR="00AC7392" w:rsidRDefault="00AC7392" w:rsidP="00AC7392">
            <w:pPr>
              <w:jc w:val="right"/>
              <w:rPr>
                <w:rFonts w:cs="Calibri"/>
                <w:color w:val="000000"/>
                <w:sz w:val="18"/>
                <w:szCs w:val="18"/>
              </w:rPr>
            </w:pPr>
            <w:r>
              <w:rPr>
                <w:rFonts w:cs="Calibri"/>
                <w:color w:val="000000"/>
                <w:sz w:val="18"/>
                <w:szCs w:val="18"/>
              </w:rPr>
              <w:t>6 291 198,75</w:t>
            </w:r>
          </w:p>
        </w:tc>
        <w:tc>
          <w:tcPr>
            <w:tcW w:w="1281" w:type="dxa"/>
            <w:tcBorders>
              <w:top w:val="nil"/>
              <w:left w:val="nil"/>
              <w:bottom w:val="single" w:sz="12" w:space="0" w:color="FFFFFF"/>
              <w:right w:val="single" w:sz="12" w:space="0" w:color="FFFFFF"/>
            </w:tcBorders>
            <w:shd w:val="clear" w:color="000000" w:fill="F2F2F2"/>
            <w:vAlign w:val="center"/>
          </w:tcPr>
          <w:p w14:paraId="00322CBF" w14:textId="379DDA0E" w:rsidR="00AC7392" w:rsidRDefault="00AC7392" w:rsidP="00AC7392">
            <w:pPr>
              <w:jc w:val="right"/>
              <w:rPr>
                <w:rFonts w:cs="Calibri"/>
                <w:color w:val="000000"/>
                <w:sz w:val="18"/>
                <w:szCs w:val="18"/>
              </w:rPr>
            </w:pPr>
            <w:r>
              <w:rPr>
                <w:rFonts w:cs="Calibri"/>
                <w:color w:val="000000"/>
                <w:sz w:val="18"/>
                <w:szCs w:val="18"/>
              </w:rPr>
              <w:t>6 067 824,55</w:t>
            </w:r>
          </w:p>
        </w:tc>
        <w:tc>
          <w:tcPr>
            <w:tcW w:w="1424" w:type="dxa"/>
            <w:tcBorders>
              <w:top w:val="nil"/>
              <w:left w:val="nil"/>
              <w:bottom w:val="single" w:sz="12" w:space="0" w:color="FFFFFF"/>
              <w:right w:val="single" w:sz="12" w:space="0" w:color="FFFFFF"/>
            </w:tcBorders>
            <w:shd w:val="clear" w:color="000000" w:fill="F2F2F2"/>
            <w:vAlign w:val="center"/>
          </w:tcPr>
          <w:p w14:paraId="1FEB44F9" w14:textId="3DC312CB" w:rsidR="00AC7392" w:rsidRDefault="00AC7392" w:rsidP="00AC7392">
            <w:pPr>
              <w:jc w:val="right"/>
              <w:rPr>
                <w:rFonts w:cs="Calibri"/>
                <w:color w:val="000000"/>
                <w:sz w:val="18"/>
                <w:szCs w:val="18"/>
              </w:rPr>
            </w:pPr>
            <w:r>
              <w:rPr>
                <w:rFonts w:cs="Calibri"/>
                <w:color w:val="000000"/>
                <w:sz w:val="18"/>
                <w:szCs w:val="18"/>
              </w:rPr>
              <w:t>6 360 990,74</w:t>
            </w:r>
          </w:p>
        </w:tc>
        <w:tc>
          <w:tcPr>
            <w:tcW w:w="1282" w:type="dxa"/>
            <w:tcBorders>
              <w:top w:val="nil"/>
              <w:left w:val="nil"/>
              <w:bottom w:val="single" w:sz="12" w:space="0" w:color="FFFFFF"/>
              <w:right w:val="single" w:sz="12" w:space="0" w:color="FFFFFF"/>
            </w:tcBorders>
            <w:shd w:val="clear" w:color="000000" w:fill="F2F2F2"/>
            <w:vAlign w:val="center"/>
          </w:tcPr>
          <w:p w14:paraId="1FC1D708" w14:textId="7FB4C910" w:rsidR="00AC7392" w:rsidRDefault="00AC7392" w:rsidP="00AC7392">
            <w:pPr>
              <w:jc w:val="right"/>
              <w:rPr>
                <w:rFonts w:cs="Calibri"/>
                <w:color w:val="000000"/>
                <w:sz w:val="18"/>
                <w:szCs w:val="18"/>
              </w:rPr>
            </w:pPr>
            <w:r>
              <w:rPr>
                <w:rFonts w:cs="Calibri"/>
                <w:color w:val="000000"/>
                <w:sz w:val="18"/>
                <w:szCs w:val="18"/>
              </w:rPr>
              <w:t>4 743 725,21</w:t>
            </w:r>
          </w:p>
        </w:tc>
        <w:tc>
          <w:tcPr>
            <w:tcW w:w="1205" w:type="dxa"/>
            <w:tcBorders>
              <w:top w:val="nil"/>
              <w:left w:val="nil"/>
              <w:bottom w:val="single" w:sz="12" w:space="0" w:color="FFFFFF"/>
              <w:right w:val="single" w:sz="12" w:space="0" w:color="FFFFFF"/>
            </w:tcBorders>
            <w:shd w:val="clear" w:color="000000" w:fill="F2F2F2"/>
            <w:vAlign w:val="center"/>
          </w:tcPr>
          <w:p w14:paraId="6A631636" w14:textId="55926A6A" w:rsidR="00AC7392" w:rsidRDefault="00AC7392" w:rsidP="00AC7392">
            <w:pPr>
              <w:jc w:val="right"/>
              <w:rPr>
                <w:rFonts w:cs="Calibri"/>
                <w:color w:val="000000"/>
                <w:sz w:val="18"/>
                <w:szCs w:val="18"/>
              </w:rPr>
            </w:pPr>
            <w:r>
              <w:rPr>
                <w:rFonts w:cs="Calibri"/>
                <w:color w:val="000000"/>
                <w:sz w:val="18"/>
                <w:szCs w:val="18"/>
              </w:rPr>
              <w:t>74,58%</w:t>
            </w:r>
          </w:p>
        </w:tc>
        <w:tc>
          <w:tcPr>
            <w:tcW w:w="1171" w:type="dxa"/>
            <w:tcBorders>
              <w:top w:val="nil"/>
              <w:left w:val="nil"/>
              <w:bottom w:val="single" w:sz="12" w:space="0" w:color="FFFFFF"/>
              <w:right w:val="single" w:sz="12" w:space="0" w:color="FFFFFF"/>
            </w:tcBorders>
            <w:shd w:val="clear" w:color="000000" w:fill="F2F2F2"/>
            <w:vAlign w:val="center"/>
          </w:tcPr>
          <w:p w14:paraId="7657FA51" w14:textId="6D094B3B" w:rsidR="00AC7392" w:rsidRDefault="00AC7392" w:rsidP="00AC7392">
            <w:pPr>
              <w:jc w:val="right"/>
              <w:rPr>
                <w:rFonts w:cs="Calibri"/>
                <w:color w:val="000000"/>
                <w:sz w:val="18"/>
                <w:szCs w:val="18"/>
              </w:rPr>
            </w:pPr>
            <w:r>
              <w:rPr>
                <w:rFonts w:cs="Calibri"/>
                <w:color w:val="000000"/>
                <w:sz w:val="18"/>
                <w:szCs w:val="18"/>
              </w:rPr>
              <w:t>293 166,19</w:t>
            </w:r>
          </w:p>
        </w:tc>
      </w:tr>
      <w:tr w:rsidR="00AC7392" w:rsidRPr="00D2131F" w14:paraId="24D7A0B4" w14:textId="77777777" w:rsidTr="009A7729">
        <w:trPr>
          <w:gridAfter w:val="1"/>
          <w:wAfter w:w="38" w:type="dxa"/>
          <w:trHeight w:val="158"/>
        </w:trPr>
        <w:tc>
          <w:tcPr>
            <w:tcW w:w="2676" w:type="dxa"/>
            <w:tcBorders>
              <w:top w:val="nil"/>
              <w:left w:val="single" w:sz="12" w:space="0" w:color="FFFFFF"/>
              <w:bottom w:val="single" w:sz="12" w:space="0" w:color="FFFFFF"/>
              <w:right w:val="single" w:sz="12" w:space="0" w:color="FFFFFF"/>
            </w:tcBorders>
            <w:shd w:val="clear" w:color="000000" w:fill="F2F2F2"/>
            <w:vAlign w:val="center"/>
            <w:hideMark/>
          </w:tcPr>
          <w:p w14:paraId="13D5EAF6" w14:textId="77777777" w:rsidR="00AC7392" w:rsidRPr="007470AD" w:rsidRDefault="00AC7392" w:rsidP="00AC7392">
            <w:pPr>
              <w:spacing w:after="0" w:line="240" w:lineRule="auto"/>
              <w:rPr>
                <w:rFonts w:cs="Calibri"/>
                <w:b/>
                <w:sz w:val="18"/>
                <w:szCs w:val="18"/>
                <w:lang w:eastAsia="sk-SK"/>
              </w:rPr>
            </w:pPr>
            <w:r w:rsidRPr="007470AD">
              <w:rPr>
                <w:rFonts w:cs="Calibri"/>
                <w:b/>
                <w:sz w:val="18"/>
                <w:szCs w:val="18"/>
                <w:lang w:eastAsia="sk-SK"/>
              </w:rPr>
              <w:t xml:space="preserve">230 - Kapitálové príjmy </w:t>
            </w:r>
          </w:p>
        </w:tc>
        <w:tc>
          <w:tcPr>
            <w:tcW w:w="1282" w:type="dxa"/>
            <w:tcBorders>
              <w:top w:val="nil"/>
              <w:left w:val="nil"/>
              <w:bottom w:val="single" w:sz="12" w:space="0" w:color="FFFFFF"/>
              <w:right w:val="single" w:sz="12" w:space="0" w:color="FFFFFF"/>
            </w:tcBorders>
            <w:shd w:val="clear" w:color="000000" w:fill="F2F2F2"/>
            <w:vAlign w:val="center"/>
            <w:hideMark/>
          </w:tcPr>
          <w:p w14:paraId="10A39E29" w14:textId="4EB27A38" w:rsidR="00AC7392" w:rsidRPr="007470AD" w:rsidRDefault="00AC7392" w:rsidP="00AC7392">
            <w:pPr>
              <w:jc w:val="right"/>
              <w:rPr>
                <w:rFonts w:cs="Calibri"/>
                <w:b/>
                <w:color w:val="000000"/>
                <w:sz w:val="18"/>
                <w:szCs w:val="18"/>
              </w:rPr>
            </w:pPr>
            <w:r w:rsidRPr="007470AD">
              <w:rPr>
                <w:rFonts w:cs="Calibri"/>
                <w:b/>
                <w:color w:val="000000"/>
                <w:sz w:val="18"/>
                <w:szCs w:val="18"/>
              </w:rPr>
              <w:t>5 000,00</w:t>
            </w:r>
          </w:p>
        </w:tc>
        <w:tc>
          <w:tcPr>
            <w:tcW w:w="1281" w:type="dxa"/>
            <w:tcBorders>
              <w:top w:val="nil"/>
              <w:left w:val="nil"/>
              <w:bottom w:val="single" w:sz="12" w:space="0" w:color="FFFFFF"/>
              <w:right w:val="single" w:sz="12" w:space="0" w:color="FFFFFF"/>
            </w:tcBorders>
            <w:shd w:val="clear" w:color="000000" w:fill="F2F2F2"/>
            <w:vAlign w:val="center"/>
          </w:tcPr>
          <w:p w14:paraId="6FF7469C" w14:textId="189817C3" w:rsidR="00AC7392" w:rsidRPr="007470AD" w:rsidRDefault="00AC7392" w:rsidP="00AC7392">
            <w:pPr>
              <w:jc w:val="right"/>
              <w:rPr>
                <w:rFonts w:cs="Calibri"/>
                <w:b/>
                <w:color w:val="000000"/>
                <w:sz w:val="18"/>
                <w:szCs w:val="18"/>
              </w:rPr>
            </w:pPr>
            <w:r w:rsidRPr="007470AD">
              <w:rPr>
                <w:rFonts w:cs="Calibri"/>
                <w:b/>
                <w:color w:val="000000"/>
                <w:sz w:val="18"/>
                <w:szCs w:val="18"/>
              </w:rPr>
              <w:t>500 000,00</w:t>
            </w:r>
          </w:p>
        </w:tc>
        <w:tc>
          <w:tcPr>
            <w:tcW w:w="1424" w:type="dxa"/>
            <w:tcBorders>
              <w:top w:val="nil"/>
              <w:left w:val="nil"/>
              <w:bottom w:val="single" w:sz="12" w:space="0" w:color="FFFFFF"/>
              <w:right w:val="single" w:sz="12" w:space="0" w:color="FFFFFF"/>
            </w:tcBorders>
            <w:shd w:val="clear" w:color="000000" w:fill="F2F2F2"/>
            <w:vAlign w:val="center"/>
          </w:tcPr>
          <w:p w14:paraId="7C5CC5F4" w14:textId="1DD45B19" w:rsidR="00AC7392" w:rsidRPr="007470AD" w:rsidRDefault="00AC7392" w:rsidP="00AC7392">
            <w:pPr>
              <w:jc w:val="right"/>
              <w:rPr>
                <w:rFonts w:cs="Calibri"/>
                <w:b/>
                <w:color w:val="000000"/>
                <w:sz w:val="18"/>
                <w:szCs w:val="18"/>
              </w:rPr>
            </w:pPr>
            <w:r w:rsidRPr="007470AD">
              <w:rPr>
                <w:rFonts w:cs="Calibri"/>
                <w:b/>
                <w:color w:val="000000"/>
                <w:sz w:val="18"/>
                <w:szCs w:val="18"/>
              </w:rPr>
              <w:t>500 000,00</w:t>
            </w:r>
          </w:p>
        </w:tc>
        <w:tc>
          <w:tcPr>
            <w:tcW w:w="1282" w:type="dxa"/>
            <w:tcBorders>
              <w:top w:val="nil"/>
              <w:left w:val="nil"/>
              <w:bottom w:val="single" w:sz="12" w:space="0" w:color="FFFFFF"/>
              <w:right w:val="single" w:sz="12" w:space="0" w:color="FFFFFF"/>
            </w:tcBorders>
            <w:shd w:val="clear" w:color="000000" w:fill="F2F2F2"/>
            <w:vAlign w:val="center"/>
          </w:tcPr>
          <w:p w14:paraId="0E232871" w14:textId="76B79DF4" w:rsidR="00AC7392" w:rsidRPr="007470AD" w:rsidRDefault="00AC7392" w:rsidP="00AC7392">
            <w:pPr>
              <w:jc w:val="right"/>
              <w:rPr>
                <w:rFonts w:cs="Calibri"/>
                <w:b/>
                <w:color w:val="000000"/>
                <w:sz w:val="18"/>
                <w:szCs w:val="18"/>
              </w:rPr>
            </w:pPr>
            <w:r w:rsidRPr="007470AD">
              <w:rPr>
                <w:rFonts w:cs="Calibri"/>
                <w:b/>
                <w:color w:val="000000"/>
                <w:sz w:val="18"/>
                <w:szCs w:val="18"/>
              </w:rPr>
              <w:t>879 401,00</w:t>
            </w:r>
          </w:p>
        </w:tc>
        <w:tc>
          <w:tcPr>
            <w:tcW w:w="1205" w:type="dxa"/>
            <w:tcBorders>
              <w:top w:val="nil"/>
              <w:left w:val="nil"/>
              <w:bottom w:val="single" w:sz="12" w:space="0" w:color="FFFFFF"/>
              <w:right w:val="single" w:sz="12" w:space="0" w:color="FFFFFF"/>
            </w:tcBorders>
            <w:shd w:val="clear" w:color="000000" w:fill="F2F2F2"/>
            <w:vAlign w:val="center"/>
          </w:tcPr>
          <w:p w14:paraId="75D321D5" w14:textId="7D338B9A" w:rsidR="00AC7392" w:rsidRPr="007470AD" w:rsidRDefault="00AC7392" w:rsidP="00AC7392">
            <w:pPr>
              <w:jc w:val="right"/>
              <w:rPr>
                <w:rFonts w:cs="Calibri"/>
                <w:b/>
                <w:color w:val="000000"/>
                <w:sz w:val="18"/>
                <w:szCs w:val="18"/>
              </w:rPr>
            </w:pPr>
            <w:r w:rsidRPr="007470AD">
              <w:rPr>
                <w:rFonts w:cs="Calibri"/>
                <w:b/>
                <w:color w:val="000000"/>
                <w:sz w:val="18"/>
                <w:szCs w:val="18"/>
              </w:rPr>
              <w:t>175,88%</w:t>
            </w:r>
          </w:p>
        </w:tc>
        <w:tc>
          <w:tcPr>
            <w:tcW w:w="1171" w:type="dxa"/>
            <w:tcBorders>
              <w:top w:val="nil"/>
              <w:left w:val="nil"/>
              <w:bottom w:val="single" w:sz="12" w:space="0" w:color="FFFFFF"/>
              <w:right w:val="single" w:sz="12" w:space="0" w:color="FFFFFF"/>
            </w:tcBorders>
            <w:shd w:val="clear" w:color="000000" w:fill="F2F2F2"/>
            <w:vAlign w:val="center"/>
          </w:tcPr>
          <w:p w14:paraId="3FC5DDB8" w14:textId="3D7F9DCA" w:rsidR="00AC7392" w:rsidRPr="007470AD" w:rsidRDefault="00AC7392" w:rsidP="00AC7392">
            <w:pPr>
              <w:jc w:val="right"/>
              <w:rPr>
                <w:rFonts w:cs="Calibri"/>
                <w:b/>
                <w:color w:val="000000"/>
                <w:sz w:val="18"/>
                <w:szCs w:val="18"/>
              </w:rPr>
            </w:pPr>
            <w:r w:rsidRPr="007470AD">
              <w:rPr>
                <w:rFonts w:cs="Calibri"/>
                <w:b/>
                <w:color w:val="000000"/>
                <w:sz w:val="18"/>
                <w:szCs w:val="18"/>
              </w:rPr>
              <w:t>0,00</w:t>
            </w:r>
          </w:p>
        </w:tc>
      </w:tr>
      <w:tr w:rsidR="00AC7392" w:rsidRPr="00557EEC" w14:paraId="18A19B00" w14:textId="77777777" w:rsidTr="009A7729">
        <w:trPr>
          <w:gridAfter w:val="1"/>
          <w:wAfter w:w="38" w:type="dxa"/>
          <w:trHeight w:val="158"/>
        </w:trPr>
        <w:tc>
          <w:tcPr>
            <w:tcW w:w="2676" w:type="dxa"/>
            <w:tcBorders>
              <w:top w:val="nil"/>
              <w:left w:val="single" w:sz="12" w:space="0" w:color="FFFFFF"/>
              <w:bottom w:val="single" w:sz="12" w:space="0" w:color="FFFFFF"/>
              <w:right w:val="single" w:sz="12" w:space="0" w:color="FFFFFF"/>
            </w:tcBorders>
            <w:shd w:val="clear" w:color="000000" w:fill="F2F2F2"/>
            <w:vAlign w:val="center"/>
            <w:hideMark/>
          </w:tcPr>
          <w:p w14:paraId="7F3CF074" w14:textId="5000C477" w:rsidR="00AC7392" w:rsidRPr="00557EEC" w:rsidRDefault="00AC7392" w:rsidP="00AC7392">
            <w:pPr>
              <w:spacing w:after="0" w:line="240" w:lineRule="auto"/>
              <w:rPr>
                <w:rFonts w:cs="Calibri"/>
                <w:sz w:val="18"/>
                <w:szCs w:val="18"/>
                <w:lang w:eastAsia="sk-SK"/>
              </w:rPr>
            </w:pPr>
            <w:r w:rsidRPr="00557EEC">
              <w:rPr>
                <w:rFonts w:cs="Calibri"/>
                <w:sz w:val="18"/>
                <w:szCs w:val="18"/>
                <w:lang w:eastAsia="sk-SK"/>
              </w:rPr>
              <w:t xml:space="preserve">240 </w:t>
            </w:r>
            <w:r w:rsidR="009F3097">
              <w:rPr>
                <w:rFonts w:cs="Calibri"/>
                <w:sz w:val="18"/>
                <w:szCs w:val="18"/>
                <w:lang w:eastAsia="sk-SK"/>
              </w:rPr>
              <w:t>–</w:t>
            </w:r>
            <w:r w:rsidRPr="00557EEC">
              <w:rPr>
                <w:rFonts w:cs="Calibri"/>
                <w:sz w:val="18"/>
                <w:szCs w:val="18"/>
                <w:lang w:eastAsia="sk-SK"/>
              </w:rPr>
              <w:t xml:space="preserve"> Úroky</w:t>
            </w:r>
          </w:p>
        </w:tc>
        <w:tc>
          <w:tcPr>
            <w:tcW w:w="1282" w:type="dxa"/>
            <w:tcBorders>
              <w:top w:val="nil"/>
              <w:left w:val="nil"/>
              <w:bottom w:val="single" w:sz="12" w:space="0" w:color="FFFFFF"/>
              <w:right w:val="single" w:sz="12" w:space="0" w:color="FFFFFF"/>
            </w:tcBorders>
            <w:shd w:val="clear" w:color="000000" w:fill="F2F2F2"/>
            <w:vAlign w:val="center"/>
            <w:hideMark/>
          </w:tcPr>
          <w:p w14:paraId="5FE194E4" w14:textId="2C055A54" w:rsidR="00AC7392" w:rsidRDefault="00AC7392" w:rsidP="00AC7392">
            <w:pPr>
              <w:jc w:val="right"/>
              <w:rPr>
                <w:rFonts w:cs="Calibri"/>
                <w:color w:val="000000"/>
                <w:sz w:val="18"/>
                <w:szCs w:val="18"/>
              </w:rPr>
            </w:pPr>
            <w:r>
              <w:rPr>
                <w:rFonts w:cs="Calibri"/>
                <w:color w:val="000000"/>
                <w:sz w:val="18"/>
                <w:szCs w:val="18"/>
              </w:rPr>
              <w:t>1 380,21</w:t>
            </w:r>
          </w:p>
        </w:tc>
        <w:tc>
          <w:tcPr>
            <w:tcW w:w="1281" w:type="dxa"/>
            <w:tcBorders>
              <w:top w:val="nil"/>
              <w:left w:val="nil"/>
              <w:bottom w:val="single" w:sz="12" w:space="0" w:color="FFFFFF"/>
              <w:right w:val="single" w:sz="12" w:space="0" w:color="FFFFFF"/>
            </w:tcBorders>
            <w:shd w:val="clear" w:color="000000" w:fill="F2F2F2"/>
            <w:vAlign w:val="center"/>
          </w:tcPr>
          <w:p w14:paraId="6C19C751" w14:textId="63D5182F" w:rsidR="00AC7392" w:rsidRDefault="00AC7392" w:rsidP="00AC7392">
            <w:pPr>
              <w:jc w:val="right"/>
              <w:rPr>
                <w:rFonts w:cs="Calibri"/>
                <w:color w:val="000000"/>
                <w:sz w:val="18"/>
                <w:szCs w:val="18"/>
              </w:rPr>
            </w:pPr>
            <w:r>
              <w:rPr>
                <w:rFonts w:cs="Calibri"/>
                <w:color w:val="000000"/>
                <w:sz w:val="18"/>
                <w:szCs w:val="18"/>
              </w:rPr>
              <w:t>1 000,00</w:t>
            </w:r>
          </w:p>
        </w:tc>
        <w:tc>
          <w:tcPr>
            <w:tcW w:w="1424" w:type="dxa"/>
            <w:tcBorders>
              <w:top w:val="nil"/>
              <w:left w:val="nil"/>
              <w:bottom w:val="single" w:sz="12" w:space="0" w:color="FFFFFF"/>
              <w:right w:val="single" w:sz="12" w:space="0" w:color="FFFFFF"/>
            </w:tcBorders>
            <w:shd w:val="clear" w:color="000000" w:fill="F2F2F2"/>
            <w:vAlign w:val="center"/>
          </w:tcPr>
          <w:p w14:paraId="34005C1F" w14:textId="010DC00F" w:rsidR="00AC7392" w:rsidRDefault="00AC7392" w:rsidP="00AC7392">
            <w:pPr>
              <w:jc w:val="right"/>
              <w:rPr>
                <w:rFonts w:cs="Calibri"/>
                <w:color w:val="000000"/>
                <w:sz w:val="18"/>
                <w:szCs w:val="18"/>
              </w:rPr>
            </w:pPr>
            <w:r>
              <w:rPr>
                <w:rFonts w:cs="Calibri"/>
                <w:color w:val="000000"/>
                <w:sz w:val="18"/>
                <w:szCs w:val="18"/>
              </w:rPr>
              <w:t>1 000,00</w:t>
            </w:r>
          </w:p>
        </w:tc>
        <w:tc>
          <w:tcPr>
            <w:tcW w:w="1282" w:type="dxa"/>
            <w:tcBorders>
              <w:top w:val="nil"/>
              <w:left w:val="nil"/>
              <w:bottom w:val="single" w:sz="12" w:space="0" w:color="FFFFFF"/>
              <w:right w:val="single" w:sz="12" w:space="0" w:color="FFFFFF"/>
            </w:tcBorders>
            <w:shd w:val="clear" w:color="000000" w:fill="F2F2F2"/>
            <w:vAlign w:val="center"/>
          </w:tcPr>
          <w:p w14:paraId="0CDAE81B" w14:textId="078DB208" w:rsidR="00AC7392" w:rsidRDefault="00AC7392" w:rsidP="00AC7392">
            <w:pPr>
              <w:jc w:val="right"/>
              <w:rPr>
                <w:rFonts w:cs="Calibri"/>
                <w:color w:val="000000"/>
                <w:sz w:val="18"/>
                <w:szCs w:val="18"/>
              </w:rPr>
            </w:pPr>
            <w:r>
              <w:rPr>
                <w:rFonts w:cs="Calibri"/>
                <w:color w:val="000000"/>
                <w:sz w:val="18"/>
                <w:szCs w:val="18"/>
              </w:rPr>
              <w:t>1 613,40</w:t>
            </w:r>
          </w:p>
        </w:tc>
        <w:tc>
          <w:tcPr>
            <w:tcW w:w="1205" w:type="dxa"/>
            <w:tcBorders>
              <w:top w:val="nil"/>
              <w:left w:val="nil"/>
              <w:bottom w:val="single" w:sz="12" w:space="0" w:color="FFFFFF"/>
              <w:right w:val="single" w:sz="12" w:space="0" w:color="FFFFFF"/>
            </w:tcBorders>
            <w:shd w:val="clear" w:color="000000" w:fill="F2F2F2"/>
            <w:vAlign w:val="center"/>
          </w:tcPr>
          <w:p w14:paraId="45071B4A" w14:textId="61F38152" w:rsidR="00AC7392" w:rsidRDefault="00AC7392" w:rsidP="00AC7392">
            <w:pPr>
              <w:jc w:val="right"/>
              <w:rPr>
                <w:rFonts w:cs="Calibri"/>
                <w:color w:val="000000"/>
                <w:sz w:val="18"/>
                <w:szCs w:val="18"/>
              </w:rPr>
            </w:pPr>
            <w:r>
              <w:rPr>
                <w:rFonts w:cs="Calibri"/>
                <w:color w:val="000000"/>
                <w:sz w:val="18"/>
                <w:szCs w:val="18"/>
              </w:rPr>
              <w:t>161,34%</w:t>
            </w:r>
          </w:p>
        </w:tc>
        <w:tc>
          <w:tcPr>
            <w:tcW w:w="1171" w:type="dxa"/>
            <w:tcBorders>
              <w:top w:val="nil"/>
              <w:left w:val="nil"/>
              <w:bottom w:val="single" w:sz="12" w:space="0" w:color="FFFFFF"/>
              <w:right w:val="single" w:sz="12" w:space="0" w:color="FFFFFF"/>
            </w:tcBorders>
            <w:shd w:val="clear" w:color="000000" w:fill="F2F2F2"/>
            <w:vAlign w:val="center"/>
          </w:tcPr>
          <w:p w14:paraId="3CAECAA9" w14:textId="55B516C5" w:rsidR="00AC7392" w:rsidRDefault="00AC7392" w:rsidP="00AC7392">
            <w:pPr>
              <w:jc w:val="right"/>
              <w:rPr>
                <w:rFonts w:cs="Calibri"/>
                <w:color w:val="000000"/>
                <w:sz w:val="18"/>
                <w:szCs w:val="18"/>
              </w:rPr>
            </w:pPr>
            <w:r>
              <w:rPr>
                <w:rFonts w:cs="Calibri"/>
                <w:color w:val="000000"/>
                <w:sz w:val="18"/>
                <w:szCs w:val="18"/>
              </w:rPr>
              <w:t>0,00</w:t>
            </w:r>
          </w:p>
        </w:tc>
      </w:tr>
      <w:tr w:rsidR="00AC7392" w:rsidRPr="00557EEC" w14:paraId="2B9BD14F" w14:textId="77777777" w:rsidTr="009A7729">
        <w:trPr>
          <w:gridAfter w:val="1"/>
          <w:wAfter w:w="38" w:type="dxa"/>
          <w:trHeight w:val="158"/>
        </w:trPr>
        <w:tc>
          <w:tcPr>
            <w:tcW w:w="2676" w:type="dxa"/>
            <w:tcBorders>
              <w:top w:val="nil"/>
              <w:left w:val="single" w:sz="12" w:space="0" w:color="FFFFFF"/>
              <w:bottom w:val="single" w:sz="12" w:space="0" w:color="FFFFFF"/>
              <w:right w:val="single" w:sz="12" w:space="0" w:color="FFFFFF"/>
            </w:tcBorders>
            <w:shd w:val="clear" w:color="000000" w:fill="F2F2F2"/>
            <w:vAlign w:val="center"/>
            <w:hideMark/>
          </w:tcPr>
          <w:p w14:paraId="0AC40E2B" w14:textId="77777777" w:rsidR="00AC7392" w:rsidRPr="00557EEC" w:rsidRDefault="00AC7392" w:rsidP="00AC7392">
            <w:pPr>
              <w:spacing w:after="0" w:line="240" w:lineRule="auto"/>
              <w:rPr>
                <w:rFonts w:cs="Calibri"/>
                <w:sz w:val="18"/>
                <w:szCs w:val="18"/>
                <w:lang w:eastAsia="sk-SK"/>
              </w:rPr>
            </w:pPr>
            <w:r w:rsidRPr="00557EEC">
              <w:rPr>
                <w:rFonts w:cs="Calibri"/>
                <w:sz w:val="18"/>
                <w:szCs w:val="18"/>
                <w:lang w:eastAsia="sk-SK"/>
              </w:rPr>
              <w:t>290 - Iné nedaňové príjmy</w:t>
            </w:r>
          </w:p>
        </w:tc>
        <w:tc>
          <w:tcPr>
            <w:tcW w:w="1282" w:type="dxa"/>
            <w:tcBorders>
              <w:top w:val="nil"/>
              <w:left w:val="nil"/>
              <w:bottom w:val="single" w:sz="12" w:space="0" w:color="FFFFFF"/>
              <w:right w:val="single" w:sz="12" w:space="0" w:color="FFFFFF"/>
            </w:tcBorders>
            <w:shd w:val="clear" w:color="000000" w:fill="F2F2F2"/>
            <w:vAlign w:val="center"/>
            <w:hideMark/>
          </w:tcPr>
          <w:p w14:paraId="1E603FD2" w14:textId="5F67DF3A" w:rsidR="00AC7392" w:rsidRDefault="00AC7392" w:rsidP="00AC7392">
            <w:pPr>
              <w:jc w:val="right"/>
              <w:rPr>
                <w:rFonts w:cs="Calibri"/>
                <w:color w:val="000000"/>
                <w:sz w:val="18"/>
                <w:szCs w:val="18"/>
              </w:rPr>
            </w:pPr>
            <w:r>
              <w:rPr>
                <w:rFonts w:cs="Calibri"/>
                <w:color w:val="000000"/>
                <w:sz w:val="18"/>
                <w:szCs w:val="18"/>
              </w:rPr>
              <w:t>668 615,83</w:t>
            </w:r>
          </w:p>
        </w:tc>
        <w:tc>
          <w:tcPr>
            <w:tcW w:w="1281" w:type="dxa"/>
            <w:tcBorders>
              <w:top w:val="nil"/>
              <w:left w:val="nil"/>
              <w:bottom w:val="single" w:sz="12" w:space="0" w:color="FFFFFF"/>
              <w:right w:val="single" w:sz="12" w:space="0" w:color="FFFFFF"/>
            </w:tcBorders>
            <w:shd w:val="clear" w:color="000000" w:fill="F2F2F2"/>
            <w:vAlign w:val="center"/>
          </w:tcPr>
          <w:p w14:paraId="6D7D179B" w14:textId="1F375BFC" w:rsidR="00AC7392" w:rsidRDefault="00AC7392" w:rsidP="00AC7392">
            <w:pPr>
              <w:jc w:val="right"/>
              <w:rPr>
                <w:rFonts w:cs="Calibri"/>
                <w:color w:val="000000"/>
                <w:sz w:val="18"/>
                <w:szCs w:val="18"/>
              </w:rPr>
            </w:pPr>
            <w:r>
              <w:rPr>
                <w:rFonts w:cs="Calibri"/>
                <w:color w:val="000000"/>
                <w:sz w:val="18"/>
                <w:szCs w:val="18"/>
              </w:rPr>
              <w:t>245 238,24</w:t>
            </w:r>
          </w:p>
        </w:tc>
        <w:tc>
          <w:tcPr>
            <w:tcW w:w="1424" w:type="dxa"/>
            <w:tcBorders>
              <w:top w:val="nil"/>
              <w:left w:val="nil"/>
              <w:bottom w:val="single" w:sz="12" w:space="0" w:color="FFFFFF"/>
              <w:right w:val="single" w:sz="12" w:space="0" w:color="FFFFFF"/>
            </w:tcBorders>
            <w:shd w:val="clear" w:color="000000" w:fill="F2F2F2"/>
            <w:vAlign w:val="center"/>
          </w:tcPr>
          <w:p w14:paraId="72FF779D" w14:textId="29D092E9" w:rsidR="00AC7392" w:rsidRDefault="00AC7392" w:rsidP="00AC7392">
            <w:pPr>
              <w:jc w:val="right"/>
              <w:rPr>
                <w:rFonts w:cs="Calibri"/>
                <w:color w:val="000000"/>
                <w:sz w:val="18"/>
                <w:szCs w:val="18"/>
              </w:rPr>
            </w:pPr>
            <w:r>
              <w:rPr>
                <w:rFonts w:cs="Calibri"/>
                <w:color w:val="000000"/>
                <w:sz w:val="18"/>
                <w:szCs w:val="18"/>
              </w:rPr>
              <w:t>282 245,91</w:t>
            </w:r>
          </w:p>
        </w:tc>
        <w:tc>
          <w:tcPr>
            <w:tcW w:w="1282" w:type="dxa"/>
            <w:tcBorders>
              <w:top w:val="nil"/>
              <w:left w:val="nil"/>
              <w:bottom w:val="single" w:sz="12" w:space="0" w:color="FFFFFF"/>
              <w:right w:val="single" w:sz="12" w:space="0" w:color="FFFFFF"/>
            </w:tcBorders>
            <w:shd w:val="clear" w:color="000000" w:fill="F2F2F2"/>
            <w:vAlign w:val="center"/>
          </w:tcPr>
          <w:p w14:paraId="4D9CA7DD" w14:textId="41A0CF9C" w:rsidR="00AC7392" w:rsidRDefault="00AC7392" w:rsidP="00AC7392">
            <w:pPr>
              <w:jc w:val="right"/>
              <w:rPr>
                <w:rFonts w:cs="Calibri"/>
                <w:color w:val="000000"/>
                <w:sz w:val="18"/>
                <w:szCs w:val="18"/>
              </w:rPr>
            </w:pPr>
            <w:r>
              <w:rPr>
                <w:rFonts w:cs="Calibri"/>
                <w:color w:val="000000"/>
                <w:sz w:val="18"/>
                <w:szCs w:val="18"/>
              </w:rPr>
              <w:t>653 012,01</w:t>
            </w:r>
          </w:p>
        </w:tc>
        <w:tc>
          <w:tcPr>
            <w:tcW w:w="1205" w:type="dxa"/>
            <w:tcBorders>
              <w:top w:val="nil"/>
              <w:left w:val="nil"/>
              <w:bottom w:val="single" w:sz="12" w:space="0" w:color="FFFFFF"/>
              <w:right w:val="single" w:sz="12" w:space="0" w:color="FFFFFF"/>
            </w:tcBorders>
            <w:shd w:val="clear" w:color="000000" w:fill="F2F2F2"/>
            <w:vAlign w:val="center"/>
          </w:tcPr>
          <w:p w14:paraId="0DE09D6F" w14:textId="51495AC7" w:rsidR="00AC7392" w:rsidRDefault="00AC7392" w:rsidP="00AC7392">
            <w:pPr>
              <w:jc w:val="right"/>
              <w:rPr>
                <w:rFonts w:cs="Calibri"/>
                <w:color w:val="000000"/>
                <w:sz w:val="18"/>
                <w:szCs w:val="18"/>
              </w:rPr>
            </w:pPr>
            <w:r>
              <w:rPr>
                <w:rFonts w:cs="Calibri"/>
                <w:color w:val="000000"/>
                <w:sz w:val="18"/>
                <w:szCs w:val="18"/>
              </w:rPr>
              <w:t>231,36%</w:t>
            </w:r>
          </w:p>
        </w:tc>
        <w:tc>
          <w:tcPr>
            <w:tcW w:w="1171" w:type="dxa"/>
            <w:tcBorders>
              <w:top w:val="nil"/>
              <w:left w:val="nil"/>
              <w:bottom w:val="single" w:sz="12" w:space="0" w:color="FFFFFF"/>
              <w:right w:val="single" w:sz="12" w:space="0" w:color="FFFFFF"/>
            </w:tcBorders>
            <w:shd w:val="clear" w:color="000000" w:fill="F2F2F2"/>
            <w:vAlign w:val="center"/>
          </w:tcPr>
          <w:p w14:paraId="7D045E1F" w14:textId="062C6C99" w:rsidR="00AC7392" w:rsidRDefault="00AC7392" w:rsidP="00AC7392">
            <w:pPr>
              <w:jc w:val="right"/>
              <w:rPr>
                <w:rFonts w:cs="Calibri"/>
                <w:color w:val="000000"/>
                <w:sz w:val="18"/>
                <w:szCs w:val="18"/>
              </w:rPr>
            </w:pPr>
            <w:r>
              <w:rPr>
                <w:rFonts w:cs="Calibri"/>
                <w:color w:val="000000"/>
                <w:sz w:val="18"/>
                <w:szCs w:val="18"/>
              </w:rPr>
              <w:t>37 007,67</w:t>
            </w:r>
          </w:p>
        </w:tc>
      </w:tr>
      <w:tr w:rsidR="00AC7392" w:rsidRPr="00557EEC" w14:paraId="2B6ED36B" w14:textId="77777777" w:rsidTr="009A7729">
        <w:trPr>
          <w:gridAfter w:val="1"/>
          <w:wAfter w:w="38" w:type="dxa"/>
          <w:trHeight w:val="249"/>
        </w:trPr>
        <w:tc>
          <w:tcPr>
            <w:tcW w:w="2676" w:type="dxa"/>
            <w:tcBorders>
              <w:top w:val="nil"/>
              <w:left w:val="single" w:sz="12" w:space="0" w:color="FFFFFF"/>
              <w:bottom w:val="single" w:sz="12" w:space="0" w:color="FFFFFF"/>
              <w:right w:val="single" w:sz="12" w:space="0" w:color="FFFFFF"/>
            </w:tcBorders>
            <w:shd w:val="clear" w:color="000000" w:fill="8DB3E2"/>
            <w:vAlign w:val="center"/>
            <w:hideMark/>
          </w:tcPr>
          <w:p w14:paraId="13B99BE5" w14:textId="77777777" w:rsidR="00AC7392" w:rsidRPr="00557EEC" w:rsidRDefault="00AC7392" w:rsidP="00AC7392">
            <w:pPr>
              <w:spacing w:after="0" w:line="240" w:lineRule="auto"/>
              <w:rPr>
                <w:rFonts w:cs="Calibri"/>
                <w:b/>
                <w:bCs/>
                <w:sz w:val="20"/>
                <w:szCs w:val="20"/>
                <w:lang w:eastAsia="sk-SK"/>
              </w:rPr>
            </w:pPr>
            <w:r w:rsidRPr="00557EEC">
              <w:rPr>
                <w:rFonts w:cs="Calibri"/>
                <w:b/>
                <w:bCs/>
                <w:sz w:val="20"/>
                <w:szCs w:val="20"/>
                <w:lang w:eastAsia="sk-SK"/>
              </w:rPr>
              <w:t>Celkom</w:t>
            </w:r>
          </w:p>
        </w:tc>
        <w:tc>
          <w:tcPr>
            <w:tcW w:w="1282" w:type="dxa"/>
            <w:tcBorders>
              <w:top w:val="nil"/>
              <w:left w:val="nil"/>
              <w:bottom w:val="single" w:sz="12" w:space="0" w:color="FFFFFF"/>
              <w:right w:val="single" w:sz="12" w:space="0" w:color="FFFFFF"/>
            </w:tcBorders>
            <w:shd w:val="clear" w:color="000000" w:fill="8DB3E2"/>
            <w:vAlign w:val="center"/>
            <w:hideMark/>
          </w:tcPr>
          <w:p w14:paraId="529E4BA6" w14:textId="1F3F8358" w:rsidR="00AC7392" w:rsidRDefault="00AC7392" w:rsidP="00AC7392">
            <w:pPr>
              <w:jc w:val="right"/>
              <w:rPr>
                <w:rFonts w:cs="Calibri"/>
                <w:b/>
                <w:bCs/>
                <w:color w:val="000000"/>
                <w:sz w:val="18"/>
                <w:szCs w:val="18"/>
              </w:rPr>
            </w:pPr>
            <w:r>
              <w:rPr>
                <w:rFonts w:cs="Calibri"/>
                <w:b/>
                <w:bCs/>
                <w:color w:val="000000"/>
                <w:sz w:val="18"/>
                <w:szCs w:val="18"/>
              </w:rPr>
              <w:t>9 293 262,89</w:t>
            </w:r>
          </w:p>
        </w:tc>
        <w:tc>
          <w:tcPr>
            <w:tcW w:w="1281" w:type="dxa"/>
            <w:tcBorders>
              <w:top w:val="nil"/>
              <w:left w:val="nil"/>
              <w:bottom w:val="single" w:sz="12" w:space="0" w:color="FFFFFF"/>
              <w:right w:val="single" w:sz="12" w:space="0" w:color="FFFFFF"/>
            </w:tcBorders>
            <w:shd w:val="clear" w:color="000000" w:fill="8DB3E2"/>
            <w:vAlign w:val="center"/>
          </w:tcPr>
          <w:p w14:paraId="1DC906A2" w14:textId="714ED710" w:rsidR="00AC7392" w:rsidRDefault="00AC7392" w:rsidP="00AC7392">
            <w:pPr>
              <w:jc w:val="right"/>
              <w:rPr>
                <w:rFonts w:cs="Calibri"/>
                <w:b/>
                <w:bCs/>
                <w:color w:val="000000"/>
                <w:sz w:val="18"/>
                <w:szCs w:val="18"/>
              </w:rPr>
            </w:pPr>
            <w:r>
              <w:rPr>
                <w:rFonts w:cs="Calibri"/>
                <w:b/>
                <w:bCs/>
                <w:color w:val="000000"/>
                <w:sz w:val="18"/>
                <w:szCs w:val="18"/>
              </w:rPr>
              <w:t>8 465 551,05</w:t>
            </w:r>
          </w:p>
        </w:tc>
        <w:tc>
          <w:tcPr>
            <w:tcW w:w="1424" w:type="dxa"/>
            <w:tcBorders>
              <w:top w:val="nil"/>
              <w:left w:val="nil"/>
              <w:bottom w:val="single" w:sz="12" w:space="0" w:color="FFFFFF"/>
              <w:right w:val="single" w:sz="12" w:space="0" w:color="FFFFFF"/>
            </w:tcBorders>
            <w:shd w:val="clear" w:color="000000" w:fill="8DB3E2"/>
            <w:vAlign w:val="center"/>
          </w:tcPr>
          <w:p w14:paraId="44103AD6" w14:textId="789D6477" w:rsidR="00AC7392" w:rsidRDefault="00AC7392" w:rsidP="00AC7392">
            <w:pPr>
              <w:jc w:val="right"/>
              <w:rPr>
                <w:rFonts w:cs="Calibri"/>
                <w:b/>
                <w:bCs/>
                <w:color w:val="000000"/>
                <w:sz w:val="18"/>
                <w:szCs w:val="18"/>
              </w:rPr>
            </w:pPr>
            <w:r>
              <w:rPr>
                <w:rFonts w:cs="Calibri"/>
                <w:b/>
                <w:bCs/>
                <w:color w:val="000000"/>
                <w:sz w:val="18"/>
                <w:szCs w:val="18"/>
              </w:rPr>
              <w:t>8 928 777,26</w:t>
            </w:r>
          </w:p>
        </w:tc>
        <w:tc>
          <w:tcPr>
            <w:tcW w:w="1282" w:type="dxa"/>
            <w:tcBorders>
              <w:top w:val="nil"/>
              <w:left w:val="nil"/>
              <w:bottom w:val="single" w:sz="12" w:space="0" w:color="FFFFFF"/>
              <w:right w:val="single" w:sz="12" w:space="0" w:color="FFFFFF"/>
            </w:tcBorders>
            <w:shd w:val="clear" w:color="000000" w:fill="8DB3E2"/>
            <w:vAlign w:val="center"/>
          </w:tcPr>
          <w:p w14:paraId="3DADF03F" w14:textId="4924198C" w:rsidR="00AC7392" w:rsidRDefault="00AC7392" w:rsidP="00AC7392">
            <w:pPr>
              <w:jc w:val="right"/>
              <w:rPr>
                <w:rFonts w:cs="Calibri"/>
                <w:b/>
                <w:bCs/>
                <w:color w:val="000000"/>
                <w:sz w:val="18"/>
                <w:szCs w:val="18"/>
              </w:rPr>
            </w:pPr>
            <w:r>
              <w:rPr>
                <w:rFonts w:cs="Calibri"/>
                <w:b/>
                <w:bCs/>
                <w:color w:val="000000"/>
                <w:sz w:val="18"/>
                <w:szCs w:val="18"/>
              </w:rPr>
              <w:t>7 664 680,06</w:t>
            </w:r>
          </w:p>
        </w:tc>
        <w:tc>
          <w:tcPr>
            <w:tcW w:w="1205" w:type="dxa"/>
            <w:tcBorders>
              <w:top w:val="nil"/>
              <w:left w:val="nil"/>
              <w:bottom w:val="single" w:sz="12" w:space="0" w:color="FFFFFF"/>
              <w:right w:val="single" w:sz="12" w:space="0" w:color="FFFFFF"/>
            </w:tcBorders>
            <w:shd w:val="clear" w:color="000000" w:fill="8DB3E2"/>
            <w:vAlign w:val="center"/>
          </w:tcPr>
          <w:p w14:paraId="54E665D2" w14:textId="08F4F47E" w:rsidR="00AC7392" w:rsidRDefault="00AC7392" w:rsidP="00AC7392">
            <w:pPr>
              <w:jc w:val="right"/>
              <w:rPr>
                <w:rFonts w:cs="Calibri"/>
                <w:b/>
                <w:bCs/>
                <w:color w:val="000000"/>
                <w:sz w:val="18"/>
                <w:szCs w:val="18"/>
              </w:rPr>
            </w:pPr>
            <w:r>
              <w:rPr>
                <w:rFonts w:cs="Calibri"/>
                <w:b/>
                <w:bCs/>
                <w:color w:val="000000"/>
                <w:sz w:val="18"/>
                <w:szCs w:val="18"/>
              </w:rPr>
              <w:t>85,84%</w:t>
            </w:r>
          </w:p>
        </w:tc>
        <w:tc>
          <w:tcPr>
            <w:tcW w:w="1171" w:type="dxa"/>
            <w:tcBorders>
              <w:top w:val="nil"/>
              <w:left w:val="nil"/>
              <w:bottom w:val="single" w:sz="12" w:space="0" w:color="FFFFFF"/>
              <w:right w:val="single" w:sz="12" w:space="0" w:color="FFFFFF"/>
            </w:tcBorders>
            <w:shd w:val="clear" w:color="000000" w:fill="95B3D7"/>
            <w:vAlign w:val="center"/>
          </w:tcPr>
          <w:p w14:paraId="25DD0753" w14:textId="38543714" w:rsidR="00AC7392" w:rsidRDefault="00AC7392" w:rsidP="00AC7392">
            <w:pPr>
              <w:jc w:val="right"/>
              <w:rPr>
                <w:rFonts w:cs="Calibri"/>
                <w:b/>
                <w:bCs/>
                <w:color w:val="000000"/>
                <w:sz w:val="18"/>
                <w:szCs w:val="18"/>
              </w:rPr>
            </w:pPr>
            <w:r>
              <w:rPr>
                <w:rFonts w:cs="Calibri"/>
                <w:b/>
                <w:bCs/>
                <w:color w:val="000000"/>
                <w:sz w:val="18"/>
                <w:szCs w:val="18"/>
              </w:rPr>
              <w:t>463 226,21</w:t>
            </w:r>
          </w:p>
        </w:tc>
      </w:tr>
    </w:tbl>
    <w:p w14:paraId="55B188A9" w14:textId="77777777" w:rsidR="00BE704E" w:rsidRDefault="00BE704E" w:rsidP="00BE704E">
      <w:pPr>
        <w:spacing w:after="0" w:line="240" w:lineRule="auto"/>
        <w:jc w:val="both"/>
        <w:rPr>
          <w:rFonts w:ascii="Arial" w:hAnsi="Arial" w:cs="Arial"/>
          <w:sz w:val="20"/>
          <w:szCs w:val="20"/>
          <w:lang w:eastAsia="sk-SK"/>
        </w:rPr>
      </w:pPr>
    </w:p>
    <w:p w14:paraId="16D49E9A" w14:textId="77777777" w:rsidR="00BE704E" w:rsidRPr="00761018" w:rsidRDefault="00BE704E" w:rsidP="00614652">
      <w:pPr>
        <w:spacing w:line="240" w:lineRule="auto"/>
        <w:jc w:val="both"/>
        <w:rPr>
          <w:rFonts w:cs="Calibri"/>
          <w:sz w:val="24"/>
        </w:rPr>
      </w:pPr>
      <w:r w:rsidRPr="00293329">
        <w:rPr>
          <w:rFonts w:cs="Calibri"/>
          <w:b/>
          <w:sz w:val="24"/>
        </w:rPr>
        <w:lastRenderedPageBreak/>
        <w:t>Nedaňové bežné príjmy</w:t>
      </w:r>
      <w:r w:rsidRPr="00761018">
        <w:rPr>
          <w:rFonts w:cs="Calibri"/>
          <w:sz w:val="24"/>
        </w:rPr>
        <w:t xml:space="preserve"> predstavujú príjmy </w:t>
      </w:r>
      <w:r w:rsidRPr="00761018">
        <w:rPr>
          <w:rFonts w:cs="Calibri"/>
          <w:b/>
          <w:sz w:val="24"/>
        </w:rPr>
        <w:t>z prenájmu majetku</w:t>
      </w:r>
      <w:r w:rsidRPr="00761018">
        <w:rPr>
          <w:rFonts w:cs="Calibri"/>
          <w:sz w:val="24"/>
        </w:rPr>
        <w:t xml:space="preserve"> v správe Úradu BSK a rozpočtových organizácií v zriaďovateľskej pôsobnosti Bratislavského samosprávneho kraja. Taktiež do tejto kategórie patria príjmy</w:t>
      </w:r>
      <w:r w:rsidRPr="00761018">
        <w:rPr>
          <w:rFonts w:cs="Calibri"/>
          <w:b/>
          <w:sz w:val="24"/>
        </w:rPr>
        <w:t xml:space="preserve"> za vydané licencie v oblasti dopravy a zdravotníctva</w:t>
      </w:r>
      <w:r w:rsidRPr="00761018">
        <w:rPr>
          <w:rFonts w:cs="Calibri"/>
          <w:sz w:val="24"/>
        </w:rPr>
        <w:t xml:space="preserve">, príjmy vyplývajúce </w:t>
      </w:r>
      <w:r w:rsidRPr="00761018">
        <w:rPr>
          <w:rFonts w:cs="Calibri"/>
          <w:b/>
          <w:sz w:val="24"/>
        </w:rPr>
        <w:t>z činnosti etickej komisie</w:t>
      </w:r>
      <w:r w:rsidRPr="00761018">
        <w:rPr>
          <w:rFonts w:cs="Calibri"/>
          <w:sz w:val="24"/>
        </w:rPr>
        <w:t>, povolené prekročenia rozpočtu (napr. o príjmy</w:t>
      </w:r>
      <w:r w:rsidRPr="00761018">
        <w:rPr>
          <w:rFonts w:cs="Calibri"/>
          <w:b/>
          <w:sz w:val="24"/>
        </w:rPr>
        <w:t xml:space="preserve"> za stravné v školských jedálňach, o </w:t>
      </w:r>
      <w:r w:rsidRPr="00761018">
        <w:rPr>
          <w:rFonts w:cs="Calibri"/>
          <w:sz w:val="24"/>
        </w:rPr>
        <w:t xml:space="preserve">príjmy </w:t>
      </w:r>
      <w:r w:rsidRPr="00761018">
        <w:rPr>
          <w:rFonts w:cs="Calibri"/>
          <w:b/>
          <w:sz w:val="24"/>
        </w:rPr>
        <w:t xml:space="preserve">za ubytovanie v školských internátoch, o </w:t>
      </w:r>
      <w:r w:rsidRPr="00761018">
        <w:rPr>
          <w:rFonts w:cs="Calibri"/>
          <w:sz w:val="24"/>
        </w:rPr>
        <w:t>príjmy</w:t>
      </w:r>
      <w:r w:rsidRPr="00761018">
        <w:rPr>
          <w:rFonts w:cs="Calibri"/>
          <w:b/>
          <w:sz w:val="24"/>
        </w:rPr>
        <w:t xml:space="preserve"> za služby v domovoch sociálnych služieb za poskytované sociálne služby),</w:t>
      </w:r>
      <w:r w:rsidRPr="00761018">
        <w:rPr>
          <w:rFonts w:cs="Calibri"/>
          <w:sz w:val="24"/>
        </w:rPr>
        <w:t> </w:t>
      </w:r>
      <w:r w:rsidRPr="00761018">
        <w:rPr>
          <w:rFonts w:cs="Calibri"/>
          <w:b/>
          <w:sz w:val="24"/>
        </w:rPr>
        <w:t>prijaté úroky z vkladov na bankových účtoch a iné nedaňové príjmy.</w:t>
      </w:r>
      <w:r w:rsidRPr="00761018">
        <w:rPr>
          <w:rFonts w:cs="Calibri"/>
          <w:sz w:val="24"/>
        </w:rPr>
        <w:t xml:space="preserve"> </w:t>
      </w:r>
    </w:p>
    <w:p w14:paraId="2F361C3E" w14:textId="6812F23B" w:rsidR="00747E36" w:rsidRDefault="00BE704E" w:rsidP="00614652">
      <w:pPr>
        <w:spacing w:line="240" w:lineRule="auto"/>
        <w:jc w:val="both"/>
        <w:rPr>
          <w:rFonts w:cs="Calibri"/>
          <w:sz w:val="24"/>
          <w:szCs w:val="24"/>
        </w:rPr>
      </w:pPr>
      <w:r w:rsidRPr="003969F5">
        <w:rPr>
          <w:rFonts w:cs="Calibri"/>
          <w:b/>
          <w:sz w:val="24"/>
          <w:szCs w:val="24"/>
        </w:rPr>
        <w:t>K 31.12.20</w:t>
      </w:r>
      <w:r w:rsidR="009651D6">
        <w:rPr>
          <w:rFonts w:cs="Calibri"/>
          <w:b/>
          <w:sz w:val="24"/>
          <w:szCs w:val="24"/>
        </w:rPr>
        <w:t>20</w:t>
      </w:r>
      <w:r w:rsidRPr="003969F5">
        <w:rPr>
          <w:rFonts w:cs="Calibri"/>
          <w:sz w:val="24"/>
          <w:szCs w:val="24"/>
        </w:rPr>
        <w:t xml:space="preserve"> boli </w:t>
      </w:r>
      <w:r w:rsidRPr="003969F5">
        <w:rPr>
          <w:rFonts w:cs="Calibri"/>
          <w:b/>
          <w:sz w:val="24"/>
          <w:szCs w:val="24"/>
        </w:rPr>
        <w:t xml:space="preserve">nedaňové bežné príjmy vo výške  </w:t>
      </w:r>
      <w:r w:rsidR="00293329" w:rsidRPr="00293329">
        <w:rPr>
          <w:rFonts w:cs="Calibri"/>
          <w:b/>
          <w:sz w:val="24"/>
          <w:szCs w:val="24"/>
        </w:rPr>
        <w:t>6 785 279,06</w:t>
      </w:r>
      <w:r w:rsidR="00293329">
        <w:rPr>
          <w:rFonts w:cs="Calibri"/>
          <w:b/>
          <w:sz w:val="24"/>
          <w:szCs w:val="24"/>
        </w:rPr>
        <w:t xml:space="preserve"> </w:t>
      </w:r>
      <w:r w:rsidRPr="003969F5">
        <w:rPr>
          <w:rFonts w:cs="Calibri"/>
          <w:b/>
          <w:sz w:val="24"/>
          <w:szCs w:val="24"/>
        </w:rPr>
        <w:t>EUR</w:t>
      </w:r>
      <w:r w:rsidR="00C27114">
        <w:rPr>
          <w:rFonts w:cs="Calibri"/>
          <w:b/>
          <w:sz w:val="24"/>
          <w:szCs w:val="24"/>
        </w:rPr>
        <w:t xml:space="preserve"> </w:t>
      </w:r>
      <w:r w:rsidR="00C27114" w:rsidRPr="00C27114">
        <w:rPr>
          <w:rFonts w:cs="Calibri"/>
          <w:bCs/>
          <w:sz w:val="24"/>
          <w:szCs w:val="24"/>
        </w:rPr>
        <w:t>(</w:t>
      </w:r>
      <w:r w:rsidR="00293329">
        <w:rPr>
          <w:rFonts w:cs="Calibri"/>
          <w:bCs/>
          <w:sz w:val="24"/>
          <w:szCs w:val="24"/>
        </w:rPr>
        <w:t>pokles</w:t>
      </w:r>
      <w:r w:rsidR="00C27114" w:rsidRPr="00C27114">
        <w:rPr>
          <w:rFonts w:cs="Calibri"/>
          <w:bCs/>
          <w:sz w:val="24"/>
          <w:szCs w:val="24"/>
        </w:rPr>
        <w:t xml:space="preserve"> oproti roku 201</w:t>
      </w:r>
      <w:r w:rsidR="00293329">
        <w:rPr>
          <w:rFonts w:cs="Calibri"/>
          <w:bCs/>
          <w:sz w:val="24"/>
          <w:szCs w:val="24"/>
        </w:rPr>
        <w:t xml:space="preserve">9 cca o 2,5 </w:t>
      </w:r>
      <w:proofErr w:type="spellStart"/>
      <w:r w:rsidR="00293329">
        <w:rPr>
          <w:rFonts w:cs="Calibri"/>
          <w:bCs/>
          <w:sz w:val="24"/>
          <w:szCs w:val="24"/>
        </w:rPr>
        <w:t>mil</w:t>
      </w:r>
      <w:proofErr w:type="spellEnd"/>
      <w:r w:rsidR="00293329">
        <w:rPr>
          <w:rFonts w:cs="Calibri"/>
          <w:bCs/>
          <w:sz w:val="24"/>
          <w:szCs w:val="24"/>
        </w:rPr>
        <w:t xml:space="preserve">, </w:t>
      </w:r>
      <w:proofErr w:type="spellStart"/>
      <w:r w:rsidR="00293329">
        <w:rPr>
          <w:rFonts w:cs="Calibri"/>
          <w:bCs/>
          <w:sz w:val="24"/>
          <w:szCs w:val="24"/>
        </w:rPr>
        <w:t>t.z</w:t>
      </w:r>
      <w:proofErr w:type="spellEnd"/>
      <w:r w:rsidR="00293329">
        <w:rPr>
          <w:rFonts w:cs="Calibri"/>
          <w:bCs/>
          <w:sz w:val="24"/>
          <w:szCs w:val="24"/>
        </w:rPr>
        <w:t>. cca</w:t>
      </w:r>
      <w:r w:rsidR="00C27114" w:rsidRPr="00C27114">
        <w:rPr>
          <w:rFonts w:cs="Calibri"/>
          <w:bCs/>
          <w:sz w:val="24"/>
          <w:szCs w:val="24"/>
        </w:rPr>
        <w:t xml:space="preserve"> o</w:t>
      </w:r>
      <w:r w:rsidR="00293329">
        <w:rPr>
          <w:rFonts w:cs="Calibri"/>
          <w:bCs/>
          <w:sz w:val="24"/>
          <w:szCs w:val="24"/>
        </w:rPr>
        <w:t> 26,95</w:t>
      </w:r>
      <w:r w:rsidR="00C27114" w:rsidRPr="00C27114">
        <w:rPr>
          <w:rFonts w:cs="Calibri"/>
          <w:bCs/>
          <w:sz w:val="24"/>
          <w:szCs w:val="24"/>
        </w:rPr>
        <w:t>%)</w:t>
      </w:r>
      <w:r w:rsidRPr="003969F5">
        <w:rPr>
          <w:rFonts w:cs="Calibri"/>
          <w:sz w:val="24"/>
          <w:szCs w:val="24"/>
        </w:rPr>
        <w:t>. Na plnení bežných nedaňových</w:t>
      </w:r>
      <w:r w:rsidRPr="00E206EA">
        <w:rPr>
          <w:rFonts w:cs="Calibri"/>
          <w:sz w:val="24"/>
          <w:szCs w:val="24"/>
        </w:rPr>
        <w:t xml:space="preserve"> príjmov sa najvyššou mierou podieľali </w:t>
      </w:r>
      <w:r>
        <w:rPr>
          <w:rFonts w:cs="Calibri"/>
          <w:sz w:val="24"/>
          <w:szCs w:val="24"/>
        </w:rPr>
        <w:t>rozpočtové organizácie.</w:t>
      </w:r>
      <w:r w:rsidRPr="00E206EA">
        <w:rPr>
          <w:rFonts w:cs="Calibri"/>
          <w:sz w:val="24"/>
          <w:szCs w:val="24"/>
        </w:rPr>
        <w:t xml:space="preserve"> </w:t>
      </w:r>
      <w:r>
        <w:rPr>
          <w:rFonts w:cs="Calibri"/>
          <w:b/>
          <w:sz w:val="24"/>
          <w:szCs w:val="24"/>
        </w:rPr>
        <w:t>Z</w:t>
      </w:r>
      <w:r w:rsidRPr="00E206EA">
        <w:rPr>
          <w:rFonts w:cs="Calibri"/>
          <w:b/>
          <w:sz w:val="24"/>
          <w:szCs w:val="24"/>
        </w:rPr>
        <w:t xml:space="preserve">ariadenia sociálnych služieb v celkovej výške </w:t>
      </w:r>
      <w:r w:rsidR="00616C91" w:rsidRPr="00616C91">
        <w:rPr>
          <w:rFonts w:cs="Calibri"/>
          <w:b/>
          <w:sz w:val="24"/>
          <w:szCs w:val="24"/>
        </w:rPr>
        <w:t>3 070 488,50</w:t>
      </w:r>
      <w:r w:rsidR="00616C91">
        <w:rPr>
          <w:rFonts w:cs="Calibri"/>
          <w:b/>
          <w:sz w:val="24"/>
          <w:szCs w:val="24"/>
        </w:rPr>
        <w:t xml:space="preserve"> </w:t>
      </w:r>
      <w:r w:rsidRPr="00E206EA">
        <w:rPr>
          <w:rFonts w:cs="Calibri"/>
          <w:b/>
          <w:sz w:val="24"/>
          <w:szCs w:val="24"/>
        </w:rPr>
        <w:t>EUR</w:t>
      </w:r>
      <w:r w:rsidRPr="00E206EA">
        <w:rPr>
          <w:rFonts w:cs="Calibri"/>
          <w:sz w:val="24"/>
          <w:szCs w:val="24"/>
        </w:rPr>
        <w:t>, a to príjmami od klientov domovov dôchodcov a domovov sociálnych služieb</w:t>
      </w:r>
      <w:r>
        <w:rPr>
          <w:rFonts w:cs="Calibri"/>
          <w:sz w:val="24"/>
          <w:szCs w:val="24"/>
        </w:rPr>
        <w:t xml:space="preserve"> najmä za nájomné, stravné a</w:t>
      </w:r>
      <w:r w:rsidR="00131E1C">
        <w:rPr>
          <w:rFonts w:cs="Calibri"/>
          <w:sz w:val="24"/>
          <w:szCs w:val="24"/>
        </w:rPr>
        <w:t> </w:t>
      </w:r>
      <w:r>
        <w:rPr>
          <w:rFonts w:cs="Calibri"/>
          <w:sz w:val="24"/>
          <w:szCs w:val="24"/>
        </w:rPr>
        <w:t>ošetrovné</w:t>
      </w:r>
      <w:r w:rsidR="00131E1C">
        <w:rPr>
          <w:rFonts w:cs="Calibri"/>
          <w:sz w:val="24"/>
          <w:szCs w:val="24"/>
        </w:rPr>
        <w:t>,</w:t>
      </w:r>
      <w:r w:rsidR="00131E1C" w:rsidRPr="00131E1C">
        <w:t xml:space="preserve"> </w:t>
      </w:r>
      <w:r w:rsidR="00131E1C">
        <w:t xml:space="preserve">platbami za predaj výrobkov, tovarov a služieb, </w:t>
      </w:r>
      <w:r>
        <w:rPr>
          <w:rFonts w:cs="Calibri"/>
          <w:sz w:val="24"/>
          <w:szCs w:val="24"/>
        </w:rPr>
        <w:t xml:space="preserve">a tiež </w:t>
      </w:r>
      <w:r w:rsidRPr="00FA3856">
        <w:rPr>
          <w:rFonts w:cs="Calibri"/>
          <w:b/>
          <w:sz w:val="24"/>
          <w:szCs w:val="24"/>
        </w:rPr>
        <w:t>školy a školské zariadenia v</w:t>
      </w:r>
      <w:r w:rsidRPr="00E206EA">
        <w:rPr>
          <w:rFonts w:cs="Calibri"/>
          <w:b/>
          <w:sz w:val="24"/>
          <w:szCs w:val="24"/>
        </w:rPr>
        <w:t xml:space="preserve">o výške </w:t>
      </w:r>
      <w:r>
        <w:rPr>
          <w:rFonts w:cs="Calibri"/>
          <w:b/>
          <w:sz w:val="24"/>
          <w:szCs w:val="24"/>
        </w:rPr>
        <w:t xml:space="preserve"> </w:t>
      </w:r>
      <w:r w:rsidR="00616C91" w:rsidRPr="00616C91">
        <w:rPr>
          <w:rFonts w:cs="Calibri"/>
          <w:b/>
          <w:sz w:val="24"/>
          <w:szCs w:val="24"/>
        </w:rPr>
        <w:t>2 718 210,73</w:t>
      </w:r>
      <w:r w:rsidR="00616C91">
        <w:rPr>
          <w:rFonts w:cs="Calibri"/>
          <w:b/>
          <w:sz w:val="24"/>
          <w:szCs w:val="24"/>
        </w:rPr>
        <w:t xml:space="preserve"> </w:t>
      </w:r>
      <w:r w:rsidRPr="00E206EA">
        <w:rPr>
          <w:rFonts w:cs="Calibri"/>
          <w:b/>
          <w:sz w:val="24"/>
          <w:szCs w:val="24"/>
        </w:rPr>
        <w:t>EUR</w:t>
      </w:r>
      <w:r>
        <w:rPr>
          <w:rFonts w:cs="Calibri"/>
          <w:b/>
          <w:sz w:val="24"/>
          <w:szCs w:val="24"/>
        </w:rPr>
        <w:t xml:space="preserve">, </w:t>
      </w:r>
      <w:r w:rsidRPr="00365523">
        <w:rPr>
          <w:rFonts w:cs="Calibri"/>
          <w:sz w:val="24"/>
          <w:szCs w:val="24"/>
        </w:rPr>
        <w:t>príjmami</w:t>
      </w:r>
      <w:r>
        <w:rPr>
          <w:rFonts w:cs="Calibri"/>
          <w:b/>
          <w:sz w:val="24"/>
          <w:szCs w:val="24"/>
        </w:rPr>
        <w:t xml:space="preserve"> </w:t>
      </w:r>
      <w:r w:rsidRPr="000D0F0B">
        <w:rPr>
          <w:rFonts w:cs="Calibri"/>
          <w:sz w:val="24"/>
          <w:szCs w:val="24"/>
        </w:rPr>
        <w:t>za služby týkajúce sa stravného</w:t>
      </w:r>
      <w:r>
        <w:rPr>
          <w:rFonts w:cs="Calibri"/>
          <w:sz w:val="24"/>
          <w:szCs w:val="24"/>
        </w:rPr>
        <w:t xml:space="preserve">, </w:t>
      </w:r>
      <w:r w:rsidRPr="000D0F0B">
        <w:rPr>
          <w:rFonts w:cs="Calibri"/>
          <w:sz w:val="24"/>
          <w:szCs w:val="24"/>
        </w:rPr>
        <w:t xml:space="preserve">školských internátov, </w:t>
      </w:r>
      <w:r w:rsidR="00131E1C">
        <w:t xml:space="preserve">poplatkami za ubytovacie služby a platby od rodičov </w:t>
      </w:r>
      <w:r w:rsidRPr="000D0F0B">
        <w:rPr>
          <w:rFonts w:cs="Calibri"/>
          <w:sz w:val="24"/>
          <w:szCs w:val="24"/>
        </w:rPr>
        <w:t>alebo prenájmu nevyužitých priestorov</w:t>
      </w:r>
      <w:r>
        <w:rPr>
          <w:rFonts w:cs="Calibri"/>
          <w:sz w:val="24"/>
          <w:szCs w:val="24"/>
        </w:rPr>
        <w:t>.</w:t>
      </w:r>
    </w:p>
    <w:tbl>
      <w:tblPr>
        <w:tblW w:w="5000" w:type="pct"/>
        <w:tblCellMar>
          <w:left w:w="70" w:type="dxa"/>
          <w:right w:w="70" w:type="dxa"/>
        </w:tblCellMar>
        <w:tblLook w:val="04A0" w:firstRow="1" w:lastRow="0" w:firstColumn="1" w:lastColumn="0" w:noHBand="0" w:noVBand="1"/>
      </w:tblPr>
      <w:tblGrid>
        <w:gridCol w:w="2700"/>
        <w:gridCol w:w="1254"/>
        <w:gridCol w:w="1428"/>
        <w:gridCol w:w="1273"/>
        <w:gridCol w:w="1332"/>
        <w:gridCol w:w="1234"/>
        <w:gridCol w:w="1215"/>
      </w:tblGrid>
      <w:tr w:rsidR="00747E36" w:rsidRPr="00747E36" w14:paraId="7E58E314" w14:textId="77777777" w:rsidTr="00747E36">
        <w:trPr>
          <w:trHeight w:val="990"/>
        </w:trPr>
        <w:tc>
          <w:tcPr>
            <w:tcW w:w="1294" w:type="pc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51B112EC" w14:textId="77777777" w:rsidR="00747E36" w:rsidRPr="00747E36" w:rsidRDefault="00747E36" w:rsidP="00747E36">
            <w:pPr>
              <w:spacing w:after="0" w:line="240" w:lineRule="auto"/>
              <w:jc w:val="center"/>
              <w:rPr>
                <w:rFonts w:cs="Calibri"/>
                <w:b/>
                <w:bCs/>
                <w:color w:val="000000"/>
                <w:sz w:val="18"/>
                <w:szCs w:val="18"/>
                <w:lang w:eastAsia="sk-SK"/>
              </w:rPr>
            </w:pPr>
            <w:r w:rsidRPr="00747E36">
              <w:rPr>
                <w:rFonts w:cs="Calibri"/>
                <w:b/>
                <w:bCs/>
                <w:color w:val="000000"/>
                <w:sz w:val="18"/>
                <w:szCs w:val="18"/>
                <w:lang w:eastAsia="sk-SK"/>
              </w:rPr>
              <w:t>Nedaňové bežné príjmy BSK</w:t>
            </w:r>
          </w:p>
        </w:tc>
        <w:tc>
          <w:tcPr>
            <w:tcW w:w="601" w:type="pct"/>
            <w:tcBorders>
              <w:top w:val="single" w:sz="12" w:space="0" w:color="FFFFFF"/>
              <w:left w:val="nil"/>
              <w:bottom w:val="single" w:sz="12" w:space="0" w:color="FFFFFF"/>
              <w:right w:val="single" w:sz="12" w:space="0" w:color="FFFFFF"/>
            </w:tcBorders>
            <w:shd w:val="clear" w:color="000000" w:fill="8DB3E2"/>
            <w:vAlign w:val="center"/>
            <w:hideMark/>
          </w:tcPr>
          <w:p w14:paraId="112FDA74" w14:textId="77777777" w:rsidR="00747E36" w:rsidRPr="00747E36" w:rsidRDefault="00747E36" w:rsidP="00747E36">
            <w:pPr>
              <w:spacing w:after="0" w:line="240" w:lineRule="auto"/>
              <w:jc w:val="center"/>
              <w:rPr>
                <w:rFonts w:cs="Calibri"/>
                <w:b/>
                <w:bCs/>
                <w:color w:val="000000"/>
                <w:sz w:val="18"/>
                <w:szCs w:val="18"/>
                <w:lang w:eastAsia="sk-SK"/>
              </w:rPr>
            </w:pPr>
            <w:r w:rsidRPr="00747E36">
              <w:rPr>
                <w:rFonts w:cs="Calibri"/>
                <w:b/>
                <w:bCs/>
                <w:color w:val="000000"/>
                <w:sz w:val="18"/>
                <w:szCs w:val="18"/>
                <w:lang w:eastAsia="sk-SK"/>
              </w:rPr>
              <w:t>Plnenie rozpočtu k 31.12.2019</w:t>
            </w:r>
          </w:p>
        </w:tc>
        <w:tc>
          <w:tcPr>
            <w:tcW w:w="684" w:type="pct"/>
            <w:tcBorders>
              <w:top w:val="single" w:sz="12" w:space="0" w:color="FFFFFF"/>
              <w:left w:val="nil"/>
              <w:bottom w:val="single" w:sz="12" w:space="0" w:color="FFFFFF"/>
              <w:right w:val="single" w:sz="12" w:space="0" w:color="FFFFFF"/>
            </w:tcBorders>
            <w:shd w:val="clear" w:color="000000" w:fill="8DB3E2"/>
            <w:vAlign w:val="center"/>
            <w:hideMark/>
          </w:tcPr>
          <w:p w14:paraId="73DC4B23" w14:textId="77777777" w:rsidR="00747E36" w:rsidRPr="00747E36" w:rsidRDefault="00747E36" w:rsidP="00747E36">
            <w:pPr>
              <w:spacing w:after="0" w:line="240" w:lineRule="auto"/>
              <w:jc w:val="center"/>
              <w:rPr>
                <w:rFonts w:cs="Calibri"/>
                <w:b/>
                <w:bCs/>
                <w:color w:val="000000"/>
                <w:sz w:val="18"/>
                <w:szCs w:val="18"/>
                <w:lang w:eastAsia="sk-SK"/>
              </w:rPr>
            </w:pPr>
            <w:r w:rsidRPr="00747E36">
              <w:rPr>
                <w:rFonts w:cs="Calibri"/>
                <w:b/>
                <w:bCs/>
                <w:color w:val="000000"/>
                <w:sz w:val="18"/>
                <w:szCs w:val="18"/>
                <w:lang w:eastAsia="sk-SK"/>
              </w:rPr>
              <w:t xml:space="preserve">Schválený rozpočet 2020 </w:t>
            </w:r>
          </w:p>
        </w:tc>
        <w:tc>
          <w:tcPr>
            <w:tcW w:w="610" w:type="pct"/>
            <w:tcBorders>
              <w:top w:val="single" w:sz="12" w:space="0" w:color="FFFFFF"/>
              <w:left w:val="nil"/>
              <w:bottom w:val="single" w:sz="12" w:space="0" w:color="FFFFFF"/>
              <w:right w:val="single" w:sz="12" w:space="0" w:color="FFFFFF"/>
            </w:tcBorders>
            <w:shd w:val="clear" w:color="000000" w:fill="8DB3E2"/>
            <w:vAlign w:val="center"/>
            <w:hideMark/>
          </w:tcPr>
          <w:p w14:paraId="653B63FD" w14:textId="77777777" w:rsidR="00747E36" w:rsidRPr="00747E36" w:rsidRDefault="00747E36" w:rsidP="00747E36">
            <w:pPr>
              <w:spacing w:after="0" w:line="240" w:lineRule="auto"/>
              <w:jc w:val="center"/>
              <w:rPr>
                <w:rFonts w:cs="Calibri"/>
                <w:b/>
                <w:bCs/>
                <w:color w:val="000000"/>
                <w:sz w:val="18"/>
                <w:szCs w:val="18"/>
                <w:lang w:eastAsia="sk-SK"/>
              </w:rPr>
            </w:pPr>
            <w:r w:rsidRPr="00747E36">
              <w:rPr>
                <w:rFonts w:cs="Calibri"/>
                <w:b/>
                <w:bCs/>
                <w:color w:val="000000"/>
                <w:sz w:val="18"/>
                <w:szCs w:val="18"/>
                <w:lang w:eastAsia="sk-SK"/>
              </w:rPr>
              <w:t>Zmenený rozpočet k 31.12.2020</w:t>
            </w:r>
          </w:p>
        </w:tc>
        <w:tc>
          <w:tcPr>
            <w:tcW w:w="638" w:type="pct"/>
            <w:tcBorders>
              <w:top w:val="single" w:sz="12" w:space="0" w:color="FFFFFF"/>
              <w:left w:val="nil"/>
              <w:bottom w:val="single" w:sz="12" w:space="0" w:color="FFFFFF"/>
              <w:right w:val="single" w:sz="12" w:space="0" w:color="FFFFFF"/>
            </w:tcBorders>
            <w:shd w:val="clear" w:color="000000" w:fill="8DB3E2"/>
            <w:vAlign w:val="center"/>
            <w:hideMark/>
          </w:tcPr>
          <w:p w14:paraId="3277DEDE" w14:textId="77777777" w:rsidR="00747E36" w:rsidRPr="00747E36" w:rsidRDefault="00747E36" w:rsidP="00747E36">
            <w:pPr>
              <w:spacing w:after="0" w:line="240" w:lineRule="auto"/>
              <w:jc w:val="center"/>
              <w:rPr>
                <w:rFonts w:cs="Calibri"/>
                <w:b/>
                <w:bCs/>
                <w:color w:val="000000"/>
                <w:sz w:val="18"/>
                <w:szCs w:val="18"/>
                <w:lang w:eastAsia="sk-SK"/>
              </w:rPr>
            </w:pPr>
            <w:r w:rsidRPr="00747E36">
              <w:rPr>
                <w:rFonts w:cs="Calibri"/>
                <w:b/>
                <w:bCs/>
                <w:color w:val="000000"/>
                <w:sz w:val="18"/>
                <w:szCs w:val="18"/>
                <w:lang w:eastAsia="sk-SK"/>
              </w:rPr>
              <w:t xml:space="preserve">Plnenie rozpočtu k 31.12.2020 </w:t>
            </w:r>
          </w:p>
        </w:tc>
        <w:tc>
          <w:tcPr>
            <w:tcW w:w="591" w:type="pct"/>
            <w:tcBorders>
              <w:top w:val="single" w:sz="12" w:space="0" w:color="FFFFFF"/>
              <w:left w:val="nil"/>
              <w:bottom w:val="single" w:sz="12" w:space="0" w:color="FFFFFF"/>
              <w:right w:val="single" w:sz="12" w:space="0" w:color="FFFFFF"/>
            </w:tcBorders>
            <w:shd w:val="clear" w:color="000000" w:fill="8DB3E2"/>
            <w:vAlign w:val="center"/>
            <w:hideMark/>
          </w:tcPr>
          <w:p w14:paraId="3BADAB16" w14:textId="77777777" w:rsidR="00747E36" w:rsidRPr="00747E36" w:rsidRDefault="00747E36" w:rsidP="00747E36">
            <w:pPr>
              <w:spacing w:after="0" w:line="240" w:lineRule="auto"/>
              <w:jc w:val="center"/>
              <w:rPr>
                <w:rFonts w:cs="Calibri"/>
                <w:b/>
                <w:bCs/>
                <w:color w:val="000000"/>
                <w:sz w:val="18"/>
                <w:szCs w:val="18"/>
                <w:lang w:eastAsia="sk-SK"/>
              </w:rPr>
            </w:pPr>
            <w:r w:rsidRPr="00747E36">
              <w:rPr>
                <w:rFonts w:cs="Calibri"/>
                <w:b/>
                <w:bCs/>
                <w:color w:val="000000"/>
                <w:sz w:val="18"/>
                <w:szCs w:val="18"/>
                <w:lang w:eastAsia="sk-SK"/>
              </w:rPr>
              <w:t>% plnenie k zmenenému rozpočtu k 31.12.2020</w:t>
            </w:r>
          </w:p>
        </w:tc>
        <w:tc>
          <w:tcPr>
            <w:tcW w:w="582" w:type="pct"/>
            <w:tcBorders>
              <w:top w:val="single" w:sz="12" w:space="0" w:color="FFFFFF"/>
              <w:left w:val="nil"/>
              <w:bottom w:val="single" w:sz="12" w:space="0" w:color="FFFFFF"/>
              <w:right w:val="single" w:sz="12" w:space="0" w:color="FFFFFF"/>
            </w:tcBorders>
            <w:shd w:val="clear" w:color="000000" w:fill="8DB3E2"/>
            <w:vAlign w:val="center"/>
            <w:hideMark/>
          </w:tcPr>
          <w:p w14:paraId="10894CED" w14:textId="77777777" w:rsidR="00747E36" w:rsidRPr="00747E36" w:rsidRDefault="00747E36" w:rsidP="00747E36">
            <w:pPr>
              <w:spacing w:after="0" w:line="240" w:lineRule="auto"/>
              <w:jc w:val="center"/>
              <w:rPr>
                <w:rFonts w:cs="Calibri"/>
                <w:b/>
                <w:bCs/>
                <w:color w:val="000000"/>
                <w:sz w:val="18"/>
                <w:szCs w:val="18"/>
                <w:lang w:eastAsia="sk-SK"/>
              </w:rPr>
            </w:pPr>
            <w:r w:rsidRPr="00747E36">
              <w:rPr>
                <w:rFonts w:cs="Calibri"/>
                <w:b/>
                <w:bCs/>
                <w:color w:val="000000"/>
                <w:sz w:val="18"/>
                <w:szCs w:val="18"/>
                <w:lang w:eastAsia="sk-SK"/>
              </w:rPr>
              <w:t>zmeny rozpočtu</w:t>
            </w:r>
          </w:p>
        </w:tc>
      </w:tr>
      <w:tr w:rsidR="00747E36" w:rsidRPr="00747E36" w14:paraId="543D9A6D"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D9D9D9"/>
            <w:vAlign w:val="center"/>
            <w:hideMark/>
          </w:tcPr>
          <w:p w14:paraId="330C854E" w14:textId="77777777" w:rsidR="00747E36" w:rsidRPr="00747E36" w:rsidRDefault="00747E36" w:rsidP="00747E36">
            <w:pPr>
              <w:spacing w:after="0" w:line="240" w:lineRule="auto"/>
              <w:rPr>
                <w:rFonts w:cs="Calibri"/>
                <w:b/>
                <w:bCs/>
                <w:color w:val="000000"/>
                <w:sz w:val="18"/>
                <w:szCs w:val="18"/>
                <w:lang w:eastAsia="sk-SK"/>
              </w:rPr>
            </w:pPr>
            <w:r w:rsidRPr="00747E36">
              <w:rPr>
                <w:rFonts w:cs="Calibri"/>
                <w:b/>
                <w:bCs/>
                <w:color w:val="000000"/>
                <w:sz w:val="18"/>
                <w:szCs w:val="18"/>
                <w:lang w:eastAsia="sk-SK"/>
              </w:rPr>
              <w:t>Úrad BSK</w:t>
            </w:r>
          </w:p>
        </w:tc>
        <w:tc>
          <w:tcPr>
            <w:tcW w:w="601" w:type="pct"/>
            <w:tcBorders>
              <w:top w:val="nil"/>
              <w:left w:val="nil"/>
              <w:bottom w:val="single" w:sz="12" w:space="0" w:color="FFFFFF"/>
              <w:right w:val="single" w:sz="12" w:space="0" w:color="FFFFFF"/>
            </w:tcBorders>
            <w:shd w:val="clear" w:color="000000" w:fill="D9D9D9"/>
            <w:vAlign w:val="center"/>
            <w:hideMark/>
          </w:tcPr>
          <w:p w14:paraId="0262D1BD"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1 687 724,31</w:t>
            </w:r>
          </w:p>
        </w:tc>
        <w:tc>
          <w:tcPr>
            <w:tcW w:w="684" w:type="pct"/>
            <w:tcBorders>
              <w:top w:val="nil"/>
              <w:left w:val="nil"/>
              <w:bottom w:val="single" w:sz="12" w:space="0" w:color="FFFFFF"/>
              <w:right w:val="single" w:sz="12" w:space="0" w:color="FFFFFF"/>
            </w:tcBorders>
            <w:shd w:val="clear" w:color="000000" w:fill="D9D9D9"/>
            <w:vAlign w:val="center"/>
            <w:hideMark/>
          </w:tcPr>
          <w:p w14:paraId="2414EF51"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921 740,46</w:t>
            </w:r>
          </w:p>
        </w:tc>
        <w:tc>
          <w:tcPr>
            <w:tcW w:w="610" w:type="pct"/>
            <w:tcBorders>
              <w:top w:val="nil"/>
              <w:left w:val="nil"/>
              <w:bottom w:val="single" w:sz="12" w:space="0" w:color="FFFFFF"/>
              <w:right w:val="single" w:sz="12" w:space="0" w:color="FFFFFF"/>
            </w:tcBorders>
            <w:shd w:val="clear" w:color="000000" w:fill="D9D9D9"/>
            <w:vAlign w:val="center"/>
            <w:hideMark/>
          </w:tcPr>
          <w:p w14:paraId="522DBDFC"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921 740,46</w:t>
            </w:r>
          </w:p>
        </w:tc>
        <w:tc>
          <w:tcPr>
            <w:tcW w:w="638" w:type="pct"/>
            <w:tcBorders>
              <w:top w:val="nil"/>
              <w:left w:val="nil"/>
              <w:bottom w:val="single" w:sz="12" w:space="0" w:color="FFFFFF"/>
              <w:right w:val="single" w:sz="12" w:space="0" w:color="FFFFFF"/>
            </w:tcBorders>
            <w:shd w:val="clear" w:color="000000" w:fill="D9D9D9"/>
            <w:vAlign w:val="center"/>
            <w:hideMark/>
          </w:tcPr>
          <w:p w14:paraId="3FDE48EF"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997 179,83</w:t>
            </w:r>
          </w:p>
        </w:tc>
        <w:tc>
          <w:tcPr>
            <w:tcW w:w="591" w:type="pct"/>
            <w:tcBorders>
              <w:top w:val="nil"/>
              <w:left w:val="nil"/>
              <w:bottom w:val="single" w:sz="12" w:space="0" w:color="FFFFFF"/>
              <w:right w:val="single" w:sz="12" w:space="0" w:color="FFFFFF"/>
            </w:tcBorders>
            <w:shd w:val="clear" w:color="000000" w:fill="D9D9D9"/>
            <w:vAlign w:val="center"/>
            <w:hideMark/>
          </w:tcPr>
          <w:p w14:paraId="4DA0D13D"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108,18%</w:t>
            </w:r>
          </w:p>
        </w:tc>
        <w:tc>
          <w:tcPr>
            <w:tcW w:w="582" w:type="pct"/>
            <w:tcBorders>
              <w:top w:val="nil"/>
              <w:left w:val="nil"/>
              <w:bottom w:val="single" w:sz="12" w:space="0" w:color="FFFFFF"/>
              <w:right w:val="single" w:sz="12" w:space="0" w:color="FFFFFF"/>
            </w:tcBorders>
            <w:shd w:val="clear" w:color="000000" w:fill="D9D9D9"/>
            <w:vAlign w:val="center"/>
            <w:hideMark/>
          </w:tcPr>
          <w:p w14:paraId="2D87F7E3"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0,00</w:t>
            </w:r>
          </w:p>
        </w:tc>
      </w:tr>
      <w:tr w:rsidR="00747E36" w:rsidRPr="00747E36" w14:paraId="0DB17586"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5A5A3511"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210 - Príjmy z prenájmu</w:t>
            </w:r>
          </w:p>
        </w:tc>
        <w:tc>
          <w:tcPr>
            <w:tcW w:w="601" w:type="pct"/>
            <w:tcBorders>
              <w:top w:val="nil"/>
              <w:left w:val="nil"/>
              <w:bottom w:val="single" w:sz="12" w:space="0" w:color="FFFFFF"/>
              <w:right w:val="single" w:sz="12" w:space="0" w:color="FFFFFF"/>
            </w:tcBorders>
            <w:shd w:val="clear" w:color="000000" w:fill="F2F2F2"/>
            <w:vAlign w:val="center"/>
            <w:hideMark/>
          </w:tcPr>
          <w:p w14:paraId="51B2B57A"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1 039 432,30</w:t>
            </w:r>
          </w:p>
        </w:tc>
        <w:tc>
          <w:tcPr>
            <w:tcW w:w="684" w:type="pct"/>
            <w:tcBorders>
              <w:top w:val="nil"/>
              <w:left w:val="nil"/>
              <w:bottom w:val="single" w:sz="12" w:space="0" w:color="FFFFFF"/>
              <w:right w:val="single" w:sz="12" w:space="0" w:color="FFFFFF"/>
            </w:tcBorders>
            <w:shd w:val="clear" w:color="000000" w:fill="F2F2F2"/>
            <w:vAlign w:val="center"/>
            <w:hideMark/>
          </w:tcPr>
          <w:p w14:paraId="4FE8DD2A"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567 349,22</w:t>
            </w:r>
          </w:p>
        </w:tc>
        <w:tc>
          <w:tcPr>
            <w:tcW w:w="610" w:type="pct"/>
            <w:tcBorders>
              <w:top w:val="nil"/>
              <w:left w:val="nil"/>
              <w:bottom w:val="single" w:sz="12" w:space="0" w:color="FFFFFF"/>
              <w:right w:val="single" w:sz="12" w:space="0" w:color="FFFFFF"/>
            </w:tcBorders>
            <w:shd w:val="clear" w:color="000000" w:fill="F2F2F2"/>
            <w:vAlign w:val="center"/>
            <w:hideMark/>
          </w:tcPr>
          <w:p w14:paraId="337977EA"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567 349,22</w:t>
            </w:r>
          </w:p>
        </w:tc>
        <w:tc>
          <w:tcPr>
            <w:tcW w:w="638" w:type="pct"/>
            <w:tcBorders>
              <w:top w:val="nil"/>
              <w:left w:val="nil"/>
              <w:bottom w:val="single" w:sz="12" w:space="0" w:color="FFFFFF"/>
              <w:right w:val="single" w:sz="12" w:space="0" w:color="FFFFFF"/>
            </w:tcBorders>
            <w:shd w:val="clear" w:color="000000" w:fill="F2F2F2"/>
            <w:vAlign w:val="center"/>
            <w:hideMark/>
          </w:tcPr>
          <w:p w14:paraId="55FA15D0"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360 106,43</w:t>
            </w:r>
          </w:p>
        </w:tc>
        <w:tc>
          <w:tcPr>
            <w:tcW w:w="591" w:type="pct"/>
            <w:tcBorders>
              <w:top w:val="nil"/>
              <w:left w:val="nil"/>
              <w:bottom w:val="single" w:sz="12" w:space="0" w:color="FFFFFF"/>
              <w:right w:val="single" w:sz="12" w:space="0" w:color="FFFFFF"/>
            </w:tcBorders>
            <w:shd w:val="clear" w:color="000000" w:fill="F2F2F2"/>
            <w:vAlign w:val="center"/>
            <w:hideMark/>
          </w:tcPr>
          <w:p w14:paraId="7623A32D"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63,47%</w:t>
            </w:r>
          </w:p>
        </w:tc>
        <w:tc>
          <w:tcPr>
            <w:tcW w:w="582" w:type="pct"/>
            <w:tcBorders>
              <w:top w:val="nil"/>
              <w:left w:val="nil"/>
              <w:bottom w:val="single" w:sz="12" w:space="0" w:color="FFFFFF"/>
              <w:right w:val="single" w:sz="12" w:space="0" w:color="FFFFFF"/>
            </w:tcBorders>
            <w:shd w:val="clear" w:color="000000" w:fill="F2F2F2"/>
            <w:vAlign w:val="center"/>
            <w:hideMark/>
          </w:tcPr>
          <w:p w14:paraId="5037F4A6"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61818585"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6BF65AC3"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220 - Admin. a iné pop. a platby</w:t>
            </w:r>
          </w:p>
        </w:tc>
        <w:tc>
          <w:tcPr>
            <w:tcW w:w="601" w:type="pct"/>
            <w:tcBorders>
              <w:top w:val="nil"/>
              <w:left w:val="nil"/>
              <w:bottom w:val="single" w:sz="12" w:space="0" w:color="FFFFFF"/>
              <w:right w:val="single" w:sz="12" w:space="0" w:color="FFFFFF"/>
            </w:tcBorders>
            <w:shd w:val="clear" w:color="000000" w:fill="F2F2F2"/>
            <w:vAlign w:val="center"/>
            <w:hideMark/>
          </w:tcPr>
          <w:p w14:paraId="6504D6CF"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177 366,16</w:t>
            </w:r>
          </w:p>
        </w:tc>
        <w:tc>
          <w:tcPr>
            <w:tcW w:w="684" w:type="pct"/>
            <w:tcBorders>
              <w:top w:val="nil"/>
              <w:left w:val="nil"/>
              <w:bottom w:val="single" w:sz="12" w:space="0" w:color="FFFFFF"/>
              <w:right w:val="single" w:sz="12" w:space="0" w:color="FFFFFF"/>
            </w:tcBorders>
            <w:shd w:val="clear" w:color="000000" w:fill="F2F2F2"/>
            <w:vAlign w:val="center"/>
            <w:hideMark/>
          </w:tcPr>
          <w:p w14:paraId="05B1B9AA"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121 275,00</w:t>
            </w:r>
          </w:p>
        </w:tc>
        <w:tc>
          <w:tcPr>
            <w:tcW w:w="610" w:type="pct"/>
            <w:tcBorders>
              <w:top w:val="nil"/>
              <w:left w:val="nil"/>
              <w:bottom w:val="single" w:sz="12" w:space="0" w:color="FFFFFF"/>
              <w:right w:val="single" w:sz="12" w:space="0" w:color="FFFFFF"/>
            </w:tcBorders>
            <w:shd w:val="clear" w:color="000000" w:fill="F2F2F2"/>
            <w:vAlign w:val="center"/>
            <w:hideMark/>
          </w:tcPr>
          <w:p w14:paraId="0E2C68E8"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121 275,00</w:t>
            </w:r>
          </w:p>
        </w:tc>
        <w:tc>
          <w:tcPr>
            <w:tcW w:w="638" w:type="pct"/>
            <w:tcBorders>
              <w:top w:val="nil"/>
              <w:left w:val="nil"/>
              <w:bottom w:val="single" w:sz="12" w:space="0" w:color="FFFFFF"/>
              <w:right w:val="single" w:sz="12" w:space="0" w:color="FFFFFF"/>
            </w:tcBorders>
            <w:shd w:val="clear" w:color="000000" w:fill="F2F2F2"/>
            <w:vAlign w:val="center"/>
            <w:hideMark/>
          </w:tcPr>
          <w:p w14:paraId="58C13DF5"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157 356,82</w:t>
            </w:r>
          </w:p>
        </w:tc>
        <w:tc>
          <w:tcPr>
            <w:tcW w:w="591" w:type="pct"/>
            <w:tcBorders>
              <w:top w:val="nil"/>
              <w:left w:val="nil"/>
              <w:bottom w:val="single" w:sz="12" w:space="0" w:color="FFFFFF"/>
              <w:right w:val="single" w:sz="12" w:space="0" w:color="FFFFFF"/>
            </w:tcBorders>
            <w:shd w:val="clear" w:color="000000" w:fill="F2F2F2"/>
            <w:vAlign w:val="center"/>
            <w:hideMark/>
          </w:tcPr>
          <w:p w14:paraId="0872CA42"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129,75%</w:t>
            </w:r>
          </w:p>
        </w:tc>
        <w:tc>
          <w:tcPr>
            <w:tcW w:w="582" w:type="pct"/>
            <w:tcBorders>
              <w:top w:val="nil"/>
              <w:left w:val="nil"/>
              <w:bottom w:val="single" w:sz="12" w:space="0" w:color="FFFFFF"/>
              <w:right w:val="single" w:sz="12" w:space="0" w:color="FFFFFF"/>
            </w:tcBorders>
            <w:shd w:val="clear" w:color="000000" w:fill="F2F2F2"/>
            <w:vAlign w:val="center"/>
            <w:hideMark/>
          </w:tcPr>
          <w:p w14:paraId="36C5E8D2"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0346B0C8"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40EC393A" w14:textId="1FB3C444"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 xml:space="preserve">240 </w:t>
            </w:r>
            <w:r w:rsidR="009F3097">
              <w:rPr>
                <w:rFonts w:cs="Calibri"/>
                <w:color w:val="000000"/>
                <w:sz w:val="18"/>
                <w:szCs w:val="18"/>
                <w:lang w:eastAsia="sk-SK"/>
              </w:rPr>
              <w:t>–</w:t>
            </w:r>
            <w:r w:rsidRPr="00747E36">
              <w:rPr>
                <w:rFonts w:cs="Calibri"/>
                <w:color w:val="000000"/>
                <w:sz w:val="18"/>
                <w:szCs w:val="18"/>
                <w:lang w:eastAsia="sk-SK"/>
              </w:rPr>
              <w:t xml:space="preserve"> Úroky</w:t>
            </w:r>
          </w:p>
        </w:tc>
        <w:tc>
          <w:tcPr>
            <w:tcW w:w="601" w:type="pct"/>
            <w:tcBorders>
              <w:top w:val="nil"/>
              <w:left w:val="nil"/>
              <w:bottom w:val="single" w:sz="12" w:space="0" w:color="FFFFFF"/>
              <w:right w:val="single" w:sz="12" w:space="0" w:color="FFFFFF"/>
            </w:tcBorders>
            <w:shd w:val="clear" w:color="000000" w:fill="F2F2F2"/>
            <w:vAlign w:val="center"/>
            <w:hideMark/>
          </w:tcPr>
          <w:p w14:paraId="415C2DDA"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1 181,66</w:t>
            </w:r>
          </w:p>
        </w:tc>
        <w:tc>
          <w:tcPr>
            <w:tcW w:w="684" w:type="pct"/>
            <w:tcBorders>
              <w:top w:val="nil"/>
              <w:left w:val="nil"/>
              <w:bottom w:val="single" w:sz="12" w:space="0" w:color="FFFFFF"/>
              <w:right w:val="single" w:sz="12" w:space="0" w:color="FFFFFF"/>
            </w:tcBorders>
            <w:shd w:val="clear" w:color="000000" w:fill="F2F2F2"/>
            <w:vAlign w:val="center"/>
            <w:hideMark/>
          </w:tcPr>
          <w:p w14:paraId="0857DE7D"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1 000,00</w:t>
            </w:r>
          </w:p>
        </w:tc>
        <w:tc>
          <w:tcPr>
            <w:tcW w:w="610" w:type="pct"/>
            <w:tcBorders>
              <w:top w:val="nil"/>
              <w:left w:val="nil"/>
              <w:bottom w:val="single" w:sz="12" w:space="0" w:color="FFFFFF"/>
              <w:right w:val="single" w:sz="12" w:space="0" w:color="FFFFFF"/>
            </w:tcBorders>
            <w:shd w:val="clear" w:color="000000" w:fill="F2F2F2"/>
            <w:vAlign w:val="center"/>
            <w:hideMark/>
          </w:tcPr>
          <w:p w14:paraId="2DFF102B"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1 000,00</w:t>
            </w:r>
          </w:p>
        </w:tc>
        <w:tc>
          <w:tcPr>
            <w:tcW w:w="638" w:type="pct"/>
            <w:tcBorders>
              <w:top w:val="nil"/>
              <w:left w:val="nil"/>
              <w:bottom w:val="single" w:sz="12" w:space="0" w:color="FFFFFF"/>
              <w:right w:val="single" w:sz="12" w:space="0" w:color="FFFFFF"/>
            </w:tcBorders>
            <w:shd w:val="clear" w:color="000000" w:fill="F2F2F2"/>
            <w:vAlign w:val="center"/>
            <w:hideMark/>
          </w:tcPr>
          <w:p w14:paraId="2D1C0249"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1 495,77</w:t>
            </w:r>
          </w:p>
        </w:tc>
        <w:tc>
          <w:tcPr>
            <w:tcW w:w="591" w:type="pct"/>
            <w:tcBorders>
              <w:top w:val="nil"/>
              <w:left w:val="nil"/>
              <w:bottom w:val="single" w:sz="12" w:space="0" w:color="FFFFFF"/>
              <w:right w:val="single" w:sz="12" w:space="0" w:color="FFFFFF"/>
            </w:tcBorders>
            <w:shd w:val="clear" w:color="000000" w:fill="F2F2F2"/>
            <w:vAlign w:val="center"/>
            <w:hideMark/>
          </w:tcPr>
          <w:p w14:paraId="26907AFF"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149,58%</w:t>
            </w:r>
          </w:p>
        </w:tc>
        <w:tc>
          <w:tcPr>
            <w:tcW w:w="582" w:type="pct"/>
            <w:tcBorders>
              <w:top w:val="nil"/>
              <w:left w:val="nil"/>
              <w:bottom w:val="single" w:sz="12" w:space="0" w:color="FFFFFF"/>
              <w:right w:val="single" w:sz="12" w:space="0" w:color="FFFFFF"/>
            </w:tcBorders>
            <w:shd w:val="clear" w:color="000000" w:fill="F2F2F2"/>
            <w:vAlign w:val="center"/>
            <w:hideMark/>
          </w:tcPr>
          <w:p w14:paraId="0FCB3F43"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64BCAF14"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49F8880D"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290 - Iné nedaňové príjmy</w:t>
            </w:r>
          </w:p>
        </w:tc>
        <w:tc>
          <w:tcPr>
            <w:tcW w:w="601" w:type="pct"/>
            <w:tcBorders>
              <w:top w:val="nil"/>
              <w:left w:val="nil"/>
              <w:bottom w:val="single" w:sz="12" w:space="0" w:color="FFFFFF"/>
              <w:right w:val="single" w:sz="12" w:space="0" w:color="FFFFFF"/>
            </w:tcBorders>
            <w:shd w:val="clear" w:color="000000" w:fill="F2F2F2"/>
            <w:vAlign w:val="center"/>
            <w:hideMark/>
          </w:tcPr>
          <w:p w14:paraId="5E8838AF"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469 744,19</w:t>
            </w:r>
          </w:p>
        </w:tc>
        <w:tc>
          <w:tcPr>
            <w:tcW w:w="684" w:type="pct"/>
            <w:tcBorders>
              <w:top w:val="nil"/>
              <w:left w:val="nil"/>
              <w:bottom w:val="single" w:sz="12" w:space="0" w:color="FFFFFF"/>
              <w:right w:val="single" w:sz="12" w:space="0" w:color="FFFFFF"/>
            </w:tcBorders>
            <w:shd w:val="clear" w:color="000000" w:fill="F2F2F2"/>
            <w:vAlign w:val="center"/>
            <w:hideMark/>
          </w:tcPr>
          <w:p w14:paraId="2AF379E0"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232 116,24</w:t>
            </w:r>
          </w:p>
        </w:tc>
        <w:tc>
          <w:tcPr>
            <w:tcW w:w="610" w:type="pct"/>
            <w:tcBorders>
              <w:top w:val="nil"/>
              <w:left w:val="nil"/>
              <w:bottom w:val="single" w:sz="12" w:space="0" w:color="FFFFFF"/>
              <w:right w:val="single" w:sz="12" w:space="0" w:color="FFFFFF"/>
            </w:tcBorders>
            <w:shd w:val="clear" w:color="000000" w:fill="F2F2F2"/>
            <w:vAlign w:val="center"/>
            <w:hideMark/>
          </w:tcPr>
          <w:p w14:paraId="59975A38"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232 116,24</w:t>
            </w:r>
          </w:p>
        </w:tc>
        <w:tc>
          <w:tcPr>
            <w:tcW w:w="638" w:type="pct"/>
            <w:tcBorders>
              <w:top w:val="nil"/>
              <w:left w:val="nil"/>
              <w:bottom w:val="single" w:sz="12" w:space="0" w:color="FFFFFF"/>
              <w:right w:val="single" w:sz="12" w:space="0" w:color="FFFFFF"/>
            </w:tcBorders>
            <w:shd w:val="clear" w:color="000000" w:fill="F2F2F2"/>
            <w:vAlign w:val="center"/>
            <w:hideMark/>
          </w:tcPr>
          <w:p w14:paraId="1E6CFA00"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478 220,81</w:t>
            </w:r>
          </w:p>
        </w:tc>
        <w:tc>
          <w:tcPr>
            <w:tcW w:w="591" w:type="pct"/>
            <w:tcBorders>
              <w:top w:val="nil"/>
              <w:left w:val="nil"/>
              <w:bottom w:val="single" w:sz="12" w:space="0" w:color="FFFFFF"/>
              <w:right w:val="single" w:sz="12" w:space="0" w:color="FFFFFF"/>
            </w:tcBorders>
            <w:shd w:val="clear" w:color="000000" w:fill="F2F2F2"/>
            <w:vAlign w:val="center"/>
            <w:hideMark/>
          </w:tcPr>
          <w:p w14:paraId="55BF9BCE"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206,03%</w:t>
            </w:r>
          </w:p>
        </w:tc>
        <w:tc>
          <w:tcPr>
            <w:tcW w:w="582" w:type="pct"/>
            <w:tcBorders>
              <w:top w:val="nil"/>
              <w:left w:val="nil"/>
              <w:bottom w:val="single" w:sz="12" w:space="0" w:color="FFFFFF"/>
              <w:right w:val="single" w:sz="12" w:space="0" w:color="FFFFFF"/>
            </w:tcBorders>
            <w:shd w:val="clear" w:color="000000" w:fill="F2F2F2"/>
            <w:vAlign w:val="center"/>
            <w:hideMark/>
          </w:tcPr>
          <w:p w14:paraId="32C90474"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48A647A3"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D9D9D9"/>
            <w:vAlign w:val="center"/>
            <w:hideMark/>
          </w:tcPr>
          <w:p w14:paraId="35958369" w14:textId="77777777" w:rsidR="00747E36" w:rsidRPr="00747E36" w:rsidRDefault="00747E36" w:rsidP="00747E36">
            <w:pPr>
              <w:spacing w:after="0" w:line="240" w:lineRule="auto"/>
              <w:rPr>
                <w:rFonts w:cs="Calibri"/>
                <w:b/>
                <w:bCs/>
                <w:color w:val="000000"/>
                <w:sz w:val="18"/>
                <w:szCs w:val="18"/>
                <w:lang w:eastAsia="sk-SK"/>
              </w:rPr>
            </w:pPr>
            <w:r w:rsidRPr="00747E36">
              <w:rPr>
                <w:rFonts w:cs="Calibri"/>
                <w:b/>
                <w:bCs/>
                <w:color w:val="000000"/>
                <w:sz w:val="18"/>
                <w:szCs w:val="18"/>
                <w:lang w:eastAsia="sk-SK"/>
              </w:rPr>
              <w:t>Sociálne zariadenia</w:t>
            </w:r>
          </w:p>
        </w:tc>
        <w:tc>
          <w:tcPr>
            <w:tcW w:w="601" w:type="pct"/>
            <w:tcBorders>
              <w:top w:val="nil"/>
              <w:left w:val="nil"/>
              <w:bottom w:val="single" w:sz="12" w:space="0" w:color="FFFFFF"/>
              <w:right w:val="single" w:sz="12" w:space="0" w:color="FFFFFF"/>
            </w:tcBorders>
            <w:shd w:val="clear" w:color="000000" w:fill="D9D9D9"/>
            <w:vAlign w:val="center"/>
            <w:hideMark/>
          </w:tcPr>
          <w:p w14:paraId="43DF1143"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3 512 054,89</w:t>
            </w:r>
          </w:p>
        </w:tc>
        <w:tc>
          <w:tcPr>
            <w:tcW w:w="684" w:type="pct"/>
            <w:tcBorders>
              <w:top w:val="nil"/>
              <w:left w:val="nil"/>
              <w:bottom w:val="single" w:sz="12" w:space="0" w:color="FFFFFF"/>
              <w:right w:val="single" w:sz="12" w:space="0" w:color="FFFFFF"/>
            </w:tcBorders>
            <w:shd w:val="clear" w:color="000000" w:fill="D9D9D9"/>
            <w:vAlign w:val="center"/>
            <w:hideMark/>
          </w:tcPr>
          <w:p w14:paraId="5FA60111"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3 390 183,59</w:t>
            </w:r>
          </w:p>
        </w:tc>
        <w:tc>
          <w:tcPr>
            <w:tcW w:w="610" w:type="pct"/>
            <w:tcBorders>
              <w:top w:val="nil"/>
              <w:left w:val="nil"/>
              <w:bottom w:val="single" w:sz="12" w:space="0" w:color="FFFFFF"/>
              <w:right w:val="single" w:sz="12" w:space="0" w:color="FFFFFF"/>
            </w:tcBorders>
            <w:shd w:val="clear" w:color="000000" w:fill="D9D9D9"/>
            <w:vAlign w:val="center"/>
            <w:hideMark/>
          </w:tcPr>
          <w:p w14:paraId="7E83DF2F"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3 390 183,59</w:t>
            </w:r>
          </w:p>
        </w:tc>
        <w:tc>
          <w:tcPr>
            <w:tcW w:w="638" w:type="pct"/>
            <w:tcBorders>
              <w:top w:val="nil"/>
              <w:left w:val="nil"/>
              <w:bottom w:val="single" w:sz="12" w:space="0" w:color="FFFFFF"/>
              <w:right w:val="single" w:sz="12" w:space="0" w:color="FFFFFF"/>
            </w:tcBorders>
            <w:shd w:val="clear" w:color="000000" w:fill="D9D9D9"/>
            <w:vAlign w:val="center"/>
            <w:hideMark/>
          </w:tcPr>
          <w:p w14:paraId="24161180"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3 070 488,50</w:t>
            </w:r>
          </w:p>
        </w:tc>
        <w:tc>
          <w:tcPr>
            <w:tcW w:w="591" w:type="pct"/>
            <w:tcBorders>
              <w:top w:val="nil"/>
              <w:left w:val="nil"/>
              <w:bottom w:val="single" w:sz="12" w:space="0" w:color="FFFFFF"/>
              <w:right w:val="single" w:sz="12" w:space="0" w:color="FFFFFF"/>
            </w:tcBorders>
            <w:shd w:val="clear" w:color="000000" w:fill="D9D9D9"/>
            <w:vAlign w:val="center"/>
            <w:hideMark/>
          </w:tcPr>
          <w:p w14:paraId="7DAA260D"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90,57%</w:t>
            </w:r>
          </w:p>
        </w:tc>
        <w:tc>
          <w:tcPr>
            <w:tcW w:w="582" w:type="pct"/>
            <w:tcBorders>
              <w:top w:val="nil"/>
              <w:left w:val="nil"/>
              <w:bottom w:val="single" w:sz="12" w:space="0" w:color="FFFFFF"/>
              <w:right w:val="single" w:sz="12" w:space="0" w:color="FFFFFF"/>
            </w:tcBorders>
            <w:shd w:val="clear" w:color="000000" w:fill="D9D9D9"/>
            <w:vAlign w:val="center"/>
            <w:hideMark/>
          </w:tcPr>
          <w:p w14:paraId="0382B6AA"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0,00</w:t>
            </w:r>
          </w:p>
        </w:tc>
      </w:tr>
      <w:tr w:rsidR="00747E36" w:rsidRPr="00747E36" w14:paraId="488B9EDD"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2E1714AE"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210 - Príjmy z prenájmu</w:t>
            </w:r>
          </w:p>
        </w:tc>
        <w:tc>
          <w:tcPr>
            <w:tcW w:w="601" w:type="pct"/>
            <w:tcBorders>
              <w:top w:val="nil"/>
              <w:left w:val="nil"/>
              <w:bottom w:val="single" w:sz="12" w:space="0" w:color="FFFFFF"/>
              <w:right w:val="single" w:sz="12" w:space="0" w:color="FFFFFF"/>
            </w:tcBorders>
            <w:shd w:val="clear" w:color="000000" w:fill="F2F2F2"/>
            <w:vAlign w:val="center"/>
            <w:hideMark/>
          </w:tcPr>
          <w:p w14:paraId="4681103B"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344 992,27</w:t>
            </w:r>
          </w:p>
        </w:tc>
        <w:tc>
          <w:tcPr>
            <w:tcW w:w="684" w:type="pct"/>
            <w:tcBorders>
              <w:top w:val="nil"/>
              <w:left w:val="nil"/>
              <w:bottom w:val="single" w:sz="12" w:space="0" w:color="FFFFFF"/>
              <w:right w:val="single" w:sz="12" w:space="0" w:color="FFFFFF"/>
            </w:tcBorders>
            <w:shd w:val="clear" w:color="000000" w:fill="F2F2F2"/>
            <w:vAlign w:val="center"/>
            <w:hideMark/>
          </w:tcPr>
          <w:p w14:paraId="60588A0A"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288 629,04</w:t>
            </w:r>
          </w:p>
        </w:tc>
        <w:tc>
          <w:tcPr>
            <w:tcW w:w="610" w:type="pct"/>
            <w:tcBorders>
              <w:top w:val="nil"/>
              <w:left w:val="nil"/>
              <w:bottom w:val="single" w:sz="12" w:space="0" w:color="FFFFFF"/>
              <w:right w:val="single" w:sz="12" w:space="0" w:color="FFFFFF"/>
            </w:tcBorders>
            <w:shd w:val="clear" w:color="000000" w:fill="F2F2F2"/>
            <w:vAlign w:val="center"/>
            <w:hideMark/>
          </w:tcPr>
          <w:p w14:paraId="3FB47CF9"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288 629,04</w:t>
            </w:r>
          </w:p>
        </w:tc>
        <w:tc>
          <w:tcPr>
            <w:tcW w:w="638" w:type="pct"/>
            <w:tcBorders>
              <w:top w:val="nil"/>
              <w:left w:val="nil"/>
              <w:bottom w:val="single" w:sz="12" w:space="0" w:color="FFFFFF"/>
              <w:right w:val="single" w:sz="12" w:space="0" w:color="FFFFFF"/>
            </w:tcBorders>
            <w:shd w:val="clear" w:color="000000" w:fill="F2F2F2"/>
            <w:vAlign w:val="center"/>
            <w:hideMark/>
          </w:tcPr>
          <w:p w14:paraId="0A2B200C"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175 401,76</w:t>
            </w:r>
          </w:p>
        </w:tc>
        <w:tc>
          <w:tcPr>
            <w:tcW w:w="591" w:type="pct"/>
            <w:tcBorders>
              <w:top w:val="nil"/>
              <w:left w:val="nil"/>
              <w:bottom w:val="single" w:sz="12" w:space="0" w:color="FFFFFF"/>
              <w:right w:val="single" w:sz="12" w:space="0" w:color="FFFFFF"/>
            </w:tcBorders>
            <w:shd w:val="clear" w:color="000000" w:fill="F2F2F2"/>
            <w:vAlign w:val="center"/>
            <w:hideMark/>
          </w:tcPr>
          <w:p w14:paraId="337919B1"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60,77%</w:t>
            </w:r>
          </w:p>
        </w:tc>
        <w:tc>
          <w:tcPr>
            <w:tcW w:w="582" w:type="pct"/>
            <w:tcBorders>
              <w:top w:val="nil"/>
              <w:left w:val="nil"/>
              <w:bottom w:val="single" w:sz="12" w:space="0" w:color="FFFFFF"/>
              <w:right w:val="single" w:sz="12" w:space="0" w:color="FFFFFF"/>
            </w:tcBorders>
            <w:shd w:val="clear" w:color="000000" w:fill="F2F2F2"/>
            <w:vAlign w:val="center"/>
            <w:hideMark/>
          </w:tcPr>
          <w:p w14:paraId="47DB7105"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4526F91B"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2F5A5A28"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220 - Admin. a iné pop. a platby</w:t>
            </w:r>
          </w:p>
        </w:tc>
        <w:tc>
          <w:tcPr>
            <w:tcW w:w="601" w:type="pct"/>
            <w:tcBorders>
              <w:top w:val="nil"/>
              <w:left w:val="nil"/>
              <w:bottom w:val="single" w:sz="12" w:space="0" w:color="FFFFFF"/>
              <w:right w:val="single" w:sz="12" w:space="0" w:color="FFFFFF"/>
            </w:tcBorders>
            <w:shd w:val="clear" w:color="000000" w:fill="F2F2F2"/>
            <w:vAlign w:val="center"/>
            <w:hideMark/>
          </w:tcPr>
          <w:p w14:paraId="38416A27"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3 095 075,28</w:t>
            </w:r>
          </w:p>
        </w:tc>
        <w:tc>
          <w:tcPr>
            <w:tcW w:w="684" w:type="pct"/>
            <w:tcBorders>
              <w:top w:val="nil"/>
              <w:left w:val="nil"/>
              <w:bottom w:val="single" w:sz="12" w:space="0" w:color="FFFFFF"/>
              <w:right w:val="single" w:sz="12" w:space="0" w:color="FFFFFF"/>
            </w:tcBorders>
            <w:shd w:val="clear" w:color="000000" w:fill="F2F2F2"/>
            <w:vAlign w:val="center"/>
            <w:hideMark/>
          </w:tcPr>
          <w:p w14:paraId="409227CB"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3 099 554,55</w:t>
            </w:r>
          </w:p>
        </w:tc>
        <w:tc>
          <w:tcPr>
            <w:tcW w:w="610" w:type="pct"/>
            <w:tcBorders>
              <w:top w:val="nil"/>
              <w:left w:val="nil"/>
              <w:bottom w:val="single" w:sz="12" w:space="0" w:color="FFFFFF"/>
              <w:right w:val="single" w:sz="12" w:space="0" w:color="FFFFFF"/>
            </w:tcBorders>
            <w:shd w:val="clear" w:color="000000" w:fill="F2F2F2"/>
            <w:vAlign w:val="center"/>
            <w:hideMark/>
          </w:tcPr>
          <w:p w14:paraId="420D777B"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3 099 554,55</w:t>
            </w:r>
          </w:p>
        </w:tc>
        <w:tc>
          <w:tcPr>
            <w:tcW w:w="638" w:type="pct"/>
            <w:tcBorders>
              <w:top w:val="nil"/>
              <w:left w:val="nil"/>
              <w:bottom w:val="single" w:sz="12" w:space="0" w:color="FFFFFF"/>
              <w:right w:val="single" w:sz="12" w:space="0" w:color="FFFFFF"/>
            </w:tcBorders>
            <w:shd w:val="clear" w:color="000000" w:fill="F2F2F2"/>
            <w:vAlign w:val="center"/>
            <w:hideMark/>
          </w:tcPr>
          <w:p w14:paraId="19AD7045"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2 842 845,02</w:t>
            </w:r>
          </w:p>
        </w:tc>
        <w:tc>
          <w:tcPr>
            <w:tcW w:w="591" w:type="pct"/>
            <w:tcBorders>
              <w:top w:val="nil"/>
              <w:left w:val="nil"/>
              <w:bottom w:val="single" w:sz="12" w:space="0" w:color="FFFFFF"/>
              <w:right w:val="single" w:sz="12" w:space="0" w:color="FFFFFF"/>
            </w:tcBorders>
            <w:shd w:val="clear" w:color="000000" w:fill="F2F2F2"/>
            <w:vAlign w:val="center"/>
            <w:hideMark/>
          </w:tcPr>
          <w:p w14:paraId="2DB8BE97"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91,72%</w:t>
            </w:r>
          </w:p>
        </w:tc>
        <w:tc>
          <w:tcPr>
            <w:tcW w:w="582" w:type="pct"/>
            <w:tcBorders>
              <w:top w:val="nil"/>
              <w:left w:val="nil"/>
              <w:bottom w:val="single" w:sz="12" w:space="0" w:color="FFFFFF"/>
              <w:right w:val="single" w:sz="12" w:space="0" w:color="FFFFFF"/>
            </w:tcBorders>
            <w:shd w:val="clear" w:color="000000" w:fill="F2F2F2"/>
            <w:vAlign w:val="center"/>
            <w:hideMark/>
          </w:tcPr>
          <w:p w14:paraId="23747130"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4DB8CB76"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032F6345" w14:textId="3300CCC2"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 xml:space="preserve">240 </w:t>
            </w:r>
            <w:r w:rsidR="009F3097">
              <w:rPr>
                <w:rFonts w:cs="Calibri"/>
                <w:color w:val="000000"/>
                <w:sz w:val="18"/>
                <w:szCs w:val="18"/>
                <w:lang w:eastAsia="sk-SK"/>
              </w:rPr>
              <w:t>–</w:t>
            </w:r>
            <w:r w:rsidRPr="00747E36">
              <w:rPr>
                <w:rFonts w:cs="Calibri"/>
                <w:color w:val="000000"/>
                <w:sz w:val="18"/>
                <w:szCs w:val="18"/>
                <w:lang w:eastAsia="sk-SK"/>
              </w:rPr>
              <w:t xml:space="preserve"> Úroky</w:t>
            </w:r>
          </w:p>
        </w:tc>
        <w:tc>
          <w:tcPr>
            <w:tcW w:w="601" w:type="pct"/>
            <w:tcBorders>
              <w:top w:val="nil"/>
              <w:left w:val="nil"/>
              <w:bottom w:val="single" w:sz="12" w:space="0" w:color="FFFFFF"/>
              <w:right w:val="single" w:sz="12" w:space="0" w:color="FFFFFF"/>
            </w:tcBorders>
            <w:shd w:val="clear" w:color="000000" w:fill="F2F2F2"/>
            <w:vAlign w:val="center"/>
            <w:hideMark/>
          </w:tcPr>
          <w:p w14:paraId="4BFFF51B"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198,55</w:t>
            </w:r>
          </w:p>
        </w:tc>
        <w:tc>
          <w:tcPr>
            <w:tcW w:w="684" w:type="pct"/>
            <w:tcBorders>
              <w:top w:val="nil"/>
              <w:left w:val="nil"/>
              <w:bottom w:val="single" w:sz="12" w:space="0" w:color="FFFFFF"/>
              <w:right w:val="single" w:sz="12" w:space="0" w:color="FFFFFF"/>
            </w:tcBorders>
            <w:shd w:val="clear" w:color="000000" w:fill="F2F2F2"/>
            <w:vAlign w:val="center"/>
            <w:hideMark/>
          </w:tcPr>
          <w:p w14:paraId="356AD8A4"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0,00</w:t>
            </w:r>
          </w:p>
        </w:tc>
        <w:tc>
          <w:tcPr>
            <w:tcW w:w="610" w:type="pct"/>
            <w:tcBorders>
              <w:top w:val="nil"/>
              <w:left w:val="nil"/>
              <w:bottom w:val="single" w:sz="12" w:space="0" w:color="FFFFFF"/>
              <w:right w:val="single" w:sz="12" w:space="0" w:color="FFFFFF"/>
            </w:tcBorders>
            <w:shd w:val="clear" w:color="000000" w:fill="F2F2F2"/>
            <w:vAlign w:val="center"/>
            <w:hideMark/>
          </w:tcPr>
          <w:p w14:paraId="5F05CF29"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0,00</w:t>
            </w:r>
          </w:p>
        </w:tc>
        <w:tc>
          <w:tcPr>
            <w:tcW w:w="638" w:type="pct"/>
            <w:tcBorders>
              <w:top w:val="nil"/>
              <w:left w:val="nil"/>
              <w:bottom w:val="single" w:sz="12" w:space="0" w:color="FFFFFF"/>
              <w:right w:val="single" w:sz="12" w:space="0" w:color="FFFFFF"/>
            </w:tcBorders>
            <w:shd w:val="clear" w:color="000000" w:fill="F2F2F2"/>
            <w:vAlign w:val="center"/>
            <w:hideMark/>
          </w:tcPr>
          <w:p w14:paraId="7CE951F3"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117,63</w:t>
            </w:r>
          </w:p>
        </w:tc>
        <w:tc>
          <w:tcPr>
            <w:tcW w:w="591" w:type="pct"/>
            <w:tcBorders>
              <w:top w:val="nil"/>
              <w:left w:val="nil"/>
              <w:bottom w:val="single" w:sz="12" w:space="0" w:color="FFFFFF"/>
              <w:right w:val="single" w:sz="12" w:space="0" w:color="FFFFFF"/>
            </w:tcBorders>
            <w:shd w:val="clear" w:color="000000" w:fill="F2F2F2"/>
            <w:vAlign w:val="center"/>
            <w:hideMark/>
          </w:tcPr>
          <w:p w14:paraId="1DF9D35C"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c>
          <w:tcPr>
            <w:tcW w:w="582" w:type="pct"/>
            <w:tcBorders>
              <w:top w:val="nil"/>
              <w:left w:val="nil"/>
              <w:bottom w:val="single" w:sz="12" w:space="0" w:color="FFFFFF"/>
              <w:right w:val="single" w:sz="12" w:space="0" w:color="FFFFFF"/>
            </w:tcBorders>
            <w:shd w:val="clear" w:color="000000" w:fill="F2F2F2"/>
            <w:vAlign w:val="center"/>
            <w:hideMark/>
          </w:tcPr>
          <w:p w14:paraId="142E4279"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41A64DF3"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45624DDA"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290 - Iné nedaňové príjmy</w:t>
            </w:r>
          </w:p>
        </w:tc>
        <w:tc>
          <w:tcPr>
            <w:tcW w:w="601" w:type="pct"/>
            <w:tcBorders>
              <w:top w:val="nil"/>
              <w:left w:val="nil"/>
              <w:bottom w:val="single" w:sz="12" w:space="0" w:color="FFFFFF"/>
              <w:right w:val="single" w:sz="12" w:space="0" w:color="FFFFFF"/>
            </w:tcBorders>
            <w:shd w:val="clear" w:color="000000" w:fill="F2F2F2"/>
            <w:vAlign w:val="center"/>
            <w:hideMark/>
          </w:tcPr>
          <w:p w14:paraId="675171D2"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71 788,79</w:t>
            </w:r>
          </w:p>
        </w:tc>
        <w:tc>
          <w:tcPr>
            <w:tcW w:w="684" w:type="pct"/>
            <w:tcBorders>
              <w:top w:val="nil"/>
              <w:left w:val="nil"/>
              <w:bottom w:val="single" w:sz="12" w:space="0" w:color="FFFFFF"/>
              <w:right w:val="single" w:sz="12" w:space="0" w:color="FFFFFF"/>
            </w:tcBorders>
            <w:shd w:val="clear" w:color="000000" w:fill="F2F2F2"/>
            <w:vAlign w:val="center"/>
            <w:hideMark/>
          </w:tcPr>
          <w:p w14:paraId="3A886606"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2 000,00</w:t>
            </w:r>
          </w:p>
        </w:tc>
        <w:tc>
          <w:tcPr>
            <w:tcW w:w="610" w:type="pct"/>
            <w:tcBorders>
              <w:top w:val="nil"/>
              <w:left w:val="nil"/>
              <w:bottom w:val="single" w:sz="12" w:space="0" w:color="FFFFFF"/>
              <w:right w:val="single" w:sz="12" w:space="0" w:color="FFFFFF"/>
            </w:tcBorders>
            <w:shd w:val="clear" w:color="000000" w:fill="F2F2F2"/>
            <w:vAlign w:val="center"/>
            <w:hideMark/>
          </w:tcPr>
          <w:p w14:paraId="1DBEBAC4"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2 000,00</w:t>
            </w:r>
          </w:p>
        </w:tc>
        <w:tc>
          <w:tcPr>
            <w:tcW w:w="638" w:type="pct"/>
            <w:tcBorders>
              <w:top w:val="nil"/>
              <w:left w:val="nil"/>
              <w:bottom w:val="single" w:sz="12" w:space="0" w:color="FFFFFF"/>
              <w:right w:val="single" w:sz="12" w:space="0" w:color="FFFFFF"/>
            </w:tcBorders>
            <w:shd w:val="clear" w:color="000000" w:fill="F2F2F2"/>
            <w:vAlign w:val="center"/>
            <w:hideMark/>
          </w:tcPr>
          <w:p w14:paraId="390FA8BA"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52 124,09</w:t>
            </w:r>
          </w:p>
        </w:tc>
        <w:tc>
          <w:tcPr>
            <w:tcW w:w="591" w:type="pct"/>
            <w:tcBorders>
              <w:top w:val="nil"/>
              <w:left w:val="nil"/>
              <w:bottom w:val="single" w:sz="12" w:space="0" w:color="FFFFFF"/>
              <w:right w:val="single" w:sz="12" w:space="0" w:color="FFFFFF"/>
            </w:tcBorders>
            <w:shd w:val="clear" w:color="000000" w:fill="F2F2F2"/>
            <w:vAlign w:val="center"/>
            <w:hideMark/>
          </w:tcPr>
          <w:p w14:paraId="28C8B1E7"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2606,20%</w:t>
            </w:r>
          </w:p>
        </w:tc>
        <w:tc>
          <w:tcPr>
            <w:tcW w:w="582" w:type="pct"/>
            <w:tcBorders>
              <w:top w:val="nil"/>
              <w:left w:val="nil"/>
              <w:bottom w:val="single" w:sz="12" w:space="0" w:color="FFFFFF"/>
              <w:right w:val="single" w:sz="12" w:space="0" w:color="FFFFFF"/>
            </w:tcBorders>
            <w:shd w:val="clear" w:color="000000" w:fill="F2F2F2"/>
            <w:vAlign w:val="center"/>
            <w:hideMark/>
          </w:tcPr>
          <w:p w14:paraId="365DA596"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596451A1"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D9D9D9"/>
            <w:vAlign w:val="center"/>
            <w:hideMark/>
          </w:tcPr>
          <w:p w14:paraId="240930AE" w14:textId="77777777" w:rsidR="00747E36" w:rsidRPr="00747E36" w:rsidRDefault="00747E36" w:rsidP="00747E36">
            <w:pPr>
              <w:spacing w:after="0" w:line="240" w:lineRule="auto"/>
              <w:rPr>
                <w:rFonts w:cs="Calibri"/>
                <w:b/>
                <w:bCs/>
                <w:color w:val="000000"/>
                <w:sz w:val="18"/>
                <w:szCs w:val="18"/>
                <w:lang w:eastAsia="sk-SK"/>
              </w:rPr>
            </w:pPr>
            <w:r w:rsidRPr="00747E36">
              <w:rPr>
                <w:rFonts w:cs="Calibri"/>
                <w:b/>
                <w:bCs/>
                <w:color w:val="000000"/>
                <w:sz w:val="18"/>
                <w:szCs w:val="18"/>
                <w:lang w:eastAsia="sk-SK"/>
              </w:rPr>
              <w:t>Školy a školské zariadenia</w:t>
            </w:r>
          </w:p>
        </w:tc>
        <w:tc>
          <w:tcPr>
            <w:tcW w:w="601" w:type="pct"/>
            <w:tcBorders>
              <w:top w:val="nil"/>
              <w:left w:val="nil"/>
              <w:bottom w:val="single" w:sz="12" w:space="0" w:color="FFFFFF"/>
              <w:right w:val="single" w:sz="12" w:space="0" w:color="FFFFFF"/>
            </w:tcBorders>
            <w:shd w:val="clear" w:color="000000" w:fill="D9D9D9"/>
            <w:vAlign w:val="center"/>
            <w:hideMark/>
          </w:tcPr>
          <w:p w14:paraId="0F9D4F0B"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4 088 483,69</w:t>
            </w:r>
          </w:p>
        </w:tc>
        <w:tc>
          <w:tcPr>
            <w:tcW w:w="684" w:type="pct"/>
            <w:tcBorders>
              <w:top w:val="nil"/>
              <w:left w:val="nil"/>
              <w:bottom w:val="single" w:sz="12" w:space="0" w:color="FFFFFF"/>
              <w:right w:val="single" w:sz="12" w:space="0" w:color="FFFFFF"/>
            </w:tcBorders>
            <w:shd w:val="clear" w:color="000000" w:fill="D9D9D9"/>
            <w:vAlign w:val="center"/>
            <w:hideMark/>
          </w:tcPr>
          <w:p w14:paraId="20EE0595"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3 653 627,00</w:t>
            </w:r>
          </w:p>
        </w:tc>
        <w:tc>
          <w:tcPr>
            <w:tcW w:w="610" w:type="pct"/>
            <w:tcBorders>
              <w:top w:val="nil"/>
              <w:left w:val="nil"/>
              <w:bottom w:val="single" w:sz="12" w:space="0" w:color="FFFFFF"/>
              <w:right w:val="single" w:sz="12" w:space="0" w:color="FFFFFF"/>
            </w:tcBorders>
            <w:shd w:val="clear" w:color="000000" w:fill="D9D9D9"/>
            <w:vAlign w:val="center"/>
            <w:hideMark/>
          </w:tcPr>
          <w:p w14:paraId="6658DB86"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4 116 853,21</w:t>
            </w:r>
          </w:p>
        </w:tc>
        <w:tc>
          <w:tcPr>
            <w:tcW w:w="638" w:type="pct"/>
            <w:tcBorders>
              <w:top w:val="nil"/>
              <w:left w:val="nil"/>
              <w:bottom w:val="single" w:sz="12" w:space="0" w:color="FFFFFF"/>
              <w:right w:val="single" w:sz="12" w:space="0" w:color="FFFFFF"/>
            </w:tcBorders>
            <w:shd w:val="clear" w:color="000000" w:fill="D9D9D9"/>
            <w:vAlign w:val="center"/>
            <w:hideMark/>
          </w:tcPr>
          <w:p w14:paraId="79EA9EEF"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2 718 210,73</w:t>
            </w:r>
          </w:p>
        </w:tc>
        <w:tc>
          <w:tcPr>
            <w:tcW w:w="591" w:type="pct"/>
            <w:tcBorders>
              <w:top w:val="nil"/>
              <w:left w:val="nil"/>
              <w:bottom w:val="single" w:sz="12" w:space="0" w:color="FFFFFF"/>
              <w:right w:val="single" w:sz="12" w:space="0" w:color="FFFFFF"/>
            </w:tcBorders>
            <w:shd w:val="clear" w:color="000000" w:fill="D9D9D9"/>
            <w:vAlign w:val="center"/>
            <w:hideMark/>
          </w:tcPr>
          <w:p w14:paraId="38E02F4F"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66,03%</w:t>
            </w:r>
          </w:p>
        </w:tc>
        <w:tc>
          <w:tcPr>
            <w:tcW w:w="582" w:type="pct"/>
            <w:tcBorders>
              <w:top w:val="nil"/>
              <w:left w:val="nil"/>
              <w:bottom w:val="single" w:sz="12" w:space="0" w:color="FFFFFF"/>
              <w:right w:val="single" w:sz="12" w:space="0" w:color="FFFFFF"/>
            </w:tcBorders>
            <w:shd w:val="clear" w:color="000000" w:fill="D9D9D9"/>
            <w:vAlign w:val="center"/>
            <w:hideMark/>
          </w:tcPr>
          <w:p w14:paraId="0B83C68A"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463 226,21</w:t>
            </w:r>
          </w:p>
        </w:tc>
      </w:tr>
      <w:tr w:rsidR="00747E36" w:rsidRPr="00747E36" w14:paraId="6C54B213"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789C81D9"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210 - Príjmy z prenájmu</w:t>
            </w:r>
          </w:p>
        </w:tc>
        <w:tc>
          <w:tcPr>
            <w:tcW w:w="601" w:type="pct"/>
            <w:tcBorders>
              <w:top w:val="nil"/>
              <w:left w:val="nil"/>
              <w:bottom w:val="single" w:sz="12" w:space="0" w:color="FFFFFF"/>
              <w:right w:val="single" w:sz="12" w:space="0" w:color="FFFFFF"/>
            </w:tcBorders>
            <w:shd w:val="clear" w:color="000000" w:fill="F2F2F2"/>
            <w:vAlign w:val="center"/>
            <w:hideMark/>
          </w:tcPr>
          <w:p w14:paraId="272E6568"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942 643,53</w:t>
            </w:r>
          </w:p>
        </w:tc>
        <w:tc>
          <w:tcPr>
            <w:tcW w:w="684" w:type="pct"/>
            <w:tcBorders>
              <w:top w:val="nil"/>
              <w:left w:val="nil"/>
              <w:bottom w:val="single" w:sz="12" w:space="0" w:color="FFFFFF"/>
              <w:right w:val="single" w:sz="12" w:space="0" w:color="FFFFFF"/>
            </w:tcBorders>
            <w:shd w:val="clear" w:color="000000" w:fill="F2F2F2"/>
            <w:vAlign w:val="center"/>
            <w:hideMark/>
          </w:tcPr>
          <w:p w14:paraId="39F51F1F"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795 510,00</w:t>
            </w:r>
          </w:p>
        </w:tc>
        <w:tc>
          <w:tcPr>
            <w:tcW w:w="610" w:type="pct"/>
            <w:tcBorders>
              <w:top w:val="nil"/>
              <w:left w:val="nil"/>
              <w:bottom w:val="single" w:sz="12" w:space="0" w:color="FFFFFF"/>
              <w:right w:val="single" w:sz="12" w:space="0" w:color="FFFFFF"/>
            </w:tcBorders>
            <w:shd w:val="clear" w:color="000000" w:fill="F2F2F2"/>
            <w:vAlign w:val="center"/>
            <w:hideMark/>
          </w:tcPr>
          <w:p w14:paraId="0BB7C806"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928 562,35</w:t>
            </w:r>
          </w:p>
        </w:tc>
        <w:tc>
          <w:tcPr>
            <w:tcW w:w="638" w:type="pct"/>
            <w:tcBorders>
              <w:top w:val="nil"/>
              <w:left w:val="nil"/>
              <w:bottom w:val="single" w:sz="12" w:space="0" w:color="FFFFFF"/>
              <w:right w:val="single" w:sz="12" w:space="0" w:color="FFFFFF"/>
            </w:tcBorders>
            <w:shd w:val="clear" w:color="000000" w:fill="F2F2F2"/>
            <w:vAlign w:val="center"/>
            <w:hideMark/>
          </w:tcPr>
          <w:p w14:paraId="248146E7"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851 420,25</w:t>
            </w:r>
          </w:p>
        </w:tc>
        <w:tc>
          <w:tcPr>
            <w:tcW w:w="591" w:type="pct"/>
            <w:tcBorders>
              <w:top w:val="nil"/>
              <w:left w:val="nil"/>
              <w:bottom w:val="single" w:sz="12" w:space="0" w:color="FFFFFF"/>
              <w:right w:val="single" w:sz="12" w:space="0" w:color="FFFFFF"/>
            </w:tcBorders>
            <w:shd w:val="clear" w:color="000000" w:fill="F2F2F2"/>
            <w:vAlign w:val="center"/>
            <w:hideMark/>
          </w:tcPr>
          <w:p w14:paraId="0E89D2A7"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91,69%</w:t>
            </w:r>
          </w:p>
        </w:tc>
        <w:tc>
          <w:tcPr>
            <w:tcW w:w="582" w:type="pct"/>
            <w:tcBorders>
              <w:top w:val="nil"/>
              <w:left w:val="nil"/>
              <w:bottom w:val="single" w:sz="12" w:space="0" w:color="FFFFFF"/>
              <w:right w:val="single" w:sz="12" w:space="0" w:color="FFFFFF"/>
            </w:tcBorders>
            <w:shd w:val="clear" w:color="000000" w:fill="F2F2F2"/>
            <w:vAlign w:val="center"/>
            <w:hideMark/>
          </w:tcPr>
          <w:p w14:paraId="58631620"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1CF598C7"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084064B0"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220 - Admin. a iné pop. a platby</w:t>
            </w:r>
          </w:p>
        </w:tc>
        <w:tc>
          <w:tcPr>
            <w:tcW w:w="601" w:type="pct"/>
            <w:tcBorders>
              <w:top w:val="nil"/>
              <w:left w:val="nil"/>
              <w:bottom w:val="single" w:sz="12" w:space="0" w:color="FFFFFF"/>
              <w:right w:val="single" w:sz="12" w:space="0" w:color="FFFFFF"/>
            </w:tcBorders>
            <w:shd w:val="clear" w:color="000000" w:fill="F2F2F2"/>
            <w:vAlign w:val="center"/>
            <w:hideMark/>
          </w:tcPr>
          <w:p w14:paraId="29636910"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3 018 757,31</w:t>
            </w:r>
          </w:p>
        </w:tc>
        <w:tc>
          <w:tcPr>
            <w:tcW w:w="684" w:type="pct"/>
            <w:tcBorders>
              <w:top w:val="nil"/>
              <w:left w:val="nil"/>
              <w:bottom w:val="single" w:sz="12" w:space="0" w:color="FFFFFF"/>
              <w:right w:val="single" w:sz="12" w:space="0" w:color="FFFFFF"/>
            </w:tcBorders>
            <w:shd w:val="clear" w:color="000000" w:fill="F2F2F2"/>
            <w:vAlign w:val="center"/>
            <w:hideMark/>
          </w:tcPr>
          <w:p w14:paraId="65C25C55"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2 846 995,00</w:t>
            </w:r>
          </w:p>
        </w:tc>
        <w:tc>
          <w:tcPr>
            <w:tcW w:w="610" w:type="pct"/>
            <w:tcBorders>
              <w:top w:val="nil"/>
              <w:left w:val="nil"/>
              <w:bottom w:val="single" w:sz="12" w:space="0" w:color="FFFFFF"/>
              <w:right w:val="single" w:sz="12" w:space="0" w:color="FFFFFF"/>
            </w:tcBorders>
            <w:shd w:val="clear" w:color="000000" w:fill="F2F2F2"/>
            <w:vAlign w:val="center"/>
            <w:hideMark/>
          </w:tcPr>
          <w:p w14:paraId="6C5D1AB1"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3 140 161,19</w:t>
            </w:r>
          </w:p>
        </w:tc>
        <w:tc>
          <w:tcPr>
            <w:tcW w:w="638" w:type="pct"/>
            <w:tcBorders>
              <w:top w:val="nil"/>
              <w:left w:val="nil"/>
              <w:bottom w:val="single" w:sz="12" w:space="0" w:color="FFFFFF"/>
              <w:right w:val="single" w:sz="12" w:space="0" w:color="FFFFFF"/>
            </w:tcBorders>
            <w:shd w:val="clear" w:color="000000" w:fill="F2F2F2"/>
            <w:vAlign w:val="center"/>
            <w:hideMark/>
          </w:tcPr>
          <w:p w14:paraId="4AD5F522"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1 744 123,37</w:t>
            </w:r>
          </w:p>
        </w:tc>
        <w:tc>
          <w:tcPr>
            <w:tcW w:w="591" w:type="pct"/>
            <w:tcBorders>
              <w:top w:val="nil"/>
              <w:left w:val="nil"/>
              <w:bottom w:val="single" w:sz="12" w:space="0" w:color="FFFFFF"/>
              <w:right w:val="single" w:sz="12" w:space="0" w:color="FFFFFF"/>
            </w:tcBorders>
            <w:shd w:val="clear" w:color="000000" w:fill="F2F2F2"/>
            <w:vAlign w:val="center"/>
            <w:hideMark/>
          </w:tcPr>
          <w:p w14:paraId="0D29E482"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55,54%</w:t>
            </w:r>
          </w:p>
        </w:tc>
        <w:tc>
          <w:tcPr>
            <w:tcW w:w="582" w:type="pct"/>
            <w:tcBorders>
              <w:top w:val="nil"/>
              <w:left w:val="nil"/>
              <w:bottom w:val="single" w:sz="12" w:space="0" w:color="FFFFFF"/>
              <w:right w:val="single" w:sz="12" w:space="0" w:color="FFFFFF"/>
            </w:tcBorders>
            <w:shd w:val="clear" w:color="000000" w:fill="F2F2F2"/>
            <w:vAlign w:val="center"/>
            <w:hideMark/>
          </w:tcPr>
          <w:p w14:paraId="1B3009D3"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7D7767E0"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F2F2F2"/>
            <w:vAlign w:val="center"/>
            <w:hideMark/>
          </w:tcPr>
          <w:p w14:paraId="14F2DBD1" w14:textId="77777777" w:rsidR="00747E36" w:rsidRPr="00747E36" w:rsidRDefault="00747E36" w:rsidP="00747E36">
            <w:pPr>
              <w:spacing w:after="0" w:line="240" w:lineRule="auto"/>
              <w:rPr>
                <w:rFonts w:cs="Calibri"/>
                <w:color w:val="000000"/>
                <w:sz w:val="18"/>
                <w:szCs w:val="18"/>
                <w:lang w:eastAsia="sk-SK"/>
              </w:rPr>
            </w:pPr>
            <w:r w:rsidRPr="00747E36">
              <w:rPr>
                <w:rFonts w:cs="Calibri"/>
                <w:color w:val="000000"/>
                <w:sz w:val="18"/>
                <w:szCs w:val="18"/>
                <w:lang w:eastAsia="sk-SK"/>
              </w:rPr>
              <w:t>290 - Iné nedaňové príjmy</w:t>
            </w:r>
          </w:p>
        </w:tc>
        <w:tc>
          <w:tcPr>
            <w:tcW w:w="601" w:type="pct"/>
            <w:tcBorders>
              <w:top w:val="nil"/>
              <w:left w:val="nil"/>
              <w:bottom w:val="single" w:sz="12" w:space="0" w:color="FFFFFF"/>
              <w:right w:val="single" w:sz="12" w:space="0" w:color="FFFFFF"/>
            </w:tcBorders>
            <w:shd w:val="clear" w:color="000000" w:fill="F2F2F2"/>
            <w:vAlign w:val="center"/>
            <w:hideMark/>
          </w:tcPr>
          <w:p w14:paraId="43E7AC61"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127 082,85</w:t>
            </w:r>
          </w:p>
        </w:tc>
        <w:tc>
          <w:tcPr>
            <w:tcW w:w="684" w:type="pct"/>
            <w:tcBorders>
              <w:top w:val="nil"/>
              <w:left w:val="nil"/>
              <w:bottom w:val="single" w:sz="12" w:space="0" w:color="FFFFFF"/>
              <w:right w:val="single" w:sz="12" w:space="0" w:color="FFFFFF"/>
            </w:tcBorders>
            <w:shd w:val="clear" w:color="000000" w:fill="F2F2F2"/>
            <w:vAlign w:val="center"/>
            <w:hideMark/>
          </w:tcPr>
          <w:p w14:paraId="29CCDBB5"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11 122,00</w:t>
            </w:r>
          </w:p>
        </w:tc>
        <w:tc>
          <w:tcPr>
            <w:tcW w:w="610" w:type="pct"/>
            <w:tcBorders>
              <w:top w:val="nil"/>
              <w:left w:val="nil"/>
              <w:bottom w:val="single" w:sz="12" w:space="0" w:color="FFFFFF"/>
              <w:right w:val="single" w:sz="12" w:space="0" w:color="FFFFFF"/>
            </w:tcBorders>
            <w:shd w:val="clear" w:color="000000" w:fill="F2F2F2"/>
            <w:vAlign w:val="center"/>
            <w:hideMark/>
          </w:tcPr>
          <w:p w14:paraId="331579C2"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48 129,67</w:t>
            </w:r>
          </w:p>
        </w:tc>
        <w:tc>
          <w:tcPr>
            <w:tcW w:w="638" w:type="pct"/>
            <w:tcBorders>
              <w:top w:val="nil"/>
              <w:left w:val="nil"/>
              <w:bottom w:val="single" w:sz="12" w:space="0" w:color="FFFFFF"/>
              <w:right w:val="single" w:sz="12" w:space="0" w:color="FFFFFF"/>
            </w:tcBorders>
            <w:shd w:val="clear" w:color="000000" w:fill="F2F2F2"/>
            <w:vAlign w:val="center"/>
            <w:hideMark/>
          </w:tcPr>
          <w:p w14:paraId="59ECDA7F"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122 667,11</w:t>
            </w:r>
          </w:p>
        </w:tc>
        <w:tc>
          <w:tcPr>
            <w:tcW w:w="591" w:type="pct"/>
            <w:tcBorders>
              <w:top w:val="nil"/>
              <w:left w:val="nil"/>
              <w:bottom w:val="single" w:sz="12" w:space="0" w:color="FFFFFF"/>
              <w:right w:val="single" w:sz="12" w:space="0" w:color="FFFFFF"/>
            </w:tcBorders>
            <w:shd w:val="clear" w:color="000000" w:fill="F2F2F2"/>
            <w:vAlign w:val="center"/>
            <w:hideMark/>
          </w:tcPr>
          <w:p w14:paraId="6E871DDD"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254,87%</w:t>
            </w:r>
          </w:p>
        </w:tc>
        <w:tc>
          <w:tcPr>
            <w:tcW w:w="582" w:type="pct"/>
            <w:tcBorders>
              <w:top w:val="nil"/>
              <w:left w:val="nil"/>
              <w:bottom w:val="single" w:sz="12" w:space="0" w:color="FFFFFF"/>
              <w:right w:val="single" w:sz="12" w:space="0" w:color="FFFFFF"/>
            </w:tcBorders>
            <w:shd w:val="clear" w:color="000000" w:fill="F2F2F2"/>
            <w:vAlign w:val="center"/>
            <w:hideMark/>
          </w:tcPr>
          <w:p w14:paraId="50919E6C" w14:textId="77777777" w:rsidR="00747E36" w:rsidRPr="00747E36" w:rsidRDefault="00747E36" w:rsidP="00747E36">
            <w:pPr>
              <w:spacing w:after="0" w:line="240" w:lineRule="auto"/>
              <w:jc w:val="right"/>
              <w:rPr>
                <w:rFonts w:cs="Calibri"/>
                <w:color w:val="000000"/>
                <w:sz w:val="18"/>
                <w:szCs w:val="18"/>
                <w:lang w:eastAsia="sk-SK"/>
              </w:rPr>
            </w:pPr>
            <w:r w:rsidRPr="00747E36">
              <w:rPr>
                <w:rFonts w:cs="Calibri"/>
                <w:color w:val="000000"/>
                <w:sz w:val="18"/>
                <w:szCs w:val="18"/>
                <w:lang w:eastAsia="sk-SK"/>
              </w:rPr>
              <w:t> </w:t>
            </w:r>
          </w:p>
        </w:tc>
      </w:tr>
      <w:tr w:rsidR="00747E36" w:rsidRPr="00747E36" w14:paraId="59D0DAF6" w14:textId="77777777" w:rsidTr="00747E36">
        <w:trPr>
          <w:trHeight w:val="330"/>
        </w:trPr>
        <w:tc>
          <w:tcPr>
            <w:tcW w:w="1294" w:type="pct"/>
            <w:tcBorders>
              <w:top w:val="nil"/>
              <w:left w:val="single" w:sz="12" w:space="0" w:color="FFFFFF"/>
              <w:bottom w:val="single" w:sz="12" w:space="0" w:color="FFFFFF"/>
              <w:right w:val="single" w:sz="12" w:space="0" w:color="FFFFFF"/>
            </w:tcBorders>
            <w:shd w:val="clear" w:color="000000" w:fill="8DB3E2"/>
            <w:vAlign w:val="center"/>
            <w:hideMark/>
          </w:tcPr>
          <w:p w14:paraId="68D909FD" w14:textId="77777777" w:rsidR="00747E36" w:rsidRPr="00747E36" w:rsidRDefault="00747E36" w:rsidP="00747E36">
            <w:pPr>
              <w:spacing w:after="0" w:line="240" w:lineRule="auto"/>
              <w:rPr>
                <w:rFonts w:cs="Calibri"/>
                <w:b/>
                <w:bCs/>
                <w:color w:val="000000"/>
                <w:sz w:val="20"/>
                <w:szCs w:val="20"/>
                <w:lang w:eastAsia="sk-SK"/>
              </w:rPr>
            </w:pPr>
            <w:r w:rsidRPr="00747E36">
              <w:rPr>
                <w:rFonts w:cs="Calibri"/>
                <w:b/>
                <w:bCs/>
                <w:color w:val="000000"/>
                <w:sz w:val="20"/>
                <w:szCs w:val="20"/>
                <w:lang w:eastAsia="sk-SK"/>
              </w:rPr>
              <w:t>Celkom</w:t>
            </w:r>
          </w:p>
        </w:tc>
        <w:tc>
          <w:tcPr>
            <w:tcW w:w="601" w:type="pct"/>
            <w:tcBorders>
              <w:top w:val="nil"/>
              <w:left w:val="nil"/>
              <w:bottom w:val="single" w:sz="12" w:space="0" w:color="FFFFFF"/>
              <w:right w:val="single" w:sz="12" w:space="0" w:color="FFFFFF"/>
            </w:tcBorders>
            <w:shd w:val="clear" w:color="000000" w:fill="8DB3E2"/>
            <w:vAlign w:val="center"/>
            <w:hideMark/>
          </w:tcPr>
          <w:p w14:paraId="69611470"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9 288 262,89</w:t>
            </w:r>
          </w:p>
        </w:tc>
        <w:tc>
          <w:tcPr>
            <w:tcW w:w="684" w:type="pct"/>
            <w:tcBorders>
              <w:top w:val="nil"/>
              <w:left w:val="nil"/>
              <w:bottom w:val="single" w:sz="12" w:space="0" w:color="FFFFFF"/>
              <w:right w:val="single" w:sz="12" w:space="0" w:color="FFFFFF"/>
            </w:tcBorders>
            <w:shd w:val="clear" w:color="000000" w:fill="8DB3E2"/>
            <w:vAlign w:val="center"/>
            <w:hideMark/>
          </w:tcPr>
          <w:p w14:paraId="4C59EB3F"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7 965 551,05</w:t>
            </w:r>
          </w:p>
        </w:tc>
        <w:tc>
          <w:tcPr>
            <w:tcW w:w="610" w:type="pct"/>
            <w:tcBorders>
              <w:top w:val="nil"/>
              <w:left w:val="nil"/>
              <w:bottom w:val="single" w:sz="12" w:space="0" w:color="FFFFFF"/>
              <w:right w:val="single" w:sz="12" w:space="0" w:color="FFFFFF"/>
            </w:tcBorders>
            <w:shd w:val="clear" w:color="000000" w:fill="8DB3E2"/>
            <w:vAlign w:val="center"/>
            <w:hideMark/>
          </w:tcPr>
          <w:p w14:paraId="30A2B292"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8 428 777,26</w:t>
            </w:r>
          </w:p>
        </w:tc>
        <w:tc>
          <w:tcPr>
            <w:tcW w:w="638" w:type="pct"/>
            <w:tcBorders>
              <w:top w:val="nil"/>
              <w:left w:val="nil"/>
              <w:bottom w:val="single" w:sz="12" w:space="0" w:color="FFFFFF"/>
              <w:right w:val="single" w:sz="12" w:space="0" w:color="FFFFFF"/>
            </w:tcBorders>
            <w:shd w:val="clear" w:color="000000" w:fill="8DB3E2"/>
            <w:vAlign w:val="center"/>
            <w:hideMark/>
          </w:tcPr>
          <w:p w14:paraId="6CA946FB"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6 785 879,06</w:t>
            </w:r>
          </w:p>
        </w:tc>
        <w:tc>
          <w:tcPr>
            <w:tcW w:w="591" w:type="pct"/>
            <w:tcBorders>
              <w:top w:val="nil"/>
              <w:left w:val="nil"/>
              <w:bottom w:val="single" w:sz="12" w:space="0" w:color="FFFFFF"/>
              <w:right w:val="single" w:sz="12" w:space="0" w:color="FFFFFF"/>
            </w:tcBorders>
            <w:shd w:val="clear" w:color="000000" w:fill="8DB3E2"/>
            <w:vAlign w:val="center"/>
            <w:hideMark/>
          </w:tcPr>
          <w:p w14:paraId="3514F103"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80,51%</w:t>
            </w:r>
          </w:p>
        </w:tc>
        <w:tc>
          <w:tcPr>
            <w:tcW w:w="582" w:type="pct"/>
            <w:tcBorders>
              <w:top w:val="nil"/>
              <w:left w:val="nil"/>
              <w:bottom w:val="single" w:sz="12" w:space="0" w:color="FFFFFF"/>
              <w:right w:val="single" w:sz="12" w:space="0" w:color="FFFFFF"/>
            </w:tcBorders>
            <w:shd w:val="clear" w:color="000000" w:fill="95B3D7"/>
            <w:vAlign w:val="center"/>
            <w:hideMark/>
          </w:tcPr>
          <w:p w14:paraId="7F6ED43B" w14:textId="77777777" w:rsidR="00747E36" w:rsidRPr="00747E36" w:rsidRDefault="00747E36" w:rsidP="00747E36">
            <w:pPr>
              <w:spacing w:after="0" w:line="240" w:lineRule="auto"/>
              <w:jc w:val="right"/>
              <w:rPr>
                <w:rFonts w:cs="Calibri"/>
                <w:b/>
                <w:bCs/>
                <w:color w:val="000000"/>
                <w:sz w:val="18"/>
                <w:szCs w:val="18"/>
                <w:lang w:eastAsia="sk-SK"/>
              </w:rPr>
            </w:pPr>
            <w:r w:rsidRPr="00747E36">
              <w:rPr>
                <w:rFonts w:cs="Calibri"/>
                <w:b/>
                <w:bCs/>
                <w:color w:val="000000"/>
                <w:sz w:val="18"/>
                <w:szCs w:val="18"/>
                <w:lang w:eastAsia="sk-SK"/>
              </w:rPr>
              <w:t>463 226,21</w:t>
            </w:r>
          </w:p>
        </w:tc>
      </w:tr>
    </w:tbl>
    <w:p w14:paraId="3DB39691" w14:textId="77777777" w:rsidR="00BE704E" w:rsidRDefault="00BE704E" w:rsidP="00BE704E">
      <w:pPr>
        <w:tabs>
          <w:tab w:val="num" w:pos="426"/>
        </w:tabs>
        <w:spacing w:before="120" w:after="120" w:line="240" w:lineRule="auto"/>
        <w:jc w:val="both"/>
        <w:rPr>
          <w:rFonts w:cs="Calibri"/>
          <w:b/>
          <w:sz w:val="24"/>
          <w:szCs w:val="24"/>
        </w:rPr>
      </w:pPr>
      <w:r w:rsidRPr="00E206EA">
        <w:rPr>
          <w:rFonts w:cs="Calibri"/>
          <w:b/>
          <w:sz w:val="24"/>
          <w:szCs w:val="24"/>
        </w:rPr>
        <w:t>Úrad BSK sa</w:t>
      </w:r>
      <w:r w:rsidRPr="00E206EA">
        <w:rPr>
          <w:rFonts w:cs="Calibri"/>
          <w:sz w:val="24"/>
          <w:szCs w:val="24"/>
        </w:rPr>
        <w:t xml:space="preserve"> na plnení bežných nedaňových príjmov </w:t>
      </w:r>
      <w:r w:rsidRPr="00130356">
        <w:rPr>
          <w:rFonts w:cs="Calibri"/>
          <w:sz w:val="24"/>
          <w:szCs w:val="24"/>
        </w:rPr>
        <w:t>podieľal</w:t>
      </w:r>
      <w:r>
        <w:rPr>
          <w:rFonts w:cs="Calibri"/>
          <w:b/>
          <w:sz w:val="24"/>
          <w:szCs w:val="24"/>
        </w:rPr>
        <w:t>:</w:t>
      </w:r>
    </w:p>
    <w:p w14:paraId="2DA40D33" w14:textId="3BC09AE7" w:rsidR="00BE704E" w:rsidRPr="004807C0" w:rsidRDefault="00BE704E" w:rsidP="00F72A56">
      <w:pPr>
        <w:pStyle w:val="Odsekzoznamu"/>
        <w:numPr>
          <w:ilvl w:val="0"/>
          <w:numId w:val="6"/>
        </w:numPr>
        <w:spacing w:line="240" w:lineRule="auto"/>
        <w:ind w:left="765" w:hanging="357"/>
        <w:jc w:val="both"/>
        <w:rPr>
          <w:rFonts w:cs="Calibri"/>
          <w:sz w:val="24"/>
          <w:szCs w:val="24"/>
        </w:rPr>
      </w:pPr>
      <w:r w:rsidRPr="00130356">
        <w:rPr>
          <w:rFonts w:cs="Calibri"/>
          <w:b/>
          <w:sz w:val="24"/>
          <w:szCs w:val="24"/>
        </w:rPr>
        <w:t>príjmami z prenájmu majetku v správe Úradu BSK</w:t>
      </w:r>
      <w:r w:rsidRPr="00130356">
        <w:rPr>
          <w:rFonts w:cs="Calibri"/>
          <w:sz w:val="24"/>
          <w:szCs w:val="24"/>
        </w:rPr>
        <w:t xml:space="preserve"> </w:t>
      </w:r>
      <w:r w:rsidRPr="00130356">
        <w:rPr>
          <w:rFonts w:cs="Calibri"/>
          <w:b/>
          <w:sz w:val="24"/>
          <w:szCs w:val="24"/>
        </w:rPr>
        <w:t xml:space="preserve">vo výške  </w:t>
      </w:r>
      <w:r w:rsidR="0075334B" w:rsidRPr="0075334B">
        <w:rPr>
          <w:rFonts w:cs="Calibri"/>
          <w:b/>
          <w:sz w:val="24"/>
          <w:szCs w:val="24"/>
        </w:rPr>
        <w:t>360 106,43</w:t>
      </w:r>
      <w:r w:rsidR="0075334B">
        <w:rPr>
          <w:rFonts w:cs="Calibri"/>
          <w:b/>
          <w:sz w:val="24"/>
          <w:szCs w:val="24"/>
        </w:rPr>
        <w:t xml:space="preserve"> </w:t>
      </w:r>
      <w:r w:rsidRPr="00130356">
        <w:rPr>
          <w:rFonts w:cs="Calibri"/>
          <w:b/>
          <w:sz w:val="24"/>
          <w:szCs w:val="24"/>
        </w:rPr>
        <w:t>EUR</w:t>
      </w:r>
      <w:r w:rsidR="008C3963">
        <w:rPr>
          <w:rFonts w:cs="Calibri"/>
          <w:b/>
          <w:sz w:val="24"/>
          <w:szCs w:val="24"/>
        </w:rPr>
        <w:t xml:space="preserve">, </w:t>
      </w:r>
      <w:r w:rsidR="008C3963" w:rsidRPr="008C3963">
        <w:rPr>
          <w:rFonts w:cs="Calibri"/>
          <w:bCs/>
          <w:sz w:val="24"/>
          <w:szCs w:val="24"/>
        </w:rPr>
        <w:t xml:space="preserve">ktorý sa </w:t>
      </w:r>
      <w:r w:rsidR="00557437">
        <w:rPr>
          <w:rFonts w:cs="Calibri"/>
          <w:bCs/>
          <w:sz w:val="24"/>
          <w:szCs w:val="24"/>
        </w:rPr>
        <w:t xml:space="preserve">v  </w:t>
      </w:r>
      <w:r w:rsidR="0075334B">
        <w:rPr>
          <w:rFonts w:cs="Calibri"/>
          <w:bCs/>
          <w:sz w:val="24"/>
          <w:szCs w:val="24"/>
        </w:rPr>
        <w:t xml:space="preserve">znížil </w:t>
      </w:r>
      <w:r w:rsidR="008C3963">
        <w:rPr>
          <w:rFonts w:cs="Calibri"/>
          <w:bCs/>
          <w:sz w:val="24"/>
          <w:szCs w:val="24"/>
        </w:rPr>
        <w:t>oproti roku 201</w:t>
      </w:r>
      <w:r w:rsidR="00557437">
        <w:rPr>
          <w:rFonts w:cs="Calibri"/>
          <w:bCs/>
          <w:sz w:val="24"/>
          <w:szCs w:val="24"/>
        </w:rPr>
        <w:t>9</w:t>
      </w:r>
      <w:r w:rsidR="008C3963">
        <w:rPr>
          <w:rFonts w:cs="Calibri"/>
          <w:bCs/>
          <w:sz w:val="24"/>
          <w:szCs w:val="24"/>
        </w:rPr>
        <w:t xml:space="preserve"> </w:t>
      </w:r>
      <w:r w:rsidR="008C3963" w:rsidRPr="008C3963">
        <w:rPr>
          <w:rFonts w:cs="Calibri"/>
          <w:bCs/>
          <w:sz w:val="24"/>
          <w:szCs w:val="24"/>
        </w:rPr>
        <w:t>o</w:t>
      </w:r>
      <w:r w:rsidR="008C3963">
        <w:rPr>
          <w:rFonts w:cs="Calibri"/>
          <w:bCs/>
          <w:sz w:val="24"/>
          <w:szCs w:val="24"/>
        </w:rPr>
        <w:t> </w:t>
      </w:r>
      <w:r w:rsidR="00557437">
        <w:rPr>
          <w:rFonts w:cs="Calibri"/>
          <w:bCs/>
          <w:sz w:val="24"/>
          <w:szCs w:val="24"/>
        </w:rPr>
        <w:t>65</w:t>
      </w:r>
      <w:r w:rsidR="008C3963">
        <w:rPr>
          <w:rFonts w:cs="Calibri"/>
          <w:bCs/>
          <w:sz w:val="24"/>
          <w:szCs w:val="24"/>
        </w:rPr>
        <w:t>%</w:t>
      </w:r>
      <w:r w:rsidR="00557437">
        <w:rPr>
          <w:rFonts w:cs="Calibri"/>
          <w:bCs/>
          <w:sz w:val="24"/>
          <w:szCs w:val="24"/>
        </w:rPr>
        <w:t xml:space="preserve"> a oproti roku 2018 o 47%</w:t>
      </w:r>
      <w:r w:rsidR="008C3963">
        <w:rPr>
          <w:rFonts w:cs="Calibri"/>
          <w:bCs/>
          <w:sz w:val="24"/>
          <w:szCs w:val="24"/>
        </w:rPr>
        <w:t xml:space="preserve">. </w:t>
      </w:r>
      <w:r w:rsidR="0075334B">
        <w:rPr>
          <w:rFonts w:cs="Calibri"/>
          <w:bCs/>
          <w:sz w:val="24"/>
          <w:szCs w:val="24"/>
        </w:rPr>
        <w:t xml:space="preserve"> </w:t>
      </w:r>
      <w:r w:rsidR="00557437">
        <w:rPr>
          <w:rFonts w:cs="Calibri"/>
          <w:bCs/>
          <w:sz w:val="24"/>
          <w:szCs w:val="24"/>
        </w:rPr>
        <w:t>Ide o</w:t>
      </w:r>
      <w:r w:rsidR="008C3963">
        <w:rPr>
          <w:rFonts w:cs="Calibri"/>
          <w:bCs/>
          <w:sz w:val="24"/>
          <w:szCs w:val="24"/>
        </w:rPr>
        <w:t xml:space="preserve"> príjmy </w:t>
      </w:r>
      <w:r w:rsidRPr="00130356">
        <w:rPr>
          <w:rFonts w:cs="Calibri"/>
          <w:sz w:val="24"/>
          <w:szCs w:val="24"/>
        </w:rPr>
        <w:t xml:space="preserve">z prenájmu </w:t>
      </w:r>
      <w:r w:rsidR="00557437">
        <w:rPr>
          <w:rFonts w:cs="Calibri"/>
          <w:sz w:val="24"/>
          <w:szCs w:val="24"/>
        </w:rPr>
        <w:t xml:space="preserve">napr. </w:t>
      </w:r>
      <w:r w:rsidR="00557437" w:rsidRPr="004807C0">
        <w:rPr>
          <w:rFonts w:cs="Calibri"/>
          <w:sz w:val="24"/>
          <w:szCs w:val="24"/>
        </w:rPr>
        <w:t xml:space="preserve">Nemocničnej </w:t>
      </w:r>
      <w:proofErr w:type="spellStart"/>
      <w:r w:rsidR="00557437" w:rsidRPr="004807C0">
        <w:rPr>
          <w:rFonts w:cs="Calibri"/>
          <w:sz w:val="24"/>
          <w:szCs w:val="24"/>
        </w:rPr>
        <w:t>a.s</w:t>
      </w:r>
      <w:proofErr w:type="spellEnd"/>
      <w:r w:rsidR="00557437" w:rsidRPr="004807C0">
        <w:rPr>
          <w:rFonts w:cs="Calibri"/>
          <w:sz w:val="24"/>
          <w:szCs w:val="24"/>
        </w:rPr>
        <w:t xml:space="preserve">. vo výške </w:t>
      </w:r>
      <w:r w:rsidR="00557437">
        <w:rPr>
          <w:rFonts w:cs="Calibri"/>
          <w:sz w:val="24"/>
          <w:szCs w:val="24"/>
        </w:rPr>
        <w:t xml:space="preserve">86 400 </w:t>
      </w:r>
      <w:r w:rsidR="00557437" w:rsidRPr="004807C0">
        <w:rPr>
          <w:rFonts w:cs="Calibri"/>
          <w:sz w:val="24"/>
          <w:szCs w:val="24"/>
        </w:rPr>
        <w:t>EUR</w:t>
      </w:r>
      <w:r w:rsidR="00557437">
        <w:rPr>
          <w:rFonts w:cs="Calibri"/>
          <w:sz w:val="24"/>
          <w:szCs w:val="24"/>
        </w:rPr>
        <w:t>,</w:t>
      </w:r>
      <w:r w:rsidR="00557437" w:rsidRPr="00130356">
        <w:rPr>
          <w:rFonts w:cs="Calibri"/>
          <w:sz w:val="24"/>
          <w:szCs w:val="24"/>
        </w:rPr>
        <w:t xml:space="preserve"> </w:t>
      </w:r>
      <w:r w:rsidRPr="00130356">
        <w:rPr>
          <w:rFonts w:cs="Calibri"/>
          <w:sz w:val="24"/>
          <w:szCs w:val="24"/>
        </w:rPr>
        <w:t>Poliklinike Šusteková vo výške</w:t>
      </w:r>
      <w:r>
        <w:rPr>
          <w:rFonts w:cs="Calibri"/>
          <w:sz w:val="24"/>
          <w:szCs w:val="24"/>
        </w:rPr>
        <w:t xml:space="preserve"> </w:t>
      </w:r>
      <w:r w:rsidR="0014154E" w:rsidRPr="0014154E">
        <w:rPr>
          <w:rFonts w:cs="Calibri"/>
          <w:sz w:val="24"/>
          <w:szCs w:val="24"/>
        </w:rPr>
        <w:t xml:space="preserve">72 448,92 </w:t>
      </w:r>
      <w:r w:rsidRPr="004807C0">
        <w:rPr>
          <w:rFonts w:cs="Calibri"/>
          <w:sz w:val="24"/>
          <w:szCs w:val="24"/>
        </w:rPr>
        <w:t>EUR,</w:t>
      </w:r>
      <w:r>
        <w:rPr>
          <w:rFonts w:cs="Calibri"/>
          <w:sz w:val="24"/>
          <w:szCs w:val="24"/>
        </w:rPr>
        <w:t xml:space="preserve"> </w:t>
      </w:r>
      <w:r w:rsidRPr="004807C0">
        <w:rPr>
          <w:rFonts w:cs="Calibri"/>
          <w:sz w:val="24"/>
          <w:szCs w:val="24"/>
        </w:rPr>
        <w:t>ZŠ </w:t>
      </w:r>
      <w:proofErr w:type="spellStart"/>
      <w:r w:rsidRPr="004807C0">
        <w:rPr>
          <w:rFonts w:cs="Calibri"/>
          <w:sz w:val="24"/>
          <w:szCs w:val="24"/>
        </w:rPr>
        <w:t>Fedinová</w:t>
      </w:r>
      <w:proofErr w:type="spellEnd"/>
      <w:r w:rsidRPr="004807C0">
        <w:rPr>
          <w:rFonts w:cs="Calibri"/>
          <w:sz w:val="24"/>
          <w:szCs w:val="24"/>
        </w:rPr>
        <w:t xml:space="preserve"> vo výške </w:t>
      </w:r>
      <w:r w:rsidR="0014154E" w:rsidRPr="0014154E">
        <w:rPr>
          <w:rFonts w:cs="Calibri"/>
          <w:sz w:val="24"/>
          <w:szCs w:val="24"/>
        </w:rPr>
        <w:t xml:space="preserve">51 150,40 </w:t>
      </w:r>
      <w:r w:rsidRPr="004807C0">
        <w:rPr>
          <w:rFonts w:cs="Calibri"/>
          <w:sz w:val="24"/>
          <w:szCs w:val="24"/>
        </w:rPr>
        <w:t xml:space="preserve">EUR, </w:t>
      </w:r>
      <w:r w:rsidR="00557437" w:rsidRPr="00557437">
        <w:rPr>
          <w:rFonts w:cs="Calibri"/>
          <w:sz w:val="24"/>
          <w:szCs w:val="24"/>
        </w:rPr>
        <w:t>Družstv</w:t>
      </w:r>
      <w:r w:rsidR="00557437">
        <w:rPr>
          <w:rFonts w:cs="Calibri"/>
          <w:sz w:val="24"/>
          <w:szCs w:val="24"/>
        </w:rPr>
        <w:t>u</w:t>
      </w:r>
      <w:r w:rsidR="00557437" w:rsidRPr="00557437">
        <w:rPr>
          <w:rFonts w:cs="Calibri"/>
          <w:sz w:val="24"/>
          <w:szCs w:val="24"/>
        </w:rPr>
        <w:t xml:space="preserve"> lekárov Záporožská</w:t>
      </w:r>
      <w:r w:rsidR="00557437">
        <w:rPr>
          <w:rFonts w:cs="Calibri"/>
          <w:sz w:val="24"/>
          <w:szCs w:val="24"/>
        </w:rPr>
        <w:t xml:space="preserve"> vo výške 33 712 EUR, </w:t>
      </w:r>
      <w:r w:rsidRPr="004807C0">
        <w:rPr>
          <w:rFonts w:cs="Calibri"/>
          <w:sz w:val="24"/>
          <w:szCs w:val="24"/>
        </w:rPr>
        <w:t xml:space="preserve">Družstvu lekárov </w:t>
      </w:r>
      <w:proofErr w:type="spellStart"/>
      <w:r w:rsidRPr="004807C0">
        <w:rPr>
          <w:rFonts w:cs="Calibri"/>
          <w:sz w:val="24"/>
          <w:szCs w:val="24"/>
        </w:rPr>
        <w:t>Strečnianska</w:t>
      </w:r>
      <w:proofErr w:type="spellEnd"/>
      <w:r w:rsidRPr="004807C0">
        <w:rPr>
          <w:rFonts w:cs="Calibri"/>
          <w:sz w:val="24"/>
          <w:szCs w:val="24"/>
        </w:rPr>
        <w:t xml:space="preserve"> vo výške </w:t>
      </w:r>
      <w:r w:rsidR="0014154E" w:rsidRPr="0014154E">
        <w:rPr>
          <w:rFonts w:cs="Calibri"/>
          <w:sz w:val="24"/>
          <w:szCs w:val="24"/>
        </w:rPr>
        <w:t>39</w:t>
      </w:r>
      <w:r w:rsidR="0014154E">
        <w:rPr>
          <w:rFonts w:cs="Calibri"/>
          <w:sz w:val="24"/>
          <w:szCs w:val="24"/>
        </w:rPr>
        <w:t xml:space="preserve"> </w:t>
      </w:r>
      <w:r w:rsidR="0014154E" w:rsidRPr="0014154E">
        <w:rPr>
          <w:rFonts w:cs="Calibri"/>
          <w:sz w:val="24"/>
          <w:szCs w:val="24"/>
        </w:rPr>
        <w:t>185,4</w:t>
      </w:r>
      <w:r w:rsidR="0014154E">
        <w:rPr>
          <w:rFonts w:cs="Calibri"/>
          <w:sz w:val="24"/>
          <w:szCs w:val="24"/>
        </w:rPr>
        <w:t xml:space="preserve">0 </w:t>
      </w:r>
      <w:r>
        <w:rPr>
          <w:rFonts w:cs="Calibri"/>
          <w:sz w:val="24"/>
          <w:szCs w:val="24"/>
        </w:rPr>
        <w:t xml:space="preserve">EUR </w:t>
      </w:r>
      <w:r w:rsidRPr="004807C0">
        <w:rPr>
          <w:rFonts w:cs="Calibri"/>
          <w:sz w:val="24"/>
          <w:szCs w:val="24"/>
        </w:rPr>
        <w:t>a</w:t>
      </w:r>
      <w:r w:rsidR="0014154E">
        <w:rPr>
          <w:rFonts w:cs="Calibri"/>
          <w:sz w:val="24"/>
          <w:szCs w:val="24"/>
        </w:rPr>
        <w:t> </w:t>
      </w:r>
      <w:r w:rsidRPr="004807C0">
        <w:rPr>
          <w:rFonts w:cs="Calibri"/>
          <w:sz w:val="24"/>
          <w:szCs w:val="24"/>
        </w:rPr>
        <w:t>in</w:t>
      </w:r>
      <w:r w:rsidR="0014154E">
        <w:rPr>
          <w:rFonts w:cs="Calibri"/>
          <w:sz w:val="24"/>
          <w:szCs w:val="24"/>
        </w:rPr>
        <w:t>ým subjektom</w:t>
      </w:r>
      <w:r w:rsidRPr="004807C0">
        <w:rPr>
          <w:rFonts w:cs="Calibri"/>
          <w:sz w:val="24"/>
          <w:szCs w:val="24"/>
        </w:rPr>
        <w:t xml:space="preserve">), </w:t>
      </w:r>
    </w:p>
    <w:p w14:paraId="099B1B32" w14:textId="5351D6C7" w:rsidR="00BE704E" w:rsidRDefault="00BE704E" w:rsidP="00F72A56">
      <w:pPr>
        <w:pStyle w:val="Odsekzoznamu"/>
        <w:numPr>
          <w:ilvl w:val="0"/>
          <w:numId w:val="6"/>
        </w:numPr>
        <w:spacing w:line="240" w:lineRule="auto"/>
        <w:jc w:val="both"/>
        <w:rPr>
          <w:rFonts w:cs="Calibri"/>
          <w:sz w:val="24"/>
          <w:szCs w:val="24"/>
        </w:rPr>
      </w:pPr>
      <w:r w:rsidRPr="00130356">
        <w:rPr>
          <w:rFonts w:cs="Calibri"/>
          <w:b/>
          <w:sz w:val="24"/>
          <w:szCs w:val="24"/>
        </w:rPr>
        <w:t>príjmami za administratívne úkony</w:t>
      </w:r>
      <w:r w:rsidRPr="00130356">
        <w:rPr>
          <w:rFonts w:cs="Calibri"/>
          <w:sz w:val="24"/>
          <w:szCs w:val="24"/>
        </w:rPr>
        <w:t xml:space="preserve"> v celkovej výške </w:t>
      </w:r>
      <w:r w:rsidR="00557437" w:rsidRPr="00557437">
        <w:rPr>
          <w:rFonts w:cs="Calibri"/>
          <w:b/>
          <w:sz w:val="24"/>
          <w:szCs w:val="24"/>
        </w:rPr>
        <w:t>157 356,82</w:t>
      </w:r>
      <w:r w:rsidR="00557437">
        <w:rPr>
          <w:rFonts w:cs="Calibri"/>
          <w:b/>
          <w:sz w:val="24"/>
          <w:szCs w:val="24"/>
        </w:rPr>
        <w:t xml:space="preserve"> </w:t>
      </w:r>
      <w:r w:rsidRPr="00130356">
        <w:rPr>
          <w:rFonts w:cs="Calibri"/>
          <w:b/>
          <w:sz w:val="24"/>
          <w:szCs w:val="24"/>
        </w:rPr>
        <w:t>EUR</w:t>
      </w:r>
      <w:r w:rsidRPr="00130356">
        <w:rPr>
          <w:rFonts w:cs="Calibri"/>
          <w:sz w:val="24"/>
          <w:szCs w:val="24"/>
        </w:rPr>
        <w:t xml:space="preserve"> (najmä z poplatkov za vydané </w:t>
      </w:r>
      <w:r>
        <w:rPr>
          <w:rFonts w:cs="Calibri"/>
          <w:sz w:val="24"/>
          <w:szCs w:val="24"/>
        </w:rPr>
        <w:t>stanoviská Etickej komisie BSK o</w:t>
      </w:r>
      <w:r w:rsidRPr="00BC29B5">
        <w:rPr>
          <w:rFonts w:cs="Calibri"/>
          <w:sz w:val="24"/>
          <w:szCs w:val="24"/>
        </w:rPr>
        <w:t> etickej prijateľnosti klinického skúšania alebo projektu biomedicínskeho výskumu</w:t>
      </w:r>
      <w:r>
        <w:rPr>
          <w:rFonts w:cs="Calibri"/>
          <w:sz w:val="24"/>
          <w:szCs w:val="24"/>
        </w:rPr>
        <w:t xml:space="preserve"> </w:t>
      </w:r>
      <w:r w:rsidRPr="00130356">
        <w:rPr>
          <w:rFonts w:cs="Calibri"/>
          <w:sz w:val="24"/>
          <w:szCs w:val="24"/>
        </w:rPr>
        <w:t xml:space="preserve">vo výške </w:t>
      </w:r>
      <w:r w:rsidR="00557437">
        <w:rPr>
          <w:rFonts w:cs="Calibri"/>
          <w:sz w:val="24"/>
          <w:szCs w:val="24"/>
        </w:rPr>
        <w:t>71 500</w:t>
      </w:r>
      <w:r w:rsidR="0014154E" w:rsidRPr="0014154E">
        <w:rPr>
          <w:rFonts w:cs="Calibri"/>
          <w:sz w:val="24"/>
          <w:szCs w:val="24"/>
        </w:rPr>
        <w:t xml:space="preserve">,00 </w:t>
      </w:r>
      <w:r w:rsidRPr="00130356">
        <w:rPr>
          <w:rFonts w:cs="Calibri"/>
          <w:sz w:val="24"/>
          <w:szCs w:val="24"/>
        </w:rPr>
        <w:t>EUR, zo správnych poplatkov</w:t>
      </w:r>
      <w:r>
        <w:rPr>
          <w:rFonts w:cs="Calibri"/>
          <w:sz w:val="24"/>
          <w:szCs w:val="24"/>
        </w:rPr>
        <w:t>, z inkasovaných pokút</w:t>
      </w:r>
      <w:r w:rsidR="00B1151A">
        <w:rPr>
          <w:rFonts w:cs="Calibri"/>
          <w:sz w:val="24"/>
          <w:szCs w:val="24"/>
        </w:rPr>
        <w:t xml:space="preserve"> </w:t>
      </w:r>
      <w:r w:rsidR="00B1151A" w:rsidRPr="00B1151A">
        <w:rPr>
          <w:rFonts w:cs="Calibri"/>
          <w:sz w:val="24"/>
          <w:szCs w:val="24"/>
        </w:rPr>
        <w:t xml:space="preserve">za porušenie predpisov  </w:t>
      </w:r>
      <w:r w:rsidR="00B1151A">
        <w:rPr>
          <w:rFonts w:cs="Calibri"/>
          <w:sz w:val="24"/>
          <w:szCs w:val="24"/>
        </w:rPr>
        <w:t xml:space="preserve">a </w:t>
      </w:r>
      <w:r w:rsidR="00B1151A" w:rsidRPr="00B1151A">
        <w:rPr>
          <w:rFonts w:cs="Calibri"/>
          <w:sz w:val="24"/>
          <w:szCs w:val="24"/>
        </w:rPr>
        <w:t xml:space="preserve"> úroky z</w:t>
      </w:r>
      <w:r w:rsidR="00B1151A">
        <w:rPr>
          <w:rFonts w:cs="Calibri"/>
          <w:sz w:val="24"/>
          <w:szCs w:val="24"/>
        </w:rPr>
        <w:t> </w:t>
      </w:r>
      <w:r w:rsidR="00B1151A" w:rsidRPr="00B1151A">
        <w:rPr>
          <w:rFonts w:cs="Calibri"/>
          <w:sz w:val="24"/>
          <w:szCs w:val="24"/>
        </w:rPr>
        <w:t>omeškania</w:t>
      </w:r>
      <w:r w:rsidR="00B1151A">
        <w:rPr>
          <w:rFonts w:cs="Calibri"/>
          <w:sz w:val="24"/>
          <w:szCs w:val="24"/>
        </w:rPr>
        <w:t xml:space="preserve"> vo výške 18 237,85 EUR</w:t>
      </w:r>
      <w:r w:rsidR="0039654C">
        <w:rPr>
          <w:rFonts w:cs="Calibri"/>
          <w:sz w:val="24"/>
          <w:szCs w:val="24"/>
        </w:rPr>
        <w:t>, vydaných licencii</w:t>
      </w:r>
      <w:r>
        <w:rPr>
          <w:rFonts w:cs="Calibri"/>
          <w:sz w:val="24"/>
          <w:szCs w:val="24"/>
        </w:rPr>
        <w:t xml:space="preserve"> </w:t>
      </w:r>
      <w:r w:rsidR="0039654C">
        <w:rPr>
          <w:rFonts w:cs="Calibri"/>
          <w:sz w:val="24"/>
          <w:szCs w:val="24"/>
        </w:rPr>
        <w:t xml:space="preserve">na úseku zdravotníctva vo výške </w:t>
      </w:r>
      <w:r w:rsidR="00557437">
        <w:rPr>
          <w:rFonts w:cs="Calibri"/>
          <w:sz w:val="24"/>
          <w:szCs w:val="24"/>
        </w:rPr>
        <w:t xml:space="preserve">52 </w:t>
      </w:r>
      <w:r w:rsidR="00B1151A">
        <w:rPr>
          <w:rFonts w:cs="Calibri"/>
          <w:sz w:val="24"/>
          <w:szCs w:val="24"/>
        </w:rPr>
        <w:t>215</w:t>
      </w:r>
      <w:r w:rsidR="0039654C">
        <w:rPr>
          <w:rFonts w:cs="Calibri"/>
          <w:sz w:val="24"/>
          <w:szCs w:val="24"/>
        </w:rPr>
        <w:t xml:space="preserve"> EUR</w:t>
      </w:r>
      <w:r>
        <w:rPr>
          <w:rFonts w:cs="Calibri"/>
          <w:sz w:val="24"/>
          <w:szCs w:val="24"/>
        </w:rPr>
        <w:t xml:space="preserve">, </w:t>
      </w:r>
      <w:r w:rsidR="00516F3A">
        <w:rPr>
          <w:rFonts w:cs="Calibri"/>
          <w:sz w:val="24"/>
          <w:szCs w:val="24"/>
        </w:rPr>
        <w:t>na úseku</w:t>
      </w:r>
      <w:r w:rsidR="0039654C">
        <w:rPr>
          <w:rFonts w:cs="Calibri"/>
          <w:sz w:val="24"/>
          <w:szCs w:val="24"/>
        </w:rPr>
        <w:t xml:space="preserve"> </w:t>
      </w:r>
      <w:r>
        <w:rPr>
          <w:rFonts w:cs="Calibri"/>
          <w:sz w:val="24"/>
          <w:szCs w:val="24"/>
        </w:rPr>
        <w:t>dopravy</w:t>
      </w:r>
      <w:r w:rsidR="0039654C">
        <w:rPr>
          <w:rFonts w:cs="Calibri"/>
          <w:sz w:val="24"/>
          <w:szCs w:val="24"/>
        </w:rPr>
        <w:t xml:space="preserve"> vo výške </w:t>
      </w:r>
      <w:r w:rsidR="00B1151A">
        <w:rPr>
          <w:rFonts w:cs="Calibri"/>
          <w:sz w:val="24"/>
          <w:szCs w:val="24"/>
        </w:rPr>
        <w:t>1 580</w:t>
      </w:r>
      <w:r w:rsidR="0039654C">
        <w:rPr>
          <w:rFonts w:cs="Calibri"/>
          <w:sz w:val="24"/>
          <w:szCs w:val="24"/>
        </w:rPr>
        <w:t xml:space="preserve"> EUR</w:t>
      </w:r>
      <w:r>
        <w:rPr>
          <w:rFonts w:cs="Calibri"/>
          <w:sz w:val="24"/>
          <w:szCs w:val="24"/>
        </w:rPr>
        <w:t xml:space="preserve">, </w:t>
      </w:r>
      <w:r w:rsidR="00B1151A">
        <w:rPr>
          <w:rFonts w:cs="Calibri"/>
          <w:sz w:val="24"/>
          <w:szCs w:val="24"/>
        </w:rPr>
        <w:t>z poplatkov za</w:t>
      </w:r>
      <w:r w:rsidR="00B1151A" w:rsidRPr="00B1151A">
        <w:rPr>
          <w:rFonts w:cs="Calibri"/>
          <w:sz w:val="24"/>
          <w:szCs w:val="24"/>
        </w:rPr>
        <w:t xml:space="preserve"> vodičské preukazy, </w:t>
      </w:r>
      <w:proofErr w:type="spellStart"/>
      <w:r w:rsidR="00B1151A" w:rsidRPr="00B1151A">
        <w:rPr>
          <w:rFonts w:cs="Calibri"/>
          <w:sz w:val="24"/>
          <w:szCs w:val="24"/>
        </w:rPr>
        <w:t>stavbené</w:t>
      </w:r>
      <w:proofErr w:type="spellEnd"/>
      <w:r w:rsidR="00B1151A" w:rsidRPr="00B1151A">
        <w:rPr>
          <w:rFonts w:cs="Calibri"/>
          <w:sz w:val="24"/>
          <w:szCs w:val="24"/>
        </w:rPr>
        <w:t xml:space="preserve"> povolenia, kolaudačné rozhodnutia</w:t>
      </w:r>
      <w:r w:rsidR="00B1151A">
        <w:rPr>
          <w:rFonts w:cs="Calibri"/>
          <w:sz w:val="24"/>
          <w:szCs w:val="24"/>
        </w:rPr>
        <w:t xml:space="preserve"> vo výške 3 414 EUR, </w:t>
      </w:r>
      <w:r>
        <w:rPr>
          <w:rFonts w:cs="Calibri"/>
          <w:sz w:val="24"/>
          <w:szCs w:val="24"/>
        </w:rPr>
        <w:t xml:space="preserve">z omeškaných </w:t>
      </w:r>
      <w:proofErr w:type="spellStart"/>
      <w:r>
        <w:rPr>
          <w:rFonts w:cs="Calibri"/>
          <w:sz w:val="24"/>
          <w:szCs w:val="24"/>
        </w:rPr>
        <w:t>vyučtovaní</w:t>
      </w:r>
      <w:proofErr w:type="spellEnd"/>
      <w:r>
        <w:rPr>
          <w:rFonts w:cs="Calibri"/>
          <w:sz w:val="24"/>
          <w:szCs w:val="24"/>
        </w:rPr>
        <w:t xml:space="preserve"> v rámci VZN v celkovej výške </w:t>
      </w:r>
      <w:r w:rsidR="00B1151A">
        <w:rPr>
          <w:rFonts w:cs="Calibri"/>
          <w:sz w:val="24"/>
          <w:szCs w:val="24"/>
        </w:rPr>
        <w:t>1 805</w:t>
      </w:r>
      <w:r w:rsidRPr="003216EC">
        <w:rPr>
          <w:rFonts w:cs="Calibri"/>
          <w:sz w:val="24"/>
          <w:szCs w:val="24"/>
        </w:rPr>
        <w:t xml:space="preserve"> </w:t>
      </w:r>
      <w:r>
        <w:rPr>
          <w:rFonts w:cs="Calibri"/>
          <w:sz w:val="24"/>
          <w:szCs w:val="24"/>
        </w:rPr>
        <w:t>EUR, p</w:t>
      </w:r>
      <w:r w:rsidRPr="00D401B9">
        <w:rPr>
          <w:rFonts w:cs="Calibri"/>
          <w:sz w:val="24"/>
          <w:szCs w:val="24"/>
        </w:rPr>
        <w:t xml:space="preserve">ríjmy </w:t>
      </w:r>
      <w:r>
        <w:rPr>
          <w:rFonts w:cs="Calibri"/>
          <w:sz w:val="24"/>
          <w:szCs w:val="24"/>
        </w:rPr>
        <w:t>za</w:t>
      </w:r>
      <w:r w:rsidRPr="00D401B9">
        <w:rPr>
          <w:rFonts w:cs="Calibri"/>
          <w:sz w:val="24"/>
          <w:szCs w:val="24"/>
        </w:rPr>
        <w:t xml:space="preserve"> </w:t>
      </w:r>
      <w:proofErr w:type="spellStart"/>
      <w:r w:rsidRPr="00D401B9">
        <w:rPr>
          <w:rFonts w:cs="Calibri"/>
          <w:sz w:val="24"/>
          <w:szCs w:val="24"/>
        </w:rPr>
        <w:t>fotovoltaick</w:t>
      </w:r>
      <w:r>
        <w:rPr>
          <w:rFonts w:cs="Calibri"/>
          <w:sz w:val="24"/>
          <w:szCs w:val="24"/>
        </w:rPr>
        <w:t>ú</w:t>
      </w:r>
      <w:proofErr w:type="spellEnd"/>
      <w:r w:rsidRPr="00D401B9">
        <w:rPr>
          <w:rFonts w:cs="Calibri"/>
          <w:sz w:val="24"/>
          <w:szCs w:val="24"/>
        </w:rPr>
        <w:t xml:space="preserve"> elekt</w:t>
      </w:r>
      <w:r>
        <w:rPr>
          <w:rFonts w:cs="Calibri"/>
          <w:sz w:val="24"/>
          <w:szCs w:val="24"/>
        </w:rPr>
        <w:t xml:space="preserve">ráreň na SPŠ </w:t>
      </w:r>
      <w:r>
        <w:rPr>
          <w:rFonts w:cs="Calibri"/>
          <w:sz w:val="24"/>
          <w:szCs w:val="24"/>
        </w:rPr>
        <w:lastRenderedPageBreak/>
        <w:t>el</w:t>
      </w:r>
      <w:r w:rsidR="002718D0">
        <w:rPr>
          <w:rFonts w:cs="Calibri"/>
          <w:sz w:val="24"/>
          <w:szCs w:val="24"/>
        </w:rPr>
        <w:t>e</w:t>
      </w:r>
      <w:r>
        <w:rPr>
          <w:rFonts w:cs="Calibri"/>
          <w:sz w:val="24"/>
          <w:szCs w:val="24"/>
        </w:rPr>
        <w:t>ktrotechnickej K.</w:t>
      </w:r>
      <w:r w:rsidRPr="00D401B9">
        <w:rPr>
          <w:rFonts w:cs="Calibri"/>
          <w:sz w:val="24"/>
          <w:szCs w:val="24"/>
        </w:rPr>
        <w:t xml:space="preserve"> Adler</w:t>
      </w:r>
      <w:r>
        <w:rPr>
          <w:rFonts w:cs="Calibri"/>
          <w:sz w:val="24"/>
          <w:szCs w:val="24"/>
        </w:rPr>
        <w:t xml:space="preserve">a vo výške </w:t>
      </w:r>
      <w:r w:rsidR="0039654C" w:rsidRPr="0039654C">
        <w:rPr>
          <w:rFonts w:cs="Calibri"/>
          <w:sz w:val="24"/>
          <w:szCs w:val="24"/>
        </w:rPr>
        <w:t>8</w:t>
      </w:r>
      <w:r w:rsidR="00B1151A">
        <w:rPr>
          <w:rFonts w:cs="Calibri"/>
          <w:sz w:val="24"/>
          <w:szCs w:val="24"/>
        </w:rPr>
        <w:t> 564,97</w:t>
      </w:r>
      <w:r w:rsidR="0039654C" w:rsidRPr="0039654C">
        <w:rPr>
          <w:rFonts w:cs="Calibri"/>
          <w:sz w:val="24"/>
          <w:szCs w:val="24"/>
        </w:rPr>
        <w:t xml:space="preserve"> </w:t>
      </w:r>
      <w:r>
        <w:rPr>
          <w:rFonts w:cs="Calibri"/>
          <w:sz w:val="24"/>
          <w:szCs w:val="24"/>
        </w:rPr>
        <w:t xml:space="preserve">EUR,  z manipulačných poplatkov pri verejných súťažiach vo výške </w:t>
      </w:r>
      <w:r w:rsidR="00B1151A">
        <w:rPr>
          <w:rFonts w:cs="Calibri"/>
          <w:sz w:val="24"/>
          <w:szCs w:val="24"/>
        </w:rPr>
        <w:t>4</w:t>
      </w:r>
      <w:r>
        <w:rPr>
          <w:rFonts w:cs="Calibri"/>
          <w:sz w:val="24"/>
          <w:szCs w:val="24"/>
        </w:rPr>
        <w:t>0,00 EUR</w:t>
      </w:r>
      <w:r w:rsidRPr="00130356">
        <w:rPr>
          <w:rFonts w:cs="Calibri"/>
          <w:sz w:val="24"/>
          <w:szCs w:val="24"/>
        </w:rPr>
        <w:t xml:space="preserve">), </w:t>
      </w:r>
    </w:p>
    <w:p w14:paraId="1E6F1373" w14:textId="6405F7BA" w:rsidR="00BE704E" w:rsidRPr="004049C6" w:rsidRDefault="00BE704E" w:rsidP="00F72A56">
      <w:pPr>
        <w:pStyle w:val="Odsekzoznamu"/>
        <w:numPr>
          <w:ilvl w:val="0"/>
          <w:numId w:val="6"/>
        </w:numPr>
        <w:spacing w:line="240" w:lineRule="auto"/>
        <w:jc w:val="both"/>
        <w:rPr>
          <w:rFonts w:cs="Calibri"/>
          <w:sz w:val="24"/>
          <w:szCs w:val="24"/>
        </w:rPr>
      </w:pPr>
      <w:r w:rsidRPr="00130356">
        <w:rPr>
          <w:rFonts w:cs="Calibri"/>
          <w:b/>
          <w:sz w:val="24"/>
          <w:szCs w:val="24"/>
        </w:rPr>
        <w:t>príjmami vo forme úrokov</w:t>
      </w:r>
      <w:r w:rsidRPr="00130356">
        <w:rPr>
          <w:rFonts w:cs="Calibri"/>
          <w:sz w:val="24"/>
          <w:szCs w:val="24"/>
        </w:rPr>
        <w:t xml:space="preserve"> z účtov finančného hospodárenia vo výške </w:t>
      </w:r>
      <w:r w:rsidR="00B1151A" w:rsidRPr="00B1151A">
        <w:rPr>
          <w:rFonts w:cs="Calibri"/>
          <w:b/>
          <w:sz w:val="24"/>
          <w:szCs w:val="24"/>
        </w:rPr>
        <w:t>1 495,77</w:t>
      </w:r>
      <w:r w:rsidR="00B1151A">
        <w:rPr>
          <w:rFonts w:cs="Calibri"/>
          <w:b/>
          <w:sz w:val="24"/>
          <w:szCs w:val="24"/>
        </w:rPr>
        <w:t xml:space="preserve"> </w:t>
      </w:r>
      <w:r w:rsidRPr="00130356">
        <w:rPr>
          <w:rFonts w:cs="Calibri"/>
          <w:b/>
          <w:sz w:val="24"/>
          <w:szCs w:val="24"/>
        </w:rPr>
        <w:t>EUR</w:t>
      </w:r>
      <w:r>
        <w:rPr>
          <w:rFonts w:cs="Calibri"/>
          <w:b/>
          <w:sz w:val="24"/>
          <w:szCs w:val="24"/>
        </w:rPr>
        <w:t xml:space="preserve">, </w:t>
      </w:r>
    </w:p>
    <w:p w14:paraId="2649E4CB" w14:textId="013B7E4D" w:rsidR="00761018" w:rsidRPr="004211C4" w:rsidRDefault="00BE704E" w:rsidP="00F72A56">
      <w:pPr>
        <w:pStyle w:val="Odsekzoznamu"/>
        <w:numPr>
          <w:ilvl w:val="0"/>
          <w:numId w:val="6"/>
        </w:numPr>
        <w:spacing w:line="240" w:lineRule="auto"/>
        <w:jc w:val="both"/>
        <w:rPr>
          <w:rFonts w:cs="Calibri"/>
          <w:sz w:val="24"/>
          <w:szCs w:val="24"/>
        </w:rPr>
      </w:pPr>
      <w:r w:rsidRPr="00130356">
        <w:rPr>
          <w:rFonts w:cs="Calibri"/>
          <w:b/>
          <w:sz w:val="24"/>
          <w:szCs w:val="24"/>
        </w:rPr>
        <w:t>a inými nedaňovými príjmami</w:t>
      </w:r>
      <w:r w:rsidRPr="00130356">
        <w:rPr>
          <w:rFonts w:cs="Calibri"/>
          <w:sz w:val="24"/>
          <w:szCs w:val="24"/>
        </w:rPr>
        <w:t xml:space="preserve"> v celkovej výške </w:t>
      </w:r>
      <w:r w:rsidR="00B1151A" w:rsidRPr="00B1151A">
        <w:rPr>
          <w:rFonts w:cs="Calibri"/>
          <w:b/>
          <w:sz w:val="24"/>
          <w:szCs w:val="24"/>
        </w:rPr>
        <w:t>478 220,81</w:t>
      </w:r>
      <w:r w:rsidR="00B1151A">
        <w:rPr>
          <w:rFonts w:cs="Calibri"/>
          <w:b/>
          <w:sz w:val="24"/>
          <w:szCs w:val="24"/>
        </w:rPr>
        <w:t xml:space="preserve"> </w:t>
      </w:r>
      <w:r w:rsidRPr="00130356">
        <w:rPr>
          <w:rFonts w:cs="Calibri"/>
          <w:b/>
          <w:sz w:val="24"/>
          <w:szCs w:val="24"/>
        </w:rPr>
        <w:t>EUR</w:t>
      </w:r>
      <w:r w:rsidRPr="00130356">
        <w:rPr>
          <w:rFonts w:cs="Calibri"/>
          <w:sz w:val="24"/>
          <w:szCs w:val="24"/>
        </w:rPr>
        <w:t xml:space="preserve"> (najmä </w:t>
      </w:r>
      <w:r w:rsidR="00991D5F">
        <w:rPr>
          <w:rFonts w:cs="Calibri"/>
          <w:sz w:val="24"/>
          <w:szCs w:val="24"/>
        </w:rPr>
        <w:t xml:space="preserve">príjmy </w:t>
      </w:r>
      <w:r w:rsidRPr="00130356">
        <w:rPr>
          <w:rFonts w:cs="Calibri"/>
          <w:sz w:val="24"/>
          <w:szCs w:val="24"/>
        </w:rPr>
        <w:t xml:space="preserve">z refundácií </w:t>
      </w:r>
      <w:r w:rsidR="00614093">
        <w:rPr>
          <w:rFonts w:cs="Calibri"/>
          <w:sz w:val="24"/>
          <w:szCs w:val="24"/>
        </w:rPr>
        <w:t>za daň z nehnuteľnosti</w:t>
      </w:r>
      <w:r w:rsidR="00614093" w:rsidRPr="00130356">
        <w:rPr>
          <w:rFonts w:cs="Calibri"/>
          <w:sz w:val="24"/>
          <w:szCs w:val="24"/>
        </w:rPr>
        <w:t xml:space="preserve"> </w:t>
      </w:r>
      <w:r w:rsidR="00614093">
        <w:rPr>
          <w:rFonts w:cs="Calibri"/>
          <w:sz w:val="24"/>
          <w:szCs w:val="24"/>
        </w:rPr>
        <w:t xml:space="preserve">od nájomcov vo výške </w:t>
      </w:r>
      <w:r w:rsidR="00FB2215" w:rsidRPr="00FB2215">
        <w:rPr>
          <w:rFonts w:cs="Calibri"/>
          <w:sz w:val="24"/>
          <w:szCs w:val="24"/>
        </w:rPr>
        <w:t>202</w:t>
      </w:r>
      <w:r w:rsidR="00FB2215">
        <w:rPr>
          <w:rFonts w:cs="Calibri"/>
          <w:sz w:val="24"/>
          <w:szCs w:val="24"/>
        </w:rPr>
        <w:t xml:space="preserve"> </w:t>
      </w:r>
      <w:r w:rsidR="00FB2215" w:rsidRPr="00FB2215">
        <w:rPr>
          <w:rFonts w:cs="Calibri"/>
          <w:sz w:val="24"/>
          <w:szCs w:val="24"/>
        </w:rPr>
        <w:t>781,77</w:t>
      </w:r>
      <w:r w:rsidR="00FB2215">
        <w:rPr>
          <w:rFonts w:cs="Calibri"/>
          <w:sz w:val="24"/>
          <w:szCs w:val="24"/>
        </w:rPr>
        <w:t xml:space="preserve"> </w:t>
      </w:r>
      <w:r w:rsidR="00614093">
        <w:rPr>
          <w:rFonts w:cs="Calibri"/>
          <w:sz w:val="24"/>
          <w:szCs w:val="24"/>
        </w:rPr>
        <w:t xml:space="preserve">EUR, z vrátených nevyčerpaných dotácii od sociálnych neštátnych subjektov vo výške </w:t>
      </w:r>
      <w:r w:rsidR="00FB2215" w:rsidRPr="00FB2215">
        <w:rPr>
          <w:rFonts w:cs="Calibri"/>
          <w:sz w:val="24"/>
          <w:szCs w:val="24"/>
        </w:rPr>
        <w:t>102</w:t>
      </w:r>
      <w:r w:rsidR="00FB2215">
        <w:rPr>
          <w:rFonts w:cs="Calibri"/>
          <w:sz w:val="24"/>
          <w:szCs w:val="24"/>
        </w:rPr>
        <w:t xml:space="preserve"> </w:t>
      </w:r>
      <w:r w:rsidR="00FB2215" w:rsidRPr="00FB2215">
        <w:rPr>
          <w:rFonts w:cs="Calibri"/>
          <w:sz w:val="24"/>
          <w:szCs w:val="24"/>
        </w:rPr>
        <w:t>988,52</w:t>
      </w:r>
      <w:r w:rsidR="00FB2215">
        <w:rPr>
          <w:rFonts w:cs="Calibri"/>
          <w:sz w:val="24"/>
          <w:szCs w:val="24"/>
        </w:rPr>
        <w:t xml:space="preserve"> </w:t>
      </w:r>
      <w:r w:rsidR="00614093">
        <w:rPr>
          <w:rFonts w:cs="Calibri"/>
          <w:sz w:val="24"/>
          <w:szCs w:val="24"/>
        </w:rPr>
        <w:t>EUR,</w:t>
      </w:r>
      <w:r w:rsidR="00FB2215">
        <w:rPr>
          <w:rFonts w:cs="Calibri"/>
          <w:sz w:val="24"/>
          <w:szCs w:val="24"/>
        </w:rPr>
        <w:t xml:space="preserve"> z vráteného preddavku Slovak </w:t>
      </w:r>
      <w:proofErr w:type="spellStart"/>
      <w:r w:rsidR="00FB2215">
        <w:rPr>
          <w:rFonts w:cs="Calibri"/>
          <w:sz w:val="24"/>
          <w:szCs w:val="24"/>
        </w:rPr>
        <w:t>Lines</w:t>
      </w:r>
      <w:proofErr w:type="spellEnd"/>
      <w:r w:rsidR="00FB2215">
        <w:rPr>
          <w:rFonts w:cs="Calibri"/>
          <w:sz w:val="24"/>
          <w:szCs w:val="24"/>
        </w:rPr>
        <w:t xml:space="preserve"> vo výške  43 703,31 EUR,</w:t>
      </w:r>
      <w:r w:rsidR="00614093">
        <w:rPr>
          <w:rFonts w:cs="Calibri"/>
          <w:sz w:val="24"/>
          <w:szCs w:val="24"/>
        </w:rPr>
        <w:t xml:space="preserve"> z vrátených nevyčerpaných dotácii v zmysle VZN o </w:t>
      </w:r>
      <w:proofErr w:type="spellStart"/>
      <w:r w:rsidR="00614093">
        <w:rPr>
          <w:rFonts w:cs="Calibri"/>
          <w:sz w:val="24"/>
          <w:szCs w:val="24"/>
        </w:rPr>
        <w:t>dotáciach</w:t>
      </w:r>
      <w:proofErr w:type="spellEnd"/>
      <w:r w:rsidR="00614093">
        <w:rPr>
          <w:rFonts w:cs="Calibri"/>
          <w:sz w:val="24"/>
          <w:szCs w:val="24"/>
        </w:rPr>
        <w:t xml:space="preserve"> z roku 201</w:t>
      </w:r>
      <w:r w:rsidR="00FB2215">
        <w:rPr>
          <w:rFonts w:cs="Calibri"/>
          <w:sz w:val="24"/>
          <w:szCs w:val="24"/>
        </w:rPr>
        <w:t>9</w:t>
      </w:r>
      <w:r w:rsidR="00614093">
        <w:rPr>
          <w:rFonts w:cs="Calibri"/>
          <w:sz w:val="24"/>
          <w:szCs w:val="24"/>
        </w:rPr>
        <w:t xml:space="preserve"> vo výške </w:t>
      </w:r>
      <w:r w:rsidR="00FB2215" w:rsidRPr="00FB2215">
        <w:rPr>
          <w:rFonts w:cs="Calibri"/>
          <w:sz w:val="24"/>
          <w:szCs w:val="24"/>
        </w:rPr>
        <w:t xml:space="preserve">32 699,75 </w:t>
      </w:r>
      <w:r w:rsidR="00614093">
        <w:rPr>
          <w:rFonts w:cs="Calibri"/>
          <w:sz w:val="24"/>
          <w:szCs w:val="24"/>
        </w:rPr>
        <w:t>EUR</w:t>
      </w:r>
      <w:r w:rsidR="00991D5F">
        <w:rPr>
          <w:rFonts w:cs="Calibri"/>
          <w:sz w:val="24"/>
          <w:szCs w:val="24"/>
        </w:rPr>
        <w:t xml:space="preserve">, </w:t>
      </w:r>
      <w:r w:rsidR="005A1E3E">
        <w:rPr>
          <w:rFonts w:cs="Calibri"/>
          <w:sz w:val="24"/>
          <w:szCs w:val="24"/>
        </w:rPr>
        <w:t>z </w:t>
      </w:r>
      <w:proofErr w:type="spellStart"/>
      <w:r w:rsidR="005A1E3E">
        <w:rPr>
          <w:rFonts w:cs="Calibri"/>
          <w:sz w:val="24"/>
          <w:szCs w:val="24"/>
        </w:rPr>
        <w:t>refubdácie</w:t>
      </w:r>
      <w:proofErr w:type="spellEnd"/>
      <w:r w:rsidR="005A1E3E">
        <w:rPr>
          <w:rFonts w:cs="Calibri"/>
          <w:sz w:val="24"/>
          <w:szCs w:val="24"/>
        </w:rPr>
        <w:t xml:space="preserve"> od BID vo výške </w:t>
      </w:r>
      <w:r w:rsidR="00FB2215" w:rsidRPr="00FB2215">
        <w:rPr>
          <w:rFonts w:cs="Calibri"/>
          <w:sz w:val="24"/>
          <w:szCs w:val="24"/>
        </w:rPr>
        <w:t>20</w:t>
      </w:r>
      <w:r w:rsidR="00FB2215">
        <w:rPr>
          <w:rFonts w:cs="Calibri"/>
          <w:sz w:val="24"/>
          <w:szCs w:val="24"/>
        </w:rPr>
        <w:t xml:space="preserve"> </w:t>
      </w:r>
      <w:r w:rsidR="00FB2215" w:rsidRPr="00FB2215">
        <w:rPr>
          <w:rFonts w:cs="Calibri"/>
          <w:sz w:val="24"/>
          <w:szCs w:val="24"/>
        </w:rPr>
        <w:t>306,74</w:t>
      </w:r>
      <w:r w:rsidR="00FB2215">
        <w:rPr>
          <w:rFonts w:cs="Calibri"/>
          <w:sz w:val="24"/>
          <w:szCs w:val="24"/>
        </w:rPr>
        <w:t xml:space="preserve"> </w:t>
      </w:r>
      <w:r w:rsidR="005A1E3E">
        <w:rPr>
          <w:rFonts w:cs="Calibri"/>
          <w:sz w:val="24"/>
          <w:szCs w:val="24"/>
        </w:rPr>
        <w:t>EUR, z </w:t>
      </w:r>
      <w:proofErr w:type="spellStart"/>
      <w:r w:rsidR="005A1E3E">
        <w:rPr>
          <w:rFonts w:cs="Calibri"/>
          <w:sz w:val="24"/>
          <w:szCs w:val="24"/>
        </w:rPr>
        <w:t>refundáciíí</w:t>
      </w:r>
      <w:proofErr w:type="spellEnd"/>
      <w:r w:rsidR="005A1E3E">
        <w:rPr>
          <w:rFonts w:cs="Calibri"/>
          <w:sz w:val="24"/>
          <w:szCs w:val="24"/>
        </w:rPr>
        <w:t xml:space="preserve"> za </w:t>
      </w:r>
      <w:r w:rsidRPr="00130356">
        <w:rPr>
          <w:rFonts w:cs="Calibri"/>
          <w:sz w:val="24"/>
          <w:szCs w:val="24"/>
        </w:rPr>
        <w:t>energie</w:t>
      </w:r>
      <w:r w:rsidR="005A1E3E">
        <w:rPr>
          <w:rFonts w:cs="Calibri"/>
          <w:sz w:val="24"/>
          <w:szCs w:val="24"/>
        </w:rPr>
        <w:t xml:space="preserve"> a služby  vo výške </w:t>
      </w:r>
      <w:r w:rsidR="00FB2215">
        <w:rPr>
          <w:rFonts w:cs="Calibri"/>
          <w:sz w:val="24"/>
          <w:szCs w:val="24"/>
        </w:rPr>
        <w:t>62 476,57</w:t>
      </w:r>
      <w:r w:rsidR="005A1E3E">
        <w:rPr>
          <w:rFonts w:cs="Calibri"/>
          <w:sz w:val="24"/>
          <w:szCs w:val="24"/>
        </w:rPr>
        <w:t xml:space="preserve"> EUR, a </w:t>
      </w:r>
      <w:proofErr w:type="spellStart"/>
      <w:r w:rsidR="005A1E3E">
        <w:rPr>
          <w:rFonts w:cs="Calibri"/>
          <w:sz w:val="24"/>
          <w:szCs w:val="24"/>
        </w:rPr>
        <w:t>vratky</w:t>
      </w:r>
      <w:proofErr w:type="spellEnd"/>
      <w:r w:rsidR="005A1E3E">
        <w:rPr>
          <w:rFonts w:cs="Calibri"/>
          <w:sz w:val="24"/>
          <w:szCs w:val="24"/>
        </w:rPr>
        <w:t xml:space="preserve">, dobropisy vo výške </w:t>
      </w:r>
      <w:r w:rsidR="00FB2215" w:rsidRPr="00FB2215">
        <w:rPr>
          <w:rFonts w:cs="Calibri"/>
          <w:sz w:val="24"/>
          <w:szCs w:val="24"/>
        </w:rPr>
        <w:t>13</w:t>
      </w:r>
      <w:r w:rsidR="00FB2215">
        <w:rPr>
          <w:rFonts w:cs="Calibri"/>
          <w:sz w:val="24"/>
          <w:szCs w:val="24"/>
        </w:rPr>
        <w:t xml:space="preserve"> </w:t>
      </w:r>
      <w:r w:rsidR="00FB2215" w:rsidRPr="00FB2215">
        <w:rPr>
          <w:rFonts w:cs="Calibri"/>
          <w:sz w:val="24"/>
          <w:szCs w:val="24"/>
        </w:rPr>
        <w:t>264,15</w:t>
      </w:r>
      <w:r w:rsidR="005A1E3E">
        <w:rPr>
          <w:rFonts w:cs="Calibri"/>
          <w:sz w:val="24"/>
          <w:szCs w:val="24"/>
        </w:rPr>
        <w:t>EUR</w:t>
      </w:r>
      <w:r>
        <w:rPr>
          <w:rFonts w:cs="Calibri"/>
          <w:sz w:val="24"/>
          <w:szCs w:val="24"/>
        </w:rPr>
        <w:t>).</w:t>
      </w:r>
    </w:p>
    <w:p w14:paraId="470C3CE6" w14:textId="77777777" w:rsidR="004211C4" w:rsidRDefault="004211C4" w:rsidP="004211C4">
      <w:pPr>
        <w:autoSpaceDE w:val="0"/>
        <w:autoSpaceDN w:val="0"/>
        <w:adjustRightInd w:val="0"/>
        <w:spacing w:after="0" w:line="240" w:lineRule="auto"/>
        <w:jc w:val="both"/>
        <w:rPr>
          <w:rFonts w:cs="Calibri"/>
          <w:b/>
          <w:sz w:val="24"/>
          <w:szCs w:val="24"/>
        </w:rPr>
      </w:pPr>
    </w:p>
    <w:p w14:paraId="4146C4E0" w14:textId="52DB4B11" w:rsidR="0078329E" w:rsidRDefault="004211C4" w:rsidP="004211C4">
      <w:pPr>
        <w:autoSpaceDE w:val="0"/>
        <w:autoSpaceDN w:val="0"/>
        <w:adjustRightInd w:val="0"/>
        <w:spacing w:after="0" w:line="240" w:lineRule="auto"/>
        <w:jc w:val="both"/>
        <w:rPr>
          <w:rFonts w:cs="Calibri"/>
          <w:sz w:val="24"/>
          <w:szCs w:val="24"/>
        </w:rPr>
      </w:pPr>
      <w:r w:rsidRPr="00E206EA">
        <w:rPr>
          <w:rFonts w:cs="Calibri"/>
          <w:b/>
          <w:sz w:val="24"/>
          <w:szCs w:val="24"/>
        </w:rPr>
        <w:t>Nedaňové kapitálové príjmy</w:t>
      </w:r>
      <w:r w:rsidRPr="00E206EA">
        <w:rPr>
          <w:rFonts w:cs="Calibri"/>
          <w:sz w:val="24"/>
          <w:szCs w:val="24"/>
        </w:rPr>
        <w:t xml:space="preserve"> sú kapitálové príjmy z predaja hnuteľného a nehnuteľného majetku, z predaja drobného hmotného a nehmotného majetku a ďalších kapitálových príjmov</w:t>
      </w:r>
      <w:r>
        <w:rPr>
          <w:rFonts w:cs="Calibri"/>
          <w:sz w:val="24"/>
          <w:szCs w:val="24"/>
        </w:rPr>
        <w:t>.</w:t>
      </w:r>
      <w:r w:rsidR="008E0BDF">
        <w:rPr>
          <w:rFonts w:cs="Calibri"/>
          <w:sz w:val="24"/>
          <w:szCs w:val="24"/>
        </w:rPr>
        <w:t xml:space="preserve"> </w:t>
      </w:r>
      <w:r>
        <w:rPr>
          <w:rFonts w:cs="Calibri"/>
          <w:sz w:val="24"/>
          <w:szCs w:val="24"/>
        </w:rPr>
        <w:t>Skutočne naplnené k</w:t>
      </w:r>
      <w:r w:rsidRPr="00E206EA">
        <w:rPr>
          <w:rFonts w:cs="Calibri"/>
          <w:b/>
          <w:sz w:val="24"/>
          <w:szCs w:val="24"/>
        </w:rPr>
        <w:t> 3</w:t>
      </w:r>
      <w:r>
        <w:rPr>
          <w:rFonts w:cs="Calibri"/>
          <w:b/>
          <w:sz w:val="24"/>
          <w:szCs w:val="24"/>
        </w:rPr>
        <w:t>1</w:t>
      </w:r>
      <w:r w:rsidRPr="00E206EA">
        <w:rPr>
          <w:rFonts w:cs="Calibri"/>
          <w:b/>
          <w:sz w:val="24"/>
          <w:szCs w:val="24"/>
        </w:rPr>
        <w:t>.12.</w:t>
      </w:r>
      <w:r>
        <w:rPr>
          <w:rFonts w:cs="Calibri"/>
          <w:b/>
          <w:sz w:val="24"/>
          <w:szCs w:val="24"/>
        </w:rPr>
        <w:t>20</w:t>
      </w:r>
      <w:r w:rsidR="0078329E">
        <w:rPr>
          <w:rFonts w:cs="Calibri"/>
          <w:b/>
          <w:sz w:val="24"/>
          <w:szCs w:val="24"/>
        </w:rPr>
        <w:t>20</w:t>
      </w:r>
      <w:r w:rsidRPr="00E206EA">
        <w:rPr>
          <w:rFonts w:cs="Calibri"/>
          <w:sz w:val="24"/>
          <w:szCs w:val="24"/>
        </w:rPr>
        <w:t xml:space="preserve"> boli nedaňové kapitálové príjmy </w:t>
      </w:r>
      <w:r w:rsidRPr="00E206EA">
        <w:rPr>
          <w:rFonts w:cs="Calibri"/>
          <w:b/>
          <w:sz w:val="24"/>
          <w:szCs w:val="24"/>
        </w:rPr>
        <w:t xml:space="preserve">vo výške </w:t>
      </w:r>
      <w:r w:rsidR="0078329E" w:rsidRPr="0078329E">
        <w:rPr>
          <w:rFonts w:cs="Calibri"/>
          <w:b/>
          <w:sz w:val="24"/>
          <w:szCs w:val="24"/>
        </w:rPr>
        <w:t>879</w:t>
      </w:r>
      <w:r w:rsidR="0078329E">
        <w:rPr>
          <w:rFonts w:cs="Calibri"/>
          <w:b/>
          <w:sz w:val="24"/>
          <w:szCs w:val="24"/>
        </w:rPr>
        <w:t xml:space="preserve"> </w:t>
      </w:r>
      <w:r w:rsidR="0078329E" w:rsidRPr="0078329E">
        <w:rPr>
          <w:rFonts w:cs="Calibri"/>
          <w:b/>
          <w:sz w:val="24"/>
          <w:szCs w:val="24"/>
        </w:rPr>
        <w:t>401</w:t>
      </w:r>
      <w:r w:rsidR="0078329E">
        <w:rPr>
          <w:rFonts w:cs="Calibri"/>
          <w:b/>
          <w:sz w:val="24"/>
          <w:szCs w:val="24"/>
        </w:rPr>
        <w:t xml:space="preserve">,00 </w:t>
      </w:r>
      <w:r w:rsidRPr="00E206EA">
        <w:rPr>
          <w:rFonts w:cs="Calibri"/>
          <w:b/>
          <w:sz w:val="24"/>
          <w:szCs w:val="24"/>
        </w:rPr>
        <w:t>EUR</w:t>
      </w:r>
      <w:r w:rsidRPr="004211C4">
        <w:rPr>
          <w:rFonts w:cs="Calibri"/>
          <w:sz w:val="24"/>
          <w:szCs w:val="24"/>
        </w:rPr>
        <w:t xml:space="preserve">, a to </w:t>
      </w:r>
      <w:r w:rsidR="0078329E">
        <w:rPr>
          <w:rFonts w:cs="Calibri"/>
          <w:sz w:val="24"/>
          <w:szCs w:val="24"/>
        </w:rPr>
        <w:t>:</w:t>
      </w:r>
    </w:p>
    <w:p w14:paraId="6E12AEE2" w14:textId="5581E94C" w:rsidR="005648BA" w:rsidRDefault="0078329E" w:rsidP="0078329E">
      <w:pPr>
        <w:pStyle w:val="Odsekzoznamu"/>
        <w:numPr>
          <w:ilvl w:val="0"/>
          <w:numId w:val="15"/>
        </w:numPr>
        <w:autoSpaceDE w:val="0"/>
        <w:autoSpaceDN w:val="0"/>
        <w:adjustRightInd w:val="0"/>
        <w:spacing w:after="0" w:line="240" w:lineRule="auto"/>
        <w:jc w:val="both"/>
        <w:rPr>
          <w:rFonts w:cs="Calibri"/>
          <w:sz w:val="24"/>
          <w:szCs w:val="24"/>
        </w:rPr>
      </w:pPr>
      <w:r>
        <w:rPr>
          <w:rFonts w:cs="Calibri"/>
          <w:sz w:val="24"/>
          <w:szCs w:val="24"/>
        </w:rPr>
        <w:t xml:space="preserve">z </w:t>
      </w:r>
      <w:r w:rsidRPr="0078329E">
        <w:rPr>
          <w:rFonts w:cs="Calibri"/>
          <w:sz w:val="24"/>
          <w:szCs w:val="24"/>
        </w:rPr>
        <w:t>vráteni</w:t>
      </w:r>
      <w:r>
        <w:rPr>
          <w:rFonts w:cs="Calibri"/>
          <w:sz w:val="24"/>
          <w:szCs w:val="24"/>
        </w:rPr>
        <w:t>a</w:t>
      </w:r>
      <w:r w:rsidRPr="0078329E">
        <w:rPr>
          <w:rFonts w:cs="Calibri"/>
          <w:sz w:val="24"/>
          <w:szCs w:val="24"/>
        </w:rPr>
        <w:t xml:space="preserve"> diela "ROTUNDA" na základe nesplnenia požiadaviek a zároveň vráteni</w:t>
      </w:r>
      <w:r>
        <w:rPr>
          <w:rFonts w:cs="Calibri"/>
          <w:sz w:val="24"/>
          <w:szCs w:val="24"/>
        </w:rPr>
        <w:t>a</w:t>
      </w:r>
      <w:r w:rsidRPr="0078329E">
        <w:rPr>
          <w:rFonts w:cs="Calibri"/>
          <w:sz w:val="24"/>
          <w:szCs w:val="24"/>
        </w:rPr>
        <w:t xml:space="preserve"> finančných prostriedkov od CEWE </w:t>
      </w:r>
      <w:proofErr w:type="spellStart"/>
      <w:r w:rsidRPr="0078329E">
        <w:rPr>
          <w:rFonts w:cs="Calibri"/>
          <w:sz w:val="24"/>
          <w:szCs w:val="24"/>
        </w:rPr>
        <w:t>a.s</w:t>
      </w:r>
      <w:proofErr w:type="spellEnd"/>
      <w:r w:rsidRPr="0078329E">
        <w:rPr>
          <w:rFonts w:cs="Calibri"/>
          <w:sz w:val="24"/>
          <w:szCs w:val="24"/>
        </w:rPr>
        <w:t>.</w:t>
      </w:r>
      <w:r>
        <w:rPr>
          <w:rFonts w:cs="Calibri"/>
          <w:sz w:val="24"/>
          <w:szCs w:val="24"/>
        </w:rPr>
        <w:t xml:space="preserve"> v </w:t>
      </w:r>
      <w:proofErr w:type="spellStart"/>
      <w:r>
        <w:rPr>
          <w:rFonts w:cs="Calibri"/>
          <w:sz w:val="24"/>
          <w:szCs w:val="24"/>
        </w:rPr>
        <w:t>vzmysle</w:t>
      </w:r>
      <w:proofErr w:type="spellEnd"/>
      <w:r>
        <w:rPr>
          <w:rFonts w:cs="Calibri"/>
          <w:sz w:val="24"/>
          <w:szCs w:val="24"/>
        </w:rPr>
        <w:t xml:space="preserve"> </w:t>
      </w:r>
      <w:r w:rsidRPr="0078329E">
        <w:rPr>
          <w:rFonts w:cs="Calibri"/>
          <w:sz w:val="24"/>
          <w:szCs w:val="24"/>
        </w:rPr>
        <w:t xml:space="preserve"> Dohod</w:t>
      </w:r>
      <w:r>
        <w:rPr>
          <w:rFonts w:cs="Calibri"/>
          <w:sz w:val="24"/>
          <w:szCs w:val="24"/>
        </w:rPr>
        <w:t>y</w:t>
      </w:r>
      <w:r w:rsidRPr="0078329E">
        <w:rPr>
          <w:rFonts w:cs="Calibri"/>
          <w:sz w:val="24"/>
          <w:szCs w:val="24"/>
        </w:rPr>
        <w:t xml:space="preserve"> o urovnaní medzi BSK a CEWE </w:t>
      </w:r>
      <w:proofErr w:type="spellStart"/>
      <w:r w:rsidRPr="0078329E">
        <w:rPr>
          <w:rFonts w:cs="Calibri"/>
          <w:sz w:val="24"/>
          <w:szCs w:val="24"/>
        </w:rPr>
        <w:t>a.s</w:t>
      </w:r>
      <w:proofErr w:type="spellEnd"/>
      <w:r w:rsidRPr="0078329E">
        <w:rPr>
          <w:rFonts w:cs="Calibri"/>
          <w:sz w:val="24"/>
          <w:szCs w:val="24"/>
        </w:rPr>
        <w:t>. č. 2020/14/KP</w:t>
      </w:r>
      <w:r>
        <w:rPr>
          <w:rFonts w:cs="Calibri"/>
          <w:sz w:val="24"/>
          <w:szCs w:val="24"/>
        </w:rPr>
        <w:t xml:space="preserve"> v su</w:t>
      </w:r>
      <w:r w:rsidR="005648BA">
        <w:rPr>
          <w:rFonts w:cs="Calibri"/>
          <w:sz w:val="24"/>
          <w:szCs w:val="24"/>
        </w:rPr>
        <w:t>me</w:t>
      </w:r>
      <w:r>
        <w:rPr>
          <w:rFonts w:cs="Calibri"/>
          <w:sz w:val="24"/>
          <w:szCs w:val="24"/>
        </w:rPr>
        <w:t xml:space="preserve"> </w:t>
      </w:r>
      <w:r w:rsidRPr="005648BA">
        <w:rPr>
          <w:rFonts w:cs="Calibri"/>
          <w:b/>
          <w:bCs/>
          <w:sz w:val="24"/>
          <w:szCs w:val="24"/>
        </w:rPr>
        <w:t>9 600,00 EUR</w:t>
      </w:r>
      <w:r w:rsidR="005648BA">
        <w:rPr>
          <w:rFonts w:cs="Calibri"/>
          <w:b/>
          <w:bCs/>
          <w:sz w:val="24"/>
          <w:szCs w:val="24"/>
        </w:rPr>
        <w:t>,</w:t>
      </w:r>
    </w:p>
    <w:p w14:paraId="5BAA4269" w14:textId="41DBB619" w:rsidR="0078329E" w:rsidRDefault="005648BA" w:rsidP="0078329E">
      <w:pPr>
        <w:pStyle w:val="Odsekzoznamu"/>
        <w:numPr>
          <w:ilvl w:val="0"/>
          <w:numId w:val="15"/>
        </w:numPr>
        <w:autoSpaceDE w:val="0"/>
        <w:autoSpaceDN w:val="0"/>
        <w:adjustRightInd w:val="0"/>
        <w:spacing w:after="0" w:line="240" w:lineRule="auto"/>
        <w:jc w:val="both"/>
        <w:rPr>
          <w:rFonts w:cs="Calibri"/>
          <w:sz w:val="24"/>
          <w:szCs w:val="24"/>
        </w:rPr>
      </w:pPr>
      <w:r w:rsidRPr="00121665">
        <w:rPr>
          <w:rFonts w:cs="Calibri"/>
          <w:sz w:val="24"/>
          <w:szCs w:val="24"/>
        </w:rPr>
        <w:t xml:space="preserve">zo zámeny nehnuteľností v areáli Školy pre mimoriadne nadané deti a gymnázia na Skalickej ulici v Bratislave medzi BSK a ACS 5 s.r.o., Plynárenská 7/A, Bratislava 821 09, </w:t>
      </w:r>
      <w:r w:rsidRPr="00121665">
        <w:rPr>
          <w:rFonts w:cs="Calibri"/>
          <w:b/>
          <w:bCs/>
          <w:sz w:val="24"/>
          <w:szCs w:val="24"/>
        </w:rPr>
        <w:t xml:space="preserve">s doplatkom ACS 5, s. r. o. </w:t>
      </w:r>
      <w:r w:rsidR="008E0BDF">
        <w:rPr>
          <w:rFonts w:cs="Calibri"/>
          <w:b/>
          <w:bCs/>
          <w:sz w:val="24"/>
          <w:szCs w:val="24"/>
        </w:rPr>
        <w:br/>
      </w:r>
      <w:r w:rsidRPr="00121665">
        <w:rPr>
          <w:rFonts w:cs="Calibri"/>
          <w:b/>
          <w:bCs/>
          <w:sz w:val="24"/>
          <w:szCs w:val="24"/>
        </w:rPr>
        <w:t>vo výške 75 000 EUR</w:t>
      </w:r>
      <w:r w:rsidRPr="00121665">
        <w:rPr>
          <w:rFonts w:cs="Calibri"/>
          <w:sz w:val="24"/>
          <w:szCs w:val="24"/>
        </w:rPr>
        <w:t>, UZN č. 210/2019 zo dňa 13.12.2019</w:t>
      </w:r>
      <w:r w:rsidR="0078329E">
        <w:rPr>
          <w:rFonts w:cs="Calibri"/>
          <w:sz w:val="24"/>
          <w:szCs w:val="24"/>
        </w:rPr>
        <w:t>,</w:t>
      </w:r>
      <w:r w:rsidR="0078329E" w:rsidRPr="0078329E">
        <w:rPr>
          <w:rFonts w:cs="Calibri"/>
          <w:sz w:val="24"/>
          <w:szCs w:val="24"/>
        </w:rPr>
        <w:t xml:space="preserve"> </w:t>
      </w:r>
    </w:p>
    <w:p w14:paraId="78E830FD" w14:textId="24E5BEA4" w:rsidR="005648BA" w:rsidRPr="00B32639" w:rsidRDefault="005648BA" w:rsidP="0078329E">
      <w:pPr>
        <w:pStyle w:val="Odsekzoznamu"/>
        <w:numPr>
          <w:ilvl w:val="0"/>
          <w:numId w:val="15"/>
        </w:numPr>
        <w:autoSpaceDE w:val="0"/>
        <w:autoSpaceDN w:val="0"/>
        <w:adjustRightInd w:val="0"/>
        <w:spacing w:after="0" w:line="240" w:lineRule="auto"/>
        <w:jc w:val="both"/>
        <w:rPr>
          <w:rFonts w:cs="Calibri"/>
          <w:sz w:val="24"/>
          <w:szCs w:val="24"/>
        </w:rPr>
      </w:pPr>
      <w:r w:rsidRPr="00121665">
        <w:rPr>
          <w:rFonts w:cs="Calibri"/>
          <w:sz w:val="24"/>
          <w:szCs w:val="24"/>
        </w:rPr>
        <w:t>z predaja prebytočného majetku</w:t>
      </w:r>
      <w:r w:rsidR="00B32639" w:rsidRPr="00121665">
        <w:rPr>
          <w:rFonts w:cs="Calibri"/>
          <w:sz w:val="24"/>
          <w:szCs w:val="24"/>
        </w:rPr>
        <w:t>, k. ú.</w:t>
      </w:r>
      <w:r w:rsidRPr="00121665">
        <w:rPr>
          <w:rFonts w:cs="Calibri"/>
          <w:sz w:val="24"/>
          <w:szCs w:val="24"/>
        </w:rPr>
        <w:t xml:space="preserve"> Pezinok, stavba: - </w:t>
      </w:r>
      <w:proofErr w:type="spellStart"/>
      <w:r w:rsidRPr="00121665">
        <w:rPr>
          <w:rFonts w:cs="Calibri"/>
          <w:sz w:val="24"/>
          <w:szCs w:val="24"/>
        </w:rPr>
        <w:t>súp</w:t>
      </w:r>
      <w:proofErr w:type="spellEnd"/>
      <w:r w:rsidRPr="00121665">
        <w:rPr>
          <w:rFonts w:cs="Calibri"/>
          <w:sz w:val="24"/>
          <w:szCs w:val="24"/>
        </w:rPr>
        <w:t xml:space="preserve">. č. 595, </w:t>
      </w:r>
      <w:proofErr w:type="spellStart"/>
      <w:r w:rsidRPr="00121665">
        <w:rPr>
          <w:rFonts w:cs="Calibri"/>
          <w:sz w:val="24"/>
          <w:szCs w:val="24"/>
        </w:rPr>
        <w:t>parc</w:t>
      </w:r>
      <w:proofErr w:type="spellEnd"/>
      <w:r w:rsidRPr="00121665">
        <w:rPr>
          <w:rFonts w:cs="Calibri"/>
          <w:sz w:val="24"/>
          <w:szCs w:val="24"/>
        </w:rPr>
        <w:t>. č. 6966, druh stavby – budova pre šport a na rekreačné účely, popis stavby – rekreačná chata</w:t>
      </w:r>
      <w:r w:rsidR="00B32639" w:rsidRPr="00121665">
        <w:rPr>
          <w:rFonts w:cs="Calibri"/>
          <w:sz w:val="24"/>
          <w:szCs w:val="24"/>
        </w:rPr>
        <w:t xml:space="preserve">, Ing. Jozefovi </w:t>
      </w:r>
      <w:proofErr w:type="spellStart"/>
      <w:r w:rsidR="00B32639" w:rsidRPr="00121665">
        <w:rPr>
          <w:rFonts w:cs="Calibri"/>
          <w:sz w:val="24"/>
          <w:szCs w:val="24"/>
        </w:rPr>
        <w:t>Hlušekovi</w:t>
      </w:r>
      <w:proofErr w:type="spellEnd"/>
      <w:r w:rsidR="00B32639" w:rsidRPr="00121665">
        <w:rPr>
          <w:rFonts w:cs="Calibri"/>
          <w:sz w:val="24"/>
          <w:szCs w:val="24"/>
        </w:rPr>
        <w:t xml:space="preserve">, </w:t>
      </w:r>
      <w:r w:rsidR="008E0BDF">
        <w:rPr>
          <w:rFonts w:cs="Calibri"/>
          <w:sz w:val="24"/>
          <w:szCs w:val="24"/>
        </w:rPr>
        <w:br/>
      </w:r>
      <w:r w:rsidR="00B32639" w:rsidRPr="00121665">
        <w:rPr>
          <w:rFonts w:cs="Calibri"/>
          <w:b/>
          <w:bCs/>
          <w:sz w:val="24"/>
          <w:szCs w:val="24"/>
        </w:rPr>
        <w:t>za cenu 18 801,00 EUR</w:t>
      </w:r>
      <w:r w:rsidR="00B32639" w:rsidRPr="00121665">
        <w:rPr>
          <w:rFonts w:cs="Calibri"/>
          <w:sz w:val="24"/>
          <w:szCs w:val="24"/>
        </w:rPr>
        <w:t>, UZN č. 238/20250 zo dňa 28.2.2020,</w:t>
      </w:r>
    </w:p>
    <w:p w14:paraId="2D61D9C7" w14:textId="68B63BB9" w:rsidR="00B32639" w:rsidRPr="00B32639" w:rsidRDefault="00B32639" w:rsidP="0078329E">
      <w:pPr>
        <w:pStyle w:val="Odsekzoznamu"/>
        <w:numPr>
          <w:ilvl w:val="0"/>
          <w:numId w:val="15"/>
        </w:numPr>
        <w:autoSpaceDE w:val="0"/>
        <w:autoSpaceDN w:val="0"/>
        <w:adjustRightInd w:val="0"/>
        <w:spacing w:after="0" w:line="240" w:lineRule="auto"/>
        <w:jc w:val="both"/>
        <w:rPr>
          <w:rFonts w:cs="Calibri"/>
          <w:sz w:val="24"/>
          <w:szCs w:val="24"/>
        </w:rPr>
      </w:pPr>
      <w:r w:rsidRPr="00121665">
        <w:rPr>
          <w:rFonts w:cs="Calibri"/>
          <w:sz w:val="24"/>
          <w:szCs w:val="24"/>
        </w:rPr>
        <w:t xml:space="preserve">z predaja nehnuteľného majetku, k. ú. Pezinok, ktorým je optimálny proces predaja bytov a získania finančných prostriedkov za účelom </w:t>
      </w:r>
      <w:proofErr w:type="spellStart"/>
      <w:r w:rsidRPr="00121665">
        <w:rPr>
          <w:rFonts w:cs="Calibri"/>
          <w:sz w:val="24"/>
          <w:szCs w:val="24"/>
        </w:rPr>
        <w:t>deinštitucionalizácie</w:t>
      </w:r>
      <w:proofErr w:type="spellEnd"/>
      <w:r w:rsidRPr="00121665">
        <w:rPr>
          <w:rFonts w:cs="Calibri"/>
          <w:sz w:val="24"/>
          <w:szCs w:val="24"/>
        </w:rPr>
        <w:t xml:space="preserve"> a transformácie DSS a ZPB MEREMA, a to: byt č. 44, nachádzajúci sa na 2. p. vo vchode </w:t>
      </w:r>
      <w:proofErr w:type="spellStart"/>
      <w:r w:rsidRPr="00121665">
        <w:rPr>
          <w:rFonts w:cs="Calibri"/>
          <w:sz w:val="24"/>
          <w:szCs w:val="24"/>
        </w:rPr>
        <w:t>Silvánová</w:t>
      </w:r>
      <w:proofErr w:type="spellEnd"/>
      <w:r w:rsidRPr="00121665">
        <w:rPr>
          <w:rFonts w:cs="Calibri"/>
          <w:sz w:val="24"/>
          <w:szCs w:val="24"/>
        </w:rPr>
        <w:t xml:space="preserve"> 35, bytového domu na </w:t>
      </w:r>
      <w:proofErr w:type="spellStart"/>
      <w:r w:rsidRPr="00121665">
        <w:rPr>
          <w:rFonts w:cs="Calibri"/>
          <w:sz w:val="24"/>
          <w:szCs w:val="24"/>
        </w:rPr>
        <w:t>Silvánovej</w:t>
      </w:r>
      <w:proofErr w:type="spellEnd"/>
      <w:r w:rsidRPr="00121665">
        <w:rPr>
          <w:rFonts w:cs="Calibri"/>
          <w:sz w:val="24"/>
          <w:szCs w:val="24"/>
        </w:rPr>
        <w:t xml:space="preserve"> ulici v</w:t>
      </w:r>
      <w:r w:rsidR="00093F4C" w:rsidRPr="00121665">
        <w:rPr>
          <w:rFonts w:cs="Calibri"/>
          <w:sz w:val="24"/>
          <w:szCs w:val="24"/>
        </w:rPr>
        <w:t> </w:t>
      </w:r>
      <w:r w:rsidRPr="00121665">
        <w:rPr>
          <w:rFonts w:cs="Calibri"/>
          <w:sz w:val="24"/>
          <w:szCs w:val="24"/>
        </w:rPr>
        <w:t>Pezinku</w:t>
      </w:r>
      <w:r w:rsidR="00093F4C" w:rsidRPr="00121665">
        <w:rPr>
          <w:rFonts w:cs="Calibri"/>
          <w:sz w:val="24"/>
          <w:szCs w:val="24"/>
        </w:rPr>
        <w:t>,</w:t>
      </w:r>
      <w:r w:rsidRPr="00121665">
        <w:rPr>
          <w:rFonts w:cs="Calibri"/>
          <w:sz w:val="24"/>
          <w:szCs w:val="24"/>
        </w:rPr>
        <w:t xml:space="preserve"> Ing. Martinovi </w:t>
      </w:r>
      <w:proofErr w:type="spellStart"/>
      <w:r w:rsidRPr="00121665">
        <w:rPr>
          <w:rFonts w:cs="Calibri"/>
          <w:sz w:val="24"/>
          <w:szCs w:val="24"/>
        </w:rPr>
        <w:t>Fried</w:t>
      </w:r>
      <w:proofErr w:type="spellEnd"/>
      <w:r w:rsidRPr="00121665">
        <w:rPr>
          <w:rFonts w:cs="Calibri"/>
          <w:sz w:val="24"/>
          <w:szCs w:val="24"/>
        </w:rPr>
        <w:t xml:space="preserve"> za kúpnu </w:t>
      </w:r>
      <w:r w:rsidRPr="00121665">
        <w:rPr>
          <w:rFonts w:cs="Calibri"/>
          <w:b/>
          <w:bCs/>
          <w:sz w:val="24"/>
          <w:szCs w:val="24"/>
        </w:rPr>
        <w:t>cenu 152 000,00 EUR</w:t>
      </w:r>
      <w:r w:rsidRPr="00121665">
        <w:rPr>
          <w:rFonts w:cs="Calibri"/>
          <w:sz w:val="24"/>
          <w:szCs w:val="24"/>
        </w:rPr>
        <w:t>, UZN č. 269/2020 zo dňa 26.6.2020,</w:t>
      </w:r>
    </w:p>
    <w:p w14:paraId="51784012" w14:textId="4635134D" w:rsidR="00B32639" w:rsidRPr="00B32639" w:rsidRDefault="00B32639" w:rsidP="0078329E">
      <w:pPr>
        <w:pStyle w:val="Odsekzoznamu"/>
        <w:numPr>
          <w:ilvl w:val="0"/>
          <w:numId w:val="15"/>
        </w:numPr>
        <w:autoSpaceDE w:val="0"/>
        <w:autoSpaceDN w:val="0"/>
        <w:adjustRightInd w:val="0"/>
        <w:spacing w:after="0" w:line="240" w:lineRule="auto"/>
        <w:jc w:val="both"/>
        <w:rPr>
          <w:rFonts w:cs="Calibri"/>
          <w:sz w:val="24"/>
          <w:szCs w:val="24"/>
        </w:rPr>
      </w:pPr>
      <w:r w:rsidRPr="00121665">
        <w:rPr>
          <w:rFonts w:cs="Calibri"/>
          <w:sz w:val="24"/>
          <w:szCs w:val="24"/>
        </w:rPr>
        <w:t xml:space="preserve">z predaja nehnuteľného majetku, k. ú. Pezinok, ktorým je optimálny proces predaja bytov a získania finančných prostriedkov za účelom </w:t>
      </w:r>
      <w:proofErr w:type="spellStart"/>
      <w:r w:rsidRPr="00121665">
        <w:rPr>
          <w:rFonts w:cs="Calibri"/>
          <w:sz w:val="24"/>
          <w:szCs w:val="24"/>
        </w:rPr>
        <w:t>deinštitucionalizácie</w:t>
      </w:r>
      <w:proofErr w:type="spellEnd"/>
      <w:r w:rsidRPr="00121665">
        <w:rPr>
          <w:rFonts w:cs="Calibri"/>
          <w:sz w:val="24"/>
          <w:szCs w:val="24"/>
        </w:rPr>
        <w:t xml:space="preserve"> a transformácie DSS a ZPB MEREMA, a to: byt č. 66, nachádzajúci sa na 3. p. vo vchode </w:t>
      </w:r>
      <w:proofErr w:type="spellStart"/>
      <w:r w:rsidRPr="00121665">
        <w:rPr>
          <w:rFonts w:cs="Calibri"/>
          <w:sz w:val="24"/>
          <w:szCs w:val="24"/>
        </w:rPr>
        <w:t>Silvánová</w:t>
      </w:r>
      <w:proofErr w:type="spellEnd"/>
      <w:r w:rsidRPr="00121665">
        <w:rPr>
          <w:rFonts w:cs="Calibri"/>
          <w:sz w:val="24"/>
          <w:szCs w:val="24"/>
        </w:rPr>
        <w:t xml:space="preserve"> 35, bytového domu na </w:t>
      </w:r>
      <w:proofErr w:type="spellStart"/>
      <w:r w:rsidRPr="00121665">
        <w:rPr>
          <w:rFonts w:cs="Calibri"/>
          <w:sz w:val="24"/>
          <w:szCs w:val="24"/>
        </w:rPr>
        <w:t>Silvánovej</w:t>
      </w:r>
      <w:proofErr w:type="spellEnd"/>
      <w:r w:rsidRPr="00121665">
        <w:rPr>
          <w:rFonts w:cs="Calibri"/>
          <w:sz w:val="24"/>
          <w:szCs w:val="24"/>
        </w:rPr>
        <w:t xml:space="preserve"> ulici v</w:t>
      </w:r>
      <w:r w:rsidR="00093F4C" w:rsidRPr="00121665">
        <w:rPr>
          <w:rFonts w:cs="Calibri"/>
          <w:sz w:val="24"/>
          <w:szCs w:val="24"/>
        </w:rPr>
        <w:t> </w:t>
      </w:r>
      <w:r w:rsidRPr="00121665">
        <w:rPr>
          <w:rFonts w:cs="Calibri"/>
          <w:sz w:val="24"/>
          <w:szCs w:val="24"/>
        </w:rPr>
        <w:t>Pezinku</w:t>
      </w:r>
      <w:r w:rsidR="00093F4C" w:rsidRPr="00121665">
        <w:rPr>
          <w:rFonts w:cs="Calibri"/>
          <w:sz w:val="24"/>
          <w:szCs w:val="24"/>
        </w:rPr>
        <w:t>,</w:t>
      </w:r>
      <w:r w:rsidRPr="00121665">
        <w:rPr>
          <w:rFonts w:cs="Calibri"/>
          <w:sz w:val="24"/>
          <w:szCs w:val="24"/>
        </w:rPr>
        <w:t xml:space="preserve"> Andrejovi </w:t>
      </w:r>
      <w:proofErr w:type="spellStart"/>
      <w:r w:rsidRPr="00121665">
        <w:rPr>
          <w:rFonts w:cs="Calibri"/>
          <w:sz w:val="24"/>
          <w:szCs w:val="24"/>
        </w:rPr>
        <w:t>Strašiftákovi</w:t>
      </w:r>
      <w:proofErr w:type="spellEnd"/>
      <w:r w:rsidRPr="00121665">
        <w:rPr>
          <w:rFonts w:cs="Calibri"/>
          <w:sz w:val="24"/>
          <w:szCs w:val="24"/>
        </w:rPr>
        <w:t xml:space="preserve"> za kúpnu </w:t>
      </w:r>
      <w:r w:rsidRPr="00121665">
        <w:rPr>
          <w:rFonts w:cs="Calibri"/>
          <w:b/>
          <w:bCs/>
          <w:sz w:val="24"/>
          <w:szCs w:val="24"/>
        </w:rPr>
        <w:t>cenu 154 000,00 EUR</w:t>
      </w:r>
      <w:r w:rsidRPr="00121665">
        <w:rPr>
          <w:rFonts w:cs="Calibri"/>
          <w:sz w:val="24"/>
          <w:szCs w:val="24"/>
        </w:rPr>
        <w:t>, UZN č. 270/2020 zo dňa 26.6.2020,</w:t>
      </w:r>
    </w:p>
    <w:p w14:paraId="05B5AADB" w14:textId="03249E40" w:rsidR="00093F4C" w:rsidRPr="00093F4C" w:rsidRDefault="00B32639" w:rsidP="008F6DAE">
      <w:pPr>
        <w:pStyle w:val="Odsekzoznamu"/>
        <w:numPr>
          <w:ilvl w:val="0"/>
          <w:numId w:val="15"/>
        </w:numPr>
        <w:autoSpaceDE w:val="0"/>
        <w:autoSpaceDN w:val="0"/>
        <w:adjustRightInd w:val="0"/>
        <w:spacing w:after="0" w:line="240" w:lineRule="auto"/>
        <w:jc w:val="both"/>
        <w:rPr>
          <w:rFonts w:cs="Calibri"/>
          <w:sz w:val="24"/>
          <w:szCs w:val="24"/>
        </w:rPr>
      </w:pPr>
      <w:r w:rsidRPr="00121665">
        <w:rPr>
          <w:rFonts w:cs="Calibri"/>
          <w:sz w:val="24"/>
          <w:szCs w:val="24"/>
        </w:rPr>
        <w:t>z majetkovoprávne</w:t>
      </w:r>
      <w:r w:rsidR="00093F4C" w:rsidRPr="00121665">
        <w:rPr>
          <w:rFonts w:cs="Calibri"/>
          <w:sz w:val="24"/>
          <w:szCs w:val="24"/>
        </w:rPr>
        <w:t>ho</w:t>
      </w:r>
      <w:r w:rsidRPr="00121665">
        <w:rPr>
          <w:rFonts w:cs="Calibri"/>
          <w:sz w:val="24"/>
          <w:szCs w:val="24"/>
        </w:rPr>
        <w:t xml:space="preserve"> vysporiadani</w:t>
      </w:r>
      <w:r w:rsidR="00093F4C" w:rsidRPr="00121665">
        <w:rPr>
          <w:rFonts w:cs="Calibri"/>
          <w:sz w:val="24"/>
          <w:szCs w:val="24"/>
        </w:rPr>
        <w:t>a</w:t>
      </w:r>
      <w:r w:rsidRPr="00121665">
        <w:rPr>
          <w:rFonts w:cs="Calibri"/>
          <w:sz w:val="24"/>
          <w:szCs w:val="24"/>
        </w:rPr>
        <w:t xml:space="preserve"> časti areálu bývalého S</w:t>
      </w:r>
      <w:r w:rsidR="00093F4C" w:rsidRPr="00121665">
        <w:rPr>
          <w:rFonts w:cs="Calibri"/>
          <w:sz w:val="24"/>
          <w:szCs w:val="24"/>
        </w:rPr>
        <w:t>OU</w:t>
      </w:r>
      <w:r w:rsidRPr="00121665">
        <w:rPr>
          <w:rFonts w:cs="Calibri"/>
          <w:sz w:val="24"/>
          <w:szCs w:val="24"/>
        </w:rPr>
        <w:t xml:space="preserve"> na Starej Vajnorskej č. 14</w:t>
      </w:r>
      <w:r w:rsidR="00093F4C" w:rsidRPr="00121665">
        <w:rPr>
          <w:rFonts w:cs="Calibri"/>
          <w:sz w:val="24"/>
          <w:szCs w:val="24"/>
        </w:rPr>
        <w:t xml:space="preserve">, a to z vysporiadania podielového spoluvlastníctva k stavbe - </w:t>
      </w:r>
      <w:proofErr w:type="spellStart"/>
      <w:r w:rsidR="00093F4C" w:rsidRPr="00121665">
        <w:rPr>
          <w:rFonts w:cs="Calibri"/>
          <w:sz w:val="24"/>
          <w:szCs w:val="24"/>
        </w:rPr>
        <w:t>súp</w:t>
      </w:r>
      <w:proofErr w:type="spellEnd"/>
      <w:r w:rsidR="00093F4C" w:rsidRPr="00121665">
        <w:rPr>
          <w:rFonts w:cs="Calibri"/>
          <w:sz w:val="24"/>
          <w:szCs w:val="24"/>
        </w:rPr>
        <w:t xml:space="preserve">. č. 1899 </w:t>
      </w:r>
      <w:r w:rsidR="00093F4C" w:rsidRPr="00121665">
        <w:rPr>
          <w:rFonts w:cs="Calibri"/>
          <w:b/>
          <w:bCs/>
          <w:sz w:val="24"/>
          <w:szCs w:val="24"/>
        </w:rPr>
        <w:t>vo výške 410 000,00 E</w:t>
      </w:r>
      <w:r w:rsidR="00121665">
        <w:rPr>
          <w:rFonts w:cs="Calibri"/>
          <w:b/>
          <w:bCs/>
          <w:sz w:val="24"/>
          <w:szCs w:val="24"/>
        </w:rPr>
        <w:t>UR</w:t>
      </w:r>
      <w:r w:rsidR="00093F4C" w:rsidRPr="00121665">
        <w:rPr>
          <w:rFonts w:cs="Calibri"/>
          <w:sz w:val="24"/>
          <w:szCs w:val="24"/>
        </w:rPr>
        <w:t xml:space="preserve"> a predaja parcely pod stavbou - č. 17063/18 o výmere 606 m2 </w:t>
      </w:r>
      <w:r w:rsidR="00093F4C" w:rsidRPr="00121665">
        <w:rPr>
          <w:rFonts w:cs="Calibri"/>
          <w:b/>
          <w:bCs/>
          <w:sz w:val="24"/>
          <w:szCs w:val="24"/>
        </w:rPr>
        <w:t>vo výške 60 000,00 EUR</w:t>
      </w:r>
      <w:r w:rsidR="00093F4C" w:rsidRPr="00121665">
        <w:rPr>
          <w:rFonts w:cs="Calibri"/>
          <w:sz w:val="24"/>
          <w:szCs w:val="24"/>
        </w:rPr>
        <w:t xml:space="preserve">, kupujúcemu </w:t>
      </w:r>
      <w:proofErr w:type="spellStart"/>
      <w:r w:rsidR="00093F4C" w:rsidRPr="00121665">
        <w:rPr>
          <w:rFonts w:cs="Calibri"/>
          <w:sz w:val="24"/>
          <w:szCs w:val="24"/>
        </w:rPr>
        <w:t>Oberbank</w:t>
      </w:r>
      <w:proofErr w:type="spellEnd"/>
      <w:r w:rsidR="00093F4C" w:rsidRPr="00121665">
        <w:rPr>
          <w:rFonts w:cs="Calibri"/>
          <w:sz w:val="24"/>
          <w:szCs w:val="24"/>
        </w:rPr>
        <w:t xml:space="preserve"> Leasing s.r.o. so sídlom Prievozská 4/A, Bratislava, 821 09, UZN č. 267/2020 zo dňa 26.6.2020,</w:t>
      </w:r>
    </w:p>
    <w:p w14:paraId="3B8914C7" w14:textId="23EB9C45" w:rsidR="004211C4" w:rsidRPr="00093F4C" w:rsidRDefault="004211C4" w:rsidP="00093F4C">
      <w:pPr>
        <w:autoSpaceDE w:val="0"/>
        <w:autoSpaceDN w:val="0"/>
        <w:adjustRightInd w:val="0"/>
        <w:spacing w:after="0" w:line="240" w:lineRule="auto"/>
        <w:ind w:left="360"/>
        <w:jc w:val="both"/>
        <w:rPr>
          <w:rFonts w:cs="Calibri"/>
          <w:sz w:val="24"/>
          <w:szCs w:val="24"/>
        </w:rPr>
      </w:pPr>
      <w:r w:rsidRPr="00093F4C">
        <w:rPr>
          <w:rFonts w:cs="Calibri"/>
          <w:sz w:val="24"/>
          <w:szCs w:val="24"/>
        </w:rPr>
        <w:t xml:space="preserve">Medziročne sa príjem z predaja majetku kraja </w:t>
      </w:r>
      <w:r w:rsidR="00093F4C">
        <w:rPr>
          <w:rFonts w:cs="Calibri"/>
          <w:sz w:val="24"/>
          <w:szCs w:val="24"/>
        </w:rPr>
        <w:t xml:space="preserve">zvýšil a </w:t>
      </w:r>
      <w:r w:rsidR="007470AD">
        <w:rPr>
          <w:rFonts w:cs="Calibri"/>
          <w:sz w:val="24"/>
          <w:szCs w:val="24"/>
        </w:rPr>
        <w:t>jeho</w:t>
      </w:r>
      <w:r w:rsidRPr="00093F4C">
        <w:rPr>
          <w:rFonts w:cs="Calibri"/>
          <w:sz w:val="24"/>
          <w:szCs w:val="24"/>
        </w:rPr>
        <w:t xml:space="preserve"> plnenie závisí najmä od dopytu potenciálnych záujemcov a od objemu prebytočného hnuteľného a nehnuteľného majetku BSK, ktorý je predmetom predaja.</w:t>
      </w:r>
    </w:p>
    <w:p w14:paraId="14EEEC3D" w14:textId="77777777" w:rsidR="004211C4" w:rsidRDefault="004211C4" w:rsidP="004211C4">
      <w:pPr>
        <w:autoSpaceDE w:val="0"/>
        <w:autoSpaceDN w:val="0"/>
        <w:adjustRightInd w:val="0"/>
        <w:spacing w:after="0" w:line="240" w:lineRule="auto"/>
        <w:ind w:firstLine="708"/>
        <w:jc w:val="both"/>
        <w:rPr>
          <w:rFonts w:cs="Calibri"/>
          <w:sz w:val="24"/>
          <w:szCs w:val="24"/>
        </w:rPr>
      </w:pPr>
    </w:p>
    <w:p w14:paraId="11753E32" w14:textId="77777777" w:rsidR="004211C4" w:rsidRDefault="004211C4" w:rsidP="00BE704E">
      <w:pPr>
        <w:pStyle w:val="tl3"/>
        <w:ind w:firstLine="0"/>
      </w:pPr>
    </w:p>
    <w:p w14:paraId="59DFCC52" w14:textId="77777777" w:rsidR="00BE704E" w:rsidRPr="00077EDF" w:rsidRDefault="00BE704E" w:rsidP="00BE704E">
      <w:pPr>
        <w:pStyle w:val="tl3"/>
        <w:ind w:firstLine="0"/>
      </w:pPr>
      <w:r w:rsidRPr="001F6812">
        <w:t>B.1.3  Granty a transfery</w:t>
      </w:r>
    </w:p>
    <w:p w14:paraId="7726439F" w14:textId="5C3786EA" w:rsidR="001F6812" w:rsidRPr="008B3B82" w:rsidRDefault="00BE704E" w:rsidP="001F6812">
      <w:pPr>
        <w:spacing w:after="0" w:line="240" w:lineRule="auto"/>
        <w:jc w:val="both"/>
        <w:rPr>
          <w:rFonts w:cs="Calibri"/>
          <w:b/>
          <w:sz w:val="24"/>
          <w:szCs w:val="24"/>
        </w:rPr>
      </w:pPr>
      <w:r w:rsidRPr="0073114C">
        <w:rPr>
          <w:rFonts w:cs="Calibri"/>
          <w:b/>
          <w:sz w:val="24"/>
          <w:szCs w:val="24"/>
        </w:rPr>
        <w:t>Rozpočet  grantov  a transferov</w:t>
      </w:r>
      <w:r>
        <w:rPr>
          <w:rFonts w:cs="Calibri"/>
          <w:b/>
          <w:sz w:val="24"/>
          <w:szCs w:val="24"/>
        </w:rPr>
        <w:t xml:space="preserve">  na  rok 20</w:t>
      </w:r>
      <w:r w:rsidR="00DE4CAD">
        <w:rPr>
          <w:rFonts w:cs="Calibri"/>
          <w:b/>
          <w:sz w:val="24"/>
          <w:szCs w:val="24"/>
        </w:rPr>
        <w:t>20</w:t>
      </w:r>
      <w:r>
        <w:rPr>
          <w:rFonts w:cs="Calibri"/>
          <w:b/>
          <w:sz w:val="24"/>
          <w:szCs w:val="24"/>
        </w:rPr>
        <w:t xml:space="preserve"> </w:t>
      </w:r>
      <w:r w:rsidRPr="00FA3856">
        <w:rPr>
          <w:rFonts w:cs="Calibri"/>
          <w:sz w:val="24"/>
          <w:szCs w:val="24"/>
        </w:rPr>
        <w:t xml:space="preserve">bol schválený </w:t>
      </w:r>
      <w:r>
        <w:rPr>
          <w:rFonts w:cs="Calibri"/>
          <w:b/>
          <w:sz w:val="24"/>
          <w:szCs w:val="24"/>
        </w:rPr>
        <w:t xml:space="preserve">v celkovom  objeme  </w:t>
      </w:r>
      <w:r w:rsidR="00116475" w:rsidRPr="00116475">
        <w:rPr>
          <w:rFonts w:cs="Calibri"/>
          <w:b/>
          <w:sz w:val="24"/>
          <w:szCs w:val="24"/>
        </w:rPr>
        <w:t>73 428 887,80</w:t>
      </w:r>
      <w:r w:rsidR="00116475">
        <w:rPr>
          <w:rFonts w:cs="Calibri"/>
          <w:b/>
          <w:sz w:val="24"/>
          <w:szCs w:val="24"/>
        </w:rPr>
        <w:t xml:space="preserve"> </w:t>
      </w:r>
      <w:r>
        <w:rPr>
          <w:rFonts w:cs="Calibri"/>
          <w:b/>
          <w:sz w:val="24"/>
          <w:szCs w:val="24"/>
        </w:rPr>
        <w:t xml:space="preserve">EUR  </w:t>
      </w:r>
      <w:r w:rsidRPr="00FA3856">
        <w:rPr>
          <w:rFonts w:cs="Calibri"/>
          <w:sz w:val="24"/>
          <w:szCs w:val="24"/>
        </w:rPr>
        <w:t xml:space="preserve">a </w:t>
      </w:r>
      <w:r>
        <w:rPr>
          <w:rFonts w:cs="Calibri"/>
          <w:sz w:val="24"/>
          <w:szCs w:val="24"/>
        </w:rPr>
        <w:t xml:space="preserve"> </w:t>
      </w:r>
      <w:r w:rsidRPr="00E206EA">
        <w:rPr>
          <w:rFonts w:cs="Calibri"/>
          <w:sz w:val="24"/>
          <w:szCs w:val="24"/>
        </w:rPr>
        <w:t>k </w:t>
      </w:r>
      <w:r>
        <w:rPr>
          <w:rFonts w:cs="Calibri"/>
          <w:sz w:val="24"/>
          <w:szCs w:val="24"/>
        </w:rPr>
        <w:t xml:space="preserve"> </w:t>
      </w:r>
      <w:r w:rsidRPr="00E206EA">
        <w:rPr>
          <w:rFonts w:cs="Calibri"/>
          <w:sz w:val="24"/>
          <w:szCs w:val="24"/>
        </w:rPr>
        <w:t>31.12.</w:t>
      </w:r>
      <w:r>
        <w:rPr>
          <w:rFonts w:cs="Calibri"/>
          <w:sz w:val="24"/>
          <w:szCs w:val="24"/>
        </w:rPr>
        <w:t>20</w:t>
      </w:r>
      <w:r w:rsidR="007470AD">
        <w:rPr>
          <w:rFonts w:cs="Calibri"/>
          <w:sz w:val="24"/>
          <w:szCs w:val="24"/>
        </w:rPr>
        <w:t>20</w:t>
      </w:r>
      <w:r>
        <w:rPr>
          <w:rFonts w:cs="Calibri"/>
          <w:sz w:val="24"/>
          <w:szCs w:val="24"/>
        </w:rPr>
        <w:t xml:space="preserve">   bol  </w:t>
      </w:r>
      <w:r w:rsidRPr="00F526B5">
        <w:rPr>
          <w:rFonts w:cs="Calibri"/>
          <w:b/>
          <w:sz w:val="24"/>
          <w:szCs w:val="24"/>
        </w:rPr>
        <w:t>zmenený</w:t>
      </w:r>
      <w:r>
        <w:rPr>
          <w:rFonts w:cs="Calibri"/>
          <w:sz w:val="24"/>
          <w:szCs w:val="24"/>
        </w:rPr>
        <w:t xml:space="preserve">  a  dosiahol  </w:t>
      </w:r>
      <w:r w:rsidRPr="00E206EA">
        <w:rPr>
          <w:rFonts w:cs="Calibri"/>
          <w:sz w:val="24"/>
          <w:szCs w:val="24"/>
        </w:rPr>
        <w:t xml:space="preserve">výšku </w:t>
      </w:r>
      <w:r>
        <w:rPr>
          <w:rFonts w:cs="Calibri"/>
          <w:b/>
          <w:sz w:val="24"/>
          <w:szCs w:val="24"/>
        </w:rPr>
        <w:t xml:space="preserve"> </w:t>
      </w:r>
      <w:r w:rsidR="001F6812" w:rsidRPr="001F6812">
        <w:rPr>
          <w:rFonts w:cs="Calibri"/>
          <w:b/>
          <w:sz w:val="24"/>
          <w:szCs w:val="24"/>
        </w:rPr>
        <w:t>79 973 407,64</w:t>
      </w:r>
      <w:r w:rsidR="001F6812">
        <w:rPr>
          <w:rFonts w:cs="Calibri"/>
          <w:b/>
          <w:sz w:val="24"/>
          <w:szCs w:val="24"/>
        </w:rPr>
        <w:t xml:space="preserve"> </w:t>
      </w:r>
      <w:r w:rsidRPr="00FA3856">
        <w:rPr>
          <w:rFonts w:cs="Calibri"/>
          <w:b/>
          <w:sz w:val="24"/>
          <w:szCs w:val="24"/>
        </w:rPr>
        <w:t>EUR</w:t>
      </w:r>
      <w:r>
        <w:rPr>
          <w:rFonts w:cs="Calibri"/>
          <w:b/>
          <w:sz w:val="24"/>
          <w:szCs w:val="24"/>
        </w:rPr>
        <w:t xml:space="preserve">.  </w:t>
      </w:r>
      <w:r w:rsidRPr="00FA3856">
        <w:rPr>
          <w:rFonts w:cs="Calibri"/>
          <w:sz w:val="24"/>
          <w:szCs w:val="24"/>
        </w:rPr>
        <w:t xml:space="preserve">Skutočné  plnenie </w:t>
      </w:r>
      <w:r>
        <w:rPr>
          <w:rFonts w:cs="Calibri"/>
          <w:sz w:val="24"/>
          <w:szCs w:val="24"/>
        </w:rPr>
        <w:t xml:space="preserve">grantov a transferov </w:t>
      </w:r>
      <w:r w:rsidRPr="00FA3856">
        <w:rPr>
          <w:rFonts w:cs="Calibri"/>
          <w:sz w:val="24"/>
          <w:szCs w:val="24"/>
        </w:rPr>
        <w:t>k rovnak</w:t>
      </w:r>
      <w:r>
        <w:rPr>
          <w:rFonts w:cs="Calibri"/>
          <w:sz w:val="24"/>
          <w:szCs w:val="24"/>
        </w:rPr>
        <w:t>é</w:t>
      </w:r>
      <w:r w:rsidRPr="00FA3856">
        <w:rPr>
          <w:rFonts w:cs="Calibri"/>
          <w:sz w:val="24"/>
          <w:szCs w:val="24"/>
        </w:rPr>
        <w:t xml:space="preserve">mu dátumu </w:t>
      </w:r>
      <w:r>
        <w:rPr>
          <w:rFonts w:cs="Calibri"/>
          <w:sz w:val="24"/>
          <w:szCs w:val="24"/>
        </w:rPr>
        <w:t xml:space="preserve">bolo vo výške </w:t>
      </w:r>
      <w:r w:rsidR="001F6812" w:rsidRPr="001F6812">
        <w:rPr>
          <w:rFonts w:cs="Calibri"/>
          <w:b/>
          <w:sz w:val="24"/>
          <w:szCs w:val="24"/>
        </w:rPr>
        <w:t>69 192 393,90</w:t>
      </w:r>
      <w:r w:rsidR="001F6812">
        <w:rPr>
          <w:rFonts w:cs="Calibri"/>
          <w:b/>
          <w:sz w:val="24"/>
          <w:szCs w:val="24"/>
        </w:rPr>
        <w:t xml:space="preserve"> </w:t>
      </w:r>
      <w:r>
        <w:rPr>
          <w:rFonts w:cs="Calibri"/>
          <w:b/>
          <w:sz w:val="24"/>
          <w:szCs w:val="24"/>
        </w:rPr>
        <w:t>EUR</w:t>
      </w:r>
      <w:r>
        <w:rPr>
          <w:rFonts w:cs="Calibri"/>
          <w:sz w:val="24"/>
          <w:szCs w:val="24"/>
        </w:rPr>
        <w:t xml:space="preserve">, </w:t>
      </w:r>
      <w:r w:rsidRPr="00FA3856">
        <w:rPr>
          <w:rFonts w:cs="Calibri"/>
          <w:sz w:val="24"/>
          <w:szCs w:val="24"/>
        </w:rPr>
        <w:t xml:space="preserve">čo </w:t>
      </w:r>
      <w:r>
        <w:rPr>
          <w:rFonts w:cs="Calibri"/>
          <w:sz w:val="24"/>
          <w:szCs w:val="24"/>
        </w:rPr>
        <w:t xml:space="preserve">percentuálne </w:t>
      </w:r>
      <w:r w:rsidRPr="00FA3856">
        <w:rPr>
          <w:rFonts w:cs="Calibri"/>
          <w:sz w:val="24"/>
          <w:szCs w:val="24"/>
        </w:rPr>
        <w:t>preds</w:t>
      </w:r>
      <w:r>
        <w:rPr>
          <w:rFonts w:cs="Calibri"/>
          <w:sz w:val="24"/>
          <w:szCs w:val="24"/>
        </w:rPr>
        <w:t xml:space="preserve">tavuje </w:t>
      </w:r>
      <w:r w:rsidR="001F6812">
        <w:rPr>
          <w:rFonts w:cs="Calibri"/>
          <w:b/>
          <w:bCs/>
          <w:sz w:val="24"/>
          <w:szCs w:val="24"/>
        </w:rPr>
        <w:t>86,</w:t>
      </w:r>
      <w:r w:rsidR="00EC5813">
        <w:rPr>
          <w:rFonts w:cs="Calibri"/>
          <w:b/>
          <w:bCs/>
          <w:sz w:val="24"/>
          <w:szCs w:val="24"/>
        </w:rPr>
        <w:t>5</w:t>
      </w:r>
      <w:r w:rsidR="001F6812">
        <w:rPr>
          <w:rFonts w:cs="Calibri"/>
          <w:b/>
          <w:bCs/>
          <w:sz w:val="24"/>
          <w:szCs w:val="24"/>
        </w:rPr>
        <w:t>2</w:t>
      </w:r>
      <w:r w:rsidR="00D3558C">
        <w:rPr>
          <w:rFonts w:cs="Calibri"/>
          <w:sz w:val="24"/>
          <w:szCs w:val="24"/>
        </w:rPr>
        <w:t xml:space="preserve"> </w:t>
      </w:r>
      <w:r w:rsidRPr="00024FBD">
        <w:rPr>
          <w:rFonts w:cs="Calibri"/>
          <w:b/>
          <w:sz w:val="24"/>
          <w:szCs w:val="24"/>
        </w:rPr>
        <w:t>%</w:t>
      </w:r>
      <w:r>
        <w:rPr>
          <w:rFonts w:cs="Calibri"/>
          <w:b/>
          <w:sz w:val="24"/>
          <w:szCs w:val="24"/>
        </w:rPr>
        <w:t xml:space="preserve"> </w:t>
      </w:r>
      <w:r w:rsidRPr="00FD58FE">
        <w:rPr>
          <w:rFonts w:cs="Calibri"/>
          <w:sz w:val="24"/>
          <w:szCs w:val="24"/>
        </w:rPr>
        <w:t>z upraveného rozpočtu.</w:t>
      </w:r>
      <w:r>
        <w:rPr>
          <w:rFonts w:cs="Calibri"/>
          <w:sz w:val="24"/>
          <w:szCs w:val="24"/>
        </w:rPr>
        <w:t xml:space="preserve"> Granty a transfery tvorili </w:t>
      </w:r>
      <w:r w:rsidR="001F6812">
        <w:rPr>
          <w:rFonts w:cs="Calibri"/>
          <w:sz w:val="24"/>
          <w:szCs w:val="24"/>
        </w:rPr>
        <w:t>38,50</w:t>
      </w:r>
      <w:r>
        <w:rPr>
          <w:rFonts w:cs="Calibri"/>
          <w:sz w:val="24"/>
          <w:szCs w:val="24"/>
        </w:rPr>
        <w:t xml:space="preserve">%- </w:t>
      </w:r>
      <w:proofErr w:type="spellStart"/>
      <w:r>
        <w:rPr>
          <w:rFonts w:cs="Calibri"/>
          <w:sz w:val="24"/>
          <w:szCs w:val="24"/>
        </w:rPr>
        <w:t>ný</w:t>
      </w:r>
      <w:proofErr w:type="spellEnd"/>
      <w:r>
        <w:rPr>
          <w:rFonts w:cs="Calibri"/>
          <w:sz w:val="24"/>
          <w:szCs w:val="24"/>
        </w:rPr>
        <w:t xml:space="preserve"> podiel na príjmoch BSK bez finančných operácii a</w:t>
      </w:r>
      <w:r w:rsidR="001F6812">
        <w:rPr>
          <w:rFonts w:cs="Calibri"/>
          <w:sz w:val="24"/>
          <w:szCs w:val="24"/>
        </w:rPr>
        <w:t> </w:t>
      </w:r>
      <w:r>
        <w:rPr>
          <w:rFonts w:cs="Calibri"/>
          <w:sz w:val="24"/>
          <w:szCs w:val="24"/>
        </w:rPr>
        <w:t>3</w:t>
      </w:r>
      <w:r w:rsidR="001F6812">
        <w:rPr>
          <w:rFonts w:cs="Calibri"/>
          <w:sz w:val="24"/>
          <w:szCs w:val="24"/>
        </w:rPr>
        <w:t>5,20</w:t>
      </w:r>
      <w:r w:rsidR="00D3558C">
        <w:rPr>
          <w:rFonts w:cs="Calibri"/>
          <w:sz w:val="24"/>
          <w:szCs w:val="24"/>
        </w:rPr>
        <w:t>%</w:t>
      </w:r>
      <w:r>
        <w:rPr>
          <w:rFonts w:cs="Calibri"/>
          <w:sz w:val="24"/>
          <w:szCs w:val="24"/>
        </w:rPr>
        <w:t>-</w:t>
      </w:r>
      <w:proofErr w:type="spellStart"/>
      <w:r>
        <w:rPr>
          <w:rFonts w:cs="Calibri"/>
          <w:sz w:val="24"/>
          <w:szCs w:val="24"/>
        </w:rPr>
        <w:t>ný</w:t>
      </w:r>
      <w:proofErr w:type="spellEnd"/>
      <w:r>
        <w:rPr>
          <w:rFonts w:cs="Calibri"/>
          <w:sz w:val="24"/>
          <w:szCs w:val="24"/>
        </w:rPr>
        <w:t xml:space="preserve"> podiel na celkových príjmoch.</w:t>
      </w:r>
      <w:r w:rsidR="001F6812">
        <w:rPr>
          <w:rFonts w:cs="Calibri"/>
          <w:sz w:val="24"/>
          <w:szCs w:val="24"/>
        </w:rPr>
        <w:t xml:space="preserve"> Oproti predchádzajúcemu roku </w:t>
      </w:r>
      <w:r w:rsidR="003B2122">
        <w:rPr>
          <w:rFonts w:cs="Calibri"/>
          <w:sz w:val="24"/>
          <w:szCs w:val="24"/>
        </w:rPr>
        <w:t>sa zvýšil ich príjem</w:t>
      </w:r>
      <w:r w:rsidR="001F6812">
        <w:rPr>
          <w:rFonts w:cs="Calibri"/>
          <w:sz w:val="24"/>
          <w:szCs w:val="24"/>
        </w:rPr>
        <w:t xml:space="preserve"> cca o 3,71 </w:t>
      </w:r>
      <w:proofErr w:type="spellStart"/>
      <w:r w:rsidR="001F6812">
        <w:rPr>
          <w:rFonts w:cs="Calibri"/>
          <w:sz w:val="24"/>
          <w:szCs w:val="24"/>
        </w:rPr>
        <w:t>mil</w:t>
      </w:r>
      <w:proofErr w:type="spellEnd"/>
      <w:r w:rsidR="001F6812">
        <w:rPr>
          <w:rFonts w:cs="Calibri"/>
          <w:sz w:val="24"/>
          <w:szCs w:val="24"/>
        </w:rPr>
        <w:t xml:space="preserve"> EUR, čo predstavuje 5,65% </w:t>
      </w:r>
      <w:r w:rsidR="00A65AAE">
        <w:rPr>
          <w:rFonts w:cs="Calibri"/>
          <w:sz w:val="24"/>
          <w:szCs w:val="24"/>
        </w:rPr>
        <w:t>rast</w:t>
      </w:r>
      <w:r w:rsidR="001F6812">
        <w:rPr>
          <w:rFonts w:cs="Calibri"/>
          <w:sz w:val="24"/>
          <w:szCs w:val="24"/>
        </w:rPr>
        <w:t>.</w:t>
      </w:r>
    </w:p>
    <w:p w14:paraId="79AE3C8E" w14:textId="7D9D5ADF" w:rsidR="00BE704E" w:rsidRDefault="00BE704E" w:rsidP="00BE704E">
      <w:pPr>
        <w:spacing w:after="0" w:line="240" w:lineRule="auto"/>
        <w:jc w:val="both"/>
        <w:rPr>
          <w:rFonts w:cs="Calibri"/>
          <w:sz w:val="24"/>
          <w:szCs w:val="24"/>
        </w:rPr>
      </w:pPr>
    </w:p>
    <w:p w14:paraId="18B41C9E" w14:textId="50BA99C3" w:rsidR="008B3B82" w:rsidRDefault="008B3B82" w:rsidP="00BE704E">
      <w:pPr>
        <w:spacing w:after="0" w:line="240" w:lineRule="auto"/>
        <w:jc w:val="both"/>
        <w:rPr>
          <w:rFonts w:cs="Calibri"/>
          <w:sz w:val="24"/>
          <w:szCs w:val="24"/>
        </w:rPr>
      </w:pPr>
    </w:p>
    <w:p w14:paraId="797669D7" w14:textId="77777777" w:rsidR="00BE704E" w:rsidRDefault="00BE704E" w:rsidP="00BE704E">
      <w:pPr>
        <w:spacing w:after="0" w:line="240" w:lineRule="auto"/>
        <w:jc w:val="both"/>
        <w:rPr>
          <w:rFonts w:cs="Calibri"/>
          <w:sz w:val="24"/>
          <w:szCs w:val="24"/>
        </w:rPr>
      </w:pPr>
      <w:r>
        <w:rPr>
          <w:rFonts w:cs="Calibri"/>
          <w:sz w:val="24"/>
          <w:szCs w:val="24"/>
        </w:rPr>
        <w:lastRenderedPageBreak/>
        <w:t>Prehľad bežných a kapitálových grantov a transferov prijatých Úradom BSK a rozpočtovými organizáciami v ZP BSK uvádza nasledovná tabuľka:</w:t>
      </w:r>
    </w:p>
    <w:p w14:paraId="4EC7494D" w14:textId="77777777" w:rsidR="00BE704E" w:rsidRDefault="00BE704E" w:rsidP="00BE704E">
      <w:pPr>
        <w:spacing w:after="0" w:line="240" w:lineRule="auto"/>
        <w:jc w:val="both"/>
        <w:rPr>
          <w:rFonts w:cs="Calibri"/>
          <w:sz w:val="24"/>
          <w:szCs w:val="24"/>
        </w:rPr>
      </w:pPr>
    </w:p>
    <w:tbl>
      <w:tblPr>
        <w:tblW w:w="11005" w:type="dxa"/>
        <w:tblInd w:w="-214" w:type="dxa"/>
        <w:tblCellMar>
          <w:left w:w="70" w:type="dxa"/>
          <w:right w:w="70" w:type="dxa"/>
        </w:tblCellMar>
        <w:tblLook w:val="04A0" w:firstRow="1" w:lastRow="0" w:firstColumn="1" w:lastColumn="0" w:noHBand="0" w:noVBand="1"/>
      </w:tblPr>
      <w:tblGrid>
        <w:gridCol w:w="2606"/>
        <w:gridCol w:w="1456"/>
        <w:gridCol w:w="1453"/>
        <w:gridCol w:w="1456"/>
        <w:gridCol w:w="1457"/>
        <w:gridCol w:w="1247"/>
        <w:gridCol w:w="1330"/>
      </w:tblGrid>
      <w:tr w:rsidR="00943EA2" w:rsidRPr="00CC146C" w14:paraId="3700D8FB" w14:textId="77777777" w:rsidTr="001A2B4D">
        <w:trPr>
          <w:trHeight w:val="682"/>
        </w:trPr>
        <w:tc>
          <w:tcPr>
            <w:tcW w:w="2606" w:type="dxa"/>
            <w:tcBorders>
              <w:top w:val="single" w:sz="12" w:space="0" w:color="FFFFFF"/>
              <w:left w:val="nil"/>
              <w:bottom w:val="single" w:sz="12" w:space="0" w:color="FFFFFF"/>
              <w:right w:val="single" w:sz="12" w:space="0" w:color="FFFFFF"/>
            </w:tcBorders>
            <w:shd w:val="clear" w:color="000000" w:fill="8DB3E2"/>
            <w:vAlign w:val="center"/>
            <w:hideMark/>
          </w:tcPr>
          <w:p w14:paraId="4E53F3E7" w14:textId="77777777" w:rsidR="00943EA2" w:rsidRPr="00CC146C" w:rsidRDefault="00943EA2" w:rsidP="00943EA2">
            <w:pPr>
              <w:spacing w:after="0" w:line="240" w:lineRule="auto"/>
              <w:jc w:val="center"/>
              <w:rPr>
                <w:rFonts w:cs="Calibri"/>
                <w:b/>
                <w:bCs/>
                <w:sz w:val="18"/>
                <w:szCs w:val="18"/>
                <w:lang w:eastAsia="sk-SK"/>
              </w:rPr>
            </w:pPr>
            <w:r w:rsidRPr="00CC146C">
              <w:rPr>
                <w:rFonts w:cs="Calibri"/>
                <w:b/>
                <w:bCs/>
                <w:sz w:val="18"/>
                <w:szCs w:val="18"/>
                <w:lang w:eastAsia="sk-SK"/>
              </w:rPr>
              <w:t xml:space="preserve">Granty a transfery  BSK </w:t>
            </w:r>
          </w:p>
        </w:tc>
        <w:tc>
          <w:tcPr>
            <w:tcW w:w="1456" w:type="dxa"/>
            <w:tcBorders>
              <w:top w:val="single" w:sz="12" w:space="0" w:color="FFFFFF"/>
              <w:left w:val="nil"/>
              <w:bottom w:val="single" w:sz="12" w:space="0" w:color="FFFFFF"/>
              <w:right w:val="single" w:sz="12" w:space="0" w:color="FFFFFF"/>
            </w:tcBorders>
            <w:shd w:val="clear" w:color="000000" w:fill="8DB3E2"/>
            <w:vAlign w:val="center"/>
            <w:hideMark/>
          </w:tcPr>
          <w:p w14:paraId="05C0B219" w14:textId="39EF325D" w:rsidR="00943EA2" w:rsidRPr="000E7C7A" w:rsidRDefault="00943EA2" w:rsidP="00943EA2">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31.12.201</w:t>
            </w:r>
            <w:r>
              <w:rPr>
                <w:rFonts w:cs="Calibri"/>
                <w:b/>
                <w:bCs/>
                <w:color w:val="000000"/>
                <w:sz w:val="18"/>
                <w:szCs w:val="18"/>
                <w:lang w:eastAsia="sk-SK"/>
              </w:rPr>
              <w:t>9</w:t>
            </w:r>
            <w:r w:rsidRPr="000E7C7A">
              <w:rPr>
                <w:rFonts w:cs="Calibri"/>
                <w:b/>
                <w:bCs/>
                <w:color w:val="000000"/>
                <w:sz w:val="18"/>
                <w:szCs w:val="18"/>
                <w:lang w:eastAsia="sk-SK"/>
              </w:rPr>
              <w:t xml:space="preserve"> </w:t>
            </w:r>
          </w:p>
        </w:tc>
        <w:tc>
          <w:tcPr>
            <w:tcW w:w="1453" w:type="dxa"/>
            <w:tcBorders>
              <w:top w:val="single" w:sz="12" w:space="0" w:color="FFFFFF"/>
              <w:left w:val="nil"/>
              <w:bottom w:val="single" w:sz="12" w:space="0" w:color="FFFFFF"/>
              <w:right w:val="single" w:sz="12" w:space="0" w:color="FFFFFF"/>
            </w:tcBorders>
            <w:shd w:val="clear" w:color="000000" w:fill="8DB3E2"/>
            <w:vAlign w:val="center"/>
            <w:hideMark/>
          </w:tcPr>
          <w:p w14:paraId="4C7D2001" w14:textId="4C9CBEC4" w:rsidR="00943EA2" w:rsidRPr="000E7C7A" w:rsidRDefault="00943EA2" w:rsidP="00943EA2">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Schválený rozpočet 20</w:t>
            </w:r>
            <w:r>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456" w:type="dxa"/>
            <w:tcBorders>
              <w:top w:val="single" w:sz="12" w:space="0" w:color="FFFFFF"/>
              <w:left w:val="nil"/>
              <w:bottom w:val="single" w:sz="12" w:space="0" w:color="FFFFFF"/>
              <w:right w:val="single" w:sz="12" w:space="0" w:color="FFFFFF"/>
            </w:tcBorders>
            <w:shd w:val="clear" w:color="000000" w:fill="8DB3E2"/>
            <w:vAlign w:val="center"/>
            <w:hideMark/>
          </w:tcPr>
          <w:p w14:paraId="7741A5AB" w14:textId="622378C8" w:rsidR="00943EA2" w:rsidRPr="000E7C7A" w:rsidRDefault="00943EA2" w:rsidP="00943EA2">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Zmenený rozpočet k 31.12.20</w:t>
            </w:r>
            <w:r>
              <w:rPr>
                <w:rFonts w:cs="Calibri"/>
                <w:b/>
                <w:bCs/>
                <w:color w:val="000000"/>
                <w:sz w:val="18"/>
                <w:szCs w:val="18"/>
                <w:lang w:eastAsia="sk-SK"/>
              </w:rPr>
              <w:t>20</w:t>
            </w:r>
          </w:p>
        </w:tc>
        <w:tc>
          <w:tcPr>
            <w:tcW w:w="1457" w:type="dxa"/>
            <w:tcBorders>
              <w:top w:val="single" w:sz="12" w:space="0" w:color="FFFFFF"/>
              <w:left w:val="nil"/>
              <w:bottom w:val="single" w:sz="12" w:space="0" w:color="FFFFFF"/>
              <w:right w:val="single" w:sz="12" w:space="0" w:color="FFFFFF"/>
            </w:tcBorders>
            <w:shd w:val="clear" w:color="000000" w:fill="8DB3E2"/>
            <w:vAlign w:val="center"/>
            <w:hideMark/>
          </w:tcPr>
          <w:p w14:paraId="2C7D9320" w14:textId="1F2523F1" w:rsidR="00943EA2" w:rsidRPr="000E7C7A" w:rsidRDefault="00943EA2" w:rsidP="00943EA2">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Plnenie rozpočtu k 31.12.20</w:t>
            </w:r>
            <w:r>
              <w:rPr>
                <w:rFonts w:cs="Calibri"/>
                <w:b/>
                <w:bCs/>
                <w:color w:val="000000"/>
                <w:sz w:val="18"/>
                <w:szCs w:val="18"/>
                <w:lang w:eastAsia="sk-SK"/>
              </w:rPr>
              <w:t>20</w:t>
            </w:r>
            <w:r w:rsidRPr="000E7C7A">
              <w:rPr>
                <w:rFonts w:cs="Calibri"/>
                <w:b/>
                <w:bCs/>
                <w:color w:val="000000"/>
                <w:sz w:val="18"/>
                <w:szCs w:val="18"/>
                <w:lang w:eastAsia="sk-SK"/>
              </w:rPr>
              <w:t xml:space="preserve"> </w:t>
            </w:r>
          </w:p>
        </w:tc>
        <w:tc>
          <w:tcPr>
            <w:tcW w:w="1247" w:type="dxa"/>
            <w:tcBorders>
              <w:top w:val="single" w:sz="12" w:space="0" w:color="FFFFFF"/>
              <w:left w:val="nil"/>
              <w:bottom w:val="single" w:sz="12" w:space="0" w:color="FFFFFF"/>
              <w:right w:val="single" w:sz="12" w:space="0" w:color="FFFFFF"/>
            </w:tcBorders>
            <w:shd w:val="clear" w:color="000000" w:fill="8DB3E2"/>
            <w:vAlign w:val="center"/>
            <w:hideMark/>
          </w:tcPr>
          <w:p w14:paraId="6881EBCB" w14:textId="3A27DFAD" w:rsidR="00943EA2" w:rsidRPr="000E7C7A" w:rsidRDefault="00943EA2" w:rsidP="00943EA2">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 plnenie k zmenenému rozpočtu k 31.12.20</w:t>
            </w:r>
            <w:r>
              <w:rPr>
                <w:rFonts w:cs="Calibri"/>
                <w:b/>
                <w:bCs/>
                <w:color w:val="000000"/>
                <w:sz w:val="18"/>
                <w:szCs w:val="18"/>
                <w:lang w:eastAsia="sk-SK"/>
              </w:rPr>
              <w:t>20</w:t>
            </w:r>
          </w:p>
        </w:tc>
        <w:tc>
          <w:tcPr>
            <w:tcW w:w="1330" w:type="dxa"/>
            <w:tcBorders>
              <w:top w:val="single" w:sz="12" w:space="0" w:color="FFFFFF"/>
              <w:left w:val="nil"/>
              <w:bottom w:val="single" w:sz="12" w:space="0" w:color="FFFFFF"/>
              <w:right w:val="single" w:sz="12" w:space="0" w:color="FFFFFF"/>
            </w:tcBorders>
            <w:shd w:val="clear" w:color="000000" w:fill="8DB3E2"/>
            <w:vAlign w:val="center"/>
            <w:hideMark/>
          </w:tcPr>
          <w:p w14:paraId="5B3FBB49" w14:textId="77777777" w:rsidR="00943EA2" w:rsidRPr="000E7C7A" w:rsidRDefault="00943EA2" w:rsidP="00943EA2">
            <w:pPr>
              <w:spacing w:after="0" w:line="240" w:lineRule="auto"/>
              <w:jc w:val="center"/>
              <w:rPr>
                <w:rFonts w:cs="Calibri"/>
                <w:b/>
                <w:bCs/>
                <w:color w:val="000000"/>
                <w:sz w:val="18"/>
                <w:szCs w:val="18"/>
                <w:lang w:eastAsia="sk-SK"/>
              </w:rPr>
            </w:pPr>
            <w:r w:rsidRPr="000E7C7A">
              <w:rPr>
                <w:rFonts w:cs="Calibri"/>
                <w:b/>
                <w:bCs/>
                <w:color w:val="000000"/>
                <w:sz w:val="18"/>
                <w:szCs w:val="18"/>
                <w:lang w:eastAsia="sk-SK"/>
              </w:rPr>
              <w:t>Zmeny rozpočtu</w:t>
            </w:r>
          </w:p>
        </w:tc>
      </w:tr>
      <w:tr w:rsidR="00116475" w:rsidRPr="00CC146C" w14:paraId="555AD4FB" w14:textId="77777777" w:rsidTr="001A2B4D">
        <w:trPr>
          <w:cantSplit/>
          <w:trHeight w:val="196"/>
        </w:trPr>
        <w:tc>
          <w:tcPr>
            <w:tcW w:w="2606" w:type="dxa"/>
            <w:tcBorders>
              <w:top w:val="nil"/>
              <w:left w:val="single" w:sz="12" w:space="0" w:color="FFFFFF"/>
              <w:bottom w:val="single" w:sz="12" w:space="0" w:color="FFFFFF"/>
              <w:right w:val="single" w:sz="12" w:space="0" w:color="FFFFFF"/>
            </w:tcBorders>
            <w:shd w:val="clear" w:color="000000" w:fill="8DB3E2"/>
            <w:vAlign w:val="center"/>
            <w:hideMark/>
          </w:tcPr>
          <w:p w14:paraId="3690D985" w14:textId="77777777" w:rsidR="00116475" w:rsidRPr="00CC146C" w:rsidRDefault="00116475" w:rsidP="00116475">
            <w:pPr>
              <w:spacing w:after="0" w:line="240" w:lineRule="auto"/>
              <w:rPr>
                <w:rFonts w:cs="Calibri"/>
                <w:b/>
                <w:bCs/>
                <w:sz w:val="20"/>
                <w:szCs w:val="20"/>
                <w:lang w:eastAsia="sk-SK"/>
              </w:rPr>
            </w:pPr>
            <w:r w:rsidRPr="00CC146C">
              <w:rPr>
                <w:rFonts w:cs="Calibri"/>
                <w:b/>
                <w:bCs/>
                <w:sz w:val="20"/>
                <w:szCs w:val="20"/>
                <w:lang w:eastAsia="sk-SK"/>
              </w:rPr>
              <w:t>Bežné granty a transfery</w:t>
            </w:r>
          </w:p>
        </w:tc>
        <w:tc>
          <w:tcPr>
            <w:tcW w:w="1456" w:type="dxa"/>
            <w:tcBorders>
              <w:top w:val="nil"/>
              <w:left w:val="nil"/>
              <w:bottom w:val="single" w:sz="12" w:space="0" w:color="FFFFFF"/>
              <w:right w:val="single" w:sz="12" w:space="0" w:color="FFFFFF"/>
            </w:tcBorders>
            <w:shd w:val="clear" w:color="000000" w:fill="8DB3E2"/>
            <w:vAlign w:val="center"/>
            <w:hideMark/>
          </w:tcPr>
          <w:p w14:paraId="6DF58FF7" w14:textId="60DF89A1" w:rsidR="00116475" w:rsidRDefault="00116475" w:rsidP="00116475">
            <w:pPr>
              <w:spacing w:after="0" w:line="240" w:lineRule="auto"/>
              <w:jc w:val="right"/>
              <w:rPr>
                <w:rFonts w:cs="Calibri"/>
                <w:b/>
                <w:bCs/>
                <w:color w:val="000000"/>
                <w:sz w:val="18"/>
                <w:szCs w:val="18"/>
                <w:lang w:eastAsia="sk-SK"/>
              </w:rPr>
            </w:pPr>
            <w:r>
              <w:rPr>
                <w:rFonts w:cs="Calibri"/>
                <w:b/>
                <w:bCs/>
                <w:color w:val="000000"/>
                <w:sz w:val="18"/>
                <w:szCs w:val="18"/>
              </w:rPr>
              <w:t>54 466 988,16</w:t>
            </w:r>
          </w:p>
        </w:tc>
        <w:tc>
          <w:tcPr>
            <w:tcW w:w="1453" w:type="dxa"/>
            <w:tcBorders>
              <w:top w:val="nil"/>
              <w:left w:val="nil"/>
              <w:bottom w:val="single" w:sz="12" w:space="0" w:color="FFFFFF"/>
              <w:right w:val="single" w:sz="12" w:space="0" w:color="FFFFFF"/>
            </w:tcBorders>
            <w:shd w:val="clear" w:color="000000" w:fill="8DB3E2"/>
            <w:vAlign w:val="center"/>
          </w:tcPr>
          <w:p w14:paraId="00A0EFF8" w14:textId="7AAFD6DA" w:rsidR="00116475" w:rsidRDefault="00116475" w:rsidP="00116475">
            <w:pPr>
              <w:jc w:val="right"/>
              <w:rPr>
                <w:rFonts w:cs="Calibri"/>
                <w:b/>
                <w:bCs/>
                <w:color w:val="000000"/>
                <w:sz w:val="18"/>
                <w:szCs w:val="18"/>
              </w:rPr>
            </w:pPr>
            <w:r>
              <w:rPr>
                <w:rFonts w:cs="Calibri"/>
                <w:b/>
                <w:bCs/>
                <w:color w:val="000000"/>
                <w:sz w:val="18"/>
                <w:szCs w:val="18"/>
              </w:rPr>
              <w:t>62 716 437,25</w:t>
            </w:r>
          </w:p>
        </w:tc>
        <w:tc>
          <w:tcPr>
            <w:tcW w:w="1456" w:type="dxa"/>
            <w:tcBorders>
              <w:top w:val="nil"/>
              <w:left w:val="nil"/>
              <w:bottom w:val="single" w:sz="12" w:space="0" w:color="FFFFFF"/>
              <w:right w:val="single" w:sz="12" w:space="0" w:color="FFFFFF"/>
            </w:tcBorders>
            <w:shd w:val="clear" w:color="000000" w:fill="8DB3E2"/>
            <w:vAlign w:val="center"/>
          </w:tcPr>
          <w:p w14:paraId="3922ACAD" w14:textId="46D26294" w:rsidR="00116475" w:rsidRDefault="00116475" w:rsidP="00116475">
            <w:pPr>
              <w:jc w:val="right"/>
              <w:rPr>
                <w:rFonts w:cs="Calibri"/>
                <w:b/>
                <w:bCs/>
                <w:color w:val="000000"/>
                <w:sz w:val="18"/>
                <w:szCs w:val="18"/>
              </w:rPr>
            </w:pPr>
            <w:r>
              <w:rPr>
                <w:rFonts w:cs="Calibri"/>
                <w:b/>
                <w:bCs/>
                <w:color w:val="000000"/>
                <w:sz w:val="18"/>
                <w:szCs w:val="18"/>
              </w:rPr>
              <w:t>68 852 109,94</w:t>
            </w:r>
          </w:p>
        </w:tc>
        <w:tc>
          <w:tcPr>
            <w:tcW w:w="1457" w:type="dxa"/>
            <w:tcBorders>
              <w:top w:val="nil"/>
              <w:left w:val="nil"/>
              <w:bottom w:val="single" w:sz="12" w:space="0" w:color="FFFFFF"/>
              <w:right w:val="single" w:sz="12" w:space="0" w:color="FFFFFF"/>
            </w:tcBorders>
            <w:shd w:val="clear" w:color="000000" w:fill="8DB3E2"/>
            <w:vAlign w:val="center"/>
          </w:tcPr>
          <w:p w14:paraId="02472971" w14:textId="101CAB80" w:rsidR="00116475" w:rsidRDefault="00116475" w:rsidP="00116475">
            <w:pPr>
              <w:jc w:val="right"/>
              <w:rPr>
                <w:rFonts w:cs="Calibri"/>
                <w:b/>
                <w:bCs/>
                <w:color w:val="000000"/>
                <w:sz w:val="18"/>
                <w:szCs w:val="18"/>
              </w:rPr>
            </w:pPr>
            <w:r>
              <w:rPr>
                <w:rFonts w:cs="Calibri"/>
                <w:b/>
                <w:bCs/>
                <w:color w:val="000000"/>
                <w:sz w:val="18"/>
                <w:szCs w:val="18"/>
              </w:rPr>
              <w:t>65 971 277,12</w:t>
            </w:r>
          </w:p>
        </w:tc>
        <w:tc>
          <w:tcPr>
            <w:tcW w:w="1247" w:type="dxa"/>
            <w:tcBorders>
              <w:top w:val="nil"/>
              <w:left w:val="nil"/>
              <w:bottom w:val="single" w:sz="12" w:space="0" w:color="FFFFFF"/>
              <w:right w:val="single" w:sz="12" w:space="0" w:color="FFFFFF"/>
            </w:tcBorders>
            <w:shd w:val="clear" w:color="000000" w:fill="8DB4E2"/>
            <w:vAlign w:val="center"/>
          </w:tcPr>
          <w:p w14:paraId="7F0D82A7" w14:textId="36EBF7E9" w:rsidR="00116475" w:rsidRDefault="00116475" w:rsidP="00116475">
            <w:pPr>
              <w:jc w:val="right"/>
              <w:rPr>
                <w:rFonts w:cs="Calibri"/>
                <w:b/>
                <w:bCs/>
                <w:color w:val="000000"/>
                <w:sz w:val="18"/>
                <w:szCs w:val="18"/>
              </w:rPr>
            </w:pPr>
            <w:r>
              <w:rPr>
                <w:rFonts w:cs="Calibri"/>
                <w:b/>
                <w:bCs/>
                <w:color w:val="000000"/>
                <w:sz w:val="18"/>
                <w:szCs w:val="18"/>
              </w:rPr>
              <w:t>95,82%</w:t>
            </w:r>
          </w:p>
        </w:tc>
        <w:tc>
          <w:tcPr>
            <w:tcW w:w="1330" w:type="dxa"/>
            <w:tcBorders>
              <w:top w:val="nil"/>
              <w:left w:val="nil"/>
              <w:bottom w:val="single" w:sz="12" w:space="0" w:color="FFFFFF"/>
              <w:right w:val="single" w:sz="12" w:space="0" w:color="FFFFFF"/>
            </w:tcBorders>
            <w:shd w:val="clear" w:color="000000" w:fill="95B3D7"/>
            <w:vAlign w:val="center"/>
          </w:tcPr>
          <w:p w14:paraId="445A4020" w14:textId="15927825" w:rsidR="00116475" w:rsidRDefault="00116475" w:rsidP="00116475">
            <w:pPr>
              <w:jc w:val="right"/>
              <w:rPr>
                <w:rFonts w:cs="Calibri"/>
                <w:b/>
                <w:bCs/>
                <w:color w:val="000000"/>
                <w:sz w:val="18"/>
                <w:szCs w:val="18"/>
              </w:rPr>
            </w:pPr>
            <w:r>
              <w:rPr>
                <w:rFonts w:cs="Calibri"/>
                <w:b/>
                <w:bCs/>
                <w:color w:val="000000"/>
                <w:sz w:val="18"/>
                <w:szCs w:val="18"/>
              </w:rPr>
              <w:t>6 135 672,69</w:t>
            </w:r>
          </w:p>
        </w:tc>
      </w:tr>
      <w:tr w:rsidR="00116475" w:rsidRPr="00CC146C" w14:paraId="0D5B00BF" w14:textId="77777777" w:rsidTr="001A2B4D">
        <w:trPr>
          <w:cantSplit/>
          <w:trHeight w:val="196"/>
        </w:trPr>
        <w:tc>
          <w:tcPr>
            <w:tcW w:w="2606" w:type="dxa"/>
            <w:tcBorders>
              <w:top w:val="nil"/>
              <w:left w:val="single" w:sz="12" w:space="0" w:color="FFFFFF"/>
              <w:bottom w:val="single" w:sz="12" w:space="0" w:color="FFFFFF"/>
              <w:right w:val="single" w:sz="12" w:space="0" w:color="FFFFFF"/>
            </w:tcBorders>
            <w:shd w:val="clear" w:color="000000" w:fill="F2F2F2"/>
            <w:vAlign w:val="center"/>
            <w:hideMark/>
          </w:tcPr>
          <w:p w14:paraId="18A9745B" w14:textId="77777777" w:rsidR="00116475" w:rsidRPr="00CC146C" w:rsidRDefault="00116475" w:rsidP="00116475">
            <w:pPr>
              <w:spacing w:after="0" w:line="240" w:lineRule="auto"/>
              <w:rPr>
                <w:rFonts w:cs="Calibri"/>
                <w:color w:val="000000"/>
                <w:sz w:val="20"/>
                <w:szCs w:val="20"/>
                <w:lang w:eastAsia="sk-SK"/>
              </w:rPr>
            </w:pPr>
            <w:r w:rsidRPr="00CC146C">
              <w:rPr>
                <w:rFonts w:cs="Calibri"/>
                <w:color w:val="000000"/>
                <w:sz w:val="20"/>
                <w:szCs w:val="20"/>
                <w:lang w:eastAsia="sk-SK"/>
              </w:rPr>
              <w:t>Tuzemské bežné</w:t>
            </w:r>
          </w:p>
        </w:tc>
        <w:tc>
          <w:tcPr>
            <w:tcW w:w="1456" w:type="dxa"/>
            <w:tcBorders>
              <w:top w:val="nil"/>
              <w:left w:val="nil"/>
              <w:bottom w:val="single" w:sz="12" w:space="0" w:color="FFFFFF"/>
              <w:right w:val="single" w:sz="12" w:space="0" w:color="FFFFFF"/>
            </w:tcBorders>
            <w:shd w:val="clear" w:color="000000" w:fill="F2F2F2"/>
            <w:vAlign w:val="center"/>
            <w:hideMark/>
          </w:tcPr>
          <w:p w14:paraId="37E1925D" w14:textId="4088A7F3" w:rsidR="00116475" w:rsidRDefault="00116475" w:rsidP="00116475">
            <w:pPr>
              <w:jc w:val="right"/>
              <w:rPr>
                <w:rFonts w:cs="Calibri"/>
                <w:color w:val="000000"/>
                <w:sz w:val="20"/>
                <w:szCs w:val="20"/>
              </w:rPr>
            </w:pPr>
            <w:r>
              <w:rPr>
                <w:rFonts w:cs="Calibri"/>
                <w:color w:val="000000"/>
                <w:sz w:val="20"/>
                <w:szCs w:val="20"/>
              </w:rPr>
              <w:t>54 466 988,16</w:t>
            </w:r>
          </w:p>
        </w:tc>
        <w:tc>
          <w:tcPr>
            <w:tcW w:w="1453" w:type="dxa"/>
            <w:tcBorders>
              <w:top w:val="nil"/>
              <w:left w:val="nil"/>
              <w:bottom w:val="single" w:sz="12" w:space="0" w:color="FFFFFF"/>
              <w:right w:val="single" w:sz="12" w:space="0" w:color="FFFFFF"/>
            </w:tcBorders>
            <w:shd w:val="clear" w:color="000000" w:fill="F2F2F2"/>
            <w:vAlign w:val="center"/>
          </w:tcPr>
          <w:p w14:paraId="63B8C250" w14:textId="559FE526" w:rsidR="00116475" w:rsidRDefault="00116475" w:rsidP="00116475">
            <w:pPr>
              <w:jc w:val="right"/>
              <w:rPr>
                <w:rFonts w:cs="Calibri"/>
                <w:color w:val="000000"/>
                <w:sz w:val="20"/>
                <w:szCs w:val="20"/>
              </w:rPr>
            </w:pPr>
            <w:r>
              <w:rPr>
                <w:rFonts w:cs="Calibri"/>
                <w:color w:val="000000"/>
                <w:sz w:val="20"/>
                <w:szCs w:val="20"/>
              </w:rPr>
              <w:t>62 716 437,25</w:t>
            </w:r>
          </w:p>
        </w:tc>
        <w:tc>
          <w:tcPr>
            <w:tcW w:w="1456" w:type="dxa"/>
            <w:tcBorders>
              <w:top w:val="nil"/>
              <w:left w:val="nil"/>
              <w:bottom w:val="single" w:sz="12" w:space="0" w:color="FFFFFF"/>
              <w:right w:val="single" w:sz="12" w:space="0" w:color="FFFFFF"/>
            </w:tcBorders>
            <w:shd w:val="clear" w:color="000000" w:fill="F2F2F2"/>
            <w:vAlign w:val="center"/>
          </w:tcPr>
          <w:p w14:paraId="420370AC" w14:textId="7226D4C5" w:rsidR="00116475" w:rsidRDefault="00116475" w:rsidP="00116475">
            <w:pPr>
              <w:jc w:val="right"/>
              <w:rPr>
                <w:rFonts w:cs="Calibri"/>
                <w:color w:val="000000"/>
                <w:sz w:val="20"/>
                <w:szCs w:val="20"/>
              </w:rPr>
            </w:pPr>
            <w:r>
              <w:rPr>
                <w:rFonts w:cs="Calibri"/>
                <w:color w:val="000000"/>
                <w:sz w:val="20"/>
                <w:szCs w:val="20"/>
              </w:rPr>
              <w:t>68 852 109,94</w:t>
            </w:r>
          </w:p>
        </w:tc>
        <w:tc>
          <w:tcPr>
            <w:tcW w:w="1457" w:type="dxa"/>
            <w:tcBorders>
              <w:top w:val="nil"/>
              <w:left w:val="nil"/>
              <w:bottom w:val="single" w:sz="12" w:space="0" w:color="FFFFFF"/>
              <w:right w:val="single" w:sz="12" w:space="0" w:color="FFFFFF"/>
            </w:tcBorders>
            <w:shd w:val="clear" w:color="000000" w:fill="F2F2F2"/>
            <w:vAlign w:val="center"/>
          </w:tcPr>
          <w:p w14:paraId="190648C2" w14:textId="56BD6DF8" w:rsidR="00116475" w:rsidRDefault="00116475" w:rsidP="00116475">
            <w:pPr>
              <w:jc w:val="right"/>
              <w:rPr>
                <w:rFonts w:cs="Calibri"/>
                <w:color w:val="000000"/>
                <w:sz w:val="20"/>
                <w:szCs w:val="20"/>
              </w:rPr>
            </w:pPr>
            <w:r>
              <w:rPr>
                <w:rFonts w:cs="Calibri"/>
                <w:color w:val="000000"/>
                <w:sz w:val="20"/>
                <w:szCs w:val="20"/>
              </w:rPr>
              <w:t>65 971 277,12</w:t>
            </w:r>
          </w:p>
        </w:tc>
        <w:tc>
          <w:tcPr>
            <w:tcW w:w="1247" w:type="dxa"/>
            <w:tcBorders>
              <w:top w:val="nil"/>
              <w:left w:val="nil"/>
              <w:bottom w:val="single" w:sz="12" w:space="0" w:color="FFFFFF"/>
              <w:right w:val="single" w:sz="12" w:space="0" w:color="FFFFFF"/>
            </w:tcBorders>
            <w:shd w:val="clear" w:color="000000" w:fill="F2F2F2"/>
            <w:vAlign w:val="center"/>
          </w:tcPr>
          <w:p w14:paraId="2121FEE3" w14:textId="3C30AC38" w:rsidR="00116475" w:rsidRDefault="00116475" w:rsidP="00116475">
            <w:pPr>
              <w:jc w:val="right"/>
              <w:rPr>
                <w:rFonts w:cs="Calibri"/>
                <w:color w:val="000000"/>
                <w:sz w:val="20"/>
                <w:szCs w:val="20"/>
              </w:rPr>
            </w:pPr>
            <w:r>
              <w:rPr>
                <w:rFonts w:cs="Calibri"/>
                <w:color w:val="000000"/>
                <w:sz w:val="20"/>
                <w:szCs w:val="20"/>
              </w:rPr>
              <w:t>95,82%</w:t>
            </w:r>
          </w:p>
        </w:tc>
        <w:tc>
          <w:tcPr>
            <w:tcW w:w="1330" w:type="dxa"/>
            <w:tcBorders>
              <w:top w:val="nil"/>
              <w:left w:val="nil"/>
              <w:bottom w:val="single" w:sz="12" w:space="0" w:color="FFFFFF"/>
              <w:right w:val="single" w:sz="12" w:space="0" w:color="FFFFFF"/>
            </w:tcBorders>
            <w:shd w:val="clear" w:color="000000" w:fill="F2F2F2"/>
            <w:vAlign w:val="center"/>
          </w:tcPr>
          <w:p w14:paraId="303C1E16" w14:textId="324BB41D" w:rsidR="00116475" w:rsidRDefault="00116475" w:rsidP="00116475">
            <w:pPr>
              <w:jc w:val="right"/>
              <w:rPr>
                <w:rFonts w:cs="Calibri"/>
                <w:color w:val="000000"/>
                <w:sz w:val="20"/>
                <w:szCs w:val="20"/>
              </w:rPr>
            </w:pPr>
            <w:r>
              <w:rPr>
                <w:rFonts w:cs="Calibri"/>
                <w:color w:val="000000"/>
                <w:sz w:val="20"/>
                <w:szCs w:val="20"/>
              </w:rPr>
              <w:t> </w:t>
            </w:r>
          </w:p>
        </w:tc>
      </w:tr>
      <w:tr w:rsidR="00116475" w:rsidRPr="00CC146C" w14:paraId="0C6C795A" w14:textId="77777777" w:rsidTr="001A2B4D">
        <w:trPr>
          <w:cantSplit/>
          <w:trHeight w:val="196"/>
        </w:trPr>
        <w:tc>
          <w:tcPr>
            <w:tcW w:w="2606" w:type="dxa"/>
            <w:tcBorders>
              <w:top w:val="nil"/>
              <w:left w:val="single" w:sz="12" w:space="0" w:color="FFFFFF"/>
              <w:bottom w:val="single" w:sz="12" w:space="0" w:color="FFFFFF"/>
              <w:right w:val="single" w:sz="12" w:space="0" w:color="FFFFFF"/>
            </w:tcBorders>
            <w:shd w:val="clear" w:color="000000" w:fill="8DB3E2"/>
            <w:vAlign w:val="center"/>
            <w:hideMark/>
          </w:tcPr>
          <w:p w14:paraId="51831D79" w14:textId="77777777" w:rsidR="00116475" w:rsidRPr="00CC146C" w:rsidRDefault="00116475" w:rsidP="00116475">
            <w:pPr>
              <w:spacing w:after="0" w:line="240" w:lineRule="auto"/>
              <w:rPr>
                <w:rFonts w:cs="Calibri"/>
                <w:b/>
                <w:bCs/>
                <w:sz w:val="20"/>
                <w:szCs w:val="20"/>
                <w:lang w:eastAsia="sk-SK"/>
              </w:rPr>
            </w:pPr>
            <w:r w:rsidRPr="00CC146C">
              <w:rPr>
                <w:rFonts w:cs="Calibri"/>
                <w:b/>
                <w:bCs/>
                <w:sz w:val="20"/>
                <w:szCs w:val="20"/>
                <w:lang w:eastAsia="sk-SK"/>
              </w:rPr>
              <w:t>Kapitálové granty a trans</w:t>
            </w:r>
            <w:r>
              <w:rPr>
                <w:rFonts w:cs="Calibri"/>
                <w:b/>
                <w:bCs/>
                <w:sz w:val="20"/>
                <w:szCs w:val="20"/>
                <w:lang w:eastAsia="sk-SK"/>
              </w:rPr>
              <w:t>fery</w:t>
            </w:r>
          </w:p>
        </w:tc>
        <w:tc>
          <w:tcPr>
            <w:tcW w:w="1456" w:type="dxa"/>
            <w:tcBorders>
              <w:top w:val="nil"/>
              <w:left w:val="nil"/>
              <w:bottom w:val="single" w:sz="12" w:space="0" w:color="FFFFFF"/>
              <w:right w:val="single" w:sz="12" w:space="0" w:color="FFFFFF"/>
            </w:tcBorders>
            <w:shd w:val="clear" w:color="000000" w:fill="8DB3E2"/>
            <w:vAlign w:val="center"/>
            <w:hideMark/>
          </w:tcPr>
          <w:p w14:paraId="2E0E8C37" w14:textId="2B87EDA2" w:rsidR="00116475" w:rsidRDefault="00116475" w:rsidP="00116475">
            <w:pPr>
              <w:jc w:val="right"/>
              <w:rPr>
                <w:rFonts w:cs="Calibri"/>
                <w:b/>
                <w:bCs/>
                <w:color w:val="000000"/>
                <w:sz w:val="18"/>
                <w:szCs w:val="18"/>
              </w:rPr>
            </w:pPr>
            <w:r>
              <w:rPr>
                <w:rFonts w:cs="Calibri"/>
                <w:b/>
                <w:bCs/>
                <w:color w:val="000000"/>
                <w:sz w:val="18"/>
                <w:szCs w:val="18"/>
              </w:rPr>
              <w:t>11 024 851,43</w:t>
            </w:r>
          </w:p>
        </w:tc>
        <w:tc>
          <w:tcPr>
            <w:tcW w:w="1453" w:type="dxa"/>
            <w:tcBorders>
              <w:top w:val="nil"/>
              <w:left w:val="nil"/>
              <w:bottom w:val="single" w:sz="12" w:space="0" w:color="FFFFFF"/>
              <w:right w:val="single" w:sz="12" w:space="0" w:color="FFFFFF"/>
            </w:tcBorders>
            <w:shd w:val="clear" w:color="000000" w:fill="8DB3E2"/>
            <w:vAlign w:val="center"/>
          </w:tcPr>
          <w:p w14:paraId="7F25EAF9" w14:textId="18B43619" w:rsidR="00116475" w:rsidRDefault="00116475" w:rsidP="00116475">
            <w:pPr>
              <w:jc w:val="right"/>
              <w:rPr>
                <w:rFonts w:cs="Calibri"/>
                <w:b/>
                <w:bCs/>
                <w:color w:val="000000"/>
                <w:sz w:val="18"/>
                <w:szCs w:val="18"/>
              </w:rPr>
            </w:pPr>
            <w:r>
              <w:rPr>
                <w:rFonts w:cs="Calibri"/>
                <w:b/>
                <w:bCs/>
                <w:color w:val="000000"/>
                <w:sz w:val="18"/>
                <w:szCs w:val="18"/>
              </w:rPr>
              <w:t>10 712 450,55</w:t>
            </w:r>
          </w:p>
        </w:tc>
        <w:tc>
          <w:tcPr>
            <w:tcW w:w="1456" w:type="dxa"/>
            <w:tcBorders>
              <w:top w:val="nil"/>
              <w:left w:val="nil"/>
              <w:bottom w:val="single" w:sz="12" w:space="0" w:color="FFFFFF"/>
              <w:right w:val="single" w:sz="12" w:space="0" w:color="FFFFFF"/>
            </w:tcBorders>
            <w:shd w:val="clear" w:color="000000" w:fill="8DB3E2"/>
            <w:vAlign w:val="center"/>
          </w:tcPr>
          <w:p w14:paraId="6CB46038" w14:textId="548C132E" w:rsidR="00116475" w:rsidRDefault="00116475" w:rsidP="00116475">
            <w:pPr>
              <w:jc w:val="right"/>
              <w:rPr>
                <w:rFonts w:cs="Calibri"/>
                <w:b/>
                <w:bCs/>
                <w:color w:val="000000"/>
                <w:sz w:val="18"/>
                <w:szCs w:val="18"/>
              </w:rPr>
            </w:pPr>
            <w:r>
              <w:rPr>
                <w:rFonts w:cs="Calibri"/>
                <w:b/>
                <w:bCs/>
                <w:color w:val="000000"/>
                <w:sz w:val="18"/>
                <w:szCs w:val="18"/>
              </w:rPr>
              <w:t>11 121 297,70</w:t>
            </w:r>
          </w:p>
        </w:tc>
        <w:tc>
          <w:tcPr>
            <w:tcW w:w="1457" w:type="dxa"/>
            <w:tcBorders>
              <w:top w:val="nil"/>
              <w:left w:val="nil"/>
              <w:bottom w:val="single" w:sz="12" w:space="0" w:color="FFFFFF"/>
              <w:right w:val="single" w:sz="12" w:space="0" w:color="FFFFFF"/>
            </w:tcBorders>
            <w:shd w:val="clear" w:color="000000" w:fill="8DB3E2"/>
            <w:vAlign w:val="center"/>
          </w:tcPr>
          <w:p w14:paraId="5EDC37A8" w14:textId="1CC8AB19" w:rsidR="00116475" w:rsidRDefault="00116475" w:rsidP="00116475">
            <w:pPr>
              <w:jc w:val="right"/>
              <w:rPr>
                <w:rFonts w:cs="Calibri"/>
                <w:b/>
                <w:bCs/>
                <w:color w:val="000000"/>
                <w:sz w:val="18"/>
                <w:szCs w:val="18"/>
              </w:rPr>
            </w:pPr>
            <w:r>
              <w:rPr>
                <w:rFonts w:cs="Calibri"/>
                <w:b/>
                <w:bCs/>
                <w:color w:val="000000"/>
                <w:sz w:val="18"/>
                <w:szCs w:val="18"/>
              </w:rPr>
              <w:t>3 221 116,78</w:t>
            </w:r>
          </w:p>
        </w:tc>
        <w:tc>
          <w:tcPr>
            <w:tcW w:w="1247" w:type="dxa"/>
            <w:tcBorders>
              <w:top w:val="nil"/>
              <w:left w:val="nil"/>
              <w:bottom w:val="single" w:sz="12" w:space="0" w:color="FFFFFF"/>
              <w:right w:val="single" w:sz="12" w:space="0" w:color="FFFFFF"/>
            </w:tcBorders>
            <w:shd w:val="clear" w:color="000000" w:fill="8DB4E2"/>
            <w:vAlign w:val="center"/>
          </w:tcPr>
          <w:p w14:paraId="415016DA" w14:textId="59589A53" w:rsidR="00116475" w:rsidRDefault="00116475" w:rsidP="00116475">
            <w:pPr>
              <w:jc w:val="right"/>
              <w:rPr>
                <w:rFonts w:cs="Calibri"/>
                <w:b/>
                <w:bCs/>
                <w:color w:val="000000"/>
                <w:sz w:val="18"/>
                <w:szCs w:val="18"/>
              </w:rPr>
            </w:pPr>
            <w:r>
              <w:rPr>
                <w:rFonts w:cs="Calibri"/>
                <w:b/>
                <w:bCs/>
                <w:color w:val="000000"/>
                <w:sz w:val="18"/>
                <w:szCs w:val="18"/>
              </w:rPr>
              <w:t>28,96%</w:t>
            </w:r>
          </w:p>
        </w:tc>
        <w:tc>
          <w:tcPr>
            <w:tcW w:w="1330" w:type="dxa"/>
            <w:tcBorders>
              <w:top w:val="nil"/>
              <w:left w:val="nil"/>
              <w:bottom w:val="single" w:sz="12" w:space="0" w:color="FFFFFF"/>
              <w:right w:val="single" w:sz="12" w:space="0" w:color="FFFFFF"/>
            </w:tcBorders>
            <w:shd w:val="clear" w:color="000000" w:fill="95B3D7"/>
            <w:vAlign w:val="center"/>
          </w:tcPr>
          <w:p w14:paraId="38897579" w14:textId="37253D7E" w:rsidR="00116475" w:rsidRDefault="00116475" w:rsidP="00116475">
            <w:pPr>
              <w:jc w:val="right"/>
              <w:rPr>
                <w:rFonts w:cs="Calibri"/>
                <w:b/>
                <w:bCs/>
                <w:color w:val="000000"/>
                <w:sz w:val="18"/>
                <w:szCs w:val="18"/>
              </w:rPr>
            </w:pPr>
            <w:r>
              <w:rPr>
                <w:rFonts w:cs="Calibri"/>
                <w:b/>
                <w:bCs/>
                <w:color w:val="000000"/>
                <w:sz w:val="18"/>
                <w:szCs w:val="18"/>
              </w:rPr>
              <w:t>408 847,15</w:t>
            </w:r>
          </w:p>
        </w:tc>
      </w:tr>
      <w:tr w:rsidR="00116475" w:rsidRPr="00CC146C" w14:paraId="0B0DC4C3" w14:textId="77777777" w:rsidTr="001A2B4D">
        <w:trPr>
          <w:cantSplit/>
          <w:trHeight w:val="196"/>
        </w:trPr>
        <w:tc>
          <w:tcPr>
            <w:tcW w:w="2606" w:type="dxa"/>
            <w:tcBorders>
              <w:top w:val="nil"/>
              <w:left w:val="single" w:sz="12" w:space="0" w:color="FFFFFF"/>
              <w:bottom w:val="single" w:sz="12" w:space="0" w:color="FFFFFF"/>
              <w:right w:val="single" w:sz="12" w:space="0" w:color="FFFFFF"/>
            </w:tcBorders>
            <w:shd w:val="clear" w:color="000000" w:fill="F2F2F2"/>
            <w:vAlign w:val="center"/>
            <w:hideMark/>
          </w:tcPr>
          <w:p w14:paraId="387835BB" w14:textId="77777777" w:rsidR="00116475" w:rsidRPr="00CC146C" w:rsidRDefault="00116475" w:rsidP="00116475">
            <w:pPr>
              <w:spacing w:after="0" w:line="240" w:lineRule="auto"/>
              <w:rPr>
                <w:rFonts w:cs="Calibri"/>
                <w:color w:val="000000"/>
                <w:sz w:val="20"/>
                <w:szCs w:val="20"/>
                <w:lang w:eastAsia="sk-SK"/>
              </w:rPr>
            </w:pPr>
            <w:r w:rsidRPr="00CC146C">
              <w:rPr>
                <w:rFonts w:cs="Calibri"/>
                <w:color w:val="000000"/>
                <w:sz w:val="20"/>
                <w:szCs w:val="20"/>
                <w:lang w:eastAsia="sk-SK"/>
              </w:rPr>
              <w:t xml:space="preserve">Tuzemské kapitálové </w:t>
            </w:r>
          </w:p>
        </w:tc>
        <w:tc>
          <w:tcPr>
            <w:tcW w:w="1456" w:type="dxa"/>
            <w:tcBorders>
              <w:top w:val="nil"/>
              <w:left w:val="nil"/>
              <w:bottom w:val="single" w:sz="12" w:space="0" w:color="FFFFFF"/>
              <w:right w:val="single" w:sz="12" w:space="0" w:color="FFFFFF"/>
            </w:tcBorders>
            <w:shd w:val="clear" w:color="000000" w:fill="F2F2F2"/>
            <w:vAlign w:val="center"/>
            <w:hideMark/>
          </w:tcPr>
          <w:p w14:paraId="76B21E12" w14:textId="755D731D" w:rsidR="00116475" w:rsidRDefault="00116475" w:rsidP="00116475">
            <w:pPr>
              <w:jc w:val="right"/>
              <w:rPr>
                <w:rFonts w:cs="Calibri"/>
                <w:color w:val="000000"/>
                <w:sz w:val="20"/>
                <w:szCs w:val="20"/>
              </w:rPr>
            </w:pPr>
            <w:r>
              <w:rPr>
                <w:rFonts w:cs="Calibri"/>
                <w:color w:val="000000"/>
                <w:sz w:val="20"/>
                <w:szCs w:val="20"/>
              </w:rPr>
              <w:t>11 024 851,43</w:t>
            </w:r>
          </w:p>
        </w:tc>
        <w:tc>
          <w:tcPr>
            <w:tcW w:w="1453" w:type="dxa"/>
            <w:tcBorders>
              <w:top w:val="nil"/>
              <w:left w:val="nil"/>
              <w:bottom w:val="single" w:sz="12" w:space="0" w:color="FFFFFF"/>
              <w:right w:val="single" w:sz="12" w:space="0" w:color="FFFFFF"/>
            </w:tcBorders>
            <w:shd w:val="clear" w:color="000000" w:fill="F2F2F2"/>
            <w:vAlign w:val="center"/>
          </w:tcPr>
          <w:p w14:paraId="2A38A242" w14:textId="1D161B9E" w:rsidR="00116475" w:rsidRDefault="00116475" w:rsidP="00116475">
            <w:pPr>
              <w:jc w:val="right"/>
              <w:rPr>
                <w:rFonts w:cs="Calibri"/>
                <w:color w:val="000000"/>
                <w:sz w:val="20"/>
                <w:szCs w:val="20"/>
              </w:rPr>
            </w:pPr>
            <w:r>
              <w:rPr>
                <w:rFonts w:cs="Calibri"/>
                <w:color w:val="000000"/>
                <w:sz w:val="20"/>
                <w:szCs w:val="20"/>
              </w:rPr>
              <w:t>10 712 450,55</w:t>
            </w:r>
          </w:p>
        </w:tc>
        <w:tc>
          <w:tcPr>
            <w:tcW w:w="1456" w:type="dxa"/>
            <w:tcBorders>
              <w:top w:val="nil"/>
              <w:left w:val="nil"/>
              <w:bottom w:val="single" w:sz="12" w:space="0" w:color="FFFFFF"/>
              <w:right w:val="single" w:sz="12" w:space="0" w:color="FFFFFF"/>
            </w:tcBorders>
            <w:shd w:val="clear" w:color="000000" w:fill="F2F2F2"/>
            <w:vAlign w:val="center"/>
          </w:tcPr>
          <w:p w14:paraId="59B5926B" w14:textId="742E4E71" w:rsidR="00116475" w:rsidRDefault="00116475" w:rsidP="00116475">
            <w:pPr>
              <w:jc w:val="right"/>
              <w:rPr>
                <w:rFonts w:cs="Calibri"/>
                <w:color w:val="000000"/>
                <w:sz w:val="20"/>
                <w:szCs w:val="20"/>
              </w:rPr>
            </w:pPr>
            <w:r>
              <w:rPr>
                <w:rFonts w:cs="Calibri"/>
                <w:color w:val="000000"/>
                <w:sz w:val="20"/>
                <w:szCs w:val="20"/>
              </w:rPr>
              <w:t>11 121 297,70</w:t>
            </w:r>
          </w:p>
        </w:tc>
        <w:tc>
          <w:tcPr>
            <w:tcW w:w="1457" w:type="dxa"/>
            <w:tcBorders>
              <w:top w:val="nil"/>
              <w:left w:val="nil"/>
              <w:bottom w:val="single" w:sz="12" w:space="0" w:color="FFFFFF"/>
              <w:right w:val="single" w:sz="12" w:space="0" w:color="FFFFFF"/>
            </w:tcBorders>
            <w:shd w:val="clear" w:color="000000" w:fill="F2F2F2"/>
            <w:vAlign w:val="center"/>
          </w:tcPr>
          <w:p w14:paraId="25BF07E9" w14:textId="2F844149" w:rsidR="00116475" w:rsidRDefault="00116475" w:rsidP="00116475">
            <w:pPr>
              <w:jc w:val="right"/>
              <w:rPr>
                <w:rFonts w:cs="Calibri"/>
                <w:color w:val="000000"/>
                <w:sz w:val="20"/>
                <w:szCs w:val="20"/>
              </w:rPr>
            </w:pPr>
            <w:r>
              <w:rPr>
                <w:rFonts w:cs="Calibri"/>
                <w:color w:val="000000"/>
                <w:sz w:val="20"/>
                <w:szCs w:val="20"/>
              </w:rPr>
              <w:t>3 221 116,78</w:t>
            </w:r>
          </w:p>
        </w:tc>
        <w:tc>
          <w:tcPr>
            <w:tcW w:w="1247" w:type="dxa"/>
            <w:tcBorders>
              <w:top w:val="nil"/>
              <w:left w:val="nil"/>
              <w:bottom w:val="single" w:sz="12" w:space="0" w:color="FFFFFF"/>
              <w:right w:val="single" w:sz="12" w:space="0" w:color="FFFFFF"/>
            </w:tcBorders>
            <w:shd w:val="clear" w:color="000000" w:fill="F2F2F2"/>
            <w:vAlign w:val="center"/>
          </w:tcPr>
          <w:p w14:paraId="2C9F44D8" w14:textId="7FC94749" w:rsidR="00116475" w:rsidRDefault="00116475" w:rsidP="00116475">
            <w:pPr>
              <w:jc w:val="right"/>
              <w:rPr>
                <w:rFonts w:cs="Calibri"/>
                <w:color w:val="000000"/>
                <w:sz w:val="20"/>
                <w:szCs w:val="20"/>
              </w:rPr>
            </w:pPr>
            <w:r>
              <w:rPr>
                <w:rFonts w:cs="Calibri"/>
                <w:color w:val="000000"/>
                <w:sz w:val="20"/>
                <w:szCs w:val="20"/>
              </w:rPr>
              <w:t>28,96%</w:t>
            </w:r>
          </w:p>
        </w:tc>
        <w:tc>
          <w:tcPr>
            <w:tcW w:w="1330" w:type="dxa"/>
            <w:tcBorders>
              <w:top w:val="nil"/>
              <w:left w:val="nil"/>
              <w:bottom w:val="single" w:sz="12" w:space="0" w:color="FFFFFF"/>
              <w:right w:val="single" w:sz="12" w:space="0" w:color="FFFFFF"/>
            </w:tcBorders>
            <w:shd w:val="clear" w:color="000000" w:fill="F2F2F2"/>
            <w:vAlign w:val="center"/>
          </w:tcPr>
          <w:p w14:paraId="7520EC14" w14:textId="67C0BD71" w:rsidR="00116475" w:rsidRDefault="00116475" w:rsidP="00116475">
            <w:pPr>
              <w:jc w:val="right"/>
              <w:rPr>
                <w:rFonts w:cs="Calibri"/>
                <w:color w:val="000000"/>
                <w:sz w:val="20"/>
                <w:szCs w:val="20"/>
              </w:rPr>
            </w:pPr>
            <w:r>
              <w:rPr>
                <w:rFonts w:cs="Calibri"/>
                <w:color w:val="000000"/>
                <w:sz w:val="20"/>
                <w:szCs w:val="20"/>
              </w:rPr>
              <w:t> </w:t>
            </w:r>
          </w:p>
        </w:tc>
      </w:tr>
      <w:tr w:rsidR="00116475" w:rsidRPr="00CC146C" w14:paraId="44A1E6BF" w14:textId="77777777" w:rsidTr="001A2B4D">
        <w:trPr>
          <w:cantSplit/>
          <w:trHeight w:val="330"/>
        </w:trPr>
        <w:tc>
          <w:tcPr>
            <w:tcW w:w="2606" w:type="dxa"/>
            <w:tcBorders>
              <w:top w:val="nil"/>
              <w:left w:val="single" w:sz="12" w:space="0" w:color="FFFFFF"/>
              <w:bottom w:val="single" w:sz="12" w:space="0" w:color="FFFFFF"/>
              <w:right w:val="single" w:sz="12" w:space="0" w:color="FFFFFF"/>
            </w:tcBorders>
            <w:shd w:val="clear" w:color="000000" w:fill="BFBFBF"/>
            <w:vAlign w:val="center"/>
            <w:hideMark/>
          </w:tcPr>
          <w:p w14:paraId="2A422C4E" w14:textId="77777777" w:rsidR="00116475" w:rsidRPr="00CC146C" w:rsidRDefault="00116475" w:rsidP="00116475">
            <w:pPr>
              <w:spacing w:after="0" w:line="240" w:lineRule="auto"/>
              <w:rPr>
                <w:rFonts w:cs="Calibri"/>
                <w:b/>
                <w:bCs/>
                <w:sz w:val="20"/>
                <w:szCs w:val="20"/>
                <w:lang w:eastAsia="sk-SK"/>
              </w:rPr>
            </w:pPr>
            <w:r w:rsidRPr="00CC146C">
              <w:rPr>
                <w:rFonts w:cs="Calibri"/>
                <w:b/>
                <w:bCs/>
                <w:sz w:val="20"/>
                <w:szCs w:val="20"/>
                <w:lang w:eastAsia="sk-SK"/>
              </w:rPr>
              <w:t>Celkom</w:t>
            </w:r>
          </w:p>
        </w:tc>
        <w:tc>
          <w:tcPr>
            <w:tcW w:w="1456" w:type="dxa"/>
            <w:tcBorders>
              <w:top w:val="nil"/>
              <w:left w:val="nil"/>
              <w:bottom w:val="single" w:sz="12" w:space="0" w:color="FFFFFF"/>
              <w:right w:val="single" w:sz="12" w:space="0" w:color="FFFFFF"/>
            </w:tcBorders>
            <w:shd w:val="clear" w:color="000000" w:fill="BFBFBF"/>
            <w:vAlign w:val="center"/>
            <w:hideMark/>
          </w:tcPr>
          <w:p w14:paraId="47AA8068" w14:textId="2B1FC95B" w:rsidR="00116475" w:rsidRDefault="00116475" w:rsidP="00116475">
            <w:pPr>
              <w:jc w:val="right"/>
              <w:rPr>
                <w:rFonts w:cs="Calibri"/>
                <w:b/>
                <w:bCs/>
                <w:color w:val="000000"/>
                <w:sz w:val="18"/>
                <w:szCs w:val="18"/>
              </w:rPr>
            </w:pPr>
            <w:r>
              <w:rPr>
                <w:rFonts w:cs="Calibri"/>
                <w:b/>
                <w:bCs/>
                <w:color w:val="000000"/>
                <w:sz w:val="18"/>
                <w:szCs w:val="18"/>
              </w:rPr>
              <w:t>65 491 839,59</w:t>
            </w:r>
          </w:p>
        </w:tc>
        <w:tc>
          <w:tcPr>
            <w:tcW w:w="1453" w:type="dxa"/>
            <w:tcBorders>
              <w:top w:val="nil"/>
              <w:left w:val="nil"/>
              <w:bottom w:val="single" w:sz="12" w:space="0" w:color="FFFFFF"/>
              <w:right w:val="single" w:sz="12" w:space="0" w:color="FFFFFF"/>
            </w:tcBorders>
            <w:shd w:val="clear" w:color="000000" w:fill="BFBFBF"/>
            <w:vAlign w:val="center"/>
          </w:tcPr>
          <w:p w14:paraId="730CE7FA" w14:textId="7D7C76A8" w:rsidR="00116475" w:rsidRDefault="00116475" w:rsidP="00116475">
            <w:pPr>
              <w:jc w:val="right"/>
              <w:rPr>
                <w:rFonts w:cs="Calibri"/>
                <w:b/>
                <w:bCs/>
                <w:color w:val="000000"/>
                <w:sz w:val="18"/>
                <w:szCs w:val="18"/>
              </w:rPr>
            </w:pPr>
            <w:r>
              <w:rPr>
                <w:rFonts w:cs="Calibri"/>
                <w:b/>
                <w:bCs/>
                <w:color w:val="000000"/>
                <w:sz w:val="18"/>
                <w:szCs w:val="18"/>
              </w:rPr>
              <w:t>73 428 887,80</w:t>
            </w:r>
          </w:p>
        </w:tc>
        <w:tc>
          <w:tcPr>
            <w:tcW w:w="1456" w:type="dxa"/>
            <w:tcBorders>
              <w:top w:val="nil"/>
              <w:left w:val="nil"/>
              <w:bottom w:val="single" w:sz="12" w:space="0" w:color="FFFFFF"/>
              <w:right w:val="single" w:sz="12" w:space="0" w:color="FFFFFF"/>
            </w:tcBorders>
            <w:shd w:val="clear" w:color="000000" w:fill="BFBFBF"/>
            <w:vAlign w:val="center"/>
          </w:tcPr>
          <w:p w14:paraId="512C45A0" w14:textId="2AE0F9A1" w:rsidR="00116475" w:rsidRDefault="00116475" w:rsidP="00116475">
            <w:pPr>
              <w:jc w:val="right"/>
              <w:rPr>
                <w:rFonts w:cs="Calibri"/>
                <w:b/>
                <w:bCs/>
                <w:color w:val="000000"/>
                <w:sz w:val="18"/>
                <w:szCs w:val="18"/>
              </w:rPr>
            </w:pPr>
            <w:r>
              <w:rPr>
                <w:rFonts w:cs="Calibri"/>
                <w:b/>
                <w:bCs/>
                <w:color w:val="000000"/>
                <w:sz w:val="18"/>
                <w:szCs w:val="18"/>
              </w:rPr>
              <w:t>79 973 407,64</w:t>
            </w:r>
          </w:p>
        </w:tc>
        <w:tc>
          <w:tcPr>
            <w:tcW w:w="1457" w:type="dxa"/>
            <w:tcBorders>
              <w:top w:val="nil"/>
              <w:left w:val="nil"/>
              <w:bottom w:val="single" w:sz="12" w:space="0" w:color="FFFFFF"/>
              <w:right w:val="single" w:sz="12" w:space="0" w:color="FFFFFF"/>
            </w:tcBorders>
            <w:shd w:val="clear" w:color="000000" w:fill="BFBFBF"/>
            <w:vAlign w:val="center"/>
          </w:tcPr>
          <w:p w14:paraId="2A77E2DE" w14:textId="13D54CDD" w:rsidR="00116475" w:rsidRDefault="00116475" w:rsidP="00116475">
            <w:pPr>
              <w:jc w:val="right"/>
              <w:rPr>
                <w:rFonts w:cs="Calibri"/>
                <w:b/>
                <w:bCs/>
                <w:color w:val="000000"/>
                <w:sz w:val="18"/>
                <w:szCs w:val="18"/>
              </w:rPr>
            </w:pPr>
            <w:r>
              <w:rPr>
                <w:rFonts w:cs="Calibri"/>
                <w:b/>
                <w:bCs/>
                <w:color w:val="000000"/>
                <w:sz w:val="18"/>
                <w:szCs w:val="18"/>
              </w:rPr>
              <w:t>69 192 393,90</w:t>
            </w:r>
          </w:p>
        </w:tc>
        <w:tc>
          <w:tcPr>
            <w:tcW w:w="1247" w:type="dxa"/>
            <w:tcBorders>
              <w:top w:val="nil"/>
              <w:left w:val="nil"/>
              <w:bottom w:val="single" w:sz="12" w:space="0" w:color="FFFFFF"/>
              <w:right w:val="single" w:sz="12" w:space="0" w:color="FFFFFF"/>
            </w:tcBorders>
            <w:shd w:val="clear" w:color="000000" w:fill="BFBFBF"/>
            <w:vAlign w:val="center"/>
          </w:tcPr>
          <w:p w14:paraId="54472D06" w14:textId="78F276AD" w:rsidR="00116475" w:rsidRDefault="00116475" w:rsidP="00116475">
            <w:pPr>
              <w:jc w:val="right"/>
              <w:rPr>
                <w:rFonts w:cs="Calibri"/>
                <w:b/>
                <w:bCs/>
                <w:color w:val="000000"/>
                <w:sz w:val="18"/>
                <w:szCs w:val="18"/>
              </w:rPr>
            </w:pPr>
            <w:r>
              <w:rPr>
                <w:rFonts w:cs="Calibri"/>
                <w:b/>
                <w:bCs/>
                <w:color w:val="000000"/>
                <w:sz w:val="18"/>
                <w:szCs w:val="18"/>
              </w:rPr>
              <w:t>86,52%</w:t>
            </w:r>
          </w:p>
        </w:tc>
        <w:tc>
          <w:tcPr>
            <w:tcW w:w="1330" w:type="dxa"/>
            <w:tcBorders>
              <w:top w:val="nil"/>
              <w:left w:val="nil"/>
              <w:bottom w:val="single" w:sz="12" w:space="0" w:color="FFFFFF"/>
              <w:right w:val="single" w:sz="12" w:space="0" w:color="FFFFFF"/>
            </w:tcBorders>
            <w:shd w:val="clear" w:color="000000" w:fill="BFBFBF"/>
            <w:vAlign w:val="center"/>
          </w:tcPr>
          <w:p w14:paraId="499718DE" w14:textId="08BFB420" w:rsidR="00116475" w:rsidRDefault="00116475" w:rsidP="00116475">
            <w:pPr>
              <w:jc w:val="right"/>
              <w:rPr>
                <w:rFonts w:cs="Calibri"/>
                <w:b/>
                <w:bCs/>
                <w:color w:val="000000"/>
                <w:sz w:val="18"/>
                <w:szCs w:val="18"/>
              </w:rPr>
            </w:pPr>
            <w:r>
              <w:rPr>
                <w:rFonts w:cs="Calibri"/>
                <w:b/>
                <w:bCs/>
                <w:color w:val="000000"/>
                <w:sz w:val="18"/>
                <w:szCs w:val="18"/>
              </w:rPr>
              <w:t>6 544 519,84</w:t>
            </w:r>
          </w:p>
        </w:tc>
      </w:tr>
    </w:tbl>
    <w:p w14:paraId="121E0F05" w14:textId="4FE1F3CE" w:rsidR="00BE704E" w:rsidRDefault="00BE704E" w:rsidP="00761018">
      <w:pPr>
        <w:spacing w:before="240" w:after="120" w:line="240" w:lineRule="auto"/>
        <w:jc w:val="both"/>
        <w:rPr>
          <w:rFonts w:cs="Calibri"/>
          <w:sz w:val="24"/>
          <w:szCs w:val="24"/>
        </w:rPr>
      </w:pPr>
      <w:r w:rsidRPr="00FE12E0">
        <w:rPr>
          <w:rFonts w:cs="Calibri"/>
          <w:sz w:val="24"/>
          <w:szCs w:val="24"/>
        </w:rPr>
        <w:t>Objemovo najdôležitejšou časťou týchto príjmov</w:t>
      </w:r>
      <w:r w:rsidRPr="00BC3294">
        <w:rPr>
          <w:rFonts w:cs="Calibri"/>
          <w:sz w:val="24"/>
          <w:szCs w:val="24"/>
        </w:rPr>
        <w:t xml:space="preserve"> boli prostriedky</w:t>
      </w:r>
      <w:r>
        <w:rPr>
          <w:rFonts w:cs="Calibri"/>
          <w:sz w:val="24"/>
          <w:szCs w:val="24"/>
        </w:rPr>
        <w:t xml:space="preserve"> poskytnuté </w:t>
      </w:r>
      <w:r w:rsidRPr="001A3908">
        <w:rPr>
          <w:rFonts w:cs="Calibri"/>
          <w:sz w:val="24"/>
          <w:szCs w:val="24"/>
        </w:rPr>
        <w:t xml:space="preserve">najmä </w:t>
      </w:r>
      <w:r w:rsidRPr="00C10AF1">
        <w:rPr>
          <w:rFonts w:cs="Calibri"/>
          <w:sz w:val="24"/>
          <w:szCs w:val="24"/>
        </w:rPr>
        <w:t>zo štátneho</w:t>
      </w:r>
      <w:r w:rsidRPr="001A3908">
        <w:rPr>
          <w:rFonts w:cs="Calibri"/>
          <w:b/>
          <w:sz w:val="24"/>
          <w:szCs w:val="24"/>
        </w:rPr>
        <w:t xml:space="preserve"> </w:t>
      </w:r>
      <w:r w:rsidRPr="00C10AF1">
        <w:rPr>
          <w:rFonts w:cs="Calibri"/>
          <w:sz w:val="24"/>
          <w:szCs w:val="24"/>
        </w:rPr>
        <w:t xml:space="preserve">rozpočtu </w:t>
      </w:r>
      <w:r>
        <w:rPr>
          <w:rFonts w:cs="Calibri"/>
          <w:sz w:val="24"/>
          <w:szCs w:val="24"/>
        </w:rPr>
        <w:t xml:space="preserve">z </w:t>
      </w:r>
      <w:r w:rsidRPr="00C10AF1">
        <w:rPr>
          <w:rFonts w:cs="Calibri"/>
          <w:sz w:val="24"/>
          <w:szCs w:val="24"/>
        </w:rPr>
        <w:t>kapitoly Ministerstva školstva, vedy, výskumu a športu SR na financovanie vzdelávania na stredných školách, ku ktorým zriaďovateľskú funkciu plní BSK a na zabezpečenie prevádzky týchto škôl</w:t>
      </w:r>
      <w:r>
        <w:rPr>
          <w:rFonts w:cs="Calibri"/>
          <w:sz w:val="24"/>
          <w:szCs w:val="24"/>
        </w:rPr>
        <w:t xml:space="preserve"> </w:t>
      </w:r>
      <w:r w:rsidRPr="001A3908">
        <w:rPr>
          <w:rFonts w:cs="Calibri"/>
          <w:sz w:val="24"/>
          <w:szCs w:val="24"/>
        </w:rPr>
        <w:t xml:space="preserve">v celkovej výške </w:t>
      </w:r>
      <w:r w:rsidR="00F22874">
        <w:rPr>
          <w:rFonts w:cs="Calibri"/>
          <w:sz w:val="24"/>
          <w:szCs w:val="24"/>
        </w:rPr>
        <w:t>61 760 700,77</w:t>
      </w:r>
      <w:r w:rsidR="00D3558C">
        <w:rPr>
          <w:rFonts w:cs="Calibri"/>
          <w:sz w:val="24"/>
          <w:szCs w:val="24"/>
        </w:rPr>
        <w:t xml:space="preserve"> EUR (normatívne a nenormatívne prostriedky zo ŠR).</w:t>
      </w:r>
    </w:p>
    <w:p w14:paraId="2633004B" w14:textId="77777777" w:rsidR="00BE704E" w:rsidRDefault="00BE704E" w:rsidP="00761018">
      <w:pPr>
        <w:spacing w:line="240" w:lineRule="auto"/>
        <w:jc w:val="both"/>
        <w:rPr>
          <w:rFonts w:cs="Calibri"/>
          <w:sz w:val="24"/>
          <w:szCs w:val="24"/>
        </w:rPr>
      </w:pPr>
      <w:r w:rsidRPr="006D0BCE">
        <w:rPr>
          <w:rFonts w:cs="Calibri"/>
          <w:sz w:val="24"/>
          <w:szCs w:val="24"/>
        </w:rPr>
        <w:t xml:space="preserve">Prehľad </w:t>
      </w:r>
      <w:r>
        <w:rPr>
          <w:rFonts w:cs="Calibri"/>
          <w:sz w:val="24"/>
          <w:szCs w:val="24"/>
        </w:rPr>
        <w:t>bežných grantov a transferov (</w:t>
      </w:r>
      <w:r w:rsidRPr="006D0BCE">
        <w:rPr>
          <w:rFonts w:cs="Calibri"/>
          <w:sz w:val="24"/>
          <w:szCs w:val="24"/>
        </w:rPr>
        <w:t>účelových dotácií</w:t>
      </w:r>
      <w:r>
        <w:rPr>
          <w:rFonts w:cs="Calibri"/>
          <w:sz w:val="24"/>
          <w:szCs w:val="24"/>
        </w:rPr>
        <w:t>)</w:t>
      </w:r>
      <w:r w:rsidRPr="006D0BCE">
        <w:rPr>
          <w:rFonts w:cs="Calibri"/>
          <w:sz w:val="24"/>
          <w:szCs w:val="24"/>
        </w:rPr>
        <w:t xml:space="preserve"> uvádza nasledovná tabuľka:</w:t>
      </w:r>
    </w:p>
    <w:tbl>
      <w:tblPr>
        <w:tblW w:w="5000" w:type="pct"/>
        <w:tblCellMar>
          <w:left w:w="70" w:type="dxa"/>
          <w:right w:w="70" w:type="dxa"/>
        </w:tblCellMar>
        <w:tblLook w:val="04A0" w:firstRow="1" w:lastRow="0" w:firstColumn="1" w:lastColumn="0" w:noHBand="0" w:noVBand="1"/>
      </w:tblPr>
      <w:tblGrid>
        <w:gridCol w:w="4951"/>
        <w:gridCol w:w="1417"/>
        <w:gridCol w:w="1415"/>
        <w:gridCol w:w="1415"/>
        <w:gridCol w:w="1238"/>
      </w:tblGrid>
      <w:tr w:rsidR="00D3558C" w:rsidRPr="00D3558C" w14:paraId="7FFFEB2A" w14:textId="77777777" w:rsidTr="00C80054">
        <w:trPr>
          <w:trHeight w:val="735"/>
          <w:tblHeader/>
        </w:trPr>
        <w:tc>
          <w:tcPr>
            <w:tcW w:w="2372" w:type="pct"/>
            <w:vMerge w:val="restart"/>
            <w:tcBorders>
              <w:top w:val="nil"/>
              <w:left w:val="single" w:sz="12" w:space="0" w:color="FFFFFF"/>
              <w:bottom w:val="single" w:sz="12" w:space="0" w:color="FFFFFF"/>
              <w:right w:val="single" w:sz="12" w:space="0" w:color="FFFFFF"/>
            </w:tcBorders>
            <w:shd w:val="clear" w:color="000000" w:fill="8DB3E2"/>
            <w:vAlign w:val="center"/>
            <w:hideMark/>
          </w:tcPr>
          <w:p w14:paraId="0D9F100C" w14:textId="77777777" w:rsidR="00D3558C" w:rsidRPr="00D3558C" w:rsidRDefault="00D3558C" w:rsidP="00D3558C">
            <w:pPr>
              <w:spacing w:after="0" w:line="240" w:lineRule="auto"/>
              <w:jc w:val="center"/>
              <w:rPr>
                <w:rFonts w:cs="Calibri"/>
                <w:b/>
                <w:bCs/>
                <w:color w:val="000000"/>
                <w:sz w:val="20"/>
                <w:szCs w:val="20"/>
                <w:lang w:eastAsia="sk-SK"/>
              </w:rPr>
            </w:pPr>
            <w:r w:rsidRPr="00D3558C">
              <w:rPr>
                <w:rFonts w:cs="Calibri"/>
                <w:b/>
                <w:bCs/>
                <w:color w:val="000000"/>
                <w:sz w:val="20"/>
                <w:szCs w:val="20"/>
                <w:lang w:eastAsia="sk-SK"/>
              </w:rPr>
              <w:t>Účelová dotácia</w:t>
            </w:r>
          </w:p>
        </w:tc>
        <w:tc>
          <w:tcPr>
            <w:tcW w:w="679" w:type="pct"/>
            <w:tcBorders>
              <w:top w:val="single" w:sz="12" w:space="0" w:color="FFFFFF"/>
              <w:left w:val="nil"/>
              <w:bottom w:val="nil"/>
              <w:right w:val="single" w:sz="12" w:space="0" w:color="FFFFFF"/>
            </w:tcBorders>
            <w:shd w:val="clear" w:color="000000" w:fill="8DB3E2"/>
            <w:vAlign w:val="center"/>
            <w:hideMark/>
          </w:tcPr>
          <w:p w14:paraId="2A3744D3" w14:textId="2AF2A69B"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Schválený rozpočet 20</w:t>
            </w:r>
            <w:r w:rsidR="004A42ED">
              <w:rPr>
                <w:rFonts w:cs="Calibri"/>
                <w:b/>
                <w:bCs/>
                <w:color w:val="000000"/>
                <w:sz w:val="18"/>
                <w:szCs w:val="18"/>
                <w:lang w:eastAsia="sk-SK"/>
              </w:rPr>
              <w:t>20</w:t>
            </w:r>
          </w:p>
        </w:tc>
        <w:tc>
          <w:tcPr>
            <w:tcW w:w="678" w:type="pct"/>
            <w:tcBorders>
              <w:top w:val="single" w:sz="12" w:space="0" w:color="FFFFFF"/>
              <w:left w:val="nil"/>
              <w:bottom w:val="nil"/>
              <w:right w:val="single" w:sz="12" w:space="0" w:color="FFFFFF"/>
            </w:tcBorders>
            <w:shd w:val="clear" w:color="000000" w:fill="8DB3E2"/>
            <w:vAlign w:val="center"/>
            <w:hideMark/>
          </w:tcPr>
          <w:p w14:paraId="2558096D" w14:textId="60F89BA7"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Zmenený rozpočet k 31.12.20</w:t>
            </w:r>
            <w:r w:rsidR="004A42ED">
              <w:rPr>
                <w:rFonts w:cs="Calibri"/>
                <w:b/>
                <w:bCs/>
                <w:color w:val="000000"/>
                <w:sz w:val="18"/>
                <w:szCs w:val="18"/>
                <w:lang w:eastAsia="sk-SK"/>
              </w:rPr>
              <w:t>20</w:t>
            </w:r>
          </w:p>
        </w:tc>
        <w:tc>
          <w:tcPr>
            <w:tcW w:w="678" w:type="pct"/>
            <w:tcBorders>
              <w:top w:val="single" w:sz="12" w:space="0" w:color="FFFFFF"/>
              <w:left w:val="nil"/>
              <w:bottom w:val="nil"/>
              <w:right w:val="single" w:sz="12" w:space="0" w:color="FFFFFF"/>
            </w:tcBorders>
            <w:shd w:val="clear" w:color="000000" w:fill="8DB3E2"/>
            <w:vAlign w:val="center"/>
            <w:hideMark/>
          </w:tcPr>
          <w:p w14:paraId="3D6E6BF8" w14:textId="61E8C3A9"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Plnenie rozpočtu k 31.12.20</w:t>
            </w:r>
            <w:r w:rsidR="004A42ED">
              <w:rPr>
                <w:rFonts w:cs="Calibri"/>
                <w:b/>
                <w:bCs/>
                <w:color w:val="000000"/>
                <w:sz w:val="18"/>
                <w:szCs w:val="18"/>
                <w:lang w:eastAsia="sk-SK"/>
              </w:rPr>
              <w:t>20</w:t>
            </w:r>
          </w:p>
        </w:tc>
        <w:tc>
          <w:tcPr>
            <w:tcW w:w="593" w:type="pct"/>
            <w:tcBorders>
              <w:top w:val="nil"/>
              <w:left w:val="nil"/>
              <w:bottom w:val="nil"/>
              <w:right w:val="single" w:sz="12" w:space="0" w:color="FFFFFF"/>
            </w:tcBorders>
            <w:shd w:val="clear" w:color="000000" w:fill="8DB3E2"/>
            <w:vAlign w:val="center"/>
            <w:hideMark/>
          </w:tcPr>
          <w:p w14:paraId="5030ECF9" w14:textId="77777777"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 plnenie k zmenený rozpočtu</w:t>
            </w:r>
          </w:p>
        </w:tc>
      </w:tr>
      <w:tr w:rsidR="00D3558C" w:rsidRPr="00D3558C" w14:paraId="1352C6F3" w14:textId="77777777" w:rsidTr="00C80054">
        <w:trPr>
          <w:trHeight w:val="315"/>
        </w:trPr>
        <w:tc>
          <w:tcPr>
            <w:tcW w:w="2372" w:type="pct"/>
            <w:vMerge/>
            <w:tcBorders>
              <w:top w:val="nil"/>
              <w:left w:val="single" w:sz="12" w:space="0" w:color="FFFFFF"/>
              <w:bottom w:val="single" w:sz="12" w:space="0" w:color="FFFFFF"/>
              <w:right w:val="single" w:sz="12" w:space="0" w:color="FFFFFF"/>
            </w:tcBorders>
            <w:vAlign w:val="center"/>
            <w:hideMark/>
          </w:tcPr>
          <w:p w14:paraId="17ED9AE1" w14:textId="77777777" w:rsidR="00D3558C" w:rsidRPr="00D3558C" w:rsidRDefault="00D3558C" w:rsidP="00D3558C">
            <w:pPr>
              <w:spacing w:after="0" w:line="240" w:lineRule="auto"/>
              <w:rPr>
                <w:rFonts w:cs="Calibri"/>
                <w:b/>
                <w:bCs/>
                <w:color w:val="000000"/>
                <w:sz w:val="20"/>
                <w:szCs w:val="20"/>
                <w:lang w:eastAsia="sk-SK"/>
              </w:rPr>
            </w:pPr>
          </w:p>
        </w:tc>
        <w:tc>
          <w:tcPr>
            <w:tcW w:w="679" w:type="pct"/>
            <w:tcBorders>
              <w:top w:val="nil"/>
              <w:left w:val="nil"/>
              <w:bottom w:val="nil"/>
              <w:right w:val="single" w:sz="12" w:space="0" w:color="FFFFFF"/>
            </w:tcBorders>
            <w:shd w:val="clear" w:color="000000" w:fill="8DB3E2"/>
            <w:vAlign w:val="center"/>
            <w:hideMark/>
          </w:tcPr>
          <w:p w14:paraId="115B5D84" w14:textId="77777777"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 xml:space="preserve"> v EUR</w:t>
            </w:r>
          </w:p>
        </w:tc>
        <w:tc>
          <w:tcPr>
            <w:tcW w:w="678" w:type="pct"/>
            <w:tcBorders>
              <w:top w:val="nil"/>
              <w:left w:val="nil"/>
              <w:bottom w:val="nil"/>
              <w:right w:val="single" w:sz="12" w:space="0" w:color="FFFFFF"/>
            </w:tcBorders>
            <w:shd w:val="clear" w:color="000000" w:fill="8DB3E2"/>
            <w:vAlign w:val="center"/>
            <w:hideMark/>
          </w:tcPr>
          <w:p w14:paraId="791F5822" w14:textId="77777777"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v EUR</w:t>
            </w:r>
          </w:p>
        </w:tc>
        <w:tc>
          <w:tcPr>
            <w:tcW w:w="678" w:type="pct"/>
            <w:tcBorders>
              <w:top w:val="nil"/>
              <w:left w:val="nil"/>
              <w:bottom w:val="nil"/>
              <w:right w:val="single" w:sz="12" w:space="0" w:color="FFFFFF"/>
            </w:tcBorders>
            <w:shd w:val="clear" w:color="000000" w:fill="8DB3E2"/>
            <w:vAlign w:val="center"/>
            <w:hideMark/>
          </w:tcPr>
          <w:p w14:paraId="4284FF9F" w14:textId="77777777"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v EUR</w:t>
            </w:r>
          </w:p>
        </w:tc>
        <w:tc>
          <w:tcPr>
            <w:tcW w:w="593" w:type="pct"/>
            <w:tcBorders>
              <w:top w:val="nil"/>
              <w:left w:val="nil"/>
              <w:bottom w:val="nil"/>
              <w:right w:val="single" w:sz="12" w:space="0" w:color="FFFFFF"/>
            </w:tcBorders>
            <w:shd w:val="clear" w:color="000000" w:fill="8DB3E2"/>
            <w:vAlign w:val="center"/>
            <w:hideMark/>
          </w:tcPr>
          <w:p w14:paraId="034F4690" w14:textId="77777777" w:rsidR="00D3558C" w:rsidRPr="00D3558C" w:rsidRDefault="00D3558C" w:rsidP="00D3558C">
            <w:pPr>
              <w:spacing w:after="0" w:line="240" w:lineRule="auto"/>
              <w:jc w:val="center"/>
              <w:rPr>
                <w:rFonts w:cs="Calibri"/>
                <w:b/>
                <w:bCs/>
                <w:color w:val="000000"/>
                <w:sz w:val="18"/>
                <w:szCs w:val="18"/>
                <w:lang w:eastAsia="sk-SK"/>
              </w:rPr>
            </w:pPr>
            <w:r w:rsidRPr="00D3558C">
              <w:rPr>
                <w:rFonts w:cs="Calibri"/>
                <w:b/>
                <w:bCs/>
                <w:color w:val="000000"/>
                <w:sz w:val="18"/>
                <w:szCs w:val="18"/>
                <w:lang w:eastAsia="sk-SK"/>
              </w:rPr>
              <w:t> </w:t>
            </w:r>
          </w:p>
        </w:tc>
      </w:tr>
      <w:tr w:rsidR="00D24E56" w:rsidRPr="00D3558C" w14:paraId="38FF12A0" w14:textId="77777777" w:rsidTr="004A42ED">
        <w:trPr>
          <w:trHeight w:val="499"/>
        </w:trPr>
        <w:tc>
          <w:tcPr>
            <w:tcW w:w="2372" w:type="pct"/>
            <w:tcBorders>
              <w:top w:val="nil"/>
              <w:left w:val="single" w:sz="12" w:space="0" w:color="FFFFFF"/>
              <w:bottom w:val="single" w:sz="12" w:space="0" w:color="FFFFFF"/>
              <w:right w:val="single" w:sz="12" w:space="0" w:color="FFFFFF"/>
            </w:tcBorders>
            <w:shd w:val="clear" w:color="000000" w:fill="BFBFBF"/>
            <w:vAlign w:val="center"/>
            <w:hideMark/>
          </w:tcPr>
          <w:p w14:paraId="69A71A70" w14:textId="77777777" w:rsidR="00D24E56" w:rsidRPr="00D3558C" w:rsidRDefault="00D24E56" w:rsidP="00D24E56">
            <w:pPr>
              <w:spacing w:after="0" w:line="240" w:lineRule="auto"/>
              <w:rPr>
                <w:rFonts w:cs="Calibri"/>
                <w:b/>
                <w:bCs/>
                <w:color w:val="000000"/>
                <w:sz w:val="20"/>
                <w:szCs w:val="20"/>
                <w:lang w:eastAsia="sk-SK"/>
              </w:rPr>
            </w:pPr>
            <w:r w:rsidRPr="00D3558C">
              <w:rPr>
                <w:rFonts w:cs="Calibri"/>
                <w:b/>
                <w:bCs/>
                <w:color w:val="000000"/>
                <w:sz w:val="20"/>
                <w:szCs w:val="20"/>
                <w:lang w:eastAsia="sk-SK"/>
              </w:rPr>
              <w:t>Bežné granty a transfery</w:t>
            </w:r>
          </w:p>
        </w:tc>
        <w:tc>
          <w:tcPr>
            <w:tcW w:w="679" w:type="pct"/>
            <w:tcBorders>
              <w:top w:val="nil"/>
              <w:left w:val="nil"/>
              <w:bottom w:val="single" w:sz="12" w:space="0" w:color="FFFFFF"/>
              <w:right w:val="single" w:sz="12" w:space="0" w:color="FFFFFF"/>
            </w:tcBorders>
            <w:shd w:val="clear" w:color="000000" w:fill="BFBFBF"/>
            <w:vAlign w:val="center"/>
          </w:tcPr>
          <w:p w14:paraId="4AAE3A71" w14:textId="0293748E" w:rsidR="00D24E56" w:rsidRPr="00D3558C" w:rsidRDefault="00D24E56" w:rsidP="00D24E56">
            <w:pPr>
              <w:spacing w:after="0" w:line="240" w:lineRule="auto"/>
              <w:jc w:val="right"/>
              <w:rPr>
                <w:rFonts w:cs="Calibri"/>
                <w:b/>
                <w:bCs/>
                <w:color w:val="000000"/>
                <w:sz w:val="20"/>
                <w:szCs w:val="20"/>
                <w:lang w:eastAsia="sk-SK"/>
              </w:rPr>
            </w:pPr>
            <w:r>
              <w:rPr>
                <w:rFonts w:cs="Calibri"/>
                <w:b/>
                <w:bCs/>
                <w:color w:val="000000"/>
                <w:sz w:val="20"/>
                <w:szCs w:val="20"/>
              </w:rPr>
              <w:t>62 716 437,25</w:t>
            </w:r>
          </w:p>
        </w:tc>
        <w:tc>
          <w:tcPr>
            <w:tcW w:w="678" w:type="pct"/>
            <w:tcBorders>
              <w:top w:val="nil"/>
              <w:left w:val="nil"/>
              <w:bottom w:val="single" w:sz="12" w:space="0" w:color="FFFFFF"/>
              <w:right w:val="single" w:sz="12" w:space="0" w:color="FFFFFF"/>
            </w:tcBorders>
            <w:shd w:val="clear" w:color="000000" w:fill="BFBFBF"/>
            <w:vAlign w:val="center"/>
          </w:tcPr>
          <w:p w14:paraId="1904CF47" w14:textId="6DEB3038" w:rsidR="00D24E56" w:rsidRPr="00D3558C" w:rsidRDefault="00D24E56" w:rsidP="00D24E56">
            <w:pPr>
              <w:spacing w:after="0" w:line="240" w:lineRule="auto"/>
              <w:jc w:val="right"/>
              <w:rPr>
                <w:rFonts w:cs="Calibri"/>
                <w:b/>
                <w:bCs/>
                <w:color w:val="000000"/>
                <w:sz w:val="20"/>
                <w:szCs w:val="20"/>
                <w:lang w:eastAsia="sk-SK"/>
              </w:rPr>
            </w:pPr>
            <w:r>
              <w:rPr>
                <w:rFonts w:cs="Calibri"/>
                <w:b/>
                <w:bCs/>
                <w:color w:val="000000"/>
                <w:sz w:val="20"/>
                <w:szCs w:val="20"/>
              </w:rPr>
              <w:t>68 852 109,94</w:t>
            </w:r>
          </w:p>
        </w:tc>
        <w:tc>
          <w:tcPr>
            <w:tcW w:w="678" w:type="pct"/>
            <w:tcBorders>
              <w:top w:val="nil"/>
              <w:left w:val="nil"/>
              <w:bottom w:val="single" w:sz="12" w:space="0" w:color="FFFFFF"/>
              <w:right w:val="single" w:sz="12" w:space="0" w:color="FFFFFF"/>
            </w:tcBorders>
            <w:shd w:val="clear" w:color="000000" w:fill="BFBFBF"/>
            <w:vAlign w:val="center"/>
          </w:tcPr>
          <w:p w14:paraId="6890A28B" w14:textId="5695119B" w:rsidR="00D24E56" w:rsidRPr="00D3558C" w:rsidRDefault="003B7D4B" w:rsidP="00D24E56">
            <w:pPr>
              <w:spacing w:after="0" w:line="240" w:lineRule="auto"/>
              <w:jc w:val="right"/>
              <w:rPr>
                <w:rFonts w:cs="Calibri"/>
                <w:b/>
                <w:bCs/>
                <w:color w:val="000000"/>
                <w:sz w:val="20"/>
                <w:szCs w:val="20"/>
                <w:lang w:eastAsia="sk-SK"/>
              </w:rPr>
            </w:pPr>
            <w:r w:rsidRPr="003B7D4B">
              <w:rPr>
                <w:rFonts w:cs="Calibri"/>
                <w:b/>
                <w:bCs/>
                <w:color w:val="000000"/>
                <w:sz w:val="20"/>
                <w:szCs w:val="20"/>
              </w:rPr>
              <w:t>65 971 277,12</w:t>
            </w:r>
          </w:p>
        </w:tc>
        <w:tc>
          <w:tcPr>
            <w:tcW w:w="593" w:type="pct"/>
            <w:tcBorders>
              <w:top w:val="nil"/>
              <w:left w:val="nil"/>
              <w:bottom w:val="single" w:sz="12" w:space="0" w:color="FFFFFF"/>
              <w:right w:val="single" w:sz="12" w:space="0" w:color="FFFFFF"/>
            </w:tcBorders>
            <w:shd w:val="clear" w:color="000000" w:fill="BFBFBF"/>
            <w:vAlign w:val="center"/>
          </w:tcPr>
          <w:p w14:paraId="0FB8A0D7" w14:textId="7086C451" w:rsidR="00D24E56" w:rsidRPr="00D3558C" w:rsidRDefault="003B7D4B" w:rsidP="00D24E56">
            <w:pPr>
              <w:spacing w:after="0" w:line="240" w:lineRule="auto"/>
              <w:jc w:val="right"/>
              <w:rPr>
                <w:rFonts w:cs="Calibri"/>
                <w:b/>
                <w:bCs/>
                <w:color w:val="000000"/>
                <w:sz w:val="20"/>
                <w:szCs w:val="20"/>
                <w:lang w:eastAsia="sk-SK"/>
              </w:rPr>
            </w:pPr>
            <w:r>
              <w:rPr>
                <w:rFonts w:cs="Calibri"/>
                <w:b/>
                <w:bCs/>
                <w:color w:val="000000"/>
                <w:sz w:val="20"/>
                <w:szCs w:val="20"/>
                <w:lang w:eastAsia="sk-SK"/>
              </w:rPr>
              <w:t>95,82%</w:t>
            </w:r>
          </w:p>
        </w:tc>
      </w:tr>
      <w:tr w:rsidR="00D3558C" w:rsidRPr="00D3558C" w14:paraId="44BB7BF8"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2C7A58A5"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 xml:space="preserve">Dotácia z MŠ SR pre </w:t>
            </w:r>
            <w:proofErr w:type="spellStart"/>
            <w:r w:rsidRPr="00D3558C">
              <w:rPr>
                <w:rFonts w:cs="Calibri"/>
                <w:color w:val="000000"/>
                <w:sz w:val="18"/>
                <w:szCs w:val="18"/>
                <w:lang w:eastAsia="sk-SK"/>
              </w:rPr>
              <w:t>škol</w:t>
            </w:r>
            <w:proofErr w:type="spellEnd"/>
            <w:r w:rsidRPr="00D3558C">
              <w:rPr>
                <w:rFonts w:cs="Calibri"/>
                <w:color w:val="000000"/>
                <w:sz w:val="18"/>
                <w:szCs w:val="18"/>
                <w:lang w:eastAsia="sk-SK"/>
              </w:rPr>
              <w:t xml:space="preserve">. </w:t>
            </w:r>
            <w:proofErr w:type="spellStart"/>
            <w:r w:rsidRPr="00D3558C">
              <w:rPr>
                <w:rFonts w:cs="Calibri"/>
                <w:color w:val="000000"/>
                <w:sz w:val="18"/>
                <w:szCs w:val="18"/>
                <w:lang w:eastAsia="sk-SK"/>
              </w:rPr>
              <w:t>zar</w:t>
            </w:r>
            <w:proofErr w:type="spellEnd"/>
            <w:r w:rsidRPr="00D3558C">
              <w:rPr>
                <w:rFonts w:cs="Calibri"/>
                <w:color w:val="000000"/>
                <w:sz w:val="18"/>
                <w:szCs w:val="18"/>
                <w:lang w:eastAsia="sk-SK"/>
              </w:rPr>
              <w:t xml:space="preserve">. - normatívne </w:t>
            </w:r>
            <w:proofErr w:type="spellStart"/>
            <w:r w:rsidRPr="00D3558C">
              <w:rPr>
                <w:rFonts w:cs="Calibri"/>
                <w:color w:val="000000"/>
                <w:sz w:val="18"/>
                <w:szCs w:val="18"/>
                <w:lang w:eastAsia="sk-SK"/>
              </w:rPr>
              <w:t>finan</w:t>
            </w:r>
            <w:proofErr w:type="spellEnd"/>
            <w:r w:rsidRPr="00D3558C">
              <w:rPr>
                <w:rFonts w:cs="Calibri"/>
                <w:color w:val="000000"/>
                <w:sz w:val="18"/>
                <w:szCs w:val="18"/>
                <w:lang w:eastAsia="sk-SK"/>
              </w:rPr>
              <w:t xml:space="preserve">. </w:t>
            </w:r>
          </w:p>
        </w:tc>
        <w:tc>
          <w:tcPr>
            <w:tcW w:w="679" w:type="pct"/>
            <w:tcBorders>
              <w:top w:val="nil"/>
              <w:left w:val="nil"/>
              <w:bottom w:val="single" w:sz="12" w:space="0" w:color="FFFFFF"/>
              <w:right w:val="single" w:sz="12" w:space="0" w:color="FFFFFF"/>
            </w:tcBorders>
            <w:shd w:val="clear" w:color="000000" w:fill="D9D9D9"/>
            <w:vAlign w:val="center"/>
            <w:hideMark/>
          </w:tcPr>
          <w:p w14:paraId="6CA78795" w14:textId="20ECF3FF"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57 061 163,00</w:t>
            </w:r>
          </w:p>
        </w:tc>
        <w:tc>
          <w:tcPr>
            <w:tcW w:w="678" w:type="pct"/>
            <w:tcBorders>
              <w:top w:val="nil"/>
              <w:left w:val="nil"/>
              <w:bottom w:val="single" w:sz="12" w:space="0" w:color="FFFFFF"/>
              <w:right w:val="single" w:sz="12" w:space="0" w:color="FFFFFF"/>
            </w:tcBorders>
            <w:shd w:val="clear" w:color="000000" w:fill="D9D9D9"/>
            <w:vAlign w:val="center"/>
            <w:hideMark/>
          </w:tcPr>
          <w:p w14:paraId="72095091" w14:textId="7D6AE243"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60 329 697,77</w:t>
            </w:r>
          </w:p>
        </w:tc>
        <w:tc>
          <w:tcPr>
            <w:tcW w:w="678" w:type="pct"/>
            <w:tcBorders>
              <w:top w:val="nil"/>
              <w:left w:val="nil"/>
              <w:bottom w:val="single" w:sz="12" w:space="0" w:color="FFFFFF"/>
              <w:right w:val="single" w:sz="12" w:space="0" w:color="FFFFFF"/>
            </w:tcBorders>
            <w:shd w:val="clear" w:color="000000" w:fill="D9D9D9"/>
            <w:vAlign w:val="center"/>
            <w:hideMark/>
          </w:tcPr>
          <w:p w14:paraId="6A64CB2D" w14:textId="359ABB0D"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60 329 697,77</w:t>
            </w:r>
          </w:p>
        </w:tc>
        <w:tc>
          <w:tcPr>
            <w:tcW w:w="593" w:type="pct"/>
            <w:tcBorders>
              <w:top w:val="nil"/>
              <w:left w:val="nil"/>
              <w:bottom w:val="single" w:sz="12" w:space="0" w:color="FFFFFF"/>
              <w:right w:val="single" w:sz="12" w:space="0" w:color="FFFFFF"/>
            </w:tcBorders>
            <w:shd w:val="clear" w:color="000000" w:fill="D9D9D9"/>
            <w:vAlign w:val="center"/>
            <w:hideMark/>
          </w:tcPr>
          <w:p w14:paraId="37D36AF8"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D3558C" w:rsidRPr="00D3558C" w14:paraId="5658780B"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678FA4B2"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 xml:space="preserve">Dotácia z MŠ SR pre </w:t>
            </w:r>
            <w:proofErr w:type="spellStart"/>
            <w:r w:rsidRPr="00D3558C">
              <w:rPr>
                <w:rFonts w:cs="Calibri"/>
                <w:color w:val="000000"/>
                <w:sz w:val="18"/>
                <w:szCs w:val="18"/>
                <w:lang w:eastAsia="sk-SK"/>
              </w:rPr>
              <w:t>škol</w:t>
            </w:r>
            <w:proofErr w:type="spellEnd"/>
            <w:r w:rsidRPr="00D3558C">
              <w:rPr>
                <w:rFonts w:cs="Calibri"/>
                <w:color w:val="000000"/>
                <w:sz w:val="18"/>
                <w:szCs w:val="18"/>
                <w:lang w:eastAsia="sk-SK"/>
              </w:rPr>
              <w:t xml:space="preserve">. </w:t>
            </w:r>
            <w:proofErr w:type="spellStart"/>
            <w:r w:rsidRPr="00D3558C">
              <w:rPr>
                <w:rFonts w:cs="Calibri"/>
                <w:color w:val="000000"/>
                <w:sz w:val="18"/>
                <w:szCs w:val="18"/>
                <w:lang w:eastAsia="sk-SK"/>
              </w:rPr>
              <w:t>zar</w:t>
            </w:r>
            <w:proofErr w:type="spellEnd"/>
            <w:r w:rsidRPr="00D3558C">
              <w:rPr>
                <w:rFonts w:cs="Calibri"/>
                <w:color w:val="000000"/>
                <w:sz w:val="18"/>
                <w:szCs w:val="18"/>
                <w:lang w:eastAsia="sk-SK"/>
              </w:rPr>
              <w:t xml:space="preserve">. - nenormatívne </w:t>
            </w:r>
            <w:proofErr w:type="spellStart"/>
            <w:r w:rsidRPr="00D3558C">
              <w:rPr>
                <w:rFonts w:cs="Calibri"/>
                <w:color w:val="000000"/>
                <w:sz w:val="18"/>
                <w:szCs w:val="18"/>
                <w:lang w:eastAsia="sk-SK"/>
              </w:rPr>
              <w:t>finan</w:t>
            </w:r>
            <w:proofErr w:type="spellEnd"/>
            <w:r w:rsidRPr="00D3558C">
              <w:rPr>
                <w:rFonts w:cs="Calibri"/>
                <w:color w:val="000000"/>
                <w:sz w:val="18"/>
                <w:szCs w:val="18"/>
                <w:lang w:eastAsia="sk-SK"/>
              </w:rPr>
              <w:t xml:space="preserve">. </w:t>
            </w:r>
          </w:p>
        </w:tc>
        <w:tc>
          <w:tcPr>
            <w:tcW w:w="679" w:type="pct"/>
            <w:tcBorders>
              <w:top w:val="nil"/>
              <w:left w:val="nil"/>
              <w:bottom w:val="single" w:sz="12" w:space="0" w:color="FFFFFF"/>
              <w:right w:val="single" w:sz="12" w:space="0" w:color="FFFFFF"/>
            </w:tcBorders>
            <w:shd w:val="clear" w:color="000000" w:fill="D9D9D9"/>
            <w:vAlign w:val="center"/>
            <w:hideMark/>
          </w:tcPr>
          <w:p w14:paraId="0CAE2512" w14:textId="317CCFAD"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948 317,00</w:t>
            </w:r>
          </w:p>
        </w:tc>
        <w:tc>
          <w:tcPr>
            <w:tcW w:w="678" w:type="pct"/>
            <w:tcBorders>
              <w:top w:val="nil"/>
              <w:left w:val="nil"/>
              <w:bottom w:val="single" w:sz="12" w:space="0" w:color="FFFFFF"/>
              <w:right w:val="single" w:sz="12" w:space="0" w:color="FFFFFF"/>
            </w:tcBorders>
            <w:shd w:val="clear" w:color="000000" w:fill="D9D9D9"/>
            <w:vAlign w:val="center"/>
            <w:hideMark/>
          </w:tcPr>
          <w:p w14:paraId="0FD0E64E" w14:textId="678C5793"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1 431 003,00</w:t>
            </w:r>
          </w:p>
        </w:tc>
        <w:tc>
          <w:tcPr>
            <w:tcW w:w="678" w:type="pct"/>
            <w:tcBorders>
              <w:top w:val="nil"/>
              <w:left w:val="nil"/>
              <w:bottom w:val="single" w:sz="12" w:space="0" w:color="FFFFFF"/>
              <w:right w:val="single" w:sz="12" w:space="0" w:color="FFFFFF"/>
            </w:tcBorders>
            <w:shd w:val="clear" w:color="000000" w:fill="D9D9D9"/>
            <w:vAlign w:val="center"/>
            <w:hideMark/>
          </w:tcPr>
          <w:p w14:paraId="5C1FEBBE" w14:textId="55B13554"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1 431 003,00</w:t>
            </w:r>
          </w:p>
        </w:tc>
        <w:tc>
          <w:tcPr>
            <w:tcW w:w="593" w:type="pct"/>
            <w:tcBorders>
              <w:top w:val="nil"/>
              <w:left w:val="nil"/>
              <w:bottom w:val="single" w:sz="12" w:space="0" w:color="FFFFFF"/>
              <w:right w:val="single" w:sz="12" w:space="0" w:color="FFFFFF"/>
            </w:tcBorders>
            <w:shd w:val="clear" w:color="000000" w:fill="D9D9D9"/>
            <w:vAlign w:val="center"/>
            <w:hideMark/>
          </w:tcPr>
          <w:p w14:paraId="4FA3B4B6"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D3558C" w:rsidRPr="00D3558C" w14:paraId="5E14A29C"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1B02143E"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Dotácia z OÚ BA na činnosť školského úradu</w:t>
            </w:r>
          </w:p>
        </w:tc>
        <w:tc>
          <w:tcPr>
            <w:tcW w:w="679" w:type="pct"/>
            <w:tcBorders>
              <w:top w:val="nil"/>
              <w:left w:val="nil"/>
              <w:bottom w:val="single" w:sz="12" w:space="0" w:color="FFFFFF"/>
              <w:right w:val="single" w:sz="12" w:space="0" w:color="FFFFFF"/>
            </w:tcBorders>
            <w:shd w:val="clear" w:color="000000" w:fill="D9D9D9"/>
            <w:vAlign w:val="center"/>
            <w:hideMark/>
          </w:tcPr>
          <w:p w14:paraId="39CF449F" w14:textId="049A04D2"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43 018,00</w:t>
            </w:r>
          </w:p>
        </w:tc>
        <w:tc>
          <w:tcPr>
            <w:tcW w:w="678" w:type="pct"/>
            <w:tcBorders>
              <w:top w:val="nil"/>
              <w:left w:val="nil"/>
              <w:bottom w:val="single" w:sz="12" w:space="0" w:color="FFFFFF"/>
              <w:right w:val="single" w:sz="12" w:space="0" w:color="FFFFFF"/>
            </w:tcBorders>
            <w:shd w:val="clear" w:color="000000" w:fill="D9D9D9"/>
            <w:vAlign w:val="center"/>
            <w:hideMark/>
          </w:tcPr>
          <w:p w14:paraId="5F886725" w14:textId="57122977"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42 772,00</w:t>
            </w:r>
          </w:p>
        </w:tc>
        <w:tc>
          <w:tcPr>
            <w:tcW w:w="678" w:type="pct"/>
            <w:tcBorders>
              <w:top w:val="nil"/>
              <w:left w:val="nil"/>
              <w:bottom w:val="single" w:sz="12" w:space="0" w:color="FFFFFF"/>
              <w:right w:val="single" w:sz="12" w:space="0" w:color="FFFFFF"/>
            </w:tcBorders>
            <w:shd w:val="clear" w:color="000000" w:fill="D9D9D9"/>
            <w:vAlign w:val="center"/>
            <w:hideMark/>
          </w:tcPr>
          <w:p w14:paraId="0EE9D90D" w14:textId="3B55B8FB"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42 772,00</w:t>
            </w:r>
          </w:p>
        </w:tc>
        <w:tc>
          <w:tcPr>
            <w:tcW w:w="593" w:type="pct"/>
            <w:tcBorders>
              <w:top w:val="nil"/>
              <w:left w:val="nil"/>
              <w:bottom w:val="single" w:sz="12" w:space="0" w:color="FFFFFF"/>
              <w:right w:val="single" w:sz="12" w:space="0" w:color="FFFFFF"/>
            </w:tcBorders>
            <w:shd w:val="clear" w:color="000000" w:fill="D9D9D9"/>
            <w:vAlign w:val="center"/>
            <w:hideMark/>
          </w:tcPr>
          <w:p w14:paraId="3C387CB3"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C80054" w:rsidRPr="00D3558C" w14:paraId="58A42999"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tcPr>
          <w:p w14:paraId="33B0441A" w14:textId="2C1D22D9" w:rsidR="00C80054" w:rsidRPr="00D3558C" w:rsidRDefault="00C80054" w:rsidP="00D3558C">
            <w:pPr>
              <w:spacing w:after="0" w:line="240" w:lineRule="auto"/>
              <w:rPr>
                <w:rFonts w:cs="Calibri"/>
                <w:color w:val="000000"/>
                <w:sz w:val="18"/>
                <w:szCs w:val="18"/>
                <w:lang w:eastAsia="sk-SK"/>
              </w:rPr>
            </w:pPr>
            <w:r w:rsidRPr="00D3558C">
              <w:rPr>
                <w:rFonts w:cs="Calibri"/>
                <w:color w:val="000000"/>
                <w:sz w:val="18"/>
                <w:szCs w:val="18"/>
                <w:lang w:eastAsia="sk-SK"/>
              </w:rPr>
              <w:t>Dotácia z MPSVaR SR pre sociálne zariadenia</w:t>
            </w:r>
            <w:r w:rsidRPr="00C80054">
              <w:rPr>
                <w:rFonts w:cs="Calibri"/>
                <w:color w:val="000000"/>
                <w:sz w:val="18"/>
                <w:szCs w:val="18"/>
                <w:lang w:eastAsia="sk-SK"/>
              </w:rPr>
              <w:t xml:space="preserve"> v ZP BSK</w:t>
            </w:r>
            <w:r>
              <w:rPr>
                <w:rFonts w:cs="Calibri"/>
                <w:color w:val="000000"/>
                <w:sz w:val="18"/>
                <w:szCs w:val="18"/>
                <w:lang w:eastAsia="sk-SK"/>
              </w:rPr>
              <w:t xml:space="preserve"> </w:t>
            </w:r>
            <w:r w:rsidRPr="00D3558C">
              <w:rPr>
                <w:rFonts w:cs="Calibri"/>
                <w:color w:val="000000"/>
                <w:sz w:val="18"/>
                <w:szCs w:val="18"/>
                <w:lang w:eastAsia="sk-SK"/>
              </w:rPr>
              <w:t xml:space="preserve"> </w:t>
            </w:r>
            <w:r w:rsidRPr="00C80054">
              <w:rPr>
                <w:rFonts w:cs="Calibri"/>
                <w:color w:val="000000"/>
                <w:sz w:val="18"/>
                <w:szCs w:val="18"/>
                <w:lang w:eastAsia="sk-SK"/>
              </w:rPr>
              <w:t>na mimoriadne odmeny pre zamestnancov ZSS v ZP BSK za prácu v období I. vlny pandémie</w:t>
            </w:r>
          </w:p>
        </w:tc>
        <w:tc>
          <w:tcPr>
            <w:tcW w:w="679" w:type="pct"/>
            <w:tcBorders>
              <w:top w:val="nil"/>
              <w:left w:val="nil"/>
              <w:bottom w:val="single" w:sz="12" w:space="0" w:color="FFFFFF"/>
              <w:right w:val="single" w:sz="12" w:space="0" w:color="FFFFFF"/>
            </w:tcBorders>
            <w:shd w:val="clear" w:color="000000" w:fill="D9D9D9"/>
            <w:vAlign w:val="center"/>
          </w:tcPr>
          <w:p w14:paraId="0C316EDE" w14:textId="79BB871A" w:rsidR="00C80054" w:rsidRPr="00D3558C" w:rsidRDefault="00C80054"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tcPr>
          <w:p w14:paraId="5F76F0D2" w14:textId="0CC79A82" w:rsidR="00C80054" w:rsidRPr="00D3558C" w:rsidRDefault="00C80054" w:rsidP="00D3558C">
            <w:pPr>
              <w:spacing w:after="0" w:line="240" w:lineRule="auto"/>
              <w:jc w:val="right"/>
              <w:rPr>
                <w:rFonts w:cs="Calibri"/>
                <w:color w:val="000000"/>
                <w:sz w:val="18"/>
                <w:szCs w:val="18"/>
                <w:lang w:eastAsia="sk-SK"/>
              </w:rPr>
            </w:pPr>
            <w:r w:rsidRPr="00C80054">
              <w:rPr>
                <w:rFonts w:cs="Calibri"/>
                <w:color w:val="000000"/>
                <w:sz w:val="18"/>
                <w:szCs w:val="18"/>
                <w:lang w:eastAsia="sk-SK"/>
              </w:rPr>
              <w:t>599</w:t>
            </w:r>
            <w:r>
              <w:rPr>
                <w:rFonts w:cs="Calibri"/>
                <w:color w:val="000000"/>
                <w:sz w:val="18"/>
                <w:szCs w:val="18"/>
                <w:lang w:eastAsia="sk-SK"/>
              </w:rPr>
              <w:t xml:space="preserve"> </w:t>
            </w:r>
            <w:r w:rsidRPr="00C80054">
              <w:rPr>
                <w:rFonts w:cs="Calibri"/>
                <w:color w:val="000000"/>
                <w:sz w:val="18"/>
                <w:szCs w:val="18"/>
                <w:lang w:eastAsia="sk-SK"/>
              </w:rPr>
              <w:t>303</w:t>
            </w:r>
            <w:r>
              <w:rPr>
                <w:rFonts w:cs="Calibri"/>
                <w:color w:val="000000"/>
                <w:sz w:val="18"/>
                <w:szCs w:val="18"/>
                <w:lang w:eastAsia="sk-SK"/>
              </w:rPr>
              <w:t>,00</w:t>
            </w:r>
          </w:p>
        </w:tc>
        <w:tc>
          <w:tcPr>
            <w:tcW w:w="678" w:type="pct"/>
            <w:tcBorders>
              <w:top w:val="nil"/>
              <w:left w:val="nil"/>
              <w:bottom w:val="single" w:sz="12" w:space="0" w:color="FFFFFF"/>
              <w:right w:val="single" w:sz="12" w:space="0" w:color="FFFFFF"/>
            </w:tcBorders>
            <w:shd w:val="clear" w:color="000000" w:fill="D9D9D9"/>
            <w:vAlign w:val="center"/>
          </w:tcPr>
          <w:p w14:paraId="71018EA3" w14:textId="5076DA6D" w:rsidR="00C80054" w:rsidRPr="00D3558C" w:rsidRDefault="00C80054" w:rsidP="00D3558C">
            <w:pPr>
              <w:spacing w:after="0" w:line="240" w:lineRule="auto"/>
              <w:jc w:val="right"/>
              <w:rPr>
                <w:rFonts w:cs="Calibri"/>
                <w:color w:val="000000"/>
                <w:sz w:val="18"/>
                <w:szCs w:val="18"/>
                <w:lang w:eastAsia="sk-SK"/>
              </w:rPr>
            </w:pPr>
            <w:r w:rsidRPr="00C80054">
              <w:rPr>
                <w:rFonts w:cs="Calibri"/>
                <w:color w:val="000000"/>
                <w:sz w:val="18"/>
                <w:szCs w:val="18"/>
                <w:lang w:eastAsia="sk-SK"/>
              </w:rPr>
              <w:t>599</w:t>
            </w:r>
            <w:r>
              <w:rPr>
                <w:rFonts w:cs="Calibri"/>
                <w:color w:val="000000"/>
                <w:sz w:val="18"/>
                <w:szCs w:val="18"/>
                <w:lang w:eastAsia="sk-SK"/>
              </w:rPr>
              <w:t> </w:t>
            </w:r>
            <w:r w:rsidRPr="00C80054">
              <w:rPr>
                <w:rFonts w:cs="Calibri"/>
                <w:color w:val="000000"/>
                <w:sz w:val="18"/>
                <w:szCs w:val="18"/>
                <w:lang w:eastAsia="sk-SK"/>
              </w:rPr>
              <w:t>303</w:t>
            </w:r>
            <w:r>
              <w:rPr>
                <w:rFonts w:cs="Calibri"/>
                <w:color w:val="000000"/>
                <w:sz w:val="18"/>
                <w:szCs w:val="18"/>
                <w:lang w:eastAsia="sk-SK"/>
              </w:rPr>
              <w:t>,00</w:t>
            </w:r>
          </w:p>
        </w:tc>
        <w:tc>
          <w:tcPr>
            <w:tcW w:w="593" w:type="pct"/>
            <w:tcBorders>
              <w:top w:val="nil"/>
              <w:left w:val="nil"/>
              <w:bottom w:val="single" w:sz="12" w:space="0" w:color="FFFFFF"/>
              <w:right w:val="single" w:sz="12" w:space="0" w:color="FFFFFF"/>
            </w:tcBorders>
            <w:shd w:val="clear" w:color="000000" w:fill="D9D9D9"/>
            <w:vAlign w:val="center"/>
          </w:tcPr>
          <w:p w14:paraId="63CA0810" w14:textId="59BBAD53" w:rsidR="00C80054" w:rsidRPr="00D3558C" w:rsidRDefault="00C80054" w:rsidP="00D3558C">
            <w:pPr>
              <w:spacing w:after="0" w:line="240" w:lineRule="auto"/>
              <w:jc w:val="right"/>
              <w:rPr>
                <w:rFonts w:cs="Calibri"/>
                <w:color w:val="000000"/>
                <w:sz w:val="18"/>
                <w:szCs w:val="18"/>
                <w:lang w:eastAsia="sk-SK"/>
              </w:rPr>
            </w:pPr>
            <w:r>
              <w:rPr>
                <w:rFonts w:cs="Calibri"/>
                <w:color w:val="000000"/>
                <w:sz w:val="18"/>
                <w:szCs w:val="18"/>
                <w:lang w:eastAsia="sk-SK"/>
              </w:rPr>
              <w:t>100,0%</w:t>
            </w:r>
          </w:p>
        </w:tc>
      </w:tr>
      <w:tr w:rsidR="00C80054" w:rsidRPr="00D3558C" w14:paraId="2BC48B14"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5739ABBF" w14:textId="77777777" w:rsidR="00C80054" w:rsidRPr="00D3558C" w:rsidRDefault="00C80054" w:rsidP="008F6DAE">
            <w:pPr>
              <w:spacing w:after="0" w:line="240" w:lineRule="auto"/>
              <w:rPr>
                <w:rFonts w:cs="Calibri"/>
                <w:color w:val="000000"/>
                <w:sz w:val="18"/>
                <w:szCs w:val="18"/>
                <w:lang w:eastAsia="sk-SK"/>
              </w:rPr>
            </w:pPr>
            <w:r>
              <w:rPr>
                <w:rFonts w:cs="Calibri"/>
                <w:color w:val="000000"/>
                <w:sz w:val="18"/>
                <w:szCs w:val="18"/>
                <w:lang w:eastAsia="sk-SK"/>
              </w:rPr>
              <w:t>D</w:t>
            </w:r>
            <w:r w:rsidRPr="00C80054">
              <w:rPr>
                <w:rFonts w:cs="Calibri"/>
                <w:color w:val="000000"/>
                <w:sz w:val="18"/>
                <w:szCs w:val="18"/>
                <w:lang w:eastAsia="sk-SK"/>
              </w:rPr>
              <w:t xml:space="preserve">otácia </w:t>
            </w:r>
            <w:r>
              <w:rPr>
                <w:rFonts w:cs="Calibri"/>
                <w:color w:val="000000"/>
                <w:sz w:val="18"/>
                <w:szCs w:val="18"/>
                <w:lang w:eastAsia="sk-SK"/>
              </w:rPr>
              <w:t xml:space="preserve">z </w:t>
            </w:r>
            <w:r w:rsidRPr="00C80054">
              <w:rPr>
                <w:rFonts w:cs="Calibri"/>
                <w:color w:val="000000"/>
                <w:sz w:val="18"/>
                <w:szCs w:val="18"/>
                <w:lang w:eastAsia="sk-SK"/>
              </w:rPr>
              <w:t xml:space="preserve">MPSVaR SR </w:t>
            </w:r>
            <w:r>
              <w:rPr>
                <w:rFonts w:cs="Calibri"/>
                <w:color w:val="000000"/>
                <w:sz w:val="18"/>
                <w:szCs w:val="18"/>
                <w:lang w:eastAsia="sk-SK"/>
              </w:rPr>
              <w:t xml:space="preserve">pre sociálne zariadenia </w:t>
            </w:r>
            <w:r w:rsidRPr="00C80054">
              <w:rPr>
                <w:rFonts w:cs="Calibri"/>
                <w:color w:val="000000"/>
                <w:sz w:val="18"/>
                <w:szCs w:val="18"/>
                <w:lang w:eastAsia="sk-SK"/>
              </w:rPr>
              <w:t>v ZP BSK</w:t>
            </w:r>
            <w:r>
              <w:rPr>
                <w:rFonts w:cs="Calibri"/>
                <w:color w:val="000000"/>
                <w:sz w:val="18"/>
                <w:szCs w:val="18"/>
                <w:lang w:eastAsia="sk-SK"/>
              </w:rPr>
              <w:t xml:space="preserve"> </w:t>
            </w:r>
            <w:r w:rsidRPr="00C80054">
              <w:rPr>
                <w:rFonts w:cs="Calibri"/>
                <w:color w:val="000000"/>
                <w:sz w:val="18"/>
                <w:szCs w:val="18"/>
                <w:lang w:eastAsia="sk-SK"/>
              </w:rPr>
              <w:t>na výživové doplnky (</w:t>
            </w:r>
            <w:proofErr w:type="spellStart"/>
            <w:r w:rsidRPr="00C80054">
              <w:rPr>
                <w:rFonts w:cs="Calibri"/>
                <w:color w:val="000000"/>
                <w:sz w:val="18"/>
                <w:szCs w:val="18"/>
                <w:lang w:eastAsia="sk-SK"/>
              </w:rPr>
              <w:t>vit</w:t>
            </w:r>
            <w:proofErr w:type="spellEnd"/>
            <w:r w:rsidRPr="00C80054">
              <w:rPr>
                <w:rFonts w:cs="Calibri"/>
                <w:color w:val="000000"/>
                <w:sz w:val="18"/>
                <w:szCs w:val="18"/>
                <w:lang w:eastAsia="sk-SK"/>
              </w:rPr>
              <w:t xml:space="preserve">. D3) </w:t>
            </w:r>
            <w:r>
              <w:rPr>
                <w:rFonts w:cs="Calibri"/>
                <w:color w:val="000000"/>
                <w:sz w:val="18"/>
                <w:szCs w:val="18"/>
                <w:lang w:eastAsia="sk-SK"/>
              </w:rPr>
              <w:t>(zamestnanci a klienti zariadení)</w:t>
            </w:r>
          </w:p>
        </w:tc>
        <w:tc>
          <w:tcPr>
            <w:tcW w:w="679" w:type="pct"/>
            <w:tcBorders>
              <w:top w:val="nil"/>
              <w:left w:val="nil"/>
              <w:bottom w:val="single" w:sz="12" w:space="0" w:color="FFFFFF"/>
              <w:right w:val="single" w:sz="12" w:space="0" w:color="FFFFFF"/>
            </w:tcBorders>
            <w:shd w:val="clear" w:color="000000" w:fill="D9D9D9"/>
            <w:vAlign w:val="center"/>
            <w:hideMark/>
          </w:tcPr>
          <w:p w14:paraId="5A7EA2CA" w14:textId="77777777" w:rsidR="00C80054" w:rsidRPr="00D3558C" w:rsidRDefault="00C80054" w:rsidP="008F6DAE">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47380882" w14:textId="77777777" w:rsidR="00C80054" w:rsidRPr="00D3558C" w:rsidRDefault="00C80054" w:rsidP="008F6DAE">
            <w:pPr>
              <w:spacing w:after="0" w:line="240" w:lineRule="auto"/>
              <w:jc w:val="right"/>
              <w:rPr>
                <w:rFonts w:cs="Calibri"/>
                <w:color w:val="000000"/>
                <w:sz w:val="18"/>
                <w:szCs w:val="18"/>
                <w:lang w:eastAsia="sk-SK"/>
              </w:rPr>
            </w:pPr>
            <w:r w:rsidRPr="00C80054">
              <w:rPr>
                <w:rFonts w:cs="Calibri"/>
                <w:color w:val="000000"/>
                <w:sz w:val="18"/>
                <w:szCs w:val="18"/>
                <w:lang w:eastAsia="sk-SK"/>
              </w:rPr>
              <w:t>43</w:t>
            </w:r>
            <w:r>
              <w:rPr>
                <w:rFonts w:cs="Calibri"/>
                <w:color w:val="000000"/>
                <w:sz w:val="18"/>
                <w:szCs w:val="18"/>
                <w:lang w:eastAsia="sk-SK"/>
              </w:rPr>
              <w:t xml:space="preserve"> </w:t>
            </w:r>
            <w:r w:rsidRPr="00C80054">
              <w:rPr>
                <w:rFonts w:cs="Calibri"/>
                <w:color w:val="000000"/>
                <w:sz w:val="18"/>
                <w:szCs w:val="18"/>
                <w:lang w:eastAsia="sk-SK"/>
              </w:rPr>
              <w:t>540</w:t>
            </w:r>
            <w:r>
              <w:rPr>
                <w:rFonts w:cs="Calibri"/>
                <w:color w:val="000000"/>
                <w:sz w:val="18"/>
                <w:szCs w:val="18"/>
                <w:lang w:eastAsia="sk-SK"/>
              </w:rPr>
              <w:t>,00</w:t>
            </w:r>
          </w:p>
        </w:tc>
        <w:tc>
          <w:tcPr>
            <w:tcW w:w="678" w:type="pct"/>
            <w:tcBorders>
              <w:top w:val="nil"/>
              <w:left w:val="nil"/>
              <w:bottom w:val="single" w:sz="12" w:space="0" w:color="FFFFFF"/>
              <w:right w:val="single" w:sz="12" w:space="0" w:color="FFFFFF"/>
            </w:tcBorders>
            <w:shd w:val="clear" w:color="000000" w:fill="D9D9D9"/>
            <w:vAlign w:val="center"/>
            <w:hideMark/>
          </w:tcPr>
          <w:p w14:paraId="4BAB36FF" w14:textId="77777777" w:rsidR="00C80054" w:rsidRPr="00D3558C" w:rsidRDefault="00C80054" w:rsidP="008F6DAE">
            <w:pPr>
              <w:spacing w:after="0" w:line="240" w:lineRule="auto"/>
              <w:jc w:val="right"/>
              <w:rPr>
                <w:rFonts w:cs="Calibri"/>
                <w:color w:val="000000"/>
                <w:sz w:val="18"/>
                <w:szCs w:val="18"/>
                <w:lang w:eastAsia="sk-SK"/>
              </w:rPr>
            </w:pPr>
            <w:r w:rsidRPr="00C80054">
              <w:rPr>
                <w:rFonts w:cs="Calibri"/>
                <w:color w:val="000000"/>
                <w:sz w:val="18"/>
                <w:szCs w:val="18"/>
                <w:lang w:eastAsia="sk-SK"/>
              </w:rPr>
              <w:t>43</w:t>
            </w:r>
            <w:r>
              <w:rPr>
                <w:rFonts w:cs="Calibri"/>
                <w:color w:val="000000"/>
                <w:sz w:val="18"/>
                <w:szCs w:val="18"/>
                <w:lang w:eastAsia="sk-SK"/>
              </w:rPr>
              <w:t xml:space="preserve"> </w:t>
            </w:r>
            <w:r w:rsidRPr="00C80054">
              <w:rPr>
                <w:rFonts w:cs="Calibri"/>
                <w:color w:val="000000"/>
                <w:sz w:val="18"/>
                <w:szCs w:val="18"/>
                <w:lang w:eastAsia="sk-SK"/>
              </w:rPr>
              <w:t>540</w:t>
            </w:r>
            <w:r>
              <w:rPr>
                <w:rFonts w:cs="Calibri"/>
                <w:color w:val="000000"/>
                <w:sz w:val="18"/>
                <w:szCs w:val="18"/>
                <w:lang w:eastAsia="sk-SK"/>
              </w:rPr>
              <w:t>,00</w:t>
            </w:r>
          </w:p>
        </w:tc>
        <w:tc>
          <w:tcPr>
            <w:tcW w:w="593" w:type="pct"/>
            <w:tcBorders>
              <w:top w:val="nil"/>
              <w:left w:val="nil"/>
              <w:bottom w:val="single" w:sz="12" w:space="0" w:color="FFFFFF"/>
              <w:right w:val="single" w:sz="12" w:space="0" w:color="FFFFFF"/>
            </w:tcBorders>
            <w:shd w:val="clear" w:color="000000" w:fill="D9D9D9"/>
            <w:vAlign w:val="center"/>
            <w:hideMark/>
          </w:tcPr>
          <w:p w14:paraId="0269B154" w14:textId="77777777" w:rsidR="00C80054" w:rsidRPr="00D3558C" w:rsidRDefault="00C80054" w:rsidP="008F6DAE">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D3558C" w:rsidRPr="00D3558C" w14:paraId="5A508820" w14:textId="77777777" w:rsidTr="00A0331D">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58AF34BB" w14:textId="5AE74CB5" w:rsidR="00D3558C" w:rsidRPr="00D3558C" w:rsidRDefault="00C80054" w:rsidP="00D3558C">
            <w:pPr>
              <w:spacing w:after="0" w:line="240" w:lineRule="auto"/>
              <w:rPr>
                <w:rFonts w:cs="Calibri"/>
                <w:color w:val="000000"/>
                <w:sz w:val="18"/>
                <w:szCs w:val="18"/>
                <w:lang w:eastAsia="sk-SK"/>
              </w:rPr>
            </w:pPr>
            <w:r>
              <w:rPr>
                <w:rFonts w:cs="Calibri"/>
                <w:color w:val="000000"/>
                <w:sz w:val="18"/>
                <w:szCs w:val="18"/>
                <w:lang w:eastAsia="sk-SK"/>
              </w:rPr>
              <w:t>D</w:t>
            </w:r>
            <w:r w:rsidRPr="00C80054">
              <w:rPr>
                <w:rFonts w:cs="Calibri"/>
                <w:color w:val="000000"/>
                <w:sz w:val="18"/>
                <w:szCs w:val="18"/>
                <w:lang w:eastAsia="sk-SK"/>
              </w:rPr>
              <w:t xml:space="preserve">otácia </w:t>
            </w:r>
            <w:r>
              <w:rPr>
                <w:rFonts w:cs="Calibri"/>
                <w:color w:val="000000"/>
                <w:sz w:val="18"/>
                <w:szCs w:val="18"/>
                <w:lang w:eastAsia="sk-SK"/>
              </w:rPr>
              <w:t xml:space="preserve">z </w:t>
            </w:r>
            <w:r w:rsidRPr="00C80054">
              <w:rPr>
                <w:rFonts w:cs="Calibri"/>
                <w:color w:val="000000"/>
                <w:sz w:val="18"/>
                <w:szCs w:val="18"/>
                <w:lang w:eastAsia="sk-SK"/>
              </w:rPr>
              <w:t xml:space="preserve">MPSVaR SR </w:t>
            </w:r>
            <w:r>
              <w:rPr>
                <w:rFonts w:cs="Calibri"/>
                <w:color w:val="000000"/>
                <w:sz w:val="18"/>
                <w:szCs w:val="18"/>
                <w:lang w:eastAsia="sk-SK"/>
              </w:rPr>
              <w:t xml:space="preserve">pre sociálne zariadenia </w:t>
            </w:r>
            <w:r w:rsidRPr="00C80054">
              <w:rPr>
                <w:rFonts w:cs="Calibri"/>
                <w:color w:val="000000"/>
                <w:sz w:val="18"/>
                <w:szCs w:val="18"/>
                <w:lang w:eastAsia="sk-SK"/>
              </w:rPr>
              <w:t>v ZP BSK</w:t>
            </w:r>
            <w:r>
              <w:rPr>
                <w:rFonts w:cs="Calibri"/>
                <w:color w:val="000000"/>
                <w:sz w:val="18"/>
                <w:szCs w:val="18"/>
                <w:lang w:eastAsia="sk-SK"/>
              </w:rPr>
              <w:t xml:space="preserve"> </w:t>
            </w:r>
            <w:r w:rsidRPr="00C80054">
              <w:rPr>
                <w:rFonts w:cs="Calibri"/>
                <w:color w:val="000000"/>
                <w:sz w:val="18"/>
                <w:szCs w:val="18"/>
                <w:lang w:eastAsia="sk-SK"/>
              </w:rPr>
              <w:t>na výživové doplnky (</w:t>
            </w:r>
            <w:proofErr w:type="spellStart"/>
            <w:r w:rsidRPr="00C80054">
              <w:rPr>
                <w:rFonts w:cs="Calibri"/>
                <w:color w:val="000000"/>
                <w:sz w:val="18"/>
                <w:szCs w:val="18"/>
                <w:lang w:eastAsia="sk-SK"/>
              </w:rPr>
              <w:t>vit</w:t>
            </w:r>
            <w:proofErr w:type="spellEnd"/>
            <w:r w:rsidRPr="00C80054">
              <w:rPr>
                <w:rFonts w:cs="Calibri"/>
                <w:color w:val="000000"/>
                <w:sz w:val="18"/>
                <w:szCs w:val="18"/>
                <w:lang w:eastAsia="sk-SK"/>
              </w:rPr>
              <w:t xml:space="preserve">. D3) </w:t>
            </w:r>
            <w:r>
              <w:rPr>
                <w:rFonts w:cs="Calibri"/>
                <w:color w:val="000000"/>
                <w:sz w:val="18"/>
                <w:szCs w:val="18"/>
                <w:lang w:eastAsia="sk-SK"/>
              </w:rPr>
              <w:t>(zamestnanci a klienti zariadení)</w:t>
            </w:r>
          </w:p>
        </w:tc>
        <w:tc>
          <w:tcPr>
            <w:tcW w:w="679" w:type="pct"/>
            <w:tcBorders>
              <w:top w:val="nil"/>
              <w:left w:val="nil"/>
              <w:bottom w:val="single" w:sz="12" w:space="0" w:color="FFFFFF"/>
              <w:right w:val="single" w:sz="12" w:space="0" w:color="FFFFFF"/>
            </w:tcBorders>
            <w:shd w:val="clear" w:color="000000" w:fill="D9D9D9"/>
            <w:vAlign w:val="center"/>
            <w:hideMark/>
          </w:tcPr>
          <w:p w14:paraId="5486BFA7" w14:textId="4737B43E" w:rsidR="00D3558C" w:rsidRPr="00D3558C" w:rsidRDefault="00A0331D" w:rsidP="00D3558C">
            <w:pPr>
              <w:spacing w:after="0" w:line="240" w:lineRule="auto"/>
              <w:jc w:val="right"/>
              <w:rPr>
                <w:rFonts w:cs="Calibri"/>
                <w:color w:val="000000"/>
                <w:sz w:val="18"/>
                <w:szCs w:val="18"/>
                <w:lang w:eastAsia="sk-SK"/>
              </w:rPr>
            </w:pPr>
            <w:r>
              <w:rPr>
                <w:rFonts w:cs="Calibri"/>
                <w:color w:val="000000"/>
                <w:sz w:val="18"/>
                <w:szCs w:val="18"/>
                <w:lang w:eastAsia="sk-SK"/>
              </w:rPr>
              <w:t>2 00</w:t>
            </w:r>
            <w:r w:rsidR="00D3558C"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tcPr>
          <w:p w14:paraId="50733BB7" w14:textId="43778097" w:rsidR="00D3558C" w:rsidRPr="00D3558C" w:rsidRDefault="00A0331D" w:rsidP="00D3558C">
            <w:pPr>
              <w:spacing w:after="0" w:line="240" w:lineRule="auto"/>
              <w:jc w:val="right"/>
              <w:rPr>
                <w:rFonts w:cs="Calibri"/>
                <w:color w:val="000000"/>
                <w:sz w:val="18"/>
                <w:szCs w:val="18"/>
                <w:lang w:eastAsia="sk-SK"/>
              </w:rPr>
            </w:pPr>
            <w:r>
              <w:rPr>
                <w:rFonts w:cs="Calibri"/>
                <w:color w:val="000000"/>
                <w:sz w:val="18"/>
                <w:szCs w:val="18"/>
                <w:lang w:eastAsia="sk-SK"/>
              </w:rPr>
              <w:t xml:space="preserve">2 870,00 </w:t>
            </w:r>
          </w:p>
        </w:tc>
        <w:tc>
          <w:tcPr>
            <w:tcW w:w="678" w:type="pct"/>
            <w:tcBorders>
              <w:top w:val="nil"/>
              <w:left w:val="nil"/>
              <w:bottom w:val="single" w:sz="12" w:space="0" w:color="FFFFFF"/>
              <w:right w:val="single" w:sz="12" w:space="0" w:color="FFFFFF"/>
            </w:tcBorders>
            <w:shd w:val="clear" w:color="000000" w:fill="D9D9D9"/>
            <w:vAlign w:val="center"/>
          </w:tcPr>
          <w:p w14:paraId="6FC6B158" w14:textId="31DA8DA6" w:rsidR="00D3558C" w:rsidRPr="00D3558C" w:rsidRDefault="00A0331D" w:rsidP="00D3558C">
            <w:pPr>
              <w:spacing w:after="0" w:line="240" w:lineRule="auto"/>
              <w:jc w:val="right"/>
              <w:rPr>
                <w:rFonts w:cs="Calibri"/>
                <w:color w:val="000000"/>
                <w:sz w:val="18"/>
                <w:szCs w:val="18"/>
                <w:lang w:eastAsia="sk-SK"/>
              </w:rPr>
            </w:pPr>
            <w:r>
              <w:rPr>
                <w:rFonts w:cs="Calibri"/>
                <w:color w:val="000000"/>
                <w:sz w:val="18"/>
                <w:szCs w:val="18"/>
                <w:lang w:eastAsia="sk-SK"/>
              </w:rPr>
              <w:t>2 870,00</w:t>
            </w:r>
          </w:p>
        </w:tc>
        <w:tc>
          <w:tcPr>
            <w:tcW w:w="593" w:type="pct"/>
            <w:tcBorders>
              <w:top w:val="nil"/>
              <w:left w:val="nil"/>
              <w:bottom w:val="single" w:sz="12" w:space="0" w:color="FFFFFF"/>
              <w:right w:val="single" w:sz="12" w:space="0" w:color="FFFFFF"/>
            </w:tcBorders>
            <w:shd w:val="clear" w:color="000000" w:fill="D9D9D9"/>
            <w:vAlign w:val="center"/>
            <w:hideMark/>
          </w:tcPr>
          <w:p w14:paraId="348E8351"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D3558C" w:rsidRPr="00D3558C" w14:paraId="4A5B29DD"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F2F2F2"/>
            <w:vAlign w:val="center"/>
            <w:hideMark/>
          </w:tcPr>
          <w:p w14:paraId="1D6F1450" w14:textId="77777777" w:rsidR="006D433E" w:rsidRDefault="00D3558C" w:rsidP="00D3558C">
            <w:pPr>
              <w:spacing w:after="0" w:line="240" w:lineRule="auto"/>
              <w:ind w:firstLineChars="500" w:firstLine="900"/>
              <w:rPr>
                <w:rFonts w:cs="Calibri"/>
                <w:color w:val="000000"/>
                <w:sz w:val="18"/>
                <w:szCs w:val="18"/>
                <w:lang w:eastAsia="sk-SK"/>
              </w:rPr>
            </w:pPr>
            <w:r w:rsidRPr="00D3558C">
              <w:rPr>
                <w:rFonts w:ascii="Wingdings" w:hAnsi="Wingdings" w:cs="Calibri"/>
                <w:color w:val="000000"/>
                <w:sz w:val="18"/>
                <w:szCs w:val="18"/>
                <w:lang w:eastAsia="sk-SK"/>
              </w:rPr>
              <w:t></w:t>
            </w:r>
            <w:r w:rsidRPr="00D3558C">
              <w:rPr>
                <w:rFonts w:ascii="Times New Roman" w:hAnsi="Times New Roman"/>
                <w:color w:val="000000"/>
                <w:sz w:val="14"/>
                <w:szCs w:val="14"/>
                <w:lang w:eastAsia="sk-SK"/>
              </w:rPr>
              <w:t xml:space="preserve">  </w:t>
            </w:r>
            <w:r w:rsidR="004A42ED" w:rsidRPr="004A42ED">
              <w:rPr>
                <w:rFonts w:cs="Calibri"/>
                <w:color w:val="000000"/>
                <w:sz w:val="18"/>
                <w:szCs w:val="18"/>
                <w:lang w:eastAsia="sk-SK"/>
              </w:rPr>
              <w:t xml:space="preserve">DSS pre deti a dospelých, </w:t>
            </w:r>
            <w:r w:rsidR="006D433E">
              <w:rPr>
                <w:rFonts w:cs="Calibri"/>
                <w:color w:val="000000"/>
                <w:sz w:val="18"/>
                <w:szCs w:val="18"/>
                <w:lang w:eastAsia="sk-SK"/>
              </w:rPr>
              <w:t xml:space="preserve">Javorinská 7/a,   </w:t>
            </w:r>
          </w:p>
          <w:p w14:paraId="48EB5F6D" w14:textId="5D39755F" w:rsidR="004A42ED" w:rsidRDefault="006D433E" w:rsidP="00D3558C">
            <w:pPr>
              <w:spacing w:after="0" w:line="240" w:lineRule="auto"/>
              <w:ind w:firstLineChars="500" w:firstLine="900"/>
              <w:rPr>
                <w:rFonts w:cs="Calibri"/>
                <w:color w:val="000000"/>
                <w:sz w:val="18"/>
                <w:szCs w:val="18"/>
                <w:lang w:eastAsia="sk-SK"/>
              </w:rPr>
            </w:pPr>
            <w:r>
              <w:rPr>
                <w:rFonts w:cs="Calibri"/>
                <w:color w:val="000000"/>
                <w:sz w:val="18"/>
                <w:szCs w:val="18"/>
                <w:lang w:eastAsia="sk-SK"/>
              </w:rPr>
              <w:t xml:space="preserve">     detašované pracovisko </w:t>
            </w:r>
            <w:proofErr w:type="spellStart"/>
            <w:r w:rsidR="004A42ED" w:rsidRPr="004A42ED">
              <w:rPr>
                <w:rFonts w:cs="Calibri"/>
                <w:color w:val="000000"/>
                <w:sz w:val="18"/>
                <w:szCs w:val="18"/>
                <w:lang w:eastAsia="sk-SK"/>
              </w:rPr>
              <w:t>Ľubinská</w:t>
            </w:r>
            <w:proofErr w:type="spellEnd"/>
            <w:r w:rsidR="004A42ED" w:rsidRPr="004A42ED">
              <w:rPr>
                <w:rFonts w:cs="Calibri"/>
                <w:color w:val="000000"/>
                <w:sz w:val="18"/>
                <w:szCs w:val="18"/>
                <w:lang w:eastAsia="sk-SK"/>
              </w:rPr>
              <w:t xml:space="preserve"> 5</w:t>
            </w:r>
            <w:r w:rsidR="004A42ED">
              <w:rPr>
                <w:rFonts w:cs="Calibri"/>
                <w:color w:val="000000"/>
                <w:sz w:val="18"/>
                <w:szCs w:val="18"/>
                <w:lang w:eastAsia="sk-SK"/>
              </w:rPr>
              <w:t xml:space="preserve"> BA</w:t>
            </w:r>
            <w:r w:rsidR="004A42ED" w:rsidRPr="004A42ED">
              <w:rPr>
                <w:rFonts w:cs="Calibri"/>
                <w:color w:val="000000"/>
                <w:sz w:val="18"/>
                <w:szCs w:val="18"/>
                <w:lang w:eastAsia="sk-SK"/>
              </w:rPr>
              <w:t xml:space="preserve"> </w:t>
            </w:r>
            <w:r w:rsidR="00D3558C" w:rsidRPr="00D3558C">
              <w:rPr>
                <w:rFonts w:cs="Calibri"/>
                <w:color w:val="000000"/>
                <w:sz w:val="18"/>
                <w:szCs w:val="18"/>
                <w:lang w:eastAsia="sk-SK"/>
              </w:rPr>
              <w:t>(</w:t>
            </w:r>
            <w:r w:rsidR="004A42ED" w:rsidRPr="004A42ED">
              <w:rPr>
                <w:rFonts w:cs="Calibri"/>
                <w:color w:val="000000"/>
                <w:sz w:val="18"/>
                <w:szCs w:val="18"/>
                <w:lang w:eastAsia="sk-SK"/>
              </w:rPr>
              <w:t xml:space="preserve">stropný </w:t>
            </w:r>
          </w:p>
          <w:p w14:paraId="5E831B53" w14:textId="7B25C454" w:rsidR="00D3558C" w:rsidRPr="00D3558C" w:rsidRDefault="004A42ED" w:rsidP="00D3558C">
            <w:pPr>
              <w:spacing w:after="0" w:line="240" w:lineRule="auto"/>
              <w:ind w:firstLineChars="500" w:firstLine="900"/>
              <w:rPr>
                <w:rFonts w:ascii="Wingdings" w:hAnsi="Wingdings" w:cs="Calibri"/>
                <w:color w:val="000000"/>
                <w:sz w:val="18"/>
                <w:szCs w:val="18"/>
                <w:lang w:eastAsia="sk-SK"/>
              </w:rPr>
            </w:pPr>
            <w:r>
              <w:rPr>
                <w:rFonts w:cs="Calibri"/>
                <w:color w:val="000000"/>
                <w:sz w:val="18"/>
                <w:szCs w:val="18"/>
                <w:lang w:eastAsia="sk-SK"/>
              </w:rPr>
              <w:t xml:space="preserve">     </w:t>
            </w:r>
            <w:r w:rsidRPr="004A42ED">
              <w:rPr>
                <w:rFonts w:cs="Calibri"/>
                <w:color w:val="000000"/>
                <w:sz w:val="18"/>
                <w:szCs w:val="18"/>
                <w:lang w:eastAsia="sk-SK"/>
              </w:rPr>
              <w:t>koľajnicový zdvihák</w:t>
            </w:r>
            <w:r>
              <w:rPr>
                <w:rFonts w:cs="Calibri"/>
                <w:color w:val="000000"/>
                <w:sz w:val="18"/>
                <w:szCs w:val="18"/>
                <w:lang w:eastAsia="sk-SK"/>
              </w:rPr>
              <w:t>)</w:t>
            </w:r>
          </w:p>
        </w:tc>
        <w:tc>
          <w:tcPr>
            <w:tcW w:w="679" w:type="pct"/>
            <w:tcBorders>
              <w:top w:val="nil"/>
              <w:left w:val="nil"/>
              <w:bottom w:val="single" w:sz="12" w:space="0" w:color="FFFFFF"/>
              <w:right w:val="single" w:sz="12" w:space="0" w:color="FFFFFF"/>
            </w:tcBorders>
            <w:shd w:val="clear" w:color="000000" w:fill="F2F2F2"/>
            <w:vAlign w:val="center"/>
            <w:hideMark/>
          </w:tcPr>
          <w:p w14:paraId="66BC27FA"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F2F2F2"/>
            <w:vAlign w:val="center"/>
            <w:hideMark/>
          </w:tcPr>
          <w:p w14:paraId="5B568014" w14:textId="0F965DCA" w:rsidR="00D3558C" w:rsidRPr="00D3558C" w:rsidRDefault="004A42ED" w:rsidP="00D3558C">
            <w:pPr>
              <w:spacing w:after="0" w:line="240" w:lineRule="auto"/>
              <w:jc w:val="right"/>
              <w:rPr>
                <w:rFonts w:cs="Calibri"/>
                <w:color w:val="000000"/>
                <w:sz w:val="18"/>
                <w:szCs w:val="18"/>
                <w:lang w:eastAsia="sk-SK"/>
              </w:rPr>
            </w:pPr>
            <w:r>
              <w:rPr>
                <w:rFonts w:cs="Calibri"/>
                <w:color w:val="000000"/>
                <w:sz w:val="18"/>
                <w:szCs w:val="18"/>
                <w:lang w:eastAsia="sk-SK"/>
              </w:rPr>
              <w:t>1 200</w:t>
            </w:r>
            <w:r w:rsidR="00D3558C" w:rsidRPr="00D3558C">
              <w:rPr>
                <w:rFonts w:cs="Calibri"/>
                <w:color w:val="000000"/>
                <w:sz w:val="18"/>
                <w:szCs w:val="18"/>
                <w:lang w:eastAsia="sk-SK"/>
              </w:rPr>
              <w:t>,00</w:t>
            </w:r>
          </w:p>
        </w:tc>
        <w:tc>
          <w:tcPr>
            <w:tcW w:w="678" w:type="pct"/>
            <w:tcBorders>
              <w:top w:val="nil"/>
              <w:left w:val="nil"/>
              <w:bottom w:val="single" w:sz="12" w:space="0" w:color="FFFFFF"/>
              <w:right w:val="single" w:sz="12" w:space="0" w:color="FFFFFF"/>
            </w:tcBorders>
            <w:shd w:val="clear" w:color="000000" w:fill="F2F2F2"/>
            <w:vAlign w:val="center"/>
            <w:hideMark/>
          </w:tcPr>
          <w:p w14:paraId="207C6C70" w14:textId="0E784036" w:rsidR="00D3558C" w:rsidRPr="004A42ED" w:rsidRDefault="004A42ED" w:rsidP="00D3558C">
            <w:pPr>
              <w:spacing w:after="0" w:line="240" w:lineRule="auto"/>
              <w:jc w:val="right"/>
              <w:rPr>
                <w:rFonts w:cs="Calibri"/>
                <w:color w:val="000000"/>
                <w:sz w:val="18"/>
                <w:szCs w:val="18"/>
                <w:lang w:eastAsia="sk-SK"/>
              </w:rPr>
            </w:pPr>
            <w:r w:rsidRPr="004A42ED">
              <w:rPr>
                <w:rFonts w:cs="Calibri"/>
                <w:color w:val="000000"/>
                <w:sz w:val="18"/>
                <w:szCs w:val="18"/>
                <w:lang w:eastAsia="sk-SK"/>
              </w:rPr>
              <w:t>1 200</w:t>
            </w:r>
            <w:r w:rsidR="00D3558C" w:rsidRPr="004A42ED">
              <w:rPr>
                <w:rFonts w:cs="Calibri"/>
                <w:color w:val="000000"/>
                <w:sz w:val="18"/>
                <w:szCs w:val="18"/>
                <w:lang w:eastAsia="sk-SK"/>
              </w:rPr>
              <w:t>,00</w:t>
            </w:r>
          </w:p>
        </w:tc>
        <w:tc>
          <w:tcPr>
            <w:tcW w:w="593" w:type="pct"/>
            <w:tcBorders>
              <w:top w:val="nil"/>
              <w:left w:val="nil"/>
              <w:bottom w:val="single" w:sz="12" w:space="0" w:color="FFFFFF"/>
              <w:right w:val="single" w:sz="12" w:space="0" w:color="FFFFFF"/>
            </w:tcBorders>
            <w:shd w:val="clear" w:color="000000" w:fill="D9D9D9"/>
            <w:vAlign w:val="center"/>
            <w:hideMark/>
          </w:tcPr>
          <w:p w14:paraId="6058D11D"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D3558C" w:rsidRPr="00D3558C" w14:paraId="14702E3F"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F2F2F2"/>
            <w:vAlign w:val="center"/>
            <w:hideMark/>
          </w:tcPr>
          <w:p w14:paraId="28C4FE20" w14:textId="77777777" w:rsidR="00A0331D" w:rsidRDefault="00D3558C" w:rsidP="00D3558C">
            <w:pPr>
              <w:spacing w:after="0" w:line="240" w:lineRule="auto"/>
              <w:ind w:firstLineChars="500" w:firstLine="900"/>
              <w:rPr>
                <w:rFonts w:cs="Calibri"/>
                <w:color w:val="000000"/>
                <w:sz w:val="18"/>
                <w:szCs w:val="18"/>
                <w:lang w:eastAsia="sk-SK"/>
              </w:rPr>
            </w:pPr>
            <w:r w:rsidRPr="00D3558C">
              <w:rPr>
                <w:rFonts w:ascii="Wingdings" w:hAnsi="Wingdings" w:cs="Calibri"/>
                <w:color w:val="000000"/>
                <w:sz w:val="18"/>
                <w:szCs w:val="18"/>
                <w:lang w:eastAsia="sk-SK"/>
              </w:rPr>
              <w:t></w:t>
            </w:r>
            <w:r w:rsidRPr="00D3558C">
              <w:rPr>
                <w:rFonts w:ascii="Times New Roman" w:hAnsi="Times New Roman"/>
                <w:color w:val="000000"/>
                <w:sz w:val="14"/>
                <w:szCs w:val="14"/>
                <w:lang w:eastAsia="sk-SK"/>
              </w:rPr>
              <w:t xml:space="preserve">  </w:t>
            </w:r>
            <w:r w:rsidR="004A42ED" w:rsidRPr="004A42ED">
              <w:rPr>
                <w:rFonts w:cs="Calibri"/>
                <w:color w:val="000000"/>
                <w:sz w:val="18"/>
                <w:szCs w:val="18"/>
                <w:lang w:eastAsia="sk-SK"/>
              </w:rPr>
              <w:t xml:space="preserve">DSS pre deti a </w:t>
            </w:r>
            <w:proofErr w:type="spellStart"/>
            <w:r w:rsidR="004A42ED" w:rsidRPr="004A42ED">
              <w:rPr>
                <w:rFonts w:cs="Calibri"/>
                <w:color w:val="000000"/>
                <w:sz w:val="18"/>
                <w:szCs w:val="18"/>
                <w:lang w:eastAsia="sk-SK"/>
              </w:rPr>
              <w:t>dopelých</w:t>
            </w:r>
            <w:proofErr w:type="spellEnd"/>
            <w:r w:rsidR="004A42ED" w:rsidRPr="004A42ED">
              <w:rPr>
                <w:rFonts w:cs="Calibri"/>
                <w:color w:val="000000"/>
                <w:sz w:val="18"/>
                <w:szCs w:val="18"/>
                <w:lang w:eastAsia="sk-SK"/>
              </w:rPr>
              <w:t xml:space="preserve"> </w:t>
            </w:r>
            <w:proofErr w:type="spellStart"/>
            <w:r w:rsidR="004A42ED" w:rsidRPr="004A42ED">
              <w:rPr>
                <w:rFonts w:cs="Calibri"/>
                <w:color w:val="000000"/>
                <w:sz w:val="18"/>
                <w:szCs w:val="18"/>
                <w:lang w:eastAsia="sk-SK"/>
              </w:rPr>
              <w:t>Kampino</w:t>
            </w:r>
            <w:proofErr w:type="spellEnd"/>
            <w:r w:rsidR="004A42ED" w:rsidRPr="004A42ED">
              <w:rPr>
                <w:rFonts w:cs="Calibri"/>
                <w:color w:val="000000"/>
                <w:sz w:val="18"/>
                <w:szCs w:val="18"/>
                <w:lang w:eastAsia="sk-SK"/>
              </w:rPr>
              <w:t xml:space="preserve">, </w:t>
            </w:r>
            <w:proofErr w:type="spellStart"/>
            <w:r w:rsidR="004A42ED" w:rsidRPr="004A42ED">
              <w:rPr>
                <w:rFonts w:cs="Calibri"/>
                <w:color w:val="000000"/>
                <w:sz w:val="18"/>
                <w:szCs w:val="18"/>
                <w:lang w:eastAsia="sk-SK"/>
              </w:rPr>
              <w:t>Haanova</w:t>
            </w:r>
            <w:proofErr w:type="spellEnd"/>
            <w:r w:rsidR="004A42ED" w:rsidRPr="004A42ED">
              <w:rPr>
                <w:rFonts w:cs="Calibri"/>
                <w:color w:val="000000"/>
                <w:sz w:val="18"/>
                <w:szCs w:val="18"/>
                <w:lang w:eastAsia="sk-SK"/>
              </w:rPr>
              <w:t xml:space="preserve"> 36-38 </w:t>
            </w:r>
          </w:p>
          <w:p w14:paraId="2661E571" w14:textId="00857EC0" w:rsidR="00D3558C" w:rsidRPr="00D3558C" w:rsidRDefault="00A0331D" w:rsidP="00D3558C">
            <w:pPr>
              <w:spacing w:after="0" w:line="240" w:lineRule="auto"/>
              <w:ind w:firstLineChars="500" w:firstLine="900"/>
              <w:rPr>
                <w:rFonts w:ascii="Wingdings" w:hAnsi="Wingdings" w:cs="Calibri"/>
                <w:color w:val="000000"/>
                <w:sz w:val="18"/>
                <w:szCs w:val="18"/>
                <w:lang w:eastAsia="sk-SK"/>
              </w:rPr>
            </w:pPr>
            <w:r>
              <w:rPr>
                <w:rFonts w:cs="Calibri"/>
                <w:color w:val="000000"/>
                <w:sz w:val="18"/>
                <w:szCs w:val="18"/>
                <w:lang w:eastAsia="sk-SK"/>
              </w:rPr>
              <w:t xml:space="preserve">    </w:t>
            </w:r>
            <w:r w:rsidR="00D3558C" w:rsidRPr="00D3558C">
              <w:rPr>
                <w:rFonts w:cs="Calibri"/>
                <w:color w:val="000000"/>
                <w:sz w:val="18"/>
                <w:szCs w:val="18"/>
                <w:lang w:eastAsia="sk-SK"/>
              </w:rPr>
              <w:t>(</w:t>
            </w:r>
            <w:r>
              <w:rPr>
                <w:rFonts w:cs="Calibri"/>
                <w:color w:val="000000"/>
                <w:sz w:val="18"/>
                <w:szCs w:val="18"/>
                <w:lang w:eastAsia="sk-SK"/>
              </w:rPr>
              <w:t xml:space="preserve">tlakový tunel, záťažová </w:t>
            </w:r>
            <w:proofErr w:type="spellStart"/>
            <w:r>
              <w:rPr>
                <w:rFonts w:cs="Calibri"/>
                <w:color w:val="000000"/>
                <w:sz w:val="18"/>
                <w:szCs w:val="18"/>
                <w:lang w:eastAsia="sk-SK"/>
              </w:rPr>
              <w:t>vesta,tlaková</w:t>
            </w:r>
            <w:proofErr w:type="spellEnd"/>
            <w:r>
              <w:rPr>
                <w:rFonts w:cs="Calibri"/>
                <w:color w:val="000000"/>
                <w:sz w:val="18"/>
                <w:szCs w:val="18"/>
                <w:lang w:eastAsia="sk-SK"/>
              </w:rPr>
              <w:t xml:space="preserve"> vesta..</w:t>
            </w:r>
            <w:r w:rsidR="00D3558C" w:rsidRPr="00D3558C">
              <w:rPr>
                <w:rFonts w:cs="Calibri"/>
                <w:color w:val="000000"/>
                <w:sz w:val="18"/>
                <w:szCs w:val="18"/>
                <w:lang w:eastAsia="sk-SK"/>
              </w:rPr>
              <w:t>)</w:t>
            </w:r>
          </w:p>
        </w:tc>
        <w:tc>
          <w:tcPr>
            <w:tcW w:w="679" w:type="pct"/>
            <w:tcBorders>
              <w:top w:val="nil"/>
              <w:left w:val="nil"/>
              <w:bottom w:val="single" w:sz="12" w:space="0" w:color="FFFFFF"/>
              <w:right w:val="single" w:sz="12" w:space="0" w:color="FFFFFF"/>
            </w:tcBorders>
            <w:shd w:val="clear" w:color="000000" w:fill="F2F2F2"/>
            <w:vAlign w:val="center"/>
            <w:hideMark/>
          </w:tcPr>
          <w:p w14:paraId="14ABF7F2"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F2F2F2"/>
            <w:vAlign w:val="center"/>
            <w:hideMark/>
          </w:tcPr>
          <w:p w14:paraId="2453B4DD" w14:textId="49F05B35"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 xml:space="preserve">1 </w:t>
            </w:r>
            <w:r w:rsidR="00716F82">
              <w:rPr>
                <w:rFonts w:cs="Calibri"/>
                <w:color w:val="000000"/>
                <w:sz w:val="18"/>
                <w:szCs w:val="18"/>
                <w:lang w:eastAsia="sk-SK"/>
              </w:rPr>
              <w:t>17</w:t>
            </w: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F2F2F2"/>
            <w:vAlign w:val="center"/>
            <w:hideMark/>
          </w:tcPr>
          <w:p w14:paraId="3A4E53BC" w14:textId="5BA84DED" w:rsidR="00D3558C" w:rsidRPr="004A42ED" w:rsidRDefault="00D3558C" w:rsidP="00D3558C">
            <w:pPr>
              <w:spacing w:after="0" w:line="240" w:lineRule="auto"/>
              <w:jc w:val="right"/>
              <w:rPr>
                <w:rFonts w:cs="Calibri"/>
                <w:color w:val="000000"/>
                <w:sz w:val="18"/>
                <w:szCs w:val="18"/>
                <w:lang w:eastAsia="sk-SK"/>
              </w:rPr>
            </w:pPr>
            <w:r w:rsidRPr="004A42ED">
              <w:rPr>
                <w:rFonts w:cs="Calibri"/>
                <w:color w:val="000000"/>
                <w:sz w:val="18"/>
                <w:szCs w:val="18"/>
                <w:lang w:eastAsia="sk-SK"/>
              </w:rPr>
              <w:t xml:space="preserve">1 </w:t>
            </w:r>
            <w:r w:rsidR="00716F82">
              <w:rPr>
                <w:rFonts w:cs="Calibri"/>
                <w:color w:val="000000"/>
                <w:sz w:val="18"/>
                <w:szCs w:val="18"/>
                <w:lang w:eastAsia="sk-SK"/>
              </w:rPr>
              <w:t>1</w:t>
            </w:r>
            <w:r w:rsidRPr="004A42ED">
              <w:rPr>
                <w:rFonts w:cs="Calibri"/>
                <w:color w:val="000000"/>
                <w:sz w:val="18"/>
                <w:szCs w:val="18"/>
                <w:lang w:eastAsia="sk-SK"/>
              </w:rPr>
              <w:t>700,00</w:t>
            </w:r>
          </w:p>
        </w:tc>
        <w:tc>
          <w:tcPr>
            <w:tcW w:w="593" w:type="pct"/>
            <w:tcBorders>
              <w:top w:val="nil"/>
              <w:left w:val="nil"/>
              <w:bottom w:val="single" w:sz="12" w:space="0" w:color="FFFFFF"/>
              <w:right w:val="single" w:sz="12" w:space="0" w:color="FFFFFF"/>
            </w:tcBorders>
            <w:shd w:val="clear" w:color="000000" w:fill="D9D9D9"/>
            <w:vAlign w:val="center"/>
            <w:hideMark/>
          </w:tcPr>
          <w:p w14:paraId="69EF17C7"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A0331D" w:rsidRPr="00D3558C" w14:paraId="46F03015"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F2F2F2"/>
            <w:vAlign w:val="center"/>
          </w:tcPr>
          <w:p w14:paraId="6AFD122F" w14:textId="0B072337" w:rsidR="00A0331D" w:rsidRPr="00A0331D" w:rsidRDefault="00A0331D" w:rsidP="00A0331D">
            <w:pPr>
              <w:pStyle w:val="Odsekzoznamu"/>
              <w:numPr>
                <w:ilvl w:val="0"/>
                <w:numId w:val="19"/>
              </w:numPr>
              <w:spacing w:after="0" w:line="240" w:lineRule="auto"/>
              <w:rPr>
                <w:rFonts w:ascii="Wingdings" w:hAnsi="Wingdings" w:cs="Calibri"/>
                <w:color w:val="000000"/>
                <w:sz w:val="18"/>
                <w:szCs w:val="18"/>
                <w:lang w:eastAsia="sk-SK"/>
              </w:rPr>
            </w:pPr>
            <w:r w:rsidRPr="00A0331D">
              <w:rPr>
                <w:rFonts w:cs="Calibri"/>
                <w:color w:val="000000"/>
                <w:sz w:val="18"/>
                <w:szCs w:val="18"/>
                <w:lang w:eastAsia="sk-SK"/>
              </w:rPr>
              <w:t>DSS a ZPS Kaštieľ, Hlavná 13, 900 13 Stupava</w:t>
            </w:r>
            <w:r>
              <w:rPr>
                <w:rFonts w:cs="Calibri"/>
                <w:color w:val="000000"/>
                <w:sz w:val="18"/>
                <w:szCs w:val="18"/>
                <w:lang w:eastAsia="sk-SK"/>
              </w:rPr>
              <w:t xml:space="preserve"> (</w:t>
            </w:r>
            <w:proofErr w:type="spellStart"/>
            <w:r>
              <w:rPr>
                <w:rFonts w:cs="Calibri"/>
                <w:color w:val="000000"/>
                <w:sz w:val="18"/>
                <w:szCs w:val="18"/>
                <w:lang w:eastAsia="sk-SK"/>
              </w:rPr>
              <w:t>aromadifúzer</w:t>
            </w:r>
            <w:proofErr w:type="spellEnd"/>
            <w:r>
              <w:rPr>
                <w:rFonts w:cs="Calibri"/>
                <w:color w:val="000000"/>
                <w:sz w:val="18"/>
                <w:szCs w:val="18"/>
                <w:lang w:eastAsia="sk-SK"/>
              </w:rPr>
              <w:t xml:space="preserve">, </w:t>
            </w:r>
            <w:proofErr w:type="spellStart"/>
            <w:r>
              <w:rPr>
                <w:rFonts w:cs="Calibri"/>
                <w:color w:val="000000"/>
                <w:sz w:val="18"/>
                <w:szCs w:val="18"/>
                <w:lang w:eastAsia="sk-SK"/>
              </w:rPr>
              <w:t>projektor,kreslo</w:t>
            </w:r>
            <w:proofErr w:type="spellEnd"/>
            <w:r>
              <w:rPr>
                <w:rFonts w:cs="Calibri"/>
                <w:color w:val="000000"/>
                <w:sz w:val="18"/>
                <w:szCs w:val="18"/>
                <w:lang w:eastAsia="sk-SK"/>
              </w:rPr>
              <w:t>..)</w:t>
            </w:r>
          </w:p>
        </w:tc>
        <w:tc>
          <w:tcPr>
            <w:tcW w:w="679" w:type="pct"/>
            <w:tcBorders>
              <w:top w:val="nil"/>
              <w:left w:val="nil"/>
              <w:bottom w:val="single" w:sz="12" w:space="0" w:color="FFFFFF"/>
              <w:right w:val="single" w:sz="12" w:space="0" w:color="FFFFFF"/>
            </w:tcBorders>
            <w:shd w:val="clear" w:color="000000" w:fill="F2F2F2"/>
            <w:vAlign w:val="center"/>
          </w:tcPr>
          <w:p w14:paraId="09AF8E76" w14:textId="65F24554" w:rsidR="00A0331D" w:rsidRPr="00D3558C" w:rsidRDefault="00A0331D"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F2F2F2"/>
            <w:vAlign w:val="center"/>
          </w:tcPr>
          <w:p w14:paraId="2EF9023C" w14:textId="6BEB4ECC" w:rsidR="00A0331D" w:rsidRPr="00D3558C" w:rsidRDefault="00A0331D" w:rsidP="00D3558C">
            <w:pPr>
              <w:spacing w:after="0" w:line="240" w:lineRule="auto"/>
              <w:jc w:val="right"/>
              <w:rPr>
                <w:rFonts w:cs="Calibri"/>
                <w:color w:val="000000"/>
                <w:sz w:val="18"/>
                <w:szCs w:val="18"/>
                <w:lang w:eastAsia="sk-SK"/>
              </w:rPr>
            </w:pPr>
            <w:r>
              <w:rPr>
                <w:rFonts w:cs="Calibri"/>
                <w:color w:val="000000"/>
                <w:sz w:val="18"/>
                <w:szCs w:val="18"/>
                <w:lang w:eastAsia="sk-SK"/>
              </w:rPr>
              <w:t>500,00</w:t>
            </w:r>
          </w:p>
        </w:tc>
        <w:tc>
          <w:tcPr>
            <w:tcW w:w="678" w:type="pct"/>
            <w:tcBorders>
              <w:top w:val="nil"/>
              <w:left w:val="nil"/>
              <w:bottom w:val="single" w:sz="12" w:space="0" w:color="FFFFFF"/>
              <w:right w:val="single" w:sz="12" w:space="0" w:color="FFFFFF"/>
            </w:tcBorders>
            <w:shd w:val="clear" w:color="000000" w:fill="F2F2F2"/>
            <w:vAlign w:val="center"/>
          </w:tcPr>
          <w:p w14:paraId="21D78892" w14:textId="615C6291" w:rsidR="00A0331D" w:rsidRPr="004A42ED" w:rsidRDefault="00A0331D" w:rsidP="00D3558C">
            <w:pPr>
              <w:spacing w:after="0" w:line="240" w:lineRule="auto"/>
              <w:jc w:val="right"/>
              <w:rPr>
                <w:rFonts w:cs="Calibri"/>
                <w:color w:val="000000"/>
                <w:sz w:val="18"/>
                <w:szCs w:val="18"/>
                <w:lang w:eastAsia="sk-SK"/>
              </w:rPr>
            </w:pPr>
            <w:r>
              <w:rPr>
                <w:rFonts w:cs="Calibri"/>
                <w:color w:val="000000"/>
                <w:sz w:val="18"/>
                <w:szCs w:val="18"/>
                <w:lang w:eastAsia="sk-SK"/>
              </w:rPr>
              <w:t>500,00</w:t>
            </w:r>
          </w:p>
        </w:tc>
        <w:tc>
          <w:tcPr>
            <w:tcW w:w="593" w:type="pct"/>
            <w:tcBorders>
              <w:top w:val="nil"/>
              <w:left w:val="nil"/>
              <w:bottom w:val="single" w:sz="12" w:space="0" w:color="FFFFFF"/>
              <w:right w:val="single" w:sz="12" w:space="0" w:color="FFFFFF"/>
            </w:tcBorders>
            <w:shd w:val="clear" w:color="000000" w:fill="D9D9D9"/>
            <w:vAlign w:val="center"/>
          </w:tcPr>
          <w:p w14:paraId="649F1B89" w14:textId="3E1A2F67" w:rsidR="00A0331D" w:rsidRPr="00D3558C" w:rsidRDefault="00A0331D" w:rsidP="00D3558C">
            <w:pPr>
              <w:spacing w:after="0" w:line="240" w:lineRule="auto"/>
              <w:jc w:val="right"/>
              <w:rPr>
                <w:rFonts w:cs="Calibri"/>
                <w:color w:val="000000"/>
                <w:sz w:val="18"/>
                <w:szCs w:val="18"/>
                <w:lang w:eastAsia="sk-SK"/>
              </w:rPr>
            </w:pPr>
            <w:r>
              <w:rPr>
                <w:rFonts w:cs="Calibri"/>
                <w:color w:val="000000"/>
                <w:sz w:val="18"/>
                <w:szCs w:val="18"/>
                <w:lang w:eastAsia="sk-SK"/>
              </w:rPr>
              <w:t>100,00%</w:t>
            </w:r>
          </w:p>
        </w:tc>
      </w:tr>
      <w:tr w:rsidR="00D3558C" w:rsidRPr="00D3558C" w14:paraId="5218DED8"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2EAAF184" w14:textId="60326F9C"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 xml:space="preserve">Dotácia z Hl. m. SR </w:t>
            </w:r>
            <w:r w:rsidR="002B64F9" w:rsidRPr="002B64F9">
              <w:rPr>
                <w:rFonts w:cs="Calibri"/>
                <w:color w:val="000000"/>
                <w:sz w:val="18"/>
                <w:szCs w:val="18"/>
                <w:lang w:eastAsia="sk-SK"/>
              </w:rPr>
              <w:t xml:space="preserve">ŠJ pri SOŠ podnikania a služieb, </w:t>
            </w:r>
            <w:proofErr w:type="spellStart"/>
            <w:r w:rsidR="002B64F9" w:rsidRPr="002B64F9">
              <w:rPr>
                <w:rFonts w:cs="Calibri"/>
                <w:color w:val="000000"/>
                <w:sz w:val="18"/>
                <w:szCs w:val="18"/>
                <w:lang w:eastAsia="sk-SK"/>
              </w:rPr>
              <w:t>Myslenická</w:t>
            </w:r>
            <w:proofErr w:type="spellEnd"/>
            <w:r w:rsidR="002B64F9" w:rsidRPr="002B64F9">
              <w:rPr>
                <w:rFonts w:cs="Calibri"/>
                <w:color w:val="000000"/>
                <w:sz w:val="18"/>
                <w:szCs w:val="18"/>
                <w:lang w:eastAsia="sk-SK"/>
              </w:rPr>
              <w:t xml:space="preserve"> 1, Pezinok</w:t>
            </w:r>
            <w:r w:rsidR="002B64F9">
              <w:rPr>
                <w:rFonts w:cs="Calibri"/>
                <w:color w:val="000000"/>
                <w:sz w:val="18"/>
                <w:szCs w:val="18"/>
                <w:lang w:eastAsia="sk-SK"/>
              </w:rPr>
              <w:t xml:space="preserve"> </w:t>
            </w:r>
            <w:r w:rsidRPr="00D3558C">
              <w:rPr>
                <w:rFonts w:cs="Calibri"/>
                <w:color w:val="000000"/>
                <w:sz w:val="18"/>
                <w:szCs w:val="18"/>
                <w:lang w:eastAsia="sk-SK"/>
              </w:rPr>
              <w:t xml:space="preserve">do 15 rokov </w:t>
            </w:r>
          </w:p>
        </w:tc>
        <w:tc>
          <w:tcPr>
            <w:tcW w:w="679" w:type="pct"/>
            <w:tcBorders>
              <w:top w:val="nil"/>
              <w:left w:val="nil"/>
              <w:bottom w:val="single" w:sz="12" w:space="0" w:color="FFFFFF"/>
              <w:right w:val="single" w:sz="12" w:space="0" w:color="FFFFFF"/>
            </w:tcBorders>
            <w:shd w:val="clear" w:color="000000" w:fill="D9D9D9"/>
            <w:vAlign w:val="center"/>
            <w:hideMark/>
          </w:tcPr>
          <w:p w14:paraId="6F002B7E"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7491791B" w14:textId="3851C961" w:rsidR="00D3558C"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35 861,88</w:t>
            </w:r>
          </w:p>
        </w:tc>
        <w:tc>
          <w:tcPr>
            <w:tcW w:w="678" w:type="pct"/>
            <w:tcBorders>
              <w:top w:val="nil"/>
              <w:left w:val="nil"/>
              <w:bottom w:val="single" w:sz="12" w:space="0" w:color="FFFFFF"/>
              <w:right w:val="single" w:sz="12" w:space="0" w:color="FFFFFF"/>
            </w:tcBorders>
            <w:shd w:val="clear" w:color="000000" w:fill="D9D9D9"/>
            <w:vAlign w:val="center"/>
            <w:hideMark/>
          </w:tcPr>
          <w:p w14:paraId="0BDFF63A" w14:textId="0F0D58DD" w:rsidR="00D3558C"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35 861,88</w:t>
            </w:r>
          </w:p>
        </w:tc>
        <w:tc>
          <w:tcPr>
            <w:tcW w:w="593" w:type="pct"/>
            <w:tcBorders>
              <w:top w:val="nil"/>
              <w:left w:val="nil"/>
              <w:bottom w:val="single" w:sz="12" w:space="0" w:color="FFFFFF"/>
              <w:right w:val="single" w:sz="12" w:space="0" w:color="FFFFFF"/>
            </w:tcBorders>
            <w:shd w:val="clear" w:color="000000" w:fill="D9D9D9"/>
            <w:vAlign w:val="center"/>
            <w:hideMark/>
          </w:tcPr>
          <w:p w14:paraId="29F5B476"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D3558C" w:rsidRPr="00D3558C" w14:paraId="349F5959"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1F29E55A"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Dotácia z ÚPSVaR  na podporu výchovy k stravovacím návykom dieťaťa (obedy zadarmo)</w:t>
            </w:r>
          </w:p>
        </w:tc>
        <w:tc>
          <w:tcPr>
            <w:tcW w:w="679" w:type="pct"/>
            <w:tcBorders>
              <w:top w:val="nil"/>
              <w:left w:val="nil"/>
              <w:bottom w:val="single" w:sz="12" w:space="0" w:color="FFFFFF"/>
              <w:right w:val="single" w:sz="12" w:space="0" w:color="FFFFFF"/>
            </w:tcBorders>
            <w:shd w:val="clear" w:color="000000" w:fill="D9D9D9"/>
            <w:vAlign w:val="center"/>
            <w:hideMark/>
          </w:tcPr>
          <w:p w14:paraId="25508237"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1CA04DA0" w14:textId="33B317E1" w:rsidR="00D3558C"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149 622,00</w:t>
            </w:r>
          </w:p>
        </w:tc>
        <w:tc>
          <w:tcPr>
            <w:tcW w:w="678" w:type="pct"/>
            <w:tcBorders>
              <w:top w:val="nil"/>
              <w:left w:val="nil"/>
              <w:bottom w:val="single" w:sz="12" w:space="0" w:color="FFFFFF"/>
              <w:right w:val="single" w:sz="12" w:space="0" w:color="FFFFFF"/>
            </w:tcBorders>
            <w:shd w:val="clear" w:color="000000" w:fill="D9D9D9"/>
            <w:vAlign w:val="center"/>
            <w:hideMark/>
          </w:tcPr>
          <w:p w14:paraId="4CCEBE34" w14:textId="4B4D778C" w:rsidR="00D3558C"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149 622,00</w:t>
            </w:r>
          </w:p>
        </w:tc>
        <w:tc>
          <w:tcPr>
            <w:tcW w:w="593" w:type="pct"/>
            <w:tcBorders>
              <w:top w:val="nil"/>
              <w:left w:val="nil"/>
              <w:bottom w:val="single" w:sz="12" w:space="0" w:color="FFFFFF"/>
              <w:right w:val="single" w:sz="12" w:space="0" w:color="FFFFFF"/>
            </w:tcBorders>
            <w:shd w:val="clear" w:color="000000" w:fill="D9D9D9"/>
            <w:vAlign w:val="center"/>
            <w:hideMark/>
          </w:tcPr>
          <w:p w14:paraId="3263AAE1"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100,00%</w:t>
            </w:r>
          </w:p>
        </w:tc>
      </w:tr>
      <w:tr w:rsidR="00D3558C" w:rsidRPr="00D3558C" w14:paraId="0BA370A2"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37C0B7B9"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Vrátené prostriedky zo škôl (</w:t>
            </w:r>
            <w:proofErr w:type="spellStart"/>
            <w:r w:rsidRPr="00D3558C">
              <w:rPr>
                <w:rFonts w:cs="Calibri"/>
                <w:color w:val="000000"/>
                <w:sz w:val="18"/>
                <w:szCs w:val="18"/>
                <w:lang w:eastAsia="sk-SK"/>
              </w:rPr>
              <w:t>predfinancovanie</w:t>
            </w:r>
            <w:proofErr w:type="spellEnd"/>
            <w:r w:rsidRPr="00D3558C">
              <w:rPr>
                <w:rFonts w:cs="Calibri"/>
                <w:color w:val="000000"/>
                <w:sz w:val="18"/>
                <w:szCs w:val="18"/>
                <w:lang w:eastAsia="sk-SK"/>
              </w:rPr>
              <w:t xml:space="preserve"> Projektu ERAZMUS)</w:t>
            </w:r>
          </w:p>
        </w:tc>
        <w:tc>
          <w:tcPr>
            <w:tcW w:w="679" w:type="pct"/>
            <w:tcBorders>
              <w:top w:val="nil"/>
              <w:left w:val="nil"/>
              <w:bottom w:val="single" w:sz="12" w:space="0" w:color="FFFFFF"/>
              <w:right w:val="single" w:sz="12" w:space="0" w:color="FFFFFF"/>
            </w:tcBorders>
            <w:shd w:val="clear" w:color="000000" w:fill="D9D9D9"/>
            <w:vAlign w:val="center"/>
            <w:hideMark/>
          </w:tcPr>
          <w:p w14:paraId="7754F684"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11821CA5"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47918EA1" w14:textId="5AB8E32D" w:rsidR="00D3558C"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16 910,04</w:t>
            </w:r>
          </w:p>
        </w:tc>
        <w:tc>
          <w:tcPr>
            <w:tcW w:w="593" w:type="pct"/>
            <w:tcBorders>
              <w:top w:val="nil"/>
              <w:left w:val="nil"/>
              <w:bottom w:val="single" w:sz="12" w:space="0" w:color="FFFFFF"/>
              <w:right w:val="single" w:sz="12" w:space="0" w:color="FFFFFF"/>
            </w:tcBorders>
            <w:shd w:val="clear" w:color="000000" w:fill="D9D9D9"/>
            <w:vAlign w:val="center"/>
            <w:hideMark/>
          </w:tcPr>
          <w:p w14:paraId="3619822B"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 </w:t>
            </w:r>
          </w:p>
        </w:tc>
      </w:tr>
      <w:tr w:rsidR="002B64F9" w:rsidRPr="00D3558C" w14:paraId="4ABA1363"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tcPr>
          <w:p w14:paraId="4EA5ED70" w14:textId="060106EE" w:rsidR="002B64F9" w:rsidRPr="00D3558C" w:rsidRDefault="002B64F9" w:rsidP="00D3558C">
            <w:pPr>
              <w:spacing w:after="0" w:line="240" w:lineRule="auto"/>
              <w:rPr>
                <w:rFonts w:cs="Calibri"/>
                <w:color w:val="000000"/>
                <w:sz w:val="18"/>
                <w:szCs w:val="18"/>
                <w:lang w:eastAsia="sk-SK"/>
              </w:rPr>
            </w:pPr>
            <w:r>
              <w:rPr>
                <w:rFonts w:cs="Calibri"/>
                <w:color w:val="000000"/>
                <w:sz w:val="18"/>
                <w:szCs w:val="18"/>
                <w:lang w:eastAsia="sk-SK"/>
              </w:rPr>
              <w:t xml:space="preserve">Dotácia z Metodicko-poradenského centra na Projekt </w:t>
            </w:r>
            <w:r w:rsidRPr="002B64F9">
              <w:rPr>
                <w:rFonts w:cs="Calibri"/>
                <w:color w:val="000000"/>
                <w:sz w:val="18"/>
                <w:szCs w:val="18"/>
                <w:lang w:eastAsia="sk-SK"/>
              </w:rPr>
              <w:t xml:space="preserve"> "Pomáhajúce profesie v edukácii detí a</w:t>
            </w:r>
            <w:r>
              <w:rPr>
                <w:rFonts w:cs="Calibri"/>
                <w:color w:val="000000"/>
                <w:sz w:val="18"/>
                <w:szCs w:val="18"/>
                <w:lang w:eastAsia="sk-SK"/>
              </w:rPr>
              <w:t> </w:t>
            </w:r>
            <w:r w:rsidRPr="002B64F9">
              <w:rPr>
                <w:rFonts w:cs="Calibri"/>
                <w:color w:val="000000"/>
                <w:sz w:val="18"/>
                <w:szCs w:val="18"/>
                <w:lang w:eastAsia="sk-SK"/>
              </w:rPr>
              <w:t>žiakov</w:t>
            </w:r>
            <w:r>
              <w:rPr>
                <w:rFonts w:cs="Calibri"/>
                <w:color w:val="000000"/>
                <w:sz w:val="18"/>
                <w:szCs w:val="18"/>
                <w:lang w:eastAsia="sk-SK"/>
              </w:rPr>
              <w:t>“</w:t>
            </w:r>
          </w:p>
        </w:tc>
        <w:tc>
          <w:tcPr>
            <w:tcW w:w="679" w:type="pct"/>
            <w:tcBorders>
              <w:top w:val="nil"/>
              <w:left w:val="nil"/>
              <w:bottom w:val="single" w:sz="12" w:space="0" w:color="FFFFFF"/>
              <w:right w:val="single" w:sz="12" w:space="0" w:color="FFFFFF"/>
            </w:tcBorders>
            <w:shd w:val="clear" w:color="000000" w:fill="D9D9D9"/>
            <w:vAlign w:val="center"/>
          </w:tcPr>
          <w:p w14:paraId="4E92D022" w14:textId="2314125A" w:rsidR="002B64F9"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tcPr>
          <w:p w14:paraId="71477826" w14:textId="42F41101" w:rsidR="002B64F9"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103 929,49</w:t>
            </w:r>
          </w:p>
        </w:tc>
        <w:tc>
          <w:tcPr>
            <w:tcW w:w="678" w:type="pct"/>
            <w:tcBorders>
              <w:top w:val="nil"/>
              <w:left w:val="nil"/>
              <w:bottom w:val="single" w:sz="12" w:space="0" w:color="FFFFFF"/>
              <w:right w:val="single" w:sz="12" w:space="0" w:color="FFFFFF"/>
            </w:tcBorders>
            <w:shd w:val="clear" w:color="000000" w:fill="D9D9D9"/>
            <w:vAlign w:val="center"/>
          </w:tcPr>
          <w:p w14:paraId="5DD934CD" w14:textId="45C43944" w:rsidR="002B64F9"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92 184,62</w:t>
            </w:r>
          </w:p>
        </w:tc>
        <w:tc>
          <w:tcPr>
            <w:tcW w:w="593" w:type="pct"/>
            <w:tcBorders>
              <w:top w:val="nil"/>
              <w:left w:val="nil"/>
              <w:bottom w:val="single" w:sz="12" w:space="0" w:color="FFFFFF"/>
              <w:right w:val="single" w:sz="12" w:space="0" w:color="FFFFFF"/>
            </w:tcBorders>
            <w:shd w:val="clear" w:color="000000" w:fill="D9D9D9"/>
            <w:vAlign w:val="center"/>
          </w:tcPr>
          <w:p w14:paraId="70CB84FF" w14:textId="1DA150C3" w:rsidR="002B64F9" w:rsidRPr="00D3558C" w:rsidRDefault="002B64F9" w:rsidP="00D3558C">
            <w:pPr>
              <w:spacing w:after="0" w:line="240" w:lineRule="auto"/>
              <w:jc w:val="right"/>
              <w:rPr>
                <w:rFonts w:cs="Calibri"/>
                <w:color w:val="000000"/>
                <w:sz w:val="18"/>
                <w:szCs w:val="18"/>
                <w:lang w:eastAsia="sk-SK"/>
              </w:rPr>
            </w:pPr>
            <w:r>
              <w:rPr>
                <w:rFonts w:cs="Calibri"/>
                <w:color w:val="000000"/>
                <w:sz w:val="18"/>
                <w:szCs w:val="18"/>
                <w:lang w:eastAsia="sk-SK"/>
              </w:rPr>
              <w:t>88,70%</w:t>
            </w:r>
          </w:p>
        </w:tc>
      </w:tr>
      <w:tr w:rsidR="008F6DAE" w:rsidRPr="00D3558C" w14:paraId="2BDC0C81"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tcPr>
          <w:p w14:paraId="20DCAAA8" w14:textId="243848FB" w:rsidR="008F6DAE" w:rsidRPr="00D3558C" w:rsidRDefault="007B796E" w:rsidP="00D3558C">
            <w:pPr>
              <w:spacing w:after="0" w:line="240" w:lineRule="auto"/>
              <w:rPr>
                <w:rFonts w:cs="Calibri"/>
                <w:color w:val="000000"/>
                <w:sz w:val="18"/>
                <w:szCs w:val="18"/>
                <w:lang w:eastAsia="sk-SK"/>
              </w:rPr>
            </w:pPr>
            <w:r w:rsidRPr="00D3558C">
              <w:rPr>
                <w:rFonts w:cs="Calibri"/>
                <w:color w:val="000000"/>
                <w:sz w:val="18"/>
                <w:szCs w:val="18"/>
                <w:lang w:eastAsia="sk-SK"/>
              </w:rPr>
              <w:lastRenderedPageBreak/>
              <w:t>Projekt DANUBE BIKE&amp;BOAT /Malý Dunaj – refundácia ERDF</w:t>
            </w:r>
          </w:p>
        </w:tc>
        <w:tc>
          <w:tcPr>
            <w:tcW w:w="679" w:type="pct"/>
            <w:tcBorders>
              <w:top w:val="nil"/>
              <w:left w:val="nil"/>
              <w:bottom w:val="single" w:sz="12" w:space="0" w:color="FFFFFF"/>
              <w:right w:val="single" w:sz="12" w:space="0" w:color="FFFFFF"/>
            </w:tcBorders>
            <w:shd w:val="clear" w:color="000000" w:fill="D9D9D9"/>
            <w:vAlign w:val="center"/>
          </w:tcPr>
          <w:p w14:paraId="4C8BAE6C" w14:textId="685EBF4E" w:rsidR="008F6DAE"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598 763,54</w:t>
            </w:r>
          </w:p>
        </w:tc>
        <w:tc>
          <w:tcPr>
            <w:tcW w:w="678" w:type="pct"/>
            <w:tcBorders>
              <w:top w:val="nil"/>
              <w:left w:val="nil"/>
              <w:bottom w:val="single" w:sz="12" w:space="0" w:color="FFFFFF"/>
              <w:right w:val="single" w:sz="12" w:space="0" w:color="FFFFFF"/>
            </w:tcBorders>
            <w:shd w:val="clear" w:color="000000" w:fill="D9D9D9"/>
            <w:vAlign w:val="center"/>
          </w:tcPr>
          <w:p w14:paraId="25AF3256" w14:textId="1225D325" w:rsidR="008F6DAE"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611 507,25</w:t>
            </w:r>
          </w:p>
        </w:tc>
        <w:tc>
          <w:tcPr>
            <w:tcW w:w="678" w:type="pct"/>
            <w:tcBorders>
              <w:top w:val="nil"/>
              <w:left w:val="nil"/>
              <w:bottom w:val="single" w:sz="12" w:space="0" w:color="FFFFFF"/>
              <w:right w:val="single" w:sz="12" w:space="0" w:color="FFFFFF"/>
            </w:tcBorders>
            <w:shd w:val="clear" w:color="000000" w:fill="D9D9D9"/>
            <w:vAlign w:val="center"/>
          </w:tcPr>
          <w:p w14:paraId="4D2AE38F" w14:textId="570A209C" w:rsidR="008F6DAE"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374 876,97</w:t>
            </w:r>
          </w:p>
        </w:tc>
        <w:tc>
          <w:tcPr>
            <w:tcW w:w="593" w:type="pct"/>
            <w:tcBorders>
              <w:top w:val="nil"/>
              <w:left w:val="nil"/>
              <w:bottom w:val="single" w:sz="12" w:space="0" w:color="FFFFFF"/>
              <w:right w:val="single" w:sz="12" w:space="0" w:color="FFFFFF"/>
            </w:tcBorders>
            <w:shd w:val="clear" w:color="000000" w:fill="D9D9D9"/>
            <w:vAlign w:val="center"/>
          </w:tcPr>
          <w:p w14:paraId="0168C862" w14:textId="5FFB395A" w:rsidR="008F6DAE"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61,30%</w:t>
            </w:r>
          </w:p>
        </w:tc>
      </w:tr>
      <w:tr w:rsidR="00D3558C" w:rsidRPr="00D3558C" w14:paraId="5E2401C3" w14:textId="77777777" w:rsidTr="007B796E">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6283C176"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 xml:space="preserve">SO pre Integrovaný regionálny operačný program/ OS 6 Technická pomoc – refundácia </w:t>
            </w:r>
          </w:p>
        </w:tc>
        <w:tc>
          <w:tcPr>
            <w:tcW w:w="679" w:type="pct"/>
            <w:tcBorders>
              <w:top w:val="nil"/>
              <w:left w:val="nil"/>
              <w:bottom w:val="single" w:sz="12" w:space="0" w:color="FFFFFF"/>
              <w:right w:val="single" w:sz="12" w:space="0" w:color="FFFFFF"/>
            </w:tcBorders>
            <w:shd w:val="clear" w:color="000000" w:fill="D9D9D9"/>
            <w:vAlign w:val="center"/>
            <w:hideMark/>
          </w:tcPr>
          <w:p w14:paraId="73A1B7D6"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1E168322" w14:textId="15C7AD99" w:rsidR="00D3558C" w:rsidRPr="00D3558C" w:rsidRDefault="007B796E"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60B16287" w14:textId="49B9B1E8" w:rsidR="00D3558C" w:rsidRPr="00D3558C" w:rsidRDefault="007B796E"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593" w:type="pct"/>
            <w:tcBorders>
              <w:top w:val="nil"/>
              <w:left w:val="nil"/>
              <w:bottom w:val="single" w:sz="12" w:space="0" w:color="FFFFFF"/>
              <w:right w:val="single" w:sz="12" w:space="0" w:color="FFFFFF"/>
            </w:tcBorders>
            <w:shd w:val="clear" w:color="000000" w:fill="D9D9D9"/>
            <w:vAlign w:val="center"/>
          </w:tcPr>
          <w:p w14:paraId="101DB135" w14:textId="73EADB02" w:rsidR="00D3558C" w:rsidRPr="00D3558C" w:rsidRDefault="00D3558C" w:rsidP="00D3558C">
            <w:pPr>
              <w:spacing w:after="0" w:line="240" w:lineRule="auto"/>
              <w:jc w:val="right"/>
              <w:rPr>
                <w:rFonts w:cs="Calibri"/>
                <w:color w:val="000000"/>
                <w:sz w:val="18"/>
                <w:szCs w:val="18"/>
                <w:lang w:eastAsia="sk-SK"/>
              </w:rPr>
            </w:pPr>
          </w:p>
        </w:tc>
      </w:tr>
      <w:tr w:rsidR="00D3558C" w:rsidRPr="00D3558C" w14:paraId="0610DCE7"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12BC7A6F"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 xml:space="preserve">INTERACT – refundácia z MF SR </w:t>
            </w:r>
          </w:p>
        </w:tc>
        <w:tc>
          <w:tcPr>
            <w:tcW w:w="679" w:type="pct"/>
            <w:tcBorders>
              <w:top w:val="nil"/>
              <w:left w:val="nil"/>
              <w:bottom w:val="single" w:sz="12" w:space="0" w:color="FFFFFF"/>
              <w:right w:val="single" w:sz="12" w:space="0" w:color="FFFFFF"/>
            </w:tcBorders>
            <w:shd w:val="clear" w:color="000000" w:fill="D9D9D9"/>
            <w:vAlign w:val="center"/>
            <w:hideMark/>
          </w:tcPr>
          <w:p w14:paraId="63B1AED7" w14:textId="71B8B320" w:rsidR="00D3558C" w:rsidRPr="00D3558C" w:rsidRDefault="007B796E" w:rsidP="00D3558C">
            <w:pPr>
              <w:spacing w:after="0" w:line="240" w:lineRule="auto"/>
              <w:jc w:val="right"/>
              <w:rPr>
                <w:rFonts w:cs="Calibri"/>
                <w:color w:val="000000"/>
                <w:sz w:val="18"/>
                <w:szCs w:val="18"/>
                <w:lang w:eastAsia="sk-SK"/>
              </w:rPr>
            </w:pPr>
            <w:r>
              <w:rPr>
                <w:rFonts w:cs="Calibri"/>
                <w:color w:val="000000"/>
                <w:sz w:val="18"/>
                <w:szCs w:val="18"/>
                <w:lang w:eastAsia="sk-SK"/>
              </w:rPr>
              <w:t>1 095 327,99</w:t>
            </w:r>
          </w:p>
        </w:tc>
        <w:tc>
          <w:tcPr>
            <w:tcW w:w="678" w:type="pct"/>
            <w:tcBorders>
              <w:top w:val="nil"/>
              <w:left w:val="nil"/>
              <w:bottom w:val="single" w:sz="12" w:space="0" w:color="FFFFFF"/>
              <w:right w:val="single" w:sz="12" w:space="0" w:color="FFFFFF"/>
            </w:tcBorders>
            <w:shd w:val="clear" w:color="000000" w:fill="D9D9D9"/>
            <w:vAlign w:val="center"/>
            <w:hideMark/>
          </w:tcPr>
          <w:p w14:paraId="328D68FD" w14:textId="09EB34D8" w:rsidR="00D3558C" w:rsidRPr="00D3558C" w:rsidRDefault="007B796E" w:rsidP="00D3558C">
            <w:pPr>
              <w:spacing w:after="0" w:line="240" w:lineRule="auto"/>
              <w:jc w:val="right"/>
              <w:rPr>
                <w:rFonts w:cs="Calibri"/>
                <w:color w:val="000000"/>
                <w:sz w:val="18"/>
                <w:szCs w:val="18"/>
                <w:lang w:eastAsia="sk-SK"/>
              </w:rPr>
            </w:pPr>
            <w:r>
              <w:rPr>
                <w:rFonts w:cs="Calibri"/>
                <w:color w:val="000000"/>
                <w:sz w:val="18"/>
                <w:szCs w:val="18"/>
                <w:lang w:eastAsia="sk-SK"/>
              </w:rPr>
              <w:t>1 095 327,99</w:t>
            </w:r>
          </w:p>
        </w:tc>
        <w:tc>
          <w:tcPr>
            <w:tcW w:w="678" w:type="pct"/>
            <w:tcBorders>
              <w:top w:val="nil"/>
              <w:left w:val="nil"/>
              <w:bottom w:val="single" w:sz="12" w:space="0" w:color="FFFFFF"/>
              <w:right w:val="single" w:sz="12" w:space="0" w:color="FFFFFF"/>
            </w:tcBorders>
            <w:shd w:val="clear" w:color="000000" w:fill="D9D9D9"/>
            <w:vAlign w:val="center"/>
            <w:hideMark/>
          </w:tcPr>
          <w:p w14:paraId="7601878D" w14:textId="41322269" w:rsidR="00D3558C" w:rsidRPr="00D3558C" w:rsidRDefault="007B796E" w:rsidP="00D3558C">
            <w:pPr>
              <w:spacing w:after="0" w:line="240" w:lineRule="auto"/>
              <w:jc w:val="right"/>
              <w:rPr>
                <w:rFonts w:cs="Calibri"/>
                <w:color w:val="000000"/>
                <w:sz w:val="18"/>
                <w:szCs w:val="18"/>
                <w:lang w:eastAsia="sk-SK"/>
              </w:rPr>
            </w:pPr>
            <w:r>
              <w:rPr>
                <w:rFonts w:cs="Calibri"/>
                <w:color w:val="000000"/>
                <w:sz w:val="18"/>
                <w:szCs w:val="18"/>
                <w:lang w:eastAsia="sk-SK"/>
              </w:rPr>
              <w:t>559 918,54</w:t>
            </w:r>
          </w:p>
        </w:tc>
        <w:tc>
          <w:tcPr>
            <w:tcW w:w="593" w:type="pct"/>
            <w:tcBorders>
              <w:top w:val="nil"/>
              <w:left w:val="nil"/>
              <w:bottom w:val="single" w:sz="12" w:space="0" w:color="FFFFFF"/>
              <w:right w:val="single" w:sz="12" w:space="0" w:color="FFFFFF"/>
            </w:tcBorders>
            <w:shd w:val="clear" w:color="000000" w:fill="D9D9D9"/>
            <w:vAlign w:val="center"/>
            <w:hideMark/>
          </w:tcPr>
          <w:p w14:paraId="33BA1DAA" w14:textId="06B88951" w:rsidR="00D3558C" w:rsidRPr="00D3558C" w:rsidRDefault="007B796E" w:rsidP="00D3558C">
            <w:pPr>
              <w:spacing w:after="0" w:line="240" w:lineRule="auto"/>
              <w:jc w:val="right"/>
              <w:rPr>
                <w:rFonts w:cs="Calibri"/>
                <w:color w:val="000000"/>
                <w:sz w:val="18"/>
                <w:szCs w:val="18"/>
                <w:lang w:eastAsia="sk-SK"/>
              </w:rPr>
            </w:pPr>
            <w:r>
              <w:rPr>
                <w:rFonts w:cs="Calibri"/>
                <w:color w:val="000000"/>
                <w:sz w:val="18"/>
                <w:szCs w:val="18"/>
                <w:lang w:eastAsia="sk-SK"/>
              </w:rPr>
              <w:t>51,12</w:t>
            </w:r>
            <w:r w:rsidR="00D3558C" w:rsidRPr="00D3558C">
              <w:rPr>
                <w:rFonts w:cs="Calibri"/>
                <w:color w:val="000000"/>
                <w:sz w:val="18"/>
                <w:szCs w:val="18"/>
                <w:lang w:eastAsia="sk-SK"/>
              </w:rPr>
              <w:t>%</w:t>
            </w:r>
          </w:p>
        </w:tc>
      </w:tr>
      <w:tr w:rsidR="00D3558C" w:rsidRPr="00D3558C" w14:paraId="6A84E3CD"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4FF72ABC" w14:textId="40151E21" w:rsidR="00D3558C" w:rsidRPr="00D3558C" w:rsidRDefault="007B796E" w:rsidP="00D3558C">
            <w:pPr>
              <w:spacing w:after="0" w:line="240" w:lineRule="auto"/>
              <w:rPr>
                <w:rFonts w:cs="Calibri"/>
                <w:color w:val="000000"/>
                <w:sz w:val="18"/>
                <w:szCs w:val="18"/>
                <w:lang w:eastAsia="sk-SK"/>
              </w:rPr>
            </w:pPr>
            <w:proofErr w:type="spellStart"/>
            <w:r>
              <w:rPr>
                <w:rFonts w:cs="Calibri"/>
                <w:color w:val="000000"/>
                <w:sz w:val="18"/>
                <w:szCs w:val="18"/>
                <w:lang w:eastAsia="sk-SK"/>
              </w:rPr>
              <w:t>Sacra</w:t>
            </w:r>
            <w:proofErr w:type="spellEnd"/>
            <w:r>
              <w:rPr>
                <w:rFonts w:cs="Calibri"/>
                <w:color w:val="000000"/>
                <w:sz w:val="18"/>
                <w:szCs w:val="18"/>
                <w:lang w:eastAsia="sk-SK"/>
              </w:rPr>
              <w:t xml:space="preserve"> </w:t>
            </w:r>
            <w:proofErr w:type="spellStart"/>
            <w:r>
              <w:rPr>
                <w:rFonts w:cs="Calibri"/>
                <w:color w:val="000000"/>
                <w:sz w:val="18"/>
                <w:szCs w:val="18"/>
                <w:lang w:eastAsia="sk-SK"/>
              </w:rPr>
              <w:t>Velo</w:t>
            </w:r>
            <w:proofErr w:type="spellEnd"/>
          </w:p>
        </w:tc>
        <w:tc>
          <w:tcPr>
            <w:tcW w:w="679" w:type="pct"/>
            <w:tcBorders>
              <w:top w:val="nil"/>
              <w:left w:val="nil"/>
              <w:bottom w:val="single" w:sz="12" w:space="0" w:color="FFFFFF"/>
              <w:right w:val="single" w:sz="12" w:space="0" w:color="FFFFFF"/>
            </w:tcBorders>
            <w:shd w:val="clear" w:color="000000" w:fill="D9D9D9"/>
            <w:vAlign w:val="center"/>
            <w:hideMark/>
          </w:tcPr>
          <w:p w14:paraId="582F5D90" w14:textId="05F00B03" w:rsidR="00D3558C" w:rsidRPr="00D3558C" w:rsidRDefault="007B796E" w:rsidP="00D3558C">
            <w:pPr>
              <w:spacing w:after="0" w:line="240" w:lineRule="auto"/>
              <w:jc w:val="right"/>
              <w:rPr>
                <w:rFonts w:cs="Calibri"/>
                <w:color w:val="000000"/>
                <w:sz w:val="18"/>
                <w:szCs w:val="18"/>
                <w:lang w:eastAsia="sk-SK"/>
              </w:rPr>
            </w:pPr>
            <w:r>
              <w:rPr>
                <w:rFonts w:cs="Calibri"/>
                <w:color w:val="000000"/>
                <w:sz w:val="18"/>
                <w:szCs w:val="18"/>
                <w:lang w:eastAsia="sk-SK"/>
              </w:rPr>
              <w:t>27 709,41</w:t>
            </w:r>
          </w:p>
        </w:tc>
        <w:tc>
          <w:tcPr>
            <w:tcW w:w="678" w:type="pct"/>
            <w:tcBorders>
              <w:top w:val="nil"/>
              <w:left w:val="nil"/>
              <w:bottom w:val="single" w:sz="12" w:space="0" w:color="FFFFFF"/>
              <w:right w:val="single" w:sz="12" w:space="0" w:color="FFFFFF"/>
            </w:tcBorders>
            <w:shd w:val="clear" w:color="000000" w:fill="D9D9D9"/>
            <w:vAlign w:val="center"/>
            <w:hideMark/>
          </w:tcPr>
          <w:p w14:paraId="2C255367" w14:textId="1F8E87F2"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27 709,41</w:t>
            </w:r>
          </w:p>
        </w:tc>
        <w:tc>
          <w:tcPr>
            <w:tcW w:w="678" w:type="pct"/>
            <w:tcBorders>
              <w:top w:val="nil"/>
              <w:left w:val="nil"/>
              <w:bottom w:val="single" w:sz="12" w:space="0" w:color="FFFFFF"/>
              <w:right w:val="single" w:sz="12" w:space="0" w:color="FFFFFF"/>
            </w:tcBorders>
            <w:shd w:val="clear" w:color="000000" w:fill="D9D9D9"/>
            <w:vAlign w:val="center"/>
            <w:hideMark/>
          </w:tcPr>
          <w:p w14:paraId="2EFD5416" w14:textId="51314FE1"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19 877,76</w:t>
            </w:r>
          </w:p>
        </w:tc>
        <w:tc>
          <w:tcPr>
            <w:tcW w:w="593" w:type="pct"/>
            <w:tcBorders>
              <w:top w:val="nil"/>
              <w:left w:val="nil"/>
              <w:bottom w:val="single" w:sz="12" w:space="0" w:color="FFFFFF"/>
              <w:right w:val="single" w:sz="12" w:space="0" w:color="FFFFFF"/>
            </w:tcBorders>
            <w:shd w:val="clear" w:color="000000" w:fill="D9D9D9"/>
            <w:vAlign w:val="center"/>
            <w:hideMark/>
          </w:tcPr>
          <w:p w14:paraId="478F9646" w14:textId="678CF7C9"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71,74%</w:t>
            </w:r>
          </w:p>
        </w:tc>
      </w:tr>
      <w:tr w:rsidR="00D3558C" w:rsidRPr="00D3558C" w14:paraId="0EA689F4"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072430A7"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 xml:space="preserve">Rekonštrukcia kaštieľa a parku v Modre </w:t>
            </w:r>
          </w:p>
        </w:tc>
        <w:tc>
          <w:tcPr>
            <w:tcW w:w="679" w:type="pct"/>
            <w:tcBorders>
              <w:top w:val="nil"/>
              <w:left w:val="nil"/>
              <w:bottom w:val="single" w:sz="12" w:space="0" w:color="FFFFFF"/>
              <w:right w:val="single" w:sz="12" w:space="0" w:color="FFFFFF"/>
            </w:tcBorders>
            <w:shd w:val="clear" w:color="000000" w:fill="D9D9D9"/>
            <w:vAlign w:val="center"/>
            <w:hideMark/>
          </w:tcPr>
          <w:p w14:paraId="126B2FD7" w14:textId="6353EBAA"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380 017,98</w:t>
            </w:r>
          </w:p>
        </w:tc>
        <w:tc>
          <w:tcPr>
            <w:tcW w:w="678" w:type="pct"/>
            <w:tcBorders>
              <w:top w:val="nil"/>
              <w:left w:val="nil"/>
              <w:bottom w:val="single" w:sz="12" w:space="0" w:color="FFFFFF"/>
              <w:right w:val="single" w:sz="12" w:space="0" w:color="FFFFFF"/>
            </w:tcBorders>
            <w:shd w:val="clear" w:color="000000" w:fill="D9D9D9"/>
            <w:vAlign w:val="center"/>
            <w:hideMark/>
          </w:tcPr>
          <w:p w14:paraId="35171549" w14:textId="20334190"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637 431,94</w:t>
            </w:r>
          </w:p>
        </w:tc>
        <w:tc>
          <w:tcPr>
            <w:tcW w:w="678" w:type="pct"/>
            <w:tcBorders>
              <w:top w:val="nil"/>
              <w:left w:val="nil"/>
              <w:bottom w:val="single" w:sz="12" w:space="0" w:color="FFFFFF"/>
              <w:right w:val="single" w:sz="12" w:space="0" w:color="FFFFFF"/>
            </w:tcBorders>
            <w:shd w:val="clear" w:color="000000" w:fill="D9D9D9"/>
            <w:vAlign w:val="center"/>
            <w:hideMark/>
          </w:tcPr>
          <w:p w14:paraId="5198649D" w14:textId="1925CB31"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600 986,82</w:t>
            </w:r>
          </w:p>
        </w:tc>
        <w:tc>
          <w:tcPr>
            <w:tcW w:w="593" w:type="pct"/>
            <w:tcBorders>
              <w:top w:val="nil"/>
              <w:left w:val="nil"/>
              <w:bottom w:val="single" w:sz="12" w:space="0" w:color="FFFFFF"/>
              <w:right w:val="single" w:sz="12" w:space="0" w:color="FFFFFF"/>
            </w:tcBorders>
            <w:shd w:val="clear" w:color="000000" w:fill="D9D9D9"/>
            <w:vAlign w:val="center"/>
            <w:hideMark/>
          </w:tcPr>
          <w:p w14:paraId="5E58C5BB" w14:textId="1B67B47F"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94,28%</w:t>
            </w:r>
          </w:p>
        </w:tc>
      </w:tr>
      <w:tr w:rsidR="00D3558C" w:rsidRPr="00D3558C" w14:paraId="3FCF1F7B"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26070226" w14:textId="77777777" w:rsidR="00D3558C" w:rsidRPr="00D3558C" w:rsidRDefault="00D3558C" w:rsidP="00D3558C">
            <w:pPr>
              <w:spacing w:after="0" w:line="240" w:lineRule="auto"/>
              <w:rPr>
                <w:rFonts w:cs="Calibri"/>
                <w:color w:val="000000"/>
                <w:sz w:val="18"/>
                <w:szCs w:val="18"/>
                <w:lang w:eastAsia="sk-SK"/>
              </w:rPr>
            </w:pPr>
            <w:proofErr w:type="spellStart"/>
            <w:r w:rsidRPr="00D3558C">
              <w:rPr>
                <w:rFonts w:cs="Calibri"/>
                <w:color w:val="000000"/>
                <w:sz w:val="18"/>
                <w:szCs w:val="18"/>
                <w:lang w:eastAsia="sk-SK"/>
              </w:rPr>
              <w:t>Transdanube</w:t>
            </w:r>
            <w:proofErr w:type="spellEnd"/>
            <w:r w:rsidRPr="00D3558C">
              <w:rPr>
                <w:rFonts w:cs="Calibri"/>
                <w:color w:val="000000"/>
                <w:sz w:val="18"/>
                <w:szCs w:val="18"/>
                <w:lang w:eastAsia="sk-SK"/>
              </w:rPr>
              <w:t xml:space="preserve"> </w:t>
            </w:r>
            <w:proofErr w:type="spellStart"/>
            <w:r w:rsidRPr="00D3558C">
              <w:rPr>
                <w:rFonts w:cs="Calibri"/>
                <w:color w:val="000000"/>
                <w:sz w:val="18"/>
                <w:szCs w:val="18"/>
                <w:lang w:eastAsia="sk-SK"/>
              </w:rPr>
              <w:t>Pearls</w:t>
            </w:r>
            <w:proofErr w:type="spellEnd"/>
            <w:r w:rsidRPr="00D3558C">
              <w:rPr>
                <w:rFonts w:cs="Calibri"/>
                <w:color w:val="000000"/>
                <w:sz w:val="18"/>
                <w:szCs w:val="18"/>
                <w:lang w:eastAsia="sk-SK"/>
              </w:rPr>
              <w:t xml:space="preserve"> - refundácia ERDF</w:t>
            </w:r>
          </w:p>
        </w:tc>
        <w:tc>
          <w:tcPr>
            <w:tcW w:w="679" w:type="pct"/>
            <w:tcBorders>
              <w:top w:val="nil"/>
              <w:left w:val="nil"/>
              <w:bottom w:val="single" w:sz="12" w:space="0" w:color="FFFFFF"/>
              <w:right w:val="single" w:sz="12" w:space="0" w:color="FFFFFF"/>
            </w:tcBorders>
            <w:shd w:val="clear" w:color="000000" w:fill="D9D9D9"/>
            <w:vAlign w:val="center"/>
            <w:hideMark/>
          </w:tcPr>
          <w:p w14:paraId="75EA4198" w14:textId="384627AF"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36E36399" w14:textId="27D77E9A"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13 150,59</w:t>
            </w:r>
          </w:p>
        </w:tc>
        <w:tc>
          <w:tcPr>
            <w:tcW w:w="678" w:type="pct"/>
            <w:tcBorders>
              <w:top w:val="nil"/>
              <w:left w:val="nil"/>
              <w:bottom w:val="single" w:sz="12" w:space="0" w:color="FFFFFF"/>
              <w:right w:val="single" w:sz="12" w:space="0" w:color="FFFFFF"/>
            </w:tcBorders>
            <w:shd w:val="clear" w:color="000000" w:fill="D9D9D9"/>
            <w:vAlign w:val="center"/>
            <w:hideMark/>
          </w:tcPr>
          <w:p w14:paraId="4C70B654" w14:textId="13B3B330"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13 150,59</w:t>
            </w:r>
          </w:p>
        </w:tc>
        <w:tc>
          <w:tcPr>
            <w:tcW w:w="593" w:type="pct"/>
            <w:tcBorders>
              <w:top w:val="nil"/>
              <w:left w:val="nil"/>
              <w:bottom w:val="single" w:sz="12" w:space="0" w:color="FFFFFF"/>
              <w:right w:val="single" w:sz="12" w:space="0" w:color="FFFFFF"/>
            </w:tcBorders>
            <w:shd w:val="clear" w:color="000000" w:fill="D9D9D9"/>
            <w:vAlign w:val="center"/>
            <w:hideMark/>
          </w:tcPr>
          <w:p w14:paraId="1B0F94E0" w14:textId="7F5B06B8"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100,00</w:t>
            </w:r>
            <w:r w:rsidR="00D3558C" w:rsidRPr="00D3558C">
              <w:rPr>
                <w:rFonts w:cs="Calibri"/>
                <w:color w:val="000000"/>
                <w:sz w:val="18"/>
                <w:szCs w:val="18"/>
                <w:lang w:eastAsia="sk-SK"/>
              </w:rPr>
              <w:t>%</w:t>
            </w:r>
          </w:p>
        </w:tc>
      </w:tr>
      <w:tr w:rsidR="00D3558C" w:rsidRPr="00D3558C" w14:paraId="21F8B42F"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07F77DD1" w14:textId="27A8863A" w:rsidR="00D3558C" w:rsidRPr="00D3558C" w:rsidRDefault="00F22874" w:rsidP="00D3558C">
            <w:pPr>
              <w:spacing w:after="0" w:line="240" w:lineRule="auto"/>
              <w:rPr>
                <w:rFonts w:cs="Calibri"/>
                <w:color w:val="000000"/>
                <w:sz w:val="18"/>
                <w:szCs w:val="18"/>
                <w:lang w:eastAsia="sk-SK"/>
              </w:rPr>
            </w:pPr>
            <w:proofErr w:type="spellStart"/>
            <w:r>
              <w:rPr>
                <w:rFonts w:cs="Calibri"/>
                <w:color w:val="000000"/>
                <w:sz w:val="18"/>
                <w:szCs w:val="18"/>
                <w:lang w:eastAsia="sk-SK"/>
              </w:rPr>
              <w:t>Smartregión</w:t>
            </w:r>
            <w:proofErr w:type="spellEnd"/>
            <w:r>
              <w:rPr>
                <w:rFonts w:cs="Calibri"/>
                <w:color w:val="000000"/>
                <w:sz w:val="18"/>
                <w:szCs w:val="18"/>
                <w:lang w:eastAsia="sk-SK"/>
              </w:rPr>
              <w:t xml:space="preserve"> BSK</w:t>
            </w:r>
          </w:p>
        </w:tc>
        <w:tc>
          <w:tcPr>
            <w:tcW w:w="679" w:type="pct"/>
            <w:tcBorders>
              <w:top w:val="nil"/>
              <w:left w:val="nil"/>
              <w:bottom w:val="single" w:sz="12" w:space="0" w:color="FFFFFF"/>
              <w:right w:val="single" w:sz="12" w:space="0" w:color="FFFFFF"/>
            </w:tcBorders>
            <w:shd w:val="clear" w:color="000000" w:fill="D9D9D9"/>
            <w:vAlign w:val="center"/>
            <w:hideMark/>
          </w:tcPr>
          <w:p w14:paraId="3CA25D05" w14:textId="3CA9DE18"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3BD75518" w14:textId="45357963"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1 132 837,00</w:t>
            </w:r>
          </w:p>
        </w:tc>
        <w:tc>
          <w:tcPr>
            <w:tcW w:w="678" w:type="pct"/>
            <w:tcBorders>
              <w:top w:val="nil"/>
              <w:left w:val="nil"/>
              <w:bottom w:val="single" w:sz="12" w:space="0" w:color="FFFFFF"/>
              <w:right w:val="single" w:sz="12" w:space="0" w:color="FFFFFF"/>
            </w:tcBorders>
            <w:shd w:val="clear" w:color="000000" w:fill="D9D9D9"/>
            <w:vAlign w:val="center"/>
            <w:hideMark/>
          </w:tcPr>
          <w:p w14:paraId="4EE8501C" w14:textId="2B2C20FA"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400 000,00</w:t>
            </w:r>
          </w:p>
        </w:tc>
        <w:tc>
          <w:tcPr>
            <w:tcW w:w="593" w:type="pct"/>
            <w:tcBorders>
              <w:top w:val="nil"/>
              <w:left w:val="nil"/>
              <w:bottom w:val="single" w:sz="12" w:space="0" w:color="FFFFFF"/>
              <w:right w:val="single" w:sz="12" w:space="0" w:color="FFFFFF"/>
            </w:tcBorders>
            <w:shd w:val="clear" w:color="000000" w:fill="D9D9D9"/>
            <w:vAlign w:val="center"/>
            <w:hideMark/>
          </w:tcPr>
          <w:p w14:paraId="41562C92" w14:textId="129AE377"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35,31%</w:t>
            </w:r>
          </w:p>
        </w:tc>
      </w:tr>
      <w:tr w:rsidR="00D3558C" w:rsidRPr="00D3558C" w14:paraId="11ADAEA9"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5D252C10"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Projekt TA SK-HU</w:t>
            </w:r>
          </w:p>
        </w:tc>
        <w:tc>
          <w:tcPr>
            <w:tcW w:w="679" w:type="pct"/>
            <w:tcBorders>
              <w:top w:val="nil"/>
              <w:left w:val="nil"/>
              <w:bottom w:val="single" w:sz="12" w:space="0" w:color="FFFFFF"/>
              <w:right w:val="single" w:sz="12" w:space="0" w:color="FFFFFF"/>
            </w:tcBorders>
            <w:shd w:val="clear" w:color="000000" w:fill="D9D9D9"/>
            <w:vAlign w:val="center"/>
            <w:hideMark/>
          </w:tcPr>
          <w:p w14:paraId="76185C78" w14:textId="7FD635C6"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13 870,00</w:t>
            </w:r>
          </w:p>
        </w:tc>
        <w:tc>
          <w:tcPr>
            <w:tcW w:w="678" w:type="pct"/>
            <w:tcBorders>
              <w:top w:val="nil"/>
              <w:left w:val="nil"/>
              <w:bottom w:val="single" w:sz="12" w:space="0" w:color="FFFFFF"/>
              <w:right w:val="single" w:sz="12" w:space="0" w:color="FFFFFF"/>
            </w:tcBorders>
            <w:shd w:val="clear" w:color="000000" w:fill="D9D9D9"/>
            <w:vAlign w:val="center"/>
            <w:hideMark/>
          </w:tcPr>
          <w:p w14:paraId="1FA04EB3" w14:textId="3C037F11"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21 596,74</w:t>
            </w:r>
          </w:p>
        </w:tc>
        <w:tc>
          <w:tcPr>
            <w:tcW w:w="678" w:type="pct"/>
            <w:tcBorders>
              <w:top w:val="nil"/>
              <w:left w:val="nil"/>
              <w:bottom w:val="single" w:sz="12" w:space="0" w:color="FFFFFF"/>
              <w:right w:val="single" w:sz="12" w:space="0" w:color="FFFFFF"/>
            </w:tcBorders>
            <w:shd w:val="clear" w:color="000000" w:fill="D9D9D9"/>
            <w:vAlign w:val="center"/>
            <w:hideMark/>
          </w:tcPr>
          <w:p w14:paraId="63F7DA1A" w14:textId="51B215C3"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21 578,85</w:t>
            </w:r>
          </w:p>
        </w:tc>
        <w:tc>
          <w:tcPr>
            <w:tcW w:w="593" w:type="pct"/>
            <w:tcBorders>
              <w:top w:val="nil"/>
              <w:left w:val="nil"/>
              <w:bottom w:val="single" w:sz="12" w:space="0" w:color="FFFFFF"/>
              <w:right w:val="single" w:sz="12" w:space="0" w:color="FFFFFF"/>
            </w:tcBorders>
            <w:shd w:val="clear" w:color="000000" w:fill="D9D9D9"/>
            <w:vAlign w:val="center"/>
            <w:hideMark/>
          </w:tcPr>
          <w:p w14:paraId="367716AD" w14:textId="5A44258C" w:rsidR="00D3558C" w:rsidRPr="00D3558C"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99,92</w:t>
            </w:r>
            <w:r w:rsidR="00D3558C" w:rsidRPr="00D3558C">
              <w:rPr>
                <w:rFonts w:cs="Calibri"/>
                <w:color w:val="000000"/>
                <w:sz w:val="18"/>
                <w:szCs w:val="18"/>
                <w:lang w:eastAsia="sk-SK"/>
              </w:rPr>
              <w:t>%</w:t>
            </w:r>
          </w:p>
        </w:tc>
      </w:tr>
      <w:tr w:rsidR="00F22874" w:rsidRPr="00D3558C" w14:paraId="225EEDF5"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tcPr>
          <w:p w14:paraId="55139E57" w14:textId="0F608DA1" w:rsidR="00F22874" w:rsidRPr="00D3558C" w:rsidRDefault="00F22874" w:rsidP="00D3558C">
            <w:pPr>
              <w:spacing w:after="0" w:line="240" w:lineRule="auto"/>
              <w:rPr>
                <w:rFonts w:cs="Calibri"/>
                <w:color w:val="000000"/>
                <w:sz w:val="18"/>
                <w:szCs w:val="18"/>
                <w:lang w:eastAsia="sk-SK"/>
              </w:rPr>
            </w:pPr>
            <w:r>
              <w:rPr>
                <w:rFonts w:cs="Calibri"/>
                <w:color w:val="000000"/>
                <w:sz w:val="18"/>
                <w:szCs w:val="18"/>
                <w:lang w:eastAsia="sk-SK"/>
              </w:rPr>
              <w:t>Projektové zámery</w:t>
            </w:r>
          </w:p>
        </w:tc>
        <w:tc>
          <w:tcPr>
            <w:tcW w:w="679" w:type="pct"/>
            <w:tcBorders>
              <w:top w:val="nil"/>
              <w:left w:val="nil"/>
              <w:bottom w:val="single" w:sz="12" w:space="0" w:color="FFFFFF"/>
              <w:right w:val="single" w:sz="12" w:space="0" w:color="FFFFFF"/>
            </w:tcBorders>
            <w:shd w:val="clear" w:color="000000" w:fill="D9D9D9"/>
            <w:vAlign w:val="center"/>
          </w:tcPr>
          <w:p w14:paraId="6CAE4266" w14:textId="492330E1" w:rsidR="00F22874"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1 806 889,33</w:t>
            </w:r>
          </w:p>
        </w:tc>
        <w:tc>
          <w:tcPr>
            <w:tcW w:w="678" w:type="pct"/>
            <w:tcBorders>
              <w:top w:val="nil"/>
              <w:left w:val="nil"/>
              <w:bottom w:val="single" w:sz="12" w:space="0" w:color="FFFFFF"/>
              <w:right w:val="single" w:sz="12" w:space="0" w:color="FFFFFF"/>
            </w:tcBorders>
            <w:shd w:val="clear" w:color="000000" w:fill="D9D9D9"/>
            <w:vAlign w:val="center"/>
          </w:tcPr>
          <w:p w14:paraId="7436383D" w14:textId="305E0BED" w:rsidR="00F22874"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674 052,33</w:t>
            </w:r>
          </w:p>
        </w:tc>
        <w:tc>
          <w:tcPr>
            <w:tcW w:w="678" w:type="pct"/>
            <w:tcBorders>
              <w:top w:val="nil"/>
              <w:left w:val="nil"/>
              <w:bottom w:val="single" w:sz="12" w:space="0" w:color="FFFFFF"/>
              <w:right w:val="single" w:sz="12" w:space="0" w:color="FFFFFF"/>
            </w:tcBorders>
            <w:shd w:val="clear" w:color="000000" w:fill="D9D9D9"/>
            <w:vAlign w:val="center"/>
          </w:tcPr>
          <w:p w14:paraId="5F187FA8" w14:textId="3C4B8F88" w:rsidR="00F22874"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593" w:type="pct"/>
            <w:tcBorders>
              <w:top w:val="nil"/>
              <w:left w:val="nil"/>
              <w:bottom w:val="single" w:sz="12" w:space="0" w:color="FFFFFF"/>
              <w:right w:val="single" w:sz="12" w:space="0" w:color="FFFFFF"/>
            </w:tcBorders>
            <w:shd w:val="clear" w:color="000000" w:fill="D9D9D9"/>
            <w:vAlign w:val="center"/>
          </w:tcPr>
          <w:p w14:paraId="49E647D7" w14:textId="77777777" w:rsidR="00F22874" w:rsidRDefault="00F22874" w:rsidP="00D3558C">
            <w:pPr>
              <w:spacing w:after="0" w:line="240" w:lineRule="auto"/>
              <w:jc w:val="right"/>
              <w:rPr>
                <w:rFonts w:cs="Calibri"/>
                <w:color w:val="000000"/>
                <w:sz w:val="18"/>
                <w:szCs w:val="18"/>
                <w:lang w:eastAsia="sk-SK"/>
              </w:rPr>
            </w:pPr>
          </w:p>
        </w:tc>
      </w:tr>
      <w:tr w:rsidR="00D3558C" w:rsidRPr="00D3558C" w14:paraId="4765EFF4"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40E30874"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Dotácie z OÚ na podporu školských súťaží (</w:t>
            </w:r>
            <w:proofErr w:type="spellStart"/>
            <w:r w:rsidRPr="00D3558C">
              <w:rPr>
                <w:rFonts w:cs="Calibri"/>
                <w:color w:val="000000"/>
                <w:sz w:val="18"/>
                <w:szCs w:val="18"/>
                <w:lang w:eastAsia="sk-SK"/>
              </w:rPr>
              <w:t>špotové</w:t>
            </w:r>
            <w:proofErr w:type="spellEnd"/>
            <w:r w:rsidRPr="00D3558C">
              <w:rPr>
                <w:rFonts w:cs="Calibri"/>
                <w:color w:val="000000"/>
                <w:sz w:val="18"/>
                <w:szCs w:val="18"/>
                <w:lang w:eastAsia="sk-SK"/>
              </w:rPr>
              <w:t>, olympiády v CJ, v matematike a pod.)</w:t>
            </w:r>
          </w:p>
        </w:tc>
        <w:tc>
          <w:tcPr>
            <w:tcW w:w="679" w:type="pct"/>
            <w:tcBorders>
              <w:top w:val="nil"/>
              <w:left w:val="nil"/>
              <w:bottom w:val="single" w:sz="12" w:space="0" w:color="FFFFFF"/>
              <w:right w:val="single" w:sz="12" w:space="0" w:color="FFFFFF"/>
            </w:tcBorders>
            <w:shd w:val="clear" w:color="000000" w:fill="D9D9D9"/>
            <w:vAlign w:val="center"/>
            <w:hideMark/>
          </w:tcPr>
          <w:p w14:paraId="60C80E8C" w14:textId="77777777" w:rsidR="00D3558C" w:rsidRPr="00D3558C" w:rsidRDefault="00D3558C" w:rsidP="00D3558C">
            <w:pPr>
              <w:spacing w:after="0" w:line="240" w:lineRule="auto"/>
              <w:jc w:val="right"/>
              <w:rPr>
                <w:rFonts w:cs="Calibri"/>
                <w:color w:val="000000"/>
                <w:sz w:val="18"/>
                <w:szCs w:val="18"/>
                <w:lang w:eastAsia="sk-SK"/>
              </w:rPr>
            </w:pPr>
            <w:r w:rsidRPr="00D3558C">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hideMark/>
          </w:tcPr>
          <w:p w14:paraId="75E30AD7" w14:textId="3B9A0541"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13 132,34</w:t>
            </w:r>
          </w:p>
        </w:tc>
        <w:tc>
          <w:tcPr>
            <w:tcW w:w="678" w:type="pct"/>
            <w:tcBorders>
              <w:top w:val="nil"/>
              <w:left w:val="nil"/>
              <w:bottom w:val="single" w:sz="12" w:space="0" w:color="FFFFFF"/>
              <w:right w:val="single" w:sz="12" w:space="0" w:color="FFFFFF"/>
            </w:tcBorders>
            <w:shd w:val="clear" w:color="000000" w:fill="D9D9D9"/>
            <w:vAlign w:val="center"/>
            <w:hideMark/>
          </w:tcPr>
          <w:p w14:paraId="2223CF38" w14:textId="6080DFCA" w:rsidR="00D3558C" w:rsidRPr="00D3558C" w:rsidRDefault="004430B6" w:rsidP="00D3558C">
            <w:pPr>
              <w:spacing w:after="0" w:line="240" w:lineRule="auto"/>
              <w:jc w:val="right"/>
              <w:rPr>
                <w:rFonts w:cs="Calibri"/>
                <w:color w:val="000000"/>
                <w:sz w:val="18"/>
                <w:szCs w:val="18"/>
                <w:lang w:eastAsia="sk-SK"/>
              </w:rPr>
            </w:pPr>
            <w:r>
              <w:rPr>
                <w:rFonts w:cs="Calibri"/>
                <w:color w:val="000000"/>
                <w:sz w:val="18"/>
                <w:szCs w:val="18"/>
                <w:lang w:eastAsia="sk-SK"/>
              </w:rPr>
              <w:t>13 132,34</w:t>
            </w:r>
          </w:p>
        </w:tc>
        <w:tc>
          <w:tcPr>
            <w:tcW w:w="593" w:type="pct"/>
            <w:tcBorders>
              <w:top w:val="nil"/>
              <w:left w:val="nil"/>
              <w:bottom w:val="single" w:sz="12" w:space="0" w:color="FFFFFF"/>
              <w:right w:val="single" w:sz="12" w:space="0" w:color="FFFFFF"/>
            </w:tcBorders>
            <w:shd w:val="clear" w:color="000000" w:fill="D9D9D9"/>
            <w:vAlign w:val="center"/>
            <w:hideMark/>
          </w:tcPr>
          <w:p w14:paraId="52D16D96" w14:textId="08FF9CDA" w:rsidR="00D3558C" w:rsidRPr="008F6DAE" w:rsidRDefault="00D86928" w:rsidP="00D3558C">
            <w:pPr>
              <w:spacing w:after="0" w:line="240" w:lineRule="auto"/>
              <w:jc w:val="right"/>
              <w:rPr>
                <w:rFonts w:cs="Calibri"/>
                <w:color w:val="000000"/>
                <w:sz w:val="18"/>
                <w:szCs w:val="18"/>
                <w:highlight w:val="yellow"/>
                <w:lang w:eastAsia="sk-SK"/>
              </w:rPr>
            </w:pPr>
            <w:r w:rsidRPr="00D86928">
              <w:rPr>
                <w:rFonts w:cs="Calibri"/>
                <w:color w:val="000000"/>
                <w:sz w:val="18"/>
                <w:szCs w:val="18"/>
                <w:lang w:eastAsia="sk-SK"/>
              </w:rPr>
              <w:t>100,00%</w:t>
            </w:r>
          </w:p>
        </w:tc>
      </w:tr>
      <w:tr w:rsidR="00F22874" w:rsidRPr="00D3558C" w14:paraId="14EDFE4A"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tcPr>
          <w:p w14:paraId="7A92FD77" w14:textId="1EE56E8C" w:rsidR="00F22874" w:rsidRPr="00D3558C" w:rsidRDefault="00F22874" w:rsidP="00D3558C">
            <w:pPr>
              <w:spacing w:after="0" w:line="240" w:lineRule="auto"/>
              <w:rPr>
                <w:rFonts w:cs="Calibri"/>
                <w:color w:val="000000"/>
                <w:sz w:val="18"/>
                <w:szCs w:val="18"/>
                <w:lang w:eastAsia="sk-SK"/>
              </w:rPr>
            </w:pPr>
            <w:r w:rsidRPr="00F22874">
              <w:rPr>
                <w:rFonts w:cs="Calibri"/>
                <w:color w:val="000000"/>
                <w:sz w:val="18"/>
                <w:szCs w:val="18"/>
                <w:lang w:eastAsia="sk-SK"/>
              </w:rPr>
              <w:t xml:space="preserve">Dar na účely nákupu výpočtovej techniky pre SOŠ chemická, Vlčie hrdlo 50, BA; SOŠ </w:t>
            </w:r>
            <w:proofErr w:type="spellStart"/>
            <w:r w:rsidRPr="00F22874">
              <w:rPr>
                <w:rFonts w:cs="Calibri"/>
                <w:color w:val="000000"/>
                <w:sz w:val="18"/>
                <w:szCs w:val="18"/>
                <w:lang w:eastAsia="sk-SK"/>
              </w:rPr>
              <w:t>gastro</w:t>
            </w:r>
            <w:proofErr w:type="spellEnd"/>
            <w:r w:rsidRPr="00F22874">
              <w:rPr>
                <w:rFonts w:cs="Calibri"/>
                <w:color w:val="000000"/>
                <w:sz w:val="18"/>
                <w:szCs w:val="18"/>
                <w:lang w:eastAsia="sk-SK"/>
              </w:rPr>
              <w:t>. a hotelových služieb, Farského 9, BA a SPŠ elektro.,</w:t>
            </w:r>
            <w:proofErr w:type="spellStart"/>
            <w:r w:rsidRPr="00F22874">
              <w:rPr>
                <w:rFonts w:cs="Calibri"/>
                <w:color w:val="000000"/>
                <w:sz w:val="18"/>
                <w:szCs w:val="18"/>
                <w:lang w:eastAsia="sk-SK"/>
              </w:rPr>
              <w:t>Hálova</w:t>
            </w:r>
            <w:proofErr w:type="spellEnd"/>
            <w:r w:rsidRPr="00F22874">
              <w:rPr>
                <w:rFonts w:cs="Calibri"/>
                <w:color w:val="000000"/>
                <w:sz w:val="18"/>
                <w:szCs w:val="18"/>
                <w:lang w:eastAsia="sk-SK"/>
              </w:rPr>
              <w:t xml:space="preserve"> 16, BA</w:t>
            </w:r>
          </w:p>
        </w:tc>
        <w:tc>
          <w:tcPr>
            <w:tcW w:w="679" w:type="pct"/>
            <w:tcBorders>
              <w:top w:val="nil"/>
              <w:left w:val="nil"/>
              <w:bottom w:val="single" w:sz="12" w:space="0" w:color="FFFFFF"/>
              <w:right w:val="single" w:sz="12" w:space="0" w:color="FFFFFF"/>
            </w:tcBorders>
            <w:shd w:val="clear" w:color="000000" w:fill="D9D9D9"/>
            <w:vAlign w:val="center"/>
          </w:tcPr>
          <w:p w14:paraId="7412C95F" w14:textId="2F8DA0E9" w:rsidR="00F22874"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0,00</w:t>
            </w:r>
          </w:p>
        </w:tc>
        <w:tc>
          <w:tcPr>
            <w:tcW w:w="678" w:type="pct"/>
            <w:tcBorders>
              <w:top w:val="nil"/>
              <w:left w:val="nil"/>
              <w:bottom w:val="single" w:sz="12" w:space="0" w:color="FFFFFF"/>
              <w:right w:val="single" w:sz="12" w:space="0" w:color="FFFFFF"/>
            </w:tcBorders>
            <w:shd w:val="clear" w:color="000000" w:fill="D9D9D9"/>
            <w:vAlign w:val="center"/>
          </w:tcPr>
          <w:p w14:paraId="0FC42731" w14:textId="5DD50634" w:rsidR="00F22874" w:rsidRDefault="00F22874" w:rsidP="00D3558C">
            <w:pPr>
              <w:spacing w:after="0" w:line="240" w:lineRule="auto"/>
              <w:jc w:val="right"/>
              <w:rPr>
                <w:rFonts w:cs="Calibri"/>
                <w:color w:val="000000"/>
                <w:sz w:val="18"/>
                <w:szCs w:val="18"/>
                <w:lang w:eastAsia="sk-SK"/>
              </w:rPr>
            </w:pPr>
            <w:r>
              <w:rPr>
                <w:rFonts w:cs="Calibri"/>
                <w:color w:val="000000"/>
                <w:sz w:val="18"/>
                <w:szCs w:val="18"/>
                <w:lang w:eastAsia="sk-SK"/>
              </w:rPr>
              <w:t>25 000,00</w:t>
            </w:r>
          </w:p>
        </w:tc>
        <w:tc>
          <w:tcPr>
            <w:tcW w:w="678" w:type="pct"/>
            <w:tcBorders>
              <w:top w:val="nil"/>
              <w:left w:val="nil"/>
              <w:bottom w:val="single" w:sz="12" w:space="0" w:color="FFFFFF"/>
              <w:right w:val="single" w:sz="12" w:space="0" w:color="FFFFFF"/>
            </w:tcBorders>
            <w:shd w:val="clear" w:color="000000" w:fill="D9D9D9"/>
            <w:vAlign w:val="center"/>
          </w:tcPr>
          <w:p w14:paraId="73204901" w14:textId="25E09D2A" w:rsidR="00F22874" w:rsidRPr="008F6DAE" w:rsidRDefault="00F22874" w:rsidP="00D3558C">
            <w:pPr>
              <w:spacing w:after="0" w:line="240" w:lineRule="auto"/>
              <w:jc w:val="right"/>
              <w:rPr>
                <w:rFonts w:cs="Calibri"/>
                <w:color w:val="000000"/>
                <w:sz w:val="18"/>
                <w:szCs w:val="18"/>
                <w:highlight w:val="yellow"/>
                <w:lang w:eastAsia="sk-SK"/>
              </w:rPr>
            </w:pPr>
            <w:r w:rsidRPr="00F22874">
              <w:rPr>
                <w:rFonts w:cs="Calibri"/>
                <w:color w:val="000000"/>
                <w:sz w:val="18"/>
                <w:szCs w:val="18"/>
                <w:lang w:eastAsia="sk-SK"/>
              </w:rPr>
              <w:t>25 000,00</w:t>
            </w:r>
          </w:p>
        </w:tc>
        <w:tc>
          <w:tcPr>
            <w:tcW w:w="593" w:type="pct"/>
            <w:tcBorders>
              <w:top w:val="nil"/>
              <w:left w:val="nil"/>
              <w:bottom w:val="single" w:sz="12" w:space="0" w:color="FFFFFF"/>
              <w:right w:val="single" w:sz="12" w:space="0" w:color="FFFFFF"/>
            </w:tcBorders>
            <w:shd w:val="clear" w:color="000000" w:fill="D9D9D9"/>
            <w:vAlign w:val="center"/>
          </w:tcPr>
          <w:p w14:paraId="389DB322" w14:textId="1D24ED3D" w:rsidR="00F22874" w:rsidRPr="008F6DAE" w:rsidRDefault="00F22874" w:rsidP="00D3558C">
            <w:pPr>
              <w:spacing w:after="0" w:line="240" w:lineRule="auto"/>
              <w:jc w:val="right"/>
              <w:rPr>
                <w:rFonts w:cs="Calibri"/>
                <w:color w:val="000000"/>
                <w:sz w:val="18"/>
                <w:szCs w:val="18"/>
                <w:highlight w:val="yellow"/>
                <w:lang w:eastAsia="sk-SK"/>
              </w:rPr>
            </w:pPr>
            <w:r w:rsidRPr="00F22874">
              <w:rPr>
                <w:rFonts w:cs="Calibri"/>
                <w:color w:val="000000"/>
                <w:sz w:val="18"/>
                <w:szCs w:val="18"/>
                <w:lang w:eastAsia="sk-SK"/>
              </w:rPr>
              <w:t>100,00</w:t>
            </w:r>
            <w:r>
              <w:rPr>
                <w:rFonts w:cs="Calibri"/>
                <w:color w:val="000000"/>
                <w:sz w:val="18"/>
                <w:szCs w:val="18"/>
                <w:lang w:eastAsia="sk-SK"/>
              </w:rPr>
              <w:t>%</w:t>
            </w:r>
          </w:p>
        </w:tc>
      </w:tr>
      <w:tr w:rsidR="00D3558C" w:rsidRPr="00D85268" w14:paraId="40E1F4D8"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2CB34307"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Príjmy RO -  školské zariadenia (projekty, dary, dotácie..)</w:t>
            </w:r>
          </w:p>
        </w:tc>
        <w:tc>
          <w:tcPr>
            <w:tcW w:w="679" w:type="pct"/>
            <w:tcBorders>
              <w:top w:val="nil"/>
              <w:left w:val="nil"/>
              <w:bottom w:val="single" w:sz="12" w:space="0" w:color="FFFFFF"/>
              <w:right w:val="single" w:sz="12" w:space="0" w:color="FFFFFF"/>
            </w:tcBorders>
            <w:shd w:val="clear" w:color="000000" w:fill="D9D9D9"/>
            <w:vAlign w:val="center"/>
            <w:hideMark/>
          </w:tcPr>
          <w:p w14:paraId="741F1FC8" w14:textId="5FBEC094"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504 856,00</w:t>
            </w:r>
          </w:p>
        </w:tc>
        <w:tc>
          <w:tcPr>
            <w:tcW w:w="678" w:type="pct"/>
            <w:tcBorders>
              <w:top w:val="nil"/>
              <w:left w:val="nil"/>
              <w:bottom w:val="single" w:sz="12" w:space="0" w:color="FFFFFF"/>
              <w:right w:val="single" w:sz="12" w:space="0" w:color="FFFFFF"/>
            </w:tcBorders>
            <w:shd w:val="clear" w:color="000000" w:fill="D9D9D9"/>
            <w:vAlign w:val="center"/>
            <w:hideMark/>
          </w:tcPr>
          <w:p w14:paraId="69133D5B" w14:textId="26E45D16"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1 518 613,23</w:t>
            </w:r>
          </w:p>
        </w:tc>
        <w:tc>
          <w:tcPr>
            <w:tcW w:w="678" w:type="pct"/>
            <w:tcBorders>
              <w:top w:val="nil"/>
              <w:left w:val="nil"/>
              <w:bottom w:val="single" w:sz="12" w:space="0" w:color="FFFFFF"/>
              <w:right w:val="single" w:sz="12" w:space="0" w:color="FFFFFF"/>
            </w:tcBorders>
            <w:shd w:val="clear" w:color="000000" w:fill="D9D9D9"/>
            <w:vAlign w:val="center"/>
            <w:hideMark/>
          </w:tcPr>
          <w:p w14:paraId="2225B616" w14:textId="5542ED1E" w:rsidR="00D3558C" w:rsidRPr="00D85268" w:rsidRDefault="00D85268" w:rsidP="00D3558C">
            <w:pPr>
              <w:spacing w:after="0" w:line="240" w:lineRule="auto"/>
              <w:jc w:val="right"/>
              <w:rPr>
                <w:rFonts w:cs="Calibri"/>
                <w:color w:val="000000"/>
                <w:sz w:val="18"/>
                <w:szCs w:val="18"/>
                <w:lang w:eastAsia="sk-SK"/>
              </w:rPr>
            </w:pPr>
            <w:r w:rsidRPr="00D85268">
              <w:rPr>
                <w:rFonts w:cs="Calibri"/>
                <w:color w:val="000000"/>
                <w:sz w:val="18"/>
                <w:szCs w:val="18"/>
                <w:lang w:eastAsia="sk-SK"/>
              </w:rPr>
              <w:t>8</w:t>
            </w:r>
            <w:r w:rsidR="00D86928">
              <w:rPr>
                <w:rFonts w:cs="Calibri"/>
                <w:color w:val="000000"/>
                <w:sz w:val="18"/>
                <w:szCs w:val="18"/>
                <w:lang w:eastAsia="sk-SK"/>
              </w:rPr>
              <w:t>67 182,70</w:t>
            </w:r>
          </w:p>
        </w:tc>
        <w:tc>
          <w:tcPr>
            <w:tcW w:w="593" w:type="pct"/>
            <w:tcBorders>
              <w:top w:val="nil"/>
              <w:left w:val="nil"/>
              <w:bottom w:val="single" w:sz="12" w:space="0" w:color="FFFFFF"/>
              <w:right w:val="single" w:sz="12" w:space="0" w:color="FFFFFF"/>
            </w:tcBorders>
            <w:shd w:val="clear" w:color="000000" w:fill="D9D9D9"/>
            <w:vAlign w:val="center"/>
            <w:hideMark/>
          </w:tcPr>
          <w:p w14:paraId="1BC71E4B" w14:textId="6B12B09F" w:rsidR="00D3558C" w:rsidRPr="00D85268" w:rsidRDefault="00D85268" w:rsidP="00D3558C">
            <w:pPr>
              <w:spacing w:after="0" w:line="240" w:lineRule="auto"/>
              <w:jc w:val="right"/>
              <w:rPr>
                <w:rFonts w:cs="Calibri"/>
                <w:color w:val="000000"/>
                <w:sz w:val="18"/>
                <w:szCs w:val="18"/>
                <w:lang w:eastAsia="sk-SK"/>
              </w:rPr>
            </w:pPr>
            <w:r>
              <w:rPr>
                <w:rFonts w:cs="Calibri"/>
                <w:color w:val="000000"/>
                <w:sz w:val="18"/>
                <w:szCs w:val="18"/>
                <w:lang w:eastAsia="sk-SK"/>
              </w:rPr>
              <w:t>57,</w:t>
            </w:r>
            <w:r w:rsidR="00D86928">
              <w:rPr>
                <w:rFonts w:cs="Calibri"/>
                <w:color w:val="000000"/>
                <w:sz w:val="18"/>
                <w:szCs w:val="18"/>
                <w:lang w:eastAsia="sk-SK"/>
              </w:rPr>
              <w:t>10</w:t>
            </w:r>
            <w:r w:rsidR="00D3558C" w:rsidRPr="00D85268">
              <w:rPr>
                <w:rFonts w:cs="Calibri"/>
                <w:color w:val="000000"/>
                <w:sz w:val="18"/>
                <w:szCs w:val="18"/>
                <w:lang w:eastAsia="sk-SK"/>
              </w:rPr>
              <w:t>%</w:t>
            </w:r>
          </w:p>
        </w:tc>
      </w:tr>
      <w:tr w:rsidR="00D3558C" w:rsidRPr="00D3558C" w14:paraId="1D96E230" w14:textId="77777777" w:rsidTr="00C80054">
        <w:trPr>
          <w:trHeight w:val="499"/>
        </w:trPr>
        <w:tc>
          <w:tcPr>
            <w:tcW w:w="2372" w:type="pct"/>
            <w:tcBorders>
              <w:top w:val="nil"/>
              <w:left w:val="single" w:sz="12" w:space="0" w:color="FFFFFF"/>
              <w:bottom w:val="single" w:sz="12" w:space="0" w:color="FFFFFF"/>
              <w:right w:val="single" w:sz="12" w:space="0" w:color="FFFFFF"/>
            </w:tcBorders>
            <w:shd w:val="clear" w:color="000000" w:fill="D9D9D9"/>
            <w:vAlign w:val="center"/>
            <w:hideMark/>
          </w:tcPr>
          <w:p w14:paraId="377AD4E4" w14:textId="77777777" w:rsidR="00D3558C" w:rsidRPr="00D3558C" w:rsidRDefault="00D3558C" w:rsidP="00D3558C">
            <w:pPr>
              <w:spacing w:after="0" w:line="240" w:lineRule="auto"/>
              <w:rPr>
                <w:rFonts w:cs="Calibri"/>
                <w:color w:val="000000"/>
                <w:sz w:val="18"/>
                <w:szCs w:val="18"/>
                <w:lang w:eastAsia="sk-SK"/>
              </w:rPr>
            </w:pPr>
            <w:r w:rsidRPr="00D3558C">
              <w:rPr>
                <w:rFonts w:cs="Calibri"/>
                <w:color w:val="000000"/>
                <w:sz w:val="18"/>
                <w:szCs w:val="18"/>
                <w:lang w:eastAsia="sk-SK"/>
              </w:rPr>
              <w:t>Príjmy RO - sociálne zariadenia (zo ŠR na AČ, dary, dotácie..)</w:t>
            </w:r>
          </w:p>
        </w:tc>
        <w:tc>
          <w:tcPr>
            <w:tcW w:w="679" w:type="pct"/>
            <w:tcBorders>
              <w:top w:val="nil"/>
              <w:left w:val="nil"/>
              <w:bottom w:val="single" w:sz="12" w:space="0" w:color="FFFFFF"/>
              <w:right w:val="single" w:sz="12" w:space="0" w:color="FFFFFF"/>
            </w:tcBorders>
            <w:shd w:val="clear" w:color="000000" w:fill="D9D9D9"/>
            <w:vAlign w:val="center"/>
            <w:hideMark/>
          </w:tcPr>
          <w:p w14:paraId="7E46012C" w14:textId="300B4858"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234 505,00</w:t>
            </w:r>
          </w:p>
        </w:tc>
        <w:tc>
          <w:tcPr>
            <w:tcW w:w="678" w:type="pct"/>
            <w:tcBorders>
              <w:top w:val="nil"/>
              <w:left w:val="nil"/>
              <w:bottom w:val="single" w:sz="12" w:space="0" w:color="FFFFFF"/>
              <w:right w:val="single" w:sz="12" w:space="0" w:color="FFFFFF"/>
            </w:tcBorders>
            <w:shd w:val="clear" w:color="000000" w:fill="D9D9D9"/>
            <w:vAlign w:val="center"/>
            <w:hideMark/>
          </w:tcPr>
          <w:p w14:paraId="5EA7E6B9" w14:textId="3A07C88D" w:rsidR="00D3558C" w:rsidRPr="00D3558C" w:rsidRDefault="008F6DAE" w:rsidP="00D3558C">
            <w:pPr>
              <w:spacing w:after="0" w:line="240" w:lineRule="auto"/>
              <w:jc w:val="right"/>
              <w:rPr>
                <w:rFonts w:cs="Calibri"/>
                <w:color w:val="000000"/>
                <w:sz w:val="18"/>
                <w:szCs w:val="18"/>
                <w:lang w:eastAsia="sk-SK"/>
              </w:rPr>
            </w:pPr>
            <w:r>
              <w:rPr>
                <w:rFonts w:cs="Calibri"/>
                <w:color w:val="000000"/>
                <w:sz w:val="18"/>
                <w:szCs w:val="18"/>
                <w:lang w:eastAsia="sk-SK"/>
              </w:rPr>
              <w:t>343 151,98</w:t>
            </w:r>
          </w:p>
        </w:tc>
        <w:tc>
          <w:tcPr>
            <w:tcW w:w="678" w:type="pct"/>
            <w:tcBorders>
              <w:top w:val="nil"/>
              <w:left w:val="nil"/>
              <w:bottom w:val="single" w:sz="12" w:space="0" w:color="FFFFFF"/>
              <w:right w:val="single" w:sz="12" w:space="0" w:color="FFFFFF"/>
            </w:tcBorders>
            <w:shd w:val="clear" w:color="000000" w:fill="D9D9D9"/>
            <w:vAlign w:val="center"/>
            <w:hideMark/>
          </w:tcPr>
          <w:p w14:paraId="6A4B3D38" w14:textId="5C529994" w:rsidR="00D3558C" w:rsidRPr="008F6DAE" w:rsidRDefault="006E3EAD" w:rsidP="00D3558C">
            <w:pPr>
              <w:spacing w:after="0" w:line="240" w:lineRule="auto"/>
              <w:jc w:val="right"/>
              <w:rPr>
                <w:rFonts w:cs="Calibri"/>
                <w:color w:val="000000"/>
                <w:sz w:val="18"/>
                <w:szCs w:val="18"/>
                <w:highlight w:val="yellow"/>
                <w:lang w:eastAsia="sk-SK"/>
              </w:rPr>
            </w:pPr>
            <w:r w:rsidRPr="006E3EAD">
              <w:rPr>
                <w:rFonts w:cs="Calibri"/>
                <w:color w:val="000000"/>
                <w:sz w:val="18"/>
                <w:szCs w:val="18"/>
                <w:lang w:eastAsia="sk-SK"/>
              </w:rPr>
              <w:t>331 789,99</w:t>
            </w:r>
          </w:p>
        </w:tc>
        <w:tc>
          <w:tcPr>
            <w:tcW w:w="593" w:type="pct"/>
            <w:tcBorders>
              <w:top w:val="nil"/>
              <w:left w:val="nil"/>
              <w:bottom w:val="single" w:sz="12" w:space="0" w:color="FFFFFF"/>
              <w:right w:val="single" w:sz="12" w:space="0" w:color="FFFFFF"/>
            </w:tcBorders>
            <w:shd w:val="clear" w:color="000000" w:fill="D9D9D9"/>
            <w:vAlign w:val="center"/>
            <w:hideMark/>
          </w:tcPr>
          <w:p w14:paraId="63786A67" w14:textId="760B8435" w:rsidR="00D3558C" w:rsidRPr="008F6DAE" w:rsidRDefault="006E3EAD" w:rsidP="00D3558C">
            <w:pPr>
              <w:spacing w:after="0" w:line="240" w:lineRule="auto"/>
              <w:jc w:val="right"/>
              <w:rPr>
                <w:rFonts w:cs="Calibri"/>
                <w:color w:val="000000"/>
                <w:sz w:val="18"/>
                <w:szCs w:val="18"/>
                <w:highlight w:val="yellow"/>
                <w:lang w:eastAsia="sk-SK"/>
              </w:rPr>
            </w:pPr>
            <w:r>
              <w:rPr>
                <w:rFonts w:cs="Calibri"/>
                <w:color w:val="000000"/>
                <w:sz w:val="18"/>
                <w:szCs w:val="18"/>
                <w:lang w:eastAsia="sk-SK"/>
              </w:rPr>
              <w:t>96,69</w:t>
            </w:r>
            <w:r w:rsidR="00D3558C" w:rsidRPr="006E3EAD">
              <w:rPr>
                <w:rFonts w:cs="Calibri"/>
                <w:color w:val="000000"/>
                <w:sz w:val="18"/>
                <w:szCs w:val="18"/>
                <w:lang w:eastAsia="sk-SK"/>
              </w:rPr>
              <w:t>%</w:t>
            </w:r>
          </w:p>
        </w:tc>
      </w:tr>
    </w:tbl>
    <w:p w14:paraId="40700D13" w14:textId="77777777" w:rsidR="00D3558C" w:rsidRDefault="00D3558C" w:rsidP="00BE704E">
      <w:pPr>
        <w:spacing w:line="240" w:lineRule="auto"/>
        <w:jc w:val="both"/>
        <w:rPr>
          <w:rFonts w:cs="Calibri"/>
          <w:b/>
          <w:sz w:val="24"/>
          <w:szCs w:val="24"/>
        </w:rPr>
      </w:pPr>
    </w:p>
    <w:p w14:paraId="25B2703D" w14:textId="4E155D79" w:rsidR="00D3558C" w:rsidRDefault="00BE704E" w:rsidP="00BE704E">
      <w:pPr>
        <w:spacing w:line="240" w:lineRule="auto"/>
        <w:jc w:val="both"/>
        <w:rPr>
          <w:rFonts w:cs="Calibri"/>
          <w:sz w:val="24"/>
          <w:szCs w:val="24"/>
        </w:rPr>
      </w:pPr>
      <w:r w:rsidRPr="00D3558C">
        <w:rPr>
          <w:rFonts w:cs="Calibri"/>
          <w:b/>
          <w:sz w:val="24"/>
          <w:szCs w:val="24"/>
        </w:rPr>
        <w:t>Kapitálové granty a transfery</w:t>
      </w:r>
      <w:r>
        <w:rPr>
          <w:rFonts w:cs="Calibri"/>
          <w:b/>
          <w:sz w:val="24"/>
          <w:szCs w:val="24"/>
        </w:rPr>
        <w:t xml:space="preserve"> </w:t>
      </w:r>
      <w:r w:rsidRPr="00C73697">
        <w:rPr>
          <w:rFonts w:cs="Calibri"/>
          <w:sz w:val="24"/>
          <w:szCs w:val="24"/>
        </w:rPr>
        <w:t>predstavovali celkové plnenie</w:t>
      </w:r>
      <w:r>
        <w:rPr>
          <w:rFonts w:cs="Calibri"/>
          <w:b/>
          <w:sz w:val="24"/>
          <w:szCs w:val="24"/>
        </w:rPr>
        <w:t xml:space="preserve"> vo výške </w:t>
      </w:r>
      <w:r w:rsidR="003B7D4B" w:rsidRPr="003B7D4B">
        <w:rPr>
          <w:rFonts w:cs="Calibri"/>
          <w:b/>
          <w:sz w:val="24"/>
          <w:szCs w:val="24"/>
        </w:rPr>
        <w:t xml:space="preserve">3 221 116,78 </w:t>
      </w:r>
      <w:r w:rsidR="00D3558C" w:rsidRPr="003B7D4B">
        <w:rPr>
          <w:rFonts w:cs="Calibri"/>
          <w:b/>
          <w:sz w:val="24"/>
          <w:szCs w:val="24"/>
        </w:rPr>
        <w:t>(</w:t>
      </w:r>
      <w:r w:rsidR="003B7D4B" w:rsidRPr="003B7D4B">
        <w:rPr>
          <w:rFonts w:cs="Calibri"/>
          <w:b/>
          <w:sz w:val="24"/>
          <w:szCs w:val="24"/>
        </w:rPr>
        <w:t>28,96</w:t>
      </w:r>
      <w:r w:rsidR="00D3558C" w:rsidRPr="003B7D4B">
        <w:rPr>
          <w:rFonts w:cs="Calibri"/>
          <w:b/>
          <w:sz w:val="24"/>
          <w:szCs w:val="24"/>
        </w:rPr>
        <w:t>%)</w:t>
      </w:r>
      <w:r w:rsidRPr="003B7D4B">
        <w:rPr>
          <w:rFonts w:cs="Calibri"/>
          <w:b/>
          <w:sz w:val="24"/>
          <w:szCs w:val="24"/>
        </w:rPr>
        <w:t>,</w:t>
      </w:r>
      <w:r>
        <w:rPr>
          <w:rFonts w:cs="Calibri"/>
          <w:b/>
          <w:sz w:val="24"/>
          <w:szCs w:val="24"/>
        </w:rPr>
        <w:t xml:space="preserve"> </w:t>
      </w:r>
      <w:r>
        <w:rPr>
          <w:rFonts w:cs="Calibri"/>
          <w:sz w:val="24"/>
          <w:szCs w:val="24"/>
        </w:rPr>
        <w:t>z</w:t>
      </w:r>
      <w:r w:rsidRPr="0004120A">
        <w:rPr>
          <w:rFonts w:cs="Calibri"/>
          <w:sz w:val="24"/>
          <w:szCs w:val="24"/>
        </w:rPr>
        <w:t xml:space="preserve">ískané </w:t>
      </w:r>
      <w:r>
        <w:rPr>
          <w:rFonts w:cs="Calibri"/>
          <w:sz w:val="24"/>
          <w:szCs w:val="24"/>
        </w:rPr>
        <w:t xml:space="preserve">boli predovšetkým </w:t>
      </w:r>
      <w:r w:rsidRPr="00AE011B">
        <w:rPr>
          <w:rFonts w:cs="Calibri"/>
          <w:sz w:val="24"/>
          <w:szCs w:val="24"/>
        </w:rPr>
        <w:t>z</w:t>
      </w:r>
      <w:r>
        <w:rPr>
          <w:rFonts w:cs="Calibri"/>
          <w:sz w:val="24"/>
          <w:szCs w:val="24"/>
        </w:rPr>
        <w:t> p</w:t>
      </w:r>
      <w:r w:rsidRPr="00AE011B">
        <w:rPr>
          <w:rFonts w:cs="Calibri"/>
          <w:sz w:val="24"/>
          <w:szCs w:val="24"/>
        </w:rPr>
        <w:t xml:space="preserve">rostriedkov </w:t>
      </w:r>
      <w:r>
        <w:rPr>
          <w:rFonts w:cs="Calibri"/>
          <w:sz w:val="24"/>
          <w:szCs w:val="24"/>
        </w:rPr>
        <w:t xml:space="preserve">štátneho rozpočtu  a prostriedkov </w:t>
      </w:r>
      <w:r w:rsidRPr="00AE011B">
        <w:rPr>
          <w:rFonts w:cs="Calibri"/>
          <w:sz w:val="24"/>
          <w:szCs w:val="24"/>
        </w:rPr>
        <w:t>EÚ</w:t>
      </w:r>
      <w:r w:rsidR="00D3558C">
        <w:rPr>
          <w:rFonts w:cs="Calibri"/>
          <w:sz w:val="24"/>
          <w:szCs w:val="24"/>
        </w:rPr>
        <w:t>.</w:t>
      </w:r>
    </w:p>
    <w:p w14:paraId="4988A1EF" w14:textId="1EAAE445" w:rsidR="00BE704E" w:rsidRDefault="00BE704E" w:rsidP="00BE704E">
      <w:pPr>
        <w:spacing w:line="240" w:lineRule="auto"/>
        <w:jc w:val="both"/>
        <w:rPr>
          <w:rFonts w:cs="Calibri"/>
          <w:sz w:val="24"/>
          <w:szCs w:val="24"/>
        </w:rPr>
      </w:pPr>
      <w:r w:rsidRPr="006D0BCE">
        <w:rPr>
          <w:rFonts w:cs="Calibri"/>
          <w:sz w:val="24"/>
          <w:szCs w:val="24"/>
        </w:rPr>
        <w:t xml:space="preserve">Prehľad </w:t>
      </w:r>
      <w:r>
        <w:rPr>
          <w:rFonts w:cs="Calibri"/>
          <w:sz w:val="24"/>
          <w:szCs w:val="24"/>
        </w:rPr>
        <w:t>kapitálových grantov a transferov (účelová dotácia)</w:t>
      </w:r>
      <w:r w:rsidRPr="006D0BCE">
        <w:rPr>
          <w:rFonts w:cs="Calibri"/>
          <w:sz w:val="24"/>
          <w:szCs w:val="24"/>
        </w:rPr>
        <w:t xml:space="preserve"> uvádza nasledovná tabuľka:</w:t>
      </w:r>
    </w:p>
    <w:tbl>
      <w:tblPr>
        <w:tblW w:w="10820" w:type="dxa"/>
        <w:tblCellMar>
          <w:top w:w="15" w:type="dxa"/>
          <w:left w:w="70" w:type="dxa"/>
          <w:right w:w="70" w:type="dxa"/>
        </w:tblCellMar>
        <w:tblLook w:val="04A0" w:firstRow="1" w:lastRow="0" w:firstColumn="1" w:lastColumn="0" w:noHBand="0" w:noVBand="1"/>
      </w:tblPr>
      <w:tblGrid>
        <w:gridCol w:w="4960"/>
        <w:gridCol w:w="1300"/>
        <w:gridCol w:w="1480"/>
        <w:gridCol w:w="1720"/>
        <w:gridCol w:w="1200"/>
        <w:gridCol w:w="160"/>
      </w:tblGrid>
      <w:tr w:rsidR="00C23E5C" w:rsidRPr="00C23E5C" w14:paraId="10C16E92" w14:textId="77777777" w:rsidTr="00017596">
        <w:trPr>
          <w:gridAfter w:val="1"/>
          <w:wAfter w:w="160" w:type="dxa"/>
          <w:trHeight w:val="495"/>
          <w:tblHeader/>
        </w:trPr>
        <w:tc>
          <w:tcPr>
            <w:tcW w:w="4960" w:type="dxa"/>
            <w:vMerge w:val="restart"/>
            <w:tcBorders>
              <w:top w:val="nil"/>
              <w:left w:val="single" w:sz="12" w:space="0" w:color="FFFFFF"/>
              <w:bottom w:val="single" w:sz="12" w:space="0" w:color="FFFFFF"/>
              <w:right w:val="single" w:sz="12" w:space="0" w:color="FFFFFF"/>
            </w:tcBorders>
            <w:shd w:val="clear" w:color="000000" w:fill="8DB3E2"/>
            <w:vAlign w:val="center"/>
            <w:hideMark/>
          </w:tcPr>
          <w:p w14:paraId="68ACDA81" w14:textId="77777777" w:rsidR="00C23E5C" w:rsidRPr="00C23E5C" w:rsidRDefault="00C23E5C" w:rsidP="00C23E5C">
            <w:pPr>
              <w:spacing w:after="0" w:line="240" w:lineRule="auto"/>
              <w:jc w:val="center"/>
              <w:rPr>
                <w:rFonts w:cs="Calibri"/>
                <w:b/>
                <w:bCs/>
                <w:color w:val="000000"/>
                <w:sz w:val="20"/>
                <w:szCs w:val="20"/>
                <w:lang w:eastAsia="sk-SK"/>
              </w:rPr>
            </w:pPr>
            <w:r w:rsidRPr="00C23E5C">
              <w:rPr>
                <w:rFonts w:cs="Calibri"/>
                <w:b/>
                <w:bCs/>
                <w:color w:val="000000"/>
                <w:sz w:val="20"/>
                <w:szCs w:val="20"/>
                <w:lang w:eastAsia="sk-SK"/>
              </w:rPr>
              <w:t>Účelová dotácia</w:t>
            </w:r>
          </w:p>
        </w:tc>
        <w:tc>
          <w:tcPr>
            <w:tcW w:w="1300"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4A4785A4" w14:textId="77777777" w:rsidR="00C23E5C" w:rsidRPr="00C23E5C" w:rsidRDefault="00C23E5C" w:rsidP="00C23E5C">
            <w:pPr>
              <w:spacing w:after="0" w:line="240" w:lineRule="auto"/>
              <w:jc w:val="center"/>
              <w:rPr>
                <w:rFonts w:cs="Calibri"/>
                <w:b/>
                <w:bCs/>
                <w:color w:val="000000"/>
                <w:sz w:val="18"/>
                <w:szCs w:val="18"/>
                <w:lang w:eastAsia="sk-SK"/>
              </w:rPr>
            </w:pPr>
            <w:r w:rsidRPr="00C23E5C">
              <w:rPr>
                <w:rFonts w:cs="Calibri"/>
                <w:b/>
                <w:bCs/>
                <w:color w:val="000000"/>
                <w:sz w:val="18"/>
                <w:szCs w:val="18"/>
                <w:lang w:eastAsia="sk-SK"/>
              </w:rPr>
              <w:t>Schválený rozpočet 2020 v EUR</w:t>
            </w:r>
          </w:p>
        </w:tc>
        <w:tc>
          <w:tcPr>
            <w:tcW w:w="1480"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34DECB4E" w14:textId="77777777" w:rsidR="00C23E5C" w:rsidRPr="00C23E5C" w:rsidRDefault="00C23E5C" w:rsidP="00C23E5C">
            <w:pPr>
              <w:spacing w:after="0" w:line="240" w:lineRule="auto"/>
              <w:jc w:val="center"/>
              <w:rPr>
                <w:rFonts w:cs="Calibri"/>
                <w:b/>
                <w:bCs/>
                <w:color w:val="000000"/>
                <w:sz w:val="18"/>
                <w:szCs w:val="18"/>
                <w:lang w:eastAsia="sk-SK"/>
              </w:rPr>
            </w:pPr>
            <w:r w:rsidRPr="00C23E5C">
              <w:rPr>
                <w:rFonts w:cs="Calibri"/>
                <w:b/>
                <w:bCs/>
                <w:color w:val="000000"/>
                <w:sz w:val="18"/>
                <w:szCs w:val="18"/>
                <w:lang w:eastAsia="sk-SK"/>
              </w:rPr>
              <w:t>Zmenený rozpočet k 31.12.2020 v EUR</w:t>
            </w:r>
          </w:p>
        </w:tc>
        <w:tc>
          <w:tcPr>
            <w:tcW w:w="1720"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22A4A4C" w14:textId="77777777" w:rsidR="00C23E5C" w:rsidRPr="00C23E5C" w:rsidRDefault="00C23E5C" w:rsidP="00C23E5C">
            <w:pPr>
              <w:spacing w:after="0" w:line="240" w:lineRule="auto"/>
              <w:jc w:val="center"/>
              <w:rPr>
                <w:rFonts w:cs="Calibri"/>
                <w:b/>
                <w:bCs/>
                <w:color w:val="000000"/>
                <w:sz w:val="18"/>
                <w:szCs w:val="18"/>
                <w:lang w:eastAsia="sk-SK"/>
              </w:rPr>
            </w:pPr>
            <w:r w:rsidRPr="00C23E5C">
              <w:rPr>
                <w:rFonts w:cs="Calibri"/>
                <w:b/>
                <w:bCs/>
                <w:color w:val="000000"/>
                <w:sz w:val="18"/>
                <w:szCs w:val="18"/>
                <w:lang w:eastAsia="sk-SK"/>
              </w:rPr>
              <w:t>Plnenie rozpočtu k 31.12.2020 v EUR</w:t>
            </w:r>
          </w:p>
        </w:tc>
        <w:tc>
          <w:tcPr>
            <w:tcW w:w="1200"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B713315" w14:textId="77777777" w:rsidR="00C23E5C" w:rsidRPr="00C23E5C" w:rsidRDefault="00C23E5C" w:rsidP="00C23E5C">
            <w:pPr>
              <w:spacing w:after="0" w:line="240" w:lineRule="auto"/>
              <w:jc w:val="center"/>
              <w:rPr>
                <w:rFonts w:cs="Calibri"/>
                <w:b/>
                <w:bCs/>
                <w:color w:val="000000"/>
                <w:sz w:val="18"/>
                <w:szCs w:val="18"/>
                <w:lang w:eastAsia="sk-SK"/>
              </w:rPr>
            </w:pPr>
            <w:r w:rsidRPr="00C23E5C">
              <w:rPr>
                <w:rFonts w:cs="Calibri"/>
                <w:b/>
                <w:bCs/>
                <w:color w:val="000000"/>
                <w:sz w:val="18"/>
                <w:szCs w:val="18"/>
                <w:lang w:eastAsia="sk-SK"/>
              </w:rPr>
              <w:t>% plnenie k zmenený rozpočtu</w:t>
            </w:r>
          </w:p>
        </w:tc>
      </w:tr>
      <w:tr w:rsidR="00C23E5C" w:rsidRPr="00C23E5C" w14:paraId="5DC6C2C7" w14:textId="77777777" w:rsidTr="00C23E5C">
        <w:trPr>
          <w:trHeight w:val="300"/>
        </w:trPr>
        <w:tc>
          <w:tcPr>
            <w:tcW w:w="4960" w:type="dxa"/>
            <w:vMerge/>
            <w:tcBorders>
              <w:top w:val="nil"/>
              <w:left w:val="single" w:sz="12" w:space="0" w:color="FFFFFF"/>
              <w:bottom w:val="single" w:sz="12" w:space="0" w:color="FFFFFF"/>
              <w:right w:val="single" w:sz="12" w:space="0" w:color="FFFFFF"/>
            </w:tcBorders>
            <w:vAlign w:val="center"/>
            <w:hideMark/>
          </w:tcPr>
          <w:p w14:paraId="67BB8485" w14:textId="77777777" w:rsidR="00C23E5C" w:rsidRPr="00C23E5C" w:rsidRDefault="00C23E5C" w:rsidP="00C23E5C">
            <w:pPr>
              <w:spacing w:after="0" w:line="240" w:lineRule="auto"/>
              <w:rPr>
                <w:rFonts w:cs="Calibri"/>
                <w:b/>
                <w:bCs/>
                <w:color w:val="000000"/>
                <w:sz w:val="20"/>
                <w:szCs w:val="20"/>
                <w:lang w:eastAsia="sk-SK"/>
              </w:rPr>
            </w:pPr>
          </w:p>
        </w:tc>
        <w:tc>
          <w:tcPr>
            <w:tcW w:w="1300" w:type="dxa"/>
            <w:vMerge/>
            <w:tcBorders>
              <w:top w:val="single" w:sz="12" w:space="0" w:color="FFFFFF"/>
              <w:left w:val="single" w:sz="12" w:space="0" w:color="FFFFFF"/>
              <w:bottom w:val="single" w:sz="12" w:space="0" w:color="FFFFFF"/>
              <w:right w:val="single" w:sz="12" w:space="0" w:color="FFFFFF"/>
            </w:tcBorders>
            <w:vAlign w:val="center"/>
            <w:hideMark/>
          </w:tcPr>
          <w:p w14:paraId="1FD7C5F9" w14:textId="77777777" w:rsidR="00C23E5C" w:rsidRPr="00C23E5C" w:rsidRDefault="00C23E5C" w:rsidP="00C23E5C">
            <w:pPr>
              <w:spacing w:after="0" w:line="240" w:lineRule="auto"/>
              <w:rPr>
                <w:rFonts w:cs="Calibri"/>
                <w:b/>
                <w:bCs/>
                <w:color w:val="000000"/>
                <w:sz w:val="18"/>
                <w:szCs w:val="18"/>
                <w:lang w:eastAsia="sk-SK"/>
              </w:rPr>
            </w:pPr>
          </w:p>
        </w:tc>
        <w:tc>
          <w:tcPr>
            <w:tcW w:w="1480" w:type="dxa"/>
            <w:vMerge/>
            <w:tcBorders>
              <w:top w:val="single" w:sz="12" w:space="0" w:color="FFFFFF"/>
              <w:left w:val="single" w:sz="12" w:space="0" w:color="FFFFFF"/>
              <w:bottom w:val="single" w:sz="12" w:space="0" w:color="FFFFFF"/>
              <w:right w:val="single" w:sz="12" w:space="0" w:color="FFFFFF"/>
            </w:tcBorders>
            <w:vAlign w:val="center"/>
            <w:hideMark/>
          </w:tcPr>
          <w:p w14:paraId="33D2AB43" w14:textId="77777777" w:rsidR="00C23E5C" w:rsidRPr="00C23E5C" w:rsidRDefault="00C23E5C" w:rsidP="00C23E5C">
            <w:pPr>
              <w:spacing w:after="0" w:line="240" w:lineRule="auto"/>
              <w:rPr>
                <w:rFonts w:cs="Calibri"/>
                <w:b/>
                <w:bCs/>
                <w:color w:val="000000"/>
                <w:sz w:val="18"/>
                <w:szCs w:val="18"/>
                <w:lang w:eastAsia="sk-SK"/>
              </w:rPr>
            </w:pPr>
          </w:p>
        </w:tc>
        <w:tc>
          <w:tcPr>
            <w:tcW w:w="1720" w:type="dxa"/>
            <w:vMerge/>
            <w:tcBorders>
              <w:top w:val="single" w:sz="12" w:space="0" w:color="FFFFFF"/>
              <w:left w:val="single" w:sz="12" w:space="0" w:color="FFFFFF"/>
              <w:bottom w:val="single" w:sz="12" w:space="0" w:color="FFFFFF"/>
              <w:right w:val="single" w:sz="12" w:space="0" w:color="FFFFFF"/>
            </w:tcBorders>
            <w:vAlign w:val="center"/>
            <w:hideMark/>
          </w:tcPr>
          <w:p w14:paraId="3400FFF5" w14:textId="77777777" w:rsidR="00C23E5C" w:rsidRPr="00C23E5C" w:rsidRDefault="00C23E5C" w:rsidP="00C23E5C">
            <w:pPr>
              <w:spacing w:after="0" w:line="240" w:lineRule="auto"/>
              <w:rPr>
                <w:rFonts w:cs="Calibri"/>
                <w:b/>
                <w:bCs/>
                <w:color w:val="000000"/>
                <w:sz w:val="18"/>
                <w:szCs w:val="18"/>
                <w:lang w:eastAsia="sk-SK"/>
              </w:rPr>
            </w:pPr>
          </w:p>
        </w:tc>
        <w:tc>
          <w:tcPr>
            <w:tcW w:w="1200" w:type="dxa"/>
            <w:vMerge/>
            <w:tcBorders>
              <w:top w:val="single" w:sz="12" w:space="0" w:color="FFFFFF"/>
              <w:left w:val="single" w:sz="12" w:space="0" w:color="FFFFFF"/>
              <w:bottom w:val="single" w:sz="12" w:space="0" w:color="FFFFFF"/>
              <w:right w:val="single" w:sz="12" w:space="0" w:color="FFFFFF"/>
            </w:tcBorders>
            <w:vAlign w:val="center"/>
            <w:hideMark/>
          </w:tcPr>
          <w:p w14:paraId="256832F2" w14:textId="77777777" w:rsidR="00C23E5C" w:rsidRPr="00C23E5C" w:rsidRDefault="00C23E5C" w:rsidP="00C23E5C">
            <w:pPr>
              <w:spacing w:after="0" w:line="240" w:lineRule="auto"/>
              <w:rPr>
                <w:rFonts w:cs="Calibri"/>
                <w:b/>
                <w:bCs/>
                <w:color w:val="000000"/>
                <w:sz w:val="18"/>
                <w:szCs w:val="18"/>
                <w:lang w:eastAsia="sk-SK"/>
              </w:rPr>
            </w:pPr>
          </w:p>
        </w:tc>
        <w:tc>
          <w:tcPr>
            <w:tcW w:w="160" w:type="dxa"/>
            <w:tcBorders>
              <w:top w:val="nil"/>
              <w:left w:val="nil"/>
              <w:bottom w:val="nil"/>
              <w:right w:val="nil"/>
            </w:tcBorders>
            <w:shd w:val="clear" w:color="auto" w:fill="auto"/>
            <w:noWrap/>
            <w:vAlign w:val="bottom"/>
            <w:hideMark/>
          </w:tcPr>
          <w:p w14:paraId="297738B2" w14:textId="77777777" w:rsidR="00C23E5C" w:rsidRPr="00C23E5C" w:rsidRDefault="00C23E5C" w:rsidP="00C23E5C">
            <w:pPr>
              <w:spacing w:after="0" w:line="240" w:lineRule="auto"/>
              <w:jc w:val="center"/>
              <w:rPr>
                <w:rFonts w:cs="Calibri"/>
                <w:b/>
                <w:bCs/>
                <w:color w:val="000000"/>
                <w:sz w:val="18"/>
                <w:szCs w:val="18"/>
                <w:lang w:eastAsia="sk-SK"/>
              </w:rPr>
            </w:pPr>
          </w:p>
        </w:tc>
      </w:tr>
      <w:tr w:rsidR="00C23E5C" w:rsidRPr="00C23E5C" w14:paraId="5D5AEFD8" w14:textId="77777777" w:rsidTr="00C23E5C">
        <w:trPr>
          <w:trHeight w:val="300"/>
        </w:trPr>
        <w:tc>
          <w:tcPr>
            <w:tcW w:w="4960" w:type="dxa"/>
            <w:vMerge/>
            <w:tcBorders>
              <w:top w:val="nil"/>
              <w:left w:val="single" w:sz="12" w:space="0" w:color="FFFFFF"/>
              <w:bottom w:val="single" w:sz="12" w:space="0" w:color="FFFFFF"/>
              <w:right w:val="single" w:sz="12" w:space="0" w:color="FFFFFF"/>
            </w:tcBorders>
            <w:vAlign w:val="center"/>
            <w:hideMark/>
          </w:tcPr>
          <w:p w14:paraId="2D2B3C63" w14:textId="77777777" w:rsidR="00C23E5C" w:rsidRPr="00C23E5C" w:rsidRDefault="00C23E5C" w:rsidP="00C23E5C">
            <w:pPr>
              <w:spacing w:after="0" w:line="240" w:lineRule="auto"/>
              <w:rPr>
                <w:rFonts w:cs="Calibri"/>
                <w:b/>
                <w:bCs/>
                <w:color w:val="000000"/>
                <w:sz w:val="20"/>
                <w:szCs w:val="20"/>
                <w:lang w:eastAsia="sk-SK"/>
              </w:rPr>
            </w:pPr>
          </w:p>
        </w:tc>
        <w:tc>
          <w:tcPr>
            <w:tcW w:w="1300" w:type="dxa"/>
            <w:vMerge/>
            <w:tcBorders>
              <w:top w:val="single" w:sz="12" w:space="0" w:color="FFFFFF"/>
              <w:left w:val="single" w:sz="12" w:space="0" w:color="FFFFFF"/>
              <w:bottom w:val="single" w:sz="12" w:space="0" w:color="FFFFFF"/>
              <w:right w:val="single" w:sz="12" w:space="0" w:color="FFFFFF"/>
            </w:tcBorders>
            <w:vAlign w:val="center"/>
            <w:hideMark/>
          </w:tcPr>
          <w:p w14:paraId="6EB8719C" w14:textId="77777777" w:rsidR="00C23E5C" w:rsidRPr="00C23E5C" w:rsidRDefault="00C23E5C" w:rsidP="00C23E5C">
            <w:pPr>
              <w:spacing w:after="0" w:line="240" w:lineRule="auto"/>
              <w:rPr>
                <w:rFonts w:cs="Calibri"/>
                <w:b/>
                <w:bCs/>
                <w:color w:val="000000"/>
                <w:sz w:val="18"/>
                <w:szCs w:val="18"/>
                <w:lang w:eastAsia="sk-SK"/>
              </w:rPr>
            </w:pPr>
          </w:p>
        </w:tc>
        <w:tc>
          <w:tcPr>
            <w:tcW w:w="1480" w:type="dxa"/>
            <w:vMerge/>
            <w:tcBorders>
              <w:top w:val="single" w:sz="12" w:space="0" w:color="FFFFFF"/>
              <w:left w:val="single" w:sz="12" w:space="0" w:color="FFFFFF"/>
              <w:bottom w:val="single" w:sz="12" w:space="0" w:color="FFFFFF"/>
              <w:right w:val="single" w:sz="12" w:space="0" w:color="FFFFFF"/>
            </w:tcBorders>
            <w:vAlign w:val="center"/>
            <w:hideMark/>
          </w:tcPr>
          <w:p w14:paraId="34EB7119" w14:textId="77777777" w:rsidR="00C23E5C" w:rsidRPr="00C23E5C" w:rsidRDefault="00C23E5C" w:rsidP="00C23E5C">
            <w:pPr>
              <w:spacing w:after="0" w:line="240" w:lineRule="auto"/>
              <w:rPr>
                <w:rFonts w:cs="Calibri"/>
                <w:b/>
                <w:bCs/>
                <w:color w:val="000000"/>
                <w:sz w:val="18"/>
                <w:szCs w:val="18"/>
                <w:lang w:eastAsia="sk-SK"/>
              </w:rPr>
            </w:pPr>
          </w:p>
        </w:tc>
        <w:tc>
          <w:tcPr>
            <w:tcW w:w="1720" w:type="dxa"/>
            <w:vMerge/>
            <w:tcBorders>
              <w:top w:val="single" w:sz="12" w:space="0" w:color="FFFFFF"/>
              <w:left w:val="single" w:sz="12" w:space="0" w:color="FFFFFF"/>
              <w:bottom w:val="single" w:sz="12" w:space="0" w:color="FFFFFF"/>
              <w:right w:val="single" w:sz="12" w:space="0" w:color="FFFFFF"/>
            </w:tcBorders>
            <w:vAlign w:val="center"/>
            <w:hideMark/>
          </w:tcPr>
          <w:p w14:paraId="475E96A3" w14:textId="77777777" w:rsidR="00C23E5C" w:rsidRPr="00C23E5C" w:rsidRDefault="00C23E5C" w:rsidP="00C23E5C">
            <w:pPr>
              <w:spacing w:after="0" w:line="240" w:lineRule="auto"/>
              <w:rPr>
                <w:rFonts w:cs="Calibri"/>
                <w:b/>
                <w:bCs/>
                <w:color w:val="000000"/>
                <w:sz w:val="18"/>
                <w:szCs w:val="18"/>
                <w:lang w:eastAsia="sk-SK"/>
              </w:rPr>
            </w:pPr>
          </w:p>
        </w:tc>
        <w:tc>
          <w:tcPr>
            <w:tcW w:w="1200" w:type="dxa"/>
            <w:vMerge/>
            <w:tcBorders>
              <w:top w:val="single" w:sz="12" w:space="0" w:color="FFFFFF"/>
              <w:left w:val="single" w:sz="12" w:space="0" w:color="FFFFFF"/>
              <w:bottom w:val="single" w:sz="12" w:space="0" w:color="FFFFFF"/>
              <w:right w:val="single" w:sz="12" w:space="0" w:color="FFFFFF"/>
            </w:tcBorders>
            <w:vAlign w:val="center"/>
            <w:hideMark/>
          </w:tcPr>
          <w:p w14:paraId="12C5BACB" w14:textId="77777777" w:rsidR="00C23E5C" w:rsidRPr="00C23E5C" w:rsidRDefault="00C23E5C" w:rsidP="00C23E5C">
            <w:pPr>
              <w:spacing w:after="0" w:line="240" w:lineRule="auto"/>
              <w:rPr>
                <w:rFonts w:cs="Calibri"/>
                <w:b/>
                <w:bCs/>
                <w:color w:val="000000"/>
                <w:sz w:val="18"/>
                <w:szCs w:val="18"/>
                <w:lang w:eastAsia="sk-SK"/>
              </w:rPr>
            </w:pPr>
          </w:p>
        </w:tc>
        <w:tc>
          <w:tcPr>
            <w:tcW w:w="160" w:type="dxa"/>
            <w:tcBorders>
              <w:top w:val="nil"/>
              <w:left w:val="nil"/>
              <w:bottom w:val="nil"/>
              <w:right w:val="nil"/>
            </w:tcBorders>
            <w:shd w:val="clear" w:color="auto" w:fill="auto"/>
            <w:noWrap/>
            <w:vAlign w:val="bottom"/>
            <w:hideMark/>
          </w:tcPr>
          <w:p w14:paraId="469BAD7A" w14:textId="77777777" w:rsidR="00C23E5C" w:rsidRPr="00C23E5C" w:rsidRDefault="00C23E5C" w:rsidP="00C23E5C">
            <w:pPr>
              <w:spacing w:after="0" w:line="240" w:lineRule="auto"/>
              <w:rPr>
                <w:rFonts w:ascii="Times New Roman" w:hAnsi="Times New Roman"/>
                <w:sz w:val="20"/>
                <w:szCs w:val="20"/>
                <w:lang w:eastAsia="sk-SK"/>
              </w:rPr>
            </w:pPr>
          </w:p>
        </w:tc>
      </w:tr>
      <w:tr w:rsidR="00C23E5C" w:rsidRPr="00C23E5C" w14:paraId="7875BF95" w14:textId="77777777" w:rsidTr="00B76B30">
        <w:trPr>
          <w:trHeight w:val="35"/>
        </w:trPr>
        <w:tc>
          <w:tcPr>
            <w:tcW w:w="4960" w:type="dxa"/>
            <w:vMerge/>
            <w:tcBorders>
              <w:top w:val="nil"/>
              <w:left w:val="single" w:sz="12" w:space="0" w:color="FFFFFF"/>
              <w:bottom w:val="single" w:sz="12" w:space="0" w:color="FFFFFF"/>
              <w:right w:val="single" w:sz="12" w:space="0" w:color="FFFFFF"/>
            </w:tcBorders>
            <w:vAlign w:val="center"/>
            <w:hideMark/>
          </w:tcPr>
          <w:p w14:paraId="04B01919" w14:textId="77777777" w:rsidR="00C23E5C" w:rsidRPr="00C23E5C" w:rsidRDefault="00C23E5C" w:rsidP="00C23E5C">
            <w:pPr>
              <w:spacing w:after="0" w:line="240" w:lineRule="auto"/>
              <w:rPr>
                <w:rFonts w:cs="Calibri"/>
                <w:b/>
                <w:bCs/>
                <w:color w:val="000000"/>
                <w:sz w:val="20"/>
                <w:szCs w:val="20"/>
                <w:lang w:eastAsia="sk-SK"/>
              </w:rPr>
            </w:pPr>
          </w:p>
        </w:tc>
        <w:tc>
          <w:tcPr>
            <w:tcW w:w="1300" w:type="dxa"/>
            <w:vMerge/>
            <w:tcBorders>
              <w:top w:val="single" w:sz="12" w:space="0" w:color="FFFFFF"/>
              <w:left w:val="single" w:sz="12" w:space="0" w:color="FFFFFF"/>
              <w:bottom w:val="single" w:sz="12" w:space="0" w:color="FFFFFF"/>
              <w:right w:val="single" w:sz="12" w:space="0" w:color="FFFFFF"/>
            </w:tcBorders>
            <w:vAlign w:val="center"/>
            <w:hideMark/>
          </w:tcPr>
          <w:p w14:paraId="72BF8F93" w14:textId="77777777" w:rsidR="00C23E5C" w:rsidRPr="00C23E5C" w:rsidRDefault="00C23E5C" w:rsidP="00C23E5C">
            <w:pPr>
              <w:spacing w:after="0" w:line="240" w:lineRule="auto"/>
              <w:rPr>
                <w:rFonts w:cs="Calibri"/>
                <w:b/>
                <w:bCs/>
                <w:color w:val="000000"/>
                <w:sz w:val="18"/>
                <w:szCs w:val="18"/>
                <w:lang w:eastAsia="sk-SK"/>
              </w:rPr>
            </w:pPr>
          </w:p>
        </w:tc>
        <w:tc>
          <w:tcPr>
            <w:tcW w:w="1480" w:type="dxa"/>
            <w:vMerge/>
            <w:tcBorders>
              <w:top w:val="single" w:sz="12" w:space="0" w:color="FFFFFF"/>
              <w:left w:val="single" w:sz="12" w:space="0" w:color="FFFFFF"/>
              <w:bottom w:val="single" w:sz="12" w:space="0" w:color="FFFFFF"/>
              <w:right w:val="single" w:sz="12" w:space="0" w:color="FFFFFF"/>
            </w:tcBorders>
            <w:vAlign w:val="center"/>
            <w:hideMark/>
          </w:tcPr>
          <w:p w14:paraId="39F3DCC9" w14:textId="77777777" w:rsidR="00C23E5C" w:rsidRPr="00C23E5C" w:rsidRDefault="00C23E5C" w:rsidP="00C23E5C">
            <w:pPr>
              <w:spacing w:after="0" w:line="240" w:lineRule="auto"/>
              <w:rPr>
                <w:rFonts w:cs="Calibri"/>
                <w:b/>
                <w:bCs/>
                <w:color w:val="000000"/>
                <w:sz w:val="18"/>
                <w:szCs w:val="18"/>
                <w:lang w:eastAsia="sk-SK"/>
              </w:rPr>
            </w:pPr>
          </w:p>
        </w:tc>
        <w:tc>
          <w:tcPr>
            <w:tcW w:w="1720" w:type="dxa"/>
            <w:vMerge/>
            <w:tcBorders>
              <w:top w:val="single" w:sz="12" w:space="0" w:color="FFFFFF"/>
              <w:left w:val="single" w:sz="12" w:space="0" w:color="FFFFFF"/>
              <w:bottom w:val="single" w:sz="12" w:space="0" w:color="FFFFFF"/>
              <w:right w:val="single" w:sz="12" w:space="0" w:color="FFFFFF"/>
            </w:tcBorders>
            <w:vAlign w:val="center"/>
            <w:hideMark/>
          </w:tcPr>
          <w:p w14:paraId="5B69D187" w14:textId="77777777" w:rsidR="00C23E5C" w:rsidRPr="00C23E5C" w:rsidRDefault="00C23E5C" w:rsidP="00C23E5C">
            <w:pPr>
              <w:spacing w:after="0" w:line="240" w:lineRule="auto"/>
              <w:rPr>
                <w:rFonts w:cs="Calibri"/>
                <w:b/>
                <w:bCs/>
                <w:color w:val="000000"/>
                <w:sz w:val="18"/>
                <w:szCs w:val="18"/>
                <w:lang w:eastAsia="sk-SK"/>
              </w:rPr>
            </w:pPr>
          </w:p>
        </w:tc>
        <w:tc>
          <w:tcPr>
            <w:tcW w:w="1200" w:type="dxa"/>
            <w:vMerge/>
            <w:tcBorders>
              <w:top w:val="single" w:sz="12" w:space="0" w:color="FFFFFF"/>
              <w:left w:val="single" w:sz="12" w:space="0" w:color="FFFFFF"/>
              <w:bottom w:val="single" w:sz="12" w:space="0" w:color="FFFFFF"/>
              <w:right w:val="single" w:sz="12" w:space="0" w:color="FFFFFF"/>
            </w:tcBorders>
            <w:vAlign w:val="center"/>
            <w:hideMark/>
          </w:tcPr>
          <w:p w14:paraId="0597FEF7" w14:textId="77777777" w:rsidR="00C23E5C" w:rsidRPr="00C23E5C" w:rsidRDefault="00C23E5C" w:rsidP="00C23E5C">
            <w:pPr>
              <w:spacing w:after="0" w:line="240" w:lineRule="auto"/>
              <w:rPr>
                <w:rFonts w:cs="Calibri"/>
                <w:b/>
                <w:bCs/>
                <w:color w:val="000000"/>
                <w:sz w:val="18"/>
                <w:szCs w:val="18"/>
                <w:lang w:eastAsia="sk-SK"/>
              </w:rPr>
            </w:pPr>
          </w:p>
        </w:tc>
        <w:tc>
          <w:tcPr>
            <w:tcW w:w="160" w:type="dxa"/>
            <w:tcBorders>
              <w:top w:val="nil"/>
              <w:left w:val="nil"/>
              <w:bottom w:val="nil"/>
              <w:right w:val="nil"/>
            </w:tcBorders>
            <w:shd w:val="clear" w:color="auto" w:fill="auto"/>
            <w:noWrap/>
            <w:vAlign w:val="bottom"/>
            <w:hideMark/>
          </w:tcPr>
          <w:p w14:paraId="331CF1D1" w14:textId="77777777" w:rsidR="00C23E5C" w:rsidRPr="00C23E5C" w:rsidRDefault="00C23E5C" w:rsidP="00C23E5C">
            <w:pPr>
              <w:spacing w:after="0" w:line="240" w:lineRule="auto"/>
              <w:rPr>
                <w:rFonts w:ascii="Times New Roman" w:hAnsi="Times New Roman"/>
                <w:sz w:val="20"/>
                <w:szCs w:val="20"/>
                <w:lang w:eastAsia="sk-SK"/>
              </w:rPr>
            </w:pPr>
          </w:p>
        </w:tc>
      </w:tr>
      <w:tr w:rsidR="009C558E" w:rsidRPr="009C558E" w14:paraId="139F58D0"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BFBFBF"/>
            <w:vAlign w:val="center"/>
            <w:hideMark/>
          </w:tcPr>
          <w:p w14:paraId="0E15963D" w14:textId="77777777" w:rsidR="009C558E" w:rsidRPr="009C558E" w:rsidRDefault="009C558E" w:rsidP="009C558E">
            <w:pPr>
              <w:spacing w:after="0" w:line="240" w:lineRule="auto"/>
              <w:rPr>
                <w:rFonts w:cs="Calibri"/>
                <w:b/>
                <w:bCs/>
                <w:color w:val="000000"/>
                <w:sz w:val="20"/>
                <w:szCs w:val="20"/>
                <w:lang w:eastAsia="sk-SK"/>
              </w:rPr>
            </w:pPr>
            <w:r w:rsidRPr="009C558E">
              <w:rPr>
                <w:rFonts w:cs="Calibri"/>
                <w:b/>
                <w:bCs/>
                <w:color w:val="000000"/>
                <w:sz w:val="20"/>
                <w:szCs w:val="20"/>
                <w:lang w:eastAsia="sk-SK"/>
              </w:rPr>
              <w:t>Kapitálové granty a transfery</w:t>
            </w:r>
          </w:p>
        </w:tc>
        <w:tc>
          <w:tcPr>
            <w:tcW w:w="1300" w:type="dxa"/>
            <w:tcBorders>
              <w:top w:val="nil"/>
              <w:left w:val="nil"/>
              <w:bottom w:val="single" w:sz="12" w:space="0" w:color="FFFFFF"/>
              <w:right w:val="single" w:sz="12" w:space="0" w:color="FFFFFF"/>
            </w:tcBorders>
            <w:shd w:val="clear" w:color="000000" w:fill="BFBFBF"/>
            <w:vAlign w:val="center"/>
            <w:hideMark/>
          </w:tcPr>
          <w:p w14:paraId="6D3161D9" w14:textId="77777777" w:rsidR="009C558E" w:rsidRPr="009C558E" w:rsidRDefault="009C558E" w:rsidP="009C558E">
            <w:pPr>
              <w:spacing w:after="0" w:line="240" w:lineRule="auto"/>
              <w:jc w:val="right"/>
              <w:rPr>
                <w:rFonts w:cs="Calibri"/>
                <w:b/>
                <w:bCs/>
                <w:color w:val="000000"/>
                <w:sz w:val="20"/>
                <w:szCs w:val="20"/>
                <w:lang w:eastAsia="sk-SK"/>
              </w:rPr>
            </w:pPr>
            <w:r w:rsidRPr="009C558E">
              <w:rPr>
                <w:rFonts w:cs="Calibri"/>
                <w:b/>
                <w:bCs/>
                <w:color w:val="000000"/>
                <w:sz w:val="20"/>
                <w:szCs w:val="20"/>
                <w:lang w:eastAsia="sk-SK"/>
              </w:rPr>
              <w:t>10 712 450,55</w:t>
            </w:r>
          </w:p>
        </w:tc>
        <w:tc>
          <w:tcPr>
            <w:tcW w:w="1480" w:type="dxa"/>
            <w:tcBorders>
              <w:top w:val="nil"/>
              <w:left w:val="nil"/>
              <w:bottom w:val="single" w:sz="12" w:space="0" w:color="FFFFFF"/>
              <w:right w:val="single" w:sz="12" w:space="0" w:color="FFFFFF"/>
            </w:tcBorders>
            <w:shd w:val="clear" w:color="000000" w:fill="BFBFBF"/>
            <w:vAlign w:val="center"/>
            <w:hideMark/>
          </w:tcPr>
          <w:p w14:paraId="1A83AACF" w14:textId="77777777" w:rsidR="009C558E" w:rsidRPr="009C558E" w:rsidRDefault="009C558E" w:rsidP="009C558E">
            <w:pPr>
              <w:spacing w:after="0" w:line="240" w:lineRule="auto"/>
              <w:jc w:val="right"/>
              <w:rPr>
                <w:rFonts w:cs="Calibri"/>
                <w:b/>
                <w:bCs/>
                <w:color w:val="000000"/>
                <w:sz w:val="20"/>
                <w:szCs w:val="20"/>
                <w:lang w:eastAsia="sk-SK"/>
              </w:rPr>
            </w:pPr>
            <w:r w:rsidRPr="009C558E">
              <w:rPr>
                <w:rFonts w:cs="Calibri"/>
                <w:b/>
                <w:bCs/>
                <w:color w:val="000000"/>
                <w:sz w:val="20"/>
                <w:szCs w:val="20"/>
                <w:lang w:eastAsia="sk-SK"/>
              </w:rPr>
              <w:t>11 121 297,70</w:t>
            </w:r>
          </w:p>
        </w:tc>
        <w:tc>
          <w:tcPr>
            <w:tcW w:w="1720" w:type="dxa"/>
            <w:tcBorders>
              <w:top w:val="nil"/>
              <w:left w:val="nil"/>
              <w:bottom w:val="single" w:sz="12" w:space="0" w:color="FFFFFF"/>
              <w:right w:val="single" w:sz="12" w:space="0" w:color="FFFFFF"/>
            </w:tcBorders>
            <w:shd w:val="clear" w:color="000000" w:fill="BFBFBF"/>
            <w:vAlign w:val="center"/>
            <w:hideMark/>
          </w:tcPr>
          <w:p w14:paraId="483C8D1B" w14:textId="530BAE46" w:rsidR="009C558E" w:rsidRPr="009C558E" w:rsidRDefault="003B7D4B" w:rsidP="009C558E">
            <w:pPr>
              <w:spacing w:after="0" w:line="240" w:lineRule="auto"/>
              <w:jc w:val="right"/>
              <w:rPr>
                <w:rFonts w:cs="Calibri"/>
                <w:b/>
                <w:bCs/>
                <w:color w:val="000000"/>
                <w:sz w:val="20"/>
                <w:szCs w:val="20"/>
                <w:lang w:eastAsia="sk-SK"/>
              </w:rPr>
            </w:pPr>
            <w:r w:rsidRPr="003B7D4B">
              <w:rPr>
                <w:rFonts w:cs="Calibri"/>
                <w:b/>
                <w:bCs/>
                <w:color w:val="000000"/>
                <w:sz w:val="20"/>
                <w:szCs w:val="20"/>
                <w:lang w:eastAsia="sk-SK"/>
              </w:rPr>
              <w:t>3 221 116,78</w:t>
            </w:r>
          </w:p>
        </w:tc>
        <w:tc>
          <w:tcPr>
            <w:tcW w:w="1200" w:type="dxa"/>
            <w:tcBorders>
              <w:top w:val="nil"/>
              <w:left w:val="nil"/>
              <w:bottom w:val="single" w:sz="12" w:space="0" w:color="FFFFFF"/>
              <w:right w:val="single" w:sz="12" w:space="0" w:color="FFFFFF"/>
            </w:tcBorders>
            <w:shd w:val="clear" w:color="000000" w:fill="BFBFBF"/>
            <w:vAlign w:val="center"/>
            <w:hideMark/>
          </w:tcPr>
          <w:p w14:paraId="55FE30B4" w14:textId="0DA7B28E" w:rsidR="009C558E" w:rsidRPr="009C558E" w:rsidRDefault="009C558E" w:rsidP="009C558E">
            <w:pPr>
              <w:spacing w:after="0" w:line="240" w:lineRule="auto"/>
              <w:jc w:val="right"/>
              <w:rPr>
                <w:rFonts w:cs="Calibri"/>
                <w:b/>
                <w:bCs/>
                <w:color w:val="000000"/>
                <w:sz w:val="20"/>
                <w:szCs w:val="20"/>
                <w:lang w:eastAsia="sk-SK"/>
              </w:rPr>
            </w:pPr>
            <w:r w:rsidRPr="009C558E">
              <w:rPr>
                <w:rFonts w:cs="Calibri"/>
                <w:b/>
                <w:bCs/>
                <w:color w:val="000000"/>
                <w:sz w:val="20"/>
                <w:szCs w:val="20"/>
                <w:lang w:eastAsia="sk-SK"/>
              </w:rPr>
              <w:t>28,9</w:t>
            </w:r>
            <w:r w:rsidR="003B7D4B">
              <w:rPr>
                <w:rFonts w:cs="Calibri"/>
                <w:b/>
                <w:bCs/>
                <w:color w:val="000000"/>
                <w:sz w:val="20"/>
                <w:szCs w:val="20"/>
                <w:lang w:eastAsia="sk-SK"/>
              </w:rPr>
              <w:t>6</w:t>
            </w:r>
            <w:r w:rsidRPr="009C558E">
              <w:rPr>
                <w:rFonts w:cs="Calibri"/>
                <w:b/>
                <w:bCs/>
                <w:color w:val="000000"/>
                <w:sz w:val="20"/>
                <w:szCs w:val="20"/>
                <w:lang w:eastAsia="sk-SK"/>
              </w:rPr>
              <w:t>%</w:t>
            </w:r>
          </w:p>
        </w:tc>
      </w:tr>
      <w:tr w:rsidR="009C558E" w:rsidRPr="009C558E" w14:paraId="65FFB57D" w14:textId="77777777" w:rsidTr="00C23E5C">
        <w:tblPrEx>
          <w:tblCellMar>
            <w:top w:w="0" w:type="dxa"/>
          </w:tblCellMar>
        </w:tblPrEx>
        <w:trPr>
          <w:gridAfter w:val="1"/>
          <w:wAfter w:w="160" w:type="dxa"/>
          <w:trHeight w:val="75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631EDADC"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Dotácia z MPSVaR pre DSS pre deti a dospelých Javorinská 7/a, detašované pracovisko </w:t>
            </w:r>
            <w:proofErr w:type="spellStart"/>
            <w:r w:rsidRPr="009C558E">
              <w:rPr>
                <w:rFonts w:cs="Calibri"/>
                <w:color w:val="000000"/>
                <w:sz w:val="18"/>
                <w:szCs w:val="18"/>
                <w:lang w:eastAsia="sk-SK"/>
              </w:rPr>
              <w:t>Ľubinská</w:t>
            </w:r>
            <w:proofErr w:type="spellEnd"/>
            <w:r w:rsidRPr="009C558E">
              <w:rPr>
                <w:rFonts w:cs="Calibri"/>
                <w:color w:val="000000"/>
                <w:sz w:val="18"/>
                <w:szCs w:val="18"/>
                <w:lang w:eastAsia="sk-SK"/>
              </w:rPr>
              <w:t xml:space="preserve"> 5, BA  (stropný koľajnicový zdvihák 3x a zdvíhací motor)</w:t>
            </w:r>
          </w:p>
        </w:tc>
        <w:tc>
          <w:tcPr>
            <w:tcW w:w="1300" w:type="dxa"/>
            <w:tcBorders>
              <w:top w:val="nil"/>
              <w:left w:val="nil"/>
              <w:bottom w:val="single" w:sz="12" w:space="0" w:color="FFFFFF"/>
              <w:right w:val="single" w:sz="12" w:space="0" w:color="FFFFFF"/>
            </w:tcBorders>
            <w:shd w:val="clear" w:color="000000" w:fill="D9D9D9"/>
            <w:vAlign w:val="center"/>
            <w:hideMark/>
          </w:tcPr>
          <w:p w14:paraId="31BF05B6"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30 000,00</w:t>
            </w:r>
          </w:p>
        </w:tc>
        <w:tc>
          <w:tcPr>
            <w:tcW w:w="1480" w:type="dxa"/>
            <w:tcBorders>
              <w:top w:val="nil"/>
              <w:left w:val="nil"/>
              <w:bottom w:val="single" w:sz="12" w:space="0" w:color="FFFFFF"/>
              <w:right w:val="single" w:sz="12" w:space="0" w:color="FFFFFF"/>
            </w:tcBorders>
            <w:shd w:val="clear" w:color="000000" w:fill="D9D9D9"/>
            <w:vAlign w:val="center"/>
            <w:hideMark/>
          </w:tcPr>
          <w:p w14:paraId="084ADE27"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10 800,00</w:t>
            </w:r>
          </w:p>
        </w:tc>
        <w:tc>
          <w:tcPr>
            <w:tcW w:w="1720" w:type="dxa"/>
            <w:tcBorders>
              <w:top w:val="nil"/>
              <w:left w:val="nil"/>
              <w:bottom w:val="single" w:sz="12" w:space="0" w:color="FFFFFF"/>
              <w:right w:val="single" w:sz="12" w:space="0" w:color="FFFFFF"/>
            </w:tcBorders>
            <w:shd w:val="clear" w:color="000000" w:fill="D9D9D9"/>
            <w:vAlign w:val="center"/>
            <w:hideMark/>
          </w:tcPr>
          <w:p w14:paraId="3B393923"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10 800,00</w:t>
            </w:r>
          </w:p>
        </w:tc>
        <w:tc>
          <w:tcPr>
            <w:tcW w:w="1200" w:type="dxa"/>
            <w:tcBorders>
              <w:top w:val="nil"/>
              <w:left w:val="nil"/>
              <w:bottom w:val="single" w:sz="12" w:space="0" w:color="FFFFFF"/>
              <w:right w:val="single" w:sz="12" w:space="0" w:color="FFFFFF"/>
            </w:tcBorders>
            <w:shd w:val="clear" w:color="000000" w:fill="D9D9D9"/>
            <w:vAlign w:val="center"/>
            <w:hideMark/>
          </w:tcPr>
          <w:p w14:paraId="1D51CBAF"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100,00%</w:t>
            </w:r>
          </w:p>
        </w:tc>
      </w:tr>
      <w:tr w:rsidR="009C558E" w:rsidRPr="009C558E" w14:paraId="308CF8FA" w14:textId="77777777" w:rsidTr="00C23E5C">
        <w:tblPrEx>
          <w:tblCellMar>
            <w:top w:w="0" w:type="dxa"/>
          </w:tblCellMar>
        </w:tblPrEx>
        <w:trPr>
          <w:gridAfter w:val="1"/>
          <w:wAfter w:w="160" w:type="dxa"/>
          <w:trHeight w:val="51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1DE2701A" w14:textId="401700F6"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Dotácia z MŠ SR pre školské zariadenia </w:t>
            </w:r>
            <w:r w:rsidR="00C23E5C">
              <w:rPr>
                <w:rFonts w:cs="Calibri"/>
                <w:color w:val="000000"/>
                <w:sz w:val="18"/>
                <w:szCs w:val="18"/>
                <w:lang w:eastAsia="sk-SK"/>
              </w:rPr>
              <w:t xml:space="preserve">na </w:t>
            </w:r>
            <w:r w:rsidRPr="009C558E">
              <w:rPr>
                <w:rFonts w:cs="Calibri"/>
                <w:color w:val="000000"/>
                <w:sz w:val="18"/>
                <w:szCs w:val="18"/>
                <w:lang w:eastAsia="sk-SK"/>
              </w:rPr>
              <w:t>vybavenie školských jedálni</w:t>
            </w:r>
          </w:p>
        </w:tc>
        <w:tc>
          <w:tcPr>
            <w:tcW w:w="1300" w:type="dxa"/>
            <w:tcBorders>
              <w:top w:val="nil"/>
              <w:left w:val="nil"/>
              <w:bottom w:val="single" w:sz="12" w:space="0" w:color="FFFFFF"/>
              <w:right w:val="single" w:sz="12" w:space="0" w:color="FFFFFF"/>
            </w:tcBorders>
            <w:shd w:val="clear" w:color="000000" w:fill="D9D9D9"/>
            <w:vAlign w:val="center"/>
            <w:hideMark/>
          </w:tcPr>
          <w:p w14:paraId="12F35A4F"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1CDC396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56 346,00</w:t>
            </w:r>
          </w:p>
        </w:tc>
        <w:tc>
          <w:tcPr>
            <w:tcW w:w="1720" w:type="dxa"/>
            <w:tcBorders>
              <w:top w:val="nil"/>
              <w:left w:val="nil"/>
              <w:bottom w:val="single" w:sz="12" w:space="0" w:color="FFFFFF"/>
              <w:right w:val="single" w:sz="12" w:space="0" w:color="FFFFFF"/>
            </w:tcBorders>
            <w:shd w:val="clear" w:color="000000" w:fill="D9D9D9"/>
            <w:vAlign w:val="center"/>
            <w:hideMark/>
          </w:tcPr>
          <w:p w14:paraId="479300CE"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56 346,00</w:t>
            </w:r>
          </w:p>
        </w:tc>
        <w:tc>
          <w:tcPr>
            <w:tcW w:w="1200" w:type="dxa"/>
            <w:tcBorders>
              <w:top w:val="nil"/>
              <w:left w:val="nil"/>
              <w:bottom w:val="single" w:sz="12" w:space="0" w:color="FFFFFF"/>
              <w:right w:val="single" w:sz="12" w:space="0" w:color="FFFFFF"/>
            </w:tcBorders>
            <w:shd w:val="clear" w:color="000000" w:fill="D9D9D9"/>
            <w:vAlign w:val="center"/>
            <w:hideMark/>
          </w:tcPr>
          <w:p w14:paraId="6D92B740"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100,00%</w:t>
            </w:r>
          </w:p>
        </w:tc>
      </w:tr>
      <w:tr w:rsidR="009C558E" w:rsidRPr="009C558E" w14:paraId="5FB323F7" w14:textId="77777777" w:rsidTr="00017596">
        <w:tblPrEx>
          <w:tblCellMar>
            <w:top w:w="0" w:type="dxa"/>
          </w:tblCellMar>
        </w:tblPrEx>
        <w:trPr>
          <w:gridAfter w:val="1"/>
          <w:wAfter w:w="160" w:type="dxa"/>
          <w:trHeight w:val="801"/>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2B3869DC"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Dotácia z MŠ SR pre Školu umeleckého priemyslu, Sklenárova 7, BA na nákup </w:t>
            </w:r>
            <w:proofErr w:type="spellStart"/>
            <w:r w:rsidRPr="009C558E">
              <w:rPr>
                <w:rFonts w:cs="Calibri"/>
                <w:color w:val="000000"/>
                <w:sz w:val="18"/>
                <w:szCs w:val="18"/>
                <w:lang w:eastAsia="sk-SK"/>
              </w:rPr>
              <w:t>termokamier</w:t>
            </w:r>
            <w:proofErr w:type="spellEnd"/>
            <w:r w:rsidRPr="009C558E">
              <w:rPr>
                <w:rFonts w:cs="Calibri"/>
                <w:color w:val="000000"/>
                <w:sz w:val="18"/>
                <w:szCs w:val="18"/>
                <w:lang w:eastAsia="sk-SK"/>
              </w:rPr>
              <w:t xml:space="preserve">  (požiadavka organizácie v súvislosti s aktuálnou situáciou spôsobenou pandémiou COVID-19)</w:t>
            </w:r>
          </w:p>
        </w:tc>
        <w:tc>
          <w:tcPr>
            <w:tcW w:w="1300" w:type="dxa"/>
            <w:tcBorders>
              <w:top w:val="nil"/>
              <w:left w:val="nil"/>
              <w:bottom w:val="single" w:sz="12" w:space="0" w:color="FFFFFF"/>
              <w:right w:val="single" w:sz="12" w:space="0" w:color="FFFFFF"/>
            </w:tcBorders>
            <w:shd w:val="clear" w:color="000000" w:fill="D9D9D9"/>
            <w:vAlign w:val="center"/>
            <w:hideMark/>
          </w:tcPr>
          <w:p w14:paraId="2E41EB00"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31E11CD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7 500,00</w:t>
            </w:r>
          </w:p>
        </w:tc>
        <w:tc>
          <w:tcPr>
            <w:tcW w:w="1720" w:type="dxa"/>
            <w:tcBorders>
              <w:top w:val="nil"/>
              <w:left w:val="nil"/>
              <w:bottom w:val="single" w:sz="12" w:space="0" w:color="FFFFFF"/>
              <w:right w:val="single" w:sz="12" w:space="0" w:color="FFFFFF"/>
            </w:tcBorders>
            <w:shd w:val="clear" w:color="000000" w:fill="D9D9D9"/>
            <w:vAlign w:val="center"/>
            <w:hideMark/>
          </w:tcPr>
          <w:p w14:paraId="241B5226"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7 500,00</w:t>
            </w:r>
          </w:p>
        </w:tc>
        <w:tc>
          <w:tcPr>
            <w:tcW w:w="1200" w:type="dxa"/>
            <w:tcBorders>
              <w:top w:val="nil"/>
              <w:left w:val="nil"/>
              <w:bottom w:val="single" w:sz="12" w:space="0" w:color="FFFFFF"/>
              <w:right w:val="single" w:sz="12" w:space="0" w:color="FFFFFF"/>
            </w:tcBorders>
            <w:shd w:val="clear" w:color="000000" w:fill="D9D9D9"/>
            <w:vAlign w:val="center"/>
            <w:hideMark/>
          </w:tcPr>
          <w:p w14:paraId="472B3593"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100,00%</w:t>
            </w:r>
          </w:p>
        </w:tc>
      </w:tr>
      <w:tr w:rsidR="009C558E" w:rsidRPr="009C558E" w14:paraId="513703DA" w14:textId="77777777" w:rsidTr="00C23E5C">
        <w:tblPrEx>
          <w:tblCellMar>
            <w:top w:w="0" w:type="dxa"/>
          </w:tblCellMar>
        </w:tblPrEx>
        <w:trPr>
          <w:gridAfter w:val="1"/>
          <w:wAfter w:w="160" w:type="dxa"/>
          <w:trHeight w:val="51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76779338" w14:textId="28C0516E"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Dar pre BSK /</w:t>
            </w:r>
            <w:r w:rsidR="00C23E5C">
              <w:rPr>
                <w:rFonts w:cs="Calibri"/>
                <w:color w:val="000000"/>
                <w:sz w:val="18"/>
                <w:szCs w:val="18"/>
                <w:lang w:eastAsia="sk-SK"/>
              </w:rPr>
              <w:t xml:space="preserve"> </w:t>
            </w:r>
            <w:r w:rsidRPr="009C558E">
              <w:rPr>
                <w:rFonts w:cs="Calibri"/>
                <w:color w:val="000000"/>
                <w:sz w:val="18"/>
                <w:szCs w:val="18"/>
                <w:lang w:eastAsia="sk-SK"/>
              </w:rPr>
              <w:t xml:space="preserve">Tanečné konzervatórium E . </w:t>
            </w:r>
            <w:proofErr w:type="spellStart"/>
            <w:r w:rsidRPr="009C558E">
              <w:rPr>
                <w:rFonts w:cs="Calibri"/>
                <w:color w:val="000000"/>
                <w:sz w:val="18"/>
                <w:szCs w:val="18"/>
                <w:lang w:eastAsia="sk-SK"/>
              </w:rPr>
              <w:t>Jaczovej</w:t>
            </w:r>
            <w:proofErr w:type="spellEnd"/>
            <w:r w:rsidRPr="009C558E">
              <w:rPr>
                <w:rFonts w:cs="Calibri"/>
                <w:color w:val="000000"/>
                <w:sz w:val="18"/>
                <w:szCs w:val="18"/>
                <w:lang w:eastAsia="sk-SK"/>
              </w:rPr>
              <w:t xml:space="preserve"> na vy</w:t>
            </w:r>
            <w:r w:rsidR="00C23E5C">
              <w:rPr>
                <w:rFonts w:cs="Calibri"/>
                <w:color w:val="000000"/>
                <w:sz w:val="18"/>
                <w:szCs w:val="18"/>
                <w:lang w:eastAsia="sk-SK"/>
              </w:rPr>
              <w:t>bu</w:t>
            </w:r>
            <w:r w:rsidRPr="009C558E">
              <w:rPr>
                <w:rFonts w:cs="Calibri"/>
                <w:color w:val="000000"/>
                <w:sz w:val="18"/>
                <w:szCs w:val="18"/>
                <w:lang w:eastAsia="sk-SK"/>
              </w:rPr>
              <w:t>dovanie tanečnej sál</w:t>
            </w:r>
            <w:r w:rsidR="00C23E5C">
              <w:rPr>
                <w:rFonts w:cs="Calibri"/>
                <w:color w:val="000000"/>
                <w:sz w:val="18"/>
                <w:szCs w:val="18"/>
                <w:lang w:eastAsia="sk-SK"/>
              </w:rPr>
              <w:t>y</w:t>
            </w:r>
          </w:p>
        </w:tc>
        <w:tc>
          <w:tcPr>
            <w:tcW w:w="1300" w:type="dxa"/>
            <w:tcBorders>
              <w:top w:val="nil"/>
              <w:left w:val="nil"/>
              <w:bottom w:val="single" w:sz="12" w:space="0" w:color="FFFFFF"/>
              <w:right w:val="single" w:sz="12" w:space="0" w:color="FFFFFF"/>
            </w:tcBorders>
            <w:shd w:val="clear" w:color="000000" w:fill="D9D9D9"/>
            <w:vAlign w:val="center"/>
            <w:hideMark/>
          </w:tcPr>
          <w:p w14:paraId="6457B909"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14628B7A"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200 000,00</w:t>
            </w:r>
          </w:p>
        </w:tc>
        <w:tc>
          <w:tcPr>
            <w:tcW w:w="1720" w:type="dxa"/>
            <w:tcBorders>
              <w:top w:val="nil"/>
              <w:left w:val="nil"/>
              <w:bottom w:val="single" w:sz="12" w:space="0" w:color="FFFFFF"/>
              <w:right w:val="single" w:sz="12" w:space="0" w:color="FFFFFF"/>
            </w:tcBorders>
            <w:shd w:val="clear" w:color="000000" w:fill="D9D9D9"/>
            <w:vAlign w:val="center"/>
            <w:hideMark/>
          </w:tcPr>
          <w:p w14:paraId="238D8ECE"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200 000,00</w:t>
            </w:r>
          </w:p>
        </w:tc>
        <w:tc>
          <w:tcPr>
            <w:tcW w:w="1200" w:type="dxa"/>
            <w:tcBorders>
              <w:top w:val="nil"/>
              <w:left w:val="nil"/>
              <w:bottom w:val="single" w:sz="12" w:space="0" w:color="FFFFFF"/>
              <w:right w:val="single" w:sz="12" w:space="0" w:color="FFFFFF"/>
            </w:tcBorders>
            <w:shd w:val="clear" w:color="000000" w:fill="D9D9D9"/>
            <w:vAlign w:val="center"/>
            <w:hideMark/>
          </w:tcPr>
          <w:p w14:paraId="08AC334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100,00%</w:t>
            </w:r>
          </w:p>
        </w:tc>
      </w:tr>
      <w:tr w:rsidR="009C558E" w:rsidRPr="009C558E" w14:paraId="7770CABD"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469BA7B9"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COVP </w:t>
            </w:r>
            <w:proofErr w:type="spellStart"/>
            <w:r w:rsidRPr="009C558E">
              <w:rPr>
                <w:rFonts w:cs="Calibri"/>
                <w:color w:val="000000"/>
                <w:sz w:val="18"/>
                <w:szCs w:val="18"/>
                <w:lang w:eastAsia="sk-SK"/>
              </w:rPr>
              <w:t>Ivánka</w:t>
            </w:r>
            <w:proofErr w:type="spellEnd"/>
            <w:r w:rsidRPr="009C558E">
              <w:rPr>
                <w:rFonts w:cs="Calibri"/>
                <w:color w:val="000000"/>
                <w:sz w:val="18"/>
                <w:szCs w:val="18"/>
                <w:lang w:eastAsia="sk-SK"/>
              </w:rPr>
              <w:t xml:space="preserve"> pri Dunaji </w:t>
            </w:r>
          </w:p>
        </w:tc>
        <w:tc>
          <w:tcPr>
            <w:tcW w:w="1300" w:type="dxa"/>
            <w:tcBorders>
              <w:top w:val="nil"/>
              <w:left w:val="nil"/>
              <w:bottom w:val="single" w:sz="12" w:space="0" w:color="FFFFFF"/>
              <w:right w:val="single" w:sz="12" w:space="0" w:color="FFFFFF"/>
            </w:tcBorders>
            <w:shd w:val="clear" w:color="000000" w:fill="D9D9D9"/>
            <w:vAlign w:val="center"/>
            <w:hideMark/>
          </w:tcPr>
          <w:p w14:paraId="5C7E42C4"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1 026 000,00</w:t>
            </w:r>
          </w:p>
        </w:tc>
        <w:tc>
          <w:tcPr>
            <w:tcW w:w="1480" w:type="dxa"/>
            <w:tcBorders>
              <w:top w:val="nil"/>
              <w:left w:val="nil"/>
              <w:bottom w:val="single" w:sz="12" w:space="0" w:color="FFFFFF"/>
              <w:right w:val="single" w:sz="12" w:space="0" w:color="FFFFFF"/>
            </w:tcBorders>
            <w:shd w:val="clear" w:color="000000" w:fill="D9D9D9"/>
            <w:vAlign w:val="center"/>
            <w:hideMark/>
          </w:tcPr>
          <w:p w14:paraId="72D43BE2"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1 026 000,00</w:t>
            </w:r>
          </w:p>
        </w:tc>
        <w:tc>
          <w:tcPr>
            <w:tcW w:w="1720" w:type="dxa"/>
            <w:tcBorders>
              <w:top w:val="nil"/>
              <w:left w:val="nil"/>
              <w:bottom w:val="single" w:sz="12" w:space="0" w:color="FFFFFF"/>
              <w:right w:val="single" w:sz="12" w:space="0" w:color="FFFFFF"/>
            </w:tcBorders>
            <w:shd w:val="clear" w:color="000000" w:fill="D9D9D9"/>
            <w:vAlign w:val="center"/>
            <w:hideMark/>
          </w:tcPr>
          <w:p w14:paraId="530A2F6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48C98E9C"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38B3E084"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3D1EAD38"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COVP Hlinická </w:t>
            </w:r>
          </w:p>
        </w:tc>
        <w:tc>
          <w:tcPr>
            <w:tcW w:w="1300" w:type="dxa"/>
            <w:tcBorders>
              <w:top w:val="nil"/>
              <w:left w:val="nil"/>
              <w:bottom w:val="single" w:sz="12" w:space="0" w:color="FFFFFF"/>
              <w:right w:val="single" w:sz="12" w:space="0" w:color="FFFFFF"/>
            </w:tcBorders>
            <w:shd w:val="clear" w:color="000000" w:fill="D9D9D9"/>
            <w:vAlign w:val="center"/>
            <w:hideMark/>
          </w:tcPr>
          <w:p w14:paraId="5CE82139"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107 499,98</w:t>
            </w:r>
          </w:p>
        </w:tc>
        <w:tc>
          <w:tcPr>
            <w:tcW w:w="1480" w:type="dxa"/>
            <w:tcBorders>
              <w:top w:val="nil"/>
              <w:left w:val="nil"/>
              <w:bottom w:val="single" w:sz="12" w:space="0" w:color="FFFFFF"/>
              <w:right w:val="single" w:sz="12" w:space="0" w:color="FFFFFF"/>
            </w:tcBorders>
            <w:shd w:val="clear" w:color="000000" w:fill="D9D9D9"/>
            <w:vAlign w:val="center"/>
            <w:hideMark/>
          </w:tcPr>
          <w:p w14:paraId="504F666A"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155 355,39</w:t>
            </w:r>
          </w:p>
        </w:tc>
        <w:tc>
          <w:tcPr>
            <w:tcW w:w="1720" w:type="dxa"/>
            <w:tcBorders>
              <w:top w:val="nil"/>
              <w:left w:val="nil"/>
              <w:bottom w:val="single" w:sz="12" w:space="0" w:color="FFFFFF"/>
              <w:right w:val="single" w:sz="12" w:space="0" w:color="FFFFFF"/>
            </w:tcBorders>
            <w:shd w:val="clear" w:color="000000" w:fill="D9D9D9"/>
            <w:vAlign w:val="center"/>
            <w:hideMark/>
          </w:tcPr>
          <w:p w14:paraId="1118E12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124 916,97</w:t>
            </w:r>
          </w:p>
        </w:tc>
        <w:tc>
          <w:tcPr>
            <w:tcW w:w="1200" w:type="dxa"/>
            <w:tcBorders>
              <w:top w:val="nil"/>
              <w:left w:val="nil"/>
              <w:bottom w:val="single" w:sz="12" w:space="0" w:color="FFFFFF"/>
              <w:right w:val="single" w:sz="12" w:space="0" w:color="FFFFFF"/>
            </w:tcBorders>
            <w:shd w:val="clear" w:color="000000" w:fill="D9D9D9"/>
            <w:vAlign w:val="center"/>
            <w:hideMark/>
          </w:tcPr>
          <w:p w14:paraId="028162B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80,41%</w:t>
            </w:r>
          </w:p>
        </w:tc>
      </w:tr>
      <w:tr w:rsidR="009C558E" w:rsidRPr="009C558E" w14:paraId="1A81474C"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67B8F4FB"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lastRenderedPageBreak/>
              <w:t xml:space="preserve">COVP Farského </w:t>
            </w:r>
          </w:p>
        </w:tc>
        <w:tc>
          <w:tcPr>
            <w:tcW w:w="1300" w:type="dxa"/>
            <w:tcBorders>
              <w:top w:val="nil"/>
              <w:left w:val="nil"/>
              <w:bottom w:val="single" w:sz="12" w:space="0" w:color="FFFFFF"/>
              <w:right w:val="single" w:sz="12" w:space="0" w:color="FFFFFF"/>
            </w:tcBorders>
            <w:shd w:val="clear" w:color="000000" w:fill="D9D9D9"/>
            <w:vAlign w:val="center"/>
            <w:hideMark/>
          </w:tcPr>
          <w:p w14:paraId="3D9B2789"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1 282 500,00</w:t>
            </w:r>
          </w:p>
        </w:tc>
        <w:tc>
          <w:tcPr>
            <w:tcW w:w="1480" w:type="dxa"/>
            <w:tcBorders>
              <w:top w:val="nil"/>
              <w:left w:val="nil"/>
              <w:bottom w:val="single" w:sz="12" w:space="0" w:color="FFFFFF"/>
              <w:right w:val="single" w:sz="12" w:space="0" w:color="FFFFFF"/>
            </w:tcBorders>
            <w:shd w:val="clear" w:color="000000" w:fill="D9D9D9"/>
            <w:vAlign w:val="center"/>
            <w:hideMark/>
          </w:tcPr>
          <w:p w14:paraId="04489142"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1 282 500,00</w:t>
            </w:r>
          </w:p>
        </w:tc>
        <w:tc>
          <w:tcPr>
            <w:tcW w:w="1720" w:type="dxa"/>
            <w:tcBorders>
              <w:top w:val="nil"/>
              <w:left w:val="nil"/>
              <w:bottom w:val="single" w:sz="12" w:space="0" w:color="FFFFFF"/>
              <w:right w:val="single" w:sz="12" w:space="0" w:color="FFFFFF"/>
            </w:tcBorders>
            <w:shd w:val="clear" w:color="000000" w:fill="D9D9D9"/>
            <w:vAlign w:val="center"/>
            <w:hideMark/>
          </w:tcPr>
          <w:p w14:paraId="6EF94653"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6C0BC494"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0E0AC5CB"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6C98E6E1"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COVP </w:t>
            </w:r>
            <w:proofErr w:type="spellStart"/>
            <w:r w:rsidRPr="009C558E">
              <w:rPr>
                <w:rFonts w:cs="Calibri"/>
                <w:color w:val="000000"/>
                <w:sz w:val="18"/>
                <w:szCs w:val="18"/>
                <w:lang w:eastAsia="sk-SK"/>
              </w:rPr>
              <w:t>Ivánska</w:t>
            </w:r>
            <w:proofErr w:type="spellEnd"/>
            <w:r w:rsidRPr="009C558E">
              <w:rPr>
                <w:rFonts w:cs="Calibri"/>
                <w:color w:val="000000"/>
                <w:sz w:val="18"/>
                <w:szCs w:val="18"/>
                <w:lang w:eastAsia="sk-SK"/>
              </w:rPr>
              <w:t xml:space="preserve"> cesta </w:t>
            </w:r>
          </w:p>
        </w:tc>
        <w:tc>
          <w:tcPr>
            <w:tcW w:w="1300" w:type="dxa"/>
            <w:tcBorders>
              <w:top w:val="nil"/>
              <w:left w:val="nil"/>
              <w:bottom w:val="single" w:sz="12" w:space="0" w:color="FFFFFF"/>
              <w:right w:val="single" w:sz="12" w:space="0" w:color="FFFFFF"/>
            </w:tcBorders>
            <w:shd w:val="clear" w:color="000000" w:fill="D9D9D9"/>
            <w:vAlign w:val="center"/>
            <w:hideMark/>
          </w:tcPr>
          <w:p w14:paraId="40DE2F63"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1 592 935,71</w:t>
            </w:r>
          </w:p>
        </w:tc>
        <w:tc>
          <w:tcPr>
            <w:tcW w:w="1480" w:type="dxa"/>
            <w:tcBorders>
              <w:top w:val="nil"/>
              <w:left w:val="nil"/>
              <w:bottom w:val="single" w:sz="12" w:space="0" w:color="FFFFFF"/>
              <w:right w:val="single" w:sz="12" w:space="0" w:color="FFFFFF"/>
            </w:tcBorders>
            <w:shd w:val="clear" w:color="000000" w:fill="D9D9D9"/>
            <w:vAlign w:val="center"/>
            <w:hideMark/>
          </w:tcPr>
          <w:p w14:paraId="26CCC74D"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1 592 935,71</w:t>
            </w:r>
          </w:p>
        </w:tc>
        <w:tc>
          <w:tcPr>
            <w:tcW w:w="1720" w:type="dxa"/>
            <w:tcBorders>
              <w:top w:val="nil"/>
              <w:left w:val="nil"/>
              <w:bottom w:val="single" w:sz="12" w:space="0" w:color="FFFFFF"/>
              <w:right w:val="single" w:sz="12" w:space="0" w:color="FFFFFF"/>
            </w:tcBorders>
            <w:shd w:val="clear" w:color="000000" w:fill="D9D9D9"/>
            <w:vAlign w:val="center"/>
            <w:hideMark/>
          </w:tcPr>
          <w:p w14:paraId="1906A2C0"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1 220 646,16</w:t>
            </w:r>
          </w:p>
        </w:tc>
        <w:tc>
          <w:tcPr>
            <w:tcW w:w="1200" w:type="dxa"/>
            <w:tcBorders>
              <w:top w:val="nil"/>
              <w:left w:val="nil"/>
              <w:bottom w:val="single" w:sz="12" w:space="0" w:color="FFFFFF"/>
              <w:right w:val="single" w:sz="12" w:space="0" w:color="FFFFFF"/>
            </w:tcBorders>
            <w:shd w:val="clear" w:color="000000" w:fill="D9D9D9"/>
            <w:vAlign w:val="center"/>
            <w:hideMark/>
          </w:tcPr>
          <w:p w14:paraId="2E9E680F"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76,63%</w:t>
            </w:r>
          </w:p>
        </w:tc>
      </w:tr>
      <w:tr w:rsidR="009C558E" w:rsidRPr="009C558E" w14:paraId="72A1AFC9"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4E52B504"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COVP Polygrafická</w:t>
            </w:r>
          </w:p>
        </w:tc>
        <w:tc>
          <w:tcPr>
            <w:tcW w:w="1300" w:type="dxa"/>
            <w:tcBorders>
              <w:top w:val="nil"/>
              <w:left w:val="nil"/>
              <w:bottom w:val="single" w:sz="12" w:space="0" w:color="FFFFFF"/>
              <w:right w:val="single" w:sz="12" w:space="0" w:color="FFFFFF"/>
            </w:tcBorders>
            <w:shd w:val="clear" w:color="000000" w:fill="D9D9D9"/>
            <w:vAlign w:val="center"/>
            <w:hideMark/>
          </w:tcPr>
          <w:p w14:paraId="55F7441A"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1 282 500,00</w:t>
            </w:r>
          </w:p>
        </w:tc>
        <w:tc>
          <w:tcPr>
            <w:tcW w:w="1480" w:type="dxa"/>
            <w:tcBorders>
              <w:top w:val="nil"/>
              <w:left w:val="nil"/>
              <w:bottom w:val="single" w:sz="12" w:space="0" w:color="FFFFFF"/>
              <w:right w:val="single" w:sz="12" w:space="0" w:color="FFFFFF"/>
            </w:tcBorders>
            <w:shd w:val="clear" w:color="000000" w:fill="D9D9D9"/>
            <w:vAlign w:val="center"/>
            <w:hideMark/>
          </w:tcPr>
          <w:p w14:paraId="09FC77A2"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1 282 500,00</w:t>
            </w:r>
          </w:p>
        </w:tc>
        <w:tc>
          <w:tcPr>
            <w:tcW w:w="1720" w:type="dxa"/>
            <w:tcBorders>
              <w:top w:val="nil"/>
              <w:left w:val="nil"/>
              <w:bottom w:val="single" w:sz="12" w:space="0" w:color="FFFFFF"/>
              <w:right w:val="single" w:sz="12" w:space="0" w:color="FFFFFF"/>
            </w:tcBorders>
            <w:shd w:val="clear" w:color="000000" w:fill="D9D9D9"/>
            <w:vAlign w:val="center"/>
            <w:hideMark/>
          </w:tcPr>
          <w:p w14:paraId="358641B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7A92F3D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55F2A813"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3FE197D9"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Rekonštrukcia cesty Malacky–Rohožník</w:t>
            </w:r>
          </w:p>
        </w:tc>
        <w:tc>
          <w:tcPr>
            <w:tcW w:w="1300" w:type="dxa"/>
            <w:tcBorders>
              <w:top w:val="nil"/>
              <w:left w:val="nil"/>
              <w:bottom w:val="single" w:sz="12" w:space="0" w:color="FFFFFF"/>
              <w:right w:val="single" w:sz="12" w:space="0" w:color="FFFFFF"/>
            </w:tcBorders>
            <w:shd w:val="clear" w:color="000000" w:fill="D9D9D9"/>
            <w:vAlign w:val="center"/>
            <w:hideMark/>
          </w:tcPr>
          <w:p w14:paraId="4C8B33FA"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658 412,05</w:t>
            </w:r>
          </w:p>
        </w:tc>
        <w:tc>
          <w:tcPr>
            <w:tcW w:w="1480" w:type="dxa"/>
            <w:tcBorders>
              <w:top w:val="nil"/>
              <w:left w:val="nil"/>
              <w:bottom w:val="single" w:sz="12" w:space="0" w:color="FFFFFF"/>
              <w:right w:val="single" w:sz="12" w:space="0" w:color="FFFFFF"/>
            </w:tcBorders>
            <w:shd w:val="clear" w:color="000000" w:fill="D9D9D9"/>
            <w:vAlign w:val="center"/>
            <w:hideMark/>
          </w:tcPr>
          <w:p w14:paraId="1355D6FD"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658 412,05</w:t>
            </w:r>
          </w:p>
        </w:tc>
        <w:tc>
          <w:tcPr>
            <w:tcW w:w="1720" w:type="dxa"/>
            <w:tcBorders>
              <w:top w:val="nil"/>
              <w:left w:val="nil"/>
              <w:bottom w:val="single" w:sz="12" w:space="0" w:color="FFFFFF"/>
              <w:right w:val="single" w:sz="12" w:space="0" w:color="FFFFFF"/>
            </w:tcBorders>
            <w:shd w:val="clear" w:color="000000" w:fill="D9D9D9"/>
            <w:vAlign w:val="center"/>
            <w:hideMark/>
          </w:tcPr>
          <w:p w14:paraId="5F25613B"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380FEC8D"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785DC9EA"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5926CC59"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Projekt  PUMM - mestská mobilita</w:t>
            </w:r>
          </w:p>
        </w:tc>
        <w:tc>
          <w:tcPr>
            <w:tcW w:w="1300" w:type="dxa"/>
            <w:tcBorders>
              <w:top w:val="nil"/>
              <w:left w:val="nil"/>
              <w:bottom w:val="single" w:sz="12" w:space="0" w:color="FFFFFF"/>
              <w:right w:val="single" w:sz="12" w:space="0" w:color="FFFFFF"/>
            </w:tcBorders>
            <w:shd w:val="clear" w:color="000000" w:fill="D9D9D9"/>
            <w:vAlign w:val="center"/>
            <w:hideMark/>
          </w:tcPr>
          <w:p w14:paraId="407A5E4E"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152 617,50</w:t>
            </w:r>
          </w:p>
        </w:tc>
        <w:tc>
          <w:tcPr>
            <w:tcW w:w="1480" w:type="dxa"/>
            <w:tcBorders>
              <w:top w:val="nil"/>
              <w:left w:val="nil"/>
              <w:bottom w:val="single" w:sz="12" w:space="0" w:color="FFFFFF"/>
              <w:right w:val="single" w:sz="12" w:space="0" w:color="FFFFFF"/>
            </w:tcBorders>
            <w:shd w:val="clear" w:color="000000" w:fill="D9D9D9"/>
            <w:vAlign w:val="center"/>
            <w:hideMark/>
          </w:tcPr>
          <w:p w14:paraId="3180A65C"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152 617,50</w:t>
            </w:r>
          </w:p>
        </w:tc>
        <w:tc>
          <w:tcPr>
            <w:tcW w:w="1720" w:type="dxa"/>
            <w:tcBorders>
              <w:top w:val="nil"/>
              <w:left w:val="nil"/>
              <w:bottom w:val="single" w:sz="12" w:space="0" w:color="FFFFFF"/>
              <w:right w:val="single" w:sz="12" w:space="0" w:color="FFFFFF"/>
            </w:tcBorders>
            <w:shd w:val="clear" w:color="000000" w:fill="D9D9D9"/>
            <w:vAlign w:val="center"/>
            <w:hideMark/>
          </w:tcPr>
          <w:p w14:paraId="2F7AF0F6"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1A7AE98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21C7503F"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41180919"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Rekonštrukcia kaštieľa a parku v Modre </w:t>
            </w:r>
          </w:p>
        </w:tc>
        <w:tc>
          <w:tcPr>
            <w:tcW w:w="1300" w:type="dxa"/>
            <w:tcBorders>
              <w:top w:val="nil"/>
              <w:left w:val="nil"/>
              <w:bottom w:val="single" w:sz="12" w:space="0" w:color="FFFFFF"/>
              <w:right w:val="single" w:sz="12" w:space="0" w:color="FFFFFF"/>
            </w:tcBorders>
            <w:shd w:val="clear" w:color="000000" w:fill="D9D9D9"/>
            <w:vAlign w:val="center"/>
            <w:hideMark/>
          </w:tcPr>
          <w:p w14:paraId="5221DDEC"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345 370,55</w:t>
            </w:r>
          </w:p>
        </w:tc>
        <w:tc>
          <w:tcPr>
            <w:tcW w:w="1480" w:type="dxa"/>
            <w:tcBorders>
              <w:top w:val="nil"/>
              <w:left w:val="nil"/>
              <w:bottom w:val="single" w:sz="12" w:space="0" w:color="FFFFFF"/>
              <w:right w:val="single" w:sz="12" w:space="0" w:color="FFFFFF"/>
            </w:tcBorders>
            <w:shd w:val="clear" w:color="000000" w:fill="D9D9D9"/>
            <w:vAlign w:val="center"/>
            <w:hideMark/>
          </w:tcPr>
          <w:p w14:paraId="784B7867"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369 272,60</w:t>
            </w:r>
          </w:p>
        </w:tc>
        <w:tc>
          <w:tcPr>
            <w:tcW w:w="1720" w:type="dxa"/>
            <w:tcBorders>
              <w:top w:val="nil"/>
              <w:left w:val="nil"/>
              <w:bottom w:val="single" w:sz="12" w:space="0" w:color="FFFFFF"/>
              <w:right w:val="single" w:sz="12" w:space="0" w:color="FFFFFF"/>
            </w:tcBorders>
            <w:shd w:val="clear" w:color="000000" w:fill="D9D9D9"/>
            <w:vAlign w:val="center"/>
            <w:hideMark/>
          </w:tcPr>
          <w:p w14:paraId="0257072D"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227 069,50</w:t>
            </w:r>
          </w:p>
        </w:tc>
        <w:tc>
          <w:tcPr>
            <w:tcW w:w="1200" w:type="dxa"/>
            <w:tcBorders>
              <w:top w:val="nil"/>
              <w:left w:val="nil"/>
              <w:bottom w:val="single" w:sz="12" w:space="0" w:color="FFFFFF"/>
              <w:right w:val="single" w:sz="12" w:space="0" w:color="FFFFFF"/>
            </w:tcBorders>
            <w:shd w:val="clear" w:color="000000" w:fill="D9D9D9"/>
            <w:vAlign w:val="center"/>
            <w:hideMark/>
          </w:tcPr>
          <w:p w14:paraId="5FBAF14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61,49%</w:t>
            </w:r>
          </w:p>
        </w:tc>
      </w:tr>
      <w:tr w:rsidR="009C558E" w:rsidRPr="009C558E" w14:paraId="4B4C8E09"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765E3961" w14:textId="77777777" w:rsidR="009C558E" w:rsidRPr="009C558E" w:rsidRDefault="009C558E" w:rsidP="009C558E">
            <w:pPr>
              <w:spacing w:after="0" w:line="240" w:lineRule="auto"/>
              <w:rPr>
                <w:rFonts w:cs="Calibri"/>
                <w:color w:val="000000"/>
                <w:sz w:val="18"/>
                <w:szCs w:val="18"/>
                <w:lang w:eastAsia="sk-SK"/>
              </w:rPr>
            </w:pPr>
            <w:proofErr w:type="spellStart"/>
            <w:r w:rsidRPr="009C558E">
              <w:rPr>
                <w:rFonts w:cs="Calibri"/>
                <w:color w:val="000000"/>
                <w:sz w:val="18"/>
                <w:szCs w:val="18"/>
                <w:lang w:eastAsia="sk-SK"/>
              </w:rPr>
              <w:t>Deinštitucionalizácia</w:t>
            </w:r>
            <w:proofErr w:type="spellEnd"/>
            <w:r w:rsidRPr="009C558E">
              <w:rPr>
                <w:rFonts w:cs="Calibri"/>
                <w:color w:val="000000"/>
                <w:sz w:val="18"/>
                <w:szCs w:val="18"/>
                <w:lang w:eastAsia="sk-SK"/>
              </w:rPr>
              <w:t xml:space="preserve"> DSS a ZPS Rača - </w:t>
            </w:r>
            <w:proofErr w:type="spellStart"/>
            <w:r w:rsidRPr="009C558E">
              <w:rPr>
                <w:rFonts w:cs="Calibri"/>
                <w:color w:val="000000"/>
                <w:sz w:val="18"/>
                <w:szCs w:val="18"/>
                <w:lang w:eastAsia="sk-SK"/>
              </w:rPr>
              <w:t>Strelkova</w:t>
            </w:r>
            <w:proofErr w:type="spellEnd"/>
            <w:r w:rsidRPr="009C558E">
              <w:rPr>
                <w:rFonts w:cs="Calibri"/>
                <w:color w:val="000000"/>
                <w:sz w:val="18"/>
                <w:szCs w:val="18"/>
                <w:lang w:eastAsia="sk-SK"/>
              </w:rPr>
              <w:t xml:space="preserve"> </w:t>
            </w:r>
          </w:p>
        </w:tc>
        <w:tc>
          <w:tcPr>
            <w:tcW w:w="1300" w:type="dxa"/>
            <w:tcBorders>
              <w:top w:val="nil"/>
              <w:left w:val="nil"/>
              <w:bottom w:val="single" w:sz="12" w:space="0" w:color="FFFFFF"/>
              <w:right w:val="single" w:sz="12" w:space="0" w:color="FFFFFF"/>
            </w:tcBorders>
            <w:shd w:val="clear" w:color="000000" w:fill="D9D9D9"/>
            <w:vAlign w:val="center"/>
            <w:hideMark/>
          </w:tcPr>
          <w:p w14:paraId="17CC3CCC"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898 583,51</w:t>
            </w:r>
          </w:p>
        </w:tc>
        <w:tc>
          <w:tcPr>
            <w:tcW w:w="1480" w:type="dxa"/>
            <w:tcBorders>
              <w:top w:val="nil"/>
              <w:left w:val="nil"/>
              <w:bottom w:val="single" w:sz="12" w:space="0" w:color="FFFFFF"/>
              <w:right w:val="single" w:sz="12" w:space="0" w:color="FFFFFF"/>
            </w:tcBorders>
            <w:shd w:val="clear" w:color="000000" w:fill="D9D9D9"/>
            <w:vAlign w:val="center"/>
            <w:hideMark/>
          </w:tcPr>
          <w:p w14:paraId="114509A5"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898 583,51</w:t>
            </w:r>
          </w:p>
        </w:tc>
        <w:tc>
          <w:tcPr>
            <w:tcW w:w="1720" w:type="dxa"/>
            <w:tcBorders>
              <w:top w:val="nil"/>
              <w:left w:val="nil"/>
              <w:bottom w:val="single" w:sz="12" w:space="0" w:color="FFFFFF"/>
              <w:right w:val="single" w:sz="12" w:space="0" w:color="FFFFFF"/>
            </w:tcBorders>
            <w:shd w:val="clear" w:color="000000" w:fill="D9D9D9"/>
            <w:vAlign w:val="center"/>
            <w:hideMark/>
          </w:tcPr>
          <w:p w14:paraId="208FC6E0"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39 188,54</w:t>
            </w:r>
          </w:p>
        </w:tc>
        <w:tc>
          <w:tcPr>
            <w:tcW w:w="1200" w:type="dxa"/>
            <w:tcBorders>
              <w:top w:val="nil"/>
              <w:left w:val="nil"/>
              <w:bottom w:val="single" w:sz="12" w:space="0" w:color="FFFFFF"/>
              <w:right w:val="single" w:sz="12" w:space="0" w:color="FFFFFF"/>
            </w:tcBorders>
            <w:shd w:val="clear" w:color="000000" w:fill="D9D9D9"/>
            <w:vAlign w:val="center"/>
            <w:hideMark/>
          </w:tcPr>
          <w:p w14:paraId="46CD413D"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4,36%</w:t>
            </w:r>
          </w:p>
        </w:tc>
      </w:tr>
      <w:tr w:rsidR="009C558E" w:rsidRPr="009C558E" w14:paraId="1E385087"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52F1D70B" w14:textId="77777777" w:rsidR="009C558E" w:rsidRPr="009C558E" w:rsidRDefault="009C558E" w:rsidP="009C558E">
            <w:pPr>
              <w:spacing w:after="0" w:line="240" w:lineRule="auto"/>
              <w:rPr>
                <w:rFonts w:cs="Calibri"/>
                <w:color w:val="000000"/>
                <w:sz w:val="18"/>
                <w:szCs w:val="18"/>
                <w:lang w:eastAsia="sk-SK"/>
              </w:rPr>
            </w:pPr>
            <w:proofErr w:type="spellStart"/>
            <w:r w:rsidRPr="009C558E">
              <w:rPr>
                <w:rFonts w:cs="Calibri"/>
                <w:color w:val="000000"/>
                <w:sz w:val="18"/>
                <w:szCs w:val="18"/>
                <w:lang w:eastAsia="sk-SK"/>
              </w:rPr>
              <w:t>Deinštitucionalizácia</w:t>
            </w:r>
            <w:proofErr w:type="spellEnd"/>
            <w:r w:rsidRPr="009C558E">
              <w:rPr>
                <w:rFonts w:cs="Calibri"/>
                <w:color w:val="000000"/>
                <w:sz w:val="18"/>
                <w:szCs w:val="18"/>
                <w:lang w:eastAsia="sk-SK"/>
              </w:rPr>
              <w:t xml:space="preserve"> DSS a ZPS Rača - Račianska </w:t>
            </w:r>
          </w:p>
        </w:tc>
        <w:tc>
          <w:tcPr>
            <w:tcW w:w="1300" w:type="dxa"/>
            <w:tcBorders>
              <w:top w:val="nil"/>
              <w:left w:val="nil"/>
              <w:bottom w:val="single" w:sz="12" w:space="0" w:color="FFFFFF"/>
              <w:right w:val="single" w:sz="12" w:space="0" w:color="FFFFFF"/>
            </w:tcBorders>
            <w:shd w:val="clear" w:color="000000" w:fill="D9D9D9"/>
            <w:vAlign w:val="center"/>
            <w:hideMark/>
          </w:tcPr>
          <w:p w14:paraId="22D3B0CB"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583 771,77</w:t>
            </w:r>
          </w:p>
        </w:tc>
        <w:tc>
          <w:tcPr>
            <w:tcW w:w="1480" w:type="dxa"/>
            <w:tcBorders>
              <w:top w:val="nil"/>
              <w:left w:val="nil"/>
              <w:bottom w:val="single" w:sz="12" w:space="0" w:color="FFFFFF"/>
              <w:right w:val="single" w:sz="12" w:space="0" w:color="FFFFFF"/>
            </w:tcBorders>
            <w:shd w:val="clear" w:color="000000" w:fill="D9D9D9"/>
            <w:vAlign w:val="center"/>
            <w:hideMark/>
          </w:tcPr>
          <w:p w14:paraId="2E320F86"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583 771,77</w:t>
            </w:r>
          </w:p>
        </w:tc>
        <w:tc>
          <w:tcPr>
            <w:tcW w:w="1720" w:type="dxa"/>
            <w:tcBorders>
              <w:top w:val="nil"/>
              <w:left w:val="nil"/>
              <w:bottom w:val="single" w:sz="12" w:space="0" w:color="FFFFFF"/>
              <w:right w:val="single" w:sz="12" w:space="0" w:color="FFFFFF"/>
            </w:tcBorders>
            <w:shd w:val="clear" w:color="000000" w:fill="D9D9D9"/>
            <w:vAlign w:val="center"/>
            <w:hideMark/>
          </w:tcPr>
          <w:p w14:paraId="518A4EDC"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47 387,50</w:t>
            </w:r>
          </w:p>
        </w:tc>
        <w:tc>
          <w:tcPr>
            <w:tcW w:w="1200" w:type="dxa"/>
            <w:tcBorders>
              <w:top w:val="nil"/>
              <w:left w:val="nil"/>
              <w:bottom w:val="single" w:sz="12" w:space="0" w:color="FFFFFF"/>
              <w:right w:val="single" w:sz="12" w:space="0" w:color="FFFFFF"/>
            </w:tcBorders>
            <w:shd w:val="clear" w:color="000000" w:fill="D9D9D9"/>
            <w:vAlign w:val="center"/>
            <w:hideMark/>
          </w:tcPr>
          <w:p w14:paraId="42003D3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8,12%</w:t>
            </w:r>
          </w:p>
        </w:tc>
      </w:tr>
      <w:tr w:rsidR="009C558E" w:rsidRPr="009C558E" w14:paraId="4ED46DD1"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717608B5" w14:textId="77777777" w:rsidR="009C558E" w:rsidRPr="009C558E" w:rsidRDefault="009C558E" w:rsidP="009C558E">
            <w:pPr>
              <w:spacing w:after="0" w:line="240" w:lineRule="auto"/>
              <w:rPr>
                <w:rFonts w:cs="Calibri"/>
                <w:color w:val="000000"/>
                <w:sz w:val="18"/>
                <w:szCs w:val="18"/>
                <w:lang w:eastAsia="sk-SK"/>
              </w:rPr>
            </w:pPr>
            <w:proofErr w:type="spellStart"/>
            <w:r w:rsidRPr="009C558E">
              <w:rPr>
                <w:rFonts w:cs="Calibri"/>
                <w:color w:val="000000"/>
                <w:sz w:val="18"/>
                <w:szCs w:val="18"/>
                <w:lang w:eastAsia="sk-SK"/>
              </w:rPr>
              <w:t>Deinštitucionalizácia</w:t>
            </w:r>
            <w:proofErr w:type="spellEnd"/>
            <w:r w:rsidRPr="009C558E">
              <w:rPr>
                <w:rFonts w:cs="Calibri"/>
                <w:color w:val="000000"/>
                <w:sz w:val="18"/>
                <w:szCs w:val="18"/>
                <w:lang w:eastAsia="sk-SK"/>
              </w:rPr>
              <w:t xml:space="preserve"> DSS a ZPS </w:t>
            </w:r>
            <w:proofErr w:type="spellStart"/>
            <w:r w:rsidRPr="009C558E">
              <w:rPr>
                <w:rFonts w:cs="Calibri"/>
                <w:color w:val="000000"/>
                <w:sz w:val="18"/>
                <w:szCs w:val="18"/>
                <w:lang w:eastAsia="sk-SK"/>
              </w:rPr>
              <w:t>Merema</w:t>
            </w:r>
            <w:proofErr w:type="spellEnd"/>
            <w:r w:rsidRPr="009C558E">
              <w:rPr>
                <w:rFonts w:cs="Calibri"/>
                <w:color w:val="000000"/>
                <w:sz w:val="18"/>
                <w:szCs w:val="18"/>
                <w:lang w:eastAsia="sk-SK"/>
              </w:rPr>
              <w:t xml:space="preserve"> - Pezinok</w:t>
            </w:r>
          </w:p>
        </w:tc>
        <w:tc>
          <w:tcPr>
            <w:tcW w:w="1300" w:type="dxa"/>
            <w:tcBorders>
              <w:top w:val="nil"/>
              <w:left w:val="nil"/>
              <w:bottom w:val="single" w:sz="12" w:space="0" w:color="FFFFFF"/>
              <w:right w:val="single" w:sz="12" w:space="0" w:color="FFFFFF"/>
            </w:tcBorders>
            <w:shd w:val="clear" w:color="000000" w:fill="D9D9D9"/>
            <w:vAlign w:val="center"/>
            <w:hideMark/>
          </w:tcPr>
          <w:p w14:paraId="5838F466"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850 440,29</w:t>
            </w:r>
          </w:p>
        </w:tc>
        <w:tc>
          <w:tcPr>
            <w:tcW w:w="1480" w:type="dxa"/>
            <w:tcBorders>
              <w:top w:val="nil"/>
              <w:left w:val="nil"/>
              <w:bottom w:val="single" w:sz="12" w:space="0" w:color="FFFFFF"/>
              <w:right w:val="single" w:sz="12" w:space="0" w:color="FFFFFF"/>
            </w:tcBorders>
            <w:shd w:val="clear" w:color="000000" w:fill="D9D9D9"/>
            <w:vAlign w:val="center"/>
            <w:hideMark/>
          </w:tcPr>
          <w:p w14:paraId="1C04D595"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850 440,29</w:t>
            </w:r>
          </w:p>
        </w:tc>
        <w:tc>
          <w:tcPr>
            <w:tcW w:w="1720" w:type="dxa"/>
            <w:tcBorders>
              <w:top w:val="nil"/>
              <w:left w:val="nil"/>
              <w:bottom w:val="single" w:sz="12" w:space="0" w:color="FFFFFF"/>
              <w:right w:val="single" w:sz="12" w:space="0" w:color="FFFFFF"/>
            </w:tcBorders>
            <w:shd w:val="clear" w:color="000000" w:fill="D9D9D9"/>
            <w:vAlign w:val="center"/>
            <w:hideMark/>
          </w:tcPr>
          <w:p w14:paraId="00827785"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282FDA3F"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480C817F"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4685C27B"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Projekt DANUBE BIKE&amp;BOAT /Malý Dunaj </w:t>
            </w:r>
          </w:p>
        </w:tc>
        <w:tc>
          <w:tcPr>
            <w:tcW w:w="1300" w:type="dxa"/>
            <w:tcBorders>
              <w:top w:val="nil"/>
              <w:left w:val="nil"/>
              <w:bottom w:val="single" w:sz="12" w:space="0" w:color="FFFFFF"/>
              <w:right w:val="single" w:sz="12" w:space="0" w:color="FFFFFF"/>
            </w:tcBorders>
            <w:shd w:val="clear" w:color="000000" w:fill="D9D9D9"/>
            <w:vAlign w:val="center"/>
            <w:hideMark/>
          </w:tcPr>
          <w:p w14:paraId="1482B8DC" w14:textId="08623DA9"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w:t>
            </w:r>
            <w:r w:rsidR="003B7D4B">
              <w:rPr>
                <w:rFonts w:cs="Calibri"/>
                <w:color w:val="000000"/>
                <w:sz w:val="18"/>
                <w:szCs w:val="18"/>
                <w:lang w:eastAsia="sk-SK"/>
              </w:rPr>
              <w:t xml:space="preserve"> </w:t>
            </w:r>
            <w:r w:rsidRPr="009C558E">
              <w:rPr>
                <w:rFonts w:cs="Calibri"/>
                <w:color w:val="000000"/>
                <w:sz w:val="18"/>
                <w:szCs w:val="18"/>
                <w:lang w:eastAsia="sk-SK"/>
              </w:rPr>
              <w:t>211</w:t>
            </w:r>
            <w:r w:rsidR="003B7D4B">
              <w:rPr>
                <w:rFonts w:cs="Calibri"/>
                <w:color w:val="000000"/>
                <w:sz w:val="18"/>
                <w:szCs w:val="18"/>
                <w:lang w:eastAsia="sk-SK"/>
              </w:rPr>
              <w:t xml:space="preserve"> </w:t>
            </w:r>
            <w:r w:rsidRPr="009C558E">
              <w:rPr>
                <w:rFonts w:cs="Calibri"/>
                <w:color w:val="000000"/>
                <w:sz w:val="18"/>
                <w:szCs w:val="18"/>
                <w:lang w:eastAsia="sk-SK"/>
              </w:rPr>
              <w:t>412,25</w:t>
            </w:r>
          </w:p>
        </w:tc>
        <w:tc>
          <w:tcPr>
            <w:tcW w:w="1480" w:type="dxa"/>
            <w:tcBorders>
              <w:top w:val="nil"/>
              <w:left w:val="nil"/>
              <w:bottom w:val="single" w:sz="12" w:space="0" w:color="FFFFFF"/>
              <w:right w:val="single" w:sz="12" w:space="0" w:color="FFFFFF"/>
            </w:tcBorders>
            <w:shd w:val="clear" w:color="000000" w:fill="D9D9D9"/>
            <w:vAlign w:val="center"/>
            <w:hideMark/>
          </w:tcPr>
          <w:p w14:paraId="75FA910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1 215 782,42</w:t>
            </w:r>
          </w:p>
        </w:tc>
        <w:tc>
          <w:tcPr>
            <w:tcW w:w="1720" w:type="dxa"/>
            <w:tcBorders>
              <w:top w:val="nil"/>
              <w:left w:val="nil"/>
              <w:bottom w:val="single" w:sz="12" w:space="0" w:color="FFFFFF"/>
              <w:right w:val="single" w:sz="12" w:space="0" w:color="FFFFFF"/>
            </w:tcBorders>
            <w:shd w:val="clear" w:color="000000" w:fill="D9D9D9"/>
            <w:vAlign w:val="center"/>
            <w:hideMark/>
          </w:tcPr>
          <w:p w14:paraId="289ADA3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1 170 688,00</w:t>
            </w:r>
          </w:p>
        </w:tc>
        <w:tc>
          <w:tcPr>
            <w:tcW w:w="1200" w:type="dxa"/>
            <w:tcBorders>
              <w:top w:val="nil"/>
              <w:left w:val="nil"/>
              <w:bottom w:val="single" w:sz="12" w:space="0" w:color="FFFFFF"/>
              <w:right w:val="single" w:sz="12" w:space="0" w:color="FFFFFF"/>
            </w:tcBorders>
            <w:shd w:val="clear" w:color="000000" w:fill="D9D9D9"/>
            <w:vAlign w:val="center"/>
            <w:hideMark/>
          </w:tcPr>
          <w:p w14:paraId="57B14E0F"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96,29%</w:t>
            </w:r>
          </w:p>
        </w:tc>
      </w:tr>
      <w:tr w:rsidR="009C558E" w:rsidRPr="009C558E" w14:paraId="6D9A6C01"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22D0BC21"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Projekt </w:t>
            </w:r>
            <w:proofErr w:type="spellStart"/>
            <w:r w:rsidRPr="009C558E">
              <w:rPr>
                <w:rFonts w:cs="Calibri"/>
                <w:color w:val="000000"/>
                <w:sz w:val="18"/>
                <w:szCs w:val="18"/>
                <w:lang w:eastAsia="sk-SK"/>
              </w:rPr>
              <w:t>Sacra</w:t>
            </w:r>
            <w:proofErr w:type="spellEnd"/>
            <w:r w:rsidRPr="009C558E">
              <w:rPr>
                <w:rFonts w:cs="Calibri"/>
                <w:color w:val="000000"/>
                <w:sz w:val="18"/>
                <w:szCs w:val="18"/>
                <w:lang w:eastAsia="sk-SK"/>
              </w:rPr>
              <w:t xml:space="preserve"> </w:t>
            </w:r>
            <w:proofErr w:type="spellStart"/>
            <w:r w:rsidRPr="009C558E">
              <w:rPr>
                <w:rFonts w:cs="Calibri"/>
                <w:color w:val="000000"/>
                <w:sz w:val="18"/>
                <w:szCs w:val="18"/>
                <w:lang w:eastAsia="sk-SK"/>
              </w:rPr>
              <w:t>Velo</w:t>
            </w:r>
            <w:proofErr w:type="spellEnd"/>
          </w:p>
        </w:tc>
        <w:tc>
          <w:tcPr>
            <w:tcW w:w="1300" w:type="dxa"/>
            <w:tcBorders>
              <w:top w:val="nil"/>
              <w:left w:val="nil"/>
              <w:bottom w:val="single" w:sz="12" w:space="0" w:color="FFFFFF"/>
              <w:right w:val="single" w:sz="12" w:space="0" w:color="FFFFFF"/>
            </w:tcBorders>
            <w:shd w:val="clear" w:color="000000" w:fill="D9D9D9"/>
            <w:vAlign w:val="center"/>
            <w:hideMark/>
          </w:tcPr>
          <w:p w14:paraId="3CCE136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72 795,61</w:t>
            </w:r>
          </w:p>
        </w:tc>
        <w:tc>
          <w:tcPr>
            <w:tcW w:w="1480" w:type="dxa"/>
            <w:tcBorders>
              <w:top w:val="nil"/>
              <w:left w:val="nil"/>
              <w:bottom w:val="single" w:sz="12" w:space="0" w:color="FFFFFF"/>
              <w:right w:val="single" w:sz="12" w:space="0" w:color="FFFFFF"/>
            </w:tcBorders>
            <w:shd w:val="clear" w:color="000000" w:fill="D9D9D9"/>
            <w:vAlign w:val="center"/>
            <w:hideMark/>
          </w:tcPr>
          <w:p w14:paraId="48CB5951"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141 759,87</w:t>
            </w:r>
          </w:p>
        </w:tc>
        <w:tc>
          <w:tcPr>
            <w:tcW w:w="1720" w:type="dxa"/>
            <w:tcBorders>
              <w:top w:val="nil"/>
              <w:left w:val="nil"/>
              <w:bottom w:val="single" w:sz="12" w:space="0" w:color="FFFFFF"/>
              <w:right w:val="single" w:sz="12" w:space="0" w:color="FFFFFF"/>
            </w:tcBorders>
            <w:shd w:val="clear" w:color="000000" w:fill="D9D9D9"/>
            <w:vAlign w:val="center"/>
            <w:hideMark/>
          </w:tcPr>
          <w:p w14:paraId="3C2E5EC7"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99 443,89</w:t>
            </w:r>
          </w:p>
        </w:tc>
        <w:tc>
          <w:tcPr>
            <w:tcW w:w="1200" w:type="dxa"/>
            <w:tcBorders>
              <w:top w:val="nil"/>
              <w:left w:val="nil"/>
              <w:bottom w:val="single" w:sz="12" w:space="0" w:color="FFFFFF"/>
              <w:right w:val="single" w:sz="12" w:space="0" w:color="FFFFFF"/>
            </w:tcBorders>
            <w:shd w:val="clear" w:color="000000" w:fill="D9D9D9"/>
            <w:vAlign w:val="center"/>
            <w:hideMark/>
          </w:tcPr>
          <w:p w14:paraId="59F6D6C7"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70,15%</w:t>
            </w:r>
          </w:p>
        </w:tc>
      </w:tr>
      <w:tr w:rsidR="009C558E" w:rsidRPr="009C558E" w14:paraId="20E6DFA0"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582E48CA"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Projektové zámery BSK</w:t>
            </w:r>
          </w:p>
        </w:tc>
        <w:tc>
          <w:tcPr>
            <w:tcW w:w="1300" w:type="dxa"/>
            <w:tcBorders>
              <w:top w:val="nil"/>
              <w:left w:val="nil"/>
              <w:bottom w:val="single" w:sz="12" w:space="0" w:color="FFFFFF"/>
              <w:right w:val="single" w:sz="12" w:space="0" w:color="FFFFFF"/>
            </w:tcBorders>
            <w:shd w:val="clear" w:color="000000" w:fill="D9D9D9"/>
            <w:vAlign w:val="center"/>
            <w:hideMark/>
          </w:tcPr>
          <w:p w14:paraId="02AB52EA"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617 611,33</w:t>
            </w:r>
          </w:p>
        </w:tc>
        <w:tc>
          <w:tcPr>
            <w:tcW w:w="1480" w:type="dxa"/>
            <w:tcBorders>
              <w:top w:val="nil"/>
              <w:left w:val="nil"/>
              <w:bottom w:val="single" w:sz="12" w:space="0" w:color="FFFFFF"/>
              <w:right w:val="single" w:sz="12" w:space="0" w:color="FFFFFF"/>
            </w:tcBorders>
            <w:shd w:val="clear" w:color="000000" w:fill="D9D9D9"/>
            <w:vAlign w:val="center"/>
            <w:hideMark/>
          </w:tcPr>
          <w:p w14:paraId="01989335"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562 948,33</w:t>
            </w:r>
          </w:p>
        </w:tc>
        <w:tc>
          <w:tcPr>
            <w:tcW w:w="1720" w:type="dxa"/>
            <w:tcBorders>
              <w:top w:val="nil"/>
              <w:left w:val="nil"/>
              <w:bottom w:val="single" w:sz="12" w:space="0" w:color="FFFFFF"/>
              <w:right w:val="single" w:sz="12" w:space="0" w:color="FFFFFF"/>
            </w:tcBorders>
            <w:shd w:val="clear" w:color="000000" w:fill="D9D9D9"/>
            <w:vAlign w:val="center"/>
            <w:hideMark/>
          </w:tcPr>
          <w:p w14:paraId="55541493"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15A61E5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364461F8"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541DC5CE" w14:textId="77777777" w:rsidR="009C558E" w:rsidRPr="009C558E" w:rsidRDefault="009C558E" w:rsidP="009C558E">
            <w:pPr>
              <w:spacing w:after="0" w:line="240" w:lineRule="auto"/>
              <w:rPr>
                <w:rFonts w:cs="Calibri"/>
                <w:color w:val="000000"/>
                <w:sz w:val="18"/>
                <w:szCs w:val="18"/>
                <w:lang w:eastAsia="sk-SK"/>
              </w:rPr>
            </w:pPr>
            <w:proofErr w:type="spellStart"/>
            <w:r w:rsidRPr="009C558E">
              <w:rPr>
                <w:rFonts w:cs="Calibri"/>
                <w:color w:val="000000"/>
                <w:sz w:val="18"/>
                <w:szCs w:val="18"/>
                <w:lang w:eastAsia="sk-SK"/>
              </w:rPr>
              <w:t>Smartregion</w:t>
            </w:r>
            <w:proofErr w:type="spellEnd"/>
            <w:r w:rsidRPr="009C558E">
              <w:rPr>
                <w:rFonts w:cs="Calibri"/>
                <w:color w:val="000000"/>
                <w:sz w:val="18"/>
                <w:szCs w:val="18"/>
                <w:lang w:eastAsia="sk-SK"/>
              </w:rPr>
              <w:t xml:space="preserve"> BSK</w:t>
            </w:r>
          </w:p>
        </w:tc>
        <w:tc>
          <w:tcPr>
            <w:tcW w:w="1300" w:type="dxa"/>
            <w:tcBorders>
              <w:top w:val="nil"/>
              <w:left w:val="nil"/>
              <w:bottom w:val="single" w:sz="12" w:space="0" w:color="FFFFFF"/>
              <w:right w:val="single" w:sz="12" w:space="0" w:color="FFFFFF"/>
            </w:tcBorders>
            <w:shd w:val="clear" w:color="000000" w:fill="D9D9D9"/>
            <w:vAlign w:val="center"/>
            <w:hideMark/>
          </w:tcPr>
          <w:p w14:paraId="153A5105"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7942F6D8"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54 663,00</w:t>
            </w:r>
          </w:p>
        </w:tc>
        <w:tc>
          <w:tcPr>
            <w:tcW w:w="1720" w:type="dxa"/>
            <w:tcBorders>
              <w:top w:val="nil"/>
              <w:left w:val="nil"/>
              <w:bottom w:val="single" w:sz="12" w:space="0" w:color="FFFFFF"/>
              <w:right w:val="single" w:sz="12" w:space="0" w:color="FFFFFF"/>
            </w:tcBorders>
            <w:shd w:val="clear" w:color="000000" w:fill="D9D9D9"/>
            <w:vAlign w:val="center"/>
            <w:hideMark/>
          </w:tcPr>
          <w:p w14:paraId="1904A7FE"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200" w:type="dxa"/>
            <w:tcBorders>
              <w:top w:val="nil"/>
              <w:left w:val="nil"/>
              <w:bottom w:val="single" w:sz="12" w:space="0" w:color="FFFFFF"/>
              <w:right w:val="single" w:sz="12" w:space="0" w:color="FFFFFF"/>
            </w:tcBorders>
            <w:shd w:val="clear" w:color="000000" w:fill="D9D9D9"/>
            <w:vAlign w:val="center"/>
            <w:hideMark/>
          </w:tcPr>
          <w:p w14:paraId="62AD87EC"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r>
      <w:tr w:rsidR="009C558E" w:rsidRPr="009C558E" w14:paraId="1BEA7952"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786F3CE2"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Spojená škola, Ivanka pri Dunaji - použitie HV po zdanení</w:t>
            </w:r>
          </w:p>
        </w:tc>
        <w:tc>
          <w:tcPr>
            <w:tcW w:w="1300" w:type="dxa"/>
            <w:tcBorders>
              <w:top w:val="nil"/>
              <w:left w:val="nil"/>
              <w:bottom w:val="single" w:sz="12" w:space="0" w:color="FFFFFF"/>
              <w:right w:val="single" w:sz="12" w:space="0" w:color="FFFFFF"/>
            </w:tcBorders>
            <w:shd w:val="clear" w:color="000000" w:fill="D9D9D9"/>
            <w:vAlign w:val="center"/>
            <w:hideMark/>
          </w:tcPr>
          <w:p w14:paraId="5E7FA97A"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6295A56E"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11 000,00</w:t>
            </w:r>
          </w:p>
        </w:tc>
        <w:tc>
          <w:tcPr>
            <w:tcW w:w="1720" w:type="dxa"/>
            <w:tcBorders>
              <w:top w:val="nil"/>
              <w:left w:val="nil"/>
              <w:bottom w:val="single" w:sz="12" w:space="0" w:color="FFFFFF"/>
              <w:right w:val="single" w:sz="12" w:space="0" w:color="FFFFFF"/>
            </w:tcBorders>
            <w:shd w:val="clear" w:color="000000" w:fill="D9D9D9"/>
            <w:vAlign w:val="center"/>
            <w:hideMark/>
          </w:tcPr>
          <w:p w14:paraId="21F84D52"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11 000,00</w:t>
            </w:r>
          </w:p>
        </w:tc>
        <w:tc>
          <w:tcPr>
            <w:tcW w:w="1200" w:type="dxa"/>
            <w:tcBorders>
              <w:top w:val="nil"/>
              <w:left w:val="nil"/>
              <w:bottom w:val="single" w:sz="12" w:space="0" w:color="FFFFFF"/>
              <w:right w:val="single" w:sz="12" w:space="0" w:color="FFFFFF"/>
            </w:tcBorders>
            <w:shd w:val="clear" w:color="000000" w:fill="D9D9D9"/>
            <w:vAlign w:val="center"/>
            <w:hideMark/>
          </w:tcPr>
          <w:p w14:paraId="4DBB0CE5" w14:textId="56794297" w:rsidR="009C558E" w:rsidRPr="009C558E" w:rsidRDefault="003B7D4B"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r w:rsidR="009C558E" w:rsidRPr="009C558E">
              <w:rPr>
                <w:rFonts w:cs="Calibri"/>
                <w:color w:val="000000"/>
                <w:sz w:val="18"/>
                <w:szCs w:val="18"/>
                <w:lang w:eastAsia="sk-SK"/>
              </w:rPr>
              <w:t> </w:t>
            </w:r>
          </w:p>
        </w:tc>
      </w:tr>
      <w:tr w:rsidR="009C558E" w:rsidRPr="009C558E" w14:paraId="6D0CA585"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0D3D0740"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SOŠ </w:t>
            </w:r>
            <w:proofErr w:type="spellStart"/>
            <w:r w:rsidRPr="009C558E">
              <w:rPr>
                <w:rFonts w:cs="Calibri"/>
                <w:color w:val="000000"/>
                <w:sz w:val="18"/>
                <w:szCs w:val="18"/>
                <w:lang w:eastAsia="sk-SK"/>
              </w:rPr>
              <w:t>vinársko</w:t>
            </w:r>
            <w:proofErr w:type="spellEnd"/>
            <w:r w:rsidRPr="009C558E">
              <w:rPr>
                <w:rFonts w:cs="Calibri"/>
                <w:color w:val="000000"/>
                <w:sz w:val="18"/>
                <w:szCs w:val="18"/>
                <w:lang w:eastAsia="sk-SK"/>
              </w:rPr>
              <w:t xml:space="preserve"> - ovocinárska Modra - dar</w:t>
            </w:r>
          </w:p>
        </w:tc>
        <w:tc>
          <w:tcPr>
            <w:tcW w:w="1300" w:type="dxa"/>
            <w:tcBorders>
              <w:top w:val="nil"/>
              <w:left w:val="nil"/>
              <w:bottom w:val="single" w:sz="12" w:space="0" w:color="FFFFFF"/>
              <w:right w:val="single" w:sz="12" w:space="0" w:color="FFFFFF"/>
            </w:tcBorders>
            <w:shd w:val="clear" w:color="000000" w:fill="D9D9D9"/>
            <w:vAlign w:val="center"/>
            <w:hideMark/>
          </w:tcPr>
          <w:p w14:paraId="794BC829"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6B4AC9A6"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1 979,04</w:t>
            </w:r>
          </w:p>
        </w:tc>
        <w:tc>
          <w:tcPr>
            <w:tcW w:w="1720" w:type="dxa"/>
            <w:tcBorders>
              <w:top w:val="nil"/>
              <w:left w:val="nil"/>
              <w:bottom w:val="single" w:sz="12" w:space="0" w:color="FFFFFF"/>
              <w:right w:val="single" w:sz="12" w:space="0" w:color="FFFFFF"/>
            </w:tcBorders>
            <w:shd w:val="clear" w:color="000000" w:fill="D9D9D9"/>
            <w:vAlign w:val="center"/>
            <w:hideMark/>
          </w:tcPr>
          <w:p w14:paraId="2F26CFC7" w14:textId="6674B89B" w:rsidR="009C558E" w:rsidRPr="009C558E" w:rsidRDefault="003B7D4B" w:rsidP="009C558E">
            <w:pPr>
              <w:spacing w:after="0" w:line="240" w:lineRule="auto"/>
              <w:jc w:val="right"/>
              <w:rPr>
                <w:rFonts w:cs="Calibri"/>
                <w:color w:val="000000"/>
                <w:sz w:val="18"/>
                <w:szCs w:val="18"/>
                <w:lang w:eastAsia="sk-SK"/>
              </w:rPr>
            </w:pPr>
            <w:r>
              <w:rPr>
                <w:rFonts w:cs="Calibri"/>
                <w:color w:val="000000"/>
                <w:sz w:val="18"/>
                <w:szCs w:val="18"/>
                <w:lang w:eastAsia="sk-SK"/>
              </w:rPr>
              <w:t>0,00</w:t>
            </w:r>
            <w:r w:rsidR="009C558E" w:rsidRPr="009C558E">
              <w:rPr>
                <w:rFonts w:cs="Calibri"/>
                <w:color w:val="000000"/>
                <w:sz w:val="18"/>
                <w:szCs w:val="18"/>
                <w:lang w:eastAsia="sk-SK"/>
              </w:rPr>
              <w:t> </w:t>
            </w:r>
          </w:p>
        </w:tc>
        <w:tc>
          <w:tcPr>
            <w:tcW w:w="1200" w:type="dxa"/>
            <w:tcBorders>
              <w:top w:val="nil"/>
              <w:left w:val="nil"/>
              <w:bottom w:val="single" w:sz="12" w:space="0" w:color="FFFFFF"/>
              <w:right w:val="single" w:sz="12" w:space="0" w:color="FFFFFF"/>
            </w:tcBorders>
            <w:shd w:val="clear" w:color="000000" w:fill="D9D9D9"/>
            <w:vAlign w:val="center"/>
            <w:hideMark/>
          </w:tcPr>
          <w:p w14:paraId="7EFDE379" w14:textId="04FC8170" w:rsidR="009C558E" w:rsidRPr="009C558E" w:rsidRDefault="003B7D4B"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r w:rsidR="009C558E" w:rsidRPr="009C558E">
              <w:rPr>
                <w:rFonts w:cs="Calibri"/>
                <w:color w:val="000000"/>
                <w:sz w:val="18"/>
                <w:szCs w:val="18"/>
                <w:lang w:eastAsia="sk-SK"/>
              </w:rPr>
              <w:t> </w:t>
            </w:r>
          </w:p>
        </w:tc>
      </w:tr>
      <w:tr w:rsidR="009C558E" w:rsidRPr="009C558E" w14:paraId="27CCFE1B" w14:textId="77777777" w:rsidTr="00C23E5C">
        <w:tblPrEx>
          <w:tblCellMar>
            <w:top w:w="0" w:type="dxa"/>
          </w:tblCellMar>
        </w:tblPrEx>
        <w:trPr>
          <w:gridAfter w:val="1"/>
          <w:wAfter w:w="160" w:type="dxa"/>
          <w:trHeight w:val="51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1936D63B"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Gymnázium J. </w:t>
            </w:r>
            <w:proofErr w:type="spellStart"/>
            <w:r w:rsidRPr="009C558E">
              <w:rPr>
                <w:rFonts w:cs="Calibri"/>
                <w:color w:val="000000"/>
                <w:sz w:val="18"/>
                <w:szCs w:val="18"/>
                <w:lang w:eastAsia="sk-SK"/>
              </w:rPr>
              <w:t>Papánka</w:t>
            </w:r>
            <w:proofErr w:type="spellEnd"/>
            <w:r w:rsidRPr="009C558E">
              <w:rPr>
                <w:rFonts w:cs="Calibri"/>
                <w:color w:val="000000"/>
                <w:sz w:val="18"/>
                <w:szCs w:val="18"/>
                <w:lang w:eastAsia="sk-SK"/>
              </w:rPr>
              <w:t xml:space="preserve">, </w:t>
            </w:r>
            <w:proofErr w:type="spellStart"/>
            <w:r w:rsidRPr="009C558E">
              <w:rPr>
                <w:rFonts w:cs="Calibri"/>
                <w:color w:val="000000"/>
                <w:sz w:val="18"/>
                <w:szCs w:val="18"/>
                <w:lang w:eastAsia="sk-SK"/>
              </w:rPr>
              <w:t>Vazovova</w:t>
            </w:r>
            <w:proofErr w:type="spellEnd"/>
            <w:r w:rsidRPr="009C558E">
              <w:rPr>
                <w:rFonts w:cs="Calibri"/>
                <w:color w:val="000000"/>
                <w:sz w:val="18"/>
                <w:szCs w:val="18"/>
                <w:lang w:eastAsia="sk-SK"/>
              </w:rPr>
              <w:t xml:space="preserve">  - projekt "Operačný program Ľudské zdroje"</w:t>
            </w:r>
          </w:p>
        </w:tc>
        <w:tc>
          <w:tcPr>
            <w:tcW w:w="1300" w:type="dxa"/>
            <w:tcBorders>
              <w:top w:val="nil"/>
              <w:left w:val="nil"/>
              <w:bottom w:val="single" w:sz="12" w:space="0" w:color="FFFFFF"/>
              <w:right w:val="single" w:sz="12" w:space="0" w:color="FFFFFF"/>
            </w:tcBorders>
            <w:shd w:val="clear" w:color="000000" w:fill="D9D9D9"/>
            <w:vAlign w:val="center"/>
            <w:hideMark/>
          </w:tcPr>
          <w:p w14:paraId="67C55319"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1811D2BB"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3 731,22</w:t>
            </w:r>
          </w:p>
        </w:tc>
        <w:tc>
          <w:tcPr>
            <w:tcW w:w="1720" w:type="dxa"/>
            <w:tcBorders>
              <w:top w:val="nil"/>
              <w:left w:val="nil"/>
              <w:bottom w:val="single" w:sz="12" w:space="0" w:color="FFFFFF"/>
              <w:right w:val="single" w:sz="12" w:space="0" w:color="FFFFFF"/>
            </w:tcBorders>
            <w:shd w:val="clear" w:color="000000" w:fill="D9D9D9"/>
            <w:vAlign w:val="center"/>
            <w:hideMark/>
          </w:tcPr>
          <w:p w14:paraId="7ECE11F1" w14:textId="3A03A40F" w:rsidR="009C558E" w:rsidRPr="009C558E" w:rsidRDefault="003B7D4B"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3 731,22</w:t>
            </w:r>
            <w:r w:rsidR="009C558E" w:rsidRPr="009C558E">
              <w:rPr>
                <w:rFonts w:cs="Calibri"/>
                <w:color w:val="000000"/>
                <w:sz w:val="18"/>
                <w:szCs w:val="18"/>
                <w:lang w:eastAsia="sk-SK"/>
              </w:rPr>
              <w:t> </w:t>
            </w:r>
          </w:p>
        </w:tc>
        <w:tc>
          <w:tcPr>
            <w:tcW w:w="1200" w:type="dxa"/>
            <w:tcBorders>
              <w:top w:val="nil"/>
              <w:left w:val="nil"/>
              <w:bottom w:val="single" w:sz="12" w:space="0" w:color="FFFFFF"/>
              <w:right w:val="single" w:sz="12" w:space="0" w:color="FFFFFF"/>
            </w:tcBorders>
            <w:shd w:val="clear" w:color="000000" w:fill="D9D9D9"/>
            <w:vAlign w:val="center"/>
            <w:hideMark/>
          </w:tcPr>
          <w:p w14:paraId="42934BBA"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100,00%</w:t>
            </w:r>
          </w:p>
        </w:tc>
      </w:tr>
      <w:tr w:rsidR="009C558E" w:rsidRPr="009C558E" w14:paraId="60AEF670" w14:textId="77777777" w:rsidTr="00C23E5C">
        <w:tblPrEx>
          <w:tblCellMar>
            <w:top w:w="0" w:type="dxa"/>
          </w:tblCellMar>
        </w:tblPrEx>
        <w:trPr>
          <w:gridAfter w:val="1"/>
          <w:wAfter w:w="160" w:type="dxa"/>
          <w:trHeight w:val="330"/>
        </w:trPr>
        <w:tc>
          <w:tcPr>
            <w:tcW w:w="4960" w:type="dxa"/>
            <w:tcBorders>
              <w:top w:val="nil"/>
              <w:left w:val="single" w:sz="12" w:space="0" w:color="FFFFFF"/>
              <w:bottom w:val="single" w:sz="12" w:space="0" w:color="FFFFFF"/>
              <w:right w:val="single" w:sz="12" w:space="0" w:color="FFFFFF"/>
            </w:tcBorders>
            <w:shd w:val="clear" w:color="000000" w:fill="D9D9D9"/>
            <w:vAlign w:val="center"/>
            <w:hideMark/>
          </w:tcPr>
          <w:p w14:paraId="7E3D1BFC" w14:textId="77777777" w:rsidR="009C558E" w:rsidRPr="009C558E" w:rsidRDefault="009C558E" w:rsidP="009C558E">
            <w:pPr>
              <w:spacing w:after="0" w:line="240" w:lineRule="auto"/>
              <w:rPr>
                <w:rFonts w:cs="Calibri"/>
                <w:color w:val="000000"/>
                <w:sz w:val="18"/>
                <w:szCs w:val="18"/>
                <w:lang w:eastAsia="sk-SK"/>
              </w:rPr>
            </w:pPr>
            <w:r w:rsidRPr="009C558E">
              <w:rPr>
                <w:rFonts w:cs="Calibri"/>
                <w:color w:val="000000"/>
                <w:sz w:val="18"/>
                <w:szCs w:val="18"/>
                <w:lang w:eastAsia="sk-SK"/>
              </w:rPr>
              <w:t xml:space="preserve">Gymnázium, </w:t>
            </w:r>
            <w:proofErr w:type="spellStart"/>
            <w:r w:rsidRPr="009C558E">
              <w:rPr>
                <w:rFonts w:cs="Calibri"/>
                <w:color w:val="000000"/>
                <w:sz w:val="18"/>
                <w:szCs w:val="18"/>
                <w:lang w:eastAsia="sk-SK"/>
              </w:rPr>
              <w:t>Grosslingova</w:t>
            </w:r>
            <w:proofErr w:type="spellEnd"/>
            <w:r w:rsidRPr="009C558E">
              <w:rPr>
                <w:rFonts w:cs="Calibri"/>
                <w:color w:val="000000"/>
                <w:sz w:val="18"/>
                <w:szCs w:val="18"/>
                <w:lang w:eastAsia="sk-SK"/>
              </w:rPr>
              <w:t xml:space="preserve"> - dar</w:t>
            </w:r>
          </w:p>
        </w:tc>
        <w:tc>
          <w:tcPr>
            <w:tcW w:w="1300" w:type="dxa"/>
            <w:tcBorders>
              <w:top w:val="nil"/>
              <w:left w:val="nil"/>
              <w:bottom w:val="single" w:sz="12" w:space="0" w:color="FFFFFF"/>
              <w:right w:val="single" w:sz="12" w:space="0" w:color="FFFFFF"/>
            </w:tcBorders>
            <w:shd w:val="clear" w:color="000000" w:fill="D9D9D9"/>
            <w:vAlign w:val="center"/>
            <w:hideMark/>
          </w:tcPr>
          <w:p w14:paraId="09678C02"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p>
        </w:tc>
        <w:tc>
          <w:tcPr>
            <w:tcW w:w="1480" w:type="dxa"/>
            <w:tcBorders>
              <w:top w:val="nil"/>
              <w:left w:val="nil"/>
              <w:bottom w:val="single" w:sz="12" w:space="0" w:color="FFFFFF"/>
              <w:right w:val="single" w:sz="12" w:space="0" w:color="FFFFFF"/>
            </w:tcBorders>
            <w:shd w:val="clear" w:color="000000" w:fill="D9D9D9"/>
            <w:vAlign w:val="center"/>
            <w:hideMark/>
          </w:tcPr>
          <w:p w14:paraId="6472ED22" w14:textId="77777777" w:rsidR="009C558E" w:rsidRPr="009C558E" w:rsidRDefault="009C558E"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2 399,00</w:t>
            </w:r>
          </w:p>
        </w:tc>
        <w:tc>
          <w:tcPr>
            <w:tcW w:w="1720" w:type="dxa"/>
            <w:tcBorders>
              <w:top w:val="nil"/>
              <w:left w:val="nil"/>
              <w:bottom w:val="single" w:sz="12" w:space="0" w:color="FFFFFF"/>
              <w:right w:val="single" w:sz="12" w:space="0" w:color="FFFFFF"/>
            </w:tcBorders>
            <w:shd w:val="clear" w:color="000000" w:fill="D9D9D9"/>
            <w:vAlign w:val="center"/>
            <w:hideMark/>
          </w:tcPr>
          <w:p w14:paraId="28002B56" w14:textId="1304BDF4" w:rsidR="009C558E" w:rsidRPr="009C558E" w:rsidRDefault="003B7D4B"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2 399,00</w:t>
            </w:r>
            <w:r w:rsidR="009C558E" w:rsidRPr="009C558E">
              <w:rPr>
                <w:rFonts w:cs="Calibri"/>
                <w:color w:val="000000"/>
                <w:sz w:val="18"/>
                <w:szCs w:val="18"/>
                <w:lang w:eastAsia="sk-SK"/>
              </w:rPr>
              <w:t> </w:t>
            </w:r>
          </w:p>
        </w:tc>
        <w:tc>
          <w:tcPr>
            <w:tcW w:w="1200" w:type="dxa"/>
            <w:tcBorders>
              <w:top w:val="nil"/>
              <w:left w:val="nil"/>
              <w:bottom w:val="single" w:sz="12" w:space="0" w:color="FFFFFF"/>
              <w:right w:val="single" w:sz="12" w:space="0" w:color="FFFFFF"/>
            </w:tcBorders>
            <w:shd w:val="clear" w:color="000000" w:fill="D9D9D9"/>
            <w:vAlign w:val="center"/>
            <w:hideMark/>
          </w:tcPr>
          <w:p w14:paraId="298B50FE" w14:textId="65FE4C59" w:rsidR="009C558E" w:rsidRPr="009C558E" w:rsidRDefault="003B7D4B" w:rsidP="009C558E">
            <w:pPr>
              <w:spacing w:after="0" w:line="240" w:lineRule="auto"/>
              <w:jc w:val="right"/>
              <w:rPr>
                <w:rFonts w:cs="Calibri"/>
                <w:color w:val="000000"/>
                <w:sz w:val="18"/>
                <w:szCs w:val="18"/>
                <w:lang w:eastAsia="sk-SK"/>
              </w:rPr>
            </w:pPr>
            <w:r w:rsidRPr="009C558E">
              <w:rPr>
                <w:rFonts w:cs="Calibri"/>
                <w:color w:val="000000"/>
                <w:sz w:val="18"/>
                <w:szCs w:val="18"/>
                <w:lang w:eastAsia="sk-SK"/>
              </w:rPr>
              <w:t>0,00%</w:t>
            </w:r>
            <w:r w:rsidR="009C558E" w:rsidRPr="009C558E">
              <w:rPr>
                <w:rFonts w:cs="Calibri"/>
                <w:color w:val="000000"/>
                <w:sz w:val="18"/>
                <w:szCs w:val="18"/>
                <w:lang w:eastAsia="sk-SK"/>
              </w:rPr>
              <w:t> </w:t>
            </w:r>
          </w:p>
        </w:tc>
      </w:tr>
    </w:tbl>
    <w:p w14:paraId="52C77FA2" w14:textId="77777777" w:rsidR="00EC5813" w:rsidRDefault="00EC5813" w:rsidP="00BE704E">
      <w:pPr>
        <w:spacing w:line="240" w:lineRule="auto"/>
        <w:jc w:val="both"/>
        <w:rPr>
          <w:rFonts w:cs="Calibri"/>
          <w:sz w:val="24"/>
          <w:szCs w:val="24"/>
        </w:rPr>
      </w:pPr>
    </w:p>
    <w:p w14:paraId="7F1E2711" w14:textId="0BA4F7EA" w:rsidR="00983965" w:rsidRDefault="00983965" w:rsidP="00BE704E">
      <w:pPr>
        <w:spacing w:line="240" w:lineRule="auto"/>
        <w:jc w:val="both"/>
        <w:rPr>
          <w:rFonts w:cs="Calibri"/>
          <w:sz w:val="24"/>
          <w:szCs w:val="24"/>
        </w:rPr>
      </w:pPr>
      <w:r w:rsidRPr="006D0BCE">
        <w:rPr>
          <w:rFonts w:cs="Calibri"/>
          <w:sz w:val="24"/>
          <w:szCs w:val="24"/>
        </w:rPr>
        <w:t xml:space="preserve">Prehľad </w:t>
      </w:r>
      <w:r>
        <w:rPr>
          <w:rFonts w:cs="Calibri"/>
          <w:sz w:val="24"/>
          <w:szCs w:val="24"/>
        </w:rPr>
        <w:t>plnenia bežných a kapitálových grantov a transferov (účelová dotácia)</w:t>
      </w:r>
      <w:r w:rsidRPr="006D0BCE">
        <w:rPr>
          <w:rFonts w:cs="Calibri"/>
          <w:sz w:val="24"/>
          <w:szCs w:val="24"/>
        </w:rPr>
        <w:t xml:space="preserve"> </w:t>
      </w:r>
      <w:r>
        <w:rPr>
          <w:rFonts w:cs="Calibri"/>
          <w:sz w:val="24"/>
          <w:szCs w:val="24"/>
        </w:rPr>
        <w:t xml:space="preserve">podľa zdroja </w:t>
      </w:r>
      <w:r w:rsidRPr="006D0BCE">
        <w:rPr>
          <w:rFonts w:cs="Calibri"/>
          <w:sz w:val="24"/>
          <w:szCs w:val="24"/>
        </w:rPr>
        <w:t>uvádza nasledovná tabuľka</w:t>
      </w:r>
      <w:r>
        <w:rPr>
          <w:rFonts w:cs="Calibri"/>
          <w:sz w:val="24"/>
          <w:szCs w:val="24"/>
        </w:rPr>
        <w:t>:</w:t>
      </w:r>
    </w:p>
    <w:tbl>
      <w:tblPr>
        <w:tblW w:w="10528" w:type="dxa"/>
        <w:tblCellMar>
          <w:left w:w="70" w:type="dxa"/>
          <w:right w:w="70" w:type="dxa"/>
        </w:tblCellMar>
        <w:tblLook w:val="04A0" w:firstRow="1" w:lastRow="0" w:firstColumn="1" w:lastColumn="0" w:noHBand="0" w:noVBand="1"/>
      </w:tblPr>
      <w:tblGrid>
        <w:gridCol w:w="2916"/>
        <w:gridCol w:w="2606"/>
        <w:gridCol w:w="2606"/>
        <w:gridCol w:w="2400"/>
      </w:tblGrid>
      <w:tr w:rsidR="00983965" w:rsidRPr="00983965" w14:paraId="5EA75D3A" w14:textId="77777777" w:rsidTr="00EC5813">
        <w:trPr>
          <w:trHeight w:val="619"/>
        </w:trPr>
        <w:tc>
          <w:tcPr>
            <w:tcW w:w="2916" w:type="dxa"/>
            <w:tcBorders>
              <w:top w:val="single" w:sz="12" w:space="0" w:color="FFFFFF"/>
              <w:left w:val="nil"/>
              <w:bottom w:val="single" w:sz="12" w:space="0" w:color="FFFFFF"/>
              <w:right w:val="single" w:sz="12" w:space="0" w:color="FFFFFF"/>
            </w:tcBorders>
            <w:shd w:val="clear" w:color="000000" w:fill="8DB3E2"/>
            <w:vAlign w:val="center"/>
            <w:hideMark/>
          </w:tcPr>
          <w:p w14:paraId="5515A918" w14:textId="77777777" w:rsidR="00983965" w:rsidRPr="00983965" w:rsidRDefault="00983965" w:rsidP="00983965">
            <w:pPr>
              <w:spacing w:after="0" w:line="240" w:lineRule="auto"/>
              <w:jc w:val="center"/>
              <w:rPr>
                <w:rFonts w:cs="Calibri"/>
                <w:b/>
                <w:bCs/>
                <w:color w:val="000000"/>
                <w:sz w:val="18"/>
                <w:szCs w:val="18"/>
                <w:lang w:eastAsia="sk-SK"/>
              </w:rPr>
            </w:pPr>
            <w:r w:rsidRPr="00983965">
              <w:rPr>
                <w:rFonts w:cs="Calibri"/>
                <w:b/>
                <w:bCs/>
                <w:color w:val="000000"/>
                <w:sz w:val="18"/>
                <w:szCs w:val="18"/>
                <w:lang w:eastAsia="sk-SK"/>
              </w:rPr>
              <w:t xml:space="preserve">Granty a transfery  BSK </w:t>
            </w:r>
          </w:p>
        </w:tc>
        <w:tc>
          <w:tcPr>
            <w:tcW w:w="2606" w:type="dxa"/>
            <w:tcBorders>
              <w:top w:val="single" w:sz="12" w:space="0" w:color="FFFFFF"/>
              <w:left w:val="nil"/>
              <w:bottom w:val="single" w:sz="12" w:space="0" w:color="FFFFFF"/>
              <w:right w:val="single" w:sz="12" w:space="0" w:color="FFFFFF"/>
            </w:tcBorders>
            <w:shd w:val="clear" w:color="000000" w:fill="8DB3E2"/>
            <w:vAlign w:val="center"/>
            <w:hideMark/>
          </w:tcPr>
          <w:p w14:paraId="3B04D310" w14:textId="77777777" w:rsidR="00983965" w:rsidRPr="00983965" w:rsidRDefault="00983965" w:rsidP="00983965">
            <w:pPr>
              <w:spacing w:after="0" w:line="240" w:lineRule="auto"/>
              <w:jc w:val="center"/>
              <w:rPr>
                <w:rFonts w:cs="Calibri"/>
                <w:b/>
                <w:bCs/>
                <w:color w:val="000000"/>
                <w:sz w:val="18"/>
                <w:szCs w:val="18"/>
                <w:lang w:eastAsia="sk-SK"/>
              </w:rPr>
            </w:pPr>
            <w:r w:rsidRPr="00983965">
              <w:rPr>
                <w:rFonts w:cs="Calibri"/>
                <w:b/>
                <w:bCs/>
                <w:color w:val="000000"/>
                <w:sz w:val="18"/>
                <w:szCs w:val="18"/>
                <w:lang w:eastAsia="sk-SK"/>
              </w:rPr>
              <w:t>Bežné granty a transfery</w:t>
            </w:r>
          </w:p>
        </w:tc>
        <w:tc>
          <w:tcPr>
            <w:tcW w:w="2606" w:type="dxa"/>
            <w:tcBorders>
              <w:top w:val="single" w:sz="12" w:space="0" w:color="FFFFFF"/>
              <w:left w:val="nil"/>
              <w:bottom w:val="single" w:sz="12" w:space="0" w:color="FFFFFF"/>
              <w:right w:val="single" w:sz="12" w:space="0" w:color="FFFFFF"/>
            </w:tcBorders>
            <w:shd w:val="clear" w:color="000000" w:fill="8DB3E2"/>
            <w:vAlign w:val="center"/>
            <w:hideMark/>
          </w:tcPr>
          <w:p w14:paraId="4321E261" w14:textId="77777777" w:rsidR="00983965" w:rsidRPr="00983965" w:rsidRDefault="00983965" w:rsidP="00983965">
            <w:pPr>
              <w:spacing w:after="0" w:line="240" w:lineRule="auto"/>
              <w:jc w:val="center"/>
              <w:rPr>
                <w:rFonts w:cs="Calibri"/>
                <w:b/>
                <w:bCs/>
                <w:color w:val="000000"/>
                <w:sz w:val="18"/>
                <w:szCs w:val="18"/>
                <w:lang w:eastAsia="sk-SK"/>
              </w:rPr>
            </w:pPr>
            <w:r w:rsidRPr="00983965">
              <w:rPr>
                <w:rFonts w:cs="Calibri"/>
                <w:b/>
                <w:bCs/>
                <w:color w:val="000000"/>
                <w:sz w:val="18"/>
                <w:szCs w:val="18"/>
                <w:lang w:eastAsia="sk-SK"/>
              </w:rPr>
              <w:t>Kapitálové granty a transfery</w:t>
            </w:r>
          </w:p>
        </w:tc>
        <w:tc>
          <w:tcPr>
            <w:tcW w:w="2400" w:type="dxa"/>
            <w:tcBorders>
              <w:top w:val="single" w:sz="12" w:space="0" w:color="FFFFFF"/>
              <w:left w:val="nil"/>
              <w:bottom w:val="single" w:sz="12" w:space="0" w:color="FFFFFF"/>
              <w:right w:val="single" w:sz="12" w:space="0" w:color="FFFFFF"/>
            </w:tcBorders>
            <w:shd w:val="clear" w:color="000000" w:fill="8DB3E2"/>
            <w:vAlign w:val="center"/>
            <w:hideMark/>
          </w:tcPr>
          <w:p w14:paraId="05F68DB7" w14:textId="77777777" w:rsidR="00983965" w:rsidRPr="00983965" w:rsidRDefault="00983965" w:rsidP="00983965">
            <w:pPr>
              <w:spacing w:after="0" w:line="240" w:lineRule="auto"/>
              <w:jc w:val="center"/>
              <w:rPr>
                <w:rFonts w:cs="Calibri"/>
                <w:b/>
                <w:bCs/>
                <w:color w:val="000000"/>
                <w:sz w:val="18"/>
                <w:szCs w:val="18"/>
                <w:lang w:eastAsia="sk-SK"/>
              </w:rPr>
            </w:pPr>
            <w:r w:rsidRPr="00983965">
              <w:rPr>
                <w:rFonts w:cs="Calibri"/>
                <w:b/>
                <w:bCs/>
                <w:color w:val="000000"/>
                <w:sz w:val="18"/>
                <w:szCs w:val="18"/>
                <w:lang w:eastAsia="sk-SK"/>
              </w:rPr>
              <w:t>Skutočnosť k 31.12.2021</w:t>
            </w:r>
          </w:p>
        </w:tc>
      </w:tr>
      <w:tr w:rsidR="00983965" w:rsidRPr="00983965" w14:paraId="2DE8217D"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BFBFBF"/>
            <w:vAlign w:val="center"/>
            <w:hideMark/>
          </w:tcPr>
          <w:p w14:paraId="55B0594E" w14:textId="77777777" w:rsidR="00983965" w:rsidRPr="00983965" w:rsidRDefault="00983965" w:rsidP="00983965">
            <w:pPr>
              <w:spacing w:after="0" w:line="240" w:lineRule="auto"/>
              <w:rPr>
                <w:rFonts w:cs="Calibri"/>
                <w:b/>
                <w:bCs/>
                <w:color w:val="000000"/>
                <w:sz w:val="20"/>
                <w:szCs w:val="20"/>
                <w:lang w:eastAsia="sk-SK"/>
              </w:rPr>
            </w:pPr>
            <w:r w:rsidRPr="00983965">
              <w:rPr>
                <w:rFonts w:cs="Calibri"/>
                <w:b/>
                <w:bCs/>
                <w:color w:val="000000"/>
                <w:sz w:val="20"/>
                <w:szCs w:val="20"/>
                <w:lang w:eastAsia="sk-SK"/>
              </w:rPr>
              <w:t>Sociálne zariadenia</w:t>
            </w:r>
          </w:p>
        </w:tc>
        <w:tc>
          <w:tcPr>
            <w:tcW w:w="2606" w:type="dxa"/>
            <w:tcBorders>
              <w:top w:val="nil"/>
              <w:left w:val="nil"/>
              <w:bottom w:val="single" w:sz="12" w:space="0" w:color="FFFFFF"/>
              <w:right w:val="single" w:sz="12" w:space="0" w:color="FFFFFF"/>
            </w:tcBorders>
            <w:shd w:val="clear" w:color="000000" w:fill="BFBFBF"/>
            <w:vAlign w:val="center"/>
            <w:hideMark/>
          </w:tcPr>
          <w:p w14:paraId="695EDA01"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331 789,99</w:t>
            </w:r>
          </w:p>
        </w:tc>
        <w:tc>
          <w:tcPr>
            <w:tcW w:w="2606" w:type="dxa"/>
            <w:tcBorders>
              <w:top w:val="nil"/>
              <w:left w:val="nil"/>
              <w:bottom w:val="single" w:sz="12" w:space="0" w:color="FFFFFF"/>
              <w:right w:val="single" w:sz="12" w:space="0" w:color="FFFFFF"/>
            </w:tcBorders>
            <w:shd w:val="clear" w:color="000000" w:fill="BFBFBF"/>
            <w:vAlign w:val="center"/>
            <w:hideMark/>
          </w:tcPr>
          <w:p w14:paraId="76DE3BF1"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0,00</w:t>
            </w:r>
          </w:p>
        </w:tc>
        <w:tc>
          <w:tcPr>
            <w:tcW w:w="2400" w:type="dxa"/>
            <w:tcBorders>
              <w:top w:val="nil"/>
              <w:left w:val="nil"/>
              <w:bottom w:val="single" w:sz="12" w:space="0" w:color="FFFFFF"/>
              <w:right w:val="single" w:sz="12" w:space="0" w:color="FFFFFF"/>
            </w:tcBorders>
            <w:shd w:val="clear" w:color="000000" w:fill="BFBFBF"/>
            <w:vAlign w:val="center"/>
            <w:hideMark/>
          </w:tcPr>
          <w:p w14:paraId="46AE75C0"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331 789,99</w:t>
            </w:r>
          </w:p>
        </w:tc>
      </w:tr>
      <w:tr w:rsidR="00983965" w:rsidRPr="00983965" w14:paraId="379E27AD"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3D5990FA" w14:textId="517753F2" w:rsidR="00983965" w:rsidRPr="00983965" w:rsidRDefault="00EC5813" w:rsidP="00983965">
            <w:pPr>
              <w:spacing w:after="0" w:line="240" w:lineRule="auto"/>
              <w:rPr>
                <w:rFonts w:cs="Calibri"/>
                <w:color w:val="000000"/>
                <w:sz w:val="20"/>
                <w:szCs w:val="20"/>
                <w:lang w:eastAsia="sk-SK"/>
              </w:rPr>
            </w:pPr>
            <w:r>
              <w:rPr>
                <w:rFonts w:cs="Calibri"/>
                <w:color w:val="000000"/>
                <w:sz w:val="20"/>
                <w:szCs w:val="20"/>
                <w:lang w:eastAsia="sk-SK"/>
              </w:rPr>
              <w:t>Ostatné</w:t>
            </w:r>
            <w:r w:rsidR="00983965" w:rsidRPr="00983965">
              <w:rPr>
                <w:rFonts w:cs="Calibri"/>
                <w:color w:val="000000"/>
                <w:sz w:val="20"/>
                <w:szCs w:val="20"/>
                <w:lang w:eastAsia="sk-SK"/>
              </w:rPr>
              <w:t xml:space="preserve"> zdroje</w:t>
            </w:r>
            <w:r>
              <w:rPr>
                <w:rFonts w:cs="Calibri"/>
                <w:color w:val="000000"/>
                <w:sz w:val="20"/>
                <w:szCs w:val="20"/>
                <w:lang w:eastAsia="sk-SK"/>
              </w:rPr>
              <w:t xml:space="preserve"> (napr. dary, od iných subjektov a pod.)</w:t>
            </w:r>
          </w:p>
        </w:tc>
        <w:tc>
          <w:tcPr>
            <w:tcW w:w="2606" w:type="dxa"/>
            <w:tcBorders>
              <w:top w:val="nil"/>
              <w:left w:val="nil"/>
              <w:bottom w:val="single" w:sz="12" w:space="0" w:color="FFFFFF"/>
              <w:right w:val="single" w:sz="12" w:space="0" w:color="FFFFFF"/>
            </w:tcBorders>
            <w:shd w:val="clear" w:color="000000" w:fill="F2F2F2"/>
            <w:vAlign w:val="center"/>
            <w:hideMark/>
          </w:tcPr>
          <w:p w14:paraId="301B951F"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38 421,20</w:t>
            </w:r>
          </w:p>
        </w:tc>
        <w:tc>
          <w:tcPr>
            <w:tcW w:w="2606" w:type="dxa"/>
            <w:tcBorders>
              <w:top w:val="nil"/>
              <w:left w:val="nil"/>
              <w:bottom w:val="single" w:sz="12" w:space="0" w:color="FFFFFF"/>
              <w:right w:val="single" w:sz="12" w:space="0" w:color="FFFFFF"/>
            </w:tcBorders>
            <w:shd w:val="clear" w:color="000000" w:fill="F2F2F2"/>
            <w:vAlign w:val="center"/>
            <w:hideMark/>
          </w:tcPr>
          <w:p w14:paraId="2D3498FC"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0,00</w:t>
            </w:r>
          </w:p>
        </w:tc>
        <w:tc>
          <w:tcPr>
            <w:tcW w:w="2400" w:type="dxa"/>
            <w:tcBorders>
              <w:top w:val="nil"/>
              <w:left w:val="nil"/>
              <w:bottom w:val="single" w:sz="12" w:space="0" w:color="FFFFFF"/>
              <w:right w:val="single" w:sz="12" w:space="0" w:color="FFFFFF"/>
            </w:tcBorders>
            <w:shd w:val="clear" w:color="000000" w:fill="F2F2F2"/>
            <w:vAlign w:val="center"/>
            <w:hideMark/>
          </w:tcPr>
          <w:p w14:paraId="55DDC367"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38 421,20</w:t>
            </w:r>
          </w:p>
        </w:tc>
      </w:tr>
      <w:tr w:rsidR="00983965" w:rsidRPr="00983965" w14:paraId="28D829D8"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4964E8D8"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Prostriedky z EÚ</w:t>
            </w:r>
          </w:p>
        </w:tc>
        <w:tc>
          <w:tcPr>
            <w:tcW w:w="2606" w:type="dxa"/>
            <w:tcBorders>
              <w:top w:val="nil"/>
              <w:left w:val="nil"/>
              <w:bottom w:val="single" w:sz="12" w:space="0" w:color="FFFFFF"/>
              <w:right w:val="single" w:sz="12" w:space="0" w:color="FFFFFF"/>
            </w:tcBorders>
            <w:shd w:val="clear" w:color="000000" w:fill="F2F2F2"/>
            <w:vAlign w:val="center"/>
            <w:hideMark/>
          </w:tcPr>
          <w:p w14:paraId="3F458DDF"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54 099,00</w:t>
            </w:r>
          </w:p>
        </w:tc>
        <w:tc>
          <w:tcPr>
            <w:tcW w:w="2606" w:type="dxa"/>
            <w:tcBorders>
              <w:top w:val="nil"/>
              <w:left w:val="nil"/>
              <w:bottom w:val="single" w:sz="12" w:space="0" w:color="FFFFFF"/>
              <w:right w:val="single" w:sz="12" w:space="0" w:color="FFFFFF"/>
            </w:tcBorders>
            <w:shd w:val="clear" w:color="000000" w:fill="F2F2F2"/>
            <w:vAlign w:val="center"/>
            <w:hideMark/>
          </w:tcPr>
          <w:p w14:paraId="6A6070F6"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0,00</w:t>
            </w:r>
          </w:p>
        </w:tc>
        <w:tc>
          <w:tcPr>
            <w:tcW w:w="2400" w:type="dxa"/>
            <w:tcBorders>
              <w:top w:val="nil"/>
              <w:left w:val="nil"/>
              <w:bottom w:val="single" w:sz="12" w:space="0" w:color="FFFFFF"/>
              <w:right w:val="single" w:sz="12" w:space="0" w:color="FFFFFF"/>
            </w:tcBorders>
            <w:shd w:val="clear" w:color="000000" w:fill="F2F2F2"/>
            <w:vAlign w:val="center"/>
            <w:hideMark/>
          </w:tcPr>
          <w:p w14:paraId="10DA7C1D"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54 099,00</w:t>
            </w:r>
          </w:p>
        </w:tc>
      </w:tr>
      <w:tr w:rsidR="00983965" w:rsidRPr="00983965" w14:paraId="432E5755"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07CA1DFC"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Zdroje z iných VUC</w:t>
            </w:r>
          </w:p>
        </w:tc>
        <w:tc>
          <w:tcPr>
            <w:tcW w:w="2606" w:type="dxa"/>
            <w:tcBorders>
              <w:top w:val="nil"/>
              <w:left w:val="nil"/>
              <w:bottom w:val="single" w:sz="12" w:space="0" w:color="FFFFFF"/>
              <w:right w:val="single" w:sz="12" w:space="0" w:color="FFFFFF"/>
            </w:tcBorders>
            <w:shd w:val="clear" w:color="000000" w:fill="F2F2F2"/>
            <w:vAlign w:val="center"/>
            <w:hideMark/>
          </w:tcPr>
          <w:p w14:paraId="6FED1034"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236 108,89</w:t>
            </w:r>
          </w:p>
        </w:tc>
        <w:tc>
          <w:tcPr>
            <w:tcW w:w="2606" w:type="dxa"/>
            <w:tcBorders>
              <w:top w:val="nil"/>
              <w:left w:val="nil"/>
              <w:bottom w:val="single" w:sz="12" w:space="0" w:color="FFFFFF"/>
              <w:right w:val="single" w:sz="12" w:space="0" w:color="FFFFFF"/>
            </w:tcBorders>
            <w:shd w:val="clear" w:color="000000" w:fill="F2F2F2"/>
            <w:vAlign w:val="center"/>
            <w:hideMark/>
          </w:tcPr>
          <w:p w14:paraId="74939BEA"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0,00</w:t>
            </w:r>
          </w:p>
        </w:tc>
        <w:tc>
          <w:tcPr>
            <w:tcW w:w="2400" w:type="dxa"/>
            <w:tcBorders>
              <w:top w:val="nil"/>
              <w:left w:val="nil"/>
              <w:bottom w:val="single" w:sz="12" w:space="0" w:color="FFFFFF"/>
              <w:right w:val="single" w:sz="12" w:space="0" w:color="FFFFFF"/>
            </w:tcBorders>
            <w:shd w:val="clear" w:color="000000" w:fill="F2F2F2"/>
            <w:vAlign w:val="center"/>
            <w:hideMark/>
          </w:tcPr>
          <w:p w14:paraId="5DD1581E"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236 108,89</w:t>
            </w:r>
          </w:p>
        </w:tc>
      </w:tr>
      <w:tr w:rsidR="00983965" w:rsidRPr="00983965" w14:paraId="53247FBE"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63D928F3"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Zdroje zo ŠR</w:t>
            </w:r>
          </w:p>
        </w:tc>
        <w:tc>
          <w:tcPr>
            <w:tcW w:w="2606" w:type="dxa"/>
            <w:tcBorders>
              <w:top w:val="nil"/>
              <w:left w:val="nil"/>
              <w:bottom w:val="single" w:sz="12" w:space="0" w:color="FFFFFF"/>
              <w:right w:val="single" w:sz="12" w:space="0" w:color="FFFFFF"/>
            </w:tcBorders>
            <w:shd w:val="clear" w:color="000000" w:fill="F2F2F2"/>
            <w:vAlign w:val="center"/>
            <w:hideMark/>
          </w:tcPr>
          <w:p w14:paraId="1D04E0A6"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3 160,90</w:t>
            </w:r>
          </w:p>
        </w:tc>
        <w:tc>
          <w:tcPr>
            <w:tcW w:w="2606" w:type="dxa"/>
            <w:tcBorders>
              <w:top w:val="nil"/>
              <w:left w:val="nil"/>
              <w:bottom w:val="single" w:sz="12" w:space="0" w:color="FFFFFF"/>
              <w:right w:val="single" w:sz="12" w:space="0" w:color="FFFFFF"/>
            </w:tcBorders>
            <w:shd w:val="clear" w:color="000000" w:fill="F2F2F2"/>
            <w:vAlign w:val="center"/>
            <w:hideMark/>
          </w:tcPr>
          <w:p w14:paraId="5F2B0922"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0,00</w:t>
            </w:r>
          </w:p>
        </w:tc>
        <w:tc>
          <w:tcPr>
            <w:tcW w:w="2400" w:type="dxa"/>
            <w:tcBorders>
              <w:top w:val="nil"/>
              <w:left w:val="nil"/>
              <w:bottom w:val="single" w:sz="12" w:space="0" w:color="FFFFFF"/>
              <w:right w:val="single" w:sz="12" w:space="0" w:color="FFFFFF"/>
            </w:tcBorders>
            <w:shd w:val="clear" w:color="000000" w:fill="F2F2F2"/>
            <w:vAlign w:val="center"/>
            <w:hideMark/>
          </w:tcPr>
          <w:p w14:paraId="110A4C79"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3 160,90</w:t>
            </w:r>
          </w:p>
        </w:tc>
      </w:tr>
      <w:tr w:rsidR="00983965" w:rsidRPr="00983965" w14:paraId="662467E5"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BFBFBF"/>
            <w:vAlign w:val="center"/>
            <w:hideMark/>
          </w:tcPr>
          <w:p w14:paraId="3A45884C" w14:textId="77777777" w:rsidR="00983965" w:rsidRPr="00983965" w:rsidRDefault="00983965" w:rsidP="00983965">
            <w:pPr>
              <w:spacing w:after="0" w:line="240" w:lineRule="auto"/>
              <w:rPr>
                <w:rFonts w:cs="Calibri"/>
                <w:b/>
                <w:bCs/>
                <w:color w:val="000000"/>
                <w:sz w:val="20"/>
                <w:szCs w:val="20"/>
                <w:lang w:eastAsia="sk-SK"/>
              </w:rPr>
            </w:pPr>
            <w:proofErr w:type="spellStart"/>
            <w:r w:rsidRPr="00983965">
              <w:rPr>
                <w:rFonts w:cs="Calibri"/>
                <w:b/>
                <w:bCs/>
                <w:color w:val="000000"/>
                <w:sz w:val="20"/>
                <w:szCs w:val="20"/>
                <w:lang w:eastAsia="sk-SK"/>
              </w:rPr>
              <w:t>Školske</w:t>
            </w:r>
            <w:proofErr w:type="spellEnd"/>
            <w:r w:rsidRPr="00983965">
              <w:rPr>
                <w:rFonts w:cs="Calibri"/>
                <w:b/>
                <w:bCs/>
                <w:color w:val="000000"/>
                <w:sz w:val="20"/>
                <w:szCs w:val="20"/>
                <w:lang w:eastAsia="sk-SK"/>
              </w:rPr>
              <w:t xml:space="preserve"> zariadenia</w:t>
            </w:r>
          </w:p>
        </w:tc>
        <w:tc>
          <w:tcPr>
            <w:tcW w:w="2606" w:type="dxa"/>
            <w:tcBorders>
              <w:top w:val="nil"/>
              <w:left w:val="nil"/>
              <w:bottom w:val="single" w:sz="12" w:space="0" w:color="FFFFFF"/>
              <w:right w:val="single" w:sz="12" w:space="0" w:color="FFFFFF"/>
            </w:tcBorders>
            <w:shd w:val="clear" w:color="000000" w:fill="BFBFBF"/>
            <w:vAlign w:val="center"/>
            <w:hideMark/>
          </w:tcPr>
          <w:p w14:paraId="188A9125"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880 333,29</w:t>
            </w:r>
          </w:p>
        </w:tc>
        <w:tc>
          <w:tcPr>
            <w:tcW w:w="2606" w:type="dxa"/>
            <w:tcBorders>
              <w:top w:val="nil"/>
              <w:left w:val="nil"/>
              <w:bottom w:val="single" w:sz="12" w:space="0" w:color="FFFFFF"/>
              <w:right w:val="single" w:sz="12" w:space="0" w:color="FFFFFF"/>
            </w:tcBorders>
            <w:shd w:val="clear" w:color="000000" w:fill="BFBFBF"/>
            <w:vAlign w:val="center"/>
            <w:hideMark/>
          </w:tcPr>
          <w:p w14:paraId="16EF0180"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17 130,22</w:t>
            </w:r>
          </w:p>
        </w:tc>
        <w:tc>
          <w:tcPr>
            <w:tcW w:w="2400" w:type="dxa"/>
            <w:tcBorders>
              <w:top w:val="nil"/>
              <w:left w:val="nil"/>
              <w:bottom w:val="single" w:sz="12" w:space="0" w:color="FFFFFF"/>
              <w:right w:val="single" w:sz="12" w:space="0" w:color="FFFFFF"/>
            </w:tcBorders>
            <w:shd w:val="clear" w:color="000000" w:fill="BFBFBF"/>
            <w:vAlign w:val="center"/>
            <w:hideMark/>
          </w:tcPr>
          <w:p w14:paraId="6A1942CB"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897 463,51</w:t>
            </w:r>
          </w:p>
        </w:tc>
      </w:tr>
      <w:tr w:rsidR="00983965" w:rsidRPr="00983965" w14:paraId="0079968B"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1DB2A997" w14:textId="4EF41934" w:rsidR="00983965" w:rsidRPr="00983965" w:rsidRDefault="00EC5813" w:rsidP="00983965">
            <w:pPr>
              <w:spacing w:after="0" w:line="240" w:lineRule="auto"/>
              <w:rPr>
                <w:rFonts w:cs="Calibri"/>
                <w:color w:val="000000"/>
                <w:sz w:val="20"/>
                <w:szCs w:val="20"/>
                <w:lang w:eastAsia="sk-SK"/>
              </w:rPr>
            </w:pPr>
            <w:r>
              <w:rPr>
                <w:rFonts w:cs="Calibri"/>
                <w:color w:val="000000"/>
                <w:sz w:val="20"/>
                <w:szCs w:val="20"/>
                <w:lang w:eastAsia="sk-SK"/>
              </w:rPr>
              <w:t>Ostatné</w:t>
            </w:r>
            <w:r w:rsidRPr="00983965">
              <w:rPr>
                <w:rFonts w:cs="Calibri"/>
                <w:color w:val="000000"/>
                <w:sz w:val="20"/>
                <w:szCs w:val="20"/>
                <w:lang w:eastAsia="sk-SK"/>
              </w:rPr>
              <w:t xml:space="preserve"> zdroje</w:t>
            </w:r>
            <w:r>
              <w:rPr>
                <w:rFonts w:cs="Calibri"/>
                <w:color w:val="000000"/>
                <w:sz w:val="20"/>
                <w:szCs w:val="20"/>
                <w:lang w:eastAsia="sk-SK"/>
              </w:rPr>
              <w:t xml:space="preserve"> (napr. dary, od iných subjektov a pod.)</w:t>
            </w:r>
          </w:p>
        </w:tc>
        <w:tc>
          <w:tcPr>
            <w:tcW w:w="2606" w:type="dxa"/>
            <w:tcBorders>
              <w:top w:val="nil"/>
              <w:left w:val="nil"/>
              <w:bottom w:val="single" w:sz="12" w:space="0" w:color="FFFFFF"/>
              <w:right w:val="single" w:sz="12" w:space="0" w:color="FFFFFF"/>
            </w:tcBorders>
            <w:shd w:val="clear" w:color="000000" w:fill="F2F2F2"/>
            <w:vAlign w:val="center"/>
            <w:hideMark/>
          </w:tcPr>
          <w:p w14:paraId="6A20C0D2"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63 778,87</w:t>
            </w:r>
          </w:p>
        </w:tc>
        <w:tc>
          <w:tcPr>
            <w:tcW w:w="2606" w:type="dxa"/>
            <w:tcBorders>
              <w:top w:val="nil"/>
              <w:left w:val="nil"/>
              <w:bottom w:val="single" w:sz="12" w:space="0" w:color="FFFFFF"/>
              <w:right w:val="single" w:sz="12" w:space="0" w:color="FFFFFF"/>
            </w:tcBorders>
            <w:shd w:val="clear" w:color="000000" w:fill="F2F2F2"/>
            <w:vAlign w:val="center"/>
            <w:hideMark/>
          </w:tcPr>
          <w:p w14:paraId="0592369F"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13 399,00</w:t>
            </w:r>
          </w:p>
        </w:tc>
        <w:tc>
          <w:tcPr>
            <w:tcW w:w="2400" w:type="dxa"/>
            <w:tcBorders>
              <w:top w:val="nil"/>
              <w:left w:val="nil"/>
              <w:bottom w:val="single" w:sz="12" w:space="0" w:color="FFFFFF"/>
              <w:right w:val="single" w:sz="12" w:space="0" w:color="FFFFFF"/>
            </w:tcBorders>
            <w:shd w:val="clear" w:color="000000" w:fill="F2F2F2"/>
            <w:vAlign w:val="center"/>
            <w:hideMark/>
          </w:tcPr>
          <w:p w14:paraId="55462EAD"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77 177,87</w:t>
            </w:r>
          </w:p>
        </w:tc>
      </w:tr>
      <w:tr w:rsidR="00983965" w:rsidRPr="00983965" w14:paraId="6EF0D7AD"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5390F0FE"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Prostriedky z EÚ</w:t>
            </w:r>
          </w:p>
        </w:tc>
        <w:tc>
          <w:tcPr>
            <w:tcW w:w="2606" w:type="dxa"/>
            <w:tcBorders>
              <w:top w:val="nil"/>
              <w:left w:val="nil"/>
              <w:bottom w:val="single" w:sz="12" w:space="0" w:color="FFFFFF"/>
              <w:right w:val="single" w:sz="12" w:space="0" w:color="FFFFFF"/>
            </w:tcBorders>
            <w:shd w:val="clear" w:color="000000" w:fill="F2F2F2"/>
            <w:vAlign w:val="center"/>
            <w:hideMark/>
          </w:tcPr>
          <w:p w14:paraId="7A7A1757"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746 418,21</w:t>
            </w:r>
          </w:p>
        </w:tc>
        <w:tc>
          <w:tcPr>
            <w:tcW w:w="2606" w:type="dxa"/>
            <w:tcBorders>
              <w:top w:val="nil"/>
              <w:left w:val="nil"/>
              <w:bottom w:val="single" w:sz="12" w:space="0" w:color="FFFFFF"/>
              <w:right w:val="single" w:sz="12" w:space="0" w:color="FFFFFF"/>
            </w:tcBorders>
            <w:shd w:val="clear" w:color="000000" w:fill="F2F2F2"/>
            <w:vAlign w:val="center"/>
            <w:hideMark/>
          </w:tcPr>
          <w:p w14:paraId="38DE4C75"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3 731,22</w:t>
            </w:r>
          </w:p>
        </w:tc>
        <w:tc>
          <w:tcPr>
            <w:tcW w:w="2400" w:type="dxa"/>
            <w:tcBorders>
              <w:top w:val="nil"/>
              <w:left w:val="nil"/>
              <w:bottom w:val="single" w:sz="12" w:space="0" w:color="FFFFFF"/>
              <w:right w:val="single" w:sz="12" w:space="0" w:color="FFFFFF"/>
            </w:tcBorders>
            <w:shd w:val="clear" w:color="000000" w:fill="F2F2F2"/>
            <w:vAlign w:val="center"/>
            <w:hideMark/>
          </w:tcPr>
          <w:p w14:paraId="4327F50D"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750 149,43</w:t>
            </w:r>
          </w:p>
        </w:tc>
      </w:tr>
      <w:tr w:rsidR="00983965" w:rsidRPr="00983965" w14:paraId="62599BE3"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288EED87"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Zdroje zo ŠR</w:t>
            </w:r>
          </w:p>
        </w:tc>
        <w:tc>
          <w:tcPr>
            <w:tcW w:w="2606" w:type="dxa"/>
            <w:tcBorders>
              <w:top w:val="nil"/>
              <w:left w:val="nil"/>
              <w:bottom w:val="single" w:sz="12" w:space="0" w:color="FFFFFF"/>
              <w:right w:val="single" w:sz="12" w:space="0" w:color="FFFFFF"/>
            </w:tcBorders>
            <w:shd w:val="clear" w:color="000000" w:fill="F2F2F2"/>
            <w:vAlign w:val="center"/>
            <w:hideMark/>
          </w:tcPr>
          <w:p w14:paraId="0E3B1A41"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70 136,21</w:t>
            </w:r>
          </w:p>
        </w:tc>
        <w:tc>
          <w:tcPr>
            <w:tcW w:w="2606" w:type="dxa"/>
            <w:tcBorders>
              <w:top w:val="nil"/>
              <w:left w:val="nil"/>
              <w:bottom w:val="single" w:sz="12" w:space="0" w:color="FFFFFF"/>
              <w:right w:val="single" w:sz="12" w:space="0" w:color="FFFFFF"/>
            </w:tcBorders>
            <w:shd w:val="clear" w:color="000000" w:fill="F2F2F2"/>
            <w:vAlign w:val="center"/>
            <w:hideMark/>
          </w:tcPr>
          <w:p w14:paraId="0C6AEAA9"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0,00</w:t>
            </w:r>
          </w:p>
        </w:tc>
        <w:tc>
          <w:tcPr>
            <w:tcW w:w="2400" w:type="dxa"/>
            <w:tcBorders>
              <w:top w:val="nil"/>
              <w:left w:val="nil"/>
              <w:bottom w:val="single" w:sz="12" w:space="0" w:color="FFFFFF"/>
              <w:right w:val="single" w:sz="12" w:space="0" w:color="FFFFFF"/>
            </w:tcBorders>
            <w:shd w:val="clear" w:color="000000" w:fill="F2F2F2"/>
            <w:vAlign w:val="center"/>
            <w:hideMark/>
          </w:tcPr>
          <w:p w14:paraId="7CB90DF6"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70 136,21</w:t>
            </w:r>
          </w:p>
        </w:tc>
      </w:tr>
      <w:tr w:rsidR="00983965" w:rsidRPr="00983965" w14:paraId="3FBCAF36"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BFBFBF"/>
            <w:vAlign w:val="center"/>
            <w:hideMark/>
          </w:tcPr>
          <w:p w14:paraId="22BE47AE" w14:textId="77777777" w:rsidR="00983965" w:rsidRPr="00983965" w:rsidRDefault="00983965" w:rsidP="00983965">
            <w:pPr>
              <w:spacing w:after="0" w:line="240" w:lineRule="auto"/>
              <w:rPr>
                <w:rFonts w:cs="Calibri"/>
                <w:b/>
                <w:bCs/>
                <w:color w:val="000000"/>
                <w:sz w:val="20"/>
                <w:szCs w:val="20"/>
                <w:lang w:eastAsia="sk-SK"/>
              </w:rPr>
            </w:pPr>
            <w:r w:rsidRPr="00983965">
              <w:rPr>
                <w:rFonts w:cs="Calibri"/>
                <w:b/>
                <w:bCs/>
                <w:color w:val="000000"/>
                <w:sz w:val="20"/>
                <w:szCs w:val="20"/>
                <w:lang w:eastAsia="sk-SK"/>
              </w:rPr>
              <w:t>Úrad BSK</w:t>
            </w:r>
          </w:p>
        </w:tc>
        <w:tc>
          <w:tcPr>
            <w:tcW w:w="2606" w:type="dxa"/>
            <w:tcBorders>
              <w:top w:val="nil"/>
              <w:left w:val="nil"/>
              <w:bottom w:val="single" w:sz="12" w:space="0" w:color="FFFFFF"/>
              <w:right w:val="single" w:sz="12" w:space="0" w:color="FFFFFF"/>
            </w:tcBorders>
            <w:shd w:val="clear" w:color="000000" w:fill="BFBFBF"/>
            <w:vAlign w:val="center"/>
            <w:hideMark/>
          </w:tcPr>
          <w:p w14:paraId="78D0AD7B"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64 759 153,84</w:t>
            </w:r>
          </w:p>
        </w:tc>
        <w:tc>
          <w:tcPr>
            <w:tcW w:w="2606" w:type="dxa"/>
            <w:tcBorders>
              <w:top w:val="nil"/>
              <w:left w:val="nil"/>
              <w:bottom w:val="single" w:sz="12" w:space="0" w:color="FFFFFF"/>
              <w:right w:val="single" w:sz="12" w:space="0" w:color="FFFFFF"/>
            </w:tcBorders>
            <w:shd w:val="clear" w:color="000000" w:fill="BFBFBF"/>
            <w:vAlign w:val="center"/>
            <w:hideMark/>
          </w:tcPr>
          <w:p w14:paraId="789C4EA0"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3 203 986,56</w:t>
            </w:r>
          </w:p>
        </w:tc>
        <w:tc>
          <w:tcPr>
            <w:tcW w:w="2400" w:type="dxa"/>
            <w:tcBorders>
              <w:top w:val="nil"/>
              <w:left w:val="nil"/>
              <w:bottom w:val="single" w:sz="12" w:space="0" w:color="FFFFFF"/>
              <w:right w:val="single" w:sz="12" w:space="0" w:color="FFFFFF"/>
            </w:tcBorders>
            <w:shd w:val="clear" w:color="000000" w:fill="BFBFBF"/>
            <w:vAlign w:val="center"/>
            <w:hideMark/>
          </w:tcPr>
          <w:p w14:paraId="1F815593" w14:textId="77777777" w:rsidR="00983965" w:rsidRPr="00983965" w:rsidRDefault="00983965" w:rsidP="00983965">
            <w:pPr>
              <w:spacing w:after="0" w:line="240" w:lineRule="auto"/>
              <w:jc w:val="right"/>
              <w:rPr>
                <w:rFonts w:cs="Calibri"/>
                <w:b/>
                <w:bCs/>
                <w:color w:val="000000"/>
                <w:sz w:val="18"/>
                <w:szCs w:val="18"/>
                <w:lang w:eastAsia="sk-SK"/>
              </w:rPr>
            </w:pPr>
            <w:r w:rsidRPr="00983965">
              <w:rPr>
                <w:rFonts w:cs="Calibri"/>
                <w:b/>
                <w:bCs/>
                <w:color w:val="000000"/>
                <w:sz w:val="18"/>
                <w:szCs w:val="18"/>
                <w:lang w:eastAsia="sk-SK"/>
              </w:rPr>
              <w:t>67 963 140,40</w:t>
            </w:r>
          </w:p>
        </w:tc>
      </w:tr>
      <w:tr w:rsidR="00983965" w:rsidRPr="00983965" w14:paraId="6C74ADE8"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449A770B" w14:textId="5E2580B5" w:rsidR="00983965" w:rsidRPr="00983965" w:rsidRDefault="00EC5813" w:rsidP="00983965">
            <w:pPr>
              <w:spacing w:after="0" w:line="240" w:lineRule="auto"/>
              <w:rPr>
                <w:rFonts w:cs="Calibri"/>
                <w:color w:val="000000"/>
                <w:sz w:val="20"/>
                <w:szCs w:val="20"/>
                <w:lang w:eastAsia="sk-SK"/>
              </w:rPr>
            </w:pPr>
            <w:r>
              <w:rPr>
                <w:rFonts w:cs="Calibri"/>
                <w:color w:val="000000"/>
                <w:sz w:val="20"/>
                <w:szCs w:val="20"/>
                <w:lang w:eastAsia="sk-SK"/>
              </w:rPr>
              <w:t>Ostatné</w:t>
            </w:r>
            <w:r w:rsidRPr="00983965">
              <w:rPr>
                <w:rFonts w:cs="Calibri"/>
                <w:color w:val="000000"/>
                <w:sz w:val="20"/>
                <w:szCs w:val="20"/>
                <w:lang w:eastAsia="sk-SK"/>
              </w:rPr>
              <w:t xml:space="preserve"> zdroje</w:t>
            </w:r>
            <w:r>
              <w:rPr>
                <w:rFonts w:cs="Calibri"/>
                <w:color w:val="000000"/>
                <w:sz w:val="20"/>
                <w:szCs w:val="20"/>
                <w:lang w:eastAsia="sk-SK"/>
              </w:rPr>
              <w:t xml:space="preserve"> (napr. dary, od iných subjektov a pod.)</w:t>
            </w:r>
          </w:p>
        </w:tc>
        <w:tc>
          <w:tcPr>
            <w:tcW w:w="2606" w:type="dxa"/>
            <w:tcBorders>
              <w:top w:val="nil"/>
              <w:left w:val="nil"/>
              <w:bottom w:val="single" w:sz="12" w:space="0" w:color="FFFFFF"/>
              <w:right w:val="single" w:sz="12" w:space="0" w:color="FFFFFF"/>
            </w:tcBorders>
            <w:shd w:val="clear" w:color="000000" w:fill="F2F2F2"/>
            <w:vAlign w:val="center"/>
            <w:hideMark/>
          </w:tcPr>
          <w:p w14:paraId="74D5C552"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25 000,00</w:t>
            </w:r>
          </w:p>
        </w:tc>
        <w:tc>
          <w:tcPr>
            <w:tcW w:w="2606" w:type="dxa"/>
            <w:tcBorders>
              <w:top w:val="nil"/>
              <w:left w:val="nil"/>
              <w:bottom w:val="single" w:sz="12" w:space="0" w:color="FFFFFF"/>
              <w:right w:val="single" w:sz="12" w:space="0" w:color="FFFFFF"/>
            </w:tcBorders>
            <w:shd w:val="clear" w:color="000000" w:fill="F2F2F2"/>
            <w:vAlign w:val="center"/>
            <w:hideMark/>
          </w:tcPr>
          <w:p w14:paraId="47FFE34F"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200 000,00</w:t>
            </w:r>
          </w:p>
        </w:tc>
        <w:tc>
          <w:tcPr>
            <w:tcW w:w="2400" w:type="dxa"/>
            <w:tcBorders>
              <w:top w:val="nil"/>
              <w:left w:val="nil"/>
              <w:bottom w:val="single" w:sz="12" w:space="0" w:color="FFFFFF"/>
              <w:right w:val="single" w:sz="12" w:space="0" w:color="FFFFFF"/>
            </w:tcBorders>
            <w:shd w:val="clear" w:color="000000" w:fill="F2F2F2"/>
            <w:vAlign w:val="center"/>
            <w:hideMark/>
          </w:tcPr>
          <w:p w14:paraId="3EC025BE"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225 000,00</w:t>
            </w:r>
          </w:p>
        </w:tc>
      </w:tr>
      <w:tr w:rsidR="00983965" w:rsidRPr="00983965" w14:paraId="68C35137"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53408CD9"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Prostriedky z EÚ</w:t>
            </w:r>
          </w:p>
        </w:tc>
        <w:tc>
          <w:tcPr>
            <w:tcW w:w="2606" w:type="dxa"/>
            <w:tcBorders>
              <w:top w:val="nil"/>
              <w:left w:val="nil"/>
              <w:bottom w:val="single" w:sz="12" w:space="0" w:color="FFFFFF"/>
              <w:right w:val="single" w:sz="12" w:space="0" w:color="FFFFFF"/>
            </w:tcBorders>
            <w:shd w:val="clear" w:color="000000" w:fill="F2F2F2"/>
            <w:vAlign w:val="center"/>
            <w:hideMark/>
          </w:tcPr>
          <w:p w14:paraId="6E684C80"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1 757 436,42</w:t>
            </w:r>
          </w:p>
        </w:tc>
        <w:tc>
          <w:tcPr>
            <w:tcW w:w="2606" w:type="dxa"/>
            <w:tcBorders>
              <w:top w:val="nil"/>
              <w:left w:val="nil"/>
              <w:bottom w:val="single" w:sz="12" w:space="0" w:color="FFFFFF"/>
              <w:right w:val="single" w:sz="12" w:space="0" w:color="FFFFFF"/>
            </w:tcBorders>
            <w:shd w:val="clear" w:color="000000" w:fill="F2F2F2"/>
            <w:vAlign w:val="center"/>
            <w:hideMark/>
          </w:tcPr>
          <w:p w14:paraId="324BCB61"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2 035 055,15</w:t>
            </w:r>
          </w:p>
        </w:tc>
        <w:tc>
          <w:tcPr>
            <w:tcW w:w="2400" w:type="dxa"/>
            <w:tcBorders>
              <w:top w:val="nil"/>
              <w:left w:val="nil"/>
              <w:bottom w:val="single" w:sz="12" w:space="0" w:color="FFFFFF"/>
              <w:right w:val="single" w:sz="12" w:space="0" w:color="FFFFFF"/>
            </w:tcBorders>
            <w:shd w:val="clear" w:color="000000" w:fill="F2F2F2"/>
            <w:vAlign w:val="center"/>
            <w:hideMark/>
          </w:tcPr>
          <w:p w14:paraId="20C60BE7"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3 792 491,57</w:t>
            </w:r>
          </w:p>
        </w:tc>
      </w:tr>
      <w:tr w:rsidR="00983965" w:rsidRPr="00983965" w14:paraId="2F454E5A"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280FA2F1"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Zdroje z iných VUC</w:t>
            </w:r>
          </w:p>
        </w:tc>
        <w:tc>
          <w:tcPr>
            <w:tcW w:w="2606" w:type="dxa"/>
            <w:tcBorders>
              <w:top w:val="nil"/>
              <w:left w:val="nil"/>
              <w:bottom w:val="single" w:sz="12" w:space="0" w:color="FFFFFF"/>
              <w:right w:val="single" w:sz="12" w:space="0" w:color="FFFFFF"/>
            </w:tcBorders>
            <w:shd w:val="clear" w:color="000000" w:fill="F2F2F2"/>
            <w:vAlign w:val="center"/>
            <w:hideMark/>
          </w:tcPr>
          <w:p w14:paraId="7AEAC9F8"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35 861,88</w:t>
            </w:r>
          </w:p>
        </w:tc>
        <w:tc>
          <w:tcPr>
            <w:tcW w:w="2606" w:type="dxa"/>
            <w:tcBorders>
              <w:top w:val="nil"/>
              <w:left w:val="nil"/>
              <w:bottom w:val="single" w:sz="12" w:space="0" w:color="FFFFFF"/>
              <w:right w:val="single" w:sz="12" w:space="0" w:color="FFFFFF"/>
            </w:tcBorders>
            <w:shd w:val="clear" w:color="000000" w:fill="F2F2F2"/>
            <w:vAlign w:val="center"/>
            <w:hideMark/>
          </w:tcPr>
          <w:p w14:paraId="1C5327CE"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0,00</w:t>
            </w:r>
          </w:p>
        </w:tc>
        <w:tc>
          <w:tcPr>
            <w:tcW w:w="2400" w:type="dxa"/>
            <w:tcBorders>
              <w:top w:val="nil"/>
              <w:left w:val="nil"/>
              <w:bottom w:val="single" w:sz="12" w:space="0" w:color="FFFFFF"/>
              <w:right w:val="single" w:sz="12" w:space="0" w:color="FFFFFF"/>
            </w:tcBorders>
            <w:shd w:val="clear" w:color="000000" w:fill="F2F2F2"/>
            <w:vAlign w:val="center"/>
            <w:hideMark/>
          </w:tcPr>
          <w:p w14:paraId="3D2AD54A"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35 861,88</w:t>
            </w:r>
          </w:p>
        </w:tc>
      </w:tr>
      <w:tr w:rsidR="00983965" w:rsidRPr="00983965" w14:paraId="5350B67C" w14:textId="77777777" w:rsidTr="00EC5813">
        <w:trPr>
          <w:trHeight w:val="283"/>
        </w:trPr>
        <w:tc>
          <w:tcPr>
            <w:tcW w:w="2916" w:type="dxa"/>
            <w:tcBorders>
              <w:top w:val="nil"/>
              <w:left w:val="single" w:sz="12" w:space="0" w:color="FFFFFF"/>
              <w:bottom w:val="single" w:sz="12" w:space="0" w:color="FFFFFF"/>
              <w:right w:val="single" w:sz="12" w:space="0" w:color="FFFFFF"/>
            </w:tcBorders>
            <w:shd w:val="clear" w:color="000000" w:fill="F2F2F2"/>
            <w:vAlign w:val="center"/>
            <w:hideMark/>
          </w:tcPr>
          <w:p w14:paraId="10DB9DB4" w14:textId="77777777" w:rsidR="00983965" w:rsidRPr="00983965" w:rsidRDefault="00983965" w:rsidP="00983965">
            <w:pPr>
              <w:spacing w:after="0" w:line="240" w:lineRule="auto"/>
              <w:rPr>
                <w:rFonts w:cs="Calibri"/>
                <w:color w:val="000000"/>
                <w:sz w:val="20"/>
                <w:szCs w:val="20"/>
                <w:lang w:eastAsia="sk-SK"/>
              </w:rPr>
            </w:pPr>
            <w:r w:rsidRPr="00983965">
              <w:rPr>
                <w:rFonts w:cs="Calibri"/>
                <w:color w:val="000000"/>
                <w:sz w:val="20"/>
                <w:szCs w:val="20"/>
                <w:lang w:eastAsia="sk-SK"/>
              </w:rPr>
              <w:t>Zdroje zo ŠR</w:t>
            </w:r>
          </w:p>
        </w:tc>
        <w:tc>
          <w:tcPr>
            <w:tcW w:w="2606" w:type="dxa"/>
            <w:tcBorders>
              <w:top w:val="nil"/>
              <w:left w:val="nil"/>
              <w:bottom w:val="single" w:sz="12" w:space="0" w:color="FFFFFF"/>
              <w:right w:val="single" w:sz="12" w:space="0" w:color="FFFFFF"/>
            </w:tcBorders>
            <w:shd w:val="clear" w:color="000000" w:fill="F2F2F2"/>
            <w:vAlign w:val="center"/>
            <w:hideMark/>
          </w:tcPr>
          <w:p w14:paraId="543DAF0C"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62 940 855,54</w:t>
            </w:r>
          </w:p>
        </w:tc>
        <w:tc>
          <w:tcPr>
            <w:tcW w:w="2606" w:type="dxa"/>
            <w:tcBorders>
              <w:top w:val="nil"/>
              <w:left w:val="nil"/>
              <w:bottom w:val="single" w:sz="12" w:space="0" w:color="FFFFFF"/>
              <w:right w:val="single" w:sz="12" w:space="0" w:color="FFFFFF"/>
            </w:tcBorders>
            <w:shd w:val="clear" w:color="000000" w:fill="F2F2F2"/>
            <w:vAlign w:val="center"/>
            <w:hideMark/>
          </w:tcPr>
          <w:p w14:paraId="5D714316"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968 931,41</w:t>
            </w:r>
          </w:p>
        </w:tc>
        <w:tc>
          <w:tcPr>
            <w:tcW w:w="2400" w:type="dxa"/>
            <w:tcBorders>
              <w:top w:val="nil"/>
              <w:left w:val="nil"/>
              <w:bottom w:val="single" w:sz="12" w:space="0" w:color="FFFFFF"/>
              <w:right w:val="single" w:sz="12" w:space="0" w:color="FFFFFF"/>
            </w:tcBorders>
            <w:shd w:val="clear" w:color="000000" w:fill="F2F2F2"/>
            <w:vAlign w:val="center"/>
            <w:hideMark/>
          </w:tcPr>
          <w:p w14:paraId="5D279A20" w14:textId="77777777" w:rsidR="00983965" w:rsidRPr="00983965" w:rsidRDefault="00983965" w:rsidP="00983965">
            <w:pPr>
              <w:spacing w:after="0" w:line="240" w:lineRule="auto"/>
              <w:jc w:val="right"/>
              <w:rPr>
                <w:rFonts w:cs="Calibri"/>
                <w:color w:val="000000"/>
                <w:sz w:val="20"/>
                <w:szCs w:val="20"/>
                <w:lang w:eastAsia="sk-SK"/>
              </w:rPr>
            </w:pPr>
            <w:r w:rsidRPr="00983965">
              <w:rPr>
                <w:rFonts w:cs="Calibri"/>
                <w:color w:val="000000"/>
                <w:sz w:val="20"/>
                <w:szCs w:val="20"/>
                <w:lang w:eastAsia="sk-SK"/>
              </w:rPr>
              <w:t>63 909 786,95</w:t>
            </w:r>
          </w:p>
        </w:tc>
      </w:tr>
      <w:tr w:rsidR="00983965" w:rsidRPr="00983965" w14:paraId="6D75C570" w14:textId="77777777" w:rsidTr="00EC5813">
        <w:trPr>
          <w:trHeight w:val="270"/>
        </w:trPr>
        <w:tc>
          <w:tcPr>
            <w:tcW w:w="2916" w:type="dxa"/>
            <w:tcBorders>
              <w:top w:val="single" w:sz="4" w:space="0" w:color="95B3D7"/>
              <w:left w:val="nil"/>
              <w:bottom w:val="nil"/>
              <w:right w:val="nil"/>
            </w:tcBorders>
            <w:shd w:val="clear" w:color="DCE6F1" w:fill="DCE6F1"/>
            <w:noWrap/>
            <w:vAlign w:val="bottom"/>
            <w:hideMark/>
          </w:tcPr>
          <w:p w14:paraId="5A758C5C" w14:textId="77777777" w:rsidR="00983965" w:rsidRPr="00983965" w:rsidRDefault="00983965" w:rsidP="00983965">
            <w:pPr>
              <w:spacing w:after="0" w:line="240" w:lineRule="auto"/>
              <w:rPr>
                <w:rFonts w:cs="Calibri"/>
                <w:b/>
                <w:bCs/>
                <w:color w:val="000000"/>
                <w:lang w:eastAsia="sk-SK"/>
              </w:rPr>
            </w:pPr>
            <w:r w:rsidRPr="00983965">
              <w:rPr>
                <w:rFonts w:cs="Calibri"/>
                <w:b/>
                <w:bCs/>
                <w:color w:val="000000"/>
                <w:lang w:eastAsia="sk-SK"/>
              </w:rPr>
              <w:t>Celkom</w:t>
            </w:r>
          </w:p>
        </w:tc>
        <w:tc>
          <w:tcPr>
            <w:tcW w:w="2606" w:type="dxa"/>
            <w:tcBorders>
              <w:top w:val="single" w:sz="4" w:space="0" w:color="95B3D7"/>
              <w:left w:val="nil"/>
              <w:bottom w:val="nil"/>
              <w:right w:val="nil"/>
            </w:tcBorders>
            <w:shd w:val="clear" w:color="DCE6F1" w:fill="DCE6F1"/>
            <w:noWrap/>
            <w:vAlign w:val="bottom"/>
            <w:hideMark/>
          </w:tcPr>
          <w:p w14:paraId="6A96930A" w14:textId="77777777" w:rsidR="00983965" w:rsidRPr="00983965" w:rsidRDefault="00983965" w:rsidP="00983965">
            <w:pPr>
              <w:spacing w:after="0" w:line="240" w:lineRule="auto"/>
              <w:jc w:val="right"/>
              <w:rPr>
                <w:rFonts w:cs="Calibri"/>
                <w:b/>
                <w:bCs/>
                <w:color w:val="000000"/>
                <w:lang w:eastAsia="sk-SK"/>
              </w:rPr>
            </w:pPr>
            <w:r w:rsidRPr="00983965">
              <w:rPr>
                <w:rFonts w:cs="Calibri"/>
                <w:b/>
                <w:bCs/>
                <w:color w:val="000000"/>
                <w:lang w:eastAsia="sk-SK"/>
              </w:rPr>
              <w:t>65 971 277,12</w:t>
            </w:r>
          </w:p>
        </w:tc>
        <w:tc>
          <w:tcPr>
            <w:tcW w:w="2606" w:type="dxa"/>
            <w:tcBorders>
              <w:top w:val="single" w:sz="4" w:space="0" w:color="95B3D7"/>
              <w:left w:val="nil"/>
              <w:bottom w:val="nil"/>
              <w:right w:val="nil"/>
            </w:tcBorders>
            <w:shd w:val="clear" w:color="DCE6F1" w:fill="DCE6F1"/>
            <w:noWrap/>
            <w:vAlign w:val="bottom"/>
            <w:hideMark/>
          </w:tcPr>
          <w:p w14:paraId="2D93DCDF" w14:textId="77777777" w:rsidR="00983965" w:rsidRPr="00983965" w:rsidRDefault="00983965" w:rsidP="00983965">
            <w:pPr>
              <w:spacing w:after="0" w:line="240" w:lineRule="auto"/>
              <w:jc w:val="right"/>
              <w:rPr>
                <w:rFonts w:cs="Calibri"/>
                <w:b/>
                <w:bCs/>
                <w:color w:val="000000"/>
                <w:lang w:eastAsia="sk-SK"/>
              </w:rPr>
            </w:pPr>
            <w:r w:rsidRPr="00983965">
              <w:rPr>
                <w:rFonts w:cs="Calibri"/>
                <w:b/>
                <w:bCs/>
                <w:color w:val="000000"/>
                <w:lang w:eastAsia="sk-SK"/>
              </w:rPr>
              <w:t>3 221 116,78</w:t>
            </w:r>
          </w:p>
        </w:tc>
        <w:tc>
          <w:tcPr>
            <w:tcW w:w="2400" w:type="dxa"/>
            <w:tcBorders>
              <w:top w:val="single" w:sz="4" w:space="0" w:color="95B3D7"/>
              <w:left w:val="nil"/>
              <w:bottom w:val="nil"/>
              <w:right w:val="nil"/>
            </w:tcBorders>
            <w:shd w:val="clear" w:color="DCE6F1" w:fill="DCE6F1"/>
            <w:noWrap/>
            <w:vAlign w:val="bottom"/>
            <w:hideMark/>
          </w:tcPr>
          <w:p w14:paraId="1C8D229E" w14:textId="77777777" w:rsidR="00983965" w:rsidRPr="00983965" w:rsidRDefault="00983965" w:rsidP="00983965">
            <w:pPr>
              <w:spacing w:after="0" w:line="240" w:lineRule="auto"/>
              <w:jc w:val="right"/>
              <w:rPr>
                <w:rFonts w:cs="Calibri"/>
                <w:b/>
                <w:bCs/>
                <w:color w:val="000000"/>
                <w:lang w:eastAsia="sk-SK"/>
              </w:rPr>
            </w:pPr>
            <w:r w:rsidRPr="00983965">
              <w:rPr>
                <w:rFonts w:cs="Calibri"/>
                <w:b/>
                <w:bCs/>
                <w:color w:val="000000"/>
                <w:lang w:eastAsia="sk-SK"/>
              </w:rPr>
              <w:t>69 192 393,90</w:t>
            </w:r>
          </w:p>
        </w:tc>
      </w:tr>
    </w:tbl>
    <w:p w14:paraId="487E9916" w14:textId="4F191850" w:rsidR="00BE704E" w:rsidRDefault="00BE704E" w:rsidP="002A3D75">
      <w:pPr>
        <w:pStyle w:val="tl3"/>
        <w:spacing w:before="120" w:after="120"/>
        <w:ind w:firstLine="0"/>
      </w:pPr>
      <w:r w:rsidRPr="00650964">
        <w:lastRenderedPageBreak/>
        <w:t>B.1.4  Príjmové finančné operácie</w:t>
      </w:r>
    </w:p>
    <w:p w14:paraId="3BC3B00B" w14:textId="3E69F731" w:rsidR="00BE704E" w:rsidRDefault="00BE704E" w:rsidP="00BE704E">
      <w:pPr>
        <w:pStyle w:val="Nzov"/>
        <w:jc w:val="both"/>
        <w:rPr>
          <w:rFonts w:ascii="Calibri" w:hAnsi="Calibri" w:cs="Calibri"/>
          <w:sz w:val="24"/>
          <w:lang w:eastAsia="sk-SK"/>
        </w:rPr>
      </w:pPr>
      <w:r w:rsidRPr="00F5502B">
        <w:rPr>
          <w:rFonts w:ascii="Calibri" w:hAnsi="Calibri" w:cs="Calibri"/>
          <w:b/>
          <w:sz w:val="24"/>
          <w:lang w:eastAsia="sk-SK"/>
        </w:rPr>
        <w:t xml:space="preserve">Na rok </w:t>
      </w:r>
      <w:r>
        <w:rPr>
          <w:rFonts w:ascii="Calibri" w:hAnsi="Calibri" w:cs="Calibri"/>
          <w:b/>
          <w:sz w:val="24"/>
          <w:lang w:eastAsia="sk-SK"/>
        </w:rPr>
        <w:t>20</w:t>
      </w:r>
      <w:r w:rsidR="00BE6CB9">
        <w:rPr>
          <w:rFonts w:ascii="Calibri" w:hAnsi="Calibri" w:cs="Calibri"/>
          <w:b/>
          <w:sz w:val="24"/>
          <w:lang w:eastAsia="sk-SK"/>
        </w:rPr>
        <w:t>20</w:t>
      </w:r>
      <w:r w:rsidRPr="00F5502B">
        <w:rPr>
          <w:rFonts w:ascii="Calibri" w:hAnsi="Calibri" w:cs="Calibri"/>
          <w:b/>
          <w:sz w:val="24"/>
          <w:lang w:eastAsia="sk-SK"/>
        </w:rPr>
        <w:t xml:space="preserve"> boli príjmové finančné operácie rozpočtované vo výške </w:t>
      </w:r>
      <w:r w:rsidR="00927176" w:rsidRPr="00927176">
        <w:rPr>
          <w:rFonts w:ascii="Calibri" w:hAnsi="Calibri" w:cs="Calibri"/>
          <w:b/>
          <w:sz w:val="24"/>
          <w:lang w:eastAsia="sk-SK"/>
        </w:rPr>
        <w:t>24 313 596,52</w:t>
      </w:r>
      <w:r w:rsidR="00927176">
        <w:rPr>
          <w:rFonts w:ascii="Calibri" w:hAnsi="Calibri" w:cs="Calibri"/>
          <w:b/>
          <w:sz w:val="24"/>
          <w:lang w:eastAsia="sk-SK"/>
        </w:rPr>
        <w:t xml:space="preserve"> </w:t>
      </w:r>
      <w:r>
        <w:rPr>
          <w:rFonts w:ascii="Calibri" w:hAnsi="Calibri" w:cs="Calibri"/>
          <w:b/>
          <w:sz w:val="24"/>
          <w:lang w:eastAsia="sk-SK"/>
        </w:rPr>
        <w:t>EUR</w:t>
      </w:r>
      <w:r w:rsidRPr="00F5502B">
        <w:rPr>
          <w:rFonts w:ascii="Calibri" w:hAnsi="Calibri" w:cs="Calibri"/>
          <w:sz w:val="24"/>
          <w:lang w:eastAsia="sk-SK"/>
        </w:rPr>
        <w:t xml:space="preserve">.  </w:t>
      </w:r>
    </w:p>
    <w:p w14:paraId="5D4561AC" w14:textId="77777777" w:rsidR="00BE704E" w:rsidRDefault="00BE704E" w:rsidP="00BE704E">
      <w:pPr>
        <w:pStyle w:val="Nzov"/>
        <w:ind w:firstLine="708"/>
        <w:jc w:val="both"/>
        <w:rPr>
          <w:rFonts w:ascii="Calibri" w:hAnsi="Calibri" w:cs="Calibri"/>
          <w:sz w:val="24"/>
          <w:lang w:eastAsia="sk-SK"/>
        </w:rPr>
      </w:pPr>
    </w:p>
    <w:p w14:paraId="49C0EEDB" w14:textId="6EA3A532" w:rsidR="00BE704E" w:rsidRPr="00F5502B" w:rsidRDefault="00BE704E" w:rsidP="00761018">
      <w:pPr>
        <w:pStyle w:val="Nzov"/>
        <w:jc w:val="both"/>
        <w:rPr>
          <w:rFonts w:ascii="Calibri" w:hAnsi="Calibri" w:cs="Calibri"/>
          <w:sz w:val="24"/>
          <w:lang w:eastAsia="sk-SK"/>
        </w:rPr>
      </w:pPr>
      <w:r w:rsidRPr="00F5502B">
        <w:rPr>
          <w:rFonts w:ascii="Calibri" w:hAnsi="Calibri" w:cs="Calibri"/>
          <w:sz w:val="24"/>
          <w:lang w:eastAsia="sk-SK"/>
        </w:rPr>
        <w:t>Počas roka boli v tejto časti rozpočtu vykonané zmeny</w:t>
      </w:r>
      <w:r>
        <w:rPr>
          <w:rFonts w:ascii="Calibri" w:hAnsi="Calibri" w:cs="Calibri"/>
          <w:sz w:val="24"/>
          <w:lang w:eastAsia="sk-SK"/>
        </w:rPr>
        <w:t>,</w:t>
      </w:r>
      <w:r w:rsidRPr="00F5502B">
        <w:rPr>
          <w:rFonts w:ascii="Calibri" w:hAnsi="Calibri" w:cs="Calibri"/>
          <w:sz w:val="24"/>
          <w:lang w:eastAsia="sk-SK"/>
        </w:rPr>
        <w:t xml:space="preserve"> </w:t>
      </w:r>
      <w:r>
        <w:rPr>
          <w:rFonts w:ascii="Calibri" w:hAnsi="Calibri" w:cs="Calibri"/>
          <w:sz w:val="24"/>
          <w:lang w:eastAsia="sk-SK"/>
        </w:rPr>
        <w:t xml:space="preserve">a tak rozpočet </w:t>
      </w:r>
      <w:r w:rsidRPr="00F5502B">
        <w:rPr>
          <w:rFonts w:ascii="Calibri" w:hAnsi="Calibri" w:cs="Calibri"/>
          <w:sz w:val="24"/>
          <w:lang w:eastAsia="sk-SK"/>
        </w:rPr>
        <w:t xml:space="preserve">príjmových finančných operácii </w:t>
      </w:r>
      <w:r>
        <w:rPr>
          <w:rFonts w:ascii="Calibri" w:hAnsi="Calibri" w:cs="Calibri"/>
          <w:sz w:val="24"/>
          <w:lang w:eastAsia="sk-SK"/>
        </w:rPr>
        <w:t xml:space="preserve">sa </w:t>
      </w:r>
      <w:r w:rsidRPr="00F5502B">
        <w:rPr>
          <w:rFonts w:ascii="Calibri" w:hAnsi="Calibri" w:cs="Calibri"/>
          <w:sz w:val="24"/>
          <w:lang w:eastAsia="sk-SK"/>
        </w:rPr>
        <w:t xml:space="preserve">: </w:t>
      </w:r>
    </w:p>
    <w:p w14:paraId="09982C91" w14:textId="711176C0" w:rsidR="00BE704E" w:rsidRPr="0034102B" w:rsidRDefault="00927176" w:rsidP="00F72A56">
      <w:pPr>
        <w:pStyle w:val="Normlnywebov"/>
        <w:numPr>
          <w:ilvl w:val="0"/>
          <w:numId w:val="7"/>
        </w:numPr>
        <w:spacing w:after="0"/>
      </w:pPr>
      <w:r w:rsidRPr="00F5502B">
        <w:rPr>
          <w:rFonts w:ascii="Calibri" w:hAnsi="Calibri" w:cs="Calibri"/>
        </w:rPr>
        <w:t>navýš</w:t>
      </w:r>
      <w:r>
        <w:rPr>
          <w:rFonts w:ascii="Calibri" w:hAnsi="Calibri" w:cs="Calibri"/>
        </w:rPr>
        <w:t>il</w:t>
      </w:r>
      <w:r>
        <w:rPr>
          <w:rFonts w:ascii="Calibri" w:hAnsi="Calibri" w:cs="Calibri"/>
          <w:color w:val="000000"/>
        </w:rPr>
        <w:t xml:space="preserve"> </w:t>
      </w:r>
      <w:r w:rsidR="00B95E65">
        <w:rPr>
          <w:rFonts w:ascii="Calibri" w:hAnsi="Calibri" w:cs="Calibri"/>
          <w:color w:val="000000"/>
        </w:rPr>
        <w:t xml:space="preserve">o </w:t>
      </w:r>
      <w:r w:rsidR="00BE704E">
        <w:rPr>
          <w:rFonts w:ascii="Calibri" w:hAnsi="Calibri" w:cs="Calibri"/>
          <w:color w:val="000000"/>
        </w:rPr>
        <w:t>zostatky finančných prostriedkov z roku 201</w:t>
      </w:r>
      <w:r>
        <w:rPr>
          <w:rFonts w:ascii="Calibri" w:hAnsi="Calibri" w:cs="Calibri"/>
          <w:color w:val="000000"/>
        </w:rPr>
        <w:t>9</w:t>
      </w:r>
      <w:r w:rsidR="00BE704E">
        <w:rPr>
          <w:rFonts w:ascii="Calibri" w:hAnsi="Calibri" w:cs="Calibri"/>
          <w:color w:val="000000"/>
        </w:rPr>
        <w:t xml:space="preserve"> vo výške </w:t>
      </w:r>
      <w:r w:rsidRPr="00927176">
        <w:rPr>
          <w:rFonts w:ascii="Calibri" w:hAnsi="Calibri" w:cs="Calibri"/>
          <w:color w:val="000000"/>
        </w:rPr>
        <w:t>604 460,60</w:t>
      </w:r>
      <w:r>
        <w:rPr>
          <w:rFonts w:ascii="Calibri" w:hAnsi="Calibri" w:cs="Calibri"/>
          <w:color w:val="000000"/>
        </w:rPr>
        <w:t xml:space="preserve"> </w:t>
      </w:r>
      <w:r w:rsidR="0034102B">
        <w:rPr>
          <w:rFonts w:ascii="Calibri" w:hAnsi="Calibri" w:cs="Calibri"/>
          <w:color w:val="000000"/>
        </w:rPr>
        <w:t>EUR</w:t>
      </w:r>
      <w:r w:rsidR="00BE704E">
        <w:rPr>
          <w:rFonts w:ascii="Calibri" w:hAnsi="Calibri" w:cs="Calibri"/>
          <w:color w:val="000000"/>
        </w:rPr>
        <w:t xml:space="preserve">, </w:t>
      </w:r>
    </w:p>
    <w:p w14:paraId="4704B5AB" w14:textId="671BC2B4" w:rsidR="00BE704E" w:rsidRPr="00927176" w:rsidRDefault="00927176" w:rsidP="00927176">
      <w:pPr>
        <w:pStyle w:val="Normlnywebov"/>
        <w:numPr>
          <w:ilvl w:val="0"/>
          <w:numId w:val="7"/>
        </w:numPr>
        <w:spacing w:after="0"/>
      </w:pPr>
      <w:r>
        <w:rPr>
          <w:rFonts w:ascii="Calibri" w:hAnsi="Calibri" w:cs="Calibri"/>
          <w:color w:val="000000"/>
        </w:rPr>
        <w:t xml:space="preserve">ponížil </w:t>
      </w:r>
      <w:r w:rsidR="009B75B2">
        <w:rPr>
          <w:rFonts w:ascii="Calibri" w:hAnsi="Calibri" w:cs="Calibri"/>
          <w:color w:val="000000"/>
        </w:rPr>
        <w:t xml:space="preserve">o </w:t>
      </w:r>
      <w:r w:rsidR="0034102B">
        <w:rPr>
          <w:rFonts w:ascii="Calibri" w:hAnsi="Calibri" w:cs="Calibri"/>
          <w:color w:val="000000"/>
        </w:rPr>
        <w:t xml:space="preserve">časť </w:t>
      </w:r>
      <w:r w:rsidR="009B75B2">
        <w:rPr>
          <w:rFonts w:ascii="Calibri" w:hAnsi="Calibri" w:cs="Calibri"/>
          <w:color w:val="000000"/>
        </w:rPr>
        <w:t xml:space="preserve">plánovaného prijatia </w:t>
      </w:r>
      <w:r w:rsidR="00B95E65" w:rsidRPr="00927176">
        <w:rPr>
          <w:rFonts w:ascii="Calibri" w:hAnsi="Calibri" w:cs="Calibri"/>
          <w:color w:val="000000"/>
        </w:rPr>
        <w:t>úver</w:t>
      </w:r>
      <w:r w:rsidR="009B75B2">
        <w:rPr>
          <w:rFonts w:ascii="Calibri" w:hAnsi="Calibri" w:cs="Calibri"/>
          <w:color w:val="000000"/>
        </w:rPr>
        <w:t>u</w:t>
      </w:r>
      <w:r w:rsidR="00B95E65" w:rsidRPr="00927176">
        <w:rPr>
          <w:rFonts w:ascii="Calibri" w:hAnsi="Calibri" w:cs="Calibri"/>
          <w:color w:val="000000"/>
        </w:rPr>
        <w:t xml:space="preserve"> o</w:t>
      </w:r>
      <w:r>
        <w:rPr>
          <w:rFonts w:ascii="Calibri" w:hAnsi="Calibri" w:cs="Calibri"/>
          <w:color w:val="000000"/>
        </w:rPr>
        <w:t xml:space="preserve"> 4 </w:t>
      </w:r>
      <w:proofErr w:type="spellStart"/>
      <w:r>
        <w:rPr>
          <w:rFonts w:ascii="Calibri" w:hAnsi="Calibri" w:cs="Calibri"/>
          <w:color w:val="000000"/>
        </w:rPr>
        <w:t>mil</w:t>
      </w:r>
      <w:proofErr w:type="spellEnd"/>
      <w:r w:rsidR="00B95E65" w:rsidRPr="00927176">
        <w:rPr>
          <w:rFonts w:ascii="Calibri" w:hAnsi="Calibri" w:cs="Calibri"/>
          <w:color w:val="000000"/>
        </w:rPr>
        <w:t xml:space="preserve"> </w:t>
      </w:r>
      <w:r w:rsidR="00BE704E" w:rsidRPr="00927176">
        <w:rPr>
          <w:rFonts w:ascii="Calibri" w:hAnsi="Calibri" w:cs="Calibri"/>
          <w:color w:val="000000"/>
        </w:rPr>
        <w:t>EUR</w:t>
      </w:r>
      <w:r w:rsidR="00B95E65" w:rsidRPr="00927176">
        <w:rPr>
          <w:rFonts w:ascii="Calibri" w:hAnsi="Calibri" w:cs="Calibri"/>
          <w:color w:val="000000"/>
        </w:rPr>
        <w:t xml:space="preserve"> v zmysle </w:t>
      </w:r>
      <w:r w:rsidRPr="00927176">
        <w:rPr>
          <w:rFonts w:ascii="Calibri" w:hAnsi="Calibri" w:cs="Calibri"/>
          <w:color w:val="000000"/>
        </w:rPr>
        <w:t>UZN 319/2020 zo dňa 18.12.2020</w:t>
      </w:r>
      <w:r>
        <w:rPr>
          <w:rFonts w:ascii="Calibri" w:hAnsi="Calibri" w:cs="Calibri"/>
          <w:color w:val="000000"/>
        </w:rPr>
        <w:t>.</w:t>
      </w:r>
    </w:p>
    <w:p w14:paraId="1ABA40CF" w14:textId="2224219D" w:rsidR="00BE704E" w:rsidRPr="007B792A" w:rsidRDefault="00BE704E" w:rsidP="00761018">
      <w:pPr>
        <w:pStyle w:val="Normlnywebov"/>
        <w:spacing w:before="120"/>
        <w:rPr>
          <w:rFonts w:ascii="Calibri" w:hAnsi="Calibri" w:cs="Calibri"/>
          <w:b/>
        </w:rPr>
      </w:pPr>
      <w:r w:rsidRPr="007B792A">
        <w:rPr>
          <w:rFonts w:ascii="Calibri" w:hAnsi="Calibri" w:cs="Calibri"/>
          <w:b/>
          <w:bCs/>
          <w:color w:val="000000"/>
        </w:rPr>
        <w:t>Po  vykonaných  zmenách  dosiahli  v roku  20</w:t>
      </w:r>
      <w:r w:rsidR="00927176">
        <w:rPr>
          <w:rFonts w:ascii="Calibri" w:hAnsi="Calibri" w:cs="Calibri"/>
          <w:b/>
          <w:bCs/>
          <w:color w:val="000000"/>
        </w:rPr>
        <w:t>20</w:t>
      </w:r>
      <w:r w:rsidRPr="007B792A">
        <w:rPr>
          <w:rFonts w:ascii="Calibri" w:hAnsi="Calibri" w:cs="Calibri"/>
          <w:b/>
          <w:bCs/>
          <w:color w:val="000000"/>
        </w:rPr>
        <w:t xml:space="preserve"> príjmové finančné operácie objem</w:t>
      </w:r>
      <w:r w:rsidRPr="007B792A">
        <w:rPr>
          <w:rFonts w:ascii="Calibri" w:hAnsi="Calibri" w:cs="Calibri"/>
          <w:b/>
        </w:rPr>
        <w:t xml:space="preserve"> </w:t>
      </w:r>
      <w:r w:rsidR="00927176" w:rsidRPr="00927176">
        <w:rPr>
          <w:rFonts w:ascii="Calibri" w:hAnsi="Calibri" w:cs="Calibri"/>
          <w:b/>
          <w:bCs/>
        </w:rPr>
        <w:t>20 918 057,12</w:t>
      </w:r>
      <w:r w:rsidR="00927176">
        <w:rPr>
          <w:rFonts w:ascii="Calibri" w:hAnsi="Calibri" w:cs="Calibri"/>
          <w:b/>
          <w:bCs/>
        </w:rPr>
        <w:t xml:space="preserve"> </w:t>
      </w:r>
      <w:r w:rsidRPr="007B792A">
        <w:rPr>
          <w:rFonts w:ascii="Calibri" w:hAnsi="Calibri" w:cs="Calibri"/>
          <w:b/>
          <w:bCs/>
        </w:rPr>
        <w:t>EUR.</w:t>
      </w:r>
    </w:p>
    <w:p w14:paraId="00673839" w14:textId="4E27124C" w:rsidR="00927176" w:rsidRDefault="00BE704E" w:rsidP="00650964">
      <w:pPr>
        <w:pStyle w:val="Normlnywebov"/>
        <w:jc w:val="both"/>
        <w:rPr>
          <w:rFonts w:ascii="Calibri" w:hAnsi="Calibri" w:cs="Calibri"/>
          <w:b/>
          <w:color w:val="000000"/>
        </w:rPr>
      </w:pPr>
      <w:r w:rsidRPr="000C7E95">
        <w:rPr>
          <w:rFonts w:ascii="Calibri" w:hAnsi="Calibri" w:cs="Calibri"/>
          <w:b/>
        </w:rPr>
        <w:t>Plnenie</w:t>
      </w:r>
      <w:r w:rsidRPr="000C7E95">
        <w:rPr>
          <w:rFonts w:ascii="Calibri" w:hAnsi="Calibri" w:cs="Calibri"/>
        </w:rPr>
        <w:t xml:space="preserve">  </w:t>
      </w:r>
      <w:r w:rsidRPr="000C7E95">
        <w:rPr>
          <w:rFonts w:ascii="Calibri" w:hAnsi="Calibri" w:cs="Calibri"/>
          <w:b/>
        </w:rPr>
        <w:t>príjmových</w:t>
      </w:r>
      <w:r w:rsidRPr="00965BEC">
        <w:rPr>
          <w:rFonts w:ascii="Calibri" w:hAnsi="Calibri" w:cs="Calibri"/>
          <w:b/>
        </w:rPr>
        <w:t xml:space="preserve">  finančných  operácií</w:t>
      </w:r>
      <w:r>
        <w:rPr>
          <w:rFonts w:ascii="Calibri" w:hAnsi="Calibri" w:cs="Calibri"/>
        </w:rPr>
        <w:t xml:space="preserve"> </w:t>
      </w:r>
      <w:r w:rsidRPr="00AB0A8A">
        <w:rPr>
          <w:rFonts w:ascii="Calibri" w:hAnsi="Calibri" w:cs="Calibri"/>
        </w:rPr>
        <w:t xml:space="preserve"> </w:t>
      </w:r>
      <w:r>
        <w:rPr>
          <w:rFonts w:ascii="Calibri" w:hAnsi="Calibri" w:cs="Calibri"/>
          <w:b/>
        </w:rPr>
        <w:t>k 31.12.20</w:t>
      </w:r>
      <w:r w:rsidR="00927176">
        <w:rPr>
          <w:rFonts w:ascii="Calibri" w:hAnsi="Calibri" w:cs="Calibri"/>
          <w:b/>
        </w:rPr>
        <w:t>20</w:t>
      </w:r>
      <w:r>
        <w:rPr>
          <w:rFonts w:ascii="Calibri" w:hAnsi="Calibri" w:cs="Calibri"/>
          <w:b/>
        </w:rPr>
        <w:t xml:space="preserve"> dosiahlo výšku</w:t>
      </w:r>
      <w:r>
        <w:rPr>
          <w:rFonts w:ascii="Calibri" w:hAnsi="Calibri" w:cs="Calibri"/>
        </w:rPr>
        <w:t xml:space="preserve"> </w:t>
      </w:r>
      <w:r w:rsidR="00EA7565" w:rsidRPr="00EA7565">
        <w:rPr>
          <w:rFonts w:ascii="Calibri" w:hAnsi="Calibri" w:cs="Calibri"/>
          <w:b/>
          <w:bCs/>
        </w:rPr>
        <w:t>16 851 529,99</w:t>
      </w:r>
      <w:r w:rsidR="00EA7565">
        <w:rPr>
          <w:rFonts w:ascii="Calibri" w:hAnsi="Calibri" w:cs="Calibri"/>
          <w:b/>
          <w:bCs/>
        </w:rPr>
        <w:t xml:space="preserve"> </w:t>
      </w:r>
      <w:r>
        <w:rPr>
          <w:rFonts w:ascii="Calibri" w:hAnsi="Calibri" w:cs="Calibri"/>
          <w:b/>
          <w:bCs/>
        </w:rPr>
        <w:t xml:space="preserve">EUR. </w:t>
      </w:r>
      <w:r>
        <w:rPr>
          <w:rFonts w:ascii="Calibri" w:hAnsi="Calibri" w:cs="Calibri"/>
          <w:color w:val="000000"/>
        </w:rPr>
        <w:t xml:space="preserve">Túto sumu predstavuje </w:t>
      </w:r>
      <w:r w:rsidRPr="00933E8D">
        <w:rPr>
          <w:rFonts w:ascii="Calibri" w:hAnsi="Calibri" w:cs="Calibri"/>
          <w:b/>
          <w:color w:val="000000"/>
        </w:rPr>
        <w:t>najmä</w:t>
      </w:r>
      <w:r w:rsidR="00927176">
        <w:rPr>
          <w:rFonts w:ascii="Calibri" w:hAnsi="Calibri" w:cs="Calibri"/>
          <w:b/>
          <w:color w:val="000000"/>
        </w:rPr>
        <w:t>:</w:t>
      </w:r>
    </w:p>
    <w:p w14:paraId="365C1994" w14:textId="049E4753" w:rsidR="00927176" w:rsidRDefault="00927176" w:rsidP="00017596">
      <w:pPr>
        <w:pStyle w:val="Normlnywebov"/>
        <w:numPr>
          <w:ilvl w:val="0"/>
          <w:numId w:val="20"/>
        </w:numPr>
        <w:spacing w:after="0"/>
        <w:ind w:left="777" w:hanging="357"/>
        <w:jc w:val="both"/>
        <w:rPr>
          <w:rFonts w:ascii="Calibri" w:hAnsi="Calibri" w:cs="Calibri"/>
          <w:color w:val="000000"/>
        </w:rPr>
      </w:pPr>
      <w:r>
        <w:rPr>
          <w:rFonts w:ascii="Calibri" w:hAnsi="Calibri" w:cs="Calibri"/>
          <w:color w:val="000000"/>
        </w:rPr>
        <w:t>prijatá 9.tranža z úverového rámca z EIB vo výške 6 000 000,00 EUR,</w:t>
      </w:r>
    </w:p>
    <w:p w14:paraId="4722FDD7" w14:textId="64F76368" w:rsidR="00927176" w:rsidRDefault="00927176" w:rsidP="00017596">
      <w:pPr>
        <w:pStyle w:val="Normlnywebov"/>
        <w:numPr>
          <w:ilvl w:val="0"/>
          <w:numId w:val="20"/>
        </w:numPr>
        <w:spacing w:after="0"/>
        <w:ind w:left="777" w:hanging="357"/>
        <w:jc w:val="both"/>
        <w:rPr>
          <w:rFonts w:ascii="Calibri" w:hAnsi="Calibri" w:cs="Calibri"/>
          <w:color w:val="000000"/>
        </w:rPr>
      </w:pPr>
      <w:r>
        <w:rPr>
          <w:rFonts w:ascii="Calibri" w:hAnsi="Calibri" w:cs="Calibri"/>
          <w:color w:val="000000"/>
        </w:rPr>
        <w:t xml:space="preserve">prijatá návratná </w:t>
      </w:r>
      <w:r w:rsidR="00C63566">
        <w:rPr>
          <w:rFonts w:ascii="Calibri" w:hAnsi="Calibri" w:cs="Calibri"/>
          <w:color w:val="000000"/>
        </w:rPr>
        <w:t xml:space="preserve">finančná výpomoc </w:t>
      </w:r>
      <w:r>
        <w:rPr>
          <w:rFonts w:ascii="Calibri" w:hAnsi="Calibri" w:cs="Calibri"/>
          <w:color w:val="000000"/>
        </w:rPr>
        <w:t xml:space="preserve">z MF SR </w:t>
      </w:r>
      <w:r w:rsidR="00C63566">
        <w:rPr>
          <w:rFonts w:ascii="Calibri" w:hAnsi="Calibri" w:cs="Calibri"/>
          <w:color w:val="000000"/>
        </w:rPr>
        <w:t xml:space="preserve">vo výške </w:t>
      </w:r>
      <w:r w:rsidR="00C63566" w:rsidRPr="00C63566">
        <w:rPr>
          <w:rFonts w:ascii="Calibri" w:hAnsi="Calibri" w:cs="Calibri"/>
          <w:color w:val="000000"/>
        </w:rPr>
        <w:t>5 675 346,00</w:t>
      </w:r>
      <w:r w:rsidR="00C63566">
        <w:rPr>
          <w:rFonts w:ascii="Calibri" w:hAnsi="Calibri" w:cs="Calibri"/>
          <w:color w:val="000000"/>
        </w:rPr>
        <w:t xml:space="preserve"> EUR,</w:t>
      </w:r>
    </w:p>
    <w:p w14:paraId="0F899E30" w14:textId="48B84900" w:rsidR="00927176" w:rsidRPr="00927176" w:rsidRDefault="00B95E65" w:rsidP="00017596">
      <w:pPr>
        <w:pStyle w:val="Normlnywebov"/>
        <w:numPr>
          <w:ilvl w:val="0"/>
          <w:numId w:val="20"/>
        </w:numPr>
        <w:spacing w:after="0"/>
        <w:ind w:left="777" w:hanging="357"/>
        <w:jc w:val="both"/>
        <w:rPr>
          <w:rFonts w:ascii="Calibri" w:hAnsi="Calibri" w:cs="Calibri"/>
          <w:color w:val="000000"/>
        </w:rPr>
      </w:pPr>
      <w:r>
        <w:rPr>
          <w:rFonts w:ascii="Calibri" w:hAnsi="Calibri" w:cs="Calibri"/>
          <w:color w:val="000000"/>
        </w:rPr>
        <w:t xml:space="preserve">zapojenie finančných prostriedkov z predchádzajúcich rokov </w:t>
      </w:r>
      <w:r w:rsidRPr="00927176">
        <w:rPr>
          <w:rFonts w:ascii="Calibri" w:hAnsi="Calibri" w:cs="Calibri"/>
          <w:bCs/>
          <w:color w:val="000000"/>
        </w:rPr>
        <w:t>z rezervného fondu</w:t>
      </w:r>
      <w:r>
        <w:rPr>
          <w:rFonts w:ascii="Calibri" w:hAnsi="Calibri" w:cs="Calibri"/>
          <w:color w:val="000000"/>
        </w:rPr>
        <w:t xml:space="preserve"> do rozpočtu v objeme </w:t>
      </w:r>
      <w:r w:rsidR="00C63566" w:rsidRPr="00C63566">
        <w:rPr>
          <w:rFonts w:ascii="Calibri" w:hAnsi="Calibri" w:cs="Calibri"/>
          <w:color w:val="000000"/>
        </w:rPr>
        <w:t>2 400 000,00</w:t>
      </w:r>
      <w:r w:rsidR="00C63566">
        <w:rPr>
          <w:rFonts w:ascii="Calibri" w:hAnsi="Calibri" w:cs="Calibri"/>
          <w:color w:val="000000"/>
        </w:rPr>
        <w:t xml:space="preserve"> </w:t>
      </w:r>
      <w:r>
        <w:rPr>
          <w:rFonts w:ascii="Calibri" w:hAnsi="Calibri" w:cs="Calibri"/>
          <w:color w:val="000000"/>
        </w:rPr>
        <w:t xml:space="preserve">EUR, </w:t>
      </w:r>
    </w:p>
    <w:p w14:paraId="14BDFBA1" w14:textId="3823CB46" w:rsidR="00927176" w:rsidRDefault="00BE704E" w:rsidP="00017596">
      <w:pPr>
        <w:pStyle w:val="Normlnywebov"/>
        <w:numPr>
          <w:ilvl w:val="0"/>
          <w:numId w:val="20"/>
        </w:numPr>
        <w:spacing w:after="0"/>
        <w:ind w:left="777" w:hanging="357"/>
        <w:jc w:val="both"/>
        <w:rPr>
          <w:rFonts w:ascii="Calibri" w:hAnsi="Calibri" w:cs="Calibri"/>
          <w:color w:val="000000"/>
        </w:rPr>
      </w:pPr>
      <w:r>
        <w:rPr>
          <w:rFonts w:ascii="Calibri" w:hAnsi="Calibri" w:cs="Calibri"/>
          <w:color w:val="000000"/>
        </w:rPr>
        <w:t>zapojenie zostatkov finančných prostriedkov organizácii v ZP BSK  a Ú BSK z</w:t>
      </w:r>
      <w:r w:rsidR="00D00A46">
        <w:rPr>
          <w:rFonts w:ascii="Calibri" w:hAnsi="Calibri" w:cs="Calibri"/>
          <w:color w:val="000000"/>
        </w:rPr>
        <w:t> minulých rokov</w:t>
      </w:r>
      <w:r>
        <w:rPr>
          <w:rFonts w:ascii="Calibri" w:hAnsi="Calibri" w:cs="Calibri"/>
          <w:color w:val="000000"/>
        </w:rPr>
        <w:t xml:space="preserve"> v sume </w:t>
      </w:r>
      <w:r w:rsidR="00D00A46">
        <w:rPr>
          <w:rFonts w:ascii="Calibri" w:hAnsi="Calibri" w:cs="Calibri"/>
          <w:color w:val="000000"/>
        </w:rPr>
        <w:br/>
      </w:r>
      <w:r w:rsidR="00C57DF4" w:rsidRPr="00C57DF4">
        <w:rPr>
          <w:rFonts w:ascii="Calibri" w:hAnsi="Calibri" w:cs="Calibri"/>
          <w:color w:val="000000"/>
        </w:rPr>
        <w:t>1 731 560,69</w:t>
      </w:r>
      <w:r w:rsidR="00C57DF4">
        <w:rPr>
          <w:rFonts w:ascii="Calibri" w:hAnsi="Calibri" w:cs="Calibri"/>
          <w:color w:val="000000"/>
        </w:rPr>
        <w:t xml:space="preserve"> </w:t>
      </w:r>
      <w:r>
        <w:rPr>
          <w:rFonts w:ascii="Calibri" w:hAnsi="Calibri" w:cs="Calibri"/>
          <w:color w:val="000000"/>
        </w:rPr>
        <w:t>EUR</w:t>
      </w:r>
      <w:r w:rsidR="00B95E65">
        <w:rPr>
          <w:rFonts w:ascii="Calibri" w:hAnsi="Calibri" w:cs="Calibri"/>
          <w:color w:val="000000"/>
        </w:rPr>
        <w:t xml:space="preserve">, </w:t>
      </w:r>
    </w:p>
    <w:p w14:paraId="6415ABE1" w14:textId="2566636E" w:rsidR="00C57DF4" w:rsidRPr="00C57DF4" w:rsidRDefault="007A7F13" w:rsidP="00017596">
      <w:pPr>
        <w:pStyle w:val="Normlnywebov"/>
        <w:numPr>
          <w:ilvl w:val="0"/>
          <w:numId w:val="20"/>
        </w:numPr>
        <w:spacing w:after="0"/>
        <w:ind w:left="777" w:hanging="357"/>
        <w:jc w:val="both"/>
        <w:rPr>
          <w:rFonts w:ascii="Calibri" w:hAnsi="Calibri" w:cs="Calibri"/>
          <w:color w:val="000000"/>
        </w:rPr>
      </w:pPr>
      <w:r>
        <w:rPr>
          <w:rFonts w:ascii="Calibri" w:hAnsi="Calibri" w:cs="Calibri"/>
          <w:color w:val="000000"/>
        </w:rPr>
        <w:t>poskytnuté záruky (</w:t>
      </w:r>
      <w:proofErr w:type="spellStart"/>
      <w:r>
        <w:rPr>
          <w:rFonts w:ascii="Calibri" w:hAnsi="Calibri" w:cs="Calibri"/>
          <w:color w:val="000000"/>
        </w:rPr>
        <w:t>zabezpeky</w:t>
      </w:r>
      <w:proofErr w:type="spellEnd"/>
      <w:r>
        <w:rPr>
          <w:rFonts w:ascii="Calibri" w:hAnsi="Calibri" w:cs="Calibri"/>
          <w:color w:val="000000"/>
        </w:rPr>
        <w:t xml:space="preserve">) uchádzačov verejného obstarávania </w:t>
      </w:r>
      <w:r w:rsidR="00C57DF4">
        <w:rPr>
          <w:rFonts w:ascii="Calibri" w:hAnsi="Calibri" w:cs="Calibri"/>
          <w:color w:val="000000"/>
        </w:rPr>
        <w:t xml:space="preserve">vo </w:t>
      </w:r>
      <w:r w:rsidR="00C57DF4" w:rsidRPr="00C57DF4">
        <w:rPr>
          <w:rFonts w:ascii="Calibri" w:hAnsi="Calibri" w:cs="Calibri"/>
          <w:color w:val="000000"/>
        </w:rPr>
        <w:t>výške 1 028 464,00</w:t>
      </w:r>
      <w:r w:rsidR="00C57DF4">
        <w:rPr>
          <w:rFonts w:ascii="Calibri" w:hAnsi="Calibri" w:cs="Calibri"/>
          <w:color w:val="000000"/>
        </w:rPr>
        <w:t xml:space="preserve"> EUR,</w:t>
      </w:r>
    </w:p>
    <w:p w14:paraId="7654F6F3" w14:textId="6D43FB89" w:rsidR="00BE704E" w:rsidRPr="00C57DF4" w:rsidRDefault="00B95E65" w:rsidP="00017596">
      <w:pPr>
        <w:pStyle w:val="Normlnywebov"/>
        <w:numPr>
          <w:ilvl w:val="0"/>
          <w:numId w:val="20"/>
        </w:numPr>
        <w:spacing w:after="0"/>
        <w:ind w:left="777" w:hanging="357"/>
        <w:jc w:val="both"/>
        <w:rPr>
          <w:rFonts w:ascii="Calibri" w:hAnsi="Calibri" w:cs="Calibri"/>
          <w:color w:val="000000"/>
        </w:rPr>
      </w:pPr>
      <w:r w:rsidRPr="00C57DF4">
        <w:rPr>
          <w:rFonts w:ascii="Calibri" w:hAnsi="Calibri" w:cs="Calibri"/>
          <w:color w:val="000000"/>
        </w:rPr>
        <w:t xml:space="preserve">vrátená časť </w:t>
      </w:r>
      <w:r w:rsidR="00650964" w:rsidRPr="00C57DF4">
        <w:rPr>
          <w:rFonts w:ascii="Calibri" w:hAnsi="Calibri" w:cs="Calibri"/>
          <w:color w:val="000000"/>
        </w:rPr>
        <w:t xml:space="preserve">pôžičky od Slovenského domu </w:t>
      </w:r>
      <w:proofErr w:type="spellStart"/>
      <w:r w:rsidR="00650964" w:rsidRPr="00C57DF4">
        <w:rPr>
          <w:rFonts w:ascii="Calibri" w:hAnsi="Calibri" w:cs="Calibri"/>
          <w:color w:val="000000"/>
        </w:rPr>
        <w:t>Centrope</w:t>
      </w:r>
      <w:proofErr w:type="spellEnd"/>
      <w:r w:rsidR="00650964" w:rsidRPr="00C57DF4">
        <w:rPr>
          <w:rFonts w:ascii="Calibri" w:hAnsi="Calibri" w:cs="Calibri"/>
          <w:color w:val="000000"/>
        </w:rPr>
        <w:t xml:space="preserve"> vo výške </w:t>
      </w:r>
      <w:r w:rsidR="00C57DF4" w:rsidRPr="00C57DF4">
        <w:rPr>
          <w:rFonts w:ascii="Calibri" w:hAnsi="Calibri" w:cs="Calibri"/>
          <w:color w:val="000000"/>
        </w:rPr>
        <w:t xml:space="preserve">16 159,30 </w:t>
      </w:r>
      <w:r w:rsidR="00650964" w:rsidRPr="00C57DF4">
        <w:rPr>
          <w:rFonts w:ascii="Calibri" w:hAnsi="Calibri" w:cs="Calibri"/>
          <w:color w:val="000000"/>
        </w:rPr>
        <w:t>EUR v </w:t>
      </w:r>
      <w:proofErr w:type="spellStart"/>
      <w:r w:rsidR="00650964" w:rsidRPr="00C57DF4">
        <w:rPr>
          <w:rFonts w:ascii="Calibri" w:hAnsi="Calibri" w:cs="Calibri"/>
          <w:color w:val="000000"/>
        </w:rPr>
        <w:t>zmylse</w:t>
      </w:r>
      <w:proofErr w:type="spellEnd"/>
      <w:r w:rsidR="00650964" w:rsidRPr="00C57DF4">
        <w:rPr>
          <w:rFonts w:ascii="Calibri" w:hAnsi="Calibri" w:cs="Calibri"/>
          <w:color w:val="000000"/>
        </w:rPr>
        <w:t xml:space="preserve"> Zmluvy o poskytnutí návratnej finančnej výpomoci z roku 2017</w:t>
      </w:r>
      <w:r w:rsidR="00BE704E" w:rsidRPr="00C57DF4">
        <w:rPr>
          <w:rFonts w:ascii="Calibri" w:hAnsi="Calibri" w:cs="Calibri"/>
          <w:color w:val="000000"/>
        </w:rPr>
        <w:t>.</w:t>
      </w:r>
    </w:p>
    <w:p w14:paraId="3492B97F" w14:textId="3AEB4EC0" w:rsidR="0034102B" w:rsidRDefault="0034102B" w:rsidP="00761018">
      <w:pPr>
        <w:pStyle w:val="Normlnywebov"/>
        <w:jc w:val="both"/>
        <w:rPr>
          <w:rFonts w:ascii="Calibri" w:hAnsi="Calibri" w:cs="Calibri"/>
          <w:color w:val="000000"/>
        </w:rPr>
      </w:pPr>
    </w:p>
    <w:tbl>
      <w:tblPr>
        <w:tblW w:w="5000" w:type="pct"/>
        <w:tblCellMar>
          <w:left w:w="70" w:type="dxa"/>
          <w:right w:w="70" w:type="dxa"/>
        </w:tblCellMar>
        <w:tblLook w:val="04A0" w:firstRow="1" w:lastRow="0" w:firstColumn="1" w:lastColumn="0" w:noHBand="0" w:noVBand="1"/>
      </w:tblPr>
      <w:tblGrid>
        <w:gridCol w:w="2797"/>
        <w:gridCol w:w="1390"/>
        <w:gridCol w:w="1249"/>
        <w:gridCol w:w="1391"/>
        <w:gridCol w:w="1205"/>
        <w:gridCol w:w="1194"/>
        <w:gridCol w:w="1210"/>
      </w:tblGrid>
      <w:tr w:rsidR="00927176" w:rsidRPr="00BE6CB9" w14:paraId="697EBC25" w14:textId="77777777" w:rsidTr="00927176">
        <w:trPr>
          <w:trHeight w:val="990"/>
        </w:trPr>
        <w:tc>
          <w:tcPr>
            <w:tcW w:w="1353" w:type="pc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14BAE592" w14:textId="77777777" w:rsidR="00BE6CB9" w:rsidRPr="00BE6CB9" w:rsidRDefault="00BE6CB9" w:rsidP="00BE6CB9">
            <w:pPr>
              <w:spacing w:after="0" w:line="240" w:lineRule="auto"/>
              <w:jc w:val="center"/>
              <w:rPr>
                <w:rFonts w:cs="Calibri"/>
                <w:b/>
                <w:bCs/>
                <w:color w:val="000000"/>
                <w:sz w:val="18"/>
                <w:szCs w:val="18"/>
                <w:lang w:eastAsia="sk-SK"/>
              </w:rPr>
            </w:pPr>
            <w:r w:rsidRPr="00BE6CB9">
              <w:rPr>
                <w:rFonts w:cs="Calibri"/>
                <w:b/>
                <w:bCs/>
                <w:color w:val="000000"/>
                <w:sz w:val="18"/>
                <w:szCs w:val="18"/>
                <w:lang w:eastAsia="sk-SK"/>
              </w:rPr>
              <w:t>Príjmové finančné operácie</w:t>
            </w:r>
          </w:p>
        </w:tc>
        <w:tc>
          <w:tcPr>
            <w:tcW w:w="679" w:type="pct"/>
            <w:tcBorders>
              <w:top w:val="single" w:sz="12" w:space="0" w:color="FFFFFF"/>
              <w:left w:val="nil"/>
              <w:bottom w:val="single" w:sz="12" w:space="0" w:color="FFFFFF"/>
              <w:right w:val="single" w:sz="12" w:space="0" w:color="FFFFFF"/>
            </w:tcBorders>
            <w:shd w:val="clear" w:color="000000" w:fill="8DB3E2"/>
            <w:vAlign w:val="center"/>
            <w:hideMark/>
          </w:tcPr>
          <w:p w14:paraId="6105D9E5" w14:textId="77777777" w:rsidR="00BE6CB9" w:rsidRPr="00BE6CB9" w:rsidRDefault="00BE6CB9" w:rsidP="00BE6CB9">
            <w:pPr>
              <w:spacing w:after="0" w:line="240" w:lineRule="auto"/>
              <w:jc w:val="center"/>
              <w:rPr>
                <w:rFonts w:cs="Calibri"/>
                <w:b/>
                <w:bCs/>
                <w:color w:val="000000"/>
                <w:sz w:val="18"/>
                <w:szCs w:val="18"/>
                <w:lang w:eastAsia="sk-SK"/>
              </w:rPr>
            </w:pPr>
            <w:r w:rsidRPr="00BE6CB9">
              <w:rPr>
                <w:rFonts w:cs="Calibri"/>
                <w:b/>
                <w:bCs/>
                <w:color w:val="000000"/>
                <w:sz w:val="18"/>
                <w:szCs w:val="18"/>
                <w:lang w:eastAsia="sk-SK"/>
              </w:rPr>
              <w:t>Plnenie rozpočtu k 31.12.2019</w:t>
            </w:r>
          </w:p>
        </w:tc>
        <w:tc>
          <w:tcPr>
            <w:tcW w:w="611" w:type="pct"/>
            <w:tcBorders>
              <w:top w:val="single" w:sz="12" w:space="0" w:color="FFFFFF"/>
              <w:left w:val="nil"/>
              <w:bottom w:val="single" w:sz="12" w:space="0" w:color="FFFFFF"/>
              <w:right w:val="single" w:sz="12" w:space="0" w:color="FFFFFF"/>
            </w:tcBorders>
            <w:shd w:val="clear" w:color="000000" w:fill="8DB3E2"/>
            <w:vAlign w:val="center"/>
            <w:hideMark/>
          </w:tcPr>
          <w:p w14:paraId="38850773" w14:textId="77777777" w:rsidR="00BE6CB9" w:rsidRPr="00BE6CB9" w:rsidRDefault="00BE6CB9" w:rsidP="00BE6CB9">
            <w:pPr>
              <w:spacing w:after="0" w:line="240" w:lineRule="auto"/>
              <w:jc w:val="center"/>
              <w:rPr>
                <w:rFonts w:cs="Calibri"/>
                <w:b/>
                <w:bCs/>
                <w:color w:val="000000"/>
                <w:sz w:val="18"/>
                <w:szCs w:val="18"/>
                <w:lang w:eastAsia="sk-SK"/>
              </w:rPr>
            </w:pPr>
            <w:r w:rsidRPr="00BE6CB9">
              <w:rPr>
                <w:rFonts w:cs="Calibri"/>
                <w:b/>
                <w:bCs/>
                <w:color w:val="000000"/>
                <w:sz w:val="18"/>
                <w:szCs w:val="18"/>
                <w:lang w:eastAsia="sk-SK"/>
              </w:rPr>
              <w:t>Schválený rozpočet 2020</w:t>
            </w:r>
          </w:p>
        </w:tc>
        <w:tc>
          <w:tcPr>
            <w:tcW w:w="679" w:type="pct"/>
            <w:tcBorders>
              <w:top w:val="single" w:sz="12" w:space="0" w:color="FFFFFF"/>
              <w:left w:val="nil"/>
              <w:bottom w:val="single" w:sz="12" w:space="0" w:color="FFFFFF"/>
              <w:right w:val="single" w:sz="12" w:space="0" w:color="FFFFFF"/>
            </w:tcBorders>
            <w:shd w:val="clear" w:color="000000" w:fill="8DB3E2"/>
            <w:vAlign w:val="center"/>
            <w:hideMark/>
          </w:tcPr>
          <w:p w14:paraId="627B97C6" w14:textId="77777777" w:rsidR="00BE6CB9" w:rsidRPr="00BE6CB9" w:rsidRDefault="00BE6CB9" w:rsidP="00BE6CB9">
            <w:pPr>
              <w:spacing w:after="0" w:line="240" w:lineRule="auto"/>
              <w:jc w:val="center"/>
              <w:rPr>
                <w:rFonts w:cs="Calibri"/>
                <w:b/>
                <w:bCs/>
                <w:color w:val="000000"/>
                <w:sz w:val="18"/>
                <w:szCs w:val="18"/>
                <w:lang w:eastAsia="sk-SK"/>
              </w:rPr>
            </w:pPr>
            <w:r w:rsidRPr="00BE6CB9">
              <w:rPr>
                <w:rFonts w:cs="Calibri"/>
                <w:b/>
                <w:bCs/>
                <w:color w:val="000000"/>
                <w:sz w:val="18"/>
                <w:szCs w:val="18"/>
                <w:lang w:eastAsia="sk-SK"/>
              </w:rPr>
              <w:t>Zmenený rozpočet k 31.12.2020</w:t>
            </w:r>
          </w:p>
        </w:tc>
        <w:tc>
          <w:tcPr>
            <w:tcW w:w="590" w:type="pct"/>
            <w:tcBorders>
              <w:top w:val="single" w:sz="12" w:space="0" w:color="FFFFFF"/>
              <w:left w:val="nil"/>
              <w:bottom w:val="single" w:sz="12" w:space="0" w:color="FFFFFF"/>
              <w:right w:val="single" w:sz="12" w:space="0" w:color="FFFFFF"/>
            </w:tcBorders>
            <w:shd w:val="clear" w:color="000000" w:fill="8DB3E2"/>
            <w:vAlign w:val="center"/>
            <w:hideMark/>
          </w:tcPr>
          <w:p w14:paraId="3A7A6E55" w14:textId="77777777" w:rsidR="00BE6CB9" w:rsidRPr="00BE6CB9" w:rsidRDefault="00BE6CB9" w:rsidP="00BE6CB9">
            <w:pPr>
              <w:spacing w:after="0" w:line="240" w:lineRule="auto"/>
              <w:jc w:val="center"/>
              <w:rPr>
                <w:rFonts w:cs="Calibri"/>
                <w:b/>
                <w:bCs/>
                <w:color w:val="000000"/>
                <w:sz w:val="18"/>
                <w:szCs w:val="18"/>
                <w:lang w:eastAsia="sk-SK"/>
              </w:rPr>
            </w:pPr>
            <w:r w:rsidRPr="00BE6CB9">
              <w:rPr>
                <w:rFonts w:cs="Calibri"/>
                <w:b/>
                <w:bCs/>
                <w:color w:val="000000"/>
                <w:sz w:val="18"/>
                <w:szCs w:val="18"/>
                <w:lang w:eastAsia="sk-SK"/>
              </w:rPr>
              <w:t>Plnenie rozpočtu k 31.12.2020</w:t>
            </w:r>
          </w:p>
        </w:tc>
        <w:tc>
          <w:tcPr>
            <w:tcW w:w="496" w:type="pct"/>
            <w:tcBorders>
              <w:top w:val="single" w:sz="12" w:space="0" w:color="FFFFFF"/>
              <w:left w:val="nil"/>
              <w:bottom w:val="single" w:sz="12" w:space="0" w:color="FFFFFF"/>
              <w:right w:val="single" w:sz="12" w:space="0" w:color="FFFFFF"/>
            </w:tcBorders>
            <w:shd w:val="clear" w:color="000000" w:fill="8DB3E2"/>
            <w:vAlign w:val="center"/>
            <w:hideMark/>
          </w:tcPr>
          <w:p w14:paraId="05E77FD6" w14:textId="77777777" w:rsidR="00BE6CB9" w:rsidRPr="00BE6CB9" w:rsidRDefault="00BE6CB9" w:rsidP="00BE6CB9">
            <w:pPr>
              <w:spacing w:after="0" w:line="240" w:lineRule="auto"/>
              <w:jc w:val="center"/>
              <w:rPr>
                <w:rFonts w:cs="Calibri"/>
                <w:b/>
                <w:bCs/>
                <w:color w:val="000000"/>
                <w:sz w:val="18"/>
                <w:szCs w:val="18"/>
                <w:lang w:eastAsia="sk-SK"/>
              </w:rPr>
            </w:pPr>
            <w:r w:rsidRPr="00BE6CB9">
              <w:rPr>
                <w:rFonts w:cs="Calibri"/>
                <w:b/>
                <w:bCs/>
                <w:color w:val="000000"/>
                <w:sz w:val="18"/>
                <w:szCs w:val="18"/>
                <w:lang w:eastAsia="sk-SK"/>
              </w:rPr>
              <w:t>% plnenie k zmenenému rozpočtu k 31.12.2020</w:t>
            </w:r>
          </w:p>
        </w:tc>
        <w:tc>
          <w:tcPr>
            <w:tcW w:w="593" w:type="pct"/>
            <w:tcBorders>
              <w:top w:val="single" w:sz="12" w:space="0" w:color="FFFFFF"/>
              <w:left w:val="nil"/>
              <w:bottom w:val="single" w:sz="12" w:space="0" w:color="FFFFFF"/>
              <w:right w:val="single" w:sz="12" w:space="0" w:color="FFFFFF"/>
            </w:tcBorders>
            <w:shd w:val="clear" w:color="000000" w:fill="8DB3E2"/>
            <w:vAlign w:val="center"/>
            <w:hideMark/>
          </w:tcPr>
          <w:p w14:paraId="1D1FD6C3" w14:textId="77777777" w:rsidR="00BE6CB9" w:rsidRPr="00BE6CB9" w:rsidRDefault="00BE6CB9" w:rsidP="00BE6CB9">
            <w:pPr>
              <w:spacing w:after="0" w:line="240" w:lineRule="auto"/>
              <w:jc w:val="center"/>
              <w:rPr>
                <w:rFonts w:cs="Calibri"/>
                <w:b/>
                <w:bCs/>
                <w:color w:val="000000"/>
                <w:sz w:val="18"/>
                <w:szCs w:val="18"/>
                <w:lang w:eastAsia="sk-SK"/>
              </w:rPr>
            </w:pPr>
            <w:r w:rsidRPr="00BE6CB9">
              <w:rPr>
                <w:rFonts w:cs="Calibri"/>
                <w:b/>
                <w:bCs/>
                <w:color w:val="000000"/>
                <w:sz w:val="18"/>
                <w:szCs w:val="18"/>
                <w:lang w:eastAsia="sk-SK"/>
              </w:rPr>
              <w:t>Zmeny rozpočtu</w:t>
            </w:r>
          </w:p>
        </w:tc>
      </w:tr>
      <w:tr w:rsidR="00927176" w:rsidRPr="00BE6CB9" w14:paraId="51EEDD40" w14:textId="77777777" w:rsidTr="00927176">
        <w:trPr>
          <w:trHeight w:val="330"/>
        </w:trPr>
        <w:tc>
          <w:tcPr>
            <w:tcW w:w="1353" w:type="pct"/>
            <w:tcBorders>
              <w:top w:val="nil"/>
              <w:left w:val="single" w:sz="12" w:space="0" w:color="FFFFFF"/>
              <w:bottom w:val="single" w:sz="12" w:space="0" w:color="FFFFFF"/>
              <w:right w:val="single" w:sz="12" w:space="0" w:color="FFFFFF"/>
            </w:tcBorders>
            <w:shd w:val="clear" w:color="000000" w:fill="F2F2F2"/>
            <w:vAlign w:val="center"/>
            <w:hideMark/>
          </w:tcPr>
          <w:p w14:paraId="3E04D852" w14:textId="77777777" w:rsidR="00BE6CB9" w:rsidRPr="00BE6CB9" w:rsidRDefault="00BE6CB9" w:rsidP="00BE6CB9">
            <w:pPr>
              <w:spacing w:after="0" w:line="240" w:lineRule="auto"/>
              <w:rPr>
                <w:rFonts w:cs="Calibri"/>
                <w:color w:val="000000"/>
                <w:sz w:val="18"/>
                <w:szCs w:val="18"/>
                <w:lang w:eastAsia="sk-SK"/>
              </w:rPr>
            </w:pPr>
            <w:r w:rsidRPr="00BE6CB9">
              <w:rPr>
                <w:rFonts w:cs="Calibri"/>
                <w:color w:val="000000"/>
                <w:sz w:val="18"/>
                <w:szCs w:val="18"/>
                <w:lang w:eastAsia="sk-SK"/>
              </w:rPr>
              <w:t>410 – príjem z NFV (CENTROPE)</w:t>
            </w:r>
          </w:p>
        </w:tc>
        <w:tc>
          <w:tcPr>
            <w:tcW w:w="679" w:type="pct"/>
            <w:tcBorders>
              <w:top w:val="nil"/>
              <w:left w:val="nil"/>
              <w:bottom w:val="single" w:sz="12" w:space="0" w:color="FFFFFF"/>
              <w:right w:val="single" w:sz="12" w:space="0" w:color="FFFFFF"/>
            </w:tcBorders>
            <w:shd w:val="clear" w:color="000000" w:fill="F2F2F2"/>
            <w:vAlign w:val="center"/>
            <w:hideMark/>
          </w:tcPr>
          <w:p w14:paraId="5AEB8573"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24 785,22</w:t>
            </w:r>
          </w:p>
        </w:tc>
        <w:tc>
          <w:tcPr>
            <w:tcW w:w="611" w:type="pct"/>
            <w:tcBorders>
              <w:top w:val="nil"/>
              <w:left w:val="nil"/>
              <w:bottom w:val="single" w:sz="12" w:space="0" w:color="FFFFFF"/>
              <w:right w:val="single" w:sz="12" w:space="0" w:color="FFFFFF"/>
            </w:tcBorders>
            <w:shd w:val="clear" w:color="000000" w:fill="F2F2F2"/>
            <w:vAlign w:val="center"/>
            <w:hideMark/>
          </w:tcPr>
          <w:p w14:paraId="186B6771"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45 214,78</w:t>
            </w:r>
          </w:p>
        </w:tc>
        <w:tc>
          <w:tcPr>
            <w:tcW w:w="679" w:type="pct"/>
            <w:tcBorders>
              <w:top w:val="nil"/>
              <w:left w:val="nil"/>
              <w:bottom w:val="single" w:sz="12" w:space="0" w:color="FFFFFF"/>
              <w:right w:val="single" w:sz="12" w:space="0" w:color="FFFFFF"/>
            </w:tcBorders>
            <w:shd w:val="clear" w:color="000000" w:fill="F2F2F2"/>
            <w:vAlign w:val="center"/>
            <w:hideMark/>
          </w:tcPr>
          <w:p w14:paraId="6B6C2BA5"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45 214,78</w:t>
            </w:r>
          </w:p>
        </w:tc>
        <w:tc>
          <w:tcPr>
            <w:tcW w:w="590" w:type="pct"/>
            <w:tcBorders>
              <w:top w:val="nil"/>
              <w:left w:val="nil"/>
              <w:bottom w:val="single" w:sz="12" w:space="0" w:color="FFFFFF"/>
              <w:right w:val="single" w:sz="12" w:space="0" w:color="FFFFFF"/>
            </w:tcBorders>
            <w:shd w:val="clear" w:color="000000" w:fill="F2F2F2"/>
            <w:vAlign w:val="center"/>
            <w:hideMark/>
          </w:tcPr>
          <w:p w14:paraId="2FD351BA"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16 159,30</w:t>
            </w:r>
          </w:p>
        </w:tc>
        <w:tc>
          <w:tcPr>
            <w:tcW w:w="496" w:type="pct"/>
            <w:tcBorders>
              <w:top w:val="nil"/>
              <w:left w:val="nil"/>
              <w:bottom w:val="single" w:sz="12" w:space="0" w:color="FFFFFF"/>
              <w:right w:val="single" w:sz="12" w:space="0" w:color="FFFFFF"/>
            </w:tcBorders>
            <w:shd w:val="clear" w:color="000000" w:fill="F2F2F2"/>
            <w:vAlign w:val="center"/>
            <w:hideMark/>
          </w:tcPr>
          <w:p w14:paraId="58F31EEA" w14:textId="65C806BE" w:rsidR="00BE6CB9" w:rsidRPr="00BE6CB9" w:rsidRDefault="00C57DF4" w:rsidP="00BE6CB9">
            <w:pPr>
              <w:spacing w:after="0" w:line="240" w:lineRule="auto"/>
              <w:jc w:val="right"/>
              <w:rPr>
                <w:rFonts w:cs="Calibri"/>
                <w:color w:val="000000"/>
                <w:sz w:val="18"/>
                <w:szCs w:val="18"/>
                <w:lang w:eastAsia="sk-SK"/>
              </w:rPr>
            </w:pPr>
            <w:r w:rsidRPr="00C57DF4">
              <w:rPr>
                <w:rFonts w:cs="Calibri"/>
                <w:color w:val="000000"/>
                <w:sz w:val="18"/>
                <w:szCs w:val="18"/>
                <w:lang w:eastAsia="sk-SK"/>
              </w:rPr>
              <w:t>35,74%</w:t>
            </w:r>
          </w:p>
        </w:tc>
        <w:tc>
          <w:tcPr>
            <w:tcW w:w="593" w:type="pct"/>
            <w:tcBorders>
              <w:top w:val="nil"/>
              <w:left w:val="nil"/>
              <w:bottom w:val="single" w:sz="12" w:space="0" w:color="FFFFFF"/>
              <w:right w:val="single" w:sz="12" w:space="0" w:color="FFFFFF"/>
            </w:tcBorders>
            <w:shd w:val="clear" w:color="000000" w:fill="F2F2F2"/>
            <w:vAlign w:val="center"/>
            <w:hideMark/>
          </w:tcPr>
          <w:p w14:paraId="01F5E8C1"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 </w:t>
            </w:r>
          </w:p>
        </w:tc>
      </w:tr>
      <w:tr w:rsidR="00927176" w:rsidRPr="00BE6CB9" w14:paraId="4CFF61B5" w14:textId="77777777" w:rsidTr="00927176">
        <w:trPr>
          <w:trHeight w:val="330"/>
        </w:trPr>
        <w:tc>
          <w:tcPr>
            <w:tcW w:w="1353" w:type="pct"/>
            <w:tcBorders>
              <w:top w:val="nil"/>
              <w:left w:val="single" w:sz="12" w:space="0" w:color="FFFFFF"/>
              <w:bottom w:val="single" w:sz="12" w:space="0" w:color="FFFFFF"/>
              <w:right w:val="single" w:sz="12" w:space="0" w:color="FFFFFF"/>
            </w:tcBorders>
            <w:shd w:val="clear" w:color="000000" w:fill="F2F2F2"/>
            <w:vAlign w:val="center"/>
            <w:hideMark/>
          </w:tcPr>
          <w:p w14:paraId="53AAAF60" w14:textId="77777777" w:rsidR="00BE6CB9" w:rsidRPr="00BE6CB9" w:rsidRDefault="00BE6CB9" w:rsidP="00BE6CB9">
            <w:pPr>
              <w:spacing w:after="0" w:line="240" w:lineRule="auto"/>
              <w:rPr>
                <w:rFonts w:cs="Calibri"/>
                <w:color w:val="000000"/>
                <w:sz w:val="18"/>
                <w:szCs w:val="18"/>
                <w:lang w:eastAsia="sk-SK"/>
              </w:rPr>
            </w:pPr>
            <w:r w:rsidRPr="00BE6CB9">
              <w:rPr>
                <w:rFonts w:cs="Calibri"/>
                <w:color w:val="000000"/>
                <w:sz w:val="18"/>
                <w:szCs w:val="18"/>
                <w:lang w:eastAsia="sk-SK"/>
              </w:rPr>
              <w:t>453 - Prevod prostriedkov min. rokov</w:t>
            </w:r>
          </w:p>
        </w:tc>
        <w:tc>
          <w:tcPr>
            <w:tcW w:w="679" w:type="pct"/>
            <w:tcBorders>
              <w:top w:val="nil"/>
              <w:left w:val="nil"/>
              <w:bottom w:val="single" w:sz="12" w:space="0" w:color="FFFFFF"/>
              <w:right w:val="single" w:sz="12" w:space="0" w:color="FFFFFF"/>
            </w:tcBorders>
            <w:shd w:val="clear" w:color="000000" w:fill="F2F2F2"/>
            <w:vAlign w:val="center"/>
            <w:hideMark/>
          </w:tcPr>
          <w:p w14:paraId="5616DF86"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1 688 072,32</w:t>
            </w:r>
          </w:p>
        </w:tc>
        <w:tc>
          <w:tcPr>
            <w:tcW w:w="611" w:type="pct"/>
            <w:tcBorders>
              <w:top w:val="nil"/>
              <w:left w:val="nil"/>
              <w:bottom w:val="single" w:sz="12" w:space="0" w:color="FFFFFF"/>
              <w:right w:val="single" w:sz="12" w:space="0" w:color="FFFFFF"/>
            </w:tcBorders>
            <w:shd w:val="clear" w:color="000000" w:fill="F2F2F2"/>
            <w:vAlign w:val="center"/>
            <w:hideMark/>
          </w:tcPr>
          <w:p w14:paraId="4689F5DD"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2 218 221,74</w:t>
            </w:r>
          </w:p>
        </w:tc>
        <w:tc>
          <w:tcPr>
            <w:tcW w:w="679" w:type="pct"/>
            <w:tcBorders>
              <w:top w:val="nil"/>
              <w:left w:val="nil"/>
              <w:bottom w:val="single" w:sz="12" w:space="0" w:color="FFFFFF"/>
              <w:right w:val="single" w:sz="12" w:space="0" w:color="FFFFFF"/>
            </w:tcBorders>
            <w:shd w:val="clear" w:color="000000" w:fill="F2F2F2"/>
            <w:vAlign w:val="center"/>
            <w:hideMark/>
          </w:tcPr>
          <w:p w14:paraId="35AA057D"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2 822 682,34</w:t>
            </w:r>
          </w:p>
        </w:tc>
        <w:tc>
          <w:tcPr>
            <w:tcW w:w="590" w:type="pct"/>
            <w:tcBorders>
              <w:top w:val="nil"/>
              <w:left w:val="nil"/>
              <w:bottom w:val="single" w:sz="12" w:space="0" w:color="FFFFFF"/>
              <w:right w:val="single" w:sz="12" w:space="0" w:color="FFFFFF"/>
            </w:tcBorders>
            <w:shd w:val="clear" w:color="000000" w:fill="F2F2F2"/>
            <w:vAlign w:val="center"/>
            <w:hideMark/>
          </w:tcPr>
          <w:p w14:paraId="56A15CF5" w14:textId="5ED29B2F" w:rsidR="00BE6CB9" w:rsidRPr="00BE6CB9" w:rsidRDefault="00C57DF4" w:rsidP="00BE6CB9">
            <w:pPr>
              <w:spacing w:after="0" w:line="240" w:lineRule="auto"/>
              <w:jc w:val="right"/>
              <w:rPr>
                <w:rFonts w:cs="Calibri"/>
                <w:color w:val="000000"/>
                <w:sz w:val="18"/>
                <w:szCs w:val="18"/>
                <w:lang w:eastAsia="sk-SK"/>
              </w:rPr>
            </w:pPr>
            <w:r w:rsidRPr="00C57DF4">
              <w:rPr>
                <w:rFonts w:cs="Calibri"/>
                <w:color w:val="000000"/>
                <w:sz w:val="18"/>
                <w:szCs w:val="18"/>
                <w:lang w:eastAsia="sk-SK"/>
              </w:rPr>
              <w:t>1 731 560,69</w:t>
            </w:r>
          </w:p>
        </w:tc>
        <w:tc>
          <w:tcPr>
            <w:tcW w:w="496" w:type="pct"/>
            <w:tcBorders>
              <w:top w:val="nil"/>
              <w:left w:val="nil"/>
              <w:bottom w:val="single" w:sz="12" w:space="0" w:color="FFFFFF"/>
              <w:right w:val="single" w:sz="12" w:space="0" w:color="FFFFFF"/>
            </w:tcBorders>
            <w:shd w:val="clear" w:color="000000" w:fill="F2F2F2"/>
            <w:vAlign w:val="center"/>
            <w:hideMark/>
          </w:tcPr>
          <w:p w14:paraId="077806F6" w14:textId="1F95CDCA" w:rsidR="00BE6CB9" w:rsidRPr="00BE6CB9" w:rsidRDefault="00C57DF4" w:rsidP="00BE6CB9">
            <w:pPr>
              <w:spacing w:after="0" w:line="240" w:lineRule="auto"/>
              <w:jc w:val="right"/>
              <w:rPr>
                <w:rFonts w:cs="Calibri"/>
                <w:color w:val="000000"/>
                <w:sz w:val="18"/>
                <w:szCs w:val="18"/>
                <w:lang w:eastAsia="sk-SK"/>
              </w:rPr>
            </w:pPr>
            <w:r>
              <w:rPr>
                <w:rFonts w:cs="Calibri"/>
                <w:color w:val="000000"/>
                <w:sz w:val="18"/>
                <w:szCs w:val="18"/>
                <w:lang w:eastAsia="sk-SK"/>
              </w:rPr>
              <w:t>61,34%</w:t>
            </w:r>
          </w:p>
        </w:tc>
        <w:tc>
          <w:tcPr>
            <w:tcW w:w="593" w:type="pct"/>
            <w:tcBorders>
              <w:top w:val="nil"/>
              <w:left w:val="nil"/>
              <w:bottom w:val="single" w:sz="12" w:space="0" w:color="FFFFFF"/>
              <w:right w:val="single" w:sz="12" w:space="0" w:color="FFFFFF"/>
            </w:tcBorders>
            <w:shd w:val="clear" w:color="000000" w:fill="F2F2F2"/>
            <w:vAlign w:val="center"/>
            <w:hideMark/>
          </w:tcPr>
          <w:p w14:paraId="22AFCAAF"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604 460,60</w:t>
            </w:r>
          </w:p>
        </w:tc>
      </w:tr>
      <w:tr w:rsidR="00927176" w:rsidRPr="00BE6CB9" w14:paraId="16FB7D13" w14:textId="77777777" w:rsidTr="00927176">
        <w:trPr>
          <w:trHeight w:val="330"/>
        </w:trPr>
        <w:tc>
          <w:tcPr>
            <w:tcW w:w="1353" w:type="pct"/>
            <w:tcBorders>
              <w:top w:val="nil"/>
              <w:left w:val="single" w:sz="12" w:space="0" w:color="FFFFFF"/>
              <w:bottom w:val="single" w:sz="12" w:space="0" w:color="FFFFFF"/>
              <w:right w:val="single" w:sz="12" w:space="0" w:color="FFFFFF"/>
            </w:tcBorders>
            <w:shd w:val="clear" w:color="000000" w:fill="F2F2F2"/>
            <w:vAlign w:val="center"/>
            <w:hideMark/>
          </w:tcPr>
          <w:p w14:paraId="7C543730" w14:textId="77777777" w:rsidR="00BE6CB9" w:rsidRPr="00BE6CB9" w:rsidRDefault="00BE6CB9" w:rsidP="00BE6CB9">
            <w:pPr>
              <w:spacing w:after="0" w:line="240" w:lineRule="auto"/>
              <w:rPr>
                <w:rFonts w:cs="Calibri"/>
                <w:color w:val="000000"/>
                <w:sz w:val="18"/>
                <w:szCs w:val="18"/>
                <w:lang w:eastAsia="sk-SK"/>
              </w:rPr>
            </w:pPr>
            <w:r w:rsidRPr="00BE6CB9">
              <w:rPr>
                <w:rFonts w:cs="Calibri"/>
                <w:color w:val="000000"/>
                <w:sz w:val="18"/>
                <w:szCs w:val="18"/>
                <w:lang w:eastAsia="sk-SK"/>
              </w:rPr>
              <w:t>454 - Použitie rezervného fondu</w:t>
            </w:r>
          </w:p>
        </w:tc>
        <w:tc>
          <w:tcPr>
            <w:tcW w:w="679" w:type="pct"/>
            <w:tcBorders>
              <w:top w:val="nil"/>
              <w:left w:val="nil"/>
              <w:bottom w:val="single" w:sz="12" w:space="0" w:color="FFFFFF"/>
              <w:right w:val="single" w:sz="12" w:space="0" w:color="FFFFFF"/>
            </w:tcBorders>
            <w:shd w:val="clear" w:color="000000" w:fill="F2F2F2"/>
            <w:vAlign w:val="center"/>
            <w:hideMark/>
          </w:tcPr>
          <w:p w14:paraId="45D635DB"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10 356 209,47</w:t>
            </w:r>
          </w:p>
        </w:tc>
        <w:tc>
          <w:tcPr>
            <w:tcW w:w="611" w:type="pct"/>
            <w:tcBorders>
              <w:top w:val="nil"/>
              <w:left w:val="nil"/>
              <w:bottom w:val="single" w:sz="12" w:space="0" w:color="FFFFFF"/>
              <w:right w:val="single" w:sz="12" w:space="0" w:color="FFFFFF"/>
            </w:tcBorders>
            <w:shd w:val="clear" w:color="000000" w:fill="F2F2F2"/>
            <w:vAlign w:val="center"/>
            <w:hideMark/>
          </w:tcPr>
          <w:p w14:paraId="45DCF17E"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4 900 000,00</w:t>
            </w:r>
          </w:p>
        </w:tc>
        <w:tc>
          <w:tcPr>
            <w:tcW w:w="679" w:type="pct"/>
            <w:tcBorders>
              <w:top w:val="nil"/>
              <w:left w:val="nil"/>
              <w:bottom w:val="single" w:sz="12" w:space="0" w:color="FFFFFF"/>
              <w:right w:val="single" w:sz="12" w:space="0" w:color="FFFFFF"/>
            </w:tcBorders>
            <w:shd w:val="clear" w:color="000000" w:fill="F2F2F2"/>
            <w:vAlign w:val="center"/>
            <w:hideMark/>
          </w:tcPr>
          <w:p w14:paraId="48294DEF"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4 900 000,00</w:t>
            </w:r>
          </w:p>
        </w:tc>
        <w:tc>
          <w:tcPr>
            <w:tcW w:w="590" w:type="pct"/>
            <w:tcBorders>
              <w:top w:val="nil"/>
              <w:left w:val="nil"/>
              <w:bottom w:val="single" w:sz="12" w:space="0" w:color="FFFFFF"/>
              <w:right w:val="single" w:sz="12" w:space="0" w:color="FFFFFF"/>
            </w:tcBorders>
            <w:shd w:val="clear" w:color="000000" w:fill="F2F2F2"/>
            <w:vAlign w:val="center"/>
            <w:hideMark/>
          </w:tcPr>
          <w:p w14:paraId="739F9786"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2 400 000,00</w:t>
            </w:r>
          </w:p>
        </w:tc>
        <w:tc>
          <w:tcPr>
            <w:tcW w:w="496" w:type="pct"/>
            <w:tcBorders>
              <w:top w:val="nil"/>
              <w:left w:val="nil"/>
              <w:bottom w:val="single" w:sz="12" w:space="0" w:color="FFFFFF"/>
              <w:right w:val="single" w:sz="12" w:space="0" w:color="FFFFFF"/>
            </w:tcBorders>
            <w:shd w:val="clear" w:color="000000" w:fill="F2F2F2"/>
            <w:vAlign w:val="center"/>
            <w:hideMark/>
          </w:tcPr>
          <w:p w14:paraId="4C84D761" w14:textId="42ABADF1" w:rsidR="00BE6CB9" w:rsidRPr="00BE6CB9" w:rsidRDefault="00C57DF4" w:rsidP="00BE6CB9">
            <w:pPr>
              <w:spacing w:after="0" w:line="240" w:lineRule="auto"/>
              <w:jc w:val="right"/>
              <w:rPr>
                <w:rFonts w:cs="Calibri"/>
                <w:color w:val="000000"/>
                <w:sz w:val="18"/>
                <w:szCs w:val="18"/>
                <w:lang w:eastAsia="sk-SK"/>
              </w:rPr>
            </w:pPr>
            <w:r w:rsidRPr="00C57DF4">
              <w:rPr>
                <w:rFonts w:cs="Calibri"/>
                <w:color w:val="000000"/>
                <w:sz w:val="18"/>
                <w:szCs w:val="18"/>
                <w:lang w:eastAsia="sk-SK"/>
              </w:rPr>
              <w:t>48,98%</w:t>
            </w:r>
          </w:p>
        </w:tc>
        <w:tc>
          <w:tcPr>
            <w:tcW w:w="593" w:type="pct"/>
            <w:tcBorders>
              <w:top w:val="nil"/>
              <w:left w:val="nil"/>
              <w:bottom w:val="single" w:sz="12" w:space="0" w:color="FFFFFF"/>
              <w:right w:val="single" w:sz="12" w:space="0" w:color="FFFFFF"/>
            </w:tcBorders>
            <w:shd w:val="clear" w:color="000000" w:fill="F2F2F2"/>
            <w:vAlign w:val="center"/>
            <w:hideMark/>
          </w:tcPr>
          <w:p w14:paraId="1F478D11"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 </w:t>
            </w:r>
          </w:p>
        </w:tc>
      </w:tr>
      <w:tr w:rsidR="00927176" w:rsidRPr="00BE6CB9" w14:paraId="58768386" w14:textId="77777777" w:rsidTr="00927176">
        <w:trPr>
          <w:trHeight w:val="330"/>
        </w:trPr>
        <w:tc>
          <w:tcPr>
            <w:tcW w:w="1353" w:type="pct"/>
            <w:tcBorders>
              <w:top w:val="nil"/>
              <w:left w:val="single" w:sz="12" w:space="0" w:color="FFFFFF"/>
              <w:bottom w:val="single" w:sz="12" w:space="0" w:color="FFFFFF"/>
              <w:right w:val="single" w:sz="12" w:space="0" w:color="FFFFFF"/>
            </w:tcBorders>
            <w:shd w:val="clear" w:color="000000" w:fill="F2F2F2"/>
            <w:vAlign w:val="center"/>
            <w:hideMark/>
          </w:tcPr>
          <w:p w14:paraId="48FA08B6" w14:textId="77777777" w:rsidR="00BE6CB9" w:rsidRPr="00BE6CB9" w:rsidRDefault="00BE6CB9" w:rsidP="00BE6CB9">
            <w:pPr>
              <w:spacing w:after="0" w:line="240" w:lineRule="auto"/>
              <w:rPr>
                <w:rFonts w:cs="Calibri"/>
                <w:color w:val="000000"/>
                <w:sz w:val="18"/>
                <w:szCs w:val="18"/>
                <w:lang w:eastAsia="sk-SK"/>
              </w:rPr>
            </w:pPr>
            <w:r w:rsidRPr="00BE6CB9">
              <w:rPr>
                <w:rFonts w:cs="Calibri"/>
                <w:color w:val="000000"/>
                <w:sz w:val="18"/>
                <w:szCs w:val="18"/>
                <w:lang w:eastAsia="sk-SK"/>
              </w:rPr>
              <w:t xml:space="preserve">456 - Prijaté </w:t>
            </w:r>
            <w:proofErr w:type="spellStart"/>
            <w:r w:rsidRPr="00BE6CB9">
              <w:rPr>
                <w:rFonts w:cs="Calibri"/>
                <w:color w:val="000000"/>
                <w:sz w:val="18"/>
                <w:szCs w:val="18"/>
                <w:lang w:eastAsia="sk-SK"/>
              </w:rPr>
              <w:t>zabezpeky</w:t>
            </w:r>
            <w:proofErr w:type="spellEnd"/>
          </w:p>
        </w:tc>
        <w:tc>
          <w:tcPr>
            <w:tcW w:w="679" w:type="pct"/>
            <w:tcBorders>
              <w:top w:val="nil"/>
              <w:left w:val="nil"/>
              <w:bottom w:val="single" w:sz="12" w:space="0" w:color="FFFFFF"/>
              <w:right w:val="single" w:sz="12" w:space="0" w:color="FFFFFF"/>
            </w:tcBorders>
            <w:shd w:val="clear" w:color="000000" w:fill="F2F2F2"/>
            <w:vAlign w:val="center"/>
            <w:hideMark/>
          </w:tcPr>
          <w:p w14:paraId="3B2CFA8B"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479 853,33</w:t>
            </w:r>
          </w:p>
        </w:tc>
        <w:tc>
          <w:tcPr>
            <w:tcW w:w="611" w:type="pct"/>
            <w:tcBorders>
              <w:top w:val="nil"/>
              <w:left w:val="nil"/>
              <w:bottom w:val="single" w:sz="12" w:space="0" w:color="FFFFFF"/>
              <w:right w:val="single" w:sz="12" w:space="0" w:color="FFFFFF"/>
            </w:tcBorders>
            <w:shd w:val="clear" w:color="000000" w:fill="F2F2F2"/>
            <w:vAlign w:val="center"/>
            <w:hideMark/>
          </w:tcPr>
          <w:p w14:paraId="47948AD3"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0,00</w:t>
            </w:r>
          </w:p>
        </w:tc>
        <w:tc>
          <w:tcPr>
            <w:tcW w:w="679" w:type="pct"/>
            <w:tcBorders>
              <w:top w:val="nil"/>
              <w:left w:val="nil"/>
              <w:bottom w:val="single" w:sz="12" w:space="0" w:color="FFFFFF"/>
              <w:right w:val="single" w:sz="12" w:space="0" w:color="FFFFFF"/>
            </w:tcBorders>
            <w:shd w:val="clear" w:color="000000" w:fill="F2F2F2"/>
            <w:vAlign w:val="center"/>
            <w:hideMark/>
          </w:tcPr>
          <w:p w14:paraId="289EA2CF"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0,00</w:t>
            </w:r>
          </w:p>
        </w:tc>
        <w:tc>
          <w:tcPr>
            <w:tcW w:w="590" w:type="pct"/>
            <w:tcBorders>
              <w:top w:val="nil"/>
              <w:left w:val="nil"/>
              <w:bottom w:val="single" w:sz="12" w:space="0" w:color="FFFFFF"/>
              <w:right w:val="single" w:sz="12" w:space="0" w:color="FFFFFF"/>
            </w:tcBorders>
            <w:shd w:val="clear" w:color="000000" w:fill="F2F2F2"/>
            <w:vAlign w:val="center"/>
            <w:hideMark/>
          </w:tcPr>
          <w:p w14:paraId="68D8B717" w14:textId="5327855F" w:rsidR="00BE6CB9" w:rsidRPr="00BE6CB9" w:rsidRDefault="00C57DF4" w:rsidP="00BE6CB9">
            <w:pPr>
              <w:spacing w:after="0" w:line="240" w:lineRule="auto"/>
              <w:jc w:val="right"/>
              <w:rPr>
                <w:rFonts w:cs="Calibri"/>
                <w:color w:val="000000"/>
                <w:sz w:val="18"/>
                <w:szCs w:val="18"/>
                <w:lang w:eastAsia="sk-SK"/>
              </w:rPr>
            </w:pPr>
            <w:r w:rsidRPr="00C57DF4">
              <w:rPr>
                <w:rFonts w:cs="Calibri"/>
                <w:color w:val="000000"/>
                <w:sz w:val="18"/>
                <w:szCs w:val="18"/>
                <w:lang w:eastAsia="sk-SK"/>
              </w:rPr>
              <w:t>1 028 464,00</w:t>
            </w:r>
          </w:p>
        </w:tc>
        <w:tc>
          <w:tcPr>
            <w:tcW w:w="496" w:type="pct"/>
            <w:tcBorders>
              <w:top w:val="nil"/>
              <w:left w:val="nil"/>
              <w:bottom w:val="single" w:sz="12" w:space="0" w:color="FFFFFF"/>
              <w:right w:val="single" w:sz="12" w:space="0" w:color="FFFFFF"/>
            </w:tcBorders>
            <w:shd w:val="clear" w:color="000000" w:fill="F2F2F2"/>
            <w:vAlign w:val="center"/>
            <w:hideMark/>
          </w:tcPr>
          <w:p w14:paraId="5CF4C9AA"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 </w:t>
            </w:r>
          </w:p>
        </w:tc>
        <w:tc>
          <w:tcPr>
            <w:tcW w:w="593" w:type="pct"/>
            <w:tcBorders>
              <w:top w:val="nil"/>
              <w:left w:val="nil"/>
              <w:bottom w:val="single" w:sz="12" w:space="0" w:color="FFFFFF"/>
              <w:right w:val="single" w:sz="12" w:space="0" w:color="FFFFFF"/>
            </w:tcBorders>
            <w:shd w:val="clear" w:color="000000" w:fill="F2F2F2"/>
            <w:vAlign w:val="center"/>
            <w:hideMark/>
          </w:tcPr>
          <w:p w14:paraId="35E97692"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 </w:t>
            </w:r>
          </w:p>
        </w:tc>
      </w:tr>
      <w:tr w:rsidR="00927176" w:rsidRPr="00BE6CB9" w14:paraId="676BED8C" w14:textId="77777777" w:rsidTr="00927176">
        <w:trPr>
          <w:trHeight w:val="330"/>
        </w:trPr>
        <w:tc>
          <w:tcPr>
            <w:tcW w:w="1353" w:type="pct"/>
            <w:tcBorders>
              <w:top w:val="nil"/>
              <w:left w:val="single" w:sz="12" w:space="0" w:color="FFFFFF"/>
              <w:bottom w:val="single" w:sz="12" w:space="0" w:color="FFFFFF"/>
              <w:right w:val="single" w:sz="12" w:space="0" w:color="FFFFFF"/>
            </w:tcBorders>
            <w:shd w:val="clear" w:color="000000" w:fill="F2F2F2"/>
            <w:vAlign w:val="center"/>
            <w:hideMark/>
          </w:tcPr>
          <w:p w14:paraId="55A08644" w14:textId="77777777" w:rsidR="00BE6CB9" w:rsidRPr="00BE6CB9" w:rsidRDefault="00BE6CB9" w:rsidP="00BE6CB9">
            <w:pPr>
              <w:spacing w:after="0" w:line="240" w:lineRule="auto"/>
              <w:rPr>
                <w:rFonts w:cs="Calibri"/>
                <w:color w:val="000000"/>
                <w:sz w:val="18"/>
                <w:szCs w:val="18"/>
                <w:lang w:eastAsia="sk-SK"/>
              </w:rPr>
            </w:pPr>
            <w:r w:rsidRPr="00BE6CB9">
              <w:rPr>
                <w:rFonts w:cs="Calibri"/>
                <w:color w:val="000000"/>
                <w:sz w:val="18"/>
                <w:szCs w:val="18"/>
                <w:lang w:eastAsia="sk-SK"/>
              </w:rPr>
              <w:t>510 - Príjmy z úverov a  NFV z MF SR</w:t>
            </w:r>
          </w:p>
        </w:tc>
        <w:tc>
          <w:tcPr>
            <w:tcW w:w="679" w:type="pct"/>
            <w:tcBorders>
              <w:top w:val="nil"/>
              <w:left w:val="nil"/>
              <w:bottom w:val="single" w:sz="12" w:space="0" w:color="FFFFFF"/>
              <w:right w:val="single" w:sz="12" w:space="0" w:color="FFFFFF"/>
            </w:tcBorders>
            <w:shd w:val="clear" w:color="000000" w:fill="F2F2F2"/>
            <w:vAlign w:val="center"/>
            <w:hideMark/>
          </w:tcPr>
          <w:p w14:paraId="0A4BCFB3"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0,00</w:t>
            </w:r>
          </w:p>
        </w:tc>
        <w:tc>
          <w:tcPr>
            <w:tcW w:w="611" w:type="pct"/>
            <w:tcBorders>
              <w:top w:val="nil"/>
              <w:left w:val="nil"/>
              <w:bottom w:val="single" w:sz="12" w:space="0" w:color="FFFFFF"/>
              <w:right w:val="single" w:sz="12" w:space="0" w:color="FFFFFF"/>
            </w:tcBorders>
            <w:shd w:val="clear" w:color="000000" w:fill="F2F2F2"/>
            <w:vAlign w:val="center"/>
            <w:hideMark/>
          </w:tcPr>
          <w:p w14:paraId="196BB635"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11 370 000,00</w:t>
            </w:r>
          </w:p>
        </w:tc>
        <w:tc>
          <w:tcPr>
            <w:tcW w:w="679" w:type="pct"/>
            <w:tcBorders>
              <w:top w:val="nil"/>
              <w:left w:val="nil"/>
              <w:bottom w:val="single" w:sz="12" w:space="0" w:color="FFFFFF"/>
              <w:right w:val="single" w:sz="12" w:space="0" w:color="FFFFFF"/>
            </w:tcBorders>
            <w:shd w:val="clear" w:color="000000" w:fill="F2F2F2"/>
            <w:vAlign w:val="center"/>
            <w:hideMark/>
          </w:tcPr>
          <w:p w14:paraId="5439E139"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7 150 160,00</w:t>
            </w:r>
          </w:p>
        </w:tc>
        <w:tc>
          <w:tcPr>
            <w:tcW w:w="590" w:type="pct"/>
            <w:tcBorders>
              <w:top w:val="nil"/>
              <w:left w:val="nil"/>
              <w:bottom w:val="single" w:sz="12" w:space="0" w:color="FFFFFF"/>
              <w:right w:val="single" w:sz="12" w:space="0" w:color="FFFFFF"/>
            </w:tcBorders>
            <w:shd w:val="clear" w:color="000000" w:fill="F2F2F2"/>
            <w:vAlign w:val="center"/>
            <w:hideMark/>
          </w:tcPr>
          <w:p w14:paraId="4B823CF8"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5 675 346,00</w:t>
            </w:r>
          </w:p>
        </w:tc>
        <w:tc>
          <w:tcPr>
            <w:tcW w:w="496" w:type="pct"/>
            <w:tcBorders>
              <w:top w:val="nil"/>
              <w:left w:val="nil"/>
              <w:bottom w:val="single" w:sz="12" w:space="0" w:color="FFFFFF"/>
              <w:right w:val="single" w:sz="12" w:space="0" w:color="FFFFFF"/>
            </w:tcBorders>
            <w:shd w:val="clear" w:color="000000" w:fill="F2F2F2"/>
            <w:vAlign w:val="center"/>
            <w:hideMark/>
          </w:tcPr>
          <w:p w14:paraId="5E69DA32" w14:textId="391D7EC4"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79</w:t>
            </w:r>
            <w:r w:rsidR="00C57DF4">
              <w:rPr>
                <w:rFonts w:cs="Calibri"/>
                <w:color w:val="000000"/>
                <w:sz w:val="18"/>
                <w:szCs w:val="18"/>
                <w:lang w:eastAsia="sk-SK"/>
              </w:rPr>
              <w:t>,37</w:t>
            </w:r>
            <w:r w:rsidRPr="00BE6CB9">
              <w:rPr>
                <w:rFonts w:cs="Calibri"/>
                <w:color w:val="000000"/>
                <w:sz w:val="18"/>
                <w:szCs w:val="18"/>
                <w:lang w:eastAsia="sk-SK"/>
              </w:rPr>
              <w:t>%</w:t>
            </w:r>
          </w:p>
        </w:tc>
        <w:tc>
          <w:tcPr>
            <w:tcW w:w="593" w:type="pct"/>
            <w:tcBorders>
              <w:top w:val="nil"/>
              <w:left w:val="nil"/>
              <w:bottom w:val="single" w:sz="12" w:space="0" w:color="FFFFFF"/>
              <w:right w:val="single" w:sz="12" w:space="0" w:color="FFFFFF"/>
            </w:tcBorders>
            <w:shd w:val="clear" w:color="000000" w:fill="F2F2F2"/>
            <w:vAlign w:val="center"/>
            <w:hideMark/>
          </w:tcPr>
          <w:p w14:paraId="1DE4A3C8"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-4 219 840,00</w:t>
            </w:r>
          </w:p>
        </w:tc>
      </w:tr>
      <w:tr w:rsidR="00927176" w:rsidRPr="00BE6CB9" w14:paraId="4FCC12B4" w14:textId="77777777" w:rsidTr="00927176">
        <w:trPr>
          <w:trHeight w:val="330"/>
        </w:trPr>
        <w:tc>
          <w:tcPr>
            <w:tcW w:w="1353" w:type="pct"/>
            <w:tcBorders>
              <w:top w:val="nil"/>
              <w:left w:val="single" w:sz="12" w:space="0" w:color="FFFFFF"/>
              <w:bottom w:val="single" w:sz="12" w:space="0" w:color="FFFFFF"/>
              <w:right w:val="single" w:sz="12" w:space="0" w:color="FFFFFF"/>
            </w:tcBorders>
            <w:shd w:val="clear" w:color="000000" w:fill="F2F2F2"/>
            <w:vAlign w:val="center"/>
            <w:hideMark/>
          </w:tcPr>
          <w:p w14:paraId="3284EF0C" w14:textId="77777777" w:rsidR="00BE6CB9" w:rsidRPr="00BE6CB9" w:rsidRDefault="00BE6CB9" w:rsidP="00BE6CB9">
            <w:pPr>
              <w:spacing w:after="0" w:line="240" w:lineRule="auto"/>
              <w:rPr>
                <w:rFonts w:cs="Calibri"/>
                <w:color w:val="000000"/>
                <w:sz w:val="18"/>
                <w:szCs w:val="18"/>
                <w:lang w:eastAsia="sk-SK"/>
              </w:rPr>
            </w:pPr>
            <w:r w:rsidRPr="00BE6CB9">
              <w:rPr>
                <w:rFonts w:cs="Calibri"/>
                <w:color w:val="000000"/>
                <w:sz w:val="18"/>
                <w:szCs w:val="18"/>
                <w:lang w:eastAsia="sk-SK"/>
              </w:rPr>
              <w:t xml:space="preserve">520 - Príjmy z úveru (EIB) </w:t>
            </w:r>
          </w:p>
        </w:tc>
        <w:tc>
          <w:tcPr>
            <w:tcW w:w="679" w:type="pct"/>
            <w:tcBorders>
              <w:top w:val="nil"/>
              <w:left w:val="nil"/>
              <w:bottom w:val="single" w:sz="12" w:space="0" w:color="FFFFFF"/>
              <w:right w:val="single" w:sz="12" w:space="0" w:color="FFFFFF"/>
            </w:tcBorders>
            <w:shd w:val="clear" w:color="000000" w:fill="F2F2F2"/>
            <w:vAlign w:val="center"/>
            <w:hideMark/>
          </w:tcPr>
          <w:p w14:paraId="30D37B5F"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7 000 000,00</w:t>
            </w:r>
          </w:p>
        </w:tc>
        <w:tc>
          <w:tcPr>
            <w:tcW w:w="611" w:type="pct"/>
            <w:tcBorders>
              <w:top w:val="nil"/>
              <w:left w:val="nil"/>
              <w:bottom w:val="single" w:sz="12" w:space="0" w:color="FFFFFF"/>
              <w:right w:val="single" w:sz="12" w:space="0" w:color="FFFFFF"/>
            </w:tcBorders>
            <w:shd w:val="clear" w:color="000000" w:fill="F2F2F2"/>
            <w:vAlign w:val="center"/>
            <w:hideMark/>
          </w:tcPr>
          <w:p w14:paraId="3C30C773"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5 780 160,00</w:t>
            </w:r>
          </w:p>
        </w:tc>
        <w:tc>
          <w:tcPr>
            <w:tcW w:w="679" w:type="pct"/>
            <w:tcBorders>
              <w:top w:val="nil"/>
              <w:left w:val="nil"/>
              <w:bottom w:val="single" w:sz="12" w:space="0" w:color="FFFFFF"/>
              <w:right w:val="single" w:sz="12" w:space="0" w:color="FFFFFF"/>
            </w:tcBorders>
            <w:shd w:val="clear" w:color="000000" w:fill="F2F2F2"/>
            <w:vAlign w:val="center"/>
            <w:hideMark/>
          </w:tcPr>
          <w:p w14:paraId="36605BBF"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6 000 000,00</w:t>
            </w:r>
          </w:p>
        </w:tc>
        <w:tc>
          <w:tcPr>
            <w:tcW w:w="590" w:type="pct"/>
            <w:tcBorders>
              <w:top w:val="nil"/>
              <w:left w:val="nil"/>
              <w:bottom w:val="single" w:sz="12" w:space="0" w:color="FFFFFF"/>
              <w:right w:val="single" w:sz="12" w:space="0" w:color="FFFFFF"/>
            </w:tcBorders>
            <w:shd w:val="clear" w:color="000000" w:fill="F2F2F2"/>
            <w:vAlign w:val="center"/>
            <w:hideMark/>
          </w:tcPr>
          <w:p w14:paraId="29AC877A"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6 000 000,00</w:t>
            </w:r>
          </w:p>
        </w:tc>
        <w:tc>
          <w:tcPr>
            <w:tcW w:w="496" w:type="pct"/>
            <w:tcBorders>
              <w:top w:val="nil"/>
              <w:left w:val="nil"/>
              <w:bottom w:val="single" w:sz="12" w:space="0" w:color="FFFFFF"/>
              <w:right w:val="single" w:sz="12" w:space="0" w:color="FFFFFF"/>
            </w:tcBorders>
            <w:shd w:val="clear" w:color="000000" w:fill="F2F2F2"/>
            <w:vAlign w:val="center"/>
            <w:hideMark/>
          </w:tcPr>
          <w:p w14:paraId="5AD62C09" w14:textId="1EFE8C00"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100</w:t>
            </w:r>
            <w:r w:rsidR="00C57DF4">
              <w:rPr>
                <w:rFonts w:cs="Calibri"/>
                <w:color w:val="000000"/>
                <w:sz w:val="18"/>
                <w:szCs w:val="18"/>
                <w:lang w:eastAsia="sk-SK"/>
              </w:rPr>
              <w:t>,00</w:t>
            </w:r>
            <w:r w:rsidRPr="00BE6CB9">
              <w:rPr>
                <w:rFonts w:cs="Calibri"/>
                <w:color w:val="000000"/>
                <w:sz w:val="18"/>
                <w:szCs w:val="18"/>
                <w:lang w:eastAsia="sk-SK"/>
              </w:rPr>
              <w:t>%</w:t>
            </w:r>
          </w:p>
        </w:tc>
        <w:tc>
          <w:tcPr>
            <w:tcW w:w="593" w:type="pct"/>
            <w:tcBorders>
              <w:top w:val="nil"/>
              <w:left w:val="nil"/>
              <w:bottom w:val="single" w:sz="12" w:space="0" w:color="FFFFFF"/>
              <w:right w:val="single" w:sz="12" w:space="0" w:color="FFFFFF"/>
            </w:tcBorders>
            <w:shd w:val="clear" w:color="000000" w:fill="F2F2F2"/>
            <w:vAlign w:val="center"/>
            <w:hideMark/>
          </w:tcPr>
          <w:p w14:paraId="65643181" w14:textId="77777777" w:rsidR="00BE6CB9" w:rsidRPr="00BE6CB9" w:rsidRDefault="00BE6CB9" w:rsidP="00BE6CB9">
            <w:pPr>
              <w:spacing w:after="0" w:line="240" w:lineRule="auto"/>
              <w:jc w:val="right"/>
              <w:rPr>
                <w:rFonts w:cs="Calibri"/>
                <w:color w:val="000000"/>
                <w:sz w:val="18"/>
                <w:szCs w:val="18"/>
                <w:lang w:eastAsia="sk-SK"/>
              </w:rPr>
            </w:pPr>
            <w:r w:rsidRPr="00BE6CB9">
              <w:rPr>
                <w:rFonts w:cs="Calibri"/>
                <w:color w:val="000000"/>
                <w:sz w:val="18"/>
                <w:szCs w:val="18"/>
                <w:lang w:eastAsia="sk-SK"/>
              </w:rPr>
              <w:t>219 840,00</w:t>
            </w:r>
          </w:p>
        </w:tc>
      </w:tr>
      <w:tr w:rsidR="00927176" w:rsidRPr="00BE6CB9" w14:paraId="2CF5EE74" w14:textId="77777777" w:rsidTr="00927176">
        <w:trPr>
          <w:trHeight w:val="573"/>
        </w:trPr>
        <w:tc>
          <w:tcPr>
            <w:tcW w:w="1353" w:type="pct"/>
            <w:tcBorders>
              <w:top w:val="nil"/>
              <w:left w:val="single" w:sz="12" w:space="0" w:color="FFFFFF"/>
              <w:bottom w:val="single" w:sz="12" w:space="0" w:color="FFFFFF"/>
              <w:right w:val="single" w:sz="12" w:space="0" w:color="FFFFFF"/>
            </w:tcBorders>
            <w:shd w:val="clear" w:color="000000" w:fill="8DB3E2"/>
            <w:vAlign w:val="center"/>
            <w:hideMark/>
          </w:tcPr>
          <w:p w14:paraId="62F6725C" w14:textId="77777777" w:rsidR="00BE6CB9" w:rsidRPr="00BE6CB9" w:rsidRDefault="00BE6CB9" w:rsidP="00BE6CB9">
            <w:pPr>
              <w:spacing w:after="0" w:line="240" w:lineRule="auto"/>
              <w:rPr>
                <w:rFonts w:cs="Calibri"/>
                <w:b/>
                <w:bCs/>
                <w:color w:val="000000"/>
                <w:sz w:val="20"/>
                <w:szCs w:val="20"/>
                <w:lang w:eastAsia="sk-SK"/>
              </w:rPr>
            </w:pPr>
            <w:r w:rsidRPr="00BE6CB9">
              <w:rPr>
                <w:rFonts w:cs="Calibri"/>
                <w:b/>
                <w:bCs/>
                <w:color w:val="000000"/>
                <w:sz w:val="20"/>
                <w:szCs w:val="20"/>
                <w:lang w:eastAsia="sk-SK"/>
              </w:rPr>
              <w:t>Celkom</w:t>
            </w:r>
          </w:p>
        </w:tc>
        <w:tc>
          <w:tcPr>
            <w:tcW w:w="679" w:type="pct"/>
            <w:tcBorders>
              <w:top w:val="nil"/>
              <w:left w:val="nil"/>
              <w:bottom w:val="single" w:sz="12" w:space="0" w:color="FFFFFF"/>
              <w:right w:val="single" w:sz="12" w:space="0" w:color="FFFFFF"/>
            </w:tcBorders>
            <w:shd w:val="clear" w:color="000000" w:fill="8DB3E2"/>
            <w:vAlign w:val="center"/>
            <w:hideMark/>
          </w:tcPr>
          <w:p w14:paraId="238E0DA3" w14:textId="77777777" w:rsidR="00BE6CB9" w:rsidRPr="00BE6CB9" w:rsidRDefault="00BE6CB9" w:rsidP="00BE6CB9">
            <w:pPr>
              <w:spacing w:after="0" w:line="240" w:lineRule="auto"/>
              <w:jc w:val="right"/>
              <w:rPr>
                <w:rFonts w:cs="Calibri"/>
                <w:b/>
                <w:bCs/>
                <w:color w:val="000000"/>
                <w:sz w:val="18"/>
                <w:szCs w:val="18"/>
                <w:lang w:eastAsia="sk-SK"/>
              </w:rPr>
            </w:pPr>
            <w:r w:rsidRPr="00BE6CB9">
              <w:rPr>
                <w:rFonts w:cs="Calibri"/>
                <w:b/>
                <w:bCs/>
                <w:color w:val="000000"/>
                <w:sz w:val="18"/>
                <w:szCs w:val="18"/>
                <w:lang w:eastAsia="sk-SK"/>
              </w:rPr>
              <w:t>19 548 920,34</w:t>
            </w:r>
          </w:p>
        </w:tc>
        <w:tc>
          <w:tcPr>
            <w:tcW w:w="611" w:type="pct"/>
            <w:tcBorders>
              <w:top w:val="nil"/>
              <w:left w:val="nil"/>
              <w:bottom w:val="single" w:sz="12" w:space="0" w:color="FFFFFF"/>
              <w:right w:val="single" w:sz="12" w:space="0" w:color="FFFFFF"/>
            </w:tcBorders>
            <w:shd w:val="clear" w:color="000000" w:fill="8DB3E2"/>
            <w:vAlign w:val="center"/>
            <w:hideMark/>
          </w:tcPr>
          <w:p w14:paraId="1BADF45E" w14:textId="77777777" w:rsidR="00BE6CB9" w:rsidRPr="00BE6CB9" w:rsidRDefault="00BE6CB9" w:rsidP="00BE6CB9">
            <w:pPr>
              <w:spacing w:after="0" w:line="240" w:lineRule="auto"/>
              <w:jc w:val="right"/>
              <w:rPr>
                <w:rFonts w:cs="Calibri"/>
                <w:b/>
                <w:bCs/>
                <w:color w:val="000000"/>
                <w:sz w:val="18"/>
                <w:szCs w:val="18"/>
                <w:lang w:eastAsia="sk-SK"/>
              </w:rPr>
            </w:pPr>
            <w:r w:rsidRPr="00BE6CB9">
              <w:rPr>
                <w:rFonts w:cs="Calibri"/>
                <w:b/>
                <w:bCs/>
                <w:color w:val="000000"/>
                <w:sz w:val="18"/>
                <w:szCs w:val="18"/>
                <w:lang w:eastAsia="sk-SK"/>
              </w:rPr>
              <w:t>24 313 596,52</w:t>
            </w:r>
          </w:p>
        </w:tc>
        <w:tc>
          <w:tcPr>
            <w:tcW w:w="679" w:type="pct"/>
            <w:tcBorders>
              <w:top w:val="nil"/>
              <w:left w:val="nil"/>
              <w:bottom w:val="single" w:sz="12" w:space="0" w:color="FFFFFF"/>
              <w:right w:val="single" w:sz="12" w:space="0" w:color="FFFFFF"/>
            </w:tcBorders>
            <w:shd w:val="clear" w:color="000000" w:fill="8DB3E2"/>
            <w:vAlign w:val="center"/>
            <w:hideMark/>
          </w:tcPr>
          <w:p w14:paraId="7B847EEE" w14:textId="77777777" w:rsidR="00BE6CB9" w:rsidRPr="00BE6CB9" w:rsidRDefault="00BE6CB9" w:rsidP="00BE6CB9">
            <w:pPr>
              <w:spacing w:after="0" w:line="240" w:lineRule="auto"/>
              <w:jc w:val="right"/>
              <w:rPr>
                <w:rFonts w:cs="Calibri"/>
                <w:b/>
                <w:bCs/>
                <w:color w:val="000000"/>
                <w:sz w:val="18"/>
                <w:szCs w:val="18"/>
                <w:lang w:eastAsia="sk-SK"/>
              </w:rPr>
            </w:pPr>
            <w:r w:rsidRPr="00BE6CB9">
              <w:rPr>
                <w:rFonts w:cs="Calibri"/>
                <w:b/>
                <w:bCs/>
                <w:color w:val="000000"/>
                <w:sz w:val="18"/>
                <w:szCs w:val="18"/>
                <w:lang w:eastAsia="sk-SK"/>
              </w:rPr>
              <w:t>20 918 057,12</w:t>
            </w:r>
          </w:p>
        </w:tc>
        <w:tc>
          <w:tcPr>
            <w:tcW w:w="590" w:type="pct"/>
            <w:tcBorders>
              <w:top w:val="nil"/>
              <w:left w:val="nil"/>
              <w:bottom w:val="single" w:sz="12" w:space="0" w:color="FFFFFF"/>
              <w:right w:val="single" w:sz="12" w:space="0" w:color="FFFFFF"/>
            </w:tcBorders>
            <w:shd w:val="clear" w:color="000000" w:fill="8DB3E2"/>
            <w:vAlign w:val="center"/>
            <w:hideMark/>
          </w:tcPr>
          <w:p w14:paraId="250666ED" w14:textId="25AA2395" w:rsidR="00BE6CB9" w:rsidRPr="00BE6CB9" w:rsidRDefault="00C57DF4" w:rsidP="00BE6CB9">
            <w:pPr>
              <w:spacing w:after="0" w:line="240" w:lineRule="auto"/>
              <w:jc w:val="right"/>
              <w:rPr>
                <w:rFonts w:cs="Calibri"/>
                <w:b/>
                <w:bCs/>
                <w:color w:val="000000"/>
                <w:sz w:val="18"/>
                <w:szCs w:val="18"/>
                <w:lang w:eastAsia="sk-SK"/>
              </w:rPr>
            </w:pPr>
            <w:r w:rsidRPr="00C57DF4">
              <w:rPr>
                <w:rFonts w:cs="Calibri"/>
                <w:b/>
                <w:bCs/>
                <w:color w:val="000000"/>
                <w:sz w:val="18"/>
                <w:szCs w:val="18"/>
                <w:lang w:eastAsia="sk-SK"/>
              </w:rPr>
              <w:t>16 851 529,99</w:t>
            </w:r>
          </w:p>
        </w:tc>
        <w:tc>
          <w:tcPr>
            <w:tcW w:w="496" w:type="pct"/>
            <w:tcBorders>
              <w:top w:val="nil"/>
              <w:left w:val="nil"/>
              <w:bottom w:val="single" w:sz="12" w:space="0" w:color="FFFFFF"/>
              <w:right w:val="single" w:sz="12" w:space="0" w:color="FFFFFF"/>
            </w:tcBorders>
            <w:shd w:val="clear" w:color="000000" w:fill="8DB3E2"/>
            <w:vAlign w:val="center"/>
            <w:hideMark/>
          </w:tcPr>
          <w:p w14:paraId="01A74C52" w14:textId="4AB4C972" w:rsidR="00BE6CB9" w:rsidRPr="00BE6CB9" w:rsidRDefault="00C57DF4" w:rsidP="00BE6CB9">
            <w:pPr>
              <w:spacing w:after="0" w:line="240" w:lineRule="auto"/>
              <w:jc w:val="right"/>
              <w:rPr>
                <w:rFonts w:cs="Calibri"/>
                <w:b/>
                <w:bCs/>
                <w:color w:val="000000"/>
                <w:sz w:val="18"/>
                <w:szCs w:val="18"/>
                <w:lang w:eastAsia="sk-SK"/>
              </w:rPr>
            </w:pPr>
            <w:r>
              <w:rPr>
                <w:rFonts w:cs="Calibri"/>
                <w:b/>
                <w:bCs/>
                <w:color w:val="000000"/>
                <w:sz w:val="18"/>
                <w:szCs w:val="18"/>
                <w:lang w:eastAsia="sk-SK"/>
              </w:rPr>
              <w:t>80,56</w:t>
            </w:r>
            <w:r w:rsidR="00BE6CB9" w:rsidRPr="00BE6CB9">
              <w:rPr>
                <w:rFonts w:cs="Calibri"/>
                <w:b/>
                <w:bCs/>
                <w:color w:val="000000"/>
                <w:sz w:val="18"/>
                <w:szCs w:val="18"/>
                <w:lang w:eastAsia="sk-SK"/>
              </w:rPr>
              <w:t>%</w:t>
            </w:r>
          </w:p>
        </w:tc>
        <w:tc>
          <w:tcPr>
            <w:tcW w:w="593" w:type="pct"/>
            <w:tcBorders>
              <w:top w:val="nil"/>
              <w:left w:val="nil"/>
              <w:bottom w:val="single" w:sz="12" w:space="0" w:color="FFFFFF"/>
              <w:right w:val="single" w:sz="12" w:space="0" w:color="FFFFFF"/>
            </w:tcBorders>
            <w:shd w:val="clear" w:color="000000" w:fill="8DB3E2"/>
            <w:vAlign w:val="center"/>
            <w:hideMark/>
          </w:tcPr>
          <w:p w14:paraId="0A279E70" w14:textId="77777777" w:rsidR="00BE6CB9" w:rsidRPr="00BE6CB9" w:rsidRDefault="00BE6CB9" w:rsidP="00BE6CB9">
            <w:pPr>
              <w:spacing w:after="0" w:line="240" w:lineRule="auto"/>
              <w:jc w:val="right"/>
              <w:rPr>
                <w:rFonts w:cs="Calibri"/>
                <w:b/>
                <w:bCs/>
                <w:color w:val="000000"/>
                <w:sz w:val="18"/>
                <w:szCs w:val="18"/>
                <w:lang w:eastAsia="sk-SK"/>
              </w:rPr>
            </w:pPr>
            <w:r w:rsidRPr="00BE6CB9">
              <w:rPr>
                <w:rFonts w:cs="Calibri"/>
                <w:b/>
                <w:bCs/>
                <w:color w:val="000000"/>
                <w:sz w:val="18"/>
                <w:szCs w:val="18"/>
                <w:lang w:eastAsia="sk-SK"/>
              </w:rPr>
              <w:t>-3 395 539,40</w:t>
            </w:r>
          </w:p>
        </w:tc>
      </w:tr>
    </w:tbl>
    <w:p w14:paraId="7038F044" w14:textId="53665CB5" w:rsidR="00BE6CB9" w:rsidRDefault="00BE6CB9" w:rsidP="00761018">
      <w:pPr>
        <w:pStyle w:val="Normlnywebov"/>
        <w:jc w:val="both"/>
        <w:rPr>
          <w:rFonts w:ascii="Calibri" w:hAnsi="Calibri" w:cs="Calibri"/>
          <w:color w:val="000000"/>
        </w:rPr>
      </w:pPr>
    </w:p>
    <w:p w14:paraId="10881573" w14:textId="77777777" w:rsidR="00EE1887" w:rsidRDefault="00EE1887" w:rsidP="000D2278">
      <w:pPr>
        <w:pStyle w:val="tl2"/>
        <w:spacing w:after="120"/>
        <w:ind w:left="0" w:firstLine="0"/>
      </w:pPr>
    </w:p>
    <w:p w14:paraId="5D85FB81" w14:textId="7685EF70" w:rsidR="00E614AA" w:rsidRDefault="00E614AA" w:rsidP="000D2278">
      <w:pPr>
        <w:pStyle w:val="tl2"/>
        <w:spacing w:after="120"/>
        <w:ind w:left="0" w:firstLine="0"/>
      </w:pPr>
    </w:p>
    <w:p w14:paraId="0B3FA1AA" w14:textId="2329A18B" w:rsidR="00A6095A" w:rsidRDefault="00A6095A" w:rsidP="000D2278">
      <w:pPr>
        <w:pStyle w:val="tl2"/>
        <w:spacing w:after="120"/>
        <w:ind w:left="0" w:firstLine="0"/>
      </w:pPr>
    </w:p>
    <w:p w14:paraId="0F272079" w14:textId="6B1586AA" w:rsidR="00A6095A" w:rsidRDefault="00A6095A" w:rsidP="000D2278">
      <w:pPr>
        <w:pStyle w:val="tl2"/>
        <w:spacing w:after="120"/>
        <w:ind w:left="0" w:firstLine="0"/>
      </w:pPr>
    </w:p>
    <w:p w14:paraId="33DC1741" w14:textId="09580CDA" w:rsidR="00A6095A" w:rsidRDefault="00A6095A" w:rsidP="000D2278">
      <w:pPr>
        <w:pStyle w:val="tl2"/>
        <w:spacing w:after="120"/>
        <w:ind w:left="0" w:firstLine="0"/>
      </w:pPr>
    </w:p>
    <w:p w14:paraId="11F1AC4A" w14:textId="0B4F6290" w:rsidR="00017596" w:rsidRDefault="00017596" w:rsidP="000D2278">
      <w:pPr>
        <w:pStyle w:val="tl2"/>
        <w:spacing w:after="120"/>
        <w:ind w:left="0" w:firstLine="0"/>
      </w:pPr>
    </w:p>
    <w:p w14:paraId="7F84D2CD" w14:textId="77777777" w:rsidR="008A6B2E" w:rsidRDefault="008A6B2E" w:rsidP="000D2278">
      <w:pPr>
        <w:pStyle w:val="tl2"/>
        <w:spacing w:after="120"/>
        <w:ind w:left="0" w:firstLine="0"/>
      </w:pPr>
    </w:p>
    <w:p w14:paraId="26644D68" w14:textId="70FA562F" w:rsidR="00A6095A" w:rsidRDefault="00A6095A" w:rsidP="000D2278">
      <w:pPr>
        <w:pStyle w:val="tl2"/>
        <w:spacing w:after="120"/>
        <w:ind w:left="0" w:firstLine="0"/>
      </w:pPr>
    </w:p>
    <w:p w14:paraId="4EC94D3F" w14:textId="77777777" w:rsidR="00A6095A" w:rsidRDefault="00A6095A" w:rsidP="000D2278">
      <w:pPr>
        <w:pStyle w:val="tl2"/>
        <w:spacing w:after="120"/>
        <w:ind w:left="0" w:firstLine="0"/>
      </w:pPr>
    </w:p>
    <w:p w14:paraId="780E7574" w14:textId="77777777" w:rsidR="00BE704E" w:rsidRPr="00976C54" w:rsidRDefault="00BE704E" w:rsidP="000D2278">
      <w:pPr>
        <w:pStyle w:val="tl2"/>
        <w:spacing w:after="120"/>
        <w:ind w:left="0" w:firstLine="0"/>
      </w:pPr>
      <w:r w:rsidRPr="00931764">
        <w:lastRenderedPageBreak/>
        <w:t>B.2. Výdavky  a výdavkové finančné operácie</w:t>
      </w:r>
    </w:p>
    <w:p w14:paraId="5DBCCB11" w14:textId="71B2C6D2" w:rsidR="00BE704E" w:rsidRPr="00792B1D" w:rsidRDefault="00BE704E" w:rsidP="00BE704E">
      <w:pPr>
        <w:spacing w:after="0" w:line="240" w:lineRule="auto"/>
        <w:jc w:val="both"/>
        <w:rPr>
          <w:rFonts w:cs="Calibri"/>
          <w:sz w:val="24"/>
          <w:szCs w:val="24"/>
          <w:lang w:eastAsia="sk-SK"/>
        </w:rPr>
      </w:pPr>
      <w:r>
        <w:rPr>
          <w:rFonts w:cs="Calibri"/>
          <w:b/>
          <w:sz w:val="24"/>
          <w:szCs w:val="24"/>
          <w:lang w:eastAsia="sk-SK"/>
        </w:rPr>
        <w:t xml:space="preserve">Schválený rozpočet </w:t>
      </w:r>
      <w:r w:rsidRPr="004D4558">
        <w:rPr>
          <w:rFonts w:cs="Calibri"/>
          <w:b/>
          <w:sz w:val="24"/>
          <w:szCs w:val="24"/>
          <w:u w:val="single"/>
          <w:lang w:eastAsia="sk-SK"/>
        </w:rPr>
        <w:t xml:space="preserve">výdavkov </w:t>
      </w:r>
      <w:r w:rsidRPr="006E6847">
        <w:rPr>
          <w:rFonts w:cs="Calibri"/>
          <w:b/>
          <w:sz w:val="24"/>
          <w:szCs w:val="24"/>
          <w:u w:val="single"/>
          <w:lang w:eastAsia="sk-SK"/>
        </w:rPr>
        <w:t>bez finančných operácii</w:t>
      </w:r>
      <w:r>
        <w:rPr>
          <w:rFonts w:cs="Calibri"/>
          <w:b/>
          <w:sz w:val="24"/>
          <w:szCs w:val="24"/>
          <w:lang w:eastAsia="sk-SK"/>
        </w:rPr>
        <w:t xml:space="preserve"> bol na rok 20</w:t>
      </w:r>
      <w:r w:rsidR="003758B6">
        <w:rPr>
          <w:rFonts w:cs="Calibri"/>
          <w:b/>
          <w:sz w:val="24"/>
          <w:szCs w:val="24"/>
          <w:lang w:eastAsia="sk-SK"/>
        </w:rPr>
        <w:t>20</w:t>
      </w:r>
      <w:r>
        <w:rPr>
          <w:rFonts w:cs="Calibri"/>
          <w:b/>
          <w:sz w:val="24"/>
          <w:szCs w:val="24"/>
          <w:lang w:eastAsia="sk-SK"/>
        </w:rPr>
        <w:t xml:space="preserve"> vo výške  </w:t>
      </w:r>
      <w:r>
        <w:rPr>
          <w:rFonts w:cs="Calibri"/>
          <w:b/>
          <w:sz w:val="24"/>
          <w:szCs w:val="24"/>
          <w:lang w:eastAsia="sk-SK"/>
        </w:rPr>
        <w:br/>
      </w:r>
      <w:r w:rsidR="00910767" w:rsidRPr="00910767">
        <w:rPr>
          <w:rFonts w:cs="Calibri"/>
          <w:b/>
          <w:sz w:val="24"/>
          <w:szCs w:val="24"/>
          <w:lang w:eastAsia="sk-SK"/>
        </w:rPr>
        <w:t>206 632 866,95</w:t>
      </w:r>
      <w:r w:rsidR="00910767">
        <w:rPr>
          <w:rFonts w:cs="Calibri"/>
          <w:b/>
          <w:sz w:val="24"/>
          <w:szCs w:val="24"/>
          <w:lang w:eastAsia="sk-SK"/>
        </w:rPr>
        <w:t xml:space="preserve"> </w:t>
      </w:r>
      <w:r>
        <w:rPr>
          <w:rFonts w:cs="Calibri"/>
          <w:b/>
          <w:sz w:val="24"/>
          <w:szCs w:val="24"/>
          <w:lang w:eastAsia="sk-SK"/>
        </w:rPr>
        <w:t xml:space="preserve">EUR. </w:t>
      </w:r>
      <w:r w:rsidRPr="006E6847">
        <w:rPr>
          <w:rFonts w:cs="Calibri"/>
          <w:sz w:val="24"/>
          <w:szCs w:val="24"/>
          <w:lang w:eastAsia="sk-SK"/>
        </w:rPr>
        <w:t xml:space="preserve">V priebehu roka </w:t>
      </w:r>
      <w:r>
        <w:rPr>
          <w:rFonts w:cs="Calibri"/>
          <w:sz w:val="24"/>
          <w:szCs w:val="24"/>
          <w:lang w:eastAsia="sk-SK"/>
        </w:rPr>
        <w:t xml:space="preserve">sa rozpočtovými opatreniami ich objem </w:t>
      </w:r>
      <w:r w:rsidR="00910767">
        <w:rPr>
          <w:rFonts w:cs="Calibri"/>
          <w:sz w:val="24"/>
          <w:szCs w:val="24"/>
          <w:lang w:eastAsia="sk-SK"/>
        </w:rPr>
        <w:t>znížil</w:t>
      </w:r>
      <w:r>
        <w:rPr>
          <w:rFonts w:cs="Calibri"/>
          <w:sz w:val="24"/>
          <w:szCs w:val="24"/>
          <w:lang w:eastAsia="sk-SK"/>
        </w:rPr>
        <w:t xml:space="preserve"> o cca </w:t>
      </w:r>
      <w:r w:rsidR="00910767">
        <w:rPr>
          <w:rFonts w:cs="Calibri"/>
          <w:sz w:val="24"/>
          <w:szCs w:val="24"/>
          <w:lang w:eastAsia="sk-SK"/>
        </w:rPr>
        <w:t>415 tis.</w:t>
      </w:r>
      <w:r w:rsidRPr="00EF0667">
        <w:rPr>
          <w:rFonts w:cs="Calibri"/>
          <w:sz w:val="24"/>
          <w:szCs w:val="24"/>
          <w:lang w:eastAsia="sk-SK"/>
        </w:rPr>
        <w:t xml:space="preserve"> </w:t>
      </w:r>
      <w:r>
        <w:rPr>
          <w:rFonts w:cs="Calibri"/>
          <w:sz w:val="24"/>
          <w:szCs w:val="24"/>
          <w:lang w:eastAsia="sk-SK"/>
        </w:rPr>
        <w:t xml:space="preserve">EUR na  </w:t>
      </w:r>
      <w:r w:rsidR="00910767">
        <w:rPr>
          <w:rFonts w:cs="Calibri"/>
          <w:sz w:val="24"/>
          <w:szCs w:val="24"/>
          <w:lang w:eastAsia="sk-SK"/>
        </w:rPr>
        <w:br/>
      </w:r>
      <w:r w:rsidR="00910767" w:rsidRPr="00910767">
        <w:rPr>
          <w:rFonts w:cs="Calibri"/>
          <w:b/>
          <w:sz w:val="24"/>
          <w:szCs w:val="24"/>
          <w:lang w:eastAsia="sk-SK"/>
        </w:rPr>
        <w:t>206 217 573,60</w:t>
      </w:r>
      <w:r w:rsidR="00910767">
        <w:rPr>
          <w:rFonts w:cs="Calibri"/>
          <w:b/>
          <w:sz w:val="24"/>
          <w:szCs w:val="24"/>
          <w:lang w:eastAsia="sk-SK"/>
        </w:rPr>
        <w:t xml:space="preserve"> </w:t>
      </w:r>
      <w:r>
        <w:rPr>
          <w:rFonts w:cs="Calibri"/>
          <w:b/>
          <w:sz w:val="24"/>
          <w:szCs w:val="24"/>
          <w:lang w:eastAsia="sk-SK"/>
        </w:rPr>
        <w:t>EUR</w:t>
      </w:r>
      <w:r w:rsidRPr="006E6847">
        <w:rPr>
          <w:rFonts w:cs="Calibri"/>
          <w:b/>
          <w:sz w:val="24"/>
          <w:szCs w:val="24"/>
          <w:lang w:eastAsia="sk-SK"/>
        </w:rPr>
        <w:t>.</w:t>
      </w:r>
      <w:r>
        <w:rPr>
          <w:rFonts w:cs="Calibri"/>
          <w:sz w:val="24"/>
          <w:szCs w:val="24"/>
          <w:lang w:eastAsia="sk-SK"/>
        </w:rPr>
        <w:t xml:space="preserve"> N</w:t>
      </w:r>
      <w:r w:rsidRPr="006E6847">
        <w:rPr>
          <w:rFonts w:cs="Calibri"/>
          <w:sz w:val="24"/>
          <w:szCs w:val="24"/>
          <w:lang w:eastAsia="sk-SK"/>
        </w:rPr>
        <w:t xml:space="preserve">a konci roka dosiahli </w:t>
      </w:r>
      <w:r w:rsidRPr="006E6847">
        <w:rPr>
          <w:rFonts w:cs="Calibri"/>
          <w:b/>
          <w:sz w:val="24"/>
          <w:szCs w:val="24"/>
          <w:u w:val="single"/>
          <w:lang w:eastAsia="sk-SK"/>
        </w:rPr>
        <w:t>výdavky bez finančných operácii</w:t>
      </w:r>
      <w:r w:rsidRPr="006E6847">
        <w:rPr>
          <w:rFonts w:cs="Calibri"/>
          <w:sz w:val="24"/>
          <w:szCs w:val="24"/>
          <w:lang w:eastAsia="sk-SK"/>
        </w:rPr>
        <w:t xml:space="preserve"> výšku </w:t>
      </w:r>
      <w:r w:rsidR="00910767" w:rsidRPr="00910767">
        <w:rPr>
          <w:rFonts w:cs="Calibri"/>
          <w:b/>
          <w:sz w:val="24"/>
          <w:szCs w:val="24"/>
          <w:lang w:eastAsia="sk-SK"/>
        </w:rPr>
        <w:t>165 892 193,11</w:t>
      </w:r>
      <w:r w:rsidR="00910767">
        <w:rPr>
          <w:rFonts w:cs="Calibri"/>
          <w:b/>
          <w:sz w:val="24"/>
          <w:szCs w:val="24"/>
          <w:lang w:eastAsia="sk-SK"/>
        </w:rPr>
        <w:t xml:space="preserve"> </w:t>
      </w:r>
      <w:r>
        <w:rPr>
          <w:rFonts w:cs="Calibri"/>
          <w:b/>
          <w:sz w:val="24"/>
          <w:szCs w:val="24"/>
          <w:lang w:eastAsia="sk-SK"/>
        </w:rPr>
        <w:t xml:space="preserve">EUR, čo predstavuje </w:t>
      </w:r>
      <w:r w:rsidR="00910767">
        <w:rPr>
          <w:rFonts w:cs="Calibri"/>
          <w:b/>
          <w:sz w:val="24"/>
          <w:szCs w:val="24"/>
          <w:lang w:eastAsia="sk-SK"/>
        </w:rPr>
        <w:t>99,80</w:t>
      </w:r>
      <w:r w:rsidRPr="00E95DD0">
        <w:rPr>
          <w:rFonts w:cs="Calibri"/>
          <w:b/>
          <w:sz w:val="24"/>
          <w:szCs w:val="24"/>
          <w:lang w:eastAsia="sk-SK"/>
        </w:rPr>
        <w:t>%</w:t>
      </w:r>
      <w:r>
        <w:rPr>
          <w:rFonts w:cs="Calibri"/>
          <w:b/>
          <w:sz w:val="24"/>
          <w:szCs w:val="24"/>
          <w:lang w:eastAsia="sk-SK"/>
        </w:rPr>
        <w:t>-</w:t>
      </w:r>
      <w:proofErr w:type="spellStart"/>
      <w:r>
        <w:rPr>
          <w:rFonts w:cs="Calibri"/>
          <w:b/>
          <w:sz w:val="24"/>
          <w:szCs w:val="24"/>
          <w:lang w:eastAsia="sk-SK"/>
        </w:rPr>
        <w:t>né</w:t>
      </w:r>
      <w:proofErr w:type="spellEnd"/>
      <w:r>
        <w:rPr>
          <w:rFonts w:cs="Calibri"/>
          <w:b/>
          <w:sz w:val="24"/>
          <w:szCs w:val="24"/>
          <w:lang w:eastAsia="sk-SK"/>
        </w:rPr>
        <w:t xml:space="preserve"> plnenie rozpočtu. </w:t>
      </w:r>
      <w:r w:rsidRPr="00E26E32">
        <w:rPr>
          <w:rFonts w:cs="Calibri"/>
          <w:b/>
          <w:sz w:val="24"/>
          <w:szCs w:val="24"/>
          <w:lang w:eastAsia="sk-SK"/>
        </w:rPr>
        <w:t xml:space="preserve"> </w:t>
      </w:r>
    </w:p>
    <w:p w14:paraId="2EC7229E" w14:textId="77777777" w:rsidR="00BE704E" w:rsidRDefault="00BE704E" w:rsidP="00BE704E">
      <w:pPr>
        <w:spacing w:after="0" w:line="240" w:lineRule="auto"/>
        <w:ind w:firstLine="708"/>
        <w:jc w:val="both"/>
        <w:rPr>
          <w:rFonts w:cs="Calibri"/>
          <w:sz w:val="24"/>
          <w:szCs w:val="24"/>
          <w:lang w:eastAsia="sk-SK"/>
        </w:rPr>
      </w:pPr>
    </w:p>
    <w:p w14:paraId="1DBE0E31" w14:textId="3902038B" w:rsidR="00BE704E" w:rsidRDefault="00BE704E" w:rsidP="00830CF2">
      <w:pPr>
        <w:spacing w:after="120" w:line="240" w:lineRule="auto"/>
        <w:jc w:val="both"/>
        <w:rPr>
          <w:rFonts w:cs="Calibri"/>
          <w:sz w:val="24"/>
          <w:szCs w:val="24"/>
          <w:lang w:eastAsia="sk-SK"/>
        </w:rPr>
      </w:pPr>
      <w:r>
        <w:rPr>
          <w:rFonts w:cs="Calibri"/>
          <w:sz w:val="24"/>
          <w:szCs w:val="24"/>
          <w:lang w:eastAsia="sk-SK"/>
        </w:rPr>
        <w:t>N</w:t>
      </w:r>
      <w:r w:rsidRPr="006E6847">
        <w:rPr>
          <w:rFonts w:cs="Calibri"/>
          <w:sz w:val="24"/>
          <w:szCs w:val="24"/>
          <w:lang w:eastAsia="sk-SK"/>
        </w:rPr>
        <w:t>a konc</w:t>
      </w:r>
      <w:r>
        <w:rPr>
          <w:rFonts w:cs="Calibri"/>
          <w:sz w:val="24"/>
          <w:szCs w:val="24"/>
          <w:lang w:eastAsia="sk-SK"/>
        </w:rPr>
        <w:t>i</w:t>
      </w:r>
      <w:r w:rsidRPr="006E6847">
        <w:rPr>
          <w:rFonts w:cs="Calibri"/>
          <w:sz w:val="24"/>
          <w:szCs w:val="24"/>
          <w:lang w:eastAsia="sk-SK"/>
        </w:rPr>
        <w:t xml:space="preserve"> roka</w:t>
      </w:r>
      <w:r>
        <w:rPr>
          <w:rFonts w:cs="Calibri"/>
          <w:b/>
          <w:sz w:val="24"/>
          <w:szCs w:val="24"/>
          <w:lang w:eastAsia="sk-SK"/>
        </w:rPr>
        <w:t xml:space="preserve"> </w:t>
      </w:r>
      <w:r w:rsidRPr="008640FA">
        <w:rPr>
          <w:rFonts w:cs="Calibri"/>
          <w:sz w:val="24"/>
          <w:szCs w:val="24"/>
          <w:lang w:eastAsia="sk-SK"/>
        </w:rPr>
        <w:t xml:space="preserve"> </w:t>
      </w:r>
      <w:r w:rsidRPr="001568E9">
        <w:rPr>
          <w:rFonts w:cs="Calibri"/>
          <w:b/>
          <w:sz w:val="24"/>
          <w:szCs w:val="24"/>
          <w:lang w:eastAsia="sk-SK"/>
        </w:rPr>
        <w:t>b</w:t>
      </w:r>
      <w:r>
        <w:rPr>
          <w:rFonts w:cs="Calibri"/>
          <w:b/>
          <w:sz w:val="24"/>
          <w:szCs w:val="24"/>
          <w:lang w:eastAsia="sk-SK"/>
        </w:rPr>
        <w:t xml:space="preserve">ežné výdavky </w:t>
      </w:r>
      <w:r w:rsidRPr="006E6847">
        <w:rPr>
          <w:rFonts w:cs="Calibri"/>
          <w:sz w:val="24"/>
          <w:szCs w:val="24"/>
          <w:lang w:eastAsia="sk-SK"/>
        </w:rPr>
        <w:t xml:space="preserve">dosiahli </w:t>
      </w:r>
      <w:r w:rsidRPr="00BE217D">
        <w:rPr>
          <w:rFonts w:cs="Calibri"/>
          <w:sz w:val="24"/>
          <w:szCs w:val="24"/>
          <w:lang w:eastAsia="sk-SK"/>
        </w:rPr>
        <w:t>výšk</w:t>
      </w:r>
      <w:r>
        <w:rPr>
          <w:rFonts w:cs="Calibri"/>
          <w:sz w:val="24"/>
          <w:szCs w:val="24"/>
          <w:lang w:eastAsia="sk-SK"/>
        </w:rPr>
        <w:t>u</w:t>
      </w:r>
      <w:r w:rsidRPr="002A057C">
        <w:rPr>
          <w:rFonts w:cs="Calibri"/>
          <w:b/>
          <w:sz w:val="24"/>
          <w:szCs w:val="24"/>
          <w:lang w:eastAsia="sk-SK"/>
        </w:rPr>
        <w:t xml:space="preserve"> </w:t>
      </w:r>
      <w:r w:rsidR="00910767" w:rsidRPr="00910767">
        <w:rPr>
          <w:rFonts w:cs="Calibri"/>
          <w:b/>
          <w:sz w:val="24"/>
          <w:szCs w:val="24"/>
          <w:lang w:eastAsia="sk-SK"/>
        </w:rPr>
        <w:t>155 827 379,05</w:t>
      </w:r>
      <w:r w:rsidR="00910767">
        <w:rPr>
          <w:rFonts w:cs="Calibri"/>
          <w:b/>
          <w:sz w:val="24"/>
          <w:szCs w:val="24"/>
          <w:lang w:eastAsia="sk-SK"/>
        </w:rPr>
        <w:t xml:space="preserve"> </w:t>
      </w:r>
      <w:r w:rsidRPr="002A057C">
        <w:rPr>
          <w:rFonts w:cs="Calibri"/>
          <w:b/>
          <w:sz w:val="24"/>
          <w:szCs w:val="24"/>
          <w:lang w:eastAsia="sk-SK"/>
        </w:rPr>
        <w:t>EUR</w:t>
      </w:r>
      <w:r>
        <w:rPr>
          <w:rFonts w:cs="Calibri"/>
          <w:b/>
          <w:sz w:val="24"/>
          <w:szCs w:val="24"/>
          <w:lang w:eastAsia="sk-SK"/>
        </w:rPr>
        <w:t xml:space="preserve">, t. z. čerpanie na </w:t>
      </w:r>
      <w:r w:rsidR="00910767">
        <w:rPr>
          <w:rFonts w:cs="Calibri"/>
          <w:b/>
          <w:sz w:val="24"/>
          <w:szCs w:val="24"/>
          <w:lang w:eastAsia="sk-SK"/>
        </w:rPr>
        <w:t>101,93</w:t>
      </w:r>
      <w:r w:rsidRPr="00DE37C3">
        <w:rPr>
          <w:rFonts w:cs="Calibri"/>
          <w:b/>
          <w:sz w:val="24"/>
          <w:szCs w:val="24"/>
          <w:lang w:eastAsia="sk-SK"/>
        </w:rPr>
        <w:t>%</w:t>
      </w:r>
      <w:r>
        <w:rPr>
          <w:rFonts w:cs="Calibri"/>
          <w:b/>
          <w:sz w:val="24"/>
          <w:szCs w:val="24"/>
          <w:lang w:eastAsia="sk-SK"/>
        </w:rPr>
        <w:t xml:space="preserve"> a kapitálové výdavky </w:t>
      </w:r>
      <w:r w:rsidRPr="006E6847">
        <w:rPr>
          <w:rFonts w:cs="Calibri"/>
          <w:sz w:val="24"/>
          <w:szCs w:val="24"/>
          <w:lang w:eastAsia="sk-SK"/>
        </w:rPr>
        <w:t>objem</w:t>
      </w:r>
      <w:r>
        <w:rPr>
          <w:rFonts w:cs="Calibri"/>
          <w:b/>
          <w:sz w:val="24"/>
          <w:szCs w:val="24"/>
          <w:lang w:eastAsia="sk-SK"/>
        </w:rPr>
        <w:t xml:space="preserve"> </w:t>
      </w:r>
      <w:r w:rsidR="00910767" w:rsidRPr="00910767">
        <w:rPr>
          <w:rFonts w:cs="Calibri"/>
          <w:b/>
          <w:sz w:val="24"/>
          <w:szCs w:val="24"/>
          <w:lang w:eastAsia="sk-SK"/>
        </w:rPr>
        <w:t>10 064 814,06</w:t>
      </w:r>
      <w:r w:rsidR="00910767">
        <w:rPr>
          <w:rFonts w:cs="Calibri"/>
          <w:b/>
          <w:sz w:val="24"/>
          <w:szCs w:val="24"/>
          <w:lang w:eastAsia="sk-SK"/>
        </w:rPr>
        <w:t xml:space="preserve"> </w:t>
      </w:r>
      <w:r>
        <w:rPr>
          <w:rFonts w:cs="Calibri"/>
          <w:b/>
          <w:sz w:val="24"/>
          <w:szCs w:val="24"/>
          <w:lang w:eastAsia="sk-SK"/>
        </w:rPr>
        <w:t xml:space="preserve">EUR, t. z. čerpanie na </w:t>
      </w:r>
      <w:r w:rsidR="00910767">
        <w:rPr>
          <w:rFonts w:cs="Calibri"/>
          <w:b/>
          <w:sz w:val="24"/>
          <w:szCs w:val="24"/>
          <w:lang w:eastAsia="sk-SK"/>
        </w:rPr>
        <w:t>89,60</w:t>
      </w:r>
      <w:r>
        <w:rPr>
          <w:rFonts w:cs="Calibri"/>
          <w:b/>
          <w:sz w:val="24"/>
          <w:szCs w:val="24"/>
          <w:lang w:eastAsia="sk-SK"/>
        </w:rPr>
        <w:t xml:space="preserve"> </w:t>
      </w:r>
      <w:r w:rsidRPr="00DE37C3">
        <w:rPr>
          <w:rFonts w:cs="Calibri"/>
          <w:b/>
          <w:sz w:val="24"/>
          <w:szCs w:val="24"/>
          <w:lang w:eastAsia="sk-SK"/>
        </w:rPr>
        <w:t>%</w:t>
      </w:r>
      <w:r>
        <w:rPr>
          <w:rFonts w:cs="Calibri"/>
          <w:b/>
          <w:sz w:val="24"/>
          <w:szCs w:val="24"/>
          <w:lang w:eastAsia="sk-SK"/>
        </w:rPr>
        <w:t xml:space="preserve">. </w:t>
      </w:r>
      <w:r w:rsidRPr="00E35DD0">
        <w:rPr>
          <w:rFonts w:cs="Calibri"/>
          <w:sz w:val="24"/>
          <w:szCs w:val="24"/>
          <w:lang w:eastAsia="sk-SK"/>
        </w:rPr>
        <w:t>M</w:t>
      </w:r>
      <w:r>
        <w:rPr>
          <w:rFonts w:cs="Calibri"/>
          <w:sz w:val="24"/>
          <w:szCs w:val="24"/>
          <w:lang w:eastAsia="sk-SK"/>
        </w:rPr>
        <w:t>edziročne</w:t>
      </w:r>
      <w:r w:rsidRPr="001568E9">
        <w:rPr>
          <w:rFonts w:cs="Calibri"/>
          <w:sz w:val="24"/>
          <w:szCs w:val="24"/>
          <w:lang w:eastAsia="sk-SK"/>
        </w:rPr>
        <w:t xml:space="preserve"> </w:t>
      </w:r>
      <w:r>
        <w:rPr>
          <w:rFonts w:cs="Calibri"/>
          <w:sz w:val="24"/>
          <w:szCs w:val="24"/>
          <w:lang w:eastAsia="sk-SK"/>
        </w:rPr>
        <w:t>č</w:t>
      </w:r>
      <w:r w:rsidRPr="001568E9">
        <w:rPr>
          <w:rFonts w:cs="Calibri"/>
          <w:sz w:val="24"/>
          <w:szCs w:val="24"/>
          <w:lang w:eastAsia="sk-SK"/>
        </w:rPr>
        <w:t>erpani</w:t>
      </w:r>
      <w:r w:rsidR="007F72B9">
        <w:rPr>
          <w:rFonts w:cs="Calibri"/>
          <w:sz w:val="24"/>
          <w:szCs w:val="24"/>
          <w:lang w:eastAsia="sk-SK"/>
        </w:rPr>
        <w:t>e</w:t>
      </w:r>
      <w:r w:rsidRPr="001568E9">
        <w:rPr>
          <w:rFonts w:cs="Calibri"/>
          <w:sz w:val="24"/>
          <w:szCs w:val="24"/>
          <w:lang w:eastAsia="sk-SK"/>
        </w:rPr>
        <w:t xml:space="preserve"> </w:t>
      </w:r>
      <w:r>
        <w:rPr>
          <w:rFonts w:cs="Calibri"/>
          <w:sz w:val="24"/>
          <w:szCs w:val="24"/>
          <w:lang w:eastAsia="sk-SK"/>
        </w:rPr>
        <w:t xml:space="preserve">bežných výdavkov vrástlo cca </w:t>
      </w:r>
      <w:r w:rsidR="00FA56A3">
        <w:rPr>
          <w:rFonts w:cs="Calibri"/>
          <w:sz w:val="24"/>
          <w:szCs w:val="24"/>
          <w:lang w:eastAsia="sk-SK"/>
        </w:rPr>
        <w:t xml:space="preserve">o 1,6 </w:t>
      </w:r>
      <w:proofErr w:type="spellStart"/>
      <w:r w:rsidR="00FA56A3">
        <w:rPr>
          <w:rFonts w:cs="Calibri"/>
          <w:sz w:val="24"/>
          <w:szCs w:val="24"/>
          <w:lang w:eastAsia="sk-SK"/>
        </w:rPr>
        <w:t>mil</w:t>
      </w:r>
      <w:proofErr w:type="spellEnd"/>
      <w:r w:rsidR="00FA56A3">
        <w:rPr>
          <w:rFonts w:cs="Calibri"/>
          <w:sz w:val="24"/>
          <w:szCs w:val="24"/>
          <w:lang w:eastAsia="sk-SK"/>
        </w:rPr>
        <w:t xml:space="preserve"> EUR (nárast </w:t>
      </w:r>
      <w:r>
        <w:rPr>
          <w:rFonts w:cs="Calibri"/>
          <w:sz w:val="24"/>
          <w:szCs w:val="24"/>
          <w:lang w:eastAsia="sk-SK"/>
        </w:rPr>
        <w:t>o</w:t>
      </w:r>
      <w:r w:rsidR="00910767">
        <w:rPr>
          <w:rFonts w:cs="Calibri"/>
          <w:sz w:val="24"/>
          <w:szCs w:val="24"/>
          <w:lang w:eastAsia="sk-SK"/>
        </w:rPr>
        <w:t> </w:t>
      </w:r>
      <w:r w:rsidR="007F72B9">
        <w:rPr>
          <w:rFonts w:cs="Calibri"/>
          <w:sz w:val="24"/>
          <w:szCs w:val="24"/>
          <w:lang w:eastAsia="sk-SK"/>
        </w:rPr>
        <w:t>1</w:t>
      </w:r>
      <w:r w:rsidR="00910767">
        <w:rPr>
          <w:rFonts w:cs="Calibri"/>
          <w:sz w:val="24"/>
          <w:szCs w:val="24"/>
          <w:lang w:eastAsia="sk-SK"/>
        </w:rPr>
        <w:t>,04</w:t>
      </w:r>
      <w:r>
        <w:rPr>
          <w:rFonts w:cs="Calibri"/>
          <w:sz w:val="24"/>
          <w:szCs w:val="24"/>
          <w:lang w:eastAsia="sk-SK"/>
        </w:rPr>
        <w:t>%</w:t>
      </w:r>
      <w:r w:rsidR="00FA56A3">
        <w:rPr>
          <w:rFonts w:cs="Calibri"/>
          <w:sz w:val="24"/>
          <w:szCs w:val="24"/>
          <w:lang w:eastAsia="sk-SK"/>
        </w:rPr>
        <w:t xml:space="preserve">) </w:t>
      </w:r>
      <w:r>
        <w:rPr>
          <w:rFonts w:cs="Calibri"/>
          <w:sz w:val="24"/>
          <w:szCs w:val="24"/>
          <w:lang w:eastAsia="sk-SK"/>
        </w:rPr>
        <w:t xml:space="preserve">a </w:t>
      </w:r>
      <w:r w:rsidRPr="001568E9">
        <w:rPr>
          <w:rFonts w:cs="Calibri"/>
          <w:sz w:val="24"/>
          <w:szCs w:val="24"/>
          <w:lang w:eastAsia="sk-SK"/>
        </w:rPr>
        <w:t xml:space="preserve">kapitálových výdavkov </w:t>
      </w:r>
      <w:r w:rsidR="007F72B9">
        <w:rPr>
          <w:rFonts w:cs="Calibri"/>
          <w:sz w:val="24"/>
          <w:szCs w:val="24"/>
          <w:lang w:eastAsia="sk-SK"/>
        </w:rPr>
        <w:t>pokleslo</w:t>
      </w:r>
      <w:r>
        <w:rPr>
          <w:rFonts w:cs="Calibri"/>
          <w:sz w:val="24"/>
          <w:szCs w:val="24"/>
          <w:lang w:eastAsia="sk-SK"/>
        </w:rPr>
        <w:t xml:space="preserve"> cca  </w:t>
      </w:r>
      <w:r w:rsidR="00FA56A3">
        <w:rPr>
          <w:rFonts w:cs="Calibri"/>
          <w:sz w:val="24"/>
          <w:szCs w:val="24"/>
          <w:lang w:eastAsia="sk-SK"/>
        </w:rPr>
        <w:t xml:space="preserve">o 13,7 </w:t>
      </w:r>
      <w:proofErr w:type="spellStart"/>
      <w:r w:rsidR="00FA56A3">
        <w:rPr>
          <w:rFonts w:cs="Calibri"/>
          <w:sz w:val="24"/>
          <w:szCs w:val="24"/>
          <w:lang w:eastAsia="sk-SK"/>
        </w:rPr>
        <w:t>mil</w:t>
      </w:r>
      <w:proofErr w:type="spellEnd"/>
      <w:r w:rsidR="00FA56A3">
        <w:rPr>
          <w:rFonts w:cs="Calibri"/>
          <w:sz w:val="24"/>
          <w:szCs w:val="24"/>
          <w:lang w:eastAsia="sk-SK"/>
        </w:rPr>
        <w:t xml:space="preserve"> EUR </w:t>
      </w:r>
      <w:r>
        <w:rPr>
          <w:rFonts w:cs="Calibri"/>
          <w:sz w:val="24"/>
          <w:szCs w:val="24"/>
          <w:lang w:eastAsia="sk-SK"/>
        </w:rPr>
        <w:t>o</w:t>
      </w:r>
      <w:r w:rsidR="00910767">
        <w:rPr>
          <w:rFonts w:cs="Calibri"/>
          <w:sz w:val="24"/>
          <w:szCs w:val="24"/>
          <w:lang w:eastAsia="sk-SK"/>
        </w:rPr>
        <w:t> </w:t>
      </w:r>
      <w:r w:rsidR="007F72B9">
        <w:rPr>
          <w:rFonts w:cs="Calibri"/>
          <w:sz w:val="24"/>
          <w:szCs w:val="24"/>
          <w:lang w:eastAsia="sk-SK"/>
        </w:rPr>
        <w:t xml:space="preserve">(cca </w:t>
      </w:r>
      <w:r w:rsidR="00FA56A3">
        <w:rPr>
          <w:rFonts w:cs="Calibri"/>
          <w:sz w:val="24"/>
          <w:szCs w:val="24"/>
          <w:lang w:eastAsia="sk-SK"/>
        </w:rPr>
        <w:t>57,75%</w:t>
      </w:r>
      <w:r w:rsidR="007F72B9">
        <w:rPr>
          <w:rFonts w:cs="Calibri"/>
          <w:sz w:val="24"/>
          <w:szCs w:val="24"/>
          <w:lang w:eastAsia="sk-SK"/>
        </w:rPr>
        <w:t>).</w:t>
      </w:r>
      <w:r w:rsidR="008F61E8">
        <w:rPr>
          <w:rFonts w:cs="Calibri"/>
          <w:sz w:val="24"/>
          <w:szCs w:val="24"/>
          <w:lang w:eastAsia="sk-SK"/>
        </w:rPr>
        <w:t xml:space="preserve"> </w:t>
      </w:r>
      <w:r w:rsidRPr="006E6847">
        <w:rPr>
          <w:rFonts w:cs="Calibri"/>
          <w:b/>
          <w:sz w:val="24"/>
          <w:szCs w:val="24"/>
          <w:lang w:eastAsia="sk-SK"/>
        </w:rPr>
        <w:t>V</w:t>
      </w:r>
      <w:r w:rsidRPr="008640FA">
        <w:rPr>
          <w:rFonts w:cs="Calibri"/>
          <w:b/>
          <w:sz w:val="24"/>
          <w:szCs w:val="24"/>
          <w:lang w:eastAsia="sk-SK"/>
        </w:rPr>
        <w:t>ýdavkové finančné operácie</w:t>
      </w:r>
      <w:r>
        <w:rPr>
          <w:rFonts w:cs="Calibri"/>
          <w:b/>
          <w:sz w:val="24"/>
          <w:szCs w:val="24"/>
          <w:lang w:eastAsia="sk-SK"/>
        </w:rPr>
        <w:t xml:space="preserve"> dosiahli na konci roka úroveň </w:t>
      </w:r>
      <w:r w:rsidR="00D65730" w:rsidRPr="00D65730">
        <w:rPr>
          <w:rFonts w:cs="Calibri"/>
          <w:b/>
          <w:sz w:val="24"/>
          <w:szCs w:val="24"/>
          <w:lang w:eastAsia="sk-SK"/>
        </w:rPr>
        <w:t>4 556 130,35</w:t>
      </w:r>
      <w:r w:rsidR="00D65730">
        <w:rPr>
          <w:rFonts w:cs="Calibri"/>
          <w:b/>
          <w:sz w:val="24"/>
          <w:szCs w:val="24"/>
          <w:lang w:eastAsia="sk-SK"/>
        </w:rPr>
        <w:t xml:space="preserve"> </w:t>
      </w:r>
      <w:r>
        <w:rPr>
          <w:rFonts w:cs="Calibri"/>
          <w:b/>
          <w:sz w:val="24"/>
          <w:szCs w:val="24"/>
          <w:lang w:eastAsia="sk-SK"/>
        </w:rPr>
        <w:t xml:space="preserve">EUR </w:t>
      </w:r>
      <w:r w:rsidRPr="006E6847">
        <w:rPr>
          <w:rFonts w:cs="Calibri"/>
          <w:sz w:val="24"/>
          <w:szCs w:val="24"/>
          <w:lang w:eastAsia="sk-SK"/>
        </w:rPr>
        <w:t xml:space="preserve">a boli čerpané predovšetkým na splácanie istín </w:t>
      </w:r>
      <w:r>
        <w:rPr>
          <w:rFonts w:cs="Calibri"/>
          <w:sz w:val="24"/>
          <w:szCs w:val="24"/>
          <w:lang w:eastAsia="sk-SK"/>
        </w:rPr>
        <w:t>z prijatých úverov z bánk.</w:t>
      </w:r>
    </w:p>
    <w:tbl>
      <w:tblPr>
        <w:tblW w:w="5197" w:type="pct"/>
        <w:tblLayout w:type="fixed"/>
        <w:tblCellMar>
          <w:left w:w="70" w:type="dxa"/>
          <w:right w:w="70" w:type="dxa"/>
        </w:tblCellMar>
        <w:tblLook w:val="04A0" w:firstRow="1" w:lastRow="0" w:firstColumn="1" w:lastColumn="0" w:noHBand="0" w:noVBand="1"/>
      </w:tblPr>
      <w:tblGrid>
        <w:gridCol w:w="1381"/>
        <w:gridCol w:w="1417"/>
        <w:gridCol w:w="1406"/>
        <w:gridCol w:w="1406"/>
        <w:gridCol w:w="1421"/>
        <w:gridCol w:w="1460"/>
        <w:gridCol w:w="1132"/>
        <w:gridCol w:w="1224"/>
      </w:tblGrid>
      <w:tr w:rsidR="00910767" w:rsidRPr="00910767" w14:paraId="335E894B" w14:textId="77777777" w:rsidTr="00FA56A3">
        <w:trPr>
          <w:trHeight w:val="617"/>
        </w:trPr>
        <w:tc>
          <w:tcPr>
            <w:tcW w:w="637"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8B6BC61" w14:textId="77777777" w:rsidR="00910767" w:rsidRPr="00910767" w:rsidRDefault="00910767" w:rsidP="00910767">
            <w:pPr>
              <w:spacing w:after="0" w:line="240" w:lineRule="auto"/>
              <w:rPr>
                <w:rFonts w:cs="Calibri"/>
                <w:b/>
                <w:bCs/>
                <w:color w:val="000000"/>
                <w:sz w:val="20"/>
                <w:szCs w:val="20"/>
                <w:lang w:eastAsia="sk-SK"/>
              </w:rPr>
            </w:pPr>
            <w:r w:rsidRPr="00910767">
              <w:rPr>
                <w:rFonts w:cs="Calibri"/>
                <w:b/>
                <w:bCs/>
                <w:color w:val="000000"/>
                <w:sz w:val="20"/>
                <w:szCs w:val="20"/>
                <w:lang w:eastAsia="sk-SK"/>
              </w:rPr>
              <w:t>Ukazovateľ</w:t>
            </w:r>
          </w:p>
        </w:tc>
        <w:tc>
          <w:tcPr>
            <w:tcW w:w="653"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5658304"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Skutočnosť za rok 2018 v EUR</w:t>
            </w:r>
          </w:p>
        </w:tc>
        <w:tc>
          <w:tcPr>
            <w:tcW w:w="648"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2602FFC"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Skutočnosť za rok 2019 v EUR</w:t>
            </w:r>
          </w:p>
        </w:tc>
        <w:tc>
          <w:tcPr>
            <w:tcW w:w="648" w:type="pct"/>
            <w:tcBorders>
              <w:top w:val="single" w:sz="12" w:space="0" w:color="FFFFFF"/>
              <w:left w:val="nil"/>
              <w:bottom w:val="nil"/>
              <w:right w:val="single" w:sz="12" w:space="0" w:color="FFFFFF"/>
            </w:tcBorders>
            <w:shd w:val="clear" w:color="000000" w:fill="8DB3E2"/>
            <w:vAlign w:val="center"/>
            <w:hideMark/>
          </w:tcPr>
          <w:p w14:paraId="3F1D8FDE"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Schválený rozpočet 2020</w:t>
            </w:r>
          </w:p>
        </w:tc>
        <w:tc>
          <w:tcPr>
            <w:tcW w:w="655" w:type="pct"/>
            <w:tcBorders>
              <w:top w:val="single" w:sz="12" w:space="0" w:color="FFFFFF"/>
              <w:left w:val="nil"/>
              <w:bottom w:val="nil"/>
              <w:right w:val="single" w:sz="12" w:space="0" w:color="FFFFFF"/>
            </w:tcBorders>
            <w:shd w:val="clear" w:color="000000" w:fill="8DB3E2"/>
            <w:vAlign w:val="center"/>
            <w:hideMark/>
          </w:tcPr>
          <w:p w14:paraId="6C250FC4"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Zmenený rozpočet k 31.12.2020</w:t>
            </w:r>
          </w:p>
        </w:tc>
        <w:tc>
          <w:tcPr>
            <w:tcW w:w="673" w:type="pct"/>
            <w:tcBorders>
              <w:top w:val="single" w:sz="12" w:space="0" w:color="FFFFFF"/>
              <w:left w:val="nil"/>
              <w:bottom w:val="nil"/>
              <w:right w:val="single" w:sz="12" w:space="0" w:color="FFFFFF"/>
            </w:tcBorders>
            <w:shd w:val="clear" w:color="000000" w:fill="8DB3E2"/>
            <w:vAlign w:val="center"/>
            <w:hideMark/>
          </w:tcPr>
          <w:p w14:paraId="64DAB40F"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Čerpanie rozpočtu k 31.12.2020</w:t>
            </w:r>
          </w:p>
        </w:tc>
        <w:tc>
          <w:tcPr>
            <w:tcW w:w="522"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353A85FB"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 xml:space="preserve">% čerpanie k zmenenému rozpočtu </w:t>
            </w:r>
          </w:p>
        </w:tc>
        <w:tc>
          <w:tcPr>
            <w:tcW w:w="564"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2132C28E"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Zmeny rozpočtu</w:t>
            </w:r>
          </w:p>
        </w:tc>
      </w:tr>
      <w:tr w:rsidR="00910767" w:rsidRPr="00910767" w14:paraId="0E40A5ED" w14:textId="77777777" w:rsidTr="00FA56A3">
        <w:trPr>
          <w:trHeight w:val="264"/>
        </w:trPr>
        <w:tc>
          <w:tcPr>
            <w:tcW w:w="637" w:type="pct"/>
            <w:vMerge/>
            <w:tcBorders>
              <w:top w:val="single" w:sz="12" w:space="0" w:color="FFFFFF"/>
              <w:left w:val="single" w:sz="12" w:space="0" w:color="FFFFFF"/>
              <w:bottom w:val="single" w:sz="12" w:space="0" w:color="FFFFFF"/>
              <w:right w:val="single" w:sz="12" w:space="0" w:color="FFFFFF"/>
            </w:tcBorders>
            <w:vAlign w:val="center"/>
            <w:hideMark/>
          </w:tcPr>
          <w:p w14:paraId="4CC5D591" w14:textId="77777777" w:rsidR="00910767" w:rsidRPr="00910767" w:rsidRDefault="00910767" w:rsidP="00910767">
            <w:pPr>
              <w:spacing w:after="0" w:line="240" w:lineRule="auto"/>
              <w:rPr>
                <w:rFonts w:cs="Calibri"/>
                <w:b/>
                <w:bCs/>
                <w:color w:val="000000"/>
                <w:sz w:val="20"/>
                <w:szCs w:val="20"/>
                <w:lang w:eastAsia="sk-SK"/>
              </w:rPr>
            </w:pPr>
          </w:p>
        </w:tc>
        <w:tc>
          <w:tcPr>
            <w:tcW w:w="653" w:type="pct"/>
            <w:vMerge/>
            <w:tcBorders>
              <w:top w:val="single" w:sz="12" w:space="0" w:color="FFFFFF"/>
              <w:left w:val="single" w:sz="12" w:space="0" w:color="FFFFFF"/>
              <w:bottom w:val="single" w:sz="12" w:space="0" w:color="FFFFFF"/>
              <w:right w:val="single" w:sz="12" w:space="0" w:color="FFFFFF"/>
            </w:tcBorders>
            <w:vAlign w:val="center"/>
            <w:hideMark/>
          </w:tcPr>
          <w:p w14:paraId="5C9EF4EA" w14:textId="77777777" w:rsidR="00910767" w:rsidRPr="00910767" w:rsidRDefault="00910767" w:rsidP="00910767">
            <w:pPr>
              <w:spacing w:after="0" w:line="240" w:lineRule="auto"/>
              <w:rPr>
                <w:rFonts w:cs="Calibri"/>
                <w:b/>
                <w:bCs/>
                <w:color w:val="000000"/>
                <w:sz w:val="18"/>
                <w:szCs w:val="18"/>
                <w:lang w:eastAsia="sk-SK"/>
              </w:rPr>
            </w:pPr>
          </w:p>
        </w:tc>
        <w:tc>
          <w:tcPr>
            <w:tcW w:w="648" w:type="pct"/>
            <w:vMerge/>
            <w:tcBorders>
              <w:top w:val="single" w:sz="12" w:space="0" w:color="FFFFFF"/>
              <w:left w:val="single" w:sz="12" w:space="0" w:color="FFFFFF"/>
              <w:bottom w:val="single" w:sz="12" w:space="0" w:color="FFFFFF"/>
              <w:right w:val="single" w:sz="12" w:space="0" w:color="FFFFFF"/>
            </w:tcBorders>
            <w:vAlign w:val="center"/>
            <w:hideMark/>
          </w:tcPr>
          <w:p w14:paraId="59269BA9" w14:textId="77777777" w:rsidR="00910767" w:rsidRPr="00910767" w:rsidRDefault="00910767" w:rsidP="00910767">
            <w:pPr>
              <w:spacing w:after="0" w:line="240" w:lineRule="auto"/>
              <w:rPr>
                <w:rFonts w:cs="Calibri"/>
                <w:b/>
                <w:bCs/>
                <w:color w:val="000000"/>
                <w:sz w:val="18"/>
                <w:szCs w:val="18"/>
                <w:lang w:eastAsia="sk-SK"/>
              </w:rPr>
            </w:pPr>
          </w:p>
        </w:tc>
        <w:tc>
          <w:tcPr>
            <w:tcW w:w="648" w:type="pct"/>
            <w:tcBorders>
              <w:top w:val="nil"/>
              <w:left w:val="nil"/>
              <w:bottom w:val="single" w:sz="12" w:space="0" w:color="FFFFFF"/>
              <w:right w:val="single" w:sz="12" w:space="0" w:color="FFFFFF"/>
            </w:tcBorders>
            <w:shd w:val="clear" w:color="000000" w:fill="8DB3E2"/>
            <w:vAlign w:val="center"/>
            <w:hideMark/>
          </w:tcPr>
          <w:p w14:paraId="392E7664"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 xml:space="preserve"> v EUR</w:t>
            </w:r>
          </w:p>
        </w:tc>
        <w:tc>
          <w:tcPr>
            <w:tcW w:w="655" w:type="pct"/>
            <w:tcBorders>
              <w:top w:val="nil"/>
              <w:left w:val="nil"/>
              <w:bottom w:val="single" w:sz="12" w:space="0" w:color="FFFFFF"/>
              <w:right w:val="single" w:sz="12" w:space="0" w:color="FFFFFF"/>
            </w:tcBorders>
            <w:shd w:val="clear" w:color="000000" w:fill="8DB3E2"/>
            <w:vAlign w:val="center"/>
            <w:hideMark/>
          </w:tcPr>
          <w:p w14:paraId="4680A58E"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 xml:space="preserve"> v EUR</w:t>
            </w:r>
          </w:p>
        </w:tc>
        <w:tc>
          <w:tcPr>
            <w:tcW w:w="673" w:type="pct"/>
            <w:tcBorders>
              <w:top w:val="nil"/>
              <w:left w:val="nil"/>
              <w:bottom w:val="single" w:sz="12" w:space="0" w:color="FFFFFF"/>
              <w:right w:val="single" w:sz="12" w:space="0" w:color="FFFFFF"/>
            </w:tcBorders>
            <w:shd w:val="clear" w:color="000000" w:fill="8DB3E2"/>
            <w:vAlign w:val="center"/>
            <w:hideMark/>
          </w:tcPr>
          <w:p w14:paraId="505C2083" w14:textId="77777777" w:rsidR="00910767" w:rsidRPr="00910767" w:rsidRDefault="00910767" w:rsidP="00910767">
            <w:pPr>
              <w:spacing w:after="0" w:line="240" w:lineRule="auto"/>
              <w:jc w:val="center"/>
              <w:rPr>
                <w:rFonts w:cs="Calibri"/>
                <w:b/>
                <w:bCs/>
                <w:color w:val="000000"/>
                <w:sz w:val="18"/>
                <w:szCs w:val="18"/>
                <w:lang w:eastAsia="sk-SK"/>
              </w:rPr>
            </w:pPr>
            <w:r w:rsidRPr="00910767">
              <w:rPr>
                <w:rFonts w:cs="Calibri"/>
                <w:b/>
                <w:bCs/>
                <w:color w:val="000000"/>
                <w:sz w:val="18"/>
                <w:szCs w:val="18"/>
                <w:lang w:eastAsia="sk-SK"/>
              </w:rPr>
              <w:t xml:space="preserve"> v EUR</w:t>
            </w:r>
          </w:p>
        </w:tc>
        <w:tc>
          <w:tcPr>
            <w:tcW w:w="522" w:type="pct"/>
            <w:vMerge/>
            <w:tcBorders>
              <w:top w:val="single" w:sz="12" w:space="0" w:color="FFFFFF"/>
              <w:left w:val="single" w:sz="12" w:space="0" w:color="FFFFFF"/>
              <w:bottom w:val="single" w:sz="12" w:space="0" w:color="FFFFFF"/>
              <w:right w:val="single" w:sz="12" w:space="0" w:color="FFFFFF"/>
            </w:tcBorders>
            <w:vAlign w:val="center"/>
            <w:hideMark/>
          </w:tcPr>
          <w:p w14:paraId="795818F4" w14:textId="77777777" w:rsidR="00910767" w:rsidRPr="00910767" w:rsidRDefault="00910767" w:rsidP="00910767">
            <w:pPr>
              <w:spacing w:after="0" w:line="240" w:lineRule="auto"/>
              <w:rPr>
                <w:rFonts w:cs="Calibri"/>
                <w:b/>
                <w:bCs/>
                <w:color w:val="000000"/>
                <w:sz w:val="18"/>
                <w:szCs w:val="18"/>
                <w:lang w:eastAsia="sk-SK"/>
              </w:rPr>
            </w:pPr>
          </w:p>
        </w:tc>
        <w:tc>
          <w:tcPr>
            <w:tcW w:w="564" w:type="pct"/>
            <w:vMerge/>
            <w:tcBorders>
              <w:top w:val="single" w:sz="12" w:space="0" w:color="FFFFFF"/>
              <w:left w:val="single" w:sz="12" w:space="0" w:color="FFFFFF"/>
              <w:bottom w:val="single" w:sz="12" w:space="0" w:color="FFFFFF"/>
              <w:right w:val="single" w:sz="12" w:space="0" w:color="FFFFFF"/>
            </w:tcBorders>
            <w:vAlign w:val="center"/>
            <w:hideMark/>
          </w:tcPr>
          <w:p w14:paraId="43C240E7" w14:textId="77777777" w:rsidR="00910767" w:rsidRPr="00910767" w:rsidRDefault="00910767" w:rsidP="00910767">
            <w:pPr>
              <w:spacing w:after="0" w:line="240" w:lineRule="auto"/>
              <w:rPr>
                <w:rFonts w:cs="Calibri"/>
                <w:b/>
                <w:bCs/>
                <w:color w:val="000000"/>
                <w:sz w:val="18"/>
                <w:szCs w:val="18"/>
                <w:lang w:eastAsia="sk-SK"/>
              </w:rPr>
            </w:pPr>
          </w:p>
        </w:tc>
      </w:tr>
      <w:tr w:rsidR="00910767" w:rsidRPr="00910767" w14:paraId="11978F26" w14:textId="77777777" w:rsidTr="00FA56A3">
        <w:trPr>
          <w:trHeight w:val="276"/>
        </w:trPr>
        <w:tc>
          <w:tcPr>
            <w:tcW w:w="637" w:type="pct"/>
            <w:tcBorders>
              <w:top w:val="nil"/>
              <w:left w:val="single" w:sz="12" w:space="0" w:color="FFFFFF"/>
              <w:bottom w:val="single" w:sz="12" w:space="0" w:color="FFFFFF"/>
              <w:right w:val="single" w:sz="12" w:space="0" w:color="FFFFFF"/>
            </w:tcBorders>
            <w:shd w:val="clear" w:color="000000" w:fill="8DB3E2"/>
            <w:vAlign w:val="center"/>
            <w:hideMark/>
          </w:tcPr>
          <w:p w14:paraId="612A3DED" w14:textId="77777777" w:rsidR="00910767" w:rsidRPr="00910767" w:rsidRDefault="00910767" w:rsidP="00910767">
            <w:pPr>
              <w:spacing w:after="0" w:line="240" w:lineRule="auto"/>
              <w:rPr>
                <w:rFonts w:cs="Calibri"/>
                <w:b/>
                <w:bCs/>
                <w:color w:val="000000"/>
                <w:sz w:val="20"/>
                <w:szCs w:val="20"/>
                <w:lang w:eastAsia="sk-SK"/>
              </w:rPr>
            </w:pPr>
            <w:r w:rsidRPr="00910767">
              <w:rPr>
                <w:rFonts w:cs="Calibri"/>
                <w:b/>
                <w:bCs/>
                <w:color w:val="000000"/>
                <w:sz w:val="20"/>
                <w:szCs w:val="20"/>
                <w:lang w:eastAsia="sk-SK"/>
              </w:rPr>
              <w:t>Výdavky</w:t>
            </w:r>
          </w:p>
        </w:tc>
        <w:tc>
          <w:tcPr>
            <w:tcW w:w="653" w:type="pct"/>
            <w:tcBorders>
              <w:top w:val="nil"/>
              <w:left w:val="nil"/>
              <w:bottom w:val="single" w:sz="12" w:space="0" w:color="FFFFFF"/>
              <w:right w:val="single" w:sz="12" w:space="0" w:color="FFFFFF"/>
            </w:tcBorders>
            <w:shd w:val="clear" w:color="000000" w:fill="8DB3E2"/>
            <w:vAlign w:val="center"/>
            <w:hideMark/>
          </w:tcPr>
          <w:p w14:paraId="2C969C38" w14:textId="77777777" w:rsidR="00910767" w:rsidRPr="00910767" w:rsidRDefault="00910767" w:rsidP="00910767">
            <w:pPr>
              <w:spacing w:after="0" w:line="240" w:lineRule="auto"/>
              <w:jc w:val="right"/>
              <w:rPr>
                <w:rFonts w:cs="Calibri"/>
                <w:b/>
                <w:bCs/>
                <w:color w:val="000000"/>
                <w:sz w:val="20"/>
                <w:szCs w:val="20"/>
                <w:lang w:eastAsia="sk-SK"/>
              </w:rPr>
            </w:pPr>
            <w:r w:rsidRPr="00910767">
              <w:rPr>
                <w:rFonts w:cs="Calibri"/>
                <w:b/>
                <w:bCs/>
                <w:color w:val="000000"/>
                <w:sz w:val="20"/>
                <w:szCs w:val="20"/>
                <w:lang w:eastAsia="sk-SK"/>
              </w:rPr>
              <w:t>158 471 023,82</w:t>
            </w:r>
          </w:p>
        </w:tc>
        <w:tc>
          <w:tcPr>
            <w:tcW w:w="648" w:type="pct"/>
            <w:tcBorders>
              <w:top w:val="nil"/>
              <w:left w:val="nil"/>
              <w:bottom w:val="single" w:sz="12" w:space="0" w:color="FFFFFF"/>
              <w:right w:val="single" w:sz="12" w:space="0" w:color="FFFFFF"/>
            </w:tcBorders>
            <w:shd w:val="clear" w:color="000000" w:fill="8DB3E2"/>
            <w:vAlign w:val="center"/>
            <w:hideMark/>
          </w:tcPr>
          <w:p w14:paraId="28F3D222" w14:textId="77777777" w:rsidR="00910767" w:rsidRPr="00910767" w:rsidRDefault="00910767" w:rsidP="00910767">
            <w:pPr>
              <w:spacing w:after="0" w:line="240" w:lineRule="auto"/>
              <w:jc w:val="right"/>
              <w:rPr>
                <w:rFonts w:cs="Calibri"/>
                <w:b/>
                <w:bCs/>
                <w:color w:val="000000"/>
                <w:sz w:val="20"/>
                <w:szCs w:val="20"/>
                <w:lang w:eastAsia="sk-SK"/>
              </w:rPr>
            </w:pPr>
            <w:r w:rsidRPr="00910767">
              <w:rPr>
                <w:rFonts w:cs="Calibri"/>
                <w:b/>
                <w:bCs/>
                <w:color w:val="000000"/>
                <w:sz w:val="20"/>
                <w:szCs w:val="20"/>
                <w:lang w:eastAsia="sk-SK"/>
              </w:rPr>
              <w:t>178 038 151,46</w:t>
            </w:r>
          </w:p>
        </w:tc>
        <w:tc>
          <w:tcPr>
            <w:tcW w:w="648" w:type="pct"/>
            <w:tcBorders>
              <w:top w:val="nil"/>
              <w:left w:val="nil"/>
              <w:bottom w:val="single" w:sz="12" w:space="0" w:color="FFFFFF"/>
              <w:right w:val="single" w:sz="12" w:space="0" w:color="FFFFFF"/>
            </w:tcBorders>
            <w:shd w:val="clear" w:color="000000" w:fill="8DB3E2"/>
            <w:vAlign w:val="center"/>
            <w:hideMark/>
          </w:tcPr>
          <w:p w14:paraId="2CD12843" w14:textId="77777777" w:rsidR="00910767" w:rsidRPr="00910767" w:rsidRDefault="00910767" w:rsidP="00910767">
            <w:pPr>
              <w:spacing w:after="0" w:line="240" w:lineRule="auto"/>
              <w:jc w:val="right"/>
              <w:rPr>
                <w:rFonts w:cs="Calibri"/>
                <w:b/>
                <w:bCs/>
                <w:color w:val="000000"/>
                <w:sz w:val="20"/>
                <w:szCs w:val="20"/>
                <w:lang w:eastAsia="sk-SK"/>
              </w:rPr>
            </w:pPr>
            <w:r w:rsidRPr="00910767">
              <w:rPr>
                <w:rFonts w:cs="Calibri"/>
                <w:b/>
                <w:bCs/>
                <w:color w:val="000000"/>
                <w:sz w:val="20"/>
                <w:szCs w:val="20"/>
                <w:lang w:eastAsia="sk-SK"/>
              </w:rPr>
              <w:t>206 632 866,95</w:t>
            </w:r>
          </w:p>
        </w:tc>
        <w:tc>
          <w:tcPr>
            <w:tcW w:w="655" w:type="pct"/>
            <w:tcBorders>
              <w:top w:val="nil"/>
              <w:left w:val="nil"/>
              <w:bottom w:val="single" w:sz="12" w:space="0" w:color="FFFFFF"/>
              <w:right w:val="single" w:sz="12" w:space="0" w:color="FFFFFF"/>
            </w:tcBorders>
            <w:shd w:val="clear" w:color="000000" w:fill="8DB3E2"/>
            <w:vAlign w:val="center"/>
            <w:hideMark/>
          </w:tcPr>
          <w:p w14:paraId="6F0257DF" w14:textId="77777777" w:rsidR="00910767" w:rsidRPr="00910767" w:rsidRDefault="00910767" w:rsidP="00910767">
            <w:pPr>
              <w:spacing w:after="0" w:line="240" w:lineRule="auto"/>
              <w:jc w:val="right"/>
              <w:rPr>
                <w:rFonts w:cs="Calibri"/>
                <w:b/>
                <w:bCs/>
                <w:color w:val="000000"/>
                <w:sz w:val="20"/>
                <w:szCs w:val="20"/>
                <w:lang w:eastAsia="sk-SK"/>
              </w:rPr>
            </w:pPr>
            <w:r w:rsidRPr="00910767">
              <w:rPr>
                <w:rFonts w:cs="Calibri"/>
                <w:b/>
                <w:bCs/>
                <w:color w:val="000000"/>
                <w:sz w:val="20"/>
                <w:szCs w:val="20"/>
                <w:lang w:eastAsia="sk-SK"/>
              </w:rPr>
              <w:t>206 217 573,60</w:t>
            </w:r>
          </w:p>
        </w:tc>
        <w:tc>
          <w:tcPr>
            <w:tcW w:w="673" w:type="pct"/>
            <w:tcBorders>
              <w:top w:val="nil"/>
              <w:left w:val="nil"/>
              <w:bottom w:val="single" w:sz="12" w:space="0" w:color="FFFFFF"/>
              <w:right w:val="single" w:sz="12" w:space="0" w:color="FFFFFF"/>
            </w:tcBorders>
            <w:shd w:val="clear" w:color="000000" w:fill="8DB3E2"/>
            <w:vAlign w:val="center"/>
            <w:hideMark/>
          </w:tcPr>
          <w:p w14:paraId="47F1F56E" w14:textId="77777777" w:rsidR="00910767" w:rsidRPr="00910767" w:rsidRDefault="00910767" w:rsidP="00910767">
            <w:pPr>
              <w:spacing w:after="0" w:line="240" w:lineRule="auto"/>
              <w:jc w:val="right"/>
              <w:rPr>
                <w:rFonts w:cs="Calibri"/>
                <w:b/>
                <w:bCs/>
                <w:color w:val="000000"/>
                <w:sz w:val="20"/>
                <w:szCs w:val="20"/>
                <w:lang w:eastAsia="sk-SK"/>
              </w:rPr>
            </w:pPr>
            <w:r w:rsidRPr="00910767">
              <w:rPr>
                <w:rFonts w:cs="Calibri"/>
                <w:b/>
                <w:bCs/>
                <w:color w:val="000000"/>
                <w:sz w:val="20"/>
                <w:szCs w:val="20"/>
                <w:lang w:eastAsia="sk-SK"/>
              </w:rPr>
              <w:t>165 892 193,11</w:t>
            </w:r>
          </w:p>
        </w:tc>
        <w:tc>
          <w:tcPr>
            <w:tcW w:w="522" w:type="pct"/>
            <w:tcBorders>
              <w:top w:val="nil"/>
              <w:left w:val="nil"/>
              <w:bottom w:val="single" w:sz="12" w:space="0" w:color="FFFFFF"/>
              <w:right w:val="single" w:sz="12" w:space="0" w:color="FFFFFF"/>
            </w:tcBorders>
            <w:shd w:val="clear" w:color="000000" w:fill="95B3D7"/>
            <w:vAlign w:val="center"/>
            <w:hideMark/>
          </w:tcPr>
          <w:p w14:paraId="28615AB3" w14:textId="77777777" w:rsidR="00910767" w:rsidRPr="00910767" w:rsidRDefault="00910767" w:rsidP="00910767">
            <w:pPr>
              <w:spacing w:after="0" w:line="240" w:lineRule="auto"/>
              <w:jc w:val="right"/>
              <w:rPr>
                <w:rFonts w:cs="Calibri"/>
                <w:b/>
                <w:bCs/>
                <w:color w:val="000000"/>
                <w:sz w:val="20"/>
                <w:szCs w:val="20"/>
                <w:lang w:eastAsia="sk-SK"/>
              </w:rPr>
            </w:pPr>
            <w:r w:rsidRPr="00910767">
              <w:rPr>
                <w:rFonts w:cs="Calibri"/>
                <w:b/>
                <w:bCs/>
                <w:color w:val="000000"/>
                <w:sz w:val="20"/>
                <w:szCs w:val="20"/>
                <w:lang w:eastAsia="sk-SK"/>
              </w:rPr>
              <w:t>99,80%</w:t>
            </w:r>
          </w:p>
        </w:tc>
        <w:tc>
          <w:tcPr>
            <w:tcW w:w="564" w:type="pct"/>
            <w:tcBorders>
              <w:top w:val="nil"/>
              <w:left w:val="nil"/>
              <w:bottom w:val="single" w:sz="12" w:space="0" w:color="FFFFFF"/>
              <w:right w:val="single" w:sz="12" w:space="0" w:color="FFFFFF"/>
            </w:tcBorders>
            <w:shd w:val="clear" w:color="000000" w:fill="8DB3E2"/>
            <w:vAlign w:val="center"/>
            <w:hideMark/>
          </w:tcPr>
          <w:p w14:paraId="39E1416C" w14:textId="77777777" w:rsidR="00910767" w:rsidRPr="00910767" w:rsidRDefault="00910767" w:rsidP="00910767">
            <w:pPr>
              <w:spacing w:after="0" w:line="240" w:lineRule="auto"/>
              <w:jc w:val="right"/>
              <w:rPr>
                <w:rFonts w:cs="Calibri"/>
                <w:b/>
                <w:bCs/>
                <w:color w:val="000000"/>
                <w:sz w:val="20"/>
                <w:szCs w:val="20"/>
                <w:lang w:eastAsia="sk-SK"/>
              </w:rPr>
            </w:pPr>
            <w:r w:rsidRPr="00910767">
              <w:rPr>
                <w:rFonts w:cs="Calibri"/>
                <w:b/>
                <w:bCs/>
                <w:color w:val="000000"/>
                <w:sz w:val="20"/>
                <w:szCs w:val="20"/>
                <w:lang w:eastAsia="sk-SK"/>
              </w:rPr>
              <w:t>-415 293,35</w:t>
            </w:r>
          </w:p>
        </w:tc>
      </w:tr>
      <w:tr w:rsidR="00910767" w:rsidRPr="00910767" w14:paraId="6775993D" w14:textId="77777777" w:rsidTr="00FA56A3">
        <w:trPr>
          <w:trHeight w:val="276"/>
        </w:trPr>
        <w:tc>
          <w:tcPr>
            <w:tcW w:w="637" w:type="pct"/>
            <w:tcBorders>
              <w:top w:val="nil"/>
              <w:left w:val="single" w:sz="12" w:space="0" w:color="FFFFFF"/>
              <w:bottom w:val="single" w:sz="12" w:space="0" w:color="FFFFFF"/>
              <w:right w:val="single" w:sz="12" w:space="0" w:color="FFFFFF"/>
            </w:tcBorders>
            <w:shd w:val="clear" w:color="000000" w:fill="F2F2F2"/>
            <w:vAlign w:val="center"/>
            <w:hideMark/>
          </w:tcPr>
          <w:p w14:paraId="7E5B6025" w14:textId="77777777" w:rsidR="00910767" w:rsidRPr="00910767" w:rsidRDefault="00910767" w:rsidP="00910767">
            <w:pPr>
              <w:spacing w:after="0" w:line="240" w:lineRule="auto"/>
              <w:rPr>
                <w:rFonts w:cs="Calibri"/>
                <w:color w:val="000000"/>
                <w:sz w:val="18"/>
                <w:szCs w:val="18"/>
                <w:lang w:eastAsia="sk-SK"/>
              </w:rPr>
            </w:pPr>
            <w:r w:rsidRPr="00910767">
              <w:rPr>
                <w:rFonts w:cs="Calibri"/>
                <w:color w:val="000000"/>
                <w:sz w:val="18"/>
                <w:szCs w:val="18"/>
                <w:lang w:eastAsia="sk-SK"/>
              </w:rPr>
              <w:t>Bežné výdavky</w:t>
            </w:r>
          </w:p>
        </w:tc>
        <w:tc>
          <w:tcPr>
            <w:tcW w:w="653" w:type="pct"/>
            <w:tcBorders>
              <w:top w:val="nil"/>
              <w:left w:val="nil"/>
              <w:bottom w:val="single" w:sz="12" w:space="0" w:color="FFFFFF"/>
              <w:right w:val="single" w:sz="12" w:space="0" w:color="FFFFFF"/>
            </w:tcBorders>
            <w:shd w:val="clear" w:color="000000" w:fill="F2F2F2"/>
            <w:vAlign w:val="center"/>
            <w:hideMark/>
          </w:tcPr>
          <w:p w14:paraId="12846641"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134 035 609,80</w:t>
            </w:r>
          </w:p>
        </w:tc>
        <w:tc>
          <w:tcPr>
            <w:tcW w:w="648" w:type="pct"/>
            <w:tcBorders>
              <w:top w:val="nil"/>
              <w:left w:val="nil"/>
              <w:bottom w:val="single" w:sz="12" w:space="0" w:color="FFFFFF"/>
              <w:right w:val="single" w:sz="12" w:space="0" w:color="FFFFFF"/>
            </w:tcBorders>
            <w:shd w:val="clear" w:color="000000" w:fill="F2F2F2"/>
            <w:vAlign w:val="center"/>
            <w:hideMark/>
          </w:tcPr>
          <w:p w14:paraId="7C5373FF"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154 227 381,70</w:t>
            </w:r>
          </w:p>
        </w:tc>
        <w:tc>
          <w:tcPr>
            <w:tcW w:w="648" w:type="pct"/>
            <w:tcBorders>
              <w:top w:val="nil"/>
              <w:left w:val="nil"/>
              <w:bottom w:val="single" w:sz="12" w:space="0" w:color="FFFFFF"/>
              <w:right w:val="single" w:sz="12" w:space="0" w:color="FFFFFF"/>
            </w:tcBorders>
            <w:shd w:val="clear" w:color="000000" w:fill="F2F2F2"/>
            <w:vAlign w:val="center"/>
            <w:hideMark/>
          </w:tcPr>
          <w:p w14:paraId="2895FA2B"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170 922 732,53</w:t>
            </w:r>
          </w:p>
        </w:tc>
        <w:tc>
          <w:tcPr>
            <w:tcW w:w="655" w:type="pct"/>
            <w:tcBorders>
              <w:top w:val="nil"/>
              <w:left w:val="nil"/>
              <w:bottom w:val="single" w:sz="12" w:space="0" w:color="FFFFFF"/>
              <w:right w:val="single" w:sz="12" w:space="0" w:color="FFFFFF"/>
            </w:tcBorders>
            <w:shd w:val="clear" w:color="000000" w:fill="F2F2F2"/>
            <w:vAlign w:val="center"/>
            <w:hideMark/>
          </w:tcPr>
          <w:p w14:paraId="1CAB1944"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174 221 749,52</w:t>
            </w:r>
          </w:p>
        </w:tc>
        <w:tc>
          <w:tcPr>
            <w:tcW w:w="673" w:type="pct"/>
            <w:tcBorders>
              <w:top w:val="nil"/>
              <w:left w:val="nil"/>
              <w:bottom w:val="single" w:sz="12" w:space="0" w:color="FFFFFF"/>
              <w:right w:val="single" w:sz="12" w:space="0" w:color="FFFFFF"/>
            </w:tcBorders>
            <w:shd w:val="clear" w:color="000000" w:fill="F2F2F2"/>
            <w:vAlign w:val="center"/>
            <w:hideMark/>
          </w:tcPr>
          <w:p w14:paraId="6AF510C7"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155 827 379,05</w:t>
            </w:r>
          </w:p>
        </w:tc>
        <w:tc>
          <w:tcPr>
            <w:tcW w:w="522" w:type="pct"/>
            <w:tcBorders>
              <w:top w:val="nil"/>
              <w:left w:val="nil"/>
              <w:bottom w:val="single" w:sz="12" w:space="0" w:color="FFFFFF"/>
              <w:right w:val="single" w:sz="12" w:space="0" w:color="FFFFFF"/>
            </w:tcBorders>
            <w:shd w:val="clear" w:color="000000" w:fill="F2F2F2"/>
            <w:vAlign w:val="center"/>
            <w:hideMark/>
          </w:tcPr>
          <w:p w14:paraId="5691A2A5"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101,93%</w:t>
            </w:r>
          </w:p>
        </w:tc>
        <w:tc>
          <w:tcPr>
            <w:tcW w:w="564" w:type="pct"/>
            <w:tcBorders>
              <w:top w:val="nil"/>
              <w:left w:val="nil"/>
              <w:bottom w:val="single" w:sz="12" w:space="0" w:color="FFFFFF"/>
              <w:right w:val="single" w:sz="12" w:space="0" w:color="FFFFFF"/>
            </w:tcBorders>
            <w:shd w:val="clear" w:color="000000" w:fill="F2F2F2"/>
            <w:vAlign w:val="center"/>
            <w:hideMark/>
          </w:tcPr>
          <w:p w14:paraId="2C1973A0"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3 299 016,99</w:t>
            </w:r>
          </w:p>
        </w:tc>
      </w:tr>
      <w:tr w:rsidR="00910767" w:rsidRPr="00910767" w14:paraId="77118B53" w14:textId="77777777" w:rsidTr="00FA56A3">
        <w:trPr>
          <w:trHeight w:val="276"/>
        </w:trPr>
        <w:tc>
          <w:tcPr>
            <w:tcW w:w="637" w:type="pct"/>
            <w:tcBorders>
              <w:top w:val="nil"/>
              <w:left w:val="single" w:sz="12" w:space="0" w:color="FFFFFF"/>
              <w:bottom w:val="single" w:sz="12" w:space="0" w:color="FFFFFF"/>
              <w:right w:val="single" w:sz="12" w:space="0" w:color="FFFFFF"/>
            </w:tcBorders>
            <w:shd w:val="clear" w:color="000000" w:fill="F2F2F2"/>
            <w:vAlign w:val="center"/>
            <w:hideMark/>
          </w:tcPr>
          <w:p w14:paraId="2584AA61" w14:textId="1FD6C5DE" w:rsidR="00910767" w:rsidRPr="00910767" w:rsidRDefault="00910767" w:rsidP="00910767">
            <w:pPr>
              <w:spacing w:after="0" w:line="240" w:lineRule="auto"/>
              <w:rPr>
                <w:rFonts w:cs="Calibri"/>
                <w:color w:val="000000"/>
                <w:sz w:val="18"/>
                <w:szCs w:val="18"/>
                <w:lang w:eastAsia="sk-SK"/>
              </w:rPr>
            </w:pPr>
            <w:r w:rsidRPr="00910767">
              <w:rPr>
                <w:rFonts w:cs="Calibri"/>
                <w:color w:val="000000"/>
                <w:sz w:val="18"/>
                <w:szCs w:val="18"/>
                <w:lang w:eastAsia="sk-SK"/>
              </w:rPr>
              <w:t xml:space="preserve">Kapitálové  </w:t>
            </w:r>
            <w:proofErr w:type="spellStart"/>
            <w:r w:rsidRPr="00910767">
              <w:rPr>
                <w:rFonts w:cs="Calibri"/>
                <w:color w:val="000000"/>
                <w:sz w:val="18"/>
                <w:szCs w:val="18"/>
                <w:lang w:eastAsia="sk-SK"/>
              </w:rPr>
              <w:t>výd</w:t>
            </w:r>
            <w:proofErr w:type="spellEnd"/>
            <w:r>
              <w:rPr>
                <w:rFonts w:cs="Calibri"/>
                <w:color w:val="000000"/>
                <w:sz w:val="18"/>
                <w:szCs w:val="18"/>
                <w:lang w:eastAsia="sk-SK"/>
              </w:rPr>
              <w:t>.</w:t>
            </w:r>
          </w:p>
        </w:tc>
        <w:tc>
          <w:tcPr>
            <w:tcW w:w="653" w:type="pct"/>
            <w:tcBorders>
              <w:top w:val="nil"/>
              <w:left w:val="nil"/>
              <w:bottom w:val="single" w:sz="12" w:space="0" w:color="FFFFFF"/>
              <w:right w:val="single" w:sz="12" w:space="0" w:color="FFFFFF"/>
            </w:tcBorders>
            <w:shd w:val="clear" w:color="000000" w:fill="F2F2F2"/>
            <w:vAlign w:val="center"/>
            <w:hideMark/>
          </w:tcPr>
          <w:p w14:paraId="6D891052"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24 435 414,02</w:t>
            </w:r>
          </w:p>
        </w:tc>
        <w:tc>
          <w:tcPr>
            <w:tcW w:w="648" w:type="pct"/>
            <w:tcBorders>
              <w:top w:val="nil"/>
              <w:left w:val="nil"/>
              <w:bottom w:val="single" w:sz="12" w:space="0" w:color="FFFFFF"/>
              <w:right w:val="single" w:sz="12" w:space="0" w:color="FFFFFF"/>
            </w:tcBorders>
            <w:shd w:val="clear" w:color="000000" w:fill="F2F2F2"/>
            <w:vAlign w:val="center"/>
            <w:hideMark/>
          </w:tcPr>
          <w:p w14:paraId="3E4405C3"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23 810 769,76</w:t>
            </w:r>
          </w:p>
        </w:tc>
        <w:tc>
          <w:tcPr>
            <w:tcW w:w="648" w:type="pct"/>
            <w:tcBorders>
              <w:top w:val="nil"/>
              <w:left w:val="nil"/>
              <w:bottom w:val="single" w:sz="12" w:space="0" w:color="FFFFFF"/>
              <w:right w:val="single" w:sz="12" w:space="0" w:color="FFFFFF"/>
            </w:tcBorders>
            <w:shd w:val="clear" w:color="000000" w:fill="F2F2F2"/>
            <w:vAlign w:val="center"/>
            <w:hideMark/>
          </w:tcPr>
          <w:p w14:paraId="529DD9F0"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35 710 134,42</w:t>
            </w:r>
          </w:p>
        </w:tc>
        <w:tc>
          <w:tcPr>
            <w:tcW w:w="655" w:type="pct"/>
            <w:tcBorders>
              <w:top w:val="nil"/>
              <w:left w:val="nil"/>
              <w:bottom w:val="single" w:sz="12" w:space="0" w:color="FFFFFF"/>
              <w:right w:val="single" w:sz="12" w:space="0" w:color="FFFFFF"/>
            </w:tcBorders>
            <w:shd w:val="clear" w:color="000000" w:fill="F2F2F2"/>
            <w:vAlign w:val="center"/>
            <w:hideMark/>
          </w:tcPr>
          <w:p w14:paraId="0CBEACB3"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31 995 824,08</w:t>
            </w:r>
          </w:p>
        </w:tc>
        <w:tc>
          <w:tcPr>
            <w:tcW w:w="673" w:type="pct"/>
            <w:tcBorders>
              <w:top w:val="nil"/>
              <w:left w:val="nil"/>
              <w:bottom w:val="single" w:sz="12" w:space="0" w:color="FFFFFF"/>
              <w:right w:val="single" w:sz="12" w:space="0" w:color="FFFFFF"/>
            </w:tcBorders>
            <w:shd w:val="clear" w:color="000000" w:fill="F2F2F2"/>
            <w:vAlign w:val="center"/>
            <w:hideMark/>
          </w:tcPr>
          <w:p w14:paraId="09F400B5"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10 064 814,06</w:t>
            </w:r>
          </w:p>
        </w:tc>
        <w:tc>
          <w:tcPr>
            <w:tcW w:w="522" w:type="pct"/>
            <w:tcBorders>
              <w:top w:val="nil"/>
              <w:left w:val="nil"/>
              <w:bottom w:val="single" w:sz="12" w:space="0" w:color="FFFFFF"/>
              <w:right w:val="single" w:sz="12" w:space="0" w:color="FFFFFF"/>
            </w:tcBorders>
            <w:shd w:val="clear" w:color="000000" w:fill="F2F2F2"/>
            <w:vAlign w:val="center"/>
            <w:hideMark/>
          </w:tcPr>
          <w:p w14:paraId="70CBE3A3"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89,60%</w:t>
            </w:r>
          </w:p>
        </w:tc>
        <w:tc>
          <w:tcPr>
            <w:tcW w:w="564" w:type="pct"/>
            <w:tcBorders>
              <w:top w:val="nil"/>
              <w:left w:val="nil"/>
              <w:bottom w:val="single" w:sz="12" w:space="0" w:color="FFFFFF"/>
              <w:right w:val="single" w:sz="12" w:space="0" w:color="FFFFFF"/>
            </w:tcBorders>
            <w:shd w:val="clear" w:color="000000" w:fill="F2F2F2"/>
            <w:vAlign w:val="center"/>
            <w:hideMark/>
          </w:tcPr>
          <w:p w14:paraId="58E8D3C8" w14:textId="77777777" w:rsidR="00910767" w:rsidRPr="00910767" w:rsidRDefault="00910767" w:rsidP="00910767">
            <w:pPr>
              <w:spacing w:after="0" w:line="240" w:lineRule="auto"/>
              <w:jc w:val="right"/>
              <w:rPr>
                <w:rFonts w:cs="Calibri"/>
                <w:color w:val="000000"/>
                <w:sz w:val="18"/>
                <w:szCs w:val="18"/>
                <w:lang w:eastAsia="sk-SK"/>
              </w:rPr>
            </w:pPr>
            <w:r w:rsidRPr="00910767">
              <w:rPr>
                <w:rFonts w:cs="Calibri"/>
                <w:color w:val="000000"/>
                <w:sz w:val="18"/>
                <w:szCs w:val="18"/>
                <w:lang w:eastAsia="sk-SK"/>
              </w:rPr>
              <w:t>-3 714 310,34</w:t>
            </w:r>
          </w:p>
        </w:tc>
      </w:tr>
      <w:tr w:rsidR="00910767" w:rsidRPr="00910767" w14:paraId="0BBA6B83" w14:textId="77777777" w:rsidTr="00FA56A3">
        <w:trPr>
          <w:trHeight w:val="276"/>
        </w:trPr>
        <w:tc>
          <w:tcPr>
            <w:tcW w:w="637" w:type="pct"/>
            <w:tcBorders>
              <w:top w:val="nil"/>
              <w:left w:val="single" w:sz="12" w:space="0" w:color="FFFFFF"/>
              <w:bottom w:val="single" w:sz="12" w:space="0" w:color="FFFFFF"/>
              <w:right w:val="single" w:sz="12" w:space="0" w:color="FFFFFF"/>
            </w:tcBorders>
            <w:shd w:val="clear" w:color="000000" w:fill="8DB3E2"/>
            <w:vAlign w:val="center"/>
            <w:hideMark/>
          </w:tcPr>
          <w:p w14:paraId="771AF007" w14:textId="77777777" w:rsidR="00910767" w:rsidRPr="00910767" w:rsidRDefault="00910767" w:rsidP="00910767">
            <w:pPr>
              <w:spacing w:after="0" w:line="240" w:lineRule="auto"/>
              <w:rPr>
                <w:rFonts w:cs="Calibri"/>
                <w:b/>
                <w:bCs/>
                <w:color w:val="000000"/>
                <w:sz w:val="18"/>
                <w:szCs w:val="18"/>
                <w:lang w:eastAsia="sk-SK"/>
              </w:rPr>
            </w:pPr>
            <w:proofErr w:type="spellStart"/>
            <w:r w:rsidRPr="00910767">
              <w:rPr>
                <w:rFonts w:cs="Calibri"/>
                <w:b/>
                <w:bCs/>
                <w:color w:val="000000"/>
                <w:sz w:val="18"/>
                <w:szCs w:val="18"/>
                <w:lang w:eastAsia="sk-SK"/>
              </w:rPr>
              <w:t>Výd</w:t>
            </w:r>
            <w:proofErr w:type="spellEnd"/>
            <w:r w:rsidRPr="00910767">
              <w:rPr>
                <w:rFonts w:cs="Calibri"/>
                <w:b/>
                <w:bCs/>
                <w:color w:val="000000"/>
                <w:sz w:val="18"/>
                <w:szCs w:val="18"/>
                <w:lang w:eastAsia="sk-SK"/>
              </w:rPr>
              <w:t>. fin. operácie</w:t>
            </w:r>
          </w:p>
        </w:tc>
        <w:tc>
          <w:tcPr>
            <w:tcW w:w="653" w:type="pct"/>
            <w:tcBorders>
              <w:top w:val="nil"/>
              <w:left w:val="nil"/>
              <w:bottom w:val="single" w:sz="12" w:space="0" w:color="FFFFFF"/>
              <w:right w:val="single" w:sz="12" w:space="0" w:color="FFFFFF"/>
            </w:tcBorders>
            <w:shd w:val="clear" w:color="000000" w:fill="8DB3E2"/>
            <w:vAlign w:val="center"/>
            <w:hideMark/>
          </w:tcPr>
          <w:p w14:paraId="5F772691"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3 793 545,27</w:t>
            </w:r>
          </w:p>
        </w:tc>
        <w:tc>
          <w:tcPr>
            <w:tcW w:w="648" w:type="pct"/>
            <w:tcBorders>
              <w:top w:val="nil"/>
              <w:left w:val="nil"/>
              <w:bottom w:val="single" w:sz="12" w:space="0" w:color="FFFFFF"/>
              <w:right w:val="single" w:sz="12" w:space="0" w:color="FFFFFF"/>
            </w:tcBorders>
            <w:shd w:val="clear" w:color="000000" w:fill="8DB3E2"/>
            <w:vAlign w:val="center"/>
            <w:hideMark/>
          </w:tcPr>
          <w:p w14:paraId="790F6369"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4 085 016,79</w:t>
            </w:r>
          </w:p>
        </w:tc>
        <w:tc>
          <w:tcPr>
            <w:tcW w:w="648" w:type="pct"/>
            <w:tcBorders>
              <w:top w:val="nil"/>
              <w:left w:val="nil"/>
              <w:bottom w:val="single" w:sz="12" w:space="0" w:color="FFFFFF"/>
              <w:right w:val="single" w:sz="12" w:space="0" w:color="FFFFFF"/>
            </w:tcBorders>
            <w:shd w:val="clear" w:color="000000" w:fill="8DB3E2"/>
            <w:vAlign w:val="center"/>
            <w:hideMark/>
          </w:tcPr>
          <w:p w14:paraId="5E65B212"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4 075 168,42</w:t>
            </w:r>
          </w:p>
        </w:tc>
        <w:tc>
          <w:tcPr>
            <w:tcW w:w="655" w:type="pct"/>
            <w:tcBorders>
              <w:top w:val="nil"/>
              <w:left w:val="nil"/>
              <w:bottom w:val="single" w:sz="12" w:space="0" w:color="FFFFFF"/>
              <w:right w:val="single" w:sz="12" w:space="0" w:color="FFFFFF"/>
            </w:tcBorders>
            <w:shd w:val="clear" w:color="000000" w:fill="8DB3E2"/>
            <w:vAlign w:val="center"/>
            <w:hideMark/>
          </w:tcPr>
          <w:p w14:paraId="7E6D5159"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4 102 668,42</w:t>
            </w:r>
          </w:p>
        </w:tc>
        <w:tc>
          <w:tcPr>
            <w:tcW w:w="673" w:type="pct"/>
            <w:tcBorders>
              <w:top w:val="nil"/>
              <w:left w:val="nil"/>
              <w:bottom w:val="single" w:sz="12" w:space="0" w:color="FFFFFF"/>
              <w:right w:val="single" w:sz="12" w:space="0" w:color="FFFFFF"/>
            </w:tcBorders>
            <w:shd w:val="clear" w:color="000000" w:fill="8DB3E2"/>
            <w:vAlign w:val="center"/>
            <w:hideMark/>
          </w:tcPr>
          <w:p w14:paraId="42D6CA5A"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4 556 130,35</w:t>
            </w:r>
          </w:p>
        </w:tc>
        <w:tc>
          <w:tcPr>
            <w:tcW w:w="522" w:type="pct"/>
            <w:tcBorders>
              <w:top w:val="nil"/>
              <w:left w:val="nil"/>
              <w:bottom w:val="single" w:sz="12" w:space="0" w:color="FFFFFF"/>
              <w:right w:val="single" w:sz="12" w:space="0" w:color="FFFFFF"/>
            </w:tcBorders>
            <w:shd w:val="clear" w:color="000000" w:fill="95B3D7"/>
            <w:vAlign w:val="center"/>
            <w:hideMark/>
          </w:tcPr>
          <w:p w14:paraId="451DC4D3"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100,67%</w:t>
            </w:r>
          </w:p>
        </w:tc>
        <w:tc>
          <w:tcPr>
            <w:tcW w:w="564" w:type="pct"/>
            <w:tcBorders>
              <w:top w:val="nil"/>
              <w:left w:val="nil"/>
              <w:bottom w:val="single" w:sz="12" w:space="0" w:color="FFFFFF"/>
              <w:right w:val="single" w:sz="12" w:space="0" w:color="FFFFFF"/>
            </w:tcBorders>
            <w:shd w:val="clear" w:color="000000" w:fill="8DB3E2"/>
            <w:vAlign w:val="center"/>
            <w:hideMark/>
          </w:tcPr>
          <w:p w14:paraId="22149C3C"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27 500,00</w:t>
            </w:r>
          </w:p>
        </w:tc>
      </w:tr>
      <w:tr w:rsidR="00910767" w:rsidRPr="00910767" w14:paraId="3ECEC24B" w14:textId="77777777" w:rsidTr="00FA56A3">
        <w:trPr>
          <w:trHeight w:val="276"/>
        </w:trPr>
        <w:tc>
          <w:tcPr>
            <w:tcW w:w="637" w:type="pct"/>
            <w:tcBorders>
              <w:top w:val="nil"/>
              <w:left w:val="single" w:sz="12" w:space="0" w:color="FFFFFF"/>
              <w:bottom w:val="single" w:sz="12" w:space="0" w:color="FFFFFF"/>
              <w:right w:val="single" w:sz="12" w:space="0" w:color="FFFFFF"/>
            </w:tcBorders>
            <w:shd w:val="clear" w:color="000000" w:fill="BFBFBF"/>
            <w:vAlign w:val="center"/>
            <w:hideMark/>
          </w:tcPr>
          <w:p w14:paraId="09BB3F89" w14:textId="77777777" w:rsidR="00910767" w:rsidRPr="00910767" w:rsidRDefault="00910767" w:rsidP="00910767">
            <w:pPr>
              <w:spacing w:after="0" w:line="240" w:lineRule="auto"/>
              <w:rPr>
                <w:rFonts w:cs="Calibri"/>
                <w:b/>
                <w:bCs/>
                <w:color w:val="000000"/>
                <w:sz w:val="18"/>
                <w:szCs w:val="18"/>
                <w:lang w:eastAsia="sk-SK"/>
              </w:rPr>
            </w:pPr>
            <w:r w:rsidRPr="00910767">
              <w:rPr>
                <w:rFonts w:cs="Calibri"/>
                <w:b/>
                <w:bCs/>
                <w:color w:val="000000"/>
                <w:sz w:val="18"/>
                <w:szCs w:val="18"/>
                <w:lang w:eastAsia="sk-SK"/>
              </w:rPr>
              <w:t>Výdavky celkom</w:t>
            </w:r>
          </w:p>
        </w:tc>
        <w:tc>
          <w:tcPr>
            <w:tcW w:w="653" w:type="pct"/>
            <w:tcBorders>
              <w:top w:val="nil"/>
              <w:left w:val="nil"/>
              <w:bottom w:val="single" w:sz="12" w:space="0" w:color="FFFFFF"/>
              <w:right w:val="single" w:sz="12" w:space="0" w:color="FFFFFF"/>
            </w:tcBorders>
            <w:shd w:val="clear" w:color="000000" w:fill="BFBFBF"/>
            <w:vAlign w:val="center"/>
            <w:hideMark/>
          </w:tcPr>
          <w:p w14:paraId="6F810E0F"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162 264 569,09</w:t>
            </w:r>
          </w:p>
        </w:tc>
        <w:tc>
          <w:tcPr>
            <w:tcW w:w="648" w:type="pct"/>
            <w:tcBorders>
              <w:top w:val="nil"/>
              <w:left w:val="nil"/>
              <w:bottom w:val="single" w:sz="12" w:space="0" w:color="FFFFFF"/>
              <w:right w:val="single" w:sz="12" w:space="0" w:color="FFFFFF"/>
            </w:tcBorders>
            <w:shd w:val="clear" w:color="000000" w:fill="BFBFBF"/>
            <w:vAlign w:val="center"/>
            <w:hideMark/>
          </w:tcPr>
          <w:p w14:paraId="4505447E"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182 123 168,25</w:t>
            </w:r>
          </w:p>
        </w:tc>
        <w:tc>
          <w:tcPr>
            <w:tcW w:w="648" w:type="pct"/>
            <w:tcBorders>
              <w:top w:val="nil"/>
              <w:left w:val="nil"/>
              <w:bottom w:val="single" w:sz="12" w:space="0" w:color="FFFFFF"/>
              <w:right w:val="single" w:sz="12" w:space="0" w:color="FFFFFF"/>
            </w:tcBorders>
            <w:shd w:val="clear" w:color="000000" w:fill="BFBFBF"/>
            <w:vAlign w:val="center"/>
            <w:hideMark/>
          </w:tcPr>
          <w:p w14:paraId="7621771A"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210 708 035,37</w:t>
            </w:r>
          </w:p>
        </w:tc>
        <w:tc>
          <w:tcPr>
            <w:tcW w:w="655" w:type="pct"/>
            <w:tcBorders>
              <w:top w:val="nil"/>
              <w:left w:val="nil"/>
              <w:bottom w:val="single" w:sz="12" w:space="0" w:color="FFFFFF"/>
              <w:right w:val="single" w:sz="12" w:space="0" w:color="FFFFFF"/>
            </w:tcBorders>
            <w:shd w:val="clear" w:color="000000" w:fill="BFBFBF"/>
            <w:vAlign w:val="center"/>
            <w:hideMark/>
          </w:tcPr>
          <w:p w14:paraId="7CE31EC5"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210 320 242,02</w:t>
            </w:r>
          </w:p>
        </w:tc>
        <w:tc>
          <w:tcPr>
            <w:tcW w:w="673" w:type="pct"/>
            <w:tcBorders>
              <w:top w:val="nil"/>
              <w:left w:val="nil"/>
              <w:bottom w:val="single" w:sz="12" w:space="0" w:color="FFFFFF"/>
              <w:right w:val="single" w:sz="12" w:space="0" w:color="FFFFFF"/>
            </w:tcBorders>
            <w:shd w:val="clear" w:color="000000" w:fill="BFBFBF"/>
            <w:vAlign w:val="center"/>
            <w:hideMark/>
          </w:tcPr>
          <w:p w14:paraId="3020755C"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170 448 323,46</w:t>
            </w:r>
          </w:p>
        </w:tc>
        <w:tc>
          <w:tcPr>
            <w:tcW w:w="522" w:type="pct"/>
            <w:tcBorders>
              <w:top w:val="nil"/>
              <w:left w:val="nil"/>
              <w:bottom w:val="single" w:sz="12" w:space="0" w:color="FFFFFF"/>
              <w:right w:val="single" w:sz="12" w:space="0" w:color="FFFFFF"/>
            </w:tcBorders>
            <w:shd w:val="clear" w:color="000000" w:fill="BFBFBF"/>
            <w:vAlign w:val="center"/>
            <w:hideMark/>
          </w:tcPr>
          <w:p w14:paraId="684325C2"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99,82%</w:t>
            </w:r>
          </w:p>
        </w:tc>
        <w:tc>
          <w:tcPr>
            <w:tcW w:w="564" w:type="pct"/>
            <w:tcBorders>
              <w:top w:val="nil"/>
              <w:left w:val="nil"/>
              <w:bottom w:val="single" w:sz="12" w:space="0" w:color="FFFFFF"/>
              <w:right w:val="single" w:sz="12" w:space="0" w:color="FFFFFF"/>
            </w:tcBorders>
            <w:shd w:val="clear" w:color="000000" w:fill="BFBFBF"/>
            <w:vAlign w:val="center"/>
            <w:hideMark/>
          </w:tcPr>
          <w:p w14:paraId="730C6D6C" w14:textId="77777777" w:rsidR="00910767" w:rsidRPr="00910767" w:rsidRDefault="00910767" w:rsidP="00910767">
            <w:pPr>
              <w:spacing w:after="0" w:line="240" w:lineRule="auto"/>
              <w:jc w:val="right"/>
              <w:rPr>
                <w:rFonts w:cs="Calibri"/>
                <w:b/>
                <w:bCs/>
                <w:color w:val="000000"/>
                <w:sz w:val="18"/>
                <w:szCs w:val="18"/>
                <w:lang w:eastAsia="sk-SK"/>
              </w:rPr>
            </w:pPr>
            <w:r w:rsidRPr="00910767">
              <w:rPr>
                <w:rFonts w:cs="Calibri"/>
                <w:b/>
                <w:bCs/>
                <w:color w:val="000000"/>
                <w:sz w:val="18"/>
                <w:szCs w:val="18"/>
                <w:lang w:eastAsia="sk-SK"/>
              </w:rPr>
              <w:t>-387 793,35</w:t>
            </w:r>
          </w:p>
        </w:tc>
      </w:tr>
    </w:tbl>
    <w:p w14:paraId="1F333728" w14:textId="77777777" w:rsidR="00761018" w:rsidRDefault="00761018" w:rsidP="00BE704E">
      <w:pPr>
        <w:spacing w:after="0" w:line="240" w:lineRule="auto"/>
        <w:jc w:val="both"/>
        <w:rPr>
          <w:rFonts w:cs="Calibri"/>
          <w:sz w:val="24"/>
          <w:szCs w:val="24"/>
          <w:lang w:eastAsia="sk-SK"/>
        </w:rPr>
      </w:pPr>
    </w:p>
    <w:p w14:paraId="2219950B" w14:textId="644564C6" w:rsidR="001A2B4D" w:rsidRDefault="001A2B4D" w:rsidP="001A2B4D">
      <w:pPr>
        <w:spacing w:before="120" w:after="0" w:line="240" w:lineRule="auto"/>
        <w:jc w:val="both"/>
        <w:rPr>
          <w:rFonts w:cs="Calibri"/>
          <w:sz w:val="24"/>
          <w:szCs w:val="24"/>
          <w:u w:val="single"/>
        </w:rPr>
      </w:pPr>
      <w:r w:rsidRPr="008009DF">
        <w:rPr>
          <w:rFonts w:cs="Calibri"/>
          <w:sz w:val="24"/>
          <w:szCs w:val="24"/>
          <w:u w:val="single"/>
        </w:rPr>
        <w:t xml:space="preserve">Graf </w:t>
      </w:r>
      <w:r>
        <w:rPr>
          <w:rFonts w:cs="Calibri"/>
          <w:sz w:val="24"/>
          <w:szCs w:val="24"/>
          <w:u w:val="single"/>
        </w:rPr>
        <w:t>5</w:t>
      </w:r>
      <w:r w:rsidRPr="008009DF">
        <w:rPr>
          <w:rFonts w:cs="Calibri"/>
          <w:sz w:val="24"/>
          <w:szCs w:val="24"/>
          <w:u w:val="single"/>
        </w:rPr>
        <w:t xml:space="preserve">: </w:t>
      </w:r>
      <w:r>
        <w:rPr>
          <w:rFonts w:cs="Calibri"/>
          <w:sz w:val="24"/>
          <w:szCs w:val="24"/>
          <w:u w:val="single"/>
        </w:rPr>
        <w:t>Skutočné čerpanie výdavkov v rokoch 2018, 2019  a 2020:</w:t>
      </w:r>
    </w:p>
    <w:p w14:paraId="669F0EBC" w14:textId="19EAB23F" w:rsidR="001A2B4D" w:rsidRDefault="001A2B4D" w:rsidP="000D2278">
      <w:pPr>
        <w:spacing w:before="120" w:line="240" w:lineRule="auto"/>
        <w:jc w:val="both"/>
        <w:rPr>
          <w:rFonts w:cs="Calibri"/>
          <w:sz w:val="24"/>
          <w:szCs w:val="24"/>
          <w:u w:val="single"/>
        </w:rPr>
      </w:pPr>
      <w:r>
        <w:rPr>
          <w:noProof/>
        </w:rPr>
        <w:drawing>
          <wp:inline distT="0" distB="0" distL="0" distR="0" wp14:anchorId="5BC4CE5C" wp14:editId="442F5146">
            <wp:extent cx="6705600" cy="3146854"/>
            <wp:effectExtent l="0" t="0" r="0" b="0"/>
            <wp:docPr id="26" name="Graf 26">
              <a:extLst xmlns:a="http://schemas.openxmlformats.org/drawingml/2006/main">
                <a:ext uri="{FF2B5EF4-FFF2-40B4-BE49-F238E27FC236}">
                  <a16:creationId xmlns:a16="http://schemas.microsoft.com/office/drawing/2014/main" id="{ADB53675-8B42-452A-AB4C-F2E8C7C2F3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AF9BDB" w14:textId="4818B5E0" w:rsidR="001A2B4D" w:rsidRDefault="00830CF2" w:rsidP="000D2278">
      <w:pPr>
        <w:spacing w:before="120" w:line="240" w:lineRule="auto"/>
        <w:jc w:val="both"/>
        <w:rPr>
          <w:rFonts w:cs="Calibri"/>
          <w:sz w:val="24"/>
          <w:szCs w:val="24"/>
          <w:u w:val="single"/>
        </w:rPr>
      </w:pPr>
      <w:r>
        <w:rPr>
          <w:rFonts w:cs="Calibri"/>
          <w:sz w:val="24"/>
          <w:szCs w:val="24"/>
          <w:u w:val="single"/>
        </w:rPr>
        <w:t>Čerpanie výdavkov v zmysle štatistickej klasifikácie výdavkov verejnej správy (SK COFOG)</w:t>
      </w:r>
    </w:p>
    <w:p w14:paraId="11DE5557" w14:textId="5C1194B4" w:rsidR="001A2B4D" w:rsidRDefault="00830CF2" w:rsidP="000D2278">
      <w:pPr>
        <w:spacing w:before="120" w:line="240" w:lineRule="auto"/>
        <w:jc w:val="both"/>
        <w:rPr>
          <w:rFonts w:cs="Calibri"/>
          <w:sz w:val="24"/>
          <w:szCs w:val="24"/>
          <w:u w:val="single"/>
        </w:rPr>
      </w:pPr>
      <w:r w:rsidRPr="00830CF2">
        <w:rPr>
          <w:rFonts w:cs="Calibri"/>
          <w:noProof/>
          <w:sz w:val="24"/>
          <w:szCs w:val="24"/>
          <w:u w:val="single"/>
        </w:rPr>
        <w:drawing>
          <wp:inline distT="0" distB="0" distL="0" distR="0" wp14:anchorId="44496E18" wp14:editId="618D960F">
            <wp:extent cx="3276600" cy="15144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76600" cy="1514475"/>
                    </a:xfrm>
                    <a:prstGeom prst="rect">
                      <a:avLst/>
                    </a:prstGeom>
                    <a:noFill/>
                    <a:ln>
                      <a:noFill/>
                    </a:ln>
                  </pic:spPr>
                </pic:pic>
              </a:graphicData>
            </a:graphic>
          </wp:inline>
        </w:drawing>
      </w:r>
      <w:r>
        <w:rPr>
          <w:rFonts w:cs="Calibri"/>
          <w:sz w:val="24"/>
          <w:szCs w:val="24"/>
          <w:u w:val="single"/>
        </w:rPr>
        <w:t xml:space="preserve">  </w:t>
      </w:r>
      <w:r w:rsidRPr="00830CF2">
        <w:rPr>
          <w:rFonts w:cs="Calibri"/>
          <w:noProof/>
          <w:sz w:val="24"/>
          <w:szCs w:val="24"/>
          <w:u w:val="single"/>
        </w:rPr>
        <w:drawing>
          <wp:inline distT="0" distB="0" distL="0" distR="0" wp14:anchorId="51873E84" wp14:editId="25DE258E">
            <wp:extent cx="3219450" cy="10572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19450" cy="1057275"/>
                    </a:xfrm>
                    <a:prstGeom prst="rect">
                      <a:avLst/>
                    </a:prstGeom>
                    <a:noFill/>
                    <a:ln>
                      <a:noFill/>
                    </a:ln>
                  </pic:spPr>
                </pic:pic>
              </a:graphicData>
            </a:graphic>
          </wp:inline>
        </w:drawing>
      </w:r>
    </w:p>
    <w:p w14:paraId="49BC4DA2" w14:textId="3C9D947E" w:rsidR="00BE704E" w:rsidRDefault="00BE704E" w:rsidP="000D2278">
      <w:pPr>
        <w:spacing w:before="120" w:line="240" w:lineRule="auto"/>
        <w:jc w:val="both"/>
        <w:rPr>
          <w:lang w:eastAsia="sk-SK"/>
        </w:rPr>
      </w:pPr>
      <w:r w:rsidRPr="004D1FDC">
        <w:rPr>
          <w:rFonts w:cs="Calibri"/>
          <w:sz w:val="24"/>
          <w:szCs w:val="24"/>
          <w:u w:val="single"/>
        </w:rPr>
        <w:lastRenderedPageBreak/>
        <w:t xml:space="preserve">Graf </w:t>
      </w:r>
      <w:r w:rsidR="001A2B4D">
        <w:rPr>
          <w:rFonts w:cs="Calibri"/>
          <w:sz w:val="24"/>
          <w:szCs w:val="24"/>
          <w:u w:val="single"/>
        </w:rPr>
        <w:t>6</w:t>
      </w:r>
      <w:r w:rsidRPr="004D1FDC">
        <w:rPr>
          <w:rFonts w:cs="Calibri"/>
          <w:sz w:val="24"/>
          <w:szCs w:val="24"/>
          <w:u w:val="single"/>
        </w:rPr>
        <w:t>: Podiel čerpania bežných, kapitálových výdavkov a výdavkových FO na celkových výdavkoch</w:t>
      </w:r>
      <w:r w:rsidRPr="00370EC8">
        <w:rPr>
          <w:lang w:eastAsia="sk-SK"/>
        </w:rPr>
        <w:t>.</w:t>
      </w:r>
    </w:p>
    <w:p w14:paraId="2576DED2" w14:textId="062DB599" w:rsidR="00D5759B" w:rsidRPr="00017596" w:rsidRDefault="001A2B4D" w:rsidP="00D5759B">
      <w:pPr>
        <w:spacing w:before="120" w:line="240" w:lineRule="auto"/>
        <w:jc w:val="both"/>
        <w:rPr>
          <w:lang w:eastAsia="sk-SK"/>
        </w:rPr>
      </w:pPr>
      <w:r>
        <w:rPr>
          <w:noProof/>
        </w:rPr>
        <w:drawing>
          <wp:inline distT="0" distB="0" distL="0" distR="0" wp14:anchorId="3DD27144" wp14:editId="664DD414">
            <wp:extent cx="6433751" cy="2232454"/>
            <wp:effectExtent l="0" t="0" r="5715" b="0"/>
            <wp:docPr id="27" name="Graf 27">
              <a:extLst xmlns:a="http://schemas.openxmlformats.org/drawingml/2006/main">
                <a:ext uri="{FF2B5EF4-FFF2-40B4-BE49-F238E27FC236}">
                  <a16:creationId xmlns:a16="http://schemas.microsoft.com/office/drawing/2014/main" id="{C0FC357B-CF72-4F20-B2C8-2BE44238F4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B3D6D29" w14:textId="5863532B" w:rsidR="00D5759B" w:rsidRPr="00D5759B" w:rsidRDefault="00BE704E" w:rsidP="00D5759B">
      <w:pPr>
        <w:spacing w:before="120" w:line="240" w:lineRule="auto"/>
        <w:jc w:val="both"/>
        <w:rPr>
          <w:lang w:eastAsia="sk-SK"/>
        </w:rPr>
      </w:pPr>
      <w:r w:rsidRPr="004D1FDC">
        <w:rPr>
          <w:rFonts w:cs="Calibri"/>
          <w:sz w:val="24"/>
          <w:szCs w:val="24"/>
          <w:u w:val="single"/>
        </w:rPr>
        <w:t>Graf</w:t>
      </w:r>
      <w:r w:rsidR="00965182">
        <w:rPr>
          <w:rFonts w:cs="Calibri"/>
          <w:sz w:val="24"/>
          <w:szCs w:val="24"/>
          <w:u w:val="single"/>
        </w:rPr>
        <w:t xml:space="preserve"> </w:t>
      </w:r>
      <w:r w:rsidR="001A2B4D">
        <w:rPr>
          <w:rFonts w:cs="Calibri"/>
          <w:sz w:val="24"/>
          <w:szCs w:val="24"/>
          <w:u w:val="single"/>
        </w:rPr>
        <w:t>7</w:t>
      </w:r>
      <w:r w:rsidRPr="004D1FDC">
        <w:rPr>
          <w:rFonts w:cs="Calibri"/>
          <w:sz w:val="24"/>
          <w:szCs w:val="24"/>
          <w:u w:val="single"/>
        </w:rPr>
        <w:t xml:space="preserve">: </w:t>
      </w:r>
      <w:r>
        <w:rPr>
          <w:rFonts w:cs="Calibri"/>
          <w:sz w:val="24"/>
          <w:szCs w:val="24"/>
          <w:u w:val="single"/>
        </w:rPr>
        <w:t>Č</w:t>
      </w:r>
      <w:r w:rsidRPr="004D1FDC">
        <w:rPr>
          <w:rFonts w:cs="Calibri"/>
          <w:sz w:val="24"/>
          <w:szCs w:val="24"/>
          <w:u w:val="single"/>
        </w:rPr>
        <w:t>erpani</w:t>
      </w:r>
      <w:r>
        <w:rPr>
          <w:rFonts w:cs="Calibri"/>
          <w:sz w:val="24"/>
          <w:szCs w:val="24"/>
          <w:u w:val="single"/>
        </w:rPr>
        <w:t>e</w:t>
      </w:r>
      <w:r w:rsidRPr="004D1FDC">
        <w:rPr>
          <w:rFonts w:cs="Calibri"/>
          <w:sz w:val="24"/>
          <w:szCs w:val="24"/>
          <w:u w:val="single"/>
        </w:rPr>
        <w:t xml:space="preserve"> výdavkov a výdavkových FO </w:t>
      </w:r>
      <w:r>
        <w:rPr>
          <w:rFonts w:cs="Calibri"/>
          <w:sz w:val="24"/>
          <w:szCs w:val="24"/>
          <w:u w:val="single"/>
        </w:rPr>
        <w:t>podľa zdroja financovani</w:t>
      </w:r>
      <w:r w:rsidR="00D5759B">
        <w:rPr>
          <w:rFonts w:cs="Calibri"/>
          <w:sz w:val="24"/>
          <w:szCs w:val="24"/>
          <w:u w:val="single"/>
        </w:rPr>
        <w:t>a:</w:t>
      </w:r>
    </w:p>
    <w:p w14:paraId="5765E95A" w14:textId="4C2B863A" w:rsidR="00BE704E" w:rsidRDefault="00D5759B" w:rsidP="00BE704E">
      <w:pPr>
        <w:spacing w:before="100" w:beforeAutospacing="1" w:after="100" w:afterAutospacing="1" w:line="240" w:lineRule="auto"/>
        <w:jc w:val="both"/>
        <w:rPr>
          <w:rFonts w:cs="Calibri"/>
          <w:sz w:val="24"/>
          <w:szCs w:val="24"/>
          <w:u w:val="single"/>
        </w:rPr>
      </w:pPr>
      <w:r>
        <w:rPr>
          <w:noProof/>
        </w:rPr>
        <w:drawing>
          <wp:inline distT="0" distB="0" distL="0" distR="0" wp14:anchorId="2CA8CB4B" wp14:editId="09134AF5">
            <wp:extent cx="6590030" cy="2240692"/>
            <wp:effectExtent l="0" t="0" r="1270" b="7620"/>
            <wp:docPr id="25" name="Graf 25">
              <a:extLst xmlns:a="http://schemas.openxmlformats.org/drawingml/2006/main">
                <a:ext uri="{FF2B5EF4-FFF2-40B4-BE49-F238E27FC236}">
                  <a16:creationId xmlns:a16="http://schemas.microsoft.com/office/drawing/2014/main" id="{2D104E66-03AE-4467-970F-50D5B29D4B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8D031C0" w14:textId="1348260F" w:rsidR="00F12467" w:rsidRDefault="0050647F" w:rsidP="00BE704E">
      <w:pPr>
        <w:spacing w:before="100" w:beforeAutospacing="1" w:after="100" w:afterAutospacing="1" w:line="240" w:lineRule="auto"/>
        <w:jc w:val="both"/>
        <w:rPr>
          <w:rFonts w:cs="Calibri"/>
          <w:sz w:val="24"/>
          <w:szCs w:val="24"/>
          <w:u w:val="single"/>
        </w:rPr>
      </w:pPr>
      <w:r w:rsidRPr="004D1FDC">
        <w:rPr>
          <w:rFonts w:cs="Calibri"/>
          <w:sz w:val="24"/>
          <w:szCs w:val="24"/>
          <w:u w:val="single"/>
        </w:rPr>
        <w:t>Graf</w:t>
      </w:r>
      <w:r>
        <w:rPr>
          <w:rFonts w:cs="Calibri"/>
          <w:sz w:val="24"/>
          <w:szCs w:val="24"/>
          <w:u w:val="single"/>
        </w:rPr>
        <w:t xml:space="preserve"> </w:t>
      </w:r>
      <w:r w:rsidR="00F12467">
        <w:rPr>
          <w:rFonts w:cs="Calibri"/>
          <w:sz w:val="24"/>
          <w:szCs w:val="24"/>
          <w:u w:val="single"/>
        </w:rPr>
        <w:t>8</w:t>
      </w:r>
      <w:r w:rsidRPr="004D1FDC">
        <w:rPr>
          <w:rFonts w:cs="Calibri"/>
          <w:sz w:val="24"/>
          <w:szCs w:val="24"/>
          <w:u w:val="single"/>
        </w:rPr>
        <w:t xml:space="preserve">: </w:t>
      </w:r>
      <w:r w:rsidR="00017660">
        <w:rPr>
          <w:rFonts w:cs="Calibri"/>
          <w:sz w:val="24"/>
          <w:szCs w:val="24"/>
          <w:u w:val="single"/>
        </w:rPr>
        <w:t>Podiel č</w:t>
      </w:r>
      <w:r w:rsidRPr="004D1FDC">
        <w:rPr>
          <w:rFonts w:cs="Calibri"/>
          <w:sz w:val="24"/>
          <w:szCs w:val="24"/>
          <w:u w:val="single"/>
        </w:rPr>
        <w:t>erpani</w:t>
      </w:r>
      <w:r w:rsidR="00017660">
        <w:rPr>
          <w:rFonts w:cs="Calibri"/>
          <w:sz w:val="24"/>
          <w:szCs w:val="24"/>
          <w:u w:val="single"/>
        </w:rPr>
        <w:t>a</w:t>
      </w:r>
      <w:r w:rsidRPr="004D1FDC">
        <w:rPr>
          <w:rFonts w:cs="Calibri"/>
          <w:sz w:val="24"/>
          <w:szCs w:val="24"/>
          <w:u w:val="single"/>
        </w:rPr>
        <w:t xml:space="preserve"> výdavkov a výdavkových FO </w:t>
      </w:r>
      <w:r>
        <w:rPr>
          <w:rFonts w:cs="Calibri"/>
          <w:sz w:val="24"/>
          <w:szCs w:val="24"/>
          <w:u w:val="single"/>
        </w:rPr>
        <w:t>podľa zdroja financovania</w:t>
      </w:r>
      <w:r w:rsidR="00017660">
        <w:rPr>
          <w:rFonts w:cs="Calibri"/>
          <w:sz w:val="24"/>
          <w:szCs w:val="24"/>
          <w:u w:val="single"/>
        </w:rPr>
        <w:t xml:space="preserve"> na celkových výdavkoch</w:t>
      </w:r>
      <w:r>
        <w:rPr>
          <w:rFonts w:cs="Calibri"/>
          <w:sz w:val="24"/>
          <w:szCs w:val="24"/>
          <w:u w:val="single"/>
        </w:rPr>
        <w:t>:</w:t>
      </w:r>
    </w:p>
    <w:p w14:paraId="0AC0E94E" w14:textId="284EC804" w:rsidR="00C52CCE" w:rsidRDefault="00F12467" w:rsidP="00F12467">
      <w:pPr>
        <w:spacing w:before="100" w:beforeAutospacing="1" w:after="100" w:afterAutospacing="1" w:line="240" w:lineRule="auto"/>
        <w:jc w:val="both"/>
        <w:rPr>
          <w:rFonts w:cs="Calibri"/>
          <w:sz w:val="24"/>
          <w:szCs w:val="24"/>
          <w:u w:val="single"/>
        </w:rPr>
      </w:pPr>
      <w:r>
        <w:rPr>
          <w:noProof/>
        </w:rPr>
        <w:drawing>
          <wp:inline distT="0" distB="0" distL="0" distR="0" wp14:anchorId="20434C88" wp14:editId="52CDE173">
            <wp:extent cx="6895070" cy="3117850"/>
            <wp:effectExtent l="0" t="0" r="1270" b="6350"/>
            <wp:docPr id="28" name="Graf 28">
              <a:extLst xmlns:a="http://schemas.openxmlformats.org/drawingml/2006/main">
                <a:ext uri="{FF2B5EF4-FFF2-40B4-BE49-F238E27FC236}">
                  <a16:creationId xmlns:a16="http://schemas.microsoft.com/office/drawing/2014/main" id="{CF6BA2B0-3586-4851-A5C3-B7FB55D88A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5474FF8" w14:textId="77777777" w:rsidR="00C52CCE" w:rsidRDefault="00C52CCE" w:rsidP="00BE704E">
      <w:pPr>
        <w:spacing w:line="240" w:lineRule="auto"/>
        <w:jc w:val="both"/>
        <w:rPr>
          <w:rFonts w:cs="Calibri"/>
          <w:sz w:val="24"/>
          <w:szCs w:val="24"/>
          <w:u w:val="single"/>
        </w:rPr>
      </w:pPr>
    </w:p>
    <w:p w14:paraId="71B02A88" w14:textId="77777777" w:rsidR="00F12467" w:rsidRDefault="00F12467" w:rsidP="00BE704E">
      <w:pPr>
        <w:pStyle w:val="tl3"/>
        <w:ind w:firstLine="0"/>
        <w:rPr>
          <w:lang w:eastAsia="ar-SA"/>
        </w:rPr>
      </w:pPr>
    </w:p>
    <w:p w14:paraId="3895F14C" w14:textId="715C0170" w:rsidR="00BE704E" w:rsidRPr="00F76214" w:rsidRDefault="00BE704E" w:rsidP="00BE704E">
      <w:pPr>
        <w:pStyle w:val="tl3"/>
        <w:ind w:firstLine="0"/>
        <w:rPr>
          <w:lang w:eastAsia="ar-SA"/>
        </w:rPr>
      </w:pPr>
      <w:r w:rsidRPr="008E3A13">
        <w:rPr>
          <w:lang w:eastAsia="ar-SA"/>
        </w:rPr>
        <w:lastRenderedPageBreak/>
        <w:t>B.2.1  Bežné výdavky</w:t>
      </w:r>
      <w:r w:rsidRPr="00F76214">
        <w:rPr>
          <w:lang w:eastAsia="ar-SA"/>
        </w:rPr>
        <w:t xml:space="preserve">  </w:t>
      </w:r>
      <w:r w:rsidRPr="00F76214">
        <w:rPr>
          <w:lang w:eastAsia="ar-SA"/>
        </w:rPr>
        <w:tab/>
      </w:r>
    </w:p>
    <w:p w14:paraId="6B56D097" w14:textId="033CEA52" w:rsidR="00BE704E" w:rsidRPr="00BB63A5" w:rsidRDefault="00BE704E" w:rsidP="007269CE">
      <w:pPr>
        <w:spacing w:after="0" w:line="240" w:lineRule="auto"/>
        <w:jc w:val="both"/>
        <w:rPr>
          <w:rFonts w:cs="Calibri"/>
          <w:bCs/>
          <w:sz w:val="24"/>
          <w:szCs w:val="24"/>
          <w:lang w:eastAsia="sk-SK"/>
        </w:rPr>
      </w:pPr>
      <w:r>
        <w:rPr>
          <w:rFonts w:cs="Calibri"/>
          <w:b/>
          <w:sz w:val="24"/>
          <w:szCs w:val="24"/>
          <w:lang w:eastAsia="sk-SK"/>
        </w:rPr>
        <w:t>Rozpočet b</w:t>
      </w:r>
      <w:r w:rsidRPr="00E26E32">
        <w:rPr>
          <w:rFonts w:cs="Calibri"/>
          <w:b/>
          <w:sz w:val="24"/>
          <w:szCs w:val="24"/>
          <w:lang w:eastAsia="sk-SK"/>
        </w:rPr>
        <w:t>ežn</w:t>
      </w:r>
      <w:r>
        <w:rPr>
          <w:rFonts w:cs="Calibri"/>
          <w:b/>
          <w:sz w:val="24"/>
          <w:szCs w:val="24"/>
          <w:lang w:eastAsia="sk-SK"/>
        </w:rPr>
        <w:t>ých</w:t>
      </w:r>
      <w:r w:rsidRPr="00E26E32">
        <w:rPr>
          <w:rFonts w:cs="Calibri"/>
          <w:b/>
          <w:sz w:val="24"/>
          <w:szCs w:val="24"/>
          <w:lang w:eastAsia="sk-SK"/>
        </w:rPr>
        <w:t xml:space="preserve"> výdavk</w:t>
      </w:r>
      <w:r>
        <w:rPr>
          <w:rFonts w:cs="Calibri"/>
          <w:b/>
          <w:sz w:val="24"/>
          <w:szCs w:val="24"/>
          <w:lang w:eastAsia="sk-SK"/>
        </w:rPr>
        <w:t>ov</w:t>
      </w:r>
      <w:r w:rsidRPr="00F865DA">
        <w:rPr>
          <w:rFonts w:cs="Calibri"/>
          <w:sz w:val="24"/>
          <w:szCs w:val="24"/>
          <w:lang w:eastAsia="sk-SK"/>
        </w:rPr>
        <w:t xml:space="preserve"> </w:t>
      </w:r>
      <w:r w:rsidRPr="002A057C">
        <w:rPr>
          <w:rFonts w:cs="Calibri"/>
          <w:b/>
          <w:sz w:val="24"/>
          <w:szCs w:val="24"/>
          <w:lang w:eastAsia="sk-SK"/>
        </w:rPr>
        <w:t xml:space="preserve">bol schválený </w:t>
      </w:r>
      <w:r w:rsidRPr="00947000">
        <w:rPr>
          <w:rFonts w:cs="Calibri"/>
          <w:sz w:val="24"/>
          <w:szCs w:val="24"/>
          <w:lang w:eastAsia="sk-SK"/>
        </w:rPr>
        <w:t>vo výške</w:t>
      </w:r>
      <w:r w:rsidRPr="002A057C">
        <w:rPr>
          <w:rFonts w:cs="Calibri"/>
          <w:b/>
          <w:sz w:val="24"/>
          <w:szCs w:val="24"/>
          <w:lang w:eastAsia="sk-SK"/>
        </w:rPr>
        <w:t xml:space="preserve"> </w:t>
      </w:r>
      <w:r w:rsidR="00186BC1" w:rsidRPr="00186BC1">
        <w:rPr>
          <w:rFonts w:cs="Calibri"/>
          <w:b/>
          <w:sz w:val="24"/>
          <w:szCs w:val="24"/>
          <w:lang w:eastAsia="sk-SK"/>
        </w:rPr>
        <w:t>170 922 732,53</w:t>
      </w:r>
      <w:r w:rsidR="00186BC1">
        <w:rPr>
          <w:rFonts w:cs="Calibri"/>
          <w:b/>
          <w:sz w:val="24"/>
          <w:szCs w:val="24"/>
          <w:lang w:eastAsia="sk-SK"/>
        </w:rPr>
        <w:t xml:space="preserve"> </w:t>
      </w:r>
      <w:r w:rsidRPr="002A057C">
        <w:rPr>
          <w:rFonts w:cs="Calibri"/>
          <w:b/>
          <w:sz w:val="24"/>
          <w:szCs w:val="24"/>
          <w:lang w:eastAsia="sk-SK"/>
        </w:rPr>
        <w:t>EUR</w:t>
      </w:r>
      <w:r>
        <w:rPr>
          <w:rFonts w:cs="Calibri"/>
          <w:b/>
          <w:sz w:val="24"/>
          <w:szCs w:val="24"/>
          <w:lang w:eastAsia="sk-SK"/>
        </w:rPr>
        <w:t xml:space="preserve">. </w:t>
      </w:r>
      <w:r w:rsidRPr="00F865DA">
        <w:rPr>
          <w:rFonts w:cs="Calibri"/>
          <w:bCs/>
          <w:sz w:val="24"/>
          <w:szCs w:val="24"/>
          <w:lang w:eastAsia="sk-SK"/>
        </w:rPr>
        <w:t>V pri</w:t>
      </w:r>
      <w:r>
        <w:rPr>
          <w:rFonts w:cs="Calibri"/>
          <w:bCs/>
          <w:sz w:val="24"/>
          <w:szCs w:val="24"/>
          <w:lang w:eastAsia="sk-SK"/>
        </w:rPr>
        <w:t xml:space="preserve">ebehu  roka  bol rozpočet bežných  </w:t>
      </w:r>
      <w:r w:rsidRPr="00F865DA">
        <w:rPr>
          <w:rFonts w:cs="Calibri"/>
          <w:bCs/>
          <w:sz w:val="24"/>
          <w:szCs w:val="24"/>
          <w:lang w:eastAsia="sk-SK"/>
        </w:rPr>
        <w:t xml:space="preserve">výdavkov </w:t>
      </w:r>
      <w:r>
        <w:rPr>
          <w:rFonts w:cs="Calibri"/>
          <w:bCs/>
          <w:sz w:val="24"/>
          <w:szCs w:val="24"/>
          <w:lang w:eastAsia="sk-SK"/>
        </w:rPr>
        <w:t xml:space="preserve"> </w:t>
      </w:r>
      <w:r w:rsidRPr="00F865DA">
        <w:rPr>
          <w:rFonts w:cs="Calibri"/>
          <w:b/>
          <w:bCs/>
          <w:sz w:val="24"/>
          <w:szCs w:val="24"/>
          <w:lang w:eastAsia="sk-SK"/>
        </w:rPr>
        <w:t>zmenený</w:t>
      </w:r>
      <w:r w:rsidRPr="00F865DA">
        <w:rPr>
          <w:rFonts w:cs="Calibri"/>
          <w:bCs/>
          <w:sz w:val="24"/>
          <w:szCs w:val="24"/>
          <w:lang w:eastAsia="sk-SK"/>
        </w:rPr>
        <w:t xml:space="preserve"> </w:t>
      </w:r>
      <w:r>
        <w:rPr>
          <w:rFonts w:cs="Calibri"/>
          <w:bCs/>
          <w:sz w:val="24"/>
          <w:szCs w:val="24"/>
          <w:lang w:eastAsia="sk-SK"/>
        </w:rPr>
        <w:t xml:space="preserve"> </w:t>
      </w:r>
      <w:r w:rsidRPr="00F865DA">
        <w:rPr>
          <w:rFonts w:cs="Calibri"/>
          <w:bCs/>
          <w:sz w:val="24"/>
          <w:szCs w:val="24"/>
          <w:lang w:eastAsia="sk-SK"/>
        </w:rPr>
        <w:t>a </w:t>
      </w:r>
      <w:r>
        <w:rPr>
          <w:rFonts w:cs="Calibri"/>
          <w:bCs/>
          <w:sz w:val="24"/>
          <w:szCs w:val="24"/>
          <w:lang w:eastAsia="sk-SK"/>
        </w:rPr>
        <w:t xml:space="preserve"> </w:t>
      </w:r>
      <w:r w:rsidRPr="00F865DA">
        <w:rPr>
          <w:rFonts w:cs="Calibri"/>
          <w:bCs/>
          <w:sz w:val="24"/>
          <w:szCs w:val="24"/>
          <w:lang w:eastAsia="sk-SK"/>
        </w:rPr>
        <w:t xml:space="preserve">výsledný </w:t>
      </w:r>
      <w:r>
        <w:rPr>
          <w:rFonts w:cs="Calibri"/>
          <w:bCs/>
          <w:sz w:val="24"/>
          <w:szCs w:val="24"/>
          <w:lang w:eastAsia="sk-SK"/>
        </w:rPr>
        <w:t xml:space="preserve"> </w:t>
      </w:r>
      <w:r w:rsidRPr="00F865DA">
        <w:rPr>
          <w:rFonts w:cs="Calibri"/>
          <w:bCs/>
          <w:sz w:val="24"/>
          <w:szCs w:val="24"/>
          <w:lang w:eastAsia="sk-SK"/>
        </w:rPr>
        <w:t xml:space="preserve">stav rozpočtu </w:t>
      </w:r>
      <w:r>
        <w:rPr>
          <w:rFonts w:cs="Calibri"/>
          <w:bCs/>
          <w:sz w:val="24"/>
          <w:szCs w:val="24"/>
          <w:lang w:eastAsia="sk-SK"/>
        </w:rPr>
        <w:t xml:space="preserve"> </w:t>
      </w:r>
      <w:r w:rsidRPr="00F865DA">
        <w:rPr>
          <w:rFonts w:cs="Calibri"/>
          <w:bCs/>
          <w:sz w:val="24"/>
          <w:szCs w:val="24"/>
          <w:lang w:eastAsia="sk-SK"/>
        </w:rPr>
        <w:t xml:space="preserve">k </w:t>
      </w:r>
      <w:r>
        <w:rPr>
          <w:rFonts w:cs="Calibri"/>
          <w:bCs/>
          <w:sz w:val="24"/>
          <w:szCs w:val="24"/>
          <w:lang w:eastAsia="sk-SK"/>
        </w:rPr>
        <w:t xml:space="preserve"> 31.12.20</w:t>
      </w:r>
      <w:r w:rsidR="00186BC1">
        <w:rPr>
          <w:rFonts w:cs="Calibri"/>
          <w:bCs/>
          <w:sz w:val="24"/>
          <w:szCs w:val="24"/>
          <w:lang w:eastAsia="sk-SK"/>
        </w:rPr>
        <w:t>20</w:t>
      </w:r>
      <w:r>
        <w:rPr>
          <w:rFonts w:cs="Calibri"/>
          <w:bCs/>
          <w:sz w:val="24"/>
          <w:szCs w:val="24"/>
          <w:lang w:eastAsia="sk-SK"/>
        </w:rPr>
        <w:t xml:space="preserve">  </w:t>
      </w:r>
      <w:r w:rsidRPr="00F865DA">
        <w:rPr>
          <w:rFonts w:cs="Calibri"/>
          <w:color w:val="000000"/>
          <w:sz w:val="24"/>
          <w:szCs w:val="24"/>
          <w:lang w:eastAsia="sk-SK"/>
        </w:rPr>
        <w:t xml:space="preserve">bol </w:t>
      </w:r>
      <w:r>
        <w:rPr>
          <w:rFonts w:cs="Calibri"/>
          <w:color w:val="000000"/>
          <w:sz w:val="24"/>
          <w:szCs w:val="24"/>
          <w:lang w:eastAsia="sk-SK"/>
        </w:rPr>
        <w:t xml:space="preserve"> </w:t>
      </w:r>
      <w:r w:rsidRPr="00F865DA">
        <w:rPr>
          <w:rFonts w:cs="Calibri"/>
          <w:color w:val="000000"/>
          <w:sz w:val="24"/>
          <w:szCs w:val="24"/>
          <w:lang w:eastAsia="sk-SK"/>
        </w:rPr>
        <w:t xml:space="preserve">vo </w:t>
      </w:r>
      <w:r>
        <w:rPr>
          <w:rFonts w:cs="Calibri"/>
          <w:color w:val="000000"/>
          <w:sz w:val="24"/>
          <w:szCs w:val="24"/>
          <w:lang w:eastAsia="sk-SK"/>
        </w:rPr>
        <w:t xml:space="preserve"> </w:t>
      </w:r>
      <w:r w:rsidRPr="00F865DA">
        <w:rPr>
          <w:rFonts w:cs="Calibri"/>
          <w:color w:val="000000"/>
          <w:sz w:val="24"/>
          <w:szCs w:val="24"/>
          <w:lang w:eastAsia="sk-SK"/>
        </w:rPr>
        <w:t xml:space="preserve">výške </w:t>
      </w:r>
      <w:r w:rsidRPr="00F865DA">
        <w:rPr>
          <w:rFonts w:cs="Calibri"/>
          <w:bCs/>
          <w:sz w:val="24"/>
          <w:szCs w:val="24"/>
          <w:lang w:eastAsia="sk-SK"/>
        </w:rPr>
        <w:t xml:space="preserve"> </w:t>
      </w:r>
      <w:r>
        <w:rPr>
          <w:rFonts w:cs="Calibri"/>
          <w:bCs/>
          <w:sz w:val="24"/>
          <w:szCs w:val="24"/>
          <w:lang w:eastAsia="sk-SK"/>
        </w:rPr>
        <w:br/>
      </w:r>
      <w:r w:rsidR="00186BC1" w:rsidRPr="00186BC1">
        <w:rPr>
          <w:rFonts w:cs="Calibri"/>
          <w:b/>
          <w:bCs/>
          <w:sz w:val="24"/>
          <w:szCs w:val="24"/>
          <w:lang w:eastAsia="sk-SK"/>
        </w:rPr>
        <w:t>174 221 749,52</w:t>
      </w:r>
      <w:r w:rsidR="00B422AE">
        <w:rPr>
          <w:rFonts w:cs="Calibri"/>
          <w:b/>
          <w:bCs/>
          <w:sz w:val="24"/>
          <w:szCs w:val="24"/>
          <w:lang w:eastAsia="sk-SK"/>
        </w:rPr>
        <w:t xml:space="preserve"> </w:t>
      </w:r>
      <w:r>
        <w:rPr>
          <w:rFonts w:cs="Calibri"/>
          <w:b/>
          <w:bCs/>
          <w:sz w:val="24"/>
          <w:szCs w:val="24"/>
          <w:lang w:eastAsia="sk-SK"/>
        </w:rPr>
        <w:t xml:space="preserve">EUR.  </w:t>
      </w:r>
      <w:r w:rsidRPr="00930B5A">
        <w:rPr>
          <w:rFonts w:cs="Calibri"/>
          <w:sz w:val="24"/>
          <w:szCs w:val="24"/>
          <w:lang w:eastAsia="sk-SK"/>
        </w:rPr>
        <w:t xml:space="preserve">Bežné výdavky vynaložené </w:t>
      </w:r>
      <w:r>
        <w:rPr>
          <w:rFonts w:cs="Calibri"/>
          <w:b/>
          <w:bCs/>
          <w:sz w:val="24"/>
          <w:szCs w:val="24"/>
          <w:lang w:eastAsia="sk-SK"/>
        </w:rPr>
        <w:t xml:space="preserve">v čiastke </w:t>
      </w:r>
      <w:r w:rsidR="00186BC1" w:rsidRPr="00186BC1">
        <w:rPr>
          <w:rFonts w:cs="Calibri"/>
          <w:b/>
          <w:bCs/>
          <w:sz w:val="24"/>
          <w:szCs w:val="24"/>
          <w:lang w:eastAsia="sk-SK"/>
        </w:rPr>
        <w:t>155 827 379,05</w:t>
      </w:r>
      <w:r w:rsidR="00186BC1">
        <w:rPr>
          <w:rFonts w:cs="Calibri"/>
          <w:b/>
          <w:bCs/>
          <w:sz w:val="24"/>
          <w:szCs w:val="24"/>
          <w:lang w:eastAsia="sk-SK"/>
        </w:rPr>
        <w:t xml:space="preserve"> </w:t>
      </w:r>
      <w:r w:rsidRPr="008C5CEA">
        <w:rPr>
          <w:rFonts w:cs="Calibri"/>
          <w:b/>
          <w:bCs/>
          <w:sz w:val="24"/>
          <w:szCs w:val="24"/>
          <w:lang w:eastAsia="sk-SK"/>
        </w:rPr>
        <w:t>EUR</w:t>
      </w:r>
      <w:r>
        <w:rPr>
          <w:rFonts w:cs="Calibri"/>
          <w:b/>
          <w:bCs/>
          <w:sz w:val="24"/>
          <w:szCs w:val="24"/>
          <w:lang w:eastAsia="sk-SK"/>
        </w:rPr>
        <w:t xml:space="preserve"> </w:t>
      </w:r>
      <w:r w:rsidRPr="00930B5A">
        <w:rPr>
          <w:rFonts w:cs="Calibri"/>
          <w:bCs/>
          <w:sz w:val="24"/>
          <w:szCs w:val="24"/>
          <w:lang w:eastAsia="sk-SK"/>
        </w:rPr>
        <w:t xml:space="preserve">tvoria </w:t>
      </w:r>
      <w:r w:rsidR="00186BC1">
        <w:rPr>
          <w:rFonts w:cs="Calibri"/>
          <w:bCs/>
          <w:sz w:val="24"/>
          <w:szCs w:val="24"/>
          <w:lang w:eastAsia="sk-SK"/>
        </w:rPr>
        <w:t>91,42</w:t>
      </w:r>
      <w:r w:rsidRPr="00930B5A">
        <w:rPr>
          <w:rFonts w:cs="Calibri"/>
          <w:bCs/>
          <w:sz w:val="24"/>
          <w:szCs w:val="24"/>
          <w:lang w:eastAsia="sk-SK"/>
        </w:rPr>
        <w:t>%-</w:t>
      </w:r>
      <w:proofErr w:type="spellStart"/>
      <w:r w:rsidRPr="00930B5A">
        <w:rPr>
          <w:rFonts w:cs="Calibri"/>
          <w:bCs/>
          <w:sz w:val="24"/>
          <w:szCs w:val="24"/>
          <w:lang w:eastAsia="sk-SK"/>
        </w:rPr>
        <w:t>ný</w:t>
      </w:r>
      <w:proofErr w:type="spellEnd"/>
      <w:r w:rsidRPr="00930B5A">
        <w:rPr>
          <w:rFonts w:cs="Calibri"/>
          <w:bCs/>
          <w:sz w:val="24"/>
          <w:szCs w:val="24"/>
          <w:lang w:eastAsia="sk-SK"/>
        </w:rPr>
        <w:t xml:space="preserve"> podiel z celkového objemu realizovaných </w:t>
      </w:r>
      <w:r w:rsidRPr="002B1196">
        <w:rPr>
          <w:rFonts w:cs="Calibri"/>
          <w:bCs/>
          <w:sz w:val="24"/>
          <w:szCs w:val="24"/>
          <w:lang w:eastAsia="sk-SK"/>
        </w:rPr>
        <w:t>výdavkov. Z hľadiska ročného</w:t>
      </w:r>
      <w:r>
        <w:rPr>
          <w:rFonts w:cs="Calibri"/>
          <w:bCs/>
          <w:sz w:val="24"/>
          <w:szCs w:val="24"/>
          <w:lang w:eastAsia="sk-SK"/>
        </w:rPr>
        <w:t xml:space="preserve"> rozpočtu sa čerpali na </w:t>
      </w:r>
      <w:r w:rsidR="00186BC1">
        <w:rPr>
          <w:rFonts w:cs="Calibri"/>
          <w:bCs/>
          <w:sz w:val="24"/>
          <w:szCs w:val="24"/>
          <w:lang w:eastAsia="sk-SK"/>
        </w:rPr>
        <w:t>89,44</w:t>
      </w:r>
      <w:r>
        <w:rPr>
          <w:rFonts w:cs="Calibri"/>
          <w:bCs/>
          <w:sz w:val="24"/>
          <w:szCs w:val="24"/>
          <w:lang w:eastAsia="sk-SK"/>
        </w:rPr>
        <w:t>%.</w:t>
      </w:r>
    </w:p>
    <w:p w14:paraId="7C8D24D7" w14:textId="77777777" w:rsidR="00BE704E" w:rsidRPr="00F865DA" w:rsidRDefault="00BE704E" w:rsidP="00BE704E">
      <w:pPr>
        <w:autoSpaceDE w:val="0"/>
        <w:autoSpaceDN w:val="0"/>
        <w:adjustRightInd w:val="0"/>
        <w:spacing w:after="0" w:line="240" w:lineRule="auto"/>
        <w:jc w:val="both"/>
        <w:rPr>
          <w:rFonts w:cs="Calibri"/>
          <w:bCs/>
          <w:sz w:val="24"/>
          <w:szCs w:val="24"/>
          <w:lang w:eastAsia="sk-SK"/>
        </w:rPr>
      </w:pPr>
    </w:p>
    <w:p w14:paraId="4DCB5333" w14:textId="77777777" w:rsidR="00BE704E" w:rsidRDefault="00BE704E" w:rsidP="00BE704E">
      <w:pPr>
        <w:autoSpaceDE w:val="0"/>
        <w:autoSpaceDN w:val="0"/>
        <w:adjustRightInd w:val="0"/>
        <w:spacing w:after="0" w:line="240" w:lineRule="auto"/>
        <w:jc w:val="both"/>
        <w:rPr>
          <w:rFonts w:cs="Calibri"/>
          <w:color w:val="000000"/>
          <w:sz w:val="24"/>
          <w:szCs w:val="24"/>
          <w:lang w:eastAsia="sk-SK"/>
        </w:rPr>
      </w:pPr>
      <w:r w:rsidRPr="00F865DA">
        <w:rPr>
          <w:rFonts w:cs="Calibri"/>
          <w:color w:val="000000"/>
          <w:sz w:val="24"/>
          <w:szCs w:val="24"/>
          <w:lang w:eastAsia="sk-SK"/>
        </w:rPr>
        <w:t>Podľa ekonomickej klasif</w:t>
      </w:r>
      <w:r>
        <w:rPr>
          <w:rFonts w:cs="Calibri"/>
          <w:color w:val="000000"/>
          <w:sz w:val="24"/>
          <w:szCs w:val="24"/>
          <w:lang w:eastAsia="sk-SK"/>
        </w:rPr>
        <w:t xml:space="preserve">ikácie sa bežné výdavky členia </w:t>
      </w:r>
      <w:r w:rsidRPr="00F865DA">
        <w:rPr>
          <w:rFonts w:cs="Calibri"/>
          <w:color w:val="000000"/>
          <w:sz w:val="24"/>
          <w:szCs w:val="24"/>
          <w:lang w:eastAsia="sk-SK"/>
        </w:rPr>
        <w:t xml:space="preserve">do </w:t>
      </w:r>
      <w:r>
        <w:rPr>
          <w:rFonts w:cs="Calibri"/>
          <w:color w:val="000000"/>
          <w:sz w:val="24"/>
          <w:szCs w:val="24"/>
          <w:lang w:eastAsia="sk-SK"/>
        </w:rPr>
        <w:t>kategórii nasledovne:</w:t>
      </w:r>
    </w:p>
    <w:p w14:paraId="0C43B88D" w14:textId="77777777" w:rsidR="00BE704E" w:rsidRDefault="00BE704E" w:rsidP="00BE704E">
      <w:pPr>
        <w:autoSpaceDE w:val="0"/>
        <w:autoSpaceDN w:val="0"/>
        <w:adjustRightInd w:val="0"/>
        <w:spacing w:after="0" w:line="240" w:lineRule="auto"/>
        <w:ind w:firstLine="708"/>
        <w:jc w:val="both"/>
        <w:rPr>
          <w:rFonts w:cs="Calibri"/>
          <w:color w:val="000000"/>
          <w:sz w:val="24"/>
          <w:szCs w:val="24"/>
          <w:lang w:eastAsia="sk-SK"/>
        </w:rPr>
      </w:pPr>
    </w:p>
    <w:tbl>
      <w:tblPr>
        <w:tblW w:w="10379" w:type="dxa"/>
        <w:tblInd w:w="55" w:type="dxa"/>
        <w:tblCellMar>
          <w:left w:w="70" w:type="dxa"/>
          <w:right w:w="70" w:type="dxa"/>
        </w:tblCellMar>
        <w:tblLook w:val="04A0" w:firstRow="1" w:lastRow="0" w:firstColumn="1" w:lastColumn="0" w:noHBand="0" w:noVBand="1"/>
      </w:tblPr>
      <w:tblGrid>
        <w:gridCol w:w="2833"/>
        <w:gridCol w:w="1691"/>
        <w:gridCol w:w="1551"/>
        <w:gridCol w:w="1550"/>
        <w:gridCol w:w="1560"/>
        <w:gridCol w:w="1194"/>
      </w:tblGrid>
      <w:tr w:rsidR="00BE704E" w:rsidRPr="00802E5E" w14:paraId="76781652" w14:textId="77777777" w:rsidTr="00B422AE">
        <w:trPr>
          <w:trHeight w:hRule="exact" w:val="340"/>
        </w:trPr>
        <w:tc>
          <w:tcPr>
            <w:tcW w:w="2833"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1D0BB7B7" w14:textId="77777777" w:rsidR="00BE704E" w:rsidRPr="00802E5E" w:rsidRDefault="00BE704E" w:rsidP="00B23D26">
            <w:pPr>
              <w:spacing w:after="0" w:line="240" w:lineRule="auto"/>
              <w:rPr>
                <w:rFonts w:cs="Calibri"/>
                <w:b/>
                <w:bCs/>
                <w:color w:val="000000"/>
                <w:sz w:val="20"/>
                <w:szCs w:val="20"/>
                <w:lang w:eastAsia="sk-SK"/>
              </w:rPr>
            </w:pPr>
            <w:r>
              <w:rPr>
                <w:rFonts w:cs="Calibri"/>
                <w:b/>
                <w:bCs/>
                <w:color w:val="000000"/>
                <w:sz w:val="20"/>
                <w:szCs w:val="20"/>
                <w:lang w:eastAsia="sk-SK"/>
              </w:rPr>
              <w:t>Bežné výdavky podľa EK</w:t>
            </w:r>
          </w:p>
        </w:tc>
        <w:tc>
          <w:tcPr>
            <w:tcW w:w="1691"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593ADB0" w14:textId="37B54BF2" w:rsidR="00BE704E" w:rsidRPr="00802E5E" w:rsidRDefault="00BE704E" w:rsidP="00B23D26">
            <w:pPr>
              <w:spacing w:after="0" w:line="240" w:lineRule="auto"/>
              <w:jc w:val="center"/>
              <w:rPr>
                <w:rFonts w:cs="Calibri"/>
                <w:b/>
                <w:bCs/>
                <w:sz w:val="18"/>
                <w:szCs w:val="18"/>
                <w:lang w:eastAsia="sk-SK"/>
              </w:rPr>
            </w:pPr>
            <w:r w:rsidRPr="00802E5E">
              <w:rPr>
                <w:rFonts w:cs="Calibri"/>
                <w:b/>
                <w:bCs/>
                <w:sz w:val="18"/>
                <w:szCs w:val="18"/>
                <w:lang w:eastAsia="sk-SK"/>
              </w:rPr>
              <w:t xml:space="preserve">Skutočnosť za rok </w:t>
            </w:r>
            <w:r>
              <w:rPr>
                <w:rFonts w:cs="Calibri"/>
                <w:b/>
                <w:bCs/>
                <w:sz w:val="18"/>
                <w:szCs w:val="18"/>
                <w:lang w:eastAsia="sk-SK"/>
              </w:rPr>
              <w:t>20</w:t>
            </w:r>
            <w:r w:rsidR="000E66E1">
              <w:rPr>
                <w:rFonts w:cs="Calibri"/>
                <w:b/>
                <w:bCs/>
                <w:sz w:val="18"/>
                <w:szCs w:val="18"/>
                <w:lang w:eastAsia="sk-SK"/>
              </w:rPr>
              <w:t>19</w:t>
            </w:r>
            <w:r w:rsidRPr="00802E5E">
              <w:rPr>
                <w:rFonts w:cs="Calibri"/>
                <w:b/>
                <w:bCs/>
                <w:sz w:val="18"/>
                <w:szCs w:val="18"/>
                <w:lang w:eastAsia="sk-SK"/>
              </w:rPr>
              <w:t xml:space="preserve"> v EUR</w:t>
            </w:r>
          </w:p>
        </w:tc>
        <w:tc>
          <w:tcPr>
            <w:tcW w:w="1551"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D7B1A58" w14:textId="089DE337" w:rsidR="00BE704E" w:rsidRPr="00802E5E" w:rsidRDefault="00BE704E" w:rsidP="00B23D26">
            <w:pPr>
              <w:spacing w:after="0" w:line="240" w:lineRule="auto"/>
              <w:jc w:val="center"/>
              <w:rPr>
                <w:rFonts w:cs="Calibri"/>
                <w:b/>
                <w:bCs/>
                <w:sz w:val="18"/>
                <w:szCs w:val="18"/>
                <w:lang w:eastAsia="sk-SK"/>
              </w:rPr>
            </w:pPr>
            <w:r w:rsidRPr="00802E5E">
              <w:rPr>
                <w:rFonts w:cs="Calibri"/>
                <w:b/>
                <w:bCs/>
                <w:sz w:val="18"/>
                <w:szCs w:val="18"/>
                <w:lang w:eastAsia="sk-SK"/>
              </w:rPr>
              <w:t xml:space="preserve">Schválený rozpočet </w:t>
            </w:r>
            <w:r>
              <w:rPr>
                <w:rFonts w:cs="Calibri"/>
                <w:b/>
                <w:bCs/>
                <w:sz w:val="18"/>
                <w:szCs w:val="18"/>
                <w:lang w:eastAsia="sk-SK"/>
              </w:rPr>
              <w:t>20</w:t>
            </w:r>
            <w:r w:rsidR="00186BC1">
              <w:rPr>
                <w:rFonts w:cs="Calibri"/>
                <w:b/>
                <w:bCs/>
                <w:sz w:val="18"/>
                <w:szCs w:val="18"/>
                <w:lang w:eastAsia="sk-SK"/>
              </w:rPr>
              <w:t xml:space="preserve">20 </w:t>
            </w:r>
            <w:r w:rsidRPr="00802E5E">
              <w:rPr>
                <w:rFonts w:cs="Calibri"/>
                <w:b/>
                <w:bCs/>
                <w:sz w:val="18"/>
                <w:szCs w:val="18"/>
                <w:lang w:eastAsia="sk-SK"/>
              </w:rPr>
              <w:t>v EUR</w:t>
            </w:r>
          </w:p>
        </w:tc>
        <w:tc>
          <w:tcPr>
            <w:tcW w:w="1550"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26AE80E8" w14:textId="0A693E86" w:rsidR="00BE704E" w:rsidRPr="00802E5E" w:rsidRDefault="00BE704E" w:rsidP="00B23D26">
            <w:pPr>
              <w:spacing w:after="0" w:line="240" w:lineRule="auto"/>
              <w:jc w:val="center"/>
              <w:rPr>
                <w:rFonts w:cs="Calibri"/>
                <w:b/>
                <w:bCs/>
                <w:sz w:val="18"/>
                <w:szCs w:val="18"/>
                <w:lang w:eastAsia="sk-SK"/>
              </w:rPr>
            </w:pPr>
            <w:r w:rsidRPr="00802E5E">
              <w:rPr>
                <w:rFonts w:cs="Calibri"/>
                <w:b/>
                <w:bCs/>
                <w:sz w:val="18"/>
                <w:szCs w:val="18"/>
                <w:lang w:eastAsia="sk-SK"/>
              </w:rPr>
              <w:t>Zmenený rozpočet k 31.12.</w:t>
            </w:r>
            <w:r>
              <w:rPr>
                <w:rFonts w:cs="Calibri"/>
                <w:b/>
                <w:bCs/>
                <w:sz w:val="18"/>
                <w:szCs w:val="18"/>
                <w:lang w:eastAsia="sk-SK"/>
              </w:rPr>
              <w:t>20</w:t>
            </w:r>
            <w:r w:rsidR="00186BC1">
              <w:rPr>
                <w:rFonts w:cs="Calibri"/>
                <w:b/>
                <w:bCs/>
                <w:sz w:val="18"/>
                <w:szCs w:val="18"/>
                <w:lang w:eastAsia="sk-SK"/>
              </w:rPr>
              <w:t>20</w:t>
            </w:r>
            <w:r w:rsidRPr="00802E5E">
              <w:rPr>
                <w:rFonts w:cs="Calibri"/>
                <w:b/>
                <w:bCs/>
                <w:sz w:val="18"/>
                <w:szCs w:val="18"/>
                <w:lang w:eastAsia="sk-SK"/>
              </w:rPr>
              <w:t xml:space="preserve"> v EUR</w:t>
            </w:r>
          </w:p>
        </w:tc>
        <w:tc>
          <w:tcPr>
            <w:tcW w:w="1560"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F93FD28" w14:textId="5CCFD526" w:rsidR="00BE704E" w:rsidRPr="00802E5E" w:rsidRDefault="00BE704E" w:rsidP="00B23D26">
            <w:pPr>
              <w:spacing w:after="0" w:line="240" w:lineRule="auto"/>
              <w:jc w:val="center"/>
              <w:rPr>
                <w:rFonts w:cs="Calibri"/>
                <w:b/>
                <w:bCs/>
                <w:sz w:val="18"/>
                <w:szCs w:val="18"/>
                <w:lang w:eastAsia="sk-SK"/>
              </w:rPr>
            </w:pPr>
            <w:r w:rsidRPr="00802E5E">
              <w:rPr>
                <w:rFonts w:cs="Calibri"/>
                <w:b/>
                <w:bCs/>
                <w:sz w:val="18"/>
                <w:szCs w:val="18"/>
                <w:lang w:eastAsia="sk-SK"/>
              </w:rPr>
              <w:t>Čerpanie rozpočtu k 31.12.</w:t>
            </w:r>
            <w:r>
              <w:rPr>
                <w:rFonts w:cs="Calibri"/>
                <w:b/>
                <w:bCs/>
                <w:sz w:val="18"/>
                <w:szCs w:val="18"/>
                <w:lang w:eastAsia="sk-SK"/>
              </w:rPr>
              <w:t>20</w:t>
            </w:r>
            <w:r w:rsidR="00186BC1">
              <w:rPr>
                <w:rFonts w:cs="Calibri"/>
                <w:b/>
                <w:bCs/>
                <w:sz w:val="18"/>
                <w:szCs w:val="18"/>
                <w:lang w:eastAsia="sk-SK"/>
              </w:rPr>
              <w:t>20</w:t>
            </w:r>
            <w:r w:rsidRPr="00802E5E">
              <w:rPr>
                <w:rFonts w:cs="Calibri"/>
                <w:b/>
                <w:bCs/>
                <w:sz w:val="18"/>
                <w:szCs w:val="18"/>
                <w:lang w:eastAsia="sk-SK"/>
              </w:rPr>
              <w:t xml:space="preserve"> v EUR</w:t>
            </w:r>
          </w:p>
        </w:tc>
        <w:tc>
          <w:tcPr>
            <w:tcW w:w="1194"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3B6395D6" w14:textId="77777777" w:rsidR="00BE704E" w:rsidRPr="00802E5E" w:rsidRDefault="00BE704E" w:rsidP="00B23D26">
            <w:pPr>
              <w:spacing w:after="0" w:line="240" w:lineRule="auto"/>
              <w:jc w:val="center"/>
              <w:rPr>
                <w:rFonts w:cs="Calibri"/>
                <w:b/>
                <w:bCs/>
                <w:sz w:val="18"/>
                <w:szCs w:val="18"/>
                <w:lang w:eastAsia="sk-SK"/>
              </w:rPr>
            </w:pPr>
            <w:r w:rsidRPr="00802E5E">
              <w:rPr>
                <w:rFonts w:cs="Calibri"/>
                <w:b/>
                <w:bCs/>
                <w:sz w:val="18"/>
                <w:szCs w:val="18"/>
                <w:lang w:eastAsia="sk-SK"/>
              </w:rPr>
              <w:t xml:space="preserve">% čerpanie k zmenenému rozpočtu </w:t>
            </w:r>
          </w:p>
        </w:tc>
      </w:tr>
      <w:tr w:rsidR="00BE704E" w:rsidRPr="00802E5E" w14:paraId="464EABC8" w14:textId="77777777" w:rsidTr="00B422AE">
        <w:trPr>
          <w:trHeight w:hRule="exact" w:val="340"/>
        </w:trPr>
        <w:tc>
          <w:tcPr>
            <w:tcW w:w="2833" w:type="dxa"/>
            <w:vMerge/>
            <w:tcBorders>
              <w:top w:val="single" w:sz="12" w:space="0" w:color="FFFFFF"/>
              <w:left w:val="single" w:sz="12" w:space="0" w:color="FFFFFF"/>
              <w:bottom w:val="single" w:sz="12" w:space="0" w:color="FFFFFF"/>
              <w:right w:val="single" w:sz="12" w:space="0" w:color="FFFFFF"/>
            </w:tcBorders>
            <w:vAlign w:val="center"/>
            <w:hideMark/>
          </w:tcPr>
          <w:p w14:paraId="77FD30FC" w14:textId="77777777" w:rsidR="00BE704E" w:rsidRPr="00802E5E" w:rsidRDefault="00BE704E" w:rsidP="00B23D26">
            <w:pPr>
              <w:spacing w:after="0" w:line="240" w:lineRule="auto"/>
              <w:rPr>
                <w:rFonts w:cs="Calibri"/>
                <w:b/>
                <w:bCs/>
                <w:color w:val="000000"/>
                <w:sz w:val="20"/>
                <w:szCs w:val="20"/>
                <w:lang w:eastAsia="sk-SK"/>
              </w:rPr>
            </w:pPr>
          </w:p>
        </w:tc>
        <w:tc>
          <w:tcPr>
            <w:tcW w:w="1691" w:type="dxa"/>
            <w:vMerge/>
            <w:tcBorders>
              <w:top w:val="single" w:sz="12" w:space="0" w:color="FFFFFF"/>
              <w:left w:val="single" w:sz="12" w:space="0" w:color="FFFFFF"/>
              <w:bottom w:val="single" w:sz="12" w:space="0" w:color="FFFFFF"/>
              <w:right w:val="single" w:sz="12" w:space="0" w:color="FFFFFF"/>
            </w:tcBorders>
            <w:vAlign w:val="center"/>
            <w:hideMark/>
          </w:tcPr>
          <w:p w14:paraId="474D34A6" w14:textId="77777777" w:rsidR="00BE704E" w:rsidRPr="00802E5E" w:rsidRDefault="00BE704E" w:rsidP="00B23D26">
            <w:pPr>
              <w:spacing w:after="0" w:line="240" w:lineRule="auto"/>
              <w:rPr>
                <w:rFonts w:cs="Calibri"/>
                <w:b/>
                <w:bCs/>
                <w:sz w:val="18"/>
                <w:szCs w:val="18"/>
                <w:lang w:eastAsia="sk-SK"/>
              </w:rPr>
            </w:pPr>
          </w:p>
        </w:tc>
        <w:tc>
          <w:tcPr>
            <w:tcW w:w="1551" w:type="dxa"/>
            <w:vMerge/>
            <w:tcBorders>
              <w:top w:val="single" w:sz="12" w:space="0" w:color="FFFFFF"/>
              <w:left w:val="single" w:sz="12" w:space="0" w:color="FFFFFF"/>
              <w:bottom w:val="single" w:sz="12" w:space="0" w:color="FFFFFF"/>
              <w:right w:val="single" w:sz="12" w:space="0" w:color="FFFFFF"/>
            </w:tcBorders>
            <w:vAlign w:val="center"/>
            <w:hideMark/>
          </w:tcPr>
          <w:p w14:paraId="77E99CF1" w14:textId="77777777" w:rsidR="00BE704E" w:rsidRPr="00802E5E" w:rsidRDefault="00BE704E" w:rsidP="00B23D26">
            <w:pPr>
              <w:spacing w:after="0" w:line="240" w:lineRule="auto"/>
              <w:rPr>
                <w:rFonts w:cs="Calibri"/>
                <w:b/>
                <w:bCs/>
                <w:sz w:val="18"/>
                <w:szCs w:val="18"/>
                <w:lang w:eastAsia="sk-SK"/>
              </w:rPr>
            </w:pPr>
          </w:p>
        </w:tc>
        <w:tc>
          <w:tcPr>
            <w:tcW w:w="1550" w:type="dxa"/>
            <w:vMerge/>
            <w:tcBorders>
              <w:top w:val="single" w:sz="12" w:space="0" w:color="FFFFFF"/>
              <w:left w:val="single" w:sz="12" w:space="0" w:color="FFFFFF"/>
              <w:bottom w:val="single" w:sz="12" w:space="0" w:color="FFFFFF"/>
              <w:right w:val="single" w:sz="12" w:space="0" w:color="FFFFFF"/>
            </w:tcBorders>
            <w:vAlign w:val="center"/>
            <w:hideMark/>
          </w:tcPr>
          <w:p w14:paraId="5836C52E" w14:textId="77777777" w:rsidR="00BE704E" w:rsidRPr="00802E5E" w:rsidRDefault="00BE704E" w:rsidP="00B23D26">
            <w:pPr>
              <w:spacing w:after="0" w:line="240" w:lineRule="auto"/>
              <w:rPr>
                <w:rFonts w:cs="Calibri"/>
                <w:b/>
                <w:bCs/>
                <w:sz w:val="18"/>
                <w:szCs w:val="18"/>
                <w:lang w:eastAsia="sk-SK"/>
              </w:rPr>
            </w:pPr>
          </w:p>
        </w:tc>
        <w:tc>
          <w:tcPr>
            <w:tcW w:w="1560" w:type="dxa"/>
            <w:vMerge/>
            <w:tcBorders>
              <w:top w:val="single" w:sz="12" w:space="0" w:color="FFFFFF"/>
              <w:left w:val="single" w:sz="12" w:space="0" w:color="FFFFFF"/>
              <w:bottom w:val="single" w:sz="12" w:space="0" w:color="FFFFFF"/>
              <w:right w:val="single" w:sz="12" w:space="0" w:color="FFFFFF"/>
            </w:tcBorders>
            <w:vAlign w:val="center"/>
            <w:hideMark/>
          </w:tcPr>
          <w:p w14:paraId="48376AD3" w14:textId="77777777" w:rsidR="00BE704E" w:rsidRPr="00802E5E" w:rsidRDefault="00BE704E" w:rsidP="00B23D26">
            <w:pPr>
              <w:spacing w:after="0" w:line="240" w:lineRule="auto"/>
              <w:rPr>
                <w:rFonts w:cs="Calibri"/>
                <w:b/>
                <w:bCs/>
                <w:sz w:val="18"/>
                <w:szCs w:val="18"/>
                <w:lang w:eastAsia="sk-SK"/>
              </w:rPr>
            </w:pPr>
          </w:p>
        </w:tc>
        <w:tc>
          <w:tcPr>
            <w:tcW w:w="1194" w:type="dxa"/>
            <w:vMerge/>
            <w:tcBorders>
              <w:top w:val="single" w:sz="12" w:space="0" w:color="FFFFFF"/>
              <w:left w:val="single" w:sz="12" w:space="0" w:color="FFFFFF"/>
              <w:bottom w:val="single" w:sz="12" w:space="0" w:color="FFFFFF"/>
              <w:right w:val="single" w:sz="12" w:space="0" w:color="FFFFFF"/>
            </w:tcBorders>
            <w:vAlign w:val="center"/>
            <w:hideMark/>
          </w:tcPr>
          <w:p w14:paraId="1109F6D3" w14:textId="77777777" w:rsidR="00BE704E" w:rsidRPr="00802E5E" w:rsidRDefault="00BE704E" w:rsidP="00B23D26">
            <w:pPr>
              <w:spacing w:after="0" w:line="240" w:lineRule="auto"/>
              <w:rPr>
                <w:rFonts w:cs="Calibri"/>
                <w:b/>
                <w:bCs/>
                <w:sz w:val="18"/>
                <w:szCs w:val="18"/>
                <w:lang w:eastAsia="sk-SK"/>
              </w:rPr>
            </w:pPr>
          </w:p>
        </w:tc>
      </w:tr>
      <w:tr w:rsidR="000E66E1" w:rsidRPr="00802E5E" w14:paraId="3EB1A1A6" w14:textId="77777777" w:rsidTr="000E66E1">
        <w:trPr>
          <w:trHeight w:hRule="exact" w:val="340"/>
        </w:trPr>
        <w:tc>
          <w:tcPr>
            <w:tcW w:w="2833" w:type="dxa"/>
            <w:tcBorders>
              <w:top w:val="single" w:sz="12" w:space="0" w:color="FFFFFF"/>
              <w:left w:val="nil"/>
              <w:bottom w:val="nil"/>
              <w:right w:val="nil"/>
            </w:tcBorders>
            <w:shd w:val="clear" w:color="auto" w:fill="F2F2F2" w:themeFill="background1" w:themeFillShade="F2"/>
            <w:noWrap/>
            <w:hideMark/>
          </w:tcPr>
          <w:p w14:paraId="5320FB29" w14:textId="77777777" w:rsidR="000E66E1" w:rsidRPr="00802E5E" w:rsidRDefault="000E66E1" w:rsidP="000E66E1">
            <w:pPr>
              <w:spacing w:after="0" w:line="240" w:lineRule="auto"/>
              <w:rPr>
                <w:rFonts w:cs="Calibri"/>
                <w:sz w:val="20"/>
                <w:szCs w:val="20"/>
                <w:lang w:eastAsia="sk-SK"/>
              </w:rPr>
            </w:pPr>
            <w:r w:rsidRPr="00802E5E">
              <w:rPr>
                <w:rFonts w:cs="Calibri"/>
                <w:sz w:val="20"/>
                <w:szCs w:val="20"/>
                <w:lang w:eastAsia="sk-SK"/>
              </w:rPr>
              <w:t xml:space="preserve">610 – mzdy, platy, </w:t>
            </w:r>
            <w:proofErr w:type="spellStart"/>
            <w:r w:rsidRPr="00802E5E">
              <w:rPr>
                <w:rFonts w:cs="Calibri"/>
                <w:sz w:val="20"/>
                <w:szCs w:val="20"/>
                <w:lang w:eastAsia="sk-SK"/>
              </w:rPr>
              <w:t>služ</w:t>
            </w:r>
            <w:proofErr w:type="spellEnd"/>
            <w:r w:rsidRPr="00802E5E">
              <w:rPr>
                <w:rFonts w:cs="Calibri"/>
                <w:sz w:val="20"/>
                <w:szCs w:val="20"/>
                <w:lang w:eastAsia="sk-SK"/>
              </w:rPr>
              <w:t>. príjmy</w:t>
            </w:r>
          </w:p>
        </w:tc>
        <w:tc>
          <w:tcPr>
            <w:tcW w:w="1691" w:type="dxa"/>
            <w:tcBorders>
              <w:top w:val="nil"/>
              <w:left w:val="nil"/>
              <w:bottom w:val="single" w:sz="12" w:space="0" w:color="FFFFFF"/>
              <w:right w:val="single" w:sz="12" w:space="0" w:color="FFFFFF"/>
            </w:tcBorders>
            <w:shd w:val="clear" w:color="000000" w:fill="F2F2F2"/>
            <w:vAlign w:val="center"/>
            <w:hideMark/>
          </w:tcPr>
          <w:p w14:paraId="33503620" w14:textId="5DA24A82" w:rsidR="000E66E1" w:rsidRDefault="000E66E1" w:rsidP="000E66E1">
            <w:pPr>
              <w:spacing w:after="0" w:line="240" w:lineRule="auto"/>
              <w:jc w:val="right"/>
              <w:rPr>
                <w:rFonts w:cs="Calibri"/>
                <w:color w:val="000000"/>
                <w:sz w:val="20"/>
                <w:szCs w:val="20"/>
                <w:lang w:eastAsia="sk-SK"/>
              </w:rPr>
            </w:pPr>
            <w:r>
              <w:rPr>
                <w:rFonts w:cs="Calibri"/>
                <w:color w:val="000000"/>
                <w:sz w:val="20"/>
                <w:szCs w:val="20"/>
              </w:rPr>
              <w:t>49 572 402,97</w:t>
            </w:r>
          </w:p>
        </w:tc>
        <w:tc>
          <w:tcPr>
            <w:tcW w:w="1551" w:type="dxa"/>
            <w:tcBorders>
              <w:top w:val="nil"/>
              <w:left w:val="nil"/>
              <w:bottom w:val="single" w:sz="12" w:space="0" w:color="FFFFFF"/>
              <w:right w:val="single" w:sz="12" w:space="0" w:color="FFFFFF"/>
            </w:tcBorders>
            <w:shd w:val="clear" w:color="000000" w:fill="F2F2F2"/>
            <w:vAlign w:val="center"/>
            <w:hideMark/>
          </w:tcPr>
          <w:p w14:paraId="2739487C" w14:textId="526B1FF2" w:rsidR="000E66E1" w:rsidRDefault="000E66E1" w:rsidP="000E66E1">
            <w:pPr>
              <w:jc w:val="right"/>
              <w:rPr>
                <w:rFonts w:cs="Calibri"/>
                <w:color w:val="000000"/>
                <w:sz w:val="20"/>
                <w:szCs w:val="20"/>
              </w:rPr>
            </w:pPr>
            <w:r>
              <w:rPr>
                <w:rFonts w:cs="Calibri"/>
                <w:color w:val="000000"/>
                <w:sz w:val="20"/>
                <w:szCs w:val="20"/>
              </w:rPr>
              <w:t>52 277 817,79</w:t>
            </w:r>
          </w:p>
        </w:tc>
        <w:tc>
          <w:tcPr>
            <w:tcW w:w="1550" w:type="dxa"/>
            <w:tcBorders>
              <w:top w:val="nil"/>
              <w:left w:val="nil"/>
              <w:bottom w:val="single" w:sz="12" w:space="0" w:color="FFFFFF"/>
              <w:right w:val="single" w:sz="12" w:space="0" w:color="FFFFFF"/>
            </w:tcBorders>
            <w:shd w:val="clear" w:color="000000" w:fill="F2F2F2"/>
            <w:vAlign w:val="center"/>
            <w:hideMark/>
          </w:tcPr>
          <w:p w14:paraId="5B9E953C" w14:textId="31B57027" w:rsidR="000E66E1" w:rsidRDefault="000E66E1" w:rsidP="000E66E1">
            <w:pPr>
              <w:jc w:val="right"/>
              <w:rPr>
                <w:rFonts w:cs="Calibri"/>
                <w:color w:val="000000"/>
                <w:sz w:val="20"/>
                <w:szCs w:val="20"/>
              </w:rPr>
            </w:pPr>
            <w:r>
              <w:rPr>
                <w:rFonts w:cs="Calibri"/>
                <w:color w:val="000000"/>
                <w:sz w:val="20"/>
                <w:szCs w:val="20"/>
              </w:rPr>
              <w:t>55 428 659,59</w:t>
            </w:r>
          </w:p>
        </w:tc>
        <w:tc>
          <w:tcPr>
            <w:tcW w:w="1560" w:type="dxa"/>
            <w:tcBorders>
              <w:top w:val="nil"/>
              <w:left w:val="nil"/>
              <w:bottom w:val="single" w:sz="12" w:space="0" w:color="FFFFFF"/>
              <w:right w:val="single" w:sz="12" w:space="0" w:color="FFFFFF"/>
            </w:tcBorders>
            <w:shd w:val="clear" w:color="000000" w:fill="F2F2F2"/>
            <w:vAlign w:val="center"/>
            <w:hideMark/>
          </w:tcPr>
          <w:p w14:paraId="6DD016FB" w14:textId="3E0D6A94" w:rsidR="000E66E1" w:rsidRDefault="000E66E1" w:rsidP="000E66E1">
            <w:pPr>
              <w:jc w:val="right"/>
              <w:rPr>
                <w:rFonts w:cs="Calibri"/>
                <w:color w:val="000000"/>
                <w:sz w:val="20"/>
                <w:szCs w:val="20"/>
              </w:rPr>
            </w:pPr>
            <w:r>
              <w:rPr>
                <w:rFonts w:cs="Calibri"/>
                <w:color w:val="000000"/>
                <w:sz w:val="20"/>
                <w:szCs w:val="20"/>
              </w:rPr>
              <w:t>53 574 960,77</w:t>
            </w:r>
          </w:p>
        </w:tc>
        <w:tc>
          <w:tcPr>
            <w:tcW w:w="1194" w:type="dxa"/>
            <w:tcBorders>
              <w:top w:val="nil"/>
              <w:left w:val="nil"/>
              <w:bottom w:val="single" w:sz="12" w:space="0" w:color="FFFFFF"/>
              <w:right w:val="single" w:sz="12" w:space="0" w:color="FFFFFF"/>
            </w:tcBorders>
            <w:shd w:val="clear" w:color="000000" w:fill="F2F2F2"/>
            <w:vAlign w:val="center"/>
            <w:hideMark/>
          </w:tcPr>
          <w:p w14:paraId="630E8282" w14:textId="5DC926F7" w:rsidR="000E66E1" w:rsidRDefault="000E66E1" w:rsidP="000E66E1">
            <w:pPr>
              <w:jc w:val="right"/>
              <w:rPr>
                <w:rFonts w:cs="Calibri"/>
                <w:color w:val="000000"/>
                <w:sz w:val="20"/>
                <w:szCs w:val="20"/>
              </w:rPr>
            </w:pPr>
            <w:r>
              <w:rPr>
                <w:rFonts w:cs="Calibri"/>
                <w:color w:val="000000"/>
                <w:sz w:val="20"/>
                <w:szCs w:val="20"/>
              </w:rPr>
              <w:t>96,66%</w:t>
            </w:r>
          </w:p>
        </w:tc>
      </w:tr>
      <w:tr w:rsidR="000E66E1" w:rsidRPr="00802E5E" w14:paraId="4256ADCE" w14:textId="77777777" w:rsidTr="00B422AE">
        <w:trPr>
          <w:trHeight w:hRule="exact" w:val="340"/>
        </w:trPr>
        <w:tc>
          <w:tcPr>
            <w:tcW w:w="2833" w:type="dxa"/>
            <w:tcBorders>
              <w:top w:val="nil"/>
              <w:left w:val="single" w:sz="12" w:space="0" w:color="FFFFFF"/>
              <w:bottom w:val="single" w:sz="12" w:space="0" w:color="FFFFFF"/>
              <w:right w:val="single" w:sz="12" w:space="0" w:color="FFFFFF"/>
            </w:tcBorders>
            <w:shd w:val="clear" w:color="000000" w:fill="F2F2F2"/>
            <w:noWrap/>
            <w:vAlign w:val="center"/>
            <w:hideMark/>
          </w:tcPr>
          <w:p w14:paraId="3F9330C6" w14:textId="77777777" w:rsidR="000E66E1" w:rsidRPr="00802E5E" w:rsidRDefault="000E66E1" w:rsidP="000E66E1">
            <w:pPr>
              <w:spacing w:after="0" w:line="240" w:lineRule="auto"/>
              <w:rPr>
                <w:rFonts w:cs="Calibri"/>
                <w:sz w:val="20"/>
                <w:szCs w:val="20"/>
                <w:lang w:eastAsia="sk-SK"/>
              </w:rPr>
            </w:pPr>
            <w:r w:rsidRPr="00802E5E">
              <w:rPr>
                <w:rFonts w:cs="Calibri"/>
                <w:sz w:val="20"/>
                <w:szCs w:val="20"/>
                <w:lang w:eastAsia="sk-SK"/>
              </w:rPr>
              <w:t>620 – poistné do poisťovní</w:t>
            </w:r>
          </w:p>
        </w:tc>
        <w:tc>
          <w:tcPr>
            <w:tcW w:w="1691" w:type="dxa"/>
            <w:tcBorders>
              <w:top w:val="nil"/>
              <w:left w:val="nil"/>
              <w:bottom w:val="single" w:sz="12" w:space="0" w:color="FFFFFF"/>
              <w:right w:val="single" w:sz="12" w:space="0" w:color="FFFFFF"/>
            </w:tcBorders>
            <w:shd w:val="clear" w:color="000000" w:fill="F2F2F2"/>
            <w:vAlign w:val="center"/>
            <w:hideMark/>
          </w:tcPr>
          <w:p w14:paraId="0CC3031C" w14:textId="627AC128" w:rsidR="000E66E1" w:rsidRDefault="000E66E1" w:rsidP="000E66E1">
            <w:pPr>
              <w:jc w:val="right"/>
              <w:rPr>
                <w:rFonts w:cs="Calibri"/>
                <w:color w:val="000000"/>
                <w:sz w:val="20"/>
                <w:szCs w:val="20"/>
              </w:rPr>
            </w:pPr>
            <w:r>
              <w:rPr>
                <w:rFonts w:cs="Calibri"/>
                <w:color w:val="000000"/>
                <w:sz w:val="20"/>
                <w:szCs w:val="20"/>
              </w:rPr>
              <w:t>17 746 755,70</w:t>
            </w:r>
          </w:p>
        </w:tc>
        <w:tc>
          <w:tcPr>
            <w:tcW w:w="1551" w:type="dxa"/>
            <w:tcBorders>
              <w:top w:val="nil"/>
              <w:left w:val="nil"/>
              <w:bottom w:val="single" w:sz="12" w:space="0" w:color="FFFFFF"/>
              <w:right w:val="single" w:sz="12" w:space="0" w:color="FFFFFF"/>
            </w:tcBorders>
            <w:shd w:val="clear" w:color="000000" w:fill="F2F2F2"/>
            <w:vAlign w:val="center"/>
            <w:hideMark/>
          </w:tcPr>
          <w:p w14:paraId="305B0138" w14:textId="3040BF68" w:rsidR="000E66E1" w:rsidRDefault="000E66E1" w:rsidP="000E66E1">
            <w:pPr>
              <w:jc w:val="right"/>
              <w:rPr>
                <w:rFonts w:cs="Calibri"/>
                <w:color w:val="000000"/>
                <w:sz w:val="20"/>
                <w:szCs w:val="20"/>
              </w:rPr>
            </w:pPr>
            <w:r>
              <w:rPr>
                <w:rFonts w:cs="Calibri"/>
                <w:color w:val="000000"/>
                <w:sz w:val="20"/>
                <w:szCs w:val="20"/>
              </w:rPr>
              <w:t>18 625 833,48</w:t>
            </w:r>
          </w:p>
        </w:tc>
        <w:tc>
          <w:tcPr>
            <w:tcW w:w="1550" w:type="dxa"/>
            <w:tcBorders>
              <w:top w:val="nil"/>
              <w:left w:val="nil"/>
              <w:bottom w:val="single" w:sz="12" w:space="0" w:color="FFFFFF"/>
              <w:right w:val="single" w:sz="12" w:space="0" w:color="FFFFFF"/>
            </w:tcBorders>
            <w:shd w:val="clear" w:color="000000" w:fill="F2F2F2"/>
            <w:vAlign w:val="center"/>
            <w:hideMark/>
          </w:tcPr>
          <w:p w14:paraId="2E4A9617" w14:textId="5D1F7731" w:rsidR="000E66E1" w:rsidRDefault="000E66E1" w:rsidP="000E66E1">
            <w:pPr>
              <w:jc w:val="right"/>
              <w:rPr>
                <w:rFonts w:cs="Calibri"/>
                <w:color w:val="000000"/>
                <w:sz w:val="20"/>
                <w:szCs w:val="20"/>
              </w:rPr>
            </w:pPr>
            <w:r>
              <w:rPr>
                <w:rFonts w:cs="Calibri"/>
                <w:color w:val="000000"/>
                <w:sz w:val="20"/>
                <w:szCs w:val="20"/>
              </w:rPr>
              <w:t>19 671 282,98</w:t>
            </w:r>
          </w:p>
        </w:tc>
        <w:tc>
          <w:tcPr>
            <w:tcW w:w="1560" w:type="dxa"/>
            <w:tcBorders>
              <w:top w:val="nil"/>
              <w:left w:val="nil"/>
              <w:bottom w:val="single" w:sz="12" w:space="0" w:color="FFFFFF"/>
              <w:right w:val="single" w:sz="12" w:space="0" w:color="FFFFFF"/>
            </w:tcBorders>
            <w:shd w:val="clear" w:color="000000" w:fill="F2F2F2"/>
            <w:vAlign w:val="center"/>
            <w:hideMark/>
          </w:tcPr>
          <w:p w14:paraId="7E6CB489" w14:textId="14CEC48B" w:rsidR="000E66E1" w:rsidRDefault="000E66E1" w:rsidP="000E66E1">
            <w:pPr>
              <w:jc w:val="right"/>
              <w:rPr>
                <w:rFonts w:cs="Calibri"/>
                <w:color w:val="000000"/>
                <w:sz w:val="20"/>
                <w:szCs w:val="20"/>
              </w:rPr>
            </w:pPr>
            <w:r>
              <w:rPr>
                <w:rFonts w:cs="Calibri"/>
                <w:color w:val="000000"/>
                <w:sz w:val="20"/>
                <w:szCs w:val="20"/>
              </w:rPr>
              <w:t>18 871 008,04</w:t>
            </w:r>
          </w:p>
        </w:tc>
        <w:tc>
          <w:tcPr>
            <w:tcW w:w="1194" w:type="dxa"/>
            <w:tcBorders>
              <w:top w:val="nil"/>
              <w:left w:val="nil"/>
              <w:bottom w:val="single" w:sz="12" w:space="0" w:color="FFFFFF"/>
              <w:right w:val="single" w:sz="12" w:space="0" w:color="FFFFFF"/>
            </w:tcBorders>
            <w:shd w:val="clear" w:color="000000" w:fill="F2F2F2"/>
            <w:vAlign w:val="center"/>
            <w:hideMark/>
          </w:tcPr>
          <w:p w14:paraId="2B56F736" w14:textId="2A4507D2" w:rsidR="000E66E1" w:rsidRDefault="000E66E1" w:rsidP="000E66E1">
            <w:pPr>
              <w:jc w:val="right"/>
              <w:rPr>
                <w:rFonts w:cs="Calibri"/>
                <w:color w:val="000000"/>
                <w:sz w:val="20"/>
                <w:szCs w:val="20"/>
              </w:rPr>
            </w:pPr>
            <w:r>
              <w:rPr>
                <w:rFonts w:cs="Calibri"/>
                <w:color w:val="000000"/>
                <w:sz w:val="20"/>
                <w:szCs w:val="20"/>
              </w:rPr>
              <w:t>95,93%</w:t>
            </w:r>
          </w:p>
        </w:tc>
      </w:tr>
      <w:tr w:rsidR="000E66E1" w:rsidRPr="00802E5E" w14:paraId="48DE96B2" w14:textId="77777777" w:rsidTr="00B422AE">
        <w:trPr>
          <w:trHeight w:hRule="exact" w:val="340"/>
        </w:trPr>
        <w:tc>
          <w:tcPr>
            <w:tcW w:w="2833" w:type="dxa"/>
            <w:tcBorders>
              <w:top w:val="nil"/>
              <w:left w:val="single" w:sz="12" w:space="0" w:color="FFFFFF"/>
              <w:bottom w:val="single" w:sz="12" w:space="0" w:color="FFFFFF"/>
              <w:right w:val="single" w:sz="12" w:space="0" w:color="FFFFFF"/>
            </w:tcBorders>
            <w:shd w:val="clear" w:color="000000" w:fill="F2F2F2"/>
            <w:noWrap/>
            <w:vAlign w:val="center"/>
            <w:hideMark/>
          </w:tcPr>
          <w:p w14:paraId="125693DA" w14:textId="77777777" w:rsidR="000E66E1" w:rsidRPr="00802E5E" w:rsidRDefault="000E66E1" w:rsidP="000E66E1">
            <w:pPr>
              <w:spacing w:after="0" w:line="240" w:lineRule="auto"/>
              <w:rPr>
                <w:rFonts w:cs="Calibri"/>
                <w:sz w:val="20"/>
                <w:szCs w:val="20"/>
                <w:lang w:eastAsia="sk-SK"/>
              </w:rPr>
            </w:pPr>
            <w:r w:rsidRPr="00802E5E">
              <w:rPr>
                <w:rFonts w:cs="Calibri"/>
                <w:sz w:val="20"/>
                <w:szCs w:val="20"/>
                <w:lang w:eastAsia="sk-SK"/>
              </w:rPr>
              <w:t>630 – tovary a služby</w:t>
            </w:r>
          </w:p>
        </w:tc>
        <w:tc>
          <w:tcPr>
            <w:tcW w:w="1691" w:type="dxa"/>
            <w:tcBorders>
              <w:top w:val="nil"/>
              <w:left w:val="nil"/>
              <w:bottom w:val="single" w:sz="12" w:space="0" w:color="FFFFFF"/>
              <w:right w:val="single" w:sz="12" w:space="0" w:color="FFFFFF"/>
            </w:tcBorders>
            <w:shd w:val="clear" w:color="000000" w:fill="F2F2F2"/>
            <w:vAlign w:val="center"/>
            <w:hideMark/>
          </w:tcPr>
          <w:p w14:paraId="1E72C7C5" w14:textId="696AFE0F" w:rsidR="000E66E1" w:rsidRDefault="000E66E1" w:rsidP="000E66E1">
            <w:pPr>
              <w:jc w:val="right"/>
              <w:rPr>
                <w:rFonts w:cs="Calibri"/>
                <w:color w:val="000000"/>
                <w:sz w:val="20"/>
                <w:szCs w:val="20"/>
              </w:rPr>
            </w:pPr>
            <w:r>
              <w:rPr>
                <w:rFonts w:cs="Calibri"/>
                <w:color w:val="000000"/>
                <w:sz w:val="20"/>
                <w:szCs w:val="20"/>
              </w:rPr>
              <w:t>31 276 933,45</w:t>
            </w:r>
          </w:p>
        </w:tc>
        <w:tc>
          <w:tcPr>
            <w:tcW w:w="1551" w:type="dxa"/>
            <w:tcBorders>
              <w:top w:val="nil"/>
              <w:left w:val="nil"/>
              <w:bottom w:val="single" w:sz="12" w:space="0" w:color="FFFFFF"/>
              <w:right w:val="single" w:sz="12" w:space="0" w:color="FFFFFF"/>
            </w:tcBorders>
            <w:shd w:val="clear" w:color="000000" w:fill="F2F2F2"/>
            <w:vAlign w:val="center"/>
            <w:hideMark/>
          </w:tcPr>
          <w:p w14:paraId="3466A589" w14:textId="77B3A7C9" w:rsidR="000E66E1" w:rsidRDefault="000E66E1" w:rsidP="000E66E1">
            <w:pPr>
              <w:jc w:val="right"/>
              <w:rPr>
                <w:rFonts w:cs="Calibri"/>
                <w:color w:val="000000"/>
                <w:sz w:val="20"/>
                <w:szCs w:val="20"/>
              </w:rPr>
            </w:pPr>
            <w:r>
              <w:rPr>
                <w:rFonts w:cs="Calibri"/>
                <w:color w:val="000000"/>
                <w:sz w:val="20"/>
                <w:szCs w:val="20"/>
              </w:rPr>
              <w:t>36 235 839,75</w:t>
            </w:r>
          </w:p>
        </w:tc>
        <w:tc>
          <w:tcPr>
            <w:tcW w:w="1550" w:type="dxa"/>
            <w:tcBorders>
              <w:top w:val="nil"/>
              <w:left w:val="nil"/>
              <w:bottom w:val="single" w:sz="12" w:space="0" w:color="FFFFFF"/>
              <w:right w:val="single" w:sz="12" w:space="0" w:color="FFFFFF"/>
            </w:tcBorders>
            <w:shd w:val="clear" w:color="000000" w:fill="F2F2F2"/>
            <w:vAlign w:val="center"/>
            <w:hideMark/>
          </w:tcPr>
          <w:p w14:paraId="60E951DC" w14:textId="15F8125F" w:rsidR="000E66E1" w:rsidRDefault="000E66E1" w:rsidP="000E66E1">
            <w:pPr>
              <w:jc w:val="right"/>
              <w:rPr>
                <w:rFonts w:cs="Calibri"/>
                <w:color w:val="000000"/>
                <w:sz w:val="20"/>
                <w:szCs w:val="20"/>
              </w:rPr>
            </w:pPr>
            <w:r>
              <w:rPr>
                <w:rFonts w:cs="Calibri"/>
                <w:color w:val="000000"/>
                <w:sz w:val="20"/>
                <w:szCs w:val="20"/>
              </w:rPr>
              <w:t>37 706 144,70</w:t>
            </w:r>
          </w:p>
        </w:tc>
        <w:tc>
          <w:tcPr>
            <w:tcW w:w="1560" w:type="dxa"/>
            <w:tcBorders>
              <w:top w:val="nil"/>
              <w:left w:val="nil"/>
              <w:bottom w:val="single" w:sz="12" w:space="0" w:color="FFFFFF"/>
              <w:right w:val="single" w:sz="12" w:space="0" w:color="FFFFFF"/>
            </w:tcBorders>
            <w:shd w:val="clear" w:color="000000" w:fill="F2F2F2"/>
            <w:vAlign w:val="center"/>
            <w:hideMark/>
          </w:tcPr>
          <w:p w14:paraId="71F63DA2" w14:textId="4A9EE161" w:rsidR="000E66E1" w:rsidRDefault="000E66E1" w:rsidP="000E66E1">
            <w:pPr>
              <w:jc w:val="right"/>
              <w:rPr>
                <w:rFonts w:cs="Calibri"/>
                <w:color w:val="000000"/>
                <w:sz w:val="20"/>
                <w:szCs w:val="20"/>
              </w:rPr>
            </w:pPr>
            <w:r>
              <w:rPr>
                <w:rFonts w:cs="Calibri"/>
                <w:color w:val="000000"/>
                <w:sz w:val="20"/>
                <w:szCs w:val="20"/>
              </w:rPr>
              <w:t>27 305 369,35</w:t>
            </w:r>
          </w:p>
        </w:tc>
        <w:tc>
          <w:tcPr>
            <w:tcW w:w="1194" w:type="dxa"/>
            <w:tcBorders>
              <w:top w:val="nil"/>
              <w:left w:val="nil"/>
              <w:bottom w:val="single" w:sz="12" w:space="0" w:color="FFFFFF"/>
              <w:right w:val="single" w:sz="12" w:space="0" w:color="FFFFFF"/>
            </w:tcBorders>
            <w:shd w:val="clear" w:color="000000" w:fill="F2F2F2"/>
            <w:vAlign w:val="center"/>
            <w:hideMark/>
          </w:tcPr>
          <w:p w14:paraId="0EA77274" w14:textId="454B9F8D" w:rsidR="000E66E1" w:rsidRDefault="000E66E1" w:rsidP="000E66E1">
            <w:pPr>
              <w:jc w:val="right"/>
              <w:rPr>
                <w:rFonts w:cs="Calibri"/>
                <w:color w:val="000000"/>
                <w:sz w:val="20"/>
                <w:szCs w:val="20"/>
              </w:rPr>
            </w:pPr>
            <w:r>
              <w:rPr>
                <w:rFonts w:cs="Calibri"/>
                <w:color w:val="000000"/>
                <w:sz w:val="20"/>
                <w:szCs w:val="20"/>
              </w:rPr>
              <w:t>72,42%</w:t>
            </w:r>
          </w:p>
        </w:tc>
      </w:tr>
      <w:tr w:rsidR="000E66E1" w:rsidRPr="00802E5E" w14:paraId="696E73AE" w14:textId="77777777" w:rsidTr="00B422AE">
        <w:trPr>
          <w:trHeight w:hRule="exact" w:val="340"/>
        </w:trPr>
        <w:tc>
          <w:tcPr>
            <w:tcW w:w="2833" w:type="dxa"/>
            <w:tcBorders>
              <w:top w:val="nil"/>
              <w:left w:val="single" w:sz="12" w:space="0" w:color="FFFFFF"/>
              <w:bottom w:val="single" w:sz="12" w:space="0" w:color="FFFFFF"/>
              <w:right w:val="single" w:sz="12" w:space="0" w:color="FFFFFF"/>
            </w:tcBorders>
            <w:shd w:val="clear" w:color="000000" w:fill="F2F2F2"/>
            <w:noWrap/>
            <w:vAlign w:val="center"/>
            <w:hideMark/>
          </w:tcPr>
          <w:p w14:paraId="1E47FA3E" w14:textId="77777777" w:rsidR="000E66E1" w:rsidRPr="00802E5E" w:rsidRDefault="000E66E1" w:rsidP="000E66E1">
            <w:pPr>
              <w:spacing w:after="0" w:line="240" w:lineRule="auto"/>
              <w:rPr>
                <w:rFonts w:cs="Calibri"/>
                <w:sz w:val="20"/>
                <w:szCs w:val="20"/>
                <w:lang w:eastAsia="sk-SK"/>
              </w:rPr>
            </w:pPr>
            <w:r w:rsidRPr="00802E5E">
              <w:rPr>
                <w:rFonts w:cs="Calibri"/>
                <w:sz w:val="20"/>
                <w:szCs w:val="20"/>
                <w:lang w:eastAsia="sk-SK"/>
              </w:rPr>
              <w:t>640 – bežné transfery</w:t>
            </w:r>
          </w:p>
        </w:tc>
        <w:tc>
          <w:tcPr>
            <w:tcW w:w="1691" w:type="dxa"/>
            <w:tcBorders>
              <w:top w:val="nil"/>
              <w:left w:val="nil"/>
              <w:bottom w:val="single" w:sz="12" w:space="0" w:color="FFFFFF"/>
              <w:right w:val="single" w:sz="12" w:space="0" w:color="FFFFFF"/>
            </w:tcBorders>
            <w:shd w:val="clear" w:color="000000" w:fill="F2F2F2"/>
            <w:vAlign w:val="center"/>
            <w:hideMark/>
          </w:tcPr>
          <w:p w14:paraId="4A57CC41" w14:textId="60271514" w:rsidR="000E66E1" w:rsidRDefault="000E66E1" w:rsidP="000E66E1">
            <w:pPr>
              <w:jc w:val="right"/>
              <w:rPr>
                <w:rFonts w:cs="Calibri"/>
                <w:color w:val="000000"/>
                <w:sz w:val="20"/>
                <w:szCs w:val="20"/>
              </w:rPr>
            </w:pPr>
            <w:r>
              <w:rPr>
                <w:rFonts w:cs="Calibri"/>
                <w:color w:val="000000"/>
                <w:sz w:val="20"/>
                <w:szCs w:val="20"/>
              </w:rPr>
              <w:t>55 436 366,24</w:t>
            </w:r>
          </w:p>
        </w:tc>
        <w:tc>
          <w:tcPr>
            <w:tcW w:w="1551" w:type="dxa"/>
            <w:tcBorders>
              <w:top w:val="nil"/>
              <w:left w:val="nil"/>
              <w:bottom w:val="single" w:sz="12" w:space="0" w:color="FFFFFF"/>
              <w:right w:val="single" w:sz="12" w:space="0" w:color="FFFFFF"/>
            </w:tcBorders>
            <w:shd w:val="clear" w:color="000000" w:fill="F2F2F2"/>
            <w:vAlign w:val="center"/>
            <w:hideMark/>
          </w:tcPr>
          <w:p w14:paraId="2543A824" w14:textId="4E41DA8E" w:rsidR="000E66E1" w:rsidRDefault="000E66E1" w:rsidP="000E66E1">
            <w:pPr>
              <w:jc w:val="right"/>
              <w:rPr>
                <w:rFonts w:cs="Calibri"/>
                <w:color w:val="000000"/>
                <w:sz w:val="20"/>
                <w:szCs w:val="20"/>
              </w:rPr>
            </w:pPr>
            <w:r>
              <w:rPr>
                <w:rFonts w:cs="Calibri"/>
                <w:color w:val="000000"/>
                <w:sz w:val="20"/>
                <w:szCs w:val="20"/>
              </w:rPr>
              <w:t>63 413 241,51</w:t>
            </w:r>
          </w:p>
        </w:tc>
        <w:tc>
          <w:tcPr>
            <w:tcW w:w="1550" w:type="dxa"/>
            <w:tcBorders>
              <w:top w:val="nil"/>
              <w:left w:val="nil"/>
              <w:bottom w:val="single" w:sz="12" w:space="0" w:color="FFFFFF"/>
              <w:right w:val="single" w:sz="12" w:space="0" w:color="FFFFFF"/>
            </w:tcBorders>
            <w:shd w:val="clear" w:color="000000" w:fill="F2F2F2"/>
            <w:vAlign w:val="center"/>
            <w:hideMark/>
          </w:tcPr>
          <w:p w14:paraId="2F962E58" w14:textId="3FAFF002" w:rsidR="000E66E1" w:rsidRDefault="000E66E1" w:rsidP="000E66E1">
            <w:pPr>
              <w:jc w:val="right"/>
              <w:rPr>
                <w:rFonts w:cs="Calibri"/>
                <w:color w:val="000000"/>
                <w:sz w:val="20"/>
                <w:szCs w:val="20"/>
              </w:rPr>
            </w:pPr>
            <w:r>
              <w:rPr>
                <w:rFonts w:cs="Calibri"/>
                <w:color w:val="000000"/>
                <w:sz w:val="20"/>
                <w:szCs w:val="20"/>
              </w:rPr>
              <w:t>61 192 807,86</w:t>
            </w:r>
          </w:p>
        </w:tc>
        <w:tc>
          <w:tcPr>
            <w:tcW w:w="1560" w:type="dxa"/>
            <w:tcBorders>
              <w:top w:val="nil"/>
              <w:left w:val="nil"/>
              <w:bottom w:val="single" w:sz="12" w:space="0" w:color="FFFFFF"/>
              <w:right w:val="single" w:sz="12" w:space="0" w:color="FFFFFF"/>
            </w:tcBorders>
            <w:shd w:val="clear" w:color="000000" w:fill="F2F2F2"/>
            <w:vAlign w:val="center"/>
            <w:hideMark/>
          </w:tcPr>
          <w:p w14:paraId="2F7CA177" w14:textId="5706542D" w:rsidR="000E66E1" w:rsidRDefault="000E66E1" w:rsidP="000E66E1">
            <w:pPr>
              <w:jc w:val="right"/>
              <w:rPr>
                <w:rFonts w:cs="Calibri"/>
                <w:color w:val="000000"/>
                <w:sz w:val="20"/>
                <w:szCs w:val="20"/>
              </w:rPr>
            </w:pPr>
            <w:r>
              <w:rPr>
                <w:rFonts w:cs="Calibri"/>
                <w:color w:val="000000"/>
                <w:sz w:val="20"/>
                <w:szCs w:val="20"/>
              </w:rPr>
              <w:t>55 922 704,84</w:t>
            </w:r>
          </w:p>
        </w:tc>
        <w:tc>
          <w:tcPr>
            <w:tcW w:w="1194" w:type="dxa"/>
            <w:tcBorders>
              <w:top w:val="nil"/>
              <w:left w:val="nil"/>
              <w:bottom w:val="single" w:sz="12" w:space="0" w:color="FFFFFF"/>
              <w:right w:val="single" w:sz="12" w:space="0" w:color="FFFFFF"/>
            </w:tcBorders>
            <w:shd w:val="clear" w:color="000000" w:fill="F2F2F2"/>
            <w:vAlign w:val="center"/>
            <w:hideMark/>
          </w:tcPr>
          <w:p w14:paraId="5B4B0E3F" w14:textId="069E6507" w:rsidR="000E66E1" w:rsidRDefault="000E66E1" w:rsidP="000E66E1">
            <w:pPr>
              <w:jc w:val="right"/>
              <w:rPr>
                <w:rFonts w:cs="Calibri"/>
                <w:color w:val="000000"/>
                <w:sz w:val="20"/>
                <w:szCs w:val="20"/>
              </w:rPr>
            </w:pPr>
            <w:r>
              <w:rPr>
                <w:rFonts w:cs="Calibri"/>
                <w:color w:val="000000"/>
                <w:sz w:val="20"/>
                <w:szCs w:val="20"/>
              </w:rPr>
              <w:t>91,39%</w:t>
            </w:r>
          </w:p>
        </w:tc>
      </w:tr>
      <w:tr w:rsidR="000E66E1" w:rsidRPr="00802E5E" w14:paraId="65556835" w14:textId="77777777" w:rsidTr="00B422AE">
        <w:trPr>
          <w:trHeight w:hRule="exact" w:val="340"/>
        </w:trPr>
        <w:tc>
          <w:tcPr>
            <w:tcW w:w="2833" w:type="dxa"/>
            <w:tcBorders>
              <w:top w:val="nil"/>
              <w:left w:val="single" w:sz="12" w:space="0" w:color="FFFFFF"/>
              <w:bottom w:val="single" w:sz="12" w:space="0" w:color="FFFFFF"/>
              <w:right w:val="single" w:sz="12" w:space="0" w:color="FFFFFF"/>
            </w:tcBorders>
            <w:shd w:val="clear" w:color="000000" w:fill="F2F2F2"/>
            <w:noWrap/>
            <w:vAlign w:val="center"/>
            <w:hideMark/>
          </w:tcPr>
          <w:p w14:paraId="4D58D086" w14:textId="77777777" w:rsidR="000E66E1" w:rsidRPr="00802E5E" w:rsidRDefault="000E66E1" w:rsidP="000E66E1">
            <w:pPr>
              <w:spacing w:after="0" w:line="240" w:lineRule="auto"/>
              <w:rPr>
                <w:rFonts w:cs="Calibri"/>
                <w:sz w:val="20"/>
                <w:szCs w:val="20"/>
                <w:lang w:eastAsia="sk-SK"/>
              </w:rPr>
            </w:pPr>
            <w:r w:rsidRPr="00802E5E">
              <w:rPr>
                <w:rFonts w:cs="Calibri"/>
                <w:sz w:val="20"/>
                <w:szCs w:val="20"/>
                <w:lang w:eastAsia="sk-SK"/>
              </w:rPr>
              <w:t xml:space="preserve">650 – splácanie úrokov </w:t>
            </w:r>
          </w:p>
        </w:tc>
        <w:tc>
          <w:tcPr>
            <w:tcW w:w="1691" w:type="dxa"/>
            <w:tcBorders>
              <w:top w:val="nil"/>
              <w:left w:val="nil"/>
              <w:bottom w:val="single" w:sz="12" w:space="0" w:color="FFFFFF"/>
              <w:right w:val="single" w:sz="12" w:space="0" w:color="FFFFFF"/>
            </w:tcBorders>
            <w:shd w:val="clear" w:color="000000" w:fill="F2F2F2"/>
            <w:vAlign w:val="center"/>
            <w:hideMark/>
          </w:tcPr>
          <w:p w14:paraId="63447740" w14:textId="753BB85A" w:rsidR="000E66E1" w:rsidRDefault="000E66E1" w:rsidP="000E66E1">
            <w:pPr>
              <w:jc w:val="right"/>
              <w:rPr>
                <w:rFonts w:cs="Calibri"/>
                <w:color w:val="000000"/>
                <w:sz w:val="20"/>
                <w:szCs w:val="20"/>
              </w:rPr>
            </w:pPr>
            <w:r>
              <w:rPr>
                <w:rFonts w:cs="Calibri"/>
                <w:color w:val="000000"/>
                <w:sz w:val="20"/>
                <w:szCs w:val="20"/>
              </w:rPr>
              <w:t>194 923,34</w:t>
            </w:r>
          </w:p>
        </w:tc>
        <w:tc>
          <w:tcPr>
            <w:tcW w:w="1551" w:type="dxa"/>
            <w:tcBorders>
              <w:top w:val="nil"/>
              <w:left w:val="nil"/>
              <w:bottom w:val="single" w:sz="12" w:space="0" w:color="FFFFFF"/>
              <w:right w:val="single" w:sz="12" w:space="0" w:color="FFFFFF"/>
            </w:tcBorders>
            <w:shd w:val="clear" w:color="000000" w:fill="F2F2F2"/>
            <w:vAlign w:val="center"/>
            <w:hideMark/>
          </w:tcPr>
          <w:p w14:paraId="549FB288" w14:textId="49E9B038" w:rsidR="000E66E1" w:rsidRDefault="000E66E1" w:rsidP="000E66E1">
            <w:pPr>
              <w:jc w:val="right"/>
              <w:rPr>
                <w:rFonts w:cs="Calibri"/>
                <w:color w:val="000000"/>
                <w:sz w:val="20"/>
                <w:szCs w:val="20"/>
              </w:rPr>
            </w:pPr>
            <w:r>
              <w:rPr>
                <w:rFonts w:cs="Calibri"/>
                <w:color w:val="000000"/>
                <w:sz w:val="20"/>
                <w:szCs w:val="20"/>
              </w:rPr>
              <w:t>370 000,00</w:t>
            </w:r>
          </w:p>
        </w:tc>
        <w:tc>
          <w:tcPr>
            <w:tcW w:w="1550" w:type="dxa"/>
            <w:tcBorders>
              <w:top w:val="nil"/>
              <w:left w:val="nil"/>
              <w:bottom w:val="single" w:sz="12" w:space="0" w:color="FFFFFF"/>
              <w:right w:val="single" w:sz="12" w:space="0" w:color="FFFFFF"/>
            </w:tcBorders>
            <w:shd w:val="clear" w:color="000000" w:fill="F2F2F2"/>
            <w:vAlign w:val="center"/>
            <w:hideMark/>
          </w:tcPr>
          <w:p w14:paraId="0D90F4E9" w14:textId="796A673C" w:rsidR="000E66E1" w:rsidRDefault="000E66E1" w:rsidP="000E66E1">
            <w:pPr>
              <w:jc w:val="right"/>
              <w:rPr>
                <w:rFonts w:cs="Calibri"/>
                <w:color w:val="000000"/>
                <w:sz w:val="20"/>
                <w:szCs w:val="20"/>
              </w:rPr>
            </w:pPr>
            <w:r>
              <w:rPr>
                <w:rFonts w:cs="Calibri"/>
                <w:color w:val="000000"/>
                <w:sz w:val="20"/>
                <w:szCs w:val="20"/>
              </w:rPr>
              <w:t>222 854,39</w:t>
            </w:r>
          </w:p>
        </w:tc>
        <w:tc>
          <w:tcPr>
            <w:tcW w:w="1560" w:type="dxa"/>
            <w:tcBorders>
              <w:top w:val="nil"/>
              <w:left w:val="nil"/>
              <w:bottom w:val="single" w:sz="12" w:space="0" w:color="FFFFFF"/>
              <w:right w:val="single" w:sz="12" w:space="0" w:color="FFFFFF"/>
            </w:tcBorders>
            <w:shd w:val="clear" w:color="000000" w:fill="F2F2F2"/>
            <w:vAlign w:val="center"/>
            <w:hideMark/>
          </w:tcPr>
          <w:p w14:paraId="0D103888" w14:textId="6E09BCB6" w:rsidR="000E66E1" w:rsidRDefault="000E66E1" w:rsidP="000E66E1">
            <w:pPr>
              <w:jc w:val="right"/>
              <w:rPr>
                <w:rFonts w:cs="Calibri"/>
                <w:color w:val="000000"/>
                <w:sz w:val="20"/>
                <w:szCs w:val="20"/>
              </w:rPr>
            </w:pPr>
            <w:r>
              <w:rPr>
                <w:rFonts w:cs="Calibri"/>
                <w:color w:val="000000"/>
                <w:sz w:val="20"/>
                <w:szCs w:val="20"/>
              </w:rPr>
              <w:t>153 336,05</w:t>
            </w:r>
          </w:p>
        </w:tc>
        <w:tc>
          <w:tcPr>
            <w:tcW w:w="1194" w:type="dxa"/>
            <w:tcBorders>
              <w:top w:val="nil"/>
              <w:left w:val="nil"/>
              <w:bottom w:val="single" w:sz="12" w:space="0" w:color="FFFFFF"/>
              <w:right w:val="single" w:sz="12" w:space="0" w:color="FFFFFF"/>
            </w:tcBorders>
            <w:shd w:val="clear" w:color="000000" w:fill="F2F2F2"/>
            <w:vAlign w:val="center"/>
            <w:hideMark/>
          </w:tcPr>
          <w:p w14:paraId="4255817D" w14:textId="4B8F680C" w:rsidR="000E66E1" w:rsidRDefault="000E66E1" w:rsidP="000E66E1">
            <w:pPr>
              <w:jc w:val="right"/>
              <w:rPr>
                <w:rFonts w:cs="Calibri"/>
                <w:color w:val="000000"/>
                <w:sz w:val="20"/>
                <w:szCs w:val="20"/>
              </w:rPr>
            </w:pPr>
            <w:r>
              <w:rPr>
                <w:rFonts w:cs="Calibri"/>
                <w:color w:val="000000"/>
                <w:sz w:val="20"/>
                <w:szCs w:val="20"/>
              </w:rPr>
              <w:t>68,81%</w:t>
            </w:r>
          </w:p>
        </w:tc>
      </w:tr>
      <w:tr w:rsidR="000E66E1" w:rsidRPr="00802E5E" w14:paraId="21724169" w14:textId="77777777" w:rsidTr="00B422AE">
        <w:trPr>
          <w:trHeight w:hRule="exact" w:val="340"/>
        </w:trPr>
        <w:tc>
          <w:tcPr>
            <w:tcW w:w="2833" w:type="dxa"/>
            <w:tcBorders>
              <w:top w:val="nil"/>
              <w:left w:val="single" w:sz="12" w:space="0" w:color="FFFFFF"/>
              <w:bottom w:val="single" w:sz="12" w:space="0" w:color="FFFFFF"/>
              <w:right w:val="single" w:sz="12" w:space="0" w:color="FFFFFF"/>
            </w:tcBorders>
            <w:shd w:val="clear" w:color="000000" w:fill="8DB3E2"/>
            <w:noWrap/>
            <w:vAlign w:val="center"/>
            <w:hideMark/>
          </w:tcPr>
          <w:p w14:paraId="188BA441" w14:textId="77777777" w:rsidR="000E66E1" w:rsidRPr="00802E5E" w:rsidRDefault="000E66E1" w:rsidP="000E66E1">
            <w:pPr>
              <w:spacing w:after="0" w:line="240" w:lineRule="auto"/>
              <w:rPr>
                <w:rFonts w:cs="Calibri"/>
                <w:b/>
                <w:bCs/>
                <w:sz w:val="20"/>
                <w:szCs w:val="20"/>
                <w:lang w:eastAsia="sk-SK"/>
              </w:rPr>
            </w:pPr>
            <w:r w:rsidRPr="00802E5E">
              <w:rPr>
                <w:rFonts w:cs="Calibri"/>
                <w:b/>
                <w:bCs/>
                <w:sz w:val="20"/>
                <w:szCs w:val="20"/>
                <w:lang w:eastAsia="sk-SK"/>
              </w:rPr>
              <w:t>Celkom</w:t>
            </w:r>
          </w:p>
        </w:tc>
        <w:tc>
          <w:tcPr>
            <w:tcW w:w="1691" w:type="dxa"/>
            <w:tcBorders>
              <w:top w:val="nil"/>
              <w:left w:val="nil"/>
              <w:bottom w:val="single" w:sz="12" w:space="0" w:color="FFFFFF"/>
              <w:right w:val="single" w:sz="12" w:space="0" w:color="FFFFFF"/>
            </w:tcBorders>
            <w:shd w:val="clear" w:color="000000" w:fill="8DB3E2"/>
            <w:noWrap/>
            <w:vAlign w:val="center"/>
            <w:hideMark/>
          </w:tcPr>
          <w:p w14:paraId="402913C6" w14:textId="6A42AB7A" w:rsidR="000E66E1" w:rsidRDefault="000E66E1" w:rsidP="000E66E1">
            <w:pPr>
              <w:jc w:val="right"/>
              <w:rPr>
                <w:rFonts w:cs="Calibri"/>
                <w:b/>
                <w:bCs/>
                <w:color w:val="000000"/>
                <w:sz w:val="20"/>
                <w:szCs w:val="20"/>
              </w:rPr>
            </w:pPr>
            <w:r>
              <w:rPr>
                <w:rFonts w:cs="Calibri"/>
                <w:b/>
                <w:bCs/>
                <w:color w:val="000000"/>
                <w:sz w:val="20"/>
                <w:szCs w:val="20"/>
              </w:rPr>
              <w:t>154 227 381,70</w:t>
            </w:r>
          </w:p>
        </w:tc>
        <w:tc>
          <w:tcPr>
            <w:tcW w:w="1551" w:type="dxa"/>
            <w:tcBorders>
              <w:top w:val="nil"/>
              <w:left w:val="nil"/>
              <w:bottom w:val="single" w:sz="12" w:space="0" w:color="FFFFFF"/>
              <w:right w:val="single" w:sz="12" w:space="0" w:color="FFFFFF"/>
            </w:tcBorders>
            <w:shd w:val="clear" w:color="000000" w:fill="8DB3E2"/>
            <w:noWrap/>
            <w:vAlign w:val="center"/>
            <w:hideMark/>
          </w:tcPr>
          <w:p w14:paraId="02E87BAF" w14:textId="54AE7DE5" w:rsidR="000E66E1" w:rsidRDefault="000E66E1" w:rsidP="000E66E1">
            <w:pPr>
              <w:jc w:val="right"/>
              <w:rPr>
                <w:rFonts w:cs="Calibri"/>
                <w:b/>
                <w:bCs/>
                <w:color w:val="000000"/>
                <w:sz w:val="20"/>
                <w:szCs w:val="20"/>
              </w:rPr>
            </w:pPr>
            <w:r>
              <w:rPr>
                <w:rFonts w:cs="Calibri"/>
                <w:b/>
                <w:bCs/>
                <w:color w:val="000000"/>
                <w:sz w:val="20"/>
                <w:szCs w:val="20"/>
              </w:rPr>
              <w:t>170 922 732,53</w:t>
            </w:r>
          </w:p>
        </w:tc>
        <w:tc>
          <w:tcPr>
            <w:tcW w:w="1550" w:type="dxa"/>
            <w:tcBorders>
              <w:top w:val="nil"/>
              <w:left w:val="nil"/>
              <w:bottom w:val="single" w:sz="12" w:space="0" w:color="FFFFFF"/>
              <w:right w:val="single" w:sz="12" w:space="0" w:color="FFFFFF"/>
            </w:tcBorders>
            <w:shd w:val="clear" w:color="000000" w:fill="8DB3E2"/>
            <w:noWrap/>
            <w:vAlign w:val="center"/>
            <w:hideMark/>
          </w:tcPr>
          <w:p w14:paraId="2BDD9981" w14:textId="10348D8D" w:rsidR="000E66E1" w:rsidRDefault="000E66E1" w:rsidP="000E66E1">
            <w:pPr>
              <w:jc w:val="right"/>
              <w:rPr>
                <w:rFonts w:cs="Calibri"/>
                <w:b/>
                <w:bCs/>
                <w:color w:val="000000"/>
                <w:sz w:val="20"/>
                <w:szCs w:val="20"/>
              </w:rPr>
            </w:pPr>
            <w:r>
              <w:rPr>
                <w:rFonts w:cs="Calibri"/>
                <w:b/>
                <w:bCs/>
                <w:color w:val="000000"/>
                <w:sz w:val="20"/>
                <w:szCs w:val="20"/>
              </w:rPr>
              <w:t>174 221 749,52</w:t>
            </w:r>
          </w:p>
        </w:tc>
        <w:tc>
          <w:tcPr>
            <w:tcW w:w="1560" w:type="dxa"/>
            <w:tcBorders>
              <w:top w:val="nil"/>
              <w:left w:val="nil"/>
              <w:bottom w:val="single" w:sz="12" w:space="0" w:color="FFFFFF"/>
              <w:right w:val="single" w:sz="12" w:space="0" w:color="FFFFFF"/>
            </w:tcBorders>
            <w:shd w:val="clear" w:color="000000" w:fill="8DB3E2"/>
            <w:noWrap/>
            <w:vAlign w:val="center"/>
            <w:hideMark/>
          </w:tcPr>
          <w:p w14:paraId="6F56B4CB" w14:textId="375BDA23" w:rsidR="000E66E1" w:rsidRDefault="000E66E1" w:rsidP="000E66E1">
            <w:pPr>
              <w:jc w:val="right"/>
              <w:rPr>
                <w:rFonts w:cs="Calibri"/>
                <w:b/>
                <w:bCs/>
                <w:color w:val="000000"/>
                <w:sz w:val="20"/>
                <w:szCs w:val="20"/>
              </w:rPr>
            </w:pPr>
            <w:r>
              <w:rPr>
                <w:rFonts w:cs="Calibri"/>
                <w:b/>
                <w:bCs/>
                <w:color w:val="000000"/>
                <w:sz w:val="20"/>
                <w:szCs w:val="20"/>
              </w:rPr>
              <w:t>155 827 379,05</w:t>
            </w:r>
          </w:p>
        </w:tc>
        <w:tc>
          <w:tcPr>
            <w:tcW w:w="1194" w:type="dxa"/>
            <w:tcBorders>
              <w:top w:val="nil"/>
              <w:left w:val="nil"/>
              <w:bottom w:val="single" w:sz="12" w:space="0" w:color="FFFFFF"/>
              <w:right w:val="single" w:sz="12" w:space="0" w:color="FFFFFF"/>
            </w:tcBorders>
            <w:shd w:val="clear" w:color="000000" w:fill="95B3D7"/>
            <w:vAlign w:val="center"/>
            <w:hideMark/>
          </w:tcPr>
          <w:p w14:paraId="6C62B2CD" w14:textId="0A277FDC" w:rsidR="000E66E1" w:rsidRDefault="000E66E1" w:rsidP="000E66E1">
            <w:pPr>
              <w:jc w:val="right"/>
              <w:rPr>
                <w:rFonts w:cs="Calibri"/>
                <w:b/>
                <w:bCs/>
                <w:color w:val="000000"/>
                <w:sz w:val="20"/>
                <w:szCs w:val="20"/>
              </w:rPr>
            </w:pPr>
            <w:r>
              <w:rPr>
                <w:rFonts w:cs="Calibri"/>
                <w:b/>
                <w:bCs/>
                <w:color w:val="000000"/>
                <w:sz w:val="20"/>
                <w:szCs w:val="20"/>
              </w:rPr>
              <w:t>89,44%</w:t>
            </w:r>
          </w:p>
        </w:tc>
      </w:tr>
    </w:tbl>
    <w:p w14:paraId="2F27FFB8" w14:textId="77777777" w:rsidR="00857CA0" w:rsidRDefault="00857CA0" w:rsidP="00857CA0">
      <w:pPr>
        <w:spacing w:line="240" w:lineRule="auto"/>
        <w:jc w:val="both"/>
        <w:rPr>
          <w:rFonts w:cs="Calibri"/>
          <w:sz w:val="24"/>
          <w:szCs w:val="24"/>
          <w:u w:val="single"/>
        </w:rPr>
      </w:pPr>
    </w:p>
    <w:p w14:paraId="0037A4BB" w14:textId="608DB737" w:rsidR="00857CA0" w:rsidRDefault="00857CA0" w:rsidP="00BE704E">
      <w:pPr>
        <w:spacing w:line="240" w:lineRule="auto"/>
        <w:jc w:val="both"/>
        <w:rPr>
          <w:rFonts w:cs="Calibri"/>
          <w:sz w:val="24"/>
          <w:szCs w:val="24"/>
          <w:u w:val="single"/>
        </w:rPr>
      </w:pPr>
      <w:r w:rsidRPr="004D1FDC">
        <w:rPr>
          <w:rFonts w:cs="Calibri"/>
          <w:sz w:val="24"/>
          <w:szCs w:val="24"/>
          <w:u w:val="single"/>
        </w:rPr>
        <w:t>Graf</w:t>
      </w:r>
      <w:r>
        <w:rPr>
          <w:rFonts w:cs="Calibri"/>
          <w:sz w:val="24"/>
          <w:szCs w:val="24"/>
          <w:u w:val="single"/>
        </w:rPr>
        <w:t xml:space="preserve"> 9</w:t>
      </w:r>
      <w:r w:rsidRPr="004D1FDC">
        <w:rPr>
          <w:rFonts w:cs="Calibri"/>
          <w:sz w:val="24"/>
          <w:szCs w:val="24"/>
          <w:u w:val="single"/>
        </w:rPr>
        <w:t xml:space="preserve">: </w:t>
      </w:r>
      <w:r>
        <w:rPr>
          <w:rFonts w:cs="Calibri"/>
          <w:sz w:val="24"/>
          <w:szCs w:val="24"/>
          <w:u w:val="single"/>
        </w:rPr>
        <w:t>Skutočné č</w:t>
      </w:r>
      <w:r w:rsidRPr="004D1FDC">
        <w:rPr>
          <w:rFonts w:cs="Calibri"/>
          <w:sz w:val="24"/>
          <w:szCs w:val="24"/>
          <w:u w:val="single"/>
        </w:rPr>
        <w:t>erpani</w:t>
      </w:r>
      <w:r>
        <w:rPr>
          <w:rFonts w:cs="Calibri"/>
          <w:sz w:val="24"/>
          <w:szCs w:val="24"/>
          <w:u w:val="single"/>
        </w:rPr>
        <w:t>e</w:t>
      </w:r>
      <w:r w:rsidRPr="004D1FDC">
        <w:rPr>
          <w:rFonts w:cs="Calibri"/>
          <w:sz w:val="24"/>
          <w:szCs w:val="24"/>
          <w:u w:val="single"/>
        </w:rPr>
        <w:t xml:space="preserve"> bežných výdavkov </w:t>
      </w:r>
      <w:r>
        <w:rPr>
          <w:rFonts w:cs="Calibri"/>
          <w:sz w:val="24"/>
          <w:szCs w:val="24"/>
          <w:u w:val="single"/>
        </w:rPr>
        <w:t>v roku 2019 a 2020</w:t>
      </w:r>
      <w:r w:rsidRPr="004D1FDC">
        <w:rPr>
          <w:rFonts w:cs="Calibri"/>
          <w:sz w:val="24"/>
          <w:szCs w:val="24"/>
          <w:u w:val="single"/>
        </w:rPr>
        <w:t xml:space="preserve"> podľa </w:t>
      </w:r>
      <w:r>
        <w:rPr>
          <w:rFonts w:cs="Calibri"/>
          <w:sz w:val="24"/>
          <w:szCs w:val="24"/>
          <w:u w:val="single"/>
        </w:rPr>
        <w:t xml:space="preserve">ekonomickej </w:t>
      </w:r>
      <w:r w:rsidRPr="004D1FDC">
        <w:rPr>
          <w:rFonts w:cs="Calibri"/>
          <w:sz w:val="24"/>
          <w:szCs w:val="24"/>
          <w:u w:val="single"/>
        </w:rPr>
        <w:t>k</w:t>
      </w:r>
      <w:r w:rsidR="00654E6E">
        <w:rPr>
          <w:rFonts w:cs="Calibri"/>
          <w:sz w:val="24"/>
          <w:szCs w:val="24"/>
          <w:u w:val="single"/>
        </w:rPr>
        <w:t>lasifikácie</w:t>
      </w:r>
      <w:r>
        <w:rPr>
          <w:rFonts w:cs="Calibri"/>
          <w:sz w:val="24"/>
          <w:szCs w:val="24"/>
          <w:u w:val="single"/>
        </w:rPr>
        <w:t>:</w:t>
      </w:r>
    </w:p>
    <w:p w14:paraId="06A2584F" w14:textId="1F315875" w:rsidR="00857CA0" w:rsidRDefault="00857CA0" w:rsidP="00BE704E">
      <w:pPr>
        <w:spacing w:line="240" w:lineRule="auto"/>
        <w:jc w:val="both"/>
        <w:rPr>
          <w:rFonts w:cs="Calibri"/>
          <w:sz w:val="24"/>
          <w:szCs w:val="24"/>
          <w:u w:val="single"/>
        </w:rPr>
      </w:pPr>
      <w:r>
        <w:rPr>
          <w:noProof/>
        </w:rPr>
        <w:drawing>
          <wp:inline distT="0" distB="0" distL="0" distR="0" wp14:anchorId="47339B21" wp14:editId="738DB310">
            <wp:extent cx="6520070" cy="2494721"/>
            <wp:effectExtent l="0" t="0" r="0" b="1270"/>
            <wp:docPr id="3" name="Graf 3">
              <a:extLst xmlns:a="http://schemas.openxmlformats.org/drawingml/2006/main">
                <a:ext uri="{FF2B5EF4-FFF2-40B4-BE49-F238E27FC236}">
                  <a16:creationId xmlns:a16="http://schemas.microsoft.com/office/drawing/2014/main" id="{51B2B9A9-B131-407B-8337-DBA960DC1E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973F81F" w14:textId="3CA663FF" w:rsidR="00E036A7" w:rsidRDefault="00BE704E" w:rsidP="00BE704E">
      <w:pPr>
        <w:spacing w:line="240" w:lineRule="auto"/>
        <w:jc w:val="both"/>
        <w:rPr>
          <w:rFonts w:cs="Calibri"/>
          <w:sz w:val="24"/>
          <w:szCs w:val="24"/>
          <w:u w:val="single"/>
        </w:rPr>
      </w:pPr>
      <w:r w:rsidRPr="004D1FDC">
        <w:rPr>
          <w:rFonts w:cs="Calibri"/>
          <w:sz w:val="24"/>
          <w:szCs w:val="24"/>
          <w:u w:val="single"/>
        </w:rPr>
        <w:t>Graf</w:t>
      </w:r>
      <w:r w:rsidR="003159A8">
        <w:rPr>
          <w:rFonts w:cs="Calibri"/>
          <w:sz w:val="24"/>
          <w:szCs w:val="24"/>
          <w:u w:val="single"/>
        </w:rPr>
        <w:t xml:space="preserve"> </w:t>
      </w:r>
      <w:r w:rsidR="00857CA0">
        <w:rPr>
          <w:rFonts w:cs="Calibri"/>
          <w:sz w:val="24"/>
          <w:szCs w:val="24"/>
          <w:u w:val="single"/>
        </w:rPr>
        <w:t>10</w:t>
      </w:r>
      <w:r w:rsidRPr="004D1FDC">
        <w:rPr>
          <w:rFonts w:cs="Calibri"/>
          <w:sz w:val="24"/>
          <w:szCs w:val="24"/>
          <w:u w:val="single"/>
        </w:rPr>
        <w:t xml:space="preserve">: Podiel čerpania bežných výdavkov na výdavkoch </w:t>
      </w:r>
      <w:r w:rsidR="005117D7">
        <w:rPr>
          <w:rFonts w:cs="Calibri"/>
          <w:sz w:val="24"/>
          <w:szCs w:val="24"/>
          <w:u w:val="single"/>
        </w:rPr>
        <w:t xml:space="preserve">v roku 2020 </w:t>
      </w:r>
      <w:r w:rsidRPr="004D1FDC">
        <w:rPr>
          <w:rFonts w:cs="Calibri"/>
          <w:sz w:val="24"/>
          <w:szCs w:val="24"/>
          <w:u w:val="single"/>
        </w:rPr>
        <w:t xml:space="preserve">podľa </w:t>
      </w:r>
      <w:r w:rsidR="009134F1">
        <w:rPr>
          <w:rFonts w:cs="Calibri"/>
          <w:sz w:val="24"/>
          <w:szCs w:val="24"/>
          <w:u w:val="single"/>
        </w:rPr>
        <w:t>ekonomickej klasifikácie</w:t>
      </w:r>
    </w:p>
    <w:p w14:paraId="0102A0D8" w14:textId="0E100C5D" w:rsidR="00E036A7" w:rsidRDefault="00D80305" w:rsidP="00BE704E">
      <w:pPr>
        <w:spacing w:line="240" w:lineRule="auto"/>
        <w:jc w:val="both"/>
        <w:rPr>
          <w:rFonts w:cs="Calibri"/>
          <w:sz w:val="24"/>
          <w:szCs w:val="24"/>
          <w:u w:val="single"/>
        </w:rPr>
      </w:pPr>
      <w:r>
        <w:rPr>
          <w:noProof/>
        </w:rPr>
        <w:drawing>
          <wp:inline distT="0" distB="0" distL="0" distR="0" wp14:anchorId="38AA07B8" wp14:editId="727CC5C5">
            <wp:extent cx="6440557" cy="2743200"/>
            <wp:effectExtent l="0" t="0" r="0" b="0"/>
            <wp:docPr id="9" name="Graf 9">
              <a:extLst xmlns:a="http://schemas.openxmlformats.org/drawingml/2006/main">
                <a:ext uri="{FF2B5EF4-FFF2-40B4-BE49-F238E27FC236}">
                  <a16:creationId xmlns:a16="http://schemas.microsoft.com/office/drawing/2014/main" id="{11C2EC54-9331-4BD8-826C-EFE426E2FD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CE1414E" w14:textId="5B4DB9F8" w:rsidR="00BE704E" w:rsidRDefault="00BE704E" w:rsidP="00BE704E">
      <w:pPr>
        <w:spacing w:before="240" w:after="120"/>
        <w:jc w:val="both"/>
        <w:rPr>
          <w:rFonts w:asciiTheme="minorHAnsi" w:hAnsiTheme="minorHAnsi" w:cstheme="minorHAnsi"/>
          <w:b/>
          <w:sz w:val="24"/>
          <w:szCs w:val="24"/>
          <w:lang w:eastAsia="sk-SK"/>
        </w:rPr>
      </w:pPr>
      <w:r w:rsidRPr="0008413C">
        <w:rPr>
          <w:rFonts w:asciiTheme="minorHAnsi" w:hAnsiTheme="minorHAnsi" w:cstheme="minorHAnsi"/>
          <w:sz w:val="24"/>
          <w:szCs w:val="24"/>
          <w:lang w:eastAsia="sk-SK"/>
        </w:rPr>
        <w:lastRenderedPageBreak/>
        <w:t xml:space="preserve">Bežné výdavky </w:t>
      </w:r>
      <w:r>
        <w:rPr>
          <w:rFonts w:asciiTheme="minorHAnsi" w:hAnsiTheme="minorHAnsi" w:cstheme="minorHAnsi"/>
          <w:sz w:val="24"/>
          <w:szCs w:val="24"/>
          <w:lang w:eastAsia="sk-SK"/>
        </w:rPr>
        <w:t>- kategória</w:t>
      </w:r>
      <w:r w:rsidRPr="0008413C">
        <w:rPr>
          <w:rFonts w:asciiTheme="minorHAnsi" w:hAnsiTheme="minorHAnsi" w:cstheme="minorHAnsi"/>
          <w:sz w:val="24"/>
          <w:szCs w:val="24"/>
          <w:lang w:eastAsia="sk-SK"/>
        </w:rPr>
        <w:t xml:space="preserve"> </w:t>
      </w:r>
      <w:r w:rsidRPr="0008413C">
        <w:rPr>
          <w:rFonts w:asciiTheme="minorHAnsi" w:hAnsiTheme="minorHAnsi" w:cstheme="minorHAnsi"/>
          <w:b/>
          <w:sz w:val="24"/>
          <w:szCs w:val="24"/>
          <w:lang w:eastAsia="sk-SK"/>
        </w:rPr>
        <w:t>630 – Tovary a</w:t>
      </w:r>
      <w:r w:rsidR="00EA2B32">
        <w:rPr>
          <w:rFonts w:asciiTheme="minorHAnsi" w:hAnsiTheme="minorHAnsi" w:cstheme="minorHAnsi"/>
          <w:b/>
          <w:sz w:val="24"/>
          <w:szCs w:val="24"/>
          <w:lang w:eastAsia="sk-SK"/>
        </w:rPr>
        <w:t> </w:t>
      </w:r>
      <w:r w:rsidRPr="0008413C">
        <w:rPr>
          <w:rFonts w:asciiTheme="minorHAnsi" w:hAnsiTheme="minorHAnsi" w:cstheme="minorHAnsi"/>
          <w:b/>
          <w:sz w:val="24"/>
          <w:szCs w:val="24"/>
          <w:lang w:eastAsia="sk-SK"/>
        </w:rPr>
        <w:t>služby</w:t>
      </w:r>
    </w:p>
    <w:tbl>
      <w:tblPr>
        <w:tblW w:w="10327" w:type="dxa"/>
        <w:tblLayout w:type="fixed"/>
        <w:tblCellMar>
          <w:top w:w="15" w:type="dxa"/>
          <w:left w:w="70" w:type="dxa"/>
          <w:right w:w="70" w:type="dxa"/>
        </w:tblCellMar>
        <w:tblLook w:val="04A0" w:firstRow="1" w:lastRow="0" w:firstColumn="1" w:lastColumn="0" w:noHBand="0" w:noVBand="1"/>
      </w:tblPr>
      <w:tblGrid>
        <w:gridCol w:w="2095"/>
        <w:gridCol w:w="1406"/>
        <w:gridCol w:w="1407"/>
        <w:gridCol w:w="1406"/>
        <w:gridCol w:w="1348"/>
        <w:gridCol w:w="1323"/>
        <w:gridCol w:w="1184"/>
        <w:gridCol w:w="150"/>
        <w:gridCol w:w="8"/>
      </w:tblGrid>
      <w:tr w:rsidR="00EA2B32" w:rsidRPr="00EA2B32" w14:paraId="30A29677" w14:textId="77777777" w:rsidTr="00EA2B32">
        <w:trPr>
          <w:gridAfter w:val="2"/>
          <w:wAfter w:w="158" w:type="dxa"/>
          <w:trHeight w:val="410"/>
        </w:trPr>
        <w:tc>
          <w:tcPr>
            <w:tcW w:w="2095"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79933CFA" w14:textId="77777777" w:rsidR="00EA2B32" w:rsidRPr="00EA2B32" w:rsidRDefault="00EA2B32" w:rsidP="00EA2B32">
            <w:pPr>
              <w:spacing w:after="0" w:line="240" w:lineRule="auto"/>
              <w:rPr>
                <w:rFonts w:cs="Calibri"/>
                <w:b/>
                <w:bCs/>
                <w:color w:val="000000"/>
                <w:sz w:val="20"/>
                <w:szCs w:val="20"/>
                <w:lang w:eastAsia="sk-SK"/>
              </w:rPr>
            </w:pPr>
            <w:r w:rsidRPr="00EA2B32">
              <w:rPr>
                <w:rFonts w:cs="Calibri"/>
                <w:b/>
                <w:bCs/>
                <w:color w:val="000000"/>
                <w:sz w:val="20"/>
                <w:szCs w:val="20"/>
                <w:lang w:eastAsia="sk-SK"/>
              </w:rPr>
              <w:t>630 - Tovary a služby</w:t>
            </w:r>
          </w:p>
        </w:tc>
        <w:tc>
          <w:tcPr>
            <w:tcW w:w="1406"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20973F81" w14:textId="77777777" w:rsidR="00EA2B32" w:rsidRPr="00EA2B32" w:rsidRDefault="00EA2B32" w:rsidP="00EA2B32">
            <w:pPr>
              <w:spacing w:after="0" w:line="240" w:lineRule="auto"/>
              <w:jc w:val="center"/>
              <w:rPr>
                <w:rFonts w:cs="Calibri"/>
                <w:b/>
                <w:bCs/>
                <w:color w:val="000000"/>
                <w:sz w:val="18"/>
                <w:szCs w:val="18"/>
                <w:lang w:eastAsia="sk-SK"/>
              </w:rPr>
            </w:pPr>
            <w:r w:rsidRPr="00EA2B32">
              <w:rPr>
                <w:rFonts w:cs="Calibri"/>
                <w:b/>
                <w:bCs/>
                <w:color w:val="000000"/>
                <w:sz w:val="18"/>
                <w:szCs w:val="18"/>
                <w:lang w:eastAsia="sk-SK"/>
              </w:rPr>
              <w:t>Skutočnosť za rok 2018 v EUR</w:t>
            </w:r>
          </w:p>
        </w:tc>
        <w:tc>
          <w:tcPr>
            <w:tcW w:w="1407"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56BF4EE" w14:textId="77777777" w:rsidR="00EA2B32" w:rsidRPr="00EA2B32" w:rsidRDefault="00EA2B32" w:rsidP="00EA2B32">
            <w:pPr>
              <w:spacing w:after="0" w:line="240" w:lineRule="auto"/>
              <w:jc w:val="center"/>
              <w:rPr>
                <w:rFonts w:cs="Calibri"/>
                <w:b/>
                <w:bCs/>
                <w:color w:val="000000"/>
                <w:sz w:val="18"/>
                <w:szCs w:val="18"/>
                <w:lang w:eastAsia="sk-SK"/>
              </w:rPr>
            </w:pPr>
            <w:r w:rsidRPr="00EA2B32">
              <w:rPr>
                <w:rFonts w:cs="Calibri"/>
                <w:b/>
                <w:bCs/>
                <w:color w:val="000000"/>
                <w:sz w:val="18"/>
                <w:szCs w:val="18"/>
                <w:lang w:eastAsia="sk-SK"/>
              </w:rPr>
              <w:t>Skutočnosť za rok 2019 v EUR</w:t>
            </w:r>
          </w:p>
        </w:tc>
        <w:tc>
          <w:tcPr>
            <w:tcW w:w="1406"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79A029B8" w14:textId="77777777" w:rsidR="00EA2B32" w:rsidRPr="00EA2B32" w:rsidRDefault="00EA2B32" w:rsidP="00EA2B32">
            <w:pPr>
              <w:spacing w:after="0" w:line="240" w:lineRule="auto"/>
              <w:jc w:val="center"/>
              <w:rPr>
                <w:rFonts w:cs="Calibri"/>
                <w:b/>
                <w:bCs/>
                <w:color w:val="000000"/>
                <w:sz w:val="18"/>
                <w:szCs w:val="18"/>
                <w:lang w:eastAsia="sk-SK"/>
              </w:rPr>
            </w:pPr>
            <w:r w:rsidRPr="00EA2B32">
              <w:rPr>
                <w:rFonts w:cs="Calibri"/>
                <w:b/>
                <w:bCs/>
                <w:color w:val="000000"/>
                <w:sz w:val="18"/>
                <w:szCs w:val="18"/>
                <w:lang w:eastAsia="sk-SK"/>
              </w:rPr>
              <w:t>Schválený rozpočet 2019 v EUR</w:t>
            </w:r>
          </w:p>
        </w:tc>
        <w:tc>
          <w:tcPr>
            <w:tcW w:w="1348"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106D8131" w14:textId="77777777" w:rsidR="00EA2B32" w:rsidRPr="00EA2B32" w:rsidRDefault="00EA2B32" w:rsidP="00EA2B32">
            <w:pPr>
              <w:spacing w:after="0" w:line="240" w:lineRule="auto"/>
              <w:jc w:val="center"/>
              <w:rPr>
                <w:rFonts w:cs="Calibri"/>
                <w:b/>
                <w:bCs/>
                <w:color w:val="000000"/>
                <w:sz w:val="18"/>
                <w:szCs w:val="18"/>
                <w:lang w:eastAsia="sk-SK"/>
              </w:rPr>
            </w:pPr>
            <w:r w:rsidRPr="00EA2B32">
              <w:rPr>
                <w:rFonts w:cs="Calibri"/>
                <w:b/>
                <w:bCs/>
                <w:color w:val="000000"/>
                <w:sz w:val="18"/>
                <w:szCs w:val="18"/>
                <w:lang w:eastAsia="sk-SK"/>
              </w:rPr>
              <w:t>Zmenený rozpočet k 31.12.2019 v EUR</w:t>
            </w:r>
          </w:p>
        </w:tc>
        <w:tc>
          <w:tcPr>
            <w:tcW w:w="1323"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5401E654" w14:textId="77777777" w:rsidR="00EA2B32" w:rsidRPr="00EA2B32" w:rsidRDefault="00EA2B32" w:rsidP="00EA2B32">
            <w:pPr>
              <w:spacing w:after="0" w:line="240" w:lineRule="auto"/>
              <w:jc w:val="center"/>
              <w:rPr>
                <w:rFonts w:cs="Calibri"/>
                <w:b/>
                <w:bCs/>
                <w:color w:val="000000"/>
                <w:sz w:val="18"/>
                <w:szCs w:val="18"/>
                <w:lang w:eastAsia="sk-SK"/>
              </w:rPr>
            </w:pPr>
            <w:r w:rsidRPr="00EA2B32">
              <w:rPr>
                <w:rFonts w:cs="Calibri"/>
                <w:b/>
                <w:bCs/>
                <w:color w:val="000000"/>
                <w:sz w:val="18"/>
                <w:szCs w:val="18"/>
                <w:lang w:eastAsia="sk-SK"/>
              </w:rPr>
              <w:t>Čerpanie rozpočtu k 31.12.2019 v EUR</w:t>
            </w:r>
          </w:p>
        </w:tc>
        <w:tc>
          <w:tcPr>
            <w:tcW w:w="1184"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7EE00D3" w14:textId="77777777" w:rsidR="00EA2B32" w:rsidRPr="00EA2B32" w:rsidRDefault="00EA2B32" w:rsidP="00EA2B32">
            <w:pPr>
              <w:spacing w:after="0" w:line="240" w:lineRule="auto"/>
              <w:jc w:val="center"/>
              <w:rPr>
                <w:rFonts w:cs="Calibri"/>
                <w:b/>
                <w:bCs/>
                <w:color w:val="000000"/>
                <w:sz w:val="18"/>
                <w:szCs w:val="18"/>
                <w:lang w:eastAsia="sk-SK"/>
              </w:rPr>
            </w:pPr>
            <w:r w:rsidRPr="00EA2B32">
              <w:rPr>
                <w:rFonts w:cs="Calibri"/>
                <w:b/>
                <w:bCs/>
                <w:color w:val="000000"/>
                <w:sz w:val="18"/>
                <w:szCs w:val="18"/>
                <w:lang w:eastAsia="sk-SK"/>
              </w:rPr>
              <w:t xml:space="preserve">% čerpanie k zmenenému rozpočtu </w:t>
            </w:r>
          </w:p>
        </w:tc>
      </w:tr>
      <w:tr w:rsidR="00EA2B32" w:rsidRPr="00EA2B32" w14:paraId="0657785E" w14:textId="77777777" w:rsidTr="00EA2B32">
        <w:trPr>
          <w:trHeight w:val="319"/>
        </w:trPr>
        <w:tc>
          <w:tcPr>
            <w:tcW w:w="2095" w:type="dxa"/>
            <w:vMerge/>
            <w:tcBorders>
              <w:top w:val="single" w:sz="12" w:space="0" w:color="FFFFFF"/>
              <w:left w:val="single" w:sz="12" w:space="0" w:color="FFFFFF"/>
              <w:bottom w:val="single" w:sz="12" w:space="0" w:color="FFFFFF"/>
              <w:right w:val="single" w:sz="12" w:space="0" w:color="FFFFFF"/>
            </w:tcBorders>
            <w:vAlign w:val="center"/>
            <w:hideMark/>
          </w:tcPr>
          <w:p w14:paraId="687317B6" w14:textId="77777777" w:rsidR="00EA2B32" w:rsidRPr="00EA2B32" w:rsidRDefault="00EA2B32" w:rsidP="00EA2B32">
            <w:pPr>
              <w:spacing w:after="0" w:line="240" w:lineRule="auto"/>
              <w:rPr>
                <w:rFonts w:cs="Calibri"/>
                <w:b/>
                <w:bCs/>
                <w:color w:val="000000"/>
                <w:sz w:val="20"/>
                <w:szCs w:val="20"/>
                <w:lang w:eastAsia="sk-SK"/>
              </w:rPr>
            </w:pPr>
          </w:p>
        </w:tc>
        <w:tc>
          <w:tcPr>
            <w:tcW w:w="1406" w:type="dxa"/>
            <w:vMerge/>
            <w:tcBorders>
              <w:top w:val="single" w:sz="12" w:space="0" w:color="FFFFFF"/>
              <w:left w:val="single" w:sz="12" w:space="0" w:color="FFFFFF"/>
              <w:bottom w:val="single" w:sz="12" w:space="0" w:color="FFFFFF"/>
              <w:right w:val="single" w:sz="12" w:space="0" w:color="FFFFFF"/>
            </w:tcBorders>
            <w:vAlign w:val="center"/>
            <w:hideMark/>
          </w:tcPr>
          <w:p w14:paraId="2261A212" w14:textId="77777777" w:rsidR="00EA2B32" w:rsidRPr="00EA2B32" w:rsidRDefault="00EA2B32" w:rsidP="00EA2B32">
            <w:pPr>
              <w:spacing w:after="0" w:line="240" w:lineRule="auto"/>
              <w:rPr>
                <w:rFonts w:cs="Calibri"/>
                <w:b/>
                <w:bCs/>
                <w:color w:val="000000"/>
                <w:sz w:val="18"/>
                <w:szCs w:val="18"/>
                <w:lang w:eastAsia="sk-SK"/>
              </w:rPr>
            </w:pPr>
          </w:p>
        </w:tc>
        <w:tc>
          <w:tcPr>
            <w:tcW w:w="1407" w:type="dxa"/>
            <w:vMerge/>
            <w:tcBorders>
              <w:top w:val="single" w:sz="12" w:space="0" w:color="FFFFFF"/>
              <w:left w:val="single" w:sz="12" w:space="0" w:color="FFFFFF"/>
              <w:bottom w:val="single" w:sz="12" w:space="0" w:color="FFFFFF"/>
              <w:right w:val="single" w:sz="12" w:space="0" w:color="FFFFFF"/>
            </w:tcBorders>
            <w:vAlign w:val="center"/>
            <w:hideMark/>
          </w:tcPr>
          <w:p w14:paraId="1693572C" w14:textId="77777777" w:rsidR="00EA2B32" w:rsidRPr="00EA2B32" w:rsidRDefault="00EA2B32" w:rsidP="00EA2B32">
            <w:pPr>
              <w:spacing w:after="0" w:line="240" w:lineRule="auto"/>
              <w:rPr>
                <w:rFonts w:cs="Calibri"/>
                <w:b/>
                <w:bCs/>
                <w:color w:val="000000"/>
                <w:sz w:val="18"/>
                <w:szCs w:val="18"/>
                <w:lang w:eastAsia="sk-SK"/>
              </w:rPr>
            </w:pPr>
          </w:p>
        </w:tc>
        <w:tc>
          <w:tcPr>
            <w:tcW w:w="1406" w:type="dxa"/>
            <w:vMerge/>
            <w:tcBorders>
              <w:top w:val="single" w:sz="12" w:space="0" w:color="FFFFFF"/>
              <w:left w:val="single" w:sz="12" w:space="0" w:color="FFFFFF"/>
              <w:bottom w:val="single" w:sz="12" w:space="0" w:color="FFFFFF"/>
              <w:right w:val="single" w:sz="12" w:space="0" w:color="FFFFFF"/>
            </w:tcBorders>
            <w:vAlign w:val="center"/>
            <w:hideMark/>
          </w:tcPr>
          <w:p w14:paraId="2D83E32A" w14:textId="77777777" w:rsidR="00EA2B32" w:rsidRPr="00EA2B32" w:rsidRDefault="00EA2B32" w:rsidP="00EA2B32">
            <w:pPr>
              <w:spacing w:after="0" w:line="240" w:lineRule="auto"/>
              <w:rPr>
                <w:rFonts w:cs="Calibri"/>
                <w:b/>
                <w:bCs/>
                <w:color w:val="000000"/>
                <w:sz w:val="18"/>
                <w:szCs w:val="18"/>
                <w:lang w:eastAsia="sk-SK"/>
              </w:rPr>
            </w:pPr>
          </w:p>
        </w:tc>
        <w:tc>
          <w:tcPr>
            <w:tcW w:w="1348" w:type="dxa"/>
            <w:vMerge/>
            <w:tcBorders>
              <w:top w:val="single" w:sz="12" w:space="0" w:color="FFFFFF"/>
              <w:left w:val="single" w:sz="12" w:space="0" w:color="FFFFFF"/>
              <w:bottom w:val="single" w:sz="12" w:space="0" w:color="FFFFFF"/>
              <w:right w:val="single" w:sz="12" w:space="0" w:color="FFFFFF"/>
            </w:tcBorders>
            <w:vAlign w:val="center"/>
            <w:hideMark/>
          </w:tcPr>
          <w:p w14:paraId="37AE943B" w14:textId="77777777" w:rsidR="00EA2B32" w:rsidRPr="00EA2B32" w:rsidRDefault="00EA2B32" w:rsidP="00EA2B32">
            <w:pPr>
              <w:spacing w:after="0" w:line="240" w:lineRule="auto"/>
              <w:rPr>
                <w:rFonts w:cs="Calibri"/>
                <w:b/>
                <w:bCs/>
                <w:color w:val="000000"/>
                <w:sz w:val="18"/>
                <w:szCs w:val="18"/>
                <w:lang w:eastAsia="sk-SK"/>
              </w:rPr>
            </w:pPr>
          </w:p>
        </w:tc>
        <w:tc>
          <w:tcPr>
            <w:tcW w:w="1323" w:type="dxa"/>
            <w:vMerge/>
            <w:tcBorders>
              <w:top w:val="single" w:sz="12" w:space="0" w:color="FFFFFF"/>
              <w:left w:val="single" w:sz="12" w:space="0" w:color="FFFFFF"/>
              <w:bottom w:val="single" w:sz="12" w:space="0" w:color="FFFFFF"/>
              <w:right w:val="single" w:sz="12" w:space="0" w:color="FFFFFF"/>
            </w:tcBorders>
            <w:vAlign w:val="center"/>
            <w:hideMark/>
          </w:tcPr>
          <w:p w14:paraId="3F796A55" w14:textId="77777777" w:rsidR="00EA2B32" w:rsidRPr="00EA2B32" w:rsidRDefault="00EA2B32" w:rsidP="00EA2B32">
            <w:pPr>
              <w:spacing w:after="0" w:line="240" w:lineRule="auto"/>
              <w:rPr>
                <w:rFonts w:cs="Calibri"/>
                <w:b/>
                <w:bCs/>
                <w:color w:val="000000"/>
                <w:sz w:val="18"/>
                <w:szCs w:val="18"/>
                <w:lang w:eastAsia="sk-SK"/>
              </w:rPr>
            </w:pPr>
          </w:p>
        </w:tc>
        <w:tc>
          <w:tcPr>
            <w:tcW w:w="1184" w:type="dxa"/>
            <w:vMerge/>
            <w:tcBorders>
              <w:top w:val="single" w:sz="12" w:space="0" w:color="FFFFFF"/>
              <w:left w:val="single" w:sz="12" w:space="0" w:color="FFFFFF"/>
              <w:bottom w:val="single" w:sz="12" w:space="0" w:color="FFFFFF"/>
              <w:right w:val="single" w:sz="12" w:space="0" w:color="FFFFFF"/>
            </w:tcBorders>
            <w:vAlign w:val="center"/>
            <w:hideMark/>
          </w:tcPr>
          <w:p w14:paraId="2FF122FC" w14:textId="77777777" w:rsidR="00EA2B32" w:rsidRPr="00EA2B32" w:rsidRDefault="00EA2B32" w:rsidP="00EA2B32">
            <w:pPr>
              <w:spacing w:after="0" w:line="240" w:lineRule="auto"/>
              <w:rPr>
                <w:rFonts w:cs="Calibri"/>
                <w:b/>
                <w:bCs/>
                <w:color w:val="000000"/>
                <w:sz w:val="18"/>
                <w:szCs w:val="18"/>
                <w:lang w:eastAsia="sk-SK"/>
              </w:rPr>
            </w:pPr>
          </w:p>
        </w:tc>
        <w:tc>
          <w:tcPr>
            <w:tcW w:w="158" w:type="dxa"/>
            <w:gridSpan w:val="2"/>
            <w:tcBorders>
              <w:top w:val="nil"/>
              <w:left w:val="nil"/>
              <w:bottom w:val="nil"/>
              <w:right w:val="nil"/>
            </w:tcBorders>
            <w:shd w:val="clear" w:color="auto" w:fill="auto"/>
            <w:noWrap/>
            <w:vAlign w:val="bottom"/>
            <w:hideMark/>
          </w:tcPr>
          <w:p w14:paraId="50D7EACC" w14:textId="77777777" w:rsidR="00EA2B32" w:rsidRPr="00EA2B32" w:rsidRDefault="00EA2B32" w:rsidP="00EA2B32">
            <w:pPr>
              <w:spacing w:after="0" w:line="240" w:lineRule="auto"/>
              <w:jc w:val="center"/>
              <w:rPr>
                <w:rFonts w:cs="Calibri"/>
                <w:b/>
                <w:bCs/>
                <w:color w:val="000000"/>
                <w:sz w:val="18"/>
                <w:szCs w:val="18"/>
                <w:lang w:eastAsia="sk-SK"/>
              </w:rPr>
            </w:pPr>
          </w:p>
        </w:tc>
      </w:tr>
      <w:tr w:rsidR="00EA2B32" w:rsidRPr="00EA2B32" w14:paraId="3009D899" w14:textId="77777777" w:rsidTr="00EA2B32">
        <w:tblPrEx>
          <w:tblCellMar>
            <w:top w:w="0" w:type="dxa"/>
          </w:tblCellMar>
        </w:tblPrEx>
        <w:trPr>
          <w:gridAfter w:val="1"/>
          <w:wAfter w:w="8" w:type="dxa"/>
          <w:trHeight w:hRule="exact" w:val="334"/>
        </w:trPr>
        <w:tc>
          <w:tcPr>
            <w:tcW w:w="2095" w:type="dxa"/>
            <w:tcBorders>
              <w:top w:val="nil"/>
              <w:left w:val="nil"/>
              <w:bottom w:val="nil"/>
              <w:right w:val="nil"/>
            </w:tcBorders>
            <w:shd w:val="clear" w:color="000000" w:fill="F2F2F2"/>
            <w:noWrap/>
            <w:vAlign w:val="center"/>
            <w:hideMark/>
          </w:tcPr>
          <w:p w14:paraId="468BA9DA" w14:textId="77777777" w:rsidR="00EA2B32" w:rsidRPr="00EA2B32" w:rsidRDefault="00EA2B32" w:rsidP="00EA2B32">
            <w:pPr>
              <w:spacing w:after="0" w:line="240" w:lineRule="auto"/>
              <w:rPr>
                <w:rFonts w:cs="Calibri"/>
                <w:color w:val="000000"/>
                <w:sz w:val="20"/>
                <w:szCs w:val="20"/>
                <w:lang w:eastAsia="sk-SK"/>
              </w:rPr>
            </w:pPr>
            <w:r w:rsidRPr="00EA2B32">
              <w:rPr>
                <w:rFonts w:cs="Calibri"/>
                <w:color w:val="000000"/>
                <w:sz w:val="20"/>
                <w:szCs w:val="20"/>
                <w:lang w:eastAsia="sk-SK"/>
              </w:rPr>
              <w:t>631 – cestovné náhrady</w:t>
            </w:r>
          </w:p>
        </w:tc>
        <w:tc>
          <w:tcPr>
            <w:tcW w:w="1406" w:type="dxa"/>
            <w:tcBorders>
              <w:top w:val="nil"/>
              <w:left w:val="nil"/>
              <w:bottom w:val="single" w:sz="12" w:space="0" w:color="FFFFFF"/>
              <w:right w:val="single" w:sz="12" w:space="0" w:color="FFFFFF"/>
            </w:tcBorders>
            <w:shd w:val="clear" w:color="000000" w:fill="F2F2F2"/>
            <w:vAlign w:val="center"/>
            <w:hideMark/>
          </w:tcPr>
          <w:p w14:paraId="76FFE589"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279 018,04</w:t>
            </w:r>
          </w:p>
        </w:tc>
        <w:tc>
          <w:tcPr>
            <w:tcW w:w="1407" w:type="dxa"/>
            <w:tcBorders>
              <w:top w:val="nil"/>
              <w:left w:val="nil"/>
              <w:bottom w:val="single" w:sz="12" w:space="0" w:color="FFFFFF"/>
              <w:right w:val="single" w:sz="12" w:space="0" w:color="FFFFFF"/>
            </w:tcBorders>
            <w:shd w:val="clear" w:color="000000" w:fill="F2F2F2"/>
            <w:vAlign w:val="center"/>
            <w:hideMark/>
          </w:tcPr>
          <w:p w14:paraId="5215B4B3"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342 990,04</w:t>
            </w:r>
          </w:p>
        </w:tc>
        <w:tc>
          <w:tcPr>
            <w:tcW w:w="1406" w:type="dxa"/>
            <w:tcBorders>
              <w:top w:val="nil"/>
              <w:left w:val="nil"/>
              <w:bottom w:val="single" w:sz="12" w:space="0" w:color="FFFFFF"/>
              <w:right w:val="single" w:sz="12" w:space="0" w:color="FFFFFF"/>
            </w:tcBorders>
            <w:shd w:val="clear" w:color="000000" w:fill="F2F2F2"/>
            <w:vAlign w:val="center"/>
            <w:hideMark/>
          </w:tcPr>
          <w:p w14:paraId="25C221A7"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359 072,00</w:t>
            </w:r>
          </w:p>
        </w:tc>
        <w:tc>
          <w:tcPr>
            <w:tcW w:w="1348" w:type="dxa"/>
            <w:tcBorders>
              <w:top w:val="nil"/>
              <w:left w:val="nil"/>
              <w:bottom w:val="single" w:sz="12" w:space="0" w:color="FFFFFF"/>
              <w:right w:val="single" w:sz="12" w:space="0" w:color="FFFFFF"/>
            </w:tcBorders>
            <w:shd w:val="clear" w:color="000000" w:fill="F2F2F2"/>
            <w:vAlign w:val="center"/>
            <w:hideMark/>
          </w:tcPr>
          <w:p w14:paraId="2391C95A"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401 185,72</w:t>
            </w:r>
          </w:p>
        </w:tc>
        <w:tc>
          <w:tcPr>
            <w:tcW w:w="1323" w:type="dxa"/>
            <w:tcBorders>
              <w:top w:val="nil"/>
              <w:left w:val="nil"/>
              <w:bottom w:val="single" w:sz="12" w:space="0" w:color="FFFFFF"/>
              <w:right w:val="single" w:sz="12" w:space="0" w:color="FFFFFF"/>
            </w:tcBorders>
            <w:shd w:val="clear" w:color="000000" w:fill="F2F2F2"/>
            <w:vAlign w:val="center"/>
            <w:hideMark/>
          </w:tcPr>
          <w:p w14:paraId="2AE658B0"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63 078,82</w:t>
            </w:r>
          </w:p>
        </w:tc>
        <w:tc>
          <w:tcPr>
            <w:tcW w:w="1334" w:type="dxa"/>
            <w:gridSpan w:val="2"/>
            <w:tcBorders>
              <w:top w:val="nil"/>
              <w:left w:val="nil"/>
              <w:bottom w:val="single" w:sz="12" w:space="0" w:color="FFFFFF"/>
              <w:right w:val="single" w:sz="12" w:space="0" w:color="FFFFFF"/>
            </w:tcBorders>
            <w:shd w:val="clear" w:color="000000" w:fill="F2F2F2"/>
            <w:vAlign w:val="center"/>
            <w:hideMark/>
          </w:tcPr>
          <w:p w14:paraId="61E52D5B"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15,72%</w:t>
            </w:r>
          </w:p>
        </w:tc>
      </w:tr>
      <w:tr w:rsidR="00EA2B32" w:rsidRPr="00EA2B32" w14:paraId="6B165DF4" w14:textId="77777777" w:rsidTr="00A17B4F">
        <w:tblPrEx>
          <w:tblCellMar>
            <w:top w:w="0" w:type="dxa"/>
          </w:tblCellMar>
        </w:tblPrEx>
        <w:trPr>
          <w:gridAfter w:val="1"/>
          <w:wAfter w:w="8" w:type="dxa"/>
          <w:trHeight w:hRule="exact" w:val="473"/>
        </w:trPr>
        <w:tc>
          <w:tcPr>
            <w:tcW w:w="2095" w:type="dxa"/>
            <w:tcBorders>
              <w:top w:val="nil"/>
              <w:left w:val="single" w:sz="12" w:space="0" w:color="FFFFFF"/>
              <w:bottom w:val="single" w:sz="12" w:space="0" w:color="FFFFFF"/>
              <w:right w:val="single" w:sz="12" w:space="0" w:color="FFFFFF"/>
            </w:tcBorders>
            <w:shd w:val="clear" w:color="000000" w:fill="F2F2F2"/>
            <w:noWrap/>
            <w:vAlign w:val="center"/>
            <w:hideMark/>
          </w:tcPr>
          <w:p w14:paraId="04C72593" w14:textId="08EE1939" w:rsidR="00EA2B32" w:rsidRPr="00EA2B32" w:rsidRDefault="00EA2B32" w:rsidP="00EA2B32">
            <w:pPr>
              <w:spacing w:after="0" w:line="240" w:lineRule="auto"/>
              <w:rPr>
                <w:rFonts w:cs="Calibri"/>
                <w:color w:val="000000"/>
                <w:sz w:val="20"/>
                <w:szCs w:val="20"/>
                <w:lang w:eastAsia="sk-SK"/>
              </w:rPr>
            </w:pPr>
            <w:r w:rsidRPr="00EA2B32">
              <w:rPr>
                <w:rFonts w:cs="Calibri"/>
                <w:color w:val="000000"/>
                <w:sz w:val="20"/>
                <w:szCs w:val="20"/>
                <w:lang w:eastAsia="sk-SK"/>
              </w:rPr>
              <w:t>632 - energie, voda a</w:t>
            </w:r>
            <w:r w:rsidR="009F3097">
              <w:rPr>
                <w:rFonts w:cs="Calibri"/>
                <w:color w:val="000000"/>
                <w:sz w:val="20"/>
                <w:szCs w:val="20"/>
                <w:lang w:eastAsia="sk-SK"/>
              </w:rPr>
              <w:t> </w:t>
            </w:r>
            <w:r w:rsidRPr="00EA2B32">
              <w:rPr>
                <w:rFonts w:cs="Calibri"/>
                <w:color w:val="000000"/>
                <w:sz w:val="20"/>
                <w:szCs w:val="20"/>
                <w:lang w:eastAsia="sk-SK"/>
              </w:rPr>
              <w:t>komunikácie</w:t>
            </w:r>
          </w:p>
        </w:tc>
        <w:tc>
          <w:tcPr>
            <w:tcW w:w="1406" w:type="dxa"/>
            <w:tcBorders>
              <w:top w:val="nil"/>
              <w:left w:val="nil"/>
              <w:bottom w:val="single" w:sz="12" w:space="0" w:color="FFFFFF"/>
              <w:right w:val="single" w:sz="12" w:space="0" w:color="FFFFFF"/>
            </w:tcBorders>
            <w:shd w:val="clear" w:color="000000" w:fill="F2F2F2"/>
            <w:vAlign w:val="center"/>
            <w:hideMark/>
          </w:tcPr>
          <w:p w14:paraId="66F93086"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4 719 557,92</w:t>
            </w:r>
          </w:p>
        </w:tc>
        <w:tc>
          <w:tcPr>
            <w:tcW w:w="1407" w:type="dxa"/>
            <w:tcBorders>
              <w:top w:val="nil"/>
              <w:left w:val="nil"/>
              <w:bottom w:val="single" w:sz="12" w:space="0" w:color="FFFFFF"/>
              <w:right w:val="single" w:sz="12" w:space="0" w:color="FFFFFF"/>
            </w:tcBorders>
            <w:shd w:val="clear" w:color="000000" w:fill="F2F2F2"/>
            <w:vAlign w:val="center"/>
            <w:hideMark/>
          </w:tcPr>
          <w:p w14:paraId="00C76065"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4 637 838,28</w:t>
            </w:r>
          </w:p>
        </w:tc>
        <w:tc>
          <w:tcPr>
            <w:tcW w:w="1406" w:type="dxa"/>
            <w:tcBorders>
              <w:top w:val="nil"/>
              <w:left w:val="nil"/>
              <w:bottom w:val="single" w:sz="12" w:space="0" w:color="FFFFFF"/>
              <w:right w:val="single" w:sz="12" w:space="0" w:color="FFFFFF"/>
            </w:tcBorders>
            <w:shd w:val="clear" w:color="000000" w:fill="F2F2F2"/>
            <w:vAlign w:val="center"/>
            <w:hideMark/>
          </w:tcPr>
          <w:p w14:paraId="7BC9C2C0"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5 201 915,18</w:t>
            </w:r>
          </w:p>
        </w:tc>
        <w:tc>
          <w:tcPr>
            <w:tcW w:w="1348" w:type="dxa"/>
            <w:tcBorders>
              <w:top w:val="nil"/>
              <w:left w:val="nil"/>
              <w:bottom w:val="single" w:sz="12" w:space="0" w:color="FFFFFF"/>
              <w:right w:val="single" w:sz="12" w:space="0" w:color="FFFFFF"/>
            </w:tcBorders>
            <w:shd w:val="clear" w:color="000000" w:fill="F2F2F2"/>
            <w:vAlign w:val="center"/>
            <w:hideMark/>
          </w:tcPr>
          <w:p w14:paraId="06414B92"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5 190 433,32</w:t>
            </w:r>
          </w:p>
        </w:tc>
        <w:tc>
          <w:tcPr>
            <w:tcW w:w="1323" w:type="dxa"/>
            <w:tcBorders>
              <w:top w:val="nil"/>
              <w:left w:val="nil"/>
              <w:bottom w:val="single" w:sz="12" w:space="0" w:color="FFFFFF"/>
              <w:right w:val="single" w:sz="12" w:space="0" w:color="FFFFFF"/>
            </w:tcBorders>
            <w:shd w:val="clear" w:color="000000" w:fill="F2F2F2"/>
            <w:vAlign w:val="center"/>
            <w:hideMark/>
          </w:tcPr>
          <w:p w14:paraId="11FCDCCF"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4 394 235,08</w:t>
            </w:r>
          </w:p>
        </w:tc>
        <w:tc>
          <w:tcPr>
            <w:tcW w:w="1334" w:type="dxa"/>
            <w:gridSpan w:val="2"/>
            <w:tcBorders>
              <w:top w:val="nil"/>
              <w:left w:val="nil"/>
              <w:bottom w:val="single" w:sz="12" w:space="0" w:color="FFFFFF"/>
              <w:right w:val="single" w:sz="12" w:space="0" w:color="FFFFFF"/>
            </w:tcBorders>
            <w:shd w:val="clear" w:color="000000" w:fill="F2F2F2"/>
            <w:vAlign w:val="center"/>
            <w:hideMark/>
          </w:tcPr>
          <w:p w14:paraId="2CAFB097"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84,66%</w:t>
            </w:r>
          </w:p>
        </w:tc>
      </w:tr>
      <w:tr w:rsidR="00EA2B32" w:rsidRPr="00EA2B32" w14:paraId="295B74BE" w14:textId="77777777" w:rsidTr="00EA2B32">
        <w:tblPrEx>
          <w:tblCellMar>
            <w:top w:w="0" w:type="dxa"/>
          </w:tblCellMar>
        </w:tblPrEx>
        <w:trPr>
          <w:gridAfter w:val="1"/>
          <w:wAfter w:w="8" w:type="dxa"/>
          <w:trHeight w:hRule="exact" w:val="334"/>
        </w:trPr>
        <w:tc>
          <w:tcPr>
            <w:tcW w:w="2095" w:type="dxa"/>
            <w:tcBorders>
              <w:top w:val="nil"/>
              <w:left w:val="single" w:sz="12" w:space="0" w:color="FFFFFF"/>
              <w:bottom w:val="single" w:sz="12" w:space="0" w:color="FFFFFF"/>
              <w:right w:val="single" w:sz="12" w:space="0" w:color="FFFFFF"/>
            </w:tcBorders>
            <w:shd w:val="clear" w:color="000000" w:fill="F2F2F2"/>
            <w:noWrap/>
            <w:vAlign w:val="center"/>
            <w:hideMark/>
          </w:tcPr>
          <w:p w14:paraId="541F5652" w14:textId="77777777" w:rsidR="00EA2B32" w:rsidRPr="00EA2B32" w:rsidRDefault="00EA2B32" w:rsidP="00EA2B32">
            <w:pPr>
              <w:spacing w:after="0" w:line="240" w:lineRule="auto"/>
              <w:rPr>
                <w:rFonts w:cs="Calibri"/>
                <w:color w:val="000000"/>
                <w:sz w:val="20"/>
                <w:szCs w:val="20"/>
                <w:lang w:eastAsia="sk-SK"/>
              </w:rPr>
            </w:pPr>
            <w:r w:rsidRPr="00EA2B32">
              <w:rPr>
                <w:rFonts w:cs="Calibri"/>
                <w:color w:val="000000"/>
                <w:sz w:val="20"/>
                <w:szCs w:val="20"/>
                <w:lang w:eastAsia="sk-SK"/>
              </w:rPr>
              <w:t>633 – materiál</w:t>
            </w:r>
          </w:p>
        </w:tc>
        <w:tc>
          <w:tcPr>
            <w:tcW w:w="1406" w:type="dxa"/>
            <w:tcBorders>
              <w:top w:val="nil"/>
              <w:left w:val="nil"/>
              <w:bottom w:val="single" w:sz="12" w:space="0" w:color="FFFFFF"/>
              <w:right w:val="single" w:sz="12" w:space="0" w:color="FFFFFF"/>
            </w:tcBorders>
            <w:shd w:val="clear" w:color="000000" w:fill="F2F2F2"/>
            <w:vAlign w:val="center"/>
            <w:hideMark/>
          </w:tcPr>
          <w:p w14:paraId="513F6B38"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4 783 148,82</w:t>
            </w:r>
          </w:p>
        </w:tc>
        <w:tc>
          <w:tcPr>
            <w:tcW w:w="1407" w:type="dxa"/>
            <w:tcBorders>
              <w:top w:val="nil"/>
              <w:left w:val="nil"/>
              <w:bottom w:val="single" w:sz="12" w:space="0" w:color="FFFFFF"/>
              <w:right w:val="single" w:sz="12" w:space="0" w:color="FFFFFF"/>
            </w:tcBorders>
            <w:shd w:val="clear" w:color="000000" w:fill="F2F2F2"/>
            <w:vAlign w:val="center"/>
            <w:hideMark/>
          </w:tcPr>
          <w:p w14:paraId="09011E9C"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5 472 552,86</w:t>
            </w:r>
          </w:p>
        </w:tc>
        <w:tc>
          <w:tcPr>
            <w:tcW w:w="1406" w:type="dxa"/>
            <w:tcBorders>
              <w:top w:val="nil"/>
              <w:left w:val="nil"/>
              <w:bottom w:val="single" w:sz="12" w:space="0" w:color="FFFFFF"/>
              <w:right w:val="single" w:sz="12" w:space="0" w:color="FFFFFF"/>
            </w:tcBorders>
            <w:shd w:val="clear" w:color="000000" w:fill="F2F2F2"/>
            <w:vAlign w:val="center"/>
            <w:hideMark/>
          </w:tcPr>
          <w:p w14:paraId="0B00034B"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5 186 950,25</w:t>
            </w:r>
          </w:p>
        </w:tc>
        <w:tc>
          <w:tcPr>
            <w:tcW w:w="1348" w:type="dxa"/>
            <w:tcBorders>
              <w:top w:val="nil"/>
              <w:left w:val="nil"/>
              <w:bottom w:val="single" w:sz="12" w:space="0" w:color="FFFFFF"/>
              <w:right w:val="single" w:sz="12" w:space="0" w:color="FFFFFF"/>
            </w:tcBorders>
            <w:shd w:val="clear" w:color="000000" w:fill="F2F2F2"/>
            <w:vAlign w:val="center"/>
            <w:hideMark/>
          </w:tcPr>
          <w:p w14:paraId="1A8B05B4"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7 810 965,16</w:t>
            </w:r>
          </w:p>
        </w:tc>
        <w:tc>
          <w:tcPr>
            <w:tcW w:w="1323" w:type="dxa"/>
            <w:tcBorders>
              <w:top w:val="nil"/>
              <w:left w:val="nil"/>
              <w:bottom w:val="single" w:sz="12" w:space="0" w:color="FFFFFF"/>
              <w:right w:val="single" w:sz="12" w:space="0" w:color="FFFFFF"/>
            </w:tcBorders>
            <w:shd w:val="clear" w:color="000000" w:fill="F2F2F2"/>
            <w:vAlign w:val="center"/>
            <w:hideMark/>
          </w:tcPr>
          <w:p w14:paraId="6266795E"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5 573 623,89</w:t>
            </w:r>
          </w:p>
        </w:tc>
        <w:tc>
          <w:tcPr>
            <w:tcW w:w="1334" w:type="dxa"/>
            <w:gridSpan w:val="2"/>
            <w:tcBorders>
              <w:top w:val="nil"/>
              <w:left w:val="nil"/>
              <w:bottom w:val="single" w:sz="12" w:space="0" w:color="FFFFFF"/>
              <w:right w:val="single" w:sz="12" w:space="0" w:color="FFFFFF"/>
            </w:tcBorders>
            <w:shd w:val="clear" w:color="000000" w:fill="F2F2F2"/>
            <w:vAlign w:val="center"/>
            <w:hideMark/>
          </w:tcPr>
          <w:p w14:paraId="104B0715"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71,36%</w:t>
            </w:r>
          </w:p>
        </w:tc>
      </w:tr>
      <w:tr w:rsidR="00EA2B32" w:rsidRPr="00EA2B32" w14:paraId="41AB547A" w14:textId="77777777" w:rsidTr="00EA2B32">
        <w:tblPrEx>
          <w:tblCellMar>
            <w:top w:w="0" w:type="dxa"/>
          </w:tblCellMar>
        </w:tblPrEx>
        <w:trPr>
          <w:gridAfter w:val="1"/>
          <w:wAfter w:w="8" w:type="dxa"/>
          <w:trHeight w:hRule="exact" w:val="334"/>
        </w:trPr>
        <w:tc>
          <w:tcPr>
            <w:tcW w:w="2095" w:type="dxa"/>
            <w:tcBorders>
              <w:top w:val="nil"/>
              <w:left w:val="single" w:sz="12" w:space="0" w:color="FFFFFF"/>
              <w:bottom w:val="single" w:sz="12" w:space="0" w:color="FFFFFF"/>
              <w:right w:val="single" w:sz="12" w:space="0" w:color="FFFFFF"/>
            </w:tcBorders>
            <w:shd w:val="clear" w:color="000000" w:fill="F2F2F2"/>
            <w:noWrap/>
            <w:vAlign w:val="center"/>
            <w:hideMark/>
          </w:tcPr>
          <w:p w14:paraId="349A54C5" w14:textId="0A0D1345" w:rsidR="00EA2B32" w:rsidRPr="00EA2B32" w:rsidRDefault="00EA2B32" w:rsidP="00EA2B32">
            <w:pPr>
              <w:spacing w:after="0" w:line="240" w:lineRule="auto"/>
              <w:rPr>
                <w:rFonts w:cs="Calibri"/>
                <w:color w:val="000000"/>
                <w:sz w:val="20"/>
                <w:szCs w:val="20"/>
                <w:lang w:eastAsia="sk-SK"/>
              </w:rPr>
            </w:pPr>
            <w:r w:rsidRPr="00EA2B32">
              <w:rPr>
                <w:rFonts w:cs="Calibri"/>
                <w:color w:val="000000"/>
                <w:sz w:val="20"/>
                <w:szCs w:val="20"/>
                <w:lang w:eastAsia="sk-SK"/>
              </w:rPr>
              <w:t xml:space="preserve">634 </w:t>
            </w:r>
            <w:r w:rsidR="009F3097">
              <w:rPr>
                <w:rFonts w:cs="Calibri"/>
                <w:color w:val="000000"/>
                <w:sz w:val="20"/>
                <w:szCs w:val="20"/>
                <w:lang w:eastAsia="sk-SK"/>
              </w:rPr>
              <w:t>–</w:t>
            </w:r>
            <w:r w:rsidRPr="00EA2B32">
              <w:rPr>
                <w:rFonts w:cs="Calibri"/>
                <w:color w:val="000000"/>
                <w:sz w:val="20"/>
                <w:szCs w:val="20"/>
                <w:lang w:eastAsia="sk-SK"/>
              </w:rPr>
              <w:t xml:space="preserve"> dopravné</w:t>
            </w:r>
          </w:p>
        </w:tc>
        <w:tc>
          <w:tcPr>
            <w:tcW w:w="1406" w:type="dxa"/>
            <w:tcBorders>
              <w:top w:val="nil"/>
              <w:left w:val="nil"/>
              <w:bottom w:val="single" w:sz="12" w:space="0" w:color="FFFFFF"/>
              <w:right w:val="single" w:sz="12" w:space="0" w:color="FFFFFF"/>
            </w:tcBorders>
            <w:shd w:val="clear" w:color="000000" w:fill="F2F2F2"/>
            <w:vAlign w:val="center"/>
            <w:hideMark/>
          </w:tcPr>
          <w:p w14:paraId="1FB2E8CD"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322 839,91</w:t>
            </w:r>
          </w:p>
        </w:tc>
        <w:tc>
          <w:tcPr>
            <w:tcW w:w="1407" w:type="dxa"/>
            <w:tcBorders>
              <w:top w:val="nil"/>
              <w:left w:val="nil"/>
              <w:bottom w:val="single" w:sz="12" w:space="0" w:color="FFFFFF"/>
              <w:right w:val="single" w:sz="12" w:space="0" w:color="FFFFFF"/>
            </w:tcBorders>
            <w:shd w:val="clear" w:color="000000" w:fill="F2F2F2"/>
            <w:vAlign w:val="center"/>
            <w:hideMark/>
          </w:tcPr>
          <w:p w14:paraId="2D99D525"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392 800,14</w:t>
            </w:r>
          </w:p>
        </w:tc>
        <w:tc>
          <w:tcPr>
            <w:tcW w:w="1406" w:type="dxa"/>
            <w:tcBorders>
              <w:top w:val="nil"/>
              <w:left w:val="nil"/>
              <w:bottom w:val="single" w:sz="12" w:space="0" w:color="FFFFFF"/>
              <w:right w:val="single" w:sz="12" w:space="0" w:color="FFFFFF"/>
            </w:tcBorders>
            <w:shd w:val="clear" w:color="000000" w:fill="F2F2F2"/>
            <w:vAlign w:val="center"/>
            <w:hideMark/>
          </w:tcPr>
          <w:p w14:paraId="0192A9A9"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380 324,41</w:t>
            </w:r>
          </w:p>
        </w:tc>
        <w:tc>
          <w:tcPr>
            <w:tcW w:w="1348" w:type="dxa"/>
            <w:tcBorders>
              <w:top w:val="nil"/>
              <w:left w:val="nil"/>
              <w:bottom w:val="single" w:sz="12" w:space="0" w:color="FFFFFF"/>
              <w:right w:val="single" w:sz="12" w:space="0" w:color="FFFFFF"/>
            </w:tcBorders>
            <w:shd w:val="clear" w:color="000000" w:fill="F2F2F2"/>
            <w:vAlign w:val="center"/>
            <w:hideMark/>
          </w:tcPr>
          <w:p w14:paraId="72837B3A"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342 656,82</w:t>
            </w:r>
          </w:p>
        </w:tc>
        <w:tc>
          <w:tcPr>
            <w:tcW w:w="1323" w:type="dxa"/>
            <w:tcBorders>
              <w:top w:val="nil"/>
              <w:left w:val="nil"/>
              <w:bottom w:val="single" w:sz="12" w:space="0" w:color="FFFFFF"/>
              <w:right w:val="single" w:sz="12" w:space="0" w:color="FFFFFF"/>
            </w:tcBorders>
            <w:shd w:val="clear" w:color="000000" w:fill="F2F2F2"/>
            <w:vAlign w:val="center"/>
            <w:hideMark/>
          </w:tcPr>
          <w:p w14:paraId="391B612C"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285 165,32</w:t>
            </w:r>
          </w:p>
        </w:tc>
        <w:tc>
          <w:tcPr>
            <w:tcW w:w="1334" w:type="dxa"/>
            <w:gridSpan w:val="2"/>
            <w:tcBorders>
              <w:top w:val="nil"/>
              <w:left w:val="nil"/>
              <w:bottom w:val="single" w:sz="12" w:space="0" w:color="FFFFFF"/>
              <w:right w:val="single" w:sz="12" w:space="0" w:color="FFFFFF"/>
            </w:tcBorders>
            <w:shd w:val="clear" w:color="000000" w:fill="F2F2F2"/>
            <w:vAlign w:val="center"/>
            <w:hideMark/>
          </w:tcPr>
          <w:p w14:paraId="6A6BB929"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83,22%</w:t>
            </w:r>
          </w:p>
        </w:tc>
      </w:tr>
      <w:tr w:rsidR="00EA2B32" w:rsidRPr="00EA2B32" w14:paraId="054D3363" w14:textId="77777777" w:rsidTr="00EA2B32">
        <w:tblPrEx>
          <w:tblCellMar>
            <w:top w:w="0" w:type="dxa"/>
          </w:tblCellMar>
        </w:tblPrEx>
        <w:trPr>
          <w:gridAfter w:val="1"/>
          <w:wAfter w:w="8" w:type="dxa"/>
          <w:trHeight w:hRule="exact" w:val="334"/>
        </w:trPr>
        <w:tc>
          <w:tcPr>
            <w:tcW w:w="2095" w:type="dxa"/>
            <w:tcBorders>
              <w:top w:val="nil"/>
              <w:left w:val="single" w:sz="12" w:space="0" w:color="FFFFFF"/>
              <w:bottom w:val="single" w:sz="12" w:space="0" w:color="FFFFFF"/>
              <w:right w:val="single" w:sz="12" w:space="0" w:color="FFFFFF"/>
            </w:tcBorders>
            <w:shd w:val="clear" w:color="000000" w:fill="F2F2F2"/>
            <w:noWrap/>
            <w:vAlign w:val="center"/>
            <w:hideMark/>
          </w:tcPr>
          <w:p w14:paraId="64D4AC74" w14:textId="77777777" w:rsidR="00EA2B32" w:rsidRPr="00EA2B32" w:rsidRDefault="00EA2B32" w:rsidP="00EA2B32">
            <w:pPr>
              <w:spacing w:after="0" w:line="240" w:lineRule="auto"/>
              <w:rPr>
                <w:rFonts w:cs="Calibri"/>
                <w:color w:val="000000"/>
                <w:sz w:val="20"/>
                <w:szCs w:val="20"/>
                <w:lang w:eastAsia="sk-SK"/>
              </w:rPr>
            </w:pPr>
            <w:r w:rsidRPr="00EA2B32">
              <w:rPr>
                <w:rFonts w:cs="Calibri"/>
                <w:color w:val="000000"/>
                <w:sz w:val="20"/>
                <w:szCs w:val="20"/>
                <w:lang w:eastAsia="sk-SK"/>
              </w:rPr>
              <w:t>635 - rutinná a štandardná údržba</w:t>
            </w:r>
          </w:p>
        </w:tc>
        <w:tc>
          <w:tcPr>
            <w:tcW w:w="1406" w:type="dxa"/>
            <w:tcBorders>
              <w:top w:val="nil"/>
              <w:left w:val="nil"/>
              <w:bottom w:val="single" w:sz="12" w:space="0" w:color="FFFFFF"/>
              <w:right w:val="single" w:sz="12" w:space="0" w:color="FFFFFF"/>
            </w:tcBorders>
            <w:shd w:val="clear" w:color="000000" w:fill="F2F2F2"/>
            <w:vAlign w:val="center"/>
            <w:hideMark/>
          </w:tcPr>
          <w:p w14:paraId="4DE8B9B4"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10 904 497,41</w:t>
            </w:r>
          </w:p>
        </w:tc>
        <w:tc>
          <w:tcPr>
            <w:tcW w:w="1407" w:type="dxa"/>
            <w:tcBorders>
              <w:top w:val="nil"/>
              <w:left w:val="nil"/>
              <w:bottom w:val="single" w:sz="12" w:space="0" w:color="FFFFFF"/>
              <w:right w:val="single" w:sz="12" w:space="0" w:color="FFFFFF"/>
            </w:tcBorders>
            <w:shd w:val="clear" w:color="000000" w:fill="F2F2F2"/>
            <w:vAlign w:val="center"/>
            <w:hideMark/>
          </w:tcPr>
          <w:p w14:paraId="742906E1"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9 747 460,87</w:t>
            </w:r>
          </w:p>
        </w:tc>
        <w:tc>
          <w:tcPr>
            <w:tcW w:w="1406" w:type="dxa"/>
            <w:tcBorders>
              <w:top w:val="nil"/>
              <w:left w:val="nil"/>
              <w:bottom w:val="single" w:sz="12" w:space="0" w:color="FFFFFF"/>
              <w:right w:val="single" w:sz="12" w:space="0" w:color="FFFFFF"/>
            </w:tcBorders>
            <w:shd w:val="clear" w:color="000000" w:fill="F2F2F2"/>
            <w:vAlign w:val="center"/>
            <w:hideMark/>
          </w:tcPr>
          <w:p w14:paraId="64F9D36E"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11 869 179,84</w:t>
            </w:r>
          </w:p>
        </w:tc>
        <w:tc>
          <w:tcPr>
            <w:tcW w:w="1348" w:type="dxa"/>
            <w:tcBorders>
              <w:top w:val="nil"/>
              <w:left w:val="nil"/>
              <w:bottom w:val="single" w:sz="12" w:space="0" w:color="FFFFFF"/>
              <w:right w:val="single" w:sz="12" w:space="0" w:color="FFFFFF"/>
            </w:tcBorders>
            <w:shd w:val="clear" w:color="000000" w:fill="F2F2F2"/>
            <w:vAlign w:val="center"/>
            <w:hideMark/>
          </w:tcPr>
          <w:p w14:paraId="5F31202A"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10 178 931,64</w:t>
            </w:r>
          </w:p>
        </w:tc>
        <w:tc>
          <w:tcPr>
            <w:tcW w:w="1323" w:type="dxa"/>
            <w:tcBorders>
              <w:top w:val="nil"/>
              <w:left w:val="nil"/>
              <w:bottom w:val="single" w:sz="12" w:space="0" w:color="FFFFFF"/>
              <w:right w:val="single" w:sz="12" w:space="0" w:color="FFFFFF"/>
            </w:tcBorders>
            <w:shd w:val="clear" w:color="000000" w:fill="F2F2F2"/>
            <w:vAlign w:val="center"/>
            <w:hideMark/>
          </w:tcPr>
          <w:p w14:paraId="7AABD919"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6 754 248,42</w:t>
            </w:r>
          </w:p>
        </w:tc>
        <w:tc>
          <w:tcPr>
            <w:tcW w:w="1334" w:type="dxa"/>
            <w:gridSpan w:val="2"/>
            <w:tcBorders>
              <w:top w:val="nil"/>
              <w:left w:val="nil"/>
              <w:bottom w:val="single" w:sz="12" w:space="0" w:color="FFFFFF"/>
              <w:right w:val="single" w:sz="12" w:space="0" w:color="FFFFFF"/>
            </w:tcBorders>
            <w:shd w:val="clear" w:color="000000" w:fill="F2F2F2"/>
            <w:vAlign w:val="center"/>
            <w:hideMark/>
          </w:tcPr>
          <w:p w14:paraId="2DB49F3A"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66,36%</w:t>
            </w:r>
          </w:p>
        </w:tc>
      </w:tr>
      <w:tr w:rsidR="00EA2B32" w:rsidRPr="00EA2B32" w14:paraId="50A02445" w14:textId="77777777" w:rsidTr="00EA2B32">
        <w:tblPrEx>
          <w:tblCellMar>
            <w:top w:w="0" w:type="dxa"/>
          </w:tblCellMar>
        </w:tblPrEx>
        <w:trPr>
          <w:gridAfter w:val="1"/>
          <w:wAfter w:w="8" w:type="dxa"/>
          <w:trHeight w:hRule="exact" w:val="334"/>
        </w:trPr>
        <w:tc>
          <w:tcPr>
            <w:tcW w:w="2095" w:type="dxa"/>
            <w:tcBorders>
              <w:top w:val="nil"/>
              <w:left w:val="single" w:sz="12" w:space="0" w:color="FFFFFF"/>
              <w:bottom w:val="single" w:sz="12" w:space="0" w:color="FFFFFF"/>
              <w:right w:val="single" w:sz="12" w:space="0" w:color="FFFFFF"/>
            </w:tcBorders>
            <w:shd w:val="clear" w:color="000000" w:fill="F2F2F2"/>
            <w:noWrap/>
            <w:vAlign w:val="center"/>
            <w:hideMark/>
          </w:tcPr>
          <w:p w14:paraId="7DB92318" w14:textId="77777777" w:rsidR="00EA2B32" w:rsidRPr="00EA2B32" w:rsidRDefault="00EA2B32" w:rsidP="00EA2B32">
            <w:pPr>
              <w:spacing w:after="0" w:line="240" w:lineRule="auto"/>
              <w:rPr>
                <w:rFonts w:cs="Calibri"/>
                <w:color w:val="000000"/>
                <w:sz w:val="20"/>
                <w:szCs w:val="20"/>
                <w:lang w:eastAsia="sk-SK"/>
              </w:rPr>
            </w:pPr>
            <w:r w:rsidRPr="00EA2B32">
              <w:rPr>
                <w:rFonts w:cs="Calibri"/>
                <w:color w:val="000000"/>
                <w:sz w:val="20"/>
                <w:szCs w:val="20"/>
                <w:lang w:eastAsia="sk-SK"/>
              </w:rPr>
              <w:t>636 - nájomné za nájom</w:t>
            </w:r>
          </w:p>
        </w:tc>
        <w:tc>
          <w:tcPr>
            <w:tcW w:w="1406" w:type="dxa"/>
            <w:tcBorders>
              <w:top w:val="nil"/>
              <w:left w:val="nil"/>
              <w:bottom w:val="single" w:sz="12" w:space="0" w:color="FFFFFF"/>
              <w:right w:val="single" w:sz="12" w:space="0" w:color="FFFFFF"/>
            </w:tcBorders>
            <w:shd w:val="clear" w:color="000000" w:fill="F2F2F2"/>
            <w:vAlign w:val="center"/>
            <w:hideMark/>
          </w:tcPr>
          <w:p w14:paraId="42845085"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575 333,13</w:t>
            </w:r>
          </w:p>
        </w:tc>
        <w:tc>
          <w:tcPr>
            <w:tcW w:w="1407" w:type="dxa"/>
            <w:tcBorders>
              <w:top w:val="nil"/>
              <w:left w:val="nil"/>
              <w:bottom w:val="single" w:sz="12" w:space="0" w:color="FFFFFF"/>
              <w:right w:val="single" w:sz="12" w:space="0" w:color="FFFFFF"/>
            </w:tcBorders>
            <w:shd w:val="clear" w:color="000000" w:fill="F2F2F2"/>
            <w:vAlign w:val="center"/>
            <w:hideMark/>
          </w:tcPr>
          <w:p w14:paraId="6911E172"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636 096,93</w:t>
            </w:r>
          </w:p>
        </w:tc>
        <w:tc>
          <w:tcPr>
            <w:tcW w:w="1406" w:type="dxa"/>
            <w:tcBorders>
              <w:top w:val="nil"/>
              <w:left w:val="nil"/>
              <w:bottom w:val="single" w:sz="12" w:space="0" w:color="FFFFFF"/>
              <w:right w:val="single" w:sz="12" w:space="0" w:color="FFFFFF"/>
            </w:tcBorders>
            <w:shd w:val="clear" w:color="000000" w:fill="F2F2F2"/>
            <w:vAlign w:val="center"/>
            <w:hideMark/>
          </w:tcPr>
          <w:p w14:paraId="6E02B82A"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653 122,84</w:t>
            </w:r>
          </w:p>
        </w:tc>
        <w:tc>
          <w:tcPr>
            <w:tcW w:w="1348" w:type="dxa"/>
            <w:tcBorders>
              <w:top w:val="nil"/>
              <w:left w:val="nil"/>
              <w:bottom w:val="single" w:sz="12" w:space="0" w:color="FFFFFF"/>
              <w:right w:val="single" w:sz="12" w:space="0" w:color="FFFFFF"/>
            </w:tcBorders>
            <w:shd w:val="clear" w:color="000000" w:fill="F2F2F2"/>
            <w:vAlign w:val="center"/>
            <w:hideMark/>
          </w:tcPr>
          <w:p w14:paraId="796016B8"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932 722,26</w:t>
            </w:r>
          </w:p>
        </w:tc>
        <w:tc>
          <w:tcPr>
            <w:tcW w:w="1323" w:type="dxa"/>
            <w:tcBorders>
              <w:top w:val="nil"/>
              <w:left w:val="nil"/>
              <w:bottom w:val="single" w:sz="12" w:space="0" w:color="FFFFFF"/>
              <w:right w:val="single" w:sz="12" w:space="0" w:color="FFFFFF"/>
            </w:tcBorders>
            <w:shd w:val="clear" w:color="000000" w:fill="F2F2F2"/>
            <w:vAlign w:val="center"/>
            <w:hideMark/>
          </w:tcPr>
          <w:p w14:paraId="76548D99"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600 286,38</w:t>
            </w:r>
          </w:p>
        </w:tc>
        <w:tc>
          <w:tcPr>
            <w:tcW w:w="1334" w:type="dxa"/>
            <w:gridSpan w:val="2"/>
            <w:tcBorders>
              <w:top w:val="nil"/>
              <w:left w:val="nil"/>
              <w:bottom w:val="single" w:sz="12" w:space="0" w:color="FFFFFF"/>
              <w:right w:val="single" w:sz="12" w:space="0" w:color="FFFFFF"/>
            </w:tcBorders>
            <w:shd w:val="clear" w:color="000000" w:fill="F2F2F2"/>
            <w:vAlign w:val="center"/>
            <w:hideMark/>
          </w:tcPr>
          <w:p w14:paraId="24C9110F"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64,36%</w:t>
            </w:r>
          </w:p>
        </w:tc>
      </w:tr>
      <w:tr w:rsidR="00EA2B32" w:rsidRPr="00EA2B32" w14:paraId="0F1FE0E7" w14:textId="77777777" w:rsidTr="00EA2B32">
        <w:tblPrEx>
          <w:tblCellMar>
            <w:top w:w="0" w:type="dxa"/>
          </w:tblCellMar>
        </w:tblPrEx>
        <w:trPr>
          <w:gridAfter w:val="1"/>
          <w:wAfter w:w="8" w:type="dxa"/>
          <w:trHeight w:hRule="exact" w:val="334"/>
        </w:trPr>
        <w:tc>
          <w:tcPr>
            <w:tcW w:w="2095" w:type="dxa"/>
            <w:tcBorders>
              <w:top w:val="nil"/>
              <w:left w:val="single" w:sz="12" w:space="0" w:color="FFFFFF"/>
              <w:bottom w:val="single" w:sz="12" w:space="0" w:color="FFFFFF"/>
              <w:right w:val="single" w:sz="12" w:space="0" w:color="FFFFFF"/>
            </w:tcBorders>
            <w:shd w:val="clear" w:color="000000" w:fill="F2F2F2"/>
            <w:noWrap/>
            <w:vAlign w:val="center"/>
            <w:hideMark/>
          </w:tcPr>
          <w:p w14:paraId="2A9C5145" w14:textId="14F5C74D" w:rsidR="00EA2B32" w:rsidRPr="00EA2B32" w:rsidRDefault="00EA2B32" w:rsidP="00EA2B32">
            <w:pPr>
              <w:spacing w:after="0" w:line="240" w:lineRule="auto"/>
              <w:rPr>
                <w:rFonts w:cs="Calibri"/>
                <w:color w:val="000000"/>
                <w:sz w:val="20"/>
                <w:szCs w:val="20"/>
                <w:lang w:eastAsia="sk-SK"/>
              </w:rPr>
            </w:pPr>
            <w:r w:rsidRPr="00EA2B32">
              <w:rPr>
                <w:rFonts w:cs="Calibri"/>
                <w:color w:val="000000"/>
                <w:sz w:val="20"/>
                <w:szCs w:val="20"/>
                <w:lang w:eastAsia="sk-SK"/>
              </w:rPr>
              <w:t xml:space="preserve">637 </w:t>
            </w:r>
            <w:r w:rsidR="00732BC5">
              <w:rPr>
                <w:rFonts w:cs="Calibri"/>
                <w:color w:val="000000"/>
                <w:sz w:val="20"/>
                <w:szCs w:val="20"/>
                <w:lang w:eastAsia="sk-SK"/>
              </w:rPr>
              <w:t>–</w:t>
            </w:r>
            <w:r w:rsidRPr="00EA2B32">
              <w:rPr>
                <w:rFonts w:cs="Calibri"/>
                <w:color w:val="000000"/>
                <w:sz w:val="20"/>
                <w:szCs w:val="20"/>
                <w:lang w:eastAsia="sk-SK"/>
              </w:rPr>
              <w:t xml:space="preserve"> služby</w:t>
            </w:r>
            <w:r w:rsidR="00732BC5">
              <w:rPr>
                <w:rFonts w:cs="Calibri"/>
                <w:color w:val="000000"/>
                <w:sz w:val="20"/>
                <w:szCs w:val="20"/>
                <w:lang w:eastAsia="sk-SK"/>
              </w:rPr>
              <w:t xml:space="preserve"> a práce</w:t>
            </w:r>
          </w:p>
        </w:tc>
        <w:tc>
          <w:tcPr>
            <w:tcW w:w="1406" w:type="dxa"/>
            <w:tcBorders>
              <w:top w:val="nil"/>
              <w:left w:val="nil"/>
              <w:bottom w:val="single" w:sz="12" w:space="0" w:color="FFFFFF"/>
              <w:right w:val="single" w:sz="12" w:space="0" w:color="FFFFFF"/>
            </w:tcBorders>
            <w:shd w:val="clear" w:color="000000" w:fill="F2F2F2"/>
            <w:vAlign w:val="center"/>
            <w:hideMark/>
          </w:tcPr>
          <w:p w14:paraId="49E6949D"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9 458 362,53</w:t>
            </w:r>
          </w:p>
        </w:tc>
        <w:tc>
          <w:tcPr>
            <w:tcW w:w="1407" w:type="dxa"/>
            <w:tcBorders>
              <w:top w:val="nil"/>
              <w:left w:val="nil"/>
              <w:bottom w:val="single" w:sz="12" w:space="0" w:color="FFFFFF"/>
              <w:right w:val="single" w:sz="12" w:space="0" w:color="FFFFFF"/>
            </w:tcBorders>
            <w:shd w:val="clear" w:color="000000" w:fill="F2F2F2"/>
            <w:vAlign w:val="center"/>
            <w:hideMark/>
          </w:tcPr>
          <w:p w14:paraId="2DE02EFE"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10 047 194,33</w:t>
            </w:r>
          </w:p>
        </w:tc>
        <w:tc>
          <w:tcPr>
            <w:tcW w:w="1406" w:type="dxa"/>
            <w:tcBorders>
              <w:top w:val="nil"/>
              <w:left w:val="nil"/>
              <w:bottom w:val="single" w:sz="12" w:space="0" w:color="FFFFFF"/>
              <w:right w:val="single" w:sz="12" w:space="0" w:color="FFFFFF"/>
            </w:tcBorders>
            <w:shd w:val="clear" w:color="000000" w:fill="F2F2F2"/>
            <w:vAlign w:val="center"/>
            <w:hideMark/>
          </w:tcPr>
          <w:p w14:paraId="0C778597"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12 585 275,23</w:t>
            </w:r>
          </w:p>
        </w:tc>
        <w:tc>
          <w:tcPr>
            <w:tcW w:w="1348" w:type="dxa"/>
            <w:tcBorders>
              <w:top w:val="nil"/>
              <w:left w:val="nil"/>
              <w:bottom w:val="single" w:sz="12" w:space="0" w:color="FFFFFF"/>
              <w:right w:val="single" w:sz="12" w:space="0" w:color="FFFFFF"/>
            </w:tcBorders>
            <w:shd w:val="clear" w:color="000000" w:fill="F2F2F2"/>
            <w:vAlign w:val="center"/>
            <w:hideMark/>
          </w:tcPr>
          <w:p w14:paraId="604CB7FD"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12 849 249,78</w:t>
            </w:r>
          </w:p>
        </w:tc>
        <w:tc>
          <w:tcPr>
            <w:tcW w:w="1323" w:type="dxa"/>
            <w:tcBorders>
              <w:top w:val="nil"/>
              <w:left w:val="nil"/>
              <w:bottom w:val="single" w:sz="12" w:space="0" w:color="FFFFFF"/>
              <w:right w:val="single" w:sz="12" w:space="0" w:color="FFFFFF"/>
            </w:tcBorders>
            <w:shd w:val="clear" w:color="000000" w:fill="F2F2F2"/>
            <w:vAlign w:val="center"/>
            <w:hideMark/>
          </w:tcPr>
          <w:p w14:paraId="7A3B3F58"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9 634 731,44</w:t>
            </w:r>
          </w:p>
        </w:tc>
        <w:tc>
          <w:tcPr>
            <w:tcW w:w="1334" w:type="dxa"/>
            <w:gridSpan w:val="2"/>
            <w:tcBorders>
              <w:top w:val="nil"/>
              <w:left w:val="nil"/>
              <w:bottom w:val="single" w:sz="12" w:space="0" w:color="FFFFFF"/>
              <w:right w:val="single" w:sz="12" w:space="0" w:color="FFFFFF"/>
            </w:tcBorders>
            <w:shd w:val="clear" w:color="000000" w:fill="F2F2F2"/>
            <w:vAlign w:val="center"/>
            <w:hideMark/>
          </w:tcPr>
          <w:p w14:paraId="4DFA1C63" w14:textId="77777777" w:rsidR="00EA2B32" w:rsidRPr="00EA2B32" w:rsidRDefault="00EA2B32" w:rsidP="00EA2B32">
            <w:pPr>
              <w:spacing w:after="0" w:line="240" w:lineRule="auto"/>
              <w:jc w:val="right"/>
              <w:rPr>
                <w:rFonts w:cs="Calibri"/>
                <w:color w:val="000000"/>
                <w:sz w:val="20"/>
                <w:szCs w:val="20"/>
                <w:lang w:eastAsia="sk-SK"/>
              </w:rPr>
            </w:pPr>
            <w:r w:rsidRPr="00EA2B32">
              <w:rPr>
                <w:rFonts w:cs="Calibri"/>
                <w:color w:val="000000"/>
                <w:sz w:val="20"/>
                <w:szCs w:val="20"/>
                <w:lang w:eastAsia="sk-SK"/>
              </w:rPr>
              <w:t>74,98%</w:t>
            </w:r>
          </w:p>
        </w:tc>
      </w:tr>
      <w:tr w:rsidR="00EA2B32" w:rsidRPr="00EA2B32" w14:paraId="27D4DB3C" w14:textId="77777777" w:rsidTr="00A17B4F">
        <w:tblPrEx>
          <w:tblCellMar>
            <w:top w:w="0" w:type="dxa"/>
          </w:tblCellMar>
        </w:tblPrEx>
        <w:trPr>
          <w:gridAfter w:val="1"/>
          <w:wAfter w:w="8" w:type="dxa"/>
          <w:trHeight w:val="334"/>
        </w:trPr>
        <w:tc>
          <w:tcPr>
            <w:tcW w:w="2095" w:type="dxa"/>
            <w:tcBorders>
              <w:top w:val="nil"/>
              <w:left w:val="single" w:sz="12" w:space="0" w:color="FFFFFF"/>
              <w:bottom w:val="nil"/>
              <w:right w:val="single" w:sz="12" w:space="0" w:color="FFFFFF"/>
            </w:tcBorders>
            <w:shd w:val="clear" w:color="000000" w:fill="8DB3E2"/>
            <w:noWrap/>
            <w:vAlign w:val="center"/>
            <w:hideMark/>
          </w:tcPr>
          <w:p w14:paraId="5503B6B6" w14:textId="77777777" w:rsidR="00EA2B32" w:rsidRPr="00EA2B32" w:rsidRDefault="00EA2B32" w:rsidP="00EA2B32">
            <w:pPr>
              <w:spacing w:after="0" w:line="240" w:lineRule="auto"/>
              <w:rPr>
                <w:rFonts w:cs="Calibri"/>
                <w:b/>
                <w:bCs/>
                <w:color w:val="000000"/>
                <w:sz w:val="20"/>
                <w:szCs w:val="20"/>
                <w:lang w:eastAsia="sk-SK"/>
              </w:rPr>
            </w:pPr>
            <w:r w:rsidRPr="00EA2B32">
              <w:rPr>
                <w:rFonts w:cs="Calibri"/>
                <w:b/>
                <w:bCs/>
                <w:color w:val="000000"/>
                <w:sz w:val="20"/>
                <w:szCs w:val="20"/>
                <w:lang w:eastAsia="sk-SK"/>
              </w:rPr>
              <w:t>Celkom</w:t>
            </w:r>
          </w:p>
        </w:tc>
        <w:tc>
          <w:tcPr>
            <w:tcW w:w="1406" w:type="dxa"/>
            <w:tcBorders>
              <w:top w:val="nil"/>
              <w:left w:val="nil"/>
              <w:bottom w:val="nil"/>
              <w:right w:val="single" w:sz="12" w:space="0" w:color="FFFFFF"/>
            </w:tcBorders>
            <w:shd w:val="clear" w:color="000000" w:fill="8DB3E2"/>
            <w:noWrap/>
            <w:vAlign w:val="center"/>
            <w:hideMark/>
          </w:tcPr>
          <w:p w14:paraId="0A85582F" w14:textId="77777777" w:rsidR="00EA2B32" w:rsidRPr="00EA2B32" w:rsidRDefault="00EA2B32" w:rsidP="00EA2B32">
            <w:pPr>
              <w:spacing w:after="0" w:line="240" w:lineRule="auto"/>
              <w:jc w:val="right"/>
              <w:rPr>
                <w:rFonts w:cs="Calibri"/>
                <w:b/>
                <w:bCs/>
                <w:color w:val="000000"/>
                <w:sz w:val="20"/>
                <w:szCs w:val="20"/>
                <w:lang w:eastAsia="sk-SK"/>
              </w:rPr>
            </w:pPr>
            <w:r w:rsidRPr="00EA2B32">
              <w:rPr>
                <w:rFonts w:cs="Calibri"/>
                <w:b/>
                <w:bCs/>
                <w:color w:val="000000"/>
                <w:sz w:val="20"/>
                <w:szCs w:val="20"/>
                <w:lang w:eastAsia="sk-SK"/>
              </w:rPr>
              <w:t>31 042 757,76</w:t>
            </w:r>
          </w:p>
        </w:tc>
        <w:tc>
          <w:tcPr>
            <w:tcW w:w="1407" w:type="dxa"/>
            <w:tcBorders>
              <w:top w:val="nil"/>
              <w:left w:val="nil"/>
              <w:bottom w:val="nil"/>
              <w:right w:val="single" w:sz="12" w:space="0" w:color="FFFFFF"/>
            </w:tcBorders>
            <w:shd w:val="clear" w:color="000000" w:fill="8DB3E2"/>
            <w:noWrap/>
            <w:vAlign w:val="center"/>
            <w:hideMark/>
          </w:tcPr>
          <w:p w14:paraId="3894C46A" w14:textId="77777777" w:rsidR="00EA2B32" w:rsidRPr="00EA2B32" w:rsidRDefault="00EA2B32" w:rsidP="00EA2B32">
            <w:pPr>
              <w:spacing w:after="0" w:line="240" w:lineRule="auto"/>
              <w:jc w:val="right"/>
              <w:rPr>
                <w:rFonts w:cs="Calibri"/>
                <w:b/>
                <w:bCs/>
                <w:color w:val="000000"/>
                <w:sz w:val="20"/>
                <w:szCs w:val="20"/>
                <w:lang w:eastAsia="sk-SK"/>
              </w:rPr>
            </w:pPr>
            <w:r w:rsidRPr="00EA2B32">
              <w:rPr>
                <w:rFonts w:cs="Calibri"/>
                <w:b/>
                <w:bCs/>
                <w:color w:val="000000"/>
                <w:sz w:val="20"/>
                <w:szCs w:val="20"/>
                <w:lang w:eastAsia="sk-SK"/>
              </w:rPr>
              <w:t>31 276 933,45</w:t>
            </w:r>
          </w:p>
        </w:tc>
        <w:tc>
          <w:tcPr>
            <w:tcW w:w="1406" w:type="dxa"/>
            <w:tcBorders>
              <w:top w:val="nil"/>
              <w:left w:val="nil"/>
              <w:bottom w:val="nil"/>
              <w:right w:val="single" w:sz="12" w:space="0" w:color="FFFFFF"/>
            </w:tcBorders>
            <w:shd w:val="clear" w:color="000000" w:fill="8DB3E2"/>
            <w:noWrap/>
            <w:vAlign w:val="center"/>
            <w:hideMark/>
          </w:tcPr>
          <w:p w14:paraId="3E3FD8F8" w14:textId="77777777" w:rsidR="00EA2B32" w:rsidRPr="00EA2B32" w:rsidRDefault="00EA2B32" w:rsidP="00EA2B32">
            <w:pPr>
              <w:spacing w:after="0" w:line="240" w:lineRule="auto"/>
              <w:jc w:val="right"/>
              <w:rPr>
                <w:rFonts w:cs="Calibri"/>
                <w:b/>
                <w:bCs/>
                <w:color w:val="000000"/>
                <w:sz w:val="20"/>
                <w:szCs w:val="20"/>
                <w:lang w:eastAsia="sk-SK"/>
              </w:rPr>
            </w:pPr>
            <w:r w:rsidRPr="00EA2B32">
              <w:rPr>
                <w:rFonts w:cs="Calibri"/>
                <w:b/>
                <w:bCs/>
                <w:color w:val="000000"/>
                <w:sz w:val="20"/>
                <w:szCs w:val="20"/>
                <w:lang w:eastAsia="sk-SK"/>
              </w:rPr>
              <w:t>36 235 839,75</w:t>
            </w:r>
          </w:p>
        </w:tc>
        <w:tc>
          <w:tcPr>
            <w:tcW w:w="1348" w:type="dxa"/>
            <w:tcBorders>
              <w:top w:val="nil"/>
              <w:left w:val="nil"/>
              <w:bottom w:val="nil"/>
              <w:right w:val="single" w:sz="12" w:space="0" w:color="FFFFFF"/>
            </w:tcBorders>
            <w:shd w:val="clear" w:color="000000" w:fill="8DB3E2"/>
            <w:noWrap/>
            <w:vAlign w:val="center"/>
            <w:hideMark/>
          </w:tcPr>
          <w:p w14:paraId="3273805B" w14:textId="77777777" w:rsidR="00EA2B32" w:rsidRPr="00EA2B32" w:rsidRDefault="00EA2B32" w:rsidP="00EA2B32">
            <w:pPr>
              <w:spacing w:after="0" w:line="240" w:lineRule="auto"/>
              <w:jc w:val="right"/>
              <w:rPr>
                <w:rFonts w:cs="Calibri"/>
                <w:b/>
                <w:bCs/>
                <w:color w:val="000000"/>
                <w:sz w:val="20"/>
                <w:szCs w:val="20"/>
                <w:lang w:eastAsia="sk-SK"/>
              </w:rPr>
            </w:pPr>
            <w:r w:rsidRPr="00EA2B32">
              <w:rPr>
                <w:rFonts w:cs="Calibri"/>
                <w:b/>
                <w:bCs/>
                <w:color w:val="000000"/>
                <w:sz w:val="20"/>
                <w:szCs w:val="20"/>
                <w:lang w:eastAsia="sk-SK"/>
              </w:rPr>
              <w:t>37 706 144,70</w:t>
            </w:r>
          </w:p>
        </w:tc>
        <w:tc>
          <w:tcPr>
            <w:tcW w:w="1323" w:type="dxa"/>
            <w:tcBorders>
              <w:top w:val="nil"/>
              <w:left w:val="nil"/>
              <w:bottom w:val="nil"/>
              <w:right w:val="single" w:sz="12" w:space="0" w:color="FFFFFF"/>
            </w:tcBorders>
            <w:shd w:val="clear" w:color="000000" w:fill="8DB3E2"/>
            <w:noWrap/>
            <w:vAlign w:val="center"/>
            <w:hideMark/>
          </w:tcPr>
          <w:p w14:paraId="140FE9DE" w14:textId="77777777" w:rsidR="00EA2B32" w:rsidRPr="00EA2B32" w:rsidRDefault="00EA2B32" w:rsidP="00EA2B32">
            <w:pPr>
              <w:spacing w:after="0" w:line="240" w:lineRule="auto"/>
              <w:jc w:val="right"/>
              <w:rPr>
                <w:rFonts w:cs="Calibri"/>
                <w:b/>
                <w:bCs/>
                <w:color w:val="000000"/>
                <w:sz w:val="20"/>
                <w:szCs w:val="20"/>
                <w:lang w:eastAsia="sk-SK"/>
              </w:rPr>
            </w:pPr>
            <w:r w:rsidRPr="00EA2B32">
              <w:rPr>
                <w:rFonts w:cs="Calibri"/>
                <w:b/>
                <w:bCs/>
                <w:color w:val="000000"/>
                <w:sz w:val="20"/>
                <w:szCs w:val="20"/>
                <w:lang w:eastAsia="sk-SK"/>
              </w:rPr>
              <w:t>27 305 369,35</w:t>
            </w:r>
          </w:p>
        </w:tc>
        <w:tc>
          <w:tcPr>
            <w:tcW w:w="1334" w:type="dxa"/>
            <w:gridSpan w:val="2"/>
            <w:tcBorders>
              <w:top w:val="nil"/>
              <w:left w:val="nil"/>
              <w:bottom w:val="nil"/>
              <w:right w:val="single" w:sz="12" w:space="0" w:color="FFFFFF"/>
            </w:tcBorders>
            <w:shd w:val="clear" w:color="000000" w:fill="95B3D7"/>
            <w:vAlign w:val="center"/>
            <w:hideMark/>
          </w:tcPr>
          <w:p w14:paraId="418BB613" w14:textId="77777777" w:rsidR="00EA2B32" w:rsidRPr="00EA2B32" w:rsidRDefault="00EA2B32" w:rsidP="00EA2B32">
            <w:pPr>
              <w:spacing w:after="0" w:line="240" w:lineRule="auto"/>
              <w:jc w:val="right"/>
              <w:rPr>
                <w:rFonts w:cs="Calibri"/>
                <w:b/>
                <w:bCs/>
                <w:color w:val="000000"/>
                <w:sz w:val="20"/>
                <w:szCs w:val="20"/>
                <w:lang w:eastAsia="sk-SK"/>
              </w:rPr>
            </w:pPr>
            <w:r w:rsidRPr="00EA2B32">
              <w:rPr>
                <w:rFonts w:cs="Calibri"/>
                <w:b/>
                <w:bCs/>
                <w:color w:val="000000"/>
                <w:sz w:val="20"/>
                <w:szCs w:val="20"/>
                <w:lang w:eastAsia="sk-SK"/>
              </w:rPr>
              <w:t>72,42%</w:t>
            </w:r>
          </w:p>
        </w:tc>
      </w:tr>
    </w:tbl>
    <w:p w14:paraId="79C28A4D" w14:textId="77777777" w:rsidR="00A17B4F" w:rsidRDefault="00A17B4F" w:rsidP="00A17B4F">
      <w:pPr>
        <w:spacing w:line="240" w:lineRule="auto"/>
        <w:jc w:val="both"/>
        <w:rPr>
          <w:rFonts w:cs="Calibri"/>
          <w:sz w:val="24"/>
          <w:szCs w:val="24"/>
          <w:u w:val="single"/>
        </w:rPr>
      </w:pPr>
    </w:p>
    <w:p w14:paraId="761739C9" w14:textId="09115EDE" w:rsidR="00A17B4F" w:rsidRPr="00A17B4F" w:rsidRDefault="00A17B4F" w:rsidP="00A17B4F">
      <w:pPr>
        <w:spacing w:line="240" w:lineRule="auto"/>
        <w:jc w:val="both"/>
        <w:rPr>
          <w:rFonts w:cs="Calibri"/>
          <w:sz w:val="24"/>
          <w:szCs w:val="24"/>
          <w:u w:val="single"/>
        </w:rPr>
      </w:pPr>
      <w:r w:rsidRPr="004D1FDC">
        <w:rPr>
          <w:rFonts w:cs="Calibri"/>
          <w:sz w:val="24"/>
          <w:szCs w:val="24"/>
          <w:u w:val="single"/>
        </w:rPr>
        <w:t>Graf</w:t>
      </w:r>
      <w:r>
        <w:rPr>
          <w:rFonts w:cs="Calibri"/>
          <w:sz w:val="24"/>
          <w:szCs w:val="24"/>
          <w:u w:val="single"/>
        </w:rPr>
        <w:t xml:space="preserve"> 1</w:t>
      </w:r>
      <w:r w:rsidR="00A21D8F">
        <w:rPr>
          <w:rFonts w:cs="Calibri"/>
          <w:sz w:val="24"/>
          <w:szCs w:val="24"/>
          <w:u w:val="single"/>
        </w:rPr>
        <w:t>1:</w:t>
      </w:r>
      <w:r w:rsidRPr="004D1FDC">
        <w:rPr>
          <w:rFonts w:cs="Calibri"/>
          <w:sz w:val="24"/>
          <w:szCs w:val="24"/>
          <w:u w:val="single"/>
        </w:rPr>
        <w:t xml:space="preserve"> </w:t>
      </w:r>
      <w:r>
        <w:rPr>
          <w:rFonts w:cs="Calibri"/>
          <w:sz w:val="24"/>
          <w:szCs w:val="24"/>
          <w:u w:val="single"/>
        </w:rPr>
        <w:t>Skutočné č</w:t>
      </w:r>
      <w:r w:rsidRPr="004D1FDC">
        <w:rPr>
          <w:rFonts w:cs="Calibri"/>
          <w:sz w:val="24"/>
          <w:szCs w:val="24"/>
          <w:u w:val="single"/>
        </w:rPr>
        <w:t>erpani</w:t>
      </w:r>
      <w:r>
        <w:rPr>
          <w:rFonts w:cs="Calibri"/>
          <w:sz w:val="24"/>
          <w:szCs w:val="24"/>
          <w:u w:val="single"/>
        </w:rPr>
        <w:t>e</w:t>
      </w:r>
      <w:r w:rsidRPr="004D1FDC">
        <w:rPr>
          <w:rFonts w:cs="Calibri"/>
          <w:sz w:val="24"/>
          <w:szCs w:val="24"/>
          <w:u w:val="single"/>
        </w:rPr>
        <w:t xml:space="preserve"> bežných výdavkov </w:t>
      </w:r>
      <w:r>
        <w:rPr>
          <w:rFonts w:cs="Calibri"/>
          <w:sz w:val="24"/>
          <w:szCs w:val="24"/>
          <w:u w:val="single"/>
        </w:rPr>
        <w:t>v roku 2018, 2019 a 2020</w:t>
      </w:r>
      <w:r w:rsidRPr="004D1FDC">
        <w:rPr>
          <w:rFonts w:cs="Calibri"/>
          <w:sz w:val="24"/>
          <w:szCs w:val="24"/>
          <w:u w:val="single"/>
        </w:rPr>
        <w:t xml:space="preserve"> </w:t>
      </w:r>
      <w:r>
        <w:rPr>
          <w:rFonts w:cs="Calibri"/>
          <w:sz w:val="24"/>
          <w:szCs w:val="24"/>
          <w:u w:val="single"/>
        </w:rPr>
        <w:t>v rámci EK 630:</w:t>
      </w:r>
    </w:p>
    <w:p w14:paraId="5ACA6A18" w14:textId="59E1FD39" w:rsidR="00EB5C0F" w:rsidRDefault="00A01A8E" w:rsidP="00EB5C0F">
      <w:pPr>
        <w:spacing w:before="240" w:after="120"/>
        <w:jc w:val="both"/>
        <w:rPr>
          <w:rFonts w:asciiTheme="minorHAnsi" w:hAnsiTheme="minorHAnsi" w:cstheme="minorHAnsi"/>
          <w:sz w:val="24"/>
          <w:szCs w:val="24"/>
          <w:lang w:eastAsia="sk-SK"/>
        </w:rPr>
      </w:pPr>
      <w:r>
        <w:rPr>
          <w:noProof/>
        </w:rPr>
        <w:drawing>
          <wp:inline distT="0" distB="0" distL="0" distR="0" wp14:anchorId="792F4B1B" wp14:editId="1D469228">
            <wp:extent cx="6804936" cy="2722880"/>
            <wp:effectExtent l="0" t="0" r="0" b="1270"/>
            <wp:docPr id="5" name="Graf 5">
              <a:extLst xmlns:a="http://schemas.openxmlformats.org/drawingml/2006/main">
                <a:ext uri="{FF2B5EF4-FFF2-40B4-BE49-F238E27FC236}">
                  <a16:creationId xmlns:a16="http://schemas.microsoft.com/office/drawing/2014/main" id="{E3E769D6-6B95-4526-89DE-3E2126AA92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A17B4F">
        <w:rPr>
          <w:rFonts w:asciiTheme="minorHAnsi" w:hAnsiTheme="minorHAnsi" w:cstheme="minorHAnsi"/>
          <w:sz w:val="24"/>
          <w:szCs w:val="24"/>
          <w:lang w:eastAsia="sk-SK"/>
        </w:rPr>
        <w:t>Čerpanie výdavkov v rámci tejto kategórie bolo v porovnaní s minulými rokmi nižšie, konkrétne s rokom 2019 cca o 3,9 mil</w:t>
      </w:r>
      <w:r w:rsidR="00732BC5">
        <w:rPr>
          <w:rFonts w:asciiTheme="minorHAnsi" w:hAnsiTheme="minorHAnsi" w:cstheme="minorHAnsi"/>
          <w:sz w:val="24"/>
          <w:szCs w:val="24"/>
          <w:lang w:eastAsia="sk-SK"/>
        </w:rPr>
        <w:t>.</w:t>
      </w:r>
      <w:r w:rsidR="00A17B4F">
        <w:rPr>
          <w:rFonts w:asciiTheme="minorHAnsi" w:hAnsiTheme="minorHAnsi" w:cstheme="minorHAnsi"/>
          <w:sz w:val="24"/>
          <w:szCs w:val="24"/>
          <w:lang w:eastAsia="sk-SK"/>
        </w:rPr>
        <w:t xml:space="preserve"> Eur, čo znamená pokles o 12,70%</w:t>
      </w:r>
      <w:r w:rsidR="00EB5C0F">
        <w:rPr>
          <w:rFonts w:asciiTheme="minorHAnsi" w:hAnsiTheme="minorHAnsi" w:cstheme="minorHAnsi"/>
          <w:sz w:val="24"/>
          <w:szCs w:val="24"/>
          <w:lang w:eastAsia="sk-SK"/>
        </w:rPr>
        <w:t xml:space="preserve">. </w:t>
      </w:r>
    </w:p>
    <w:p w14:paraId="4304CA52" w14:textId="6364E963" w:rsidR="001E11DD" w:rsidRPr="00EB5C0F" w:rsidRDefault="00EB5C0F" w:rsidP="00EB5C0F">
      <w:pPr>
        <w:spacing w:before="240" w:after="120"/>
        <w:jc w:val="both"/>
        <w:rPr>
          <w:rFonts w:asciiTheme="minorHAnsi" w:hAnsiTheme="minorHAnsi" w:cstheme="minorHAnsi"/>
          <w:b/>
          <w:sz w:val="24"/>
          <w:szCs w:val="24"/>
          <w:lang w:eastAsia="sk-SK"/>
        </w:rPr>
      </w:pPr>
      <w:r>
        <w:rPr>
          <w:rFonts w:asciiTheme="minorHAnsi" w:hAnsiTheme="minorHAnsi" w:cstheme="minorHAnsi"/>
          <w:sz w:val="24"/>
          <w:szCs w:val="24"/>
          <w:lang w:eastAsia="sk-SK"/>
        </w:rPr>
        <w:t xml:space="preserve">Z grafu vidieť, že najvýraznejší pokles výdavkov bol v rámci </w:t>
      </w:r>
      <w:r w:rsidR="00BE704E" w:rsidRPr="007F70AF">
        <w:rPr>
          <w:rFonts w:asciiTheme="minorHAnsi" w:hAnsiTheme="minorHAnsi" w:cstheme="minorHAnsi"/>
          <w:sz w:val="24"/>
          <w:szCs w:val="24"/>
          <w:u w:val="single"/>
          <w:lang w:eastAsia="sk-SK"/>
        </w:rPr>
        <w:t>položky</w:t>
      </w:r>
      <w:r w:rsidR="00BE704E" w:rsidRPr="007F70AF">
        <w:rPr>
          <w:rFonts w:asciiTheme="minorHAnsi" w:hAnsiTheme="minorHAnsi" w:cstheme="minorHAnsi"/>
          <w:sz w:val="24"/>
          <w:szCs w:val="24"/>
          <w:u w:val="single"/>
        </w:rPr>
        <w:t xml:space="preserve">  635 - rutinná a štandardná údržba</w:t>
      </w:r>
      <w:r w:rsidR="00BE704E" w:rsidRPr="00E3132D">
        <w:rPr>
          <w:rFonts w:asciiTheme="minorHAnsi" w:hAnsiTheme="minorHAnsi" w:cstheme="minorHAnsi"/>
          <w:sz w:val="24"/>
          <w:szCs w:val="24"/>
        </w:rPr>
        <w:t xml:space="preserve"> </w:t>
      </w:r>
      <w:r w:rsidR="00BE704E">
        <w:rPr>
          <w:rFonts w:asciiTheme="minorHAnsi" w:hAnsiTheme="minorHAnsi" w:cstheme="minorHAnsi"/>
          <w:sz w:val="24"/>
          <w:szCs w:val="24"/>
        </w:rPr>
        <w:t>za bežnú údržbu a opravu majetku BSK,  a to  budov, cestných komunikácií a mostných objektov</w:t>
      </w:r>
      <w:r w:rsidR="002F3BD7">
        <w:rPr>
          <w:rFonts w:asciiTheme="minorHAnsi" w:hAnsiTheme="minorHAnsi" w:cstheme="minorHAnsi"/>
          <w:sz w:val="24"/>
          <w:szCs w:val="24"/>
        </w:rPr>
        <w:t xml:space="preserve">, prevádzkových strojov, prístrojov, </w:t>
      </w:r>
      <w:r w:rsidR="001E11DD">
        <w:rPr>
          <w:rFonts w:asciiTheme="minorHAnsi" w:hAnsiTheme="minorHAnsi" w:cstheme="minorHAnsi"/>
          <w:sz w:val="24"/>
          <w:szCs w:val="24"/>
        </w:rPr>
        <w:t xml:space="preserve">interiérového vybavenia, </w:t>
      </w:r>
      <w:proofErr w:type="spellStart"/>
      <w:r w:rsidR="002F3BD7">
        <w:rPr>
          <w:rFonts w:asciiTheme="minorHAnsi" w:hAnsiTheme="minorHAnsi" w:cstheme="minorHAnsi"/>
          <w:sz w:val="24"/>
          <w:szCs w:val="24"/>
        </w:rPr>
        <w:t>telekominikačnej</w:t>
      </w:r>
      <w:proofErr w:type="spellEnd"/>
      <w:r w:rsidR="002F3BD7">
        <w:rPr>
          <w:rFonts w:asciiTheme="minorHAnsi" w:hAnsiTheme="minorHAnsi" w:cstheme="minorHAnsi"/>
          <w:sz w:val="24"/>
          <w:szCs w:val="24"/>
        </w:rPr>
        <w:t xml:space="preserve"> techniky, za údržbu výpočtovej techniky  a</w:t>
      </w:r>
      <w:r>
        <w:rPr>
          <w:rFonts w:asciiTheme="minorHAnsi" w:hAnsiTheme="minorHAnsi" w:cstheme="minorHAnsi"/>
          <w:sz w:val="24"/>
          <w:szCs w:val="24"/>
        </w:rPr>
        <w:t> </w:t>
      </w:r>
      <w:r w:rsidR="002F3BD7">
        <w:rPr>
          <w:rFonts w:asciiTheme="minorHAnsi" w:hAnsiTheme="minorHAnsi" w:cstheme="minorHAnsi"/>
          <w:sz w:val="24"/>
          <w:szCs w:val="24"/>
        </w:rPr>
        <w:t>s</w:t>
      </w:r>
      <w:r w:rsidR="00C618A6">
        <w:rPr>
          <w:rFonts w:asciiTheme="minorHAnsi" w:hAnsiTheme="minorHAnsi" w:cstheme="minorHAnsi"/>
          <w:sz w:val="24"/>
          <w:szCs w:val="24"/>
        </w:rPr>
        <w:t>o</w:t>
      </w:r>
      <w:r w:rsidR="002F3BD7">
        <w:rPr>
          <w:rFonts w:asciiTheme="minorHAnsi" w:hAnsiTheme="minorHAnsi" w:cstheme="minorHAnsi"/>
          <w:sz w:val="24"/>
          <w:szCs w:val="24"/>
        </w:rPr>
        <w:t>ftvéru</w:t>
      </w:r>
      <w:r>
        <w:rPr>
          <w:rFonts w:asciiTheme="minorHAnsi" w:hAnsiTheme="minorHAnsi" w:cstheme="minorHAnsi"/>
          <w:sz w:val="24"/>
          <w:szCs w:val="24"/>
        </w:rPr>
        <w:t xml:space="preserve">. Celkové čerpanie bolo </w:t>
      </w:r>
      <w:r w:rsidR="002F3BD7">
        <w:rPr>
          <w:rFonts w:asciiTheme="minorHAnsi" w:hAnsiTheme="minorHAnsi" w:cstheme="minorHAnsi"/>
          <w:sz w:val="24"/>
          <w:szCs w:val="24"/>
        </w:rPr>
        <w:t xml:space="preserve"> </w:t>
      </w:r>
      <w:r>
        <w:rPr>
          <w:rFonts w:asciiTheme="minorHAnsi" w:hAnsiTheme="minorHAnsi" w:cstheme="minorHAnsi"/>
          <w:sz w:val="24"/>
          <w:szCs w:val="24"/>
        </w:rPr>
        <w:t>vo</w:t>
      </w:r>
      <w:r w:rsidR="002F3BD7">
        <w:rPr>
          <w:rFonts w:asciiTheme="minorHAnsi" w:hAnsiTheme="minorHAnsi" w:cstheme="minorHAnsi"/>
          <w:sz w:val="24"/>
          <w:szCs w:val="24"/>
        </w:rPr>
        <w:t xml:space="preserve"> výške </w:t>
      </w:r>
      <w:r>
        <w:rPr>
          <w:rFonts w:asciiTheme="minorHAnsi" w:hAnsiTheme="minorHAnsi" w:cstheme="minorHAnsi"/>
          <w:sz w:val="24"/>
          <w:szCs w:val="24"/>
        </w:rPr>
        <w:t>6</w:t>
      </w:r>
      <w:r w:rsidR="002F3BD7">
        <w:rPr>
          <w:rFonts w:asciiTheme="minorHAnsi" w:hAnsiTheme="minorHAnsi" w:cstheme="minorHAnsi"/>
          <w:sz w:val="24"/>
          <w:szCs w:val="24"/>
        </w:rPr>
        <w:t xml:space="preserve">,75 mil. EUR </w:t>
      </w:r>
      <w:r w:rsidR="00BE704E">
        <w:rPr>
          <w:rFonts w:asciiTheme="minorHAnsi" w:hAnsiTheme="minorHAnsi" w:cstheme="minorHAnsi"/>
          <w:sz w:val="24"/>
          <w:szCs w:val="24"/>
        </w:rPr>
        <w:t>(</w:t>
      </w:r>
      <w:proofErr w:type="spellStart"/>
      <w:r w:rsidR="00BE704E">
        <w:rPr>
          <w:rFonts w:asciiTheme="minorHAnsi" w:hAnsiTheme="minorHAnsi" w:cstheme="minorHAnsi"/>
          <w:sz w:val="24"/>
          <w:szCs w:val="24"/>
        </w:rPr>
        <w:t>najvyšie</w:t>
      </w:r>
      <w:proofErr w:type="spellEnd"/>
      <w:r w:rsidR="00BE704E">
        <w:rPr>
          <w:rFonts w:asciiTheme="minorHAnsi" w:hAnsiTheme="minorHAnsi" w:cstheme="minorHAnsi"/>
          <w:sz w:val="24"/>
          <w:szCs w:val="24"/>
        </w:rPr>
        <w:t xml:space="preserve"> platby boli realizované v prospech RCB za správu a údržbu ciest II. a III</w:t>
      </w:r>
      <w:r w:rsidR="00BE704E" w:rsidRPr="0008413C">
        <w:rPr>
          <w:rFonts w:asciiTheme="minorHAnsi" w:hAnsiTheme="minorHAnsi" w:cstheme="minorHAnsi"/>
          <w:sz w:val="24"/>
          <w:szCs w:val="24"/>
        </w:rPr>
        <w:t>.</w:t>
      </w:r>
      <w:r w:rsidR="00BE704E">
        <w:rPr>
          <w:rFonts w:asciiTheme="minorHAnsi" w:hAnsiTheme="minorHAnsi" w:cstheme="minorHAnsi"/>
          <w:sz w:val="24"/>
          <w:szCs w:val="24"/>
        </w:rPr>
        <w:t xml:space="preserve"> triedy v správe BSK cca za </w:t>
      </w:r>
      <w:r>
        <w:rPr>
          <w:rFonts w:asciiTheme="minorHAnsi" w:hAnsiTheme="minorHAnsi" w:cstheme="minorHAnsi"/>
          <w:sz w:val="24"/>
          <w:szCs w:val="24"/>
        </w:rPr>
        <w:t>4,74 mil. EUR</w:t>
      </w:r>
      <w:r w:rsidR="00994E15">
        <w:rPr>
          <w:rFonts w:asciiTheme="minorHAnsi" w:hAnsiTheme="minorHAnsi" w:cstheme="minorHAnsi"/>
          <w:sz w:val="24"/>
          <w:szCs w:val="24"/>
        </w:rPr>
        <w:t xml:space="preserve">) Školské zariadenia čerpali na bežnú údržbu za práce a služby cca 1,68 mil. EUR, napr. na výmenu dverí, opravu kotolní, výmenu podlahovej krytiny, opravu stropných omietok, </w:t>
      </w:r>
      <w:r w:rsidR="00732BC5">
        <w:rPr>
          <w:rFonts w:asciiTheme="minorHAnsi" w:hAnsiTheme="minorHAnsi" w:cstheme="minorHAnsi"/>
          <w:sz w:val="24"/>
          <w:szCs w:val="24"/>
        </w:rPr>
        <w:t>opravu</w:t>
      </w:r>
      <w:r w:rsidR="00994E15">
        <w:rPr>
          <w:rFonts w:asciiTheme="minorHAnsi" w:hAnsiTheme="minorHAnsi" w:cstheme="minorHAnsi"/>
          <w:sz w:val="24"/>
          <w:szCs w:val="24"/>
        </w:rPr>
        <w:t xml:space="preserve"> </w:t>
      </w:r>
      <w:r w:rsidR="00732BC5">
        <w:rPr>
          <w:rFonts w:asciiTheme="minorHAnsi" w:hAnsiTheme="minorHAnsi" w:cstheme="minorHAnsi"/>
          <w:sz w:val="24"/>
          <w:szCs w:val="24"/>
        </w:rPr>
        <w:t>sociálnych zariadení</w:t>
      </w:r>
      <w:r w:rsidR="00994E15">
        <w:rPr>
          <w:rFonts w:asciiTheme="minorHAnsi" w:hAnsiTheme="minorHAnsi" w:cstheme="minorHAnsi"/>
          <w:sz w:val="24"/>
          <w:szCs w:val="24"/>
        </w:rPr>
        <w:t xml:space="preserve"> a pod.</w:t>
      </w:r>
      <w:r w:rsidR="00732BC5">
        <w:rPr>
          <w:rFonts w:asciiTheme="minorHAnsi" w:hAnsiTheme="minorHAnsi" w:cstheme="minorHAnsi"/>
          <w:sz w:val="24"/>
          <w:szCs w:val="24"/>
        </w:rPr>
        <w:t>.</w:t>
      </w:r>
      <w:r w:rsidR="00994E15">
        <w:rPr>
          <w:rFonts w:asciiTheme="minorHAnsi" w:hAnsiTheme="minorHAnsi" w:cstheme="minorHAnsi"/>
          <w:sz w:val="24"/>
          <w:szCs w:val="24"/>
        </w:rPr>
        <w:t xml:space="preserve"> </w:t>
      </w:r>
      <w:r w:rsidR="00732BC5">
        <w:rPr>
          <w:rFonts w:asciiTheme="minorHAnsi" w:hAnsiTheme="minorHAnsi" w:cstheme="minorHAnsi"/>
          <w:sz w:val="24"/>
          <w:szCs w:val="24"/>
        </w:rPr>
        <w:t>S</w:t>
      </w:r>
      <w:r w:rsidR="00994E15">
        <w:rPr>
          <w:rFonts w:asciiTheme="minorHAnsi" w:hAnsiTheme="minorHAnsi" w:cstheme="minorHAnsi"/>
          <w:sz w:val="24"/>
          <w:szCs w:val="24"/>
        </w:rPr>
        <w:t>ociálne zariade</w:t>
      </w:r>
      <w:r w:rsidR="005117D7">
        <w:rPr>
          <w:rFonts w:asciiTheme="minorHAnsi" w:hAnsiTheme="minorHAnsi" w:cstheme="minorHAnsi"/>
          <w:sz w:val="24"/>
          <w:szCs w:val="24"/>
        </w:rPr>
        <w:t>n</w:t>
      </w:r>
      <w:r w:rsidR="00994E15">
        <w:rPr>
          <w:rFonts w:asciiTheme="minorHAnsi" w:hAnsiTheme="minorHAnsi" w:cstheme="minorHAnsi"/>
          <w:sz w:val="24"/>
          <w:szCs w:val="24"/>
        </w:rPr>
        <w:t xml:space="preserve">ia čerpali výdavky na bežnú údržbu cca </w:t>
      </w:r>
      <w:r w:rsidR="00732BC5">
        <w:rPr>
          <w:rFonts w:asciiTheme="minorHAnsi" w:hAnsiTheme="minorHAnsi" w:cstheme="minorHAnsi"/>
          <w:sz w:val="24"/>
          <w:szCs w:val="24"/>
        </w:rPr>
        <w:t xml:space="preserve">vo výške </w:t>
      </w:r>
      <w:r w:rsidR="00994E15">
        <w:rPr>
          <w:rFonts w:asciiTheme="minorHAnsi" w:hAnsiTheme="minorHAnsi" w:cstheme="minorHAnsi"/>
          <w:sz w:val="24"/>
          <w:szCs w:val="24"/>
        </w:rPr>
        <w:t>255 tis. EUR</w:t>
      </w:r>
      <w:r w:rsidR="00732BC5">
        <w:rPr>
          <w:rFonts w:asciiTheme="minorHAnsi" w:hAnsiTheme="minorHAnsi" w:cstheme="minorHAnsi"/>
          <w:sz w:val="24"/>
          <w:szCs w:val="24"/>
        </w:rPr>
        <w:t xml:space="preserve">, na opravy oplotenia, kanalizácie, sprchovacích boxov, výťahov, na výmenu </w:t>
      </w:r>
      <w:proofErr w:type="spellStart"/>
      <w:r w:rsidR="00732BC5">
        <w:rPr>
          <w:rFonts w:asciiTheme="minorHAnsi" w:hAnsiTheme="minorHAnsi" w:cstheme="minorHAnsi"/>
          <w:sz w:val="24"/>
          <w:szCs w:val="24"/>
        </w:rPr>
        <w:t>koltlov</w:t>
      </w:r>
      <w:proofErr w:type="spellEnd"/>
      <w:r w:rsidR="00732BC5">
        <w:rPr>
          <w:rFonts w:asciiTheme="minorHAnsi" w:hAnsiTheme="minorHAnsi" w:cstheme="minorHAnsi"/>
          <w:sz w:val="24"/>
          <w:szCs w:val="24"/>
        </w:rPr>
        <w:t xml:space="preserve"> a pod.</w:t>
      </w:r>
      <w:r w:rsidR="00994E15">
        <w:rPr>
          <w:rFonts w:asciiTheme="minorHAnsi" w:hAnsiTheme="minorHAnsi" w:cstheme="minorHAnsi"/>
          <w:sz w:val="24"/>
          <w:szCs w:val="24"/>
        </w:rPr>
        <w:t xml:space="preserve">. </w:t>
      </w:r>
    </w:p>
    <w:p w14:paraId="29D275E5" w14:textId="315A6D62" w:rsidR="00FE166D" w:rsidRDefault="00BE704E" w:rsidP="007269CE">
      <w:pPr>
        <w:spacing w:before="240" w:after="120" w:line="240" w:lineRule="auto"/>
        <w:jc w:val="both"/>
        <w:rPr>
          <w:rFonts w:asciiTheme="minorHAnsi" w:hAnsiTheme="minorHAnsi" w:cstheme="minorHAnsi"/>
          <w:sz w:val="24"/>
          <w:szCs w:val="24"/>
        </w:rPr>
      </w:pPr>
      <w:r w:rsidRPr="00E3132D">
        <w:rPr>
          <w:rFonts w:asciiTheme="minorHAnsi" w:hAnsiTheme="minorHAnsi" w:cstheme="minorHAnsi"/>
          <w:sz w:val="24"/>
          <w:szCs w:val="24"/>
        </w:rPr>
        <w:t xml:space="preserve">V rámci položky </w:t>
      </w:r>
      <w:r w:rsidRPr="00732BC5">
        <w:rPr>
          <w:rFonts w:asciiTheme="minorHAnsi" w:hAnsiTheme="minorHAnsi" w:cstheme="minorHAnsi"/>
          <w:sz w:val="24"/>
          <w:szCs w:val="24"/>
          <w:u w:val="single"/>
          <w:lang w:eastAsia="sk-SK"/>
        </w:rPr>
        <w:t xml:space="preserve">637 - </w:t>
      </w:r>
      <w:r w:rsidRPr="00732BC5">
        <w:rPr>
          <w:rFonts w:asciiTheme="minorHAnsi" w:hAnsiTheme="minorHAnsi" w:cstheme="minorHAnsi"/>
          <w:sz w:val="24"/>
          <w:szCs w:val="24"/>
          <w:u w:val="single"/>
        </w:rPr>
        <w:t xml:space="preserve">práce a služby realizované </w:t>
      </w:r>
      <w:proofErr w:type="spellStart"/>
      <w:r w:rsidRPr="00732BC5">
        <w:rPr>
          <w:rFonts w:asciiTheme="minorHAnsi" w:hAnsiTheme="minorHAnsi" w:cstheme="minorHAnsi"/>
          <w:sz w:val="24"/>
          <w:szCs w:val="24"/>
          <w:u w:val="single"/>
        </w:rPr>
        <w:t>dodaváteľským</w:t>
      </w:r>
      <w:proofErr w:type="spellEnd"/>
      <w:r w:rsidRPr="00732BC5">
        <w:rPr>
          <w:rFonts w:asciiTheme="minorHAnsi" w:hAnsiTheme="minorHAnsi" w:cstheme="minorHAnsi"/>
          <w:sz w:val="24"/>
          <w:szCs w:val="24"/>
          <w:u w:val="single"/>
        </w:rPr>
        <w:t xml:space="preserve"> spôsobom</w:t>
      </w:r>
      <w:r>
        <w:rPr>
          <w:rFonts w:asciiTheme="minorHAnsi" w:hAnsiTheme="minorHAnsi" w:cstheme="minorHAnsi"/>
          <w:sz w:val="24"/>
          <w:szCs w:val="24"/>
        </w:rPr>
        <w:t xml:space="preserve"> </w:t>
      </w:r>
      <w:r w:rsidRPr="00E3132D">
        <w:rPr>
          <w:rFonts w:asciiTheme="minorHAnsi" w:hAnsiTheme="minorHAnsi" w:cstheme="minorHAnsi"/>
          <w:sz w:val="24"/>
          <w:szCs w:val="24"/>
        </w:rPr>
        <w:t>boli</w:t>
      </w:r>
      <w:r>
        <w:rPr>
          <w:rFonts w:asciiTheme="minorHAnsi" w:hAnsiTheme="minorHAnsi" w:cstheme="minorHAnsi"/>
          <w:sz w:val="24"/>
          <w:szCs w:val="24"/>
        </w:rPr>
        <w:t xml:space="preserve"> platené úhrady </w:t>
      </w:r>
      <w:r w:rsidR="002F35CC" w:rsidRPr="00335E16">
        <w:rPr>
          <w:rFonts w:asciiTheme="minorHAnsi" w:hAnsiTheme="minorHAnsi" w:cstheme="minorHAnsi"/>
          <w:sz w:val="24"/>
          <w:szCs w:val="24"/>
          <w:u w:val="single"/>
        </w:rPr>
        <w:t xml:space="preserve">za služby dodané </w:t>
      </w:r>
      <w:proofErr w:type="spellStart"/>
      <w:r w:rsidR="002F35CC" w:rsidRPr="00335E16">
        <w:rPr>
          <w:rFonts w:asciiTheme="minorHAnsi" w:hAnsiTheme="minorHAnsi" w:cstheme="minorHAnsi"/>
          <w:sz w:val="24"/>
          <w:szCs w:val="24"/>
          <w:u w:val="single"/>
        </w:rPr>
        <w:t>dodavateľkým</w:t>
      </w:r>
      <w:proofErr w:type="spellEnd"/>
      <w:r w:rsidR="002F35CC" w:rsidRPr="00335E16">
        <w:rPr>
          <w:rFonts w:asciiTheme="minorHAnsi" w:hAnsiTheme="minorHAnsi" w:cstheme="minorHAnsi"/>
          <w:sz w:val="24"/>
          <w:szCs w:val="24"/>
          <w:u w:val="single"/>
        </w:rPr>
        <w:t xml:space="preserve"> spôsobom všeobecného charakteru</w:t>
      </w:r>
      <w:r w:rsidR="002F35CC">
        <w:rPr>
          <w:rFonts w:asciiTheme="minorHAnsi" w:hAnsiTheme="minorHAnsi" w:cstheme="minorHAnsi"/>
          <w:sz w:val="24"/>
          <w:szCs w:val="24"/>
        </w:rPr>
        <w:t xml:space="preserve"> </w:t>
      </w:r>
      <w:r w:rsidR="00C8145D">
        <w:rPr>
          <w:rFonts w:asciiTheme="minorHAnsi" w:hAnsiTheme="minorHAnsi" w:cstheme="minorHAnsi"/>
          <w:sz w:val="24"/>
          <w:szCs w:val="24"/>
        </w:rPr>
        <w:t>v celkove</w:t>
      </w:r>
      <w:r w:rsidR="005117D7">
        <w:rPr>
          <w:rFonts w:asciiTheme="minorHAnsi" w:hAnsiTheme="minorHAnsi" w:cstheme="minorHAnsi"/>
          <w:sz w:val="24"/>
          <w:szCs w:val="24"/>
        </w:rPr>
        <w:t>j</w:t>
      </w:r>
      <w:r w:rsidR="00C8145D">
        <w:rPr>
          <w:rFonts w:asciiTheme="minorHAnsi" w:hAnsiTheme="minorHAnsi" w:cstheme="minorHAnsi"/>
          <w:sz w:val="24"/>
          <w:szCs w:val="24"/>
        </w:rPr>
        <w:t xml:space="preserve"> vý</w:t>
      </w:r>
      <w:r w:rsidR="00732BC5">
        <w:rPr>
          <w:rFonts w:asciiTheme="minorHAnsi" w:hAnsiTheme="minorHAnsi" w:cstheme="minorHAnsi"/>
          <w:sz w:val="24"/>
          <w:szCs w:val="24"/>
        </w:rPr>
        <w:t>š</w:t>
      </w:r>
      <w:r w:rsidR="00C8145D">
        <w:rPr>
          <w:rFonts w:asciiTheme="minorHAnsi" w:hAnsiTheme="minorHAnsi" w:cstheme="minorHAnsi"/>
          <w:sz w:val="24"/>
          <w:szCs w:val="24"/>
        </w:rPr>
        <w:t>ke 1,</w:t>
      </w:r>
      <w:r w:rsidR="00A66A79">
        <w:rPr>
          <w:rFonts w:asciiTheme="minorHAnsi" w:hAnsiTheme="minorHAnsi" w:cstheme="minorHAnsi"/>
          <w:sz w:val="24"/>
          <w:szCs w:val="24"/>
        </w:rPr>
        <w:t>74</w:t>
      </w:r>
      <w:r w:rsidR="00C8145D">
        <w:rPr>
          <w:rFonts w:asciiTheme="minorHAnsi" w:hAnsiTheme="minorHAnsi" w:cstheme="minorHAnsi"/>
          <w:sz w:val="24"/>
          <w:szCs w:val="24"/>
        </w:rPr>
        <w:t xml:space="preserve"> </w:t>
      </w:r>
      <w:proofErr w:type="spellStart"/>
      <w:r w:rsidR="00C8145D">
        <w:rPr>
          <w:rFonts w:asciiTheme="minorHAnsi" w:hAnsiTheme="minorHAnsi" w:cstheme="minorHAnsi"/>
          <w:sz w:val="24"/>
          <w:szCs w:val="24"/>
        </w:rPr>
        <w:t>mil</w:t>
      </w:r>
      <w:proofErr w:type="spellEnd"/>
      <w:r w:rsidR="00C8145D">
        <w:rPr>
          <w:rFonts w:asciiTheme="minorHAnsi" w:hAnsiTheme="minorHAnsi" w:cstheme="minorHAnsi"/>
          <w:sz w:val="24"/>
          <w:szCs w:val="24"/>
        </w:rPr>
        <w:t xml:space="preserve"> EUR </w:t>
      </w:r>
      <w:r w:rsidR="002F35CC">
        <w:rPr>
          <w:rFonts w:asciiTheme="minorHAnsi" w:hAnsiTheme="minorHAnsi" w:cstheme="minorHAnsi"/>
          <w:sz w:val="24"/>
          <w:szCs w:val="24"/>
        </w:rPr>
        <w:t xml:space="preserve">(napr. </w:t>
      </w:r>
      <w:proofErr w:type="spellStart"/>
      <w:r w:rsidR="002F35CC">
        <w:rPr>
          <w:rFonts w:asciiTheme="minorHAnsi" w:hAnsiTheme="minorHAnsi" w:cstheme="minorHAnsi"/>
          <w:sz w:val="24"/>
          <w:szCs w:val="24"/>
        </w:rPr>
        <w:t>upratovancie</w:t>
      </w:r>
      <w:proofErr w:type="spellEnd"/>
      <w:r w:rsidR="002F35CC">
        <w:rPr>
          <w:rFonts w:asciiTheme="minorHAnsi" w:hAnsiTheme="minorHAnsi" w:cstheme="minorHAnsi"/>
          <w:sz w:val="24"/>
          <w:szCs w:val="24"/>
        </w:rPr>
        <w:t xml:space="preserve"> a čistiace práce, odvoz a likvidácia odpadu, deratizácia objektov BSK, servis výťahov, revízia elektrických spotrebičov, tlačiarenské služby, distribučné služby, monitoring </w:t>
      </w:r>
      <w:proofErr w:type="spellStart"/>
      <w:r w:rsidR="002F35CC">
        <w:rPr>
          <w:rFonts w:asciiTheme="minorHAnsi" w:hAnsiTheme="minorHAnsi" w:cstheme="minorHAnsi"/>
          <w:sz w:val="24"/>
          <w:szCs w:val="24"/>
        </w:rPr>
        <w:t>médii</w:t>
      </w:r>
      <w:proofErr w:type="spellEnd"/>
      <w:r w:rsidR="002F35CC">
        <w:rPr>
          <w:rFonts w:asciiTheme="minorHAnsi" w:hAnsiTheme="minorHAnsi" w:cstheme="minorHAnsi"/>
          <w:sz w:val="24"/>
          <w:szCs w:val="24"/>
        </w:rPr>
        <w:t>, úprava a výzdoba verejného priestranstva</w:t>
      </w:r>
      <w:r w:rsidR="00C8145D">
        <w:rPr>
          <w:rFonts w:asciiTheme="minorHAnsi" w:hAnsiTheme="minorHAnsi" w:cstheme="minorHAnsi"/>
          <w:sz w:val="24"/>
          <w:szCs w:val="24"/>
        </w:rPr>
        <w:t>, prekladateľské služby</w:t>
      </w:r>
      <w:r w:rsidR="00E13EC0">
        <w:rPr>
          <w:rFonts w:asciiTheme="minorHAnsi" w:hAnsiTheme="minorHAnsi" w:cstheme="minorHAnsi"/>
          <w:sz w:val="24"/>
          <w:szCs w:val="24"/>
        </w:rPr>
        <w:t>,</w:t>
      </w:r>
      <w:r w:rsidR="002F35CC">
        <w:rPr>
          <w:rFonts w:asciiTheme="minorHAnsi" w:hAnsiTheme="minorHAnsi" w:cstheme="minorHAnsi"/>
          <w:sz w:val="24"/>
          <w:szCs w:val="24"/>
        </w:rPr>
        <w:t xml:space="preserve"> </w:t>
      </w:r>
      <w:r w:rsidR="00E13EC0" w:rsidRPr="00E13EC0">
        <w:rPr>
          <w:rFonts w:asciiTheme="minorHAnsi" w:hAnsiTheme="minorHAnsi" w:cstheme="minorHAnsi"/>
          <w:sz w:val="24"/>
          <w:szCs w:val="24"/>
        </w:rPr>
        <w:t xml:space="preserve">služby spočívajúce v prevádzkovaní, údržbe areálu Bike parku a </w:t>
      </w:r>
      <w:proofErr w:type="spellStart"/>
      <w:r w:rsidR="00E13EC0" w:rsidRPr="00E13EC0">
        <w:rPr>
          <w:rFonts w:asciiTheme="minorHAnsi" w:hAnsiTheme="minorHAnsi" w:cstheme="minorHAnsi"/>
          <w:sz w:val="24"/>
          <w:szCs w:val="24"/>
        </w:rPr>
        <w:lastRenderedPageBreak/>
        <w:t>pumptrackovej</w:t>
      </w:r>
      <w:proofErr w:type="spellEnd"/>
      <w:r w:rsidR="00E13EC0" w:rsidRPr="00E13EC0">
        <w:rPr>
          <w:rFonts w:asciiTheme="minorHAnsi" w:hAnsiTheme="minorHAnsi" w:cstheme="minorHAnsi"/>
          <w:sz w:val="24"/>
          <w:szCs w:val="24"/>
        </w:rPr>
        <w:t xml:space="preserve"> dráhy v lokalite Modra – Piesok,</w:t>
      </w:r>
      <w:r w:rsidR="00E13EC0">
        <w:rPr>
          <w:rFonts w:asciiTheme="minorHAnsi" w:hAnsiTheme="minorHAnsi" w:cstheme="minorHAnsi"/>
          <w:sz w:val="24"/>
          <w:szCs w:val="24"/>
        </w:rPr>
        <w:t xml:space="preserve"> za služby spojené s c</w:t>
      </w:r>
      <w:r w:rsidR="00E13EC0" w:rsidRPr="00E13EC0">
        <w:rPr>
          <w:rFonts w:asciiTheme="minorHAnsi" w:hAnsiTheme="minorHAnsi" w:cstheme="minorHAnsi"/>
          <w:sz w:val="24"/>
          <w:szCs w:val="24"/>
        </w:rPr>
        <w:t>ykloturistick</w:t>
      </w:r>
      <w:r w:rsidR="00E13EC0">
        <w:rPr>
          <w:rFonts w:asciiTheme="minorHAnsi" w:hAnsiTheme="minorHAnsi" w:cstheme="minorHAnsi"/>
          <w:sz w:val="24"/>
          <w:szCs w:val="24"/>
        </w:rPr>
        <w:t>ým</w:t>
      </w:r>
      <w:r w:rsidR="00E13EC0" w:rsidRPr="00E13EC0">
        <w:rPr>
          <w:rFonts w:asciiTheme="minorHAnsi" w:hAnsiTheme="minorHAnsi" w:cstheme="minorHAnsi"/>
          <w:sz w:val="24"/>
          <w:szCs w:val="24"/>
        </w:rPr>
        <w:t xml:space="preserve"> značen</w:t>
      </w:r>
      <w:r w:rsidR="00E13EC0">
        <w:rPr>
          <w:rFonts w:asciiTheme="minorHAnsi" w:hAnsiTheme="minorHAnsi" w:cstheme="minorHAnsi"/>
          <w:sz w:val="24"/>
          <w:szCs w:val="24"/>
        </w:rPr>
        <w:t>ím</w:t>
      </w:r>
      <w:r w:rsidR="00E13EC0" w:rsidRPr="00E13EC0">
        <w:rPr>
          <w:rFonts w:asciiTheme="minorHAnsi" w:hAnsiTheme="minorHAnsi" w:cstheme="minorHAnsi"/>
          <w:sz w:val="24"/>
          <w:szCs w:val="24"/>
        </w:rPr>
        <w:t xml:space="preserve"> a orientačn</w:t>
      </w:r>
      <w:r w:rsidR="00E13EC0">
        <w:rPr>
          <w:rFonts w:asciiTheme="minorHAnsi" w:hAnsiTheme="minorHAnsi" w:cstheme="minorHAnsi"/>
          <w:sz w:val="24"/>
          <w:szCs w:val="24"/>
        </w:rPr>
        <w:t>ými</w:t>
      </w:r>
      <w:r w:rsidR="00E13EC0" w:rsidRPr="00E13EC0">
        <w:rPr>
          <w:rFonts w:asciiTheme="minorHAnsi" w:hAnsiTheme="minorHAnsi" w:cstheme="minorHAnsi"/>
          <w:sz w:val="24"/>
          <w:szCs w:val="24"/>
        </w:rPr>
        <w:t xml:space="preserve"> map</w:t>
      </w:r>
      <w:r w:rsidR="00E13EC0">
        <w:rPr>
          <w:rFonts w:asciiTheme="minorHAnsi" w:hAnsiTheme="minorHAnsi" w:cstheme="minorHAnsi"/>
          <w:sz w:val="24"/>
          <w:szCs w:val="24"/>
        </w:rPr>
        <w:t>ami</w:t>
      </w:r>
      <w:r w:rsidR="00E13EC0" w:rsidRPr="00E13EC0">
        <w:rPr>
          <w:rFonts w:asciiTheme="minorHAnsi" w:hAnsiTheme="minorHAnsi" w:cstheme="minorHAnsi"/>
          <w:sz w:val="24"/>
          <w:szCs w:val="24"/>
        </w:rPr>
        <w:t xml:space="preserve"> </w:t>
      </w:r>
      <w:r w:rsidR="002F35CC">
        <w:rPr>
          <w:rFonts w:asciiTheme="minorHAnsi" w:hAnsiTheme="minorHAnsi" w:cstheme="minorHAnsi"/>
          <w:sz w:val="24"/>
          <w:szCs w:val="24"/>
        </w:rPr>
        <w:t xml:space="preserve">a iné). </w:t>
      </w:r>
      <w:r w:rsidR="00C8145D">
        <w:rPr>
          <w:rFonts w:asciiTheme="minorHAnsi" w:hAnsiTheme="minorHAnsi" w:cstheme="minorHAnsi"/>
          <w:sz w:val="24"/>
          <w:szCs w:val="24"/>
        </w:rPr>
        <w:t xml:space="preserve">Samotný úrad vynaložil na tieto služby cca </w:t>
      </w:r>
      <w:r w:rsidR="00335E16">
        <w:rPr>
          <w:rFonts w:asciiTheme="minorHAnsi" w:hAnsiTheme="minorHAnsi" w:cstheme="minorHAnsi"/>
          <w:sz w:val="24"/>
          <w:szCs w:val="24"/>
        </w:rPr>
        <w:t>359</w:t>
      </w:r>
      <w:r w:rsidR="00C8145D">
        <w:rPr>
          <w:rFonts w:asciiTheme="minorHAnsi" w:hAnsiTheme="minorHAnsi" w:cstheme="minorHAnsi"/>
          <w:sz w:val="24"/>
          <w:szCs w:val="24"/>
        </w:rPr>
        <w:t xml:space="preserve"> tis EUR a organizácie v ZP BSK cca 1,</w:t>
      </w:r>
      <w:r w:rsidR="00335E16">
        <w:rPr>
          <w:rFonts w:asciiTheme="minorHAnsi" w:hAnsiTheme="minorHAnsi" w:cstheme="minorHAnsi"/>
          <w:sz w:val="24"/>
          <w:szCs w:val="24"/>
        </w:rPr>
        <w:t>38</w:t>
      </w:r>
      <w:r w:rsidR="00C8145D">
        <w:rPr>
          <w:rFonts w:asciiTheme="minorHAnsi" w:hAnsiTheme="minorHAnsi" w:cstheme="minorHAnsi"/>
          <w:sz w:val="24"/>
          <w:szCs w:val="24"/>
        </w:rPr>
        <w:t xml:space="preserve"> mil. EUR.</w:t>
      </w:r>
      <w:r w:rsidR="00C8145D" w:rsidRPr="00C8145D">
        <w:rPr>
          <w:rFonts w:asciiTheme="minorHAnsi" w:hAnsiTheme="minorHAnsi" w:cstheme="minorHAnsi"/>
          <w:sz w:val="24"/>
          <w:szCs w:val="24"/>
        </w:rPr>
        <w:t xml:space="preserve"> </w:t>
      </w:r>
      <w:r w:rsidR="00C8145D">
        <w:rPr>
          <w:rFonts w:asciiTheme="minorHAnsi" w:hAnsiTheme="minorHAnsi" w:cstheme="minorHAnsi"/>
          <w:sz w:val="24"/>
          <w:szCs w:val="24"/>
        </w:rPr>
        <w:t>Druhou položkou v rámci tejto kategórie, ktorá vykazovala sumu cca 1,</w:t>
      </w:r>
      <w:r w:rsidR="00335E16">
        <w:rPr>
          <w:rFonts w:asciiTheme="minorHAnsi" w:hAnsiTheme="minorHAnsi" w:cstheme="minorHAnsi"/>
          <w:sz w:val="24"/>
          <w:szCs w:val="24"/>
        </w:rPr>
        <w:t>74</w:t>
      </w:r>
      <w:r w:rsidR="00C8145D">
        <w:rPr>
          <w:rFonts w:asciiTheme="minorHAnsi" w:hAnsiTheme="minorHAnsi" w:cstheme="minorHAnsi"/>
          <w:sz w:val="24"/>
          <w:szCs w:val="24"/>
        </w:rPr>
        <w:t xml:space="preserve"> mil. EUR, boli </w:t>
      </w:r>
      <w:r w:rsidR="00C8145D" w:rsidRPr="00335E16">
        <w:rPr>
          <w:rFonts w:asciiTheme="minorHAnsi" w:hAnsiTheme="minorHAnsi" w:cstheme="minorHAnsi"/>
          <w:sz w:val="24"/>
          <w:szCs w:val="24"/>
          <w:u w:val="single"/>
        </w:rPr>
        <w:t>špeciálne služby</w:t>
      </w:r>
      <w:r w:rsidR="00C8145D" w:rsidRPr="00E3132D">
        <w:rPr>
          <w:rFonts w:asciiTheme="minorHAnsi" w:hAnsiTheme="minorHAnsi" w:cstheme="minorHAnsi"/>
          <w:sz w:val="24"/>
          <w:szCs w:val="24"/>
        </w:rPr>
        <w:t xml:space="preserve"> (</w:t>
      </w:r>
      <w:r w:rsidR="00C8145D">
        <w:rPr>
          <w:rFonts w:asciiTheme="minorHAnsi" w:hAnsiTheme="minorHAnsi" w:cstheme="minorHAnsi"/>
          <w:sz w:val="24"/>
          <w:szCs w:val="24"/>
        </w:rPr>
        <w:t xml:space="preserve">najmä za služby a systémovú podporu SPIN v zmysle </w:t>
      </w:r>
      <w:r w:rsidR="00C8145D" w:rsidRPr="002E1C78">
        <w:rPr>
          <w:rFonts w:asciiTheme="minorHAnsi" w:hAnsiTheme="minorHAnsi" w:cstheme="minorHAnsi"/>
          <w:sz w:val="24"/>
          <w:szCs w:val="24"/>
        </w:rPr>
        <w:t>Zmluv</w:t>
      </w:r>
      <w:r w:rsidR="00C8145D">
        <w:rPr>
          <w:rFonts w:asciiTheme="minorHAnsi" w:hAnsiTheme="minorHAnsi" w:cstheme="minorHAnsi"/>
          <w:sz w:val="24"/>
          <w:szCs w:val="24"/>
        </w:rPr>
        <w:t>y</w:t>
      </w:r>
      <w:r w:rsidR="00C8145D" w:rsidRPr="002E1C78">
        <w:rPr>
          <w:rFonts w:asciiTheme="minorHAnsi" w:hAnsiTheme="minorHAnsi" w:cstheme="minorHAnsi"/>
          <w:sz w:val="24"/>
          <w:szCs w:val="24"/>
        </w:rPr>
        <w:t xml:space="preserve"> o poskytovaní služieb podpory, zmien a rozvoja aplikačného programového </w:t>
      </w:r>
      <w:r w:rsidR="00C8145D">
        <w:rPr>
          <w:rFonts w:asciiTheme="minorHAnsi" w:hAnsiTheme="minorHAnsi" w:cstheme="minorHAnsi"/>
          <w:sz w:val="24"/>
          <w:szCs w:val="24"/>
        </w:rPr>
        <w:t xml:space="preserve">vybavenia </w:t>
      </w:r>
      <w:r w:rsidR="00C8145D" w:rsidRPr="002E1C78">
        <w:rPr>
          <w:rFonts w:asciiTheme="minorHAnsi" w:hAnsiTheme="minorHAnsi" w:cstheme="minorHAnsi"/>
          <w:sz w:val="24"/>
          <w:szCs w:val="24"/>
        </w:rPr>
        <w:t>SPIN</w:t>
      </w:r>
      <w:r w:rsidR="00C8145D">
        <w:rPr>
          <w:rFonts w:asciiTheme="minorHAnsi" w:hAnsiTheme="minorHAnsi" w:cstheme="minorHAnsi"/>
          <w:sz w:val="24"/>
          <w:szCs w:val="24"/>
        </w:rPr>
        <w:t xml:space="preserve"> cca vo výške </w:t>
      </w:r>
      <w:r w:rsidR="00335E16">
        <w:rPr>
          <w:rFonts w:asciiTheme="minorHAnsi" w:hAnsiTheme="minorHAnsi" w:cstheme="minorHAnsi"/>
          <w:sz w:val="24"/>
          <w:szCs w:val="24"/>
        </w:rPr>
        <w:t>611</w:t>
      </w:r>
      <w:r w:rsidR="00C8145D">
        <w:rPr>
          <w:rFonts w:asciiTheme="minorHAnsi" w:hAnsiTheme="minorHAnsi" w:cstheme="minorHAnsi"/>
          <w:sz w:val="24"/>
          <w:szCs w:val="24"/>
        </w:rPr>
        <w:t xml:space="preserve"> tis EUR, za monitorovanie objektov BSK, služby v oblasti PO, BOZP</w:t>
      </w:r>
      <w:r w:rsidR="00480C24">
        <w:rPr>
          <w:rFonts w:asciiTheme="minorHAnsi" w:hAnsiTheme="minorHAnsi" w:cstheme="minorHAnsi"/>
          <w:sz w:val="24"/>
          <w:szCs w:val="24"/>
        </w:rPr>
        <w:t xml:space="preserve">, </w:t>
      </w:r>
      <w:r w:rsidR="00335E16">
        <w:rPr>
          <w:rFonts w:asciiTheme="minorHAnsi" w:hAnsiTheme="minorHAnsi" w:cstheme="minorHAnsi"/>
          <w:sz w:val="24"/>
          <w:szCs w:val="24"/>
        </w:rPr>
        <w:t xml:space="preserve">strážna služba, </w:t>
      </w:r>
      <w:r w:rsidR="00480C24">
        <w:rPr>
          <w:rFonts w:asciiTheme="minorHAnsi" w:hAnsiTheme="minorHAnsi" w:cstheme="minorHAnsi"/>
          <w:sz w:val="24"/>
          <w:szCs w:val="24"/>
        </w:rPr>
        <w:t xml:space="preserve">stavebný dozor </w:t>
      </w:r>
      <w:r w:rsidR="00C8145D">
        <w:rPr>
          <w:rFonts w:asciiTheme="minorHAnsi" w:hAnsiTheme="minorHAnsi" w:cstheme="minorHAnsi"/>
          <w:sz w:val="24"/>
          <w:szCs w:val="24"/>
        </w:rPr>
        <w:t xml:space="preserve">vo výške cca </w:t>
      </w:r>
      <w:r w:rsidR="00335E16">
        <w:rPr>
          <w:rFonts w:asciiTheme="minorHAnsi" w:hAnsiTheme="minorHAnsi" w:cstheme="minorHAnsi"/>
          <w:sz w:val="24"/>
          <w:szCs w:val="24"/>
        </w:rPr>
        <w:t>569</w:t>
      </w:r>
      <w:r w:rsidR="00480C24">
        <w:rPr>
          <w:rFonts w:asciiTheme="minorHAnsi" w:hAnsiTheme="minorHAnsi" w:cstheme="minorHAnsi"/>
          <w:sz w:val="24"/>
          <w:szCs w:val="24"/>
        </w:rPr>
        <w:t xml:space="preserve"> </w:t>
      </w:r>
      <w:r w:rsidR="00C8145D">
        <w:rPr>
          <w:rFonts w:asciiTheme="minorHAnsi" w:hAnsiTheme="minorHAnsi" w:cstheme="minorHAnsi"/>
          <w:sz w:val="24"/>
          <w:szCs w:val="24"/>
        </w:rPr>
        <w:t>tis</w:t>
      </w:r>
      <w:r w:rsidR="00480C24">
        <w:rPr>
          <w:rFonts w:asciiTheme="minorHAnsi" w:hAnsiTheme="minorHAnsi" w:cstheme="minorHAnsi"/>
          <w:sz w:val="24"/>
          <w:szCs w:val="24"/>
        </w:rPr>
        <w:t>.</w:t>
      </w:r>
      <w:r w:rsidR="00C8145D">
        <w:rPr>
          <w:rFonts w:asciiTheme="minorHAnsi" w:hAnsiTheme="minorHAnsi" w:cstheme="minorHAnsi"/>
          <w:sz w:val="24"/>
          <w:szCs w:val="24"/>
        </w:rPr>
        <w:t xml:space="preserve"> EUR, </w:t>
      </w:r>
      <w:r w:rsidR="00083CA3">
        <w:rPr>
          <w:rFonts w:asciiTheme="minorHAnsi" w:hAnsiTheme="minorHAnsi" w:cstheme="minorHAnsi"/>
          <w:sz w:val="24"/>
          <w:szCs w:val="24"/>
        </w:rPr>
        <w:t xml:space="preserve">za úhradu </w:t>
      </w:r>
      <w:r w:rsidR="003F000D">
        <w:rPr>
          <w:rFonts w:asciiTheme="minorHAnsi" w:hAnsiTheme="minorHAnsi" w:cstheme="minorHAnsi"/>
          <w:sz w:val="24"/>
          <w:szCs w:val="24"/>
        </w:rPr>
        <w:t xml:space="preserve">zmluvnej pokuty  (INTERACT) 216 tis. EUR,  </w:t>
      </w:r>
      <w:r w:rsidR="00C8145D">
        <w:rPr>
          <w:rFonts w:asciiTheme="minorHAnsi" w:hAnsiTheme="minorHAnsi" w:cstheme="minorHAnsi"/>
          <w:sz w:val="24"/>
          <w:szCs w:val="24"/>
        </w:rPr>
        <w:t xml:space="preserve">za poskytnutie právnych služieb externými spoločnosťami vo výške cca </w:t>
      </w:r>
      <w:r w:rsidR="00083CA3">
        <w:rPr>
          <w:rFonts w:asciiTheme="minorHAnsi" w:hAnsiTheme="minorHAnsi" w:cstheme="minorHAnsi"/>
          <w:sz w:val="24"/>
          <w:szCs w:val="24"/>
        </w:rPr>
        <w:t>68</w:t>
      </w:r>
      <w:r w:rsidR="00C8145D">
        <w:rPr>
          <w:rFonts w:asciiTheme="minorHAnsi" w:hAnsiTheme="minorHAnsi" w:cstheme="minorHAnsi"/>
          <w:sz w:val="24"/>
          <w:szCs w:val="24"/>
        </w:rPr>
        <w:t xml:space="preserve"> tis</w:t>
      </w:r>
      <w:r w:rsidR="00480C24">
        <w:rPr>
          <w:rFonts w:asciiTheme="minorHAnsi" w:hAnsiTheme="minorHAnsi" w:cstheme="minorHAnsi"/>
          <w:sz w:val="24"/>
          <w:szCs w:val="24"/>
        </w:rPr>
        <w:t>.</w:t>
      </w:r>
      <w:r w:rsidR="00C8145D">
        <w:rPr>
          <w:rFonts w:asciiTheme="minorHAnsi" w:hAnsiTheme="minorHAnsi" w:cstheme="minorHAnsi"/>
          <w:sz w:val="24"/>
          <w:szCs w:val="24"/>
        </w:rPr>
        <w:t xml:space="preserve"> EUR a iné.)</w:t>
      </w:r>
      <w:r w:rsidR="002D13A3">
        <w:rPr>
          <w:rFonts w:asciiTheme="minorHAnsi" w:hAnsiTheme="minorHAnsi" w:cstheme="minorHAnsi"/>
          <w:sz w:val="24"/>
          <w:szCs w:val="24"/>
        </w:rPr>
        <w:t xml:space="preserve"> Ďalšími položkami, ktoré vykazovali vyššie hodnoty v rozpočte bol</w:t>
      </w:r>
      <w:r w:rsidR="00695599">
        <w:rPr>
          <w:rFonts w:asciiTheme="minorHAnsi" w:hAnsiTheme="minorHAnsi" w:cstheme="minorHAnsi"/>
          <w:sz w:val="24"/>
          <w:szCs w:val="24"/>
        </w:rPr>
        <w:t>a úhrada</w:t>
      </w:r>
      <w:r w:rsidR="00695599" w:rsidRPr="00695599">
        <w:rPr>
          <w:rFonts w:asciiTheme="minorHAnsi" w:hAnsiTheme="minorHAnsi" w:cstheme="minorHAnsi"/>
          <w:sz w:val="24"/>
          <w:szCs w:val="24"/>
        </w:rPr>
        <w:t xml:space="preserve"> </w:t>
      </w:r>
      <w:r w:rsidR="00695599" w:rsidRPr="00A10156">
        <w:rPr>
          <w:rFonts w:asciiTheme="minorHAnsi" w:hAnsiTheme="minorHAnsi" w:cstheme="minorHAnsi"/>
          <w:sz w:val="24"/>
          <w:szCs w:val="24"/>
        </w:rPr>
        <w:t>Nemocničn</w:t>
      </w:r>
      <w:r w:rsidR="00695599">
        <w:rPr>
          <w:rFonts w:asciiTheme="minorHAnsi" w:hAnsiTheme="minorHAnsi" w:cstheme="minorHAnsi"/>
          <w:sz w:val="24"/>
          <w:szCs w:val="24"/>
        </w:rPr>
        <w:t>ej</w:t>
      </w:r>
      <w:r w:rsidR="00695599" w:rsidRPr="00A10156">
        <w:rPr>
          <w:rFonts w:asciiTheme="minorHAnsi" w:hAnsiTheme="minorHAnsi" w:cstheme="minorHAnsi"/>
          <w:sz w:val="24"/>
          <w:szCs w:val="24"/>
        </w:rPr>
        <w:t xml:space="preserve"> </w:t>
      </w:r>
      <w:proofErr w:type="spellStart"/>
      <w:r w:rsidR="00695599" w:rsidRPr="00A10156">
        <w:rPr>
          <w:rFonts w:asciiTheme="minorHAnsi" w:hAnsiTheme="minorHAnsi" w:cstheme="minorHAnsi"/>
          <w:sz w:val="24"/>
          <w:szCs w:val="24"/>
        </w:rPr>
        <w:t>a.s</w:t>
      </w:r>
      <w:proofErr w:type="spellEnd"/>
      <w:r w:rsidR="00695599" w:rsidRPr="00A10156">
        <w:rPr>
          <w:rFonts w:asciiTheme="minorHAnsi" w:hAnsiTheme="minorHAnsi" w:cstheme="minorHAnsi"/>
          <w:sz w:val="24"/>
          <w:szCs w:val="24"/>
        </w:rPr>
        <w:t xml:space="preserve">. </w:t>
      </w:r>
      <w:r w:rsidR="00695599">
        <w:rPr>
          <w:rFonts w:asciiTheme="minorHAnsi" w:hAnsiTheme="minorHAnsi" w:cstheme="minorHAnsi"/>
          <w:sz w:val="24"/>
          <w:szCs w:val="24"/>
        </w:rPr>
        <w:t xml:space="preserve">na základe </w:t>
      </w:r>
      <w:r w:rsidR="00695599" w:rsidRPr="00A10156">
        <w:rPr>
          <w:rFonts w:asciiTheme="minorHAnsi" w:hAnsiTheme="minorHAnsi" w:cstheme="minorHAnsi"/>
          <w:sz w:val="24"/>
          <w:szCs w:val="24"/>
        </w:rPr>
        <w:t>Zmluv</w:t>
      </w:r>
      <w:r w:rsidR="00695599">
        <w:rPr>
          <w:rFonts w:asciiTheme="minorHAnsi" w:hAnsiTheme="minorHAnsi" w:cstheme="minorHAnsi"/>
          <w:sz w:val="24"/>
          <w:szCs w:val="24"/>
        </w:rPr>
        <w:t>y</w:t>
      </w:r>
      <w:r w:rsidR="00695599" w:rsidRPr="00A10156">
        <w:rPr>
          <w:rFonts w:asciiTheme="minorHAnsi" w:hAnsiTheme="minorHAnsi" w:cstheme="minorHAnsi"/>
          <w:sz w:val="24"/>
          <w:szCs w:val="24"/>
        </w:rPr>
        <w:t xml:space="preserve"> o poskytovaní služieb súvisiacich s ÚPS pre </w:t>
      </w:r>
      <w:proofErr w:type="spellStart"/>
      <w:r w:rsidR="00695599" w:rsidRPr="00A10156">
        <w:rPr>
          <w:rFonts w:asciiTheme="minorHAnsi" w:hAnsiTheme="minorHAnsi" w:cstheme="minorHAnsi"/>
          <w:sz w:val="24"/>
          <w:szCs w:val="24"/>
        </w:rPr>
        <w:t>region</w:t>
      </w:r>
      <w:proofErr w:type="spellEnd"/>
      <w:r w:rsidR="00695599" w:rsidRPr="00A10156">
        <w:rPr>
          <w:rFonts w:asciiTheme="minorHAnsi" w:hAnsiTheme="minorHAnsi" w:cstheme="minorHAnsi"/>
          <w:sz w:val="24"/>
          <w:szCs w:val="24"/>
        </w:rPr>
        <w:t xml:space="preserve"> Malacky a okolie </w:t>
      </w:r>
      <w:r w:rsidR="00695599">
        <w:rPr>
          <w:rFonts w:asciiTheme="minorHAnsi" w:hAnsiTheme="minorHAnsi" w:cstheme="minorHAnsi"/>
          <w:sz w:val="24"/>
          <w:szCs w:val="24"/>
        </w:rPr>
        <w:t>vo výške 704 tis. EUR,</w:t>
      </w:r>
      <w:r w:rsidR="00695599" w:rsidRPr="0008413C">
        <w:rPr>
          <w:rFonts w:asciiTheme="minorHAnsi" w:hAnsiTheme="minorHAnsi" w:cstheme="minorHAnsi"/>
          <w:sz w:val="24"/>
          <w:szCs w:val="24"/>
        </w:rPr>
        <w:t xml:space="preserve"> </w:t>
      </w:r>
      <w:r w:rsidR="003F000D">
        <w:rPr>
          <w:rFonts w:asciiTheme="minorHAnsi" w:hAnsiTheme="minorHAnsi" w:cstheme="minorHAnsi"/>
          <w:sz w:val="24"/>
          <w:szCs w:val="24"/>
        </w:rPr>
        <w:t xml:space="preserve"> </w:t>
      </w:r>
      <w:r w:rsidR="00695599">
        <w:rPr>
          <w:rFonts w:asciiTheme="minorHAnsi" w:hAnsiTheme="minorHAnsi" w:cstheme="minorHAnsi"/>
          <w:sz w:val="24"/>
          <w:szCs w:val="24"/>
        </w:rPr>
        <w:t xml:space="preserve">úhrady za </w:t>
      </w:r>
      <w:r w:rsidR="003F000D">
        <w:rPr>
          <w:rFonts w:asciiTheme="minorHAnsi" w:hAnsiTheme="minorHAnsi" w:cstheme="minorHAnsi"/>
          <w:sz w:val="24"/>
          <w:szCs w:val="24"/>
        </w:rPr>
        <w:t>stravovani</w:t>
      </w:r>
      <w:r w:rsidR="00695599">
        <w:rPr>
          <w:rFonts w:asciiTheme="minorHAnsi" w:hAnsiTheme="minorHAnsi" w:cstheme="minorHAnsi"/>
          <w:sz w:val="24"/>
          <w:szCs w:val="24"/>
        </w:rPr>
        <w:t>e</w:t>
      </w:r>
      <w:r w:rsidR="003F000D">
        <w:rPr>
          <w:rFonts w:asciiTheme="minorHAnsi" w:hAnsiTheme="minorHAnsi" w:cstheme="minorHAnsi"/>
          <w:sz w:val="24"/>
          <w:szCs w:val="24"/>
        </w:rPr>
        <w:t xml:space="preserve"> klientov sociálnych zariadení, žiakov škôl a </w:t>
      </w:r>
      <w:r w:rsidR="002D13A3">
        <w:rPr>
          <w:rFonts w:asciiTheme="minorHAnsi" w:hAnsiTheme="minorHAnsi" w:cstheme="minorHAnsi"/>
          <w:sz w:val="24"/>
          <w:szCs w:val="24"/>
        </w:rPr>
        <w:t>n</w:t>
      </w:r>
      <w:r w:rsidR="002F35CC">
        <w:rPr>
          <w:rFonts w:asciiTheme="minorHAnsi" w:hAnsiTheme="minorHAnsi" w:cstheme="minorHAnsi"/>
          <w:sz w:val="24"/>
          <w:szCs w:val="24"/>
        </w:rPr>
        <w:t xml:space="preserve">ákup stravovacích poukážok pre zamestnancov vrátane </w:t>
      </w:r>
      <w:r w:rsidR="009F5546">
        <w:rPr>
          <w:rFonts w:asciiTheme="minorHAnsi" w:hAnsiTheme="minorHAnsi" w:cstheme="minorHAnsi"/>
          <w:sz w:val="24"/>
          <w:szCs w:val="24"/>
        </w:rPr>
        <w:t>zamestnancov</w:t>
      </w:r>
      <w:r w:rsidR="003F000D">
        <w:rPr>
          <w:rFonts w:asciiTheme="minorHAnsi" w:hAnsiTheme="minorHAnsi" w:cstheme="minorHAnsi"/>
          <w:sz w:val="24"/>
          <w:szCs w:val="24"/>
        </w:rPr>
        <w:t xml:space="preserve"> </w:t>
      </w:r>
      <w:r w:rsidR="002F35CC">
        <w:rPr>
          <w:rFonts w:asciiTheme="minorHAnsi" w:hAnsiTheme="minorHAnsi" w:cstheme="minorHAnsi"/>
          <w:sz w:val="24"/>
          <w:szCs w:val="24"/>
        </w:rPr>
        <w:t>organizácii BSK</w:t>
      </w:r>
      <w:r w:rsidR="002D13A3">
        <w:rPr>
          <w:rFonts w:asciiTheme="minorHAnsi" w:hAnsiTheme="minorHAnsi" w:cstheme="minorHAnsi"/>
          <w:sz w:val="24"/>
          <w:szCs w:val="24"/>
        </w:rPr>
        <w:t xml:space="preserve"> v</w:t>
      </w:r>
      <w:r w:rsidR="009F5546">
        <w:rPr>
          <w:rFonts w:asciiTheme="minorHAnsi" w:hAnsiTheme="minorHAnsi" w:cstheme="minorHAnsi"/>
          <w:sz w:val="24"/>
          <w:szCs w:val="24"/>
        </w:rPr>
        <w:t xml:space="preserve"> celkovej </w:t>
      </w:r>
      <w:r w:rsidR="002F35CC">
        <w:rPr>
          <w:rFonts w:asciiTheme="minorHAnsi" w:hAnsiTheme="minorHAnsi" w:cstheme="minorHAnsi"/>
          <w:sz w:val="24"/>
          <w:szCs w:val="24"/>
        </w:rPr>
        <w:t>sum</w:t>
      </w:r>
      <w:r w:rsidR="002D13A3">
        <w:rPr>
          <w:rFonts w:asciiTheme="minorHAnsi" w:hAnsiTheme="minorHAnsi" w:cstheme="minorHAnsi"/>
          <w:sz w:val="24"/>
          <w:szCs w:val="24"/>
        </w:rPr>
        <w:t>e</w:t>
      </w:r>
      <w:r w:rsidR="002F35CC">
        <w:rPr>
          <w:rFonts w:asciiTheme="minorHAnsi" w:hAnsiTheme="minorHAnsi" w:cstheme="minorHAnsi"/>
          <w:sz w:val="24"/>
          <w:szCs w:val="24"/>
        </w:rPr>
        <w:t xml:space="preserve"> cca </w:t>
      </w:r>
      <w:r w:rsidR="009F5546">
        <w:rPr>
          <w:rFonts w:asciiTheme="minorHAnsi" w:hAnsiTheme="minorHAnsi" w:cstheme="minorHAnsi"/>
          <w:sz w:val="24"/>
          <w:szCs w:val="24"/>
        </w:rPr>
        <w:t>1,27</w:t>
      </w:r>
      <w:r w:rsidR="002F35CC">
        <w:rPr>
          <w:rFonts w:asciiTheme="minorHAnsi" w:hAnsiTheme="minorHAnsi" w:cstheme="minorHAnsi"/>
          <w:sz w:val="24"/>
          <w:szCs w:val="24"/>
        </w:rPr>
        <w:t xml:space="preserve"> mil. EUR, </w:t>
      </w:r>
      <w:r w:rsidR="002D13A3">
        <w:rPr>
          <w:rFonts w:asciiTheme="minorHAnsi" w:hAnsiTheme="minorHAnsi" w:cstheme="minorHAnsi"/>
          <w:sz w:val="24"/>
          <w:szCs w:val="24"/>
        </w:rPr>
        <w:t xml:space="preserve"> </w:t>
      </w:r>
      <w:r w:rsidR="002F35CC">
        <w:rPr>
          <w:rFonts w:asciiTheme="minorHAnsi" w:hAnsiTheme="minorHAnsi" w:cstheme="minorHAnsi"/>
          <w:sz w:val="24"/>
          <w:szCs w:val="24"/>
        </w:rPr>
        <w:t xml:space="preserve">odmeny </w:t>
      </w:r>
      <w:r w:rsidR="002D13A3">
        <w:rPr>
          <w:rFonts w:asciiTheme="minorHAnsi" w:hAnsiTheme="minorHAnsi" w:cstheme="minorHAnsi"/>
          <w:sz w:val="24"/>
          <w:szCs w:val="24"/>
        </w:rPr>
        <w:t>zamestnancov mimopracovného pomeru</w:t>
      </w:r>
      <w:r w:rsidR="009F5546">
        <w:rPr>
          <w:rFonts w:asciiTheme="minorHAnsi" w:hAnsiTheme="minorHAnsi" w:cstheme="minorHAnsi"/>
          <w:sz w:val="24"/>
          <w:szCs w:val="24"/>
        </w:rPr>
        <w:t xml:space="preserve"> vrátane</w:t>
      </w:r>
      <w:r w:rsidR="002D13A3">
        <w:rPr>
          <w:rFonts w:asciiTheme="minorHAnsi" w:hAnsiTheme="minorHAnsi" w:cstheme="minorHAnsi"/>
          <w:sz w:val="24"/>
          <w:szCs w:val="24"/>
        </w:rPr>
        <w:t xml:space="preserve"> </w:t>
      </w:r>
      <w:r w:rsidR="009F5546">
        <w:rPr>
          <w:rFonts w:asciiTheme="minorHAnsi" w:hAnsiTheme="minorHAnsi" w:cstheme="minorHAnsi"/>
          <w:sz w:val="24"/>
          <w:szCs w:val="24"/>
        </w:rPr>
        <w:t xml:space="preserve">organizácii BSK </w:t>
      </w:r>
      <w:r w:rsidR="002D13A3">
        <w:rPr>
          <w:rFonts w:asciiTheme="minorHAnsi" w:hAnsiTheme="minorHAnsi" w:cstheme="minorHAnsi"/>
          <w:sz w:val="24"/>
          <w:szCs w:val="24"/>
        </w:rPr>
        <w:t>v s</w:t>
      </w:r>
      <w:r w:rsidR="00FE166D">
        <w:rPr>
          <w:rFonts w:asciiTheme="minorHAnsi" w:hAnsiTheme="minorHAnsi" w:cstheme="minorHAnsi"/>
          <w:sz w:val="24"/>
          <w:szCs w:val="24"/>
        </w:rPr>
        <w:t>u</w:t>
      </w:r>
      <w:r w:rsidR="002D13A3">
        <w:rPr>
          <w:rFonts w:asciiTheme="minorHAnsi" w:hAnsiTheme="minorHAnsi" w:cstheme="minorHAnsi"/>
          <w:sz w:val="24"/>
          <w:szCs w:val="24"/>
        </w:rPr>
        <w:t xml:space="preserve">me </w:t>
      </w:r>
      <w:r w:rsidR="009F5546">
        <w:rPr>
          <w:rFonts w:asciiTheme="minorHAnsi" w:hAnsiTheme="minorHAnsi" w:cstheme="minorHAnsi"/>
          <w:sz w:val="24"/>
          <w:szCs w:val="24"/>
        </w:rPr>
        <w:t xml:space="preserve">0,98 </w:t>
      </w:r>
      <w:proofErr w:type="spellStart"/>
      <w:r w:rsidR="002D13A3">
        <w:rPr>
          <w:rFonts w:asciiTheme="minorHAnsi" w:hAnsiTheme="minorHAnsi" w:cstheme="minorHAnsi"/>
          <w:sz w:val="24"/>
          <w:szCs w:val="24"/>
        </w:rPr>
        <w:t>mil</w:t>
      </w:r>
      <w:proofErr w:type="spellEnd"/>
      <w:r w:rsidR="002D13A3">
        <w:rPr>
          <w:rFonts w:asciiTheme="minorHAnsi" w:hAnsiTheme="minorHAnsi" w:cstheme="minorHAnsi"/>
          <w:sz w:val="24"/>
          <w:szCs w:val="24"/>
        </w:rPr>
        <w:t xml:space="preserve"> EUR, odmeny</w:t>
      </w:r>
      <w:r w:rsidR="00FE166D">
        <w:rPr>
          <w:rFonts w:asciiTheme="minorHAnsi" w:hAnsiTheme="minorHAnsi" w:cstheme="minorHAnsi"/>
          <w:sz w:val="24"/>
          <w:szCs w:val="24"/>
        </w:rPr>
        <w:t xml:space="preserve"> a príspevky</w:t>
      </w:r>
      <w:r w:rsidR="002D13A3">
        <w:rPr>
          <w:rFonts w:asciiTheme="minorHAnsi" w:hAnsiTheme="minorHAnsi" w:cstheme="minorHAnsi"/>
          <w:sz w:val="24"/>
          <w:szCs w:val="24"/>
        </w:rPr>
        <w:t xml:space="preserve"> </w:t>
      </w:r>
      <w:r w:rsidR="002F35CC">
        <w:rPr>
          <w:rFonts w:asciiTheme="minorHAnsi" w:hAnsiTheme="minorHAnsi" w:cstheme="minorHAnsi"/>
          <w:sz w:val="24"/>
          <w:szCs w:val="24"/>
        </w:rPr>
        <w:t>poslancom ZBSK, členom samosprávnych orgánov</w:t>
      </w:r>
      <w:r w:rsidR="00FE166D">
        <w:rPr>
          <w:rFonts w:asciiTheme="minorHAnsi" w:hAnsiTheme="minorHAnsi" w:cstheme="minorHAnsi"/>
          <w:sz w:val="24"/>
          <w:szCs w:val="24"/>
        </w:rPr>
        <w:t xml:space="preserve"> vo výške </w:t>
      </w:r>
      <w:proofErr w:type="spellStart"/>
      <w:r w:rsidR="002F35CC">
        <w:rPr>
          <w:rFonts w:asciiTheme="minorHAnsi" w:hAnsiTheme="minorHAnsi" w:cstheme="minorHAnsi"/>
          <w:sz w:val="24"/>
          <w:szCs w:val="24"/>
        </w:rPr>
        <w:t>výške</w:t>
      </w:r>
      <w:proofErr w:type="spellEnd"/>
      <w:r w:rsidR="002F35CC">
        <w:rPr>
          <w:rFonts w:asciiTheme="minorHAnsi" w:hAnsiTheme="minorHAnsi" w:cstheme="minorHAnsi"/>
          <w:sz w:val="24"/>
          <w:szCs w:val="24"/>
        </w:rPr>
        <w:t xml:space="preserve"> cca </w:t>
      </w:r>
      <w:r w:rsidR="00FE166D">
        <w:rPr>
          <w:rFonts w:asciiTheme="minorHAnsi" w:hAnsiTheme="minorHAnsi" w:cstheme="minorHAnsi"/>
          <w:sz w:val="24"/>
          <w:szCs w:val="24"/>
        </w:rPr>
        <w:t>4</w:t>
      </w:r>
      <w:r w:rsidR="009F5546">
        <w:rPr>
          <w:rFonts w:asciiTheme="minorHAnsi" w:hAnsiTheme="minorHAnsi" w:cstheme="minorHAnsi"/>
          <w:sz w:val="24"/>
          <w:szCs w:val="24"/>
        </w:rPr>
        <w:t>42</w:t>
      </w:r>
      <w:r w:rsidR="00FE166D">
        <w:rPr>
          <w:rFonts w:asciiTheme="minorHAnsi" w:hAnsiTheme="minorHAnsi" w:cstheme="minorHAnsi"/>
          <w:sz w:val="24"/>
          <w:szCs w:val="24"/>
        </w:rPr>
        <w:t xml:space="preserve"> tis.</w:t>
      </w:r>
      <w:r w:rsidR="002F35CC">
        <w:rPr>
          <w:rFonts w:asciiTheme="minorHAnsi" w:hAnsiTheme="minorHAnsi" w:cstheme="minorHAnsi"/>
          <w:sz w:val="24"/>
          <w:szCs w:val="24"/>
        </w:rPr>
        <w:t xml:space="preserve"> EUR, </w:t>
      </w:r>
      <w:r w:rsidR="00FE166D">
        <w:rPr>
          <w:rFonts w:asciiTheme="minorHAnsi" w:hAnsiTheme="minorHAnsi" w:cstheme="minorHAnsi"/>
          <w:sz w:val="24"/>
          <w:szCs w:val="24"/>
        </w:rPr>
        <w:t>povinný prídel na tvorbu sociálneho fondu zo súhrnu hrubých miezd alebo platov zaúčtovaných zamestnancom na výplatu vo výške 5</w:t>
      </w:r>
      <w:r w:rsidR="009F5546">
        <w:rPr>
          <w:rFonts w:asciiTheme="minorHAnsi" w:hAnsiTheme="minorHAnsi" w:cstheme="minorHAnsi"/>
          <w:sz w:val="24"/>
          <w:szCs w:val="24"/>
        </w:rPr>
        <w:t>55</w:t>
      </w:r>
      <w:r w:rsidR="00FE166D">
        <w:rPr>
          <w:rFonts w:asciiTheme="minorHAnsi" w:hAnsiTheme="minorHAnsi" w:cstheme="minorHAnsi"/>
          <w:sz w:val="24"/>
          <w:szCs w:val="24"/>
        </w:rPr>
        <w:t xml:space="preserve"> tis. EUR. A tiež výdavky spojené s úhradou dane z nehnuteľností BSK vo výške </w:t>
      </w:r>
      <w:r w:rsidR="00695599">
        <w:rPr>
          <w:rFonts w:asciiTheme="minorHAnsi" w:hAnsiTheme="minorHAnsi" w:cstheme="minorHAnsi"/>
          <w:sz w:val="24"/>
          <w:szCs w:val="24"/>
        </w:rPr>
        <w:t>943</w:t>
      </w:r>
      <w:r w:rsidR="00FE166D">
        <w:rPr>
          <w:rFonts w:asciiTheme="minorHAnsi" w:hAnsiTheme="minorHAnsi" w:cstheme="minorHAnsi"/>
          <w:sz w:val="24"/>
          <w:szCs w:val="24"/>
        </w:rPr>
        <w:t xml:space="preserve"> tis. EUR.</w:t>
      </w:r>
    </w:p>
    <w:p w14:paraId="0A019E52" w14:textId="77777777" w:rsidR="00BE704E" w:rsidRDefault="00BE704E" w:rsidP="007269CE">
      <w:pPr>
        <w:spacing w:before="240" w:after="120" w:line="240" w:lineRule="auto"/>
        <w:jc w:val="both"/>
        <w:rPr>
          <w:rFonts w:asciiTheme="minorHAnsi" w:hAnsiTheme="minorHAnsi" w:cstheme="minorHAnsi"/>
          <w:b/>
          <w:sz w:val="24"/>
          <w:szCs w:val="24"/>
          <w:lang w:eastAsia="sk-SK"/>
        </w:rPr>
      </w:pPr>
      <w:r w:rsidRPr="0008413C">
        <w:rPr>
          <w:rFonts w:asciiTheme="minorHAnsi" w:hAnsiTheme="minorHAnsi" w:cstheme="minorHAnsi"/>
          <w:sz w:val="24"/>
          <w:szCs w:val="24"/>
          <w:lang w:eastAsia="sk-SK"/>
        </w:rPr>
        <w:t xml:space="preserve">Bežné výdavky </w:t>
      </w:r>
      <w:r>
        <w:rPr>
          <w:rFonts w:asciiTheme="minorHAnsi" w:hAnsiTheme="minorHAnsi" w:cstheme="minorHAnsi"/>
          <w:sz w:val="24"/>
          <w:szCs w:val="24"/>
          <w:lang w:eastAsia="sk-SK"/>
        </w:rPr>
        <w:t>- kategória</w:t>
      </w:r>
      <w:r w:rsidRPr="0008413C">
        <w:rPr>
          <w:rFonts w:asciiTheme="minorHAnsi" w:hAnsiTheme="minorHAnsi" w:cstheme="minorHAnsi"/>
          <w:sz w:val="24"/>
          <w:szCs w:val="24"/>
          <w:lang w:eastAsia="sk-SK"/>
        </w:rPr>
        <w:t xml:space="preserve"> </w:t>
      </w:r>
      <w:r w:rsidRPr="0008413C">
        <w:rPr>
          <w:rFonts w:asciiTheme="minorHAnsi" w:hAnsiTheme="minorHAnsi" w:cstheme="minorHAnsi"/>
          <w:b/>
          <w:sz w:val="24"/>
          <w:szCs w:val="24"/>
          <w:lang w:eastAsia="sk-SK"/>
        </w:rPr>
        <w:t>640 – Transfery</w:t>
      </w:r>
    </w:p>
    <w:p w14:paraId="7B23783E" w14:textId="162926D4" w:rsidR="00BE704E" w:rsidRDefault="00BE704E" w:rsidP="007269CE">
      <w:pPr>
        <w:spacing w:before="240" w:after="120" w:line="240" w:lineRule="auto"/>
        <w:jc w:val="both"/>
        <w:rPr>
          <w:rFonts w:asciiTheme="minorHAnsi" w:hAnsiTheme="minorHAnsi" w:cstheme="minorHAnsi"/>
          <w:sz w:val="24"/>
          <w:szCs w:val="24"/>
        </w:rPr>
      </w:pPr>
      <w:r w:rsidRPr="0008413C">
        <w:rPr>
          <w:rFonts w:asciiTheme="minorHAnsi" w:hAnsiTheme="minorHAnsi" w:cstheme="minorHAnsi"/>
          <w:sz w:val="24"/>
          <w:szCs w:val="24"/>
        </w:rPr>
        <w:t xml:space="preserve">Transferové platby sú výdavky uskutočňované bez toho, aby za </w:t>
      </w:r>
      <w:proofErr w:type="spellStart"/>
      <w:r w:rsidRPr="0008413C">
        <w:rPr>
          <w:rFonts w:asciiTheme="minorHAnsi" w:hAnsiTheme="minorHAnsi" w:cstheme="minorHAnsi"/>
          <w:sz w:val="24"/>
          <w:szCs w:val="24"/>
        </w:rPr>
        <w:t>ne</w:t>
      </w:r>
      <w:proofErr w:type="spellEnd"/>
      <w:r w:rsidRPr="0008413C">
        <w:rPr>
          <w:rFonts w:asciiTheme="minorHAnsi" w:hAnsiTheme="minorHAnsi" w:cstheme="minorHAnsi"/>
          <w:sz w:val="24"/>
          <w:szCs w:val="24"/>
        </w:rPr>
        <w:t xml:space="preserve"> ich príjemcovia poskytovali nejaké protislužby alebo tovary. Transferová platba všeobecného charakteru určená pre rôzne alebo explicitne nešpecifikované ciele sa považuje vždy za bežný transfer. Triedia sa podľa príjemcu alebo druhu poskytovanej platby. Transfer môže byť len finančný vo forme príspevkov, dotácií a iných finančných vzťahov.</w:t>
      </w:r>
    </w:p>
    <w:tbl>
      <w:tblPr>
        <w:tblW w:w="10333" w:type="dxa"/>
        <w:tblCellMar>
          <w:left w:w="70" w:type="dxa"/>
          <w:right w:w="70" w:type="dxa"/>
        </w:tblCellMar>
        <w:tblLook w:val="04A0" w:firstRow="1" w:lastRow="0" w:firstColumn="1" w:lastColumn="0" w:noHBand="0" w:noVBand="1"/>
      </w:tblPr>
      <w:tblGrid>
        <w:gridCol w:w="1686"/>
        <w:gridCol w:w="1701"/>
        <w:gridCol w:w="1418"/>
        <w:gridCol w:w="1417"/>
        <w:gridCol w:w="1418"/>
        <w:gridCol w:w="1417"/>
        <w:gridCol w:w="1276"/>
      </w:tblGrid>
      <w:tr w:rsidR="004B27EC" w:rsidRPr="009E1C88" w14:paraId="003F1DDC" w14:textId="77777777" w:rsidTr="00E70CE6">
        <w:trPr>
          <w:trHeight w:val="975"/>
        </w:trPr>
        <w:tc>
          <w:tcPr>
            <w:tcW w:w="1686" w:type="dxa"/>
            <w:tcBorders>
              <w:top w:val="single" w:sz="12" w:space="0" w:color="FFFFFF"/>
              <w:left w:val="single" w:sz="12" w:space="0" w:color="FFFFFF"/>
              <w:bottom w:val="nil"/>
              <w:right w:val="single" w:sz="12" w:space="0" w:color="FFFFFF"/>
            </w:tcBorders>
            <w:shd w:val="clear" w:color="000000" w:fill="8DB3E2"/>
            <w:vAlign w:val="center"/>
            <w:hideMark/>
          </w:tcPr>
          <w:p w14:paraId="1BE289BC" w14:textId="77777777" w:rsidR="009E1C88" w:rsidRPr="009E1C88" w:rsidRDefault="009E1C88" w:rsidP="009E1C88">
            <w:pPr>
              <w:spacing w:after="0" w:line="240" w:lineRule="auto"/>
              <w:rPr>
                <w:rFonts w:cs="Calibri"/>
                <w:b/>
                <w:bCs/>
                <w:color w:val="000000"/>
                <w:sz w:val="20"/>
                <w:szCs w:val="20"/>
                <w:lang w:eastAsia="sk-SK"/>
              </w:rPr>
            </w:pPr>
            <w:r w:rsidRPr="009E1C88">
              <w:rPr>
                <w:rFonts w:cs="Calibri"/>
                <w:b/>
                <w:bCs/>
                <w:color w:val="000000"/>
                <w:sz w:val="20"/>
                <w:szCs w:val="20"/>
                <w:lang w:eastAsia="sk-SK"/>
              </w:rPr>
              <w:t>640 - Transfery</w:t>
            </w:r>
          </w:p>
        </w:tc>
        <w:tc>
          <w:tcPr>
            <w:tcW w:w="1701" w:type="dxa"/>
            <w:tcBorders>
              <w:top w:val="single" w:sz="12" w:space="0" w:color="FFFFFF"/>
              <w:left w:val="nil"/>
              <w:bottom w:val="nil"/>
              <w:right w:val="single" w:sz="12" w:space="0" w:color="FFFFFF"/>
            </w:tcBorders>
            <w:shd w:val="clear" w:color="000000" w:fill="8DB3E2"/>
            <w:vAlign w:val="center"/>
            <w:hideMark/>
          </w:tcPr>
          <w:p w14:paraId="5CCAB375" w14:textId="77777777" w:rsidR="009E1C88" w:rsidRPr="009E1C88" w:rsidRDefault="009E1C88" w:rsidP="009E1C88">
            <w:pPr>
              <w:spacing w:after="0" w:line="240" w:lineRule="auto"/>
              <w:jc w:val="center"/>
              <w:rPr>
                <w:rFonts w:cs="Calibri"/>
                <w:b/>
                <w:bCs/>
                <w:color w:val="000000"/>
                <w:sz w:val="18"/>
                <w:szCs w:val="18"/>
                <w:lang w:eastAsia="sk-SK"/>
              </w:rPr>
            </w:pPr>
            <w:r w:rsidRPr="009E1C88">
              <w:rPr>
                <w:rFonts w:cs="Calibri"/>
                <w:b/>
                <w:bCs/>
                <w:color w:val="000000"/>
                <w:sz w:val="18"/>
                <w:szCs w:val="18"/>
                <w:lang w:eastAsia="sk-SK"/>
              </w:rPr>
              <w:t>Skutočnosť za rok 2018 v EUR</w:t>
            </w:r>
          </w:p>
        </w:tc>
        <w:tc>
          <w:tcPr>
            <w:tcW w:w="1418" w:type="dxa"/>
            <w:tcBorders>
              <w:top w:val="single" w:sz="12" w:space="0" w:color="FFFFFF"/>
              <w:left w:val="nil"/>
              <w:bottom w:val="nil"/>
              <w:right w:val="single" w:sz="12" w:space="0" w:color="FFFFFF"/>
            </w:tcBorders>
            <w:shd w:val="clear" w:color="000000" w:fill="8DB3E2"/>
            <w:vAlign w:val="center"/>
            <w:hideMark/>
          </w:tcPr>
          <w:p w14:paraId="67537840" w14:textId="77777777" w:rsidR="009E1C88" w:rsidRPr="009E1C88" w:rsidRDefault="009E1C88" w:rsidP="009E1C88">
            <w:pPr>
              <w:spacing w:after="0" w:line="240" w:lineRule="auto"/>
              <w:jc w:val="center"/>
              <w:rPr>
                <w:rFonts w:cs="Calibri"/>
                <w:b/>
                <w:bCs/>
                <w:color w:val="000000"/>
                <w:sz w:val="18"/>
                <w:szCs w:val="18"/>
                <w:lang w:eastAsia="sk-SK"/>
              </w:rPr>
            </w:pPr>
            <w:r w:rsidRPr="009E1C88">
              <w:rPr>
                <w:rFonts w:cs="Calibri"/>
                <w:b/>
                <w:bCs/>
                <w:color w:val="000000"/>
                <w:sz w:val="18"/>
                <w:szCs w:val="18"/>
                <w:lang w:eastAsia="sk-SK"/>
              </w:rPr>
              <w:t>Skutočnosť k 31.12.2019 v EUR</w:t>
            </w:r>
          </w:p>
        </w:tc>
        <w:tc>
          <w:tcPr>
            <w:tcW w:w="1417" w:type="dxa"/>
            <w:tcBorders>
              <w:top w:val="single" w:sz="12" w:space="0" w:color="FFFFFF"/>
              <w:left w:val="nil"/>
              <w:bottom w:val="nil"/>
              <w:right w:val="single" w:sz="12" w:space="0" w:color="FFFFFF"/>
            </w:tcBorders>
            <w:shd w:val="clear" w:color="000000" w:fill="8DB3E2"/>
            <w:vAlign w:val="center"/>
            <w:hideMark/>
          </w:tcPr>
          <w:p w14:paraId="08392CE9" w14:textId="77777777" w:rsidR="009E1C88" w:rsidRPr="009E1C88" w:rsidRDefault="009E1C88" w:rsidP="009E1C88">
            <w:pPr>
              <w:spacing w:after="0" w:line="240" w:lineRule="auto"/>
              <w:jc w:val="center"/>
              <w:rPr>
                <w:rFonts w:cs="Calibri"/>
                <w:b/>
                <w:bCs/>
                <w:color w:val="000000"/>
                <w:sz w:val="18"/>
                <w:szCs w:val="18"/>
                <w:lang w:eastAsia="sk-SK"/>
              </w:rPr>
            </w:pPr>
            <w:r w:rsidRPr="009E1C88">
              <w:rPr>
                <w:rFonts w:cs="Calibri"/>
                <w:b/>
                <w:bCs/>
                <w:color w:val="000000"/>
                <w:sz w:val="18"/>
                <w:szCs w:val="18"/>
                <w:lang w:eastAsia="sk-SK"/>
              </w:rPr>
              <w:t>Schválený rozpočet 2020 v EUR</w:t>
            </w:r>
          </w:p>
        </w:tc>
        <w:tc>
          <w:tcPr>
            <w:tcW w:w="1418" w:type="dxa"/>
            <w:tcBorders>
              <w:top w:val="single" w:sz="12" w:space="0" w:color="FFFFFF"/>
              <w:left w:val="nil"/>
              <w:bottom w:val="nil"/>
              <w:right w:val="single" w:sz="12" w:space="0" w:color="FFFFFF"/>
            </w:tcBorders>
            <w:shd w:val="clear" w:color="000000" w:fill="8DB3E2"/>
            <w:vAlign w:val="center"/>
            <w:hideMark/>
          </w:tcPr>
          <w:p w14:paraId="147C8B36" w14:textId="77777777" w:rsidR="009E1C88" w:rsidRPr="009E1C88" w:rsidRDefault="009E1C88" w:rsidP="009E1C88">
            <w:pPr>
              <w:spacing w:after="0" w:line="240" w:lineRule="auto"/>
              <w:jc w:val="center"/>
              <w:rPr>
                <w:rFonts w:cs="Calibri"/>
                <w:b/>
                <w:bCs/>
                <w:color w:val="000000"/>
                <w:sz w:val="18"/>
                <w:szCs w:val="18"/>
                <w:lang w:eastAsia="sk-SK"/>
              </w:rPr>
            </w:pPr>
            <w:r w:rsidRPr="009E1C88">
              <w:rPr>
                <w:rFonts w:cs="Calibri"/>
                <w:b/>
                <w:bCs/>
                <w:color w:val="000000"/>
                <w:sz w:val="18"/>
                <w:szCs w:val="18"/>
                <w:lang w:eastAsia="sk-SK"/>
              </w:rPr>
              <w:t>Zmenený rozpočet k 31.12.2020 v EUR</w:t>
            </w:r>
          </w:p>
        </w:tc>
        <w:tc>
          <w:tcPr>
            <w:tcW w:w="1417" w:type="dxa"/>
            <w:tcBorders>
              <w:top w:val="single" w:sz="12" w:space="0" w:color="FFFFFF"/>
              <w:left w:val="nil"/>
              <w:bottom w:val="nil"/>
              <w:right w:val="single" w:sz="12" w:space="0" w:color="FFFFFF"/>
            </w:tcBorders>
            <w:shd w:val="clear" w:color="000000" w:fill="8DB3E2"/>
            <w:vAlign w:val="center"/>
            <w:hideMark/>
          </w:tcPr>
          <w:p w14:paraId="08F562AC" w14:textId="77777777" w:rsidR="009E1C88" w:rsidRPr="009E1C88" w:rsidRDefault="009E1C88" w:rsidP="009E1C88">
            <w:pPr>
              <w:spacing w:after="0" w:line="240" w:lineRule="auto"/>
              <w:jc w:val="center"/>
              <w:rPr>
                <w:rFonts w:cs="Calibri"/>
                <w:b/>
                <w:bCs/>
                <w:color w:val="000000"/>
                <w:sz w:val="18"/>
                <w:szCs w:val="18"/>
                <w:lang w:eastAsia="sk-SK"/>
              </w:rPr>
            </w:pPr>
            <w:r w:rsidRPr="009E1C88">
              <w:rPr>
                <w:rFonts w:cs="Calibri"/>
                <w:b/>
                <w:bCs/>
                <w:color w:val="000000"/>
                <w:sz w:val="18"/>
                <w:szCs w:val="18"/>
                <w:lang w:eastAsia="sk-SK"/>
              </w:rPr>
              <w:t>Čerpanie rozpočtu k 31.12.2020 v EUR</w:t>
            </w:r>
          </w:p>
        </w:tc>
        <w:tc>
          <w:tcPr>
            <w:tcW w:w="1276" w:type="dxa"/>
            <w:tcBorders>
              <w:top w:val="single" w:sz="12" w:space="0" w:color="FFFFFF"/>
              <w:left w:val="nil"/>
              <w:bottom w:val="nil"/>
              <w:right w:val="single" w:sz="12" w:space="0" w:color="FFFFFF"/>
            </w:tcBorders>
            <w:shd w:val="clear" w:color="000000" w:fill="8DB3E2"/>
            <w:vAlign w:val="center"/>
            <w:hideMark/>
          </w:tcPr>
          <w:p w14:paraId="48D721F9" w14:textId="77777777" w:rsidR="009E1C88" w:rsidRPr="009E1C88" w:rsidRDefault="009E1C88" w:rsidP="009E1C88">
            <w:pPr>
              <w:spacing w:after="0" w:line="240" w:lineRule="auto"/>
              <w:jc w:val="center"/>
              <w:rPr>
                <w:rFonts w:cs="Calibri"/>
                <w:b/>
                <w:bCs/>
                <w:color w:val="000000"/>
                <w:sz w:val="18"/>
                <w:szCs w:val="18"/>
                <w:lang w:eastAsia="sk-SK"/>
              </w:rPr>
            </w:pPr>
            <w:r w:rsidRPr="009E1C88">
              <w:rPr>
                <w:rFonts w:cs="Calibri"/>
                <w:b/>
                <w:bCs/>
                <w:color w:val="000000"/>
                <w:sz w:val="18"/>
                <w:szCs w:val="18"/>
                <w:lang w:eastAsia="sk-SK"/>
              </w:rPr>
              <w:t xml:space="preserve">% čerpanie k zmenenému rozpočtu </w:t>
            </w:r>
          </w:p>
        </w:tc>
      </w:tr>
      <w:tr w:rsidR="004B27EC" w:rsidRPr="009E1C88" w14:paraId="39523027" w14:textId="77777777" w:rsidTr="00E70CE6">
        <w:trPr>
          <w:trHeight w:hRule="exact" w:val="484"/>
        </w:trPr>
        <w:tc>
          <w:tcPr>
            <w:tcW w:w="1686" w:type="dxa"/>
            <w:tcBorders>
              <w:top w:val="nil"/>
              <w:left w:val="nil"/>
              <w:bottom w:val="nil"/>
              <w:right w:val="nil"/>
            </w:tcBorders>
            <w:shd w:val="clear" w:color="000000" w:fill="F2F2F2"/>
            <w:noWrap/>
            <w:vAlign w:val="center"/>
            <w:hideMark/>
          </w:tcPr>
          <w:p w14:paraId="10693094" w14:textId="77777777" w:rsidR="009E1C88" w:rsidRPr="009E1C88" w:rsidRDefault="009E1C88" w:rsidP="009E1C88">
            <w:pPr>
              <w:spacing w:after="0" w:line="240" w:lineRule="auto"/>
              <w:rPr>
                <w:rFonts w:cs="Calibri"/>
                <w:color w:val="000000"/>
                <w:sz w:val="20"/>
                <w:szCs w:val="20"/>
                <w:lang w:eastAsia="sk-SK"/>
              </w:rPr>
            </w:pPr>
            <w:r w:rsidRPr="009E1C88">
              <w:rPr>
                <w:rFonts w:cs="Calibri"/>
                <w:color w:val="000000"/>
                <w:sz w:val="20"/>
                <w:szCs w:val="20"/>
                <w:lang w:eastAsia="sk-SK"/>
              </w:rPr>
              <w:t>641 -  v rámci VS</w:t>
            </w:r>
          </w:p>
        </w:tc>
        <w:tc>
          <w:tcPr>
            <w:tcW w:w="1701" w:type="dxa"/>
            <w:tcBorders>
              <w:top w:val="nil"/>
              <w:left w:val="nil"/>
              <w:bottom w:val="single" w:sz="12" w:space="0" w:color="FFFFFF"/>
              <w:right w:val="single" w:sz="12" w:space="0" w:color="FFFFFF"/>
            </w:tcBorders>
            <w:shd w:val="clear" w:color="000000" w:fill="F2F2F2"/>
            <w:vAlign w:val="center"/>
            <w:hideMark/>
          </w:tcPr>
          <w:p w14:paraId="2E796553"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18 849 966,05</w:t>
            </w:r>
          </w:p>
        </w:tc>
        <w:tc>
          <w:tcPr>
            <w:tcW w:w="1418" w:type="dxa"/>
            <w:tcBorders>
              <w:top w:val="nil"/>
              <w:left w:val="nil"/>
              <w:bottom w:val="single" w:sz="12" w:space="0" w:color="FFFFFF"/>
              <w:right w:val="single" w:sz="12" w:space="0" w:color="FFFFFF"/>
            </w:tcBorders>
            <w:shd w:val="clear" w:color="000000" w:fill="F2F2F2"/>
            <w:vAlign w:val="center"/>
            <w:hideMark/>
          </w:tcPr>
          <w:p w14:paraId="0230F4E8"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23 592 648,18</w:t>
            </w:r>
          </w:p>
        </w:tc>
        <w:tc>
          <w:tcPr>
            <w:tcW w:w="1417" w:type="dxa"/>
            <w:tcBorders>
              <w:top w:val="nil"/>
              <w:left w:val="nil"/>
              <w:bottom w:val="single" w:sz="12" w:space="0" w:color="FFFFFF"/>
              <w:right w:val="single" w:sz="12" w:space="0" w:color="FFFFFF"/>
            </w:tcBorders>
            <w:shd w:val="clear" w:color="000000" w:fill="F2F2F2"/>
            <w:vAlign w:val="center"/>
            <w:hideMark/>
          </w:tcPr>
          <w:p w14:paraId="2B302679"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26 187 425,07</w:t>
            </w:r>
          </w:p>
        </w:tc>
        <w:tc>
          <w:tcPr>
            <w:tcW w:w="1418" w:type="dxa"/>
            <w:tcBorders>
              <w:top w:val="nil"/>
              <w:left w:val="nil"/>
              <w:bottom w:val="single" w:sz="12" w:space="0" w:color="FFFFFF"/>
              <w:right w:val="single" w:sz="12" w:space="0" w:color="FFFFFF"/>
            </w:tcBorders>
            <w:shd w:val="clear" w:color="000000" w:fill="F2F2F2"/>
            <w:vAlign w:val="center"/>
            <w:hideMark/>
          </w:tcPr>
          <w:p w14:paraId="7140C0A8"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24 664 480,74</w:t>
            </w:r>
          </w:p>
        </w:tc>
        <w:tc>
          <w:tcPr>
            <w:tcW w:w="1417" w:type="dxa"/>
            <w:tcBorders>
              <w:top w:val="nil"/>
              <w:left w:val="nil"/>
              <w:bottom w:val="single" w:sz="12" w:space="0" w:color="FFFFFF"/>
              <w:right w:val="single" w:sz="12" w:space="0" w:color="FFFFFF"/>
            </w:tcBorders>
            <w:shd w:val="clear" w:color="000000" w:fill="F2F2F2"/>
            <w:vAlign w:val="center"/>
            <w:hideMark/>
          </w:tcPr>
          <w:p w14:paraId="5C2BCF90"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23 286 972,22</w:t>
            </w:r>
          </w:p>
        </w:tc>
        <w:tc>
          <w:tcPr>
            <w:tcW w:w="1276" w:type="dxa"/>
            <w:tcBorders>
              <w:top w:val="nil"/>
              <w:left w:val="nil"/>
              <w:bottom w:val="single" w:sz="12" w:space="0" w:color="FFFFFF"/>
              <w:right w:val="single" w:sz="12" w:space="0" w:color="FFFFFF"/>
            </w:tcBorders>
            <w:shd w:val="clear" w:color="000000" w:fill="F2F2F2"/>
            <w:vAlign w:val="center"/>
            <w:hideMark/>
          </w:tcPr>
          <w:p w14:paraId="17C69BC2"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94,42%</w:t>
            </w:r>
          </w:p>
        </w:tc>
      </w:tr>
      <w:tr w:rsidR="004B27EC" w:rsidRPr="009E1C88" w14:paraId="237E4AE6" w14:textId="77777777" w:rsidTr="00E70CE6">
        <w:trPr>
          <w:trHeight w:hRule="exact" w:val="773"/>
        </w:trPr>
        <w:tc>
          <w:tcPr>
            <w:tcW w:w="1686" w:type="dxa"/>
            <w:tcBorders>
              <w:top w:val="nil"/>
              <w:left w:val="single" w:sz="12" w:space="0" w:color="FFFFFF"/>
              <w:bottom w:val="single" w:sz="12" w:space="0" w:color="FFFFFF"/>
              <w:right w:val="single" w:sz="12" w:space="0" w:color="FFFFFF"/>
            </w:tcBorders>
            <w:shd w:val="clear" w:color="000000" w:fill="F2F2F2"/>
            <w:noWrap/>
            <w:vAlign w:val="center"/>
            <w:hideMark/>
          </w:tcPr>
          <w:p w14:paraId="210E175F" w14:textId="77777777" w:rsidR="009E1C88" w:rsidRPr="009E1C88" w:rsidRDefault="009E1C88" w:rsidP="009E1C88">
            <w:pPr>
              <w:spacing w:after="0" w:line="240" w:lineRule="auto"/>
              <w:rPr>
                <w:rFonts w:cs="Calibri"/>
                <w:color w:val="000000"/>
                <w:sz w:val="20"/>
                <w:szCs w:val="20"/>
                <w:lang w:eastAsia="sk-SK"/>
              </w:rPr>
            </w:pPr>
            <w:r w:rsidRPr="009E1C88">
              <w:rPr>
                <w:rFonts w:cs="Calibri"/>
                <w:color w:val="000000"/>
                <w:sz w:val="20"/>
                <w:szCs w:val="20"/>
                <w:lang w:eastAsia="sk-SK"/>
              </w:rPr>
              <w:t xml:space="preserve">642 -  jednotlivcom a neziskovým PO </w:t>
            </w:r>
          </w:p>
        </w:tc>
        <w:tc>
          <w:tcPr>
            <w:tcW w:w="1701" w:type="dxa"/>
            <w:tcBorders>
              <w:top w:val="nil"/>
              <w:left w:val="nil"/>
              <w:bottom w:val="single" w:sz="12" w:space="0" w:color="FFFFFF"/>
              <w:right w:val="single" w:sz="12" w:space="0" w:color="FFFFFF"/>
            </w:tcBorders>
            <w:shd w:val="clear" w:color="000000" w:fill="F2F2F2"/>
            <w:vAlign w:val="center"/>
            <w:hideMark/>
          </w:tcPr>
          <w:p w14:paraId="34A34AC4"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8 557 037,18</w:t>
            </w:r>
          </w:p>
        </w:tc>
        <w:tc>
          <w:tcPr>
            <w:tcW w:w="1418" w:type="dxa"/>
            <w:tcBorders>
              <w:top w:val="nil"/>
              <w:left w:val="nil"/>
              <w:bottom w:val="single" w:sz="12" w:space="0" w:color="FFFFFF"/>
              <w:right w:val="single" w:sz="12" w:space="0" w:color="FFFFFF"/>
            </w:tcBorders>
            <w:shd w:val="clear" w:color="000000" w:fill="F2F2F2"/>
            <w:vAlign w:val="center"/>
            <w:hideMark/>
          </w:tcPr>
          <w:p w14:paraId="7777FDF8"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10 124 858,68</w:t>
            </w:r>
          </w:p>
        </w:tc>
        <w:tc>
          <w:tcPr>
            <w:tcW w:w="1417" w:type="dxa"/>
            <w:tcBorders>
              <w:top w:val="nil"/>
              <w:left w:val="nil"/>
              <w:bottom w:val="single" w:sz="12" w:space="0" w:color="FFFFFF"/>
              <w:right w:val="single" w:sz="12" w:space="0" w:color="FFFFFF"/>
            </w:tcBorders>
            <w:shd w:val="clear" w:color="000000" w:fill="F2F2F2"/>
            <w:vAlign w:val="center"/>
            <w:hideMark/>
          </w:tcPr>
          <w:p w14:paraId="5156F8D8"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14 253 951,35</w:t>
            </w:r>
          </w:p>
        </w:tc>
        <w:tc>
          <w:tcPr>
            <w:tcW w:w="1418" w:type="dxa"/>
            <w:tcBorders>
              <w:top w:val="nil"/>
              <w:left w:val="nil"/>
              <w:bottom w:val="single" w:sz="12" w:space="0" w:color="FFFFFF"/>
              <w:right w:val="single" w:sz="12" w:space="0" w:color="FFFFFF"/>
            </w:tcBorders>
            <w:shd w:val="clear" w:color="000000" w:fill="F2F2F2"/>
            <w:vAlign w:val="center"/>
            <w:hideMark/>
          </w:tcPr>
          <w:p w14:paraId="10956A16"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13 266 307,26</w:t>
            </w:r>
          </w:p>
        </w:tc>
        <w:tc>
          <w:tcPr>
            <w:tcW w:w="1417" w:type="dxa"/>
            <w:tcBorders>
              <w:top w:val="nil"/>
              <w:left w:val="nil"/>
              <w:bottom w:val="single" w:sz="12" w:space="0" w:color="FFFFFF"/>
              <w:right w:val="single" w:sz="12" w:space="0" w:color="FFFFFF"/>
            </w:tcBorders>
            <w:shd w:val="clear" w:color="000000" w:fill="F2F2F2"/>
            <w:vAlign w:val="center"/>
            <w:hideMark/>
          </w:tcPr>
          <w:p w14:paraId="4F138BE2"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10 892 819,60</w:t>
            </w:r>
          </w:p>
        </w:tc>
        <w:tc>
          <w:tcPr>
            <w:tcW w:w="1276" w:type="dxa"/>
            <w:tcBorders>
              <w:top w:val="nil"/>
              <w:left w:val="nil"/>
              <w:bottom w:val="single" w:sz="12" w:space="0" w:color="FFFFFF"/>
              <w:right w:val="single" w:sz="12" w:space="0" w:color="FFFFFF"/>
            </w:tcBorders>
            <w:shd w:val="clear" w:color="000000" w:fill="F2F2F2"/>
            <w:vAlign w:val="center"/>
            <w:hideMark/>
          </w:tcPr>
          <w:p w14:paraId="3BEA384A"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82,11%</w:t>
            </w:r>
          </w:p>
        </w:tc>
      </w:tr>
      <w:tr w:rsidR="004B27EC" w:rsidRPr="009E1C88" w14:paraId="2DF00ACD" w14:textId="77777777" w:rsidTr="00E70CE6">
        <w:trPr>
          <w:trHeight w:hRule="exact" w:val="842"/>
        </w:trPr>
        <w:tc>
          <w:tcPr>
            <w:tcW w:w="1686" w:type="dxa"/>
            <w:tcBorders>
              <w:top w:val="nil"/>
              <w:left w:val="single" w:sz="12" w:space="0" w:color="FFFFFF"/>
              <w:bottom w:val="single" w:sz="12" w:space="0" w:color="FFFFFF"/>
              <w:right w:val="single" w:sz="12" w:space="0" w:color="FFFFFF"/>
            </w:tcBorders>
            <w:shd w:val="clear" w:color="000000" w:fill="F2F2F2"/>
            <w:noWrap/>
            <w:vAlign w:val="center"/>
            <w:hideMark/>
          </w:tcPr>
          <w:p w14:paraId="3F0C0F21" w14:textId="77777777" w:rsidR="009E1C88" w:rsidRPr="009E1C88" w:rsidRDefault="009E1C88" w:rsidP="009E1C88">
            <w:pPr>
              <w:spacing w:after="0" w:line="240" w:lineRule="auto"/>
              <w:rPr>
                <w:rFonts w:cs="Calibri"/>
                <w:color w:val="000000"/>
                <w:sz w:val="20"/>
                <w:szCs w:val="20"/>
                <w:lang w:eastAsia="sk-SK"/>
              </w:rPr>
            </w:pPr>
            <w:r w:rsidRPr="009E1C88">
              <w:rPr>
                <w:rFonts w:cs="Calibri"/>
                <w:color w:val="000000"/>
                <w:sz w:val="20"/>
                <w:szCs w:val="20"/>
                <w:lang w:eastAsia="sk-SK"/>
              </w:rPr>
              <w:t>644 -  NS a PO nezaradeným vo VS</w:t>
            </w:r>
          </w:p>
        </w:tc>
        <w:tc>
          <w:tcPr>
            <w:tcW w:w="1701" w:type="dxa"/>
            <w:tcBorders>
              <w:top w:val="nil"/>
              <w:left w:val="nil"/>
              <w:bottom w:val="single" w:sz="12" w:space="0" w:color="FFFFFF"/>
              <w:right w:val="single" w:sz="12" w:space="0" w:color="FFFFFF"/>
            </w:tcBorders>
            <w:shd w:val="clear" w:color="000000" w:fill="F2F2F2"/>
            <w:vAlign w:val="center"/>
            <w:hideMark/>
          </w:tcPr>
          <w:p w14:paraId="4CAD39F5"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18 319 072,03</w:t>
            </w:r>
          </w:p>
        </w:tc>
        <w:tc>
          <w:tcPr>
            <w:tcW w:w="1418" w:type="dxa"/>
            <w:tcBorders>
              <w:top w:val="nil"/>
              <w:left w:val="nil"/>
              <w:bottom w:val="single" w:sz="12" w:space="0" w:color="FFFFFF"/>
              <w:right w:val="single" w:sz="12" w:space="0" w:color="FFFFFF"/>
            </w:tcBorders>
            <w:shd w:val="clear" w:color="000000" w:fill="F2F2F2"/>
            <w:vAlign w:val="center"/>
            <w:hideMark/>
          </w:tcPr>
          <w:p w14:paraId="2C954518"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21 443 682,83</w:t>
            </w:r>
          </w:p>
        </w:tc>
        <w:tc>
          <w:tcPr>
            <w:tcW w:w="1417" w:type="dxa"/>
            <w:tcBorders>
              <w:top w:val="nil"/>
              <w:left w:val="nil"/>
              <w:bottom w:val="single" w:sz="12" w:space="0" w:color="FFFFFF"/>
              <w:right w:val="single" w:sz="12" w:space="0" w:color="FFFFFF"/>
            </w:tcBorders>
            <w:shd w:val="clear" w:color="000000" w:fill="F2F2F2"/>
            <w:vAlign w:val="center"/>
            <w:hideMark/>
          </w:tcPr>
          <w:p w14:paraId="7588826E"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21 462 036,40</w:t>
            </w:r>
          </w:p>
        </w:tc>
        <w:tc>
          <w:tcPr>
            <w:tcW w:w="1418" w:type="dxa"/>
            <w:tcBorders>
              <w:top w:val="nil"/>
              <w:left w:val="nil"/>
              <w:bottom w:val="single" w:sz="12" w:space="0" w:color="FFFFFF"/>
              <w:right w:val="single" w:sz="12" w:space="0" w:color="FFFFFF"/>
            </w:tcBorders>
            <w:shd w:val="clear" w:color="000000" w:fill="F2F2F2"/>
            <w:vAlign w:val="center"/>
            <w:hideMark/>
          </w:tcPr>
          <w:p w14:paraId="1100B890"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21 796 150,69</w:t>
            </w:r>
          </w:p>
        </w:tc>
        <w:tc>
          <w:tcPr>
            <w:tcW w:w="1417" w:type="dxa"/>
            <w:tcBorders>
              <w:top w:val="nil"/>
              <w:left w:val="nil"/>
              <w:bottom w:val="single" w:sz="12" w:space="0" w:color="FFFFFF"/>
              <w:right w:val="single" w:sz="12" w:space="0" w:color="FFFFFF"/>
            </w:tcBorders>
            <w:shd w:val="clear" w:color="000000" w:fill="F2F2F2"/>
            <w:vAlign w:val="center"/>
            <w:hideMark/>
          </w:tcPr>
          <w:p w14:paraId="63B536DD"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21 151 801,81</w:t>
            </w:r>
          </w:p>
        </w:tc>
        <w:tc>
          <w:tcPr>
            <w:tcW w:w="1276" w:type="dxa"/>
            <w:tcBorders>
              <w:top w:val="nil"/>
              <w:left w:val="nil"/>
              <w:bottom w:val="single" w:sz="12" w:space="0" w:color="FFFFFF"/>
              <w:right w:val="single" w:sz="12" w:space="0" w:color="FFFFFF"/>
            </w:tcBorders>
            <w:shd w:val="clear" w:color="000000" w:fill="F2F2F2"/>
            <w:vAlign w:val="center"/>
            <w:hideMark/>
          </w:tcPr>
          <w:p w14:paraId="3A06B239"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97,04%</w:t>
            </w:r>
          </w:p>
        </w:tc>
      </w:tr>
      <w:tr w:rsidR="004B27EC" w:rsidRPr="009E1C88" w14:paraId="67376B7C" w14:textId="77777777" w:rsidTr="00E70CE6">
        <w:trPr>
          <w:trHeight w:hRule="exact" w:val="556"/>
        </w:trPr>
        <w:tc>
          <w:tcPr>
            <w:tcW w:w="1686" w:type="dxa"/>
            <w:tcBorders>
              <w:top w:val="nil"/>
              <w:left w:val="single" w:sz="12" w:space="0" w:color="FFFFFF"/>
              <w:bottom w:val="single" w:sz="12" w:space="0" w:color="FFFFFF"/>
              <w:right w:val="single" w:sz="12" w:space="0" w:color="FFFFFF"/>
            </w:tcBorders>
            <w:shd w:val="clear" w:color="000000" w:fill="F2F2F2"/>
            <w:noWrap/>
            <w:vAlign w:val="center"/>
            <w:hideMark/>
          </w:tcPr>
          <w:p w14:paraId="6CDB28FF" w14:textId="77777777" w:rsidR="009E1C88" w:rsidRPr="009E1C88" w:rsidRDefault="009E1C88" w:rsidP="009E1C88">
            <w:pPr>
              <w:spacing w:after="0" w:line="240" w:lineRule="auto"/>
              <w:rPr>
                <w:rFonts w:cs="Calibri"/>
                <w:color w:val="000000"/>
                <w:sz w:val="20"/>
                <w:szCs w:val="20"/>
                <w:lang w:eastAsia="sk-SK"/>
              </w:rPr>
            </w:pPr>
            <w:r w:rsidRPr="009E1C88">
              <w:rPr>
                <w:rFonts w:cs="Calibri"/>
                <w:color w:val="000000"/>
                <w:sz w:val="20"/>
                <w:szCs w:val="20"/>
                <w:lang w:eastAsia="sk-SK"/>
              </w:rPr>
              <w:t>649 -  do zahraničia</w:t>
            </w:r>
          </w:p>
        </w:tc>
        <w:tc>
          <w:tcPr>
            <w:tcW w:w="1701" w:type="dxa"/>
            <w:tcBorders>
              <w:top w:val="nil"/>
              <w:left w:val="nil"/>
              <w:bottom w:val="single" w:sz="12" w:space="0" w:color="FFFFFF"/>
              <w:right w:val="single" w:sz="12" w:space="0" w:color="FFFFFF"/>
            </w:tcBorders>
            <w:shd w:val="clear" w:color="000000" w:fill="F2F2F2"/>
            <w:vAlign w:val="center"/>
            <w:hideMark/>
          </w:tcPr>
          <w:p w14:paraId="2EC0A644"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26 810,29</w:t>
            </w:r>
          </w:p>
        </w:tc>
        <w:tc>
          <w:tcPr>
            <w:tcW w:w="1418" w:type="dxa"/>
            <w:tcBorders>
              <w:top w:val="nil"/>
              <w:left w:val="nil"/>
              <w:bottom w:val="single" w:sz="12" w:space="0" w:color="FFFFFF"/>
              <w:right w:val="single" w:sz="12" w:space="0" w:color="FFFFFF"/>
            </w:tcBorders>
            <w:shd w:val="clear" w:color="000000" w:fill="F2F2F2"/>
            <w:vAlign w:val="center"/>
            <w:hideMark/>
          </w:tcPr>
          <w:p w14:paraId="2FB73A46"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275 176,55</w:t>
            </w:r>
          </w:p>
        </w:tc>
        <w:tc>
          <w:tcPr>
            <w:tcW w:w="1417" w:type="dxa"/>
            <w:tcBorders>
              <w:top w:val="nil"/>
              <w:left w:val="nil"/>
              <w:bottom w:val="single" w:sz="12" w:space="0" w:color="FFFFFF"/>
              <w:right w:val="single" w:sz="12" w:space="0" w:color="FFFFFF"/>
            </w:tcBorders>
            <w:shd w:val="clear" w:color="000000" w:fill="F2F2F2"/>
            <w:vAlign w:val="center"/>
            <w:hideMark/>
          </w:tcPr>
          <w:p w14:paraId="2343526B"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1 509 828,69</w:t>
            </w:r>
          </w:p>
        </w:tc>
        <w:tc>
          <w:tcPr>
            <w:tcW w:w="1418" w:type="dxa"/>
            <w:tcBorders>
              <w:top w:val="nil"/>
              <w:left w:val="nil"/>
              <w:bottom w:val="single" w:sz="12" w:space="0" w:color="FFFFFF"/>
              <w:right w:val="single" w:sz="12" w:space="0" w:color="FFFFFF"/>
            </w:tcBorders>
            <w:shd w:val="clear" w:color="000000" w:fill="F2F2F2"/>
            <w:vAlign w:val="center"/>
            <w:hideMark/>
          </w:tcPr>
          <w:p w14:paraId="68BD952E"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1 465 869,17</w:t>
            </w:r>
          </w:p>
        </w:tc>
        <w:tc>
          <w:tcPr>
            <w:tcW w:w="1417" w:type="dxa"/>
            <w:tcBorders>
              <w:top w:val="nil"/>
              <w:left w:val="nil"/>
              <w:bottom w:val="single" w:sz="12" w:space="0" w:color="FFFFFF"/>
              <w:right w:val="single" w:sz="12" w:space="0" w:color="FFFFFF"/>
            </w:tcBorders>
            <w:shd w:val="clear" w:color="000000" w:fill="F2F2F2"/>
            <w:vAlign w:val="center"/>
            <w:hideMark/>
          </w:tcPr>
          <w:p w14:paraId="4C10FC66"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591 111,21</w:t>
            </w:r>
          </w:p>
        </w:tc>
        <w:tc>
          <w:tcPr>
            <w:tcW w:w="1276" w:type="dxa"/>
            <w:tcBorders>
              <w:top w:val="nil"/>
              <w:left w:val="nil"/>
              <w:bottom w:val="single" w:sz="12" w:space="0" w:color="FFFFFF"/>
              <w:right w:val="single" w:sz="12" w:space="0" w:color="FFFFFF"/>
            </w:tcBorders>
            <w:shd w:val="clear" w:color="000000" w:fill="F2F2F2"/>
            <w:vAlign w:val="center"/>
            <w:hideMark/>
          </w:tcPr>
          <w:p w14:paraId="42AFA41B" w14:textId="77777777" w:rsidR="009E1C88" w:rsidRPr="009E1C88" w:rsidRDefault="009E1C88" w:rsidP="009E1C88">
            <w:pPr>
              <w:spacing w:after="0" w:line="240" w:lineRule="auto"/>
              <w:jc w:val="right"/>
              <w:rPr>
                <w:rFonts w:cs="Calibri"/>
                <w:color w:val="000000"/>
                <w:sz w:val="20"/>
                <w:szCs w:val="20"/>
                <w:lang w:eastAsia="sk-SK"/>
              </w:rPr>
            </w:pPr>
            <w:r w:rsidRPr="009E1C88">
              <w:rPr>
                <w:rFonts w:cs="Calibri"/>
                <w:color w:val="000000"/>
                <w:sz w:val="20"/>
                <w:szCs w:val="20"/>
                <w:lang w:eastAsia="sk-SK"/>
              </w:rPr>
              <w:t>40,32%</w:t>
            </w:r>
          </w:p>
        </w:tc>
      </w:tr>
      <w:tr w:rsidR="004B27EC" w:rsidRPr="009E1C88" w14:paraId="15538568" w14:textId="77777777" w:rsidTr="00E70CE6">
        <w:trPr>
          <w:trHeight w:val="330"/>
        </w:trPr>
        <w:tc>
          <w:tcPr>
            <w:tcW w:w="1686" w:type="dxa"/>
            <w:tcBorders>
              <w:top w:val="nil"/>
              <w:left w:val="single" w:sz="12" w:space="0" w:color="FFFFFF"/>
              <w:bottom w:val="single" w:sz="12" w:space="0" w:color="FFFFFF"/>
              <w:right w:val="single" w:sz="12" w:space="0" w:color="FFFFFF"/>
            </w:tcBorders>
            <w:shd w:val="clear" w:color="000000" w:fill="8DB3E2"/>
            <w:noWrap/>
            <w:vAlign w:val="center"/>
            <w:hideMark/>
          </w:tcPr>
          <w:p w14:paraId="54235F6B" w14:textId="77777777" w:rsidR="009E1C88" w:rsidRPr="009E1C88" w:rsidRDefault="009E1C88" w:rsidP="009E1C88">
            <w:pPr>
              <w:spacing w:after="0" w:line="240" w:lineRule="auto"/>
              <w:rPr>
                <w:rFonts w:cs="Calibri"/>
                <w:b/>
                <w:bCs/>
                <w:color w:val="000000"/>
                <w:sz w:val="20"/>
                <w:szCs w:val="20"/>
                <w:lang w:eastAsia="sk-SK"/>
              </w:rPr>
            </w:pPr>
            <w:r w:rsidRPr="009E1C88">
              <w:rPr>
                <w:rFonts w:cs="Calibri"/>
                <w:b/>
                <w:bCs/>
                <w:color w:val="000000"/>
                <w:sz w:val="20"/>
                <w:szCs w:val="20"/>
                <w:lang w:eastAsia="sk-SK"/>
              </w:rPr>
              <w:t>Celkom</w:t>
            </w:r>
          </w:p>
        </w:tc>
        <w:tc>
          <w:tcPr>
            <w:tcW w:w="1701" w:type="dxa"/>
            <w:tcBorders>
              <w:top w:val="nil"/>
              <w:left w:val="nil"/>
              <w:bottom w:val="single" w:sz="12" w:space="0" w:color="FFFFFF"/>
              <w:right w:val="single" w:sz="12" w:space="0" w:color="FFFFFF"/>
            </w:tcBorders>
            <w:shd w:val="clear" w:color="000000" w:fill="8DB3E2"/>
            <w:noWrap/>
            <w:vAlign w:val="center"/>
            <w:hideMark/>
          </w:tcPr>
          <w:p w14:paraId="6C1070DF" w14:textId="77777777" w:rsidR="009E1C88" w:rsidRPr="009E1C88" w:rsidRDefault="009E1C88" w:rsidP="009E1C88">
            <w:pPr>
              <w:spacing w:after="0" w:line="240" w:lineRule="auto"/>
              <w:jc w:val="right"/>
              <w:rPr>
                <w:rFonts w:cs="Calibri"/>
                <w:b/>
                <w:bCs/>
                <w:color w:val="000000"/>
                <w:sz w:val="20"/>
                <w:szCs w:val="20"/>
                <w:lang w:eastAsia="sk-SK"/>
              </w:rPr>
            </w:pPr>
            <w:r w:rsidRPr="009E1C88">
              <w:rPr>
                <w:rFonts w:cs="Calibri"/>
                <w:b/>
                <w:bCs/>
                <w:color w:val="000000"/>
                <w:sz w:val="20"/>
                <w:szCs w:val="20"/>
                <w:lang w:eastAsia="sk-SK"/>
              </w:rPr>
              <w:t>45 752 885,55</w:t>
            </w:r>
          </w:p>
        </w:tc>
        <w:tc>
          <w:tcPr>
            <w:tcW w:w="1418" w:type="dxa"/>
            <w:tcBorders>
              <w:top w:val="nil"/>
              <w:left w:val="nil"/>
              <w:bottom w:val="single" w:sz="12" w:space="0" w:color="FFFFFF"/>
              <w:right w:val="single" w:sz="12" w:space="0" w:color="FFFFFF"/>
            </w:tcBorders>
            <w:shd w:val="clear" w:color="000000" w:fill="8DB3E2"/>
            <w:noWrap/>
            <w:vAlign w:val="center"/>
            <w:hideMark/>
          </w:tcPr>
          <w:p w14:paraId="4DC71585" w14:textId="77777777" w:rsidR="009E1C88" w:rsidRPr="009E1C88" w:rsidRDefault="009E1C88" w:rsidP="009E1C88">
            <w:pPr>
              <w:spacing w:after="0" w:line="240" w:lineRule="auto"/>
              <w:jc w:val="right"/>
              <w:rPr>
                <w:rFonts w:cs="Calibri"/>
                <w:b/>
                <w:bCs/>
                <w:color w:val="000000"/>
                <w:sz w:val="20"/>
                <w:szCs w:val="20"/>
                <w:lang w:eastAsia="sk-SK"/>
              </w:rPr>
            </w:pPr>
            <w:r w:rsidRPr="009E1C88">
              <w:rPr>
                <w:rFonts w:cs="Calibri"/>
                <w:b/>
                <w:bCs/>
                <w:color w:val="000000"/>
                <w:sz w:val="20"/>
                <w:szCs w:val="20"/>
                <w:lang w:eastAsia="sk-SK"/>
              </w:rPr>
              <w:t>55 436 366,24</w:t>
            </w:r>
          </w:p>
        </w:tc>
        <w:tc>
          <w:tcPr>
            <w:tcW w:w="1417" w:type="dxa"/>
            <w:tcBorders>
              <w:top w:val="nil"/>
              <w:left w:val="nil"/>
              <w:bottom w:val="single" w:sz="12" w:space="0" w:color="FFFFFF"/>
              <w:right w:val="single" w:sz="12" w:space="0" w:color="FFFFFF"/>
            </w:tcBorders>
            <w:shd w:val="clear" w:color="000000" w:fill="8DB3E2"/>
            <w:noWrap/>
            <w:vAlign w:val="center"/>
            <w:hideMark/>
          </w:tcPr>
          <w:p w14:paraId="6991688E" w14:textId="77777777" w:rsidR="009E1C88" w:rsidRPr="009E1C88" w:rsidRDefault="009E1C88" w:rsidP="009E1C88">
            <w:pPr>
              <w:spacing w:after="0" w:line="240" w:lineRule="auto"/>
              <w:jc w:val="right"/>
              <w:rPr>
                <w:rFonts w:cs="Calibri"/>
                <w:b/>
                <w:bCs/>
                <w:color w:val="000000"/>
                <w:sz w:val="20"/>
                <w:szCs w:val="20"/>
                <w:lang w:eastAsia="sk-SK"/>
              </w:rPr>
            </w:pPr>
            <w:r w:rsidRPr="009E1C88">
              <w:rPr>
                <w:rFonts w:cs="Calibri"/>
                <w:b/>
                <w:bCs/>
                <w:color w:val="000000"/>
                <w:sz w:val="20"/>
                <w:szCs w:val="20"/>
                <w:lang w:eastAsia="sk-SK"/>
              </w:rPr>
              <w:t>63 413 241,51</w:t>
            </w:r>
          </w:p>
        </w:tc>
        <w:tc>
          <w:tcPr>
            <w:tcW w:w="1418" w:type="dxa"/>
            <w:tcBorders>
              <w:top w:val="nil"/>
              <w:left w:val="nil"/>
              <w:bottom w:val="single" w:sz="12" w:space="0" w:color="FFFFFF"/>
              <w:right w:val="single" w:sz="12" w:space="0" w:color="FFFFFF"/>
            </w:tcBorders>
            <w:shd w:val="clear" w:color="000000" w:fill="8DB3E2"/>
            <w:noWrap/>
            <w:vAlign w:val="center"/>
            <w:hideMark/>
          </w:tcPr>
          <w:p w14:paraId="0A64F63E" w14:textId="77777777" w:rsidR="009E1C88" w:rsidRPr="009E1C88" w:rsidRDefault="009E1C88" w:rsidP="009E1C88">
            <w:pPr>
              <w:spacing w:after="0" w:line="240" w:lineRule="auto"/>
              <w:jc w:val="right"/>
              <w:rPr>
                <w:rFonts w:cs="Calibri"/>
                <w:b/>
                <w:bCs/>
                <w:color w:val="000000"/>
                <w:sz w:val="20"/>
                <w:szCs w:val="20"/>
                <w:lang w:eastAsia="sk-SK"/>
              </w:rPr>
            </w:pPr>
            <w:r w:rsidRPr="009E1C88">
              <w:rPr>
                <w:rFonts w:cs="Calibri"/>
                <w:b/>
                <w:bCs/>
                <w:color w:val="000000"/>
                <w:sz w:val="20"/>
                <w:szCs w:val="20"/>
                <w:lang w:eastAsia="sk-SK"/>
              </w:rPr>
              <w:t>61 192 807,86</w:t>
            </w:r>
          </w:p>
        </w:tc>
        <w:tc>
          <w:tcPr>
            <w:tcW w:w="1417" w:type="dxa"/>
            <w:tcBorders>
              <w:top w:val="nil"/>
              <w:left w:val="nil"/>
              <w:bottom w:val="single" w:sz="12" w:space="0" w:color="FFFFFF"/>
              <w:right w:val="single" w:sz="12" w:space="0" w:color="FFFFFF"/>
            </w:tcBorders>
            <w:shd w:val="clear" w:color="000000" w:fill="8DB3E2"/>
            <w:noWrap/>
            <w:vAlign w:val="center"/>
            <w:hideMark/>
          </w:tcPr>
          <w:p w14:paraId="5E475627" w14:textId="77777777" w:rsidR="009E1C88" w:rsidRPr="009E1C88" w:rsidRDefault="009E1C88" w:rsidP="009E1C88">
            <w:pPr>
              <w:spacing w:after="0" w:line="240" w:lineRule="auto"/>
              <w:jc w:val="right"/>
              <w:rPr>
                <w:rFonts w:cs="Calibri"/>
                <w:b/>
                <w:bCs/>
                <w:color w:val="000000"/>
                <w:sz w:val="20"/>
                <w:szCs w:val="20"/>
                <w:lang w:eastAsia="sk-SK"/>
              </w:rPr>
            </w:pPr>
            <w:r w:rsidRPr="009E1C88">
              <w:rPr>
                <w:rFonts w:cs="Calibri"/>
                <w:b/>
                <w:bCs/>
                <w:color w:val="000000"/>
                <w:sz w:val="20"/>
                <w:szCs w:val="20"/>
                <w:lang w:eastAsia="sk-SK"/>
              </w:rPr>
              <w:t>55 922 704,84</w:t>
            </w:r>
          </w:p>
        </w:tc>
        <w:tc>
          <w:tcPr>
            <w:tcW w:w="1276" w:type="dxa"/>
            <w:tcBorders>
              <w:top w:val="nil"/>
              <w:left w:val="nil"/>
              <w:bottom w:val="single" w:sz="12" w:space="0" w:color="FFFFFF"/>
              <w:right w:val="single" w:sz="12" w:space="0" w:color="FFFFFF"/>
            </w:tcBorders>
            <w:shd w:val="clear" w:color="000000" w:fill="95B3D7"/>
            <w:vAlign w:val="center"/>
            <w:hideMark/>
          </w:tcPr>
          <w:p w14:paraId="71C107C2" w14:textId="77777777" w:rsidR="009E1C88" w:rsidRPr="009E1C88" w:rsidRDefault="009E1C88" w:rsidP="009E1C88">
            <w:pPr>
              <w:spacing w:after="0" w:line="240" w:lineRule="auto"/>
              <w:jc w:val="right"/>
              <w:rPr>
                <w:rFonts w:cs="Calibri"/>
                <w:b/>
                <w:bCs/>
                <w:color w:val="000000"/>
                <w:sz w:val="20"/>
                <w:szCs w:val="20"/>
                <w:lang w:eastAsia="sk-SK"/>
              </w:rPr>
            </w:pPr>
            <w:r w:rsidRPr="009E1C88">
              <w:rPr>
                <w:rFonts w:cs="Calibri"/>
                <w:b/>
                <w:bCs/>
                <w:color w:val="000000"/>
                <w:sz w:val="20"/>
                <w:szCs w:val="20"/>
                <w:lang w:eastAsia="sk-SK"/>
              </w:rPr>
              <w:t>91,39%</w:t>
            </w:r>
          </w:p>
        </w:tc>
      </w:tr>
    </w:tbl>
    <w:p w14:paraId="57B905D2" w14:textId="77777777" w:rsidR="00410B79" w:rsidRDefault="00410B79" w:rsidP="007269CE">
      <w:pPr>
        <w:spacing w:line="240" w:lineRule="auto"/>
        <w:jc w:val="both"/>
        <w:rPr>
          <w:rFonts w:asciiTheme="minorHAnsi" w:hAnsiTheme="minorHAnsi" w:cstheme="minorHAnsi"/>
          <w:sz w:val="24"/>
          <w:szCs w:val="24"/>
        </w:rPr>
      </w:pPr>
    </w:p>
    <w:p w14:paraId="54393E3F" w14:textId="1F70B5F1" w:rsidR="00BE704E" w:rsidRDefault="00BE704E" w:rsidP="007269CE">
      <w:pPr>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V rámci tejto kategórie najväčší objem finančných prostriedkov predstavovali </w:t>
      </w:r>
      <w:r w:rsidRPr="007F70AF">
        <w:rPr>
          <w:rFonts w:asciiTheme="minorHAnsi" w:hAnsiTheme="minorHAnsi" w:cstheme="minorHAnsi"/>
          <w:sz w:val="24"/>
          <w:szCs w:val="24"/>
          <w:u w:val="single"/>
        </w:rPr>
        <w:t>transfery v rámci verejnej správy - 641</w:t>
      </w:r>
      <w:r>
        <w:rPr>
          <w:rFonts w:asciiTheme="minorHAnsi" w:hAnsiTheme="minorHAnsi" w:cstheme="minorHAnsi"/>
          <w:sz w:val="24"/>
          <w:szCs w:val="24"/>
        </w:rPr>
        <w:t xml:space="preserve">, a to </w:t>
      </w:r>
      <w:r>
        <w:rPr>
          <w:rFonts w:asciiTheme="minorHAnsi" w:hAnsiTheme="minorHAnsi" w:cstheme="minorHAnsi"/>
          <w:bCs/>
          <w:sz w:val="24"/>
          <w:szCs w:val="24"/>
        </w:rPr>
        <w:t>hlavne</w:t>
      </w:r>
      <w:r w:rsidRPr="0008413C">
        <w:rPr>
          <w:rFonts w:asciiTheme="minorHAnsi" w:hAnsiTheme="minorHAnsi" w:cstheme="minorHAnsi"/>
          <w:bCs/>
          <w:sz w:val="24"/>
          <w:szCs w:val="24"/>
        </w:rPr>
        <w:t xml:space="preserve"> transfery z</w:t>
      </w:r>
      <w:r>
        <w:rPr>
          <w:rFonts w:asciiTheme="minorHAnsi" w:hAnsiTheme="minorHAnsi" w:cstheme="minorHAnsi"/>
          <w:bCs/>
          <w:sz w:val="24"/>
          <w:szCs w:val="24"/>
        </w:rPr>
        <w:t>o štátneho</w:t>
      </w:r>
      <w:r w:rsidRPr="0008413C">
        <w:rPr>
          <w:rFonts w:asciiTheme="minorHAnsi" w:hAnsiTheme="minorHAnsi" w:cstheme="minorHAnsi"/>
          <w:b/>
          <w:bCs/>
          <w:sz w:val="24"/>
          <w:szCs w:val="24"/>
        </w:rPr>
        <w:t> </w:t>
      </w:r>
      <w:r w:rsidRPr="0008413C">
        <w:rPr>
          <w:rFonts w:asciiTheme="minorHAnsi" w:hAnsiTheme="minorHAnsi" w:cstheme="minorHAnsi"/>
          <w:bCs/>
          <w:sz w:val="24"/>
          <w:szCs w:val="24"/>
        </w:rPr>
        <w:t xml:space="preserve">rozpočtu </w:t>
      </w:r>
      <w:r>
        <w:rPr>
          <w:rFonts w:asciiTheme="minorHAnsi" w:hAnsiTheme="minorHAnsi" w:cstheme="minorHAnsi"/>
          <w:bCs/>
          <w:sz w:val="24"/>
          <w:szCs w:val="24"/>
        </w:rPr>
        <w:t xml:space="preserve">z </w:t>
      </w:r>
      <w:r w:rsidRPr="0008413C">
        <w:rPr>
          <w:rFonts w:asciiTheme="minorHAnsi" w:hAnsiTheme="minorHAnsi" w:cstheme="minorHAnsi"/>
          <w:sz w:val="24"/>
          <w:szCs w:val="24"/>
        </w:rPr>
        <w:t xml:space="preserve">kapitoly Ministerstva školstva, vedy, výskumu a športu SR </w:t>
      </w:r>
      <w:r>
        <w:rPr>
          <w:rFonts w:asciiTheme="minorHAnsi" w:hAnsiTheme="minorHAnsi" w:cstheme="minorHAnsi"/>
          <w:sz w:val="24"/>
          <w:szCs w:val="24"/>
        </w:rPr>
        <w:t xml:space="preserve">a z rozpočtu BSK </w:t>
      </w:r>
      <w:r w:rsidRPr="0008413C">
        <w:rPr>
          <w:rFonts w:asciiTheme="minorHAnsi" w:hAnsiTheme="minorHAnsi" w:cstheme="minorHAnsi"/>
          <w:sz w:val="24"/>
          <w:szCs w:val="24"/>
        </w:rPr>
        <w:t xml:space="preserve">na financovanie vzdelávania </w:t>
      </w:r>
      <w:r>
        <w:rPr>
          <w:rFonts w:asciiTheme="minorHAnsi" w:hAnsiTheme="minorHAnsi" w:cstheme="minorHAnsi"/>
          <w:sz w:val="24"/>
          <w:szCs w:val="24"/>
        </w:rPr>
        <w:t>na príspevkových</w:t>
      </w:r>
      <w:r w:rsidRPr="0008413C">
        <w:rPr>
          <w:rFonts w:asciiTheme="minorHAnsi" w:hAnsiTheme="minorHAnsi" w:cstheme="minorHAnsi"/>
          <w:sz w:val="24"/>
          <w:szCs w:val="24"/>
        </w:rPr>
        <w:t xml:space="preserve"> </w:t>
      </w:r>
      <w:r>
        <w:rPr>
          <w:rFonts w:asciiTheme="minorHAnsi" w:hAnsiTheme="minorHAnsi" w:cstheme="minorHAnsi"/>
          <w:sz w:val="24"/>
          <w:szCs w:val="24"/>
        </w:rPr>
        <w:t>stredných</w:t>
      </w:r>
      <w:r w:rsidRPr="0008413C">
        <w:rPr>
          <w:rFonts w:asciiTheme="minorHAnsi" w:hAnsiTheme="minorHAnsi" w:cstheme="minorHAnsi"/>
          <w:sz w:val="24"/>
          <w:szCs w:val="24"/>
        </w:rPr>
        <w:t xml:space="preserve"> šk</w:t>
      </w:r>
      <w:r>
        <w:rPr>
          <w:rFonts w:asciiTheme="minorHAnsi" w:hAnsiTheme="minorHAnsi" w:cstheme="minorHAnsi"/>
          <w:sz w:val="24"/>
          <w:szCs w:val="24"/>
        </w:rPr>
        <w:t xml:space="preserve">olách </w:t>
      </w:r>
      <w:r w:rsidR="00410B79">
        <w:rPr>
          <w:rFonts w:asciiTheme="minorHAnsi" w:hAnsiTheme="minorHAnsi" w:cstheme="minorHAnsi"/>
          <w:sz w:val="24"/>
          <w:szCs w:val="24"/>
        </w:rPr>
        <w:t xml:space="preserve">a zabezpečenie prevádzky vo výške 18,22 mil. EUR, </w:t>
      </w:r>
      <w:r>
        <w:rPr>
          <w:rFonts w:asciiTheme="minorHAnsi" w:hAnsiTheme="minorHAnsi" w:cstheme="minorHAnsi"/>
          <w:sz w:val="24"/>
          <w:szCs w:val="24"/>
        </w:rPr>
        <w:t>na financovanie kultúrnych zariadení</w:t>
      </w:r>
      <w:r w:rsidR="00410B79">
        <w:rPr>
          <w:rFonts w:asciiTheme="minorHAnsi" w:hAnsiTheme="minorHAnsi" w:cstheme="minorHAnsi"/>
          <w:sz w:val="24"/>
          <w:szCs w:val="24"/>
        </w:rPr>
        <w:t xml:space="preserve"> z vlastných zdrojov BSK vo výške </w:t>
      </w:r>
      <w:r w:rsidR="00410B79">
        <w:rPr>
          <w:rFonts w:asciiTheme="minorHAnsi" w:hAnsiTheme="minorHAnsi" w:cstheme="minorHAnsi"/>
          <w:sz w:val="24"/>
          <w:szCs w:val="24"/>
        </w:rPr>
        <w:br/>
        <w:t>4,40 mil. EUR</w:t>
      </w:r>
      <w:r>
        <w:rPr>
          <w:rFonts w:asciiTheme="minorHAnsi" w:hAnsiTheme="minorHAnsi" w:cstheme="minorHAnsi"/>
          <w:sz w:val="24"/>
          <w:szCs w:val="24"/>
        </w:rPr>
        <w:t xml:space="preserve">, </w:t>
      </w:r>
      <w:r w:rsidR="00410B79">
        <w:rPr>
          <w:rFonts w:asciiTheme="minorHAnsi" w:hAnsiTheme="minorHAnsi" w:cstheme="minorHAnsi"/>
          <w:sz w:val="24"/>
          <w:szCs w:val="24"/>
        </w:rPr>
        <w:t xml:space="preserve">dofinancovanie bežných výdavkov Polikliniky Karlová Ves aj s ohľadom na výdavky kvôli </w:t>
      </w:r>
      <w:proofErr w:type="spellStart"/>
      <w:r w:rsidR="00410B79">
        <w:rPr>
          <w:rFonts w:asciiTheme="minorHAnsi" w:hAnsiTheme="minorHAnsi" w:cstheme="minorHAnsi"/>
          <w:sz w:val="24"/>
          <w:szCs w:val="24"/>
        </w:rPr>
        <w:t>pandemickej</w:t>
      </w:r>
      <w:proofErr w:type="spellEnd"/>
      <w:r w:rsidR="00410B79">
        <w:rPr>
          <w:rFonts w:asciiTheme="minorHAnsi" w:hAnsiTheme="minorHAnsi" w:cstheme="minorHAnsi"/>
          <w:sz w:val="24"/>
          <w:szCs w:val="24"/>
        </w:rPr>
        <w:t xml:space="preserve"> situácie vo výške cca 170 tis. EUR</w:t>
      </w:r>
      <w:r w:rsidRPr="00BD1310">
        <w:rPr>
          <w:rFonts w:asciiTheme="minorHAnsi" w:hAnsiTheme="minorHAnsi" w:cstheme="minorHAnsi"/>
          <w:sz w:val="24"/>
          <w:szCs w:val="24"/>
        </w:rPr>
        <w:t xml:space="preserve">. </w:t>
      </w:r>
      <w:r w:rsidRPr="007F70AF">
        <w:rPr>
          <w:rFonts w:asciiTheme="minorHAnsi" w:hAnsiTheme="minorHAnsi" w:cstheme="minorHAnsi"/>
          <w:sz w:val="24"/>
          <w:szCs w:val="24"/>
          <w:u w:val="single"/>
        </w:rPr>
        <w:t>Kategória 642 - transfery jednotlivcom a neziskovým právnickým osobám</w:t>
      </w:r>
      <w:r>
        <w:rPr>
          <w:rFonts w:asciiTheme="minorHAnsi" w:hAnsiTheme="minorHAnsi" w:cstheme="minorHAnsi"/>
          <w:sz w:val="24"/>
          <w:szCs w:val="24"/>
        </w:rPr>
        <w:t xml:space="preserve"> zahŕňa finančné príspevky </w:t>
      </w:r>
      <w:r w:rsidR="002F1BD4">
        <w:rPr>
          <w:rFonts w:asciiTheme="minorHAnsi" w:hAnsiTheme="minorHAnsi" w:cstheme="minorHAnsi"/>
          <w:sz w:val="24"/>
          <w:szCs w:val="24"/>
        </w:rPr>
        <w:t>z vlastných zdrojov BSK n</w:t>
      </w:r>
      <w:r w:rsidR="00D069F2" w:rsidRPr="00D069F2">
        <w:rPr>
          <w:rFonts w:asciiTheme="minorHAnsi" w:hAnsiTheme="minorHAnsi" w:cstheme="minorHAnsi"/>
          <w:sz w:val="24"/>
          <w:szCs w:val="24"/>
        </w:rPr>
        <w:t>eštátn</w:t>
      </w:r>
      <w:r w:rsidR="002F1BD4">
        <w:rPr>
          <w:rFonts w:asciiTheme="minorHAnsi" w:hAnsiTheme="minorHAnsi" w:cstheme="minorHAnsi"/>
          <w:sz w:val="24"/>
          <w:szCs w:val="24"/>
        </w:rPr>
        <w:t>ym</w:t>
      </w:r>
      <w:r w:rsidR="00D069F2" w:rsidRPr="00D069F2">
        <w:rPr>
          <w:rFonts w:asciiTheme="minorHAnsi" w:hAnsiTheme="minorHAnsi" w:cstheme="minorHAnsi"/>
          <w:sz w:val="24"/>
          <w:szCs w:val="24"/>
        </w:rPr>
        <w:t xml:space="preserve"> zriaďovate</w:t>
      </w:r>
      <w:r w:rsidR="002F1BD4">
        <w:rPr>
          <w:rFonts w:asciiTheme="minorHAnsi" w:hAnsiTheme="minorHAnsi" w:cstheme="minorHAnsi"/>
          <w:sz w:val="24"/>
          <w:szCs w:val="24"/>
        </w:rPr>
        <w:t>ľom</w:t>
      </w:r>
      <w:r w:rsidR="00D069F2" w:rsidRPr="00D069F2">
        <w:rPr>
          <w:rFonts w:asciiTheme="minorHAnsi" w:hAnsiTheme="minorHAnsi" w:cstheme="minorHAnsi"/>
          <w:sz w:val="24"/>
          <w:szCs w:val="24"/>
        </w:rPr>
        <w:t xml:space="preserve"> ZUŠ a školských zariadení</w:t>
      </w:r>
      <w:r w:rsidR="002F1BD4">
        <w:rPr>
          <w:rFonts w:asciiTheme="minorHAnsi" w:hAnsiTheme="minorHAnsi" w:cstheme="minorHAnsi"/>
          <w:sz w:val="24"/>
          <w:szCs w:val="24"/>
        </w:rPr>
        <w:t xml:space="preserve"> vo výške cca 2,12 mil. EUR</w:t>
      </w:r>
      <w:r>
        <w:rPr>
          <w:rFonts w:asciiTheme="minorHAnsi" w:hAnsiTheme="minorHAnsi" w:cstheme="minorHAnsi"/>
          <w:sz w:val="24"/>
          <w:szCs w:val="24"/>
        </w:rPr>
        <w:t xml:space="preserve">, </w:t>
      </w:r>
      <w:r w:rsidR="002F1BD4">
        <w:rPr>
          <w:rFonts w:asciiTheme="minorHAnsi" w:hAnsiTheme="minorHAnsi" w:cstheme="minorHAnsi"/>
          <w:sz w:val="24"/>
          <w:szCs w:val="24"/>
        </w:rPr>
        <w:t xml:space="preserve">neštátnym neziskovým </w:t>
      </w:r>
      <w:proofErr w:type="spellStart"/>
      <w:r w:rsidR="002F1BD4">
        <w:rPr>
          <w:rFonts w:asciiTheme="minorHAnsi" w:hAnsiTheme="minorHAnsi" w:cstheme="minorHAnsi"/>
          <w:sz w:val="24"/>
          <w:szCs w:val="24"/>
        </w:rPr>
        <w:t>organizáciam</w:t>
      </w:r>
      <w:proofErr w:type="spellEnd"/>
      <w:r w:rsidR="002F1BD4" w:rsidRPr="00960906">
        <w:rPr>
          <w:rFonts w:asciiTheme="minorHAnsi" w:hAnsiTheme="minorHAnsi" w:cstheme="minorHAnsi"/>
          <w:sz w:val="24"/>
          <w:szCs w:val="24"/>
        </w:rPr>
        <w:t xml:space="preserve"> </w:t>
      </w:r>
      <w:r w:rsidR="002F1BD4">
        <w:rPr>
          <w:rFonts w:asciiTheme="minorHAnsi" w:hAnsiTheme="minorHAnsi" w:cstheme="minorHAnsi"/>
          <w:sz w:val="24"/>
          <w:szCs w:val="24"/>
        </w:rPr>
        <w:t xml:space="preserve">poskytujúcim </w:t>
      </w:r>
      <w:proofErr w:type="spellStart"/>
      <w:r w:rsidR="002F1BD4">
        <w:rPr>
          <w:rFonts w:asciiTheme="minorHAnsi" w:hAnsiTheme="minorHAnsi" w:cstheme="minorHAnsi"/>
          <w:sz w:val="24"/>
          <w:szCs w:val="24"/>
        </w:rPr>
        <w:t>verejnoprospečné</w:t>
      </w:r>
      <w:proofErr w:type="spellEnd"/>
      <w:r w:rsidR="002F1BD4">
        <w:rPr>
          <w:rFonts w:asciiTheme="minorHAnsi" w:hAnsiTheme="minorHAnsi" w:cstheme="minorHAnsi"/>
          <w:sz w:val="24"/>
          <w:szCs w:val="24"/>
        </w:rPr>
        <w:t xml:space="preserve"> služby v sociálnej oblasti zo zdrojov BSK vo výške cca 7,29 mil. EUR</w:t>
      </w:r>
      <w:r>
        <w:rPr>
          <w:rFonts w:asciiTheme="minorHAnsi" w:hAnsiTheme="minorHAnsi" w:cstheme="minorHAnsi"/>
          <w:sz w:val="24"/>
          <w:szCs w:val="24"/>
        </w:rPr>
        <w:t xml:space="preserve">,  platby vo forme dotácii v zmysle VZN o </w:t>
      </w:r>
      <w:proofErr w:type="spellStart"/>
      <w:r>
        <w:rPr>
          <w:rFonts w:asciiTheme="minorHAnsi" w:hAnsiTheme="minorHAnsi" w:cstheme="minorHAnsi"/>
          <w:sz w:val="24"/>
          <w:szCs w:val="24"/>
        </w:rPr>
        <w:t>dotáciach</w:t>
      </w:r>
      <w:proofErr w:type="spellEnd"/>
      <w:r>
        <w:rPr>
          <w:rFonts w:asciiTheme="minorHAnsi" w:hAnsiTheme="minorHAnsi" w:cstheme="minorHAnsi"/>
          <w:sz w:val="24"/>
          <w:szCs w:val="24"/>
        </w:rPr>
        <w:t xml:space="preserve"> v podmienkach BSK vo výške </w:t>
      </w:r>
      <w:r w:rsidR="002F1BD4">
        <w:rPr>
          <w:rFonts w:asciiTheme="minorHAnsi" w:hAnsiTheme="minorHAnsi" w:cstheme="minorHAnsi"/>
          <w:sz w:val="24"/>
          <w:szCs w:val="24"/>
        </w:rPr>
        <w:t>190 tis.</w:t>
      </w:r>
      <w:r>
        <w:rPr>
          <w:rFonts w:asciiTheme="minorHAnsi" w:hAnsiTheme="minorHAnsi" w:cstheme="minorHAnsi"/>
          <w:sz w:val="24"/>
          <w:szCs w:val="24"/>
        </w:rPr>
        <w:t xml:space="preserve"> EUR,  </w:t>
      </w:r>
      <w:r w:rsidR="002F1BD4">
        <w:rPr>
          <w:rFonts w:asciiTheme="minorHAnsi" w:hAnsiTheme="minorHAnsi" w:cstheme="minorHAnsi"/>
          <w:sz w:val="24"/>
          <w:szCs w:val="24"/>
        </w:rPr>
        <w:t>platb</w:t>
      </w:r>
      <w:r w:rsidR="00D27769">
        <w:rPr>
          <w:rFonts w:asciiTheme="minorHAnsi" w:hAnsiTheme="minorHAnsi" w:cstheme="minorHAnsi"/>
          <w:sz w:val="24"/>
          <w:szCs w:val="24"/>
        </w:rPr>
        <w:t>y</w:t>
      </w:r>
      <w:r w:rsidR="002F1BD4">
        <w:rPr>
          <w:rFonts w:asciiTheme="minorHAnsi" w:hAnsiTheme="minorHAnsi" w:cstheme="minorHAnsi"/>
          <w:sz w:val="24"/>
          <w:szCs w:val="24"/>
        </w:rPr>
        <w:t xml:space="preserve"> </w:t>
      </w:r>
      <w:r>
        <w:rPr>
          <w:rFonts w:asciiTheme="minorHAnsi" w:hAnsiTheme="minorHAnsi" w:cstheme="minorHAnsi"/>
          <w:sz w:val="24"/>
          <w:szCs w:val="24"/>
        </w:rPr>
        <w:t xml:space="preserve">členského príspevku pre Slovenský dom </w:t>
      </w:r>
      <w:proofErr w:type="spellStart"/>
      <w:r>
        <w:rPr>
          <w:rFonts w:asciiTheme="minorHAnsi" w:hAnsiTheme="minorHAnsi" w:cstheme="minorHAnsi"/>
          <w:sz w:val="24"/>
          <w:szCs w:val="24"/>
        </w:rPr>
        <w:t>Centrope</w:t>
      </w:r>
      <w:proofErr w:type="spellEnd"/>
      <w:r>
        <w:rPr>
          <w:rFonts w:asciiTheme="minorHAnsi" w:hAnsiTheme="minorHAnsi" w:cstheme="minorHAnsi"/>
          <w:sz w:val="24"/>
          <w:szCs w:val="24"/>
        </w:rPr>
        <w:t xml:space="preserve"> vo výške </w:t>
      </w:r>
      <w:r w:rsidR="002F1BD4">
        <w:rPr>
          <w:rFonts w:asciiTheme="minorHAnsi" w:hAnsiTheme="minorHAnsi" w:cstheme="minorHAnsi"/>
          <w:sz w:val="24"/>
          <w:szCs w:val="24"/>
        </w:rPr>
        <w:t xml:space="preserve">37 tis. </w:t>
      </w:r>
      <w:r>
        <w:rPr>
          <w:rFonts w:asciiTheme="minorHAnsi" w:hAnsiTheme="minorHAnsi" w:cstheme="minorHAnsi"/>
          <w:sz w:val="24"/>
          <w:szCs w:val="24"/>
        </w:rPr>
        <w:t xml:space="preserve"> EUR</w:t>
      </w:r>
      <w:r w:rsidR="0048030F">
        <w:rPr>
          <w:rFonts w:asciiTheme="minorHAnsi" w:hAnsiTheme="minorHAnsi" w:cstheme="minorHAnsi"/>
          <w:sz w:val="24"/>
          <w:szCs w:val="24"/>
        </w:rPr>
        <w:t>, pre SK8 vo výške 12 tis. EUR</w:t>
      </w:r>
      <w:r w:rsidR="002F1BD4">
        <w:rPr>
          <w:rFonts w:asciiTheme="minorHAnsi" w:hAnsiTheme="minorHAnsi" w:cstheme="minorHAnsi"/>
          <w:sz w:val="24"/>
          <w:szCs w:val="24"/>
        </w:rPr>
        <w:t>, pre KOCR vo výške 440 tis. Eur, platby na odchodné a o</w:t>
      </w:r>
      <w:r w:rsidR="00D27769">
        <w:rPr>
          <w:rFonts w:asciiTheme="minorHAnsi" w:hAnsiTheme="minorHAnsi" w:cstheme="minorHAnsi"/>
          <w:sz w:val="24"/>
          <w:szCs w:val="24"/>
        </w:rPr>
        <w:t>ds</w:t>
      </w:r>
      <w:r w:rsidR="002F1BD4">
        <w:rPr>
          <w:rFonts w:asciiTheme="minorHAnsi" w:hAnsiTheme="minorHAnsi" w:cstheme="minorHAnsi"/>
          <w:sz w:val="24"/>
          <w:szCs w:val="24"/>
        </w:rPr>
        <w:t xml:space="preserve">tupné vrátane organizácii </w:t>
      </w:r>
      <w:proofErr w:type="spellStart"/>
      <w:r w:rsidR="002F1BD4">
        <w:rPr>
          <w:rFonts w:asciiTheme="minorHAnsi" w:hAnsiTheme="minorHAnsi" w:cstheme="minorHAnsi"/>
          <w:sz w:val="24"/>
          <w:szCs w:val="24"/>
        </w:rPr>
        <w:t>BSk</w:t>
      </w:r>
      <w:proofErr w:type="spellEnd"/>
      <w:r w:rsidR="002F1BD4">
        <w:rPr>
          <w:rFonts w:asciiTheme="minorHAnsi" w:hAnsiTheme="minorHAnsi" w:cstheme="minorHAnsi"/>
          <w:sz w:val="24"/>
          <w:szCs w:val="24"/>
        </w:rPr>
        <w:t xml:space="preserve"> vo výške </w:t>
      </w:r>
      <w:r w:rsidR="00D27769">
        <w:rPr>
          <w:rFonts w:asciiTheme="minorHAnsi" w:hAnsiTheme="minorHAnsi" w:cstheme="minorHAnsi"/>
          <w:sz w:val="24"/>
          <w:szCs w:val="24"/>
        </w:rPr>
        <w:t xml:space="preserve">473 tis. EUR, platby ako náhrady príjmu pri dočasnej pracovnej neschopnosti zamestnanca vo výške 200 tis. EIR </w:t>
      </w:r>
      <w:r>
        <w:rPr>
          <w:rFonts w:asciiTheme="minorHAnsi" w:hAnsiTheme="minorHAnsi" w:cstheme="minorHAnsi"/>
          <w:sz w:val="24"/>
          <w:szCs w:val="24"/>
        </w:rPr>
        <w:t xml:space="preserve">a iné. </w:t>
      </w:r>
      <w:r w:rsidRPr="007F70AF">
        <w:rPr>
          <w:rFonts w:asciiTheme="minorHAnsi" w:hAnsiTheme="minorHAnsi" w:cstheme="minorHAnsi"/>
          <w:sz w:val="24"/>
          <w:szCs w:val="24"/>
          <w:u w:val="single"/>
        </w:rPr>
        <w:t xml:space="preserve">Kategória 644 – transfery nefinančným subjektom a príspevkovým </w:t>
      </w:r>
      <w:proofErr w:type="spellStart"/>
      <w:r w:rsidRPr="007F70AF">
        <w:rPr>
          <w:rFonts w:asciiTheme="minorHAnsi" w:hAnsiTheme="minorHAnsi" w:cstheme="minorHAnsi"/>
          <w:sz w:val="24"/>
          <w:szCs w:val="24"/>
          <w:u w:val="single"/>
        </w:rPr>
        <w:t>organizáciam</w:t>
      </w:r>
      <w:proofErr w:type="spellEnd"/>
      <w:r w:rsidRPr="007F70AF">
        <w:rPr>
          <w:rFonts w:asciiTheme="minorHAnsi" w:hAnsiTheme="minorHAnsi" w:cstheme="minorHAnsi"/>
          <w:sz w:val="24"/>
          <w:szCs w:val="24"/>
          <w:u w:val="single"/>
        </w:rPr>
        <w:t xml:space="preserve"> nezaradeným vo verejnej správe</w:t>
      </w:r>
      <w:r>
        <w:rPr>
          <w:rFonts w:asciiTheme="minorHAnsi" w:hAnsiTheme="minorHAnsi" w:cstheme="minorHAnsi"/>
          <w:sz w:val="24"/>
          <w:szCs w:val="24"/>
        </w:rPr>
        <w:t xml:space="preserve">, </w:t>
      </w:r>
      <w:r>
        <w:rPr>
          <w:rFonts w:asciiTheme="minorHAnsi" w:hAnsiTheme="minorHAnsi" w:cstheme="minorHAnsi"/>
          <w:sz w:val="24"/>
          <w:szCs w:val="24"/>
        </w:rPr>
        <w:lastRenderedPageBreak/>
        <w:t xml:space="preserve">zahŕňa najmä platby v prospech spoločnosti Slovak </w:t>
      </w:r>
      <w:proofErr w:type="spellStart"/>
      <w:r>
        <w:rPr>
          <w:rFonts w:asciiTheme="minorHAnsi" w:hAnsiTheme="minorHAnsi" w:cstheme="minorHAnsi"/>
          <w:sz w:val="24"/>
          <w:szCs w:val="24"/>
        </w:rPr>
        <w:t>Lines</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a.s</w:t>
      </w:r>
      <w:proofErr w:type="spellEnd"/>
      <w:r>
        <w:rPr>
          <w:rFonts w:asciiTheme="minorHAnsi" w:hAnsiTheme="minorHAnsi" w:cstheme="minorHAnsi"/>
          <w:sz w:val="24"/>
          <w:szCs w:val="24"/>
        </w:rPr>
        <w:t xml:space="preserve">. za </w:t>
      </w:r>
      <w:r w:rsidRPr="00960906">
        <w:rPr>
          <w:rFonts w:asciiTheme="minorHAnsi" w:hAnsiTheme="minorHAnsi" w:cstheme="minorHAnsi"/>
          <w:sz w:val="24"/>
          <w:szCs w:val="24"/>
        </w:rPr>
        <w:t>dopravn</w:t>
      </w:r>
      <w:r>
        <w:rPr>
          <w:rFonts w:asciiTheme="minorHAnsi" w:hAnsiTheme="minorHAnsi" w:cstheme="minorHAnsi"/>
          <w:sz w:val="24"/>
          <w:szCs w:val="24"/>
        </w:rPr>
        <w:t>é výkony v roku 20</w:t>
      </w:r>
      <w:r w:rsidR="00D27769">
        <w:rPr>
          <w:rFonts w:asciiTheme="minorHAnsi" w:hAnsiTheme="minorHAnsi" w:cstheme="minorHAnsi"/>
          <w:sz w:val="24"/>
          <w:szCs w:val="24"/>
        </w:rPr>
        <w:t>20</w:t>
      </w:r>
      <w:r>
        <w:rPr>
          <w:rFonts w:asciiTheme="minorHAnsi" w:hAnsiTheme="minorHAnsi" w:cstheme="minorHAnsi"/>
          <w:sz w:val="24"/>
          <w:szCs w:val="24"/>
        </w:rPr>
        <w:t xml:space="preserve"> v celkovom objeme cca </w:t>
      </w:r>
      <w:r w:rsidR="0048030F">
        <w:rPr>
          <w:rFonts w:asciiTheme="minorHAnsi" w:hAnsiTheme="minorHAnsi" w:cstheme="minorHAnsi"/>
          <w:sz w:val="24"/>
          <w:szCs w:val="24"/>
        </w:rPr>
        <w:t>20,</w:t>
      </w:r>
      <w:r w:rsidR="00D27769">
        <w:rPr>
          <w:rFonts w:asciiTheme="minorHAnsi" w:hAnsiTheme="minorHAnsi" w:cstheme="minorHAnsi"/>
          <w:sz w:val="24"/>
          <w:szCs w:val="24"/>
        </w:rPr>
        <w:t>17</w:t>
      </w:r>
      <w:r w:rsidRPr="00D61EE9">
        <w:rPr>
          <w:rFonts w:asciiTheme="minorHAnsi" w:hAnsiTheme="minorHAnsi" w:cstheme="minorHAnsi"/>
          <w:sz w:val="24"/>
          <w:szCs w:val="24"/>
        </w:rPr>
        <w:t xml:space="preserve"> </w:t>
      </w:r>
      <w:r>
        <w:rPr>
          <w:rFonts w:asciiTheme="minorHAnsi" w:hAnsiTheme="minorHAnsi" w:cstheme="minorHAnsi"/>
          <w:sz w:val="24"/>
          <w:szCs w:val="24"/>
        </w:rPr>
        <w:t>mil</w:t>
      </w:r>
      <w:r w:rsidR="00D27769">
        <w:rPr>
          <w:rFonts w:asciiTheme="minorHAnsi" w:hAnsiTheme="minorHAnsi" w:cstheme="minorHAnsi"/>
          <w:sz w:val="24"/>
          <w:szCs w:val="24"/>
        </w:rPr>
        <w:t>.</w:t>
      </w:r>
      <w:r>
        <w:rPr>
          <w:rFonts w:asciiTheme="minorHAnsi" w:hAnsiTheme="minorHAnsi" w:cstheme="minorHAnsi"/>
          <w:sz w:val="24"/>
          <w:szCs w:val="24"/>
        </w:rPr>
        <w:t xml:space="preserve"> EUR, </w:t>
      </w:r>
      <w:r w:rsidR="000B649C">
        <w:rPr>
          <w:rFonts w:asciiTheme="minorHAnsi" w:hAnsiTheme="minorHAnsi" w:cstheme="minorHAnsi"/>
          <w:sz w:val="24"/>
          <w:szCs w:val="24"/>
        </w:rPr>
        <w:t xml:space="preserve">úhrady v prospech BID, </w:t>
      </w:r>
      <w:proofErr w:type="spellStart"/>
      <w:r w:rsidR="000B649C">
        <w:rPr>
          <w:rFonts w:asciiTheme="minorHAnsi" w:hAnsiTheme="minorHAnsi" w:cstheme="minorHAnsi"/>
          <w:sz w:val="24"/>
          <w:szCs w:val="24"/>
        </w:rPr>
        <w:t>a.s</w:t>
      </w:r>
      <w:proofErr w:type="spellEnd"/>
      <w:r w:rsidR="000B649C">
        <w:rPr>
          <w:rFonts w:asciiTheme="minorHAnsi" w:hAnsiTheme="minorHAnsi" w:cstheme="minorHAnsi"/>
          <w:sz w:val="24"/>
          <w:szCs w:val="24"/>
        </w:rPr>
        <w:t xml:space="preserve">. v sume </w:t>
      </w:r>
      <w:r w:rsidR="008A75C4">
        <w:rPr>
          <w:rFonts w:asciiTheme="minorHAnsi" w:hAnsiTheme="minorHAnsi" w:cstheme="minorHAnsi"/>
          <w:sz w:val="24"/>
          <w:szCs w:val="24"/>
        </w:rPr>
        <w:t>609</w:t>
      </w:r>
      <w:r w:rsidR="000B649C">
        <w:rPr>
          <w:rFonts w:asciiTheme="minorHAnsi" w:hAnsiTheme="minorHAnsi" w:cstheme="minorHAnsi"/>
          <w:sz w:val="24"/>
          <w:szCs w:val="24"/>
        </w:rPr>
        <w:t xml:space="preserve"> tis. EUR za výkon činnosti súvisiacich s prevádzkou a rozvojom Integrovaného dopravného systému v Bratislavskom kraji</w:t>
      </w:r>
      <w:r w:rsidR="008A75C4">
        <w:rPr>
          <w:rFonts w:asciiTheme="minorHAnsi" w:hAnsiTheme="minorHAnsi" w:cstheme="minorHAnsi"/>
          <w:sz w:val="24"/>
          <w:szCs w:val="24"/>
        </w:rPr>
        <w:t xml:space="preserve"> a 150 tis. EUR za správu označovačov cestovných lístkov a predajných automatov cestovných lístkov</w:t>
      </w:r>
      <w:r w:rsidR="000B649C">
        <w:rPr>
          <w:rFonts w:asciiTheme="minorHAnsi" w:hAnsiTheme="minorHAnsi" w:cstheme="minorHAnsi"/>
          <w:sz w:val="24"/>
          <w:szCs w:val="24"/>
        </w:rPr>
        <w:t xml:space="preserve">, </w:t>
      </w:r>
      <w:r>
        <w:rPr>
          <w:rFonts w:asciiTheme="minorHAnsi" w:hAnsiTheme="minorHAnsi" w:cstheme="minorHAnsi"/>
          <w:sz w:val="24"/>
          <w:szCs w:val="24"/>
        </w:rPr>
        <w:t xml:space="preserve">refundácie za poskytnutie dodatočnej zľavy z ceny predplatného cestovného lístka v IDS BK u dopravcov (BID, </w:t>
      </w:r>
      <w:proofErr w:type="spellStart"/>
      <w:r>
        <w:rPr>
          <w:rFonts w:asciiTheme="minorHAnsi" w:hAnsiTheme="minorHAnsi" w:cstheme="minorHAnsi"/>
          <w:sz w:val="24"/>
          <w:szCs w:val="24"/>
        </w:rPr>
        <w:t>a.s</w:t>
      </w:r>
      <w:proofErr w:type="spellEnd"/>
      <w:r>
        <w:rPr>
          <w:rFonts w:asciiTheme="minorHAnsi" w:hAnsiTheme="minorHAnsi" w:cstheme="minorHAnsi"/>
          <w:sz w:val="24"/>
          <w:szCs w:val="24"/>
        </w:rPr>
        <w:t xml:space="preserve">., DP Bratislava, </w:t>
      </w:r>
      <w:proofErr w:type="spellStart"/>
      <w:r>
        <w:rPr>
          <w:rFonts w:asciiTheme="minorHAnsi" w:hAnsiTheme="minorHAnsi" w:cstheme="minorHAnsi"/>
          <w:sz w:val="24"/>
          <w:szCs w:val="24"/>
        </w:rPr>
        <w:t>a.s</w:t>
      </w:r>
      <w:proofErr w:type="spellEnd"/>
      <w:r>
        <w:rPr>
          <w:rFonts w:asciiTheme="minorHAnsi" w:hAnsiTheme="minorHAnsi" w:cstheme="minorHAnsi"/>
          <w:sz w:val="24"/>
          <w:szCs w:val="24"/>
        </w:rPr>
        <w:t xml:space="preserve">., Slovak </w:t>
      </w:r>
      <w:proofErr w:type="spellStart"/>
      <w:r>
        <w:rPr>
          <w:rFonts w:asciiTheme="minorHAnsi" w:hAnsiTheme="minorHAnsi" w:cstheme="minorHAnsi"/>
          <w:sz w:val="24"/>
          <w:szCs w:val="24"/>
        </w:rPr>
        <w:t>Lines</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a.s</w:t>
      </w:r>
      <w:proofErr w:type="spellEnd"/>
      <w:r>
        <w:rPr>
          <w:rFonts w:asciiTheme="minorHAnsi" w:hAnsiTheme="minorHAnsi" w:cstheme="minorHAnsi"/>
          <w:sz w:val="24"/>
          <w:szCs w:val="24"/>
        </w:rPr>
        <w:t>.) vo výške  cca 2</w:t>
      </w:r>
      <w:r w:rsidR="008A75C4">
        <w:rPr>
          <w:rFonts w:asciiTheme="minorHAnsi" w:hAnsiTheme="minorHAnsi" w:cstheme="minorHAnsi"/>
          <w:sz w:val="24"/>
          <w:szCs w:val="24"/>
        </w:rPr>
        <w:t>33</w:t>
      </w:r>
      <w:r>
        <w:rPr>
          <w:rFonts w:asciiTheme="minorHAnsi" w:hAnsiTheme="minorHAnsi" w:cstheme="minorHAnsi"/>
          <w:sz w:val="24"/>
          <w:szCs w:val="24"/>
        </w:rPr>
        <w:t xml:space="preserve"> tis. EUR, a iné. </w:t>
      </w:r>
      <w:r w:rsidRPr="0004634B">
        <w:rPr>
          <w:rFonts w:asciiTheme="minorHAnsi" w:hAnsiTheme="minorHAnsi" w:cstheme="minorHAnsi"/>
          <w:sz w:val="24"/>
          <w:szCs w:val="24"/>
          <w:u w:val="single"/>
        </w:rPr>
        <w:t xml:space="preserve">Kategóriu 649 – </w:t>
      </w:r>
      <w:proofErr w:type="spellStart"/>
      <w:r w:rsidRPr="0004634B">
        <w:rPr>
          <w:rFonts w:asciiTheme="minorHAnsi" w:hAnsiTheme="minorHAnsi" w:cstheme="minorHAnsi"/>
          <w:sz w:val="24"/>
          <w:szCs w:val="24"/>
          <w:u w:val="single"/>
        </w:rPr>
        <w:t>transefy</w:t>
      </w:r>
      <w:proofErr w:type="spellEnd"/>
      <w:r w:rsidRPr="0004634B">
        <w:rPr>
          <w:rFonts w:asciiTheme="minorHAnsi" w:hAnsiTheme="minorHAnsi" w:cstheme="minorHAnsi"/>
          <w:sz w:val="24"/>
          <w:szCs w:val="24"/>
          <w:u w:val="single"/>
        </w:rPr>
        <w:t xml:space="preserve"> do zahraničia</w:t>
      </w:r>
      <w:r>
        <w:rPr>
          <w:rFonts w:asciiTheme="minorHAnsi" w:hAnsiTheme="minorHAnsi" w:cstheme="minorHAnsi"/>
          <w:sz w:val="24"/>
          <w:szCs w:val="24"/>
        </w:rPr>
        <w:t xml:space="preserve"> predstavujú refundácie z ERDF pre </w:t>
      </w:r>
      <w:proofErr w:type="spellStart"/>
      <w:r>
        <w:rPr>
          <w:rFonts w:asciiTheme="minorHAnsi" w:hAnsiTheme="minorHAnsi" w:cstheme="minorHAnsi"/>
          <w:sz w:val="24"/>
          <w:szCs w:val="24"/>
        </w:rPr>
        <w:t>projketových</w:t>
      </w:r>
      <w:proofErr w:type="spellEnd"/>
      <w:r>
        <w:rPr>
          <w:rFonts w:asciiTheme="minorHAnsi" w:hAnsiTheme="minorHAnsi" w:cstheme="minorHAnsi"/>
          <w:sz w:val="24"/>
          <w:szCs w:val="24"/>
        </w:rPr>
        <w:t xml:space="preserve"> partnerov v rámci realizácie </w:t>
      </w:r>
      <w:r w:rsidRPr="00CB4645">
        <w:rPr>
          <w:rFonts w:asciiTheme="minorHAnsi" w:hAnsiTheme="minorHAnsi" w:cstheme="minorHAnsi"/>
          <w:sz w:val="24"/>
          <w:szCs w:val="24"/>
        </w:rPr>
        <w:t>Projekt</w:t>
      </w:r>
      <w:r>
        <w:rPr>
          <w:rFonts w:asciiTheme="minorHAnsi" w:hAnsiTheme="minorHAnsi" w:cstheme="minorHAnsi"/>
          <w:sz w:val="24"/>
          <w:szCs w:val="24"/>
        </w:rPr>
        <w:t>u</w:t>
      </w:r>
      <w:r w:rsidRPr="00CB4645">
        <w:rPr>
          <w:rFonts w:asciiTheme="minorHAnsi" w:hAnsiTheme="minorHAnsi" w:cstheme="minorHAnsi"/>
          <w:sz w:val="24"/>
          <w:szCs w:val="24"/>
        </w:rPr>
        <w:t xml:space="preserve"> </w:t>
      </w:r>
      <w:r w:rsidR="005D4775" w:rsidRPr="005D4775">
        <w:rPr>
          <w:rFonts w:asciiTheme="minorHAnsi" w:hAnsiTheme="minorHAnsi" w:cstheme="minorHAnsi"/>
          <w:sz w:val="24"/>
          <w:szCs w:val="24"/>
        </w:rPr>
        <w:t xml:space="preserve">Rekonštrukcia </w:t>
      </w:r>
      <w:proofErr w:type="spellStart"/>
      <w:r w:rsidR="005D4775" w:rsidRPr="005D4775">
        <w:rPr>
          <w:rFonts w:asciiTheme="minorHAnsi" w:hAnsiTheme="minorHAnsi" w:cstheme="minorHAnsi"/>
          <w:sz w:val="24"/>
          <w:szCs w:val="24"/>
        </w:rPr>
        <w:t>kaštiela</w:t>
      </w:r>
      <w:proofErr w:type="spellEnd"/>
      <w:r w:rsidR="005D4775" w:rsidRPr="005D4775">
        <w:rPr>
          <w:rFonts w:asciiTheme="minorHAnsi" w:hAnsiTheme="minorHAnsi" w:cstheme="minorHAnsi"/>
          <w:sz w:val="24"/>
          <w:szCs w:val="24"/>
        </w:rPr>
        <w:t xml:space="preserve"> a parku v</w:t>
      </w:r>
      <w:r w:rsidR="005D4775">
        <w:rPr>
          <w:rFonts w:asciiTheme="minorHAnsi" w:hAnsiTheme="minorHAnsi" w:cstheme="minorHAnsi"/>
          <w:sz w:val="24"/>
          <w:szCs w:val="24"/>
        </w:rPr>
        <w:t> </w:t>
      </w:r>
      <w:r w:rsidR="005D4775" w:rsidRPr="005D4775">
        <w:rPr>
          <w:rFonts w:asciiTheme="minorHAnsi" w:hAnsiTheme="minorHAnsi" w:cstheme="minorHAnsi"/>
          <w:sz w:val="24"/>
          <w:szCs w:val="24"/>
        </w:rPr>
        <w:t>Modre</w:t>
      </w:r>
      <w:r w:rsidR="005D4775">
        <w:rPr>
          <w:rFonts w:asciiTheme="minorHAnsi" w:hAnsiTheme="minorHAnsi" w:cstheme="minorHAnsi"/>
          <w:sz w:val="24"/>
          <w:szCs w:val="24"/>
        </w:rPr>
        <w:t xml:space="preserve">, Projektu Malý Dunaj  a </w:t>
      </w:r>
      <w:r w:rsidR="00D54505">
        <w:rPr>
          <w:rFonts w:asciiTheme="minorHAnsi" w:hAnsiTheme="minorHAnsi" w:cstheme="minorHAnsi"/>
          <w:sz w:val="24"/>
          <w:szCs w:val="24"/>
        </w:rPr>
        <w:t>č</w:t>
      </w:r>
      <w:r w:rsidR="00D54505" w:rsidRPr="00D54505">
        <w:rPr>
          <w:rFonts w:asciiTheme="minorHAnsi" w:hAnsiTheme="minorHAnsi" w:cstheme="minorHAnsi"/>
          <w:sz w:val="24"/>
          <w:szCs w:val="24"/>
        </w:rPr>
        <w:t xml:space="preserve">lenský príspevok </w:t>
      </w:r>
      <w:r w:rsidR="00D54505">
        <w:rPr>
          <w:rFonts w:asciiTheme="minorHAnsi" w:hAnsiTheme="minorHAnsi" w:cstheme="minorHAnsi"/>
          <w:sz w:val="24"/>
          <w:szCs w:val="24"/>
        </w:rPr>
        <w:t>pre</w:t>
      </w:r>
      <w:r w:rsidR="00D54505" w:rsidRPr="00D54505">
        <w:rPr>
          <w:rFonts w:asciiTheme="minorHAnsi" w:hAnsiTheme="minorHAnsi" w:cstheme="minorHAnsi"/>
          <w:sz w:val="24"/>
          <w:szCs w:val="24"/>
        </w:rPr>
        <w:t xml:space="preserve"> EZUS </w:t>
      </w:r>
      <w:proofErr w:type="spellStart"/>
      <w:r w:rsidR="00D54505" w:rsidRPr="00D54505">
        <w:rPr>
          <w:rFonts w:asciiTheme="minorHAnsi" w:hAnsiTheme="minorHAnsi" w:cstheme="minorHAnsi"/>
          <w:sz w:val="24"/>
          <w:szCs w:val="24"/>
        </w:rPr>
        <w:t>Rába</w:t>
      </w:r>
      <w:proofErr w:type="spellEnd"/>
      <w:r w:rsidR="00D54505" w:rsidRPr="00D54505">
        <w:rPr>
          <w:rFonts w:asciiTheme="minorHAnsi" w:hAnsiTheme="minorHAnsi" w:cstheme="minorHAnsi"/>
          <w:sz w:val="24"/>
          <w:szCs w:val="24"/>
        </w:rPr>
        <w:t>-Dunaj-</w:t>
      </w:r>
      <w:proofErr w:type="spellStart"/>
      <w:r w:rsidR="00D54505" w:rsidRPr="00D54505">
        <w:rPr>
          <w:rFonts w:asciiTheme="minorHAnsi" w:hAnsiTheme="minorHAnsi" w:cstheme="minorHAnsi"/>
          <w:sz w:val="24"/>
          <w:szCs w:val="24"/>
        </w:rPr>
        <w:t>Váh</w:t>
      </w:r>
      <w:r w:rsidR="005D4775">
        <w:rPr>
          <w:rFonts w:asciiTheme="minorHAnsi" w:hAnsiTheme="minorHAnsi" w:cstheme="minorHAnsi"/>
          <w:sz w:val="24"/>
          <w:szCs w:val="24"/>
        </w:rPr>
        <w:t>pod</w:t>
      </w:r>
      <w:proofErr w:type="spellEnd"/>
      <w:r w:rsidR="005D4775">
        <w:rPr>
          <w:rFonts w:asciiTheme="minorHAnsi" w:hAnsiTheme="minorHAnsi" w:cstheme="minorHAnsi"/>
          <w:sz w:val="24"/>
          <w:szCs w:val="24"/>
        </w:rPr>
        <w:t>.</w:t>
      </w:r>
    </w:p>
    <w:p w14:paraId="0C314465" w14:textId="6507DF70" w:rsidR="00B55E20" w:rsidRDefault="00373B3B" w:rsidP="00BE704E">
      <w:pPr>
        <w:jc w:val="both"/>
        <w:rPr>
          <w:rFonts w:cs="Calibri"/>
          <w:sz w:val="24"/>
          <w:szCs w:val="24"/>
          <w:u w:val="single"/>
        </w:rPr>
      </w:pPr>
      <w:r w:rsidRPr="00B55E20">
        <w:rPr>
          <w:rFonts w:cs="Calibri"/>
          <w:sz w:val="24"/>
          <w:szCs w:val="24"/>
          <w:u w:val="single"/>
        </w:rPr>
        <w:t>G</w:t>
      </w:r>
      <w:r w:rsidR="00BE704E" w:rsidRPr="00B55E20">
        <w:rPr>
          <w:rFonts w:cs="Calibri"/>
          <w:sz w:val="24"/>
          <w:szCs w:val="24"/>
          <w:u w:val="single"/>
        </w:rPr>
        <w:t xml:space="preserve">raf </w:t>
      </w:r>
      <w:r w:rsidR="00A21D8F" w:rsidRPr="00B55E20">
        <w:rPr>
          <w:rFonts w:cs="Calibri"/>
          <w:sz w:val="24"/>
          <w:szCs w:val="24"/>
          <w:u w:val="single"/>
        </w:rPr>
        <w:t>12</w:t>
      </w:r>
      <w:r w:rsidR="00BE704E" w:rsidRPr="00B55E20">
        <w:rPr>
          <w:rFonts w:cs="Calibri"/>
          <w:sz w:val="24"/>
          <w:szCs w:val="24"/>
          <w:u w:val="single"/>
        </w:rPr>
        <w:t>: Podiel čerpania bežných výdavkov na čerpaní celkových bežných výdavkov podľa funkcie</w:t>
      </w:r>
    </w:p>
    <w:p w14:paraId="6ABB15C9" w14:textId="240543E4" w:rsidR="00BE704E" w:rsidRPr="0091097D" w:rsidRDefault="00B6507C" w:rsidP="0091097D">
      <w:pPr>
        <w:jc w:val="both"/>
        <w:rPr>
          <w:rFonts w:cs="Calibri"/>
          <w:sz w:val="24"/>
          <w:szCs w:val="24"/>
          <w:u w:val="single"/>
        </w:rPr>
      </w:pPr>
      <w:r>
        <w:rPr>
          <w:noProof/>
        </w:rPr>
        <w:drawing>
          <wp:inline distT="0" distB="0" distL="0" distR="0" wp14:anchorId="649D133F" wp14:editId="5CF32222">
            <wp:extent cx="6828155" cy="2474843"/>
            <wp:effectExtent l="0" t="0" r="0" b="0"/>
            <wp:docPr id="4" name="Graf 4">
              <a:extLst xmlns:a="http://schemas.openxmlformats.org/drawingml/2006/main">
                <a:ext uri="{FF2B5EF4-FFF2-40B4-BE49-F238E27FC236}">
                  <a16:creationId xmlns:a16="http://schemas.microsoft.com/office/drawing/2014/main" id="{DA9EC6B7-EE17-438E-BEA6-5890C1B736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BE704E">
        <w:rPr>
          <w:rFonts w:cs="Calibri"/>
          <w:sz w:val="24"/>
          <w:szCs w:val="24"/>
          <w:lang w:eastAsia="sk-SK"/>
        </w:rPr>
        <w:t>Z grafu vyplýva, že najvyšší 4</w:t>
      </w:r>
      <w:r w:rsidR="0091097D">
        <w:rPr>
          <w:rFonts w:cs="Calibri"/>
          <w:sz w:val="24"/>
          <w:szCs w:val="24"/>
          <w:lang w:eastAsia="sk-SK"/>
        </w:rPr>
        <w:t>6,91</w:t>
      </w:r>
      <w:r w:rsidR="00BE704E">
        <w:rPr>
          <w:rFonts w:cs="Calibri"/>
          <w:sz w:val="24"/>
          <w:szCs w:val="24"/>
          <w:lang w:eastAsia="sk-SK"/>
        </w:rPr>
        <w:t>%-</w:t>
      </w:r>
      <w:proofErr w:type="spellStart"/>
      <w:r w:rsidR="00BE704E">
        <w:rPr>
          <w:rFonts w:cs="Calibri"/>
          <w:sz w:val="24"/>
          <w:szCs w:val="24"/>
          <w:lang w:eastAsia="sk-SK"/>
        </w:rPr>
        <w:t>ný</w:t>
      </w:r>
      <w:proofErr w:type="spellEnd"/>
      <w:r w:rsidR="00BE704E">
        <w:rPr>
          <w:rFonts w:cs="Calibri"/>
          <w:sz w:val="24"/>
          <w:szCs w:val="24"/>
          <w:lang w:eastAsia="sk-SK"/>
        </w:rPr>
        <w:t xml:space="preserve"> podiel na čerpaní celkových bežných výdavkov podľa funkcie bolo v oblasti vzdelávania, a to vo výške </w:t>
      </w:r>
      <w:r w:rsidR="00B55E20">
        <w:rPr>
          <w:rFonts w:cs="Calibri"/>
          <w:sz w:val="24"/>
          <w:szCs w:val="24"/>
          <w:lang w:eastAsia="sk-SK"/>
        </w:rPr>
        <w:t>79 963 804,31</w:t>
      </w:r>
      <w:r w:rsidR="00B24A14">
        <w:rPr>
          <w:rFonts w:cs="Calibri"/>
          <w:sz w:val="24"/>
          <w:szCs w:val="24"/>
          <w:lang w:eastAsia="sk-SK"/>
        </w:rPr>
        <w:t xml:space="preserve"> EUR</w:t>
      </w:r>
      <w:r w:rsidR="00BE704E">
        <w:rPr>
          <w:rFonts w:cs="Calibri"/>
          <w:sz w:val="24"/>
          <w:szCs w:val="24"/>
          <w:lang w:eastAsia="sk-SK"/>
        </w:rPr>
        <w:t>.</w:t>
      </w:r>
    </w:p>
    <w:p w14:paraId="7622E35C" w14:textId="79A33451" w:rsidR="00BE704E" w:rsidRDefault="00BE704E" w:rsidP="00BE704E">
      <w:pPr>
        <w:spacing w:after="0" w:line="240" w:lineRule="auto"/>
        <w:jc w:val="both"/>
        <w:rPr>
          <w:rFonts w:cs="Calibri"/>
          <w:sz w:val="24"/>
          <w:szCs w:val="24"/>
          <w:lang w:eastAsia="sk-SK"/>
        </w:rPr>
      </w:pPr>
      <w:r>
        <w:rPr>
          <w:rFonts w:cs="Calibri"/>
          <w:sz w:val="24"/>
          <w:szCs w:val="24"/>
          <w:lang w:eastAsia="sk-SK"/>
        </w:rPr>
        <w:t xml:space="preserve">Prehľad čerpania bežných výdavkov </w:t>
      </w:r>
      <w:r w:rsidRPr="00F865DA">
        <w:rPr>
          <w:rFonts w:cs="Calibri"/>
          <w:sz w:val="24"/>
          <w:szCs w:val="24"/>
          <w:lang w:eastAsia="sk-SK"/>
        </w:rPr>
        <w:t xml:space="preserve">v roku </w:t>
      </w:r>
      <w:r>
        <w:rPr>
          <w:rFonts w:cs="Calibri"/>
          <w:sz w:val="24"/>
          <w:szCs w:val="24"/>
          <w:lang w:eastAsia="sk-SK"/>
        </w:rPr>
        <w:t>20</w:t>
      </w:r>
      <w:r w:rsidR="00566BD7">
        <w:rPr>
          <w:rFonts w:cs="Calibri"/>
          <w:sz w:val="24"/>
          <w:szCs w:val="24"/>
          <w:lang w:eastAsia="sk-SK"/>
        </w:rPr>
        <w:t>20</w:t>
      </w:r>
      <w:r w:rsidRPr="00F865DA">
        <w:rPr>
          <w:rFonts w:cs="Calibri"/>
          <w:sz w:val="24"/>
          <w:szCs w:val="24"/>
          <w:lang w:eastAsia="sk-SK"/>
        </w:rPr>
        <w:t xml:space="preserve"> podľa programovej klasifikácie </w:t>
      </w:r>
      <w:r>
        <w:rPr>
          <w:rFonts w:cs="Calibri"/>
          <w:sz w:val="24"/>
          <w:szCs w:val="24"/>
          <w:lang w:eastAsia="sk-SK"/>
        </w:rPr>
        <w:t>v porovnaní so skutočnosťou v roku 201</w:t>
      </w:r>
      <w:r w:rsidR="003A67A9">
        <w:rPr>
          <w:rFonts w:cs="Calibri"/>
          <w:sz w:val="24"/>
          <w:szCs w:val="24"/>
          <w:lang w:eastAsia="sk-SK"/>
        </w:rPr>
        <w:t>7</w:t>
      </w:r>
      <w:r w:rsidR="00566BD7">
        <w:rPr>
          <w:rFonts w:cs="Calibri"/>
          <w:sz w:val="24"/>
          <w:szCs w:val="24"/>
          <w:lang w:eastAsia="sk-SK"/>
        </w:rPr>
        <w:t>, 2018 a 2019</w:t>
      </w:r>
      <w:r>
        <w:rPr>
          <w:rFonts w:cs="Calibri"/>
          <w:sz w:val="24"/>
          <w:szCs w:val="24"/>
          <w:lang w:eastAsia="sk-SK"/>
        </w:rPr>
        <w:t xml:space="preserve"> prezentuje uvedená tabuľka</w:t>
      </w:r>
      <w:r w:rsidRPr="00F865DA">
        <w:rPr>
          <w:rFonts w:cs="Calibri"/>
          <w:sz w:val="24"/>
          <w:szCs w:val="24"/>
          <w:lang w:eastAsia="sk-SK"/>
        </w:rPr>
        <w:t>:</w:t>
      </w:r>
    </w:p>
    <w:p w14:paraId="33793888" w14:textId="77777777" w:rsidR="00BE704E" w:rsidRDefault="00BE704E" w:rsidP="00BE704E">
      <w:pPr>
        <w:spacing w:after="0" w:line="240" w:lineRule="auto"/>
        <w:jc w:val="both"/>
        <w:rPr>
          <w:rFonts w:cs="Calibri"/>
          <w:sz w:val="24"/>
          <w:szCs w:val="24"/>
          <w:lang w:eastAsia="sk-SK"/>
        </w:rPr>
      </w:pPr>
    </w:p>
    <w:tbl>
      <w:tblPr>
        <w:tblW w:w="10619" w:type="dxa"/>
        <w:tblCellMar>
          <w:left w:w="70" w:type="dxa"/>
          <w:right w:w="70" w:type="dxa"/>
        </w:tblCellMar>
        <w:tblLook w:val="04A0" w:firstRow="1" w:lastRow="0" w:firstColumn="1" w:lastColumn="0" w:noHBand="0" w:noVBand="1"/>
      </w:tblPr>
      <w:tblGrid>
        <w:gridCol w:w="3171"/>
        <w:gridCol w:w="1507"/>
        <w:gridCol w:w="1559"/>
        <w:gridCol w:w="1418"/>
        <w:gridCol w:w="1501"/>
        <w:gridCol w:w="1463"/>
      </w:tblGrid>
      <w:tr w:rsidR="00566BD7" w:rsidRPr="005701AB" w14:paraId="184EE69B" w14:textId="1DD5D009" w:rsidTr="00566BD7">
        <w:trPr>
          <w:trHeight w:val="329"/>
        </w:trPr>
        <w:tc>
          <w:tcPr>
            <w:tcW w:w="3171" w:type="dxa"/>
            <w:tcBorders>
              <w:top w:val="nil"/>
              <w:left w:val="nil"/>
              <w:bottom w:val="nil"/>
              <w:right w:val="nil"/>
            </w:tcBorders>
            <w:shd w:val="clear" w:color="auto" w:fill="auto"/>
            <w:noWrap/>
            <w:vAlign w:val="bottom"/>
            <w:hideMark/>
          </w:tcPr>
          <w:p w14:paraId="4C7A99D7" w14:textId="77777777" w:rsidR="00566BD7" w:rsidRPr="005701AB" w:rsidRDefault="00566BD7" w:rsidP="00566BD7">
            <w:pPr>
              <w:spacing w:after="0" w:line="240" w:lineRule="auto"/>
              <w:rPr>
                <w:rFonts w:ascii="Times New Roman" w:hAnsi="Times New Roman"/>
                <w:sz w:val="20"/>
                <w:szCs w:val="20"/>
                <w:lang w:eastAsia="sk-SK"/>
              </w:rPr>
            </w:pPr>
          </w:p>
        </w:tc>
        <w:tc>
          <w:tcPr>
            <w:tcW w:w="1507" w:type="dxa"/>
            <w:tcBorders>
              <w:top w:val="single" w:sz="12" w:space="0" w:color="FFFFFF"/>
              <w:left w:val="nil"/>
              <w:bottom w:val="single" w:sz="12" w:space="0" w:color="FFFFFF"/>
              <w:right w:val="single" w:sz="12" w:space="0" w:color="FFFFFF"/>
            </w:tcBorders>
            <w:shd w:val="clear" w:color="000000" w:fill="8DB3E2"/>
            <w:noWrap/>
            <w:vAlign w:val="center"/>
            <w:hideMark/>
          </w:tcPr>
          <w:p w14:paraId="166C9E2E" w14:textId="77777777" w:rsidR="00566BD7" w:rsidRPr="005701AB" w:rsidRDefault="00566BD7" w:rsidP="00566BD7">
            <w:pPr>
              <w:spacing w:after="0" w:line="240" w:lineRule="auto"/>
              <w:jc w:val="center"/>
              <w:rPr>
                <w:rFonts w:cs="Calibri"/>
                <w:b/>
                <w:bCs/>
                <w:color w:val="000000"/>
                <w:sz w:val="18"/>
                <w:szCs w:val="18"/>
                <w:lang w:eastAsia="sk-SK"/>
              </w:rPr>
            </w:pPr>
            <w:r w:rsidRPr="005701AB">
              <w:rPr>
                <w:rFonts w:cs="Calibri"/>
                <w:b/>
                <w:bCs/>
                <w:color w:val="000000"/>
                <w:sz w:val="18"/>
                <w:szCs w:val="18"/>
                <w:lang w:eastAsia="sk-SK"/>
              </w:rPr>
              <w:t>ROK 201</w:t>
            </w:r>
            <w:r>
              <w:rPr>
                <w:rFonts w:cs="Calibri"/>
                <w:b/>
                <w:bCs/>
                <w:color w:val="000000"/>
                <w:sz w:val="18"/>
                <w:szCs w:val="18"/>
                <w:lang w:eastAsia="sk-SK"/>
              </w:rPr>
              <w:t>7</w:t>
            </w:r>
          </w:p>
        </w:tc>
        <w:tc>
          <w:tcPr>
            <w:tcW w:w="1559" w:type="dxa"/>
            <w:tcBorders>
              <w:top w:val="single" w:sz="12" w:space="0" w:color="FFFFFF"/>
              <w:left w:val="nil"/>
              <w:bottom w:val="single" w:sz="12" w:space="0" w:color="FFFFFF"/>
              <w:right w:val="single" w:sz="12" w:space="0" w:color="FFFFFF"/>
            </w:tcBorders>
            <w:shd w:val="clear" w:color="000000" w:fill="8DB3E2"/>
            <w:noWrap/>
            <w:vAlign w:val="center"/>
            <w:hideMark/>
          </w:tcPr>
          <w:p w14:paraId="5FFD12B7" w14:textId="77777777" w:rsidR="00566BD7" w:rsidRPr="005701AB" w:rsidRDefault="00566BD7" w:rsidP="00566BD7">
            <w:pPr>
              <w:spacing w:after="0" w:line="240" w:lineRule="auto"/>
              <w:jc w:val="center"/>
              <w:rPr>
                <w:rFonts w:cs="Calibri"/>
                <w:b/>
                <w:bCs/>
                <w:color w:val="000000"/>
                <w:sz w:val="18"/>
                <w:szCs w:val="18"/>
                <w:lang w:eastAsia="sk-SK"/>
              </w:rPr>
            </w:pPr>
            <w:r w:rsidRPr="005701AB">
              <w:rPr>
                <w:rFonts w:cs="Calibri"/>
                <w:b/>
                <w:bCs/>
                <w:color w:val="000000"/>
                <w:sz w:val="18"/>
                <w:szCs w:val="18"/>
                <w:lang w:eastAsia="sk-SK"/>
              </w:rPr>
              <w:t>ROK 201</w:t>
            </w:r>
            <w:r>
              <w:rPr>
                <w:rFonts w:cs="Calibri"/>
                <w:b/>
                <w:bCs/>
                <w:color w:val="000000"/>
                <w:sz w:val="18"/>
                <w:szCs w:val="18"/>
                <w:lang w:eastAsia="sk-SK"/>
              </w:rPr>
              <w:t>8</w:t>
            </w:r>
          </w:p>
        </w:tc>
        <w:tc>
          <w:tcPr>
            <w:tcW w:w="1418" w:type="dxa"/>
            <w:tcBorders>
              <w:top w:val="single" w:sz="12" w:space="0" w:color="FFFFFF"/>
              <w:left w:val="nil"/>
              <w:bottom w:val="single" w:sz="12" w:space="0" w:color="FFFFFF"/>
              <w:right w:val="single" w:sz="12" w:space="0" w:color="FFFFFF"/>
            </w:tcBorders>
            <w:shd w:val="clear" w:color="000000" w:fill="8DB3E2"/>
            <w:noWrap/>
            <w:vAlign w:val="center"/>
            <w:hideMark/>
          </w:tcPr>
          <w:p w14:paraId="0AC3E5AD" w14:textId="77777777" w:rsidR="00566BD7" w:rsidRPr="005701AB" w:rsidRDefault="00566BD7" w:rsidP="00566BD7">
            <w:pPr>
              <w:spacing w:after="0" w:line="240" w:lineRule="auto"/>
              <w:jc w:val="center"/>
              <w:rPr>
                <w:rFonts w:cs="Calibri"/>
                <w:b/>
                <w:bCs/>
                <w:color w:val="000000"/>
                <w:sz w:val="18"/>
                <w:szCs w:val="18"/>
                <w:lang w:eastAsia="sk-SK"/>
              </w:rPr>
            </w:pPr>
            <w:r w:rsidRPr="005701AB">
              <w:rPr>
                <w:rFonts w:cs="Calibri"/>
                <w:b/>
                <w:bCs/>
                <w:color w:val="000000"/>
                <w:sz w:val="18"/>
                <w:szCs w:val="18"/>
                <w:lang w:eastAsia="sk-SK"/>
              </w:rPr>
              <w:t>ROK 201</w:t>
            </w:r>
            <w:r>
              <w:rPr>
                <w:rFonts w:cs="Calibri"/>
                <w:b/>
                <w:bCs/>
                <w:color w:val="000000"/>
                <w:sz w:val="18"/>
                <w:szCs w:val="18"/>
                <w:lang w:eastAsia="sk-SK"/>
              </w:rPr>
              <w:t>9</w:t>
            </w:r>
          </w:p>
        </w:tc>
        <w:tc>
          <w:tcPr>
            <w:tcW w:w="1501" w:type="dxa"/>
            <w:tcBorders>
              <w:top w:val="single" w:sz="12" w:space="0" w:color="FFFFFF"/>
              <w:left w:val="nil"/>
              <w:bottom w:val="single" w:sz="12" w:space="0" w:color="FFFFFF"/>
              <w:right w:val="single" w:sz="12" w:space="0" w:color="FFFFFF"/>
            </w:tcBorders>
            <w:shd w:val="clear" w:color="000000" w:fill="8DB3E2"/>
            <w:vAlign w:val="center"/>
          </w:tcPr>
          <w:p w14:paraId="67AA5502" w14:textId="063D2EF5" w:rsidR="00566BD7" w:rsidRPr="005701AB" w:rsidRDefault="00566BD7" w:rsidP="00566BD7">
            <w:pPr>
              <w:spacing w:after="0" w:line="240" w:lineRule="auto"/>
              <w:jc w:val="center"/>
              <w:rPr>
                <w:rFonts w:cs="Calibri"/>
                <w:b/>
                <w:bCs/>
                <w:color w:val="000000"/>
                <w:sz w:val="18"/>
                <w:szCs w:val="18"/>
                <w:lang w:eastAsia="sk-SK"/>
              </w:rPr>
            </w:pPr>
            <w:r>
              <w:rPr>
                <w:rFonts w:cs="Calibri"/>
                <w:b/>
                <w:bCs/>
                <w:color w:val="000000"/>
                <w:sz w:val="18"/>
                <w:szCs w:val="18"/>
              </w:rPr>
              <w:t>ROK 2020</w:t>
            </w:r>
          </w:p>
        </w:tc>
        <w:tc>
          <w:tcPr>
            <w:tcW w:w="1463" w:type="dxa"/>
            <w:vMerge w:val="restart"/>
            <w:tcBorders>
              <w:top w:val="single" w:sz="12" w:space="0" w:color="FFFFFF"/>
              <w:left w:val="nil"/>
              <w:right w:val="single" w:sz="12" w:space="0" w:color="FFFFFF"/>
            </w:tcBorders>
            <w:shd w:val="clear" w:color="000000" w:fill="8DB3E2"/>
          </w:tcPr>
          <w:tbl>
            <w:tblPr>
              <w:tblW w:w="1180" w:type="dxa"/>
              <w:tblCellMar>
                <w:top w:w="15" w:type="dxa"/>
                <w:left w:w="70" w:type="dxa"/>
                <w:right w:w="70" w:type="dxa"/>
              </w:tblCellMar>
              <w:tblLook w:val="04A0" w:firstRow="1" w:lastRow="0" w:firstColumn="1" w:lastColumn="0" w:noHBand="0" w:noVBand="1"/>
            </w:tblPr>
            <w:tblGrid>
              <w:gridCol w:w="1177"/>
              <w:gridCol w:w="146"/>
            </w:tblGrid>
            <w:tr w:rsidR="00566BD7" w:rsidRPr="00566BD7" w14:paraId="553969B0" w14:textId="77777777" w:rsidTr="00566BD7">
              <w:trPr>
                <w:gridAfter w:val="1"/>
                <w:wAfter w:w="6" w:type="dxa"/>
                <w:trHeight w:val="330"/>
              </w:trPr>
              <w:tc>
                <w:tcPr>
                  <w:tcW w:w="1174" w:type="dxa"/>
                  <w:vMerge w:val="restart"/>
                  <w:tcBorders>
                    <w:top w:val="nil"/>
                    <w:left w:val="nil"/>
                    <w:bottom w:val="nil"/>
                    <w:right w:val="nil"/>
                  </w:tcBorders>
                  <w:shd w:val="clear" w:color="000000" w:fill="8DB3E2"/>
                  <w:vAlign w:val="center"/>
                  <w:hideMark/>
                </w:tcPr>
                <w:p w14:paraId="7CBC0C86" w14:textId="77777777" w:rsidR="00566BD7" w:rsidRPr="00566BD7" w:rsidRDefault="00566BD7" w:rsidP="00566BD7">
                  <w:pPr>
                    <w:spacing w:after="0" w:line="240" w:lineRule="auto"/>
                    <w:jc w:val="center"/>
                    <w:rPr>
                      <w:rFonts w:cs="Calibri"/>
                      <w:b/>
                      <w:bCs/>
                      <w:color w:val="000000"/>
                      <w:sz w:val="18"/>
                      <w:szCs w:val="18"/>
                      <w:lang w:eastAsia="sk-SK"/>
                    </w:rPr>
                  </w:pPr>
                  <w:r w:rsidRPr="00566BD7">
                    <w:rPr>
                      <w:rFonts w:cs="Calibri"/>
                      <w:b/>
                      <w:bCs/>
                      <w:color w:val="000000"/>
                      <w:sz w:val="18"/>
                      <w:szCs w:val="18"/>
                      <w:lang w:eastAsia="sk-SK"/>
                    </w:rPr>
                    <w:t>nárast/pokles oproti 2019</w:t>
                  </w:r>
                </w:p>
              </w:tc>
            </w:tr>
            <w:tr w:rsidR="00566BD7" w:rsidRPr="00566BD7" w14:paraId="346B5671" w14:textId="77777777" w:rsidTr="00566BD7">
              <w:trPr>
                <w:trHeight w:val="330"/>
              </w:trPr>
              <w:tc>
                <w:tcPr>
                  <w:tcW w:w="1174" w:type="dxa"/>
                  <w:vMerge/>
                  <w:tcBorders>
                    <w:top w:val="nil"/>
                    <w:left w:val="nil"/>
                    <w:bottom w:val="nil"/>
                    <w:right w:val="nil"/>
                  </w:tcBorders>
                  <w:vAlign w:val="center"/>
                  <w:hideMark/>
                </w:tcPr>
                <w:p w14:paraId="16986C44" w14:textId="77777777" w:rsidR="00566BD7" w:rsidRPr="00566BD7" w:rsidRDefault="00566BD7" w:rsidP="00566BD7">
                  <w:pPr>
                    <w:spacing w:after="0" w:line="240" w:lineRule="auto"/>
                    <w:rPr>
                      <w:rFonts w:cs="Calibri"/>
                      <w:b/>
                      <w:bCs/>
                      <w:color w:val="000000"/>
                      <w:sz w:val="18"/>
                      <w:szCs w:val="18"/>
                      <w:lang w:eastAsia="sk-SK"/>
                    </w:rPr>
                  </w:pPr>
                </w:p>
              </w:tc>
              <w:tc>
                <w:tcPr>
                  <w:tcW w:w="6" w:type="dxa"/>
                  <w:tcBorders>
                    <w:top w:val="nil"/>
                    <w:left w:val="nil"/>
                    <w:bottom w:val="nil"/>
                    <w:right w:val="nil"/>
                  </w:tcBorders>
                  <w:shd w:val="clear" w:color="auto" w:fill="auto"/>
                  <w:noWrap/>
                  <w:vAlign w:val="bottom"/>
                  <w:hideMark/>
                </w:tcPr>
                <w:p w14:paraId="707E32AF" w14:textId="77777777" w:rsidR="00566BD7" w:rsidRPr="00566BD7" w:rsidRDefault="00566BD7" w:rsidP="00566BD7">
                  <w:pPr>
                    <w:spacing w:after="0" w:line="240" w:lineRule="auto"/>
                    <w:jc w:val="center"/>
                    <w:rPr>
                      <w:rFonts w:cs="Calibri"/>
                      <w:b/>
                      <w:bCs/>
                      <w:color w:val="000000"/>
                      <w:sz w:val="18"/>
                      <w:szCs w:val="18"/>
                      <w:lang w:eastAsia="sk-SK"/>
                    </w:rPr>
                  </w:pPr>
                </w:p>
              </w:tc>
            </w:tr>
          </w:tbl>
          <w:p w14:paraId="2E9AB267" w14:textId="77777777" w:rsidR="00566BD7" w:rsidRPr="005701AB" w:rsidRDefault="00566BD7" w:rsidP="00566BD7">
            <w:pPr>
              <w:spacing w:after="0" w:line="240" w:lineRule="auto"/>
              <w:jc w:val="center"/>
              <w:rPr>
                <w:rFonts w:cs="Calibri"/>
                <w:b/>
                <w:bCs/>
                <w:color w:val="000000"/>
                <w:sz w:val="18"/>
                <w:szCs w:val="18"/>
                <w:lang w:eastAsia="sk-SK"/>
              </w:rPr>
            </w:pPr>
          </w:p>
        </w:tc>
      </w:tr>
      <w:tr w:rsidR="00566BD7" w:rsidRPr="005701AB" w14:paraId="6AE8EC59" w14:textId="7FBAD7AE" w:rsidTr="00566BD7">
        <w:trPr>
          <w:trHeight w:hRule="exact" w:val="329"/>
        </w:trPr>
        <w:tc>
          <w:tcPr>
            <w:tcW w:w="3171" w:type="dxa"/>
            <w:tcBorders>
              <w:top w:val="single" w:sz="12" w:space="0" w:color="FFFFFF"/>
              <w:left w:val="single" w:sz="12" w:space="0" w:color="FFFFFF"/>
              <w:bottom w:val="single" w:sz="12" w:space="0" w:color="FFFFFF"/>
              <w:right w:val="single" w:sz="12" w:space="0" w:color="FFFFFF"/>
            </w:tcBorders>
            <w:shd w:val="clear" w:color="000000" w:fill="8DB3E2"/>
            <w:noWrap/>
            <w:vAlign w:val="center"/>
            <w:hideMark/>
          </w:tcPr>
          <w:p w14:paraId="25F18A19" w14:textId="77777777" w:rsidR="00566BD7" w:rsidRPr="005701AB" w:rsidRDefault="00566BD7" w:rsidP="00566BD7">
            <w:pPr>
              <w:spacing w:after="0" w:line="240" w:lineRule="auto"/>
              <w:jc w:val="center"/>
              <w:rPr>
                <w:rFonts w:cs="Calibri"/>
                <w:b/>
                <w:bCs/>
                <w:color w:val="000000"/>
                <w:sz w:val="18"/>
                <w:szCs w:val="18"/>
                <w:lang w:eastAsia="sk-SK"/>
              </w:rPr>
            </w:pPr>
            <w:r w:rsidRPr="005701AB">
              <w:rPr>
                <w:rFonts w:cs="Calibri"/>
                <w:b/>
                <w:bCs/>
                <w:color w:val="000000"/>
                <w:sz w:val="18"/>
                <w:szCs w:val="18"/>
                <w:lang w:eastAsia="sk-SK"/>
              </w:rPr>
              <w:t>Program</w:t>
            </w:r>
          </w:p>
        </w:tc>
        <w:tc>
          <w:tcPr>
            <w:tcW w:w="1507" w:type="dxa"/>
            <w:tcBorders>
              <w:top w:val="nil"/>
              <w:left w:val="nil"/>
              <w:bottom w:val="nil"/>
              <w:right w:val="single" w:sz="12" w:space="0" w:color="FFFFFF"/>
            </w:tcBorders>
            <w:shd w:val="clear" w:color="000000" w:fill="8DB3E2"/>
            <w:vAlign w:val="center"/>
            <w:hideMark/>
          </w:tcPr>
          <w:p w14:paraId="3E4BA6FE" w14:textId="77777777" w:rsidR="00566BD7" w:rsidRPr="005701AB" w:rsidRDefault="00566BD7" w:rsidP="00566BD7">
            <w:pPr>
              <w:spacing w:after="0" w:line="240" w:lineRule="auto"/>
              <w:jc w:val="center"/>
              <w:rPr>
                <w:rFonts w:cs="Calibri"/>
                <w:b/>
                <w:bCs/>
                <w:color w:val="000000"/>
                <w:sz w:val="18"/>
                <w:szCs w:val="18"/>
                <w:lang w:eastAsia="sk-SK"/>
              </w:rPr>
            </w:pPr>
            <w:r w:rsidRPr="005701AB">
              <w:rPr>
                <w:rFonts w:cs="Calibri"/>
                <w:b/>
                <w:bCs/>
                <w:color w:val="000000"/>
                <w:sz w:val="18"/>
                <w:szCs w:val="18"/>
                <w:lang w:eastAsia="sk-SK"/>
              </w:rPr>
              <w:t>Bežné výdavky</w:t>
            </w:r>
          </w:p>
        </w:tc>
        <w:tc>
          <w:tcPr>
            <w:tcW w:w="1559" w:type="dxa"/>
            <w:tcBorders>
              <w:top w:val="nil"/>
              <w:left w:val="nil"/>
              <w:bottom w:val="single" w:sz="12" w:space="0" w:color="FFFFFF"/>
              <w:right w:val="single" w:sz="12" w:space="0" w:color="FFFFFF"/>
            </w:tcBorders>
            <w:shd w:val="clear" w:color="000000" w:fill="8DB3E2"/>
            <w:noWrap/>
            <w:vAlign w:val="center"/>
            <w:hideMark/>
          </w:tcPr>
          <w:p w14:paraId="775223CE" w14:textId="77777777" w:rsidR="00566BD7" w:rsidRPr="005701AB" w:rsidRDefault="00566BD7" w:rsidP="00566BD7">
            <w:pPr>
              <w:spacing w:after="0" w:line="240" w:lineRule="auto"/>
              <w:jc w:val="center"/>
              <w:rPr>
                <w:rFonts w:cs="Calibri"/>
                <w:b/>
                <w:bCs/>
                <w:color w:val="000000"/>
                <w:sz w:val="18"/>
                <w:szCs w:val="18"/>
                <w:lang w:eastAsia="sk-SK"/>
              </w:rPr>
            </w:pPr>
            <w:r w:rsidRPr="005701AB">
              <w:rPr>
                <w:rFonts w:cs="Calibri"/>
                <w:b/>
                <w:bCs/>
                <w:color w:val="000000"/>
                <w:sz w:val="18"/>
                <w:szCs w:val="18"/>
                <w:lang w:eastAsia="sk-SK"/>
              </w:rPr>
              <w:t>Bežné výdavky</w:t>
            </w:r>
          </w:p>
        </w:tc>
        <w:tc>
          <w:tcPr>
            <w:tcW w:w="1418" w:type="dxa"/>
            <w:tcBorders>
              <w:top w:val="nil"/>
              <w:left w:val="nil"/>
              <w:bottom w:val="single" w:sz="12" w:space="0" w:color="FFFFFF"/>
              <w:right w:val="single" w:sz="12" w:space="0" w:color="FFFFFF"/>
            </w:tcBorders>
            <w:shd w:val="clear" w:color="000000" w:fill="8DB3E2"/>
            <w:noWrap/>
            <w:vAlign w:val="center"/>
            <w:hideMark/>
          </w:tcPr>
          <w:p w14:paraId="25348542" w14:textId="77777777" w:rsidR="00566BD7" w:rsidRPr="005701AB" w:rsidRDefault="00566BD7" w:rsidP="00566BD7">
            <w:pPr>
              <w:spacing w:after="0" w:line="240" w:lineRule="auto"/>
              <w:jc w:val="center"/>
              <w:rPr>
                <w:rFonts w:cs="Calibri"/>
                <w:b/>
                <w:bCs/>
                <w:color w:val="000000"/>
                <w:sz w:val="18"/>
                <w:szCs w:val="18"/>
                <w:lang w:eastAsia="sk-SK"/>
              </w:rPr>
            </w:pPr>
            <w:r w:rsidRPr="005701AB">
              <w:rPr>
                <w:rFonts w:cs="Calibri"/>
                <w:b/>
                <w:bCs/>
                <w:color w:val="000000"/>
                <w:sz w:val="18"/>
                <w:szCs w:val="18"/>
                <w:lang w:eastAsia="sk-SK"/>
              </w:rPr>
              <w:t>Bežné výdavky</w:t>
            </w:r>
          </w:p>
        </w:tc>
        <w:tc>
          <w:tcPr>
            <w:tcW w:w="1501" w:type="dxa"/>
            <w:tcBorders>
              <w:top w:val="nil"/>
              <w:left w:val="nil"/>
              <w:bottom w:val="single" w:sz="12" w:space="0" w:color="FFFFFF"/>
              <w:right w:val="single" w:sz="12" w:space="0" w:color="FFFFFF"/>
            </w:tcBorders>
            <w:shd w:val="clear" w:color="000000" w:fill="8DB3E2"/>
            <w:vAlign w:val="center"/>
          </w:tcPr>
          <w:p w14:paraId="76806F83" w14:textId="743F29D8" w:rsidR="00566BD7" w:rsidRPr="005701AB" w:rsidRDefault="00566BD7" w:rsidP="00566BD7">
            <w:pPr>
              <w:spacing w:after="0" w:line="240" w:lineRule="auto"/>
              <w:jc w:val="center"/>
              <w:rPr>
                <w:rFonts w:cs="Calibri"/>
                <w:b/>
                <w:bCs/>
                <w:color w:val="000000"/>
                <w:sz w:val="18"/>
                <w:szCs w:val="18"/>
                <w:lang w:eastAsia="sk-SK"/>
              </w:rPr>
            </w:pPr>
            <w:r>
              <w:rPr>
                <w:rFonts w:cs="Calibri"/>
                <w:b/>
                <w:bCs/>
                <w:color w:val="000000"/>
                <w:sz w:val="18"/>
                <w:szCs w:val="18"/>
              </w:rPr>
              <w:t>Bežné výdavky</w:t>
            </w:r>
          </w:p>
        </w:tc>
        <w:tc>
          <w:tcPr>
            <w:tcW w:w="1463" w:type="dxa"/>
            <w:vMerge/>
            <w:tcBorders>
              <w:left w:val="nil"/>
              <w:bottom w:val="single" w:sz="12" w:space="0" w:color="FFFFFF"/>
              <w:right w:val="single" w:sz="12" w:space="0" w:color="FFFFFF"/>
            </w:tcBorders>
            <w:shd w:val="clear" w:color="000000" w:fill="8DB3E2"/>
          </w:tcPr>
          <w:p w14:paraId="3DF12C3E" w14:textId="77777777" w:rsidR="00566BD7" w:rsidRPr="005701AB" w:rsidRDefault="00566BD7" w:rsidP="00566BD7">
            <w:pPr>
              <w:spacing w:after="0" w:line="240" w:lineRule="auto"/>
              <w:jc w:val="center"/>
              <w:rPr>
                <w:rFonts w:cs="Calibri"/>
                <w:b/>
                <w:bCs/>
                <w:color w:val="000000"/>
                <w:sz w:val="18"/>
                <w:szCs w:val="18"/>
                <w:lang w:eastAsia="sk-SK"/>
              </w:rPr>
            </w:pPr>
          </w:p>
        </w:tc>
      </w:tr>
      <w:tr w:rsidR="000C76E0" w:rsidRPr="005701AB" w14:paraId="0FE68FF0" w14:textId="683B0E14"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04BFF517"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1: Plánovanie, manažment  a kontrola</w:t>
            </w:r>
          </w:p>
        </w:tc>
        <w:tc>
          <w:tcPr>
            <w:tcW w:w="1507" w:type="dxa"/>
            <w:tcBorders>
              <w:top w:val="nil"/>
              <w:left w:val="nil"/>
              <w:bottom w:val="single" w:sz="12" w:space="0" w:color="FFFFFF"/>
              <w:right w:val="single" w:sz="12" w:space="0" w:color="FFFFFF"/>
            </w:tcBorders>
            <w:shd w:val="clear" w:color="000000" w:fill="F2F2F2"/>
            <w:noWrap/>
            <w:vAlign w:val="center"/>
            <w:hideMark/>
          </w:tcPr>
          <w:p w14:paraId="532A366A" w14:textId="79DCA58D" w:rsidR="000C76E0" w:rsidRDefault="000C76E0" w:rsidP="000C76E0">
            <w:pPr>
              <w:spacing w:after="0" w:line="240" w:lineRule="auto"/>
              <w:jc w:val="right"/>
              <w:rPr>
                <w:rFonts w:cs="Calibri"/>
                <w:color w:val="000000"/>
                <w:lang w:eastAsia="sk-SK"/>
              </w:rPr>
            </w:pPr>
            <w:r>
              <w:rPr>
                <w:rFonts w:cs="Calibri"/>
                <w:color w:val="000000"/>
              </w:rPr>
              <w:t>4 845 633</w:t>
            </w:r>
          </w:p>
        </w:tc>
        <w:tc>
          <w:tcPr>
            <w:tcW w:w="1559" w:type="dxa"/>
            <w:tcBorders>
              <w:top w:val="nil"/>
              <w:left w:val="nil"/>
              <w:bottom w:val="single" w:sz="12" w:space="0" w:color="FFFFFF"/>
              <w:right w:val="single" w:sz="12" w:space="0" w:color="FFFFFF"/>
            </w:tcBorders>
            <w:shd w:val="clear" w:color="000000" w:fill="F2F2F2"/>
            <w:noWrap/>
            <w:vAlign w:val="center"/>
            <w:hideMark/>
          </w:tcPr>
          <w:p w14:paraId="15767027" w14:textId="348F0755" w:rsidR="000C76E0" w:rsidRDefault="000C76E0" w:rsidP="000C76E0">
            <w:pPr>
              <w:jc w:val="right"/>
              <w:rPr>
                <w:rFonts w:cs="Calibri"/>
                <w:color w:val="000000"/>
              </w:rPr>
            </w:pPr>
            <w:r>
              <w:rPr>
                <w:rFonts w:cs="Calibri"/>
                <w:color w:val="000000"/>
              </w:rPr>
              <w:t>3 412 517</w:t>
            </w:r>
          </w:p>
        </w:tc>
        <w:tc>
          <w:tcPr>
            <w:tcW w:w="1418" w:type="dxa"/>
            <w:tcBorders>
              <w:top w:val="nil"/>
              <w:left w:val="nil"/>
              <w:bottom w:val="single" w:sz="12" w:space="0" w:color="FFFFFF"/>
              <w:right w:val="single" w:sz="12" w:space="0" w:color="FFFFFF"/>
            </w:tcBorders>
            <w:shd w:val="clear" w:color="000000" w:fill="F2F2F2"/>
            <w:noWrap/>
            <w:vAlign w:val="center"/>
            <w:hideMark/>
          </w:tcPr>
          <w:p w14:paraId="7BB9545E" w14:textId="51EAE726" w:rsidR="000C76E0" w:rsidRDefault="000C76E0" w:rsidP="000C76E0">
            <w:pPr>
              <w:jc w:val="right"/>
              <w:rPr>
                <w:rFonts w:cs="Calibri"/>
                <w:color w:val="000000"/>
              </w:rPr>
            </w:pPr>
            <w:r>
              <w:rPr>
                <w:rFonts w:cs="Calibri"/>
                <w:color w:val="000000"/>
              </w:rPr>
              <w:t>3 016 849</w:t>
            </w:r>
          </w:p>
        </w:tc>
        <w:tc>
          <w:tcPr>
            <w:tcW w:w="1501" w:type="dxa"/>
            <w:tcBorders>
              <w:top w:val="nil"/>
              <w:left w:val="nil"/>
              <w:bottom w:val="single" w:sz="12" w:space="0" w:color="FFFFFF"/>
              <w:right w:val="single" w:sz="12" w:space="0" w:color="FFFFFF"/>
            </w:tcBorders>
            <w:shd w:val="clear" w:color="000000" w:fill="F2F2F2"/>
            <w:vAlign w:val="center"/>
          </w:tcPr>
          <w:p w14:paraId="7B2627F5" w14:textId="3BB2803C" w:rsidR="000C76E0" w:rsidRDefault="000C76E0" w:rsidP="000C76E0">
            <w:pPr>
              <w:jc w:val="right"/>
              <w:rPr>
                <w:rFonts w:cs="Calibri"/>
                <w:color w:val="000000"/>
              </w:rPr>
            </w:pPr>
            <w:r>
              <w:rPr>
                <w:rFonts w:cs="Calibri"/>
                <w:color w:val="000000"/>
              </w:rPr>
              <w:t>3 474 531</w:t>
            </w:r>
          </w:p>
        </w:tc>
        <w:tc>
          <w:tcPr>
            <w:tcW w:w="1463" w:type="dxa"/>
            <w:tcBorders>
              <w:top w:val="nil"/>
              <w:left w:val="nil"/>
              <w:bottom w:val="single" w:sz="12" w:space="0" w:color="FFFFFF"/>
              <w:right w:val="single" w:sz="12" w:space="0" w:color="FFFFFF"/>
            </w:tcBorders>
            <w:shd w:val="clear" w:color="000000" w:fill="F2F2F2"/>
            <w:vAlign w:val="center"/>
          </w:tcPr>
          <w:p w14:paraId="3C980103" w14:textId="41F60371" w:rsidR="000C76E0" w:rsidRDefault="000C76E0" w:rsidP="000C76E0">
            <w:pPr>
              <w:jc w:val="right"/>
              <w:rPr>
                <w:rFonts w:cs="Calibri"/>
                <w:color w:val="000000"/>
              </w:rPr>
            </w:pPr>
            <w:r>
              <w:rPr>
                <w:rFonts w:cs="Calibri"/>
                <w:color w:val="000000"/>
              </w:rPr>
              <w:t>15,17%</w:t>
            </w:r>
          </w:p>
        </w:tc>
      </w:tr>
      <w:tr w:rsidR="000C76E0" w:rsidRPr="005701AB" w14:paraId="62D89E54" w14:textId="2E6BB193"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1B2CB259" w14:textId="1594FB30"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2: Propagácia a</w:t>
            </w:r>
            <w:r w:rsidR="009F3097">
              <w:rPr>
                <w:rFonts w:cs="Calibri"/>
                <w:color w:val="000000"/>
                <w:lang w:eastAsia="sk-SK"/>
              </w:rPr>
              <w:t> </w:t>
            </w:r>
            <w:r w:rsidRPr="005701AB">
              <w:rPr>
                <w:rFonts w:cs="Calibri"/>
                <w:color w:val="000000"/>
                <w:lang w:eastAsia="sk-SK"/>
              </w:rPr>
              <w:t>marketing</w:t>
            </w:r>
          </w:p>
        </w:tc>
        <w:tc>
          <w:tcPr>
            <w:tcW w:w="1507" w:type="dxa"/>
            <w:tcBorders>
              <w:top w:val="nil"/>
              <w:left w:val="nil"/>
              <w:bottom w:val="single" w:sz="12" w:space="0" w:color="FFFFFF"/>
              <w:right w:val="single" w:sz="12" w:space="0" w:color="FFFFFF"/>
            </w:tcBorders>
            <w:shd w:val="clear" w:color="000000" w:fill="F2F2F2"/>
            <w:noWrap/>
            <w:vAlign w:val="center"/>
            <w:hideMark/>
          </w:tcPr>
          <w:p w14:paraId="1CC2B0BD" w14:textId="19818EC8" w:rsidR="000C76E0" w:rsidRDefault="000C76E0" w:rsidP="000C76E0">
            <w:pPr>
              <w:jc w:val="right"/>
              <w:rPr>
                <w:rFonts w:cs="Calibri"/>
                <w:color w:val="000000"/>
              </w:rPr>
            </w:pPr>
            <w:r>
              <w:rPr>
                <w:rFonts w:cs="Calibri"/>
                <w:color w:val="000000"/>
              </w:rPr>
              <w:t>580 947</w:t>
            </w:r>
          </w:p>
        </w:tc>
        <w:tc>
          <w:tcPr>
            <w:tcW w:w="1559" w:type="dxa"/>
            <w:tcBorders>
              <w:top w:val="nil"/>
              <w:left w:val="nil"/>
              <w:bottom w:val="single" w:sz="12" w:space="0" w:color="FFFFFF"/>
              <w:right w:val="single" w:sz="12" w:space="0" w:color="FFFFFF"/>
            </w:tcBorders>
            <w:shd w:val="clear" w:color="000000" w:fill="F2F2F2"/>
            <w:noWrap/>
            <w:vAlign w:val="center"/>
            <w:hideMark/>
          </w:tcPr>
          <w:p w14:paraId="7403032C" w14:textId="6CFC6BC8" w:rsidR="000C76E0" w:rsidRDefault="000C76E0" w:rsidP="000C76E0">
            <w:pPr>
              <w:jc w:val="right"/>
              <w:rPr>
                <w:rFonts w:cs="Calibri"/>
                <w:color w:val="000000"/>
              </w:rPr>
            </w:pPr>
            <w:r>
              <w:rPr>
                <w:rFonts w:cs="Calibri"/>
                <w:color w:val="000000"/>
              </w:rPr>
              <w:t>615 707</w:t>
            </w:r>
          </w:p>
        </w:tc>
        <w:tc>
          <w:tcPr>
            <w:tcW w:w="1418" w:type="dxa"/>
            <w:tcBorders>
              <w:top w:val="nil"/>
              <w:left w:val="nil"/>
              <w:bottom w:val="single" w:sz="12" w:space="0" w:color="FFFFFF"/>
              <w:right w:val="single" w:sz="12" w:space="0" w:color="FFFFFF"/>
            </w:tcBorders>
            <w:shd w:val="clear" w:color="000000" w:fill="F2F2F2"/>
            <w:noWrap/>
            <w:vAlign w:val="center"/>
            <w:hideMark/>
          </w:tcPr>
          <w:p w14:paraId="329D97E3" w14:textId="19874A2D" w:rsidR="000C76E0" w:rsidRDefault="000C76E0" w:rsidP="000C76E0">
            <w:pPr>
              <w:jc w:val="right"/>
              <w:rPr>
                <w:rFonts w:cs="Calibri"/>
                <w:color w:val="000000"/>
              </w:rPr>
            </w:pPr>
            <w:r>
              <w:rPr>
                <w:rFonts w:cs="Calibri"/>
                <w:color w:val="000000"/>
              </w:rPr>
              <w:t>537 520</w:t>
            </w:r>
          </w:p>
        </w:tc>
        <w:tc>
          <w:tcPr>
            <w:tcW w:w="1501" w:type="dxa"/>
            <w:tcBorders>
              <w:top w:val="nil"/>
              <w:left w:val="nil"/>
              <w:bottom w:val="single" w:sz="12" w:space="0" w:color="FFFFFF"/>
              <w:right w:val="single" w:sz="12" w:space="0" w:color="FFFFFF"/>
            </w:tcBorders>
            <w:shd w:val="clear" w:color="000000" w:fill="F2F2F2"/>
            <w:vAlign w:val="center"/>
          </w:tcPr>
          <w:p w14:paraId="4F6A5B51" w14:textId="7635602F" w:rsidR="000C76E0" w:rsidRDefault="000C76E0" w:rsidP="000C76E0">
            <w:pPr>
              <w:jc w:val="right"/>
              <w:rPr>
                <w:rFonts w:cs="Calibri"/>
                <w:color w:val="000000"/>
              </w:rPr>
            </w:pPr>
            <w:r>
              <w:rPr>
                <w:rFonts w:cs="Calibri"/>
                <w:color w:val="000000"/>
              </w:rPr>
              <w:t>275 351</w:t>
            </w:r>
          </w:p>
        </w:tc>
        <w:tc>
          <w:tcPr>
            <w:tcW w:w="1463" w:type="dxa"/>
            <w:tcBorders>
              <w:top w:val="nil"/>
              <w:left w:val="nil"/>
              <w:bottom w:val="single" w:sz="12" w:space="0" w:color="FFFFFF"/>
              <w:right w:val="single" w:sz="12" w:space="0" w:color="FFFFFF"/>
            </w:tcBorders>
            <w:shd w:val="clear" w:color="000000" w:fill="F2F2F2"/>
            <w:vAlign w:val="center"/>
          </w:tcPr>
          <w:p w14:paraId="748813F0" w14:textId="0A4C05C5" w:rsidR="000C76E0" w:rsidRDefault="000C76E0" w:rsidP="000C76E0">
            <w:pPr>
              <w:jc w:val="right"/>
              <w:rPr>
                <w:rFonts w:cs="Calibri"/>
                <w:color w:val="000000"/>
              </w:rPr>
            </w:pPr>
            <w:r>
              <w:rPr>
                <w:rFonts w:cs="Calibri"/>
                <w:color w:val="FF0000"/>
              </w:rPr>
              <w:t>-48,77%</w:t>
            </w:r>
          </w:p>
        </w:tc>
      </w:tr>
      <w:tr w:rsidR="000C76E0" w:rsidRPr="005701AB" w14:paraId="794AB3E5" w14:textId="2371DF97"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2B3EE591"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3: Interné služby</w:t>
            </w:r>
          </w:p>
        </w:tc>
        <w:tc>
          <w:tcPr>
            <w:tcW w:w="1507" w:type="dxa"/>
            <w:tcBorders>
              <w:top w:val="nil"/>
              <w:left w:val="nil"/>
              <w:bottom w:val="single" w:sz="12" w:space="0" w:color="FFFFFF"/>
              <w:right w:val="single" w:sz="12" w:space="0" w:color="FFFFFF"/>
            </w:tcBorders>
            <w:shd w:val="clear" w:color="000000" w:fill="F2F2F2"/>
            <w:noWrap/>
            <w:vAlign w:val="center"/>
            <w:hideMark/>
          </w:tcPr>
          <w:p w14:paraId="26F9B87B" w14:textId="69D0481F" w:rsidR="000C76E0" w:rsidRDefault="000C76E0" w:rsidP="000C76E0">
            <w:pPr>
              <w:jc w:val="right"/>
              <w:rPr>
                <w:rFonts w:cs="Calibri"/>
                <w:color w:val="000000"/>
              </w:rPr>
            </w:pPr>
            <w:r>
              <w:rPr>
                <w:rFonts w:cs="Calibri"/>
                <w:color w:val="000000"/>
              </w:rPr>
              <w:t>5 613 750</w:t>
            </w:r>
          </w:p>
        </w:tc>
        <w:tc>
          <w:tcPr>
            <w:tcW w:w="1559" w:type="dxa"/>
            <w:tcBorders>
              <w:top w:val="nil"/>
              <w:left w:val="nil"/>
              <w:bottom w:val="single" w:sz="12" w:space="0" w:color="FFFFFF"/>
              <w:right w:val="single" w:sz="12" w:space="0" w:color="FFFFFF"/>
            </w:tcBorders>
            <w:shd w:val="clear" w:color="000000" w:fill="F2F2F2"/>
            <w:noWrap/>
            <w:vAlign w:val="center"/>
            <w:hideMark/>
          </w:tcPr>
          <w:p w14:paraId="55270120" w14:textId="1E2F5D01" w:rsidR="000C76E0" w:rsidRDefault="000C76E0" w:rsidP="000C76E0">
            <w:pPr>
              <w:jc w:val="right"/>
              <w:rPr>
                <w:rFonts w:cs="Calibri"/>
                <w:color w:val="000000"/>
              </w:rPr>
            </w:pPr>
            <w:r>
              <w:rPr>
                <w:rFonts w:cs="Calibri"/>
                <w:color w:val="000000"/>
              </w:rPr>
              <w:t>6 136 047</w:t>
            </w:r>
          </w:p>
        </w:tc>
        <w:tc>
          <w:tcPr>
            <w:tcW w:w="1418" w:type="dxa"/>
            <w:tcBorders>
              <w:top w:val="nil"/>
              <w:left w:val="nil"/>
              <w:bottom w:val="single" w:sz="12" w:space="0" w:color="FFFFFF"/>
              <w:right w:val="single" w:sz="12" w:space="0" w:color="FFFFFF"/>
            </w:tcBorders>
            <w:shd w:val="clear" w:color="000000" w:fill="F2F2F2"/>
            <w:noWrap/>
            <w:vAlign w:val="center"/>
            <w:hideMark/>
          </w:tcPr>
          <w:p w14:paraId="54631C8A" w14:textId="65D2992C" w:rsidR="000C76E0" w:rsidRDefault="000C76E0" w:rsidP="000C76E0">
            <w:pPr>
              <w:jc w:val="right"/>
              <w:rPr>
                <w:rFonts w:cs="Calibri"/>
                <w:color w:val="000000"/>
              </w:rPr>
            </w:pPr>
            <w:r>
              <w:rPr>
                <w:rFonts w:cs="Calibri"/>
                <w:color w:val="000000"/>
              </w:rPr>
              <w:t>8 802 590</w:t>
            </w:r>
          </w:p>
        </w:tc>
        <w:tc>
          <w:tcPr>
            <w:tcW w:w="1501" w:type="dxa"/>
            <w:tcBorders>
              <w:top w:val="nil"/>
              <w:left w:val="nil"/>
              <w:bottom w:val="single" w:sz="12" w:space="0" w:color="FFFFFF"/>
              <w:right w:val="single" w:sz="12" w:space="0" w:color="FFFFFF"/>
            </w:tcBorders>
            <w:shd w:val="clear" w:color="000000" w:fill="F2F2F2"/>
            <w:vAlign w:val="center"/>
          </w:tcPr>
          <w:p w14:paraId="6EBF85FC" w14:textId="5B4B0DB7" w:rsidR="000C76E0" w:rsidRDefault="000C76E0" w:rsidP="000C76E0">
            <w:pPr>
              <w:jc w:val="right"/>
              <w:rPr>
                <w:rFonts w:cs="Calibri"/>
                <w:color w:val="000000"/>
              </w:rPr>
            </w:pPr>
            <w:r>
              <w:rPr>
                <w:rFonts w:cs="Calibri"/>
                <w:color w:val="000000"/>
              </w:rPr>
              <w:t>5 092 566</w:t>
            </w:r>
          </w:p>
        </w:tc>
        <w:tc>
          <w:tcPr>
            <w:tcW w:w="1463" w:type="dxa"/>
            <w:tcBorders>
              <w:top w:val="nil"/>
              <w:left w:val="nil"/>
              <w:bottom w:val="single" w:sz="12" w:space="0" w:color="FFFFFF"/>
              <w:right w:val="single" w:sz="12" w:space="0" w:color="FFFFFF"/>
            </w:tcBorders>
            <w:shd w:val="clear" w:color="000000" w:fill="F2F2F2"/>
            <w:vAlign w:val="center"/>
          </w:tcPr>
          <w:p w14:paraId="629B7201" w14:textId="2C001368" w:rsidR="000C76E0" w:rsidRDefault="000C76E0" w:rsidP="000C76E0">
            <w:pPr>
              <w:jc w:val="right"/>
              <w:rPr>
                <w:rFonts w:cs="Calibri"/>
                <w:color w:val="000000"/>
              </w:rPr>
            </w:pPr>
            <w:r>
              <w:rPr>
                <w:rFonts w:cs="Calibri"/>
                <w:color w:val="FF0000"/>
              </w:rPr>
              <w:t>-42,15%</w:t>
            </w:r>
          </w:p>
        </w:tc>
      </w:tr>
      <w:tr w:rsidR="000C76E0" w:rsidRPr="005701AB" w14:paraId="4AD37BD2" w14:textId="00717B84"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41E44942"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4: Cestovný ruch</w:t>
            </w:r>
          </w:p>
        </w:tc>
        <w:tc>
          <w:tcPr>
            <w:tcW w:w="1507" w:type="dxa"/>
            <w:tcBorders>
              <w:top w:val="nil"/>
              <w:left w:val="nil"/>
              <w:bottom w:val="single" w:sz="12" w:space="0" w:color="FFFFFF"/>
              <w:right w:val="single" w:sz="12" w:space="0" w:color="FFFFFF"/>
            </w:tcBorders>
            <w:shd w:val="clear" w:color="000000" w:fill="F2F2F2"/>
            <w:noWrap/>
            <w:vAlign w:val="center"/>
            <w:hideMark/>
          </w:tcPr>
          <w:p w14:paraId="6DDB468F" w14:textId="6F4F0860" w:rsidR="000C76E0" w:rsidRDefault="000C76E0" w:rsidP="000C76E0">
            <w:pPr>
              <w:jc w:val="right"/>
              <w:rPr>
                <w:rFonts w:cs="Calibri"/>
                <w:color w:val="000000"/>
              </w:rPr>
            </w:pPr>
            <w:r>
              <w:rPr>
                <w:rFonts w:cs="Calibri"/>
                <w:color w:val="000000"/>
              </w:rPr>
              <w:t>1 063 460</w:t>
            </w:r>
          </w:p>
        </w:tc>
        <w:tc>
          <w:tcPr>
            <w:tcW w:w="1559" w:type="dxa"/>
            <w:tcBorders>
              <w:top w:val="nil"/>
              <w:left w:val="nil"/>
              <w:bottom w:val="single" w:sz="12" w:space="0" w:color="FFFFFF"/>
              <w:right w:val="single" w:sz="12" w:space="0" w:color="FFFFFF"/>
            </w:tcBorders>
            <w:shd w:val="clear" w:color="000000" w:fill="F2F2F2"/>
            <w:noWrap/>
            <w:vAlign w:val="center"/>
            <w:hideMark/>
          </w:tcPr>
          <w:p w14:paraId="102ED722" w14:textId="35FE45D0" w:rsidR="000C76E0" w:rsidRDefault="000C76E0" w:rsidP="000C76E0">
            <w:pPr>
              <w:jc w:val="right"/>
              <w:rPr>
                <w:rFonts w:cs="Calibri"/>
                <w:color w:val="000000"/>
              </w:rPr>
            </w:pPr>
            <w:r>
              <w:rPr>
                <w:rFonts w:cs="Calibri"/>
                <w:color w:val="000000"/>
              </w:rPr>
              <w:t>866 148</w:t>
            </w:r>
          </w:p>
        </w:tc>
        <w:tc>
          <w:tcPr>
            <w:tcW w:w="1418" w:type="dxa"/>
            <w:tcBorders>
              <w:top w:val="nil"/>
              <w:left w:val="nil"/>
              <w:bottom w:val="single" w:sz="12" w:space="0" w:color="FFFFFF"/>
              <w:right w:val="single" w:sz="12" w:space="0" w:color="FFFFFF"/>
            </w:tcBorders>
            <w:shd w:val="clear" w:color="000000" w:fill="F2F2F2"/>
            <w:noWrap/>
            <w:vAlign w:val="center"/>
            <w:hideMark/>
          </w:tcPr>
          <w:p w14:paraId="6FFFFE81" w14:textId="1A9B6889" w:rsidR="000C76E0" w:rsidRDefault="000C76E0" w:rsidP="000C76E0">
            <w:pPr>
              <w:jc w:val="right"/>
              <w:rPr>
                <w:rFonts w:cs="Calibri"/>
                <w:color w:val="000000"/>
              </w:rPr>
            </w:pPr>
            <w:r>
              <w:rPr>
                <w:rFonts w:cs="Calibri"/>
                <w:color w:val="000000"/>
              </w:rPr>
              <w:t>803 163</w:t>
            </w:r>
          </w:p>
        </w:tc>
        <w:tc>
          <w:tcPr>
            <w:tcW w:w="1501" w:type="dxa"/>
            <w:tcBorders>
              <w:top w:val="nil"/>
              <w:left w:val="nil"/>
              <w:bottom w:val="single" w:sz="12" w:space="0" w:color="FFFFFF"/>
              <w:right w:val="single" w:sz="12" w:space="0" w:color="FFFFFF"/>
            </w:tcBorders>
            <w:shd w:val="clear" w:color="000000" w:fill="F2F2F2"/>
            <w:vAlign w:val="center"/>
          </w:tcPr>
          <w:p w14:paraId="19EEDD92" w14:textId="5705FCCD" w:rsidR="000C76E0" w:rsidRDefault="000C76E0" w:rsidP="000C76E0">
            <w:pPr>
              <w:jc w:val="right"/>
              <w:rPr>
                <w:rFonts w:cs="Calibri"/>
                <w:color w:val="000000"/>
              </w:rPr>
            </w:pPr>
            <w:r>
              <w:rPr>
                <w:rFonts w:cs="Calibri"/>
                <w:color w:val="000000"/>
              </w:rPr>
              <w:t>534 361</w:t>
            </w:r>
          </w:p>
        </w:tc>
        <w:tc>
          <w:tcPr>
            <w:tcW w:w="1463" w:type="dxa"/>
            <w:tcBorders>
              <w:top w:val="nil"/>
              <w:left w:val="nil"/>
              <w:bottom w:val="single" w:sz="12" w:space="0" w:color="FFFFFF"/>
              <w:right w:val="single" w:sz="12" w:space="0" w:color="FFFFFF"/>
            </w:tcBorders>
            <w:shd w:val="clear" w:color="000000" w:fill="F2F2F2"/>
            <w:vAlign w:val="center"/>
          </w:tcPr>
          <w:p w14:paraId="1C9C20B1" w14:textId="7062AD76" w:rsidR="000C76E0" w:rsidRDefault="000C76E0" w:rsidP="000C76E0">
            <w:pPr>
              <w:jc w:val="right"/>
              <w:rPr>
                <w:rFonts w:cs="Calibri"/>
                <w:color w:val="000000"/>
              </w:rPr>
            </w:pPr>
            <w:r>
              <w:rPr>
                <w:rFonts w:cs="Calibri"/>
                <w:color w:val="FF0000"/>
              </w:rPr>
              <w:t>-33,47%</w:t>
            </w:r>
          </w:p>
        </w:tc>
      </w:tr>
      <w:tr w:rsidR="000C76E0" w:rsidRPr="005701AB" w14:paraId="5E5FB27E" w14:textId="2C9EE073" w:rsidTr="00566BD7">
        <w:trPr>
          <w:trHeight w:hRule="exact" w:val="552"/>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2E4202EE" w14:textId="2CC23757" w:rsidR="000C76E0" w:rsidRPr="005701AB" w:rsidRDefault="000C76E0" w:rsidP="000C76E0">
            <w:pPr>
              <w:spacing w:after="0" w:line="240" w:lineRule="auto"/>
              <w:rPr>
                <w:rFonts w:cs="Calibri"/>
                <w:color w:val="000000"/>
                <w:lang w:eastAsia="sk-SK"/>
              </w:rPr>
            </w:pPr>
            <w:r w:rsidRPr="005701AB">
              <w:rPr>
                <w:rFonts w:cs="Calibri"/>
                <w:color w:val="000000"/>
                <w:lang w:eastAsia="sk-SK"/>
              </w:rPr>
              <w:t xml:space="preserve">Program 5: </w:t>
            </w:r>
            <w:r w:rsidRPr="00C10B30">
              <w:t>Starostlivosť o krajinu, prírodné zdroje obyvateľstva</w:t>
            </w:r>
          </w:p>
        </w:tc>
        <w:tc>
          <w:tcPr>
            <w:tcW w:w="1507" w:type="dxa"/>
            <w:tcBorders>
              <w:top w:val="nil"/>
              <w:left w:val="nil"/>
              <w:bottom w:val="single" w:sz="12" w:space="0" w:color="FFFFFF"/>
              <w:right w:val="single" w:sz="12" w:space="0" w:color="FFFFFF"/>
            </w:tcBorders>
            <w:shd w:val="clear" w:color="000000" w:fill="F2F2F2"/>
            <w:noWrap/>
            <w:vAlign w:val="center"/>
            <w:hideMark/>
          </w:tcPr>
          <w:p w14:paraId="35771D8F" w14:textId="411E9265" w:rsidR="000C76E0" w:rsidRDefault="000C76E0" w:rsidP="000C76E0">
            <w:pPr>
              <w:jc w:val="right"/>
              <w:rPr>
                <w:rFonts w:cs="Calibri"/>
                <w:color w:val="000000"/>
              </w:rPr>
            </w:pPr>
            <w:r>
              <w:rPr>
                <w:rFonts w:cs="Calibri"/>
                <w:color w:val="000000"/>
              </w:rPr>
              <w:t>0</w:t>
            </w:r>
          </w:p>
        </w:tc>
        <w:tc>
          <w:tcPr>
            <w:tcW w:w="1559" w:type="dxa"/>
            <w:tcBorders>
              <w:top w:val="nil"/>
              <w:left w:val="nil"/>
              <w:bottom w:val="single" w:sz="12" w:space="0" w:color="FFFFFF"/>
              <w:right w:val="single" w:sz="12" w:space="0" w:color="FFFFFF"/>
            </w:tcBorders>
            <w:shd w:val="clear" w:color="000000" w:fill="F2F2F2"/>
            <w:noWrap/>
            <w:vAlign w:val="center"/>
            <w:hideMark/>
          </w:tcPr>
          <w:p w14:paraId="35B5BA29" w14:textId="39C6C060" w:rsidR="000C76E0" w:rsidRDefault="000C76E0" w:rsidP="000C76E0">
            <w:pPr>
              <w:jc w:val="right"/>
              <w:rPr>
                <w:rFonts w:cs="Calibri"/>
                <w:color w:val="000000"/>
              </w:rPr>
            </w:pPr>
            <w:r>
              <w:rPr>
                <w:rFonts w:cs="Calibri"/>
                <w:color w:val="000000"/>
              </w:rPr>
              <w:t>54 627</w:t>
            </w:r>
          </w:p>
        </w:tc>
        <w:tc>
          <w:tcPr>
            <w:tcW w:w="1418" w:type="dxa"/>
            <w:tcBorders>
              <w:top w:val="nil"/>
              <w:left w:val="nil"/>
              <w:bottom w:val="single" w:sz="12" w:space="0" w:color="FFFFFF"/>
              <w:right w:val="single" w:sz="12" w:space="0" w:color="FFFFFF"/>
            </w:tcBorders>
            <w:shd w:val="clear" w:color="000000" w:fill="F2F2F2"/>
            <w:noWrap/>
            <w:vAlign w:val="center"/>
            <w:hideMark/>
          </w:tcPr>
          <w:p w14:paraId="17B38E1D" w14:textId="57AACB30" w:rsidR="000C76E0" w:rsidRDefault="000C76E0" w:rsidP="000C76E0">
            <w:pPr>
              <w:jc w:val="right"/>
              <w:rPr>
                <w:rFonts w:cs="Calibri"/>
                <w:color w:val="000000"/>
              </w:rPr>
            </w:pPr>
            <w:r>
              <w:rPr>
                <w:rFonts w:cs="Calibri"/>
                <w:color w:val="000000"/>
              </w:rPr>
              <w:t>50 042</w:t>
            </w:r>
          </w:p>
        </w:tc>
        <w:tc>
          <w:tcPr>
            <w:tcW w:w="1501" w:type="dxa"/>
            <w:tcBorders>
              <w:top w:val="nil"/>
              <w:left w:val="nil"/>
              <w:bottom w:val="single" w:sz="12" w:space="0" w:color="FFFFFF"/>
              <w:right w:val="single" w:sz="12" w:space="0" w:color="FFFFFF"/>
            </w:tcBorders>
            <w:shd w:val="clear" w:color="000000" w:fill="F2F2F2"/>
            <w:vAlign w:val="center"/>
          </w:tcPr>
          <w:p w14:paraId="30B909FF" w14:textId="4E41C46E" w:rsidR="000C76E0" w:rsidRDefault="000C76E0" w:rsidP="000C76E0">
            <w:pPr>
              <w:jc w:val="right"/>
              <w:rPr>
                <w:rFonts w:cs="Calibri"/>
                <w:color w:val="000000"/>
              </w:rPr>
            </w:pPr>
            <w:r>
              <w:rPr>
                <w:rFonts w:cs="Calibri"/>
                <w:color w:val="000000"/>
              </w:rPr>
              <w:t>81 682</w:t>
            </w:r>
          </w:p>
        </w:tc>
        <w:tc>
          <w:tcPr>
            <w:tcW w:w="1463" w:type="dxa"/>
            <w:tcBorders>
              <w:top w:val="nil"/>
              <w:left w:val="nil"/>
              <w:bottom w:val="single" w:sz="12" w:space="0" w:color="FFFFFF"/>
              <w:right w:val="single" w:sz="12" w:space="0" w:color="FFFFFF"/>
            </w:tcBorders>
            <w:shd w:val="clear" w:color="000000" w:fill="F2F2F2"/>
            <w:vAlign w:val="center"/>
          </w:tcPr>
          <w:p w14:paraId="661558F4" w14:textId="2CCF52CF" w:rsidR="000C76E0" w:rsidRDefault="000C76E0" w:rsidP="000C76E0">
            <w:pPr>
              <w:jc w:val="right"/>
              <w:rPr>
                <w:rFonts w:cs="Calibri"/>
                <w:color w:val="000000"/>
              </w:rPr>
            </w:pPr>
            <w:r>
              <w:rPr>
                <w:rFonts w:cs="Calibri"/>
                <w:color w:val="000000"/>
              </w:rPr>
              <w:t>63,23%</w:t>
            </w:r>
          </w:p>
        </w:tc>
      </w:tr>
      <w:tr w:rsidR="000C76E0" w:rsidRPr="005701AB" w14:paraId="0FCAA534" w14:textId="5C028189"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184F8250"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6: Komunikácie</w:t>
            </w:r>
          </w:p>
        </w:tc>
        <w:tc>
          <w:tcPr>
            <w:tcW w:w="1507" w:type="dxa"/>
            <w:tcBorders>
              <w:top w:val="nil"/>
              <w:left w:val="nil"/>
              <w:bottom w:val="single" w:sz="12" w:space="0" w:color="FFFFFF"/>
              <w:right w:val="single" w:sz="12" w:space="0" w:color="FFFFFF"/>
            </w:tcBorders>
            <w:shd w:val="clear" w:color="000000" w:fill="F2F2F2"/>
            <w:noWrap/>
            <w:vAlign w:val="center"/>
            <w:hideMark/>
          </w:tcPr>
          <w:p w14:paraId="3D46F82D" w14:textId="4EC2372C" w:rsidR="000C76E0" w:rsidRDefault="000C76E0" w:rsidP="000C76E0">
            <w:pPr>
              <w:jc w:val="right"/>
              <w:rPr>
                <w:rFonts w:cs="Calibri"/>
                <w:color w:val="000000"/>
              </w:rPr>
            </w:pPr>
            <w:r>
              <w:rPr>
                <w:rFonts w:cs="Calibri"/>
                <w:color w:val="000000"/>
              </w:rPr>
              <w:t>9 475 030</w:t>
            </w:r>
          </w:p>
        </w:tc>
        <w:tc>
          <w:tcPr>
            <w:tcW w:w="1559" w:type="dxa"/>
            <w:tcBorders>
              <w:top w:val="nil"/>
              <w:left w:val="nil"/>
              <w:bottom w:val="single" w:sz="12" w:space="0" w:color="FFFFFF"/>
              <w:right w:val="single" w:sz="12" w:space="0" w:color="FFFFFF"/>
            </w:tcBorders>
            <w:shd w:val="clear" w:color="000000" w:fill="F2F2F2"/>
            <w:noWrap/>
            <w:vAlign w:val="center"/>
            <w:hideMark/>
          </w:tcPr>
          <w:p w14:paraId="66ABAA44" w14:textId="14E9FA09" w:rsidR="000C76E0" w:rsidRDefault="000C76E0" w:rsidP="000C76E0">
            <w:pPr>
              <w:jc w:val="right"/>
              <w:rPr>
                <w:rFonts w:cs="Calibri"/>
                <w:color w:val="000000"/>
              </w:rPr>
            </w:pPr>
            <w:r>
              <w:rPr>
                <w:rFonts w:cs="Calibri"/>
                <w:color w:val="000000"/>
              </w:rPr>
              <w:t>8 588 618</w:t>
            </w:r>
          </w:p>
        </w:tc>
        <w:tc>
          <w:tcPr>
            <w:tcW w:w="1418" w:type="dxa"/>
            <w:tcBorders>
              <w:top w:val="nil"/>
              <w:left w:val="nil"/>
              <w:bottom w:val="single" w:sz="12" w:space="0" w:color="FFFFFF"/>
              <w:right w:val="single" w:sz="12" w:space="0" w:color="FFFFFF"/>
            </w:tcBorders>
            <w:shd w:val="clear" w:color="000000" w:fill="F2F2F2"/>
            <w:noWrap/>
            <w:vAlign w:val="center"/>
            <w:hideMark/>
          </w:tcPr>
          <w:p w14:paraId="62AFDD53" w14:textId="367AFE3B" w:rsidR="000C76E0" w:rsidRDefault="000C76E0" w:rsidP="000C76E0">
            <w:pPr>
              <w:jc w:val="right"/>
              <w:rPr>
                <w:rFonts w:cs="Calibri"/>
                <w:color w:val="000000"/>
              </w:rPr>
            </w:pPr>
            <w:r>
              <w:rPr>
                <w:rFonts w:cs="Calibri"/>
                <w:color w:val="000000"/>
              </w:rPr>
              <w:t>5 657 190</w:t>
            </w:r>
          </w:p>
        </w:tc>
        <w:tc>
          <w:tcPr>
            <w:tcW w:w="1501" w:type="dxa"/>
            <w:tcBorders>
              <w:top w:val="nil"/>
              <w:left w:val="nil"/>
              <w:bottom w:val="single" w:sz="12" w:space="0" w:color="FFFFFF"/>
              <w:right w:val="single" w:sz="12" w:space="0" w:color="FFFFFF"/>
            </w:tcBorders>
            <w:shd w:val="clear" w:color="000000" w:fill="F2F2F2"/>
            <w:vAlign w:val="center"/>
          </w:tcPr>
          <w:p w14:paraId="259FB37E" w14:textId="2777DEFF" w:rsidR="000C76E0" w:rsidRDefault="000C76E0" w:rsidP="000C76E0">
            <w:pPr>
              <w:jc w:val="right"/>
              <w:rPr>
                <w:rFonts w:cs="Calibri"/>
                <w:color w:val="000000"/>
              </w:rPr>
            </w:pPr>
            <w:r>
              <w:rPr>
                <w:rFonts w:cs="Calibri"/>
                <w:color w:val="000000"/>
              </w:rPr>
              <w:t>4 818 521</w:t>
            </w:r>
          </w:p>
        </w:tc>
        <w:tc>
          <w:tcPr>
            <w:tcW w:w="1463" w:type="dxa"/>
            <w:tcBorders>
              <w:top w:val="nil"/>
              <w:left w:val="nil"/>
              <w:bottom w:val="single" w:sz="12" w:space="0" w:color="FFFFFF"/>
              <w:right w:val="single" w:sz="12" w:space="0" w:color="FFFFFF"/>
            </w:tcBorders>
            <w:shd w:val="clear" w:color="000000" w:fill="F2F2F2"/>
            <w:vAlign w:val="center"/>
          </w:tcPr>
          <w:p w14:paraId="673054B6" w14:textId="6658F99C" w:rsidR="000C76E0" w:rsidRDefault="000C76E0" w:rsidP="000C76E0">
            <w:pPr>
              <w:jc w:val="right"/>
              <w:rPr>
                <w:rFonts w:cs="Calibri"/>
                <w:color w:val="000000"/>
              </w:rPr>
            </w:pPr>
            <w:r>
              <w:rPr>
                <w:rFonts w:cs="Calibri"/>
                <w:color w:val="FF0000"/>
              </w:rPr>
              <w:t>-14,82%</w:t>
            </w:r>
          </w:p>
        </w:tc>
      </w:tr>
      <w:tr w:rsidR="000C76E0" w:rsidRPr="005701AB" w14:paraId="5F8E146B" w14:textId="442EB231"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6C306C84"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7: Doprava</w:t>
            </w:r>
          </w:p>
        </w:tc>
        <w:tc>
          <w:tcPr>
            <w:tcW w:w="1507" w:type="dxa"/>
            <w:tcBorders>
              <w:top w:val="nil"/>
              <w:left w:val="nil"/>
              <w:bottom w:val="single" w:sz="12" w:space="0" w:color="FFFFFF"/>
              <w:right w:val="single" w:sz="12" w:space="0" w:color="FFFFFF"/>
            </w:tcBorders>
            <w:shd w:val="clear" w:color="000000" w:fill="F2F2F2"/>
            <w:noWrap/>
            <w:vAlign w:val="center"/>
            <w:hideMark/>
          </w:tcPr>
          <w:p w14:paraId="18BFFFBD" w14:textId="3ED03E45" w:rsidR="000C76E0" w:rsidRDefault="000C76E0" w:rsidP="000C76E0">
            <w:pPr>
              <w:jc w:val="right"/>
              <w:rPr>
                <w:rFonts w:cs="Calibri"/>
                <w:color w:val="000000"/>
              </w:rPr>
            </w:pPr>
            <w:r>
              <w:rPr>
                <w:rFonts w:cs="Calibri"/>
                <w:color w:val="000000"/>
              </w:rPr>
              <w:t>12 670 297</w:t>
            </w:r>
          </w:p>
        </w:tc>
        <w:tc>
          <w:tcPr>
            <w:tcW w:w="1559" w:type="dxa"/>
            <w:tcBorders>
              <w:top w:val="nil"/>
              <w:left w:val="nil"/>
              <w:bottom w:val="single" w:sz="12" w:space="0" w:color="FFFFFF"/>
              <w:right w:val="single" w:sz="12" w:space="0" w:color="FFFFFF"/>
            </w:tcBorders>
            <w:shd w:val="clear" w:color="000000" w:fill="F2F2F2"/>
            <w:noWrap/>
            <w:vAlign w:val="center"/>
            <w:hideMark/>
          </w:tcPr>
          <w:p w14:paraId="18C2ABD6" w14:textId="372A9B20" w:rsidR="000C76E0" w:rsidRDefault="000C76E0" w:rsidP="000C76E0">
            <w:pPr>
              <w:jc w:val="right"/>
              <w:rPr>
                <w:rFonts w:cs="Calibri"/>
                <w:color w:val="000000"/>
              </w:rPr>
            </w:pPr>
            <w:r>
              <w:rPr>
                <w:rFonts w:cs="Calibri"/>
                <w:color w:val="000000"/>
              </w:rPr>
              <w:t>18 430 618</w:t>
            </w:r>
          </w:p>
        </w:tc>
        <w:tc>
          <w:tcPr>
            <w:tcW w:w="1418" w:type="dxa"/>
            <w:tcBorders>
              <w:top w:val="nil"/>
              <w:left w:val="nil"/>
              <w:bottom w:val="single" w:sz="12" w:space="0" w:color="FFFFFF"/>
              <w:right w:val="single" w:sz="12" w:space="0" w:color="FFFFFF"/>
            </w:tcBorders>
            <w:shd w:val="clear" w:color="000000" w:fill="F2F2F2"/>
            <w:noWrap/>
            <w:vAlign w:val="center"/>
            <w:hideMark/>
          </w:tcPr>
          <w:p w14:paraId="7F46F0BA" w14:textId="753F350F" w:rsidR="000C76E0" w:rsidRDefault="000C76E0" w:rsidP="000C76E0">
            <w:pPr>
              <w:jc w:val="right"/>
              <w:rPr>
                <w:rFonts w:cs="Calibri"/>
                <w:color w:val="000000"/>
              </w:rPr>
            </w:pPr>
            <w:r>
              <w:rPr>
                <w:rFonts w:cs="Calibri"/>
                <w:color w:val="000000"/>
              </w:rPr>
              <w:t>21 659 228</w:t>
            </w:r>
          </w:p>
        </w:tc>
        <w:tc>
          <w:tcPr>
            <w:tcW w:w="1501" w:type="dxa"/>
            <w:tcBorders>
              <w:top w:val="nil"/>
              <w:left w:val="nil"/>
              <w:bottom w:val="single" w:sz="12" w:space="0" w:color="FFFFFF"/>
              <w:right w:val="single" w:sz="12" w:space="0" w:color="FFFFFF"/>
            </w:tcBorders>
            <w:shd w:val="clear" w:color="000000" w:fill="F2F2F2"/>
            <w:vAlign w:val="center"/>
          </w:tcPr>
          <w:p w14:paraId="289362BF" w14:textId="14E380F4" w:rsidR="000C76E0" w:rsidRDefault="000C76E0" w:rsidP="000C76E0">
            <w:pPr>
              <w:jc w:val="right"/>
              <w:rPr>
                <w:rFonts w:cs="Calibri"/>
                <w:color w:val="000000"/>
              </w:rPr>
            </w:pPr>
            <w:r>
              <w:rPr>
                <w:rFonts w:cs="Calibri"/>
                <w:color w:val="000000"/>
              </w:rPr>
              <w:t>21 165 245</w:t>
            </w:r>
          </w:p>
        </w:tc>
        <w:tc>
          <w:tcPr>
            <w:tcW w:w="1463" w:type="dxa"/>
            <w:tcBorders>
              <w:top w:val="nil"/>
              <w:left w:val="nil"/>
              <w:bottom w:val="single" w:sz="12" w:space="0" w:color="FFFFFF"/>
              <w:right w:val="single" w:sz="12" w:space="0" w:color="FFFFFF"/>
            </w:tcBorders>
            <w:shd w:val="clear" w:color="000000" w:fill="F2F2F2"/>
            <w:vAlign w:val="center"/>
          </w:tcPr>
          <w:p w14:paraId="4E76E71A" w14:textId="2C64D171" w:rsidR="000C76E0" w:rsidRDefault="000C76E0" w:rsidP="000C76E0">
            <w:pPr>
              <w:jc w:val="right"/>
              <w:rPr>
                <w:rFonts w:cs="Calibri"/>
                <w:color w:val="000000"/>
              </w:rPr>
            </w:pPr>
            <w:r>
              <w:rPr>
                <w:rFonts w:cs="Calibri"/>
                <w:color w:val="FF0000"/>
              </w:rPr>
              <w:t>-2,28%</w:t>
            </w:r>
          </w:p>
        </w:tc>
      </w:tr>
      <w:tr w:rsidR="000C76E0" w:rsidRPr="005701AB" w14:paraId="356F02E1" w14:textId="428CC077"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68B228A8"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8: Vzdelávanie</w:t>
            </w:r>
          </w:p>
        </w:tc>
        <w:tc>
          <w:tcPr>
            <w:tcW w:w="1507" w:type="dxa"/>
            <w:tcBorders>
              <w:top w:val="nil"/>
              <w:left w:val="nil"/>
              <w:bottom w:val="single" w:sz="12" w:space="0" w:color="FFFFFF"/>
              <w:right w:val="single" w:sz="12" w:space="0" w:color="FFFFFF"/>
            </w:tcBorders>
            <w:shd w:val="clear" w:color="000000" w:fill="F2F2F2"/>
            <w:noWrap/>
            <w:vAlign w:val="center"/>
            <w:hideMark/>
          </w:tcPr>
          <w:p w14:paraId="15CEA26E" w14:textId="543DE1B6" w:rsidR="000C76E0" w:rsidRDefault="000C76E0" w:rsidP="000C76E0">
            <w:pPr>
              <w:jc w:val="right"/>
              <w:rPr>
                <w:rFonts w:cs="Calibri"/>
                <w:color w:val="000000"/>
              </w:rPr>
            </w:pPr>
            <w:r>
              <w:rPr>
                <w:rFonts w:cs="Calibri"/>
                <w:color w:val="000000"/>
              </w:rPr>
              <w:t>54 386 330</w:t>
            </w:r>
          </w:p>
        </w:tc>
        <w:tc>
          <w:tcPr>
            <w:tcW w:w="1559" w:type="dxa"/>
            <w:tcBorders>
              <w:top w:val="nil"/>
              <w:left w:val="nil"/>
              <w:bottom w:val="single" w:sz="12" w:space="0" w:color="FFFFFF"/>
              <w:right w:val="single" w:sz="12" w:space="0" w:color="FFFFFF"/>
            </w:tcBorders>
            <w:shd w:val="clear" w:color="000000" w:fill="F2F2F2"/>
            <w:noWrap/>
            <w:vAlign w:val="center"/>
            <w:hideMark/>
          </w:tcPr>
          <w:p w14:paraId="333A10EE" w14:textId="23BD6A63" w:rsidR="000C76E0" w:rsidRDefault="000C76E0" w:rsidP="000C76E0">
            <w:pPr>
              <w:jc w:val="right"/>
              <w:rPr>
                <w:rFonts w:cs="Calibri"/>
                <w:color w:val="000000"/>
              </w:rPr>
            </w:pPr>
            <w:r>
              <w:rPr>
                <w:rFonts w:cs="Calibri"/>
                <w:color w:val="000000"/>
              </w:rPr>
              <w:t>59 890 600</w:t>
            </w:r>
          </w:p>
        </w:tc>
        <w:tc>
          <w:tcPr>
            <w:tcW w:w="1418" w:type="dxa"/>
            <w:tcBorders>
              <w:top w:val="nil"/>
              <w:left w:val="nil"/>
              <w:bottom w:val="single" w:sz="12" w:space="0" w:color="FFFFFF"/>
              <w:right w:val="single" w:sz="12" w:space="0" w:color="FFFFFF"/>
            </w:tcBorders>
            <w:shd w:val="clear" w:color="000000" w:fill="F2F2F2"/>
            <w:noWrap/>
            <w:vAlign w:val="center"/>
            <w:hideMark/>
          </w:tcPr>
          <w:p w14:paraId="55A8526D" w14:textId="0C6266B2" w:rsidR="000C76E0" w:rsidRDefault="000C76E0" w:rsidP="000C76E0">
            <w:pPr>
              <w:jc w:val="right"/>
              <w:rPr>
                <w:rFonts w:cs="Calibri"/>
                <w:color w:val="000000"/>
              </w:rPr>
            </w:pPr>
            <w:r>
              <w:rPr>
                <w:rFonts w:cs="Calibri"/>
                <w:color w:val="000000"/>
              </w:rPr>
              <w:t>70 608 886</w:t>
            </w:r>
          </w:p>
        </w:tc>
        <w:tc>
          <w:tcPr>
            <w:tcW w:w="1501" w:type="dxa"/>
            <w:tcBorders>
              <w:top w:val="nil"/>
              <w:left w:val="nil"/>
              <w:bottom w:val="single" w:sz="12" w:space="0" w:color="FFFFFF"/>
              <w:right w:val="single" w:sz="12" w:space="0" w:color="FFFFFF"/>
            </w:tcBorders>
            <w:shd w:val="clear" w:color="000000" w:fill="F2F2F2"/>
            <w:vAlign w:val="center"/>
          </w:tcPr>
          <w:p w14:paraId="663A9743" w14:textId="360A5F61" w:rsidR="000C76E0" w:rsidRDefault="000C76E0" w:rsidP="000C76E0">
            <w:pPr>
              <w:jc w:val="right"/>
              <w:rPr>
                <w:rFonts w:cs="Calibri"/>
                <w:color w:val="000000"/>
              </w:rPr>
            </w:pPr>
            <w:r>
              <w:rPr>
                <w:rFonts w:cs="Calibri"/>
                <w:color w:val="000000"/>
              </w:rPr>
              <w:t>75 520 584</w:t>
            </w:r>
          </w:p>
        </w:tc>
        <w:tc>
          <w:tcPr>
            <w:tcW w:w="1463" w:type="dxa"/>
            <w:tcBorders>
              <w:top w:val="nil"/>
              <w:left w:val="nil"/>
              <w:bottom w:val="single" w:sz="12" w:space="0" w:color="FFFFFF"/>
              <w:right w:val="single" w:sz="12" w:space="0" w:color="FFFFFF"/>
            </w:tcBorders>
            <w:shd w:val="clear" w:color="000000" w:fill="F2F2F2"/>
            <w:vAlign w:val="center"/>
          </w:tcPr>
          <w:p w14:paraId="2CC05DEA" w14:textId="176551AD" w:rsidR="000C76E0" w:rsidRDefault="000C76E0" w:rsidP="000C76E0">
            <w:pPr>
              <w:jc w:val="right"/>
              <w:rPr>
                <w:rFonts w:cs="Calibri"/>
                <w:color w:val="000000"/>
              </w:rPr>
            </w:pPr>
            <w:r>
              <w:rPr>
                <w:rFonts w:cs="Calibri"/>
                <w:color w:val="000000"/>
              </w:rPr>
              <w:t>6,96%</w:t>
            </w:r>
          </w:p>
        </w:tc>
      </w:tr>
      <w:tr w:rsidR="000C76E0" w:rsidRPr="005701AB" w14:paraId="5F0279CB" w14:textId="6ADF94D3"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7ECE3F10"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9: Šport a mládežnícke aktivity</w:t>
            </w:r>
          </w:p>
        </w:tc>
        <w:tc>
          <w:tcPr>
            <w:tcW w:w="1507" w:type="dxa"/>
            <w:tcBorders>
              <w:top w:val="nil"/>
              <w:left w:val="nil"/>
              <w:bottom w:val="single" w:sz="12" w:space="0" w:color="FFFFFF"/>
              <w:right w:val="single" w:sz="12" w:space="0" w:color="FFFFFF"/>
            </w:tcBorders>
            <w:shd w:val="clear" w:color="000000" w:fill="F2F2F2"/>
            <w:noWrap/>
            <w:vAlign w:val="center"/>
            <w:hideMark/>
          </w:tcPr>
          <w:p w14:paraId="49563409" w14:textId="785FCA5B" w:rsidR="000C76E0" w:rsidRDefault="000C76E0" w:rsidP="000C76E0">
            <w:pPr>
              <w:jc w:val="right"/>
              <w:rPr>
                <w:rFonts w:cs="Calibri"/>
                <w:color w:val="000000"/>
              </w:rPr>
            </w:pPr>
            <w:r>
              <w:rPr>
                <w:rFonts w:cs="Calibri"/>
                <w:color w:val="000000"/>
              </w:rPr>
              <w:t>312 102</w:t>
            </w:r>
          </w:p>
        </w:tc>
        <w:tc>
          <w:tcPr>
            <w:tcW w:w="1559" w:type="dxa"/>
            <w:tcBorders>
              <w:top w:val="nil"/>
              <w:left w:val="nil"/>
              <w:bottom w:val="single" w:sz="12" w:space="0" w:color="FFFFFF"/>
              <w:right w:val="single" w:sz="12" w:space="0" w:color="FFFFFF"/>
            </w:tcBorders>
            <w:shd w:val="clear" w:color="000000" w:fill="F2F2F2"/>
            <w:noWrap/>
            <w:vAlign w:val="center"/>
            <w:hideMark/>
          </w:tcPr>
          <w:p w14:paraId="0B17146A" w14:textId="57AFBFB5" w:rsidR="000C76E0" w:rsidRDefault="000C76E0" w:rsidP="000C76E0">
            <w:pPr>
              <w:jc w:val="right"/>
              <w:rPr>
                <w:rFonts w:cs="Calibri"/>
                <w:color w:val="000000"/>
              </w:rPr>
            </w:pPr>
            <w:r>
              <w:rPr>
                <w:rFonts w:cs="Calibri"/>
                <w:color w:val="000000"/>
              </w:rPr>
              <w:t>139 200</w:t>
            </w:r>
          </w:p>
        </w:tc>
        <w:tc>
          <w:tcPr>
            <w:tcW w:w="1418" w:type="dxa"/>
            <w:tcBorders>
              <w:top w:val="nil"/>
              <w:left w:val="nil"/>
              <w:bottom w:val="single" w:sz="12" w:space="0" w:color="FFFFFF"/>
              <w:right w:val="single" w:sz="12" w:space="0" w:color="FFFFFF"/>
            </w:tcBorders>
            <w:shd w:val="clear" w:color="000000" w:fill="F2F2F2"/>
            <w:noWrap/>
            <w:vAlign w:val="center"/>
            <w:hideMark/>
          </w:tcPr>
          <w:p w14:paraId="0F76E381" w14:textId="054AFA9B" w:rsidR="000C76E0" w:rsidRDefault="000C76E0" w:rsidP="000C76E0">
            <w:pPr>
              <w:jc w:val="right"/>
              <w:rPr>
                <w:rFonts w:cs="Calibri"/>
                <w:color w:val="000000"/>
              </w:rPr>
            </w:pPr>
            <w:r>
              <w:rPr>
                <w:rFonts w:cs="Calibri"/>
                <w:color w:val="000000"/>
              </w:rPr>
              <w:t>264 072</w:t>
            </w:r>
          </w:p>
        </w:tc>
        <w:tc>
          <w:tcPr>
            <w:tcW w:w="1501" w:type="dxa"/>
            <w:tcBorders>
              <w:top w:val="nil"/>
              <w:left w:val="nil"/>
              <w:bottom w:val="single" w:sz="12" w:space="0" w:color="FFFFFF"/>
              <w:right w:val="single" w:sz="12" w:space="0" w:color="FFFFFF"/>
            </w:tcBorders>
            <w:shd w:val="clear" w:color="000000" w:fill="F2F2F2"/>
            <w:vAlign w:val="center"/>
          </w:tcPr>
          <w:p w14:paraId="0B52A45D" w14:textId="287CBA77" w:rsidR="000C76E0" w:rsidRDefault="000C76E0" w:rsidP="000C76E0">
            <w:pPr>
              <w:jc w:val="right"/>
              <w:rPr>
                <w:rFonts w:cs="Calibri"/>
                <w:color w:val="000000"/>
              </w:rPr>
            </w:pPr>
            <w:r>
              <w:rPr>
                <w:rFonts w:cs="Calibri"/>
                <w:color w:val="000000"/>
              </w:rPr>
              <w:t>346 442</w:t>
            </w:r>
          </w:p>
        </w:tc>
        <w:tc>
          <w:tcPr>
            <w:tcW w:w="1463" w:type="dxa"/>
            <w:tcBorders>
              <w:top w:val="nil"/>
              <w:left w:val="nil"/>
              <w:bottom w:val="single" w:sz="12" w:space="0" w:color="FFFFFF"/>
              <w:right w:val="single" w:sz="12" w:space="0" w:color="FFFFFF"/>
            </w:tcBorders>
            <w:shd w:val="clear" w:color="000000" w:fill="F2F2F2"/>
            <w:vAlign w:val="center"/>
          </w:tcPr>
          <w:p w14:paraId="1E5D530C" w14:textId="5285096C" w:rsidR="000C76E0" w:rsidRDefault="000C76E0" w:rsidP="000C76E0">
            <w:pPr>
              <w:jc w:val="right"/>
              <w:rPr>
                <w:rFonts w:cs="Calibri"/>
                <w:color w:val="000000"/>
              </w:rPr>
            </w:pPr>
            <w:r>
              <w:rPr>
                <w:rFonts w:cs="Calibri"/>
                <w:color w:val="000000"/>
              </w:rPr>
              <w:t>31,19%</w:t>
            </w:r>
          </w:p>
        </w:tc>
      </w:tr>
      <w:tr w:rsidR="000C76E0" w:rsidRPr="005701AB" w14:paraId="4D08CF5C" w14:textId="7D47B884"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7D0747D8"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 xml:space="preserve">Program 10: Kultúra </w:t>
            </w:r>
          </w:p>
        </w:tc>
        <w:tc>
          <w:tcPr>
            <w:tcW w:w="1507" w:type="dxa"/>
            <w:tcBorders>
              <w:top w:val="nil"/>
              <w:left w:val="nil"/>
              <w:bottom w:val="single" w:sz="12" w:space="0" w:color="FFFFFF"/>
              <w:right w:val="single" w:sz="12" w:space="0" w:color="FFFFFF"/>
            </w:tcBorders>
            <w:shd w:val="clear" w:color="000000" w:fill="F2F2F2"/>
            <w:noWrap/>
            <w:vAlign w:val="center"/>
            <w:hideMark/>
          </w:tcPr>
          <w:p w14:paraId="1B5C2747" w14:textId="2AF2C422" w:rsidR="000C76E0" w:rsidRDefault="000C76E0" w:rsidP="000C76E0">
            <w:pPr>
              <w:jc w:val="right"/>
              <w:rPr>
                <w:rFonts w:cs="Calibri"/>
                <w:color w:val="000000"/>
              </w:rPr>
            </w:pPr>
            <w:r>
              <w:rPr>
                <w:rFonts w:cs="Calibri"/>
                <w:color w:val="000000"/>
              </w:rPr>
              <w:t>4 325 011</w:t>
            </w:r>
          </w:p>
        </w:tc>
        <w:tc>
          <w:tcPr>
            <w:tcW w:w="1559" w:type="dxa"/>
            <w:tcBorders>
              <w:top w:val="nil"/>
              <w:left w:val="nil"/>
              <w:bottom w:val="single" w:sz="12" w:space="0" w:color="FFFFFF"/>
              <w:right w:val="single" w:sz="12" w:space="0" w:color="FFFFFF"/>
            </w:tcBorders>
            <w:shd w:val="clear" w:color="000000" w:fill="F2F2F2"/>
            <w:noWrap/>
            <w:vAlign w:val="center"/>
            <w:hideMark/>
          </w:tcPr>
          <w:p w14:paraId="395B815F" w14:textId="44F28FBB" w:rsidR="000C76E0" w:rsidRDefault="000C76E0" w:rsidP="000C76E0">
            <w:pPr>
              <w:jc w:val="right"/>
              <w:rPr>
                <w:rFonts w:cs="Calibri"/>
                <w:color w:val="000000"/>
              </w:rPr>
            </w:pPr>
            <w:r>
              <w:rPr>
                <w:rFonts w:cs="Calibri"/>
                <w:color w:val="000000"/>
              </w:rPr>
              <w:t>4 316 644</w:t>
            </w:r>
          </w:p>
        </w:tc>
        <w:tc>
          <w:tcPr>
            <w:tcW w:w="1418" w:type="dxa"/>
            <w:tcBorders>
              <w:top w:val="nil"/>
              <w:left w:val="nil"/>
              <w:bottom w:val="single" w:sz="12" w:space="0" w:color="FFFFFF"/>
              <w:right w:val="single" w:sz="12" w:space="0" w:color="FFFFFF"/>
            </w:tcBorders>
            <w:shd w:val="clear" w:color="000000" w:fill="F2F2F2"/>
            <w:noWrap/>
            <w:vAlign w:val="center"/>
            <w:hideMark/>
          </w:tcPr>
          <w:p w14:paraId="067EE44B" w14:textId="6F81FA5A" w:rsidR="000C76E0" w:rsidRDefault="000C76E0" w:rsidP="000C76E0">
            <w:pPr>
              <w:jc w:val="right"/>
              <w:rPr>
                <w:rFonts w:cs="Calibri"/>
                <w:color w:val="000000"/>
              </w:rPr>
            </w:pPr>
            <w:r>
              <w:rPr>
                <w:rFonts w:cs="Calibri"/>
                <w:color w:val="000000"/>
              </w:rPr>
              <w:t>4 624 017</w:t>
            </w:r>
          </w:p>
        </w:tc>
        <w:tc>
          <w:tcPr>
            <w:tcW w:w="1501" w:type="dxa"/>
            <w:tcBorders>
              <w:top w:val="nil"/>
              <w:left w:val="nil"/>
              <w:bottom w:val="single" w:sz="12" w:space="0" w:color="FFFFFF"/>
              <w:right w:val="single" w:sz="12" w:space="0" w:color="FFFFFF"/>
            </w:tcBorders>
            <w:shd w:val="clear" w:color="000000" w:fill="F2F2F2"/>
            <w:vAlign w:val="center"/>
          </w:tcPr>
          <w:p w14:paraId="2A9C5AA2" w14:textId="686E3E30" w:rsidR="000C76E0" w:rsidRDefault="000C76E0" w:rsidP="000C76E0">
            <w:pPr>
              <w:jc w:val="right"/>
              <w:rPr>
                <w:rFonts w:cs="Calibri"/>
                <w:color w:val="000000"/>
              </w:rPr>
            </w:pPr>
            <w:r>
              <w:rPr>
                <w:rFonts w:cs="Calibri"/>
                <w:color w:val="000000"/>
              </w:rPr>
              <w:t>4 361 545</w:t>
            </w:r>
          </w:p>
        </w:tc>
        <w:tc>
          <w:tcPr>
            <w:tcW w:w="1463" w:type="dxa"/>
            <w:tcBorders>
              <w:top w:val="nil"/>
              <w:left w:val="nil"/>
              <w:bottom w:val="single" w:sz="12" w:space="0" w:color="FFFFFF"/>
              <w:right w:val="single" w:sz="12" w:space="0" w:color="FFFFFF"/>
            </w:tcBorders>
            <w:shd w:val="clear" w:color="000000" w:fill="F2F2F2"/>
            <w:vAlign w:val="center"/>
          </w:tcPr>
          <w:p w14:paraId="437E92E5" w14:textId="7CC603AD" w:rsidR="000C76E0" w:rsidRDefault="000C76E0" w:rsidP="000C76E0">
            <w:pPr>
              <w:jc w:val="right"/>
              <w:rPr>
                <w:rFonts w:cs="Calibri"/>
                <w:color w:val="000000"/>
              </w:rPr>
            </w:pPr>
            <w:r>
              <w:rPr>
                <w:rFonts w:cs="Calibri"/>
                <w:color w:val="FF0000"/>
              </w:rPr>
              <w:t>-5,68%</w:t>
            </w:r>
          </w:p>
        </w:tc>
      </w:tr>
      <w:tr w:rsidR="000C76E0" w:rsidRPr="005701AB" w14:paraId="76690CFC" w14:textId="69D6273E"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6607EC83"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11: Sociálne zabezpečenie</w:t>
            </w:r>
          </w:p>
        </w:tc>
        <w:tc>
          <w:tcPr>
            <w:tcW w:w="1507" w:type="dxa"/>
            <w:tcBorders>
              <w:top w:val="nil"/>
              <w:left w:val="nil"/>
              <w:bottom w:val="single" w:sz="12" w:space="0" w:color="FFFFFF"/>
              <w:right w:val="single" w:sz="12" w:space="0" w:color="FFFFFF"/>
            </w:tcBorders>
            <w:shd w:val="clear" w:color="000000" w:fill="F2F2F2"/>
            <w:noWrap/>
            <w:vAlign w:val="center"/>
            <w:hideMark/>
          </w:tcPr>
          <w:p w14:paraId="5909539A" w14:textId="7E1098DF" w:rsidR="000C76E0" w:rsidRDefault="000C76E0" w:rsidP="000C76E0">
            <w:pPr>
              <w:jc w:val="right"/>
              <w:rPr>
                <w:rFonts w:cs="Calibri"/>
                <w:color w:val="000000"/>
              </w:rPr>
            </w:pPr>
            <w:r>
              <w:rPr>
                <w:rFonts w:cs="Calibri"/>
                <w:color w:val="000000"/>
              </w:rPr>
              <w:t>25 145 992</w:t>
            </w:r>
          </w:p>
        </w:tc>
        <w:tc>
          <w:tcPr>
            <w:tcW w:w="1559" w:type="dxa"/>
            <w:tcBorders>
              <w:top w:val="nil"/>
              <w:left w:val="nil"/>
              <w:bottom w:val="single" w:sz="12" w:space="0" w:color="FFFFFF"/>
              <w:right w:val="single" w:sz="12" w:space="0" w:color="FFFFFF"/>
            </w:tcBorders>
            <w:shd w:val="clear" w:color="000000" w:fill="F2F2F2"/>
            <w:noWrap/>
            <w:vAlign w:val="center"/>
            <w:hideMark/>
          </w:tcPr>
          <w:p w14:paraId="55D91801" w14:textId="02AB9FCD" w:rsidR="000C76E0" w:rsidRDefault="000C76E0" w:rsidP="000C76E0">
            <w:pPr>
              <w:jc w:val="right"/>
              <w:rPr>
                <w:rFonts w:cs="Calibri"/>
                <w:color w:val="000000"/>
              </w:rPr>
            </w:pPr>
            <w:r>
              <w:rPr>
                <w:rFonts w:cs="Calibri"/>
                <w:color w:val="000000"/>
              </w:rPr>
              <w:t>23 117 318</w:t>
            </w:r>
          </w:p>
        </w:tc>
        <w:tc>
          <w:tcPr>
            <w:tcW w:w="1418" w:type="dxa"/>
            <w:tcBorders>
              <w:top w:val="nil"/>
              <w:left w:val="nil"/>
              <w:bottom w:val="single" w:sz="12" w:space="0" w:color="FFFFFF"/>
              <w:right w:val="single" w:sz="12" w:space="0" w:color="FFFFFF"/>
            </w:tcBorders>
            <w:shd w:val="clear" w:color="000000" w:fill="F2F2F2"/>
            <w:noWrap/>
            <w:vAlign w:val="center"/>
            <w:hideMark/>
          </w:tcPr>
          <w:p w14:paraId="047ACF22" w14:textId="5BADFE6C" w:rsidR="000C76E0" w:rsidRDefault="000C76E0" w:rsidP="000C76E0">
            <w:pPr>
              <w:jc w:val="right"/>
              <w:rPr>
                <w:rFonts w:cs="Calibri"/>
                <w:color w:val="000000"/>
              </w:rPr>
            </w:pPr>
            <w:r>
              <w:rPr>
                <w:rFonts w:cs="Calibri"/>
                <w:color w:val="000000"/>
              </w:rPr>
              <w:t>27 143 403</w:t>
            </w:r>
          </w:p>
        </w:tc>
        <w:tc>
          <w:tcPr>
            <w:tcW w:w="1501" w:type="dxa"/>
            <w:tcBorders>
              <w:top w:val="nil"/>
              <w:left w:val="nil"/>
              <w:bottom w:val="single" w:sz="12" w:space="0" w:color="FFFFFF"/>
              <w:right w:val="single" w:sz="12" w:space="0" w:color="FFFFFF"/>
            </w:tcBorders>
            <w:shd w:val="clear" w:color="000000" w:fill="F2F2F2"/>
            <w:vAlign w:val="center"/>
          </w:tcPr>
          <w:p w14:paraId="0398A1FA" w14:textId="3D065D27" w:rsidR="000C76E0" w:rsidRDefault="000C76E0" w:rsidP="000C76E0">
            <w:pPr>
              <w:jc w:val="right"/>
              <w:rPr>
                <w:rFonts w:cs="Calibri"/>
                <w:color w:val="000000"/>
              </w:rPr>
            </w:pPr>
            <w:r>
              <w:rPr>
                <w:rFonts w:cs="Calibri"/>
                <w:color w:val="000000"/>
              </w:rPr>
              <w:t>30 766 857</w:t>
            </w:r>
          </w:p>
        </w:tc>
        <w:tc>
          <w:tcPr>
            <w:tcW w:w="1463" w:type="dxa"/>
            <w:tcBorders>
              <w:top w:val="nil"/>
              <w:left w:val="nil"/>
              <w:bottom w:val="single" w:sz="12" w:space="0" w:color="FFFFFF"/>
              <w:right w:val="single" w:sz="12" w:space="0" w:color="FFFFFF"/>
            </w:tcBorders>
            <w:shd w:val="clear" w:color="000000" w:fill="F2F2F2"/>
            <w:vAlign w:val="center"/>
          </w:tcPr>
          <w:p w14:paraId="57AC5D5F" w14:textId="2192152F" w:rsidR="000C76E0" w:rsidRDefault="000C76E0" w:rsidP="000C76E0">
            <w:pPr>
              <w:jc w:val="right"/>
              <w:rPr>
                <w:rFonts w:cs="Calibri"/>
                <w:color w:val="000000"/>
              </w:rPr>
            </w:pPr>
            <w:r>
              <w:rPr>
                <w:rFonts w:cs="Calibri"/>
                <w:color w:val="000000"/>
              </w:rPr>
              <w:t>13,35%</w:t>
            </w:r>
          </w:p>
        </w:tc>
      </w:tr>
      <w:tr w:rsidR="000C76E0" w:rsidRPr="005701AB" w14:paraId="1697504B" w14:textId="0A86FC47"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3724243F"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 xml:space="preserve">Program 12: Zdravotníctvo </w:t>
            </w:r>
          </w:p>
        </w:tc>
        <w:tc>
          <w:tcPr>
            <w:tcW w:w="1507" w:type="dxa"/>
            <w:tcBorders>
              <w:top w:val="nil"/>
              <w:left w:val="nil"/>
              <w:bottom w:val="single" w:sz="12" w:space="0" w:color="FFFFFF"/>
              <w:right w:val="single" w:sz="12" w:space="0" w:color="FFFFFF"/>
            </w:tcBorders>
            <w:shd w:val="clear" w:color="000000" w:fill="F2F2F2"/>
            <w:noWrap/>
            <w:vAlign w:val="center"/>
            <w:hideMark/>
          </w:tcPr>
          <w:p w14:paraId="008F52BE" w14:textId="7803935B" w:rsidR="000C76E0" w:rsidRDefault="000C76E0" w:rsidP="000C76E0">
            <w:pPr>
              <w:jc w:val="right"/>
              <w:rPr>
                <w:rFonts w:cs="Calibri"/>
                <w:color w:val="000000"/>
              </w:rPr>
            </w:pPr>
            <w:r>
              <w:rPr>
                <w:rFonts w:cs="Calibri"/>
                <w:color w:val="000000"/>
              </w:rPr>
              <w:t>768 417</w:t>
            </w:r>
          </w:p>
        </w:tc>
        <w:tc>
          <w:tcPr>
            <w:tcW w:w="1559" w:type="dxa"/>
            <w:tcBorders>
              <w:top w:val="nil"/>
              <w:left w:val="nil"/>
              <w:bottom w:val="single" w:sz="12" w:space="0" w:color="FFFFFF"/>
              <w:right w:val="single" w:sz="12" w:space="0" w:color="FFFFFF"/>
            </w:tcBorders>
            <w:shd w:val="clear" w:color="000000" w:fill="F2F2F2"/>
            <w:noWrap/>
            <w:vAlign w:val="center"/>
            <w:hideMark/>
          </w:tcPr>
          <w:p w14:paraId="1565EBF0" w14:textId="6FBF26F3" w:rsidR="000C76E0" w:rsidRDefault="000C76E0" w:rsidP="000C76E0">
            <w:pPr>
              <w:jc w:val="right"/>
              <w:rPr>
                <w:rFonts w:cs="Calibri"/>
                <w:color w:val="000000"/>
              </w:rPr>
            </w:pPr>
            <w:r>
              <w:rPr>
                <w:rFonts w:cs="Calibri"/>
                <w:color w:val="000000"/>
              </w:rPr>
              <w:t>547 631</w:t>
            </w:r>
          </w:p>
        </w:tc>
        <w:tc>
          <w:tcPr>
            <w:tcW w:w="1418" w:type="dxa"/>
            <w:tcBorders>
              <w:top w:val="nil"/>
              <w:left w:val="nil"/>
              <w:bottom w:val="single" w:sz="12" w:space="0" w:color="FFFFFF"/>
              <w:right w:val="single" w:sz="12" w:space="0" w:color="FFFFFF"/>
            </w:tcBorders>
            <w:shd w:val="clear" w:color="000000" w:fill="F2F2F2"/>
            <w:noWrap/>
            <w:vAlign w:val="center"/>
            <w:hideMark/>
          </w:tcPr>
          <w:p w14:paraId="02191069" w14:textId="089B30E1" w:rsidR="000C76E0" w:rsidRDefault="000C76E0" w:rsidP="000C76E0">
            <w:pPr>
              <w:jc w:val="right"/>
              <w:rPr>
                <w:rFonts w:cs="Calibri"/>
                <w:color w:val="000000"/>
              </w:rPr>
            </w:pPr>
            <w:r>
              <w:rPr>
                <w:rFonts w:cs="Calibri"/>
                <w:color w:val="000000"/>
              </w:rPr>
              <w:t>525 531</w:t>
            </w:r>
          </w:p>
        </w:tc>
        <w:tc>
          <w:tcPr>
            <w:tcW w:w="1501" w:type="dxa"/>
            <w:tcBorders>
              <w:top w:val="nil"/>
              <w:left w:val="nil"/>
              <w:bottom w:val="single" w:sz="12" w:space="0" w:color="FFFFFF"/>
              <w:right w:val="single" w:sz="12" w:space="0" w:color="FFFFFF"/>
            </w:tcBorders>
            <w:shd w:val="clear" w:color="000000" w:fill="F2F2F2"/>
            <w:vAlign w:val="center"/>
          </w:tcPr>
          <w:p w14:paraId="0F2FA10F" w14:textId="44AEDBBD" w:rsidR="000C76E0" w:rsidRDefault="000C76E0" w:rsidP="000C76E0">
            <w:pPr>
              <w:jc w:val="right"/>
              <w:rPr>
                <w:rFonts w:cs="Calibri"/>
                <w:color w:val="000000"/>
              </w:rPr>
            </w:pPr>
            <w:r>
              <w:rPr>
                <w:rFonts w:cs="Calibri"/>
                <w:color w:val="000000"/>
              </w:rPr>
              <w:t>802 994</w:t>
            </w:r>
          </w:p>
        </w:tc>
        <w:tc>
          <w:tcPr>
            <w:tcW w:w="1463" w:type="dxa"/>
            <w:tcBorders>
              <w:top w:val="nil"/>
              <w:left w:val="nil"/>
              <w:bottom w:val="single" w:sz="12" w:space="0" w:color="FFFFFF"/>
              <w:right w:val="single" w:sz="12" w:space="0" w:color="FFFFFF"/>
            </w:tcBorders>
            <w:shd w:val="clear" w:color="000000" w:fill="F2F2F2"/>
            <w:vAlign w:val="center"/>
          </w:tcPr>
          <w:p w14:paraId="7788DF72" w14:textId="3FCF54BB" w:rsidR="000C76E0" w:rsidRDefault="000C76E0" w:rsidP="000C76E0">
            <w:pPr>
              <w:jc w:val="right"/>
              <w:rPr>
                <w:rFonts w:cs="Calibri"/>
                <w:color w:val="000000"/>
              </w:rPr>
            </w:pPr>
            <w:r>
              <w:rPr>
                <w:rFonts w:cs="Calibri"/>
                <w:color w:val="000000"/>
              </w:rPr>
              <w:t>52,80%</w:t>
            </w:r>
          </w:p>
        </w:tc>
      </w:tr>
      <w:tr w:rsidR="000C76E0" w:rsidRPr="005701AB" w14:paraId="0FB52929" w14:textId="58F10655"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45F01BA9"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13: Administratíva</w:t>
            </w:r>
          </w:p>
        </w:tc>
        <w:tc>
          <w:tcPr>
            <w:tcW w:w="1507" w:type="dxa"/>
            <w:tcBorders>
              <w:top w:val="nil"/>
              <w:left w:val="nil"/>
              <w:bottom w:val="single" w:sz="12" w:space="0" w:color="FFFFFF"/>
              <w:right w:val="single" w:sz="12" w:space="0" w:color="FFFFFF"/>
            </w:tcBorders>
            <w:shd w:val="clear" w:color="000000" w:fill="F2F2F2"/>
            <w:noWrap/>
            <w:vAlign w:val="center"/>
            <w:hideMark/>
          </w:tcPr>
          <w:p w14:paraId="27620364" w14:textId="2245AD19" w:rsidR="000C76E0" w:rsidRDefault="000C76E0" w:rsidP="000C76E0">
            <w:pPr>
              <w:jc w:val="right"/>
              <w:rPr>
                <w:rFonts w:cs="Calibri"/>
                <w:color w:val="000000"/>
              </w:rPr>
            </w:pPr>
            <w:r>
              <w:rPr>
                <w:rFonts w:cs="Calibri"/>
                <w:color w:val="000000"/>
              </w:rPr>
              <w:t>6 080 777</w:t>
            </w:r>
          </w:p>
        </w:tc>
        <w:tc>
          <w:tcPr>
            <w:tcW w:w="1559" w:type="dxa"/>
            <w:tcBorders>
              <w:top w:val="nil"/>
              <w:left w:val="nil"/>
              <w:bottom w:val="single" w:sz="12" w:space="0" w:color="FFFFFF"/>
              <w:right w:val="single" w:sz="12" w:space="0" w:color="FFFFFF"/>
            </w:tcBorders>
            <w:shd w:val="clear" w:color="000000" w:fill="F2F2F2"/>
            <w:noWrap/>
            <w:vAlign w:val="center"/>
            <w:hideMark/>
          </w:tcPr>
          <w:p w14:paraId="7628DF27" w14:textId="50D99790" w:rsidR="000C76E0" w:rsidRDefault="000C76E0" w:rsidP="000C76E0">
            <w:pPr>
              <w:jc w:val="right"/>
              <w:rPr>
                <w:rFonts w:cs="Calibri"/>
                <w:color w:val="000000"/>
              </w:rPr>
            </w:pPr>
            <w:r>
              <w:rPr>
                <w:rFonts w:cs="Calibri"/>
                <w:color w:val="000000"/>
              </w:rPr>
              <w:t>5 792 708</w:t>
            </w:r>
          </w:p>
        </w:tc>
        <w:tc>
          <w:tcPr>
            <w:tcW w:w="1418" w:type="dxa"/>
            <w:tcBorders>
              <w:top w:val="nil"/>
              <w:left w:val="nil"/>
              <w:bottom w:val="single" w:sz="12" w:space="0" w:color="FFFFFF"/>
              <w:right w:val="single" w:sz="12" w:space="0" w:color="FFFFFF"/>
            </w:tcBorders>
            <w:shd w:val="clear" w:color="000000" w:fill="F2F2F2"/>
            <w:noWrap/>
            <w:vAlign w:val="center"/>
            <w:hideMark/>
          </w:tcPr>
          <w:p w14:paraId="1905D47B" w14:textId="5E600AA1" w:rsidR="000C76E0" w:rsidRDefault="000C76E0" w:rsidP="000C76E0">
            <w:pPr>
              <w:jc w:val="right"/>
              <w:rPr>
                <w:rFonts w:cs="Calibri"/>
                <w:color w:val="000000"/>
              </w:rPr>
            </w:pPr>
            <w:r>
              <w:rPr>
                <w:rFonts w:cs="Calibri"/>
                <w:color w:val="000000"/>
              </w:rPr>
              <w:t>8 487 065</w:t>
            </w:r>
          </w:p>
        </w:tc>
        <w:tc>
          <w:tcPr>
            <w:tcW w:w="1501" w:type="dxa"/>
            <w:tcBorders>
              <w:top w:val="nil"/>
              <w:left w:val="nil"/>
              <w:bottom w:val="single" w:sz="12" w:space="0" w:color="FFFFFF"/>
              <w:right w:val="single" w:sz="12" w:space="0" w:color="FFFFFF"/>
            </w:tcBorders>
            <w:shd w:val="clear" w:color="000000" w:fill="F2F2F2"/>
            <w:vAlign w:val="center"/>
          </w:tcPr>
          <w:p w14:paraId="606FFEDE" w14:textId="258498E2" w:rsidR="000C76E0" w:rsidRDefault="000C76E0" w:rsidP="000C76E0">
            <w:pPr>
              <w:jc w:val="right"/>
              <w:rPr>
                <w:rFonts w:cs="Calibri"/>
                <w:color w:val="000000"/>
              </w:rPr>
            </w:pPr>
            <w:r>
              <w:rPr>
                <w:rFonts w:cs="Calibri"/>
                <w:color w:val="000000"/>
              </w:rPr>
              <w:t>8 308 297</w:t>
            </w:r>
          </w:p>
        </w:tc>
        <w:tc>
          <w:tcPr>
            <w:tcW w:w="1463" w:type="dxa"/>
            <w:tcBorders>
              <w:top w:val="nil"/>
              <w:left w:val="nil"/>
              <w:bottom w:val="single" w:sz="12" w:space="0" w:color="FFFFFF"/>
              <w:right w:val="single" w:sz="12" w:space="0" w:color="FFFFFF"/>
            </w:tcBorders>
            <w:shd w:val="clear" w:color="000000" w:fill="F2F2F2"/>
            <w:vAlign w:val="center"/>
          </w:tcPr>
          <w:p w14:paraId="318CD6B4" w14:textId="610CF30C" w:rsidR="000C76E0" w:rsidRDefault="000C76E0" w:rsidP="000C76E0">
            <w:pPr>
              <w:jc w:val="right"/>
              <w:rPr>
                <w:rFonts w:cs="Calibri"/>
                <w:color w:val="000000"/>
              </w:rPr>
            </w:pPr>
            <w:r>
              <w:rPr>
                <w:rFonts w:cs="Calibri"/>
                <w:color w:val="FF0000"/>
              </w:rPr>
              <w:t>-2,11%</w:t>
            </w:r>
          </w:p>
        </w:tc>
      </w:tr>
      <w:tr w:rsidR="000C76E0" w:rsidRPr="005701AB" w14:paraId="18EED939" w14:textId="0315797B"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F2F2F2"/>
            <w:noWrap/>
            <w:vAlign w:val="center"/>
            <w:hideMark/>
          </w:tcPr>
          <w:p w14:paraId="33F8BF65" w14:textId="77777777" w:rsidR="000C76E0" w:rsidRPr="005701AB" w:rsidRDefault="000C76E0" w:rsidP="000C76E0">
            <w:pPr>
              <w:spacing w:after="0" w:line="240" w:lineRule="auto"/>
              <w:rPr>
                <w:rFonts w:cs="Calibri"/>
                <w:color w:val="000000"/>
                <w:lang w:eastAsia="sk-SK"/>
              </w:rPr>
            </w:pPr>
            <w:r w:rsidRPr="005701AB">
              <w:rPr>
                <w:rFonts w:cs="Calibri"/>
                <w:color w:val="000000"/>
                <w:lang w:eastAsia="sk-SK"/>
              </w:rPr>
              <w:t>Program 14: Strategická podpora VŽ a rozvoja regiónu</w:t>
            </w:r>
          </w:p>
        </w:tc>
        <w:tc>
          <w:tcPr>
            <w:tcW w:w="1507" w:type="dxa"/>
            <w:tcBorders>
              <w:top w:val="nil"/>
              <w:left w:val="nil"/>
              <w:bottom w:val="single" w:sz="12" w:space="0" w:color="FFFFFF"/>
              <w:right w:val="single" w:sz="12" w:space="0" w:color="FFFFFF"/>
            </w:tcBorders>
            <w:shd w:val="clear" w:color="000000" w:fill="F2F2F2"/>
            <w:noWrap/>
            <w:vAlign w:val="center"/>
            <w:hideMark/>
          </w:tcPr>
          <w:p w14:paraId="68D353B1" w14:textId="5D6B7FFD" w:rsidR="000C76E0" w:rsidRDefault="000C76E0" w:rsidP="000C76E0">
            <w:pPr>
              <w:jc w:val="right"/>
              <w:rPr>
                <w:rFonts w:cs="Calibri"/>
                <w:color w:val="000000"/>
              </w:rPr>
            </w:pPr>
            <w:r>
              <w:rPr>
                <w:rFonts w:cs="Calibri"/>
                <w:color w:val="000000"/>
              </w:rPr>
              <w:t>2 402 380</w:t>
            </w:r>
          </w:p>
        </w:tc>
        <w:tc>
          <w:tcPr>
            <w:tcW w:w="1559" w:type="dxa"/>
            <w:tcBorders>
              <w:top w:val="nil"/>
              <w:left w:val="nil"/>
              <w:bottom w:val="single" w:sz="12" w:space="0" w:color="FFFFFF"/>
              <w:right w:val="single" w:sz="12" w:space="0" w:color="FFFFFF"/>
            </w:tcBorders>
            <w:shd w:val="clear" w:color="000000" w:fill="F2F2F2"/>
            <w:noWrap/>
            <w:vAlign w:val="center"/>
            <w:hideMark/>
          </w:tcPr>
          <w:p w14:paraId="0E3E8A84" w14:textId="7CECC2F6" w:rsidR="000C76E0" w:rsidRDefault="000C76E0" w:rsidP="000C76E0">
            <w:pPr>
              <w:jc w:val="right"/>
              <w:rPr>
                <w:rFonts w:cs="Calibri"/>
                <w:color w:val="000000"/>
              </w:rPr>
            </w:pPr>
            <w:r>
              <w:rPr>
                <w:rFonts w:cs="Calibri"/>
                <w:color w:val="000000"/>
              </w:rPr>
              <w:t>2 127 225</w:t>
            </w:r>
          </w:p>
        </w:tc>
        <w:tc>
          <w:tcPr>
            <w:tcW w:w="1418" w:type="dxa"/>
            <w:tcBorders>
              <w:top w:val="nil"/>
              <w:left w:val="nil"/>
              <w:bottom w:val="single" w:sz="12" w:space="0" w:color="FFFFFF"/>
              <w:right w:val="single" w:sz="12" w:space="0" w:color="FFFFFF"/>
            </w:tcBorders>
            <w:shd w:val="clear" w:color="000000" w:fill="F2F2F2"/>
            <w:noWrap/>
            <w:vAlign w:val="center"/>
            <w:hideMark/>
          </w:tcPr>
          <w:p w14:paraId="10549BEF" w14:textId="01DEBEFE" w:rsidR="000C76E0" w:rsidRDefault="000C76E0" w:rsidP="000C76E0">
            <w:pPr>
              <w:jc w:val="right"/>
              <w:rPr>
                <w:rFonts w:cs="Calibri"/>
                <w:color w:val="000000"/>
              </w:rPr>
            </w:pPr>
            <w:r>
              <w:rPr>
                <w:rFonts w:cs="Calibri"/>
                <w:color w:val="000000"/>
              </w:rPr>
              <w:t>2 047 825</w:t>
            </w:r>
          </w:p>
        </w:tc>
        <w:tc>
          <w:tcPr>
            <w:tcW w:w="1501" w:type="dxa"/>
            <w:tcBorders>
              <w:top w:val="nil"/>
              <w:left w:val="nil"/>
              <w:bottom w:val="single" w:sz="12" w:space="0" w:color="FFFFFF"/>
              <w:right w:val="single" w:sz="12" w:space="0" w:color="FFFFFF"/>
            </w:tcBorders>
            <w:shd w:val="clear" w:color="000000" w:fill="F2F2F2"/>
            <w:vAlign w:val="center"/>
          </w:tcPr>
          <w:p w14:paraId="3CD714ED" w14:textId="5951D5A9" w:rsidR="000C76E0" w:rsidRDefault="000C76E0" w:rsidP="000C76E0">
            <w:pPr>
              <w:jc w:val="right"/>
              <w:rPr>
                <w:rFonts w:cs="Calibri"/>
                <w:color w:val="000000"/>
              </w:rPr>
            </w:pPr>
            <w:r>
              <w:rPr>
                <w:rFonts w:cs="Calibri"/>
                <w:color w:val="000000"/>
              </w:rPr>
              <w:t>278 401</w:t>
            </w:r>
          </w:p>
        </w:tc>
        <w:tc>
          <w:tcPr>
            <w:tcW w:w="1463" w:type="dxa"/>
            <w:tcBorders>
              <w:top w:val="nil"/>
              <w:left w:val="nil"/>
              <w:bottom w:val="single" w:sz="12" w:space="0" w:color="FFFFFF"/>
              <w:right w:val="single" w:sz="12" w:space="0" w:color="FFFFFF"/>
            </w:tcBorders>
            <w:shd w:val="clear" w:color="000000" w:fill="F2F2F2"/>
            <w:vAlign w:val="center"/>
          </w:tcPr>
          <w:p w14:paraId="69E21F19" w14:textId="2FA1A0E7" w:rsidR="000C76E0" w:rsidRDefault="000C76E0" w:rsidP="000C76E0">
            <w:pPr>
              <w:jc w:val="right"/>
              <w:rPr>
                <w:rFonts w:cs="Calibri"/>
                <w:color w:val="000000"/>
              </w:rPr>
            </w:pPr>
            <w:r>
              <w:rPr>
                <w:rFonts w:cs="Calibri"/>
                <w:color w:val="FF0000"/>
              </w:rPr>
              <w:t>-86,41%</w:t>
            </w:r>
          </w:p>
        </w:tc>
      </w:tr>
      <w:tr w:rsidR="000C76E0" w:rsidRPr="005701AB" w14:paraId="5886C4E6" w14:textId="22D003DD" w:rsidTr="00566BD7">
        <w:trPr>
          <w:trHeight w:hRule="exact" w:val="329"/>
        </w:trPr>
        <w:tc>
          <w:tcPr>
            <w:tcW w:w="3171" w:type="dxa"/>
            <w:tcBorders>
              <w:top w:val="nil"/>
              <w:left w:val="single" w:sz="12" w:space="0" w:color="FFFFFF"/>
              <w:bottom w:val="single" w:sz="12" w:space="0" w:color="FFFFFF"/>
              <w:right w:val="single" w:sz="12" w:space="0" w:color="FFFFFF"/>
            </w:tcBorders>
            <w:shd w:val="clear" w:color="000000" w:fill="8DB3E2"/>
            <w:noWrap/>
            <w:vAlign w:val="center"/>
            <w:hideMark/>
          </w:tcPr>
          <w:p w14:paraId="1E10186E" w14:textId="77777777" w:rsidR="000C76E0" w:rsidRPr="005701AB" w:rsidRDefault="000C76E0" w:rsidP="000C76E0">
            <w:pPr>
              <w:spacing w:after="0" w:line="240" w:lineRule="auto"/>
              <w:rPr>
                <w:rFonts w:cs="Calibri"/>
                <w:b/>
                <w:bCs/>
                <w:color w:val="000000"/>
                <w:lang w:eastAsia="sk-SK"/>
              </w:rPr>
            </w:pPr>
            <w:r w:rsidRPr="005701AB">
              <w:rPr>
                <w:rFonts w:cs="Calibri"/>
                <w:b/>
                <w:bCs/>
                <w:color w:val="000000"/>
                <w:lang w:eastAsia="sk-SK"/>
              </w:rPr>
              <w:t>Celkom</w:t>
            </w:r>
          </w:p>
        </w:tc>
        <w:tc>
          <w:tcPr>
            <w:tcW w:w="1507" w:type="dxa"/>
            <w:tcBorders>
              <w:top w:val="nil"/>
              <w:left w:val="nil"/>
              <w:bottom w:val="single" w:sz="12" w:space="0" w:color="FFFFFF"/>
              <w:right w:val="single" w:sz="12" w:space="0" w:color="FFFFFF"/>
            </w:tcBorders>
            <w:shd w:val="clear" w:color="000000" w:fill="8DB3E2"/>
            <w:noWrap/>
            <w:vAlign w:val="center"/>
            <w:hideMark/>
          </w:tcPr>
          <w:p w14:paraId="6A85FAB1" w14:textId="537C74E3" w:rsidR="000C76E0" w:rsidRDefault="000C76E0" w:rsidP="000C76E0">
            <w:pPr>
              <w:jc w:val="right"/>
              <w:rPr>
                <w:rFonts w:cs="Calibri"/>
                <w:b/>
                <w:bCs/>
                <w:color w:val="000000"/>
              </w:rPr>
            </w:pPr>
            <w:r>
              <w:rPr>
                <w:rFonts w:cs="Calibri"/>
                <w:b/>
                <w:bCs/>
                <w:color w:val="000000"/>
              </w:rPr>
              <w:t>127 670 126</w:t>
            </w:r>
          </w:p>
        </w:tc>
        <w:tc>
          <w:tcPr>
            <w:tcW w:w="1559" w:type="dxa"/>
            <w:tcBorders>
              <w:top w:val="nil"/>
              <w:left w:val="nil"/>
              <w:bottom w:val="single" w:sz="12" w:space="0" w:color="FFFFFF"/>
              <w:right w:val="single" w:sz="12" w:space="0" w:color="FFFFFF"/>
            </w:tcBorders>
            <w:shd w:val="clear" w:color="000000" w:fill="8DB3E2"/>
            <w:noWrap/>
            <w:vAlign w:val="center"/>
            <w:hideMark/>
          </w:tcPr>
          <w:p w14:paraId="30EF4420" w14:textId="6AC47820" w:rsidR="000C76E0" w:rsidRDefault="000C76E0" w:rsidP="000C76E0">
            <w:pPr>
              <w:jc w:val="right"/>
              <w:rPr>
                <w:rFonts w:cs="Calibri"/>
                <w:b/>
                <w:bCs/>
                <w:color w:val="000000"/>
              </w:rPr>
            </w:pPr>
            <w:r>
              <w:rPr>
                <w:rFonts w:cs="Calibri"/>
                <w:b/>
                <w:bCs/>
                <w:color w:val="000000"/>
              </w:rPr>
              <w:t>134 035 610</w:t>
            </w:r>
          </w:p>
        </w:tc>
        <w:tc>
          <w:tcPr>
            <w:tcW w:w="1418" w:type="dxa"/>
            <w:tcBorders>
              <w:top w:val="nil"/>
              <w:left w:val="nil"/>
              <w:bottom w:val="single" w:sz="12" w:space="0" w:color="FFFFFF"/>
              <w:right w:val="single" w:sz="12" w:space="0" w:color="FFFFFF"/>
            </w:tcBorders>
            <w:shd w:val="clear" w:color="000000" w:fill="8DB3E2"/>
            <w:noWrap/>
            <w:vAlign w:val="center"/>
            <w:hideMark/>
          </w:tcPr>
          <w:p w14:paraId="661541B6" w14:textId="7C469D47" w:rsidR="000C76E0" w:rsidRDefault="000C76E0" w:rsidP="000C76E0">
            <w:pPr>
              <w:jc w:val="right"/>
              <w:rPr>
                <w:rFonts w:cs="Calibri"/>
                <w:b/>
                <w:bCs/>
                <w:color w:val="000000"/>
              </w:rPr>
            </w:pPr>
            <w:r>
              <w:rPr>
                <w:rFonts w:cs="Calibri"/>
                <w:b/>
                <w:bCs/>
                <w:color w:val="000000"/>
              </w:rPr>
              <w:t>154 227 382</w:t>
            </w:r>
          </w:p>
        </w:tc>
        <w:tc>
          <w:tcPr>
            <w:tcW w:w="1501" w:type="dxa"/>
            <w:tcBorders>
              <w:top w:val="nil"/>
              <w:left w:val="nil"/>
              <w:bottom w:val="single" w:sz="12" w:space="0" w:color="FFFFFF"/>
              <w:right w:val="single" w:sz="12" w:space="0" w:color="FFFFFF"/>
            </w:tcBorders>
            <w:shd w:val="clear" w:color="000000" w:fill="8DB3E2"/>
            <w:vAlign w:val="center"/>
          </w:tcPr>
          <w:p w14:paraId="23924D1B" w14:textId="3C0CAF52" w:rsidR="000C76E0" w:rsidRDefault="000C76E0" w:rsidP="000C76E0">
            <w:pPr>
              <w:jc w:val="right"/>
              <w:rPr>
                <w:rFonts w:cs="Calibri"/>
                <w:b/>
                <w:bCs/>
                <w:color w:val="000000"/>
              </w:rPr>
            </w:pPr>
            <w:r>
              <w:rPr>
                <w:rFonts w:cs="Calibri"/>
                <w:b/>
                <w:bCs/>
                <w:color w:val="000000"/>
              </w:rPr>
              <w:t>155 827 379</w:t>
            </w:r>
          </w:p>
        </w:tc>
        <w:tc>
          <w:tcPr>
            <w:tcW w:w="1463" w:type="dxa"/>
            <w:tcBorders>
              <w:top w:val="nil"/>
              <w:left w:val="nil"/>
              <w:bottom w:val="single" w:sz="12" w:space="0" w:color="FFFFFF"/>
              <w:right w:val="single" w:sz="12" w:space="0" w:color="FFFFFF"/>
            </w:tcBorders>
            <w:shd w:val="clear" w:color="000000" w:fill="8DB3E2"/>
            <w:vAlign w:val="bottom"/>
          </w:tcPr>
          <w:p w14:paraId="2130F07B" w14:textId="1D66DE30" w:rsidR="000C76E0" w:rsidRDefault="000C76E0" w:rsidP="000C76E0">
            <w:pPr>
              <w:jc w:val="right"/>
              <w:rPr>
                <w:rFonts w:cs="Calibri"/>
                <w:b/>
                <w:bCs/>
                <w:color w:val="000000"/>
              </w:rPr>
            </w:pPr>
            <w:r>
              <w:rPr>
                <w:rFonts w:cs="Calibri"/>
                <w:b/>
                <w:bCs/>
                <w:color w:val="000000"/>
              </w:rPr>
              <w:t>1,04%</w:t>
            </w:r>
          </w:p>
        </w:tc>
      </w:tr>
    </w:tbl>
    <w:p w14:paraId="30F8FDF9" w14:textId="77777777" w:rsidR="0011070C" w:rsidRDefault="0011070C" w:rsidP="00BE704E">
      <w:pPr>
        <w:spacing w:after="0" w:line="240" w:lineRule="auto"/>
        <w:jc w:val="both"/>
        <w:rPr>
          <w:rFonts w:cs="Calibri"/>
          <w:sz w:val="24"/>
          <w:szCs w:val="24"/>
          <w:u w:val="single"/>
        </w:rPr>
      </w:pPr>
    </w:p>
    <w:p w14:paraId="787EB4A6" w14:textId="77777777" w:rsidR="0011070C" w:rsidRDefault="0011070C" w:rsidP="00BE704E">
      <w:pPr>
        <w:spacing w:after="0" w:line="240" w:lineRule="auto"/>
        <w:jc w:val="both"/>
        <w:rPr>
          <w:rFonts w:cs="Calibri"/>
          <w:sz w:val="24"/>
          <w:szCs w:val="24"/>
          <w:u w:val="single"/>
        </w:rPr>
      </w:pPr>
    </w:p>
    <w:p w14:paraId="62BA83FA" w14:textId="5B3417B7" w:rsidR="00BE704E" w:rsidRDefault="00BE704E" w:rsidP="00BE704E">
      <w:pPr>
        <w:spacing w:after="0" w:line="240" w:lineRule="auto"/>
        <w:jc w:val="both"/>
        <w:rPr>
          <w:rFonts w:cs="Calibri"/>
          <w:sz w:val="24"/>
          <w:szCs w:val="24"/>
          <w:u w:val="single"/>
        </w:rPr>
      </w:pPr>
      <w:r w:rsidRPr="004D1FDC">
        <w:rPr>
          <w:rFonts w:cs="Calibri"/>
          <w:sz w:val="24"/>
          <w:szCs w:val="24"/>
          <w:u w:val="single"/>
        </w:rPr>
        <w:lastRenderedPageBreak/>
        <w:t xml:space="preserve">Graf </w:t>
      </w:r>
      <w:r w:rsidR="00474A23">
        <w:rPr>
          <w:rFonts w:cs="Calibri"/>
          <w:sz w:val="24"/>
          <w:szCs w:val="24"/>
          <w:u w:val="single"/>
        </w:rPr>
        <w:t>13</w:t>
      </w:r>
      <w:r w:rsidRPr="004D1FDC">
        <w:rPr>
          <w:rFonts w:cs="Calibri"/>
          <w:sz w:val="24"/>
          <w:szCs w:val="24"/>
          <w:u w:val="single"/>
        </w:rPr>
        <w:t>: Podiel čerpania bežných výdavkov na čerpaní celkových bežných výdavko</w:t>
      </w:r>
      <w:r>
        <w:rPr>
          <w:rFonts w:cs="Calibri"/>
          <w:sz w:val="24"/>
          <w:szCs w:val="24"/>
          <w:u w:val="single"/>
        </w:rPr>
        <w:t>v</w:t>
      </w:r>
      <w:r w:rsidRPr="004D1FDC">
        <w:rPr>
          <w:rFonts w:cs="Calibri"/>
          <w:sz w:val="24"/>
          <w:szCs w:val="24"/>
          <w:u w:val="single"/>
        </w:rPr>
        <w:t xml:space="preserve"> podľa programov</w:t>
      </w:r>
    </w:p>
    <w:p w14:paraId="69E2DA96" w14:textId="3EE89DDC" w:rsidR="00193744" w:rsidRDefault="00193744" w:rsidP="00BE704E">
      <w:pPr>
        <w:spacing w:after="0" w:line="240" w:lineRule="auto"/>
        <w:jc w:val="both"/>
        <w:rPr>
          <w:rFonts w:cs="Calibri"/>
          <w:sz w:val="24"/>
          <w:szCs w:val="24"/>
          <w:u w:val="single"/>
        </w:rPr>
      </w:pPr>
    </w:p>
    <w:p w14:paraId="7CFCD3F0" w14:textId="724BBF16" w:rsidR="00193744" w:rsidRDefault="00193744" w:rsidP="00BE704E">
      <w:pPr>
        <w:spacing w:after="0" w:line="240" w:lineRule="auto"/>
        <w:jc w:val="both"/>
        <w:rPr>
          <w:rFonts w:cs="Calibri"/>
          <w:sz w:val="24"/>
          <w:szCs w:val="24"/>
          <w:u w:val="single"/>
        </w:rPr>
      </w:pPr>
      <w:r>
        <w:rPr>
          <w:noProof/>
        </w:rPr>
        <w:drawing>
          <wp:inline distT="0" distB="0" distL="0" distR="0" wp14:anchorId="5EEEB26A" wp14:editId="60FD5C19">
            <wp:extent cx="6645910" cy="2514600"/>
            <wp:effectExtent l="0" t="0" r="2540" b="0"/>
            <wp:docPr id="29" name="Graf 29">
              <a:extLst xmlns:a="http://schemas.openxmlformats.org/drawingml/2006/main">
                <a:ext uri="{FF2B5EF4-FFF2-40B4-BE49-F238E27FC236}">
                  <a16:creationId xmlns:a16="http://schemas.microsoft.com/office/drawing/2014/main" id="{887564B1-EB80-4F7D-8C88-D441B4C7D1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953A300" w14:textId="18A136D5" w:rsidR="00193744" w:rsidRDefault="00193744" w:rsidP="00BE704E">
      <w:pPr>
        <w:spacing w:after="0" w:line="240" w:lineRule="auto"/>
        <w:jc w:val="both"/>
        <w:rPr>
          <w:rFonts w:cs="Calibri"/>
          <w:sz w:val="24"/>
          <w:szCs w:val="24"/>
          <w:u w:val="single"/>
        </w:rPr>
      </w:pPr>
    </w:p>
    <w:p w14:paraId="5C757751" w14:textId="77777777" w:rsidR="00BE704E" w:rsidRPr="00F76214" w:rsidRDefault="00BE704E" w:rsidP="00BE704E">
      <w:pPr>
        <w:pStyle w:val="tl3"/>
        <w:ind w:firstLine="0"/>
        <w:rPr>
          <w:lang w:eastAsia="ar-SA"/>
        </w:rPr>
      </w:pPr>
      <w:r w:rsidRPr="00571A98">
        <w:rPr>
          <w:lang w:eastAsia="ar-SA"/>
        </w:rPr>
        <w:t>B.2.2.  Kapitálové výdavky</w:t>
      </w:r>
    </w:p>
    <w:p w14:paraId="216F3E69" w14:textId="44C07009" w:rsidR="00BE704E" w:rsidRPr="001568E9" w:rsidRDefault="00BE704E" w:rsidP="00BE704E">
      <w:pPr>
        <w:spacing w:after="0" w:line="240" w:lineRule="auto"/>
        <w:jc w:val="both"/>
        <w:rPr>
          <w:rFonts w:cs="Calibri"/>
          <w:sz w:val="24"/>
          <w:szCs w:val="24"/>
          <w:lang w:eastAsia="sk-SK"/>
        </w:rPr>
      </w:pPr>
      <w:r w:rsidRPr="002A057C">
        <w:rPr>
          <w:rFonts w:cs="Calibri"/>
          <w:b/>
          <w:sz w:val="24"/>
          <w:szCs w:val="24"/>
          <w:lang w:eastAsia="sk-SK"/>
        </w:rPr>
        <w:t>Rozpočet kapitálových výdavkov</w:t>
      </w:r>
      <w:r>
        <w:rPr>
          <w:rFonts w:cs="Calibri"/>
          <w:b/>
          <w:sz w:val="24"/>
          <w:szCs w:val="24"/>
          <w:lang w:eastAsia="sk-SK"/>
        </w:rPr>
        <w:t xml:space="preserve"> </w:t>
      </w:r>
      <w:r>
        <w:rPr>
          <w:rFonts w:cs="Calibri"/>
          <w:sz w:val="24"/>
          <w:szCs w:val="24"/>
          <w:lang w:eastAsia="sk-SK"/>
        </w:rPr>
        <w:t>bol schválený na rok 20</w:t>
      </w:r>
      <w:r w:rsidR="001E0060">
        <w:rPr>
          <w:rFonts w:cs="Calibri"/>
          <w:sz w:val="24"/>
          <w:szCs w:val="24"/>
          <w:lang w:eastAsia="sk-SK"/>
        </w:rPr>
        <w:t>20</w:t>
      </w:r>
      <w:r w:rsidRPr="00BE217D">
        <w:rPr>
          <w:rFonts w:cs="Calibri"/>
          <w:sz w:val="24"/>
          <w:szCs w:val="24"/>
          <w:lang w:eastAsia="sk-SK"/>
        </w:rPr>
        <w:t xml:space="preserve"> vo výške</w:t>
      </w:r>
      <w:r w:rsidRPr="002A057C">
        <w:rPr>
          <w:rFonts w:cs="Calibri"/>
          <w:b/>
          <w:sz w:val="24"/>
          <w:szCs w:val="24"/>
          <w:lang w:eastAsia="sk-SK"/>
        </w:rPr>
        <w:t xml:space="preserve">  </w:t>
      </w:r>
      <w:r w:rsidR="001E0060" w:rsidRPr="001E0060">
        <w:rPr>
          <w:rFonts w:cs="Calibri"/>
          <w:b/>
          <w:sz w:val="24"/>
          <w:szCs w:val="24"/>
          <w:lang w:eastAsia="sk-SK"/>
        </w:rPr>
        <w:t>35 710 134,42</w:t>
      </w:r>
      <w:r w:rsidR="001E0060">
        <w:rPr>
          <w:rFonts w:cs="Calibri"/>
          <w:b/>
          <w:sz w:val="24"/>
          <w:szCs w:val="24"/>
          <w:lang w:eastAsia="sk-SK"/>
        </w:rPr>
        <w:t xml:space="preserve"> EUR</w:t>
      </w:r>
      <w:r>
        <w:rPr>
          <w:rFonts w:cs="Calibri"/>
          <w:b/>
          <w:sz w:val="24"/>
          <w:szCs w:val="24"/>
          <w:lang w:eastAsia="sk-SK"/>
        </w:rPr>
        <w:t xml:space="preserve">. </w:t>
      </w:r>
      <w:r w:rsidRPr="00835FDA">
        <w:rPr>
          <w:rFonts w:cs="Calibri"/>
          <w:b/>
          <w:sz w:val="24"/>
          <w:szCs w:val="24"/>
          <w:lang w:eastAsia="sk-SK"/>
        </w:rPr>
        <w:t>V priebehu roka boli</w:t>
      </w:r>
      <w:r w:rsidRPr="00835FDA">
        <w:rPr>
          <w:rFonts w:cs="Calibri"/>
          <w:sz w:val="24"/>
          <w:szCs w:val="24"/>
          <w:lang w:eastAsia="sk-SK"/>
        </w:rPr>
        <w:t xml:space="preserve"> kapitálové výdavky </w:t>
      </w:r>
      <w:r w:rsidR="001E0060">
        <w:rPr>
          <w:rFonts w:cs="Calibri"/>
          <w:b/>
          <w:sz w:val="24"/>
          <w:szCs w:val="24"/>
          <w:lang w:eastAsia="sk-SK"/>
        </w:rPr>
        <w:t>znížené</w:t>
      </w:r>
      <w:r w:rsidRPr="00835FDA">
        <w:rPr>
          <w:rFonts w:cs="Calibri"/>
          <w:sz w:val="24"/>
          <w:szCs w:val="24"/>
          <w:lang w:eastAsia="sk-SK"/>
        </w:rPr>
        <w:t xml:space="preserve"> celkom o</w:t>
      </w:r>
      <w:r>
        <w:rPr>
          <w:rFonts w:cs="Calibri"/>
          <w:sz w:val="24"/>
          <w:szCs w:val="24"/>
          <w:lang w:eastAsia="sk-SK"/>
        </w:rPr>
        <w:t> </w:t>
      </w:r>
      <w:r w:rsidR="001E0060" w:rsidRPr="001E0060">
        <w:rPr>
          <w:rFonts w:cs="Calibri"/>
          <w:sz w:val="24"/>
          <w:szCs w:val="24"/>
          <w:lang w:eastAsia="sk-SK"/>
        </w:rPr>
        <w:t>3 714 310,34</w:t>
      </w:r>
      <w:r w:rsidR="001E0060">
        <w:rPr>
          <w:rFonts w:cs="Calibri"/>
          <w:sz w:val="24"/>
          <w:szCs w:val="24"/>
          <w:lang w:eastAsia="sk-SK"/>
        </w:rPr>
        <w:t xml:space="preserve"> </w:t>
      </w:r>
      <w:r>
        <w:rPr>
          <w:rFonts w:cs="Calibri"/>
          <w:sz w:val="24"/>
          <w:szCs w:val="24"/>
          <w:lang w:eastAsia="sk-SK"/>
        </w:rPr>
        <w:t xml:space="preserve">EUR </w:t>
      </w:r>
      <w:r w:rsidRPr="00835FDA">
        <w:rPr>
          <w:rFonts w:cs="Calibri"/>
          <w:b/>
          <w:sz w:val="24"/>
          <w:szCs w:val="24"/>
          <w:lang w:eastAsia="sk-SK"/>
        </w:rPr>
        <w:t xml:space="preserve">na </w:t>
      </w:r>
      <w:r w:rsidR="001E0060" w:rsidRPr="001E0060">
        <w:rPr>
          <w:rFonts w:cs="Calibri"/>
          <w:b/>
          <w:sz w:val="24"/>
          <w:szCs w:val="24"/>
          <w:lang w:eastAsia="sk-SK"/>
        </w:rPr>
        <w:t>31 995 824,08</w:t>
      </w:r>
      <w:r w:rsidR="001E0060">
        <w:rPr>
          <w:rFonts w:cs="Calibri"/>
          <w:b/>
          <w:sz w:val="24"/>
          <w:szCs w:val="24"/>
          <w:lang w:eastAsia="sk-SK"/>
        </w:rPr>
        <w:t xml:space="preserve"> </w:t>
      </w:r>
      <w:r w:rsidRPr="00835FDA">
        <w:rPr>
          <w:rFonts w:cs="Calibri"/>
          <w:b/>
          <w:sz w:val="24"/>
          <w:szCs w:val="24"/>
          <w:lang w:eastAsia="sk-SK"/>
        </w:rPr>
        <w:t>EUR</w:t>
      </w:r>
      <w:r>
        <w:rPr>
          <w:rFonts w:cs="Calibri"/>
          <w:b/>
          <w:sz w:val="24"/>
          <w:szCs w:val="24"/>
          <w:lang w:eastAsia="sk-SK"/>
        </w:rPr>
        <w:t>.</w:t>
      </w:r>
      <w:r w:rsidRPr="00835FDA">
        <w:rPr>
          <w:rFonts w:cs="Calibri"/>
          <w:sz w:val="24"/>
          <w:szCs w:val="24"/>
          <w:lang w:eastAsia="sk-SK"/>
        </w:rPr>
        <w:t xml:space="preserve"> </w:t>
      </w:r>
      <w:r>
        <w:rPr>
          <w:rFonts w:cs="Calibri"/>
          <w:sz w:val="24"/>
          <w:szCs w:val="24"/>
          <w:lang w:eastAsia="sk-SK"/>
        </w:rPr>
        <w:t xml:space="preserve">Ku koncu roka boli </w:t>
      </w:r>
      <w:r w:rsidRPr="00835FDA">
        <w:rPr>
          <w:rFonts w:cs="Calibri"/>
          <w:b/>
          <w:sz w:val="24"/>
          <w:szCs w:val="24"/>
          <w:lang w:eastAsia="sk-SK"/>
        </w:rPr>
        <w:t>čerpané</w:t>
      </w:r>
      <w:r>
        <w:rPr>
          <w:rFonts w:cs="Calibri"/>
          <w:sz w:val="24"/>
          <w:szCs w:val="24"/>
          <w:lang w:eastAsia="sk-SK"/>
        </w:rPr>
        <w:t xml:space="preserve"> </w:t>
      </w:r>
      <w:r w:rsidRPr="00BE217D">
        <w:rPr>
          <w:rFonts w:cs="Calibri"/>
          <w:sz w:val="24"/>
          <w:szCs w:val="24"/>
          <w:lang w:eastAsia="sk-SK"/>
        </w:rPr>
        <w:t>vo výške</w:t>
      </w:r>
      <w:r w:rsidRPr="002A057C">
        <w:rPr>
          <w:rFonts w:cs="Calibri"/>
          <w:b/>
          <w:sz w:val="24"/>
          <w:szCs w:val="24"/>
          <w:lang w:eastAsia="sk-SK"/>
        </w:rPr>
        <w:t xml:space="preserve"> </w:t>
      </w:r>
      <w:r w:rsidR="001E0060" w:rsidRPr="001E0060">
        <w:rPr>
          <w:rFonts w:cs="Calibri"/>
          <w:b/>
          <w:sz w:val="24"/>
          <w:szCs w:val="24"/>
          <w:lang w:eastAsia="sk-SK"/>
        </w:rPr>
        <w:t>10 064 814,06</w:t>
      </w:r>
      <w:r w:rsidR="001E0060">
        <w:rPr>
          <w:rFonts w:cs="Calibri"/>
          <w:b/>
          <w:sz w:val="24"/>
          <w:szCs w:val="24"/>
          <w:lang w:eastAsia="sk-SK"/>
        </w:rPr>
        <w:t xml:space="preserve"> </w:t>
      </w:r>
      <w:r w:rsidRPr="002A057C">
        <w:rPr>
          <w:rFonts w:cs="Calibri"/>
          <w:b/>
          <w:sz w:val="24"/>
          <w:szCs w:val="24"/>
          <w:lang w:eastAsia="sk-SK"/>
        </w:rPr>
        <w:t>EUR</w:t>
      </w:r>
      <w:r>
        <w:rPr>
          <w:rFonts w:cs="Calibri"/>
          <w:sz w:val="24"/>
          <w:szCs w:val="24"/>
          <w:lang w:eastAsia="sk-SK"/>
        </w:rPr>
        <w:t xml:space="preserve">, čo je k upravenému rozpočtu </w:t>
      </w:r>
      <w:r w:rsidR="001E0060">
        <w:rPr>
          <w:rFonts w:cs="Calibri"/>
          <w:b/>
          <w:sz w:val="24"/>
          <w:szCs w:val="24"/>
          <w:lang w:eastAsia="sk-SK"/>
        </w:rPr>
        <w:t>31,46</w:t>
      </w:r>
      <w:r w:rsidRPr="003D11AB">
        <w:rPr>
          <w:rFonts w:cs="Calibri"/>
          <w:b/>
          <w:sz w:val="24"/>
          <w:szCs w:val="24"/>
          <w:lang w:eastAsia="sk-SK"/>
        </w:rPr>
        <w:t>%-</w:t>
      </w:r>
      <w:proofErr w:type="spellStart"/>
      <w:r>
        <w:rPr>
          <w:rFonts w:cs="Calibri"/>
          <w:sz w:val="24"/>
          <w:szCs w:val="24"/>
          <w:lang w:eastAsia="sk-SK"/>
        </w:rPr>
        <w:t>né</w:t>
      </w:r>
      <w:proofErr w:type="spellEnd"/>
      <w:r>
        <w:rPr>
          <w:rFonts w:cs="Calibri"/>
          <w:sz w:val="24"/>
          <w:szCs w:val="24"/>
          <w:lang w:eastAsia="sk-SK"/>
        </w:rPr>
        <w:t xml:space="preserve"> čerpanie. </w:t>
      </w:r>
      <w:r w:rsidRPr="001568E9">
        <w:rPr>
          <w:rFonts w:cs="Calibri"/>
          <w:sz w:val="24"/>
          <w:szCs w:val="24"/>
          <w:lang w:eastAsia="sk-SK"/>
        </w:rPr>
        <w:t xml:space="preserve">Čerpanie kapitálových výdavkov medziročne </w:t>
      </w:r>
      <w:r w:rsidR="00996FB2">
        <w:rPr>
          <w:rFonts w:cs="Calibri"/>
          <w:sz w:val="24"/>
          <w:szCs w:val="24"/>
          <w:lang w:eastAsia="sk-SK"/>
        </w:rPr>
        <w:t xml:space="preserve">pokleslo </w:t>
      </w:r>
      <w:r w:rsidRPr="001568E9">
        <w:rPr>
          <w:rFonts w:cs="Calibri"/>
          <w:sz w:val="24"/>
          <w:szCs w:val="24"/>
          <w:lang w:eastAsia="sk-SK"/>
        </w:rPr>
        <w:t>o</w:t>
      </w:r>
      <w:r w:rsidR="001E0060">
        <w:rPr>
          <w:rFonts w:cs="Calibri"/>
          <w:sz w:val="24"/>
          <w:szCs w:val="24"/>
          <w:lang w:eastAsia="sk-SK"/>
        </w:rPr>
        <w:t xml:space="preserve"> 13,75 mil. </w:t>
      </w:r>
      <w:r>
        <w:rPr>
          <w:rFonts w:cs="Calibri"/>
          <w:sz w:val="24"/>
          <w:szCs w:val="24"/>
          <w:lang w:eastAsia="sk-SK"/>
        </w:rPr>
        <w:t xml:space="preserve">EUR, čo predstavuje percentuálne </w:t>
      </w:r>
      <w:r w:rsidR="00996FB2">
        <w:rPr>
          <w:rFonts w:cs="Calibri"/>
          <w:sz w:val="24"/>
          <w:szCs w:val="24"/>
          <w:lang w:eastAsia="sk-SK"/>
        </w:rPr>
        <w:t>pokles</w:t>
      </w:r>
      <w:r>
        <w:rPr>
          <w:rFonts w:cs="Calibri"/>
          <w:sz w:val="24"/>
          <w:szCs w:val="24"/>
          <w:lang w:eastAsia="sk-SK"/>
        </w:rPr>
        <w:t xml:space="preserve"> o</w:t>
      </w:r>
      <w:r w:rsidR="001E0060">
        <w:rPr>
          <w:rFonts w:cs="Calibri"/>
          <w:sz w:val="24"/>
          <w:szCs w:val="24"/>
          <w:lang w:eastAsia="sk-SK"/>
        </w:rPr>
        <w:t> 57,73</w:t>
      </w:r>
      <w:r>
        <w:rPr>
          <w:rFonts w:cs="Calibri"/>
          <w:sz w:val="24"/>
          <w:szCs w:val="24"/>
          <w:lang w:eastAsia="sk-SK"/>
        </w:rPr>
        <w:t>%.</w:t>
      </w:r>
    </w:p>
    <w:p w14:paraId="43BA0FC5" w14:textId="77777777" w:rsidR="00BE704E" w:rsidRDefault="00BE704E" w:rsidP="00BE704E">
      <w:pPr>
        <w:autoSpaceDE w:val="0"/>
        <w:autoSpaceDN w:val="0"/>
        <w:adjustRightInd w:val="0"/>
        <w:spacing w:after="0" w:line="240" w:lineRule="auto"/>
        <w:jc w:val="both"/>
        <w:rPr>
          <w:rFonts w:cs="Calibri"/>
          <w:color w:val="000000"/>
          <w:sz w:val="24"/>
          <w:szCs w:val="24"/>
          <w:lang w:eastAsia="sk-SK"/>
        </w:rPr>
      </w:pPr>
    </w:p>
    <w:p w14:paraId="53FBD94C" w14:textId="1AB1D700" w:rsidR="00BE704E" w:rsidRDefault="00BE704E" w:rsidP="00BE704E">
      <w:pPr>
        <w:autoSpaceDE w:val="0"/>
        <w:autoSpaceDN w:val="0"/>
        <w:adjustRightInd w:val="0"/>
        <w:spacing w:after="120" w:line="240" w:lineRule="auto"/>
        <w:jc w:val="both"/>
        <w:rPr>
          <w:rFonts w:cs="Calibri"/>
          <w:color w:val="000000"/>
          <w:sz w:val="24"/>
          <w:szCs w:val="24"/>
          <w:lang w:eastAsia="sk-SK"/>
        </w:rPr>
      </w:pPr>
      <w:r>
        <w:rPr>
          <w:rFonts w:cs="Calibri"/>
          <w:color w:val="000000"/>
          <w:sz w:val="24"/>
          <w:szCs w:val="24"/>
          <w:lang w:eastAsia="sk-SK"/>
        </w:rPr>
        <w:t>Č</w:t>
      </w:r>
      <w:r w:rsidRPr="00F865DA">
        <w:rPr>
          <w:rFonts w:cs="Calibri"/>
          <w:color w:val="000000"/>
          <w:sz w:val="24"/>
          <w:szCs w:val="24"/>
          <w:lang w:eastAsia="sk-SK"/>
        </w:rPr>
        <w:t>lenenie kapitálových výdavkov podľa ekonomickej klasifikácie je  nasledovné:</w:t>
      </w:r>
    </w:p>
    <w:tbl>
      <w:tblPr>
        <w:tblW w:w="5155" w:type="pct"/>
        <w:tblCellMar>
          <w:left w:w="70" w:type="dxa"/>
          <w:right w:w="70" w:type="dxa"/>
        </w:tblCellMar>
        <w:tblLook w:val="04A0" w:firstRow="1" w:lastRow="0" w:firstColumn="1" w:lastColumn="0" w:noHBand="0" w:noVBand="1"/>
      </w:tblPr>
      <w:tblGrid>
        <w:gridCol w:w="1923"/>
        <w:gridCol w:w="1296"/>
        <w:gridCol w:w="1296"/>
        <w:gridCol w:w="1296"/>
        <w:gridCol w:w="1296"/>
        <w:gridCol w:w="1296"/>
        <w:gridCol w:w="1194"/>
        <w:gridCol w:w="1256"/>
        <w:gridCol w:w="146"/>
      </w:tblGrid>
      <w:tr w:rsidR="00FF7B63" w:rsidRPr="00FF7B63" w14:paraId="28E3FD2A" w14:textId="77777777" w:rsidTr="00FF7B63">
        <w:trPr>
          <w:gridAfter w:val="1"/>
          <w:wAfter w:w="70" w:type="pct"/>
          <w:trHeight w:val="524"/>
        </w:trPr>
        <w:tc>
          <w:tcPr>
            <w:tcW w:w="873"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7A18252E" w14:textId="77777777" w:rsidR="00FF7B63" w:rsidRPr="00FF7B63" w:rsidRDefault="00FF7B63" w:rsidP="00FF7B63">
            <w:pPr>
              <w:spacing w:after="0" w:line="240" w:lineRule="auto"/>
              <w:jc w:val="center"/>
              <w:rPr>
                <w:rFonts w:cs="Calibri"/>
                <w:b/>
                <w:bCs/>
                <w:color w:val="000000"/>
                <w:sz w:val="18"/>
                <w:szCs w:val="18"/>
                <w:lang w:eastAsia="sk-SK"/>
              </w:rPr>
            </w:pPr>
            <w:r w:rsidRPr="00FF7B63">
              <w:rPr>
                <w:rFonts w:cs="Calibri"/>
                <w:b/>
                <w:bCs/>
                <w:color w:val="000000"/>
                <w:sz w:val="18"/>
                <w:szCs w:val="18"/>
                <w:lang w:eastAsia="sk-SK"/>
              </w:rPr>
              <w:t xml:space="preserve">Kapitálové výdavky </w:t>
            </w:r>
          </w:p>
        </w:tc>
        <w:tc>
          <w:tcPr>
            <w:tcW w:w="589"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B575278" w14:textId="77777777" w:rsidR="00FF7B63" w:rsidRPr="00FF7B63" w:rsidRDefault="00FF7B63" w:rsidP="00FF7B63">
            <w:pPr>
              <w:spacing w:after="0" w:line="240" w:lineRule="auto"/>
              <w:jc w:val="center"/>
              <w:rPr>
                <w:rFonts w:cs="Calibri"/>
                <w:b/>
                <w:bCs/>
                <w:color w:val="000000"/>
                <w:sz w:val="18"/>
                <w:szCs w:val="18"/>
                <w:lang w:eastAsia="sk-SK"/>
              </w:rPr>
            </w:pPr>
            <w:r w:rsidRPr="00FF7B63">
              <w:rPr>
                <w:rFonts w:cs="Calibri"/>
                <w:b/>
                <w:bCs/>
                <w:color w:val="000000"/>
                <w:sz w:val="18"/>
                <w:szCs w:val="18"/>
                <w:lang w:eastAsia="sk-SK"/>
              </w:rPr>
              <w:t>Skutočnosť za rok 2018 v EUR</w:t>
            </w:r>
          </w:p>
        </w:tc>
        <w:tc>
          <w:tcPr>
            <w:tcW w:w="589"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300389B4" w14:textId="235145DE" w:rsidR="00FF7B63" w:rsidRPr="00FF7B63" w:rsidRDefault="003F43C2" w:rsidP="00FF7B63">
            <w:pPr>
              <w:spacing w:after="0" w:line="240" w:lineRule="auto"/>
              <w:jc w:val="center"/>
              <w:rPr>
                <w:rFonts w:cs="Calibri"/>
                <w:b/>
                <w:bCs/>
                <w:color w:val="000000"/>
                <w:sz w:val="18"/>
                <w:szCs w:val="18"/>
                <w:lang w:eastAsia="sk-SK"/>
              </w:rPr>
            </w:pPr>
            <w:r>
              <w:rPr>
                <w:rFonts w:cs="Calibri"/>
                <w:b/>
                <w:bCs/>
                <w:color w:val="000000"/>
                <w:sz w:val="18"/>
                <w:szCs w:val="18"/>
                <w:lang w:eastAsia="sk-SK"/>
              </w:rPr>
              <w:t>Skutočnosť</w:t>
            </w:r>
            <w:r w:rsidR="00FF7B63" w:rsidRPr="00FF7B63">
              <w:rPr>
                <w:rFonts w:cs="Calibri"/>
                <w:b/>
                <w:bCs/>
                <w:color w:val="000000"/>
                <w:sz w:val="18"/>
                <w:szCs w:val="18"/>
                <w:lang w:eastAsia="sk-SK"/>
              </w:rPr>
              <w:t xml:space="preserve"> 2019 v EUR</w:t>
            </w:r>
          </w:p>
        </w:tc>
        <w:tc>
          <w:tcPr>
            <w:tcW w:w="589"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12C69C81" w14:textId="77777777" w:rsidR="00FF7B63" w:rsidRPr="00FF7B63" w:rsidRDefault="00FF7B63" w:rsidP="00FF7B63">
            <w:pPr>
              <w:spacing w:after="0" w:line="240" w:lineRule="auto"/>
              <w:jc w:val="center"/>
              <w:rPr>
                <w:rFonts w:cs="Calibri"/>
                <w:b/>
                <w:bCs/>
                <w:color w:val="000000"/>
                <w:sz w:val="18"/>
                <w:szCs w:val="18"/>
                <w:lang w:eastAsia="sk-SK"/>
              </w:rPr>
            </w:pPr>
            <w:r w:rsidRPr="00FF7B63">
              <w:rPr>
                <w:rFonts w:cs="Calibri"/>
                <w:b/>
                <w:bCs/>
                <w:color w:val="000000"/>
                <w:sz w:val="18"/>
                <w:szCs w:val="18"/>
                <w:lang w:eastAsia="sk-SK"/>
              </w:rPr>
              <w:t>Schválený rozpočet 2020</w:t>
            </w:r>
          </w:p>
        </w:tc>
        <w:tc>
          <w:tcPr>
            <w:tcW w:w="589"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686EB9BB" w14:textId="0CDA8379" w:rsidR="00FF7B63" w:rsidRPr="00FF7B63" w:rsidRDefault="00FF7B63" w:rsidP="00FF7B63">
            <w:pPr>
              <w:spacing w:after="0" w:line="240" w:lineRule="auto"/>
              <w:jc w:val="center"/>
              <w:rPr>
                <w:rFonts w:cs="Calibri"/>
                <w:b/>
                <w:bCs/>
                <w:color w:val="000000"/>
                <w:sz w:val="18"/>
                <w:szCs w:val="18"/>
                <w:lang w:eastAsia="sk-SK"/>
              </w:rPr>
            </w:pPr>
            <w:r w:rsidRPr="00FF7B63">
              <w:rPr>
                <w:rFonts w:cs="Calibri"/>
                <w:b/>
                <w:bCs/>
                <w:color w:val="000000"/>
                <w:sz w:val="18"/>
                <w:szCs w:val="18"/>
                <w:lang w:eastAsia="sk-SK"/>
              </w:rPr>
              <w:t xml:space="preserve">Zmenený rozpočet k 31.12.2020 </w:t>
            </w:r>
            <w:r>
              <w:rPr>
                <w:rFonts w:cs="Calibri"/>
                <w:b/>
                <w:bCs/>
                <w:color w:val="000000"/>
                <w:sz w:val="18"/>
                <w:szCs w:val="18"/>
                <w:lang w:eastAsia="sk-SK"/>
              </w:rPr>
              <w:br/>
            </w:r>
            <w:r w:rsidRPr="00FF7B63">
              <w:rPr>
                <w:rFonts w:cs="Calibri"/>
                <w:b/>
                <w:bCs/>
                <w:color w:val="000000"/>
                <w:sz w:val="18"/>
                <w:szCs w:val="18"/>
                <w:lang w:eastAsia="sk-SK"/>
              </w:rPr>
              <w:t>v EUR</w:t>
            </w:r>
          </w:p>
        </w:tc>
        <w:tc>
          <w:tcPr>
            <w:tcW w:w="589"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7AD835F6" w14:textId="35F2780D" w:rsidR="00FF7B63" w:rsidRPr="00FF7B63" w:rsidRDefault="00FF7B63" w:rsidP="00FF7B63">
            <w:pPr>
              <w:spacing w:after="0" w:line="240" w:lineRule="auto"/>
              <w:jc w:val="center"/>
              <w:rPr>
                <w:rFonts w:cs="Calibri"/>
                <w:b/>
                <w:bCs/>
                <w:color w:val="000000"/>
                <w:sz w:val="18"/>
                <w:szCs w:val="18"/>
                <w:lang w:eastAsia="sk-SK"/>
              </w:rPr>
            </w:pPr>
            <w:r w:rsidRPr="00FF7B63">
              <w:rPr>
                <w:rFonts w:cs="Calibri"/>
                <w:b/>
                <w:bCs/>
                <w:color w:val="000000"/>
                <w:sz w:val="18"/>
                <w:szCs w:val="18"/>
                <w:lang w:eastAsia="sk-SK"/>
              </w:rPr>
              <w:t xml:space="preserve">Čerpanie rozpočtu k 31.12.2020 </w:t>
            </w:r>
            <w:r>
              <w:rPr>
                <w:rFonts w:cs="Calibri"/>
                <w:b/>
                <w:bCs/>
                <w:color w:val="000000"/>
                <w:sz w:val="18"/>
                <w:szCs w:val="18"/>
                <w:lang w:eastAsia="sk-SK"/>
              </w:rPr>
              <w:br/>
            </w:r>
            <w:r w:rsidRPr="00FF7B63">
              <w:rPr>
                <w:rFonts w:cs="Calibri"/>
                <w:b/>
                <w:bCs/>
                <w:color w:val="000000"/>
                <w:sz w:val="18"/>
                <w:szCs w:val="18"/>
                <w:lang w:eastAsia="sk-SK"/>
              </w:rPr>
              <w:t>v EUR</w:t>
            </w:r>
          </w:p>
        </w:tc>
        <w:tc>
          <w:tcPr>
            <w:tcW w:w="543"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539B284F" w14:textId="77777777" w:rsidR="00FF7B63" w:rsidRPr="00FF7B63" w:rsidRDefault="00FF7B63" w:rsidP="00FF7B63">
            <w:pPr>
              <w:spacing w:after="0" w:line="240" w:lineRule="auto"/>
              <w:jc w:val="center"/>
              <w:rPr>
                <w:rFonts w:cs="Calibri"/>
                <w:b/>
                <w:bCs/>
                <w:color w:val="000000"/>
                <w:sz w:val="18"/>
                <w:szCs w:val="18"/>
                <w:lang w:eastAsia="sk-SK"/>
              </w:rPr>
            </w:pPr>
            <w:r w:rsidRPr="00FF7B63">
              <w:rPr>
                <w:rFonts w:cs="Calibri"/>
                <w:b/>
                <w:bCs/>
                <w:color w:val="000000"/>
                <w:sz w:val="18"/>
                <w:szCs w:val="18"/>
                <w:lang w:eastAsia="sk-SK"/>
              </w:rPr>
              <w:t xml:space="preserve">% čerpanie k zmenenému rozpočtu </w:t>
            </w:r>
          </w:p>
        </w:tc>
        <w:tc>
          <w:tcPr>
            <w:tcW w:w="571" w:type="pct"/>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26647FA" w14:textId="77777777" w:rsidR="00FF7B63" w:rsidRPr="00FF7B63" w:rsidRDefault="00FF7B63" w:rsidP="00FF7B63">
            <w:pPr>
              <w:spacing w:after="0" w:line="240" w:lineRule="auto"/>
              <w:jc w:val="center"/>
              <w:rPr>
                <w:rFonts w:cs="Calibri"/>
                <w:b/>
                <w:bCs/>
                <w:color w:val="000000"/>
                <w:sz w:val="18"/>
                <w:szCs w:val="18"/>
                <w:lang w:eastAsia="sk-SK"/>
              </w:rPr>
            </w:pPr>
            <w:r w:rsidRPr="00FF7B63">
              <w:rPr>
                <w:rFonts w:cs="Calibri"/>
                <w:b/>
                <w:bCs/>
                <w:color w:val="000000"/>
                <w:sz w:val="18"/>
                <w:szCs w:val="18"/>
                <w:lang w:eastAsia="sk-SK"/>
              </w:rPr>
              <w:t>Zmeny rozpočtu</w:t>
            </w:r>
          </w:p>
        </w:tc>
      </w:tr>
      <w:tr w:rsidR="00FF7B63" w:rsidRPr="00FF7B63" w14:paraId="48940075" w14:textId="77777777" w:rsidTr="00FF7B63">
        <w:trPr>
          <w:trHeight w:val="333"/>
        </w:trPr>
        <w:tc>
          <w:tcPr>
            <w:tcW w:w="873" w:type="pct"/>
            <w:vMerge/>
            <w:tcBorders>
              <w:top w:val="single" w:sz="12" w:space="0" w:color="FFFFFF"/>
              <w:left w:val="single" w:sz="12" w:space="0" w:color="FFFFFF"/>
              <w:bottom w:val="single" w:sz="12" w:space="0" w:color="FFFFFF"/>
              <w:right w:val="single" w:sz="12" w:space="0" w:color="FFFFFF"/>
            </w:tcBorders>
            <w:vAlign w:val="center"/>
            <w:hideMark/>
          </w:tcPr>
          <w:p w14:paraId="4D7408B4" w14:textId="77777777" w:rsidR="00FF7B63" w:rsidRPr="00FF7B63" w:rsidRDefault="00FF7B63" w:rsidP="00FF7B63">
            <w:pPr>
              <w:spacing w:after="0" w:line="240" w:lineRule="auto"/>
              <w:rPr>
                <w:rFonts w:cs="Calibri"/>
                <w:b/>
                <w:bCs/>
                <w:color w:val="000000"/>
                <w:sz w:val="18"/>
                <w:szCs w:val="18"/>
                <w:lang w:eastAsia="sk-SK"/>
              </w:rPr>
            </w:pPr>
          </w:p>
        </w:tc>
        <w:tc>
          <w:tcPr>
            <w:tcW w:w="589" w:type="pct"/>
            <w:vMerge/>
            <w:tcBorders>
              <w:top w:val="single" w:sz="12" w:space="0" w:color="FFFFFF"/>
              <w:left w:val="single" w:sz="12" w:space="0" w:color="FFFFFF"/>
              <w:bottom w:val="single" w:sz="12" w:space="0" w:color="FFFFFF"/>
              <w:right w:val="single" w:sz="12" w:space="0" w:color="FFFFFF"/>
            </w:tcBorders>
            <w:vAlign w:val="center"/>
            <w:hideMark/>
          </w:tcPr>
          <w:p w14:paraId="777EC711" w14:textId="77777777" w:rsidR="00FF7B63" w:rsidRPr="00FF7B63" w:rsidRDefault="00FF7B63" w:rsidP="00FF7B63">
            <w:pPr>
              <w:spacing w:after="0" w:line="240" w:lineRule="auto"/>
              <w:rPr>
                <w:rFonts w:cs="Calibri"/>
                <w:b/>
                <w:bCs/>
                <w:color w:val="000000"/>
                <w:sz w:val="18"/>
                <w:szCs w:val="18"/>
                <w:lang w:eastAsia="sk-SK"/>
              </w:rPr>
            </w:pPr>
          </w:p>
        </w:tc>
        <w:tc>
          <w:tcPr>
            <w:tcW w:w="589" w:type="pct"/>
            <w:vMerge/>
            <w:tcBorders>
              <w:top w:val="single" w:sz="12" w:space="0" w:color="FFFFFF"/>
              <w:left w:val="single" w:sz="12" w:space="0" w:color="FFFFFF"/>
              <w:bottom w:val="single" w:sz="12" w:space="0" w:color="FFFFFF"/>
              <w:right w:val="single" w:sz="12" w:space="0" w:color="FFFFFF"/>
            </w:tcBorders>
            <w:vAlign w:val="center"/>
            <w:hideMark/>
          </w:tcPr>
          <w:p w14:paraId="55A7C3AC" w14:textId="77777777" w:rsidR="00FF7B63" w:rsidRPr="00FF7B63" w:rsidRDefault="00FF7B63" w:rsidP="00FF7B63">
            <w:pPr>
              <w:spacing w:after="0" w:line="240" w:lineRule="auto"/>
              <w:rPr>
                <w:rFonts w:cs="Calibri"/>
                <w:b/>
                <w:bCs/>
                <w:color w:val="000000"/>
                <w:sz w:val="18"/>
                <w:szCs w:val="18"/>
                <w:lang w:eastAsia="sk-SK"/>
              </w:rPr>
            </w:pPr>
          </w:p>
        </w:tc>
        <w:tc>
          <w:tcPr>
            <w:tcW w:w="589" w:type="pct"/>
            <w:vMerge/>
            <w:tcBorders>
              <w:top w:val="single" w:sz="12" w:space="0" w:color="FFFFFF"/>
              <w:left w:val="single" w:sz="12" w:space="0" w:color="FFFFFF"/>
              <w:bottom w:val="single" w:sz="12" w:space="0" w:color="FFFFFF"/>
              <w:right w:val="single" w:sz="12" w:space="0" w:color="FFFFFF"/>
            </w:tcBorders>
            <w:vAlign w:val="center"/>
            <w:hideMark/>
          </w:tcPr>
          <w:p w14:paraId="200A77ED" w14:textId="77777777" w:rsidR="00FF7B63" w:rsidRPr="00FF7B63" w:rsidRDefault="00FF7B63" w:rsidP="00FF7B63">
            <w:pPr>
              <w:spacing w:after="0" w:line="240" w:lineRule="auto"/>
              <w:rPr>
                <w:rFonts w:cs="Calibri"/>
                <w:b/>
                <w:bCs/>
                <w:color w:val="000000"/>
                <w:sz w:val="18"/>
                <w:szCs w:val="18"/>
                <w:lang w:eastAsia="sk-SK"/>
              </w:rPr>
            </w:pPr>
          </w:p>
        </w:tc>
        <w:tc>
          <w:tcPr>
            <w:tcW w:w="589" w:type="pct"/>
            <w:vMerge/>
            <w:tcBorders>
              <w:top w:val="single" w:sz="12" w:space="0" w:color="FFFFFF"/>
              <w:left w:val="single" w:sz="12" w:space="0" w:color="FFFFFF"/>
              <w:bottom w:val="single" w:sz="12" w:space="0" w:color="FFFFFF"/>
              <w:right w:val="single" w:sz="12" w:space="0" w:color="FFFFFF"/>
            </w:tcBorders>
            <w:vAlign w:val="center"/>
            <w:hideMark/>
          </w:tcPr>
          <w:p w14:paraId="4CA77BCA" w14:textId="77777777" w:rsidR="00FF7B63" w:rsidRPr="00FF7B63" w:rsidRDefault="00FF7B63" w:rsidP="00FF7B63">
            <w:pPr>
              <w:spacing w:after="0" w:line="240" w:lineRule="auto"/>
              <w:rPr>
                <w:rFonts w:cs="Calibri"/>
                <w:b/>
                <w:bCs/>
                <w:color w:val="000000"/>
                <w:sz w:val="18"/>
                <w:szCs w:val="18"/>
                <w:lang w:eastAsia="sk-SK"/>
              </w:rPr>
            </w:pPr>
          </w:p>
        </w:tc>
        <w:tc>
          <w:tcPr>
            <w:tcW w:w="589" w:type="pct"/>
            <w:vMerge/>
            <w:tcBorders>
              <w:top w:val="single" w:sz="12" w:space="0" w:color="FFFFFF"/>
              <w:left w:val="single" w:sz="12" w:space="0" w:color="FFFFFF"/>
              <w:bottom w:val="single" w:sz="12" w:space="0" w:color="FFFFFF"/>
              <w:right w:val="single" w:sz="12" w:space="0" w:color="FFFFFF"/>
            </w:tcBorders>
            <w:vAlign w:val="center"/>
            <w:hideMark/>
          </w:tcPr>
          <w:p w14:paraId="5044D32B" w14:textId="77777777" w:rsidR="00FF7B63" w:rsidRPr="00FF7B63" w:rsidRDefault="00FF7B63" w:rsidP="00FF7B63">
            <w:pPr>
              <w:spacing w:after="0" w:line="240" w:lineRule="auto"/>
              <w:rPr>
                <w:rFonts w:cs="Calibri"/>
                <w:b/>
                <w:bCs/>
                <w:color w:val="000000"/>
                <w:sz w:val="18"/>
                <w:szCs w:val="18"/>
                <w:lang w:eastAsia="sk-SK"/>
              </w:rPr>
            </w:pPr>
          </w:p>
        </w:tc>
        <w:tc>
          <w:tcPr>
            <w:tcW w:w="543" w:type="pct"/>
            <w:vMerge/>
            <w:tcBorders>
              <w:top w:val="single" w:sz="12" w:space="0" w:color="FFFFFF"/>
              <w:left w:val="single" w:sz="12" w:space="0" w:color="FFFFFF"/>
              <w:bottom w:val="single" w:sz="12" w:space="0" w:color="FFFFFF"/>
              <w:right w:val="single" w:sz="12" w:space="0" w:color="FFFFFF"/>
            </w:tcBorders>
            <w:vAlign w:val="center"/>
            <w:hideMark/>
          </w:tcPr>
          <w:p w14:paraId="7B65E9D7" w14:textId="77777777" w:rsidR="00FF7B63" w:rsidRPr="00FF7B63" w:rsidRDefault="00FF7B63" w:rsidP="00FF7B63">
            <w:pPr>
              <w:spacing w:after="0" w:line="240" w:lineRule="auto"/>
              <w:rPr>
                <w:rFonts w:cs="Calibri"/>
                <w:b/>
                <w:bCs/>
                <w:color w:val="000000"/>
                <w:sz w:val="18"/>
                <w:szCs w:val="18"/>
                <w:lang w:eastAsia="sk-SK"/>
              </w:rPr>
            </w:pPr>
          </w:p>
        </w:tc>
        <w:tc>
          <w:tcPr>
            <w:tcW w:w="571" w:type="pct"/>
            <w:vMerge/>
            <w:tcBorders>
              <w:top w:val="single" w:sz="12" w:space="0" w:color="FFFFFF"/>
              <w:left w:val="single" w:sz="12" w:space="0" w:color="FFFFFF"/>
              <w:bottom w:val="single" w:sz="12" w:space="0" w:color="FFFFFF"/>
              <w:right w:val="single" w:sz="12" w:space="0" w:color="FFFFFF"/>
            </w:tcBorders>
            <w:vAlign w:val="center"/>
            <w:hideMark/>
          </w:tcPr>
          <w:p w14:paraId="0FC8D96A" w14:textId="77777777" w:rsidR="00FF7B63" w:rsidRPr="00FF7B63" w:rsidRDefault="00FF7B63" w:rsidP="00FF7B63">
            <w:pPr>
              <w:spacing w:after="0" w:line="240" w:lineRule="auto"/>
              <w:rPr>
                <w:rFonts w:cs="Calibri"/>
                <w:b/>
                <w:bCs/>
                <w:color w:val="000000"/>
                <w:sz w:val="18"/>
                <w:szCs w:val="18"/>
                <w:lang w:eastAsia="sk-SK"/>
              </w:rPr>
            </w:pPr>
          </w:p>
        </w:tc>
        <w:tc>
          <w:tcPr>
            <w:tcW w:w="70" w:type="pct"/>
            <w:tcBorders>
              <w:top w:val="nil"/>
              <w:left w:val="nil"/>
              <w:bottom w:val="nil"/>
              <w:right w:val="nil"/>
            </w:tcBorders>
            <w:shd w:val="clear" w:color="auto" w:fill="auto"/>
            <w:noWrap/>
            <w:vAlign w:val="bottom"/>
            <w:hideMark/>
          </w:tcPr>
          <w:p w14:paraId="2749782C" w14:textId="77777777" w:rsidR="00FF7B63" w:rsidRPr="00FF7B63" w:rsidRDefault="00FF7B63" w:rsidP="00FF7B63">
            <w:pPr>
              <w:spacing w:after="0" w:line="240" w:lineRule="auto"/>
              <w:jc w:val="center"/>
              <w:rPr>
                <w:rFonts w:cs="Calibri"/>
                <w:b/>
                <w:bCs/>
                <w:color w:val="000000"/>
                <w:sz w:val="18"/>
                <w:szCs w:val="18"/>
                <w:lang w:eastAsia="sk-SK"/>
              </w:rPr>
            </w:pPr>
          </w:p>
        </w:tc>
      </w:tr>
      <w:tr w:rsidR="00FF7B63" w:rsidRPr="00FF7B63" w14:paraId="2CE4259D" w14:textId="77777777" w:rsidTr="00FF7B63">
        <w:trPr>
          <w:trHeight w:hRule="exact" w:val="349"/>
        </w:trPr>
        <w:tc>
          <w:tcPr>
            <w:tcW w:w="873" w:type="pct"/>
            <w:tcBorders>
              <w:top w:val="nil"/>
              <w:left w:val="single" w:sz="12" w:space="0" w:color="FFFFFF"/>
              <w:bottom w:val="single" w:sz="12" w:space="0" w:color="FFFFFF"/>
              <w:right w:val="single" w:sz="12" w:space="0" w:color="FFFFFF"/>
            </w:tcBorders>
            <w:shd w:val="clear" w:color="000000" w:fill="F2F2F2"/>
            <w:noWrap/>
            <w:vAlign w:val="center"/>
            <w:hideMark/>
          </w:tcPr>
          <w:p w14:paraId="70E2657D" w14:textId="77777777" w:rsidR="00FF7B63" w:rsidRPr="00FF7B63" w:rsidRDefault="00FF7B63" w:rsidP="00FF7B63">
            <w:pPr>
              <w:spacing w:after="0" w:line="240" w:lineRule="auto"/>
              <w:rPr>
                <w:rFonts w:cs="Calibri"/>
                <w:color w:val="000000"/>
                <w:sz w:val="20"/>
                <w:szCs w:val="20"/>
                <w:lang w:eastAsia="sk-SK"/>
              </w:rPr>
            </w:pPr>
            <w:r w:rsidRPr="00FF7B63">
              <w:rPr>
                <w:rFonts w:cs="Calibri"/>
                <w:color w:val="000000"/>
                <w:sz w:val="20"/>
                <w:szCs w:val="20"/>
                <w:lang w:eastAsia="sk-SK"/>
              </w:rPr>
              <w:t xml:space="preserve">710 – </w:t>
            </w:r>
            <w:proofErr w:type="spellStart"/>
            <w:r w:rsidRPr="00FF7B63">
              <w:rPr>
                <w:rFonts w:cs="Calibri"/>
                <w:color w:val="000000"/>
                <w:sz w:val="20"/>
                <w:szCs w:val="20"/>
                <w:lang w:eastAsia="sk-SK"/>
              </w:rPr>
              <w:t>Obst</w:t>
            </w:r>
            <w:proofErr w:type="spellEnd"/>
            <w:r w:rsidRPr="00FF7B63">
              <w:rPr>
                <w:rFonts w:cs="Calibri"/>
                <w:color w:val="000000"/>
                <w:sz w:val="20"/>
                <w:szCs w:val="20"/>
                <w:lang w:eastAsia="sk-SK"/>
              </w:rPr>
              <w:t>. kap. aktív</w:t>
            </w:r>
          </w:p>
        </w:tc>
        <w:tc>
          <w:tcPr>
            <w:tcW w:w="589" w:type="pct"/>
            <w:tcBorders>
              <w:top w:val="nil"/>
              <w:left w:val="nil"/>
              <w:bottom w:val="single" w:sz="12" w:space="0" w:color="FFFFFF"/>
              <w:right w:val="single" w:sz="12" w:space="0" w:color="FFFFFF"/>
            </w:tcBorders>
            <w:shd w:val="clear" w:color="000000" w:fill="F2F2F2"/>
            <w:vAlign w:val="center"/>
            <w:hideMark/>
          </w:tcPr>
          <w:p w14:paraId="385C5636"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22 860 832,15</w:t>
            </w:r>
          </w:p>
        </w:tc>
        <w:tc>
          <w:tcPr>
            <w:tcW w:w="589" w:type="pct"/>
            <w:tcBorders>
              <w:top w:val="nil"/>
              <w:left w:val="nil"/>
              <w:bottom w:val="single" w:sz="12" w:space="0" w:color="FFFFFF"/>
              <w:right w:val="single" w:sz="12" w:space="0" w:color="FFFFFF"/>
            </w:tcBorders>
            <w:shd w:val="clear" w:color="000000" w:fill="F2F2F2"/>
            <w:vAlign w:val="center"/>
            <w:hideMark/>
          </w:tcPr>
          <w:p w14:paraId="49641B60"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22 458 377,10</w:t>
            </w:r>
          </w:p>
        </w:tc>
        <w:tc>
          <w:tcPr>
            <w:tcW w:w="589" w:type="pct"/>
            <w:tcBorders>
              <w:top w:val="nil"/>
              <w:left w:val="nil"/>
              <w:bottom w:val="single" w:sz="12" w:space="0" w:color="FFFFFF"/>
              <w:right w:val="single" w:sz="12" w:space="0" w:color="FFFFFF"/>
            </w:tcBorders>
            <w:shd w:val="clear" w:color="000000" w:fill="F2F2F2"/>
            <w:vAlign w:val="center"/>
            <w:hideMark/>
          </w:tcPr>
          <w:p w14:paraId="207B0FD6"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31 174 247,43</w:t>
            </w:r>
          </w:p>
        </w:tc>
        <w:tc>
          <w:tcPr>
            <w:tcW w:w="589" w:type="pct"/>
            <w:tcBorders>
              <w:top w:val="nil"/>
              <w:left w:val="nil"/>
              <w:bottom w:val="single" w:sz="12" w:space="0" w:color="FFFFFF"/>
              <w:right w:val="single" w:sz="12" w:space="0" w:color="FFFFFF"/>
            </w:tcBorders>
            <w:shd w:val="clear" w:color="000000" w:fill="F2F2F2"/>
            <w:vAlign w:val="center"/>
            <w:hideMark/>
          </w:tcPr>
          <w:p w14:paraId="2C1B560A"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28 069 307,18</w:t>
            </w:r>
          </w:p>
        </w:tc>
        <w:tc>
          <w:tcPr>
            <w:tcW w:w="589" w:type="pct"/>
            <w:tcBorders>
              <w:top w:val="nil"/>
              <w:left w:val="nil"/>
              <w:bottom w:val="single" w:sz="12" w:space="0" w:color="FFFFFF"/>
              <w:right w:val="single" w:sz="12" w:space="0" w:color="FFFFFF"/>
            </w:tcBorders>
            <w:shd w:val="clear" w:color="000000" w:fill="F2F2F2"/>
            <w:vAlign w:val="center"/>
            <w:hideMark/>
          </w:tcPr>
          <w:p w14:paraId="2FC09A8C"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7 871 161,14</w:t>
            </w:r>
          </w:p>
        </w:tc>
        <w:tc>
          <w:tcPr>
            <w:tcW w:w="543" w:type="pct"/>
            <w:tcBorders>
              <w:top w:val="nil"/>
              <w:left w:val="nil"/>
              <w:bottom w:val="single" w:sz="12" w:space="0" w:color="FFFFFF"/>
              <w:right w:val="single" w:sz="12" w:space="0" w:color="FFFFFF"/>
            </w:tcBorders>
            <w:shd w:val="clear" w:color="000000" w:fill="F2F2F2"/>
            <w:vAlign w:val="center"/>
            <w:hideMark/>
          </w:tcPr>
          <w:p w14:paraId="0AF5A954"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28,04%</w:t>
            </w:r>
          </w:p>
        </w:tc>
        <w:tc>
          <w:tcPr>
            <w:tcW w:w="571" w:type="pct"/>
            <w:tcBorders>
              <w:top w:val="nil"/>
              <w:left w:val="nil"/>
              <w:bottom w:val="single" w:sz="12" w:space="0" w:color="FFFFFF"/>
              <w:right w:val="single" w:sz="12" w:space="0" w:color="FFFFFF"/>
            </w:tcBorders>
            <w:shd w:val="clear" w:color="000000" w:fill="F2F2F2"/>
            <w:vAlign w:val="center"/>
            <w:hideMark/>
          </w:tcPr>
          <w:p w14:paraId="0D6DC566"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-3 104 940,25</w:t>
            </w:r>
          </w:p>
        </w:tc>
        <w:tc>
          <w:tcPr>
            <w:tcW w:w="70" w:type="pct"/>
            <w:vAlign w:val="center"/>
            <w:hideMark/>
          </w:tcPr>
          <w:p w14:paraId="473A9147" w14:textId="77777777" w:rsidR="00FF7B63" w:rsidRPr="00FF7B63" w:rsidRDefault="00FF7B63" w:rsidP="00FF7B63">
            <w:pPr>
              <w:spacing w:after="0" w:line="240" w:lineRule="auto"/>
              <w:rPr>
                <w:rFonts w:ascii="Times New Roman" w:hAnsi="Times New Roman"/>
                <w:sz w:val="20"/>
                <w:szCs w:val="20"/>
                <w:lang w:eastAsia="sk-SK"/>
              </w:rPr>
            </w:pPr>
          </w:p>
        </w:tc>
      </w:tr>
      <w:tr w:rsidR="00FF7B63" w:rsidRPr="00FF7B63" w14:paraId="24B6ABC3" w14:textId="77777777" w:rsidTr="00FF7B63">
        <w:trPr>
          <w:trHeight w:hRule="exact" w:val="349"/>
        </w:trPr>
        <w:tc>
          <w:tcPr>
            <w:tcW w:w="873" w:type="pct"/>
            <w:tcBorders>
              <w:top w:val="nil"/>
              <w:left w:val="single" w:sz="12" w:space="0" w:color="FFFFFF"/>
              <w:bottom w:val="single" w:sz="12" w:space="0" w:color="FFFFFF"/>
              <w:right w:val="single" w:sz="12" w:space="0" w:color="FFFFFF"/>
            </w:tcBorders>
            <w:shd w:val="clear" w:color="000000" w:fill="F2F2F2"/>
            <w:noWrap/>
            <w:vAlign w:val="center"/>
            <w:hideMark/>
          </w:tcPr>
          <w:p w14:paraId="4783C330" w14:textId="77777777" w:rsidR="00FF7B63" w:rsidRPr="00FF7B63" w:rsidRDefault="00FF7B63" w:rsidP="00FF7B63">
            <w:pPr>
              <w:spacing w:after="0" w:line="240" w:lineRule="auto"/>
              <w:rPr>
                <w:rFonts w:cs="Calibri"/>
                <w:color w:val="000000"/>
                <w:sz w:val="20"/>
                <w:szCs w:val="20"/>
                <w:lang w:eastAsia="sk-SK"/>
              </w:rPr>
            </w:pPr>
            <w:r w:rsidRPr="00FF7B63">
              <w:rPr>
                <w:rFonts w:cs="Calibri"/>
                <w:color w:val="000000"/>
                <w:sz w:val="20"/>
                <w:szCs w:val="20"/>
                <w:lang w:eastAsia="sk-SK"/>
              </w:rPr>
              <w:t xml:space="preserve">720 – Kapitálové </w:t>
            </w:r>
            <w:proofErr w:type="spellStart"/>
            <w:r w:rsidRPr="00FF7B63">
              <w:rPr>
                <w:rFonts w:cs="Calibri"/>
                <w:color w:val="000000"/>
                <w:sz w:val="20"/>
                <w:szCs w:val="20"/>
                <w:lang w:eastAsia="sk-SK"/>
              </w:rPr>
              <w:t>tran</w:t>
            </w:r>
            <w:proofErr w:type="spellEnd"/>
            <w:r w:rsidRPr="00FF7B63">
              <w:rPr>
                <w:rFonts w:cs="Calibri"/>
                <w:color w:val="000000"/>
                <w:sz w:val="20"/>
                <w:szCs w:val="20"/>
                <w:lang w:eastAsia="sk-SK"/>
              </w:rPr>
              <w:t>.</w:t>
            </w:r>
          </w:p>
        </w:tc>
        <w:tc>
          <w:tcPr>
            <w:tcW w:w="589" w:type="pct"/>
            <w:tcBorders>
              <w:top w:val="nil"/>
              <w:left w:val="nil"/>
              <w:bottom w:val="single" w:sz="12" w:space="0" w:color="FFFFFF"/>
              <w:right w:val="single" w:sz="12" w:space="0" w:color="FFFFFF"/>
            </w:tcBorders>
            <w:shd w:val="clear" w:color="000000" w:fill="F2F2F2"/>
            <w:vAlign w:val="center"/>
            <w:hideMark/>
          </w:tcPr>
          <w:p w14:paraId="24E3E966"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1 574 581,87</w:t>
            </w:r>
          </w:p>
        </w:tc>
        <w:tc>
          <w:tcPr>
            <w:tcW w:w="589" w:type="pct"/>
            <w:tcBorders>
              <w:top w:val="nil"/>
              <w:left w:val="nil"/>
              <w:bottom w:val="single" w:sz="12" w:space="0" w:color="FFFFFF"/>
              <w:right w:val="single" w:sz="12" w:space="0" w:color="FFFFFF"/>
            </w:tcBorders>
            <w:shd w:val="clear" w:color="000000" w:fill="F2F2F2"/>
            <w:vAlign w:val="center"/>
            <w:hideMark/>
          </w:tcPr>
          <w:p w14:paraId="567DA32E"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1 352 392,66</w:t>
            </w:r>
          </w:p>
        </w:tc>
        <w:tc>
          <w:tcPr>
            <w:tcW w:w="589" w:type="pct"/>
            <w:tcBorders>
              <w:top w:val="nil"/>
              <w:left w:val="nil"/>
              <w:bottom w:val="single" w:sz="12" w:space="0" w:color="FFFFFF"/>
              <w:right w:val="single" w:sz="12" w:space="0" w:color="FFFFFF"/>
            </w:tcBorders>
            <w:shd w:val="clear" w:color="000000" w:fill="F2F2F2"/>
            <w:vAlign w:val="center"/>
            <w:hideMark/>
          </w:tcPr>
          <w:p w14:paraId="2CE9ED3C"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4 535 886,99</w:t>
            </w:r>
          </w:p>
        </w:tc>
        <w:tc>
          <w:tcPr>
            <w:tcW w:w="589" w:type="pct"/>
            <w:tcBorders>
              <w:top w:val="nil"/>
              <w:left w:val="nil"/>
              <w:bottom w:val="single" w:sz="12" w:space="0" w:color="FFFFFF"/>
              <w:right w:val="single" w:sz="12" w:space="0" w:color="FFFFFF"/>
            </w:tcBorders>
            <w:shd w:val="clear" w:color="000000" w:fill="F2F2F2"/>
            <w:vAlign w:val="center"/>
            <w:hideMark/>
          </w:tcPr>
          <w:p w14:paraId="253EE240"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3 926 516,90</w:t>
            </w:r>
          </w:p>
        </w:tc>
        <w:tc>
          <w:tcPr>
            <w:tcW w:w="589" w:type="pct"/>
            <w:tcBorders>
              <w:top w:val="nil"/>
              <w:left w:val="nil"/>
              <w:bottom w:val="single" w:sz="12" w:space="0" w:color="FFFFFF"/>
              <w:right w:val="single" w:sz="12" w:space="0" w:color="FFFFFF"/>
            </w:tcBorders>
            <w:shd w:val="clear" w:color="000000" w:fill="F2F2F2"/>
            <w:vAlign w:val="center"/>
            <w:hideMark/>
          </w:tcPr>
          <w:p w14:paraId="787A87B7"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2 193 652,92</w:t>
            </w:r>
          </w:p>
        </w:tc>
        <w:tc>
          <w:tcPr>
            <w:tcW w:w="543" w:type="pct"/>
            <w:tcBorders>
              <w:top w:val="nil"/>
              <w:left w:val="nil"/>
              <w:bottom w:val="single" w:sz="12" w:space="0" w:color="FFFFFF"/>
              <w:right w:val="single" w:sz="12" w:space="0" w:color="FFFFFF"/>
            </w:tcBorders>
            <w:shd w:val="clear" w:color="000000" w:fill="F2F2F2"/>
            <w:vAlign w:val="center"/>
            <w:hideMark/>
          </w:tcPr>
          <w:p w14:paraId="0FB568DA"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55,87%</w:t>
            </w:r>
          </w:p>
        </w:tc>
        <w:tc>
          <w:tcPr>
            <w:tcW w:w="571" w:type="pct"/>
            <w:tcBorders>
              <w:top w:val="nil"/>
              <w:left w:val="nil"/>
              <w:bottom w:val="single" w:sz="12" w:space="0" w:color="FFFFFF"/>
              <w:right w:val="single" w:sz="12" w:space="0" w:color="FFFFFF"/>
            </w:tcBorders>
            <w:shd w:val="clear" w:color="000000" w:fill="F2F2F2"/>
            <w:vAlign w:val="center"/>
            <w:hideMark/>
          </w:tcPr>
          <w:p w14:paraId="3D841FEE" w14:textId="77777777" w:rsidR="00FF7B63" w:rsidRPr="00FF7B63" w:rsidRDefault="00FF7B63" w:rsidP="00FF7B63">
            <w:pPr>
              <w:spacing w:after="0" w:line="240" w:lineRule="auto"/>
              <w:jc w:val="right"/>
              <w:rPr>
                <w:rFonts w:cs="Calibri"/>
                <w:color w:val="000000"/>
                <w:sz w:val="20"/>
                <w:szCs w:val="20"/>
                <w:lang w:eastAsia="sk-SK"/>
              </w:rPr>
            </w:pPr>
            <w:r w:rsidRPr="00FF7B63">
              <w:rPr>
                <w:rFonts w:cs="Arial"/>
                <w:color w:val="000000"/>
                <w:sz w:val="20"/>
                <w:szCs w:val="20"/>
                <w:lang w:eastAsia="sk-SK"/>
              </w:rPr>
              <w:t>-609 370,09</w:t>
            </w:r>
          </w:p>
        </w:tc>
        <w:tc>
          <w:tcPr>
            <w:tcW w:w="70" w:type="pct"/>
            <w:vAlign w:val="center"/>
            <w:hideMark/>
          </w:tcPr>
          <w:p w14:paraId="10C9B1CC" w14:textId="77777777" w:rsidR="00FF7B63" w:rsidRPr="00FF7B63" w:rsidRDefault="00FF7B63" w:rsidP="00FF7B63">
            <w:pPr>
              <w:spacing w:after="0" w:line="240" w:lineRule="auto"/>
              <w:rPr>
                <w:rFonts w:ascii="Times New Roman" w:hAnsi="Times New Roman"/>
                <w:sz w:val="20"/>
                <w:szCs w:val="20"/>
                <w:lang w:eastAsia="sk-SK"/>
              </w:rPr>
            </w:pPr>
          </w:p>
        </w:tc>
      </w:tr>
      <w:tr w:rsidR="00FF7B63" w:rsidRPr="00FF7B63" w14:paraId="7C604D28" w14:textId="77777777" w:rsidTr="00FF7B63">
        <w:trPr>
          <w:trHeight w:val="349"/>
        </w:trPr>
        <w:tc>
          <w:tcPr>
            <w:tcW w:w="873" w:type="pct"/>
            <w:tcBorders>
              <w:top w:val="nil"/>
              <w:left w:val="single" w:sz="12" w:space="0" w:color="FFFFFF"/>
              <w:bottom w:val="single" w:sz="12" w:space="0" w:color="FFFFFF"/>
              <w:right w:val="single" w:sz="12" w:space="0" w:color="FFFFFF"/>
            </w:tcBorders>
            <w:shd w:val="clear" w:color="000000" w:fill="8DB3E2"/>
            <w:noWrap/>
            <w:vAlign w:val="center"/>
            <w:hideMark/>
          </w:tcPr>
          <w:p w14:paraId="0EE82AB7" w14:textId="77777777" w:rsidR="00FF7B63" w:rsidRPr="00FF7B63" w:rsidRDefault="00FF7B63" w:rsidP="00FF7B63">
            <w:pPr>
              <w:spacing w:after="0" w:line="240" w:lineRule="auto"/>
              <w:rPr>
                <w:rFonts w:cs="Calibri"/>
                <w:b/>
                <w:bCs/>
                <w:color w:val="000000"/>
                <w:sz w:val="20"/>
                <w:szCs w:val="20"/>
                <w:lang w:eastAsia="sk-SK"/>
              </w:rPr>
            </w:pPr>
            <w:r w:rsidRPr="00FF7B63">
              <w:rPr>
                <w:rFonts w:cs="Calibri"/>
                <w:b/>
                <w:bCs/>
                <w:color w:val="000000"/>
                <w:sz w:val="20"/>
                <w:szCs w:val="20"/>
                <w:lang w:eastAsia="sk-SK"/>
              </w:rPr>
              <w:t>Celkový súčet</w:t>
            </w:r>
          </w:p>
        </w:tc>
        <w:tc>
          <w:tcPr>
            <w:tcW w:w="589" w:type="pct"/>
            <w:tcBorders>
              <w:top w:val="nil"/>
              <w:left w:val="nil"/>
              <w:bottom w:val="single" w:sz="12" w:space="0" w:color="FFFFFF"/>
              <w:right w:val="single" w:sz="12" w:space="0" w:color="FFFFFF"/>
            </w:tcBorders>
            <w:shd w:val="clear" w:color="000000" w:fill="8DB3E2"/>
            <w:noWrap/>
            <w:vAlign w:val="center"/>
            <w:hideMark/>
          </w:tcPr>
          <w:p w14:paraId="7BBB5DE8" w14:textId="77777777" w:rsidR="00FF7B63" w:rsidRPr="00FF7B63" w:rsidRDefault="00FF7B63" w:rsidP="00FF7B63">
            <w:pPr>
              <w:spacing w:after="0" w:line="240" w:lineRule="auto"/>
              <w:jc w:val="right"/>
              <w:rPr>
                <w:rFonts w:cs="Calibri"/>
                <w:b/>
                <w:bCs/>
                <w:color w:val="000000"/>
                <w:sz w:val="20"/>
                <w:szCs w:val="20"/>
                <w:lang w:eastAsia="sk-SK"/>
              </w:rPr>
            </w:pPr>
            <w:r w:rsidRPr="00FF7B63">
              <w:rPr>
                <w:rFonts w:cs="Arial"/>
                <w:b/>
                <w:bCs/>
                <w:color w:val="000000"/>
                <w:sz w:val="20"/>
                <w:szCs w:val="20"/>
                <w:lang w:eastAsia="sk-SK"/>
              </w:rPr>
              <w:t>24 435 414,02</w:t>
            </w:r>
          </w:p>
        </w:tc>
        <w:tc>
          <w:tcPr>
            <w:tcW w:w="589" w:type="pct"/>
            <w:tcBorders>
              <w:top w:val="nil"/>
              <w:left w:val="nil"/>
              <w:bottom w:val="single" w:sz="12" w:space="0" w:color="FFFFFF"/>
              <w:right w:val="single" w:sz="12" w:space="0" w:color="FFFFFF"/>
            </w:tcBorders>
            <w:shd w:val="clear" w:color="000000" w:fill="8DB3E2"/>
            <w:noWrap/>
            <w:vAlign w:val="center"/>
            <w:hideMark/>
          </w:tcPr>
          <w:p w14:paraId="5E0E8CA8" w14:textId="77777777" w:rsidR="00FF7B63" w:rsidRPr="00FF7B63" w:rsidRDefault="00FF7B63" w:rsidP="00FF7B63">
            <w:pPr>
              <w:spacing w:after="0" w:line="240" w:lineRule="auto"/>
              <w:jc w:val="right"/>
              <w:rPr>
                <w:rFonts w:cs="Calibri"/>
                <w:b/>
                <w:bCs/>
                <w:color w:val="000000"/>
                <w:sz w:val="20"/>
                <w:szCs w:val="20"/>
                <w:lang w:eastAsia="sk-SK"/>
              </w:rPr>
            </w:pPr>
            <w:r w:rsidRPr="00FF7B63">
              <w:rPr>
                <w:rFonts w:cs="Arial"/>
                <w:b/>
                <w:bCs/>
                <w:color w:val="000000"/>
                <w:sz w:val="20"/>
                <w:szCs w:val="20"/>
                <w:lang w:eastAsia="sk-SK"/>
              </w:rPr>
              <w:t>23 810 769,76</w:t>
            </w:r>
          </w:p>
        </w:tc>
        <w:tc>
          <w:tcPr>
            <w:tcW w:w="589" w:type="pct"/>
            <w:tcBorders>
              <w:top w:val="nil"/>
              <w:left w:val="nil"/>
              <w:bottom w:val="single" w:sz="12" w:space="0" w:color="FFFFFF"/>
              <w:right w:val="single" w:sz="12" w:space="0" w:color="FFFFFF"/>
            </w:tcBorders>
            <w:shd w:val="clear" w:color="000000" w:fill="8DB3E2"/>
            <w:noWrap/>
            <w:vAlign w:val="center"/>
            <w:hideMark/>
          </w:tcPr>
          <w:p w14:paraId="6F370124" w14:textId="77777777" w:rsidR="00FF7B63" w:rsidRPr="00FF7B63" w:rsidRDefault="00FF7B63" w:rsidP="00FF7B63">
            <w:pPr>
              <w:spacing w:after="0" w:line="240" w:lineRule="auto"/>
              <w:jc w:val="right"/>
              <w:rPr>
                <w:rFonts w:cs="Calibri"/>
                <w:b/>
                <w:bCs/>
                <w:color w:val="000000"/>
                <w:sz w:val="20"/>
                <w:szCs w:val="20"/>
                <w:lang w:eastAsia="sk-SK"/>
              </w:rPr>
            </w:pPr>
            <w:r w:rsidRPr="00FF7B63">
              <w:rPr>
                <w:rFonts w:cs="Arial"/>
                <w:b/>
                <w:bCs/>
                <w:color w:val="000000"/>
                <w:sz w:val="20"/>
                <w:szCs w:val="20"/>
                <w:lang w:eastAsia="sk-SK"/>
              </w:rPr>
              <w:t>35 710 134,42</w:t>
            </w:r>
          </w:p>
        </w:tc>
        <w:tc>
          <w:tcPr>
            <w:tcW w:w="589" w:type="pct"/>
            <w:tcBorders>
              <w:top w:val="nil"/>
              <w:left w:val="nil"/>
              <w:bottom w:val="single" w:sz="12" w:space="0" w:color="FFFFFF"/>
              <w:right w:val="single" w:sz="12" w:space="0" w:color="FFFFFF"/>
            </w:tcBorders>
            <w:shd w:val="clear" w:color="000000" w:fill="8DB3E2"/>
            <w:noWrap/>
            <w:vAlign w:val="center"/>
            <w:hideMark/>
          </w:tcPr>
          <w:p w14:paraId="2C33A270" w14:textId="77777777" w:rsidR="00FF7B63" w:rsidRPr="00FF7B63" w:rsidRDefault="00FF7B63" w:rsidP="00FF7B63">
            <w:pPr>
              <w:spacing w:after="0" w:line="240" w:lineRule="auto"/>
              <w:jc w:val="right"/>
              <w:rPr>
                <w:rFonts w:cs="Calibri"/>
                <w:b/>
                <w:bCs/>
                <w:color w:val="000000"/>
                <w:sz w:val="20"/>
                <w:szCs w:val="20"/>
                <w:lang w:eastAsia="sk-SK"/>
              </w:rPr>
            </w:pPr>
            <w:r w:rsidRPr="00FF7B63">
              <w:rPr>
                <w:rFonts w:cs="Arial"/>
                <w:b/>
                <w:bCs/>
                <w:color w:val="000000"/>
                <w:sz w:val="20"/>
                <w:szCs w:val="20"/>
                <w:lang w:eastAsia="sk-SK"/>
              </w:rPr>
              <w:t>31 995 824,08</w:t>
            </w:r>
          </w:p>
        </w:tc>
        <w:tc>
          <w:tcPr>
            <w:tcW w:w="589" w:type="pct"/>
            <w:tcBorders>
              <w:top w:val="nil"/>
              <w:left w:val="nil"/>
              <w:bottom w:val="single" w:sz="12" w:space="0" w:color="FFFFFF"/>
              <w:right w:val="single" w:sz="12" w:space="0" w:color="FFFFFF"/>
            </w:tcBorders>
            <w:shd w:val="clear" w:color="000000" w:fill="8DB3E2"/>
            <w:noWrap/>
            <w:vAlign w:val="center"/>
            <w:hideMark/>
          </w:tcPr>
          <w:p w14:paraId="53EB6CF1" w14:textId="77777777" w:rsidR="00FF7B63" w:rsidRPr="00FF7B63" w:rsidRDefault="00FF7B63" w:rsidP="00FF7B63">
            <w:pPr>
              <w:spacing w:after="0" w:line="240" w:lineRule="auto"/>
              <w:jc w:val="right"/>
              <w:rPr>
                <w:rFonts w:cs="Calibri"/>
                <w:b/>
                <w:bCs/>
                <w:color w:val="000000"/>
                <w:sz w:val="20"/>
                <w:szCs w:val="20"/>
                <w:lang w:eastAsia="sk-SK"/>
              </w:rPr>
            </w:pPr>
            <w:r w:rsidRPr="00FF7B63">
              <w:rPr>
                <w:rFonts w:cs="Arial"/>
                <w:b/>
                <w:bCs/>
                <w:color w:val="000000"/>
                <w:sz w:val="20"/>
                <w:szCs w:val="20"/>
                <w:lang w:eastAsia="sk-SK"/>
              </w:rPr>
              <w:t>10 064 814,06</w:t>
            </w:r>
          </w:p>
        </w:tc>
        <w:tc>
          <w:tcPr>
            <w:tcW w:w="543" w:type="pct"/>
            <w:tcBorders>
              <w:top w:val="nil"/>
              <w:left w:val="nil"/>
              <w:bottom w:val="single" w:sz="12" w:space="0" w:color="FFFFFF"/>
              <w:right w:val="single" w:sz="12" w:space="0" w:color="FFFFFF"/>
            </w:tcBorders>
            <w:shd w:val="clear" w:color="000000" w:fill="95B3D7"/>
            <w:vAlign w:val="center"/>
            <w:hideMark/>
          </w:tcPr>
          <w:p w14:paraId="09BF339E" w14:textId="77777777" w:rsidR="00FF7B63" w:rsidRPr="00FF7B63" w:rsidRDefault="00FF7B63" w:rsidP="00FF7B63">
            <w:pPr>
              <w:spacing w:after="0" w:line="240" w:lineRule="auto"/>
              <w:jc w:val="right"/>
              <w:rPr>
                <w:rFonts w:cs="Calibri"/>
                <w:b/>
                <w:bCs/>
                <w:color w:val="000000"/>
                <w:sz w:val="20"/>
                <w:szCs w:val="20"/>
                <w:lang w:eastAsia="sk-SK"/>
              </w:rPr>
            </w:pPr>
            <w:r w:rsidRPr="00FF7B63">
              <w:rPr>
                <w:rFonts w:cs="Arial"/>
                <w:b/>
                <w:bCs/>
                <w:color w:val="000000"/>
                <w:sz w:val="20"/>
                <w:szCs w:val="20"/>
                <w:lang w:eastAsia="sk-SK"/>
              </w:rPr>
              <w:t>31,46%</w:t>
            </w:r>
          </w:p>
        </w:tc>
        <w:tc>
          <w:tcPr>
            <w:tcW w:w="571" w:type="pct"/>
            <w:tcBorders>
              <w:top w:val="nil"/>
              <w:left w:val="nil"/>
              <w:bottom w:val="single" w:sz="12" w:space="0" w:color="FFFFFF"/>
              <w:right w:val="single" w:sz="12" w:space="0" w:color="FFFFFF"/>
            </w:tcBorders>
            <w:shd w:val="clear" w:color="000000" w:fill="8DB3E2"/>
            <w:noWrap/>
            <w:vAlign w:val="center"/>
            <w:hideMark/>
          </w:tcPr>
          <w:p w14:paraId="072BF49E" w14:textId="77777777" w:rsidR="00FF7B63" w:rsidRPr="00FF7B63" w:rsidRDefault="00FF7B63" w:rsidP="00FF7B63">
            <w:pPr>
              <w:spacing w:after="0" w:line="240" w:lineRule="auto"/>
              <w:jc w:val="right"/>
              <w:rPr>
                <w:rFonts w:cs="Calibri"/>
                <w:b/>
                <w:bCs/>
                <w:color w:val="000000"/>
                <w:sz w:val="20"/>
                <w:szCs w:val="20"/>
                <w:lang w:eastAsia="sk-SK"/>
              </w:rPr>
            </w:pPr>
            <w:r w:rsidRPr="00FF7B63">
              <w:rPr>
                <w:rFonts w:cs="Arial"/>
                <w:b/>
                <w:bCs/>
                <w:color w:val="000000"/>
                <w:sz w:val="20"/>
                <w:szCs w:val="20"/>
                <w:lang w:eastAsia="sk-SK"/>
              </w:rPr>
              <w:t>-3 714 310,34</w:t>
            </w:r>
          </w:p>
        </w:tc>
        <w:tc>
          <w:tcPr>
            <w:tcW w:w="70" w:type="pct"/>
            <w:vAlign w:val="center"/>
            <w:hideMark/>
          </w:tcPr>
          <w:p w14:paraId="3C53F810" w14:textId="77777777" w:rsidR="00FF7B63" w:rsidRPr="00FF7B63" w:rsidRDefault="00FF7B63" w:rsidP="00FF7B63">
            <w:pPr>
              <w:spacing w:after="0" w:line="240" w:lineRule="auto"/>
              <w:rPr>
                <w:rFonts w:ascii="Times New Roman" w:hAnsi="Times New Roman"/>
                <w:sz w:val="20"/>
                <w:szCs w:val="20"/>
                <w:lang w:eastAsia="sk-SK"/>
              </w:rPr>
            </w:pPr>
          </w:p>
        </w:tc>
      </w:tr>
    </w:tbl>
    <w:p w14:paraId="1E58741E" w14:textId="77777777" w:rsidR="001E0060" w:rsidRDefault="001E0060" w:rsidP="00BE704E">
      <w:pPr>
        <w:spacing w:after="0" w:line="240" w:lineRule="auto"/>
        <w:jc w:val="both"/>
        <w:rPr>
          <w:rFonts w:cs="Calibri"/>
          <w:sz w:val="24"/>
          <w:szCs w:val="24"/>
          <w:lang w:eastAsia="sk-SK"/>
        </w:rPr>
      </w:pPr>
    </w:p>
    <w:p w14:paraId="12113807" w14:textId="44C98A1D" w:rsidR="00DD214E" w:rsidRPr="00DD214E" w:rsidRDefault="00DD214E" w:rsidP="00DD214E">
      <w:pPr>
        <w:jc w:val="both"/>
        <w:rPr>
          <w:rFonts w:cs="Calibri"/>
          <w:sz w:val="24"/>
          <w:szCs w:val="24"/>
          <w:u w:val="single"/>
        </w:rPr>
      </w:pPr>
      <w:r w:rsidRPr="00B55E20">
        <w:rPr>
          <w:rFonts w:cs="Calibri"/>
          <w:sz w:val="24"/>
          <w:szCs w:val="24"/>
          <w:u w:val="single"/>
        </w:rPr>
        <w:t>Graf 1</w:t>
      </w:r>
      <w:r>
        <w:rPr>
          <w:rFonts w:cs="Calibri"/>
          <w:sz w:val="24"/>
          <w:szCs w:val="24"/>
          <w:u w:val="single"/>
        </w:rPr>
        <w:t>4</w:t>
      </w:r>
      <w:r w:rsidRPr="00B55E20">
        <w:rPr>
          <w:rFonts w:cs="Calibri"/>
          <w:sz w:val="24"/>
          <w:szCs w:val="24"/>
          <w:u w:val="single"/>
        </w:rPr>
        <w:t xml:space="preserve">: Podiel čerpania </w:t>
      </w:r>
      <w:r>
        <w:rPr>
          <w:rFonts w:cs="Calibri"/>
          <w:sz w:val="24"/>
          <w:szCs w:val="24"/>
          <w:u w:val="single"/>
        </w:rPr>
        <w:t>kapitálových</w:t>
      </w:r>
      <w:r w:rsidRPr="00B55E20">
        <w:rPr>
          <w:rFonts w:cs="Calibri"/>
          <w:sz w:val="24"/>
          <w:szCs w:val="24"/>
          <w:u w:val="single"/>
        </w:rPr>
        <w:t xml:space="preserve"> výdavkov na čerpaní celkových </w:t>
      </w:r>
      <w:proofErr w:type="spellStart"/>
      <w:r>
        <w:rPr>
          <w:rFonts w:cs="Calibri"/>
          <w:sz w:val="24"/>
          <w:szCs w:val="24"/>
          <w:u w:val="single"/>
        </w:rPr>
        <w:t>kpitálových</w:t>
      </w:r>
      <w:proofErr w:type="spellEnd"/>
      <w:r w:rsidRPr="00B55E20">
        <w:rPr>
          <w:rFonts w:cs="Calibri"/>
          <w:sz w:val="24"/>
          <w:szCs w:val="24"/>
          <w:u w:val="single"/>
        </w:rPr>
        <w:t xml:space="preserve"> výdavkov podľa funkcie</w:t>
      </w:r>
    </w:p>
    <w:p w14:paraId="29CAAE13" w14:textId="78934023" w:rsidR="00DD214E" w:rsidRDefault="00DD214E" w:rsidP="00BE704E">
      <w:pPr>
        <w:spacing w:after="0" w:line="240" w:lineRule="auto"/>
        <w:jc w:val="both"/>
        <w:rPr>
          <w:rFonts w:cs="Calibri"/>
          <w:sz w:val="24"/>
          <w:szCs w:val="24"/>
          <w:lang w:eastAsia="sk-SK"/>
        </w:rPr>
      </w:pPr>
      <w:r>
        <w:rPr>
          <w:noProof/>
        </w:rPr>
        <w:drawing>
          <wp:inline distT="0" distB="0" distL="0" distR="0" wp14:anchorId="441088E2" wp14:editId="2D404B9F">
            <wp:extent cx="6788426" cy="2454910"/>
            <wp:effectExtent l="0" t="0" r="0" b="2540"/>
            <wp:docPr id="31" name="Graf 31">
              <a:extLst xmlns:a="http://schemas.openxmlformats.org/drawingml/2006/main">
                <a:ext uri="{FF2B5EF4-FFF2-40B4-BE49-F238E27FC236}">
                  <a16:creationId xmlns:a16="http://schemas.microsoft.com/office/drawing/2014/main" id="{4499B378-C864-496D-8E56-3E2C51A63E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C91F348" w14:textId="13DBCF37" w:rsidR="0011070C" w:rsidRPr="0011070C" w:rsidRDefault="0011070C" w:rsidP="0011070C">
      <w:pPr>
        <w:spacing w:after="0" w:line="240" w:lineRule="auto"/>
        <w:jc w:val="both"/>
        <w:rPr>
          <w:rFonts w:cs="Calibri"/>
          <w:color w:val="000000"/>
          <w:lang w:eastAsia="sk-SK"/>
        </w:rPr>
      </w:pPr>
      <w:r>
        <w:rPr>
          <w:rFonts w:cs="Calibri"/>
          <w:sz w:val="24"/>
          <w:szCs w:val="24"/>
          <w:lang w:eastAsia="sk-SK"/>
        </w:rPr>
        <w:t>Z grafu vyplýva, že najvyšší 57,33%-</w:t>
      </w:r>
      <w:proofErr w:type="spellStart"/>
      <w:r>
        <w:rPr>
          <w:rFonts w:cs="Calibri"/>
          <w:sz w:val="24"/>
          <w:szCs w:val="24"/>
          <w:lang w:eastAsia="sk-SK"/>
        </w:rPr>
        <w:t>ný</w:t>
      </w:r>
      <w:proofErr w:type="spellEnd"/>
      <w:r>
        <w:rPr>
          <w:rFonts w:cs="Calibri"/>
          <w:sz w:val="24"/>
          <w:szCs w:val="24"/>
          <w:lang w:eastAsia="sk-SK"/>
        </w:rPr>
        <w:t xml:space="preserve"> podiel na čerpaní celkových kapitálových výdavkov podľa funkcie bolo v oblasti dopravy</w:t>
      </w:r>
      <w:r w:rsidR="00DD5D22">
        <w:rPr>
          <w:rFonts w:cs="Calibri"/>
          <w:sz w:val="24"/>
          <w:szCs w:val="24"/>
          <w:lang w:eastAsia="sk-SK"/>
        </w:rPr>
        <w:t>, výstavby a viacúčelových projektoch.</w:t>
      </w:r>
    </w:p>
    <w:p w14:paraId="045E06B0" w14:textId="77777777" w:rsidR="00DD214E" w:rsidRDefault="00DD214E" w:rsidP="00BE704E">
      <w:pPr>
        <w:spacing w:after="0" w:line="240" w:lineRule="auto"/>
        <w:jc w:val="both"/>
        <w:rPr>
          <w:rFonts w:cs="Calibri"/>
          <w:sz w:val="24"/>
          <w:szCs w:val="24"/>
          <w:lang w:eastAsia="sk-SK"/>
        </w:rPr>
      </w:pPr>
    </w:p>
    <w:p w14:paraId="185E45CD" w14:textId="77777777" w:rsidR="00DD214E" w:rsidRDefault="00DD214E" w:rsidP="00BE704E">
      <w:pPr>
        <w:spacing w:after="0" w:line="240" w:lineRule="auto"/>
        <w:jc w:val="both"/>
        <w:rPr>
          <w:rFonts w:cs="Calibri"/>
          <w:sz w:val="24"/>
          <w:szCs w:val="24"/>
          <w:lang w:eastAsia="sk-SK"/>
        </w:rPr>
      </w:pPr>
    </w:p>
    <w:p w14:paraId="49A308D7" w14:textId="661C6FDC" w:rsidR="00BE704E" w:rsidRDefault="00BE704E" w:rsidP="00BE704E">
      <w:pPr>
        <w:spacing w:after="0" w:line="240" w:lineRule="auto"/>
        <w:jc w:val="both"/>
        <w:rPr>
          <w:rFonts w:cs="Calibri"/>
          <w:sz w:val="24"/>
          <w:szCs w:val="24"/>
          <w:lang w:eastAsia="sk-SK"/>
        </w:rPr>
      </w:pPr>
      <w:r>
        <w:rPr>
          <w:rFonts w:cs="Calibri"/>
          <w:sz w:val="24"/>
          <w:szCs w:val="24"/>
          <w:lang w:eastAsia="sk-SK"/>
        </w:rPr>
        <w:lastRenderedPageBreak/>
        <w:t xml:space="preserve">Prehľad čerpania kapitálových výdavkov </w:t>
      </w:r>
      <w:r w:rsidRPr="00F865DA">
        <w:rPr>
          <w:rFonts w:cs="Calibri"/>
          <w:sz w:val="24"/>
          <w:szCs w:val="24"/>
          <w:lang w:eastAsia="sk-SK"/>
        </w:rPr>
        <w:t xml:space="preserve">v roku </w:t>
      </w:r>
      <w:r>
        <w:rPr>
          <w:rFonts w:cs="Calibri"/>
          <w:sz w:val="24"/>
          <w:szCs w:val="24"/>
          <w:lang w:eastAsia="sk-SK"/>
        </w:rPr>
        <w:t>20</w:t>
      </w:r>
      <w:r w:rsidR="00FF7B63">
        <w:rPr>
          <w:rFonts w:cs="Calibri"/>
          <w:sz w:val="24"/>
          <w:szCs w:val="24"/>
          <w:lang w:eastAsia="sk-SK"/>
        </w:rPr>
        <w:t>20</w:t>
      </w:r>
      <w:r w:rsidRPr="00F865DA">
        <w:rPr>
          <w:rFonts w:cs="Calibri"/>
          <w:sz w:val="24"/>
          <w:szCs w:val="24"/>
          <w:lang w:eastAsia="sk-SK"/>
        </w:rPr>
        <w:t xml:space="preserve"> podľa programovej klasifikácie </w:t>
      </w:r>
      <w:r>
        <w:rPr>
          <w:rFonts w:cs="Calibri"/>
          <w:sz w:val="24"/>
          <w:szCs w:val="24"/>
          <w:lang w:eastAsia="sk-SK"/>
        </w:rPr>
        <w:t xml:space="preserve">v porovnaní </w:t>
      </w:r>
      <w:r>
        <w:rPr>
          <w:rFonts w:cs="Calibri"/>
          <w:sz w:val="24"/>
          <w:szCs w:val="24"/>
          <w:lang w:eastAsia="sk-SK"/>
        </w:rPr>
        <w:br/>
        <w:t>so skutočnosťou v roku 201</w:t>
      </w:r>
      <w:r w:rsidR="0078758B">
        <w:rPr>
          <w:rFonts w:cs="Calibri"/>
          <w:sz w:val="24"/>
          <w:szCs w:val="24"/>
          <w:lang w:eastAsia="sk-SK"/>
        </w:rPr>
        <w:t>7</w:t>
      </w:r>
      <w:r w:rsidR="003A67A9">
        <w:rPr>
          <w:rFonts w:cs="Calibri"/>
          <w:sz w:val="24"/>
          <w:szCs w:val="24"/>
          <w:lang w:eastAsia="sk-SK"/>
        </w:rPr>
        <w:t xml:space="preserve">, </w:t>
      </w:r>
      <w:r>
        <w:rPr>
          <w:rFonts w:cs="Calibri"/>
          <w:sz w:val="24"/>
          <w:szCs w:val="24"/>
          <w:lang w:eastAsia="sk-SK"/>
        </w:rPr>
        <w:t>201</w:t>
      </w:r>
      <w:r w:rsidR="0078758B">
        <w:rPr>
          <w:rFonts w:cs="Calibri"/>
          <w:sz w:val="24"/>
          <w:szCs w:val="24"/>
          <w:lang w:eastAsia="sk-SK"/>
        </w:rPr>
        <w:t>8</w:t>
      </w:r>
      <w:r>
        <w:rPr>
          <w:rFonts w:cs="Calibri"/>
          <w:sz w:val="24"/>
          <w:szCs w:val="24"/>
          <w:lang w:eastAsia="sk-SK"/>
        </w:rPr>
        <w:t xml:space="preserve"> </w:t>
      </w:r>
      <w:r w:rsidR="003A67A9">
        <w:rPr>
          <w:rFonts w:cs="Calibri"/>
          <w:sz w:val="24"/>
          <w:szCs w:val="24"/>
          <w:lang w:eastAsia="sk-SK"/>
        </w:rPr>
        <w:t xml:space="preserve"> a 2019 </w:t>
      </w:r>
      <w:r>
        <w:rPr>
          <w:rFonts w:cs="Calibri"/>
          <w:sz w:val="24"/>
          <w:szCs w:val="24"/>
          <w:lang w:eastAsia="sk-SK"/>
        </w:rPr>
        <w:t>prezentuje uvedená tabuľka</w:t>
      </w:r>
      <w:r w:rsidRPr="00F865DA">
        <w:rPr>
          <w:rFonts w:cs="Calibri"/>
          <w:sz w:val="24"/>
          <w:szCs w:val="24"/>
          <w:lang w:eastAsia="sk-SK"/>
        </w:rPr>
        <w:t>:</w:t>
      </w:r>
    </w:p>
    <w:p w14:paraId="2B8BDC6A" w14:textId="2F938941" w:rsidR="005E44AE" w:rsidRDefault="005E44AE" w:rsidP="00BE704E">
      <w:pPr>
        <w:spacing w:after="0" w:line="240" w:lineRule="auto"/>
        <w:jc w:val="both"/>
        <w:rPr>
          <w:rFonts w:cs="Calibri"/>
          <w:sz w:val="24"/>
          <w:szCs w:val="24"/>
          <w:lang w:eastAsia="sk-SK"/>
        </w:rPr>
      </w:pPr>
    </w:p>
    <w:tbl>
      <w:tblPr>
        <w:tblW w:w="0" w:type="auto"/>
        <w:tblCellMar>
          <w:left w:w="70" w:type="dxa"/>
          <w:right w:w="70" w:type="dxa"/>
        </w:tblCellMar>
        <w:tblLook w:val="04A0" w:firstRow="1" w:lastRow="0" w:firstColumn="1" w:lastColumn="0" w:noHBand="0" w:noVBand="1"/>
      </w:tblPr>
      <w:tblGrid>
        <w:gridCol w:w="4347"/>
        <w:gridCol w:w="1140"/>
        <w:gridCol w:w="1444"/>
        <w:gridCol w:w="1134"/>
        <w:gridCol w:w="1209"/>
        <w:gridCol w:w="1177"/>
      </w:tblGrid>
      <w:tr w:rsidR="005E44AE" w:rsidRPr="005E44AE" w14:paraId="3A7441B4" w14:textId="77777777" w:rsidTr="005E44AE">
        <w:trPr>
          <w:trHeight w:val="405"/>
        </w:trPr>
        <w:tc>
          <w:tcPr>
            <w:tcW w:w="0" w:type="auto"/>
            <w:tcBorders>
              <w:top w:val="single" w:sz="12" w:space="0" w:color="FFFFFF"/>
              <w:left w:val="single" w:sz="12" w:space="0" w:color="FFFFFF"/>
              <w:bottom w:val="nil"/>
              <w:right w:val="single" w:sz="12" w:space="0" w:color="FFFFFF"/>
            </w:tcBorders>
            <w:shd w:val="clear" w:color="auto" w:fill="auto"/>
            <w:noWrap/>
            <w:vAlign w:val="center"/>
            <w:hideMark/>
          </w:tcPr>
          <w:p w14:paraId="744AAC5F" w14:textId="77777777" w:rsidR="005E44AE" w:rsidRPr="005E44AE" w:rsidRDefault="005E44AE" w:rsidP="005E44AE">
            <w:pPr>
              <w:spacing w:after="0" w:line="240" w:lineRule="auto"/>
              <w:rPr>
                <w:rFonts w:cs="Calibri"/>
                <w:color w:val="000000"/>
                <w:sz w:val="20"/>
                <w:szCs w:val="20"/>
                <w:lang w:eastAsia="sk-SK"/>
              </w:rPr>
            </w:pPr>
            <w:r w:rsidRPr="005E44AE">
              <w:rPr>
                <w:rFonts w:cs="Calibri"/>
                <w:color w:val="000000"/>
                <w:sz w:val="20"/>
                <w:szCs w:val="20"/>
                <w:lang w:eastAsia="sk-SK"/>
              </w:rPr>
              <w:t> </w:t>
            </w:r>
          </w:p>
        </w:tc>
        <w:tc>
          <w:tcPr>
            <w:tcW w:w="0" w:type="auto"/>
            <w:tcBorders>
              <w:top w:val="single" w:sz="12" w:space="0" w:color="FFFFFF"/>
              <w:left w:val="nil"/>
              <w:bottom w:val="single" w:sz="12" w:space="0" w:color="FFFFFF"/>
              <w:right w:val="single" w:sz="12" w:space="0" w:color="FFFFFF"/>
            </w:tcBorders>
            <w:shd w:val="clear" w:color="000000" w:fill="8DB3E2"/>
            <w:noWrap/>
            <w:vAlign w:val="center"/>
            <w:hideMark/>
          </w:tcPr>
          <w:p w14:paraId="6FC3C0F4"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ROK 2017</w:t>
            </w:r>
          </w:p>
        </w:tc>
        <w:tc>
          <w:tcPr>
            <w:tcW w:w="1444" w:type="dxa"/>
            <w:tcBorders>
              <w:top w:val="single" w:sz="12" w:space="0" w:color="FFFFFF"/>
              <w:left w:val="nil"/>
              <w:bottom w:val="single" w:sz="12" w:space="0" w:color="FFFFFF"/>
              <w:right w:val="single" w:sz="12" w:space="0" w:color="FFFFFF"/>
            </w:tcBorders>
            <w:shd w:val="clear" w:color="000000" w:fill="8DB3E2"/>
            <w:noWrap/>
            <w:vAlign w:val="center"/>
            <w:hideMark/>
          </w:tcPr>
          <w:p w14:paraId="43CE4800"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 xml:space="preserve">ROK 2018 </w:t>
            </w:r>
          </w:p>
        </w:tc>
        <w:tc>
          <w:tcPr>
            <w:tcW w:w="1134" w:type="dxa"/>
            <w:tcBorders>
              <w:top w:val="single" w:sz="12" w:space="0" w:color="FFFFFF"/>
              <w:left w:val="nil"/>
              <w:bottom w:val="single" w:sz="12" w:space="0" w:color="FFFFFF"/>
              <w:right w:val="single" w:sz="12" w:space="0" w:color="FFFFFF"/>
            </w:tcBorders>
            <w:shd w:val="clear" w:color="000000" w:fill="8DB3E2"/>
            <w:noWrap/>
            <w:vAlign w:val="center"/>
            <w:hideMark/>
          </w:tcPr>
          <w:p w14:paraId="5BAD0F79"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 xml:space="preserve">ROK 2019 </w:t>
            </w:r>
          </w:p>
        </w:tc>
        <w:tc>
          <w:tcPr>
            <w:tcW w:w="1209" w:type="dxa"/>
            <w:tcBorders>
              <w:top w:val="single" w:sz="12" w:space="0" w:color="FFFFFF"/>
              <w:left w:val="nil"/>
              <w:bottom w:val="single" w:sz="12" w:space="0" w:color="FFFFFF"/>
              <w:right w:val="single" w:sz="12" w:space="0" w:color="FFFFFF"/>
            </w:tcBorders>
            <w:shd w:val="clear" w:color="000000" w:fill="8DB3E2"/>
            <w:noWrap/>
            <w:vAlign w:val="center"/>
            <w:hideMark/>
          </w:tcPr>
          <w:p w14:paraId="19378F3E"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ROK 2020</w:t>
            </w:r>
          </w:p>
        </w:tc>
        <w:tc>
          <w:tcPr>
            <w:tcW w:w="1177" w:type="dxa"/>
            <w:vMerge w:val="restart"/>
            <w:tcBorders>
              <w:top w:val="nil"/>
              <w:left w:val="nil"/>
              <w:bottom w:val="nil"/>
              <w:right w:val="nil"/>
            </w:tcBorders>
            <w:shd w:val="clear" w:color="000000" w:fill="8DB3E2"/>
            <w:vAlign w:val="center"/>
            <w:hideMark/>
          </w:tcPr>
          <w:p w14:paraId="037F01CA"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nárast/pokles oproti 2019</w:t>
            </w:r>
          </w:p>
        </w:tc>
      </w:tr>
      <w:tr w:rsidR="005E44AE" w:rsidRPr="005E44AE" w14:paraId="33111BCB" w14:textId="77777777" w:rsidTr="005E44AE">
        <w:trPr>
          <w:trHeight w:val="510"/>
        </w:trPr>
        <w:tc>
          <w:tcPr>
            <w:tcW w:w="0" w:type="auto"/>
            <w:tcBorders>
              <w:top w:val="nil"/>
              <w:left w:val="single" w:sz="12" w:space="0" w:color="FFFFFF"/>
              <w:bottom w:val="single" w:sz="12" w:space="0" w:color="FFFFFF"/>
              <w:right w:val="single" w:sz="12" w:space="0" w:color="FFFFFF"/>
            </w:tcBorders>
            <w:shd w:val="clear" w:color="000000" w:fill="8DB3E2"/>
            <w:noWrap/>
            <w:vAlign w:val="center"/>
            <w:hideMark/>
          </w:tcPr>
          <w:p w14:paraId="19096D63"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Program</w:t>
            </w:r>
          </w:p>
        </w:tc>
        <w:tc>
          <w:tcPr>
            <w:tcW w:w="0" w:type="auto"/>
            <w:tcBorders>
              <w:top w:val="nil"/>
              <w:left w:val="nil"/>
              <w:bottom w:val="single" w:sz="12" w:space="0" w:color="FFFFFF"/>
              <w:right w:val="single" w:sz="12" w:space="0" w:color="FFFFFF"/>
            </w:tcBorders>
            <w:shd w:val="clear" w:color="000000" w:fill="8DB3E2"/>
            <w:vAlign w:val="center"/>
            <w:hideMark/>
          </w:tcPr>
          <w:p w14:paraId="19B61E06"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Kapitálové výdavky</w:t>
            </w:r>
          </w:p>
        </w:tc>
        <w:tc>
          <w:tcPr>
            <w:tcW w:w="1444" w:type="dxa"/>
            <w:tcBorders>
              <w:top w:val="nil"/>
              <w:left w:val="nil"/>
              <w:bottom w:val="single" w:sz="12" w:space="0" w:color="FFFFFF"/>
              <w:right w:val="single" w:sz="12" w:space="0" w:color="FFFFFF"/>
            </w:tcBorders>
            <w:shd w:val="clear" w:color="000000" w:fill="8DB3E2"/>
            <w:vAlign w:val="center"/>
            <w:hideMark/>
          </w:tcPr>
          <w:p w14:paraId="7AAA8259"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Kapitálové výdavky</w:t>
            </w:r>
          </w:p>
        </w:tc>
        <w:tc>
          <w:tcPr>
            <w:tcW w:w="1134" w:type="dxa"/>
            <w:tcBorders>
              <w:top w:val="nil"/>
              <w:left w:val="nil"/>
              <w:bottom w:val="single" w:sz="12" w:space="0" w:color="FFFFFF"/>
              <w:right w:val="nil"/>
            </w:tcBorders>
            <w:shd w:val="clear" w:color="000000" w:fill="8DB3E2"/>
            <w:vAlign w:val="center"/>
            <w:hideMark/>
          </w:tcPr>
          <w:p w14:paraId="7A579D0B"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Kapitálové výdavky</w:t>
            </w:r>
          </w:p>
        </w:tc>
        <w:tc>
          <w:tcPr>
            <w:tcW w:w="1209" w:type="dxa"/>
            <w:tcBorders>
              <w:top w:val="nil"/>
              <w:left w:val="nil"/>
              <w:bottom w:val="single" w:sz="12" w:space="0" w:color="FFFFFF"/>
              <w:right w:val="nil"/>
            </w:tcBorders>
            <w:shd w:val="clear" w:color="000000" w:fill="8DB3E2"/>
            <w:vAlign w:val="center"/>
            <w:hideMark/>
          </w:tcPr>
          <w:p w14:paraId="0E30B3FF" w14:textId="77777777" w:rsidR="005E44AE" w:rsidRPr="005E44AE" w:rsidRDefault="005E44AE" w:rsidP="005E44AE">
            <w:pPr>
              <w:spacing w:after="0" w:line="240" w:lineRule="auto"/>
              <w:jc w:val="center"/>
              <w:rPr>
                <w:rFonts w:cs="Calibri"/>
                <w:b/>
                <w:bCs/>
                <w:color w:val="000000"/>
                <w:sz w:val="18"/>
                <w:szCs w:val="18"/>
                <w:lang w:eastAsia="sk-SK"/>
              </w:rPr>
            </w:pPr>
            <w:r w:rsidRPr="005E44AE">
              <w:rPr>
                <w:rFonts w:cs="Calibri"/>
                <w:b/>
                <w:bCs/>
                <w:color w:val="000000"/>
                <w:sz w:val="18"/>
                <w:szCs w:val="18"/>
                <w:lang w:eastAsia="sk-SK"/>
              </w:rPr>
              <w:t>Kapitálové výdavky</w:t>
            </w:r>
          </w:p>
        </w:tc>
        <w:tc>
          <w:tcPr>
            <w:tcW w:w="1177" w:type="dxa"/>
            <w:vMerge/>
            <w:tcBorders>
              <w:top w:val="nil"/>
              <w:left w:val="nil"/>
              <w:bottom w:val="nil"/>
              <w:right w:val="nil"/>
            </w:tcBorders>
            <w:vAlign w:val="center"/>
            <w:hideMark/>
          </w:tcPr>
          <w:p w14:paraId="7D7600FE" w14:textId="77777777" w:rsidR="005E44AE" w:rsidRPr="005E44AE" w:rsidRDefault="005E44AE" w:rsidP="005E44AE">
            <w:pPr>
              <w:spacing w:after="0" w:line="240" w:lineRule="auto"/>
              <w:rPr>
                <w:rFonts w:cs="Calibri"/>
                <w:b/>
                <w:bCs/>
                <w:color w:val="000000"/>
                <w:sz w:val="18"/>
                <w:szCs w:val="18"/>
                <w:lang w:eastAsia="sk-SK"/>
              </w:rPr>
            </w:pPr>
          </w:p>
        </w:tc>
      </w:tr>
      <w:tr w:rsidR="005E44AE" w:rsidRPr="005E44AE" w14:paraId="51D4AD1C"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3263F69D"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1: Plánovanie, manažment  a kontrola</w:t>
            </w:r>
          </w:p>
        </w:tc>
        <w:tc>
          <w:tcPr>
            <w:tcW w:w="0" w:type="auto"/>
            <w:tcBorders>
              <w:top w:val="nil"/>
              <w:left w:val="nil"/>
              <w:bottom w:val="single" w:sz="12" w:space="0" w:color="FFFFFF"/>
              <w:right w:val="single" w:sz="12" w:space="0" w:color="FFFFFF"/>
            </w:tcBorders>
            <w:shd w:val="clear" w:color="000000" w:fill="F2F2F2"/>
            <w:noWrap/>
            <w:vAlign w:val="center"/>
            <w:hideMark/>
          </w:tcPr>
          <w:p w14:paraId="3FF8C3E5"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586 646</w:t>
            </w:r>
          </w:p>
        </w:tc>
        <w:tc>
          <w:tcPr>
            <w:tcW w:w="1444" w:type="dxa"/>
            <w:tcBorders>
              <w:top w:val="nil"/>
              <w:left w:val="nil"/>
              <w:bottom w:val="single" w:sz="12" w:space="0" w:color="FFFFFF"/>
              <w:right w:val="nil"/>
            </w:tcBorders>
            <w:shd w:val="clear" w:color="000000" w:fill="F2F2F2"/>
            <w:noWrap/>
            <w:vAlign w:val="center"/>
            <w:hideMark/>
          </w:tcPr>
          <w:p w14:paraId="45800062"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1 829 209</w:t>
            </w:r>
          </w:p>
        </w:tc>
        <w:tc>
          <w:tcPr>
            <w:tcW w:w="1134" w:type="dxa"/>
            <w:tcBorders>
              <w:top w:val="nil"/>
              <w:left w:val="nil"/>
              <w:bottom w:val="single" w:sz="12" w:space="0" w:color="FFFFFF"/>
              <w:right w:val="nil"/>
            </w:tcBorders>
            <w:shd w:val="clear" w:color="000000" w:fill="F2F2F2"/>
            <w:noWrap/>
            <w:vAlign w:val="center"/>
            <w:hideMark/>
          </w:tcPr>
          <w:p w14:paraId="5A9B816C"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11 204 571</w:t>
            </w:r>
          </w:p>
        </w:tc>
        <w:tc>
          <w:tcPr>
            <w:tcW w:w="1209" w:type="dxa"/>
            <w:tcBorders>
              <w:top w:val="nil"/>
              <w:left w:val="nil"/>
              <w:bottom w:val="single" w:sz="12" w:space="0" w:color="FFFFFF"/>
              <w:right w:val="nil"/>
            </w:tcBorders>
            <w:shd w:val="clear" w:color="000000" w:fill="F2F2F2"/>
            <w:noWrap/>
            <w:vAlign w:val="center"/>
            <w:hideMark/>
          </w:tcPr>
          <w:p w14:paraId="1AC0F390"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3 273 254</w:t>
            </w:r>
          </w:p>
        </w:tc>
        <w:tc>
          <w:tcPr>
            <w:tcW w:w="1177" w:type="dxa"/>
            <w:tcBorders>
              <w:top w:val="nil"/>
              <w:left w:val="nil"/>
              <w:bottom w:val="single" w:sz="12" w:space="0" w:color="FFFFFF"/>
              <w:right w:val="nil"/>
            </w:tcBorders>
            <w:shd w:val="clear" w:color="000000" w:fill="F2F2F2"/>
            <w:noWrap/>
            <w:vAlign w:val="center"/>
            <w:hideMark/>
          </w:tcPr>
          <w:p w14:paraId="774CA14B" w14:textId="77777777" w:rsidR="005E44AE" w:rsidRPr="005E44AE" w:rsidRDefault="005E44AE" w:rsidP="005E44AE">
            <w:pPr>
              <w:spacing w:after="0" w:line="240" w:lineRule="auto"/>
              <w:jc w:val="right"/>
              <w:rPr>
                <w:rFonts w:cs="Calibri"/>
                <w:color w:val="FF0000"/>
                <w:lang w:eastAsia="sk-SK"/>
              </w:rPr>
            </w:pPr>
            <w:r w:rsidRPr="005E44AE">
              <w:rPr>
                <w:rFonts w:cs="Calibri"/>
                <w:color w:val="FF0000"/>
                <w:lang w:eastAsia="sk-SK"/>
              </w:rPr>
              <w:t>-70,79%</w:t>
            </w:r>
          </w:p>
        </w:tc>
      </w:tr>
      <w:tr w:rsidR="005E44AE" w:rsidRPr="005E44AE" w14:paraId="249B79AF"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6701F68B"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3: Interné služby</w:t>
            </w:r>
          </w:p>
        </w:tc>
        <w:tc>
          <w:tcPr>
            <w:tcW w:w="0" w:type="auto"/>
            <w:tcBorders>
              <w:top w:val="nil"/>
              <w:left w:val="nil"/>
              <w:bottom w:val="single" w:sz="12" w:space="0" w:color="FFFFFF"/>
              <w:right w:val="single" w:sz="12" w:space="0" w:color="FFFFFF"/>
            </w:tcBorders>
            <w:shd w:val="clear" w:color="000000" w:fill="F2F2F2"/>
            <w:noWrap/>
            <w:vAlign w:val="center"/>
            <w:hideMark/>
          </w:tcPr>
          <w:p w14:paraId="515C1780"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9 846 733</w:t>
            </w:r>
          </w:p>
        </w:tc>
        <w:tc>
          <w:tcPr>
            <w:tcW w:w="1444" w:type="dxa"/>
            <w:tcBorders>
              <w:top w:val="nil"/>
              <w:left w:val="nil"/>
              <w:bottom w:val="single" w:sz="12" w:space="0" w:color="FFFFFF"/>
              <w:right w:val="nil"/>
            </w:tcBorders>
            <w:shd w:val="clear" w:color="000000" w:fill="F2F2F2"/>
            <w:noWrap/>
            <w:vAlign w:val="center"/>
            <w:hideMark/>
          </w:tcPr>
          <w:p w14:paraId="54FE5DA5"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9 257 369</w:t>
            </w:r>
          </w:p>
        </w:tc>
        <w:tc>
          <w:tcPr>
            <w:tcW w:w="1134" w:type="dxa"/>
            <w:tcBorders>
              <w:top w:val="nil"/>
              <w:left w:val="nil"/>
              <w:bottom w:val="single" w:sz="12" w:space="0" w:color="FFFFFF"/>
              <w:right w:val="nil"/>
            </w:tcBorders>
            <w:shd w:val="clear" w:color="000000" w:fill="F2F2F2"/>
            <w:noWrap/>
            <w:vAlign w:val="center"/>
            <w:hideMark/>
          </w:tcPr>
          <w:p w14:paraId="3D5B5C1B"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7 300 577</w:t>
            </w:r>
          </w:p>
        </w:tc>
        <w:tc>
          <w:tcPr>
            <w:tcW w:w="1209" w:type="dxa"/>
            <w:tcBorders>
              <w:top w:val="nil"/>
              <w:left w:val="nil"/>
              <w:bottom w:val="single" w:sz="12" w:space="0" w:color="FFFFFF"/>
              <w:right w:val="nil"/>
            </w:tcBorders>
            <w:shd w:val="clear" w:color="000000" w:fill="F2F2F2"/>
            <w:noWrap/>
            <w:vAlign w:val="center"/>
            <w:hideMark/>
          </w:tcPr>
          <w:p w14:paraId="74E9577D"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5 349 905</w:t>
            </w:r>
          </w:p>
        </w:tc>
        <w:tc>
          <w:tcPr>
            <w:tcW w:w="1177" w:type="dxa"/>
            <w:tcBorders>
              <w:top w:val="nil"/>
              <w:left w:val="nil"/>
              <w:bottom w:val="single" w:sz="12" w:space="0" w:color="FFFFFF"/>
              <w:right w:val="nil"/>
            </w:tcBorders>
            <w:shd w:val="clear" w:color="000000" w:fill="F2F2F2"/>
            <w:noWrap/>
            <w:vAlign w:val="center"/>
            <w:hideMark/>
          </w:tcPr>
          <w:p w14:paraId="36CE54E4" w14:textId="77777777" w:rsidR="005E44AE" w:rsidRPr="005E44AE" w:rsidRDefault="005E44AE" w:rsidP="005E44AE">
            <w:pPr>
              <w:spacing w:after="0" w:line="240" w:lineRule="auto"/>
              <w:jc w:val="right"/>
              <w:rPr>
                <w:rFonts w:cs="Calibri"/>
                <w:color w:val="FF0000"/>
                <w:lang w:eastAsia="sk-SK"/>
              </w:rPr>
            </w:pPr>
            <w:r w:rsidRPr="005E44AE">
              <w:rPr>
                <w:rFonts w:cs="Calibri"/>
                <w:color w:val="FF0000"/>
                <w:lang w:eastAsia="sk-SK"/>
              </w:rPr>
              <w:t>-26,72%</w:t>
            </w:r>
          </w:p>
        </w:tc>
      </w:tr>
      <w:tr w:rsidR="005E44AE" w:rsidRPr="005E44AE" w14:paraId="74C0E72E"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7B97F3A8"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5: Starostlivosť o krajinu</w:t>
            </w:r>
          </w:p>
        </w:tc>
        <w:tc>
          <w:tcPr>
            <w:tcW w:w="0" w:type="auto"/>
            <w:tcBorders>
              <w:top w:val="nil"/>
              <w:left w:val="nil"/>
              <w:bottom w:val="single" w:sz="12" w:space="0" w:color="FFFFFF"/>
              <w:right w:val="single" w:sz="12" w:space="0" w:color="FFFFFF"/>
            </w:tcBorders>
            <w:shd w:val="clear" w:color="000000" w:fill="F2F2F2"/>
            <w:noWrap/>
            <w:vAlign w:val="center"/>
            <w:hideMark/>
          </w:tcPr>
          <w:p w14:paraId="0F6B6002"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60 000</w:t>
            </w:r>
          </w:p>
        </w:tc>
        <w:tc>
          <w:tcPr>
            <w:tcW w:w="1444" w:type="dxa"/>
            <w:tcBorders>
              <w:top w:val="nil"/>
              <w:left w:val="nil"/>
              <w:bottom w:val="single" w:sz="12" w:space="0" w:color="FFFFFF"/>
              <w:right w:val="nil"/>
            </w:tcBorders>
            <w:shd w:val="clear" w:color="000000" w:fill="F2F2F2"/>
            <w:noWrap/>
            <w:vAlign w:val="center"/>
            <w:hideMark/>
          </w:tcPr>
          <w:p w14:paraId="254ED677"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2 611</w:t>
            </w:r>
          </w:p>
        </w:tc>
        <w:tc>
          <w:tcPr>
            <w:tcW w:w="1134" w:type="dxa"/>
            <w:tcBorders>
              <w:top w:val="nil"/>
              <w:left w:val="nil"/>
              <w:bottom w:val="single" w:sz="12" w:space="0" w:color="FFFFFF"/>
              <w:right w:val="nil"/>
            </w:tcBorders>
            <w:shd w:val="clear" w:color="000000" w:fill="F2F2F2"/>
            <w:noWrap/>
            <w:vAlign w:val="center"/>
            <w:hideMark/>
          </w:tcPr>
          <w:p w14:paraId="5C864D60"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0</w:t>
            </w:r>
          </w:p>
        </w:tc>
        <w:tc>
          <w:tcPr>
            <w:tcW w:w="1209" w:type="dxa"/>
            <w:tcBorders>
              <w:top w:val="nil"/>
              <w:left w:val="nil"/>
              <w:bottom w:val="single" w:sz="12" w:space="0" w:color="FFFFFF"/>
              <w:right w:val="nil"/>
            </w:tcBorders>
            <w:shd w:val="clear" w:color="000000" w:fill="F2F2F2"/>
            <w:noWrap/>
            <w:vAlign w:val="center"/>
            <w:hideMark/>
          </w:tcPr>
          <w:p w14:paraId="275333EB"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29 676</w:t>
            </w:r>
          </w:p>
        </w:tc>
        <w:tc>
          <w:tcPr>
            <w:tcW w:w="1177" w:type="dxa"/>
            <w:tcBorders>
              <w:top w:val="nil"/>
              <w:left w:val="nil"/>
              <w:bottom w:val="single" w:sz="12" w:space="0" w:color="FFFFFF"/>
              <w:right w:val="nil"/>
            </w:tcBorders>
            <w:shd w:val="clear" w:color="000000" w:fill="F2F2F2"/>
            <w:noWrap/>
            <w:vAlign w:val="center"/>
            <w:hideMark/>
          </w:tcPr>
          <w:p w14:paraId="3DFB8242"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 </w:t>
            </w:r>
          </w:p>
        </w:tc>
      </w:tr>
      <w:tr w:rsidR="005E44AE" w:rsidRPr="005E44AE" w14:paraId="44260B9F"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2771BB4F"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6: Komunikácie</w:t>
            </w:r>
          </w:p>
        </w:tc>
        <w:tc>
          <w:tcPr>
            <w:tcW w:w="0" w:type="auto"/>
            <w:tcBorders>
              <w:top w:val="nil"/>
              <w:left w:val="nil"/>
              <w:bottom w:val="single" w:sz="12" w:space="0" w:color="FFFFFF"/>
              <w:right w:val="single" w:sz="12" w:space="0" w:color="FFFFFF"/>
            </w:tcBorders>
            <w:shd w:val="clear" w:color="000000" w:fill="F2F2F2"/>
            <w:noWrap/>
            <w:vAlign w:val="center"/>
            <w:hideMark/>
          </w:tcPr>
          <w:p w14:paraId="512B993E"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3 128 893</w:t>
            </w:r>
          </w:p>
        </w:tc>
        <w:tc>
          <w:tcPr>
            <w:tcW w:w="1444" w:type="dxa"/>
            <w:tcBorders>
              <w:top w:val="nil"/>
              <w:left w:val="nil"/>
              <w:bottom w:val="single" w:sz="12" w:space="0" w:color="FFFFFF"/>
              <w:right w:val="nil"/>
            </w:tcBorders>
            <w:shd w:val="clear" w:color="000000" w:fill="F2F2F2"/>
            <w:noWrap/>
            <w:vAlign w:val="center"/>
            <w:hideMark/>
          </w:tcPr>
          <w:p w14:paraId="10A2CDAC"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12 283 376</w:t>
            </w:r>
          </w:p>
        </w:tc>
        <w:tc>
          <w:tcPr>
            <w:tcW w:w="1134" w:type="dxa"/>
            <w:tcBorders>
              <w:top w:val="nil"/>
              <w:left w:val="nil"/>
              <w:bottom w:val="single" w:sz="12" w:space="0" w:color="FFFFFF"/>
              <w:right w:val="nil"/>
            </w:tcBorders>
            <w:shd w:val="clear" w:color="000000" w:fill="F2F2F2"/>
            <w:noWrap/>
            <w:vAlign w:val="center"/>
            <w:hideMark/>
          </w:tcPr>
          <w:p w14:paraId="50B8F369"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4 580 866</w:t>
            </w:r>
          </w:p>
        </w:tc>
        <w:tc>
          <w:tcPr>
            <w:tcW w:w="1209" w:type="dxa"/>
            <w:tcBorders>
              <w:top w:val="nil"/>
              <w:left w:val="nil"/>
              <w:bottom w:val="single" w:sz="12" w:space="0" w:color="FFFFFF"/>
              <w:right w:val="nil"/>
            </w:tcBorders>
            <w:shd w:val="clear" w:color="000000" w:fill="F2F2F2"/>
            <w:noWrap/>
            <w:vAlign w:val="center"/>
            <w:hideMark/>
          </w:tcPr>
          <w:p w14:paraId="625ED843"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1 247 021</w:t>
            </w:r>
          </w:p>
        </w:tc>
        <w:tc>
          <w:tcPr>
            <w:tcW w:w="1177" w:type="dxa"/>
            <w:tcBorders>
              <w:top w:val="nil"/>
              <w:left w:val="nil"/>
              <w:bottom w:val="single" w:sz="12" w:space="0" w:color="FFFFFF"/>
              <w:right w:val="nil"/>
            </w:tcBorders>
            <w:shd w:val="clear" w:color="000000" w:fill="F2F2F2"/>
            <w:noWrap/>
            <w:vAlign w:val="center"/>
            <w:hideMark/>
          </w:tcPr>
          <w:p w14:paraId="6B9B695D" w14:textId="77777777" w:rsidR="005E44AE" w:rsidRPr="005E44AE" w:rsidRDefault="005E44AE" w:rsidP="005E44AE">
            <w:pPr>
              <w:spacing w:after="0" w:line="240" w:lineRule="auto"/>
              <w:jc w:val="right"/>
              <w:rPr>
                <w:rFonts w:cs="Calibri"/>
                <w:color w:val="FF0000"/>
                <w:lang w:eastAsia="sk-SK"/>
              </w:rPr>
            </w:pPr>
            <w:r w:rsidRPr="005E44AE">
              <w:rPr>
                <w:rFonts w:cs="Calibri"/>
                <w:color w:val="FF0000"/>
                <w:lang w:eastAsia="sk-SK"/>
              </w:rPr>
              <w:t>-72,78%</w:t>
            </w:r>
          </w:p>
        </w:tc>
      </w:tr>
      <w:tr w:rsidR="005E44AE" w:rsidRPr="005E44AE" w14:paraId="79103854"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0298AFE7"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8: Vzdelávanie</w:t>
            </w:r>
          </w:p>
        </w:tc>
        <w:tc>
          <w:tcPr>
            <w:tcW w:w="0" w:type="auto"/>
            <w:tcBorders>
              <w:top w:val="nil"/>
              <w:left w:val="nil"/>
              <w:bottom w:val="single" w:sz="12" w:space="0" w:color="FFFFFF"/>
              <w:right w:val="single" w:sz="12" w:space="0" w:color="FFFFFF"/>
            </w:tcBorders>
            <w:shd w:val="clear" w:color="000000" w:fill="F2F2F2"/>
            <w:noWrap/>
            <w:vAlign w:val="center"/>
            <w:hideMark/>
          </w:tcPr>
          <w:p w14:paraId="36A0DBED"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130 390</w:t>
            </w:r>
          </w:p>
        </w:tc>
        <w:tc>
          <w:tcPr>
            <w:tcW w:w="1444" w:type="dxa"/>
            <w:tcBorders>
              <w:top w:val="nil"/>
              <w:left w:val="nil"/>
              <w:bottom w:val="single" w:sz="12" w:space="0" w:color="FFFFFF"/>
              <w:right w:val="nil"/>
            </w:tcBorders>
            <w:shd w:val="clear" w:color="000000" w:fill="F2F2F2"/>
            <w:noWrap/>
            <w:vAlign w:val="center"/>
            <w:hideMark/>
          </w:tcPr>
          <w:p w14:paraId="5421F6FA"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155 905</w:t>
            </w:r>
          </w:p>
        </w:tc>
        <w:tc>
          <w:tcPr>
            <w:tcW w:w="1134" w:type="dxa"/>
            <w:tcBorders>
              <w:top w:val="nil"/>
              <w:left w:val="nil"/>
              <w:bottom w:val="single" w:sz="12" w:space="0" w:color="FFFFFF"/>
              <w:right w:val="nil"/>
            </w:tcBorders>
            <w:shd w:val="clear" w:color="000000" w:fill="F2F2F2"/>
            <w:noWrap/>
            <w:vAlign w:val="center"/>
            <w:hideMark/>
          </w:tcPr>
          <w:p w14:paraId="360CCA89"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301 610</w:t>
            </w:r>
          </w:p>
        </w:tc>
        <w:tc>
          <w:tcPr>
            <w:tcW w:w="1209" w:type="dxa"/>
            <w:tcBorders>
              <w:top w:val="nil"/>
              <w:left w:val="nil"/>
              <w:bottom w:val="single" w:sz="12" w:space="0" w:color="FFFFFF"/>
              <w:right w:val="nil"/>
            </w:tcBorders>
            <w:shd w:val="clear" w:color="000000" w:fill="F2F2F2"/>
            <w:noWrap/>
            <w:vAlign w:val="center"/>
            <w:hideMark/>
          </w:tcPr>
          <w:p w14:paraId="23C2AAF6"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85 679</w:t>
            </w:r>
          </w:p>
        </w:tc>
        <w:tc>
          <w:tcPr>
            <w:tcW w:w="1177" w:type="dxa"/>
            <w:tcBorders>
              <w:top w:val="nil"/>
              <w:left w:val="nil"/>
              <w:bottom w:val="single" w:sz="12" w:space="0" w:color="FFFFFF"/>
              <w:right w:val="nil"/>
            </w:tcBorders>
            <w:shd w:val="clear" w:color="000000" w:fill="F2F2F2"/>
            <w:noWrap/>
            <w:vAlign w:val="center"/>
            <w:hideMark/>
          </w:tcPr>
          <w:p w14:paraId="7E2553E3" w14:textId="77777777" w:rsidR="005E44AE" w:rsidRPr="005E44AE" w:rsidRDefault="005E44AE" w:rsidP="005E44AE">
            <w:pPr>
              <w:spacing w:after="0" w:line="240" w:lineRule="auto"/>
              <w:jc w:val="right"/>
              <w:rPr>
                <w:rFonts w:cs="Calibri"/>
                <w:color w:val="FF0000"/>
                <w:lang w:eastAsia="sk-SK"/>
              </w:rPr>
            </w:pPr>
            <w:r w:rsidRPr="005E44AE">
              <w:rPr>
                <w:rFonts w:cs="Calibri"/>
                <w:color w:val="FF0000"/>
                <w:lang w:eastAsia="sk-SK"/>
              </w:rPr>
              <w:t>-71,59%</w:t>
            </w:r>
          </w:p>
        </w:tc>
      </w:tr>
      <w:tr w:rsidR="005E44AE" w:rsidRPr="005E44AE" w14:paraId="5A9DC9B6"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7E4DDAEF"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9: Šport a mládežnícke aktivity</w:t>
            </w:r>
          </w:p>
        </w:tc>
        <w:tc>
          <w:tcPr>
            <w:tcW w:w="0" w:type="auto"/>
            <w:tcBorders>
              <w:top w:val="nil"/>
              <w:left w:val="nil"/>
              <w:bottom w:val="single" w:sz="12" w:space="0" w:color="FFFFFF"/>
              <w:right w:val="single" w:sz="12" w:space="0" w:color="FFFFFF"/>
            </w:tcBorders>
            <w:shd w:val="clear" w:color="000000" w:fill="F2F2F2"/>
            <w:noWrap/>
            <w:vAlign w:val="center"/>
            <w:hideMark/>
          </w:tcPr>
          <w:p w14:paraId="0BD4FCBC"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15 000</w:t>
            </w:r>
          </w:p>
        </w:tc>
        <w:tc>
          <w:tcPr>
            <w:tcW w:w="1444" w:type="dxa"/>
            <w:tcBorders>
              <w:top w:val="nil"/>
              <w:left w:val="nil"/>
              <w:bottom w:val="single" w:sz="12" w:space="0" w:color="FFFFFF"/>
              <w:right w:val="nil"/>
            </w:tcBorders>
            <w:shd w:val="clear" w:color="000000" w:fill="F2F2F2"/>
            <w:noWrap/>
            <w:vAlign w:val="center"/>
            <w:hideMark/>
          </w:tcPr>
          <w:p w14:paraId="04F08028"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0</w:t>
            </w:r>
          </w:p>
        </w:tc>
        <w:tc>
          <w:tcPr>
            <w:tcW w:w="1134" w:type="dxa"/>
            <w:tcBorders>
              <w:top w:val="nil"/>
              <w:left w:val="nil"/>
              <w:bottom w:val="single" w:sz="12" w:space="0" w:color="FFFFFF"/>
              <w:right w:val="nil"/>
            </w:tcBorders>
            <w:shd w:val="clear" w:color="000000" w:fill="F2F2F2"/>
            <w:noWrap/>
            <w:vAlign w:val="center"/>
            <w:hideMark/>
          </w:tcPr>
          <w:p w14:paraId="1971396D"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4 232</w:t>
            </w:r>
          </w:p>
        </w:tc>
        <w:tc>
          <w:tcPr>
            <w:tcW w:w="1209" w:type="dxa"/>
            <w:tcBorders>
              <w:top w:val="nil"/>
              <w:left w:val="nil"/>
              <w:bottom w:val="single" w:sz="12" w:space="0" w:color="FFFFFF"/>
              <w:right w:val="nil"/>
            </w:tcBorders>
            <w:shd w:val="clear" w:color="000000" w:fill="F2F2F2"/>
            <w:noWrap/>
            <w:vAlign w:val="center"/>
            <w:hideMark/>
          </w:tcPr>
          <w:p w14:paraId="27B4DB99"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10 526</w:t>
            </w:r>
          </w:p>
        </w:tc>
        <w:tc>
          <w:tcPr>
            <w:tcW w:w="1177" w:type="dxa"/>
            <w:tcBorders>
              <w:top w:val="nil"/>
              <w:left w:val="nil"/>
              <w:bottom w:val="single" w:sz="12" w:space="0" w:color="FFFFFF"/>
              <w:right w:val="nil"/>
            </w:tcBorders>
            <w:shd w:val="clear" w:color="000000" w:fill="F2F2F2"/>
            <w:noWrap/>
            <w:vAlign w:val="center"/>
            <w:hideMark/>
          </w:tcPr>
          <w:p w14:paraId="60593D9E"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148,72%</w:t>
            </w:r>
          </w:p>
        </w:tc>
      </w:tr>
      <w:tr w:rsidR="005E44AE" w:rsidRPr="005E44AE" w14:paraId="0D34F6CA"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725039DC"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10: Kultúra</w:t>
            </w:r>
          </w:p>
        </w:tc>
        <w:tc>
          <w:tcPr>
            <w:tcW w:w="0" w:type="auto"/>
            <w:tcBorders>
              <w:top w:val="nil"/>
              <w:left w:val="nil"/>
              <w:bottom w:val="single" w:sz="12" w:space="0" w:color="FFFFFF"/>
              <w:right w:val="single" w:sz="12" w:space="0" w:color="FFFFFF"/>
            </w:tcBorders>
            <w:shd w:val="clear" w:color="000000" w:fill="F2F2F2"/>
            <w:noWrap/>
            <w:vAlign w:val="center"/>
            <w:hideMark/>
          </w:tcPr>
          <w:p w14:paraId="0AC89899"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16 176</w:t>
            </w:r>
          </w:p>
        </w:tc>
        <w:tc>
          <w:tcPr>
            <w:tcW w:w="1444" w:type="dxa"/>
            <w:tcBorders>
              <w:top w:val="nil"/>
              <w:left w:val="nil"/>
              <w:bottom w:val="single" w:sz="12" w:space="0" w:color="FFFFFF"/>
              <w:right w:val="nil"/>
            </w:tcBorders>
            <w:shd w:val="clear" w:color="000000" w:fill="F2F2F2"/>
            <w:noWrap/>
            <w:vAlign w:val="center"/>
            <w:hideMark/>
          </w:tcPr>
          <w:p w14:paraId="4C92D9CE"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88 565</w:t>
            </w:r>
          </w:p>
        </w:tc>
        <w:tc>
          <w:tcPr>
            <w:tcW w:w="1134" w:type="dxa"/>
            <w:tcBorders>
              <w:top w:val="nil"/>
              <w:left w:val="nil"/>
              <w:bottom w:val="single" w:sz="12" w:space="0" w:color="FFFFFF"/>
              <w:right w:val="nil"/>
            </w:tcBorders>
            <w:shd w:val="clear" w:color="000000" w:fill="F2F2F2"/>
            <w:noWrap/>
            <w:vAlign w:val="center"/>
            <w:hideMark/>
          </w:tcPr>
          <w:p w14:paraId="38BAA4D4"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0</w:t>
            </w:r>
          </w:p>
        </w:tc>
        <w:tc>
          <w:tcPr>
            <w:tcW w:w="1209" w:type="dxa"/>
            <w:tcBorders>
              <w:top w:val="nil"/>
              <w:left w:val="nil"/>
              <w:bottom w:val="single" w:sz="12" w:space="0" w:color="FFFFFF"/>
              <w:right w:val="nil"/>
            </w:tcBorders>
            <w:shd w:val="clear" w:color="000000" w:fill="F2F2F2"/>
            <w:noWrap/>
            <w:vAlign w:val="center"/>
            <w:hideMark/>
          </w:tcPr>
          <w:p w14:paraId="6B522F8E"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36 153</w:t>
            </w:r>
          </w:p>
        </w:tc>
        <w:tc>
          <w:tcPr>
            <w:tcW w:w="1177" w:type="dxa"/>
            <w:tcBorders>
              <w:top w:val="nil"/>
              <w:left w:val="nil"/>
              <w:bottom w:val="single" w:sz="12" w:space="0" w:color="FFFFFF"/>
              <w:right w:val="nil"/>
            </w:tcBorders>
            <w:shd w:val="clear" w:color="000000" w:fill="F2F2F2"/>
            <w:noWrap/>
            <w:vAlign w:val="center"/>
            <w:hideMark/>
          </w:tcPr>
          <w:p w14:paraId="4AF752EC"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 </w:t>
            </w:r>
          </w:p>
        </w:tc>
      </w:tr>
      <w:tr w:rsidR="005E44AE" w:rsidRPr="005E44AE" w14:paraId="66746689" w14:textId="77777777" w:rsidTr="005E44AE">
        <w:trPr>
          <w:trHeight w:hRule="exact" w:val="330"/>
        </w:trPr>
        <w:tc>
          <w:tcPr>
            <w:tcW w:w="0" w:type="auto"/>
            <w:tcBorders>
              <w:top w:val="nil"/>
              <w:left w:val="single" w:sz="12" w:space="0" w:color="FFFFFF"/>
              <w:bottom w:val="single" w:sz="12" w:space="0" w:color="FFFFFF"/>
              <w:right w:val="single" w:sz="12" w:space="0" w:color="FFFFFF"/>
            </w:tcBorders>
            <w:shd w:val="clear" w:color="000000" w:fill="F2F2F2"/>
            <w:noWrap/>
            <w:vAlign w:val="center"/>
            <w:hideMark/>
          </w:tcPr>
          <w:p w14:paraId="43EC48B2"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11: Sociálne zabezpečenie</w:t>
            </w:r>
          </w:p>
        </w:tc>
        <w:tc>
          <w:tcPr>
            <w:tcW w:w="0" w:type="auto"/>
            <w:tcBorders>
              <w:top w:val="nil"/>
              <w:left w:val="nil"/>
              <w:bottom w:val="single" w:sz="12" w:space="0" w:color="FFFFFF"/>
              <w:right w:val="single" w:sz="12" w:space="0" w:color="FFFFFF"/>
            </w:tcBorders>
            <w:shd w:val="clear" w:color="000000" w:fill="F2F2F2"/>
            <w:noWrap/>
            <w:vAlign w:val="center"/>
            <w:hideMark/>
          </w:tcPr>
          <w:p w14:paraId="5AADC009"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54 497</w:t>
            </w:r>
          </w:p>
        </w:tc>
        <w:tc>
          <w:tcPr>
            <w:tcW w:w="1444" w:type="dxa"/>
            <w:tcBorders>
              <w:top w:val="nil"/>
              <w:left w:val="nil"/>
              <w:bottom w:val="single" w:sz="12" w:space="0" w:color="FFFFFF"/>
              <w:right w:val="nil"/>
            </w:tcBorders>
            <w:shd w:val="clear" w:color="000000" w:fill="F2F2F2"/>
            <w:noWrap/>
            <w:vAlign w:val="center"/>
            <w:hideMark/>
          </w:tcPr>
          <w:p w14:paraId="56ACFE46"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202 384</w:t>
            </w:r>
          </w:p>
        </w:tc>
        <w:tc>
          <w:tcPr>
            <w:tcW w:w="1134" w:type="dxa"/>
            <w:tcBorders>
              <w:top w:val="nil"/>
              <w:left w:val="nil"/>
              <w:bottom w:val="single" w:sz="12" w:space="0" w:color="FFFFFF"/>
              <w:right w:val="nil"/>
            </w:tcBorders>
            <w:shd w:val="clear" w:color="000000" w:fill="F2F2F2"/>
            <w:noWrap/>
            <w:vAlign w:val="center"/>
            <w:hideMark/>
          </w:tcPr>
          <w:p w14:paraId="45A39793"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55 183</w:t>
            </w:r>
          </w:p>
        </w:tc>
        <w:tc>
          <w:tcPr>
            <w:tcW w:w="1209" w:type="dxa"/>
            <w:tcBorders>
              <w:top w:val="nil"/>
              <w:left w:val="nil"/>
              <w:bottom w:val="single" w:sz="12" w:space="0" w:color="FFFFFF"/>
              <w:right w:val="nil"/>
            </w:tcBorders>
            <w:shd w:val="clear" w:color="000000" w:fill="F2F2F2"/>
            <w:noWrap/>
            <w:vAlign w:val="center"/>
            <w:hideMark/>
          </w:tcPr>
          <w:p w14:paraId="2FFABB91"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19 101</w:t>
            </w:r>
          </w:p>
        </w:tc>
        <w:tc>
          <w:tcPr>
            <w:tcW w:w="1177" w:type="dxa"/>
            <w:tcBorders>
              <w:top w:val="nil"/>
              <w:left w:val="nil"/>
              <w:bottom w:val="single" w:sz="12" w:space="0" w:color="FFFFFF"/>
              <w:right w:val="nil"/>
            </w:tcBorders>
            <w:shd w:val="clear" w:color="000000" w:fill="F2F2F2"/>
            <w:noWrap/>
            <w:vAlign w:val="center"/>
            <w:hideMark/>
          </w:tcPr>
          <w:p w14:paraId="40FA895C" w14:textId="77777777" w:rsidR="005E44AE" w:rsidRPr="005E44AE" w:rsidRDefault="005E44AE" w:rsidP="005E44AE">
            <w:pPr>
              <w:spacing w:after="0" w:line="240" w:lineRule="auto"/>
              <w:jc w:val="right"/>
              <w:rPr>
                <w:rFonts w:cs="Calibri"/>
                <w:color w:val="FF0000"/>
                <w:lang w:eastAsia="sk-SK"/>
              </w:rPr>
            </w:pPr>
            <w:r w:rsidRPr="005E44AE">
              <w:rPr>
                <w:rFonts w:cs="Calibri"/>
                <w:color w:val="FF0000"/>
                <w:lang w:eastAsia="sk-SK"/>
              </w:rPr>
              <w:t>-65,39%</w:t>
            </w:r>
          </w:p>
        </w:tc>
      </w:tr>
      <w:tr w:rsidR="005E44AE" w:rsidRPr="005E44AE" w14:paraId="4BC3BE8A" w14:textId="77777777" w:rsidTr="005E44AE">
        <w:trPr>
          <w:trHeight w:hRule="exact" w:val="540"/>
        </w:trPr>
        <w:tc>
          <w:tcPr>
            <w:tcW w:w="0" w:type="auto"/>
            <w:tcBorders>
              <w:top w:val="nil"/>
              <w:left w:val="single" w:sz="12" w:space="0" w:color="FFFFFF"/>
              <w:bottom w:val="single" w:sz="12" w:space="0" w:color="FFFFFF"/>
              <w:right w:val="single" w:sz="12" w:space="0" w:color="FFFFFF"/>
            </w:tcBorders>
            <w:shd w:val="clear" w:color="000000" w:fill="F2F2F2"/>
            <w:vAlign w:val="center"/>
            <w:hideMark/>
          </w:tcPr>
          <w:p w14:paraId="1A8E86FD" w14:textId="77777777" w:rsidR="005E44AE" w:rsidRPr="005E44AE" w:rsidRDefault="005E44AE" w:rsidP="005E44AE">
            <w:pPr>
              <w:spacing w:after="0" w:line="240" w:lineRule="auto"/>
              <w:rPr>
                <w:rFonts w:cs="Calibri"/>
                <w:color w:val="000000"/>
                <w:lang w:eastAsia="sk-SK"/>
              </w:rPr>
            </w:pPr>
            <w:r w:rsidRPr="005E44AE">
              <w:rPr>
                <w:rFonts w:cs="Calibri"/>
                <w:color w:val="000000"/>
                <w:lang w:eastAsia="sk-SK"/>
              </w:rPr>
              <w:t>Program 14: Strategická podpora VŽ a rozvoja regiónu</w:t>
            </w:r>
          </w:p>
        </w:tc>
        <w:tc>
          <w:tcPr>
            <w:tcW w:w="0" w:type="auto"/>
            <w:tcBorders>
              <w:top w:val="nil"/>
              <w:left w:val="nil"/>
              <w:bottom w:val="single" w:sz="12" w:space="0" w:color="FFFFFF"/>
              <w:right w:val="single" w:sz="12" w:space="0" w:color="FFFFFF"/>
            </w:tcBorders>
            <w:shd w:val="clear" w:color="000000" w:fill="F2F2F2"/>
            <w:noWrap/>
            <w:vAlign w:val="center"/>
            <w:hideMark/>
          </w:tcPr>
          <w:p w14:paraId="68DD5CFE"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592 947</w:t>
            </w:r>
          </w:p>
        </w:tc>
        <w:tc>
          <w:tcPr>
            <w:tcW w:w="1444" w:type="dxa"/>
            <w:tcBorders>
              <w:top w:val="nil"/>
              <w:left w:val="nil"/>
              <w:bottom w:val="single" w:sz="12" w:space="0" w:color="FFFFFF"/>
              <w:right w:val="nil"/>
            </w:tcBorders>
            <w:shd w:val="clear" w:color="000000" w:fill="F2F2F2"/>
            <w:noWrap/>
            <w:vAlign w:val="center"/>
            <w:hideMark/>
          </w:tcPr>
          <w:p w14:paraId="0F456840"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615 994</w:t>
            </w:r>
          </w:p>
        </w:tc>
        <w:tc>
          <w:tcPr>
            <w:tcW w:w="1134" w:type="dxa"/>
            <w:tcBorders>
              <w:top w:val="nil"/>
              <w:left w:val="nil"/>
              <w:bottom w:val="single" w:sz="12" w:space="0" w:color="FFFFFF"/>
              <w:right w:val="nil"/>
            </w:tcBorders>
            <w:shd w:val="clear" w:color="000000" w:fill="F2F2F2"/>
            <w:noWrap/>
            <w:vAlign w:val="center"/>
            <w:hideMark/>
          </w:tcPr>
          <w:p w14:paraId="74BD08E8"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363 730</w:t>
            </w:r>
          </w:p>
        </w:tc>
        <w:tc>
          <w:tcPr>
            <w:tcW w:w="1209" w:type="dxa"/>
            <w:tcBorders>
              <w:top w:val="nil"/>
              <w:left w:val="nil"/>
              <w:bottom w:val="single" w:sz="12" w:space="0" w:color="FFFFFF"/>
              <w:right w:val="nil"/>
            </w:tcBorders>
            <w:shd w:val="clear" w:color="000000" w:fill="F2F2F2"/>
            <w:noWrap/>
            <w:vAlign w:val="center"/>
            <w:hideMark/>
          </w:tcPr>
          <w:p w14:paraId="130BAC30" w14:textId="77777777" w:rsidR="005E44AE" w:rsidRPr="005E44AE" w:rsidRDefault="005E44AE" w:rsidP="005E44AE">
            <w:pPr>
              <w:spacing w:after="0" w:line="240" w:lineRule="auto"/>
              <w:jc w:val="right"/>
              <w:rPr>
                <w:rFonts w:cs="Calibri"/>
                <w:color w:val="000000"/>
                <w:lang w:eastAsia="sk-SK"/>
              </w:rPr>
            </w:pPr>
            <w:r w:rsidRPr="005E44AE">
              <w:rPr>
                <w:rFonts w:cs="Calibri"/>
                <w:color w:val="000000"/>
                <w:lang w:eastAsia="sk-SK"/>
              </w:rPr>
              <w:t>13 500</w:t>
            </w:r>
          </w:p>
        </w:tc>
        <w:tc>
          <w:tcPr>
            <w:tcW w:w="1177" w:type="dxa"/>
            <w:tcBorders>
              <w:top w:val="nil"/>
              <w:left w:val="nil"/>
              <w:bottom w:val="single" w:sz="12" w:space="0" w:color="FFFFFF"/>
              <w:right w:val="nil"/>
            </w:tcBorders>
            <w:shd w:val="clear" w:color="000000" w:fill="F2F2F2"/>
            <w:noWrap/>
            <w:vAlign w:val="center"/>
            <w:hideMark/>
          </w:tcPr>
          <w:p w14:paraId="41D96350" w14:textId="77777777" w:rsidR="005E44AE" w:rsidRPr="005E44AE" w:rsidRDefault="005E44AE" w:rsidP="005E44AE">
            <w:pPr>
              <w:spacing w:after="0" w:line="240" w:lineRule="auto"/>
              <w:jc w:val="right"/>
              <w:rPr>
                <w:rFonts w:cs="Calibri"/>
                <w:color w:val="FF0000"/>
                <w:lang w:eastAsia="sk-SK"/>
              </w:rPr>
            </w:pPr>
            <w:r w:rsidRPr="005E44AE">
              <w:rPr>
                <w:rFonts w:cs="Calibri"/>
                <w:color w:val="FF0000"/>
                <w:lang w:eastAsia="sk-SK"/>
              </w:rPr>
              <w:t>-96,29%</w:t>
            </w:r>
          </w:p>
        </w:tc>
      </w:tr>
      <w:tr w:rsidR="005E44AE" w:rsidRPr="005E44AE" w14:paraId="547CE11E" w14:textId="77777777" w:rsidTr="005E44AE">
        <w:trPr>
          <w:trHeight w:val="330"/>
        </w:trPr>
        <w:tc>
          <w:tcPr>
            <w:tcW w:w="0" w:type="auto"/>
            <w:tcBorders>
              <w:top w:val="nil"/>
              <w:left w:val="single" w:sz="12" w:space="0" w:color="FFFFFF"/>
              <w:bottom w:val="single" w:sz="12" w:space="0" w:color="FFFFFF"/>
              <w:right w:val="single" w:sz="12" w:space="0" w:color="FFFFFF"/>
            </w:tcBorders>
            <w:shd w:val="clear" w:color="000000" w:fill="8DB3E2"/>
            <w:noWrap/>
            <w:vAlign w:val="center"/>
            <w:hideMark/>
          </w:tcPr>
          <w:p w14:paraId="2F71A31A" w14:textId="77777777" w:rsidR="005E44AE" w:rsidRPr="005E44AE" w:rsidRDefault="005E44AE" w:rsidP="005E44AE">
            <w:pPr>
              <w:spacing w:after="0" w:line="240" w:lineRule="auto"/>
              <w:rPr>
                <w:rFonts w:cs="Calibri"/>
                <w:b/>
                <w:bCs/>
                <w:color w:val="000000"/>
                <w:lang w:eastAsia="sk-SK"/>
              </w:rPr>
            </w:pPr>
            <w:r w:rsidRPr="005E44AE">
              <w:rPr>
                <w:rFonts w:cs="Calibri"/>
                <w:b/>
                <w:bCs/>
                <w:color w:val="000000"/>
                <w:lang w:eastAsia="sk-SK"/>
              </w:rPr>
              <w:t>Celkom</w:t>
            </w:r>
          </w:p>
        </w:tc>
        <w:tc>
          <w:tcPr>
            <w:tcW w:w="0" w:type="auto"/>
            <w:tcBorders>
              <w:top w:val="nil"/>
              <w:left w:val="nil"/>
              <w:bottom w:val="single" w:sz="12" w:space="0" w:color="FFFFFF"/>
              <w:right w:val="single" w:sz="12" w:space="0" w:color="FFFFFF"/>
            </w:tcBorders>
            <w:shd w:val="clear" w:color="000000" w:fill="8DB3E2"/>
            <w:noWrap/>
            <w:vAlign w:val="center"/>
            <w:hideMark/>
          </w:tcPr>
          <w:p w14:paraId="358AF6A9" w14:textId="77777777" w:rsidR="005E44AE" w:rsidRPr="005E44AE" w:rsidRDefault="005E44AE" w:rsidP="005E44AE">
            <w:pPr>
              <w:spacing w:after="0" w:line="240" w:lineRule="auto"/>
              <w:jc w:val="right"/>
              <w:rPr>
                <w:rFonts w:cs="Calibri"/>
                <w:b/>
                <w:bCs/>
                <w:color w:val="000000"/>
                <w:lang w:eastAsia="sk-SK"/>
              </w:rPr>
            </w:pPr>
            <w:r w:rsidRPr="005E44AE">
              <w:rPr>
                <w:rFonts w:cs="Calibri"/>
                <w:b/>
                <w:bCs/>
                <w:color w:val="000000"/>
                <w:lang w:eastAsia="sk-SK"/>
              </w:rPr>
              <w:t>14 431 282</w:t>
            </w:r>
          </w:p>
        </w:tc>
        <w:tc>
          <w:tcPr>
            <w:tcW w:w="1444" w:type="dxa"/>
            <w:tcBorders>
              <w:top w:val="nil"/>
              <w:left w:val="nil"/>
              <w:bottom w:val="single" w:sz="12" w:space="0" w:color="FFFFFF"/>
              <w:right w:val="nil"/>
            </w:tcBorders>
            <w:shd w:val="clear" w:color="000000" w:fill="8DB3E2"/>
            <w:noWrap/>
            <w:vAlign w:val="center"/>
            <w:hideMark/>
          </w:tcPr>
          <w:p w14:paraId="2F257F8C" w14:textId="77777777" w:rsidR="005E44AE" w:rsidRPr="005E44AE" w:rsidRDefault="005E44AE" w:rsidP="005E44AE">
            <w:pPr>
              <w:spacing w:after="0" w:line="240" w:lineRule="auto"/>
              <w:jc w:val="right"/>
              <w:rPr>
                <w:rFonts w:cs="Calibri"/>
                <w:b/>
                <w:bCs/>
                <w:color w:val="000000"/>
                <w:lang w:eastAsia="sk-SK"/>
              </w:rPr>
            </w:pPr>
            <w:r w:rsidRPr="005E44AE">
              <w:rPr>
                <w:rFonts w:cs="Calibri"/>
                <w:b/>
                <w:bCs/>
                <w:color w:val="000000"/>
                <w:lang w:eastAsia="sk-SK"/>
              </w:rPr>
              <w:t>24 435 414</w:t>
            </w:r>
          </w:p>
        </w:tc>
        <w:tc>
          <w:tcPr>
            <w:tcW w:w="1134" w:type="dxa"/>
            <w:tcBorders>
              <w:top w:val="nil"/>
              <w:left w:val="nil"/>
              <w:bottom w:val="single" w:sz="12" w:space="0" w:color="FFFFFF"/>
              <w:right w:val="nil"/>
            </w:tcBorders>
            <w:shd w:val="clear" w:color="000000" w:fill="8DB3E2"/>
            <w:noWrap/>
            <w:vAlign w:val="center"/>
            <w:hideMark/>
          </w:tcPr>
          <w:p w14:paraId="4C9AE2A5" w14:textId="77777777" w:rsidR="005E44AE" w:rsidRPr="005E44AE" w:rsidRDefault="005E44AE" w:rsidP="005E44AE">
            <w:pPr>
              <w:spacing w:after="0" w:line="240" w:lineRule="auto"/>
              <w:jc w:val="right"/>
              <w:rPr>
                <w:rFonts w:cs="Calibri"/>
                <w:b/>
                <w:bCs/>
                <w:color w:val="000000"/>
                <w:lang w:eastAsia="sk-SK"/>
              </w:rPr>
            </w:pPr>
            <w:r w:rsidRPr="005E44AE">
              <w:rPr>
                <w:rFonts w:cs="Calibri"/>
                <w:b/>
                <w:bCs/>
                <w:color w:val="000000"/>
                <w:lang w:eastAsia="sk-SK"/>
              </w:rPr>
              <w:t>23 810 770</w:t>
            </w:r>
          </w:p>
        </w:tc>
        <w:tc>
          <w:tcPr>
            <w:tcW w:w="1209" w:type="dxa"/>
            <w:tcBorders>
              <w:top w:val="nil"/>
              <w:left w:val="nil"/>
              <w:bottom w:val="single" w:sz="12" w:space="0" w:color="FFFFFF"/>
              <w:right w:val="nil"/>
            </w:tcBorders>
            <w:shd w:val="clear" w:color="000000" w:fill="8DB3E2"/>
            <w:noWrap/>
            <w:vAlign w:val="center"/>
            <w:hideMark/>
          </w:tcPr>
          <w:p w14:paraId="6CF5A40A" w14:textId="77777777" w:rsidR="005E44AE" w:rsidRPr="005E44AE" w:rsidRDefault="005E44AE" w:rsidP="005E44AE">
            <w:pPr>
              <w:spacing w:after="0" w:line="240" w:lineRule="auto"/>
              <w:jc w:val="right"/>
              <w:rPr>
                <w:rFonts w:cs="Calibri"/>
                <w:b/>
                <w:bCs/>
                <w:color w:val="000000"/>
                <w:lang w:eastAsia="sk-SK"/>
              </w:rPr>
            </w:pPr>
            <w:r w:rsidRPr="005E44AE">
              <w:rPr>
                <w:rFonts w:cs="Calibri"/>
                <w:b/>
                <w:bCs/>
                <w:color w:val="000000"/>
                <w:lang w:eastAsia="sk-SK"/>
              </w:rPr>
              <w:t>10 064 814</w:t>
            </w:r>
          </w:p>
        </w:tc>
        <w:tc>
          <w:tcPr>
            <w:tcW w:w="1177" w:type="dxa"/>
            <w:tcBorders>
              <w:top w:val="nil"/>
              <w:left w:val="nil"/>
              <w:bottom w:val="single" w:sz="12" w:space="0" w:color="FFFFFF"/>
              <w:right w:val="nil"/>
            </w:tcBorders>
            <w:shd w:val="clear" w:color="000000" w:fill="8DB3E2"/>
            <w:noWrap/>
            <w:vAlign w:val="center"/>
            <w:hideMark/>
          </w:tcPr>
          <w:p w14:paraId="26A2F424" w14:textId="77777777" w:rsidR="005E44AE" w:rsidRPr="005E44AE" w:rsidRDefault="005E44AE" w:rsidP="005E44AE">
            <w:pPr>
              <w:spacing w:after="0" w:line="240" w:lineRule="auto"/>
              <w:jc w:val="right"/>
              <w:rPr>
                <w:rFonts w:cs="Calibri"/>
                <w:b/>
                <w:bCs/>
                <w:color w:val="FF0000"/>
                <w:lang w:eastAsia="sk-SK"/>
              </w:rPr>
            </w:pPr>
            <w:r w:rsidRPr="005E44AE">
              <w:rPr>
                <w:rFonts w:cs="Calibri"/>
                <w:b/>
                <w:bCs/>
                <w:color w:val="FF0000"/>
                <w:lang w:eastAsia="sk-SK"/>
              </w:rPr>
              <w:t>-57,73%</w:t>
            </w:r>
          </w:p>
        </w:tc>
      </w:tr>
    </w:tbl>
    <w:p w14:paraId="1AE5DE68" w14:textId="466761FA" w:rsidR="00EF2B54" w:rsidRDefault="00BE704E" w:rsidP="00BE704E">
      <w:pPr>
        <w:spacing w:before="240" w:after="120"/>
        <w:jc w:val="both"/>
        <w:rPr>
          <w:rFonts w:cs="Calibri"/>
          <w:szCs w:val="24"/>
          <w:u w:val="single"/>
        </w:rPr>
      </w:pPr>
      <w:r w:rsidRPr="002A5773">
        <w:rPr>
          <w:rFonts w:cs="Calibri"/>
          <w:szCs w:val="24"/>
          <w:u w:val="single"/>
        </w:rPr>
        <w:t>Graf</w:t>
      </w:r>
      <w:r w:rsidR="006761B9">
        <w:rPr>
          <w:rFonts w:cs="Calibri"/>
          <w:szCs w:val="24"/>
          <w:u w:val="single"/>
        </w:rPr>
        <w:t xml:space="preserve"> </w:t>
      </w:r>
      <w:r w:rsidR="00DD214E">
        <w:rPr>
          <w:rFonts w:cs="Calibri"/>
          <w:szCs w:val="24"/>
          <w:u w:val="single"/>
        </w:rPr>
        <w:t>15</w:t>
      </w:r>
      <w:r w:rsidRPr="002A5773">
        <w:rPr>
          <w:rFonts w:cs="Calibri"/>
          <w:szCs w:val="24"/>
          <w:u w:val="single"/>
        </w:rPr>
        <w:t>: Podi</w:t>
      </w:r>
      <w:r>
        <w:rPr>
          <w:rFonts w:cs="Calibri"/>
          <w:szCs w:val="24"/>
          <w:u w:val="single"/>
        </w:rPr>
        <w:t>e</w:t>
      </w:r>
      <w:r w:rsidRPr="002A5773">
        <w:rPr>
          <w:rFonts w:cs="Calibri"/>
          <w:szCs w:val="24"/>
          <w:u w:val="single"/>
        </w:rPr>
        <w:t xml:space="preserve">l </w:t>
      </w:r>
      <w:proofErr w:type="spellStart"/>
      <w:r w:rsidRPr="002A5773">
        <w:rPr>
          <w:rFonts w:cs="Calibri"/>
          <w:szCs w:val="24"/>
          <w:u w:val="single"/>
        </w:rPr>
        <w:t>čerania</w:t>
      </w:r>
      <w:proofErr w:type="spellEnd"/>
      <w:r w:rsidRPr="002A5773">
        <w:rPr>
          <w:rFonts w:cs="Calibri"/>
          <w:szCs w:val="24"/>
          <w:u w:val="single"/>
        </w:rPr>
        <w:t xml:space="preserve"> kapitálových výdavkov programov na čerpaní celkových kapitálových výdavkov</w:t>
      </w:r>
    </w:p>
    <w:p w14:paraId="150ABECB" w14:textId="6A560AA5" w:rsidR="00842B74" w:rsidRPr="00EF2B54" w:rsidRDefault="00EF2B54" w:rsidP="006761B9">
      <w:pPr>
        <w:spacing w:before="240" w:after="120"/>
        <w:jc w:val="both"/>
        <w:rPr>
          <w:rFonts w:cs="Calibri"/>
          <w:szCs w:val="24"/>
          <w:u w:val="single"/>
        </w:rPr>
      </w:pPr>
      <w:r>
        <w:rPr>
          <w:noProof/>
        </w:rPr>
        <w:drawing>
          <wp:inline distT="0" distB="0" distL="0" distR="0" wp14:anchorId="0712CD4E" wp14:editId="4B96E253">
            <wp:extent cx="6645910" cy="2633869"/>
            <wp:effectExtent l="0" t="0" r="2540" b="0"/>
            <wp:docPr id="30" name="Graf 30">
              <a:extLst xmlns:a="http://schemas.openxmlformats.org/drawingml/2006/main">
                <a:ext uri="{FF2B5EF4-FFF2-40B4-BE49-F238E27FC236}">
                  <a16:creationId xmlns:a16="http://schemas.microsoft.com/office/drawing/2014/main" id="{BDECB05D-08CC-45D5-BA7A-12A80E5948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BE704E">
        <w:rPr>
          <w:rFonts w:cs="Calibri"/>
          <w:sz w:val="24"/>
          <w:szCs w:val="24"/>
          <w:lang w:eastAsia="sk-SK"/>
        </w:rPr>
        <w:t xml:space="preserve">Z grafu vyplýva, že najvyšší </w:t>
      </w:r>
      <w:r>
        <w:rPr>
          <w:rFonts w:cs="Calibri"/>
          <w:sz w:val="24"/>
          <w:szCs w:val="24"/>
          <w:lang w:eastAsia="sk-SK"/>
        </w:rPr>
        <w:t>53,15</w:t>
      </w:r>
      <w:r w:rsidR="00BE704E">
        <w:rPr>
          <w:rFonts w:cs="Calibri"/>
          <w:sz w:val="24"/>
          <w:szCs w:val="24"/>
          <w:lang w:eastAsia="sk-SK"/>
        </w:rPr>
        <w:t>%-</w:t>
      </w:r>
      <w:proofErr w:type="spellStart"/>
      <w:r w:rsidR="00BE704E">
        <w:rPr>
          <w:rFonts w:cs="Calibri"/>
          <w:sz w:val="24"/>
          <w:szCs w:val="24"/>
          <w:lang w:eastAsia="sk-SK"/>
        </w:rPr>
        <w:t>ný</w:t>
      </w:r>
      <w:proofErr w:type="spellEnd"/>
      <w:r w:rsidR="00BE704E">
        <w:rPr>
          <w:rFonts w:cs="Calibri"/>
          <w:sz w:val="24"/>
          <w:szCs w:val="24"/>
          <w:lang w:eastAsia="sk-SK"/>
        </w:rPr>
        <w:t xml:space="preserve"> podiel na čerpaní kapitálových výdavkov </w:t>
      </w:r>
      <w:r w:rsidR="00842B74">
        <w:rPr>
          <w:rFonts w:cs="Calibri"/>
          <w:sz w:val="24"/>
          <w:szCs w:val="24"/>
          <w:lang w:eastAsia="sk-SK"/>
        </w:rPr>
        <w:t xml:space="preserve">malo čerpanie výdavkov </w:t>
      </w:r>
      <w:r>
        <w:rPr>
          <w:rFonts w:cs="Calibri"/>
          <w:sz w:val="24"/>
          <w:szCs w:val="24"/>
          <w:lang w:eastAsia="sk-SK"/>
        </w:rPr>
        <w:t xml:space="preserve">na </w:t>
      </w:r>
      <w:r w:rsidR="00842B74">
        <w:rPr>
          <w:rFonts w:cs="Calibri"/>
          <w:sz w:val="24"/>
          <w:szCs w:val="24"/>
          <w:lang w:eastAsia="sk-SK"/>
        </w:rPr>
        <w:t xml:space="preserve"> </w:t>
      </w:r>
      <w:r w:rsidR="00DD214E">
        <w:rPr>
          <w:rFonts w:cs="Calibri"/>
          <w:sz w:val="24"/>
          <w:szCs w:val="24"/>
          <w:lang w:eastAsia="sk-SK"/>
        </w:rPr>
        <w:t xml:space="preserve">investičné akcie </w:t>
      </w:r>
      <w:r w:rsidR="00842B74">
        <w:rPr>
          <w:rFonts w:cs="Calibri"/>
          <w:sz w:val="24"/>
          <w:szCs w:val="24"/>
          <w:lang w:eastAsia="sk-SK"/>
        </w:rPr>
        <w:t>BSK.</w:t>
      </w:r>
    </w:p>
    <w:p w14:paraId="584626F2" w14:textId="3E110B74" w:rsidR="00BE704E" w:rsidRDefault="00BE704E" w:rsidP="00B07366">
      <w:pPr>
        <w:spacing w:after="0" w:line="240" w:lineRule="auto"/>
        <w:jc w:val="both"/>
        <w:rPr>
          <w:sz w:val="24"/>
          <w:szCs w:val="24"/>
          <w:lang w:eastAsia="sk-SK"/>
        </w:rPr>
      </w:pPr>
      <w:r w:rsidRPr="00F064EC">
        <w:rPr>
          <w:sz w:val="24"/>
          <w:szCs w:val="24"/>
          <w:lang w:eastAsia="sk-SK"/>
        </w:rPr>
        <w:t>Prehľad čerpania kapitálových výdavkov podľa programovej klasifikácie s účelom použitia k </w:t>
      </w:r>
      <w:r w:rsidRPr="002C7F07">
        <w:rPr>
          <w:sz w:val="24"/>
          <w:szCs w:val="24"/>
          <w:lang w:eastAsia="sk-SK"/>
        </w:rPr>
        <w:t>31.12.20</w:t>
      </w:r>
      <w:r w:rsidR="00DB1094" w:rsidRPr="002C7F07">
        <w:rPr>
          <w:sz w:val="24"/>
          <w:szCs w:val="24"/>
          <w:lang w:eastAsia="sk-SK"/>
        </w:rPr>
        <w:t>20</w:t>
      </w:r>
      <w:r w:rsidRPr="002C7F07">
        <w:rPr>
          <w:sz w:val="24"/>
          <w:szCs w:val="24"/>
          <w:lang w:eastAsia="sk-SK"/>
        </w:rPr>
        <w:t>:</w:t>
      </w:r>
    </w:p>
    <w:p w14:paraId="2EF14219" w14:textId="77777777" w:rsidR="002C7F07" w:rsidRDefault="002C7F07" w:rsidP="00B07366">
      <w:pPr>
        <w:spacing w:after="0" w:line="240" w:lineRule="auto"/>
        <w:jc w:val="both"/>
        <w:rPr>
          <w:sz w:val="24"/>
          <w:szCs w:val="24"/>
          <w:lang w:eastAsia="sk-SK"/>
        </w:rPr>
      </w:pPr>
    </w:p>
    <w:tbl>
      <w:tblPr>
        <w:tblW w:w="0" w:type="auto"/>
        <w:tblCellMar>
          <w:left w:w="70" w:type="dxa"/>
          <w:right w:w="70" w:type="dxa"/>
        </w:tblCellMar>
        <w:tblLook w:val="04A0" w:firstRow="1" w:lastRow="0" w:firstColumn="1" w:lastColumn="0" w:noHBand="0" w:noVBand="1"/>
      </w:tblPr>
      <w:tblGrid>
        <w:gridCol w:w="8789"/>
        <w:gridCol w:w="1677"/>
      </w:tblGrid>
      <w:tr w:rsidR="002C7F07" w:rsidRPr="002C7F07" w14:paraId="586F128E" w14:textId="77777777" w:rsidTr="002C7F07">
        <w:trPr>
          <w:trHeight w:val="390"/>
        </w:trPr>
        <w:tc>
          <w:tcPr>
            <w:tcW w:w="8789" w:type="dxa"/>
            <w:tcBorders>
              <w:top w:val="nil"/>
              <w:left w:val="nil"/>
              <w:bottom w:val="single" w:sz="8" w:space="0" w:color="366092"/>
              <w:right w:val="nil"/>
            </w:tcBorders>
            <w:shd w:val="clear" w:color="000000" w:fill="366092"/>
            <w:noWrap/>
            <w:vAlign w:val="center"/>
            <w:hideMark/>
          </w:tcPr>
          <w:p w14:paraId="108DE0B9" w14:textId="77777777" w:rsidR="002C7F07" w:rsidRPr="002C7F07" w:rsidRDefault="002C7F07" w:rsidP="002C7F07">
            <w:pPr>
              <w:spacing w:after="0" w:line="240" w:lineRule="auto"/>
              <w:rPr>
                <w:rFonts w:cs="Calibri"/>
                <w:b/>
                <w:bCs/>
                <w:color w:val="FFFFFF"/>
                <w:sz w:val="24"/>
                <w:szCs w:val="24"/>
                <w:lang w:eastAsia="sk-SK"/>
              </w:rPr>
            </w:pPr>
            <w:r w:rsidRPr="002C7F07">
              <w:rPr>
                <w:rFonts w:cs="Calibri"/>
                <w:b/>
                <w:bCs/>
                <w:color w:val="FFFFFF"/>
                <w:sz w:val="24"/>
                <w:szCs w:val="24"/>
                <w:lang w:eastAsia="sk-SK"/>
              </w:rPr>
              <w:t>Čerpanie kapitálových výdavkov podľa jednotlivých programov a akcií k 31.12.2020</w:t>
            </w:r>
          </w:p>
        </w:tc>
        <w:tc>
          <w:tcPr>
            <w:tcW w:w="1677" w:type="dxa"/>
            <w:tcBorders>
              <w:top w:val="nil"/>
              <w:left w:val="nil"/>
              <w:bottom w:val="single" w:sz="8" w:space="0" w:color="366092"/>
              <w:right w:val="nil"/>
            </w:tcBorders>
            <w:shd w:val="clear" w:color="000000" w:fill="366092"/>
            <w:noWrap/>
            <w:vAlign w:val="center"/>
            <w:hideMark/>
          </w:tcPr>
          <w:p w14:paraId="2DF2D8AC" w14:textId="77777777" w:rsidR="002C7F07" w:rsidRPr="002C7F07" w:rsidRDefault="002C7F07" w:rsidP="002C7F07">
            <w:pPr>
              <w:spacing w:after="0" w:line="240" w:lineRule="auto"/>
              <w:jc w:val="right"/>
              <w:rPr>
                <w:rFonts w:cs="Calibri"/>
                <w:b/>
                <w:bCs/>
                <w:color w:val="FFFFFF"/>
                <w:sz w:val="20"/>
                <w:szCs w:val="20"/>
                <w:lang w:eastAsia="sk-SK"/>
              </w:rPr>
            </w:pPr>
            <w:r w:rsidRPr="002C7F07">
              <w:rPr>
                <w:rFonts w:cs="Calibri"/>
                <w:b/>
                <w:bCs/>
                <w:color w:val="FFFFFF"/>
                <w:sz w:val="20"/>
                <w:szCs w:val="20"/>
                <w:lang w:eastAsia="sk-SK"/>
              </w:rPr>
              <w:t>Suma</w:t>
            </w:r>
          </w:p>
        </w:tc>
      </w:tr>
      <w:tr w:rsidR="002C7F07" w:rsidRPr="002C7F07" w14:paraId="4DCE6D9C"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3827A3C8"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1: Interné služby</w:t>
            </w:r>
          </w:p>
        </w:tc>
        <w:tc>
          <w:tcPr>
            <w:tcW w:w="1677" w:type="dxa"/>
            <w:tcBorders>
              <w:top w:val="nil"/>
              <w:left w:val="nil"/>
              <w:bottom w:val="single" w:sz="8" w:space="0" w:color="DCE6F1"/>
              <w:right w:val="nil"/>
            </w:tcBorders>
            <w:shd w:val="clear" w:color="000000" w:fill="95B3D7"/>
            <w:noWrap/>
            <w:vAlign w:val="center"/>
            <w:hideMark/>
          </w:tcPr>
          <w:p w14:paraId="63C31375"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3 273 253,70</w:t>
            </w:r>
          </w:p>
        </w:tc>
      </w:tr>
      <w:tr w:rsidR="002C7F07" w:rsidRPr="002C7F07" w14:paraId="54510C76" w14:textId="77777777" w:rsidTr="002C7F07">
        <w:trPr>
          <w:trHeight w:val="315"/>
        </w:trPr>
        <w:tc>
          <w:tcPr>
            <w:tcW w:w="8789" w:type="dxa"/>
            <w:tcBorders>
              <w:top w:val="nil"/>
              <w:left w:val="nil"/>
              <w:bottom w:val="single" w:sz="8" w:space="0" w:color="4F81BD"/>
              <w:right w:val="nil"/>
            </w:tcBorders>
            <w:shd w:val="clear" w:color="000000" w:fill="DCE6F1"/>
            <w:noWrap/>
            <w:vAlign w:val="center"/>
            <w:hideMark/>
          </w:tcPr>
          <w:p w14:paraId="034FC80D" w14:textId="77777777" w:rsidR="002C7F07" w:rsidRPr="002C7F07" w:rsidRDefault="002C7F07" w:rsidP="002C7F07">
            <w:pPr>
              <w:spacing w:after="0" w:line="240" w:lineRule="auto"/>
              <w:ind w:firstLineChars="100" w:firstLine="201"/>
              <w:rPr>
                <w:rFonts w:cs="Calibri"/>
                <w:b/>
                <w:bCs/>
                <w:color w:val="000000"/>
                <w:sz w:val="20"/>
                <w:szCs w:val="20"/>
                <w:lang w:eastAsia="sk-SK"/>
              </w:rPr>
            </w:pPr>
            <w:r w:rsidRPr="002C7F07">
              <w:rPr>
                <w:rFonts w:cs="Calibri"/>
                <w:b/>
                <w:bCs/>
                <w:color w:val="000000"/>
                <w:sz w:val="20"/>
                <w:szCs w:val="20"/>
                <w:lang w:eastAsia="sk-SK"/>
              </w:rPr>
              <w:t>Podprogram 1.3: Stratégia a riadenie projektov</w:t>
            </w:r>
          </w:p>
        </w:tc>
        <w:tc>
          <w:tcPr>
            <w:tcW w:w="1677" w:type="dxa"/>
            <w:tcBorders>
              <w:top w:val="nil"/>
              <w:left w:val="nil"/>
              <w:bottom w:val="single" w:sz="8" w:space="0" w:color="4F81BD"/>
              <w:right w:val="nil"/>
            </w:tcBorders>
            <w:shd w:val="clear" w:color="000000" w:fill="DCE6F1"/>
            <w:noWrap/>
            <w:vAlign w:val="center"/>
            <w:hideMark/>
          </w:tcPr>
          <w:p w14:paraId="26BA4E0D" w14:textId="77777777" w:rsidR="002C7F07" w:rsidRPr="002C7F07" w:rsidRDefault="002C7F07" w:rsidP="002C7F07">
            <w:pPr>
              <w:spacing w:after="0" w:line="240" w:lineRule="auto"/>
              <w:jc w:val="right"/>
              <w:rPr>
                <w:rFonts w:cs="Calibri"/>
                <w:b/>
                <w:bCs/>
                <w:color w:val="000000"/>
                <w:sz w:val="20"/>
                <w:szCs w:val="20"/>
                <w:lang w:eastAsia="sk-SK"/>
              </w:rPr>
            </w:pPr>
            <w:r w:rsidRPr="002C7F07">
              <w:rPr>
                <w:rFonts w:cs="Calibri"/>
                <w:b/>
                <w:bCs/>
                <w:color w:val="000000"/>
                <w:sz w:val="20"/>
                <w:szCs w:val="20"/>
                <w:lang w:eastAsia="sk-SK"/>
              </w:rPr>
              <w:t>3 273 253,70</w:t>
            </w:r>
          </w:p>
        </w:tc>
      </w:tr>
      <w:tr w:rsidR="002C7F07" w:rsidRPr="002C7F07" w14:paraId="0CF3F909"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4457DD2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Projekt Malý Dunaj - Kapitálové transfery projektovým partnerom (obce, občianske združenia, VÚC)</w:t>
            </w:r>
          </w:p>
        </w:tc>
        <w:tc>
          <w:tcPr>
            <w:tcW w:w="1677" w:type="dxa"/>
            <w:tcBorders>
              <w:top w:val="nil"/>
              <w:left w:val="nil"/>
              <w:bottom w:val="single" w:sz="8" w:space="0" w:color="DCE6F1"/>
              <w:right w:val="nil"/>
            </w:tcBorders>
            <w:shd w:val="clear" w:color="auto" w:fill="auto"/>
            <w:noWrap/>
            <w:vAlign w:val="center"/>
            <w:hideMark/>
          </w:tcPr>
          <w:p w14:paraId="79CB727C"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1 194 323,32</w:t>
            </w:r>
          </w:p>
        </w:tc>
      </w:tr>
      <w:tr w:rsidR="002C7F07" w:rsidRPr="002C7F07" w14:paraId="065D3706"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06A576A9"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Projekt Rekonštrukcia kaštieľa v Modre -  Stavebné práce</w:t>
            </w:r>
          </w:p>
        </w:tc>
        <w:tc>
          <w:tcPr>
            <w:tcW w:w="1677" w:type="dxa"/>
            <w:tcBorders>
              <w:top w:val="nil"/>
              <w:left w:val="nil"/>
              <w:bottom w:val="single" w:sz="8" w:space="0" w:color="DCE6F1"/>
              <w:right w:val="nil"/>
            </w:tcBorders>
            <w:shd w:val="clear" w:color="auto" w:fill="auto"/>
            <w:noWrap/>
            <w:vAlign w:val="center"/>
            <w:hideMark/>
          </w:tcPr>
          <w:p w14:paraId="14C5E13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361 207,29</w:t>
            </w:r>
          </w:p>
        </w:tc>
      </w:tr>
      <w:tr w:rsidR="002C7F07" w:rsidRPr="002C7F07" w14:paraId="6390A8AC"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41149E5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Projekt COVP  </w:t>
            </w:r>
            <w:proofErr w:type="spellStart"/>
            <w:r w:rsidRPr="002C7F07">
              <w:rPr>
                <w:rFonts w:cs="Calibri"/>
                <w:color w:val="000000"/>
                <w:sz w:val="20"/>
                <w:szCs w:val="20"/>
                <w:lang w:eastAsia="sk-SK"/>
              </w:rPr>
              <w:t>Hlinícka</w:t>
            </w:r>
            <w:proofErr w:type="spellEnd"/>
            <w:r w:rsidRPr="002C7F07">
              <w:rPr>
                <w:rFonts w:cs="Calibri"/>
                <w:color w:val="000000"/>
                <w:sz w:val="20"/>
                <w:szCs w:val="20"/>
                <w:lang w:eastAsia="sk-SK"/>
              </w:rPr>
              <w:t xml:space="preserve"> - nákup výpočtovej techniky a príslušenstva pre SOŠ Hlinická</w:t>
            </w:r>
          </w:p>
        </w:tc>
        <w:tc>
          <w:tcPr>
            <w:tcW w:w="1677" w:type="dxa"/>
            <w:tcBorders>
              <w:top w:val="nil"/>
              <w:left w:val="nil"/>
              <w:bottom w:val="single" w:sz="8" w:space="0" w:color="DCE6F1"/>
              <w:right w:val="nil"/>
            </w:tcBorders>
            <w:shd w:val="clear" w:color="auto" w:fill="auto"/>
            <w:noWrap/>
            <w:vAlign w:val="center"/>
            <w:hideMark/>
          </w:tcPr>
          <w:p w14:paraId="4F0A9205"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89 894,52</w:t>
            </w:r>
          </w:p>
        </w:tc>
      </w:tr>
      <w:tr w:rsidR="002C7F07" w:rsidRPr="002C7F07" w14:paraId="684CAB77"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3FA3CD0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Projekt COVP  </w:t>
            </w:r>
            <w:proofErr w:type="spellStart"/>
            <w:r w:rsidRPr="002C7F07">
              <w:rPr>
                <w:rFonts w:cs="Calibri"/>
                <w:color w:val="000000"/>
                <w:sz w:val="20"/>
                <w:szCs w:val="20"/>
                <w:lang w:eastAsia="sk-SK"/>
              </w:rPr>
              <w:t>Hlinícka</w:t>
            </w:r>
            <w:proofErr w:type="spellEnd"/>
            <w:r w:rsidRPr="002C7F07">
              <w:rPr>
                <w:rFonts w:cs="Calibri"/>
                <w:color w:val="000000"/>
                <w:sz w:val="20"/>
                <w:szCs w:val="20"/>
                <w:lang w:eastAsia="sk-SK"/>
              </w:rPr>
              <w:t xml:space="preserve"> - pásový </w:t>
            </w:r>
            <w:proofErr w:type="spellStart"/>
            <w:r w:rsidRPr="002C7F07">
              <w:rPr>
                <w:rFonts w:cs="Calibri"/>
                <w:color w:val="000000"/>
                <w:sz w:val="20"/>
                <w:szCs w:val="20"/>
                <w:lang w:eastAsia="sk-SK"/>
              </w:rPr>
              <w:t>schodolez</w:t>
            </w:r>
            <w:proofErr w:type="spellEnd"/>
          </w:p>
        </w:tc>
        <w:tc>
          <w:tcPr>
            <w:tcW w:w="1677" w:type="dxa"/>
            <w:tcBorders>
              <w:top w:val="nil"/>
              <w:left w:val="nil"/>
              <w:bottom w:val="single" w:sz="8" w:space="0" w:color="DCE6F1"/>
              <w:right w:val="nil"/>
            </w:tcBorders>
            <w:shd w:val="clear" w:color="auto" w:fill="auto"/>
            <w:noWrap/>
            <w:vAlign w:val="center"/>
            <w:hideMark/>
          </w:tcPr>
          <w:p w14:paraId="09FDCA75"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6 556,00</w:t>
            </w:r>
          </w:p>
        </w:tc>
      </w:tr>
      <w:tr w:rsidR="002C7F07" w:rsidRPr="002C7F07" w14:paraId="06A1CE01"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605AE09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Projekt COVP </w:t>
            </w:r>
            <w:proofErr w:type="spellStart"/>
            <w:r w:rsidRPr="002C7F07">
              <w:rPr>
                <w:rFonts w:cs="Calibri"/>
                <w:color w:val="000000"/>
                <w:sz w:val="20"/>
                <w:szCs w:val="20"/>
                <w:lang w:eastAsia="sk-SK"/>
              </w:rPr>
              <w:t>Ivanská</w:t>
            </w:r>
            <w:proofErr w:type="spellEnd"/>
            <w:r w:rsidRPr="002C7F07">
              <w:rPr>
                <w:rFonts w:cs="Calibri"/>
                <w:color w:val="000000"/>
                <w:sz w:val="20"/>
                <w:szCs w:val="20"/>
                <w:lang w:eastAsia="sk-SK"/>
              </w:rPr>
              <w:t xml:space="preserve"> Cesta -  stavebné práce</w:t>
            </w:r>
          </w:p>
        </w:tc>
        <w:tc>
          <w:tcPr>
            <w:tcW w:w="1677" w:type="dxa"/>
            <w:tcBorders>
              <w:top w:val="nil"/>
              <w:left w:val="nil"/>
              <w:bottom w:val="single" w:sz="8" w:space="0" w:color="DCE6F1"/>
              <w:right w:val="nil"/>
            </w:tcBorders>
            <w:shd w:val="clear" w:color="auto" w:fill="auto"/>
            <w:noWrap/>
            <w:vAlign w:val="center"/>
            <w:hideMark/>
          </w:tcPr>
          <w:p w14:paraId="19665A45"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1 299 749,86</w:t>
            </w:r>
          </w:p>
        </w:tc>
      </w:tr>
      <w:tr w:rsidR="002C7F07" w:rsidRPr="002C7F07" w14:paraId="3DA8818F"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0868B40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Projekt COVP  </w:t>
            </w:r>
            <w:proofErr w:type="spellStart"/>
            <w:r w:rsidRPr="002C7F07">
              <w:rPr>
                <w:rFonts w:cs="Calibri"/>
                <w:color w:val="000000"/>
                <w:sz w:val="20"/>
                <w:szCs w:val="20"/>
                <w:lang w:eastAsia="sk-SK"/>
              </w:rPr>
              <w:t>Hlinícka</w:t>
            </w:r>
            <w:proofErr w:type="spellEnd"/>
            <w:r w:rsidRPr="002C7F07">
              <w:rPr>
                <w:rFonts w:cs="Calibri"/>
                <w:color w:val="000000"/>
                <w:sz w:val="20"/>
                <w:szCs w:val="20"/>
                <w:lang w:eastAsia="sk-SK"/>
              </w:rPr>
              <w:t xml:space="preserve"> - nákup prevádzkových strojov, prístrojov, zariadení, techniky a náradia</w:t>
            </w:r>
          </w:p>
        </w:tc>
        <w:tc>
          <w:tcPr>
            <w:tcW w:w="1677" w:type="dxa"/>
            <w:tcBorders>
              <w:top w:val="nil"/>
              <w:left w:val="nil"/>
              <w:bottom w:val="single" w:sz="8" w:space="0" w:color="DCE6F1"/>
              <w:right w:val="nil"/>
            </w:tcBorders>
            <w:shd w:val="clear" w:color="auto" w:fill="auto"/>
            <w:noWrap/>
            <w:vAlign w:val="center"/>
            <w:hideMark/>
          </w:tcPr>
          <w:p w14:paraId="33CF958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179 041,20</w:t>
            </w:r>
          </w:p>
        </w:tc>
      </w:tr>
      <w:tr w:rsidR="002C7F07" w:rsidRPr="002C7F07" w14:paraId="78E945CE"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047F2E29"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Projekt </w:t>
            </w:r>
            <w:proofErr w:type="spellStart"/>
            <w:r w:rsidRPr="002C7F07">
              <w:rPr>
                <w:rFonts w:cs="Calibri"/>
                <w:color w:val="000000"/>
                <w:sz w:val="20"/>
                <w:szCs w:val="20"/>
                <w:lang w:eastAsia="sk-SK"/>
              </w:rPr>
              <w:t>Deinštitucionalizácia</w:t>
            </w:r>
            <w:proofErr w:type="spellEnd"/>
            <w:r w:rsidRPr="002C7F07">
              <w:rPr>
                <w:rFonts w:cs="Calibri"/>
                <w:color w:val="000000"/>
                <w:sz w:val="20"/>
                <w:szCs w:val="20"/>
                <w:lang w:eastAsia="sk-SK"/>
              </w:rPr>
              <w:t xml:space="preserve"> DSS a ZPS Rača - </w:t>
            </w:r>
            <w:proofErr w:type="spellStart"/>
            <w:r w:rsidRPr="002C7F07">
              <w:rPr>
                <w:rFonts w:cs="Calibri"/>
                <w:color w:val="000000"/>
                <w:sz w:val="20"/>
                <w:szCs w:val="20"/>
                <w:lang w:eastAsia="sk-SK"/>
              </w:rPr>
              <w:t>Strelkova</w:t>
            </w:r>
            <w:proofErr w:type="spellEnd"/>
            <w:r w:rsidRPr="002C7F07">
              <w:rPr>
                <w:rFonts w:cs="Calibri"/>
                <w:color w:val="000000"/>
                <w:sz w:val="20"/>
                <w:szCs w:val="20"/>
                <w:lang w:eastAsia="sk-SK"/>
              </w:rPr>
              <w:t xml:space="preserve"> - stavebné práce</w:t>
            </w:r>
          </w:p>
        </w:tc>
        <w:tc>
          <w:tcPr>
            <w:tcW w:w="1677" w:type="dxa"/>
            <w:tcBorders>
              <w:top w:val="nil"/>
              <w:left w:val="nil"/>
              <w:bottom w:val="single" w:sz="8" w:space="0" w:color="DCE6F1"/>
              <w:right w:val="nil"/>
            </w:tcBorders>
            <w:shd w:val="clear" w:color="auto" w:fill="auto"/>
            <w:noWrap/>
            <w:vAlign w:val="center"/>
            <w:hideMark/>
          </w:tcPr>
          <w:p w14:paraId="1E1A7AE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41 251,09</w:t>
            </w:r>
          </w:p>
        </w:tc>
      </w:tr>
      <w:tr w:rsidR="002C7F07" w:rsidRPr="002C7F07" w14:paraId="0B52E731"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2827ECE5"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lastRenderedPageBreak/>
              <w:t xml:space="preserve">Projekt </w:t>
            </w:r>
            <w:proofErr w:type="spellStart"/>
            <w:r w:rsidRPr="002C7F07">
              <w:rPr>
                <w:rFonts w:cs="Calibri"/>
                <w:color w:val="000000"/>
                <w:sz w:val="20"/>
                <w:szCs w:val="20"/>
                <w:lang w:eastAsia="sk-SK"/>
              </w:rPr>
              <w:t>Deinštitucionalizácia</w:t>
            </w:r>
            <w:proofErr w:type="spellEnd"/>
            <w:r w:rsidRPr="002C7F07">
              <w:rPr>
                <w:rFonts w:cs="Calibri"/>
                <w:color w:val="000000"/>
                <w:sz w:val="20"/>
                <w:szCs w:val="20"/>
                <w:lang w:eastAsia="sk-SK"/>
              </w:rPr>
              <w:t xml:space="preserve"> DSS a ZPS Rača - Račianska - stavebné práce</w:t>
            </w:r>
          </w:p>
        </w:tc>
        <w:tc>
          <w:tcPr>
            <w:tcW w:w="1677" w:type="dxa"/>
            <w:tcBorders>
              <w:top w:val="nil"/>
              <w:left w:val="nil"/>
              <w:bottom w:val="single" w:sz="8" w:space="0" w:color="DCE6F1"/>
              <w:right w:val="nil"/>
            </w:tcBorders>
            <w:shd w:val="clear" w:color="auto" w:fill="auto"/>
            <w:noWrap/>
            <w:vAlign w:val="center"/>
            <w:hideMark/>
          </w:tcPr>
          <w:p w14:paraId="1EB7C6D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49 881,58</w:t>
            </w:r>
          </w:p>
        </w:tc>
      </w:tr>
      <w:tr w:rsidR="002C7F07" w:rsidRPr="002C7F07" w14:paraId="3542639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67BFD2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Projekt </w:t>
            </w:r>
            <w:proofErr w:type="spellStart"/>
            <w:r w:rsidRPr="002C7F07">
              <w:rPr>
                <w:rFonts w:cs="Calibri"/>
                <w:color w:val="000000"/>
                <w:sz w:val="20"/>
                <w:szCs w:val="20"/>
                <w:lang w:eastAsia="sk-SK"/>
              </w:rPr>
              <w:t>Cyklolávky</w:t>
            </w:r>
            <w:proofErr w:type="spellEnd"/>
            <w:r w:rsidRPr="002C7F07">
              <w:rPr>
                <w:rFonts w:cs="Calibri"/>
                <w:color w:val="000000"/>
                <w:sz w:val="20"/>
                <w:szCs w:val="20"/>
                <w:lang w:eastAsia="sk-SK"/>
              </w:rPr>
              <w:t xml:space="preserve"> cez rieku Morava - prípravná projektová dokumentácia</w:t>
            </w:r>
          </w:p>
        </w:tc>
        <w:tc>
          <w:tcPr>
            <w:tcW w:w="1677" w:type="dxa"/>
            <w:tcBorders>
              <w:top w:val="nil"/>
              <w:left w:val="nil"/>
              <w:bottom w:val="single" w:sz="8" w:space="0" w:color="DCE6F1"/>
              <w:right w:val="nil"/>
            </w:tcBorders>
            <w:shd w:val="clear" w:color="auto" w:fill="auto"/>
            <w:noWrap/>
            <w:vAlign w:val="center"/>
            <w:hideMark/>
          </w:tcPr>
          <w:p w14:paraId="5DAC479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51 348,84</w:t>
            </w:r>
          </w:p>
        </w:tc>
      </w:tr>
      <w:tr w:rsidR="002C7F07" w:rsidRPr="002C7F07" w14:paraId="56FD2420"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4EF255A4"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3: Interné služby</w:t>
            </w:r>
          </w:p>
        </w:tc>
        <w:tc>
          <w:tcPr>
            <w:tcW w:w="1677" w:type="dxa"/>
            <w:tcBorders>
              <w:top w:val="nil"/>
              <w:left w:val="nil"/>
              <w:bottom w:val="single" w:sz="8" w:space="0" w:color="DCE6F1"/>
              <w:right w:val="nil"/>
            </w:tcBorders>
            <w:shd w:val="clear" w:color="000000" w:fill="95B3D7"/>
            <w:noWrap/>
            <w:vAlign w:val="center"/>
            <w:hideMark/>
          </w:tcPr>
          <w:p w14:paraId="41CC559C"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5 349 904,53</w:t>
            </w:r>
          </w:p>
        </w:tc>
      </w:tr>
      <w:tr w:rsidR="002C7F07" w:rsidRPr="002C7F07" w14:paraId="12DE247B" w14:textId="77777777" w:rsidTr="002C7F07">
        <w:trPr>
          <w:trHeight w:val="315"/>
        </w:trPr>
        <w:tc>
          <w:tcPr>
            <w:tcW w:w="8789" w:type="dxa"/>
            <w:tcBorders>
              <w:top w:val="nil"/>
              <w:left w:val="nil"/>
              <w:bottom w:val="single" w:sz="8" w:space="0" w:color="4F81BD"/>
              <w:right w:val="nil"/>
            </w:tcBorders>
            <w:shd w:val="clear" w:color="000000" w:fill="DCE6F1"/>
            <w:noWrap/>
            <w:vAlign w:val="center"/>
            <w:hideMark/>
          </w:tcPr>
          <w:p w14:paraId="485FD364" w14:textId="77777777" w:rsidR="002C7F07" w:rsidRPr="002C7F07" w:rsidRDefault="002C7F07" w:rsidP="002C7F07">
            <w:pPr>
              <w:spacing w:after="0" w:line="240" w:lineRule="auto"/>
              <w:ind w:firstLineChars="100" w:firstLine="201"/>
              <w:rPr>
                <w:rFonts w:cs="Calibri"/>
                <w:b/>
                <w:bCs/>
                <w:color w:val="000000"/>
                <w:sz w:val="20"/>
                <w:szCs w:val="20"/>
                <w:lang w:eastAsia="sk-SK"/>
              </w:rPr>
            </w:pPr>
            <w:r w:rsidRPr="002C7F07">
              <w:rPr>
                <w:rFonts w:cs="Calibri"/>
                <w:b/>
                <w:bCs/>
                <w:color w:val="000000"/>
                <w:sz w:val="20"/>
                <w:szCs w:val="20"/>
                <w:lang w:eastAsia="sk-SK"/>
              </w:rPr>
              <w:t>Podprogram 3.1: Správa a evidencia majetku</w:t>
            </w:r>
          </w:p>
        </w:tc>
        <w:tc>
          <w:tcPr>
            <w:tcW w:w="1677" w:type="dxa"/>
            <w:tcBorders>
              <w:top w:val="nil"/>
              <w:left w:val="nil"/>
              <w:bottom w:val="single" w:sz="8" w:space="0" w:color="4F81BD"/>
              <w:right w:val="nil"/>
            </w:tcBorders>
            <w:shd w:val="clear" w:color="000000" w:fill="DCE6F1"/>
            <w:noWrap/>
            <w:vAlign w:val="center"/>
            <w:hideMark/>
          </w:tcPr>
          <w:p w14:paraId="1F3D6F28"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748 805,87</w:t>
            </w:r>
          </w:p>
        </w:tc>
      </w:tr>
      <w:tr w:rsidR="002C7F07" w:rsidRPr="002C7F07" w14:paraId="4A4679E0"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6F2A391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Výkup pozemkov pod cestami BSK</w:t>
            </w:r>
          </w:p>
        </w:tc>
        <w:tc>
          <w:tcPr>
            <w:tcW w:w="1677" w:type="dxa"/>
            <w:tcBorders>
              <w:top w:val="nil"/>
              <w:left w:val="nil"/>
              <w:bottom w:val="single" w:sz="8" w:space="0" w:color="DCE6F1"/>
              <w:right w:val="nil"/>
            </w:tcBorders>
            <w:shd w:val="clear" w:color="auto" w:fill="auto"/>
            <w:noWrap/>
            <w:vAlign w:val="center"/>
            <w:hideMark/>
          </w:tcPr>
          <w:p w14:paraId="41DCAF8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748 805,87</w:t>
            </w:r>
          </w:p>
        </w:tc>
      </w:tr>
      <w:tr w:rsidR="002C7F07" w:rsidRPr="002C7F07" w14:paraId="0AF4B685" w14:textId="77777777" w:rsidTr="002C7F07">
        <w:trPr>
          <w:trHeight w:val="315"/>
        </w:trPr>
        <w:tc>
          <w:tcPr>
            <w:tcW w:w="8789" w:type="dxa"/>
            <w:tcBorders>
              <w:top w:val="nil"/>
              <w:left w:val="nil"/>
              <w:bottom w:val="single" w:sz="8" w:space="0" w:color="4F81BD"/>
              <w:right w:val="nil"/>
            </w:tcBorders>
            <w:shd w:val="clear" w:color="000000" w:fill="DCE6F1"/>
            <w:noWrap/>
            <w:vAlign w:val="center"/>
            <w:hideMark/>
          </w:tcPr>
          <w:p w14:paraId="0CBE6A2F" w14:textId="77777777" w:rsidR="002C7F07" w:rsidRPr="002C7F07" w:rsidRDefault="002C7F07" w:rsidP="002C7F07">
            <w:pPr>
              <w:spacing w:after="0" w:line="240" w:lineRule="auto"/>
              <w:ind w:firstLineChars="100" w:firstLine="201"/>
              <w:rPr>
                <w:rFonts w:cs="Calibri"/>
                <w:b/>
                <w:bCs/>
                <w:color w:val="000000"/>
                <w:sz w:val="20"/>
                <w:szCs w:val="20"/>
                <w:lang w:eastAsia="sk-SK"/>
              </w:rPr>
            </w:pPr>
            <w:r w:rsidRPr="002C7F07">
              <w:rPr>
                <w:rFonts w:cs="Calibri"/>
                <w:b/>
                <w:bCs/>
                <w:color w:val="000000"/>
                <w:sz w:val="20"/>
                <w:szCs w:val="20"/>
                <w:lang w:eastAsia="sk-SK"/>
              </w:rPr>
              <w:t>Podprogram 3.2: Informačno-technologický systém</w:t>
            </w:r>
          </w:p>
        </w:tc>
        <w:tc>
          <w:tcPr>
            <w:tcW w:w="1677" w:type="dxa"/>
            <w:tcBorders>
              <w:top w:val="nil"/>
              <w:left w:val="nil"/>
              <w:bottom w:val="single" w:sz="8" w:space="0" w:color="4F81BD"/>
              <w:right w:val="nil"/>
            </w:tcBorders>
            <w:shd w:val="clear" w:color="000000" w:fill="DCE6F1"/>
            <w:noWrap/>
            <w:vAlign w:val="center"/>
            <w:hideMark/>
          </w:tcPr>
          <w:p w14:paraId="7FFC3E73"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30 773,76</w:t>
            </w:r>
          </w:p>
        </w:tc>
      </w:tr>
      <w:tr w:rsidR="002C7F07" w:rsidRPr="002C7F07" w14:paraId="4E530243"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690ABFC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Zabezpečenie funkčného rozšírenia APV </w:t>
            </w:r>
            <w:proofErr w:type="spellStart"/>
            <w:r w:rsidRPr="002C7F07">
              <w:rPr>
                <w:rFonts w:cs="Calibri"/>
                <w:color w:val="000000"/>
                <w:sz w:val="20"/>
                <w:szCs w:val="20"/>
                <w:lang w:eastAsia="sk-SK"/>
              </w:rPr>
              <w:t>Asseco</w:t>
            </w:r>
            <w:proofErr w:type="spellEnd"/>
            <w:r w:rsidRPr="002C7F07">
              <w:rPr>
                <w:rFonts w:cs="Calibri"/>
                <w:color w:val="000000"/>
                <w:sz w:val="20"/>
                <w:szCs w:val="20"/>
                <w:lang w:eastAsia="sk-SK"/>
              </w:rPr>
              <w:t xml:space="preserve"> </w:t>
            </w:r>
            <w:proofErr w:type="spellStart"/>
            <w:r w:rsidRPr="002C7F07">
              <w:rPr>
                <w:rFonts w:cs="Calibri"/>
                <w:color w:val="000000"/>
                <w:sz w:val="20"/>
                <w:szCs w:val="20"/>
                <w:lang w:eastAsia="sk-SK"/>
              </w:rPr>
              <w:t>iSPIN</w:t>
            </w:r>
            <w:proofErr w:type="spellEnd"/>
            <w:r w:rsidRPr="002C7F07">
              <w:rPr>
                <w:rFonts w:cs="Calibri"/>
                <w:color w:val="000000"/>
                <w:sz w:val="20"/>
                <w:szCs w:val="20"/>
                <w:lang w:eastAsia="sk-SK"/>
              </w:rPr>
              <w:t xml:space="preserve">, automatizované načítanie bankového výpisu zo systému Štátnej pokladnice do </w:t>
            </w:r>
            <w:proofErr w:type="spellStart"/>
            <w:r w:rsidRPr="002C7F07">
              <w:rPr>
                <w:rFonts w:cs="Calibri"/>
                <w:color w:val="000000"/>
                <w:sz w:val="20"/>
                <w:szCs w:val="20"/>
                <w:lang w:eastAsia="sk-SK"/>
              </w:rPr>
              <w:t>iSPIN</w:t>
            </w:r>
            <w:proofErr w:type="spellEnd"/>
            <w:r w:rsidRPr="002C7F07">
              <w:rPr>
                <w:rFonts w:cs="Calibri"/>
                <w:color w:val="000000"/>
                <w:sz w:val="20"/>
                <w:szCs w:val="20"/>
                <w:lang w:eastAsia="sk-SK"/>
              </w:rPr>
              <w:t xml:space="preserve"> pre všetky </w:t>
            </w:r>
            <w:proofErr w:type="spellStart"/>
            <w:r w:rsidRPr="002C7F07">
              <w:rPr>
                <w:rFonts w:cs="Calibri"/>
                <w:color w:val="000000"/>
                <w:sz w:val="20"/>
                <w:szCs w:val="20"/>
                <w:lang w:eastAsia="sk-SK"/>
              </w:rPr>
              <w:t>OvZP</w:t>
            </w:r>
            <w:proofErr w:type="spellEnd"/>
            <w:r w:rsidRPr="002C7F07">
              <w:rPr>
                <w:rFonts w:cs="Calibri"/>
                <w:color w:val="000000"/>
                <w:sz w:val="20"/>
                <w:szCs w:val="20"/>
                <w:lang w:eastAsia="sk-SK"/>
              </w:rPr>
              <w:t xml:space="preserve"> BSK.</w:t>
            </w:r>
          </w:p>
        </w:tc>
        <w:tc>
          <w:tcPr>
            <w:tcW w:w="1677" w:type="dxa"/>
            <w:tcBorders>
              <w:top w:val="nil"/>
              <w:left w:val="nil"/>
              <w:bottom w:val="single" w:sz="8" w:space="0" w:color="DCE6F1"/>
              <w:right w:val="nil"/>
            </w:tcBorders>
            <w:shd w:val="clear" w:color="auto" w:fill="auto"/>
            <w:noWrap/>
            <w:vAlign w:val="center"/>
            <w:hideMark/>
          </w:tcPr>
          <w:p w14:paraId="5C6CA06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28 008,00</w:t>
            </w:r>
          </w:p>
        </w:tc>
      </w:tr>
      <w:tr w:rsidR="002C7F07" w:rsidRPr="002C7F07" w14:paraId="682297F0"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618A9290"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Rozšírenie prostredia aplikácie </w:t>
            </w:r>
            <w:proofErr w:type="spellStart"/>
            <w:r w:rsidRPr="002C7F07">
              <w:rPr>
                <w:rFonts w:cs="Calibri"/>
                <w:color w:val="000000"/>
                <w:sz w:val="20"/>
                <w:szCs w:val="20"/>
                <w:lang w:eastAsia="sk-SK"/>
              </w:rPr>
              <w:t>iSPIN</w:t>
            </w:r>
            <w:proofErr w:type="spellEnd"/>
            <w:r w:rsidRPr="002C7F07">
              <w:rPr>
                <w:rFonts w:cs="Calibri"/>
                <w:color w:val="000000"/>
                <w:sz w:val="20"/>
                <w:szCs w:val="20"/>
                <w:lang w:eastAsia="sk-SK"/>
              </w:rPr>
              <w:t xml:space="preserve"> o druhý aplikačný server, ktoré v sebe zahŕňa súčinnosť systémových pracovníkov pri správnom konfigurovaní potrebných parametrov </w:t>
            </w:r>
            <w:proofErr w:type="spellStart"/>
            <w:r w:rsidRPr="002C7F07">
              <w:rPr>
                <w:rFonts w:cs="Calibri"/>
                <w:color w:val="000000"/>
                <w:sz w:val="20"/>
                <w:szCs w:val="20"/>
                <w:lang w:eastAsia="sk-SK"/>
              </w:rPr>
              <w:t>virtual</w:t>
            </w:r>
            <w:proofErr w:type="spellEnd"/>
            <w:r w:rsidRPr="002C7F07">
              <w:rPr>
                <w:rFonts w:cs="Calibri"/>
                <w:color w:val="000000"/>
                <w:sz w:val="20"/>
                <w:szCs w:val="20"/>
                <w:lang w:eastAsia="sk-SK"/>
              </w:rPr>
              <w:t xml:space="preserve"> </w:t>
            </w:r>
            <w:proofErr w:type="spellStart"/>
            <w:r w:rsidRPr="002C7F07">
              <w:rPr>
                <w:rFonts w:cs="Calibri"/>
                <w:color w:val="000000"/>
                <w:sz w:val="20"/>
                <w:szCs w:val="20"/>
                <w:lang w:eastAsia="sk-SK"/>
              </w:rPr>
              <w:t>machine</w:t>
            </w:r>
            <w:proofErr w:type="spellEnd"/>
            <w:r w:rsidRPr="002C7F07">
              <w:rPr>
                <w:rFonts w:cs="Calibri"/>
                <w:color w:val="000000"/>
                <w:sz w:val="20"/>
                <w:szCs w:val="20"/>
                <w:lang w:eastAsia="sk-SK"/>
              </w:rPr>
              <w:t xml:space="preserve"> pre app2</w:t>
            </w:r>
          </w:p>
        </w:tc>
        <w:tc>
          <w:tcPr>
            <w:tcW w:w="1677" w:type="dxa"/>
            <w:tcBorders>
              <w:top w:val="nil"/>
              <w:left w:val="nil"/>
              <w:bottom w:val="single" w:sz="8" w:space="0" w:color="DCE6F1"/>
              <w:right w:val="nil"/>
            </w:tcBorders>
            <w:shd w:val="clear" w:color="auto" w:fill="auto"/>
            <w:noWrap/>
            <w:vAlign w:val="center"/>
            <w:hideMark/>
          </w:tcPr>
          <w:p w14:paraId="1C25906E" w14:textId="65A4EE74"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 xml:space="preserve">2 </w:t>
            </w:r>
            <w:r w:rsidR="001845FD">
              <w:rPr>
                <w:rFonts w:cs="Calibri"/>
                <w:color w:val="000000"/>
                <w:sz w:val="20"/>
                <w:szCs w:val="20"/>
                <w:lang w:eastAsia="sk-SK"/>
              </w:rPr>
              <w:t>765</w:t>
            </w:r>
            <w:r w:rsidRPr="002C7F07">
              <w:rPr>
                <w:rFonts w:cs="Calibri"/>
                <w:color w:val="000000"/>
                <w:sz w:val="20"/>
                <w:szCs w:val="20"/>
                <w:lang w:eastAsia="sk-SK"/>
              </w:rPr>
              <w:t>,</w:t>
            </w:r>
            <w:r w:rsidR="001845FD">
              <w:rPr>
                <w:rFonts w:cs="Calibri"/>
                <w:color w:val="000000"/>
                <w:sz w:val="20"/>
                <w:szCs w:val="20"/>
                <w:lang w:eastAsia="sk-SK"/>
              </w:rPr>
              <w:t>76</w:t>
            </w:r>
          </w:p>
        </w:tc>
      </w:tr>
      <w:tr w:rsidR="002C7F07" w:rsidRPr="002C7F07" w14:paraId="0B6DECB2" w14:textId="77777777" w:rsidTr="002C7F07">
        <w:trPr>
          <w:trHeight w:val="315"/>
        </w:trPr>
        <w:tc>
          <w:tcPr>
            <w:tcW w:w="8789" w:type="dxa"/>
            <w:tcBorders>
              <w:top w:val="nil"/>
              <w:left w:val="nil"/>
              <w:bottom w:val="single" w:sz="8" w:space="0" w:color="4F81BD"/>
              <w:right w:val="nil"/>
            </w:tcBorders>
            <w:shd w:val="clear" w:color="000000" w:fill="DCE6F1"/>
            <w:noWrap/>
            <w:vAlign w:val="center"/>
            <w:hideMark/>
          </w:tcPr>
          <w:p w14:paraId="233782CD" w14:textId="77777777" w:rsidR="002C7F07" w:rsidRPr="002C7F07" w:rsidRDefault="002C7F07" w:rsidP="002C7F07">
            <w:pPr>
              <w:spacing w:after="0" w:line="240" w:lineRule="auto"/>
              <w:ind w:firstLineChars="100" w:firstLine="201"/>
              <w:rPr>
                <w:rFonts w:cs="Calibri"/>
                <w:b/>
                <w:bCs/>
                <w:color w:val="000000"/>
                <w:sz w:val="20"/>
                <w:szCs w:val="20"/>
                <w:lang w:eastAsia="sk-SK"/>
              </w:rPr>
            </w:pPr>
            <w:r w:rsidRPr="002C7F07">
              <w:rPr>
                <w:rFonts w:cs="Calibri"/>
                <w:b/>
                <w:bCs/>
                <w:color w:val="000000"/>
                <w:sz w:val="20"/>
                <w:szCs w:val="20"/>
                <w:lang w:eastAsia="sk-SK"/>
              </w:rPr>
              <w:t>Podprogram 3.3: Správa a evidencia majetku</w:t>
            </w:r>
          </w:p>
        </w:tc>
        <w:tc>
          <w:tcPr>
            <w:tcW w:w="1677" w:type="dxa"/>
            <w:tcBorders>
              <w:top w:val="nil"/>
              <w:left w:val="nil"/>
              <w:bottom w:val="single" w:sz="8" w:space="0" w:color="4F81BD"/>
              <w:right w:val="nil"/>
            </w:tcBorders>
            <w:shd w:val="clear" w:color="000000" w:fill="DCE6F1"/>
            <w:noWrap/>
            <w:vAlign w:val="center"/>
            <w:hideMark/>
          </w:tcPr>
          <w:p w14:paraId="23A1A61A"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4 570 324,90</w:t>
            </w:r>
          </w:p>
        </w:tc>
      </w:tr>
      <w:tr w:rsidR="002C7F07" w:rsidRPr="002C7F07" w14:paraId="4E333DD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31E1374" w14:textId="77777777" w:rsidR="002C7F07" w:rsidRPr="002C7F07" w:rsidRDefault="002C7F07" w:rsidP="002C7F07">
            <w:pPr>
              <w:spacing w:after="0" w:line="240" w:lineRule="auto"/>
              <w:rPr>
                <w:rFonts w:cs="Calibri"/>
                <w:color w:val="000000"/>
                <w:sz w:val="20"/>
                <w:szCs w:val="20"/>
                <w:lang w:eastAsia="sk-SK"/>
              </w:rPr>
            </w:pPr>
            <w:proofErr w:type="spellStart"/>
            <w:r w:rsidRPr="002C7F07">
              <w:rPr>
                <w:rFonts w:cs="Calibri"/>
                <w:color w:val="000000"/>
                <w:sz w:val="20"/>
                <w:szCs w:val="20"/>
                <w:lang w:eastAsia="sk-SK"/>
              </w:rPr>
              <w:t>Deinštitucionalizácia</w:t>
            </w:r>
            <w:proofErr w:type="spellEnd"/>
            <w:r w:rsidRPr="002C7F07">
              <w:rPr>
                <w:rFonts w:cs="Calibri"/>
                <w:color w:val="000000"/>
                <w:sz w:val="20"/>
                <w:szCs w:val="20"/>
                <w:lang w:eastAsia="sk-SK"/>
              </w:rPr>
              <w:t xml:space="preserve"> / nákup nehnuteľnosti - Modra</w:t>
            </w:r>
          </w:p>
        </w:tc>
        <w:tc>
          <w:tcPr>
            <w:tcW w:w="1677" w:type="dxa"/>
            <w:tcBorders>
              <w:top w:val="nil"/>
              <w:left w:val="nil"/>
              <w:bottom w:val="single" w:sz="8" w:space="0" w:color="DCE6F1"/>
              <w:right w:val="nil"/>
            </w:tcBorders>
            <w:shd w:val="clear" w:color="auto" w:fill="auto"/>
            <w:noWrap/>
            <w:vAlign w:val="center"/>
            <w:hideMark/>
          </w:tcPr>
          <w:p w14:paraId="03DCF1C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259 900,00</w:t>
            </w:r>
          </w:p>
        </w:tc>
      </w:tr>
      <w:tr w:rsidR="002C7F07" w:rsidRPr="002C7F07" w14:paraId="2308213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ED790C9"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Protipovodňové opatrenia a vybudovanie novej dažďovej kanalizácie</w:t>
            </w:r>
          </w:p>
        </w:tc>
        <w:tc>
          <w:tcPr>
            <w:tcW w:w="1677" w:type="dxa"/>
            <w:tcBorders>
              <w:top w:val="nil"/>
              <w:left w:val="nil"/>
              <w:bottom w:val="single" w:sz="8" w:space="0" w:color="DCE6F1"/>
              <w:right w:val="nil"/>
            </w:tcBorders>
            <w:shd w:val="clear" w:color="auto" w:fill="auto"/>
            <w:noWrap/>
            <w:vAlign w:val="center"/>
            <w:hideMark/>
          </w:tcPr>
          <w:p w14:paraId="4EDA2D4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38 878,27</w:t>
            </w:r>
          </w:p>
        </w:tc>
      </w:tr>
      <w:tr w:rsidR="002C7F07" w:rsidRPr="002C7F07" w14:paraId="7624B684"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9EDF5D9"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Zakúpenie </w:t>
            </w:r>
            <w:proofErr w:type="spellStart"/>
            <w:r w:rsidRPr="002C7F07">
              <w:rPr>
                <w:rFonts w:cs="Calibri"/>
                <w:color w:val="000000"/>
                <w:sz w:val="20"/>
                <w:szCs w:val="20"/>
                <w:lang w:eastAsia="sk-SK"/>
              </w:rPr>
              <w:t>dronu</w:t>
            </w:r>
            <w:proofErr w:type="spellEnd"/>
            <w:r w:rsidRPr="002C7F07">
              <w:rPr>
                <w:rFonts w:cs="Calibri"/>
                <w:color w:val="000000"/>
                <w:sz w:val="20"/>
                <w:szCs w:val="20"/>
                <w:lang w:eastAsia="sk-SK"/>
              </w:rPr>
              <w:t xml:space="preserve"> DJI </w:t>
            </w:r>
            <w:proofErr w:type="spellStart"/>
            <w:r w:rsidRPr="002C7F07">
              <w:rPr>
                <w:rFonts w:cs="Calibri"/>
                <w:color w:val="000000"/>
                <w:sz w:val="20"/>
                <w:szCs w:val="20"/>
                <w:lang w:eastAsia="sk-SK"/>
              </w:rPr>
              <w:t>Mavic</w:t>
            </w:r>
            <w:proofErr w:type="spellEnd"/>
            <w:r w:rsidRPr="002C7F07">
              <w:rPr>
                <w:rFonts w:cs="Calibri"/>
                <w:color w:val="000000"/>
                <w:sz w:val="20"/>
                <w:szCs w:val="20"/>
                <w:lang w:eastAsia="sk-SK"/>
              </w:rPr>
              <w:t xml:space="preserve"> 2 Pro / DJI </w:t>
            </w:r>
            <w:proofErr w:type="spellStart"/>
            <w:r w:rsidRPr="002C7F07">
              <w:rPr>
                <w:rFonts w:cs="Calibri"/>
                <w:color w:val="000000"/>
                <w:sz w:val="20"/>
                <w:szCs w:val="20"/>
                <w:lang w:eastAsia="sk-SK"/>
              </w:rPr>
              <w:t>Smart</w:t>
            </w:r>
            <w:proofErr w:type="spellEnd"/>
            <w:r w:rsidRPr="002C7F07">
              <w:rPr>
                <w:rFonts w:cs="Calibri"/>
                <w:color w:val="000000"/>
                <w:sz w:val="20"/>
                <w:szCs w:val="20"/>
                <w:lang w:eastAsia="sk-SK"/>
              </w:rPr>
              <w:t xml:space="preserve"> </w:t>
            </w:r>
            <w:proofErr w:type="spellStart"/>
            <w:r w:rsidRPr="002C7F07">
              <w:rPr>
                <w:rFonts w:cs="Calibri"/>
                <w:color w:val="000000"/>
                <w:sz w:val="20"/>
                <w:szCs w:val="20"/>
                <w:lang w:eastAsia="sk-SK"/>
              </w:rPr>
              <w:t>Controller</w:t>
            </w:r>
            <w:proofErr w:type="spellEnd"/>
          </w:p>
        </w:tc>
        <w:tc>
          <w:tcPr>
            <w:tcW w:w="1677" w:type="dxa"/>
            <w:tcBorders>
              <w:top w:val="nil"/>
              <w:left w:val="nil"/>
              <w:bottom w:val="single" w:sz="8" w:space="0" w:color="DCE6F1"/>
              <w:right w:val="nil"/>
            </w:tcBorders>
            <w:shd w:val="clear" w:color="auto" w:fill="auto"/>
            <w:noWrap/>
            <w:vAlign w:val="center"/>
            <w:hideMark/>
          </w:tcPr>
          <w:p w14:paraId="08FD3D4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1 896,00</w:t>
            </w:r>
          </w:p>
        </w:tc>
      </w:tr>
      <w:tr w:rsidR="002C7F07" w:rsidRPr="002C7F07" w14:paraId="71D1379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797ACB1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Autistické centrum, </w:t>
            </w:r>
            <w:proofErr w:type="spellStart"/>
            <w:r w:rsidRPr="002C7F07">
              <w:rPr>
                <w:rFonts w:cs="Calibri"/>
                <w:color w:val="000000"/>
                <w:sz w:val="20"/>
                <w:szCs w:val="20"/>
                <w:lang w:eastAsia="sk-SK"/>
              </w:rPr>
              <w:t>Znievska</w:t>
            </w:r>
            <w:proofErr w:type="spellEnd"/>
            <w:r w:rsidRPr="002C7F07">
              <w:rPr>
                <w:rFonts w:cs="Calibri"/>
                <w:color w:val="000000"/>
                <w:sz w:val="20"/>
                <w:szCs w:val="20"/>
                <w:lang w:eastAsia="sk-SK"/>
              </w:rPr>
              <w:t xml:space="preserve"> - vypracovanie architektonickej štúdie a projektové práce</w:t>
            </w:r>
          </w:p>
        </w:tc>
        <w:tc>
          <w:tcPr>
            <w:tcW w:w="1677" w:type="dxa"/>
            <w:tcBorders>
              <w:top w:val="nil"/>
              <w:left w:val="nil"/>
              <w:bottom w:val="single" w:sz="8" w:space="0" w:color="DCE6F1"/>
              <w:right w:val="nil"/>
            </w:tcBorders>
            <w:shd w:val="clear" w:color="auto" w:fill="auto"/>
            <w:noWrap/>
            <w:vAlign w:val="center"/>
            <w:hideMark/>
          </w:tcPr>
          <w:p w14:paraId="76CEAD0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5 952,00</w:t>
            </w:r>
          </w:p>
        </w:tc>
      </w:tr>
      <w:tr w:rsidR="002C7F07" w:rsidRPr="002C7F07" w14:paraId="12FB578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24D94E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Stavebný dozor investora / DI Rača - </w:t>
            </w:r>
            <w:proofErr w:type="spellStart"/>
            <w:r w:rsidRPr="002C7F07">
              <w:rPr>
                <w:rFonts w:cs="Calibri"/>
                <w:color w:val="000000"/>
                <w:sz w:val="20"/>
                <w:szCs w:val="20"/>
                <w:lang w:eastAsia="sk-SK"/>
              </w:rPr>
              <w:t>Strelkova</w:t>
            </w:r>
            <w:proofErr w:type="spellEnd"/>
            <w:r w:rsidRPr="002C7F07">
              <w:rPr>
                <w:rFonts w:cs="Calibri"/>
                <w:color w:val="000000"/>
                <w:sz w:val="20"/>
                <w:szCs w:val="20"/>
                <w:lang w:eastAsia="sk-SK"/>
              </w:rPr>
              <w:t>, Račianska</w:t>
            </w:r>
          </w:p>
        </w:tc>
        <w:tc>
          <w:tcPr>
            <w:tcW w:w="1677" w:type="dxa"/>
            <w:tcBorders>
              <w:top w:val="nil"/>
              <w:left w:val="nil"/>
              <w:bottom w:val="single" w:sz="8" w:space="0" w:color="DCE6F1"/>
              <w:right w:val="nil"/>
            </w:tcBorders>
            <w:shd w:val="clear" w:color="auto" w:fill="auto"/>
            <w:noWrap/>
            <w:vAlign w:val="center"/>
            <w:hideMark/>
          </w:tcPr>
          <w:p w14:paraId="7556836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8 160,00</w:t>
            </w:r>
          </w:p>
        </w:tc>
      </w:tr>
      <w:tr w:rsidR="002C7F07" w:rsidRPr="002C7F07" w14:paraId="1461D12B"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F5938B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Stavebný dozor investora / SACRA VELO</w:t>
            </w:r>
          </w:p>
        </w:tc>
        <w:tc>
          <w:tcPr>
            <w:tcW w:w="1677" w:type="dxa"/>
            <w:tcBorders>
              <w:top w:val="nil"/>
              <w:left w:val="nil"/>
              <w:bottom w:val="single" w:sz="8" w:space="0" w:color="DCE6F1"/>
              <w:right w:val="nil"/>
            </w:tcBorders>
            <w:shd w:val="clear" w:color="auto" w:fill="auto"/>
            <w:noWrap/>
            <w:vAlign w:val="center"/>
            <w:hideMark/>
          </w:tcPr>
          <w:p w14:paraId="2CE2D06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1 879,61</w:t>
            </w:r>
          </w:p>
        </w:tc>
      </w:tr>
      <w:tr w:rsidR="002C7F07" w:rsidRPr="002C7F07" w14:paraId="730633FD"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7A2189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Stavebné práce / evakuačný výťah - OZ Náruč Senior &amp; Junior, </w:t>
            </w:r>
            <w:proofErr w:type="spellStart"/>
            <w:r w:rsidRPr="002C7F07">
              <w:rPr>
                <w:rFonts w:cs="Calibri"/>
                <w:color w:val="000000"/>
                <w:sz w:val="20"/>
                <w:szCs w:val="20"/>
                <w:lang w:eastAsia="sk-SK"/>
              </w:rPr>
              <w:t>Fedáková</w:t>
            </w:r>
            <w:proofErr w:type="spellEnd"/>
            <w:r w:rsidRPr="002C7F07">
              <w:rPr>
                <w:rFonts w:cs="Calibri"/>
                <w:color w:val="000000"/>
                <w:sz w:val="20"/>
                <w:szCs w:val="20"/>
                <w:lang w:eastAsia="sk-SK"/>
              </w:rPr>
              <w:t xml:space="preserve"> 5, Bratislava</w:t>
            </w:r>
          </w:p>
        </w:tc>
        <w:tc>
          <w:tcPr>
            <w:tcW w:w="1677" w:type="dxa"/>
            <w:tcBorders>
              <w:top w:val="nil"/>
              <w:left w:val="nil"/>
              <w:bottom w:val="single" w:sz="8" w:space="0" w:color="DCE6F1"/>
              <w:right w:val="nil"/>
            </w:tcBorders>
            <w:shd w:val="clear" w:color="auto" w:fill="auto"/>
            <w:noWrap/>
            <w:vAlign w:val="center"/>
            <w:hideMark/>
          </w:tcPr>
          <w:p w14:paraId="70972F8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95 555,24</w:t>
            </w:r>
          </w:p>
        </w:tc>
      </w:tr>
      <w:tr w:rsidR="002C7F07" w:rsidRPr="002C7F07" w14:paraId="3472AEE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0055FB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Preloženie </w:t>
            </w:r>
            <w:proofErr w:type="spellStart"/>
            <w:r w:rsidRPr="002C7F07">
              <w:rPr>
                <w:rFonts w:cs="Calibri"/>
                <w:color w:val="000000"/>
                <w:sz w:val="20"/>
                <w:szCs w:val="20"/>
                <w:lang w:eastAsia="sk-SK"/>
              </w:rPr>
              <w:t>Cyklolávky</w:t>
            </w:r>
            <w:proofErr w:type="spellEnd"/>
            <w:r w:rsidRPr="002C7F07">
              <w:rPr>
                <w:rFonts w:cs="Calibri"/>
                <w:color w:val="000000"/>
                <w:sz w:val="20"/>
                <w:szCs w:val="20"/>
                <w:lang w:eastAsia="sk-SK"/>
              </w:rPr>
              <w:t xml:space="preserve"> ponad </w:t>
            </w:r>
            <w:proofErr w:type="spellStart"/>
            <w:r w:rsidRPr="002C7F07">
              <w:rPr>
                <w:rFonts w:cs="Calibri"/>
                <w:color w:val="000000"/>
                <w:sz w:val="20"/>
                <w:szCs w:val="20"/>
                <w:lang w:eastAsia="sk-SK"/>
              </w:rPr>
              <w:t>Šúrsky</w:t>
            </w:r>
            <w:proofErr w:type="spellEnd"/>
            <w:r w:rsidRPr="002C7F07">
              <w:rPr>
                <w:rFonts w:cs="Calibri"/>
                <w:color w:val="000000"/>
                <w:sz w:val="20"/>
                <w:szCs w:val="20"/>
                <w:lang w:eastAsia="sk-SK"/>
              </w:rPr>
              <w:t xml:space="preserve"> kanál vo Vajnoroch / vypracovanie projektovej dokumentácie</w:t>
            </w:r>
          </w:p>
        </w:tc>
        <w:tc>
          <w:tcPr>
            <w:tcW w:w="1677" w:type="dxa"/>
            <w:tcBorders>
              <w:top w:val="nil"/>
              <w:left w:val="nil"/>
              <w:bottom w:val="single" w:sz="8" w:space="0" w:color="DCE6F1"/>
              <w:right w:val="nil"/>
            </w:tcBorders>
            <w:shd w:val="clear" w:color="auto" w:fill="auto"/>
            <w:noWrap/>
            <w:vAlign w:val="center"/>
            <w:hideMark/>
          </w:tcPr>
          <w:p w14:paraId="7936554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3 100,00</w:t>
            </w:r>
          </w:p>
        </w:tc>
      </w:tr>
      <w:tr w:rsidR="002C7F07" w:rsidRPr="002C7F07" w14:paraId="76AE01B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EABD42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NKP - Kaštieľ v Čunove a sýpka, adaptácia na </w:t>
            </w:r>
            <w:proofErr w:type="spellStart"/>
            <w:r w:rsidRPr="002C7F07">
              <w:rPr>
                <w:rFonts w:cs="Calibri"/>
                <w:color w:val="000000"/>
                <w:sz w:val="20"/>
                <w:szCs w:val="20"/>
                <w:lang w:eastAsia="sk-SK"/>
              </w:rPr>
              <w:t>ekocentrum</w:t>
            </w:r>
            <w:proofErr w:type="spellEnd"/>
            <w:r w:rsidRPr="002C7F07">
              <w:rPr>
                <w:rFonts w:cs="Calibri"/>
                <w:color w:val="000000"/>
                <w:sz w:val="20"/>
                <w:szCs w:val="20"/>
                <w:lang w:eastAsia="sk-SK"/>
              </w:rPr>
              <w:t xml:space="preserve"> a návštevnícke centrum / Dodatok č. 1 k </w:t>
            </w:r>
            <w:proofErr w:type="spellStart"/>
            <w:r w:rsidRPr="002C7F07">
              <w:rPr>
                <w:rFonts w:cs="Calibri"/>
                <w:color w:val="000000"/>
                <w:sz w:val="20"/>
                <w:szCs w:val="20"/>
                <w:lang w:eastAsia="sk-SK"/>
              </w:rPr>
              <w:t>ZoD</w:t>
            </w:r>
            <w:proofErr w:type="spellEnd"/>
            <w:r w:rsidRPr="002C7F07">
              <w:rPr>
                <w:rFonts w:cs="Calibri"/>
                <w:color w:val="000000"/>
                <w:sz w:val="20"/>
                <w:szCs w:val="20"/>
                <w:lang w:eastAsia="sk-SK"/>
              </w:rPr>
              <w:t xml:space="preserve"> - projektové práce</w:t>
            </w:r>
          </w:p>
        </w:tc>
        <w:tc>
          <w:tcPr>
            <w:tcW w:w="1677" w:type="dxa"/>
            <w:tcBorders>
              <w:top w:val="nil"/>
              <w:left w:val="nil"/>
              <w:bottom w:val="single" w:sz="8" w:space="0" w:color="DCE6F1"/>
              <w:right w:val="nil"/>
            </w:tcBorders>
            <w:shd w:val="clear" w:color="auto" w:fill="auto"/>
            <w:noWrap/>
            <w:vAlign w:val="center"/>
            <w:hideMark/>
          </w:tcPr>
          <w:p w14:paraId="10F734B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3 600,00</w:t>
            </w:r>
          </w:p>
        </w:tc>
      </w:tr>
      <w:tr w:rsidR="002C7F07" w:rsidRPr="002C7F07" w14:paraId="76A8514D"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C84638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Modernizácia interiérového vybavenia vstupných priestorov úradu</w:t>
            </w:r>
          </w:p>
        </w:tc>
        <w:tc>
          <w:tcPr>
            <w:tcW w:w="1677" w:type="dxa"/>
            <w:tcBorders>
              <w:top w:val="nil"/>
              <w:left w:val="nil"/>
              <w:bottom w:val="single" w:sz="8" w:space="0" w:color="DCE6F1"/>
              <w:right w:val="nil"/>
            </w:tcBorders>
            <w:shd w:val="clear" w:color="auto" w:fill="auto"/>
            <w:noWrap/>
            <w:vAlign w:val="center"/>
            <w:hideMark/>
          </w:tcPr>
          <w:p w14:paraId="4DEC208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8 304,00</w:t>
            </w:r>
          </w:p>
        </w:tc>
      </w:tr>
      <w:tr w:rsidR="002C7F07" w:rsidRPr="002C7F07" w14:paraId="03E5D66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243DFA6"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MTB </w:t>
            </w:r>
            <w:proofErr w:type="spellStart"/>
            <w:r w:rsidRPr="002C7F07">
              <w:rPr>
                <w:rFonts w:cs="Calibri"/>
                <w:color w:val="000000"/>
                <w:sz w:val="20"/>
                <w:szCs w:val="20"/>
                <w:lang w:eastAsia="sk-SK"/>
              </w:rPr>
              <w:t>SkillsPark</w:t>
            </w:r>
            <w:proofErr w:type="spellEnd"/>
            <w:r w:rsidRPr="002C7F07">
              <w:rPr>
                <w:rFonts w:cs="Calibri"/>
                <w:color w:val="000000"/>
                <w:sz w:val="20"/>
                <w:szCs w:val="20"/>
                <w:lang w:eastAsia="sk-SK"/>
              </w:rPr>
              <w:t xml:space="preserve"> / projektové práce</w:t>
            </w:r>
          </w:p>
        </w:tc>
        <w:tc>
          <w:tcPr>
            <w:tcW w:w="1677" w:type="dxa"/>
            <w:tcBorders>
              <w:top w:val="nil"/>
              <w:left w:val="nil"/>
              <w:bottom w:val="single" w:sz="8" w:space="0" w:color="DCE6F1"/>
              <w:right w:val="nil"/>
            </w:tcBorders>
            <w:shd w:val="clear" w:color="auto" w:fill="auto"/>
            <w:noWrap/>
            <w:vAlign w:val="center"/>
            <w:hideMark/>
          </w:tcPr>
          <w:p w14:paraId="70E7B3B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11 889,60</w:t>
            </w:r>
          </w:p>
        </w:tc>
      </w:tr>
      <w:tr w:rsidR="002C7F07" w:rsidRPr="002C7F07" w14:paraId="76959C69"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35F41B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Zakúpenie schránkovej skrinky</w:t>
            </w:r>
          </w:p>
        </w:tc>
        <w:tc>
          <w:tcPr>
            <w:tcW w:w="1677" w:type="dxa"/>
            <w:tcBorders>
              <w:top w:val="nil"/>
              <w:left w:val="nil"/>
              <w:bottom w:val="single" w:sz="8" w:space="0" w:color="DCE6F1"/>
              <w:right w:val="nil"/>
            </w:tcBorders>
            <w:shd w:val="clear" w:color="auto" w:fill="auto"/>
            <w:noWrap/>
            <w:vAlign w:val="center"/>
            <w:hideMark/>
          </w:tcPr>
          <w:p w14:paraId="18685BC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4 176,00</w:t>
            </w:r>
          </w:p>
        </w:tc>
      </w:tr>
      <w:tr w:rsidR="002C7F07" w:rsidRPr="002C7F07" w14:paraId="2E1A002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49E4E0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Zabezpečenie šikmej schodiskovej plošiny pre imobilné osoby pre byt v budove na </w:t>
            </w:r>
            <w:proofErr w:type="spellStart"/>
            <w:r w:rsidRPr="002C7F07">
              <w:rPr>
                <w:rFonts w:cs="Calibri"/>
                <w:color w:val="000000"/>
                <w:sz w:val="20"/>
                <w:szCs w:val="20"/>
                <w:lang w:eastAsia="sk-SK"/>
              </w:rPr>
              <w:t>Jankolovej</w:t>
            </w:r>
            <w:proofErr w:type="spellEnd"/>
            <w:r w:rsidRPr="002C7F07">
              <w:rPr>
                <w:rFonts w:cs="Calibri"/>
                <w:color w:val="000000"/>
                <w:sz w:val="20"/>
                <w:szCs w:val="20"/>
                <w:lang w:eastAsia="sk-SK"/>
              </w:rPr>
              <w:t xml:space="preserve"> ul. + elektroinštalácia</w:t>
            </w:r>
          </w:p>
        </w:tc>
        <w:tc>
          <w:tcPr>
            <w:tcW w:w="1677" w:type="dxa"/>
            <w:tcBorders>
              <w:top w:val="nil"/>
              <w:left w:val="nil"/>
              <w:bottom w:val="single" w:sz="8" w:space="0" w:color="DCE6F1"/>
              <w:right w:val="nil"/>
            </w:tcBorders>
            <w:shd w:val="clear" w:color="auto" w:fill="auto"/>
            <w:noWrap/>
            <w:vAlign w:val="center"/>
            <w:hideMark/>
          </w:tcPr>
          <w:p w14:paraId="2824FD6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13 034,00</w:t>
            </w:r>
          </w:p>
        </w:tc>
      </w:tr>
      <w:tr w:rsidR="002C7F07" w:rsidRPr="002C7F07" w14:paraId="19EC2F3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683D62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Vybudovanie spevnenej plochy / vybetónovanie prístupového chodníka k železnému schodisku k bytu na </w:t>
            </w:r>
            <w:proofErr w:type="spellStart"/>
            <w:r w:rsidRPr="002C7F07">
              <w:rPr>
                <w:rFonts w:cs="Calibri"/>
                <w:color w:val="000000"/>
                <w:sz w:val="20"/>
                <w:szCs w:val="20"/>
                <w:lang w:eastAsia="sk-SK"/>
              </w:rPr>
              <w:t>Jankolovej</w:t>
            </w:r>
            <w:proofErr w:type="spellEnd"/>
            <w:r w:rsidRPr="002C7F07">
              <w:rPr>
                <w:rFonts w:cs="Calibri"/>
                <w:color w:val="000000"/>
                <w:sz w:val="20"/>
                <w:szCs w:val="20"/>
                <w:lang w:eastAsia="sk-SK"/>
              </w:rPr>
              <w:t xml:space="preserve"> 8, Bratislava - Petržalka</w:t>
            </w:r>
          </w:p>
        </w:tc>
        <w:tc>
          <w:tcPr>
            <w:tcW w:w="1677" w:type="dxa"/>
            <w:tcBorders>
              <w:top w:val="nil"/>
              <w:left w:val="nil"/>
              <w:bottom w:val="single" w:sz="8" w:space="0" w:color="DCE6F1"/>
              <w:right w:val="nil"/>
            </w:tcBorders>
            <w:shd w:val="clear" w:color="auto" w:fill="auto"/>
            <w:noWrap/>
            <w:vAlign w:val="center"/>
            <w:hideMark/>
          </w:tcPr>
          <w:p w14:paraId="7ABC03D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1 148,64</w:t>
            </w:r>
          </w:p>
        </w:tc>
      </w:tr>
      <w:tr w:rsidR="002C7F07" w:rsidRPr="002C7F07" w14:paraId="728DD33F"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4DD12CD"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Kúpa NKP / Synagóga vo Svätom Jure - </w:t>
            </w:r>
            <w:proofErr w:type="spellStart"/>
            <w:r w:rsidRPr="002C7F07">
              <w:rPr>
                <w:rFonts w:cs="Calibri"/>
                <w:color w:val="000000"/>
                <w:sz w:val="20"/>
                <w:szCs w:val="20"/>
                <w:lang w:eastAsia="sk-SK"/>
              </w:rPr>
              <w:t>motlitebňa</w:t>
            </w:r>
            <w:proofErr w:type="spellEnd"/>
          </w:p>
        </w:tc>
        <w:tc>
          <w:tcPr>
            <w:tcW w:w="1677" w:type="dxa"/>
            <w:tcBorders>
              <w:top w:val="nil"/>
              <w:left w:val="nil"/>
              <w:bottom w:val="single" w:sz="8" w:space="0" w:color="DCE6F1"/>
              <w:right w:val="nil"/>
            </w:tcBorders>
            <w:shd w:val="clear" w:color="auto" w:fill="auto"/>
            <w:noWrap/>
            <w:vAlign w:val="center"/>
            <w:hideMark/>
          </w:tcPr>
          <w:p w14:paraId="0026FB92"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9 500,00</w:t>
            </w:r>
          </w:p>
        </w:tc>
      </w:tr>
      <w:tr w:rsidR="002C7F07" w:rsidRPr="002C7F07" w14:paraId="603EDEED"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5EE157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Nákup licencií / umelecký výkon a licencia YouTube </w:t>
            </w:r>
            <w:proofErr w:type="spellStart"/>
            <w:r w:rsidRPr="002C7F07">
              <w:rPr>
                <w:rFonts w:cs="Calibri"/>
                <w:color w:val="000000"/>
                <w:sz w:val="20"/>
                <w:szCs w:val="20"/>
                <w:lang w:eastAsia="sk-SK"/>
              </w:rPr>
              <w:t>influencer</w:t>
            </w:r>
            <w:proofErr w:type="spellEnd"/>
            <w:r w:rsidRPr="002C7F07">
              <w:rPr>
                <w:rFonts w:cs="Calibri"/>
                <w:color w:val="000000"/>
                <w:sz w:val="20"/>
                <w:szCs w:val="20"/>
                <w:lang w:eastAsia="sk-SK"/>
              </w:rPr>
              <w:t xml:space="preserve"> "</w:t>
            </w:r>
            <w:proofErr w:type="spellStart"/>
            <w:r w:rsidRPr="002C7F07">
              <w:rPr>
                <w:rFonts w:cs="Calibri"/>
                <w:color w:val="000000"/>
                <w:sz w:val="20"/>
                <w:szCs w:val="20"/>
                <w:lang w:eastAsia="sk-SK"/>
              </w:rPr>
              <w:t>Asimester</w:t>
            </w:r>
            <w:proofErr w:type="spellEnd"/>
            <w:r w:rsidRPr="002C7F07">
              <w:rPr>
                <w:rFonts w:cs="Calibri"/>
                <w:color w:val="000000"/>
                <w:sz w:val="20"/>
                <w:szCs w:val="20"/>
                <w:lang w:eastAsia="sk-SK"/>
              </w:rPr>
              <w:t>"</w:t>
            </w:r>
          </w:p>
        </w:tc>
        <w:tc>
          <w:tcPr>
            <w:tcW w:w="1677" w:type="dxa"/>
            <w:tcBorders>
              <w:top w:val="nil"/>
              <w:left w:val="nil"/>
              <w:bottom w:val="single" w:sz="8" w:space="0" w:color="DCE6F1"/>
              <w:right w:val="nil"/>
            </w:tcBorders>
            <w:shd w:val="clear" w:color="auto" w:fill="auto"/>
            <w:noWrap/>
            <w:vAlign w:val="center"/>
            <w:hideMark/>
          </w:tcPr>
          <w:p w14:paraId="59BA6EF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4 800,00</w:t>
            </w:r>
          </w:p>
        </w:tc>
      </w:tr>
      <w:tr w:rsidR="002C7F07" w:rsidRPr="002C7F07" w14:paraId="3DC1876B"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6FB1FF5"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Poliklinika Karlova Ves - projektová dokumentácia / rekonštrukcia sociálnych zariadení</w:t>
            </w:r>
          </w:p>
        </w:tc>
        <w:tc>
          <w:tcPr>
            <w:tcW w:w="1677" w:type="dxa"/>
            <w:tcBorders>
              <w:top w:val="nil"/>
              <w:left w:val="nil"/>
              <w:bottom w:val="single" w:sz="8" w:space="0" w:color="DCE6F1"/>
              <w:right w:val="nil"/>
            </w:tcBorders>
            <w:shd w:val="clear" w:color="auto" w:fill="auto"/>
            <w:noWrap/>
            <w:vAlign w:val="center"/>
            <w:hideMark/>
          </w:tcPr>
          <w:p w14:paraId="4B05EF7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2 442,00</w:t>
            </w:r>
          </w:p>
        </w:tc>
      </w:tr>
      <w:tr w:rsidR="002C7F07" w:rsidRPr="002C7F07" w14:paraId="6D289933"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474FB1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Poliklinika Karlova Ves - výkon činnosti stavebného dozoru / rekonštrukcia sociálnych zariadení</w:t>
            </w:r>
          </w:p>
        </w:tc>
        <w:tc>
          <w:tcPr>
            <w:tcW w:w="1677" w:type="dxa"/>
            <w:tcBorders>
              <w:top w:val="nil"/>
              <w:left w:val="nil"/>
              <w:bottom w:val="single" w:sz="8" w:space="0" w:color="DCE6F1"/>
              <w:right w:val="nil"/>
            </w:tcBorders>
            <w:shd w:val="clear" w:color="auto" w:fill="auto"/>
            <w:noWrap/>
            <w:vAlign w:val="center"/>
            <w:hideMark/>
          </w:tcPr>
          <w:p w14:paraId="56D2B9A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2 800,00</w:t>
            </w:r>
          </w:p>
        </w:tc>
      </w:tr>
      <w:tr w:rsidR="002C7F07" w:rsidRPr="002C7F07" w14:paraId="036556A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98A247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Poliklinika Karlova Ves - stavebné práce / rekonštrukcia sociálnych zariadení</w:t>
            </w:r>
          </w:p>
        </w:tc>
        <w:tc>
          <w:tcPr>
            <w:tcW w:w="1677" w:type="dxa"/>
            <w:tcBorders>
              <w:top w:val="nil"/>
              <w:left w:val="nil"/>
              <w:bottom w:val="single" w:sz="8" w:space="0" w:color="DCE6F1"/>
              <w:right w:val="nil"/>
            </w:tcBorders>
            <w:shd w:val="clear" w:color="auto" w:fill="auto"/>
            <w:noWrap/>
            <w:vAlign w:val="center"/>
            <w:hideMark/>
          </w:tcPr>
          <w:p w14:paraId="53A5316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326 361,70</w:t>
            </w:r>
          </w:p>
        </w:tc>
      </w:tr>
      <w:tr w:rsidR="002C7F07" w:rsidRPr="002C7F07" w14:paraId="6201591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1B8E48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Malokarpatské múzeum v Pezinku - stavebné práce / rekonštrukcia Synagógy v Senci a novostavby </w:t>
            </w:r>
            <w:proofErr w:type="spellStart"/>
            <w:r w:rsidRPr="002C7F07">
              <w:rPr>
                <w:rFonts w:cs="Calibri"/>
                <w:color w:val="000000"/>
                <w:sz w:val="20"/>
                <w:szCs w:val="20"/>
                <w:lang w:eastAsia="sk-SK"/>
              </w:rPr>
              <w:t>infopavilónu</w:t>
            </w:r>
            <w:proofErr w:type="spellEnd"/>
          </w:p>
        </w:tc>
        <w:tc>
          <w:tcPr>
            <w:tcW w:w="1677" w:type="dxa"/>
            <w:tcBorders>
              <w:top w:val="nil"/>
              <w:left w:val="nil"/>
              <w:bottom w:val="single" w:sz="8" w:space="0" w:color="DCE6F1"/>
              <w:right w:val="nil"/>
            </w:tcBorders>
            <w:shd w:val="clear" w:color="auto" w:fill="auto"/>
            <w:noWrap/>
            <w:vAlign w:val="center"/>
            <w:hideMark/>
          </w:tcPr>
          <w:p w14:paraId="0D2510C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245 017,10</w:t>
            </w:r>
          </w:p>
        </w:tc>
      </w:tr>
      <w:tr w:rsidR="002C7F07" w:rsidRPr="002C7F07" w14:paraId="49B2995F"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8C2B28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Malokarpatské múzeum v Pezinku - projektové práce / rekonštrukcia Synagógy v Senci a novostavby </w:t>
            </w:r>
            <w:proofErr w:type="spellStart"/>
            <w:r w:rsidRPr="002C7F07">
              <w:rPr>
                <w:rFonts w:cs="Calibri"/>
                <w:color w:val="000000"/>
                <w:sz w:val="20"/>
                <w:szCs w:val="20"/>
                <w:lang w:eastAsia="sk-SK"/>
              </w:rPr>
              <w:t>infopavilónu</w:t>
            </w:r>
            <w:proofErr w:type="spellEnd"/>
          </w:p>
        </w:tc>
        <w:tc>
          <w:tcPr>
            <w:tcW w:w="1677" w:type="dxa"/>
            <w:tcBorders>
              <w:top w:val="nil"/>
              <w:left w:val="nil"/>
              <w:bottom w:val="single" w:sz="8" w:space="0" w:color="DCE6F1"/>
              <w:right w:val="nil"/>
            </w:tcBorders>
            <w:shd w:val="clear" w:color="auto" w:fill="auto"/>
            <w:noWrap/>
            <w:vAlign w:val="center"/>
            <w:hideMark/>
          </w:tcPr>
          <w:p w14:paraId="104888B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4 650,00</w:t>
            </w:r>
          </w:p>
        </w:tc>
      </w:tr>
      <w:tr w:rsidR="002C7F07" w:rsidRPr="002C7F07" w14:paraId="068E7F49"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3B29BC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Malokarpatské múzeum v Pezinku - nákup satelitného geodetického lokalizačného zariadenia</w:t>
            </w:r>
          </w:p>
        </w:tc>
        <w:tc>
          <w:tcPr>
            <w:tcW w:w="1677" w:type="dxa"/>
            <w:tcBorders>
              <w:top w:val="nil"/>
              <w:left w:val="nil"/>
              <w:bottom w:val="single" w:sz="8" w:space="0" w:color="DCE6F1"/>
              <w:right w:val="nil"/>
            </w:tcBorders>
            <w:shd w:val="clear" w:color="auto" w:fill="auto"/>
            <w:noWrap/>
            <w:vAlign w:val="center"/>
            <w:hideMark/>
          </w:tcPr>
          <w:p w14:paraId="560E884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8 100,00</w:t>
            </w:r>
          </w:p>
        </w:tc>
      </w:tr>
      <w:tr w:rsidR="002C7F07" w:rsidRPr="002C7F07" w14:paraId="5DB052C9"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3B5BA2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Malokarpatské múzeum v Pezinku - architektonická štúdia / Múzeum </w:t>
            </w:r>
            <w:proofErr w:type="spellStart"/>
            <w:r w:rsidRPr="002C7F07">
              <w:rPr>
                <w:rFonts w:cs="Calibri"/>
                <w:color w:val="000000"/>
                <w:sz w:val="20"/>
                <w:szCs w:val="20"/>
                <w:lang w:eastAsia="sk-SK"/>
              </w:rPr>
              <w:t>Ferdiša</w:t>
            </w:r>
            <w:proofErr w:type="spellEnd"/>
            <w:r w:rsidRPr="002C7F07">
              <w:rPr>
                <w:rFonts w:cs="Calibri"/>
                <w:color w:val="000000"/>
                <w:sz w:val="20"/>
                <w:szCs w:val="20"/>
                <w:lang w:eastAsia="sk-SK"/>
              </w:rPr>
              <w:t xml:space="preserve"> Kostku</w:t>
            </w:r>
          </w:p>
        </w:tc>
        <w:tc>
          <w:tcPr>
            <w:tcW w:w="1677" w:type="dxa"/>
            <w:tcBorders>
              <w:top w:val="nil"/>
              <w:left w:val="nil"/>
              <w:bottom w:val="single" w:sz="8" w:space="0" w:color="DCE6F1"/>
              <w:right w:val="nil"/>
            </w:tcBorders>
            <w:shd w:val="clear" w:color="auto" w:fill="auto"/>
            <w:noWrap/>
            <w:vAlign w:val="center"/>
            <w:hideMark/>
          </w:tcPr>
          <w:p w14:paraId="0DB46C6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1 700,00</w:t>
            </w:r>
          </w:p>
        </w:tc>
      </w:tr>
      <w:tr w:rsidR="002C7F07" w:rsidRPr="002C7F07" w14:paraId="0ECBC21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064C3E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Malokarpatské múzeum v Pezinku - stavebné práce / rekonštrukcia časti podkrovia v dvornej časti a prístavba schodiska a výťahu - k NKP / Dom meštiansky</w:t>
            </w:r>
          </w:p>
        </w:tc>
        <w:tc>
          <w:tcPr>
            <w:tcW w:w="1677" w:type="dxa"/>
            <w:tcBorders>
              <w:top w:val="nil"/>
              <w:left w:val="nil"/>
              <w:bottom w:val="single" w:sz="8" w:space="0" w:color="DCE6F1"/>
              <w:right w:val="nil"/>
            </w:tcBorders>
            <w:shd w:val="clear" w:color="auto" w:fill="auto"/>
            <w:noWrap/>
            <w:vAlign w:val="center"/>
            <w:hideMark/>
          </w:tcPr>
          <w:p w14:paraId="44BC81C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384 971,64</w:t>
            </w:r>
          </w:p>
        </w:tc>
      </w:tr>
      <w:tr w:rsidR="002C7F07" w:rsidRPr="002C7F07" w14:paraId="0CDD935F"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9E14CBD"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Malokarpatské osvetové stredisko - kultúrno-kreatívne oživenie tradícií HERITAGE SK-AT / stavebné práce</w:t>
            </w:r>
          </w:p>
        </w:tc>
        <w:tc>
          <w:tcPr>
            <w:tcW w:w="1677" w:type="dxa"/>
            <w:tcBorders>
              <w:top w:val="nil"/>
              <w:left w:val="nil"/>
              <w:bottom w:val="single" w:sz="8" w:space="0" w:color="DCE6F1"/>
              <w:right w:val="nil"/>
            </w:tcBorders>
            <w:shd w:val="clear" w:color="auto" w:fill="auto"/>
            <w:noWrap/>
            <w:vAlign w:val="center"/>
            <w:hideMark/>
          </w:tcPr>
          <w:p w14:paraId="1349AF7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34 029,60</w:t>
            </w:r>
          </w:p>
        </w:tc>
      </w:tr>
      <w:tr w:rsidR="002C7F07" w:rsidRPr="002C7F07" w14:paraId="396381F4"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B6B51E5"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Malokarpatské osvetové stredisko - kultúrno-kreatívne oživenie tradícií HERITAGE SK-AT / stavebné práce</w:t>
            </w:r>
          </w:p>
        </w:tc>
        <w:tc>
          <w:tcPr>
            <w:tcW w:w="1677" w:type="dxa"/>
            <w:tcBorders>
              <w:top w:val="nil"/>
              <w:left w:val="nil"/>
              <w:bottom w:val="single" w:sz="8" w:space="0" w:color="DCE6F1"/>
              <w:right w:val="nil"/>
            </w:tcBorders>
            <w:shd w:val="clear" w:color="auto" w:fill="auto"/>
            <w:noWrap/>
            <w:vAlign w:val="center"/>
            <w:hideMark/>
          </w:tcPr>
          <w:p w14:paraId="4F31826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116 221,63</w:t>
            </w:r>
          </w:p>
        </w:tc>
      </w:tr>
      <w:tr w:rsidR="002C7F07" w:rsidRPr="002C7F07" w14:paraId="0569839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97D48C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Malokarpatské osvetové stredisko - projektová dokumentácia - dopracovanie, dočasné dopravné značenie / Kaštieľ a záhrada</w:t>
            </w:r>
          </w:p>
        </w:tc>
        <w:tc>
          <w:tcPr>
            <w:tcW w:w="1677" w:type="dxa"/>
            <w:tcBorders>
              <w:top w:val="nil"/>
              <w:left w:val="nil"/>
              <w:bottom w:val="single" w:sz="8" w:space="0" w:color="DCE6F1"/>
              <w:right w:val="nil"/>
            </w:tcBorders>
            <w:shd w:val="clear" w:color="auto" w:fill="auto"/>
            <w:noWrap/>
            <w:vAlign w:val="center"/>
            <w:hideMark/>
          </w:tcPr>
          <w:p w14:paraId="165CE92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2 490,00</w:t>
            </w:r>
          </w:p>
        </w:tc>
      </w:tr>
      <w:tr w:rsidR="002C7F07" w:rsidRPr="002C7F07" w14:paraId="3639E749"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BEA0C7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Malokarpatská </w:t>
            </w:r>
            <w:proofErr w:type="spellStart"/>
            <w:r w:rsidRPr="002C7F07">
              <w:rPr>
                <w:rFonts w:cs="Calibri"/>
                <w:color w:val="000000"/>
                <w:sz w:val="20"/>
                <w:szCs w:val="20"/>
                <w:lang w:eastAsia="sk-SK"/>
              </w:rPr>
              <w:t>knižnicka</w:t>
            </w:r>
            <w:proofErr w:type="spellEnd"/>
            <w:r w:rsidRPr="002C7F07">
              <w:rPr>
                <w:rFonts w:cs="Calibri"/>
                <w:color w:val="000000"/>
                <w:sz w:val="20"/>
                <w:szCs w:val="20"/>
                <w:lang w:eastAsia="sk-SK"/>
              </w:rPr>
              <w:t xml:space="preserve"> - nákup servera</w:t>
            </w:r>
          </w:p>
        </w:tc>
        <w:tc>
          <w:tcPr>
            <w:tcW w:w="1677" w:type="dxa"/>
            <w:tcBorders>
              <w:top w:val="nil"/>
              <w:left w:val="nil"/>
              <w:bottom w:val="single" w:sz="8" w:space="0" w:color="DCE6F1"/>
              <w:right w:val="nil"/>
            </w:tcBorders>
            <w:shd w:val="clear" w:color="auto" w:fill="auto"/>
            <w:noWrap/>
            <w:vAlign w:val="center"/>
            <w:hideMark/>
          </w:tcPr>
          <w:p w14:paraId="1CEC746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5 917,25</w:t>
            </w:r>
          </w:p>
        </w:tc>
      </w:tr>
      <w:tr w:rsidR="002C7F07" w:rsidRPr="002C7F07" w14:paraId="2712C35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66AB5E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Divadlo Aréna - projektová dokumentácia / rekonštrukcia divadla</w:t>
            </w:r>
          </w:p>
        </w:tc>
        <w:tc>
          <w:tcPr>
            <w:tcW w:w="1677" w:type="dxa"/>
            <w:tcBorders>
              <w:top w:val="nil"/>
              <w:left w:val="nil"/>
              <w:bottom w:val="single" w:sz="8" w:space="0" w:color="DCE6F1"/>
              <w:right w:val="nil"/>
            </w:tcBorders>
            <w:shd w:val="clear" w:color="auto" w:fill="auto"/>
            <w:noWrap/>
            <w:vAlign w:val="center"/>
            <w:hideMark/>
          </w:tcPr>
          <w:p w14:paraId="26D07B3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157 545,00</w:t>
            </w:r>
          </w:p>
        </w:tc>
      </w:tr>
      <w:tr w:rsidR="002C7F07" w:rsidRPr="002C7F07" w14:paraId="26A93F86"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5DCD7D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Divadlo Aréna - rekonštrukcia divadla / pripojenie</w:t>
            </w:r>
          </w:p>
        </w:tc>
        <w:tc>
          <w:tcPr>
            <w:tcW w:w="1677" w:type="dxa"/>
            <w:tcBorders>
              <w:top w:val="nil"/>
              <w:left w:val="nil"/>
              <w:bottom w:val="single" w:sz="8" w:space="0" w:color="DCE6F1"/>
              <w:right w:val="nil"/>
            </w:tcBorders>
            <w:shd w:val="clear" w:color="auto" w:fill="auto"/>
            <w:noWrap/>
            <w:vAlign w:val="center"/>
            <w:hideMark/>
          </w:tcPr>
          <w:p w14:paraId="5450466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39 066,36</w:t>
            </w:r>
          </w:p>
        </w:tc>
      </w:tr>
      <w:tr w:rsidR="002C7F07" w:rsidRPr="002C7F07" w14:paraId="3BB2BBD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5F6BF50"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Gymnázium A. Einsteina - projektová dokumentácia a inžiniering / opravy fasád a vybudovanie </w:t>
            </w:r>
            <w:proofErr w:type="spellStart"/>
            <w:r w:rsidRPr="002C7F07">
              <w:rPr>
                <w:rFonts w:cs="Calibri"/>
                <w:color w:val="000000"/>
                <w:sz w:val="20"/>
                <w:szCs w:val="20"/>
                <w:lang w:eastAsia="sk-SK"/>
              </w:rPr>
              <w:t>hydroizolácií</w:t>
            </w:r>
            <w:proofErr w:type="spellEnd"/>
          </w:p>
        </w:tc>
        <w:tc>
          <w:tcPr>
            <w:tcW w:w="1677" w:type="dxa"/>
            <w:tcBorders>
              <w:top w:val="nil"/>
              <w:left w:val="nil"/>
              <w:bottom w:val="single" w:sz="8" w:space="0" w:color="DCE6F1"/>
              <w:right w:val="nil"/>
            </w:tcBorders>
            <w:shd w:val="clear" w:color="auto" w:fill="auto"/>
            <w:noWrap/>
            <w:vAlign w:val="center"/>
            <w:hideMark/>
          </w:tcPr>
          <w:p w14:paraId="26162C6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2 300,00</w:t>
            </w:r>
          </w:p>
        </w:tc>
      </w:tr>
      <w:tr w:rsidR="002C7F07" w:rsidRPr="002C7F07" w14:paraId="590E16D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2DE19ED"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Gymnázium A. Einsteina - obnova areálového plynovodu a plynofikácie</w:t>
            </w:r>
          </w:p>
        </w:tc>
        <w:tc>
          <w:tcPr>
            <w:tcW w:w="1677" w:type="dxa"/>
            <w:tcBorders>
              <w:top w:val="nil"/>
              <w:left w:val="nil"/>
              <w:bottom w:val="single" w:sz="8" w:space="0" w:color="DCE6F1"/>
              <w:right w:val="nil"/>
            </w:tcBorders>
            <w:shd w:val="clear" w:color="auto" w:fill="auto"/>
            <w:noWrap/>
            <w:vAlign w:val="center"/>
            <w:hideMark/>
          </w:tcPr>
          <w:p w14:paraId="2D95709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16 852,51</w:t>
            </w:r>
          </w:p>
        </w:tc>
      </w:tr>
      <w:tr w:rsidR="002C7F07" w:rsidRPr="002C7F07" w14:paraId="011BA033"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C9028B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lastRenderedPageBreak/>
              <w:t>Gymnázium A. Einsteina - zakúpenie materiálneho vybavenia / digestor do chemického laboratória</w:t>
            </w:r>
          </w:p>
        </w:tc>
        <w:tc>
          <w:tcPr>
            <w:tcW w:w="1677" w:type="dxa"/>
            <w:tcBorders>
              <w:top w:val="nil"/>
              <w:left w:val="nil"/>
              <w:bottom w:val="single" w:sz="8" w:space="0" w:color="DCE6F1"/>
              <w:right w:val="nil"/>
            </w:tcBorders>
            <w:shd w:val="clear" w:color="auto" w:fill="auto"/>
            <w:noWrap/>
            <w:vAlign w:val="center"/>
            <w:hideMark/>
          </w:tcPr>
          <w:p w14:paraId="1176440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3 846,00</w:t>
            </w:r>
          </w:p>
        </w:tc>
      </w:tr>
      <w:tr w:rsidR="002C7F07" w:rsidRPr="002C7F07" w14:paraId="06C4C5FC"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BDD831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Gymnázium, Hubeného - zakúpenie stolového </w:t>
            </w:r>
            <w:proofErr w:type="spellStart"/>
            <w:r w:rsidRPr="002C7F07">
              <w:rPr>
                <w:rFonts w:cs="Calibri"/>
                <w:color w:val="000000"/>
                <w:sz w:val="20"/>
                <w:szCs w:val="20"/>
                <w:lang w:eastAsia="sk-SK"/>
              </w:rPr>
              <w:t>kutra</w:t>
            </w:r>
            <w:proofErr w:type="spellEnd"/>
            <w:r w:rsidRPr="002C7F07">
              <w:rPr>
                <w:rFonts w:cs="Calibri"/>
                <w:color w:val="000000"/>
                <w:sz w:val="20"/>
                <w:szCs w:val="20"/>
                <w:lang w:eastAsia="sk-SK"/>
              </w:rPr>
              <w:t xml:space="preserve"> a panvice</w:t>
            </w:r>
          </w:p>
        </w:tc>
        <w:tc>
          <w:tcPr>
            <w:tcW w:w="1677" w:type="dxa"/>
            <w:tcBorders>
              <w:top w:val="nil"/>
              <w:left w:val="nil"/>
              <w:bottom w:val="single" w:sz="8" w:space="0" w:color="DCE6F1"/>
              <w:right w:val="nil"/>
            </w:tcBorders>
            <w:shd w:val="clear" w:color="auto" w:fill="auto"/>
            <w:noWrap/>
            <w:vAlign w:val="center"/>
            <w:hideMark/>
          </w:tcPr>
          <w:p w14:paraId="1BFAFCE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4 349,00</w:t>
            </w:r>
          </w:p>
        </w:tc>
      </w:tr>
      <w:tr w:rsidR="002C7F07" w:rsidRPr="002C7F07" w14:paraId="34938F3F"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5EBF5C7"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Gymnázium, Malacky - zádržné zo stavebných prác / zateplenie všetkých pavilónov školy</w:t>
            </w:r>
          </w:p>
        </w:tc>
        <w:tc>
          <w:tcPr>
            <w:tcW w:w="1677" w:type="dxa"/>
            <w:tcBorders>
              <w:top w:val="nil"/>
              <w:left w:val="nil"/>
              <w:bottom w:val="single" w:sz="8" w:space="0" w:color="DCE6F1"/>
              <w:right w:val="nil"/>
            </w:tcBorders>
            <w:shd w:val="clear" w:color="auto" w:fill="auto"/>
            <w:noWrap/>
            <w:vAlign w:val="center"/>
            <w:hideMark/>
          </w:tcPr>
          <w:p w14:paraId="0840AF5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58 963,11</w:t>
            </w:r>
          </w:p>
        </w:tc>
      </w:tr>
      <w:tr w:rsidR="002C7F07" w:rsidRPr="002C7F07" w14:paraId="4D394EF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BEB3A4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Gymnázium, Malacky - aktualizácia projektu protipožiarnej ochrany / zateplenie pavilónov školy</w:t>
            </w:r>
          </w:p>
        </w:tc>
        <w:tc>
          <w:tcPr>
            <w:tcW w:w="1677" w:type="dxa"/>
            <w:tcBorders>
              <w:top w:val="nil"/>
              <w:left w:val="nil"/>
              <w:bottom w:val="single" w:sz="8" w:space="0" w:color="DCE6F1"/>
              <w:right w:val="nil"/>
            </w:tcBorders>
            <w:shd w:val="clear" w:color="auto" w:fill="auto"/>
            <w:noWrap/>
            <w:vAlign w:val="center"/>
            <w:hideMark/>
          </w:tcPr>
          <w:p w14:paraId="2A27A03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2 820,00</w:t>
            </w:r>
          </w:p>
        </w:tc>
      </w:tr>
      <w:tr w:rsidR="002C7F07" w:rsidRPr="002C7F07" w14:paraId="2384AC8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A9656E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Gymnázium, Senec - zakúpenie elektrického kotla</w:t>
            </w:r>
          </w:p>
        </w:tc>
        <w:tc>
          <w:tcPr>
            <w:tcW w:w="1677" w:type="dxa"/>
            <w:tcBorders>
              <w:top w:val="nil"/>
              <w:left w:val="nil"/>
              <w:bottom w:val="single" w:sz="8" w:space="0" w:color="DCE6F1"/>
              <w:right w:val="nil"/>
            </w:tcBorders>
            <w:shd w:val="clear" w:color="auto" w:fill="auto"/>
            <w:noWrap/>
            <w:vAlign w:val="center"/>
            <w:hideMark/>
          </w:tcPr>
          <w:p w14:paraId="6490D69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3 000,00</w:t>
            </w:r>
          </w:p>
        </w:tc>
      </w:tr>
      <w:tr w:rsidR="002C7F07" w:rsidRPr="002C7F07" w14:paraId="140A3BB4"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3DAA84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a gymnázium, Pankúchova - projektové práce / výmenníková stanica</w:t>
            </w:r>
          </w:p>
        </w:tc>
        <w:tc>
          <w:tcPr>
            <w:tcW w:w="1677" w:type="dxa"/>
            <w:tcBorders>
              <w:top w:val="nil"/>
              <w:left w:val="nil"/>
              <w:bottom w:val="single" w:sz="8" w:space="0" w:color="DCE6F1"/>
              <w:right w:val="nil"/>
            </w:tcBorders>
            <w:shd w:val="clear" w:color="auto" w:fill="auto"/>
            <w:noWrap/>
            <w:vAlign w:val="center"/>
            <w:hideMark/>
          </w:tcPr>
          <w:p w14:paraId="6677913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4 500,00</w:t>
            </w:r>
          </w:p>
        </w:tc>
      </w:tr>
      <w:tr w:rsidR="002C7F07" w:rsidRPr="002C7F07" w14:paraId="21B7D0A4"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7A12AA0"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a gymnázium, Pankúchova - projektové práce / rekonštrukcia elektroinštalácie</w:t>
            </w:r>
          </w:p>
        </w:tc>
        <w:tc>
          <w:tcPr>
            <w:tcW w:w="1677" w:type="dxa"/>
            <w:tcBorders>
              <w:top w:val="nil"/>
              <w:left w:val="nil"/>
              <w:bottom w:val="single" w:sz="8" w:space="0" w:color="DCE6F1"/>
              <w:right w:val="nil"/>
            </w:tcBorders>
            <w:shd w:val="clear" w:color="auto" w:fill="auto"/>
            <w:noWrap/>
            <w:vAlign w:val="center"/>
            <w:hideMark/>
          </w:tcPr>
          <w:p w14:paraId="2CED2BD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5 796,00</w:t>
            </w:r>
          </w:p>
        </w:tc>
      </w:tr>
      <w:tr w:rsidR="002C7F07" w:rsidRPr="002C7F07" w14:paraId="238F4619"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3CBEEE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ZŠ a gymnázium s VJM, Dunajská - zakúpenie vybavenia do školskej jedálne</w:t>
            </w:r>
          </w:p>
        </w:tc>
        <w:tc>
          <w:tcPr>
            <w:tcW w:w="1677" w:type="dxa"/>
            <w:tcBorders>
              <w:top w:val="nil"/>
              <w:left w:val="nil"/>
              <w:bottom w:val="single" w:sz="8" w:space="0" w:color="DCE6F1"/>
              <w:right w:val="nil"/>
            </w:tcBorders>
            <w:shd w:val="clear" w:color="auto" w:fill="auto"/>
            <w:noWrap/>
            <w:vAlign w:val="center"/>
            <w:hideMark/>
          </w:tcPr>
          <w:p w14:paraId="61981CA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4 080,00</w:t>
            </w:r>
          </w:p>
        </w:tc>
      </w:tr>
      <w:tr w:rsidR="002C7F07" w:rsidRPr="002C7F07" w14:paraId="5B8B7136"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A80FF5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Tanečné konzervatórium E. </w:t>
            </w:r>
            <w:proofErr w:type="spellStart"/>
            <w:r w:rsidRPr="002C7F07">
              <w:rPr>
                <w:rFonts w:cs="Calibri"/>
                <w:color w:val="000000"/>
                <w:sz w:val="20"/>
                <w:szCs w:val="20"/>
                <w:lang w:eastAsia="sk-SK"/>
              </w:rPr>
              <w:t>Jaczovej</w:t>
            </w:r>
            <w:proofErr w:type="spellEnd"/>
            <w:r w:rsidRPr="002C7F07">
              <w:rPr>
                <w:rFonts w:cs="Calibri"/>
                <w:color w:val="000000"/>
                <w:sz w:val="20"/>
                <w:szCs w:val="20"/>
                <w:lang w:eastAsia="sk-SK"/>
              </w:rPr>
              <w:t>, Gorazdova - vypracovanie realizačného projektu / vybudovanie tanečnej sály</w:t>
            </w:r>
          </w:p>
        </w:tc>
        <w:tc>
          <w:tcPr>
            <w:tcW w:w="1677" w:type="dxa"/>
            <w:tcBorders>
              <w:top w:val="nil"/>
              <w:left w:val="nil"/>
              <w:bottom w:val="single" w:sz="8" w:space="0" w:color="DCE6F1"/>
              <w:right w:val="nil"/>
            </w:tcBorders>
            <w:shd w:val="clear" w:color="auto" w:fill="auto"/>
            <w:noWrap/>
            <w:vAlign w:val="center"/>
            <w:hideMark/>
          </w:tcPr>
          <w:p w14:paraId="51D10A7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9 360,00</w:t>
            </w:r>
          </w:p>
        </w:tc>
      </w:tr>
      <w:tr w:rsidR="002C7F07" w:rsidRPr="002C7F07" w14:paraId="27F447F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F8319B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Tanečné konzervatórium E. </w:t>
            </w:r>
            <w:proofErr w:type="spellStart"/>
            <w:r w:rsidRPr="002C7F07">
              <w:rPr>
                <w:rFonts w:cs="Calibri"/>
                <w:color w:val="000000"/>
                <w:sz w:val="20"/>
                <w:szCs w:val="20"/>
                <w:lang w:eastAsia="sk-SK"/>
              </w:rPr>
              <w:t>Jaczovej</w:t>
            </w:r>
            <w:proofErr w:type="spellEnd"/>
            <w:r w:rsidRPr="002C7F07">
              <w:rPr>
                <w:rFonts w:cs="Calibri"/>
                <w:color w:val="000000"/>
                <w:sz w:val="20"/>
                <w:szCs w:val="20"/>
                <w:lang w:eastAsia="sk-SK"/>
              </w:rPr>
              <w:t>, Gorazdova - stavebné povolenie / vybudovanie tanečnej sály</w:t>
            </w:r>
          </w:p>
        </w:tc>
        <w:tc>
          <w:tcPr>
            <w:tcW w:w="1677" w:type="dxa"/>
            <w:tcBorders>
              <w:top w:val="nil"/>
              <w:left w:val="nil"/>
              <w:bottom w:val="single" w:sz="8" w:space="0" w:color="DCE6F1"/>
              <w:right w:val="nil"/>
            </w:tcBorders>
            <w:shd w:val="clear" w:color="auto" w:fill="auto"/>
            <w:noWrap/>
            <w:vAlign w:val="center"/>
            <w:hideMark/>
          </w:tcPr>
          <w:p w14:paraId="337EF11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459,00</w:t>
            </w:r>
          </w:p>
        </w:tc>
      </w:tr>
      <w:tr w:rsidR="002C7F07" w:rsidRPr="002C7F07" w14:paraId="066C954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178A5B1" w14:textId="1D441EBF"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Tanečné konzervatórium E. </w:t>
            </w:r>
            <w:proofErr w:type="spellStart"/>
            <w:r w:rsidRPr="002C7F07">
              <w:rPr>
                <w:rFonts w:cs="Calibri"/>
                <w:color w:val="000000"/>
                <w:sz w:val="20"/>
                <w:szCs w:val="20"/>
                <w:lang w:eastAsia="sk-SK"/>
              </w:rPr>
              <w:t>Jaczovej</w:t>
            </w:r>
            <w:proofErr w:type="spellEnd"/>
            <w:r w:rsidRPr="002C7F07">
              <w:rPr>
                <w:rFonts w:cs="Calibri"/>
                <w:color w:val="000000"/>
                <w:sz w:val="20"/>
                <w:szCs w:val="20"/>
                <w:lang w:eastAsia="sk-SK"/>
              </w:rPr>
              <w:t xml:space="preserve">, Gorazdova - projektové práce a inžiniering / nadstavba školy </w:t>
            </w:r>
            <w:r w:rsidR="009F3097">
              <w:rPr>
                <w:rFonts w:cs="Calibri"/>
                <w:color w:val="000000"/>
                <w:sz w:val="20"/>
                <w:szCs w:val="20"/>
                <w:lang w:eastAsia="sk-SK"/>
              </w:rPr>
              <w:t>–</w:t>
            </w:r>
            <w:r w:rsidRPr="002C7F07">
              <w:rPr>
                <w:rFonts w:cs="Calibri"/>
                <w:color w:val="000000"/>
                <w:sz w:val="20"/>
                <w:szCs w:val="20"/>
                <w:lang w:eastAsia="sk-SK"/>
              </w:rPr>
              <w:t xml:space="preserve"> internát</w:t>
            </w:r>
          </w:p>
        </w:tc>
        <w:tc>
          <w:tcPr>
            <w:tcW w:w="1677" w:type="dxa"/>
            <w:tcBorders>
              <w:top w:val="nil"/>
              <w:left w:val="nil"/>
              <w:bottom w:val="single" w:sz="8" w:space="0" w:color="DCE6F1"/>
              <w:right w:val="nil"/>
            </w:tcBorders>
            <w:shd w:val="clear" w:color="auto" w:fill="auto"/>
            <w:noWrap/>
            <w:vAlign w:val="center"/>
            <w:hideMark/>
          </w:tcPr>
          <w:p w14:paraId="6C79598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16 302,00</w:t>
            </w:r>
          </w:p>
        </w:tc>
      </w:tr>
      <w:tr w:rsidR="002C7F07" w:rsidRPr="002C7F07" w14:paraId="5870163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EA72A0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Konzervatórium, Tolstého - projektová dokumentácia a inžiniering / rekonštrukcia kotolne</w:t>
            </w:r>
          </w:p>
        </w:tc>
        <w:tc>
          <w:tcPr>
            <w:tcW w:w="1677" w:type="dxa"/>
            <w:tcBorders>
              <w:top w:val="nil"/>
              <w:left w:val="nil"/>
              <w:bottom w:val="single" w:sz="8" w:space="0" w:color="DCE6F1"/>
              <w:right w:val="nil"/>
            </w:tcBorders>
            <w:shd w:val="clear" w:color="auto" w:fill="auto"/>
            <w:noWrap/>
            <w:vAlign w:val="center"/>
            <w:hideMark/>
          </w:tcPr>
          <w:p w14:paraId="3E04C7C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1 600,00</w:t>
            </w:r>
          </w:p>
        </w:tc>
      </w:tr>
      <w:tr w:rsidR="002C7F07" w:rsidRPr="002C7F07" w14:paraId="6D961E8F"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F10694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SPŠ strojnícka, </w:t>
            </w:r>
            <w:proofErr w:type="spellStart"/>
            <w:r w:rsidRPr="002C7F07">
              <w:rPr>
                <w:rFonts w:cs="Calibri"/>
                <w:color w:val="000000"/>
                <w:sz w:val="20"/>
                <w:szCs w:val="20"/>
                <w:lang w:eastAsia="sk-SK"/>
              </w:rPr>
              <w:t>Fajnorovo</w:t>
            </w:r>
            <w:proofErr w:type="spellEnd"/>
            <w:r w:rsidRPr="002C7F07">
              <w:rPr>
                <w:rFonts w:cs="Calibri"/>
                <w:color w:val="000000"/>
                <w:sz w:val="20"/>
                <w:szCs w:val="20"/>
                <w:lang w:eastAsia="sk-SK"/>
              </w:rPr>
              <w:t xml:space="preserve"> nábrežie - stavebné práce / modernizácia okien v zmysle požiadaviek KPÚ-BA</w:t>
            </w:r>
          </w:p>
        </w:tc>
        <w:tc>
          <w:tcPr>
            <w:tcW w:w="1677" w:type="dxa"/>
            <w:tcBorders>
              <w:top w:val="nil"/>
              <w:left w:val="nil"/>
              <w:bottom w:val="single" w:sz="8" w:space="0" w:color="DCE6F1"/>
              <w:right w:val="nil"/>
            </w:tcBorders>
            <w:shd w:val="clear" w:color="auto" w:fill="auto"/>
            <w:noWrap/>
            <w:vAlign w:val="center"/>
            <w:hideMark/>
          </w:tcPr>
          <w:p w14:paraId="13A2F4C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569 993,08</w:t>
            </w:r>
          </w:p>
        </w:tc>
      </w:tr>
      <w:tr w:rsidR="002C7F07" w:rsidRPr="002C7F07" w14:paraId="42FE5AC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31F35B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SPŠ strojnícka, </w:t>
            </w:r>
            <w:proofErr w:type="spellStart"/>
            <w:r w:rsidRPr="002C7F07">
              <w:rPr>
                <w:rFonts w:cs="Calibri"/>
                <w:color w:val="000000"/>
                <w:sz w:val="20"/>
                <w:szCs w:val="20"/>
                <w:lang w:eastAsia="sk-SK"/>
              </w:rPr>
              <w:t>Fajnorovo</w:t>
            </w:r>
            <w:proofErr w:type="spellEnd"/>
            <w:r w:rsidRPr="002C7F07">
              <w:rPr>
                <w:rFonts w:cs="Calibri"/>
                <w:color w:val="000000"/>
                <w:sz w:val="20"/>
                <w:szCs w:val="20"/>
                <w:lang w:eastAsia="sk-SK"/>
              </w:rPr>
              <w:t xml:space="preserve"> nábrežie - projektová dokumentácia a inžiniering / realizácia krytých telocviční</w:t>
            </w:r>
          </w:p>
        </w:tc>
        <w:tc>
          <w:tcPr>
            <w:tcW w:w="1677" w:type="dxa"/>
            <w:tcBorders>
              <w:top w:val="nil"/>
              <w:left w:val="nil"/>
              <w:bottom w:val="single" w:sz="8" w:space="0" w:color="DCE6F1"/>
              <w:right w:val="nil"/>
            </w:tcBorders>
            <w:shd w:val="clear" w:color="auto" w:fill="auto"/>
            <w:noWrap/>
            <w:vAlign w:val="center"/>
            <w:hideMark/>
          </w:tcPr>
          <w:p w14:paraId="4F5D226C"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1 260,00</w:t>
            </w:r>
          </w:p>
        </w:tc>
      </w:tr>
      <w:tr w:rsidR="002C7F07" w:rsidRPr="002C7F07" w14:paraId="011E3C7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2EC8FE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SPŠE, Zochova - stavebné práce / modernizácia okien v zmysle požiadaviek KPÚ-BA</w:t>
            </w:r>
          </w:p>
        </w:tc>
        <w:tc>
          <w:tcPr>
            <w:tcW w:w="1677" w:type="dxa"/>
            <w:tcBorders>
              <w:top w:val="nil"/>
              <w:left w:val="nil"/>
              <w:bottom w:val="single" w:sz="8" w:space="0" w:color="DCE6F1"/>
              <w:right w:val="nil"/>
            </w:tcBorders>
            <w:shd w:val="clear" w:color="auto" w:fill="auto"/>
            <w:noWrap/>
            <w:vAlign w:val="center"/>
            <w:hideMark/>
          </w:tcPr>
          <w:p w14:paraId="385A73E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304 006,64</w:t>
            </w:r>
          </w:p>
        </w:tc>
      </w:tr>
      <w:tr w:rsidR="002C7F07" w:rsidRPr="002C7F07" w14:paraId="2609DF7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002744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SPŠE, K. Adlera - stavebné práce / rekonštrukcia a modernizácia vonkajšieho športového areálu</w:t>
            </w:r>
          </w:p>
        </w:tc>
        <w:tc>
          <w:tcPr>
            <w:tcW w:w="1677" w:type="dxa"/>
            <w:tcBorders>
              <w:top w:val="nil"/>
              <w:left w:val="nil"/>
              <w:bottom w:val="single" w:sz="8" w:space="0" w:color="DCE6F1"/>
              <w:right w:val="nil"/>
            </w:tcBorders>
            <w:shd w:val="clear" w:color="auto" w:fill="auto"/>
            <w:noWrap/>
            <w:vAlign w:val="center"/>
            <w:hideMark/>
          </w:tcPr>
          <w:p w14:paraId="79329EF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353 915,65</w:t>
            </w:r>
          </w:p>
        </w:tc>
      </w:tr>
      <w:tr w:rsidR="002C7F07" w:rsidRPr="002C7F07" w14:paraId="3B66766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3CE580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SPŠE, K. Adlera - projektová dokumentácia a inžiniering / rekonštrukcia a modernizácia vonkajšieho športového areálu</w:t>
            </w:r>
          </w:p>
        </w:tc>
        <w:tc>
          <w:tcPr>
            <w:tcW w:w="1677" w:type="dxa"/>
            <w:tcBorders>
              <w:top w:val="nil"/>
              <w:left w:val="nil"/>
              <w:bottom w:val="single" w:sz="8" w:space="0" w:color="DCE6F1"/>
              <w:right w:val="nil"/>
            </w:tcBorders>
            <w:shd w:val="clear" w:color="auto" w:fill="auto"/>
            <w:noWrap/>
            <w:vAlign w:val="center"/>
            <w:hideMark/>
          </w:tcPr>
          <w:p w14:paraId="7E1309A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370,00</w:t>
            </w:r>
          </w:p>
        </w:tc>
      </w:tr>
      <w:tr w:rsidR="002C7F07" w:rsidRPr="002C7F07" w14:paraId="26D84C0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4DA324D"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SPŠ dopravná, </w:t>
            </w:r>
            <w:proofErr w:type="spellStart"/>
            <w:r w:rsidRPr="002C7F07">
              <w:rPr>
                <w:rFonts w:cs="Calibri"/>
                <w:color w:val="000000"/>
                <w:sz w:val="20"/>
                <w:szCs w:val="20"/>
                <w:lang w:eastAsia="sk-SK"/>
              </w:rPr>
              <w:t>Kvačalova</w:t>
            </w:r>
            <w:proofErr w:type="spellEnd"/>
            <w:r w:rsidRPr="002C7F07">
              <w:rPr>
                <w:rFonts w:cs="Calibri"/>
                <w:color w:val="000000"/>
                <w:sz w:val="20"/>
                <w:szCs w:val="20"/>
                <w:lang w:eastAsia="sk-SK"/>
              </w:rPr>
              <w:t xml:space="preserve"> - úprava priestoru / školský bufet</w:t>
            </w:r>
          </w:p>
        </w:tc>
        <w:tc>
          <w:tcPr>
            <w:tcW w:w="1677" w:type="dxa"/>
            <w:tcBorders>
              <w:top w:val="nil"/>
              <w:left w:val="nil"/>
              <w:bottom w:val="single" w:sz="8" w:space="0" w:color="DCE6F1"/>
              <w:right w:val="nil"/>
            </w:tcBorders>
            <w:shd w:val="clear" w:color="auto" w:fill="auto"/>
            <w:noWrap/>
            <w:vAlign w:val="center"/>
            <w:hideMark/>
          </w:tcPr>
          <w:p w14:paraId="21C893BC"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5 911,54</w:t>
            </w:r>
          </w:p>
        </w:tc>
      </w:tr>
      <w:tr w:rsidR="002C7F07" w:rsidRPr="002C7F07" w14:paraId="13C13BA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2E9228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Ivanka pri Dunaji - projektové práce / rekonštrukcia areálovej kanalizácie</w:t>
            </w:r>
          </w:p>
        </w:tc>
        <w:tc>
          <w:tcPr>
            <w:tcW w:w="1677" w:type="dxa"/>
            <w:tcBorders>
              <w:top w:val="nil"/>
              <w:left w:val="nil"/>
              <w:bottom w:val="single" w:sz="8" w:space="0" w:color="DCE6F1"/>
              <w:right w:val="nil"/>
            </w:tcBorders>
            <w:shd w:val="clear" w:color="auto" w:fill="auto"/>
            <w:noWrap/>
            <w:vAlign w:val="center"/>
            <w:hideMark/>
          </w:tcPr>
          <w:p w14:paraId="54DF40A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1 164,00</w:t>
            </w:r>
          </w:p>
        </w:tc>
      </w:tr>
      <w:tr w:rsidR="002C7F07" w:rsidRPr="002C7F07" w14:paraId="64FD5C64"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771AA42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Ivanka pri Dunaji - zádržné / projektové práce - rekonštrukcia areálovej kanalizácie</w:t>
            </w:r>
          </w:p>
        </w:tc>
        <w:tc>
          <w:tcPr>
            <w:tcW w:w="1677" w:type="dxa"/>
            <w:tcBorders>
              <w:top w:val="nil"/>
              <w:left w:val="nil"/>
              <w:bottom w:val="single" w:sz="8" w:space="0" w:color="DCE6F1"/>
              <w:right w:val="nil"/>
            </w:tcBorders>
            <w:shd w:val="clear" w:color="auto" w:fill="auto"/>
            <w:noWrap/>
            <w:vAlign w:val="center"/>
            <w:hideMark/>
          </w:tcPr>
          <w:p w14:paraId="54192DC2"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217,80</w:t>
            </w:r>
          </w:p>
        </w:tc>
      </w:tr>
      <w:tr w:rsidR="002C7F07" w:rsidRPr="002C7F07" w14:paraId="12DA5CA3"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6CE5E4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Ivanka pri Dunaji - spolufinancovanie projektu z Úradu vlády SR / podpora rozvoja športu</w:t>
            </w:r>
          </w:p>
        </w:tc>
        <w:tc>
          <w:tcPr>
            <w:tcW w:w="1677" w:type="dxa"/>
            <w:tcBorders>
              <w:top w:val="nil"/>
              <w:left w:val="nil"/>
              <w:bottom w:val="single" w:sz="8" w:space="0" w:color="DCE6F1"/>
              <w:right w:val="nil"/>
            </w:tcBorders>
            <w:shd w:val="clear" w:color="auto" w:fill="auto"/>
            <w:noWrap/>
            <w:vAlign w:val="center"/>
            <w:hideMark/>
          </w:tcPr>
          <w:p w14:paraId="16032CCC"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38 314,43</w:t>
            </w:r>
          </w:p>
        </w:tc>
      </w:tr>
      <w:tr w:rsidR="002C7F07" w:rsidRPr="002C7F07" w14:paraId="74ECCCB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E209A7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Ivanka pri Dunaji - zádržné zo stavebných prác / dotácia na rozvoj výchovy a vzdelávania žiakov v oblasti telesnej výchovy a športovej výchovy formou dostavby, rekonštrukcie alebo výstavby novej telocvične / spoluúčasť BSK v zmysle výzvy MŠVVaŠ SR</w:t>
            </w:r>
          </w:p>
        </w:tc>
        <w:tc>
          <w:tcPr>
            <w:tcW w:w="1677" w:type="dxa"/>
            <w:tcBorders>
              <w:top w:val="nil"/>
              <w:left w:val="nil"/>
              <w:bottom w:val="single" w:sz="8" w:space="0" w:color="DCE6F1"/>
              <w:right w:val="nil"/>
            </w:tcBorders>
            <w:shd w:val="clear" w:color="auto" w:fill="auto"/>
            <w:noWrap/>
            <w:vAlign w:val="center"/>
            <w:hideMark/>
          </w:tcPr>
          <w:p w14:paraId="23D31C2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4 234,48</w:t>
            </w:r>
          </w:p>
        </w:tc>
      </w:tr>
      <w:tr w:rsidR="002C7F07" w:rsidRPr="002C7F07" w14:paraId="039E47A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B76E85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Ivanka pri Dunaji - zádržné / projektové práce - rekonštrukcia elektroinštalácie v budove internátu</w:t>
            </w:r>
          </w:p>
        </w:tc>
        <w:tc>
          <w:tcPr>
            <w:tcW w:w="1677" w:type="dxa"/>
            <w:tcBorders>
              <w:top w:val="nil"/>
              <w:left w:val="nil"/>
              <w:bottom w:val="single" w:sz="8" w:space="0" w:color="DCE6F1"/>
              <w:right w:val="nil"/>
            </w:tcBorders>
            <w:shd w:val="clear" w:color="auto" w:fill="auto"/>
            <w:noWrap/>
            <w:vAlign w:val="center"/>
            <w:hideMark/>
          </w:tcPr>
          <w:p w14:paraId="5BBD2E1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468,60</w:t>
            </w:r>
          </w:p>
        </w:tc>
      </w:tr>
      <w:tr w:rsidR="002C7F07" w:rsidRPr="002C7F07" w14:paraId="7286C28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A2FB1F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Ivanka pri Dunaji - technický dozor investora / COVP</w:t>
            </w:r>
          </w:p>
        </w:tc>
        <w:tc>
          <w:tcPr>
            <w:tcW w:w="1677" w:type="dxa"/>
            <w:tcBorders>
              <w:top w:val="nil"/>
              <w:left w:val="nil"/>
              <w:bottom w:val="single" w:sz="8" w:space="0" w:color="DCE6F1"/>
              <w:right w:val="nil"/>
            </w:tcBorders>
            <w:shd w:val="clear" w:color="auto" w:fill="auto"/>
            <w:noWrap/>
            <w:vAlign w:val="center"/>
            <w:hideMark/>
          </w:tcPr>
          <w:p w14:paraId="42CAA0C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2 760,00</w:t>
            </w:r>
          </w:p>
        </w:tc>
      </w:tr>
      <w:tr w:rsidR="002C7F07" w:rsidRPr="002C7F07" w14:paraId="142D6E0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6E2169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Ivanka pri Dunaji - vyplatenie zádržného / rekonštrukcia areálovej kanalizácie</w:t>
            </w:r>
          </w:p>
        </w:tc>
        <w:tc>
          <w:tcPr>
            <w:tcW w:w="1677" w:type="dxa"/>
            <w:tcBorders>
              <w:top w:val="nil"/>
              <w:left w:val="nil"/>
              <w:bottom w:val="single" w:sz="8" w:space="0" w:color="DCE6F1"/>
              <w:right w:val="nil"/>
            </w:tcBorders>
            <w:shd w:val="clear" w:color="auto" w:fill="auto"/>
            <w:noWrap/>
            <w:vAlign w:val="center"/>
            <w:hideMark/>
          </w:tcPr>
          <w:p w14:paraId="1A88FBB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3 060,15</w:t>
            </w:r>
          </w:p>
        </w:tc>
      </w:tr>
      <w:tr w:rsidR="002C7F07" w:rsidRPr="002C7F07" w14:paraId="09643289"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DE3C90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Malinovo - prestavba 4. a 5. NP</w:t>
            </w:r>
          </w:p>
        </w:tc>
        <w:tc>
          <w:tcPr>
            <w:tcW w:w="1677" w:type="dxa"/>
            <w:tcBorders>
              <w:top w:val="nil"/>
              <w:left w:val="nil"/>
              <w:bottom w:val="single" w:sz="8" w:space="0" w:color="DCE6F1"/>
              <w:right w:val="nil"/>
            </w:tcBorders>
            <w:shd w:val="clear" w:color="auto" w:fill="auto"/>
            <w:noWrap/>
            <w:vAlign w:val="center"/>
            <w:hideMark/>
          </w:tcPr>
          <w:p w14:paraId="16A314D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261 163,99</w:t>
            </w:r>
          </w:p>
        </w:tc>
      </w:tr>
      <w:tr w:rsidR="002C7F07" w:rsidRPr="002C7F07" w14:paraId="3C534E46"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3F379D9"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Malinovo - zakúpenie umývačky riadu, varného kotla a výklopnej panvice</w:t>
            </w:r>
          </w:p>
        </w:tc>
        <w:tc>
          <w:tcPr>
            <w:tcW w:w="1677" w:type="dxa"/>
            <w:tcBorders>
              <w:top w:val="nil"/>
              <w:left w:val="nil"/>
              <w:bottom w:val="single" w:sz="8" w:space="0" w:color="DCE6F1"/>
              <w:right w:val="nil"/>
            </w:tcBorders>
            <w:shd w:val="clear" w:color="auto" w:fill="auto"/>
            <w:noWrap/>
            <w:vAlign w:val="center"/>
            <w:hideMark/>
          </w:tcPr>
          <w:p w14:paraId="0E966FF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12 019,20</w:t>
            </w:r>
          </w:p>
        </w:tc>
      </w:tr>
      <w:tr w:rsidR="002C7F07" w:rsidRPr="002C7F07" w14:paraId="39B6D39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2EE9597"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Obchodná akadémia, </w:t>
            </w:r>
            <w:proofErr w:type="spellStart"/>
            <w:r w:rsidRPr="002C7F07">
              <w:rPr>
                <w:rFonts w:cs="Calibri"/>
                <w:color w:val="000000"/>
                <w:sz w:val="20"/>
                <w:szCs w:val="20"/>
                <w:lang w:eastAsia="sk-SK"/>
              </w:rPr>
              <w:t>Dudova</w:t>
            </w:r>
            <w:proofErr w:type="spellEnd"/>
            <w:r w:rsidRPr="002C7F07">
              <w:rPr>
                <w:rFonts w:cs="Calibri"/>
                <w:color w:val="000000"/>
                <w:sz w:val="20"/>
                <w:szCs w:val="20"/>
                <w:lang w:eastAsia="sk-SK"/>
              </w:rPr>
              <w:t xml:space="preserve"> - dobudovanie odbornej jazykovej učebne</w:t>
            </w:r>
          </w:p>
        </w:tc>
        <w:tc>
          <w:tcPr>
            <w:tcW w:w="1677" w:type="dxa"/>
            <w:tcBorders>
              <w:top w:val="nil"/>
              <w:left w:val="nil"/>
              <w:bottom w:val="single" w:sz="8" w:space="0" w:color="DCE6F1"/>
              <w:right w:val="nil"/>
            </w:tcBorders>
            <w:shd w:val="clear" w:color="auto" w:fill="auto"/>
            <w:noWrap/>
            <w:vAlign w:val="center"/>
            <w:hideMark/>
          </w:tcPr>
          <w:p w14:paraId="75EDAA9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4 934,96</w:t>
            </w:r>
          </w:p>
        </w:tc>
      </w:tr>
      <w:tr w:rsidR="002C7F07" w:rsidRPr="002C7F07" w14:paraId="1582DD5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5E085F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Obchodná akadémia, </w:t>
            </w:r>
            <w:proofErr w:type="spellStart"/>
            <w:r w:rsidRPr="002C7F07">
              <w:rPr>
                <w:rFonts w:cs="Calibri"/>
                <w:color w:val="000000"/>
                <w:sz w:val="20"/>
                <w:szCs w:val="20"/>
                <w:lang w:eastAsia="sk-SK"/>
              </w:rPr>
              <w:t>Dudova</w:t>
            </w:r>
            <w:proofErr w:type="spellEnd"/>
            <w:r w:rsidRPr="002C7F07">
              <w:rPr>
                <w:rFonts w:cs="Calibri"/>
                <w:color w:val="000000"/>
                <w:sz w:val="20"/>
                <w:szCs w:val="20"/>
                <w:lang w:eastAsia="sk-SK"/>
              </w:rPr>
              <w:t xml:space="preserve"> - modernizácia osvetlenia v budove školy</w:t>
            </w:r>
          </w:p>
        </w:tc>
        <w:tc>
          <w:tcPr>
            <w:tcW w:w="1677" w:type="dxa"/>
            <w:tcBorders>
              <w:top w:val="nil"/>
              <w:left w:val="nil"/>
              <w:bottom w:val="single" w:sz="8" w:space="0" w:color="DCE6F1"/>
              <w:right w:val="nil"/>
            </w:tcBorders>
            <w:shd w:val="clear" w:color="auto" w:fill="auto"/>
            <w:noWrap/>
            <w:vAlign w:val="center"/>
            <w:hideMark/>
          </w:tcPr>
          <w:p w14:paraId="017F8E4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63 665,77</w:t>
            </w:r>
          </w:p>
        </w:tc>
      </w:tr>
      <w:tr w:rsidR="002C7F07" w:rsidRPr="002C7F07" w14:paraId="57C8CBCC"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872236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pedagogická, Bullova - projektová dokumentácia a inžiniering / zateplenie fasády a striech, v </w:t>
            </w:r>
            <w:proofErr w:type="spellStart"/>
            <w:r w:rsidRPr="002C7F07">
              <w:rPr>
                <w:rFonts w:cs="Calibri"/>
                <w:color w:val="000000"/>
                <w:sz w:val="20"/>
                <w:szCs w:val="20"/>
                <w:lang w:eastAsia="sk-SK"/>
              </w:rPr>
              <w:t>yregulovanie</w:t>
            </w:r>
            <w:proofErr w:type="spellEnd"/>
            <w:r w:rsidRPr="002C7F07">
              <w:rPr>
                <w:rFonts w:cs="Calibri"/>
                <w:color w:val="000000"/>
                <w:sz w:val="20"/>
                <w:szCs w:val="20"/>
                <w:lang w:eastAsia="sk-SK"/>
              </w:rPr>
              <w:t xml:space="preserve"> systému ÚK</w:t>
            </w:r>
          </w:p>
        </w:tc>
        <w:tc>
          <w:tcPr>
            <w:tcW w:w="1677" w:type="dxa"/>
            <w:tcBorders>
              <w:top w:val="nil"/>
              <w:left w:val="nil"/>
              <w:bottom w:val="single" w:sz="8" w:space="0" w:color="DCE6F1"/>
              <w:right w:val="nil"/>
            </w:tcBorders>
            <w:shd w:val="clear" w:color="auto" w:fill="auto"/>
            <w:noWrap/>
            <w:vAlign w:val="center"/>
            <w:hideMark/>
          </w:tcPr>
          <w:p w14:paraId="2DC41E3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6 000,00</w:t>
            </w:r>
          </w:p>
        </w:tc>
      </w:tr>
      <w:tr w:rsidR="002C7F07" w:rsidRPr="002C7F07" w14:paraId="41F07E1B"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D3F2F7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SOŠ chemická, Vlčie hrdlo - vyplatenie zádržného / projekt - prestavba výrobnej haly na telocvičňu</w:t>
            </w:r>
          </w:p>
        </w:tc>
        <w:tc>
          <w:tcPr>
            <w:tcW w:w="1677" w:type="dxa"/>
            <w:tcBorders>
              <w:top w:val="nil"/>
              <w:left w:val="nil"/>
              <w:bottom w:val="single" w:sz="8" w:space="0" w:color="DCE6F1"/>
              <w:right w:val="nil"/>
            </w:tcBorders>
            <w:shd w:val="clear" w:color="auto" w:fill="auto"/>
            <w:noWrap/>
            <w:vAlign w:val="center"/>
            <w:hideMark/>
          </w:tcPr>
          <w:p w14:paraId="0C0BF63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2 136,00</w:t>
            </w:r>
          </w:p>
        </w:tc>
      </w:tr>
      <w:tr w:rsidR="002C7F07" w:rsidRPr="002C7F07" w14:paraId="2082DA5C"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222B68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SOŠ vinársko-ovocinárska, Modra - zakúpenie klimatizácie do rokovacej sály školy</w:t>
            </w:r>
          </w:p>
        </w:tc>
        <w:tc>
          <w:tcPr>
            <w:tcW w:w="1677" w:type="dxa"/>
            <w:tcBorders>
              <w:top w:val="nil"/>
              <w:left w:val="nil"/>
              <w:bottom w:val="single" w:sz="8" w:space="0" w:color="DCE6F1"/>
              <w:right w:val="nil"/>
            </w:tcBorders>
            <w:shd w:val="clear" w:color="auto" w:fill="auto"/>
            <w:noWrap/>
            <w:vAlign w:val="center"/>
            <w:hideMark/>
          </w:tcPr>
          <w:p w14:paraId="48C09E3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5 965,20</w:t>
            </w:r>
          </w:p>
        </w:tc>
      </w:tr>
      <w:tr w:rsidR="002C7F07" w:rsidRPr="002C7F07" w14:paraId="6042AB1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6FFB33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informačných technológií, </w:t>
            </w:r>
            <w:proofErr w:type="spellStart"/>
            <w:r w:rsidRPr="002C7F07">
              <w:rPr>
                <w:rFonts w:cs="Calibri"/>
                <w:color w:val="000000"/>
                <w:sz w:val="20"/>
                <w:szCs w:val="20"/>
                <w:lang w:eastAsia="sk-SK"/>
              </w:rPr>
              <w:t>Hlinícka</w:t>
            </w:r>
            <w:proofErr w:type="spellEnd"/>
            <w:r w:rsidRPr="002C7F07">
              <w:rPr>
                <w:rFonts w:cs="Calibri"/>
                <w:color w:val="000000"/>
                <w:sz w:val="20"/>
                <w:szCs w:val="20"/>
                <w:lang w:eastAsia="sk-SK"/>
              </w:rPr>
              <w:t xml:space="preserve"> - zakúpenie defibrilátora</w:t>
            </w:r>
          </w:p>
        </w:tc>
        <w:tc>
          <w:tcPr>
            <w:tcW w:w="1677" w:type="dxa"/>
            <w:tcBorders>
              <w:top w:val="nil"/>
              <w:left w:val="nil"/>
              <w:bottom w:val="single" w:sz="8" w:space="0" w:color="DCE6F1"/>
              <w:right w:val="nil"/>
            </w:tcBorders>
            <w:shd w:val="clear" w:color="auto" w:fill="auto"/>
            <w:noWrap/>
            <w:vAlign w:val="center"/>
            <w:hideMark/>
          </w:tcPr>
          <w:p w14:paraId="2A8C37B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1 954,00</w:t>
            </w:r>
          </w:p>
        </w:tc>
      </w:tr>
      <w:tr w:rsidR="002C7F07" w:rsidRPr="002C7F07" w14:paraId="5A00F09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78AB81D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technológií a remesiel, </w:t>
            </w:r>
            <w:proofErr w:type="spellStart"/>
            <w:r w:rsidRPr="002C7F07">
              <w:rPr>
                <w:rFonts w:cs="Calibri"/>
                <w:color w:val="000000"/>
                <w:sz w:val="20"/>
                <w:szCs w:val="20"/>
                <w:lang w:eastAsia="sk-SK"/>
              </w:rPr>
              <w:t>Ivanská</w:t>
            </w:r>
            <w:proofErr w:type="spellEnd"/>
            <w:r w:rsidRPr="002C7F07">
              <w:rPr>
                <w:rFonts w:cs="Calibri"/>
                <w:color w:val="000000"/>
                <w:sz w:val="20"/>
                <w:szCs w:val="20"/>
                <w:lang w:eastAsia="sk-SK"/>
              </w:rPr>
              <w:t xml:space="preserve"> cesta - technický dozor investora / COVP</w:t>
            </w:r>
          </w:p>
        </w:tc>
        <w:tc>
          <w:tcPr>
            <w:tcW w:w="1677" w:type="dxa"/>
            <w:tcBorders>
              <w:top w:val="nil"/>
              <w:left w:val="nil"/>
              <w:bottom w:val="single" w:sz="8" w:space="0" w:color="DCE6F1"/>
              <w:right w:val="nil"/>
            </w:tcBorders>
            <w:shd w:val="clear" w:color="auto" w:fill="auto"/>
            <w:noWrap/>
            <w:vAlign w:val="center"/>
            <w:hideMark/>
          </w:tcPr>
          <w:p w14:paraId="66A16DD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15 360,00</w:t>
            </w:r>
          </w:p>
        </w:tc>
      </w:tr>
      <w:tr w:rsidR="002C7F07" w:rsidRPr="002C7F07" w14:paraId="10B833A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711A658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technológií a remesiel, </w:t>
            </w:r>
            <w:proofErr w:type="spellStart"/>
            <w:r w:rsidRPr="002C7F07">
              <w:rPr>
                <w:rFonts w:cs="Calibri"/>
                <w:color w:val="000000"/>
                <w:sz w:val="20"/>
                <w:szCs w:val="20"/>
                <w:lang w:eastAsia="sk-SK"/>
              </w:rPr>
              <w:t>Ivanská</w:t>
            </w:r>
            <w:proofErr w:type="spellEnd"/>
            <w:r w:rsidRPr="002C7F07">
              <w:rPr>
                <w:rFonts w:cs="Calibri"/>
                <w:color w:val="000000"/>
                <w:sz w:val="20"/>
                <w:szCs w:val="20"/>
                <w:lang w:eastAsia="sk-SK"/>
              </w:rPr>
              <w:t xml:space="preserve"> cesta - stavebné práce / COVP</w:t>
            </w:r>
          </w:p>
        </w:tc>
        <w:tc>
          <w:tcPr>
            <w:tcW w:w="1677" w:type="dxa"/>
            <w:tcBorders>
              <w:top w:val="nil"/>
              <w:left w:val="nil"/>
              <w:bottom w:val="single" w:sz="8" w:space="0" w:color="DCE6F1"/>
              <w:right w:val="nil"/>
            </w:tcBorders>
            <w:shd w:val="clear" w:color="auto" w:fill="auto"/>
            <w:noWrap/>
            <w:vAlign w:val="center"/>
            <w:hideMark/>
          </w:tcPr>
          <w:p w14:paraId="1CB617B5"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167 973,67</w:t>
            </w:r>
          </w:p>
        </w:tc>
      </w:tr>
      <w:tr w:rsidR="002C7F07" w:rsidRPr="002C7F07" w14:paraId="59FBC95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5A155C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technológií a remesiel, </w:t>
            </w:r>
            <w:proofErr w:type="spellStart"/>
            <w:r w:rsidRPr="002C7F07">
              <w:rPr>
                <w:rFonts w:cs="Calibri"/>
                <w:color w:val="000000"/>
                <w:sz w:val="20"/>
                <w:szCs w:val="20"/>
                <w:lang w:eastAsia="sk-SK"/>
              </w:rPr>
              <w:t>Ivanská</w:t>
            </w:r>
            <w:proofErr w:type="spellEnd"/>
            <w:r w:rsidRPr="002C7F07">
              <w:rPr>
                <w:rFonts w:cs="Calibri"/>
                <w:color w:val="000000"/>
                <w:sz w:val="20"/>
                <w:szCs w:val="20"/>
                <w:lang w:eastAsia="sk-SK"/>
              </w:rPr>
              <w:t xml:space="preserve"> cesta - stavebné práce / COVP</w:t>
            </w:r>
          </w:p>
        </w:tc>
        <w:tc>
          <w:tcPr>
            <w:tcW w:w="1677" w:type="dxa"/>
            <w:tcBorders>
              <w:top w:val="nil"/>
              <w:left w:val="nil"/>
              <w:bottom w:val="single" w:sz="8" w:space="0" w:color="DCE6F1"/>
              <w:right w:val="nil"/>
            </w:tcBorders>
            <w:shd w:val="clear" w:color="auto" w:fill="auto"/>
            <w:noWrap/>
            <w:vAlign w:val="center"/>
            <w:hideMark/>
          </w:tcPr>
          <w:p w14:paraId="1965305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39 564,67</w:t>
            </w:r>
          </w:p>
        </w:tc>
      </w:tr>
      <w:tr w:rsidR="002C7F07" w:rsidRPr="002C7F07" w14:paraId="19DC872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B685C6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technológií a remesiel, </w:t>
            </w:r>
            <w:proofErr w:type="spellStart"/>
            <w:r w:rsidRPr="002C7F07">
              <w:rPr>
                <w:rFonts w:cs="Calibri"/>
                <w:color w:val="000000"/>
                <w:sz w:val="20"/>
                <w:szCs w:val="20"/>
                <w:lang w:eastAsia="sk-SK"/>
              </w:rPr>
              <w:t>Ivanská</w:t>
            </w:r>
            <w:proofErr w:type="spellEnd"/>
            <w:r w:rsidRPr="002C7F07">
              <w:rPr>
                <w:rFonts w:cs="Calibri"/>
                <w:color w:val="000000"/>
                <w:sz w:val="20"/>
                <w:szCs w:val="20"/>
                <w:lang w:eastAsia="sk-SK"/>
              </w:rPr>
              <w:t xml:space="preserve"> cesta - projektové práce / COVP</w:t>
            </w:r>
          </w:p>
        </w:tc>
        <w:tc>
          <w:tcPr>
            <w:tcW w:w="1677" w:type="dxa"/>
            <w:tcBorders>
              <w:top w:val="nil"/>
              <w:left w:val="nil"/>
              <w:bottom w:val="single" w:sz="8" w:space="0" w:color="DCE6F1"/>
              <w:right w:val="nil"/>
            </w:tcBorders>
            <w:shd w:val="clear" w:color="auto" w:fill="auto"/>
            <w:noWrap/>
            <w:vAlign w:val="center"/>
            <w:hideMark/>
          </w:tcPr>
          <w:p w14:paraId="5DAEE6E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4 945,50</w:t>
            </w:r>
          </w:p>
        </w:tc>
      </w:tr>
      <w:tr w:rsidR="002C7F07" w:rsidRPr="002C7F07" w14:paraId="151A71B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C38CFB6"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technológií a remesiel, </w:t>
            </w:r>
            <w:proofErr w:type="spellStart"/>
            <w:r w:rsidRPr="002C7F07">
              <w:rPr>
                <w:rFonts w:cs="Calibri"/>
                <w:color w:val="000000"/>
                <w:sz w:val="20"/>
                <w:szCs w:val="20"/>
                <w:lang w:eastAsia="sk-SK"/>
              </w:rPr>
              <w:t>Ivanská</w:t>
            </w:r>
            <w:proofErr w:type="spellEnd"/>
            <w:r w:rsidRPr="002C7F07">
              <w:rPr>
                <w:rFonts w:cs="Calibri"/>
                <w:color w:val="000000"/>
                <w:sz w:val="20"/>
                <w:szCs w:val="20"/>
                <w:lang w:eastAsia="sk-SK"/>
              </w:rPr>
              <w:t xml:space="preserve"> cesta - kamerový systém</w:t>
            </w:r>
          </w:p>
        </w:tc>
        <w:tc>
          <w:tcPr>
            <w:tcW w:w="1677" w:type="dxa"/>
            <w:tcBorders>
              <w:top w:val="nil"/>
              <w:left w:val="nil"/>
              <w:bottom w:val="single" w:sz="8" w:space="0" w:color="DCE6F1"/>
              <w:right w:val="nil"/>
            </w:tcBorders>
            <w:shd w:val="clear" w:color="auto" w:fill="auto"/>
            <w:noWrap/>
            <w:vAlign w:val="center"/>
            <w:hideMark/>
          </w:tcPr>
          <w:p w14:paraId="6A8540F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19 224,58</w:t>
            </w:r>
          </w:p>
        </w:tc>
      </w:tr>
      <w:tr w:rsidR="002C7F07" w:rsidRPr="002C7F07" w14:paraId="55E3B32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2894A7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technológií a remesiel, </w:t>
            </w:r>
            <w:proofErr w:type="spellStart"/>
            <w:r w:rsidRPr="002C7F07">
              <w:rPr>
                <w:rFonts w:cs="Calibri"/>
                <w:color w:val="000000"/>
                <w:sz w:val="20"/>
                <w:szCs w:val="20"/>
                <w:lang w:eastAsia="sk-SK"/>
              </w:rPr>
              <w:t>Ivanská</w:t>
            </w:r>
            <w:proofErr w:type="spellEnd"/>
            <w:r w:rsidRPr="002C7F07">
              <w:rPr>
                <w:rFonts w:cs="Calibri"/>
                <w:color w:val="000000"/>
                <w:sz w:val="20"/>
                <w:szCs w:val="20"/>
                <w:lang w:eastAsia="sk-SK"/>
              </w:rPr>
              <w:t xml:space="preserve"> cesta - presunutie SDK priečky</w:t>
            </w:r>
          </w:p>
        </w:tc>
        <w:tc>
          <w:tcPr>
            <w:tcW w:w="1677" w:type="dxa"/>
            <w:tcBorders>
              <w:top w:val="nil"/>
              <w:left w:val="nil"/>
              <w:bottom w:val="single" w:sz="8" w:space="0" w:color="DCE6F1"/>
              <w:right w:val="nil"/>
            </w:tcBorders>
            <w:shd w:val="clear" w:color="auto" w:fill="auto"/>
            <w:noWrap/>
            <w:vAlign w:val="center"/>
            <w:hideMark/>
          </w:tcPr>
          <w:p w14:paraId="57FB11B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3 494,47</w:t>
            </w:r>
          </w:p>
        </w:tc>
      </w:tr>
      <w:tr w:rsidR="002C7F07" w:rsidRPr="002C7F07" w14:paraId="144778F6"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B5CF447"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w:t>
            </w:r>
            <w:proofErr w:type="spellStart"/>
            <w:r w:rsidRPr="002C7F07">
              <w:rPr>
                <w:rFonts w:cs="Calibri"/>
                <w:color w:val="000000"/>
                <w:sz w:val="20"/>
                <w:szCs w:val="20"/>
                <w:lang w:eastAsia="sk-SK"/>
              </w:rPr>
              <w:t>HSaO</w:t>
            </w:r>
            <w:proofErr w:type="spellEnd"/>
            <w:r w:rsidRPr="002C7F07">
              <w:rPr>
                <w:rFonts w:cs="Calibri"/>
                <w:color w:val="000000"/>
                <w:sz w:val="20"/>
                <w:szCs w:val="20"/>
                <w:lang w:eastAsia="sk-SK"/>
              </w:rPr>
              <w:t>, Na pántoch - spolufinancovanie projektu z Úradu vlády SR schváleného v rámci výzvy na podporu rozvoja športu</w:t>
            </w:r>
          </w:p>
        </w:tc>
        <w:tc>
          <w:tcPr>
            <w:tcW w:w="1677" w:type="dxa"/>
            <w:tcBorders>
              <w:top w:val="nil"/>
              <w:left w:val="nil"/>
              <w:bottom w:val="single" w:sz="8" w:space="0" w:color="DCE6F1"/>
              <w:right w:val="nil"/>
            </w:tcBorders>
            <w:shd w:val="clear" w:color="auto" w:fill="auto"/>
            <w:noWrap/>
            <w:vAlign w:val="center"/>
            <w:hideMark/>
          </w:tcPr>
          <w:p w14:paraId="58140D1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27 104,45</w:t>
            </w:r>
          </w:p>
        </w:tc>
      </w:tr>
      <w:tr w:rsidR="002C7F07" w:rsidRPr="002C7F07" w14:paraId="3F656ED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4F8390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w:t>
            </w:r>
            <w:proofErr w:type="spellStart"/>
            <w:r w:rsidRPr="002C7F07">
              <w:rPr>
                <w:rFonts w:cs="Calibri"/>
                <w:color w:val="000000"/>
                <w:sz w:val="20"/>
                <w:szCs w:val="20"/>
                <w:lang w:eastAsia="sk-SK"/>
              </w:rPr>
              <w:t>HSaO</w:t>
            </w:r>
            <w:proofErr w:type="spellEnd"/>
            <w:r w:rsidRPr="002C7F07">
              <w:rPr>
                <w:rFonts w:cs="Calibri"/>
                <w:color w:val="000000"/>
                <w:sz w:val="20"/>
                <w:szCs w:val="20"/>
                <w:lang w:eastAsia="sk-SK"/>
              </w:rPr>
              <w:t>, Na pántoch - zakúpenie plynového varného kotla</w:t>
            </w:r>
          </w:p>
        </w:tc>
        <w:tc>
          <w:tcPr>
            <w:tcW w:w="1677" w:type="dxa"/>
            <w:tcBorders>
              <w:top w:val="nil"/>
              <w:left w:val="nil"/>
              <w:bottom w:val="single" w:sz="8" w:space="0" w:color="DCE6F1"/>
              <w:right w:val="nil"/>
            </w:tcBorders>
            <w:shd w:val="clear" w:color="auto" w:fill="auto"/>
            <w:noWrap/>
            <w:vAlign w:val="center"/>
            <w:hideMark/>
          </w:tcPr>
          <w:p w14:paraId="11B09C3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5 038,80</w:t>
            </w:r>
          </w:p>
        </w:tc>
      </w:tr>
      <w:tr w:rsidR="002C7F07" w:rsidRPr="002C7F07" w14:paraId="3630D8C4"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15A739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w:t>
            </w:r>
            <w:proofErr w:type="spellStart"/>
            <w:r w:rsidRPr="002C7F07">
              <w:rPr>
                <w:rFonts w:cs="Calibri"/>
                <w:color w:val="000000"/>
                <w:sz w:val="20"/>
                <w:szCs w:val="20"/>
                <w:lang w:eastAsia="sk-SK"/>
              </w:rPr>
              <w:t>GaHS</w:t>
            </w:r>
            <w:proofErr w:type="spellEnd"/>
            <w:r w:rsidRPr="002C7F07">
              <w:rPr>
                <w:rFonts w:cs="Calibri"/>
                <w:color w:val="000000"/>
                <w:sz w:val="20"/>
                <w:szCs w:val="20"/>
                <w:lang w:eastAsia="sk-SK"/>
              </w:rPr>
              <w:t>, Farského - technický dozor investora / COVP</w:t>
            </w:r>
          </w:p>
        </w:tc>
        <w:tc>
          <w:tcPr>
            <w:tcW w:w="1677" w:type="dxa"/>
            <w:tcBorders>
              <w:top w:val="nil"/>
              <w:left w:val="nil"/>
              <w:bottom w:val="single" w:sz="8" w:space="0" w:color="DCE6F1"/>
              <w:right w:val="nil"/>
            </w:tcBorders>
            <w:shd w:val="clear" w:color="auto" w:fill="auto"/>
            <w:noWrap/>
            <w:vAlign w:val="center"/>
            <w:hideMark/>
          </w:tcPr>
          <w:p w14:paraId="761246B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1 726,66</w:t>
            </w:r>
          </w:p>
        </w:tc>
      </w:tr>
      <w:tr w:rsidR="002C7F07" w:rsidRPr="002C7F07" w14:paraId="46996C6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AF8A6D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lastRenderedPageBreak/>
              <w:t xml:space="preserve">SOŠ, </w:t>
            </w:r>
            <w:proofErr w:type="spellStart"/>
            <w:r w:rsidRPr="002C7F07">
              <w:rPr>
                <w:rFonts w:cs="Calibri"/>
                <w:color w:val="000000"/>
                <w:sz w:val="20"/>
                <w:szCs w:val="20"/>
                <w:lang w:eastAsia="sk-SK"/>
              </w:rPr>
              <w:t>Myslenická</w:t>
            </w:r>
            <w:proofErr w:type="spellEnd"/>
            <w:r w:rsidRPr="002C7F07">
              <w:rPr>
                <w:rFonts w:cs="Calibri"/>
                <w:color w:val="000000"/>
                <w:sz w:val="20"/>
                <w:szCs w:val="20"/>
                <w:lang w:eastAsia="sk-SK"/>
              </w:rPr>
              <w:t>, Pezinok - vypracovanie PHZ na rekonštrukciu výmenníkovej stanice tepla</w:t>
            </w:r>
          </w:p>
        </w:tc>
        <w:tc>
          <w:tcPr>
            <w:tcW w:w="1677" w:type="dxa"/>
            <w:tcBorders>
              <w:top w:val="nil"/>
              <w:left w:val="nil"/>
              <w:bottom w:val="single" w:sz="8" w:space="0" w:color="DCE6F1"/>
              <w:right w:val="nil"/>
            </w:tcBorders>
            <w:shd w:val="clear" w:color="auto" w:fill="auto"/>
            <w:noWrap/>
            <w:vAlign w:val="center"/>
            <w:hideMark/>
          </w:tcPr>
          <w:p w14:paraId="0025D64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960,00</w:t>
            </w:r>
          </w:p>
        </w:tc>
      </w:tr>
      <w:tr w:rsidR="002C7F07" w:rsidRPr="002C7F07" w14:paraId="53EA4C1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6DFAD3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SOŠ polygrafická, Račianska - vyplatenie zádržného / projektové práce k COVP</w:t>
            </w:r>
          </w:p>
        </w:tc>
        <w:tc>
          <w:tcPr>
            <w:tcW w:w="1677" w:type="dxa"/>
            <w:tcBorders>
              <w:top w:val="nil"/>
              <w:left w:val="nil"/>
              <w:bottom w:val="single" w:sz="8" w:space="0" w:color="DCE6F1"/>
              <w:right w:val="nil"/>
            </w:tcBorders>
            <w:shd w:val="clear" w:color="auto" w:fill="auto"/>
            <w:noWrap/>
            <w:vAlign w:val="center"/>
            <w:hideMark/>
          </w:tcPr>
          <w:p w14:paraId="4E05E9E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4 527,60</w:t>
            </w:r>
          </w:p>
        </w:tc>
      </w:tr>
      <w:tr w:rsidR="002C7F07" w:rsidRPr="002C7F07" w14:paraId="12EDD6B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E75985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SOŠ polygrafická, Račianska - vyhotovenie PHZ na rekonštrukciu kúrenia a rozvodov kúrenia na internáte</w:t>
            </w:r>
          </w:p>
        </w:tc>
        <w:tc>
          <w:tcPr>
            <w:tcW w:w="1677" w:type="dxa"/>
            <w:tcBorders>
              <w:top w:val="nil"/>
              <w:left w:val="nil"/>
              <w:bottom w:val="single" w:sz="8" w:space="0" w:color="DCE6F1"/>
              <w:right w:val="nil"/>
            </w:tcBorders>
            <w:shd w:val="clear" w:color="auto" w:fill="auto"/>
            <w:noWrap/>
            <w:vAlign w:val="center"/>
            <w:hideMark/>
          </w:tcPr>
          <w:p w14:paraId="606161B2"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1 200,00</w:t>
            </w:r>
          </w:p>
        </w:tc>
      </w:tr>
      <w:tr w:rsidR="002C7F07" w:rsidRPr="002C7F07" w14:paraId="71320906"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951DC6D"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SOŠ polygrafická, Račianska - zádržné zo stavebných prác / rekonštrukcia telocviční</w:t>
            </w:r>
          </w:p>
        </w:tc>
        <w:tc>
          <w:tcPr>
            <w:tcW w:w="1677" w:type="dxa"/>
            <w:tcBorders>
              <w:top w:val="nil"/>
              <w:left w:val="nil"/>
              <w:bottom w:val="single" w:sz="8" w:space="0" w:color="DCE6F1"/>
              <w:right w:val="nil"/>
            </w:tcBorders>
            <w:shd w:val="clear" w:color="auto" w:fill="auto"/>
            <w:noWrap/>
            <w:vAlign w:val="center"/>
            <w:hideMark/>
          </w:tcPr>
          <w:p w14:paraId="64822E2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40 555,56</w:t>
            </w:r>
          </w:p>
        </w:tc>
      </w:tr>
      <w:tr w:rsidR="002C7F07" w:rsidRPr="002C7F07" w14:paraId="26ABF74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791307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SOŠ polygrafická, Račianska - rekonštrukcia kúrenia a rozvodov kúrenia na internáte</w:t>
            </w:r>
          </w:p>
        </w:tc>
        <w:tc>
          <w:tcPr>
            <w:tcW w:w="1677" w:type="dxa"/>
            <w:tcBorders>
              <w:top w:val="nil"/>
              <w:left w:val="nil"/>
              <w:bottom w:val="single" w:sz="8" w:space="0" w:color="DCE6F1"/>
              <w:right w:val="nil"/>
            </w:tcBorders>
            <w:shd w:val="clear" w:color="auto" w:fill="auto"/>
            <w:noWrap/>
            <w:vAlign w:val="center"/>
            <w:hideMark/>
          </w:tcPr>
          <w:p w14:paraId="07FD978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80 220,75</w:t>
            </w:r>
          </w:p>
        </w:tc>
      </w:tr>
      <w:tr w:rsidR="002C7F07" w:rsidRPr="002C7F07" w14:paraId="3B03B3BD"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E395C3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SOŠ polygrafická, Račianska - odborné pracovisko dokončovacieho spracovania digitálnej tlače - V1</w:t>
            </w:r>
          </w:p>
        </w:tc>
        <w:tc>
          <w:tcPr>
            <w:tcW w:w="1677" w:type="dxa"/>
            <w:tcBorders>
              <w:top w:val="nil"/>
              <w:left w:val="nil"/>
              <w:bottom w:val="single" w:sz="8" w:space="0" w:color="DCE6F1"/>
              <w:right w:val="nil"/>
            </w:tcBorders>
            <w:shd w:val="clear" w:color="auto" w:fill="auto"/>
            <w:noWrap/>
            <w:vAlign w:val="center"/>
            <w:hideMark/>
          </w:tcPr>
          <w:p w14:paraId="6992ACF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67 600,00</w:t>
            </w:r>
          </w:p>
        </w:tc>
      </w:tr>
      <w:tr w:rsidR="002C7F07" w:rsidRPr="002C7F07" w14:paraId="03C0743D"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813323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 ŠÚV J. Vydru, Dúbravská cesta - materiálne </w:t>
            </w:r>
            <w:proofErr w:type="spellStart"/>
            <w:r w:rsidRPr="002C7F07">
              <w:rPr>
                <w:rFonts w:cs="Calibri"/>
                <w:color w:val="000000"/>
                <w:sz w:val="20"/>
                <w:szCs w:val="20"/>
                <w:lang w:eastAsia="sk-SK"/>
              </w:rPr>
              <w:t>dovybavenie</w:t>
            </w:r>
            <w:proofErr w:type="spellEnd"/>
            <w:r w:rsidRPr="002C7F07">
              <w:rPr>
                <w:rFonts w:cs="Calibri"/>
                <w:color w:val="000000"/>
                <w:sz w:val="20"/>
                <w:szCs w:val="20"/>
                <w:lang w:eastAsia="sk-SK"/>
              </w:rPr>
              <w:t xml:space="preserve"> študijných odborov </w:t>
            </w:r>
          </w:p>
        </w:tc>
        <w:tc>
          <w:tcPr>
            <w:tcW w:w="1677" w:type="dxa"/>
            <w:tcBorders>
              <w:top w:val="nil"/>
              <w:left w:val="nil"/>
              <w:bottom w:val="single" w:sz="8" w:space="0" w:color="DCE6F1"/>
              <w:right w:val="nil"/>
            </w:tcBorders>
            <w:shd w:val="clear" w:color="auto" w:fill="auto"/>
            <w:noWrap/>
            <w:vAlign w:val="center"/>
            <w:hideMark/>
          </w:tcPr>
          <w:p w14:paraId="337AA95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17 232,39</w:t>
            </w:r>
          </w:p>
        </w:tc>
      </w:tr>
      <w:tr w:rsidR="002C7F07" w:rsidRPr="002C7F07" w14:paraId="732A311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937E9A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Jazyková škola, Palisády - vyplatenie zádržného / oprava oporného múru</w:t>
            </w:r>
          </w:p>
        </w:tc>
        <w:tc>
          <w:tcPr>
            <w:tcW w:w="1677" w:type="dxa"/>
            <w:tcBorders>
              <w:top w:val="nil"/>
              <w:left w:val="nil"/>
              <w:bottom w:val="single" w:sz="8" w:space="0" w:color="DCE6F1"/>
              <w:right w:val="nil"/>
            </w:tcBorders>
            <w:shd w:val="clear" w:color="auto" w:fill="auto"/>
            <w:noWrap/>
            <w:vAlign w:val="center"/>
            <w:hideMark/>
          </w:tcPr>
          <w:p w14:paraId="410B8CE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4 410,66</w:t>
            </w:r>
          </w:p>
        </w:tc>
      </w:tr>
      <w:tr w:rsidR="002C7F07" w:rsidRPr="002C7F07" w14:paraId="0EE6E55D"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4AA4D1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Školský internát, Trnavská - investičná podpora internátu na Saratovskej ul. / rekonštrukcia izieb spolu s elektroinštaláciou a trafostanicou</w:t>
            </w:r>
          </w:p>
        </w:tc>
        <w:tc>
          <w:tcPr>
            <w:tcW w:w="1677" w:type="dxa"/>
            <w:tcBorders>
              <w:top w:val="nil"/>
              <w:left w:val="nil"/>
              <w:bottom w:val="single" w:sz="8" w:space="0" w:color="DCE6F1"/>
              <w:right w:val="nil"/>
            </w:tcBorders>
            <w:shd w:val="clear" w:color="auto" w:fill="auto"/>
            <w:noWrap/>
            <w:vAlign w:val="center"/>
            <w:hideMark/>
          </w:tcPr>
          <w:p w14:paraId="045D6B3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5 271,90</w:t>
            </w:r>
          </w:p>
        </w:tc>
      </w:tr>
      <w:tr w:rsidR="002C7F07" w:rsidRPr="002C7F07" w14:paraId="58251E7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AF9E61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Rozsutec</w:t>
            </w:r>
            <w:proofErr w:type="spellEnd"/>
            <w:r w:rsidRPr="002C7F07">
              <w:rPr>
                <w:rFonts w:cs="Calibri"/>
                <w:color w:val="000000"/>
                <w:sz w:val="20"/>
                <w:szCs w:val="20"/>
                <w:lang w:eastAsia="sk-SK"/>
              </w:rPr>
              <w:t xml:space="preserve"> - vybudovanie oddychovo-technického areálu a úprava povrchu </w:t>
            </w:r>
            <w:proofErr w:type="spellStart"/>
            <w:r w:rsidRPr="002C7F07">
              <w:rPr>
                <w:rFonts w:cs="Calibri"/>
                <w:color w:val="000000"/>
                <w:sz w:val="20"/>
                <w:szCs w:val="20"/>
                <w:lang w:eastAsia="sk-SK"/>
              </w:rPr>
              <w:t>vnútroareálových</w:t>
            </w:r>
            <w:proofErr w:type="spellEnd"/>
            <w:r w:rsidRPr="002C7F07">
              <w:rPr>
                <w:rFonts w:cs="Calibri"/>
                <w:color w:val="000000"/>
                <w:sz w:val="20"/>
                <w:szCs w:val="20"/>
                <w:lang w:eastAsia="sk-SK"/>
              </w:rPr>
              <w:t xml:space="preserve"> spevnených plôch</w:t>
            </w:r>
          </w:p>
        </w:tc>
        <w:tc>
          <w:tcPr>
            <w:tcW w:w="1677" w:type="dxa"/>
            <w:tcBorders>
              <w:top w:val="nil"/>
              <w:left w:val="nil"/>
              <w:bottom w:val="single" w:sz="8" w:space="0" w:color="DCE6F1"/>
              <w:right w:val="nil"/>
            </w:tcBorders>
            <w:shd w:val="clear" w:color="auto" w:fill="auto"/>
            <w:noWrap/>
            <w:vAlign w:val="center"/>
            <w:hideMark/>
          </w:tcPr>
          <w:p w14:paraId="6FFD013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41 542,62</w:t>
            </w:r>
          </w:p>
        </w:tc>
      </w:tr>
      <w:tr w:rsidR="002C7F07" w:rsidRPr="002C7F07" w14:paraId="446948A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30E493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Rozsutec</w:t>
            </w:r>
            <w:proofErr w:type="spellEnd"/>
            <w:r w:rsidRPr="002C7F07">
              <w:rPr>
                <w:rFonts w:cs="Calibri"/>
                <w:color w:val="000000"/>
                <w:sz w:val="20"/>
                <w:szCs w:val="20"/>
                <w:lang w:eastAsia="sk-SK"/>
              </w:rPr>
              <w:t xml:space="preserve"> - oddychovo-technický areál / geodetická dokumentácia skutočného vyhotovenia stavby, aktualizácia rozpočtu</w:t>
            </w:r>
          </w:p>
        </w:tc>
        <w:tc>
          <w:tcPr>
            <w:tcW w:w="1677" w:type="dxa"/>
            <w:tcBorders>
              <w:top w:val="nil"/>
              <w:left w:val="nil"/>
              <w:bottom w:val="single" w:sz="8" w:space="0" w:color="DCE6F1"/>
              <w:right w:val="nil"/>
            </w:tcBorders>
            <w:shd w:val="clear" w:color="auto" w:fill="auto"/>
            <w:noWrap/>
            <w:vAlign w:val="center"/>
            <w:hideMark/>
          </w:tcPr>
          <w:p w14:paraId="761CA81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350,00</w:t>
            </w:r>
          </w:p>
        </w:tc>
      </w:tr>
      <w:tr w:rsidR="002C7F07" w:rsidRPr="002C7F07" w14:paraId="25971B3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61527D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Rozsutec</w:t>
            </w:r>
            <w:proofErr w:type="spellEnd"/>
            <w:r w:rsidRPr="002C7F07">
              <w:rPr>
                <w:rFonts w:cs="Calibri"/>
                <w:color w:val="000000"/>
                <w:sz w:val="20"/>
                <w:szCs w:val="20"/>
                <w:lang w:eastAsia="sk-SK"/>
              </w:rPr>
              <w:t xml:space="preserve"> - oplotenie areálu zo strany príjazdovej cesty</w:t>
            </w:r>
          </w:p>
        </w:tc>
        <w:tc>
          <w:tcPr>
            <w:tcW w:w="1677" w:type="dxa"/>
            <w:tcBorders>
              <w:top w:val="nil"/>
              <w:left w:val="nil"/>
              <w:bottom w:val="single" w:sz="8" w:space="0" w:color="DCE6F1"/>
              <w:right w:val="nil"/>
            </w:tcBorders>
            <w:shd w:val="clear" w:color="auto" w:fill="auto"/>
            <w:noWrap/>
            <w:vAlign w:val="center"/>
            <w:hideMark/>
          </w:tcPr>
          <w:p w14:paraId="44A5BED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3 873,78</w:t>
            </w:r>
          </w:p>
        </w:tc>
      </w:tr>
      <w:tr w:rsidR="002C7F07" w:rsidRPr="002C7F07" w14:paraId="42698C4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0FCEAE6"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Rozsutec</w:t>
            </w:r>
            <w:proofErr w:type="spellEnd"/>
            <w:r w:rsidRPr="002C7F07">
              <w:rPr>
                <w:rFonts w:cs="Calibri"/>
                <w:color w:val="000000"/>
                <w:sz w:val="20"/>
                <w:szCs w:val="20"/>
                <w:lang w:eastAsia="sk-SK"/>
              </w:rPr>
              <w:t xml:space="preserve"> - stavebné práce / parkovacie miesta pred zariadením</w:t>
            </w:r>
          </w:p>
        </w:tc>
        <w:tc>
          <w:tcPr>
            <w:tcW w:w="1677" w:type="dxa"/>
            <w:tcBorders>
              <w:top w:val="nil"/>
              <w:left w:val="nil"/>
              <w:bottom w:val="single" w:sz="8" w:space="0" w:color="DCE6F1"/>
              <w:right w:val="nil"/>
            </w:tcBorders>
            <w:shd w:val="clear" w:color="auto" w:fill="auto"/>
            <w:noWrap/>
            <w:vAlign w:val="center"/>
            <w:hideMark/>
          </w:tcPr>
          <w:p w14:paraId="71CC371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8 764,44</w:t>
            </w:r>
          </w:p>
        </w:tc>
      </w:tr>
      <w:tr w:rsidR="002C7F07" w:rsidRPr="002C7F07" w14:paraId="0B5405A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6363D80"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Rozsutec</w:t>
            </w:r>
            <w:proofErr w:type="spellEnd"/>
            <w:r w:rsidRPr="002C7F07">
              <w:rPr>
                <w:rFonts w:cs="Calibri"/>
                <w:color w:val="000000"/>
                <w:sz w:val="20"/>
                <w:szCs w:val="20"/>
                <w:lang w:eastAsia="sk-SK"/>
              </w:rPr>
              <w:t xml:space="preserve"> - projektové práce / prestavba starej kotolne na tvorivú remeselnú dielňu</w:t>
            </w:r>
          </w:p>
        </w:tc>
        <w:tc>
          <w:tcPr>
            <w:tcW w:w="1677" w:type="dxa"/>
            <w:tcBorders>
              <w:top w:val="nil"/>
              <w:left w:val="nil"/>
              <w:bottom w:val="single" w:sz="8" w:space="0" w:color="DCE6F1"/>
              <w:right w:val="nil"/>
            </w:tcBorders>
            <w:shd w:val="clear" w:color="auto" w:fill="auto"/>
            <w:noWrap/>
            <w:vAlign w:val="center"/>
            <w:hideMark/>
          </w:tcPr>
          <w:p w14:paraId="49E257E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492,00</w:t>
            </w:r>
          </w:p>
        </w:tc>
      </w:tr>
      <w:tr w:rsidR="002C7F07" w:rsidRPr="002C7F07" w14:paraId="47C9DAC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16A8AE0"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Rozsutec</w:t>
            </w:r>
            <w:proofErr w:type="spellEnd"/>
            <w:r w:rsidRPr="002C7F07">
              <w:rPr>
                <w:rFonts w:cs="Calibri"/>
                <w:color w:val="000000"/>
                <w:sz w:val="20"/>
                <w:szCs w:val="20"/>
                <w:lang w:eastAsia="sk-SK"/>
              </w:rPr>
              <w:t xml:space="preserve"> - stavebné práce / prestavba starej kotolne na tvorivú remeselnú dielňu</w:t>
            </w:r>
          </w:p>
        </w:tc>
        <w:tc>
          <w:tcPr>
            <w:tcW w:w="1677" w:type="dxa"/>
            <w:tcBorders>
              <w:top w:val="nil"/>
              <w:left w:val="nil"/>
              <w:bottom w:val="single" w:sz="8" w:space="0" w:color="DCE6F1"/>
              <w:right w:val="nil"/>
            </w:tcBorders>
            <w:shd w:val="clear" w:color="auto" w:fill="auto"/>
            <w:noWrap/>
            <w:vAlign w:val="center"/>
            <w:hideMark/>
          </w:tcPr>
          <w:p w14:paraId="5F5E82B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50 497,69</w:t>
            </w:r>
          </w:p>
        </w:tc>
      </w:tr>
      <w:tr w:rsidR="002C7F07" w:rsidRPr="002C7F07" w14:paraId="51C0F1F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5DA1F5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DSS Kampino - zakúpenie plynového sporáka</w:t>
            </w:r>
          </w:p>
        </w:tc>
        <w:tc>
          <w:tcPr>
            <w:tcW w:w="1677" w:type="dxa"/>
            <w:tcBorders>
              <w:top w:val="nil"/>
              <w:left w:val="nil"/>
              <w:bottom w:val="single" w:sz="8" w:space="0" w:color="DCE6F1"/>
              <w:right w:val="nil"/>
            </w:tcBorders>
            <w:shd w:val="clear" w:color="auto" w:fill="auto"/>
            <w:noWrap/>
            <w:vAlign w:val="center"/>
            <w:hideMark/>
          </w:tcPr>
          <w:p w14:paraId="3BF2194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1 809,60</w:t>
            </w:r>
          </w:p>
        </w:tc>
      </w:tr>
      <w:tr w:rsidR="002C7F07" w:rsidRPr="002C7F07" w14:paraId="38332AC2"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720E7E05"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Merema</w:t>
            </w:r>
            <w:proofErr w:type="spellEnd"/>
            <w:r w:rsidRPr="002C7F07">
              <w:rPr>
                <w:rFonts w:cs="Calibri"/>
                <w:color w:val="000000"/>
                <w:sz w:val="20"/>
                <w:szCs w:val="20"/>
                <w:lang w:eastAsia="sk-SK"/>
              </w:rPr>
              <w:t xml:space="preserve"> - </w:t>
            </w:r>
            <w:proofErr w:type="spellStart"/>
            <w:r w:rsidRPr="002C7F07">
              <w:rPr>
                <w:rFonts w:cs="Calibri"/>
                <w:color w:val="000000"/>
                <w:sz w:val="20"/>
                <w:szCs w:val="20"/>
                <w:lang w:eastAsia="sk-SK"/>
              </w:rPr>
              <w:t>Deinštitucionalizácia</w:t>
            </w:r>
            <w:proofErr w:type="spellEnd"/>
            <w:r w:rsidRPr="002C7F07">
              <w:rPr>
                <w:rFonts w:cs="Calibri"/>
                <w:color w:val="000000"/>
                <w:sz w:val="20"/>
                <w:szCs w:val="20"/>
                <w:lang w:eastAsia="sk-SK"/>
              </w:rPr>
              <w:t xml:space="preserve"> / aktualizácia rozpočtu - projektové práce</w:t>
            </w:r>
          </w:p>
        </w:tc>
        <w:tc>
          <w:tcPr>
            <w:tcW w:w="1677" w:type="dxa"/>
            <w:tcBorders>
              <w:top w:val="nil"/>
              <w:left w:val="nil"/>
              <w:bottom w:val="single" w:sz="8" w:space="0" w:color="DCE6F1"/>
              <w:right w:val="nil"/>
            </w:tcBorders>
            <w:shd w:val="clear" w:color="auto" w:fill="auto"/>
            <w:noWrap/>
            <w:vAlign w:val="center"/>
            <w:hideMark/>
          </w:tcPr>
          <w:p w14:paraId="31056CF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1 500,00</w:t>
            </w:r>
          </w:p>
        </w:tc>
      </w:tr>
      <w:tr w:rsidR="002C7F07" w:rsidRPr="002C7F07" w14:paraId="77560EBC"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DFC303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Merema</w:t>
            </w:r>
            <w:proofErr w:type="spellEnd"/>
            <w:r w:rsidRPr="002C7F07">
              <w:rPr>
                <w:rFonts w:cs="Calibri"/>
                <w:color w:val="000000"/>
                <w:sz w:val="20"/>
                <w:szCs w:val="20"/>
                <w:lang w:eastAsia="sk-SK"/>
              </w:rPr>
              <w:t xml:space="preserve"> - zakúpenie profesionálnej práčky</w:t>
            </w:r>
          </w:p>
        </w:tc>
        <w:tc>
          <w:tcPr>
            <w:tcW w:w="1677" w:type="dxa"/>
            <w:tcBorders>
              <w:top w:val="nil"/>
              <w:left w:val="nil"/>
              <w:bottom w:val="single" w:sz="8" w:space="0" w:color="DCE6F1"/>
              <w:right w:val="nil"/>
            </w:tcBorders>
            <w:shd w:val="clear" w:color="auto" w:fill="auto"/>
            <w:noWrap/>
            <w:vAlign w:val="center"/>
            <w:hideMark/>
          </w:tcPr>
          <w:p w14:paraId="6ED187D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2 352,00</w:t>
            </w:r>
          </w:p>
        </w:tc>
      </w:tr>
      <w:tr w:rsidR="002C7F07" w:rsidRPr="002C7F07" w14:paraId="4C708E4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B804067"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DSS Lipského - projektová dokumentácia / zateplenie objektov Hontianska 12 a 16 a výstavba výťahu na Hontianskej 12</w:t>
            </w:r>
          </w:p>
        </w:tc>
        <w:tc>
          <w:tcPr>
            <w:tcW w:w="1677" w:type="dxa"/>
            <w:tcBorders>
              <w:top w:val="nil"/>
              <w:left w:val="nil"/>
              <w:bottom w:val="single" w:sz="8" w:space="0" w:color="DCE6F1"/>
              <w:right w:val="nil"/>
            </w:tcBorders>
            <w:shd w:val="clear" w:color="auto" w:fill="auto"/>
            <w:noWrap/>
            <w:vAlign w:val="center"/>
            <w:hideMark/>
          </w:tcPr>
          <w:p w14:paraId="42337DDE"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2 976,00</w:t>
            </w:r>
          </w:p>
        </w:tc>
      </w:tr>
      <w:tr w:rsidR="002C7F07" w:rsidRPr="002C7F07" w14:paraId="72610B7E"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5102C5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DSS Báhoň - stavebné práce / výstavba nového evakuačného výťahu</w:t>
            </w:r>
          </w:p>
        </w:tc>
        <w:tc>
          <w:tcPr>
            <w:tcW w:w="1677" w:type="dxa"/>
            <w:tcBorders>
              <w:top w:val="nil"/>
              <w:left w:val="nil"/>
              <w:bottom w:val="single" w:sz="8" w:space="0" w:color="DCE6F1"/>
              <w:right w:val="nil"/>
            </w:tcBorders>
            <w:shd w:val="clear" w:color="auto" w:fill="auto"/>
            <w:noWrap/>
            <w:vAlign w:val="center"/>
            <w:hideMark/>
          </w:tcPr>
          <w:p w14:paraId="2880DB12"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197 495,02</w:t>
            </w:r>
          </w:p>
        </w:tc>
      </w:tr>
      <w:tr w:rsidR="002C7F07" w:rsidRPr="002C7F07" w14:paraId="513CE14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002C555"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DSS Báhoň - zakúpenie elektrického varného kotla</w:t>
            </w:r>
          </w:p>
        </w:tc>
        <w:tc>
          <w:tcPr>
            <w:tcW w:w="1677" w:type="dxa"/>
            <w:tcBorders>
              <w:top w:val="nil"/>
              <w:left w:val="nil"/>
              <w:bottom w:val="single" w:sz="8" w:space="0" w:color="DCE6F1"/>
              <w:right w:val="nil"/>
            </w:tcBorders>
            <w:shd w:val="clear" w:color="auto" w:fill="auto"/>
            <w:noWrap/>
            <w:vAlign w:val="center"/>
            <w:hideMark/>
          </w:tcPr>
          <w:p w14:paraId="5558F85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3 363,31</w:t>
            </w:r>
          </w:p>
        </w:tc>
      </w:tr>
      <w:tr w:rsidR="002C7F07" w:rsidRPr="002C7F07" w14:paraId="630512B6"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79A297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Integra</w:t>
            </w:r>
            <w:proofErr w:type="spellEnd"/>
            <w:r w:rsidRPr="002C7F07">
              <w:rPr>
                <w:rFonts w:cs="Calibri"/>
                <w:color w:val="000000"/>
                <w:sz w:val="20"/>
                <w:szCs w:val="20"/>
                <w:lang w:eastAsia="sk-SK"/>
              </w:rPr>
              <w:t xml:space="preserve"> - zádržné zo stavebných prác / zateplenie strechy, fasády a prístavba prístrešku</w:t>
            </w:r>
          </w:p>
        </w:tc>
        <w:tc>
          <w:tcPr>
            <w:tcW w:w="1677" w:type="dxa"/>
            <w:tcBorders>
              <w:top w:val="nil"/>
              <w:left w:val="nil"/>
              <w:bottom w:val="single" w:sz="8" w:space="0" w:color="DCE6F1"/>
              <w:right w:val="nil"/>
            </w:tcBorders>
            <w:shd w:val="clear" w:color="auto" w:fill="auto"/>
            <w:noWrap/>
            <w:vAlign w:val="center"/>
            <w:hideMark/>
          </w:tcPr>
          <w:p w14:paraId="6034C20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16 197,09</w:t>
            </w:r>
          </w:p>
        </w:tc>
      </w:tr>
      <w:tr w:rsidR="002C7F07" w:rsidRPr="002C7F07" w14:paraId="62CF5019"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4ABAD7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Integra</w:t>
            </w:r>
            <w:proofErr w:type="spellEnd"/>
            <w:r w:rsidRPr="002C7F07">
              <w:rPr>
                <w:rFonts w:cs="Calibri"/>
                <w:color w:val="000000"/>
                <w:sz w:val="20"/>
                <w:szCs w:val="20"/>
                <w:lang w:eastAsia="sk-SK"/>
              </w:rPr>
              <w:t xml:space="preserve"> - zádržné zo stavebných prác / rekonštrukcia kuchyne</w:t>
            </w:r>
          </w:p>
        </w:tc>
        <w:tc>
          <w:tcPr>
            <w:tcW w:w="1677" w:type="dxa"/>
            <w:tcBorders>
              <w:top w:val="nil"/>
              <w:left w:val="nil"/>
              <w:bottom w:val="single" w:sz="8" w:space="0" w:color="DCE6F1"/>
              <w:right w:val="nil"/>
            </w:tcBorders>
            <w:shd w:val="clear" w:color="auto" w:fill="auto"/>
            <w:noWrap/>
            <w:vAlign w:val="center"/>
            <w:hideMark/>
          </w:tcPr>
          <w:p w14:paraId="592B079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2 487,94</w:t>
            </w:r>
          </w:p>
        </w:tc>
      </w:tr>
      <w:tr w:rsidR="002C7F07" w:rsidRPr="002C7F07" w14:paraId="5564816C"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640AEE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w:t>
            </w:r>
            <w:proofErr w:type="spellStart"/>
            <w:r w:rsidRPr="002C7F07">
              <w:rPr>
                <w:rFonts w:cs="Calibri"/>
                <w:color w:val="000000"/>
                <w:sz w:val="20"/>
                <w:szCs w:val="20"/>
                <w:lang w:eastAsia="sk-SK"/>
              </w:rPr>
              <w:t>Integra</w:t>
            </w:r>
            <w:proofErr w:type="spellEnd"/>
            <w:r w:rsidRPr="002C7F07">
              <w:rPr>
                <w:rFonts w:cs="Calibri"/>
                <w:color w:val="000000"/>
                <w:sz w:val="20"/>
                <w:szCs w:val="20"/>
                <w:lang w:eastAsia="sk-SK"/>
              </w:rPr>
              <w:t xml:space="preserve"> - zakúpenie elektrickej panvy a vysokootáčkovej profesionálnej práčky</w:t>
            </w:r>
          </w:p>
        </w:tc>
        <w:tc>
          <w:tcPr>
            <w:tcW w:w="1677" w:type="dxa"/>
            <w:tcBorders>
              <w:top w:val="nil"/>
              <w:left w:val="nil"/>
              <w:bottom w:val="single" w:sz="8" w:space="0" w:color="DCE6F1"/>
              <w:right w:val="nil"/>
            </w:tcBorders>
            <w:shd w:val="clear" w:color="auto" w:fill="auto"/>
            <w:noWrap/>
            <w:vAlign w:val="center"/>
            <w:hideMark/>
          </w:tcPr>
          <w:p w14:paraId="3A832D1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7 934,34</w:t>
            </w:r>
          </w:p>
        </w:tc>
      </w:tr>
      <w:tr w:rsidR="002C7F07" w:rsidRPr="002C7F07" w14:paraId="3FA2900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0BC5F86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DSS Rosa - zakúpenie práčky</w:t>
            </w:r>
          </w:p>
        </w:tc>
        <w:tc>
          <w:tcPr>
            <w:tcW w:w="1677" w:type="dxa"/>
            <w:tcBorders>
              <w:top w:val="nil"/>
              <w:left w:val="nil"/>
              <w:bottom w:val="single" w:sz="8" w:space="0" w:color="DCE6F1"/>
              <w:right w:val="nil"/>
            </w:tcBorders>
            <w:shd w:val="clear" w:color="auto" w:fill="auto"/>
            <w:noWrap/>
            <w:vAlign w:val="center"/>
            <w:hideMark/>
          </w:tcPr>
          <w:p w14:paraId="44D878E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4 788,00</w:t>
            </w:r>
          </w:p>
        </w:tc>
      </w:tr>
      <w:tr w:rsidR="002C7F07" w:rsidRPr="002C7F07" w14:paraId="164FF0AD"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5A7B53A6"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ZKR </w:t>
            </w:r>
            <w:proofErr w:type="spellStart"/>
            <w:r w:rsidRPr="002C7F07">
              <w:rPr>
                <w:rFonts w:cs="Calibri"/>
                <w:color w:val="000000"/>
                <w:sz w:val="20"/>
                <w:szCs w:val="20"/>
                <w:lang w:eastAsia="sk-SK"/>
              </w:rPr>
              <w:t>Gaudeamus</w:t>
            </w:r>
            <w:proofErr w:type="spellEnd"/>
            <w:r w:rsidRPr="002C7F07">
              <w:rPr>
                <w:rFonts w:cs="Calibri"/>
                <w:color w:val="000000"/>
                <w:sz w:val="20"/>
                <w:szCs w:val="20"/>
                <w:lang w:eastAsia="sk-SK"/>
              </w:rPr>
              <w:t xml:space="preserve"> - stavebné práce / modernizácia 2 výťahov / výmena technológie</w:t>
            </w:r>
          </w:p>
        </w:tc>
        <w:tc>
          <w:tcPr>
            <w:tcW w:w="1677" w:type="dxa"/>
            <w:tcBorders>
              <w:top w:val="nil"/>
              <w:left w:val="nil"/>
              <w:bottom w:val="single" w:sz="8" w:space="0" w:color="DCE6F1"/>
              <w:right w:val="nil"/>
            </w:tcBorders>
            <w:shd w:val="clear" w:color="auto" w:fill="auto"/>
            <w:noWrap/>
            <w:vAlign w:val="center"/>
            <w:hideMark/>
          </w:tcPr>
          <w:p w14:paraId="4844E69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83 640,00</w:t>
            </w:r>
          </w:p>
        </w:tc>
      </w:tr>
      <w:tr w:rsidR="002C7F07" w:rsidRPr="002C7F07" w14:paraId="6A236AD7"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3D0D5F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ZKR </w:t>
            </w:r>
            <w:proofErr w:type="spellStart"/>
            <w:r w:rsidRPr="002C7F07">
              <w:rPr>
                <w:rFonts w:cs="Calibri"/>
                <w:color w:val="000000"/>
                <w:sz w:val="20"/>
                <w:szCs w:val="20"/>
                <w:lang w:eastAsia="sk-SK"/>
              </w:rPr>
              <w:t>Gaudeamus</w:t>
            </w:r>
            <w:proofErr w:type="spellEnd"/>
            <w:r w:rsidRPr="002C7F07">
              <w:rPr>
                <w:rFonts w:cs="Calibri"/>
                <w:color w:val="000000"/>
                <w:sz w:val="20"/>
                <w:szCs w:val="20"/>
                <w:lang w:eastAsia="sk-SK"/>
              </w:rPr>
              <w:t xml:space="preserve"> - projektová dokumentácia / vybudovanie parkoviska a kruhovej križovatky</w:t>
            </w:r>
          </w:p>
        </w:tc>
        <w:tc>
          <w:tcPr>
            <w:tcW w:w="1677" w:type="dxa"/>
            <w:tcBorders>
              <w:top w:val="nil"/>
              <w:left w:val="nil"/>
              <w:bottom w:val="single" w:sz="8" w:space="0" w:color="DCE6F1"/>
              <w:right w:val="nil"/>
            </w:tcBorders>
            <w:shd w:val="clear" w:color="auto" w:fill="auto"/>
            <w:noWrap/>
            <w:vAlign w:val="center"/>
            <w:hideMark/>
          </w:tcPr>
          <w:p w14:paraId="4DAC682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3 072,00</w:t>
            </w:r>
          </w:p>
        </w:tc>
      </w:tr>
      <w:tr w:rsidR="002C7F07" w:rsidRPr="002C7F07" w14:paraId="70095FF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BC6A46D"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ZKR </w:t>
            </w:r>
            <w:proofErr w:type="spellStart"/>
            <w:r w:rsidRPr="002C7F07">
              <w:rPr>
                <w:rFonts w:cs="Calibri"/>
                <w:color w:val="000000"/>
                <w:sz w:val="20"/>
                <w:szCs w:val="20"/>
                <w:lang w:eastAsia="sk-SK"/>
              </w:rPr>
              <w:t>Gaudeamus</w:t>
            </w:r>
            <w:proofErr w:type="spellEnd"/>
            <w:r w:rsidRPr="002C7F07">
              <w:rPr>
                <w:rFonts w:cs="Calibri"/>
                <w:color w:val="000000"/>
                <w:sz w:val="20"/>
                <w:szCs w:val="20"/>
                <w:lang w:eastAsia="sk-SK"/>
              </w:rPr>
              <w:t xml:space="preserve"> - vypracovanie projektovej dokumentácie / stavebné úpravy 2. a 3. poschodia</w:t>
            </w:r>
          </w:p>
        </w:tc>
        <w:tc>
          <w:tcPr>
            <w:tcW w:w="1677" w:type="dxa"/>
            <w:tcBorders>
              <w:top w:val="nil"/>
              <w:left w:val="nil"/>
              <w:bottom w:val="single" w:sz="8" w:space="0" w:color="DCE6F1"/>
              <w:right w:val="nil"/>
            </w:tcBorders>
            <w:shd w:val="clear" w:color="auto" w:fill="auto"/>
            <w:noWrap/>
            <w:vAlign w:val="center"/>
            <w:hideMark/>
          </w:tcPr>
          <w:p w14:paraId="3E9EE022"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4 250,00</w:t>
            </w:r>
          </w:p>
        </w:tc>
      </w:tr>
      <w:tr w:rsidR="002C7F07" w:rsidRPr="002C7F07" w14:paraId="37D4839C"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2B3DBA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ZKR </w:t>
            </w:r>
            <w:proofErr w:type="spellStart"/>
            <w:r w:rsidRPr="002C7F07">
              <w:rPr>
                <w:rFonts w:cs="Calibri"/>
                <w:color w:val="000000"/>
                <w:sz w:val="20"/>
                <w:szCs w:val="20"/>
                <w:lang w:eastAsia="sk-SK"/>
              </w:rPr>
              <w:t>Gaudeamus</w:t>
            </w:r>
            <w:proofErr w:type="spellEnd"/>
            <w:r w:rsidRPr="002C7F07">
              <w:rPr>
                <w:rFonts w:cs="Calibri"/>
                <w:color w:val="000000"/>
                <w:sz w:val="20"/>
                <w:szCs w:val="20"/>
                <w:lang w:eastAsia="sk-SK"/>
              </w:rPr>
              <w:t xml:space="preserve"> - zakúpenie sprchovacieho hydraulického lôžka a profesionálnej práčky</w:t>
            </w:r>
          </w:p>
        </w:tc>
        <w:tc>
          <w:tcPr>
            <w:tcW w:w="1677" w:type="dxa"/>
            <w:tcBorders>
              <w:top w:val="nil"/>
              <w:left w:val="nil"/>
              <w:bottom w:val="single" w:sz="8" w:space="0" w:color="DCE6F1"/>
              <w:right w:val="nil"/>
            </w:tcBorders>
            <w:shd w:val="clear" w:color="auto" w:fill="auto"/>
            <w:noWrap/>
            <w:vAlign w:val="center"/>
            <w:hideMark/>
          </w:tcPr>
          <w:p w14:paraId="38FF5E6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5 055,20</w:t>
            </w:r>
          </w:p>
        </w:tc>
      </w:tr>
      <w:tr w:rsidR="002C7F07" w:rsidRPr="002C7F07" w14:paraId="7324AA3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EC9BF60"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a </w:t>
            </w:r>
            <w:proofErr w:type="spellStart"/>
            <w:r w:rsidRPr="002C7F07">
              <w:rPr>
                <w:rFonts w:cs="Calibri"/>
                <w:color w:val="000000"/>
                <w:sz w:val="20"/>
                <w:szCs w:val="20"/>
                <w:lang w:eastAsia="sk-SK"/>
              </w:rPr>
              <w:t>ZpS</w:t>
            </w:r>
            <w:proofErr w:type="spellEnd"/>
            <w:r w:rsidRPr="002C7F07">
              <w:rPr>
                <w:rFonts w:cs="Calibri"/>
                <w:color w:val="000000"/>
                <w:sz w:val="20"/>
                <w:szCs w:val="20"/>
                <w:lang w:eastAsia="sk-SK"/>
              </w:rPr>
              <w:t xml:space="preserve"> Rača - vybudovanie rampy pre imobilných / </w:t>
            </w:r>
            <w:proofErr w:type="spellStart"/>
            <w:r w:rsidRPr="002C7F07">
              <w:rPr>
                <w:rFonts w:cs="Calibri"/>
                <w:color w:val="000000"/>
                <w:sz w:val="20"/>
                <w:szCs w:val="20"/>
                <w:lang w:eastAsia="sk-SK"/>
              </w:rPr>
              <w:t>Debarierizácia</w:t>
            </w:r>
            <w:proofErr w:type="spellEnd"/>
          </w:p>
        </w:tc>
        <w:tc>
          <w:tcPr>
            <w:tcW w:w="1677" w:type="dxa"/>
            <w:tcBorders>
              <w:top w:val="nil"/>
              <w:left w:val="nil"/>
              <w:bottom w:val="single" w:sz="8" w:space="0" w:color="DCE6F1"/>
              <w:right w:val="nil"/>
            </w:tcBorders>
            <w:shd w:val="clear" w:color="auto" w:fill="auto"/>
            <w:noWrap/>
            <w:vAlign w:val="center"/>
            <w:hideMark/>
          </w:tcPr>
          <w:p w14:paraId="4CBFBF8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17 195,40</w:t>
            </w:r>
          </w:p>
        </w:tc>
      </w:tr>
      <w:tr w:rsidR="002C7F07" w:rsidRPr="002C7F07" w14:paraId="5D739FA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0A1DA16"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a </w:t>
            </w:r>
            <w:proofErr w:type="spellStart"/>
            <w:r w:rsidRPr="002C7F07">
              <w:rPr>
                <w:rFonts w:cs="Calibri"/>
                <w:color w:val="000000"/>
                <w:sz w:val="20"/>
                <w:szCs w:val="20"/>
                <w:lang w:eastAsia="sk-SK"/>
              </w:rPr>
              <w:t>ZpS</w:t>
            </w:r>
            <w:proofErr w:type="spellEnd"/>
            <w:r w:rsidRPr="002C7F07">
              <w:rPr>
                <w:rFonts w:cs="Calibri"/>
                <w:color w:val="000000"/>
                <w:sz w:val="20"/>
                <w:szCs w:val="20"/>
                <w:lang w:eastAsia="sk-SK"/>
              </w:rPr>
              <w:t xml:space="preserve"> Rača - projektová dokumentácia a inžiniering / </w:t>
            </w:r>
            <w:proofErr w:type="spellStart"/>
            <w:r w:rsidRPr="002C7F07">
              <w:rPr>
                <w:rFonts w:cs="Calibri"/>
                <w:color w:val="000000"/>
                <w:sz w:val="20"/>
                <w:szCs w:val="20"/>
                <w:lang w:eastAsia="sk-SK"/>
              </w:rPr>
              <w:t>Deinštitucionalizácia</w:t>
            </w:r>
            <w:proofErr w:type="spellEnd"/>
            <w:r w:rsidRPr="002C7F07">
              <w:rPr>
                <w:rFonts w:cs="Calibri"/>
                <w:color w:val="000000"/>
                <w:sz w:val="20"/>
                <w:szCs w:val="20"/>
                <w:lang w:eastAsia="sk-SK"/>
              </w:rPr>
              <w:t xml:space="preserve"> a </w:t>
            </w:r>
            <w:proofErr w:type="spellStart"/>
            <w:r w:rsidRPr="002C7F07">
              <w:rPr>
                <w:rFonts w:cs="Calibri"/>
                <w:color w:val="000000"/>
                <w:sz w:val="20"/>
                <w:szCs w:val="20"/>
                <w:lang w:eastAsia="sk-SK"/>
              </w:rPr>
              <w:t>Debarierizácia</w:t>
            </w:r>
            <w:proofErr w:type="spellEnd"/>
            <w:r w:rsidRPr="002C7F07">
              <w:rPr>
                <w:rFonts w:cs="Calibri"/>
                <w:color w:val="000000"/>
                <w:sz w:val="20"/>
                <w:szCs w:val="20"/>
                <w:lang w:eastAsia="sk-SK"/>
              </w:rPr>
              <w:t xml:space="preserve"> pre objekty / DI Račianska 105, </w:t>
            </w:r>
            <w:proofErr w:type="spellStart"/>
            <w:r w:rsidRPr="002C7F07">
              <w:rPr>
                <w:rFonts w:cs="Calibri"/>
                <w:color w:val="000000"/>
                <w:sz w:val="20"/>
                <w:szCs w:val="20"/>
                <w:lang w:eastAsia="sk-SK"/>
              </w:rPr>
              <w:t>Strelkova</w:t>
            </w:r>
            <w:proofErr w:type="spellEnd"/>
            <w:r w:rsidRPr="002C7F07">
              <w:rPr>
                <w:rFonts w:cs="Calibri"/>
                <w:color w:val="000000"/>
                <w:sz w:val="20"/>
                <w:szCs w:val="20"/>
                <w:lang w:eastAsia="sk-SK"/>
              </w:rPr>
              <w:t>, DB Podbrezovská, DB Pri Vinohradoch</w:t>
            </w:r>
          </w:p>
        </w:tc>
        <w:tc>
          <w:tcPr>
            <w:tcW w:w="1677" w:type="dxa"/>
            <w:tcBorders>
              <w:top w:val="nil"/>
              <w:left w:val="nil"/>
              <w:bottom w:val="single" w:sz="8" w:space="0" w:color="DCE6F1"/>
              <w:right w:val="nil"/>
            </w:tcBorders>
            <w:shd w:val="clear" w:color="auto" w:fill="auto"/>
            <w:noWrap/>
            <w:vAlign w:val="center"/>
            <w:hideMark/>
          </w:tcPr>
          <w:p w14:paraId="3C38788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2 295,98</w:t>
            </w:r>
          </w:p>
        </w:tc>
      </w:tr>
      <w:tr w:rsidR="002C7F07" w:rsidRPr="002C7F07" w14:paraId="1CB9837A"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37C11C7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a </w:t>
            </w:r>
            <w:proofErr w:type="spellStart"/>
            <w:r w:rsidRPr="002C7F07">
              <w:rPr>
                <w:rFonts w:cs="Calibri"/>
                <w:color w:val="000000"/>
                <w:sz w:val="20"/>
                <w:szCs w:val="20"/>
                <w:lang w:eastAsia="sk-SK"/>
              </w:rPr>
              <w:t>ZpS</w:t>
            </w:r>
            <w:proofErr w:type="spellEnd"/>
            <w:r w:rsidRPr="002C7F07">
              <w:rPr>
                <w:rFonts w:cs="Calibri"/>
                <w:color w:val="000000"/>
                <w:sz w:val="20"/>
                <w:szCs w:val="20"/>
                <w:lang w:eastAsia="sk-SK"/>
              </w:rPr>
              <w:t xml:space="preserve"> Rača - zakúpenie škrabky na zemiaky</w:t>
            </w:r>
          </w:p>
        </w:tc>
        <w:tc>
          <w:tcPr>
            <w:tcW w:w="1677" w:type="dxa"/>
            <w:tcBorders>
              <w:top w:val="nil"/>
              <w:left w:val="nil"/>
              <w:bottom w:val="single" w:sz="8" w:space="0" w:color="DCE6F1"/>
              <w:right w:val="nil"/>
            </w:tcBorders>
            <w:shd w:val="clear" w:color="auto" w:fill="auto"/>
            <w:noWrap/>
            <w:vAlign w:val="center"/>
            <w:hideMark/>
          </w:tcPr>
          <w:p w14:paraId="066CF32C"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1 750,08</w:t>
            </w:r>
          </w:p>
        </w:tc>
      </w:tr>
      <w:tr w:rsidR="002C7F07" w:rsidRPr="002C7F07" w14:paraId="0BDC9F5B"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3F5A46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a </w:t>
            </w:r>
            <w:proofErr w:type="spellStart"/>
            <w:r w:rsidRPr="002C7F07">
              <w:rPr>
                <w:rFonts w:cs="Calibri"/>
                <w:color w:val="000000"/>
                <w:sz w:val="20"/>
                <w:szCs w:val="20"/>
                <w:lang w:eastAsia="sk-SK"/>
              </w:rPr>
              <w:t>ZpS</w:t>
            </w:r>
            <w:proofErr w:type="spellEnd"/>
            <w:r w:rsidRPr="002C7F07">
              <w:rPr>
                <w:rFonts w:cs="Calibri"/>
                <w:color w:val="000000"/>
                <w:sz w:val="20"/>
                <w:szCs w:val="20"/>
                <w:lang w:eastAsia="sk-SK"/>
              </w:rPr>
              <w:t xml:space="preserve"> Stupava - zakúpenie priemyselnej práčky a umývačky riadu</w:t>
            </w:r>
          </w:p>
        </w:tc>
        <w:tc>
          <w:tcPr>
            <w:tcW w:w="1677" w:type="dxa"/>
            <w:tcBorders>
              <w:top w:val="nil"/>
              <w:left w:val="nil"/>
              <w:bottom w:val="single" w:sz="8" w:space="0" w:color="DCE6F1"/>
              <w:right w:val="nil"/>
            </w:tcBorders>
            <w:shd w:val="clear" w:color="auto" w:fill="auto"/>
            <w:noWrap/>
            <w:vAlign w:val="center"/>
            <w:hideMark/>
          </w:tcPr>
          <w:p w14:paraId="51B0EF6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12 402,00</w:t>
            </w:r>
          </w:p>
        </w:tc>
      </w:tr>
      <w:tr w:rsidR="002C7F07" w:rsidRPr="002C7F07" w14:paraId="380A16E1"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9DA193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a </w:t>
            </w:r>
            <w:proofErr w:type="spellStart"/>
            <w:r w:rsidRPr="002C7F07">
              <w:rPr>
                <w:rFonts w:cs="Calibri"/>
                <w:color w:val="000000"/>
                <w:sz w:val="20"/>
                <w:szCs w:val="20"/>
                <w:lang w:eastAsia="sk-SK"/>
              </w:rPr>
              <w:t>ZpS</w:t>
            </w:r>
            <w:proofErr w:type="spellEnd"/>
            <w:r w:rsidRPr="002C7F07">
              <w:rPr>
                <w:rFonts w:cs="Calibri"/>
                <w:color w:val="000000"/>
                <w:sz w:val="20"/>
                <w:szCs w:val="20"/>
                <w:lang w:eastAsia="sk-SK"/>
              </w:rPr>
              <w:t xml:space="preserve"> Stupava - vyplatenie krátkodobého zádržného / rekonštrukcia prístupového mostíka</w:t>
            </w:r>
          </w:p>
        </w:tc>
        <w:tc>
          <w:tcPr>
            <w:tcW w:w="1677" w:type="dxa"/>
            <w:tcBorders>
              <w:top w:val="nil"/>
              <w:left w:val="nil"/>
              <w:bottom w:val="single" w:sz="8" w:space="0" w:color="DCE6F1"/>
              <w:right w:val="nil"/>
            </w:tcBorders>
            <w:shd w:val="clear" w:color="auto" w:fill="auto"/>
            <w:noWrap/>
            <w:vAlign w:val="center"/>
            <w:hideMark/>
          </w:tcPr>
          <w:p w14:paraId="2F06EEF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7 000,00</w:t>
            </w:r>
          </w:p>
        </w:tc>
      </w:tr>
      <w:tr w:rsidR="002C7F07" w:rsidRPr="002C7F07" w14:paraId="498B2949"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761C8276"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5: Starostlivosť o krajinu, prírodné zdroje, územné plánovanie a prevenciu obyvateľstva</w:t>
            </w:r>
          </w:p>
        </w:tc>
        <w:tc>
          <w:tcPr>
            <w:tcW w:w="1677" w:type="dxa"/>
            <w:tcBorders>
              <w:top w:val="nil"/>
              <w:left w:val="nil"/>
              <w:bottom w:val="single" w:sz="8" w:space="0" w:color="DCE6F1"/>
              <w:right w:val="nil"/>
            </w:tcBorders>
            <w:shd w:val="clear" w:color="000000" w:fill="95B3D7"/>
            <w:noWrap/>
            <w:vAlign w:val="center"/>
            <w:hideMark/>
          </w:tcPr>
          <w:p w14:paraId="3EC5E912"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29 676,00</w:t>
            </w:r>
          </w:p>
        </w:tc>
      </w:tr>
      <w:tr w:rsidR="002C7F07" w:rsidRPr="002C7F07" w14:paraId="5F3A24AB" w14:textId="77777777" w:rsidTr="002C7F07">
        <w:trPr>
          <w:trHeight w:val="300"/>
        </w:trPr>
        <w:tc>
          <w:tcPr>
            <w:tcW w:w="8789" w:type="dxa"/>
            <w:tcBorders>
              <w:top w:val="nil"/>
              <w:left w:val="nil"/>
              <w:bottom w:val="nil"/>
              <w:right w:val="nil"/>
            </w:tcBorders>
            <w:shd w:val="clear" w:color="auto" w:fill="auto"/>
            <w:noWrap/>
            <w:vAlign w:val="center"/>
            <w:hideMark/>
          </w:tcPr>
          <w:p w14:paraId="7ABBB5E0"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Monitoring potencionálnych liahnísk komárov - mobilná aplikácia</w:t>
            </w:r>
          </w:p>
        </w:tc>
        <w:tc>
          <w:tcPr>
            <w:tcW w:w="1677" w:type="dxa"/>
            <w:tcBorders>
              <w:top w:val="nil"/>
              <w:left w:val="nil"/>
              <w:bottom w:val="nil"/>
              <w:right w:val="nil"/>
            </w:tcBorders>
            <w:shd w:val="clear" w:color="auto" w:fill="auto"/>
            <w:noWrap/>
            <w:vAlign w:val="center"/>
            <w:hideMark/>
          </w:tcPr>
          <w:p w14:paraId="0E3D42D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29 676,00</w:t>
            </w:r>
          </w:p>
        </w:tc>
      </w:tr>
      <w:tr w:rsidR="002C7F07" w:rsidRPr="002C7F07" w14:paraId="7C79EA3C"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549DA9E8"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6: Komunikácie</w:t>
            </w:r>
          </w:p>
        </w:tc>
        <w:tc>
          <w:tcPr>
            <w:tcW w:w="1677" w:type="dxa"/>
            <w:tcBorders>
              <w:top w:val="nil"/>
              <w:left w:val="nil"/>
              <w:bottom w:val="single" w:sz="8" w:space="0" w:color="DCE6F1"/>
              <w:right w:val="nil"/>
            </w:tcBorders>
            <w:shd w:val="clear" w:color="000000" w:fill="95B3D7"/>
            <w:noWrap/>
            <w:vAlign w:val="center"/>
            <w:hideMark/>
          </w:tcPr>
          <w:p w14:paraId="3F8C17CD"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1 247 020,62</w:t>
            </w:r>
          </w:p>
        </w:tc>
      </w:tr>
      <w:tr w:rsidR="002C7F07" w:rsidRPr="002C7F07" w14:paraId="57AF65CB"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6C1C0D09"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Rekonštrukcia most. objektu č. II/503-022 Malacky - výmena nosnej konštrukcie, vybudovanie obchádzkovej trasy na ceste  č. II/503-022 Malacky</w:t>
            </w:r>
          </w:p>
        </w:tc>
        <w:tc>
          <w:tcPr>
            <w:tcW w:w="1677" w:type="dxa"/>
            <w:tcBorders>
              <w:top w:val="nil"/>
              <w:left w:val="nil"/>
              <w:bottom w:val="single" w:sz="8" w:space="0" w:color="DCE6F1"/>
              <w:right w:val="nil"/>
            </w:tcBorders>
            <w:shd w:val="clear" w:color="auto" w:fill="auto"/>
            <w:noWrap/>
            <w:vAlign w:val="center"/>
            <w:hideMark/>
          </w:tcPr>
          <w:p w14:paraId="0B2CFB3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428 025,30</w:t>
            </w:r>
          </w:p>
        </w:tc>
      </w:tr>
      <w:tr w:rsidR="002C7F07" w:rsidRPr="002C7F07" w14:paraId="42B6965F"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7EE108A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Stanoviská a vyjadrenia dotknutých orgánov a inštitúcií k projektovým dokumentáciám, existencií inžinierskych sietí, územným a stavebným konaniam pripravovaných dopravných stavieb v rámci BSK.</w:t>
            </w:r>
          </w:p>
        </w:tc>
        <w:tc>
          <w:tcPr>
            <w:tcW w:w="1677" w:type="dxa"/>
            <w:tcBorders>
              <w:top w:val="nil"/>
              <w:left w:val="nil"/>
              <w:bottom w:val="single" w:sz="8" w:space="0" w:color="DCE6F1"/>
              <w:right w:val="nil"/>
            </w:tcBorders>
            <w:shd w:val="clear" w:color="auto" w:fill="auto"/>
            <w:noWrap/>
            <w:vAlign w:val="center"/>
            <w:hideMark/>
          </w:tcPr>
          <w:p w14:paraId="1A156B0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82,00</w:t>
            </w:r>
          </w:p>
        </w:tc>
      </w:tr>
      <w:tr w:rsidR="002C7F07" w:rsidRPr="002C7F07" w14:paraId="643BB29A"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71B39D44"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Križovatka ciest III/1041 a III/1048 Ivanka pri Dunaji - dodanie overovacej štúdie</w:t>
            </w:r>
          </w:p>
        </w:tc>
        <w:tc>
          <w:tcPr>
            <w:tcW w:w="1677" w:type="dxa"/>
            <w:tcBorders>
              <w:top w:val="nil"/>
              <w:left w:val="nil"/>
              <w:bottom w:val="single" w:sz="8" w:space="0" w:color="DCE6F1"/>
              <w:right w:val="nil"/>
            </w:tcBorders>
            <w:shd w:val="clear" w:color="auto" w:fill="auto"/>
            <w:noWrap/>
            <w:vAlign w:val="center"/>
            <w:hideMark/>
          </w:tcPr>
          <w:p w14:paraId="12A522F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15 540,00</w:t>
            </w:r>
          </w:p>
        </w:tc>
      </w:tr>
      <w:tr w:rsidR="002C7F07" w:rsidRPr="002C7F07" w14:paraId="5B8FCE65"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613F995B" w14:textId="592D0EDF"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Prepojenie diaľničnej križovatky </w:t>
            </w:r>
            <w:proofErr w:type="spellStart"/>
            <w:r w:rsidRPr="002C7F07">
              <w:rPr>
                <w:rFonts w:cs="Calibri"/>
                <w:color w:val="000000"/>
                <w:sz w:val="20"/>
                <w:szCs w:val="20"/>
                <w:lang w:eastAsia="sk-SK"/>
              </w:rPr>
              <w:t>Triblavina</w:t>
            </w:r>
            <w:proofErr w:type="spellEnd"/>
            <w:r w:rsidRPr="002C7F07">
              <w:rPr>
                <w:rFonts w:cs="Calibri"/>
                <w:color w:val="000000"/>
                <w:sz w:val="20"/>
                <w:szCs w:val="20"/>
                <w:lang w:eastAsia="sk-SK"/>
              </w:rPr>
              <w:t xml:space="preserve"> s cestou III/1059 Chorvátsky Grob-Čierna voda - </w:t>
            </w:r>
            <w:r w:rsidR="00E7735B">
              <w:rPr>
                <w:rFonts w:cs="Calibri"/>
                <w:color w:val="000000"/>
                <w:sz w:val="20"/>
                <w:szCs w:val="20"/>
                <w:lang w:eastAsia="sk-SK"/>
              </w:rPr>
              <w:t>v</w:t>
            </w:r>
            <w:r w:rsidRPr="002C7F07">
              <w:rPr>
                <w:rFonts w:cs="Calibri"/>
                <w:color w:val="000000"/>
                <w:sz w:val="20"/>
                <w:szCs w:val="20"/>
                <w:lang w:eastAsia="sk-SK"/>
              </w:rPr>
              <w:t>yprac</w:t>
            </w:r>
            <w:r w:rsidR="00E7735B">
              <w:rPr>
                <w:rFonts w:cs="Calibri"/>
                <w:color w:val="000000"/>
                <w:sz w:val="20"/>
                <w:szCs w:val="20"/>
                <w:lang w:eastAsia="sk-SK"/>
              </w:rPr>
              <w:t>ovanie</w:t>
            </w:r>
            <w:r w:rsidRPr="002C7F07">
              <w:rPr>
                <w:rFonts w:cs="Calibri"/>
                <w:color w:val="000000"/>
                <w:sz w:val="20"/>
                <w:szCs w:val="20"/>
                <w:lang w:eastAsia="sk-SK"/>
              </w:rPr>
              <w:t xml:space="preserve"> dokumentácie stav</w:t>
            </w:r>
            <w:r w:rsidR="00E7735B">
              <w:rPr>
                <w:rFonts w:cs="Calibri"/>
                <w:color w:val="000000"/>
                <w:sz w:val="20"/>
                <w:szCs w:val="20"/>
                <w:lang w:eastAsia="sk-SK"/>
              </w:rPr>
              <w:t>ebného</w:t>
            </w:r>
            <w:r w:rsidRPr="002C7F07">
              <w:rPr>
                <w:rFonts w:cs="Calibri"/>
                <w:color w:val="000000"/>
                <w:sz w:val="20"/>
                <w:szCs w:val="20"/>
                <w:lang w:eastAsia="sk-SK"/>
              </w:rPr>
              <w:t xml:space="preserve"> zámeru a reálneho projektu</w:t>
            </w:r>
          </w:p>
        </w:tc>
        <w:tc>
          <w:tcPr>
            <w:tcW w:w="1677" w:type="dxa"/>
            <w:tcBorders>
              <w:top w:val="nil"/>
              <w:left w:val="nil"/>
              <w:bottom w:val="single" w:sz="8" w:space="0" w:color="DCE6F1"/>
              <w:right w:val="nil"/>
            </w:tcBorders>
            <w:shd w:val="clear" w:color="auto" w:fill="auto"/>
            <w:noWrap/>
            <w:vAlign w:val="center"/>
            <w:hideMark/>
          </w:tcPr>
          <w:p w14:paraId="5FEB28F9"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86 493,00</w:t>
            </w:r>
          </w:p>
        </w:tc>
      </w:tr>
      <w:tr w:rsidR="002C7F07" w:rsidRPr="002C7F07" w14:paraId="3CB4931F"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36EDCEC9"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 Vypracovanie projektovej dokumentácie na realizáciu stavby - Šenkvice (sanácia zosuvov na ceste III/1046  v  intraviláne obce-</w:t>
            </w:r>
            <w:proofErr w:type="spellStart"/>
            <w:r w:rsidRPr="002C7F07">
              <w:rPr>
                <w:rFonts w:cs="Calibri"/>
                <w:color w:val="000000"/>
                <w:sz w:val="20"/>
                <w:szCs w:val="20"/>
                <w:lang w:eastAsia="sk-SK"/>
              </w:rPr>
              <w:t>II.etapa</w:t>
            </w:r>
            <w:proofErr w:type="spellEnd"/>
            <w:r w:rsidRPr="002C7F07">
              <w:rPr>
                <w:rFonts w:cs="Calibri"/>
                <w:color w:val="000000"/>
                <w:sz w:val="20"/>
                <w:szCs w:val="20"/>
                <w:lang w:eastAsia="sk-SK"/>
              </w:rPr>
              <w:t>)</w:t>
            </w:r>
          </w:p>
        </w:tc>
        <w:tc>
          <w:tcPr>
            <w:tcW w:w="1677" w:type="dxa"/>
            <w:tcBorders>
              <w:top w:val="nil"/>
              <w:left w:val="nil"/>
              <w:bottom w:val="single" w:sz="8" w:space="0" w:color="DCE6F1"/>
              <w:right w:val="nil"/>
            </w:tcBorders>
            <w:shd w:val="clear" w:color="auto" w:fill="auto"/>
            <w:noWrap/>
            <w:vAlign w:val="center"/>
            <w:hideMark/>
          </w:tcPr>
          <w:p w14:paraId="5C22C38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49 155,00</w:t>
            </w:r>
          </w:p>
        </w:tc>
      </w:tr>
      <w:tr w:rsidR="002C7F07" w:rsidRPr="002C7F07" w14:paraId="5A9AABAA"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767CEE1D"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lastRenderedPageBreak/>
              <w:t>Vypracovanie technickej štúdie na stavbe - Preložka cesty II/590 Malacky-severný obchvat</w:t>
            </w:r>
          </w:p>
        </w:tc>
        <w:tc>
          <w:tcPr>
            <w:tcW w:w="1677" w:type="dxa"/>
            <w:tcBorders>
              <w:top w:val="nil"/>
              <w:left w:val="nil"/>
              <w:bottom w:val="single" w:sz="8" w:space="0" w:color="DCE6F1"/>
              <w:right w:val="nil"/>
            </w:tcBorders>
            <w:shd w:val="clear" w:color="auto" w:fill="auto"/>
            <w:noWrap/>
            <w:vAlign w:val="center"/>
            <w:hideMark/>
          </w:tcPr>
          <w:p w14:paraId="31C7D74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46 740,00</w:t>
            </w:r>
          </w:p>
        </w:tc>
      </w:tr>
      <w:tr w:rsidR="002C7F07" w:rsidRPr="002C7F07" w14:paraId="0DAE5A58"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7AB86FA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Vypracovanie plánu organ. dopravy - Sanácia zosuvov na ceste III/1046 Blatné v km 0,660-0,760+sanácia zosuvov na ceste III/1046 v </w:t>
            </w:r>
            <w:proofErr w:type="spellStart"/>
            <w:r w:rsidRPr="002C7F07">
              <w:rPr>
                <w:rFonts w:cs="Calibri"/>
                <w:color w:val="000000"/>
                <w:sz w:val="20"/>
                <w:szCs w:val="20"/>
                <w:lang w:eastAsia="sk-SK"/>
              </w:rPr>
              <w:t>intrav</w:t>
            </w:r>
            <w:proofErr w:type="spellEnd"/>
            <w:r w:rsidRPr="002C7F07">
              <w:rPr>
                <w:rFonts w:cs="Calibri"/>
                <w:color w:val="000000"/>
                <w:sz w:val="20"/>
                <w:szCs w:val="20"/>
                <w:lang w:eastAsia="sk-SK"/>
              </w:rPr>
              <w:t>. obce Šenkvice-II etapa</w:t>
            </w:r>
          </w:p>
        </w:tc>
        <w:tc>
          <w:tcPr>
            <w:tcW w:w="1677" w:type="dxa"/>
            <w:tcBorders>
              <w:top w:val="nil"/>
              <w:left w:val="nil"/>
              <w:bottom w:val="single" w:sz="8" w:space="0" w:color="DCE6F1"/>
              <w:right w:val="nil"/>
            </w:tcBorders>
            <w:shd w:val="clear" w:color="auto" w:fill="auto"/>
            <w:noWrap/>
            <w:vAlign w:val="center"/>
            <w:hideMark/>
          </w:tcPr>
          <w:p w14:paraId="10A10E4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327 007,72</w:t>
            </w:r>
          </w:p>
        </w:tc>
      </w:tr>
      <w:tr w:rsidR="002C7F07" w:rsidRPr="002C7F07" w14:paraId="26FC8794" w14:textId="77777777" w:rsidTr="002C7F07">
        <w:trPr>
          <w:trHeight w:val="300"/>
        </w:trPr>
        <w:tc>
          <w:tcPr>
            <w:tcW w:w="8789" w:type="dxa"/>
            <w:tcBorders>
              <w:top w:val="nil"/>
              <w:left w:val="nil"/>
              <w:bottom w:val="nil"/>
              <w:right w:val="nil"/>
            </w:tcBorders>
            <w:shd w:val="clear" w:color="auto" w:fill="auto"/>
            <w:noWrap/>
            <w:vAlign w:val="center"/>
            <w:hideMark/>
          </w:tcPr>
          <w:p w14:paraId="74CCA88C" w14:textId="15FEF436" w:rsidR="002C7F07" w:rsidRPr="002C7F07" w:rsidRDefault="00E7735B" w:rsidP="002C7F07">
            <w:pPr>
              <w:spacing w:after="0" w:line="240" w:lineRule="auto"/>
              <w:rPr>
                <w:rFonts w:cs="Calibri"/>
                <w:color w:val="000000"/>
                <w:sz w:val="20"/>
                <w:szCs w:val="20"/>
                <w:lang w:eastAsia="sk-SK"/>
              </w:rPr>
            </w:pPr>
            <w:r>
              <w:rPr>
                <w:rFonts w:cs="Calibri"/>
                <w:color w:val="000000"/>
                <w:sz w:val="20"/>
                <w:szCs w:val="20"/>
                <w:lang w:eastAsia="sk-SK"/>
              </w:rPr>
              <w:t>V</w:t>
            </w:r>
            <w:r w:rsidR="002C7F07" w:rsidRPr="002C7F07">
              <w:rPr>
                <w:rFonts w:cs="Calibri"/>
                <w:color w:val="000000"/>
                <w:sz w:val="20"/>
                <w:szCs w:val="20"/>
                <w:lang w:eastAsia="sk-SK"/>
              </w:rPr>
              <w:t xml:space="preserve">ypracovanie </w:t>
            </w:r>
            <w:r>
              <w:rPr>
                <w:rFonts w:cs="Calibri"/>
                <w:color w:val="000000"/>
                <w:sz w:val="20"/>
                <w:szCs w:val="20"/>
                <w:lang w:eastAsia="sk-SK"/>
              </w:rPr>
              <w:t>projektovej dokumentácie</w:t>
            </w:r>
            <w:r w:rsidR="002C7F07" w:rsidRPr="002C7F07">
              <w:rPr>
                <w:rFonts w:cs="Calibri"/>
                <w:color w:val="000000"/>
                <w:sz w:val="20"/>
                <w:szCs w:val="20"/>
                <w:lang w:eastAsia="sk-SK"/>
              </w:rPr>
              <w:t>-</w:t>
            </w:r>
            <w:r>
              <w:rPr>
                <w:rFonts w:cs="Calibri"/>
                <w:color w:val="000000"/>
                <w:sz w:val="20"/>
                <w:szCs w:val="20"/>
                <w:lang w:eastAsia="sk-SK"/>
              </w:rPr>
              <w:t xml:space="preserve"> </w:t>
            </w:r>
            <w:r w:rsidR="002C7F07" w:rsidRPr="002C7F07">
              <w:rPr>
                <w:rFonts w:cs="Calibri"/>
                <w:color w:val="000000"/>
                <w:sz w:val="20"/>
                <w:szCs w:val="20"/>
                <w:lang w:eastAsia="sk-SK"/>
              </w:rPr>
              <w:t>most III/002032-002 Veľké Leváre-Závod</w:t>
            </w:r>
          </w:p>
        </w:tc>
        <w:tc>
          <w:tcPr>
            <w:tcW w:w="1677" w:type="dxa"/>
            <w:tcBorders>
              <w:top w:val="nil"/>
              <w:left w:val="nil"/>
              <w:bottom w:val="nil"/>
              <w:right w:val="nil"/>
            </w:tcBorders>
            <w:shd w:val="clear" w:color="auto" w:fill="auto"/>
            <w:noWrap/>
            <w:vAlign w:val="center"/>
            <w:hideMark/>
          </w:tcPr>
          <w:p w14:paraId="6A6B071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64 584,00</w:t>
            </w:r>
          </w:p>
        </w:tc>
      </w:tr>
      <w:tr w:rsidR="002C7F07" w:rsidRPr="002C7F07" w14:paraId="6326FCE3" w14:textId="77777777" w:rsidTr="002C7F07">
        <w:trPr>
          <w:trHeight w:val="300"/>
        </w:trPr>
        <w:tc>
          <w:tcPr>
            <w:tcW w:w="8789" w:type="dxa"/>
            <w:tcBorders>
              <w:top w:val="nil"/>
              <w:left w:val="nil"/>
              <w:bottom w:val="nil"/>
              <w:right w:val="nil"/>
            </w:tcBorders>
            <w:shd w:val="clear" w:color="auto" w:fill="auto"/>
            <w:noWrap/>
            <w:vAlign w:val="center"/>
            <w:hideMark/>
          </w:tcPr>
          <w:p w14:paraId="40E9FA67" w14:textId="70EB7469"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Vypracovanie dokumentácie pre </w:t>
            </w:r>
            <w:proofErr w:type="spellStart"/>
            <w:r w:rsidRPr="002C7F07">
              <w:rPr>
                <w:rFonts w:cs="Calibri"/>
                <w:color w:val="000000"/>
                <w:sz w:val="20"/>
                <w:szCs w:val="20"/>
                <w:lang w:eastAsia="sk-SK"/>
              </w:rPr>
              <w:t>územ</w:t>
            </w:r>
            <w:proofErr w:type="spellEnd"/>
            <w:r w:rsidRPr="002C7F07">
              <w:rPr>
                <w:rFonts w:cs="Calibri"/>
                <w:color w:val="000000"/>
                <w:sz w:val="20"/>
                <w:szCs w:val="20"/>
                <w:lang w:eastAsia="sk-SK"/>
              </w:rPr>
              <w:t xml:space="preserve">. rozhodnutie stavby Senec-križovatka ciest II/503 a III/1062 </w:t>
            </w:r>
          </w:p>
        </w:tc>
        <w:tc>
          <w:tcPr>
            <w:tcW w:w="1677" w:type="dxa"/>
            <w:tcBorders>
              <w:top w:val="nil"/>
              <w:left w:val="nil"/>
              <w:bottom w:val="nil"/>
              <w:right w:val="nil"/>
            </w:tcBorders>
            <w:shd w:val="clear" w:color="auto" w:fill="auto"/>
            <w:noWrap/>
            <w:vAlign w:val="center"/>
            <w:hideMark/>
          </w:tcPr>
          <w:p w14:paraId="6B381FC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76 200,00</w:t>
            </w:r>
          </w:p>
        </w:tc>
      </w:tr>
      <w:tr w:rsidR="002C7F07" w:rsidRPr="002C7F07" w14:paraId="5F996B80" w14:textId="77777777" w:rsidTr="002C7F07">
        <w:trPr>
          <w:trHeight w:val="300"/>
        </w:trPr>
        <w:tc>
          <w:tcPr>
            <w:tcW w:w="8789" w:type="dxa"/>
            <w:tcBorders>
              <w:top w:val="nil"/>
              <w:left w:val="nil"/>
              <w:bottom w:val="nil"/>
              <w:right w:val="nil"/>
            </w:tcBorders>
            <w:shd w:val="clear" w:color="auto" w:fill="auto"/>
            <w:noWrap/>
            <w:vAlign w:val="center"/>
            <w:hideMark/>
          </w:tcPr>
          <w:p w14:paraId="69C07F48" w14:textId="4022DD08" w:rsidR="002C7F07" w:rsidRPr="002C7F07" w:rsidRDefault="00E7735B" w:rsidP="002C7F07">
            <w:pPr>
              <w:spacing w:after="0" w:line="240" w:lineRule="auto"/>
              <w:rPr>
                <w:rFonts w:cs="Calibri"/>
                <w:color w:val="000000"/>
                <w:sz w:val="20"/>
                <w:szCs w:val="20"/>
                <w:lang w:eastAsia="sk-SK"/>
              </w:rPr>
            </w:pPr>
            <w:r>
              <w:rPr>
                <w:rFonts w:cs="Calibri"/>
                <w:color w:val="000000"/>
                <w:sz w:val="20"/>
                <w:szCs w:val="20"/>
                <w:lang w:eastAsia="sk-SK"/>
              </w:rPr>
              <w:t>Z</w:t>
            </w:r>
            <w:r w:rsidR="002C7F07" w:rsidRPr="002C7F07">
              <w:rPr>
                <w:rFonts w:cs="Calibri"/>
                <w:color w:val="000000"/>
                <w:sz w:val="20"/>
                <w:szCs w:val="20"/>
                <w:lang w:eastAsia="sk-SK"/>
              </w:rPr>
              <w:t>a vydanie stanoviska pre územné konanie objektu - Senec-križovatka ciest II/503 a III/1062-odsúhasenie s dotknutými subjektami</w:t>
            </w:r>
          </w:p>
        </w:tc>
        <w:tc>
          <w:tcPr>
            <w:tcW w:w="1677" w:type="dxa"/>
            <w:tcBorders>
              <w:top w:val="nil"/>
              <w:left w:val="nil"/>
              <w:bottom w:val="nil"/>
              <w:right w:val="nil"/>
            </w:tcBorders>
            <w:shd w:val="clear" w:color="auto" w:fill="auto"/>
            <w:noWrap/>
            <w:vAlign w:val="center"/>
            <w:hideMark/>
          </w:tcPr>
          <w:p w14:paraId="18DFDFC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73,60</w:t>
            </w:r>
          </w:p>
        </w:tc>
      </w:tr>
      <w:tr w:rsidR="002C7F07" w:rsidRPr="002C7F07" w14:paraId="516CD505" w14:textId="77777777" w:rsidTr="002C7F07">
        <w:trPr>
          <w:trHeight w:val="300"/>
        </w:trPr>
        <w:tc>
          <w:tcPr>
            <w:tcW w:w="8789" w:type="dxa"/>
            <w:tcBorders>
              <w:top w:val="nil"/>
              <w:left w:val="nil"/>
              <w:bottom w:val="nil"/>
              <w:right w:val="nil"/>
            </w:tcBorders>
            <w:shd w:val="clear" w:color="auto" w:fill="auto"/>
            <w:noWrap/>
            <w:vAlign w:val="center"/>
            <w:hideMark/>
          </w:tcPr>
          <w:p w14:paraId="1BBDF7E7" w14:textId="7E1ECE61" w:rsidR="002C7F07" w:rsidRPr="002C7F07" w:rsidRDefault="00E7735B" w:rsidP="002C7F07">
            <w:pPr>
              <w:spacing w:after="0" w:line="240" w:lineRule="auto"/>
              <w:rPr>
                <w:rFonts w:cs="Calibri"/>
                <w:color w:val="000000"/>
                <w:sz w:val="20"/>
                <w:szCs w:val="20"/>
                <w:lang w:eastAsia="sk-SK"/>
              </w:rPr>
            </w:pPr>
            <w:r>
              <w:rPr>
                <w:rFonts w:cs="Calibri"/>
                <w:color w:val="000000"/>
                <w:sz w:val="20"/>
                <w:szCs w:val="20"/>
                <w:lang w:eastAsia="sk-SK"/>
              </w:rPr>
              <w:t>V</w:t>
            </w:r>
            <w:r w:rsidR="002C7F07" w:rsidRPr="002C7F07">
              <w:rPr>
                <w:rFonts w:cs="Calibri"/>
                <w:color w:val="000000"/>
                <w:sz w:val="20"/>
                <w:szCs w:val="20"/>
                <w:lang w:eastAsia="sk-SK"/>
              </w:rPr>
              <w:t>ypracovanie projektovej dokumentácie -Rekonštrukcia cesty III/1059 Chorvátsky Grob-Čierna Voda</w:t>
            </w:r>
          </w:p>
        </w:tc>
        <w:tc>
          <w:tcPr>
            <w:tcW w:w="1677" w:type="dxa"/>
            <w:tcBorders>
              <w:top w:val="nil"/>
              <w:left w:val="nil"/>
              <w:bottom w:val="nil"/>
              <w:right w:val="nil"/>
            </w:tcBorders>
            <w:shd w:val="clear" w:color="auto" w:fill="auto"/>
            <w:noWrap/>
            <w:vAlign w:val="center"/>
            <w:hideMark/>
          </w:tcPr>
          <w:p w14:paraId="61DC09B2"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69 360,00</w:t>
            </w:r>
          </w:p>
        </w:tc>
      </w:tr>
      <w:tr w:rsidR="002C7F07" w:rsidRPr="002C7F07" w14:paraId="5678C6DF" w14:textId="77777777" w:rsidTr="002C7F07">
        <w:trPr>
          <w:trHeight w:val="300"/>
        </w:trPr>
        <w:tc>
          <w:tcPr>
            <w:tcW w:w="8789" w:type="dxa"/>
            <w:tcBorders>
              <w:top w:val="nil"/>
              <w:left w:val="nil"/>
              <w:bottom w:val="nil"/>
              <w:right w:val="nil"/>
            </w:tcBorders>
            <w:shd w:val="clear" w:color="auto" w:fill="auto"/>
            <w:noWrap/>
            <w:vAlign w:val="center"/>
            <w:hideMark/>
          </w:tcPr>
          <w:p w14:paraId="5734F51C"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Vypracovanie projektovej dokumentácie na most III/002050-001 Závod </w:t>
            </w:r>
          </w:p>
        </w:tc>
        <w:tc>
          <w:tcPr>
            <w:tcW w:w="1677" w:type="dxa"/>
            <w:tcBorders>
              <w:top w:val="nil"/>
              <w:left w:val="nil"/>
              <w:bottom w:val="nil"/>
              <w:right w:val="nil"/>
            </w:tcBorders>
            <w:shd w:val="clear" w:color="auto" w:fill="auto"/>
            <w:noWrap/>
            <w:vAlign w:val="center"/>
            <w:hideMark/>
          </w:tcPr>
          <w:p w14:paraId="25AC1A4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83 760,00</w:t>
            </w:r>
          </w:p>
        </w:tc>
      </w:tr>
      <w:tr w:rsidR="002C7F07" w:rsidRPr="002C7F07" w14:paraId="1A1C0B89"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727231E0"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8: Vzdelávanie</w:t>
            </w:r>
          </w:p>
        </w:tc>
        <w:tc>
          <w:tcPr>
            <w:tcW w:w="1677" w:type="dxa"/>
            <w:tcBorders>
              <w:top w:val="nil"/>
              <w:left w:val="nil"/>
              <w:bottom w:val="single" w:sz="8" w:space="0" w:color="DCE6F1"/>
              <w:right w:val="nil"/>
            </w:tcBorders>
            <w:shd w:val="clear" w:color="000000" w:fill="95B3D7"/>
            <w:noWrap/>
            <w:vAlign w:val="center"/>
            <w:hideMark/>
          </w:tcPr>
          <w:p w14:paraId="21F0488D" w14:textId="77777777" w:rsidR="002C7F07" w:rsidRPr="002C7F07" w:rsidRDefault="002C7F07" w:rsidP="002C7F07">
            <w:pPr>
              <w:spacing w:after="0" w:line="240" w:lineRule="auto"/>
              <w:jc w:val="right"/>
              <w:rPr>
                <w:rFonts w:cs="Calibri"/>
                <w:b/>
                <w:bCs/>
                <w:color w:val="000000"/>
                <w:sz w:val="20"/>
                <w:szCs w:val="20"/>
                <w:lang w:eastAsia="sk-SK"/>
              </w:rPr>
            </w:pPr>
            <w:r w:rsidRPr="002C7F07">
              <w:rPr>
                <w:rFonts w:cs="Calibri"/>
                <w:b/>
                <w:bCs/>
                <w:color w:val="000000"/>
                <w:sz w:val="20"/>
                <w:szCs w:val="20"/>
                <w:lang w:eastAsia="sk-SK"/>
              </w:rPr>
              <w:t>85 679,26</w:t>
            </w:r>
          </w:p>
        </w:tc>
      </w:tr>
      <w:tr w:rsidR="002C7F07" w:rsidRPr="002C7F07" w14:paraId="6EB40B3E"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40F3571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w:t>
            </w:r>
            <w:proofErr w:type="spellStart"/>
            <w:r w:rsidRPr="002C7F07">
              <w:rPr>
                <w:rFonts w:cs="Calibri"/>
                <w:color w:val="000000"/>
                <w:sz w:val="20"/>
                <w:szCs w:val="20"/>
                <w:lang w:eastAsia="sk-SK"/>
              </w:rPr>
              <w:t>vinársko</w:t>
            </w:r>
            <w:proofErr w:type="spellEnd"/>
            <w:r w:rsidRPr="002C7F07">
              <w:rPr>
                <w:rFonts w:cs="Calibri"/>
                <w:color w:val="000000"/>
                <w:sz w:val="20"/>
                <w:szCs w:val="20"/>
                <w:lang w:eastAsia="sk-SK"/>
              </w:rPr>
              <w:t xml:space="preserve"> - ovocinárska,  Modra - nákup lisovacieho zariadenia na výučbu</w:t>
            </w:r>
          </w:p>
        </w:tc>
        <w:tc>
          <w:tcPr>
            <w:tcW w:w="1677" w:type="dxa"/>
            <w:tcBorders>
              <w:top w:val="nil"/>
              <w:left w:val="nil"/>
              <w:bottom w:val="single" w:sz="8" w:space="0" w:color="DCE6F1"/>
              <w:right w:val="nil"/>
            </w:tcBorders>
            <w:shd w:val="clear" w:color="auto" w:fill="auto"/>
            <w:noWrap/>
            <w:vAlign w:val="center"/>
            <w:hideMark/>
          </w:tcPr>
          <w:p w14:paraId="526102C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1 979,04</w:t>
            </w:r>
          </w:p>
        </w:tc>
      </w:tr>
      <w:tr w:rsidR="002C7F07" w:rsidRPr="002C7F07" w14:paraId="14EEA42F"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0C2034E6"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SOP pri Spojenej škole, Ivanka pri Dunaji - použitie hospodárskeho výsledku po zdanení  - nákup koňa a výstavba multifunkčného ihriska</w:t>
            </w:r>
          </w:p>
        </w:tc>
        <w:tc>
          <w:tcPr>
            <w:tcW w:w="1677" w:type="dxa"/>
            <w:tcBorders>
              <w:top w:val="nil"/>
              <w:left w:val="nil"/>
              <w:bottom w:val="single" w:sz="8" w:space="0" w:color="DCE6F1"/>
              <w:right w:val="nil"/>
            </w:tcBorders>
            <w:shd w:val="clear" w:color="auto" w:fill="auto"/>
            <w:noWrap/>
            <w:vAlign w:val="center"/>
            <w:hideMark/>
          </w:tcPr>
          <w:p w14:paraId="4A9A1A45"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49 000,00</w:t>
            </w:r>
          </w:p>
        </w:tc>
      </w:tr>
      <w:tr w:rsidR="002C7F07" w:rsidRPr="002C7F07" w14:paraId="0B64FD95"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221D4DC2"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Gymnázium J. </w:t>
            </w:r>
            <w:proofErr w:type="spellStart"/>
            <w:r w:rsidRPr="002C7F07">
              <w:rPr>
                <w:rFonts w:cs="Calibri"/>
                <w:color w:val="000000"/>
                <w:sz w:val="20"/>
                <w:szCs w:val="20"/>
                <w:lang w:eastAsia="sk-SK"/>
              </w:rPr>
              <w:t>Papánka</w:t>
            </w:r>
            <w:proofErr w:type="spellEnd"/>
            <w:r w:rsidRPr="002C7F07">
              <w:rPr>
                <w:rFonts w:cs="Calibri"/>
                <w:color w:val="000000"/>
                <w:sz w:val="20"/>
                <w:szCs w:val="20"/>
                <w:lang w:eastAsia="sk-SK"/>
              </w:rPr>
              <w:t xml:space="preserve"> - nákup laserového multifunkčného zariadenia</w:t>
            </w:r>
          </w:p>
        </w:tc>
        <w:tc>
          <w:tcPr>
            <w:tcW w:w="1677" w:type="dxa"/>
            <w:tcBorders>
              <w:top w:val="nil"/>
              <w:left w:val="nil"/>
              <w:bottom w:val="single" w:sz="8" w:space="0" w:color="DCE6F1"/>
              <w:right w:val="nil"/>
            </w:tcBorders>
            <w:shd w:val="clear" w:color="auto" w:fill="auto"/>
            <w:noWrap/>
            <w:vAlign w:val="center"/>
            <w:hideMark/>
          </w:tcPr>
          <w:p w14:paraId="593CC52C"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3 731,22</w:t>
            </w:r>
          </w:p>
        </w:tc>
      </w:tr>
      <w:tr w:rsidR="002C7F07" w:rsidRPr="002C7F07" w14:paraId="4A663387"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3C60F36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Stredná odborná škola technická, Vranovská BA</w:t>
            </w:r>
          </w:p>
        </w:tc>
        <w:tc>
          <w:tcPr>
            <w:tcW w:w="1677" w:type="dxa"/>
            <w:tcBorders>
              <w:top w:val="nil"/>
              <w:left w:val="nil"/>
              <w:bottom w:val="single" w:sz="8" w:space="0" w:color="DCE6F1"/>
              <w:right w:val="nil"/>
            </w:tcBorders>
            <w:shd w:val="clear" w:color="auto" w:fill="auto"/>
            <w:noWrap/>
            <w:vAlign w:val="center"/>
            <w:hideMark/>
          </w:tcPr>
          <w:p w14:paraId="6E65973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5 000,00</w:t>
            </w:r>
          </w:p>
        </w:tc>
      </w:tr>
      <w:tr w:rsidR="002C7F07" w:rsidRPr="002C7F07" w14:paraId="2B7B07D2"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4DD39E47"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Úrad - Škola umeleckého priemyslu, Sklenárova - transfer na zakúpenie </w:t>
            </w:r>
            <w:proofErr w:type="spellStart"/>
            <w:r w:rsidRPr="002C7F07">
              <w:rPr>
                <w:rFonts w:cs="Calibri"/>
                <w:color w:val="000000"/>
                <w:sz w:val="20"/>
                <w:szCs w:val="20"/>
                <w:lang w:eastAsia="sk-SK"/>
              </w:rPr>
              <w:t>termokamier</w:t>
            </w:r>
            <w:proofErr w:type="spellEnd"/>
            <w:r w:rsidRPr="002C7F07">
              <w:rPr>
                <w:rFonts w:cs="Calibri"/>
                <w:color w:val="000000"/>
                <w:sz w:val="20"/>
                <w:szCs w:val="20"/>
                <w:lang w:eastAsia="sk-SK"/>
              </w:rPr>
              <w:t xml:space="preserve"> - COVID 19</w:t>
            </w:r>
          </w:p>
        </w:tc>
        <w:tc>
          <w:tcPr>
            <w:tcW w:w="1677" w:type="dxa"/>
            <w:tcBorders>
              <w:top w:val="nil"/>
              <w:left w:val="nil"/>
              <w:bottom w:val="single" w:sz="8" w:space="0" w:color="DCE6F1"/>
              <w:right w:val="nil"/>
            </w:tcBorders>
            <w:shd w:val="clear" w:color="auto" w:fill="auto"/>
            <w:noWrap/>
            <w:vAlign w:val="center"/>
            <w:hideMark/>
          </w:tcPr>
          <w:p w14:paraId="4A6BFAA2"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7 500,00</w:t>
            </w:r>
          </w:p>
        </w:tc>
      </w:tr>
      <w:tr w:rsidR="002C7F07" w:rsidRPr="002C7F07" w14:paraId="33219A3D"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29E7DD81"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Úrad - ŠJ pri SOŠ hotelových služieb a obchodu, Na pántoch 9, BA- vybavenie jedálne</w:t>
            </w:r>
          </w:p>
        </w:tc>
        <w:tc>
          <w:tcPr>
            <w:tcW w:w="1677" w:type="dxa"/>
            <w:tcBorders>
              <w:top w:val="nil"/>
              <w:left w:val="nil"/>
              <w:bottom w:val="single" w:sz="8" w:space="0" w:color="DCE6F1"/>
              <w:right w:val="nil"/>
            </w:tcBorders>
            <w:shd w:val="clear" w:color="auto" w:fill="auto"/>
            <w:noWrap/>
            <w:vAlign w:val="center"/>
            <w:hideMark/>
          </w:tcPr>
          <w:p w14:paraId="3F296C0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5 000,00</w:t>
            </w:r>
          </w:p>
        </w:tc>
      </w:tr>
      <w:tr w:rsidR="002C7F07" w:rsidRPr="002C7F07" w14:paraId="06D53717"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2B26E643"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Úrad - ŠJ pri SOŠ automobilová a podnikania, Kysucká 14, Senec - vybavenie jedálne</w:t>
            </w:r>
          </w:p>
        </w:tc>
        <w:tc>
          <w:tcPr>
            <w:tcW w:w="1677" w:type="dxa"/>
            <w:tcBorders>
              <w:top w:val="nil"/>
              <w:left w:val="nil"/>
              <w:bottom w:val="single" w:sz="8" w:space="0" w:color="DCE6F1"/>
              <w:right w:val="nil"/>
            </w:tcBorders>
            <w:shd w:val="clear" w:color="auto" w:fill="auto"/>
            <w:noWrap/>
            <w:vAlign w:val="center"/>
            <w:hideMark/>
          </w:tcPr>
          <w:p w14:paraId="0E5C527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5 000,00</w:t>
            </w:r>
          </w:p>
        </w:tc>
      </w:tr>
      <w:tr w:rsidR="002C7F07" w:rsidRPr="002C7F07" w14:paraId="44BA2B2B"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3CAF313E"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Úrad - ŠJ pri SOŠ polygrafickej, Račianska 190, BA-  vybavenie jedálne</w:t>
            </w:r>
          </w:p>
        </w:tc>
        <w:tc>
          <w:tcPr>
            <w:tcW w:w="1677" w:type="dxa"/>
            <w:tcBorders>
              <w:top w:val="nil"/>
              <w:left w:val="nil"/>
              <w:bottom w:val="single" w:sz="8" w:space="0" w:color="DCE6F1"/>
              <w:right w:val="nil"/>
            </w:tcBorders>
            <w:shd w:val="clear" w:color="auto" w:fill="auto"/>
            <w:noWrap/>
            <w:vAlign w:val="center"/>
            <w:hideMark/>
          </w:tcPr>
          <w:p w14:paraId="2800E0BB"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4 469,00</w:t>
            </w:r>
          </w:p>
        </w:tc>
      </w:tr>
      <w:tr w:rsidR="002C7F07" w:rsidRPr="002C7F07" w14:paraId="7CDB02B4"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3516E42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Úrad - ŠJ pri Hotelovej akadémii, </w:t>
            </w:r>
            <w:proofErr w:type="spellStart"/>
            <w:r w:rsidRPr="002C7F07">
              <w:rPr>
                <w:rFonts w:cs="Calibri"/>
                <w:color w:val="000000"/>
                <w:sz w:val="20"/>
                <w:szCs w:val="20"/>
                <w:lang w:eastAsia="sk-SK"/>
              </w:rPr>
              <w:t>Mikovíniho</w:t>
            </w:r>
            <w:proofErr w:type="spellEnd"/>
            <w:r w:rsidRPr="002C7F07">
              <w:rPr>
                <w:rFonts w:cs="Calibri"/>
                <w:color w:val="000000"/>
                <w:sz w:val="20"/>
                <w:szCs w:val="20"/>
                <w:lang w:eastAsia="sk-SK"/>
              </w:rPr>
              <w:t xml:space="preserve"> 1, BA  - vybavenie jedálne</w:t>
            </w:r>
          </w:p>
        </w:tc>
        <w:tc>
          <w:tcPr>
            <w:tcW w:w="1677" w:type="dxa"/>
            <w:tcBorders>
              <w:top w:val="nil"/>
              <w:left w:val="nil"/>
              <w:bottom w:val="single" w:sz="8" w:space="0" w:color="DCE6F1"/>
              <w:right w:val="nil"/>
            </w:tcBorders>
            <w:shd w:val="clear" w:color="auto" w:fill="auto"/>
            <w:noWrap/>
            <w:vAlign w:val="center"/>
            <w:hideMark/>
          </w:tcPr>
          <w:p w14:paraId="4A3C0D6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4 000,00</w:t>
            </w:r>
          </w:p>
        </w:tc>
      </w:tr>
      <w:tr w:rsidR="002C7F07" w:rsidRPr="002C7F07" w14:paraId="6867B82E"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7903AEDF"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9: Šport a mládežnícke aktivity</w:t>
            </w:r>
          </w:p>
        </w:tc>
        <w:tc>
          <w:tcPr>
            <w:tcW w:w="1677" w:type="dxa"/>
            <w:tcBorders>
              <w:top w:val="nil"/>
              <w:left w:val="nil"/>
              <w:bottom w:val="single" w:sz="8" w:space="0" w:color="DCE6F1"/>
              <w:right w:val="nil"/>
            </w:tcBorders>
            <w:shd w:val="clear" w:color="000000" w:fill="95B3D7"/>
            <w:noWrap/>
            <w:vAlign w:val="center"/>
            <w:hideMark/>
          </w:tcPr>
          <w:p w14:paraId="1D58880A" w14:textId="77777777" w:rsidR="002C7F07" w:rsidRPr="002C7F07" w:rsidRDefault="002C7F07" w:rsidP="002C7F07">
            <w:pPr>
              <w:spacing w:after="0" w:line="240" w:lineRule="auto"/>
              <w:jc w:val="right"/>
              <w:rPr>
                <w:rFonts w:cs="Calibri"/>
                <w:b/>
                <w:bCs/>
                <w:color w:val="000000"/>
                <w:sz w:val="20"/>
                <w:szCs w:val="20"/>
                <w:lang w:eastAsia="sk-SK"/>
              </w:rPr>
            </w:pPr>
            <w:r w:rsidRPr="002C7F07">
              <w:rPr>
                <w:rFonts w:cs="Calibri"/>
                <w:b/>
                <w:bCs/>
                <w:color w:val="000000"/>
                <w:sz w:val="20"/>
                <w:szCs w:val="20"/>
                <w:lang w:eastAsia="sk-SK"/>
              </w:rPr>
              <w:t>10 525,89</w:t>
            </w:r>
          </w:p>
        </w:tc>
      </w:tr>
      <w:tr w:rsidR="002C7F07" w:rsidRPr="002C7F07" w14:paraId="791EB1E4"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6E11A0AA" w14:textId="55617EF8"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SOŠ hotelových služieb a obchodu, Na Pántoch 9, Ba - Projekt Otvorená škola </w:t>
            </w:r>
            <w:r w:rsidR="0032495F">
              <w:rPr>
                <w:rFonts w:cs="Calibri"/>
                <w:color w:val="000000"/>
                <w:sz w:val="20"/>
                <w:szCs w:val="20"/>
                <w:lang w:eastAsia="sk-SK"/>
              </w:rPr>
              <w:t xml:space="preserve">- </w:t>
            </w:r>
            <w:r w:rsidR="0032495F">
              <w:rPr>
                <w:rFonts w:ascii="Segoe UI" w:hAnsi="Segoe UI" w:cs="Segoe UI"/>
                <w:sz w:val="18"/>
                <w:szCs w:val="18"/>
                <w:lang w:eastAsia="sk-SK"/>
              </w:rPr>
              <w:t>otvorenie školského areálu</w:t>
            </w:r>
          </w:p>
        </w:tc>
        <w:tc>
          <w:tcPr>
            <w:tcW w:w="1677" w:type="dxa"/>
            <w:tcBorders>
              <w:top w:val="nil"/>
              <w:left w:val="nil"/>
              <w:bottom w:val="single" w:sz="8" w:space="0" w:color="DCE6F1"/>
              <w:right w:val="nil"/>
            </w:tcBorders>
            <w:shd w:val="clear" w:color="auto" w:fill="auto"/>
            <w:noWrap/>
            <w:vAlign w:val="center"/>
            <w:hideMark/>
          </w:tcPr>
          <w:p w14:paraId="354D7F70"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2 500,00</w:t>
            </w:r>
          </w:p>
        </w:tc>
      </w:tr>
      <w:tr w:rsidR="002C7F07" w:rsidRPr="002C7F07" w14:paraId="00437A1E"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299B7F9A"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Gymnázium J. </w:t>
            </w:r>
            <w:proofErr w:type="spellStart"/>
            <w:r w:rsidRPr="002C7F07">
              <w:rPr>
                <w:rFonts w:cs="Calibri"/>
                <w:color w:val="000000"/>
                <w:sz w:val="20"/>
                <w:szCs w:val="20"/>
                <w:lang w:eastAsia="sk-SK"/>
              </w:rPr>
              <w:t>Papánka</w:t>
            </w:r>
            <w:proofErr w:type="spellEnd"/>
            <w:r w:rsidRPr="002C7F07">
              <w:rPr>
                <w:rFonts w:cs="Calibri"/>
                <w:color w:val="000000"/>
                <w:sz w:val="20"/>
                <w:szCs w:val="20"/>
                <w:lang w:eastAsia="sk-SK"/>
              </w:rPr>
              <w:t xml:space="preserve">, </w:t>
            </w:r>
            <w:proofErr w:type="spellStart"/>
            <w:r w:rsidRPr="002C7F07">
              <w:rPr>
                <w:rFonts w:cs="Calibri"/>
                <w:color w:val="000000"/>
                <w:sz w:val="20"/>
                <w:szCs w:val="20"/>
                <w:lang w:eastAsia="sk-SK"/>
              </w:rPr>
              <w:t>Vazovova</w:t>
            </w:r>
            <w:proofErr w:type="spellEnd"/>
            <w:r w:rsidRPr="002C7F07">
              <w:rPr>
                <w:rFonts w:cs="Calibri"/>
                <w:color w:val="000000"/>
                <w:sz w:val="20"/>
                <w:szCs w:val="20"/>
                <w:lang w:eastAsia="sk-SK"/>
              </w:rPr>
              <w:t xml:space="preserve"> 6, Ba - nákup farebného laserového multifunkčného zariadenia</w:t>
            </w:r>
          </w:p>
        </w:tc>
        <w:tc>
          <w:tcPr>
            <w:tcW w:w="1677" w:type="dxa"/>
            <w:tcBorders>
              <w:top w:val="nil"/>
              <w:left w:val="nil"/>
              <w:bottom w:val="single" w:sz="8" w:space="0" w:color="DCE6F1"/>
              <w:right w:val="nil"/>
            </w:tcBorders>
            <w:shd w:val="clear" w:color="auto" w:fill="auto"/>
            <w:noWrap/>
            <w:vAlign w:val="center"/>
            <w:hideMark/>
          </w:tcPr>
          <w:p w14:paraId="4D7AEF84"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196,38</w:t>
            </w:r>
          </w:p>
        </w:tc>
      </w:tr>
      <w:tr w:rsidR="002C7F07" w:rsidRPr="002C7F07" w14:paraId="3C386859"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37B0783D" w14:textId="2978E64D"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Spojená škola, SNP 30, Ivanka pri Dunaji - osvetlenie telocvič</w:t>
            </w:r>
            <w:r w:rsidR="0032495F">
              <w:rPr>
                <w:rFonts w:cs="Calibri"/>
                <w:color w:val="000000"/>
                <w:sz w:val="20"/>
                <w:szCs w:val="20"/>
                <w:lang w:eastAsia="sk-SK"/>
              </w:rPr>
              <w:t xml:space="preserve">ni a </w:t>
            </w:r>
            <w:r w:rsidR="0032495F">
              <w:rPr>
                <w:rFonts w:ascii="Segoe UI" w:hAnsi="Segoe UI" w:cs="Segoe UI"/>
                <w:sz w:val="18"/>
                <w:szCs w:val="18"/>
                <w:lang w:eastAsia="sk-SK"/>
              </w:rPr>
              <w:t>terénne úpravy pri novovybudovanom športovom multifunkčnom ihrisku</w:t>
            </w:r>
          </w:p>
        </w:tc>
        <w:tc>
          <w:tcPr>
            <w:tcW w:w="1677" w:type="dxa"/>
            <w:tcBorders>
              <w:top w:val="nil"/>
              <w:left w:val="nil"/>
              <w:bottom w:val="single" w:sz="8" w:space="0" w:color="DCE6F1"/>
              <w:right w:val="nil"/>
            </w:tcBorders>
            <w:shd w:val="clear" w:color="auto" w:fill="auto"/>
            <w:noWrap/>
            <w:vAlign w:val="center"/>
            <w:hideMark/>
          </w:tcPr>
          <w:p w14:paraId="08017D81"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5 946,71</w:t>
            </w:r>
          </w:p>
        </w:tc>
      </w:tr>
      <w:tr w:rsidR="002C7F07" w:rsidRPr="002C7F07" w14:paraId="0EC2D1F9"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5B07F7CC" w14:textId="5EF32935"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SPŠ elektrotechnická, K. Adlera 5, Ba</w:t>
            </w:r>
            <w:r w:rsidR="0032495F">
              <w:rPr>
                <w:rFonts w:cs="Calibri"/>
                <w:color w:val="000000"/>
                <w:sz w:val="20"/>
                <w:szCs w:val="20"/>
                <w:lang w:eastAsia="sk-SK"/>
              </w:rPr>
              <w:t xml:space="preserve"> - </w:t>
            </w:r>
            <w:r w:rsidR="0032495F">
              <w:rPr>
                <w:rFonts w:ascii="Segoe UI" w:hAnsi="Segoe UI" w:cs="Segoe UI"/>
                <w:sz w:val="18"/>
                <w:szCs w:val="18"/>
                <w:lang w:eastAsia="sk-SK"/>
              </w:rPr>
              <w:t>obstaranie novej traktorovej kosačky</w:t>
            </w:r>
          </w:p>
        </w:tc>
        <w:tc>
          <w:tcPr>
            <w:tcW w:w="1677" w:type="dxa"/>
            <w:tcBorders>
              <w:top w:val="nil"/>
              <w:left w:val="nil"/>
              <w:bottom w:val="single" w:sz="8" w:space="0" w:color="DCE6F1"/>
              <w:right w:val="nil"/>
            </w:tcBorders>
            <w:shd w:val="clear" w:color="auto" w:fill="auto"/>
            <w:noWrap/>
            <w:vAlign w:val="center"/>
            <w:hideMark/>
          </w:tcPr>
          <w:p w14:paraId="5BBA224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1 882,80</w:t>
            </w:r>
          </w:p>
        </w:tc>
      </w:tr>
      <w:tr w:rsidR="002C7F07" w:rsidRPr="002C7F07" w14:paraId="6DE5B734"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62FDE372"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 xml:space="preserve">Program 10: Kultúra </w:t>
            </w:r>
          </w:p>
        </w:tc>
        <w:tc>
          <w:tcPr>
            <w:tcW w:w="1677" w:type="dxa"/>
            <w:tcBorders>
              <w:top w:val="nil"/>
              <w:left w:val="nil"/>
              <w:bottom w:val="single" w:sz="8" w:space="0" w:color="DCE6F1"/>
              <w:right w:val="nil"/>
            </w:tcBorders>
            <w:shd w:val="clear" w:color="000000" w:fill="95B3D7"/>
            <w:noWrap/>
            <w:vAlign w:val="center"/>
            <w:hideMark/>
          </w:tcPr>
          <w:p w14:paraId="410B69C6" w14:textId="77777777" w:rsidR="002C7F07" w:rsidRPr="002C7F07" w:rsidRDefault="002C7F07" w:rsidP="002C7F07">
            <w:pPr>
              <w:spacing w:after="0" w:line="240" w:lineRule="auto"/>
              <w:jc w:val="right"/>
              <w:rPr>
                <w:rFonts w:cs="Calibri"/>
                <w:b/>
                <w:bCs/>
                <w:color w:val="000000"/>
                <w:sz w:val="20"/>
                <w:szCs w:val="20"/>
                <w:lang w:eastAsia="sk-SK"/>
              </w:rPr>
            </w:pPr>
            <w:r w:rsidRPr="002C7F07">
              <w:rPr>
                <w:rFonts w:cs="Calibri"/>
                <w:b/>
                <w:bCs/>
                <w:color w:val="000000"/>
                <w:sz w:val="20"/>
                <w:szCs w:val="20"/>
                <w:lang w:eastAsia="sk-SK"/>
              </w:rPr>
              <w:t>36 153,06</w:t>
            </w:r>
          </w:p>
        </w:tc>
      </w:tr>
      <w:tr w:rsidR="002C7F07" w:rsidRPr="002C7F07" w14:paraId="625B32E7"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3FF5A3EF"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Divadla ASTORKA KORZO´90   - svetelný pult a zvuková technika s príslušenstvom </w:t>
            </w:r>
          </w:p>
        </w:tc>
        <w:tc>
          <w:tcPr>
            <w:tcW w:w="1677" w:type="dxa"/>
            <w:tcBorders>
              <w:top w:val="nil"/>
              <w:left w:val="nil"/>
              <w:bottom w:val="single" w:sz="8" w:space="0" w:color="DCE6F1"/>
              <w:right w:val="nil"/>
            </w:tcBorders>
            <w:shd w:val="clear" w:color="auto" w:fill="auto"/>
            <w:noWrap/>
            <w:vAlign w:val="center"/>
            <w:hideMark/>
          </w:tcPr>
          <w:p w14:paraId="4D9EDB98"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34 739,70</w:t>
            </w:r>
          </w:p>
        </w:tc>
      </w:tr>
      <w:tr w:rsidR="002C7F07" w:rsidRPr="002C7F07" w14:paraId="4D31CB99"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5FBCBC34" w14:textId="77777777" w:rsidR="002C7F07" w:rsidRPr="002C7F07" w:rsidRDefault="002C7F07" w:rsidP="002C7F07">
            <w:pPr>
              <w:spacing w:after="0" w:line="240" w:lineRule="auto"/>
              <w:rPr>
                <w:rFonts w:cs="Calibri"/>
                <w:color w:val="000000"/>
                <w:sz w:val="20"/>
                <w:szCs w:val="20"/>
                <w:lang w:eastAsia="sk-SK"/>
              </w:rPr>
            </w:pPr>
            <w:proofErr w:type="spellStart"/>
            <w:r w:rsidRPr="002C7F07">
              <w:rPr>
                <w:rFonts w:cs="Calibri"/>
                <w:color w:val="000000"/>
                <w:sz w:val="20"/>
                <w:szCs w:val="20"/>
                <w:lang w:eastAsia="sk-SK"/>
              </w:rPr>
              <w:t>Synangoga</w:t>
            </w:r>
            <w:proofErr w:type="spellEnd"/>
            <w:r w:rsidRPr="002C7F07">
              <w:rPr>
                <w:rFonts w:cs="Calibri"/>
                <w:color w:val="000000"/>
                <w:sz w:val="20"/>
                <w:szCs w:val="20"/>
                <w:lang w:eastAsia="sk-SK"/>
              </w:rPr>
              <w:t xml:space="preserve"> v Senci - vypracovanie projektovej dokumentácie - videoprojekcia</w:t>
            </w:r>
          </w:p>
        </w:tc>
        <w:tc>
          <w:tcPr>
            <w:tcW w:w="1677" w:type="dxa"/>
            <w:tcBorders>
              <w:top w:val="nil"/>
              <w:left w:val="nil"/>
              <w:bottom w:val="single" w:sz="8" w:space="0" w:color="DCE6F1"/>
              <w:right w:val="nil"/>
            </w:tcBorders>
            <w:shd w:val="clear" w:color="auto" w:fill="auto"/>
            <w:noWrap/>
            <w:vAlign w:val="center"/>
            <w:hideMark/>
          </w:tcPr>
          <w:p w14:paraId="668D137F"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1 146,00</w:t>
            </w:r>
          </w:p>
        </w:tc>
      </w:tr>
      <w:tr w:rsidR="002C7F07" w:rsidRPr="002C7F07" w14:paraId="0EA66F95" w14:textId="77777777" w:rsidTr="002C7F07">
        <w:trPr>
          <w:trHeight w:val="315"/>
        </w:trPr>
        <w:tc>
          <w:tcPr>
            <w:tcW w:w="8789" w:type="dxa"/>
            <w:tcBorders>
              <w:top w:val="nil"/>
              <w:left w:val="nil"/>
              <w:bottom w:val="single" w:sz="8" w:space="0" w:color="DCE6F1"/>
              <w:right w:val="nil"/>
            </w:tcBorders>
            <w:shd w:val="clear" w:color="auto" w:fill="auto"/>
            <w:noWrap/>
            <w:vAlign w:val="center"/>
            <w:hideMark/>
          </w:tcPr>
          <w:p w14:paraId="0A5C8BF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Malokarpatské osvetové stredisko</w:t>
            </w:r>
          </w:p>
        </w:tc>
        <w:tc>
          <w:tcPr>
            <w:tcW w:w="1677" w:type="dxa"/>
            <w:tcBorders>
              <w:top w:val="nil"/>
              <w:left w:val="nil"/>
              <w:bottom w:val="single" w:sz="8" w:space="0" w:color="DCE6F1"/>
              <w:right w:val="nil"/>
            </w:tcBorders>
            <w:shd w:val="clear" w:color="auto" w:fill="auto"/>
            <w:noWrap/>
            <w:vAlign w:val="center"/>
            <w:hideMark/>
          </w:tcPr>
          <w:p w14:paraId="1B726557"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267,36</w:t>
            </w:r>
          </w:p>
        </w:tc>
      </w:tr>
      <w:tr w:rsidR="002C7F07" w:rsidRPr="002C7F07" w14:paraId="1EB30E11" w14:textId="77777777" w:rsidTr="002C7F07">
        <w:trPr>
          <w:trHeight w:val="315"/>
        </w:trPr>
        <w:tc>
          <w:tcPr>
            <w:tcW w:w="8789" w:type="dxa"/>
            <w:tcBorders>
              <w:top w:val="nil"/>
              <w:left w:val="nil"/>
              <w:bottom w:val="single" w:sz="8" w:space="0" w:color="DCE6F1"/>
              <w:right w:val="nil"/>
            </w:tcBorders>
            <w:shd w:val="clear" w:color="000000" w:fill="95B3D7"/>
            <w:noWrap/>
            <w:vAlign w:val="center"/>
            <w:hideMark/>
          </w:tcPr>
          <w:p w14:paraId="22136AB7"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11: Sociálne zabezpečenie</w:t>
            </w:r>
          </w:p>
        </w:tc>
        <w:tc>
          <w:tcPr>
            <w:tcW w:w="1677" w:type="dxa"/>
            <w:tcBorders>
              <w:top w:val="nil"/>
              <w:left w:val="nil"/>
              <w:bottom w:val="single" w:sz="8" w:space="0" w:color="DCE6F1"/>
              <w:right w:val="nil"/>
            </w:tcBorders>
            <w:shd w:val="clear" w:color="000000" w:fill="95B3D7"/>
            <w:noWrap/>
            <w:vAlign w:val="center"/>
            <w:hideMark/>
          </w:tcPr>
          <w:p w14:paraId="5DF1C22D" w14:textId="77777777" w:rsidR="002C7F07" w:rsidRPr="002C7F07" w:rsidRDefault="002C7F07" w:rsidP="002C7F07">
            <w:pPr>
              <w:spacing w:after="0" w:line="240" w:lineRule="auto"/>
              <w:jc w:val="right"/>
              <w:rPr>
                <w:rFonts w:cs="Calibri"/>
                <w:b/>
                <w:bCs/>
                <w:color w:val="000000"/>
                <w:sz w:val="20"/>
                <w:szCs w:val="20"/>
                <w:lang w:eastAsia="sk-SK"/>
              </w:rPr>
            </w:pPr>
            <w:r w:rsidRPr="002C7F07">
              <w:rPr>
                <w:rFonts w:cs="Calibri"/>
                <w:b/>
                <w:bCs/>
                <w:color w:val="000000"/>
                <w:sz w:val="20"/>
                <w:szCs w:val="20"/>
                <w:lang w:eastAsia="sk-SK"/>
              </w:rPr>
              <w:t>19 101,00</w:t>
            </w:r>
          </w:p>
        </w:tc>
      </w:tr>
      <w:tr w:rsidR="002C7F07" w:rsidRPr="002C7F07" w14:paraId="59D7F054"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2E4932AB"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DSS prof. Karola </w:t>
            </w:r>
            <w:proofErr w:type="spellStart"/>
            <w:r w:rsidRPr="002C7F07">
              <w:rPr>
                <w:rFonts w:cs="Calibri"/>
                <w:color w:val="000000"/>
                <w:sz w:val="20"/>
                <w:szCs w:val="20"/>
                <w:lang w:eastAsia="sk-SK"/>
              </w:rPr>
              <w:t>Matulaya</w:t>
            </w:r>
            <w:proofErr w:type="spellEnd"/>
            <w:r w:rsidRPr="002C7F07">
              <w:rPr>
                <w:rFonts w:cs="Calibri"/>
                <w:color w:val="000000"/>
                <w:sz w:val="20"/>
                <w:szCs w:val="20"/>
                <w:lang w:eastAsia="sk-SK"/>
              </w:rPr>
              <w:t xml:space="preserve"> pre deti a dospelých - inštalácia nových prvkov inkluzívneho ihriska</w:t>
            </w:r>
          </w:p>
        </w:tc>
        <w:tc>
          <w:tcPr>
            <w:tcW w:w="1677" w:type="dxa"/>
            <w:tcBorders>
              <w:top w:val="nil"/>
              <w:left w:val="nil"/>
              <w:bottom w:val="single" w:sz="8" w:space="0" w:color="DCE6F1"/>
              <w:right w:val="nil"/>
            </w:tcBorders>
            <w:shd w:val="clear" w:color="auto" w:fill="auto"/>
            <w:noWrap/>
            <w:vAlign w:val="center"/>
            <w:hideMark/>
          </w:tcPr>
          <w:p w14:paraId="49298B75"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2 199,00</w:t>
            </w:r>
          </w:p>
        </w:tc>
      </w:tr>
      <w:tr w:rsidR="002C7F07" w:rsidRPr="002C7F07" w14:paraId="2E980AE0"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4C2BA4C6"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Centrum sociálnych služieb </w:t>
            </w:r>
            <w:proofErr w:type="spellStart"/>
            <w:r w:rsidRPr="002C7F07">
              <w:rPr>
                <w:rFonts w:cs="Calibri"/>
                <w:color w:val="000000"/>
                <w:sz w:val="20"/>
                <w:szCs w:val="20"/>
                <w:lang w:eastAsia="sk-SK"/>
              </w:rPr>
              <w:t>Sibírka</w:t>
            </w:r>
            <w:proofErr w:type="spellEnd"/>
            <w:r w:rsidRPr="002C7F07">
              <w:rPr>
                <w:rFonts w:cs="Calibri"/>
                <w:color w:val="000000"/>
                <w:sz w:val="20"/>
                <w:szCs w:val="20"/>
                <w:lang w:eastAsia="sk-SK"/>
              </w:rPr>
              <w:t xml:space="preserve"> - komunitné bezbariérové ihrisko</w:t>
            </w:r>
          </w:p>
        </w:tc>
        <w:tc>
          <w:tcPr>
            <w:tcW w:w="1677" w:type="dxa"/>
            <w:tcBorders>
              <w:top w:val="nil"/>
              <w:left w:val="nil"/>
              <w:bottom w:val="single" w:sz="8" w:space="0" w:color="DCE6F1"/>
              <w:right w:val="nil"/>
            </w:tcBorders>
            <w:shd w:val="clear" w:color="auto" w:fill="auto"/>
            <w:noWrap/>
            <w:vAlign w:val="center"/>
            <w:hideMark/>
          </w:tcPr>
          <w:p w14:paraId="415D2D1A"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2 364,00</w:t>
            </w:r>
          </w:p>
        </w:tc>
      </w:tr>
      <w:tr w:rsidR="002C7F07" w:rsidRPr="002C7F07" w14:paraId="33EDA8BB"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19E5F158"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 xml:space="preserve">Zariadenie sociálnych služieb Pod hradom - </w:t>
            </w:r>
            <w:proofErr w:type="spellStart"/>
            <w:r w:rsidRPr="002C7F07">
              <w:rPr>
                <w:rFonts w:cs="Calibri"/>
                <w:color w:val="000000"/>
                <w:sz w:val="20"/>
                <w:szCs w:val="20"/>
                <w:lang w:eastAsia="sk-SK"/>
              </w:rPr>
              <w:t>petangové</w:t>
            </w:r>
            <w:proofErr w:type="spellEnd"/>
            <w:r w:rsidRPr="002C7F07">
              <w:rPr>
                <w:rFonts w:cs="Calibri"/>
                <w:color w:val="000000"/>
                <w:sz w:val="20"/>
                <w:szCs w:val="20"/>
                <w:lang w:eastAsia="sk-SK"/>
              </w:rPr>
              <w:t xml:space="preserve"> ihrisko</w:t>
            </w:r>
          </w:p>
        </w:tc>
        <w:tc>
          <w:tcPr>
            <w:tcW w:w="1677" w:type="dxa"/>
            <w:tcBorders>
              <w:top w:val="nil"/>
              <w:left w:val="nil"/>
              <w:bottom w:val="single" w:sz="8" w:space="0" w:color="DCE6F1"/>
              <w:right w:val="nil"/>
            </w:tcBorders>
            <w:shd w:val="clear" w:color="auto" w:fill="auto"/>
            <w:noWrap/>
            <w:vAlign w:val="center"/>
            <w:hideMark/>
          </w:tcPr>
          <w:p w14:paraId="256878C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3 000,00</w:t>
            </w:r>
          </w:p>
        </w:tc>
      </w:tr>
      <w:tr w:rsidR="002C7F07" w:rsidRPr="002C7F07" w14:paraId="06D35BBB" w14:textId="77777777" w:rsidTr="002C7F07">
        <w:trPr>
          <w:trHeight w:val="300"/>
        </w:trPr>
        <w:tc>
          <w:tcPr>
            <w:tcW w:w="8789" w:type="dxa"/>
            <w:tcBorders>
              <w:top w:val="nil"/>
              <w:left w:val="nil"/>
              <w:bottom w:val="nil"/>
              <w:right w:val="nil"/>
            </w:tcBorders>
            <w:shd w:val="clear" w:color="auto" w:fill="auto"/>
            <w:vAlign w:val="bottom"/>
            <w:hideMark/>
          </w:tcPr>
          <w:p w14:paraId="3F6EEA3F" w14:textId="77777777" w:rsidR="002C7F07" w:rsidRPr="00C04908" w:rsidRDefault="002C7F07" w:rsidP="002C7F07">
            <w:pPr>
              <w:spacing w:after="0" w:line="240" w:lineRule="auto"/>
              <w:rPr>
                <w:rFonts w:cs="Calibri"/>
                <w:color w:val="000000"/>
                <w:sz w:val="20"/>
                <w:szCs w:val="20"/>
                <w:lang w:eastAsia="sk-SK"/>
              </w:rPr>
            </w:pPr>
            <w:r w:rsidRPr="00C04908">
              <w:rPr>
                <w:rFonts w:cs="Calibri"/>
                <w:color w:val="000000"/>
                <w:sz w:val="20"/>
                <w:szCs w:val="20"/>
                <w:lang w:eastAsia="sk-SK"/>
              </w:rPr>
              <w:t xml:space="preserve">Zariadenie sociálnych služieb Pod hradom - vypracovanie projektu špecializovaného zariadenia pre </w:t>
            </w:r>
            <w:proofErr w:type="spellStart"/>
            <w:r w:rsidRPr="00C04908">
              <w:rPr>
                <w:rFonts w:cs="Calibri"/>
                <w:color w:val="000000"/>
                <w:sz w:val="20"/>
                <w:szCs w:val="20"/>
                <w:lang w:eastAsia="sk-SK"/>
              </w:rPr>
              <w:t>autistov</w:t>
            </w:r>
            <w:proofErr w:type="spellEnd"/>
          </w:p>
        </w:tc>
        <w:tc>
          <w:tcPr>
            <w:tcW w:w="1677" w:type="dxa"/>
            <w:tcBorders>
              <w:top w:val="nil"/>
              <w:left w:val="nil"/>
              <w:bottom w:val="single" w:sz="8" w:space="0" w:color="DCE6F1"/>
              <w:right w:val="nil"/>
            </w:tcBorders>
            <w:shd w:val="clear" w:color="auto" w:fill="auto"/>
            <w:noWrap/>
            <w:vAlign w:val="center"/>
            <w:hideMark/>
          </w:tcPr>
          <w:p w14:paraId="1D1D445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4 740,00</w:t>
            </w:r>
          </w:p>
        </w:tc>
      </w:tr>
      <w:tr w:rsidR="002C7F07" w:rsidRPr="002C7F07" w14:paraId="2D008F39" w14:textId="77777777" w:rsidTr="002C7F07">
        <w:trPr>
          <w:trHeight w:val="300"/>
        </w:trPr>
        <w:tc>
          <w:tcPr>
            <w:tcW w:w="8789" w:type="dxa"/>
            <w:tcBorders>
              <w:top w:val="nil"/>
              <w:left w:val="nil"/>
              <w:bottom w:val="nil"/>
              <w:right w:val="nil"/>
            </w:tcBorders>
            <w:shd w:val="clear" w:color="auto" w:fill="auto"/>
            <w:vAlign w:val="bottom"/>
            <w:hideMark/>
          </w:tcPr>
          <w:p w14:paraId="7572C928" w14:textId="77777777" w:rsidR="002C7F07" w:rsidRPr="00C04908" w:rsidRDefault="002C7F07" w:rsidP="002C7F07">
            <w:pPr>
              <w:spacing w:after="0" w:line="240" w:lineRule="auto"/>
              <w:rPr>
                <w:rFonts w:cs="Calibri"/>
                <w:color w:val="000000"/>
                <w:sz w:val="20"/>
                <w:szCs w:val="20"/>
                <w:lang w:eastAsia="sk-SK"/>
              </w:rPr>
            </w:pPr>
            <w:r w:rsidRPr="00C04908">
              <w:rPr>
                <w:rFonts w:cs="Calibri"/>
                <w:color w:val="000000"/>
                <w:sz w:val="20"/>
                <w:szCs w:val="20"/>
                <w:lang w:eastAsia="sk-SK"/>
              </w:rPr>
              <w:t>DSS pre deti a dospelých INTEGRA - bezbariérové inkluzívne ihrisko s tréningovými prvkami pre imobilných</w:t>
            </w:r>
          </w:p>
        </w:tc>
        <w:tc>
          <w:tcPr>
            <w:tcW w:w="1677" w:type="dxa"/>
            <w:tcBorders>
              <w:top w:val="nil"/>
              <w:left w:val="nil"/>
              <w:bottom w:val="single" w:sz="8" w:space="0" w:color="DCE6F1"/>
              <w:right w:val="nil"/>
            </w:tcBorders>
            <w:shd w:val="clear" w:color="auto" w:fill="auto"/>
            <w:noWrap/>
            <w:vAlign w:val="center"/>
            <w:hideMark/>
          </w:tcPr>
          <w:p w14:paraId="4F9BF486"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3 798,00</w:t>
            </w:r>
          </w:p>
        </w:tc>
      </w:tr>
      <w:tr w:rsidR="002C7F07" w:rsidRPr="002C7F07" w14:paraId="18293747" w14:textId="77777777" w:rsidTr="002C7F07">
        <w:trPr>
          <w:trHeight w:val="300"/>
        </w:trPr>
        <w:tc>
          <w:tcPr>
            <w:tcW w:w="8789" w:type="dxa"/>
            <w:tcBorders>
              <w:top w:val="nil"/>
              <w:left w:val="nil"/>
              <w:bottom w:val="nil"/>
              <w:right w:val="nil"/>
            </w:tcBorders>
            <w:shd w:val="clear" w:color="auto" w:fill="auto"/>
            <w:vAlign w:val="bottom"/>
            <w:hideMark/>
          </w:tcPr>
          <w:p w14:paraId="09834FAF" w14:textId="77777777" w:rsidR="002C7F07" w:rsidRPr="00C04908" w:rsidRDefault="002C7F07" w:rsidP="002C7F07">
            <w:pPr>
              <w:spacing w:after="0" w:line="240" w:lineRule="auto"/>
              <w:rPr>
                <w:rFonts w:cs="Calibri"/>
                <w:color w:val="000000"/>
                <w:sz w:val="20"/>
                <w:szCs w:val="20"/>
                <w:lang w:eastAsia="sk-SK"/>
              </w:rPr>
            </w:pPr>
            <w:r w:rsidRPr="00C04908">
              <w:rPr>
                <w:rFonts w:cs="Calibri"/>
                <w:color w:val="000000"/>
                <w:sz w:val="20"/>
                <w:szCs w:val="20"/>
                <w:lang w:eastAsia="sk-SK"/>
              </w:rPr>
              <w:t xml:space="preserve">DSS a zariadenie pre seniorov Pezinok - </w:t>
            </w:r>
            <w:proofErr w:type="spellStart"/>
            <w:r w:rsidRPr="00C04908">
              <w:rPr>
                <w:rFonts w:cs="Calibri"/>
                <w:color w:val="000000"/>
                <w:sz w:val="20"/>
                <w:szCs w:val="20"/>
                <w:lang w:eastAsia="sk-SK"/>
              </w:rPr>
              <w:t>petangové</w:t>
            </w:r>
            <w:proofErr w:type="spellEnd"/>
            <w:r w:rsidRPr="00C04908">
              <w:rPr>
                <w:rFonts w:cs="Calibri"/>
                <w:color w:val="000000"/>
                <w:sz w:val="20"/>
                <w:szCs w:val="20"/>
                <w:lang w:eastAsia="sk-SK"/>
              </w:rPr>
              <w:t xml:space="preserve"> ihrisko</w:t>
            </w:r>
          </w:p>
        </w:tc>
        <w:tc>
          <w:tcPr>
            <w:tcW w:w="1677" w:type="dxa"/>
            <w:tcBorders>
              <w:top w:val="nil"/>
              <w:left w:val="nil"/>
              <w:bottom w:val="single" w:sz="8" w:space="0" w:color="DCE6F1"/>
              <w:right w:val="nil"/>
            </w:tcBorders>
            <w:shd w:val="clear" w:color="auto" w:fill="auto"/>
            <w:noWrap/>
            <w:vAlign w:val="center"/>
            <w:hideMark/>
          </w:tcPr>
          <w:p w14:paraId="0D94951D"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3 000,00</w:t>
            </w:r>
          </w:p>
        </w:tc>
      </w:tr>
      <w:tr w:rsidR="002C7F07" w:rsidRPr="002C7F07" w14:paraId="7B756070" w14:textId="77777777" w:rsidTr="002C7F07">
        <w:trPr>
          <w:trHeight w:val="300"/>
        </w:trPr>
        <w:tc>
          <w:tcPr>
            <w:tcW w:w="8789" w:type="dxa"/>
            <w:tcBorders>
              <w:top w:val="nil"/>
              <w:left w:val="nil"/>
              <w:bottom w:val="single" w:sz="8" w:space="0" w:color="DCE6F1"/>
              <w:right w:val="nil"/>
            </w:tcBorders>
            <w:shd w:val="clear" w:color="000000" w:fill="95B3D7"/>
            <w:noWrap/>
            <w:vAlign w:val="center"/>
            <w:hideMark/>
          </w:tcPr>
          <w:p w14:paraId="003A6C0C" w14:textId="77777777" w:rsidR="002C7F07" w:rsidRPr="002C7F07" w:rsidRDefault="002C7F07" w:rsidP="002C7F07">
            <w:pPr>
              <w:spacing w:after="0" w:line="240" w:lineRule="auto"/>
              <w:rPr>
                <w:rFonts w:cs="Calibri"/>
                <w:b/>
                <w:bCs/>
                <w:color w:val="000000"/>
                <w:sz w:val="20"/>
                <w:szCs w:val="20"/>
                <w:lang w:eastAsia="sk-SK"/>
              </w:rPr>
            </w:pPr>
            <w:r w:rsidRPr="002C7F07">
              <w:rPr>
                <w:rFonts w:cs="Calibri"/>
                <w:b/>
                <w:bCs/>
                <w:color w:val="000000"/>
                <w:sz w:val="20"/>
                <w:szCs w:val="20"/>
                <w:lang w:eastAsia="sk-SK"/>
              </w:rPr>
              <w:t>Program 14: Strategická podpora verejného života a rozvoja regiónu</w:t>
            </w:r>
          </w:p>
        </w:tc>
        <w:tc>
          <w:tcPr>
            <w:tcW w:w="1677" w:type="dxa"/>
            <w:tcBorders>
              <w:top w:val="nil"/>
              <w:left w:val="nil"/>
              <w:bottom w:val="single" w:sz="8" w:space="0" w:color="DCE6F1"/>
              <w:right w:val="nil"/>
            </w:tcBorders>
            <w:shd w:val="clear" w:color="000000" w:fill="95B3D7"/>
            <w:noWrap/>
            <w:vAlign w:val="center"/>
            <w:hideMark/>
          </w:tcPr>
          <w:p w14:paraId="5C4FC640" w14:textId="77777777" w:rsidR="002C7F07" w:rsidRPr="002C7F07" w:rsidRDefault="002C7F07" w:rsidP="002C7F07">
            <w:pPr>
              <w:spacing w:after="0" w:line="240" w:lineRule="auto"/>
              <w:jc w:val="right"/>
              <w:rPr>
                <w:rFonts w:cs="Calibri"/>
                <w:b/>
                <w:bCs/>
                <w:color w:val="000000"/>
                <w:sz w:val="20"/>
                <w:szCs w:val="20"/>
                <w:lang w:eastAsia="sk-SK"/>
              </w:rPr>
            </w:pPr>
            <w:r w:rsidRPr="002C7F07">
              <w:rPr>
                <w:rFonts w:cs="Calibri"/>
                <w:b/>
                <w:bCs/>
                <w:color w:val="000000"/>
                <w:sz w:val="20"/>
                <w:szCs w:val="20"/>
                <w:lang w:eastAsia="sk-SK"/>
              </w:rPr>
              <w:t>13 500,00</w:t>
            </w:r>
          </w:p>
        </w:tc>
      </w:tr>
      <w:tr w:rsidR="002C7F07" w:rsidRPr="002C7F07" w14:paraId="55E41DB5" w14:textId="77777777" w:rsidTr="002C7F07">
        <w:trPr>
          <w:trHeight w:val="300"/>
        </w:trPr>
        <w:tc>
          <w:tcPr>
            <w:tcW w:w="8789" w:type="dxa"/>
            <w:tcBorders>
              <w:top w:val="nil"/>
              <w:left w:val="nil"/>
              <w:bottom w:val="single" w:sz="8" w:space="0" w:color="DCE6F1"/>
              <w:right w:val="nil"/>
            </w:tcBorders>
            <w:shd w:val="clear" w:color="auto" w:fill="auto"/>
            <w:noWrap/>
            <w:vAlign w:val="center"/>
            <w:hideMark/>
          </w:tcPr>
          <w:p w14:paraId="61019315" w14:textId="77777777" w:rsidR="002C7F07" w:rsidRPr="002C7F07" w:rsidRDefault="002C7F07" w:rsidP="002C7F07">
            <w:pPr>
              <w:spacing w:after="0" w:line="240" w:lineRule="auto"/>
              <w:rPr>
                <w:rFonts w:cs="Calibri"/>
                <w:color w:val="000000"/>
                <w:sz w:val="20"/>
                <w:szCs w:val="20"/>
                <w:lang w:eastAsia="sk-SK"/>
              </w:rPr>
            </w:pPr>
            <w:r w:rsidRPr="002C7F07">
              <w:rPr>
                <w:rFonts w:cs="Calibri"/>
                <w:color w:val="000000"/>
                <w:sz w:val="20"/>
                <w:szCs w:val="20"/>
                <w:lang w:eastAsia="sk-SK"/>
              </w:rPr>
              <w:t>Dotácia BSK v zmysle VZN 5/2018</w:t>
            </w:r>
          </w:p>
        </w:tc>
        <w:tc>
          <w:tcPr>
            <w:tcW w:w="1677" w:type="dxa"/>
            <w:tcBorders>
              <w:top w:val="nil"/>
              <w:left w:val="nil"/>
              <w:bottom w:val="single" w:sz="8" w:space="0" w:color="DCE6F1"/>
              <w:right w:val="nil"/>
            </w:tcBorders>
            <w:shd w:val="clear" w:color="auto" w:fill="auto"/>
            <w:noWrap/>
            <w:vAlign w:val="center"/>
            <w:hideMark/>
          </w:tcPr>
          <w:p w14:paraId="14748A23" w14:textId="77777777" w:rsidR="002C7F07" w:rsidRPr="002C7F07" w:rsidRDefault="002C7F07" w:rsidP="002C7F07">
            <w:pPr>
              <w:spacing w:after="0" w:line="240" w:lineRule="auto"/>
              <w:jc w:val="right"/>
              <w:rPr>
                <w:rFonts w:cs="Calibri"/>
                <w:color w:val="000000"/>
                <w:sz w:val="20"/>
                <w:szCs w:val="20"/>
                <w:lang w:eastAsia="sk-SK"/>
              </w:rPr>
            </w:pPr>
            <w:r w:rsidRPr="002C7F07">
              <w:rPr>
                <w:rFonts w:cs="Calibri"/>
                <w:color w:val="000000"/>
                <w:sz w:val="20"/>
                <w:szCs w:val="20"/>
                <w:lang w:eastAsia="sk-SK"/>
              </w:rPr>
              <w:t>13 500,00</w:t>
            </w:r>
          </w:p>
        </w:tc>
      </w:tr>
      <w:tr w:rsidR="002C7F07" w:rsidRPr="002C7F07" w14:paraId="46A6B24F" w14:textId="77777777" w:rsidTr="002C7F07">
        <w:trPr>
          <w:trHeight w:val="300"/>
        </w:trPr>
        <w:tc>
          <w:tcPr>
            <w:tcW w:w="8789" w:type="dxa"/>
            <w:tcBorders>
              <w:top w:val="nil"/>
              <w:left w:val="nil"/>
              <w:bottom w:val="nil"/>
              <w:right w:val="nil"/>
            </w:tcBorders>
            <w:shd w:val="clear" w:color="auto" w:fill="auto"/>
            <w:noWrap/>
            <w:vAlign w:val="center"/>
            <w:hideMark/>
          </w:tcPr>
          <w:p w14:paraId="2B547D0D" w14:textId="77777777" w:rsidR="002C7F07" w:rsidRPr="002C7F07" w:rsidRDefault="002C7F07" w:rsidP="002C7F07">
            <w:pPr>
              <w:spacing w:after="0" w:line="240" w:lineRule="auto"/>
              <w:rPr>
                <w:rFonts w:cs="Calibri"/>
                <w:b/>
                <w:bCs/>
                <w:color w:val="000000"/>
                <w:lang w:eastAsia="sk-SK"/>
              </w:rPr>
            </w:pPr>
            <w:r w:rsidRPr="002C7F07">
              <w:rPr>
                <w:rFonts w:cs="Calibri"/>
                <w:b/>
                <w:bCs/>
                <w:color w:val="000000"/>
                <w:lang w:eastAsia="sk-SK"/>
              </w:rPr>
              <w:t>Celkový súčet</w:t>
            </w:r>
          </w:p>
        </w:tc>
        <w:tc>
          <w:tcPr>
            <w:tcW w:w="1677" w:type="dxa"/>
            <w:tcBorders>
              <w:top w:val="nil"/>
              <w:left w:val="nil"/>
              <w:bottom w:val="nil"/>
              <w:right w:val="nil"/>
            </w:tcBorders>
            <w:shd w:val="clear" w:color="auto" w:fill="auto"/>
            <w:noWrap/>
            <w:vAlign w:val="center"/>
            <w:hideMark/>
          </w:tcPr>
          <w:p w14:paraId="634E1C75" w14:textId="77777777" w:rsidR="002C7F07" w:rsidRPr="002C7F07" w:rsidRDefault="002C7F07" w:rsidP="002C7F07">
            <w:pPr>
              <w:spacing w:after="0" w:line="240" w:lineRule="auto"/>
              <w:jc w:val="right"/>
              <w:rPr>
                <w:rFonts w:cs="Calibri"/>
                <w:b/>
                <w:bCs/>
                <w:color w:val="000000"/>
                <w:lang w:eastAsia="sk-SK"/>
              </w:rPr>
            </w:pPr>
            <w:r w:rsidRPr="002C7F07">
              <w:rPr>
                <w:rFonts w:cs="Calibri"/>
                <w:b/>
                <w:bCs/>
                <w:color w:val="000000"/>
                <w:lang w:eastAsia="sk-SK"/>
              </w:rPr>
              <w:t>10 064 814,06</w:t>
            </w:r>
          </w:p>
        </w:tc>
      </w:tr>
    </w:tbl>
    <w:p w14:paraId="4B5C7C45" w14:textId="36185063" w:rsidR="002C7F07" w:rsidRDefault="002C7F07" w:rsidP="00B07366">
      <w:pPr>
        <w:spacing w:after="0" w:line="240" w:lineRule="auto"/>
        <w:jc w:val="both"/>
        <w:rPr>
          <w:sz w:val="24"/>
          <w:szCs w:val="24"/>
          <w:lang w:eastAsia="sk-SK"/>
        </w:rPr>
      </w:pPr>
    </w:p>
    <w:p w14:paraId="5DD0C054" w14:textId="2C6F329B" w:rsidR="002C7F07" w:rsidRDefault="002C7F07" w:rsidP="00B07366">
      <w:pPr>
        <w:spacing w:after="0" w:line="240" w:lineRule="auto"/>
        <w:jc w:val="both"/>
        <w:rPr>
          <w:sz w:val="24"/>
          <w:szCs w:val="24"/>
          <w:lang w:eastAsia="sk-SK"/>
        </w:rPr>
      </w:pPr>
    </w:p>
    <w:p w14:paraId="655362E9" w14:textId="77777777" w:rsidR="00A35E59" w:rsidRDefault="00A35E59" w:rsidP="00BE704E">
      <w:pPr>
        <w:spacing w:after="0" w:line="240" w:lineRule="auto"/>
        <w:jc w:val="both"/>
        <w:rPr>
          <w:rFonts w:cs="Calibri"/>
          <w:sz w:val="24"/>
          <w:szCs w:val="24"/>
          <w:lang w:eastAsia="sk-SK"/>
        </w:rPr>
      </w:pPr>
    </w:p>
    <w:p w14:paraId="53D2CE20" w14:textId="77777777" w:rsidR="00A35E59" w:rsidRDefault="00A35E59" w:rsidP="00BE704E">
      <w:pPr>
        <w:spacing w:after="0" w:line="240" w:lineRule="auto"/>
        <w:jc w:val="both"/>
        <w:rPr>
          <w:rFonts w:cs="Calibri"/>
          <w:sz w:val="24"/>
          <w:szCs w:val="24"/>
          <w:lang w:eastAsia="sk-SK"/>
        </w:rPr>
      </w:pPr>
    </w:p>
    <w:p w14:paraId="33999629" w14:textId="77777777" w:rsidR="00A35E59" w:rsidRDefault="00A35E59" w:rsidP="00BE704E">
      <w:pPr>
        <w:spacing w:after="0" w:line="240" w:lineRule="auto"/>
        <w:jc w:val="both"/>
        <w:rPr>
          <w:rFonts w:cs="Calibri"/>
          <w:sz w:val="24"/>
          <w:szCs w:val="24"/>
          <w:lang w:eastAsia="sk-SK"/>
        </w:rPr>
      </w:pPr>
    </w:p>
    <w:p w14:paraId="1542FC86" w14:textId="77777777" w:rsidR="00A35E59" w:rsidRDefault="00A35E59" w:rsidP="00BE704E">
      <w:pPr>
        <w:spacing w:after="0" w:line="240" w:lineRule="auto"/>
        <w:jc w:val="both"/>
        <w:rPr>
          <w:rFonts w:cs="Calibri"/>
          <w:sz w:val="24"/>
          <w:szCs w:val="24"/>
          <w:lang w:eastAsia="sk-SK"/>
        </w:rPr>
      </w:pPr>
    </w:p>
    <w:p w14:paraId="13AA18C1" w14:textId="77777777" w:rsidR="00C04908" w:rsidRDefault="00C04908" w:rsidP="00BE704E">
      <w:pPr>
        <w:spacing w:after="0" w:line="240" w:lineRule="auto"/>
        <w:jc w:val="both"/>
        <w:rPr>
          <w:rFonts w:cs="Calibri"/>
          <w:sz w:val="24"/>
          <w:szCs w:val="24"/>
          <w:lang w:eastAsia="sk-SK"/>
        </w:rPr>
      </w:pPr>
    </w:p>
    <w:p w14:paraId="11C25D4F" w14:textId="77777777" w:rsidR="00C04908" w:rsidRDefault="00C04908" w:rsidP="00BE704E">
      <w:pPr>
        <w:spacing w:after="0" w:line="240" w:lineRule="auto"/>
        <w:jc w:val="both"/>
        <w:rPr>
          <w:rFonts w:cs="Calibri"/>
          <w:sz w:val="24"/>
          <w:szCs w:val="24"/>
          <w:lang w:eastAsia="sk-SK"/>
        </w:rPr>
      </w:pPr>
    </w:p>
    <w:p w14:paraId="27CBD32B" w14:textId="7F844E72" w:rsidR="00BE704E" w:rsidRDefault="00BE704E" w:rsidP="00BE704E">
      <w:pPr>
        <w:spacing w:after="0" w:line="240" w:lineRule="auto"/>
        <w:jc w:val="both"/>
        <w:rPr>
          <w:rFonts w:cs="Calibri"/>
          <w:sz w:val="24"/>
          <w:szCs w:val="24"/>
          <w:lang w:eastAsia="sk-SK"/>
        </w:rPr>
      </w:pPr>
      <w:r w:rsidRPr="00AD5F48">
        <w:rPr>
          <w:rFonts w:cs="Calibri"/>
          <w:sz w:val="24"/>
          <w:szCs w:val="24"/>
          <w:lang w:eastAsia="sk-SK"/>
        </w:rPr>
        <w:lastRenderedPageBreak/>
        <w:t>V nasledujúcej tabuľke je uveden</w:t>
      </w:r>
      <w:r>
        <w:rPr>
          <w:rFonts w:cs="Calibri"/>
          <w:sz w:val="24"/>
          <w:szCs w:val="24"/>
          <w:lang w:eastAsia="sk-SK"/>
        </w:rPr>
        <w:t xml:space="preserve">ý prehľad </w:t>
      </w:r>
      <w:r w:rsidRPr="00AD5F48">
        <w:rPr>
          <w:rFonts w:cs="Calibri"/>
          <w:sz w:val="24"/>
          <w:szCs w:val="24"/>
          <w:lang w:eastAsia="sk-SK"/>
        </w:rPr>
        <w:t>čerpani</w:t>
      </w:r>
      <w:r>
        <w:rPr>
          <w:rFonts w:cs="Calibri"/>
          <w:sz w:val="24"/>
          <w:szCs w:val="24"/>
          <w:lang w:eastAsia="sk-SK"/>
        </w:rPr>
        <w:t>a</w:t>
      </w:r>
      <w:r w:rsidRPr="00AD5F48">
        <w:rPr>
          <w:rFonts w:cs="Calibri"/>
          <w:sz w:val="24"/>
          <w:szCs w:val="24"/>
          <w:lang w:eastAsia="sk-SK"/>
        </w:rPr>
        <w:t xml:space="preserve"> výdavkov podľa ekonomickej klasifikácie jednotlivých </w:t>
      </w:r>
      <w:r w:rsidRPr="0042711A">
        <w:rPr>
          <w:rFonts w:cs="Calibri"/>
          <w:sz w:val="24"/>
          <w:szCs w:val="24"/>
          <w:lang w:eastAsia="sk-SK"/>
        </w:rPr>
        <w:t>projektov BSK financovaných z</w:t>
      </w:r>
      <w:r w:rsidR="000F24A4" w:rsidRPr="0042711A">
        <w:rPr>
          <w:rFonts w:cs="Calibri"/>
          <w:sz w:val="24"/>
          <w:szCs w:val="24"/>
          <w:lang w:eastAsia="sk-SK"/>
        </w:rPr>
        <w:t> </w:t>
      </w:r>
      <w:r w:rsidRPr="0042711A">
        <w:rPr>
          <w:rFonts w:cs="Calibri"/>
          <w:sz w:val="24"/>
          <w:szCs w:val="24"/>
          <w:lang w:eastAsia="sk-SK"/>
        </w:rPr>
        <w:t>EÚ</w:t>
      </w:r>
      <w:r w:rsidR="000F24A4" w:rsidRPr="0042711A">
        <w:rPr>
          <w:rFonts w:cs="Calibri"/>
          <w:sz w:val="24"/>
          <w:szCs w:val="24"/>
          <w:lang w:eastAsia="sk-SK"/>
        </w:rPr>
        <w:t>,</w:t>
      </w:r>
      <w:r w:rsidRPr="0042711A">
        <w:rPr>
          <w:rFonts w:cs="Calibri"/>
          <w:sz w:val="24"/>
          <w:szCs w:val="24"/>
          <w:lang w:eastAsia="sk-SK"/>
        </w:rPr>
        <w:t> </w:t>
      </w:r>
      <w:r w:rsidR="000F24A4" w:rsidRPr="0042711A">
        <w:rPr>
          <w:rFonts w:cs="Calibri"/>
          <w:sz w:val="24"/>
          <w:szCs w:val="24"/>
          <w:lang w:eastAsia="sk-SK"/>
        </w:rPr>
        <w:t xml:space="preserve">zo </w:t>
      </w:r>
      <w:r w:rsidRPr="0042711A">
        <w:rPr>
          <w:rFonts w:cs="Calibri"/>
          <w:sz w:val="24"/>
          <w:szCs w:val="24"/>
          <w:lang w:eastAsia="sk-SK"/>
        </w:rPr>
        <w:t>ŠR</w:t>
      </w:r>
      <w:r w:rsidR="000F24A4" w:rsidRPr="0042711A">
        <w:rPr>
          <w:rFonts w:cs="Calibri"/>
          <w:sz w:val="24"/>
          <w:szCs w:val="24"/>
          <w:lang w:eastAsia="sk-SK"/>
        </w:rPr>
        <w:t xml:space="preserve">, z vlastných i úverových zdrojov </w:t>
      </w:r>
      <w:r w:rsidRPr="0042711A">
        <w:rPr>
          <w:rFonts w:cs="Calibri"/>
          <w:sz w:val="24"/>
          <w:szCs w:val="24"/>
          <w:lang w:eastAsia="sk-SK"/>
        </w:rPr>
        <w:t>v roku 20</w:t>
      </w:r>
      <w:r w:rsidR="00F03D05" w:rsidRPr="0042711A">
        <w:rPr>
          <w:rFonts w:cs="Calibri"/>
          <w:sz w:val="24"/>
          <w:szCs w:val="24"/>
          <w:lang w:eastAsia="sk-SK"/>
        </w:rPr>
        <w:t>20</w:t>
      </w:r>
      <w:r w:rsidRPr="0042711A">
        <w:rPr>
          <w:rFonts w:cs="Calibri"/>
          <w:sz w:val="24"/>
          <w:szCs w:val="24"/>
          <w:lang w:eastAsia="sk-SK"/>
        </w:rPr>
        <w:t>:</w:t>
      </w:r>
    </w:p>
    <w:p w14:paraId="68ACC9EC" w14:textId="77777777" w:rsidR="00A35E59" w:rsidRDefault="00A35E59" w:rsidP="00BE704E">
      <w:pPr>
        <w:spacing w:after="0" w:line="240" w:lineRule="auto"/>
        <w:jc w:val="both"/>
        <w:rPr>
          <w:rFonts w:cs="Calibri"/>
          <w:sz w:val="24"/>
          <w:szCs w:val="24"/>
          <w:lang w:eastAsia="sk-SK"/>
        </w:rPr>
      </w:pPr>
    </w:p>
    <w:tbl>
      <w:tblPr>
        <w:tblW w:w="10700" w:type="dxa"/>
        <w:tblCellMar>
          <w:left w:w="70" w:type="dxa"/>
          <w:right w:w="70" w:type="dxa"/>
        </w:tblCellMar>
        <w:tblLook w:val="04A0" w:firstRow="1" w:lastRow="0" w:firstColumn="1" w:lastColumn="0" w:noHBand="0" w:noVBand="1"/>
      </w:tblPr>
      <w:tblGrid>
        <w:gridCol w:w="4627"/>
        <w:gridCol w:w="1794"/>
        <w:gridCol w:w="1467"/>
        <w:gridCol w:w="1345"/>
        <w:gridCol w:w="1467"/>
      </w:tblGrid>
      <w:tr w:rsidR="00643D7F" w:rsidRPr="00643D7F" w14:paraId="1941F002" w14:textId="77777777" w:rsidTr="00A35E59">
        <w:trPr>
          <w:trHeight w:val="712"/>
        </w:trPr>
        <w:tc>
          <w:tcPr>
            <w:tcW w:w="4627" w:type="dxa"/>
            <w:tcBorders>
              <w:top w:val="nil"/>
              <w:left w:val="nil"/>
              <w:bottom w:val="single" w:sz="4" w:space="0" w:color="DCE6F1"/>
              <w:right w:val="nil"/>
            </w:tcBorders>
            <w:shd w:val="clear" w:color="366092" w:fill="366092"/>
            <w:vAlign w:val="center"/>
            <w:hideMark/>
          </w:tcPr>
          <w:p w14:paraId="22451255" w14:textId="739A044E" w:rsidR="00643D7F" w:rsidRPr="00643D7F" w:rsidRDefault="00643D7F" w:rsidP="00643D7F">
            <w:pPr>
              <w:spacing w:after="0" w:line="240" w:lineRule="auto"/>
              <w:rPr>
                <w:rFonts w:cs="Calibri"/>
                <w:color w:val="FFFFFF"/>
                <w:lang w:eastAsia="sk-SK"/>
              </w:rPr>
            </w:pPr>
            <w:r w:rsidRPr="00643D7F">
              <w:rPr>
                <w:rFonts w:cs="Calibri"/>
                <w:color w:val="FFFFFF"/>
                <w:lang w:eastAsia="sk-SK"/>
              </w:rPr>
              <w:t> </w:t>
            </w:r>
            <w:r w:rsidRPr="00F77E8C">
              <w:rPr>
                <w:rFonts w:cs="Calibri"/>
                <w:b/>
                <w:bCs/>
                <w:color w:val="FFFFFF"/>
                <w:sz w:val="20"/>
                <w:szCs w:val="20"/>
                <w:lang w:eastAsia="sk-SK"/>
              </w:rPr>
              <w:t>Čerpanie výdavkov projektov BSK</w:t>
            </w:r>
          </w:p>
        </w:tc>
        <w:tc>
          <w:tcPr>
            <w:tcW w:w="1794" w:type="dxa"/>
            <w:tcBorders>
              <w:top w:val="nil"/>
              <w:left w:val="nil"/>
              <w:bottom w:val="single" w:sz="4" w:space="0" w:color="DCE6F1"/>
              <w:right w:val="nil"/>
            </w:tcBorders>
            <w:shd w:val="clear" w:color="366092" w:fill="366092"/>
            <w:vAlign w:val="bottom"/>
            <w:hideMark/>
          </w:tcPr>
          <w:p w14:paraId="4EDD17CD" w14:textId="24E990DA" w:rsidR="00643D7F" w:rsidRPr="00643D7F" w:rsidRDefault="00643D7F" w:rsidP="00643D7F">
            <w:pPr>
              <w:spacing w:after="0" w:line="240" w:lineRule="auto"/>
              <w:jc w:val="center"/>
              <w:rPr>
                <w:rFonts w:cs="Calibri"/>
                <w:color w:val="FFFFFF"/>
                <w:lang w:eastAsia="sk-SK"/>
              </w:rPr>
            </w:pPr>
            <w:r w:rsidRPr="00643D7F">
              <w:rPr>
                <w:rFonts w:cs="Calibri"/>
                <w:color w:val="FFFFFF"/>
                <w:lang w:eastAsia="sk-SK"/>
              </w:rPr>
              <w:t>Schválený rozpočet 20</w:t>
            </w:r>
            <w:r>
              <w:rPr>
                <w:rFonts w:cs="Calibri"/>
                <w:color w:val="FFFFFF"/>
                <w:lang w:eastAsia="sk-SK"/>
              </w:rPr>
              <w:t>20</w:t>
            </w:r>
            <w:r w:rsidRPr="00643D7F">
              <w:rPr>
                <w:rFonts w:cs="Calibri"/>
                <w:color w:val="FFFFFF"/>
                <w:lang w:eastAsia="sk-SK"/>
              </w:rPr>
              <w:t xml:space="preserve"> </w:t>
            </w:r>
            <w:r>
              <w:rPr>
                <w:rFonts w:cs="Calibri"/>
                <w:color w:val="FFFFFF"/>
                <w:lang w:eastAsia="sk-SK"/>
              </w:rPr>
              <w:br/>
            </w:r>
            <w:r w:rsidRPr="00643D7F">
              <w:rPr>
                <w:rFonts w:cs="Calibri"/>
                <w:color w:val="FFFFFF"/>
                <w:lang w:eastAsia="sk-SK"/>
              </w:rPr>
              <w:t>v EUR</w:t>
            </w:r>
          </w:p>
        </w:tc>
        <w:tc>
          <w:tcPr>
            <w:tcW w:w="1467" w:type="dxa"/>
            <w:tcBorders>
              <w:top w:val="nil"/>
              <w:left w:val="nil"/>
              <w:bottom w:val="single" w:sz="4" w:space="0" w:color="DCE6F1"/>
              <w:right w:val="nil"/>
            </w:tcBorders>
            <w:shd w:val="clear" w:color="366092" w:fill="366092"/>
            <w:vAlign w:val="bottom"/>
            <w:hideMark/>
          </w:tcPr>
          <w:p w14:paraId="12E6F3E9" w14:textId="4147883E" w:rsidR="00643D7F" w:rsidRPr="00643D7F" w:rsidRDefault="00643D7F" w:rsidP="00643D7F">
            <w:pPr>
              <w:spacing w:after="0" w:line="240" w:lineRule="auto"/>
              <w:jc w:val="center"/>
              <w:rPr>
                <w:rFonts w:cs="Calibri"/>
                <w:color w:val="FFFFFF"/>
                <w:lang w:eastAsia="sk-SK"/>
              </w:rPr>
            </w:pPr>
            <w:r w:rsidRPr="00643D7F">
              <w:rPr>
                <w:rFonts w:cs="Calibri"/>
                <w:color w:val="FFFFFF"/>
                <w:lang w:eastAsia="sk-SK"/>
              </w:rPr>
              <w:t>Zmenený rozpočet k 31.12.20</w:t>
            </w:r>
            <w:r>
              <w:rPr>
                <w:rFonts w:cs="Calibri"/>
                <w:color w:val="FFFFFF"/>
                <w:lang w:eastAsia="sk-SK"/>
              </w:rPr>
              <w:t>20</w:t>
            </w:r>
            <w:r w:rsidRPr="00643D7F">
              <w:rPr>
                <w:rFonts w:cs="Calibri"/>
                <w:color w:val="FFFFFF"/>
                <w:lang w:eastAsia="sk-SK"/>
              </w:rPr>
              <w:t xml:space="preserve"> </w:t>
            </w:r>
          </w:p>
        </w:tc>
        <w:tc>
          <w:tcPr>
            <w:tcW w:w="1345" w:type="dxa"/>
            <w:tcBorders>
              <w:top w:val="nil"/>
              <w:left w:val="nil"/>
              <w:bottom w:val="single" w:sz="4" w:space="0" w:color="DCE6F1"/>
              <w:right w:val="nil"/>
            </w:tcBorders>
            <w:shd w:val="clear" w:color="366092" w:fill="366092"/>
            <w:vAlign w:val="bottom"/>
            <w:hideMark/>
          </w:tcPr>
          <w:p w14:paraId="4127DC5B" w14:textId="0EC945DA" w:rsidR="00643D7F" w:rsidRPr="00643D7F" w:rsidRDefault="00643D7F" w:rsidP="00643D7F">
            <w:pPr>
              <w:spacing w:after="0" w:line="240" w:lineRule="auto"/>
              <w:jc w:val="center"/>
              <w:rPr>
                <w:rFonts w:cs="Calibri"/>
                <w:color w:val="FFFFFF"/>
                <w:lang w:eastAsia="sk-SK"/>
              </w:rPr>
            </w:pPr>
            <w:r w:rsidRPr="00643D7F">
              <w:rPr>
                <w:rFonts w:cs="Calibri"/>
                <w:color w:val="FFFFFF"/>
                <w:lang w:eastAsia="sk-SK"/>
              </w:rPr>
              <w:t>Čerpanie k 31.12.20</w:t>
            </w:r>
            <w:r>
              <w:rPr>
                <w:rFonts w:cs="Calibri"/>
                <w:color w:val="FFFFFF"/>
                <w:lang w:eastAsia="sk-SK"/>
              </w:rPr>
              <w:t>20</w:t>
            </w:r>
            <w:r w:rsidRPr="00643D7F">
              <w:rPr>
                <w:rFonts w:cs="Calibri"/>
                <w:color w:val="FFFFFF"/>
                <w:lang w:eastAsia="sk-SK"/>
              </w:rPr>
              <w:t xml:space="preserve"> </w:t>
            </w:r>
          </w:p>
        </w:tc>
        <w:tc>
          <w:tcPr>
            <w:tcW w:w="1467" w:type="dxa"/>
            <w:tcBorders>
              <w:top w:val="nil"/>
              <w:left w:val="nil"/>
              <w:bottom w:val="single" w:sz="4" w:space="0" w:color="DCE6F1"/>
              <w:right w:val="nil"/>
            </w:tcBorders>
            <w:shd w:val="clear" w:color="366092" w:fill="366092"/>
            <w:vAlign w:val="bottom"/>
            <w:hideMark/>
          </w:tcPr>
          <w:p w14:paraId="313D5711" w14:textId="77777777" w:rsidR="00643D7F" w:rsidRPr="00643D7F" w:rsidRDefault="00643D7F" w:rsidP="00643D7F">
            <w:pPr>
              <w:spacing w:after="0" w:line="240" w:lineRule="auto"/>
              <w:jc w:val="center"/>
              <w:rPr>
                <w:rFonts w:cs="Calibri"/>
                <w:color w:val="FFFFFF"/>
                <w:lang w:eastAsia="sk-SK"/>
              </w:rPr>
            </w:pPr>
            <w:r w:rsidRPr="00643D7F">
              <w:rPr>
                <w:rFonts w:cs="Calibri"/>
                <w:color w:val="FFFFFF"/>
                <w:lang w:eastAsia="sk-SK"/>
              </w:rPr>
              <w:t>% čerpanie k zmenenému rozpočtu</w:t>
            </w:r>
          </w:p>
        </w:tc>
      </w:tr>
      <w:tr w:rsidR="00643D7F" w:rsidRPr="00643D7F" w14:paraId="460F4869" w14:textId="77777777" w:rsidTr="00A35E59">
        <w:trPr>
          <w:trHeight w:val="250"/>
        </w:trPr>
        <w:tc>
          <w:tcPr>
            <w:tcW w:w="4627" w:type="dxa"/>
            <w:tcBorders>
              <w:top w:val="nil"/>
              <w:left w:val="nil"/>
              <w:bottom w:val="single" w:sz="4" w:space="0" w:color="DCE6F1"/>
              <w:right w:val="nil"/>
            </w:tcBorders>
            <w:shd w:val="clear" w:color="95B3D7" w:fill="95B3D7"/>
            <w:noWrap/>
            <w:vAlign w:val="bottom"/>
            <w:hideMark/>
          </w:tcPr>
          <w:p w14:paraId="11A1457C"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COVP Farského</w:t>
            </w:r>
          </w:p>
        </w:tc>
        <w:tc>
          <w:tcPr>
            <w:tcW w:w="1794" w:type="dxa"/>
            <w:tcBorders>
              <w:top w:val="nil"/>
              <w:left w:val="nil"/>
              <w:bottom w:val="single" w:sz="4" w:space="0" w:color="DCE6F1"/>
              <w:right w:val="nil"/>
            </w:tcBorders>
            <w:shd w:val="clear" w:color="95B3D7" w:fill="95B3D7"/>
            <w:noWrap/>
            <w:vAlign w:val="bottom"/>
            <w:hideMark/>
          </w:tcPr>
          <w:p w14:paraId="72F367D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1 350 000,00</w:t>
            </w:r>
          </w:p>
        </w:tc>
        <w:tc>
          <w:tcPr>
            <w:tcW w:w="1467" w:type="dxa"/>
            <w:tcBorders>
              <w:top w:val="single" w:sz="4" w:space="0" w:color="DCE6F1"/>
              <w:left w:val="nil"/>
              <w:bottom w:val="single" w:sz="4" w:space="0" w:color="DCE6F1"/>
              <w:right w:val="nil"/>
            </w:tcBorders>
            <w:shd w:val="clear" w:color="95B3D7" w:fill="95B3D7"/>
            <w:noWrap/>
            <w:vAlign w:val="bottom"/>
            <w:hideMark/>
          </w:tcPr>
          <w:p w14:paraId="7EE342A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1 248 100,00</w:t>
            </w:r>
          </w:p>
        </w:tc>
        <w:tc>
          <w:tcPr>
            <w:tcW w:w="1345" w:type="dxa"/>
            <w:tcBorders>
              <w:top w:val="single" w:sz="4" w:space="0" w:color="DCE6F1"/>
              <w:left w:val="nil"/>
              <w:bottom w:val="single" w:sz="4" w:space="0" w:color="DCE6F1"/>
              <w:right w:val="nil"/>
            </w:tcBorders>
            <w:shd w:val="clear" w:color="95B3D7" w:fill="95B3D7"/>
            <w:noWrap/>
            <w:vAlign w:val="bottom"/>
            <w:hideMark/>
          </w:tcPr>
          <w:p w14:paraId="6F80C646"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3A4361E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0FD0CFB8"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5359C327"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5A0954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1 350 000,00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6C8C4E3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1 248 100,00</w:t>
            </w:r>
          </w:p>
        </w:tc>
        <w:tc>
          <w:tcPr>
            <w:tcW w:w="1345" w:type="dxa"/>
            <w:tcBorders>
              <w:top w:val="single" w:sz="4" w:space="0" w:color="DCE6F1"/>
              <w:left w:val="nil"/>
              <w:bottom w:val="single" w:sz="4" w:space="0" w:color="DCE6F1"/>
              <w:right w:val="nil"/>
            </w:tcBorders>
            <w:shd w:val="clear" w:color="000000" w:fill="F2F2F2"/>
            <w:noWrap/>
            <w:vAlign w:val="bottom"/>
            <w:hideMark/>
          </w:tcPr>
          <w:p w14:paraId="5DA06F83"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6EE2D9F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5AF37E7A"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58BD8A67"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COVP Hlinická</w:t>
            </w:r>
          </w:p>
        </w:tc>
        <w:tc>
          <w:tcPr>
            <w:tcW w:w="1794" w:type="dxa"/>
            <w:tcBorders>
              <w:top w:val="single" w:sz="4" w:space="0" w:color="DCE6F1"/>
              <w:left w:val="nil"/>
              <w:bottom w:val="single" w:sz="4" w:space="0" w:color="DCE6F1"/>
              <w:right w:val="nil"/>
            </w:tcBorders>
            <w:shd w:val="clear" w:color="95B3D7" w:fill="95B3D7"/>
            <w:noWrap/>
            <w:vAlign w:val="bottom"/>
            <w:hideMark/>
          </w:tcPr>
          <w:p w14:paraId="7A7372F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240 537,87</w:t>
            </w:r>
          </w:p>
        </w:tc>
        <w:tc>
          <w:tcPr>
            <w:tcW w:w="1467" w:type="dxa"/>
            <w:tcBorders>
              <w:top w:val="single" w:sz="4" w:space="0" w:color="DCE6F1"/>
              <w:left w:val="nil"/>
              <w:bottom w:val="single" w:sz="4" w:space="0" w:color="DCE6F1"/>
              <w:right w:val="nil"/>
            </w:tcBorders>
            <w:shd w:val="clear" w:color="95B3D7" w:fill="95B3D7"/>
            <w:noWrap/>
            <w:vAlign w:val="bottom"/>
            <w:hideMark/>
          </w:tcPr>
          <w:p w14:paraId="3A0EA75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444 696,45</w:t>
            </w:r>
          </w:p>
        </w:tc>
        <w:tc>
          <w:tcPr>
            <w:tcW w:w="1345" w:type="dxa"/>
            <w:tcBorders>
              <w:top w:val="single" w:sz="4" w:space="0" w:color="DCE6F1"/>
              <w:left w:val="nil"/>
              <w:bottom w:val="single" w:sz="4" w:space="0" w:color="DCE6F1"/>
              <w:right w:val="nil"/>
            </w:tcBorders>
            <w:shd w:val="clear" w:color="95B3D7" w:fill="95B3D7"/>
            <w:noWrap/>
            <w:vAlign w:val="bottom"/>
            <w:hideMark/>
          </w:tcPr>
          <w:p w14:paraId="5F36188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308 805,36</w:t>
            </w:r>
          </w:p>
        </w:tc>
        <w:tc>
          <w:tcPr>
            <w:tcW w:w="1467" w:type="dxa"/>
            <w:tcBorders>
              <w:top w:val="nil"/>
              <w:left w:val="nil"/>
              <w:bottom w:val="single" w:sz="4" w:space="0" w:color="DCE6F1"/>
              <w:right w:val="nil"/>
            </w:tcBorders>
            <w:shd w:val="clear" w:color="95B3D7" w:fill="95B3D7"/>
            <w:noWrap/>
            <w:vAlign w:val="bottom"/>
            <w:hideMark/>
          </w:tcPr>
          <w:p w14:paraId="395708A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69,44%</w:t>
            </w:r>
          </w:p>
        </w:tc>
      </w:tr>
      <w:tr w:rsidR="00643D7F" w:rsidRPr="00643D7F" w14:paraId="5FFFA456"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4A47F4AC"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458248F8"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32362DC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38 968,10</w:t>
            </w:r>
          </w:p>
        </w:tc>
        <w:tc>
          <w:tcPr>
            <w:tcW w:w="1345" w:type="dxa"/>
            <w:tcBorders>
              <w:top w:val="single" w:sz="4" w:space="0" w:color="DCE6F1"/>
              <w:left w:val="nil"/>
              <w:bottom w:val="single" w:sz="4" w:space="0" w:color="DCE6F1"/>
              <w:right w:val="nil"/>
            </w:tcBorders>
            <w:shd w:val="clear" w:color="000000" w:fill="F2F2F2"/>
            <w:noWrap/>
            <w:vAlign w:val="bottom"/>
            <w:hideMark/>
          </w:tcPr>
          <w:p w14:paraId="63881E4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33 313,64</w:t>
            </w:r>
          </w:p>
        </w:tc>
        <w:tc>
          <w:tcPr>
            <w:tcW w:w="1467" w:type="dxa"/>
            <w:tcBorders>
              <w:top w:val="nil"/>
              <w:left w:val="nil"/>
              <w:bottom w:val="single" w:sz="4" w:space="0" w:color="DCE6F1"/>
              <w:right w:val="nil"/>
            </w:tcBorders>
            <w:shd w:val="clear" w:color="000000" w:fill="F2F2F2"/>
            <w:noWrap/>
            <w:vAlign w:val="bottom"/>
            <w:hideMark/>
          </w:tcPr>
          <w:p w14:paraId="77FDD5CA"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85,49%</w:t>
            </w:r>
          </w:p>
        </w:tc>
      </w:tr>
      <w:tr w:rsidR="00643D7F" w:rsidRPr="00643D7F" w14:paraId="3309EB2B"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6D505E1E"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F378DC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240 537,87</w:t>
            </w:r>
          </w:p>
        </w:tc>
        <w:tc>
          <w:tcPr>
            <w:tcW w:w="1467" w:type="dxa"/>
            <w:tcBorders>
              <w:top w:val="single" w:sz="4" w:space="0" w:color="DCE6F1"/>
              <w:left w:val="nil"/>
              <w:bottom w:val="single" w:sz="4" w:space="0" w:color="DCE6F1"/>
              <w:right w:val="nil"/>
            </w:tcBorders>
            <w:shd w:val="clear" w:color="000000" w:fill="F2F2F2"/>
            <w:noWrap/>
            <w:vAlign w:val="bottom"/>
            <w:hideMark/>
          </w:tcPr>
          <w:p w14:paraId="5147B05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405 728,35</w:t>
            </w:r>
          </w:p>
        </w:tc>
        <w:tc>
          <w:tcPr>
            <w:tcW w:w="1345" w:type="dxa"/>
            <w:tcBorders>
              <w:top w:val="single" w:sz="4" w:space="0" w:color="DCE6F1"/>
              <w:left w:val="nil"/>
              <w:bottom w:val="single" w:sz="4" w:space="0" w:color="DCE6F1"/>
              <w:right w:val="nil"/>
            </w:tcBorders>
            <w:shd w:val="clear" w:color="000000" w:fill="F2F2F2"/>
            <w:noWrap/>
            <w:vAlign w:val="bottom"/>
            <w:hideMark/>
          </w:tcPr>
          <w:p w14:paraId="4644BC4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275 491,72</w:t>
            </w:r>
          </w:p>
        </w:tc>
        <w:tc>
          <w:tcPr>
            <w:tcW w:w="1467" w:type="dxa"/>
            <w:tcBorders>
              <w:top w:val="nil"/>
              <w:left w:val="nil"/>
              <w:bottom w:val="single" w:sz="4" w:space="0" w:color="DCE6F1"/>
              <w:right w:val="nil"/>
            </w:tcBorders>
            <w:shd w:val="clear" w:color="000000" w:fill="F2F2F2"/>
            <w:noWrap/>
            <w:vAlign w:val="bottom"/>
            <w:hideMark/>
          </w:tcPr>
          <w:p w14:paraId="55F8560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67,90%</w:t>
            </w:r>
          </w:p>
        </w:tc>
      </w:tr>
      <w:tr w:rsidR="00643D7F" w:rsidRPr="00643D7F" w14:paraId="1A3C8F98"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1E8F9E2D"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xml:space="preserve">COVP </w:t>
            </w:r>
            <w:proofErr w:type="spellStart"/>
            <w:r w:rsidRPr="00643D7F">
              <w:rPr>
                <w:rFonts w:cs="Calibri"/>
                <w:sz w:val="20"/>
                <w:szCs w:val="20"/>
                <w:lang w:eastAsia="sk-SK"/>
              </w:rPr>
              <w:t>Ivánka</w:t>
            </w:r>
            <w:proofErr w:type="spellEnd"/>
            <w:r w:rsidRPr="00643D7F">
              <w:rPr>
                <w:rFonts w:cs="Calibri"/>
                <w:sz w:val="20"/>
                <w:szCs w:val="20"/>
                <w:lang w:eastAsia="sk-SK"/>
              </w:rPr>
              <w:t xml:space="preserve"> pri Dunaji</w:t>
            </w:r>
          </w:p>
        </w:tc>
        <w:tc>
          <w:tcPr>
            <w:tcW w:w="1794" w:type="dxa"/>
            <w:tcBorders>
              <w:top w:val="single" w:sz="4" w:space="0" w:color="DCE6F1"/>
              <w:left w:val="nil"/>
              <w:bottom w:val="single" w:sz="4" w:space="0" w:color="DCE6F1"/>
              <w:right w:val="nil"/>
            </w:tcBorders>
            <w:shd w:val="clear" w:color="95B3D7" w:fill="95B3D7"/>
            <w:noWrap/>
            <w:vAlign w:val="bottom"/>
            <w:hideMark/>
          </w:tcPr>
          <w:p w14:paraId="06B3D7C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1 080 000,00</w:t>
            </w:r>
          </w:p>
        </w:tc>
        <w:tc>
          <w:tcPr>
            <w:tcW w:w="1467" w:type="dxa"/>
            <w:tcBorders>
              <w:top w:val="single" w:sz="4" w:space="0" w:color="DCE6F1"/>
              <w:left w:val="nil"/>
              <w:bottom w:val="single" w:sz="4" w:space="0" w:color="DCE6F1"/>
              <w:right w:val="nil"/>
            </w:tcBorders>
            <w:shd w:val="clear" w:color="95B3D7" w:fill="95B3D7"/>
            <w:noWrap/>
            <w:vAlign w:val="bottom"/>
            <w:hideMark/>
          </w:tcPr>
          <w:p w14:paraId="3C68AB7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766 225,11</w:t>
            </w:r>
          </w:p>
        </w:tc>
        <w:tc>
          <w:tcPr>
            <w:tcW w:w="1345" w:type="dxa"/>
            <w:tcBorders>
              <w:top w:val="single" w:sz="4" w:space="0" w:color="DCE6F1"/>
              <w:left w:val="nil"/>
              <w:bottom w:val="single" w:sz="4" w:space="0" w:color="DCE6F1"/>
              <w:right w:val="nil"/>
            </w:tcBorders>
            <w:shd w:val="clear" w:color="95B3D7" w:fill="95B3D7"/>
            <w:noWrap/>
            <w:vAlign w:val="bottom"/>
            <w:hideMark/>
          </w:tcPr>
          <w:p w14:paraId="16865EA7"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3BE9FA8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1CEDDAA2"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58D8EC87"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14F6E61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1 080 000,00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5EE5BB2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766 225,11</w:t>
            </w:r>
          </w:p>
        </w:tc>
        <w:tc>
          <w:tcPr>
            <w:tcW w:w="1345" w:type="dxa"/>
            <w:tcBorders>
              <w:top w:val="single" w:sz="4" w:space="0" w:color="DCE6F1"/>
              <w:left w:val="nil"/>
              <w:bottom w:val="single" w:sz="4" w:space="0" w:color="DCE6F1"/>
              <w:right w:val="nil"/>
            </w:tcBorders>
            <w:shd w:val="clear" w:color="000000" w:fill="F2F2F2"/>
            <w:noWrap/>
            <w:vAlign w:val="bottom"/>
            <w:hideMark/>
          </w:tcPr>
          <w:p w14:paraId="2E4A7761"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79D2896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2DC47261"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6BE944E7"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xml:space="preserve">COVP </w:t>
            </w:r>
            <w:proofErr w:type="spellStart"/>
            <w:r w:rsidRPr="00643D7F">
              <w:rPr>
                <w:rFonts w:cs="Calibri"/>
                <w:sz w:val="20"/>
                <w:szCs w:val="20"/>
                <w:lang w:eastAsia="sk-SK"/>
              </w:rPr>
              <w:t>Ivánska</w:t>
            </w:r>
            <w:proofErr w:type="spellEnd"/>
            <w:r w:rsidRPr="00643D7F">
              <w:rPr>
                <w:rFonts w:cs="Calibri"/>
                <w:sz w:val="20"/>
                <w:szCs w:val="20"/>
                <w:lang w:eastAsia="sk-SK"/>
              </w:rPr>
              <w:t xml:space="preserve"> cesta</w:t>
            </w:r>
          </w:p>
        </w:tc>
        <w:tc>
          <w:tcPr>
            <w:tcW w:w="1794" w:type="dxa"/>
            <w:tcBorders>
              <w:top w:val="single" w:sz="4" w:space="0" w:color="DCE6F1"/>
              <w:left w:val="nil"/>
              <w:bottom w:val="single" w:sz="4" w:space="0" w:color="DCE6F1"/>
              <w:right w:val="nil"/>
            </w:tcBorders>
            <w:shd w:val="clear" w:color="95B3D7" w:fill="95B3D7"/>
            <w:noWrap/>
            <w:vAlign w:val="bottom"/>
            <w:hideMark/>
          </w:tcPr>
          <w:p w14:paraId="6F0539C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1 776 774,43</w:t>
            </w:r>
          </w:p>
        </w:tc>
        <w:tc>
          <w:tcPr>
            <w:tcW w:w="1467" w:type="dxa"/>
            <w:tcBorders>
              <w:top w:val="single" w:sz="4" w:space="0" w:color="DCE6F1"/>
              <w:left w:val="nil"/>
              <w:bottom w:val="single" w:sz="4" w:space="0" w:color="DCE6F1"/>
              <w:right w:val="nil"/>
            </w:tcBorders>
            <w:shd w:val="clear" w:color="95B3D7" w:fill="95B3D7"/>
            <w:noWrap/>
            <w:vAlign w:val="bottom"/>
            <w:hideMark/>
          </w:tcPr>
          <w:p w14:paraId="36860B1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1 881 036,14</w:t>
            </w:r>
          </w:p>
        </w:tc>
        <w:tc>
          <w:tcPr>
            <w:tcW w:w="1345" w:type="dxa"/>
            <w:tcBorders>
              <w:top w:val="single" w:sz="4" w:space="0" w:color="DCE6F1"/>
              <w:left w:val="nil"/>
              <w:bottom w:val="single" w:sz="4" w:space="0" w:color="DCE6F1"/>
              <w:right w:val="nil"/>
            </w:tcBorders>
            <w:shd w:val="clear" w:color="95B3D7" w:fill="95B3D7"/>
            <w:noWrap/>
            <w:vAlign w:val="bottom"/>
            <w:hideMark/>
          </w:tcPr>
          <w:p w14:paraId="4F653B9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1 328 950,32</w:t>
            </w:r>
          </w:p>
        </w:tc>
        <w:tc>
          <w:tcPr>
            <w:tcW w:w="1467" w:type="dxa"/>
            <w:tcBorders>
              <w:top w:val="nil"/>
              <w:left w:val="nil"/>
              <w:bottom w:val="single" w:sz="4" w:space="0" w:color="DCE6F1"/>
              <w:right w:val="nil"/>
            </w:tcBorders>
            <w:shd w:val="clear" w:color="95B3D7" w:fill="95B3D7"/>
            <w:noWrap/>
            <w:vAlign w:val="bottom"/>
            <w:hideMark/>
          </w:tcPr>
          <w:p w14:paraId="79AAEFF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70,65%</w:t>
            </w:r>
          </w:p>
        </w:tc>
      </w:tr>
      <w:tr w:rsidR="00643D7F" w:rsidRPr="00643D7F" w14:paraId="42784037"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6464CE20"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0A44882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100 000,00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0227200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109 663,72</w:t>
            </w:r>
          </w:p>
        </w:tc>
        <w:tc>
          <w:tcPr>
            <w:tcW w:w="1345" w:type="dxa"/>
            <w:tcBorders>
              <w:top w:val="single" w:sz="4" w:space="0" w:color="DCE6F1"/>
              <w:left w:val="nil"/>
              <w:bottom w:val="single" w:sz="4" w:space="0" w:color="DCE6F1"/>
              <w:right w:val="nil"/>
            </w:tcBorders>
            <w:shd w:val="clear" w:color="000000" w:fill="F2F2F2"/>
            <w:noWrap/>
            <w:vAlign w:val="bottom"/>
            <w:hideMark/>
          </w:tcPr>
          <w:p w14:paraId="32053FD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29 200,46</w:t>
            </w:r>
          </w:p>
        </w:tc>
        <w:tc>
          <w:tcPr>
            <w:tcW w:w="1467" w:type="dxa"/>
            <w:tcBorders>
              <w:top w:val="nil"/>
              <w:left w:val="nil"/>
              <w:bottom w:val="single" w:sz="4" w:space="0" w:color="DCE6F1"/>
              <w:right w:val="nil"/>
            </w:tcBorders>
            <w:shd w:val="clear" w:color="000000" w:fill="F2F2F2"/>
            <w:noWrap/>
            <w:vAlign w:val="bottom"/>
            <w:hideMark/>
          </w:tcPr>
          <w:p w14:paraId="0E6E8F3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26,63%</w:t>
            </w:r>
          </w:p>
        </w:tc>
      </w:tr>
      <w:tr w:rsidR="00643D7F" w:rsidRPr="00643D7F" w14:paraId="6E5C1519"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1A4449A9"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48CA9D6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1 676 774,43</w:t>
            </w:r>
          </w:p>
        </w:tc>
        <w:tc>
          <w:tcPr>
            <w:tcW w:w="1467" w:type="dxa"/>
            <w:tcBorders>
              <w:top w:val="single" w:sz="4" w:space="0" w:color="DCE6F1"/>
              <w:left w:val="nil"/>
              <w:bottom w:val="single" w:sz="4" w:space="0" w:color="DCE6F1"/>
              <w:right w:val="nil"/>
            </w:tcBorders>
            <w:shd w:val="clear" w:color="000000" w:fill="F2F2F2"/>
            <w:noWrap/>
            <w:vAlign w:val="bottom"/>
            <w:hideMark/>
          </w:tcPr>
          <w:p w14:paraId="20055D6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1 771 372,42</w:t>
            </w:r>
          </w:p>
        </w:tc>
        <w:tc>
          <w:tcPr>
            <w:tcW w:w="1345" w:type="dxa"/>
            <w:tcBorders>
              <w:top w:val="single" w:sz="4" w:space="0" w:color="DCE6F1"/>
              <w:left w:val="nil"/>
              <w:bottom w:val="single" w:sz="4" w:space="0" w:color="DCE6F1"/>
              <w:right w:val="nil"/>
            </w:tcBorders>
            <w:shd w:val="clear" w:color="000000" w:fill="F2F2F2"/>
            <w:noWrap/>
            <w:vAlign w:val="bottom"/>
            <w:hideMark/>
          </w:tcPr>
          <w:p w14:paraId="08DDCC62"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1 299 749,86</w:t>
            </w:r>
          </w:p>
        </w:tc>
        <w:tc>
          <w:tcPr>
            <w:tcW w:w="1467" w:type="dxa"/>
            <w:tcBorders>
              <w:top w:val="nil"/>
              <w:left w:val="nil"/>
              <w:bottom w:val="single" w:sz="4" w:space="0" w:color="DCE6F1"/>
              <w:right w:val="nil"/>
            </w:tcBorders>
            <w:shd w:val="clear" w:color="000000" w:fill="F2F2F2"/>
            <w:noWrap/>
            <w:vAlign w:val="bottom"/>
            <w:hideMark/>
          </w:tcPr>
          <w:p w14:paraId="3FF67E6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73,38%</w:t>
            </w:r>
          </w:p>
        </w:tc>
      </w:tr>
      <w:tr w:rsidR="00643D7F" w:rsidRPr="00643D7F" w14:paraId="44D2B1BE"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5DA25E8F"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COVP Polygrafická</w:t>
            </w:r>
          </w:p>
        </w:tc>
        <w:tc>
          <w:tcPr>
            <w:tcW w:w="1794" w:type="dxa"/>
            <w:tcBorders>
              <w:top w:val="single" w:sz="4" w:space="0" w:color="DCE6F1"/>
              <w:left w:val="nil"/>
              <w:bottom w:val="single" w:sz="4" w:space="0" w:color="DCE6F1"/>
              <w:right w:val="nil"/>
            </w:tcBorders>
            <w:shd w:val="clear" w:color="95B3D7" w:fill="95B3D7"/>
            <w:noWrap/>
            <w:vAlign w:val="bottom"/>
            <w:hideMark/>
          </w:tcPr>
          <w:p w14:paraId="3912852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1 350 000,00</w:t>
            </w:r>
          </w:p>
        </w:tc>
        <w:tc>
          <w:tcPr>
            <w:tcW w:w="1467" w:type="dxa"/>
            <w:tcBorders>
              <w:top w:val="single" w:sz="4" w:space="0" w:color="DCE6F1"/>
              <w:left w:val="nil"/>
              <w:bottom w:val="single" w:sz="4" w:space="0" w:color="DCE6F1"/>
              <w:right w:val="nil"/>
            </w:tcBorders>
            <w:shd w:val="clear" w:color="95B3D7" w:fill="95B3D7"/>
            <w:noWrap/>
            <w:vAlign w:val="bottom"/>
            <w:hideMark/>
          </w:tcPr>
          <w:p w14:paraId="168B87B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1 282 500,00</w:t>
            </w:r>
          </w:p>
        </w:tc>
        <w:tc>
          <w:tcPr>
            <w:tcW w:w="1345" w:type="dxa"/>
            <w:tcBorders>
              <w:top w:val="single" w:sz="4" w:space="0" w:color="DCE6F1"/>
              <w:left w:val="nil"/>
              <w:bottom w:val="single" w:sz="4" w:space="0" w:color="DCE6F1"/>
              <w:right w:val="nil"/>
            </w:tcBorders>
            <w:shd w:val="clear" w:color="95B3D7" w:fill="95B3D7"/>
            <w:noWrap/>
            <w:vAlign w:val="bottom"/>
            <w:hideMark/>
          </w:tcPr>
          <w:p w14:paraId="01E1F05E"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53CEEFC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33237754"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10CD99F5"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A97F4F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1 350 000,00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729E757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1 282 500,00</w:t>
            </w:r>
          </w:p>
        </w:tc>
        <w:tc>
          <w:tcPr>
            <w:tcW w:w="1345" w:type="dxa"/>
            <w:tcBorders>
              <w:top w:val="single" w:sz="4" w:space="0" w:color="DCE6F1"/>
              <w:left w:val="nil"/>
              <w:bottom w:val="single" w:sz="4" w:space="0" w:color="DCE6F1"/>
              <w:right w:val="nil"/>
            </w:tcBorders>
            <w:shd w:val="clear" w:color="000000" w:fill="F2F2F2"/>
            <w:noWrap/>
            <w:vAlign w:val="bottom"/>
            <w:hideMark/>
          </w:tcPr>
          <w:p w14:paraId="440D0AC1"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436274B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2C1E357F"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72A5A0DD"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xml:space="preserve">Projekt VYSOMARCH - </w:t>
            </w:r>
            <w:proofErr w:type="spellStart"/>
            <w:r w:rsidRPr="00643D7F">
              <w:rPr>
                <w:rFonts w:cs="Calibri"/>
                <w:sz w:val="20"/>
                <w:szCs w:val="20"/>
                <w:lang w:eastAsia="sk-SK"/>
              </w:rPr>
              <w:t>cyklolávka</w:t>
            </w:r>
            <w:proofErr w:type="spellEnd"/>
          </w:p>
        </w:tc>
        <w:tc>
          <w:tcPr>
            <w:tcW w:w="1794" w:type="dxa"/>
            <w:tcBorders>
              <w:top w:val="single" w:sz="4" w:space="0" w:color="DCE6F1"/>
              <w:left w:val="nil"/>
              <w:bottom w:val="single" w:sz="4" w:space="0" w:color="DCE6F1"/>
              <w:right w:val="nil"/>
            </w:tcBorders>
            <w:shd w:val="clear" w:color="95B3D7" w:fill="95B3D7"/>
            <w:noWrap/>
            <w:vAlign w:val="bottom"/>
            <w:hideMark/>
          </w:tcPr>
          <w:p w14:paraId="571925D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744 110,91</w:t>
            </w:r>
          </w:p>
        </w:tc>
        <w:tc>
          <w:tcPr>
            <w:tcW w:w="1467" w:type="dxa"/>
            <w:tcBorders>
              <w:top w:val="single" w:sz="4" w:space="0" w:color="DCE6F1"/>
              <w:left w:val="nil"/>
              <w:bottom w:val="single" w:sz="4" w:space="0" w:color="DCE6F1"/>
              <w:right w:val="nil"/>
            </w:tcBorders>
            <w:shd w:val="clear" w:color="95B3D7" w:fill="95B3D7"/>
            <w:noWrap/>
            <w:vAlign w:val="bottom"/>
            <w:hideMark/>
          </w:tcPr>
          <w:p w14:paraId="7ACD5DC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89 147,00</w:t>
            </w:r>
          </w:p>
        </w:tc>
        <w:tc>
          <w:tcPr>
            <w:tcW w:w="1345" w:type="dxa"/>
            <w:tcBorders>
              <w:top w:val="single" w:sz="4" w:space="0" w:color="DCE6F1"/>
              <w:left w:val="nil"/>
              <w:bottom w:val="single" w:sz="4" w:space="0" w:color="DCE6F1"/>
              <w:right w:val="nil"/>
            </w:tcBorders>
            <w:shd w:val="clear" w:color="95B3D7" w:fill="95B3D7"/>
            <w:noWrap/>
            <w:vAlign w:val="bottom"/>
            <w:hideMark/>
          </w:tcPr>
          <w:p w14:paraId="33938FB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51 348,84</w:t>
            </w:r>
          </w:p>
        </w:tc>
        <w:tc>
          <w:tcPr>
            <w:tcW w:w="1467" w:type="dxa"/>
            <w:tcBorders>
              <w:top w:val="nil"/>
              <w:left w:val="nil"/>
              <w:bottom w:val="single" w:sz="4" w:space="0" w:color="DCE6F1"/>
              <w:right w:val="nil"/>
            </w:tcBorders>
            <w:shd w:val="clear" w:color="95B3D7" w:fill="95B3D7"/>
            <w:noWrap/>
            <w:vAlign w:val="bottom"/>
            <w:hideMark/>
          </w:tcPr>
          <w:p w14:paraId="3EFDDD4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57,60%</w:t>
            </w:r>
          </w:p>
        </w:tc>
      </w:tr>
      <w:tr w:rsidR="00643D7F" w:rsidRPr="00643D7F" w14:paraId="7E6022E1"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1DF72108"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2CBAE5D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6 250,00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1910D402"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6 250,00</w:t>
            </w:r>
          </w:p>
        </w:tc>
        <w:tc>
          <w:tcPr>
            <w:tcW w:w="1345" w:type="dxa"/>
            <w:tcBorders>
              <w:top w:val="single" w:sz="4" w:space="0" w:color="DCE6F1"/>
              <w:left w:val="nil"/>
              <w:bottom w:val="single" w:sz="4" w:space="0" w:color="DCE6F1"/>
              <w:right w:val="nil"/>
            </w:tcBorders>
            <w:shd w:val="clear" w:color="000000" w:fill="F2F2F2"/>
            <w:noWrap/>
            <w:vAlign w:val="bottom"/>
            <w:hideMark/>
          </w:tcPr>
          <w:p w14:paraId="35A21536"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2614933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1C1CB863"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49270EA5"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7A69A1F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737 860,91</w:t>
            </w:r>
          </w:p>
        </w:tc>
        <w:tc>
          <w:tcPr>
            <w:tcW w:w="1467" w:type="dxa"/>
            <w:tcBorders>
              <w:top w:val="single" w:sz="4" w:space="0" w:color="DCE6F1"/>
              <w:left w:val="nil"/>
              <w:bottom w:val="single" w:sz="4" w:space="0" w:color="DCE6F1"/>
              <w:right w:val="nil"/>
            </w:tcBorders>
            <w:shd w:val="clear" w:color="000000" w:fill="F2F2F2"/>
            <w:noWrap/>
            <w:vAlign w:val="bottom"/>
            <w:hideMark/>
          </w:tcPr>
          <w:p w14:paraId="41783CC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82 897,00</w:t>
            </w:r>
          </w:p>
        </w:tc>
        <w:tc>
          <w:tcPr>
            <w:tcW w:w="1345" w:type="dxa"/>
            <w:tcBorders>
              <w:top w:val="single" w:sz="4" w:space="0" w:color="DCE6F1"/>
              <w:left w:val="nil"/>
              <w:bottom w:val="single" w:sz="4" w:space="0" w:color="DCE6F1"/>
              <w:right w:val="nil"/>
            </w:tcBorders>
            <w:shd w:val="clear" w:color="000000" w:fill="F2F2F2"/>
            <w:noWrap/>
            <w:vAlign w:val="bottom"/>
            <w:hideMark/>
          </w:tcPr>
          <w:p w14:paraId="3CC07E6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51 348,84</w:t>
            </w:r>
          </w:p>
        </w:tc>
        <w:tc>
          <w:tcPr>
            <w:tcW w:w="1467" w:type="dxa"/>
            <w:tcBorders>
              <w:top w:val="nil"/>
              <w:left w:val="nil"/>
              <w:bottom w:val="single" w:sz="4" w:space="0" w:color="DCE6F1"/>
              <w:right w:val="nil"/>
            </w:tcBorders>
            <w:shd w:val="clear" w:color="000000" w:fill="F2F2F2"/>
            <w:noWrap/>
            <w:vAlign w:val="bottom"/>
            <w:hideMark/>
          </w:tcPr>
          <w:p w14:paraId="3FBEF72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61,94%</w:t>
            </w:r>
          </w:p>
        </w:tc>
      </w:tr>
      <w:tr w:rsidR="00643D7F" w:rsidRPr="00643D7F" w14:paraId="68C348B1"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14DA754D"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xml:space="preserve">Danube bike &amp; </w:t>
            </w:r>
            <w:proofErr w:type="spellStart"/>
            <w:r w:rsidRPr="00643D7F">
              <w:rPr>
                <w:rFonts w:cs="Calibri"/>
                <w:sz w:val="20"/>
                <w:szCs w:val="20"/>
                <w:lang w:eastAsia="sk-SK"/>
              </w:rPr>
              <w:t>boat</w:t>
            </w:r>
            <w:proofErr w:type="spellEnd"/>
          </w:p>
        </w:tc>
        <w:tc>
          <w:tcPr>
            <w:tcW w:w="1794" w:type="dxa"/>
            <w:tcBorders>
              <w:top w:val="single" w:sz="4" w:space="0" w:color="DCE6F1"/>
              <w:left w:val="nil"/>
              <w:bottom w:val="single" w:sz="4" w:space="0" w:color="DCE6F1"/>
              <w:right w:val="nil"/>
            </w:tcBorders>
            <w:shd w:val="clear" w:color="95B3D7" w:fill="95B3D7"/>
            <w:noWrap/>
            <w:vAlign w:val="bottom"/>
            <w:hideMark/>
          </w:tcPr>
          <w:p w14:paraId="1BD2BB7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1 703 318,21</w:t>
            </w:r>
          </w:p>
        </w:tc>
        <w:tc>
          <w:tcPr>
            <w:tcW w:w="1467" w:type="dxa"/>
            <w:tcBorders>
              <w:top w:val="single" w:sz="4" w:space="0" w:color="DCE6F1"/>
              <w:left w:val="nil"/>
              <w:bottom w:val="single" w:sz="4" w:space="0" w:color="DCE6F1"/>
              <w:right w:val="nil"/>
            </w:tcBorders>
            <w:shd w:val="clear" w:color="95B3D7" w:fill="95B3D7"/>
            <w:noWrap/>
            <w:vAlign w:val="bottom"/>
            <w:hideMark/>
          </w:tcPr>
          <w:p w14:paraId="7E6E189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1 744 661,63</w:t>
            </w:r>
          </w:p>
        </w:tc>
        <w:tc>
          <w:tcPr>
            <w:tcW w:w="1345" w:type="dxa"/>
            <w:tcBorders>
              <w:top w:val="single" w:sz="4" w:space="0" w:color="DCE6F1"/>
              <w:left w:val="nil"/>
              <w:bottom w:val="single" w:sz="4" w:space="0" w:color="DCE6F1"/>
              <w:right w:val="nil"/>
            </w:tcBorders>
            <w:shd w:val="clear" w:color="95B3D7" w:fill="95B3D7"/>
            <w:noWrap/>
            <w:vAlign w:val="bottom"/>
            <w:hideMark/>
          </w:tcPr>
          <w:p w14:paraId="60B3708A"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1 459 120,03</w:t>
            </w:r>
          </w:p>
        </w:tc>
        <w:tc>
          <w:tcPr>
            <w:tcW w:w="1467" w:type="dxa"/>
            <w:tcBorders>
              <w:top w:val="nil"/>
              <w:left w:val="nil"/>
              <w:bottom w:val="single" w:sz="4" w:space="0" w:color="DCE6F1"/>
              <w:right w:val="nil"/>
            </w:tcBorders>
            <w:shd w:val="clear" w:color="95B3D7" w:fill="95B3D7"/>
            <w:noWrap/>
            <w:vAlign w:val="bottom"/>
            <w:hideMark/>
          </w:tcPr>
          <w:p w14:paraId="5EF143C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83,63%</w:t>
            </w:r>
          </w:p>
        </w:tc>
      </w:tr>
      <w:tr w:rsidR="00643D7F" w:rsidRPr="00643D7F" w14:paraId="3372BF93"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26C8AF1B"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7BF25B7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491 905,96</w:t>
            </w:r>
          </w:p>
        </w:tc>
        <w:tc>
          <w:tcPr>
            <w:tcW w:w="1467" w:type="dxa"/>
            <w:tcBorders>
              <w:top w:val="single" w:sz="4" w:space="0" w:color="DCE6F1"/>
              <w:left w:val="nil"/>
              <w:bottom w:val="single" w:sz="4" w:space="0" w:color="DCE6F1"/>
              <w:right w:val="nil"/>
            </w:tcBorders>
            <w:shd w:val="clear" w:color="000000" w:fill="F2F2F2"/>
            <w:noWrap/>
            <w:vAlign w:val="bottom"/>
            <w:hideMark/>
          </w:tcPr>
          <w:p w14:paraId="1BAD1C4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504 279,21</w:t>
            </w:r>
          </w:p>
        </w:tc>
        <w:tc>
          <w:tcPr>
            <w:tcW w:w="1345" w:type="dxa"/>
            <w:tcBorders>
              <w:top w:val="single" w:sz="4" w:space="0" w:color="DCE6F1"/>
              <w:left w:val="nil"/>
              <w:bottom w:val="single" w:sz="4" w:space="0" w:color="DCE6F1"/>
              <w:right w:val="nil"/>
            </w:tcBorders>
            <w:shd w:val="clear" w:color="000000" w:fill="F2F2F2"/>
            <w:noWrap/>
            <w:vAlign w:val="bottom"/>
            <w:hideMark/>
          </w:tcPr>
          <w:p w14:paraId="5B22EDD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264 796,71</w:t>
            </w:r>
          </w:p>
        </w:tc>
        <w:tc>
          <w:tcPr>
            <w:tcW w:w="1467" w:type="dxa"/>
            <w:tcBorders>
              <w:top w:val="nil"/>
              <w:left w:val="nil"/>
              <w:bottom w:val="single" w:sz="4" w:space="0" w:color="DCE6F1"/>
              <w:right w:val="nil"/>
            </w:tcBorders>
            <w:shd w:val="clear" w:color="000000" w:fill="F2F2F2"/>
            <w:noWrap/>
            <w:vAlign w:val="bottom"/>
            <w:hideMark/>
          </w:tcPr>
          <w:p w14:paraId="660A47D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52,51%</w:t>
            </w:r>
          </w:p>
        </w:tc>
      </w:tr>
      <w:tr w:rsidR="00643D7F" w:rsidRPr="00643D7F" w14:paraId="2F85DF47"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542C3448"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EDE8BB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1 211 412,25</w:t>
            </w:r>
          </w:p>
        </w:tc>
        <w:tc>
          <w:tcPr>
            <w:tcW w:w="1467" w:type="dxa"/>
            <w:tcBorders>
              <w:top w:val="single" w:sz="4" w:space="0" w:color="DCE6F1"/>
              <w:left w:val="nil"/>
              <w:bottom w:val="single" w:sz="4" w:space="0" w:color="DCE6F1"/>
              <w:right w:val="nil"/>
            </w:tcBorders>
            <w:shd w:val="clear" w:color="000000" w:fill="F2F2F2"/>
            <w:noWrap/>
            <w:vAlign w:val="bottom"/>
            <w:hideMark/>
          </w:tcPr>
          <w:p w14:paraId="7AA3CCD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1 240 382,42</w:t>
            </w:r>
          </w:p>
        </w:tc>
        <w:tc>
          <w:tcPr>
            <w:tcW w:w="1345" w:type="dxa"/>
            <w:tcBorders>
              <w:top w:val="single" w:sz="4" w:space="0" w:color="DCE6F1"/>
              <w:left w:val="nil"/>
              <w:bottom w:val="single" w:sz="4" w:space="0" w:color="DCE6F1"/>
              <w:right w:val="nil"/>
            </w:tcBorders>
            <w:shd w:val="clear" w:color="000000" w:fill="F2F2F2"/>
            <w:noWrap/>
            <w:vAlign w:val="bottom"/>
            <w:hideMark/>
          </w:tcPr>
          <w:p w14:paraId="78F6459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1 194 323,32</w:t>
            </w:r>
          </w:p>
        </w:tc>
        <w:tc>
          <w:tcPr>
            <w:tcW w:w="1467" w:type="dxa"/>
            <w:tcBorders>
              <w:top w:val="nil"/>
              <w:left w:val="nil"/>
              <w:bottom w:val="single" w:sz="4" w:space="0" w:color="DCE6F1"/>
              <w:right w:val="nil"/>
            </w:tcBorders>
            <w:shd w:val="clear" w:color="000000" w:fill="F2F2F2"/>
            <w:noWrap/>
            <w:vAlign w:val="bottom"/>
            <w:hideMark/>
          </w:tcPr>
          <w:p w14:paraId="1AD9C5C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96,29%</w:t>
            </w:r>
          </w:p>
        </w:tc>
      </w:tr>
      <w:tr w:rsidR="00643D7F" w:rsidRPr="00643D7F" w14:paraId="5376ED1C"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20C7DF28"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Deinštitucionalizácia</w:t>
            </w:r>
            <w:proofErr w:type="spellEnd"/>
            <w:r w:rsidRPr="00643D7F">
              <w:rPr>
                <w:rFonts w:cs="Calibri"/>
                <w:sz w:val="20"/>
                <w:szCs w:val="20"/>
                <w:lang w:eastAsia="sk-SK"/>
              </w:rPr>
              <w:t xml:space="preserve"> DSS a ZPB </w:t>
            </w:r>
            <w:proofErr w:type="spellStart"/>
            <w:r w:rsidRPr="00643D7F">
              <w:rPr>
                <w:rFonts w:cs="Calibri"/>
                <w:sz w:val="20"/>
                <w:szCs w:val="20"/>
                <w:lang w:eastAsia="sk-SK"/>
              </w:rPr>
              <w:t>Merema</w:t>
            </w:r>
            <w:proofErr w:type="spellEnd"/>
            <w:r w:rsidRPr="00643D7F">
              <w:rPr>
                <w:rFonts w:cs="Calibri"/>
                <w:sz w:val="20"/>
                <w:szCs w:val="20"/>
                <w:lang w:eastAsia="sk-SK"/>
              </w:rPr>
              <w:t>-Pezinok</w:t>
            </w:r>
          </w:p>
        </w:tc>
        <w:tc>
          <w:tcPr>
            <w:tcW w:w="1794" w:type="dxa"/>
            <w:tcBorders>
              <w:top w:val="single" w:sz="4" w:space="0" w:color="DCE6F1"/>
              <w:left w:val="nil"/>
              <w:bottom w:val="single" w:sz="4" w:space="0" w:color="DCE6F1"/>
              <w:right w:val="nil"/>
            </w:tcBorders>
            <w:shd w:val="clear" w:color="95B3D7" w:fill="95B3D7"/>
            <w:noWrap/>
            <w:vAlign w:val="bottom"/>
            <w:hideMark/>
          </w:tcPr>
          <w:p w14:paraId="2EC8D33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895 200,31</w:t>
            </w:r>
          </w:p>
        </w:tc>
        <w:tc>
          <w:tcPr>
            <w:tcW w:w="1467" w:type="dxa"/>
            <w:tcBorders>
              <w:top w:val="single" w:sz="4" w:space="0" w:color="DCE6F1"/>
              <w:left w:val="nil"/>
              <w:bottom w:val="single" w:sz="4" w:space="0" w:color="DCE6F1"/>
              <w:right w:val="nil"/>
            </w:tcBorders>
            <w:shd w:val="clear" w:color="95B3D7" w:fill="95B3D7"/>
            <w:noWrap/>
            <w:vAlign w:val="bottom"/>
            <w:hideMark/>
          </w:tcPr>
          <w:p w14:paraId="695B4B4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850 440,29</w:t>
            </w:r>
          </w:p>
        </w:tc>
        <w:tc>
          <w:tcPr>
            <w:tcW w:w="1345" w:type="dxa"/>
            <w:tcBorders>
              <w:top w:val="single" w:sz="4" w:space="0" w:color="DCE6F1"/>
              <w:left w:val="nil"/>
              <w:bottom w:val="single" w:sz="4" w:space="0" w:color="DCE6F1"/>
              <w:right w:val="nil"/>
            </w:tcBorders>
            <w:shd w:val="clear" w:color="95B3D7" w:fill="95B3D7"/>
            <w:noWrap/>
            <w:vAlign w:val="bottom"/>
            <w:hideMark/>
          </w:tcPr>
          <w:p w14:paraId="6E63D761"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074A965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11803BFD"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3FDB726C"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60C1744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895 200,31</w:t>
            </w:r>
          </w:p>
        </w:tc>
        <w:tc>
          <w:tcPr>
            <w:tcW w:w="1467" w:type="dxa"/>
            <w:tcBorders>
              <w:top w:val="single" w:sz="4" w:space="0" w:color="DCE6F1"/>
              <w:left w:val="nil"/>
              <w:bottom w:val="single" w:sz="4" w:space="0" w:color="DCE6F1"/>
              <w:right w:val="nil"/>
            </w:tcBorders>
            <w:shd w:val="clear" w:color="000000" w:fill="F2F2F2"/>
            <w:noWrap/>
            <w:vAlign w:val="bottom"/>
            <w:hideMark/>
          </w:tcPr>
          <w:p w14:paraId="78966F8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850 440,29</w:t>
            </w:r>
          </w:p>
        </w:tc>
        <w:tc>
          <w:tcPr>
            <w:tcW w:w="1345" w:type="dxa"/>
            <w:tcBorders>
              <w:top w:val="single" w:sz="4" w:space="0" w:color="DCE6F1"/>
              <w:left w:val="nil"/>
              <w:bottom w:val="single" w:sz="4" w:space="0" w:color="DCE6F1"/>
              <w:right w:val="nil"/>
            </w:tcBorders>
            <w:shd w:val="clear" w:color="000000" w:fill="F2F2F2"/>
            <w:noWrap/>
            <w:vAlign w:val="bottom"/>
            <w:hideMark/>
          </w:tcPr>
          <w:p w14:paraId="3E408C0B"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4D49564A"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47A2CDF2"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7F8A09FC"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Deinštitucionalizácia</w:t>
            </w:r>
            <w:proofErr w:type="spellEnd"/>
            <w:r w:rsidRPr="00643D7F">
              <w:rPr>
                <w:rFonts w:cs="Calibri"/>
                <w:sz w:val="20"/>
                <w:szCs w:val="20"/>
                <w:lang w:eastAsia="sk-SK"/>
              </w:rPr>
              <w:t xml:space="preserve"> DSS a ZPS Rača - Račianska</w:t>
            </w:r>
          </w:p>
        </w:tc>
        <w:tc>
          <w:tcPr>
            <w:tcW w:w="1794" w:type="dxa"/>
            <w:tcBorders>
              <w:top w:val="single" w:sz="4" w:space="0" w:color="DCE6F1"/>
              <w:left w:val="nil"/>
              <w:bottom w:val="single" w:sz="4" w:space="0" w:color="DCE6F1"/>
              <w:right w:val="nil"/>
            </w:tcBorders>
            <w:shd w:val="clear" w:color="95B3D7" w:fill="95B3D7"/>
            <w:noWrap/>
            <w:vAlign w:val="bottom"/>
            <w:hideMark/>
          </w:tcPr>
          <w:p w14:paraId="6DAE07C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614 496,60</w:t>
            </w:r>
          </w:p>
        </w:tc>
        <w:tc>
          <w:tcPr>
            <w:tcW w:w="1467" w:type="dxa"/>
            <w:tcBorders>
              <w:top w:val="single" w:sz="4" w:space="0" w:color="DCE6F1"/>
              <w:left w:val="nil"/>
              <w:bottom w:val="single" w:sz="4" w:space="0" w:color="DCE6F1"/>
              <w:right w:val="nil"/>
            </w:tcBorders>
            <w:shd w:val="clear" w:color="95B3D7" w:fill="95B3D7"/>
            <w:noWrap/>
            <w:vAlign w:val="bottom"/>
            <w:hideMark/>
          </w:tcPr>
          <w:p w14:paraId="486D214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586 265,85</w:t>
            </w:r>
          </w:p>
        </w:tc>
        <w:tc>
          <w:tcPr>
            <w:tcW w:w="1345" w:type="dxa"/>
            <w:tcBorders>
              <w:top w:val="single" w:sz="4" w:space="0" w:color="DCE6F1"/>
              <w:left w:val="nil"/>
              <w:bottom w:val="single" w:sz="4" w:space="0" w:color="DCE6F1"/>
              <w:right w:val="nil"/>
            </w:tcBorders>
            <w:shd w:val="clear" w:color="95B3D7" w:fill="95B3D7"/>
            <w:noWrap/>
            <w:vAlign w:val="bottom"/>
            <w:hideMark/>
          </w:tcPr>
          <w:p w14:paraId="1DA18AD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49 881,58</w:t>
            </w:r>
          </w:p>
        </w:tc>
        <w:tc>
          <w:tcPr>
            <w:tcW w:w="1467" w:type="dxa"/>
            <w:tcBorders>
              <w:top w:val="nil"/>
              <w:left w:val="nil"/>
              <w:bottom w:val="single" w:sz="4" w:space="0" w:color="DCE6F1"/>
              <w:right w:val="nil"/>
            </w:tcBorders>
            <w:shd w:val="clear" w:color="95B3D7" w:fill="95B3D7"/>
            <w:noWrap/>
            <w:vAlign w:val="bottom"/>
            <w:hideMark/>
          </w:tcPr>
          <w:p w14:paraId="5959085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8,51%</w:t>
            </w:r>
          </w:p>
        </w:tc>
      </w:tr>
      <w:tr w:rsidR="00643D7F" w:rsidRPr="00643D7F" w14:paraId="504F20CE"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343E748A"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5B09A97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614 496,60</w:t>
            </w:r>
          </w:p>
        </w:tc>
        <w:tc>
          <w:tcPr>
            <w:tcW w:w="1467" w:type="dxa"/>
            <w:tcBorders>
              <w:top w:val="single" w:sz="4" w:space="0" w:color="DCE6F1"/>
              <w:left w:val="nil"/>
              <w:bottom w:val="single" w:sz="4" w:space="0" w:color="DCE6F1"/>
              <w:right w:val="nil"/>
            </w:tcBorders>
            <w:shd w:val="clear" w:color="000000" w:fill="F2F2F2"/>
            <w:noWrap/>
            <w:vAlign w:val="bottom"/>
            <w:hideMark/>
          </w:tcPr>
          <w:p w14:paraId="1CB8656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586 265,85</w:t>
            </w:r>
          </w:p>
        </w:tc>
        <w:tc>
          <w:tcPr>
            <w:tcW w:w="1345" w:type="dxa"/>
            <w:tcBorders>
              <w:top w:val="single" w:sz="4" w:space="0" w:color="DCE6F1"/>
              <w:left w:val="nil"/>
              <w:bottom w:val="single" w:sz="4" w:space="0" w:color="DCE6F1"/>
              <w:right w:val="nil"/>
            </w:tcBorders>
            <w:shd w:val="clear" w:color="000000" w:fill="F2F2F2"/>
            <w:noWrap/>
            <w:vAlign w:val="bottom"/>
            <w:hideMark/>
          </w:tcPr>
          <w:p w14:paraId="6916C1F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49 881,58</w:t>
            </w:r>
          </w:p>
        </w:tc>
        <w:tc>
          <w:tcPr>
            <w:tcW w:w="1467" w:type="dxa"/>
            <w:tcBorders>
              <w:top w:val="nil"/>
              <w:left w:val="nil"/>
              <w:bottom w:val="single" w:sz="4" w:space="0" w:color="DCE6F1"/>
              <w:right w:val="nil"/>
            </w:tcBorders>
            <w:shd w:val="clear" w:color="000000" w:fill="F2F2F2"/>
            <w:noWrap/>
            <w:vAlign w:val="bottom"/>
            <w:hideMark/>
          </w:tcPr>
          <w:p w14:paraId="291CC8C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8,51%</w:t>
            </w:r>
          </w:p>
        </w:tc>
      </w:tr>
      <w:tr w:rsidR="00643D7F" w:rsidRPr="00643D7F" w14:paraId="6F177580"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06AA669E"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Deinštitucionalizácia</w:t>
            </w:r>
            <w:proofErr w:type="spellEnd"/>
            <w:r w:rsidRPr="00643D7F">
              <w:rPr>
                <w:rFonts w:cs="Calibri"/>
                <w:sz w:val="20"/>
                <w:szCs w:val="20"/>
                <w:lang w:eastAsia="sk-SK"/>
              </w:rPr>
              <w:t xml:space="preserve"> DSS a ZPS Rača - </w:t>
            </w:r>
            <w:proofErr w:type="spellStart"/>
            <w:r w:rsidRPr="00643D7F">
              <w:rPr>
                <w:rFonts w:cs="Calibri"/>
                <w:sz w:val="20"/>
                <w:szCs w:val="20"/>
                <w:lang w:eastAsia="sk-SK"/>
              </w:rPr>
              <w:t>Strelkova</w:t>
            </w:r>
            <w:proofErr w:type="spellEnd"/>
          </w:p>
        </w:tc>
        <w:tc>
          <w:tcPr>
            <w:tcW w:w="1794" w:type="dxa"/>
            <w:tcBorders>
              <w:top w:val="single" w:sz="4" w:space="0" w:color="DCE6F1"/>
              <w:left w:val="nil"/>
              <w:bottom w:val="single" w:sz="4" w:space="0" w:color="DCE6F1"/>
              <w:right w:val="nil"/>
            </w:tcBorders>
            <w:shd w:val="clear" w:color="95B3D7" w:fill="95B3D7"/>
            <w:noWrap/>
            <w:vAlign w:val="bottom"/>
            <w:hideMark/>
          </w:tcPr>
          <w:p w14:paraId="522F5E7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1 168 764,33</w:t>
            </w:r>
          </w:p>
        </w:tc>
        <w:tc>
          <w:tcPr>
            <w:tcW w:w="1467" w:type="dxa"/>
            <w:tcBorders>
              <w:top w:val="single" w:sz="4" w:space="0" w:color="DCE6F1"/>
              <w:left w:val="nil"/>
              <w:bottom w:val="single" w:sz="4" w:space="0" w:color="DCE6F1"/>
              <w:right w:val="nil"/>
            </w:tcBorders>
            <w:shd w:val="clear" w:color="95B3D7" w:fill="95B3D7"/>
            <w:noWrap/>
            <w:vAlign w:val="bottom"/>
            <w:hideMark/>
          </w:tcPr>
          <w:p w14:paraId="7E47D55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885 627,37</w:t>
            </w:r>
          </w:p>
        </w:tc>
        <w:tc>
          <w:tcPr>
            <w:tcW w:w="1345" w:type="dxa"/>
            <w:tcBorders>
              <w:top w:val="single" w:sz="4" w:space="0" w:color="DCE6F1"/>
              <w:left w:val="nil"/>
              <w:bottom w:val="single" w:sz="4" w:space="0" w:color="DCE6F1"/>
              <w:right w:val="nil"/>
            </w:tcBorders>
            <w:shd w:val="clear" w:color="95B3D7" w:fill="95B3D7"/>
            <w:noWrap/>
            <w:vAlign w:val="bottom"/>
            <w:hideMark/>
          </w:tcPr>
          <w:p w14:paraId="24D164B2"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41 251,09</w:t>
            </w:r>
          </w:p>
        </w:tc>
        <w:tc>
          <w:tcPr>
            <w:tcW w:w="1467" w:type="dxa"/>
            <w:tcBorders>
              <w:top w:val="nil"/>
              <w:left w:val="nil"/>
              <w:bottom w:val="single" w:sz="4" w:space="0" w:color="DCE6F1"/>
              <w:right w:val="nil"/>
            </w:tcBorders>
            <w:shd w:val="clear" w:color="95B3D7" w:fill="95B3D7"/>
            <w:noWrap/>
            <w:vAlign w:val="bottom"/>
            <w:hideMark/>
          </w:tcPr>
          <w:p w14:paraId="1010C9B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4,66%</w:t>
            </w:r>
          </w:p>
        </w:tc>
      </w:tr>
      <w:tr w:rsidR="00643D7F" w:rsidRPr="00643D7F" w14:paraId="65453F28"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549AEF0F"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56D1FFF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1 168 764,33</w:t>
            </w:r>
          </w:p>
        </w:tc>
        <w:tc>
          <w:tcPr>
            <w:tcW w:w="1467" w:type="dxa"/>
            <w:tcBorders>
              <w:top w:val="single" w:sz="4" w:space="0" w:color="DCE6F1"/>
              <w:left w:val="nil"/>
              <w:bottom w:val="single" w:sz="4" w:space="0" w:color="DCE6F1"/>
              <w:right w:val="nil"/>
            </w:tcBorders>
            <w:shd w:val="clear" w:color="000000" w:fill="F2F2F2"/>
            <w:noWrap/>
            <w:vAlign w:val="bottom"/>
            <w:hideMark/>
          </w:tcPr>
          <w:p w14:paraId="5156A28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885 627,37</w:t>
            </w:r>
          </w:p>
        </w:tc>
        <w:tc>
          <w:tcPr>
            <w:tcW w:w="1345" w:type="dxa"/>
            <w:tcBorders>
              <w:top w:val="single" w:sz="4" w:space="0" w:color="DCE6F1"/>
              <w:left w:val="nil"/>
              <w:bottom w:val="single" w:sz="4" w:space="0" w:color="DCE6F1"/>
              <w:right w:val="nil"/>
            </w:tcBorders>
            <w:shd w:val="clear" w:color="000000" w:fill="F2F2F2"/>
            <w:noWrap/>
            <w:vAlign w:val="bottom"/>
            <w:hideMark/>
          </w:tcPr>
          <w:p w14:paraId="03A67E3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41 251,09</w:t>
            </w:r>
          </w:p>
        </w:tc>
        <w:tc>
          <w:tcPr>
            <w:tcW w:w="1467" w:type="dxa"/>
            <w:tcBorders>
              <w:top w:val="nil"/>
              <w:left w:val="nil"/>
              <w:bottom w:val="single" w:sz="4" w:space="0" w:color="DCE6F1"/>
              <w:right w:val="nil"/>
            </w:tcBorders>
            <w:shd w:val="clear" w:color="000000" w:fill="F2F2F2"/>
            <w:noWrap/>
            <w:vAlign w:val="bottom"/>
            <w:hideMark/>
          </w:tcPr>
          <w:p w14:paraId="25450E6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4,66%</w:t>
            </w:r>
          </w:p>
        </w:tc>
      </w:tr>
      <w:tr w:rsidR="00643D7F" w:rsidRPr="00643D7F" w14:paraId="33B7E3CE"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2C94C9E8"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Ecoregion</w:t>
            </w:r>
            <w:proofErr w:type="spellEnd"/>
            <w:r w:rsidRPr="00643D7F">
              <w:rPr>
                <w:rFonts w:cs="Calibri"/>
                <w:sz w:val="20"/>
                <w:szCs w:val="20"/>
                <w:lang w:eastAsia="sk-SK"/>
              </w:rPr>
              <w:t xml:space="preserve"> SKAT - </w:t>
            </w:r>
            <w:proofErr w:type="spellStart"/>
            <w:r w:rsidRPr="00643D7F">
              <w:rPr>
                <w:rFonts w:cs="Calibri"/>
                <w:sz w:val="20"/>
                <w:szCs w:val="20"/>
                <w:lang w:eastAsia="sk-SK"/>
              </w:rPr>
              <w:t>Ekocentrum</w:t>
            </w:r>
            <w:proofErr w:type="spellEnd"/>
            <w:r w:rsidRPr="00643D7F">
              <w:rPr>
                <w:rFonts w:cs="Calibri"/>
                <w:sz w:val="20"/>
                <w:szCs w:val="20"/>
                <w:lang w:eastAsia="sk-SK"/>
              </w:rPr>
              <w:t xml:space="preserve"> Čunovo – I. etapa</w:t>
            </w:r>
          </w:p>
        </w:tc>
        <w:tc>
          <w:tcPr>
            <w:tcW w:w="1794" w:type="dxa"/>
            <w:tcBorders>
              <w:top w:val="single" w:sz="4" w:space="0" w:color="DCE6F1"/>
              <w:left w:val="nil"/>
              <w:bottom w:val="single" w:sz="4" w:space="0" w:color="DCE6F1"/>
              <w:right w:val="nil"/>
            </w:tcBorders>
            <w:shd w:val="clear" w:color="95B3D7" w:fill="95B3D7"/>
            <w:noWrap/>
            <w:vAlign w:val="bottom"/>
            <w:hideMark/>
          </w:tcPr>
          <w:p w14:paraId="6312A418" w14:textId="77777777" w:rsidR="00643D7F" w:rsidRPr="00643D7F" w:rsidRDefault="00643D7F" w:rsidP="00643D7F">
            <w:pPr>
              <w:spacing w:after="0" w:line="240" w:lineRule="auto"/>
              <w:rPr>
                <w:rFonts w:cs="Calibri"/>
                <w:sz w:val="20"/>
                <w:szCs w:val="20"/>
                <w:lang w:eastAsia="sk-SK"/>
              </w:rPr>
            </w:pPr>
          </w:p>
        </w:tc>
        <w:tc>
          <w:tcPr>
            <w:tcW w:w="1467" w:type="dxa"/>
            <w:tcBorders>
              <w:top w:val="single" w:sz="4" w:space="0" w:color="DCE6F1"/>
              <w:left w:val="nil"/>
              <w:bottom w:val="single" w:sz="4" w:space="0" w:color="DCE6F1"/>
              <w:right w:val="nil"/>
            </w:tcBorders>
            <w:shd w:val="clear" w:color="95B3D7" w:fill="95B3D7"/>
            <w:noWrap/>
            <w:vAlign w:val="bottom"/>
            <w:hideMark/>
          </w:tcPr>
          <w:p w14:paraId="5D2E0C4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6 803,44</w:t>
            </w:r>
          </w:p>
        </w:tc>
        <w:tc>
          <w:tcPr>
            <w:tcW w:w="1345" w:type="dxa"/>
            <w:tcBorders>
              <w:top w:val="single" w:sz="4" w:space="0" w:color="DCE6F1"/>
              <w:left w:val="nil"/>
              <w:bottom w:val="single" w:sz="4" w:space="0" w:color="DCE6F1"/>
              <w:right w:val="nil"/>
            </w:tcBorders>
            <w:shd w:val="clear" w:color="95B3D7" w:fill="95B3D7"/>
            <w:noWrap/>
            <w:vAlign w:val="bottom"/>
            <w:hideMark/>
          </w:tcPr>
          <w:p w14:paraId="4A98E3C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2 041,25</w:t>
            </w:r>
          </w:p>
        </w:tc>
        <w:tc>
          <w:tcPr>
            <w:tcW w:w="1467" w:type="dxa"/>
            <w:tcBorders>
              <w:top w:val="nil"/>
              <w:left w:val="nil"/>
              <w:bottom w:val="single" w:sz="4" w:space="0" w:color="DCE6F1"/>
              <w:right w:val="nil"/>
            </w:tcBorders>
            <w:shd w:val="clear" w:color="95B3D7" w:fill="95B3D7"/>
            <w:noWrap/>
            <w:vAlign w:val="bottom"/>
            <w:hideMark/>
          </w:tcPr>
          <w:p w14:paraId="6667B5D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30,00%</w:t>
            </w:r>
          </w:p>
        </w:tc>
      </w:tr>
      <w:tr w:rsidR="00643D7F" w:rsidRPr="00643D7F" w14:paraId="312224A2"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30AB227D"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056E848"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1119E7F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6 803,44</w:t>
            </w:r>
          </w:p>
        </w:tc>
        <w:tc>
          <w:tcPr>
            <w:tcW w:w="1345" w:type="dxa"/>
            <w:tcBorders>
              <w:top w:val="single" w:sz="4" w:space="0" w:color="DCE6F1"/>
              <w:left w:val="nil"/>
              <w:bottom w:val="single" w:sz="4" w:space="0" w:color="DCE6F1"/>
              <w:right w:val="nil"/>
            </w:tcBorders>
            <w:shd w:val="clear" w:color="000000" w:fill="F2F2F2"/>
            <w:noWrap/>
            <w:vAlign w:val="bottom"/>
            <w:hideMark/>
          </w:tcPr>
          <w:p w14:paraId="29E42E4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2 041,25</w:t>
            </w:r>
          </w:p>
        </w:tc>
        <w:tc>
          <w:tcPr>
            <w:tcW w:w="1467" w:type="dxa"/>
            <w:tcBorders>
              <w:top w:val="nil"/>
              <w:left w:val="nil"/>
              <w:bottom w:val="single" w:sz="4" w:space="0" w:color="DCE6F1"/>
              <w:right w:val="nil"/>
            </w:tcBorders>
            <w:shd w:val="clear" w:color="000000" w:fill="F2F2F2"/>
            <w:noWrap/>
            <w:vAlign w:val="bottom"/>
            <w:hideMark/>
          </w:tcPr>
          <w:p w14:paraId="31D0C4F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30,00%</w:t>
            </w:r>
          </w:p>
        </w:tc>
      </w:tr>
      <w:tr w:rsidR="00643D7F" w:rsidRPr="00643D7F" w14:paraId="01654F4F"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1EDB5D19"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Ecoregion</w:t>
            </w:r>
            <w:proofErr w:type="spellEnd"/>
            <w:r w:rsidRPr="00643D7F">
              <w:rPr>
                <w:rFonts w:cs="Calibri"/>
                <w:sz w:val="20"/>
                <w:szCs w:val="20"/>
                <w:lang w:eastAsia="sk-SK"/>
              </w:rPr>
              <w:t xml:space="preserve"> SKHU - </w:t>
            </w:r>
            <w:proofErr w:type="spellStart"/>
            <w:r w:rsidRPr="00643D7F">
              <w:rPr>
                <w:rFonts w:cs="Calibri"/>
                <w:sz w:val="20"/>
                <w:szCs w:val="20"/>
                <w:lang w:eastAsia="sk-SK"/>
              </w:rPr>
              <w:t>Ekocentrum</w:t>
            </w:r>
            <w:proofErr w:type="spellEnd"/>
            <w:r w:rsidRPr="00643D7F">
              <w:rPr>
                <w:rFonts w:cs="Calibri"/>
                <w:sz w:val="20"/>
                <w:szCs w:val="20"/>
                <w:lang w:eastAsia="sk-SK"/>
              </w:rPr>
              <w:t xml:space="preserve"> Čunovo – II. etapa</w:t>
            </w:r>
          </w:p>
        </w:tc>
        <w:tc>
          <w:tcPr>
            <w:tcW w:w="1794" w:type="dxa"/>
            <w:tcBorders>
              <w:top w:val="single" w:sz="4" w:space="0" w:color="DCE6F1"/>
              <w:left w:val="nil"/>
              <w:bottom w:val="single" w:sz="4" w:space="0" w:color="DCE6F1"/>
              <w:right w:val="nil"/>
            </w:tcBorders>
            <w:shd w:val="clear" w:color="95B3D7" w:fill="95B3D7"/>
            <w:noWrap/>
            <w:vAlign w:val="bottom"/>
            <w:hideMark/>
          </w:tcPr>
          <w:p w14:paraId="608F4512" w14:textId="77777777" w:rsidR="00643D7F" w:rsidRPr="00643D7F" w:rsidRDefault="00643D7F" w:rsidP="00643D7F">
            <w:pPr>
              <w:spacing w:after="0" w:line="240" w:lineRule="auto"/>
              <w:rPr>
                <w:rFonts w:cs="Calibri"/>
                <w:sz w:val="20"/>
                <w:szCs w:val="20"/>
                <w:lang w:eastAsia="sk-SK"/>
              </w:rPr>
            </w:pPr>
          </w:p>
        </w:tc>
        <w:tc>
          <w:tcPr>
            <w:tcW w:w="1467" w:type="dxa"/>
            <w:tcBorders>
              <w:top w:val="single" w:sz="4" w:space="0" w:color="DCE6F1"/>
              <w:left w:val="nil"/>
              <w:bottom w:val="single" w:sz="4" w:space="0" w:color="DCE6F1"/>
              <w:right w:val="nil"/>
            </w:tcBorders>
            <w:shd w:val="clear" w:color="95B3D7" w:fill="95B3D7"/>
            <w:noWrap/>
            <w:vAlign w:val="bottom"/>
            <w:hideMark/>
          </w:tcPr>
          <w:p w14:paraId="7359BE32"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1 379,55</w:t>
            </w:r>
          </w:p>
        </w:tc>
        <w:tc>
          <w:tcPr>
            <w:tcW w:w="1345" w:type="dxa"/>
            <w:tcBorders>
              <w:top w:val="single" w:sz="4" w:space="0" w:color="DCE6F1"/>
              <w:left w:val="nil"/>
              <w:bottom w:val="single" w:sz="4" w:space="0" w:color="DCE6F1"/>
              <w:right w:val="nil"/>
            </w:tcBorders>
            <w:shd w:val="clear" w:color="95B3D7" w:fill="95B3D7"/>
            <w:noWrap/>
            <w:vAlign w:val="bottom"/>
            <w:hideMark/>
          </w:tcPr>
          <w:p w14:paraId="54E26B44"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0D39E72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54F8533B"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26A04D83"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6ECA5CD3"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645805D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1 379,55</w:t>
            </w:r>
          </w:p>
        </w:tc>
        <w:tc>
          <w:tcPr>
            <w:tcW w:w="1345" w:type="dxa"/>
            <w:tcBorders>
              <w:top w:val="single" w:sz="4" w:space="0" w:color="DCE6F1"/>
              <w:left w:val="nil"/>
              <w:bottom w:val="single" w:sz="4" w:space="0" w:color="DCE6F1"/>
              <w:right w:val="nil"/>
            </w:tcBorders>
            <w:shd w:val="clear" w:color="000000" w:fill="F2F2F2"/>
            <w:noWrap/>
            <w:vAlign w:val="bottom"/>
            <w:hideMark/>
          </w:tcPr>
          <w:p w14:paraId="1FE61DF2"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5A178FE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662964B0"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559DCEC1"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Prevádzka kancelárie Brusel</w:t>
            </w:r>
          </w:p>
        </w:tc>
        <w:tc>
          <w:tcPr>
            <w:tcW w:w="1794" w:type="dxa"/>
            <w:tcBorders>
              <w:top w:val="single" w:sz="4" w:space="0" w:color="DCE6F1"/>
              <w:left w:val="nil"/>
              <w:bottom w:val="single" w:sz="4" w:space="0" w:color="DCE6F1"/>
              <w:right w:val="nil"/>
            </w:tcBorders>
            <w:shd w:val="clear" w:color="95B3D7" w:fill="95B3D7"/>
            <w:noWrap/>
            <w:vAlign w:val="bottom"/>
            <w:hideMark/>
          </w:tcPr>
          <w:p w14:paraId="2211B78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122 015,76</w:t>
            </w:r>
          </w:p>
        </w:tc>
        <w:tc>
          <w:tcPr>
            <w:tcW w:w="1467" w:type="dxa"/>
            <w:tcBorders>
              <w:top w:val="single" w:sz="4" w:space="0" w:color="DCE6F1"/>
              <w:left w:val="nil"/>
              <w:bottom w:val="single" w:sz="4" w:space="0" w:color="DCE6F1"/>
              <w:right w:val="nil"/>
            </w:tcBorders>
            <w:shd w:val="clear" w:color="95B3D7" w:fill="95B3D7"/>
            <w:noWrap/>
            <w:vAlign w:val="bottom"/>
            <w:hideMark/>
          </w:tcPr>
          <w:p w14:paraId="1CBA81B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53 380,94</w:t>
            </w:r>
          </w:p>
        </w:tc>
        <w:tc>
          <w:tcPr>
            <w:tcW w:w="1345" w:type="dxa"/>
            <w:tcBorders>
              <w:top w:val="single" w:sz="4" w:space="0" w:color="DCE6F1"/>
              <w:left w:val="nil"/>
              <w:bottom w:val="single" w:sz="4" w:space="0" w:color="DCE6F1"/>
              <w:right w:val="nil"/>
            </w:tcBorders>
            <w:shd w:val="clear" w:color="95B3D7" w:fill="95B3D7"/>
            <w:noWrap/>
            <w:vAlign w:val="bottom"/>
            <w:hideMark/>
          </w:tcPr>
          <w:p w14:paraId="3A0F5B3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34 339,68</w:t>
            </w:r>
          </w:p>
        </w:tc>
        <w:tc>
          <w:tcPr>
            <w:tcW w:w="1467" w:type="dxa"/>
            <w:tcBorders>
              <w:top w:val="nil"/>
              <w:left w:val="nil"/>
              <w:bottom w:val="single" w:sz="4" w:space="0" w:color="DCE6F1"/>
              <w:right w:val="nil"/>
            </w:tcBorders>
            <w:shd w:val="clear" w:color="95B3D7" w:fill="95B3D7"/>
            <w:noWrap/>
            <w:vAlign w:val="bottom"/>
            <w:hideMark/>
          </w:tcPr>
          <w:p w14:paraId="7A2B31FB"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r>
      <w:tr w:rsidR="00643D7F" w:rsidRPr="00643D7F" w14:paraId="33FB1315"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5D08B38A"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1DC9BC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122 015,76</w:t>
            </w:r>
          </w:p>
        </w:tc>
        <w:tc>
          <w:tcPr>
            <w:tcW w:w="1467" w:type="dxa"/>
            <w:tcBorders>
              <w:top w:val="single" w:sz="4" w:space="0" w:color="DCE6F1"/>
              <w:left w:val="nil"/>
              <w:bottom w:val="single" w:sz="4" w:space="0" w:color="DCE6F1"/>
              <w:right w:val="nil"/>
            </w:tcBorders>
            <w:shd w:val="clear" w:color="000000" w:fill="F2F2F2"/>
            <w:noWrap/>
            <w:vAlign w:val="bottom"/>
            <w:hideMark/>
          </w:tcPr>
          <w:p w14:paraId="7751420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53 380,94</w:t>
            </w:r>
          </w:p>
        </w:tc>
        <w:tc>
          <w:tcPr>
            <w:tcW w:w="1345" w:type="dxa"/>
            <w:tcBorders>
              <w:top w:val="single" w:sz="4" w:space="0" w:color="DCE6F1"/>
              <w:left w:val="nil"/>
              <w:bottom w:val="single" w:sz="4" w:space="0" w:color="DCE6F1"/>
              <w:right w:val="nil"/>
            </w:tcBorders>
            <w:shd w:val="clear" w:color="000000" w:fill="F2F2F2"/>
            <w:noWrap/>
            <w:vAlign w:val="bottom"/>
            <w:hideMark/>
          </w:tcPr>
          <w:p w14:paraId="035E5EA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34 339,68</w:t>
            </w:r>
          </w:p>
        </w:tc>
        <w:tc>
          <w:tcPr>
            <w:tcW w:w="1467" w:type="dxa"/>
            <w:tcBorders>
              <w:top w:val="nil"/>
              <w:left w:val="nil"/>
              <w:bottom w:val="single" w:sz="4" w:space="0" w:color="DCE6F1"/>
              <w:right w:val="nil"/>
            </w:tcBorders>
            <w:shd w:val="clear" w:color="000000" w:fill="F2F2F2"/>
            <w:noWrap/>
            <w:vAlign w:val="bottom"/>
            <w:hideMark/>
          </w:tcPr>
          <w:p w14:paraId="5663212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64,33%</w:t>
            </w:r>
          </w:p>
        </w:tc>
      </w:tr>
      <w:tr w:rsidR="00643D7F" w:rsidRPr="00643D7F" w14:paraId="3DF4D502"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4217DE87"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Projekt PUM - mestská mobilita</w:t>
            </w:r>
          </w:p>
        </w:tc>
        <w:tc>
          <w:tcPr>
            <w:tcW w:w="1794" w:type="dxa"/>
            <w:tcBorders>
              <w:top w:val="single" w:sz="4" w:space="0" w:color="DCE6F1"/>
              <w:left w:val="nil"/>
              <w:bottom w:val="single" w:sz="4" w:space="0" w:color="DCE6F1"/>
              <w:right w:val="nil"/>
            </w:tcBorders>
            <w:shd w:val="clear" w:color="95B3D7" w:fill="95B3D7"/>
            <w:noWrap/>
            <w:vAlign w:val="bottom"/>
            <w:hideMark/>
          </w:tcPr>
          <w:p w14:paraId="28C0A8FA"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160 650,00</w:t>
            </w:r>
          </w:p>
        </w:tc>
        <w:tc>
          <w:tcPr>
            <w:tcW w:w="1467" w:type="dxa"/>
            <w:tcBorders>
              <w:top w:val="single" w:sz="4" w:space="0" w:color="DCE6F1"/>
              <w:left w:val="nil"/>
              <w:bottom w:val="single" w:sz="4" w:space="0" w:color="DCE6F1"/>
              <w:right w:val="nil"/>
            </w:tcBorders>
            <w:shd w:val="clear" w:color="95B3D7" w:fill="95B3D7"/>
            <w:noWrap/>
            <w:vAlign w:val="bottom"/>
            <w:hideMark/>
          </w:tcPr>
          <w:p w14:paraId="021F40B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160 650,00</w:t>
            </w:r>
          </w:p>
        </w:tc>
        <w:tc>
          <w:tcPr>
            <w:tcW w:w="1345" w:type="dxa"/>
            <w:tcBorders>
              <w:top w:val="single" w:sz="4" w:space="0" w:color="DCE6F1"/>
              <w:left w:val="nil"/>
              <w:bottom w:val="single" w:sz="4" w:space="0" w:color="DCE6F1"/>
              <w:right w:val="nil"/>
            </w:tcBorders>
            <w:shd w:val="clear" w:color="95B3D7" w:fill="95B3D7"/>
            <w:noWrap/>
            <w:vAlign w:val="bottom"/>
            <w:hideMark/>
          </w:tcPr>
          <w:p w14:paraId="04014674"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3FF8918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1F418623"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12B34A48"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03355DF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160 650,00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31635E5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160 650,00</w:t>
            </w:r>
          </w:p>
        </w:tc>
        <w:tc>
          <w:tcPr>
            <w:tcW w:w="1345" w:type="dxa"/>
            <w:tcBorders>
              <w:top w:val="single" w:sz="4" w:space="0" w:color="DCE6F1"/>
              <w:left w:val="nil"/>
              <w:bottom w:val="single" w:sz="4" w:space="0" w:color="DCE6F1"/>
              <w:right w:val="nil"/>
            </w:tcBorders>
            <w:shd w:val="clear" w:color="000000" w:fill="F2F2F2"/>
            <w:noWrap/>
            <w:vAlign w:val="bottom"/>
            <w:hideMark/>
          </w:tcPr>
          <w:p w14:paraId="4C28237A"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3AE5DC4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1498CFC1"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2FC3B279"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REGIOCOOP SK-AT</w:t>
            </w:r>
          </w:p>
        </w:tc>
        <w:tc>
          <w:tcPr>
            <w:tcW w:w="1794" w:type="dxa"/>
            <w:tcBorders>
              <w:top w:val="single" w:sz="4" w:space="0" w:color="DCE6F1"/>
              <w:left w:val="nil"/>
              <w:bottom w:val="single" w:sz="4" w:space="0" w:color="DCE6F1"/>
              <w:right w:val="nil"/>
            </w:tcBorders>
            <w:shd w:val="clear" w:color="95B3D7" w:fill="95B3D7"/>
            <w:noWrap/>
            <w:vAlign w:val="bottom"/>
            <w:hideMark/>
          </w:tcPr>
          <w:p w14:paraId="01A2A9EC" w14:textId="77777777" w:rsidR="00643D7F" w:rsidRPr="00643D7F" w:rsidRDefault="00643D7F" w:rsidP="00643D7F">
            <w:pPr>
              <w:spacing w:after="0" w:line="240" w:lineRule="auto"/>
              <w:rPr>
                <w:rFonts w:cs="Calibri"/>
                <w:sz w:val="20"/>
                <w:szCs w:val="20"/>
                <w:lang w:eastAsia="sk-SK"/>
              </w:rPr>
            </w:pPr>
          </w:p>
        </w:tc>
        <w:tc>
          <w:tcPr>
            <w:tcW w:w="1467" w:type="dxa"/>
            <w:tcBorders>
              <w:top w:val="single" w:sz="4" w:space="0" w:color="DCE6F1"/>
              <w:left w:val="nil"/>
              <w:bottom w:val="single" w:sz="4" w:space="0" w:color="DCE6F1"/>
              <w:right w:val="nil"/>
            </w:tcBorders>
            <w:shd w:val="clear" w:color="95B3D7" w:fill="95B3D7"/>
            <w:noWrap/>
            <w:vAlign w:val="bottom"/>
            <w:hideMark/>
          </w:tcPr>
          <w:p w14:paraId="585D6DA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15 116,91</w:t>
            </w:r>
          </w:p>
        </w:tc>
        <w:tc>
          <w:tcPr>
            <w:tcW w:w="1345" w:type="dxa"/>
            <w:tcBorders>
              <w:top w:val="single" w:sz="4" w:space="0" w:color="DCE6F1"/>
              <w:left w:val="nil"/>
              <w:bottom w:val="single" w:sz="4" w:space="0" w:color="DCE6F1"/>
              <w:right w:val="nil"/>
            </w:tcBorders>
            <w:shd w:val="clear" w:color="95B3D7" w:fill="95B3D7"/>
            <w:noWrap/>
            <w:vAlign w:val="bottom"/>
            <w:hideMark/>
          </w:tcPr>
          <w:p w14:paraId="1345160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5 316,91</w:t>
            </w:r>
          </w:p>
        </w:tc>
        <w:tc>
          <w:tcPr>
            <w:tcW w:w="1467" w:type="dxa"/>
            <w:tcBorders>
              <w:top w:val="nil"/>
              <w:left w:val="nil"/>
              <w:bottom w:val="single" w:sz="4" w:space="0" w:color="DCE6F1"/>
              <w:right w:val="nil"/>
            </w:tcBorders>
            <w:shd w:val="clear" w:color="95B3D7" w:fill="95B3D7"/>
            <w:noWrap/>
            <w:vAlign w:val="bottom"/>
            <w:hideMark/>
          </w:tcPr>
          <w:p w14:paraId="5C6B1F3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35,17%</w:t>
            </w:r>
          </w:p>
        </w:tc>
      </w:tr>
      <w:tr w:rsidR="00643D7F" w:rsidRPr="00643D7F" w14:paraId="79406814"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4566EBFD"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187830B0"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55F0995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15 116,91</w:t>
            </w:r>
          </w:p>
        </w:tc>
        <w:tc>
          <w:tcPr>
            <w:tcW w:w="1345" w:type="dxa"/>
            <w:tcBorders>
              <w:top w:val="single" w:sz="4" w:space="0" w:color="DCE6F1"/>
              <w:left w:val="nil"/>
              <w:bottom w:val="single" w:sz="4" w:space="0" w:color="DCE6F1"/>
              <w:right w:val="nil"/>
            </w:tcBorders>
            <w:shd w:val="clear" w:color="000000" w:fill="F2F2F2"/>
            <w:noWrap/>
            <w:vAlign w:val="bottom"/>
            <w:hideMark/>
          </w:tcPr>
          <w:p w14:paraId="0A38854A"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5 316,91</w:t>
            </w:r>
          </w:p>
        </w:tc>
        <w:tc>
          <w:tcPr>
            <w:tcW w:w="1467" w:type="dxa"/>
            <w:tcBorders>
              <w:top w:val="nil"/>
              <w:left w:val="nil"/>
              <w:bottom w:val="single" w:sz="4" w:space="0" w:color="DCE6F1"/>
              <w:right w:val="nil"/>
            </w:tcBorders>
            <w:shd w:val="clear" w:color="000000" w:fill="F2F2F2"/>
            <w:noWrap/>
            <w:vAlign w:val="bottom"/>
            <w:hideMark/>
          </w:tcPr>
          <w:p w14:paraId="355E2F1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35,17%</w:t>
            </w:r>
          </w:p>
        </w:tc>
      </w:tr>
      <w:tr w:rsidR="00643D7F" w:rsidRPr="00643D7F" w14:paraId="4C3476BA"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36E5BD5A"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Rekonštrukcia cesty Rohožník - Malacky</w:t>
            </w:r>
          </w:p>
        </w:tc>
        <w:tc>
          <w:tcPr>
            <w:tcW w:w="1794" w:type="dxa"/>
            <w:tcBorders>
              <w:top w:val="single" w:sz="4" w:space="0" w:color="DCE6F1"/>
              <w:left w:val="nil"/>
              <w:bottom w:val="single" w:sz="4" w:space="0" w:color="DCE6F1"/>
              <w:right w:val="nil"/>
            </w:tcBorders>
            <w:shd w:val="clear" w:color="95B3D7" w:fill="95B3D7"/>
            <w:noWrap/>
            <w:vAlign w:val="bottom"/>
            <w:hideMark/>
          </w:tcPr>
          <w:p w14:paraId="269E09BA"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80 000,00</w:t>
            </w:r>
          </w:p>
        </w:tc>
        <w:tc>
          <w:tcPr>
            <w:tcW w:w="1467" w:type="dxa"/>
            <w:tcBorders>
              <w:top w:val="single" w:sz="4" w:space="0" w:color="DCE6F1"/>
              <w:left w:val="nil"/>
              <w:bottom w:val="single" w:sz="4" w:space="0" w:color="DCE6F1"/>
              <w:right w:val="nil"/>
            </w:tcBorders>
            <w:shd w:val="clear" w:color="95B3D7" w:fill="95B3D7"/>
            <w:noWrap/>
            <w:vAlign w:val="bottom"/>
            <w:hideMark/>
          </w:tcPr>
          <w:p w14:paraId="17E7EAD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80 000,00</w:t>
            </w:r>
          </w:p>
        </w:tc>
        <w:tc>
          <w:tcPr>
            <w:tcW w:w="1345" w:type="dxa"/>
            <w:tcBorders>
              <w:top w:val="single" w:sz="4" w:space="0" w:color="DCE6F1"/>
              <w:left w:val="nil"/>
              <w:bottom w:val="single" w:sz="4" w:space="0" w:color="DCE6F1"/>
              <w:right w:val="nil"/>
            </w:tcBorders>
            <w:shd w:val="clear" w:color="95B3D7" w:fill="95B3D7"/>
            <w:noWrap/>
            <w:vAlign w:val="bottom"/>
            <w:hideMark/>
          </w:tcPr>
          <w:p w14:paraId="37299592"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515BDCDA"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289F6DDD"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13BBAE1E"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221361A2"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80 000,00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5C95482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80 000,00</w:t>
            </w:r>
          </w:p>
        </w:tc>
        <w:tc>
          <w:tcPr>
            <w:tcW w:w="1345" w:type="dxa"/>
            <w:tcBorders>
              <w:top w:val="single" w:sz="4" w:space="0" w:color="DCE6F1"/>
              <w:left w:val="nil"/>
              <w:bottom w:val="single" w:sz="4" w:space="0" w:color="DCE6F1"/>
              <w:right w:val="nil"/>
            </w:tcBorders>
            <w:shd w:val="clear" w:color="000000" w:fill="F2F2F2"/>
            <w:noWrap/>
            <w:vAlign w:val="bottom"/>
            <w:hideMark/>
          </w:tcPr>
          <w:p w14:paraId="65FF2616"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0865133B"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139EEFA9"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0746904E" w14:textId="1697ED2F"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Rekonštrukcia kaštieľa a parku v Modre (MOSKA</w:t>
            </w:r>
            <w:r w:rsidRPr="00A35E59">
              <w:rPr>
                <w:rFonts w:cs="Calibri"/>
                <w:sz w:val="20"/>
                <w:szCs w:val="20"/>
                <w:lang w:eastAsia="sk-SK"/>
              </w:rPr>
              <w:t>)</w:t>
            </w:r>
            <w:r w:rsidRPr="00643D7F">
              <w:rPr>
                <w:rFonts w:cs="Calibri"/>
                <w:sz w:val="20"/>
                <w:szCs w:val="20"/>
                <w:lang w:eastAsia="sk-SK"/>
              </w:rPr>
              <w:t xml:space="preserve"> </w:t>
            </w:r>
          </w:p>
        </w:tc>
        <w:tc>
          <w:tcPr>
            <w:tcW w:w="1794" w:type="dxa"/>
            <w:tcBorders>
              <w:top w:val="single" w:sz="4" w:space="0" w:color="DCE6F1"/>
              <w:left w:val="nil"/>
              <w:bottom w:val="single" w:sz="4" w:space="0" w:color="DCE6F1"/>
              <w:right w:val="nil"/>
            </w:tcBorders>
            <w:shd w:val="clear" w:color="95B3D7" w:fill="95B3D7"/>
            <w:noWrap/>
            <w:vAlign w:val="bottom"/>
            <w:hideMark/>
          </w:tcPr>
          <w:p w14:paraId="391AABB8"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2 759 011,72</w:t>
            </w:r>
          </w:p>
        </w:tc>
        <w:tc>
          <w:tcPr>
            <w:tcW w:w="1467" w:type="dxa"/>
            <w:tcBorders>
              <w:top w:val="single" w:sz="4" w:space="0" w:color="DCE6F1"/>
              <w:left w:val="nil"/>
              <w:bottom w:val="single" w:sz="4" w:space="0" w:color="DCE6F1"/>
              <w:right w:val="nil"/>
            </w:tcBorders>
            <w:shd w:val="clear" w:color="95B3D7" w:fill="95B3D7"/>
            <w:noWrap/>
            <w:vAlign w:val="bottom"/>
            <w:hideMark/>
          </w:tcPr>
          <w:p w14:paraId="4F3A923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2 601 093,27</w:t>
            </w:r>
          </w:p>
        </w:tc>
        <w:tc>
          <w:tcPr>
            <w:tcW w:w="1345" w:type="dxa"/>
            <w:tcBorders>
              <w:top w:val="single" w:sz="4" w:space="0" w:color="DCE6F1"/>
              <w:left w:val="nil"/>
              <w:bottom w:val="single" w:sz="4" w:space="0" w:color="DCE6F1"/>
              <w:right w:val="nil"/>
            </w:tcBorders>
            <w:shd w:val="clear" w:color="95B3D7" w:fill="95B3D7"/>
            <w:noWrap/>
            <w:vAlign w:val="bottom"/>
            <w:hideMark/>
          </w:tcPr>
          <w:p w14:paraId="15079EF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939 857,63</w:t>
            </w:r>
          </w:p>
        </w:tc>
        <w:tc>
          <w:tcPr>
            <w:tcW w:w="1467" w:type="dxa"/>
            <w:tcBorders>
              <w:top w:val="nil"/>
              <w:left w:val="nil"/>
              <w:bottom w:val="single" w:sz="4" w:space="0" w:color="DCE6F1"/>
              <w:right w:val="nil"/>
            </w:tcBorders>
            <w:shd w:val="clear" w:color="95B3D7" w:fill="95B3D7"/>
            <w:noWrap/>
            <w:vAlign w:val="bottom"/>
            <w:hideMark/>
          </w:tcPr>
          <w:p w14:paraId="606B68C3"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r>
      <w:tr w:rsidR="00643D7F" w:rsidRPr="00643D7F" w14:paraId="0B1BEE7D"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535CF2AC"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2FD686E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1 073 282,48</w:t>
            </w:r>
          </w:p>
        </w:tc>
        <w:tc>
          <w:tcPr>
            <w:tcW w:w="1467" w:type="dxa"/>
            <w:tcBorders>
              <w:top w:val="single" w:sz="4" w:space="0" w:color="DCE6F1"/>
              <w:left w:val="nil"/>
              <w:bottom w:val="single" w:sz="4" w:space="0" w:color="DCE6F1"/>
              <w:right w:val="nil"/>
            </w:tcBorders>
            <w:shd w:val="clear" w:color="000000" w:fill="F2F2F2"/>
            <w:noWrap/>
            <w:vAlign w:val="bottom"/>
            <w:hideMark/>
          </w:tcPr>
          <w:p w14:paraId="540129C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1 305 125,68</w:t>
            </w:r>
          </w:p>
        </w:tc>
        <w:tc>
          <w:tcPr>
            <w:tcW w:w="1345" w:type="dxa"/>
            <w:tcBorders>
              <w:top w:val="single" w:sz="4" w:space="0" w:color="DCE6F1"/>
              <w:left w:val="nil"/>
              <w:bottom w:val="single" w:sz="4" w:space="0" w:color="DCE6F1"/>
              <w:right w:val="nil"/>
            </w:tcBorders>
            <w:shd w:val="clear" w:color="000000" w:fill="F2F2F2"/>
            <w:noWrap/>
            <w:vAlign w:val="bottom"/>
            <w:hideMark/>
          </w:tcPr>
          <w:p w14:paraId="4BAC6812"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578 650,34</w:t>
            </w:r>
          </w:p>
        </w:tc>
        <w:tc>
          <w:tcPr>
            <w:tcW w:w="1467" w:type="dxa"/>
            <w:tcBorders>
              <w:top w:val="nil"/>
              <w:left w:val="nil"/>
              <w:bottom w:val="single" w:sz="4" w:space="0" w:color="DCE6F1"/>
              <w:right w:val="nil"/>
            </w:tcBorders>
            <w:shd w:val="clear" w:color="000000" w:fill="F2F2F2"/>
            <w:noWrap/>
            <w:vAlign w:val="bottom"/>
            <w:hideMark/>
          </w:tcPr>
          <w:p w14:paraId="30215DE5"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44,34%</w:t>
            </w:r>
          </w:p>
        </w:tc>
      </w:tr>
      <w:tr w:rsidR="00643D7F" w:rsidRPr="00643D7F" w14:paraId="0BFFB179"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4998F226"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0B8E734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1 685 729,24</w:t>
            </w:r>
          </w:p>
        </w:tc>
        <w:tc>
          <w:tcPr>
            <w:tcW w:w="1467" w:type="dxa"/>
            <w:tcBorders>
              <w:top w:val="single" w:sz="4" w:space="0" w:color="DCE6F1"/>
              <w:left w:val="nil"/>
              <w:bottom w:val="single" w:sz="4" w:space="0" w:color="DCE6F1"/>
              <w:right w:val="nil"/>
            </w:tcBorders>
            <w:shd w:val="clear" w:color="000000" w:fill="F2F2F2"/>
            <w:noWrap/>
            <w:vAlign w:val="bottom"/>
            <w:hideMark/>
          </w:tcPr>
          <w:p w14:paraId="72E810C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1 295 967,59</w:t>
            </w:r>
          </w:p>
        </w:tc>
        <w:tc>
          <w:tcPr>
            <w:tcW w:w="1345" w:type="dxa"/>
            <w:tcBorders>
              <w:top w:val="single" w:sz="4" w:space="0" w:color="DCE6F1"/>
              <w:left w:val="nil"/>
              <w:bottom w:val="single" w:sz="4" w:space="0" w:color="DCE6F1"/>
              <w:right w:val="nil"/>
            </w:tcBorders>
            <w:shd w:val="clear" w:color="000000" w:fill="F2F2F2"/>
            <w:noWrap/>
            <w:vAlign w:val="bottom"/>
            <w:hideMark/>
          </w:tcPr>
          <w:p w14:paraId="4BD77FE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361 207,29</w:t>
            </w:r>
          </w:p>
        </w:tc>
        <w:tc>
          <w:tcPr>
            <w:tcW w:w="1467" w:type="dxa"/>
            <w:tcBorders>
              <w:top w:val="nil"/>
              <w:left w:val="nil"/>
              <w:bottom w:val="single" w:sz="4" w:space="0" w:color="DCE6F1"/>
              <w:right w:val="nil"/>
            </w:tcBorders>
            <w:shd w:val="clear" w:color="000000" w:fill="F2F2F2"/>
            <w:noWrap/>
            <w:vAlign w:val="bottom"/>
            <w:hideMark/>
          </w:tcPr>
          <w:p w14:paraId="2553696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27,87%</w:t>
            </w:r>
          </w:p>
        </w:tc>
      </w:tr>
      <w:tr w:rsidR="00643D7F" w:rsidRPr="00643D7F" w14:paraId="0BF257A6"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6B4817A4"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Sacra</w:t>
            </w:r>
            <w:proofErr w:type="spellEnd"/>
            <w:r w:rsidRPr="00643D7F">
              <w:rPr>
                <w:rFonts w:cs="Calibri"/>
                <w:sz w:val="20"/>
                <w:szCs w:val="20"/>
                <w:lang w:eastAsia="sk-SK"/>
              </w:rPr>
              <w:t xml:space="preserve"> </w:t>
            </w:r>
            <w:proofErr w:type="spellStart"/>
            <w:r w:rsidRPr="00643D7F">
              <w:rPr>
                <w:rFonts w:cs="Calibri"/>
                <w:sz w:val="20"/>
                <w:szCs w:val="20"/>
                <w:lang w:eastAsia="sk-SK"/>
              </w:rPr>
              <w:t>Velo</w:t>
            </w:r>
            <w:proofErr w:type="spellEnd"/>
          </w:p>
        </w:tc>
        <w:tc>
          <w:tcPr>
            <w:tcW w:w="1794" w:type="dxa"/>
            <w:tcBorders>
              <w:top w:val="single" w:sz="4" w:space="0" w:color="DCE6F1"/>
              <w:left w:val="nil"/>
              <w:bottom w:val="single" w:sz="4" w:space="0" w:color="DCE6F1"/>
              <w:right w:val="nil"/>
            </w:tcBorders>
            <w:shd w:val="clear" w:color="95B3D7" w:fill="95B3D7"/>
            <w:noWrap/>
            <w:vAlign w:val="bottom"/>
            <w:hideMark/>
          </w:tcPr>
          <w:p w14:paraId="47BFE09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5 000,00</w:t>
            </w:r>
          </w:p>
        </w:tc>
        <w:tc>
          <w:tcPr>
            <w:tcW w:w="1467" w:type="dxa"/>
            <w:tcBorders>
              <w:top w:val="single" w:sz="4" w:space="0" w:color="DCE6F1"/>
              <w:left w:val="nil"/>
              <w:bottom w:val="single" w:sz="4" w:space="0" w:color="DCE6F1"/>
              <w:right w:val="nil"/>
            </w:tcBorders>
            <w:shd w:val="clear" w:color="95B3D7" w:fill="95B3D7"/>
            <w:noWrap/>
            <w:vAlign w:val="bottom"/>
            <w:hideMark/>
          </w:tcPr>
          <w:p w14:paraId="2718F8E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49 364,26</w:t>
            </w:r>
          </w:p>
        </w:tc>
        <w:tc>
          <w:tcPr>
            <w:tcW w:w="1345" w:type="dxa"/>
            <w:tcBorders>
              <w:top w:val="single" w:sz="4" w:space="0" w:color="DCE6F1"/>
              <w:left w:val="nil"/>
              <w:bottom w:val="single" w:sz="4" w:space="0" w:color="DCE6F1"/>
              <w:right w:val="nil"/>
            </w:tcBorders>
            <w:shd w:val="clear" w:color="95B3D7" w:fill="95B3D7"/>
            <w:noWrap/>
            <w:vAlign w:val="bottom"/>
            <w:hideMark/>
          </w:tcPr>
          <w:p w14:paraId="04124251"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4B86C2F7"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163155CF"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6B192D94"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FF6826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5 000,00</w:t>
            </w:r>
          </w:p>
        </w:tc>
        <w:tc>
          <w:tcPr>
            <w:tcW w:w="1467" w:type="dxa"/>
            <w:tcBorders>
              <w:top w:val="single" w:sz="4" w:space="0" w:color="DCE6F1"/>
              <w:left w:val="nil"/>
              <w:bottom w:val="single" w:sz="4" w:space="0" w:color="DCE6F1"/>
              <w:right w:val="nil"/>
            </w:tcBorders>
            <w:shd w:val="clear" w:color="000000" w:fill="F2F2F2"/>
            <w:noWrap/>
            <w:vAlign w:val="bottom"/>
            <w:hideMark/>
          </w:tcPr>
          <w:p w14:paraId="6EF551C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5 000,00</w:t>
            </w:r>
          </w:p>
        </w:tc>
        <w:tc>
          <w:tcPr>
            <w:tcW w:w="1345" w:type="dxa"/>
            <w:tcBorders>
              <w:top w:val="single" w:sz="4" w:space="0" w:color="DCE6F1"/>
              <w:left w:val="nil"/>
              <w:bottom w:val="single" w:sz="4" w:space="0" w:color="DCE6F1"/>
              <w:right w:val="nil"/>
            </w:tcBorders>
            <w:shd w:val="clear" w:color="000000" w:fill="F2F2F2"/>
            <w:noWrap/>
            <w:vAlign w:val="bottom"/>
            <w:hideMark/>
          </w:tcPr>
          <w:p w14:paraId="54502201"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21355602"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0CB8D798"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7DB599D2"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3ADB1343"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017EC27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44 364,26</w:t>
            </w:r>
          </w:p>
        </w:tc>
        <w:tc>
          <w:tcPr>
            <w:tcW w:w="1345" w:type="dxa"/>
            <w:tcBorders>
              <w:top w:val="single" w:sz="4" w:space="0" w:color="DCE6F1"/>
              <w:left w:val="nil"/>
              <w:bottom w:val="single" w:sz="4" w:space="0" w:color="DCE6F1"/>
              <w:right w:val="nil"/>
            </w:tcBorders>
            <w:shd w:val="clear" w:color="000000" w:fill="F2F2F2"/>
            <w:noWrap/>
            <w:vAlign w:val="bottom"/>
            <w:hideMark/>
          </w:tcPr>
          <w:p w14:paraId="76F80462"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23CD0EAD"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531C8AEE"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2A33A668"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Smartregión</w:t>
            </w:r>
            <w:proofErr w:type="spellEnd"/>
            <w:r w:rsidRPr="00643D7F">
              <w:rPr>
                <w:rFonts w:cs="Calibri"/>
                <w:sz w:val="20"/>
                <w:szCs w:val="20"/>
                <w:lang w:eastAsia="sk-SK"/>
              </w:rPr>
              <w:t xml:space="preserve"> BSK</w:t>
            </w:r>
          </w:p>
        </w:tc>
        <w:tc>
          <w:tcPr>
            <w:tcW w:w="1794" w:type="dxa"/>
            <w:tcBorders>
              <w:top w:val="single" w:sz="4" w:space="0" w:color="DCE6F1"/>
              <w:left w:val="nil"/>
              <w:bottom w:val="single" w:sz="4" w:space="0" w:color="DCE6F1"/>
              <w:right w:val="nil"/>
            </w:tcBorders>
            <w:shd w:val="clear" w:color="95B3D7" w:fill="95B3D7"/>
            <w:noWrap/>
            <w:vAlign w:val="bottom"/>
            <w:hideMark/>
          </w:tcPr>
          <w:p w14:paraId="1A83A280" w14:textId="77777777" w:rsidR="00643D7F" w:rsidRPr="00643D7F" w:rsidRDefault="00643D7F" w:rsidP="00643D7F">
            <w:pPr>
              <w:spacing w:after="0" w:line="240" w:lineRule="auto"/>
              <w:rPr>
                <w:rFonts w:cs="Calibri"/>
                <w:sz w:val="20"/>
                <w:szCs w:val="20"/>
                <w:lang w:eastAsia="sk-SK"/>
              </w:rPr>
            </w:pPr>
          </w:p>
        </w:tc>
        <w:tc>
          <w:tcPr>
            <w:tcW w:w="1467" w:type="dxa"/>
            <w:tcBorders>
              <w:top w:val="single" w:sz="4" w:space="0" w:color="DCE6F1"/>
              <w:left w:val="nil"/>
              <w:bottom w:val="single" w:sz="4" w:space="0" w:color="DCE6F1"/>
              <w:right w:val="nil"/>
            </w:tcBorders>
            <w:shd w:val="clear" w:color="95B3D7" w:fill="95B3D7"/>
            <w:noWrap/>
            <w:vAlign w:val="bottom"/>
            <w:hideMark/>
          </w:tcPr>
          <w:p w14:paraId="46FDBD4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1 199 804,59</w:t>
            </w:r>
          </w:p>
        </w:tc>
        <w:tc>
          <w:tcPr>
            <w:tcW w:w="1345" w:type="dxa"/>
            <w:tcBorders>
              <w:top w:val="single" w:sz="4" w:space="0" w:color="DCE6F1"/>
              <w:left w:val="nil"/>
              <w:bottom w:val="single" w:sz="4" w:space="0" w:color="DCE6F1"/>
              <w:right w:val="nil"/>
            </w:tcBorders>
            <w:shd w:val="clear" w:color="95B3D7" w:fill="95B3D7"/>
            <w:noWrap/>
            <w:vAlign w:val="bottom"/>
            <w:hideMark/>
          </w:tcPr>
          <w:p w14:paraId="0F52154C"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339 615,55</w:t>
            </w:r>
          </w:p>
        </w:tc>
        <w:tc>
          <w:tcPr>
            <w:tcW w:w="1467" w:type="dxa"/>
            <w:tcBorders>
              <w:top w:val="nil"/>
              <w:left w:val="nil"/>
              <w:bottom w:val="single" w:sz="4" w:space="0" w:color="DCE6F1"/>
              <w:right w:val="nil"/>
            </w:tcBorders>
            <w:shd w:val="clear" w:color="95B3D7" w:fill="95B3D7"/>
            <w:noWrap/>
            <w:vAlign w:val="bottom"/>
            <w:hideMark/>
          </w:tcPr>
          <w:p w14:paraId="5B07BE4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28,31%</w:t>
            </w:r>
          </w:p>
        </w:tc>
      </w:tr>
      <w:tr w:rsidR="00643D7F" w:rsidRPr="00643D7F" w14:paraId="7702F5C2"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090AA913"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790504DB"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5098464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1 145 141,59</w:t>
            </w:r>
          </w:p>
        </w:tc>
        <w:tc>
          <w:tcPr>
            <w:tcW w:w="1345" w:type="dxa"/>
            <w:tcBorders>
              <w:top w:val="single" w:sz="4" w:space="0" w:color="DCE6F1"/>
              <w:left w:val="nil"/>
              <w:bottom w:val="single" w:sz="4" w:space="0" w:color="DCE6F1"/>
              <w:right w:val="nil"/>
            </w:tcBorders>
            <w:shd w:val="clear" w:color="000000" w:fill="F2F2F2"/>
            <w:noWrap/>
            <w:vAlign w:val="bottom"/>
            <w:hideMark/>
          </w:tcPr>
          <w:p w14:paraId="7CCD3AC1"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339 615,55</w:t>
            </w:r>
          </w:p>
        </w:tc>
        <w:tc>
          <w:tcPr>
            <w:tcW w:w="1467" w:type="dxa"/>
            <w:tcBorders>
              <w:top w:val="nil"/>
              <w:left w:val="nil"/>
              <w:bottom w:val="single" w:sz="4" w:space="0" w:color="DCE6F1"/>
              <w:right w:val="nil"/>
            </w:tcBorders>
            <w:shd w:val="clear" w:color="000000" w:fill="F2F2F2"/>
            <w:noWrap/>
            <w:vAlign w:val="bottom"/>
            <w:hideMark/>
          </w:tcPr>
          <w:p w14:paraId="6853EEF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29,66%</w:t>
            </w:r>
          </w:p>
        </w:tc>
      </w:tr>
      <w:tr w:rsidR="00643D7F" w:rsidRPr="00643D7F" w14:paraId="5DACBEDC"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479AFBA0"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Kapitálové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1FB4158C"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5AAB6F54"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54 663,00</w:t>
            </w:r>
          </w:p>
        </w:tc>
        <w:tc>
          <w:tcPr>
            <w:tcW w:w="1345" w:type="dxa"/>
            <w:tcBorders>
              <w:top w:val="single" w:sz="4" w:space="0" w:color="DCE6F1"/>
              <w:left w:val="nil"/>
              <w:bottom w:val="single" w:sz="4" w:space="0" w:color="DCE6F1"/>
              <w:right w:val="nil"/>
            </w:tcBorders>
            <w:shd w:val="clear" w:color="000000" w:fill="F2F2F2"/>
            <w:noWrap/>
            <w:vAlign w:val="bottom"/>
            <w:hideMark/>
          </w:tcPr>
          <w:p w14:paraId="7DDAD0B0"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4E84F4B6"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09AF30AC"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4722E878"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TA SK-HU</w:t>
            </w:r>
          </w:p>
        </w:tc>
        <w:tc>
          <w:tcPr>
            <w:tcW w:w="1794" w:type="dxa"/>
            <w:tcBorders>
              <w:top w:val="single" w:sz="4" w:space="0" w:color="DCE6F1"/>
              <w:left w:val="nil"/>
              <w:bottom w:val="single" w:sz="4" w:space="0" w:color="DCE6F1"/>
              <w:right w:val="nil"/>
            </w:tcBorders>
            <w:shd w:val="clear" w:color="95B3D7" w:fill="95B3D7"/>
            <w:noWrap/>
            <w:vAlign w:val="bottom"/>
            <w:hideMark/>
          </w:tcPr>
          <w:p w14:paraId="213D28AD" w14:textId="77777777" w:rsidR="00643D7F" w:rsidRPr="00643D7F" w:rsidRDefault="00643D7F" w:rsidP="00643D7F">
            <w:pPr>
              <w:spacing w:after="0" w:line="240" w:lineRule="auto"/>
              <w:rPr>
                <w:rFonts w:cs="Calibri"/>
                <w:sz w:val="20"/>
                <w:szCs w:val="20"/>
                <w:lang w:eastAsia="sk-SK"/>
              </w:rPr>
            </w:pPr>
          </w:p>
        </w:tc>
        <w:tc>
          <w:tcPr>
            <w:tcW w:w="1467" w:type="dxa"/>
            <w:tcBorders>
              <w:top w:val="single" w:sz="4" w:space="0" w:color="DCE6F1"/>
              <w:left w:val="nil"/>
              <w:bottom w:val="single" w:sz="4" w:space="0" w:color="DCE6F1"/>
              <w:right w:val="nil"/>
            </w:tcBorders>
            <w:shd w:val="clear" w:color="95B3D7" w:fill="95B3D7"/>
            <w:noWrap/>
            <w:vAlign w:val="bottom"/>
            <w:hideMark/>
          </w:tcPr>
          <w:p w14:paraId="424E299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21 173,71</w:t>
            </w:r>
          </w:p>
        </w:tc>
        <w:tc>
          <w:tcPr>
            <w:tcW w:w="1345" w:type="dxa"/>
            <w:tcBorders>
              <w:top w:val="single" w:sz="4" w:space="0" w:color="DCE6F1"/>
              <w:left w:val="nil"/>
              <w:bottom w:val="single" w:sz="4" w:space="0" w:color="DCE6F1"/>
              <w:right w:val="nil"/>
            </w:tcBorders>
            <w:shd w:val="clear" w:color="95B3D7" w:fill="95B3D7"/>
            <w:noWrap/>
            <w:vAlign w:val="bottom"/>
            <w:hideMark/>
          </w:tcPr>
          <w:p w14:paraId="4B9EA7A0"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13 446,97</w:t>
            </w:r>
          </w:p>
        </w:tc>
        <w:tc>
          <w:tcPr>
            <w:tcW w:w="1467" w:type="dxa"/>
            <w:tcBorders>
              <w:top w:val="nil"/>
              <w:left w:val="nil"/>
              <w:bottom w:val="single" w:sz="4" w:space="0" w:color="DCE6F1"/>
              <w:right w:val="nil"/>
            </w:tcBorders>
            <w:shd w:val="clear" w:color="95B3D7" w:fill="95B3D7"/>
            <w:noWrap/>
            <w:vAlign w:val="bottom"/>
            <w:hideMark/>
          </w:tcPr>
          <w:p w14:paraId="2091852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63,51%</w:t>
            </w:r>
          </w:p>
        </w:tc>
      </w:tr>
      <w:tr w:rsidR="00643D7F" w:rsidRPr="00643D7F" w14:paraId="292FB511"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20EAECBC"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6F88AF40"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69B82AF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21 173,71</w:t>
            </w:r>
          </w:p>
        </w:tc>
        <w:tc>
          <w:tcPr>
            <w:tcW w:w="1345" w:type="dxa"/>
            <w:tcBorders>
              <w:top w:val="single" w:sz="4" w:space="0" w:color="DCE6F1"/>
              <w:left w:val="nil"/>
              <w:bottom w:val="single" w:sz="4" w:space="0" w:color="DCE6F1"/>
              <w:right w:val="nil"/>
            </w:tcBorders>
            <w:shd w:val="clear" w:color="000000" w:fill="F2F2F2"/>
            <w:noWrap/>
            <w:vAlign w:val="bottom"/>
            <w:hideMark/>
          </w:tcPr>
          <w:p w14:paraId="5955950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13 446,97</w:t>
            </w:r>
          </w:p>
        </w:tc>
        <w:tc>
          <w:tcPr>
            <w:tcW w:w="1467" w:type="dxa"/>
            <w:tcBorders>
              <w:top w:val="nil"/>
              <w:left w:val="nil"/>
              <w:bottom w:val="single" w:sz="4" w:space="0" w:color="DCE6F1"/>
              <w:right w:val="nil"/>
            </w:tcBorders>
            <w:shd w:val="clear" w:color="000000" w:fill="F2F2F2"/>
            <w:noWrap/>
            <w:vAlign w:val="bottom"/>
            <w:hideMark/>
          </w:tcPr>
          <w:p w14:paraId="43442AE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63,51%</w:t>
            </w:r>
          </w:p>
        </w:tc>
      </w:tr>
      <w:tr w:rsidR="00643D7F" w:rsidRPr="00643D7F" w14:paraId="4FF8523D" w14:textId="77777777" w:rsidTr="00A35E59">
        <w:trPr>
          <w:trHeight w:val="250"/>
        </w:trPr>
        <w:tc>
          <w:tcPr>
            <w:tcW w:w="4627" w:type="dxa"/>
            <w:tcBorders>
              <w:top w:val="single" w:sz="4" w:space="0" w:color="DCE6F1"/>
              <w:left w:val="nil"/>
              <w:bottom w:val="single" w:sz="4" w:space="0" w:color="DCE6F1"/>
              <w:right w:val="nil"/>
            </w:tcBorders>
            <w:shd w:val="clear" w:color="95B3D7" w:fill="95B3D7"/>
            <w:noWrap/>
            <w:vAlign w:val="bottom"/>
            <w:hideMark/>
          </w:tcPr>
          <w:p w14:paraId="26422764" w14:textId="77777777" w:rsidR="00643D7F" w:rsidRPr="00643D7F" w:rsidRDefault="00643D7F" w:rsidP="00643D7F">
            <w:pPr>
              <w:spacing w:after="0" w:line="240" w:lineRule="auto"/>
              <w:rPr>
                <w:rFonts w:cs="Calibri"/>
                <w:sz w:val="20"/>
                <w:szCs w:val="20"/>
                <w:lang w:eastAsia="sk-SK"/>
              </w:rPr>
            </w:pPr>
            <w:proofErr w:type="spellStart"/>
            <w:r w:rsidRPr="00643D7F">
              <w:rPr>
                <w:rFonts w:cs="Calibri"/>
                <w:sz w:val="20"/>
                <w:szCs w:val="20"/>
                <w:lang w:eastAsia="sk-SK"/>
              </w:rPr>
              <w:t>Transdanube.Pearls</w:t>
            </w:r>
            <w:proofErr w:type="spellEnd"/>
            <w:r w:rsidRPr="00643D7F">
              <w:rPr>
                <w:rFonts w:cs="Calibri"/>
                <w:sz w:val="20"/>
                <w:szCs w:val="20"/>
                <w:lang w:eastAsia="sk-SK"/>
              </w:rPr>
              <w:t>/Danube</w:t>
            </w:r>
          </w:p>
        </w:tc>
        <w:tc>
          <w:tcPr>
            <w:tcW w:w="1794" w:type="dxa"/>
            <w:tcBorders>
              <w:top w:val="single" w:sz="4" w:space="0" w:color="DCE6F1"/>
              <w:left w:val="nil"/>
              <w:bottom w:val="single" w:sz="4" w:space="0" w:color="DCE6F1"/>
              <w:right w:val="nil"/>
            </w:tcBorders>
            <w:shd w:val="clear" w:color="95B3D7" w:fill="95B3D7"/>
            <w:noWrap/>
            <w:vAlign w:val="bottom"/>
            <w:hideMark/>
          </w:tcPr>
          <w:p w14:paraId="52EDF57A" w14:textId="77777777" w:rsidR="00643D7F" w:rsidRPr="00643D7F" w:rsidRDefault="00643D7F" w:rsidP="00643D7F">
            <w:pPr>
              <w:spacing w:after="0" w:line="240" w:lineRule="auto"/>
              <w:rPr>
                <w:rFonts w:cs="Calibri"/>
                <w:sz w:val="20"/>
                <w:szCs w:val="20"/>
                <w:lang w:eastAsia="sk-SK"/>
              </w:rPr>
            </w:pPr>
          </w:p>
        </w:tc>
        <w:tc>
          <w:tcPr>
            <w:tcW w:w="1467" w:type="dxa"/>
            <w:tcBorders>
              <w:top w:val="single" w:sz="4" w:space="0" w:color="DCE6F1"/>
              <w:left w:val="nil"/>
              <w:bottom w:val="single" w:sz="4" w:space="0" w:color="DCE6F1"/>
              <w:right w:val="nil"/>
            </w:tcBorders>
            <w:shd w:val="clear" w:color="95B3D7" w:fill="95B3D7"/>
            <w:noWrap/>
            <w:vAlign w:val="bottom"/>
            <w:hideMark/>
          </w:tcPr>
          <w:p w14:paraId="0DEF3479"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13 150,59</w:t>
            </w:r>
          </w:p>
        </w:tc>
        <w:tc>
          <w:tcPr>
            <w:tcW w:w="1345" w:type="dxa"/>
            <w:tcBorders>
              <w:top w:val="single" w:sz="4" w:space="0" w:color="DCE6F1"/>
              <w:left w:val="nil"/>
              <w:bottom w:val="single" w:sz="4" w:space="0" w:color="DCE6F1"/>
              <w:right w:val="nil"/>
            </w:tcBorders>
            <w:shd w:val="clear" w:color="95B3D7" w:fill="95B3D7"/>
            <w:noWrap/>
            <w:vAlign w:val="bottom"/>
            <w:hideMark/>
          </w:tcPr>
          <w:p w14:paraId="2CBCAFB2" w14:textId="77777777" w:rsidR="00643D7F" w:rsidRPr="00643D7F" w:rsidRDefault="00643D7F" w:rsidP="00643D7F">
            <w:pPr>
              <w:spacing w:after="0" w:line="240" w:lineRule="auto"/>
              <w:jc w:val="right"/>
              <w:rPr>
                <w:rFonts w:cs="Calibri"/>
                <w:sz w:val="20"/>
                <w:szCs w:val="20"/>
                <w:lang w:eastAsia="sk-SK"/>
              </w:rPr>
            </w:pPr>
          </w:p>
        </w:tc>
        <w:tc>
          <w:tcPr>
            <w:tcW w:w="1467" w:type="dxa"/>
            <w:tcBorders>
              <w:top w:val="nil"/>
              <w:left w:val="nil"/>
              <w:bottom w:val="single" w:sz="4" w:space="0" w:color="DCE6F1"/>
              <w:right w:val="nil"/>
            </w:tcBorders>
            <w:shd w:val="clear" w:color="95B3D7" w:fill="95B3D7"/>
            <w:noWrap/>
            <w:vAlign w:val="bottom"/>
            <w:hideMark/>
          </w:tcPr>
          <w:p w14:paraId="5DACF9CF"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569B5984" w14:textId="77777777" w:rsidTr="00A35E59">
        <w:trPr>
          <w:trHeight w:val="250"/>
        </w:trPr>
        <w:tc>
          <w:tcPr>
            <w:tcW w:w="4627" w:type="dxa"/>
            <w:tcBorders>
              <w:top w:val="single" w:sz="4" w:space="0" w:color="DCE6F1"/>
              <w:left w:val="nil"/>
              <w:bottom w:val="single" w:sz="4" w:space="0" w:color="DCE6F1"/>
              <w:right w:val="nil"/>
            </w:tcBorders>
            <w:shd w:val="clear" w:color="000000" w:fill="F2F2F2"/>
            <w:noWrap/>
            <w:vAlign w:val="bottom"/>
            <w:hideMark/>
          </w:tcPr>
          <w:p w14:paraId="0477D86A" w14:textId="77777777" w:rsidR="00643D7F" w:rsidRPr="00643D7F" w:rsidRDefault="00643D7F" w:rsidP="00643D7F">
            <w:pPr>
              <w:spacing w:after="0" w:line="240" w:lineRule="auto"/>
              <w:ind w:firstLineChars="100" w:firstLine="200"/>
              <w:rPr>
                <w:rFonts w:cs="Calibri"/>
                <w:sz w:val="20"/>
                <w:szCs w:val="20"/>
                <w:lang w:eastAsia="sk-SK"/>
              </w:rPr>
            </w:pPr>
            <w:r w:rsidRPr="00643D7F">
              <w:rPr>
                <w:rFonts w:cs="Calibri"/>
                <w:sz w:val="20"/>
                <w:szCs w:val="20"/>
                <w:lang w:eastAsia="sk-SK"/>
              </w:rPr>
              <w:t>Bežné výdavky</w:t>
            </w:r>
          </w:p>
        </w:tc>
        <w:tc>
          <w:tcPr>
            <w:tcW w:w="1794" w:type="dxa"/>
            <w:tcBorders>
              <w:top w:val="single" w:sz="4" w:space="0" w:color="DCE6F1"/>
              <w:left w:val="nil"/>
              <w:bottom w:val="single" w:sz="4" w:space="0" w:color="DCE6F1"/>
              <w:right w:val="nil"/>
            </w:tcBorders>
            <w:shd w:val="clear" w:color="000000" w:fill="F2F2F2"/>
            <w:noWrap/>
            <w:vAlign w:val="bottom"/>
            <w:hideMark/>
          </w:tcPr>
          <w:p w14:paraId="04B5FD5A"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single" w:sz="4" w:space="0" w:color="DCE6F1"/>
              <w:left w:val="nil"/>
              <w:bottom w:val="single" w:sz="4" w:space="0" w:color="DCE6F1"/>
              <w:right w:val="nil"/>
            </w:tcBorders>
            <w:shd w:val="clear" w:color="000000" w:fill="F2F2F2"/>
            <w:noWrap/>
            <w:vAlign w:val="bottom"/>
            <w:hideMark/>
          </w:tcPr>
          <w:p w14:paraId="54C52AEE"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13 150,59</w:t>
            </w:r>
          </w:p>
        </w:tc>
        <w:tc>
          <w:tcPr>
            <w:tcW w:w="1345" w:type="dxa"/>
            <w:tcBorders>
              <w:top w:val="single" w:sz="4" w:space="0" w:color="DCE6F1"/>
              <w:left w:val="nil"/>
              <w:bottom w:val="single" w:sz="4" w:space="0" w:color="DCE6F1"/>
              <w:right w:val="nil"/>
            </w:tcBorders>
            <w:shd w:val="clear" w:color="000000" w:fill="F2F2F2"/>
            <w:noWrap/>
            <w:vAlign w:val="bottom"/>
            <w:hideMark/>
          </w:tcPr>
          <w:p w14:paraId="2B0CC002" w14:textId="77777777" w:rsidR="00643D7F" w:rsidRPr="00643D7F" w:rsidRDefault="00643D7F" w:rsidP="00643D7F">
            <w:pPr>
              <w:spacing w:after="0" w:line="240" w:lineRule="auto"/>
              <w:rPr>
                <w:rFonts w:cs="Calibri"/>
                <w:sz w:val="20"/>
                <w:szCs w:val="20"/>
                <w:lang w:eastAsia="sk-SK"/>
              </w:rPr>
            </w:pPr>
            <w:r w:rsidRPr="00643D7F">
              <w:rPr>
                <w:rFonts w:cs="Calibri"/>
                <w:sz w:val="20"/>
                <w:szCs w:val="20"/>
                <w:lang w:eastAsia="sk-SK"/>
              </w:rPr>
              <w:t> </w:t>
            </w:r>
          </w:p>
        </w:tc>
        <w:tc>
          <w:tcPr>
            <w:tcW w:w="1467" w:type="dxa"/>
            <w:tcBorders>
              <w:top w:val="nil"/>
              <w:left w:val="nil"/>
              <w:bottom w:val="single" w:sz="4" w:space="0" w:color="DCE6F1"/>
              <w:right w:val="nil"/>
            </w:tcBorders>
            <w:shd w:val="clear" w:color="000000" w:fill="F2F2F2"/>
            <w:noWrap/>
            <w:vAlign w:val="bottom"/>
            <w:hideMark/>
          </w:tcPr>
          <w:p w14:paraId="232ED483" w14:textId="77777777" w:rsidR="00643D7F" w:rsidRPr="00643D7F" w:rsidRDefault="00643D7F" w:rsidP="00643D7F">
            <w:pPr>
              <w:spacing w:after="0" w:line="240" w:lineRule="auto"/>
              <w:jc w:val="right"/>
              <w:rPr>
                <w:rFonts w:cs="Calibri"/>
                <w:sz w:val="20"/>
                <w:szCs w:val="20"/>
                <w:lang w:eastAsia="sk-SK"/>
              </w:rPr>
            </w:pPr>
            <w:r w:rsidRPr="00643D7F">
              <w:rPr>
                <w:rFonts w:cs="Calibri"/>
                <w:sz w:val="20"/>
                <w:szCs w:val="20"/>
                <w:lang w:eastAsia="sk-SK"/>
              </w:rPr>
              <w:t>0,00%</w:t>
            </w:r>
          </w:p>
        </w:tc>
      </w:tr>
      <w:tr w:rsidR="00643D7F" w:rsidRPr="00643D7F" w14:paraId="2E9DFC93" w14:textId="77777777" w:rsidTr="00A35E59">
        <w:trPr>
          <w:trHeight w:val="262"/>
        </w:trPr>
        <w:tc>
          <w:tcPr>
            <w:tcW w:w="4627" w:type="dxa"/>
            <w:tcBorders>
              <w:top w:val="double" w:sz="6" w:space="0" w:color="366092"/>
              <w:left w:val="nil"/>
              <w:bottom w:val="nil"/>
              <w:right w:val="nil"/>
            </w:tcBorders>
            <w:shd w:val="clear" w:color="auto" w:fill="auto"/>
            <w:noWrap/>
            <w:vAlign w:val="bottom"/>
            <w:hideMark/>
          </w:tcPr>
          <w:p w14:paraId="6908C856" w14:textId="77777777" w:rsidR="00643D7F" w:rsidRPr="00643D7F" w:rsidRDefault="00643D7F" w:rsidP="00643D7F">
            <w:pPr>
              <w:spacing w:after="0" w:line="240" w:lineRule="auto"/>
              <w:rPr>
                <w:rFonts w:cs="Calibri"/>
                <w:b/>
                <w:bCs/>
                <w:sz w:val="20"/>
                <w:szCs w:val="20"/>
                <w:lang w:eastAsia="sk-SK"/>
              </w:rPr>
            </w:pPr>
            <w:r w:rsidRPr="00643D7F">
              <w:rPr>
                <w:rFonts w:cs="Calibri"/>
                <w:b/>
                <w:bCs/>
                <w:sz w:val="20"/>
                <w:szCs w:val="20"/>
                <w:lang w:eastAsia="sk-SK"/>
              </w:rPr>
              <w:t>Celkový súčet</w:t>
            </w:r>
          </w:p>
        </w:tc>
        <w:tc>
          <w:tcPr>
            <w:tcW w:w="1794" w:type="dxa"/>
            <w:tcBorders>
              <w:top w:val="double" w:sz="6" w:space="0" w:color="366092"/>
              <w:left w:val="nil"/>
              <w:bottom w:val="nil"/>
              <w:right w:val="nil"/>
            </w:tcBorders>
            <w:shd w:val="clear" w:color="auto" w:fill="auto"/>
            <w:noWrap/>
            <w:vAlign w:val="bottom"/>
            <w:hideMark/>
          </w:tcPr>
          <w:p w14:paraId="10FA82E8" w14:textId="77777777" w:rsidR="00643D7F" w:rsidRPr="00643D7F" w:rsidRDefault="00643D7F" w:rsidP="00643D7F">
            <w:pPr>
              <w:spacing w:after="0" w:line="240" w:lineRule="auto"/>
              <w:jc w:val="right"/>
              <w:rPr>
                <w:rFonts w:cs="Calibri"/>
                <w:b/>
                <w:bCs/>
                <w:sz w:val="20"/>
                <w:szCs w:val="20"/>
                <w:lang w:eastAsia="sk-SK"/>
              </w:rPr>
            </w:pPr>
            <w:r w:rsidRPr="00643D7F">
              <w:rPr>
                <w:rFonts w:cs="Calibri"/>
                <w:b/>
                <w:bCs/>
                <w:sz w:val="20"/>
                <w:szCs w:val="20"/>
                <w:lang w:eastAsia="sk-SK"/>
              </w:rPr>
              <w:t>14 049 880,14</w:t>
            </w:r>
          </w:p>
        </w:tc>
        <w:tc>
          <w:tcPr>
            <w:tcW w:w="1467" w:type="dxa"/>
            <w:tcBorders>
              <w:top w:val="double" w:sz="6" w:space="0" w:color="366092"/>
              <w:left w:val="nil"/>
              <w:bottom w:val="nil"/>
              <w:right w:val="nil"/>
            </w:tcBorders>
            <w:shd w:val="clear" w:color="auto" w:fill="auto"/>
            <w:noWrap/>
            <w:vAlign w:val="bottom"/>
            <w:hideMark/>
          </w:tcPr>
          <w:p w14:paraId="757CB4D3" w14:textId="77777777" w:rsidR="00643D7F" w:rsidRPr="00643D7F" w:rsidRDefault="00643D7F" w:rsidP="00643D7F">
            <w:pPr>
              <w:spacing w:after="0" w:line="240" w:lineRule="auto"/>
              <w:jc w:val="right"/>
              <w:rPr>
                <w:rFonts w:cs="Calibri"/>
                <w:b/>
                <w:bCs/>
                <w:sz w:val="20"/>
                <w:szCs w:val="20"/>
                <w:lang w:eastAsia="sk-SK"/>
              </w:rPr>
            </w:pPr>
            <w:r w:rsidRPr="00643D7F">
              <w:rPr>
                <w:rFonts w:cs="Calibri"/>
                <w:b/>
                <w:bCs/>
                <w:sz w:val="20"/>
                <w:szCs w:val="20"/>
                <w:lang w:eastAsia="sk-SK"/>
              </w:rPr>
              <w:t>13 980 617,10</w:t>
            </w:r>
          </w:p>
        </w:tc>
        <w:tc>
          <w:tcPr>
            <w:tcW w:w="1345" w:type="dxa"/>
            <w:tcBorders>
              <w:top w:val="double" w:sz="6" w:space="0" w:color="366092"/>
              <w:left w:val="nil"/>
              <w:bottom w:val="nil"/>
              <w:right w:val="nil"/>
            </w:tcBorders>
            <w:shd w:val="clear" w:color="auto" w:fill="auto"/>
            <w:noWrap/>
            <w:vAlign w:val="bottom"/>
            <w:hideMark/>
          </w:tcPr>
          <w:p w14:paraId="4C320BD8" w14:textId="77777777" w:rsidR="00643D7F" w:rsidRPr="00643D7F" w:rsidRDefault="00643D7F" w:rsidP="00643D7F">
            <w:pPr>
              <w:spacing w:after="0" w:line="240" w:lineRule="auto"/>
              <w:jc w:val="right"/>
              <w:rPr>
                <w:rFonts w:cs="Calibri"/>
                <w:b/>
                <w:bCs/>
                <w:sz w:val="20"/>
                <w:szCs w:val="20"/>
                <w:lang w:eastAsia="sk-SK"/>
              </w:rPr>
            </w:pPr>
            <w:r w:rsidRPr="00643D7F">
              <w:rPr>
                <w:rFonts w:cs="Calibri"/>
                <w:b/>
                <w:bCs/>
                <w:sz w:val="20"/>
                <w:szCs w:val="20"/>
                <w:lang w:eastAsia="sk-SK"/>
              </w:rPr>
              <w:t>4 573 975,21</w:t>
            </w:r>
          </w:p>
        </w:tc>
        <w:tc>
          <w:tcPr>
            <w:tcW w:w="1467" w:type="dxa"/>
            <w:tcBorders>
              <w:top w:val="double" w:sz="6" w:space="0" w:color="366092"/>
              <w:left w:val="nil"/>
              <w:bottom w:val="nil"/>
              <w:right w:val="nil"/>
            </w:tcBorders>
            <w:shd w:val="clear" w:color="auto" w:fill="auto"/>
            <w:noWrap/>
            <w:vAlign w:val="bottom"/>
            <w:hideMark/>
          </w:tcPr>
          <w:p w14:paraId="36FD4DCA" w14:textId="77777777" w:rsidR="00643D7F" w:rsidRPr="00643D7F" w:rsidRDefault="00643D7F" w:rsidP="00643D7F">
            <w:pPr>
              <w:spacing w:after="0" w:line="240" w:lineRule="auto"/>
              <w:jc w:val="right"/>
              <w:rPr>
                <w:rFonts w:cs="Calibri"/>
                <w:b/>
                <w:bCs/>
                <w:sz w:val="20"/>
                <w:szCs w:val="20"/>
                <w:lang w:eastAsia="sk-SK"/>
              </w:rPr>
            </w:pPr>
            <w:r w:rsidRPr="00643D7F">
              <w:rPr>
                <w:rFonts w:cs="Calibri"/>
                <w:b/>
                <w:bCs/>
                <w:sz w:val="20"/>
                <w:szCs w:val="20"/>
                <w:lang w:eastAsia="sk-SK"/>
              </w:rPr>
              <w:t>32,72%</w:t>
            </w:r>
          </w:p>
        </w:tc>
      </w:tr>
    </w:tbl>
    <w:p w14:paraId="138E10F5" w14:textId="4C2D4D96" w:rsidR="0042711A" w:rsidRPr="00A35E59" w:rsidRDefault="0042711A" w:rsidP="00BE704E">
      <w:pPr>
        <w:spacing w:after="0" w:line="240" w:lineRule="auto"/>
        <w:jc w:val="both"/>
        <w:rPr>
          <w:rFonts w:cs="Calibri"/>
          <w:sz w:val="20"/>
          <w:szCs w:val="20"/>
          <w:lang w:eastAsia="sk-SK"/>
        </w:rPr>
      </w:pPr>
    </w:p>
    <w:p w14:paraId="784B6917" w14:textId="1C1A9822" w:rsidR="00A35E59" w:rsidRPr="00A35E59" w:rsidRDefault="00A35E59" w:rsidP="00D21561">
      <w:pPr>
        <w:spacing w:before="100" w:beforeAutospacing="1" w:after="100" w:afterAutospacing="1" w:line="240" w:lineRule="auto"/>
        <w:jc w:val="both"/>
        <w:rPr>
          <w:rFonts w:cs="Calibri"/>
          <w:sz w:val="24"/>
          <w:szCs w:val="24"/>
        </w:rPr>
      </w:pPr>
      <w:r>
        <w:rPr>
          <w:rFonts w:cs="Calibri"/>
          <w:sz w:val="24"/>
          <w:szCs w:val="24"/>
        </w:rPr>
        <w:lastRenderedPageBreak/>
        <w:t>V</w:t>
      </w:r>
      <w:r w:rsidRPr="00A35E59">
        <w:rPr>
          <w:rFonts w:cs="Calibri"/>
          <w:sz w:val="24"/>
          <w:szCs w:val="24"/>
        </w:rPr>
        <w:t>ýdavk</w:t>
      </w:r>
      <w:r>
        <w:rPr>
          <w:rFonts w:cs="Calibri"/>
          <w:sz w:val="24"/>
          <w:szCs w:val="24"/>
        </w:rPr>
        <w:t xml:space="preserve">y </w:t>
      </w:r>
      <w:r w:rsidRPr="00A35E59">
        <w:rPr>
          <w:rFonts w:cs="Calibri"/>
          <w:sz w:val="24"/>
          <w:szCs w:val="24"/>
        </w:rPr>
        <w:t>v rámci proj</w:t>
      </w:r>
      <w:r>
        <w:rPr>
          <w:rFonts w:cs="Calibri"/>
          <w:sz w:val="24"/>
          <w:szCs w:val="24"/>
        </w:rPr>
        <w:t>ektov</w:t>
      </w:r>
      <w:r w:rsidRPr="00A35E59">
        <w:rPr>
          <w:rFonts w:cs="Calibri"/>
          <w:sz w:val="24"/>
          <w:szCs w:val="24"/>
        </w:rPr>
        <w:t xml:space="preserve"> BSK bol</w:t>
      </w:r>
      <w:r>
        <w:rPr>
          <w:rFonts w:cs="Calibri"/>
          <w:sz w:val="24"/>
          <w:szCs w:val="24"/>
        </w:rPr>
        <w:t>i</w:t>
      </w:r>
      <w:r w:rsidRPr="00A35E59">
        <w:rPr>
          <w:rFonts w:cs="Calibri"/>
          <w:sz w:val="24"/>
          <w:szCs w:val="24"/>
        </w:rPr>
        <w:t xml:space="preserve"> </w:t>
      </w:r>
      <w:r>
        <w:rPr>
          <w:rFonts w:cs="Calibri"/>
          <w:sz w:val="24"/>
          <w:szCs w:val="24"/>
        </w:rPr>
        <w:t>č</w:t>
      </w:r>
      <w:r w:rsidRPr="00A35E59">
        <w:rPr>
          <w:rFonts w:cs="Calibri"/>
          <w:sz w:val="24"/>
          <w:szCs w:val="24"/>
        </w:rPr>
        <w:t>erpan</w:t>
      </w:r>
      <w:r>
        <w:rPr>
          <w:rFonts w:cs="Calibri"/>
          <w:sz w:val="24"/>
          <w:szCs w:val="24"/>
        </w:rPr>
        <w:t>é</w:t>
      </w:r>
      <w:r w:rsidRPr="00A35E59">
        <w:rPr>
          <w:rFonts w:cs="Calibri"/>
          <w:sz w:val="24"/>
          <w:szCs w:val="24"/>
        </w:rPr>
        <w:t xml:space="preserve"> na</w:t>
      </w:r>
      <w:r>
        <w:rPr>
          <w:rFonts w:cs="Calibri"/>
          <w:sz w:val="24"/>
          <w:szCs w:val="24"/>
        </w:rPr>
        <w:t>jmä</w:t>
      </w:r>
      <w:r w:rsidRPr="00A35E59">
        <w:rPr>
          <w:rFonts w:cs="Calibri"/>
          <w:sz w:val="24"/>
          <w:szCs w:val="24"/>
        </w:rPr>
        <w:t xml:space="preserve"> </w:t>
      </w:r>
      <w:r>
        <w:rPr>
          <w:rFonts w:cs="Calibri"/>
          <w:sz w:val="24"/>
          <w:szCs w:val="24"/>
        </w:rPr>
        <w:t>za</w:t>
      </w:r>
      <w:r w:rsidRPr="00A35E59">
        <w:rPr>
          <w:rFonts w:cs="Calibri"/>
          <w:sz w:val="24"/>
          <w:szCs w:val="24"/>
        </w:rPr>
        <w:t xml:space="preserve"> </w:t>
      </w:r>
      <w:r>
        <w:rPr>
          <w:rFonts w:cs="Calibri"/>
          <w:sz w:val="24"/>
          <w:szCs w:val="24"/>
        </w:rPr>
        <w:t>stavebné práce, materiálno-technické vybavenie COVP, preposlané refundácie projektovým partnerom</w:t>
      </w:r>
      <w:r w:rsidR="005E686E">
        <w:rPr>
          <w:rFonts w:cs="Calibri"/>
          <w:sz w:val="24"/>
          <w:szCs w:val="24"/>
        </w:rPr>
        <w:t xml:space="preserve"> a </w:t>
      </w:r>
      <w:r w:rsidR="00BE1C7D">
        <w:rPr>
          <w:rFonts w:cs="Calibri"/>
          <w:sz w:val="24"/>
          <w:szCs w:val="24"/>
        </w:rPr>
        <w:t>na</w:t>
      </w:r>
      <w:r w:rsidR="005E686E">
        <w:rPr>
          <w:rFonts w:cs="Calibri"/>
          <w:sz w:val="24"/>
          <w:szCs w:val="24"/>
        </w:rPr>
        <w:t xml:space="preserve"> mzdové náklady tímom projektov.</w:t>
      </w:r>
    </w:p>
    <w:p w14:paraId="556D90D0" w14:textId="1A92441A" w:rsidR="00075CD1" w:rsidRDefault="000F24A4" w:rsidP="00D21561">
      <w:pPr>
        <w:spacing w:before="100" w:beforeAutospacing="1" w:after="100" w:afterAutospacing="1" w:line="240" w:lineRule="auto"/>
        <w:jc w:val="both"/>
        <w:rPr>
          <w:rFonts w:cs="Calibri"/>
          <w:sz w:val="24"/>
          <w:szCs w:val="24"/>
          <w:u w:val="single"/>
        </w:rPr>
      </w:pPr>
      <w:r w:rsidRPr="004D1FDC">
        <w:rPr>
          <w:rFonts w:cs="Calibri"/>
          <w:sz w:val="24"/>
          <w:szCs w:val="24"/>
          <w:u w:val="single"/>
        </w:rPr>
        <w:t>Graf</w:t>
      </w:r>
      <w:r>
        <w:rPr>
          <w:rFonts w:cs="Calibri"/>
          <w:sz w:val="24"/>
          <w:szCs w:val="24"/>
          <w:u w:val="single"/>
        </w:rPr>
        <w:t xml:space="preserve"> </w:t>
      </w:r>
      <w:r w:rsidR="003159A8">
        <w:rPr>
          <w:rFonts w:cs="Calibri"/>
          <w:sz w:val="24"/>
          <w:szCs w:val="24"/>
          <w:u w:val="single"/>
        </w:rPr>
        <w:t>1</w:t>
      </w:r>
      <w:r w:rsidR="00CB21FC">
        <w:rPr>
          <w:rFonts w:cs="Calibri"/>
          <w:sz w:val="24"/>
          <w:szCs w:val="24"/>
          <w:u w:val="single"/>
        </w:rPr>
        <w:t>6</w:t>
      </w:r>
      <w:r w:rsidRPr="004D1FDC">
        <w:rPr>
          <w:rFonts w:cs="Calibri"/>
          <w:sz w:val="24"/>
          <w:szCs w:val="24"/>
          <w:u w:val="single"/>
        </w:rPr>
        <w:t xml:space="preserve">: </w:t>
      </w:r>
      <w:r>
        <w:rPr>
          <w:rFonts w:cs="Calibri"/>
          <w:sz w:val="24"/>
          <w:szCs w:val="24"/>
          <w:u w:val="single"/>
        </w:rPr>
        <w:t>Č</w:t>
      </w:r>
      <w:r w:rsidRPr="004D1FDC">
        <w:rPr>
          <w:rFonts w:cs="Calibri"/>
          <w:sz w:val="24"/>
          <w:szCs w:val="24"/>
          <w:u w:val="single"/>
        </w:rPr>
        <w:t>erpani</w:t>
      </w:r>
      <w:r>
        <w:rPr>
          <w:rFonts w:cs="Calibri"/>
          <w:sz w:val="24"/>
          <w:szCs w:val="24"/>
          <w:u w:val="single"/>
        </w:rPr>
        <w:t>e</w:t>
      </w:r>
      <w:r w:rsidRPr="004D1FDC">
        <w:rPr>
          <w:rFonts w:cs="Calibri"/>
          <w:sz w:val="24"/>
          <w:szCs w:val="24"/>
          <w:u w:val="single"/>
        </w:rPr>
        <w:t xml:space="preserve"> výdavkov </w:t>
      </w:r>
      <w:r w:rsidR="00D21561">
        <w:rPr>
          <w:rFonts w:cs="Calibri"/>
          <w:sz w:val="24"/>
          <w:szCs w:val="24"/>
          <w:u w:val="single"/>
        </w:rPr>
        <w:t>projektov</w:t>
      </w:r>
      <w:r w:rsidRPr="004D1FDC">
        <w:rPr>
          <w:rFonts w:cs="Calibri"/>
          <w:sz w:val="24"/>
          <w:szCs w:val="24"/>
          <w:u w:val="single"/>
        </w:rPr>
        <w:t xml:space="preserve"> </w:t>
      </w:r>
      <w:r>
        <w:rPr>
          <w:rFonts w:cs="Calibri"/>
          <w:sz w:val="24"/>
          <w:szCs w:val="24"/>
          <w:u w:val="single"/>
        </w:rPr>
        <w:t>podľa zdroja financovania:</w:t>
      </w:r>
    </w:p>
    <w:p w14:paraId="1D42E6C0" w14:textId="1E123ADC" w:rsidR="00CB21FC" w:rsidRDefault="00CB21FC" w:rsidP="00D21561">
      <w:pPr>
        <w:spacing w:before="100" w:beforeAutospacing="1" w:after="100" w:afterAutospacing="1" w:line="240" w:lineRule="auto"/>
        <w:jc w:val="both"/>
        <w:rPr>
          <w:rFonts w:cs="Calibri"/>
          <w:sz w:val="24"/>
          <w:szCs w:val="24"/>
          <w:u w:val="single"/>
        </w:rPr>
      </w:pPr>
      <w:r>
        <w:rPr>
          <w:noProof/>
        </w:rPr>
        <w:drawing>
          <wp:inline distT="0" distB="0" distL="0" distR="0" wp14:anchorId="3C68C50A" wp14:editId="114018E7">
            <wp:extent cx="6663193" cy="1478943"/>
            <wp:effectExtent l="0" t="0" r="4445" b="6985"/>
            <wp:docPr id="32" name="Graf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79D25C6" w14:textId="77777777" w:rsidR="00BE704E" w:rsidRDefault="00BE704E" w:rsidP="00BE704E">
      <w:pPr>
        <w:spacing w:after="0" w:line="240" w:lineRule="auto"/>
        <w:jc w:val="both"/>
        <w:rPr>
          <w:rFonts w:cs="Calibri"/>
          <w:b/>
          <w:sz w:val="24"/>
          <w:szCs w:val="24"/>
          <w:lang w:eastAsia="sk-SK"/>
        </w:rPr>
      </w:pPr>
      <w:r w:rsidRPr="002846B7">
        <w:rPr>
          <w:rFonts w:cs="Calibri"/>
          <w:sz w:val="24"/>
          <w:szCs w:val="24"/>
          <w:lang w:eastAsia="sk-SK"/>
        </w:rPr>
        <w:t xml:space="preserve">Čerpanie výdavkov podľa </w:t>
      </w:r>
      <w:r w:rsidRPr="002846B7">
        <w:rPr>
          <w:rFonts w:cs="Calibri"/>
          <w:b/>
          <w:sz w:val="24"/>
          <w:szCs w:val="24"/>
          <w:lang w:eastAsia="sk-SK"/>
        </w:rPr>
        <w:t>programovej klasifikácie</w:t>
      </w:r>
      <w:r w:rsidRPr="002846B7">
        <w:rPr>
          <w:rFonts w:cs="Calibri"/>
          <w:sz w:val="24"/>
          <w:szCs w:val="24"/>
          <w:lang w:eastAsia="sk-SK"/>
        </w:rPr>
        <w:t xml:space="preserve"> a vyhodnotenie plnenia programového rozpočtu sa nachádza </w:t>
      </w:r>
      <w:r w:rsidRPr="002846B7">
        <w:rPr>
          <w:rFonts w:cs="Calibri"/>
          <w:b/>
          <w:sz w:val="24"/>
          <w:szCs w:val="24"/>
          <w:lang w:eastAsia="sk-SK"/>
        </w:rPr>
        <w:t>v časti L.</w:t>
      </w:r>
    </w:p>
    <w:p w14:paraId="753C5C2A" w14:textId="27A8AFF8" w:rsidR="00F03D05" w:rsidRDefault="00F03D05" w:rsidP="00A8068D">
      <w:pPr>
        <w:pStyle w:val="tl3"/>
        <w:spacing w:after="0"/>
        <w:ind w:firstLine="0"/>
        <w:rPr>
          <w:lang w:eastAsia="ar-SA"/>
        </w:rPr>
      </w:pPr>
    </w:p>
    <w:p w14:paraId="0D73888D" w14:textId="77777777" w:rsidR="00F03D05" w:rsidRDefault="00F03D05" w:rsidP="00A8068D">
      <w:pPr>
        <w:pStyle w:val="tl3"/>
        <w:spacing w:after="0"/>
        <w:ind w:firstLine="0"/>
        <w:rPr>
          <w:lang w:eastAsia="ar-SA"/>
        </w:rPr>
      </w:pPr>
    </w:p>
    <w:p w14:paraId="16518B36" w14:textId="77777777" w:rsidR="00A8068D" w:rsidRDefault="00A8068D" w:rsidP="00A8068D">
      <w:pPr>
        <w:pStyle w:val="tl3"/>
        <w:spacing w:after="0"/>
        <w:ind w:firstLine="0"/>
        <w:rPr>
          <w:lang w:eastAsia="ar-SA"/>
        </w:rPr>
      </w:pPr>
      <w:r w:rsidRPr="00E206E3">
        <w:rPr>
          <w:lang w:eastAsia="ar-SA"/>
        </w:rPr>
        <w:t>B.2.3  Výdavkové finančné operácie</w:t>
      </w:r>
    </w:p>
    <w:p w14:paraId="780619A3" w14:textId="77777777" w:rsidR="00A8068D" w:rsidRDefault="00A8068D" w:rsidP="00BE704E">
      <w:pPr>
        <w:spacing w:after="0" w:line="240" w:lineRule="auto"/>
        <w:jc w:val="both"/>
        <w:rPr>
          <w:rFonts w:cs="Calibri"/>
          <w:b/>
          <w:sz w:val="24"/>
          <w:szCs w:val="24"/>
          <w:lang w:eastAsia="sk-SK"/>
        </w:rPr>
      </w:pPr>
    </w:p>
    <w:p w14:paraId="18DE1BFF" w14:textId="77777777" w:rsidR="00DE0AE9" w:rsidRDefault="00BE704E" w:rsidP="00BE704E">
      <w:pPr>
        <w:tabs>
          <w:tab w:val="num" w:pos="1152"/>
        </w:tabs>
        <w:spacing w:after="0" w:line="240" w:lineRule="auto"/>
        <w:jc w:val="both"/>
        <w:rPr>
          <w:rFonts w:cs="Calibri"/>
          <w:sz w:val="24"/>
          <w:szCs w:val="24"/>
          <w:lang w:eastAsia="sk-SK"/>
        </w:rPr>
      </w:pPr>
      <w:r w:rsidRPr="00BE217D">
        <w:rPr>
          <w:rFonts w:cs="Calibri"/>
          <w:b/>
          <w:sz w:val="24"/>
          <w:szCs w:val="24"/>
          <w:lang w:eastAsia="ar-SA"/>
        </w:rPr>
        <w:t>Rozpočet  výdavkových  finančných</w:t>
      </w:r>
      <w:r>
        <w:rPr>
          <w:rFonts w:cs="Calibri"/>
          <w:b/>
          <w:sz w:val="24"/>
          <w:szCs w:val="24"/>
          <w:lang w:eastAsia="ar-SA"/>
        </w:rPr>
        <w:t xml:space="preserve"> </w:t>
      </w:r>
      <w:r w:rsidRPr="00A57AA9">
        <w:rPr>
          <w:rFonts w:cs="Calibri"/>
          <w:b/>
          <w:sz w:val="24"/>
          <w:szCs w:val="24"/>
          <w:lang w:eastAsia="ar-SA"/>
        </w:rPr>
        <w:t>operácií</w:t>
      </w:r>
      <w:r>
        <w:rPr>
          <w:rFonts w:cs="Calibri"/>
          <w:b/>
          <w:sz w:val="24"/>
          <w:szCs w:val="24"/>
          <w:lang w:eastAsia="ar-SA"/>
        </w:rPr>
        <w:t xml:space="preserve">  </w:t>
      </w:r>
      <w:r w:rsidRPr="00A57AA9">
        <w:rPr>
          <w:rFonts w:cs="Calibri"/>
          <w:sz w:val="24"/>
          <w:szCs w:val="24"/>
          <w:lang w:eastAsia="ar-SA"/>
        </w:rPr>
        <w:t>bol</w:t>
      </w:r>
      <w:r>
        <w:rPr>
          <w:rFonts w:cs="Calibri"/>
          <w:b/>
          <w:sz w:val="24"/>
          <w:szCs w:val="24"/>
          <w:lang w:eastAsia="ar-SA"/>
        </w:rPr>
        <w:t xml:space="preserve">  </w:t>
      </w:r>
      <w:r w:rsidRPr="00275892">
        <w:rPr>
          <w:rFonts w:cs="Calibri"/>
          <w:sz w:val="24"/>
          <w:szCs w:val="24"/>
          <w:lang w:eastAsia="ar-SA"/>
        </w:rPr>
        <w:t>na  rok</w:t>
      </w:r>
      <w:r>
        <w:rPr>
          <w:rFonts w:cs="Calibri"/>
          <w:sz w:val="24"/>
          <w:szCs w:val="24"/>
          <w:lang w:eastAsia="sk-SK"/>
        </w:rPr>
        <w:t xml:space="preserve"> 20</w:t>
      </w:r>
      <w:r w:rsidR="00F03D05">
        <w:rPr>
          <w:rFonts w:cs="Calibri"/>
          <w:sz w:val="24"/>
          <w:szCs w:val="24"/>
          <w:lang w:eastAsia="sk-SK"/>
        </w:rPr>
        <w:t>20</w:t>
      </w:r>
      <w:r w:rsidRPr="00CE24EC">
        <w:rPr>
          <w:rFonts w:cs="Calibri"/>
          <w:sz w:val="24"/>
          <w:szCs w:val="24"/>
          <w:lang w:eastAsia="sk-SK"/>
        </w:rPr>
        <w:t xml:space="preserve"> </w:t>
      </w:r>
      <w:r>
        <w:rPr>
          <w:rFonts w:cs="Calibri"/>
          <w:sz w:val="24"/>
          <w:szCs w:val="24"/>
          <w:lang w:eastAsia="sk-SK"/>
        </w:rPr>
        <w:t xml:space="preserve"> </w:t>
      </w:r>
      <w:r w:rsidRPr="00CE24EC">
        <w:rPr>
          <w:rFonts w:cs="Calibri"/>
          <w:b/>
          <w:sz w:val="24"/>
          <w:szCs w:val="24"/>
          <w:lang w:eastAsia="sk-SK"/>
        </w:rPr>
        <w:t>schválený</w:t>
      </w:r>
      <w:r w:rsidRPr="00CE24EC">
        <w:rPr>
          <w:rFonts w:cs="Calibri"/>
          <w:sz w:val="24"/>
          <w:szCs w:val="24"/>
          <w:lang w:eastAsia="sk-SK"/>
        </w:rPr>
        <w:t xml:space="preserve"> v</w:t>
      </w:r>
      <w:r>
        <w:rPr>
          <w:rFonts w:cs="Calibri"/>
          <w:sz w:val="24"/>
          <w:szCs w:val="24"/>
          <w:lang w:eastAsia="sk-SK"/>
        </w:rPr>
        <w:t> celkovom objeme</w:t>
      </w:r>
      <w:r w:rsidRPr="00CE24EC">
        <w:rPr>
          <w:rFonts w:cs="Calibri"/>
          <w:sz w:val="24"/>
          <w:szCs w:val="24"/>
          <w:lang w:eastAsia="sk-SK"/>
        </w:rPr>
        <w:t xml:space="preserve"> </w:t>
      </w:r>
      <w:r>
        <w:rPr>
          <w:rFonts w:cs="Calibri"/>
          <w:sz w:val="24"/>
          <w:szCs w:val="24"/>
          <w:lang w:eastAsia="sk-SK"/>
        </w:rPr>
        <w:br/>
      </w:r>
      <w:r w:rsidR="00DE0AE9" w:rsidRPr="00DE0AE9">
        <w:rPr>
          <w:rFonts w:cs="Calibri"/>
          <w:b/>
          <w:sz w:val="24"/>
          <w:szCs w:val="24"/>
          <w:lang w:eastAsia="sk-SK"/>
        </w:rPr>
        <w:t>4 075 168,42</w:t>
      </w:r>
      <w:r w:rsidR="00DE0AE9">
        <w:rPr>
          <w:rFonts w:cs="Calibri"/>
          <w:b/>
          <w:sz w:val="24"/>
          <w:szCs w:val="24"/>
          <w:lang w:eastAsia="sk-SK"/>
        </w:rPr>
        <w:t xml:space="preserve"> </w:t>
      </w:r>
      <w:r>
        <w:rPr>
          <w:rFonts w:cs="Calibri"/>
          <w:b/>
          <w:sz w:val="24"/>
          <w:szCs w:val="24"/>
          <w:lang w:eastAsia="sk-SK"/>
        </w:rPr>
        <w:t>E</w:t>
      </w:r>
      <w:r w:rsidRPr="00CE24EC">
        <w:rPr>
          <w:rFonts w:cs="Calibri"/>
          <w:b/>
          <w:sz w:val="24"/>
          <w:szCs w:val="24"/>
          <w:lang w:eastAsia="sk-SK"/>
        </w:rPr>
        <w:t>UR.</w:t>
      </w:r>
      <w:r>
        <w:rPr>
          <w:rFonts w:cs="Calibri"/>
          <w:sz w:val="24"/>
          <w:szCs w:val="24"/>
          <w:lang w:eastAsia="sk-SK"/>
        </w:rPr>
        <w:t xml:space="preserve">  K 31.12.20</w:t>
      </w:r>
      <w:r w:rsidR="00DE0AE9">
        <w:rPr>
          <w:rFonts w:cs="Calibri"/>
          <w:sz w:val="24"/>
          <w:szCs w:val="24"/>
          <w:lang w:eastAsia="sk-SK"/>
        </w:rPr>
        <w:t>20</w:t>
      </w:r>
      <w:r>
        <w:rPr>
          <w:rFonts w:cs="Calibri"/>
          <w:sz w:val="24"/>
          <w:szCs w:val="24"/>
          <w:lang w:eastAsia="sk-SK"/>
        </w:rPr>
        <w:t xml:space="preserve"> boli v</w:t>
      </w:r>
      <w:r w:rsidRPr="00CE24EC">
        <w:rPr>
          <w:rFonts w:cs="Calibri"/>
          <w:sz w:val="24"/>
          <w:szCs w:val="24"/>
          <w:lang w:eastAsia="sk-SK"/>
        </w:rPr>
        <w:t>ýdavkové finančné operácie</w:t>
      </w:r>
      <w:r w:rsidR="00DE0AE9">
        <w:rPr>
          <w:rFonts w:cs="Calibri"/>
          <w:sz w:val="24"/>
          <w:szCs w:val="24"/>
          <w:lang w:eastAsia="sk-SK"/>
        </w:rPr>
        <w:t xml:space="preserve"> </w:t>
      </w:r>
      <w:r w:rsidR="00DE0AE9" w:rsidRPr="001C0BE4">
        <w:rPr>
          <w:rFonts w:cs="Calibri"/>
          <w:b/>
          <w:bCs/>
          <w:sz w:val="24"/>
          <w:szCs w:val="24"/>
          <w:lang w:eastAsia="sk-SK"/>
        </w:rPr>
        <w:t xml:space="preserve">upravené </w:t>
      </w:r>
      <w:r w:rsidRPr="001C0BE4">
        <w:rPr>
          <w:rFonts w:cs="Calibri"/>
          <w:b/>
          <w:bCs/>
          <w:sz w:val="24"/>
          <w:szCs w:val="24"/>
          <w:lang w:eastAsia="sk-SK"/>
        </w:rPr>
        <w:t xml:space="preserve"> </w:t>
      </w:r>
      <w:r w:rsidR="00DE0AE9" w:rsidRPr="001C0BE4">
        <w:rPr>
          <w:rFonts w:cs="Calibri"/>
          <w:b/>
          <w:bCs/>
          <w:sz w:val="24"/>
          <w:szCs w:val="24"/>
          <w:lang w:eastAsia="sk-SK"/>
        </w:rPr>
        <w:t>o sumu 27 500, 00 EUR</w:t>
      </w:r>
      <w:r w:rsidR="00DE0AE9">
        <w:rPr>
          <w:rFonts w:cs="Calibri"/>
          <w:sz w:val="24"/>
          <w:szCs w:val="24"/>
          <w:lang w:eastAsia="sk-SK"/>
        </w:rPr>
        <w:t xml:space="preserve"> na splatenie </w:t>
      </w:r>
      <w:r w:rsidR="00DE0AE9" w:rsidRPr="00DE0AE9">
        <w:rPr>
          <w:rFonts w:cs="Calibri"/>
          <w:sz w:val="24"/>
          <w:szCs w:val="24"/>
          <w:lang w:eastAsia="sk-SK"/>
        </w:rPr>
        <w:t>peňažn</w:t>
      </w:r>
      <w:r w:rsidR="00DE0AE9">
        <w:rPr>
          <w:rFonts w:cs="Calibri"/>
          <w:sz w:val="24"/>
          <w:szCs w:val="24"/>
          <w:lang w:eastAsia="sk-SK"/>
        </w:rPr>
        <w:t>ého</w:t>
      </w:r>
      <w:r w:rsidR="00DE0AE9" w:rsidRPr="00DE0AE9">
        <w:rPr>
          <w:rFonts w:cs="Calibri"/>
          <w:sz w:val="24"/>
          <w:szCs w:val="24"/>
          <w:lang w:eastAsia="sk-SK"/>
        </w:rPr>
        <w:t xml:space="preserve"> vklad</w:t>
      </w:r>
      <w:r w:rsidR="00DE0AE9">
        <w:rPr>
          <w:rFonts w:cs="Calibri"/>
          <w:sz w:val="24"/>
          <w:szCs w:val="24"/>
          <w:lang w:eastAsia="sk-SK"/>
        </w:rPr>
        <w:t>u</w:t>
      </w:r>
      <w:r w:rsidR="00DE0AE9" w:rsidRPr="00DE0AE9">
        <w:rPr>
          <w:rFonts w:cs="Calibri"/>
          <w:sz w:val="24"/>
          <w:szCs w:val="24"/>
          <w:lang w:eastAsia="sk-SK"/>
        </w:rPr>
        <w:t xml:space="preserve"> do novozaloženej spoločnosti Regionálna správa ciest BSK </w:t>
      </w:r>
      <w:proofErr w:type="spellStart"/>
      <w:r w:rsidR="00DE0AE9" w:rsidRPr="00DE0AE9">
        <w:rPr>
          <w:rFonts w:cs="Calibri"/>
          <w:sz w:val="24"/>
          <w:szCs w:val="24"/>
          <w:lang w:eastAsia="sk-SK"/>
        </w:rPr>
        <w:t>a.s</w:t>
      </w:r>
      <w:proofErr w:type="spellEnd"/>
      <w:r w:rsidR="00DE0AE9" w:rsidRPr="00DE0AE9">
        <w:rPr>
          <w:rFonts w:cs="Calibri"/>
          <w:sz w:val="24"/>
          <w:szCs w:val="24"/>
          <w:lang w:eastAsia="sk-SK"/>
        </w:rPr>
        <w:t>.</w:t>
      </w:r>
      <w:r w:rsidR="00DE0AE9">
        <w:rPr>
          <w:rFonts w:cs="Calibri"/>
          <w:sz w:val="24"/>
          <w:szCs w:val="24"/>
          <w:lang w:eastAsia="sk-SK"/>
        </w:rPr>
        <w:t xml:space="preserve"> v zmysle </w:t>
      </w:r>
      <w:r w:rsidR="00DE0AE9" w:rsidRPr="00DE0AE9">
        <w:rPr>
          <w:rFonts w:cs="Calibri"/>
          <w:sz w:val="24"/>
          <w:szCs w:val="24"/>
          <w:lang w:eastAsia="sk-SK"/>
        </w:rPr>
        <w:t xml:space="preserve">UZN </w:t>
      </w:r>
    </w:p>
    <w:p w14:paraId="1D126BDE" w14:textId="43B2BCF0" w:rsidR="00D427C4" w:rsidRDefault="00DE0AE9" w:rsidP="00BE704E">
      <w:pPr>
        <w:tabs>
          <w:tab w:val="num" w:pos="1152"/>
        </w:tabs>
        <w:spacing w:after="0" w:line="240" w:lineRule="auto"/>
        <w:jc w:val="both"/>
        <w:rPr>
          <w:rFonts w:cs="Calibri"/>
          <w:sz w:val="24"/>
          <w:szCs w:val="24"/>
          <w:lang w:eastAsia="sk-SK"/>
        </w:rPr>
      </w:pPr>
      <w:r w:rsidRPr="00DE0AE9">
        <w:rPr>
          <w:rFonts w:cs="Calibri"/>
          <w:sz w:val="24"/>
          <w:szCs w:val="24"/>
          <w:lang w:eastAsia="sk-SK"/>
        </w:rPr>
        <w:t>č. 300/2020 zo dňa 16.10.2020</w:t>
      </w:r>
      <w:r>
        <w:rPr>
          <w:rFonts w:cs="Calibri"/>
          <w:sz w:val="24"/>
          <w:szCs w:val="24"/>
          <w:lang w:eastAsia="sk-SK"/>
        </w:rPr>
        <w:t xml:space="preserve"> a </w:t>
      </w:r>
      <w:r w:rsidR="00BE704E" w:rsidRPr="00CE24EC">
        <w:rPr>
          <w:rFonts w:cs="Calibri"/>
          <w:b/>
          <w:sz w:val="24"/>
          <w:szCs w:val="24"/>
          <w:lang w:eastAsia="sk-SK"/>
        </w:rPr>
        <w:t>čerpané</w:t>
      </w:r>
      <w:r w:rsidR="00BE704E" w:rsidRPr="00CE24EC">
        <w:rPr>
          <w:rFonts w:cs="Calibri"/>
          <w:sz w:val="24"/>
          <w:szCs w:val="24"/>
          <w:lang w:eastAsia="sk-SK"/>
        </w:rPr>
        <w:t xml:space="preserve"> vo výške </w:t>
      </w:r>
      <w:r w:rsidRPr="00DE0AE9">
        <w:rPr>
          <w:rFonts w:cs="Calibri"/>
          <w:b/>
          <w:bCs/>
          <w:sz w:val="24"/>
          <w:szCs w:val="24"/>
          <w:lang w:eastAsia="sk-SK"/>
        </w:rPr>
        <w:t>4 555 666,35</w:t>
      </w:r>
      <w:r>
        <w:rPr>
          <w:rFonts w:cs="Calibri"/>
          <w:b/>
          <w:bCs/>
          <w:sz w:val="24"/>
          <w:szCs w:val="24"/>
          <w:lang w:eastAsia="sk-SK"/>
        </w:rPr>
        <w:t xml:space="preserve"> </w:t>
      </w:r>
      <w:r w:rsidR="00D21561">
        <w:rPr>
          <w:rFonts w:cs="Calibri"/>
          <w:b/>
          <w:bCs/>
          <w:sz w:val="24"/>
          <w:szCs w:val="24"/>
          <w:lang w:eastAsia="sk-SK"/>
        </w:rPr>
        <w:t>E</w:t>
      </w:r>
      <w:r w:rsidR="00BE704E" w:rsidRPr="00CE24EC">
        <w:rPr>
          <w:rFonts w:cs="Calibri"/>
          <w:b/>
          <w:bCs/>
          <w:sz w:val="24"/>
          <w:szCs w:val="24"/>
          <w:lang w:eastAsia="sk-SK"/>
        </w:rPr>
        <w:t>UR</w:t>
      </w:r>
      <w:r w:rsidR="00BE704E" w:rsidRPr="00CE24EC">
        <w:rPr>
          <w:rFonts w:cs="Calibri"/>
          <w:b/>
          <w:sz w:val="24"/>
          <w:szCs w:val="24"/>
          <w:lang w:eastAsia="sk-SK"/>
        </w:rPr>
        <w:t>,</w:t>
      </w:r>
      <w:r w:rsidR="00BE704E" w:rsidRPr="00CE24EC">
        <w:rPr>
          <w:rFonts w:cs="Calibri"/>
          <w:sz w:val="24"/>
          <w:szCs w:val="24"/>
          <w:lang w:eastAsia="sk-SK"/>
        </w:rPr>
        <w:t xml:space="preserve"> čo predstavuje </w:t>
      </w:r>
      <w:r w:rsidR="00BE704E">
        <w:rPr>
          <w:rFonts w:cs="Calibri"/>
          <w:sz w:val="24"/>
          <w:szCs w:val="24"/>
          <w:lang w:eastAsia="sk-SK"/>
        </w:rPr>
        <w:t xml:space="preserve">čerpanie na </w:t>
      </w:r>
      <w:r>
        <w:rPr>
          <w:rFonts w:cs="Calibri"/>
          <w:sz w:val="24"/>
          <w:szCs w:val="24"/>
          <w:lang w:eastAsia="sk-SK"/>
        </w:rPr>
        <w:t>111</w:t>
      </w:r>
      <w:r w:rsidR="00AA17E5">
        <w:rPr>
          <w:rFonts w:cs="Calibri"/>
          <w:sz w:val="24"/>
          <w:szCs w:val="24"/>
          <w:lang w:eastAsia="sk-SK"/>
        </w:rPr>
        <w:t>,05</w:t>
      </w:r>
      <w:r w:rsidR="00BE704E" w:rsidRPr="00CD1E53">
        <w:rPr>
          <w:rFonts w:cs="Calibri"/>
          <w:b/>
          <w:bCs/>
          <w:sz w:val="24"/>
          <w:szCs w:val="24"/>
          <w:lang w:eastAsia="sk-SK"/>
        </w:rPr>
        <w:t>%.</w:t>
      </w:r>
      <w:r w:rsidR="00BE704E" w:rsidRPr="00CE24EC">
        <w:rPr>
          <w:rFonts w:cs="Calibri"/>
          <w:sz w:val="24"/>
          <w:szCs w:val="24"/>
          <w:lang w:eastAsia="sk-SK"/>
        </w:rPr>
        <w:t xml:space="preserve"> </w:t>
      </w:r>
    </w:p>
    <w:p w14:paraId="7CA8F528" w14:textId="4A9A0714" w:rsidR="001C0BE4" w:rsidRDefault="001C0BE4" w:rsidP="00BE704E">
      <w:pPr>
        <w:tabs>
          <w:tab w:val="num" w:pos="1152"/>
        </w:tabs>
        <w:spacing w:after="0" w:line="240" w:lineRule="auto"/>
        <w:jc w:val="both"/>
        <w:rPr>
          <w:rFonts w:cs="Calibri"/>
          <w:sz w:val="24"/>
          <w:szCs w:val="24"/>
          <w:lang w:eastAsia="sk-SK"/>
        </w:rPr>
      </w:pPr>
      <w:r>
        <w:rPr>
          <w:rFonts w:cs="Calibri"/>
          <w:sz w:val="24"/>
          <w:szCs w:val="24"/>
          <w:lang w:eastAsia="sk-SK"/>
        </w:rPr>
        <w:t>Čerpanie predstavuje:</w:t>
      </w:r>
    </w:p>
    <w:p w14:paraId="120E5F03" w14:textId="785052AF" w:rsidR="001C0BE4" w:rsidRDefault="001C0BE4" w:rsidP="001C0BE4">
      <w:pPr>
        <w:pStyle w:val="Odsekzoznamu"/>
        <w:numPr>
          <w:ilvl w:val="0"/>
          <w:numId w:val="21"/>
        </w:numPr>
        <w:tabs>
          <w:tab w:val="num" w:pos="1152"/>
        </w:tabs>
        <w:spacing w:after="0" w:line="240" w:lineRule="auto"/>
        <w:jc w:val="both"/>
        <w:rPr>
          <w:rFonts w:cs="Calibri"/>
          <w:sz w:val="24"/>
          <w:szCs w:val="24"/>
          <w:lang w:eastAsia="sk-SK"/>
        </w:rPr>
      </w:pPr>
      <w:r>
        <w:rPr>
          <w:rFonts w:cs="Calibri"/>
          <w:sz w:val="24"/>
          <w:szCs w:val="24"/>
          <w:lang w:eastAsia="sk-SK"/>
        </w:rPr>
        <w:t xml:space="preserve">suma 624 000,00 EUR – vrátené </w:t>
      </w:r>
      <w:r w:rsidR="006832D4" w:rsidRPr="005C0881">
        <w:rPr>
          <w:rFonts w:cs="Calibri"/>
          <w:sz w:val="24"/>
          <w:szCs w:val="24"/>
          <w:lang w:eastAsia="sk-SK"/>
        </w:rPr>
        <w:t>poskytnuté záruky (</w:t>
      </w:r>
      <w:proofErr w:type="spellStart"/>
      <w:r w:rsidR="006832D4" w:rsidRPr="005C0881">
        <w:rPr>
          <w:rFonts w:cs="Calibri"/>
          <w:sz w:val="24"/>
          <w:szCs w:val="24"/>
          <w:lang w:eastAsia="sk-SK"/>
        </w:rPr>
        <w:t>zabezpeky</w:t>
      </w:r>
      <w:proofErr w:type="spellEnd"/>
      <w:r w:rsidR="006832D4" w:rsidRPr="005C0881">
        <w:rPr>
          <w:rFonts w:cs="Calibri"/>
          <w:sz w:val="24"/>
          <w:szCs w:val="24"/>
          <w:lang w:eastAsia="sk-SK"/>
        </w:rPr>
        <w:t>) uchádzačov verejného obstarávania</w:t>
      </w:r>
      <w:r w:rsidR="00294874">
        <w:rPr>
          <w:rFonts w:cs="Calibri"/>
          <w:sz w:val="24"/>
          <w:szCs w:val="24"/>
          <w:lang w:eastAsia="sk-SK"/>
        </w:rPr>
        <w:t>,</w:t>
      </w:r>
    </w:p>
    <w:p w14:paraId="285F894B" w14:textId="7F4601EE" w:rsidR="001C0BE4" w:rsidRDefault="001C0BE4" w:rsidP="001C0BE4">
      <w:pPr>
        <w:pStyle w:val="Odsekzoznamu"/>
        <w:numPr>
          <w:ilvl w:val="0"/>
          <w:numId w:val="21"/>
        </w:numPr>
        <w:tabs>
          <w:tab w:val="num" w:pos="1152"/>
        </w:tabs>
        <w:spacing w:after="0" w:line="240" w:lineRule="auto"/>
        <w:jc w:val="both"/>
        <w:rPr>
          <w:rFonts w:cs="Calibri"/>
          <w:sz w:val="24"/>
          <w:szCs w:val="24"/>
          <w:lang w:eastAsia="sk-SK"/>
        </w:rPr>
      </w:pPr>
      <w:r>
        <w:rPr>
          <w:rFonts w:cs="Calibri"/>
          <w:sz w:val="24"/>
          <w:szCs w:val="24"/>
          <w:lang w:eastAsia="sk-SK"/>
        </w:rPr>
        <w:t xml:space="preserve">suma 27 500,00 EUR – splatený peňažný vklad </w:t>
      </w:r>
      <w:r w:rsidRPr="00DE0AE9">
        <w:rPr>
          <w:rFonts w:cs="Calibri"/>
          <w:sz w:val="24"/>
          <w:szCs w:val="24"/>
          <w:lang w:eastAsia="sk-SK"/>
        </w:rPr>
        <w:t xml:space="preserve">do novozaloženej spoločnosti Regionálna správa ciest BSK </w:t>
      </w:r>
      <w:proofErr w:type="spellStart"/>
      <w:r w:rsidRPr="00DE0AE9">
        <w:rPr>
          <w:rFonts w:cs="Calibri"/>
          <w:sz w:val="24"/>
          <w:szCs w:val="24"/>
          <w:lang w:eastAsia="sk-SK"/>
        </w:rPr>
        <w:t>a.s</w:t>
      </w:r>
      <w:proofErr w:type="spellEnd"/>
      <w:r w:rsidRPr="00DE0AE9">
        <w:rPr>
          <w:rFonts w:cs="Calibri"/>
          <w:sz w:val="24"/>
          <w:szCs w:val="24"/>
          <w:lang w:eastAsia="sk-SK"/>
        </w:rPr>
        <w:t>.</w:t>
      </w:r>
      <w:r w:rsidR="00294874">
        <w:rPr>
          <w:rFonts w:cs="Calibri"/>
          <w:sz w:val="24"/>
          <w:szCs w:val="24"/>
          <w:lang w:eastAsia="sk-SK"/>
        </w:rPr>
        <w:t>,</w:t>
      </w:r>
    </w:p>
    <w:p w14:paraId="075FC0EE" w14:textId="6044D0B8" w:rsidR="001C0BE4" w:rsidRDefault="001C0BE4" w:rsidP="001C0BE4">
      <w:pPr>
        <w:pStyle w:val="Odsekzoznamu"/>
        <w:numPr>
          <w:ilvl w:val="0"/>
          <w:numId w:val="21"/>
        </w:numPr>
        <w:tabs>
          <w:tab w:val="num" w:pos="1152"/>
        </w:tabs>
        <w:spacing w:after="0" w:line="240" w:lineRule="auto"/>
        <w:jc w:val="both"/>
        <w:rPr>
          <w:rFonts w:cs="Calibri"/>
          <w:sz w:val="24"/>
          <w:szCs w:val="24"/>
          <w:lang w:eastAsia="sk-SK"/>
        </w:rPr>
      </w:pPr>
      <w:r>
        <w:rPr>
          <w:rFonts w:cs="Calibri"/>
          <w:sz w:val="24"/>
          <w:szCs w:val="24"/>
          <w:lang w:eastAsia="sk-SK"/>
        </w:rPr>
        <w:t xml:space="preserve">suma 2,79 EUR – </w:t>
      </w:r>
      <w:proofErr w:type="spellStart"/>
      <w:r>
        <w:rPr>
          <w:rFonts w:cs="Calibri"/>
          <w:sz w:val="24"/>
          <w:szCs w:val="24"/>
          <w:lang w:eastAsia="sk-SK"/>
        </w:rPr>
        <w:t>kurové</w:t>
      </w:r>
      <w:proofErr w:type="spellEnd"/>
      <w:r>
        <w:rPr>
          <w:rFonts w:cs="Calibri"/>
          <w:sz w:val="24"/>
          <w:szCs w:val="24"/>
          <w:lang w:eastAsia="sk-SK"/>
        </w:rPr>
        <w:t xml:space="preserve"> rozdiely</w:t>
      </w:r>
      <w:r w:rsidR="00294874">
        <w:rPr>
          <w:rFonts w:cs="Calibri"/>
          <w:sz w:val="24"/>
          <w:szCs w:val="24"/>
          <w:lang w:eastAsia="sk-SK"/>
        </w:rPr>
        <w:t>,</w:t>
      </w:r>
    </w:p>
    <w:p w14:paraId="7CD2B098" w14:textId="51224933" w:rsidR="001C0BE4" w:rsidRDefault="001C0BE4" w:rsidP="001C0BE4">
      <w:pPr>
        <w:pStyle w:val="Odsekzoznamu"/>
        <w:numPr>
          <w:ilvl w:val="0"/>
          <w:numId w:val="21"/>
        </w:numPr>
        <w:tabs>
          <w:tab w:val="num" w:pos="1152"/>
        </w:tabs>
        <w:spacing w:after="0" w:line="240" w:lineRule="auto"/>
        <w:jc w:val="both"/>
        <w:rPr>
          <w:rFonts w:cs="Calibri"/>
          <w:sz w:val="24"/>
          <w:szCs w:val="24"/>
          <w:lang w:eastAsia="sk-SK"/>
        </w:rPr>
      </w:pPr>
      <w:r>
        <w:rPr>
          <w:rFonts w:cs="Calibri"/>
          <w:sz w:val="24"/>
          <w:szCs w:val="24"/>
          <w:lang w:eastAsia="sk-SK"/>
        </w:rPr>
        <w:t xml:space="preserve">suma 0,10 EUR – odkúpenie akcii od spoločnosti RCBT s.r.o v zmysle UZN č. </w:t>
      </w:r>
      <w:r w:rsidR="00294874">
        <w:rPr>
          <w:rFonts w:cs="Calibri"/>
          <w:sz w:val="24"/>
          <w:szCs w:val="24"/>
          <w:lang w:eastAsia="sk-SK"/>
        </w:rPr>
        <w:t>266/2020 zo dňa 26.6.2020,</w:t>
      </w:r>
    </w:p>
    <w:p w14:paraId="2B5EFBCD" w14:textId="76FD9B0D" w:rsidR="00294874" w:rsidRPr="001C0BE4" w:rsidRDefault="00294874" w:rsidP="001C0BE4">
      <w:pPr>
        <w:pStyle w:val="Odsekzoznamu"/>
        <w:numPr>
          <w:ilvl w:val="0"/>
          <w:numId w:val="21"/>
        </w:numPr>
        <w:tabs>
          <w:tab w:val="num" w:pos="1152"/>
        </w:tabs>
        <w:spacing w:after="0" w:line="240" w:lineRule="auto"/>
        <w:jc w:val="both"/>
        <w:rPr>
          <w:rFonts w:cs="Calibri"/>
          <w:sz w:val="24"/>
          <w:szCs w:val="24"/>
          <w:lang w:eastAsia="sk-SK"/>
        </w:rPr>
      </w:pPr>
      <w:r>
        <w:rPr>
          <w:rFonts w:cs="Calibri"/>
          <w:sz w:val="24"/>
          <w:szCs w:val="24"/>
          <w:lang w:eastAsia="sk-SK"/>
        </w:rPr>
        <w:t xml:space="preserve">a suma </w:t>
      </w:r>
      <w:r w:rsidRPr="00294874">
        <w:rPr>
          <w:rFonts w:cs="Calibri"/>
          <w:sz w:val="24"/>
          <w:szCs w:val="24"/>
          <w:lang w:eastAsia="sk-SK"/>
        </w:rPr>
        <w:t>3 904 163,46</w:t>
      </w:r>
      <w:r>
        <w:rPr>
          <w:rFonts w:cs="Calibri"/>
          <w:sz w:val="24"/>
          <w:szCs w:val="24"/>
          <w:lang w:eastAsia="sk-SK"/>
        </w:rPr>
        <w:t xml:space="preserve"> EUR – splátky istín </w:t>
      </w:r>
      <w:proofErr w:type="spellStart"/>
      <w:r>
        <w:rPr>
          <w:rFonts w:cs="Calibri"/>
          <w:sz w:val="24"/>
          <w:szCs w:val="24"/>
          <w:lang w:eastAsia="sk-SK"/>
        </w:rPr>
        <w:t>prijatych</w:t>
      </w:r>
      <w:proofErr w:type="spellEnd"/>
      <w:r>
        <w:rPr>
          <w:rFonts w:cs="Calibri"/>
          <w:sz w:val="24"/>
          <w:szCs w:val="24"/>
          <w:lang w:eastAsia="sk-SK"/>
        </w:rPr>
        <w:t xml:space="preserve"> úverov.</w:t>
      </w:r>
    </w:p>
    <w:p w14:paraId="24B16461" w14:textId="75E04134" w:rsidR="00F03D05" w:rsidRDefault="00F03D05" w:rsidP="00D427C4">
      <w:pPr>
        <w:spacing w:after="0" w:line="240" w:lineRule="auto"/>
        <w:jc w:val="both"/>
        <w:rPr>
          <w:rFonts w:cs="Calibri"/>
          <w:sz w:val="24"/>
          <w:szCs w:val="24"/>
          <w:lang w:eastAsia="sk-SK"/>
        </w:rPr>
      </w:pPr>
    </w:p>
    <w:tbl>
      <w:tblPr>
        <w:tblW w:w="5040" w:type="pct"/>
        <w:tblLayout w:type="fixed"/>
        <w:tblCellMar>
          <w:left w:w="70" w:type="dxa"/>
          <w:right w:w="70" w:type="dxa"/>
        </w:tblCellMar>
        <w:tblLook w:val="04A0" w:firstRow="1" w:lastRow="0" w:firstColumn="1" w:lastColumn="0" w:noHBand="0" w:noVBand="1"/>
      </w:tblPr>
      <w:tblGrid>
        <w:gridCol w:w="2704"/>
        <w:gridCol w:w="1427"/>
        <w:gridCol w:w="1285"/>
        <w:gridCol w:w="1285"/>
        <w:gridCol w:w="1428"/>
        <w:gridCol w:w="1142"/>
        <w:gridCol w:w="1248"/>
      </w:tblGrid>
      <w:tr w:rsidR="00DE0AE9" w:rsidRPr="00F03D05" w14:paraId="21AF7454" w14:textId="77777777" w:rsidTr="00046289">
        <w:trPr>
          <w:trHeight w:val="701"/>
        </w:trPr>
        <w:tc>
          <w:tcPr>
            <w:tcW w:w="1285" w:type="pct"/>
            <w:tcBorders>
              <w:top w:val="single" w:sz="12" w:space="0" w:color="FFFFFF"/>
              <w:left w:val="single" w:sz="12" w:space="0" w:color="FFFFFF"/>
              <w:bottom w:val="nil"/>
              <w:right w:val="single" w:sz="12" w:space="0" w:color="FFFFFF"/>
            </w:tcBorders>
            <w:shd w:val="clear" w:color="000000" w:fill="8DB3E2"/>
            <w:noWrap/>
            <w:vAlign w:val="center"/>
            <w:hideMark/>
          </w:tcPr>
          <w:p w14:paraId="38086669" w14:textId="77777777" w:rsidR="00F03D05" w:rsidRPr="00F03D05" w:rsidRDefault="00F03D05" w:rsidP="00F03D05">
            <w:pPr>
              <w:spacing w:after="0" w:line="240" w:lineRule="auto"/>
              <w:jc w:val="center"/>
              <w:rPr>
                <w:rFonts w:cs="Calibri"/>
                <w:b/>
                <w:bCs/>
                <w:color w:val="000000"/>
                <w:sz w:val="20"/>
                <w:szCs w:val="20"/>
                <w:lang w:eastAsia="sk-SK"/>
              </w:rPr>
            </w:pPr>
            <w:r w:rsidRPr="00F03D05">
              <w:rPr>
                <w:rFonts w:cs="Calibri"/>
                <w:b/>
                <w:bCs/>
                <w:color w:val="000000"/>
                <w:sz w:val="20"/>
                <w:szCs w:val="20"/>
                <w:lang w:eastAsia="sk-SK"/>
              </w:rPr>
              <w:t>Výdavkové finančné operácie</w:t>
            </w:r>
          </w:p>
        </w:tc>
        <w:tc>
          <w:tcPr>
            <w:tcW w:w="678" w:type="pct"/>
            <w:tcBorders>
              <w:top w:val="single" w:sz="12" w:space="0" w:color="FFFFFF"/>
              <w:left w:val="nil"/>
              <w:bottom w:val="nil"/>
              <w:right w:val="single" w:sz="12" w:space="0" w:color="FFFFFF"/>
            </w:tcBorders>
            <w:shd w:val="clear" w:color="000000" w:fill="8DB3E2"/>
            <w:vAlign w:val="center"/>
            <w:hideMark/>
          </w:tcPr>
          <w:p w14:paraId="354D9393" w14:textId="2EACFBDF" w:rsidR="00F03D05" w:rsidRPr="00F03D05" w:rsidRDefault="00F03D05" w:rsidP="00F03D05">
            <w:pPr>
              <w:spacing w:after="0" w:line="240" w:lineRule="auto"/>
              <w:jc w:val="center"/>
              <w:rPr>
                <w:rFonts w:cs="Calibri"/>
                <w:b/>
                <w:bCs/>
                <w:color w:val="000000"/>
                <w:sz w:val="20"/>
                <w:szCs w:val="20"/>
                <w:lang w:eastAsia="sk-SK"/>
              </w:rPr>
            </w:pPr>
            <w:r w:rsidRPr="00F03D05">
              <w:rPr>
                <w:rFonts w:cs="Calibri"/>
                <w:b/>
                <w:bCs/>
                <w:color w:val="000000"/>
                <w:sz w:val="20"/>
                <w:szCs w:val="20"/>
                <w:lang w:eastAsia="sk-SK"/>
              </w:rPr>
              <w:t>Skutočnosť  za rok 2019</w:t>
            </w:r>
            <w:r w:rsidR="00DE0AE9">
              <w:rPr>
                <w:rFonts w:cs="Calibri"/>
                <w:b/>
                <w:bCs/>
                <w:color w:val="000000"/>
                <w:sz w:val="20"/>
                <w:szCs w:val="20"/>
                <w:lang w:eastAsia="sk-SK"/>
              </w:rPr>
              <w:t xml:space="preserve"> v EUR</w:t>
            </w:r>
          </w:p>
        </w:tc>
        <w:tc>
          <w:tcPr>
            <w:tcW w:w="611" w:type="pct"/>
            <w:tcBorders>
              <w:top w:val="single" w:sz="12" w:space="0" w:color="FFFFFF"/>
              <w:left w:val="nil"/>
              <w:bottom w:val="nil"/>
              <w:right w:val="single" w:sz="12" w:space="0" w:color="FFFFFF"/>
            </w:tcBorders>
            <w:shd w:val="clear" w:color="000000" w:fill="8DB3E2"/>
            <w:vAlign w:val="center"/>
            <w:hideMark/>
          </w:tcPr>
          <w:p w14:paraId="7C23488A" w14:textId="5A08B71D" w:rsidR="00F03D05" w:rsidRPr="00F03D05" w:rsidRDefault="00F03D05" w:rsidP="00F03D05">
            <w:pPr>
              <w:spacing w:after="0" w:line="240" w:lineRule="auto"/>
              <w:jc w:val="center"/>
              <w:rPr>
                <w:rFonts w:cs="Calibri"/>
                <w:b/>
                <w:bCs/>
                <w:color w:val="000000"/>
                <w:sz w:val="18"/>
                <w:szCs w:val="18"/>
                <w:lang w:eastAsia="sk-SK"/>
              </w:rPr>
            </w:pPr>
            <w:r w:rsidRPr="00F03D05">
              <w:rPr>
                <w:rFonts w:cs="Calibri"/>
                <w:b/>
                <w:bCs/>
                <w:color w:val="000000"/>
                <w:sz w:val="18"/>
                <w:szCs w:val="18"/>
                <w:lang w:eastAsia="sk-SK"/>
              </w:rPr>
              <w:t>Schválený rozpočet 2020</w:t>
            </w:r>
            <w:r w:rsidR="00DE0AE9">
              <w:rPr>
                <w:rFonts w:cs="Calibri"/>
                <w:b/>
                <w:bCs/>
                <w:color w:val="000000"/>
                <w:sz w:val="18"/>
                <w:szCs w:val="18"/>
                <w:lang w:eastAsia="sk-SK"/>
              </w:rPr>
              <w:t xml:space="preserve"> </w:t>
            </w:r>
            <w:r w:rsidR="00DE0AE9">
              <w:rPr>
                <w:rFonts w:cs="Calibri"/>
                <w:b/>
                <w:bCs/>
                <w:color w:val="000000"/>
                <w:sz w:val="18"/>
                <w:szCs w:val="18"/>
                <w:lang w:eastAsia="sk-SK"/>
              </w:rPr>
              <w:br/>
              <w:t>v EUR</w:t>
            </w:r>
          </w:p>
        </w:tc>
        <w:tc>
          <w:tcPr>
            <w:tcW w:w="611" w:type="pct"/>
            <w:tcBorders>
              <w:top w:val="single" w:sz="12" w:space="0" w:color="FFFFFF"/>
              <w:left w:val="nil"/>
              <w:bottom w:val="nil"/>
              <w:right w:val="single" w:sz="12" w:space="0" w:color="FFFFFF"/>
            </w:tcBorders>
            <w:shd w:val="clear" w:color="000000" w:fill="8DB3E2"/>
            <w:vAlign w:val="center"/>
            <w:hideMark/>
          </w:tcPr>
          <w:p w14:paraId="70A2C3AD" w14:textId="1C9CE5F0" w:rsidR="00F03D05" w:rsidRPr="00F03D05" w:rsidRDefault="00F03D05" w:rsidP="00F03D05">
            <w:pPr>
              <w:spacing w:after="0" w:line="240" w:lineRule="auto"/>
              <w:jc w:val="center"/>
              <w:rPr>
                <w:rFonts w:cs="Calibri"/>
                <w:b/>
                <w:bCs/>
                <w:color w:val="000000"/>
                <w:sz w:val="20"/>
                <w:szCs w:val="20"/>
                <w:lang w:eastAsia="sk-SK"/>
              </w:rPr>
            </w:pPr>
            <w:r w:rsidRPr="00F03D05">
              <w:rPr>
                <w:rFonts w:cs="Calibri"/>
                <w:b/>
                <w:bCs/>
                <w:color w:val="000000"/>
                <w:sz w:val="20"/>
                <w:szCs w:val="20"/>
                <w:lang w:eastAsia="sk-SK"/>
              </w:rPr>
              <w:t>Zmenený rozpočet k 31.12.2020</w:t>
            </w:r>
            <w:r w:rsidR="00DE0AE9">
              <w:rPr>
                <w:rFonts w:cs="Calibri"/>
                <w:b/>
                <w:bCs/>
                <w:color w:val="000000"/>
                <w:sz w:val="20"/>
                <w:szCs w:val="20"/>
                <w:lang w:eastAsia="sk-SK"/>
              </w:rPr>
              <w:t xml:space="preserve"> </w:t>
            </w:r>
            <w:r w:rsidR="00DE0AE9">
              <w:rPr>
                <w:rFonts w:cs="Calibri"/>
                <w:b/>
                <w:bCs/>
                <w:color w:val="000000"/>
                <w:sz w:val="20"/>
                <w:szCs w:val="20"/>
                <w:lang w:eastAsia="sk-SK"/>
              </w:rPr>
              <w:br/>
              <w:t>v EUR</w:t>
            </w:r>
          </w:p>
        </w:tc>
        <w:tc>
          <w:tcPr>
            <w:tcW w:w="679" w:type="pct"/>
            <w:tcBorders>
              <w:top w:val="single" w:sz="12" w:space="0" w:color="FFFFFF"/>
              <w:left w:val="nil"/>
              <w:bottom w:val="nil"/>
              <w:right w:val="single" w:sz="12" w:space="0" w:color="FFFFFF"/>
            </w:tcBorders>
            <w:shd w:val="clear" w:color="000000" w:fill="8DB3E2"/>
            <w:vAlign w:val="center"/>
            <w:hideMark/>
          </w:tcPr>
          <w:p w14:paraId="2F39B344" w14:textId="599A5F80" w:rsidR="00F03D05" w:rsidRPr="00F03D05" w:rsidRDefault="00F03D05" w:rsidP="00F03D05">
            <w:pPr>
              <w:spacing w:after="0" w:line="240" w:lineRule="auto"/>
              <w:jc w:val="center"/>
              <w:rPr>
                <w:rFonts w:cs="Calibri"/>
                <w:b/>
                <w:bCs/>
                <w:color w:val="000000"/>
                <w:sz w:val="20"/>
                <w:szCs w:val="20"/>
                <w:lang w:eastAsia="sk-SK"/>
              </w:rPr>
            </w:pPr>
            <w:r w:rsidRPr="00F03D05">
              <w:rPr>
                <w:rFonts w:cs="Calibri"/>
                <w:b/>
                <w:bCs/>
                <w:color w:val="000000"/>
                <w:sz w:val="20"/>
                <w:szCs w:val="20"/>
                <w:lang w:eastAsia="sk-SK"/>
              </w:rPr>
              <w:t>Čerpanie k 31.12.2020</w:t>
            </w:r>
            <w:r w:rsidR="00DE0AE9">
              <w:rPr>
                <w:rFonts w:cs="Calibri"/>
                <w:b/>
                <w:bCs/>
                <w:color w:val="000000"/>
                <w:sz w:val="20"/>
                <w:szCs w:val="20"/>
                <w:lang w:eastAsia="sk-SK"/>
              </w:rPr>
              <w:t xml:space="preserve"> </w:t>
            </w:r>
            <w:r w:rsidR="00DE0AE9">
              <w:rPr>
                <w:rFonts w:cs="Calibri"/>
                <w:b/>
                <w:bCs/>
                <w:color w:val="000000"/>
                <w:sz w:val="20"/>
                <w:szCs w:val="20"/>
                <w:lang w:eastAsia="sk-SK"/>
              </w:rPr>
              <w:br/>
              <w:t>v EUR</w:t>
            </w:r>
          </w:p>
        </w:tc>
        <w:tc>
          <w:tcPr>
            <w:tcW w:w="543" w:type="pct"/>
            <w:tcBorders>
              <w:top w:val="single" w:sz="12" w:space="0" w:color="FFFFFF"/>
              <w:left w:val="nil"/>
              <w:bottom w:val="nil"/>
              <w:right w:val="single" w:sz="12" w:space="0" w:color="FFFFFF"/>
            </w:tcBorders>
            <w:shd w:val="clear" w:color="000000" w:fill="8DB3E2"/>
            <w:vAlign w:val="center"/>
            <w:hideMark/>
          </w:tcPr>
          <w:p w14:paraId="539F1570" w14:textId="77777777" w:rsidR="00F03D05" w:rsidRPr="00F03D05" w:rsidRDefault="00F03D05" w:rsidP="00F03D05">
            <w:pPr>
              <w:spacing w:after="0" w:line="240" w:lineRule="auto"/>
              <w:jc w:val="center"/>
              <w:rPr>
                <w:rFonts w:cs="Calibri"/>
                <w:b/>
                <w:bCs/>
                <w:color w:val="000000"/>
                <w:sz w:val="20"/>
                <w:szCs w:val="20"/>
                <w:lang w:eastAsia="sk-SK"/>
              </w:rPr>
            </w:pPr>
            <w:r w:rsidRPr="00F03D05">
              <w:rPr>
                <w:rFonts w:cs="Calibri"/>
                <w:b/>
                <w:bCs/>
                <w:color w:val="000000"/>
                <w:sz w:val="20"/>
                <w:szCs w:val="20"/>
                <w:lang w:eastAsia="sk-SK"/>
              </w:rPr>
              <w:t>% čerpanie</w:t>
            </w:r>
            <w:r w:rsidRPr="00F03D05">
              <w:rPr>
                <w:rFonts w:cs="Calibri"/>
                <w:b/>
                <w:bCs/>
                <w:color w:val="000000"/>
                <w:sz w:val="18"/>
                <w:szCs w:val="18"/>
                <w:lang w:eastAsia="sk-SK"/>
              </w:rPr>
              <w:t xml:space="preserve"> k zmenenému rozpočtu</w:t>
            </w:r>
          </w:p>
        </w:tc>
        <w:tc>
          <w:tcPr>
            <w:tcW w:w="593" w:type="pct"/>
            <w:tcBorders>
              <w:top w:val="single" w:sz="12" w:space="0" w:color="FFFFFF"/>
              <w:left w:val="nil"/>
              <w:bottom w:val="nil"/>
              <w:right w:val="single" w:sz="12" w:space="0" w:color="FFFFFF"/>
            </w:tcBorders>
            <w:shd w:val="clear" w:color="000000" w:fill="8DB3E2"/>
            <w:vAlign w:val="center"/>
            <w:hideMark/>
          </w:tcPr>
          <w:p w14:paraId="19064C72" w14:textId="77777777" w:rsidR="00F03D05" w:rsidRPr="00F03D05" w:rsidRDefault="00F03D05" w:rsidP="00F03D05">
            <w:pPr>
              <w:spacing w:after="0" w:line="240" w:lineRule="auto"/>
              <w:jc w:val="center"/>
              <w:rPr>
                <w:rFonts w:cs="Calibri"/>
                <w:b/>
                <w:bCs/>
                <w:color w:val="000000"/>
                <w:sz w:val="18"/>
                <w:szCs w:val="18"/>
                <w:lang w:eastAsia="sk-SK"/>
              </w:rPr>
            </w:pPr>
            <w:r w:rsidRPr="00F03D05">
              <w:rPr>
                <w:rFonts w:cs="Calibri"/>
                <w:b/>
                <w:bCs/>
                <w:color w:val="000000"/>
                <w:sz w:val="18"/>
                <w:szCs w:val="18"/>
                <w:lang w:eastAsia="sk-SK"/>
              </w:rPr>
              <w:t>Zmeny rozpočtu</w:t>
            </w:r>
          </w:p>
        </w:tc>
      </w:tr>
      <w:tr w:rsidR="00DE0AE9" w:rsidRPr="00F03D05" w14:paraId="647E822A" w14:textId="77777777" w:rsidTr="00046289">
        <w:trPr>
          <w:trHeight w:val="283"/>
        </w:trPr>
        <w:tc>
          <w:tcPr>
            <w:tcW w:w="1285" w:type="pct"/>
            <w:tcBorders>
              <w:top w:val="nil"/>
              <w:left w:val="single" w:sz="12" w:space="0" w:color="FFFFFF"/>
              <w:bottom w:val="single" w:sz="12" w:space="0" w:color="FFFFFF"/>
              <w:right w:val="single" w:sz="12" w:space="0" w:color="FFFFFF"/>
            </w:tcBorders>
            <w:shd w:val="clear" w:color="000000" w:fill="F2F2F2"/>
            <w:noWrap/>
            <w:vAlign w:val="center"/>
            <w:hideMark/>
          </w:tcPr>
          <w:p w14:paraId="630E75DB" w14:textId="1ADBB9EA" w:rsidR="00F03D05" w:rsidRPr="00F03D05" w:rsidRDefault="00F03D05" w:rsidP="00F03D05">
            <w:pPr>
              <w:spacing w:after="0" w:line="240" w:lineRule="auto"/>
              <w:rPr>
                <w:rFonts w:cs="Calibri"/>
                <w:color w:val="000000"/>
                <w:sz w:val="20"/>
                <w:szCs w:val="20"/>
                <w:lang w:eastAsia="sk-SK"/>
              </w:rPr>
            </w:pPr>
            <w:r w:rsidRPr="00F03D05">
              <w:rPr>
                <w:rFonts w:cs="Calibri"/>
                <w:color w:val="000000"/>
                <w:sz w:val="20"/>
                <w:szCs w:val="20"/>
                <w:lang w:eastAsia="sk-SK"/>
              </w:rPr>
              <w:t xml:space="preserve">810 – </w:t>
            </w:r>
            <w:r w:rsidR="00DE0AE9">
              <w:rPr>
                <w:rFonts w:cs="Calibri"/>
                <w:color w:val="000000"/>
                <w:sz w:val="20"/>
                <w:szCs w:val="20"/>
                <w:lang w:eastAsia="sk-SK"/>
              </w:rPr>
              <w:t>Účas</w:t>
            </w:r>
            <w:r w:rsidR="00BC2C2A">
              <w:rPr>
                <w:rFonts w:cs="Calibri"/>
                <w:color w:val="000000"/>
                <w:sz w:val="20"/>
                <w:szCs w:val="20"/>
                <w:lang w:eastAsia="sk-SK"/>
              </w:rPr>
              <w:t>ť</w:t>
            </w:r>
            <w:r w:rsidR="00DE0AE9">
              <w:rPr>
                <w:rFonts w:cs="Calibri"/>
                <w:color w:val="000000"/>
                <w:sz w:val="20"/>
                <w:szCs w:val="20"/>
                <w:lang w:eastAsia="sk-SK"/>
              </w:rPr>
              <w:t xml:space="preserve"> na majetku a v</w:t>
            </w:r>
            <w:r w:rsidRPr="00F03D05">
              <w:rPr>
                <w:rFonts w:cs="Calibri"/>
                <w:color w:val="000000"/>
                <w:sz w:val="20"/>
                <w:szCs w:val="20"/>
                <w:lang w:eastAsia="sk-SK"/>
              </w:rPr>
              <w:t xml:space="preserve">rátené </w:t>
            </w:r>
            <w:proofErr w:type="spellStart"/>
            <w:r w:rsidRPr="00F03D05">
              <w:rPr>
                <w:rFonts w:cs="Calibri"/>
                <w:color w:val="000000"/>
                <w:sz w:val="20"/>
                <w:szCs w:val="20"/>
                <w:lang w:eastAsia="sk-SK"/>
              </w:rPr>
              <w:t>zabezpeky</w:t>
            </w:r>
            <w:proofErr w:type="spellEnd"/>
            <w:r w:rsidRPr="00F03D05">
              <w:rPr>
                <w:rFonts w:cs="Calibri"/>
                <w:color w:val="000000"/>
                <w:sz w:val="20"/>
                <w:szCs w:val="20"/>
                <w:lang w:eastAsia="sk-SK"/>
              </w:rPr>
              <w:t xml:space="preserve"> z VO</w:t>
            </w:r>
          </w:p>
        </w:tc>
        <w:tc>
          <w:tcPr>
            <w:tcW w:w="678" w:type="pct"/>
            <w:tcBorders>
              <w:top w:val="nil"/>
              <w:left w:val="nil"/>
              <w:bottom w:val="single" w:sz="12" w:space="0" w:color="FFFFFF"/>
              <w:right w:val="single" w:sz="12" w:space="0" w:color="FFFFFF"/>
            </w:tcBorders>
            <w:shd w:val="clear" w:color="000000" w:fill="F2F2F2"/>
            <w:noWrap/>
            <w:vAlign w:val="center"/>
            <w:hideMark/>
          </w:tcPr>
          <w:p w14:paraId="3CCC4D5E" w14:textId="77777777" w:rsidR="00F03D05" w:rsidRPr="00F03D05" w:rsidRDefault="00F03D05" w:rsidP="00F03D05">
            <w:pPr>
              <w:spacing w:after="0" w:line="240" w:lineRule="auto"/>
              <w:jc w:val="right"/>
              <w:rPr>
                <w:rFonts w:cs="Calibri"/>
                <w:color w:val="000000"/>
                <w:sz w:val="20"/>
                <w:szCs w:val="20"/>
                <w:lang w:eastAsia="sk-SK"/>
              </w:rPr>
            </w:pPr>
            <w:r w:rsidRPr="00F03D05">
              <w:rPr>
                <w:rFonts w:cs="Arial"/>
                <w:color w:val="000000"/>
                <w:sz w:val="20"/>
                <w:szCs w:val="20"/>
                <w:lang w:eastAsia="sk-SK"/>
              </w:rPr>
              <w:t>460 853,33</w:t>
            </w:r>
          </w:p>
        </w:tc>
        <w:tc>
          <w:tcPr>
            <w:tcW w:w="611" w:type="pct"/>
            <w:tcBorders>
              <w:top w:val="nil"/>
              <w:left w:val="nil"/>
              <w:bottom w:val="single" w:sz="12" w:space="0" w:color="FFFFFF"/>
              <w:right w:val="single" w:sz="12" w:space="0" w:color="FFFFFF"/>
            </w:tcBorders>
            <w:shd w:val="clear" w:color="000000" w:fill="F2F2F2"/>
            <w:noWrap/>
            <w:vAlign w:val="center"/>
            <w:hideMark/>
          </w:tcPr>
          <w:p w14:paraId="04C0DDD4" w14:textId="77777777"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0,00</w:t>
            </w:r>
          </w:p>
        </w:tc>
        <w:tc>
          <w:tcPr>
            <w:tcW w:w="611" w:type="pct"/>
            <w:tcBorders>
              <w:top w:val="nil"/>
              <w:left w:val="nil"/>
              <w:bottom w:val="single" w:sz="12" w:space="0" w:color="FFFFFF"/>
              <w:right w:val="single" w:sz="12" w:space="0" w:color="FFFFFF"/>
            </w:tcBorders>
            <w:shd w:val="clear" w:color="000000" w:fill="F2F2F2"/>
            <w:noWrap/>
            <w:vAlign w:val="center"/>
            <w:hideMark/>
          </w:tcPr>
          <w:p w14:paraId="760AB6D9" w14:textId="77777777"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27 502,89</w:t>
            </w:r>
          </w:p>
        </w:tc>
        <w:tc>
          <w:tcPr>
            <w:tcW w:w="679" w:type="pct"/>
            <w:tcBorders>
              <w:top w:val="nil"/>
              <w:left w:val="nil"/>
              <w:bottom w:val="single" w:sz="12" w:space="0" w:color="FFFFFF"/>
              <w:right w:val="single" w:sz="12" w:space="0" w:color="FFFFFF"/>
            </w:tcBorders>
            <w:shd w:val="clear" w:color="000000" w:fill="F2F2F2"/>
            <w:noWrap/>
            <w:vAlign w:val="center"/>
            <w:hideMark/>
          </w:tcPr>
          <w:p w14:paraId="1415A2D0" w14:textId="77777777" w:rsidR="00F03D05" w:rsidRPr="00F03D05" w:rsidRDefault="00F03D05" w:rsidP="00F03D05">
            <w:pPr>
              <w:spacing w:after="0" w:line="240" w:lineRule="auto"/>
              <w:jc w:val="right"/>
              <w:rPr>
                <w:rFonts w:cs="Calibri"/>
                <w:color w:val="000000"/>
                <w:sz w:val="20"/>
                <w:szCs w:val="20"/>
                <w:lang w:eastAsia="sk-SK"/>
              </w:rPr>
            </w:pPr>
            <w:r w:rsidRPr="00F03D05">
              <w:rPr>
                <w:rFonts w:cs="Arial"/>
                <w:color w:val="000000"/>
                <w:sz w:val="20"/>
                <w:szCs w:val="20"/>
                <w:lang w:eastAsia="sk-SK"/>
              </w:rPr>
              <w:t>651 502,89</w:t>
            </w:r>
          </w:p>
        </w:tc>
        <w:tc>
          <w:tcPr>
            <w:tcW w:w="543" w:type="pct"/>
            <w:tcBorders>
              <w:top w:val="nil"/>
              <w:left w:val="nil"/>
              <w:bottom w:val="single" w:sz="12" w:space="0" w:color="FFFFFF"/>
              <w:right w:val="single" w:sz="12" w:space="0" w:color="FFFFFF"/>
            </w:tcBorders>
            <w:shd w:val="clear" w:color="000000" w:fill="F2F2F2"/>
            <w:vAlign w:val="center"/>
            <w:hideMark/>
          </w:tcPr>
          <w:p w14:paraId="1D13C255" w14:textId="0C9C012C"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23</w:t>
            </w:r>
            <w:r w:rsidR="00F97C14">
              <w:rPr>
                <w:rFonts w:cs="Calibri"/>
                <w:color w:val="000000"/>
                <w:sz w:val="20"/>
                <w:szCs w:val="20"/>
                <w:lang w:eastAsia="sk-SK"/>
              </w:rPr>
              <w:t>70,54</w:t>
            </w:r>
            <w:r w:rsidRPr="00F03D05">
              <w:rPr>
                <w:rFonts w:cs="Calibri"/>
                <w:color w:val="000000"/>
                <w:sz w:val="20"/>
                <w:szCs w:val="20"/>
                <w:lang w:eastAsia="sk-SK"/>
              </w:rPr>
              <w:t>%</w:t>
            </w:r>
          </w:p>
        </w:tc>
        <w:tc>
          <w:tcPr>
            <w:tcW w:w="593" w:type="pct"/>
            <w:tcBorders>
              <w:top w:val="nil"/>
              <w:left w:val="nil"/>
              <w:bottom w:val="single" w:sz="12" w:space="0" w:color="FFFFFF"/>
              <w:right w:val="single" w:sz="12" w:space="0" w:color="FFFFFF"/>
            </w:tcBorders>
            <w:shd w:val="clear" w:color="000000" w:fill="F2F2F2"/>
            <w:noWrap/>
            <w:vAlign w:val="center"/>
            <w:hideMark/>
          </w:tcPr>
          <w:p w14:paraId="1A12F645" w14:textId="77777777"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27 502,89</w:t>
            </w:r>
          </w:p>
        </w:tc>
      </w:tr>
      <w:tr w:rsidR="00DE0AE9" w:rsidRPr="00F03D05" w14:paraId="032DCAB4" w14:textId="77777777" w:rsidTr="00046289">
        <w:trPr>
          <w:trHeight w:val="296"/>
        </w:trPr>
        <w:tc>
          <w:tcPr>
            <w:tcW w:w="1285" w:type="pct"/>
            <w:tcBorders>
              <w:top w:val="nil"/>
              <w:left w:val="single" w:sz="12" w:space="0" w:color="FFFFFF"/>
              <w:bottom w:val="single" w:sz="12" w:space="0" w:color="FFFFFF"/>
              <w:right w:val="single" w:sz="12" w:space="0" w:color="FFFFFF"/>
            </w:tcBorders>
            <w:shd w:val="clear" w:color="000000" w:fill="F2F2F2"/>
            <w:noWrap/>
            <w:vAlign w:val="center"/>
            <w:hideMark/>
          </w:tcPr>
          <w:p w14:paraId="645481F0" w14:textId="77777777" w:rsidR="00F03D05" w:rsidRPr="00F03D05" w:rsidRDefault="00F03D05" w:rsidP="00F03D05">
            <w:pPr>
              <w:spacing w:after="0" w:line="240" w:lineRule="auto"/>
              <w:rPr>
                <w:rFonts w:cs="Calibri"/>
                <w:color w:val="000000"/>
                <w:sz w:val="20"/>
                <w:szCs w:val="20"/>
                <w:lang w:eastAsia="sk-SK"/>
              </w:rPr>
            </w:pPr>
            <w:r w:rsidRPr="00F03D05">
              <w:rPr>
                <w:rFonts w:cs="Calibri"/>
                <w:color w:val="000000"/>
                <w:sz w:val="20"/>
                <w:szCs w:val="20"/>
                <w:lang w:eastAsia="sk-SK"/>
              </w:rPr>
              <w:t>820 - Splácanie istiny</w:t>
            </w:r>
          </w:p>
        </w:tc>
        <w:tc>
          <w:tcPr>
            <w:tcW w:w="678" w:type="pct"/>
            <w:tcBorders>
              <w:top w:val="nil"/>
              <w:left w:val="nil"/>
              <w:bottom w:val="single" w:sz="12" w:space="0" w:color="FFFFFF"/>
              <w:right w:val="single" w:sz="12" w:space="0" w:color="FFFFFF"/>
            </w:tcBorders>
            <w:shd w:val="clear" w:color="000000" w:fill="F2F2F2"/>
            <w:noWrap/>
            <w:vAlign w:val="center"/>
            <w:hideMark/>
          </w:tcPr>
          <w:p w14:paraId="1909B79F" w14:textId="77777777" w:rsidR="00F03D05" w:rsidRPr="00F03D05" w:rsidRDefault="00F03D05" w:rsidP="00F03D05">
            <w:pPr>
              <w:spacing w:after="0" w:line="240" w:lineRule="auto"/>
              <w:jc w:val="right"/>
              <w:rPr>
                <w:rFonts w:cs="Calibri"/>
                <w:color w:val="000000"/>
                <w:sz w:val="20"/>
                <w:szCs w:val="20"/>
                <w:lang w:eastAsia="sk-SK"/>
              </w:rPr>
            </w:pPr>
            <w:r w:rsidRPr="00F03D05">
              <w:rPr>
                <w:rFonts w:cs="Arial"/>
                <w:color w:val="000000"/>
                <w:sz w:val="20"/>
                <w:szCs w:val="20"/>
                <w:lang w:eastAsia="sk-SK"/>
              </w:rPr>
              <w:t>3 624 163,46</w:t>
            </w:r>
          </w:p>
        </w:tc>
        <w:tc>
          <w:tcPr>
            <w:tcW w:w="611" w:type="pct"/>
            <w:tcBorders>
              <w:top w:val="nil"/>
              <w:left w:val="nil"/>
              <w:bottom w:val="single" w:sz="12" w:space="0" w:color="FFFFFF"/>
              <w:right w:val="single" w:sz="12" w:space="0" w:color="FFFFFF"/>
            </w:tcBorders>
            <w:shd w:val="clear" w:color="000000" w:fill="F2F2F2"/>
            <w:noWrap/>
            <w:vAlign w:val="center"/>
            <w:hideMark/>
          </w:tcPr>
          <w:p w14:paraId="24D603AA" w14:textId="77777777"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4 075 168,42</w:t>
            </w:r>
          </w:p>
        </w:tc>
        <w:tc>
          <w:tcPr>
            <w:tcW w:w="611" w:type="pct"/>
            <w:tcBorders>
              <w:top w:val="nil"/>
              <w:left w:val="nil"/>
              <w:bottom w:val="single" w:sz="12" w:space="0" w:color="FFFFFF"/>
              <w:right w:val="single" w:sz="12" w:space="0" w:color="FFFFFF"/>
            </w:tcBorders>
            <w:shd w:val="clear" w:color="000000" w:fill="F2F2F2"/>
            <w:noWrap/>
            <w:vAlign w:val="center"/>
            <w:hideMark/>
          </w:tcPr>
          <w:p w14:paraId="41574D60" w14:textId="77777777"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4 075 165,53</w:t>
            </w:r>
          </w:p>
        </w:tc>
        <w:tc>
          <w:tcPr>
            <w:tcW w:w="679" w:type="pct"/>
            <w:tcBorders>
              <w:top w:val="nil"/>
              <w:left w:val="nil"/>
              <w:bottom w:val="single" w:sz="12" w:space="0" w:color="FFFFFF"/>
              <w:right w:val="single" w:sz="12" w:space="0" w:color="FFFFFF"/>
            </w:tcBorders>
            <w:shd w:val="clear" w:color="000000" w:fill="F2F2F2"/>
            <w:noWrap/>
            <w:vAlign w:val="center"/>
            <w:hideMark/>
          </w:tcPr>
          <w:p w14:paraId="4D4033B1" w14:textId="77777777" w:rsidR="00F03D05" w:rsidRPr="00F03D05" w:rsidRDefault="00F03D05" w:rsidP="00F03D05">
            <w:pPr>
              <w:spacing w:after="0" w:line="240" w:lineRule="auto"/>
              <w:jc w:val="right"/>
              <w:rPr>
                <w:rFonts w:cs="Calibri"/>
                <w:color w:val="000000"/>
                <w:sz w:val="20"/>
                <w:szCs w:val="20"/>
                <w:lang w:eastAsia="sk-SK"/>
              </w:rPr>
            </w:pPr>
            <w:r w:rsidRPr="00F03D05">
              <w:rPr>
                <w:rFonts w:cs="Arial"/>
                <w:color w:val="000000"/>
                <w:sz w:val="20"/>
                <w:szCs w:val="20"/>
                <w:lang w:eastAsia="sk-SK"/>
              </w:rPr>
              <w:t>3 904 163,46</w:t>
            </w:r>
          </w:p>
        </w:tc>
        <w:tc>
          <w:tcPr>
            <w:tcW w:w="543" w:type="pct"/>
            <w:tcBorders>
              <w:top w:val="nil"/>
              <w:left w:val="nil"/>
              <w:bottom w:val="single" w:sz="12" w:space="0" w:color="FFFFFF"/>
              <w:right w:val="single" w:sz="12" w:space="0" w:color="FFFFFF"/>
            </w:tcBorders>
            <w:shd w:val="clear" w:color="000000" w:fill="F2F2F2"/>
            <w:vAlign w:val="center"/>
            <w:hideMark/>
          </w:tcPr>
          <w:p w14:paraId="330BE2A5" w14:textId="10F79AAC"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9</w:t>
            </w:r>
            <w:r w:rsidR="00F97C14">
              <w:rPr>
                <w:rFonts w:cs="Calibri"/>
                <w:color w:val="000000"/>
                <w:sz w:val="20"/>
                <w:szCs w:val="20"/>
                <w:lang w:eastAsia="sk-SK"/>
              </w:rPr>
              <w:t>5,80</w:t>
            </w:r>
            <w:r w:rsidRPr="00F03D05">
              <w:rPr>
                <w:rFonts w:cs="Calibri"/>
                <w:color w:val="000000"/>
                <w:sz w:val="20"/>
                <w:szCs w:val="20"/>
                <w:lang w:eastAsia="sk-SK"/>
              </w:rPr>
              <w:t>%</w:t>
            </w:r>
          </w:p>
        </w:tc>
        <w:tc>
          <w:tcPr>
            <w:tcW w:w="593" w:type="pct"/>
            <w:tcBorders>
              <w:top w:val="nil"/>
              <w:left w:val="nil"/>
              <w:bottom w:val="single" w:sz="12" w:space="0" w:color="FFFFFF"/>
              <w:right w:val="single" w:sz="12" w:space="0" w:color="FFFFFF"/>
            </w:tcBorders>
            <w:shd w:val="clear" w:color="000000" w:fill="F2F2F2"/>
            <w:noWrap/>
            <w:vAlign w:val="center"/>
            <w:hideMark/>
          </w:tcPr>
          <w:p w14:paraId="6A02A982" w14:textId="77777777" w:rsidR="00F03D05" w:rsidRPr="00F03D05" w:rsidRDefault="00F03D05" w:rsidP="00F03D05">
            <w:pPr>
              <w:spacing w:after="0" w:line="240" w:lineRule="auto"/>
              <w:jc w:val="right"/>
              <w:rPr>
                <w:rFonts w:cs="Calibri"/>
                <w:color w:val="000000"/>
                <w:sz w:val="20"/>
                <w:szCs w:val="20"/>
                <w:lang w:eastAsia="sk-SK"/>
              </w:rPr>
            </w:pPr>
            <w:r w:rsidRPr="00F03D05">
              <w:rPr>
                <w:rFonts w:cs="Calibri"/>
                <w:color w:val="000000"/>
                <w:sz w:val="20"/>
                <w:szCs w:val="20"/>
                <w:lang w:eastAsia="sk-SK"/>
              </w:rPr>
              <w:t>-2,89</w:t>
            </w:r>
          </w:p>
        </w:tc>
      </w:tr>
      <w:tr w:rsidR="00DE0AE9" w:rsidRPr="00F03D05" w14:paraId="34E5A483" w14:textId="77777777" w:rsidTr="00046289">
        <w:trPr>
          <w:trHeight w:val="296"/>
        </w:trPr>
        <w:tc>
          <w:tcPr>
            <w:tcW w:w="1285" w:type="pct"/>
            <w:tcBorders>
              <w:top w:val="nil"/>
              <w:left w:val="single" w:sz="12" w:space="0" w:color="FFFFFF"/>
              <w:bottom w:val="single" w:sz="12" w:space="0" w:color="FFFFFF"/>
              <w:right w:val="single" w:sz="12" w:space="0" w:color="FFFFFF"/>
            </w:tcBorders>
            <w:shd w:val="clear" w:color="000000" w:fill="8DB3E2"/>
            <w:noWrap/>
            <w:vAlign w:val="center"/>
            <w:hideMark/>
          </w:tcPr>
          <w:p w14:paraId="0EC61324" w14:textId="77777777" w:rsidR="00F03D05" w:rsidRPr="00F03D05" w:rsidRDefault="00F03D05" w:rsidP="00F03D05">
            <w:pPr>
              <w:spacing w:after="0" w:line="240" w:lineRule="auto"/>
              <w:jc w:val="center"/>
              <w:rPr>
                <w:rFonts w:cs="Calibri"/>
                <w:b/>
                <w:bCs/>
                <w:color w:val="000000"/>
                <w:lang w:eastAsia="sk-SK"/>
              </w:rPr>
            </w:pPr>
            <w:r w:rsidRPr="00F03D05">
              <w:rPr>
                <w:rFonts w:cs="Calibri"/>
                <w:b/>
                <w:bCs/>
                <w:lang w:eastAsia="sk-SK"/>
              </w:rPr>
              <w:t>Celkový súčet</w:t>
            </w:r>
          </w:p>
        </w:tc>
        <w:tc>
          <w:tcPr>
            <w:tcW w:w="678" w:type="pct"/>
            <w:tcBorders>
              <w:top w:val="nil"/>
              <w:left w:val="nil"/>
              <w:bottom w:val="single" w:sz="12" w:space="0" w:color="FFFFFF"/>
              <w:right w:val="single" w:sz="12" w:space="0" w:color="FFFFFF"/>
            </w:tcBorders>
            <w:shd w:val="clear" w:color="000000" w:fill="8DB3E2"/>
            <w:noWrap/>
            <w:vAlign w:val="center"/>
            <w:hideMark/>
          </w:tcPr>
          <w:p w14:paraId="5FD904F3" w14:textId="77777777" w:rsidR="00F03D05" w:rsidRPr="00F03D05" w:rsidRDefault="00F03D05" w:rsidP="00F03D05">
            <w:pPr>
              <w:spacing w:after="0" w:line="240" w:lineRule="auto"/>
              <w:jc w:val="right"/>
              <w:rPr>
                <w:rFonts w:cs="Calibri"/>
                <w:b/>
                <w:bCs/>
                <w:color w:val="000000"/>
                <w:sz w:val="20"/>
                <w:szCs w:val="20"/>
                <w:lang w:eastAsia="sk-SK"/>
              </w:rPr>
            </w:pPr>
            <w:r w:rsidRPr="00F03D05">
              <w:rPr>
                <w:rFonts w:cs="Arial"/>
                <w:b/>
                <w:bCs/>
                <w:color w:val="000000"/>
                <w:sz w:val="20"/>
                <w:szCs w:val="20"/>
                <w:lang w:eastAsia="sk-SK"/>
              </w:rPr>
              <w:t>4 085 016,79</w:t>
            </w:r>
          </w:p>
        </w:tc>
        <w:tc>
          <w:tcPr>
            <w:tcW w:w="611" w:type="pct"/>
            <w:tcBorders>
              <w:top w:val="nil"/>
              <w:left w:val="nil"/>
              <w:bottom w:val="single" w:sz="12" w:space="0" w:color="FFFFFF"/>
              <w:right w:val="single" w:sz="12" w:space="0" w:color="FFFFFF"/>
            </w:tcBorders>
            <w:shd w:val="clear" w:color="000000" w:fill="8DB3E2"/>
            <w:noWrap/>
            <w:vAlign w:val="center"/>
            <w:hideMark/>
          </w:tcPr>
          <w:p w14:paraId="239FC9F4" w14:textId="77777777" w:rsidR="00F03D05" w:rsidRPr="00F03D05" w:rsidRDefault="00F03D05" w:rsidP="00F03D05">
            <w:pPr>
              <w:spacing w:after="0" w:line="240" w:lineRule="auto"/>
              <w:jc w:val="right"/>
              <w:rPr>
                <w:rFonts w:cs="Calibri"/>
                <w:b/>
                <w:bCs/>
                <w:color w:val="000000"/>
                <w:sz w:val="20"/>
                <w:szCs w:val="20"/>
                <w:lang w:eastAsia="sk-SK"/>
              </w:rPr>
            </w:pPr>
            <w:r w:rsidRPr="00F03D05">
              <w:rPr>
                <w:rFonts w:cs="Calibri"/>
                <w:b/>
                <w:bCs/>
                <w:color w:val="000000"/>
                <w:sz w:val="20"/>
                <w:szCs w:val="20"/>
                <w:lang w:eastAsia="sk-SK"/>
              </w:rPr>
              <w:t>4 075 168,42</w:t>
            </w:r>
          </w:p>
        </w:tc>
        <w:tc>
          <w:tcPr>
            <w:tcW w:w="611" w:type="pct"/>
            <w:tcBorders>
              <w:top w:val="nil"/>
              <w:left w:val="nil"/>
              <w:bottom w:val="single" w:sz="12" w:space="0" w:color="FFFFFF"/>
              <w:right w:val="single" w:sz="12" w:space="0" w:color="FFFFFF"/>
            </w:tcBorders>
            <w:shd w:val="clear" w:color="000000" w:fill="8DB3E2"/>
            <w:noWrap/>
            <w:vAlign w:val="center"/>
            <w:hideMark/>
          </w:tcPr>
          <w:p w14:paraId="441349CA" w14:textId="77777777" w:rsidR="00F03D05" w:rsidRPr="00F03D05" w:rsidRDefault="00F03D05" w:rsidP="00F03D05">
            <w:pPr>
              <w:spacing w:after="0" w:line="240" w:lineRule="auto"/>
              <w:jc w:val="right"/>
              <w:rPr>
                <w:rFonts w:cs="Calibri"/>
                <w:b/>
                <w:bCs/>
                <w:color w:val="000000"/>
                <w:sz w:val="20"/>
                <w:szCs w:val="20"/>
                <w:lang w:eastAsia="sk-SK"/>
              </w:rPr>
            </w:pPr>
            <w:r w:rsidRPr="00F03D05">
              <w:rPr>
                <w:rFonts w:cs="Calibri"/>
                <w:b/>
                <w:bCs/>
                <w:color w:val="000000"/>
                <w:sz w:val="20"/>
                <w:szCs w:val="20"/>
                <w:lang w:eastAsia="sk-SK"/>
              </w:rPr>
              <w:t>4 102 668,42</w:t>
            </w:r>
          </w:p>
        </w:tc>
        <w:tc>
          <w:tcPr>
            <w:tcW w:w="679" w:type="pct"/>
            <w:tcBorders>
              <w:top w:val="nil"/>
              <w:left w:val="nil"/>
              <w:bottom w:val="single" w:sz="12" w:space="0" w:color="FFFFFF"/>
              <w:right w:val="single" w:sz="12" w:space="0" w:color="FFFFFF"/>
            </w:tcBorders>
            <w:shd w:val="clear" w:color="000000" w:fill="8DB3E2"/>
            <w:noWrap/>
            <w:vAlign w:val="center"/>
            <w:hideMark/>
          </w:tcPr>
          <w:p w14:paraId="3302B468" w14:textId="77777777" w:rsidR="00F03D05" w:rsidRPr="00F03D05" w:rsidRDefault="00F03D05" w:rsidP="00F03D05">
            <w:pPr>
              <w:spacing w:after="0" w:line="240" w:lineRule="auto"/>
              <w:jc w:val="right"/>
              <w:rPr>
                <w:rFonts w:cs="Calibri"/>
                <w:b/>
                <w:bCs/>
                <w:color w:val="000000"/>
                <w:sz w:val="20"/>
                <w:szCs w:val="20"/>
                <w:lang w:eastAsia="sk-SK"/>
              </w:rPr>
            </w:pPr>
            <w:r w:rsidRPr="00F03D05">
              <w:rPr>
                <w:rFonts w:cs="Arial"/>
                <w:b/>
                <w:bCs/>
                <w:color w:val="000000"/>
                <w:sz w:val="20"/>
                <w:szCs w:val="20"/>
                <w:lang w:eastAsia="sk-SK"/>
              </w:rPr>
              <w:t>4 555 666,35</w:t>
            </w:r>
          </w:p>
        </w:tc>
        <w:tc>
          <w:tcPr>
            <w:tcW w:w="543" w:type="pct"/>
            <w:tcBorders>
              <w:top w:val="nil"/>
              <w:left w:val="nil"/>
              <w:bottom w:val="single" w:sz="12" w:space="0" w:color="FFFFFF"/>
              <w:right w:val="single" w:sz="12" w:space="0" w:color="FFFFFF"/>
            </w:tcBorders>
            <w:shd w:val="clear" w:color="000000" w:fill="95B3D7"/>
            <w:vAlign w:val="center"/>
            <w:hideMark/>
          </w:tcPr>
          <w:p w14:paraId="09CFD473" w14:textId="6E5A9620" w:rsidR="00F03D05" w:rsidRPr="00F03D05" w:rsidRDefault="00F03D05" w:rsidP="00F03D05">
            <w:pPr>
              <w:spacing w:after="0" w:line="240" w:lineRule="auto"/>
              <w:jc w:val="right"/>
              <w:rPr>
                <w:rFonts w:cs="Calibri"/>
                <w:b/>
                <w:bCs/>
                <w:color w:val="000000"/>
                <w:sz w:val="20"/>
                <w:szCs w:val="20"/>
                <w:lang w:eastAsia="sk-SK"/>
              </w:rPr>
            </w:pPr>
            <w:r w:rsidRPr="00F03D05">
              <w:rPr>
                <w:rFonts w:cs="Calibri"/>
                <w:b/>
                <w:bCs/>
                <w:color w:val="000000"/>
                <w:sz w:val="20"/>
                <w:szCs w:val="20"/>
                <w:lang w:eastAsia="sk-SK"/>
              </w:rPr>
              <w:t>111</w:t>
            </w:r>
            <w:r w:rsidR="00F97C14">
              <w:rPr>
                <w:rFonts w:cs="Calibri"/>
                <w:b/>
                <w:bCs/>
                <w:color w:val="000000"/>
                <w:sz w:val="20"/>
                <w:szCs w:val="20"/>
                <w:lang w:eastAsia="sk-SK"/>
              </w:rPr>
              <w:t>,05</w:t>
            </w:r>
            <w:r w:rsidRPr="00F03D05">
              <w:rPr>
                <w:rFonts w:cs="Calibri"/>
                <w:b/>
                <w:bCs/>
                <w:color w:val="000000"/>
                <w:sz w:val="20"/>
                <w:szCs w:val="20"/>
                <w:lang w:eastAsia="sk-SK"/>
              </w:rPr>
              <w:t>%</w:t>
            </w:r>
          </w:p>
        </w:tc>
        <w:tc>
          <w:tcPr>
            <w:tcW w:w="593" w:type="pct"/>
            <w:tcBorders>
              <w:top w:val="nil"/>
              <w:left w:val="nil"/>
              <w:bottom w:val="single" w:sz="12" w:space="0" w:color="FFFFFF"/>
              <w:right w:val="single" w:sz="12" w:space="0" w:color="FFFFFF"/>
            </w:tcBorders>
            <w:shd w:val="clear" w:color="000000" w:fill="8DB3E2"/>
            <w:vAlign w:val="center"/>
            <w:hideMark/>
          </w:tcPr>
          <w:p w14:paraId="0515EB04" w14:textId="77777777" w:rsidR="00F03D05" w:rsidRPr="00F03D05" w:rsidRDefault="00F03D05" w:rsidP="00F03D05">
            <w:pPr>
              <w:spacing w:after="0" w:line="240" w:lineRule="auto"/>
              <w:jc w:val="right"/>
              <w:rPr>
                <w:rFonts w:cs="Calibri"/>
                <w:b/>
                <w:bCs/>
                <w:color w:val="000000"/>
                <w:sz w:val="20"/>
                <w:szCs w:val="20"/>
                <w:lang w:eastAsia="sk-SK"/>
              </w:rPr>
            </w:pPr>
            <w:r w:rsidRPr="00F03D05">
              <w:rPr>
                <w:rFonts w:cs="Calibri"/>
                <w:b/>
                <w:bCs/>
                <w:color w:val="000000"/>
                <w:sz w:val="20"/>
                <w:szCs w:val="20"/>
                <w:lang w:eastAsia="sk-SK"/>
              </w:rPr>
              <w:t>27 500,00</w:t>
            </w:r>
          </w:p>
        </w:tc>
      </w:tr>
    </w:tbl>
    <w:p w14:paraId="27E6BC20" w14:textId="77777777" w:rsidR="00046289" w:rsidRDefault="00046289" w:rsidP="00D427C4">
      <w:pPr>
        <w:spacing w:after="0" w:line="240" w:lineRule="auto"/>
        <w:jc w:val="both"/>
        <w:rPr>
          <w:rFonts w:cs="Calibri"/>
          <w:sz w:val="24"/>
          <w:szCs w:val="24"/>
          <w:lang w:eastAsia="sk-SK"/>
        </w:rPr>
      </w:pPr>
    </w:p>
    <w:p w14:paraId="7839E628" w14:textId="59CBD717" w:rsidR="00DB434F" w:rsidRDefault="00D427C4" w:rsidP="00D427C4">
      <w:pPr>
        <w:spacing w:after="0" w:line="240" w:lineRule="auto"/>
        <w:jc w:val="both"/>
        <w:rPr>
          <w:rFonts w:cs="Calibri"/>
          <w:sz w:val="24"/>
          <w:szCs w:val="24"/>
          <w:lang w:eastAsia="sk-SK"/>
        </w:rPr>
      </w:pPr>
      <w:r w:rsidRPr="00A1077E">
        <w:rPr>
          <w:rFonts w:cs="Calibri"/>
          <w:sz w:val="24"/>
          <w:szCs w:val="24"/>
          <w:lang w:eastAsia="sk-SK"/>
        </w:rPr>
        <w:t xml:space="preserve">Splátky istín z prijatých úverov predstavovali nasledovné čiastky: </w:t>
      </w:r>
    </w:p>
    <w:tbl>
      <w:tblPr>
        <w:tblW w:w="5066" w:type="pct"/>
        <w:tblCellMar>
          <w:left w:w="70" w:type="dxa"/>
          <w:right w:w="70" w:type="dxa"/>
        </w:tblCellMar>
        <w:tblLook w:val="04A0" w:firstRow="1" w:lastRow="0" w:firstColumn="1" w:lastColumn="0" w:noHBand="0" w:noVBand="1"/>
      </w:tblPr>
      <w:tblGrid>
        <w:gridCol w:w="2683"/>
        <w:gridCol w:w="1738"/>
        <w:gridCol w:w="1095"/>
        <w:gridCol w:w="1072"/>
        <w:gridCol w:w="1159"/>
        <w:gridCol w:w="1241"/>
        <w:gridCol w:w="1440"/>
        <w:gridCol w:w="146"/>
      </w:tblGrid>
      <w:tr w:rsidR="00DB434F" w:rsidRPr="00DB434F" w14:paraId="3B19D912" w14:textId="77777777" w:rsidTr="00046289">
        <w:trPr>
          <w:gridAfter w:val="1"/>
          <w:wAfter w:w="69" w:type="pct"/>
          <w:trHeight w:val="403"/>
        </w:trPr>
        <w:tc>
          <w:tcPr>
            <w:tcW w:w="1268"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61DF6431" w14:textId="77777777" w:rsidR="00DB434F" w:rsidRPr="00DB434F" w:rsidRDefault="00DB434F" w:rsidP="00DB434F">
            <w:pPr>
              <w:spacing w:after="0" w:line="240" w:lineRule="auto"/>
              <w:jc w:val="center"/>
              <w:rPr>
                <w:rFonts w:cs="Calibri"/>
                <w:b/>
                <w:bCs/>
                <w:color w:val="000000"/>
                <w:sz w:val="20"/>
                <w:szCs w:val="20"/>
                <w:lang w:eastAsia="sk-SK"/>
              </w:rPr>
            </w:pPr>
            <w:r w:rsidRPr="00DB434F">
              <w:rPr>
                <w:rFonts w:cs="Calibri"/>
                <w:b/>
                <w:bCs/>
                <w:color w:val="000000"/>
                <w:sz w:val="20"/>
                <w:szCs w:val="20"/>
                <w:lang w:eastAsia="sk-SK"/>
              </w:rPr>
              <w:t>Finančná inštitúcia</w:t>
            </w:r>
          </w:p>
        </w:tc>
        <w:tc>
          <w:tcPr>
            <w:tcW w:w="822"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5213A688" w14:textId="1D4EA950" w:rsidR="00DB434F" w:rsidRPr="00DB434F" w:rsidRDefault="00DB434F" w:rsidP="00DB434F">
            <w:pPr>
              <w:spacing w:after="0" w:line="240" w:lineRule="auto"/>
              <w:jc w:val="center"/>
              <w:rPr>
                <w:rFonts w:cs="Calibri"/>
                <w:b/>
                <w:bCs/>
                <w:color w:val="000000"/>
                <w:sz w:val="20"/>
                <w:szCs w:val="20"/>
                <w:lang w:eastAsia="sk-SK"/>
              </w:rPr>
            </w:pPr>
            <w:r w:rsidRPr="00DB434F">
              <w:rPr>
                <w:rFonts w:cs="Calibri"/>
                <w:b/>
                <w:bCs/>
                <w:color w:val="000000"/>
                <w:sz w:val="20"/>
                <w:szCs w:val="20"/>
                <w:lang w:eastAsia="sk-SK"/>
              </w:rPr>
              <w:t>Stav k 31.12.2017</w:t>
            </w:r>
            <w:r>
              <w:rPr>
                <w:rFonts w:cs="Calibri"/>
                <w:b/>
                <w:bCs/>
                <w:color w:val="000000"/>
                <w:sz w:val="20"/>
                <w:szCs w:val="20"/>
                <w:lang w:eastAsia="sk-SK"/>
              </w:rPr>
              <w:t xml:space="preserve"> v EUR</w:t>
            </w:r>
          </w:p>
        </w:tc>
        <w:tc>
          <w:tcPr>
            <w:tcW w:w="518"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0A28C228" w14:textId="77777777" w:rsidR="00DB434F" w:rsidRDefault="00DB434F" w:rsidP="00DB434F">
            <w:pPr>
              <w:spacing w:after="0" w:line="240" w:lineRule="auto"/>
              <w:jc w:val="center"/>
              <w:rPr>
                <w:rFonts w:cs="Calibri"/>
                <w:b/>
                <w:bCs/>
                <w:color w:val="000000"/>
                <w:sz w:val="20"/>
                <w:szCs w:val="20"/>
                <w:lang w:eastAsia="sk-SK"/>
              </w:rPr>
            </w:pPr>
            <w:r w:rsidRPr="00DB434F">
              <w:rPr>
                <w:rFonts w:cs="Calibri"/>
                <w:b/>
                <w:bCs/>
                <w:color w:val="000000"/>
                <w:sz w:val="20"/>
                <w:szCs w:val="20"/>
                <w:lang w:eastAsia="sk-SK"/>
              </w:rPr>
              <w:t>Stav k 31.12.2018</w:t>
            </w:r>
          </w:p>
          <w:p w14:paraId="56E89D7A" w14:textId="0E4863C9" w:rsidR="00DB434F" w:rsidRPr="00DB434F" w:rsidRDefault="00DB434F" w:rsidP="00DB434F">
            <w:pPr>
              <w:spacing w:after="0" w:line="240" w:lineRule="auto"/>
              <w:jc w:val="center"/>
              <w:rPr>
                <w:rFonts w:cs="Calibri"/>
                <w:b/>
                <w:bCs/>
                <w:color w:val="000000"/>
                <w:sz w:val="20"/>
                <w:szCs w:val="20"/>
                <w:lang w:eastAsia="sk-SK"/>
              </w:rPr>
            </w:pPr>
            <w:r>
              <w:rPr>
                <w:rFonts w:cs="Calibri"/>
                <w:b/>
                <w:bCs/>
                <w:color w:val="000000"/>
                <w:sz w:val="20"/>
                <w:szCs w:val="20"/>
                <w:lang w:eastAsia="sk-SK"/>
              </w:rPr>
              <w:t>v EUR</w:t>
            </w:r>
          </w:p>
        </w:tc>
        <w:tc>
          <w:tcPr>
            <w:tcW w:w="507"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34EE24A4" w14:textId="77777777" w:rsidR="00DB434F" w:rsidRPr="00DB434F" w:rsidRDefault="00DB434F" w:rsidP="00DB434F">
            <w:pPr>
              <w:spacing w:after="0" w:line="240" w:lineRule="auto"/>
              <w:jc w:val="center"/>
              <w:rPr>
                <w:rFonts w:cs="Calibri"/>
                <w:b/>
                <w:bCs/>
                <w:color w:val="000000"/>
                <w:sz w:val="20"/>
                <w:szCs w:val="20"/>
                <w:lang w:eastAsia="sk-SK"/>
              </w:rPr>
            </w:pPr>
            <w:r w:rsidRPr="00DB434F">
              <w:rPr>
                <w:rFonts w:cs="Calibri"/>
                <w:b/>
                <w:bCs/>
                <w:color w:val="000000"/>
                <w:sz w:val="20"/>
                <w:szCs w:val="20"/>
                <w:lang w:eastAsia="sk-SK"/>
              </w:rPr>
              <w:t>Stav k 31.12.2019 v EUR</w:t>
            </w:r>
          </w:p>
        </w:tc>
        <w:tc>
          <w:tcPr>
            <w:tcW w:w="548"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2F0080D2" w14:textId="58AD2B7B" w:rsidR="00DB434F" w:rsidRPr="00DB434F" w:rsidRDefault="00DB434F" w:rsidP="00DB434F">
            <w:pPr>
              <w:spacing w:after="0" w:line="240" w:lineRule="auto"/>
              <w:jc w:val="center"/>
              <w:rPr>
                <w:rFonts w:cs="Calibri"/>
                <w:b/>
                <w:bCs/>
                <w:color w:val="000000"/>
                <w:sz w:val="20"/>
                <w:szCs w:val="20"/>
                <w:lang w:eastAsia="sk-SK"/>
              </w:rPr>
            </w:pPr>
            <w:r w:rsidRPr="00DB434F">
              <w:rPr>
                <w:rFonts w:cs="Calibri"/>
                <w:b/>
                <w:bCs/>
                <w:color w:val="000000"/>
                <w:sz w:val="20"/>
                <w:szCs w:val="20"/>
                <w:lang w:eastAsia="sk-SK"/>
              </w:rPr>
              <w:t xml:space="preserve">Prijatý úver  a NFV v roku 2020 </w:t>
            </w:r>
            <w:r>
              <w:rPr>
                <w:rFonts w:cs="Calibri"/>
                <w:b/>
                <w:bCs/>
                <w:color w:val="000000"/>
                <w:sz w:val="20"/>
                <w:szCs w:val="20"/>
                <w:lang w:eastAsia="sk-SK"/>
              </w:rPr>
              <w:br/>
            </w:r>
            <w:r w:rsidRPr="00DB434F">
              <w:rPr>
                <w:rFonts w:cs="Calibri"/>
                <w:b/>
                <w:bCs/>
                <w:color w:val="000000"/>
                <w:sz w:val="20"/>
                <w:szCs w:val="20"/>
                <w:lang w:eastAsia="sk-SK"/>
              </w:rPr>
              <w:t>v EUR</w:t>
            </w:r>
          </w:p>
        </w:tc>
        <w:tc>
          <w:tcPr>
            <w:tcW w:w="587" w:type="pct"/>
            <w:vMerge w:val="restart"/>
            <w:tcBorders>
              <w:top w:val="single" w:sz="12" w:space="0" w:color="FFFFFF"/>
              <w:left w:val="single" w:sz="12" w:space="0" w:color="FFFFFF"/>
              <w:bottom w:val="nil"/>
              <w:right w:val="single" w:sz="12" w:space="0" w:color="FFFFFF"/>
            </w:tcBorders>
            <w:shd w:val="clear" w:color="000000" w:fill="808080"/>
            <w:vAlign w:val="center"/>
            <w:hideMark/>
          </w:tcPr>
          <w:p w14:paraId="303CD919" w14:textId="77777777" w:rsidR="00DB434F" w:rsidRDefault="00DB434F" w:rsidP="00DB434F">
            <w:pPr>
              <w:spacing w:after="0" w:line="240" w:lineRule="auto"/>
              <w:jc w:val="center"/>
              <w:rPr>
                <w:rFonts w:cs="Calibri"/>
                <w:b/>
                <w:bCs/>
                <w:color w:val="FFFFFF"/>
                <w:sz w:val="20"/>
                <w:szCs w:val="20"/>
                <w:lang w:eastAsia="sk-SK"/>
              </w:rPr>
            </w:pPr>
            <w:r w:rsidRPr="00DB434F">
              <w:rPr>
                <w:rFonts w:cs="Calibri"/>
                <w:b/>
                <w:bCs/>
                <w:color w:val="FFFFFF"/>
                <w:sz w:val="20"/>
                <w:szCs w:val="20"/>
                <w:lang w:eastAsia="sk-SK"/>
              </w:rPr>
              <w:t>Splatenie istiny 31.12.2020</w:t>
            </w:r>
          </w:p>
          <w:p w14:paraId="415AB894" w14:textId="564BAD1B" w:rsidR="00DB434F" w:rsidRPr="00DB434F" w:rsidRDefault="00DB434F" w:rsidP="00DB434F">
            <w:pPr>
              <w:spacing w:after="0" w:line="240" w:lineRule="auto"/>
              <w:jc w:val="center"/>
              <w:rPr>
                <w:rFonts w:cs="Calibri"/>
                <w:b/>
                <w:bCs/>
                <w:color w:val="FFFFFF"/>
                <w:sz w:val="20"/>
                <w:szCs w:val="20"/>
                <w:lang w:eastAsia="sk-SK"/>
              </w:rPr>
            </w:pPr>
            <w:r>
              <w:rPr>
                <w:rFonts w:cs="Calibri"/>
                <w:b/>
                <w:bCs/>
                <w:color w:val="FFFFFF"/>
                <w:sz w:val="20"/>
                <w:szCs w:val="20"/>
                <w:lang w:eastAsia="sk-SK"/>
              </w:rPr>
              <w:t xml:space="preserve"> v EUR</w:t>
            </w:r>
          </w:p>
        </w:tc>
        <w:tc>
          <w:tcPr>
            <w:tcW w:w="681" w:type="pct"/>
            <w:vMerge w:val="restart"/>
            <w:tcBorders>
              <w:top w:val="single" w:sz="12" w:space="0" w:color="FFFFFF"/>
              <w:left w:val="single" w:sz="12" w:space="0" w:color="FFFFFF"/>
              <w:bottom w:val="nil"/>
              <w:right w:val="single" w:sz="12" w:space="0" w:color="FFFFFF"/>
            </w:tcBorders>
            <w:shd w:val="clear" w:color="000000" w:fill="948A54"/>
            <w:vAlign w:val="center"/>
            <w:hideMark/>
          </w:tcPr>
          <w:p w14:paraId="5067D9C2" w14:textId="775E7CE0" w:rsidR="00DB434F" w:rsidRPr="00DB434F" w:rsidRDefault="00DB434F" w:rsidP="00DB434F">
            <w:pPr>
              <w:spacing w:after="0" w:line="240" w:lineRule="auto"/>
              <w:jc w:val="center"/>
              <w:rPr>
                <w:rFonts w:cs="Calibri"/>
                <w:b/>
                <w:bCs/>
                <w:color w:val="000000"/>
                <w:sz w:val="20"/>
                <w:szCs w:val="20"/>
                <w:lang w:eastAsia="sk-SK"/>
              </w:rPr>
            </w:pPr>
            <w:r w:rsidRPr="00DB434F">
              <w:rPr>
                <w:rFonts w:cs="Calibri"/>
                <w:b/>
                <w:bCs/>
                <w:color w:val="000000"/>
                <w:sz w:val="20"/>
                <w:szCs w:val="20"/>
                <w:lang w:eastAsia="sk-SK"/>
              </w:rPr>
              <w:t>Zostatok istiny k 31.12.202</w:t>
            </w:r>
            <w:r>
              <w:rPr>
                <w:rFonts w:cs="Calibri"/>
                <w:b/>
                <w:bCs/>
                <w:color w:val="000000"/>
                <w:sz w:val="20"/>
                <w:szCs w:val="20"/>
                <w:lang w:eastAsia="sk-SK"/>
              </w:rPr>
              <w:t>0</w:t>
            </w:r>
            <w:r>
              <w:rPr>
                <w:rFonts w:cs="Calibri"/>
                <w:b/>
                <w:bCs/>
                <w:color w:val="000000"/>
                <w:sz w:val="20"/>
                <w:szCs w:val="20"/>
                <w:lang w:eastAsia="sk-SK"/>
              </w:rPr>
              <w:br/>
              <w:t>v EUR</w:t>
            </w:r>
            <w:r w:rsidRPr="00DB434F">
              <w:rPr>
                <w:rFonts w:cs="Calibri"/>
                <w:b/>
                <w:bCs/>
                <w:color w:val="000000"/>
                <w:sz w:val="20"/>
                <w:szCs w:val="20"/>
                <w:lang w:eastAsia="sk-SK"/>
              </w:rPr>
              <w:t>0</w:t>
            </w:r>
          </w:p>
        </w:tc>
      </w:tr>
      <w:tr w:rsidR="00DB434F" w:rsidRPr="00DB434F" w14:paraId="0FE103EF" w14:textId="77777777" w:rsidTr="00046289">
        <w:trPr>
          <w:trHeight w:val="230"/>
        </w:trPr>
        <w:tc>
          <w:tcPr>
            <w:tcW w:w="1268" w:type="pct"/>
            <w:vMerge/>
            <w:tcBorders>
              <w:top w:val="single" w:sz="12" w:space="0" w:color="FFFFFF"/>
              <w:left w:val="single" w:sz="12" w:space="0" w:color="FFFFFF"/>
              <w:bottom w:val="nil"/>
              <w:right w:val="single" w:sz="12" w:space="0" w:color="FFFFFF"/>
            </w:tcBorders>
            <w:vAlign w:val="center"/>
            <w:hideMark/>
          </w:tcPr>
          <w:p w14:paraId="69A94919" w14:textId="77777777" w:rsidR="00DB434F" w:rsidRPr="00DB434F" w:rsidRDefault="00DB434F" w:rsidP="00DB434F">
            <w:pPr>
              <w:spacing w:after="0" w:line="240" w:lineRule="auto"/>
              <w:rPr>
                <w:rFonts w:cs="Calibri"/>
                <w:b/>
                <w:bCs/>
                <w:color w:val="000000"/>
                <w:sz w:val="20"/>
                <w:szCs w:val="20"/>
                <w:lang w:eastAsia="sk-SK"/>
              </w:rPr>
            </w:pPr>
          </w:p>
        </w:tc>
        <w:tc>
          <w:tcPr>
            <w:tcW w:w="822" w:type="pct"/>
            <w:vMerge/>
            <w:tcBorders>
              <w:top w:val="single" w:sz="12" w:space="0" w:color="FFFFFF"/>
              <w:left w:val="single" w:sz="12" w:space="0" w:color="FFFFFF"/>
              <w:bottom w:val="nil"/>
              <w:right w:val="single" w:sz="12" w:space="0" w:color="FFFFFF"/>
            </w:tcBorders>
            <w:vAlign w:val="center"/>
            <w:hideMark/>
          </w:tcPr>
          <w:p w14:paraId="1E6641D0" w14:textId="77777777" w:rsidR="00DB434F" w:rsidRPr="00DB434F" w:rsidRDefault="00DB434F" w:rsidP="00DB434F">
            <w:pPr>
              <w:spacing w:after="0" w:line="240" w:lineRule="auto"/>
              <w:rPr>
                <w:rFonts w:cs="Calibri"/>
                <w:b/>
                <w:bCs/>
                <w:color w:val="000000"/>
                <w:sz w:val="20"/>
                <w:szCs w:val="20"/>
                <w:lang w:eastAsia="sk-SK"/>
              </w:rPr>
            </w:pPr>
          </w:p>
        </w:tc>
        <w:tc>
          <w:tcPr>
            <w:tcW w:w="518" w:type="pct"/>
            <w:vMerge/>
            <w:tcBorders>
              <w:top w:val="single" w:sz="12" w:space="0" w:color="FFFFFF"/>
              <w:left w:val="single" w:sz="12" w:space="0" w:color="FFFFFF"/>
              <w:bottom w:val="nil"/>
              <w:right w:val="single" w:sz="12" w:space="0" w:color="FFFFFF"/>
            </w:tcBorders>
            <w:vAlign w:val="center"/>
            <w:hideMark/>
          </w:tcPr>
          <w:p w14:paraId="53F79A75" w14:textId="77777777" w:rsidR="00DB434F" w:rsidRPr="00DB434F" w:rsidRDefault="00DB434F" w:rsidP="00DB434F">
            <w:pPr>
              <w:spacing w:after="0" w:line="240" w:lineRule="auto"/>
              <w:rPr>
                <w:rFonts w:cs="Calibri"/>
                <w:b/>
                <w:bCs/>
                <w:color w:val="000000"/>
                <w:sz w:val="20"/>
                <w:szCs w:val="20"/>
                <w:lang w:eastAsia="sk-SK"/>
              </w:rPr>
            </w:pPr>
          </w:p>
        </w:tc>
        <w:tc>
          <w:tcPr>
            <w:tcW w:w="507" w:type="pct"/>
            <w:vMerge/>
            <w:tcBorders>
              <w:top w:val="single" w:sz="12" w:space="0" w:color="FFFFFF"/>
              <w:left w:val="single" w:sz="12" w:space="0" w:color="FFFFFF"/>
              <w:bottom w:val="nil"/>
              <w:right w:val="single" w:sz="12" w:space="0" w:color="FFFFFF"/>
            </w:tcBorders>
            <w:vAlign w:val="center"/>
            <w:hideMark/>
          </w:tcPr>
          <w:p w14:paraId="5CED68CC" w14:textId="77777777" w:rsidR="00DB434F" w:rsidRPr="00DB434F" w:rsidRDefault="00DB434F" w:rsidP="00DB434F">
            <w:pPr>
              <w:spacing w:after="0" w:line="240" w:lineRule="auto"/>
              <w:rPr>
                <w:rFonts w:cs="Calibri"/>
                <w:b/>
                <w:bCs/>
                <w:color w:val="000000"/>
                <w:sz w:val="20"/>
                <w:szCs w:val="20"/>
                <w:lang w:eastAsia="sk-SK"/>
              </w:rPr>
            </w:pPr>
          </w:p>
        </w:tc>
        <w:tc>
          <w:tcPr>
            <w:tcW w:w="548" w:type="pct"/>
            <w:vMerge/>
            <w:tcBorders>
              <w:top w:val="single" w:sz="12" w:space="0" w:color="FFFFFF"/>
              <w:left w:val="single" w:sz="12" w:space="0" w:color="FFFFFF"/>
              <w:bottom w:val="nil"/>
              <w:right w:val="single" w:sz="12" w:space="0" w:color="FFFFFF"/>
            </w:tcBorders>
            <w:vAlign w:val="center"/>
            <w:hideMark/>
          </w:tcPr>
          <w:p w14:paraId="1ADA4256" w14:textId="77777777" w:rsidR="00DB434F" w:rsidRPr="00DB434F" w:rsidRDefault="00DB434F" w:rsidP="00DB434F">
            <w:pPr>
              <w:spacing w:after="0" w:line="240" w:lineRule="auto"/>
              <w:rPr>
                <w:rFonts w:cs="Calibri"/>
                <w:b/>
                <w:bCs/>
                <w:color w:val="000000"/>
                <w:sz w:val="20"/>
                <w:szCs w:val="20"/>
                <w:lang w:eastAsia="sk-SK"/>
              </w:rPr>
            </w:pPr>
          </w:p>
        </w:tc>
        <w:tc>
          <w:tcPr>
            <w:tcW w:w="587" w:type="pct"/>
            <w:vMerge/>
            <w:tcBorders>
              <w:top w:val="single" w:sz="12" w:space="0" w:color="FFFFFF"/>
              <w:left w:val="single" w:sz="12" w:space="0" w:color="FFFFFF"/>
              <w:bottom w:val="nil"/>
              <w:right w:val="single" w:sz="12" w:space="0" w:color="FFFFFF"/>
            </w:tcBorders>
            <w:vAlign w:val="center"/>
            <w:hideMark/>
          </w:tcPr>
          <w:p w14:paraId="422FAA1E" w14:textId="77777777" w:rsidR="00DB434F" w:rsidRPr="00DB434F" w:rsidRDefault="00DB434F" w:rsidP="00DB434F">
            <w:pPr>
              <w:spacing w:after="0" w:line="240" w:lineRule="auto"/>
              <w:rPr>
                <w:rFonts w:cs="Calibri"/>
                <w:b/>
                <w:bCs/>
                <w:color w:val="FFFFFF"/>
                <w:sz w:val="20"/>
                <w:szCs w:val="20"/>
                <w:lang w:eastAsia="sk-SK"/>
              </w:rPr>
            </w:pPr>
          </w:p>
        </w:tc>
        <w:tc>
          <w:tcPr>
            <w:tcW w:w="681" w:type="pct"/>
            <w:vMerge/>
            <w:tcBorders>
              <w:top w:val="single" w:sz="12" w:space="0" w:color="FFFFFF"/>
              <w:left w:val="single" w:sz="12" w:space="0" w:color="FFFFFF"/>
              <w:bottom w:val="nil"/>
              <w:right w:val="single" w:sz="12" w:space="0" w:color="FFFFFF"/>
            </w:tcBorders>
            <w:vAlign w:val="center"/>
            <w:hideMark/>
          </w:tcPr>
          <w:p w14:paraId="399E28AD" w14:textId="77777777" w:rsidR="00DB434F" w:rsidRPr="00DB434F" w:rsidRDefault="00DB434F" w:rsidP="00DB434F">
            <w:pPr>
              <w:spacing w:after="0" w:line="240" w:lineRule="auto"/>
              <w:rPr>
                <w:rFonts w:cs="Calibri"/>
                <w:b/>
                <w:bCs/>
                <w:color w:val="000000"/>
                <w:sz w:val="20"/>
                <w:szCs w:val="20"/>
                <w:lang w:eastAsia="sk-SK"/>
              </w:rPr>
            </w:pPr>
          </w:p>
        </w:tc>
        <w:tc>
          <w:tcPr>
            <w:tcW w:w="69" w:type="pct"/>
            <w:tcBorders>
              <w:top w:val="nil"/>
              <w:left w:val="nil"/>
              <w:bottom w:val="nil"/>
              <w:right w:val="nil"/>
            </w:tcBorders>
            <w:shd w:val="clear" w:color="auto" w:fill="auto"/>
            <w:noWrap/>
            <w:vAlign w:val="bottom"/>
            <w:hideMark/>
          </w:tcPr>
          <w:p w14:paraId="038B3E48" w14:textId="77777777" w:rsidR="00DB434F" w:rsidRPr="00DB434F" w:rsidRDefault="00DB434F" w:rsidP="00DB434F">
            <w:pPr>
              <w:spacing w:after="0" w:line="240" w:lineRule="auto"/>
              <w:jc w:val="center"/>
              <w:rPr>
                <w:rFonts w:cs="Calibri"/>
                <w:b/>
                <w:bCs/>
                <w:color w:val="000000"/>
                <w:sz w:val="20"/>
                <w:szCs w:val="20"/>
                <w:lang w:eastAsia="sk-SK"/>
              </w:rPr>
            </w:pPr>
          </w:p>
        </w:tc>
      </w:tr>
      <w:tr w:rsidR="00DB434F" w:rsidRPr="00DB434F" w14:paraId="0C0A7CAF" w14:textId="77777777" w:rsidTr="00046289">
        <w:trPr>
          <w:trHeight w:val="242"/>
        </w:trPr>
        <w:tc>
          <w:tcPr>
            <w:tcW w:w="1268" w:type="pct"/>
            <w:tcBorders>
              <w:top w:val="nil"/>
              <w:left w:val="single" w:sz="12" w:space="0" w:color="FFFFFF"/>
              <w:bottom w:val="single" w:sz="12" w:space="0" w:color="FFFFFF"/>
              <w:right w:val="single" w:sz="12" w:space="0" w:color="FFFFFF"/>
            </w:tcBorders>
            <w:shd w:val="clear" w:color="000000" w:fill="F2F2F2"/>
            <w:vAlign w:val="center"/>
            <w:hideMark/>
          </w:tcPr>
          <w:p w14:paraId="4660AF02" w14:textId="77777777" w:rsidR="00DB434F" w:rsidRPr="00DB434F" w:rsidRDefault="00DB434F" w:rsidP="00DB434F">
            <w:pPr>
              <w:spacing w:after="0" w:line="240" w:lineRule="auto"/>
              <w:rPr>
                <w:rFonts w:cs="Calibri"/>
                <w:b/>
                <w:bCs/>
                <w:color w:val="000000"/>
                <w:sz w:val="20"/>
                <w:szCs w:val="20"/>
                <w:lang w:eastAsia="sk-SK"/>
              </w:rPr>
            </w:pPr>
            <w:r w:rsidRPr="00DB434F">
              <w:rPr>
                <w:rFonts w:cs="Calibri"/>
                <w:b/>
                <w:bCs/>
                <w:color w:val="000000"/>
                <w:sz w:val="20"/>
                <w:szCs w:val="20"/>
                <w:lang w:eastAsia="sk-SK"/>
              </w:rPr>
              <w:t>OTP banka</w:t>
            </w:r>
          </w:p>
        </w:tc>
        <w:tc>
          <w:tcPr>
            <w:tcW w:w="822" w:type="pct"/>
            <w:tcBorders>
              <w:top w:val="nil"/>
              <w:left w:val="nil"/>
              <w:bottom w:val="single" w:sz="12" w:space="0" w:color="FFFFFF"/>
              <w:right w:val="single" w:sz="12" w:space="0" w:color="FFFFFF"/>
            </w:tcBorders>
            <w:shd w:val="clear" w:color="000000" w:fill="F2F2F2"/>
            <w:vAlign w:val="center"/>
            <w:hideMark/>
          </w:tcPr>
          <w:p w14:paraId="0626A8A3"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1 145 847</w:t>
            </w:r>
          </w:p>
        </w:tc>
        <w:tc>
          <w:tcPr>
            <w:tcW w:w="518" w:type="pct"/>
            <w:tcBorders>
              <w:top w:val="nil"/>
              <w:left w:val="nil"/>
              <w:bottom w:val="single" w:sz="12" w:space="0" w:color="FFFFFF"/>
              <w:right w:val="single" w:sz="12" w:space="0" w:color="FFFFFF"/>
            </w:tcBorders>
            <w:shd w:val="clear" w:color="000000" w:fill="F2F2F2"/>
            <w:vAlign w:val="center"/>
            <w:hideMark/>
          </w:tcPr>
          <w:p w14:paraId="14201E94"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993 155</w:t>
            </w:r>
          </w:p>
        </w:tc>
        <w:tc>
          <w:tcPr>
            <w:tcW w:w="507" w:type="pct"/>
            <w:tcBorders>
              <w:top w:val="nil"/>
              <w:left w:val="nil"/>
              <w:bottom w:val="single" w:sz="12" w:space="0" w:color="FFFFFF"/>
              <w:right w:val="single" w:sz="12" w:space="0" w:color="FFFFFF"/>
            </w:tcBorders>
            <w:shd w:val="clear" w:color="000000" w:fill="F2F2F2"/>
            <w:vAlign w:val="center"/>
            <w:hideMark/>
          </w:tcPr>
          <w:p w14:paraId="2F41D16F"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840 463</w:t>
            </w:r>
          </w:p>
        </w:tc>
        <w:tc>
          <w:tcPr>
            <w:tcW w:w="548" w:type="pct"/>
            <w:tcBorders>
              <w:top w:val="nil"/>
              <w:left w:val="nil"/>
              <w:bottom w:val="single" w:sz="12" w:space="0" w:color="FFFFFF"/>
              <w:right w:val="single" w:sz="12" w:space="0" w:color="FFFFFF"/>
            </w:tcBorders>
            <w:shd w:val="clear" w:color="000000" w:fill="F2F2F2"/>
            <w:vAlign w:val="center"/>
            <w:hideMark/>
          </w:tcPr>
          <w:p w14:paraId="0B0C559C"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 </w:t>
            </w:r>
          </w:p>
        </w:tc>
        <w:tc>
          <w:tcPr>
            <w:tcW w:w="587" w:type="pct"/>
            <w:tcBorders>
              <w:top w:val="nil"/>
              <w:left w:val="nil"/>
              <w:bottom w:val="single" w:sz="12" w:space="0" w:color="FFFFFF"/>
              <w:right w:val="single" w:sz="12" w:space="0" w:color="FFFFFF"/>
            </w:tcBorders>
            <w:shd w:val="clear" w:color="000000" w:fill="BFBFBF"/>
            <w:vAlign w:val="center"/>
            <w:hideMark/>
          </w:tcPr>
          <w:p w14:paraId="733D03AE"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-152 692</w:t>
            </w:r>
          </w:p>
        </w:tc>
        <w:tc>
          <w:tcPr>
            <w:tcW w:w="681" w:type="pct"/>
            <w:tcBorders>
              <w:top w:val="nil"/>
              <w:left w:val="nil"/>
              <w:bottom w:val="single" w:sz="12" w:space="0" w:color="FFFFFF"/>
              <w:right w:val="single" w:sz="12" w:space="0" w:color="FFFFFF"/>
            </w:tcBorders>
            <w:shd w:val="clear" w:color="000000" w:fill="C4BD97"/>
            <w:vAlign w:val="center"/>
            <w:hideMark/>
          </w:tcPr>
          <w:p w14:paraId="06C32B64"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687 771</w:t>
            </w:r>
          </w:p>
        </w:tc>
        <w:tc>
          <w:tcPr>
            <w:tcW w:w="69" w:type="pct"/>
            <w:vAlign w:val="center"/>
            <w:hideMark/>
          </w:tcPr>
          <w:p w14:paraId="08645481" w14:textId="77777777" w:rsidR="00DB434F" w:rsidRPr="00DB434F" w:rsidRDefault="00DB434F" w:rsidP="00DB434F">
            <w:pPr>
              <w:spacing w:after="0" w:line="240" w:lineRule="auto"/>
              <w:rPr>
                <w:rFonts w:ascii="Times New Roman" w:hAnsi="Times New Roman"/>
                <w:sz w:val="20"/>
                <w:szCs w:val="20"/>
                <w:lang w:eastAsia="sk-SK"/>
              </w:rPr>
            </w:pPr>
          </w:p>
        </w:tc>
      </w:tr>
      <w:tr w:rsidR="00DB434F" w:rsidRPr="00DB434F" w14:paraId="7C89D6C6" w14:textId="77777777" w:rsidTr="00046289">
        <w:trPr>
          <w:trHeight w:val="253"/>
        </w:trPr>
        <w:tc>
          <w:tcPr>
            <w:tcW w:w="1268" w:type="pct"/>
            <w:tcBorders>
              <w:top w:val="nil"/>
              <w:left w:val="single" w:sz="12" w:space="0" w:color="FFFFFF"/>
              <w:bottom w:val="single" w:sz="12" w:space="0" w:color="FFFFFF"/>
              <w:right w:val="single" w:sz="12" w:space="0" w:color="FFFFFF"/>
            </w:tcBorders>
            <w:shd w:val="clear" w:color="000000" w:fill="F2F2F2"/>
            <w:vAlign w:val="center"/>
            <w:hideMark/>
          </w:tcPr>
          <w:p w14:paraId="095DF24F" w14:textId="77777777" w:rsidR="00DB434F" w:rsidRPr="00DB434F" w:rsidRDefault="00DB434F" w:rsidP="00DB434F">
            <w:pPr>
              <w:spacing w:after="0" w:line="240" w:lineRule="auto"/>
              <w:rPr>
                <w:rFonts w:cs="Calibri"/>
                <w:b/>
                <w:bCs/>
                <w:color w:val="000000"/>
                <w:sz w:val="20"/>
                <w:szCs w:val="20"/>
                <w:lang w:eastAsia="sk-SK"/>
              </w:rPr>
            </w:pPr>
            <w:r w:rsidRPr="00DB434F">
              <w:rPr>
                <w:rFonts w:cs="Calibri"/>
                <w:b/>
                <w:bCs/>
                <w:color w:val="000000"/>
                <w:sz w:val="20"/>
                <w:szCs w:val="20"/>
                <w:lang w:eastAsia="sk-SK"/>
              </w:rPr>
              <w:t>EIB</w:t>
            </w:r>
          </w:p>
        </w:tc>
        <w:tc>
          <w:tcPr>
            <w:tcW w:w="822" w:type="pct"/>
            <w:tcBorders>
              <w:top w:val="nil"/>
              <w:left w:val="nil"/>
              <w:bottom w:val="single" w:sz="12" w:space="0" w:color="FFFFFF"/>
              <w:right w:val="single" w:sz="12" w:space="0" w:color="FFFFFF"/>
            </w:tcBorders>
            <w:shd w:val="clear" w:color="000000" w:fill="F2F2F2"/>
            <w:vAlign w:val="center"/>
            <w:hideMark/>
          </w:tcPr>
          <w:p w14:paraId="74258508"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19 400 699</w:t>
            </w:r>
          </w:p>
        </w:tc>
        <w:tc>
          <w:tcPr>
            <w:tcW w:w="518" w:type="pct"/>
            <w:tcBorders>
              <w:top w:val="nil"/>
              <w:left w:val="nil"/>
              <w:bottom w:val="single" w:sz="12" w:space="0" w:color="FFFFFF"/>
              <w:right w:val="single" w:sz="12" w:space="0" w:color="FFFFFF"/>
            </w:tcBorders>
            <w:shd w:val="clear" w:color="000000" w:fill="F2F2F2"/>
            <w:vAlign w:val="center"/>
            <w:hideMark/>
          </w:tcPr>
          <w:p w14:paraId="5E6D76EB"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34 564 966</w:t>
            </w:r>
          </w:p>
        </w:tc>
        <w:tc>
          <w:tcPr>
            <w:tcW w:w="507" w:type="pct"/>
            <w:tcBorders>
              <w:top w:val="nil"/>
              <w:left w:val="nil"/>
              <w:bottom w:val="single" w:sz="12" w:space="0" w:color="FFFFFF"/>
              <w:right w:val="single" w:sz="12" w:space="0" w:color="FFFFFF"/>
            </w:tcBorders>
            <w:shd w:val="clear" w:color="000000" w:fill="F2F2F2"/>
            <w:vAlign w:val="center"/>
            <w:hideMark/>
          </w:tcPr>
          <w:p w14:paraId="28780EAF"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33 369 232</w:t>
            </w:r>
          </w:p>
        </w:tc>
        <w:tc>
          <w:tcPr>
            <w:tcW w:w="548" w:type="pct"/>
            <w:tcBorders>
              <w:top w:val="nil"/>
              <w:left w:val="nil"/>
              <w:bottom w:val="single" w:sz="12" w:space="0" w:color="FFFFFF"/>
              <w:right w:val="single" w:sz="12" w:space="0" w:color="FFFFFF"/>
            </w:tcBorders>
            <w:shd w:val="clear" w:color="000000" w:fill="F2F2F2"/>
            <w:vAlign w:val="center"/>
            <w:hideMark/>
          </w:tcPr>
          <w:p w14:paraId="20D805F9"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6 000 000</w:t>
            </w:r>
          </w:p>
        </w:tc>
        <w:tc>
          <w:tcPr>
            <w:tcW w:w="587" w:type="pct"/>
            <w:tcBorders>
              <w:top w:val="nil"/>
              <w:left w:val="nil"/>
              <w:bottom w:val="single" w:sz="12" w:space="0" w:color="FFFFFF"/>
              <w:right w:val="single" w:sz="12" w:space="0" w:color="FFFFFF"/>
            </w:tcBorders>
            <w:shd w:val="clear" w:color="000000" w:fill="BFBFBF"/>
            <w:vAlign w:val="center"/>
            <w:hideMark/>
          </w:tcPr>
          <w:p w14:paraId="1A69F65A"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-1 475 733</w:t>
            </w:r>
          </w:p>
        </w:tc>
        <w:tc>
          <w:tcPr>
            <w:tcW w:w="681" w:type="pct"/>
            <w:tcBorders>
              <w:top w:val="nil"/>
              <w:left w:val="nil"/>
              <w:bottom w:val="single" w:sz="12" w:space="0" w:color="FFFFFF"/>
              <w:right w:val="single" w:sz="12" w:space="0" w:color="FFFFFF"/>
            </w:tcBorders>
            <w:shd w:val="clear" w:color="000000" w:fill="C4BD97"/>
            <w:vAlign w:val="center"/>
            <w:hideMark/>
          </w:tcPr>
          <w:p w14:paraId="6E1CACD0"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37 893 499</w:t>
            </w:r>
          </w:p>
        </w:tc>
        <w:tc>
          <w:tcPr>
            <w:tcW w:w="69" w:type="pct"/>
            <w:vAlign w:val="center"/>
            <w:hideMark/>
          </w:tcPr>
          <w:p w14:paraId="5D1EAAC3" w14:textId="77777777" w:rsidR="00DB434F" w:rsidRPr="00DB434F" w:rsidRDefault="00DB434F" w:rsidP="00DB434F">
            <w:pPr>
              <w:spacing w:after="0" w:line="240" w:lineRule="auto"/>
              <w:rPr>
                <w:rFonts w:ascii="Times New Roman" w:hAnsi="Times New Roman"/>
                <w:sz w:val="20"/>
                <w:szCs w:val="20"/>
                <w:lang w:eastAsia="sk-SK"/>
              </w:rPr>
            </w:pPr>
          </w:p>
        </w:tc>
      </w:tr>
      <w:tr w:rsidR="00DB434F" w:rsidRPr="00DB434F" w14:paraId="39DBF489" w14:textId="77777777" w:rsidTr="00046289">
        <w:trPr>
          <w:trHeight w:val="253"/>
        </w:trPr>
        <w:tc>
          <w:tcPr>
            <w:tcW w:w="1268" w:type="pct"/>
            <w:tcBorders>
              <w:top w:val="nil"/>
              <w:left w:val="single" w:sz="12" w:space="0" w:color="FFFFFF"/>
              <w:bottom w:val="single" w:sz="12" w:space="0" w:color="FFFFFF"/>
              <w:right w:val="single" w:sz="12" w:space="0" w:color="FFFFFF"/>
            </w:tcBorders>
            <w:shd w:val="clear" w:color="000000" w:fill="F2F2F2"/>
            <w:vAlign w:val="center"/>
            <w:hideMark/>
          </w:tcPr>
          <w:p w14:paraId="4F016543" w14:textId="77777777" w:rsidR="00DB434F" w:rsidRPr="00DB434F" w:rsidRDefault="00DB434F" w:rsidP="00DB434F">
            <w:pPr>
              <w:spacing w:after="0" w:line="240" w:lineRule="auto"/>
              <w:rPr>
                <w:rFonts w:cs="Calibri"/>
                <w:b/>
                <w:bCs/>
                <w:color w:val="000000"/>
                <w:sz w:val="20"/>
                <w:szCs w:val="20"/>
                <w:lang w:eastAsia="sk-SK"/>
              </w:rPr>
            </w:pPr>
            <w:r w:rsidRPr="00DB434F">
              <w:rPr>
                <w:rFonts w:cs="Calibri"/>
                <w:b/>
                <w:bCs/>
                <w:color w:val="000000"/>
                <w:sz w:val="20"/>
                <w:szCs w:val="20"/>
                <w:lang w:eastAsia="sk-SK"/>
              </w:rPr>
              <w:t>Komerční banka</w:t>
            </w:r>
          </w:p>
        </w:tc>
        <w:tc>
          <w:tcPr>
            <w:tcW w:w="822" w:type="pct"/>
            <w:tcBorders>
              <w:top w:val="nil"/>
              <w:left w:val="nil"/>
              <w:bottom w:val="single" w:sz="12" w:space="0" w:color="FFFFFF"/>
              <w:right w:val="single" w:sz="12" w:space="0" w:color="FFFFFF"/>
            </w:tcBorders>
            <w:shd w:val="clear" w:color="000000" w:fill="F2F2F2"/>
            <w:vAlign w:val="center"/>
            <w:hideMark/>
          </w:tcPr>
          <w:p w14:paraId="03969495"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9 884 875</w:t>
            </w:r>
          </w:p>
        </w:tc>
        <w:tc>
          <w:tcPr>
            <w:tcW w:w="518" w:type="pct"/>
            <w:tcBorders>
              <w:top w:val="nil"/>
              <w:left w:val="nil"/>
              <w:bottom w:val="single" w:sz="12" w:space="0" w:color="FFFFFF"/>
              <w:right w:val="single" w:sz="12" w:space="0" w:color="FFFFFF"/>
            </w:tcBorders>
            <w:shd w:val="clear" w:color="000000" w:fill="F2F2F2"/>
            <w:vAlign w:val="center"/>
            <w:hideMark/>
          </w:tcPr>
          <w:p w14:paraId="42CED86B"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8 609 141</w:t>
            </w:r>
          </w:p>
        </w:tc>
        <w:tc>
          <w:tcPr>
            <w:tcW w:w="507" w:type="pct"/>
            <w:tcBorders>
              <w:top w:val="nil"/>
              <w:left w:val="nil"/>
              <w:bottom w:val="single" w:sz="12" w:space="0" w:color="FFFFFF"/>
              <w:right w:val="single" w:sz="12" w:space="0" w:color="FFFFFF"/>
            </w:tcBorders>
            <w:shd w:val="clear" w:color="000000" w:fill="F2F2F2"/>
            <w:vAlign w:val="center"/>
            <w:hideMark/>
          </w:tcPr>
          <w:p w14:paraId="145154DE"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7 333 407</w:t>
            </w:r>
          </w:p>
        </w:tc>
        <w:tc>
          <w:tcPr>
            <w:tcW w:w="548" w:type="pct"/>
            <w:tcBorders>
              <w:top w:val="nil"/>
              <w:left w:val="nil"/>
              <w:bottom w:val="single" w:sz="12" w:space="0" w:color="FFFFFF"/>
              <w:right w:val="single" w:sz="12" w:space="0" w:color="FFFFFF"/>
            </w:tcBorders>
            <w:shd w:val="clear" w:color="000000" w:fill="F2F2F2"/>
            <w:vAlign w:val="center"/>
            <w:hideMark/>
          </w:tcPr>
          <w:p w14:paraId="0F3193E1"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 </w:t>
            </w:r>
          </w:p>
        </w:tc>
        <w:tc>
          <w:tcPr>
            <w:tcW w:w="587" w:type="pct"/>
            <w:tcBorders>
              <w:top w:val="nil"/>
              <w:left w:val="nil"/>
              <w:bottom w:val="single" w:sz="12" w:space="0" w:color="FFFFFF"/>
              <w:right w:val="single" w:sz="12" w:space="0" w:color="FFFFFF"/>
            </w:tcBorders>
            <w:shd w:val="clear" w:color="000000" w:fill="BFBFBF"/>
            <w:vAlign w:val="center"/>
            <w:hideMark/>
          </w:tcPr>
          <w:p w14:paraId="7C02E04C"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-1 275 734</w:t>
            </w:r>
          </w:p>
        </w:tc>
        <w:tc>
          <w:tcPr>
            <w:tcW w:w="681" w:type="pct"/>
            <w:tcBorders>
              <w:top w:val="nil"/>
              <w:left w:val="nil"/>
              <w:bottom w:val="single" w:sz="12" w:space="0" w:color="FFFFFF"/>
              <w:right w:val="single" w:sz="12" w:space="0" w:color="FFFFFF"/>
            </w:tcBorders>
            <w:shd w:val="clear" w:color="000000" w:fill="C4BD97"/>
            <w:vAlign w:val="center"/>
            <w:hideMark/>
          </w:tcPr>
          <w:p w14:paraId="1563C158"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6 057 673</w:t>
            </w:r>
          </w:p>
        </w:tc>
        <w:tc>
          <w:tcPr>
            <w:tcW w:w="69" w:type="pct"/>
            <w:vAlign w:val="center"/>
            <w:hideMark/>
          </w:tcPr>
          <w:p w14:paraId="2EFCF8A7" w14:textId="77777777" w:rsidR="00DB434F" w:rsidRPr="00DB434F" w:rsidRDefault="00DB434F" w:rsidP="00DB434F">
            <w:pPr>
              <w:spacing w:after="0" w:line="240" w:lineRule="auto"/>
              <w:rPr>
                <w:rFonts w:ascii="Times New Roman" w:hAnsi="Times New Roman"/>
                <w:sz w:val="20"/>
                <w:szCs w:val="20"/>
                <w:lang w:eastAsia="sk-SK"/>
              </w:rPr>
            </w:pPr>
          </w:p>
        </w:tc>
      </w:tr>
      <w:tr w:rsidR="00DB434F" w:rsidRPr="00DB434F" w14:paraId="21F4D729" w14:textId="77777777" w:rsidTr="00046289">
        <w:trPr>
          <w:trHeight w:val="253"/>
        </w:trPr>
        <w:tc>
          <w:tcPr>
            <w:tcW w:w="1268" w:type="pct"/>
            <w:tcBorders>
              <w:top w:val="nil"/>
              <w:left w:val="single" w:sz="12" w:space="0" w:color="FFFFFF"/>
              <w:bottom w:val="single" w:sz="12" w:space="0" w:color="FFFFFF"/>
              <w:right w:val="single" w:sz="12" w:space="0" w:color="FFFFFF"/>
            </w:tcBorders>
            <w:shd w:val="clear" w:color="000000" w:fill="F2F2F2"/>
            <w:vAlign w:val="center"/>
            <w:hideMark/>
          </w:tcPr>
          <w:p w14:paraId="46410BC1" w14:textId="77777777" w:rsidR="00DB434F" w:rsidRPr="00DB434F" w:rsidRDefault="00DB434F" w:rsidP="00DB434F">
            <w:pPr>
              <w:spacing w:after="0" w:line="240" w:lineRule="auto"/>
              <w:rPr>
                <w:rFonts w:cs="Calibri"/>
                <w:b/>
                <w:bCs/>
                <w:color w:val="000000"/>
                <w:sz w:val="20"/>
                <w:szCs w:val="20"/>
                <w:lang w:eastAsia="sk-SK"/>
              </w:rPr>
            </w:pPr>
            <w:r w:rsidRPr="00DB434F">
              <w:rPr>
                <w:rFonts w:cs="Calibri"/>
                <w:b/>
                <w:bCs/>
                <w:color w:val="000000"/>
                <w:sz w:val="20"/>
                <w:szCs w:val="20"/>
                <w:lang w:eastAsia="sk-SK"/>
              </w:rPr>
              <w:t>Slovenská sporiteľňa</w:t>
            </w:r>
          </w:p>
        </w:tc>
        <w:tc>
          <w:tcPr>
            <w:tcW w:w="822" w:type="pct"/>
            <w:tcBorders>
              <w:top w:val="nil"/>
              <w:left w:val="nil"/>
              <w:bottom w:val="single" w:sz="12" w:space="0" w:color="FFFFFF"/>
              <w:right w:val="single" w:sz="12" w:space="0" w:color="FFFFFF"/>
            </w:tcBorders>
            <w:shd w:val="clear" w:color="000000" w:fill="F2F2F2"/>
            <w:vAlign w:val="center"/>
            <w:hideMark/>
          </w:tcPr>
          <w:p w14:paraId="486CB8BD"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14 037 719</w:t>
            </w:r>
          </w:p>
        </w:tc>
        <w:tc>
          <w:tcPr>
            <w:tcW w:w="518" w:type="pct"/>
            <w:tcBorders>
              <w:top w:val="nil"/>
              <w:left w:val="nil"/>
              <w:bottom w:val="single" w:sz="12" w:space="0" w:color="FFFFFF"/>
              <w:right w:val="single" w:sz="12" w:space="0" w:color="FFFFFF"/>
            </w:tcBorders>
            <w:shd w:val="clear" w:color="000000" w:fill="F2F2F2"/>
            <w:vAlign w:val="center"/>
            <w:hideMark/>
          </w:tcPr>
          <w:p w14:paraId="0DF80B65"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13 037 715</w:t>
            </w:r>
          </w:p>
        </w:tc>
        <w:tc>
          <w:tcPr>
            <w:tcW w:w="507" w:type="pct"/>
            <w:tcBorders>
              <w:top w:val="nil"/>
              <w:left w:val="nil"/>
              <w:bottom w:val="single" w:sz="12" w:space="0" w:color="FFFFFF"/>
              <w:right w:val="single" w:sz="12" w:space="0" w:color="FFFFFF"/>
            </w:tcBorders>
            <w:shd w:val="clear" w:color="000000" w:fill="F2F2F2"/>
            <w:vAlign w:val="center"/>
            <w:hideMark/>
          </w:tcPr>
          <w:p w14:paraId="7FD9E845"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12 037 711</w:t>
            </w:r>
          </w:p>
        </w:tc>
        <w:tc>
          <w:tcPr>
            <w:tcW w:w="548" w:type="pct"/>
            <w:tcBorders>
              <w:top w:val="nil"/>
              <w:left w:val="nil"/>
              <w:bottom w:val="single" w:sz="12" w:space="0" w:color="FFFFFF"/>
              <w:right w:val="single" w:sz="12" w:space="0" w:color="FFFFFF"/>
            </w:tcBorders>
            <w:shd w:val="clear" w:color="000000" w:fill="F2F2F2"/>
            <w:vAlign w:val="center"/>
            <w:hideMark/>
          </w:tcPr>
          <w:p w14:paraId="65B0A350"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 </w:t>
            </w:r>
          </w:p>
        </w:tc>
        <w:tc>
          <w:tcPr>
            <w:tcW w:w="587" w:type="pct"/>
            <w:tcBorders>
              <w:top w:val="nil"/>
              <w:left w:val="nil"/>
              <w:bottom w:val="single" w:sz="12" w:space="0" w:color="FFFFFF"/>
              <w:right w:val="single" w:sz="12" w:space="0" w:color="FFFFFF"/>
            </w:tcBorders>
            <w:shd w:val="clear" w:color="000000" w:fill="BFBFBF"/>
            <w:vAlign w:val="center"/>
            <w:hideMark/>
          </w:tcPr>
          <w:p w14:paraId="447624D4"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-1 000 004</w:t>
            </w:r>
          </w:p>
        </w:tc>
        <w:tc>
          <w:tcPr>
            <w:tcW w:w="681" w:type="pct"/>
            <w:tcBorders>
              <w:top w:val="nil"/>
              <w:left w:val="nil"/>
              <w:bottom w:val="single" w:sz="12" w:space="0" w:color="FFFFFF"/>
              <w:right w:val="single" w:sz="12" w:space="0" w:color="FFFFFF"/>
            </w:tcBorders>
            <w:shd w:val="clear" w:color="000000" w:fill="C4BD97"/>
            <w:vAlign w:val="center"/>
            <w:hideMark/>
          </w:tcPr>
          <w:p w14:paraId="036FC105"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11 037 707</w:t>
            </w:r>
          </w:p>
        </w:tc>
        <w:tc>
          <w:tcPr>
            <w:tcW w:w="69" w:type="pct"/>
            <w:vAlign w:val="center"/>
            <w:hideMark/>
          </w:tcPr>
          <w:p w14:paraId="714C94C9" w14:textId="77777777" w:rsidR="00DB434F" w:rsidRPr="00DB434F" w:rsidRDefault="00DB434F" w:rsidP="00DB434F">
            <w:pPr>
              <w:spacing w:after="0" w:line="240" w:lineRule="auto"/>
              <w:rPr>
                <w:rFonts w:ascii="Times New Roman" w:hAnsi="Times New Roman"/>
                <w:sz w:val="20"/>
                <w:szCs w:val="20"/>
                <w:lang w:eastAsia="sk-SK"/>
              </w:rPr>
            </w:pPr>
          </w:p>
        </w:tc>
      </w:tr>
      <w:tr w:rsidR="00DB434F" w:rsidRPr="00DB434F" w14:paraId="2C4C5290" w14:textId="77777777" w:rsidTr="00046289">
        <w:trPr>
          <w:trHeight w:val="242"/>
        </w:trPr>
        <w:tc>
          <w:tcPr>
            <w:tcW w:w="1268" w:type="pct"/>
            <w:tcBorders>
              <w:top w:val="nil"/>
              <w:left w:val="single" w:sz="12" w:space="0" w:color="FFFFFF"/>
              <w:bottom w:val="nil"/>
              <w:right w:val="single" w:sz="12" w:space="0" w:color="FFFFFF"/>
            </w:tcBorders>
            <w:shd w:val="clear" w:color="000000" w:fill="F2F2F2"/>
            <w:vAlign w:val="center"/>
            <w:hideMark/>
          </w:tcPr>
          <w:p w14:paraId="48EF085A" w14:textId="77777777" w:rsidR="00DB434F" w:rsidRPr="00DB434F" w:rsidRDefault="00DB434F" w:rsidP="00DB434F">
            <w:pPr>
              <w:spacing w:after="0" w:line="240" w:lineRule="auto"/>
              <w:rPr>
                <w:rFonts w:cs="Calibri"/>
                <w:b/>
                <w:bCs/>
                <w:color w:val="000000"/>
                <w:sz w:val="20"/>
                <w:szCs w:val="20"/>
                <w:lang w:eastAsia="sk-SK"/>
              </w:rPr>
            </w:pPr>
            <w:r w:rsidRPr="00DB434F">
              <w:rPr>
                <w:rFonts w:cs="Calibri"/>
                <w:b/>
                <w:bCs/>
                <w:color w:val="000000"/>
                <w:sz w:val="20"/>
                <w:szCs w:val="20"/>
                <w:lang w:eastAsia="sk-SK"/>
              </w:rPr>
              <w:t xml:space="preserve">MFSR - NFV výpadok </w:t>
            </w:r>
            <w:proofErr w:type="spellStart"/>
            <w:r w:rsidRPr="00DB434F">
              <w:rPr>
                <w:rFonts w:cs="Calibri"/>
                <w:b/>
                <w:bCs/>
                <w:color w:val="000000"/>
                <w:sz w:val="20"/>
                <w:szCs w:val="20"/>
                <w:lang w:eastAsia="sk-SK"/>
              </w:rPr>
              <w:t>DzPFO</w:t>
            </w:r>
            <w:proofErr w:type="spellEnd"/>
          </w:p>
        </w:tc>
        <w:tc>
          <w:tcPr>
            <w:tcW w:w="822" w:type="pct"/>
            <w:tcBorders>
              <w:top w:val="nil"/>
              <w:left w:val="nil"/>
              <w:bottom w:val="nil"/>
              <w:right w:val="single" w:sz="12" w:space="0" w:color="FFFFFF"/>
            </w:tcBorders>
            <w:shd w:val="clear" w:color="000000" w:fill="F2F2F2"/>
            <w:vAlign w:val="center"/>
            <w:hideMark/>
          </w:tcPr>
          <w:p w14:paraId="152030FA"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0</w:t>
            </w:r>
          </w:p>
        </w:tc>
        <w:tc>
          <w:tcPr>
            <w:tcW w:w="518" w:type="pct"/>
            <w:tcBorders>
              <w:top w:val="nil"/>
              <w:left w:val="nil"/>
              <w:bottom w:val="nil"/>
              <w:right w:val="single" w:sz="12" w:space="0" w:color="FFFFFF"/>
            </w:tcBorders>
            <w:shd w:val="clear" w:color="000000" w:fill="F2F2F2"/>
            <w:vAlign w:val="center"/>
            <w:hideMark/>
          </w:tcPr>
          <w:p w14:paraId="0F0396DA"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0</w:t>
            </w:r>
          </w:p>
        </w:tc>
        <w:tc>
          <w:tcPr>
            <w:tcW w:w="507" w:type="pct"/>
            <w:tcBorders>
              <w:top w:val="nil"/>
              <w:left w:val="nil"/>
              <w:bottom w:val="nil"/>
              <w:right w:val="single" w:sz="12" w:space="0" w:color="FFFFFF"/>
            </w:tcBorders>
            <w:shd w:val="clear" w:color="000000" w:fill="F2F2F2"/>
            <w:vAlign w:val="center"/>
            <w:hideMark/>
          </w:tcPr>
          <w:p w14:paraId="17BEED3C"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0</w:t>
            </w:r>
          </w:p>
        </w:tc>
        <w:tc>
          <w:tcPr>
            <w:tcW w:w="548" w:type="pct"/>
            <w:tcBorders>
              <w:top w:val="nil"/>
              <w:left w:val="nil"/>
              <w:bottom w:val="nil"/>
              <w:right w:val="single" w:sz="12" w:space="0" w:color="FFFFFF"/>
            </w:tcBorders>
            <w:shd w:val="clear" w:color="000000" w:fill="F2F2F2"/>
            <w:vAlign w:val="center"/>
            <w:hideMark/>
          </w:tcPr>
          <w:p w14:paraId="129FC794"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5 675 346</w:t>
            </w:r>
          </w:p>
        </w:tc>
        <w:tc>
          <w:tcPr>
            <w:tcW w:w="587" w:type="pct"/>
            <w:tcBorders>
              <w:top w:val="nil"/>
              <w:left w:val="nil"/>
              <w:bottom w:val="nil"/>
              <w:right w:val="single" w:sz="12" w:space="0" w:color="FFFFFF"/>
            </w:tcBorders>
            <w:shd w:val="clear" w:color="000000" w:fill="BFBFBF"/>
            <w:vAlign w:val="center"/>
            <w:hideMark/>
          </w:tcPr>
          <w:p w14:paraId="16B835C3"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0</w:t>
            </w:r>
          </w:p>
        </w:tc>
        <w:tc>
          <w:tcPr>
            <w:tcW w:w="681" w:type="pct"/>
            <w:tcBorders>
              <w:top w:val="nil"/>
              <w:left w:val="nil"/>
              <w:bottom w:val="nil"/>
              <w:right w:val="single" w:sz="12" w:space="0" w:color="FFFFFF"/>
            </w:tcBorders>
            <w:shd w:val="clear" w:color="000000" w:fill="C4BD97"/>
            <w:vAlign w:val="center"/>
            <w:hideMark/>
          </w:tcPr>
          <w:p w14:paraId="33F327C6" w14:textId="77777777" w:rsidR="00DB434F" w:rsidRPr="00DB434F" w:rsidRDefault="00DB434F" w:rsidP="00DB434F">
            <w:pPr>
              <w:spacing w:after="0" w:line="240" w:lineRule="auto"/>
              <w:jc w:val="right"/>
              <w:rPr>
                <w:rFonts w:cs="Calibri"/>
                <w:color w:val="000000"/>
                <w:sz w:val="20"/>
                <w:szCs w:val="20"/>
                <w:lang w:eastAsia="sk-SK"/>
              </w:rPr>
            </w:pPr>
            <w:r w:rsidRPr="00DB434F">
              <w:rPr>
                <w:rFonts w:cs="Calibri"/>
                <w:color w:val="000000"/>
                <w:sz w:val="20"/>
                <w:szCs w:val="20"/>
                <w:lang w:eastAsia="sk-SK"/>
              </w:rPr>
              <w:t>5 675 346</w:t>
            </w:r>
          </w:p>
        </w:tc>
        <w:tc>
          <w:tcPr>
            <w:tcW w:w="69" w:type="pct"/>
            <w:vAlign w:val="center"/>
            <w:hideMark/>
          </w:tcPr>
          <w:p w14:paraId="124997AC" w14:textId="77777777" w:rsidR="00DB434F" w:rsidRPr="00DB434F" w:rsidRDefault="00DB434F" w:rsidP="00DB434F">
            <w:pPr>
              <w:spacing w:after="0" w:line="240" w:lineRule="auto"/>
              <w:rPr>
                <w:rFonts w:ascii="Times New Roman" w:hAnsi="Times New Roman"/>
                <w:sz w:val="20"/>
                <w:szCs w:val="20"/>
                <w:lang w:eastAsia="sk-SK"/>
              </w:rPr>
            </w:pPr>
          </w:p>
        </w:tc>
      </w:tr>
      <w:tr w:rsidR="00DB434F" w:rsidRPr="00DB434F" w14:paraId="520F28F3" w14:textId="77777777" w:rsidTr="00046289">
        <w:trPr>
          <w:trHeight w:val="242"/>
        </w:trPr>
        <w:tc>
          <w:tcPr>
            <w:tcW w:w="1268" w:type="pct"/>
            <w:tcBorders>
              <w:top w:val="nil"/>
              <w:left w:val="single" w:sz="12" w:space="0" w:color="FFFFFF"/>
              <w:bottom w:val="nil"/>
              <w:right w:val="single" w:sz="12" w:space="0" w:color="FFFFFF"/>
            </w:tcBorders>
            <w:shd w:val="clear" w:color="000000" w:fill="8DB3E2"/>
            <w:vAlign w:val="center"/>
            <w:hideMark/>
          </w:tcPr>
          <w:p w14:paraId="0708372E" w14:textId="77777777" w:rsidR="00DB434F" w:rsidRPr="00DB434F" w:rsidRDefault="00DB434F" w:rsidP="00DB434F">
            <w:pPr>
              <w:spacing w:after="0" w:line="240" w:lineRule="auto"/>
              <w:rPr>
                <w:rFonts w:cs="Calibri"/>
                <w:b/>
                <w:bCs/>
                <w:color w:val="000000"/>
                <w:sz w:val="20"/>
                <w:szCs w:val="20"/>
                <w:lang w:eastAsia="sk-SK"/>
              </w:rPr>
            </w:pPr>
            <w:r w:rsidRPr="00DB434F">
              <w:rPr>
                <w:rFonts w:cs="Calibri"/>
                <w:b/>
                <w:bCs/>
                <w:color w:val="000000"/>
                <w:sz w:val="20"/>
                <w:szCs w:val="20"/>
                <w:lang w:eastAsia="sk-SK"/>
              </w:rPr>
              <w:t xml:space="preserve">Spolu </w:t>
            </w:r>
          </w:p>
        </w:tc>
        <w:tc>
          <w:tcPr>
            <w:tcW w:w="822" w:type="pct"/>
            <w:tcBorders>
              <w:top w:val="nil"/>
              <w:left w:val="nil"/>
              <w:bottom w:val="nil"/>
              <w:right w:val="single" w:sz="12" w:space="0" w:color="FFFFFF"/>
            </w:tcBorders>
            <w:shd w:val="clear" w:color="000000" w:fill="8DB3E2"/>
            <w:vAlign w:val="center"/>
            <w:hideMark/>
          </w:tcPr>
          <w:p w14:paraId="6139A385" w14:textId="77777777" w:rsidR="00DB434F" w:rsidRPr="00DB434F" w:rsidRDefault="00DB434F" w:rsidP="00DB434F">
            <w:pPr>
              <w:spacing w:after="0" w:line="240" w:lineRule="auto"/>
              <w:jc w:val="right"/>
              <w:rPr>
                <w:rFonts w:cs="Calibri"/>
                <w:b/>
                <w:bCs/>
                <w:color w:val="000000"/>
                <w:sz w:val="20"/>
                <w:szCs w:val="20"/>
                <w:lang w:eastAsia="sk-SK"/>
              </w:rPr>
            </w:pPr>
            <w:r w:rsidRPr="00DB434F">
              <w:rPr>
                <w:rFonts w:cs="Calibri"/>
                <w:b/>
                <w:bCs/>
                <w:color w:val="000000"/>
                <w:sz w:val="20"/>
                <w:szCs w:val="20"/>
                <w:lang w:eastAsia="sk-SK"/>
              </w:rPr>
              <w:t>44 469 140</w:t>
            </w:r>
          </w:p>
        </w:tc>
        <w:tc>
          <w:tcPr>
            <w:tcW w:w="518" w:type="pct"/>
            <w:tcBorders>
              <w:top w:val="nil"/>
              <w:left w:val="nil"/>
              <w:bottom w:val="single" w:sz="12" w:space="0" w:color="FFFFFF"/>
              <w:right w:val="single" w:sz="12" w:space="0" w:color="FFFFFF"/>
            </w:tcBorders>
            <w:shd w:val="clear" w:color="000000" w:fill="8DB3E2"/>
            <w:vAlign w:val="center"/>
            <w:hideMark/>
          </w:tcPr>
          <w:p w14:paraId="7B430DEA" w14:textId="77777777" w:rsidR="00DB434F" w:rsidRPr="00DB434F" w:rsidRDefault="00DB434F" w:rsidP="00DB434F">
            <w:pPr>
              <w:spacing w:after="0" w:line="240" w:lineRule="auto"/>
              <w:jc w:val="right"/>
              <w:rPr>
                <w:rFonts w:cs="Calibri"/>
                <w:b/>
                <w:bCs/>
                <w:color w:val="000000"/>
                <w:sz w:val="20"/>
                <w:szCs w:val="20"/>
                <w:lang w:eastAsia="sk-SK"/>
              </w:rPr>
            </w:pPr>
            <w:r w:rsidRPr="00DB434F">
              <w:rPr>
                <w:rFonts w:cs="Calibri"/>
                <w:b/>
                <w:bCs/>
                <w:color w:val="000000"/>
                <w:sz w:val="20"/>
                <w:szCs w:val="20"/>
                <w:lang w:eastAsia="sk-SK"/>
              </w:rPr>
              <w:t>50 204 977</w:t>
            </w:r>
          </w:p>
        </w:tc>
        <w:tc>
          <w:tcPr>
            <w:tcW w:w="507" w:type="pct"/>
            <w:tcBorders>
              <w:top w:val="nil"/>
              <w:left w:val="nil"/>
              <w:bottom w:val="single" w:sz="12" w:space="0" w:color="FFFFFF"/>
              <w:right w:val="single" w:sz="12" w:space="0" w:color="FFFFFF"/>
            </w:tcBorders>
            <w:shd w:val="clear" w:color="000000" w:fill="8DB3E2"/>
            <w:vAlign w:val="center"/>
            <w:hideMark/>
          </w:tcPr>
          <w:p w14:paraId="5679B9BA" w14:textId="77777777" w:rsidR="00DB434F" w:rsidRPr="00DB434F" w:rsidRDefault="00DB434F" w:rsidP="00DB434F">
            <w:pPr>
              <w:spacing w:after="0" w:line="240" w:lineRule="auto"/>
              <w:jc w:val="right"/>
              <w:rPr>
                <w:rFonts w:cs="Calibri"/>
                <w:b/>
                <w:bCs/>
                <w:color w:val="000000"/>
                <w:sz w:val="20"/>
                <w:szCs w:val="20"/>
                <w:lang w:eastAsia="sk-SK"/>
              </w:rPr>
            </w:pPr>
            <w:r w:rsidRPr="00DB434F">
              <w:rPr>
                <w:rFonts w:cs="Calibri"/>
                <w:b/>
                <w:bCs/>
                <w:color w:val="000000"/>
                <w:sz w:val="20"/>
                <w:szCs w:val="20"/>
                <w:lang w:eastAsia="sk-SK"/>
              </w:rPr>
              <w:t>53 580 813</w:t>
            </w:r>
          </w:p>
        </w:tc>
        <w:tc>
          <w:tcPr>
            <w:tcW w:w="548" w:type="pct"/>
            <w:tcBorders>
              <w:top w:val="nil"/>
              <w:left w:val="nil"/>
              <w:bottom w:val="single" w:sz="12" w:space="0" w:color="FFFFFF"/>
              <w:right w:val="single" w:sz="12" w:space="0" w:color="FFFFFF"/>
            </w:tcBorders>
            <w:shd w:val="clear" w:color="000000" w:fill="8DB3E2"/>
            <w:vAlign w:val="center"/>
            <w:hideMark/>
          </w:tcPr>
          <w:p w14:paraId="16D6E7D2" w14:textId="77777777" w:rsidR="00DB434F" w:rsidRPr="00DB434F" w:rsidRDefault="00DB434F" w:rsidP="00DB434F">
            <w:pPr>
              <w:spacing w:after="0" w:line="240" w:lineRule="auto"/>
              <w:jc w:val="right"/>
              <w:rPr>
                <w:rFonts w:cs="Calibri"/>
                <w:b/>
                <w:bCs/>
                <w:color w:val="000000"/>
                <w:sz w:val="20"/>
                <w:szCs w:val="20"/>
                <w:lang w:eastAsia="sk-SK"/>
              </w:rPr>
            </w:pPr>
            <w:r w:rsidRPr="00DB434F">
              <w:rPr>
                <w:rFonts w:cs="Calibri"/>
                <w:b/>
                <w:bCs/>
                <w:color w:val="000000"/>
                <w:sz w:val="20"/>
                <w:szCs w:val="20"/>
                <w:lang w:eastAsia="sk-SK"/>
              </w:rPr>
              <w:t>11 675 346</w:t>
            </w:r>
          </w:p>
        </w:tc>
        <w:tc>
          <w:tcPr>
            <w:tcW w:w="587" w:type="pct"/>
            <w:tcBorders>
              <w:top w:val="nil"/>
              <w:left w:val="nil"/>
              <w:bottom w:val="single" w:sz="12" w:space="0" w:color="FFFFFF"/>
              <w:right w:val="single" w:sz="12" w:space="0" w:color="FFFFFF"/>
            </w:tcBorders>
            <w:shd w:val="clear" w:color="000000" w:fill="808080"/>
            <w:vAlign w:val="center"/>
            <w:hideMark/>
          </w:tcPr>
          <w:p w14:paraId="4D880F32" w14:textId="77777777" w:rsidR="00DB434F" w:rsidRPr="00DB434F" w:rsidRDefault="00DB434F" w:rsidP="00DB434F">
            <w:pPr>
              <w:spacing w:after="0" w:line="240" w:lineRule="auto"/>
              <w:jc w:val="right"/>
              <w:rPr>
                <w:rFonts w:cs="Calibri"/>
                <w:b/>
                <w:bCs/>
                <w:color w:val="FFFFFF"/>
                <w:sz w:val="20"/>
                <w:szCs w:val="20"/>
                <w:lang w:eastAsia="sk-SK"/>
              </w:rPr>
            </w:pPr>
            <w:r w:rsidRPr="00DB434F">
              <w:rPr>
                <w:rFonts w:cs="Calibri"/>
                <w:b/>
                <w:bCs/>
                <w:color w:val="FFFFFF"/>
                <w:sz w:val="20"/>
                <w:szCs w:val="20"/>
                <w:lang w:eastAsia="sk-SK"/>
              </w:rPr>
              <w:t>-3 904 163</w:t>
            </w:r>
          </w:p>
        </w:tc>
        <w:tc>
          <w:tcPr>
            <w:tcW w:w="681" w:type="pct"/>
            <w:tcBorders>
              <w:top w:val="nil"/>
              <w:left w:val="nil"/>
              <w:bottom w:val="single" w:sz="12" w:space="0" w:color="FFFFFF"/>
              <w:right w:val="single" w:sz="12" w:space="0" w:color="FFFFFF"/>
            </w:tcBorders>
            <w:shd w:val="clear" w:color="000000" w:fill="948A54"/>
            <w:vAlign w:val="center"/>
            <w:hideMark/>
          </w:tcPr>
          <w:p w14:paraId="77BBDBEF" w14:textId="77777777" w:rsidR="00DB434F" w:rsidRPr="00DB434F" w:rsidRDefault="00DB434F" w:rsidP="00DB434F">
            <w:pPr>
              <w:spacing w:after="0" w:line="240" w:lineRule="auto"/>
              <w:jc w:val="right"/>
              <w:rPr>
                <w:rFonts w:cs="Calibri"/>
                <w:b/>
                <w:bCs/>
                <w:color w:val="000000"/>
                <w:sz w:val="20"/>
                <w:szCs w:val="20"/>
                <w:lang w:eastAsia="sk-SK"/>
              </w:rPr>
            </w:pPr>
            <w:r w:rsidRPr="00DB434F">
              <w:rPr>
                <w:rFonts w:cs="Calibri"/>
                <w:b/>
                <w:bCs/>
                <w:color w:val="000000"/>
                <w:sz w:val="20"/>
                <w:szCs w:val="20"/>
                <w:lang w:eastAsia="sk-SK"/>
              </w:rPr>
              <w:t>61 351 996</w:t>
            </w:r>
          </w:p>
        </w:tc>
        <w:tc>
          <w:tcPr>
            <w:tcW w:w="69" w:type="pct"/>
            <w:vAlign w:val="center"/>
            <w:hideMark/>
          </w:tcPr>
          <w:p w14:paraId="7CF159CE" w14:textId="77777777" w:rsidR="00DB434F" w:rsidRPr="00DB434F" w:rsidRDefault="00DB434F" w:rsidP="00DB434F">
            <w:pPr>
              <w:spacing w:after="0" w:line="240" w:lineRule="auto"/>
              <w:rPr>
                <w:rFonts w:ascii="Times New Roman" w:hAnsi="Times New Roman"/>
                <w:sz w:val="20"/>
                <w:szCs w:val="20"/>
                <w:lang w:eastAsia="sk-SK"/>
              </w:rPr>
            </w:pPr>
          </w:p>
        </w:tc>
      </w:tr>
    </w:tbl>
    <w:p w14:paraId="6E48AD7D" w14:textId="6B3AC042" w:rsidR="00BE704E" w:rsidRPr="009D5AC7" w:rsidRDefault="00BE704E" w:rsidP="00BE704E">
      <w:pPr>
        <w:pStyle w:val="tl2"/>
        <w:ind w:left="0" w:firstLine="0"/>
      </w:pPr>
      <w:r w:rsidRPr="00336178">
        <w:lastRenderedPageBreak/>
        <w:t>B.3. Vyčíslenie výsledku rozpočtového hospodárenia BSK za rok 20</w:t>
      </w:r>
      <w:r w:rsidR="00DB434F">
        <w:t>20</w:t>
      </w:r>
    </w:p>
    <w:p w14:paraId="75348B3E" w14:textId="77777777" w:rsidR="00BE704E" w:rsidRDefault="00BE704E" w:rsidP="00BE704E">
      <w:pPr>
        <w:pStyle w:val="Podtitul"/>
        <w:rPr>
          <w:lang w:eastAsia="sk-SK"/>
        </w:rPr>
      </w:pPr>
    </w:p>
    <w:p w14:paraId="7BCECD05" w14:textId="77777777" w:rsidR="00BE704E" w:rsidRDefault="00BE704E" w:rsidP="00BE704E">
      <w:pPr>
        <w:pStyle w:val="Zkladntext"/>
        <w:jc w:val="both"/>
        <w:rPr>
          <w:rFonts w:ascii="Calibri" w:hAnsi="Calibri" w:cs="Calibri"/>
          <w:lang w:eastAsia="sk-SK"/>
        </w:rPr>
      </w:pPr>
      <w:r w:rsidRPr="00CD1DCC">
        <w:rPr>
          <w:rFonts w:ascii="Calibri" w:hAnsi="Calibri" w:cs="Calibri"/>
          <w:lang w:eastAsia="sk-SK"/>
        </w:rPr>
        <w:t>Z finančn</w:t>
      </w:r>
      <w:r>
        <w:rPr>
          <w:rFonts w:ascii="Calibri" w:hAnsi="Calibri" w:cs="Calibri"/>
          <w:lang w:eastAsia="sk-SK"/>
        </w:rPr>
        <w:t>ého</w:t>
      </w:r>
      <w:r w:rsidRPr="00CD1DCC">
        <w:rPr>
          <w:rFonts w:ascii="Calibri" w:hAnsi="Calibri" w:cs="Calibri"/>
          <w:lang w:eastAsia="sk-SK"/>
        </w:rPr>
        <w:t> výkaz</w:t>
      </w:r>
      <w:r>
        <w:rPr>
          <w:rFonts w:ascii="Calibri" w:hAnsi="Calibri" w:cs="Calibri"/>
          <w:lang w:eastAsia="sk-SK"/>
        </w:rPr>
        <w:t>u</w:t>
      </w:r>
      <w:r w:rsidRPr="00CD1DCC">
        <w:rPr>
          <w:rFonts w:ascii="Calibri" w:hAnsi="Calibri" w:cs="Calibri"/>
          <w:lang w:eastAsia="sk-SK"/>
        </w:rPr>
        <w:t xml:space="preserve"> vyplývajú nasledovné výsledky v príjmovej a výdavkovej časti rozpočtu:</w:t>
      </w:r>
    </w:p>
    <w:tbl>
      <w:tblPr>
        <w:tblW w:w="10090" w:type="dxa"/>
        <w:tblInd w:w="55" w:type="dxa"/>
        <w:tblCellMar>
          <w:left w:w="70" w:type="dxa"/>
          <w:right w:w="70" w:type="dxa"/>
        </w:tblCellMar>
        <w:tblLook w:val="04A0" w:firstRow="1" w:lastRow="0" w:firstColumn="1" w:lastColumn="0" w:noHBand="0" w:noVBand="1"/>
      </w:tblPr>
      <w:tblGrid>
        <w:gridCol w:w="6403"/>
        <w:gridCol w:w="3687"/>
      </w:tblGrid>
      <w:tr w:rsidR="00BE704E" w:rsidRPr="004500F9" w14:paraId="4A858EEA" w14:textId="77777777" w:rsidTr="005776CC">
        <w:trPr>
          <w:trHeight w:hRule="exact" w:val="340"/>
        </w:trPr>
        <w:tc>
          <w:tcPr>
            <w:tcW w:w="6403" w:type="dxa"/>
            <w:tcBorders>
              <w:top w:val="nil"/>
              <w:left w:val="single" w:sz="12" w:space="0" w:color="FFFFFF"/>
              <w:bottom w:val="single" w:sz="12" w:space="0" w:color="FFFFFF"/>
              <w:right w:val="single" w:sz="12" w:space="0" w:color="FFFFFF"/>
            </w:tcBorders>
            <w:shd w:val="clear" w:color="000000" w:fill="8DB3E2"/>
            <w:vAlign w:val="center"/>
            <w:hideMark/>
          </w:tcPr>
          <w:p w14:paraId="479C30A0" w14:textId="77777777" w:rsidR="00BE704E" w:rsidRPr="004500F9" w:rsidRDefault="00BE704E" w:rsidP="00B23D26">
            <w:pPr>
              <w:spacing w:after="0" w:line="240" w:lineRule="auto"/>
              <w:rPr>
                <w:rFonts w:cs="Calibri"/>
                <w:b/>
                <w:bCs/>
                <w:color w:val="000000"/>
                <w:sz w:val="18"/>
                <w:szCs w:val="18"/>
                <w:lang w:eastAsia="sk-SK"/>
              </w:rPr>
            </w:pPr>
            <w:r w:rsidRPr="004500F9">
              <w:rPr>
                <w:rFonts w:cs="Calibri"/>
                <w:b/>
                <w:bCs/>
                <w:color w:val="000000"/>
                <w:sz w:val="18"/>
                <w:szCs w:val="18"/>
                <w:lang w:eastAsia="sk-SK"/>
              </w:rPr>
              <w:t>Ukazovateľ</w:t>
            </w:r>
          </w:p>
        </w:tc>
        <w:tc>
          <w:tcPr>
            <w:tcW w:w="3687" w:type="dxa"/>
            <w:tcBorders>
              <w:top w:val="nil"/>
              <w:left w:val="nil"/>
              <w:bottom w:val="single" w:sz="12" w:space="0" w:color="FFFFFF"/>
              <w:right w:val="single" w:sz="12" w:space="0" w:color="FFFFFF"/>
            </w:tcBorders>
            <w:shd w:val="clear" w:color="000000" w:fill="8DB3E2"/>
            <w:vAlign w:val="center"/>
            <w:hideMark/>
          </w:tcPr>
          <w:p w14:paraId="4E02550C" w14:textId="6DA0003B" w:rsidR="00BE704E" w:rsidRPr="004500F9" w:rsidRDefault="00BE704E" w:rsidP="00B23D26">
            <w:pPr>
              <w:spacing w:after="0" w:line="240" w:lineRule="auto"/>
              <w:jc w:val="right"/>
              <w:rPr>
                <w:rFonts w:cs="Calibri"/>
                <w:b/>
                <w:bCs/>
                <w:color w:val="000000"/>
                <w:sz w:val="18"/>
                <w:szCs w:val="18"/>
                <w:lang w:eastAsia="sk-SK"/>
              </w:rPr>
            </w:pPr>
            <w:r w:rsidRPr="004500F9">
              <w:rPr>
                <w:rFonts w:cs="Calibri"/>
                <w:b/>
                <w:bCs/>
                <w:color w:val="000000"/>
                <w:sz w:val="18"/>
                <w:szCs w:val="18"/>
                <w:lang w:eastAsia="sk-SK"/>
              </w:rPr>
              <w:t>Plnenie/čerpanie k 31.12.</w:t>
            </w:r>
            <w:r>
              <w:rPr>
                <w:rFonts w:cs="Calibri"/>
                <w:b/>
                <w:bCs/>
                <w:color w:val="000000"/>
                <w:sz w:val="18"/>
                <w:szCs w:val="18"/>
                <w:lang w:eastAsia="sk-SK"/>
              </w:rPr>
              <w:t>20</w:t>
            </w:r>
            <w:r w:rsidR="00AB22AE">
              <w:rPr>
                <w:rFonts w:cs="Calibri"/>
                <w:b/>
                <w:bCs/>
                <w:color w:val="000000"/>
                <w:sz w:val="18"/>
                <w:szCs w:val="18"/>
                <w:lang w:eastAsia="sk-SK"/>
              </w:rPr>
              <w:t>20</w:t>
            </w:r>
            <w:r w:rsidRPr="004500F9">
              <w:rPr>
                <w:rFonts w:cs="Calibri"/>
                <w:b/>
                <w:bCs/>
                <w:color w:val="000000"/>
                <w:sz w:val="18"/>
                <w:szCs w:val="18"/>
                <w:lang w:eastAsia="sk-SK"/>
              </w:rPr>
              <w:t xml:space="preserve"> v EUR</w:t>
            </w:r>
          </w:p>
        </w:tc>
      </w:tr>
      <w:tr w:rsidR="00AB22AE" w:rsidRPr="004500F9" w14:paraId="4325FC7C" w14:textId="77777777" w:rsidTr="00162BE3">
        <w:trPr>
          <w:trHeight w:hRule="exact" w:val="340"/>
        </w:trPr>
        <w:tc>
          <w:tcPr>
            <w:tcW w:w="6403" w:type="dxa"/>
            <w:tcBorders>
              <w:top w:val="nil"/>
              <w:left w:val="single" w:sz="12" w:space="0" w:color="FFFFFF"/>
              <w:bottom w:val="single" w:sz="12" w:space="0" w:color="FFFFFF"/>
              <w:right w:val="single" w:sz="12" w:space="0" w:color="FFFFFF"/>
            </w:tcBorders>
            <w:shd w:val="clear" w:color="000000" w:fill="F2F2F2"/>
            <w:vAlign w:val="center"/>
            <w:hideMark/>
          </w:tcPr>
          <w:p w14:paraId="00C893E2" w14:textId="77777777" w:rsidR="00AB22AE" w:rsidRPr="008D5DC9" w:rsidRDefault="00AB22AE" w:rsidP="00AB22AE">
            <w:pPr>
              <w:spacing w:after="0" w:line="240" w:lineRule="auto"/>
              <w:rPr>
                <w:rFonts w:cs="Calibri"/>
                <w:color w:val="000000"/>
                <w:sz w:val="21"/>
                <w:szCs w:val="18"/>
                <w:lang w:eastAsia="sk-SK"/>
              </w:rPr>
            </w:pPr>
            <w:r w:rsidRPr="008D5DC9">
              <w:rPr>
                <w:rFonts w:cs="Calibri"/>
                <w:color w:val="000000"/>
                <w:sz w:val="21"/>
                <w:szCs w:val="18"/>
                <w:lang w:eastAsia="sk-SK"/>
              </w:rPr>
              <w:t>Príjmy a príjmové finančné operácie spolu</w:t>
            </w:r>
          </w:p>
        </w:tc>
        <w:tc>
          <w:tcPr>
            <w:tcW w:w="3687" w:type="dxa"/>
            <w:tcBorders>
              <w:top w:val="nil"/>
              <w:left w:val="nil"/>
              <w:bottom w:val="single" w:sz="12" w:space="0" w:color="FFFFFF"/>
              <w:right w:val="single" w:sz="12" w:space="0" w:color="FFFFFF"/>
            </w:tcBorders>
            <w:shd w:val="clear" w:color="000000" w:fill="F2F2F2"/>
            <w:vAlign w:val="center"/>
          </w:tcPr>
          <w:p w14:paraId="29DDF5A8" w14:textId="24A8E253" w:rsidR="00AB22AE" w:rsidRPr="005056D7" w:rsidRDefault="00AB22AE" w:rsidP="00AB22AE">
            <w:pPr>
              <w:jc w:val="right"/>
            </w:pPr>
            <w:r>
              <w:rPr>
                <w:rFonts w:cs="Calibri"/>
              </w:rPr>
              <w:t>196 565 475,81</w:t>
            </w:r>
          </w:p>
        </w:tc>
      </w:tr>
      <w:tr w:rsidR="00AB22AE" w:rsidRPr="004500F9" w14:paraId="76C60A6A" w14:textId="77777777" w:rsidTr="00162BE3">
        <w:trPr>
          <w:trHeight w:hRule="exact" w:val="340"/>
        </w:trPr>
        <w:tc>
          <w:tcPr>
            <w:tcW w:w="6403" w:type="dxa"/>
            <w:tcBorders>
              <w:top w:val="nil"/>
              <w:left w:val="single" w:sz="12" w:space="0" w:color="FFFFFF"/>
              <w:bottom w:val="single" w:sz="12" w:space="0" w:color="FFFFFF"/>
              <w:right w:val="single" w:sz="12" w:space="0" w:color="FFFFFF"/>
            </w:tcBorders>
            <w:shd w:val="clear" w:color="000000" w:fill="F2F2F2"/>
            <w:vAlign w:val="center"/>
            <w:hideMark/>
          </w:tcPr>
          <w:p w14:paraId="2353E6D8" w14:textId="77777777" w:rsidR="00AB22AE" w:rsidRPr="008D5DC9" w:rsidRDefault="00AB22AE" w:rsidP="00AB22AE">
            <w:pPr>
              <w:spacing w:after="0" w:line="240" w:lineRule="auto"/>
              <w:rPr>
                <w:rFonts w:cs="Calibri"/>
                <w:color w:val="000000"/>
                <w:sz w:val="21"/>
                <w:szCs w:val="18"/>
                <w:lang w:eastAsia="sk-SK"/>
              </w:rPr>
            </w:pPr>
            <w:r w:rsidRPr="008D5DC9">
              <w:rPr>
                <w:rFonts w:cs="Calibri"/>
                <w:color w:val="000000"/>
                <w:sz w:val="21"/>
                <w:szCs w:val="18"/>
                <w:lang w:eastAsia="sk-SK"/>
              </w:rPr>
              <w:t>Výdavky a výdavky na finančné transakcie spolu</w:t>
            </w:r>
          </w:p>
        </w:tc>
        <w:tc>
          <w:tcPr>
            <w:tcW w:w="3687" w:type="dxa"/>
            <w:tcBorders>
              <w:top w:val="nil"/>
              <w:left w:val="nil"/>
              <w:bottom w:val="single" w:sz="12" w:space="0" w:color="FFFFFF"/>
              <w:right w:val="single" w:sz="12" w:space="0" w:color="FFFFFF"/>
            </w:tcBorders>
            <w:shd w:val="clear" w:color="000000" w:fill="F2F2F2"/>
            <w:vAlign w:val="center"/>
          </w:tcPr>
          <w:p w14:paraId="64CBBAB1" w14:textId="48E581DE" w:rsidR="00AB22AE" w:rsidRPr="005056D7" w:rsidRDefault="00AB22AE" w:rsidP="00AB22AE">
            <w:pPr>
              <w:jc w:val="right"/>
            </w:pPr>
            <w:r>
              <w:rPr>
                <w:rFonts w:cs="Calibri"/>
              </w:rPr>
              <w:t>170 448 323,46</w:t>
            </w:r>
          </w:p>
        </w:tc>
      </w:tr>
      <w:tr w:rsidR="00AB22AE" w:rsidRPr="004500F9" w14:paraId="3D7E57BE" w14:textId="77777777" w:rsidTr="00162BE3">
        <w:trPr>
          <w:trHeight w:hRule="exact" w:val="340"/>
        </w:trPr>
        <w:tc>
          <w:tcPr>
            <w:tcW w:w="6403" w:type="dxa"/>
            <w:tcBorders>
              <w:top w:val="nil"/>
              <w:left w:val="single" w:sz="12" w:space="0" w:color="FFFFFF"/>
              <w:bottom w:val="single" w:sz="12" w:space="0" w:color="FFFFFF"/>
              <w:right w:val="single" w:sz="12" w:space="0" w:color="FFFFFF"/>
            </w:tcBorders>
            <w:shd w:val="clear" w:color="000000" w:fill="D9D9D9"/>
            <w:vAlign w:val="center"/>
            <w:hideMark/>
          </w:tcPr>
          <w:p w14:paraId="268A76DA" w14:textId="77777777" w:rsidR="00AB22AE" w:rsidRPr="008D5DC9" w:rsidRDefault="00AB22AE" w:rsidP="00AB22AE">
            <w:pPr>
              <w:spacing w:after="0" w:line="240" w:lineRule="auto"/>
              <w:rPr>
                <w:rFonts w:cs="Calibri"/>
                <w:b/>
                <w:bCs/>
                <w:color w:val="000000"/>
                <w:sz w:val="21"/>
                <w:szCs w:val="18"/>
                <w:lang w:eastAsia="sk-SK"/>
              </w:rPr>
            </w:pPr>
            <w:r w:rsidRPr="008D5DC9">
              <w:rPr>
                <w:rFonts w:cs="Calibri"/>
                <w:b/>
                <w:bCs/>
                <w:color w:val="000000"/>
                <w:sz w:val="21"/>
                <w:szCs w:val="18"/>
                <w:lang w:eastAsia="sk-SK"/>
              </w:rPr>
              <w:t>Bilancia rozpočtu vrátane finančných operácií celkom</w:t>
            </w:r>
          </w:p>
        </w:tc>
        <w:tc>
          <w:tcPr>
            <w:tcW w:w="3687" w:type="dxa"/>
            <w:tcBorders>
              <w:top w:val="nil"/>
              <w:left w:val="nil"/>
              <w:bottom w:val="single" w:sz="12" w:space="0" w:color="FFFFFF"/>
              <w:right w:val="single" w:sz="12" w:space="0" w:color="FFFFFF"/>
            </w:tcBorders>
            <w:shd w:val="clear" w:color="000000" w:fill="D9D9D9"/>
            <w:vAlign w:val="center"/>
            <w:hideMark/>
          </w:tcPr>
          <w:p w14:paraId="28FE43DE" w14:textId="4113E171" w:rsidR="00AB22AE" w:rsidRPr="005776CC" w:rsidRDefault="00AB22AE" w:rsidP="00AB22AE">
            <w:pPr>
              <w:jc w:val="right"/>
              <w:rPr>
                <w:b/>
                <w:bCs/>
              </w:rPr>
            </w:pPr>
            <w:r>
              <w:rPr>
                <w:rFonts w:cs="Calibri"/>
                <w:b/>
                <w:bCs/>
              </w:rPr>
              <w:t>26 117 152,35</w:t>
            </w:r>
          </w:p>
        </w:tc>
      </w:tr>
    </w:tbl>
    <w:p w14:paraId="32F8E16D" w14:textId="77777777" w:rsidR="00BE704E" w:rsidRDefault="00BE704E" w:rsidP="00BE704E">
      <w:pPr>
        <w:pStyle w:val="Hlavika"/>
        <w:tabs>
          <w:tab w:val="clear" w:pos="4536"/>
          <w:tab w:val="clear" w:pos="9072"/>
        </w:tabs>
        <w:rPr>
          <w:rFonts w:ascii="Calibri" w:hAnsi="Calibri" w:cs="Calibri"/>
          <w:b/>
          <w:bCs/>
          <w:iCs/>
          <w:szCs w:val="24"/>
          <w:lang w:val="sk-SK"/>
        </w:rPr>
      </w:pPr>
    </w:p>
    <w:p w14:paraId="10ECDE6E" w14:textId="27995FA5" w:rsidR="00BE704E" w:rsidRDefault="00BE704E" w:rsidP="00BE704E">
      <w:pPr>
        <w:pStyle w:val="Hlavika"/>
        <w:tabs>
          <w:tab w:val="clear" w:pos="4536"/>
          <w:tab w:val="clear" w:pos="9072"/>
          <w:tab w:val="left" w:pos="0"/>
        </w:tabs>
        <w:rPr>
          <w:rFonts w:ascii="Calibri" w:hAnsi="Calibri" w:cs="Calibri"/>
          <w:szCs w:val="24"/>
          <w:lang w:val="sk-SK"/>
        </w:rPr>
      </w:pPr>
      <w:r>
        <w:rPr>
          <w:rFonts w:ascii="Calibri" w:hAnsi="Calibri" w:cs="Calibri"/>
          <w:szCs w:val="24"/>
          <w:lang w:val="sk-SK"/>
        </w:rPr>
        <w:t>Bratislavský samosprávny kraj k</w:t>
      </w:r>
      <w:r w:rsidRPr="00591EB3">
        <w:rPr>
          <w:rFonts w:ascii="Calibri" w:hAnsi="Calibri" w:cs="Calibri"/>
          <w:b/>
          <w:szCs w:val="24"/>
          <w:lang w:val="sk-SK"/>
        </w:rPr>
        <w:t> 31.</w:t>
      </w:r>
      <w:r>
        <w:rPr>
          <w:rFonts w:ascii="Calibri" w:hAnsi="Calibri" w:cs="Calibri"/>
          <w:b/>
          <w:szCs w:val="24"/>
          <w:lang w:val="sk-SK"/>
        </w:rPr>
        <w:t>12.20</w:t>
      </w:r>
      <w:r w:rsidR="00AB22AE">
        <w:rPr>
          <w:rFonts w:ascii="Calibri" w:hAnsi="Calibri" w:cs="Calibri"/>
          <w:b/>
          <w:szCs w:val="24"/>
          <w:lang w:val="sk-SK"/>
        </w:rPr>
        <w:t>20</w:t>
      </w:r>
      <w:r w:rsidRPr="00591EB3">
        <w:rPr>
          <w:rFonts w:ascii="Calibri" w:hAnsi="Calibri" w:cs="Calibri"/>
          <w:szCs w:val="24"/>
          <w:lang w:val="sk-SK"/>
        </w:rPr>
        <w:t xml:space="preserve"> </w:t>
      </w:r>
      <w:r>
        <w:rPr>
          <w:rFonts w:ascii="Calibri" w:hAnsi="Calibri" w:cs="Calibri"/>
          <w:szCs w:val="24"/>
          <w:lang w:val="sk-SK"/>
        </w:rPr>
        <w:t>mal s</w:t>
      </w:r>
      <w:r w:rsidRPr="00591EB3">
        <w:rPr>
          <w:rFonts w:ascii="Calibri" w:hAnsi="Calibri" w:cs="Calibri"/>
          <w:szCs w:val="24"/>
          <w:lang w:val="sk-SK"/>
        </w:rPr>
        <w:t>kutočné plnenie príjmov a</w:t>
      </w:r>
      <w:r>
        <w:rPr>
          <w:rFonts w:ascii="Calibri" w:hAnsi="Calibri" w:cs="Calibri"/>
          <w:szCs w:val="24"/>
          <w:lang w:val="sk-SK"/>
        </w:rPr>
        <w:t> </w:t>
      </w:r>
      <w:r w:rsidRPr="00591EB3">
        <w:rPr>
          <w:rFonts w:ascii="Calibri" w:hAnsi="Calibri" w:cs="Calibri"/>
          <w:szCs w:val="24"/>
          <w:lang w:val="sk-SK"/>
        </w:rPr>
        <w:t>príjmových</w:t>
      </w:r>
      <w:r>
        <w:rPr>
          <w:rFonts w:ascii="Calibri" w:hAnsi="Calibri" w:cs="Calibri"/>
          <w:szCs w:val="24"/>
          <w:lang w:val="sk-SK"/>
        </w:rPr>
        <w:t xml:space="preserve"> finančných operácií </w:t>
      </w:r>
      <w:r w:rsidRPr="00591EB3">
        <w:rPr>
          <w:rFonts w:ascii="Calibri" w:hAnsi="Calibri" w:cs="Calibri"/>
          <w:szCs w:val="24"/>
          <w:lang w:val="sk-SK"/>
        </w:rPr>
        <w:t xml:space="preserve">vo výške  </w:t>
      </w:r>
      <w:r w:rsidR="00AB22AE" w:rsidRPr="00AB22AE">
        <w:rPr>
          <w:rFonts w:ascii="Calibri" w:hAnsi="Calibri" w:cs="Calibri"/>
          <w:b/>
          <w:szCs w:val="24"/>
          <w:lang w:val="sk-SK"/>
        </w:rPr>
        <w:t>196 565 475,81</w:t>
      </w:r>
      <w:r w:rsidR="00AB22AE">
        <w:rPr>
          <w:rFonts w:ascii="Calibri" w:hAnsi="Calibri" w:cs="Calibri"/>
          <w:b/>
          <w:szCs w:val="24"/>
          <w:lang w:val="sk-SK"/>
        </w:rPr>
        <w:t xml:space="preserve"> </w:t>
      </w:r>
      <w:r>
        <w:rPr>
          <w:rFonts w:ascii="Calibri" w:hAnsi="Calibri" w:cs="Calibri"/>
          <w:b/>
          <w:szCs w:val="24"/>
          <w:lang w:val="sk-SK"/>
        </w:rPr>
        <w:t xml:space="preserve">EUR a </w:t>
      </w:r>
      <w:r>
        <w:rPr>
          <w:rFonts w:ascii="Calibri" w:hAnsi="Calibri" w:cs="Calibri"/>
          <w:szCs w:val="24"/>
          <w:lang w:val="sk-SK"/>
        </w:rPr>
        <w:t>s</w:t>
      </w:r>
      <w:r w:rsidRPr="00591EB3">
        <w:rPr>
          <w:rFonts w:ascii="Calibri" w:hAnsi="Calibri" w:cs="Calibri"/>
          <w:szCs w:val="24"/>
          <w:lang w:val="sk-SK"/>
        </w:rPr>
        <w:t xml:space="preserve">kutočné </w:t>
      </w:r>
      <w:r>
        <w:rPr>
          <w:rFonts w:ascii="Calibri" w:hAnsi="Calibri" w:cs="Calibri"/>
          <w:szCs w:val="24"/>
          <w:lang w:val="sk-SK"/>
        </w:rPr>
        <w:t>čerpanie výdavkov a výdavkových</w:t>
      </w:r>
      <w:r w:rsidRPr="00591EB3">
        <w:rPr>
          <w:rFonts w:ascii="Calibri" w:hAnsi="Calibri" w:cs="Calibri"/>
          <w:szCs w:val="24"/>
          <w:lang w:val="sk-SK"/>
        </w:rPr>
        <w:t xml:space="preserve"> </w:t>
      </w:r>
      <w:r>
        <w:rPr>
          <w:rFonts w:ascii="Calibri" w:hAnsi="Calibri" w:cs="Calibri"/>
          <w:szCs w:val="24"/>
          <w:lang w:val="sk-SK"/>
        </w:rPr>
        <w:t xml:space="preserve">finančných operácií </w:t>
      </w:r>
      <w:r w:rsidRPr="00591EB3">
        <w:rPr>
          <w:rFonts w:ascii="Calibri" w:hAnsi="Calibri" w:cs="Calibri"/>
          <w:szCs w:val="24"/>
          <w:lang w:val="sk-SK"/>
        </w:rPr>
        <w:t xml:space="preserve">vo výške  </w:t>
      </w:r>
      <w:r w:rsidR="00AB22AE" w:rsidRPr="00AB22AE">
        <w:rPr>
          <w:rFonts w:ascii="Calibri" w:hAnsi="Calibri" w:cs="Calibri"/>
          <w:b/>
          <w:szCs w:val="24"/>
          <w:lang w:val="sk-SK"/>
        </w:rPr>
        <w:t>170 448 323,46</w:t>
      </w:r>
      <w:r w:rsidR="00AB22AE">
        <w:rPr>
          <w:rFonts w:ascii="Calibri" w:hAnsi="Calibri" w:cs="Calibri"/>
          <w:b/>
          <w:szCs w:val="24"/>
          <w:lang w:val="sk-SK"/>
        </w:rPr>
        <w:t xml:space="preserve"> </w:t>
      </w:r>
      <w:r w:rsidRPr="00222FD7">
        <w:rPr>
          <w:rFonts w:ascii="Calibri" w:hAnsi="Calibri" w:cs="Calibri"/>
          <w:b/>
          <w:szCs w:val="24"/>
          <w:lang w:val="sk-SK"/>
        </w:rPr>
        <w:t>EUR</w:t>
      </w:r>
      <w:r>
        <w:rPr>
          <w:rFonts w:ascii="Calibri" w:hAnsi="Calibri" w:cs="Calibri"/>
          <w:szCs w:val="24"/>
          <w:lang w:val="sk-SK"/>
        </w:rPr>
        <w:t xml:space="preserve">. </w:t>
      </w:r>
      <w:r w:rsidRPr="00CD1DCC">
        <w:rPr>
          <w:rFonts w:ascii="Calibri" w:hAnsi="Calibri" w:cs="Calibri"/>
          <w:b/>
          <w:szCs w:val="24"/>
          <w:lang w:val="sk-SK"/>
        </w:rPr>
        <w:t>Rozdiel</w:t>
      </w:r>
      <w:r>
        <w:rPr>
          <w:rFonts w:ascii="Calibri" w:hAnsi="Calibri" w:cs="Calibri"/>
          <w:szCs w:val="24"/>
          <w:lang w:val="sk-SK"/>
        </w:rPr>
        <w:t xml:space="preserve"> v plnení príjmovej časti rozpočtu a čerpaní výdavkovej časti rozpočtu na konci roka je vo výške </w:t>
      </w:r>
      <w:r w:rsidR="00AB22AE" w:rsidRPr="00AB22AE">
        <w:rPr>
          <w:rFonts w:ascii="Calibri" w:hAnsi="Calibri" w:cs="Calibri"/>
          <w:b/>
          <w:szCs w:val="24"/>
          <w:lang w:val="sk-SK"/>
        </w:rPr>
        <w:t>26 117 152,35</w:t>
      </w:r>
      <w:r w:rsidR="00AB22AE">
        <w:rPr>
          <w:rFonts w:ascii="Calibri" w:hAnsi="Calibri" w:cs="Calibri"/>
          <w:b/>
          <w:szCs w:val="24"/>
          <w:lang w:val="sk-SK"/>
        </w:rPr>
        <w:t xml:space="preserve"> </w:t>
      </w:r>
      <w:r w:rsidRPr="00222FD7">
        <w:rPr>
          <w:rFonts w:ascii="Calibri" w:hAnsi="Calibri" w:cs="Calibri"/>
          <w:b/>
          <w:szCs w:val="24"/>
          <w:lang w:val="sk-SK"/>
        </w:rPr>
        <w:t>EUR</w:t>
      </w:r>
      <w:r>
        <w:rPr>
          <w:rFonts w:ascii="Calibri" w:hAnsi="Calibri" w:cs="Calibri"/>
          <w:szCs w:val="24"/>
          <w:lang w:val="sk-SK"/>
        </w:rPr>
        <w:t xml:space="preserve">.  </w:t>
      </w:r>
    </w:p>
    <w:p w14:paraId="6A1DCE8B" w14:textId="77777777" w:rsidR="00BE704E" w:rsidRDefault="00BE704E" w:rsidP="00BE704E">
      <w:pPr>
        <w:pStyle w:val="Hlavika"/>
        <w:tabs>
          <w:tab w:val="clear" w:pos="4536"/>
          <w:tab w:val="clear" w:pos="9072"/>
          <w:tab w:val="left" w:pos="0"/>
        </w:tabs>
        <w:rPr>
          <w:rFonts w:ascii="Calibri" w:hAnsi="Calibri" w:cs="Calibri"/>
          <w:szCs w:val="24"/>
          <w:lang w:val="sk-SK"/>
        </w:rPr>
      </w:pPr>
      <w:r>
        <w:rPr>
          <w:rFonts w:ascii="Calibri" w:hAnsi="Calibri" w:cs="Calibri"/>
          <w:szCs w:val="24"/>
          <w:lang w:val="sk-SK"/>
        </w:rPr>
        <w:tab/>
      </w:r>
    </w:p>
    <w:p w14:paraId="14898743" w14:textId="6BAED11E" w:rsidR="00BE704E" w:rsidRDefault="00BE704E" w:rsidP="00BE704E">
      <w:pPr>
        <w:pStyle w:val="Hlavika"/>
        <w:tabs>
          <w:tab w:val="clear" w:pos="4536"/>
          <w:tab w:val="clear" w:pos="9072"/>
          <w:tab w:val="left" w:pos="0"/>
        </w:tabs>
        <w:rPr>
          <w:rFonts w:ascii="Calibri" w:hAnsi="Calibri" w:cs="Calibri"/>
          <w:szCs w:val="24"/>
          <w:lang w:val="sk-SK"/>
        </w:rPr>
      </w:pPr>
      <w:r w:rsidRPr="00493660">
        <w:rPr>
          <w:rFonts w:ascii="Calibri" w:hAnsi="Calibri" w:cs="Calibri"/>
          <w:szCs w:val="24"/>
          <w:lang w:val="sk-SK"/>
        </w:rPr>
        <w:t xml:space="preserve">Tento rozdiel sa, v zmysle platného znenia § 16 zákona o rozpočtových pravidlách územnej samosprávy,  </w:t>
      </w:r>
      <w:r w:rsidRPr="0019475A">
        <w:rPr>
          <w:rFonts w:ascii="Calibri" w:hAnsi="Calibri" w:cs="Calibri"/>
          <w:b/>
          <w:szCs w:val="24"/>
          <w:lang w:val="sk-SK"/>
        </w:rPr>
        <w:t>upravuje o </w:t>
      </w:r>
      <w:r w:rsidRPr="00493660">
        <w:rPr>
          <w:rFonts w:ascii="Calibri" w:hAnsi="Calibri" w:cs="Calibri"/>
          <w:b/>
          <w:szCs w:val="24"/>
          <w:lang w:val="sk-SK"/>
        </w:rPr>
        <w:t>nevyčerpané dotácie zo ŠR</w:t>
      </w:r>
      <w:r>
        <w:rPr>
          <w:rFonts w:ascii="Calibri" w:hAnsi="Calibri" w:cs="Calibri"/>
          <w:b/>
          <w:szCs w:val="24"/>
          <w:lang w:val="sk-SK"/>
        </w:rPr>
        <w:t xml:space="preserve">, </w:t>
      </w:r>
      <w:r w:rsidRPr="00493660">
        <w:rPr>
          <w:rFonts w:ascii="Calibri" w:hAnsi="Calibri" w:cs="Calibri"/>
          <w:b/>
          <w:szCs w:val="24"/>
          <w:lang w:val="sk-SK"/>
        </w:rPr>
        <w:t> z projektov E</w:t>
      </w:r>
      <w:r>
        <w:rPr>
          <w:rFonts w:ascii="Calibri" w:hAnsi="Calibri" w:cs="Calibri"/>
          <w:b/>
          <w:szCs w:val="24"/>
          <w:lang w:val="sk-SK"/>
        </w:rPr>
        <w:t>Ú</w:t>
      </w:r>
      <w:r w:rsidRPr="00493660">
        <w:rPr>
          <w:rFonts w:ascii="Calibri" w:hAnsi="Calibri" w:cs="Calibri"/>
          <w:szCs w:val="24"/>
          <w:lang w:val="sk-SK"/>
        </w:rPr>
        <w:t xml:space="preserve"> </w:t>
      </w:r>
      <w:r w:rsidRPr="00493660">
        <w:rPr>
          <w:rFonts w:ascii="Calibri" w:hAnsi="Calibri" w:cs="Calibri"/>
          <w:b/>
          <w:szCs w:val="24"/>
          <w:lang w:val="sk-SK"/>
        </w:rPr>
        <w:t xml:space="preserve">a  o iné  záväzky  </w:t>
      </w:r>
      <w:r w:rsidRPr="00493660">
        <w:rPr>
          <w:rFonts w:ascii="Calibri" w:hAnsi="Calibri" w:cs="Calibri"/>
          <w:szCs w:val="24"/>
          <w:lang w:val="sk-SK"/>
        </w:rPr>
        <w:t xml:space="preserve">vo výške </w:t>
      </w:r>
      <w:r w:rsidR="00AD20F3" w:rsidRPr="00AD20F3">
        <w:rPr>
          <w:rFonts w:asciiTheme="minorHAnsi" w:hAnsiTheme="minorHAnsi" w:cs="Calibri"/>
          <w:b/>
          <w:bCs/>
        </w:rPr>
        <w:t>4 282 640,58</w:t>
      </w:r>
      <w:r w:rsidR="00AD20F3">
        <w:rPr>
          <w:rFonts w:asciiTheme="minorHAnsi" w:hAnsiTheme="minorHAnsi" w:cs="Calibri"/>
          <w:b/>
          <w:bCs/>
        </w:rPr>
        <w:t xml:space="preserve"> </w:t>
      </w:r>
      <w:r>
        <w:rPr>
          <w:rFonts w:asciiTheme="minorHAnsi" w:hAnsiTheme="minorHAnsi" w:cs="Calibri"/>
          <w:b/>
          <w:bCs/>
        </w:rPr>
        <w:t>EUR</w:t>
      </w:r>
      <w:r w:rsidRPr="00493660">
        <w:rPr>
          <w:rFonts w:ascii="Calibri" w:hAnsi="Calibri" w:cs="Calibri"/>
          <w:b/>
          <w:szCs w:val="24"/>
          <w:lang w:val="sk-SK"/>
        </w:rPr>
        <w:t xml:space="preserve">, </w:t>
      </w:r>
      <w:r w:rsidRPr="00493660">
        <w:rPr>
          <w:rFonts w:ascii="Calibri" w:hAnsi="Calibri" w:cs="Calibri"/>
          <w:szCs w:val="24"/>
          <w:lang w:val="sk-SK"/>
        </w:rPr>
        <w:t>ktoré môže BSK</w:t>
      </w:r>
      <w:r w:rsidRPr="00493660">
        <w:rPr>
          <w:rFonts w:ascii="Calibri" w:hAnsi="Calibri" w:cs="Calibri"/>
          <w:b/>
          <w:szCs w:val="24"/>
          <w:lang w:val="sk-SK"/>
        </w:rPr>
        <w:t xml:space="preserve"> </w:t>
      </w:r>
      <w:r w:rsidRPr="00493660">
        <w:rPr>
          <w:rFonts w:ascii="Calibri" w:hAnsi="Calibri" w:cs="Calibri"/>
          <w:szCs w:val="24"/>
          <w:lang w:val="sk-SK"/>
        </w:rPr>
        <w:t xml:space="preserve">použiť </w:t>
      </w:r>
      <w:r>
        <w:rPr>
          <w:rFonts w:ascii="Calibri" w:hAnsi="Calibri" w:cs="Calibri"/>
          <w:szCs w:val="24"/>
          <w:lang w:val="sk-SK"/>
        </w:rPr>
        <w:t>v nasledujúcom rozpočtovom roku.</w:t>
      </w:r>
    </w:p>
    <w:p w14:paraId="7B16C3DE" w14:textId="77777777" w:rsidR="00BE704E" w:rsidRPr="00E5010D" w:rsidRDefault="00BE704E" w:rsidP="00BE704E">
      <w:pPr>
        <w:pStyle w:val="Hlavika"/>
        <w:tabs>
          <w:tab w:val="clear" w:pos="4536"/>
          <w:tab w:val="clear" w:pos="9072"/>
          <w:tab w:val="left" w:pos="0"/>
        </w:tabs>
        <w:rPr>
          <w:rFonts w:ascii="Calibri" w:hAnsi="Calibri" w:cs="Calibri"/>
          <w:b/>
          <w:szCs w:val="24"/>
          <w:lang w:val="sk-SK"/>
        </w:rPr>
      </w:pPr>
    </w:p>
    <w:p w14:paraId="33651422" w14:textId="77777777" w:rsidR="00413E9C" w:rsidRDefault="00BE704E" w:rsidP="00BE704E">
      <w:pPr>
        <w:pStyle w:val="Hlavika"/>
        <w:tabs>
          <w:tab w:val="clear" w:pos="4536"/>
          <w:tab w:val="clear" w:pos="9072"/>
          <w:tab w:val="left" w:pos="3105"/>
        </w:tabs>
        <w:rPr>
          <w:rFonts w:asciiTheme="minorHAnsi" w:hAnsiTheme="minorHAnsi" w:cs="Calibri"/>
          <w:b/>
          <w:szCs w:val="24"/>
          <w:u w:val="single"/>
          <w:lang w:val="sk-SK"/>
        </w:rPr>
      </w:pPr>
      <w:r w:rsidRPr="00A11DE8">
        <w:rPr>
          <w:rFonts w:ascii="Calibri" w:hAnsi="Calibri" w:cs="Calibri"/>
          <w:szCs w:val="24"/>
          <w:lang w:val="sk-SK"/>
        </w:rPr>
        <w:t xml:space="preserve">Po uvedených úpravách je </w:t>
      </w:r>
      <w:r>
        <w:rPr>
          <w:rFonts w:ascii="Calibri" w:hAnsi="Calibri" w:cs="Calibri"/>
          <w:b/>
          <w:szCs w:val="24"/>
          <w:u w:val="single"/>
          <w:lang w:val="sk-SK"/>
        </w:rPr>
        <w:t>zostatok finančných operácii za</w:t>
      </w:r>
      <w:r w:rsidRPr="00DC696D">
        <w:rPr>
          <w:rFonts w:ascii="Calibri" w:hAnsi="Calibri" w:cs="Calibri"/>
          <w:b/>
          <w:szCs w:val="24"/>
          <w:u w:val="single"/>
          <w:lang w:val="sk-SK"/>
        </w:rPr>
        <w:t xml:space="preserve"> uplynulý rozpočtový rok po úprave </w:t>
      </w:r>
      <w:r w:rsidRPr="00467F52">
        <w:rPr>
          <w:rFonts w:asciiTheme="minorHAnsi" w:hAnsiTheme="minorHAnsi" w:cs="Calibri"/>
          <w:b/>
          <w:szCs w:val="24"/>
          <w:u w:val="single"/>
          <w:lang w:val="sk-SK"/>
        </w:rPr>
        <w:t xml:space="preserve">vo výške </w:t>
      </w:r>
    </w:p>
    <w:p w14:paraId="47C23930" w14:textId="461815CF" w:rsidR="00BE704E" w:rsidRPr="00336178" w:rsidRDefault="00AD20F3" w:rsidP="006512F1">
      <w:pPr>
        <w:jc w:val="both"/>
        <w:rPr>
          <w:rFonts w:cs="Calibri"/>
          <w:b/>
          <w:bCs/>
          <w:color w:val="000000"/>
          <w:sz w:val="24"/>
          <w:szCs w:val="24"/>
        </w:rPr>
      </w:pPr>
      <w:r w:rsidRPr="00AD20F3">
        <w:rPr>
          <w:rFonts w:cs="Calibri"/>
          <w:b/>
          <w:bCs/>
          <w:color w:val="000000"/>
          <w:sz w:val="24"/>
          <w:szCs w:val="24"/>
          <w:u w:val="single"/>
        </w:rPr>
        <w:t>21 834 511,77</w:t>
      </w:r>
      <w:r>
        <w:rPr>
          <w:rFonts w:cs="Calibri"/>
          <w:b/>
          <w:bCs/>
          <w:color w:val="000000"/>
          <w:sz w:val="24"/>
          <w:szCs w:val="24"/>
          <w:u w:val="single"/>
        </w:rPr>
        <w:t xml:space="preserve"> </w:t>
      </w:r>
      <w:r w:rsidR="00BE704E" w:rsidRPr="00336178">
        <w:rPr>
          <w:rFonts w:asciiTheme="minorHAnsi" w:hAnsiTheme="minorHAnsi" w:cs="Calibri"/>
          <w:b/>
          <w:bCs/>
          <w:sz w:val="24"/>
          <w:szCs w:val="24"/>
          <w:u w:val="single"/>
        </w:rPr>
        <w:t>EUR</w:t>
      </w:r>
      <w:r w:rsidR="00BE704E" w:rsidRPr="00336178">
        <w:rPr>
          <w:rFonts w:cs="Calibri"/>
          <w:b/>
          <w:sz w:val="24"/>
          <w:szCs w:val="24"/>
          <w:u w:val="single"/>
        </w:rPr>
        <w:t>.</w:t>
      </w:r>
    </w:p>
    <w:tbl>
      <w:tblPr>
        <w:tblW w:w="10427" w:type="dxa"/>
        <w:tblInd w:w="55" w:type="dxa"/>
        <w:tblCellMar>
          <w:left w:w="70" w:type="dxa"/>
          <w:right w:w="70" w:type="dxa"/>
        </w:tblCellMar>
        <w:tblLook w:val="04A0" w:firstRow="1" w:lastRow="0" w:firstColumn="1" w:lastColumn="0" w:noHBand="0" w:noVBand="1"/>
      </w:tblPr>
      <w:tblGrid>
        <w:gridCol w:w="6844"/>
        <w:gridCol w:w="3583"/>
      </w:tblGrid>
      <w:tr w:rsidR="00BE704E" w:rsidRPr="00A11DE8" w14:paraId="2DE2D1F9" w14:textId="77777777" w:rsidTr="00737516">
        <w:trPr>
          <w:trHeight w:val="287"/>
        </w:trPr>
        <w:tc>
          <w:tcPr>
            <w:tcW w:w="10427" w:type="dxa"/>
            <w:gridSpan w:val="2"/>
            <w:tcBorders>
              <w:top w:val="nil"/>
              <w:left w:val="single" w:sz="12" w:space="0" w:color="FFFFFF"/>
              <w:bottom w:val="single" w:sz="12" w:space="0" w:color="FFFFFF"/>
              <w:right w:val="single" w:sz="12" w:space="0" w:color="FFFFFF"/>
            </w:tcBorders>
            <w:shd w:val="clear" w:color="000000" w:fill="8DB3E2"/>
            <w:vAlign w:val="center"/>
            <w:hideMark/>
          </w:tcPr>
          <w:p w14:paraId="0118C24E" w14:textId="77777777" w:rsidR="00BE704E" w:rsidRPr="00A11DE8" w:rsidRDefault="00BE704E" w:rsidP="00B23D26">
            <w:pPr>
              <w:spacing w:after="0" w:line="240" w:lineRule="auto"/>
              <w:jc w:val="center"/>
              <w:rPr>
                <w:rFonts w:cs="Calibri"/>
                <w:b/>
                <w:bCs/>
                <w:lang w:eastAsia="sk-SK"/>
              </w:rPr>
            </w:pPr>
            <w:r>
              <w:rPr>
                <w:rFonts w:cs="Calibri"/>
                <w:b/>
                <w:bCs/>
                <w:lang w:eastAsia="sk-SK"/>
              </w:rPr>
              <w:t>Úprava zostatku finančných operácií k 31.12.2018</w:t>
            </w:r>
            <w:r w:rsidRPr="00A11DE8">
              <w:rPr>
                <w:rFonts w:cs="Calibri"/>
                <w:b/>
                <w:bCs/>
                <w:lang w:eastAsia="sk-SK"/>
              </w:rPr>
              <w:t xml:space="preserve"> v EUR</w:t>
            </w:r>
          </w:p>
        </w:tc>
      </w:tr>
      <w:tr w:rsidR="00F05A2F" w:rsidRPr="00A11DE8" w14:paraId="03F5CCE4" w14:textId="77777777" w:rsidTr="00737516">
        <w:trPr>
          <w:trHeight w:hRule="exact" w:val="289"/>
        </w:trPr>
        <w:tc>
          <w:tcPr>
            <w:tcW w:w="6844" w:type="dxa"/>
            <w:tcBorders>
              <w:top w:val="nil"/>
              <w:left w:val="single" w:sz="12" w:space="0" w:color="FFFFFF"/>
              <w:bottom w:val="single" w:sz="12" w:space="0" w:color="FFFFFF"/>
              <w:right w:val="single" w:sz="12" w:space="0" w:color="FFFFFF"/>
            </w:tcBorders>
            <w:shd w:val="clear" w:color="000000" w:fill="D9D9D9"/>
            <w:vAlign w:val="center"/>
            <w:hideMark/>
          </w:tcPr>
          <w:p w14:paraId="719E1AAB" w14:textId="77777777" w:rsidR="00F05A2F" w:rsidRPr="00A11DE8" w:rsidRDefault="00F05A2F" w:rsidP="00F05A2F">
            <w:pPr>
              <w:spacing w:after="0" w:line="240" w:lineRule="auto"/>
              <w:rPr>
                <w:rFonts w:cs="Calibri"/>
                <w:sz w:val="20"/>
                <w:szCs w:val="20"/>
                <w:lang w:eastAsia="sk-SK"/>
              </w:rPr>
            </w:pPr>
            <w:r w:rsidRPr="00A11DE8">
              <w:rPr>
                <w:rFonts w:cs="Calibri"/>
                <w:sz w:val="20"/>
                <w:szCs w:val="20"/>
                <w:lang w:eastAsia="sk-SK"/>
              </w:rPr>
              <w:t>Bilancia rozpočtu vrátane finančných operácií celkom</w:t>
            </w:r>
          </w:p>
        </w:tc>
        <w:tc>
          <w:tcPr>
            <w:tcW w:w="3583" w:type="dxa"/>
            <w:tcBorders>
              <w:top w:val="nil"/>
              <w:left w:val="nil"/>
              <w:bottom w:val="single" w:sz="12" w:space="0" w:color="FFFFFF"/>
              <w:right w:val="single" w:sz="12" w:space="0" w:color="FFFFFF"/>
            </w:tcBorders>
            <w:shd w:val="clear" w:color="000000" w:fill="D9D9D9"/>
            <w:vAlign w:val="center"/>
            <w:hideMark/>
          </w:tcPr>
          <w:p w14:paraId="5971F5F6" w14:textId="6DE47F19" w:rsidR="00F05A2F" w:rsidRPr="00AB22AE" w:rsidRDefault="00F05A2F" w:rsidP="00F05A2F">
            <w:pPr>
              <w:spacing w:after="0" w:line="240" w:lineRule="auto"/>
              <w:jc w:val="right"/>
              <w:rPr>
                <w:rFonts w:cs="Calibri"/>
                <w:color w:val="000000"/>
                <w:lang w:eastAsia="sk-SK"/>
              </w:rPr>
            </w:pPr>
            <w:r>
              <w:rPr>
                <w:rFonts w:cs="Calibri"/>
              </w:rPr>
              <w:t>26 117 152,35</w:t>
            </w:r>
          </w:p>
        </w:tc>
      </w:tr>
      <w:tr w:rsidR="00AD20F3" w:rsidRPr="00A11DE8" w14:paraId="3FD8B499" w14:textId="77777777" w:rsidTr="00737516">
        <w:trPr>
          <w:trHeight w:hRule="exact" w:val="289"/>
        </w:trPr>
        <w:tc>
          <w:tcPr>
            <w:tcW w:w="6844" w:type="dxa"/>
            <w:tcBorders>
              <w:top w:val="nil"/>
              <w:left w:val="single" w:sz="12" w:space="0" w:color="FFFFFF"/>
              <w:bottom w:val="single" w:sz="12" w:space="0" w:color="FFFFFF"/>
              <w:right w:val="single" w:sz="12" w:space="0" w:color="FFFFFF"/>
            </w:tcBorders>
            <w:shd w:val="clear" w:color="000000" w:fill="D9D9D9"/>
            <w:vAlign w:val="center"/>
            <w:hideMark/>
          </w:tcPr>
          <w:p w14:paraId="07C1F73C" w14:textId="77777777" w:rsidR="00AD20F3" w:rsidRPr="00A11DE8" w:rsidRDefault="00AD20F3" w:rsidP="00AD20F3">
            <w:pPr>
              <w:spacing w:after="0" w:line="240" w:lineRule="auto"/>
              <w:rPr>
                <w:rFonts w:cs="Calibri"/>
                <w:sz w:val="20"/>
                <w:szCs w:val="20"/>
                <w:lang w:eastAsia="sk-SK"/>
              </w:rPr>
            </w:pPr>
            <w:r w:rsidRPr="00A11DE8">
              <w:rPr>
                <w:rFonts w:cs="Calibri"/>
                <w:sz w:val="20"/>
                <w:szCs w:val="20"/>
                <w:lang w:eastAsia="sk-SK"/>
              </w:rPr>
              <w:t>Usporiadanie finančných vzťahov podľa §16 zákona č. 583/2</w:t>
            </w:r>
            <w:r>
              <w:rPr>
                <w:rFonts w:cs="Calibri"/>
                <w:sz w:val="20"/>
                <w:szCs w:val="20"/>
                <w:lang w:eastAsia="sk-SK"/>
              </w:rPr>
              <w:t>0</w:t>
            </w:r>
            <w:r w:rsidRPr="00A11DE8">
              <w:rPr>
                <w:rFonts w:cs="Calibri"/>
                <w:sz w:val="20"/>
                <w:szCs w:val="20"/>
                <w:lang w:eastAsia="sk-SK"/>
              </w:rPr>
              <w:t>04 Z. z.</w:t>
            </w:r>
          </w:p>
        </w:tc>
        <w:tc>
          <w:tcPr>
            <w:tcW w:w="3583" w:type="dxa"/>
            <w:tcBorders>
              <w:top w:val="nil"/>
              <w:left w:val="nil"/>
              <w:bottom w:val="single" w:sz="12" w:space="0" w:color="FFFFFF"/>
              <w:right w:val="single" w:sz="12" w:space="0" w:color="FFFFFF"/>
            </w:tcBorders>
            <w:shd w:val="clear" w:color="000000" w:fill="D9D9D9"/>
            <w:vAlign w:val="center"/>
          </w:tcPr>
          <w:p w14:paraId="37367950" w14:textId="12552280" w:rsidR="00AD20F3" w:rsidRDefault="00AD20F3" w:rsidP="00AD20F3">
            <w:pPr>
              <w:jc w:val="right"/>
              <w:rPr>
                <w:rFonts w:cs="Calibri"/>
                <w:color w:val="000000"/>
              </w:rPr>
            </w:pPr>
            <w:r>
              <w:rPr>
                <w:rFonts w:cs="Calibri"/>
                <w:color w:val="000000"/>
              </w:rPr>
              <w:t>4 282 640,58</w:t>
            </w:r>
          </w:p>
        </w:tc>
      </w:tr>
      <w:tr w:rsidR="00AD20F3" w:rsidRPr="00A11DE8" w14:paraId="56654033" w14:textId="77777777" w:rsidTr="00737516">
        <w:trPr>
          <w:trHeight w:hRule="exact" w:val="289"/>
        </w:trPr>
        <w:tc>
          <w:tcPr>
            <w:tcW w:w="6844" w:type="dxa"/>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779536CF" w14:textId="77777777" w:rsidR="00AD20F3" w:rsidRPr="00A11DE8" w:rsidRDefault="00AD20F3" w:rsidP="00AD20F3">
            <w:pPr>
              <w:spacing w:after="0" w:line="240" w:lineRule="auto"/>
              <w:rPr>
                <w:rFonts w:cs="Calibri"/>
                <w:b/>
                <w:bCs/>
                <w:lang w:eastAsia="sk-SK"/>
              </w:rPr>
            </w:pPr>
            <w:r>
              <w:rPr>
                <w:rFonts w:cs="Calibri"/>
                <w:b/>
                <w:bCs/>
                <w:color w:val="000000"/>
                <w:sz w:val="20"/>
                <w:szCs w:val="20"/>
                <w:lang w:eastAsia="sk-SK"/>
              </w:rPr>
              <w:t xml:space="preserve">Zostatok finančných operácii za uplynulý rozpočtový rok </w:t>
            </w:r>
            <w:r w:rsidRPr="00145FF8">
              <w:rPr>
                <w:rFonts w:cs="Calibri"/>
                <w:b/>
                <w:bCs/>
                <w:color w:val="000000"/>
                <w:sz w:val="20"/>
                <w:szCs w:val="20"/>
                <w:lang w:eastAsia="sk-SK"/>
              </w:rPr>
              <w:t>po úprave celkom</w:t>
            </w:r>
          </w:p>
        </w:tc>
        <w:tc>
          <w:tcPr>
            <w:tcW w:w="3583" w:type="dxa"/>
            <w:tcBorders>
              <w:top w:val="single" w:sz="12" w:space="0" w:color="FFFFFF"/>
              <w:left w:val="nil"/>
              <w:bottom w:val="single" w:sz="12" w:space="0" w:color="FFFFFF"/>
              <w:right w:val="single" w:sz="12" w:space="0" w:color="FFFFFF"/>
            </w:tcBorders>
            <w:shd w:val="clear" w:color="000000" w:fill="8DB3E2"/>
            <w:vAlign w:val="center"/>
          </w:tcPr>
          <w:p w14:paraId="32648C40" w14:textId="4CA068B1" w:rsidR="00AD20F3" w:rsidRDefault="00AD20F3" w:rsidP="00AD20F3">
            <w:pPr>
              <w:jc w:val="right"/>
              <w:rPr>
                <w:rFonts w:cs="Calibri"/>
                <w:b/>
                <w:bCs/>
                <w:color w:val="000000"/>
              </w:rPr>
            </w:pPr>
            <w:r>
              <w:rPr>
                <w:rFonts w:cs="Calibri"/>
                <w:b/>
                <w:bCs/>
                <w:color w:val="000000"/>
              </w:rPr>
              <w:t>21 834 511,77</w:t>
            </w:r>
          </w:p>
        </w:tc>
      </w:tr>
    </w:tbl>
    <w:p w14:paraId="055CD346" w14:textId="77777777" w:rsidR="00BE704E" w:rsidRDefault="00BE704E" w:rsidP="00BE704E">
      <w:pPr>
        <w:pStyle w:val="Hlavika"/>
        <w:tabs>
          <w:tab w:val="clear" w:pos="4536"/>
          <w:tab w:val="clear" w:pos="9072"/>
          <w:tab w:val="left" w:pos="0"/>
        </w:tabs>
        <w:rPr>
          <w:rFonts w:ascii="Calibri" w:hAnsi="Calibri" w:cs="Calibri"/>
          <w:szCs w:val="24"/>
          <w:lang w:val="sk-SK"/>
        </w:rPr>
      </w:pPr>
    </w:p>
    <w:p w14:paraId="5487D129" w14:textId="0D918A38" w:rsidR="00BE704E" w:rsidRDefault="00BE704E" w:rsidP="00BE704E">
      <w:pPr>
        <w:pStyle w:val="Hlavika"/>
        <w:tabs>
          <w:tab w:val="clear" w:pos="4536"/>
          <w:tab w:val="clear" w:pos="9072"/>
          <w:tab w:val="left" w:pos="0"/>
        </w:tabs>
        <w:rPr>
          <w:rFonts w:ascii="Calibri" w:hAnsi="Calibri" w:cs="Calibri"/>
          <w:szCs w:val="24"/>
          <w:lang w:val="sk-SK"/>
        </w:rPr>
      </w:pPr>
      <w:r w:rsidRPr="00C640C5">
        <w:rPr>
          <w:rFonts w:ascii="Calibri" w:hAnsi="Calibri" w:cs="Calibri"/>
          <w:szCs w:val="24"/>
          <w:lang w:val="sk-SK"/>
        </w:rPr>
        <w:t xml:space="preserve">Podrobný prehľad </w:t>
      </w:r>
      <w:r>
        <w:rPr>
          <w:rFonts w:ascii="Calibri" w:hAnsi="Calibri" w:cs="Calibri"/>
          <w:szCs w:val="24"/>
          <w:lang w:val="sk-SK"/>
        </w:rPr>
        <w:t xml:space="preserve">nevyčerpaných finančných prostriedkov rozpočtu, ktoré neboli čerpané v roku </w:t>
      </w:r>
      <w:r w:rsidRPr="00015141">
        <w:rPr>
          <w:rFonts w:ascii="Calibri" w:hAnsi="Calibri" w:cs="Calibri"/>
          <w:szCs w:val="24"/>
          <w:lang w:val="sk-SK"/>
        </w:rPr>
        <w:t>20</w:t>
      </w:r>
      <w:r w:rsidR="00412899">
        <w:rPr>
          <w:rFonts w:ascii="Calibri" w:hAnsi="Calibri" w:cs="Calibri"/>
          <w:szCs w:val="24"/>
          <w:lang w:val="sk-SK"/>
        </w:rPr>
        <w:t xml:space="preserve">20 </w:t>
      </w:r>
      <w:r w:rsidRPr="00015141">
        <w:rPr>
          <w:rFonts w:ascii="Calibri" w:hAnsi="Calibri" w:cs="Calibri"/>
          <w:szCs w:val="24"/>
          <w:lang w:val="sk-SK"/>
        </w:rPr>
        <w:t>a budú čerpané</w:t>
      </w:r>
      <w:r w:rsidR="00AD20F3">
        <w:rPr>
          <w:rFonts w:ascii="Calibri" w:hAnsi="Calibri" w:cs="Calibri"/>
          <w:szCs w:val="24"/>
          <w:lang w:val="sk-SK"/>
        </w:rPr>
        <w:t>, alebo vrátené do ŠR</w:t>
      </w:r>
      <w:r w:rsidRPr="00015141">
        <w:rPr>
          <w:rFonts w:ascii="Calibri" w:hAnsi="Calibri" w:cs="Calibri"/>
          <w:szCs w:val="24"/>
          <w:lang w:val="sk-SK"/>
        </w:rPr>
        <w:t xml:space="preserve"> v roku 20</w:t>
      </w:r>
      <w:r w:rsidR="005776CC">
        <w:rPr>
          <w:rFonts w:ascii="Calibri" w:hAnsi="Calibri" w:cs="Calibri"/>
          <w:szCs w:val="24"/>
          <w:lang w:val="sk-SK"/>
        </w:rPr>
        <w:t>2</w:t>
      </w:r>
      <w:r w:rsidR="00AD20F3">
        <w:rPr>
          <w:rFonts w:ascii="Calibri" w:hAnsi="Calibri" w:cs="Calibri"/>
          <w:szCs w:val="24"/>
          <w:lang w:val="sk-SK"/>
        </w:rPr>
        <w:t>1</w:t>
      </w:r>
      <w:r w:rsidRPr="00015141">
        <w:rPr>
          <w:rFonts w:ascii="Calibri" w:hAnsi="Calibri" w:cs="Calibri"/>
          <w:szCs w:val="24"/>
          <w:lang w:val="sk-SK"/>
        </w:rPr>
        <w:t>, je uvedený v nasledovnej tabuľke:</w:t>
      </w:r>
    </w:p>
    <w:p w14:paraId="54CA7D6C" w14:textId="76916AD0" w:rsidR="00595575" w:rsidRDefault="00595575" w:rsidP="00BE704E">
      <w:pPr>
        <w:pStyle w:val="Hlavika"/>
        <w:tabs>
          <w:tab w:val="clear" w:pos="4536"/>
          <w:tab w:val="clear" w:pos="9072"/>
          <w:tab w:val="left" w:pos="0"/>
        </w:tabs>
        <w:rPr>
          <w:rFonts w:ascii="Calibri" w:hAnsi="Calibri" w:cs="Calibri"/>
          <w:szCs w:val="24"/>
          <w:lang w:val="sk-SK"/>
        </w:rPr>
      </w:pPr>
    </w:p>
    <w:tbl>
      <w:tblPr>
        <w:tblW w:w="10739" w:type="dxa"/>
        <w:tblCellMar>
          <w:left w:w="70" w:type="dxa"/>
          <w:right w:w="70" w:type="dxa"/>
        </w:tblCellMar>
        <w:tblLook w:val="04A0" w:firstRow="1" w:lastRow="0" w:firstColumn="1" w:lastColumn="0" w:noHBand="0" w:noVBand="1"/>
      </w:tblPr>
      <w:tblGrid>
        <w:gridCol w:w="8600"/>
        <w:gridCol w:w="1993"/>
        <w:gridCol w:w="146"/>
      </w:tblGrid>
      <w:tr w:rsidR="00AD20F3" w:rsidRPr="00AD20F3" w14:paraId="57BCD442" w14:textId="77777777" w:rsidTr="00737516">
        <w:trPr>
          <w:gridAfter w:val="1"/>
          <w:wAfter w:w="146" w:type="dxa"/>
          <w:trHeight w:val="311"/>
        </w:trPr>
        <w:tc>
          <w:tcPr>
            <w:tcW w:w="8600" w:type="dxa"/>
            <w:vMerge w:val="restart"/>
            <w:tcBorders>
              <w:top w:val="single" w:sz="12" w:space="0" w:color="FFFFFF"/>
              <w:left w:val="single" w:sz="12" w:space="0" w:color="FFFFFF"/>
              <w:bottom w:val="single" w:sz="12" w:space="0" w:color="FFFFFF"/>
              <w:right w:val="single" w:sz="12" w:space="0" w:color="FFFFFF"/>
            </w:tcBorders>
            <w:shd w:val="clear" w:color="000000" w:fill="8DB3E2"/>
            <w:noWrap/>
            <w:vAlign w:val="center"/>
            <w:hideMark/>
          </w:tcPr>
          <w:p w14:paraId="4E524792" w14:textId="77777777" w:rsidR="00AD20F3" w:rsidRPr="00AD20F3" w:rsidRDefault="00AD20F3" w:rsidP="00AD20F3">
            <w:pPr>
              <w:spacing w:after="0" w:line="240" w:lineRule="auto"/>
              <w:rPr>
                <w:rFonts w:cs="Calibri"/>
                <w:b/>
                <w:bCs/>
                <w:color w:val="000000"/>
                <w:sz w:val="20"/>
                <w:szCs w:val="20"/>
                <w:lang w:eastAsia="sk-SK"/>
              </w:rPr>
            </w:pPr>
            <w:r w:rsidRPr="00AD20F3">
              <w:rPr>
                <w:rFonts w:cs="Calibri"/>
                <w:b/>
                <w:bCs/>
                <w:color w:val="000000"/>
                <w:sz w:val="20"/>
                <w:szCs w:val="20"/>
                <w:lang w:eastAsia="sk-SK"/>
              </w:rPr>
              <w:t>Úprava v zmysle znenia zákona č. 583/2004 Z. z.</w:t>
            </w:r>
          </w:p>
        </w:tc>
        <w:tc>
          <w:tcPr>
            <w:tcW w:w="1993"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45909BFB" w14:textId="77777777" w:rsidR="00AD20F3" w:rsidRPr="00AD20F3" w:rsidRDefault="00AD20F3" w:rsidP="00AD20F3">
            <w:pPr>
              <w:spacing w:after="0" w:line="240" w:lineRule="auto"/>
              <w:jc w:val="center"/>
              <w:rPr>
                <w:rFonts w:cs="Calibri"/>
                <w:b/>
                <w:bCs/>
                <w:color w:val="000000"/>
                <w:sz w:val="20"/>
                <w:szCs w:val="20"/>
                <w:lang w:eastAsia="sk-SK"/>
              </w:rPr>
            </w:pPr>
            <w:r w:rsidRPr="00AD20F3">
              <w:rPr>
                <w:rFonts w:cs="Calibri"/>
                <w:b/>
                <w:bCs/>
                <w:color w:val="000000"/>
                <w:sz w:val="20"/>
                <w:szCs w:val="20"/>
                <w:lang w:eastAsia="sk-SK"/>
              </w:rPr>
              <w:t>Nevyčerpaný objem k 31.12.2020 v EUR</w:t>
            </w:r>
          </w:p>
        </w:tc>
      </w:tr>
      <w:tr w:rsidR="00AD20F3" w:rsidRPr="00AD20F3" w14:paraId="743E52B5" w14:textId="77777777" w:rsidTr="00737516">
        <w:trPr>
          <w:trHeight w:val="311"/>
        </w:trPr>
        <w:tc>
          <w:tcPr>
            <w:tcW w:w="8600" w:type="dxa"/>
            <w:vMerge/>
            <w:tcBorders>
              <w:top w:val="single" w:sz="12" w:space="0" w:color="FFFFFF"/>
              <w:left w:val="single" w:sz="12" w:space="0" w:color="FFFFFF"/>
              <w:bottom w:val="single" w:sz="12" w:space="0" w:color="FFFFFF"/>
              <w:right w:val="single" w:sz="12" w:space="0" w:color="FFFFFF"/>
            </w:tcBorders>
            <w:vAlign w:val="center"/>
            <w:hideMark/>
          </w:tcPr>
          <w:p w14:paraId="0227CD49" w14:textId="77777777" w:rsidR="00AD20F3" w:rsidRPr="00AD20F3" w:rsidRDefault="00AD20F3" w:rsidP="00AD20F3">
            <w:pPr>
              <w:spacing w:after="0" w:line="240" w:lineRule="auto"/>
              <w:rPr>
                <w:rFonts w:cs="Calibri"/>
                <w:b/>
                <w:bCs/>
                <w:color w:val="000000"/>
                <w:sz w:val="20"/>
                <w:szCs w:val="20"/>
                <w:lang w:eastAsia="sk-SK"/>
              </w:rPr>
            </w:pPr>
          </w:p>
        </w:tc>
        <w:tc>
          <w:tcPr>
            <w:tcW w:w="1993" w:type="dxa"/>
            <w:vMerge/>
            <w:tcBorders>
              <w:top w:val="single" w:sz="12" w:space="0" w:color="FFFFFF"/>
              <w:left w:val="single" w:sz="12" w:space="0" w:color="FFFFFF"/>
              <w:bottom w:val="single" w:sz="12" w:space="0" w:color="FFFFFF"/>
              <w:right w:val="single" w:sz="12" w:space="0" w:color="FFFFFF"/>
            </w:tcBorders>
            <w:vAlign w:val="center"/>
            <w:hideMark/>
          </w:tcPr>
          <w:p w14:paraId="4BFB0CCF" w14:textId="77777777" w:rsidR="00AD20F3" w:rsidRPr="00AD20F3" w:rsidRDefault="00AD20F3" w:rsidP="00AD20F3">
            <w:pPr>
              <w:spacing w:after="0" w:line="240" w:lineRule="auto"/>
              <w:rPr>
                <w:rFonts w:cs="Calibri"/>
                <w:b/>
                <w:bCs/>
                <w:color w:val="000000"/>
                <w:sz w:val="20"/>
                <w:szCs w:val="20"/>
                <w:lang w:eastAsia="sk-SK"/>
              </w:rPr>
            </w:pPr>
          </w:p>
        </w:tc>
        <w:tc>
          <w:tcPr>
            <w:tcW w:w="146" w:type="dxa"/>
            <w:tcBorders>
              <w:top w:val="nil"/>
              <w:left w:val="nil"/>
              <w:bottom w:val="nil"/>
              <w:right w:val="nil"/>
            </w:tcBorders>
            <w:shd w:val="clear" w:color="auto" w:fill="auto"/>
            <w:noWrap/>
            <w:vAlign w:val="bottom"/>
            <w:hideMark/>
          </w:tcPr>
          <w:p w14:paraId="7927503E" w14:textId="77777777" w:rsidR="00AD20F3" w:rsidRPr="00AD20F3" w:rsidRDefault="00AD20F3" w:rsidP="00AD20F3">
            <w:pPr>
              <w:spacing w:after="0" w:line="240" w:lineRule="auto"/>
              <w:jc w:val="center"/>
              <w:rPr>
                <w:rFonts w:cs="Calibri"/>
                <w:b/>
                <w:bCs/>
                <w:color w:val="000000"/>
                <w:sz w:val="20"/>
                <w:szCs w:val="20"/>
                <w:lang w:eastAsia="sk-SK"/>
              </w:rPr>
            </w:pPr>
          </w:p>
        </w:tc>
      </w:tr>
      <w:tr w:rsidR="00AD20F3" w:rsidRPr="00AD20F3" w14:paraId="6B099BF5"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538DD5"/>
            <w:noWrap/>
            <w:vAlign w:val="center"/>
            <w:hideMark/>
          </w:tcPr>
          <w:p w14:paraId="15F7D115" w14:textId="77777777" w:rsidR="00AD20F3" w:rsidRPr="00AD20F3" w:rsidRDefault="00AD20F3" w:rsidP="00AD20F3">
            <w:pPr>
              <w:spacing w:after="0" w:line="240" w:lineRule="auto"/>
              <w:rPr>
                <w:rFonts w:cs="Calibri"/>
                <w:b/>
                <w:bCs/>
                <w:color w:val="FFFFFF"/>
                <w:lang w:eastAsia="sk-SK"/>
              </w:rPr>
            </w:pPr>
            <w:r w:rsidRPr="00AD20F3">
              <w:rPr>
                <w:rFonts w:cs="Calibri"/>
                <w:b/>
                <w:bCs/>
                <w:color w:val="FFFFFF"/>
                <w:lang w:eastAsia="sk-SK"/>
              </w:rPr>
              <w:t>Spolu nevyčerpané dotácie a ostatné záväzky</w:t>
            </w:r>
          </w:p>
        </w:tc>
        <w:tc>
          <w:tcPr>
            <w:tcW w:w="1993" w:type="dxa"/>
            <w:tcBorders>
              <w:top w:val="nil"/>
              <w:left w:val="nil"/>
              <w:bottom w:val="single" w:sz="12" w:space="0" w:color="FFFFFF"/>
              <w:right w:val="single" w:sz="12" w:space="0" w:color="FFFFFF"/>
            </w:tcBorders>
            <w:shd w:val="clear" w:color="000000" w:fill="538DD5"/>
            <w:noWrap/>
            <w:vAlign w:val="center"/>
            <w:hideMark/>
          </w:tcPr>
          <w:p w14:paraId="5F1CD8AF" w14:textId="77777777" w:rsidR="00AD20F3" w:rsidRPr="00AD20F3" w:rsidRDefault="00AD20F3" w:rsidP="00AD20F3">
            <w:pPr>
              <w:spacing w:after="0" w:line="240" w:lineRule="auto"/>
              <w:jc w:val="right"/>
              <w:rPr>
                <w:rFonts w:cs="Calibri"/>
                <w:b/>
                <w:bCs/>
                <w:color w:val="FFFFFF"/>
                <w:lang w:eastAsia="sk-SK"/>
              </w:rPr>
            </w:pPr>
            <w:r w:rsidRPr="00AD20F3">
              <w:rPr>
                <w:rFonts w:cs="Calibri"/>
                <w:b/>
                <w:bCs/>
                <w:color w:val="FFFFFF"/>
                <w:lang w:eastAsia="sk-SK"/>
              </w:rPr>
              <w:t>4 282 640,58</w:t>
            </w:r>
          </w:p>
        </w:tc>
        <w:tc>
          <w:tcPr>
            <w:tcW w:w="146" w:type="dxa"/>
            <w:vAlign w:val="center"/>
            <w:hideMark/>
          </w:tcPr>
          <w:p w14:paraId="70B1AB68"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44C3147" w14:textId="77777777" w:rsidTr="00737516">
        <w:trPr>
          <w:trHeight w:val="311"/>
        </w:trPr>
        <w:tc>
          <w:tcPr>
            <w:tcW w:w="8600" w:type="dxa"/>
            <w:tcBorders>
              <w:top w:val="nil"/>
              <w:left w:val="single" w:sz="12" w:space="0" w:color="FFFFFF"/>
              <w:bottom w:val="nil"/>
              <w:right w:val="nil"/>
            </w:tcBorders>
            <w:shd w:val="clear" w:color="000000" w:fill="808080"/>
            <w:noWrap/>
            <w:vAlign w:val="center"/>
            <w:hideMark/>
          </w:tcPr>
          <w:p w14:paraId="6AB0E47C" w14:textId="77777777" w:rsidR="00AD20F3" w:rsidRPr="00AD20F3" w:rsidRDefault="00AD20F3" w:rsidP="00AD20F3">
            <w:pPr>
              <w:spacing w:after="0" w:line="240" w:lineRule="auto"/>
              <w:jc w:val="center"/>
              <w:rPr>
                <w:rFonts w:cs="Calibri"/>
                <w:b/>
                <w:bCs/>
                <w:color w:val="FFFFFF"/>
                <w:sz w:val="20"/>
                <w:szCs w:val="20"/>
                <w:lang w:eastAsia="sk-SK"/>
              </w:rPr>
            </w:pPr>
            <w:r w:rsidRPr="00AD20F3">
              <w:rPr>
                <w:rFonts w:cs="Calibri"/>
                <w:b/>
                <w:bCs/>
                <w:color w:val="FFFFFF"/>
                <w:sz w:val="20"/>
                <w:szCs w:val="20"/>
                <w:lang w:eastAsia="sk-SK"/>
              </w:rPr>
              <w:t>Nevyčerpané účelové prostriedky zo ŠR spolu</w:t>
            </w:r>
          </w:p>
        </w:tc>
        <w:tc>
          <w:tcPr>
            <w:tcW w:w="1993" w:type="dxa"/>
            <w:tcBorders>
              <w:top w:val="nil"/>
              <w:left w:val="nil"/>
              <w:bottom w:val="nil"/>
              <w:right w:val="single" w:sz="12" w:space="0" w:color="FFFFFF"/>
            </w:tcBorders>
            <w:shd w:val="clear" w:color="000000" w:fill="808080"/>
            <w:noWrap/>
            <w:vAlign w:val="center"/>
            <w:hideMark/>
          </w:tcPr>
          <w:p w14:paraId="1F3A6B33" w14:textId="77777777" w:rsidR="00AD20F3" w:rsidRPr="00AD20F3" w:rsidRDefault="00AD20F3" w:rsidP="00AD20F3">
            <w:pPr>
              <w:spacing w:after="0" w:line="240" w:lineRule="auto"/>
              <w:jc w:val="right"/>
              <w:rPr>
                <w:rFonts w:cs="Calibri"/>
                <w:b/>
                <w:bCs/>
                <w:color w:val="FFFFFF"/>
                <w:sz w:val="20"/>
                <w:szCs w:val="20"/>
                <w:lang w:eastAsia="sk-SK"/>
              </w:rPr>
            </w:pPr>
            <w:r w:rsidRPr="00AD20F3">
              <w:rPr>
                <w:rFonts w:cs="Calibri"/>
                <w:b/>
                <w:bCs/>
                <w:color w:val="FFFFFF"/>
                <w:sz w:val="20"/>
                <w:szCs w:val="20"/>
                <w:lang w:eastAsia="sk-SK"/>
              </w:rPr>
              <w:t>1 812 930,70</w:t>
            </w:r>
          </w:p>
        </w:tc>
        <w:tc>
          <w:tcPr>
            <w:tcW w:w="146" w:type="dxa"/>
            <w:vAlign w:val="center"/>
            <w:hideMark/>
          </w:tcPr>
          <w:p w14:paraId="1F2F4A9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8F3A74B" w14:textId="77777777" w:rsidTr="00737516">
        <w:trPr>
          <w:trHeight w:val="311"/>
        </w:trPr>
        <w:tc>
          <w:tcPr>
            <w:tcW w:w="8600" w:type="dxa"/>
            <w:tcBorders>
              <w:top w:val="nil"/>
              <w:left w:val="single" w:sz="12" w:space="0" w:color="FFFFFF"/>
              <w:bottom w:val="single" w:sz="12" w:space="0" w:color="FFFFFF"/>
              <w:right w:val="single" w:sz="12" w:space="0" w:color="FFFFFF"/>
            </w:tcBorders>
            <w:shd w:val="clear" w:color="000000" w:fill="C6D9F1"/>
            <w:noWrap/>
            <w:vAlign w:val="center"/>
            <w:hideMark/>
          </w:tcPr>
          <w:p w14:paraId="2A0B6F20" w14:textId="77777777" w:rsidR="00AD20F3" w:rsidRPr="00AD20F3" w:rsidRDefault="00AD20F3" w:rsidP="00AD20F3">
            <w:pPr>
              <w:spacing w:after="0" w:line="240" w:lineRule="auto"/>
              <w:rPr>
                <w:rFonts w:cs="Calibri"/>
                <w:b/>
                <w:bCs/>
                <w:color w:val="000000"/>
                <w:sz w:val="20"/>
                <w:szCs w:val="20"/>
                <w:lang w:eastAsia="sk-SK"/>
              </w:rPr>
            </w:pPr>
            <w:r w:rsidRPr="00AD20F3">
              <w:rPr>
                <w:rFonts w:cs="Calibri"/>
                <w:b/>
                <w:bCs/>
                <w:color w:val="000000"/>
                <w:sz w:val="20"/>
                <w:szCs w:val="20"/>
                <w:lang w:eastAsia="sk-SK"/>
              </w:rPr>
              <w:t>Bežné výdavky</w:t>
            </w:r>
          </w:p>
        </w:tc>
        <w:tc>
          <w:tcPr>
            <w:tcW w:w="1993" w:type="dxa"/>
            <w:tcBorders>
              <w:top w:val="nil"/>
              <w:left w:val="nil"/>
              <w:bottom w:val="single" w:sz="12" w:space="0" w:color="FFFFFF"/>
              <w:right w:val="single" w:sz="12" w:space="0" w:color="FFFFFF"/>
            </w:tcBorders>
            <w:shd w:val="clear" w:color="000000" w:fill="C6D9F1"/>
            <w:noWrap/>
            <w:vAlign w:val="center"/>
            <w:hideMark/>
          </w:tcPr>
          <w:p w14:paraId="13B2DBB2" w14:textId="77777777" w:rsidR="00AD20F3" w:rsidRPr="00AD20F3" w:rsidRDefault="00AD20F3" w:rsidP="00AD20F3">
            <w:pPr>
              <w:spacing w:after="0" w:line="240" w:lineRule="auto"/>
              <w:jc w:val="right"/>
              <w:rPr>
                <w:rFonts w:cs="Calibri"/>
                <w:b/>
                <w:bCs/>
                <w:color w:val="000000"/>
                <w:sz w:val="20"/>
                <w:szCs w:val="20"/>
                <w:lang w:eastAsia="sk-SK"/>
              </w:rPr>
            </w:pPr>
            <w:r w:rsidRPr="00AD20F3">
              <w:rPr>
                <w:rFonts w:cs="Calibri"/>
                <w:b/>
                <w:bCs/>
                <w:color w:val="000000"/>
                <w:sz w:val="20"/>
                <w:szCs w:val="20"/>
                <w:lang w:eastAsia="sk-SK"/>
              </w:rPr>
              <w:t>1 760 253,70</w:t>
            </w:r>
          </w:p>
        </w:tc>
        <w:tc>
          <w:tcPr>
            <w:tcW w:w="146" w:type="dxa"/>
            <w:vAlign w:val="center"/>
            <w:hideMark/>
          </w:tcPr>
          <w:p w14:paraId="4FA2F09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CE3A06D"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665C00F"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Centrum sociálnych služieb Pod Karpatmi </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885FB28"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38 986,00</w:t>
            </w:r>
          </w:p>
        </w:tc>
        <w:tc>
          <w:tcPr>
            <w:tcW w:w="146" w:type="dxa"/>
            <w:vAlign w:val="center"/>
            <w:hideMark/>
          </w:tcPr>
          <w:p w14:paraId="0701032E"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5ECE93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538E4F96"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DSS a ZPS Kaštieľ </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5900D1B"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500,00</w:t>
            </w:r>
          </w:p>
        </w:tc>
        <w:tc>
          <w:tcPr>
            <w:tcW w:w="146" w:type="dxa"/>
            <w:vAlign w:val="center"/>
            <w:hideMark/>
          </w:tcPr>
          <w:p w14:paraId="52536F98"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D3F9B7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CBAE7DF"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DSS pre deti a dospelých INTEGRA </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95E458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1 254,34</w:t>
            </w:r>
          </w:p>
        </w:tc>
        <w:tc>
          <w:tcPr>
            <w:tcW w:w="146" w:type="dxa"/>
            <w:vAlign w:val="center"/>
            <w:hideMark/>
          </w:tcPr>
          <w:p w14:paraId="709D4A7D"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A34215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6C3B059B"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DSS pre deti a dospelých Javorinská </w:t>
            </w:r>
          </w:p>
        </w:tc>
        <w:tc>
          <w:tcPr>
            <w:tcW w:w="1993" w:type="dxa"/>
            <w:tcBorders>
              <w:top w:val="nil"/>
              <w:left w:val="nil"/>
              <w:bottom w:val="single" w:sz="12" w:space="0" w:color="FFFFFF"/>
              <w:right w:val="single" w:sz="12" w:space="0" w:color="FFFFFF"/>
            </w:tcBorders>
            <w:shd w:val="clear" w:color="000000" w:fill="F2F2F2"/>
            <w:noWrap/>
            <w:vAlign w:val="center"/>
            <w:hideMark/>
          </w:tcPr>
          <w:p w14:paraId="2F52F70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1 200,00</w:t>
            </w:r>
          </w:p>
        </w:tc>
        <w:tc>
          <w:tcPr>
            <w:tcW w:w="146" w:type="dxa"/>
            <w:vAlign w:val="center"/>
            <w:hideMark/>
          </w:tcPr>
          <w:p w14:paraId="1CDCB5B8"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30433AF"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CEF1996"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DSS pre deti a dospelých KAMPINO </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BB55E52"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1 170,00</w:t>
            </w:r>
          </w:p>
        </w:tc>
        <w:tc>
          <w:tcPr>
            <w:tcW w:w="146" w:type="dxa"/>
            <w:vAlign w:val="center"/>
            <w:hideMark/>
          </w:tcPr>
          <w:p w14:paraId="17F0269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CA48BBB"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033FA475"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A. Bernoláka, Senec</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B94D4ED"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891,65</w:t>
            </w:r>
          </w:p>
        </w:tc>
        <w:tc>
          <w:tcPr>
            <w:tcW w:w="146" w:type="dxa"/>
            <w:vAlign w:val="center"/>
            <w:hideMark/>
          </w:tcPr>
          <w:p w14:paraId="57B95952"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440822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F91892E"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A. Einsteina, Einsteinova 35</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D489A7B"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65 829,33</w:t>
            </w:r>
          </w:p>
        </w:tc>
        <w:tc>
          <w:tcPr>
            <w:tcW w:w="146" w:type="dxa"/>
            <w:vAlign w:val="center"/>
            <w:hideMark/>
          </w:tcPr>
          <w:p w14:paraId="055B2253"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5D92047"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09CCD367"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I. Horvátha, I. Horvátha 14</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1D6DEBA"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8 024,51</w:t>
            </w:r>
          </w:p>
        </w:tc>
        <w:tc>
          <w:tcPr>
            <w:tcW w:w="146" w:type="dxa"/>
            <w:vAlign w:val="center"/>
            <w:hideMark/>
          </w:tcPr>
          <w:p w14:paraId="7B2B43E8"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9A4CAD3"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35B82D85"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K. Štúra, Modra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5B7061A"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31 793,54</w:t>
            </w:r>
          </w:p>
        </w:tc>
        <w:tc>
          <w:tcPr>
            <w:tcW w:w="146" w:type="dxa"/>
            <w:vAlign w:val="center"/>
            <w:hideMark/>
          </w:tcPr>
          <w:p w14:paraId="09721BE5"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5CBA4EA"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205E80E"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L. Novomeského, Tomášikova 2</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7A42E09"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2 246,83</w:t>
            </w:r>
          </w:p>
        </w:tc>
        <w:tc>
          <w:tcPr>
            <w:tcW w:w="146" w:type="dxa"/>
            <w:vAlign w:val="center"/>
            <w:hideMark/>
          </w:tcPr>
          <w:p w14:paraId="7086FE03"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2280FD82"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082672B"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pre mimoriadne nadané deti, Teplická 7</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5BCC55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10 729,19</w:t>
            </w:r>
          </w:p>
        </w:tc>
        <w:tc>
          <w:tcPr>
            <w:tcW w:w="146" w:type="dxa"/>
            <w:vAlign w:val="center"/>
            <w:hideMark/>
          </w:tcPr>
          <w:p w14:paraId="45ECA4F4"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0BC9E5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98A2809"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Gymnázium, </w:t>
            </w:r>
            <w:proofErr w:type="spellStart"/>
            <w:r w:rsidRPr="00AD20F3">
              <w:rPr>
                <w:rFonts w:cs="Calibri"/>
                <w:color w:val="000000"/>
                <w:sz w:val="20"/>
                <w:szCs w:val="20"/>
                <w:lang w:eastAsia="sk-SK"/>
              </w:rPr>
              <w:t>Grosslingova</w:t>
            </w:r>
            <w:proofErr w:type="spellEnd"/>
            <w:r w:rsidRPr="00AD20F3">
              <w:rPr>
                <w:rFonts w:cs="Calibri"/>
                <w:color w:val="000000"/>
                <w:sz w:val="20"/>
                <w:szCs w:val="20"/>
                <w:lang w:eastAsia="sk-SK"/>
              </w:rPr>
              <w:t xml:space="preserve"> 18</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42EC9DE"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77 330,18</w:t>
            </w:r>
          </w:p>
        </w:tc>
        <w:tc>
          <w:tcPr>
            <w:tcW w:w="146" w:type="dxa"/>
            <w:vAlign w:val="center"/>
            <w:hideMark/>
          </w:tcPr>
          <w:p w14:paraId="2203395E"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734564D"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0F127B18"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Hubeného 23</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3091053"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40 755,58</w:t>
            </w:r>
          </w:p>
        </w:tc>
        <w:tc>
          <w:tcPr>
            <w:tcW w:w="146" w:type="dxa"/>
            <w:vAlign w:val="center"/>
            <w:hideMark/>
          </w:tcPr>
          <w:p w14:paraId="1DC41A5E"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1A4BB8F"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DDF8CC1"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lastRenderedPageBreak/>
              <w:t>Gymnázium, Malacky</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427BE94"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19 904,24</w:t>
            </w:r>
          </w:p>
        </w:tc>
        <w:tc>
          <w:tcPr>
            <w:tcW w:w="146" w:type="dxa"/>
            <w:vAlign w:val="center"/>
            <w:hideMark/>
          </w:tcPr>
          <w:p w14:paraId="03C6EDFD"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E22533E"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7BC1CB7"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Gymnázium, Pezinok</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6A6620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14 645,39</w:t>
            </w:r>
          </w:p>
        </w:tc>
        <w:tc>
          <w:tcPr>
            <w:tcW w:w="146" w:type="dxa"/>
            <w:vAlign w:val="center"/>
            <w:hideMark/>
          </w:tcPr>
          <w:p w14:paraId="680CCD06"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A3C51ED"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5E0593A"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Konzervatórium, Tolstého 11</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ACBC888"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139 794,80</w:t>
            </w:r>
          </w:p>
        </w:tc>
        <w:tc>
          <w:tcPr>
            <w:tcW w:w="146" w:type="dxa"/>
            <w:vAlign w:val="center"/>
            <w:hideMark/>
          </w:tcPr>
          <w:p w14:paraId="56D8E7AA"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2E6C05F6"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571FE3E3"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Obchodná akadémia, </w:t>
            </w:r>
            <w:proofErr w:type="spellStart"/>
            <w:r w:rsidRPr="00AD20F3">
              <w:rPr>
                <w:rFonts w:cs="Calibri"/>
                <w:color w:val="000000"/>
                <w:sz w:val="20"/>
                <w:szCs w:val="20"/>
                <w:lang w:eastAsia="sk-SK"/>
              </w:rPr>
              <w:t>Dudova</w:t>
            </w:r>
            <w:proofErr w:type="spellEnd"/>
            <w:r w:rsidRPr="00AD20F3">
              <w:rPr>
                <w:rFonts w:cs="Calibri"/>
                <w:color w:val="000000"/>
                <w:sz w:val="20"/>
                <w:szCs w:val="20"/>
                <w:lang w:eastAsia="sk-SK"/>
              </w:rPr>
              <w:t xml:space="preserve"> 4</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D765FCA"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16 003,41</w:t>
            </w:r>
          </w:p>
        </w:tc>
        <w:tc>
          <w:tcPr>
            <w:tcW w:w="146" w:type="dxa"/>
            <w:vAlign w:val="center"/>
            <w:hideMark/>
          </w:tcPr>
          <w:p w14:paraId="4145D0E7"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7D18CB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012D7242"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Obchodná akadémia, </w:t>
            </w:r>
            <w:proofErr w:type="spellStart"/>
            <w:r w:rsidRPr="00AD20F3">
              <w:rPr>
                <w:rFonts w:cs="Calibri"/>
                <w:color w:val="000000"/>
                <w:sz w:val="20"/>
                <w:szCs w:val="20"/>
                <w:lang w:eastAsia="sk-SK"/>
              </w:rPr>
              <w:t>Nevädzova</w:t>
            </w:r>
            <w:proofErr w:type="spellEnd"/>
            <w:r w:rsidRPr="00AD20F3">
              <w:rPr>
                <w:rFonts w:cs="Calibri"/>
                <w:color w:val="000000"/>
                <w:sz w:val="20"/>
                <w:szCs w:val="20"/>
                <w:lang w:eastAsia="sk-SK"/>
              </w:rPr>
              <w:t xml:space="preserve"> 3</w:t>
            </w:r>
          </w:p>
        </w:tc>
        <w:tc>
          <w:tcPr>
            <w:tcW w:w="1993" w:type="dxa"/>
            <w:tcBorders>
              <w:top w:val="nil"/>
              <w:left w:val="nil"/>
              <w:bottom w:val="single" w:sz="12" w:space="0" w:color="FFFFFF"/>
              <w:right w:val="single" w:sz="12" w:space="0" w:color="FFFFFF"/>
            </w:tcBorders>
            <w:shd w:val="clear" w:color="000000" w:fill="F2F2F2"/>
            <w:noWrap/>
            <w:vAlign w:val="center"/>
            <w:hideMark/>
          </w:tcPr>
          <w:p w14:paraId="4784F0D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2 859,76</w:t>
            </w:r>
          </w:p>
        </w:tc>
        <w:tc>
          <w:tcPr>
            <w:tcW w:w="146" w:type="dxa"/>
            <w:vAlign w:val="center"/>
            <w:hideMark/>
          </w:tcPr>
          <w:p w14:paraId="52176D86"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246A418F"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6D0F2210"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Obchodná akadémia, Pezinok</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89AAFC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10 467,43</w:t>
            </w:r>
          </w:p>
        </w:tc>
        <w:tc>
          <w:tcPr>
            <w:tcW w:w="146" w:type="dxa"/>
            <w:vAlign w:val="center"/>
            <w:hideMark/>
          </w:tcPr>
          <w:p w14:paraId="61556756"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3DD844D"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B61D355"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Obchodná akadémia, Račianska 107</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2F5293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5 668,63</w:t>
            </w:r>
          </w:p>
        </w:tc>
        <w:tc>
          <w:tcPr>
            <w:tcW w:w="146" w:type="dxa"/>
            <w:vAlign w:val="center"/>
            <w:hideMark/>
          </w:tcPr>
          <w:p w14:paraId="6239F0F3"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C4DE4E5"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42958A3"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SOŠ dopravná, </w:t>
            </w:r>
            <w:proofErr w:type="spellStart"/>
            <w:r w:rsidRPr="00AD20F3">
              <w:rPr>
                <w:rFonts w:cs="Calibri"/>
                <w:color w:val="000000"/>
                <w:sz w:val="20"/>
                <w:szCs w:val="20"/>
                <w:lang w:eastAsia="sk-SK"/>
              </w:rPr>
              <w:t>Kvačalova</w:t>
            </w:r>
            <w:proofErr w:type="spellEnd"/>
            <w:r w:rsidRPr="00AD20F3">
              <w:rPr>
                <w:rFonts w:cs="Calibri"/>
                <w:color w:val="000000"/>
                <w:sz w:val="20"/>
                <w:szCs w:val="20"/>
                <w:lang w:eastAsia="sk-SK"/>
              </w:rPr>
              <w:t xml:space="preserve"> 20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13A36D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98 003,91</w:t>
            </w:r>
          </w:p>
        </w:tc>
        <w:tc>
          <w:tcPr>
            <w:tcW w:w="146" w:type="dxa"/>
            <w:vAlign w:val="center"/>
            <w:hideMark/>
          </w:tcPr>
          <w:p w14:paraId="31559BFC"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2838E1E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352FC13"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SOŠ elektrotechnická, Rybničná 59</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19D1CA5"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265,62</w:t>
            </w:r>
          </w:p>
        </w:tc>
        <w:tc>
          <w:tcPr>
            <w:tcW w:w="146" w:type="dxa"/>
            <w:vAlign w:val="center"/>
            <w:hideMark/>
          </w:tcPr>
          <w:p w14:paraId="3360EB8A"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C9DD9E4"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93E38ED"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SOŠ chemická, Vlčie Hrdlo 50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31A9AD0"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3 000,00</w:t>
            </w:r>
          </w:p>
        </w:tc>
        <w:tc>
          <w:tcPr>
            <w:tcW w:w="146" w:type="dxa"/>
            <w:vAlign w:val="center"/>
            <w:hideMark/>
          </w:tcPr>
          <w:p w14:paraId="3EB1F8AD"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79A14C5"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5EBCDFE2"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SOŠ masmediálnych a </w:t>
            </w:r>
            <w:proofErr w:type="spellStart"/>
            <w:r w:rsidRPr="00AD20F3">
              <w:rPr>
                <w:rFonts w:cs="Calibri"/>
                <w:color w:val="000000"/>
                <w:sz w:val="20"/>
                <w:szCs w:val="20"/>
                <w:lang w:eastAsia="sk-SK"/>
              </w:rPr>
              <w:t>inf</w:t>
            </w:r>
            <w:proofErr w:type="spellEnd"/>
            <w:r w:rsidRPr="00AD20F3">
              <w:rPr>
                <w:rFonts w:cs="Calibri"/>
                <w:color w:val="000000"/>
                <w:sz w:val="20"/>
                <w:szCs w:val="20"/>
                <w:lang w:eastAsia="sk-SK"/>
              </w:rPr>
              <w:t>. štúdií, Kadnárova 7</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EE5DC10"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8 344,73</w:t>
            </w:r>
          </w:p>
        </w:tc>
        <w:tc>
          <w:tcPr>
            <w:tcW w:w="146" w:type="dxa"/>
            <w:vAlign w:val="center"/>
            <w:hideMark/>
          </w:tcPr>
          <w:p w14:paraId="2338081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52EDE0C"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D1BA3EE"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SOŠ pedagogická , Bullova 2, Bratislava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86CBD8D"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8,74</w:t>
            </w:r>
          </w:p>
        </w:tc>
        <w:tc>
          <w:tcPr>
            <w:tcW w:w="146" w:type="dxa"/>
            <w:vAlign w:val="center"/>
            <w:hideMark/>
          </w:tcPr>
          <w:p w14:paraId="1EB086C4"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A9C3B2E"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2097230"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SOŠ pedagogická, Sokolská 6, Modra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F6E70C7"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4 052,49</w:t>
            </w:r>
          </w:p>
        </w:tc>
        <w:tc>
          <w:tcPr>
            <w:tcW w:w="146" w:type="dxa"/>
            <w:vAlign w:val="center"/>
            <w:hideMark/>
          </w:tcPr>
          <w:p w14:paraId="2AE97E3A"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5EC22E9"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369731D2"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SOŠ podnikania a služieb, </w:t>
            </w:r>
            <w:proofErr w:type="spellStart"/>
            <w:r w:rsidRPr="00AD20F3">
              <w:rPr>
                <w:rFonts w:cs="Calibri"/>
                <w:color w:val="000000"/>
                <w:sz w:val="20"/>
                <w:szCs w:val="20"/>
                <w:lang w:eastAsia="sk-SK"/>
              </w:rPr>
              <w:t>Myslenická</w:t>
            </w:r>
            <w:proofErr w:type="spellEnd"/>
            <w:r w:rsidRPr="00AD20F3">
              <w:rPr>
                <w:rFonts w:cs="Calibri"/>
                <w:color w:val="000000"/>
                <w:sz w:val="20"/>
                <w:szCs w:val="20"/>
                <w:lang w:eastAsia="sk-SK"/>
              </w:rPr>
              <w:t xml:space="preserve"> 1, Pezinok</w:t>
            </w:r>
          </w:p>
        </w:tc>
        <w:tc>
          <w:tcPr>
            <w:tcW w:w="1993" w:type="dxa"/>
            <w:tcBorders>
              <w:top w:val="nil"/>
              <w:left w:val="nil"/>
              <w:bottom w:val="single" w:sz="12" w:space="0" w:color="FFFFFF"/>
              <w:right w:val="single" w:sz="12" w:space="0" w:color="FFFFFF"/>
            </w:tcBorders>
            <w:shd w:val="clear" w:color="000000" w:fill="F2F2F2"/>
            <w:noWrap/>
            <w:vAlign w:val="center"/>
            <w:hideMark/>
          </w:tcPr>
          <w:p w14:paraId="615F2485"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1 074,00</w:t>
            </w:r>
          </w:p>
        </w:tc>
        <w:tc>
          <w:tcPr>
            <w:tcW w:w="146" w:type="dxa"/>
            <w:vAlign w:val="center"/>
            <w:hideMark/>
          </w:tcPr>
          <w:p w14:paraId="1A08FD5A"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D62ED98"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F042DD8"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SOŠ podnikania, </w:t>
            </w:r>
            <w:proofErr w:type="spellStart"/>
            <w:r w:rsidRPr="00AD20F3">
              <w:rPr>
                <w:rFonts w:cs="Calibri"/>
                <w:color w:val="000000"/>
                <w:sz w:val="20"/>
                <w:szCs w:val="20"/>
                <w:lang w:eastAsia="sk-SK"/>
              </w:rPr>
              <w:t>Strečnianska</w:t>
            </w:r>
            <w:proofErr w:type="spellEnd"/>
            <w:r w:rsidRPr="00AD20F3">
              <w:rPr>
                <w:rFonts w:cs="Calibri"/>
                <w:color w:val="000000"/>
                <w:sz w:val="20"/>
                <w:szCs w:val="20"/>
                <w:lang w:eastAsia="sk-SK"/>
              </w:rPr>
              <w:t xml:space="preserve"> 20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4E5F9235"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12,03</w:t>
            </w:r>
          </w:p>
        </w:tc>
        <w:tc>
          <w:tcPr>
            <w:tcW w:w="146" w:type="dxa"/>
            <w:vAlign w:val="center"/>
            <w:hideMark/>
          </w:tcPr>
          <w:p w14:paraId="4378D3D2"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03C6AD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7418C94"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SOŠ technická, Vranovská 4</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8BAD1A0"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37 992,95</w:t>
            </w:r>
          </w:p>
        </w:tc>
        <w:tc>
          <w:tcPr>
            <w:tcW w:w="146" w:type="dxa"/>
            <w:vAlign w:val="center"/>
            <w:hideMark/>
          </w:tcPr>
          <w:p w14:paraId="5208A205"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F140D5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8DA94F7"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SOŠ vinársko-ovocinárska, Modra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49194A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12 507,28</w:t>
            </w:r>
          </w:p>
        </w:tc>
        <w:tc>
          <w:tcPr>
            <w:tcW w:w="146" w:type="dxa"/>
            <w:vAlign w:val="center"/>
            <w:hideMark/>
          </w:tcPr>
          <w:p w14:paraId="3001C5F5"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83B54F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F4F9093"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Spojená škola, Ivanka pri Dunaji</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A6A416D"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44 741,48</w:t>
            </w:r>
          </w:p>
        </w:tc>
        <w:tc>
          <w:tcPr>
            <w:tcW w:w="146" w:type="dxa"/>
            <w:vAlign w:val="center"/>
            <w:hideMark/>
          </w:tcPr>
          <w:p w14:paraId="195CCD43"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EEC58A9"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37364D9C"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Spojená škola, Malinovo - SOŠ</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94C2C05"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3,00</w:t>
            </w:r>
          </w:p>
        </w:tc>
        <w:tc>
          <w:tcPr>
            <w:tcW w:w="146" w:type="dxa"/>
            <w:vAlign w:val="center"/>
            <w:hideMark/>
          </w:tcPr>
          <w:p w14:paraId="3A418732"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11270BE"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C1240E2"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Spojená škola, </w:t>
            </w:r>
            <w:proofErr w:type="spellStart"/>
            <w:r w:rsidRPr="00AD20F3">
              <w:rPr>
                <w:rFonts w:cs="Calibri"/>
                <w:color w:val="000000"/>
                <w:sz w:val="20"/>
                <w:szCs w:val="20"/>
                <w:lang w:eastAsia="sk-SK"/>
              </w:rPr>
              <w:t>Ostredková</w:t>
            </w:r>
            <w:proofErr w:type="spellEnd"/>
            <w:r w:rsidRPr="00AD20F3">
              <w:rPr>
                <w:rFonts w:cs="Calibri"/>
                <w:color w:val="000000"/>
                <w:sz w:val="20"/>
                <w:szCs w:val="20"/>
                <w:lang w:eastAsia="sk-SK"/>
              </w:rPr>
              <w:t xml:space="preserve"> 10, BA - stredná športová škola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34FF0B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57 216,31</w:t>
            </w:r>
          </w:p>
        </w:tc>
        <w:tc>
          <w:tcPr>
            <w:tcW w:w="146" w:type="dxa"/>
            <w:vAlign w:val="center"/>
            <w:hideMark/>
          </w:tcPr>
          <w:p w14:paraId="5CD3B6A3"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29C78E9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B7C0794"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Spojená škola, Pankúchova 6, BA - gymnázium</w:t>
            </w:r>
          </w:p>
        </w:tc>
        <w:tc>
          <w:tcPr>
            <w:tcW w:w="1993" w:type="dxa"/>
            <w:tcBorders>
              <w:top w:val="nil"/>
              <w:left w:val="nil"/>
              <w:bottom w:val="single" w:sz="12" w:space="0" w:color="FFFFFF"/>
              <w:right w:val="single" w:sz="12" w:space="0" w:color="FFFFFF"/>
            </w:tcBorders>
            <w:shd w:val="clear" w:color="000000" w:fill="F2F2F2"/>
            <w:noWrap/>
            <w:vAlign w:val="center"/>
            <w:hideMark/>
          </w:tcPr>
          <w:p w14:paraId="603BC1C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233 116,81</w:t>
            </w:r>
          </w:p>
        </w:tc>
        <w:tc>
          <w:tcPr>
            <w:tcW w:w="146" w:type="dxa"/>
            <w:vAlign w:val="center"/>
            <w:hideMark/>
          </w:tcPr>
          <w:p w14:paraId="6F870494"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4C06D99"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67B4FA42"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Spojená škola, Pankúchova 6, BA - základná škola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24F1AEEA"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42 521,34</w:t>
            </w:r>
          </w:p>
        </w:tc>
        <w:tc>
          <w:tcPr>
            <w:tcW w:w="146" w:type="dxa"/>
            <w:vAlign w:val="center"/>
            <w:hideMark/>
          </w:tcPr>
          <w:p w14:paraId="66D000ED"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682237F"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53956D4"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SPŠ dopravná, </w:t>
            </w:r>
            <w:proofErr w:type="spellStart"/>
            <w:r w:rsidRPr="00AD20F3">
              <w:rPr>
                <w:rFonts w:cs="Calibri"/>
                <w:color w:val="000000"/>
                <w:sz w:val="20"/>
                <w:szCs w:val="20"/>
                <w:lang w:eastAsia="sk-SK"/>
              </w:rPr>
              <w:t>Kvačalova</w:t>
            </w:r>
            <w:proofErr w:type="spellEnd"/>
            <w:r w:rsidRPr="00AD20F3">
              <w:rPr>
                <w:rFonts w:cs="Calibri"/>
                <w:color w:val="000000"/>
                <w:sz w:val="20"/>
                <w:szCs w:val="20"/>
                <w:lang w:eastAsia="sk-SK"/>
              </w:rPr>
              <w:t xml:space="preserve"> 20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3C4F176"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9 272,03</w:t>
            </w:r>
          </w:p>
        </w:tc>
        <w:tc>
          <w:tcPr>
            <w:tcW w:w="146" w:type="dxa"/>
            <w:vAlign w:val="center"/>
            <w:hideMark/>
          </w:tcPr>
          <w:p w14:paraId="25700BD1"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75C79EC"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59989F6B"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SPŠ elektrotechnická, </w:t>
            </w:r>
            <w:proofErr w:type="spellStart"/>
            <w:r w:rsidRPr="00AD20F3">
              <w:rPr>
                <w:rFonts w:cs="Calibri"/>
                <w:color w:val="000000"/>
                <w:sz w:val="20"/>
                <w:szCs w:val="20"/>
                <w:lang w:eastAsia="sk-SK"/>
              </w:rPr>
              <w:t>Hálova</w:t>
            </w:r>
            <w:proofErr w:type="spellEnd"/>
            <w:r w:rsidRPr="00AD20F3">
              <w:rPr>
                <w:rFonts w:cs="Calibri"/>
                <w:color w:val="000000"/>
                <w:sz w:val="20"/>
                <w:szCs w:val="20"/>
                <w:lang w:eastAsia="sk-SK"/>
              </w:rPr>
              <w:t xml:space="preserve"> 16</w:t>
            </w:r>
          </w:p>
        </w:tc>
        <w:tc>
          <w:tcPr>
            <w:tcW w:w="1993" w:type="dxa"/>
            <w:tcBorders>
              <w:top w:val="nil"/>
              <w:left w:val="nil"/>
              <w:bottom w:val="single" w:sz="12" w:space="0" w:color="FFFFFF"/>
              <w:right w:val="single" w:sz="12" w:space="0" w:color="FFFFFF"/>
            </w:tcBorders>
            <w:shd w:val="clear" w:color="000000" w:fill="F2F2F2"/>
            <w:noWrap/>
            <w:vAlign w:val="center"/>
            <w:hideMark/>
          </w:tcPr>
          <w:p w14:paraId="4F28B55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16 171,23</w:t>
            </w:r>
          </w:p>
        </w:tc>
        <w:tc>
          <w:tcPr>
            <w:tcW w:w="146" w:type="dxa"/>
            <w:vAlign w:val="center"/>
            <w:hideMark/>
          </w:tcPr>
          <w:p w14:paraId="67C2CDC2"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8EDF74E"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1BE2288"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SPŠ elektrotechnická, K. Adlera 5</w:t>
            </w:r>
          </w:p>
        </w:tc>
        <w:tc>
          <w:tcPr>
            <w:tcW w:w="1993" w:type="dxa"/>
            <w:tcBorders>
              <w:top w:val="nil"/>
              <w:left w:val="nil"/>
              <w:bottom w:val="single" w:sz="12" w:space="0" w:color="FFFFFF"/>
              <w:right w:val="single" w:sz="12" w:space="0" w:color="FFFFFF"/>
            </w:tcBorders>
            <w:shd w:val="clear" w:color="000000" w:fill="F2F2F2"/>
            <w:noWrap/>
            <w:vAlign w:val="center"/>
            <w:hideMark/>
          </w:tcPr>
          <w:p w14:paraId="263FA668"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964,72</w:t>
            </w:r>
          </w:p>
        </w:tc>
        <w:tc>
          <w:tcPr>
            <w:tcW w:w="146" w:type="dxa"/>
            <w:vAlign w:val="center"/>
            <w:hideMark/>
          </w:tcPr>
          <w:p w14:paraId="72DFA5F1"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F2F4F2C"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C351C6A"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SPŠ elektrotechnická, Zochova 9</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C8FE760"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15 957,35</w:t>
            </w:r>
          </w:p>
        </w:tc>
        <w:tc>
          <w:tcPr>
            <w:tcW w:w="146" w:type="dxa"/>
            <w:vAlign w:val="center"/>
            <w:hideMark/>
          </w:tcPr>
          <w:p w14:paraId="07AC11B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231EB0D3"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04FD3AB5"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SPŠ stavebná a geodetická, </w:t>
            </w:r>
            <w:proofErr w:type="spellStart"/>
            <w:r w:rsidRPr="00AD20F3">
              <w:rPr>
                <w:rFonts w:cs="Calibri"/>
                <w:color w:val="000000"/>
                <w:sz w:val="20"/>
                <w:szCs w:val="20"/>
                <w:lang w:eastAsia="sk-SK"/>
              </w:rPr>
              <w:t>Drieňova</w:t>
            </w:r>
            <w:proofErr w:type="spellEnd"/>
            <w:r w:rsidRPr="00AD20F3">
              <w:rPr>
                <w:rFonts w:cs="Calibri"/>
                <w:color w:val="000000"/>
                <w:sz w:val="20"/>
                <w:szCs w:val="20"/>
                <w:lang w:eastAsia="sk-SK"/>
              </w:rPr>
              <w:t xml:space="preserve"> 35</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1C1DEA4"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26 842,73</w:t>
            </w:r>
          </w:p>
        </w:tc>
        <w:tc>
          <w:tcPr>
            <w:tcW w:w="146" w:type="dxa"/>
            <w:vAlign w:val="center"/>
            <w:hideMark/>
          </w:tcPr>
          <w:p w14:paraId="0586E57D"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06F0EAE"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6B7252E6"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SPŠ strojnícka, </w:t>
            </w:r>
            <w:proofErr w:type="spellStart"/>
            <w:r w:rsidRPr="00AD20F3">
              <w:rPr>
                <w:rFonts w:cs="Calibri"/>
                <w:color w:val="000000"/>
                <w:sz w:val="20"/>
                <w:szCs w:val="20"/>
                <w:lang w:eastAsia="sk-SK"/>
              </w:rPr>
              <w:t>Fajnorovo</w:t>
            </w:r>
            <w:proofErr w:type="spellEnd"/>
            <w:r w:rsidRPr="00AD20F3">
              <w:rPr>
                <w:rFonts w:cs="Calibri"/>
                <w:color w:val="000000"/>
                <w:sz w:val="20"/>
                <w:szCs w:val="20"/>
                <w:lang w:eastAsia="sk-SK"/>
              </w:rPr>
              <w:t xml:space="preserve"> nábrežie 5</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BE344B8"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28 709,64</w:t>
            </w:r>
          </w:p>
        </w:tc>
        <w:tc>
          <w:tcPr>
            <w:tcW w:w="146" w:type="dxa"/>
            <w:vAlign w:val="center"/>
            <w:hideMark/>
          </w:tcPr>
          <w:p w14:paraId="78D00C26"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6891EA7"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F93133D"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Stredná zdravotnícka škola, </w:t>
            </w:r>
            <w:proofErr w:type="spellStart"/>
            <w:r w:rsidRPr="00AD20F3">
              <w:rPr>
                <w:rFonts w:cs="Calibri"/>
                <w:color w:val="000000"/>
                <w:sz w:val="20"/>
                <w:szCs w:val="20"/>
                <w:lang w:eastAsia="sk-SK"/>
              </w:rPr>
              <w:t>Strečnianska</w:t>
            </w:r>
            <w:proofErr w:type="spellEnd"/>
            <w:r w:rsidRPr="00AD20F3">
              <w:rPr>
                <w:rFonts w:cs="Calibri"/>
                <w:color w:val="000000"/>
                <w:sz w:val="20"/>
                <w:szCs w:val="20"/>
                <w:lang w:eastAsia="sk-SK"/>
              </w:rPr>
              <w:t xml:space="preserve"> 20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6855BF75"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35 635,83</w:t>
            </w:r>
          </w:p>
        </w:tc>
        <w:tc>
          <w:tcPr>
            <w:tcW w:w="146" w:type="dxa"/>
            <w:vAlign w:val="center"/>
            <w:hideMark/>
          </w:tcPr>
          <w:p w14:paraId="3C9EE377"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FAA57DD"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569BF04"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Stredná zdravotnícka škola, Záhradnícka 44</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4D1C7D6"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375 519,58</w:t>
            </w:r>
          </w:p>
        </w:tc>
        <w:tc>
          <w:tcPr>
            <w:tcW w:w="146" w:type="dxa"/>
            <w:vAlign w:val="center"/>
            <w:hideMark/>
          </w:tcPr>
          <w:p w14:paraId="7EEC05E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0C007D5"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04F98BEF"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Škola umeleckého priemyslu Jozefa Vydru, Dúbravská cesta 11, BA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47A10B6"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5 003,16</w:t>
            </w:r>
          </w:p>
        </w:tc>
        <w:tc>
          <w:tcPr>
            <w:tcW w:w="146" w:type="dxa"/>
            <w:vAlign w:val="center"/>
            <w:hideMark/>
          </w:tcPr>
          <w:p w14:paraId="09DFFB8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7901DC8"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1F96846"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Tanečné konzervatórium E. </w:t>
            </w:r>
            <w:proofErr w:type="spellStart"/>
            <w:r w:rsidRPr="00AD20F3">
              <w:rPr>
                <w:rFonts w:cs="Calibri"/>
                <w:color w:val="000000"/>
                <w:sz w:val="20"/>
                <w:szCs w:val="20"/>
                <w:lang w:eastAsia="sk-SK"/>
              </w:rPr>
              <w:t>Jaczovej</w:t>
            </w:r>
            <w:proofErr w:type="spellEnd"/>
            <w:r w:rsidRPr="00AD20F3">
              <w:rPr>
                <w:rFonts w:cs="Calibri"/>
                <w:color w:val="000000"/>
                <w:sz w:val="20"/>
                <w:szCs w:val="20"/>
                <w:lang w:eastAsia="sk-SK"/>
              </w:rPr>
              <w:t>, Gorazdova 20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2821FC8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137 892,41</w:t>
            </w:r>
          </w:p>
        </w:tc>
        <w:tc>
          <w:tcPr>
            <w:tcW w:w="146" w:type="dxa"/>
            <w:vAlign w:val="center"/>
            <w:hideMark/>
          </w:tcPr>
          <w:p w14:paraId="3AE0A7BF"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5CCDE5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ED361DD"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Základná škola pre mimoriadne nadané deti, Teplická 7</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E5E3DD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1 890,58</w:t>
            </w:r>
          </w:p>
        </w:tc>
        <w:tc>
          <w:tcPr>
            <w:tcW w:w="146" w:type="dxa"/>
            <w:vAlign w:val="center"/>
            <w:hideMark/>
          </w:tcPr>
          <w:p w14:paraId="20764F4C"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D374A4A" w14:textId="77777777" w:rsidTr="00737516">
        <w:trPr>
          <w:trHeight w:val="533"/>
        </w:trPr>
        <w:tc>
          <w:tcPr>
            <w:tcW w:w="8600" w:type="dxa"/>
            <w:tcBorders>
              <w:top w:val="nil"/>
              <w:left w:val="single" w:sz="12" w:space="0" w:color="FFFFFF"/>
              <w:bottom w:val="single" w:sz="12" w:space="0" w:color="FFFFFF"/>
              <w:right w:val="single" w:sz="12" w:space="0" w:color="FFFFFF"/>
            </w:tcBorders>
            <w:shd w:val="clear" w:color="000000" w:fill="F2F2F2"/>
            <w:vAlign w:val="center"/>
            <w:hideMark/>
          </w:tcPr>
          <w:p w14:paraId="4F799CBF"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Úrad BSK - nevyčerpaná účelová dotácia z MŠ SR r. 2020- </w:t>
            </w:r>
            <w:proofErr w:type="spellStart"/>
            <w:r w:rsidRPr="00AD20F3">
              <w:rPr>
                <w:rFonts w:cs="Calibri"/>
                <w:color w:val="000000"/>
                <w:sz w:val="20"/>
                <w:szCs w:val="20"/>
                <w:lang w:eastAsia="sk-SK"/>
              </w:rPr>
              <w:t>vratka</w:t>
            </w:r>
            <w:proofErr w:type="spellEnd"/>
            <w:r w:rsidRPr="00AD20F3">
              <w:rPr>
                <w:rFonts w:cs="Calibri"/>
                <w:color w:val="000000"/>
                <w:sz w:val="20"/>
                <w:szCs w:val="20"/>
                <w:lang w:eastAsia="sk-SK"/>
              </w:rPr>
              <w:t xml:space="preserve"> do ŠR (normatív pre školy na príspevok na rekreáciu)</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77F24A1"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20 469,92</w:t>
            </w:r>
          </w:p>
        </w:tc>
        <w:tc>
          <w:tcPr>
            <w:tcW w:w="146" w:type="dxa"/>
            <w:vAlign w:val="center"/>
            <w:hideMark/>
          </w:tcPr>
          <w:p w14:paraId="33ACF4C7"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BF8C9AC"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D29C41D"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Úrad BSK - nevyčerpaná účelová dotácia z ÚPSVaR z r. 2020 - </w:t>
            </w:r>
            <w:proofErr w:type="spellStart"/>
            <w:r w:rsidRPr="00AD20F3">
              <w:rPr>
                <w:rFonts w:cs="Calibri"/>
                <w:color w:val="000000"/>
                <w:sz w:val="20"/>
                <w:szCs w:val="20"/>
                <w:lang w:eastAsia="sk-SK"/>
              </w:rPr>
              <w:t>vratka</w:t>
            </w:r>
            <w:proofErr w:type="spellEnd"/>
            <w:r w:rsidRPr="00AD20F3">
              <w:rPr>
                <w:rFonts w:cs="Calibri"/>
                <w:color w:val="000000"/>
                <w:sz w:val="20"/>
                <w:szCs w:val="20"/>
                <w:lang w:eastAsia="sk-SK"/>
              </w:rPr>
              <w:t xml:space="preserve"> do ŠR (obedy zadarmo)</w:t>
            </w:r>
          </w:p>
        </w:tc>
        <w:tc>
          <w:tcPr>
            <w:tcW w:w="1993" w:type="dxa"/>
            <w:tcBorders>
              <w:top w:val="nil"/>
              <w:left w:val="nil"/>
              <w:bottom w:val="single" w:sz="12" w:space="0" w:color="FFFFFF"/>
              <w:right w:val="single" w:sz="12" w:space="0" w:color="FFFFFF"/>
            </w:tcBorders>
            <w:shd w:val="clear" w:color="000000" w:fill="F2F2F2"/>
            <w:noWrap/>
            <w:vAlign w:val="center"/>
            <w:hideMark/>
          </w:tcPr>
          <w:p w14:paraId="66554E18"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52 623,02</w:t>
            </w:r>
          </w:p>
        </w:tc>
        <w:tc>
          <w:tcPr>
            <w:tcW w:w="146" w:type="dxa"/>
            <w:vAlign w:val="center"/>
            <w:hideMark/>
          </w:tcPr>
          <w:p w14:paraId="71A1EC72"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8878FAB"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25DB9DB"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Úrad BSK- nevyčerpaná dotácia z MPSVaR SR - sociálne zabezpečenie </w:t>
            </w:r>
          </w:p>
        </w:tc>
        <w:tc>
          <w:tcPr>
            <w:tcW w:w="1993" w:type="dxa"/>
            <w:tcBorders>
              <w:top w:val="nil"/>
              <w:left w:val="nil"/>
              <w:bottom w:val="single" w:sz="12" w:space="0" w:color="FFFFFF"/>
              <w:right w:val="single" w:sz="12" w:space="0" w:color="FFFFFF"/>
            </w:tcBorders>
            <w:shd w:val="clear" w:color="000000" w:fill="F2F2F2"/>
            <w:noWrap/>
            <w:vAlign w:val="center"/>
            <w:hideMark/>
          </w:tcPr>
          <w:p w14:paraId="20AFCF77"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386,00</w:t>
            </w:r>
          </w:p>
        </w:tc>
        <w:tc>
          <w:tcPr>
            <w:tcW w:w="146" w:type="dxa"/>
            <w:vAlign w:val="center"/>
            <w:hideMark/>
          </w:tcPr>
          <w:p w14:paraId="13B6D7F5"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7FF2F4C"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C6D9F1"/>
            <w:noWrap/>
            <w:vAlign w:val="center"/>
            <w:hideMark/>
          </w:tcPr>
          <w:p w14:paraId="339F7FC5" w14:textId="77777777" w:rsidR="00AD20F3" w:rsidRPr="00AD20F3" w:rsidRDefault="00AD20F3" w:rsidP="00AD20F3">
            <w:pPr>
              <w:spacing w:after="0" w:line="240" w:lineRule="auto"/>
              <w:rPr>
                <w:rFonts w:cs="Calibri"/>
                <w:b/>
                <w:bCs/>
                <w:color w:val="000000"/>
                <w:sz w:val="20"/>
                <w:szCs w:val="20"/>
                <w:lang w:eastAsia="sk-SK"/>
              </w:rPr>
            </w:pPr>
            <w:r w:rsidRPr="00AD20F3">
              <w:rPr>
                <w:rFonts w:cs="Calibri"/>
                <w:b/>
                <w:bCs/>
                <w:color w:val="000000"/>
                <w:sz w:val="20"/>
                <w:szCs w:val="20"/>
                <w:lang w:eastAsia="sk-SK"/>
              </w:rPr>
              <w:t xml:space="preserve">Kapitálové výdavky </w:t>
            </w:r>
          </w:p>
        </w:tc>
        <w:tc>
          <w:tcPr>
            <w:tcW w:w="1993" w:type="dxa"/>
            <w:tcBorders>
              <w:top w:val="nil"/>
              <w:left w:val="nil"/>
              <w:bottom w:val="single" w:sz="12" w:space="0" w:color="FFFFFF"/>
              <w:right w:val="single" w:sz="12" w:space="0" w:color="FFFFFF"/>
            </w:tcBorders>
            <w:shd w:val="clear" w:color="000000" w:fill="C6D9F1"/>
            <w:noWrap/>
            <w:vAlign w:val="center"/>
            <w:hideMark/>
          </w:tcPr>
          <w:p w14:paraId="08F56A95" w14:textId="77777777" w:rsidR="00AD20F3" w:rsidRPr="00AD20F3" w:rsidRDefault="00AD20F3" w:rsidP="00AD20F3">
            <w:pPr>
              <w:spacing w:after="0" w:line="240" w:lineRule="auto"/>
              <w:jc w:val="right"/>
              <w:rPr>
                <w:rFonts w:cs="Calibri"/>
                <w:b/>
                <w:bCs/>
                <w:color w:val="000000"/>
                <w:sz w:val="20"/>
                <w:szCs w:val="20"/>
                <w:lang w:eastAsia="sk-SK"/>
              </w:rPr>
            </w:pPr>
            <w:r w:rsidRPr="00AD20F3">
              <w:rPr>
                <w:rFonts w:cs="Calibri"/>
                <w:b/>
                <w:bCs/>
                <w:color w:val="000000"/>
                <w:sz w:val="20"/>
                <w:szCs w:val="20"/>
                <w:lang w:eastAsia="sk-SK"/>
              </w:rPr>
              <w:t>52 677,00</w:t>
            </w:r>
          </w:p>
        </w:tc>
        <w:tc>
          <w:tcPr>
            <w:tcW w:w="146" w:type="dxa"/>
            <w:vAlign w:val="center"/>
            <w:hideMark/>
          </w:tcPr>
          <w:p w14:paraId="4A068A94"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E8F671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3C66728"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DSS pre deti a dospelých Javorinská </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D70166A"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10 800,00</w:t>
            </w:r>
          </w:p>
        </w:tc>
        <w:tc>
          <w:tcPr>
            <w:tcW w:w="146" w:type="dxa"/>
            <w:vAlign w:val="center"/>
            <w:hideMark/>
          </w:tcPr>
          <w:p w14:paraId="1018B2C8"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E424FCC"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E71CACB"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ŠJ pri Gymnáziu A. Einsteina, Einsteinova 35</w:t>
            </w:r>
          </w:p>
        </w:tc>
        <w:tc>
          <w:tcPr>
            <w:tcW w:w="1993" w:type="dxa"/>
            <w:tcBorders>
              <w:top w:val="nil"/>
              <w:left w:val="nil"/>
              <w:bottom w:val="single" w:sz="12" w:space="0" w:color="FFFFFF"/>
              <w:right w:val="single" w:sz="12" w:space="0" w:color="FFFFFF"/>
            </w:tcBorders>
            <w:shd w:val="clear" w:color="000000" w:fill="F2F2F2"/>
            <w:noWrap/>
            <w:vAlign w:val="center"/>
            <w:hideMark/>
          </w:tcPr>
          <w:p w14:paraId="6E7DC2DB"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2 820,00</w:t>
            </w:r>
          </w:p>
        </w:tc>
        <w:tc>
          <w:tcPr>
            <w:tcW w:w="146" w:type="dxa"/>
            <w:vAlign w:val="center"/>
            <w:hideMark/>
          </w:tcPr>
          <w:p w14:paraId="69A9482A"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7BB7842"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0FC0518"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ŠJ pri Gymnáziu, Hubeného 23</w:t>
            </w:r>
          </w:p>
        </w:tc>
        <w:tc>
          <w:tcPr>
            <w:tcW w:w="1993" w:type="dxa"/>
            <w:tcBorders>
              <w:top w:val="nil"/>
              <w:left w:val="nil"/>
              <w:bottom w:val="single" w:sz="12" w:space="0" w:color="FFFFFF"/>
              <w:right w:val="single" w:sz="12" w:space="0" w:color="FFFFFF"/>
            </w:tcBorders>
            <w:shd w:val="clear" w:color="000000" w:fill="F2F2F2"/>
            <w:noWrap/>
            <w:vAlign w:val="center"/>
            <w:hideMark/>
          </w:tcPr>
          <w:p w14:paraId="0F5C6E92"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5 000,00</w:t>
            </w:r>
          </w:p>
        </w:tc>
        <w:tc>
          <w:tcPr>
            <w:tcW w:w="146" w:type="dxa"/>
            <w:vAlign w:val="center"/>
            <w:hideMark/>
          </w:tcPr>
          <w:p w14:paraId="680A8C76"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F3B3689"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6E0183AB"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ŠJ pri Spojenej škole, Ivanka pri Dunaji</w:t>
            </w:r>
          </w:p>
        </w:tc>
        <w:tc>
          <w:tcPr>
            <w:tcW w:w="1993" w:type="dxa"/>
            <w:tcBorders>
              <w:top w:val="nil"/>
              <w:left w:val="nil"/>
              <w:bottom w:val="single" w:sz="12" w:space="0" w:color="FFFFFF"/>
              <w:right w:val="single" w:sz="12" w:space="0" w:color="FFFFFF"/>
            </w:tcBorders>
            <w:shd w:val="clear" w:color="000000" w:fill="F2F2F2"/>
            <w:noWrap/>
            <w:vAlign w:val="center"/>
            <w:hideMark/>
          </w:tcPr>
          <w:p w14:paraId="4B253586"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4 848,00</w:t>
            </w:r>
          </w:p>
        </w:tc>
        <w:tc>
          <w:tcPr>
            <w:tcW w:w="146" w:type="dxa"/>
            <w:vAlign w:val="center"/>
            <w:hideMark/>
          </w:tcPr>
          <w:p w14:paraId="6D834000"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69A7EB2"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7DA80D64"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ŠJ pri Spojenej škole, Malinovo</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316BD8D"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5 000,00</w:t>
            </w:r>
          </w:p>
        </w:tc>
        <w:tc>
          <w:tcPr>
            <w:tcW w:w="146" w:type="dxa"/>
            <w:vAlign w:val="center"/>
            <w:hideMark/>
          </w:tcPr>
          <w:p w14:paraId="0A728665"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EAA18F1"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FFB60BC"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lastRenderedPageBreak/>
              <w:t xml:space="preserve">ŠJ pri Spojenej škole, </w:t>
            </w:r>
            <w:proofErr w:type="spellStart"/>
            <w:r w:rsidRPr="00AD20F3">
              <w:rPr>
                <w:rFonts w:cs="Calibri"/>
                <w:color w:val="000000"/>
                <w:sz w:val="20"/>
                <w:szCs w:val="20"/>
                <w:lang w:eastAsia="sk-SK"/>
              </w:rPr>
              <w:t>Ostredkova</w:t>
            </w:r>
            <w:proofErr w:type="spellEnd"/>
            <w:r w:rsidRPr="00AD20F3">
              <w:rPr>
                <w:rFonts w:cs="Calibri"/>
                <w:color w:val="000000"/>
                <w:sz w:val="20"/>
                <w:szCs w:val="20"/>
                <w:lang w:eastAsia="sk-SK"/>
              </w:rPr>
              <w:t xml:space="preserve"> 10, BA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9BADF9D"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4 122,00</w:t>
            </w:r>
          </w:p>
        </w:tc>
        <w:tc>
          <w:tcPr>
            <w:tcW w:w="146" w:type="dxa"/>
            <w:vAlign w:val="center"/>
            <w:hideMark/>
          </w:tcPr>
          <w:p w14:paraId="112189A4"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0D55B8B"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6E8BB083"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ŠJ pri Spojenej škole, Pankúchova 6, BA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FFF7F0E"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4 065,00</w:t>
            </w:r>
          </w:p>
        </w:tc>
        <w:tc>
          <w:tcPr>
            <w:tcW w:w="146" w:type="dxa"/>
            <w:vAlign w:val="center"/>
            <w:hideMark/>
          </w:tcPr>
          <w:p w14:paraId="07BA4AD4"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177A8BA"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6425A3A2"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ŠJ pri ŠMND a Gymnáziu, Teplická 7</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3036A47"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3 000,00</w:t>
            </w:r>
          </w:p>
        </w:tc>
        <w:tc>
          <w:tcPr>
            <w:tcW w:w="146" w:type="dxa"/>
            <w:vAlign w:val="center"/>
            <w:hideMark/>
          </w:tcPr>
          <w:p w14:paraId="0510D2E7"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5758ED7"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690EC59"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ŠJ pri Tanečnom konzervatóriu, Gorazdova 20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0C7C0B6"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5 000,00</w:t>
            </w:r>
          </w:p>
        </w:tc>
        <w:tc>
          <w:tcPr>
            <w:tcW w:w="146" w:type="dxa"/>
            <w:vAlign w:val="center"/>
            <w:hideMark/>
          </w:tcPr>
          <w:p w14:paraId="1A38F0AB"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67157EF5"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59F582DB"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ŠJ SOŠ podnikania a služieb, </w:t>
            </w:r>
            <w:proofErr w:type="spellStart"/>
            <w:r w:rsidRPr="00AD20F3">
              <w:rPr>
                <w:rFonts w:cs="Calibri"/>
                <w:color w:val="000000"/>
                <w:sz w:val="20"/>
                <w:szCs w:val="20"/>
                <w:lang w:eastAsia="sk-SK"/>
              </w:rPr>
              <w:t>Myslenická</w:t>
            </w:r>
            <w:proofErr w:type="spellEnd"/>
            <w:r w:rsidRPr="00AD20F3">
              <w:rPr>
                <w:rFonts w:cs="Calibri"/>
                <w:color w:val="000000"/>
                <w:sz w:val="20"/>
                <w:szCs w:val="20"/>
                <w:lang w:eastAsia="sk-SK"/>
              </w:rPr>
              <w:t xml:space="preserve"> 1, Pezinok</w:t>
            </w:r>
          </w:p>
        </w:tc>
        <w:tc>
          <w:tcPr>
            <w:tcW w:w="1993" w:type="dxa"/>
            <w:tcBorders>
              <w:top w:val="nil"/>
              <w:left w:val="nil"/>
              <w:bottom w:val="single" w:sz="12" w:space="0" w:color="FFFFFF"/>
              <w:right w:val="single" w:sz="12" w:space="0" w:color="FFFFFF"/>
            </w:tcBorders>
            <w:shd w:val="clear" w:color="000000" w:fill="F2F2F2"/>
            <w:noWrap/>
            <w:vAlign w:val="center"/>
            <w:hideMark/>
          </w:tcPr>
          <w:p w14:paraId="3AA9E09A"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4 022,00</w:t>
            </w:r>
          </w:p>
        </w:tc>
        <w:tc>
          <w:tcPr>
            <w:tcW w:w="146" w:type="dxa"/>
            <w:vAlign w:val="center"/>
            <w:hideMark/>
          </w:tcPr>
          <w:p w14:paraId="221A5401"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219B4553" w14:textId="77777777" w:rsidTr="00737516">
        <w:trPr>
          <w:trHeight w:val="311"/>
        </w:trPr>
        <w:tc>
          <w:tcPr>
            <w:tcW w:w="8600" w:type="dxa"/>
            <w:tcBorders>
              <w:top w:val="nil"/>
              <w:left w:val="single" w:sz="12" w:space="0" w:color="FFFFFF"/>
              <w:bottom w:val="nil"/>
              <w:right w:val="nil"/>
            </w:tcBorders>
            <w:shd w:val="clear" w:color="000000" w:fill="F2F2F2"/>
            <w:noWrap/>
            <w:vAlign w:val="center"/>
            <w:hideMark/>
          </w:tcPr>
          <w:p w14:paraId="3EB4599E"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Úrad BSK - nevyčerpaná dotácia z MŠ SR r. 2020 (vybavenie ŠJ HA </w:t>
            </w:r>
            <w:proofErr w:type="spellStart"/>
            <w:r w:rsidRPr="00AD20F3">
              <w:rPr>
                <w:rFonts w:cs="Calibri"/>
                <w:color w:val="000000"/>
                <w:sz w:val="20"/>
                <w:szCs w:val="20"/>
                <w:lang w:eastAsia="sk-SK"/>
              </w:rPr>
              <w:t>Mikovíniho</w:t>
            </w:r>
            <w:proofErr w:type="spellEnd"/>
            <w:r w:rsidRPr="00AD20F3">
              <w:rPr>
                <w:rFonts w:cs="Calibri"/>
                <w:color w:val="000000"/>
                <w:sz w:val="20"/>
                <w:szCs w:val="20"/>
                <w:lang w:eastAsia="sk-SK"/>
              </w:rPr>
              <w:t>)</w:t>
            </w:r>
          </w:p>
        </w:tc>
        <w:tc>
          <w:tcPr>
            <w:tcW w:w="1993" w:type="dxa"/>
            <w:tcBorders>
              <w:top w:val="nil"/>
              <w:left w:val="nil"/>
              <w:bottom w:val="nil"/>
              <w:right w:val="single" w:sz="12" w:space="0" w:color="FFFFFF"/>
            </w:tcBorders>
            <w:shd w:val="clear" w:color="000000" w:fill="F2F2F2"/>
            <w:noWrap/>
            <w:vAlign w:val="center"/>
            <w:hideMark/>
          </w:tcPr>
          <w:p w14:paraId="27DEC95B"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4 000,00</w:t>
            </w:r>
          </w:p>
        </w:tc>
        <w:tc>
          <w:tcPr>
            <w:tcW w:w="146" w:type="dxa"/>
            <w:vAlign w:val="center"/>
            <w:hideMark/>
          </w:tcPr>
          <w:p w14:paraId="28DF826D"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2CBF349" w14:textId="77777777" w:rsidTr="00737516">
        <w:trPr>
          <w:trHeight w:val="296"/>
        </w:trPr>
        <w:tc>
          <w:tcPr>
            <w:tcW w:w="8600" w:type="dxa"/>
            <w:tcBorders>
              <w:top w:val="nil"/>
              <w:left w:val="single" w:sz="12" w:space="0" w:color="FFFFFF"/>
              <w:bottom w:val="nil"/>
              <w:right w:val="nil"/>
            </w:tcBorders>
            <w:shd w:val="clear" w:color="000000" w:fill="808080"/>
            <w:noWrap/>
            <w:vAlign w:val="center"/>
            <w:hideMark/>
          </w:tcPr>
          <w:p w14:paraId="5CBF3DB1" w14:textId="77777777" w:rsidR="00AD20F3" w:rsidRPr="00AD20F3" w:rsidRDefault="00AD20F3" w:rsidP="00AD20F3">
            <w:pPr>
              <w:spacing w:after="0" w:line="240" w:lineRule="auto"/>
              <w:jc w:val="center"/>
              <w:rPr>
                <w:rFonts w:cs="Calibri"/>
                <w:b/>
                <w:bCs/>
                <w:color w:val="FFFFFF"/>
                <w:sz w:val="20"/>
                <w:szCs w:val="20"/>
                <w:lang w:eastAsia="sk-SK"/>
              </w:rPr>
            </w:pPr>
            <w:r w:rsidRPr="00AD20F3">
              <w:rPr>
                <w:rFonts w:cs="Calibri"/>
                <w:b/>
                <w:bCs/>
                <w:color w:val="FFFFFF"/>
                <w:sz w:val="20"/>
                <w:szCs w:val="20"/>
                <w:lang w:eastAsia="sk-SK"/>
              </w:rPr>
              <w:t>Nevyčerpané účelové prostriedky z EU (projekty)</w:t>
            </w:r>
          </w:p>
        </w:tc>
        <w:tc>
          <w:tcPr>
            <w:tcW w:w="1993" w:type="dxa"/>
            <w:tcBorders>
              <w:top w:val="nil"/>
              <w:left w:val="nil"/>
              <w:bottom w:val="nil"/>
              <w:right w:val="single" w:sz="12" w:space="0" w:color="FFFFFF"/>
            </w:tcBorders>
            <w:shd w:val="clear" w:color="000000" w:fill="808080"/>
            <w:noWrap/>
            <w:vAlign w:val="center"/>
            <w:hideMark/>
          </w:tcPr>
          <w:p w14:paraId="2FAEA683" w14:textId="77777777" w:rsidR="00AD20F3" w:rsidRPr="00AD20F3" w:rsidRDefault="00AD20F3" w:rsidP="00AD20F3">
            <w:pPr>
              <w:spacing w:after="0" w:line="240" w:lineRule="auto"/>
              <w:jc w:val="right"/>
              <w:rPr>
                <w:rFonts w:cs="Calibri"/>
                <w:b/>
                <w:bCs/>
                <w:color w:val="FFFFFF"/>
                <w:sz w:val="20"/>
                <w:szCs w:val="20"/>
                <w:lang w:eastAsia="sk-SK"/>
              </w:rPr>
            </w:pPr>
            <w:r w:rsidRPr="00AD20F3">
              <w:rPr>
                <w:rFonts w:cs="Calibri"/>
                <w:b/>
                <w:bCs/>
                <w:color w:val="FFFFFF"/>
                <w:sz w:val="20"/>
                <w:szCs w:val="20"/>
                <w:lang w:eastAsia="sk-SK"/>
              </w:rPr>
              <w:t>288 629,45</w:t>
            </w:r>
          </w:p>
        </w:tc>
        <w:tc>
          <w:tcPr>
            <w:tcW w:w="146" w:type="dxa"/>
            <w:vAlign w:val="center"/>
            <w:hideMark/>
          </w:tcPr>
          <w:p w14:paraId="5A36C90E"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0E38619C" w14:textId="77777777" w:rsidTr="00737516">
        <w:trPr>
          <w:trHeight w:val="311"/>
        </w:trPr>
        <w:tc>
          <w:tcPr>
            <w:tcW w:w="8600" w:type="dxa"/>
            <w:tcBorders>
              <w:top w:val="nil"/>
              <w:left w:val="single" w:sz="12" w:space="0" w:color="FFFFFF"/>
              <w:bottom w:val="single" w:sz="12" w:space="0" w:color="FFFFFF"/>
              <w:right w:val="single" w:sz="12" w:space="0" w:color="FFFFFF"/>
            </w:tcBorders>
            <w:shd w:val="clear" w:color="000000" w:fill="C6D9F1"/>
            <w:noWrap/>
            <w:vAlign w:val="center"/>
            <w:hideMark/>
          </w:tcPr>
          <w:p w14:paraId="6540D8C9" w14:textId="77777777" w:rsidR="00AD20F3" w:rsidRPr="00AD20F3" w:rsidRDefault="00AD20F3" w:rsidP="00AD20F3">
            <w:pPr>
              <w:spacing w:after="0" w:line="240" w:lineRule="auto"/>
              <w:rPr>
                <w:rFonts w:cs="Calibri"/>
                <w:b/>
                <w:bCs/>
                <w:color w:val="000000"/>
                <w:sz w:val="20"/>
                <w:szCs w:val="20"/>
                <w:lang w:eastAsia="sk-SK"/>
              </w:rPr>
            </w:pPr>
            <w:r w:rsidRPr="00AD20F3">
              <w:rPr>
                <w:rFonts w:cs="Calibri"/>
                <w:b/>
                <w:bCs/>
                <w:color w:val="000000"/>
                <w:sz w:val="20"/>
                <w:szCs w:val="20"/>
                <w:lang w:eastAsia="sk-SK"/>
              </w:rPr>
              <w:t>Bežné výdavky</w:t>
            </w:r>
          </w:p>
        </w:tc>
        <w:tc>
          <w:tcPr>
            <w:tcW w:w="1993" w:type="dxa"/>
            <w:tcBorders>
              <w:top w:val="nil"/>
              <w:left w:val="nil"/>
              <w:bottom w:val="single" w:sz="12" w:space="0" w:color="FFFFFF"/>
              <w:right w:val="single" w:sz="12" w:space="0" w:color="FFFFFF"/>
            </w:tcBorders>
            <w:shd w:val="clear" w:color="000000" w:fill="C6D9F1"/>
            <w:noWrap/>
            <w:vAlign w:val="center"/>
            <w:hideMark/>
          </w:tcPr>
          <w:p w14:paraId="03C989BE" w14:textId="77777777" w:rsidR="00AD20F3" w:rsidRPr="00AD20F3" w:rsidRDefault="00AD20F3" w:rsidP="00AD20F3">
            <w:pPr>
              <w:spacing w:after="0" w:line="240" w:lineRule="auto"/>
              <w:jc w:val="right"/>
              <w:rPr>
                <w:rFonts w:cs="Calibri"/>
                <w:b/>
                <w:bCs/>
                <w:color w:val="000000"/>
                <w:sz w:val="20"/>
                <w:szCs w:val="20"/>
                <w:lang w:eastAsia="sk-SK"/>
              </w:rPr>
            </w:pPr>
            <w:r w:rsidRPr="00AD20F3">
              <w:rPr>
                <w:rFonts w:cs="Calibri"/>
                <w:b/>
                <w:bCs/>
                <w:color w:val="000000"/>
                <w:sz w:val="20"/>
                <w:szCs w:val="20"/>
                <w:lang w:eastAsia="sk-SK"/>
              </w:rPr>
              <w:t>288 629,45</w:t>
            </w:r>
          </w:p>
        </w:tc>
        <w:tc>
          <w:tcPr>
            <w:tcW w:w="146" w:type="dxa"/>
            <w:vAlign w:val="center"/>
            <w:hideMark/>
          </w:tcPr>
          <w:p w14:paraId="65B5E5A9"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A093D5D"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24054FA7"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Projekt </w:t>
            </w:r>
            <w:proofErr w:type="spellStart"/>
            <w:r w:rsidRPr="00AD20F3">
              <w:rPr>
                <w:rFonts w:cs="Calibri"/>
                <w:color w:val="000000"/>
                <w:sz w:val="20"/>
                <w:szCs w:val="20"/>
                <w:lang w:eastAsia="sk-SK"/>
              </w:rPr>
              <w:t>Smartregion</w:t>
            </w:r>
            <w:proofErr w:type="spellEnd"/>
            <w:r w:rsidRPr="00AD20F3">
              <w:rPr>
                <w:rFonts w:cs="Calibri"/>
                <w:color w:val="000000"/>
                <w:sz w:val="20"/>
                <w:szCs w:val="20"/>
                <w:lang w:eastAsia="sk-SK"/>
              </w:rPr>
              <w:t xml:space="preserve"> - </w:t>
            </w:r>
            <w:proofErr w:type="spellStart"/>
            <w:r w:rsidRPr="00AD20F3">
              <w:rPr>
                <w:rFonts w:cs="Calibri"/>
                <w:color w:val="000000"/>
                <w:sz w:val="20"/>
                <w:szCs w:val="20"/>
                <w:lang w:eastAsia="sk-SK"/>
              </w:rPr>
              <w:t>predfinancovanie</w:t>
            </w:r>
            <w:proofErr w:type="spellEnd"/>
            <w:r w:rsidRPr="00AD20F3">
              <w:rPr>
                <w:rFonts w:cs="Calibri"/>
                <w:color w:val="000000"/>
                <w:sz w:val="20"/>
                <w:szCs w:val="20"/>
                <w:lang w:eastAsia="sk-SK"/>
              </w:rPr>
              <w:t xml:space="preserve"> z r. 2020</w:t>
            </w:r>
          </w:p>
        </w:tc>
        <w:tc>
          <w:tcPr>
            <w:tcW w:w="1993" w:type="dxa"/>
            <w:tcBorders>
              <w:top w:val="nil"/>
              <w:left w:val="nil"/>
              <w:bottom w:val="single" w:sz="12" w:space="0" w:color="FFFFFF"/>
              <w:right w:val="single" w:sz="12" w:space="0" w:color="FFFFFF"/>
            </w:tcBorders>
            <w:shd w:val="clear" w:color="000000" w:fill="F2F2F2"/>
            <w:noWrap/>
            <w:vAlign w:val="center"/>
            <w:hideMark/>
          </w:tcPr>
          <w:p w14:paraId="7ACD730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288 629,45</w:t>
            </w:r>
          </w:p>
        </w:tc>
        <w:tc>
          <w:tcPr>
            <w:tcW w:w="146" w:type="dxa"/>
            <w:vAlign w:val="center"/>
            <w:hideMark/>
          </w:tcPr>
          <w:p w14:paraId="36C40BE6"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4D4C44D" w14:textId="77777777" w:rsidTr="00737516">
        <w:trPr>
          <w:trHeight w:val="311"/>
        </w:trPr>
        <w:tc>
          <w:tcPr>
            <w:tcW w:w="8600" w:type="dxa"/>
            <w:tcBorders>
              <w:top w:val="nil"/>
              <w:left w:val="single" w:sz="12" w:space="0" w:color="FFFFFF"/>
              <w:bottom w:val="nil"/>
              <w:right w:val="nil"/>
            </w:tcBorders>
            <w:shd w:val="clear" w:color="000000" w:fill="808080"/>
            <w:noWrap/>
            <w:vAlign w:val="center"/>
            <w:hideMark/>
          </w:tcPr>
          <w:p w14:paraId="6F83E536" w14:textId="77777777" w:rsidR="00AD20F3" w:rsidRPr="00AD20F3" w:rsidRDefault="00AD20F3" w:rsidP="00AD20F3">
            <w:pPr>
              <w:spacing w:after="0" w:line="240" w:lineRule="auto"/>
              <w:jc w:val="center"/>
              <w:rPr>
                <w:rFonts w:cs="Calibri"/>
                <w:b/>
                <w:bCs/>
                <w:color w:val="FFFFFF"/>
                <w:sz w:val="20"/>
                <w:szCs w:val="20"/>
                <w:lang w:eastAsia="sk-SK"/>
              </w:rPr>
            </w:pPr>
            <w:r w:rsidRPr="00AD20F3">
              <w:rPr>
                <w:rFonts w:cs="Calibri"/>
                <w:b/>
                <w:bCs/>
                <w:color w:val="FFFFFF"/>
                <w:sz w:val="20"/>
                <w:szCs w:val="20"/>
                <w:lang w:eastAsia="sk-SK"/>
              </w:rPr>
              <w:t>Ostatné záväzky</w:t>
            </w:r>
          </w:p>
        </w:tc>
        <w:tc>
          <w:tcPr>
            <w:tcW w:w="1993" w:type="dxa"/>
            <w:tcBorders>
              <w:top w:val="nil"/>
              <w:left w:val="nil"/>
              <w:bottom w:val="nil"/>
              <w:right w:val="single" w:sz="12" w:space="0" w:color="FFFFFF"/>
            </w:tcBorders>
            <w:shd w:val="clear" w:color="000000" w:fill="808080"/>
            <w:noWrap/>
            <w:vAlign w:val="center"/>
            <w:hideMark/>
          </w:tcPr>
          <w:p w14:paraId="31FD2CF3" w14:textId="77777777" w:rsidR="00AD20F3" w:rsidRPr="00AD20F3" w:rsidRDefault="00AD20F3" w:rsidP="00AD20F3">
            <w:pPr>
              <w:spacing w:after="0" w:line="240" w:lineRule="auto"/>
              <w:jc w:val="right"/>
              <w:rPr>
                <w:rFonts w:cs="Calibri"/>
                <w:b/>
                <w:bCs/>
                <w:color w:val="FFFFFF"/>
                <w:sz w:val="20"/>
                <w:szCs w:val="20"/>
                <w:lang w:eastAsia="sk-SK"/>
              </w:rPr>
            </w:pPr>
            <w:r w:rsidRPr="00AD20F3">
              <w:rPr>
                <w:rFonts w:cs="Calibri"/>
                <w:b/>
                <w:bCs/>
                <w:color w:val="FFFFFF"/>
                <w:sz w:val="20"/>
                <w:szCs w:val="20"/>
                <w:lang w:eastAsia="sk-SK"/>
              </w:rPr>
              <w:t>2 181 080,43</w:t>
            </w:r>
          </w:p>
        </w:tc>
        <w:tc>
          <w:tcPr>
            <w:tcW w:w="146" w:type="dxa"/>
            <w:vAlign w:val="center"/>
            <w:hideMark/>
          </w:tcPr>
          <w:p w14:paraId="58B22225"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412CE46" w14:textId="77777777" w:rsidTr="00737516">
        <w:trPr>
          <w:trHeight w:val="311"/>
        </w:trPr>
        <w:tc>
          <w:tcPr>
            <w:tcW w:w="8600" w:type="dxa"/>
            <w:tcBorders>
              <w:top w:val="nil"/>
              <w:left w:val="single" w:sz="12" w:space="0" w:color="FFFFFF"/>
              <w:bottom w:val="single" w:sz="12" w:space="0" w:color="FFFFFF"/>
              <w:right w:val="single" w:sz="12" w:space="0" w:color="FFFFFF"/>
            </w:tcBorders>
            <w:shd w:val="clear" w:color="000000" w:fill="C6D9F1"/>
            <w:noWrap/>
            <w:vAlign w:val="center"/>
            <w:hideMark/>
          </w:tcPr>
          <w:p w14:paraId="317B962A" w14:textId="77777777" w:rsidR="00AD20F3" w:rsidRPr="00AD20F3" w:rsidRDefault="00AD20F3" w:rsidP="00AD20F3">
            <w:pPr>
              <w:spacing w:after="0" w:line="240" w:lineRule="auto"/>
              <w:rPr>
                <w:rFonts w:cs="Calibri"/>
                <w:b/>
                <w:bCs/>
                <w:color w:val="000000"/>
                <w:sz w:val="20"/>
                <w:szCs w:val="20"/>
                <w:lang w:eastAsia="sk-SK"/>
              </w:rPr>
            </w:pPr>
            <w:r w:rsidRPr="00AD20F3">
              <w:rPr>
                <w:rFonts w:cs="Calibri"/>
                <w:b/>
                <w:bCs/>
                <w:color w:val="000000"/>
                <w:sz w:val="20"/>
                <w:szCs w:val="20"/>
                <w:lang w:eastAsia="sk-SK"/>
              </w:rPr>
              <w:t>Bežné výdavky</w:t>
            </w:r>
          </w:p>
        </w:tc>
        <w:tc>
          <w:tcPr>
            <w:tcW w:w="1993" w:type="dxa"/>
            <w:tcBorders>
              <w:top w:val="nil"/>
              <w:left w:val="nil"/>
              <w:bottom w:val="single" w:sz="12" w:space="0" w:color="FFFFFF"/>
              <w:right w:val="single" w:sz="12" w:space="0" w:color="FFFFFF"/>
            </w:tcBorders>
            <w:shd w:val="clear" w:color="000000" w:fill="C6D9F1"/>
            <w:noWrap/>
            <w:vAlign w:val="center"/>
            <w:hideMark/>
          </w:tcPr>
          <w:p w14:paraId="6D3C9B14" w14:textId="77777777" w:rsidR="00AD20F3" w:rsidRPr="00AD20F3" w:rsidRDefault="00AD20F3" w:rsidP="00AD20F3">
            <w:pPr>
              <w:spacing w:after="0" w:line="240" w:lineRule="auto"/>
              <w:jc w:val="right"/>
              <w:rPr>
                <w:rFonts w:cs="Calibri"/>
                <w:b/>
                <w:bCs/>
                <w:color w:val="000000"/>
                <w:sz w:val="20"/>
                <w:szCs w:val="20"/>
                <w:lang w:eastAsia="sk-SK"/>
              </w:rPr>
            </w:pPr>
            <w:r w:rsidRPr="00AD20F3">
              <w:rPr>
                <w:rFonts w:cs="Calibri"/>
                <w:b/>
                <w:bCs/>
                <w:color w:val="000000"/>
                <w:sz w:val="20"/>
                <w:szCs w:val="20"/>
                <w:lang w:eastAsia="sk-SK"/>
              </w:rPr>
              <w:t>25 000,00</w:t>
            </w:r>
          </w:p>
        </w:tc>
        <w:tc>
          <w:tcPr>
            <w:tcW w:w="146" w:type="dxa"/>
            <w:vAlign w:val="center"/>
            <w:hideMark/>
          </w:tcPr>
          <w:p w14:paraId="49163597"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34C1A05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0804D44"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Úrad - prijatý dar v r. 2020 na nákup VT pre školské organizácie</w:t>
            </w:r>
          </w:p>
        </w:tc>
        <w:tc>
          <w:tcPr>
            <w:tcW w:w="1993" w:type="dxa"/>
            <w:tcBorders>
              <w:top w:val="nil"/>
              <w:left w:val="nil"/>
              <w:bottom w:val="single" w:sz="12" w:space="0" w:color="FFFFFF"/>
              <w:right w:val="single" w:sz="12" w:space="0" w:color="FFFFFF"/>
            </w:tcBorders>
            <w:shd w:val="clear" w:color="000000" w:fill="F2F2F2"/>
            <w:noWrap/>
            <w:vAlign w:val="center"/>
            <w:hideMark/>
          </w:tcPr>
          <w:p w14:paraId="2520EAAB"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25 000,00</w:t>
            </w:r>
          </w:p>
        </w:tc>
        <w:tc>
          <w:tcPr>
            <w:tcW w:w="146" w:type="dxa"/>
            <w:vAlign w:val="center"/>
            <w:hideMark/>
          </w:tcPr>
          <w:p w14:paraId="7AD7681A"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E8784C0"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C6D9F1"/>
            <w:noWrap/>
            <w:vAlign w:val="center"/>
            <w:hideMark/>
          </w:tcPr>
          <w:p w14:paraId="032FE213" w14:textId="77777777" w:rsidR="00AD20F3" w:rsidRPr="00AD20F3" w:rsidRDefault="00AD20F3" w:rsidP="00AD20F3">
            <w:pPr>
              <w:spacing w:after="0" w:line="240" w:lineRule="auto"/>
              <w:rPr>
                <w:rFonts w:cs="Calibri"/>
                <w:b/>
                <w:bCs/>
                <w:color w:val="000000"/>
                <w:sz w:val="20"/>
                <w:szCs w:val="20"/>
                <w:lang w:eastAsia="sk-SK"/>
              </w:rPr>
            </w:pPr>
            <w:r w:rsidRPr="00AD20F3">
              <w:rPr>
                <w:rFonts w:cs="Calibri"/>
                <w:b/>
                <w:bCs/>
                <w:color w:val="000000"/>
                <w:sz w:val="20"/>
                <w:szCs w:val="20"/>
                <w:lang w:eastAsia="sk-SK"/>
              </w:rPr>
              <w:t xml:space="preserve">Kapitálové výdavky </w:t>
            </w:r>
          </w:p>
        </w:tc>
        <w:tc>
          <w:tcPr>
            <w:tcW w:w="1993" w:type="dxa"/>
            <w:tcBorders>
              <w:top w:val="nil"/>
              <w:left w:val="nil"/>
              <w:bottom w:val="single" w:sz="12" w:space="0" w:color="FFFFFF"/>
              <w:right w:val="single" w:sz="12" w:space="0" w:color="FFFFFF"/>
            </w:tcBorders>
            <w:shd w:val="clear" w:color="000000" w:fill="C6D9F1"/>
            <w:noWrap/>
            <w:vAlign w:val="center"/>
            <w:hideMark/>
          </w:tcPr>
          <w:p w14:paraId="5F00B18A" w14:textId="77777777" w:rsidR="00AD20F3" w:rsidRPr="00AD20F3" w:rsidRDefault="00AD20F3" w:rsidP="00AD20F3">
            <w:pPr>
              <w:spacing w:after="0" w:line="240" w:lineRule="auto"/>
              <w:jc w:val="right"/>
              <w:rPr>
                <w:rFonts w:cs="Calibri"/>
                <w:b/>
                <w:bCs/>
                <w:color w:val="000000"/>
                <w:sz w:val="20"/>
                <w:szCs w:val="20"/>
                <w:lang w:eastAsia="sk-SK"/>
              </w:rPr>
            </w:pPr>
            <w:r w:rsidRPr="00AD20F3">
              <w:rPr>
                <w:rFonts w:cs="Calibri"/>
                <w:b/>
                <w:bCs/>
                <w:color w:val="000000"/>
                <w:sz w:val="20"/>
                <w:szCs w:val="20"/>
                <w:lang w:eastAsia="sk-SK"/>
              </w:rPr>
              <w:t>2 156 080,43</w:t>
            </w:r>
          </w:p>
        </w:tc>
        <w:tc>
          <w:tcPr>
            <w:tcW w:w="146" w:type="dxa"/>
            <w:vAlign w:val="center"/>
            <w:hideMark/>
          </w:tcPr>
          <w:p w14:paraId="38A7F5A5"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4C6D3503"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4FFC6A01"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 xml:space="preserve">Prijaté </w:t>
            </w:r>
            <w:proofErr w:type="spellStart"/>
            <w:r w:rsidRPr="00AD20F3">
              <w:rPr>
                <w:rFonts w:cs="Calibri"/>
                <w:color w:val="000000"/>
                <w:sz w:val="20"/>
                <w:szCs w:val="20"/>
                <w:lang w:eastAsia="sk-SK"/>
              </w:rPr>
              <w:t>zabezpeky</w:t>
            </w:r>
            <w:proofErr w:type="spellEnd"/>
            <w:r w:rsidRPr="00AD20F3">
              <w:rPr>
                <w:rFonts w:cs="Calibri"/>
                <w:color w:val="000000"/>
                <w:sz w:val="20"/>
                <w:szCs w:val="20"/>
                <w:lang w:eastAsia="sk-SK"/>
              </w:rPr>
              <w:t xml:space="preserve"> v roku 2020 v rámci súťaží VO</w:t>
            </w:r>
          </w:p>
        </w:tc>
        <w:tc>
          <w:tcPr>
            <w:tcW w:w="1993" w:type="dxa"/>
            <w:tcBorders>
              <w:top w:val="nil"/>
              <w:left w:val="nil"/>
              <w:bottom w:val="single" w:sz="12" w:space="0" w:color="FFFFFF"/>
              <w:right w:val="single" w:sz="12" w:space="0" w:color="FFFFFF"/>
            </w:tcBorders>
            <w:shd w:val="clear" w:color="000000" w:fill="F2F2F2"/>
            <w:noWrap/>
            <w:vAlign w:val="center"/>
            <w:hideMark/>
          </w:tcPr>
          <w:p w14:paraId="217B814E"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374 000,00</w:t>
            </w:r>
          </w:p>
        </w:tc>
        <w:tc>
          <w:tcPr>
            <w:tcW w:w="146" w:type="dxa"/>
            <w:vAlign w:val="center"/>
            <w:hideMark/>
          </w:tcPr>
          <w:p w14:paraId="1A1C581E"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1AB7FD79"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497A42F"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Úrad - prijatý dar v r. 2020 na rekonštrukciu tanečnej sály Tanečného konzervatória na Gorazdovej v BA</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8826EBA"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200 000,00</w:t>
            </w:r>
          </w:p>
        </w:tc>
        <w:tc>
          <w:tcPr>
            <w:tcW w:w="146" w:type="dxa"/>
            <w:vAlign w:val="center"/>
            <w:hideMark/>
          </w:tcPr>
          <w:p w14:paraId="5EDE8C44"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795AE216" w14:textId="77777777" w:rsidTr="00737516">
        <w:trPr>
          <w:trHeight w:val="326"/>
        </w:trPr>
        <w:tc>
          <w:tcPr>
            <w:tcW w:w="8600" w:type="dxa"/>
            <w:tcBorders>
              <w:top w:val="nil"/>
              <w:left w:val="single" w:sz="12" w:space="0" w:color="FFFFFF"/>
              <w:bottom w:val="single" w:sz="12" w:space="0" w:color="FFFFFF"/>
              <w:right w:val="single" w:sz="12" w:space="0" w:color="FFFFFF"/>
            </w:tcBorders>
            <w:shd w:val="clear" w:color="000000" w:fill="F2F2F2"/>
            <w:noWrap/>
            <w:vAlign w:val="center"/>
            <w:hideMark/>
          </w:tcPr>
          <w:p w14:paraId="1F83CC99"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Zostatky prostriedkov na samostatných účtoch sociálnych zariadení BSK (dary, projekty)</w:t>
            </w:r>
          </w:p>
        </w:tc>
        <w:tc>
          <w:tcPr>
            <w:tcW w:w="1993" w:type="dxa"/>
            <w:tcBorders>
              <w:top w:val="nil"/>
              <w:left w:val="nil"/>
              <w:bottom w:val="single" w:sz="12" w:space="0" w:color="FFFFFF"/>
              <w:right w:val="single" w:sz="12" w:space="0" w:color="FFFFFF"/>
            </w:tcBorders>
            <w:shd w:val="clear" w:color="000000" w:fill="F2F2F2"/>
            <w:noWrap/>
            <w:vAlign w:val="center"/>
            <w:hideMark/>
          </w:tcPr>
          <w:p w14:paraId="1E4CC18E"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93 269,21</w:t>
            </w:r>
          </w:p>
        </w:tc>
        <w:tc>
          <w:tcPr>
            <w:tcW w:w="146" w:type="dxa"/>
            <w:vAlign w:val="center"/>
            <w:hideMark/>
          </w:tcPr>
          <w:p w14:paraId="01AA325E" w14:textId="77777777" w:rsidR="00AD20F3" w:rsidRPr="00AD20F3" w:rsidRDefault="00AD20F3" w:rsidP="00AD20F3">
            <w:pPr>
              <w:spacing w:after="0" w:line="240" w:lineRule="auto"/>
              <w:rPr>
                <w:rFonts w:ascii="Times New Roman" w:hAnsi="Times New Roman"/>
                <w:sz w:val="20"/>
                <w:szCs w:val="20"/>
                <w:lang w:eastAsia="sk-SK"/>
              </w:rPr>
            </w:pPr>
          </w:p>
        </w:tc>
      </w:tr>
      <w:tr w:rsidR="00AD20F3" w:rsidRPr="00AD20F3" w14:paraId="56F16B24" w14:textId="77777777" w:rsidTr="00737516">
        <w:trPr>
          <w:trHeight w:val="533"/>
        </w:trPr>
        <w:tc>
          <w:tcPr>
            <w:tcW w:w="8600" w:type="dxa"/>
            <w:tcBorders>
              <w:top w:val="nil"/>
              <w:left w:val="single" w:sz="12" w:space="0" w:color="FFFFFF"/>
              <w:bottom w:val="single" w:sz="12" w:space="0" w:color="FFFFFF"/>
              <w:right w:val="single" w:sz="12" w:space="0" w:color="FFFFFF"/>
            </w:tcBorders>
            <w:shd w:val="clear" w:color="000000" w:fill="F2F2F2"/>
            <w:vAlign w:val="center"/>
            <w:hideMark/>
          </w:tcPr>
          <w:p w14:paraId="2EA07110" w14:textId="77777777" w:rsidR="00AD20F3" w:rsidRPr="00AD20F3" w:rsidRDefault="00AD20F3" w:rsidP="00AD20F3">
            <w:pPr>
              <w:spacing w:after="0" w:line="240" w:lineRule="auto"/>
              <w:rPr>
                <w:rFonts w:cs="Calibri"/>
                <w:color w:val="000000"/>
                <w:sz w:val="20"/>
                <w:szCs w:val="20"/>
                <w:lang w:eastAsia="sk-SK"/>
              </w:rPr>
            </w:pPr>
            <w:r w:rsidRPr="00AD20F3">
              <w:rPr>
                <w:rFonts w:cs="Calibri"/>
                <w:color w:val="000000"/>
                <w:sz w:val="20"/>
                <w:szCs w:val="20"/>
                <w:lang w:eastAsia="sk-SK"/>
              </w:rPr>
              <w:t>Zostatky prostriedkov na samostatných účtoch školských zariadení BSK (dary, projekty, PČ, školské stravovanie)</w:t>
            </w:r>
          </w:p>
        </w:tc>
        <w:tc>
          <w:tcPr>
            <w:tcW w:w="1993" w:type="dxa"/>
            <w:tcBorders>
              <w:top w:val="nil"/>
              <w:left w:val="nil"/>
              <w:bottom w:val="single" w:sz="12" w:space="0" w:color="FFFFFF"/>
              <w:right w:val="single" w:sz="12" w:space="0" w:color="FFFFFF"/>
            </w:tcBorders>
            <w:shd w:val="clear" w:color="000000" w:fill="F2F2F2"/>
            <w:noWrap/>
            <w:vAlign w:val="center"/>
            <w:hideMark/>
          </w:tcPr>
          <w:p w14:paraId="5C1E369F" w14:textId="77777777" w:rsidR="00AD20F3" w:rsidRPr="00AD20F3" w:rsidRDefault="00AD20F3" w:rsidP="00AD20F3">
            <w:pPr>
              <w:spacing w:after="0" w:line="240" w:lineRule="auto"/>
              <w:jc w:val="right"/>
              <w:rPr>
                <w:rFonts w:cs="Calibri"/>
                <w:color w:val="000000"/>
                <w:sz w:val="20"/>
                <w:szCs w:val="20"/>
                <w:lang w:eastAsia="sk-SK"/>
              </w:rPr>
            </w:pPr>
            <w:r w:rsidRPr="00AD20F3">
              <w:rPr>
                <w:rFonts w:cs="Calibri"/>
                <w:color w:val="000000"/>
                <w:sz w:val="20"/>
                <w:szCs w:val="20"/>
                <w:lang w:eastAsia="sk-SK"/>
              </w:rPr>
              <w:t>1 488 811,22</w:t>
            </w:r>
          </w:p>
        </w:tc>
        <w:tc>
          <w:tcPr>
            <w:tcW w:w="146" w:type="dxa"/>
            <w:vAlign w:val="center"/>
            <w:hideMark/>
          </w:tcPr>
          <w:p w14:paraId="0E225A5D" w14:textId="77777777" w:rsidR="00AD20F3" w:rsidRPr="00AD20F3" w:rsidRDefault="00AD20F3" w:rsidP="00AD20F3">
            <w:pPr>
              <w:spacing w:after="0" w:line="240" w:lineRule="auto"/>
              <w:rPr>
                <w:rFonts w:ascii="Times New Roman" w:hAnsi="Times New Roman"/>
                <w:sz w:val="20"/>
                <w:szCs w:val="20"/>
                <w:lang w:eastAsia="sk-SK"/>
              </w:rPr>
            </w:pPr>
          </w:p>
        </w:tc>
      </w:tr>
    </w:tbl>
    <w:p w14:paraId="43BBAA9E" w14:textId="118D4F62" w:rsidR="00AD20F3" w:rsidRDefault="00AD20F3" w:rsidP="00BE704E">
      <w:pPr>
        <w:pStyle w:val="Hlavika"/>
        <w:tabs>
          <w:tab w:val="clear" w:pos="4536"/>
          <w:tab w:val="clear" w:pos="9072"/>
          <w:tab w:val="left" w:pos="0"/>
        </w:tabs>
        <w:rPr>
          <w:rFonts w:ascii="Calibri" w:hAnsi="Calibri" w:cs="Calibri"/>
          <w:szCs w:val="24"/>
          <w:lang w:val="sk-SK"/>
        </w:rPr>
      </w:pPr>
    </w:p>
    <w:p w14:paraId="4E76FD48" w14:textId="69F8AA3E" w:rsidR="00BE704E" w:rsidRDefault="00BE704E" w:rsidP="00BE704E">
      <w:pPr>
        <w:pStyle w:val="Hlavika"/>
        <w:tabs>
          <w:tab w:val="clear" w:pos="4536"/>
          <w:tab w:val="clear" w:pos="9072"/>
        </w:tabs>
        <w:rPr>
          <w:rFonts w:ascii="Calibri" w:hAnsi="Calibri" w:cs="Calibri"/>
          <w:b/>
          <w:bCs/>
          <w:iCs/>
          <w:sz w:val="28"/>
          <w:szCs w:val="28"/>
          <w:lang w:val="sk-SK"/>
        </w:rPr>
      </w:pPr>
      <w:r w:rsidRPr="00B359CA">
        <w:rPr>
          <w:rFonts w:ascii="Calibri" w:hAnsi="Calibri" w:cs="Calibri"/>
          <w:b/>
          <w:sz w:val="28"/>
          <w:szCs w:val="28"/>
          <w:lang w:val="sk-SK"/>
        </w:rPr>
        <w:t>Rekapitulácia vyčíslenia</w:t>
      </w:r>
      <w:r w:rsidRPr="00B359CA">
        <w:rPr>
          <w:rFonts w:ascii="Calibri" w:hAnsi="Calibri" w:cs="Calibri"/>
          <w:sz w:val="28"/>
          <w:szCs w:val="28"/>
          <w:lang w:val="sk-SK"/>
        </w:rPr>
        <w:t xml:space="preserve"> </w:t>
      </w:r>
      <w:r w:rsidRPr="00B359CA">
        <w:rPr>
          <w:rFonts w:ascii="Calibri" w:hAnsi="Calibri" w:cs="Calibri"/>
          <w:b/>
          <w:bCs/>
          <w:iCs/>
          <w:sz w:val="28"/>
          <w:szCs w:val="28"/>
          <w:lang w:val="sk-SK"/>
        </w:rPr>
        <w:t>výsledku rozpočtového hospodárenia BSK za rok 20</w:t>
      </w:r>
      <w:r w:rsidR="00B359CA" w:rsidRPr="00B359CA">
        <w:rPr>
          <w:rFonts w:ascii="Calibri" w:hAnsi="Calibri" w:cs="Calibri"/>
          <w:b/>
          <w:bCs/>
          <w:iCs/>
          <w:sz w:val="28"/>
          <w:szCs w:val="28"/>
          <w:lang w:val="sk-SK"/>
        </w:rPr>
        <w:t>20</w:t>
      </w:r>
      <w:r w:rsidRPr="00B359CA">
        <w:rPr>
          <w:rFonts w:ascii="Calibri" w:hAnsi="Calibri" w:cs="Calibri"/>
          <w:b/>
          <w:bCs/>
          <w:iCs/>
          <w:sz w:val="28"/>
          <w:szCs w:val="28"/>
          <w:lang w:val="sk-SK"/>
        </w:rPr>
        <w:t>:</w:t>
      </w:r>
    </w:p>
    <w:p w14:paraId="03A80A55" w14:textId="77777777" w:rsidR="00162BE3" w:rsidRDefault="00162BE3" w:rsidP="00BE704E">
      <w:pPr>
        <w:pStyle w:val="Hlavika"/>
        <w:tabs>
          <w:tab w:val="clear" w:pos="4536"/>
          <w:tab w:val="clear" w:pos="9072"/>
        </w:tabs>
        <w:rPr>
          <w:rFonts w:ascii="Calibri" w:hAnsi="Calibri" w:cs="Calibri"/>
          <w:b/>
          <w:bCs/>
          <w:iCs/>
          <w:sz w:val="28"/>
          <w:szCs w:val="28"/>
          <w:lang w:val="sk-SK"/>
        </w:rPr>
      </w:pPr>
    </w:p>
    <w:tbl>
      <w:tblPr>
        <w:tblW w:w="10507" w:type="dxa"/>
        <w:tblInd w:w="-15" w:type="dxa"/>
        <w:tblCellMar>
          <w:left w:w="70" w:type="dxa"/>
          <w:right w:w="70" w:type="dxa"/>
        </w:tblCellMar>
        <w:tblLook w:val="04A0" w:firstRow="1" w:lastRow="0" w:firstColumn="1" w:lastColumn="0" w:noHBand="0" w:noVBand="1"/>
      </w:tblPr>
      <w:tblGrid>
        <w:gridCol w:w="2142"/>
        <w:gridCol w:w="6614"/>
        <w:gridCol w:w="1751"/>
      </w:tblGrid>
      <w:tr w:rsidR="00BE704E" w:rsidRPr="00FA2185" w14:paraId="2E940E8E" w14:textId="77777777" w:rsidTr="00737516">
        <w:trPr>
          <w:trHeight w:val="769"/>
        </w:trPr>
        <w:tc>
          <w:tcPr>
            <w:tcW w:w="2142" w:type="dxa"/>
            <w:tcBorders>
              <w:top w:val="single" w:sz="12" w:space="0" w:color="FFFFFF"/>
              <w:left w:val="single" w:sz="12" w:space="0" w:color="FFFFFF"/>
              <w:bottom w:val="single" w:sz="12" w:space="0" w:color="FFFFFF"/>
              <w:right w:val="single" w:sz="12" w:space="0" w:color="FFFFFF"/>
            </w:tcBorders>
            <w:shd w:val="clear" w:color="000000" w:fill="808080"/>
            <w:vAlign w:val="center"/>
            <w:hideMark/>
          </w:tcPr>
          <w:p w14:paraId="45DF9C81" w14:textId="77777777" w:rsidR="00BE704E" w:rsidRPr="00FA2185" w:rsidRDefault="00BE704E" w:rsidP="00B23D26">
            <w:pPr>
              <w:spacing w:after="0" w:line="240" w:lineRule="auto"/>
              <w:jc w:val="center"/>
              <w:rPr>
                <w:b/>
                <w:bCs/>
                <w:color w:val="FFFFFF"/>
                <w:sz w:val="18"/>
                <w:szCs w:val="18"/>
                <w:lang w:eastAsia="sk-SK"/>
              </w:rPr>
            </w:pPr>
            <w:r w:rsidRPr="00FA2185">
              <w:rPr>
                <w:rFonts w:cs="Calibri"/>
                <w:b/>
                <w:bCs/>
                <w:color w:val="FFFFFF"/>
                <w:sz w:val="18"/>
                <w:szCs w:val="18"/>
                <w:lang w:eastAsia="sk-SK"/>
              </w:rPr>
              <w:t> </w:t>
            </w:r>
          </w:p>
        </w:tc>
        <w:tc>
          <w:tcPr>
            <w:tcW w:w="6614" w:type="dxa"/>
            <w:tcBorders>
              <w:top w:val="single" w:sz="12" w:space="0" w:color="FFFFFF"/>
              <w:left w:val="nil"/>
              <w:bottom w:val="single" w:sz="12" w:space="0" w:color="FFFFFF"/>
              <w:right w:val="single" w:sz="12" w:space="0" w:color="FFFFFF"/>
            </w:tcBorders>
            <w:shd w:val="clear" w:color="000000" w:fill="808080"/>
            <w:vAlign w:val="center"/>
            <w:hideMark/>
          </w:tcPr>
          <w:p w14:paraId="2E83E98A" w14:textId="77777777" w:rsidR="00BE704E" w:rsidRPr="00FA2185" w:rsidRDefault="00BE704E" w:rsidP="00B23D26">
            <w:pPr>
              <w:spacing w:after="0" w:line="240" w:lineRule="auto"/>
              <w:jc w:val="center"/>
              <w:rPr>
                <w:b/>
                <w:bCs/>
                <w:color w:val="FFFFFF"/>
                <w:sz w:val="18"/>
                <w:szCs w:val="18"/>
                <w:lang w:eastAsia="sk-SK"/>
              </w:rPr>
            </w:pPr>
            <w:r w:rsidRPr="00FA2185">
              <w:rPr>
                <w:rFonts w:cs="Calibri"/>
                <w:b/>
                <w:bCs/>
                <w:color w:val="FFFFFF"/>
                <w:sz w:val="18"/>
                <w:szCs w:val="18"/>
                <w:lang w:eastAsia="sk-SK"/>
              </w:rPr>
              <w:t>Ukazovateľ</w:t>
            </w:r>
          </w:p>
        </w:tc>
        <w:tc>
          <w:tcPr>
            <w:tcW w:w="1751" w:type="dxa"/>
            <w:tcBorders>
              <w:top w:val="single" w:sz="12" w:space="0" w:color="FFFFFF"/>
              <w:left w:val="nil"/>
              <w:bottom w:val="single" w:sz="12" w:space="0" w:color="FFFFFF"/>
              <w:right w:val="single" w:sz="12" w:space="0" w:color="FFFFFF"/>
            </w:tcBorders>
            <w:shd w:val="clear" w:color="000000" w:fill="808080"/>
            <w:vAlign w:val="center"/>
            <w:hideMark/>
          </w:tcPr>
          <w:p w14:paraId="15A32375" w14:textId="119DB36A" w:rsidR="00BE704E" w:rsidRPr="00FA2185" w:rsidRDefault="00BE704E" w:rsidP="00B23D26">
            <w:pPr>
              <w:spacing w:after="0" w:line="240" w:lineRule="auto"/>
              <w:jc w:val="center"/>
              <w:rPr>
                <w:b/>
                <w:bCs/>
                <w:color w:val="FFFFFF"/>
                <w:sz w:val="18"/>
                <w:szCs w:val="18"/>
                <w:lang w:eastAsia="sk-SK"/>
              </w:rPr>
            </w:pPr>
            <w:r w:rsidRPr="00FA2185">
              <w:rPr>
                <w:rFonts w:cs="Calibri"/>
                <w:b/>
                <w:bCs/>
                <w:color w:val="FFFFFF"/>
                <w:sz w:val="18"/>
                <w:szCs w:val="18"/>
                <w:lang w:eastAsia="sk-SK"/>
              </w:rPr>
              <w:t>Plnenie/čerpanie rozpočtu k 31.12.</w:t>
            </w:r>
            <w:r w:rsidR="00162BE3">
              <w:rPr>
                <w:rFonts w:cs="Calibri"/>
                <w:b/>
                <w:bCs/>
                <w:color w:val="FFFFFF"/>
                <w:sz w:val="18"/>
                <w:szCs w:val="18"/>
                <w:lang w:eastAsia="sk-SK"/>
              </w:rPr>
              <w:t>2020</w:t>
            </w:r>
          </w:p>
        </w:tc>
      </w:tr>
      <w:tr w:rsidR="00BE704E" w:rsidRPr="00FA2185" w14:paraId="19F64DDF" w14:textId="77777777" w:rsidTr="00737516">
        <w:trPr>
          <w:trHeight w:val="347"/>
        </w:trPr>
        <w:tc>
          <w:tcPr>
            <w:tcW w:w="2142" w:type="dxa"/>
            <w:tcBorders>
              <w:top w:val="nil"/>
              <w:left w:val="single" w:sz="12" w:space="0" w:color="FFFFFF"/>
              <w:bottom w:val="single" w:sz="12" w:space="0" w:color="FFFFFF"/>
              <w:right w:val="single" w:sz="12" w:space="0" w:color="FFFFFF"/>
            </w:tcBorders>
            <w:shd w:val="clear" w:color="000000" w:fill="D9D9D9"/>
            <w:vAlign w:val="center"/>
            <w:hideMark/>
          </w:tcPr>
          <w:p w14:paraId="00FF2945" w14:textId="77777777" w:rsidR="00BE704E" w:rsidRPr="00FA2185" w:rsidRDefault="00BE704E" w:rsidP="00B23D26">
            <w:pPr>
              <w:spacing w:after="0" w:line="240" w:lineRule="auto"/>
              <w:jc w:val="center"/>
              <w:rPr>
                <w:b/>
                <w:bCs/>
                <w:color w:val="000000"/>
                <w:sz w:val="18"/>
                <w:szCs w:val="18"/>
                <w:lang w:eastAsia="sk-SK"/>
              </w:rPr>
            </w:pPr>
            <w:r w:rsidRPr="00FA2185">
              <w:rPr>
                <w:rFonts w:cs="Calibri"/>
                <w:b/>
                <w:bCs/>
                <w:color w:val="000000"/>
                <w:sz w:val="18"/>
                <w:szCs w:val="18"/>
                <w:lang w:eastAsia="sk-SK"/>
              </w:rPr>
              <w:t>riadok/stĺpec</w:t>
            </w:r>
          </w:p>
        </w:tc>
        <w:tc>
          <w:tcPr>
            <w:tcW w:w="6614" w:type="dxa"/>
            <w:tcBorders>
              <w:top w:val="nil"/>
              <w:left w:val="nil"/>
              <w:bottom w:val="single" w:sz="12" w:space="0" w:color="FFFFFF"/>
              <w:right w:val="single" w:sz="12" w:space="0" w:color="FFFFFF"/>
            </w:tcBorders>
            <w:shd w:val="clear" w:color="000000" w:fill="D9D9D9"/>
            <w:vAlign w:val="center"/>
            <w:hideMark/>
          </w:tcPr>
          <w:p w14:paraId="57DEDAB6" w14:textId="77777777" w:rsidR="00BE704E" w:rsidRPr="00FA2185" w:rsidRDefault="00BE704E" w:rsidP="00B23D26">
            <w:pPr>
              <w:spacing w:after="0" w:line="240" w:lineRule="auto"/>
              <w:jc w:val="center"/>
              <w:rPr>
                <w:color w:val="000000"/>
                <w:sz w:val="18"/>
                <w:szCs w:val="18"/>
                <w:lang w:eastAsia="sk-SK"/>
              </w:rPr>
            </w:pPr>
            <w:r w:rsidRPr="00FA2185">
              <w:rPr>
                <w:rFonts w:cs="Calibri"/>
                <w:color w:val="000000"/>
                <w:sz w:val="18"/>
                <w:szCs w:val="18"/>
                <w:lang w:eastAsia="sk-SK"/>
              </w:rPr>
              <w:t>A</w:t>
            </w:r>
          </w:p>
        </w:tc>
        <w:tc>
          <w:tcPr>
            <w:tcW w:w="1751" w:type="dxa"/>
            <w:tcBorders>
              <w:top w:val="nil"/>
              <w:left w:val="nil"/>
              <w:bottom w:val="single" w:sz="12" w:space="0" w:color="FFFFFF"/>
              <w:right w:val="single" w:sz="12" w:space="0" w:color="FFFFFF"/>
            </w:tcBorders>
            <w:shd w:val="clear" w:color="000000" w:fill="D9D9D9"/>
            <w:vAlign w:val="center"/>
            <w:hideMark/>
          </w:tcPr>
          <w:p w14:paraId="1B795D20" w14:textId="77777777" w:rsidR="00BE704E" w:rsidRPr="00FA2185" w:rsidRDefault="00BE704E" w:rsidP="00B23D26">
            <w:pPr>
              <w:spacing w:after="0" w:line="240" w:lineRule="auto"/>
              <w:jc w:val="center"/>
              <w:rPr>
                <w:color w:val="000000"/>
                <w:sz w:val="18"/>
                <w:szCs w:val="18"/>
                <w:lang w:eastAsia="sk-SK"/>
              </w:rPr>
            </w:pPr>
            <w:r w:rsidRPr="00FA2185">
              <w:rPr>
                <w:rFonts w:cs="Calibri"/>
                <w:color w:val="000000"/>
                <w:sz w:val="18"/>
                <w:szCs w:val="18"/>
                <w:lang w:eastAsia="sk-SK"/>
              </w:rPr>
              <w:t>B</w:t>
            </w:r>
          </w:p>
        </w:tc>
      </w:tr>
      <w:tr w:rsidR="00162BE3" w:rsidRPr="00FA2185" w14:paraId="68086956"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19163529" w14:textId="77777777" w:rsidR="00162BE3" w:rsidRPr="00FA2185" w:rsidRDefault="00162BE3" w:rsidP="00162BE3">
            <w:pPr>
              <w:spacing w:after="0" w:line="240" w:lineRule="auto"/>
              <w:jc w:val="right"/>
              <w:rPr>
                <w:color w:val="000000"/>
                <w:sz w:val="18"/>
                <w:szCs w:val="18"/>
                <w:lang w:eastAsia="sk-SK"/>
              </w:rPr>
            </w:pPr>
            <w:r w:rsidRPr="00FA2185">
              <w:rPr>
                <w:rFonts w:cs="Calibri"/>
                <w:color w:val="000000"/>
                <w:sz w:val="18"/>
                <w:szCs w:val="18"/>
                <w:lang w:eastAsia="sk-SK"/>
              </w:rPr>
              <w:t>1</w:t>
            </w:r>
          </w:p>
        </w:tc>
        <w:tc>
          <w:tcPr>
            <w:tcW w:w="6614" w:type="dxa"/>
            <w:tcBorders>
              <w:top w:val="nil"/>
              <w:left w:val="nil"/>
              <w:bottom w:val="single" w:sz="12" w:space="0" w:color="FFFFFF"/>
              <w:right w:val="single" w:sz="12" w:space="0" w:color="FFFFFF"/>
            </w:tcBorders>
            <w:shd w:val="clear" w:color="000000" w:fill="F2F2F2"/>
            <w:vAlign w:val="center"/>
            <w:hideMark/>
          </w:tcPr>
          <w:p w14:paraId="040234DF"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Bežné príjmy</w:t>
            </w:r>
          </w:p>
        </w:tc>
        <w:tc>
          <w:tcPr>
            <w:tcW w:w="1751" w:type="dxa"/>
            <w:tcBorders>
              <w:top w:val="nil"/>
              <w:left w:val="nil"/>
              <w:bottom w:val="single" w:sz="12" w:space="0" w:color="FFFFFF"/>
              <w:right w:val="single" w:sz="12" w:space="0" w:color="FFFFFF"/>
            </w:tcBorders>
            <w:shd w:val="clear" w:color="000000" w:fill="F2F2F2"/>
            <w:vAlign w:val="center"/>
            <w:hideMark/>
          </w:tcPr>
          <w:p w14:paraId="63B313B8" w14:textId="0036B914" w:rsidR="00162BE3" w:rsidRDefault="00162BE3" w:rsidP="00162BE3">
            <w:pPr>
              <w:spacing w:after="0" w:line="240" w:lineRule="auto"/>
              <w:jc w:val="right"/>
              <w:rPr>
                <w:rFonts w:cs="Calibri"/>
                <w:color w:val="000000"/>
                <w:lang w:eastAsia="sk-SK"/>
              </w:rPr>
            </w:pPr>
            <w:r>
              <w:rPr>
                <w:rFonts w:cs="Calibri"/>
                <w:color w:val="000000"/>
              </w:rPr>
              <w:t>175 613 428,04</w:t>
            </w:r>
          </w:p>
        </w:tc>
      </w:tr>
      <w:tr w:rsidR="00162BE3" w:rsidRPr="00FA2185" w14:paraId="19BF2B37"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25BDECDF" w14:textId="77777777" w:rsidR="00162BE3" w:rsidRPr="00FA2185" w:rsidRDefault="00162BE3" w:rsidP="00162BE3">
            <w:pPr>
              <w:spacing w:after="0" w:line="240" w:lineRule="auto"/>
              <w:jc w:val="right"/>
              <w:rPr>
                <w:color w:val="000000"/>
                <w:sz w:val="18"/>
                <w:szCs w:val="18"/>
                <w:lang w:eastAsia="sk-SK"/>
              </w:rPr>
            </w:pPr>
            <w:r w:rsidRPr="00FA2185">
              <w:rPr>
                <w:rFonts w:cs="Calibri"/>
                <w:color w:val="000000"/>
                <w:sz w:val="18"/>
                <w:szCs w:val="18"/>
                <w:lang w:eastAsia="sk-SK"/>
              </w:rPr>
              <w:t>2</w:t>
            </w:r>
          </w:p>
        </w:tc>
        <w:tc>
          <w:tcPr>
            <w:tcW w:w="6614" w:type="dxa"/>
            <w:tcBorders>
              <w:top w:val="nil"/>
              <w:left w:val="nil"/>
              <w:bottom w:val="single" w:sz="12" w:space="0" w:color="FFFFFF"/>
              <w:right w:val="single" w:sz="12" w:space="0" w:color="FFFFFF"/>
            </w:tcBorders>
            <w:shd w:val="clear" w:color="000000" w:fill="F2F2F2"/>
            <w:vAlign w:val="center"/>
            <w:hideMark/>
          </w:tcPr>
          <w:p w14:paraId="0234FEAF"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Bežné výdavky</w:t>
            </w:r>
          </w:p>
        </w:tc>
        <w:tc>
          <w:tcPr>
            <w:tcW w:w="1751" w:type="dxa"/>
            <w:tcBorders>
              <w:top w:val="nil"/>
              <w:left w:val="nil"/>
              <w:bottom w:val="single" w:sz="12" w:space="0" w:color="FFFFFF"/>
              <w:right w:val="single" w:sz="12" w:space="0" w:color="FFFFFF"/>
            </w:tcBorders>
            <w:shd w:val="clear" w:color="000000" w:fill="F2F2F2"/>
            <w:vAlign w:val="center"/>
            <w:hideMark/>
          </w:tcPr>
          <w:p w14:paraId="461B209E" w14:textId="5B626661" w:rsidR="00162BE3" w:rsidRDefault="00162BE3" w:rsidP="00162BE3">
            <w:pPr>
              <w:jc w:val="right"/>
              <w:rPr>
                <w:rFonts w:cs="Calibri"/>
                <w:color w:val="000000"/>
              </w:rPr>
            </w:pPr>
            <w:r>
              <w:rPr>
                <w:rFonts w:cs="Calibri"/>
                <w:color w:val="000000"/>
              </w:rPr>
              <w:t>155 827 379,05</w:t>
            </w:r>
          </w:p>
        </w:tc>
      </w:tr>
      <w:tr w:rsidR="00162BE3" w:rsidRPr="00FA2185" w14:paraId="201DA74F"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55E990FB"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3=B1-B2</w:t>
            </w:r>
          </w:p>
        </w:tc>
        <w:tc>
          <w:tcPr>
            <w:tcW w:w="6614" w:type="dxa"/>
            <w:tcBorders>
              <w:top w:val="nil"/>
              <w:left w:val="nil"/>
              <w:bottom w:val="single" w:sz="12" w:space="0" w:color="FFFFFF"/>
              <w:right w:val="single" w:sz="12" w:space="0" w:color="FFFFFF"/>
            </w:tcBorders>
            <w:shd w:val="clear" w:color="000000" w:fill="F2F2F2"/>
            <w:vAlign w:val="center"/>
            <w:hideMark/>
          </w:tcPr>
          <w:p w14:paraId="7C6BC944"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Bilancia bežného rozpočtu</w:t>
            </w:r>
          </w:p>
        </w:tc>
        <w:tc>
          <w:tcPr>
            <w:tcW w:w="1751" w:type="dxa"/>
            <w:tcBorders>
              <w:top w:val="nil"/>
              <w:left w:val="nil"/>
              <w:bottom w:val="single" w:sz="12" w:space="0" w:color="FFFFFF"/>
              <w:right w:val="single" w:sz="12" w:space="0" w:color="FFFFFF"/>
            </w:tcBorders>
            <w:shd w:val="clear" w:color="000000" w:fill="F2F2F2"/>
            <w:vAlign w:val="center"/>
            <w:hideMark/>
          </w:tcPr>
          <w:p w14:paraId="4E153EF9" w14:textId="0589AF54" w:rsidR="00162BE3" w:rsidRDefault="00162BE3" w:rsidP="00162BE3">
            <w:pPr>
              <w:jc w:val="right"/>
              <w:rPr>
                <w:rFonts w:cs="Calibri"/>
                <w:b/>
                <w:bCs/>
                <w:color w:val="000000"/>
              </w:rPr>
            </w:pPr>
            <w:r>
              <w:rPr>
                <w:rFonts w:cs="Calibri"/>
                <w:b/>
                <w:bCs/>
                <w:color w:val="000000"/>
              </w:rPr>
              <w:t>19 786 048,99</w:t>
            </w:r>
          </w:p>
        </w:tc>
      </w:tr>
      <w:tr w:rsidR="00162BE3" w:rsidRPr="00FA2185" w14:paraId="7E9ADC76"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2CA834CD" w14:textId="77777777" w:rsidR="00162BE3" w:rsidRPr="00FA2185" w:rsidRDefault="00162BE3" w:rsidP="00162BE3">
            <w:pPr>
              <w:spacing w:after="0" w:line="240" w:lineRule="auto"/>
              <w:jc w:val="right"/>
              <w:rPr>
                <w:color w:val="000000"/>
                <w:sz w:val="18"/>
                <w:szCs w:val="18"/>
                <w:lang w:eastAsia="sk-SK"/>
              </w:rPr>
            </w:pPr>
            <w:r w:rsidRPr="00FA2185">
              <w:rPr>
                <w:rFonts w:cs="Calibri"/>
                <w:color w:val="000000"/>
                <w:sz w:val="18"/>
                <w:szCs w:val="18"/>
                <w:lang w:eastAsia="sk-SK"/>
              </w:rPr>
              <w:t>4</w:t>
            </w:r>
          </w:p>
        </w:tc>
        <w:tc>
          <w:tcPr>
            <w:tcW w:w="6614" w:type="dxa"/>
            <w:tcBorders>
              <w:top w:val="nil"/>
              <w:left w:val="nil"/>
              <w:bottom w:val="single" w:sz="12" w:space="0" w:color="FFFFFF"/>
              <w:right w:val="single" w:sz="12" w:space="0" w:color="FFFFFF"/>
            </w:tcBorders>
            <w:shd w:val="clear" w:color="000000" w:fill="F2F2F2"/>
            <w:vAlign w:val="center"/>
            <w:hideMark/>
          </w:tcPr>
          <w:p w14:paraId="4BFE71AA"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Kapitálové príjmy</w:t>
            </w:r>
          </w:p>
        </w:tc>
        <w:tc>
          <w:tcPr>
            <w:tcW w:w="1751" w:type="dxa"/>
            <w:tcBorders>
              <w:top w:val="nil"/>
              <w:left w:val="nil"/>
              <w:bottom w:val="single" w:sz="12" w:space="0" w:color="FFFFFF"/>
              <w:right w:val="single" w:sz="12" w:space="0" w:color="FFFFFF"/>
            </w:tcBorders>
            <w:shd w:val="clear" w:color="000000" w:fill="F2F2F2"/>
            <w:vAlign w:val="center"/>
            <w:hideMark/>
          </w:tcPr>
          <w:p w14:paraId="7B5B74C0" w14:textId="43A877E7" w:rsidR="00162BE3" w:rsidRDefault="00162BE3" w:rsidP="00162BE3">
            <w:pPr>
              <w:jc w:val="right"/>
              <w:rPr>
                <w:rFonts w:cs="Calibri"/>
                <w:color w:val="000000"/>
              </w:rPr>
            </w:pPr>
            <w:r>
              <w:rPr>
                <w:rFonts w:cs="Calibri"/>
                <w:color w:val="000000"/>
              </w:rPr>
              <w:t>4 100 517,78</w:t>
            </w:r>
          </w:p>
        </w:tc>
      </w:tr>
      <w:tr w:rsidR="00162BE3" w:rsidRPr="00FA2185" w14:paraId="31E9C694"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16089EAB" w14:textId="77777777" w:rsidR="00162BE3" w:rsidRPr="00FA2185" w:rsidRDefault="00162BE3" w:rsidP="00162BE3">
            <w:pPr>
              <w:spacing w:after="0" w:line="240" w:lineRule="auto"/>
              <w:jc w:val="right"/>
              <w:rPr>
                <w:color w:val="000000"/>
                <w:sz w:val="18"/>
                <w:szCs w:val="18"/>
                <w:lang w:eastAsia="sk-SK"/>
              </w:rPr>
            </w:pPr>
            <w:r w:rsidRPr="00FA2185">
              <w:rPr>
                <w:rFonts w:cs="Calibri"/>
                <w:color w:val="000000"/>
                <w:sz w:val="18"/>
                <w:szCs w:val="18"/>
                <w:lang w:eastAsia="sk-SK"/>
              </w:rPr>
              <w:t>5</w:t>
            </w:r>
          </w:p>
        </w:tc>
        <w:tc>
          <w:tcPr>
            <w:tcW w:w="6614" w:type="dxa"/>
            <w:tcBorders>
              <w:top w:val="nil"/>
              <w:left w:val="nil"/>
              <w:bottom w:val="single" w:sz="12" w:space="0" w:color="FFFFFF"/>
              <w:right w:val="single" w:sz="12" w:space="0" w:color="FFFFFF"/>
            </w:tcBorders>
            <w:shd w:val="clear" w:color="000000" w:fill="F2F2F2"/>
            <w:vAlign w:val="center"/>
            <w:hideMark/>
          </w:tcPr>
          <w:p w14:paraId="63BBCD14"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Kapitálové výdavky</w:t>
            </w:r>
          </w:p>
        </w:tc>
        <w:tc>
          <w:tcPr>
            <w:tcW w:w="1751" w:type="dxa"/>
            <w:tcBorders>
              <w:top w:val="nil"/>
              <w:left w:val="nil"/>
              <w:bottom w:val="single" w:sz="12" w:space="0" w:color="FFFFFF"/>
              <w:right w:val="single" w:sz="12" w:space="0" w:color="FFFFFF"/>
            </w:tcBorders>
            <w:shd w:val="clear" w:color="000000" w:fill="F2F2F2"/>
            <w:vAlign w:val="center"/>
            <w:hideMark/>
          </w:tcPr>
          <w:p w14:paraId="36B752A1" w14:textId="50B0DCF3" w:rsidR="00162BE3" w:rsidRDefault="00162BE3" w:rsidP="00162BE3">
            <w:pPr>
              <w:jc w:val="right"/>
              <w:rPr>
                <w:rFonts w:cs="Calibri"/>
                <w:color w:val="000000"/>
              </w:rPr>
            </w:pPr>
            <w:r>
              <w:rPr>
                <w:rFonts w:cs="Calibri"/>
                <w:color w:val="000000"/>
              </w:rPr>
              <w:t>10 064 814,06</w:t>
            </w:r>
          </w:p>
        </w:tc>
      </w:tr>
      <w:tr w:rsidR="00162BE3" w:rsidRPr="00FA2185" w14:paraId="49878037"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7073D84E"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6=B4-B5</w:t>
            </w:r>
          </w:p>
        </w:tc>
        <w:tc>
          <w:tcPr>
            <w:tcW w:w="6614" w:type="dxa"/>
            <w:tcBorders>
              <w:top w:val="nil"/>
              <w:left w:val="nil"/>
              <w:bottom w:val="single" w:sz="12" w:space="0" w:color="FFFFFF"/>
              <w:right w:val="single" w:sz="12" w:space="0" w:color="FFFFFF"/>
            </w:tcBorders>
            <w:shd w:val="clear" w:color="000000" w:fill="F2F2F2"/>
            <w:vAlign w:val="center"/>
            <w:hideMark/>
          </w:tcPr>
          <w:p w14:paraId="273E1F8C"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Bilancia kapitálového rozpočtu</w:t>
            </w:r>
          </w:p>
        </w:tc>
        <w:tc>
          <w:tcPr>
            <w:tcW w:w="1751" w:type="dxa"/>
            <w:tcBorders>
              <w:top w:val="nil"/>
              <w:left w:val="nil"/>
              <w:bottom w:val="single" w:sz="12" w:space="0" w:color="FFFFFF"/>
              <w:right w:val="single" w:sz="12" w:space="0" w:color="FFFFFF"/>
            </w:tcBorders>
            <w:shd w:val="clear" w:color="000000" w:fill="F2F2F2"/>
            <w:vAlign w:val="center"/>
            <w:hideMark/>
          </w:tcPr>
          <w:p w14:paraId="154D1767" w14:textId="5B9FF45B" w:rsidR="00162BE3" w:rsidRDefault="00162BE3" w:rsidP="00162BE3">
            <w:pPr>
              <w:jc w:val="right"/>
              <w:rPr>
                <w:rFonts w:cs="Calibri"/>
                <w:b/>
                <w:bCs/>
                <w:color w:val="000000"/>
              </w:rPr>
            </w:pPr>
            <w:r>
              <w:rPr>
                <w:rFonts w:cs="Calibri"/>
                <w:b/>
                <w:bCs/>
                <w:color w:val="000000"/>
              </w:rPr>
              <w:t>-5 964 296,28</w:t>
            </w:r>
          </w:p>
        </w:tc>
      </w:tr>
      <w:tr w:rsidR="00162BE3" w:rsidRPr="00FA2185" w14:paraId="20334E19"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D9D9D9"/>
            <w:vAlign w:val="center"/>
            <w:hideMark/>
          </w:tcPr>
          <w:p w14:paraId="6E4EA7DA"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7=B3-B6</w:t>
            </w:r>
          </w:p>
        </w:tc>
        <w:tc>
          <w:tcPr>
            <w:tcW w:w="6614" w:type="dxa"/>
            <w:tcBorders>
              <w:top w:val="nil"/>
              <w:left w:val="nil"/>
              <w:bottom w:val="single" w:sz="12" w:space="0" w:color="FFFFFF"/>
              <w:right w:val="single" w:sz="12" w:space="0" w:color="FFFFFF"/>
            </w:tcBorders>
            <w:shd w:val="clear" w:color="000000" w:fill="D9D9D9"/>
            <w:vAlign w:val="center"/>
            <w:hideMark/>
          </w:tcPr>
          <w:p w14:paraId="5A8A4949"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 xml:space="preserve">Bilancia rozpočtu </w:t>
            </w:r>
          </w:p>
        </w:tc>
        <w:tc>
          <w:tcPr>
            <w:tcW w:w="1751" w:type="dxa"/>
            <w:tcBorders>
              <w:top w:val="nil"/>
              <w:left w:val="nil"/>
              <w:bottom w:val="single" w:sz="12" w:space="0" w:color="FFFFFF"/>
              <w:right w:val="single" w:sz="12" w:space="0" w:color="FFFFFF"/>
            </w:tcBorders>
            <w:shd w:val="clear" w:color="000000" w:fill="D9D9D9"/>
            <w:vAlign w:val="center"/>
            <w:hideMark/>
          </w:tcPr>
          <w:p w14:paraId="062A4F5D" w14:textId="7860AD29" w:rsidR="00162BE3" w:rsidRDefault="00162BE3" w:rsidP="00162BE3">
            <w:pPr>
              <w:jc w:val="right"/>
              <w:rPr>
                <w:rFonts w:cs="Calibri"/>
                <w:b/>
                <w:bCs/>
                <w:color w:val="000000"/>
              </w:rPr>
            </w:pPr>
            <w:r>
              <w:rPr>
                <w:rFonts w:cs="Calibri"/>
                <w:b/>
                <w:bCs/>
                <w:color w:val="000000"/>
              </w:rPr>
              <w:t>13 821 752,71</w:t>
            </w:r>
          </w:p>
        </w:tc>
      </w:tr>
      <w:tr w:rsidR="00162BE3" w:rsidRPr="00FA2185" w14:paraId="7156FD2C"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6B47C81B" w14:textId="77777777" w:rsidR="00162BE3" w:rsidRPr="00FA2185" w:rsidRDefault="00162BE3" w:rsidP="00162BE3">
            <w:pPr>
              <w:spacing w:after="0" w:line="240" w:lineRule="auto"/>
              <w:jc w:val="right"/>
              <w:rPr>
                <w:color w:val="000000"/>
                <w:sz w:val="18"/>
                <w:szCs w:val="18"/>
                <w:lang w:eastAsia="sk-SK"/>
              </w:rPr>
            </w:pPr>
            <w:r w:rsidRPr="00FA2185">
              <w:rPr>
                <w:rFonts w:cs="Calibri"/>
                <w:color w:val="000000"/>
                <w:sz w:val="18"/>
                <w:szCs w:val="18"/>
                <w:lang w:eastAsia="sk-SK"/>
              </w:rPr>
              <w:t>8</w:t>
            </w:r>
          </w:p>
        </w:tc>
        <w:tc>
          <w:tcPr>
            <w:tcW w:w="6614" w:type="dxa"/>
            <w:tcBorders>
              <w:top w:val="nil"/>
              <w:left w:val="nil"/>
              <w:bottom w:val="single" w:sz="12" w:space="0" w:color="FFFFFF"/>
              <w:right w:val="single" w:sz="12" w:space="0" w:color="FFFFFF"/>
            </w:tcBorders>
            <w:shd w:val="clear" w:color="000000" w:fill="F2F2F2"/>
            <w:vAlign w:val="center"/>
            <w:hideMark/>
          </w:tcPr>
          <w:p w14:paraId="3BD4A866"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Príjmové finančné operácie</w:t>
            </w:r>
          </w:p>
        </w:tc>
        <w:tc>
          <w:tcPr>
            <w:tcW w:w="1751" w:type="dxa"/>
            <w:tcBorders>
              <w:top w:val="nil"/>
              <w:left w:val="nil"/>
              <w:bottom w:val="single" w:sz="12" w:space="0" w:color="FFFFFF"/>
              <w:right w:val="single" w:sz="12" w:space="0" w:color="FFFFFF"/>
            </w:tcBorders>
            <w:shd w:val="clear" w:color="000000" w:fill="F2F2F2"/>
            <w:vAlign w:val="center"/>
            <w:hideMark/>
          </w:tcPr>
          <w:p w14:paraId="684D1CCE" w14:textId="3D498C3E" w:rsidR="00162BE3" w:rsidRDefault="00162BE3" w:rsidP="00162BE3">
            <w:pPr>
              <w:jc w:val="right"/>
              <w:rPr>
                <w:rFonts w:cs="Calibri"/>
                <w:color w:val="000000"/>
              </w:rPr>
            </w:pPr>
            <w:r>
              <w:rPr>
                <w:rFonts w:cs="Calibri"/>
                <w:color w:val="000000"/>
              </w:rPr>
              <w:t>16 851 529,99</w:t>
            </w:r>
          </w:p>
        </w:tc>
      </w:tr>
      <w:tr w:rsidR="00162BE3" w:rsidRPr="00FA2185" w14:paraId="28201E7D"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313B883B" w14:textId="77777777" w:rsidR="00162BE3" w:rsidRPr="00FA2185" w:rsidRDefault="00162BE3" w:rsidP="00162BE3">
            <w:pPr>
              <w:spacing w:after="0" w:line="240" w:lineRule="auto"/>
              <w:jc w:val="right"/>
              <w:rPr>
                <w:color w:val="000000"/>
                <w:sz w:val="18"/>
                <w:szCs w:val="18"/>
                <w:lang w:eastAsia="sk-SK"/>
              </w:rPr>
            </w:pPr>
            <w:r w:rsidRPr="00FA2185">
              <w:rPr>
                <w:rFonts w:cs="Calibri"/>
                <w:color w:val="000000"/>
                <w:sz w:val="18"/>
                <w:szCs w:val="18"/>
                <w:lang w:eastAsia="sk-SK"/>
              </w:rPr>
              <w:t>9</w:t>
            </w:r>
          </w:p>
        </w:tc>
        <w:tc>
          <w:tcPr>
            <w:tcW w:w="6614" w:type="dxa"/>
            <w:tcBorders>
              <w:top w:val="nil"/>
              <w:left w:val="nil"/>
              <w:bottom w:val="single" w:sz="12" w:space="0" w:color="FFFFFF"/>
              <w:right w:val="single" w:sz="12" w:space="0" w:color="FFFFFF"/>
            </w:tcBorders>
            <w:shd w:val="clear" w:color="000000" w:fill="F2F2F2"/>
            <w:vAlign w:val="center"/>
            <w:hideMark/>
          </w:tcPr>
          <w:p w14:paraId="53E61407"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 xml:space="preserve">Výdavkové finančné operácie </w:t>
            </w:r>
          </w:p>
        </w:tc>
        <w:tc>
          <w:tcPr>
            <w:tcW w:w="1751" w:type="dxa"/>
            <w:tcBorders>
              <w:top w:val="nil"/>
              <w:left w:val="nil"/>
              <w:bottom w:val="single" w:sz="12" w:space="0" w:color="FFFFFF"/>
              <w:right w:val="single" w:sz="12" w:space="0" w:color="FFFFFF"/>
            </w:tcBorders>
            <w:shd w:val="clear" w:color="000000" w:fill="F2F2F2"/>
            <w:vAlign w:val="center"/>
            <w:hideMark/>
          </w:tcPr>
          <w:p w14:paraId="3C9B2D28" w14:textId="1B08DC6A" w:rsidR="00162BE3" w:rsidRDefault="00162BE3" w:rsidP="00162BE3">
            <w:pPr>
              <w:jc w:val="right"/>
              <w:rPr>
                <w:rFonts w:cs="Calibri"/>
                <w:color w:val="000000"/>
              </w:rPr>
            </w:pPr>
            <w:r>
              <w:rPr>
                <w:rFonts w:cs="Calibri"/>
                <w:color w:val="000000"/>
              </w:rPr>
              <w:t>4 556 130,35</w:t>
            </w:r>
          </w:p>
        </w:tc>
      </w:tr>
      <w:tr w:rsidR="00162BE3" w:rsidRPr="00FA2185" w14:paraId="1388B525"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D9D9D9"/>
            <w:vAlign w:val="center"/>
            <w:hideMark/>
          </w:tcPr>
          <w:p w14:paraId="733E7BC5"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10=B8-B9</w:t>
            </w:r>
          </w:p>
        </w:tc>
        <w:tc>
          <w:tcPr>
            <w:tcW w:w="6614" w:type="dxa"/>
            <w:tcBorders>
              <w:top w:val="nil"/>
              <w:left w:val="nil"/>
              <w:bottom w:val="single" w:sz="12" w:space="0" w:color="FFFFFF"/>
              <w:right w:val="single" w:sz="12" w:space="0" w:color="FFFFFF"/>
            </w:tcBorders>
            <w:shd w:val="clear" w:color="000000" w:fill="D9D9D9"/>
            <w:vAlign w:val="center"/>
            <w:hideMark/>
          </w:tcPr>
          <w:p w14:paraId="3F1F3704"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Bilancia finančných operácií</w:t>
            </w:r>
          </w:p>
        </w:tc>
        <w:tc>
          <w:tcPr>
            <w:tcW w:w="1751" w:type="dxa"/>
            <w:tcBorders>
              <w:top w:val="nil"/>
              <w:left w:val="nil"/>
              <w:bottom w:val="single" w:sz="12" w:space="0" w:color="FFFFFF"/>
              <w:right w:val="single" w:sz="12" w:space="0" w:color="FFFFFF"/>
            </w:tcBorders>
            <w:shd w:val="clear" w:color="000000" w:fill="D9D9D9"/>
            <w:vAlign w:val="center"/>
            <w:hideMark/>
          </w:tcPr>
          <w:p w14:paraId="2B8E776F" w14:textId="1FAB1D54" w:rsidR="00162BE3" w:rsidRDefault="00162BE3" w:rsidP="00162BE3">
            <w:pPr>
              <w:jc w:val="right"/>
              <w:rPr>
                <w:rFonts w:cs="Calibri"/>
                <w:b/>
                <w:bCs/>
                <w:color w:val="000000"/>
              </w:rPr>
            </w:pPr>
            <w:r>
              <w:rPr>
                <w:rFonts w:cs="Calibri"/>
                <w:b/>
                <w:bCs/>
                <w:color w:val="000000"/>
              </w:rPr>
              <w:t>12 295 399,64</w:t>
            </w:r>
          </w:p>
        </w:tc>
      </w:tr>
      <w:tr w:rsidR="00162BE3" w:rsidRPr="00FA2185" w14:paraId="4BF2C6D7"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7E99FB6B"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11=B1+B4+B8</w:t>
            </w:r>
          </w:p>
        </w:tc>
        <w:tc>
          <w:tcPr>
            <w:tcW w:w="6614" w:type="dxa"/>
            <w:tcBorders>
              <w:top w:val="nil"/>
              <w:left w:val="nil"/>
              <w:bottom w:val="single" w:sz="12" w:space="0" w:color="FFFFFF"/>
              <w:right w:val="single" w:sz="12" w:space="0" w:color="FFFFFF"/>
            </w:tcBorders>
            <w:shd w:val="clear" w:color="000000" w:fill="F2F2F2"/>
            <w:vAlign w:val="center"/>
            <w:hideMark/>
          </w:tcPr>
          <w:p w14:paraId="744F33CD"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 xml:space="preserve">Príjmy a príjmové finančné operácie </w:t>
            </w:r>
          </w:p>
        </w:tc>
        <w:tc>
          <w:tcPr>
            <w:tcW w:w="1751" w:type="dxa"/>
            <w:tcBorders>
              <w:top w:val="nil"/>
              <w:left w:val="nil"/>
              <w:bottom w:val="single" w:sz="12" w:space="0" w:color="FFFFFF"/>
              <w:right w:val="single" w:sz="12" w:space="0" w:color="FFFFFF"/>
            </w:tcBorders>
            <w:shd w:val="clear" w:color="000000" w:fill="F2F2F2"/>
            <w:vAlign w:val="center"/>
            <w:hideMark/>
          </w:tcPr>
          <w:p w14:paraId="1D832A19" w14:textId="0948C875" w:rsidR="00162BE3" w:rsidRDefault="00162BE3" w:rsidP="00162BE3">
            <w:pPr>
              <w:jc w:val="right"/>
              <w:rPr>
                <w:rFonts w:cs="Calibri"/>
                <w:color w:val="000000"/>
              </w:rPr>
            </w:pPr>
            <w:r>
              <w:rPr>
                <w:rFonts w:cs="Calibri"/>
                <w:color w:val="000000"/>
              </w:rPr>
              <w:t>196 565 475,81</w:t>
            </w:r>
          </w:p>
        </w:tc>
      </w:tr>
      <w:tr w:rsidR="00162BE3" w:rsidRPr="00FA2185" w14:paraId="5ACC867A"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3BC30411"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12=B2+B5+B9</w:t>
            </w:r>
          </w:p>
        </w:tc>
        <w:tc>
          <w:tcPr>
            <w:tcW w:w="6614" w:type="dxa"/>
            <w:tcBorders>
              <w:top w:val="nil"/>
              <w:left w:val="nil"/>
              <w:bottom w:val="single" w:sz="12" w:space="0" w:color="FFFFFF"/>
              <w:right w:val="single" w:sz="12" w:space="0" w:color="FFFFFF"/>
            </w:tcBorders>
            <w:shd w:val="clear" w:color="000000" w:fill="F2F2F2"/>
            <w:vAlign w:val="center"/>
            <w:hideMark/>
          </w:tcPr>
          <w:p w14:paraId="437FD179" w14:textId="77777777" w:rsidR="00162BE3" w:rsidRPr="00FA2185" w:rsidRDefault="00162BE3" w:rsidP="00162BE3">
            <w:pPr>
              <w:spacing w:after="0" w:line="240" w:lineRule="auto"/>
              <w:rPr>
                <w:color w:val="000000"/>
                <w:sz w:val="18"/>
                <w:szCs w:val="18"/>
                <w:lang w:eastAsia="sk-SK"/>
              </w:rPr>
            </w:pPr>
            <w:r w:rsidRPr="00FA2185">
              <w:rPr>
                <w:rFonts w:cs="Calibri"/>
                <w:color w:val="000000"/>
                <w:sz w:val="18"/>
                <w:szCs w:val="18"/>
                <w:lang w:eastAsia="sk-SK"/>
              </w:rPr>
              <w:t xml:space="preserve">Výdavky a výdavkové finančné operácie </w:t>
            </w:r>
          </w:p>
        </w:tc>
        <w:tc>
          <w:tcPr>
            <w:tcW w:w="1751" w:type="dxa"/>
            <w:tcBorders>
              <w:top w:val="nil"/>
              <w:left w:val="nil"/>
              <w:bottom w:val="single" w:sz="12" w:space="0" w:color="FFFFFF"/>
              <w:right w:val="single" w:sz="12" w:space="0" w:color="FFFFFF"/>
            </w:tcBorders>
            <w:shd w:val="clear" w:color="000000" w:fill="F2F2F2"/>
            <w:vAlign w:val="center"/>
            <w:hideMark/>
          </w:tcPr>
          <w:p w14:paraId="1993EBDF" w14:textId="303E5708" w:rsidR="00162BE3" w:rsidRDefault="00162BE3" w:rsidP="00162BE3">
            <w:pPr>
              <w:jc w:val="right"/>
              <w:rPr>
                <w:rFonts w:cs="Calibri"/>
                <w:color w:val="000000"/>
              </w:rPr>
            </w:pPr>
            <w:r>
              <w:rPr>
                <w:rFonts w:cs="Calibri"/>
                <w:color w:val="000000"/>
              </w:rPr>
              <w:t>170 448 323,46</w:t>
            </w:r>
          </w:p>
        </w:tc>
      </w:tr>
      <w:tr w:rsidR="00162BE3" w:rsidRPr="00FA2185" w14:paraId="494BE0E6"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D9D9D9"/>
            <w:vAlign w:val="center"/>
            <w:hideMark/>
          </w:tcPr>
          <w:p w14:paraId="734FE68F"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13=B11-B12</w:t>
            </w:r>
          </w:p>
        </w:tc>
        <w:tc>
          <w:tcPr>
            <w:tcW w:w="6614" w:type="dxa"/>
            <w:tcBorders>
              <w:top w:val="nil"/>
              <w:left w:val="nil"/>
              <w:bottom w:val="single" w:sz="12" w:space="0" w:color="FFFFFF"/>
              <w:right w:val="single" w:sz="12" w:space="0" w:color="FFFFFF"/>
            </w:tcBorders>
            <w:shd w:val="clear" w:color="000000" w:fill="D9D9D9"/>
            <w:vAlign w:val="center"/>
            <w:hideMark/>
          </w:tcPr>
          <w:p w14:paraId="5B4CFFE6" w14:textId="77777777" w:rsidR="00162BE3" w:rsidRPr="00FA2185" w:rsidRDefault="00162BE3" w:rsidP="00162BE3">
            <w:pPr>
              <w:spacing w:after="0" w:line="240" w:lineRule="auto"/>
              <w:rPr>
                <w:b/>
                <w:bCs/>
                <w:color w:val="000000"/>
                <w:sz w:val="18"/>
                <w:szCs w:val="18"/>
                <w:lang w:eastAsia="sk-SK"/>
              </w:rPr>
            </w:pPr>
            <w:r w:rsidRPr="00FA2185">
              <w:rPr>
                <w:rFonts w:cs="Calibri"/>
                <w:b/>
                <w:bCs/>
                <w:color w:val="000000"/>
                <w:sz w:val="18"/>
                <w:szCs w:val="18"/>
                <w:lang w:eastAsia="sk-SK"/>
              </w:rPr>
              <w:t>Bilancia rozpočtu vrátane finančných operácií celkom</w:t>
            </w:r>
          </w:p>
        </w:tc>
        <w:tc>
          <w:tcPr>
            <w:tcW w:w="1751" w:type="dxa"/>
            <w:tcBorders>
              <w:top w:val="nil"/>
              <w:left w:val="nil"/>
              <w:bottom w:val="single" w:sz="12" w:space="0" w:color="FFFFFF"/>
              <w:right w:val="single" w:sz="12" w:space="0" w:color="FFFFFF"/>
            </w:tcBorders>
            <w:shd w:val="clear" w:color="000000" w:fill="D9D9D9"/>
            <w:vAlign w:val="center"/>
            <w:hideMark/>
          </w:tcPr>
          <w:p w14:paraId="3401EF73" w14:textId="5275FBDF" w:rsidR="00162BE3" w:rsidRDefault="00162BE3" w:rsidP="00162BE3">
            <w:pPr>
              <w:jc w:val="right"/>
              <w:rPr>
                <w:rFonts w:cs="Calibri"/>
                <w:b/>
                <w:bCs/>
                <w:color w:val="000000"/>
              </w:rPr>
            </w:pPr>
            <w:r>
              <w:rPr>
                <w:rFonts w:cs="Calibri"/>
                <w:b/>
                <w:bCs/>
                <w:color w:val="000000"/>
              </w:rPr>
              <w:t>26 117 152,35</w:t>
            </w:r>
          </w:p>
        </w:tc>
      </w:tr>
      <w:tr w:rsidR="00831819" w:rsidRPr="00FA2185" w14:paraId="09F3E26E"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7EFFB463" w14:textId="77777777" w:rsidR="00831819" w:rsidRPr="00FA2185" w:rsidRDefault="00831819" w:rsidP="00831819">
            <w:pPr>
              <w:spacing w:after="0" w:line="240" w:lineRule="auto"/>
              <w:jc w:val="right"/>
              <w:rPr>
                <w:color w:val="000000"/>
                <w:sz w:val="18"/>
                <w:szCs w:val="18"/>
                <w:lang w:eastAsia="sk-SK"/>
              </w:rPr>
            </w:pPr>
            <w:r w:rsidRPr="00FA2185">
              <w:rPr>
                <w:rFonts w:cs="Calibri"/>
                <w:color w:val="000000"/>
                <w:sz w:val="18"/>
                <w:szCs w:val="18"/>
                <w:lang w:eastAsia="sk-SK"/>
              </w:rPr>
              <w:t>14</w:t>
            </w:r>
          </w:p>
        </w:tc>
        <w:tc>
          <w:tcPr>
            <w:tcW w:w="6614" w:type="dxa"/>
            <w:tcBorders>
              <w:top w:val="nil"/>
              <w:left w:val="nil"/>
              <w:bottom w:val="single" w:sz="12" w:space="0" w:color="FFFFFF"/>
              <w:right w:val="single" w:sz="12" w:space="0" w:color="FFFFFF"/>
            </w:tcBorders>
            <w:shd w:val="clear" w:color="000000" w:fill="F2F2F2"/>
            <w:vAlign w:val="center"/>
            <w:hideMark/>
          </w:tcPr>
          <w:p w14:paraId="32B83C31" w14:textId="77777777" w:rsidR="00831819" w:rsidRPr="00FA2185" w:rsidRDefault="00831819" w:rsidP="00831819">
            <w:pPr>
              <w:spacing w:after="0" w:line="240" w:lineRule="auto"/>
              <w:rPr>
                <w:color w:val="000000"/>
                <w:sz w:val="18"/>
                <w:szCs w:val="18"/>
                <w:lang w:eastAsia="sk-SK"/>
              </w:rPr>
            </w:pPr>
            <w:r w:rsidRPr="00FA2185">
              <w:rPr>
                <w:rFonts w:cs="Calibri"/>
                <w:color w:val="000000"/>
                <w:sz w:val="18"/>
                <w:szCs w:val="18"/>
                <w:lang w:eastAsia="sk-SK"/>
              </w:rPr>
              <w:t xml:space="preserve">Úprava finančných vzťahov v zmysle zákona č. 583/2004 Z. z. </w:t>
            </w:r>
          </w:p>
        </w:tc>
        <w:tc>
          <w:tcPr>
            <w:tcW w:w="1751" w:type="dxa"/>
            <w:tcBorders>
              <w:top w:val="nil"/>
              <w:left w:val="nil"/>
              <w:bottom w:val="single" w:sz="12" w:space="0" w:color="FFFFFF"/>
              <w:right w:val="single" w:sz="12" w:space="0" w:color="FFFFFF"/>
            </w:tcBorders>
            <w:shd w:val="clear" w:color="000000" w:fill="F2F2F2"/>
            <w:vAlign w:val="center"/>
            <w:hideMark/>
          </w:tcPr>
          <w:p w14:paraId="60E9F1F3" w14:textId="01CA482B" w:rsidR="00831819" w:rsidRDefault="00831819" w:rsidP="00831819">
            <w:pPr>
              <w:jc w:val="right"/>
              <w:rPr>
                <w:rFonts w:cs="Calibri"/>
                <w:color w:val="000000"/>
              </w:rPr>
            </w:pPr>
            <w:r>
              <w:rPr>
                <w:rFonts w:cs="Calibri"/>
                <w:color w:val="000000"/>
              </w:rPr>
              <w:t>4 282 640,58</w:t>
            </w:r>
          </w:p>
        </w:tc>
      </w:tr>
      <w:tr w:rsidR="00831819" w:rsidRPr="00FA2185" w14:paraId="5767706D"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F2F2F2"/>
            <w:vAlign w:val="center"/>
            <w:hideMark/>
          </w:tcPr>
          <w:p w14:paraId="6C423FB2" w14:textId="77777777" w:rsidR="00831819" w:rsidRPr="00FA2185" w:rsidRDefault="00831819" w:rsidP="00831819">
            <w:pPr>
              <w:spacing w:after="0" w:line="240" w:lineRule="auto"/>
              <w:rPr>
                <w:color w:val="000000"/>
                <w:sz w:val="18"/>
                <w:szCs w:val="18"/>
                <w:lang w:eastAsia="sk-SK"/>
              </w:rPr>
            </w:pPr>
            <w:r w:rsidRPr="00FA2185">
              <w:rPr>
                <w:rFonts w:cs="Calibri"/>
                <w:color w:val="000000"/>
                <w:sz w:val="18"/>
                <w:szCs w:val="18"/>
                <w:lang w:eastAsia="sk-SK"/>
              </w:rPr>
              <w:t>15=B7-B14</w:t>
            </w:r>
          </w:p>
        </w:tc>
        <w:tc>
          <w:tcPr>
            <w:tcW w:w="6614" w:type="dxa"/>
            <w:tcBorders>
              <w:top w:val="nil"/>
              <w:left w:val="nil"/>
              <w:bottom w:val="single" w:sz="12" w:space="0" w:color="FFFFFF"/>
              <w:right w:val="single" w:sz="12" w:space="0" w:color="FFFFFF"/>
            </w:tcBorders>
            <w:shd w:val="clear" w:color="000000" w:fill="F2F2F2"/>
            <w:vAlign w:val="center"/>
            <w:hideMark/>
          </w:tcPr>
          <w:p w14:paraId="4492702C" w14:textId="77777777" w:rsidR="00831819" w:rsidRPr="00FA2185" w:rsidRDefault="00831819" w:rsidP="00831819">
            <w:pPr>
              <w:spacing w:after="0" w:line="240" w:lineRule="auto"/>
              <w:rPr>
                <w:color w:val="000000"/>
                <w:sz w:val="18"/>
                <w:szCs w:val="18"/>
                <w:lang w:eastAsia="sk-SK"/>
              </w:rPr>
            </w:pPr>
            <w:r w:rsidRPr="00FA2185">
              <w:rPr>
                <w:rFonts w:cs="Calibri"/>
                <w:color w:val="000000"/>
                <w:sz w:val="18"/>
                <w:szCs w:val="18"/>
                <w:lang w:eastAsia="sk-SK"/>
              </w:rPr>
              <w:t>Bilancia rozpočtu bez finančných operácií po úprave celkom</w:t>
            </w:r>
          </w:p>
        </w:tc>
        <w:tc>
          <w:tcPr>
            <w:tcW w:w="1751" w:type="dxa"/>
            <w:tcBorders>
              <w:top w:val="nil"/>
              <w:left w:val="nil"/>
              <w:bottom w:val="single" w:sz="12" w:space="0" w:color="FFFFFF"/>
              <w:right w:val="single" w:sz="12" w:space="0" w:color="FFFFFF"/>
            </w:tcBorders>
            <w:shd w:val="clear" w:color="000000" w:fill="F2F2F2"/>
            <w:vAlign w:val="center"/>
            <w:hideMark/>
          </w:tcPr>
          <w:p w14:paraId="40E62006" w14:textId="3D5E4233" w:rsidR="00831819" w:rsidRDefault="00831819" w:rsidP="00831819">
            <w:pPr>
              <w:jc w:val="right"/>
              <w:rPr>
                <w:rFonts w:cs="Calibri"/>
                <w:color w:val="000000"/>
              </w:rPr>
            </w:pPr>
            <w:r>
              <w:rPr>
                <w:rFonts w:cs="Calibri"/>
                <w:color w:val="000000"/>
              </w:rPr>
              <w:t>9 539 112,13</w:t>
            </w:r>
          </w:p>
        </w:tc>
      </w:tr>
      <w:tr w:rsidR="00831819" w:rsidRPr="00FA2185" w14:paraId="3A13F397" w14:textId="77777777" w:rsidTr="00737516">
        <w:trPr>
          <w:trHeight w:hRule="exact" w:val="347"/>
        </w:trPr>
        <w:tc>
          <w:tcPr>
            <w:tcW w:w="2142" w:type="dxa"/>
            <w:tcBorders>
              <w:top w:val="nil"/>
              <w:left w:val="single" w:sz="12" w:space="0" w:color="FFFFFF"/>
              <w:bottom w:val="single" w:sz="12" w:space="0" w:color="FFFFFF"/>
              <w:right w:val="single" w:sz="12" w:space="0" w:color="FFFFFF"/>
            </w:tcBorders>
            <w:shd w:val="clear" w:color="000000" w:fill="8DB3E2"/>
            <w:vAlign w:val="center"/>
            <w:hideMark/>
          </w:tcPr>
          <w:p w14:paraId="3650F52B" w14:textId="77777777" w:rsidR="00831819" w:rsidRPr="00FA2185" w:rsidRDefault="00831819" w:rsidP="00831819">
            <w:pPr>
              <w:spacing w:after="0" w:line="240" w:lineRule="auto"/>
              <w:rPr>
                <w:b/>
                <w:bCs/>
                <w:color w:val="000000"/>
                <w:sz w:val="18"/>
                <w:szCs w:val="18"/>
                <w:lang w:eastAsia="sk-SK"/>
              </w:rPr>
            </w:pPr>
            <w:r w:rsidRPr="00FA2185">
              <w:rPr>
                <w:rFonts w:cs="Calibri"/>
                <w:b/>
                <w:bCs/>
                <w:color w:val="000000"/>
                <w:sz w:val="18"/>
                <w:szCs w:val="18"/>
                <w:lang w:eastAsia="sk-SK"/>
              </w:rPr>
              <w:t>16=B13-B14</w:t>
            </w:r>
          </w:p>
        </w:tc>
        <w:tc>
          <w:tcPr>
            <w:tcW w:w="6614" w:type="dxa"/>
            <w:tcBorders>
              <w:top w:val="nil"/>
              <w:left w:val="nil"/>
              <w:bottom w:val="single" w:sz="12" w:space="0" w:color="FFFFFF"/>
              <w:right w:val="single" w:sz="12" w:space="0" w:color="FFFFFF"/>
            </w:tcBorders>
            <w:shd w:val="clear" w:color="000000" w:fill="8DB3E2"/>
            <w:vAlign w:val="center"/>
            <w:hideMark/>
          </w:tcPr>
          <w:p w14:paraId="5ADA37DB" w14:textId="77777777" w:rsidR="00831819" w:rsidRPr="00FA2185" w:rsidRDefault="00831819" w:rsidP="00831819">
            <w:pPr>
              <w:spacing w:after="0" w:line="240" w:lineRule="auto"/>
              <w:rPr>
                <w:b/>
                <w:bCs/>
                <w:color w:val="000000"/>
                <w:sz w:val="20"/>
                <w:szCs w:val="20"/>
                <w:lang w:eastAsia="sk-SK"/>
              </w:rPr>
            </w:pPr>
            <w:r w:rsidRPr="00FA2185">
              <w:rPr>
                <w:rFonts w:cs="Calibri"/>
                <w:b/>
                <w:bCs/>
                <w:color w:val="000000"/>
                <w:sz w:val="20"/>
                <w:szCs w:val="20"/>
                <w:lang w:eastAsia="sk-SK"/>
              </w:rPr>
              <w:t>Zostatok finančných operácii za uplynulý rozpočtový rok po úprave celkom</w:t>
            </w:r>
          </w:p>
        </w:tc>
        <w:tc>
          <w:tcPr>
            <w:tcW w:w="1751" w:type="dxa"/>
            <w:tcBorders>
              <w:top w:val="nil"/>
              <w:left w:val="nil"/>
              <w:bottom w:val="single" w:sz="12" w:space="0" w:color="FFFFFF"/>
              <w:right w:val="single" w:sz="12" w:space="0" w:color="FFFFFF"/>
            </w:tcBorders>
            <w:shd w:val="clear" w:color="000000" w:fill="8DB3E2"/>
            <w:vAlign w:val="center"/>
            <w:hideMark/>
          </w:tcPr>
          <w:p w14:paraId="009DA01C" w14:textId="7F5B870F" w:rsidR="00831819" w:rsidRDefault="00831819" w:rsidP="00831819">
            <w:pPr>
              <w:jc w:val="right"/>
              <w:rPr>
                <w:rFonts w:cs="Calibri"/>
                <w:b/>
                <w:bCs/>
                <w:color w:val="000000"/>
              </w:rPr>
            </w:pPr>
            <w:r>
              <w:rPr>
                <w:rFonts w:cs="Calibri"/>
                <w:b/>
                <w:bCs/>
                <w:color w:val="000000"/>
              </w:rPr>
              <w:t>21 834 511,77</w:t>
            </w:r>
          </w:p>
        </w:tc>
      </w:tr>
    </w:tbl>
    <w:p w14:paraId="2A74C226" w14:textId="77777777" w:rsidR="00BE704E" w:rsidRDefault="00BE704E" w:rsidP="00BE704E">
      <w:pPr>
        <w:pStyle w:val="Hlavika"/>
        <w:tabs>
          <w:tab w:val="clear" w:pos="4536"/>
          <w:tab w:val="clear" w:pos="9072"/>
        </w:tabs>
        <w:rPr>
          <w:rFonts w:ascii="Calibri" w:hAnsi="Calibri" w:cs="Calibri"/>
          <w:b/>
          <w:bCs/>
          <w:iCs/>
          <w:sz w:val="28"/>
          <w:szCs w:val="28"/>
          <w:lang w:val="sk-SK"/>
        </w:rPr>
      </w:pPr>
    </w:p>
    <w:p w14:paraId="5C48E606" w14:textId="17673EDA" w:rsidR="00BE704E" w:rsidRPr="00602A04" w:rsidRDefault="00BE704E" w:rsidP="006512F1">
      <w:pPr>
        <w:spacing w:after="0" w:line="240" w:lineRule="auto"/>
        <w:jc w:val="both"/>
        <w:rPr>
          <w:rFonts w:cs="Calibri"/>
          <w:b/>
          <w:bCs/>
          <w:color w:val="000000"/>
          <w:sz w:val="24"/>
          <w:szCs w:val="24"/>
          <w:lang w:eastAsia="sk-SK"/>
        </w:rPr>
      </w:pPr>
      <w:r w:rsidRPr="00602A04">
        <w:rPr>
          <w:rFonts w:asciiTheme="minorHAnsi" w:hAnsiTheme="minorHAnsi" w:cstheme="minorHAnsi"/>
          <w:bCs/>
          <w:iCs/>
          <w:sz w:val="24"/>
          <w:szCs w:val="24"/>
        </w:rPr>
        <w:t xml:space="preserve">Hospodársky výsledok vrátane finančných operácií po vylúčení nevyčerpaných dotácii </w:t>
      </w:r>
      <w:r w:rsidR="00737516">
        <w:rPr>
          <w:rFonts w:asciiTheme="minorHAnsi" w:hAnsiTheme="minorHAnsi" w:cstheme="minorHAnsi"/>
          <w:bCs/>
          <w:iCs/>
          <w:sz w:val="24"/>
          <w:szCs w:val="24"/>
        </w:rPr>
        <w:t xml:space="preserve">zo </w:t>
      </w:r>
      <w:r w:rsidRPr="00602A04">
        <w:rPr>
          <w:rFonts w:asciiTheme="minorHAnsi" w:hAnsiTheme="minorHAnsi" w:cstheme="minorHAnsi"/>
          <w:bCs/>
          <w:iCs/>
          <w:sz w:val="24"/>
          <w:szCs w:val="24"/>
        </w:rPr>
        <w:t xml:space="preserve">ŠR, </w:t>
      </w:r>
      <w:r w:rsidR="00737516">
        <w:rPr>
          <w:rFonts w:asciiTheme="minorHAnsi" w:hAnsiTheme="minorHAnsi" w:cstheme="minorHAnsi"/>
          <w:bCs/>
          <w:iCs/>
          <w:sz w:val="24"/>
          <w:szCs w:val="24"/>
        </w:rPr>
        <w:t xml:space="preserve">z </w:t>
      </w:r>
      <w:r w:rsidRPr="00602A04">
        <w:rPr>
          <w:rFonts w:asciiTheme="minorHAnsi" w:hAnsiTheme="minorHAnsi" w:cstheme="minorHAnsi"/>
          <w:bCs/>
          <w:iCs/>
          <w:sz w:val="24"/>
          <w:szCs w:val="24"/>
        </w:rPr>
        <w:t xml:space="preserve">prostriedkov EÚ a ostatných záväzkov je vo výške </w:t>
      </w:r>
      <w:r w:rsidR="00831819" w:rsidRPr="00831819">
        <w:rPr>
          <w:rFonts w:cs="Calibri"/>
          <w:b/>
          <w:bCs/>
          <w:color w:val="000000"/>
          <w:sz w:val="24"/>
          <w:szCs w:val="24"/>
        </w:rPr>
        <w:t>21 834 511,77</w:t>
      </w:r>
      <w:r w:rsidR="00831819">
        <w:rPr>
          <w:rFonts w:cs="Calibri"/>
          <w:b/>
          <w:bCs/>
          <w:color w:val="000000"/>
          <w:sz w:val="24"/>
          <w:szCs w:val="24"/>
        </w:rPr>
        <w:t xml:space="preserve"> </w:t>
      </w:r>
      <w:r w:rsidRPr="00602A04">
        <w:rPr>
          <w:rFonts w:asciiTheme="minorHAnsi" w:hAnsiTheme="minorHAnsi" w:cstheme="minorHAnsi"/>
          <w:b/>
          <w:bCs/>
          <w:iCs/>
          <w:sz w:val="24"/>
          <w:szCs w:val="24"/>
        </w:rPr>
        <w:t>EUR</w:t>
      </w:r>
      <w:r w:rsidRPr="00602A04">
        <w:rPr>
          <w:rFonts w:asciiTheme="minorHAnsi" w:hAnsiTheme="minorHAnsi" w:cstheme="minorHAnsi"/>
          <w:bCs/>
          <w:iCs/>
          <w:sz w:val="24"/>
          <w:szCs w:val="24"/>
        </w:rPr>
        <w:t xml:space="preserve">. </w:t>
      </w:r>
    </w:p>
    <w:p w14:paraId="3DF57A22" w14:textId="77777777" w:rsidR="00E614AA" w:rsidRPr="00D7117E" w:rsidRDefault="00E614AA" w:rsidP="00BE704E">
      <w:pPr>
        <w:pStyle w:val="Hlavika"/>
        <w:rPr>
          <w:rFonts w:asciiTheme="minorHAnsi" w:hAnsiTheme="minorHAnsi" w:cstheme="minorHAnsi"/>
          <w:bCs/>
          <w:iCs/>
          <w:sz w:val="23"/>
          <w:szCs w:val="23"/>
        </w:rPr>
      </w:pPr>
    </w:p>
    <w:p w14:paraId="0D5B3476" w14:textId="771BCD24" w:rsidR="00BE704E" w:rsidRPr="00B44352" w:rsidRDefault="00BE704E" w:rsidP="00BE704E">
      <w:pPr>
        <w:pStyle w:val="tl2"/>
        <w:spacing w:after="240"/>
        <w:ind w:left="0" w:firstLine="0"/>
      </w:pPr>
      <w:r w:rsidRPr="00FA2185">
        <w:lastRenderedPageBreak/>
        <w:t>B.4  Použitie zostatku finančných prostriedkov BSK z roku 20</w:t>
      </w:r>
      <w:r w:rsidR="00831BFB">
        <w:t>20</w:t>
      </w:r>
    </w:p>
    <w:p w14:paraId="7EF838A1" w14:textId="77777777" w:rsidR="00BE704E" w:rsidRDefault="00BE704E" w:rsidP="00C3193B">
      <w:pPr>
        <w:spacing w:line="240" w:lineRule="auto"/>
        <w:jc w:val="both"/>
        <w:rPr>
          <w:sz w:val="24"/>
          <w:szCs w:val="24"/>
        </w:rPr>
      </w:pPr>
      <w:r w:rsidRPr="00CE24EC">
        <w:rPr>
          <w:sz w:val="24"/>
          <w:szCs w:val="24"/>
        </w:rPr>
        <w:t xml:space="preserve">V zmysle </w:t>
      </w:r>
      <w:r>
        <w:rPr>
          <w:sz w:val="24"/>
          <w:szCs w:val="24"/>
        </w:rPr>
        <w:t xml:space="preserve">§ 15 ods. 1, písm. a) </w:t>
      </w:r>
      <w:r w:rsidRPr="00CE24EC">
        <w:rPr>
          <w:sz w:val="24"/>
          <w:szCs w:val="24"/>
        </w:rPr>
        <w:t xml:space="preserve">zákona </w:t>
      </w:r>
      <w:r w:rsidRPr="00361426">
        <w:rPr>
          <w:sz w:val="24"/>
          <w:szCs w:val="24"/>
        </w:rPr>
        <w:t xml:space="preserve">NR SR č. 583/2004 </w:t>
      </w:r>
      <w:r>
        <w:rPr>
          <w:sz w:val="24"/>
          <w:szCs w:val="24"/>
        </w:rPr>
        <w:t xml:space="preserve">Z. z. o rozpočtových pravidlách </w:t>
      </w:r>
      <w:r w:rsidRPr="00361426">
        <w:rPr>
          <w:sz w:val="24"/>
          <w:szCs w:val="24"/>
        </w:rPr>
        <w:t>územnej samosprávy a o zmene a doplnení niektorých zákonov v plat</w:t>
      </w:r>
      <w:r>
        <w:rPr>
          <w:sz w:val="24"/>
          <w:szCs w:val="24"/>
        </w:rPr>
        <w:t xml:space="preserve">nom znení </w:t>
      </w:r>
      <w:r w:rsidRPr="0050110A">
        <w:rPr>
          <w:b/>
          <w:sz w:val="24"/>
          <w:szCs w:val="24"/>
        </w:rPr>
        <w:t>prebytok rozpočtu za uplynulý rozpočtový rok</w:t>
      </w:r>
      <w:r>
        <w:rPr>
          <w:sz w:val="24"/>
          <w:szCs w:val="24"/>
        </w:rPr>
        <w:t xml:space="preserve"> </w:t>
      </w:r>
      <w:r w:rsidRPr="000164AF">
        <w:rPr>
          <w:b/>
          <w:sz w:val="24"/>
          <w:szCs w:val="24"/>
        </w:rPr>
        <w:t>je zdrojom peňažných fondov</w:t>
      </w:r>
      <w:r>
        <w:rPr>
          <w:b/>
          <w:sz w:val="24"/>
          <w:szCs w:val="24"/>
        </w:rPr>
        <w:t xml:space="preserve"> samosprávneho kraja</w:t>
      </w:r>
      <w:r w:rsidRPr="00CE24EC">
        <w:rPr>
          <w:sz w:val="24"/>
          <w:szCs w:val="24"/>
        </w:rPr>
        <w:t xml:space="preserve">. </w:t>
      </w:r>
    </w:p>
    <w:p w14:paraId="13A1674F" w14:textId="66FB2647" w:rsidR="00BE704E" w:rsidRDefault="00BE704E" w:rsidP="00B359CA">
      <w:pPr>
        <w:spacing w:line="240" w:lineRule="auto"/>
        <w:jc w:val="both"/>
        <w:rPr>
          <w:sz w:val="24"/>
          <w:szCs w:val="24"/>
        </w:rPr>
      </w:pPr>
      <w:r w:rsidRPr="00361426">
        <w:rPr>
          <w:sz w:val="24"/>
          <w:szCs w:val="24"/>
        </w:rPr>
        <w:t>V súlade s</w:t>
      </w:r>
      <w:r>
        <w:rPr>
          <w:sz w:val="24"/>
          <w:szCs w:val="24"/>
        </w:rPr>
        <w:t xml:space="preserve"> citovaným </w:t>
      </w:r>
      <w:r w:rsidRPr="00361426">
        <w:rPr>
          <w:sz w:val="24"/>
          <w:szCs w:val="24"/>
        </w:rPr>
        <w:t xml:space="preserve">ustanovením </w:t>
      </w:r>
      <w:r>
        <w:rPr>
          <w:sz w:val="24"/>
          <w:szCs w:val="24"/>
        </w:rPr>
        <w:t xml:space="preserve">uvedeného </w:t>
      </w:r>
      <w:r w:rsidRPr="00361426">
        <w:rPr>
          <w:sz w:val="24"/>
          <w:szCs w:val="24"/>
        </w:rPr>
        <w:t xml:space="preserve">zákona </w:t>
      </w:r>
      <w:r>
        <w:rPr>
          <w:sz w:val="24"/>
          <w:szCs w:val="24"/>
        </w:rPr>
        <w:t xml:space="preserve">budú finančné prostriedky v plnej výške, </w:t>
      </w:r>
      <w:r>
        <w:rPr>
          <w:sz w:val="24"/>
          <w:szCs w:val="24"/>
        </w:rPr>
        <w:br/>
        <w:t>t. z</w:t>
      </w:r>
      <w:r w:rsidRPr="00FA2185">
        <w:rPr>
          <w:sz w:val="24"/>
          <w:szCs w:val="24"/>
        </w:rPr>
        <w:t xml:space="preserve">. </w:t>
      </w:r>
      <w:r w:rsidR="00831819">
        <w:rPr>
          <w:rFonts w:cs="Calibri"/>
          <w:b/>
          <w:bCs/>
          <w:color w:val="000000"/>
        </w:rPr>
        <w:t xml:space="preserve">21 834 511,77 </w:t>
      </w:r>
      <w:r w:rsidRPr="007F3CE9">
        <w:rPr>
          <w:rFonts w:asciiTheme="minorHAnsi" w:hAnsiTheme="minorHAnsi" w:cstheme="minorHAnsi"/>
          <w:b/>
          <w:bCs/>
          <w:iCs/>
          <w:sz w:val="24"/>
          <w:szCs w:val="24"/>
        </w:rPr>
        <w:t>EUR</w:t>
      </w:r>
      <w:r w:rsidRPr="00361426">
        <w:rPr>
          <w:sz w:val="24"/>
          <w:szCs w:val="24"/>
        </w:rPr>
        <w:t xml:space="preserve"> pre</w:t>
      </w:r>
      <w:r>
        <w:rPr>
          <w:sz w:val="24"/>
          <w:szCs w:val="24"/>
        </w:rPr>
        <w:t xml:space="preserve">vedené </w:t>
      </w:r>
      <w:r w:rsidRPr="008B646B">
        <w:rPr>
          <w:b/>
          <w:sz w:val="24"/>
          <w:szCs w:val="24"/>
        </w:rPr>
        <w:t>na účet rezervného fondu</w:t>
      </w:r>
      <w:r>
        <w:rPr>
          <w:sz w:val="24"/>
          <w:szCs w:val="24"/>
        </w:rPr>
        <w:t>.</w:t>
      </w:r>
    </w:p>
    <w:p w14:paraId="32050E0D" w14:textId="271900FE" w:rsidR="0010539F" w:rsidRDefault="0010539F" w:rsidP="00B359CA">
      <w:pPr>
        <w:spacing w:line="240" w:lineRule="auto"/>
        <w:jc w:val="both"/>
        <w:rPr>
          <w:sz w:val="24"/>
          <w:szCs w:val="24"/>
        </w:rPr>
      </w:pPr>
    </w:p>
    <w:p w14:paraId="0547E120" w14:textId="77777777" w:rsidR="0056420B" w:rsidRDefault="0056420B" w:rsidP="00B359CA">
      <w:pPr>
        <w:spacing w:line="240" w:lineRule="auto"/>
        <w:jc w:val="both"/>
        <w:rPr>
          <w:sz w:val="24"/>
          <w:szCs w:val="24"/>
        </w:rPr>
      </w:pPr>
    </w:p>
    <w:p w14:paraId="159F99E9" w14:textId="4088B167" w:rsidR="00BE704E" w:rsidRPr="002A2EDF" w:rsidRDefault="00BE704E" w:rsidP="00BE704E">
      <w:pPr>
        <w:pStyle w:val="tl1"/>
      </w:pPr>
      <w:r w:rsidRPr="00976C54">
        <w:t xml:space="preserve">Tvorba a použitie peňažných fondov Úradu BSK v roku </w:t>
      </w:r>
      <w:r>
        <w:t>20</w:t>
      </w:r>
      <w:r w:rsidR="00D60A70">
        <w:t>20</w:t>
      </w:r>
    </w:p>
    <w:p w14:paraId="26E030CD" w14:textId="77777777" w:rsidR="00BE704E" w:rsidRPr="00F865DA" w:rsidRDefault="00A711BC" w:rsidP="00BE704E">
      <w:pPr>
        <w:spacing w:after="0" w:line="240" w:lineRule="auto"/>
        <w:rPr>
          <w:rFonts w:cs="Calibri"/>
          <w:b/>
          <w:bCs/>
          <w:i/>
          <w:iCs/>
          <w:sz w:val="28"/>
          <w:szCs w:val="28"/>
          <w:lang w:eastAsia="sk-SK"/>
        </w:rPr>
      </w:pPr>
      <w:r>
        <w:pict w14:anchorId="2E20D3E1">
          <v:rect id="_x0000_i1027" style="width:0;height:1.5pt" o:hralign="center" o:hrstd="t" o:hr="t" fillcolor="#a0a0a0" stroked="f"/>
        </w:pict>
      </w:r>
    </w:p>
    <w:p w14:paraId="01BCE1F2" w14:textId="77777777" w:rsidR="00BE704E" w:rsidRDefault="00BE704E" w:rsidP="00BE704E">
      <w:pPr>
        <w:pStyle w:val="tl2"/>
        <w:rPr>
          <w:highlight w:val="yellow"/>
        </w:rPr>
      </w:pPr>
    </w:p>
    <w:p w14:paraId="4634C09A" w14:textId="77777777" w:rsidR="00BE704E" w:rsidRPr="00976C54" w:rsidRDefault="00BE704E" w:rsidP="00BE704E">
      <w:pPr>
        <w:pStyle w:val="tl2"/>
        <w:ind w:left="0" w:firstLine="0"/>
      </w:pPr>
      <w:r w:rsidRPr="00ED3830">
        <w:t>C.1. Sociálny fond</w:t>
      </w:r>
    </w:p>
    <w:p w14:paraId="70CDBCEB" w14:textId="77777777" w:rsidR="008822D8" w:rsidRDefault="008822D8" w:rsidP="00BE704E">
      <w:pPr>
        <w:autoSpaceDE w:val="0"/>
        <w:autoSpaceDN w:val="0"/>
        <w:adjustRightInd w:val="0"/>
        <w:spacing w:line="240" w:lineRule="auto"/>
        <w:jc w:val="both"/>
        <w:rPr>
          <w:rFonts w:cs="Calibri"/>
          <w:bCs/>
          <w:sz w:val="18"/>
          <w:szCs w:val="18"/>
          <w:vertAlign w:val="subscript"/>
          <w:lang w:eastAsia="sk-SK"/>
        </w:rPr>
      </w:pPr>
    </w:p>
    <w:p w14:paraId="1FD58693" w14:textId="77777777" w:rsidR="00BE704E" w:rsidRDefault="00BE704E" w:rsidP="00BE704E">
      <w:pPr>
        <w:autoSpaceDE w:val="0"/>
        <w:autoSpaceDN w:val="0"/>
        <w:adjustRightInd w:val="0"/>
        <w:spacing w:line="240" w:lineRule="auto"/>
        <w:jc w:val="both"/>
        <w:rPr>
          <w:rFonts w:cs="Calibri"/>
          <w:bCs/>
          <w:sz w:val="24"/>
          <w:szCs w:val="24"/>
          <w:lang w:eastAsia="sk-SK"/>
        </w:rPr>
      </w:pPr>
      <w:r w:rsidRPr="00F865DA">
        <w:rPr>
          <w:rFonts w:cs="Calibri"/>
          <w:bCs/>
          <w:sz w:val="24"/>
          <w:szCs w:val="24"/>
          <w:lang w:eastAsia="sk-SK"/>
        </w:rPr>
        <w:t>Bratislavský samosprávny kraj v záujme zabezpečovania sociálnych potrieb zamestnancov tvoril sociálny fond ako súhrn povinného a nepovinného prídelu vo výške 1,5 % objemu skutočne vyplatených hrubých miezd podľa zákona č. 1</w:t>
      </w:r>
      <w:r>
        <w:rPr>
          <w:rFonts w:cs="Calibri"/>
          <w:bCs/>
          <w:sz w:val="24"/>
          <w:szCs w:val="24"/>
          <w:lang w:eastAsia="sk-SK"/>
        </w:rPr>
        <w:t>5</w:t>
      </w:r>
      <w:r w:rsidRPr="00F865DA">
        <w:rPr>
          <w:rFonts w:cs="Calibri"/>
          <w:bCs/>
          <w:sz w:val="24"/>
          <w:szCs w:val="24"/>
          <w:lang w:eastAsia="sk-SK"/>
        </w:rPr>
        <w:t xml:space="preserve">2/1994 o sociálnom fonde v znení neskorších predpisov. </w:t>
      </w:r>
    </w:p>
    <w:p w14:paraId="5D986AF9" w14:textId="77777777" w:rsidR="00BE704E" w:rsidRDefault="00BE704E" w:rsidP="00BE704E">
      <w:pPr>
        <w:autoSpaceDE w:val="0"/>
        <w:autoSpaceDN w:val="0"/>
        <w:adjustRightInd w:val="0"/>
        <w:spacing w:line="240" w:lineRule="auto"/>
        <w:jc w:val="both"/>
        <w:rPr>
          <w:rFonts w:cs="Calibri"/>
          <w:bCs/>
          <w:sz w:val="24"/>
          <w:szCs w:val="24"/>
          <w:lang w:eastAsia="sk-SK"/>
        </w:rPr>
      </w:pPr>
      <w:r>
        <w:rPr>
          <w:rFonts w:cs="Calibri"/>
          <w:bCs/>
          <w:sz w:val="24"/>
          <w:szCs w:val="24"/>
          <w:lang w:eastAsia="sk-SK"/>
        </w:rPr>
        <w:t>Prehľad tvorby a použitia sociálneho fondu je v tabuľke:</w:t>
      </w:r>
    </w:p>
    <w:tbl>
      <w:tblPr>
        <w:tblW w:w="10173"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left w:w="70" w:type="dxa"/>
          <w:right w:w="70" w:type="dxa"/>
        </w:tblCellMar>
        <w:tblLook w:val="04A0" w:firstRow="1" w:lastRow="0" w:firstColumn="1" w:lastColumn="0" w:noHBand="0" w:noVBand="1"/>
      </w:tblPr>
      <w:tblGrid>
        <w:gridCol w:w="7605"/>
        <w:gridCol w:w="2568"/>
      </w:tblGrid>
      <w:tr w:rsidR="00BE704E" w14:paraId="15E2D5AD" w14:textId="77777777" w:rsidTr="00F3426F">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8DB3E2"/>
            <w:vAlign w:val="center"/>
          </w:tcPr>
          <w:p w14:paraId="3B4CCDCA" w14:textId="77777777" w:rsidR="00BE704E" w:rsidRDefault="00BE704E" w:rsidP="00B23D26">
            <w:pPr>
              <w:spacing w:after="0" w:line="240" w:lineRule="auto"/>
              <w:rPr>
                <w:rFonts w:cs="Calibri"/>
                <w:b/>
                <w:color w:val="000000"/>
                <w:sz w:val="20"/>
                <w:szCs w:val="20"/>
                <w:lang w:eastAsia="sk-SK"/>
              </w:rPr>
            </w:pPr>
            <w:r>
              <w:rPr>
                <w:rFonts w:cs="Calibri"/>
                <w:b/>
                <w:color w:val="000000"/>
                <w:sz w:val="20"/>
                <w:szCs w:val="20"/>
                <w:lang w:eastAsia="sk-SK"/>
              </w:rPr>
              <w:t>Sociálny fond Úradu BSK</w:t>
            </w:r>
          </w:p>
        </w:tc>
        <w:tc>
          <w:tcPr>
            <w:tcW w:w="2568" w:type="dxa"/>
            <w:tcBorders>
              <w:top w:val="single" w:sz="12" w:space="0" w:color="FFFFFF"/>
              <w:left w:val="single" w:sz="12" w:space="0" w:color="FFFFFF"/>
              <w:bottom w:val="single" w:sz="12" w:space="0" w:color="FFFFFF"/>
              <w:right w:val="single" w:sz="12" w:space="0" w:color="FFFFFF"/>
            </w:tcBorders>
            <w:shd w:val="clear" w:color="auto" w:fill="8DB3E2"/>
            <w:vAlign w:val="center"/>
          </w:tcPr>
          <w:p w14:paraId="0C7F977A" w14:textId="77777777" w:rsidR="00BE704E" w:rsidRPr="000D50DC" w:rsidRDefault="00BE704E" w:rsidP="00B23D26">
            <w:pPr>
              <w:spacing w:after="0" w:line="240" w:lineRule="auto"/>
              <w:jc w:val="right"/>
              <w:rPr>
                <w:rFonts w:cs="Calibri"/>
                <w:b/>
                <w:color w:val="000000"/>
                <w:sz w:val="20"/>
                <w:szCs w:val="20"/>
                <w:lang w:eastAsia="sk-SK"/>
              </w:rPr>
            </w:pPr>
            <w:r w:rsidRPr="00C20E58">
              <w:rPr>
                <w:rFonts w:cs="Calibri"/>
                <w:b/>
                <w:bCs/>
                <w:sz w:val="20"/>
                <w:szCs w:val="20"/>
                <w:lang w:eastAsia="sk-SK"/>
              </w:rPr>
              <w:t>Skutočnosť v EUR</w:t>
            </w:r>
          </w:p>
        </w:tc>
      </w:tr>
      <w:tr w:rsidR="001F1002" w14:paraId="64161A8B" w14:textId="77777777" w:rsidTr="001F1002">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8DB3E2"/>
            <w:vAlign w:val="center"/>
            <w:hideMark/>
          </w:tcPr>
          <w:p w14:paraId="3A2C03B9" w14:textId="77777777" w:rsidR="001F1002" w:rsidRDefault="001F1002" w:rsidP="001F1002">
            <w:pPr>
              <w:spacing w:after="0" w:line="240" w:lineRule="auto"/>
              <w:rPr>
                <w:rFonts w:cs="Calibri"/>
                <w:b/>
                <w:color w:val="000000"/>
                <w:sz w:val="20"/>
                <w:szCs w:val="20"/>
                <w:lang w:eastAsia="sk-SK"/>
              </w:rPr>
            </w:pPr>
            <w:r>
              <w:rPr>
                <w:rFonts w:cs="Calibri"/>
                <w:b/>
                <w:color w:val="000000"/>
                <w:sz w:val="20"/>
                <w:szCs w:val="20"/>
                <w:lang w:eastAsia="sk-SK"/>
              </w:rPr>
              <w:t>Tvorba sociálneho fondu Úradu BSK</w:t>
            </w:r>
          </w:p>
        </w:tc>
        <w:tc>
          <w:tcPr>
            <w:tcW w:w="2568" w:type="dxa"/>
            <w:tcBorders>
              <w:top w:val="single" w:sz="12" w:space="0" w:color="FFFFFF"/>
              <w:left w:val="single" w:sz="12" w:space="0" w:color="FFFFFF"/>
              <w:bottom w:val="single" w:sz="12" w:space="0" w:color="FFFFFF"/>
              <w:right w:val="single" w:sz="12" w:space="0" w:color="FFFFFF"/>
            </w:tcBorders>
            <w:shd w:val="clear" w:color="auto" w:fill="8DB3E2"/>
            <w:vAlign w:val="center"/>
            <w:hideMark/>
          </w:tcPr>
          <w:p w14:paraId="45979AB0" w14:textId="38644285" w:rsidR="001F1002" w:rsidRPr="00F3426F" w:rsidRDefault="001F1002" w:rsidP="001F1002">
            <w:pPr>
              <w:spacing w:after="0" w:line="240" w:lineRule="auto"/>
              <w:jc w:val="right"/>
              <w:rPr>
                <w:rFonts w:cs="Calibri"/>
                <w:b/>
                <w:color w:val="000000"/>
                <w:lang w:eastAsia="sk-SK"/>
              </w:rPr>
            </w:pPr>
            <w:r>
              <w:rPr>
                <w:rFonts w:cs="Calibri"/>
                <w:b/>
                <w:bCs/>
                <w:color w:val="000000"/>
              </w:rPr>
              <w:t>127 326,74</w:t>
            </w:r>
          </w:p>
        </w:tc>
      </w:tr>
      <w:tr w:rsidR="001F1002" w14:paraId="0F447FDB" w14:textId="77777777" w:rsidTr="001F1002">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hideMark/>
          </w:tcPr>
          <w:p w14:paraId="3F0520B6" w14:textId="77777777" w:rsidR="001F1002" w:rsidRDefault="001F1002" w:rsidP="001F1002">
            <w:pPr>
              <w:spacing w:after="0" w:line="240" w:lineRule="auto"/>
              <w:rPr>
                <w:rFonts w:cs="Calibri"/>
                <w:color w:val="000000"/>
                <w:sz w:val="20"/>
                <w:szCs w:val="20"/>
                <w:lang w:eastAsia="sk-SK"/>
              </w:rPr>
            </w:pPr>
            <w:r>
              <w:rPr>
                <w:rFonts w:cs="Calibri"/>
                <w:color w:val="000000"/>
                <w:sz w:val="20"/>
                <w:szCs w:val="20"/>
                <w:lang w:eastAsia="sk-SK"/>
              </w:rPr>
              <w:t>Počiatočný stav k 1.1.2019 v EUR – záväzky zo SF</w:t>
            </w:r>
          </w:p>
        </w:tc>
        <w:tc>
          <w:tcPr>
            <w:tcW w:w="2568"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hideMark/>
          </w:tcPr>
          <w:p w14:paraId="42C4B444" w14:textId="59BC1121" w:rsidR="001F1002" w:rsidRDefault="001F1002" w:rsidP="001F1002">
            <w:pPr>
              <w:jc w:val="right"/>
              <w:rPr>
                <w:rFonts w:cs="Calibri"/>
                <w:color w:val="000000"/>
              </w:rPr>
            </w:pPr>
            <w:r>
              <w:rPr>
                <w:rFonts w:cs="Calibri"/>
                <w:color w:val="000000"/>
              </w:rPr>
              <w:t>39 036,24</w:t>
            </w:r>
          </w:p>
        </w:tc>
      </w:tr>
      <w:tr w:rsidR="001F1002" w14:paraId="334D5B28" w14:textId="77777777" w:rsidTr="001F1002">
        <w:trPr>
          <w:trHeight w:hRule="exact" w:val="503"/>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tcPr>
          <w:p w14:paraId="51E99E4B" w14:textId="77777777" w:rsidR="001F1002" w:rsidRDefault="001F1002" w:rsidP="001F1002">
            <w:pPr>
              <w:spacing w:after="0" w:line="240" w:lineRule="auto"/>
              <w:rPr>
                <w:rFonts w:cs="Calibri"/>
                <w:b/>
                <w:color w:val="000000"/>
                <w:sz w:val="20"/>
                <w:szCs w:val="20"/>
                <w:lang w:eastAsia="sk-SK"/>
              </w:rPr>
            </w:pPr>
            <w:r>
              <w:rPr>
                <w:rFonts w:cs="Calibri"/>
                <w:color w:val="000000"/>
                <w:sz w:val="20"/>
                <w:szCs w:val="20"/>
                <w:lang w:eastAsia="sk-SK"/>
              </w:rPr>
              <w:t>Tvorba  sociálneho fondu - základný prídel 1,5 % objemu hrubých miezd (za december 2018)</w:t>
            </w:r>
          </w:p>
        </w:tc>
        <w:tc>
          <w:tcPr>
            <w:tcW w:w="2568"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tcPr>
          <w:p w14:paraId="0A6A83C2" w14:textId="12D8D939" w:rsidR="001F1002" w:rsidRDefault="001F1002" w:rsidP="001F1002">
            <w:pPr>
              <w:jc w:val="right"/>
              <w:rPr>
                <w:rFonts w:cs="Calibri"/>
                <w:color w:val="000000"/>
              </w:rPr>
            </w:pPr>
            <w:r>
              <w:rPr>
                <w:rFonts w:cs="Calibri"/>
                <w:color w:val="000000"/>
              </w:rPr>
              <w:t>6 321,98</w:t>
            </w:r>
          </w:p>
        </w:tc>
      </w:tr>
      <w:tr w:rsidR="001F1002" w14:paraId="05432781" w14:textId="77777777" w:rsidTr="001F1002">
        <w:trPr>
          <w:trHeight w:hRule="exact" w:val="551"/>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hideMark/>
          </w:tcPr>
          <w:p w14:paraId="39AED16B" w14:textId="77777777" w:rsidR="001F1002" w:rsidRDefault="001F1002" w:rsidP="001F1002">
            <w:pPr>
              <w:spacing w:after="0" w:line="240" w:lineRule="auto"/>
              <w:rPr>
                <w:rFonts w:cs="Calibri"/>
                <w:color w:val="000000"/>
                <w:sz w:val="20"/>
                <w:szCs w:val="20"/>
                <w:lang w:eastAsia="sk-SK"/>
              </w:rPr>
            </w:pPr>
            <w:r>
              <w:rPr>
                <w:rFonts w:cs="Calibri"/>
                <w:color w:val="000000"/>
                <w:sz w:val="20"/>
                <w:szCs w:val="20"/>
                <w:lang w:eastAsia="sk-SK"/>
              </w:rPr>
              <w:t>Tvorba  sociálneho fondu - základný prídel 1,5 % objemu hrubých miezd (za január 2019 - november 2019)</w:t>
            </w:r>
          </w:p>
        </w:tc>
        <w:tc>
          <w:tcPr>
            <w:tcW w:w="2568"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hideMark/>
          </w:tcPr>
          <w:p w14:paraId="02A4BF15" w14:textId="655CB966" w:rsidR="001F1002" w:rsidRDefault="001F1002" w:rsidP="001F1002">
            <w:pPr>
              <w:jc w:val="right"/>
              <w:rPr>
                <w:rFonts w:cs="Calibri"/>
                <w:color w:val="000000"/>
              </w:rPr>
            </w:pPr>
            <w:r>
              <w:rPr>
                <w:rFonts w:cs="Calibri"/>
                <w:color w:val="000000"/>
              </w:rPr>
              <w:t>81 968,52</w:t>
            </w:r>
          </w:p>
        </w:tc>
      </w:tr>
      <w:tr w:rsidR="001F1002" w14:paraId="3E2B74BA" w14:textId="77777777" w:rsidTr="001F1002">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8DB3E2" w:themeFill="text2" w:themeFillTint="66"/>
            <w:vAlign w:val="center"/>
            <w:hideMark/>
          </w:tcPr>
          <w:p w14:paraId="7C4F2D0B" w14:textId="77777777" w:rsidR="001F1002" w:rsidRDefault="001F1002" w:rsidP="001F1002">
            <w:pPr>
              <w:spacing w:after="0" w:line="240" w:lineRule="auto"/>
              <w:rPr>
                <w:rFonts w:cs="Calibri"/>
                <w:color w:val="000000"/>
                <w:sz w:val="20"/>
                <w:szCs w:val="20"/>
                <w:lang w:eastAsia="sk-SK"/>
              </w:rPr>
            </w:pPr>
            <w:r>
              <w:rPr>
                <w:rFonts w:cs="Calibri"/>
                <w:b/>
                <w:color w:val="000000"/>
                <w:sz w:val="20"/>
                <w:szCs w:val="20"/>
                <w:lang w:eastAsia="sk-SK"/>
              </w:rPr>
              <w:t>Použitie sociálneho fondu Úradu BSK</w:t>
            </w:r>
          </w:p>
        </w:tc>
        <w:tc>
          <w:tcPr>
            <w:tcW w:w="2568" w:type="dxa"/>
            <w:tcBorders>
              <w:top w:val="single" w:sz="12" w:space="0" w:color="FFFFFF"/>
              <w:left w:val="single" w:sz="12" w:space="0" w:color="FFFFFF"/>
              <w:bottom w:val="single" w:sz="12" w:space="0" w:color="FFFFFF"/>
              <w:right w:val="single" w:sz="12" w:space="0" w:color="FFFFFF"/>
            </w:tcBorders>
            <w:shd w:val="clear" w:color="auto" w:fill="8DB3E2" w:themeFill="text2" w:themeFillTint="66"/>
            <w:vAlign w:val="center"/>
            <w:hideMark/>
          </w:tcPr>
          <w:p w14:paraId="04800423" w14:textId="351A63BE" w:rsidR="001F1002" w:rsidRPr="00F3426F" w:rsidRDefault="001F1002" w:rsidP="001F1002">
            <w:pPr>
              <w:jc w:val="right"/>
              <w:rPr>
                <w:rFonts w:cs="Calibri"/>
                <w:b/>
                <w:color w:val="000000"/>
              </w:rPr>
            </w:pPr>
            <w:r>
              <w:rPr>
                <w:rFonts w:cs="Calibri"/>
                <w:b/>
                <w:bCs/>
                <w:color w:val="000000"/>
              </w:rPr>
              <w:t>98 426,44</w:t>
            </w:r>
          </w:p>
        </w:tc>
      </w:tr>
      <w:tr w:rsidR="001F1002" w14:paraId="7B1449E4" w14:textId="77777777" w:rsidTr="001F1002">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F2F2F2"/>
            <w:vAlign w:val="center"/>
            <w:hideMark/>
          </w:tcPr>
          <w:p w14:paraId="2429DE63" w14:textId="77777777" w:rsidR="001F1002" w:rsidRDefault="001F1002" w:rsidP="001F1002">
            <w:pPr>
              <w:spacing w:after="0" w:line="240" w:lineRule="auto"/>
              <w:rPr>
                <w:rFonts w:cs="Calibri"/>
                <w:color w:val="000000"/>
                <w:sz w:val="20"/>
                <w:szCs w:val="20"/>
                <w:lang w:eastAsia="sk-SK"/>
              </w:rPr>
            </w:pPr>
            <w:r>
              <w:rPr>
                <w:rFonts w:cs="Calibri"/>
                <w:color w:val="000000"/>
                <w:sz w:val="20"/>
                <w:szCs w:val="20"/>
                <w:lang w:eastAsia="sk-SK"/>
              </w:rPr>
              <w:t>Príspevok na stravovanie</w:t>
            </w:r>
          </w:p>
        </w:tc>
        <w:tc>
          <w:tcPr>
            <w:tcW w:w="2568" w:type="dxa"/>
            <w:tcBorders>
              <w:top w:val="single" w:sz="12" w:space="0" w:color="FFFFFF"/>
              <w:left w:val="single" w:sz="12" w:space="0" w:color="FFFFFF"/>
              <w:bottom w:val="single" w:sz="12" w:space="0" w:color="FFFFFF"/>
              <w:right w:val="single" w:sz="12" w:space="0" w:color="FFFFFF"/>
            </w:tcBorders>
            <w:shd w:val="clear" w:color="auto" w:fill="F2F2F2"/>
            <w:vAlign w:val="center"/>
            <w:hideMark/>
          </w:tcPr>
          <w:p w14:paraId="75453522" w14:textId="21152409" w:rsidR="001F1002" w:rsidRDefault="001F1002" w:rsidP="001F1002">
            <w:pPr>
              <w:jc w:val="right"/>
              <w:rPr>
                <w:rFonts w:cs="Calibri"/>
                <w:color w:val="000000"/>
              </w:rPr>
            </w:pPr>
            <w:r>
              <w:rPr>
                <w:rFonts w:cs="Calibri"/>
                <w:color w:val="000000"/>
              </w:rPr>
              <w:t>49 033,00</w:t>
            </w:r>
          </w:p>
        </w:tc>
      </w:tr>
      <w:tr w:rsidR="001F1002" w14:paraId="46D624A6" w14:textId="77777777" w:rsidTr="001F1002">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F2F2F2"/>
            <w:vAlign w:val="center"/>
            <w:hideMark/>
          </w:tcPr>
          <w:p w14:paraId="5463A970" w14:textId="77777777" w:rsidR="001F1002" w:rsidRDefault="001F1002" w:rsidP="001F1002">
            <w:pPr>
              <w:spacing w:after="0" w:line="240" w:lineRule="auto"/>
              <w:rPr>
                <w:rFonts w:cs="Calibri"/>
                <w:color w:val="000000"/>
                <w:sz w:val="20"/>
                <w:szCs w:val="20"/>
                <w:lang w:eastAsia="sk-SK"/>
              </w:rPr>
            </w:pPr>
            <w:r>
              <w:rPr>
                <w:rFonts w:cs="Calibri"/>
                <w:color w:val="000000"/>
                <w:sz w:val="20"/>
                <w:szCs w:val="20"/>
                <w:lang w:eastAsia="sk-SK"/>
              </w:rPr>
              <w:t>Regenerácia zamestnancov</w:t>
            </w:r>
          </w:p>
        </w:tc>
        <w:tc>
          <w:tcPr>
            <w:tcW w:w="2568" w:type="dxa"/>
            <w:tcBorders>
              <w:top w:val="single" w:sz="12" w:space="0" w:color="FFFFFF"/>
              <w:left w:val="single" w:sz="12" w:space="0" w:color="FFFFFF"/>
              <w:bottom w:val="single" w:sz="12" w:space="0" w:color="FFFFFF"/>
              <w:right w:val="single" w:sz="12" w:space="0" w:color="FFFFFF"/>
            </w:tcBorders>
            <w:shd w:val="clear" w:color="auto" w:fill="F2F2F2"/>
            <w:vAlign w:val="center"/>
            <w:hideMark/>
          </w:tcPr>
          <w:p w14:paraId="0E680009" w14:textId="76BD4B1B" w:rsidR="001F1002" w:rsidRDefault="001F1002" w:rsidP="001F1002">
            <w:pPr>
              <w:jc w:val="right"/>
              <w:rPr>
                <w:rFonts w:cs="Calibri"/>
                <w:color w:val="000000"/>
              </w:rPr>
            </w:pPr>
            <w:r>
              <w:rPr>
                <w:rFonts w:cs="Calibri"/>
                <w:color w:val="000000"/>
              </w:rPr>
              <w:t>44 523,44</w:t>
            </w:r>
          </w:p>
        </w:tc>
      </w:tr>
      <w:tr w:rsidR="001F1002" w14:paraId="03D5A404" w14:textId="77777777" w:rsidTr="001F1002">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F2F2F2"/>
            <w:vAlign w:val="center"/>
            <w:hideMark/>
          </w:tcPr>
          <w:p w14:paraId="2048C3CE" w14:textId="77777777" w:rsidR="001F1002" w:rsidRDefault="001F1002" w:rsidP="001F1002">
            <w:pPr>
              <w:spacing w:after="0" w:line="240" w:lineRule="auto"/>
              <w:rPr>
                <w:rFonts w:cs="Calibri"/>
                <w:color w:val="000000"/>
                <w:sz w:val="20"/>
                <w:szCs w:val="20"/>
                <w:lang w:eastAsia="sk-SK"/>
              </w:rPr>
            </w:pPr>
            <w:r>
              <w:rPr>
                <w:rFonts w:cs="Calibri"/>
                <w:color w:val="000000"/>
                <w:sz w:val="20"/>
                <w:szCs w:val="20"/>
                <w:lang w:eastAsia="sk-SK"/>
              </w:rPr>
              <w:t>Nenávratná sociálna výpomoc</w:t>
            </w:r>
          </w:p>
        </w:tc>
        <w:tc>
          <w:tcPr>
            <w:tcW w:w="2568" w:type="dxa"/>
            <w:tcBorders>
              <w:top w:val="single" w:sz="12" w:space="0" w:color="FFFFFF"/>
              <w:left w:val="single" w:sz="12" w:space="0" w:color="FFFFFF"/>
              <w:bottom w:val="single" w:sz="12" w:space="0" w:color="FFFFFF"/>
              <w:right w:val="single" w:sz="12" w:space="0" w:color="FFFFFF"/>
            </w:tcBorders>
            <w:shd w:val="clear" w:color="auto" w:fill="F2F2F2"/>
            <w:vAlign w:val="center"/>
            <w:hideMark/>
          </w:tcPr>
          <w:p w14:paraId="228C84F6" w14:textId="684A80BB" w:rsidR="001F1002" w:rsidRDefault="001F1002" w:rsidP="001F1002">
            <w:pPr>
              <w:jc w:val="right"/>
              <w:rPr>
                <w:rFonts w:cs="Calibri"/>
                <w:color w:val="000000"/>
              </w:rPr>
            </w:pPr>
            <w:r>
              <w:rPr>
                <w:rFonts w:cs="Calibri"/>
                <w:color w:val="000000"/>
              </w:rPr>
              <w:t>4 870,00</w:t>
            </w:r>
          </w:p>
        </w:tc>
      </w:tr>
      <w:tr w:rsidR="001F1002" w14:paraId="332BE82C" w14:textId="77777777" w:rsidTr="001F1002">
        <w:trPr>
          <w:trHeight w:hRule="exact" w:val="376"/>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8DB3E2"/>
            <w:vAlign w:val="center"/>
            <w:hideMark/>
          </w:tcPr>
          <w:p w14:paraId="3601EE58" w14:textId="77777777" w:rsidR="001F1002" w:rsidRDefault="001F1002" w:rsidP="001F1002">
            <w:pPr>
              <w:spacing w:after="0" w:line="240" w:lineRule="auto"/>
              <w:rPr>
                <w:rFonts w:cs="Calibri"/>
                <w:b/>
                <w:color w:val="000000"/>
                <w:sz w:val="20"/>
                <w:szCs w:val="20"/>
                <w:lang w:eastAsia="sk-SK"/>
              </w:rPr>
            </w:pPr>
            <w:r>
              <w:rPr>
                <w:rFonts w:cs="Calibri"/>
                <w:b/>
                <w:color w:val="000000"/>
                <w:sz w:val="20"/>
                <w:szCs w:val="20"/>
                <w:lang w:eastAsia="sk-SK"/>
              </w:rPr>
              <w:t>Konečný stav na bankovom účte k 31.12.2019</w:t>
            </w:r>
          </w:p>
        </w:tc>
        <w:tc>
          <w:tcPr>
            <w:tcW w:w="2568" w:type="dxa"/>
            <w:tcBorders>
              <w:top w:val="single" w:sz="12" w:space="0" w:color="FFFFFF"/>
              <w:left w:val="single" w:sz="12" w:space="0" w:color="FFFFFF"/>
              <w:bottom w:val="single" w:sz="12" w:space="0" w:color="FFFFFF"/>
              <w:right w:val="single" w:sz="12" w:space="0" w:color="FFFFFF"/>
            </w:tcBorders>
            <w:shd w:val="clear" w:color="auto" w:fill="8DB3E2"/>
            <w:vAlign w:val="center"/>
            <w:hideMark/>
          </w:tcPr>
          <w:p w14:paraId="032164FD" w14:textId="7082F96A" w:rsidR="001F1002" w:rsidRPr="00F3426F" w:rsidRDefault="001F1002" w:rsidP="001F1002">
            <w:pPr>
              <w:jc w:val="right"/>
              <w:rPr>
                <w:rFonts w:cs="Calibri"/>
                <w:b/>
                <w:color w:val="000000"/>
              </w:rPr>
            </w:pPr>
            <w:r>
              <w:rPr>
                <w:rFonts w:cs="Calibri"/>
                <w:b/>
                <w:bCs/>
                <w:color w:val="000000"/>
              </w:rPr>
              <w:t>28 900,30</w:t>
            </w:r>
          </w:p>
        </w:tc>
      </w:tr>
      <w:tr w:rsidR="001F1002" w14:paraId="30FF39E4" w14:textId="77777777" w:rsidTr="001F1002">
        <w:trPr>
          <w:trHeight w:hRule="exact" w:val="564"/>
          <w:jc w:val="center"/>
        </w:trPr>
        <w:tc>
          <w:tcPr>
            <w:tcW w:w="7605"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tcPr>
          <w:p w14:paraId="3676A48C" w14:textId="77777777" w:rsidR="001F1002" w:rsidRDefault="001F1002" w:rsidP="001F1002">
            <w:pPr>
              <w:spacing w:after="0" w:line="240" w:lineRule="auto"/>
              <w:rPr>
                <w:rFonts w:cs="Calibri"/>
                <w:b/>
                <w:color w:val="000000"/>
                <w:sz w:val="20"/>
                <w:szCs w:val="20"/>
                <w:lang w:eastAsia="sk-SK"/>
              </w:rPr>
            </w:pPr>
            <w:r>
              <w:rPr>
                <w:rFonts w:cs="Calibri"/>
                <w:color w:val="000000"/>
                <w:sz w:val="20"/>
                <w:szCs w:val="20"/>
                <w:lang w:eastAsia="sk-SK"/>
              </w:rPr>
              <w:t>Tvorba  sociálneho fondu - základný prídel 1,5 % objemu hrubých miezd (za december 2019)</w:t>
            </w:r>
          </w:p>
        </w:tc>
        <w:tc>
          <w:tcPr>
            <w:tcW w:w="2568"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vAlign w:val="center"/>
          </w:tcPr>
          <w:p w14:paraId="0093610F" w14:textId="0AA3B7E9" w:rsidR="001F1002" w:rsidRDefault="001F1002" w:rsidP="001F1002">
            <w:pPr>
              <w:jc w:val="right"/>
              <w:rPr>
                <w:rFonts w:cs="Calibri"/>
                <w:color w:val="000000"/>
              </w:rPr>
            </w:pPr>
            <w:r>
              <w:rPr>
                <w:rFonts w:cs="Calibri"/>
                <w:color w:val="000000"/>
              </w:rPr>
              <w:t>6 747,55</w:t>
            </w:r>
          </w:p>
        </w:tc>
      </w:tr>
    </w:tbl>
    <w:p w14:paraId="4A5CB792" w14:textId="77777777" w:rsidR="00BE704E" w:rsidRDefault="00BE704E" w:rsidP="00BE704E">
      <w:pPr>
        <w:autoSpaceDE w:val="0"/>
        <w:autoSpaceDN w:val="0"/>
        <w:adjustRightInd w:val="0"/>
        <w:spacing w:line="240" w:lineRule="auto"/>
        <w:rPr>
          <w:rFonts w:cs="Calibri"/>
          <w:bCs/>
          <w:sz w:val="24"/>
          <w:szCs w:val="24"/>
          <w:lang w:eastAsia="sk-SK"/>
        </w:rPr>
      </w:pPr>
    </w:p>
    <w:p w14:paraId="0123043B" w14:textId="0FBDDA70" w:rsidR="00E614AA" w:rsidRPr="00BB2BEE" w:rsidRDefault="00BE704E" w:rsidP="00BB2BEE">
      <w:pPr>
        <w:autoSpaceDE w:val="0"/>
        <w:autoSpaceDN w:val="0"/>
        <w:adjustRightInd w:val="0"/>
        <w:spacing w:line="240" w:lineRule="auto"/>
        <w:jc w:val="both"/>
        <w:rPr>
          <w:rFonts w:cs="Calibri"/>
          <w:bCs/>
          <w:sz w:val="24"/>
          <w:szCs w:val="24"/>
          <w:lang w:eastAsia="sk-SK"/>
        </w:rPr>
      </w:pPr>
      <w:r>
        <w:rPr>
          <w:rFonts w:cs="Calibri"/>
          <w:bCs/>
          <w:sz w:val="24"/>
          <w:szCs w:val="24"/>
          <w:lang w:eastAsia="sk-SK"/>
        </w:rPr>
        <w:t>Konečný stav finančných prostriedkov na bankovom účte – sociálny fond k 31.12.20</w:t>
      </w:r>
      <w:r w:rsidR="00F1180C">
        <w:rPr>
          <w:rFonts w:cs="Calibri"/>
          <w:bCs/>
          <w:sz w:val="24"/>
          <w:szCs w:val="24"/>
          <w:lang w:eastAsia="sk-SK"/>
        </w:rPr>
        <w:t>20</w:t>
      </w:r>
      <w:r>
        <w:rPr>
          <w:rFonts w:cs="Calibri"/>
          <w:bCs/>
          <w:sz w:val="24"/>
          <w:szCs w:val="24"/>
          <w:lang w:eastAsia="sk-SK"/>
        </w:rPr>
        <w:t xml:space="preserve"> bol vo výške</w:t>
      </w:r>
      <w:r>
        <w:rPr>
          <w:rFonts w:cs="Calibri"/>
          <w:bCs/>
          <w:sz w:val="24"/>
          <w:szCs w:val="24"/>
          <w:lang w:eastAsia="sk-SK"/>
        </w:rPr>
        <w:br/>
      </w:r>
      <w:r w:rsidR="00F1180C" w:rsidRPr="00F1180C">
        <w:rPr>
          <w:rFonts w:cs="Calibri"/>
          <w:b/>
          <w:bCs/>
          <w:sz w:val="24"/>
          <w:szCs w:val="24"/>
          <w:lang w:eastAsia="sk-SK"/>
        </w:rPr>
        <w:t>28 900,30</w:t>
      </w:r>
      <w:r w:rsidR="00F1180C">
        <w:rPr>
          <w:rFonts w:cs="Calibri"/>
          <w:b/>
          <w:bCs/>
          <w:sz w:val="24"/>
          <w:szCs w:val="24"/>
          <w:lang w:eastAsia="sk-SK"/>
        </w:rPr>
        <w:t xml:space="preserve"> </w:t>
      </w:r>
      <w:r>
        <w:rPr>
          <w:rFonts w:cs="Calibri"/>
          <w:b/>
          <w:bCs/>
          <w:sz w:val="24"/>
          <w:szCs w:val="24"/>
          <w:lang w:eastAsia="sk-SK"/>
        </w:rPr>
        <w:t xml:space="preserve">EUR. </w:t>
      </w:r>
      <w:r w:rsidRPr="00EF25F3">
        <w:rPr>
          <w:rFonts w:cs="Calibri"/>
          <w:bCs/>
          <w:sz w:val="24"/>
          <w:szCs w:val="24"/>
          <w:lang w:eastAsia="sk-SK"/>
        </w:rPr>
        <w:t>Táto suma nezahŕňa tvorbu sociálneho fondu za mesiac december 20</w:t>
      </w:r>
      <w:r w:rsidR="00F1180C">
        <w:rPr>
          <w:rFonts w:cs="Calibri"/>
          <w:bCs/>
          <w:sz w:val="24"/>
          <w:szCs w:val="24"/>
          <w:lang w:eastAsia="sk-SK"/>
        </w:rPr>
        <w:t>20</w:t>
      </w:r>
      <w:r w:rsidRPr="00EF25F3">
        <w:rPr>
          <w:rFonts w:cs="Calibri"/>
          <w:bCs/>
          <w:sz w:val="24"/>
          <w:szCs w:val="24"/>
          <w:lang w:eastAsia="sk-SK"/>
        </w:rPr>
        <w:t xml:space="preserve"> v sume </w:t>
      </w:r>
      <w:r w:rsidRPr="00EF25F3">
        <w:rPr>
          <w:rFonts w:cs="Calibri"/>
          <w:bCs/>
          <w:sz w:val="24"/>
          <w:szCs w:val="24"/>
          <w:lang w:eastAsia="sk-SK"/>
        </w:rPr>
        <w:br/>
      </w:r>
      <w:r w:rsidR="00F1180C">
        <w:rPr>
          <w:rFonts w:cs="Calibri"/>
          <w:color w:val="000000"/>
        </w:rPr>
        <w:t xml:space="preserve">6 747,55 </w:t>
      </w:r>
      <w:r w:rsidRPr="00EF25F3">
        <w:rPr>
          <w:rFonts w:cs="Calibri"/>
          <w:bCs/>
          <w:sz w:val="24"/>
          <w:szCs w:val="24"/>
          <w:lang w:eastAsia="sk-SK"/>
        </w:rPr>
        <w:t>EUR, ktorá bola pripísaná na bankový účet v januári 20</w:t>
      </w:r>
      <w:r w:rsidR="00F3426F">
        <w:rPr>
          <w:rFonts w:cs="Calibri"/>
          <w:bCs/>
          <w:sz w:val="24"/>
          <w:szCs w:val="24"/>
          <w:lang w:eastAsia="sk-SK"/>
        </w:rPr>
        <w:t>2</w:t>
      </w:r>
      <w:r w:rsidR="00F1180C">
        <w:rPr>
          <w:rFonts w:cs="Calibri"/>
          <w:bCs/>
          <w:sz w:val="24"/>
          <w:szCs w:val="24"/>
          <w:lang w:eastAsia="sk-SK"/>
        </w:rPr>
        <w:t>1</w:t>
      </w:r>
      <w:r w:rsidR="00AA6BB8" w:rsidRPr="00EF25F3">
        <w:rPr>
          <w:rFonts w:cs="Calibri"/>
          <w:bCs/>
          <w:sz w:val="24"/>
          <w:szCs w:val="24"/>
          <w:lang w:eastAsia="sk-SK"/>
        </w:rPr>
        <w:t xml:space="preserve"> a bude súčasťou tvorby sociálneho fondu v roku 20</w:t>
      </w:r>
      <w:r w:rsidR="00F3426F">
        <w:rPr>
          <w:rFonts w:cs="Calibri"/>
          <w:bCs/>
          <w:sz w:val="24"/>
          <w:szCs w:val="24"/>
          <w:lang w:eastAsia="sk-SK"/>
        </w:rPr>
        <w:t>2</w:t>
      </w:r>
      <w:r w:rsidR="00F1180C">
        <w:rPr>
          <w:rFonts w:cs="Calibri"/>
          <w:bCs/>
          <w:sz w:val="24"/>
          <w:szCs w:val="24"/>
          <w:lang w:eastAsia="sk-SK"/>
        </w:rPr>
        <w:t>1</w:t>
      </w:r>
      <w:r w:rsidRPr="00EF25F3">
        <w:rPr>
          <w:rFonts w:cs="Calibri"/>
          <w:bCs/>
          <w:sz w:val="24"/>
          <w:szCs w:val="24"/>
          <w:lang w:eastAsia="sk-SK"/>
        </w:rPr>
        <w:t>.</w:t>
      </w:r>
    </w:p>
    <w:p w14:paraId="3765F5D8" w14:textId="77777777" w:rsidR="00E614AA" w:rsidRDefault="00E614AA" w:rsidP="00BE704E">
      <w:pPr>
        <w:pStyle w:val="tl2"/>
        <w:ind w:left="0" w:firstLine="0"/>
      </w:pPr>
    </w:p>
    <w:p w14:paraId="04DC2873" w14:textId="77777777" w:rsidR="0056420B" w:rsidRDefault="0056420B" w:rsidP="00BE704E">
      <w:pPr>
        <w:pStyle w:val="tl2"/>
        <w:ind w:left="0" w:firstLine="0"/>
      </w:pPr>
    </w:p>
    <w:p w14:paraId="19130771" w14:textId="77777777" w:rsidR="0056420B" w:rsidRDefault="0056420B" w:rsidP="00BE704E">
      <w:pPr>
        <w:pStyle w:val="tl2"/>
        <w:ind w:left="0" w:firstLine="0"/>
      </w:pPr>
    </w:p>
    <w:p w14:paraId="6DBDD81F" w14:textId="77777777" w:rsidR="0056420B" w:rsidRDefault="0056420B" w:rsidP="00BE704E">
      <w:pPr>
        <w:pStyle w:val="tl2"/>
        <w:ind w:left="0" w:firstLine="0"/>
      </w:pPr>
    </w:p>
    <w:p w14:paraId="5D9531F7" w14:textId="5EAB53E1" w:rsidR="00BE704E" w:rsidRPr="00A30F19" w:rsidRDefault="00BE704E" w:rsidP="00BE704E">
      <w:pPr>
        <w:pStyle w:val="tl2"/>
        <w:ind w:left="0" w:firstLine="0"/>
      </w:pPr>
      <w:r w:rsidRPr="00441BA9">
        <w:lastRenderedPageBreak/>
        <w:t>C.2. Rezervný fond</w:t>
      </w:r>
      <w:r w:rsidRPr="00976C54">
        <w:t xml:space="preserve">  </w:t>
      </w:r>
    </w:p>
    <w:p w14:paraId="3FAAB582" w14:textId="77777777" w:rsidR="00BE704E" w:rsidRDefault="00BE704E" w:rsidP="00BE704E">
      <w:pPr>
        <w:tabs>
          <w:tab w:val="num" w:pos="1152"/>
        </w:tabs>
        <w:spacing w:after="120" w:line="240" w:lineRule="auto"/>
        <w:rPr>
          <w:rFonts w:cs="Calibri"/>
          <w:bCs/>
          <w:sz w:val="24"/>
          <w:szCs w:val="24"/>
          <w:lang w:eastAsia="sk-SK"/>
        </w:rPr>
      </w:pPr>
    </w:p>
    <w:p w14:paraId="6142B8B9" w14:textId="6EE2E86A" w:rsidR="007B7F76" w:rsidRPr="00737516" w:rsidRDefault="00BE704E" w:rsidP="00441BA9">
      <w:pPr>
        <w:spacing w:after="0" w:line="240" w:lineRule="auto"/>
        <w:jc w:val="both"/>
        <w:rPr>
          <w:b/>
          <w:sz w:val="24"/>
          <w:szCs w:val="24"/>
        </w:rPr>
      </w:pPr>
      <w:r>
        <w:rPr>
          <w:rFonts w:cs="Calibri"/>
          <w:bCs/>
          <w:sz w:val="24"/>
          <w:szCs w:val="24"/>
          <w:lang w:eastAsia="sk-SK"/>
        </w:rPr>
        <w:t>Začiatočný stav</w:t>
      </w:r>
      <w:r w:rsidRPr="006C795D">
        <w:rPr>
          <w:rFonts w:cs="Calibri"/>
          <w:bCs/>
          <w:sz w:val="24"/>
          <w:szCs w:val="24"/>
          <w:lang w:eastAsia="sk-SK"/>
        </w:rPr>
        <w:t xml:space="preserve"> rezervného fondu </w:t>
      </w:r>
      <w:r>
        <w:rPr>
          <w:rFonts w:cs="Calibri"/>
          <w:bCs/>
          <w:sz w:val="24"/>
          <w:szCs w:val="24"/>
          <w:lang w:eastAsia="sk-SK"/>
        </w:rPr>
        <w:t>v roku 20</w:t>
      </w:r>
      <w:r w:rsidR="00BB2BEE">
        <w:rPr>
          <w:rFonts w:cs="Calibri"/>
          <w:bCs/>
          <w:sz w:val="24"/>
          <w:szCs w:val="24"/>
          <w:lang w:eastAsia="sk-SK"/>
        </w:rPr>
        <w:t>20</w:t>
      </w:r>
      <w:r>
        <w:rPr>
          <w:rFonts w:cs="Calibri"/>
          <w:bCs/>
          <w:sz w:val="24"/>
          <w:szCs w:val="24"/>
          <w:lang w:eastAsia="sk-SK"/>
        </w:rPr>
        <w:t xml:space="preserve"> bol </w:t>
      </w:r>
      <w:r w:rsidRPr="003F2543">
        <w:rPr>
          <w:rFonts w:cs="Calibri"/>
          <w:bCs/>
          <w:sz w:val="24"/>
          <w:szCs w:val="24"/>
          <w:lang w:eastAsia="sk-SK"/>
        </w:rPr>
        <w:t>vo výške</w:t>
      </w:r>
      <w:r w:rsidRPr="00B40DA4">
        <w:rPr>
          <w:rFonts w:cs="Calibri"/>
          <w:b/>
          <w:bCs/>
          <w:sz w:val="24"/>
          <w:szCs w:val="24"/>
          <w:lang w:eastAsia="sk-SK"/>
        </w:rPr>
        <w:t xml:space="preserve"> </w:t>
      </w:r>
      <w:r w:rsidR="00D16497" w:rsidRPr="00D16497">
        <w:rPr>
          <w:rFonts w:cs="Calibri"/>
          <w:b/>
          <w:bCs/>
          <w:color w:val="000000"/>
          <w:sz w:val="24"/>
          <w:szCs w:val="24"/>
          <w:lang w:eastAsia="sk-SK"/>
        </w:rPr>
        <w:t>5 633 573,66</w:t>
      </w:r>
      <w:r w:rsidR="00D16497">
        <w:rPr>
          <w:rFonts w:cs="Calibri"/>
          <w:b/>
          <w:bCs/>
          <w:color w:val="000000"/>
          <w:sz w:val="24"/>
          <w:szCs w:val="24"/>
          <w:lang w:eastAsia="sk-SK"/>
        </w:rPr>
        <w:t xml:space="preserve"> </w:t>
      </w:r>
      <w:r w:rsidRPr="00B40DA4">
        <w:rPr>
          <w:rFonts w:cs="Calibri"/>
          <w:b/>
          <w:bCs/>
          <w:sz w:val="24"/>
          <w:szCs w:val="24"/>
          <w:lang w:eastAsia="sk-SK"/>
        </w:rPr>
        <w:t xml:space="preserve">EUR. </w:t>
      </w:r>
      <w:r>
        <w:rPr>
          <w:rFonts w:cs="Calibri"/>
          <w:b/>
          <w:bCs/>
          <w:sz w:val="24"/>
          <w:szCs w:val="24"/>
          <w:lang w:eastAsia="sk-SK"/>
        </w:rPr>
        <w:t xml:space="preserve"> </w:t>
      </w:r>
      <w:r>
        <w:rPr>
          <w:rFonts w:cs="Calibri"/>
          <w:bCs/>
          <w:sz w:val="24"/>
          <w:szCs w:val="24"/>
          <w:lang w:eastAsia="sk-SK"/>
        </w:rPr>
        <w:t xml:space="preserve">Zastupiteľstvo BSK na svojom zasadnutí dňa </w:t>
      </w:r>
      <w:r w:rsidR="00D16497">
        <w:rPr>
          <w:rFonts w:cs="Calibri"/>
          <w:bCs/>
          <w:sz w:val="24"/>
          <w:szCs w:val="24"/>
          <w:lang w:eastAsia="sk-SK"/>
        </w:rPr>
        <w:t>29. mája 2020</w:t>
      </w:r>
      <w:r w:rsidR="002052D5">
        <w:rPr>
          <w:rFonts w:cs="Calibri"/>
          <w:bCs/>
          <w:sz w:val="24"/>
          <w:szCs w:val="24"/>
          <w:lang w:eastAsia="sk-SK"/>
        </w:rPr>
        <w:t xml:space="preserve"> schválilo</w:t>
      </w:r>
      <w:r w:rsidR="002052D5" w:rsidRPr="002052D5">
        <w:rPr>
          <w:rFonts w:cs="Calibri"/>
          <w:bCs/>
          <w:sz w:val="24"/>
          <w:szCs w:val="24"/>
          <w:lang w:eastAsia="sk-SK"/>
        </w:rPr>
        <w:t xml:space="preserve"> </w:t>
      </w:r>
      <w:r w:rsidR="002052D5">
        <w:rPr>
          <w:rFonts w:cs="Calibri"/>
          <w:bCs/>
          <w:sz w:val="24"/>
          <w:szCs w:val="24"/>
          <w:lang w:eastAsia="sk-SK"/>
        </w:rPr>
        <w:t>u</w:t>
      </w:r>
      <w:r w:rsidR="002052D5" w:rsidRPr="002052D5">
        <w:rPr>
          <w:rFonts w:cs="Calibri"/>
          <w:bCs/>
          <w:sz w:val="24"/>
          <w:szCs w:val="24"/>
          <w:lang w:eastAsia="sk-SK"/>
        </w:rPr>
        <w:t>znesen</w:t>
      </w:r>
      <w:r w:rsidR="002052D5">
        <w:rPr>
          <w:rFonts w:cs="Calibri"/>
          <w:bCs/>
          <w:sz w:val="24"/>
          <w:szCs w:val="24"/>
          <w:lang w:eastAsia="sk-SK"/>
        </w:rPr>
        <w:t>ím</w:t>
      </w:r>
      <w:r w:rsidR="002052D5" w:rsidRPr="002052D5">
        <w:rPr>
          <w:rFonts w:cs="Calibri"/>
          <w:bCs/>
          <w:sz w:val="24"/>
          <w:szCs w:val="24"/>
          <w:lang w:eastAsia="sk-SK"/>
        </w:rPr>
        <w:t xml:space="preserve"> č. </w:t>
      </w:r>
      <w:r w:rsidR="00D16497">
        <w:rPr>
          <w:rFonts w:cs="Calibri"/>
          <w:bCs/>
          <w:sz w:val="24"/>
          <w:szCs w:val="24"/>
          <w:lang w:eastAsia="sk-SK"/>
        </w:rPr>
        <w:t>252/2020</w:t>
      </w:r>
      <w:r w:rsidR="002052D5" w:rsidRPr="002052D5">
        <w:rPr>
          <w:rFonts w:cs="Calibri"/>
          <w:bCs/>
          <w:sz w:val="24"/>
          <w:szCs w:val="24"/>
          <w:lang w:eastAsia="sk-SK"/>
        </w:rPr>
        <w:t xml:space="preserve"> </w:t>
      </w:r>
      <w:r>
        <w:rPr>
          <w:rFonts w:cs="Calibri"/>
          <w:bCs/>
          <w:sz w:val="24"/>
          <w:szCs w:val="24"/>
          <w:lang w:eastAsia="sk-SK"/>
        </w:rPr>
        <w:t>odvod zostatku finančných prostriedkov z roku 201</w:t>
      </w:r>
      <w:r w:rsidR="002052D5">
        <w:rPr>
          <w:rFonts w:cs="Calibri"/>
          <w:bCs/>
          <w:sz w:val="24"/>
          <w:szCs w:val="24"/>
          <w:lang w:eastAsia="sk-SK"/>
        </w:rPr>
        <w:t>9</w:t>
      </w:r>
      <w:r>
        <w:rPr>
          <w:rFonts w:cs="Calibri"/>
          <w:bCs/>
          <w:sz w:val="24"/>
          <w:szCs w:val="24"/>
          <w:lang w:eastAsia="sk-SK"/>
        </w:rPr>
        <w:t xml:space="preserve"> </w:t>
      </w:r>
      <w:r w:rsidRPr="003F2543">
        <w:rPr>
          <w:rFonts w:cs="Calibri"/>
          <w:bCs/>
          <w:sz w:val="24"/>
          <w:szCs w:val="24"/>
          <w:lang w:eastAsia="sk-SK"/>
        </w:rPr>
        <w:t>vo výške</w:t>
      </w:r>
      <w:r w:rsidRPr="00B40DA4">
        <w:rPr>
          <w:rFonts w:cs="Calibri"/>
          <w:b/>
          <w:bCs/>
          <w:sz w:val="24"/>
          <w:szCs w:val="24"/>
          <w:lang w:eastAsia="sk-SK"/>
        </w:rPr>
        <w:t xml:space="preserve"> </w:t>
      </w:r>
      <w:r w:rsidR="00D16497" w:rsidRPr="00D16497">
        <w:rPr>
          <w:rFonts w:cs="Calibri"/>
          <w:b/>
          <w:bCs/>
          <w:sz w:val="24"/>
          <w:szCs w:val="24"/>
          <w:lang w:eastAsia="sk-SK"/>
        </w:rPr>
        <w:t xml:space="preserve">11 049 055,75 </w:t>
      </w:r>
      <w:r w:rsidRPr="00B40DA4">
        <w:rPr>
          <w:rFonts w:cs="Calibri"/>
          <w:b/>
          <w:bCs/>
          <w:sz w:val="24"/>
          <w:szCs w:val="24"/>
          <w:lang w:eastAsia="sk-SK"/>
        </w:rPr>
        <w:t>EUR</w:t>
      </w:r>
      <w:r>
        <w:rPr>
          <w:rFonts w:cs="Calibri"/>
          <w:bCs/>
          <w:sz w:val="24"/>
          <w:szCs w:val="24"/>
          <w:lang w:eastAsia="sk-SK"/>
        </w:rPr>
        <w:t xml:space="preserve"> do rezervného fondu. </w:t>
      </w:r>
      <w:r w:rsidR="00441BA9">
        <w:rPr>
          <w:rFonts w:cs="Calibri"/>
          <w:b/>
          <w:bCs/>
          <w:color w:val="000000"/>
          <w:sz w:val="24"/>
          <w:szCs w:val="24"/>
          <w:lang w:eastAsia="sk-SK"/>
        </w:rPr>
        <w:t xml:space="preserve"> </w:t>
      </w:r>
      <w:r>
        <w:rPr>
          <w:rFonts w:cs="Calibri"/>
          <w:bCs/>
          <w:sz w:val="24"/>
          <w:szCs w:val="24"/>
          <w:lang w:eastAsia="sk-SK"/>
        </w:rPr>
        <w:t>Prostriedky r</w:t>
      </w:r>
      <w:r w:rsidRPr="006C795D">
        <w:rPr>
          <w:rFonts w:cs="Calibri"/>
          <w:bCs/>
          <w:sz w:val="24"/>
          <w:szCs w:val="24"/>
          <w:lang w:eastAsia="sk-SK"/>
        </w:rPr>
        <w:t>ezervn</w:t>
      </w:r>
      <w:r>
        <w:rPr>
          <w:rFonts w:cs="Calibri"/>
          <w:bCs/>
          <w:sz w:val="24"/>
          <w:szCs w:val="24"/>
          <w:lang w:eastAsia="sk-SK"/>
        </w:rPr>
        <w:t>ého</w:t>
      </w:r>
      <w:r w:rsidRPr="006C795D">
        <w:rPr>
          <w:rFonts w:cs="Calibri"/>
          <w:bCs/>
          <w:sz w:val="24"/>
          <w:szCs w:val="24"/>
          <w:lang w:eastAsia="sk-SK"/>
        </w:rPr>
        <w:t xml:space="preserve"> fond</w:t>
      </w:r>
      <w:r>
        <w:rPr>
          <w:rFonts w:cs="Calibri"/>
          <w:bCs/>
          <w:sz w:val="24"/>
          <w:szCs w:val="24"/>
          <w:lang w:eastAsia="sk-SK"/>
        </w:rPr>
        <w:t>u</w:t>
      </w:r>
      <w:r w:rsidRPr="006C795D">
        <w:rPr>
          <w:rFonts w:cs="Calibri"/>
          <w:bCs/>
          <w:sz w:val="24"/>
          <w:szCs w:val="24"/>
          <w:lang w:eastAsia="sk-SK"/>
        </w:rPr>
        <w:t xml:space="preserve"> </w:t>
      </w:r>
      <w:r>
        <w:rPr>
          <w:rFonts w:cs="Calibri"/>
          <w:bCs/>
          <w:sz w:val="24"/>
          <w:szCs w:val="24"/>
          <w:lang w:eastAsia="sk-SK"/>
        </w:rPr>
        <w:t>boli</w:t>
      </w:r>
      <w:r w:rsidRPr="006C795D">
        <w:rPr>
          <w:rFonts w:cs="Calibri"/>
          <w:bCs/>
          <w:sz w:val="24"/>
          <w:szCs w:val="24"/>
          <w:lang w:eastAsia="sk-SK"/>
        </w:rPr>
        <w:t xml:space="preserve"> v roku </w:t>
      </w:r>
      <w:r>
        <w:rPr>
          <w:rFonts w:cs="Calibri"/>
          <w:bCs/>
          <w:sz w:val="24"/>
          <w:szCs w:val="24"/>
          <w:lang w:eastAsia="sk-SK"/>
        </w:rPr>
        <w:t>20</w:t>
      </w:r>
      <w:r w:rsidR="00D16497">
        <w:rPr>
          <w:rFonts w:cs="Calibri"/>
          <w:bCs/>
          <w:sz w:val="24"/>
          <w:szCs w:val="24"/>
          <w:lang w:eastAsia="sk-SK"/>
        </w:rPr>
        <w:t>20</w:t>
      </w:r>
      <w:r w:rsidRPr="006C795D">
        <w:rPr>
          <w:rFonts w:cs="Calibri"/>
          <w:bCs/>
          <w:sz w:val="24"/>
          <w:szCs w:val="24"/>
          <w:lang w:eastAsia="sk-SK"/>
        </w:rPr>
        <w:t xml:space="preserve"> použit</w:t>
      </w:r>
      <w:r>
        <w:rPr>
          <w:rFonts w:cs="Calibri"/>
          <w:bCs/>
          <w:sz w:val="24"/>
          <w:szCs w:val="24"/>
          <w:lang w:eastAsia="sk-SK"/>
        </w:rPr>
        <w:t xml:space="preserve">é vo výške  </w:t>
      </w:r>
      <w:r w:rsidR="00D16497">
        <w:rPr>
          <w:rFonts w:cs="Calibri"/>
          <w:b/>
          <w:bCs/>
          <w:sz w:val="24"/>
          <w:szCs w:val="24"/>
          <w:lang w:eastAsia="sk-SK"/>
        </w:rPr>
        <w:t>2 400 00,00</w:t>
      </w:r>
      <w:r w:rsidR="002052D5" w:rsidRPr="002052D5">
        <w:rPr>
          <w:rFonts w:cs="Calibri"/>
          <w:b/>
          <w:bCs/>
          <w:sz w:val="24"/>
          <w:szCs w:val="24"/>
          <w:lang w:eastAsia="sk-SK"/>
        </w:rPr>
        <w:t xml:space="preserve"> </w:t>
      </w:r>
      <w:r w:rsidRPr="00EA14CC">
        <w:rPr>
          <w:rFonts w:cs="Calibri"/>
          <w:b/>
          <w:bCs/>
          <w:sz w:val="24"/>
          <w:szCs w:val="24"/>
          <w:lang w:eastAsia="sk-SK"/>
        </w:rPr>
        <w:t>EUR</w:t>
      </w:r>
      <w:r>
        <w:rPr>
          <w:rFonts w:cs="Calibri"/>
          <w:bCs/>
          <w:sz w:val="24"/>
          <w:szCs w:val="24"/>
          <w:lang w:eastAsia="sk-SK"/>
        </w:rPr>
        <w:t xml:space="preserve"> a k</w:t>
      </w:r>
      <w:r>
        <w:rPr>
          <w:sz w:val="24"/>
          <w:szCs w:val="24"/>
        </w:rPr>
        <w:t> 31.12.20</w:t>
      </w:r>
      <w:r w:rsidR="00D16497">
        <w:rPr>
          <w:sz w:val="24"/>
          <w:szCs w:val="24"/>
        </w:rPr>
        <w:t>20</w:t>
      </w:r>
      <w:r w:rsidRPr="006C795D">
        <w:rPr>
          <w:sz w:val="24"/>
          <w:szCs w:val="24"/>
        </w:rPr>
        <w:t xml:space="preserve"> bol </w:t>
      </w:r>
      <w:r>
        <w:rPr>
          <w:sz w:val="24"/>
          <w:szCs w:val="24"/>
        </w:rPr>
        <w:t xml:space="preserve">vykázaný zostatok finančných prostriedkov rezervného fondu vo výške </w:t>
      </w:r>
      <w:r w:rsidR="00821AAA" w:rsidRPr="00821AAA">
        <w:rPr>
          <w:b/>
          <w:sz w:val="24"/>
          <w:szCs w:val="24"/>
        </w:rPr>
        <w:t xml:space="preserve">14 282 629,41 </w:t>
      </w:r>
      <w:r>
        <w:rPr>
          <w:b/>
          <w:sz w:val="24"/>
          <w:szCs w:val="24"/>
        </w:rPr>
        <w:t>EUR.</w:t>
      </w:r>
    </w:p>
    <w:p w14:paraId="66B5D312" w14:textId="686F4EE0" w:rsidR="007B7F76" w:rsidRDefault="007B7F76" w:rsidP="00441BA9">
      <w:pPr>
        <w:spacing w:after="0" w:line="240" w:lineRule="auto"/>
        <w:jc w:val="both"/>
        <w:rPr>
          <w:rFonts w:cs="Calibri"/>
          <w:b/>
          <w:bCs/>
          <w:color w:val="000000"/>
          <w:sz w:val="24"/>
          <w:szCs w:val="24"/>
          <w:lang w:eastAsia="sk-SK"/>
        </w:rPr>
      </w:pPr>
    </w:p>
    <w:tbl>
      <w:tblPr>
        <w:tblW w:w="0" w:type="auto"/>
        <w:tblCellMar>
          <w:left w:w="70" w:type="dxa"/>
          <w:right w:w="70" w:type="dxa"/>
        </w:tblCellMar>
        <w:tblLook w:val="04A0" w:firstRow="1" w:lastRow="0" w:firstColumn="1" w:lastColumn="0" w:noHBand="0" w:noVBand="1"/>
      </w:tblPr>
      <w:tblGrid>
        <w:gridCol w:w="8774"/>
        <w:gridCol w:w="1662"/>
      </w:tblGrid>
      <w:tr w:rsidR="007B7F76" w:rsidRPr="007B7F76" w14:paraId="3F68B58A" w14:textId="77777777" w:rsidTr="007B7F76">
        <w:trPr>
          <w:trHeight w:val="402"/>
        </w:trPr>
        <w:tc>
          <w:tcPr>
            <w:tcW w:w="8774"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4571FB57" w14:textId="77777777"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Rezervný fond</w:t>
            </w:r>
            <w:r w:rsidRPr="007B7F76">
              <w:rPr>
                <w:rFonts w:cs="Calibri"/>
                <w:color w:val="000000"/>
                <w:lang w:eastAsia="sk-SK"/>
              </w:rPr>
              <w:t xml:space="preserve"> </w:t>
            </w:r>
            <w:r w:rsidRPr="007B7F76">
              <w:rPr>
                <w:rFonts w:cs="Calibri"/>
                <w:b/>
                <w:bCs/>
                <w:color w:val="000000"/>
                <w:sz w:val="20"/>
                <w:szCs w:val="20"/>
                <w:lang w:eastAsia="sk-SK"/>
              </w:rPr>
              <w:t>Úradu BSK</w:t>
            </w:r>
          </w:p>
        </w:tc>
        <w:tc>
          <w:tcPr>
            <w:tcW w:w="1662" w:type="dxa"/>
            <w:tcBorders>
              <w:top w:val="single" w:sz="12" w:space="0" w:color="FFFFFF"/>
              <w:left w:val="nil"/>
              <w:bottom w:val="nil"/>
              <w:right w:val="single" w:sz="12" w:space="0" w:color="FFFFFF"/>
            </w:tcBorders>
            <w:shd w:val="clear" w:color="000000" w:fill="8DB3E2"/>
            <w:vAlign w:val="center"/>
            <w:hideMark/>
          </w:tcPr>
          <w:p w14:paraId="40C42268"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Skutočnosť</w:t>
            </w:r>
          </w:p>
        </w:tc>
      </w:tr>
      <w:tr w:rsidR="007B7F76" w:rsidRPr="007B7F76" w14:paraId="1EE66D5E" w14:textId="77777777" w:rsidTr="007B7F76">
        <w:trPr>
          <w:trHeight w:val="402"/>
        </w:trPr>
        <w:tc>
          <w:tcPr>
            <w:tcW w:w="8774" w:type="dxa"/>
            <w:vMerge/>
            <w:tcBorders>
              <w:top w:val="single" w:sz="12" w:space="0" w:color="FFFFFF"/>
              <w:left w:val="single" w:sz="12" w:space="0" w:color="FFFFFF"/>
              <w:bottom w:val="single" w:sz="12" w:space="0" w:color="FFFFFF"/>
              <w:right w:val="single" w:sz="12" w:space="0" w:color="FFFFFF"/>
            </w:tcBorders>
            <w:vAlign w:val="center"/>
            <w:hideMark/>
          </w:tcPr>
          <w:p w14:paraId="2F094D18" w14:textId="77777777" w:rsidR="007B7F76" w:rsidRPr="007B7F76" w:rsidRDefault="007B7F76" w:rsidP="007B7F76">
            <w:pPr>
              <w:spacing w:after="0" w:line="240" w:lineRule="auto"/>
              <w:rPr>
                <w:rFonts w:cs="Calibri"/>
                <w:b/>
                <w:bCs/>
                <w:color w:val="000000"/>
                <w:sz w:val="20"/>
                <w:szCs w:val="20"/>
                <w:lang w:eastAsia="sk-SK"/>
              </w:rPr>
            </w:pPr>
          </w:p>
        </w:tc>
        <w:tc>
          <w:tcPr>
            <w:tcW w:w="1662" w:type="dxa"/>
            <w:tcBorders>
              <w:top w:val="nil"/>
              <w:left w:val="nil"/>
              <w:bottom w:val="single" w:sz="12" w:space="0" w:color="FFFFFF"/>
              <w:right w:val="single" w:sz="12" w:space="0" w:color="FFFFFF"/>
            </w:tcBorders>
            <w:shd w:val="clear" w:color="000000" w:fill="8DB3E2"/>
            <w:vAlign w:val="center"/>
            <w:hideMark/>
          </w:tcPr>
          <w:p w14:paraId="12DF6305"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v EUR</w:t>
            </w:r>
          </w:p>
        </w:tc>
      </w:tr>
      <w:tr w:rsidR="007B7F76" w:rsidRPr="007B7F76" w14:paraId="1AC1BF62" w14:textId="77777777" w:rsidTr="007B7F76">
        <w:trPr>
          <w:trHeight w:val="402"/>
        </w:trPr>
        <w:tc>
          <w:tcPr>
            <w:tcW w:w="8774" w:type="dxa"/>
            <w:tcBorders>
              <w:top w:val="nil"/>
              <w:left w:val="single" w:sz="12" w:space="0" w:color="FFFFFF"/>
              <w:bottom w:val="single" w:sz="12" w:space="0" w:color="FFFFFF"/>
              <w:right w:val="single" w:sz="12" w:space="0" w:color="FFFFFF"/>
            </w:tcBorders>
            <w:shd w:val="clear" w:color="000000" w:fill="8DB3E2"/>
            <w:vAlign w:val="center"/>
            <w:hideMark/>
          </w:tcPr>
          <w:p w14:paraId="08FE6B9F" w14:textId="77777777"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Začiatočný stav  k 1.1.2020</w:t>
            </w:r>
          </w:p>
        </w:tc>
        <w:tc>
          <w:tcPr>
            <w:tcW w:w="1662" w:type="dxa"/>
            <w:tcBorders>
              <w:top w:val="nil"/>
              <w:left w:val="nil"/>
              <w:bottom w:val="single" w:sz="12" w:space="0" w:color="FFFFFF"/>
              <w:right w:val="single" w:sz="12" w:space="0" w:color="FFFFFF"/>
            </w:tcBorders>
            <w:shd w:val="clear" w:color="000000" w:fill="8DB3E2"/>
            <w:vAlign w:val="center"/>
            <w:hideMark/>
          </w:tcPr>
          <w:p w14:paraId="23735648"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5 633 573,66</w:t>
            </w:r>
          </w:p>
        </w:tc>
      </w:tr>
      <w:tr w:rsidR="007B7F76" w:rsidRPr="007B7F76" w14:paraId="19FA1FE8" w14:textId="77777777" w:rsidTr="007B7F76">
        <w:trPr>
          <w:trHeight w:val="615"/>
        </w:trPr>
        <w:tc>
          <w:tcPr>
            <w:tcW w:w="8774" w:type="dxa"/>
            <w:tcBorders>
              <w:top w:val="nil"/>
              <w:left w:val="single" w:sz="12" w:space="0" w:color="FFFFFF"/>
              <w:bottom w:val="single" w:sz="12" w:space="0" w:color="FFFFFF"/>
              <w:right w:val="single" w:sz="12" w:space="0" w:color="FFFFFF"/>
            </w:tcBorders>
            <w:shd w:val="clear" w:color="000000" w:fill="8DB3E2"/>
            <w:vAlign w:val="center"/>
            <w:hideMark/>
          </w:tcPr>
          <w:p w14:paraId="15D7C10F" w14:textId="77777777"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Tvorba rezervného fondu (v zmysle Uznesenie Z BSK č. 252/2020 zo dňa 29.5.2020)</w:t>
            </w:r>
          </w:p>
        </w:tc>
        <w:tc>
          <w:tcPr>
            <w:tcW w:w="1662" w:type="dxa"/>
            <w:tcBorders>
              <w:top w:val="nil"/>
              <w:left w:val="nil"/>
              <w:bottom w:val="single" w:sz="12" w:space="0" w:color="FFFFFF"/>
              <w:right w:val="single" w:sz="12" w:space="0" w:color="FFFFFF"/>
            </w:tcBorders>
            <w:shd w:val="clear" w:color="000000" w:fill="8DB3E2"/>
            <w:vAlign w:val="center"/>
            <w:hideMark/>
          </w:tcPr>
          <w:p w14:paraId="1116279B"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11 049 055,75 €</w:t>
            </w:r>
          </w:p>
        </w:tc>
      </w:tr>
      <w:tr w:rsidR="007B7F76" w:rsidRPr="007B7F76" w14:paraId="4E6982CA" w14:textId="77777777" w:rsidTr="007B7F76">
        <w:trPr>
          <w:trHeight w:val="402"/>
        </w:trPr>
        <w:tc>
          <w:tcPr>
            <w:tcW w:w="10436" w:type="dxa"/>
            <w:gridSpan w:val="2"/>
            <w:tcBorders>
              <w:top w:val="nil"/>
              <w:left w:val="single" w:sz="12" w:space="0" w:color="FFFFFF"/>
              <w:bottom w:val="single" w:sz="12" w:space="0" w:color="FFFFFF"/>
              <w:right w:val="single" w:sz="12" w:space="0" w:color="FFFFFF"/>
            </w:tcBorders>
            <w:shd w:val="pct25" w:color="F2F2F2" w:fill="E5E2D9"/>
            <w:vAlign w:val="center"/>
            <w:hideMark/>
          </w:tcPr>
          <w:p w14:paraId="0B5F7ABA" w14:textId="68F3E0D9"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Použitie rezervného fondu k 31.12.2020:</w:t>
            </w:r>
          </w:p>
          <w:p w14:paraId="3696B34E" w14:textId="6F05D645" w:rsidR="007B7F76" w:rsidRPr="007B7F76" w:rsidRDefault="007B7F76" w:rsidP="007B7F76">
            <w:pPr>
              <w:spacing w:after="0" w:line="240" w:lineRule="auto"/>
              <w:rPr>
                <w:rFonts w:cs="Calibri"/>
                <w:b/>
                <w:bCs/>
                <w:color w:val="000000"/>
                <w:sz w:val="20"/>
                <w:szCs w:val="20"/>
                <w:lang w:eastAsia="sk-SK"/>
              </w:rPr>
            </w:pPr>
          </w:p>
        </w:tc>
      </w:tr>
      <w:tr w:rsidR="007B7F76" w:rsidRPr="007B7F76" w14:paraId="2283128D"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40CB55DA" w14:textId="77777777"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Podprogram 3.3: Majetok- investície, údržba</w:t>
            </w:r>
          </w:p>
        </w:tc>
        <w:tc>
          <w:tcPr>
            <w:tcW w:w="1662" w:type="dxa"/>
            <w:tcBorders>
              <w:top w:val="nil"/>
              <w:left w:val="nil"/>
              <w:bottom w:val="single" w:sz="12" w:space="0" w:color="FFFFFF"/>
              <w:right w:val="single" w:sz="12" w:space="0" w:color="FFFFFF"/>
            </w:tcBorders>
            <w:shd w:val="pct25" w:color="F2F2F2" w:fill="E5E2D9"/>
            <w:vAlign w:val="center"/>
            <w:hideMark/>
          </w:tcPr>
          <w:p w14:paraId="53A95733"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590 932,58</w:t>
            </w:r>
          </w:p>
        </w:tc>
      </w:tr>
      <w:tr w:rsidR="007B7F76" w:rsidRPr="007B7F76" w14:paraId="12E7A7FD"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96B6897"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Nákup licencií / umelecký výkon a licencia YouTube </w:t>
            </w:r>
            <w:proofErr w:type="spellStart"/>
            <w:r w:rsidRPr="007B7F76">
              <w:rPr>
                <w:rFonts w:cs="Calibri"/>
                <w:color w:val="000000"/>
                <w:sz w:val="20"/>
                <w:szCs w:val="20"/>
                <w:lang w:eastAsia="sk-SK"/>
              </w:rPr>
              <w:t>influencer</w:t>
            </w:r>
            <w:proofErr w:type="spellEnd"/>
            <w:r w:rsidRPr="007B7F76">
              <w:rPr>
                <w:rFonts w:cs="Calibri"/>
                <w:color w:val="000000"/>
                <w:sz w:val="20"/>
                <w:szCs w:val="20"/>
                <w:lang w:eastAsia="sk-SK"/>
              </w:rPr>
              <w:t xml:space="preserve"> "</w:t>
            </w:r>
            <w:proofErr w:type="spellStart"/>
            <w:r w:rsidRPr="007B7F76">
              <w:rPr>
                <w:rFonts w:cs="Calibri"/>
                <w:color w:val="000000"/>
                <w:sz w:val="20"/>
                <w:szCs w:val="20"/>
                <w:lang w:eastAsia="sk-SK"/>
              </w:rPr>
              <w:t>Asimester</w:t>
            </w:r>
            <w:proofErr w:type="spellEnd"/>
            <w:r w:rsidRPr="007B7F76">
              <w:rPr>
                <w:rFonts w:cs="Calibri"/>
                <w:color w:val="000000"/>
                <w:sz w:val="20"/>
                <w:szCs w:val="20"/>
                <w:lang w:eastAsia="sk-SK"/>
              </w:rPr>
              <w:t>"</w:t>
            </w:r>
          </w:p>
        </w:tc>
        <w:tc>
          <w:tcPr>
            <w:tcW w:w="1662" w:type="dxa"/>
            <w:tcBorders>
              <w:top w:val="nil"/>
              <w:left w:val="nil"/>
              <w:bottom w:val="single" w:sz="12" w:space="0" w:color="FFFFFF"/>
              <w:right w:val="single" w:sz="12" w:space="0" w:color="FFFFFF"/>
            </w:tcBorders>
            <w:shd w:val="pct25" w:color="F2F2F2" w:fill="E5E2D9"/>
            <w:vAlign w:val="center"/>
            <w:hideMark/>
          </w:tcPr>
          <w:p w14:paraId="489839A1"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4 800,00</w:t>
            </w:r>
          </w:p>
        </w:tc>
      </w:tr>
      <w:tr w:rsidR="007B7F76" w:rsidRPr="007B7F76" w14:paraId="64B2945E"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5C2447DC"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Poliklinika Karlova Ves - projektová dokumentácia / rekonštrukcia sociálnych zariadení</w:t>
            </w:r>
          </w:p>
        </w:tc>
        <w:tc>
          <w:tcPr>
            <w:tcW w:w="1662" w:type="dxa"/>
            <w:tcBorders>
              <w:top w:val="nil"/>
              <w:left w:val="nil"/>
              <w:bottom w:val="single" w:sz="12" w:space="0" w:color="FFFFFF"/>
              <w:right w:val="single" w:sz="12" w:space="0" w:color="FFFFFF"/>
            </w:tcBorders>
            <w:shd w:val="pct25" w:color="F2F2F2" w:fill="E5E2D9"/>
            <w:vAlign w:val="center"/>
            <w:hideMark/>
          </w:tcPr>
          <w:p w14:paraId="76E5B08A"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1 962,00</w:t>
            </w:r>
          </w:p>
        </w:tc>
      </w:tr>
      <w:tr w:rsidR="007B7F76" w:rsidRPr="007B7F76" w14:paraId="0826AC19"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1F2CC44"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Malokarpatské múzeum v Pezinku - projektové práce / rekonštrukcia Synagógy v Senci a novostavby </w:t>
            </w:r>
            <w:proofErr w:type="spellStart"/>
            <w:r w:rsidRPr="007B7F76">
              <w:rPr>
                <w:rFonts w:cs="Calibri"/>
                <w:color w:val="000000"/>
                <w:sz w:val="20"/>
                <w:szCs w:val="20"/>
                <w:lang w:eastAsia="sk-SK"/>
              </w:rPr>
              <w:t>infopavilónu</w:t>
            </w:r>
            <w:proofErr w:type="spellEnd"/>
          </w:p>
        </w:tc>
        <w:tc>
          <w:tcPr>
            <w:tcW w:w="1662" w:type="dxa"/>
            <w:tcBorders>
              <w:top w:val="nil"/>
              <w:left w:val="nil"/>
              <w:bottom w:val="single" w:sz="12" w:space="0" w:color="FFFFFF"/>
              <w:right w:val="single" w:sz="12" w:space="0" w:color="FFFFFF"/>
            </w:tcBorders>
            <w:shd w:val="pct25" w:color="F2F2F2" w:fill="E5E2D9"/>
            <w:vAlign w:val="center"/>
            <w:hideMark/>
          </w:tcPr>
          <w:p w14:paraId="4A9318AE"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4 650,00</w:t>
            </w:r>
          </w:p>
        </w:tc>
      </w:tr>
      <w:tr w:rsidR="007B7F76" w:rsidRPr="007B7F76" w14:paraId="0B9D0FEB"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4EA4E93D"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Malokarpatské múzeum v Pezinku - nákup satelitného geodetického lokalizačného zariadenia</w:t>
            </w:r>
          </w:p>
        </w:tc>
        <w:tc>
          <w:tcPr>
            <w:tcW w:w="1662" w:type="dxa"/>
            <w:tcBorders>
              <w:top w:val="nil"/>
              <w:left w:val="nil"/>
              <w:bottom w:val="single" w:sz="12" w:space="0" w:color="FFFFFF"/>
              <w:right w:val="single" w:sz="12" w:space="0" w:color="FFFFFF"/>
            </w:tcBorders>
            <w:shd w:val="pct25" w:color="F2F2F2" w:fill="E5E2D9"/>
            <w:vAlign w:val="center"/>
            <w:hideMark/>
          </w:tcPr>
          <w:p w14:paraId="27949ECE"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8 100,00</w:t>
            </w:r>
          </w:p>
        </w:tc>
      </w:tr>
      <w:tr w:rsidR="007B7F76" w:rsidRPr="007B7F76" w14:paraId="2B134509"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23785E00"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Malokarpatské osvetové stredisko - kultúrno-kreatívne oživenie tradícií HERITAGE SK-AT / stavebné práce</w:t>
            </w:r>
          </w:p>
        </w:tc>
        <w:tc>
          <w:tcPr>
            <w:tcW w:w="1662" w:type="dxa"/>
            <w:tcBorders>
              <w:top w:val="nil"/>
              <w:left w:val="nil"/>
              <w:bottom w:val="single" w:sz="12" w:space="0" w:color="FFFFFF"/>
              <w:right w:val="single" w:sz="12" w:space="0" w:color="FFFFFF"/>
            </w:tcBorders>
            <w:shd w:val="pct25" w:color="F2F2F2" w:fill="E5E2D9"/>
            <w:vAlign w:val="center"/>
            <w:hideMark/>
          </w:tcPr>
          <w:p w14:paraId="5BBADF3E"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32 741,26</w:t>
            </w:r>
          </w:p>
        </w:tc>
      </w:tr>
      <w:tr w:rsidR="007B7F76" w:rsidRPr="007B7F76" w14:paraId="0C00B8B7"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D4C393F"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Gymnázium A. Einsteina - projektová dokumentácia a inžiniering / opravy fasád a vybudovanie </w:t>
            </w:r>
            <w:proofErr w:type="spellStart"/>
            <w:r w:rsidRPr="007B7F76">
              <w:rPr>
                <w:rFonts w:cs="Calibri"/>
                <w:color w:val="000000"/>
                <w:sz w:val="20"/>
                <w:szCs w:val="20"/>
                <w:lang w:eastAsia="sk-SK"/>
              </w:rPr>
              <w:t>hydroizolácií</w:t>
            </w:r>
            <w:proofErr w:type="spellEnd"/>
          </w:p>
        </w:tc>
        <w:tc>
          <w:tcPr>
            <w:tcW w:w="1662" w:type="dxa"/>
            <w:tcBorders>
              <w:top w:val="nil"/>
              <w:left w:val="nil"/>
              <w:bottom w:val="single" w:sz="12" w:space="0" w:color="FFFFFF"/>
              <w:right w:val="single" w:sz="12" w:space="0" w:color="FFFFFF"/>
            </w:tcBorders>
            <w:shd w:val="pct25" w:color="F2F2F2" w:fill="E5E2D9"/>
            <w:vAlign w:val="center"/>
            <w:hideMark/>
          </w:tcPr>
          <w:p w14:paraId="103CEA99"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2 300,00</w:t>
            </w:r>
          </w:p>
        </w:tc>
      </w:tr>
      <w:tr w:rsidR="007B7F76" w:rsidRPr="007B7F76" w14:paraId="6417AD7E"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2BB02C0"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Gymnázium, Malacky - zádržné zo stavebných prác / zateplenie všetkých pavilónov školy</w:t>
            </w:r>
          </w:p>
        </w:tc>
        <w:tc>
          <w:tcPr>
            <w:tcW w:w="1662" w:type="dxa"/>
            <w:tcBorders>
              <w:top w:val="nil"/>
              <w:left w:val="nil"/>
              <w:bottom w:val="single" w:sz="12" w:space="0" w:color="FFFFFF"/>
              <w:right w:val="single" w:sz="12" w:space="0" w:color="FFFFFF"/>
            </w:tcBorders>
            <w:shd w:val="pct25" w:color="F2F2F2" w:fill="E5E2D9"/>
            <w:vAlign w:val="center"/>
            <w:hideMark/>
          </w:tcPr>
          <w:p w14:paraId="2B65310E"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58 963,11</w:t>
            </w:r>
          </w:p>
        </w:tc>
      </w:tr>
      <w:tr w:rsidR="007B7F76" w:rsidRPr="007B7F76" w14:paraId="7997116C"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7B679895"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Gymnázium, Malacky - aktualizácia projektu protipožiarnej ochrany / zateplenie pavilónov školy</w:t>
            </w:r>
          </w:p>
        </w:tc>
        <w:tc>
          <w:tcPr>
            <w:tcW w:w="1662" w:type="dxa"/>
            <w:tcBorders>
              <w:top w:val="nil"/>
              <w:left w:val="nil"/>
              <w:bottom w:val="single" w:sz="12" w:space="0" w:color="FFFFFF"/>
              <w:right w:val="single" w:sz="12" w:space="0" w:color="FFFFFF"/>
            </w:tcBorders>
            <w:shd w:val="pct25" w:color="F2F2F2" w:fill="E5E2D9"/>
            <w:vAlign w:val="center"/>
            <w:hideMark/>
          </w:tcPr>
          <w:p w14:paraId="505575DA"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1 320,35</w:t>
            </w:r>
          </w:p>
        </w:tc>
      </w:tr>
      <w:tr w:rsidR="007B7F76" w:rsidRPr="007B7F76" w14:paraId="0D97C057"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3844549"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Tanečné konzervatórium E. </w:t>
            </w:r>
            <w:proofErr w:type="spellStart"/>
            <w:r w:rsidRPr="007B7F76">
              <w:rPr>
                <w:rFonts w:cs="Calibri"/>
                <w:color w:val="000000"/>
                <w:sz w:val="20"/>
                <w:szCs w:val="20"/>
                <w:lang w:eastAsia="sk-SK"/>
              </w:rPr>
              <w:t>Jaczovej</w:t>
            </w:r>
            <w:proofErr w:type="spellEnd"/>
            <w:r w:rsidRPr="007B7F76">
              <w:rPr>
                <w:rFonts w:cs="Calibri"/>
                <w:color w:val="000000"/>
                <w:sz w:val="20"/>
                <w:szCs w:val="20"/>
                <w:lang w:eastAsia="sk-SK"/>
              </w:rPr>
              <w:t>, Gorazdova - vypracovanie realizačného projektu / vybudovanie tanečnej sály</w:t>
            </w:r>
          </w:p>
        </w:tc>
        <w:tc>
          <w:tcPr>
            <w:tcW w:w="1662" w:type="dxa"/>
            <w:tcBorders>
              <w:top w:val="nil"/>
              <w:left w:val="nil"/>
              <w:bottom w:val="single" w:sz="12" w:space="0" w:color="FFFFFF"/>
              <w:right w:val="single" w:sz="12" w:space="0" w:color="FFFFFF"/>
            </w:tcBorders>
            <w:shd w:val="pct25" w:color="F2F2F2" w:fill="E5E2D9"/>
            <w:vAlign w:val="center"/>
            <w:hideMark/>
          </w:tcPr>
          <w:p w14:paraId="7462CE78"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9 360,00</w:t>
            </w:r>
          </w:p>
        </w:tc>
      </w:tr>
      <w:tr w:rsidR="007B7F76" w:rsidRPr="007B7F76" w14:paraId="0D478920"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1BA8F11"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Konzervatórium, Tolstého - projektová dokumentácia a inžiniering / rekonštrukcia kotolne</w:t>
            </w:r>
          </w:p>
        </w:tc>
        <w:tc>
          <w:tcPr>
            <w:tcW w:w="1662" w:type="dxa"/>
            <w:tcBorders>
              <w:top w:val="nil"/>
              <w:left w:val="nil"/>
              <w:bottom w:val="single" w:sz="12" w:space="0" w:color="FFFFFF"/>
              <w:right w:val="single" w:sz="12" w:space="0" w:color="FFFFFF"/>
            </w:tcBorders>
            <w:shd w:val="pct25" w:color="F2F2F2" w:fill="E5E2D9"/>
            <w:vAlign w:val="center"/>
            <w:hideMark/>
          </w:tcPr>
          <w:p w14:paraId="3D0F4143"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1 600,00</w:t>
            </w:r>
          </w:p>
        </w:tc>
      </w:tr>
      <w:tr w:rsidR="007B7F76" w:rsidRPr="007B7F76" w14:paraId="7401E6FD"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0C6445AD"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SPŠ strojnícka, </w:t>
            </w:r>
            <w:proofErr w:type="spellStart"/>
            <w:r w:rsidRPr="007B7F76">
              <w:rPr>
                <w:rFonts w:cs="Calibri"/>
                <w:color w:val="000000"/>
                <w:sz w:val="20"/>
                <w:szCs w:val="20"/>
                <w:lang w:eastAsia="sk-SK"/>
              </w:rPr>
              <w:t>Fajnorovo</w:t>
            </w:r>
            <w:proofErr w:type="spellEnd"/>
            <w:r w:rsidRPr="007B7F76">
              <w:rPr>
                <w:rFonts w:cs="Calibri"/>
                <w:color w:val="000000"/>
                <w:sz w:val="20"/>
                <w:szCs w:val="20"/>
                <w:lang w:eastAsia="sk-SK"/>
              </w:rPr>
              <w:t xml:space="preserve"> nábrežie - projektová dokumentácia a inžiniering / realizácia krytých telocviční</w:t>
            </w:r>
          </w:p>
        </w:tc>
        <w:tc>
          <w:tcPr>
            <w:tcW w:w="1662" w:type="dxa"/>
            <w:tcBorders>
              <w:top w:val="nil"/>
              <w:left w:val="nil"/>
              <w:bottom w:val="single" w:sz="12" w:space="0" w:color="FFFFFF"/>
              <w:right w:val="single" w:sz="12" w:space="0" w:color="FFFFFF"/>
            </w:tcBorders>
            <w:shd w:val="pct25" w:color="F2F2F2" w:fill="E5E2D9"/>
            <w:vAlign w:val="center"/>
            <w:hideMark/>
          </w:tcPr>
          <w:p w14:paraId="7DD1C866"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1 260,00</w:t>
            </w:r>
          </w:p>
        </w:tc>
      </w:tr>
      <w:tr w:rsidR="007B7F76" w:rsidRPr="007B7F76" w14:paraId="28D149C4"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08077485"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SPŠE, K. Adlera - projektová dokumentácia a inžiniering / rekonštrukcia a modernizácia vonkajšieho športového areálu</w:t>
            </w:r>
          </w:p>
        </w:tc>
        <w:tc>
          <w:tcPr>
            <w:tcW w:w="1662" w:type="dxa"/>
            <w:tcBorders>
              <w:top w:val="nil"/>
              <w:left w:val="nil"/>
              <w:bottom w:val="single" w:sz="12" w:space="0" w:color="FFFFFF"/>
              <w:right w:val="single" w:sz="12" w:space="0" w:color="FFFFFF"/>
            </w:tcBorders>
            <w:shd w:val="pct25" w:color="F2F2F2" w:fill="E5E2D9"/>
            <w:vAlign w:val="center"/>
            <w:hideMark/>
          </w:tcPr>
          <w:p w14:paraId="210DC87E"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370,00</w:t>
            </w:r>
          </w:p>
        </w:tc>
      </w:tr>
      <w:tr w:rsidR="007B7F76" w:rsidRPr="007B7F76" w14:paraId="3CA5BFB7"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00079C54"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SPŠ dopravná, </w:t>
            </w:r>
            <w:proofErr w:type="spellStart"/>
            <w:r w:rsidRPr="007B7F76">
              <w:rPr>
                <w:rFonts w:cs="Calibri"/>
                <w:color w:val="000000"/>
                <w:sz w:val="20"/>
                <w:szCs w:val="20"/>
                <w:lang w:eastAsia="sk-SK"/>
              </w:rPr>
              <w:t>Kvačalova</w:t>
            </w:r>
            <w:proofErr w:type="spellEnd"/>
            <w:r w:rsidRPr="007B7F76">
              <w:rPr>
                <w:rFonts w:cs="Calibri"/>
                <w:color w:val="000000"/>
                <w:sz w:val="20"/>
                <w:szCs w:val="20"/>
                <w:lang w:eastAsia="sk-SK"/>
              </w:rPr>
              <w:t xml:space="preserve"> - úprava priestoru / školský bufet</w:t>
            </w:r>
          </w:p>
        </w:tc>
        <w:tc>
          <w:tcPr>
            <w:tcW w:w="1662" w:type="dxa"/>
            <w:tcBorders>
              <w:top w:val="nil"/>
              <w:left w:val="nil"/>
              <w:bottom w:val="single" w:sz="12" w:space="0" w:color="FFFFFF"/>
              <w:right w:val="single" w:sz="12" w:space="0" w:color="FFFFFF"/>
            </w:tcBorders>
            <w:shd w:val="pct25" w:color="F2F2F2" w:fill="E5E2D9"/>
            <w:vAlign w:val="center"/>
            <w:hideMark/>
          </w:tcPr>
          <w:p w14:paraId="3F04F7DD"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5 911,54</w:t>
            </w:r>
          </w:p>
        </w:tc>
      </w:tr>
      <w:tr w:rsidR="007B7F76" w:rsidRPr="007B7F76" w14:paraId="2CDEA564"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DB89C35"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Spojená škola, Ivanka pri Dunaji - projektové práce / rekonštrukcia areálovej kanalizácie</w:t>
            </w:r>
          </w:p>
        </w:tc>
        <w:tc>
          <w:tcPr>
            <w:tcW w:w="1662" w:type="dxa"/>
            <w:tcBorders>
              <w:top w:val="nil"/>
              <w:left w:val="nil"/>
              <w:bottom w:val="single" w:sz="12" w:space="0" w:color="FFFFFF"/>
              <w:right w:val="single" w:sz="12" w:space="0" w:color="FFFFFF"/>
            </w:tcBorders>
            <w:shd w:val="pct25" w:color="F2F2F2" w:fill="E5E2D9"/>
            <w:vAlign w:val="center"/>
            <w:hideMark/>
          </w:tcPr>
          <w:p w14:paraId="6E4D7717"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1 164,00</w:t>
            </w:r>
          </w:p>
        </w:tc>
      </w:tr>
      <w:tr w:rsidR="007B7F76" w:rsidRPr="007B7F76" w14:paraId="640A0539"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747BC6DD"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Spojená škola, Ivanka pri Dunaji - zádržné / projektové práce - rekonštrukcia areálovej kanalizácie</w:t>
            </w:r>
          </w:p>
        </w:tc>
        <w:tc>
          <w:tcPr>
            <w:tcW w:w="1662" w:type="dxa"/>
            <w:tcBorders>
              <w:top w:val="nil"/>
              <w:left w:val="nil"/>
              <w:bottom w:val="single" w:sz="12" w:space="0" w:color="FFFFFF"/>
              <w:right w:val="single" w:sz="12" w:space="0" w:color="FFFFFF"/>
            </w:tcBorders>
            <w:shd w:val="pct25" w:color="F2F2F2" w:fill="E5E2D9"/>
            <w:vAlign w:val="center"/>
            <w:hideMark/>
          </w:tcPr>
          <w:p w14:paraId="4B890ECF"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217,80</w:t>
            </w:r>
          </w:p>
        </w:tc>
      </w:tr>
      <w:tr w:rsidR="007B7F76" w:rsidRPr="007B7F76" w14:paraId="497080AB" w14:textId="77777777" w:rsidTr="007B7F76">
        <w:trPr>
          <w:trHeight w:val="853"/>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6F77365E"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Spojená škola, Ivanka pri Dunaji - zádržné zo stavebných prác / dotácia na rozvoj výchovy a vzdelávania žiakov v oblasti telesnej výchovy a športovej výchovy formou dostavby, rekonštrukcie alebo výstavby novej telocvične / spoluúčasť BSK v zmysle výzvy MŠVVaŠ SR</w:t>
            </w:r>
          </w:p>
        </w:tc>
        <w:tc>
          <w:tcPr>
            <w:tcW w:w="1662" w:type="dxa"/>
            <w:tcBorders>
              <w:top w:val="nil"/>
              <w:left w:val="nil"/>
              <w:bottom w:val="single" w:sz="12" w:space="0" w:color="FFFFFF"/>
              <w:right w:val="single" w:sz="12" w:space="0" w:color="FFFFFF"/>
            </w:tcBorders>
            <w:shd w:val="pct25" w:color="F2F2F2" w:fill="E5E2D9"/>
            <w:vAlign w:val="center"/>
            <w:hideMark/>
          </w:tcPr>
          <w:p w14:paraId="4B6DAC1C"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4 234,48</w:t>
            </w:r>
          </w:p>
        </w:tc>
      </w:tr>
      <w:tr w:rsidR="007B7F76" w:rsidRPr="007B7F76" w14:paraId="2AE487DD" w14:textId="77777777" w:rsidTr="007B7F76">
        <w:trPr>
          <w:trHeight w:val="384"/>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7C04F96F"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Spojená škola, Ivanka pri Dunaji - technický dozor investora / COVP</w:t>
            </w:r>
          </w:p>
        </w:tc>
        <w:tc>
          <w:tcPr>
            <w:tcW w:w="1662" w:type="dxa"/>
            <w:tcBorders>
              <w:top w:val="nil"/>
              <w:left w:val="nil"/>
              <w:bottom w:val="single" w:sz="12" w:space="0" w:color="FFFFFF"/>
              <w:right w:val="single" w:sz="12" w:space="0" w:color="FFFFFF"/>
            </w:tcBorders>
            <w:shd w:val="pct25" w:color="F2F2F2" w:fill="E5E2D9"/>
            <w:vAlign w:val="center"/>
            <w:hideMark/>
          </w:tcPr>
          <w:p w14:paraId="65E204F1"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2 760,00</w:t>
            </w:r>
          </w:p>
        </w:tc>
      </w:tr>
      <w:tr w:rsidR="007B7F76" w:rsidRPr="007B7F76" w14:paraId="393C819B"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C3CFBDC"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Spojená škola, Ivanka pri Dunaji - zádržné / projektové práce - rekonštrukcia elektroinštalácie v budove internátu</w:t>
            </w:r>
          </w:p>
        </w:tc>
        <w:tc>
          <w:tcPr>
            <w:tcW w:w="1662" w:type="dxa"/>
            <w:tcBorders>
              <w:top w:val="nil"/>
              <w:left w:val="nil"/>
              <w:bottom w:val="single" w:sz="12" w:space="0" w:color="FFFFFF"/>
              <w:right w:val="single" w:sz="12" w:space="0" w:color="FFFFFF"/>
            </w:tcBorders>
            <w:shd w:val="pct25" w:color="F2F2F2" w:fill="E5E2D9"/>
            <w:vAlign w:val="center"/>
            <w:hideMark/>
          </w:tcPr>
          <w:p w14:paraId="6A96E0D7"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468,60</w:t>
            </w:r>
          </w:p>
        </w:tc>
      </w:tr>
      <w:tr w:rsidR="007B7F76" w:rsidRPr="007B7F76" w14:paraId="2123FFB5"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6144E78E"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SOŠ pedagogická, Bullova - projektová dokumentácia a inžiniering / zateplenie fasády a striech, v </w:t>
            </w:r>
            <w:proofErr w:type="spellStart"/>
            <w:r w:rsidRPr="007B7F76">
              <w:rPr>
                <w:rFonts w:cs="Calibri"/>
                <w:color w:val="000000"/>
                <w:sz w:val="20"/>
                <w:szCs w:val="20"/>
                <w:lang w:eastAsia="sk-SK"/>
              </w:rPr>
              <w:t>yregulovanie</w:t>
            </w:r>
            <w:proofErr w:type="spellEnd"/>
            <w:r w:rsidRPr="007B7F76">
              <w:rPr>
                <w:rFonts w:cs="Calibri"/>
                <w:color w:val="000000"/>
                <w:sz w:val="20"/>
                <w:szCs w:val="20"/>
                <w:lang w:eastAsia="sk-SK"/>
              </w:rPr>
              <w:t xml:space="preserve"> systému ÚK</w:t>
            </w:r>
          </w:p>
        </w:tc>
        <w:tc>
          <w:tcPr>
            <w:tcW w:w="1662" w:type="dxa"/>
            <w:tcBorders>
              <w:top w:val="nil"/>
              <w:left w:val="nil"/>
              <w:bottom w:val="single" w:sz="12" w:space="0" w:color="FFFFFF"/>
              <w:right w:val="single" w:sz="12" w:space="0" w:color="FFFFFF"/>
            </w:tcBorders>
            <w:shd w:val="pct25" w:color="F2F2F2" w:fill="E5E2D9"/>
            <w:vAlign w:val="center"/>
            <w:hideMark/>
          </w:tcPr>
          <w:p w14:paraId="2B742108"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4 900,00</w:t>
            </w:r>
          </w:p>
        </w:tc>
      </w:tr>
      <w:tr w:rsidR="007B7F76" w:rsidRPr="007B7F76" w14:paraId="65F9A93C"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7D158763"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SOŠ informačných technológií, </w:t>
            </w:r>
            <w:proofErr w:type="spellStart"/>
            <w:r w:rsidRPr="007B7F76">
              <w:rPr>
                <w:rFonts w:cs="Calibri"/>
                <w:color w:val="000000"/>
                <w:sz w:val="20"/>
                <w:szCs w:val="20"/>
                <w:lang w:eastAsia="sk-SK"/>
              </w:rPr>
              <w:t>Hlinícka</w:t>
            </w:r>
            <w:proofErr w:type="spellEnd"/>
            <w:r w:rsidRPr="007B7F76">
              <w:rPr>
                <w:rFonts w:cs="Calibri"/>
                <w:color w:val="000000"/>
                <w:sz w:val="20"/>
                <w:szCs w:val="20"/>
                <w:lang w:eastAsia="sk-SK"/>
              </w:rPr>
              <w:t xml:space="preserve"> - zakúpenie defibrilátora</w:t>
            </w:r>
          </w:p>
        </w:tc>
        <w:tc>
          <w:tcPr>
            <w:tcW w:w="1662" w:type="dxa"/>
            <w:tcBorders>
              <w:top w:val="nil"/>
              <w:left w:val="nil"/>
              <w:bottom w:val="single" w:sz="12" w:space="0" w:color="FFFFFF"/>
              <w:right w:val="single" w:sz="12" w:space="0" w:color="FFFFFF"/>
            </w:tcBorders>
            <w:shd w:val="pct25" w:color="F2F2F2" w:fill="E5E2D9"/>
            <w:vAlign w:val="center"/>
            <w:hideMark/>
          </w:tcPr>
          <w:p w14:paraId="3DF7C97E"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1 954,00</w:t>
            </w:r>
          </w:p>
        </w:tc>
      </w:tr>
      <w:tr w:rsidR="007B7F76" w:rsidRPr="007B7F76" w14:paraId="0AEDE768"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5DE410F"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lastRenderedPageBreak/>
              <w:t xml:space="preserve">SOŠ technológií a remesiel, </w:t>
            </w:r>
            <w:proofErr w:type="spellStart"/>
            <w:r w:rsidRPr="007B7F76">
              <w:rPr>
                <w:rFonts w:cs="Calibri"/>
                <w:color w:val="000000"/>
                <w:sz w:val="20"/>
                <w:szCs w:val="20"/>
                <w:lang w:eastAsia="sk-SK"/>
              </w:rPr>
              <w:t>Ivanská</w:t>
            </w:r>
            <w:proofErr w:type="spellEnd"/>
            <w:r w:rsidRPr="007B7F76">
              <w:rPr>
                <w:rFonts w:cs="Calibri"/>
                <w:color w:val="000000"/>
                <w:sz w:val="20"/>
                <w:szCs w:val="20"/>
                <w:lang w:eastAsia="sk-SK"/>
              </w:rPr>
              <w:t xml:space="preserve"> cesta - technický dozor investora / COVP</w:t>
            </w:r>
          </w:p>
        </w:tc>
        <w:tc>
          <w:tcPr>
            <w:tcW w:w="1662" w:type="dxa"/>
            <w:tcBorders>
              <w:top w:val="nil"/>
              <w:left w:val="nil"/>
              <w:bottom w:val="single" w:sz="12" w:space="0" w:color="FFFFFF"/>
              <w:right w:val="single" w:sz="12" w:space="0" w:color="FFFFFF"/>
            </w:tcBorders>
            <w:shd w:val="pct25" w:color="F2F2F2" w:fill="E5E2D9"/>
            <w:vAlign w:val="center"/>
            <w:hideMark/>
          </w:tcPr>
          <w:p w14:paraId="2A72A342"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15 360,00</w:t>
            </w:r>
          </w:p>
        </w:tc>
      </w:tr>
      <w:tr w:rsidR="007B7F76" w:rsidRPr="007B7F76" w14:paraId="39FD3763"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63D33EBF"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SOŠ technológií a remesiel, </w:t>
            </w:r>
            <w:proofErr w:type="spellStart"/>
            <w:r w:rsidRPr="007B7F76">
              <w:rPr>
                <w:rFonts w:cs="Calibri"/>
                <w:color w:val="000000"/>
                <w:sz w:val="20"/>
                <w:szCs w:val="20"/>
                <w:lang w:eastAsia="sk-SK"/>
              </w:rPr>
              <w:t>Ivanská</w:t>
            </w:r>
            <w:proofErr w:type="spellEnd"/>
            <w:r w:rsidRPr="007B7F76">
              <w:rPr>
                <w:rFonts w:cs="Calibri"/>
                <w:color w:val="000000"/>
                <w:sz w:val="20"/>
                <w:szCs w:val="20"/>
                <w:lang w:eastAsia="sk-SK"/>
              </w:rPr>
              <w:t xml:space="preserve"> cesta - stavebné práce / COVP</w:t>
            </w:r>
          </w:p>
        </w:tc>
        <w:tc>
          <w:tcPr>
            <w:tcW w:w="1662" w:type="dxa"/>
            <w:tcBorders>
              <w:top w:val="nil"/>
              <w:left w:val="nil"/>
              <w:bottom w:val="single" w:sz="12" w:space="0" w:color="FFFFFF"/>
              <w:right w:val="single" w:sz="12" w:space="0" w:color="FFFFFF"/>
            </w:tcBorders>
            <w:shd w:val="pct25" w:color="F2F2F2" w:fill="E5E2D9"/>
            <w:vAlign w:val="center"/>
            <w:hideMark/>
          </w:tcPr>
          <w:p w14:paraId="3A1B078B"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167 973,67</w:t>
            </w:r>
          </w:p>
        </w:tc>
      </w:tr>
      <w:tr w:rsidR="007B7F76" w:rsidRPr="007B7F76" w14:paraId="410C6502"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4242AD47"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SOŠ technológií a remesiel, </w:t>
            </w:r>
            <w:proofErr w:type="spellStart"/>
            <w:r w:rsidRPr="007B7F76">
              <w:rPr>
                <w:rFonts w:cs="Calibri"/>
                <w:color w:val="000000"/>
                <w:sz w:val="20"/>
                <w:szCs w:val="20"/>
                <w:lang w:eastAsia="sk-SK"/>
              </w:rPr>
              <w:t>Ivanská</w:t>
            </w:r>
            <w:proofErr w:type="spellEnd"/>
            <w:r w:rsidRPr="007B7F76">
              <w:rPr>
                <w:rFonts w:cs="Calibri"/>
                <w:color w:val="000000"/>
                <w:sz w:val="20"/>
                <w:szCs w:val="20"/>
                <w:lang w:eastAsia="sk-SK"/>
              </w:rPr>
              <w:t xml:space="preserve"> cesta - projektové práce / COVP</w:t>
            </w:r>
          </w:p>
        </w:tc>
        <w:tc>
          <w:tcPr>
            <w:tcW w:w="1662" w:type="dxa"/>
            <w:tcBorders>
              <w:top w:val="nil"/>
              <w:left w:val="nil"/>
              <w:bottom w:val="single" w:sz="12" w:space="0" w:color="FFFFFF"/>
              <w:right w:val="single" w:sz="12" w:space="0" w:color="FFFFFF"/>
            </w:tcBorders>
            <w:shd w:val="pct25" w:color="F2F2F2" w:fill="E5E2D9"/>
            <w:vAlign w:val="center"/>
            <w:hideMark/>
          </w:tcPr>
          <w:p w14:paraId="12FE4E3E"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4 945,50</w:t>
            </w:r>
          </w:p>
        </w:tc>
      </w:tr>
      <w:tr w:rsidR="007B7F76" w:rsidRPr="007B7F76" w14:paraId="65B5FDA0"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38BD851"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SOŠ </w:t>
            </w:r>
            <w:proofErr w:type="spellStart"/>
            <w:r w:rsidRPr="007B7F76">
              <w:rPr>
                <w:rFonts w:cs="Calibri"/>
                <w:color w:val="000000"/>
                <w:sz w:val="20"/>
                <w:szCs w:val="20"/>
                <w:lang w:eastAsia="sk-SK"/>
              </w:rPr>
              <w:t>GaHS</w:t>
            </w:r>
            <w:proofErr w:type="spellEnd"/>
            <w:r w:rsidRPr="007B7F76">
              <w:rPr>
                <w:rFonts w:cs="Calibri"/>
                <w:color w:val="000000"/>
                <w:sz w:val="20"/>
                <w:szCs w:val="20"/>
                <w:lang w:eastAsia="sk-SK"/>
              </w:rPr>
              <w:t>, Farského - technický dozor investora / COVP</w:t>
            </w:r>
          </w:p>
        </w:tc>
        <w:tc>
          <w:tcPr>
            <w:tcW w:w="1662" w:type="dxa"/>
            <w:tcBorders>
              <w:top w:val="nil"/>
              <w:left w:val="nil"/>
              <w:bottom w:val="single" w:sz="12" w:space="0" w:color="FFFFFF"/>
              <w:right w:val="single" w:sz="12" w:space="0" w:color="FFFFFF"/>
            </w:tcBorders>
            <w:shd w:val="pct25" w:color="F2F2F2" w:fill="E5E2D9"/>
            <w:vAlign w:val="center"/>
            <w:hideMark/>
          </w:tcPr>
          <w:p w14:paraId="76F6660D"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1 726,66</w:t>
            </w:r>
          </w:p>
        </w:tc>
      </w:tr>
      <w:tr w:rsidR="007B7F76" w:rsidRPr="007B7F76" w14:paraId="3FF40933"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1CFDB8A"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SOŠ polygrafická, Račianska - vyplatenie zádržného / projektové práce k COVP</w:t>
            </w:r>
          </w:p>
        </w:tc>
        <w:tc>
          <w:tcPr>
            <w:tcW w:w="1662" w:type="dxa"/>
            <w:tcBorders>
              <w:top w:val="nil"/>
              <w:left w:val="nil"/>
              <w:bottom w:val="single" w:sz="12" w:space="0" w:color="FFFFFF"/>
              <w:right w:val="single" w:sz="12" w:space="0" w:color="FFFFFF"/>
            </w:tcBorders>
            <w:shd w:val="pct25" w:color="F2F2F2" w:fill="E5E2D9"/>
            <w:vAlign w:val="center"/>
            <w:hideMark/>
          </w:tcPr>
          <w:p w14:paraId="6E25ECA3"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4 527,60</w:t>
            </w:r>
          </w:p>
        </w:tc>
      </w:tr>
      <w:tr w:rsidR="007B7F76" w:rsidRPr="007B7F76" w14:paraId="61965564" w14:textId="77777777" w:rsidTr="007B7F76">
        <w:trPr>
          <w:trHeight w:val="600"/>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011B73B"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Školský internát, Trnavská - investičná podpora internátu na Saratovskej ul. / rekonštrukcia izieb spolu s elektroinštaláciou a trafostanicou</w:t>
            </w:r>
          </w:p>
        </w:tc>
        <w:tc>
          <w:tcPr>
            <w:tcW w:w="1662" w:type="dxa"/>
            <w:tcBorders>
              <w:top w:val="nil"/>
              <w:left w:val="nil"/>
              <w:bottom w:val="single" w:sz="12" w:space="0" w:color="FFFFFF"/>
              <w:right w:val="single" w:sz="12" w:space="0" w:color="FFFFFF"/>
            </w:tcBorders>
            <w:shd w:val="pct25" w:color="F2F2F2" w:fill="E5E2D9"/>
            <w:vAlign w:val="center"/>
            <w:hideMark/>
          </w:tcPr>
          <w:p w14:paraId="12AF13C6"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5 271,90</w:t>
            </w:r>
          </w:p>
        </w:tc>
      </w:tr>
      <w:tr w:rsidR="007B7F76" w:rsidRPr="007B7F76" w14:paraId="20748430"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5F56BB96"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w:t>
            </w:r>
            <w:proofErr w:type="spellStart"/>
            <w:r w:rsidRPr="007B7F76">
              <w:rPr>
                <w:rFonts w:cs="Calibri"/>
                <w:color w:val="000000"/>
                <w:sz w:val="20"/>
                <w:szCs w:val="20"/>
                <w:lang w:eastAsia="sk-SK"/>
              </w:rPr>
              <w:t>Rozsutec</w:t>
            </w:r>
            <w:proofErr w:type="spellEnd"/>
            <w:r w:rsidRPr="007B7F76">
              <w:rPr>
                <w:rFonts w:cs="Calibri"/>
                <w:color w:val="000000"/>
                <w:sz w:val="20"/>
                <w:szCs w:val="20"/>
                <w:lang w:eastAsia="sk-SK"/>
              </w:rPr>
              <w:t xml:space="preserve"> - vybudovanie oddychovo-technického areálu a úprava povrchu </w:t>
            </w:r>
            <w:proofErr w:type="spellStart"/>
            <w:r w:rsidRPr="007B7F76">
              <w:rPr>
                <w:rFonts w:cs="Calibri"/>
                <w:color w:val="000000"/>
                <w:sz w:val="20"/>
                <w:szCs w:val="20"/>
                <w:lang w:eastAsia="sk-SK"/>
              </w:rPr>
              <w:t>vnútroareálových</w:t>
            </w:r>
            <w:proofErr w:type="spellEnd"/>
            <w:r w:rsidRPr="007B7F76">
              <w:rPr>
                <w:rFonts w:cs="Calibri"/>
                <w:color w:val="000000"/>
                <w:sz w:val="20"/>
                <w:szCs w:val="20"/>
                <w:lang w:eastAsia="sk-SK"/>
              </w:rPr>
              <w:t xml:space="preserve"> spevnených plôch</w:t>
            </w:r>
          </w:p>
        </w:tc>
        <w:tc>
          <w:tcPr>
            <w:tcW w:w="1662" w:type="dxa"/>
            <w:tcBorders>
              <w:top w:val="nil"/>
              <w:left w:val="nil"/>
              <w:bottom w:val="single" w:sz="12" w:space="0" w:color="FFFFFF"/>
              <w:right w:val="single" w:sz="12" w:space="0" w:color="FFFFFF"/>
            </w:tcBorders>
            <w:shd w:val="pct25" w:color="F2F2F2" w:fill="E5E2D9"/>
            <w:vAlign w:val="center"/>
            <w:hideMark/>
          </w:tcPr>
          <w:p w14:paraId="1D6756AA"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41 542,62</w:t>
            </w:r>
          </w:p>
        </w:tc>
      </w:tr>
      <w:tr w:rsidR="007B7F76" w:rsidRPr="007B7F76" w14:paraId="68F2874B"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0FFE368"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w:t>
            </w:r>
            <w:proofErr w:type="spellStart"/>
            <w:r w:rsidRPr="007B7F76">
              <w:rPr>
                <w:rFonts w:cs="Calibri"/>
                <w:color w:val="000000"/>
                <w:sz w:val="20"/>
                <w:szCs w:val="20"/>
                <w:lang w:eastAsia="sk-SK"/>
              </w:rPr>
              <w:t>Rozsutec</w:t>
            </w:r>
            <w:proofErr w:type="spellEnd"/>
            <w:r w:rsidRPr="007B7F76">
              <w:rPr>
                <w:rFonts w:cs="Calibri"/>
                <w:color w:val="000000"/>
                <w:sz w:val="20"/>
                <w:szCs w:val="20"/>
                <w:lang w:eastAsia="sk-SK"/>
              </w:rPr>
              <w:t xml:space="preserve"> - oddychovo-technický areál / geodetická dokumentácia skutočného vyhotovenia stavby, aktualizácia rozpočtu</w:t>
            </w:r>
          </w:p>
        </w:tc>
        <w:tc>
          <w:tcPr>
            <w:tcW w:w="1662" w:type="dxa"/>
            <w:tcBorders>
              <w:top w:val="nil"/>
              <w:left w:val="nil"/>
              <w:bottom w:val="single" w:sz="12" w:space="0" w:color="FFFFFF"/>
              <w:right w:val="single" w:sz="12" w:space="0" w:color="FFFFFF"/>
            </w:tcBorders>
            <w:shd w:val="pct25" w:color="F2F2F2" w:fill="E5E2D9"/>
            <w:vAlign w:val="center"/>
            <w:hideMark/>
          </w:tcPr>
          <w:p w14:paraId="63C3C892"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350,00</w:t>
            </w:r>
          </w:p>
        </w:tc>
      </w:tr>
      <w:tr w:rsidR="007B7F76" w:rsidRPr="007B7F76" w14:paraId="0E7C348B"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B3D248F"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w:t>
            </w:r>
            <w:proofErr w:type="spellStart"/>
            <w:r w:rsidRPr="007B7F76">
              <w:rPr>
                <w:rFonts w:cs="Calibri"/>
                <w:color w:val="000000"/>
                <w:sz w:val="20"/>
                <w:szCs w:val="20"/>
                <w:lang w:eastAsia="sk-SK"/>
              </w:rPr>
              <w:t>Rozsutec</w:t>
            </w:r>
            <w:proofErr w:type="spellEnd"/>
            <w:r w:rsidRPr="007B7F76">
              <w:rPr>
                <w:rFonts w:cs="Calibri"/>
                <w:color w:val="000000"/>
                <w:sz w:val="20"/>
                <w:szCs w:val="20"/>
                <w:lang w:eastAsia="sk-SK"/>
              </w:rPr>
              <w:t xml:space="preserve"> - oplotenie areálu zo strany príjazdovej cesty</w:t>
            </w:r>
          </w:p>
        </w:tc>
        <w:tc>
          <w:tcPr>
            <w:tcW w:w="1662" w:type="dxa"/>
            <w:tcBorders>
              <w:top w:val="nil"/>
              <w:left w:val="nil"/>
              <w:bottom w:val="single" w:sz="12" w:space="0" w:color="FFFFFF"/>
              <w:right w:val="single" w:sz="12" w:space="0" w:color="FFFFFF"/>
            </w:tcBorders>
            <w:shd w:val="pct25" w:color="F2F2F2" w:fill="E5E2D9"/>
            <w:vAlign w:val="center"/>
            <w:hideMark/>
          </w:tcPr>
          <w:p w14:paraId="33B05366"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3 873,78</w:t>
            </w:r>
          </w:p>
        </w:tc>
      </w:tr>
      <w:tr w:rsidR="007B7F76" w:rsidRPr="007B7F76" w14:paraId="301F4B49"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4DF86CB8"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w:t>
            </w:r>
            <w:proofErr w:type="spellStart"/>
            <w:r w:rsidRPr="007B7F76">
              <w:rPr>
                <w:rFonts w:cs="Calibri"/>
                <w:color w:val="000000"/>
                <w:sz w:val="20"/>
                <w:szCs w:val="20"/>
                <w:lang w:eastAsia="sk-SK"/>
              </w:rPr>
              <w:t>Rozsutec</w:t>
            </w:r>
            <w:proofErr w:type="spellEnd"/>
            <w:r w:rsidRPr="007B7F76">
              <w:rPr>
                <w:rFonts w:cs="Calibri"/>
                <w:color w:val="000000"/>
                <w:sz w:val="20"/>
                <w:szCs w:val="20"/>
                <w:lang w:eastAsia="sk-SK"/>
              </w:rPr>
              <w:t xml:space="preserve"> - projektové práce / prestavba starej kotolne na tvorivú remeselnú dielňu</w:t>
            </w:r>
          </w:p>
        </w:tc>
        <w:tc>
          <w:tcPr>
            <w:tcW w:w="1662" w:type="dxa"/>
            <w:tcBorders>
              <w:top w:val="nil"/>
              <w:left w:val="nil"/>
              <w:bottom w:val="single" w:sz="12" w:space="0" w:color="FFFFFF"/>
              <w:right w:val="single" w:sz="12" w:space="0" w:color="FFFFFF"/>
            </w:tcBorders>
            <w:shd w:val="pct25" w:color="F2F2F2" w:fill="E5E2D9"/>
            <w:vAlign w:val="center"/>
            <w:hideMark/>
          </w:tcPr>
          <w:p w14:paraId="4E6FBFD6"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492,00</w:t>
            </w:r>
          </w:p>
        </w:tc>
      </w:tr>
      <w:tr w:rsidR="007B7F76" w:rsidRPr="007B7F76" w14:paraId="6BDF6396"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B98017E"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w:t>
            </w:r>
            <w:proofErr w:type="spellStart"/>
            <w:r w:rsidRPr="007B7F76">
              <w:rPr>
                <w:rFonts w:cs="Calibri"/>
                <w:color w:val="000000"/>
                <w:sz w:val="20"/>
                <w:szCs w:val="20"/>
                <w:lang w:eastAsia="sk-SK"/>
              </w:rPr>
              <w:t>Merema</w:t>
            </w:r>
            <w:proofErr w:type="spellEnd"/>
            <w:r w:rsidRPr="007B7F76">
              <w:rPr>
                <w:rFonts w:cs="Calibri"/>
                <w:color w:val="000000"/>
                <w:sz w:val="20"/>
                <w:szCs w:val="20"/>
                <w:lang w:eastAsia="sk-SK"/>
              </w:rPr>
              <w:t xml:space="preserve"> - </w:t>
            </w:r>
            <w:proofErr w:type="spellStart"/>
            <w:r w:rsidRPr="007B7F76">
              <w:rPr>
                <w:rFonts w:cs="Calibri"/>
                <w:color w:val="000000"/>
                <w:sz w:val="20"/>
                <w:szCs w:val="20"/>
                <w:lang w:eastAsia="sk-SK"/>
              </w:rPr>
              <w:t>Deinštitucionalizácia</w:t>
            </w:r>
            <w:proofErr w:type="spellEnd"/>
            <w:r w:rsidRPr="007B7F76">
              <w:rPr>
                <w:rFonts w:cs="Calibri"/>
                <w:color w:val="000000"/>
                <w:sz w:val="20"/>
                <w:szCs w:val="20"/>
                <w:lang w:eastAsia="sk-SK"/>
              </w:rPr>
              <w:t xml:space="preserve"> / aktualizácia rozpočtu - projektové práce</w:t>
            </w:r>
          </w:p>
        </w:tc>
        <w:tc>
          <w:tcPr>
            <w:tcW w:w="1662" w:type="dxa"/>
            <w:tcBorders>
              <w:top w:val="nil"/>
              <w:left w:val="nil"/>
              <w:bottom w:val="single" w:sz="12" w:space="0" w:color="FFFFFF"/>
              <w:right w:val="single" w:sz="12" w:space="0" w:color="FFFFFF"/>
            </w:tcBorders>
            <w:shd w:val="pct25" w:color="F2F2F2" w:fill="E5E2D9"/>
            <w:vAlign w:val="center"/>
            <w:hideMark/>
          </w:tcPr>
          <w:p w14:paraId="517E0DAC"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1 500,00</w:t>
            </w:r>
          </w:p>
        </w:tc>
      </w:tr>
      <w:tr w:rsidR="007B7F76" w:rsidRPr="007B7F76" w14:paraId="36959DF2"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73FC651B"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DSS Lipského - projektová dokumentácia / zateplenie objektov Hontianska 12 a 16 a výstavba výťahu na Hontianskej 12</w:t>
            </w:r>
          </w:p>
        </w:tc>
        <w:tc>
          <w:tcPr>
            <w:tcW w:w="1662" w:type="dxa"/>
            <w:tcBorders>
              <w:top w:val="nil"/>
              <w:left w:val="nil"/>
              <w:bottom w:val="single" w:sz="12" w:space="0" w:color="FFFFFF"/>
              <w:right w:val="single" w:sz="12" w:space="0" w:color="FFFFFF"/>
            </w:tcBorders>
            <w:shd w:val="pct25" w:color="F2F2F2" w:fill="E5E2D9"/>
            <w:vAlign w:val="center"/>
            <w:hideMark/>
          </w:tcPr>
          <w:p w14:paraId="34BFA123"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2 976,00</w:t>
            </w:r>
          </w:p>
        </w:tc>
      </w:tr>
      <w:tr w:rsidR="007B7F76" w:rsidRPr="007B7F76" w14:paraId="215D2E16"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24D92BC6"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DSS Báhoň - stavebné práce / výstavba nového evakuačného výťahu</w:t>
            </w:r>
          </w:p>
        </w:tc>
        <w:tc>
          <w:tcPr>
            <w:tcW w:w="1662" w:type="dxa"/>
            <w:tcBorders>
              <w:top w:val="nil"/>
              <w:left w:val="nil"/>
              <w:bottom w:val="single" w:sz="12" w:space="0" w:color="FFFFFF"/>
              <w:right w:val="single" w:sz="12" w:space="0" w:color="FFFFFF"/>
            </w:tcBorders>
            <w:shd w:val="pct25" w:color="F2F2F2" w:fill="E5E2D9"/>
            <w:vAlign w:val="center"/>
            <w:hideMark/>
          </w:tcPr>
          <w:p w14:paraId="3A71231F"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75 664,39</w:t>
            </w:r>
          </w:p>
        </w:tc>
      </w:tr>
      <w:tr w:rsidR="007B7F76" w:rsidRPr="007B7F76" w14:paraId="3DCC146A"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0EBDC2F5"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w:t>
            </w:r>
            <w:proofErr w:type="spellStart"/>
            <w:r w:rsidRPr="007B7F76">
              <w:rPr>
                <w:rFonts w:cs="Calibri"/>
                <w:color w:val="000000"/>
                <w:sz w:val="20"/>
                <w:szCs w:val="20"/>
                <w:lang w:eastAsia="sk-SK"/>
              </w:rPr>
              <w:t>Integra</w:t>
            </w:r>
            <w:proofErr w:type="spellEnd"/>
            <w:r w:rsidRPr="007B7F76">
              <w:rPr>
                <w:rFonts w:cs="Calibri"/>
                <w:color w:val="000000"/>
                <w:sz w:val="20"/>
                <w:szCs w:val="20"/>
                <w:lang w:eastAsia="sk-SK"/>
              </w:rPr>
              <w:t xml:space="preserve"> - zádržné zo stavebných prác / rekonštrukcia kuchyne</w:t>
            </w:r>
          </w:p>
        </w:tc>
        <w:tc>
          <w:tcPr>
            <w:tcW w:w="1662" w:type="dxa"/>
            <w:tcBorders>
              <w:top w:val="nil"/>
              <w:left w:val="nil"/>
              <w:bottom w:val="single" w:sz="12" w:space="0" w:color="FFFFFF"/>
              <w:right w:val="single" w:sz="12" w:space="0" w:color="FFFFFF"/>
            </w:tcBorders>
            <w:shd w:val="pct25" w:color="F2F2F2" w:fill="E5E2D9"/>
            <w:vAlign w:val="center"/>
            <w:hideMark/>
          </w:tcPr>
          <w:p w14:paraId="20ECF6FD"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2 487,94</w:t>
            </w:r>
          </w:p>
        </w:tc>
      </w:tr>
      <w:tr w:rsidR="007B7F76" w:rsidRPr="007B7F76" w14:paraId="0BB82043"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5937EB71"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ZKR </w:t>
            </w:r>
            <w:proofErr w:type="spellStart"/>
            <w:r w:rsidRPr="007B7F76">
              <w:rPr>
                <w:rFonts w:cs="Calibri"/>
                <w:color w:val="000000"/>
                <w:sz w:val="20"/>
                <w:szCs w:val="20"/>
                <w:lang w:eastAsia="sk-SK"/>
              </w:rPr>
              <w:t>Gaudeamus</w:t>
            </w:r>
            <w:proofErr w:type="spellEnd"/>
            <w:r w:rsidRPr="007B7F76">
              <w:rPr>
                <w:rFonts w:cs="Calibri"/>
                <w:color w:val="000000"/>
                <w:sz w:val="20"/>
                <w:szCs w:val="20"/>
                <w:lang w:eastAsia="sk-SK"/>
              </w:rPr>
              <w:t xml:space="preserve"> - stavebné práce / modernizácia 2 výťahov / výmena technológie</w:t>
            </w:r>
          </w:p>
        </w:tc>
        <w:tc>
          <w:tcPr>
            <w:tcW w:w="1662" w:type="dxa"/>
            <w:tcBorders>
              <w:top w:val="nil"/>
              <w:left w:val="nil"/>
              <w:bottom w:val="single" w:sz="12" w:space="0" w:color="FFFFFF"/>
              <w:right w:val="single" w:sz="12" w:space="0" w:color="FFFFFF"/>
            </w:tcBorders>
            <w:shd w:val="pct25" w:color="F2F2F2" w:fill="E5E2D9"/>
            <w:vAlign w:val="center"/>
            <w:hideMark/>
          </w:tcPr>
          <w:p w14:paraId="51502C16"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83 640,00</w:t>
            </w:r>
          </w:p>
        </w:tc>
      </w:tr>
      <w:tr w:rsidR="007B7F76" w:rsidRPr="007B7F76" w14:paraId="0480B882"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31BA5CC5"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ZKR </w:t>
            </w:r>
            <w:proofErr w:type="spellStart"/>
            <w:r w:rsidRPr="007B7F76">
              <w:rPr>
                <w:rFonts w:cs="Calibri"/>
                <w:color w:val="000000"/>
                <w:sz w:val="20"/>
                <w:szCs w:val="20"/>
                <w:lang w:eastAsia="sk-SK"/>
              </w:rPr>
              <w:t>Gaudeamus</w:t>
            </w:r>
            <w:proofErr w:type="spellEnd"/>
            <w:r w:rsidRPr="007B7F76">
              <w:rPr>
                <w:rFonts w:cs="Calibri"/>
                <w:color w:val="000000"/>
                <w:sz w:val="20"/>
                <w:szCs w:val="20"/>
                <w:lang w:eastAsia="sk-SK"/>
              </w:rPr>
              <w:t xml:space="preserve"> - projektová dokumentácia / vybudovanie parkoviska a kruhovej križovatky</w:t>
            </w:r>
          </w:p>
        </w:tc>
        <w:tc>
          <w:tcPr>
            <w:tcW w:w="1662" w:type="dxa"/>
            <w:tcBorders>
              <w:top w:val="nil"/>
              <w:left w:val="nil"/>
              <w:bottom w:val="single" w:sz="12" w:space="0" w:color="FFFFFF"/>
              <w:right w:val="single" w:sz="12" w:space="0" w:color="FFFFFF"/>
            </w:tcBorders>
            <w:shd w:val="pct25" w:color="F2F2F2" w:fill="E5E2D9"/>
            <w:vAlign w:val="center"/>
            <w:hideMark/>
          </w:tcPr>
          <w:p w14:paraId="5585AE68"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3 072,00</w:t>
            </w:r>
          </w:p>
        </w:tc>
      </w:tr>
      <w:tr w:rsidR="007B7F76" w:rsidRPr="007B7F76" w14:paraId="2340A2CE"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5932F5D8"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a </w:t>
            </w:r>
            <w:proofErr w:type="spellStart"/>
            <w:r w:rsidRPr="007B7F76">
              <w:rPr>
                <w:rFonts w:cs="Calibri"/>
                <w:color w:val="000000"/>
                <w:sz w:val="20"/>
                <w:szCs w:val="20"/>
                <w:lang w:eastAsia="sk-SK"/>
              </w:rPr>
              <w:t>ZpS</w:t>
            </w:r>
            <w:proofErr w:type="spellEnd"/>
            <w:r w:rsidRPr="007B7F76">
              <w:rPr>
                <w:rFonts w:cs="Calibri"/>
                <w:color w:val="000000"/>
                <w:sz w:val="20"/>
                <w:szCs w:val="20"/>
                <w:lang w:eastAsia="sk-SK"/>
              </w:rPr>
              <w:t xml:space="preserve"> Rača - vybudovanie rampy pre imobilných / </w:t>
            </w:r>
            <w:proofErr w:type="spellStart"/>
            <w:r w:rsidRPr="007B7F76">
              <w:rPr>
                <w:rFonts w:cs="Calibri"/>
                <w:color w:val="000000"/>
                <w:sz w:val="20"/>
                <w:szCs w:val="20"/>
                <w:lang w:eastAsia="sk-SK"/>
              </w:rPr>
              <w:t>Debarierizácia</w:t>
            </w:r>
            <w:proofErr w:type="spellEnd"/>
          </w:p>
        </w:tc>
        <w:tc>
          <w:tcPr>
            <w:tcW w:w="1662" w:type="dxa"/>
            <w:tcBorders>
              <w:top w:val="nil"/>
              <w:left w:val="nil"/>
              <w:bottom w:val="single" w:sz="12" w:space="0" w:color="FFFFFF"/>
              <w:right w:val="single" w:sz="12" w:space="0" w:color="FFFFFF"/>
            </w:tcBorders>
            <w:shd w:val="pct25" w:color="F2F2F2" w:fill="E5E2D9"/>
            <w:vAlign w:val="center"/>
            <w:hideMark/>
          </w:tcPr>
          <w:p w14:paraId="130E362A"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17 195,40</w:t>
            </w:r>
          </w:p>
        </w:tc>
      </w:tr>
      <w:tr w:rsidR="007B7F76" w:rsidRPr="007B7F76" w14:paraId="0AFC8BB4" w14:textId="77777777" w:rsidTr="007B7F76">
        <w:trPr>
          <w:trHeight w:val="585"/>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01B27F7F"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a </w:t>
            </w:r>
            <w:proofErr w:type="spellStart"/>
            <w:r w:rsidRPr="007B7F76">
              <w:rPr>
                <w:rFonts w:cs="Calibri"/>
                <w:color w:val="000000"/>
                <w:sz w:val="20"/>
                <w:szCs w:val="20"/>
                <w:lang w:eastAsia="sk-SK"/>
              </w:rPr>
              <w:t>ZpS</w:t>
            </w:r>
            <w:proofErr w:type="spellEnd"/>
            <w:r w:rsidRPr="007B7F76">
              <w:rPr>
                <w:rFonts w:cs="Calibri"/>
                <w:color w:val="000000"/>
                <w:sz w:val="20"/>
                <w:szCs w:val="20"/>
                <w:lang w:eastAsia="sk-SK"/>
              </w:rPr>
              <w:t xml:space="preserve"> Rača - projektová dokumentácia a inžiniering / </w:t>
            </w:r>
            <w:proofErr w:type="spellStart"/>
            <w:r w:rsidRPr="007B7F76">
              <w:rPr>
                <w:rFonts w:cs="Calibri"/>
                <w:color w:val="000000"/>
                <w:sz w:val="20"/>
                <w:szCs w:val="20"/>
                <w:lang w:eastAsia="sk-SK"/>
              </w:rPr>
              <w:t>Deinštitucionalizácia</w:t>
            </w:r>
            <w:proofErr w:type="spellEnd"/>
            <w:r w:rsidRPr="007B7F76">
              <w:rPr>
                <w:rFonts w:cs="Calibri"/>
                <w:color w:val="000000"/>
                <w:sz w:val="20"/>
                <w:szCs w:val="20"/>
                <w:lang w:eastAsia="sk-SK"/>
              </w:rPr>
              <w:t xml:space="preserve"> a </w:t>
            </w:r>
            <w:proofErr w:type="spellStart"/>
            <w:r w:rsidRPr="007B7F76">
              <w:rPr>
                <w:rFonts w:cs="Calibri"/>
                <w:color w:val="000000"/>
                <w:sz w:val="20"/>
                <w:szCs w:val="20"/>
                <w:lang w:eastAsia="sk-SK"/>
              </w:rPr>
              <w:t>Debarierizácia</w:t>
            </w:r>
            <w:proofErr w:type="spellEnd"/>
            <w:r w:rsidRPr="007B7F76">
              <w:rPr>
                <w:rFonts w:cs="Calibri"/>
                <w:color w:val="000000"/>
                <w:sz w:val="20"/>
                <w:szCs w:val="20"/>
                <w:lang w:eastAsia="sk-SK"/>
              </w:rPr>
              <w:t xml:space="preserve"> pre objekty / DI Račianska 105, </w:t>
            </w:r>
            <w:proofErr w:type="spellStart"/>
            <w:r w:rsidRPr="007B7F76">
              <w:rPr>
                <w:rFonts w:cs="Calibri"/>
                <w:color w:val="000000"/>
                <w:sz w:val="20"/>
                <w:szCs w:val="20"/>
                <w:lang w:eastAsia="sk-SK"/>
              </w:rPr>
              <w:t>Strelkova</w:t>
            </w:r>
            <w:proofErr w:type="spellEnd"/>
            <w:r w:rsidRPr="007B7F76">
              <w:rPr>
                <w:rFonts w:cs="Calibri"/>
                <w:color w:val="000000"/>
                <w:sz w:val="20"/>
                <w:szCs w:val="20"/>
                <w:lang w:eastAsia="sk-SK"/>
              </w:rPr>
              <w:t>, DB Podbrezovská, DB Pri Vinohradoch</w:t>
            </w:r>
          </w:p>
        </w:tc>
        <w:tc>
          <w:tcPr>
            <w:tcW w:w="1662" w:type="dxa"/>
            <w:tcBorders>
              <w:top w:val="nil"/>
              <w:left w:val="nil"/>
              <w:bottom w:val="single" w:sz="12" w:space="0" w:color="FFFFFF"/>
              <w:right w:val="single" w:sz="12" w:space="0" w:color="FFFFFF"/>
            </w:tcBorders>
            <w:shd w:val="pct25" w:color="F2F2F2" w:fill="E5E2D9"/>
            <w:vAlign w:val="center"/>
            <w:hideMark/>
          </w:tcPr>
          <w:p w14:paraId="37D1E9A1"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2 295,98</w:t>
            </w:r>
          </w:p>
        </w:tc>
      </w:tr>
      <w:tr w:rsidR="007B7F76" w:rsidRPr="007B7F76" w14:paraId="0A28DF8E"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15882414" w14:textId="77777777" w:rsidR="007B7F76" w:rsidRPr="007B7F76" w:rsidRDefault="007B7F76" w:rsidP="007B7F76">
            <w:pPr>
              <w:spacing w:after="0" w:line="240" w:lineRule="auto"/>
              <w:rPr>
                <w:rFonts w:cs="Calibri"/>
                <w:color w:val="000000"/>
                <w:sz w:val="20"/>
                <w:szCs w:val="20"/>
                <w:lang w:eastAsia="sk-SK"/>
              </w:rPr>
            </w:pPr>
            <w:r w:rsidRPr="007B7F76">
              <w:rPr>
                <w:rFonts w:cs="Calibri"/>
                <w:color w:val="000000"/>
                <w:sz w:val="20"/>
                <w:szCs w:val="20"/>
                <w:lang w:eastAsia="sk-SK"/>
              </w:rPr>
              <w:t xml:space="preserve">DSS a </w:t>
            </w:r>
            <w:proofErr w:type="spellStart"/>
            <w:r w:rsidRPr="007B7F76">
              <w:rPr>
                <w:rFonts w:cs="Calibri"/>
                <w:color w:val="000000"/>
                <w:sz w:val="20"/>
                <w:szCs w:val="20"/>
                <w:lang w:eastAsia="sk-SK"/>
              </w:rPr>
              <w:t>ZpS</w:t>
            </w:r>
            <w:proofErr w:type="spellEnd"/>
            <w:r w:rsidRPr="007B7F76">
              <w:rPr>
                <w:rFonts w:cs="Calibri"/>
                <w:color w:val="000000"/>
                <w:sz w:val="20"/>
                <w:szCs w:val="20"/>
                <w:lang w:eastAsia="sk-SK"/>
              </w:rPr>
              <w:t xml:space="preserve"> Stupava - vyplatenie krátkodobého zádržného / rekonštrukcia prístupového mostíka</w:t>
            </w:r>
          </w:p>
        </w:tc>
        <w:tc>
          <w:tcPr>
            <w:tcW w:w="1662" w:type="dxa"/>
            <w:tcBorders>
              <w:top w:val="nil"/>
              <w:left w:val="nil"/>
              <w:bottom w:val="single" w:sz="12" w:space="0" w:color="FFFFFF"/>
              <w:right w:val="single" w:sz="12" w:space="0" w:color="FFFFFF"/>
            </w:tcBorders>
            <w:shd w:val="pct25" w:color="F2F2F2" w:fill="E5E2D9"/>
            <w:vAlign w:val="center"/>
            <w:hideMark/>
          </w:tcPr>
          <w:p w14:paraId="22DCC2C6" w14:textId="77777777" w:rsidR="007B7F76" w:rsidRPr="007B7F76" w:rsidRDefault="007B7F76" w:rsidP="007B7F76">
            <w:pPr>
              <w:spacing w:after="0" w:line="240" w:lineRule="auto"/>
              <w:jc w:val="right"/>
              <w:rPr>
                <w:rFonts w:cs="Calibri"/>
                <w:color w:val="000000"/>
                <w:sz w:val="20"/>
                <w:szCs w:val="20"/>
                <w:lang w:eastAsia="sk-SK"/>
              </w:rPr>
            </w:pPr>
            <w:r w:rsidRPr="007B7F76">
              <w:rPr>
                <w:rFonts w:cs="Calibri"/>
                <w:color w:val="000000"/>
                <w:sz w:val="20"/>
                <w:szCs w:val="20"/>
                <w:lang w:eastAsia="sk-SK"/>
              </w:rPr>
              <w:t>7 000,00</w:t>
            </w:r>
          </w:p>
        </w:tc>
      </w:tr>
      <w:tr w:rsidR="007B7F76" w:rsidRPr="007B7F76" w14:paraId="11FC6B43" w14:textId="77777777" w:rsidTr="007B7F76">
        <w:trPr>
          <w:trHeight w:val="402"/>
        </w:trPr>
        <w:tc>
          <w:tcPr>
            <w:tcW w:w="8774" w:type="dxa"/>
            <w:tcBorders>
              <w:top w:val="nil"/>
              <w:left w:val="single" w:sz="12" w:space="0" w:color="FFFFFF"/>
              <w:bottom w:val="single" w:sz="12" w:space="0" w:color="FFFFFF"/>
              <w:right w:val="single" w:sz="12" w:space="0" w:color="FFFFFF"/>
            </w:tcBorders>
            <w:shd w:val="pct25" w:color="F2F2F2" w:fill="EBEBE5"/>
            <w:vAlign w:val="center"/>
            <w:hideMark/>
          </w:tcPr>
          <w:p w14:paraId="5D14F1D9" w14:textId="77777777"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VFO - splátky istín</w:t>
            </w:r>
          </w:p>
        </w:tc>
        <w:tc>
          <w:tcPr>
            <w:tcW w:w="1662" w:type="dxa"/>
            <w:tcBorders>
              <w:top w:val="nil"/>
              <w:left w:val="nil"/>
              <w:bottom w:val="single" w:sz="12" w:space="0" w:color="FFFFFF"/>
              <w:right w:val="single" w:sz="12" w:space="0" w:color="FFFFFF"/>
            </w:tcBorders>
            <w:shd w:val="pct25" w:color="F2F2F2" w:fill="E5E2D9"/>
            <w:vAlign w:val="center"/>
            <w:hideMark/>
          </w:tcPr>
          <w:p w14:paraId="078EF291"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1 809 067,42</w:t>
            </w:r>
          </w:p>
        </w:tc>
      </w:tr>
      <w:tr w:rsidR="007B7F76" w:rsidRPr="007B7F76" w14:paraId="1A225012" w14:textId="77777777" w:rsidTr="007B7F76">
        <w:trPr>
          <w:trHeight w:val="402"/>
        </w:trPr>
        <w:tc>
          <w:tcPr>
            <w:tcW w:w="8774" w:type="dxa"/>
            <w:tcBorders>
              <w:top w:val="nil"/>
              <w:left w:val="single" w:sz="12" w:space="0" w:color="FFFFFF"/>
              <w:bottom w:val="single" w:sz="12" w:space="0" w:color="FFFFFF"/>
              <w:right w:val="single" w:sz="12" w:space="0" w:color="FFFFFF"/>
            </w:tcBorders>
            <w:shd w:val="clear" w:color="000000" w:fill="8DB3E2"/>
            <w:vAlign w:val="center"/>
            <w:hideMark/>
          </w:tcPr>
          <w:p w14:paraId="1BABA0DD" w14:textId="77777777"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Použitie rezervného fondu k 31.12.2020 spolu</w:t>
            </w:r>
          </w:p>
        </w:tc>
        <w:tc>
          <w:tcPr>
            <w:tcW w:w="1662" w:type="dxa"/>
            <w:tcBorders>
              <w:top w:val="nil"/>
              <w:left w:val="nil"/>
              <w:bottom w:val="single" w:sz="12" w:space="0" w:color="FFFFFF"/>
              <w:right w:val="single" w:sz="12" w:space="0" w:color="FFFFFF"/>
            </w:tcBorders>
            <w:shd w:val="clear" w:color="000000" w:fill="8DB3E2"/>
            <w:vAlign w:val="center"/>
            <w:hideMark/>
          </w:tcPr>
          <w:p w14:paraId="2247089E"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2 400 000,00</w:t>
            </w:r>
          </w:p>
        </w:tc>
      </w:tr>
      <w:tr w:rsidR="007B7F76" w:rsidRPr="007B7F76" w14:paraId="6F05BB70" w14:textId="77777777" w:rsidTr="007B7F76">
        <w:trPr>
          <w:trHeight w:val="402"/>
        </w:trPr>
        <w:tc>
          <w:tcPr>
            <w:tcW w:w="8774" w:type="dxa"/>
            <w:tcBorders>
              <w:top w:val="nil"/>
              <w:left w:val="single" w:sz="12" w:space="0" w:color="FFFFFF"/>
              <w:bottom w:val="single" w:sz="12" w:space="0" w:color="FFFFFF"/>
              <w:right w:val="single" w:sz="12" w:space="0" w:color="FFFFFF"/>
            </w:tcBorders>
            <w:shd w:val="clear" w:color="000000" w:fill="8DB3E2"/>
            <w:vAlign w:val="center"/>
            <w:hideMark/>
          </w:tcPr>
          <w:p w14:paraId="31667EA2" w14:textId="77777777" w:rsidR="007B7F76" w:rsidRPr="007B7F76" w:rsidRDefault="007B7F76" w:rsidP="007B7F76">
            <w:pPr>
              <w:spacing w:after="0" w:line="240" w:lineRule="auto"/>
              <w:rPr>
                <w:rFonts w:cs="Calibri"/>
                <w:b/>
                <w:bCs/>
                <w:color w:val="000000"/>
                <w:sz w:val="20"/>
                <w:szCs w:val="20"/>
                <w:lang w:eastAsia="sk-SK"/>
              </w:rPr>
            </w:pPr>
            <w:r w:rsidRPr="007B7F76">
              <w:rPr>
                <w:rFonts w:cs="Calibri"/>
                <w:b/>
                <w:bCs/>
                <w:color w:val="000000"/>
                <w:sz w:val="20"/>
                <w:szCs w:val="20"/>
                <w:lang w:eastAsia="sk-SK"/>
              </w:rPr>
              <w:t>Konečný stav rezervného fondu k 31.12.2020</w:t>
            </w:r>
          </w:p>
        </w:tc>
        <w:tc>
          <w:tcPr>
            <w:tcW w:w="1662" w:type="dxa"/>
            <w:tcBorders>
              <w:top w:val="nil"/>
              <w:left w:val="nil"/>
              <w:bottom w:val="single" w:sz="12" w:space="0" w:color="FFFFFF"/>
              <w:right w:val="single" w:sz="12" w:space="0" w:color="FFFFFF"/>
            </w:tcBorders>
            <w:shd w:val="clear" w:color="000000" w:fill="8DB3E2"/>
            <w:vAlign w:val="center"/>
            <w:hideMark/>
          </w:tcPr>
          <w:p w14:paraId="4414DA41" w14:textId="77777777" w:rsidR="007B7F76" w:rsidRPr="007B7F76" w:rsidRDefault="007B7F76" w:rsidP="007B7F76">
            <w:pPr>
              <w:spacing w:after="0" w:line="240" w:lineRule="auto"/>
              <w:jc w:val="right"/>
              <w:rPr>
                <w:rFonts w:cs="Calibri"/>
                <w:b/>
                <w:bCs/>
                <w:color w:val="000000"/>
                <w:sz w:val="20"/>
                <w:szCs w:val="20"/>
                <w:lang w:eastAsia="sk-SK"/>
              </w:rPr>
            </w:pPr>
            <w:r w:rsidRPr="007B7F76">
              <w:rPr>
                <w:rFonts w:cs="Calibri"/>
                <w:b/>
                <w:bCs/>
                <w:color w:val="000000"/>
                <w:sz w:val="20"/>
                <w:szCs w:val="20"/>
                <w:lang w:eastAsia="sk-SK"/>
              </w:rPr>
              <w:t>14 282 629,41</w:t>
            </w:r>
          </w:p>
        </w:tc>
      </w:tr>
    </w:tbl>
    <w:p w14:paraId="5D555D83" w14:textId="77777777" w:rsidR="00F41DDA" w:rsidRDefault="00F41DDA" w:rsidP="00F41DDA">
      <w:pPr>
        <w:spacing w:after="0" w:line="240" w:lineRule="auto"/>
        <w:jc w:val="both"/>
        <w:rPr>
          <w:rFonts w:cs="Calibri"/>
          <w:b/>
          <w:bCs/>
          <w:color w:val="000000"/>
          <w:sz w:val="24"/>
          <w:szCs w:val="24"/>
          <w:lang w:eastAsia="sk-SK"/>
        </w:rPr>
      </w:pPr>
    </w:p>
    <w:p w14:paraId="695A4BCC" w14:textId="3DDCFE40" w:rsidR="00F41DDA" w:rsidRDefault="00F41DDA" w:rsidP="00F41DDA">
      <w:pPr>
        <w:spacing w:after="0" w:line="240" w:lineRule="auto"/>
        <w:jc w:val="both"/>
        <w:rPr>
          <w:rFonts w:asciiTheme="minorHAnsi" w:hAnsiTheme="minorHAnsi" w:cstheme="minorHAnsi"/>
          <w:b/>
          <w:bCs/>
          <w:iCs/>
          <w:sz w:val="24"/>
          <w:szCs w:val="24"/>
        </w:rPr>
      </w:pPr>
      <w:r>
        <w:rPr>
          <w:rFonts w:cs="Calibri"/>
          <w:b/>
          <w:bCs/>
          <w:color w:val="000000"/>
          <w:sz w:val="24"/>
          <w:szCs w:val="24"/>
          <w:lang w:eastAsia="sk-SK"/>
        </w:rPr>
        <w:t xml:space="preserve">V prípade schválenia presunu </w:t>
      </w:r>
      <w:r w:rsidR="00D55ED7">
        <w:rPr>
          <w:rFonts w:cs="Calibri"/>
          <w:b/>
          <w:bCs/>
          <w:color w:val="000000"/>
          <w:sz w:val="24"/>
          <w:szCs w:val="24"/>
          <w:lang w:eastAsia="sk-SK"/>
        </w:rPr>
        <w:t xml:space="preserve">celého </w:t>
      </w:r>
      <w:r w:rsidRPr="0050110A">
        <w:rPr>
          <w:b/>
          <w:sz w:val="24"/>
          <w:szCs w:val="24"/>
        </w:rPr>
        <w:t>prebytk</w:t>
      </w:r>
      <w:r>
        <w:rPr>
          <w:b/>
          <w:sz w:val="24"/>
          <w:szCs w:val="24"/>
        </w:rPr>
        <w:t>u</w:t>
      </w:r>
      <w:r w:rsidRPr="0050110A">
        <w:rPr>
          <w:b/>
          <w:sz w:val="24"/>
          <w:szCs w:val="24"/>
        </w:rPr>
        <w:t xml:space="preserve"> rozpočtu za uplynulý rozpočtový rok</w:t>
      </w:r>
      <w:r>
        <w:rPr>
          <w:sz w:val="24"/>
          <w:szCs w:val="24"/>
        </w:rPr>
        <w:t xml:space="preserve"> </w:t>
      </w:r>
      <w:r w:rsidRPr="007B7F76">
        <w:rPr>
          <w:b/>
          <w:bCs/>
          <w:sz w:val="24"/>
          <w:szCs w:val="24"/>
        </w:rPr>
        <w:t>2020</w:t>
      </w:r>
      <w:r>
        <w:rPr>
          <w:sz w:val="24"/>
          <w:szCs w:val="24"/>
        </w:rPr>
        <w:t xml:space="preserve"> </w:t>
      </w:r>
      <w:r w:rsidRPr="007B7F76">
        <w:rPr>
          <w:b/>
          <w:bCs/>
          <w:sz w:val="24"/>
          <w:szCs w:val="24"/>
        </w:rPr>
        <w:t>do rezervného fondu</w:t>
      </w:r>
      <w:r>
        <w:rPr>
          <w:sz w:val="24"/>
          <w:szCs w:val="24"/>
        </w:rPr>
        <w:t xml:space="preserve"> </w:t>
      </w:r>
      <w:r>
        <w:rPr>
          <w:b/>
          <w:sz w:val="24"/>
          <w:szCs w:val="24"/>
        </w:rPr>
        <w:t xml:space="preserve">vo výške </w:t>
      </w:r>
      <w:r w:rsidR="00831819" w:rsidRPr="00A211B5">
        <w:rPr>
          <w:rFonts w:asciiTheme="minorHAnsi" w:hAnsiTheme="minorHAnsi" w:cstheme="minorHAnsi"/>
          <w:b/>
          <w:bCs/>
          <w:iCs/>
          <w:sz w:val="24"/>
          <w:szCs w:val="24"/>
        </w:rPr>
        <w:t>21 834 511,77</w:t>
      </w:r>
      <w:r w:rsidR="00831819">
        <w:rPr>
          <w:rFonts w:cs="Calibri"/>
          <w:b/>
          <w:bCs/>
          <w:color w:val="000000"/>
        </w:rPr>
        <w:t xml:space="preserve"> </w:t>
      </w:r>
      <w:r w:rsidRPr="007F3CE9">
        <w:rPr>
          <w:rFonts w:asciiTheme="minorHAnsi" w:hAnsiTheme="minorHAnsi" w:cstheme="minorHAnsi"/>
          <w:b/>
          <w:bCs/>
          <w:iCs/>
          <w:sz w:val="24"/>
          <w:szCs w:val="24"/>
        </w:rPr>
        <w:t>EUR</w:t>
      </w:r>
      <w:r>
        <w:rPr>
          <w:rFonts w:asciiTheme="minorHAnsi" w:hAnsiTheme="minorHAnsi" w:cstheme="minorHAnsi"/>
          <w:b/>
          <w:bCs/>
          <w:iCs/>
          <w:sz w:val="24"/>
          <w:szCs w:val="24"/>
        </w:rPr>
        <w:t xml:space="preserve">, celkový stav na účte rezervného fondu v roku 2021 bude v sume </w:t>
      </w:r>
      <w:r w:rsidR="00831819">
        <w:rPr>
          <w:rFonts w:asciiTheme="minorHAnsi" w:hAnsiTheme="minorHAnsi" w:cstheme="minorHAnsi"/>
          <w:b/>
          <w:bCs/>
          <w:iCs/>
          <w:sz w:val="24"/>
          <w:szCs w:val="24"/>
        </w:rPr>
        <w:br/>
      </w:r>
      <w:r w:rsidR="00831819" w:rsidRPr="00831819">
        <w:rPr>
          <w:rFonts w:asciiTheme="minorHAnsi" w:hAnsiTheme="minorHAnsi" w:cstheme="minorHAnsi"/>
          <w:b/>
          <w:bCs/>
          <w:iCs/>
          <w:sz w:val="24"/>
          <w:szCs w:val="24"/>
        </w:rPr>
        <w:t>36 117 141,18</w:t>
      </w:r>
      <w:r w:rsidR="00831819">
        <w:rPr>
          <w:rFonts w:asciiTheme="minorHAnsi" w:hAnsiTheme="minorHAnsi" w:cstheme="minorHAnsi"/>
          <w:b/>
          <w:bCs/>
          <w:iCs/>
          <w:sz w:val="24"/>
          <w:szCs w:val="24"/>
        </w:rPr>
        <w:t xml:space="preserve"> </w:t>
      </w:r>
      <w:r>
        <w:rPr>
          <w:rFonts w:asciiTheme="minorHAnsi" w:hAnsiTheme="minorHAnsi" w:cstheme="minorHAnsi"/>
          <w:b/>
          <w:bCs/>
          <w:iCs/>
          <w:sz w:val="24"/>
          <w:szCs w:val="24"/>
        </w:rPr>
        <w:t>EUR.</w:t>
      </w:r>
    </w:p>
    <w:p w14:paraId="05976CDB" w14:textId="1D37C4C8" w:rsidR="00F41DDA" w:rsidRDefault="00F41DDA" w:rsidP="00441BA9">
      <w:pPr>
        <w:spacing w:after="0" w:line="240" w:lineRule="auto"/>
        <w:jc w:val="both"/>
        <w:rPr>
          <w:rFonts w:cs="Calibri"/>
          <w:b/>
          <w:bCs/>
          <w:color w:val="000000"/>
          <w:sz w:val="24"/>
          <w:szCs w:val="24"/>
          <w:lang w:eastAsia="sk-SK"/>
        </w:rPr>
      </w:pPr>
    </w:p>
    <w:tbl>
      <w:tblPr>
        <w:tblW w:w="0" w:type="auto"/>
        <w:shd w:val="clear" w:color="auto" w:fill="D9D9D9" w:themeFill="background1" w:themeFillShade="D9"/>
        <w:tblCellMar>
          <w:left w:w="70" w:type="dxa"/>
          <w:right w:w="70" w:type="dxa"/>
        </w:tblCellMar>
        <w:tblLook w:val="04A0" w:firstRow="1" w:lastRow="0" w:firstColumn="1" w:lastColumn="0" w:noHBand="0" w:noVBand="1"/>
      </w:tblPr>
      <w:tblGrid>
        <w:gridCol w:w="8774"/>
        <w:gridCol w:w="1662"/>
      </w:tblGrid>
      <w:tr w:rsidR="00F41DDA" w:rsidRPr="007B7F76" w14:paraId="3290765E" w14:textId="77777777" w:rsidTr="00F41DDA">
        <w:trPr>
          <w:trHeight w:val="402"/>
        </w:trPr>
        <w:tc>
          <w:tcPr>
            <w:tcW w:w="8774" w:type="dxa"/>
            <w:tcBorders>
              <w:top w:val="nil"/>
              <w:left w:val="single" w:sz="12" w:space="0" w:color="FFFFFF"/>
              <w:bottom w:val="single" w:sz="12" w:space="0" w:color="FFFFFF"/>
              <w:right w:val="single" w:sz="12" w:space="0" w:color="FFFFFF"/>
            </w:tcBorders>
            <w:shd w:val="clear" w:color="auto" w:fill="D9D9D9" w:themeFill="background1" w:themeFillShade="D9"/>
            <w:vAlign w:val="center"/>
            <w:hideMark/>
          </w:tcPr>
          <w:p w14:paraId="2C96707A" w14:textId="442C11C2" w:rsidR="00F41DDA" w:rsidRPr="007B7F76" w:rsidRDefault="00F41DDA" w:rsidP="00F41DDA">
            <w:pPr>
              <w:spacing w:after="0" w:line="240" w:lineRule="auto"/>
              <w:rPr>
                <w:rFonts w:cs="Calibri"/>
                <w:b/>
                <w:bCs/>
                <w:color w:val="000000"/>
                <w:sz w:val="20"/>
                <w:szCs w:val="20"/>
                <w:lang w:eastAsia="sk-SK"/>
              </w:rPr>
            </w:pPr>
            <w:r>
              <w:rPr>
                <w:rFonts w:cs="Calibri"/>
                <w:b/>
                <w:bCs/>
                <w:color w:val="000000"/>
                <w:sz w:val="20"/>
                <w:szCs w:val="20"/>
                <w:lang w:eastAsia="sk-SK"/>
              </w:rPr>
              <w:t xml:space="preserve">Zostatok finančných prostriedkov </w:t>
            </w:r>
            <w:r w:rsidRPr="007B7F76">
              <w:rPr>
                <w:rFonts w:cs="Calibri"/>
                <w:b/>
                <w:bCs/>
                <w:color w:val="000000"/>
                <w:sz w:val="20"/>
                <w:szCs w:val="20"/>
                <w:lang w:eastAsia="sk-SK"/>
              </w:rPr>
              <w:t>k 31.12.2020</w:t>
            </w:r>
          </w:p>
        </w:tc>
        <w:tc>
          <w:tcPr>
            <w:tcW w:w="1662" w:type="dxa"/>
            <w:tcBorders>
              <w:top w:val="nil"/>
              <w:left w:val="nil"/>
              <w:bottom w:val="single" w:sz="12" w:space="0" w:color="FFFFFF"/>
              <w:right w:val="single" w:sz="12" w:space="0" w:color="FFFFFF"/>
            </w:tcBorders>
            <w:shd w:val="clear" w:color="auto" w:fill="D9D9D9" w:themeFill="background1" w:themeFillShade="D9"/>
            <w:vAlign w:val="center"/>
            <w:hideMark/>
          </w:tcPr>
          <w:p w14:paraId="2265B2FE" w14:textId="72FAD058" w:rsidR="00F41DDA" w:rsidRPr="007B7F76" w:rsidRDefault="00831819" w:rsidP="00F41DDA">
            <w:pPr>
              <w:spacing w:after="0" w:line="240" w:lineRule="auto"/>
              <w:jc w:val="right"/>
              <w:rPr>
                <w:rFonts w:cs="Calibri"/>
                <w:b/>
                <w:bCs/>
                <w:color w:val="000000"/>
                <w:sz w:val="20"/>
                <w:szCs w:val="20"/>
                <w:lang w:eastAsia="sk-SK"/>
              </w:rPr>
            </w:pPr>
            <w:r w:rsidRPr="00831819">
              <w:rPr>
                <w:rFonts w:cs="Calibri"/>
                <w:b/>
                <w:bCs/>
                <w:color w:val="000000"/>
                <w:sz w:val="20"/>
                <w:szCs w:val="20"/>
                <w:lang w:eastAsia="sk-SK"/>
              </w:rPr>
              <w:t>21 834 511,77</w:t>
            </w:r>
          </w:p>
        </w:tc>
      </w:tr>
      <w:tr w:rsidR="00F41DDA" w:rsidRPr="007B7F76" w14:paraId="194567AC" w14:textId="77777777" w:rsidTr="00F41DDA">
        <w:trPr>
          <w:trHeight w:val="402"/>
        </w:trPr>
        <w:tc>
          <w:tcPr>
            <w:tcW w:w="8774" w:type="dxa"/>
            <w:tcBorders>
              <w:top w:val="nil"/>
              <w:left w:val="single" w:sz="12" w:space="0" w:color="FFFFFF"/>
              <w:bottom w:val="single" w:sz="12" w:space="0" w:color="FFFFFF"/>
              <w:right w:val="single" w:sz="12" w:space="0" w:color="FFFFFF"/>
            </w:tcBorders>
            <w:shd w:val="clear" w:color="auto" w:fill="D9D9D9" w:themeFill="background1" w:themeFillShade="D9"/>
            <w:vAlign w:val="center"/>
            <w:hideMark/>
          </w:tcPr>
          <w:p w14:paraId="6B19C18C" w14:textId="1ADA2D1B" w:rsidR="00F41DDA" w:rsidRPr="007B7F76" w:rsidRDefault="00F41DDA" w:rsidP="00F41DDA">
            <w:pPr>
              <w:spacing w:after="0" w:line="240" w:lineRule="auto"/>
              <w:rPr>
                <w:rFonts w:cs="Calibri"/>
                <w:b/>
                <w:bCs/>
                <w:color w:val="000000"/>
                <w:sz w:val="20"/>
                <w:szCs w:val="20"/>
                <w:lang w:eastAsia="sk-SK"/>
              </w:rPr>
            </w:pPr>
            <w:r w:rsidRPr="007B7F76">
              <w:rPr>
                <w:rFonts w:cs="Calibri"/>
                <w:b/>
                <w:bCs/>
                <w:color w:val="000000"/>
                <w:sz w:val="20"/>
                <w:szCs w:val="20"/>
                <w:lang w:eastAsia="sk-SK"/>
              </w:rPr>
              <w:t xml:space="preserve">Konečný stav rezervného fondu </w:t>
            </w:r>
            <w:r>
              <w:rPr>
                <w:rFonts w:cs="Calibri"/>
                <w:b/>
                <w:bCs/>
                <w:color w:val="000000"/>
                <w:sz w:val="20"/>
                <w:szCs w:val="20"/>
                <w:lang w:eastAsia="sk-SK"/>
              </w:rPr>
              <w:t>pre rok 2021</w:t>
            </w:r>
          </w:p>
        </w:tc>
        <w:tc>
          <w:tcPr>
            <w:tcW w:w="1662" w:type="dxa"/>
            <w:tcBorders>
              <w:top w:val="nil"/>
              <w:left w:val="nil"/>
              <w:bottom w:val="single" w:sz="12" w:space="0" w:color="FFFFFF"/>
              <w:right w:val="single" w:sz="12" w:space="0" w:color="FFFFFF"/>
            </w:tcBorders>
            <w:shd w:val="clear" w:color="auto" w:fill="D9D9D9" w:themeFill="background1" w:themeFillShade="D9"/>
            <w:vAlign w:val="center"/>
            <w:hideMark/>
          </w:tcPr>
          <w:p w14:paraId="56230A0D" w14:textId="7198CF7D" w:rsidR="00F41DDA" w:rsidRPr="007B7F76" w:rsidRDefault="00831819" w:rsidP="00F41DDA">
            <w:pPr>
              <w:spacing w:after="0" w:line="240" w:lineRule="auto"/>
              <w:jc w:val="right"/>
              <w:rPr>
                <w:rFonts w:cs="Calibri"/>
                <w:b/>
                <w:bCs/>
                <w:color w:val="000000"/>
                <w:sz w:val="20"/>
                <w:szCs w:val="20"/>
                <w:lang w:eastAsia="sk-SK"/>
              </w:rPr>
            </w:pPr>
            <w:r w:rsidRPr="00831819">
              <w:rPr>
                <w:rFonts w:cs="Calibri"/>
                <w:b/>
                <w:bCs/>
                <w:color w:val="000000"/>
                <w:sz w:val="20"/>
                <w:szCs w:val="20"/>
                <w:lang w:eastAsia="sk-SK"/>
              </w:rPr>
              <w:t>36 117 141,18</w:t>
            </w:r>
          </w:p>
        </w:tc>
      </w:tr>
    </w:tbl>
    <w:p w14:paraId="7F850179" w14:textId="77777777" w:rsidR="00F41DDA" w:rsidRDefault="00F41DDA" w:rsidP="00441BA9">
      <w:pPr>
        <w:spacing w:after="0" w:line="240" w:lineRule="auto"/>
        <w:jc w:val="both"/>
        <w:rPr>
          <w:rFonts w:cs="Calibri"/>
          <w:b/>
          <w:bCs/>
          <w:color w:val="000000"/>
          <w:sz w:val="24"/>
          <w:szCs w:val="24"/>
          <w:lang w:eastAsia="sk-SK"/>
        </w:rPr>
      </w:pPr>
    </w:p>
    <w:p w14:paraId="5FD6FEE9" w14:textId="55FE084F" w:rsidR="007B7F76" w:rsidRDefault="007B7F76" w:rsidP="00441BA9">
      <w:pPr>
        <w:spacing w:after="0" w:line="240" w:lineRule="auto"/>
        <w:jc w:val="both"/>
        <w:rPr>
          <w:rFonts w:cs="Calibri"/>
          <w:b/>
          <w:bCs/>
          <w:color w:val="000000"/>
          <w:sz w:val="24"/>
          <w:szCs w:val="24"/>
          <w:lang w:eastAsia="sk-SK"/>
        </w:rPr>
      </w:pPr>
    </w:p>
    <w:p w14:paraId="0D91AC79" w14:textId="28925568" w:rsidR="007B7F76" w:rsidRDefault="007B7F76" w:rsidP="00441BA9">
      <w:pPr>
        <w:spacing w:after="0" w:line="240" w:lineRule="auto"/>
        <w:jc w:val="both"/>
        <w:rPr>
          <w:rFonts w:cs="Calibri"/>
          <w:b/>
          <w:bCs/>
          <w:color w:val="000000"/>
          <w:sz w:val="24"/>
          <w:szCs w:val="24"/>
          <w:lang w:eastAsia="sk-SK"/>
        </w:rPr>
      </w:pPr>
    </w:p>
    <w:p w14:paraId="37BD344D" w14:textId="77777777" w:rsidR="008E2D82" w:rsidRDefault="008E2D82" w:rsidP="00BE704E">
      <w:pPr>
        <w:spacing w:line="240" w:lineRule="auto"/>
        <w:jc w:val="both"/>
        <w:rPr>
          <w:b/>
          <w:sz w:val="24"/>
          <w:szCs w:val="24"/>
        </w:rPr>
      </w:pPr>
    </w:p>
    <w:p w14:paraId="708C4D5B" w14:textId="77777777" w:rsidR="00D427C4" w:rsidRDefault="00D427C4" w:rsidP="00441BA9">
      <w:pPr>
        <w:pStyle w:val="tl1"/>
        <w:numPr>
          <w:ilvl w:val="0"/>
          <w:numId w:val="0"/>
        </w:numPr>
      </w:pPr>
    </w:p>
    <w:p w14:paraId="51807EAA" w14:textId="77777777" w:rsidR="00E614AA" w:rsidRDefault="00E614AA" w:rsidP="00441BA9">
      <w:pPr>
        <w:pStyle w:val="tl1"/>
        <w:numPr>
          <w:ilvl w:val="0"/>
          <w:numId w:val="0"/>
        </w:numPr>
      </w:pPr>
    </w:p>
    <w:p w14:paraId="403DE0D1" w14:textId="77777777" w:rsidR="00E614AA" w:rsidRDefault="00E614AA" w:rsidP="00441BA9">
      <w:pPr>
        <w:pStyle w:val="tl1"/>
        <w:numPr>
          <w:ilvl w:val="0"/>
          <w:numId w:val="0"/>
        </w:numPr>
      </w:pPr>
    </w:p>
    <w:p w14:paraId="20E687A5" w14:textId="5942642D" w:rsidR="00BE704E" w:rsidRPr="00F41DDA" w:rsidRDefault="00BE704E" w:rsidP="00BE704E">
      <w:pPr>
        <w:pStyle w:val="tl1"/>
      </w:pPr>
      <w:r w:rsidRPr="00F41DDA">
        <w:lastRenderedPageBreak/>
        <w:t>Bilancia aktív a pasív BSK k 31.12.</w:t>
      </w:r>
      <w:r w:rsidR="00F41DDA">
        <w:t>2020</w:t>
      </w:r>
    </w:p>
    <w:p w14:paraId="46EE96FD" w14:textId="77777777" w:rsidR="00BE704E" w:rsidRPr="00F95718" w:rsidRDefault="00A711BC" w:rsidP="00BE704E">
      <w:pPr>
        <w:pStyle w:val="tl1"/>
        <w:numPr>
          <w:ilvl w:val="0"/>
          <w:numId w:val="0"/>
        </w:numPr>
      </w:pPr>
      <w:r>
        <w:pict w14:anchorId="3C6D1F1A">
          <v:rect id="_x0000_i1028" style="width:0;height:1.5pt" o:hralign="center" o:hrstd="t" o:hr="t" fillcolor="#a0a0a0" stroked="f"/>
        </w:pict>
      </w:r>
    </w:p>
    <w:p w14:paraId="5626616F" w14:textId="77777777" w:rsidR="00F41DDA" w:rsidRDefault="00F41DDA" w:rsidP="00FC7501">
      <w:pPr>
        <w:autoSpaceDE w:val="0"/>
        <w:autoSpaceDN w:val="0"/>
        <w:adjustRightInd w:val="0"/>
        <w:spacing w:after="0" w:line="240" w:lineRule="auto"/>
        <w:jc w:val="both"/>
        <w:rPr>
          <w:rFonts w:cs="Calibri"/>
          <w:b/>
          <w:sz w:val="23"/>
          <w:szCs w:val="23"/>
        </w:rPr>
      </w:pPr>
    </w:p>
    <w:p w14:paraId="10064494" w14:textId="77777777" w:rsidR="0004598E" w:rsidRPr="00094641" w:rsidRDefault="0004598E" w:rsidP="0004598E">
      <w:pPr>
        <w:autoSpaceDE w:val="0"/>
        <w:autoSpaceDN w:val="0"/>
        <w:adjustRightInd w:val="0"/>
        <w:spacing w:afterLines="50" w:after="120"/>
        <w:jc w:val="both"/>
        <w:rPr>
          <w:rFonts w:cs="Calibri"/>
          <w:sz w:val="23"/>
          <w:szCs w:val="23"/>
        </w:rPr>
      </w:pPr>
      <w:r w:rsidRPr="00094641">
        <w:rPr>
          <w:rFonts w:cs="Calibri"/>
          <w:b/>
          <w:sz w:val="23"/>
          <w:szCs w:val="23"/>
        </w:rPr>
        <w:t>Celková výška aktív BSK</w:t>
      </w:r>
      <w:r w:rsidRPr="00094641">
        <w:rPr>
          <w:rFonts w:cs="Calibri"/>
          <w:sz w:val="23"/>
          <w:szCs w:val="23"/>
        </w:rPr>
        <w:t xml:space="preserve"> </w:t>
      </w:r>
      <w:r w:rsidRPr="00094641">
        <w:rPr>
          <w:rFonts w:cs="Calibri"/>
          <w:b/>
          <w:sz w:val="23"/>
          <w:szCs w:val="23"/>
        </w:rPr>
        <w:t>vykázaná rozpočtovými a príspevkovými</w:t>
      </w:r>
      <w:r w:rsidRPr="00094641">
        <w:rPr>
          <w:rFonts w:cs="Calibri"/>
          <w:sz w:val="23"/>
          <w:szCs w:val="23"/>
        </w:rPr>
        <w:t xml:space="preserve"> </w:t>
      </w:r>
      <w:r w:rsidRPr="00094641">
        <w:rPr>
          <w:rFonts w:cs="Calibri"/>
          <w:b/>
          <w:sz w:val="23"/>
          <w:szCs w:val="23"/>
        </w:rPr>
        <w:t xml:space="preserve">organizáciami vrátane Úradu BSK </w:t>
      </w:r>
      <w:r w:rsidRPr="00094641">
        <w:rPr>
          <w:rFonts w:cs="Calibri"/>
          <w:sz w:val="23"/>
          <w:szCs w:val="23"/>
        </w:rPr>
        <w:t>k 31.12.20</w:t>
      </w:r>
      <w:r>
        <w:rPr>
          <w:rFonts w:cs="Calibri"/>
          <w:sz w:val="23"/>
          <w:szCs w:val="23"/>
        </w:rPr>
        <w:t>20</w:t>
      </w:r>
      <w:r w:rsidRPr="00094641">
        <w:rPr>
          <w:rFonts w:cs="Calibri"/>
          <w:sz w:val="23"/>
          <w:szCs w:val="23"/>
        </w:rPr>
        <w:t xml:space="preserve"> bola v sume </w:t>
      </w:r>
      <w:r>
        <w:rPr>
          <w:rFonts w:cs="Calibri"/>
          <w:b/>
          <w:sz w:val="23"/>
          <w:szCs w:val="23"/>
        </w:rPr>
        <w:t>517 684 668,15</w:t>
      </w:r>
      <w:r w:rsidRPr="00094641">
        <w:rPr>
          <w:rFonts w:cs="Calibri"/>
          <w:b/>
          <w:sz w:val="23"/>
          <w:szCs w:val="23"/>
        </w:rPr>
        <w:t xml:space="preserve"> EUR</w:t>
      </w:r>
      <w:r w:rsidRPr="00094641">
        <w:rPr>
          <w:rFonts w:cs="Calibri"/>
          <w:sz w:val="23"/>
          <w:szCs w:val="23"/>
        </w:rPr>
        <w:t>. Z toho neobežný majetok</w:t>
      </w:r>
      <w:r w:rsidRPr="00094641">
        <w:rPr>
          <w:rFonts w:cs="Calibri"/>
          <w:b/>
          <w:sz w:val="23"/>
          <w:szCs w:val="23"/>
        </w:rPr>
        <w:t xml:space="preserve"> </w:t>
      </w:r>
      <w:r w:rsidRPr="00094641">
        <w:rPr>
          <w:rFonts w:cs="Calibri"/>
          <w:sz w:val="23"/>
          <w:szCs w:val="23"/>
        </w:rPr>
        <w:t xml:space="preserve">predstavoval </w:t>
      </w:r>
      <w:r>
        <w:rPr>
          <w:rFonts w:cs="Calibri"/>
          <w:b/>
          <w:sz w:val="23"/>
          <w:szCs w:val="23"/>
        </w:rPr>
        <w:t>294 417 961,79</w:t>
      </w:r>
      <w:r w:rsidRPr="00094641">
        <w:rPr>
          <w:rFonts w:cs="Calibri"/>
          <w:b/>
          <w:sz w:val="23"/>
          <w:szCs w:val="23"/>
        </w:rPr>
        <w:t xml:space="preserve"> EUR</w:t>
      </w:r>
      <w:r w:rsidRPr="00094641">
        <w:rPr>
          <w:rFonts w:cs="Calibri"/>
          <w:sz w:val="23"/>
          <w:szCs w:val="23"/>
        </w:rPr>
        <w:t xml:space="preserve">, obežný majetok bol vo výške </w:t>
      </w:r>
      <w:r>
        <w:rPr>
          <w:rFonts w:cs="Calibri"/>
          <w:b/>
          <w:sz w:val="23"/>
          <w:szCs w:val="23"/>
        </w:rPr>
        <w:t>222 776 898,75</w:t>
      </w:r>
      <w:r w:rsidRPr="00094641">
        <w:rPr>
          <w:rFonts w:cs="Calibri"/>
          <w:b/>
          <w:sz w:val="23"/>
          <w:szCs w:val="23"/>
        </w:rPr>
        <w:t xml:space="preserve"> EUR</w:t>
      </w:r>
      <w:r w:rsidRPr="00094641">
        <w:rPr>
          <w:rFonts w:cs="Calibri"/>
          <w:sz w:val="23"/>
          <w:szCs w:val="23"/>
        </w:rPr>
        <w:t xml:space="preserve"> a časové rozlíšenie (náklady a príjmy budúcich období) predstavovalo sumu </w:t>
      </w:r>
      <w:r>
        <w:rPr>
          <w:rFonts w:cs="Calibri"/>
          <w:b/>
          <w:sz w:val="23"/>
          <w:szCs w:val="23"/>
        </w:rPr>
        <w:t>489 807,61</w:t>
      </w:r>
      <w:r w:rsidRPr="00094641">
        <w:rPr>
          <w:rFonts w:cs="Calibri"/>
          <w:b/>
          <w:sz w:val="23"/>
          <w:szCs w:val="23"/>
        </w:rPr>
        <w:t xml:space="preserve"> EUR</w:t>
      </w:r>
      <w:r w:rsidRPr="00094641">
        <w:rPr>
          <w:rFonts w:cs="Calibri"/>
          <w:sz w:val="23"/>
          <w:szCs w:val="23"/>
        </w:rPr>
        <w:t xml:space="preserve">. </w:t>
      </w:r>
    </w:p>
    <w:p w14:paraId="5B81A3ED" w14:textId="09E3E1D1" w:rsidR="0004598E" w:rsidRPr="00094641" w:rsidRDefault="0004598E" w:rsidP="0004598E">
      <w:pPr>
        <w:autoSpaceDE w:val="0"/>
        <w:autoSpaceDN w:val="0"/>
        <w:adjustRightInd w:val="0"/>
        <w:spacing w:afterLines="50" w:after="120"/>
        <w:jc w:val="both"/>
        <w:rPr>
          <w:rFonts w:cs="Calibri"/>
          <w:sz w:val="23"/>
          <w:szCs w:val="23"/>
        </w:rPr>
      </w:pPr>
      <w:r w:rsidRPr="00094641">
        <w:rPr>
          <w:rFonts w:cs="Calibri"/>
          <w:b/>
          <w:sz w:val="23"/>
          <w:szCs w:val="23"/>
        </w:rPr>
        <w:t>Celková výška pasív BSK vykázaná rozpočtovými a príspevkovými</w:t>
      </w:r>
      <w:r w:rsidRPr="00094641">
        <w:rPr>
          <w:rFonts w:cs="Calibri"/>
          <w:sz w:val="23"/>
          <w:szCs w:val="23"/>
        </w:rPr>
        <w:t xml:space="preserve"> </w:t>
      </w:r>
      <w:r w:rsidRPr="00094641">
        <w:rPr>
          <w:rFonts w:cs="Calibri"/>
          <w:b/>
          <w:sz w:val="23"/>
          <w:szCs w:val="23"/>
        </w:rPr>
        <w:t>organizáciami vrátane Úradu BSK</w:t>
      </w:r>
      <w:r w:rsidRPr="00094641">
        <w:rPr>
          <w:rFonts w:cs="Calibri"/>
          <w:sz w:val="23"/>
          <w:szCs w:val="23"/>
        </w:rPr>
        <w:t xml:space="preserve"> k 31.12.20</w:t>
      </w:r>
      <w:r>
        <w:rPr>
          <w:rFonts w:cs="Calibri"/>
          <w:sz w:val="23"/>
          <w:szCs w:val="23"/>
        </w:rPr>
        <w:t>20</w:t>
      </w:r>
      <w:r w:rsidRPr="00094641">
        <w:rPr>
          <w:rFonts w:cs="Calibri"/>
          <w:sz w:val="23"/>
          <w:szCs w:val="23"/>
        </w:rPr>
        <w:t xml:space="preserve"> predstavovala sumu </w:t>
      </w:r>
      <w:r>
        <w:rPr>
          <w:rFonts w:cs="Calibri"/>
          <w:b/>
          <w:sz w:val="23"/>
          <w:szCs w:val="23"/>
        </w:rPr>
        <w:t>517 684 668,15</w:t>
      </w:r>
      <w:r w:rsidRPr="00094641">
        <w:rPr>
          <w:rFonts w:cs="Calibri"/>
          <w:b/>
          <w:sz w:val="23"/>
          <w:szCs w:val="23"/>
        </w:rPr>
        <w:t xml:space="preserve"> EUR</w:t>
      </w:r>
      <w:r w:rsidRPr="00094641">
        <w:rPr>
          <w:rFonts w:cs="Calibri"/>
          <w:sz w:val="23"/>
          <w:szCs w:val="23"/>
        </w:rPr>
        <w:t xml:space="preserve">, vlastné imanie sumu </w:t>
      </w:r>
      <w:r>
        <w:rPr>
          <w:rFonts w:cs="Calibri"/>
          <w:b/>
          <w:sz w:val="23"/>
          <w:szCs w:val="23"/>
        </w:rPr>
        <w:t>229 150 352,11</w:t>
      </w:r>
      <w:r w:rsidRPr="00094641">
        <w:rPr>
          <w:rFonts w:cs="Calibri"/>
          <w:b/>
          <w:sz w:val="23"/>
          <w:szCs w:val="23"/>
        </w:rPr>
        <w:t xml:space="preserve"> EUR</w:t>
      </w:r>
      <w:r w:rsidRPr="00094641">
        <w:rPr>
          <w:rFonts w:cs="Calibri"/>
          <w:sz w:val="23"/>
          <w:szCs w:val="23"/>
        </w:rPr>
        <w:t xml:space="preserve">, záväzky tvorili </w:t>
      </w:r>
      <w:r>
        <w:rPr>
          <w:rFonts w:cs="Calibri"/>
          <w:b/>
          <w:sz w:val="23"/>
          <w:szCs w:val="23"/>
        </w:rPr>
        <w:t>251 170 705,01</w:t>
      </w:r>
      <w:r w:rsidRPr="00094641">
        <w:rPr>
          <w:rFonts w:cs="Calibri"/>
          <w:b/>
          <w:sz w:val="23"/>
          <w:szCs w:val="23"/>
        </w:rPr>
        <w:t xml:space="preserve"> EUR</w:t>
      </w:r>
      <w:r w:rsidRPr="00094641">
        <w:rPr>
          <w:rFonts w:cs="Calibri"/>
          <w:sz w:val="23"/>
          <w:szCs w:val="23"/>
        </w:rPr>
        <w:t xml:space="preserve"> a časové rozlíšenie (výnosy a výdavky budúcich období) bolo vykázané vo výške </w:t>
      </w:r>
      <w:r>
        <w:rPr>
          <w:rFonts w:cs="Calibri"/>
          <w:b/>
          <w:sz w:val="23"/>
          <w:szCs w:val="23"/>
        </w:rPr>
        <w:t>37 363 611,03</w:t>
      </w:r>
      <w:r w:rsidRPr="00094641">
        <w:rPr>
          <w:rFonts w:cs="Calibri"/>
          <w:b/>
          <w:sz w:val="23"/>
          <w:szCs w:val="23"/>
        </w:rPr>
        <w:t xml:space="preserve"> EUR</w:t>
      </w:r>
      <w:r w:rsidRPr="00094641">
        <w:rPr>
          <w:rFonts w:cs="Calibri"/>
          <w:sz w:val="23"/>
          <w:szCs w:val="23"/>
        </w:rPr>
        <w:t>.</w:t>
      </w:r>
    </w:p>
    <w:p w14:paraId="177AA3DA" w14:textId="77777777" w:rsidR="0004598E" w:rsidRPr="00094641" w:rsidRDefault="0004598E" w:rsidP="0004598E">
      <w:pPr>
        <w:spacing w:after="0" w:line="240" w:lineRule="auto"/>
        <w:jc w:val="both"/>
        <w:rPr>
          <w:rFonts w:cs="Calibri"/>
          <w:sz w:val="23"/>
          <w:szCs w:val="23"/>
        </w:rPr>
      </w:pPr>
      <w:r w:rsidRPr="00094641">
        <w:rPr>
          <w:rFonts w:cs="Calibri"/>
          <w:sz w:val="23"/>
          <w:szCs w:val="23"/>
        </w:rPr>
        <w:t xml:space="preserve">V  medziročnom porovnaní hodnota netto majetku a celkové zdroje financovania BSK vzrástli o </w:t>
      </w:r>
      <w:r w:rsidRPr="00094641">
        <w:rPr>
          <w:rFonts w:cs="Calibri"/>
          <w:sz w:val="23"/>
          <w:szCs w:val="23"/>
        </w:rPr>
        <w:br/>
      </w:r>
      <w:r>
        <w:rPr>
          <w:rFonts w:cs="Calibri"/>
          <w:sz w:val="23"/>
          <w:szCs w:val="23"/>
        </w:rPr>
        <w:t>29 667 585,86</w:t>
      </w:r>
      <w:r w:rsidRPr="00094641">
        <w:rPr>
          <w:rFonts w:cs="Calibri"/>
          <w:sz w:val="23"/>
          <w:szCs w:val="23"/>
        </w:rPr>
        <w:t xml:space="preserve"> EUR. </w:t>
      </w:r>
    </w:p>
    <w:p w14:paraId="56EC931F" w14:textId="77777777" w:rsidR="0004598E" w:rsidRPr="00094641" w:rsidRDefault="0004598E" w:rsidP="0004598E">
      <w:pPr>
        <w:spacing w:after="0" w:line="240" w:lineRule="auto"/>
        <w:jc w:val="both"/>
        <w:rPr>
          <w:rFonts w:cs="Calibri"/>
          <w:sz w:val="23"/>
          <w:szCs w:val="23"/>
        </w:rPr>
      </w:pPr>
    </w:p>
    <w:tbl>
      <w:tblPr>
        <w:tblW w:w="10577" w:type="dxa"/>
        <w:tblInd w:w="55" w:type="dxa"/>
        <w:tblCellMar>
          <w:left w:w="70" w:type="dxa"/>
          <w:right w:w="70" w:type="dxa"/>
        </w:tblCellMar>
        <w:tblLook w:val="04A0" w:firstRow="1" w:lastRow="0" w:firstColumn="1" w:lastColumn="0" w:noHBand="0" w:noVBand="1"/>
      </w:tblPr>
      <w:tblGrid>
        <w:gridCol w:w="3713"/>
        <w:gridCol w:w="2002"/>
        <w:gridCol w:w="2464"/>
        <w:gridCol w:w="2398"/>
      </w:tblGrid>
      <w:tr w:rsidR="0004598E" w:rsidRPr="00094641" w14:paraId="67739121" w14:textId="77777777" w:rsidTr="0004598E">
        <w:trPr>
          <w:trHeight w:hRule="exact" w:val="483"/>
        </w:trPr>
        <w:tc>
          <w:tcPr>
            <w:tcW w:w="3713" w:type="dxa"/>
            <w:tcBorders>
              <w:top w:val="nil"/>
              <w:left w:val="single" w:sz="12" w:space="0" w:color="FFFFFF"/>
              <w:bottom w:val="single" w:sz="12" w:space="0" w:color="FFFFFF"/>
              <w:right w:val="single" w:sz="12" w:space="0" w:color="FFFFFF"/>
            </w:tcBorders>
            <w:shd w:val="clear" w:color="000000" w:fill="8DB3E2"/>
            <w:noWrap/>
            <w:vAlign w:val="center"/>
            <w:hideMark/>
          </w:tcPr>
          <w:p w14:paraId="4CD4FD8E"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Bilancia Aktív a Pasív za BSK</w:t>
            </w:r>
          </w:p>
        </w:tc>
        <w:tc>
          <w:tcPr>
            <w:tcW w:w="2002" w:type="dxa"/>
            <w:tcBorders>
              <w:top w:val="nil"/>
              <w:left w:val="nil"/>
              <w:bottom w:val="single" w:sz="12" w:space="0" w:color="FFFFFF"/>
              <w:right w:val="single" w:sz="12" w:space="0" w:color="FFFFFF"/>
            </w:tcBorders>
            <w:shd w:val="clear" w:color="000000" w:fill="8DB3E2"/>
            <w:noWrap/>
            <w:vAlign w:val="center"/>
            <w:hideMark/>
          </w:tcPr>
          <w:p w14:paraId="220FFCA4"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Netto k 31.12.201</w:t>
            </w:r>
            <w:r>
              <w:rPr>
                <w:rFonts w:asciiTheme="minorHAnsi" w:hAnsiTheme="minorHAnsi" w:cstheme="minorHAnsi"/>
                <w:b/>
                <w:bCs/>
                <w:sz w:val="20"/>
                <w:szCs w:val="20"/>
                <w:lang w:eastAsia="sk-SK"/>
              </w:rPr>
              <w:t>9</w:t>
            </w:r>
            <w:r w:rsidRPr="00094641">
              <w:rPr>
                <w:rFonts w:asciiTheme="minorHAnsi" w:hAnsiTheme="minorHAnsi" w:cstheme="minorHAnsi"/>
                <w:b/>
                <w:bCs/>
                <w:sz w:val="20"/>
                <w:szCs w:val="20"/>
                <w:lang w:eastAsia="sk-SK"/>
              </w:rPr>
              <w:t xml:space="preserve"> v EUR</w:t>
            </w:r>
          </w:p>
        </w:tc>
        <w:tc>
          <w:tcPr>
            <w:tcW w:w="2464" w:type="dxa"/>
            <w:tcBorders>
              <w:top w:val="nil"/>
              <w:left w:val="nil"/>
              <w:bottom w:val="single" w:sz="12" w:space="0" w:color="FFFFFF"/>
              <w:right w:val="single" w:sz="12" w:space="0" w:color="FFFFFF"/>
            </w:tcBorders>
            <w:shd w:val="clear" w:color="000000" w:fill="8DB3E2"/>
            <w:noWrap/>
            <w:vAlign w:val="center"/>
            <w:hideMark/>
          </w:tcPr>
          <w:p w14:paraId="5A5BE110"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Netto k 31.12.20</w:t>
            </w:r>
            <w:r>
              <w:rPr>
                <w:rFonts w:asciiTheme="minorHAnsi" w:hAnsiTheme="minorHAnsi" w:cstheme="minorHAnsi"/>
                <w:b/>
                <w:bCs/>
                <w:sz w:val="20"/>
                <w:szCs w:val="20"/>
                <w:lang w:eastAsia="sk-SK"/>
              </w:rPr>
              <w:t>20</w:t>
            </w:r>
          </w:p>
          <w:p w14:paraId="11D61994"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398" w:type="dxa"/>
            <w:tcBorders>
              <w:top w:val="nil"/>
              <w:left w:val="nil"/>
              <w:bottom w:val="single" w:sz="12" w:space="0" w:color="FFFFFF"/>
              <w:right w:val="single" w:sz="12" w:space="0" w:color="FFFFFF"/>
            </w:tcBorders>
            <w:shd w:val="clear" w:color="000000" w:fill="8DB3E2"/>
            <w:noWrap/>
            <w:vAlign w:val="center"/>
            <w:hideMark/>
          </w:tcPr>
          <w:p w14:paraId="5D9FF26B"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Medziročná zmena</w:t>
            </w:r>
          </w:p>
          <w:p w14:paraId="5C23E0CA"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r>
      <w:tr w:rsidR="0004598E" w:rsidRPr="00094641" w14:paraId="7DED0F69"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8DB3E2"/>
            <w:noWrap/>
            <w:vAlign w:val="center"/>
            <w:hideMark/>
          </w:tcPr>
          <w:p w14:paraId="57938078"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AKTÍVA</w:t>
            </w:r>
          </w:p>
        </w:tc>
        <w:tc>
          <w:tcPr>
            <w:tcW w:w="2002" w:type="dxa"/>
            <w:tcBorders>
              <w:top w:val="nil"/>
              <w:left w:val="nil"/>
              <w:bottom w:val="single" w:sz="12" w:space="0" w:color="FFFFFF"/>
              <w:right w:val="single" w:sz="12" w:space="0" w:color="FFFFFF"/>
            </w:tcBorders>
            <w:shd w:val="clear" w:color="000000" w:fill="8DB3E2"/>
            <w:noWrap/>
          </w:tcPr>
          <w:p w14:paraId="50B4617F"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488 017 082,29</w:t>
            </w:r>
          </w:p>
        </w:tc>
        <w:tc>
          <w:tcPr>
            <w:tcW w:w="2464" w:type="dxa"/>
            <w:tcBorders>
              <w:top w:val="nil"/>
              <w:left w:val="nil"/>
              <w:bottom w:val="single" w:sz="12" w:space="0" w:color="FFFFFF"/>
              <w:right w:val="single" w:sz="12" w:space="0" w:color="FFFFFF"/>
            </w:tcBorders>
            <w:shd w:val="clear" w:color="000000" w:fill="8DB3E2"/>
            <w:noWrap/>
          </w:tcPr>
          <w:p w14:paraId="330D202D"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517 684 668,15</w:t>
            </w:r>
          </w:p>
        </w:tc>
        <w:tc>
          <w:tcPr>
            <w:tcW w:w="2398" w:type="dxa"/>
            <w:tcBorders>
              <w:top w:val="nil"/>
              <w:left w:val="nil"/>
              <w:bottom w:val="single" w:sz="12" w:space="0" w:color="FFFFFF"/>
              <w:right w:val="single" w:sz="12" w:space="0" w:color="FFFFFF"/>
            </w:tcBorders>
            <w:shd w:val="clear" w:color="000000" w:fill="8DB3E2"/>
            <w:noWrap/>
          </w:tcPr>
          <w:p w14:paraId="19982C6D"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29 667 585,86</w:t>
            </w:r>
          </w:p>
        </w:tc>
      </w:tr>
      <w:tr w:rsidR="0004598E" w:rsidRPr="00094641" w14:paraId="4E8DACAF"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D9D9D9"/>
            <w:noWrap/>
            <w:vAlign w:val="center"/>
            <w:hideMark/>
          </w:tcPr>
          <w:p w14:paraId="0A7529BB"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Neobežný majetok</w:t>
            </w:r>
          </w:p>
        </w:tc>
        <w:tc>
          <w:tcPr>
            <w:tcW w:w="2002" w:type="dxa"/>
            <w:tcBorders>
              <w:top w:val="nil"/>
              <w:left w:val="nil"/>
              <w:bottom w:val="single" w:sz="12" w:space="0" w:color="FFFFFF"/>
              <w:right w:val="single" w:sz="12" w:space="0" w:color="FFFFFF"/>
            </w:tcBorders>
            <w:shd w:val="clear" w:color="000000" w:fill="D9D9D9"/>
            <w:noWrap/>
          </w:tcPr>
          <w:p w14:paraId="4BCEA4B4"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288 728 524,26</w:t>
            </w:r>
          </w:p>
        </w:tc>
        <w:tc>
          <w:tcPr>
            <w:tcW w:w="2464" w:type="dxa"/>
            <w:tcBorders>
              <w:top w:val="nil"/>
              <w:left w:val="nil"/>
              <w:bottom w:val="single" w:sz="12" w:space="0" w:color="FFFFFF"/>
              <w:right w:val="single" w:sz="12" w:space="0" w:color="FFFFFF"/>
            </w:tcBorders>
            <w:shd w:val="clear" w:color="000000" w:fill="D9D9D9"/>
            <w:noWrap/>
          </w:tcPr>
          <w:p w14:paraId="519168F4"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294 417 961,79</w:t>
            </w:r>
          </w:p>
        </w:tc>
        <w:tc>
          <w:tcPr>
            <w:tcW w:w="2398" w:type="dxa"/>
            <w:tcBorders>
              <w:top w:val="nil"/>
              <w:left w:val="nil"/>
              <w:bottom w:val="single" w:sz="12" w:space="0" w:color="FFFFFF"/>
              <w:right w:val="single" w:sz="12" w:space="0" w:color="FFFFFF"/>
            </w:tcBorders>
            <w:shd w:val="clear" w:color="000000" w:fill="D9D9D9"/>
            <w:noWrap/>
          </w:tcPr>
          <w:p w14:paraId="52743121"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5 689 437,53</w:t>
            </w:r>
          </w:p>
        </w:tc>
      </w:tr>
      <w:tr w:rsidR="0004598E" w:rsidRPr="00094641" w14:paraId="38A1637A"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D9D9D9"/>
            <w:noWrap/>
            <w:vAlign w:val="center"/>
            <w:hideMark/>
          </w:tcPr>
          <w:p w14:paraId="2C268C6B"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Obežný majetok</w:t>
            </w:r>
          </w:p>
        </w:tc>
        <w:tc>
          <w:tcPr>
            <w:tcW w:w="2002" w:type="dxa"/>
            <w:tcBorders>
              <w:top w:val="nil"/>
              <w:left w:val="nil"/>
              <w:bottom w:val="single" w:sz="12" w:space="0" w:color="FFFFFF"/>
              <w:right w:val="single" w:sz="12" w:space="0" w:color="FFFFFF"/>
            </w:tcBorders>
            <w:shd w:val="clear" w:color="000000" w:fill="D9D9D9"/>
            <w:noWrap/>
          </w:tcPr>
          <w:p w14:paraId="5DE5AC5A"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198 906 062,09</w:t>
            </w:r>
          </w:p>
        </w:tc>
        <w:tc>
          <w:tcPr>
            <w:tcW w:w="2464" w:type="dxa"/>
            <w:tcBorders>
              <w:top w:val="nil"/>
              <w:left w:val="nil"/>
              <w:bottom w:val="single" w:sz="12" w:space="0" w:color="FFFFFF"/>
              <w:right w:val="single" w:sz="12" w:space="0" w:color="FFFFFF"/>
            </w:tcBorders>
            <w:shd w:val="clear" w:color="000000" w:fill="D9D9D9"/>
            <w:noWrap/>
          </w:tcPr>
          <w:p w14:paraId="4F11DD79"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222 776 898,75</w:t>
            </w:r>
          </w:p>
        </w:tc>
        <w:tc>
          <w:tcPr>
            <w:tcW w:w="2398" w:type="dxa"/>
            <w:tcBorders>
              <w:top w:val="nil"/>
              <w:left w:val="nil"/>
              <w:bottom w:val="single" w:sz="12" w:space="0" w:color="FFFFFF"/>
              <w:right w:val="single" w:sz="12" w:space="0" w:color="FFFFFF"/>
            </w:tcBorders>
            <w:shd w:val="clear" w:color="000000" w:fill="D9D9D9"/>
            <w:noWrap/>
          </w:tcPr>
          <w:p w14:paraId="7B6A508E"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23 870 836,66</w:t>
            </w:r>
          </w:p>
        </w:tc>
      </w:tr>
      <w:tr w:rsidR="0004598E" w:rsidRPr="00094641" w14:paraId="61702FC9"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D9D9D9"/>
            <w:noWrap/>
            <w:vAlign w:val="center"/>
            <w:hideMark/>
          </w:tcPr>
          <w:p w14:paraId="22721DF5"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Časové rozlíšenie</w:t>
            </w:r>
          </w:p>
        </w:tc>
        <w:tc>
          <w:tcPr>
            <w:tcW w:w="2002" w:type="dxa"/>
            <w:tcBorders>
              <w:top w:val="nil"/>
              <w:left w:val="nil"/>
              <w:bottom w:val="single" w:sz="12" w:space="0" w:color="FFFFFF"/>
              <w:right w:val="single" w:sz="12" w:space="0" w:color="FFFFFF"/>
            </w:tcBorders>
            <w:shd w:val="clear" w:color="000000" w:fill="D9D9D9"/>
            <w:noWrap/>
          </w:tcPr>
          <w:p w14:paraId="0EF4034B"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382 495,94</w:t>
            </w:r>
          </w:p>
        </w:tc>
        <w:tc>
          <w:tcPr>
            <w:tcW w:w="2464" w:type="dxa"/>
            <w:tcBorders>
              <w:top w:val="nil"/>
              <w:left w:val="nil"/>
              <w:bottom w:val="single" w:sz="12" w:space="0" w:color="FFFFFF"/>
              <w:right w:val="single" w:sz="12" w:space="0" w:color="FFFFFF"/>
            </w:tcBorders>
            <w:shd w:val="clear" w:color="000000" w:fill="D9D9D9"/>
            <w:noWrap/>
          </w:tcPr>
          <w:p w14:paraId="422F0C11"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489 807,61</w:t>
            </w:r>
          </w:p>
        </w:tc>
        <w:tc>
          <w:tcPr>
            <w:tcW w:w="2398" w:type="dxa"/>
            <w:tcBorders>
              <w:top w:val="nil"/>
              <w:left w:val="nil"/>
              <w:bottom w:val="single" w:sz="12" w:space="0" w:color="FFFFFF"/>
              <w:right w:val="single" w:sz="12" w:space="0" w:color="FFFFFF"/>
            </w:tcBorders>
            <w:shd w:val="clear" w:color="000000" w:fill="D9D9D9"/>
            <w:noWrap/>
          </w:tcPr>
          <w:p w14:paraId="21EECE61"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107 311,67</w:t>
            </w:r>
          </w:p>
        </w:tc>
      </w:tr>
      <w:tr w:rsidR="0004598E" w:rsidRPr="00094641" w14:paraId="4A3B141F"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8DB3E2"/>
            <w:noWrap/>
            <w:vAlign w:val="center"/>
            <w:hideMark/>
          </w:tcPr>
          <w:p w14:paraId="27E615FA"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PASÍVA</w:t>
            </w:r>
          </w:p>
        </w:tc>
        <w:tc>
          <w:tcPr>
            <w:tcW w:w="2002" w:type="dxa"/>
            <w:tcBorders>
              <w:top w:val="nil"/>
              <w:left w:val="nil"/>
              <w:bottom w:val="single" w:sz="12" w:space="0" w:color="FFFFFF"/>
              <w:right w:val="single" w:sz="12" w:space="0" w:color="FFFFFF"/>
            </w:tcBorders>
            <w:shd w:val="clear" w:color="000000" w:fill="8DB3E2"/>
            <w:noWrap/>
          </w:tcPr>
          <w:p w14:paraId="40E5D723"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488 017 082,29</w:t>
            </w:r>
          </w:p>
        </w:tc>
        <w:tc>
          <w:tcPr>
            <w:tcW w:w="2464" w:type="dxa"/>
            <w:tcBorders>
              <w:top w:val="nil"/>
              <w:left w:val="nil"/>
              <w:bottom w:val="single" w:sz="12" w:space="0" w:color="FFFFFF"/>
              <w:right w:val="single" w:sz="12" w:space="0" w:color="FFFFFF"/>
            </w:tcBorders>
            <w:shd w:val="clear" w:color="000000" w:fill="8DB3E2"/>
            <w:noWrap/>
          </w:tcPr>
          <w:p w14:paraId="4C7B1FD9"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517 684 668,15</w:t>
            </w:r>
          </w:p>
        </w:tc>
        <w:tc>
          <w:tcPr>
            <w:tcW w:w="2398" w:type="dxa"/>
            <w:tcBorders>
              <w:top w:val="nil"/>
              <w:left w:val="nil"/>
              <w:bottom w:val="single" w:sz="12" w:space="0" w:color="FFFFFF"/>
              <w:right w:val="single" w:sz="12" w:space="0" w:color="FFFFFF"/>
            </w:tcBorders>
            <w:shd w:val="clear" w:color="000000" w:fill="8DB3E2"/>
            <w:noWrap/>
          </w:tcPr>
          <w:p w14:paraId="2A81A246"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29 667 585,86</w:t>
            </w:r>
          </w:p>
        </w:tc>
      </w:tr>
      <w:tr w:rsidR="0004598E" w:rsidRPr="00094641" w14:paraId="0CD99348"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D9D9D9"/>
            <w:noWrap/>
            <w:vAlign w:val="center"/>
            <w:hideMark/>
          </w:tcPr>
          <w:p w14:paraId="577FC80B"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Vlastné imanie</w:t>
            </w:r>
          </w:p>
        </w:tc>
        <w:tc>
          <w:tcPr>
            <w:tcW w:w="2002" w:type="dxa"/>
            <w:tcBorders>
              <w:top w:val="nil"/>
              <w:left w:val="nil"/>
              <w:bottom w:val="single" w:sz="12" w:space="0" w:color="FFFFFF"/>
              <w:right w:val="single" w:sz="12" w:space="0" w:color="FFFFFF"/>
            </w:tcBorders>
            <w:shd w:val="clear" w:color="000000" w:fill="D9D9D9"/>
            <w:noWrap/>
          </w:tcPr>
          <w:p w14:paraId="5C2A4595"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216 743 696,64</w:t>
            </w:r>
          </w:p>
        </w:tc>
        <w:tc>
          <w:tcPr>
            <w:tcW w:w="2464" w:type="dxa"/>
            <w:tcBorders>
              <w:top w:val="nil"/>
              <w:left w:val="nil"/>
              <w:bottom w:val="single" w:sz="12" w:space="0" w:color="FFFFFF"/>
              <w:right w:val="single" w:sz="12" w:space="0" w:color="FFFFFF"/>
            </w:tcBorders>
            <w:shd w:val="clear" w:color="000000" w:fill="D9D9D9"/>
            <w:noWrap/>
          </w:tcPr>
          <w:p w14:paraId="5CBC3B12"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229 150 352,11</w:t>
            </w:r>
          </w:p>
        </w:tc>
        <w:tc>
          <w:tcPr>
            <w:tcW w:w="2398" w:type="dxa"/>
            <w:tcBorders>
              <w:top w:val="nil"/>
              <w:left w:val="nil"/>
              <w:bottom w:val="single" w:sz="12" w:space="0" w:color="FFFFFF"/>
              <w:right w:val="single" w:sz="12" w:space="0" w:color="FFFFFF"/>
            </w:tcBorders>
            <w:shd w:val="clear" w:color="000000" w:fill="D9D9D9"/>
            <w:noWrap/>
          </w:tcPr>
          <w:p w14:paraId="3C33087E"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12 406 655,47</w:t>
            </w:r>
          </w:p>
        </w:tc>
      </w:tr>
      <w:tr w:rsidR="0004598E" w:rsidRPr="00094641" w14:paraId="01A0BFC1"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D9D9D9"/>
            <w:noWrap/>
            <w:vAlign w:val="center"/>
            <w:hideMark/>
          </w:tcPr>
          <w:p w14:paraId="11F3EBE7"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Záväzky</w:t>
            </w:r>
          </w:p>
        </w:tc>
        <w:tc>
          <w:tcPr>
            <w:tcW w:w="2002" w:type="dxa"/>
            <w:tcBorders>
              <w:top w:val="nil"/>
              <w:left w:val="nil"/>
              <w:bottom w:val="single" w:sz="12" w:space="0" w:color="FFFFFF"/>
              <w:right w:val="single" w:sz="12" w:space="0" w:color="FFFFFF"/>
            </w:tcBorders>
            <w:shd w:val="clear" w:color="000000" w:fill="D9D9D9"/>
            <w:noWrap/>
          </w:tcPr>
          <w:p w14:paraId="55ADBFFA"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233 686 104,23</w:t>
            </w:r>
          </w:p>
        </w:tc>
        <w:tc>
          <w:tcPr>
            <w:tcW w:w="2464" w:type="dxa"/>
            <w:tcBorders>
              <w:top w:val="nil"/>
              <w:left w:val="nil"/>
              <w:bottom w:val="single" w:sz="12" w:space="0" w:color="FFFFFF"/>
              <w:right w:val="single" w:sz="12" w:space="0" w:color="FFFFFF"/>
            </w:tcBorders>
            <w:shd w:val="clear" w:color="000000" w:fill="D9D9D9"/>
            <w:noWrap/>
          </w:tcPr>
          <w:p w14:paraId="05AAC978"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251 170 705,01</w:t>
            </w:r>
          </w:p>
        </w:tc>
        <w:tc>
          <w:tcPr>
            <w:tcW w:w="2398" w:type="dxa"/>
            <w:tcBorders>
              <w:top w:val="nil"/>
              <w:left w:val="nil"/>
              <w:bottom w:val="single" w:sz="12" w:space="0" w:color="FFFFFF"/>
              <w:right w:val="single" w:sz="12" w:space="0" w:color="FFFFFF"/>
            </w:tcBorders>
            <w:shd w:val="clear" w:color="000000" w:fill="D9D9D9"/>
            <w:noWrap/>
          </w:tcPr>
          <w:p w14:paraId="03FFA670"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17 484 600,78</w:t>
            </w:r>
          </w:p>
        </w:tc>
      </w:tr>
      <w:tr w:rsidR="0004598E" w:rsidRPr="00094641" w14:paraId="55EC2012" w14:textId="77777777" w:rsidTr="0004598E">
        <w:trPr>
          <w:trHeight w:hRule="exact" w:val="304"/>
        </w:trPr>
        <w:tc>
          <w:tcPr>
            <w:tcW w:w="3713" w:type="dxa"/>
            <w:tcBorders>
              <w:top w:val="nil"/>
              <w:left w:val="single" w:sz="12" w:space="0" w:color="FFFFFF"/>
              <w:bottom w:val="single" w:sz="12" w:space="0" w:color="FFFFFF"/>
              <w:right w:val="single" w:sz="12" w:space="0" w:color="FFFFFF"/>
            </w:tcBorders>
            <w:shd w:val="clear" w:color="000000" w:fill="D9D9D9"/>
            <w:noWrap/>
            <w:vAlign w:val="center"/>
            <w:hideMark/>
          </w:tcPr>
          <w:p w14:paraId="0EE8F0E9"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Časové rozlíšenie</w:t>
            </w:r>
          </w:p>
        </w:tc>
        <w:tc>
          <w:tcPr>
            <w:tcW w:w="2002" w:type="dxa"/>
            <w:tcBorders>
              <w:top w:val="nil"/>
              <w:left w:val="nil"/>
              <w:bottom w:val="single" w:sz="12" w:space="0" w:color="FFFFFF"/>
              <w:right w:val="single" w:sz="12" w:space="0" w:color="FFFFFF"/>
            </w:tcBorders>
            <w:shd w:val="clear" w:color="000000" w:fill="D9D9D9"/>
            <w:noWrap/>
          </w:tcPr>
          <w:p w14:paraId="196ECB0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37 587 281,42</w:t>
            </w:r>
          </w:p>
        </w:tc>
        <w:tc>
          <w:tcPr>
            <w:tcW w:w="2464" w:type="dxa"/>
            <w:tcBorders>
              <w:top w:val="nil"/>
              <w:left w:val="nil"/>
              <w:bottom w:val="single" w:sz="12" w:space="0" w:color="FFFFFF"/>
              <w:right w:val="single" w:sz="12" w:space="0" w:color="FFFFFF"/>
            </w:tcBorders>
            <w:shd w:val="clear" w:color="000000" w:fill="D9D9D9"/>
            <w:noWrap/>
          </w:tcPr>
          <w:p w14:paraId="4A707DB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37 363 611,03</w:t>
            </w:r>
          </w:p>
        </w:tc>
        <w:tc>
          <w:tcPr>
            <w:tcW w:w="2398" w:type="dxa"/>
            <w:tcBorders>
              <w:top w:val="nil"/>
              <w:left w:val="nil"/>
              <w:bottom w:val="single" w:sz="12" w:space="0" w:color="FFFFFF"/>
              <w:right w:val="single" w:sz="12" w:space="0" w:color="FFFFFF"/>
            </w:tcBorders>
            <w:shd w:val="clear" w:color="000000" w:fill="D9D9D9"/>
            <w:noWrap/>
          </w:tcPr>
          <w:p w14:paraId="58948CD8"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-223 670,39</w:t>
            </w:r>
          </w:p>
        </w:tc>
      </w:tr>
    </w:tbl>
    <w:p w14:paraId="6A9188FA" w14:textId="77777777" w:rsidR="0004598E" w:rsidRPr="00094641" w:rsidRDefault="0004598E" w:rsidP="0004598E">
      <w:pPr>
        <w:pStyle w:val="tl2"/>
        <w:ind w:left="0" w:firstLine="0"/>
      </w:pPr>
    </w:p>
    <w:p w14:paraId="6C40C120" w14:textId="77777777" w:rsidR="0004598E" w:rsidRPr="00094641" w:rsidRDefault="0004598E" w:rsidP="0004598E">
      <w:pPr>
        <w:pStyle w:val="tl2"/>
      </w:pPr>
      <w:r w:rsidRPr="00094641">
        <w:t>D.</w:t>
      </w:r>
      <w:r w:rsidRPr="000469A7">
        <w:t>1 Rozpočtové organizácie BSK</w:t>
      </w:r>
    </w:p>
    <w:p w14:paraId="0B3DCE75" w14:textId="77777777" w:rsidR="0004598E" w:rsidRPr="00094641" w:rsidRDefault="0004598E" w:rsidP="0004598E">
      <w:pPr>
        <w:pStyle w:val="tl2"/>
      </w:pPr>
    </w:p>
    <w:p w14:paraId="5D260C49" w14:textId="77777777" w:rsidR="0004598E" w:rsidRPr="00094641" w:rsidRDefault="0004598E" w:rsidP="0004598E">
      <w:pPr>
        <w:autoSpaceDE w:val="0"/>
        <w:autoSpaceDN w:val="0"/>
        <w:adjustRightInd w:val="0"/>
        <w:spacing w:after="0"/>
        <w:jc w:val="both"/>
        <w:rPr>
          <w:rFonts w:cs="Calibri"/>
          <w:b/>
          <w:sz w:val="23"/>
          <w:szCs w:val="23"/>
        </w:rPr>
      </w:pPr>
      <w:r w:rsidRPr="00094641">
        <w:rPr>
          <w:rFonts w:cs="Calibri"/>
          <w:b/>
          <w:sz w:val="23"/>
          <w:szCs w:val="23"/>
        </w:rPr>
        <w:t>Výška aktív rozpočtových organizácií</w:t>
      </w:r>
      <w:r w:rsidRPr="00094641">
        <w:rPr>
          <w:rFonts w:cs="Calibri"/>
          <w:sz w:val="23"/>
          <w:szCs w:val="23"/>
        </w:rPr>
        <w:t xml:space="preserve"> v zriaďovateľskej pôsobnosti BSK vrátane Úradu BSK, vykázaná k 31.12.20</w:t>
      </w:r>
      <w:r>
        <w:rPr>
          <w:rFonts w:cs="Calibri"/>
          <w:sz w:val="23"/>
          <w:szCs w:val="23"/>
        </w:rPr>
        <w:t>20</w:t>
      </w:r>
      <w:r w:rsidRPr="00094641">
        <w:rPr>
          <w:rFonts w:cs="Calibri"/>
          <w:sz w:val="23"/>
          <w:szCs w:val="23"/>
        </w:rPr>
        <w:t xml:space="preserve"> podľa účtovnej závierky, predstavovala sumu </w:t>
      </w:r>
      <w:r>
        <w:rPr>
          <w:rFonts w:cs="Calibri"/>
          <w:b/>
          <w:sz w:val="23"/>
          <w:szCs w:val="23"/>
        </w:rPr>
        <w:t>473 838 998,42</w:t>
      </w:r>
      <w:r w:rsidRPr="00094641">
        <w:rPr>
          <w:rFonts w:cs="Calibri"/>
          <w:b/>
          <w:sz w:val="23"/>
          <w:szCs w:val="23"/>
        </w:rPr>
        <w:t xml:space="preserve"> EUR. </w:t>
      </w:r>
    </w:p>
    <w:p w14:paraId="17B225B0" w14:textId="77777777" w:rsidR="0004598E" w:rsidRPr="00094641" w:rsidRDefault="0004598E" w:rsidP="0004598E">
      <w:pPr>
        <w:autoSpaceDE w:val="0"/>
        <w:autoSpaceDN w:val="0"/>
        <w:adjustRightInd w:val="0"/>
        <w:spacing w:after="0"/>
        <w:jc w:val="both"/>
        <w:rPr>
          <w:rFonts w:cs="Calibri"/>
          <w:sz w:val="23"/>
          <w:szCs w:val="23"/>
        </w:rPr>
      </w:pPr>
      <w:r w:rsidRPr="00094641">
        <w:rPr>
          <w:rFonts w:cs="Calibri"/>
          <w:sz w:val="23"/>
          <w:szCs w:val="23"/>
        </w:rPr>
        <w:t>V rámci aktív predstavovali najvýznamnejšiu položku najmä:</w:t>
      </w:r>
    </w:p>
    <w:p w14:paraId="285C8A42" w14:textId="77777777" w:rsidR="0004598E" w:rsidRPr="00094641" w:rsidRDefault="0004598E" w:rsidP="0004598E">
      <w:pPr>
        <w:pStyle w:val="Odsekzoznamu"/>
        <w:numPr>
          <w:ilvl w:val="0"/>
          <w:numId w:val="2"/>
        </w:numPr>
        <w:autoSpaceDE w:val="0"/>
        <w:autoSpaceDN w:val="0"/>
        <w:adjustRightInd w:val="0"/>
        <w:spacing w:after="0"/>
        <w:jc w:val="both"/>
        <w:rPr>
          <w:rFonts w:cs="Calibri"/>
          <w:sz w:val="23"/>
          <w:szCs w:val="23"/>
        </w:rPr>
      </w:pPr>
      <w:r w:rsidRPr="00094641">
        <w:rPr>
          <w:rFonts w:cs="Calibri"/>
          <w:sz w:val="23"/>
          <w:szCs w:val="23"/>
        </w:rPr>
        <w:t xml:space="preserve">dlhodobý hmotný majetok v sume </w:t>
      </w:r>
      <w:r>
        <w:rPr>
          <w:rFonts w:cs="Calibri"/>
          <w:sz w:val="23"/>
          <w:szCs w:val="23"/>
        </w:rPr>
        <w:t>255 600 870,17</w:t>
      </w:r>
      <w:r w:rsidRPr="00094641">
        <w:rPr>
          <w:rFonts w:cs="Calibri"/>
          <w:sz w:val="23"/>
          <w:szCs w:val="23"/>
        </w:rPr>
        <w:t xml:space="preserve"> EUR a </w:t>
      </w:r>
    </w:p>
    <w:p w14:paraId="0130DE19" w14:textId="77777777" w:rsidR="0004598E" w:rsidRPr="00094641" w:rsidRDefault="0004598E" w:rsidP="0004598E">
      <w:pPr>
        <w:pStyle w:val="Odsekzoznamu"/>
        <w:numPr>
          <w:ilvl w:val="0"/>
          <w:numId w:val="2"/>
        </w:numPr>
        <w:autoSpaceDE w:val="0"/>
        <w:autoSpaceDN w:val="0"/>
        <w:adjustRightInd w:val="0"/>
        <w:spacing w:after="0"/>
        <w:jc w:val="both"/>
        <w:rPr>
          <w:rFonts w:cs="Calibri"/>
          <w:sz w:val="23"/>
          <w:szCs w:val="23"/>
        </w:rPr>
      </w:pPr>
      <w:r>
        <w:rPr>
          <w:rFonts w:cs="Calibri"/>
          <w:sz w:val="23"/>
          <w:szCs w:val="23"/>
        </w:rPr>
        <w:t>obežný majetok vo výške</w:t>
      </w:r>
      <w:r w:rsidRPr="00094641">
        <w:rPr>
          <w:rFonts w:cs="Calibri"/>
          <w:sz w:val="23"/>
          <w:szCs w:val="23"/>
        </w:rPr>
        <w:t xml:space="preserve"> </w:t>
      </w:r>
      <w:r>
        <w:rPr>
          <w:rFonts w:cs="Calibri"/>
          <w:sz w:val="23"/>
          <w:szCs w:val="23"/>
        </w:rPr>
        <w:t>216 838 096,39</w:t>
      </w:r>
      <w:r w:rsidRPr="00094641">
        <w:rPr>
          <w:rFonts w:cs="Calibri"/>
          <w:sz w:val="23"/>
          <w:szCs w:val="23"/>
        </w:rPr>
        <w:t xml:space="preserve"> EUR.</w:t>
      </w:r>
    </w:p>
    <w:p w14:paraId="4AC50992" w14:textId="77777777" w:rsidR="0004598E" w:rsidRPr="00094641" w:rsidRDefault="0004598E" w:rsidP="0004598E">
      <w:pPr>
        <w:spacing w:after="0"/>
        <w:jc w:val="both"/>
        <w:rPr>
          <w:rFonts w:cs="Calibri"/>
          <w:sz w:val="23"/>
          <w:szCs w:val="23"/>
        </w:rPr>
      </w:pPr>
      <w:r w:rsidRPr="00094641">
        <w:rPr>
          <w:rFonts w:cs="Calibri"/>
          <w:b/>
          <w:sz w:val="23"/>
          <w:szCs w:val="23"/>
        </w:rPr>
        <w:t>Celkové pasíva rozpočtových organizácií</w:t>
      </w:r>
      <w:r w:rsidRPr="00094641">
        <w:rPr>
          <w:rFonts w:cs="Calibri"/>
          <w:sz w:val="23"/>
          <w:szCs w:val="23"/>
        </w:rPr>
        <w:t xml:space="preserve"> v zriaďovateľskej pôsobnosti BSK a Úradu BSK </w:t>
      </w:r>
      <w:r w:rsidRPr="00094641">
        <w:rPr>
          <w:rFonts w:cs="Calibri"/>
          <w:sz w:val="23"/>
          <w:szCs w:val="23"/>
        </w:rPr>
        <w:br/>
        <w:t>k 31.12.20</w:t>
      </w:r>
      <w:r>
        <w:rPr>
          <w:rFonts w:cs="Calibri"/>
          <w:sz w:val="23"/>
          <w:szCs w:val="23"/>
        </w:rPr>
        <w:t>20</w:t>
      </w:r>
      <w:r w:rsidRPr="00094641">
        <w:rPr>
          <w:rFonts w:cs="Calibri"/>
          <w:sz w:val="23"/>
          <w:szCs w:val="23"/>
        </w:rPr>
        <w:t xml:space="preserve"> predstavovali sumu </w:t>
      </w:r>
      <w:r>
        <w:rPr>
          <w:rFonts w:cs="Calibri"/>
          <w:b/>
          <w:sz w:val="23"/>
          <w:szCs w:val="23"/>
        </w:rPr>
        <w:t>473 838 998,42 EUR</w:t>
      </w:r>
      <w:r w:rsidRPr="00094641">
        <w:rPr>
          <w:rFonts w:cs="Calibri"/>
          <w:b/>
          <w:sz w:val="23"/>
          <w:szCs w:val="23"/>
        </w:rPr>
        <w:t>,</w:t>
      </w:r>
      <w:r w:rsidRPr="00094641">
        <w:rPr>
          <w:rFonts w:cs="Calibri"/>
          <w:sz w:val="23"/>
          <w:szCs w:val="23"/>
        </w:rPr>
        <w:t xml:space="preserve"> pričom najvýznamnejšie položky boli najmä:</w:t>
      </w:r>
    </w:p>
    <w:p w14:paraId="040D117E" w14:textId="77777777" w:rsidR="0004598E" w:rsidRPr="00094641" w:rsidRDefault="0004598E" w:rsidP="0004598E">
      <w:pPr>
        <w:pStyle w:val="Odsekzoznamu"/>
        <w:numPr>
          <w:ilvl w:val="0"/>
          <w:numId w:val="3"/>
        </w:numPr>
        <w:spacing w:after="0"/>
        <w:jc w:val="both"/>
        <w:rPr>
          <w:rFonts w:cs="Calibri"/>
          <w:sz w:val="23"/>
          <w:szCs w:val="23"/>
        </w:rPr>
      </w:pPr>
      <w:r w:rsidRPr="00094641">
        <w:rPr>
          <w:rFonts w:cs="Calibri"/>
          <w:sz w:val="23"/>
          <w:szCs w:val="23"/>
        </w:rPr>
        <w:t xml:space="preserve">vlastné imanie - výsledok hospodárenia v sume </w:t>
      </w:r>
      <w:r>
        <w:rPr>
          <w:rFonts w:cs="Calibri"/>
          <w:sz w:val="23"/>
          <w:szCs w:val="23"/>
        </w:rPr>
        <w:t>225 827 566,09</w:t>
      </w:r>
      <w:r w:rsidRPr="00094641">
        <w:rPr>
          <w:rFonts w:cs="Calibri"/>
          <w:sz w:val="23"/>
          <w:szCs w:val="23"/>
        </w:rPr>
        <w:t xml:space="preserve"> EUR,</w:t>
      </w:r>
    </w:p>
    <w:p w14:paraId="0464B97D" w14:textId="77777777" w:rsidR="0004598E" w:rsidRPr="00094641" w:rsidRDefault="0004598E" w:rsidP="0004598E">
      <w:pPr>
        <w:pStyle w:val="Odsekzoznamu"/>
        <w:numPr>
          <w:ilvl w:val="0"/>
          <w:numId w:val="3"/>
        </w:numPr>
        <w:spacing w:after="0"/>
        <w:jc w:val="both"/>
        <w:rPr>
          <w:rFonts w:cs="Calibri"/>
          <w:sz w:val="23"/>
          <w:szCs w:val="23"/>
        </w:rPr>
      </w:pPr>
      <w:r w:rsidRPr="00094641">
        <w:rPr>
          <w:rFonts w:cs="Calibri"/>
          <w:sz w:val="23"/>
          <w:szCs w:val="23"/>
        </w:rPr>
        <w:t xml:space="preserve">záväzky – zúčtovanie transferov medzi subjektmi verejnej správy v sume </w:t>
      </w:r>
      <w:r>
        <w:rPr>
          <w:rFonts w:cs="Calibri"/>
          <w:sz w:val="23"/>
          <w:szCs w:val="23"/>
        </w:rPr>
        <w:t>133 593 716,45</w:t>
      </w:r>
      <w:r w:rsidRPr="00094641">
        <w:rPr>
          <w:rFonts w:cs="Calibri"/>
          <w:sz w:val="23"/>
          <w:szCs w:val="23"/>
        </w:rPr>
        <w:t xml:space="preserve"> EUR. </w:t>
      </w:r>
    </w:p>
    <w:p w14:paraId="272C920E" w14:textId="77777777" w:rsidR="0004598E" w:rsidRPr="00094641" w:rsidRDefault="0004598E" w:rsidP="0004598E">
      <w:pPr>
        <w:spacing w:after="0" w:line="240" w:lineRule="auto"/>
        <w:jc w:val="both"/>
        <w:rPr>
          <w:rFonts w:cs="Calibri"/>
          <w:sz w:val="23"/>
          <w:szCs w:val="23"/>
        </w:rPr>
      </w:pPr>
      <w:r w:rsidRPr="00094641">
        <w:rPr>
          <w:rFonts w:cs="Calibri"/>
          <w:sz w:val="23"/>
          <w:szCs w:val="23"/>
        </w:rPr>
        <w:t>V  medziročnom porovnaní hodnota netto majetku a celkové zdroje financovania rozpočtových organizácií vrátane Úradu BSK vzrástli o</w:t>
      </w:r>
      <w:r>
        <w:rPr>
          <w:rFonts w:cs="Calibri"/>
          <w:sz w:val="23"/>
          <w:szCs w:val="23"/>
        </w:rPr>
        <w:t> 27 996 184,34</w:t>
      </w:r>
      <w:r w:rsidRPr="00094641">
        <w:rPr>
          <w:rFonts w:cs="Calibri"/>
          <w:sz w:val="23"/>
          <w:szCs w:val="23"/>
        </w:rPr>
        <w:t xml:space="preserve"> EUR. </w:t>
      </w:r>
    </w:p>
    <w:p w14:paraId="73EBEBEA" w14:textId="77777777" w:rsidR="0004598E" w:rsidRPr="00094641" w:rsidRDefault="0004598E" w:rsidP="0004598E">
      <w:pPr>
        <w:spacing w:after="0" w:line="240" w:lineRule="auto"/>
        <w:jc w:val="both"/>
        <w:rPr>
          <w:rFonts w:cs="Calibri"/>
          <w:sz w:val="23"/>
          <w:szCs w:val="23"/>
        </w:rPr>
      </w:pPr>
    </w:p>
    <w:tbl>
      <w:tblPr>
        <w:tblW w:w="10080" w:type="dxa"/>
        <w:tblInd w:w="55" w:type="dxa"/>
        <w:tblCellMar>
          <w:left w:w="70" w:type="dxa"/>
          <w:right w:w="70" w:type="dxa"/>
        </w:tblCellMar>
        <w:tblLook w:val="04A0" w:firstRow="1" w:lastRow="0" w:firstColumn="1" w:lastColumn="0" w:noHBand="0" w:noVBand="1"/>
      </w:tblPr>
      <w:tblGrid>
        <w:gridCol w:w="3134"/>
        <w:gridCol w:w="2410"/>
        <w:gridCol w:w="2409"/>
        <w:gridCol w:w="2127"/>
      </w:tblGrid>
      <w:tr w:rsidR="0004598E" w:rsidRPr="00094641" w14:paraId="74F6C985" w14:textId="77777777" w:rsidTr="00222450">
        <w:trPr>
          <w:trHeight w:hRule="exact" w:val="319"/>
        </w:trPr>
        <w:tc>
          <w:tcPr>
            <w:tcW w:w="3134" w:type="dxa"/>
            <w:tcBorders>
              <w:top w:val="single" w:sz="12" w:space="0" w:color="FFFFFF"/>
              <w:left w:val="single" w:sz="12" w:space="0" w:color="FFFFFF"/>
              <w:bottom w:val="nil"/>
              <w:right w:val="single" w:sz="12" w:space="0" w:color="FFFFFF"/>
            </w:tcBorders>
            <w:shd w:val="clear" w:color="000000" w:fill="8DB3E2"/>
            <w:vAlign w:val="center"/>
            <w:hideMark/>
          </w:tcPr>
          <w:p w14:paraId="3CC65F21"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BILANCIA Aktív a Pasív RO </w:t>
            </w:r>
          </w:p>
        </w:tc>
        <w:tc>
          <w:tcPr>
            <w:tcW w:w="2410" w:type="dxa"/>
            <w:vMerge w:val="restart"/>
            <w:tcBorders>
              <w:top w:val="single" w:sz="12" w:space="0" w:color="FFFFFF"/>
              <w:left w:val="single" w:sz="12" w:space="0" w:color="FFFFFF"/>
              <w:bottom w:val="single" w:sz="12" w:space="0" w:color="FFFFFF"/>
              <w:right w:val="single" w:sz="12" w:space="0" w:color="FFFFFF"/>
            </w:tcBorders>
            <w:shd w:val="clear" w:color="000000" w:fill="8DB3E2"/>
            <w:noWrap/>
            <w:vAlign w:val="center"/>
            <w:hideMark/>
          </w:tcPr>
          <w:p w14:paraId="213C36DA"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Netto k 31.12.201</w:t>
            </w:r>
            <w:r>
              <w:rPr>
                <w:rFonts w:asciiTheme="minorHAnsi" w:hAnsiTheme="minorHAnsi" w:cstheme="minorHAnsi"/>
                <w:b/>
                <w:bCs/>
                <w:sz w:val="20"/>
                <w:szCs w:val="20"/>
                <w:lang w:eastAsia="sk-SK"/>
              </w:rPr>
              <w:t>9</w:t>
            </w:r>
          </w:p>
          <w:p w14:paraId="1E111613"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409" w:type="dxa"/>
            <w:vMerge w:val="restart"/>
            <w:tcBorders>
              <w:top w:val="single" w:sz="12" w:space="0" w:color="FFFFFF"/>
              <w:left w:val="single" w:sz="12" w:space="0" w:color="FFFFFF"/>
              <w:bottom w:val="single" w:sz="12" w:space="0" w:color="FFFFFF"/>
              <w:right w:val="single" w:sz="12" w:space="0" w:color="FFFFFF"/>
            </w:tcBorders>
            <w:shd w:val="clear" w:color="000000" w:fill="8DB3E2"/>
            <w:noWrap/>
            <w:vAlign w:val="center"/>
            <w:hideMark/>
          </w:tcPr>
          <w:p w14:paraId="10889851"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Netto k 31.12.20</w:t>
            </w:r>
            <w:r>
              <w:rPr>
                <w:rFonts w:asciiTheme="minorHAnsi" w:hAnsiTheme="minorHAnsi" w:cstheme="minorHAnsi"/>
                <w:b/>
                <w:bCs/>
                <w:sz w:val="20"/>
                <w:szCs w:val="20"/>
                <w:lang w:eastAsia="sk-SK"/>
              </w:rPr>
              <w:t>20</w:t>
            </w:r>
          </w:p>
          <w:p w14:paraId="634824DB"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127" w:type="dxa"/>
            <w:vMerge w:val="restart"/>
            <w:tcBorders>
              <w:top w:val="single" w:sz="12" w:space="0" w:color="FFFFFF"/>
              <w:left w:val="nil"/>
              <w:right w:val="single" w:sz="12" w:space="0" w:color="FFFFFF"/>
            </w:tcBorders>
            <w:shd w:val="clear" w:color="000000" w:fill="8DB3E2"/>
            <w:noWrap/>
            <w:vAlign w:val="center"/>
          </w:tcPr>
          <w:p w14:paraId="61BABFB2"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    Medziročná zmena </w:t>
            </w:r>
          </w:p>
          <w:p w14:paraId="5458FD35"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r>
      <w:tr w:rsidR="0004598E" w:rsidRPr="00094641" w14:paraId="3BE4CAC4" w14:textId="77777777" w:rsidTr="00222450">
        <w:trPr>
          <w:trHeight w:hRule="exact" w:val="281"/>
        </w:trPr>
        <w:tc>
          <w:tcPr>
            <w:tcW w:w="3134" w:type="dxa"/>
            <w:tcBorders>
              <w:top w:val="nil"/>
              <w:left w:val="single" w:sz="12" w:space="0" w:color="FFFFFF"/>
              <w:bottom w:val="single" w:sz="12" w:space="0" w:color="FFFFFF"/>
              <w:right w:val="single" w:sz="12" w:space="0" w:color="FFFFFF"/>
            </w:tcBorders>
            <w:shd w:val="clear" w:color="000000" w:fill="8DB3E2"/>
            <w:vAlign w:val="center"/>
            <w:hideMark/>
          </w:tcPr>
          <w:p w14:paraId="3A9DE967"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v zriaďovateľskej pôsobnosti BSK </w:t>
            </w:r>
          </w:p>
          <w:p w14:paraId="570FF872"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p>
        </w:tc>
        <w:tc>
          <w:tcPr>
            <w:tcW w:w="2410" w:type="dxa"/>
            <w:vMerge/>
            <w:tcBorders>
              <w:top w:val="single" w:sz="12" w:space="0" w:color="FFFFFF"/>
              <w:left w:val="single" w:sz="12" w:space="0" w:color="FFFFFF"/>
              <w:bottom w:val="single" w:sz="12" w:space="0" w:color="FFFFFF"/>
              <w:right w:val="single" w:sz="12" w:space="0" w:color="FFFFFF"/>
            </w:tcBorders>
            <w:vAlign w:val="center"/>
            <w:hideMark/>
          </w:tcPr>
          <w:p w14:paraId="1ABB1A10"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c>
          <w:tcPr>
            <w:tcW w:w="2409" w:type="dxa"/>
            <w:vMerge/>
            <w:tcBorders>
              <w:top w:val="single" w:sz="12" w:space="0" w:color="FFFFFF"/>
              <w:left w:val="single" w:sz="12" w:space="0" w:color="FFFFFF"/>
              <w:bottom w:val="single" w:sz="12" w:space="0" w:color="FFFFFF"/>
              <w:right w:val="single" w:sz="12" w:space="0" w:color="FFFFFF"/>
            </w:tcBorders>
            <w:vAlign w:val="center"/>
            <w:hideMark/>
          </w:tcPr>
          <w:p w14:paraId="16E399D4"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c>
          <w:tcPr>
            <w:tcW w:w="2127" w:type="dxa"/>
            <w:vMerge/>
            <w:tcBorders>
              <w:left w:val="nil"/>
              <w:bottom w:val="single" w:sz="12" w:space="0" w:color="FFFFFF"/>
              <w:right w:val="single" w:sz="12" w:space="0" w:color="FFFFFF"/>
            </w:tcBorders>
            <w:shd w:val="clear" w:color="000000" w:fill="8DB3E2"/>
            <w:noWrap/>
            <w:vAlign w:val="center"/>
          </w:tcPr>
          <w:p w14:paraId="34910E77"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p>
        </w:tc>
      </w:tr>
      <w:tr w:rsidR="0004598E" w:rsidRPr="00094641" w14:paraId="29CED29D"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8DB3E2"/>
            <w:noWrap/>
            <w:vAlign w:val="center"/>
            <w:hideMark/>
          </w:tcPr>
          <w:p w14:paraId="53438B62"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AKTÍVA</w:t>
            </w:r>
          </w:p>
        </w:tc>
        <w:tc>
          <w:tcPr>
            <w:tcW w:w="2410" w:type="dxa"/>
            <w:tcBorders>
              <w:top w:val="nil"/>
              <w:left w:val="nil"/>
              <w:bottom w:val="single" w:sz="12" w:space="0" w:color="FFFFFF"/>
              <w:right w:val="single" w:sz="12" w:space="0" w:color="FFFFFF"/>
            </w:tcBorders>
            <w:shd w:val="clear" w:color="000000" w:fill="8DB3E2"/>
            <w:noWrap/>
          </w:tcPr>
          <w:p w14:paraId="614701B2" w14:textId="77777777" w:rsidR="0004598E"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445 842 814,08</w:t>
            </w:r>
          </w:p>
          <w:p w14:paraId="7C18F45C"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08</w:t>
            </w:r>
          </w:p>
        </w:tc>
        <w:tc>
          <w:tcPr>
            <w:tcW w:w="2409" w:type="dxa"/>
            <w:tcBorders>
              <w:top w:val="nil"/>
              <w:left w:val="nil"/>
              <w:bottom w:val="single" w:sz="12" w:space="0" w:color="FFFFFF"/>
              <w:right w:val="single" w:sz="12" w:space="0" w:color="FFFFFF"/>
            </w:tcBorders>
            <w:shd w:val="clear" w:color="000000" w:fill="8DB3E2"/>
            <w:noWrap/>
          </w:tcPr>
          <w:p w14:paraId="6463606F"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473 838 998,42</w:t>
            </w:r>
          </w:p>
        </w:tc>
        <w:tc>
          <w:tcPr>
            <w:tcW w:w="2127" w:type="dxa"/>
            <w:tcBorders>
              <w:top w:val="nil"/>
              <w:left w:val="nil"/>
              <w:bottom w:val="single" w:sz="12" w:space="0" w:color="FFFFFF"/>
              <w:right w:val="single" w:sz="12" w:space="0" w:color="FFFFFF"/>
            </w:tcBorders>
            <w:shd w:val="clear" w:color="000000" w:fill="8DB3E2"/>
            <w:noWrap/>
          </w:tcPr>
          <w:p w14:paraId="53777BA2"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27 996 184,34</w:t>
            </w:r>
          </w:p>
        </w:tc>
      </w:tr>
      <w:tr w:rsidR="0004598E" w:rsidRPr="00094641" w14:paraId="153A6939"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D9D9D9"/>
            <w:noWrap/>
            <w:vAlign w:val="center"/>
            <w:hideMark/>
          </w:tcPr>
          <w:p w14:paraId="7E72A5ED"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Neobežný majetok</w:t>
            </w:r>
          </w:p>
        </w:tc>
        <w:tc>
          <w:tcPr>
            <w:tcW w:w="2410" w:type="dxa"/>
            <w:tcBorders>
              <w:top w:val="nil"/>
              <w:left w:val="nil"/>
              <w:bottom w:val="single" w:sz="12" w:space="0" w:color="FFFFFF"/>
              <w:right w:val="single" w:sz="12" w:space="0" w:color="FFFFFF"/>
            </w:tcBorders>
            <w:shd w:val="clear" w:color="000000" w:fill="D9D9D9"/>
            <w:noWrap/>
          </w:tcPr>
          <w:p w14:paraId="0F546D96"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251 371 132,10</w:t>
            </w:r>
          </w:p>
        </w:tc>
        <w:tc>
          <w:tcPr>
            <w:tcW w:w="2409" w:type="dxa"/>
            <w:tcBorders>
              <w:top w:val="nil"/>
              <w:left w:val="nil"/>
              <w:bottom w:val="single" w:sz="12" w:space="0" w:color="FFFFFF"/>
              <w:right w:val="single" w:sz="12" w:space="0" w:color="FFFFFF"/>
            </w:tcBorders>
            <w:shd w:val="clear" w:color="000000" w:fill="D9D9D9"/>
            <w:noWrap/>
          </w:tcPr>
          <w:p w14:paraId="34FCC9F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256 551 684,68</w:t>
            </w:r>
          </w:p>
        </w:tc>
        <w:tc>
          <w:tcPr>
            <w:tcW w:w="2127" w:type="dxa"/>
            <w:tcBorders>
              <w:top w:val="nil"/>
              <w:left w:val="nil"/>
              <w:bottom w:val="single" w:sz="12" w:space="0" w:color="FFFFFF"/>
              <w:right w:val="single" w:sz="12" w:space="0" w:color="FFFFFF"/>
            </w:tcBorders>
            <w:shd w:val="clear" w:color="000000" w:fill="D9D9D9"/>
            <w:noWrap/>
          </w:tcPr>
          <w:p w14:paraId="60DCE49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5 180 552,58</w:t>
            </w:r>
          </w:p>
        </w:tc>
      </w:tr>
      <w:tr w:rsidR="0004598E" w:rsidRPr="00094641" w14:paraId="10CC7691"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D9D9D9"/>
            <w:noWrap/>
            <w:vAlign w:val="center"/>
            <w:hideMark/>
          </w:tcPr>
          <w:p w14:paraId="7CE3668D"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Obežný majetok</w:t>
            </w:r>
          </w:p>
        </w:tc>
        <w:tc>
          <w:tcPr>
            <w:tcW w:w="2410" w:type="dxa"/>
            <w:tcBorders>
              <w:top w:val="nil"/>
              <w:left w:val="nil"/>
              <w:bottom w:val="single" w:sz="12" w:space="0" w:color="FFFFFF"/>
              <w:right w:val="single" w:sz="12" w:space="0" w:color="FFFFFF"/>
            </w:tcBorders>
            <w:shd w:val="clear" w:color="000000" w:fill="D9D9D9"/>
            <w:noWrap/>
          </w:tcPr>
          <w:p w14:paraId="3AE22DED"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194 130 580,52</w:t>
            </w:r>
          </w:p>
        </w:tc>
        <w:tc>
          <w:tcPr>
            <w:tcW w:w="2409" w:type="dxa"/>
            <w:tcBorders>
              <w:top w:val="nil"/>
              <w:left w:val="nil"/>
              <w:bottom w:val="single" w:sz="12" w:space="0" w:color="FFFFFF"/>
              <w:right w:val="single" w:sz="12" w:space="0" w:color="FFFFFF"/>
            </w:tcBorders>
            <w:shd w:val="clear" w:color="000000" w:fill="D9D9D9"/>
            <w:noWrap/>
          </w:tcPr>
          <w:p w14:paraId="1208BCEF"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216 838 096,39</w:t>
            </w:r>
          </w:p>
        </w:tc>
        <w:tc>
          <w:tcPr>
            <w:tcW w:w="2127" w:type="dxa"/>
            <w:tcBorders>
              <w:top w:val="nil"/>
              <w:left w:val="nil"/>
              <w:bottom w:val="single" w:sz="12" w:space="0" w:color="FFFFFF"/>
              <w:right w:val="single" w:sz="12" w:space="0" w:color="FFFFFF"/>
            </w:tcBorders>
            <w:shd w:val="clear" w:color="000000" w:fill="D9D9D9"/>
            <w:noWrap/>
          </w:tcPr>
          <w:p w14:paraId="7444DC83"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22 707 515,87</w:t>
            </w:r>
          </w:p>
        </w:tc>
      </w:tr>
      <w:tr w:rsidR="0004598E" w:rsidRPr="00094641" w14:paraId="68A2204F"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D9D9D9"/>
            <w:noWrap/>
            <w:vAlign w:val="center"/>
            <w:hideMark/>
          </w:tcPr>
          <w:p w14:paraId="0EED5E96"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Časové rozlíšenie</w:t>
            </w:r>
          </w:p>
        </w:tc>
        <w:tc>
          <w:tcPr>
            <w:tcW w:w="2410" w:type="dxa"/>
            <w:tcBorders>
              <w:top w:val="nil"/>
              <w:left w:val="nil"/>
              <w:bottom w:val="single" w:sz="12" w:space="0" w:color="FFFFFF"/>
              <w:right w:val="single" w:sz="12" w:space="0" w:color="FFFFFF"/>
            </w:tcBorders>
            <w:shd w:val="clear" w:color="000000" w:fill="D9D9D9"/>
            <w:noWrap/>
          </w:tcPr>
          <w:p w14:paraId="4352660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341 101,46</w:t>
            </w:r>
          </w:p>
        </w:tc>
        <w:tc>
          <w:tcPr>
            <w:tcW w:w="2409" w:type="dxa"/>
            <w:tcBorders>
              <w:top w:val="nil"/>
              <w:left w:val="nil"/>
              <w:bottom w:val="single" w:sz="12" w:space="0" w:color="FFFFFF"/>
              <w:right w:val="single" w:sz="12" w:space="0" w:color="FFFFFF"/>
            </w:tcBorders>
            <w:shd w:val="clear" w:color="000000" w:fill="D9D9D9"/>
            <w:noWrap/>
          </w:tcPr>
          <w:p w14:paraId="4B20E399"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449 217,35</w:t>
            </w:r>
          </w:p>
        </w:tc>
        <w:tc>
          <w:tcPr>
            <w:tcW w:w="2127" w:type="dxa"/>
            <w:tcBorders>
              <w:top w:val="nil"/>
              <w:left w:val="nil"/>
              <w:bottom w:val="single" w:sz="12" w:space="0" w:color="FFFFFF"/>
              <w:right w:val="single" w:sz="12" w:space="0" w:color="FFFFFF"/>
            </w:tcBorders>
            <w:shd w:val="clear" w:color="000000" w:fill="D9D9D9"/>
            <w:noWrap/>
          </w:tcPr>
          <w:p w14:paraId="47C8423E"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108 115,89</w:t>
            </w:r>
          </w:p>
        </w:tc>
      </w:tr>
      <w:tr w:rsidR="0004598E" w:rsidRPr="00094641" w14:paraId="645728AB"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8DB3E2"/>
            <w:noWrap/>
            <w:vAlign w:val="center"/>
            <w:hideMark/>
          </w:tcPr>
          <w:p w14:paraId="2EBE6419"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PASÍVA</w:t>
            </w:r>
          </w:p>
        </w:tc>
        <w:tc>
          <w:tcPr>
            <w:tcW w:w="2410" w:type="dxa"/>
            <w:tcBorders>
              <w:top w:val="nil"/>
              <w:left w:val="nil"/>
              <w:bottom w:val="single" w:sz="12" w:space="0" w:color="FFFFFF"/>
              <w:right w:val="single" w:sz="12" w:space="0" w:color="FFFFFF"/>
            </w:tcBorders>
            <w:shd w:val="clear" w:color="000000" w:fill="8DB3E2"/>
            <w:noWrap/>
          </w:tcPr>
          <w:p w14:paraId="5912CE0D"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445 842 814,08</w:t>
            </w:r>
          </w:p>
        </w:tc>
        <w:tc>
          <w:tcPr>
            <w:tcW w:w="2409" w:type="dxa"/>
            <w:tcBorders>
              <w:top w:val="nil"/>
              <w:left w:val="nil"/>
              <w:bottom w:val="single" w:sz="12" w:space="0" w:color="FFFFFF"/>
              <w:right w:val="single" w:sz="12" w:space="0" w:color="FFFFFF"/>
            </w:tcBorders>
            <w:shd w:val="clear" w:color="000000" w:fill="8DB3E2"/>
            <w:noWrap/>
          </w:tcPr>
          <w:p w14:paraId="4177A0B0"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473 838 998,42</w:t>
            </w:r>
          </w:p>
        </w:tc>
        <w:tc>
          <w:tcPr>
            <w:tcW w:w="2127" w:type="dxa"/>
            <w:tcBorders>
              <w:top w:val="nil"/>
              <w:left w:val="nil"/>
              <w:bottom w:val="single" w:sz="12" w:space="0" w:color="FFFFFF"/>
              <w:right w:val="single" w:sz="12" w:space="0" w:color="FFFFFF"/>
            </w:tcBorders>
            <w:shd w:val="clear" w:color="000000" w:fill="8DB3E2"/>
            <w:noWrap/>
          </w:tcPr>
          <w:p w14:paraId="255C6338"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27 996 184,34</w:t>
            </w:r>
          </w:p>
        </w:tc>
      </w:tr>
      <w:tr w:rsidR="0004598E" w:rsidRPr="00094641" w14:paraId="03EFE3ED"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D9D9D9"/>
            <w:noWrap/>
            <w:vAlign w:val="center"/>
            <w:hideMark/>
          </w:tcPr>
          <w:p w14:paraId="7EC01357"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lastRenderedPageBreak/>
              <w:t>Vlastné imanie</w:t>
            </w:r>
          </w:p>
        </w:tc>
        <w:tc>
          <w:tcPr>
            <w:tcW w:w="2410" w:type="dxa"/>
            <w:tcBorders>
              <w:top w:val="nil"/>
              <w:left w:val="nil"/>
              <w:bottom w:val="single" w:sz="12" w:space="0" w:color="FFFFFF"/>
              <w:right w:val="single" w:sz="12" w:space="0" w:color="FFFFFF"/>
            </w:tcBorders>
            <w:shd w:val="clear" w:color="000000" w:fill="D9D9D9"/>
            <w:noWrap/>
          </w:tcPr>
          <w:p w14:paraId="29B2EE0A"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213 788 437,45</w:t>
            </w:r>
          </w:p>
        </w:tc>
        <w:tc>
          <w:tcPr>
            <w:tcW w:w="2409" w:type="dxa"/>
            <w:tcBorders>
              <w:top w:val="nil"/>
              <w:left w:val="nil"/>
              <w:bottom w:val="single" w:sz="12" w:space="0" w:color="FFFFFF"/>
              <w:right w:val="single" w:sz="12" w:space="0" w:color="FFFFFF"/>
            </w:tcBorders>
            <w:shd w:val="clear" w:color="000000" w:fill="D9D9D9"/>
            <w:noWrap/>
          </w:tcPr>
          <w:p w14:paraId="5062ABCE"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225 827 566,09</w:t>
            </w:r>
          </w:p>
        </w:tc>
        <w:tc>
          <w:tcPr>
            <w:tcW w:w="2127" w:type="dxa"/>
            <w:tcBorders>
              <w:top w:val="nil"/>
              <w:left w:val="nil"/>
              <w:bottom w:val="single" w:sz="12" w:space="0" w:color="FFFFFF"/>
              <w:right w:val="single" w:sz="12" w:space="0" w:color="FFFFFF"/>
            </w:tcBorders>
            <w:shd w:val="clear" w:color="000000" w:fill="D9D9D9"/>
            <w:noWrap/>
          </w:tcPr>
          <w:p w14:paraId="7465E42F"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12 039 128,64</w:t>
            </w:r>
          </w:p>
        </w:tc>
      </w:tr>
      <w:tr w:rsidR="0004598E" w:rsidRPr="00094641" w14:paraId="030CD94F"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D9D9D9"/>
            <w:noWrap/>
            <w:vAlign w:val="center"/>
            <w:hideMark/>
          </w:tcPr>
          <w:p w14:paraId="2507B086"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Záväzky súčet</w:t>
            </w:r>
          </w:p>
        </w:tc>
        <w:tc>
          <w:tcPr>
            <w:tcW w:w="2410" w:type="dxa"/>
            <w:tcBorders>
              <w:top w:val="nil"/>
              <w:left w:val="nil"/>
              <w:bottom w:val="single" w:sz="12" w:space="0" w:color="FFFFFF"/>
              <w:right w:val="single" w:sz="12" w:space="0" w:color="FFFFFF"/>
            </w:tcBorders>
            <w:shd w:val="clear" w:color="000000" w:fill="D9D9D9"/>
            <w:noWrap/>
          </w:tcPr>
          <w:p w14:paraId="330BCBB6"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194 803 968,89</w:t>
            </w:r>
          </w:p>
        </w:tc>
        <w:tc>
          <w:tcPr>
            <w:tcW w:w="2409" w:type="dxa"/>
            <w:tcBorders>
              <w:top w:val="nil"/>
              <w:left w:val="nil"/>
              <w:bottom w:val="single" w:sz="12" w:space="0" w:color="FFFFFF"/>
              <w:right w:val="single" w:sz="12" w:space="0" w:color="FFFFFF"/>
            </w:tcBorders>
            <w:shd w:val="clear" w:color="000000" w:fill="D9D9D9"/>
            <w:noWrap/>
          </w:tcPr>
          <w:p w14:paraId="6692E672"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210 881 129,35</w:t>
            </w:r>
          </w:p>
        </w:tc>
        <w:tc>
          <w:tcPr>
            <w:tcW w:w="2127" w:type="dxa"/>
            <w:tcBorders>
              <w:top w:val="nil"/>
              <w:left w:val="nil"/>
              <w:bottom w:val="single" w:sz="12" w:space="0" w:color="FFFFFF"/>
              <w:right w:val="single" w:sz="12" w:space="0" w:color="FFFFFF"/>
            </w:tcBorders>
            <w:shd w:val="clear" w:color="000000" w:fill="D9D9D9"/>
            <w:noWrap/>
          </w:tcPr>
          <w:p w14:paraId="2C9FA1BF"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16 077 160,46</w:t>
            </w:r>
          </w:p>
        </w:tc>
      </w:tr>
      <w:tr w:rsidR="0004598E" w:rsidRPr="00094641" w14:paraId="5EDA9B3F" w14:textId="77777777" w:rsidTr="00222450">
        <w:trPr>
          <w:trHeight w:hRule="exact" w:val="340"/>
        </w:trPr>
        <w:tc>
          <w:tcPr>
            <w:tcW w:w="3134" w:type="dxa"/>
            <w:tcBorders>
              <w:top w:val="nil"/>
              <w:left w:val="single" w:sz="12" w:space="0" w:color="FFFFFF"/>
              <w:bottom w:val="single" w:sz="12" w:space="0" w:color="FFFFFF"/>
              <w:right w:val="single" w:sz="12" w:space="0" w:color="FFFFFF"/>
            </w:tcBorders>
            <w:shd w:val="clear" w:color="000000" w:fill="D9D9D9"/>
            <w:noWrap/>
            <w:vAlign w:val="center"/>
            <w:hideMark/>
          </w:tcPr>
          <w:p w14:paraId="1EF952AA"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Časové rozlíšenie</w:t>
            </w:r>
          </w:p>
        </w:tc>
        <w:tc>
          <w:tcPr>
            <w:tcW w:w="2410" w:type="dxa"/>
            <w:tcBorders>
              <w:top w:val="nil"/>
              <w:left w:val="nil"/>
              <w:bottom w:val="single" w:sz="12" w:space="0" w:color="FFFFFF"/>
              <w:right w:val="single" w:sz="12" w:space="0" w:color="FFFFFF"/>
            </w:tcBorders>
            <w:shd w:val="clear" w:color="000000" w:fill="D9D9D9"/>
            <w:noWrap/>
          </w:tcPr>
          <w:p w14:paraId="5DE5089E"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37 250 407,74</w:t>
            </w:r>
          </w:p>
        </w:tc>
        <w:tc>
          <w:tcPr>
            <w:tcW w:w="2409" w:type="dxa"/>
            <w:tcBorders>
              <w:top w:val="nil"/>
              <w:left w:val="nil"/>
              <w:bottom w:val="single" w:sz="12" w:space="0" w:color="FFFFFF"/>
              <w:right w:val="single" w:sz="12" w:space="0" w:color="FFFFFF"/>
            </w:tcBorders>
            <w:shd w:val="clear" w:color="000000" w:fill="D9D9D9"/>
            <w:noWrap/>
          </w:tcPr>
          <w:p w14:paraId="36888378"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37 130 302,98</w:t>
            </w:r>
          </w:p>
        </w:tc>
        <w:tc>
          <w:tcPr>
            <w:tcW w:w="2127" w:type="dxa"/>
            <w:tcBorders>
              <w:top w:val="nil"/>
              <w:left w:val="nil"/>
              <w:bottom w:val="single" w:sz="12" w:space="0" w:color="FFFFFF"/>
              <w:right w:val="single" w:sz="12" w:space="0" w:color="FFFFFF"/>
            </w:tcBorders>
            <w:shd w:val="clear" w:color="000000" w:fill="D9D9D9"/>
            <w:noWrap/>
          </w:tcPr>
          <w:p w14:paraId="2E2865EA"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-120 104,76</w:t>
            </w:r>
          </w:p>
        </w:tc>
      </w:tr>
    </w:tbl>
    <w:p w14:paraId="463BD021" w14:textId="77777777" w:rsidR="0004598E" w:rsidRPr="00094641" w:rsidRDefault="0004598E" w:rsidP="0004598E">
      <w:pPr>
        <w:pStyle w:val="tl2"/>
        <w:ind w:left="0" w:firstLine="0"/>
      </w:pPr>
    </w:p>
    <w:p w14:paraId="7FAC4D36" w14:textId="77777777" w:rsidR="0004598E" w:rsidRPr="00094641" w:rsidRDefault="0004598E" w:rsidP="0004598E">
      <w:pPr>
        <w:pStyle w:val="tl2"/>
      </w:pPr>
      <w:r w:rsidRPr="00AA44BC">
        <w:t xml:space="preserve">D.2 </w:t>
      </w:r>
      <w:r w:rsidRPr="00687C60">
        <w:t>Príspevkové organizácie BSK</w:t>
      </w:r>
    </w:p>
    <w:p w14:paraId="101B1EE9" w14:textId="77777777" w:rsidR="0004598E" w:rsidRPr="00094641" w:rsidRDefault="0004598E" w:rsidP="0004598E">
      <w:pPr>
        <w:pStyle w:val="tl2"/>
      </w:pPr>
    </w:p>
    <w:p w14:paraId="7B7D81B8" w14:textId="067CB313" w:rsidR="0004598E" w:rsidRPr="00094641" w:rsidRDefault="0004598E" w:rsidP="0004598E">
      <w:pPr>
        <w:spacing w:after="0"/>
        <w:jc w:val="both"/>
        <w:rPr>
          <w:rFonts w:cs="Calibri"/>
          <w:sz w:val="23"/>
          <w:szCs w:val="23"/>
        </w:rPr>
      </w:pPr>
      <w:r w:rsidRPr="00094641">
        <w:t xml:space="preserve"> </w:t>
      </w:r>
      <w:r w:rsidRPr="00094641">
        <w:rPr>
          <w:rFonts w:cs="Calibri"/>
          <w:b/>
          <w:sz w:val="23"/>
          <w:szCs w:val="23"/>
        </w:rPr>
        <w:t>Výška aktív príspevkových organizácií</w:t>
      </w:r>
      <w:r w:rsidRPr="00094641">
        <w:rPr>
          <w:rFonts w:cs="Calibri"/>
          <w:sz w:val="23"/>
          <w:szCs w:val="23"/>
        </w:rPr>
        <w:t xml:space="preserve"> v zriaďovateľskej pôsobnosti BSK vykázaná k 31.12.20</w:t>
      </w:r>
      <w:r>
        <w:rPr>
          <w:rFonts w:cs="Calibri"/>
          <w:sz w:val="23"/>
          <w:szCs w:val="23"/>
        </w:rPr>
        <w:t>20</w:t>
      </w:r>
      <w:r w:rsidRPr="00094641">
        <w:rPr>
          <w:rFonts w:cs="Calibri"/>
          <w:sz w:val="23"/>
          <w:szCs w:val="23"/>
        </w:rPr>
        <w:t xml:space="preserve"> podľa účtovnej závierky predstavovala sumu </w:t>
      </w:r>
      <w:r>
        <w:rPr>
          <w:rFonts w:cs="Calibri"/>
          <w:b/>
          <w:sz w:val="23"/>
          <w:szCs w:val="23"/>
        </w:rPr>
        <w:t>43 845 669,73</w:t>
      </w:r>
      <w:r w:rsidRPr="00094641">
        <w:rPr>
          <w:rFonts w:cs="Calibri"/>
          <w:b/>
          <w:sz w:val="23"/>
          <w:szCs w:val="23"/>
        </w:rPr>
        <w:t xml:space="preserve"> EUR</w:t>
      </w:r>
      <w:r w:rsidRPr="00094641">
        <w:rPr>
          <w:rFonts w:cs="Calibri"/>
          <w:sz w:val="23"/>
          <w:szCs w:val="23"/>
        </w:rPr>
        <w:t>.</w:t>
      </w:r>
    </w:p>
    <w:p w14:paraId="18E66F13" w14:textId="77777777" w:rsidR="0004598E" w:rsidRPr="00094641" w:rsidRDefault="0004598E" w:rsidP="0004598E">
      <w:pPr>
        <w:autoSpaceDE w:val="0"/>
        <w:autoSpaceDN w:val="0"/>
        <w:adjustRightInd w:val="0"/>
        <w:spacing w:after="0"/>
        <w:jc w:val="both"/>
        <w:rPr>
          <w:rFonts w:cs="Calibri"/>
          <w:sz w:val="23"/>
          <w:szCs w:val="23"/>
        </w:rPr>
      </w:pPr>
      <w:r w:rsidRPr="00094641">
        <w:rPr>
          <w:rFonts w:cs="Calibri"/>
          <w:sz w:val="23"/>
          <w:szCs w:val="23"/>
        </w:rPr>
        <w:t>V rámci aktív predstavovali najvýznamnejšiu položku najmä:</w:t>
      </w:r>
    </w:p>
    <w:p w14:paraId="5B3FEFDC" w14:textId="77777777" w:rsidR="0004598E" w:rsidRPr="00094641" w:rsidRDefault="0004598E" w:rsidP="0004598E">
      <w:pPr>
        <w:pStyle w:val="Odsekzoznamu"/>
        <w:numPr>
          <w:ilvl w:val="0"/>
          <w:numId w:val="4"/>
        </w:numPr>
        <w:autoSpaceDE w:val="0"/>
        <w:autoSpaceDN w:val="0"/>
        <w:adjustRightInd w:val="0"/>
        <w:spacing w:after="0"/>
        <w:jc w:val="both"/>
        <w:rPr>
          <w:rFonts w:cs="Calibri"/>
          <w:sz w:val="23"/>
          <w:szCs w:val="23"/>
        </w:rPr>
      </w:pPr>
      <w:r w:rsidRPr="00094641">
        <w:rPr>
          <w:rFonts w:cs="Calibri"/>
          <w:sz w:val="23"/>
          <w:szCs w:val="23"/>
        </w:rPr>
        <w:t xml:space="preserve">dlhodobý hmotný majetok v sume </w:t>
      </w:r>
      <w:r>
        <w:rPr>
          <w:rFonts w:cs="Calibri"/>
          <w:sz w:val="23"/>
          <w:szCs w:val="23"/>
        </w:rPr>
        <w:t>37 831 459,11</w:t>
      </w:r>
      <w:r w:rsidRPr="00094641">
        <w:rPr>
          <w:rFonts w:cs="Calibri"/>
          <w:sz w:val="23"/>
          <w:szCs w:val="23"/>
        </w:rPr>
        <w:t xml:space="preserve"> EUR a </w:t>
      </w:r>
    </w:p>
    <w:p w14:paraId="3EE1C175" w14:textId="77777777" w:rsidR="0004598E" w:rsidRPr="00094641" w:rsidRDefault="0004598E" w:rsidP="0004598E">
      <w:pPr>
        <w:pStyle w:val="Odsekzoznamu"/>
        <w:numPr>
          <w:ilvl w:val="0"/>
          <w:numId w:val="4"/>
        </w:numPr>
        <w:autoSpaceDE w:val="0"/>
        <w:autoSpaceDN w:val="0"/>
        <w:adjustRightInd w:val="0"/>
        <w:spacing w:after="0"/>
        <w:jc w:val="both"/>
        <w:rPr>
          <w:rFonts w:cs="Calibri"/>
          <w:sz w:val="23"/>
          <w:szCs w:val="23"/>
        </w:rPr>
      </w:pPr>
      <w:r w:rsidRPr="00094641">
        <w:rPr>
          <w:rFonts w:cs="Calibri"/>
          <w:sz w:val="23"/>
          <w:szCs w:val="23"/>
        </w:rPr>
        <w:t xml:space="preserve">bankové účty vo výške </w:t>
      </w:r>
      <w:r>
        <w:rPr>
          <w:rFonts w:cs="Calibri"/>
          <w:sz w:val="23"/>
          <w:szCs w:val="23"/>
        </w:rPr>
        <w:t>5 578 445,88</w:t>
      </w:r>
      <w:r w:rsidRPr="00094641">
        <w:rPr>
          <w:rFonts w:cs="Calibri"/>
          <w:sz w:val="23"/>
          <w:szCs w:val="23"/>
        </w:rPr>
        <w:t xml:space="preserve"> EUR</w:t>
      </w:r>
    </w:p>
    <w:p w14:paraId="75C78CFA" w14:textId="77777777" w:rsidR="0004598E" w:rsidRPr="00094641" w:rsidRDefault="0004598E" w:rsidP="0004598E">
      <w:pPr>
        <w:spacing w:after="0"/>
        <w:jc w:val="both"/>
        <w:rPr>
          <w:rFonts w:cs="Calibri"/>
          <w:sz w:val="23"/>
          <w:szCs w:val="23"/>
        </w:rPr>
      </w:pPr>
      <w:r w:rsidRPr="00094641">
        <w:rPr>
          <w:rFonts w:cs="Calibri"/>
          <w:b/>
          <w:sz w:val="23"/>
          <w:szCs w:val="23"/>
        </w:rPr>
        <w:t>Celkové pasíva príspevkových organizácií</w:t>
      </w:r>
      <w:r w:rsidRPr="00094641">
        <w:rPr>
          <w:rFonts w:cs="Calibri"/>
          <w:sz w:val="23"/>
          <w:szCs w:val="23"/>
        </w:rPr>
        <w:t xml:space="preserve"> v zriaďovateľskej pôsobnosti BSK k 31.12.20</w:t>
      </w:r>
      <w:r>
        <w:rPr>
          <w:rFonts w:cs="Calibri"/>
          <w:sz w:val="23"/>
          <w:szCs w:val="23"/>
        </w:rPr>
        <w:t>20</w:t>
      </w:r>
      <w:r w:rsidRPr="00094641">
        <w:rPr>
          <w:rFonts w:cs="Calibri"/>
          <w:sz w:val="23"/>
          <w:szCs w:val="23"/>
        </w:rPr>
        <w:t xml:space="preserve"> boli v sume </w:t>
      </w:r>
      <w:r>
        <w:rPr>
          <w:rFonts w:cs="Calibri"/>
          <w:b/>
          <w:bCs/>
          <w:sz w:val="23"/>
          <w:szCs w:val="23"/>
        </w:rPr>
        <w:t>43 845 669,73</w:t>
      </w:r>
      <w:r w:rsidRPr="00094641">
        <w:rPr>
          <w:rFonts w:cs="Calibri"/>
          <w:b/>
          <w:sz w:val="23"/>
          <w:szCs w:val="23"/>
        </w:rPr>
        <w:t xml:space="preserve"> EUR</w:t>
      </w:r>
      <w:r w:rsidRPr="00094641">
        <w:rPr>
          <w:rFonts w:cs="Calibri"/>
          <w:sz w:val="23"/>
          <w:szCs w:val="23"/>
        </w:rPr>
        <w:t>, pričom najvýznamnejšie položky boli najmä:</w:t>
      </w:r>
    </w:p>
    <w:p w14:paraId="03784D1B" w14:textId="77777777" w:rsidR="0004598E" w:rsidRDefault="0004598E" w:rsidP="0004598E">
      <w:pPr>
        <w:pStyle w:val="Odsekzoznamu"/>
        <w:numPr>
          <w:ilvl w:val="0"/>
          <w:numId w:val="5"/>
        </w:numPr>
        <w:spacing w:after="0"/>
        <w:jc w:val="both"/>
        <w:rPr>
          <w:rFonts w:cs="Calibri"/>
          <w:sz w:val="23"/>
          <w:szCs w:val="23"/>
        </w:rPr>
      </w:pPr>
      <w:r w:rsidRPr="00094641">
        <w:rPr>
          <w:rFonts w:cs="Calibri"/>
          <w:sz w:val="23"/>
          <w:szCs w:val="23"/>
        </w:rPr>
        <w:t xml:space="preserve">zúčtovanie medzi subjektmi verejnej správy v sume </w:t>
      </w:r>
      <w:r>
        <w:rPr>
          <w:rFonts w:cs="Calibri"/>
          <w:sz w:val="23"/>
          <w:szCs w:val="23"/>
        </w:rPr>
        <w:t>37 322 493,06</w:t>
      </w:r>
      <w:r w:rsidRPr="00094641">
        <w:rPr>
          <w:rFonts w:cs="Calibri"/>
          <w:sz w:val="23"/>
          <w:szCs w:val="23"/>
        </w:rPr>
        <w:t xml:space="preserve"> EUR</w:t>
      </w:r>
      <w:r>
        <w:rPr>
          <w:rFonts w:cs="Calibri"/>
          <w:sz w:val="23"/>
          <w:szCs w:val="23"/>
        </w:rPr>
        <w:t xml:space="preserve"> a </w:t>
      </w:r>
    </w:p>
    <w:p w14:paraId="3932C912" w14:textId="77777777" w:rsidR="0004598E" w:rsidRPr="00094641" w:rsidRDefault="0004598E" w:rsidP="0004598E">
      <w:pPr>
        <w:pStyle w:val="Odsekzoznamu"/>
        <w:numPr>
          <w:ilvl w:val="0"/>
          <w:numId w:val="5"/>
        </w:numPr>
        <w:spacing w:after="0"/>
        <w:jc w:val="both"/>
        <w:rPr>
          <w:rFonts w:cs="Calibri"/>
          <w:sz w:val="23"/>
          <w:szCs w:val="23"/>
        </w:rPr>
      </w:pPr>
      <w:r>
        <w:rPr>
          <w:rFonts w:cs="Calibri"/>
          <w:sz w:val="23"/>
          <w:szCs w:val="23"/>
        </w:rPr>
        <w:t>krátkodobé záväzky vo výške 2 214 085,38 EUR</w:t>
      </w:r>
    </w:p>
    <w:p w14:paraId="6C587D38" w14:textId="77777777" w:rsidR="0004598E" w:rsidRPr="00094641" w:rsidRDefault="0004598E" w:rsidP="0004598E">
      <w:pPr>
        <w:spacing w:after="0" w:line="240" w:lineRule="auto"/>
        <w:jc w:val="both"/>
        <w:rPr>
          <w:rFonts w:cs="Calibri"/>
          <w:sz w:val="23"/>
          <w:szCs w:val="23"/>
        </w:rPr>
      </w:pPr>
      <w:r w:rsidRPr="00094641">
        <w:rPr>
          <w:rFonts w:cs="Calibri"/>
          <w:sz w:val="23"/>
          <w:szCs w:val="23"/>
        </w:rPr>
        <w:t>V  medziročnom porovnaní hodnota netto majetku a celkové zdroje financovania príspevkových organizácii vzrástli o</w:t>
      </w:r>
      <w:r>
        <w:rPr>
          <w:rFonts w:cs="Calibri"/>
          <w:sz w:val="23"/>
          <w:szCs w:val="23"/>
        </w:rPr>
        <w:t> 1 671 401,52</w:t>
      </w:r>
      <w:r w:rsidRPr="00094641">
        <w:rPr>
          <w:rFonts w:cs="Calibri"/>
          <w:sz w:val="23"/>
          <w:szCs w:val="23"/>
        </w:rPr>
        <w:t xml:space="preserve"> EUR. </w:t>
      </w:r>
    </w:p>
    <w:p w14:paraId="19C8CAB4" w14:textId="77777777" w:rsidR="0004598E" w:rsidRPr="00094641" w:rsidRDefault="0004598E" w:rsidP="0004598E">
      <w:pPr>
        <w:spacing w:after="0" w:line="240" w:lineRule="auto"/>
        <w:ind w:firstLine="709"/>
        <w:jc w:val="both"/>
        <w:rPr>
          <w:rFonts w:cs="Calibri"/>
          <w:sz w:val="23"/>
          <w:szCs w:val="23"/>
        </w:rPr>
      </w:pPr>
    </w:p>
    <w:tbl>
      <w:tblPr>
        <w:tblW w:w="10578" w:type="dxa"/>
        <w:tblInd w:w="55" w:type="dxa"/>
        <w:tblCellMar>
          <w:left w:w="70" w:type="dxa"/>
          <w:right w:w="70" w:type="dxa"/>
        </w:tblCellMar>
        <w:tblLook w:val="04A0" w:firstRow="1" w:lastRow="0" w:firstColumn="1" w:lastColumn="0" w:noHBand="0" w:noVBand="1"/>
      </w:tblPr>
      <w:tblGrid>
        <w:gridCol w:w="3336"/>
        <w:gridCol w:w="2565"/>
        <w:gridCol w:w="2414"/>
        <w:gridCol w:w="2263"/>
      </w:tblGrid>
      <w:tr w:rsidR="0004598E" w:rsidRPr="00094641" w14:paraId="3BCFF88A" w14:textId="77777777" w:rsidTr="0004598E">
        <w:trPr>
          <w:trHeight w:hRule="exact" w:val="284"/>
        </w:trPr>
        <w:tc>
          <w:tcPr>
            <w:tcW w:w="3336"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47150A85"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Bilancia Aktív a Pasív príspevkových organizácií BSK</w:t>
            </w:r>
          </w:p>
        </w:tc>
        <w:tc>
          <w:tcPr>
            <w:tcW w:w="2565" w:type="dxa"/>
            <w:tcBorders>
              <w:top w:val="single" w:sz="12" w:space="0" w:color="FFFFFF"/>
              <w:left w:val="nil"/>
              <w:bottom w:val="nil"/>
              <w:right w:val="single" w:sz="12" w:space="0" w:color="FFFFFF"/>
            </w:tcBorders>
            <w:shd w:val="clear" w:color="000000" w:fill="8DB3E2"/>
            <w:noWrap/>
            <w:vAlign w:val="center"/>
            <w:hideMark/>
          </w:tcPr>
          <w:p w14:paraId="0D4173D3"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Netto k 31.12.201</w:t>
            </w:r>
            <w:r>
              <w:rPr>
                <w:rFonts w:asciiTheme="minorHAnsi" w:hAnsiTheme="minorHAnsi" w:cstheme="minorHAnsi"/>
                <w:b/>
                <w:bCs/>
                <w:sz w:val="20"/>
                <w:szCs w:val="20"/>
                <w:lang w:eastAsia="sk-SK"/>
              </w:rPr>
              <w:t>9</w:t>
            </w:r>
          </w:p>
        </w:tc>
        <w:tc>
          <w:tcPr>
            <w:tcW w:w="2414" w:type="dxa"/>
            <w:tcBorders>
              <w:top w:val="single" w:sz="12" w:space="0" w:color="FFFFFF"/>
              <w:left w:val="nil"/>
              <w:bottom w:val="nil"/>
              <w:right w:val="single" w:sz="12" w:space="0" w:color="FFFFFF"/>
            </w:tcBorders>
            <w:shd w:val="clear" w:color="000000" w:fill="8DB3E2"/>
            <w:noWrap/>
            <w:vAlign w:val="center"/>
            <w:hideMark/>
          </w:tcPr>
          <w:p w14:paraId="23052186"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Netto k 31.12.20</w:t>
            </w:r>
            <w:r>
              <w:rPr>
                <w:rFonts w:asciiTheme="minorHAnsi" w:hAnsiTheme="minorHAnsi" w:cstheme="minorHAnsi"/>
                <w:b/>
                <w:bCs/>
                <w:sz w:val="20"/>
                <w:szCs w:val="20"/>
                <w:lang w:eastAsia="sk-SK"/>
              </w:rPr>
              <w:t>20</w:t>
            </w:r>
          </w:p>
        </w:tc>
        <w:tc>
          <w:tcPr>
            <w:tcW w:w="2263" w:type="dxa"/>
            <w:tcBorders>
              <w:top w:val="single" w:sz="12" w:space="0" w:color="FFFFFF"/>
              <w:left w:val="nil"/>
              <w:bottom w:val="nil"/>
              <w:right w:val="single" w:sz="12" w:space="0" w:color="FFFFFF"/>
            </w:tcBorders>
            <w:shd w:val="clear" w:color="000000" w:fill="8DB3E2"/>
            <w:noWrap/>
            <w:vAlign w:val="center"/>
            <w:hideMark/>
          </w:tcPr>
          <w:p w14:paraId="16E3CA2E"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Medziročná zmena</w:t>
            </w:r>
          </w:p>
        </w:tc>
      </w:tr>
      <w:tr w:rsidR="0004598E" w:rsidRPr="00094641" w14:paraId="7C7DD33D" w14:textId="77777777" w:rsidTr="0004598E">
        <w:trPr>
          <w:trHeight w:hRule="exact" w:val="260"/>
        </w:trPr>
        <w:tc>
          <w:tcPr>
            <w:tcW w:w="3336" w:type="dxa"/>
            <w:vMerge/>
            <w:tcBorders>
              <w:top w:val="single" w:sz="12" w:space="0" w:color="FFFFFF"/>
              <w:left w:val="single" w:sz="12" w:space="0" w:color="FFFFFF"/>
              <w:bottom w:val="single" w:sz="12" w:space="0" w:color="FFFFFF"/>
              <w:right w:val="single" w:sz="12" w:space="0" w:color="FFFFFF"/>
            </w:tcBorders>
            <w:vAlign w:val="center"/>
            <w:hideMark/>
          </w:tcPr>
          <w:p w14:paraId="347E97F5"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c>
          <w:tcPr>
            <w:tcW w:w="2565" w:type="dxa"/>
            <w:tcBorders>
              <w:top w:val="nil"/>
              <w:left w:val="nil"/>
              <w:bottom w:val="single" w:sz="12" w:space="0" w:color="FFFFFF"/>
              <w:right w:val="single" w:sz="12" w:space="0" w:color="FFFFFF"/>
            </w:tcBorders>
            <w:shd w:val="clear" w:color="000000" w:fill="8DB3E2"/>
            <w:noWrap/>
            <w:vAlign w:val="center"/>
            <w:hideMark/>
          </w:tcPr>
          <w:p w14:paraId="779852F7"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 v EUR</w:t>
            </w:r>
          </w:p>
        </w:tc>
        <w:tc>
          <w:tcPr>
            <w:tcW w:w="2414" w:type="dxa"/>
            <w:tcBorders>
              <w:top w:val="nil"/>
              <w:left w:val="nil"/>
              <w:bottom w:val="single" w:sz="12" w:space="0" w:color="FFFFFF"/>
              <w:right w:val="single" w:sz="12" w:space="0" w:color="FFFFFF"/>
            </w:tcBorders>
            <w:shd w:val="clear" w:color="000000" w:fill="8DB3E2"/>
            <w:noWrap/>
            <w:vAlign w:val="center"/>
            <w:hideMark/>
          </w:tcPr>
          <w:p w14:paraId="29B3BA14"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 v EUR</w:t>
            </w:r>
          </w:p>
        </w:tc>
        <w:tc>
          <w:tcPr>
            <w:tcW w:w="2263" w:type="dxa"/>
            <w:tcBorders>
              <w:top w:val="nil"/>
              <w:left w:val="nil"/>
              <w:bottom w:val="single" w:sz="12" w:space="0" w:color="FFFFFF"/>
              <w:right w:val="single" w:sz="12" w:space="0" w:color="FFFFFF"/>
            </w:tcBorders>
            <w:shd w:val="clear" w:color="000000" w:fill="8DB3E2"/>
            <w:noWrap/>
            <w:vAlign w:val="center"/>
            <w:hideMark/>
          </w:tcPr>
          <w:p w14:paraId="6EF65DEA"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r>
      <w:tr w:rsidR="0004598E" w:rsidRPr="00094641" w14:paraId="57ACC9EF"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8DB3E2"/>
            <w:noWrap/>
            <w:vAlign w:val="center"/>
            <w:hideMark/>
          </w:tcPr>
          <w:p w14:paraId="021DC778"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AKTÍVA</w:t>
            </w:r>
          </w:p>
        </w:tc>
        <w:tc>
          <w:tcPr>
            <w:tcW w:w="2565" w:type="dxa"/>
            <w:tcBorders>
              <w:top w:val="nil"/>
              <w:left w:val="nil"/>
              <w:bottom w:val="single" w:sz="12" w:space="0" w:color="FFFFFF"/>
              <w:right w:val="single" w:sz="12" w:space="0" w:color="FFFFFF"/>
            </w:tcBorders>
            <w:shd w:val="clear" w:color="000000" w:fill="8DB3E2"/>
            <w:noWrap/>
          </w:tcPr>
          <w:p w14:paraId="4B7A0742"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42 174 268,21</w:t>
            </w:r>
          </w:p>
        </w:tc>
        <w:tc>
          <w:tcPr>
            <w:tcW w:w="2414" w:type="dxa"/>
            <w:tcBorders>
              <w:top w:val="nil"/>
              <w:left w:val="nil"/>
              <w:bottom w:val="single" w:sz="12" w:space="0" w:color="FFFFFF"/>
              <w:right w:val="single" w:sz="12" w:space="0" w:color="FFFFFF"/>
            </w:tcBorders>
            <w:shd w:val="clear" w:color="000000" w:fill="8DB3E2"/>
            <w:noWrap/>
          </w:tcPr>
          <w:p w14:paraId="23753F74"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43 845 669,73</w:t>
            </w:r>
          </w:p>
        </w:tc>
        <w:tc>
          <w:tcPr>
            <w:tcW w:w="2263" w:type="dxa"/>
            <w:tcBorders>
              <w:top w:val="nil"/>
              <w:left w:val="nil"/>
              <w:bottom w:val="single" w:sz="12" w:space="0" w:color="FFFFFF"/>
              <w:right w:val="single" w:sz="12" w:space="0" w:color="FFFFFF"/>
            </w:tcBorders>
            <w:shd w:val="clear" w:color="000000" w:fill="8DB3E2"/>
            <w:noWrap/>
          </w:tcPr>
          <w:p w14:paraId="641012C4"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1 671 401,52</w:t>
            </w:r>
          </w:p>
        </w:tc>
      </w:tr>
      <w:tr w:rsidR="0004598E" w:rsidRPr="00094641" w14:paraId="48C2A5A8"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D9D9D9"/>
            <w:noWrap/>
            <w:vAlign w:val="center"/>
            <w:hideMark/>
          </w:tcPr>
          <w:p w14:paraId="1ACBC2C6"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Neobežný majetok</w:t>
            </w:r>
          </w:p>
        </w:tc>
        <w:tc>
          <w:tcPr>
            <w:tcW w:w="2565" w:type="dxa"/>
            <w:tcBorders>
              <w:top w:val="nil"/>
              <w:left w:val="nil"/>
              <w:bottom w:val="single" w:sz="12" w:space="0" w:color="FFFFFF"/>
              <w:right w:val="single" w:sz="12" w:space="0" w:color="FFFFFF"/>
            </w:tcBorders>
            <w:shd w:val="clear" w:color="000000" w:fill="D9D9D9"/>
            <w:noWrap/>
          </w:tcPr>
          <w:p w14:paraId="15FBDD74"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37 357 392,16</w:t>
            </w:r>
          </w:p>
        </w:tc>
        <w:tc>
          <w:tcPr>
            <w:tcW w:w="2414" w:type="dxa"/>
            <w:tcBorders>
              <w:top w:val="nil"/>
              <w:left w:val="nil"/>
              <w:bottom w:val="single" w:sz="12" w:space="0" w:color="FFFFFF"/>
              <w:right w:val="single" w:sz="12" w:space="0" w:color="FFFFFF"/>
            </w:tcBorders>
            <w:shd w:val="clear" w:color="000000" w:fill="D9D9D9"/>
            <w:noWrap/>
          </w:tcPr>
          <w:p w14:paraId="7A6B757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37 866 277,11</w:t>
            </w:r>
          </w:p>
        </w:tc>
        <w:tc>
          <w:tcPr>
            <w:tcW w:w="2263" w:type="dxa"/>
            <w:tcBorders>
              <w:top w:val="nil"/>
              <w:left w:val="nil"/>
              <w:bottom w:val="single" w:sz="12" w:space="0" w:color="FFFFFF"/>
              <w:right w:val="single" w:sz="12" w:space="0" w:color="FFFFFF"/>
            </w:tcBorders>
            <w:shd w:val="clear" w:color="000000" w:fill="D9D9D9"/>
            <w:noWrap/>
          </w:tcPr>
          <w:p w14:paraId="07865DA1"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508 884,95</w:t>
            </w:r>
          </w:p>
        </w:tc>
      </w:tr>
      <w:tr w:rsidR="0004598E" w:rsidRPr="00094641" w14:paraId="484B64B6"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D9D9D9"/>
            <w:noWrap/>
            <w:vAlign w:val="center"/>
            <w:hideMark/>
          </w:tcPr>
          <w:p w14:paraId="6E59F266"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Obežný majetok</w:t>
            </w:r>
          </w:p>
        </w:tc>
        <w:tc>
          <w:tcPr>
            <w:tcW w:w="2565" w:type="dxa"/>
            <w:tcBorders>
              <w:top w:val="nil"/>
              <w:left w:val="nil"/>
              <w:bottom w:val="single" w:sz="12" w:space="0" w:color="FFFFFF"/>
              <w:right w:val="single" w:sz="12" w:space="0" w:color="FFFFFF"/>
            </w:tcBorders>
            <w:shd w:val="clear" w:color="000000" w:fill="D9D9D9"/>
            <w:noWrap/>
          </w:tcPr>
          <w:p w14:paraId="0BB52121"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4 775 481,57</w:t>
            </w:r>
          </w:p>
        </w:tc>
        <w:tc>
          <w:tcPr>
            <w:tcW w:w="2414" w:type="dxa"/>
            <w:tcBorders>
              <w:top w:val="nil"/>
              <w:left w:val="nil"/>
              <w:bottom w:val="single" w:sz="12" w:space="0" w:color="FFFFFF"/>
              <w:right w:val="single" w:sz="12" w:space="0" w:color="FFFFFF"/>
            </w:tcBorders>
            <w:shd w:val="clear" w:color="000000" w:fill="D9D9D9"/>
            <w:noWrap/>
          </w:tcPr>
          <w:p w14:paraId="3EC49C05"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5 938 802,36</w:t>
            </w:r>
          </w:p>
        </w:tc>
        <w:tc>
          <w:tcPr>
            <w:tcW w:w="2263" w:type="dxa"/>
            <w:tcBorders>
              <w:top w:val="nil"/>
              <w:left w:val="nil"/>
              <w:bottom w:val="single" w:sz="12" w:space="0" w:color="FFFFFF"/>
              <w:right w:val="single" w:sz="12" w:space="0" w:color="FFFFFF"/>
            </w:tcBorders>
            <w:shd w:val="clear" w:color="000000" w:fill="D9D9D9"/>
            <w:noWrap/>
          </w:tcPr>
          <w:p w14:paraId="17A24C0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1 163 320,79</w:t>
            </w:r>
          </w:p>
        </w:tc>
      </w:tr>
      <w:tr w:rsidR="0004598E" w:rsidRPr="00094641" w14:paraId="417022C8"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D9D9D9"/>
            <w:noWrap/>
            <w:vAlign w:val="center"/>
            <w:hideMark/>
          </w:tcPr>
          <w:p w14:paraId="0F636E7D"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Časové rozlíšenie</w:t>
            </w:r>
          </w:p>
        </w:tc>
        <w:tc>
          <w:tcPr>
            <w:tcW w:w="2565" w:type="dxa"/>
            <w:tcBorders>
              <w:top w:val="nil"/>
              <w:left w:val="nil"/>
              <w:bottom w:val="single" w:sz="12" w:space="0" w:color="FFFFFF"/>
              <w:right w:val="single" w:sz="12" w:space="0" w:color="FFFFFF"/>
            </w:tcBorders>
            <w:shd w:val="clear" w:color="000000" w:fill="D9D9D9"/>
            <w:noWrap/>
          </w:tcPr>
          <w:p w14:paraId="7492791D"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41 394,48</w:t>
            </w:r>
          </w:p>
        </w:tc>
        <w:tc>
          <w:tcPr>
            <w:tcW w:w="2414" w:type="dxa"/>
            <w:tcBorders>
              <w:top w:val="nil"/>
              <w:left w:val="nil"/>
              <w:bottom w:val="single" w:sz="12" w:space="0" w:color="FFFFFF"/>
              <w:right w:val="single" w:sz="12" w:space="0" w:color="FFFFFF"/>
            </w:tcBorders>
            <w:shd w:val="clear" w:color="000000" w:fill="D9D9D9"/>
            <w:noWrap/>
          </w:tcPr>
          <w:p w14:paraId="323D4738"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40 590,26</w:t>
            </w:r>
          </w:p>
        </w:tc>
        <w:tc>
          <w:tcPr>
            <w:tcW w:w="2263" w:type="dxa"/>
            <w:tcBorders>
              <w:top w:val="nil"/>
              <w:left w:val="nil"/>
              <w:bottom w:val="single" w:sz="12" w:space="0" w:color="FFFFFF"/>
              <w:right w:val="single" w:sz="12" w:space="0" w:color="FFFFFF"/>
            </w:tcBorders>
            <w:shd w:val="clear" w:color="000000" w:fill="D9D9D9"/>
            <w:noWrap/>
          </w:tcPr>
          <w:p w14:paraId="73E20895" w14:textId="77777777" w:rsidR="0004598E" w:rsidRPr="00B520DA" w:rsidRDefault="0004598E" w:rsidP="00222450">
            <w:pPr>
              <w:pStyle w:val="Odsekzoznamu"/>
              <w:spacing w:after="0" w:line="240" w:lineRule="auto"/>
              <w:ind w:left="1080"/>
              <w:rPr>
                <w:rFonts w:asciiTheme="minorHAnsi" w:hAnsiTheme="minorHAnsi" w:cstheme="minorHAnsi"/>
                <w:sz w:val="20"/>
                <w:szCs w:val="20"/>
                <w:lang w:eastAsia="sk-SK"/>
              </w:rPr>
            </w:pPr>
            <w:r>
              <w:rPr>
                <w:rFonts w:asciiTheme="minorHAnsi" w:hAnsiTheme="minorHAnsi" w:cstheme="minorHAnsi"/>
                <w:sz w:val="20"/>
                <w:szCs w:val="20"/>
                <w:lang w:eastAsia="sk-SK"/>
              </w:rPr>
              <w:t xml:space="preserve">      -804,22</w:t>
            </w:r>
          </w:p>
        </w:tc>
      </w:tr>
      <w:tr w:rsidR="0004598E" w:rsidRPr="00094641" w14:paraId="1262CB57"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8DB3E2"/>
            <w:noWrap/>
            <w:vAlign w:val="center"/>
            <w:hideMark/>
          </w:tcPr>
          <w:p w14:paraId="05F326CE"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PASÍVA</w:t>
            </w:r>
          </w:p>
        </w:tc>
        <w:tc>
          <w:tcPr>
            <w:tcW w:w="2565" w:type="dxa"/>
            <w:tcBorders>
              <w:top w:val="nil"/>
              <w:left w:val="nil"/>
              <w:bottom w:val="single" w:sz="12" w:space="0" w:color="FFFFFF"/>
              <w:right w:val="single" w:sz="12" w:space="0" w:color="FFFFFF"/>
            </w:tcBorders>
            <w:shd w:val="clear" w:color="000000" w:fill="8DB3E2"/>
            <w:noWrap/>
          </w:tcPr>
          <w:p w14:paraId="5C245FA3"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42 174 268,21</w:t>
            </w:r>
          </w:p>
        </w:tc>
        <w:tc>
          <w:tcPr>
            <w:tcW w:w="2414" w:type="dxa"/>
            <w:tcBorders>
              <w:top w:val="nil"/>
              <w:left w:val="nil"/>
              <w:bottom w:val="single" w:sz="12" w:space="0" w:color="FFFFFF"/>
              <w:right w:val="single" w:sz="12" w:space="0" w:color="FFFFFF"/>
            </w:tcBorders>
            <w:shd w:val="clear" w:color="000000" w:fill="8DB3E2"/>
            <w:noWrap/>
          </w:tcPr>
          <w:p w14:paraId="7A75CFE5"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43 845 669,73</w:t>
            </w:r>
          </w:p>
        </w:tc>
        <w:tc>
          <w:tcPr>
            <w:tcW w:w="2263" w:type="dxa"/>
            <w:tcBorders>
              <w:top w:val="nil"/>
              <w:left w:val="nil"/>
              <w:bottom w:val="single" w:sz="12" w:space="0" w:color="FFFFFF"/>
              <w:right w:val="single" w:sz="12" w:space="0" w:color="FFFFFF"/>
            </w:tcBorders>
            <w:shd w:val="clear" w:color="000000" w:fill="8DB3E2"/>
            <w:noWrap/>
          </w:tcPr>
          <w:p w14:paraId="14B582AC"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1 671 401,52</w:t>
            </w:r>
          </w:p>
        </w:tc>
      </w:tr>
      <w:tr w:rsidR="0004598E" w:rsidRPr="00094641" w14:paraId="51012C72"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D9D9D9"/>
            <w:noWrap/>
            <w:vAlign w:val="center"/>
            <w:hideMark/>
          </w:tcPr>
          <w:p w14:paraId="731F8DB0"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Vlastné imanie</w:t>
            </w:r>
          </w:p>
        </w:tc>
        <w:tc>
          <w:tcPr>
            <w:tcW w:w="2565" w:type="dxa"/>
            <w:tcBorders>
              <w:top w:val="nil"/>
              <w:left w:val="nil"/>
              <w:bottom w:val="single" w:sz="12" w:space="0" w:color="FFFFFF"/>
              <w:right w:val="single" w:sz="12" w:space="0" w:color="FFFFFF"/>
            </w:tcBorders>
            <w:shd w:val="clear" w:color="000000" w:fill="D9D9D9"/>
            <w:noWrap/>
          </w:tcPr>
          <w:p w14:paraId="1C8B84E9"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2 955 259,19</w:t>
            </w:r>
          </w:p>
        </w:tc>
        <w:tc>
          <w:tcPr>
            <w:tcW w:w="2414" w:type="dxa"/>
            <w:tcBorders>
              <w:top w:val="nil"/>
              <w:left w:val="nil"/>
              <w:bottom w:val="single" w:sz="12" w:space="0" w:color="FFFFFF"/>
              <w:right w:val="single" w:sz="12" w:space="0" w:color="FFFFFF"/>
            </w:tcBorders>
            <w:shd w:val="clear" w:color="000000" w:fill="D9D9D9"/>
            <w:noWrap/>
          </w:tcPr>
          <w:p w14:paraId="2F76AEBF"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3 322 786,02</w:t>
            </w:r>
          </w:p>
        </w:tc>
        <w:tc>
          <w:tcPr>
            <w:tcW w:w="2263" w:type="dxa"/>
            <w:tcBorders>
              <w:top w:val="nil"/>
              <w:left w:val="nil"/>
              <w:bottom w:val="single" w:sz="12" w:space="0" w:color="FFFFFF"/>
              <w:right w:val="single" w:sz="12" w:space="0" w:color="FFFFFF"/>
            </w:tcBorders>
            <w:shd w:val="clear" w:color="000000" w:fill="D9D9D9"/>
            <w:noWrap/>
          </w:tcPr>
          <w:p w14:paraId="771A8F8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367 526,83</w:t>
            </w:r>
          </w:p>
        </w:tc>
      </w:tr>
      <w:tr w:rsidR="0004598E" w:rsidRPr="00094641" w14:paraId="64469AF1"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D9D9D9"/>
            <w:noWrap/>
            <w:vAlign w:val="center"/>
            <w:hideMark/>
          </w:tcPr>
          <w:p w14:paraId="3512FBBD"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Záväzky</w:t>
            </w:r>
          </w:p>
        </w:tc>
        <w:tc>
          <w:tcPr>
            <w:tcW w:w="2565" w:type="dxa"/>
            <w:tcBorders>
              <w:top w:val="nil"/>
              <w:left w:val="nil"/>
              <w:bottom w:val="single" w:sz="12" w:space="0" w:color="FFFFFF"/>
              <w:right w:val="single" w:sz="12" w:space="0" w:color="FFFFFF"/>
            </w:tcBorders>
            <w:shd w:val="clear" w:color="000000" w:fill="D9D9D9"/>
            <w:noWrap/>
          </w:tcPr>
          <w:p w14:paraId="345051D6"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38 882 135,34</w:t>
            </w:r>
          </w:p>
        </w:tc>
        <w:tc>
          <w:tcPr>
            <w:tcW w:w="2414" w:type="dxa"/>
            <w:tcBorders>
              <w:top w:val="nil"/>
              <w:left w:val="nil"/>
              <w:bottom w:val="single" w:sz="12" w:space="0" w:color="FFFFFF"/>
              <w:right w:val="single" w:sz="12" w:space="0" w:color="FFFFFF"/>
            </w:tcBorders>
            <w:shd w:val="clear" w:color="000000" w:fill="D9D9D9"/>
            <w:noWrap/>
          </w:tcPr>
          <w:p w14:paraId="08603FDC"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40 289 575,66</w:t>
            </w:r>
          </w:p>
        </w:tc>
        <w:tc>
          <w:tcPr>
            <w:tcW w:w="2263" w:type="dxa"/>
            <w:tcBorders>
              <w:top w:val="nil"/>
              <w:left w:val="nil"/>
              <w:bottom w:val="single" w:sz="12" w:space="0" w:color="FFFFFF"/>
              <w:right w:val="single" w:sz="12" w:space="0" w:color="FFFFFF"/>
            </w:tcBorders>
            <w:shd w:val="clear" w:color="000000" w:fill="D9D9D9"/>
            <w:noWrap/>
          </w:tcPr>
          <w:p w14:paraId="6F7E887A"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1 407 440,32</w:t>
            </w:r>
          </w:p>
        </w:tc>
      </w:tr>
      <w:tr w:rsidR="0004598E" w:rsidRPr="00094641" w14:paraId="31195B60" w14:textId="77777777" w:rsidTr="0004598E">
        <w:trPr>
          <w:trHeight w:hRule="exact" w:val="327"/>
        </w:trPr>
        <w:tc>
          <w:tcPr>
            <w:tcW w:w="3336" w:type="dxa"/>
            <w:tcBorders>
              <w:top w:val="nil"/>
              <w:left w:val="single" w:sz="12" w:space="0" w:color="FFFFFF"/>
              <w:bottom w:val="single" w:sz="12" w:space="0" w:color="FFFFFF"/>
              <w:right w:val="single" w:sz="12" w:space="0" w:color="FFFFFF"/>
            </w:tcBorders>
            <w:shd w:val="clear" w:color="000000" w:fill="D9D9D9"/>
            <w:noWrap/>
            <w:vAlign w:val="center"/>
            <w:hideMark/>
          </w:tcPr>
          <w:p w14:paraId="03B2FBAD" w14:textId="77777777" w:rsidR="0004598E" w:rsidRPr="00094641" w:rsidRDefault="0004598E" w:rsidP="00222450">
            <w:pPr>
              <w:spacing w:after="0" w:line="240" w:lineRule="auto"/>
              <w:rPr>
                <w:rFonts w:asciiTheme="minorHAnsi" w:hAnsiTheme="minorHAnsi" w:cstheme="minorHAnsi"/>
                <w:sz w:val="20"/>
                <w:szCs w:val="20"/>
                <w:lang w:eastAsia="sk-SK"/>
              </w:rPr>
            </w:pPr>
            <w:r w:rsidRPr="00094641">
              <w:rPr>
                <w:rFonts w:asciiTheme="minorHAnsi" w:hAnsiTheme="minorHAnsi" w:cstheme="minorHAnsi"/>
                <w:sz w:val="20"/>
                <w:szCs w:val="20"/>
                <w:lang w:eastAsia="sk-SK"/>
              </w:rPr>
              <w:t>Časové rozlíšenie</w:t>
            </w:r>
          </w:p>
        </w:tc>
        <w:tc>
          <w:tcPr>
            <w:tcW w:w="2565" w:type="dxa"/>
            <w:tcBorders>
              <w:top w:val="nil"/>
              <w:left w:val="nil"/>
              <w:bottom w:val="single" w:sz="12" w:space="0" w:color="FFFFFF"/>
              <w:right w:val="single" w:sz="12" w:space="0" w:color="FFFFFF"/>
            </w:tcBorders>
            <w:shd w:val="clear" w:color="000000" w:fill="D9D9D9"/>
            <w:noWrap/>
          </w:tcPr>
          <w:p w14:paraId="046DD373"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336 873,68</w:t>
            </w:r>
          </w:p>
        </w:tc>
        <w:tc>
          <w:tcPr>
            <w:tcW w:w="2414" w:type="dxa"/>
            <w:tcBorders>
              <w:top w:val="nil"/>
              <w:left w:val="nil"/>
              <w:bottom w:val="single" w:sz="12" w:space="0" w:color="FFFFFF"/>
              <w:right w:val="single" w:sz="12" w:space="0" w:color="FFFFFF"/>
            </w:tcBorders>
            <w:shd w:val="clear" w:color="000000" w:fill="D9D9D9"/>
            <w:noWrap/>
          </w:tcPr>
          <w:p w14:paraId="04558DB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233 308,05</w:t>
            </w:r>
          </w:p>
        </w:tc>
        <w:tc>
          <w:tcPr>
            <w:tcW w:w="2263" w:type="dxa"/>
            <w:tcBorders>
              <w:top w:val="nil"/>
              <w:left w:val="nil"/>
              <w:bottom w:val="single" w:sz="12" w:space="0" w:color="FFFFFF"/>
              <w:right w:val="single" w:sz="12" w:space="0" w:color="FFFFFF"/>
            </w:tcBorders>
            <w:shd w:val="clear" w:color="000000" w:fill="D9D9D9"/>
            <w:noWrap/>
          </w:tcPr>
          <w:p w14:paraId="612A5C07" w14:textId="77777777" w:rsidR="0004598E" w:rsidRPr="00094641" w:rsidRDefault="0004598E" w:rsidP="00222450">
            <w:pPr>
              <w:spacing w:after="0" w:line="240" w:lineRule="auto"/>
              <w:jc w:val="right"/>
              <w:rPr>
                <w:rFonts w:asciiTheme="minorHAnsi" w:hAnsiTheme="minorHAnsi" w:cstheme="minorHAnsi"/>
                <w:sz w:val="20"/>
                <w:szCs w:val="20"/>
                <w:lang w:eastAsia="sk-SK"/>
              </w:rPr>
            </w:pPr>
            <w:r>
              <w:rPr>
                <w:rFonts w:asciiTheme="minorHAnsi" w:hAnsiTheme="minorHAnsi" w:cstheme="minorHAnsi"/>
                <w:sz w:val="20"/>
                <w:szCs w:val="20"/>
                <w:lang w:eastAsia="sk-SK"/>
              </w:rPr>
              <w:t>-103 565,63</w:t>
            </w:r>
          </w:p>
        </w:tc>
      </w:tr>
    </w:tbl>
    <w:p w14:paraId="34D33BC1" w14:textId="77777777" w:rsidR="0004598E" w:rsidRPr="00094641" w:rsidRDefault="0004598E" w:rsidP="0004598E">
      <w:pPr>
        <w:jc w:val="both"/>
        <w:rPr>
          <w:rFonts w:cs="Calibri"/>
          <w:sz w:val="23"/>
          <w:szCs w:val="23"/>
        </w:rPr>
      </w:pPr>
    </w:p>
    <w:p w14:paraId="35D0A863" w14:textId="77777777" w:rsidR="0004598E" w:rsidRPr="00094641" w:rsidRDefault="0004598E" w:rsidP="0004598E">
      <w:pPr>
        <w:jc w:val="both"/>
        <w:rPr>
          <w:rFonts w:cs="Calibri"/>
          <w:sz w:val="23"/>
          <w:szCs w:val="23"/>
        </w:rPr>
      </w:pPr>
    </w:p>
    <w:p w14:paraId="2ECAF2FD" w14:textId="2200C727" w:rsidR="0004598E" w:rsidRPr="00687C60" w:rsidRDefault="0004598E" w:rsidP="0004598E">
      <w:pPr>
        <w:pStyle w:val="tl1"/>
        <w:numPr>
          <w:ilvl w:val="0"/>
          <w:numId w:val="0"/>
        </w:numPr>
        <w:ind w:left="360"/>
      </w:pPr>
      <w:proofErr w:type="spellStart"/>
      <w:r>
        <w:t>E.</w:t>
      </w:r>
      <w:r w:rsidRPr="00687C60">
        <w:t>Prehľad</w:t>
      </w:r>
      <w:proofErr w:type="spellEnd"/>
      <w:r w:rsidRPr="00687C60">
        <w:t xml:space="preserve"> o záväzkoch a pohľadávkach BSK k 31.12.2020</w:t>
      </w:r>
    </w:p>
    <w:p w14:paraId="3AD88E81" w14:textId="77777777" w:rsidR="0004598E" w:rsidRPr="00094641" w:rsidRDefault="00A711BC" w:rsidP="0004598E">
      <w:pPr>
        <w:spacing w:after="0" w:line="240" w:lineRule="auto"/>
        <w:jc w:val="both"/>
        <w:rPr>
          <w:rFonts w:cs="Arial"/>
          <w:color w:val="FF0000"/>
          <w:sz w:val="24"/>
          <w:szCs w:val="24"/>
          <w:u w:val="single"/>
          <w:lang w:eastAsia="sk-SK"/>
        </w:rPr>
      </w:pPr>
      <w:r>
        <w:pict w14:anchorId="67FA7FD0">
          <v:rect id="_x0000_i1029" style="width:0;height:1.5pt" o:hralign="center" o:hrstd="t" o:hr="t" fillcolor="#a0a0a0" stroked="f"/>
        </w:pict>
      </w:r>
    </w:p>
    <w:p w14:paraId="20DFC65A" w14:textId="77777777" w:rsidR="0004598E" w:rsidRPr="00094641" w:rsidRDefault="0004598E" w:rsidP="0004598E">
      <w:pPr>
        <w:pStyle w:val="tl2"/>
        <w:rPr>
          <w:sz w:val="20"/>
          <w:szCs w:val="20"/>
        </w:rPr>
      </w:pPr>
    </w:p>
    <w:p w14:paraId="43C93C38" w14:textId="77777777" w:rsidR="0004598E" w:rsidRPr="00094641" w:rsidRDefault="0004598E" w:rsidP="0004598E">
      <w:pPr>
        <w:pStyle w:val="tl2"/>
      </w:pPr>
      <w:r w:rsidRPr="00094641">
        <w:t>E</w:t>
      </w:r>
      <w:r w:rsidRPr="000469A7">
        <w:t>.1  Záväzky BSK</w:t>
      </w:r>
      <w:r w:rsidRPr="00094641">
        <w:t xml:space="preserve"> </w:t>
      </w:r>
    </w:p>
    <w:p w14:paraId="1A17FBCD" w14:textId="77777777" w:rsidR="0004598E" w:rsidRPr="00094641" w:rsidRDefault="0004598E" w:rsidP="0004598E">
      <w:pPr>
        <w:spacing w:before="100" w:beforeAutospacing="1" w:after="100" w:afterAutospacing="1" w:line="240" w:lineRule="auto"/>
        <w:jc w:val="both"/>
        <w:rPr>
          <w:sz w:val="24"/>
          <w:szCs w:val="24"/>
          <w:lang w:eastAsia="sk-SK"/>
        </w:rPr>
      </w:pPr>
      <w:r w:rsidRPr="00094641">
        <w:rPr>
          <w:b/>
          <w:sz w:val="24"/>
          <w:szCs w:val="24"/>
          <w:lang w:eastAsia="sk-SK"/>
        </w:rPr>
        <w:t>Záväzky</w:t>
      </w:r>
      <w:r w:rsidRPr="00094641">
        <w:rPr>
          <w:sz w:val="24"/>
          <w:szCs w:val="24"/>
          <w:lang w:eastAsia="sk-SK"/>
        </w:rPr>
        <w:t xml:space="preserve"> možno definovať ako povinnosť uskutočniť plnenie svojho záväzku voči druhej osobe (veriteľovi).  Podľa § 12 postupov účtovania, záväzky účtovnej jednotky sa z časového hľadiska členia na </w:t>
      </w:r>
      <w:r w:rsidRPr="00094641">
        <w:rPr>
          <w:b/>
          <w:sz w:val="24"/>
          <w:szCs w:val="24"/>
          <w:lang w:eastAsia="sk-SK"/>
        </w:rPr>
        <w:t>dlhodobé záväzky</w:t>
      </w:r>
      <w:r w:rsidRPr="00094641">
        <w:rPr>
          <w:sz w:val="24"/>
          <w:szCs w:val="24"/>
          <w:lang w:eastAsia="sk-SK"/>
        </w:rPr>
        <w:t xml:space="preserve"> (doba splatnosti je viac ako 1 rok) a </w:t>
      </w:r>
      <w:r w:rsidRPr="00094641">
        <w:rPr>
          <w:b/>
          <w:sz w:val="24"/>
          <w:szCs w:val="24"/>
          <w:lang w:eastAsia="sk-SK"/>
        </w:rPr>
        <w:t>krátkodobé záväzky</w:t>
      </w:r>
      <w:r w:rsidRPr="00094641">
        <w:rPr>
          <w:sz w:val="24"/>
          <w:szCs w:val="24"/>
          <w:lang w:eastAsia="sk-SK"/>
        </w:rPr>
        <w:t xml:space="preserve"> (doba splatnosti je najviac 1 rok). </w:t>
      </w:r>
    </w:p>
    <w:p w14:paraId="25239794" w14:textId="77777777" w:rsidR="0004598E" w:rsidRPr="00094641" w:rsidRDefault="0004598E" w:rsidP="0004598E">
      <w:pPr>
        <w:spacing w:before="100" w:beforeAutospacing="1" w:after="100" w:afterAutospacing="1" w:line="240" w:lineRule="auto"/>
        <w:jc w:val="both"/>
        <w:rPr>
          <w:b/>
          <w:bCs/>
          <w:sz w:val="24"/>
          <w:szCs w:val="24"/>
          <w:lang w:eastAsia="sk-SK"/>
        </w:rPr>
      </w:pPr>
      <w:r w:rsidRPr="00191BD3">
        <w:rPr>
          <w:b/>
          <w:sz w:val="24"/>
          <w:szCs w:val="24"/>
          <w:lang w:eastAsia="sk-SK"/>
        </w:rPr>
        <w:t xml:space="preserve">BSK vrátane rozpočtových a príspevkových organizácií </w:t>
      </w:r>
      <w:r w:rsidRPr="00191BD3">
        <w:rPr>
          <w:sz w:val="24"/>
          <w:szCs w:val="24"/>
          <w:lang w:eastAsia="sk-SK"/>
        </w:rPr>
        <w:t>vo svojej zriaďovateľskej pôsobnosti eviduje</w:t>
      </w:r>
      <w:r w:rsidRPr="00191BD3">
        <w:rPr>
          <w:b/>
          <w:sz w:val="24"/>
          <w:szCs w:val="24"/>
          <w:lang w:eastAsia="sk-SK"/>
        </w:rPr>
        <w:t xml:space="preserve"> </w:t>
      </w:r>
      <w:r w:rsidRPr="00191BD3">
        <w:rPr>
          <w:sz w:val="24"/>
          <w:szCs w:val="24"/>
          <w:lang w:eastAsia="sk-SK"/>
        </w:rPr>
        <w:t>podľa účtovnej závierky</w:t>
      </w:r>
      <w:r w:rsidRPr="00191BD3">
        <w:rPr>
          <w:b/>
          <w:sz w:val="24"/>
          <w:szCs w:val="24"/>
          <w:lang w:eastAsia="sk-SK"/>
        </w:rPr>
        <w:t xml:space="preserve"> k 31.12.2020  celkovú výšku záväzkov</w:t>
      </w:r>
      <w:r w:rsidRPr="00191BD3">
        <w:rPr>
          <w:sz w:val="24"/>
          <w:szCs w:val="24"/>
          <w:lang w:eastAsia="sk-SK"/>
        </w:rPr>
        <w:t xml:space="preserve"> </w:t>
      </w:r>
      <w:r w:rsidRPr="00191BD3">
        <w:rPr>
          <w:b/>
          <w:sz w:val="24"/>
          <w:szCs w:val="24"/>
          <w:lang w:eastAsia="sk-SK"/>
        </w:rPr>
        <w:t xml:space="preserve">v sume </w:t>
      </w:r>
      <w:r w:rsidRPr="00191BD3">
        <w:rPr>
          <w:b/>
          <w:bCs/>
          <w:sz w:val="24"/>
          <w:szCs w:val="24"/>
          <w:lang w:eastAsia="sk-SK"/>
        </w:rPr>
        <w:t>251</w:t>
      </w:r>
      <w:r>
        <w:rPr>
          <w:b/>
          <w:bCs/>
          <w:sz w:val="24"/>
          <w:szCs w:val="24"/>
          <w:lang w:eastAsia="sk-SK"/>
        </w:rPr>
        <w:t> 170 705,01</w:t>
      </w:r>
      <w:r w:rsidRPr="00191BD3">
        <w:rPr>
          <w:b/>
          <w:bCs/>
          <w:sz w:val="24"/>
          <w:szCs w:val="24"/>
          <w:lang w:eastAsia="sk-SK"/>
        </w:rPr>
        <w:t xml:space="preserve"> EUR, z toho dlhodobé záväzky vo výške </w:t>
      </w:r>
      <w:r w:rsidRPr="008E17C9">
        <w:rPr>
          <w:b/>
          <w:bCs/>
          <w:sz w:val="24"/>
          <w:szCs w:val="24"/>
          <w:lang w:eastAsia="sk-SK"/>
        </w:rPr>
        <w:t>776 831,48 EUR</w:t>
      </w:r>
      <w:r w:rsidRPr="00191BD3">
        <w:rPr>
          <w:b/>
          <w:bCs/>
          <w:sz w:val="24"/>
          <w:szCs w:val="24"/>
          <w:lang w:eastAsia="sk-SK"/>
        </w:rPr>
        <w:t xml:space="preserve">, krátkodobé záväzky vo výške </w:t>
      </w:r>
      <w:r>
        <w:rPr>
          <w:b/>
          <w:bCs/>
          <w:sz w:val="24"/>
          <w:szCs w:val="24"/>
          <w:lang w:eastAsia="sk-SK"/>
        </w:rPr>
        <w:t>13 125 827,51</w:t>
      </w:r>
      <w:r w:rsidRPr="00191BD3">
        <w:rPr>
          <w:b/>
          <w:bCs/>
          <w:sz w:val="24"/>
          <w:szCs w:val="24"/>
          <w:lang w:eastAsia="sk-SK"/>
        </w:rPr>
        <w:t xml:space="preserve"> EUR a bankové úvery v sume 61 351 995,89.</w:t>
      </w:r>
    </w:p>
    <w:p w14:paraId="617AD3C4" w14:textId="77777777" w:rsidR="0004598E" w:rsidRPr="00094641" w:rsidRDefault="0004598E" w:rsidP="0004598E">
      <w:pPr>
        <w:spacing w:before="100" w:beforeAutospacing="1" w:after="100" w:afterAutospacing="1" w:line="240" w:lineRule="auto"/>
        <w:jc w:val="both"/>
        <w:rPr>
          <w:b/>
          <w:sz w:val="24"/>
          <w:szCs w:val="24"/>
          <w:lang w:eastAsia="sk-SK"/>
        </w:rPr>
      </w:pPr>
      <w:r w:rsidRPr="00094641">
        <w:rPr>
          <w:b/>
          <w:bCs/>
          <w:sz w:val="24"/>
          <w:szCs w:val="24"/>
          <w:lang w:eastAsia="sk-SK"/>
        </w:rPr>
        <w:t xml:space="preserve">Zúčtovanie medzi subjektmi verejnej správy </w:t>
      </w:r>
      <w:r w:rsidRPr="00094641">
        <w:rPr>
          <w:bCs/>
          <w:sz w:val="24"/>
          <w:szCs w:val="24"/>
          <w:lang w:eastAsia="sk-SK"/>
        </w:rPr>
        <w:t>tvorí najvyššiu sumu záväzkov</w:t>
      </w:r>
      <w:r w:rsidRPr="00094641">
        <w:rPr>
          <w:b/>
          <w:bCs/>
          <w:sz w:val="24"/>
          <w:szCs w:val="24"/>
          <w:lang w:eastAsia="sk-SK"/>
        </w:rPr>
        <w:t xml:space="preserve">. </w:t>
      </w:r>
      <w:r w:rsidRPr="00094641">
        <w:rPr>
          <w:bCs/>
          <w:sz w:val="24"/>
          <w:szCs w:val="24"/>
          <w:lang w:eastAsia="sk-SK"/>
        </w:rPr>
        <w:t xml:space="preserve">Ide najmä o transfery medzi Bratislavským samosprávnym krajom a jeho rozpočtovými a príspevkovými organizáciami v zriaďovateľskej </w:t>
      </w:r>
      <w:r w:rsidRPr="00094641">
        <w:rPr>
          <w:bCs/>
          <w:sz w:val="24"/>
          <w:szCs w:val="24"/>
          <w:lang w:eastAsia="sk-SK"/>
        </w:rPr>
        <w:lastRenderedPageBreak/>
        <w:t>pôsobnosti (ďalej len „</w:t>
      </w:r>
      <w:proofErr w:type="spellStart"/>
      <w:r w:rsidRPr="00094641">
        <w:rPr>
          <w:bCs/>
          <w:sz w:val="24"/>
          <w:szCs w:val="24"/>
          <w:lang w:eastAsia="sk-SK"/>
        </w:rPr>
        <w:t>OvZP</w:t>
      </w:r>
      <w:proofErr w:type="spellEnd"/>
      <w:r w:rsidRPr="00094641">
        <w:rPr>
          <w:bCs/>
          <w:sz w:val="24"/>
          <w:szCs w:val="24"/>
          <w:lang w:eastAsia="sk-SK"/>
        </w:rPr>
        <w:t xml:space="preserve">), transfery zo štátneho rozpočtu a transfery z rozpočtu orgánov samosprávy pre účely Bratislavského samosprávneho kraja a jeho </w:t>
      </w:r>
      <w:proofErr w:type="spellStart"/>
      <w:r w:rsidRPr="00094641">
        <w:rPr>
          <w:bCs/>
          <w:sz w:val="24"/>
          <w:szCs w:val="24"/>
          <w:lang w:eastAsia="sk-SK"/>
        </w:rPr>
        <w:t>OvZP</w:t>
      </w:r>
      <w:proofErr w:type="spellEnd"/>
      <w:r w:rsidRPr="00094641">
        <w:rPr>
          <w:bCs/>
          <w:sz w:val="24"/>
          <w:szCs w:val="24"/>
          <w:lang w:eastAsia="sk-SK"/>
        </w:rPr>
        <w:t>.</w:t>
      </w:r>
      <w:r w:rsidRPr="00094641">
        <w:rPr>
          <w:b/>
          <w:sz w:val="24"/>
          <w:szCs w:val="24"/>
          <w:lang w:eastAsia="sk-SK"/>
        </w:rPr>
        <w:t xml:space="preserve"> </w:t>
      </w:r>
      <w:r w:rsidRPr="00094641">
        <w:rPr>
          <w:bCs/>
          <w:sz w:val="24"/>
          <w:szCs w:val="24"/>
          <w:lang w:eastAsia="sk-SK"/>
        </w:rPr>
        <w:t xml:space="preserve">Jednou z foriem záväzkov sú </w:t>
      </w:r>
      <w:r w:rsidRPr="00094641">
        <w:rPr>
          <w:b/>
          <w:bCs/>
          <w:sz w:val="24"/>
          <w:szCs w:val="24"/>
          <w:lang w:eastAsia="sk-SK"/>
        </w:rPr>
        <w:t>rezervy</w:t>
      </w:r>
      <w:r w:rsidRPr="00094641">
        <w:rPr>
          <w:bCs/>
          <w:sz w:val="24"/>
          <w:szCs w:val="24"/>
          <w:lang w:eastAsia="sk-SK"/>
        </w:rPr>
        <w:t>. Možno ich charakterizovať ako záväzky s neistým časovým vymedzením alebo výškou, avšak účel ich použitia je známy, tvoria sa na základe kvalifikovaného odhadu.</w:t>
      </w:r>
    </w:p>
    <w:tbl>
      <w:tblPr>
        <w:tblW w:w="10526" w:type="dxa"/>
        <w:tblInd w:w="55" w:type="dxa"/>
        <w:tblCellMar>
          <w:left w:w="70" w:type="dxa"/>
          <w:right w:w="70" w:type="dxa"/>
        </w:tblCellMar>
        <w:tblLook w:val="04A0" w:firstRow="1" w:lastRow="0" w:firstColumn="1" w:lastColumn="0" w:noHBand="0" w:noVBand="1"/>
      </w:tblPr>
      <w:tblGrid>
        <w:gridCol w:w="3706"/>
        <w:gridCol w:w="2444"/>
        <w:gridCol w:w="2301"/>
        <w:gridCol w:w="2075"/>
      </w:tblGrid>
      <w:tr w:rsidR="0004598E" w:rsidRPr="00094641" w14:paraId="3BCBD307" w14:textId="77777777" w:rsidTr="0004598E">
        <w:trPr>
          <w:trHeight w:hRule="exact" w:val="514"/>
        </w:trPr>
        <w:tc>
          <w:tcPr>
            <w:tcW w:w="3706" w:type="dxa"/>
            <w:tcBorders>
              <w:top w:val="single" w:sz="12" w:space="0" w:color="FFFFFF"/>
              <w:left w:val="single" w:sz="12" w:space="0" w:color="FFFFFF"/>
              <w:bottom w:val="nil"/>
              <w:right w:val="single" w:sz="12" w:space="0" w:color="FFFFFF"/>
            </w:tcBorders>
            <w:shd w:val="clear" w:color="000000" w:fill="8DB3E2"/>
            <w:vAlign w:val="center"/>
            <w:hideMark/>
          </w:tcPr>
          <w:p w14:paraId="401AFF96"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PREHĽAD ZÁVÄZKOV RO a PO </w:t>
            </w:r>
          </w:p>
        </w:tc>
        <w:tc>
          <w:tcPr>
            <w:tcW w:w="2444" w:type="dxa"/>
            <w:tcBorders>
              <w:top w:val="single" w:sz="12" w:space="0" w:color="FFFFFF"/>
              <w:left w:val="nil"/>
              <w:bottom w:val="nil"/>
              <w:right w:val="single" w:sz="12" w:space="0" w:color="FFFFFF"/>
            </w:tcBorders>
            <w:shd w:val="clear" w:color="000000" w:fill="8DB3E2"/>
            <w:noWrap/>
            <w:vAlign w:val="center"/>
            <w:hideMark/>
          </w:tcPr>
          <w:p w14:paraId="66CC0138"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p>
        </w:tc>
        <w:tc>
          <w:tcPr>
            <w:tcW w:w="2301" w:type="dxa"/>
            <w:tcBorders>
              <w:top w:val="single" w:sz="12" w:space="0" w:color="FFFFFF"/>
              <w:left w:val="nil"/>
              <w:bottom w:val="nil"/>
              <w:right w:val="single" w:sz="12" w:space="0" w:color="FFFFFF"/>
            </w:tcBorders>
            <w:shd w:val="clear" w:color="000000" w:fill="8DB3E2"/>
            <w:noWrap/>
            <w:vAlign w:val="center"/>
            <w:hideMark/>
          </w:tcPr>
          <w:p w14:paraId="3B57B87B"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075" w:type="dxa"/>
            <w:tcBorders>
              <w:top w:val="single" w:sz="12" w:space="0" w:color="FFFFFF"/>
              <w:left w:val="nil"/>
              <w:bottom w:val="nil"/>
              <w:right w:val="single" w:sz="12" w:space="0" w:color="FFFFFF"/>
            </w:tcBorders>
            <w:shd w:val="clear" w:color="000000" w:fill="8DB3E2"/>
            <w:noWrap/>
            <w:vAlign w:val="center"/>
            <w:hideMark/>
          </w:tcPr>
          <w:p w14:paraId="2F4D192E"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04748633" w14:textId="77777777" w:rsidTr="0004598E">
        <w:trPr>
          <w:trHeight w:hRule="exact" w:val="470"/>
        </w:trPr>
        <w:tc>
          <w:tcPr>
            <w:tcW w:w="3706" w:type="dxa"/>
            <w:tcBorders>
              <w:top w:val="nil"/>
              <w:left w:val="single" w:sz="12" w:space="0" w:color="FFFFFF"/>
              <w:bottom w:val="single" w:sz="12" w:space="0" w:color="FFFFFF"/>
              <w:right w:val="single" w:sz="12" w:space="0" w:color="FFFFFF"/>
            </w:tcBorders>
            <w:shd w:val="clear" w:color="000000" w:fill="8DB3E2"/>
            <w:vAlign w:val="center"/>
            <w:hideMark/>
          </w:tcPr>
          <w:p w14:paraId="156B7ACD"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v zriaďovateľskej  pôsobnosti BSK vrátane Úradu BSK  </w:t>
            </w:r>
          </w:p>
        </w:tc>
        <w:tc>
          <w:tcPr>
            <w:tcW w:w="2444" w:type="dxa"/>
            <w:tcBorders>
              <w:top w:val="nil"/>
              <w:left w:val="nil"/>
              <w:bottom w:val="single" w:sz="12" w:space="0" w:color="FFFFFF"/>
              <w:right w:val="single" w:sz="12" w:space="0" w:color="FFFFFF"/>
            </w:tcBorders>
            <w:shd w:val="clear" w:color="000000" w:fill="8DB3E2"/>
            <w:noWrap/>
            <w:vAlign w:val="center"/>
            <w:hideMark/>
          </w:tcPr>
          <w:p w14:paraId="5752DA58"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301" w:type="dxa"/>
            <w:tcBorders>
              <w:top w:val="nil"/>
              <w:left w:val="nil"/>
              <w:bottom w:val="single" w:sz="12" w:space="0" w:color="FFFFFF"/>
              <w:right w:val="single" w:sz="12" w:space="0" w:color="FFFFFF"/>
            </w:tcBorders>
            <w:shd w:val="clear" w:color="000000" w:fill="8DB3E2"/>
            <w:noWrap/>
            <w:vAlign w:val="center"/>
            <w:hideMark/>
          </w:tcPr>
          <w:p w14:paraId="208F53F0"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075" w:type="dxa"/>
            <w:tcBorders>
              <w:top w:val="nil"/>
              <w:left w:val="nil"/>
              <w:bottom w:val="single" w:sz="12" w:space="0" w:color="FFFFFF"/>
              <w:right w:val="single" w:sz="12" w:space="0" w:color="FFFFFF"/>
            </w:tcBorders>
            <w:shd w:val="clear" w:color="000000" w:fill="8DB3E2"/>
            <w:noWrap/>
            <w:vAlign w:val="center"/>
            <w:hideMark/>
          </w:tcPr>
          <w:p w14:paraId="3593DC3B"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315C77B4" w14:textId="77777777" w:rsidTr="0004598E">
        <w:trPr>
          <w:trHeight w:hRule="exact" w:val="296"/>
        </w:trPr>
        <w:tc>
          <w:tcPr>
            <w:tcW w:w="3706" w:type="dxa"/>
            <w:tcBorders>
              <w:top w:val="nil"/>
              <w:left w:val="single" w:sz="12" w:space="0" w:color="FFFFFF"/>
              <w:bottom w:val="single" w:sz="12" w:space="0" w:color="FFFFFF"/>
              <w:right w:val="single" w:sz="12" w:space="0" w:color="FFFFFF"/>
            </w:tcBorders>
            <w:shd w:val="clear" w:color="000000" w:fill="808080"/>
            <w:vAlign w:val="center"/>
            <w:hideMark/>
          </w:tcPr>
          <w:p w14:paraId="054CFFF0"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Záväzky  celkom</w:t>
            </w:r>
          </w:p>
        </w:tc>
        <w:tc>
          <w:tcPr>
            <w:tcW w:w="2444" w:type="dxa"/>
            <w:tcBorders>
              <w:top w:val="nil"/>
              <w:left w:val="nil"/>
              <w:bottom w:val="single" w:sz="12" w:space="0" w:color="FFFFFF"/>
              <w:right w:val="single" w:sz="12" w:space="0" w:color="FFFFFF"/>
            </w:tcBorders>
            <w:shd w:val="clear" w:color="000000" w:fill="808080"/>
            <w:noWrap/>
          </w:tcPr>
          <w:p w14:paraId="76035082"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233 686 104,23</w:t>
            </w:r>
          </w:p>
        </w:tc>
        <w:tc>
          <w:tcPr>
            <w:tcW w:w="2301" w:type="dxa"/>
            <w:tcBorders>
              <w:top w:val="nil"/>
              <w:left w:val="nil"/>
              <w:bottom w:val="single" w:sz="12" w:space="0" w:color="FFFFFF"/>
              <w:right w:val="single" w:sz="12" w:space="0" w:color="FFFFFF"/>
            </w:tcBorders>
            <w:shd w:val="clear" w:color="000000" w:fill="808080"/>
            <w:noWrap/>
          </w:tcPr>
          <w:p w14:paraId="78347F83"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251 170 705,01</w:t>
            </w:r>
          </w:p>
        </w:tc>
        <w:tc>
          <w:tcPr>
            <w:tcW w:w="2075" w:type="dxa"/>
            <w:tcBorders>
              <w:top w:val="nil"/>
              <w:left w:val="nil"/>
              <w:bottom w:val="single" w:sz="12" w:space="0" w:color="FFFFFF"/>
              <w:right w:val="single" w:sz="12" w:space="0" w:color="FFFFFF"/>
            </w:tcBorders>
            <w:shd w:val="clear" w:color="000000" w:fill="808080"/>
            <w:noWrap/>
          </w:tcPr>
          <w:p w14:paraId="110CC133"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17 484 600,78</w:t>
            </w:r>
          </w:p>
        </w:tc>
      </w:tr>
      <w:tr w:rsidR="0004598E" w:rsidRPr="00094641" w14:paraId="6BF06BA3" w14:textId="77777777" w:rsidTr="0004598E">
        <w:trPr>
          <w:trHeight w:hRule="exact" w:val="296"/>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4368F461"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444" w:type="dxa"/>
            <w:tcBorders>
              <w:top w:val="nil"/>
              <w:left w:val="nil"/>
              <w:bottom w:val="single" w:sz="12" w:space="0" w:color="FFFFFF"/>
              <w:right w:val="single" w:sz="12" w:space="0" w:color="FFFFFF"/>
            </w:tcBorders>
            <w:shd w:val="clear" w:color="000000" w:fill="D9D9D9"/>
            <w:noWrap/>
          </w:tcPr>
          <w:p w14:paraId="2C740BB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2 615 406,92</w:t>
            </w:r>
          </w:p>
        </w:tc>
        <w:tc>
          <w:tcPr>
            <w:tcW w:w="2301" w:type="dxa"/>
            <w:tcBorders>
              <w:top w:val="nil"/>
              <w:left w:val="nil"/>
              <w:bottom w:val="single" w:sz="12" w:space="0" w:color="FFFFFF"/>
              <w:right w:val="single" w:sz="12" w:space="0" w:color="FFFFFF"/>
            </w:tcBorders>
            <w:shd w:val="clear" w:color="000000" w:fill="D9D9D9"/>
            <w:noWrap/>
          </w:tcPr>
          <w:p w14:paraId="7AF293E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4 999 840,62</w:t>
            </w:r>
          </w:p>
        </w:tc>
        <w:tc>
          <w:tcPr>
            <w:tcW w:w="2075" w:type="dxa"/>
            <w:tcBorders>
              <w:top w:val="nil"/>
              <w:left w:val="nil"/>
              <w:bottom w:val="single" w:sz="12" w:space="0" w:color="FFFFFF"/>
              <w:right w:val="single" w:sz="12" w:space="0" w:color="FFFFFF"/>
            </w:tcBorders>
            <w:shd w:val="clear" w:color="000000" w:fill="D9D9D9"/>
            <w:noWrap/>
          </w:tcPr>
          <w:p w14:paraId="472184C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2 384 433,70</w:t>
            </w:r>
          </w:p>
        </w:tc>
      </w:tr>
      <w:tr w:rsidR="0004598E" w:rsidRPr="00094641" w14:paraId="6227DEF7" w14:textId="77777777" w:rsidTr="0004598E">
        <w:trPr>
          <w:trHeight w:hRule="exact" w:val="296"/>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015E2AC7"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Zúčtovanie medzi subjektmi VS </w:t>
            </w:r>
          </w:p>
        </w:tc>
        <w:tc>
          <w:tcPr>
            <w:tcW w:w="2444" w:type="dxa"/>
            <w:tcBorders>
              <w:top w:val="nil"/>
              <w:left w:val="nil"/>
              <w:bottom w:val="single" w:sz="12" w:space="0" w:color="FFFFFF"/>
              <w:right w:val="single" w:sz="12" w:space="0" w:color="FFFFFF"/>
            </w:tcBorders>
            <w:shd w:val="clear" w:color="000000" w:fill="D9D9D9"/>
            <w:noWrap/>
          </w:tcPr>
          <w:p w14:paraId="149BD0C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167 167 539,42</w:t>
            </w:r>
          </w:p>
        </w:tc>
        <w:tc>
          <w:tcPr>
            <w:tcW w:w="2301" w:type="dxa"/>
            <w:tcBorders>
              <w:top w:val="nil"/>
              <w:left w:val="nil"/>
              <w:bottom w:val="single" w:sz="12" w:space="0" w:color="FFFFFF"/>
              <w:right w:val="single" w:sz="12" w:space="0" w:color="FFFFFF"/>
            </w:tcBorders>
            <w:shd w:val="clear" w:color="000000" w:fill="D9D9D9"/>
            <w:noWrap/>
          </w:tcPr>
          <w:p w14:paraId="38A492B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170 916 209,51</w:t>
            </w:r>
          </w:p>
        </w:tc>
        <w:tc>
          <w:tcPr>
            <w:tcW w:w="2075" w:type="dxa"/>
            <w:tcBorders>
              <w:top w:val="nil"/>
              <w:left w:val="nil"/>
              <w:bottom w:val="single" w:sz="12" w:space="0" w:color="FFFFFF"/>
              <w:right w:val="single" w:sz="12" w:space="0" w:color="FFFFFF"/>
            </w:tcBorders>
            <w:shd w:val="clear" w:color="000000" w:fill="D9D9D9"/>
            <w:noWrap/>
          </w:tcPr>
          <w:p w14:paraId="1C9D85E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3 748 670,09</w:t>
            </w:r>
          </w:p>
        </w:tc>
      </w:tr>
      <w:tr w:rsidR="0004598E" w:rsidRPr="00094641" w14:paraId="7FBEB038" w14:textId="77777777" w:rsidTr="0004598E">
        <w:trPr>
          <w:trHeight w:hRule="exact" w:val="296"/>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2EA18BF6"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444" w:type="dxa"/>
            <w:tcBorders>
              <w:top w:val="nil"/>
              <w:left w:val="nil"/>
              <w:bottom w:val="single" w:sz="12" w:space="0" w:color="FFFFFF"/>
              <w:right w:val="single" w:sz="12" w:space="0" w:color="FFFFFF"/>
            </w:tcBorders>
            <w:shd w:val="clear" w:color="000000" w:fill="D9D9D9"/>
            <w:noWrap/>
          </w:tcPr>
          <w:p w14:paraId="06833B3B"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639 442,71</w:t>
            </w:r>
          </w:p>
        </w:tc>
        <w:tc>
          <w:tcPr>
            <w:tcW w:w="2301" w:type="dxa"/>
            <w:tcBorders>
              <w:top w:val="nil"/>
              <w:left w:val="nil"/>
              <w:bottom w:val="single" w:sz="12" w:space="0" w:color="FFFFFF"/>
              <w:right w:val="single" w:sz="12" w:space="0" w:color="FFFFFF"/>
            </w:tcBorders>
            <w:shd w:val="clear" w:color="000000" w:fill="D9D9D9"/>
            <w:noWrap/>
          </w:tcPr>
          <w:p w14:paraId="7383F842"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776 831,48</w:t>
            </w:r>
          </w:p>
        </w:tc>
        <w:tc>
          <w:tcPr>
            <w:tcW w:w="2075" w:type="dxa"/>
            <w:tcBorders>
              <w:top w:val="nil"/>
              <w:left w:val="nil"/>
              <w:bottom w:val="single" w:sz="12" w:space="0" w:color="FFFFFF"/>
              <w:right w:val="single" w:sz="12" w:space="0" w:color="FFFFFF"/>
            </w:tcBorders>
            <w:shd w:val="clear" w:color="000000" w:fill="D9D9D9"/>
            <w:noWrap/>
          </w:tcPr>
          <w:p w14:paraId="28D7F42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137 388,77</w:t>
            </w:r>
          </w:p>
        </w:tc>
      </w:tr>
      <w:tr w:rsidR="0004598E" w:rsidRPr="00094641" w14:paraId="66A2641C" w14:textId="77777777" w:rsidTr="0004598E">
        <w:trPr>
          <w:trHeight w:hRule="exact" w:val="296"/>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517B40B0"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444" w:type="dxa"/>
            <w:tcBorders>
              <w:top w:val="nil"/>
              <w:left w:val="nil"/>
              <w:bottom w:val="single" w:sz="12" w:space="0" w:color="FFFFFF"/>
              <w:right w:val="single" w:sz="12" w:space="0" w:color="FFFFFF"/>
            </w:tcBorders>
            <w:shd w:val="clear" w:color="000000" w:fill="D9D9D9"/>
            <w:noWrap/>
          </w:tcPr>
          <w:p w14:paraId="006D92F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9 682 901,83</w:t>
            </w:r>
          </w:p>
        </w:tc>
        <w:tc>
          <w:tcPr>
            <w:tcW w:w="2301" w:type="dxa"/>
            <w:tcBorders>
              <w:top w:val="nil"/>
              <w:left w:val="nil"/>
              <w:bottom w:val="single" w:sz="12" w:space="0" w:color="FFFFFF"/>
              <w:right w:val="single" w:sz="12" w:space="0" w:color="FFFFFF"/>
            </w:tcBorders>
            <w:shd w:val="clear" w:color="000000" w:fill="D9D9D9"/>
            <w:noWrap/>
          </w:tcPr>
          <w:p w14:paraId="06AB6D84"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13 125 827,51</w:t>
            </w:r>
          </w:p>
        </w:tc>
        <w:tc>
          <w:tcPr>
            <w:tcW w:w="2075" w:type="dxa"/>
            <w:tcBorders>
              <w:top w:val="nil"/>
              <w:left w:val="nil"/>
              <w:bottom w:val="single" w:sz="12" w:space="0" w:color="FFFFFF"/>
              <w:right w:val="single" w:sz="12" w:space="0" w:color="FFFFFF"/>
            </w:tcBorders>
            <w:shd w:val="clear" w:color="000000" w:fill="D9D9D9"/>
            <w:noWrap/>
          </w:tcPr>
          <w:p w14:paraId="7995106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3 442 925,68</w:t>
            </w:r>
          </w:p>
        </w:tc>
      </w:tr>
      <w:tr w:rsidR="0004598E" w:rsidRPr="00094641" w14:paraId="019DDBEA" w14:textId="77777777" w:rsidTr="0004598E">
        <w:trPr>
          <w:trHeight w:hRule="exact" w:val="296"/>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7EE78552"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Bankové úvery a výpomoci</w:t>
            </w:r>
          </w:p>
        </w:tc>
        <w:tc>
          <w:tcPr>
            <w:tcW w:w="2444" w:type="dxa"/>
            <w:tcBorders>
              <w:top w:val="nil"/>
              <w:left w:val="nil"/>
              <w:bottom w:val="single" w:sz="12" w:space="0" w:color="FFFFFF"/>
              <w:right w:val="single" w:sz="12" w:space="0" w:color="FFFFFF"/>
            </w:tcBorders>
            <w:shd w:val="clear" w:color="000000" w:fill="D9D9D9"/>
            <w:noWrap/>
          </w:tcPr>
          <w:p w14:paraId="12F2A45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53 580 813,35</w:t>
            </w:r>
          </w:p>
        </w:tc>
        <w:tc>
          <w:tcPr>
            <w:tcW w:w="2301" w:type="dxa"/>
            <w:tcBorders>
              <w:top w:val="nil"/>
              <w:left w:val="nil"/>
              <w:bottom w:val="single" w:sz="12" w:space="0" w:color="FFFFFF"/>
              <w:right w:val="single" w:sz="12" w:space="0" w:color="FFFFFF"/>
            </w:tcBorders>
            <w:shd w:val="clear" w:color="000000" w:fill="D9D9D9"/>
            <w:noWrap/>
          </w:tcPr>
          <w:p w14:paraId="019823C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61 351 995,89</w:t>
            </w:r>
          </w:p>
        </w:tc>
        <w:tc>
          <w:tcPr>
            <w:tcW w:w="2075" w:type="dxa"/>
            <w:tcBorders>
              <w:top w:val="nil"/>
              <w:left w:val="nil"/>
              <w:bottom w:val="single" w:sz="12" w:space="0" w:color="FFFFFF"/>
              <w:right w:val="single" w:sz="12" w:space="0" w:color="FFFFFF"/>
            </w:tcBorders>
            <w:shd w:val="clear" w:color="000000" w:fill="D9D9D9"/>
            <w:noWrap/>
          </w:tcPr>
          <w:p w14:paraId="44A178A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7 771 182,54</w:t>
            </w:r>
          </w:p>
        </w:tc>
      </w:tr>
    </w:tbl>
    <w:p w14:paraId="200A3EA8" w14:textId="77777777" w:rsidR="0004598E" w:rsidRPr="00094641" w:rsidRDefault="0004598E" w:rsidP="0004598E">
      <w:pPr>
        <w:pStyle w:val="tl3"/>
        <w:ind w:firstLine="0"/>
        <w:rPr>
          <w:rFonts w:cs="Times New Roman"/>
          <w:bCs/>
          <w:i w:val="0"/>
          <w:sz w:val="18"/>
          <w:szCs w:val="18"/>
          <w:lang w:eastAsia="sk-SK"/>
        </w:rPr>
      </w:pPr>
    </w:p>
    <w:p w14:paraId="441271AC" w14:textId="77777777" w:rsidR="0004598E" w:rsidRPr="00094641" w:rsidRDefault="0004598E" w:rsidP="0004598E">
      <w:pPr>
        <w:pStyle w:val="tl3"/>
      </w:pPr>
      <w:r w:rsidRPr="00094641">
        <w:t>E.1.</w:t>
      </w:r>
      <w:r w:rsidRPr="00AA44BC">
        <w:t>1 Rozpočtové organizácie BSK</w:t>
      </w:r>
    </w:p>
    <w:p w14:paraId="129FB322" w14:textId="77777777" w:rsidR="0004598E" w:rsidRPr="00094641" w:rsidRDefault="0004598E" w:rsidP="0004598E">
      <w:pPr>
        <w:spacing w:before="100" w:beforeAutospacing="1" w:after="100" w:afterAutospacing="1" w:line="240" w:lineRule="auto"/>
        <w:jc w:val="both"/>
        <w:rPr>
          <w:sz w:val="24"/>
          <w:szCs w:val="24"/>
          <w:lang w:eastAsia="sk-SK"/>
        </w:rPr>
      </w:pPr>
      <w:r w:rsidRPr="00094641">
        <w:rPr>
          <w:b/>
          <w:sz w:val="24"/>
          <w:szCs w:val="24"/>
          <w:lang w:eastAsia="sk-SK"/>
        </w:rPr>
        <w:t xml:space="preserve">Celková výška záväzkov rozpočtových organizácií vrátane Úradu BSK </w:t>
      </w:r>
      <w:r w:rsidRPr="00094641">
        <w:rPr>
          <w:sz w:val="24"/>
          <w:szCs w:val="24"/>
          <w:lang w:eastAsia="sk-SK"/>
        </w:rPr>
        <w:t xml:space="preserve">podľa účtovnej závierky zostavenej </w:t>
      </w:r>
      <w:r w:rsidRPr="00094641">
        <w:rPr>
          <w:b/>
          <w:sz w:val="24"/>
          <w:szCs w:val="24"/>
          <w:lang w:eastAsia="sk-SK"/>
        </w:rPr>
        <w:t>k 31.12.20</w:t>
      </w:r>
      <w:r>
        <w:rPr>
          <w:b/>
          <w:sz w:val="24"/>
          <w:szCs w:val="24"/>
          <w:lang w:eastAsia="sk-SK"/>
        </w:rPr>
        <w:t>20</w:t>
      </w:r>
      <w:r w:rsidRPr="00094641">
        <w:rPr>
          <w:sz w:val="24"/>
          <w:szCs w:val="24"/>
          <w:lang w:eastAsia="sk-SK"/>
        </w:rPr>
        <w:t xml:space="preserve"> predstavovala sumu </w:t>
      </w:r>
      <w:r>
        <w:rPr>
          <w:b/>
          <w:bCs/>
          <w:sz w:val="24"/>
          <w:szCs w:val="24"/>
          <w:lang w:eastAsia="sk-SK"/>
        </w:rPr>
        <w:t>210 881 129,35</w:t>
      </w:r>
      <w:r w:rsidRPr="00094641">
        <w:rPr>
          <w:b/>
          <w:sz w:val="24"/>
          <w:szCs w:val="24"/>
          <w:lang w:eastAsia="sk-SK"/>
        </w:rPr>
        <w:t xml:space="preserve"> EUR</w:t>
      </w:r>
      <w:r w:rsidRPr="00094641">
        <w:rPr>
          <w:sz w:val="24"/>
          <w:szCs w:val="24"/>
          <w:lang w:eastAsia="sk-SK"/>
        </w:rPr>
        <w:t xml:space="preserve">. </w:t>
      </w:r>
      <w:r w:rsidRPr="00094641">
        <w:rPr>
          <w:bCs/>
          <w:sz w:val="24"/>
          <w:szCs w:val="24"/>
          <w:lang w:eastAsia="sk-SK"/>
        </w:rPr>
        <w:t xml:space="preserve"> </w:t>
      </w:r>
    </w:p>
    <w:tbl>
      <w:tblPr>
        <w:tblW w:w="10512" w:type="dxa"/>
        <w:tblInd w:w="55" w:type="dxa"/>
        <w:tblCellMar>
          <w:left w:w="70" w:type="dxa"/>
          <w:right w:w="70" w:type="dxa"/>
        </w:tblCellMar>
        <w:tblLook w:val="04A0" w:firstRow="1" w:lastRow="0" w:firstColumn="1" w:lastColumn="0" w:noHBand="0" w:noVBand="1"/>
      </w:tblPr>
      <w:tblGrid>
        <w:gridCol w:w="3702"/>
        <w:gridCol w:w="2112"/>
        <w:gridCol w:w="2586"/>
        <w:gridCol w:w="2112"/>
      </w:tblGrid>
      <w:tr w:rsidR="0004598E" w:rsidRPr="00094641" w14:paraId="2E280BC8" w14:textId="77777777" w:rsidTr="0004598E">
        <w:trPr>
          <w:trHeight w:hRule="exact" w:val="524"/>
        </w:trPr>
        <w:tc>
          <w:tcPr>
            <w:tcW w:w="3702" w:type="dxa"/>
            <w:tcBorders>
              <w:top w:val="single" w:sz="12" w:space="0" w:color="FFFFFF"/>
              <w:left w:val="single" w:sz="12" w:space="0" w:color="FFFFFF"/>
              <w:bottom w:val="nil"/>
              <w:right w:val="single" w:sz="12" w:space="0" w:color="FFFFFF"/>
            </w:tcBorders>
            <w:shd w:val="clear" w:color="000000" w:fill="8DB3E2"/>
            <w:vAlign w:val="center"/>
            <w:hideMark/>
          </w:tcPr>
          <w:p w14:paraId="13A7E0D8"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PREHĽAD ZÁVÄZKOV RO </w:t>
            </w:r>
          </w:p>
        </w:tc>
        <w:tc>
          <w:tcPr>
            <w:tcW w:w="2112" w:type="dxa"/>
            <w:tcBorders>
              <w:top w:val="single" w:sz="12" w:space="0" w:color="FFFFFF"/>
              <w:left w:val="nil"/>
              <w:bottom w:val="nil"/>
              <w:right w:val="single" w:sz="12" w:space="0" w:color="FFFFFF"/>
            </w:tcBorders>
            <w:shd w:val="clear" w:color="000000" w:fill="8DB3E2"/>
            <w:noWrap/>
            <w:vAlign w:val="center"/>
            <w:hideMark/>
          </w:tcPr>
          <w:p w14:paraId="2A696881"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p>
        </w:tc>
        <w:tc>
          <w:tcPr>
            <w:tcW w:w="2586" w:type="dxa"/>
            <w:tcBorders>
              <w:top w:val="single" w:sz="12" w:space="0" w:color="FFFFFF"/>
              <w:left w:val="nil"/>
              <w:bottom w:val="nil"/>
              <w:right w:val="single" w:sz="12" w:space="0" w:color="FFFFFF"/>
            </w:tcBorders>
            <w:shd w:val="clear" w:color="000000" w:fill="8DB3E2"/>
            <w:noWrap/>
            <w:vAlign w:val="center"/>
            <w:hideMark/>
          </w:tcPr>
          <w:p w14:paraId="28DAF2E2"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112" w:type="dxa"/>
            <w:tcBorders>
              <w:top w:val="single" w:sz="12" w:space="0" w:color="FFFFFF"/>
              <w:left w:val="nil"/>
              <w:bottom w:val="nil"/>
              <w:right w:val="single" w:sz="12" w:space="0" w:color="FFFFFF"/>
            </w:tcBorders>
            <w:shd w:val="clear" w:color="000000" w:fill="8DB3E2"/>
            <w:noWrap/>
            <w:vAlign w:val="center"/>
            <w:hideMark/>
          </w:tcPr>
          <w:p w14:paraId="72A48FA8"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0D2A31D6" w14:textId="77777777" w:rsidTr="0004598E">
        <w:trPr>
          <w:trHeight w:hRule="exact" w:val="468"/>
        </w:trPr>
        <w:tc>
          <w:tcPr>
            <w:tcW w:w="3702" w:type="dxa"/>
            <w:tcBorders>
              <w:top w:val="nil"/>
              <w:left w:val="single" w:sz="12" w:space="0" w:color="FFFFFF"/>
              <w:bottom w:val="single" w:sz="12" w:space="0" w:color="FFFFFF"/>
              <w:right w:val="single" w:sz="12" w:space="0" w:color="FFFFFF"/>
            </w:tcBorders>
            <w:shd w:val="clear" w:color="000000" w:fill="8DB3E2"/>
            <w:vAlign w:val="center"/>
            <w:hideMark/>
          </w:tcPr>
          <w:p w14:paraId="5158B2EC"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v zriaďovateľskej  pôsobnosti BSK vrátane Úradu BSK  </w:t>
            </w:r>
          </w:p>
        </w:tc>
        <w:tc>
          <w:tcPr>
            <w:tcW w:w="2112" w:type="dxa"/>
            <w:tcBorders>
              <w:top w:val="nil"/>
              <w:left w:val="nil"/>
              <w:bottom w:val="single" w:sz="12" w:space="0" w:color="FFFFFF"/>
              <w:right w:val="single" w:sz="12" w:space="0" w:color="FFFFFF"/>
            </w:tcBorders>
            <w:shd w:val="clear" w:color="000000" w:fill="8DB3E2"/>
            <w:noWrap/>
            <w:vAlign w:val="center"/>
            <w:hideMark/>
          </w:tcPr>
          <w:p w14:paraId="52D4FB93"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586" w:type="dxa"/>
            <w:tcBorders>
              <w:top w:val="nil"/>
              <w:left w:val="nil"/>
              <w:bottom w:val="single" w:sz="12" w:space="0" w:color="FFFFFF"/>
              <w:right w:val="single" w:sz="12" w:space="0" w:color="FFFFFF"/>
            </w:tcBorders>
            <w:shd w:val="clear" w:color="000000" w:fill="8DB3E2"/>
            <w:noWrap/>
            <w:vAlign w:val="center"/>
            <w:hideMark/>
          </w:tcPr>
          <w:p w14:paraId="4FC40933"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112" w:type="dxa"/>
            <w:tcBorders>
              <w:top w:val="nil"/>
              <w:left w:val="nil"/>
              <w:bottom w:val="single" w:sz="12" w:space="0" w:color="FFFFFF"/>
              <w:right w:val="single" w:sz="12" w:space="0" w:color="FFFFFF"/>
            </w:tcBorders>
            <w:shd w:val="clear" w:color="000000" w:fill="8DB3E2"/>
            <w:noWrap/>
            <w:vAlign w:val="center"/>
            <w:hideMark/>
          </w:tcPr>
          <w:p w14:paraId="2EA1B85A"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634725B8" w14:textId="77777777" w:rsidTr="0004598E">
        <w:trPr>
          <w:trHeight w:hRule="exact" w:val="299"/>
        </w:trPr>
        <w:tc>
          <w:tcPr>
            <w:tcW w:w="3702" w:type="dxa"/>
            <w:tcBorders>
              <w:top w:val="nil"/>
              <w:left w:val="single" w:sz="12" w:space="0" w:color="FFFFFF"/>
              <w:bottom w:val="single" w:sz="12" w:space="0" w:color="FFFFFF"/>
              <w:right w:val="single" w:sz="12" w:space="0" w:color="FFFFFF"/>
            </w:tcBorders>
            <w:shd w:val="clear" w:color="000000" w:fill="808080"/>
            <w:vAlign w:val="center"/>
            <w:hideMark/>
          </w:tcPr>
          <w:p w14:paraId="26C689C1"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Záväzky  celkom</w:t>
            </w:r>
          </w:p>
        </w:tc>
        <w:tc>
          <w:tcPr>
            <w:tcW w:w="2112" w:type="dxa"/>
            <w:tcBorders>
              <w:top w:val="nil"/>
              <w:left w:val="nil"/>
              <w:bottom w:val="single" w:sz="12" w:space="0" w:color="FFFFFF"/>
              <w:right w:val="single" w:sz="12" w:space="0" w:color="FFFFFF"/>
            </w:tcBorders>
            <w:shd w:val="clear" w:color="000000" w:fill="808080"/>
            <w:noWrap/>
          </w:tcPr>
          <w:p w14:paraId="299F6EA2"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194 803 968,89</w:t>
            </w:r>
          </w:p>
        </w:tc>
        <w:tc>
          <w:tcPr>
            <w:tcW w:w="2586" w:type="dxa"/>
            <w:tcBorders>
              <w:top w:val="nil"/>
              <w:left w:val="nil"/>
              <w:bottom w:val="single" w:sz="12" w:space="0" w:color="FFFFFF"/>
              <w:right w:val="single" w:sz="12" w:space="0" w:color="FFFFFF"/>
            </w:tcBorders>
            <w:shd w:val="clear" w:color="000000" w:fill="808080"/>
            <w:noWrap/>
          </w:tcPr>
          <w:p w14:paraId="6463F532"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210 881 129,35</w:t>
            </w:r>
          </w:p>
        </w:tc>
        <w:tc>
          <w:tcPr>
            <w:tcW w:w="2112" w:type="dxa"/>
            <w:tcBorders>
              <w:top w:val="nil"/>
              <w:left w:val="nil"/>
              <w:bottom w:val="single" w:sz="12" w:space="0" w:color="FFFFFF"/>
              <w:right w:val="single" w:sz="12" w:space="0" w:color="FFFFFF"/>
            </w:tcBorders>
            <w:shd w:val="clear" w:color="000000" w:fill="808080"/>
            <w:noWrap/>
          </w:tcPr>
          <w:p w14:paraId="69C26FC7"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16 077 160,46</w:t>
            </w:r>
          </w:p>
        </w:tc>
      </w:tr>
      <w:tr w:rsidR="0004598E" w:rsidRPr="00094641" w14:paraId="1A47B84D" w14:textId="77777777" w:rsidTr="0004598E">
        <w:trPr>
          <w:trHeight w:hRule="exact" w:val="299"/>
        </w:trPr>
        <w:tc>
          <w:tcPr>
            <w:tcW w:w="3702" w:type="dxa"/>
            <w:tcBorders>
              <w:top w:val="nil"/>
              <w:left w:val="single" w:sz="12" w:space="0" w:color="FFFFFF"/>
              <w:bottom w:val="single" w:sz="12" w:space="0" w:color="FFFFFF"/>
              <w:right w:val="single" w:sz="12" w:space="0" w:color="FFFFFF"/>
            </w:tcBorders>
            <w:shd w:val="clear" w:color="000000" w:fill="D9D9D9"/>
            <w:vAlign w:val="center"/>
            <w:hideMark/>
          </w:tcPr>
          <w:p w14:paraId="3B7EEA6C"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112" w:type="dxa"/>
            <w:tcBorders>
              <w:top w:val="nil"/>
              <w:left w:val="nil"/>
              <w:bottom w:val="single" w:sz="12" w:space="0" w:color="FFFFFF"/>
              <w:right w:val="single" w:sz="12" w:space="0" w:color="FFFFFF"/>
            </w:tcBorders>
            <w:shd w:val="clear" w:color="000000" w:fill="D9D9D9"/>
            <w:noWrap/>
          </w:tcPr>
          <w:p w14:paraId="0EF3FE44"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2 115 367,55</w:t>
            </w:r>
          </w:p>
        </w:tc>
        <w:tc>
          <w:tcPr>
            <w:tcW w:w="2586" w:type="dxa"/>
            <w:tcBorders>
              <w:top w:val="nil"/>
              <w:left w:val="nil"/>
              <w:bottom w:val="single" w:sz="12" w:space="0" w:color="FFFFFF"/>
              <w:right w:val="single" w:sz="12" w:space="0" w:color="FFFFFF"/>
            </w:tcBorders>
            <w:shd w:val="clear" w:color="000000" w:fill="D9D9D9"/>
            <w:noWrap/>
          </w:tcPr>
          <w:p w14:paraId="416E1FB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4 423 833,51</w:t>
            </w:r>
          </w:p>
        </w:tc>
        <w:tc>
          <w:tcPr>
            <w:tcW w:w="2112" w:type="dxa"/>
            <w:tcBorders>
              <w:top w:val="nil"/>
              <w:left w:val="nil"/>
              <w:bottom w:val="single" w:sz="12" w:space="0" w:color="FFFFFF"/>
              <w:right w:val="single" w:sz="12" w:space="0" w:color="FFFFFF"/>
            </w:tcBorders>
            <w:shd w:val="clear" w:color="000000" w:fill="D9D9D9"/>
            <w:noWrap/>
          </w:tcPr>
          <w:p w14:paraId="38C28A7D"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2 308 465,96</w:t>
            </w:r>
          </w:p>
        </w:tc>
      </w:tr>
      <w:tr w:rsidR="0004598E" w:rsidRPr="00094641" w14:paraId="1F7103B0" w14:textId="77777777" w:rsidTr="0004598E">
        <w:trPr>
          <w:trHeight w:hRule="exact" w:val="299"/>
        </w:trPr>
        <w:tc>
          <w:tcPr>
            <w:tcW w:w="3702" w:type="dxa"/>
            <w:tcBorders>
              <w:top w:val="nil"/>
              <w:left w:val="single" w:sz="12" w:space="0" w:color="FFFFFF"/>
              <w:bottom w:val="single" w:sz="12" w:space="0" w:color="FFFFFF"/>
              <w:right w:val="single" w:sz="12" w:space="0" w:color="FFFFFF"/>
            </w:tcBorders>
            <w:shd w:val="clear" w:color="000000" w:fill="D9D9D9"/>
            <w:vAlign w:val="center"/>
            <w:hideMark/>
          </w:tcPr>
          <w:p w14:paraId="4C76221C"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Zúčtovanie medzi subjektmi VS </w:t>
            </w:r>
          </w:p>
        </w:tc>
        <w:tc>
          <w:tcPr>
            <w:tcW w:w="2112" w:type="dxa"/>
            <w:tcBorders>
              <w:top w:val="nil"/>
              <w:left w:val="nil"/>
              <w:bottom w:val="single" w:sz="12" w:space="0" w:color="FFFFFF"/>
              <w:right w:val="single" w:sz="12" w:space="0" w:color="FFFFFF"/>
            </w:tcBorders>
            <w:shd w:val="clear" w:color="000000" w:fill="D9D9D9"/>
            <w:noWrap/>
          </w:tcPr>
          <w:p w14:paraId="6B07789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130 999 986,65</w:t>
            </w:r>
          </w:p>
        </w:tc>
        <w:tc>
          <w:tcPr>
            <w:tcW w:w="2586" w:type="dxa"/>
            <w:tcBorders>
              <w:top w:val="nil"/>
              <w:left w:val="nil"/>
              <w:bottom w:val="single" w:sz="12" w:space="0" w:color="FFFFFF"/>
              <w:right w:val="single" w:sz="12" w:space="0" w:color="FFFFFF"/>
            </w:tcBorders>
            <w:shd w:val="clear" w:color="000000" w:fill="D9D9D9"/>
            <w:noWrap/>
          </w:tcPr>
          <w:p w14:paraId="18AA32B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133 593 716,45</w:t>
            </w:r>
          </w:p>
        </w:tc>
        <w:tc>
          <w:tcPr>
            <w:tcW w:w="2112" w:type="dxa"/>
            <w:tcBorders>
              <w:top w:val="nil"/>
              <w:left w:val="nil"/>
              <w:bottom w:val="single" w:sz="12" w:space="0" w:color="FFFFFF"/>
              <w:right w:val="single" w:sz="12" w:space="0" w:color="FFFFFF"/>
            </w:tcBorders>
            <w:shd w:val="clear" w:color="000000" w:fill="D9D9D9"/>
            <w:noWrap/>
          </w:tcPr>
          <w:p w14:paraId="5467714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 xml:space="preserve">2 593 729,80 </w:t>
            </w:r>
          </w:p>
        </w:tc>
      </w:tr>
      <w:tr w:rsidR="0004598E" w:rsidRPr="00094641" w14:paraId="5FF7927B" w14:textId="77777777" w:rsidTr="0004598E">
        <w:trPr>
          <w:trHeight w:hRule="exact" w:val="299"/>
        </w:trPr>
        <w:tc>
          <w:tcPr>
            <w:tcW w:w="3702" w:type="dxa"/>
            <w:tcBorders>
              <w:top w:val="nil"/>
              <w:left w:val="single" w:sz="12" w:space="0" w:color="FFFFFF"/>
              <w:bottom w:val="single" w:sz="12" w:space="0" w:color="FFFFFF"/>
              <w:right w:val="single" w:sz="12" w:space="0" w:color="FFFFFF"/>
            </w:tcBorders>
            <w:shd w:val="clear" w:color="000000" w:fill="D9D9D9"/>
            <w:vAlign w:val="center"/>
            <w:hideMark/>
          </w:tcPr>
          <w:p w14:paraId="4DA74370"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112" w:type="dxa"/>
            <w:tcBorders>
              <w:top w:val="nil"/>
              <w:left w:val="nil"/>
              <w:bottom w:val="single" w:sz="12" w:space="0" w:color="FFFFFF"/>
              <w:right w:val="single" w:sz="12" w:space="0" w:color="FFFFFF"/>
            </w:tcBorders>
            <w:shd w:val="clear" w:color="000000" w:fill="D9D9D9"/>
            <w:noWrap/>
          </w:tcPr>
          <w:p w14:paraId="24D30AFD"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472 697,31</w:t>
            </w:r>
          </w:p>
        </w:tc>
        <w:tc>
          <w:tcPr>
            <w:tcW w:w="2586" w:type="dxa"/>
            <w:tcBorders>
              <w:top w:val="nil"/>
              <w:left w:val="nil"/>
              <w:bottom w:val="single" w:sz="12" w:space="0" w:color="FFFFFF"/>
              <w:right w:val="single" w:sz="12" w:space="0" w:color="FFFFFF"/>
            </w:tcBorders>
            <w:shd w:val="clear" w:color="000000" w:fill="D9D9D9"/>
            <w:noWrap/>
          </w:tcPr>
          <w:p w14:paraId="4F59439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599 841,37</w:t>
            </w:r>
          </w:p>
        </w:tc>
        <w:tc>
          <w:tcPr>
            <w:tcW w:w="2112" w:type="dxa"/>
            <w:tcBorders>
              <w:top w:val="nil"/>
              <w:left w:val="nil"/>
              <w:bottom w:val="single" w:sz="12" w:space="0" w:color="FFFFFF"/>
              <w:right w:val="single" w:sz="12" w:space="0" w:color="FFFFFF"/>
            </w:tcBorders>
            <w:shd w:val="clear" w:color="000000" w:fill="D9D9D9"/>
            <w:noWrap/>
          </w:tcPr>
          <w:p w14:paraId="2E82836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127 143,76</w:t>
            </w:r>
          </w:p>
        </w:tc>
      </w:tr>
      <w:tr w:rsidR="0004598E" w:rsidRPr="00094641" w14:paraId="5EBFC14B" w14:textId="77777777" w:rsidTr="0004598E">
        <w:trPr>
          <w:trHeight w:hRule="exact" w:val="299"/>
        </w:trPr>
        <w:tc>
          <w:tcPr>
            <w:tcW w:w="3702" w:type="dxa"/>
            <w:tcBorders>
              <w:top w:val="nil"/>
              <w:left w:val="single" w:sz="12" w:space="0" w:color="FFFFFF"/>
              <w:bottom w:val="single" w:sz="12" w:space="0" w:color="FFFFFF"/>
              <w:right w:val="single" w:sz="12" w:space="0" w:color="FFFFFF"/>
            </w:tcBorders>
            <w:shd w:val="clear" w:color="000000" w:fill="D9D9D9"/>
            <w:vAlign w:val="center"/>
            <w:hideMark/>
          </w:tcPr>
          <w:p w14:paraId="37BB5BE4"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112" w:type="dxa"/>
            <w:tcBorders>
              <w:top w:val="nil"/>
              <w:left w:val="nil"/>
              <w:bottom w:val="single" w:sz="12" w:space="0" w:color="FFFFFF"/>
              <w:right w:val="single" w:sz="12" w:space="0" w:color="FFFFFF"/>
            </w:tcBorders>
            <w:shd w:val="clear" w:color="000000" w:fill="D9D9D9"/>
            <w:noWrap/>
          </w:tcPr>
          <w:p w14:paraId="29C1003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7 635 103,73</w:t>
            </w:r>
          </w:p>
        </w:tc>
        <w:tc>
          <w:tcPr>
            <w:tcW w:w="2586" w:type="dxa"/>
            <w:tcBorders>
              <w:top w:val="nil"/>
              <w:left w:val="nil"/>
              <w:bottom w:val="single" w:sz="12" w:space="0" w:color="FFFFFF"/>
              <w:right w:val="single" w:sz="12" w:space="0" w:color="FFFFFF"/>
            </w:tcBorders>
            <w:shd w:val="clear" w:color="000000" w:fill="D9D9D9"/>
            <w:noWrap/>
          </w:tcPr>
          <w:p w14:paraId="6C30FA6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10 911 742,13</w:t>
            </w:r>
          </w:p>
        </w:tc>
        <w:tc>
          <w:tcPr>
            <w:tcW w:w="2112" w:type="dxa"/>
            <w:tcBorders>
              <w:top w:val="nil"/>
              <w:left w:val="nil"/>
              <w:bottom w:val="single" w:sz="12" w:space="0" w:color="FFFFFF"/>
              <w:right w:val="single" w:sz="12" w:space="0" w:color="FFFFFF"/>
            </w:tcBorders>
            <w:shd w:val="clear" w:color="000000" w:fill="D9D9D9"/>
            <w:noWrap/>
          </w:tcPr>
          <w:p w14:paraId="2E03B19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3 276 638,40</w:t>
            </w:r>
          </w:p>
        </w:tc>
      </w:tr>
      <w:tr w:rsidR="0004598E" w:rsidRPr="00094641" w14:paraId="1CD99434" w14:textId="77777777" w:rsidTr="0004598E">
        <w:trPr>
          <w:trHeight w:hRule="exact" w:val="299"/>
        </w:trPr>
        <w:tc>
          <w:tcPr>
            <w:tcW w:w="3702" w:type="dxa"/>
            <w:tcBorders>
              <w:top w:val="nil"/>
              <w:left w:val="single" w:sz="12" w:space="0" w:color="FFFFFF"/>
              <w:bottom w:val="single" w:sz="12" w:space="0" w:color="FFFFFF"/>
              <w:right w:val="single" w:sz="12" w:space="0" w:color="FFFFFF"/>
            </w:tcBorders>
            <w:shd w:val="clear" w:color="000000" w:fill="D9D9D9"/>
            <w:vAlign w:val="center"/>
            <w:hideMark/>
          </w:tcPr>
          <w:p w14:paraId="7D674E3B"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Bankové úvery a výpomoci</w:t>
            </w:r>
          </w:p>
        </w:tc>
        <w:tc>
          <w:tcPr>
            <w:tcW w:w="2112" w:type="dxa"/>
            <w:tcBorders>
              <w:top w:val="nil"/>
              <w:left w:val="nil"/>
              <w:bottom w:val="single" w:sz="12" w:space="0" w:color="FFFFFF"/>
              <w:right w:val="single" w:sz="12" w:space="0" w:color="FFFFFF"/>
            </w:tcBorders>
            <w:shd w:val="clear" w:color="000000" w:fill="D9D9D9"/>
            <w:noWrap/>
          </w:tcPr>
          <w:p w14:paraId="7F31348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53 580 813,35</w:t>
            </w:r>
          </w:p>
        </w:tc>
        <w:tc>
          <w:tcPr>
            <w:tcW w:w="2586" w:type="dxa"/>
            <w:tcBorders>
              <w:top w:val="nil"/>
              <w:left w:val="nil"/>
              <w:bottom w:val="single" w:sz="12" w:space="0" w:color="FFFFFF"/>
              <w:right w:val="single" w:sz="12" w:space="0" w:color="FFFFFF"/>
            </w:tcBorders>
            <w:shd w:val="clear" w:color="000000" w:fill="D9D9D9"/>
            <w:noWrap/>
          </w:tcPr>
          <w:p w14:paraId="1DB90C1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61 351 995,89</w:t>
            </w:r>
          </w:p>
        </w:tc>
        <w:tc>
          <w:tcPr>
            <w:tcW w:w="2112" w:type="dxa"/>
            <w:tcBorders>
              <w:top w:val="nil"/>
              <w:left w:val="nil"/>
              <w:bottom w:val="single" w:sz="12" w:space="0" w:color="FFFFFF"/>
              <w:right w:val="single" w:sz="12" w:space="0" w:color="FFFFFF"/>
            </w:tcBorders>
            <w:shd w:val="clear" w:color="000000" w:fill="D9D9D9"/>
            <w:noWrap/>
          </w:tcPr>
          <w:p w14:paraId="5F10A6BD"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7 771 182,54</w:t>
            </w:r>
          </w:p>
        </w:tc>
      </w:tr>
    </w:tbl>
    <w:p w14:paraId="621745D0" w14:textId="77777777" w:rsidR="0004598E" w:rsidRPr="00094641" w:rsidRDefault="0004598E" w:rsidP="0004598E">
      <w:pPr>
        <w:spacing w:after="0" w:line="240" w:lineRule="auto"/>
        <w:ind w:firstLine="708"/>
        <w:jc w:val="both"/>
        <w:rPr>
          <w:b/>
          <w:sz w:val="24"/>
          <w:szCs w:val="24"/>
          <w:u w:val="single"/>
          <w:lang w:eastAsia="sk-SK"/>
        </w:rPr>
      </w:pPr>
    </w:p>
    <w:p w14:paraId="30E015A6" w14:textId="77777777" w:rsidR="0004598E" w:rsidRPr="00094641" w:rsidRDefault="0004598E" w:rsidP="0004598E">
      <w:pPr>
        <w:spacing w:after="0" w:line="240" w:lineRule="auto"/>
        <w:jc w:val="both"/>
        <w:rPr>
          <w:b/>
          <w:sz w:val="24"/>
          <w:szCs w:val="24"/>
          <w:lang w:eastAsia="sk-SK"/>
        </w:rPr>
      </w:pPr>
      <w:r w:rsidRPr="00AA44BC">
        <w:rPr>
          <w:b/>
          <w:sz w:val="24"/>
          <w:szCs w:val="24"/>
          <w:u w:val="single"/>
          <w:lang w:eastAsia="sk-SK"/>
        </w:rPr>
        <w:t>Úrad BSK</w:t>
      </w:r>
      <w:r w:rsidRPr="00094641">
        <w:rPr>
          <w:b/>
          <w:sz w:val="24"/>
          <w:szCs w:val="24"/>
          <w:lang w:eastAsia="sk-SK"/>
        </w:rPr>
        <w:t xml:space="preserve"> </w:t>
      </w:r>
      <w:r w:rsidRPr="00094641">
        <w:rPr>
          <w:sz w:val="24"/>
          <w:szCs w:val="24"/>
          <w:lang w:eastAsia="sk-SK"/>
        </w:rPr>
        <w:t>eviduje záväzky k </w:t>
      </w:r>
      <w:r w:rsidRPr="00FE306F">
        <w:rPr>
          <w:b/>
          <w:bCs/>
          <w:sz w:val="24"/>
          <w:szCs w:val="24"/>
          <w:lang w:eastAsia="sk-SK"/>
        </w:rPr>
        <w:t>31.12.2020</w:t>
      </w:r>
      <w:r w:rsidRPr="00094641">
        <w:rPr>
          <w:sz w:val="24"/>
          <w:szCs w:val="24"/>
          <w:lang w:eastAsia="sk-SK"/>
        </w:rPr>
        <w:t xml:space="preserve"> v celkovej výške </w:t>
      </w:r>
      <w:r>
        <w:rPr>
          <w:b/>
          <w:bCs/>
          <w:sz w:val="24"/>
          <w:szCs w:val="24"/>
          <w:lang w:eastAsia="sk-SK"/>
        </w:rPr>
        <w:t>72 481 992,59</w:t>
      </w:r>
      <w:r w:rsidRPr="00094641">
        <w:rPr>
          <w:b/>
          <w:sz w:val="24"/>
          <w:szCs w:val="24"/>
          <w:lang w:eastAsia="sk-SK"/>
        </w:rPr>
        <w:t xml:space="preserve"> EUR. </w:t>
      </w:r>
    </w:p>
    <w:p w14:paraId="1FAB60C4" w14:textId="77777777" w:rsidR="0004598E" w:rsidRPr="00094641" w:rsidRDefault="0004598E" w:rsidP="0004598E">
      <w:pPr>
        <w:spacing w:after="0" w:line="240" w:lineRule="auto"/>
        <w:jc w:val="both"/>
        <w:rPr>
          <w:b/>
          <w:sz w:val="24"/>
          <w:szCs w:val="24"/>
          <w:lang w:eastAsia="sk-SK"/>
        </w:rPr>
      </w:pPr>
    </w:p>
    <w:tbl>
      <w:tblPr>
        <w:tblW w:w="10435" w:type="dxa"/>
        <w:tblInd w:w="55" w:type="dxa"/>
        <w:tblCellMar>
          <w:left w:w="70" w:type="dxa"/>
          <w:right w:w="70" w:type="dxa"/>
        </w:tblCellMar>
        <w:tblLook w:val="04A0" w:firstRow="1" w:lastRow="0" w:firstColumn="1" w:lastColumn="0" w:noHBand="0" w:noVBand="1"/>
      </w:tblPr>
      <w:tblGrid>
        <w:gridCol w:w="3674"/>
        <w:gridCol w:w="2235"/>
        <w:gridCol w:w="2115"/>
        <w:gridCol w:w="2411"/>
      </w:tblGrid>
      <w:tr w:rsidR="0004598E" w:rsidRPr="00094641" w14:paraId="140A1C3F" w14:textId="77777777" w:rsidTr="0004598E">
        <w:trPr>
          <w:trHeight w:hRule="exact" w:val="590"/>
        </w:trPr>
        <w:tc>
          <w:tcPr>
            <w:tcW w:w="3674" w:type="dxa"/>
            <w:vMerge w:val="restart"/>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0CAC026B"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PREHĽAD ZÁVÄZKOV Úradu BSK  </w:t>
            </w:r>
          </w:p>
        </w:tc>
        <w:tc>
          <w:tcPr>
            <w:tcW w:w="2235" w:type="dxa"/>
            <w:tcBorders>
              <w:top w:val="single" w:sz="12" w:space="0" w:color="FFFFFF"/>
              <w:left w:val="nil"/>
              <w:bottom w:val="nil"/>
              <w:right w:val="single" w:sz="12" w:space="0" w:color="FFFFFF"/>
            </w:tcBorders>
            <w:shd w:val="clear" w:color="000000" w:fill="8DB3E2"/>
            <w:noWrap/>
            <w:vAlign w:val="center"/>
            <w:hideMark/>
          </w:tcPr>
          <w:p w14:paraId="3DE573BA"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r w:rsidRPr="00094641">
              <w:rPr>
                <w:rFonts w:asciiTheme="minorHAnsi" w:hAnsiTheme="minorHAnsi" w:cstheme="minorHAnsi"/>
                <w:b/>
                <w:bCs/>
                <w:sz w:val="20"/>
                <w:szCs w:val="20"/>
                <w:lang w:eastAsia="sk-SK"/>
              </w:rPr>
              <w:t xml:space="preserve"> </w:t>
            </w:r>
          </w:p>
        </w:tc>
        <w:tc>
          <w:tcPr>
            <w:tcW w:w="2115" w:type="dxa"/>
            <w:tcBorders>
              <w:top w:val="single" w:sz="12" w:space="0" w:color="FFFFFF"/>
              <w:left w:val="nil"/>
              <w:bottom w:val="nil"/>
              <w:right w:val="single" w:sz="12" w:space="0" w:color="FFFFFF"/>
            </w:tcBorders>
            <w:shd w:val="clear" w:color="000000" w:fill="8DB3E2"/>
            <w:noWrap/>
            <w:vAlign w:val="center"/>
            <w:hideMark/>
          </w:tcPr>
          <w:p w14:paraId="26956A88"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411" w:type="dxa"/>
            <w:tcBorders>
              <w:top w:val="single" w:sz="12" w:space="0" w:color="FFFFFF"/>
              <w:left w:val="nil"/>
              <w:bottom w:val="nil"/>
              <w:right w:val="single" w:sz="12" w:space="0" w:color="FFFFFF"/>
            </w:tcBorders>
            <w:shd w:val="clear" w:color="000000" w:fill="8DB3E2"/>
            <w:noWrap/>
            <w:vAlign w:val="center"/>
            <w:hideMark/>
          </w:tcPr>
          <w:p w14:paraId="4D24B394"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0E72DF7A" w14:textId="77777777" w:rsidTr="0004598E">
        <w:trPr>
          <w:trHeight w:hRule="exact" w:val="335"/>
        </w:trPr>
        <w:tc>
          <w:tcPr>
            <w:tcW w:w="3674" w:type="dxa"/>
            <w:vMerge/>
            <w:tcBorders>
              <w:top w:val="single" w:sz="12" w:space="0" w:color="FFFFFF"/>
              <w:left w:val="single" w:sz="12" w:space="0" w:color="FFFFFF"/>
              <w:bottom w:val="single" w:sz="12" w:space="0" w:color="FFFFFF"/>
              <w:right w:val="single" w:sz="12" w:space="0" w:color="FFFFFF"/>
            </w:tcBorders>
            <w:vAlign w:val="center"/>
            <w:hideMark/>
          </w:tcPr>
          <w:p w14:paraId="62EA4A71"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c>
          <w:tcPr>
            <w:tcW w:w="2235" w:type="dxa"/>
            <w:tcBorders>
              <w:top w:val="nil"/>
              <w:left w:val="nil"/>
              <w:bottom w:val="single" w:sz="12" w:space="0" w:color="FFFFFF"/>
              <w:right w:val="single" w:sz="12" w:space="0" w:color="FFFFFF"/>
            </w:tcBorders>
            <w:shd w:val="clear" w:color="000000" w:fill="8DB3E2"/>
            <w:noWrap/>
            <w:vAlign w:val="center"/>
            <w:hideMark/>
          </w:tcPr>
          <w:p w14:paraId="5136BBAC"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115" w:type="dxa"/>
            <w:tcBorders>
              <w:top w:val="nil"/>
              <w:left w:val="nil"/>
              <w:bottom w:val="single" w:sz="12" w:space="0" w:color="FFFFFF"/>
              <w:right w:val="single" w:sz="12" w:space="0" w:color="FFFFFF"/>
            </w:tcBorders>
            <w:shd w:val="clear" w:color="000000" w:fill="8DB3E2"/>
            <w:noWrap/>
            <w:vAlign w:val="center"/>
            <w:hideMark/>
          </w:tcPr>
          <w:p w14:paraId="3BCAA188"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411" w:type="dxa"/>
            <w:tcBorders>
              <w:top w:val="nil"/>
              <w:left w:val="nil"/>
              <w:bottom w:val="single" w:sz="12" w:space="0" w:color="FFFFFF"/>
              <w:right w:val="single" w:sz="12" w:space="0" w:color="FFFFFF"/>
            </w:tcBorders>
            <w:shd w:val="clear" w:color="000000" w:fill="8DB3E2"/>
            <w:noWrap/>
            <w:vAlign w:val="center"/>
            <w:hideMark/>
          </w:tcPr>
          <w:p w14:paraId="67A3B565"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7829B087" w14:textId="77777777" w:rsidTr="0004598E">
        <w:trPr>
          <w:trHeight w:hRule="exact" w:val="335"/>
        </w:trPr>
        <w:tc>
          <w:tcPr>
            <w:tcW w:w="3674" w:type="dxa"/>
            <w:tcBorders>
              <w:top w:val="nil"/>
              <w:left w:val="single" w:sz="12" w:space="0" w:color="FFFFFF"/>
              <w:bottom w:val="single" w:sz="12" w:space="0" w:color="FFFFFF"/>
              <w:right w:val="single" w:sz="12" w:space="0" w:color="FFFFFF"/>
            </w:tcBorders>
            <w:shd w:val="clear" w:color="000000" w:fill="808080"/>
            <w:vAlign w:val="center"/>
            <w:hideMark/>
          </w:tcPr>
          <w:p w14:paraId="67F4017E"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Záväzky  celkom</w:t>
            </w:r>
          </w:p>
        </w:tc>
        <w:tc>
          <w:tcPr>
            <w:tcW w:w="2235" w:type="dxa"/>
            <w:tcBorders>
              <w:top w:val="nil"/>
              <w:left w:val="nil"/>
              <w:bottom w:val="single" w:sz="12" w:space="0" w:color="FFFFFF"/>
              <w:right w:val="single" w:sz="12" w:space="0" w:color="FFFFFF"/>
            </w:tcBorders>
            <w:shd w:val="clear" w:color="000000" w:fill="808080"/>
            <w:noWrap/>
          </w:tcPr>
          <w:p w14:paraId="16EA2521"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59 971 399,23</w:t>
            </w:r>
          </w:p>
        </w:tc>
        <w:tc>
          <w:tcPr>
            <w:tcW w:w="2115" w:type="dxa"/>
            <w:tcBorders>
              <w:top w:val="nil"/>
              <w:left w:val="nil"/>
              <w:bottom w:val="single" w:sz="12" w:space="0" w:color="FFFFFF"/>
              <w:right w:val="single" w:sz="12" w:space="0" w:color="FFFFFF"/>
            </w:tcBorders>
            <w:shd w:val="clear" w:color="000000" w:fill="808080"/>
            <w:noWrap/>
          </w:tcPr>
          <w:p w14:paraId="2F9F1B1C"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72 481 992,59</w:t>
            </w:r>
          </w:p>
        </w:tc>
        <w:tc>
          <w:tcPr>
            <w:tcW w:w="2411" w:type="dxa"/>
            <w:tcBorders>
              <w:top w:val="nil"/>
              <w:left w:val="nil"/>
              <w:bottom w:val="single" w:sz="12" w:space="0" w:color="FFFFFF"/>
              <w:right w:val="single" w:sz="12" w:space="0" w:color="FFFFFF"/>
            </w:tcBorders>
            <w:shd w:val="clear" w:color="000000" w:fill="808080"/>
            <w:noWrap/>
          </w:tcPr>
          <w:p w14:paraId="05DFDCE3"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12 510 593,36</w:t>
            </w:r>
          </w:p>
        </w:tc>
      </w:tr>
      <w:tr w:rsidR="0004598E" w:rsidRPr="00094641" w14:paraId="4716A9B2" w14:textId="77777777" w:rsidTr="0004598E">
        <w:trPr>
          <w:trHeight w:hRule="exact" w:val="335"/>
        </w:trPr>
        <w:tc>
          <w:tcPr>
            <w:tcW w:w="3674" w:type="dxa"/>
            <w:tcBorders>
              <w:top w:val="nil"/>
              <w:left w:val="single" w:sz="12" w:space="0" w:color="FFFFFF"/>
              <w:bottom w:val="single" w:sz="12" w:space="0" w:color="FFFFFF"/>
              <w:right w:val="single" w:sz="12" w:space="0" w:color="FFFFFF"/>
            </w:tcBorders>
            <w:shd w:val="clear" w:color="000000" w:fill="D9D9D9"/>
            <w:vAlign w:val="center"/>
            <w:hideMark/>
          </w:tcPr>
          <w:p w14:paraId="7266107E"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235" w:type="dxa"/>
            <w:tcBorders>
              <w:top w:val="nil"/>
              <w:left w:val="nil"/>
              <w:bottom w:val="single" w:sz="12" w:space="0" w:color="FFFFFF"/>
              <w:right w:val="single" w:sz="12" w:space="0" w:color="FFFFFF"/>
            </w:tcBorders>
            <w:shd w:val="clear" w:color="000000" w:fill="D9D9D9"/>
            <w:noWrap/>
          </w:tcPr>
          <w:p w14:paraId="5093AFE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532 056,27</w:t>
            </w:r>
          </w:p>
        </w:tc>
        <w:tc>
          <w:tcPr>
            <w:tcW w:w="2115" w:type="dxa"/>
            <w:tcBorders>
              <w:top w:val="nil"/>
              <w:left w:val="nil"/>
              <w:bottom w:val="single" w:sz="12" w:space="0" w:color="FFFFFF"/>
              <w:right w:val="single" w:sz="12" w:space="0" w:color="FFFFFF"/>
            </w:tcBorders>
            <w:shd w:val="clear" w:color="000000" w:fill="D9D9D9"/>
            <w:noWrap/>
          </w:tcPr>
          <w:p w14:paraId="4CCF193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2 732 873,19</w:t>
            </w:r>
          </w:p>
        </w:tc>
        <w:tc>
          <w:tcPr>
            <w:tcW w:w="2411" w:type="dxa"/>
            <w:tcBorders>
              <w:top w:val="nil"/>
              <w:left w:val="nil"/>
              <w:bottom w:val="single" w:sz="12" w:space="0" w:color="FFFFFF"/>
              <w:right w:val="single" w:sz="12" w:space="0" w:color="FFFFFF"/>
            </w:tcBorders>
            <w:shd w:val="clear" w:color="000000" w:fill="D9D9D9"/>
            <w:noWrap/>
          </w:tcPr>
          <w:p w14:paraId="4006271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2 200 816,92</w:t>
            </w:r>
          </w:p>
        </w:tc>
      </w:tr>
      <w:tr w:rsidR="0004598E" w:rsidRPr="00094641" w14:paraId="7FEEECF9" w14:textId="77777777" w:rsidTr="0004598E">
        <w:trPr>
          <w:trHeight w:hRule="exact" w:val="335"/>
        </w:trPr>
        <w:tc>
          <w:tcPr>
            <w:tcW w:w="3674" w:type="dxa"/>
            <w:tcBorders>
              <w:top w:val="nil"/>
              <w:left w:val="single" w:sz="12" w:space="0" w:color="FFFFFF"/>
              <w:bottom w:val="single" w:sz="12" w:space="0" w:color="FFFFFF"/>
              <w:right w:val="single" w:sz="12" w:space="0" w:color="FFFFFF"/>
            </w:tcBorders>
            <w:shd w:val="clear" w:color="000000" w:fill="D9D9D9"/>
            <w:vAlign w:val="center"/>
          </w:tcPr>
          <w:p w14:paraId="4B78F3AB"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Zúčtovanie medzi subjektmi VS</w:t>
            </w:r>
          </w:p>
        </w:tc>
        <w:tc>
          <w:tcPr>
            <w:tcW w:w="2235" w:type="dxa"/>
            <w:tcBorders>
              <w:top w:val="nil"/>
              <w:left w:val="nil"/>
              <w:bottom w:val="single" w:sz="12" w:space="0" w:color="FFFFFF"/>
              <w:right w:val="single" w:sz="12" w:space="0" w:color="FFFFFF"/>
            </w:tcBorders>
            <w:shd w:val="clear" w:color="000000" w:fill="D9D9D9"/>
            <w:noWrap/>
          </w:tcPr>
          <w:p w14:paraId="7A28D76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4 488 244,93</w:t>
            </w:r>
          </w:p>
        </w:tc>
        <w:tc>
          <w:tcPr>
            <w:tcW w:w="2115" w:type="dxa"/>
            <w:tcBorders>
              <w:top w:val="nil"/>
              <w:left w:val="nil"/>
              <w:bottom w:val="single" w:sz="12" w:space="0" w:color="FFFFFF"/>
              <w:right w:val="single" w:sz="12" w:space="0" w:color="FFFFFF"/>
            </w:tcBorders>
            <w:shd w:val="clear" w:color="000000" w:fill="D9D9D9"/>
            <w:noWrap/>
          </w:tcPr>
          <w:p w14:paraId="0BDDC83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5 743 592,24</w:t>
            </w:r>
          </w:p>
        </w:tc>
        <w:tc>
          <w:tcPr>
            <w:tcW w:w="2411" w:type="dxa"/>
            <w:tcBorders>
              <w:top w:val="nil"/>
              <w:left w:val="nil"/>
              <w:bottom w:val="single" w:sz="12" w:space="0" w:color="FFFFFF"/>
              <w:right w:val="single" w:sz="12" w:space="0" w:color="FFFFFF"/>
            </w:tcBorders>
            <w:shd w:val="clear" w:color="000000" w:fill="D9D9D9"/>
            <w:noWrap/>
          </w:tcPr>
          <w:p w14:paraId="5657C35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1 255 347,31</w:t>
            </w:r>
          </w:p>
        </w:tc>
      </w:tr>
      <w:tr w:rsidR="0004598E" w:rsidRPr="00094641" w14:paraId="0A54CB00" w14:textId="77777777" w:rsidTr="0004598E">
        <w:trPr>
          <w:trHeight w:hRule="exact" w:val="335"/>
        </w:trPr>
        <w:tc>
          <w:tcPr>
            <w:tcW w:w="3674" w:type="dxa"/>
            <w:tcBorders>
              <w:top w:val="nil"/>
              <w:left w:val="single" w:sz="12" w:space="0" w:color="FFFFFF"/>
              <w:bottom w:val="single" w:sz="12" w:space="0" w:color="FFFFFF"/>
              <w:right w:val="single" w:sz="12" w:space="0" w:color="FFFFFF"/>
            </w:tcBorders>
            <w:shd w:val="clear" w:color="000000" w:fill="D9D9D9"/>
            <w:vAlign w:val="center"/>
            <w:hideMark/>
          </w:tcPr>
          <w:p w14:paraId="0C060804"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235" w:type="dxa"/>
            <w:tcBorders>
              <w:top w:val="nil"/>
              <w:left w:val="nil"/>
              <w:bottom w:val="single" w:sz="12" w:space="0" w:color="FFFFFF"/>
              <w:right w:val="single" w:sz="12" w:space="0" w:color="FFFFFF"/>
            </w:tcBorders>
            <w:shd w:val="clear" w:color="000000" w:fill="D9D9D9"/>
            <w:noWrap/>
          </w:tcPr>
          <w:p w14:paraId="5E6E492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42 397,18</w:t>
            </w:r>
          </w:p>
        </w:tc>
        <w:tc>
          <w:tcPr>
            <w:tcW w:w="2115" w:type="dxa"/>
            <w:tcBorders>
              <w:top w:val="nil"/>
              <w:left w:val="nil"/>
              <w:bottom w:val="single" w:sz="12" w:space="0" w:color="FFFFFF"/>
              <w:right w:val="single" w:sz="12" w:space="0" w:color="FFFFFF"/>
            </w:tcBorders>
            <w:shd w:val="clear" w:color="000000" w:fill="D9D9D9"/>
            <w:noWrap/>
          </w:tcPr>
          <w:p w14:paraId="47F97D3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133 465,12</w:t>
            </w:r>
          </w:p>
        </w:tc>
        <w:tc>
          <w:tcPr>
            <w:tcW w:w="2411" w:type="dxa"/>
            <w:tcBorders>
              <w:top w:val="nil"/>
              <w:left w:val="nil"/>
              <w:bottom w:val="single" w:sz="12" w:space="0" w:color="FFFFFF"/>
              <w:right w:val="single" w:sz="12" w:space="0" w:color="FFFFFF"/>
            </w:tcBorders>
            <w:shd w:val="clear" w:color="000000" w:fill="D9D9D9"/>
            <w:noWrap/>
          </w:tcPr>
          <w:p w14:paraId="4945803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91 067,94</w:t>
            </w:r>
          </w:p>
        </w:tc>
      </w:tr>
      <w:tr w:rsidR="0004598E" w:rsidRPr="00094641" w14:paraId="38BE1B64" w14:textId="77777777" w:rsidTr="0004598E">
        <w:trPr>
          <w:trHeight w:hRule="exact" w:val="335"/>
        </w:trPr>
        <w:tc>
          <w:tcPr>
            <w:tcW w:w="3674" w:type="dxa"/>
            <w:tcBorders>
              <w:top w:val="nil"/>
              <w:left w:val="single" w:sz="12" w:space="0" w:color="FFFFFF"/>
              <w:bottom w:val="single" w:sz="12" w:space="0" w:color="FFFFFF"/>
              <w:right w:val="single" w:sz="12" w:space="0" w:color="FFFFFF"/>
            </w:tcBorders>
            <w:shd w:val="clear" w:color="000000" w:fill="D9D9D9"/>
            <w:vAlign w:val="center"/>
            <w:hideMark/>
          </w:tcPr>
          <w:p w14:paraId="71FC6CA1"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235" w:type="dxa"/>
            <w:tcBorders>
              <w:top w:val="nil"/>
              <w:left w:val="nil"/>
              <w:bottom w:val="single" w:sz="12" w:space="0" w:color="FFFFFF"/>
              <w:right w:val="single" w:sz="12" w:space="0" w:color="FFFFFF"/>
            </w:tcBorders>
            <w:shd w:val="clear" w:color="000000" w:fill="D9D9D9"/>
            <w:noWrap/>
          </w:tcPr>
          <w:p w14:paraId="7BE04E14"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1 327 887,50</w:t>
            </w:r>
          </w:p>
        </w:tc>
        <w:tc>
          <w:tcPr>
            <w:tcW w:w="2115" w:type="dxa"/>
            <w:tcBorders>
              <w:top w:val="nil"/>
              <w:left w:val="nil"/>
              <w:bottom w:val="single" w:sz="12" w:space="0" w:color="FFFFFF"/>
              <w:right w:val="single" w:sz="12" w:space="0" w:color="FFFFFF"/>
            </w:tcBorders>
            <w:shd w:val="clear" w:color="000000" w:fill="D9D9D9"/>
            <w:noWrap/>
          </w:tcPr>
          <w:p w14:paraId="67203D3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2 520 066,15</w:t>
            </w:r>
          </w:p>
        </w:tc>
        <w:tc>
          <w:tcPr>
            <w:tcW w:w="2411" w:type="dxa"/>
            <w:tcBorders>
              <w:top w:val="nil"/>
              <w:left w:val="nil"/>
              <w:bottom w:val="single" w:sz="12" w:space="0" w:color="FFFFFF"/>
              <w:right w:val="single" w:sz="12" w:space="0" w:color="FFFFFF"/>
            </w:tcBorders>
            <w:shd w:val="clear" w:color="000000" w:fill="D9D9D9"/>
            <w:noWrap/>
          </w:tcPr>
          <w:p w14:paraId="5AD8583E"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1 192 178,65</w:t>
            </w:r>
          </w:p>
        </w:tc>
      </w:tr>
      <w:tr w:rsidR="0004598E" w:rsidRPr="00094641" w14:paraId="6FFD6C08" w14:textId="77777777" w:rsidTr="0004598E">
        <w:trPr>
          <w:trHeight w:hRule="exact" w:val="333"/>
        </w:trPr>
        <w:tc>
          <w:tcPr>
            <w:tcW w:w="3674" w:type="dxa"/>
            <w:tcBorders>
              <w:top w:val="nil"/>
              <w:left w:val="single" w:sz="12" w:space="0" w:color="FFFFFF"/>
              <w:bottom w:val="single" w:sz="12" w:space="0" w:color="FFFFFF"/>
              <w:right w:val="single" w:sz="12" w:space="0" w:color="FFFFFF"/>
            </w:tcBorders>
            <w:shd w:val="clear" w:color="000000" w:fill="D9D9D9"/>
            <w:vAlign w:val="center"/>
            <w:hideMark/>
          </w:tcPr>
          <w:p w14:paraId="702D8F23" w14:textId="77777777" w:rsidR="0004598E"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Bankové úvery </w:t>
            </w:r>
            <w:r>
              <w:rPr>
                <w:rFonts w:asciiTheme="minorHAnsi" w:hAnsiTheme="minorHAnsi" w:cstheme="minorHAnsi"/>
                <w:b/>
                <w:bCs/>
                <w:color w:val="000000"/>
                <w:sz w:val="20"/>
                <w:szCs w:val="20"/>
                <w:lang w:eastAsia="sk-SK"/>
              </w:rPr>
              <w:t xml:space="preserve">a výpomoci </w:t>
            </w:r>
          </w:p>
          <w:p w14:paraId="1ED91A51" w14:textId="77777777" w:rsidR="0004598E" w:rsidRDefault="0004598E" w:rsidP="00222450">
            <w:pPr>
              <w:spacing w:after="0" w:line="240" w:lineRule="auto"/>
              <w:rPr>
                <w:rFonts w:asciiTheme="minorHAnsi" w:hAnsiTheme="minorHAnsi" w:cstheme="minorHAnsi"/>
                <w:b/>
                <w:bCs/>
                <w:color w:val="000000"/>
                <w:sz w:val="20"/>
                <w:szCs w:val="20"/>
                <w:lang w:eastAsia="sk-SK"/>
              </w:rPr>
            </w:pPr>
          </w:p>
          <w:p w14:paraId="09D35EC9"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p>
        </w:tc>
        <w:tc>
          <w:tcPr>
            <w:tcW w:w="2235" w:type="dxa"/>
            <w:tcBorders>
              <w:top w:val="nil"/>
              <w:left w:val="nil"/>
              <w:bottom w:val="single" w:sz="12" w:space="0" w:color="FFFFFF"/>
              <w:right w:val="single" w:sz="12" w:space="0" w:color="FFFFFF"/>
            </w:tcBorders>
            <w:shd w:val="clear" w:color="000000" w:fill="D9D9D9"/>
            <w:noWrap/>
          </w:tcPr>
          <w:p w14:paraId="0CE7F1D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53 580 813,35</w:t>
            </w:r>
          </w:p>
        </w:tc>
        <w:tc>
          <w:tcPr>
            <w:tcW w:w="2115" w:type="dxa"/>
            <w:tcBorders>
              <w:top w:val="nil"/>
              <w:left w:val="nil"/>
              <w:bottom w:val="single" w:sz="12" w:space="0" w:color="FFFFFF"/>
              <w:right w:val="single" w:sz="12" w:space="0" w:color="FFFFFF"/>
            </w:tcBorders>
            <w:shd w:val="clear" w:color="000000" w:fill="D9D9D9"/>
            <w:noWrap/>
          </w:tcPr>
          <w:p w14:paraId="39351D52"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61 351 995,89</w:t>
            </w:r>
          </w:p>
        </w:tc>
        <w:tc>
          <w:tcPr>
            <w:tcW w:w="2411" w:type="dxa"/>
            <w:tcBorders>
              <w:top w:val="nil"/>
              <w:left w:val="nil"/>
              <w:bottom w:val="single" w:sz="12" w:space="0" w:color="FFFFFF"/>
              <w:right w:val="single" w:sz="12" w:space="0" w:color="FFFFFF"/>
            </w:tcBorders>
            <w:shd w:val="clear" w:color="000000" w:fill="D9D9D9"/>
            <w:noWrap/>
          </w:tcPr>
          <w:p w14:paraId="45B29B52"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7 771 182,54</w:t>
            </w:r>
          </w:p>
        </w:tc>
      </w:tr>
    </w:tbl>
    <w:p w14:paraId="6826678A" w14:textId="77777777" w:rsidR="0004598E" w:rsidRPr="00094641" w:rsidRDefault="0004598E" w:rsidP="0004598E">
      <w:pPr>
        <w:spacing w:after="0" w:line="240" w:lineRule="auto"/>
        <w:jc w:val="both"/>
        <w:rPr>
          <w:b/>
          <w:sz w:val="24"/>
          <w:szCs w:val="24"/>
          <w:lang w:eastAsia="sk-SK"/>
        </w:rPr>
      </w:pPr>
    </w:p>
    <w:p w14:paraId="6C2B6EA4" w14:textId="77777777" w:rsidR="0004598E" w:rsidRPr="00094641" w:rsidRDefault="0004598E" w:rsidP="0004598E">
      <w:pPr>
        <w:spacing w:after="0" w:line="240" w:lineRule="auto"/>
        <w:jc w:val="both"/>
        <w:rPr>
          <w:sz w:val="24"/>
          <w:szCs w:val="24"/>
          <w:lang w:eastAsia="sk-SK"/>
        </w:rPr>
      </w:pPr>
      <w:r w:rsidRPr="00AA44BC">
        <w:rPr>
          <w:b/>
          <w:sz w:val="24"/>
          <w:szCs w:val="24"/>
          <w:u w:val="single"/>
          <w:lang w:eastAsia="sk-SK"/>
        </w:rPr>
        <w:t>Školské zariadenia v zriaďovateľskej</w:t>
      </w:r>
      <w:r w:rsidRPr="00094641">
        <w:rPr>
          <w:b/>
          <w:sz w:val="24"/>
          <w:szCs w:val="24"/>
          <w:u w:val="single"/>
          <w:lang w:eastAsia="sk-SK"/>
        </w:rPr>
        <w:t xml:space="preserve"> pôsobnosti BSK</w:t>
      </w:r>
      <w:r w:rsidRPr="00094641">
        <w:rPr>
          <w:sz w:val="24"/>
          <w:szCs w:val="24"/>
          <w:lang w:eastAsia="sk-SK"/>
        </w:rPr>
        <w:t xml:space="preserve"> evidujú záväzky </w:t>
      </w:r>
      <w:r w:rsidRPr="00094641">
        <w:rPr>
          <w:b/>
          <w:sz w:val="24"/>
          <w:szCs w:val="24"/>
          <w:lang w:eastAsia="sk-SK"/>
        </w:rPr>
        <w:t>k 31.12.20</w:t>
      </w:r>
      <w:r>
        <w:rPr>
          <w:b/>
          <w:sz w:val="24"/>
          <w:szCs w:val="24"/>
          <w:lang w:eastAsia="sk-SK"/>
        </w:rPr>
        <w:t>20</w:t>
      </w:r>
      <w:r w:rsidRPr="00094641">
        <w:rPr>
          <w:sz w:val="24"/>
          <w:szCs w:val="24"/>
          <w:lang w:eastAsia="sk-SK"/>
        </w:rPr>
        <w:t xml:space="preserve"> v celkovej výške </w:t>
      </w:r>
      <w:r>
        <w:rPr>
          <w:b/>
          <w:bCs/>
          <w:sz w:val="24"/>
          <w:szCs w:val="24"/>
          <w:lang w:eastAsia="sk-SK"/>
        </w:rPr>
        <w:t>80 868 529,10</w:t>
      </w:r>
      <w:r w:rsidRPr="00094641">
        <w:rPr>
          <w:b/>
          <w:bCs/>
          <w:sz w:val="24"/>
          <w:szCs w:val="24"/>
          <w:lang w:eastAsia="sk-SK"/>
        </w:rPr>
        <w:t xml:space="preserve"> </w:t>
      </w:r>
      <w:r w:rsidRPr="00094641">
        <w:rPr>
          <w:b/>
          <w:sz w:val="24"/>
          <w:szCs w:val="24"/>
          <w:lang w:eastAsia="sk-SK"/>
        </w:rPr>
        <w:t>EUR</w:t>
      </w:r>
      <w:r w:rsidRPr="00094641">
        <w:rPr>
          <w:sz w:val="24"/>
          <w:szCs w:val="24"/>
          <w:lang w:eastAsia="sk-SK"/>
        </w:rPr>
        <w:t xml:space="preserve">. </w:t>
      </w:r>
    </w:p>
    <w:p w14:paraId="59407673" w14:textId="77777777" w:rsidR="0004598E" w:rsidRPr="00094641" w:rsidRDefault="0004598E" w:rsidP="0004598E">
      <w:pPr>
        <w:pStyle w:val="Odsekzoznamu"/>
        <w:spacing w:after="0" w:line="240" w:lineRule="auto"/>
        <w:ind w:left="2148"/>
        <w:jc w:val="both"/>
        <w:rPr>
          <w:sz w:val="24"/>
          <w:szCs w:val="24"/>
          <w:lang w:eastAsia="sk-SK"/>
        </w:rPr>
      </w:pPr>
    </w:p>
    <w:tbl>
      <w:tblPr>
        <w:tblW w:w="10558" w:type="dxa"/>
        <w:tblInd w:w="55" w:type="dxa"/>
        <w:tblCellMar>
          <w:left w:w="70" w:type="dxa"/>
          <w:right w:w="70" w:type="dxa"/>
        </w:tblCellMar>
        <w:tblLook w:val="04A0" w:firstRow="1" w:lastRow="0" w:firstColumn="1" w:lastColumn="0" w:noHBand="0" w:noVBand="1"/>
      </w:tblPr>
      <w:tblGrid>
        <w:gridCol w:w="3719"/>
        <w:gridCol w:w="2121"/>
        <w:gridCol w:w="2419"/>
        <w:gridCol w:w="2299"/>
      </w:tblGrid>
      <w:tr w:rsidR="0004598E" w:rsidRPr="00094641" w14:paraId="60CBCCAB" w14:textId="77777777" w:rsidTr="0004598E">
        <w:trPr>
          <w:trHeight w:hRule="exact" w:val="565"/>
        </w:trPr>
        <w:tc>
          <w:tcPr>
            <w:tcW w:w="3719" w:type="dxa"/>
            <w:tcBorders>
              <w:top w:val="single" w:sz="12" w:space="0" w:color="FFFFFF"/>
              <w:left w:val="single" w:sz="12" w:space="0" w:color="FFFFFF"/>
              <w:bottom w:val="nil"/>
              <w:right w:val="single" w:sz="12" w:space="0" w:color="FFFFFF"/>
            </w:tcBorders>
            <w:shd w:val="clear" w:color="000000" w:fill="8DB3E2"/>
            <w:vAlign w:val="center"/>
            <w:hideMark/>
          </w:tcPr>
          <w:p w14:paraId="190CF0C6"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PREHĽAD ZÁVÄZKOV RO</w:t>
            </w:r>
          </w:p>
        </w:tc>
        <w:tc>
          <w:tcPr>
            <w:tcW w:w="2121" w:type="dxa"/>
            <w:tcBorders>
              <w:top w:val="single" w:sz="12" w:space="0" w:color="FFFFFF"/>
              <w:left w:val="nil"/>
              <w:bottom w:val="nil"/>
              <w:right w:val="single" w:sz="12" w:space="0" w:color="FFFFFF"/>
            </w:tcBorders>
            <w:shd w:val="clear" w:color="000000" w:fill="8DB3E2"/>
            <w:noWrap/>
            <w:vAlign w:val="center"/>
            <w:hideMark/>
          </w:tcPr>
          <w:p w14:paraId="207D8AFD"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p>
        </w:tc>
        <w:tc>
          <w:tcPr>
            <w:tcW w:w="2419" w:type="dxa"/>
            <w:tcBorders>
              <w:top w:val="single" w:sz="12" w:space="0" w:color="FFFFFF"/>
              <w:left w:val="nil"/>
              <w:bottom w:val="nil"/>
              <w:right w:val="single" w:sz="12" w:space="0" w:color="FFFFFF"/>
            </w:tcBorders>
            <w:shd w:val="clear" w:color="000000" w:fill="8DB3E2"/>
            <w:noWrap/>
            <w:vAlign w:val="center"/>
            <w:hideMark/>
          </w:tcPr>
          <w:p w14:paraId="0B49C216"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299" w:type="dxa"/>
            <w:tcBorders>
              <w:top w:val="single" w:sz="12" w:space="0" w:color="FFFFFF"/>
              <w:left w:val="nil"/>
              <w:bottom w:val="nil"/>
              <w:right w:val="single" w:sz="12" w:space="0" w:color="FFFFFF"/>
            </w:tcBorders>
            <w:shd w:val="clear" w:color="000000" w:fill="8DB3E2"/>
            <w:noWrap/>
            <w:vAlign w:val="center"/>
            <w:hideMark/>
          </w:tcPr>
          <w:p w14:paraId="27A785FC"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23C0BEC3" w14:textId="77777777" w:rsidTr="0004598E">
        <w:trPr>
          <w:trHeight w:hRule="exact" w:val="528"/>
        </w:trPr>
        <w:tc>
          <w:tcPr>
            <w:tcW w:w="3719" w:type="dxa"/>
            <w:tcBorders>
              <w:top w:val="nil"/>
              <w:left w:val="single" w:sz="12" w:space="0" w:color="FFFFFF"/>
              <w:bottom w:val="single" w:sz="12" w:space="0" w:color="FFFFFF"/>
              <w:right w:val="single" w:sz="12" w:space="0" w:color="FFFFFF"/>
            </w:tcBorders>
            <w:shd w:val="clear" w:color="000000" w:fill="8DB3E2"/>
            <w:vAlign w:val="center"/>
            <w:hideMark/>
          </w:tcPr>
          <w:p w14:paraId="057797D6"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v zriaďovateľskej  pôsobnosti BSK  - školské zariadenia  </w:t>
            </w:r>
          </w:p>
        </w:tc>
        <w:tc>
          <w:tcPr>
            <w:tcW w:w="2121" w:type="dxa"/>
            <w:tcBorders>
              <w:top w:val="nil"/>
              <w:left w:val="nil"/>
              <w:bottom w:val="single" w:sz="12" w:space="0" w:color="FFFFFF"/>
              <w:right w:val="single" w:sz="12" w:space="0" w:color="FFFFFF"/>
            </w:tcBorders>
            <w:shd w:val="clear" w:color="000000" w:fill="8DB3E2"/>
            <w:noWrap/>
            <w:vAlign w:val="center"/>
            <w:hideMark/>
          </w:tcPr>
          <w:p w14:paraId="5808ACCE"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419" w:type="dxa"/>
            <w:tcBorders>
              <w:top w:val="nil"/>
              <w:left w:val="nil"/>
              <w:bottom w:val="single" w:sz="12" w:space="0" w:color="FFFFFF"/>
              <w:right w:val="single" w:sz="12" w:space="0" w:color="FFFFFF"/>
            </w:tcBorders>
            <w:shd w:val="clear" w:color="000000" w:fill="8DB3E2"/>
            <w:noWrap/>
            <w:vAlign w:val="center"/>
            <w:hideMark/>
          </w:tcPr>
          <w:p w14:paraId="5FDA404A"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299" w:type="dxa"/>
            <w:tcBorders>
              <w:top w:val="nil"/>
              <w:left w:val="nil"/>
              <w:bottom w:val="single" w:sz="12" w:space="0" w:color="FFFFFF"/>
              <w:right w:val="single" w:sz="12" w:space="0" w:color="FFFFFF"/>
            </w:tcBorders>
            <w:shd w:val="clear" w:color="000000" w:fill="8DB3E2"/>
            <w:noWrap/>
            <w:vAlign w:val="center"/>
            <w:hideMark/>
          </w:tcPr>
          <w:p w14:paraId="52E12E79"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561BFFE3" w14:textId="77777777" w:rsidTr="0004598E">
        <w:trPr>
          <w:trHeight w:hRule="exact" w:val="338"/>
        </w:trPr>
        <w:tc>
          <w:tcPr>
            <w:tcW w:w="3719" w:type="dxa"/>
            <w:tcBorders>
              <w:top w:val="nil"/>
              <w:left w:val="single" w:sz="12" w:space="0" w:color="FFFFFF"/>
              <w:bottom w:val="single" w:sz="12" w:space="0" w:color="FFFFFF"/>
              <w:right w:val="single" w:sz="12" w:space="0" w:color="FFFFFF"/>
            </w:tcBorders>
            <w:shd w:val="clear" w:color="000000" w:fill="808080"/>
            <w:vAlign w:val="center"/>
            <w:hideMark/>
          </w:tcPr>
          <w:p w14:paraId="3462FA69"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lastRenderedPageBreak/>
              <w:t>Záväzky  celkom</w:t>
            </w:r>
          </w:p>
          <w:p w14:paraId="542D5121"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proofErr w:type="spellStart"/>
            <w:r w:rsidRPr="00094641">
              <w:rPr>
                <w:rFonts w:asciiTheme="minorHAnsi" w:hAnsiTheme="minorHAnsi" w:cstheme="minorHAnsi"/>
                <w:b/>
                <w:bCs/>
                <w:color w:val="FFFFFF" w:themeColor="background1"/>
                <w:sz w:val="20"/>
                <w:szCs w:val="20"/>
                <w:lang w:eastAsia="sk-SK"/>
              </w:rPr>
              <w:t>om</w:t>
            </w:r>
            <w:proofErr w:type="spellEnd"/>
          </w:p>
        </w:tc>
        <w:tc>
          <w:tcPr>
            <w:tcW w:w="2121" w:type="dxa"/>
            <w:tcBorders>
              <w:top w:val="nil"/>
              <w:left w:val="nil"/>
              <w:bottom w:val="single" w:sz="12" w:space="0" w:color="FFFFFF"/>
              <w:right w:val="single" w:sz="12" w:space="0" w:color="FFFFFF"/>
            </w:tcBorders>
            <w:shd w:val="clear" w:color="000000" w:fill="808080"/>
            <w:noWrap/>
          </w:tcPr>
          <w:p w14:paraId="698E47A9"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78 110 222,70</w:t>
            </w:r>
          </w:p>
        </w:tc>
        <w:tc>
          <w:tcPr>
            <w:tcW w:w="2419" w:type="dxa"/>
            <w:tcBorders>
              <w:top w:val="nil"/>
              <w:left w:val="nil"/>
              <w:bottom w:val="single" w:sz="12" w:space="0" w:color="FFFFFF"/>
              <w:right w:val="single" w:sz="12" w:space="0" w:color="FFFFFF"/>
            </w:tcBorders>
            <w:shd w:val="clear" w:color="000000" w:fill="808080"/>
            <w:noWrap/>
          </w:tcPr>
          <w:p w14:paraId="12601516"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80 868 529,10</w:t>
            </w:r>
          </w:p>
        </w:tc>
        <w:tc>
          <w:tcPr>
            <w:tcW w:w="2299" w:type="dxa"/>
            <w:tcBorders>
              <w:top w:val="nil"/>
              <w:left w:val="nil"/>
              <w:bottom w:val="single" w:sz="12" w:space="0" w:color="FFFFFF"/>
              <w:right w:val="single" w:sz="12" w:space="0" w:color="FFFFFF"/>
            </w:tcBorders>
            <w:shd w:val="clear" w:color="000000" w:fill="808080"/>
            <w:noWrap/>
          </w:tcPr>
          <w:p w14:paraId="0B1595AF"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2 758 306,40</w:t>
            </w:r>
          </w:p>
        </w:tc>
      </w:tr>
      <w:tr w:rsidR="0004598E" w:rsidRPr="00094641" w14:paraId="15FFFD99" w14:textId="77777777" w:rsidTr="0004598E">
        <w:trPr>
          <w:trHeight w:hRule="exact" w:val="338"/>
        </w:trPr>
        <w:tc>
          <w:tcPr>
            <w:tcW w:w="3719" w:type="dxa"/>
            <w:tcBorders>
              <w:top w:val="nil"/>
              <w:left w:val="single" w:sz="12" w:space="0" w:color="FFFFFF"/>
              <w:bottom w:val="single" w:sz="12" w:space="0" w:color="FFFFFF"/>
              <w:right w:val="single" w:sz="12" w:space="0" w:color="FFFFFF"/>
            </w:tcBorders>
            <w:shd w:val="clear" w:color="000000" w:fill="D9D9D9"/>
            <w:vAlign w:val="center"/>
            <w:hideMark/>
          </w:tcPr>
          <w:p w14:paraId="0B3492D7"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121" w:type="dxa"/>
            <w:tcBorders>
              <w:top w:val="nil"/>
              <w:left w:val="nil"/>
              <w:bottom w:val="single" w:sz="12" w:space="0" w:color="FFFFFF"/>
              <w:right w:val="single" w:sz="12" w:space="0" w:color="FFFFFF"/>
            </w:tcBorders>
            <w:shd w:val="clear" w:color="000000" w:fill="D9D9D9"/>
            <w:noWrap/>
          </w:tcPr>
          <w:p w14:paraId="7AF200BE"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1 032 510,59</w:t>
            </w:r>
          </w:p>
        </w:tc>
        <w:tc>
          <w:tcPr>
            <w:tcW w:w="2419" w:type="dxa"/>
            <w:tcBorders>
              <w:top w:val="nil"/>
              <w:left w:val="nil"/>
              <w:bottom w:val="single" w:sz="12" w:space="0" w:color="FFFFFF"/>
              <w:right w:val="single" w:sz="12" w:space="0" w:color="FFFFFF"/>
            </w:tcBorders>
            <w:shd w:val="clear" w:color="000000" w:fill="D9D9D9"/>
            <w:noWrap/>
          </w:tcPr>
          <w:p w14:paraId="3113738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1 088 390,23</w:t>
            </w:r>
          </w:p>
        </w:tc>
        <w:tc>
          <w:tcPr>
            <w:tcW w:w="2299" w:type="dxa"/>
            <w:tcBorders>
              <w:top w:val="nil"/>
              <w:left w:val="nil"/>
              <w:bottom w:val="single" w:sz="12" w:space="0" w:color="FFFFFF"/>
              <w:right w:val="single" w:sz="12" w:space="0" w:color="FFFFFF"/>
            </w:tcBorders>
            <w:shd w:val="clear" w:color="000000" w:fill="D9D9D9"/>
            <w:noWrap/>
          </w:tcPr>
          <w:p w14:paraId="524401A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55 879,64</w:t>
            </w:r>
          </w:p>
        </w:tc>
      </w:tr>
      <w:tr w:rsidR="0004598E" w:rsidRPr="00094641" w14:paraId="7C5F6F29" w14:textId="77777777" w:rsidTr="0004598E">
        <w:trPr>
          <w:trHeight w:hRule="exact" w:val="338"/>
        </w:trPr>
        <w:tc>
          <w:tcPr>
            <w:tcW w:w="3719" w:type="dxa"/>
            <w:tcBorders>
              <w:top w:val="nil"/>
              <w:left w:val="single" w:sz="12" w:space="0" w:color="FFFFFF"/>
              <w:bottom w:val="single" w:sz="12" w:space="0" w:color="FFFFFF"/>
              <w:right w:val="single" w:sz="12" w:space="0" w:color="FFFFFF"/>
            </w:tcBorders>
            <w:shd w:val="clear" w:color="000000" w:fill="D9D9D9"/>
            <w:vAlign w:val="center"/>
            <w:hideMark/>
          </w:tcPr>
          <w:p w14:paraId="18B08437"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Zúčtovanie medzi subjektmi VS</w:t>
            </w:r>
          </w:p>
        </w:tc>
        <w:tc>
          <w:tcPr>
            <w:tcW w:w="2121" w:type="dxa"/>
            <w:tcBorders>
              <w:top w:val="nil"/>
              <w:left w:val="nil"/>
              <w:bottom w:val="single" w:sz="12" w:space="0" w:color="FFFFFF"/>
              <w:right w:val="single" w:sz="12" w:space="0" w:color="FFFFFF"/>
            </w:tcBorders>
            <w:shd w:val="clear" w:color="000000" w:fill="D9D9D9"/>
            <w:noWrap/>
          </w:tcPr>
          <w:p w14:paraId="46CCFD3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72 184 285,75</w:t>
            </w:r>
          </w:p>
        </w:tc>
        <w:tc>
          <w:tcPr>
            <w:tcW w:w="2419" w:type="dxa"/>
            <w:tcBorders>
              <w:top w:val="nil"/>
              <w:left w:val="nil"/>
              <w:bottom w:val="single" w:sz="12" w:space="0" w:color="FFFFFF"/>
              <w:right w:val="single" w:sz="12" w:space="0" w:color="FFFFFF"/>
            </w:tcBorders>
            <w:shd w:val="clear" w:color="000000" w:fill="D9D9D9"/>
            <w:noWrap/>
          </w:tcPr>
          <w:p w14:paraId="411AC22E"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73 354 728,27</w:t>
            </w:r>
          </w:p>
        </w:tc>
        <w:tc>
          <w:tcPr>
            <w:tcW w:w="2299" w:type="dxa"/>
            <w:tcBorders>
              <w:top w:val="nil"/>
              <w:left w:val="nil"/>
              <w:bottom w:val="single" w:sz="12" w:space="0" w:color="FFFFFF"/>
              <w:right w:val="single" w:sz="12" w:space="0" w:color="FFFFFF"/>
            </w:tcBorders>
            <w:shd w:val="clear" w:color="000000" w:fill="D9D9D9"/>
            <w:noWrap/>
          </w:tcPr>
          <w:p w14:paraId="3A983614"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1 170 442,52</w:t>
            </w:r>
          </w:p>
        </w:tc>
      </w:tr>
      <w:tr w:rsidR="0004598E" w:rsidRPr="00094641" w14:paraId="607DC2CF" w14:textId="77777777" w:rsidTr="0004598E">
        <w:trPr>
          <w:trHeight w:hRule="exact" w:val="338"/>
        </w:trPr>
        <w:tc>
          <w:tcPr>
            <w:tcW w:w="3719" w:type="dxa"/>
            <w:tcBorders>
              <w:top w:val="nil"/>
              <w:left w:val="single" w:sz="12" w:space="0" w:color="FFFFFF"/>
              <w:bottom w:val="single" w:sz="12" w:space="0" w:color="FFFFFF"/>
              <w:right w:val="single" w:sz="12" w:space="0" w:color="FFFFFF"/>
            </w:tcBorders>
            <w:shd w:val="clear" w:color="000000" w:fill="D9D9D9"/>
            <w:vAlign w:val="center"/>
            <w:hideMark/>
          </w:tcPr>
          <w:p w14:paraId="74386630"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121" w:type="dxa"/>
            <w:tcBorders>
              <w:top w:val="nil"/>
              <w:left w:val="nil"/>
              <w:bottom w:val="single" w:sz="12" w:space="0" w:color="FFFFFF"/>
              <w:right w:val="single" w:sz="12" w:space="0" w:color="FFFFFF"/>
            </w:tcBorders>
            <w:shd w:val="clear" w:color="000000" w:fill="D9D9D9"/>
            <w:noWrap/>
          </w:tcPr>
          <w:p w14:paraId="32B527A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306 458,30</w:t>
            </w:r>
          </w:p>
        </w:tc>
        <w:tc>
          <w:tcPr>
            <w:tcW w:w="2419" w:type="dxa"/>
            <w:tcBorders>
              <w:top w:val="nil"/>
              <w:left w:val="nil"/>
              <w:bottom w:val="single" w:sz="12" w:space="0" w:color="FFFFFF"/>
              <w:right w:val="single" w:sz="12" w:space="0" w:color="FFFFFF"/>
            </w:tcBorders>
            <w:shd w:val="clear" w:color="000000" w:fill="D9D9D9"/>
            <w:noWrap/>
          </w:tcPr>
          <w:p w14:paraId="6ABF71B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339 704,19</w:t>
            </w:r>
          </w:p>
        </w:tc>
        <w:tc>
          <w:tcPr>
            <w:tcW w:w="2299" w:type="dxa"/>
            <w:tcBorders>
              <w:top w:val="nil"/>
              <w:left w:val="nil"/>
              <w:bottom w:val="single" w:sz="12" w:space="0" w:color="FFFFFF"/>
              <w:right w:val="single" w:sz="12" w:space="0" w:color="FFFFFF"/>
            </w:tcBorders>
            <w:shd w:val="clear" w:color="000000" w:fill="D9D9D9"/>
            <w:noWrap/>
          </w:tcPr>
          <w:p w14:paraId="4D7A1B7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33 245,89</w:t>
            </w:r>
          </w:p>
        </w:tc>
      </w:tr>
      <w:tr w:rsidR="0004598E" w:rsidRPr="00094641" w14:paraId="4F11156B" w14:textId="77777777" w:rsidTr="0004598E">
        <w:trPr>
          <w:trHeight w:hRule="exact" w:val="338"/>
        </w:trPr>
        <w:tc>
          <w:tcPr>
            <w:tcW w:w="3719" w:type="dxa"/>
            <w:tcBorders>
              <w:top w:val="nil"/>
              <w:left w:val="single" w:sz="12" w:space="0" w:color="FFFFFF"/>
              <w:bottom w:val="single" w:sz="12" w:space="0" w:color="FFFFFF"/>
              <w:right w:val="single" w:sz="12" w:space="0" w:color="FFFFFF"/>
            </w:tcBorders>
            <w:shd w:val="clear" w:color="000000" w:fill="D9D9D9"/>
            <w:vAlign w:val="center"/>
            <w:hideMark/>
          </w:tcPr>
          <w:p w14:paraId="53A759B6"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121" w:type="dxa"/>
            <w:tcBorders>
              <w:top w:val="nil"/>
              <w:left w:val="nil"/>
              <w:bottom w:val="single" w:sz="12" w:space="0" w:color="FFFFFF"/>
              <w:right w:val="single" w:sz="12" w:space="0" w:color="FFFFFF"/>
            </w:tcBorders>
            <w:shd w:val="clear" w:color="000000" w:fill="D9D9D9"/>
            <w:noWrap/>
          </w:tcPr>
          <w:p w14:paraId="56298524"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4 586 968,06</w:t>
            </w:r>
          </w:p>
        </w:tc>
        <w:tc>
          <w:tcPr>
            <w:tcW w:w="2419" w:type="dxa"/>
            <w:tcBorders>
              <w:top w:val="nil"/>
              <w:left w:val="nil"/>
              <w:bottom w:val="single" w:sz="12" w:space="0" w:color="FFFFFF"/>
              <w:right w:val="single" w:sz="12" w:space="0" w:color="FFFFFF"/>
            </w:tcBorders>
            <w:shd w:val="clear" w:color="000000" w:fill="D9D9D9"/>
            <w:noWrap/>
          </w:tcPr>
          <w:p w14:paraId="11E590BF" w14:textId="77777777" w:rsidR="0004598E"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6 085 706,41</w:t>
            </w:r>
          </w:p>
          <w:p w14:paraId="2EEE9A9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p>
        </w:tc>
        <w:tc>
          <w:tcPr>
            <w:tcW w:w="2299" w:type="dxa"/>
            <w:tcBorders>
              <w:top w:val="nil"/>
              <w:left w:val="nil"/>
              <w:bottom w:val="single" w:sz="12" w:space="0" w:color="FFFFFF"/>
              <w:right w:val="single" w:sz="12" w:space="0" w:color="FFFFFF"/>
            </w:tcBorders>
            <w:shd w:val="clear" w:color="000000" w:fill="D9D9D9"/>
            <w:noWrap/>
          </w:tcPr>
          <w:p w14:paraId="12AE983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1 498 738,35</w:t>
            </w:r>
          </w:p>
        </w:tc>
      </w:tr>
      <w:tr w:rsidR="0004598E" w:rsidRPr="00094641" w14:paraId="6A896EFE" w14:textId="77777777" w:rsidTr="0004598E">
        <w:trPr>
          <w:trHeight w:hRule="exact" w:val="338"/>
        </w:trPr>
        <w:tc>
          <w:tcPr>
            <w:tcW w:w="3719" w:type="dxa"/>
            <w:tcBorders>
              <w:top w:val="nil"/>
              <w:left w:val="single" w:sz="12" w:space="0" w:color="FFFFFF"/>
              <w:bottom w:val="single" w:sz="12" w:space="0" w:color="FFFFFF"/>
              <w:right w:val="single" w:sz="12" w:space="0" w:color="FFFFFF"/>
            </w:tcBorders>
            <w:shd w:val="clear" w:color="000000" w:fill="D9D9D9"/>
            <w:vAlign w:val="center"/>
            <w:hideMark/>
          </w:tcPr>
          <w:p w14:paraId="5D6F9B9C"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Bankové úvery a výpomoci</w:t>
            </w:r>
          </w:p>
        </w:tc>
        <w:tc>
          <w:tcPr>
            <w:tcW w:w="2121" w:type="dxa"/>
            <w:tcBorders>
              <w:top w:val="nil"/>
              <w:left w:val="nil"/>
              <w:bottom w:val="single" w:sz="12" w:space="0" w:color="FFFFFF"/>
              <w:right w:val="single" w:sz="12" w:space="0" w:color="FFFFFF"/>
            </w:tcBorders>
            <w:shd w:val="clear" w:color="000000" w:fill="D9D9D9"/>
            <w:noWrap/>
          </w:tcPr>
          <w:p w14:paraId="1DB1A58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419" w:type="dxa"/>
            <w:tcBorders>
              <w:top w:val="nil"/>
              <w:left w:val="nil"/>
              <w:bottom w:val="single" w:sz="12" w:space="0" w:color="FFFFFF"/>
              <w:right w:val="single" w:sz="12" w:space="0" w:color="FFFFFF"/>
            </w:tcBorders>
            <w:shd w:val="clear" w:color="000000" w:fill="D9D9D9"/>
            <w:noWrap/>
          </w:tcPr>
          <w:p w14:paraId="432847E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299" w:type="dxa"/>
            <w:tcBorders>
              <w:top w:val="nil"/>
              <w:left w:val="nil"/>
              <w:bottom w:val="single" w:sz="12" w:space="0" w:color="FFFFFF"/>
              <w:right w:val="single" w:sz="12" w:space="0" w:color="FFFFFF"/>
            </w:tcBorders>
            <w:shd w:val="clear" w:color="000000" w:fill="D9D9D9"/>
            <w:noWrap/>
          </w:tcPr>
          <w:p w14:paraId="7B5AEED6"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r>
    </w:tbl>
    <w:p w14:paraId="3573EBCD" w14:textId="77777777" w:rsidR="0004598E" w:rsidRPr="00094641" w:rsidRDefault="0004598E" w:rsidP="0004598E">
      <w:pPr>
        <w:spacing w:before="100" w:beforeAutospacing="1" w:after="100" w:afterAutospacing="1" w:line="240" w:lineRule="auto"/>
        <w:jc w:val="both"/>
        <w:rPr>
          <w:sz w:val="24"/>
          <w:szCs w:val="24"/>
          <w:lang w:eastAsia="sk-SK"/>
        </w:rPr>
      </w:pPr>
      <w:r w:rsidRPr="00AA44BC">
        <w:rPr>
          <w:b/>
          <w:sz w:val="24"/>
          <w:szCs w:val="24"/>
          <w:u w:val="single"/>
          <w:lang w:eastAsia="sk-SK"/>
        </w:rPr>
        <w:t>Sociálne zariadenia</w:t>
      </w:r>
      <w:r w:rsidRPr="00094641">
        <w:rPr>
          <w:sz w:val="24"/>
          <w:szCs w:val="24"/>
          <w:u w:val="single"/>
          <w:lang w:eastAsia="sk-SK"/>
        </w:rPr>
        <w:t xml:space="preserve"> </w:t>
      </w:r>
      <w:r w:rsidRPr="00094641">
        <w:rPr>
          <w:b/>
          <w:sz w:val="24"/>
          <w:szCs w:val="24"/>
          <w:u w:val="single"/>
          <w:lang w:eastAsia="sk-SK"/>
        </w:rPr>
        <w:t>v zriaďovateľskej pôsobnosti BSK</w:t>
      </w:r>
      <w:r w:rsidRPr="00094641">
        <w:rPr>
          <w:sz w:val="24"/>
          <w:szCs w:val="24"/>
          <w:lang w:eastAsia="sk-SK"/>
        </w:rPr>
        <w:t xml:space="preserve"> evidujú záväzky </w:t>
      </w:r>
      <w:r w:rsidRPr="00094641">
        <w:rPr>
          <w:b/>
          <w:sz w:val="24"/>
          <w:szCs w:val="24"/>
          <w:lang w:eastAsia="sk-SK"/>
        </w:rPr>
        <w:t>k 31.12.20</w:t>
      </w:r>
      <w:r>
        <w:rPr>
          <w:b/>
          <w:sz w:val="24"/>
          <w:szCs w:val="24"/>
          <w:lang w:eastAsia="sk-SK"/>
        </w:rPr>
        <w:t>20</w:t>
      </w:r>
      <w:r w:rsidRPr="00094641">
        <w:rPr>
          <w:sz w:val="24"/>
          <w:szCs w:val="24"/>
          <w:lang w:eastAsia="sk-SK"/>
        </w:rPr>
        <w:t xml:space="preserve"> v celkovej výške </w:t>
      </w:r>
      <w:r>
        <w:rPr>
          <w:b/>
          <w:bCs/>
          <w:sz w:val="24"/>
          <w:szCs w:val="24"/>
          <w:lang w:eastAsia="sk-SK"/>
        </w:rPr>
        <w:t>57 530 607,66</w:t>
      </w:r>
      <w:r w:rsidRPr="00094641">
        <w:rPr>
          <w:b/>
          <w:bCs/>
          <w:sz w:val="24"/>
          <w:szCs w:val="24"/>
          <w:lang w:eastAsia="sk-SK"/>
        </w:rPr>
        <w:t xml:space="preserve"> </w:t>
      </w:r>
      <w:r w:rsidRPr="00094641">
        <w:rPr>
          <w:b/>
          <w:sz w:val="24"/>
          <w:szCs w:val="24"/>
          <w:lang w:eastAsia="sk-SK"/>
        </w:rPr>
        <w:t>EUR</w:t>
      </w:r>
      <w:r w:rsidRPr="00094641">
        <w:rPr>
          <w:sz w:val="24"/>
          <w:szCs w:val="24"/>
          <w:lang w:eastAsia="sk-SK"/>
        </w:rPr>
        <w:t xml:space="preserve">. </w:t>
      </w:r>
    </w:p>
    <w:tbl>
      <w:tblPr>
        <w:tblW w:w="10558" w:type="dxa"/>
        <w:tblInd w:w="55" w:type="dxa"/>
        <w:tblCellMar>
          <w:left w:w="70" w:type="dxa"/>
          <w:right w:w="70" w:type="dxa"/>
        </w:tblCellMar>
        <w:tblLook w:val="04A0" w:firstRow="1" w:lastRow="0" w:firstColumn="1" w:lastColumn="0" w:noHBand="0" w:noVBand="1"/>
      </w:tblPr>
      <w:tblGrid>
        <w:gridCol w:w="3718"/>
        <w:gridCol w:w="2121"/>
        <w:gridCol w:w="2598"/>
        <w:gridCol w:w="2121"/>
      </w:tblGrid>
      <w:tr w:rsidR="0004598E" w:rsidRPr="00094641" w14:paraId="413E8155" w14:textId="77777777" w:rsidTr="0004598E">
        <w:trPr>
          <w:trHeight w:val="276"/>
        </w:trPr>
        <w:tc>
          <w:tcPr>
            <w:tcW w:w="3718" w:type="dxa"/>
            <w:tcBorders>
              <w:top w:val="single" w:sz="12" w:space="0" w:color="FFFFFF"/>
              <w:left w:val="single" w:sz="12" w:space="0" w:color="FFFFFF"/>
              <w:bottom w:val="nil"/>
              <w:right w:val="single" w:sz="12" w:space="0" w:color="FFFFFF"/>
            </w:tcBorders>
            <w:shd w:val="clear" w:color="000000" w:fill="8DB3E2"/>
            <w:vAlign w:val="center"/>
            <w:hideMark/>
          </w:tcPr>
          <w:p w14:paraId="3B29F608"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PREHĽAD ZÁVÄZKOV RO</w:t>
            </w:r>
          </w:p>
        </w:tc>
        <w:tc>
          <w:tcPr>
            <w:tcW w:w="2121" w:type="dxa"/>
            <w:tcBorders>
              <w:top w:val="single" w:sz="12" w:space="0" w:color="FFFFFF"/>
              <w:left w:val="nil"/>
              <w:bottom w:val="nil"/>
              <w:right w:val="single" w:sz="12" w:space="0" w:color="FFFFFF"/>
            </w:tcBorders>
            <w:shd w:val="clear" w:color="000000" w:fill="8DB3E2"/>
            <w:noWrap/>
            <w:vAlign w:val="center"/>
            <w:hideMark/>
          </w:tcPr>
          <w:p w14:paraId="53D07396"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p>
        </w:tc>
        <w:tc>
          <w:tcPr>
            <w:tcW w:w="2598" w:type="dxa"/>
            <w:tcBorders>
              <w:top w:val="single" w:sz="12" w:space="0" w:color="FFFFFF"/>
              <w:left w:val="nil"/>
              <w:bottom w:val="nil"/>
              <w:right w:val="single" w:sz="12" w:space="0" w:color="FFFFFF"/>
            </w:tcBorders>
            <w:shd w:val="clear" w:color="000000" w:fill="8DB3E2"/>
            <w:noWrap/>
            <w:vAlign w:val="center"/>
            <w:hideMark/>
          </w:tcPr>
          <w:p w14:paraId="7EEF23CB"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121" w:type="dxa"/>
            <w:tcBorders>
              <w:top w:val="single" w:sz="12" w:space="0" w:color="FFFFFF"/>
              <w:left w:val="nil"/>
              <w:bottom w:val="nil"/>
              <w:right w:val="single" w:sz="12" w:space="0" w:color="FFFFFF"/>
            </w:tcBorders>
            <w:shd w:val="clear" w:color="000000" w:fill="8DB3E2"/>
            <w:noWrap/>
            <w:vAlign w:val="center"/>
            <w:hideMark/>
          </w:tcPr>
          <w:p w14:paraId="373D2EF0"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3ECE3D99" w14:textId="77777777" w:rsidTr="0004598E">
        <w:trPr>
          <w:trHeight w:val="537"/>
        </w:trPr>
        <w:tc>
          <w:tcPr>
            <w:tcW w:w="3718" w:type="dxa"/>
            <w:tcBorders>
              <w:top w:val="nil"/>
              <w:left w:val="single" w:sz="12" w:space="0" w:color="FFFFFF"/>
              <w:bottom w:val="single" w:sz="12" w:space="0" w:color="FFFFFF"/>
              <w:right w:val="single" w:sz="12" w:space="0" w:color="FFFFFF"/>
            </w:tcBorders>
            <w:shd w:val="clear" w:color="000000" w:fill="8DB3E2"/>
            <w:vAlign w:val="center"/>
            <w:hideMark/>
          </w:tcPr>
          <w:p w14:paraId="15F4730C"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v zriaďovateľskej  pôsobnosti BSK - sociálne zariadenia  </w:t>
            </w:r>
          </w:p>
        </w:tc>
        <w:tc>
          <w:tcPr>
            <w:tcW w:w="2121" w:type="dxa"/>
            <w:tcBorders>
              <w:top w:val="nil"/>
              <w:left w:val="nil"/>
              <w:bottom w:val="single" w:sz="12" w:space="0" w:color="FFFFFF"/>
              <w:right w:val="single" w:sz="12" w:space="0" w:color="FFFFFF"/>
            </w:tcBorders>
            <w:shd w:val="clear" w:color="000000" w:fill="8DB3E2"/>
            <w:noWrap/>
            <w:vAlign w:val="center"/>
            <w:hideMark/>
          </w:tcPr>
          <w:p w14:paraId="5DEE4CAE"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598" w:type="dxa"/>
            <w:tcBorders>
              <w:top w:val="nil"/>
              <w:left w:val="nil"/>
              <w:bottom w:val="single" w:sz="12" w:space="0" w:color="FFFFFF"/>
              <w:right w:val="single" w:sz="12" w:space="0" w:color="FFFFFF"/>
            </w:tcBorders>
            <w:shd w:val="clear" w:color="000000" w:fill="8DB3E2"/>
            <w:noWrap/>
            <w:vAlign w:val="center"/>
            <w:hideMark/>
          </w:tcPr>
          <w:p w14:paraId="1A008754"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121" w:type="dxa"/>
            <w:tcBorders>
              <w:top w:val="nil"/>
              <w:left w:val="nil"/>
              <w:bottom w:val="single" w:sz="12" w:space="0" w:color="FFFFFF"/>
              <w:right w:val="single" w:sz="12" w:space="0" w:color="FFFFFF"/>
            </w:tcBorders>
            <w:shd w:val="clear" w:color="000000" w:fill="8DB3E2"/>
            <w:noWrap/>
            <w:vAlign w:val="center"/>
            <w:hideMark/>
          </w:tcPr>
          <w:p w14:paraId="21546C5F"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035DE53F" w14:textId="77777777" w:rsidTr="0004598E">
        <w:trPr>
          <w:trHeight w:hRule="exact" w:val="342"/>
        </w:trPr>
        <w:tc>
          <w:tcPr>
            <w:tcW w:w="3718" w:type="dxa"/>
            <w:tcBorders>
              <w:top w:val="nil"/>
              <w:left w:val="single" w:sz="12" w:space="0" w:color="FFFFFF"/>
              <w:bottom w:val="single" w:sz="12" w:space="0" w:color="FFFFFF"/>
              <w:right w:val="single" w:sz="12" w:space="0" w:color="FFFFFF"/>
            </w:tcBorders>
            <w:shd w:val="clear" w:color="000000" w:fill="808080"/>
            <w:vAlign w:val="bottom"/>
            <w:hideMark/>
          </w:tcPr>
          <w:p w14:paraId="091DDC32"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Záväzky  celkom</w:t>
            </w:r>
          </w:p>
        </w:tc>
        <w:tc>
          <w:tcPr>
            <w:tcW w:w="2121" w:type="dxa"/>
            <w:tcBorders>
              <w:top w:val="nil"/>
              <w:left w:val="nil"/>
              <w:bottom w:val="single" w:sz="12" w:space="0" w:color="FFFFFF"/>
              <w:right w:val="single" w:sz="12" w:space="0" w:color="FFFFFF"/>
            </w:tcBorders>
            <w:shd w:val="clear" w:color="000000" w:fill="808080"/>
            <w:noWrap/>
          </w:tcPr>
          <w:p w14:paraId="599513D3"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56 722 346,96</w:t>
            </w:r>
          </w:p>
        </w:tc>
        <w:tc>
          <w:tcPr>
            <w:tcW w:w="2598" w:type="dxa"/>
            <w:tcBorders>
              <w:top w:val="nil"/>
              <w:left w:val="nil"/>
              <w:bottom w:val="single" w:sz="12" w:space="0" w:color="FFFFFF"/>
              <w:right w:val="single" w:sz="12" w:space="0" w:color="FFFFFF"/>
            </w:tcBorders>
            <w:shd w:val="clear" w:color="000000" w:fill="808080"/>
            <w:noWrap/>
          </w:tcPr>
          <w:p w14:paraId="47265F31"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57 530 607,66</w:t>
            </w:r>
          </w:p>
        </w:tc>
        <w:tc>
          <w:tcPr>
            <w:tcW w:w="2121" w:type="dxa"/>
            <w:tcBorders>
              <w:top w:val="nil"/>
              <w:left w:val="nil"/>
              <w:bottom w:val="single" w:sz="12" w:space="0" w:color="FFFFFF"/>
              <w:right w:val="single" w:sz="12" w:space="0" w:color="FFFFFF"/>
            </w:tcBorders>
            <w:shd w:val="clear" w:color="000000" w:fill="808080"/>
            <w:noWrap/>
          </w:tcPr>
          <w:p w14:paraId="261EB6F7"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808 260,70</w:t>
            </w:r>
          </w:p>
        </w:tc>
      </w:tr>
      <w:tr w:rsidR="0004598E" w:rsidRPr="00094641" w14:paraId="484F310D" w14:textId="77777777" w:rsidTr="0004598E">
        <w:trPr>
          <w:trHeight w:hRule="exact" w:val="342"/>
        </w:trPr>
        <w:tc>
          <w:tcPr>
            <w:tcW w:w="3718" w:type="dxa"/>
            <w:tcBorders>
              <w:top w:val="nil"/>
              <w:left w:val="single" w:sz="12" w:space="0" w:color="FFFFFF"/>
              <w:bottom w:val="single" w:sz="12" w:space="0" w:color="FFFFFF"/>
              <w:right w:val="single" w:sz="12" w:space="0" w:color="FFFFFF"/>
            </w:tcBorders>
            <w:shd w:val="clear" w:color="000000" w:fill="D9D9D9"/>
            <w:vAlign w:val="bottom"/>
            <w:hideMark/>
          </w:tcPr>
          <w:p w14:paraId="44304840"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121" w:type="dxa"/>
            <w:tcBorders>
              <w:top w:val="nil"/>
              <w:left w:val="nil"/>
              <w:bottom w:val="single" w:sz="12" w:space="0" w:color="FFFFFF"/>
              <w:right w:val="single" w:sz="12" w:space="0" w:color="FFFFFF"/>
            </w:tcBorders>
            <w:shd w:val="clear" w:color="000000" w:fill="D9D9D9"/>
            <w:noWrap/>
          </w:tcPr>
          <w:p w14:paraId="0B50991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550 800,69</w:t>
            </w:r>
          </w:p>
        </w:tc>
        <w:tc>
          <w:tcPr>
            <w:tcW w:w="2598" w:type="dxa"/>
            <w:tcBorders>
              <w:top w:val="nil"/>
              <w:left w:val="nil"/>
              <w:bottom w:val="single" w:sz="12" w:space="0" w:color="FFFFFF"/>
              <w:right w:val="single" w:sz="12" w:space="0" w:color="FFFFFF"/>
            </w:tcBorders>
            <w:shd w:val="clear" w:color="000000" w:fill="D9D9D9"/>
            <w:noWrap/>
          </w:tcPr>
          <w:p w14:paraId="2E0DD90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602 570,09</w:t>
            </w:r>
          </w:p>
        </w:tc>
        <w:tc>
          <w:tcPr>
            <w:tcW w:w="2121" w:type="dxa"/>
            <w:tcBorders>
              <w:top w:val="nil"/>
              <w:left w:val="nil"/>
              <w:bottom w:val="single" w:sz="12" w:space="0" w:color="FFFFFF"/>
              <w:right w:val="single" w:sz="12" w:space="0" w:color="FFFFFF"/>
            </w:tcBorders>
            <w:shd w:val="clear" w:color="000000" w:fill="D9D9D9"/>
            <w:noWrap/>
          </w:tcPr>
          <w:p w14:paraId="644BBAEE"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51 769,40</w:t>
            </w:r>
          </w:p>
        </w:tc>
      </w:tr>
      <w:tr w:rsidR="0004598E" w:rsidRPr="00094641" w14:paraId="0EE853C3" w14:textId="77777777" w:rsidTr="0004598E">
        <w:trPr>
          <w:trHeight w:hRule="exact" w:val="342"/>
        </w:trPr>
        <w:tc>
          <w:tcPr>
            <w:tcW w:w="3718" w:type="dxa"/>
            <w:tcBorders>
              <w:top w:val="nil"/>
              <w:left w:val="single" w:sz="12" w:space="0" w:color="FFFFFF"/>
              <w:bottom w:val="single" w:sz="12" w:space="0" w:color="FFFFFF"/>
              <w:right w:val="single" w:sz="12" w:space="0" w:color="FFFFFF"/>
            </w:tcBorders>
            <w:shd w:val="clear" w:color="000000" w:fill="D9D9D9"/>
            <w:vAlign w:val="bottom"/>
            <w:hideMark/>
          </w:tcPr>
          <w:p w14:paraId="21198B7A"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Zúčtovanie medzi subjektmi VS</w:t>
            </w:r>
          </w:p>
        </w:tc>
        <w:tc>
          <w:tcPr>
            <w:tcW w:w="2121" w:type="dxa"/>
            <w:tcBorders>
              <w:top w:val="nil"/>
              <w:left w:val="nil"/>
              <w:bottom w:val="single" w:sz="12" w:space="0" w:color="FFFFFF"/>
              <w:right w:val="single" w:sz="12" w:space="0" w:color="FFFFFF"/>
            </w:tcBorders>
            <w:shd w:val="clear" w:color="000000" w:fill="D9D9D9"/>
            <w:noWrap/>
          </w:tcPr>
          <w:p w14:paraId="6C08934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54 327 455,97</w:t>
            </w:r>
          </w:p>
        </w:tc>
        <w:tc>
          <w:tcPr>
            <w:tcW w:w="2598" w:type="dxa"/>
            <w:tcBorders>
              <w:top w:val="nil"/>
              <w:left w:val="nil"/>
              <w:bottom w:val="single" w:sz="12" w:space="0" w:color="FFFFFF"/>
              <w:right w:val="single" w:sz="12" w:space="0" w:color="FFFFFF"/>
            </w:tcBorders>
            <w:shd w:val="clear" w:color="000000" w:fill="D9D9D9"/>
            <w:noWrap/>
          </w:tcPr>
          <w:p w14:paraId="2007AB7E"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54 495 395,94</w:t>
            </w:r>
          </w:p>
        </w:tc>
        <w:tc>
          <w:tcPr>
            <w:tcW w:w="2121" w:type="dxa"/>
            <w:tcBorders>
              <w:top w:val="nil"/>
              <w:left w:val="nil"/>
              <w:bottom w:val="single" w:sz="12" w:space="0" w:color="FFFFFF"/>
              <w:right w:val="single" w:sz="12" w:space="0" w:color="FFFFFF"/>
            </w:tcBorders>
            <w:shd w:val="clear" w:color="000000" w:fill="D9D9D9"/>
            <w:noWrap/>
          </w:tcPr>
          <w:p w14:paraId="614AD55E"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167 939,97</w:t>
            </w:r>
          </w:p>
        </w:tc>
      </w:tr>
      <w:tr w:rsidR="0004598E" w:rsidRPr="00094641" w14:paraId="0918DF11" w14:textId="77777777" w:rsidTr="0004598E">
        <w:trPr>
          <w:trHeight w:hRule="exact" w:val="342"/>
        </w:trPr>
        <w:tc>
          <w:tcPr>
            <w:tcW w:w="3718" w:type="dxa"/>
            <w:tcBorders>
              <w:top w:val="nil"/>
              <w:left w:val="single" w:sz="12" w:space="0" w:color="FFFFFF"/>
              <w:bottom w:val="single" w:sz="12" w:space="0" w:color="FFFFFF"/>
              <w:right w:val="single" w:sz="12" w:space="0" w:color="FFFFFF"/>
            </w:tcBorders>
            <w:shd w:val="clear" w:color="000000" w:fill="D9D9D9"/>
            <w:vAlign w:val="bottom"/>
            <w:hideMark/>
          </w:tcPr>
          <w:p w14:paraId="01E226CD"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121" w:type="dxa"/>
            <w:tcBorders>
              <w:top w:val="nil"/>
              <w:left w:val="nil"/>
              <w:bottom w:val="single" w:sz="12" w:space="0" w:color="FFFFFF"/>
              <w:right w:val="single" w:sz="12" w:space="0" w:color="FFFFFF"/>
            </w:tcBorders>
            <w:shd w:val="clear" w:color="000000" w:fill="D9D9D9"/>
            <w:noWrap/>
          </w:tcPr>
          <w:p w14:paraId="5BF73A7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123 842,13</w:t>
            </w:r>
          </w:p>
        </w:tc>
        <w:tc>
          <w:tcPr>
            <w:tcW w:w="2598" w:type="dxa"/>
            <w:tcBorders>
              <w:top w:val="nil"/>
              <w:left w:val="nil"/>
              <w:bottom w:val="single" w:sz="12" w:space="0" w:color="FFFFFF"/>
              <w:right w:val="single" w:sz="12" w:space="0" w:color="FFFFFF"/>
            </w:tcBorders>
            <w:shd w:val="clear" w:color="000000" w:fill="D9D9D9"/>
            <w:noWrap/>
          </w:tcPr>
          <w:p w14:paraId="368B100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126 672,06</w:t>
            </w:r>
          </w:p>
        </w:tc>
        <w:tc>
          <w:tcPr>
            <w:tcW w:w="2121" w:type="dxa"/>
            <w:tcBorders>
              <w:top w:val="nil"/>
              <w:left w:val="nil"/>
              <w:bottom w:val="single" w:sz="12" w:space="0" w:color="FFFFFF"/>
              <w:right w:val="single" w:sz="12" w:space="0" w:color="FFFFFF"/>
            </w:tcBorders>
            <w:shd w:val="clear" w:color="000000" w:fill="D9D9D9"/>
            <w:noWrap/>
          </w:tcPr>
          <w:p w14:paraId="0FF36FE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2 829,93</w:t>
            </w:r>
          </w:p>
        </w:tc>
      </w:tr>
      <w:tr w:rsidR="0004598E" w:rsidRPr="00094641" w14:paraId="3452F641" w14:textId="77777777" w:rsidTr="0004598E">
        <w:trPr>
          <w:trHeight w:hRule="exact" w:val="342"/>
        </w:trPr>
        <w:tc>
          <w:tcPr>
            <w:tcW w:w="3718" w:type="dxa"/>
            <w:tcBorders>
              <w:top w:val="nil"/>
              <w:left w:val="single" w:sz="12" w:space="0" w:color="FFFFFF"/>
              <w:bottom w:val="single" w:sz="12" w:space="0" w:color="FFFFFF"/>
              <w:right w:val="single" w:sz="12" w:space="0" w:color="FFFFFF"/>
            </w:tcBorders>
            <w:shd w:val="clear" w:color="000000" w:fill="D9D9D9"/>
            <w:vAlign w:val="bottom"/>
            <w:hideMark/>
          </w:tcPr>
          <w:p w14:paraId="1A32431B"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121" w:type="dxa"/>
            <w:tcBorders>
              <w:top w:val="nil"/>
              <w:left w:val="nil"/>
              <w:bottom w:val="single" w:sz="12" w:space="0" w:color="FFFFFF"/>
              <w:right w:val="single" w:sz="12" w:space="0" w:color="FFFFFF"/>
            </w:tcBorders>
            <w:shd w:val="clear" w:color="000000" w:fill="D9D9D9"/>
            <w:noWrap/>
          </w:tcPr>
          <w:p w14:paraId="1545119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1 720 248,17</w:t>
            </w:r>
          </w:p>
        </w:tc>
        <w:tc>
          <w:tcPr>
            <w:tcW w:w="2598" w:type="dxa"/>
            <w:tcBorders>
              <w:top w:val="nil"/>
              <w:left w:val="nil"/>
              <w:bottom w:val="single" w:sz="12" w:space="0" w:color="FFFFFF"/>
              <w:right w:val="single" w:sz="12" w:space="0" w:color="FFFFFF"/>
            </w:tcBorders>
            <w:shd w:val="clear" w:color="000000" w:fill="D9D9D9"/>
            <w:noWrap/>
          </w:tcPr>
          <w:p w14:paraId="15BFA85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2 305 969,57</w:t>
            </w:r>
          </w:p>
        </w:tc>
        <w:tc>
          <w:tcPr>
            <w:tcW w:w="2121" w:type="dxa"/>
            <w:tcBorders>
              <w:top w:val="nil"/>
              <w:left w:val="nil"/>
              <w:bottom w:val="single" w:sz="12" w:space="0" w:color="FFFFFF"/>
              <w:right w:val="single" w:sz="12" w:space="0" w:color="FFFFFF"/>
            </w:tcBorders>
            <w:shd w:val="clear" w:color="000000" w:fill="D9D9D9"/>
            <w:noWrap/>
          </w:tcPr>
          <w:p w14:paraId="74A9E21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585 721,40</w:t>
            </w:r>
          </w:p>
        </w:tc>
      </w:tr>
      <w:tr w:rsidR="0004598E" w:rsidRPr="00094641" w14:paraId="3770AA71" w14:textId="77777777" w:rsidTr="0004598E">
        <w:trPr>
          <w:trHeight w:hRule="exact" w:val="342"/>
        </w:trPr>
        <w:tc>
          <w:tcPr>
            <w:tcW w:w="3718" w:type="dxa"/>
            <w:tcBorders>
              <w:top w:val="nil"/>
              <w:left w:val="single" w:sz="12" w:space="0" w:color="FFFFFF"/>
              <w:bottom w:val="single" w:sz="12" w:space="0" w:color="FFFFFF"/>
              <w:right w:val="single" w:sz="12" w:space="0" w:color="FFFFFF"/>
            </w:tcBorders>
            <w:shd w:val="clear" w:color="000000" w:fill="D9D9D9"/>
            <w:vAlign w:val="bottom"/>
            <w:hideMark/>
          </w:tcPr>
          <w:p w14:paraId="6DBDDF1F"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Bankové úvery a výpomoci</w:t>
            </w:r>
          </w:p>
        </w:tc>
        <w:tc>
          <w:tcPr>
            <w:tcW w:w="2121" w:type="dxa"/>
            <w:tcBorders>
              <w:top w:val="nil"/>
              <w:left w:val="nil"/>
              <w:bottom w:val="single" w:sz="12" w:space="0" w:color="FFFFFF"/>
              <w:right w:val="single" w:sz="12" w:space="0" w:color="FFFFFF"/>
            </w:tcBorders>
            <w:shd w:val="clear" w:color="000000" w:fill="D9D9D9"/>
            <w:noWrap/>
          </w:tcPr>
          <w:p w14:paraId="28259B5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598" w:type="dxa"/>
            <w:tcBorders>
              <w:top w:val="nil"/>
              <w:left w:val="nil"/>
              <w:bottom w:val="single" w:sz="12" w:space="0" w:color="FFFFFF"/>
              <w:right w:val="single" w:sz="12" w:space="0" w:color="FFFFFF"/>
            </w:tcBorders>
            <w:shd w:val="clear" w:color="000000" w:fill="D9D9D9"/>
            <w:noWrap/>
          </w:tcPr>
          <w:p w14:paraId="45C5A58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121" w:type="dxa"/>
            <w:tcBorders>
              <w:top w:val="nil"/>
              <w:left w:val="nil"/>
              <w:bottom w:val="single" w:sz="12" w:space="0" w:color="FFFFFF"/>
              <w:right w:val="single" w:sz="12" w:space="0" w:color="FFFFFF"/>
            </w:tcBorders>
            <w:shd w:val="clear" w:color="000000" w:fill="D9D9D9"/>
            <w:noWrap/>
          </w:tcPr>
          <w:p w14:paraId="4A6C4A7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r>
    </w:tbl>
    <w:p w14:paraId="35027289" w14:textId="77777777" w:rsidR="0004598E" w:rsidRPr="00094641" w:rsidRDefault="0004598E" w:rsidP="0004598E">
      <w:pPr>
        <w:pStyle w:val="tl3"/>
        <w:ind w:firstLine="0"/>
        <w:rPr>
          <w:lang w:eastAsia="sk-SK"/>
        </w:rPr>
      </w:pPr>
    </w:p>
    <w:p w14:paraId="39F0C7CA" w14:textId="77777777" w:rsidR="0004598E" w:rsidRPr="00094641" w:rsidRDefault="0004598E" w:rsidP="0004598E">
      <w:pPr>
        <w:pStyle w:val="tl3"/>
        <w:rPr>
          <w:lang w:eastAsia="sk-SK"/>
        </w:rPr>
      </w:pPr>
      <w:r w:rsidRPr="00AA44BC">
        <w:rPr>
          <w:lang w:eastAsia="sk-SK"/>
        </w:rPr>
        <w:t xml:space="preserve">E.1.2 </w:t>
      </w:r>
      <w:r w:rsidRPr="00687C60">
        <w:rPr>
          <w:lang w:eastAsia="sk-SK"/>
        </w:rPr>
        <w:t>Príspevkové organizácie BSK</w:t>
      </w:r>
    </w:p>
    <w:p w14:paraId="652D57F0" w14:textId="77777777" w:rsidR="0004598E" w:rsidRPr="00094641" w:rsidRDefault="0004598E" w:rsidP="0004598E">
      <w:pPr>
        <w:spacing w:before="120" w:after="0" w:line="240" w:lineRule="auto"/>
        <w:jc w:val="both"/>
        <w:rPr>
          <w:sz w:val="24"/>
          <w:szCs w:val="24"/>
          <w:lang w:eastAsia="sk-SK"/>
        </w:rPr>
      </w:pPr>
      <w:r w:rsidRPr="00094641">
        <w:rPr>
          <w:b/>
          <w:sz w:val="24"/>
          <w:szCs w:val="24"/>
          <w:lang w:eastAsia="sk-SK"/>
        </w:rPr>
        <w:t xml:space="preserve">Celková výška záväzkov príspevkových organizácií </w:t>
      </w:r>
      <w:r w:rsidRPr="00094641">
        <w:rPr>
          <w:sz w:val="24"/>
          <w:szCs w:val="24"/>
          <w:lang w:eastAsia="sk-SK"/>
        </w:rPr>
        <w:t xml:space="preserve">podľa účtovnej závierky </w:t>
      </w:r>
      <w:r w:rsidRPr="00094641">
        <w:rPr>
          <w:b/>
          <w:sz w:val="24"/>
          <w:szCs w:val="24"/>
          <w:lang w:eastAsia="sk-SK"/>
        </w:rPr>
        <w:t>k 31.12.20</w:t>
      </w:r>
      <w:r>
        <w:rPr>
          <w:b/>
          <w:sz w:val="24"/>
          <w:szCs w:val="24"/>
          <w:lang w:eastAsia="sk-SK"/>
        </w:rPr>
        <w:t>20</w:t>
      </w:r>
      <w:r w:rsidRPr="00094641">
        <w:rPr>
          <w:sz w:val="24"/>
          <w:szCs w:val="24"/>
          <w:lang w:eastAsia="sk-SK"/>
        </w:rPr>
        <w:t xml:space="preserve"> predstavovala sumu </w:t>
      </w:r>
      <w:r>
        <w:rPr>
          <w:b/>
          <w:bCs/>
          <w:sz w:val="24"/>
          <w:szCs w:val="24"/>
          <w:lang w:eastAsia="sk-SK"/>
        </w:rPr>
        <w:t>40 289 575,66</w:t>
      </w:r>
      <w:r w:rsidRPr="00094641">
        <w:rPr>
          <w:b/>
          <w:bCs/>
          <w:sz w:val="24"/>
          <w:szCs w:val="24"/>
          <w:lang w:eastAsia="sk-SK"/>
        </w:rPr>
        <w:t xml:space="preserve"> </w:t>
      </w:r>
      <w:r w:rsidRPr="00094641">
        <w:rPr>
          <w:b/>
          <w:sz w:val="24"/>
          <w:szCs w:val="24"/>
          <w:lang w:eastAsia="sk-SK"/>
        </w:rPr>
        <w:t>EUR</w:t>
      </w:r>
      <w:r w:rsidRPr="00094641">
        <w:rPr>
          <w:sz w:val="24"/>
          <w:szCs w:val="24"/>
          <w:lang w:eastAsia="sk-SK"/>
        </w:rPr>
        <w:t xml:space="preserve">. </w:t>
      </w:r>
    </w:p>
    <w:p w14:paraId="17937DF0" w14:textId="77777777" w:rsidR="0004598E" w:rsidRPr="00094641" w:rsidRDefault="0004598E" w:rsidP="0004598E">
      <w:pPr>
        <w:spacing w:before="120" w:after="0" w:line="240" w:lineRule="auto"/>
        <w:ind w:firstLine="709"/>
        <w:jc w:val="both"/>
        <w:rPr>
          <w:sz w:val="24"/>
          <w:szCs w:val="24"/>
          <w:lang w:eastAsia="sk-SK"/>
        </w:rPr>
      </w:pPr>
    </w:p>
    <w:tbl>
      <w:tblPr>
        <w:tblW w:w="10522" w:type="dxa"/>
        <w:tblInd w:w="55" w:type="dxa"/>
        <w:tblCellMar>
          <w:left w:w="70" w:type="dxa"/>
          <w:right w:w="70" w:type="dxa"/>
        </w:tblCellMar>
        <w:tblLook w:val="04A0" w:firstRow="1" w:lastRow="0" w:firstColumn="1" w:lastColumn="0" w:noHBand="0" w:noVBand="1"/>
      </w:tblPr>
      <w:tblGrid>
        <w:gridCol w:w="3706"/>
        <w:gridCol w:w="2396"/>
        <w:gridCol w:w="2306"/>
        <w:gridCol w:w="2114"/>
      </w:tblGrid>
      <w:tr w:rsidR="0004598E" w:rsidRPr="00094641" w14:paraId="3F669220" w14:textId="77777777" w:rsidTr="0004598E">
        <w:trPr>
          <w:trHeight w:val="268"/>
        </w:trPr>
        <w:tc>
          <w:tcPr>
            <w:tcW w:w="3706" w:type="dxa"/>
            <w:tcBorders>
              <w:top w:val="single" w:sz="12" w:space="0" w:color="FFFFFF"/>
              <w:left w:val="single" w:sz="12" w:space="0" w:color="FFFFFF"/>
              <w:bottom w:val="nil"/>
              <w:right w:val="single" w:sz="12" w:space="0" w:color="FFFFFF"/>
            </w:tcBorders>
            <w:shd w:val="clear" w:color="000000" w:fill="8DB3E2"/>
            <w:vAlign w:val="center"/>
            <w:hideMark/>
          </w:tcPr>
          <w:p w14:paraId="10531B4F"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PREHĽAD ZÁVÄZKOV PO</w:t>
            </w:r>
          </w:p>
        </w:tc>
        <w:tc>
          <w:tcPr>
            <w:tcW w:w="2396" w:type="dxa"/>
            <w:tcBorders>
              <w:top w:val="single" w:sz="12" w:space="0" w:color="FFFFFF"/>
              <w:left w:val="nil"/>
              <w:bottom w:val="nil"/>
              <w:right w:val="single" w:sz="12" w:space="0" w:color="FFFFFF"/>
            </w:tcBorders>
            <w:shd w:val="clear" w:color="000000" w:fill="8DB3E2"/>
            <w:noWrap/>
            <w:vAlign w:val="center"/>
            <w:hideMark/>
          </w:tcPr>
          <w:p w14:paraId="5F4B653D"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p>
        </w:tc>
        <w:tc>
          <w:tcPr>
            <w:tcW w:w="2306" w:type="dxa"/>
            <w:tcBorders>
              <w:top w:val="single" w:sz="12" w:space="0" w:color="FFFFFF"/>
              <w:left w:val="nil"/>
              <w:bottom w:val="nil"/>
              <w:right w:val="single" w:sz="12" w:space="0" w:color="FFFFFF"/>
            </w:tcBorders>
            <w:shd w:val="clear" w:color="000000" w:fill="8DB3E2"/>
            <w:noWrap/>
            <w:vAlign w:val="center"/>
            <w:hideMark/>
          </w:tcPr>
          <w:p w14:paraId="6A77B032"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114" w:type="dxa"/>
            <w:tcBorders>
              <w:top w:val="single" w:sz="12" w:space="0" w:color="FFFFFF"/>
              <w:left w:val="nil"/>
              <w:bottom w:val="nil"/>
              <w:right w:val="single" w:sz="12" w:space="0" w:color="FFFFFF"/>
            </w:tcBorders>
            <w:shd w:val="clear" w:color="000000" w:fill="8DB3E2"/>
            <w:noWrap/>
            <w:vAlign w:val="center"/>
            <w:hideMark/>
          </w:tcPr>
          <w:p w14:paraId="0CAF629B"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35C316EB" w14:textId="77777777" w:rsidTr="0004598E">
        <w:trPr>
          <w:trHeight w:val="268"/>
        </w:trPr>
        <w:tc>
          <w:tcPr>
            <w:tcW w:w="3706" w:type="dxa"/>
            <w:tcBorders>
              <w:top w:val="nil"/>
              <w:left w:val="single" w:sz="12" w:space="0" w:color="FFFFFF"/>
              <w:bottom w:val="single" w:sz="12" w:space="0" w:color="FFFFFF"/>
              <w:right w:val="single" w:sz="12" w:space="0" w:color="FFFFFF"/>
            </w:tcBorders>
            <w:shd w:val="clear" w:color="000000" w:fill="8DB3E2"/>
            <w:vAlign w:val="center"/>
            <w:hideMark/>
          </w:tcPr>
          <w:p w14:paraId="5D00A9D8"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v zriaďovateľskej  pôsobnosti BSK </w:t>
            </w:r>
          </w:p>
        </w:tc>
        <w:tc>
          <w:tcPr>
            <w:tcW w:w="2396" w:type="dxa"/>
            <w:tcBorders>
              <w:top w:val="nil"/>
              <w:left w:val="nil"/>
              <w:bottom w:val="single" w:sz="12" w:space="0" w:color="FFFFFF"/>
              <w:right w:val="single" w:sz="12" w:space="0" w:color="FFFFFF"/>
            </w:tcBorders>
            <w:shd w:val="clear" w:color="000000" w:fill="8DB3E2"/>
            <w:noWrap/>
            <w:vAlign w:val="center"/>
            <w:hideMark/>
          </w:tcPr>
          <w:p w14:paraId="7D80A399"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306" w:type="dxa"/>
            <w:tcBorders>
              <w:top w:val="nil"/>
              <w:left w:val="nil"/>
              <w:bottom w:val="single" w:sz="12" w:space="0" w:color="FFFFFF"/>
              <w:right w:val="single" w:sz="12" w:space="0" w:color="FFFFFF"/>
            </w:tcBorders>
            <w:shd w:val="clear" w:color="000000" w:fill="8DB3E2"/>
            <w:noWrap/>
            <w:vAlign w:val="center"/>
            <w:hideMark/>
          </w:tcPr>
          <w:p w14:paraId="4B112682"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114" w:type="dxa"/>
            <w:tcBorders>
              <w:top w:val="nil"/>
              <w:left w:val="nil"/>
              <w:bottom w:val="single" w:sz="12" w:space="0" w:color="FFFFFF"/>
              <w:right w:val="single" w:sz="12" w:space="0" w:color="FFFFFF"/>
            </w:tcBorders>
            <w:shd w:val="clear" w:color="000000" w:fill="8DB3E2"/>
            <w:noWrap/>
            <w:vAlign w:val="center"/>
            <w:hideMark/>
          </w:tcPr>
          <w:p w14:paraId="6BFF21DD"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2405F12D" w14:textId="77777777" w:rsidTr="0004598E">
        <w:trPr>
          <w:trHeight w:hRule="exact" w:val="334"/>
        </w:trPr>
        <w:tc>
          <w:tcPr>
            <w:tcW w:w="3706" w:type="dxa"/>
            <w:tcBorders>
              <w:top w:val="nil"/>
              <w:left w:val="single" w:sz="12" w:space="0" w:color="FFFFFF"/>
              <w:bottom w:val="single" w:sz="12" w:space="0" w:color="FFFFFF"/>
              <w:right w:val="single" w:sz="12" w:space="0" w:color="FFFFFF"/>
            </w:tcBorders>
            <w:shd w:val="clear" w:color="000000" w:fill="808080"/>
            <w:vAlign w:val="center"/>
            <w:hideMark/>
          </w:tcPr>
          <w:p w14:paraId="18530420"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 xml:space="preserve">Záväzky celkom </w:t>
            </w:r>
          </w:p>
        </w:tc>
        <w:tc>
          <w:tcPr>
            <w:tcW w:w="2396" w:type="dxa"/>
            <w:tcBorders>
              <w:top w:val="nil"/>
              <w:left w:val="nil"/>
              <w:bottom w:val="single" w:sz="12" w:space="0" w:color="FFFFFF"/>
              <w:right w:val="single" w:sz="12" w:space="0" w:color="FFFFFF"/>
            </w:tcBorders>
            <w:shd w:val="clear" w:color="000000" w:fill="808080"/>
            <w:noWrap/>
          </w:tcPr>
          <w:p w14:paraId="43D1EF6E"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38 882 135,34</w:t>
            </w:r>
          </w:p>
        </w:tc>
        <w:tc>
          <w:tcPr>
            <w:tcW w:w="2306" w:type="dxa"/>
            <w:tcBorders>
              <w:top w:val="nil"/>
              <w:left w:val="nil"/>
              <w:bottom w:val="single" w:sz="12" w:space="0" w:color="FFFFFF"/>
              <w:right w:val="single" w:sz="12" w:space="0" w:color="FFFFFF"/>
            </w:tcBorders>
            <w:shd w:val="clear" w:color="000000" w:fill="808080"/>
            <w:noWrap/>
          </w:tcPr>
          <w:p w14:paraId="67DB2474"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40 289 575,66</w:t>
            </w:r>
          </w:p>
        </w:tc>
        <w:tc>
          <w:tcPr>
            <w:tcW w:w="2114" w:type="dxa"/>
            <w:tcBorders>
              <w:top w:val="nil"/>
              <w:left w:val="nil"/>
              <w:bottom w:val="single" w:sz="12" w:space="0" w:color="FFFFFF"/>
              <w:right w:val="single" w:sz="12" w:space="0" w:color="FFFFFF"/>
            </w:tcBorders>
            <w:shd w:val="clear" w:color="000000" w:fill="808080"/>
            <w:noWrap/>
          </w:tcPr>
          <w:p w14:paraId="5D1259A5"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1 407 440,32</w:t>
            </w:r>
          </w:p>
        </w:tc>
      </w:tr>
      <w:tr w:rsidR="0004598E" w:rsidRPr="00094641" w14:paraId="3A749BAF" w14:textId="77777777" w:rsidTr="0004598E">
        <w:trPr>
          <w:trHeight w:hRule="exact" w:val="334"/>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130203D9"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396" w:type="dxa"/>
            <w:tcBorders>
              <w:top w:val="nil"/>
              <w:left w:val="nil"/>
              <w:bottom w:val="single" w:sz="12" w:space="0" w:color="FFFFFF"/>
              <w:right w:val="single" w:sz="12" w:space="0" w:color="FFFFFF"/>
            </w:tcBorders>
            <w:shd w:val="clear" w:color="000000" w:fill="D9D9D9"/>
            <w:noWrap/>
          </w:tcPr>
          <w:p w14:paraId="4F5A4DA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500 039,37</w:t>
            </w:r>
          </w:p>
        </w:tc>
        <w:tc>
          <w:tcPr>
            <w:tcW w:w="2306" w:type="dxa"/>
            <w:tcBorders>
              <w:top w:val="nil"/>
              <w:left w:val="nil"/>
              <w:bottom w:val="single" w:sz="12" w:space="0" w:color="FFFFFF"/>
              <w:right w:val="single" w:sz="12" w:space="0" w:color="FFFFFF"/>
            </w:tcBorders>
            <w:shd w:val="clear" w:color="000000" w:fill="D9D9D9"/>
            <w:noWrap/>
          </w:tcPr>
          <w:p w14:paraId="56621E3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576 007,11</w:t>
            </w:r>
          </w:p>
        </w:tc>
        <w:tc>
          <w:tcPr>
            <w:tcW w:w="2114" w:type="dxa"/>
            <w:tcBorders>
              <w:top w:val="nil"/>
              <w:left w:val="nil"/>
              <w:bottom w:val="single" w:sz="12" w:space="0" w:color="FFFFFF"/>
              <w:right w:val="single" w:sz="12" w:space="0" w:color="FFFFFF"/>
            </w:tcBorders>
            <w:shd w:val="clear" w:color="000000" w:fill="D9D9D9"/>
            <w:noWrap/>
          </w:tcPr>
          <w:p w14:paraId="0D2E0B4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75 967,74</w:t>
            </w:r>
          </w:p>
        </w:tc>
      </w:tr>
      <w:tr w:rsidR="0004598E" w:rsidRPr="00094641" w14:paraId="143C8D8F" w14:textId="77777777" w:rsidTr="0004598E">
        <w:trPr>
          <w:trHeight w:hRule="exact" w:val="334"/>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26855514"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Zúčtovanie medzi subjektmi verejnej správy </w:t>
            </w:r>
          </w:p>
        </w:tc>
        <w:tc>
          <w:tcPr>
            <w:tcW w:w="2396" w:type="dxa"/>
            <w:tcBorders>
              <w:top w:val="nil"/>
              <w:left w:val="nil"/>
              <w:bottom w:val="single" w:sz="12" w:space="0" w:color="FFFFFF"/>
              <w:right w:val="single" w:sz="12" w:space="0" w:color="FFFFFF"/>
            </w:tcBorders>
            <w:shd w:val="clear" w:color="000000" w:fill="D9D9D9"/>
            <w:noWrap/>
          </w:tcPr>
          <w:p w14:paraId="641DA53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36 167 552,77</w:t>
            </w:r>
          </w:p>
        </w:tc>
        <w:tc>
          <w:tcPr>
            <w:tcW w:w="2306" w:type="dxa"/>
            <w:tcBorders>
              <w:top w:val="nil"/>
              <w:left w:val="nil"/>
              <w:bottom w:val="single" w:sz="12" w:space="0" w:color="FFFFFF"/>
              <w:right w:val="single" w:sz="12" w:space="0" w:color="FFFFFF"/>
            </w:tcBorders>
            <w:shd w:val="clear" w:color="000000" w:fill="D9D9D9"/>
            <w:noWrap/>
          </w:tcPr>
          <w:p w14:paraId="6057739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37 322 493,06</w:t>
            </w:r>
          </w:p>
        </w:tc>
        <w:tc>
          <w:tcPr>
            <w:tcW w:w="2114" w:type="dxa"/>
            <w:tcBorders>
              <w:top w:val="nil"/>
              <w:left w:val="nil"/>
              <w:bottom w:val="single" w:sz="12" w:space="0" w:color="FFFFFF"/>
              <w:right w:val="single" w:sz="12" w:space="0" w:color="FFFFFF"/>
            </w:tcBorders>
            <w:shd w:val="clear" w:color="000000" w:fill="D9D9D9"/>
            <w:noWrap/>
          </w:tcPr>
          <w:p w14:paraId="15F9339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1 154 940,29</w:t>
            </w:r>
          </w:p>
        </w:tc>
      </w:tr>
      <w:tr w:rsidR="0004598E" w:rsidRPr="00094641" w14:paraId="532E8FB3" w14:textId="77777777" w:rsidTr="0004598E">
        <w:trPr>
          <w:trHeight w:hRule="exact" w:val="334"/>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720F63CA"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396" w:type="dxa"/>
            <w:tcBorders>
              <w:top w:val="nil"/>
              <w:left w:val="nil"/>
              <w:bottom w:val="single" w:sz="12" w:space="0" w:color="FFFFFF"/>
              <w:right w:val="single" w:sz="12" w:space="0" w:color="FFFFFF"/>
            </w:tcBorders>
            <w:shd w:val="clear" w:color="000000" w:fill="D9D9D9"/>
            <w:noWrap/>
          </w:tcPr>
          <w:p w14:paraId="5374291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166 745,10</w:t>
            </w:r>
          </w:p>
        </w:tc>
        <w:tc>
          <w:tcPr>
            <w:tcW w:w="2306" w:type="dxa"/>
            <w:tcBorders>
              <w:top w:val="nil"/>
              <w:left w:val="nil"/>
              <w:bottom w:val="single" w:sz="12" w:space="0" w:color="FFFFFF"/>
              <w:right w:val="single" w:sz="12" w:space="0" w:color="FFFFFF"/>
            </w:tcBorders>
            <w:shd w:val="clear" w:color="000000" w:fill="D9D9D9"/>
            <w:noWrap/>
          </w:tcPr>
          <w:p w14:paraId="2A59B9DE"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176 990,11</w:t>
            </w:r>
          </w:p>
        </w:tc>
        <w:tc>
          <w:tcPr>
            <w:tcW w:w="2114" w:type="dxa"/>
            <w:tcBorders>
              <w:top w:val="nil"/>
              <w:left w:val="nil"/>
              <w:bottom w:val="single" w:sz="12" w:space="0" w:color="FFFFFF"/>
              <w:right w:val="single" w:sz="12" w:space="0" w:color="FFFFFF"/>
            </w:tcBorders>
            <w:shd w:val="clear" w:color="000000" w:fill="D9D9D9"/>
            <w:noWrap/>
          </w:tcPr>
          <w:p w14:paraId="4F3C30F2"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10 245,01</w:t>
            </w:r>
          </w:p>
        </w:tc>
      </w:tr>
      <w:tr w:rsidR="0004598E" w:rsidRPr="00094641" w14:paraId="441FB83F" w14:textId="77777777" w:rsidTr="0004598E">
        <w:trPr>
          <w:trHeight w:hRule="exact" w:val="334"/>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3C4BB36C"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396" w:type="dxa"/>
            <w:tcBorders>
              <w:top w:val="nil"/>
              <w:left w:val="nil"/>
              <w:bottom w:val="single" w:sz="12" w:space="0" w:color="FFFFFF"/>
              <w:right w:val="single" w:sz="12" w:space="0" w:color="FFFFFF"/>
            </w:tcBorders>
            <w:shd w:val="clear" w:color="000000" w:fill="D9D9D9"/>
            <w:noWrap/>
          </w:tcPr>
          <w:p w14:paraId="3F2F179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2 047 798,10</w:t>
            </w:r>
          </w:p>
        </w:tc>
        <w:tc>
          <w:tcPr>
            <w:tcW w:w="2306" w:type="dxa"/>
            <w:tcBorders>
              <w:top w:val="nil"/>
              <w:left w:val="nil"/>
              <w:bottom w:val="single" w:sz="12" w:space="0" w:color="FFFFFF"/>
              <w:right w:val="single" w:sz="12" w:space="0" w:color="FFFFFF"/>
            </w:tcBorders>
            <w:shd w:val="clear" w:color="000000" w:fill="D9D9D9"/>
            <w:noWrap/>
          </w:tcPr>
          <w:p w14:paraId="0CA7EDA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2 214 085,38</w:t>
            </w:r>
          </w:p>
        </w:tc>
        <w:tc>
          <w:tcPr>
            <w:tcW w:w="2114" w:type="dxa"/>
            <w:tcBorders>
              <w:top w:val="nil"/>
              <w:left w:val="nil"/>
              <w:bottom w:val="single" w:sz="12" w:space="0" w:color="FFFFFF"/>
              <w:right w:val="single" w:sz="12" w:space="0" w:color="FFFFFF"/>
            </w:tcBorders>
            <w:shd w:val="clear" w:color="000000" w:fill="D9D9D9"/>
            <w:noWrap/>
          </w:tcPr>
          <w:p w14:paraId="21548FD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166 287,28</w:t>
            </w:r>
          </w:p>
        </w:tc>
      </w:tr>
      <w:tr w:rsidR="0004598E" w:rsidRPr="00094641" w14:paraId="481B8C07" w14:textId="77777777" w:rsidTr="0004598E">
        <w:trPr>
          <w:trHeight w:hRule="exact" w:val="334"/>
        </w:trPr>
        <w:tc>
          <w:tcPr>
            <w:tcW w:w="3706" w:type="dxa"/>
            <w:tcBorders>
              <w:top w:val="nil"/>
              <w:left w:val="single" w:sz="12" w:space="0" w:color="FFFFFF"/>
              <w:bottom w:val="single" w:sz="12" w:space="0" w:color="FFFFFF"/>
              <w:right w:val="single" w:sz="12" w:space="0" w:color="FFFFFF"/>
            </w:tcBorders>
            <w:shd w:val="clear" w:color="000000" w:fill="D9D9D9"/>
            <w:vAlign w:val="center"/>
            <w:hideMark/>
          </w:tcPr>
          <w:p w14:paraId="0FEC341D"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Bankové úvery a výpomoci</w:t>
            </w:r>
          </w:p>
        </w:tc>
        <w:tc>
          <w:tcPr>
            <w:tcW w:w="2396" w:type="dxa"/>
            <w:tcBorders>
              <w:top w:val="nil"/>
              <w:left w:val="nil"/>
              <w:bottom w:val="single" w:sz="12" w:space="0" w:color="FFFFFF"/>
              <w:right w:val="single" w:sz="12" w:space="0" w:color="FFFFFF"/>
            </w:tcBorders>
            <w:shd w:val="clear" w:color="000000" w:fill="D9D9D9"/>
            <w:noWrap/>
          </w:tcPr>
          <w:p w14:paraId="7397ED3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306" w:type="dxa"/>
            <w:tcBorders>
              <w:top w:val="nil"/>
              <w:left w:val="nil"/>
              <w:bottom w:val="single" w:sz="12" w:space="0" w:color="FFFFFF"/>
              <w:right w:val="single" w:sz="12" w:space="0" w:color="FFFFFF"/>
            </w:tcBorders>
            <w:shd w:val="clear" w:color="000000" w:fill="D9D9D9"/>
            <w:noWrap/>
          </w:tcPr>
          <w:p w14:paraId="2675198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114" w:type="dxa"/>
            <w:tcBorders>
              <w:top w:val="nil"/>
              <w:left w:val="nil"/>
              <w:bottom w:val="single" w:sz="12" w:space="0" w:color="FFFFFF"/>
              <w:right w:val="single" w:sz="12" w:space="0" w:color="FFFFFF"/>
            </w:tcBorders>
            <w:shd w:val="clear" w:color="000000" w:fill="D9D9D9"/>
            <w:noWrap/>
          </w:tcPr>
          <w:p w14:paraId="7561E85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r>
    </w:tbl>
    <w:p w14:paraId="63D7BF62" w14:textId="77777777" w:rsidR="0004598E" w:rsidRPr="00094641" w:rsidRDefault="0004598E" w:rsidP="0004598E">
      <w:pPr>
        <w:spacing w:before="100" w:beforeAutospacing="1" w:after="100" w:afterAutospacing="1" w:line="240" w:lineRule="auto"/>
        <w:jc w:val="both"/>
        <w:rPr>
          <w:sz w:val="24"/>
          <w:szCs w:val="24"/>
          <w:lang w:eastAsia="sk-SK"/>
        </w:rPr>
      </w:pPr>
      <w:r w:rsidRPr="00094641">
        <w:rPr>
          <w:b/>
          <w:sz w:val="24"/>
          <w:szCs w:val="24"/>
          <w:u w:val="single"/>
          <w:lang w:eastAsia="sk-SK"/>
        </w:rPr>
        <w:t>Kultúrne zariadenia v zriaďovateľskej pôsobnosti BSK</w:t>
      </w:r>
      <w:r w:rsidRPr="00094641">
        <w:rPr>
          <w:sz w:val="24"/>
          <w:szCs w:val="24"/>
          <w:lang w:eastAsia="sk-SK"/>
        </w:rPr>
        <w:t xml:space="preserve"> evidujú záväzky </w:t>
      </w:r>
      <w:r w:rsidRPr="00094641">
        <w:rPr>
          <w:b/>
          <w:sz w:val="24"/>
          <w:szCs w:val="24"/>
          <w:lang w:eastAsia="sk-SK"/>
        </w:rPr>
        <w:t>k 31.12.20</w:t>
      </w:r>
      <w:r>
        <w:rPr>
          <w:b/>
          <w:sz w:val="24"/>
          <w:szCs w:val="24"/>
          <w:lang w:eastAsia="sk-SK"/>
        </w:rPr>
        <w:t>20</w:t>
      </w:r>
      <w:r w:rsidRPr="00094641">
        <w:rPr>
          <w:sz w:val="24"/>
          <w:szCs w:val="24"/>
          <w:lang w:eastAsia="sk-SK"/>
        </w:rPr>
        <w:t xml:space="preserve"> v celkovej výške </w:t>
      </w:r>
      <w:r>
        <w:rPr>
          <w:b/>
          <w:bCs/>
          <w:sz w:val="24"/>
          <w:szCs w:val="24"/>
          <w:lang w:eastAsia="sk-SK"/>
        </w:rPr>
        <w:t>8 090 552,21</w:t>
      </w:r>
      <w:r w:rsidRPr="00094641">
        <w:rPr>
          <w:b/>
          <w:sz w:val="24"/>
          <w:szCs w:val="24"/>
          <w:lang w:eastAsia="sk-SK"/>
        </w:rPr>
        <w:t xml:space="preserve"> EUR</w:t>
      </w:r>
      <w:r w:rsidRPr="00094641">
        <w:rPr>
          <w:sz w:val="24"/>
          <w:szCs w:val="24"/>
          <w:lang w:eastAsia="sk-SK"/>
        </w:rPr>
        <w:t>.</w:t>
      </w:r>
    </w:p>
    <w:tbl>
      <w:tblPr>
        <w:tblW w:w="10136" w:type="dxa"/>
        <w:tblInd w:w="55" w:type="dxa"/>
        <w:tblCellMar>
          <w:left w:w="70" w:type="dxa"/>
          <w:right w:w="70" w:type="dxa"/>
        </w:tblCellMar>
        <w:tblLook w:val="04A0" w:firstRow="1" w:lastRow="0" w:firstColumn="1" w:lastColumn="0" w:noHBand="0" w:noVBand="1"/>
      </w:tblPr>
      <w:tblGrid>
        <w:gridCol w:w="3758"/>
        <w:gridCol w:w="2268"/>
        <w:gridCol w:w="1842"/>
        <w:gridCol w:w="2268"/>
      </w:tblGrid>
      <w:tr w:rsidR="0004598E" w:rsidRPr="00094641" w14:paraId="6F7C6D79" w14:textId="77777777" w:rsidTr="0004598E">
        <w:trPr>
          <w:trHeight w:val="277"/>
        </w:trPr>
        <w:tc>
          <w:tcPr>
            <w:tcW w:w="3758" w:type="dxa"/>
            <w:tcBorders>
              <w:top w:val="single" w:sz="12" w:space="0" w:color="FFFFFF"/>
              <w:left w:val="single" w:sz="12" w:space="0" w:color="FFFFFF"/>
              <w:bottom w:val="nil"/>
              <w:right w:val="single" w:sz="12" w:space="0" w:color="FFFFFF"/>
            </w:tcBorders>
            <w:shd w:val="clear" w:color="000000" w:fill="8DB3E2"/>
            <w:vAlign w:val="center"/>
            <w:hideMark/>
          </w:tcPr>
          <w:p w14:paraId="66D60072"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PREHĽAD ZÁVÄZKOV PO</w:t>
            </w:r>
          </w:p>
        </w:tc>
        <w:tc>
          <w:tcPr>
            <w:tcW w:w="2268" w:type="dxa"/>
            <w:tcBorders>
              <w:top w:val="single" w:sz="12" w:space="0" w:color="FFFFFF"/>
              <w:left w:val="nil"/>
              <w:bottom w:val="nil"/>
              <w:right w:val="single" w:sz="12" w:space="0" w:color="FFFFFF"/>
            </w:tcBorders>
            <w:shd w:val="clear" w:color="000000" w:fill="8DB3E2"/>
            <w:noWrap/>
            <w:vAlign w:val="center"/>
            <w:hideMark/>
          </w:tcPr>
          <w:p w14:paraId="3ADBFA31"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p>
        </w:tc>
        <w:tc>
          <w:tcPr>
            <w:tcW w:w="1842" w:type="dxa"/>
            <w:tcBorders>
              <w:top w:val="single" w:sz="12" w:space="0" w:color="FFFFFF"/>
              <w:left w:val="nil"/>
              <w:bottom w:val="nil"/>
              <w:right w:val="single" w:sz="12" w:space="0" w:color="FFFFFF"/>
            </w:tcBorders>
            <w:shd w:val="clear" w:color="000000" w:fill="8DB3E2"/>
            <w:noWrap/>
            <w:vAlign w:val="center"/>
            <w:hideMark/>
          </w:tcPr>
          <w:p w14:paraId="241A0F68"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268" w:type="dxa"/>
            <w:tcBorders>
              <w:top w:val="single" w:sz="12" w:space="0" w:color="FFFFFF"/>
              <w:left w:val="nil"/>
              <w:bottom w:val="nil"/>
              <w:right w:val="single" w:sz="12" w:space="0" w:color="FFFFFF"/>
            </w:tcBorders>
            <w:shd w:val="clear" w:color="000000" w:fill="8DB3E2"/>
            <w:noWrap/>
            <w:vAlign w:val="center"/>
            <w:hideMark/>
          </w:tcPr>
          <w:p w14:paraId="16CDC7F3"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791B72FC" w14:textId="77777777" w:rsidTr="0004598E">
        <w:trPr>
          <w:trHeight w:val="538"/>
        </w:trPr>
        <w:tc>
          <w:tcPr>
            <w:tcW w:w="3758" w:type="dxa"/>
            <w:tcBorders>
              <w:top w:val="nil"/>
              <w:left w:val="single" w:sz="12" w:space="0" w:color="FFFFFF"/>
              <w:bottom w:val="single" w:sz="12" w:space="0" w:color="FFFFFF"/>
              <w:right w:val="single" w:sz="12" w:space="0" w:color="FFFFFF"/>
            </w:tcBorders>
            <w:shd w:val="clear" w:color="000000" w:fill="8DB3E2"/>
            <w:vAlign w:val="center"/>
            <w:hideMark/>
          </w:tcPr>
          <w:p w14:paraId="13809DA4"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zriaďovateľskej  pôsobnosti BSK  - kultúrne zariadenia</w:t>
            </w:r>
          </w:p>
        </w:tc>
        <w:tc>
          <w:tcPr>
            <w:tcW w:w="2268" w:type="dxa"/>
            <w:tcBorders>
              <w:top w:val="nil"/>
              <w:left w:val="nil"/>
              <w:bottom w:val="single" w:sz="12" w:space="0" w:color="FFFFFF"/>
              <w:right w:val="single" w:sz="12" w:space="0" w:color="FFFFFF"/>
            </w:tcBorders>
            <w:shd w:val="clear" w:color="000000" w:fill="8DB3E2"/>
            <w:noWrap/>
            <w:vAlign w:val="center"/>
            <w:hideMark/>
          </w:tcPr>
          <w:p w14:paraId="482C5898"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1842" w:type="dxa"/>
            <w:tcBorders>
              <w:top w:val="nil"/>
              <w:left w:val="nil"/>
              <w:bottom w:val="single" w:sz="12" w:space="0" w:color="FFFFFF"/>
              <w:right w:val="single" w:sz="12" w:space="0" w:color="FFFFFF"/>
            </w:tcBorders>
            <w:shd w:val="clear" w:color="000000" w:fill="8DB3E2"/>
            <w:noWrap/>
            <w:vAlign w:val="center"/>
            <w:hideMark/>
          </w:tcPr>
          <w:p w14:paraId="684FAC03"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268" w:type="dxa"/>
            <w:tcBorders>
              <w:top w:val="nil"/>
              <w:left w:val="nil"/>
              <w:bottom w:val="single" w:sz="12" w:space="0" w:color="FFFFFF"/>
              <w:right w:val="single" w:sz="12" w:space="0" w:color="FFFFFF"/>
            </w:tcBorders>
            <w:shd w:val="clear" w:color="000000" w:fill="8DB3E2"/>
            <w:noWrap/>
            <w:vAlign w:val="center"/>
            <w:hideMark/>
          </w:tcPr>
          <w:p w14:paraId="5386E567"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18FD9263" w14:textId="77777777" w:rsidTr="0004598E">
        <w:trPr>
          <w:trHeight w:hRule="exact" w:val="340"/>
        </w:trPr>
        <w:tc>
          <w:tcPr>
            <w:tcW w:w="3758" w:type="dxa"/>
            <w:tcBorders>
              <w:top w:val="nil"/>
              <w:left w:val="single" w:sz="12" w:space="0" w:color="FFFFFF"/>
              <w:bottom w:val="single" w:sz="12" w:space="0" w:color="FFFFFF"/>
              <w:right w:val="single" w:sz="12" w:space="0" w:color="FFFFFF"/>
            </w:tcBorders>
            <w:shd w:val="clear" w:color="000000" w:fill="808080"/>
            <w:vAlign w:val="center"/>
            <w:hideMark/>
          </w:tcPr>
          <w:p w14:paraId="2D173432"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 xml:space="preserve">Záväzky celkom </w:t>
            </w:r>
          </w:p>
        </w:tc>
        <w:tc>
          <w:tcPr>
            <w:tcW w:w="2268" w:type="dxa"/>
            <w:tcBorders>
              <w:top w:val="nil"/>
              <w:left w:val="nil"/>
              <w:bottom w:val="single" w:sz="12" w:space="0" w:color="FFFFFF"/>
              <w:right w:val="single" w:sz="12" w:space="0" w:color="FFFFFF"/>
            </w:tcBorders>
            <w:shd w:val="clear" w:color="000000" w:fill="808080"/>
            <w:noWrap/>
          </w:tcPr>
          <w:p w14:paraId="6E3A255F"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7 827 539,01</w:t>
            </w:r>
          </w:p>
        </w:tc>
        <w:tc>
          <w:tcPr>
            <w:tcW w:w="1842" w:type="dxa"/>
            <w:tcBorders>
              <w:top w:val="nil"/>
              <w:left w:val="nil"/>
              <w:bottom w:val="single" w:sz="12" w:space="0" w:color="FFFFFF"/>
              <w:right w:val="single" w:sz="12" w:space="0" w:color="FFFFFF"/>
            </w:tcBorders>
            <w:shd w:val="clear" w:color="000000" w:fill="808080"/>
            <w:noWrap/>
          </w:tcPr>
          <w:p w14:paraId="47B8AB17"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8 090 552,21</w:t>
            </w:r>
          </w:p>
        </w:tc>
        <w:tc>
          <w:tcPr>
            <w:tcW w:w="2268" w:type="dxa"/>
            <w:tcBorders>
              <w:top w:val="nil"/>
              <w:left w:val="nil"/>
              <w:bottom w:val="single" w:sz="12" w:space="0" w:color="FFFFFF"/>
              <w:right w:val="single" w:sz="12" w:space="0" w:color="FFFFFF"/>
            </w:tcBorders>
            <w:shd w:val="clear" w:color="000000" w:fill="808080"/>
            <w:noWrap/>
          </w:tcPr>
          <w:p w14:paraId="12887BAF"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263 013,20</w:t>
            </w:r>
          </w:p>
        </w:tc>
      </w:tr>
      <w:tr w:rsidR="0004598E" w:rsidRPr="00094641" w14:paraId="210D421C" w14:textId="77777777" w:rsidTr="0004598E">
        <w:trPr>
          <w:trHeight w:hRule="exact" w:val="340"/>
        </w:trPr>
        <w:tc>
          <w:tcPr>
            <w:tcW w:w="3758" w:type="dxa"/>
            <w:tcBorders>
              <w:top w:val="nil"/>
              <w:left w:val="single" w:sz="12" w:space="0" w:color="FFFFFF"/>
              <w:bottom w:val="single" w:sz="12" w:space="0" w:color="FFFFFF"/>
              <w:right w:val="single" w:sz="12" w:space="0" w:color="FFFFFF"/>
            </w:tcBorders>
            <w:shd w:val="clear" w:color="000000" w:fill="D9D9D9"/>
            <w:vAlign w:val="center"/>
            <w:hideMark/>
          </w:tcPr>
          <w:p w14:paraId="52E5A114"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268" w:type="dxa"/>
            <w:tcBorders>
              <w:top w:val="nil"/>
              <w:left w:val="nil"/>
              <w:bottom w:val="single" w:sz="12" w:space="0" w:color="FFFFFF"/>
              <w:right w:val="single" w:sz="12" w:space="0" w:color="FFFFFF"/>
            </w:tcBorders>
            <w:shd w:val="clear" w:color="000000" w:fill="D9D9D9"/>
            <w:noWrap/>
          </w:tcPr>
          <w:p w14:paraId="4E61502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51 941,80</w:t>
            </w:r>
          </w:p>
        </w:tc>
        <w:tc>
          <w:tcPr>
            <w:tcW w:w="1842" w:type="dxa"/>
            <w:tcBorders>
              <w:top w:val="nil"/>
              <w:left w:val="nil"/>
              <w:bottom w:val="single" w:sz="12" w:space="0" w:color="FFFFFF"/>
              <w:right w:val="single" w:sz="12" w:space="0" w:color="FFFFFF"/>
            </w:tcBorders>
            <w:shd w:val="clear" w:color="000000" w:fill="D9D9D9"/>
            <w:noWrap/>
          </w:tcPr>
          <w:p w14:paraId="064E05B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57 892,55</w:t>
            </w:r>
          </w:p>
        </w:tc>
        <w:tc>
          <w:tcPr>
            <w:tcW w:w="2268" w:type="dxa"/>
            <w:tcBorders>
              <w:top w:val="nil"/>
              <w:left w:val="nil"/>
              <w:bottom w:val="single" w:sz="12" w:space="0" w:color="FFFFFF"/>
              <w:right w:val="single" w:sz="12" w:space="0" w:color="FFFFFF"/>
            </w:tcBorders>
            <w:shd w:val="clear" w:color="000000" w:fill="D9D9D9"/>
            <w:noWrap/>
          </w:tcPr>
          <w:p w14:paraId="7A3D69B5"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5 950,75</w:t>
            </w:r>
          </w:p>
        </w:tc>
      </w:tr>
      <w:tr w:rsidR="0004598E" w:rsidRPr="00094641" w14:paraId="1044809F" w14:textId="77777777" w:rsidTr="0004598E">
        <w:trPr>
          <w:trHeight w:hRule="exact" w:val="340"/>
        </w:trPr>
        <w:tc>
          <w:tcPr>
            <w:tcW w:w="3758" w:type="dxa"/>
            <w:tcBorders>
              <w:top w:val="nil"/>
              <w:left w:val="single" w:sz="12" w:space="0" w:color="FFFFFF"/>
              <w:bottom w:val="single" w:sz="12" w:space="0" w:color="FFFFFF"/>
              <w:right w:val="single" w:sz="12" w:space="0" w:color="FFFFFF"/>
            </w:tcBorders>
            <w:shd w:val="clear" w:color="000000" w:fill="D9D9D9"/>
            <w:vAlign w:val="center"/>
            <w:hideMark/>
          </w:tcPr>
          <w:p w14:paraId="14AE01AB"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Zúčtovanie medzi subjektmi VS</w:t>
            </w:r>
          </w:p>
        </w:tc>
        <w:tc>
          <w:tcPr>
            <w:tcW w:w="2268" w:type="dxa"/>
            <w:tcBorders>
              <w:top w:val="nil"/>
              <w:left w:val="nil"/>
              <w:bottom w:val="single" w:sz="12" w:space="0" w:color="FFFFFF"/>
              <w:right w:val="single" w:sz="12" w:space="0" w:color="FFFFFF"/>
            </w:tcBorders>
            <w:shd w:val="clear" w:color="000000" w:fill="D9D9D9"/>
            <w:noWrap/>
          </w:tcPr>
          <w:p w14:paraId="7282BA4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7 473 402,13</w:t>
            </w:r>
          </w:p>
        </w:tc>
        <w:tc>
          <w:tcPr>
            <w:tcW w:w="1842" w:type="dxa"/>
            <w:tcBorders>
              <w:top w:val="nil"/>
              <w:left w:val="nil"/>
              <w:bottom w:val="single" w:sz="12" w:space="0" w:color="FFFFFF"/>
              <w:right w:val="single" w:sz="12" w:space="0" w:color="FFFFFF"/>
            </w:tcBorders>
            <w:shd w:val="clear" w:color="000000" w:fill="D9D9D9"/>
            <w:noWrap/>
          </w:tcPr>
          <w:p w14:paraId="1C307E9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7 789 672,07</w:t>
            </w:r>
          </w:p>
        </w:tc>
        <w:tc>
          <w:tcPr>
            <w:tcW w:w="2268" w:type="dxa"/>
            <w:tcBorders>
              <w:top w:val="nil"/>
              <w:left w:val="nil"/>
              <w:bottom w:val="single" w:sz="12" w:space="0" w:color="FFFFFF"/>
              <w:right w:val="single" w:sz="12" w:space="0" w:color="FFFFFF"/>
            </w:tcBorders>
            <w:shd w:val="clear" w:color="000000" w:fill="D9D9D9"/>
            <w:noWrap/>
          </w:tcPr>
          <w:p w14:paraId="0B7485F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316 269,94</w:t>
            </w:r>
          </w:p>
        </w:tc>
      </w:tr>
      <w:tr w:rsidR="0004598E" w:rsidRPr="00094641" w14:paraId="655278B8" w14:textId="77777777" w:rsidTr="0004598E">
        <w:trPr>
          <w:trHeight w:hRule="exact" w:val="340"/>
        </w:trPr>
        <w:tc>
          <w:tcPr>
            <w:tcW w:w="3758" w:type="dxa"/>
            <w:tcBorders>
              <w:top w:val="nil"/>
              <w:left w:val="single" w:sz="12" w:space="0" w:color="FFFFFF"/>
              <w:bottom w:val="single" w:sz="12" w:space="0" w:color="FFFFFF"/>
              <w:right w:val="single" w:sz="12" w:space="0" w:color="FFFFFF"/>
            </w:tcBorders>
            <w:shd w:val="clear" w:color="000000" w:fill="D9D9D9"/>
            <w:vAlign w:val="center"/>
            <w:hideMark/>
          </w:tcPr>
          <w:p w14:paraId="2F06FB1A"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268" w:type="dxa"/>
            <w:tcBorders>
              <w:top w:val="nil"/>
              <w:left w:val="nil"/>
              <w:bottom w:val="single" w:sz="12" w:space="0" w:color="FFFFFF"/>
              <w:right w:val="single" w:sz="12" w:space="0" w:color="FFFFFF"/>
            </w:tcBorders>
            <w:shd w:val="clear" w:color="000000" w:fill="D9D9D9"/>
            <w:noWrap/>
          </w:tcPr>
          <w:p w14:paraId="39DBD5C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10 539,54</w:t>
            </w:r>
          </w:p>
        </w:tc>
        <w:tc>
          <w:tcPr>
            <w:tcW w:w="1842" w:type="dxa"/>
            <w:tcBorders>
              <w:top w:val="nil"/>
              <w:left w:val="nil"/>
              <w:bottom w:val="single" w:sz="12" w:space="0" w:color="FFFFFF"/>
              <w:right w:val="single" w:sz="12" w:space="0" w:color="FFFFFF"/>
            </w:tcBorders>
            <w:shd w:val="clear" w:color="000000" w:fill="D9D9D9"/>
            <w:noWrap/>
          </w:tcPr>
          <w:p w14:paraId="41A5427B"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12 515,32</w:t>
            </w:r>
          </w:p>
        </w:tc>
        <w:tc>
          <w:tcPr>
            <w:tcW w:w="2268" w:type="dxa"/>
            <w:tcBorders>
              <w:top w:val="nil"/>
              <w:left w:val="nil"/>
              <w:bottom w:val="single" w:sz="12" w:space="0" w:color="FFFFFF"/>
              <w:right w:val="single" w:sz="12" w:space="0" w:color="FFFFFF"/>
            </w:tcBorders>
            <w:shd w:val="clear" w:color="000000" w:fill="D9D9D9"/>
            <w:noWrap/>
          </w:tcPr>
          <w:p w14:paraId="7BF446F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1 975,78</w:t>
            </w:r>
          </w:p>
        </w:tc>
      </w:tr>
      <w:tr w:rsidR="0004598E" w:rsidRPr="00094641" w14:paraId="78C467AE" w14:textId="77777777" w:rsidTr="0004598E">
        <w:trPr>
          <w:trHeight w:hRule="exact" w:val="340"/>
        </w:trPr>
        <w:tc>
          <w:tcPr>
            <w:tcW w:w="3758" w:type="dxa"/>
            <w:tcBorders>
              <w:top w:val="nil"/>
              <w:left w:val="single" w:sz="12" w:space="0" w:color="FFFFFF"/>
              <w:bottom w:val="single" w:sz="12" w:space="0" w:color="FFFFFF"/>
              <w:right w:val="single" w:sz="12" w:space="0" w:color="FFFFFF"/>
            </w:tcBorders>
            <w:shd w:val="clear" w:color="000000" w:fill="D9D9D9"/>
            <w:vAlign w:val="center"/>
            <w:hideMark/>
          </w:tcPr>
          <w:p w14:paraId="27EE1DB6"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268" w:type="dxa"/>
            <w:tcBorders>
              <w:top w:val="nil"/>
              <w:left w:val="nil"/>
              <w:bottom w:val="single" w:sz="12" w:space="0" w:color="FFFFFF"/>
              <w:right w:val="single" w:sz="12" w:space="0" w:color="FFFFFF"/>
            </w:tcBorders>
            <w:shd w:val="clear" w:color="000000" w:fill="D9D9D9"/>
            <w:noWrap/>
          </w:tcPr>
          <w:p w14:paraId="74F6940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291 655,54</w:t>
            </w:r>
          </w:p>
        </w:tc>
        <w:tc>
          <w:tcPr>
            <w:tcW w:w="1842" w:type="dxa"/>
            <w:tcBorders>
              <w:top w:val="nil"/>
              <w:left w:val="nil"/>
              <w:bottom w:val="single" w:sz="12" w:space="0" w:color="FFFFFF"/>
              <w:right w:val="single" w:sz="12" w:space="0" w:color="FFFFFF"/>
            </w:tcBorders>
            <w:shd w:val="clear" w:color="000000" w:fill="D9D9D9"/>
            <w:noWrap/>
          </w:tcPr>
          <w:p w14:paraId="329A94C2"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230 472,27</w:t>
            </w:r>
          </w:p>
        </w:tc>
        <w:tc>
          <w:tcPr>
            <w:tcW w:w="2268" w:type="dxa"/>
            <w:tcBorders>
              <w:top w:val="nil"/>
              <w:left w:val="nil"/>
              <w:bottom w:val="single" w:sz="12" w:space="0" w:color="FFFFFF"/>
              <w:right w:val="single" w:sz="12" w:space="0" w:color="FFFFFF"/>
            </w:tcBorders>
            <w:shd w:val="clear" w:color="000000" w:fill="D9D9D9"/>
            <w:noWrap/>
          </w:tcPr>
          <w:p w14:paraId="6F49AED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61 183,27</w:t>
            </w:r>
          </w:p>
        </w:tc>
      </w:tr>
      <w:tr w:rsidR="0004598E" w:rsidRPr="00094641" w14:paraId="0250CBC1" w14:textId="77777777" w:rsidTr="0004598E">
        <w:trPr>
          <w:trHeight w:hRule="exact" w:val="340"/>
        </w:trPr>
        <w:tc>
          <w:tcPr>
            <w:tcW w:w="3758" w:type="dxa"/>
            <w:tcBorders>
              <w:top w:val="nil"/>
              <w:left w:val="single" w:sz="12" w:space="0" w:color="FFFFFF"/>
              <w:bottom w:val="single" w:sz="12" w:space="0" w:color="FFFFFF"/>
              <w:right w:val="single" w:sz="12" w:space="0" w:color="FFFFFF"/>
            </w:tcBorders>
            <w:shd w:val="clear" w:color="000000" w:fill="D9D9D9"/>
            <w:vAlign w:val="center"/>
            <w:hideMark/>
          </w:tcPr>
          <w:p w14:paraId="21CA83CF"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lastRenderedPageBreak/>
              <w:t>Bankové úvery a výpomoci</w:t>
            </w:r>
          </w:p>
        </w:tc>
        <w:tc>
          <w:tcPr>
            <w:tcW w:w="2268" w:type="dxa"/>
            <w:tcBorders>
              <w:top w:val="nil"/>
              <w:left w:val="nil"/>
              <w:bottom w:val="single" w:sz="12" w:space="0" w:color="FFFFFF"/>
              <w:right w:val="single" w:sz="12" w:space="0" w:color="FFFFFF"/>
            </w:tcBorders>
            <w:shd w:val="clear" w:color="000000" w:fill="D9D9D9"/>
            <w:noWrap/>
          </w:tcPr>
          <w:p w14:paraId="712F70F1"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1842" w:type="dxa"/>
            <w:tcBorders>
              <w:top w:val="nil"/>
              <w:left w:val="nil"/>
              <w:bottom w:val="single" w:sz="12" w:space="0" w:color="FFFFFF"/>
              <w:right w:val="single" w:sz="12" w:space="0" w:color="FFFFFF"/>
            </w:tcBorders>
            <w:shd w:val="clear" w:color="000000" w:fill="D9D9D9"/>
            <w:noWrap/>
          </w:tcPr>
          <w:p w14:paraId="440CB81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268" w:type="dxa"/>
            <w:tcBorders>
              <w:top w:val="nil"/>
              <w:left w:val="nil"/>
              <w:bottom w:val="single" w:sz="12" w:space="0" w:color="FFFFFF"/>
              <w:right w:val="single" w:sz="12" w:space="0" w:color="FFFFFF"/>
            </w:tcBorders>
            <w:shd w:val="clear" w:color="000000" w:fill="D9D9D9"/>
            <w:noWrap/>
          </w:tcPr>
          <w:p w14:paraId="36FF7C5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r>
    </w:tbl>
    <w:p w14:paraId="70A5518D" w14:textId="77777777" w:rsidR="0004598E" w:rsidRPr="00094641" w:rsidRDefault="0004598E" w:rsidP="0004598E">
      <w:pPr>
        <w:spacing w:after="0" w:line="240" w:lineRule="auto"/>
        <w:jc w:val="both"/>
        <w:rPr>
          <w:sz w:val="24"/>
          <w:szCs w:val="24"/>
          <w:lang w:eastAsia="sk-SK"/>
        </w:rPr>
      </w:pPr>
    </w:p>
    <w:p w14:paraId="704E6A88" w14:textId="77777777" w:rsidR="0004598E" w:rsidRPr="00094641" w:rsidRDefault="0004598E" w:rsidP="0004598E">
      <w:pPr>
        <w:spacing w:after="0" w:line="240" w:lineRule="auto"/>
        <w:jc w:val="both"/>
        <w:rPr>
          <w:sz w:val="24"/>
          <w:szCs w:val="24"/>
          <w:lang w:eastAsia="sk-SK"/>
        </w:rPr>
      </w:pPr>
      <w:r w:rsidRPr="00094641">
        <w:rPr>
          <w:b/>
          <w:sz w:val="24"/>
          <w:szCs w:val="24"/>
          <w:u w:val="single"/>
          <w:lang w:eastAsia="sk-SK"/>
        </w:rPr>
        <w:t>Školské zariadenia v zriaďovateľskej pôsobnosti BSK</w:t>
      </w:r>
      <w:r w:rsidRPr="00094641">
        <w:rPr>
          <w:sz w:val="24"/>
          <w:szCs w:val="24"/>
          <w:lang w:eastAsia="sk-SK"/>
        </w:rPr>
        <w:t xml:space="preserve"> evidujú záväzky </w:t>
      </w:r>
      <w:r w:rsidRPr="00094641">
        <w:rPr>
          <w:b/>
          <w:sz w:val="24"/>
          <w:szCs w:val="24"/>
          <w:lang w:eastAsia="sk-SK"/>
        </w:rPr>
        <w:t>k 31.12.20</w:t>
      </w:r>
      <w:r>
        <w:rPr>
          <w:b/>
          <w:sz w:val="24"/>
          <w:szCs w:val="24"/>
          <w:lang w:eastAsia="sk-SK"/>
        </w:rPr>
        <w:t>20</w:t>
      </w:r>
      <w:r w:rsidRPr="00094641">
        <w:rPr>
          <w:sz w:val="24"/>
          <w:szCs w:val="24"/>
          <w:lang w:eastAsia="sk-SK"/>
        </w:rPr>
        <w:t xml:space="preserve"> v celkovej výške </w:t>
      </w:r>
      <w:r>
        <w:rPr>
          <w:b/>
          <w:sz w:val="24"/>
          <w:szCs w:val="24"/>
          <w:lang w:eastAsia="sk-SK"/>
        </w:rPr>
        <w:t>28 331 302,63</w:t>
      </w:r>
      <w:r w:rsidRPr="00094641">
        <w:rPr>
          <w:b/>
          <w:bCs/>
          <w:sz w:val="24"/>
          <w:szCs w:val="24"/>
          <w:lang w:eastAsia="sk-SK"/>
        </w:rPr>
        <w:t xml:space="preserve"> </w:t>
      </w:r>
      <w:r w:rsidRPr="00094641">
        <w:rPr>
          <w:b/>
          <w:sz w:val="24"/>
          <w:szCs w:val="24"/>
          <w:lang w:eastAsia="sk-SK"/>
        </w:rPr>
        <w:t>EUR</w:t>
      </w:r>
      <w:r w:rsidRPr="00094641">
        <w:rPr>
          <w:sz w:val="24"/>
          <w:szCs w:val="24"/>
          <w:lang w:eastAsia="sk-SK"/>
        </w:rPr>
        <w:t>.</w:t>
      </w:r>
    </w:p>
    <w:p w14:paraId="0B59E170" w14:textId="77777777" w:rsidR="0004598E" w:rsidRPr="00094641" w:rsidRDefault="0004598E" w:rsidP="0004598E">
      <w:pPr>
        <w:spacing w:after="0" w:line="240" w:lineRule="auto"/>
        <w:jc w:val="both"/>
        <w:rPr>
          <w:b/>
          <w:sz w:val="24"/>
          <w:szCs w:val="24"/>
          <w:u w:val="single"/>
          <w:lang w:eastAsia="sk-SK"/>
        </w:rPr>
      </w:pPr>
    </w:p>
    <w:tbl>
      <w:tblPr>
        <w:tblW w:w="10300" w:type="dxa"/>
        <w:tblInd w:w="55" w:type="dxa"/>
        <w:tblCellMar>
          <w:left w:w="70" w:type="dxa"/>
          <w:right w:w="70" w:type="dxa"/>
        </w:tblCellMar>
        <w:tblLook w:val="04A0" w:firstRow="1" w:lastRow="0" w:firstColumn="1" w:lastColumn="0" w:noHBand="0" w:noVBand="1"/>
      </w:tblPr>
      <w:tblGrid>
        <w:gridCol w:w="3627"/>
        <w:gridCol w:w="2300"/>
        <w:gridCol w:w="2304"/>
        <w:gridCol w:w="2069"/>
      </w:tblGrid>
      <w:tr w:rsidR="0004598E" w:rsidRPr="00094641" w14:paraId="0C7136C0" w14:textId="77777777" w:rsidTr="0004598E">
        <w:trPr>
          <w:trHeight w:val="270"/>
        </w:trPr>
        <w:tc>
          <w:tcPr>
            <w:tcW w:w="3627" w:type="dxa"/>
            <w:tcBorders>
              <w:top w:val="single" w:sz="12" w:space="0" w:color="FFFFFF"/>
              <w:left w:val="single" w:sz="12" w:space="0" w:color="FFFFFF"/>
              <w:bottom w:val="nil"/>
              <w:right w:val="single" w:sz="12" w:space="0" w:color="FFFFFF"/>
            </w:tcBorders>
            <w:shd w:val="clear" w:color="000000" w:fill="8DB3E2"/>
            <w:vAlign w:val="center"/>
            <w:hideMark/>
          </w:tcPr>
          <w:p w14:paraId="122A4D3F"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PREHĽAD ZÁVÄZKOV PO</w:t>
            </w:r>
          </w:p>
        </w:tc>
        <w:tc>
          <w:tcPr>
            <w:tcW w:w="2300" w:type="dxa"/>
            <w:tcBorders>
              <w:top w:val="single" w:sz="12" w:space="0" w:color="FFFFFF"/>
              <w:left w:val="nil"/>
              <w:bottom w:val="nil"/>
              <w:right w:val="single" w:sz="12" w:space="0" w:color="FFFFFF"/>
            </w:tcBorders>
            <w:shd w:val="clear" w:color="000000" w:fill="8DB3E2"/>
            <w:noWrap/>
            <w:vAlign w:val="center"/>
            <w:hideMark/>
          </w:tcPr>
          <w:p w14:paraId="7BE22F44"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31.12.201</w:t>
            </w:r>
            <w:r>
              <w:rPr>
                <w:rFonts w:asciiTheme="minorHAnsi" w:hAnsiTheme="minorHAnsi" w:cstheme="minorHAnsi"/>
                <w:b/>
                <w:bCs/>
                <w:color w:val="000000"/>
                <w:sz w:val="20"/>
                <w:szCs w:val="20"/>
                <w:lang w:eastAsia="sk-SK"/>
              </w:rPr>
              <w:t>9</w:t>
            </w:r>
          </w:p>
        </w:tc>
        <w:tc>
          <w:tcPr>
            <w:tcW w:w="2304" w:type="dxa"/>
            <w:tcBorders>
              <w:top w:val="single" w:sz="12" w:space="0" w:color="FFFFFF"/>
              <w:left w:val="nil"/>
              <w:bottom w:val="nil"/>
              <w:right w:val="single" w:sz="12" w:space="0" w:color="FFFFFF"/>
            </w:tcBorders>
            <w:shd w:val="clear" w:color="000000" w:fill="8DB3E2"/>
            <w:noWrap/>
            <w:vAlign w:val="center"/>
            <w:hideMark/>
          </w:tcPr>
          <w:p w14:paraId="2F3C4B8D"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Stav záväzkov k 31.12.20</w:t>
            </w:r>
            <w:r>
              <w:rPr>
                <w:rFonts w:asciiTheme="minorHAnsi" w:hAnsiTheme="minorHAnsi" w:cstheme="minorHAnsi"/>
                <w:b/>
                <w:bCs/>
                <w:color w:val="000000"/>
                <w:sz w:val="20"/>
                <w:szCs w:val="20"/>
                <w:lang w:eastAsia="sk-SK"/>
              </w:rPr>
              <w:t>20</w:t>
            </w:r>
          </w:p>
        </w:tc>
        <w:tc>
          <w:tcPr>
            <w:tcW w:w="2069" w:type="dxa"/>
            <w:tcBorders>
              <w:top w:val="single" w:sz="12" w:space="0" w:color="FFFFFF"/>
              <w:left w:val="nil"/>
              <w:bottom w:val="nil"/>
              <w:right w:val="single" w:sz="12" w:space="0" w:color="FFFFFF"/>
            </w:tcBorders>
            <w:shd w:val="clear" w:color="000000" w:fill="8DB3E2"/>
            <w:noWrap/>
            <w:vAlign w:val="center"/>
            <w:hideMark/>
          </w:tcPr>
          <w:p w14:paraId="372B1FD6" w14:textId="77777777" w:rsidR="0004598E" w:rsidRPr="00094641" w:rsidRDefault="0004598E" w:rsidP="00222450">
            <w:pPr>
              <w:spacing w:after="0" w:line="240" w:lineRule="auto"/>
              <w:jc w:val="center"/>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Medziročná zmena</w:t>
            </w:r>
          </w:p>
        </w:tc>
      </w:tr>
      <w:tr w:rsidR="0004598E" w:rsidRPr="00094641" w14:paraId="2EB6D188" w14:textId="77777777" w:rsidTr="0004598E">
        <w:trPr>
          <w:trHeight w:val="524"/>
        </w:trPr>
        <w:tc>
          <w:tcPr>
            <w:tcW w:w="3627" w:type="dxa"/>
            <w:tcBorders>
              <w:top w:val="nil"/>
              <w:left w:val="single" w:sz="12" w:space="0" w:color="FFFFFF"/>
              <w:bottom w:val="single" w:sz="12" w:space="0" w:color="FFFFFF"/>
              <w:right w:val="single" w:sz="12" w:space="0" w:color="FFFFFF"/>
            </w:tcBorders>
            <w:shd w:val="clear" w:color="000000" w:fill="8DB3E2"/>
            <w:vAlign w:val="center"/>
            <w:hideMark/>
          </w:tcPr>
          <w:p w14:paraId="6E4E2DB4"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zriaďovateľskej  pôsobnosti BSK – školské zariadenia</w:t>
            </w:r>
          </w:p>
        </w:tc>
        <w:tc>
          <w:tcPr>
            <w:tcW w:w="2300" w:type="dxa"/>
            <w:tcBorders>
              <w:top w:val="nil"/>
              <w:left w:val="nil"/>
              <w:bottom w:val="single" w:sz="12" w:space="0" w:color="FFFFFF"/>
              <w:right w:val="single" w:sz="12" w:space="0" w:color="FFFFFF"/>
            </w:tcBorders>
            <w:shd w:val="clear" w:color="000000" w:fill="8DB3E2"/>
            <w:noWrap/>
            <w:vAlign w:val="center"/>
            <w:hideMark/>
          </w:tcPr>
          <w:p w14:paraId="483C36F2"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304" w:type="dxa"/>
            <w:tcBorders>
              <w:top w:val="nil"/>
              <w:left w:val="nil"/>
              <w:bottom w:val="single" w:sz="12" w:space="0" w:color="FFFFFF"/>
              <w:right w:val="single" w:sz="12" w:space="0" w:color="FFFFFF"/>
            </w:tcBorders>
            <w:shd w:val="clear" w:color="000000" w:fill="8DB3E2"/>
            <w:noWrap/>
            <w:vAlign w:val="center"/>
            <w:hideMark/>
          </w:tcPr>
          <w:p w14:paraId="4914B2C3"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w:t>
            </w:r>
          </w:p>
        </w:tc>
        <w:tc>
          <w:tcPr>
            <w:tcW w:w="2069" w:type="dxa"/>
            <w:tcBorders>
              <w:top w:val="nil"/>
              <w:left w:val="nil"/>
              <w:bottom w:val="single" w:sz="12" w:space="0" w:color="FFFFFF"/>
              <w:right w:val="single" w:sz="12" w:space="0" w:color="FFFFFF"/>
            </w:tcBorders>
            <w:shd w:val="clear" w:color="000000" w:fill="8DB3E2"/>
            <w:noWrap/>
            <w:vAlign w:val="center"/>
            <w:hideMark/>
          </w:tcPr>
          <w:p w14:paraId="3A1ABC4E"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V EUR </w:t>
            </w:r>
          </w:p>
        </w:tc>
      </w:tr>
      <w:tr w:rsidR="0004598E" w:rsidRPr="00094641" w14:paraId="58C0D448" w14:textId="77777777" w:rsidTr="0004598E">
        <w:trPr>
          <w:trHeight w:hRule="exact" w:val="331"/>
        </w:trPr>
        <w:tc>
          <w:tcPr>
            <w:tcW w:w="3627" w:type="dxa"/>
            <w:tcBorders>
              <w:top w:val="nil"/>
              <w:left w:val="single" w:sz="12" w:space="0" w:color="FFFFFF"/>
              <w:bottom w:val="single" w:sz="12" w:space="0" w:color="FFFFFF"/>
              <w:right w:val="single" w:sz="12" w:space="0" w:color="FFFFFF"/>
            </w:tcBorders>
            <w:shd w:val="clear" w:color="000000" w:fill="808080"/>
            <w:vAlign w:val="center"/>
            <w:hideMark/>
          </w:tcPr>
          <w:p w14:paraId="3691160A"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 xml:space="preserve">Záväzky celkom </w:t>
            </w:r>
          </w:p>
        </w:tc>
        <w:tc>
          <w:tcPr>
            <w:tcW w:w="2300" w:type="dxa"/>
            <w:tcBorders>
              <w:top w:val="nil"/>
              <w:left w:val="nil"/>
              <w:bottom w:val="single" w:sz="12" w:space="0" w:color="FFFFFF"/>
              <w:right w:val="single" w:sz="12" w:space="0" w:color="FFFFFF"/>
            </w:tcBorders>
            <w:shd w:val="clear" w:color="000000" w:fill="808080"/>
            <w:noWrap/>
          </w:tcPr>
          <w:p w14:paraId="770749FB"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27 386 513,68</w:t>
            </w:r>
          </w:p>
        </w:tc>
        <w:tc>
          <w:tcPr>
            <w:tcW w:w="2304" w:type="dxa"/>
            <w:tcBorders>
              <w:top w:val="nil"/>
              <w:left w:val="nil"/>
              <w:bottom w:val="single" w:sz="12" w:space="0" w:color="FFFFFF"/>
              <w:right w:val="single" w:sz="12" w:space="0" w:color="FFFFFF"/>
            </w:tcBorders>
            <w:shd w:val="clear" w:color="000000" w:fill="808080"/>
            <w:noWrap/>
          </w:tcPr>
          <w:p w14:paraId="6DAE25E8"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28 331 302,63</w:t>
            </w:r>
          </w:p>
        </w:tc>
        <w:tc>
          <w:tcPr>
            <w:tcW w:w="2069" w:type="dxa"/>
            <w:tcBorders>
              <w:top w:val="nil"/>
              <w:left w:val="nil"/>
              <w:bottom w:val="single" w:sz="12" w:space="0" w:color="FFFFFF"/>
              <w:right w:val="single" w:sz="12" w:space="0" w:color="FFFFFF"/>
            </w:tcBorders>
            <w:shd w:val="clear" w:color="000000" w:fill="808080"/>
            <w:noWrap/>
          </w:tcPr>
          <w:p w14:paraId="4CF11BB5" w14:textId="77777777" w:rsidR="0004598E" w:rsidRPr="00094641" w:rsidRDefault="0004598E" w:rsidP="00222450">
            <w:pPr>
              <w:spacing w:after="0" w:line="240" w:lineRule="auto"/>
              <w:jc w:val="right"/>
              <w:rPr>
                <w:rFonts w:asciiTheme="minorHAnsi" w:hAnsiTheme="minorHAnsi" w:cstheme="minorHAnsi"/>
                <w:b/>
                <w:bCs/>
                <w:color w:val="FFFFFF" w:themeColor="background1"/>
                <w:sz w:val="20"/>
                <w:szCs w:val="20"/>
                <w:lang w:eastAsia="sk-SK"/>
              </w:rPr>
            </w:pPr>
            <w:r>
              <w:rPr>
                <w:rFonts w:asciiTheme="minorHAnsi" w:hAnsiTheme="minorHAnsi" w:cstheme="minorHAnsi"/>
                <w:b/>
                <w:bCs/>
                <w:color w:val="FFFFFF" w:themeColor="background1"/>
                <w:sz w:val="20"/>
                <w:szCs w:val="20"/>
                <w:lang w:eastAsia="sk-SK"/>
              </w:rPr>
              <w:t>944 788,95</w:t>
            </w:r>
          </w:p>
        </w:tc>
      </w:tr>
      <w:tr w:rsidR="0004598E" w:rsidRPr="00094641" w14:paraId="170C7906" w14:textId="77777777" w:rsidTr="0004598E">
        <w:trPr>
          <w:trHeight w:hRule="exact" w:val="331"/>
        </w:trPr>
        <w:tc>
          <w:tcPr>
            <w:tcW w:w="3627" w:type="dxa"/>
            <w:tcBorders>
              <w:top w:val="nil"/>
              <w:left w:val="single" w:sz="12" w:space="0" w:color="FFFFFF"/>
              <w:bottom w:val="single" w:sz="12" w:space="0" w:color="FFFFFF"/>
              <w:right w:val="single" w:sz="12" w:space="0" w:color="FFFFFF"/>
            </w:tcBorders>
            <w:shd w:val="clear" w:color="000000" w:fill="D9D9D9"/>
            <w:vAlign w:val="center"/>
            <w:hideMark/>
          </w:tcPr>
          <w:p w14:paraId="789CACB6"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Rezervy </w:t>
            </w:r>
          </w:p>
        </w:tc>
        <w:tc>
          <w:tcPr>
            <w:tcW w:w="2300" w:type="dxa"/>
            <w:tcBorders>
              <w:top w:val="nil"/>
              <w:left w:val="nil"/>
              <w:bottom w:val="single" w:sz="12" w:space="0" w:color="FFFFFF"/>
              <w:right w:val="single" w:sz="12" w:space="0" w:color="FFFFFF"/>
            </w:tcBorders>
            <w:shd w:val="clear" w:color="000000" w:fill="D9D9D9"/>
            <w:noWrap/>
          </w:tcPr>
          <w:p w14:paraId="2D9ACB2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417 541,50</w:t>
            </w:r>
          </w:p>
        </w:tc>
        <w:tc>
          <w:tcPr>
            <w:tcW w:w="2304" w:type="dxa"/>
            <w:tcBorders>
              <w:top w:val="nil"/>
              <w:left w:val="nil"/>
              <w:bottom w:val="single" w:sz="12" w:space="0" w:color="FFFFFF"/>
              <w:right w:val="single" w:sz="12" w:space="0" w:color="FFFFFF"/>
            </w:tcBorders>
            <w:shd w:val="clear" w:color="000000" w:fill="D9D9D9"/>
            <w:noWrap/>
          </w:tcPr>
          <w:p w14:paraId="2670C64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483 883,33</w:t>
            </w:r>
          </w:p>
        </w:tc>
        <w:tc>
          <w:tcPr>
            <w:tcW w:w="2069" w:type="dxa"/>
            <w:tcBorders>
              <w:top w:val="nil"/>
              <w:left w:val="nil"/>
              <w:bottom w:val="single" w:sz="12" w:space="0" w:color="FFFFFF"/>
              <w:right w:val="single" w:sz="12" w:space="0" w:color="FFFFFF"/>
            </w:tcBorders>
            <w:shd w:val="clear" w:color="000000" w:fill="D9D9D9"/>
            <w:noWrap/>
          </w:tcPr>
          <w:p w14:paraId="4F73583A"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66 341,83</w:t>
            </w:r>
          </w:p>
        </w:tc>
      </w:tr>
      <w:tr w:rsidR="0004598E" w:rsidRPr="00094641" w14:paraId="32B7C310" w14:textId="77777777" w:rsidTr="0004598E">
        <w:trPr>
          <w:trHeight w:hRule="exact" w:val="331"/>
        </w:trPr>
        <w:tc>
          <w:tcPr>
            <w:tcW w:w="3627" w:type="dxa"/>
            <w:tcBorders>
              <w:top w:val="nil"/>
              <w:left w:val="single" w:sz="12" w:space="0" w:color="FFFFFF"/>
              <w:bottom w:val="single" w:sz="12" w:space="0" w:color="FFFFFF"/>
              <w:right w:val="single" w:sz="12" w:space="0" w:color="FFFFFF"/>
            </w:tcBorders>
            <w:shd w:val="clear" w:color="000000" w:fill="D9D9D9"/>
            <w:vAlign w:val="center"/>
            <w:hideMark/>
          </w:tcPr>
          <w:p w14:paraId="548B8763"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Zúčtovanie medzi subjektmi VS</w:t>
            </w:r>
          </w:p>
        </w:tc>
        <w:tc>
          <w:tcPr>
            <w:tcW w:w="2300" w:type="dxa"/>
            <w:tcBorders>
              <w:top w:val="nil"/>
              <w:left w:val="nil"/>
              <w:bottom w:val="single" w:sz="12" w:space="0" w:color="FFFFFF"/>
              <w:right w:val="single" w:sz="12" w:space="0" w:color="FFFFFF"/>
            </w:tcBorders>
            <w:shd w:val="clear" w:color="000000" w:fill="D9D9D9"/>
            <w:noWrap/>
          </w:tcPr>
          <w:p w14:paraId="07D5C140"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25 273 779,72</w:t>
            </w:r>
          </w:p>
        </w:tc>
        <w:tc>
          <w:tcPr>
            <w:tcW w:w="2304" w:type="dxa"/>
            <w:tcBorders>
              <w:top w:val="nil"/>
              <w:left w:val="nil"/>
              <w:bottom w:val="single" w:sz="12" w:space="0" w:color="FFFFFF"/>
              <w:right w:val="single" w:sz="12" w:space="0" w:color="FFFFFF"/>
            </w:tcBorders>
            <w:shd w:val="clear" w:color="000000" w:fill="D9D9D9"/>
            <w:noWrap/>
          </w:tcPr>
          <w:p w14:paraId="2E637763"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25 875 170,51</w:t>
            </w:r>
          </w:p>
        </w:tc>
        <w:tc>
          <w:tcPr>
            <w:tcW w:w="2069" w:type="dxa"/>
            <w:tcBorders>
              <w:top w:val="nil"/>
              <w:left w:val="nil"/>
              <w:bottom w:val="single" w:sz="12" w:space="0" w:color="FFFFFF"/>
              <w:right w:val="single" w:sz="12" w:space="0" w:color="FFFFFF"/>
            </w:tcBorders>
            <w:shd w:val="clear" w:color="000000" w:fill="D9D9D9"/>
            <w:noWrap/>
          </w:tcPr>
          <w:p w14:paraId="38E7E13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601 390,79</w:t>
            </w:r>
          </w:p>
        </w:tc>
      </w:tr>
      <w:tr w:rsidR="0004598E" w:rsidRPr="00094641" w14:paraId="43E64298" w14:textId="77777777" w:rsidTr="0004598E">
        <w:trPr>
          <w:trHeight w:hRule="exact" w:val="331"/>
        </w:trPr>
        <w:tc>
          <w:tcPr>
            <w:tcW w:w="3627" w:type="dxa"/>
            <w:tcBorders>
              <w:top w:val="nil"/>
              <w:left w:val="single" w:sz="12" w:space="0" w:color="FFFFFF"/>
              <w:bottom w:val="single" w:sz="12" w:space="0" w:color="FFFFFF"/>
              <w:right w:val="single" w:sz="12" w:space="0" w:color="FFFFFF"/>
            </w:tcBorders>
            <w:shd w:val="clear" w:color="000000" w:fill="D9D9D9"/>
            <w:vAlign w:val="center"/>
            <w:hideMark/>
          </w:tcPr>
          <w:p w14:paraId="4EC30C9C"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Dlhodobé záväzky  </w:t>
            </w:r>
          </w:p>
        </w:tc>
        <w:tc>
          <w:tcPr>
            <w:tcW w:w="2300" w:type="dxa"/>
            <w:tcBorders>
              <w:top w:val="nil"/>
              <w:left w:val="nil"/>
              <w:bottom w:val="single" w:sz="12" w:space="0" w:color="FFFFFF"/>
              <w:right w:val="single" w:sz="12" w:space="0" w:color="FFFFFF"/>
            </w:tcBorders>
            <w:shd w:val="clear" w:color="000000" w:fill="D9D9D9"/>
            <w:noWrap/>
          </w:tcPr>
          <w:p w14:paraId="2BC7A7A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105 373,71</w:t>
            </w:r>
          </w:p>
        </w:tc>
        <w:tc>
          <w:tcPr>
            <w:tcW w:w="2304" w:type="dxa"/>
            <w:tcBorders>
              <w:top w:val="nil"/>
              <w:left w:val="nil"/>
              <w:bottom w:val="single" w:sz="12" w:space="0" w:color="FFFFFF"/>
              <w:right w:val="single" w:sz="12" w:space="0" w:color="FFFFFF"/>
            </w:tcBorders>
            <w:shd w:val="clear" w:color="000000" w:fill="D9D9D9"/>
            <w:noWrap/>
          </w:tcPr>
          <w:p w14:paraId="257833A6"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96 418,83</w:t>
            </w:r>
          </w:p>
        </w:tc>
        <w:tc>
          <w:tcPr>
            <w:tcW w:w="2069" w:type="dxa"/>
            <w:tcBorders>
              <w:top w:val="nil"/>
              <w:left w:val="nil"/>
              <w:bottom w:val="single" w:sz="12" w:space="0" w:color="FFFFFF"/>
              <w:right w:val="single" w:sz="12" w:space="0" w:color="FFFFFF"/>
            </w:tcBorders>
            <w:shd w:val="clear" w:color="000000" w:fill="D9D9D9"/>
            <w:noWrap/>
          </w:tcPr>
          <w:p w14:paraId="0F6229B2"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8 954,88</w:t>
            </w:r>
          </w:p>
        </w:tc>
      </w:tr>
      <w:tr w:rsidR="0004598E" w:rsidRPr="00094641" w14:paraId="4779EE68" w14:textId="77777777" w:rsidTr="0004598E">
        <w:trPr>
          <w:trHeight w:hRule="exact" w:val="331"/>
        </w:trPr>
        <w:tc>
          <w:tcPr>
            <w:tcW w:w="3627" w:type="dxa"/>
            <w:tcBorders>
              <w:top w:val="nil"/>
              <w:left w:val="single" w:sz="12" w:space="0" w:color="FFFFFF"/>
              <w:bottom w:val="single" w:sz="12" w:space="0" w:color="FFFFFF"/>
              <w:right w:val="single" w:sz="12" w:space="0" w:color="FFFFFF"/>
            </w:tcBorders>
            <w:shd w:val="clear" w:color="000000" w:fill="D9D9D9"/>
            <w:vAlign w:val="center"/>
            <w:hideMark/>
          </w:tcPr>
          <w:p w14:paraId="73958C25"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 xml:space="preserve">Krátkodobé záväzky </w:t>
            </w:r>
          </w:p>
        </w:tc>
        <w:tc>
          <w:tcPr>
            <w:tcW w:w="2300" w:type="dxa"/>
            <w:tcBorders>
              <w:top w:val="nil"/>
              <w:left w:val="nil"/>
              <w:bottom w:val="single" w:sz="12" w:space="0" w:color="FFFFFF"/>
              <w:right w:val="single" w:sz="12" w:space="0" w:color="FFFFFF"/>
            </w:tcBorders>
            <w:shd w:val="clear" w:color="000000" w:fill="D9D9D9"/>
            <w:noWrap/>
          </w:tcPr>
          <w:p w14:paraId="4B2E59DB"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1 589 818,75</w:t>
            </w:r>
          </w:p>
        </w:tc>
        <w:tc>
          <w:tcPr>
            <w:tcW w:w="2304" w:type="dxa"/>
            <w:tcBorders>
              <w:top w:val="nil"/>
              <w:left w:val="nil"/>
              <w:bottom w:val="single" w:sz="12" w:space="0" w:color="FFFFFF"/>
              <w:right w:val="single" w:sz="12" w:space="0" w:color="FFFFFF"/>
            </w:tcBorders>
            <w:shd w:val="clear" w:color="000000" w:fill="D9D9D9"/>
            <w:noWrap/>
          </w:tcPr>
          <w:p w14:paraId="4C3A0E7C"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1 875 829,96</w:t>
            </w:r>
          </w:p>
        </w:tc>
        <w:tc>
          <w:tcPr>
            <w:tcW w:w="2069" w:type="dxa"/>
            <w:tcBorders>
              <w:top w:val="nil"/>
              <w:left w:val="nil"/>
              <w:bottom w:val="single" w:sz="12" w:space="0" w:color="FFFFFF"/>
              <w:right w:val="single" w:sz="12" w:space="0" w:color="FFFFFF"/>
            </w:tcBorders>
            <w:shd w:val="clear" w:color="000000" w:fill="D9D9D9"/>
            <w:noWrap/>
          </w:tcPr>
          <w:p w14:paraId="6A4A8269"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286 011,21</w:t>
            </w:r>
          </w:p>
        </w:tc>
      </w:tr>
      <w:tr w:rsidR="0004598E" w:rsidRPr="00094641" w14:paraId="2954AD51" w14:textId="77777777" w:rsidTr="0004598E">
        <w:trPr>
          <w:trHeight w:hRule="exact" w:val="331"/>
        </w:trPr>
        <w:tc>
          <w:tcPr>
            <w:tcW w:w="3627" w:type="dxa"/>
            <w:tcBorders>
              <w:top w:val="nil"/>
              <w:left w:val="single" w:sz="12" w:space="0" w:color="FFFFFF"/>
              <w:bottom w:val="single" w:sz="12" w:space="0" w:color="FFFFFF"/>
              <w:right w:val="single" w:sz="12" w:space="0" w:color="FFFFFF"/>
            </w:tcBorders>
            <w:shd w:val="clear" w:color="000000" w:fill="D9D9D9"/>
            <w:vAlign w:val="center"/>
            <w:hideMark/>
          </w:tcPr>
          <w:p w14:paraId="2BBBD3B7" w14:textId="77777777" w:rsidR="0004598E" w:rsidRPr="00094641" w:rsidRDefault="0004598E" w:rsidP="00222450">
            <w:pPr>
              <w:spacing w:after="0" w:line="240" w:lineRule="auto"/>
              <w:rPr>
                <w:rFonts w:asciiTheme="minorHAnsi" w:hAnsiTheme="minorHAnsi" w:cstheme="minorHAnsi"/>
                <w:b/>
                <w:bCs/>
                <w:color w:val="000000"/>
                <w:sz w:val="20"/>
                <w:szCs w:val="20"/>
                <w:lang w:eastAsia="sk-SK"/>
              </w:rPr>
            </w:pPr>
            <w:r w:rsidRPr="00094641">
              <w:rPr>
                <w:rFonts w:asciiTheme="minorHAnsi" w:hAnsiTheme="minorHAnsi" w:cstheme="minorHAnsi"/>
                <w:b/>
                <w:bCs/>
                <w:color w:val="000000"/>
                <w:sz w:val="20"/>
                <w:szCs w:val="20"/>
                <w:lang w:eastAsia="sk-SK"/>
              </w:rPr>
              <w:t>Bankové úvery a výpomoci</w:t>
            </w:r>
          </w:p>
        </w:tc>
        <w:tc>
          <w:tcPr>
            <w:tcW w:w="2300" w:type="dxa"/>
            <w:tcBorders>
              <w:top w:val="nil"/>
              <w:left w:val="nil"/>
              <w:bottom w:val="single" w:sz="12" w:space="0" w:color="FFFFFF"/>
              <w:right w:val="single" w:sz="12" w:space="0" w:color="FFFFFF"/>
            </w:tcBorders>
            <w:shd w:val="clear" w:color="000000" w:fill="D9D9D9"/>
            <w:noWrap/>
          </w:tcPr>
          <w:p w14:paraId="5FB5D557"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304" w:type="dxa"/>
            <w:tcBorders>
              <w:top w:val="nil"/>
              <w:left w:val="nil"/>
              <w:bottom w:val="single" w:sz="12" w:space="0" w:color="FFFFFF"/>
              <w:right w:val="single" w:sz="12" w:space="0" w:color="FFFFFF"/>
            </w:tcBorders>
            <w:shd w:val="clear" w:color="000000" w:fill="D9D9D9"/>
            <w:noWrap/>
          </w:tcPr>
          <w:p w14:paraId="5DC65DD8"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c>
          <w:tcPr>
            <w:tcW w:w="2069" w:type="dxa"/>
            <w:tcBorders>
              <w:top w:val="nil"/>
              <w:left w:val="nil"/>
              <w:bottom w:val="single" w:sz="12" w:space="0" w:color="FFFFFF"/>
              <w:right w:val="single" w:sz="12" w:space="0" w:color="FFFFFF"/>
            </w:tcBorders>
            <w:shd w:val="clear" w:color="000000" w:fill="D9D9D9"/>
            <w:noWrap/>
          </w:tcPr>
          <w:p w14:paraId="1E0B0F3F" w14:textId="77777777" w:rsidR="0004598E" w:rsidRPr="00094641" w:rsidRDefault="0004598E" w:rsidP="00222450">
            <w:pPr>
              <w:spacing w:after="0" w:line="240" w:lineRule="auto"/>
              <w:jc w:val="right"/>
              <w:rPr>
                <w:rFonts w:asciiTheme="minorHAnsi" w:hAnsiTheme="minorHAnsi" w:cstheme="minorHAnsi"/>
                <w:bCs/>
                <w:color w:val="000000"/>
                <w:sz w:val="20"/>
                <w:szCs w:val="20"/>
                <w:lang w:eastAsia="sk-SK"/>
              </w:rPr>
            </w:pPr>
            <w:r>
              <w:rPr>
                <w:rFonts w:asciiTheme="minorHAnsi" w:hAnsiTheme="minorHAnsi" w:cstheme="minorHAnsi"/>
                <w:bCs/>
                <w:color w:val="000000"/>
                <w:sz w:val="20"/>
                <w:szCs w:val="20"/>
                <w:lang w:eastAsia="sk-SK"/>
              </w:rPr>
              <w:t>0,00</w:t>
            </w:r>
          </w:p>
        </w:tc>
      </w:tr>
    </w:tbl>
    <w:p w14:paraId="3089D691" w14:textId="77777777" w:rsidR="0004598E" w:rsidRPr="00094641" w:rsidRDefault="0004598E" w:rsidP="0004598E">
      <w:pPr>
        <w:spacing w:after="0" w:line="240" w:lineRule="auto"/>
        <w:ind w:firstLine="709"/>
        <w:jc w:val="both"/>
        <w:rPr>
          <w:b/>
          <w:sz w:val="24"/>
          <w:szCs w:val="24"/>
          <w:u w:val="single"/>
          <w:lang w:eastAsia="sk-SK"/>
        </w:rPr>
      </w:pPr>
    </w:p>
    <w:p w14:paraId="0E224D96" w14:textId="77777777" w:rsidR="0004598E" w:rsidRPr="00094641" w:rsidRDefault="0004598E" w:rsidP="0004598E">
      <w:pPr>
        <w:spacing w:after="0" w:line="240" w:lineRule="auto"/>
        <w:jc w:val="both"/>
        <w:rPr>
          <w:sz w:val="24"/>
          <w:szCs w:val="24"/>
          <w:lang w:eastAsia="sk-SK"/>
        </w:rPr>
      </w:pPr>
      <w:r w:rsidRPr="00094641">
        <w:rPr>
          <w:b/>
          <w:sz w:val="24"/>
          <w:szCs w:val="24"/>
          <w:u w:val="single"/>
          <w:lang w:eastAsia="sk-SK"/>
        </w:rPr>
        <w:t>Zdravotnícke zariadenie v zriaďovateľskej pôsobnosti BSK</w:t>
      </w:r>
      <w:r w:rsidRPr="00094641">
        <w:rPr>
          <w:sz w:val="24"/>
          <w:szCs w:val="24"/>
          <w:lang w:eastAsia="sk-SK"/>
        </w:rPr>
        <w:t xml:space="preserve"> (Poliklinika Karlova Ves) eviduje záväzky </w:t>
      </w:r>
      <w:r w:rsidRPr="00094641">
        <w:rPr>
          <w:b/>
          <w:sz w:val="24"/>
          <w:szCs w:val="24"/>
          <w:lang w:eastAsia="sk-SK"/>
        </w:rPr>
        <w:t>k 31.12.20</w:t>
      </w:r>
      <w:r>
        <w:rPr>
          <w:b/>
          <w:sz w:val="24"/>
          <w:szCs w:val="24"/>
          <w:lang w:eastAsia="sk-SK"/>
        </w:rPr>
        <w:t>20</w:t>
      </w:r>
      <w:r w:rsidRPr="00094641">
        <w:rPr>
          <w:sz w:val="24"/>
          <w:szCs w:val="24"/>
          <w:lang w:eastAsia="sk-SK"/>
        </w:rPr>
        <w:t xml:space="preserve"> v celkovej výške </w:t>
      </w:r>
      <w:r>
        <w:rPr>
          <w:b/>
          <w:bCs/>
          <w:sz w:val="24"/>
          <w:szCs w:val="24"/>
          <w:lang w:eastAsia="sk-SK"/>
        </w:rPr>
        <w:t>3 867 720,82</w:t>
      </w:r>
      <w:r w:rsidRPr="00094641">
        <w:rPr>
          <w:b/>
          <w:bCs/>
          <w:sz w:val="24"/>
          <w:szCs w:val="24"/>
          <w:lang w:eastAsia="sk-SK"/>
        </w:rPr>
        <w:t xml:space="preserve"> </w:t>
      </w:r>
      <w:r w:rsidRPr="00094641">
        <w:rPr>
          <w:b/>
          <w:sz w:val="24"/>
          <w:szCs w:val="24"/>
          <w:lang w:eastAsia="sk-SK"/>
        </w:rPr>
        <w:t>EUR</w:t>
      </w:r>
      <w:r w:rsidRPr="00094641">
        <w:rPr>
          <w:sz w:val="24"/>
          <w:szCs w:val="24"/>
          <w:lang w:eastAsia="sk-SK"/>
        </w:rPr>
        <w:t>.</w:t>
      </w:r>
    </w:p>
    <w:p w14:paraId="55073581" w14:textId="77777777" w:rsidR="0004598E" w:rsidRPr="00094641" w:rsidRDefault="0004598E" w:rsidP="0004598E">
      <w:pPr>
        <w:spacing w:after="0" w:line="240" w:lineRule="auto"/>
        <w:ind w:firstLine="709"/>
        <w:jc w:val="both"/>
        <w:rPr>
          <w:sz w:val="24"/>
          <w:szCs w:val="24"/>
          <w:lang w:eastAsia="sk-SK"/>
        </w:rPr>
      </w:pPr>
    </w:p>
    <w:tbl>
      <w:tblPr>
        <w:tblW w:w="10374" w:type="dxa"/>
        <w:tblInd w:w="55" w:type="dxa"/>
        <w:tblCellMar>
          <w:left w:w="70" w:type="dxa"/>
          <w:right w:w="70" w:type="dxa"/>
        </w:tblCellMar>
        <w:tblLook w:val="04A0" w:firstRow="1" w:lastRow="0" w:firstColumn="1" w:lastColumn="0" w:noHBand="0" w:noVBand="1"/>
      </w:tblPr>
      <w:tblGrid>
        <w:gridCol w:w="3653"/>
        <w:gridCol w:w="2084"/>
        <w:gridCol w:w="2553"/>
        <w:gridCol w:w="2084"/>
      </w:tblGrid>
      <w:tr w:rsidR="0004598E" w:rsidRPr="00094641" w14:paraId="27A7DC73" w14:textId="77777777" w:rsidTr="0004598E">
        <w:trPr>
          <w:trHeight w:val="278"/>
        </w:trPr>
        <w:tc>
          <w:tcPr>
            <w:tcW w:w="3653" w:type="dxa"/>
            <w:tcBorders>
              <w:top w:val="single" w:sz="12" w:space="0" w:color="FFFFFF"/>
              <w:left w:val="single" w:sz="12" w:space="0" w:color="FFFFFF"/>
              <w:bottom w:val="nil"/>
              <w:right w:val="single" w:sz="12" w:space="0" w:color="FFFFFF"/>
            </w:tcBorders>
            <w:shd w:val="clear" w:color="000000" w:fill="8DB3E2"/>
            <w:vAlign w:val="center"/>
            <w:hideMark/>
          </w:tcPr>
          <w:p w14:paraId="109C70AE" w14:textId="77777777" w:rsidR="0004598E" w:rsidRPr="00094641" w:rsidRDefault="0004598E" w:rsidP="00222450">
            <w:pPr>
              <w:spacing w:after="0" w:line="240" w:lineRule="auto"/>
              <w:jc w:val="center"/>
              <w:rPr>
                <w:rFonts w:cs="Calibri"/>
                <w:b/>
                <w:bCs/>
                <w:sz w:val="20"/>
                <w:szCs w:val="20"/>
                <w:lang w:eastAsia="sk-SK"/>
              </w:rPr>
            </w:pPr>
            <w:r w:rsidRPr="00094641">
              <w:rPr>
                <w:rFonts w:cs="Calibri"/>
                <w:b/>
                <w:bCs/>
                <w:sz w:val="20"/>
                <w:szCs w:val="20"/>
                <w:lang w:eastAsia="sk-SK"/>
              </w:rPr>
              <w:t>PREHĽAD ZÁVÄZKOV PO</w:t>
            </w:r>
          </w:p>
        </w:tc>
        <w:tc>
          <w:tcPr>
            <w:tcW w:w="2084" w:type="dxa"/>
            <w:tcBorders>
              <w:top w:val="single" w:sz="12" w:space="0" w:color="FFFFFF"/>
              <w:left w:val="nil"/>
              <w:bottom w:val="nil"/>
              <w:right w:val="single" w:sz="12" w:space="0" w:color="FFFFFF"/>
            </w:tcBorders>
            <w:shd w:val="clear" w:color="000000" w:fill="8DB3E2"/>
            <w:noWrap/>
            <w:vAlign w:val="center"/>
            <w:hideMark/>
          </w:tcPr>
          <w:p w14:paraId="5C9B7C61" w14:textId="77777777" w:rsidR="0004598E" w:rsidRPr="00094641" w:rsidRDefault="0004598E" w:rsidP="00222450">
            <w:pPr>
              <w:spacing w:after="0" w:line="240" w:lineRule="auto"/>
              <w:jc w:val="center"/>
              <w:rPr>
                <w:rFonts w:cs="Calibri"/>
                <w:b/>
                <w:bCs/>
                <w:color w:val="000000"/>
                <w:sz w:val="20"/>
                <w:szCs w:val="20"/>
                <w:lang w:eastAsia="sk-SK"/>
              </w:rPr>
            </w:pPr>
            <w:r w:rsidRPr="00094641">
              <w:rPr>
                <w:rFonts w:cs="Calibri"/>
                <w:b/>
                <w:bCs/>
                <w:color w:val="000000"/>
                <w:sz w:val="20"/>
                <w:szCs w:val="20"/>
                <w:lang w:eastAsia="sk-SK"/>
              </w:rPr>
              <w:t>Stav záväzkov k 31.12.201</w:t>
            </w:r>
            <w:r>
              <w:rPr>
                <w:rFonts w:cs="Calibri"/>
                <w:b/>
                <w:bCs/>
                <w:color w:val="000000"/>
                <w:sz w:val="20"/>
                <w:szCs w:val="20"/>
                <w:lang w:eastAsia="sk-SK"/>
              </w:rPr>
              <w:t>9</w:t>
            </w:r>
          </w:p>
        </w:tc>
        <w:tc>
          <w:tcPr>
            <w:tcW w:w="2553" w:type="dxa"/>
            <w:tcBorders>
              <w:top w:val="single" w:sz="12" w:space="0" w:color="FFFFFF"/>
              <w:left w:val="nil"/>
              <w:bottom w:val="nil"/>
              <w:right w:val="single" w:sz="12" w:space="0" w:color="FFFFFF"/>
            </w:tcBorders>
            <w:shd w:val="clear" w:color="000000" w:fill="8DB3E2"/>
            <w:noWrap/>
            <w:vAlign w:val="center"/>
            <w:hideMark/>
          </w:tcPr>
          <w:p w14:paraId="53FF85C8" w14:textId="77777777" w:rsidR="0004598E" w:rsidRPr="00094641" w:rsidRDefault="0004598E" w:rsidP="00222450">
            <w:pPr>
              <w:spacing w:after="0" w:line="240" w:lineRule="auto"/>
              <w:jc w:val="center"/>
              <w:rPr>
                <w:rFonts w:cs="Calibri"/>
                <w:b/>
                <w:bCs/>
                <w:color w:val="000000"/>
                <w:sz w:val="20"/>
                <w:szCs w:val="20"/>
                <w:lang w:eastAsia="sk-SK"/>
              </w:rPr>
            </w:pPr>
            <w:r w:rsidRPr="00094641">
              <w:rPr>
                <w:rFonts w:cs="Calibri"/>
                <w:b/>
                <w:bCs/>
                <w:color w:val="000000"/>
                <w:sz w:val="20"/>
                <w:szCs w:val="20"/>
                <w:lang w:eastAsia="sk-SK"/>
              </w:rPr>
              <w:t>Stav záväzkov</w:t>
            </w:r>
            <w:r w:rsidRPr="00094641">
              <w:rPr>
                <w:rFonts w:cs="Calibri"/>
                <w:b/>
                <w:bCs/>
                <w:color w:val="000000"/>
                <w:sz w:val="20"/>
                <w:szCs w:val="20"/>
                <w:lang w:eastAsia="sk-SK"/>
              </w:rPr>
              <w:br/>
              <w:t xml:space="preserve"> k 31.12.20</w:t>
            </w:r>
            <w:r>
              <w:rPr>
                <w:rFonts w:cs="Calibri"/>
                <w:b/>
                <w:bCs/>
                <w:color w:val="000000"/>
                <w:sz w:val="20"/>
                <w:szCs w:val="20"/>
                <w:lang w:eastAsia="sk-SK"/>
              </w:rPr>
              <w:t>20</w:t>
            </w:r>
          </w:p>
        </w:tc>
        <w:tc>
          <w:tcPr>
            <w:tcW w:w="2084" w:type="dxa"/>
            <w:tcBorders>
              <w:top w:val="single" w:sz="12" w:space="0" w:color="FFFFFF"/>
              <w:left w:val="nil"/>
              <w:bottom w:val="nil"/>
              <w:right w:val="single" w:sz="12" w:space="0" w:color="FFFFFF"/>
            </w:tcBorders>
            <w:shd w:val="clear" w:color="000000" w:fill="8DB3E2"/>
            <w:noWrap/>
            <w:vAlign w:val="center"/>
            <w:hideMark/>
          </w:tcPr>
          <w:p w14:paraId="0CBC1CC1" w14:textId="77777777" w:rsidR="0004598E" w:rsidRPr="00094641" w:rsidRDefault="0004598E" w:rsidP="00222450">
            <w:pPr>
              <w:spacing w:after="0" w:line="240" w:lineRule="auto"/>
              <w:jc w:val="center"/>
              <w:rPr>
                <w:rFonts w:cs="Calibri"/>
                <w:b/>
                <w:bCs/>
                <w:color w:val="000000"/>
                <w:sz w:val="20"/>
                <w:szCs w:val="20"/>
                <w:lang w:eastAsia="sk-SK"/>
              </w:rPr>
            </w:pPr>
            <w:r w:rsidRPr="00094641">
              <w:rPr>
                <w:rFonts w:cs="Calibri"/>
                <w:b/>
                <w:bCs/>
                <w:color w:val="000000"/>
                <w:sz w:val="20"/>
                <w:szCs w:val="20"/>
                <w:lang w:eastAsia="sk-SK"/>
              </w:rPr>
              <w:t>Medziročná zmena</w:t>
            </w:r>
          </w:p>
        </w:tc>
      </w:tr>
      <w:tr w:rsidR="0004598E" w:rsidRPr="00094641" w14:paraId="0345F5AF" w14:textId="77777777" w:rsidTr="0004598E">
        <w:trPr>
          <w:trHeight w:val="543"/>
        </w:trPr>
        <w:tc>
          <w:tcPr>
            <w:tcW w:w="3653" w:type="dxa"/>
            <w:tcBorders>
              <w:top w:val="nil"/>
              <w:left w:val="single" w:sz="12" w:space="0" w:color="FFFFFF"/>
              <w:bottom w:val="single" w:sz="12" w:space="0" w:color="FFFFFF"/>
              <w:right w:val="single" w:sz="12" w:space="0" w:color="FFFFFF"/>
            </w:tcBorders>
            <w:shd w:val="clear" w:color="000000" w:fill="8DB3E2"/>
            <w:vAlign w:val="center"/>
            <w:hideMark/>
          </w:tcPr>
          <w:p w14:paraId="6DC0F46D" w14:textId="77777777" w:rsidR="0004598E" w:rsidRPr="00094641" w:rsidRDefault="0004598E" w:rsidP="00222450">
            <w:pPr>
              <w:spacing w:after="0" w:line="240" w:lineRule="auto"/>
              <w:jc w:val="center"/>
              <w:rPr>
                <w:rFonts w:cs="Calibri"/>
                <w:b/>
                <w:bCs/>
                <w:sz w:val="20"/>
                <w:szCs w:val="20"/>
                <w:lang w:eastAsia="sk-SK"/>
              </w:rPr>
            </w:pPr>
            <w:r w:rsidRPr="00094641">
              <w:rPr>
                <w:rFonts w:cs="Calibri"/>
                <w:b/>
                <w:bCs/>
                <w:sz w:val="20"/>
                <w:szCs w:val="20"/>
                <w:lang w:eastAsia="sk-SK"/>
              </w:rPr>
              <w:t>v zriaďovateľskej  pôsobnosti BSK – zdravotnícke zariadenia</w:t>
            </w:r>
          </w:p>
        </w:tc>
        <w:tc>
          <w:tcPr>
            <w:tcW w:w="2084" w:type="dxa"/>
            <w:tcBorders>
              <w:top w:val="nil"/>
              <w:left w:val="nil"/>
              <w:bottom w:val="single" w:sz="12" w:space="0" w:color="FFFFFF"/>
              <w:right w:val="single" w:sz="12" w:space="0" w:color="FFFFFF"/>
            </w:tcBorders>
            <w:shd w:val="clear" w:color="000000" w:fill="8DB3E2"/>
            <w:noWrap/>
            <w:vAlign w:val="center"/>
            <w:hideMark/>
          </w:tcPr>
          <w:p w14:paraId="1E6DF2D6" w14:textId="77777777" w:rsidR="0004598E" w:rsidRPr="00094641" w:rsidRDefault="0004598E" w:rsidP="00222450">
            <w:pPr>
              <w:spacing w:after="0" w:line="240" w:lineRule="auto"/>
              <w:jc w:val="center"/>
              <w:rPr>
                <w:rFonts w:cs="Calibri"/>
                <w:b/>
                <w:bCs/>
                <w:sz w:val="20"/>
                <w:szCs w:val="20"/>
                <w:lang w:eastAsia="sk-SK"/>
              </w:rPr>
            </w:pPr>
            <w:r w:rsidRPr="00094641">
              <w:rPr>
                <w:rFonts w:cs="Calibri"/>
                <w:b/>
                <w:bCs/>
                <w:sz w:val="20"/>
                <w:szCs w:val="20"/>
                <w:lang w:eastAsia="sk-SK"/>
              </w:rPr>
              <w:t>v EUR</w:t>
            </w:r>
          </w:p>
        </w:tc>
        <w:tc>
          <w:tcPr>
            <w:tcW w:w="2553" w:type="dxa"/>
            <w:tcBorders>
              <w:top w:val="nil"/>
              <w:left w:val="nil"/>
              <w:bottom w:val="single" w:sz="12" w:space="0" w:color="FFFFFF"/>
              <w:right w:val="single" w:sz="12" w:space="0" w:color="FFFFFF"/>
            </w:tcBorders>
            <w:shd w:val="clear" w:color="000000" w:fill="8DB3E2"/>
            <w:noWrap/>
            <w:vAlign w:val="center"/>
            <w:hideMark/>
          </w:tcPr>
          <w:p w14:paraId="7B09AB52" w14:textId="77777777" w:rsidR="0004598E" w:rsidRPr="00094641" w:rsidRDefault="0004598E" w:rsidP="00222450">
            <w:pPr>
              <w:spacing w:after="0" w:line="240" w:lineRule="auto"/>
              <w:jc w:val="center"/>
              <w:rPr>
                <w:rFonts w:cs="Calibri"/>
                <w:b/>
                <w:bCs/>
                <w:sz w:val="20"/>
                <w:szCs w:val="20"/>
                <w:lang w:eastAsia="sk-SK"/>
              </w:rPr>
            </w:pPr>
            <w:r w:rsidRPr="00094641">
              <w:rPr>
                <w:rFonts w:cs="Calibri"/>
                <w:b/>
                <w:bCs/>
                <w:sz w:val="20"/>
                <w:szCs w:val="20"/>
                <w:lang w:eastAsia="sk-SK"/>
              </w:rPr>
              <w:t>v EUR</w:t>
            </w:r>
          </w:p>
        </w:tc>
        <w:tc>
          <w:tcPr>
            <w:tcW w:w="2084" w:type="dxa"/>
            <w:tcBorders>
              <w:top w:val="nil"/>
              <w:left w:val="nil"/>
              <w:bottom w:val="single" w:sz="12" w:space="0" w:color="FFFFFF"/>
              <w:right w:val="single" w:sz="12" w:space="0" w:color="FFFFFF"/>
            </w:tcBorders>
            <w:shd w:val="clear" w:color="000000" w:fill="8DB3E2"/>
            <w:noWrap/>
            <w:vAlign w:val="center"/>
            <w:hideMark/>
          </w:tcPr>
          <w:p w14:paraId="3CFE4FBE" w14:textId="77777777" w:rsidR="0004598E" w:rsidRPr="00094641" w:rsidRDefault="0004598E" w:rsidP="00222450">
            <w:pPr>
              <w:spacing w:after="0" w:line="240" w:lineRule="auto"/>
              <w:jc w:val="center"/>
              <w:rPr>
                <w:rFonts w:cs="Calibri"/>
                <w:b/>
                <w:bCs/>
                <w:sz w:val="20"/>
                <w:szCs w:val="20"/>
                <w:lang w:eastAsia="sk-SK"/>
              </w:rPr>
            </w:pPr>
            <w:r w:rsidRPr="00094641">
              <w:rPr>
                <w:rFonts w:cs="Calibri"/>
                <w:b/>
                <w:bCs/>
                <w:sz w:val="20"/>
                <w:szCs w:val="20"/>
                <w:lang w:eastAsia="sk-SK"/>
              </w:rPr>
              <w:t>V EUR </w:t>
            </w:r>
          </w:p>
        </w:tc>
      </w:tr>
      <w:tr w:rsidR="0004598E" w:rsidRPr="00094641" w14:paraId="12DC373F" w14:textId="77777777" w:rsidTr="0004598E">
        <w:trPr>
          <w:trHeight w:hRule="exact" w:val="350"/>
        </w:trPr>
        <w:tc>
          <w:tcPr>
            <w:tcW w:w="3653" w:type="dxa"/>
            <w:tcBorders>
              <w:top w:val="nil"/>
              <w:left w:val="single" w:sz="12" w:space="0" w:color="FFFFFF"/>
              <w:bottom w:val="single" w:sz="12" w:space="0" w:color="FFFFFF"/>
              <w:right w:val="single" w:sz="12" w:space="0" w:color="FFFFFF"/>
            </w:tcBorders>
            <w:shd w:val="clear" w:color="000000" w:fill="808080"/>
            <w:vAlign w:val="center"/>
            <w:hideMark/>
          </w:tcPr>
          <w:p w14:paraId="2DEEDCE5" w14:textId="77777777" w:rsidR="0004598E" w:rsidRPr="00094641" w:rsidRDefault="0004598E" w:rsidP="00222450">
            <w:pPr>
              <w:spacing w:after="0" w:line="240" w:lineRule="auto"/>
              <w:rPr>
                <w:rFonts w:cs="Calibri"/>
                <w:b/>
                <w:bCs/>
                <w:color w:val="FFFFFF"/>
                <w:sz w:val="20"/>
                <w:szCs w:val="20"/>
                <w:lang w:eastAsia="sk-SK"/>
              </w:rPr>
            </w:pPr>
            <w:r w:rsidRPr="00094641">
              <w:rPr>
                <w:rFonts w:cs="Calibri"/>
                <w:b/>
                <w:bCs/>
                <w:color w:val="FFFFFF"/>
                <w:sz w:val="20"/>
                <w:szCs w:val="20"/>
                <w:lang w:eastAsia="sk-SK"/>
              </w:rPr>
              <w:t xml:space="preserve">Záväzky celkom </w:t>
            </w:r>
          </w:p>
        </w:tc>
        <w:tc>
          <w:tcPr>
            <w:tcW w:w="2084" w:type="dxa"/>
            <w:tcBorders>
              <w:top w:val="nil"/>
              <w:left w:val="nil"/>
              <w:bottom w:val="single" w:sz="12" w:space="0" w:color="FFFFFF"/>
              <w:right w:val="single" w:sz="12" w:space="0" w:color="FFFFFF"/>
            </w:tcBorders>
            <w:shd w:val="clear" w:color="000000" w:fill="808080"/>
            <w:noWrap/>
          </w:tcPr>
          <w:p w14:paraId="3F9CF803" w14:textId="77777777" w:rsidR="0004598E" w:rsidRPr="00094641" w:rsidRDefault="0004598E" w:rsidP="00222450">
            <w:pPr>
              <w:spacing w:after="0" w:line="240" w:lineRule="auto"/>
              <w:jc w:val="right"/>
              <w:rPr>
                <w:rFonts w:cs="Calibri"/>
                <w:b/>
                <w:bCs/>
                <w:color w:val="FFFFFF"/>
                <w:sz w:val="20"/>
                <w:szCs w:val="20"/>
                <w:lang w:eastAsia="sk-SK"/>
              </w:rPr>
            </w:pPr>
            <w:r>
              <w:rPr>
                <w:rFonts w:cs="Calibri"/>
                <w:b/>
                <w:bCs/>
                <w:color w:val="FFFFFF"/>
                <w:sz w:val="20"/>
                <w:szCs w:val="20"/>
                <w:lang w:eastAsia="sk-SK"/>
              </w:rPr>
              <w:t>3 668 082,65</w:t>
            </w:r>
          </w:p>
        </w:tc>
        <w:tc>
          <w:tcPr>
            <w:tcW w:w="2553" w:type="dxa"/>
            <w:tcBorders>
              <w:top w:val="nil"/>
              <w:left w:val="nil"/>
              <w:bottom w:val="single" w:sz="12" w:space="0" w:color="FFFFFF"/>
              <w:right w:val="single" w:sz="12" w:space="0" w:color="FFFFFF"/>
            </w:tcBorders>
            <w:shd w:val="clear" w:color="000000" w:fill="808080"/>
            <w:noWrap/>
          </w:tcPr>
          <w:p w14:paraId="03E36C20" w14:textId="77777777" w:rsidR="0004598E" w:rsidRPr="00094641" w:rsidRDefault="0004598E" w:rsidP="00222450">
            <w:pPr>
              <w:spacing w:after="0" w:line="240" w:lineRule="auto"/>
              <w:jc w:val="right"/>
              <w:rPr>
                <w:rFonts w:cs="Calibri"/>
                <w:b/>
                <w:bCs/>
                <w:color w:val="FFFFFF"/>
                <w:sz w:val="20"/>
                <w:szCs w:val="20"/>
                <w:lang w:eastAsia="sk-SK"/>
              </w:rPr>
            </w:pPr>
            <w:r>
              <w:rPr>
                <w:rFonts w:cs="Calibri"/>
                <w:b/>
                <w:bCs/>
                <w:color w:val="FFFFFF"/>
                <w:sz w:val="20"/>
                <w:szCs w:val="20"/>
                <w:lang w:eastAsia="sk-SK"/>
              </w:rPr>
              <w:t>3 867 720,82</w:t>
            </w:r>
          </w:p>
        </w:tc>
        <w:tc>
          <w:tcPr>
            <w:tcW w:w="2084" w:type="dxa"/>
            <w:tcBorders>
              <w:top w:val="nil"/>
              <w:left w:val="nil"/>
              <w:bottom w:val="single" w:sz="12" w:space="0" w:color="FFFFFF"/>
              <w:right w:val="single" w:sz="12" w:space="0" w:color="FFFFFF"/>
            </w:tcBorders>
            <w:shd w:val="clear" w:color="000000" w:fill="808080"/>
            <w:noWrap/>
          </w:tcPr>
          <w:p w14:paraId="46B7C3B8" w14:textId="77777777" w:rsidR="0004598E" w:rsidRPr="00094641" w:rsidRDefault="0004598E" w:rsidP="00222450">
            <w:pPr>
              <w:spacing w:after="0" w:line="240" w:lineRule="auto"/>
              <w:jc w:val="right"/>
              <w:rPr>
                <w:rFonts w:cs="Calibri"/>
                <w:b/>
                <w:bCs/>
                <w:color w:val="FFFFFF"/>
                <w:sz w:val="20"/>
                <w:szCs w:val="20"/>
                <w:lang w:eastAsia="sk-SK"/>
              </w:rPr>
            </w:pPr>
            <w:r>
              <w:rPr>
                <w:rFonts w:cs="Calibri"/>
                <w:b/>
                <w:bCs/>
                <w:color w:val="FFFFFF"/>
                <w:sz w:val="20"/>
                <w:szCs w:val="20"/>
                <w:lang w:eastAsia="sk-SK"/>
              </w:rPr>
              <w:t>199 638,17</w:t>
            </w:r>
          </w:p>
        </w:tc>
      </w:tr>
      <w:tr w:rsidR="0004598E" w:rsidRPr="00094641" w14:paraId="129DBF8D" w14:textId="77777777" w:rsidTr="0004598E">
        <w:trPr>
          <w:trHeight w:hRule="exact" w:val="350"/>
        </w:trPr>
        <w:tc>
          <w:tcPr>
            <w:tcW w:w="3653" w:type="dxa"/>
            <w:tcBorders>
              <w:top w:val="nil"/>
              <w:left w:val="single" w:sz="12" w:space="0" w:color="FFFFFF"/>
              <w:bottom w:val="single" w:sz="12" w:space="0" w:color="FFFFFF"/>
              <w:right w:val="single" w:sz="12" w:space="0" w:color="FFFFFF"/>
            </w:tcBorders>
            <w:shd w:val="clear" w:color="000000" w:fill="D9D9D9"/>
            <w:vAlign w:val="center"/>
            <w:hideMark/>
          </w:tcPr>
          <w:p w14:paraId="254037B7" w14:textId="77777777" w:rsidR="0004598E" w:rsidRPr="00094641" w:rsidRDefault="0004598E" w:rsidP="00222450">
            <w:pPr>
              <w:spacing w:after="0" w:line="240" w:lineRule="auto"/>
              <w:rPr>
                <w:rFonts w:cs="Calibri"/>
                <w:b/>
                <w:bCs/>
                <w:color w:val="000000"/>
                <w:sz w:val="20"/>
                <w:szCs w:val="20"/>
                <w:lang w:eastAsia="sk-SK"/>
              </w:rPr>
            </w:pPr>
            <w:r w:rsidRPr="00094641">
              <w:rPr>
                <w:rFonts w:cs="Calibri"/>
                <w:b/>
                <w:bCs/>
                <w:color w:val="000000"/>
                <w:sz w:val="20"/>
                <w:szCs w:val="20"/>
                <w:lang w:eastAsia="sk-SK"/>
              </w:rPr>
              <w:t xml:space="preserve">Rezervy </w:t>
            </w:r>
          </w:p>
        </w:tc>
        <w:tc>
          <w:tcPr>
            <w:tcW w:w="2084" w:type="dxa"/>
            <w:tcBorders>
              <w:top w:val="nil"/>
              <w:left w:val="nil"/>
              <w:bottom w:val="single" w:sz="12" w:space="0" w:color="FFFFFF"/>
              <w:right w:val="single" w:sz="12" w:space="0" w:color="FFFFFF"/>
            </w:tcBorders>
            <w:shd w:val="clear" w:color="000000" w:fill="D9D9D9"/>
            <w:noWrap/>
          </w:tcPr>
          <w:p w14:paraId="2BA63A6D"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30 556,07</w:t>
            </w:r>
          </w:p>
        </w:tc>
        <w:tc>
          <w:tcPr>
            <w:tcW w:w="2553" w:type="dxa"/>
            <w:tcBorders>
              <w:top w:val="nil"/>
              <w:left w:val="nil"/>
              <w:bottom w:val="single" w:sz="12" w:space="0" w:color="FFFFFF"/>
              <w:right w:val="single" w:sz="12" w:space="0" w:color="FFFFFF"/>
            </w:tcBorders>
            <w:shd w:val="clear" w:color="000000" w:fill="D9D9D9"/>
            <w:noWrap/>
          </w:tcPr>
          <w:p w14:paraId="231C445C"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34 231,23</w:t>
            </w:r>
          </w:p>
        </w:tc>
        <w:tc>
          <w:tcPr>
            <w:tcW w:w="2084" w:type="dxa"/>
            <w:tcBorders>
              <w:top w:val="nil"/>
              <w:left w:val="nil"/>
              <w:bottom w:val="single" w:sz="12" w:space="0" w:color="FFFFFF"/>
              <w:right w:val="single" w:sz="12" w:space="0" w:color="FFFFFF"/>
            </w:tcBorders>
            <w:shd w:val="clear" w:color="000000" w:fill="D9D9D9"/>
            <w:noWrap/>
          </w:tcPr>
          <w:p w14:paraId="0E775252"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3 675,16</w:t>
            </w:r>
          </w:p>
        </w:tc>
      </w:tr>
      <w:tr w:rsidR="0004598E" w:rsidRPr="00094641" w14:paraId="0AD67399" w14:textId="77777777" w:rsidTr="0004598E">
        <w:trPr>
          <w:trHeight w:hRule="exact" w:val="350"/>
        </w:trPr>
        <w:tc>
          <w:tcPr>
            <w:tcW w:w="3653" w:type="dxa"/>
            <w:tcBorders>
              <w:top w:val="nil"/>
              <w:left w:val="single" w:sz="12" w:space="0" w:color="FFFFFF"/>
              <w:bottom w:val="single" w:sz="12" w:space="0" w:color="FFFFFF"/>
              <w:right w:val="single" w:sz="12" w:space="0" w:color="FFFFFF"/>
            </w:tcBorders>
            <w:shd w:val="clear" w:color="000000" w:fill="D9D9D9"/>
            <w:vAlign w:val="center"/>
            <w:hideMark/>
          </w:tcPr>
          <w:p w14:paraId="48CA3AB2" w14:textId="77777777" w:rsidR="0004598E" w:rsidRPr="00094641" w:rsidRDefault="0004598E" w:rsidP="00222450">
            <w:pPr>
              <w:spacing w:after="0" w:line="240" w:lineRule="auto"/>
              <w:rPr>
                <w:rFonts w:cs="Calibri"/>
                <w:b/>
                <w:bCs/>
                <w:color w:val="000000"/>
                <w:sz w:val="20"/>
                <w:szCs w:val="20"/>
                <w:lang w:eastAsia="sk-SK"/>
              </w:rPr>
            </w:pPr>
            <w:r w:rsidRPr="00094641">
              <w:rPr>
                <w:rFonts w:cs="Calibri"/>
                <w:b/>
                <w:bCs/>
                <w:color w:val="000000"/>
                <w:sz w:val="20"/>
                <w:szCs w:val="20"/>
                <w:lang w:eastAsia="sk-SK"/>
              </w:rPr>
              <w:t>Zúčtovanie medzi subjektmi VS</w:t>
            </w:r>
          </w:p>
        </w:tc>
        <w:tc>
          <w:tcPr>
            <w:tcW w:w="2084" w:type="dxa"/>
            <w:tcBorders>
              <w:top w:val="nil"/>
              <w:left w:val="nil"/>
              <w:bottom w:val="single" w:sz="12" w:space="0" w:color="FFFFFF"/>
              <w:right w:val="single" w:sz="12" w:space="0" w:color="FFFFFF"/>
            </w:tcBorders>
            <w:shd w:val="clear" w:color="000000" w:fill="D9D9D9"/>
            <w:noWrap/>
          </w:tcPr>
          <w:p w14:paraId="113A9A88"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3 420 370,92</w:t>
            </w:r>
          </w:p>
        </w:tc>
        <w:tc>
          <w:tcPr>
            <w:tcW w:w="2553" w:type="dxa"/>
            <w:tcBorders>
              <w:top w:val="nil"/>
              <w:left w:val="nil"/>
              <w:bottom w:val="single" w:sz="12" w:space="0" w:color="FFFFFF"/>
              <w:right w:val="single" w:sz="12" w:space="0" w:color="FFFFFF"/>
            </w:tcBorders>
            <w:shd w:val="clear" w:color="000000" w:fill="D9D9D9"/>
            <w:noWrap/>
          </w:tcPr>
          <w:p w14:paraId="1046FB0C"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3 657 650,48</w:t>
            </w:r>
          </w:p>
        </w:tc>
        <w:tc>
          <w:tcPr>
            <w:tcW w:w="2084" w:type="dxa"/>
            <w:tcBorders>
              <w:top w:val="nil"/>
              <w:left w:val="nil"/>
              <w:bottom w:val="single" w:sz="12" w:space="0" w:color="FFFFFF"/>
              <w:right w:val="single" w:sz="12" w:space="0" w:color="FFFFFF"/>
            </w:tcBorders>
            <w:shd w:val="clear" w:color="000000" w:fill="D9D9D9"/>
            <w:noWrap/>
          </w:tcPr>
          <w:p w14:paraId="0E19B236"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237 279,56</w:t>
            </w:r>
          </w:p>
        </w:tc>
      </w:tr>
      <w:tr w:rsidR="0004598E" w:rsidRPr="00094641" w14:paraId="6A36C22B" w14:textId="77777777" w:rsidTr="0004598E">
        <w:trPr>
          <w:trHeight w:hRule="exact" w:val="350"/>
        </w:trPr>
        <w:tc>
          <w:tcPr>
            <w:tcW w:w="3653" w:type="dxa"/>
            <w:tcBorders>
              <w:top w:val="nil"/>
              <w:left w:val="single" w:sz="12" w:space="0" w:color="FFFFFF"/>
              <w:bottom w:val="single" w:sz="12" w:space="0" w:color="FFFFFF"/>
              <w:right w:val="single" w:sz="12" w:space="0" w:color="FFFFFF"/>
            </w:tcBorders>
            <w:shd w:val="clear" w:color="000000" w:fill="D9D9D9"/>
            <w:vAlign w:val="center"/>
            <w:hideMark/>
          </w:tcPr>
          <w:p w14:paraId="601D6DFA" w14:textId="77777777" w:rsidR="0004598E" w:rsidRPr="00094641" w:rsidRDefault="0004598E" w:rsidP="00222450">
            <w:pPr>
              <w:spacing w:after="0" w:line="240" w:lineRule="auto"/>
              <w:rPr>
                <w:rFonts w:cs="Calibri"/>
                <w:b/>
                <w:bCs/>
                <w:color w:val="000000"/>
                <w:sz w:val="20"/>
                <w:szCs w:val="20"/>
                <w:lang w:eastAsia="sk-SK"/>
              </w:rPr>
            </w:pPr>
            <w:r w:rsidRPr="00094641">
              <w:rPr>
                <w:rFonts w:cs="Calibri"/>
                <w:b/>
                <w:bCs/>
                <w:color w:val="000000"/>
                <w:sz w:val="20"/>
                <w:szCs w:val="20"/>
                <w:lang w:eastAsia="sk-SK"/>
              </w:rPr>
              <w:t xml:space="preserve">Dlhodobé záväzky  </w:t>
            </w:r>
          </w:p>
        </w:tc>
        <w:tc>
          <w:tcPr>
            <w:tcW w:w="2084" w:type="dxa"/>
            <w:tcBorders>
              <w:top w:val="nil"/>
              <w:left w:val="nil"/>
              <w:bottom w:val="single" w:sz="12" w:space="0" w:color="FFFFFF"/>
              <w:right w:val="single" w:sz="12" w:space="0" w:color="FFFFFF"/>
            </w:tcBorders>
            <w:shd w:val="clear" w:color="000000" w:fill="D9D9D9"/>
            <w:noWrap/>
          </w:tcPr>
          <w:p w14:paraId="6410EEE7"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50 831,85</w:t>
            </w:r>
          </w:p>
        </w:tc>
        <w:tc>
          <w:tcPr>
            <w:tcW w:w="2553" w:type="dxa"/>
            <w:tcBorders>
              <w:top w:val="nil"/>
              <w:left w:val="nil"/>
              <w:bottom w:val="single" w:sz="12" w:space="0" w:color="FFFFFF"/>
              <w:right w:val="single" w:sz="12" w:space="0" w:color="FFFFFF"/>
            </w:tcBorders>
            <w:shd w:val="clear" w:color="000000" w:fill="D9D9D9"/>
            <w:noWrap/>
          </w:tcPr>
          <w:p w14:paraId="78AA0103"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68 055,96</w:t>
            </w:r>
          </w:p>
        </w:tc>
        <w:tc>
          <w:tcPr>
            <w:tcW w:w="2084" w:type="dxa"/>
            <w:tcBorders>
              <w:top w:val="nil"/>
              <w:left w:val="nil"/>
              <w:bottom w:val="single" w:sz="12" w:space="0" w:color="FFFFFF"/>
              <w:right w:val="single" w:sz="12" w:space="0" w:color="FFFFFF"/>
            </w:tcBorders>
            <w:shd w:val="clear" w:color="000000" w:fill="D9D9D9"/>
            <w:noWrap/>
          </w:tcPr>
          <w:p w14:paraId="2CF5BBEA"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17 224,11</w:t>
            </w:r>
          </w:p>
        </w:tc>
      </w:tr>
      <w:tr w:rsidR="0004598E" w:rsidRPr="00094641" w14:paraId="4662688A" w14:textId="77777777" w:rsidTr="0004598E">
        <w:trPr>
          <w:trHeight w:hRule="exact" w:val="350"/>
        </w:trPr>
        <w:tc>
          <w:tcPr>
            <w:tcW w:w="3653" w:type="dxa"/>
            <w:tcBorders>
              <w:top w:val="nil"/>
              <w:left w:val="single" w:sz="12" w:space="0" w:color="FFFFFF"/>
              <w:bottom w:val="single" w:sz="12" w:space="0" w:color="FFFFFF"/>
              <w:right w:val="single" w:sz="12" w:space="0" w:color="FFFFFF"/>
            </w:tcBorders>
            <w:shd w:val="clear" w:color="000000" w:fill="D9D9D9"/>
            <w:vAlign w:val="center"/>
            <w:hideMark/>
          </w:tcPr>
          <w:p w14:paraId="51C3D45F" w14:textId="77777777" w:rsidR="0004598E" w:rsidRPr="00094641" w:rsidRDefault="0004598E" w:rsidP="00222450">
            <w:pPr>
              <w:spacing w:after="0" w:line="240" w:lineRule="auto"/>
              <w:rPr>
                <w:rFonts w:cs="Calibri"/>
                <w:b/>
                <w:bCs/>
                <w:color w:val="000000"/>
                <w:sz w:val="20"/>
                <w:szCs w:val="20"/>
                <w:lang w:eastAsia="sk-SK"/>
              </w:rPr>
            </w:pPr>
            <w:r w:rsidRPr="00094641">
              <w:rPr>
                <w:rFonts w:cs="Calibri"/>
                <w:b/>
                <w:bCs/>
                <w:color w:val="000000"/>
                <w:sz w:val="20"/>
                <w:szCs w:val="20"/>
                <w:lang w:eastAsia="sk-SK"/>
              </w:rPr>
              <w:t xml:space="preserve">Krátkodobé záväzky </w:t>
            </w:r>
          </w:p>
        </w:tc>
        <w:tc>
          <w:tcPr>
            <w:tcW w:w="2084" w:type="dxa"/>
            <w:tcBorders>
              <w:top w:val="nil"/>
              <w:left w:val="nil"/>
              <w:bottom w:val="single" w:sz="12" w:space="0" w:color="FFFFFF"/>
              <w:right w:val="single" w:sz="12" w:space="0" w:color="FFFFFF"/>
            </w:tcBorders>
            <w:shd w:val="clear" w:color="000000" w:fill="D9D9D9"/>
            <w:noWrap/>
          </w:tcPr>
          <w:p w14:paraId="60B717CD"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166 323,81</w:t>
            </w:r>
          </w:p>
        </w:tc>
        <w:tc>
          <w:tcPr>
            <w:tcW w:w="2553" w:type="dxa"/>
            <w:tcBorders>
              <w:top w:val="nil"/>
              <w:left w:val="nil"/>
              <w:bottom w:val="single" w:sz="12" w:space="0" w:color="FFFFFF"/>
              <w:right w:val="single" w:sz="12" w:space="0" w:color="FFFFFF"/>
            </w:tcBorders>
            <w:shd w:val="clear" w:color="000000" w:fill="D9D9D9"/>
            <w:noWrap/>
          </w:tcPr>
          <w:p w14:paraId="6B1904C3"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107 783,15</w:t>
            </w:r>
          </w:p>
        </w:tc>
        <w:tc>
          <w:tcPr>
            <w:tcW w:w="2084" w:type="dxa"/>
            <w:tcBorders>
              <w:top w:val="nil"/>
              <w:left w:val="nil"/>
              <w:bottom w:val="single" w:sz="12" w:space="0" w:color="FFFFFF"/>
              <w:right w:val="single" w:sz="12" w:space="0" w:color="FFFFFF"/>
            </w:tcBorders>
            <w:shd w:val="clear" w:color="000000" w:fill="D9D9D9"/>
            <w:noWrap/>
          </w:tcPr>
          <w:p w14:paraId="39D89F42"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58 540,66</w:t>
            </w:r>
          </w:p>
        </w:tc>
      </w:tr>
      <w:tr w:rsidR="0004598E" w:rsidRPr="00094641" w14:paraId="5AC804E1" w14:textId="77777777" w:rsidTr="0004598E">
        <w:trPr>
          <w:trHeight w:hRule="exact" w:val="350"/>
        </w:trPr>
        <w:tc>
          <w:tcPr>
            <w:tcW w:w="3653" w:type="dxa"/>
            <w:tcBorders>
              <w:top w:val="nil"/>
              <w:left w:val="single" w:sz="12" w:space="0" w:color="FFFFFF"/>
              <w:bottom w:val="single" w:sz="12" w:space="0" w:color="FFFFFF"/>
              <w:right w:val="single" w:sz="12" w:space="0" w:color="FFFFFF"/>
            </w:tcBorders>
            <w:shd w:val="clear" w:color="000000" w:fill="D9D9D9"/>
            <w:vAlign w:val="center"/>
            <w:hideMark/>
          </w:tcPr>
          <w:p w14:paraId="48514D80" w14:textId="77777777" w:rsidR="0004598E" w:rsidRPr="00094641" w:rsidRDefault="0004598E" w:rsidP="00222450">
            <w:pPr>
              <w:spacing w:after="0" w:line="240" w:lineRule="auto"/>
              <w:rPr>
                <w:rFonts w:cs="Calibri"/>
                <w:b/>
                <w:bCs/>
                <w:color w:val="000000"/>
                <w:sz w:val="20"/>
                <w:szCs w:val="20"/>
                <w:lang w:eastAsia="sk-SK"/>
              </w:rPr>
            </w:pPr>
            <w:r w:rsidRPr="00094641">
              <w:rPr>
                <w:rFonts w:cs="Calibri"/>
                <w:b/>
                <w:bCs/>
                <w:color w:val="000000"/>
                <w:sz w:val="20"/>
                <w:szCs w:val="20"/>
                <w:lang w:eastAsia="sk-SK"/>
              </w:rPr>
              <w:t>Bankové úvery a výpomoci</w:t>
            </w:r>
          </w:p>
        </w:tc>
        <w:tc>
          <w:tcPr>
            <w:tcW w:w="2084" w:type="dxa"/>
            <w:tcBorders>
              <w:top w:val="nil"/>
              <w:left w:val="nil"/>
              <w:bottom w:val="single" w:sz="12" w:space="0" w:color="FFFFFF"/>
              <w:right w:val="single" w:sz="12" w:space="0" w:color="FFFFFF"/>
            </w:tcBorders>
            <w:shd w:val="clear" w:color="000000" w:fill="D9D9D9"/>
            <w:noWrap/>
          </w:tcPr>
          <w:p w14:paraId="7216F965"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0,00</w:t>
            </w:r>
          </w:p>
        </w:tc>
        <w:tc>
          <w:tcPr>
            <w:tcW w:w="2553" w:type="dxa"/>
            <w:tcBorders>
              <w:top w:val="nil"/>
              <w:left w:val="nil"/>
              <w:bottom w:val="single" w:sz="12" w:space="0" w:color="FFFFFF"/>
              <w:right w:val="single" w:sz="12" w:space="0" w:color="FFFFFF"/>
            </w:tcBorders>
            <w:shd w:val="clear" w:color="000000" w:fill="D9D9D9"/>
            <w:noWrap/>
          </w:tcPr>
          <w:p w14:paraId="766A85FC"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0,00</w:t>
            </w:r>
          </w:p>
        </w:tc>
        <w:tc>
          <w:tcPr>
            <w:tcW w:w="2084" w:type="dxa"/>
            <w:tcBorders>
              <w:top w:val="nil"/>
              <w:left w:val="nil"/>
              <w:bottom w:val="single" w:sz="12" w:space="0" w:color="FFFFFF"/>
              <w:right w:val="single" w:sz="12" w:space="0" w:color="FFFFFF"/>
            </w:tcBorders>
            <w:shd w:val="clear" w:color="000000" w:fill="D9D9D9"/>
            <w:noWrap/>
          </w:tcPr>
          <w:p w14:paraId="6FA2FCC5" w14:textId="77777777" w:rsidR="0004598E" w:rsidRPr="00094641" w:rsidRDefault="0004598E" w:rsidP="00222450">
            <w:pPr>
              <w:spacing w:after="0" w:line="240" w:lineRule="auto"/>
              <w:jc w:val="right"/>
              <w:rPr>
                <w:rFonts w:cs="Calibri"/>
                <w:bCs/>
                <w:color w:val="000000"/>
                <w:sz w:val="20"/>
                <w:szCs w:val="20"/>
                <w:lang w:eastAsia="sk-SK"/>
              </w:rPr>
            </w:pPr>
            <w:r>
              <w:rPr>
                <w:rFonts w:cs="Calibri"/>
                <w:bCs/>
                <w:color w:val="000000"/>
                <w:sz w:val="20"/>
                <w:szCs w:val="20"/>
                <w:lang w:eastAsia="sk-SK"/>
              </w:rPr>
              <w:t>0,00</w:t>
            </w:r>
          </w:p>
        </w:tc>
      </w:tr>
    </w:tbl>
    <w:p w14:paraId="46701A8F" w14:textId="77777777" w:rsidR="0004598E" w:rsidRPr="00094641" w:rsidRDefault="0004598E" w:rsidP="0004598E">
      <w:pPr>
        <w:spacing w:after="0" w:line="240" w:lineRule="auto"/>
        <w:ind w:firstLine="709"/>
        <w:jc w:val="both"/>
        <w:rPr>
          <w:sz w:val="24"/>
          <w:szCs w:val="24"/>
          <w:lang w:eastAsia="sk-SK"/>
        </w:rPr>
      </w:pPr>
    </w:p>
    <w:p w14:paraId="55B7AC3A" w14:textId="77777777" w:rsidR="0004598E" w:rsidRPr="00094641" w:rsidRDefault="0004598E" w:rsidP="0004598E">
      <w:pPr>
        <w:pStyle w:val="tl2"/>
      </w:pPr>
      <w:r w:rsidRPr="00094641">
        <w:t>E</w:t>
      </w:r>
      <w:r w:rsidRPr="0044386E">
        <w:t>.2  Pohľadávky BSK</w:t>
      </w:r>
      <w:r w:rsidRPr="00094641">
        <w:t xml:space="preserve"> </w:t>
      </w:r>
    </w:p>
    <w:p w14:paraId="02570377" w14:textId="77777777" w:rsidR="0004598E" w:rsidRPr="00094641" w:rsidRDefault="0004598E" w:rsidP="0004598E">
      <w:pPr>
        <w:spacing w:after="0" w:line="240" w:lineRule="auto"/>
        <w:ind w:left="708"/>
        <w:rPr>
          <w:rFonts w:cs="Calibri"/>
          <w:b/>
          <w:bCs/>
          <w:i/>
          <w:iCs/>
          <w:sz w:val="26"/>
          <w:szCs w:val="26"/>
          <w:lang w:eastAsia="sk-SK"/>
        </w:rPr>
      </w:pPr>
    </w:p>
    <w:p w14:paraId="5F2CB044" w14:textId="77777777" w:rsidR="0004598E" w:rsidRPr="00094641" w:rsidRDefault="0004598E" w:rsidP="0004598E">
      <w:pPr>
        <w:spacing w:after="0" w:line="240" w:lineRule="auto"/>
        <w:jc w:val="both"/>
        <w:rPr>
          <w:sz w:val="24"/>
          <w:szCs w:val="24"/>
        </w:rPr>
      </w:pPr>
      <w:r w:rsidRPr="00094641">
        <w:rPr>
          <w:sz w:val="24"/>
          <w:szCs w:val="24"/>
        </w:rPr>
        <w:t xml:space="preserve">Pohľadávky sú nárokom BSK voči právnickej alebo fyzickej osobe za výkon alebo z iného právneho dôvodu, ktorý bol poskytnutý. Pohľadávky </w:t>
      </w:r>
      <w:r>
        <w:rPr>
          <w:sz w:val="24"/>
          <w:szCs w:val="24"/>
        </w:rPr>
        <w:t xml:space="preserve">evidujeme podľa doby splatnosti </w:t>
      </w:r>
      <w:r w:rsidRPr="00094641">
        <w:rPr>
          <w:sz w:val="24"/>
          <w:szCs w:val="24"/>
        </w:rPr>
        <w:t xml:space="preserve">na krátkodobé, ktoré sú splatné do jedného roka a dlhodobé, ktoré majú dobu splatnosti dlhšiu ako jeden rok.    </w:t>
      </w:r>
    </w:p>
    <w:p w14:paraId="0E09E1E4" w14:textId="11FB25B1" w:rsidR="0004598E" w:rsidRPr="00737516" w:rsidRDefault="0004598E" w:rsidP="0004598E">
      <w:pPr>
        <w:spacing w:after="0" w:line="240" w:lineRule="auto"/>
        <w:jc w:val="both"/>
        <w:rPr>
          <w:sz w:val="24"/>
          <w:szCs w:val="24"/>
        </w:rPr>
      </w:pPr>
      <w:r w:rsidRPr="000120B3">
        <w:rPr>
          <w:b/>
          <w:sz w:val="24"/>
          <w:szCs w:val="24"/>
          <w:lang w:eastAsia="sk-SK"/>
        </w:rPr>
        <w:t xml:space="preserve">BSK vrátane rozpočtových a príspevkových organizácií eviduje </w:t>
      </w:r>
      <w:r w:rsidRPr="000120B3">
        <w:rPr>
          <w:sz w:val="24"/>
          <w:szCs w:val="24"/>
          <w:lang w:eastAsia="sk-SK"/>
        </w:rPr>
        <w:t>podľa účtovnej závierky</w:t>
      </w:r>
      <w:r w:rsidRPr="000120B3">
        <w:rPr>
          <w:b/>
          <w:sz w:val="24"/>
          <w:szCs w:val="24"/>
          <w:lang w:eastAsia="sk-SK"/>
        </w:rPr>
        <w:t xml:space="preserve"> k 31.12.2020  celkovú výšku pohľadávok v sume </w:t>
      </w:r>
      <w:r w:rsidRPr="000120B3">
        <w:rPr>
          <w:b/>
          <w:bCs/>
          <w:sz w:val="24"/>
          <w:szCs w:val="24"/>
          <w:lang w:eastAsia="sk-SK"/>
        </w:rPr>
        <w:t>2 537 576,93</w:t>
      </w:r>
      <w:r w:rsidRPr="000120B3">
        <w:rPr>
          <w:b/>
          <w:sz w:val="24"/>
          <w:szCs w:val="24"/>
          <w:lang w:eastAsia="sk-SK"/>
        </w:rPr>
        <w:t xml:space="preserve"> EUR, </w:t>
      </w:r>
      <w:r w:rsidRPr="000120B3">
        <w:rPr>
          <w:sz w:val="24"/>
          <w:szCs w:val="24"/>
          <w:lang w:eastAsia="sk-SK"/>
        </w:rPr>
        <w:t xml:space="preserve">pričom </w:t>
      </w:r>
      <w:r w:rsidRPr="000120B3">
        <w:rPr>
          <w:b/>
          <w:bCs/>
          <w:sz w:val="24"/>
          <w:szCs w:val="24"/>
          <w:lang w:eastAsia="sk-SK"/>
        </w:rPr>
        <w:t>krátkodobé pohľadávky</w:t>
      </w:r>
      <w:r w:rsidRPr="000120B3">
        <w:rPr>
          <w:bCs/>
          <w:sz w:val="24"/>
          <w:szCs w:val="24"/>
          <w:lang w:eastAsia="sk-SK"/>
        </w:rPr>
        <w:t xml:space="preserve"> sú vo výške </w:t>
      </w:r>
      <w:r w:rsidRPr="000120B3">
        <w:rPr>
          <w:b/>
          <w:bCs/>
          <w:sz w:val="24"/>
          <w:szCs w:val="24"/>
          <w:lang w:eastAsia="sk-SK"/>
        </w:rPr>
        <w:t>2 532 509,79</w:t>
      </w:r>
      <w:r w:rsidRPr="000120B3">
        <w:rPr>
          <w:bCs/>
          <w:sz w:val="24"/>
          <w:szCs w:val="24"/>
          <w:lang w:eastAsia="sk-SK"/>
        </w:rPr>
        <w:t xml:space="preserve"> </w:t>
      </w:r>
      <w:r w:rsidRPr="000120B3">
        <w:rPr>
          <w:b/>
          <w:bCs/>
          <w:sz w:val="24"/>
          <w:szCs w:val="24"/>
          <w:lang w:eastAsia="sk-SK"/>
        </w:rPr>
        <w:t xml:space="preserve"> EUR</w:t>
      </w:r>
      <w:r w:rsidRPr="000120B3">
        <w:rPr>
          <w:bCs/>
          <w:sz w:val="24"/>
          <w:szCs w:val="24"/>
          <w:lang w:eastAsia="sk-SK"/>
        </w:rPr>
        <w:t xml:space="preserve">. </w:t>
      </w:r>
      <w:r w:rsidRPr="000120B3">
        <w:rPr>
          <w:sz w:val="24"/>
          <w:szCs w:val="24"/>
        </w:rPr>
        <w:t xml:space="preserve">Vykazovaná </w:t>
      </w:r>
      <w:r w:rsidRPr="000120B3">
        <w:rPr>
          <w:b/>
          <w:sz w:val="24"/>
          <w:szCs w:val="24"/>
        </w:rPr>
        <w:t>netto hodnota pohľadávok k 31.12.2020</w:t>
      </w:r>
      <w:r w:rsidRPr="000120B3">
        <w:rPr>
          <w:sz w:val="24"/>
          <w:szCs w:val="24"/>
        </w:rPr>
        <w:t xml:space="preserve"> predstavovala sumu </w:t>
      </w:r>
      <w:r w:rsidRPr="000120B3">
        <w:rPr>
          <w:b/>
          <w:bCs/>
          <w:sz w:val="24"/>
          <w:szCs w:val="24"/>
        </w:rPr>
        <w:t>956 842,02 EUR</w:t>
      </w:r>
      <w:r w:rsidRPr="000120B3">
        <w:rPr>
          <w:b/>
          <w:sz w:val="24"/>
          <w:szCs w:val="24"/>
        </w:rPr>
        <w:t xml:space="preserve"> </w:t>
      </w:r>
      <w:r w:rsidRPr="000120B3">
        <w:rPr>
          <w:sz w:val="24"/>
          <w:szCs w:val="24"/>
        </w:rPr>
        <w:t>a</w:t>
      </w:r>
      <w:r w:rsidRPr="000120B3">
        <w:rPr>
          <w:b/>
          <w:sz w:val="24"/>
          <w:szCs w:val="24"/>
        </w:rPr>
        <w:t xml:space="preserve"> </w:t>
      </w:r>
      <w:r w:rsidRPr="000120B3">
        <w:rPr>
          <w:sz w:val="24"/>
          <w:szCs w:val="24"/>
        </w:rPr>
        <w:t>vyjadruje zníženie pohľadávok o opravné položky, ktoré sa tvoria na základe zásady opatrnosti, ak je opodstatnené predpokladať, že ich dlžník úplne alebo čiastočne nezaplatí.</w:t>
      </w:r>
    </w:p>
    <w:p w14:paraId="659B13D3" w14:textId="77777777" w:rsidR="0004598E" w:rsidRPr="00094641" w:rsidRDefault="0004598E" w:rsidP="0004598E">
      <w:pPr>
        <w:spacing w:after="0" w:line="240" w:lineRule="auto"/>
        <w:ind w:firstLine="709"/>
        <w:jc w:val="both"/>
        <w:rPr>
          <w:bCs/>
          <w:sz w:val="24"/>
          <w:szCs w:val="24"/>
          <w:lang w:eastAsia="sk-SK"/>
        </w:rPr>
      </w:pPr>
    </w:p>
    <w:tbl>
      <w:tblPr>
        <w:tblW w:w="10549" w:type="dxa"/>
        <w:tblInd w:w="55" w:type="dxa"/>
        <w:tblLayout w:type="fixed"/>
        <w:tblCellMar>
          <w:left w:w="70" w:type="dxa"/>
          <w:right w:w="70" w:type="dxa"/>
        </w:tblCellMar>
        <w:tblLook w:val="04A0" w:firstRow="1" w:lastRow="0" w:firstColumn="1" w:lastColumn="0" w:noHBand="0" w:noVBand="1"/>
      </w:tblPr>
      <w:tblGrid>
        <w:gridCol w:w="2420"/>
        <w:gridCol w:w="1722"/>
        <w:gridCol w:w="1681"/>
        <w:gridCol w:w="1681"/>
        <w:gridCol w:w="1682"/>
        <w:gridCol w:w="1363"/>
      </w:tblGrid>
      <w:tr w:rsidR="0004598E" w:rsidRPr="00094641" w14:paraId="21C6D957" w14:textId="77777777" w:rsidTr="0004598E">
        <w:trPr>
          <w:trHeight w:val="329"/>
        </w:trPr>
        <w:tc>
          <w:tcPr>
            <w:tcW w:w="10549" w:type="dxa"/>
            <w:gridSpan w:val="6"/>
            <w:vMerge w:val="restart"/>
            <w:tcBorders>
              <w:top w:val="nil"/>
              <w:left w:val="single" w:sz="12" w:space="0" w:color="FFFFFF"/>
              <w:bottom w:val="nil"/>
              <w:right w:val="nil"/>
            </w:tcBorders>
            <w:shd w:val="clear" w:color="000000" w:fill="8DB3E2"/>
            <w:vAlign w:val="center"/>
            <w:hideMark/>
          </w:tcPr>
          <w:p w14:paraId="0954773F" w14:textId="77777777" w:rsidR="0004598E" w:rsidRPr="00094641" w:rsidRDefault="0004598E" w:rsidP="00222450">
            <w:pPr>
              <w:spacing w:after="0" w:line="240" w:lineRule="auto"/>
              <w:jc w:val="center"/>
              <w:rPr>
                <w:b/>
                <w:sz w:val="20"/>
                <w:szCs w:val="20"/>
              </w:rPr>
            </w:pPr>
            <w:r w:rsidRPr="00094641">
              <w:rPr>
                <w:b/>
                <w:sz w:val="20"/>
                <w:szCs w:val="20"/>
              </w:rPr>
              <w:t xml:space="preserve">PREHĽAD O POHĽADÁVKACH  </w:t>
            </w:r>
          </w:p>
          <w:p w14:paraId="086F6D74" w14:textId="77777777" w:rsidR="0004598E" w:rsidRPr="00094641" w:rsidRDefault="0004598E" w:rsidP="00222450">
            <w:pPr>
              <w:spacing w:after="0" w:line="240" w:lineRule="auto"/>
              <w:jc w:val="center"/>
              <w:rPr>
                <w:b/>
                <w:sz w:val="20"/>
                <w:szCs w:val="20"/>
              </w:rPr>
            </w:pPr>
            <w:r w:rsidRPr="00094641">
              <w:rPr>
                <w:b/>
                <w:sz w:val="20"/>
                <w:szCs w:val="20"/>
              </w:rPr>
              <w:t>rozpočtových a príspevkových organizácií v zriaďovateľskej  pôsobnosti BSK vrátane Úradu BSK v EUR</w:t>
            </w:r>
          </w:p>
          <w:p w14:paraId="35C6AC25" w14:textId="77777777" w:rsidR="0004598E" w:rsidRPr="00094641" w:rsidRDefault="0004598E" w:rsidP="00222450">
            <w:pPr>
              <w:spacing w:after="0" w:line="240" w:lineRule="auto"/>
              <w:jc w:val="center"/>
              <w:rPr>
                <w:rFonts w:cs="Calibri"/>
                <w:b/>
                <w:bCs/>
                <w:sz w:val="20"/>
                <w:szCs w:val="20"/>
                <w:lang w:eastAsia="sk-SK"/>
              </w:rPr>
            </w:pPr>
          </w:p>
        </w:tc>
      </w:tr>
      <w:tr w:rsidR="0004598E" w:rsidRPr="00094641" w14:paraId="02DDBE00" w14:textId="77777777" w:rsidTr="0004598E">
        <w:trPr>
          <w:trHeight w:val="329"/>
        </w:trPr>
        <w:tc>
          <w:tcPr>
            <w:tcW w:w="10549" w:type="dxa"/>
            <w:gridSpan w:val="6"/>
            <w:vMerge/>
            <w:tcBorders>
              <w:top w:val="nil"/>
              <w:left w:val="single" w:sz="12" w:space="0" w:color="FFFFFF"/>
              <w:bottom w:val="nil"/>
              <w:right w:val="nil"/>
            </w:tcBorders>
            <w:vAlign w:val="center"/>
            <w:hideMark/>
          </w:tcPr>
          <w:p w14:paraId="648CA689" w14:textId="77777777" w:rsidR="0004598E" w:rsidRPr="00094641" w:rsidRDefault="0004598E" w:rsidP="00222450">
            <w:pPr>
              <w:spacing w:after="0" w:line="240" w:lineRule="auto"/>
              <w:rPr>
                <w:rFonts w:cs="Calibri"/>
                <w:b/>
                <w:bCs/>
                <w:sz w:val="20"/>
                <w:szCs w:val="20"/>
                <w:lang w:eastAsia="sk-SK"/>
              </w:rPr>
            </w:pPr>
          </w:p>
        </w:tc>
      </w:tr>
      <w:tr w:rsidR="0004598E" w:rsidRPr="00094641" w14:paraId="06BD055F" w14:textId="77777777" w:rsidTr="0004598E">
        <w:trPr>
          <w:trHeight w:val="329"/>
        </w:trPr>
        <w:tc>
          <w:tcPr>
            <w:tcW w:w="10549" w:type="dxa"/>
            <w:gridSpan w:val="6"/>
            <w:vMerge/>
            <w:tcBorders>
              <w:top w:val="nil"/>
              <w:left w:val="single" w:sz="12" w:space="0" w:color="FFFFFF"/>
              <w:bottom w:val="nil"/>
              <w:right w:val="nil"/>
            </w:tcBorders>
            <w:vAlign w:val="center"/>
            <w:hideMark/>
          </w:tcPr>
          <w:p w14:paraId="0FCEAC84" w14:textId="77777777" w:rsidR="0004598E" w:rsidRPr="00094641" w:rsidRDefault="0004598E" w:rsidP="00222450">
            <w:pPr>
              <w:spacing w:after="0" w:line="240" w:lineRule="auto"/>
              <w:rPr>
                <w:rFonts w:cs="Calibri"/>
                <w:b/>
                <w:bCs/>
                <w:sz w:val="20"/>
                <w:szCs w:val="20"/>
                <w:lang w:eastAsia="sk-SK"/>
              </w:rPr>
            </w:pPr>
          </w:p>
        </w:tc>
      </w:tr>
      <w:tr w:rsidR="0004598E" w:rsidRPr="00094641" w14:paraId="30117E8C" w14:textId="77777777" w:rsidTr="0004598E">
        <w:trPr>
          <w:trHeight w:val="677"/>
        </w:trPr>
        <w:tc>
          <w:tcPr>
            <w:tcW w:w="2420" w:type="dxa"/>
            <w:tcBorders>
              <w:top w:val="nil"/>
              <w:left w:val="single" w:sz="12" w:space="0" w:color="FFFFFF"/>
              <w:bottom w:val="single" w:sz="12" w:space="0" w:color="FFFFFF"/>
              <w:right w:val="single" w:sz="12" w:space="0" w:color="FFFFFF"/>
            </w:tcBorders>
            <w:shd w:val="clear" w:color="000000" w:fill="808080"/>
            <w:vAlign w:val="center"/>
            <w:hideMark/>
          </w:tcPr>
          <w:p w14:paraId="1C83C795" w14:textId="77777777" w:rsidR="0004598E" w:rsidRPr="00094641" w:rsidRDefault="0004598E" w:rsidP="00222450">
            <w:pPr>
              <w:spacing w:after="0" w:line="240" w:lineRule="auto"/>
              <w:rPr>
                <w:rFonts w:cs="Calibri"/>
                <w:b/>
                <w:bCs/>
                <w:color w:val="FFFFFF"/>
                <w:sz w:val="20"/>
                <w:szCs w:val="20"/>
                <w:lang w:eastAsia="sk-SK"/>
              </w:rPr>
            </w:pPr>
            <w:r w:rsidRPr="00094641">
              <w:rPr>
                <w:rFonts w:cs="Calibri"/>
                <w:b/>
                <w:bCs/>
                <w:color w:val="FFFFFF"/>
                <w:sz w:val="20"/>
                <w:szCs w:val="20"/>
                <w:lang w:eastAsia="sk-SK"/>
              </w:rPr>
              <w:t>Druh pohľadávky</w:t>
            </w:r>
          </w:p>
        </w:tc>
        <w:tc>
          <w:tcPr>
            <w:tcW w:w="1722" w:type="dxa"/>
            <w:tcBorders>
              <w:top w:val="nil"/>
              <w:left w:val="nil"/>
              <w:bottom w:val="single" w:sz="12" w:space="0" w:color="FFFFFF"/>
              <w:right w:val="single" w:sz="12" w:space="0" w:color="FFFFFF"/>
            </w:tcBorders>
            <w:shd w:val="clear" w:color="000000" w:fill="808080"/>
            <w:noWrap/>
            <w:vAlign w:val="center"/>
            <w:hideMark/>
          </w:tcPr>
          <w:p w14:paraId="068C7035"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Brutto k 31.12.20</w:t>
            </w:r>
            <w:r>
              <w:rPr>
                <w:rFonts w:cs="Calibri"/>
                <w:b/>
                <w:bCs/>
                <w:color w:val="FFFFFF"/>
                <w:sz w:val="20"/>
                <w:szCs w:val="20"/>
                <w:lang w:eastAsia="sk-SK"/>
              </w:rPr>
              <w:t>20</w:t>
            </w:r>
          </w:p>
        </w:tc>
        <w:tc>
          <w:tcPr>
            <w:tcW w:w="1681" w:type="dxa"/>
            <w:tcBorders>
              <w:top w:val="nil"/>
              <w:left w:val="nil"/>
              <w:bottom w:val="single" w:sz="12" w:space="0" w:color="FFFFFF"/>
              <w:right w:val="single" w:sz="12" w:space="0" w:color="FFFFFF"/>
            </w:tcBorders>
            <w:shd w:val="clear" w:color="000000" w:fill="808080"/>
            <w:noWrap/>
            <w:vAlign w:val="center"/>
            <w:hideMark/>
          </w:tcPr>
          <w:p w14:paraId="54B942E5"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Korekcia k 31.12.20</w:t>
            </w:r>
            <w:r>
              <w:rPr>
                <w:rFonts w:cs="Calibri"/>
                <w:b/>
                <w:bCs/>
                <w:color w:val="FFFFFF"/>
                <w:sz w:val="20"/>
                <w:szCs w:val="20"/>
                <w:lang w:eastAsia="sk-SK"/>
              </w:rPr>
              <w:t>20</w:t>
            </w:r>
          </w:p>
        </w:tc>
        <w:tc>
          <w:tcPr>
            <w:tcW w:w="1681" w:type="dxa"/>
            <w:tcBorders>
              <w:top w:val="nil"/>
              <w:left w:val="nil"/>
              <w:bottom w:val="single" w:sz="12" w:space="0" w:color="FFFFFF"/>
              <w:right w:val="single" w:sz="12" w:space="0" w:color="FFFFFF"/>
            </w:tcBorders>
            <w:shd w:val="clear" w:color="000000" w:fill="808080"/>
            <w:noWrap/>
            <w:vAlign w:val="center"/>
            <w:hideMark/>
          </w:tcPr>
          <w:p w14:paraId="62483A62"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w:t>
            </w:r>
            <w:r>
              <w:rPr>
                <w:rFonts w:cs="Calibri"/>
                <w:b/>
                <w:bCs/>
                <w:color w:val="FFFFFF"/>
                <w:sz w:val="20"/>
                <w:szCs w:val="20"/>
                <w:lang w:eastAsia="sk-SK"/>
              </w:rPr>
              <w:t>20</w:t>
            </w:r>
          </w:p>
        </w:tc>
        <w:tc>
          <w:tcPr>
            <w:tcW w:w="1682" w:type="dxa"/>
            <w:tcBorders>
              <w:top w:val="nil"/>
              <w:left w:val="nil"/>
              <w:bottom w:val="single" w:sz="12" w:space="0" w:color="FFFFFF"/>
              <w:right w:val="single" w:sz="12" w:space="0" w:color="FFFFFF"/>
            </w:tcBorders>
            <w:shd w:val="clear" w:color="000000" w:fill="808080"/>
            <w:noWrap/>
            <w:vAlign w:val="center"/>
            <w:hideMark/>
          </w:tcPr>
          <w:p w14:paraId="07F4B0B9"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31.12.201</w:t>
            </w:r>
            <w:r>
              <w:rPr>
                <w:rFonts w:cs="Calibri"/>
                <w:b/>
                <w:bCs/>
                <w:color w:val="FFFFFF"/>
                <w:sz w:val="20"/>
                <w:szCs w:val="20"/>
                <w:lang w:eastAsia="sk-SK"/>
              </w:rPr>
              <w:t>9</w:t>
            </w:r>
          </w:p>
        </w:tc>
        <w:tc>
          <w:tcPr>
            <w:tcW w:w="1361" w:type="dxa"/>
            <w:tcBorders>
              <w:top w:val="nil"/>
              <w:left w:val="nil"/>
              <w:bottom w:val="single" w:sz="12" w:space="0" w:color="FFFFFF"/>
              <w:right w:val="single" w:sz="12" w:space="0" w:color="FFFFFF"/>
            </w:tcBorders>
            <w:shd w:val="clear" w:color="000000" w:fill="808080"/>
            <w:vAlign w:val="center"/>
            <w:hideMark/>
          </w:tcPr>
          <w:p w14:paraId="512C6AFE"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Medziročná zmena</w:t>
            </w:r>
          </w:p>
        </w:tc>
      </w:tr>
      <w:tr w:rsidR="0004598E" w:rsidRPr="00094641" w14:paraId="004B29DF" w14:textId="77777777" w:rsidTr="0004598E">
        <w:trPr>
          <w:trHeight w:hRule="exact" w:val="334"/>
        </w:trPr>
        <w:tc>
          <w:tcPr>
            <w:tcW w:w="2420" w:type="dxa"/>
            <w:tcBorders>
              <w:top w:val="nil"/>
              <w:left w:val="single" w:sz="12" w:space="0" w:color="FFFFFF"/>
              <w:bottom w:val="single" w:sz="12" w:space="0" w:color="FFFFFF"/>
              <w:right w:val="single" w:sz="12" w:space="0" w:color="FFFFFF"/>
            </w:tcBorders>
            <w:shd w:val="clear" w:color="000000" w:fill="D9D9D9"/>
            <w:hideMark/>
          </w:tcPr>
          <w:p w14:paraId="2A308665" w14:textId="77777777" w:rsidR="0004598E" w:rsidRPr="00094641" w:rsidRDefault="0004598E" w:rsidP="00222450">
            <w:pPr>
              <w:spacing w:after="0" w:line="240" w:lineRule="auto"/>
              <w:jc w:val="right"/>
              <w:rPr>
                <w:rFonts w:cs="Calibri"/>
                <w:b/>
                <w:bCs/>
                <w:sz w:val="20"/>
                <w:szCs w:val="20"/>
                <w:lang w:eastAsia="sk-SK"/>
              </w:rPr>
            </w:pPr>
            <w:r w:rsidRPr="00094641">
              <w:rPr>
                <w:rFonts w:cs="Calibri"/>
                <w:b/>
                <w:bCs/>
                <w:sz w:val="20"/>
                <w:szCs w:val="20"/>
                <w:lang w:eastAsia="sk-SK"/>
              </w:rPr>
              <w:t xml:space="preserve">Dlhodobé pohľadávky </w:t>
            </w:r>
          </w:p>
        </w:tc>
        <w:tc>
          <w:tcPr>
            <w:tcW w:w="1722" w:type="dxa"/>
            <w:tcBorders>
              <w:top w:val="nil"/>
              <w:left w:val="nil"/>
              <w:bottom w:val="single" w:sz="12" w:space="0" w:color="FFFFFF"/>
              <w:right w:val="single" w:sz="12" w:space="0" w:color="FFFFFF"/>
            </w:tcBorders>
            <w:shd w:val="clear" w:color="000000" w:fill="D9D9D9"/>
            <w:noWrap/>
          </w:tcPr>
          <w:p w14:paraId="22A099C0"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5 067,14</w:t>
            </w:r>
          </w:p>
        </w:tc>
        <w:tc>
          <w:tcPr>
            <w:tcW w:w="1681" w:type="dxa"/>
            <w:tcBorders>
              <w:top w:val="nil"/>
              <w:left w:val="nil"/>
              <w:bottom w:val="single" w:sz="12" w:space="0" w:color="FFFFFF"/>
              <w:right w:val="single" w:sz="12" w:space="0" w:color="FFFFFF"/>
            </w:tcBorders>
            <w:shd w:val="clear" w:color="000000" w:fill="D9D9D9"/>
            <w:noWrap/>
          </w:tcPr>
          <w:p w14:paraId="0637120D"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c>
          <w:tcPr>
            <w:tcW w:w="1681" w:type="dxa"/>
            <w:tcBorders>
              <w:top w:val="nil"/>
              <w:left w:val="nil"/>
              <w:bottom w:val="single" w:sz="12" w:space="0" w:color="FFFFFF"/>
              <w:right w:val="single" w:sz="12" w:space="0" w:color="FFFFFF"/>
            </w:tcBorders>
            <w:shd w:val="clear" w:color="000000" w:fill="D9D9D9"/>
            <w:noWrap/>
          </w:tcPr>
          <w:p w14:paraId="09BC3226"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5 067,14</w:t>
            </w:r>
          </w:p>
        </w:tc>
        <w:tc>
          <w:tcPr>
            <w:tcW w:w="1682" w:type="dxa"/>
            <w:tcBorders>
              <w:top w:val="nil"/>
              <w:left w:val="nil"/>
              <w:bottom w:val="single" w:sz="12" w:space="0" w:color="FFFFFF"/>
              <w:right w:val="single" w:sz="12" w:space="0" w:color="FFFFFF"/>
            </w:tcBorders>
            <w:shd w:val="clear" w:color="000000" w:fill="D9D9D9"/>
            <w:noWrap/>
          </w:tcPr>
          <w:p w14:paraId="13DCA2D7"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5 067,14</w:t>
            </w:r>
          </w:p>
        </w:tc>
        <w:tc>
          <w:tcPr>
            <w:tcW w:w="1361" w:type="dxa"/>
            <w:tcBorders>
              <w:top w:val="nil"/>
              <w:left w:val="nil"/>
              <w:bottom w:val="single" w:sz="12" w:space="0" w:color="FFFFFF"/>
              <w:right w:val="single" w:sz="12" w:space="0" w:color="FFFFFF"/>
            </w:tcBorders>
            <w:shd w:val="clear" w:color="000000" w:fill="D9D9D9"/>
            <w:noWrap/>
          </w:tcPr>
          <w:p w14:paraId="125FCD14"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r>
      <w:tr w:rsidR="0004598E" w:rsidRPr="00094641" w14:paraId="03B409C4" w14:textId="77777777" w:rsidTr="0004598E">
        <w:trPr>
          <w:trHeight w:hRule="exact" w:val="334"/>
        </w:trPr>
        <w:tc>
          <w:tcPr>
            <w:tcW w:w="2420" w:type="dxa"/>
            <w:tcBorders>
              <w:top w:val="nil"/>
              <w:left w:val="single" w:sz="12" w:space="0" w:color="FFFFFF"/>
              <w:bottom w:val="single" w:sz="12" w:space="0" w:color="FFFFFF"/>
              <w:right w:val="single" w:sz="12" w:space="0" w:color="FFFFFF"/>
            </w:tcBorders>
            <w:shd w:val="clear" w:color="000000" w:fill="D9D9D9"/>
            <w:hideMark/>
          </w:tcPr>
          <w:p w14:paraId="5E920CED" w14:textId="77777777" w:rsidR="0004598E" w:rsidRPr="00094641" w:rsidRDefault="0004598E" w:rsidP="00222450">
            <w:pPr>
              <w:spacing w:after="0" w:line="240" w:lineRule="auto"/>
              <w:jc w:val="right"/>
              <w:rPr>
                <w:rFonts w:cs="Calibri"/>
                <w:b/>
                <w:bCs/>
                <w:sz w:val="20"/>
                <w:szCs w:val="20"/>
                <w:lang w:eastAsia="sk-SK"/>
              </w:rPr>
            </w:pPr>
            <w:r w:rsidRPr="00094641">
              <w:rPr>
                <w:rFonts w:cs="Calibri"/>
                <w:b/>
                <w:bCs/>
                <w:sz w:val="20"/>
                <w:szCs w:val="20"/>
                <w:lang w:eastAsia="sk-SK"/>
              </w:rPr>
              <w:t xml:space="preserve">Krátkodobé pohľadávky </w:t>
            </w:r>
          </w:p>
        </w:tc>
        <w:tc>
          <w:tcPr>
            <w:tcW w:w="1722" w:type="dxa"/>
            <w:tcBorders>
              <w:top w:val="nil"/>
              <w:left w:val="nil"/>
              <w:bottom w:val="single" w:sz="12" w:space="0" w:color="FFFFFF"/>
              <w:right w:val="single" w:sz="12" w:space="0" w:color="FFFFFF"/>
            </w:tcBorders>
            <w:shd w:val="clear" w:color="000000" w:fill="D9D9D9"/>
            <w:noWrap/>
          </w:tcPr>
          <w:p w14:paraId="2406D3CA"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2 532 509,79</w:t>
            </w:r>
          </w:p>
        </w:tc>
        <w:tc>
          <w:tcPr>
            <w:tcW w:w="1681" w:type="dxa"/>
            <w:tcBorders>
              <w:top w:val="nil"/>
              <w:left w:val="nil"/>
              <w:bottom w:val="single" w:sz="12" w:space="0" w:color="FFFFFF"/>
              <w:right w:val="single" w:sz="12" w:space="0" w:color="FFFFFF"/>
            </w:tcBorders>
            <w:shd w:val="clear" w:color="000000" w:fill="D9D9D9"/>
            <w:noWrap/>
          </w:tcPr>
          <w:p w14:paraId="34F7BFA1"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1 580 734,91</w:t>
            </w:r>
          </w:p>
        </w:tc>
        <w:tc>
          <w:tcPr>
            <w:tcW w:w="1681" w:type="dxa"/>
            <w:tcBorders>
              <w:top w:val="nil"/>
              <w:left w:val="nil"/>
              <w:bottom w:val="single" w:sz="12" w:space="0" w:color="FFFFFF"/>
              <w:right w:val="single" w:sz="12" w:space="0" w:color="FFFFFF"/>
            </w:tcBorders>
            <w:shd w:val="clear" w:color="000000" w:fill="D9D9D9"/>
            <w:noWrap/>
          </w:tcPr>
          <w:p w14:paraId="1F7F55C3"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951 774,88</w:t>
            </w:r>
          </w:p>
        </w:tc>
        <w:tc>
          <w:tcPr>
            <w:tcW w:w="1682" w:type="dxa"/>
            <w:tcBorders>
              <w:top w:val="nil"/>
              <w:left w:val="nil"/>
              <w:bottom w:val="single" w:sz="12" w:space="0" w:color="FFFFFF"/>
              <w:right w:val="single" w:sz="12" w:space="0" w:color="FFFFFF"/>
            </w:tcBorders>
            <w:shd w:val="clear" w:color="000000" w:fill="D9D9D9"/>
            <w:noWrap/>
          </w:tcPr>
          <w:p w14:paraId="7309DE3F" w14:textId="77777777" w:rsidR="0004598E" w:rsidRPr="00094641" w:rsidRDefault="0004598E" w:rsidP="00222450">
            <w:pPr>
              <w:spacing w:after="0" w:line="240" w:lineRule="auto"/>
              <w:jc w:val="right"/>
              <w:rPr>
                <w:rFonts w:cs="Calibri"/>
                <w:bCs/>
                <w:sz w:val="20"/>
                <w:szCs w:val="20"/>
                <w:lang w:eastAsia="sk-SK"/>
              </w:rPr>
            </w:pPr>
            <w:r>
              <w:rPr>
                <w:rFonts w:cs="Calibri"/>
                <w:bCs/>
                <w:noProof/>
                <w:sz w:val="20"/>
                <w:szCs w:val="20"/>
                <w:lang w:eastAsia="sk-SK"/>
              </w:rPr>
              <w:t>1 285 801,29</w:t>
            </w:r>
          </w:p>
        </w:tc>
        <w:tc>
          <w:tcPr>
            <w:tcW w:w="1361" w:type="dxa"/>
            <w:tcBorders>
              <w:top w:val="nil"/>
              <w:left w:val="nil"/>
              <w:bottom w:val="single" w:sz="12" w:space="0" w:color="FFFFFF"/>
              <w:right w:val="single" w:sz="12" w:space="0" w:color="FFFFFF"/>
            </w:tcBorders>
            <w:shd w:val="clear" w:color="000000" w:fill="D9D9D9"/>
            <w:noWrap/>
          </w:tcPr>
          <w:p w14:paraId="5CA010DE"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-334 026,41</w:t>
            </w:r>
          </w:p>
        </w:tc>
      </w:tr>
      <w:tr w:rsidR="0004598E" w:rsidRPr="00094641" w14:paraId="2C1530AC" w14:textId="77777777" w:rsidTr="0004598E">
        <w:trPr>
          <w:trHeight w:hRule="exact" w:val="334"/>
        </w:trPr>
        <w:tc>
          <w:tcPr>
            <w:tcW w:w="2420" w:type="dxa"/>
            <w:tcBorders>
              <w:top w:val="nil"/>
              <w:left w:val="single" w:sz="12" w:space="0" w:color="FFFFFF"/>
              <w:bottom w:val="single" w:sz="12" w:space="0" w:color="FFFFFF"/>
              <w:right w:val="single" w:sz="12" w:space="0" w:color="FFFFFF"/>
            </w:tcBorders>
            <w:shd w:val="clear" w:color="000000" w:fill="8DB3E2"/>
            <w:hideMark/>
          </w:tcPr>
          <w:p w14:paraId="2CE75402" w14:textId="77777777" w:rsidR="0004598E" w:rsidRPr="00094641" w:rsidRDefault="0004598E" w:rsidP="00222450">
            <w:pPr>
              <w:spacing w:after="0" w:line="240" w:lineRule="auto"/>
              <w:jc w:val="right"/>
              <w:rPr>
                <w:rFonts w:cs="Calibri"/>
                <w:b/>
                <w:bCs/>
                <w:sz w:val="20"/>
                <w:szCs w:val="20"/>
                <w:lang w:eastAsia="sk-SK"/>
              </w:rPr>
            </w:pPr>
            <w:r w:rsidRPr="00094641">
              <w:rPr>
                <w:rFonts w:cs="Calibri"/>
                <w:b/>
                <w:bCs/>
                <w:sz w:val="20"/>
                <w:szCs w:val="20"/>
                <w:lang w:eastAsia="sk-SK"/>
              </w:rPr>
              <w:t>Pohľadávky celkom</w:t>
            </w:r>
          </w:p>
        </w:tc>
        <w:tc>
          <w:tcPr>
            <w:tcW w:w="1722" w:type="dxa"/>
            <w:tcBorders>
              <w:top w:val="nil"/>
              <w:left w:val="nil"/>
              <w:bottom w:val="single" w:sz="12" w:space="0" w:color="FFFFFF"/>
              <w:right w:val="single" w:sz="12" w:space="0" w:color="FFFFFF"/>
            </w:tcBorders>
            <w:shd w:val="clear" w:color="000000" w:fill="8DB3E2"/>
            <w:noWrap/>
          </w:tcPr>
          <w:p w14:paraId="418EA638"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2 537 576,93</w:t>
            </w:r>
          </w:p>
        </w:tc>
        <w:tc>
          <w:tcPr>
            <w:tcW w:w="1681" w:type="dxa"/>
            <w:tcBorders>
              <w:top w:val="nil"/>
              <w:left w:val="nil"/>
              <w:bottom w:val="single" w:sz="12" w:space="0" w:color="FFFFFF"/>
              <w:right w:val="single" w:sz="12" w:space="0" w:color="FFFFFF"/>
            </w:tcBorders>
            <w:shd w:val="clear" w:color="000000" w:fill="8DB3E2"/>
            <w:noWrap/>
          </w:tcPr>
          <w:p w14:paraId="188B95DA"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1 580 734,91</w:t>
            </w:r>
          </w:p>
        </w:tc>
        <w:tc>
          <w:tcPr>
            <w:tcW w:w="1681" w:type="dxa"/>
            <w:tcBorders>
              <w:top w:val="nil"/>
              <w:left w:val="nil"/>
              <w:bottom w:val="single" w:sz="12" w:space="0" w:color="FFFFFF"/>
              <w:right w:val="single" w:sz="12" w:space="0" w:color="FFFFFF"/>
            </w:tcBorders>
            <w:shd w:val="clear" w:color="000000" w:fill="8DB3E2"/>
            <w:noWrap/>
          </w:tcPr>
          <w:p w14:paraId="3E008810"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956 842,02</w:t>
            </w:r>
          </w:p>
        </w:tc>
        <w:tc>
          <w:tcPr>
            <w:tcW w:w="1682" w:type="dxa"/>
            <w:tcBorders>
              <w:top w:val="nil"/>
              <w:left w:val="nil"/>
              <w:bottom w:val="single" w:sz="12" w:space="0" w:color="FFFFFF"/>
              <w:right w:val="single" w:sz="12" w:space="0" w:color="FFFFFF"/>
            </w:tcBorders>
            <w:shd w:val="clear" w:color="000000" w:fill="8DB3E2"/>
            <w:noWrap/>
          </w:tcPr>
          <w:p w14:paraId="3570ACAC"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1 290 868,43</w:t>
            </w:r>
          </w:p>
        </w:tc>
        <w:tc>
          <w:tcPr>
            <w:tcW w:w="1361" w:type="dxa"/>
            <w:tcBorders>
              <w:top w:val="nil"/>
              <w:left w:val="nil"/>
              <w:bottom w:val="single" w:sz="12" w:space="0" w:color="FFFFFF"/>
              <w:right w:val="single" w:sz="12" w:space="0" w:color="FFFFFF"/>
            </w:tcBorders>
            <w:shd w:val="clear" w:color="000000" w:fill="8DB3E2"/>
            <w:noWrap/>
          </w:tcPr>
          <w:p w14:paraId="3E9D1AAD"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-334 026,41</w:t>
            </w:r>
          </w:p>
        </w:tc>
      </w:tr>
    </w:tbl>
    <w:p w14:paraId="43F8F773" w14:textId="77777777" w:rsidR="0004598E" w:rsidRPr="00094641" w:rsidRDefault="0004598E" w:rsidP="0004598E">
      <w:pPr>
        <w:spacing w:after="0" w:line="240" w:lineRule="auto"/>
        <w:ind w:firstLine="709"/>
        <w:jc w:val="both"/>
        <w:rPr>
          <w:bCs/>
          <w:sz w:val="24"/>
          <w:szCs w:val="24"/>
          <w:lang w:eastAsia="sk-SK"/>
        </w:rPr>
      </w:pPr>
    </w:p>
    <w:p w14:paraId="4139BCC3" w14:textId="77777777" w:rsidR="0004598E" w:rsidRPr="00094641" w:rsidRDefault="0004598E" w:rsidP="0004598E">
      <w:pPr>
        <w:pStyle w:val="tl3"/>
        <w:rPr>
          <w:lang w:eastAsia="sk-SK"/>
        </w:rPr>
      </w:pPr>
      <w:r w:rsidRPr="00094641">
        <w:rPr>
          <w:lang w:eastAsia="sk-SK"/>
        </w:rPr>
        <w:t>E.2.</w:t>
      </w:r>
      <w:r w:rsidRPr="00687C60">
        <w:rPr>
          <w:lang w:eastAsia="sk-SK"/>
        </w:rPr>
        <w:t>1 Rozpočtové organizácie</w:t>
      </w:r>
      <w:r w:rsidRPr="00AA44BC">
        <w:rPr>
          <w:lang w:eastAsia="sk-SK"/>
        </w:rPr>
        <w:t xml:space="preserve"> BSK</w:t>
      </w:r>
    </w:p>
    <w:p w14:paraId="5F0B5157" w14:textId="06CF2485" w:rsidR="0004598E" w:rsidRDefault="0004598E" w:rsidP="0004598E">
      <w:pPr>
        <w:spacing w:before="120" w:after="0" w:line="240" w:lineRule="auto"/>
        <w:jc w:val="both"/>
        <w:rPr>
          <w:sz w:val="24"/>
          <w:szCs w:val="24"/>
        </w:rPr>
      </w:pPr>
      <w:r w:rsidRPr="00094641">
        <w:rPr>
          <w:b/>
          <w:sz w:val="24"/>
          <w:szCs w:val="24"/>
        </w:rPr>
        <w:t>Celková výška pohľadávok rozpočtových organizácií v zriaďovateľskej pôsobnosti BSK vrátane Úradu BSK</w:t>
      </w:r>
      <w:r w:rsidRPr="00094641">
        <w:rPr>
          <w:sz w:val="24"/>
          <w:szCs w:val="24"/>
        </w:rPr>
        <w:t xml:space="preserve"> vykázaná podľa účtovnej závierky k 31.12.20</w:t>
      </w:r>
      <w:r>
        <w:rPr>
          <w:sz w:val="24"/>
          <w:szCs w:val="24"/>
        </w:rPr>
        <w:t>20</w:t>
      </w:r>
      <w:r w:rsidRPr="00094641">
        <w:rPr>
          <w:sz w:val="24"/>
          <w:szCs w:val="24"/>
        </w:rPr>
        <w:t xml:space="preserve"> predstavuje sumu</w:t>
      </w:r>
      <w:r>
        <w:rPr>
          <w:sz w:val="24"/>
          <w:szCs w:val="24"/>
        </w:rPr>
        <w:t xml:space="preserve"> </w:t>
      </w:r>
      <w:r>
        <w:rPr>
          <w:b/>
          <w:bCs/>
          <w:sz w:val="24"/>
          <w:szCs w:val="24"/>
        </w:rPr>
        <w:t>2 232 089,04</w:t>
      </w:r>
      <w:r w:rsidRPr="00094641">
        <w:rPr>
          <w:b/>
          <w:sz w:val="24"/>
          <w:szCs w:val="24"/>
        </w:rPr>
        <w:t xml:space="preserve"> EUR</w:t>
      </w:r>
      <w:r w:rsidRPr="00094641">
        <w:rPr>
          <w:sz w:val="24"/>
          <w:szCs w:val="24"/>
        </w:rPr>
        <w:t xml:space="preserve">. </w:t>
      </w:r>
    </w:p>
    <w:p w14:paraId="53B8B1BF" w14:textId="77777777" w:rsidR="0004598E" w:rsidRPr="00094641" w:rsidRDefault="0004598E" w:rsidP="0004598E">
      <w:pPr>
        <w:spacing w:before="120" w:after="0" w:line="240" w:lineRule="auto"/>
        <w:jc w:val="both"/>
        <w:rPr>
          <w:sz w:val="24"/>
          <w:szCs w:val="24"/>
        </w:rPr>
      </w:pPr>
    </w:p>
    <w:tbl>
      <w:tblPr>
        <w:tblW w:w="10472" w:type="dxa"/>
        <w:tblInd w:w="55" w:type="dxa"/>
        <w:tblCellMar>
          <w:left w:w="70" w:type="dxa"/>
          <w:right w:w="70" w:type="dxa"/>
        </w:tblCellMar>
        <w:tblLook w:val="04A0" w:firstRow="1" w:lastRow="0" w:firstColumn="1" w:lastColumn="0" w:noHBand="0" w:noVBand="1"/>
      </w:tblPr>
      <w:tblGrid>
        <w:gridCol w:w="2455"/>
        <w:gridCol w:w="1677"/>
        <w:gridCol w:w="1523"/>
        <w:gridCol w:w="1525"/>
        <w:gridCol w:w="1676"/>
        <w:gridCol w:w="1616"/>
      </w:tblGrid>
      <w:tr w:rsidR="0004598E" w:rsidRPr="00094641" w14:paraId="2C9EDD13" w14:textId="77777777" w:rsidTr="0004598E">
        <w:trPr>
          <w:trHeight w:val="269"/>
        </w:trPr>
        <w:tc>
          <w:tcPr>
            <w:tcW w:w="10472" w:type="dxa"/>
            <w:gridSpan w:val="6"/>
            <w:vMerge w:val="restart"/>
            <w:tcBorders>
              <w:top w:val="nil"/>
              <w:left w:val="single" w:sz="12" w:space="0" w:color="FFFFFF"/>
              <w:bottom w:val="nil"/>
              <w:right w:val="nil"/>
            </w:tcBorders>
            <w:shd w:val="clear" w:color="000000" w:fill="8DB3E2"/>
            <w:vAlign w:val="center"/>
            <w:hideMark/>
          </w:tcPr>
          <w:p w14:paraId="503C61E7" w14:textId="77777777" w:rsidR="0004598E" w:rsidRPr="00094641" w:rsidRDefault="0004598E" w:rsidP="00222450">
            <w:pPr>
              <w:spacing w:after="0" w:line="240" w:lineRule="auto"/>
              <w:jc w:val="center"/>
              <w:rPr>
                <w:rFonts w:asciiTheme="minorHAnsi" w:hAnsiTheme="minorHAnsi" w:cstheme="minorHAnsi"/>
                <w:b/>
                <w:sz w:val="20"/>
                <w:szCs w:val="20"/>
              </w:rPr>
            </w:pPr>
            <w:r w:rsidRPr="00094641">
              <w:rPr>
                <w:rFonts w:asciiTheme="minorHAnsi" w:hAnsiTheme="minorHAnsi" w:cstheme="minorHAnsi"/>
                <w:b/>
                <w:sz w:val="20"/>
                <w:szCs w:val="20"/>
              </w:rPr>
              <w:t xml:space="preserve">PREHĽAD O POHĽADÁVKACH  </w:t>
            </w:r>
          </w:p>
          <w:p w14:paraId="3784B8F4" w14:textId="77777777" w:rsidR="0004598E" w:rsidRPr="00094641" w:rsidRDefault="0004598E" w:rsidP="00222450">
            <w:pPr>
              <w:spacing w:after="0" w:line="240" w:lineRule="auto"/>
              <w:jc w:val="center"/>
              <w:rPr>
                <w:rFonts w:asciiTheme="minorHAnsi" w:hAnsiTheme="minorHAnsi" w:cstheme="minorHAnsi"/>
                <w:b/>
                <w:sz w:val="20"/>
                <w:szCs w:val="20"/>
              </w:rPr>
            </w:pPr>
            <w:r w:rsidRPr="00094641">
              <w:rPr>
                <w:rFonts w:asciiTheme="minorHAnsi" w:hAnsiTheme="minorHAnsi" w:cstheme="minorHAnsi"/>
                <w:b/>
                <w:sz w:val="20"/>
                <w:szCs w:val="20"/>
              </w:rPr>
              <w:t>rozpočtových organizácií v zriaďovateľskej  pôsobnosti BSK vrátane Úradu BSK v EUR</w:t>
            </w:r>
          </w:p>
          <w:p w14:paraId="79B840E7"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p>
        </w:tc>
      </w:tr>
      <w:tr w:rsidR="0004598E" w:rsidRPr="00094641" w14:paraId="74D7EB9D" w14:textId="77777777" w:rsidTr="0004598E">
        <w:trPr>
          <w:trHeight w:val="269"/>
        </w:trPr>
        <w:tc>
          <w:tcPr>
            <w:tcW w:w="10472" w:type="dxa"/>
            <w:gridSpan w:val="6"/>
            <w:vMerge/>
            <w:tcBorders>
              <w:top w:val="nil"/>
              <w:left w:val="single" w:sz="12" w:space="0" w:color="FFFFFF"/>
              <w:bottom w:val="nil"/>
              <w:right w:val="nil"/>
            </w:tcBorders>
            <w:vAlign w:val="center"/>
            <w:hideMark/>
          </w:tcPr>
          <w:p w14:paraId="6593DED1"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r>
      <w:tr w:rsidR="0004598E" w:rsidRPr="00094641" w14:paraId="5B46A81E" w14:textId="77777777" w:rsidTr="0004598E">
        <w:trPr>
          <w:trHeight w:val="269"/>
        </w:trPr>
        <w:tc>
          <w:tcPr>
            <w:tcW w:w="10472" w:type="dxa"/>
            <w:gridSpan w:val="6"/>
            <w:vMerge/>
            <w:tcBorders>
              <w:top w:val="nil"/>
              <w:left w:val="single" w:sz="12" w:space="0" w:color="FFFFFF"/>
              <w:bottom w:val="nil"/>
              <w:right w:val="nil"/>
            </w:tcBorders>
            <w:vAlign w:val="center"/>
            <w:hideMark/>
          </w:tcPr>
          <w:p w14:paraId="1A76D143"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r>
      <w:tr w:rsidR="0004598E" w:rsidRPr="00094641" w14:paraId="6707A814" w14:textId="77777777" w:rsidTr="0004598E">
        <w:trPr>
          <w:trHeight w:val="479"/>
        </w:trPr>
        <w:tc>
          <w:tcPr>
            <w:tcW w:w="2455" w:type="dxa"/>
            <w:tcBorders>
              <w:top w:val="nil"/>
              <w:left w:val="single" w:sz="12" w:space="0" w:color="FFFFFF"/>
              <w:bottom w:val="single" w:sz="12" w:space="0" w:color="FFFFFF"/>
              <w:right w:val="single" w:sz="12" w:space="0" w:color="FFFFFF"/>
            </w:tcBorders>
            <w:shd w:val="clear" w:color="000000" w:fill="808080"/>
            <w:vAlign w:val="center"/>
            <w:hideMark/>
          </w:tcPr>
          <w:p w14:paraId="40AC6A41"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Druh pohľadávky</w:t>
            </w:r>
          </w:p>
        </w:tc>
        <w:tc>
          <w:tcPr>
            <w:tcW w:w="1677" w:type="dxa"/>
            <w:tcBorders>
              <w:top w:val="nil"/>
              <w:left w:val="nil"/>
              <w:bottom w:val="single" w:sz="12" w:space="0" w:color="FFFFFF"/>
              <w:right w:val="single" w:sz="12" w:space="0" w:color="FFFFFF"/>
            </w:tcBorders>
            <w:shd w:val="clear" w:color="000000" w:fill="808080"/>
            <w:noWrap/>
            <w:vAlign w:val="center"/>
            <w:hideMark/>
          </w:tcPr>
          <w:p w14:paraId="317513E9"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Brutto k 31.12.20</w:t>
            </w:r>
            <w:r>
              <w:rPr>
                <w:rFonts w:asciiTheme="minorHAnsi" w:hAnsiTheme="minorHAnsi" w:cstheme="minorHAnsi"/>
                <w:b/>
                <w:bCs/>
                <w:color w:val="FFFFFF" w:themeColor="background1"/>
                <w:sz w:val="20"/>
                <w:szCs w:val="20"/>
                <w:lang w:eastAsia="sk-SK"/>
              </w:rPr>
              <w:t>20</w:t>
            </w:r>
          </w:p>
        </w:tc>
        <w:tc>
          <w:tcPr>
            <w:tcW w:w="1523" w:type="dxa"/>
            <w:tcBorders>
              <w:top w:val="nil"/>
              <w:left w:val="nil"/>
              <w:bottom w:val="single" w:sz="12" w:space="0" w:color="FFFFFF"/>
              <w:right w:val="single" w:sz="12" w:space="0" w:color="FFFFFF"/>
            </w:tcBorders>
            <w:shd w:val="clear" w:color="000000" w:fill="808080"/>
            <w:noWrap/>
            <w:vAlign w:val="center"/>
            <w:hideMark/>
          </w:tcPr>
          <w:p w14:paraId="73899261"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Korekcia k 31.12.20</w:t>
            </w:r>
            <w:r>
              <w:rPr>
                <w:rFonts w:asciiTheme="minorHAnsi" w:hAnsiTheme="minorHAnsi" w:cstheme="minorHAnsi"/>
                <w:b/>
                <w:bCs/>
                <w:color w:val="FFFFFF" w:themeColor="background1"/>
                <w:sz w:val="20"/>
                <w:szCs w:val="20"/>
                <w:lang w:eastAsia="sk-SK"/>
              </w:rPr>
              <w:t>20</w:t>
            </w:r>
          </w:p>
        </w:tc>
        <w:tc>
          <w:tcPr>
            <w:tcW w:w="1525" w:type="dxa"/>
            <w:tcBorders>
              <w:top w:val="nil"/>
              <w:left w:val="nil"/>
              <w:bottom w:val="single" w:sz="12" w:space="0" w:color="FFFFFF"/>
              <w:right w:val="single" w:sz="12" w:space="0" w:color="FFFFFF"/>
            </w:tcBorders>
            <w:shd w:val="clear" w:color="000000" w:fill="808080"/>
            <w:noWrap/>
            <w:vAlign w:val="center"/>
            <w:hideMark/>
          </w:tcPr>
          <w:p w14:paraId="7FC1910A"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Netto k 31.12.20</w:t>
            </w:r>
            <w:r>
              <w:rPr>
                <w:rFonts w:asciiTheme="minorHAnsi" w:hAnsiTheme="minorHAnsi" w:cstheme="minorHAnsi"/>
                <w:b/>
                <w:bCs/>
                <w:color w:val="FFFFFF" w:themeColor="background1"/>
                <w:sz w:val="20"/>
                <w:szCs w:val="20"/>
                <w:lang w:eastAsia="sk-SK"/>
              </w:rPr>
              <w:t>20</w:t>
            </w:r>
          </w:p>
        </w:tc>
        <w:tc>
          <w:tcPr>
            <w:tcW w:w="1676" w:type="dxa"/>
            <w:tcBorders>
              <w:top w:val="nil"/>
              <w:left w:val="nil"/>
              <w:bottom w:val="single" w:sz="12" w:space="0" w:color="FFFFFF"/>
              <w:right w:val="single" w:sz="12" w:space="0" w:color="FFFFFF"/>
            </w:tcBorders>
            <w:shd w:val="clear" w:color="000000" w:fill="808080"/>
            <w:noWrap/>
            <w:vAlign w:val="center"/>
            <w:hideMark/>
          </w:tcPr>
          <w:p w14:paraId="3FE62BF0"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Netto k 31.12.201</w:t>
            </w:r>
            <w:r>
              <w:rPr>
                <w:rFonts w:asciiTheme="minorHAnsi" w:hAnsiTheme="minorHAnsi" w:cstheme="minorHAnsi"/>
                <w:b/>
                <w:bCs/>
                <w:color w:val="FFFFFF" w:themeColor="background1"/>
                <w:sz w:val="20"/>
                <w:szCs w:val="20"/>
                <w:lang w:eastAsia="sk-SK"/>
              </w:rPr>
              <w:t>9</w:t>
            </w:r>
          </w:p>
        </w:tc>
        <w:tc>
          <w:tcPr>
            <w:tcW w:w="1614" w:type="dxa"/>
            <w:tcBorders>
              <w:top w:val="nil"/>
              <w:left w:val="nil"/>
              <w:bottom w:val="single" w:sz="12" w:space="0" w:color="FFFFFF"/>
              <w:right w:val="single" w:sz="12" w:space="0" w:color="FFFFFF"/>
            </w:tcBorders>
            <w:shd w:val="clear" w:color="000000" w:fill="808080"/>
            <w:vAlign w:val="center"/>
            <w:hideMark/>
          </w:tcPr>
          <w:p w14:paraId="7C30610A"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Medziročná zmena</w:t>
            </w:r>
          </w:p>
        </w:tc>
      </w:tr>
      <w:tr w:rsidR="0004598E" w:rsidRPr="00094641" w14:paraId="200C1992" w14:textId="77777777" w:rsidTr="0004598E">
        <w:trPr>
          <w:trHeight w:hRule="exact" w:val="289"/>
        </w:trPr>
        <w:tc>
          <w:tcPr>
            <w:tcW w:w="2455" w:type="dxa"/>
            <w:tcBorders>
              <w:top w:val="nil"/>
              <w:left w:val="single" w:sz="12" w:space="0" w:color="FFFFFF"/>
              <w:bottom w:val="single" w:sz="12" w:space="0" w:color="FFFFFF"/>
              <w:right w:val="single" w:sz="12" w:space="0" w:color="FFFFFF"/>
            </w:tcBorders>
            <w:shd w:val="clear" w:color="000000" w:fill="D9D9D9"/>
            <w:vAlign w:val="center"/>
            <w:hideMark/>
          </w:tcPr>
          <w:p w14:paraId="2BC7F364"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Dlhodobé pohľadávky </w:t>
            </w:r>
          </w:p>
        </w:tc>
        <w:tc>
          <w:tcPr>
            <w:tcW w:w="1677" w:type="dxa"/>
            <w:tcBorders>
              <w:top w:val="nil"/>
              <w:left w:val="nil"/>
              <w:bottom w:val="single" w:sz="12" w:space="0" w:color="FFFFFF"/>
              <w:right w:val="single" w:sz="12" w:space="0" w:color="FFFFFF"/>
            </w:tcBorders>
            <w:shd w:val="clear" w:color="000000" w:fill="D9D9D9"/>
            <w:noWrap/>
          </w:tcPr>
          <w:p w14:paraId="30D0FAE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sidRPr="00094641">
              <w:rPr>
                <w:rFonts w:asciiTheme="minorHAnsi" w:hAnsiTheme="minorHAnsi" w:cstheme="minorHAnsi"/>
                <w:bCs/>
                <w:sz w:val="20"/>
                <w:szCs w:val="20"/>
                <w:lang w:eastAsia="sk-SK"/>
              </w:rPr>
              <w:t>3 587,14</w:t>
            </w:r>
          </w:p>
        </w:tc>
        <w:tc>
          <w:tcPr>
            <w:tcW w:w="1523" w:type="dxa"/>
            <w:tcBorders>
              <w:top w:val="nil"/>
              <w:left w:val="nil"/>
              <w:bottom w:val="single" w:sz="12" w:space="0" w:color="FFFFFF"/>
              <w:right w:val="single" w:sz="12" w:space="0" w:color="FFFFFF"/>
            </w:tcBorders>
            <w:shd w:val="clear" w:color="000000" w:fill="D9D9D9"/>
            <w:noWrap/>
          </w:tcPr>
          <w:p w14:paraId="5C372765"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sidRPr="00094641">
              <w:rPr>
                <w:rFonts w:asciiTheme="minorHAnsi" w:hAnsiTheme="minorHAnsi" w:cstheme="minorHAnsi"/>
                <w:bCs/>
                <w:sz w:val="20"/>
                <w:szCs w:val="20"/>
                <w:lang w:eastAsia="sk-SK"/>
              </w:rPr>
              <w:t>0,00</w:t>
            </w:r>
          </w:p>
        </w:tc>
        <w:tc>
          <w:tcPr>
            <w:tcW w:w="1525" w:type="dxa"/>
            <w:tcBorders>
              <w:top w:val="nil"/>
              <w:left w:val="nil"/>
              <w:bottom w:val="single" w:sz="12" w:space="0" w:color="FFFFFF"/>
              <w:right w:val="single" w:sz="12" w:space="0" w:color="FFFFFF"/>
            </w:tcBorders>
            <w:shd w:val="clear" w:color="000000" w:fill="D9D9D9"/>
            <w:noWrap/>
          </w:tcPr>
          <w:p w14:paraId="4AEF2A9A"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3 587,14</w:t>
            </w:r>
          </w:p>
        </w:tc>
        <w:tc>
          <w:tcPr>
            <w:tcW w:w="1676" w:type="dxa"/>
            <w:tcBorders>
              <w:top w:val="nil"/>
              <w:left w:val="nil"/>
              <w:bottom w:val="single" w:sz="12" w:space="0" w:color="FFFFFF"/>
              <w:right w:val="single" w:sz="12" w:space="0" w:color="FFFFFF"/>
            </w:tcBorders>
            <w:shd w:val="clear" w:color="000000" w:fill="D9D9D9"/>
            <w:noWrap/>
          </w:tcPr>
          <w:p w14:paraId="544238C6"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sidRPr="00094641">
              <w:rPr>
                <w:rFonts w:asciiTheme="minorHAnsi" w:hAnsiTheme="minorHAnsi" w:cstheme="minorHAnsi"/>
                <w:bCs/>
                <w:sz w:val="20"/>
                <w:szCs w:val="20"/>
                <w:lang w:eastAsia="sk-SK"/>
              </w:rPr>
              <w:t>3 587,14</w:t>
            </w:r>
          </w:p>
        </w:tc>
        <w:tc>
          <w:tcPr>
            <w:tcW w:w="1614" w:type="dxa"/>
            <w:tcBorders>
              <w:top w:val="nil"/>
              <w:left w:val="nil"/>
              <w:bottom w:val="single" w:sz="12" w:space="0" w:color="FFFFFF"/>
              <w:right w:val="single" w:sz="12" w:space="0" w:color="FFFFFF"/>
            </w:tcBorders>
            <w:shd w:val="clear" w:color="000000" w:fill="D9D9D9"/>
            <w:noWrap/>
          </w:tcPr>
          <w:p w14:paraId="0B88F42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sidRPr="00094641">
              <w:rPr>
                <w:rFonts w:asciiTheme="minorHAnsi" w:hAnsiTheme="minorHAnsi" w:cstheme="minorHAnsi"/>
                <w:bCs/>
                <w:sz w:val="20"/>
                <w:szCs w:val="20"/>
                <w:lang w:eastAsia="sk-SK"/>
              </w:rPr>
              <w:t>0,00</w:t>
            </w:r>
          </w:p>
        </w:tc>
      </w:tr>
      <w:tr w:rsidR="0004598E" w:rsidRPr="00094641" w14:paraId="018044C4" w14:textId="77777777" w:rsidTr="0004598E">
        <w:trPr>
          <w:trHeight w:hRule="exact" w:val="289"/>
        </w:trPr>
        <w:tc>
          <w:tcPr>
            <w:tcW w:w="2455" w:type="dxa"/>
            <w:tcBorders>
              <w:top w:val="nil"/>
              <w:left w:val="single" w:sz="12" w:space="0" w:color="FFFFFF"/>
              <w:bottom w:val="single" w:sz="12" w:space="0" w:color="FFFFFF"/>
              <w:right w:val="single" w:sz="12" w:space="0" w:color="FFFFFF"/>
            </w:tcBorders>
            <w:shd w:val="clear" w:color="000000" w:fill="D9D9D9"/>
            <w:vAlign w:val="center"/>
            <w:hideMark/>
          </w:tcPr>
          <w:p w14:paraId="0B3DCADD"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Krátkodobé pohľadávky </w:t>
            </w:r>
          </w:p>
        </w:tc>
        <w:tc>
          <w:tcPr>
            <w:tcW w:w="1677" w:type="dxa"/>
            <w:tcBorders>
              <w:top w:val="nil"/>
              <w:left w:val="nil"/>
              <w:bottom w:val="single" w:sz="12" w:space="0" w:color="FFFFFF"/>
              <w:right w:val="single" w:sz="12" w:space="0" w:color="FFFFFF"/>
            </w:tcBorders>
            <w:shd w:val="clear" w:color="000000" w:fill="D9D9D9"/>
            <w:noWrap/>
          </w:tcPr>
          <w:p w14:paraId="5C9C2513"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2 228 501,90</w:t>
            </w:r>
          </w:p>
        </w:tc>
        <w:tc>
          <w:tcPr>
            <w:tcW w:w="1523" w:type="dxa"/>
            <w:tcBorders>
              <w:top w:val="nil"/>
              <w:left w:val="nil"/>
              <w:bottom w:val="single" w:sz="12" w:space="0" w:color="FFFFFF"/>
              <w:right w:val="single" w:sz="12" w:space="0" w:color="FFFFFF"/>
            </w:tcBorders>
            <w:shd w:val="clear" w:color="000000" w:fill="D9D9D9"/>
            <w:noWrap/>
          </w:tcPr>
          <w:p w14:paraId="6D472ADB"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1 496 110,58</w:t>
            </w:r>
          </w:p>
        </w:tc>
        <w:tc>
          <w:tcPr>
            <w:tcW w:w="1525" w:type="dxa"/>
            <w:tcBorders>
              <w:top w:val="nil"/>
              <w:left w:val="nil"/>
              <w:bottom w:val="single" w:sz="12" w:space="0" w:color="FFFFFF"/>
              <w:right w:val="single" w:sz="12" w:space="0" w:color="FFFFFF"/>
            </w:tcBorders>
            <w:shd w:val="clear" w:color="000000" w:fill="D9D9D9"/>
            <w:noWrap/>
          </w:tcPr>
          <w:p w14:paraId="5E441568"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732 391,32</w:t>
            </w:r>
          </w:p>
        </w:tc>
        <w:tc>
          <w:tcPr>
            <w:tcW w:w="1676" w:type="dxa"/>
            <w:tcBorders>
              <w:top w:val="nil"/>
              <w:left w:val="nil"/>
              <w:bottom w:val="single" w:sz="12" w:space="0" w:color="FFFFFF"/>
              <w:right w:val="single" w:sz="12" w:space="0" w:color="FFFFFF"/>
            </w:tcBorders>
            <w:shd w:val="clear" w:color="000000" w:fill="D9D9D9"/>
            <w:noWrap/>
          </w:tcPr>
          <w:p w14:paraId="74F62EB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968 365,62</w:t>
            </w:r>
          </w:p>
        </w:tc>
        <w:tc>
          <w:tcPr>
            <w:tcW w:w="1614" w:type="dxa"/>
            <w:tcBorders>
              <w:top w:val="nil"/>
              <w:left w:val="nil"/>
              <w:bottom w:val="single" w:sz="12" w:space="0" w:color="FFFFFF"/>
              <w:right w:val="single" w:sz="12" w:space="0" w:color="FFFFFF"/>
            </w:tcBorders>
            <w:shd w:val="clear" w:color="000000" w:fill="D9D9D9"/>
            <w:noWrap/>
          </w:tcPr>
          <w:p w14:paraId="236C0172"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-235 974,30</w:t>
            </w:r>
          </w:p>
        </w:tc>
      </w:tr>
      <w:tr w:rsidR="0004598E" w:rsidRPr="00094641" w14:paraId="0029EC79" w14:textId="77777777" w:rsidTr="0004598E">
        <w:trPr>
          <w:trHeight w:hRule="exact" w:val="289"/>
        </w:trPr>
        <w:tc>
          <w:tcPr>
            <w:tcW w:w="2455" w:type="dxa"/>
            <w:tcBorders>
              <w:top w:val="nil"/>
              <w:left w:val="single" w:sz="12" w:space="0" w:color="FFFFFF"/>
              <w:bottom w:val="single" w:sz="12" w:space="0" w:color="FFFFFF"/>
              <w:right w:val="single" w:sz="12" w:space="0" w:color="FFFFFF"/>
            </w:tcBorders>
            <w:shd w:val="clear" w:color="000000" w:fill="8DB3E2"/>
            <w:vAlign w:val="center"/>
            <w:hideMark/>
          </w:tcPr>
          <w:p w14:paraId="30DAB838"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Pohľadávky celkom</w:t>
            </w:r>
          </w:p>
        </w:tc>
        <w:tc>
          <w:tcPr>
            <w:tcW w:w="1677" w:type="dxa"/>
            <w:tcBorders>
              <w:top w:val="nil"/>
              <w:left w:val="nil"/>
              <w:bottom w:val="single" w:sz="12" w:space="0" w:color="FFFFFF"/>
              <w:right w:val="single" w:sz="12" w:space="0" w:color="FFFFFF"/>
            </w:tcBorders>
            <w:shd w:val="clear" w:color="000000" w:fill="8DB3E2"/>
            <w:noWrap/>
          </w:tcPr>
          <w:p w14:paraId="51DA0BD8"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2 232 089,04</w:t>
            </w:r>
          </w:p>
        </w:tc>
        <w:tc>
          <w:tcPr>
            <w:tcW w:w="1523" w:type="dxa"/>
            <w:tcBorders>
              <w:top w:val="nil"/>
              <w:left w:val="nil"/>
              <w:bottom w:val="single" w:sz="12" w:space="0" w:color="FFFFFF"/>
              <w:right w:val="single" w:sz="12" w:space="0" w:color="FFFFFF"/>
            </w:tcBorders>
            <w:shd w:val="clear" w:color="000000" w:fill="8DB3E2"/>
            <w:noWrap/>
          </w:tcPr>
          <w:p w14:paraId="35053818"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1 496 110,58</w:t>
            </w:r>
          </w:p>
        </w:tc>
        <w:tc>
          <w:tcPr>
            <w:tcW w:w="1525" w:type="dxa"/>
            <w:tcBorders>
              <w:top w:val="nil"/>
              <w:left w:val="nil"/>
              <w:bottom w:val="single" w:sz="12" w:space="0" w:color="FFFFFF"/>
              <w:right w:val="single" w:sz="12" w:space="0" w:color="FFFFFF"/>
            </w:tcBorders>
            <w:shd w:val="clear" w:color="000000" w:fill="8DB3E2"/>
            <w:noWrap/>
          </w:tcPr>
          <w:p w14:paraId="2445D1FA"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735 978,46</w:t>
            </w:r>
          </w:p>
        </w:tc>
        <w:tc>
          <w:tcPr>
            <w:tcW w:w="1676" w:type="dxa"/>
            <w:tcBorders>
              <w:top w:val="nil"/>
              <w:left w:val="nil"/>
              <w:bottom w:val="single" w:sz="12" w:space="0" w:color="FFFFFF"/>
              <w:right w:val="single" w:sz="12" w:space="0" w:color="FFFFFF"/>
            </w:tcBorders>
            <w:shd w:val="clear" w:color="000000" w:fill="8DB3E2"/>
            <w:noWrap/>
          </w:tcPr>
          <w:p w14:paraId="259534D2"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971 952,76</w:t>
            </w:r>
          </w:p>
        </w:tc>
        <w:tc>
          <w:tcPr>
            <w:tcW w:w="1614" w:type="dxa"/>
            <w:tcBorders>
              <w:top w:val="nil"/>
              <w:left w:val="nil"/>
              <w:bottom w:val="single" w:sz="12" w:space="0" w:color="FFFFFF"/>
              <w:right w:val="single" w:sz="12" w:space="0" w:color="FFFFFF"/>
            </w:tcBorders>
            <w:shd w:val="clear" w:color="000000" w:fill="8DB3E2"/>
            <w:noWrap/>
          </w:tcPr>
          <w:p w14:paraId="68181D53"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-235 974,43</w:t>
            </w:r>
          </w:p>
        </w:tc>
      </w:tr>
    </w:tbl>
    <w:p w14:paraId="2891F659" w14:textId="77777777" w:rsidR="0004598E" w:rsidRDefault="0004598E" w:rsidP="0004598E">
      <w:pPr>
        <w:spacing w:before="120" w:after="0" w:line="240" w:lineRule="auto"/>
        <w:jc w:val="both"/>
        <w:rPr>
          <w:b/>
          <w:sz w:val="24"/>
          <w:szCs w:val="24"/>
          <w:u w:val="single"/>
        </w:rPr>
      </w:pPr>
    </w:p>
    <w:p w14:paraId="34895DE4" w14:textId="6C069B7C" w:rsidR="0004598E" w:rsidRPr="0004598E" w:rsidRDefault="0004598E" w:rsidP="0004598E">
      <w:pPr>
        <w:spacing w:before="120" w:after="0" w:line="240" w:lineRule="auto"/>
        <w:jc w:val="both"/>
        <w:rPr>
          <w:sz w:val="24"/>
          <w:szCs w:val="24"/>
          <w:lang w:eastAsia="sk-SK"/>
        </w:rPr>
      </w:pPr>
      <w:r w:rsidRPr="00AA44BC">
        <w:rPr>
          <w:b/>
          <w:sz w:val="24"/>
          <w:szCs w:val="24"/>
          <w:u w:val="single"/>
        </w:rPr>
        <w:t>Úrad BSK</w:t>
      </w:r>
      <w:r w:rsidRPr="00094641">
        <w:rPr>
          <w:sz w:val="24"/>
          <w:szCs w:val="24"/>
        </w:rPr>
        <w:t xml:space="preserve"> </w:t>
      </w:r>
      <w:r w:rsidRPr="00094641">
        <w:rPr>
          <w:sz w:val="24"/>
          <w:szCs w:val="24"/>
          <w:lang w:eastAsia="sk-SK"/>
        </w:rPr>
        <w:t xml:space="preserve">vykazuje pohľadávky </w:t>
      </w:r>
      <w:r w:rsidRPr="00094641">
        <w:rPr>
          <w:b/>
          <w:sz w:val="24"/>
          <w:szCs w:val="24"/>
          <w:lang w:eastAsia="sk-SK"/>
        </w:rPr>
        <w:t>k 31.12.20</w:t>
      </w:r>
      <w:r>
        <w:rPr>
          <w:b/>
          <w:sz w:val="24"/>
          <w:szCs w:val="24"/>
          <w:lang w:eastAsia="sk-SK"/>
        </w:rPr>
        <w:t>20</w:t>
      </w:r>
      <w:r w:rsidRPr="00094641">
        <w:rPr>
          <w:sz w:val="24"/>
          <w:szCs w:val="24"/>
          <w:lang w:eastAsia="sk-SK"/>
        </w:rPr>
        <w:t xml:space="preserve"> v celkovej výške </w:t>
      </w:r>
      <w:r>
        <w:rPr>
          <w:b/>
          <w:bCs/>
          <w:sz w:val="24"/>
          <w:szCs w:val="24"/>
          <w:lang w:eastAsia="sk-SK"/>
        </w:rPr>
        <w:t>745 343,62</w:t>
      </w:r>
      <w:r w:rsidRPr="00094641">
        <w:rPr>
          <w:b/>
          <w:bCs/>
          <w:sz w:val="24"/>
          <w:szCs w:val="24"/>
          <w:lang w:eastAsia="sk-SK"/>
        </w:rPr>
        <w:t xml:space="preserve"> </w:t>
      </w:r>
      <w:r w:rsidRPr="00094641">
        <w:rPr>
          <w:b/>
          <w:sz w:val="24"/>
          <w:szCs w:val="24"/>
          <w:lang w:eastAsia="sk-SK"/>
        </w:rPr>
        <w:t xml:space="preserve">EUR. </w:t>
      </w:r>
    </w:p>
    <w:tbl>
      <w:tblPr>
        <w:tblW w:w="10556" w:type="dxa"/>
        <w:tblInd w:w="55" w:type="dxa"/>
        <w:tblCellMar>
          <w:left w:w="70" w:type="dxa"/>
          <w:right w:w="70" w:type="dxa"/>
        </w:tblCellMar>
        <w:tblLook w:val="04A0" w:firstRow="1" w:lastRow="0" w:firstColumn="1" w:lastColumn="0" w:noHBand="0" w:noVBand="1"/>
      </w:tblPr>
      <w:tblGrid>
        <w:gridCol w:w="2424"/>
        <w:gridCol w:w="1604"/>
        <w:gridCol w:w="1605"/>
        <w:gridCol w:w="1501"/>
        <w:gridCol w:w="1780"/>
        <w:gridCol w:w="1642"/>
      </w:tblGrid>
      <w:tr w:rsidR="0004598E" w:rsidRPr="00094641" w14:paraId="7E4B1959" w14:textId="77777777" w:rsidTr="0004598E">
        <w:trPr>
          <w:trHeight w:val="351"/>
        </w:trPr>
        <w:tc>
          <w:tcPr>
            <w:tcW w:w="10556" w:type="dxa"/>
            <w:gridSpan w:val="6"/>
            <w:vMerge w:val="restart"/>
            <w:tcBorders>
              <w:top w:val="nil"/>
              <w:left w:val="single" w:sz="12" w:space="0" w:color="FFFFFF"/>
              <w:bottom w:val="nil"/>
              <w:right w:val="nil"/>
            </w:tcBorders>
            <w:shd w:val="clear" w:color="000000" w:fill="8DB3E2"/>
            <w:vAlign w:val="center"/>
            <w:hideMark/>
          </w:tcPr>
          <w:p w14:paraId="14E3B2B2"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PREHĽAD O POHĽADÁVKACH  Úradu BSK v EUR</w:t>
            </w:r>
          </w:p>
        </w:tc>
      </w:tr>
      <w:tr w:rsidR="0004598E" w:rsidRPr="00094641" w14:paraId="1BEE0F06" w14:textId="77777777" w:rsidTr="0004598E">
        <w:trPr>
          <w:trHeight w:val="331"/>
        </w:trPr>
        <w:tc>
          <w:tcPr>
            <w:tcW w:w="10556" w:type="dxa"/>
            <w:gridSpan w:val="6"/>
            <w:vMerge/>
            <w:tcBorders>
              <w:top w:val="nil"/>
              <w:left w:val="single" w:sz="12" w:space="0" w:color="FFFFFF"/>
              <w:bottom w:val="nil"/>
              <w:right w:val="nil"/>
            </w:tcBorders>
            <w:vAlign w:val="center"/>
            <w:hideMark/>
          </w:tcPr>
          <w:p w14:paraId="22185E80"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r>
      <w:tr w:rsidR="0004598E" w:rsidRPr="00094641" w14:paraId="2FAE79B0" w14:textId="77777777" w:rsidTr="0004598E">
        <w:trPr>
          <w:trHeight w:val="682"/>
        </w:trPr>
        <w:tc>
          <w:tcPr>
            <w:tcW w:w="2424" w:type="dxa"/>
            <w:tcBorders>
              <w:top w:val="nil"/>
              <w:left w:val="single" w:sz="12" w:space="0" w:color="FFFFFF"/>
              <w:bottom w:val="single" w:sz="12" w:space="0" w:color="FFFFFF"/>
              <w:right w:val="single" w:sz="12" w:space="0" w:color="FFFFFF"/>
            </w:tcBorders>
            <w:shd w:val="clear" w:color="000000" w:fill="808080"/>
            <w:vAlign w:val="center"/>
            <w:hideMark/>
          </w:tcPr>
          <w:p w14:paraId="16C30757"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Druh pohľadávky</w:t>
            </w:r>
          </w:p>
        </w:tc>
        <w:tc>
          <w:tcPr>
            <w:tcW w:w="1604" w:type="dxa"/>
            <w:tcBorders>
              <w:top w:val="nil"/>
              <w:left w:val="nil"/>
              <w:bottom w:val="single" w:sz="12" w:space="0" w:color="FFFFFF"/>
              <w:right w:val="single" w:sz="12" w:space="0" w:color="FFFFFF"/>
            </w:tcBorders>
            <w:shd w:val="clear" w:color="000000" w:fill="808080"/>
            <w:noWrap/>
            <w:vAlign w:val="center"/>
            <w:hideMark/>
          </w:tcPr>
          <w:p w14:paraId="52FD43E2"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Brutto k 31.12.20</w:t>
            </w:r>
            <w:r>
              <w:rPr>
                <w:rFonts w:asciiTheme="minorHAnsi" w:hAnsiTheme="minorHAnsi" w:cstheme="minorHAnsi"/>
                <w:b/>
                <w:bCs/>
                <w:color w:val="FFFFFF" w:themeColor="background1"/>
                <w:sz w:val="20"/>
                <w:szCs w:val="20"/>
                <w:lang w:eastAsia="sk-SK"/>
              </w:rPr>
              <w:t>20</w:t>
            </w:r>
          </w:p>
        </w:tc>
        <w:tc>
          <w:tcPr>
            <w:tcW w:w="1605" w:type="dxa"/>
            <w:tcBorders>
              <w:top w:val="nil"/>
              <w:left w:val="nil"/>
              <w:bottom w:val="single" w:sz="12" w:space="0" w:color="FFFFFF"/>
              <w:right w:val="single" w:sz="12" w:space="0" w:color="FFFFFF"/>
            </w:tcBorders>
            <w:shd w:val="clear" w:color="000000" w:fill="808080"/>
            <w:noWrap/>
            <w:vAlign w:val="center"/>
            <w:hideMark/>
          </w:tcPr>
          <w:p w14:paraId="5922268B"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Korekcia k 31.12.20</w:t>
            </w:r>
            <w:r>
              <w:rPr>
                <w:rFonts w:asciiTheme="minorHAnsi" w:hAnsiTheme="minorHAnsi" w:cstheme="minorHAnsi"/>
                <w:b/>
                <w:bCs/>
                <w:color w:val="FFFFFF" w:themeColor="background1"/>
                <w:sz w:val="20"/>
                <w:szCs w:val="20"/>
                <w:lang w:eastAsia="sk-SK"/>
              </w:rPr>
              <w:t>20</w:t>
            </w:r>
          </w:p>
        </w:tc>
        <w:tc>
          <w:tcPr>
            <w:tcW w:w="1501" w:type="dxa"/>
            <w:tcBorders>
              <w:top w:val="nil"/>
              <w:left w:val="nil"/>
              <w:bottom w:val="single" w:sz="12" w:space="0" w:color="FFFFFF"/>
              <w:right w:val="single" w:sz="12" w:space="0" w:color="FFFFFF"/>
            </w:tcBorders>
            <w:shd w:val="clear" w:color="000000" w:fill="808080"/>
            <w:noWrap/>
            <w:vAlign w:val="center"/>
            <w:hideMark/>
          </w:tcPr>
          <w:p w14:paraId="0E2D7C7D"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Netto k 31.12.20</w:t>
            </w:r>
            <w:r>
              <w:rPr>
                <w:rFonts w:asciiTheme="minorHAnsi" w:hAnsiTheme="minorHAnsi" w:cstheme="minorHAnsi"/>
                <w:b/>
                <w:bCs/>
                <w:color w:val="FFFFFF" w:themeColor="background1"/>
                <w:sz w:val="20"/>
                <w:szCs w:val="20"/>
                <w:lang w:eastAsia="sk-SK"/>
              </w:rPr>
              <w:t>20</w:t>
            </w:r>
          </w:p>
        </w:tc>
        <w:tc>
          <w:tcPr>
            <w:tcW w:w="1780" w:type="dxa"/>
            <w:tcBorders>
              <w:top w:val="nil"/>
              <w:left w:val="nil"/>
              <w:bottom w:val="single" w:sz="12" w:space="0" w:color="FFFFFF"/>
              <w:right w:val="single" w:sz="12" w:space="0" w:color="FFFFFF"/>
            </w:tcBorders>
            <w:shd w:val="clear" w:color="000000" w:fill="808080"/>
            <w:noWrap/>
            <w:vAlign w:val="center"/>
            <w:hideMark/>
          </w:tcPr>
          <w:p w14:paraId="020D80A9"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Netto k 31.12.201</w:t>
            </w:r>
            <w:r>
              <w:rPr>
                <w:rFonts w:asciiTheme="minorHAnsi" w:hAnsiTheme="minorHAnsi" w:cstheme="minorHAnsi"/>
                <w:b/>
                <w:bCs/>
                <w:color w:val="FFFFFF" w:themeColor="background1"/>
                <w:sz w:val="20"/>
                <w:szCs w:val="20"/>
                <w:lang w:eastAsia="sk-SK"/>
              </w:rPr>
              <w:t>9</w:t>
            </w:r>
          </w:p>
        </w:tc>
        <w:tc>
          <w:tcPr>
            <w:tcW w:w="1640" w:type="dxa"/>
            <w:tcBorders>
              <w:top w:val="nil"/>
              <w:left w:val="nil"/>
              <w:bottom w:val="single" w:sz="12" w:space="0" w:color="FFFFFF"/>
              <w:right w:val="single" w:sz="12" w:space="0" w:color="FFFFFF"/>
            </w:tcBorders>
            <w:shd w:val="clear" w:color="000000" w:fill="808080"/>
            <w:vAlign w:val="center"/>
            <w:hideMark/>
          </w:tcPr>
          <w:p w14:paraId="5B0D7E2D"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Medziročná zmena</w:t>
            </w:r>
          </w:p>
        </w:tc>
      </w:tr>
      <w:tr w:rsidR="0004598E" w:rsidRPr="00094641" w14:paraId="0FAA0D8C" w14:textId="77777777" w:rsidTr="0004598E">
        <w:trPr>
          <w:trHeight w:hRule="exact" w:val="326"/>
        </w:trPr>
        <w:tc>
          <w:tcPr>
            <w:tcW w:w="2424" w:type="dxa"/>
            <w:tcBorders>
              <w:top w:val="nil"/>
              <w:left w:val="single" w:sz="12" w:space="0" w:color="FFFFFF"/>
              <w:bottom w:val="single" w:sz="12" w:space="0" w:color="FFFFFF"/>
              <w:right w:val="single" w:sz="12" w:space="0" w:color="FFFFFF"/>
            </w:tcBorders>
            <w:shd w:val="clear" w:color="000000" w:fill="D9D9D9"/>
            <w:vAlign w:val="center"/>
            <w:hideMark/>
          </w:tcPr>
          <w:p w14:paraId="537F30A6"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Dlhodobé pohľadávky </w:t>
            </w:r>
          </w:p>
        </w:tc>
        <w:tc>
          <w:tcPr>
            <w:tcW w:w="1604" w:type="dxa"/>
            <w:tcBorders>
              <w:top w:val="nil"/>
              <w:left w:val="nil"/>
              <w:bottom w:val="single" w:sz="12" w:space="0" w:color="FFFFFF"/>
              <w:right w:val="single" w:sz="12" w:space="0" w:color="FFFFFF"/>
            </w:tcBorders>
            <w:shd w:val="clear" w:color="000000" w:fill="D9D9D9"/>
            <w:noWrap/>
          </w:tcPr>
          <w:p w14:paraId="517A36BB"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3 587,14</w:t>
            </w:r>
          </w:p>
        </w:tc>
        <w:tc>
          <w:tcPr>
            <w:tcW w:w="1605" w:type="dxa"/>
            <w:tcBorders>
              <w:top w:val="nil"/>
              <w:left w:val="nil"/>
              <w:bottom w:val="single" w:sz="12" w:space="0" w:color="FFFFFF"/>
              <w:right w:val="single" w:sz="12" w:space="0" w:color="FFFFFF"/>
            </w:tcBorders>
            <w:shd w:val="clear" w:color="000000" w:fill="D9D9D9"/>
            <w:noWrap/>
          </w:tcPr>
          <w:p w14:paraId="58928963"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0,00</w:t>
            </w:r>
          </w:p>
        </w:tc>
        <w:tc>
          <w:tcPr>
            <w:tcW w:w="1501" w:type="dxa"/>
            <w:tcBorders>
              <w:top w:val="nil"/>
              <w:left w:val="nil"/>
              <w:bottom w:val="single" w:sz="12" w:space="0" w:color="FFFFFF"/>
              <w:right w:val="single" w:sz="12" w:space="0" w:color="FFFFFF"/>
            </w:tcBorders>
            <w:shd w:val="clear" w:color="000000" w:fill="D9D9D9"/>
            <w:noWrap/>
          </w:tcPr>
          <w:p w14:paraId="08AD728F"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3 587,14</w:t>
            </w:r>
          </w:p>
        </w:tc>
        <w:tc>
          <w:tcPr>
            <w:tcW w:w="1780" w:type="dxa"/>
            <w:tcBorders>
              <w:top w:val="nil"/>
              <w:left w:val="nil"/>
              <w:bottom w:val="single" w:sz="12" w:space="0" w:color="FFFFFF"/>
              <w:right w:val="single" w:sz="12" w:space="0" w:color="FFFFFF"/>
            </w:tcBorders>
            <w:shd w:val="clear" w:color="000000" w:fill="D9D9D9"/>
            <w:noWrap/>
          </w:tcPr>
          <w:p w14:paraId="01109864"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3 587,14</w:t>
            </w:r>
          </w:p>
        </w:tc>
        <w:tc>
          <w:tcPr>
            <w:tcW w:w="1640" w:type="dxa"/>
            <w:tcBorders>
              <w:top w:val="nil"/>
              <w:left w:val="nil"/>
              <w:bottom w:val="single" w:sz="12" w:space="0" w:color="FFFFFF"/>
              <w:right w:val="single" w:sz="12" w:space="0" w:color="FFFFFF"/>
            </w:tcBorders>
            <w:shd w:val="clear" w:color="000000" w:fill="D9D9D9"/>
            <w:noWrap/>
          </w:tcPr>
          <w:p w14:paraId="74B2EFE5"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sidRPr="00094641">
              <w:rPr>
                <w:rFonts w:asciiTheme="minorHAnsi" w:hAnsiTheme="minorHAnsi" w:cstheme="minorHAnsi"/>
                <w:bCs/>
                <w:sz w:val="20"/>
                <w:szCs w:val="20"/>
                <w:lang w:eastAsia="sk-SK"/>
              </w:rPr>
              <w:t>0,00</w:t>
            </w:r>
          </w:p>
        </w:tc>
      </w:tr>
      <w:tr w:rsidR="0004598E" w:rsidRPr="00094641" w14:paraId="23BB3736" w14:textId="77777777" w:rsidTr="0004598E">
        <w:trPr>
          <w:trHeight w:hRule="exact" w:val="326"/>
        </w:trPr>
        <w:tc>
          <w:tcPr>
            <w:tcW w:w="2424" w:type="dxa"/>
            <w:tcBorders>
              <w:top w:val="nil"/>
              <w:left w:val="single" w:sz="12" w:space="0" w:color="FFFFFF"/>
              <w:bottom w:val="single" w:sz="12" w:space="0" w:color="FFFFFF"/>
              <w:right w:val="single" w:sz="12" w:space="0" w:color="FFFFFF"/>
            </w:tcBorders>
            <w:shd w:val="clear" w:color="000000" w:fill="D9D9D9"/>
            <w:vAlign w:val="center"/>
            <w:hideMark/>
          </w:tcPr>
          <w:p w14:paraId="09D65B5A"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Krátkodobé pohľadávky </w:t>
            </w:r>
          </w:p>
        </w:tc>
        <w:tc>
          <w:tcPr>
            <w:tcW w:w="1604" w:type="dxa"/>
            <w:tcBorders>
              <w:top w:val="nil"/>
              <w:left w:val="nil"/>
              <w:bottom w:val="single" w:sz="12" w:space="0" w:color="FFFFFF"/>
              <w:right w:val="single" w:sz="12" w:space="0" w:color="FFFFFF"/>
            </w:tcBorders>
            <w:shd w:val="clear" w:color="000000" w:fill="D9D9D9"/>
            <w:noWrap/>
          </w:tcPr>
          <w:p w14:paraId="7F7B349A"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741 756,48</w:t>
            </w:r>
          </w:p>
        </w:tc>
        <w:tc>
          <w:tcPr>
            <w:tcW w:w="1605" w:type="dxa"/>
            <w:tcBorders>
              <w:top w:val="nil"/>
              <w:left w:val="nil"/>
              <w:bottom w:val="single" w:sz="12" w:space="0" w:color="FFFFFF"/>
              <w:right w:val="single" w:sz="12" w:space="0" w:color="FFFFFF"/>
            </w:tcBorders>
            <w:shd w:val="clear" w:color="000000" w:fill="D9D9D9"/>
            <w:noWrap/>
          </w:tcPr>
          <w:p w14:paraId="349DFEE4"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474 414,47</w:t>
            </w:r>
          </w:p>
        </w:tc>
        <w:tc>
          <w:tcPr>
            <w:tcW w:w="1501" w:type="dxa"/>
            <w:tcBorders>
              <w:top w:val="nil"/>
              <w:left w:val="nil"/>
              <w:bottom w:val="single" w:sz="12" w:space="0" w:color="FFFFFF"/>
              <w:right w:val="single" w:sz="12" w:space="0" w:color="FFFFFF"/>
            </w:tcBorders>
            <w:shd w:val="clear" w:color="000000" w:fill="D9D9D9"/>
            <w:noWrap/>
          </w:tcPr>
          <w:p w14:paraId="2C484FEA"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267 342,01</w:t>
            </w:r>
          </w:p>
        </w:tc>
        <w:tc>
          <w:tcPr>
            <w:tcW w:w="1780" w:type="dxa"/>
            <w:tcBorders>
              <w:top w:val="nil"/>
              <w:left w:val="nil"/>
              <w:bottom w:val="single" w:sz="12" w:space="0" w:color="FFFFFF"/>
              <w:right w:val="single" w:sz="12" w:space="0" w:color="FFFFFF"/>
            </w:tcBorders>
            <w:shd w:val="clear" w:color="000000" w:fill="D9D9D9"/>
            <w:noWrap/>
          </w:tcPr>
          <w:p w14:paraId="6D2E8AB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467 189,22</w:t>
            </w:r>
          </w:p>
        </w:tc>
        <w:tc>
          <w:tcPr>
            <w:tcW w:w="1640" w:type="dxa"/>
            <w:tcBorders>
              <w:top w:val="nil"/>
              <w:left w:val="nil"/>
              <w:bottom w:val="single" w:sz="12" w:space="0" w:color="FFFFFF"/>
              <w:right w:val="single" w:sz="12" w:space="0" w:color="FFFFFF"/>
            </w:tcBorders>
            <w:shd w:val="clear" w:color="000000" w:fill="D9D9D9"/>
            <w:noWrap/>
          </w:tcPr>
          <w:p w14:paraId="2D8D607C"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-199 847,21</w:t>
            </w:r>
          </w:p>
        </w:tc>
      </w:tr>
      <w:tr w:rsidR="0004598E" w:rsidRPr="00094641" w14:paraId="2912A938" w14:textId="77777777" w:rsidTr="0004598E">
        <w:trPr>
          <w:trHeight w:hRule="exact" w:val="326"/>
        </w:trPr>
        <w:tc>
          <w:tcPr>
            <w:tcW w:w="2424" w:type="dxa"/>
            <w:tcBorders>
              <w:top w:val="nil"/>
              <w:left w:val="single" w:sz="12" w:space="0" w:color="FFFFFF"/>
              <w:bottom w:val="single" w:sz="12" w:space="0" w:color="FFFFFF"/>
              <w:right w:val="single" w:sz="12" w:space="0" w:color="FFFFFF"/>
            </w:tcBorders>
            <w:shd w:val="clear" w:color="000000" w:fill="8DB3E2"/>
            <w:vAlign w:val="center"/>
            <w:hideMark/>
          </w:tcPr>
          <w:p w14:paraId="6041D501"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Pohľadávky celkom</w:t>
            </w:r>
          </w:p>
        </w:tc>
        <w:tc>
          <w:tcPr>
            <w:tcW w:w="1604" w:type="dxa"/>
            <w:tcBorders>
              <w:top w:val="nil"/>
              <w:left w:val="nil"/>
              <w:bottom w:val="single" w:sz="12" w:space="0" w:color="FFFFFF"/>
              <w:right w:val="single" w:sz="12" w:space="0" w:color="FFFFFF"/>
            </w:tcBorders>
            <w:shd w:val="clear" w:color="000000" w:fill="8DB3E2"/>
            <w:noWrap/>
          </w:tcPr>
          <w:p w14:paraId="58955EA7"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745 343,62</w:t>
            </w:r>
          </w:p>
        </w:tc>
        <w:tc>
          <w:tcPr>
            <w:tcW w:w="1605" w:type="dxa"/>
            <w:tcBorders>
              <w:top w:val="nil"/>
              <w:left w:val="nil"/>
              <w:bottom w:val="single" w:sz="12" w:space="0" w:color="FFFFFF"/>
              <w:right w:val="single" w:sz="12" w:space="0" w:color="FFFFFF"/>
            </w:tcBorders>
            <w:shd w:val="clear" w:color="000000" w:fill="8DB3E2"/>
            <w:noWrap/>
          </w:tcPr>
          <w:p w14:paraId="755D1DF5"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474 414,47</w:t>
            </w:r>
          </w:p>
        </w:tc>
        <w:tc>
          <w:tcPr>
            <w:tcW w:w="1501" w:type="dxa"/>
            <w:tcBorders>
              <w:top w:val="nil"/>
              <w:left w:val="nil"/>
              <w:bottom w:val="single" w:sz="12" w:space="0" w:color="FFFFFF"/>
              <w:right w:val="single" w:sz="12" w:space="0" w:color="FFFFFF"/>
            </w:tcBorders>
            <w:shd w:val="clear" w:color="000000" w:fill="8DB3E2"/>
            <w:noWrap/>
          </w:tcPr>
          <w:p w14:paraId="1053326C"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270 929,15</w:t>
            </w:r>
          </w:p>
        </w:tc>
        <w:tc>
          <w:tcPr>
            <w:tcW w:w="1780" w:type="dxa"/>
            <w:tcBorders>
              <w:top w:val="nil"/>
              <w:left w:val="nil"/>
              <w:bottom w:val="single" w:sz="12" w:space="0" w:color="FFFFFF"/>
              <w:right w:val="single" w:sz="12" w:space="0" w:color="FFFFFF"/>
            </w:tcBorders>
            <w:shd w:val="clear" w:color="000000" w:fill="8DB3E2"/>
            <w:noWrap/>
          </w:tcPr>
          <w:p w14:paraId="62C21ACB"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470 776,36</w:t>
            </w:r>
          </w:p>
        </w:tc>
        <w:tc>
          <w:tcPr>
            <w:tcW w:w="1640" w:type="dxa"/>
            <w:tcBorders>
              <w:top w:val="nil"/>
              <w:left w:val="nil"/>
              <w:bottom w:val="single" w:sz="12" w:space="0" w:color="FFFFFF"/>
              <w:right w:val="single" w:sz="12" w:space="0" w:color="FFFFFF"/>
            </w:tcBorders>
            <w:shd w:val="clear" w:color="000000" w:fill="8DB3E2"/>
            <w:noWrap/>
          </w:tcPr>
          <w:p w14:paraId="4B8ADB7A"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-199 847,21</w:t>
            </w:r>
          </w:p>
        </w:tc>
      </w:tr>
    </w:tbl>
    <w:p w14:paraId="4E264F3C" w14:textId="77777777" w:rsidR="0004598E" w:rsidRDefault="0004598E" w:rsidP="0004598E">
      <w:pPr>
        <w:spacing w:before="120" w:after="0" w:line="240" w:lineRule="auto"/>
        <w:jc w:val="both"/>
        <w:rPr>
          <w:b/>
          <w:sz w:val="24"/>
          <w:szCs w:val="24"/>
          <w:u w:val="single"/>
        </w:rPr>
      </w:pPr>
    </w:p>
    <w:p w14:paraId="512483E8" w14:textId="5C3CE005" w:rsidR="0004598E" w:rsidRPr="0004598E" w:rsidRDefault="0004598E" w:rsidP="0004598E">
      <w:pPr>
        <w:spacing w:before="120" w:after="0" w:line="240" w:lineRule="auto"/>
        <w:jc w:val="both"/>
        <w:rPr>
          <w:b/>
          <w:sz w:val="24"/>
          <w:szCs w:val="24"/>
          <w:lang w:eastAsia="sk-SK"/>
        </w:rPr>
      </w:pPr>
      <w:r w:rsidRPr="00AA44BC">
        <w:rPr>
          <w:b/>
          <w:sz w:val="24"/>
          <w:szCs w:val="24"/>
          <w:u w:val="single"/>
          <w:lang w:eastAsia="sk-SK"/>
        </w:rPr>
        <w:t>Školské zariadenia v zriaďovateľskej pôsobnosti BSK</w:t>
      </w:r>
      <w:r w:rsidRPr="00AA44BC">
        <w:rPr>
          <w:sz w:val="24"/>
          <w:szCs w:val="24"/>
          <w:lang w:eastAsia="sk-SK"/>
        </w:rPr>
        <w:t xml:space="preserve"> vykazujú pohľadávky k 31.12.20</w:t>
      </w:r>
      <w:r>
        <w:rPr>
          <w:sz w:val="24"/>
          <w:szCs w:val="24"/>
          <w:lang w:eastAsia="sk-SK"/>
        </w:rPr>
        <w:t>20</w:t>
      </w:r>
      <w:r w:rsidRPr="00AA44BC">
        <w:rPr>
          <w:sz w:val="24"/>
          <w:szCs w:val="24"/>
          <w:lang w:eastAsia="sk-SK"/>
        </w:rPr>
        <w:t xml:space="preserve"> v celkovej výške </w:t>
      </w:r>
      <w:r>
        <w:rPr>
          <w:b/>
          <w:bCs/>
          <w:sz w:val="24"/>
          <w:szCs w:val="24"/>
          <w:lang w:eastAsia="sk-SK"/>
        </w:rPr>
        <w:t>376 991,74</w:t>
      </w:r>
      <w:r w:rsidRPr="00094641">
        <w:rPr>
          <w:b/>
          <w:bCs/>
          <w:sz w:val="24"/>
          <w:szCs w:val="24"/>
          <w:lang w:eastAsia="sk-SK"/>
        </w:rPr>
        <w:t xml:space="preserve"> </w:t>
      </w:r>
      <w:r w:rsidRPr="00094641">
        <w:rPr>
          <w:b/>
          <w:sz w:val="24"/>
          <w:szCs w:val="24"/>
          <w:lang w:eastAsia="sk-SK"/>
        </w:rPr>
        <w:t xml:space="preserve">EUR. </w:t>
      </w:r>
    </w:p>
    <w:tbl>
      <w:tblPr>
        <w:tblW w:w="10555" w:type="dxa"/>
        <w:tblInd w:w="55" w:type="dxa"/>
        <w:tblCellMar>
          <w:left w:w="70" w:type="dxa"/>
          <w:right w:w="70" w:type="dxa"/>
        </w:tblCellMar>
        <w:tblLook w:val="04A0" w:firstRow="1" w:lastRow="0" w:firstColumn="1" w:lastColumn="0" w:noHBand="0" w:noVBand="1"/>
      </w:tblPr>
      <w:tblGrid>
        <w:gridCol w:w="2602"/>
        <w:gridCol w:w="1793"/>
        <w:gridCol w:w="1706"/>
        <w:gridCol w:w="1520"/>
        <w:gridCol w:w="1520"/>
        <w:gridCol w:w="1414"/>
      </w:tblGrid>
      <w:tr w:rsidR="0004598E" w:rsidRPr="00094641" w14:paraId="0E26CE8A" w14:textId="77777777" w:rsidTr="0004598E">
        <w:trPr>
          <w:trHeight w:val="269"/>
        </w:trPr>
        <w:tc>
          <w:tcPr>
            <w:tcW w:w="10555" w:type="dxa"/>
            <w:gridSpan w:val="6"/>
            <w:vMerge w:val="restart"/>
            <w:tcBorders>
              <w:top w:val="nil"/>
              <w:left w:val="single" w:sz="12" w:space="0" w:color="FFFFFF"/>
              <w:bottom w:val="nil"/>
              <w:right w:val="nil"/>
            </w:tcBorders>
            <w:shd w:val="clear" w:color="000000" w:fill="8DB3E2"/>
            <w:vAlign w:val="center"/>
            <w:hideMark/>
          </w:tcPr>
          <w:p w14:paraId="00E54310" w14:textId="77777777" w:rsidR="0004598E" w:rsidRPr="00094641" w:rsidRDefault="0004598E" w:rsidP="00222450">
            <w:pPr>
              <w:spacing w:after="0" w:line="240" w:lineRule="auto"/>
              <w:jc w:val="center"/>
              <w:rPr>
                <w:b/>
                <w:sz w:val="20"/>
                <w:szCs w:val="20"/>
              </w:rPr>
            </w:pPr>
            <w:r w:rsidRPr="00094641">
              <w:rPr>
                <w:b/>
                <w:sz w:val="20"/>
                <w:szCs w:val="20"/>
              </w:rPr>
              <w:t xml:space="preserve">PREHĽAD O POHĽADÁVKACH  </w:t>
            </w:r>
          </w:p>
          <w:p w14:paraId="764A5FE0" w14:textId="77777777" w:rsidR="0004598E" w:rsidRPr="00094641" w:rsidRDefault="0004598E" w:rsidP="00222450">
            <w:pPr>
              <w:spacing w:after="0" w:line="240" w:lineRule="auto"/>
              <w:jc w:val="center"/>
              <w:rPr>
                <w:b/>
                <w:sz w:val="20"/>
                <w:szCs w:val="20"/>
              </w:rPr>
            </w:pPr>
            <w:r w:rsidRPr="00094641">
              <w:rPr>
                <w:b/>
                <w:sz w:val="20"/>
                <w:szCs w:val="20"/>
              </w:rPr>
              <w:t>rozpočtových organizácií v zriaďovateľskej  pôsobnosti BSK  - školské zariadenia  v EUR</w:t>
            </w:r>
          </w:p>
          <w:p w14:paraId="1E4D14E1" w14:textId="77777777" w:rsidR="0004598E" w:rsidRPr="00094641" w:rsidRDefault="0004598E" w:rsidP="00222450">
            <w:pPr>
              <w:spacing w:after="0" w:line="240" w:lineRule="auto"/>
              <w:jc w:val="center"/>
              <w:rPr>
                <w:rFonts w:cs="Calibri"/>
                <w:b/>
                <w:bCs/>
                <w:sz w:val="20"/>
                <w:szCs w:val="20"/>
                <w:lang w:eastAsia="sk-SK"/>
              </w:rPr>
            </w:pPr>
          </w:p>
        </w:tc>
      </w:tr>
      <w:tr w:rsidR="0004598E" w:rsidRPr="00094641" w14:paraId="5D91A05A" w14:textId="77777777" w:rsidTr="0004598E">
        <w:trPr>
          <w:trHeight w:val="269"/>
        </w:trPr>
        <w:tc>
          <w:tcPr>
            <w:tcW w:w="10555" w:type="dxa"/>
            <w:gridSpan w:val="6"/>
            <w:vMerge/>
            <w:tcBorders>
              <w:top w:val="nil"/>
              <w:left w:val="single" w:sz="12" w:space="0" w:color="FFFFFF"/>
              <w:bottom w:val="nil"/>
              <w:right w:val="nil"/>
            </w:tcBorders>
            <w:vAlign w:val="center"/>
            <w:hideMark/>
          </w:tcPr>
          <w:p w14:paraId="01CE2C99" w14:textId="77777777" w:rsidR="0004598E" w:rsidRPr="00094641" w:rsidRDefault="0004598E" w:rsidP="00222450">
            <w:pPr>
              <w:spacing w:after="0" w:line="240" w:lineRule="auto"/>
              <w:rPr>
                <w:rFonts w:cs="Calibri"/>
                <w:b/>
                <w:bCs/>
                <w:sz w:val="20"/>
                <w:szCs w:val="20"/>
                <w:lang w:eastAsia="sk-SK"/>
              </w:rPr>
            </w:pPr>
          </w:p>
        </w:tc>
      </w:tr>
      <w:tr w:rsidR="0004598E" w:rsidRPr="00094641" w14:paraId="3B683AD8" w14:textId="77777777" w:rsidTr="0004598E">
        <w:trPr>
          <w:trHeight w:val="269"/>
        </w:trPr>
        <w:tc>
          <w:tcPr>
            <w:tcW w:w="10555" w:type="dxa"/>
            <w:gridSpan w:val="6"/>
            <w:vMerge/>
            <w:tcBorders>
              <w:top w:val="nil"/>
              <w:left w:val="single" w:sz="12" w:space="0" w:color="FFFFFF"/>
              <w:bottom w:val="nil"/>
              <w:right w:val="nil"/>
            </w:tcBorders>
            <w:vAlign w:val="center"/>
            <w:hideMark/>
          </w:tcPr>
          <w:p w14:paraId="36C1946F" w14:textId="77777777" w:rsidR="0004598E" w:rsidRPr="00094641" w:rsidRDefault="0004598E" w:rsidP="00222450">
            <w:pPr>
              <w:spacing w:after="0" w:line="240" w:lineRule="auto"/>
              <w:rPr>
                <w:rFonts w:cs="Calibri"/>
                <w:b/>
                <w:bCs/>
                <w:sz w:val="20"/>
                <w:szCs w:val="20"/>
                <w:lang w:eastAsia="sk-SK"/>
              </w:rPr>
            </w:pPr>
          </w:p>
        </w:tc>
      </w:tr>
      <w:tr w:rsidR="0004598E" w:rsidRPr="00094641" w14:paraId="62F1714F" w14:textId="77777777" w:rsidTr="0004598E">
        <w:trPr>
          <w:trHeight w:val="472"/>
        </w:trPr>
        <w:tc>
          <w:tcPr>
            <w:tcW w:w="2602" w:type="dxa"/>
            <w:tcBorders>
              <w:top w:val="nil"/>
              <w:left w:val="single" w:sz="12" w:space="0" w:color="FFFFFF"/>
              <w:bottom w:val="single" w:sz="12" w:space="0" w:color="FFFFFF"/>
              <w:right w:val="single" w:sz="12" w:space="0" w:color="FFFFFF"/>
            </w:tcBorders>
            <w:shd w:val="clear" w:color="000000" w:fill="808080"/>
            <w:vAlign w:val="center"/>
            <w:hideMark/>
          </w:tcPr>
          <w:p w14:paraId="28A6461D" w14:textId="77777777" w:rsidR="0004598E" w:rsidRPr="00094641" w:rsidRDefault="0004598E" w:rsidP="00222450">
            <w:pPr>
              <w:spacing w:after="0" w:line="240" w:lineRule="auto"/>
              <w:rPr>
                <w:rFonts w:cs="Calibri"/>
                <w:b/>
                <w:bCs/>
                <w:color w:val="FFFFFF" w:themeColor="background1"/>
                <w:sz w:val="20"/>
                <w:szCs w:val="20"/>
                <w:lang w:eastAsia="sk-SK"/>
              </w:rPr>
            </w:pPr>
            <w:r w:rsidRPr="00094641">
              <w:rPr>
                <w:rFonts w:cs="Calibri"/>
                <w:b/>
                <w:bCs/>
                <w:color w:val="FFFFFF" w:themeColor="background1"/>
                <w:sz w:val="20"/>
                <w:szCs w:val="20"/>
                <w:lang w:eastAsia="sk-SK"/>
              </w:rPr>
              <w:t>Druh pohľadávky</w:t>
            </w:r>
          </w:p>
        </w:tc>
        <w:tc>
          <w:tcPr>
            <w:tcW w:w="1793" w:type="dxa"/>
            <w:tcBorders>
              <w:top w:val="nil"/>
              <w:left w:val="nil"/>
              <w:bottom w:val="single" w:sz="12" w:space="0" w:color="FFFFFF"/>
              <w:right w:val="single" w:sz="12" w:space="0" w:color="FFFFFF"/>
            </w:tcBorders>
            <w:shd w:val="clear" w:color="000000" w:fill="808080"/>
            <w:noWrap/>
            <w:vAlign w:val="center"/>
            <w:hideMark/>
          </w:tcPr>
          <w:p w14:paraId="0DDC919E" w14:textId="77777777" w:rsidR="0004598E" w:rsidRPr="00094641" w:rsidRDefault="0004598E" w:rsidP="00222450">
            <w:pPr>
              <w:spacing w:after="0" w:line="240" w:lineRule="auto"/>
              <w:jc w:val="center"/>
              <w:rPr>
                <w:rFonts w:cs="Calibri"/>
                <w:b/>
                <w:bCs/>
                <w:color w:val="FFFFFF" w:themeColor="background1"/>
                <w:sz w:val="20"/>
                <w:szCs w:val="20"/>
                <w:lang w:eastAsia="sk-SK"/>
              </w:rPr>
            </w:pPr>
            <w:r w:rsidRPr="00094641">
              <w:rPr>
                <w:rFonts w:cs="Calibri"/>
                <w:b/>
                <w:bCs/>
                <w:color w:val="FFFFFF" w:themeColor="background1"/>
                <w:sz w:val="20"/>
                <w:szCs w:val="20"/>
                <w:lang w:eastAsia="sk-SK"/>
              </w:rPr>
              <w:t>Brutto k 31.12.20</w:t>
            </w:r>
            <w:r>
              <w:rPr>
                <w:rFonts w:cs="Calibri"/>
                <w:b/>
                <w:bCs/>
                <w:color w:val="FFFFFF" w:themeColor="background1"/>
                <w:sz w:val="20"/>
                <w:szCs w:val="20"/>
                <w:lang w:eastAsia="sk-SK"/>
              </w:rPr>
              <w:t>20</w:t>
            </w:r>
          </w:p>
        </w:tc>
        <w:tc>
          <w:tcPr>
            <w:tcW w:w="1706" w:type="dxa"/>
            <w:tcBorders>
              <w:top w:val="nil"/>
              <w:left w:val="nil"/>
              <w:bottom w:val="single" w:sz="12" w:space="0" w:color="FFFFFF"/>
              <w:right w:val="single" w:sz="12" w:space="0" w:color="FFFFFF"/>
            </w:tcBorders>
            <w:shd w:val="clear" w:color="000000" w:fill="808080"/>
            <w:noWrap/>
            <w:vAlign w:val="center"/>
            <w:hideMark/>
          </w:tcPr>
          <w:p w14:paraId="61CB0E06" w14:textId="77777777" w:rsidR="0004598E" w:rsidRPr="00094641" w:rsidRDefault="0004598E" w:rsidP="00222450">
            <w:pPr>
              <w:spacing w:after="0" w:line="240" w:lineRule="auto"/>
              <w:jc w:val="center"/>
              <w:rPr>
                <w:rFonts w:cs="Calibri"/>
                <w:b/>
                <w:bCs/>
                <w:color w:val="FFFFFF" w:themeColor="background1"/>
                <w:sz w:val="20"/>
                <w:szCs w:val="20"/>
                <w:lang w:eastAsia="sk-SK"/>
              </w:rPr>
            </w:pPr>
            <w:r w:rsidRPr="00094641">
              <w:rPr>
                <w:rFonts w:cs="Calibri"/>
                <w:b/>
                <w:bCs/>
                <w:color w:val="FFFFFF" w:themeColor="background1"/>
                <w:sz w:val="20"/>
                <w:szCs w:val="20"/>
                <w:lang w:eastAsia="sk-SK"/>
              </w:rPr>
              <w:t>Korekcia k 31.12.20</w:t>
            </w:r>
            <w:r>
              <w:rPr>
                <w:rFonts w:cs="Calibri"/>
                <w:b/>
                <w:bCs/>
                <w:color w:val="FFFFFF" w:themeColor="background1"/>
                <w:sz w:val="20"/>
                <w:szCs w:val="20"/>
                <w:lang w:eastAsia="sk-SK"/>
              </w:rPr>
              <w:t>20</w:t>
            </w:r>
          </w:p>
        </w:tc>
        <w:tc>
          <w:tcPr>
            <w:tcW w:w="1520" w:type="dxa"/>
            <w:tcBorders>
              <w:top w:val="nil"/>
              <w:left w:val="nil"/>
              <w:bottom w:val="single" w:sz="12" w:space="0" w:color="FFFFFF"/>
              <w:right w:val="single" w:sz="12" w:space="0" w:color="FFFFFF"/>
            </w:tcBorders>
            <w:shd w:val="clear" w:color="000000" w:fill="808080"/>
            <w:noWrap/>
            <w:vAlign w:val="center"/>
            <w:hideMark/>
          </w:tcPr>
          <w:p w14:paraId="45E5DBCA" w14:textId="77777777" w:rsidR="0004598E" w:rsidRPr="00094641" w:rsidRDefault="0004598E" w:rsidP="00222450">
            <w:pPr>
              <w:spacing w:after="0" w:line="240" w:lineRule="auto"/>
              <w:jc w:val="center"/>
              <w:rPr>
                <w:rFonts w:cs="Calibri"/>
                <w:b/>
                <w:bCs/>
                <w:color w:val="FFFFFF" w:themeColor="background1"/>
                <w:sz w:val="20"/>
                <w:szCs w:val="20"/>
                <w:lang w:eastAsia="sk-SK"/>
              </w:rPr>
            </w:pPr>
            <w:r w:rsidRPr="00094641">
              <w:rPr>
                <w:rFonts w:cs="Calibri"/>
                <w:b/>
                <w:bCs/>
                <w:color w:val="FFFFFF" w:themeColor="background1"/>
                <w:sz w:val="20"/>
                <w:szCs w:val="20"/>
                <w:lang w:eastAsia="sk-SK"/>
              </w:rPr>
              <w:t>Netto k 31.12.20</w:t>
            </w:r>
            <w:r>
              <w:rPr>
                <w:rFonts w:cs="Calibri"/>
                <w:b/>
                <w:bCs/>
                <w:color w:val="FFFFFF" w:themeColor="background1"/>
                <w:sz w:val="20"/>
                <w:szCs w:val="20"/>
                <w:lang w:eastAsia="sk-SK"/>
              </w:rPr>
              <w:t>20</w:t>
            </w:r>
          </w:p>
        </w:tc>
        <w:tc>
          <w:tcPr>
            <w:tcW w:w="1520" w:type="dxa"/>
            <w:tcBorders>
              <w:top w:val="nil"/>
              <w:left w:val="nil"/>
              <w:bottom w:val="single" w:sz="12" w:space="0" w:color="FFFFFF"/>
              <w:right w:val="single" w:sz="12" w:space="0" w:color="FFFFFF"/>
            </w:tcBorders>
            <w:shd w:val="clear" w:color="000000" w:fill="808080"/>
            <w:noWrap/>
            <w:vAlign w:val="center"/>
            <w:hideMark/>
          </w:tcPr>
          <w:p w14:paraId="1E2DA588" w14:textId="77777777" w:rsidR="0004598E" w:rsidRPr="00094641" w:rsidRDefault="0004598E" w:rsidP="00222450">
            <w:pPr>
              <w:spacing w:after="0" w:line="240" w:lineRule="auto"/>
              <w:jc w:val="center"/>
              <w:rPr>
                <w:rFonts w:cs="Calibri"/>
                <w:b/>
                <w:bCs/>
                <w:color w:val="FFFFFF" w:themeColor="background1"/>
                <w:sz w:val="20"/>
                <w:szCs w:val="20"/>
                <w:lang w:eastAsia="sk-SK"/>
              </w:rPr>
            </w:pPr>
            <w:r w:rsidRPr="00094641">
              <w:rPr>
                <w:rFonts w:cs="Calibri"/>
                <w:b/>
                <w:bCs/>
                <w:color w:val="FFFFFF" w:themeColor="background1"/>
                <w:sz w:val="20"/>
                <w:szCs w:val="20"/>
                <w:lang w:eastAsia="sk-SK"/>
              </w:rPr>
              <w:t>Netto k 31.12.201</w:t>
            </w:r>
            <w:r>
              <w:rPr>
                <w:rFonts w:cs="Calibri"/>
                <w:b/>
                <w:bCs/>
                <w:color w:val="FFFFFF" w:themeColor="background1"/>
                <w:sz w:val="20"/>
                <w:szCs w:val="20"/>
                <w:lang w:eastAsia="sk-SK"/>
              </w:rPr>
              <w:t>9</w:t>
            </w:r>
          </w:p>
        </w:tc>
        <w:tc>
          <w:tcPr>
            <w:tcW w:w="1412" w:type="dxa"/>
            <w:tcBorders>
              <w:top w:val="nil"/>
              <w:left w:val="nil"/>
              <w:bottom w:val="single" w:sz="12" w:space="0" w:color="FFFFFF"/>
              <w:right w:val="single" w:sz="12" w:space="0" w:color="FFFFFF"/>
            </w:tcBorders>
            <w:shd w:val="clear" w:color="000000" w:fill="808080"/>
            <w:vAlign w:val="center"/>
            <w:hideMark/>
          </w:tcPr>
          <w:p w14:paraId="58342161" w14:textId="77777777" w:rsidR="0004598E" w:rsidRPr="00094641" w:rsidRDefault="0004598E" w:rsidP="00222450">
            <w:pPr>
              <w:spacing w:after="0" w:line="240" w:lineRule="auto"/>
              <w:jc w:val="center"/>
              <w:rPr>
                <w:rFonts w:cs="Calibri"/>
                <w:b/>
                <w:bCs/>
                <w:color w:val="FFFFFF" w:themeColor="background1"/>
                <w:sz w:val="20"/>
                <w:szCs w:val="20"/>
                <w:lang w:eastAsia="sk-SK"/>
              </w:rPr>
            </w:pPr>
            <w:r w:rsidRPr="00094641">
              <w:rPr>
                <w:rFonts w:cs="Calibri"/>
                <w:b/>
                <w:bCs/>
                <w:color w:val="FFFFFF" w:themeColor="background1"/>
                <w:sz w:val="20"/>
                <w:szCs w:val="20"/>
                <w:lang w:eastAsia="sk-SK"/>
              </w:rPr>
              <w:t>Medziročná zmena</w:t>
            </w:r>
          </w:p>
        </w:tc>
      </w:tr>
      <w:tr w:rsidR="0004598E" w:rsidRPr="00094641" w14:paraId="10BF0141" w14:textId="77777777" w:rsidTr="0004598E">
        <w:trPr>
          <w:trHeight w:hRule="exact" w:val="306"/>
        </w:trPr>
        <w:tc>
          <w:tcPr>
            <w:tcW w:w="2602" w:type="dxa"/>
            <w:tcBorders>
              <w:top w:val="nil"/>
              <w:left w:val="single" w:sz="12" w:space="0" w:color="FFFFFF"/>
              <w:bottom w:val="single" w:sz="12" w:space="0" w:color="FFFFFF"/>
              <w:right w:val="single" w:sz="12" w:space="0" w:color="FFFFFF"/>
            </w:tcBorders>
            <w:shd w:val="clear" w:color="000000" w:fill="D9D9D9"/>
            <w:vAlign w:val="center"/>
            <w:hideMark/>
          </w:tcPr>
          <w:p w14:paraId="6394D331"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 xml:space="preserve">Dlhodobé pohľadávky </w:t>
            </w:r>
          </w:p>
        </w:tc>
        <w:tc>
          <w:tcPr>
            <w:tcW w:w="1793" w:type="dxa"/>
            <w:tcBorders>
              <w:top w:val="nil"/>
              <w:left w:val="nil"/>
              <w:bottom w:val="single" w:sz="12" w:space="0" w:color="FFFFFF"/>
              <w:right w:val="single" w:sz="12" w:space="0" w:color="FFFFFF"/>
            </w:tcBorders>
            <w:shd w:val="clear" w:color="000000" w:fill="D9D9D9"/>
            <w:noWrap/>
          </w:tcPr>
          <w:p w14:paraId="5F76E36E"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c>
          <w:tcPr>
            <w:tcW w:w="1706" w:type="dxa"/>
            <w:tcBorders>
              <w:top w:val="nil"/>
              <w:left w:val="nil"/>
              <w:bottom w:val="single" w:sz="12" w:space="0" w:color="FFFFFF"/>
              <w:right w:val="single" w:sz="12" w:space="0" w:color="FFFFFF"/>
            </w:tcBorders>
            <w:shd w:val="clear" w:color="000000" w:fill="D9D9D9"/>
            <w:noWrap/>
          </w:tcPr>
          <w:p w14:paraId="6EFFCAA0"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c>
          <w:tcPr>
            <w:tcW w:w="1520" w:type="dxa"/>
            <w:tcBorders>
              <w:top w:val="nil"/>
              <w:left w:val="nil"/>
              <w:bottom w:val="single" w:sz="12" w:space="0" w:color="FFFFFF"/>
              <w:right w:val="single" w:sz="12" w:space="0" w:color="FFFFFF"/>
            </w:tcBorders>
            <w:shd w:val="clear" w:color="000000" w:fill="D9D9D9"/>
            <w:noWrap/>
          </w:tcPr>
          <w:p w14:paraId="660D49E5"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c>
          <w:tcPr>
            <w:tcW w:w="1520" w:type="dxa"/>
            <w:tcBorders>
              <w:top w:val="nil"/>
              <w:left w:val="nil"/>
              <w:bottom w:val="single" w:sz="12" w:space="0" w:color="FFFFFF"/>
              <w:right w:val="single" w:sz="12" w:space="0" w:color="FFFFFF"/>
            </w:tcBorders>
            <w:shd w:val="clear" w:color="000000" w:fill="D9D9D9"/>
            <w:noWrap/>
          </w:tcPr>
          <w:p w14:paraId="26D8B414"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412" w:type="dxa"/>
            <w:tcBorders>
              <w:top w:val="nil"/>
              <w:left w:val="nil"/>
              <w:bottom w:val="single" w:sz="12" w:space="0" w:color="FFFFFF"/>
              <w:right w:val="single" w:sz="12" w:space="0" w:color="FFFFFF"/>
            </w:tcBorders>
            <w:shd w:val="clear" w:color="000000" w:fill="D9D9D9"/>
            <w:noWrap/>
          </w:tcPr>
          <w:p w14:paraId="62812D98"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r>
      <w:tr w:rsidR="0004598E" w:rsidRPr="00094641" w14:paraId="3D262A41" w14:textId="77777777" w:rsidTr="0004598E">
        <w:trPr>
          <w:trHeight w:hRule="exact" w:val="306"/>
        </w:trPr>
        <w:tc>
          <w:tcPr>
            <w:tcW w:w="2602" w:type="dxa"/>
            <w:tcBorders>
              <w:top w:val="nil"/>
              <w:left w:val="single" w:sz="12" w:space="0" w:color="FFFFFF"/>
              <w:bottom w:val="single" w:sz="12" w:space="0" w:color="FFFFFF"/>
              <w:right w:val="single" w:sz="12" w:space="0" w:color="FFFFFF"/>
            </w:tcBorders>
            <w:shd w:val="clear" w:color="000000" w:fill="D9D9D9"/>
            <w:vAlign w:val="center"/>
            <w:hideMark/>
          </w:tcPr>
          <w:p w14:paraId="0A9FD6B6"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 xml:space="preserve">Krátkodobé pohľadávky </w:t>
            </w:r>
          </w:p>
        </w:tc>
        <w:tc>
          <w:tcPr>
            <w:tcW w:w="1793" w:type="dxa"/>
            <w:tcBorders>
              <w:top w:val="nil"/>
              <w:left w:val="nil"/>
              <w:bottom w:val="single" w:sz="12" w:space="0" w:color="FFFFFF"/>
              <w:right w:val="single" w:sz="12" w:space="0" w:color="FFFFFF"/>
            </w:tcBorders>
            <w:shd w:val="clear" w:color="000000" w:fill="D9D9D9"/>
            <w:noWrap/>
          </w:tcPr>
          <w:p w14:paraId="30FCAB28"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376 991,74</w:t>
            </w:r>
          </w:p>
        </w:tc>
        <w:tc>
          <w:tcPr>
            <w:tcW w:w="1706" w:type="dxa"/>
            <w:tcBorders>
              <w:top w:val="nil"/>
              <w:left w:val="nil"/>
              <w:bottom w:val="single" w:sz="12" w:space="0" w:color="FFFFFF"/>
              <w:right w:val="single" w:sz="12" w:space="0" w:color="FFFFFF"/>
            </w:tcBorders>
            <w:shd w:val="clear" w:color="000000" w:fill="D9D9D9"/>
            <w:noWrap/>
          </w:tcPr>
          <w:p w14:paraId="683EE95B"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150 773,92</w:t>
            </w:r>
          </w:p>
        </w:tc>
        <w:tc>
          <w:tcPr>
            <w:tcW w:w="1520" w:type="dxa"/>
            <w:tcBorders>
              <w:top w:val="nil"/>
              <w:left w:val="nil"/>
              <w:bottom w:val="single" w:sz="12" w:space="0" w:color="FFFFFF"/>
              <w:right w:val="single" w:sz="12" w:space="0" w:color="FFFFFF"/>
            </w:tcBorders>
            <w:shd w:val="clear" w:color="000000" w:fill="D9D9D9"/>
            <w:noWrap/>
          </w:tcPr>
          <w:p w14:paraId="508B415E"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226 217,82</w:t>
            </w:r>
          </w:p>
        </w:tc>
        <w:tc>
          <w:tcPr>
            <w:tcW w:w="1520" w:type="dxa"/>
            <w:tcBorders>
              <w:top w:val="nil"/>
              <w:left w:val="nil"/>
              <w:bottom w:val="single" w:sz="12" w:space="0" w:color="FFFFFF"/>
              <w:right w:val="single" w:sz="12" w:space="0" w:color="FFFFFF"/>
            </w:tcBorders>
            <w:shd w:val="clear" w:color="000000" w:fill="D9D9D9"/>
            <w:noWrap/>
          </w:tcPr>
          <w:p w14:paraId="09578FEA"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244 266,45</w:t>
            </w:r>
          </w:p>
        </w:tc>
        <w:tc>
          <w:tcPr>
            <w:tcW w:w="1412" w:type="dxa"/>
            <w:tcBorders>
              <w:top w:val="nil"/>
              <w:left w:val="nil"/>
              <w:bottom w:val="single" w:sz="12" w:space="0" w:color="FFFFFF"/>
              <w:right w:val="single" w:sz="12" w:space="0" w:color="FFFFFF"/>
            </w:tcBorders>
            <w:shd w:val="clear" w:color="000000" w:fill="D9D9D9"/>
            <w:noWrap/>
          </w:tcPr>
          <w:p w14:paraId="7F38B289"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-18 048,63</w:t>
            </w:r>
          </w:p>
        </w:tc>
      </w:tr>
      <w:tr w:rsidR="0004598E" w:rsidRPr="00094641" w14:paraId="5EF1397D" w14:textId="77777777" w:rsidTr="0004598E">
        <w:trPr>
          <w:trHeight w:hRule="exact" w:val="306"/>
        </w:trPr>
        <w:tc>
          <w:tcPr>
            <w:tcW w:w="2602" w:type="dxa"/>
            <w:tcBorders>
              <w:top w:val="nil"/>
              <w:left w:val="single" w:sz="12" w:space="0" w:color="FFFFFF"/>
              <w:bottom w:val="single" w:sz="12" w:space="0" w:color="FFFFFF"/>
              <w:right w:val="single" w:sz="12" w:space="0" w:color="FFFFFF"/>
            </w:tcBorders>
            <w:shd w:val="clear" w:color="000000" w:fill="8DB3E2"/>
            <w:vAlign w:val="center"/>
            <w:hideMark/>
          </w:tcPr>
          <w:p w14:paraId="7C2FDC72"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Pohľadávky celkom</w:t>
            </w:r>
          </w:p>
        </w:tc>
        <w:tc>
          <w:tcPr>
            <w:tcW w:w="1793" w:type="dxa"/>
            <w:tcBorders>
              <w:top w:val="nil"/>
              <w:left w:val="nil"/>
              <w:bottom w:val="single" w:sz="12" w:space="0" w:color="FFFFFF"/>
              <w:right w:val="single" w:sz="12" w:space="0" w:color="FFFFFF"/>
            </w:tcBorders>
            <w:shd w:val="clear" w:color="000000" w:fill="8DB3E2"/>
            <w:noWrap/>
          </w:tcPr>
          <w:p w14:paraId="532903A3"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376 991,74</w:t>
            </w:r>
          </w:p>
        </w:tc>
        <w:tc>
          <w:tcPr>
            <w:tcW w:w="1706" w:type="dxa"/>
            <w:tcBorders>
              <w:top w:val="nil"/>
              <w:left w:val="nil"/>
              <w:bottom w:val="single" w:sz="12" w:space="0" w:color="FFFFFF"/>
              <w:right w:val="single" w:sz="12" w:space="0" w:color="FFFFFF"/>
            </w:tcBorders>
            <w:shd w:val="clear" w:color="000000" w:fill="8DB3E2"/>
            <w:noWrap/>
          </w:tcPr>
          <w:p w14:paraId="677D78BA"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150 773,92</w:t>
            </w:r>
          </w:p>
        </w:tc>
        <w:tc>
          <w:tcPr>
            <w:tcW w:w="1520" w:type="dxa"/>
            <w:tcBorders>
              <w:top w:val="nil"/>
              <w:left w:val="nil"/>
              <w:bottom w:val="single" w:sz="12" w:space="0" w:color="FFFFFF"/>
              <w:right w:val="single" w:sz="12" w:space="0" w:color="FFFFFF"/>
            </w:tcBorders>
            <w:shd w:val="clear" w:color="000000" w:fill="8DB3E2"/>
            <w:noWrap/>
          </w:tcPr>
          <w:p w14:paraId="538D62B8"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226 217,82</w:t>
            </w:r>
          </w:p>
        </w:tc>
        <w:tc>
          <w:tcPr>
            <w:tcW w:w="1520" w:type="dxa"/>
            <w:tcBorders>
              <w:top w:val="nil"/>
              <w:left w:val="nil"/>
              <w:bottom w:val="single" w:sz="12" w:space="0" w:color="FFFFFF"/>
              <w:right w:val="single" w:sz="12" w:space="0" w:color="FFFFFF"/>
            </w:tcBorders>
            <w:shd w:val="clear" w:color="000000" w:fill="8DB3E2"/>
            <w:noWrap/>
          </w:tcPr>
          <w:p w14:paraId="7210FCF0"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244 266,45</w:t>
            </w:r>
          </w:p>
        </w:tc>
        <w:tc>
          <w:tcPr>
            <w:tcW w:w="1412" w:type="dxa"/>
            <w:tcBorders>
              <w:top w:val="nil"/>
              <w:left w:val="nil"/>
              <w:bottom w:val="single" w:sz="12" w:space="0" w:color="FFFFFF"/>
              <w:right w:val="single" w:sz="12" w:space="0" w:color="FFFFFF"/>
            </w:tcBorders>
            <w:shd w:val="clear" w:color="000000" w:fill="8DB3E2"/>
            <w:noWrap/>
          </w:tcPr>
          <w:p w14:paraId="10C48A10"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-18 048,63</w:t>
            </w:r>
          </w:p>
        </w:tc>
      </w:tr>
    </w:tbl>
    <w:p w14:paraId="142D2664" w14:textId="770CD3F7" w:rsidR="0004598E" w:rsidRPr="00737516" w:rsidRDefault="0004598E" w:rsidP="00737516">
      <w:pPr>
        <w:spacing w:before="100" w:beforeAutospacing="1" w:after="100" w:afterAutospacing="1" w:line="240" w:lineRule="auto"/>
        <w:jc w:val="both"/>
        <w:rPr>
          <w:sz w:val="24"/>
          <w:szCs w:val="24"/>
          <w:lang w:eastAsia="sk-SK"/>
        </w:rPr>
      </w:pPr>
      <w:r w:rsidRPr="00AA44BC">
        <w:rPr>
          <w:b/>
          <w:sz w:val="24"/>
          <w:szCs w:val="24"/>
          <w:u w:val="single"/>
          <w:lang w:eastAsia="sk-SK"/>
        </w:rPr>
        <w:t>Sociálne zariadenia v zriaďovateľskej</w:t>
      </w:r>
      <w:r w:rsidRPr="00094641">
        <w:rPr>
          <w:b/>
          <w:sz w:val="24"/>
          <w:szCs w:val="24"/>
          <w:u w:val="single"/>
          <w:lang w:eastAsia="sk-SK"/>
        </w:rPr>
        <w:t xml:space="preserve"> pôsobnosti BSK</w:t>
      </w:r>
      <w:r w:rsidRPr="00094641">
        <w:rPr>
          <w:sz w:val="24"/>
          <w:szCs w:val="24"/>
          <w:lang w:eastAsia="sk-SK"/>
        </w:rPr>
        <w:t>, ktoré zabezpečujú sociálnu starostlivosť vykazujú pohľadávky k 31.12.20</w:t>
      </w:r>
      <w:r>
        <w:rPr>
          <w:sz w:val="24"/>
          <w:szCs w:val="24"/>
          <w:lang w:eastAsia="sk-SK"/>
        </w:rPr>
        <w:t xml:space="preserve">20 </w:t>
      </w:r>
      <w:r w:rsidRPr="00094641">
        <w:rPr>
          <w:sz w:val="24"/>
          <w:szCs w:val="24"/>
          <w:lang w:eastAsia="sk-SK"/>
        </w:rPr>
        <w:t xml:space="preserve">v celkovej hodnote </w:t>
      </w:r>
      <w:r>
        <w:rPr>
          <w:b/>
          <w:bCs/>
          <w:sz w:val="24"/>
          <w:szCs w:val="24"/>
          <w:lang w:eastAsia="sk-SK"/>
        </w:rPr>
        <w:t xml:space="preserve">1 109 753,68 </w:t>
      </w:r>
      <w:r w:rsidRPr="00094641">
        <w:rPr>
          <w:b/>
          <w:sz w:val="24"/>
          <w:szCs w:val="24"/>
          <w:lang w:eastAsia="sk-SK"/>
        </w:rPr>
        <w:t>EUR.</w:t>
      </w:r>
    </w:p>
    <w:tbl>
      <w:tblPr>
        <w:tblW w:w="9836" w:type="dxa"/>
        <w:tblInd w:w="55" w:type="dxa"/>
        <w:tblCellMar>
          <w:left w:w="70" w:type="dxa"/>
          <w:right w:w="70" w:type="dxa"/>
        </w:tblCellMar>
        <w:tblLook w:val="04A0" w:firstRow="1" w:lastRow="0" w:firstColumn="1" w:lastColumn="0" w:noHBand="0" w:noVBand="1"/>
      </w:tblPr>
      <w:tblGrid>
        <w:gridCol w:w="2567"/>
        <w:gridCol w:w="1671"/>
        <w:gridCol w:w="1448"/>
        <w:gridCol w:w="1417"/>
        <w:gridCol w:w="1613"/>
        <w:gridCol w:w="1120"/>
      </w:tblGrid>
      <w:tr w:rsidR="0004598E" w:rsidRPr="00094641" w14:paraId="2D0DEEC4" w14:textId="77777777" w:rsidTr="00222450">
        <w:trPr>
          <w:trHeight w:val="269"/>
        </w:trPr>
        <w:tc>
          <w:tcPr>
            <w:tcW w:w="9836" w:type="dxa"/>
            <w:gridSpan w:val="6"/>
            <w:vMerge w:val="restart"/>
            <w:tcBorders>
              <w:top w:val="nil"/>
              <w:left w:val="single" w:sz="12" w:space="0" w:color="FFFFFF"/>
              <w:bottom w:val="nil"/>
              <w:right w:val="nil"/>
            </w:tcBorders>
            <w:shd w:val="clear" w:color="000000" w:fill="8DB3E2"/>
            <w:vAlign w:val="center"/>
            <w:hideMark/>
          </w:tcPr>
          <w:p w14:paraId="2E0BAF2E" w14:textId="77777777" w:rsidR="0004598E" w:rsidRPr="00094641" w:rsidRDefault="0004598E" w:rsidP="00222450">
            <w:pPr>
              <w:spacing w:after="0" w:line="240" w:lineRule="auto"/>
              <w:jc w:val="center"/>
              <w:rPr>
                <w:rFonts w:asciiTheme="minorHAnsi" w:hAnsiTheme="minorHAnsi" w:cstheme="minorHAnsi"/>
                <w:b/>
                <w:sz w:val="20"/>
                <w:szCs w:val="20"/>
              </w:rPr>
            </w:pPr>
            <w:r w:rsidRPr="00094641">
              <w:rPr>
                <w:rFonts w:asciiTheme="minorHAnsi" w:hAnsiTheme="minorHAnsi" w:cstheme="minorHAnsi"/>
                <w:b/>
                <w:sz w:val="20"/>
                <w:szCs w:val="20"/>
              </w:rPr>
              <w:t xml:space="preserve">PREHĽAD O POHĽADÁVKACH </w:t>
            </w:r>
          </w:p>
          <w:p w14:paraId="114C4B42" w14:textId="77777777" w:rsidR="0004598E" w:rsidRPr="00094641" w:rsidRDefault="0004598E" w:rsidP="00222450">
            <w:pPr>
              <w:spacing w:after="0" w:line="240" w:lineRule="auto"/>
              <w:jc w:val="center"/>
              <w:rPr>
                <w:rFonts w:asciiTheme="minorHAnsi" w:hAnsiTheme="minorHAnsi" w:cstheme="minorHAnsi"/>
                <w:b/>
                <w:sz w:val="20"/>
                <w:szCs w:val="20"/>
              </w:rPr>
            </w:pPr>
            <w:r w:rsidRPr="00094641">
              <w:rPr>
                <w:rFonts w:asciiTheme="minorHAnsi" w:hAnsiTheme="minorHAnsi" w:cstheme="minorHAnsi"/>
                <w:b/>
                <w:sz w:val="20"/>
                <w:szCs w:val="20"/>
              </w:rPr>
              <w:t>rozpočtových organizácií v zriaďovateľskej  pôsobnosti BSK  - sociálne zariadenia v EUR</w:t>
            </w:r>
          </w:p>
          <w:p w14:paraId="36EFEAC2" w14:textId="77777777" w:rsidR="0004598E" w:rsidRPr="00094641" w:rsidRDefault="0004598E" w:rsidP="00222450">
            <w:pPr>
              <w:spacing w:after="0" w:line="240" w:lineRule="auto"/>
              <w:jc w:val="center"/>
              <w:rPr>
                <w:rFonts w:asciiTheme="minorHAnsi" w:hAnsiTheme="minorHAnsi" w:cstheme="minorHAnsi"/>
                <w:b/>
                <w:bCs/>
                <w:sz w:val="20"/>
                <w:szCs w:val="20"/>
                <w:lang w:eastAsia="sk-SK"/>
              </w:rPr>
            </w:pPr>
          </w:p>
        </w:tc>
      </w:tr>
      <w:tr w:rsidR="0004598E" w:rsidRPr="00094641" w14:paraId="77CBF2D0" w14:textId="77777777" w:rsidTr="00222450">
        <w:trPr>
          <w:trHeight w:val="269"/>
        </w:trPr>
        <w:tc>
          <w:tcPr>
            <w:tcW w:w="9836" w:type="dxa"/>
            <w:gridSpan w:val="6"/>
            <w:vMerge/>
            <w:tcBorders>
              <w:top w:val="nil"/>
              <w:left w:val="single" w:sz="12" w:space="0" w:color="FFFFFF"/>
              <w:bottom w:val="nil"/>
              <w:right w:val="nil"/>
            </w:tcBorders>
            <w:vAlign w:val="center"/>
            <w:hideMark/>
          </w:tcPr>
          <w:p w14:paraId="0A8DAA53"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r>
      <w:tr w:rsidR="0004598E" w:rsidRPr="00094641" w14:paraId="35FB8231" w14:textId="77777777" w:rsidTr="00222450">
        <w:trPr>
          <w:trHeight w:val="269"/>
        </w:trPr>
        <w:tc>
          <w:tcPr>
            <w:tcW w:w="9836" w:type="dxa"/>
            <w:gridSpan w:val="6"/>
            <w:vMerge/>
            <w:tcBorders>
              <w:top w:val="nil"/>
              <w:left w:val="single" w:sz="12" w:space="0" w:color="FFFFFF"/>
              <w:bottom w:val="nil"/>
              <w:right w:val="nil"/>
            </w:tcBorders>
            <w:vAlign w:val="center"/>
            <w:hideMark/>
          </w:tcPr>
          <w:p w14:paraId="662F0C66" w14:textId="77777777" w:rsidR="0004598E" w:rsidRPr="00094641" w:rsidRDefault="0004598E" w:rsidP="00222450">
            <w:pPr>
              <w:spacing w:after="0" w:line="240" w:lineRule="auto"/>
              <w:rPr>
                <w:rFonts w:asciiTheme="minorHAnsi" w:hAnsiTheme="minorHAnsi" w:cstheme="minorHAnsi"/>
                <w:b/>
                <w:bCs/>
                <w:sz w:val="20"/>
                <w:szCs w:val="20"/>
                <w:lang w:eastAsia="sk-SK"/>
              </w:rPr>
            </w:pPr>
          </w:p>
        </w:tc>
      </w:tr>
      <w:tr w:rsidR="0004598E" w:rsidRPr="00094641" w14:paraId="69EBF9CE" w14:textId="77777777" w:rsidTr="00222450">
        <w:trPr>
          <w:trHeight w:val="525"/>
        </w:trPr>
        <w:tc>
          <w:tcPr>
            <w:tcW w:w="2567" w:type="dxa"/>
            <w:tcBorders>
              <w:top w:val="nil"/>
              <w:left w:val="single" w:sz="12" w:space="0" w:color="FFFFFF"/>
              <w:bottom w:val="single" w:sz="12" w:space="0" w:color="FFFFFF"/>
              <w:right w:val="single" w:sz="12" w:space="0" w:color="FFFFFF"/>
            </w:tcBorders>
            <w:shd w:val="clear" w:color="000000" w:fill="808080"/>
            <w:vAlign w:val="center"/>
            <w:hideMark/>
          </w:tcPr>
          <w:p w14:paraId="0CBE632D" w14:textId="77777777" w:rsidR="0004598E" w:rsidRPr="00094641" w:rsidRDefault="0004598E" w:rsidP="00222450">
            <w:pPr>
              <w:spacing w:after="0" w:line="240" w:lineRule="auto"/>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Druh pohľadávky</w:t>
            </w:r>
          </w:p>
        </w:tc>
        <w:tc>
          <w:tcPr>
            <w:tcW w:w="1671" w:type="dxa"/>
            <w:tcBorders>
              <w:top w:val="nil"/>
              <w:left w:val="nil"/>
              <w:bottom w:val="single" w:sz="12" w:space="0" w:color="FFFFFF"/>
              <w:right w:val="single" w:sz="12" w:space="0" w:color="FFFFFF"/>
            </w:tcBorders>
            <w:shd w:val="clear" w:color="000000" w:fill="808080"/>
            <w:noWrap/>
            <w:vAlign w:val="center"/>
            <w:hideMark/>
          </w:tcPr>
          <w:p w14:paraId="7EEF72DC"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Brutto k 31.12.20</w:t>
            </w:r>
            <w:r>
              <w:rPr>
                <w:rFonts w:asciiTheme="minorHAnsi" w:hAnsiTheme="minorHAnsi" w:cstheme="minorHAnsi"/>
                <w:b/>
                <w:bCs/>
                <w:color w:val="FFFFFF" w:themeColor="background1"/>
                <w:sz w:val="20"/>
                <w:szCs w:val="20"/>
                <w:lang w:eastAsia="sk-SK"/>
              </w:rPr>
              <w:t>20</w:t>
            </w:r>
          </w:p>
        </w:tc>
        <w:tc>
          <w:tcPr>
            <w:tcW w:w="1448" w:type="dxa"/>
            <w:tcBorders>
              <w:top w:val="nil"/>
              <w:left w:val="nil"/>
              <w:bottom w:val="single" w:sz="12" w:space="0" w:color="FFFFFF"/>
              <w:right w:val="single" w:sz="12" w:space="0" w:color="FFFFFF"/>
            </w:tcBorders>
            <w:shd w:val="clear" w:color="000000" w:fill="808080"/>
            <w:noWrap/>
            <w:vAlign w:val="center"/>
            <w:hideMark/>
          </w:tcPr>
          <w:p w14:paraId="431666FF"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Korekcia k 31.12.20</w:t>
            </w:r>
            <w:r>
              <w:rPr>
                <w:rFonts w:asciiTheme="minorHAnsi" w:hAnsiTheme="minorHAnsi" w:cstheme="minorHAnsi"/>
                <w:b/>
                <w:bCs/>
                <w:color w:val="FFFFFF" w:themeColor="background1"/>
                <w:sz w:val="20"/>
                <w:szCs w:val="20"/>
                <w:lang w:eastAsia="sk-SK"/>
              </w:rPr>
              <w:t>20</w:t>
            </w:r>
          </w:p>
        </w:tc>
        <w:tc>
          <w:tcPr>
            <w:tcW w:w="1417" w:type="dxa"/>
            <w:tcBorders>
              <w:top w:val="nil"/>
              <w:left w:val="nil"/>
              <w:bottom w:val="single" w:sz="12" w:space="0" w:color="FFFFFF"/>
              <w:right w:val="single" w:sz="12" w:space="0" w:color="FFFFFF"/>
            </w:tcBorders>
            <w:shd w:val="clear" w:color="000000" w:fill="808080"/>
            <w:noWrap/>
            <w:vAlign w:val="center"/>
            <w:hideMark/>
          </w:tcPr>
          <w:p w14:paraId="4D7A0EE4"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Netto k 31.12.20</w:t>
            </w:r>
            <w:r>
              <w:rPr>
                <w:rFonts w:asciiTheme="minorHAnsi" w:hAnsiTheme="minorHAnsi" w:cstheme="minorHAnsi"/>
                <w:b/>
                <w:bCs/>
                <w:color w:val="FFFFFF" w:themeColor="background1"/>
                <w:sz w:val="20"/>
                <w:szCs w:val="20"/>
                <w:lang w:eastAsia="sk-SK"/>
              </w:rPr>
              <w:t>20</w:t>
            </w:r>
          </w:p>
        </w:tc>
        <w:tc>
          <w:tcPr>
            <w:tcW w:w="1613" w:type="dxa"/>
            <w:tcBorders>
              <w:top w:val="nil"/>
              <w:left w:val="nil"/>
              <w:bottom w:val="single" w:sz="12" w:space="0" w:color="FFFFFF"/>
              <w:right w:val="single" w:sz="12" w:space="0" w:color="FFFFFF"/>
            </w:tcBorders>
            <w:shd w:val="clear" w:color="000000" w:fill="808080"/>
            <w:noWrap/>
            <w:vAlign w:val="center"/>
            <w:hideMark/>
          </w:tcPr>
          <w:p w14:paraId="5E9A1AE4"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Netto k 31.12.201</w:t>
            </w:r>
            <w:r>
              <w:rPr>
                <w:rFonts w:asciiTheme="minorHAnsi" w:hAnsiTheme="minorHAnsi" w:cstheme="minorHAnsi"/>
                <w:b/>
                <w:bCs/>
                <w:color w:val="FFFFFF" w:themeColor="background1"/>
                <w:sz w:val="20"/>
                <w:szCs w:val="20"/>
                <w:lang w:eastAsia="sk-SK"/>
              </w:rPr>
              <w:t>9</w:t>
            </w:r>
          </w:p>
        </w:tc>
        <w:tc>
          <w:tcPr>
            <w:tcW w:w="1120" w:type="dxa"/>
            <w:tcBorders>
              <w:top w:val="nil"/>
              <w:left w:val="nil"/>
              <w:bottom w:val="single" w:sz="12" w:space="0" w:color="FFFFFF"/>
              <w:right w:val="single" w:sz="12" w:space="0" w:color="FFFFFF"/>
            </w:tcBorders>
            <w:shd w:val="clear" w:color="000000" w:fill="808080"/>
            <w:vAlign w:val="center"/>
            <w:hideMark/>
          </w:tcPr>
          <w:p w14:paraId="59068367" w14:textId="77777777" w:rsidR="0004598E" w:rsidRPr="00094641" w:rsidRDefault="0004598E" w:rsidP="00222450">
            <w:pPr>
              <w:spacing w:after="0" w:line="240" w:lineRule="auto"/>
              <w:jc w:val="center"/>
              <w:rPr>
                <w:rFonts w:asciiTheme="minorHAnsi" w:hAnsiTheme="minorHAnsi" w:cstheme="minorHAnsi"/>
                <w:b/>
                <w:bCs/>
                <w:color w:val="FFFFFF" w:themeColor="background1"/>
                <w:sz w:val="20"/>
                <w:szCs w:val="20"/>
                <w:lang w:eastAsia="sk-SK"/>
              </w:rPr>
            </w:pPr>
            <w:r w:rsidRPr="00094641">
              <w:rPr>
                <w:rFonts w:asciiTheme="minorHAnsi" w:hAnsiTheme="minorHAnsi" w:cstheme="minorHAnsi"/>
                <w:b/>
                <w:bCs/>
                <w:color w:val="FFFFFF" w:themeColor="background1"/>
                <w:sz w:val="20"/>
                <w:szCs w:val="20"/>
                <w:lang w:eastAsia="sk-SK"/>
              </w:rPr>
              <w:t>Medziročná zmena</w:t>
            </w:r>
          </w:p>
        </w:tc>
      </w:tr>
      <w:tr w:rsidR="0004598E" w:rsidRPr="00094641" w14:paraId="06D1BFE6" w14:textId="77777777" w:rsidTr="00222450">
        <w:trPr>
          <w:trHeight w:hRule="exact" w:val="340"/>
        </w:trPr>
        <w:tc>
          <w:tcPr>
            <w:tcW w:w="2567" w:type="dxa"/>
            <w:tcBorders>
              <w:top w:val="nil"/>
              <w:left w:val="single" w:sz="12" w:space="0" w:color="FFFFFF"/>
              <w:bottom w:val="single" w:sz="12" w:space="0" w:color="FFFFFF"/>
              <w:right w:val="single" w:sz="12" w:space="0" w:color="FFFFFF"/>
            </w:tcBorders>
            <w:shd w:val="clear" w:color="000000" w:fill="D9D9D9"/>
            <w:vAlign w:val="center"/>
            <w:hideMark/>
          </w:tcPr>
          <w:p w14:paraId="1CDB498D"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Dlhodobé pohľadávky </w:t>
            </w:r>
          </w:p>
        </w:tc>
        <w:tc>
          <w:tcPr>
            <w:tcW w:w="1671" w:type="dxa"/>
            <w:tcBorders>
              <w:top w:val="nil"/>
              <w:left w:val="nil"/>
              <w:bottom w:val="single" w:sz="12" w:space="0" w:color="FFFFFF"/>
              <w:right w:val="single" w:sz="12" w:space="0" w:color="FFFFFF"/>
            </w:tcBorders>
            <w:shd w:val="clear" w:color="000000" w:fill="D9D9D9"/>
            <w:noWrap/>
          </w:tcPr>
          <w:p w14:paraId="23A1676A"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0,00</w:t>
            </w:r>
          </w:p>
        </w:tc>
        <w:tc>
          <w:tcPr>
            <w:tcW w:w="1448" w:type="dxa"/>
            <w:tcBorders>
              <w:top w:val="nil"/>
              <w:left w:val="nil"/>
              <w:bottom w:val="single" w:sz="12" w:space="0" w:color="FFFFFF"/>
              <w:right w:val="single" w:sz="12" w:space="0" w:color="FFFFFF"/>
            </w:tcBorders>
            <w:shd w:val="clear" w:color="000000" w:fill="D9D9D9"/>
            <w:noWrap/>
          </w:tcPr>
          <w:p w14:paraId="02090209"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0,00</w:t>
            </w:r>
          </w:p>
        </w:tc>
        <w:tc>
          <w:tcPr>
            <w:tcW w:w="1417" w:type="dxa"/>
            <w:tcBorders>
              <w:top w:val="nil"/>
              <w:left w:val="nil"/>
              <w:bottom w:val="single" w:sz="12" w:space="0" w:color="FFFFFF"/>
              <w:right w:val="single" w:sz="12" w:space="0" w:color="FFFFFF"/>
            </w:tcBorders>
            <w:shd w:val="clear" w:color="000000" w:fill="D9D9D9"/>
            <w:noWrap/>
          </w:tcPr>
          <w:p w14:paraId="2E9FD369"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0,00</w:t>
            </w:r>
          </w:p>
        </w:tc>
        <w:tc>
          <w:tcPr>
            <w:tcW w:w="1613" w:type="dxa"/>
            <w:tcBorders>
              <w:top w:val="nil"/>
              <w:left w:val="nil"/>
              <w:bottom w:val="single" w:sz="12" w:space="0" w:color="FFFFFF"/>
              <w:right w:val="single" w:sz="12" w:space="0" w:color="FFFFFF"/>
            </w:tcBorders>
            <w:shd w:val="clear" w:color="000000" w:fill="D9D9D9"/>
            <w:noWrap/>
          </w:tcPr>
          <w:p w14:paraId="447E2934"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sidRPr="00094641">
              <w:rPr>
                <w:rFonts w:asciiTheme="minorHAnsi" w:hAnsiTheme="minorHAnsi" w:cstheme="minorHAnsi"/>
                <w:bCs/>
                <w:sz w:val="20"/>
                <w:szCs w:val="20"/>
                <w:lang w:eastAsia="sk-SK"/>
              </w:rPr>
              <w:t>0,00</w:t>
            </w:r>
          </w:p>
        </w:tc>
        <w:tc>
          <w:tcPr>
            <w:tcW w:w="1120" w:type="dxa"/>
            <w:tcBorders>
              <w:top w:val="nil"/>
              <w:left w:val="nil"/>
              <w:bottom w:val="single" w:sz="12" w:space="0" w:color="FFFFFF"/>
              <w:right w:val="single" w:sz="12" w:space="0" w:color="FFFFFF"/>
            </w:tcBorders>
            <w:shd w:val="clear" w:color="000000" w:fill="D9D9D9"/>
            <w:noWrap/>
          </w:tcPr>
          <w:p w14:paraId="36FF9A5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0,00</w:t>
            </w:r>
          </w:p>
        </w:tc>
      </w:tr>
      <w:tr w:rsidR="0004598E" w:rsidRPr="00094641" w14:paraId="4888724C" w14:textId="77777777" w:rsidTr="00222450">
        <w:trPr>
          <w:trHeight w:hRule="exact" w:val="340"/>
        </w:trPr>
        <w:tc>
          <w:tcPr>
            <w:tcW w:w="2567" w:type="dxa"/>
            <w:tcBorders>
              <w:top w:val="nil"/>
              <w:left w:val="single" w:sz="12" w:space="0" w:color="FFFFFF"/>
              <w:bottom w:val="single" w:sz="12" w:space="0" w:color="FFFFFF"/>
              <w:right w:val="single" w:sz="12" w:space="0" w:color="FFFFFF"/>
            </w:tcBorders>
            <w:shd w:val="clear" w:color="000000" w:fill="D9D9D9"/>
            <w:vAlign w:val="center"/>
            <w:hideMark/>
          </w:tcPr>
          <w:p w14:paraId="37BB936D"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 xml:space="preserve">Krátkodobé pohľadávky </w:t>
            </w:r>
          </w:p>
        </w:tc>
        <w:tc>
          <w:tcPr>
            <w:tcW w:w="1671" w:type="dxa"/>
            <w:tcBorders>
              <w:top w:val="nil"/>
              <w:left w:val="nil"/>
              <w:bottom w:val="single" w:sz="12" w:space="0" w:color="FFFFFF"/>
              <w:right w:val="single" w:sz="12" w:space="0" w:color="FFFFFF"/>
            </w:tcBorders>
            <w:shd w:val="clear" w:color="000000" w:fill="D9D9D9"/>
            <w:noWrap/>
          </w:tcPr>
          <w:p w14:paraId="32139145"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1 109 753,68</w:t>
            </w:r>
          </w:p>
        </w:tc>
        <w:tc>
          <w:tcPr>
            <w:tcW w:w="1448" w:type="dxa"/>
            <w:tcBorders>
              <w:top w:val="nil"/>
              <w:left w:val="nil"/>
              <w:bottom w:val="single" w:sz="12" w:space="0" w:color="FFFFFF"/>
              <w:right w:val="single" w:sz="12" w:space="0" w:color="FFFFFF"/>
            </w:tcBorders>
            <w:shd w:val="clear" w:color="000000" w:fill="D9D9D9"/>
            <w:noWrap/>
          </w:tcPr>
          <w:p w14:paraId="33B8C149"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870 922,19</w:t>
            </w:r>
          </w:p>
        </w:tc>
        <w:tc>
          <w:tcPr>
            <w:tcW w:w="1417" w:type="dxa"/>
            <w:tcBorders>
              <w:top w:val="nil"/>
              <w:left w:val="nil"/>
              <w:bottom w:val="single" w:sz="12" w:space="0" w:color="FFFFFF"/>
              <w:right w:val="single" w:sz="12" w:space="0" w:color="FFFFFF"/>
            </w:tcBorders>
            <w:shd w:val="clear" w:color="000000" w:fill="D9D9D9"/>
            <w:noWrap/>
          </w:tcPr>
          <w:p w14:paraId="51DBD05B"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238 831,49</w:t>
            </w:r>
          </w:p>
        </w:tc>
        <w:tc>
          <w:tcPr>
            <w:tcW w:w="1613" w:type="dxa"/>
            <w:tcBorders>
              <w:top w:val="nil"/>
              <w:left w:val="nil"/>
              <w:bottom w:val="single" w:sz="12" w:space="0" w:color="FFFFFF"/>
              <w:right w:val="single" w:sz="12" w:space="0" w:color="FFFFFF"/>
            </w:tcBorders>
            <w:shd w:val="clear" w:color="000000" w:fill="D9D9D9"/>
            <w:noWrap/>
          </w:tcPr>
          <w:p w14:paraId="78D50DCB"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256 909,95</w:t>
            </w:r>
          </w:p>
        </w:tc>
        <w:tc>
          <w:tcPr>
            <w:tcW w:w="1120" w:type="dxa"/>
            <w:tcBorders>
              <w:top w:val="nil"/>
              <w:left w:val="nil"/>
              <w:bottom w:val="single" w:sz="12" w:space="0" w:color="FFFFFF"/>
              <w:right w:val="single" w:sz="12" w:space="0" w:color="FFFFFF"/>
            </w:tcBorders>
            <w:shd w:val="clear" w:color="000000" w:fill="D9D9D9"/>
            <w:noWrap/>
          </w:tcPr>
          <w:p w14:paraId="207F23AD" w14:textId="77777777" w:rsidR="0004598E" w:rsidRPr="00094641" w:rsidRDefault="0004598E" w:rsidP="00222450">
            <w:pPr>
              <w:spacing w:after="0" w:line="240" w:lineRule="auto"/>
              <w:jc w:val="right"/>
              <w:rPr>
                <w:rFonts w:asciiTheme="minorHAnsi" w:hAnsiTheme="minorHAnsi" w:cstheme="minorHAnsi"/>
                <w:bCs/>
                <w:sz w:val="20"/>
                <w:szCs w:val="20"/>
                <w:lang w:eastAsia="sk-SK"/>
              </w:rPr>
            </w:pPr>
            <w:r>
              <w:rPr>
                <w:rFonts w:asciiTheme="minorHAnsi" w:hAnsiTheme="minorHAnsi" w:cstheme="minorHAnsi"/>
                <w:bCs/>
                <w:sz w:val="20"/>
                <w:szCs w:val="20"/>
                <w:lang w:eastAsia="sk-SK"/>
              </w:rPr>
              <w:t>-18 078,46</w:t>
            </w:r>
          </w:p>
        </w:tc>
      </w:tr>
      <w:tr w:rsidR="0004598E" w:rsidRPr="00094641" w14:paraId="629D2088" w14:textId="77777777" w:rsidTr="00222450">
        <w:trPr>
          <w:trHeight w:hRule="exact" w:val="340"/>
        </w:trPr>
        <w:tc>
          <w:tcPr>
            <w:tcW w:w="2567" w:type="dxa"/>
            <w:tcBorders>
              <w:top w:val="nil"/>
              <w:left w:val="single" w:sz="12" w:space="0" w:color="FFFFFF"/>
              <w:bottom w:val="single" w:sz="12" w:space="0" w:color="FFFFFF"/>
              <w:right w:val="single" w:sz="12" w:space="0" w:color="FFFFFF"/>
            </w:tcBorders>
            <w:shd w:val="clear" w:color="000000" w:fill="8DB3E2"/>
            <w:vAlign w:val="center"/>
            <w:hideMark/>
          </w:tcPr>
          <w:p w14:paraId="3595AE45" w14:textId="77777777" w:rsidR="0004598E" w:rsidRPr="00094641" w:rsidRDefault="0004598E" w:rsidP="00222450">
            <w:pPr>
              <w:spacing w:after="0" w:line="240" w:lineRule="auto"/>
              <w:rPr>
                <w:rFonts w:asciiTheme="minorHAnsi" w:hAnsiTheme="minorHAnsi" w:cstheme="minorHAnsi"/>
                <w:b/>
                <w:bCs/>
                <w:sz w:val="20"/>
                <w:szCs w:val="20"/>
                <w:lang w:eastAsia="sk-SK"/>
              </w:rPr>
            </w:pPr>
            <w:r w:rsidRPr="00094641">
              <w:rPr>
                <w:rFonts w:asciiTheme="minorHAnsi" w:hAnsiTheme="minorHAnsi" w:cstheme="minorHAnsi"/>
                <w:b/>
                <w:bCs/>
                <w:sz w:val="20"/>
                <w:szCs w:val="20"/>
                <w:lang w:eastAsia="sk-SK"/>
              </w:rPr>
              <w:t>Pohľadávky celkom</w:t>
            </w:r>
          </w:p>
        </w:tc>
        <w:tc>
          <w:tcPr>
            <w:tcW w:w="1671" w:type="dxa"/>
            <w:tcBorders>
              <w:top w:val="nil"/>
              <w:left w:val="nil"/>
              <w:bottom w:val="single" w:sz="12" w:space="0" w:color="FFFFFF"/>
              <w:right w:val="single" w:sz="12" w:space="0" w:color="FFFFFF"/>
            </w:tcBorders>
            <w:shd w:val="clear" w:color="000000" w:fill="8DB3E2"/>
            <w:noWrap/>
          </w:tcPr>
          <w:p w14:paraId="4A4B4CAE"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1 109 753,68</w:t>
            </w:r>
          </w:p>
        </w:tc>
        <w:tc>
          <w:tcPr>
            <w:tcW w:w="1448" w:type="dxa"/>
            <w:tcBorders>
              <w:top w:val="nil"/>
              <w:left w:val="nil"/>
              <w:bottom w:val="single" w:sz="12" w:space="0" w:color="FFFFFF"/>
              <w:right w:val="single" w:sz="12" w:space="0" w:color="FFFFFF"/>
            </w:tcBorders>
            <w:shd w:val="clear" w:color="000000" w:fill="8DB3E2"/>
            <w:noWrap/>
          </w:tcPr>
          <w:p w14:paraId="45C99138"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870 922,19</w:t>
            </w:r>
          </w:p>
        </w:tc>
        <w:tc>
          <w:tcPr>
            <w:tcW w:w="1417" w:type="dxa"/>
            <w:tcBorders>
              <w:top w:val="nil"/>
              <w:left w:val="nil"/>
              <w:bottom w:val="single" w:sz="12" w:space="0" w:color="FFFFFF"/>
              <w:right w:val="single" w:sz="12" w:space="0" w:color="FFFFFF"/>
            </w:tcBorders>
            <w:shd w:val="clear" w:color="000000" w:fill="8DB3E2"/>
            <w:noWrap/>
          </w:tcPr>
          <w:p w14:paraId="60D4DB4C"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238 831,49</w:t>
            </w:r>
          </w:p>
        </w:tc>
        <w:tc>
          <w:tcPr>
            <w:tcW w:w="1613" w:type="dxa"/>
            <w:tcBorders>
              <w:top w:val="nil"/>
              <w:left w:val="nil"/>
              <w:bottom w:val="single" w:sz="12" w:space="0" w:color="FFFFFF"/>
              <w:right w:val="single" w:sz="12" w:space="0" w:color="FFFFFF"/>
            </w:tcBorders>
            <w:shd w:val="clear" w:color="000000" w:fill="8DB3E2"/>
            <w:noWrap/>
          </w:tcPr>
          <w:p w14:paraId="60EDD729"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256 909,95</w:t>
            </w:r>
          </w:p>
        </w:tc>
        <w:tc>
          <w:tcPr>
            <w:tcW w:w="1120" w:type="dxa"/>
            <w:tcBorders>
              <w:top w:val="nil"/>
              <w:left w:val="nil"/>
              <w:bottom w:val="single" w:sz="12" w:space="0" w:color="FFFFFF"/>
              <w:right w:val="single" w:sz="12" w:space="0" w:color="FFFFFF"/>
            </w:tcBorders>
            <w:shd w:val="clear" w:color="000000" w:fill="8DB3E2"/>
            <w:noWrap/>
          </w:tcPr>
          <w:p w14:paraId="1F6436F5" w14:textId="77777777" w:rsidR="0004598E" w:rsidRPr="00094641" w:rsidRDefault="0004598E" w:rsidP="00222450">
            <w:pPr>
              <w:spacing w:after="0" w:line="240" w:lineRule="auto"/>
              <w:jc w:val="right"/>
              <w:rPr>
                <w:rFonts w:asciiTheme="minorHAnsi" w:hAnsiTheme="minorHAnsi" w:cstheme="minorHAnsi"/>
                <w:b/>
                <w:bCs/>
                <w:sz w:val="20"/>
                <w:szCs w:val="20"/>
                <w:lang w:eastAsia="sk-SK"/>
              </w:rPr>
            </w:pPr>
            <w:r>
              <w:rPr>
                <w:rFonts w:asciiTheme="minorHAnsi" w:hAnsiTheme="minorHAnsi" w:cstheme="minorHAnsi"/>
                <w:b/>
                <w:bCs/>
                <w:sz w:val="20"/>
                <w:szCs w:val="20"/>
                <w:lang w:eastAsia="sk-SK"/>
              </w:rPr>
              <w:t>-18 078,46</w:t>
            </w:r>
          </w:p>
        </w:tc>
      </w:tr>
    </w:tbl>
    <w:p w14:paraId="759A88AE" w14:textId="422C956E" w:rsidR="0004598E" w:rsidRDefault="0004598E" w:rsidP="0004598E">
      <w:pPr>
        <w:pStyle w:val="tl3"/>
        <w:ind w:firstLine="0"/>
        <w:rPr>
          <w:lang w:eastAsia="sk-SK"/>
        </w:rPr>
      </w:pPr>
    </w:p>
    <w:p w14:paraId="436D699D" w14:textId="77777777" w:rsidR="00737516" w:rsidRPr="00094641" w:rsidRDefault="00737516" w:rsidP="0004598E">
      <w:pPr>
        <w:pStyle w:val="tl3"/>
        <w:ind w:firstLine="0"/>
        <w:rPr>
          <w:lang w:eastAsia="sk-SK"/>
        </w:rPr>
      </w:pPr>
    </w:p>
    <w:p w14:paraId="447A70C6" w14:textId="77777777" w:rsidR="0004598E" w:rsidRPr="00094641" w:rsidRDefault="0004598E" w:rsidP="0004598E">
      <w:pPr>
        <w:pStyle w:val="tl3"/>
        <w:rPr>
          <w:lang w:eastAsia="sk-SK"/>
        </w:rPr>
      </w:pPr>
      <w:r w:rsidRPr="00AA44BC">
        <w:rPr>
          <w:lang w:eastAsia="sk-SK"/>
        </w:rPr>
        <w:lastRenderedPageBreak/>
        <w:t>E.2.2</w:t>
      </w:r>
      <w:r w:rsidRPr="00687C60">
        <w:rPr>
          <w:lang w:eastAsia="sk-SK"/>
        </w:rPr>
        <w:t>. Príspevkové organizácie BSK</w:t>
      </w:r>
    </w:p>
    <w:p w14:paraId="2845359F" w14:textId="77777777" w:rsidR="0004598E" w:rsidRPr="00094641" w:rsidRDefault="0004598E" w:rsidP="0004598E">
      <w:pPr>
        <w:spacing w:before="120" w:after="0" w:line="240" w:lineRule="auto"/>
        <w:jc w:val="both"/>
        <w:rPr>
          <w:b/>
          <w:sz w:val="24"/>
          <w:szCs w:val="24"/>
          <w:lang w:eastAsia="sk-SK"/>
        </w:rPr>
      </w:pPr>
      <w:r w:rsidRPr="00094641">
        <w:rPr>
          <w:b/>
          <w:sz w:val="24"/>
          <w:szCs w:val="24"/>
          <w:lang w:eastAsia="sk-SK"/>
        </w:rPr>
        <w:t xml:space="preserve">Celková výška pohľadávok príspevkových organizácií </w:t>
      </w:r>
      <w:r w:rsidRPr="00094641">
        <w:rPr>
          <w:sz w:val="24"/>
          <w:szCs w:val="24"/>
          <w:lang w:eastAsia="sk-SK"/>
        </w:rPr>
        <w:t xml:space="preserve">podľa účtovnej závierky </w:t>
      </w:r>
      <w:r w:rsidRPr="00094641">
        <w:rPr>
          <w:b/>
          <w:sz w:val="24"/>
          <w:szCs w:val="24"/>
          <w:lang w:eastAsia="sk-SK"/>
        </w:rPr>
        <w:t>k 31.12.20</w:t>
      </w:r>
      <w:r>
        <w:rPr>
          <w:b/>
          <w:sz w:val="24"/>
          <w:szCs w:val="24"/>
          <w:lang w:eastAsia="sk-SK"/>
        </w:rPr>
        <w:t>20</w:t>
      </w:r>
      <w:r w:rsidRPr="00094641">
        <w:rPr>
          <w:b/>
          <w:sz w:val="24"/>
          <w:szCs w:val="24"/>
          <w:lang w:eastAsia="sk-SK"/>
        </w:rPr>
        <w:t xml:space="preserve"> </w:t>
      </w:r>
      <w:r w:rsidRPr="00094641">
        <w:rPr>
          <w:sz w:val="24"/>
          <w:szCs w:val="24"/>
          <w:lang w:eastAsia="sk-SK"/>
        </w:rPr>
        <w:t xml:space="preserve">predstavovala sumu </w:t>
      </w:r>
      <w:r>
        <w:rPr>
          <w:b/>
          <w:bCs/>
          <w:sz w:val="24"/>
          <w:szCs w:val="24"/>
          <w:lang w:eastAsia="sk-SK"/>
        </w:rPr>
        <w:t>305 487,89</w:t>
      </w:r>
      <w:r w:rsidRPr="00094641">
        <w:rPr>
          <w:b/>
          <w:sz w:val="24"/>
          <w:szCs w:val="24"/>
          <w:lang w:eastAsia="sk-SK"/>
        </w:rPr>
        <w:t xml:space="preserve"> EUR.</w:t>
      </w:r>
    </w:p>
    <w:p w14:paraId="0226D880" w14:textId="77777777" w:rsidR="0004598E" w:rsidRPr="00094641" w:rsidRDefault="0004598E" w:rsidP="0004598E">
      <w:pPr>
        <w:spacing w:before="120" w:after="0" w:line="240" w:lineRule="auto"/>
        <w:ind w:firstLine="709"/>
        <w:jc w:val="both"/>
        <w:rPr>
          <w:b/>
          <w:sz w:val="24"/>
          <w:szCs w:val="24"/>
          <w:lang w:eastAsia="sk-SK"/>
        </w:rPr>
      </w:pPr>
    </w:p>
    <w:tbl>
      <w:tblPr>
        <w:tblW w:w="9836" w:type="dxa"/>
        <w:tblInd w:w="55" w:type="dxa"/>
        <w:tblCellMar>
          <w:left w:w="70" w:type="dxa"/>
          <w:right w:w="70" w:type="dxa"/>
        </w:tblCellMar>
        <w:tblLook w:val="04A0" w:firstRow="1" w:lastRow="0" w:firstColumn="1" w:lastColumn="0" w:noHBand="0" w:noVBand="1"/>
      </w:tblPr>
      <w:tblGrid>
        <w:gridCol w:w="2329"/>
        <w:gridCol w:w="1592"/>
        <w:gridCol w:w="1735"/>
        <w:gridCol w:w="1646"/>
        <w:gridCol w:w="1391"/>
        <w:gridCol w:w="1143"/>
      </w:tblGrid>
      <w:tr w:rsidR="0004598E" w:rsidRPr="00094641" w14:paraId="5F55DFCB" w14:textId="77777777" w:rsidTr="00222450">
        <w:trPr>
          <w:trHeight w:val="269"/>
        </w:trPr>
        <w:tc>
          <w:tcPr>
            <w:tcW w:w="9836" w:type="dxa"/>
            <w:gridSpan w:val="6"/>
            <w:vMerge w:val="restart"/>
            <w:tcBorders>
              <w:top w:val="nil"/>
              <w:left w:val="single" w:sz="12" w:space="0" w:color="FFFFFF"/>
              <w:bottom w:val="nil"/>
              <w:right w:val="nil"/>
            </w:tcBorders>
            <w:shd w:val="clear" w:color="000000" w:fill="8DB3E2"/>
            <w:vAlign w:val="center"/>
            <w:hideMark/>
          </w:tcPr>
          <w:p w14:paraId="274C61C5" w14:textId="77777777" w:rsidR="0004598E" w:rsidRPr="00094641" w:rsidRDefault="0004598E" w:rsidP="00222450">
            <w:pPr>
              <w:spacing w:after="0" w:line="240" w:lineRule="auto"/>
              <w:jc w:val="center"/>
              <w:rPr>
                <w:b/>
                <w:sz w:val="20"/>
                <w:szCs w:val="20"/>
              </w:rPr>
            </w:pPr>
            <w:r w:rsidRPr="00094641">
              <w:rPr>
                <w:b/>
                <w:sz w:val="20"/>
                <w:szCs w:val="20"/>
              </w:rPr>
              <w:t>PREHĽAD O POHĽADÁVKACH</w:t>
            </w:r>
          </w:p>
          <w:p w14:paraId="384F900C" w14:textId="77777777" w:rsidR="0004598E" w:rsidRPr="00094641" w:rsidRDefault="0004598E" w:rsidP="00222450">
            <w:pPr>
              <w:spacing w:after="0" w:line="240" w:lineRule="auto"/>
              <w:jc w:val="center"/>
              <w:rPr>
                <w:rFonts w:cs="Calibri"/>
                <w:b/>
                <w:bCs/>
                <w:sz w:val="20"/>
                <w:szCs w:val="20"/>
                <w:lang w:eastAsia="sk-SK"/>
              </w:rPr>
            </w:pPr>
            <w:r w:rsidRPr="00094641">
              <w:rPr>
                <w:b/>
                <w:sz w:val="20"/>
                <w:szCs w:val="20"/>
              </w:rPr>
              <w:t>príspevkových organizácií v zriaďovateľskej  pôsobnosti BSK v EUR</w:t>
            </w:r>
          </w:p>
        </w:tc>
      </w:tr>
      <w:tr w:rsidR="0004598E" w:rsidRPr="00094641" w14:paraId="09E5D49D" w14:textId="77777777" w:rsidTr="00222450">
        <w:trPr>
          <w:trHeight w:val="269"/>
        </w:trPr>
        <w:tc>
          <w:tcPr>
            <w:tcW w:w="9836" w:type="dxa"/>
            <w:gridSpan w:val="6"/>
            <w:vMerge/>
            <w:tcBorders>
              <w:top w:val="nil"/>
              <w:left w:val="single" w:sz="12" w:space="0" w:color="FFFFFF"/>
              <w:bottom w:val="nil"/>
              <w:right w:val="nil"/>
            </w:tcBorders>
            <w:vAlign w:val="center"/>
            <w:hideMark/>
          </w:tcPr>
          <w:p w14:paraId="7C775ADD" w14:textId="77777777" w:rsidR="0004598E" w:rsidRPr="00094641" w:rsidRDefault="0004598E" w:rsidP="00222450">
            <w:pPr>
              <w:spacing w:after="0" w:line="240" w:lineRule="auto"/>
              <w:rPr>
                <w:rFonts w:cs="Calibri"/>
                <w:b/>
                <w:bCs/>
                <w:sz w:val="20"/>
                <w:szCs w:val="20"/>
                <w:lang w:eastAsia="sk-SK"/>
              </w:rPr>
            </w:pPr>
          </w:p>
        </w:tc>
      </w:tr>
      <w:tr w:rsidR="0004598E" w:rsidRPr="00094641" w14:paraId="759B07BE" w14:textId="77777777" w:rsidTr="00222450">
        <w:trPr>
          <w:trHeight w:val="269"/>
        </w:trPr>
        <w:tc>
          <w:tcPr>
            <w:tcW w:w="9836" w:type="dxa"/>
            <w:gridSpan w:val="6"/>
            <w:vMerge/>
            <w:tcBorders>
              <w:top w:val="nil"/>
              <w:left w:val="single" w:sz="12" w:space="0" w:color="FFFFFF"/>
              <w:bottom w:val="nil"/>
              <w:right w:val="nil"/>
            </w:tcBorders>
            <w:vAlign w:val="center"/>
            <w:hideMark/>
          </w:tcPr>
          <w:p w14:paraId="511A361E" w14:textId="77777777" w:rsidR="0004598E" w:rsidRPr="00094641" w:rsidRDefault="0004598E" w:rsidP="00222450">
            <w:pPr>
              <w:spacing w:after="0" w:line="240" w:lineRule="auto"/>
              <w:rPr>
                <w:rFonts w:cs="Calibri"/>
                <w:b/>
                <w:bCs/>
                <w:sz w:val="20"/>
                <w:szCs w:val="20"/>
                <w:lang w:eastAsia="sk-SK"/>
              </w:rPr>
            </w:pPr>
          </w:p>
        </w:tc>
      </w:tr>
      <w:tr w:rsidR="0004598E" w:rsidRPr="00094641" w14:paraId="4C97566F" w14:textId="77777777" w:rsidTr="00222450">
        <w:trPr>
          <w:trHeight w:val="546"/>
        </w:trPr>
        <w:tc>
          <w:tcPr>
            <w:tcW w:w="2329" w:type="dxa"/>
            <w:tcBorders>
              <w:top w:val="nil"/>
              <w:left w:val="single" w:sz="12" w:space="0" w:color="FFFFFF"/>
              <w:bottom w:val="single" w:sz="12" w:space="0" w:color="FFFFFF"/>
              <w:right w:val="single" w:sz="12" w:space="0" w:color="FFFFFF"/>
            </w:tcBorders>
            <w:shd w:val="clear" w:color="000000" w:fill="808080"/>
            <w:vAlign w:val="center"/>
            <w:hideMark/>
          </w:tcPr>
          <w:p w14:paraId="578504F9" w14:textId="77777777" w:rsidR="0004598E" w:rsidRPr="00094641" w:rsidRDefault="0004598E" w:rsidP="00222450">
            <w:pPr>
              <w:spacing w:after="0" w:line="240" w:lineRule="auto"/>
              <w:rPr>
                <w:rFonts w:cs="Calibri"/>
                <w:b/>
                <w:bCs/>
                <w:color w:val="FFFFFF"/>
                <w:sz w:val="20"/>
                <w:szCs w:val="20"/>
                <w:lang w:eastAsia="sk-SK"/>
              </w:rPr>
            </w:pPr>
            <w:r w:rsidRPr="00094641">
              <w:rPr>
                <w:rFonts w:cs="Calibri"/>
                <w:b/>
                <w:bCs/>
                <w:color w:val="FFFFFF"/>
                <w:sz w:val="20"/>
                <w:szCs w:val="20"/>
                <w:lang w:eastAsia="sk-SK"/>
              </w:rPr>
              <w:t>Druh pohľadávky</w:t>
            </w:r>
          </w:p>
        </w:tc>
        <w:tc>
          <w:tcPr>
            <w:tcW w:w="1592" w:type="dxa"/>
            <w:tcBorders>
              <w:top w:val="nil"/>
              <w:left w:val="nil"/>
              <w:bottom w:val="single" w:sz="12" w:space="0" w:color="FFFFFF"/>
              <w:right w:val="single" w:sz="12" w:space="0" w:color="FFFFFF"/>
            </w:tcBorders>
            <w:shd w:val="clear" w:color="000000" w:fill="808080"/>
            <w:noWrap/>
            <w:vAlign w:val="center"/>
            <w:hideMark/>
          </w:tcPr>
          <w:p w14:paraId="251CB587"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Brutto k 31.12.20</w:t>
            </w:r>
            <w:r>
              <w:rPr>
                <w:rFonts w:cs="Calibri"/>
                <w:b/>
                <w:bCs/>
                <w:color w:val="FFFFFF"/>
                <w:sz w:val="20"/>
                <w:szCs w:val="20"/>
                <w:lang w:eastAsia="sk-SK"/>
              </w:rPr>
              <w:t>20</w:t>
            </w:r>
          </w:p>
        </w:tc>
        <w:tc>
          <w:tcPr>
            <w:tcW w:w="1735" w:type="dxa"/>
            <w:tcBorders>
              <w:top w:val="nil"/>
              <w:left w:val="nil"/>
              <w:bottom w:val="single" w:sz="12" w:space="0" w:color="FFFFFF"/>
              <w:right w:val="single" w:sz="12" w:space="0" w:color="FFFFFF"/>
            </w:tcBorders>
            <w:shd w:val="clear" w:color="000000" w:fill="808080"/>
            <w:noWrap/>
            <w:vAlign w:val="center"/>
            <w:hideMark/>
          </w:tcPr>
          <w:p w14:paraId="596CB330"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Korekcia k 31.12.20</w:t>
            </w:r>
            <w:r>
              <w:rPr>
                <w:rFonts w:cs="Calibri"/>
                <w:b/>
                <w:bCs/>
                <w:color w:val="FFFFFF"/>
                <w:sz w:val="20"/>
                <w:szCs w:val="20"/>
                <w:lang w:eastAsia="sk-SK"/>
              </w:rPr>
              <w:t>20</w:t>
            </w:r>
          </w:p>
        </w:tc>
        <w:tc>
          <w:tcPr>
            <w:tcW w:w="1646" w:type="dxa"/>
            <w:tcBorders>
              <w:top w:val="nil"/>
              <w:left w:val="nil"/>
              <w:bottom w:val="single" w:sz="12" w:space="0" w:color="FFFFFF"/>
              <w:right w:val="single" w:sz="12" w:space="0" w:color="FFFFFF"/>
            </w:tcBorders>
            <w:shd w:val="clear" w:color="000000" w:fill="808080"/>
            <w:noWrap/>
            <w:vAlign w:val="center"/>
            <w:hideMark/>
          </w:tcPr>
          <w:p w14:paraId="3A232CA7"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w:t>
            </w:r>
            <w:r>
              <w:rPr>
                <w:rFonts w:cs="Calibri"/>
                <w:b/>
                <w:bCs/>
                <w:color w:val="FFFFFF"/>
                <w:sz w:val="20"/>
                <w:szCs w:val="20"/>
                <w:lang w:eastAsia="sk-SK"/>
              </w:rPr>
              <w:t>20</w:t>
            </w:r>
          </w:p>
        </w:tc>
        <w:tc>
          <w:tcPr>
            <w:tcW w:w="1391" w:type="dxa"/>
            <w:tcBorders>
              <w:top w:val="nil"/>
              <w:left w:val="nil"/>
              <w:bottom w:val="single" w:sz="12" w:space="0" w:color="FFFFFF"/>
              <w:right w:val="single" w:sz="12" w:space="0" w:color="FFFFFF"/>
            </w:tcBorders>
            <w:shd w:val="clear" w:color="000000" w:fill="808080"/>
            <w:noWrap/>
            <w:vAlign w:val="center"/>
            <w:hideMark/>
          </w:tcPr>
          <w:p w14:paraId="7274D1F0"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31.12.201</w:t>
            </w:r>
            <w:r>
              <w:rPr>
                <w:rFonts w:cs="Calibri"/>
                <w:b/>
                <w:bCs/>
                <w:color w:val="FFFFFF"/>
                <w:sz w:val="20"/>
                <w:szCs w:val="20"/>
                <w:lang w:eastAsia="sk-SK"/>
              </w:rPr>
              <w:t>9</w:t>
            </w:r>
          </w:p>
        </w:tc>
        <w:tc>
          <w:tcPr>
            <w:tcW w:w="1143" w:type="dxa"/>
            <w:tcBorders>
              <w:top w:val="nil"/>
              <w:left w:val="nil"/>
              <w:bottom w:val="single" w:sz="12" w:space="0" w:color="FFFFFF"/>
              <w:right w:val="single" w:sz="12" w:space="0" w:color="FFFFFF"/>
            </w:tcBorders>
            <w:shd w:val="clear" w:color="000000" w:fill="808080"/>
            <w:vAlign w:val="center"/>
            <w:hideMark/>
          </w:tcPr>
          <w:p w14:paraId="06A6EB23"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Medziročná zmena</w:t>
            </w:r>
          </w:p>
        </w:tc>
      </w:tr>
      <w:tr w:rsidR="0004598E" w:rsidRPr="00094641" w14:paraId="4C313E0B" w14:textId="77777777" w:rsidTr="00222450">
        <w:trPr>
          <w:trHeight w:val="232"/>
        </w:trPr>
        <w:tc>
          <w:tcPr>
            <w:tcW w:w="2329" w:type="dxa"/>
            <w:tcBorders>
              <w:top w:val="nil"/>
              <w:left w:val="single" w:sz="12" w:space="0" w:color="FFFFFF"/>
              <w:bottom w:val="single" w:sz="12" w:space="0" w:color="FFFFFF"/>
              <w:right w:val="single" w:sz="12" w:space="0" w:color="FFFFFF"/>
            </w:tcBorders>
            <w:shd w:val="clear" w:color="000000" w:fill="D9D9D9"/>
            <w:vAlign w:val="center"/>
            <w:hideMark/>
          </w:tcPr>
          <w:p w14:paraId="64DBCD6B"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Dlhodobé pohľadávky</w:t>
            </w:r>
          </w:p>
        </w:tc>
        <w:tc>
          <w:tcPr>
            <w:tcW w:w="1592" w:type="dxa"/>
            <w:tcBorders>
              <w:top w:val="nil"/>
              <w:left w:val="nil"/>
              <w:bottom w:val="single" w:sz="12" w:space="0" w:color="FFFFFF"/>
              <w:right w:val="single" w:sz="12" w:space="0" w:color="FFFFFF"/>
            </w:tcBorders>
            <w:shd w:val="clear" w:color="000000" w:fill="D9D9D9"/>
            <w:noWrap/>
          </w:tcPr>
          <w:p w14:paraId="5F646DB1"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1 480,00</w:t>
            </w:r>
          </w:p>
        </w:tc>
        <w:tc>
          <w:tcPr>
            <w:tcW w:w="1735" w:type="dxa"/>
            <w:tcBorders>
              <w:top w:val="nil"/>
              <w:left w:val="nil"/>
              <w:bottom w:val="single" w:sz="12" w:space="0" w:color="FFFFFF"/>
              <w:right w:val="single" w:sz="12" w:space="0" w:color="FFFFFF"/>
            </w:tcBorders>
            <w:shd w:val="clear" w:color="000000" w:fill="D9D9D9"/>
            <w:noWrap/>
          </w:tcPr>
          <w:p w14:paraId="2AD107C1"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646" w:type="dxa"/>
            <w:tcBorders>
              <w:top w:val="nil"/>
              <w:left w:val="nil"/>
              <w:bottom w:val="single" w:sz="12" w:space="0" w:color="FFFFFF"/>
              <w:right w:val="single" w:sz="12" w:space="0" w:color="FFFFFF"/>
            </w:tcBorders>
            <w:shd w:val="clear" w:color="000000" w:fill="D9D9D9"/>
            <w:noWrap/>
          </w:tcPr>
          <w:p w14:paraId="30233288"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1 480,00</w:t>
            </w:r>
          </w:p>
        </w:tc>
        <w:tc>
          <w:tcPr>
            <w:tcW w:w="1391" w:type="dxa"/>
            <w:tcBorders>
              <w:top w:val="nil"/>
              <w:left w:val="nil"/>
              <w:bottom w:val="single" w:sz="12" w:space="0" w:color="FFFFFF"/>
              <w:right w:val="single" w:sz="12" w:space="0" w:color="FFFFFF"/>
            </w:tcBorders>
            <w:shd w:val="clear" w:color="000000" w:fill="D9D9D9"/>
            <w:noWrap/>
          </w:tcPr>
          <w:p w14:paraId="515666D1"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1 480,00</w:t>
            </w:r>
          </w:p>
        </w:tc>
        <w:tc>
          <w:tcPr>
            <w:tcW w:w="1143" w:type="dxa"/>
            <w:tcBorders>
              <w:top w:val="nil"/>
              <w:left w:val="nil"/>
              <w:bottom w:val="single" w:sz="12" w:space="0" w:color="FFFFFF"/>
              <w:right w:val="single" w:sz="12" w:space="0" w:color="FFFFFF"/>
            </w:tcBorders>
            <w:shd w:val="clear" w:color="000000" w:fill="D9D9D9"/>
            <w:noWrap/>
          </w:tcPr>
          <w:p w14:paraId="7AB350D7"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r>
      <w:tr w:rsidR="0004598E" w:rsidRPr="00094641" w14:paraId="689172BA" w14:textId="77777777" w:rsidTr="00222450">
        <w:trPr>
          <w:trHeight w:val="296"/>
        </w:trPr>
        <w:tc>
          <w:tcPr>
            <w:tcW w:w="2329" w:type="dxa"/>
            <w:tcBorders>
              <w:top w:val="nil"/>
              <w:left w:val="single" w:sz="12" w:space="0" w:color="FFFFFF"/>
              <w:bottom w:val="single" w:sz="12" w:space="0" w:color="FFFFFF"/>
              <w:right w:val="single" w:sz="12" w:space="0" w:color="FFFFFF"/>
            </w:tcBorders>
            <w:shd w:val="clear" w:color="000000" w:fill="D9D9D9"/>
            <w:vAlign w:val="center"/>
            <w:hideMark/>
          </w:tcPr>
          <w:p w14:paraId="1826023E"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Krátkodobé pohľadávky</w:t>
            </w:r>
          </w:p>
        </w:tc>
        <w:tc>
          <w:tcPr>
            <w:tcW w:w="1592" w:type="dxa"/>
            <w:tcBorders>
              <w:top w:val="nil"/>
              <w:left w:val="nil"/>
              <w:bottom w:val="single" w:sz="12" w:space="0" w:color="FFFFFF"/>
              <w:right w:val="single" w:sz="12" w:space="0" w:color="FFFFFF"/>
            </w:tcBorders>
            <w:shd w:val="clear" w:color="000000" w:fill="D9D9D9"/>
            <w:noWrap/>
          </w:tcPr>
          <w:p w14:paraId="0530BAA0"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304 007,89</w:t>
            </w:r>
          </w:p>
        </w:tc>
        <w:tc>
          <w:tcPr>
            <w:tcW w:w="1735" w:type="dxa"/>
            <w:tcBorders>
              <w:top w:val="nil"/>
              <w:left w:val="nil"/>
              <w:bottom w:val="single" w:sz="12" w:space="0" w:color="FFFFFF"/>
              <w:right w:val="single" w:sz="12" w:space="0" w:color="FFFFFF"/>
            </w:tcBorders>
            <w:shd w:val="clear" w:color="000000" w:fill="D9D9D9"/>
            <w:noWrap/>
          </w:tcPr>
          <w:p w14:paraId="39744525"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84 624,33</w:t>
            </w:r>
          </w:p>
        </w:tc>
        <w:tc>
          <w:tcPr>
            <w:tcW w:w="1646" w:type="dxa"/>
            <w:tcBorders>
              <w:top w:val="nil"/>
              <w:left w:val="nil"/>
              <w:bottom w:val="single" w:sz="12" w:space="0" w:color="FFFFFF"/>
              <w:right w:val="single" w:sz="12" w:space="0" w:color="FFFFFF"/>
            </w:tcBorders>
            <w:shd w:val="clear" w:color="000000" w:fill="D9D9D9"/>
            <w:noWrap/>
          </w:tcPr>
          <w:p w14:paraId="3C8D7F0C"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219 383,56</w:t>
            </w:r>
          </w:p>
        </w:tc>
        <w:tc>
          <w:tcPr>
            <w:tcW w:w="1391" w:type="dxa"/>
            <w:tcBorders>
              <w:top w:val="nil"/>
              <w:left w:val="nil"/>
              <w:bottom w:val="single" w:sz="12" w:space="0" w:color="FFFFFF"/>
              <w:right w:val="single" w:sz="12" w:space="0" w:color="FFFFFF"/>
            </w:tcBorders>
            <w:shd w:val="clear" w:color="000000" w:fill="D9D9D9"/>
            <w:noWrap/>
          </w:tcPr>
          <w:p w14:paraId="1B4FCAB3"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317 435,67</w:t>
            </w:r>
          </w:p>
        </w:tc>
        <w:tc>
          <w:tcPr>
            <w:tcW w:w="1143" w:type="dxa"/>
            <w:tcBorders>
              <w:top w:val="nil"/>
              <w:left w:val="nil"/>
              <w:bottom w:val="single" w:sz="12" w:space="0" w:color="FFFFFF"/>
              <w:right w:val="single" w:sz="12" w:space="0" w:color="FFFFFF"/>
            </w:tcBorders>
            <w:shd w:val="clear" w:color="000000" w:fill="D9D9D9"/>
            <w:noWrap/>
          </w:tcPr>
          <w:p w14:paraId="5F1FF89C"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-98 052,11</w:t>
            </w:r>
          </w:p>
        </w:tc>
      </w:tr>
      <w:tr w:rsidR="0004598E" w:rsidRPr="00094641" w14:paraId="1726D417" w14:textId="77777777" w:rsidTr="00222450">
        <w:trPr>
          <w:trHeight w:val="296"/>
        </w:trPr>
        <w:tc>
          <w:tcPr>
            <w:tcW w:w="2329" w:type="dxa"/>
            <w:tcBorders>
              <w:top w:val="nil"/>
              <w:left w:val="single" w:sz="12" w:space="0" w:color="FFFFFF"/>
              <w:bottom w:val="single" w:sz="12" w:space="0" w:color="FFFFFF"/>
              <w:right w:val="single" w:sz="12" w:space="0" w:color="FFFFFF"/>
            </w:tcBorders>
            <w:shd w:val="clear" w:color="000000" w:fill="8DB3E2"/>
            <w:vAlign w:val="center"/>
            <w:hideMark/>
          </w:tcPr>
          <w:p w14:paraId="2EEB45A7"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Pohľadávky celkom</w:t>
            </w:r>
          </w:p>
        </w:tc>
        <w:tc>
          <w:tcPr>
            <w:tcW w:w="1592" w:type="dxa"/>
            <w:tcBorders>
              <w:top w:val="nil"/>
              <w:left w:val="nil"/>
              <w:bottom w:val="single" w:sz="12" w:space="0" w:color="FFFFFF"/>
              <w:right w:val="single" w:sz="12" w:space="0" w:color="FFFFFF"/>
            </w:tcBorders>
            <w:shd w:val="clear" w:color="000000" w:fill="8DB3E2"/>
            <w:noWrap/>
          </w:tcPr>
          <w:p w14:paraId="12DBE9B8"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305 487,89</w:t>
            </w:r>
          </w:p>
        </w:tc>
        <w:tc>
          <w:tcPr>
            <w:tcW w:w="1735" w:type="dxa"/>
            <w:tcBorders>
              <w:top w:val="nil"/>
              <w:left w:val="nil"/>
              <w:bottom w:val="single" w:sz="12" w:space="0" w:color="FFFFFF"/>
              <w:right w:val="single" w:sz="12" w:space="0" w:color="FFFFFF"/>
            </w:tcBorders>
            <w:shd w:val="clear" w:color="000000" w:fill="8DB3E2"/>
            <w:noWrap/>
          </w:tcPr>
          <w:p w14:paraId="19A1E75A"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84 624,33</w:t>
            </w:r>
          </w:p>
        </w:tc>
        <w:tc>
          <w:tcPr>
            <w:tcW w:w="1646" w:type="dxa"/>
            <w:tcBorders>
              <w:top w:val="nil"/>
              <w:left w:val="nil"/>
              <w:bottom w:val="single" w:sz="12" w:space="0" w:color="FFFFFF"/>
              <w:right w:val="single" w:sz="12" w:space="0" w:color="FFFFFF"/>
            </w:tcBorders>
            <w:shd w:val="clear" w:color="000000" w:fill="8DB3E2"/>
            <w:noWrap/>
          </w:tcPr>
          <w:p w14:paraId="73352150"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220 863,56</w:t>
            </w:r>
          </w:p>
        </w:tc>
        <w:tc>
          <w:tcPr>
            <w:tcW w:w="1391" w:type="dxa"/>
            <w:tcBorders>
              <w:top w:val="nil"/>
              <w:left w:val="nil"/>
              <w:bottom w:val="single" w:sz="12" w:space="0" w:color="FFFFFF"/>
              <w:right w:val="single" w:sz="12" w:space="0" w:color="FFFFFF"/>
            </w:tcBorders>
            <w:shd w:val="clear" w:color="000000" w:fill="8DB3E2"/>
            <w:noWrap/>
          </w:tcPr>
          <w:p w14:paraId="584BEE0D"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318 915,67</w:t>
            </w:r>
          </w:p>
        </w:tc>
        <w:tc>
          <w:tcPr>
            <w:tcW w:w="1143" w:type="dxa"/>
            <w:tcBorders>
              <w:top w:val="nil"/>
              <w:left w:val="nil"/>
              <w:bottom w:val="single" w:sz="12" w:space="0" w:color="FFFFFF"/>
              <w:right w:val="single" w:sz="12" w:space="0" w:color="FFFFFF"/>
            </w:tcBorders>
            <w:shd w:val="clear" w:color="000000" w:fill="8DB3E2"/>
            <w:noWrap/>
          </w:tcPr>
          <w:p w14:paraId="73F84974"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-98 052,11</w:t>
            </w:r>
          </w:p>
        </w:tc>
      </w:tr>
    </w:tbl>
    <w:p w14:paraId="47A32E07" w14:textId="77777777" w:rsidR="0004598E" w:rsidRPr="00094641" w:rsidRDefault="0004598E" w:rsidP="0004598E">
      <w:pPr>
        <w:spacing w:line="240" w:lineRule="auto"/>
        <w:ind w:firstLine="708"/>
        <w:jc w:val="both"/>
        <w:rPr>
          <w:b/>
          <w:sz w:val="24"/>
          <w:szCs w:val="24"/>
          <w:u w:val="single"/>
          <w:lang w:eastAsia="sk-SK"/>
        </w:rPr>
      </w:pPr>
    </w:p>
    <w:p w14:paraId="5A299ACF" w14:textId="77777777" w:rsidR="0004598E" w:rsidRPr="00094641" w:rsidRDefault="0004598E" w:rsidP="0004598E">
      <w:pPr>
        <w:spacing w:line="240" w:lineRule="auto"/>
        <w:jc w:val="both"/>
        <w:rPr>
          <w:sz w:val="24"/>
          <w:szCs w:val="24"/>
          <w:lang w:eastAsia="sk-SK"/>
        </w:rPr>
      </w:pPr>
      <w:r w:rsidRPr="00094641">
        <w:rPr>
          <w:b/>
          <w:sz w:val="24"/>
          <w:szCs w:val="24"/>
          <w:u w:val="single"/>
          <w:lang w:eastAsia="sk-SK"/>
        </w:rPr>
        <w:t>Kultúrne zariadenia v zriaďovateľskej pôsobnosti BSK</w:t>
      </w:r>
      <w:r w:rsidRPr="00094641">
        <w:rPr>
          <w:sz w:val="24"/>
          <w:szCs w:val="24"/>
          <w:lang w:eastAsia="sk-SK"/>
        </w:rPr>
        <w:t xml:space="preserve"> vykazujú krátkodobé a dlhodobé pohľadávky k 31.12.20</w:t>
      </w:r>
      <w:r>
        <w:rPr>
          <w:sz w:val="24"/>
          <w:szCs w:val="24"/>
          <w:lang w:eastAsia="sk-SK"/>
        </w:rPr>
        <w:t>20</w:t>
      </w:r>
      <w:r w:rsidRPr="00094641">
        <w:rPr>
          <w:sz w:val="24"/>
          <w:szCs w:val="24"/>
          <w:lang w:eastAsia="sk-SK"/>
        </w:rPr>
        <w:t xml:space="preserve"> v celkovej hodnote </w:t>
      </w:r>
      <w:r>
        <w:rPr>
          <w:b/>
          <w:bCs/>
          <w:sz w:val="24"/>
          <w:szCs w:val="24"/>
          <w:lang w:eastAsia="sk-SK"/>
        </w:rPr>
        <w:t>34 432,70</w:t>
      </w:r>
      <w:r w:rsidRPr="00094641">
        <w:rPr>
          <w:b/>
          <w:sz w:val="24"/>
          <w:szCs w:val="24"/>
          <w:lang w:eastAsia="sk-SK"/>
        </w:rPr>
        <w:t xml:space="preserve"> EUR. </w:t>
      </w:r>
    </w:p>
    <w:tbl>
      <w:tblPr>
        <w:tblW w:w="9986" w:type="dxa"/>
        <w:tblInd w:w="55" w:type="dxa"/>
        <w:tblCellMar>
          <w:left w:w="70" w:type="dxa"/>
          <w:right w:w="70" w:type="dxa"/>
        </w:tblCellMar>
        <w:tblLook w:val="04A0" w:firstRow="1" w:lastRow="0" w:firstColumn="1" w:lastColumn="0" w:noHBand="0" w:noVBand="1"/>
      </w:tblPr>
      <w:tblGrid>
        <w:gridCol w:w="2456"/>
        <w:gridCol w:w="1528"/>
        <w:gridCol w:w="1701"/>
        <w:gridCol w:w="1560"/>
        <w:gridCol w:w="1417"/>
        <w:gridCol w:w="1324"/>
      </w:tblGrid>
      <w:tr w:rsidR="0004598E" w:rsidRPr="00094641" w14:paraId="5C46BDF5" w14:textId="77777777" w:rsidTr="00222450">
        <w:trPr>
          <w:trHeight w:val="269"/>
        </w:trPr>
        <w:tc>
          <w:tcPr>
            <w:tcW w:w="9986" w:type="dxa"/>
            <w:gridSpan w:val="6"/>
            <w:vMerge w:val="restart"/>
            <w:tcBorders>
              <w:top w:val="nil"/>
              <w:left w:val="single" w:sz="12" w:space="0" w:color="FFFFFF"/>
              <w:bottom w:val="nil"/>
              <w:right w:val="nil"/>
            </w:tcBorders>
            <w:shd w:val="clear" w:color="000000" w:fill="8DB3E2"/>
            <w:vAlign w:val="center"/>
            <w:hideMark/>
          </w:tcPr>
          <w:p w14:paraId="0924CFFE" w14:textId="77777777" w:rsidR="0004598E" w:rsidRPr="00094641" w:rsidRDefault="0004598E" w:rsidP="00222450">
            <w:pPr>
              <w:spacing w:after="0" w:line="240" w:lineRule="auto"/>
              <w:jc w:val="center"/>
              <w:rPr>
                <w:b/>
                <w:sz w:val="20"/>
                <w:szCs w:val="20"/>
              </w:rPr>
            </w:pPr>
            <w:r w:rsidRPr="00094641">
              <w:rPr>
                <w:b/>
                <w:sz w:val="20"/>
                <w:szCs w:val="20"/>
              </w:rPr>
              <w:t>PREHĽAD O POHĽADÁVKACH</w:t>
            </w:r>
          </w:p>
          <w:p w14:paraId="644C001D" w14:textId="77777777" w:rsidR="0004598E" w:rsidRPr="00094641" w:rsidRDefault="0004598E" w:rsidP="00222450">
            <w:pPr>
              <w:spacing w:after="0" w:line="240" w:lineRule="auto"/>
              <w:jc w:val="center"/>
              <w:rPr>
                <w:b/>
                <w:sz w:val="20"/>
                <w:szCs w:val="20"/>
              </w:rPr>
            </w:pPr>
            <w:r w:rsidRPr="00094641">
              <w:rPr>
                <w:b/>
                <w:sz w:val="20"/>
                <w:szCs w:val="20"/>
              </w:rPr>
              <w:t>príspevkových organizácií v zriaďovateľskej  pôsobnosti BSK  - kultúrne zariadenia v EUR</w:t>
            </w:r>
          </w:p>
          <w:p w14:paraId="52AD4541" w14:textId="77777777" w:rsidR="0004598E" w:rsidRPr="00094641" w:rsidRDefault="0004598E" w:rsidP="00222450">
            <w:pPr>
              <w:spacing w:after="0" w:line="240" w:lineRule="auto"/>
              <w:jc w:val="center"/>
              <w:rPr>
                <w:rFonts w:cs="Calibri"/>
                <w:b/>
                <w:bCs/>
                <w:sz w:val="20"/>
                <w:szCs w:val="20"/>
                <w:lang w:eastAsia="sk-SK"/>
              </w:rPr>
            </w:pPr>
          </w:p>
        </w:tc>
      </w:tr>
      <w:tr w:rsidR="0004598E" w:rsidRPr="00094641" w14:paraId="07292A93" w14:textId="77777777" w:rsidTr="00222450">
        <w:trPr>
          <w:trHeight w:val="269"/>
        </w:trPr>
        <w:tc>
          <w:tcPr>
            <w:tcW w:w="9986" w:type="dxa"/>
            <w:gridSpan w:val="6"/>
            <w:vMerge/>
            <w:tcBorders>
              <w:top w:val="nil"/>
              <w:left w:val="single" w:sz="12" w:space="0" w:color="FFFFFF"/>
              <w:bottom w:val="nil"/>
              <w:right w:val="nil"/>
            </w:tcBorders>
            <w:vAlign w:val="center"/>
            <w:hideMark/>
          </w:tcPr>
          <w:p w14:paraId="20F236B3" w14:textId="77777777" w:rsidR="0004598E" w:rsidRPr="00094641" w:rsidRDefault="0004598E" w:rsidP="00222450">
            <w:pPr>
              <w:spacing w:after="0" w:line="240" w:lineRule="auto"/>
              <w:rPr>
                <w:rFonts w:cs="Calibri"/>
                <w:b/>
                <w:bCs/>
                <w:sz w:val="20"/>
                <w:szCs w:val="20"/>
                <w:lang w:eastAsia="sk-SK"/>
              </w:rPr>
            </w:pPr>
          </w:p>
        </w:tc>
      </w:tr>
      <w:tr w:rsidR="0004598E" w:rsidRPr="00094641" w14:paraId="7A9BF44D" w14:textId="77777777" w:rsidTr="00222450">
        <w:trPr>
          <w:trHeight w:val="269"/>
        </w:trPr>
        <w:tc>
          <w:tcPr>
            <w:tcW w:w="9986" w:type="dxa"/>
            <w:gridSpan w:val="6"/>
            <w:vMerge/>
            <w:tcBorders>
              <w:top w:val="nil"/>
              <w:left w:val="single" w:sz="12" w:space="0" w:color="FFFFFF"/>
              <w:bottom w:val="nil"/>
              <w:right w:val="nil"/>
            </w:tcBorders>
            <w:vAlign w:val="center"/>
            <w:hideMark/>
          </w:tcPr>
          <w:p w14:paraId="5153100F" w14:textId="77777777" w:rsidR="0004598E" w:rsidRPr="00094641" w:rsidRDefault="0004598E" w:rsidP="00222450">
            <w:pPr>
              <w:spacing w:after="0" w:line="240" w:lineRule="auto"/>
              <w:rPr>
                <w:rFonts w:cs="Calibri"/>
                <w:b/>
                <w:bCs/>
                <w:sz w:val="20"/>
                <w:szCs w:val="20"/>
                <w:lang w:eastAsia="sk-SK"/>
              </w:rPr>
            </w:pPr>
          </w:p>
        </w:tc>
      </w:tr>
      <w:tr w:rsidR="0004598E" w:rsidRPr="00094641" w14:paraId="672474D1" w14:textId="77777777" w:rsidTr="00222450">
        <w:trPr>
          <w:trHeight w:val="525"/>
        </w:trPr>
        <w:tc>
          <w:tcPr>
            <w:tcW w:w="2456" w:type="dxa"/>
            <w:tcBorders>
              <w:top w:val="nil"/>
              <w:left w:val="single" w:sz="12" w:space="0" w:color="FFFFFF"/>
              <w:bottom w:val="single" w:sz="12" w:space="0" w:color="FFFFFF"/>
              <w:right w:val="single" w:sz="12" w:space="0" w:color="FFFFFF"/>
            </w:tcBorders>
            <w:shd w:val="clear" w:color="000000" w:fill="808080"/>
            <w:vAlign w:val="center"/>
            <w:hideMark/>
          </w:tcPr>
          <w:p w14:paraId="4BF81A8B" w14:textId="77777777" w:rsidR="0004598E" w:rsidRPr="00094641" w:rsidRDefault="0004598E" w:rsidP="00222450">
            <w:pPr>
              <w:spacing w:after="0" w:line="240" w:lineRule="auto"/>
              <w:rPr>
                <w:rFonts w:cs="Calibri"/>
                <w:b/>
                <w:bCs/>
                <w:color w:val="FFFFFF"/>
                <w:sz w:val="20"/>
                <w:szCs w:val="20"/>
                <w:lang w:eastAsia="sk-SK"/>
              </w:rPr>
            </w:pPr>
            <w:r w:rsidRPr="00094641">
              <w:rPr>
                <w:rFonts w:cs="Calibri"/>
                <w:b/>
                <w:bCs/>
                <w:color w:val="FFFFFF"/>
                <w:sz w:val="20"/>
                <w:szCs w:val="20"/>
                <w:lang w:eastAsia="sk-SK"/>
              </w:rPr>
              <w:t>Druh pohľadávky</w:t>
            </w:r>
          </w:p>
        </w:tc>
        <w:tc>
          <w:tcPr>
            <w:tcW w:w="1528" w:type="dxa"/>
            <w:tcBorders>
              <w:top w:val="nil"/>
              <w:left w:val="nil"/>
              <w:bottom w:val="single" w:sz="12" w:space="0" w:color="FFFFFF"/>
              <w:right w:val="single" w:sz="12" w:space="0" w:color="FFFFFF"/>
            </w:tcBorders>
            <w:shd w:val="clear" w:color="000000" w:fill="808080"/>
            <w:noWrap/>
            <w:vAlign w:val="center"/>
            <w:hideMark/>
          </w:tcPr>
          <w:p w14:paraId="081F27FB"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Brutto k 31.12.20</w:t>
            </w:r>
            <w:r>
              <w:rPr>
                <w:rFonts w:cs="Calibri"/>
                <w:b/>
                <w:bCs/>
                <w:color w:val="FFFFFF"/>
                <w:sz w:val="20"/>
                <w:szCs w:val="20"/>
                <w:lang w:eastAsia="sk-SK"/>
              </w:rPr>
              <w:t>20</w:t>
            </w:r>
          </w:p>
        </w:tc>
        <w:tc>
          <w:tcPr>
            <w:tcW w:w="1701" w:type="dxa"/>
            <w:tcBorders>
              <w:top w:val="nil"/>
              <w:left w:val="nil"/>
              <w:bottom w:val="single" w:sz="12" w:space="0" w:color="FFFFFF"/>
              <w:right w:val="single" w:sz="12" w:space="0" w:color="FFFFFF"/>
            </w:tcBorders>
            <w:shd w:val="clear" w:color="000000" w:fill="808080"/>
            <w:noWrap/>
            <w:vAlign w:val="center"/>
            <w:hideMark/>
          </w:tcPr>
          <w:p w14:paraId="2E4D87B9"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Korekcia k 31.12.20</w:t>
            </w:r>
            <w:r>
              <w:rPr>
                <w:rFonts w:cs="Calibri"/>
                <w:b/>
                <w:bCs/>
                <w:color w:val="FFFFFF"/>
                <w:sz w:val="20"/>
                <w:szCs w:val="20"/>
                <w:lang w:eastAsia="sk-SK"/>
              </w:rPr>
              <w:t>20</w:t>
            </w:r>
          </w:p>
        </w:tc>
        <w:tc>
          <w:tcPr>
            <w:tcW w:w="1560" w:type="dxa"/>
            <w:tcBorders>
              <w:top w:val="nil"/>
              <w:left w:val="nil"/>
              <w:bottom w:val="single" w:sz="12" w:space="0" w:color="FFFFFF"/>
              <w:right w:val="single" w:sz="12" w:space="0" w:color="FFFFFF"/>
            </w:tcBorders>
            <w:shd w:val="clear" w:color="000000" w:fill="808080"/>
            <w:noWrap/>
            <w:vAlign w:val="center"/>
            <w:hideMark/>
          </w:tcPr>
          <w:p w14:paraId="6F5C9F3E"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w:t>
            </w:r>
            <w:r>
              <w:rPr>
                <w:rFonts w:cs="Calibri"/>
                <w:b/>
                <w:bCs/>
                <w:color w:val="FFFFFF"/>
                <w:sz w:val="20"/>
                <w:szCs w:val="20"/>
                <w:lang w:eastAsia="sk-SK"/>
              </w:rPr>
              <w:t>20</w:t>
            </w:r>
          </w:p>
        </w:tc>
        <w:tc>
          <w:tcPr>
            <w:tcW w:w="1417" w:type="dxa"/>
            <w:tcBorders>
              <w:top w:val="nil"/>
              <w:left w:val="nil"/>
              <w:bottom w:val="single" w:sz="12" w:space="0" w:color="FFFFFF"/>
              <w:right w:val="single" w:sz="12" w:space="0" w:color="FFFFFF"/>
            </w:tcBorders>
            <w:shd w:val="clear" w:color="000000" w:fill="808080"/>
            <w:noWrap/>
            <w:vAlign w:val="center"/>
            <w:hideMark/>
          </w:tcPr>
          <w:p w14:paraId="4F5601F6"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31.12.201</w:t>
            </w:r>
            <w:r>
              <w:rPr>
                <w:rFonts w:cs="Calibri"/>
                <w:b/>
                <w:bCs/>
                <w:color w:val="FFFFFF"/>
                <w:sz w:val="20"/>
                <w:szCs w:val="20"/>
                <w:lang w:eastAsia="sk-SK"/>
              </w:rPr>
              <w:t>9</w:t>
            </w:r>
          </w:p>
        </w:tc>
        <w:tc>
          <w:tcPr>
            <w:tcW w:w="1324" w:type="dxa"/>
            <w:tcBorders>
              <w:top w:val="nil"/>
              <w:left w:val="nil"/>
              <w:bottom w:val="single" w:sz="12" w:space="0" w:color="FFFFFF"/>
              <w:right w:val="single" w:sz="12" w:space="0" w:color="FFFFFF"/>
            </w:tcBorders>
            <w:shd w:val="clear" w:color="000000" w:fill="808080"/>
            <w:vAlign w:val="center"/>
            <w:hideMark/>
          </w:tcPr>
          <w:p w14:paraId="31961EB3"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Medziročná zmena</w:t>
            </w:r>
          </w:p>
        </w:tc>
      </w:tr>
      <w:tr w:rsidR="0004598E" w:rsidRPr="00094641" w14:paraId="06012DBC" w14:textId="77777777" w:rsidTr="00222450">
        <w:trPr>
          <w:trHeight w:val="285"/>
        </w:trPr>
        <w:tc>
          <w:tcPr>
            <w:tcW w:w="2456" w:type="dxa"/>
            <w:tcBorders>
              <w:top w:val="nil"/>
              <w:left w:val="single" w:sz="12" w:space="0" w:color="FFFFFF"/>
              <w:bottom w:val="single" w:sz="12" w:space="0" w:color="FFFFFF"/>
              <w:right w:val="single" w:sz="12" w:space="0" w:color="FFFFFF"/>
            </w:tcBorders>
            <w:shd w:val="clear" w:color="000000" w:fill="D9D9D9"/>
            <w:vAlign w:val="center"/>
            <w:hideMark/>
          </w:tcPr>
          <w:p w14:paraId="7CA2742D"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Dlhodobé pohľadávky</w:t>
            </w:r>
          </w:p>
        </w:tc>
        <w:tc>
          <w:tcPr>
            <w:tcW w:w="1528" w:type="dxa"/>
            <w:tcBorders>
              <w:top w:val="nil"/>
              <w:left w:val="nil"/>
              <w:bottom w:val="single" w:sz="12" w:space="0" w:color="FFFFFF"/>
              <w:right w:val="single" w:sz="12" w:space="0" w:color="FFFFFF"/>
            </w:tcBorders>
            <w:shd w:val="clear" w:color="000000" w:fill="D9D9D9"/>
            <w:noWrap/>
          </w:tcPr>
          <w:p w14:paraId="7F4FE505"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1 480,00</w:t>
            </w:r>
          </w:p>
        </w:tc>
        <w:tc>
          <w:tcPr>
            <w:tcW w:w="1701" w:type="dxa"/>
            <w:tcBorders>
              <w:top w:val="nil"/>
              <w:left w:val="nil"/>
              <w:bottom w:val="single" w:sz="12" w:space="0" w:color="FFFFFF"/>
              <w:right w:val="single" w:sz="12" w:space="0" w:color="FFFFFF"/>
            </w:tcBorders>
            <w:shd w:val="clear" w:color="000000" w:fill="D9D9D9"/>
            <w:noWrap/>
          </w:tcPr>
          <w:p w14:paraId="3711E8A1"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c>
          <w:tcPr>
            <w:tcW w:w="1560" w:type="dxa"/>
            <w:tcBorders>
              <w:top w:val="nil"/>
              <w:left w:val="nil"/>
              <w:bottom w:val="single" w:sz="12" w:space="0" w:color="FFFFFF"/>
              <w:right w:val="single" w:sz="12" w:space="0" w:color="FFFFFF"/>
            </w:tcBorders>
            <w:shd w:val="clear" w:color="000000" w:fill="D9D9D9"/>
            <w:noWrap/>
          </w:tcPr>
          <w:p w14:paraId="45162D0C"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1 480,00</w:t>
            </w:r>
          </w:p>
        </w:tc>
        <w:tc>
          <w:tcPr>
            <w:tcW w:w="1417" w:type="dxa"/>
            <w:tcBorders>
              <w:top w:val="nil"/>
              <w:left w:val="nil"/>
              <w:bottom w:val="single" w:sz="12" w:space="0" w:color="FFFFFF"/>
              <w:right w:val="single" w:sz="12" w:space="0" w:color="FFFFFF"/>
            </w:tcBorders>
            <w:shd w:val="clear" w:color="000000" w:fill="D9D9D9"/>
            <w:noWrap/>
          </w:tcPr>
          <w:p w14:paraId="7ECB06EA"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1 480,00</w:t>
            </w:r>
          </w:p>
        </w:tc>
        <w:tc>
          <w:tcPr>
            <w:tcW w:w="1324" w:type="dxa"/>
            <w:tcBorders>
              <w:top w:val="nil"/>
              <w:left w:val="nil"/>
              <w:bottom w:val="single" w:sz="12" w:space="0" w:color="FFFFFF"/>
              <w:right w:val="single" w:sz="12" w:space="0" w:color="FFFFFF"/>
            </w:tcBorders>
            <w:shd w:val="clear" w:color="000000" w:fill="D9D9D9"/>
            <w:noWrap/>
          </w:tcPr>
          <w:p w14:paraId="4DD52BE1"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0,00</w:t>
            </w:r>
          </w:p>
        </w:tc>
      </w:tr>
      <w:tr w:rsidR="0004598E" w:rsidRPr="00094641" w14:paraId="165401D7" w14:textId="77777777" w:rsidTr="00222450">
        <w:trPr>
          <w:trHeight w:val="285"/>
        </w:trPr>
        <w:tc>
          <w:tcPr>
            <w:tcW w:w="2456" w:type="dxa"/>
            <w:tcBorders>
              <w:top w:val="nil"/>
              <w:left w:val="single" w:sz="12" w:space="0" w:color="FFFFFF"/>
              <w:bottom w:val="single" w:sz="12" w:space="0" w:color="FFFFFF"/>
              <w:right w:val="single" w:sz="12" w:space="0" w:color="FFFFFF"/>
            </w:tcBorders>
            <w:shd w:val="clear" w:color="000000" w:fill="D9D9D9"/>
            <w:vAlign w:val="center"/>
            <w:hideMark/>
          </w:tcPr>
          <w:p w14:paraId="76443459"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Krátkodobé pohľadávky</w:t>
            </w:r>
          </w:p>
        </w:tc>
        <w:tc>
          <w:tcPr>
            <w:tcW w:w="1528" w:type="dxa"/>
            <w:tcBorders>
              <w:top w:val="nil"/>
              <w:left w:val="nil"/>
              <w:bottom w:val="single" w:sz="12" w:space="0" w:color="FFFFFF"/>
              <w:right w:val="single" w:sz="12" w:space="0" w:color="FFFFFF"/>
            </w:tcBorders>
            <w:shd w:val="clear" w:color="000000" w:fill="D9D9D9"/>
            <w:noWrap/>
          </w:tcPr>
          <w:p w14:paraId="31993D3C"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32 952,70</w:t>
            </w:r>
          </w:p>
        </w:tc>
        <w:tc>
          <w:tcPr>
            <w:tcW w:w="1701" w:type="dxa"/>
            <w:tcBorders>
              <w:top w:val="nil"/>
              <w:left w:val="nil"/>
              <w:bottom w:val="single" w:sz="12" w:space="0" w:color="FFFFFF"/>
              <w:right w:val="single" w:sz="12" w:space="0" w:color="FFFFFF"/>
            </w:tcBorders>
            <w:shd w:val="clear" w:color="000000" w:fill="D9D9D9"/>
            <w:noWrap/>
          </w:tcPr>
          <w:p w14:paraId="5ECEE6DC"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6 462,12</w:t>
            </w:r>
          </w:p>
        </w:tc>
        <w:tc>
          <w:tcPr>
            <w:tcW w:w="1560" w:type="dxa"/>
            <w:tcBorders>
              <w:top w:val="nil"/>
              <w:left w:val="nil"/>
              <w:bottom w:val="single" w:sz="12" w:space="0" w:color="FFFFFF"/>
              <w:right w:val="single" w:sz="12" w:space="0" w:color="FFFFFF"/>
            </w:tcBorders>
            <w:shd w:val="clear" w:color="000000" w:fill="D9D9D9"/>
            <w:noWrap/>
          </w:tcPr>
          <w:p w14:paraId="427B6B60"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26 490,58</w:t>
            </w:r>
          </w:p>
        </w:tc>
        <w:tc>
          <w:tcPr>
            <w:tcW w:w="1417" w:type="dxa"/>
            <w:tcBorders>
              <w:top w:val="nil"/>
              <w:left w:val="nil"/>
              <w:bottom w:val="single" w:sz="12" w:space="0" w:color="FFFFFF"/>
              <w:right w:val="single" w:sz="12" w:space="0" w:color="FFFFFF"/>
            </w:tcBorders>
            <w:shd w:val="clear" w:color="000000" w:fill="D9D9D9"/>
            <w:noWrap/>
          </w:tcPr>
          <w:p w14:paraId="13D31978"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45 458,02</w:t>
            </w:r>
          </w:p>
        </w:tc>
        <w:tc>
          <w:tcPr>
            <w:tcW w:w="1324" w:type="dxa"/>
            <w:tcBorders>
              <w:top w:val="nil"/>
              <w:left w:val="nil"/>
              <w:bottom w:val="single" w:sz="12" w:space="0" w:color="FFFFFF"/>
              <w:right w:val="single" w:sz="12" w:space="0" w:color="FFFFFF"/>
            </w:tcBorders>
            <w:shd w:val="clear" w:color="000000" w:fill="D9D9D9"/>
            <w:noWrap/>
          </w:tcPr>
          <w:p w14:paraId="2484D109"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-18 967,44</w:t>
            </w:r>
          </w:p>
        </w:tc>
      </w:tr>
      <w:tr w:rsidR="0004598E" w:rsidRPr="00094641" w14:paraId="3A084E96" w14:textId="77777777" w:rsidTr="00222450">
        <w:trPr>
          <w:trHeight w:val="285"/>
        </w:trPr>
        <w:tc>
          <w:tcPr>
            <w:tcW w:w="2456" w:type="dxa"/>
            <w:tcBorders>
              <w:top w:val="nil"/>
              <w:left w:val="single" w:sz="12" w:space="0" w:color="FFFFFF"/>
              <w:bottom w:val="single" w:sz="12" w:space="0" w:color="FFFFFF"/>
              <w:right w:val="single" w:sz="12" w:space="0" w:color="FFFFFF"/>
            </w:tcBorders>
            <w:shd w:val="clear" w:color="000000" w:fill="8DB3E2"/>
            <w:vAlign w:val="center"/>
            <w:hideMark/>
          </w:tcPr>
          <w:p w14:paraId="2FD75818"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Pohľadávky celkom</w:t>
            </w:r>
          </w:p>
        </w:tc>
        <w:tc>
          <w:tcPr>
            <w:tcW w:w="1528" w:type="dxa"/>
            <w:tcBorders>
              <w:top w:val="nil"/>
              <w:left w:val="nil"/>
              <w:bottom w:val="single" w:sz="12" w:space="0" w:color="FFFFFF"/>
              <w:right w:val="single" w:sz="12" w:space="0" w:color="FFFFFF"/>
            </w:tcBorders>
            <w:shd w:val="clear" w:color="000000" w:fill="8DB3E2"/>
            <w:noWrap/>
          </w:tcPr>
          <w:p w14:paraId="735B5307"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 xml:space="preserve">34 432,70 </w:t>
            </w:r>
          </w:p>
        </w:tc>
        <w:tc>
          <w:tcPr>
            <w:tcW w:w="1701" w:type="dxa"/>
            <w:tcBorders>
              <w:top w:val="nil"/>
              <w:left w:val="nil"/>
              <w:bottom w:val="single" w:sz="12" w:space="0" w:color="FFFFFF"/>
              <w:right w:val="single" w:sz="12" w:space="0" w:color="FFFFFF"/>
            </w:tcBorders>
            <w:shd w:val="clear" w:color="000000" w:fill="8DB3E2"/>
            <w:noWrap/>
          </w:tcPr>
          <w:p w14:paraId="118D2A3C"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6 462,12</w:t>
            </w:r>
          </w:p>
        </w:tc>
        <w:tc>
          <w:tcPr>
            <w:tcW w:w="1560" w:type="dxa"/>
            <w:tcBorders>
              <w:top w:val="nil"/>
              <w:left w:val="nil"/>
              <w:bottom w:val="single" w:sz="12" w:space="0" w:color="FFFFFF"/>
              <w:right w:val="single" w:sz="12" w:space="0" w:color="FFFFFF"/>
            </w:tcBorders>
            <w:shd w:val="clear" w:color="000000" w:fill="8DB3E2"/>
            <w:noWrap/>
          </w:tcPr>
          <w:p w14:paraId="6F99E87B"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27 970,58</w:t>
            </w:r>
          </w:p>
        </w:tc>
        <w:tc>
          <w:tcPr>
            <w:tcW w:w="1417" w:type="dxa"/>
            <w:tcBorders>
              <w:top w:val="nil"/>
              <w:left w:val="nil"/>
              <w:bottom w:val="single" w:sz="12" w:space="0" w:color="FFFFFF"/>
              <w:right w:val="single" w:sz="12" w:space="0" w:color="FFFFFF"/>
            </w:tcBorders>
            <w:shd w:val="clear" w:color="000000" w:fill="8DB3E2"/>
            <w:noWrap/>
          </w:tcPr>
          <w:p w14:paraId="7E78A8B9"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46 938,02</w:t>
            </w:r>
          </w:p>
        </w:tc>
        <w:tc>
          <w:tcPr>
            <w:tcW w:w="1324" w:type="dxa"/>
            <w:tcBorders>
              <w:top w:val="nil"/>
              <w:left w:val="nil"/>
              <w:bottom w:val="single" w:sz="12" w:space="0" w:color="FFFFFF"/>
              <w:right w:val="single" w:sz="12" w:space="0" w:color="FFFFFF"/>
            </w:tcBorders>
            <w:shd w:val="clear" w:color="000000" w:fill="8DB3E2"/>
            <w:noWrap/>
          </w:tcPr>
          <w:p w14:paraId="75EDACBA"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-18 967,44</w:t>
            </w:r>
          </w:p>
        </w:tc>
      </w:tr>
    </w:tbl>
    <w:p w14:paraId="7A8051B0" w14:textId="77777777" w:rsidR="0004598E" w:rsidRDefault="0004598E" w:rsidP="0004598E">
      <w:pPr>
        <w:spacing w:line="240" w:lineRule="auto"/>
        <w:jc w:val="both"/>
        <w:rPr>
          <w:b/>
          <w:sz w:val="24"/>
          <w:szCs w:val="24"/>
          <w:u w:val="single"/>
          <w:lang w:eastAsia="sk-SK"/>
        </w:rPr>
      </w:pPr>
    </w:p>
    <w:p w14:paraId="1879DC74" w14:textId="5487D842" w:rsidR="0004598E" w:rsidRPr="00094641" w:rsidRDefault="0004598E" w:rsidP="0004598E">
      <w:pPr>
        <w:spacing w:line="240" w:lineRule="auto"/>
        <w:jc w:val="both"/>
        <w:rPr>
          <w:sz w:val="20"/>
          <w:szCs w:val="20"/>
        </w:rPr>
      </w:pPr>
      <w:r w:rsidRPr="00094641">
        <w:rPr>
          <w:b/>
          <w:sz w:val="24"/>
          <w:szCs w:val="24"/>
          <w:u w:val="single"/>
          <w:lang w:eastAsia="sk-SK"/>
        </w:rPr>
        <w:t>Školské zariadenia v zriaďovateľskej pôsobnosti BSK</w:t>
      </w:r>
      <w:r w:rsidRPr="00094641">
        <w:rPr>
          <w:sz w:val="24"/>
          <w:szCs w:val="24"/>
          <w:lang w:eastAsia="sk-SK"/>
        </w:rPr>
        <w:t xml:space="preserve"> vykazujú pohľadávky k 31.12.20</w:t>
      </w:r>
      <w:r>
        <w:rPr>
          <w:sz w:val="24"/>
          <w:szCs w:val="24"/>
          <w:lang w:eastAsia="sk-SK"/>
        </w:rPr>
        <w:t>20</w:t>
      </w:r>
      <w:r w:rsidRPr="00094641">
        <w:rPr>
          <w:sz w:val="24"/>
          <w:szCs w:val="24"/>
          <w:lang w:eastAsia="sk-SK"/>
        </w:rPr>
        <w:t xml:space="preserve"> v celkovej hodnote </w:t>
      </w:r>
      <w:r>
        <w:rPr>
          <w:b/>
          <w:bCs/>
          <w:sz w:val="24"/>
          <w:szCs w:val="24"/>
          <w:lang w:eastAsia="sk-SK"/>
        </w:rPr>
        <w:t>182 246,50</w:t>
      </w:r>
      <w:r w:rsidRPr="00094641">
        <w:rPr>
          <w:b/>
          <w:bCs/>
          <w:sz w:val="24"/>
          <w:szCs w:val="24"/>
          <w:lang w:eastAsia="sk-SK"/>
        </w:rPr>
        <w:t xml:space="preserve"> </w:t>
      </w:r>
      <w:r w:rsidRPr="00094641">
        <w:rPr>
          <w:b/>
          <w:sz w:val="24"/>
          <w:szCs w:val="24"/>
          <w:lang w:eastAsia="sk-SK"/>
        </w:rPr>
        <w:t xml:space="preserve">EUR, </w:t>
      </w:r>
      <w:r w:rsidRPr="005F3847">
        <w:rPr>
          <w:bCs/>
          <w:sz w:val="24"/>
          <w:szCs w:val="24"/>
          <w:lang w:eastAsia="sk-SK"/>
        </w:rPr>
        <w:t>ktoré sú pohľadávkami krátkodobými.</w:t>
      </w:r>
      <w:r w:rsidRPr="00094641">
        <w:rPr>
          <w:b/>
          <w:sz w:val="24"/>
          <w:szCs w:val="24"/>
          <w:lang w:eastAsia="sk-SK"/>
        </w:rPr>
        <w:t xml:space="preserve"> </w:t>
      </w:r>
    </w:p>
    <w:tbl>
      <w:tblPr>
        <w:tblW w:w="9938" w:type="dxa"/>
        <w:tblInd w:w="55" w:type="dxa"/>
        <w:tblLayout w:type="fixed"/>
        <w:tblCellMar>
          <w:left w:w="70" w:type="dxa"/>
          <w:right w:w="70" w:type="dxa"/>
        </w:tblCellMar>
        <w:tblLook w:val="04A0" w:firstRow="1" w:lastRow="0" w:firstColumn="1" w:lastColumn="0" w:noHBand="0" w:noVBand="1"/>
      </w:tblPr>
      <w:tblGrid>
        <w:gridCol w:w="2425"/>
        <w:gridCol w:w="1671"/>
        <w:gridCol w:w="1589"/>
        <w:gridCol w:w="1560"/>
        <w:gridCol w:w="1417"/>
        <w:gridCol w:w="1276"/>
      </w:tblGrid>
      <w:tr w:rsidR="0004598E" w:rsidRPr="00094641" w14:paraId="47CDA6B5" w14:textId="77777777" w:rsidTr="00222450">
        <w:trPr>
          <w:trHeight w:val="269"/>
        </w:trPr>
        <w:tc>
          <w:tcPr>
            <w:tcW w:w="9938" w:type="dxa"/>
            <w:gridSpan w:val="6"/>
            <w:vMerge w:val="restart"/>
            <w:tcBorders>
              <w:top w:val="nil"/>
              <w:left w:val="single" w:sz="12" w:space="0" w:color="FFFFFF"/>
              <w:bottom w:val="nil"/>
              <w:right w:val="nil"/>
            </w:tcBorders>
            <w:shd w:val="clear" w:color="000000" w:fill="8DB3E2"/>
            <w:vAlign w:val="center"/>
            <w:hideMark/>
          </w:tcPr>
          <w:p w14:paraId="160AFCD3" w14:textId="77777777" w:rsidR="0004598E" w:rsidRPr="00094641" w:rsidRDefault="0004598E" w:rsidP="00222450">
            <w:pPr>
              <w:spacing w:after="0" w:line="240" w:lineRule="auto"/>
              <w:jc w:val="center"/>
              <w:rPr>
                <w:b/>
                <w:sz w:val="20"/>
                <w:szCs w:val="20"/>
              </w:rPr>
            </w:pPr>
            <w:r w:rsidRPr="00094641">
              <w:rPr>
                <w:b/>
                <w:sz w:val="20"/>
                <w:szCs w:val="20"/>
              </w:rPr>
              <w:t>PREHĽAD O POHĽADÁVKACH</w:t>
            </w:r>
          </w:p>
          <w:p w14:paraId="3E91E459" w14:textId="77777777" w:rsidR="0004598E" w:rsidRPr="00094641" w:rsidRDefault="0004598E" w:rsidP="00222450">
            <w:pPr>
              <w:spacing w:after="0" w:line="240" w:lineRule="auto"/>
              <w:jc w:val="center"/>
              <w:rPr>
                <w:b/>
                <w:sz w:val="20"/>
                <w:szCs w:val="20"/>
              </w:rPr>
            </w:pPr>
            <w:r w:rsidRPr="00094641">
              <w:rPr>
                <w:b/>
                <w:sz w:val="20"/>
                <w:szCs w:val="20"/>
              </w:rPr>
              <w:t>príspevkových organizácií v zriaďovateľskej  pôsobnosti BSK – školské zariadenia v EUR</w:t>
            </w:r>
          </w:p>
          <w:p w14:paraId="7DF1FEEC" w14:textId="77777777" w:rsidR="0004598E" w:rsidRPr="00094641" w:rsidRDefault="0004598E" w:rsidP="00222450">
            <w:pPr>
              <w:spacing w:after="0" w:line="240" w:lineRule="auto"/>
              <w:jc w:val="center"/>
              <w:rPr>
                <w:rFonts w:cs="Calibri"/>
                <w:b/>
                <w:bCs/>
                <w:sz w:val="20"/>
                <w:szCs w:val="20"/>
                <w:lang w:eastAsia="sk-SK"/>
              </w:rPr>
            </w:pPr>
          </w:p>
        </w:tc>
      </w:tr>
      <w:tr w:rsidR="0004598E" w:rsidRPr="00094641" w14:paraId="788FC243" w14:textId="77777777" w:rsidTr="00222450">
        <w:trPr>
          <w:trHeight w:val="269"/>
        </w:trPr>
        <w:tc>
          <w:tcPr>
            <w:tcW w:w="9938" w:type="dxa"/>
            <w:gridSpan w:val="6"/>
            <w:vMerge/>
            <w:tcBorders>
              <w:top w:val="nil"/>
              <w:left w:val="single" w:sz="12" w:space="0" w:color="FFFFFF"/>
              <w:bottom w:val="nil"/>
              <w:right w:val="nil"/>
            </w:tcBorders>
            <w:vAlign w:val="center"/>
            <w:hideMark/>
          </w:tcPr>
          <w:p w14:paraId="37815B13" w14:textId="77777777" w:rsidR="0004598E" w:rsidRPr="00094641" w:rsidRDefault="0004598E" w:rsidP="00222450">
            <w:pPr>
              <w:spacing w:after="0" w:line="240" w:lineRule="auto"/>
              <w:rPr>
                <w:rFonts w:cs="Calibri"/>
                <w:b/>
                <w:bCs/>
                <w:sz w:val="20"/>
                <w:szCs w:val="20"/>
                <w:lang w:eastAsia="sk-SK"/>
              </w:rPr>
            </w:pPr>
          </w:p>
        </w:tc>
      </w:tr>
      <w:tr w:rsidR="0004598E" w:rsidRPr="00094641" w14:paraId="676BD65C" w14:textId="77777777" w:rsidTr="00222450">
        <w:trPr>
          <w:trHeight w:val="269"/>
        </w:trPr>
        <w:tc>
          <w:tcPr>
            <w:tcW w:w="9938" w:type="dxa"/>
            <w:gridSpan w:val="6"/>
            <w:vMerge/>
            <w:tcBorders>
              <w:top w:val="nil"/>
              <w:left w:val="single" w:sz="12" w:space="0" w:color="FFFFFF"/>
              <w:bottom w:val="nil"/>
              <w:right w:val="nil"/>
            </w:tcBorders>
            <w:vAlign w:val="center"/>
            <w:hideMark/>
          </w:tcPr>
          <w:p w14:paraId="3E1C86CA" w14:textId="77777777" w:rsidR="0004598E" w:rsidRPr="00094641" w:rsidRDefault="0004598E" w:rsidP="00222450">
            <w:pPr>
              <w:spacing w:after="0" w:line="240" w:lineRule="auto"/>
              <w:rPr>
                <w:rFonts w:cs="Calibri"/>
                <w:b/>
                <w:bCs/>
                <w:sz w:val="20"/>
                <w:szCs w:val="20"/>
                <w:lang w:eastAsia="sk-SK"/>
              </w:rPr>
            </w:pPr>
          </w:p>
        </w:tc>
      </w:tr>
      <w:tr w:rsidR="0004598E" w:rsidRPr="00094641" w14:paraId="0B5B6C98" w14:textId="77777777" w:rsidTr="00222450">
        <w:trPr>
          <w:trHeight w:val="525"/>
        </w:trPr>
        <w:tc>
          <w:tcPr>
            <w:tcW w:w="2425" w:type="dxa"/>
            <w:tcBorders>
              <w:top w:val="nil"/>
              <w:left w:val="single" w:sz="12" w:space="0" w:color="FFFFFF"/>
              <w:bottom w:val="single" w:sz="12" w:space="0" w:color="FFFFFF"/>
              <w:right w:val="single" w:sz="12" w:space="0" w:color="FFFFFF"/>
            </w:tcBorders>
            <w:shd w:val="clear" w:color="000000" w:fill="808080"/>
            <w:vAlign w:val="center"/>
            <w:hideMark/>
          </w:tcPr>
          <w:p w14:paraId="2F0B859A" w14:textId="77777777" w:rsidR="0004598E" w:rsidRPr="00094641" w:rsidRDefault="0004598E" w:rsidP="00222450">
            <w:pPr>
              <w:spacing w:after="0" w:line="240" w:lineRule="auto"/>
              <w:rPr>
                <w:rFonts w:cs="Calibri"/>
                <w:b/>
                <w:bCs/>
                <w:color w:val="FFFFFF"/>
                <w:sz w:val="20"/>
                <w:szCs w:val="20"/>
                <w:lang w:eastAsia="sk-SK"/>
              </w:rPr>
            </w:pPr>
            <w:r w:rsidRPr="00094641">
              <w:rPr>
                <w:rFonts w:cs="Calibri"/>
                <w:b/>
                <w:bCs/>
                <w:color w:val="FFFFFF"/>
                <w:sz w:val="20"/>
                <w:szCs w:val="20"/>
                <w:lang w:eastAsia="sk-SK"/>
              </w:rPr>
              <w:t>Druh pohľadávky</w:t>
            </w:r>
          </w:p>
        </w:tc>
        <w:tc>
          <w:tcPr>
            <w:tcW w:w="1671" w:type="dxa"/>
            <w:tcBorders>
              <w:top w:val="nil"/>
              <w:left w:val="nil"/>
              <w:bottom w:val="single" w:sz="12" w:space="0" w:color="FFFFFF"/>
              <w:right w:val="single" w:sz="12" w:space="0" w:color="FFFFFF"/>
            </w:tcBorders>
            <w:shd w:val="clear" w:color="000000" w:fill="808080"/>
            <w:noWrap/>
            <w:vAlign w:val="center"/>
            <w:hideMark/>
          </w:tcPr>
          <w:p w14:paraId="68113A49"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Brutto k 31.12.20</w:t>
            </w:r>
            <w:r>
              <w:rPr>
                <w:rFonts w:cs="Calibri"/>
                <w:b/>
                <w:bCs/>
                <w:color w:val="FFFFFF"/>
                <w:sz w:val="20"/>
                <w:szCs w:val="20"/>
                <w:lang w:eastAsia="sk-SK"/>
              </w:rPr>
              <w:t>20</w:t>
            </w:r>
          </w:p>
        </w:tc>
        <w:tc>
          <w:tcPr>
            <w:tcW w:w="1589" w:type="dxa"/>
            <w:tcBorders>
              <w:top w:val="nil"/>
              <w:left w:val="nil"/>
              <w:bottom w:val="single" w:sz="12" w:space="0" w:color="FFFFFF"/>
              <w:right w:val="single" w:sz="12" w:space="0" w:color="FFFFFF"/>
            </w:tcBorders>
            <w:shd w:val="clear" w:color="000000" w:fill="808080"/>
            <w:noWrap/>
            <w:vAlign w:val="center"/>
            <w:hideMark/>
          </w:tcPr>
          <w:p w14:paraId="77F5FE73"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Korekcia k 31.12.20</w:t>
            </w:r>
            <w:r>
              <w:rPr>
                <w:rFonts w:cs="Calibri"/>
                <w:b/>
                <w:bCs/>
                <w:color w:val="FFFFFF"/>
                <w:sz w:val="20"/>
                <w:szCs w:val="20"/>
                <w:lang w:eastAsia="sk-SK"/>
              </w:rPr>
              <w:t>20</w:t>
            </w:r>
          </w:p>
        </w:tc>
        <w:tc>
          <w:tcPr>
            <w:tcW w:w="1560" w:type="dxa"/>
            <w:tcBorders>
              <w:top w:val="nil"/>
              <w:left w:val="nil"/>
              <w:bottom w:val="single" w:sz="12" w:space="0" w:color="FFFFFF"/>
              <w:right w:val="single" w:sz="12" w:space="0" w:color="FFFFFF"/>
            </w:tcBorders>
            <w:shd w:val="clear" w:color="000000" w:fill="808080"/>
            <w:noWrap/>
            <w:vAlign w:val="center"/>
            <w:hideMark/>
          </w:tcPr>
          <w:p w14:paraId="332F6C40"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w:t>
            </w:r>
            <w:r>
              <w:rPr>
                <w:rFonts w:cs="Calibri"/>
                <w:b/>
                <w:bCs/>
                <w:color w:val="FFFFFF"/>
                <w:sz w:val="20"/>
                <w:szCs w:val="20"/>
                <w:lang w:eastAsia="sk-SK"/>
              </w:rPr>
              <w:t>20</w:t>
            </w:r>
          </w:p>
        </w:tc>
        <w:tc>
          <w:tcPr>
            <w:tcW w:w="1417" w:type="dxa"/>
            <w:tcBorders>
              <w:top w:val="nil"/>
              <w:left w:val="nil"/>
              <w:bottom w:val="single" w:sz="12" w:space="0" w:color="FFFFFF"/>
              <w:right w:val="single" w:sz="12" w:space="0" w:color="FFFFFF"/>
            </w:tcBorders>
            <w:shd w:val="clear" w:color="000000" w:fill="808080"/>
            <w:noWrap/>
            <w:vAlign w:val="center"/>
            <w:hideMark/>
          </w:tcPr>
          <w:p w14:paraId="3D58B16F"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w:t>
            </w:r>
            <w:r>
              <w:rPr>
                <w:rFonts w:cs="Calibri"/>
                <w:b/>
                <w:bCs/>
                <w:color w:val="FFFFFF"/>
                <w:sz w:val="20"/>
                <w:szCs w:val="20"/>
                <w:lang w:eastAsia="sk-SK"/>
              </w:rPr>
              <w:t>19</w:t>
            </w:r>
          </w:p>
        </w:tc>
        <w:tc>
          <w:tcPr>
            <w:tcW w:w="1276" w:type="dxa"/>
            <w:tcBorders>
              <w:top w:val="nil"/>
              <w:left w:val="nil"/>
              <w:bottom w:val="single" w:sz="12" w:space="0" w:color="FFFFFF"/>
              <w:right w:val="single" w:sz="12" w:space="0" w:color="FFFFFF"/>
            </w:tcBorders>
            <w:shd w:val="clear" w:color="000000" w:fill="808080"/>
            <w:vAlign w:val="center"/>
            <w:hideMark/>
          </w:tcPr>
          <w:p w14:paraId="0E9BD588"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Medziročná zmena</w:t>
            </w:r>
          </w:p>
        </w:tc>
      </w:tr>
      <w:tr w:rsidR="0004598E" w:rsidRPr="00094641" w14:paraId="4939D48E" w14:textId="77777777" w:rsidTr="00222450">
        <w:trPr>
          <w:trHeight w:val="285"/>
        </w:trPr>
        <w:tc>
          <w:tcPr>
            <w:tcW w:w="2425" w:type="dxa"/>
            <w:tcBorders>
              <w:top w:val="nil"/>
              <w:left w:val="single" w:sz="12" w:space="0" w:color="FFFFFF"/>
              <w:bottom w:val="single" w:sz="12" w:space="0" w:color="FFFFFF"/>
              <w:right w:val="single" w:sz="12" w:space="0" w:color="FFFFFF"/>
            </w:tcBorders>
            <w:shd w:val="clear" w:color="000000" w:fill="D9D9D9"/>
            <w:vAlign w:val="center"/>
            <w:hideMark/>
          </w:tcPr>
          <w:p w14:paraId="4D61C0CF"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Dlhodobé pohľadávky</w:t>
            </w:r>
          </w:p>
        </w:tc>
        <w:tc>
          <w:tcPr>
            <w:tcW w:w="1671" w:type="dxa"/>
            <w:tcBorders>
              <w:top w:val="nil"/>
              <w:left w:val="nil"/>
              <w:bottom w:val="single" w:sz="12" w:space="0" w:color="FFFFFF"/>
              <w:right w:val="single" w:sz="12" w:space="0" w:color="FFFFFF"/>
            </w:tcBorders>
            <w:shd w:val="clear" w:color="000000" w:fill="D9D9D9"/>
            <w:noWrap/>
          </w:tcPr>
          <w:p w14:paraId="3A2EAAE1"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589" w:type="dxa"/>
            <w:tcBorders>
              <w:top w:val="nil"/>
              <w:left w:val="nil"/>
              <w:bottom w:val="single" w:sz="12" w:space="0" w:color="FFFFFF"/>
              <w:right w:val="single" w:sz="12" w:space="0" w:color="FFFFFF"/>
            </w:tcBorders>
            <w:shd w:val="clear" w:color="000000" w:fill="D9D9D9"/>
            <w:noWrap/>
          </w:tcPr>
          <w:p w14:paraId="2B5E3FDF"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560" w:type="dxa"/>
            <w:tcBorders>
              <w:top w:val="nil"/>
              <w:left w:val="nil"/>
              <w:bottom w:val="single" w:sz="12" w:space="0" w:color="FFFFFF"/>
              <w:right w:val="single" w:sz="12" w:space="0" w:color="FFFFFF"/>
            </w:tcBorders>
            <w:shd w:val="clear" w:color="000000" w:fill="D9D9D9"/>
            <w:noWrap/>
          </w:tcPr>
          <w:p w14:paraId="59C52873"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417" w:type="dxa"/>
            <w:tcBorders>
              <w:top w:val="nil"/>
              <w:left w:val="nil"/>
              <w:bottom w:val="single" w:sz="12" w:space="0" w:color="FFFFFF"/>
              <w:right w:val="single" w:sz="12" w:space="0" w:color="FFFFFF"/>
            </w:tcBorders>
            <w:shd w:val="clear" w:color="000000" w:fill="D9D9D9"/>
            <w:noWrap/>
          </w:tcPr>
          <w:p w14:paraId="7BADA6D4"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276" w:type="dxa"/>
            <w:tcBorders>
              <w:top w:val="nil"/>
              <w:left w:val="nil"/>
              <w:bottom w:val="single" w:sz="12" w:space="0" w:color="FFFFFF"/>
              <w:right w:val="single" w:sz="12" w:space="0" w:color="FFFFFF"/>
            </w:tcBorders>
            <w:shd w:val="clear" w:color="000000" w:fill="D9D9D9"/>
            <w:noWrap/>
          </w:tcPr>
          <w:p w14:paraId="4FE6182A"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r>
      <w:tr w:rsidR="0004598E" w:rsidRPr="00094641" w14:paraId="576F0639" w14:textId="77777777" w:rsidTr="00222450">
        <w:trPr>
          <w:trHeight w:val="285"/>
        </w:trPr>
        <w:tc>
          <w:tcPr>
            <w:tcW w:w="2425" w:type="dxa"/>
            <w:tcBorders>
              <w:top w:val="nil"/>
              <w:left w:val="single" w:sz="12" w:space="0" w:color="FFFFFF"/>
              <w:bottom w:val="single" w:sz="12" w:space="0" w:color="FFFFFF"/>
              <w:right w:val="single" w:sz="12" w:space="0" w:color="FFFFFF"/>
            </w:tcBorders>
            <w:shd w:val="clear" w:color="000000" w:fill="D9D9D9"/>
            <w:vAlign w:val="center"/>
            <w:hideMark/>
          </w:tcPr>
          <w:p w14:paraId="4A9C287F"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Krátkodobé pohľadávky</w:t>
            </w:r>
          </w:p>
        </w:tc>
        <w:tc>
          <w:tcPr>
            <w:tcW w:w="1671" w:type="dxa"/>
            <w:tcBorders>
              <w:top w:val="nil"/>
              <w:left w:val="nil"/>
              <w:bottom w:val="single" w:sz="12" w:space="0" w:color="FFFFFF"/>
              <w:right w:val="single" w:sz="12" w:space="0" w:color="FFFFFF"/>
            </w:tcBorders>
            <w:shd w:val="clear" w:color="000000" w:fill="D9D9D9"/>
            <w:noWrap/>
          </w:tcPr>
          <w:p w14:paraId="63CA72F7"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182 246,50</w:t>
            </w:r>
          </w:p>
        </w:tc>
        <w:tc>
          <w:tcPr>
            <w:tcW w:w="1589" w:type="dxa"/>
            <w:tcBorders>
              <w:top w:val="nil"/>
              <w:left w:val="nil"/>
              <w:bottom w:val="single" w:sz="12" w:space="0" w:color="FFFFFF"/>
              <w:right w:val="single" w:sz="12" w:space="0" w:color="FFFFFF"/>
            </w:tcBorders>
            <w:shd w:val="clear" w:color="000000" w:fill="D9D9D9"/>
            <w:noWrap/>
          </w:tcPr>
          <w:p w14:paraId="68A95DF9"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76 485,35</w:t>
            </w:r>
          </w:p>
        </w:tc>
        <w:tc>
          <w:tcPr>
            <w:tcW w:w="1560" w:type="dxa"/>
            <w:tcBorders>
              <w:top w:val="nil"/>
              <w:left w:val="nil"/>
              <w:bottom w:val="single" w:sz="12" w:space="0" w:color="FFFFFF"/>
              <w:right w:val="single" w:sz="12" w:space="0" w:color="FFFFFF"/>
            </w:tcBorders>
            <w:shd w:val="clear" w:color="000000" w:fill="D9D9D9"/>
            <w:noWrap/>
          </w:tcPr>
          <w:p w14:paraId="4486F70B"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105 761,15</w:t>
            </w:r>
          </w:p>
        </w:tc>
        <w:tc>
          <w:tcPr>
            <w:tcW w:w="1417" w:type="dxa"/>
            <w:tcBorders>
              <w:top w:val="nil"/>
              <w:left w:val="nil"/>
              <w:bottom w:val="single" w:sz="12" w:space="0" w:color="FFFFFF"/>
              <w:right w:val="single" w:sz="12" w:space="0" w:color="FFFFFF"/>
            </w:tcBorders>
            <w:shd w:val="clear" w:color="000000" w:fill="D9D9D9"/>
            <w:noWrap/>
          </w:tcPr>
          <w:p w14:paraId="08C035D2"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180 630,25</w:t>
            </w:r>
          </w:p>
        </w:tc>
        <w:tc>
          <w:tcPr>
            <w:tcW w:w="1276" w:type="dxa"/>
            <w:tcBorders>
              <w:top w:val="nil"/>
              <w:left w:val="nil"/>
              <w:bottom w:val="single" w:sz="12" w:space="0" w:color="FFFFFF"/>
              <w:right w:val="single" w:sz="12" w:space="0" w:color="FFFFFF"/>
            </w:tcBorders>
            <w:shd w:val="clear" w:color="000000" w:fill="D9D9D9"/>
            <w:noWrap/>
          </w:tcPr>
          <w:p w14:paraId="50DD5E14"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-74 869,10</w:t>
            </w:r>
          </w:p>
        </w:tc>
      </w:tr>
      <w:tr w:rsidR="0004598E" w:rsidRPr="00094641" w14:paraId="058813B1" w14:textId="77777777" w:rsidTr="00222450">
        <w:trPr>
          <w:trHeight w:val="285"/>
        </w:trPr>
        <w:tc>
          <w:tcPr>
            <w:tcW w:w="2425" w:type="dxa"/>
            <w:tcBorders>
              <w:top w:val="nil"/>
              <w:left w:val="single" w:sz="12" w:space="0" w:color="FFFFFF"/>
              <w:bottom w:val="single" w:sz="12" w:space="0" w:color="FFFFFF"/>
              <w:right w:val="single" w:sz="12" w:space="0" w:color="FFFFFF"/>
            </w:tcBorders>
            <w:shd w:val="clear" w:color="000000" w:fill="8DB3E2"/>
            <w:vAlign w:val="center"/>
            <w:hideMark/>
          </w:tcPr>
          <w:p w14:paraId="594E9431"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Pohľadávky celkom</w:t>
            </w:r>
          </w:p>
        </w:tc>
        <w:tc>
          <w:tcPr>
            <w:tcW w:w="1671" w:type="dxa"/>
            <w:tcBorders>
              <w:top w:val="nil"/>
              <w:left w:val="nil"/>
              <w:bottom w:val="single" w:sz="12" w:space="0" w:color="FFFFFF"/>
              <w:right w:val="single" w:sz="12" w:space="0" w:color="FFFFFF"/>
            </w:tcBorders>
            <w:shd w:val="clear" w:color="000000" w:fill="8DB3E2"/>
            <w:noWrap/>
          </w:tcPr>
          <w:p w14:paraId="369813B0"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182 246,50</w:t>
            </w:r>
          </w:p>
        </w:tc>
        <w:tc>
          <w:tcPr>
            <w:tcW w:w="1589" w:type="dxa"/>
            <w:tcBorders>
              <w:top w:val="nil"/>
              <w:left w:val="nil"/>
              <w:bottom w:val="single" w:sz="12" w:space="0" w:color="FFFFFF"/>
              <w:right w:val="single" w:sz="12" w:space="0" w:color="FFFFFF"/>
            </w:tcBorders>
            <w:shd w:val="clear" w:color="000000" w:fill="8DB3E2"/>
            <w:noWrap/>
          </w:tcPr>
          <w:p w14:paraId="03381265"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76 485,35</w:t>
            </w:r>
          </w:p>
        </w:tc>
        <w:tc>
          <w:tcPr>
            <w:tcW w:w="1560" w:type="dxa"/>
            <w:tcBorders>
              <w:top w:val="nil"/>
              <w:left w:val="nil"/>
              <w:bottom w:val="single" w:sz="12" w:space="0" w:color="FFFFFF"/>
              <w:right w:val="single" w:sz="12" w:space="0" w:color="FFFFFF"/>
            </w:tcBorders>
            <w:shd w:val="clear" w:color="000000" w:fill="8DB3E2"/>
            <w:noWrap/>
          </w:tcPr>
          <w:p w14:paraId="19265CCC"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105 761,15</w:t>
            </w:r>
          </w:p>
        </w:tc>
        <w:tc>
          <w:tcPr>
            <w:tcW w:w="1417" w:type="dxa"/>
            <w:tcBorders>
              <w:top w:val="nil"/>
              <w:left w:val="nil"/>
              <w:bottom w:val="single" w:sz="12" w:space="0" w:color="FFFFFF"/>
              <w:right w:val="single" w:sz="12" w:space="0" w:color="FFFFFF"/>
            </w:tcBorders>
            <w:shd w:val="clear" w:color="000000" w:fill="8DB3E2"/>
            <w:noWrap/>
          </w:tcPr>
          <w:p w14:paraId="6FC2C91D"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180 630,25</w:t>
            </w:r>
          </w:p>
        </w:tc>
        <w:tc>
          <w:tcPr>
            <w:tcW w:w="1276" w:type="dxa"/>
            <w:tcBorders>
              <w:top w:val="nil"/>
              <w:left w:val="nil"/>
              <w:bottom w:val="single" w:sz="12" w:space="0" w:color="FFFFFF"/>
              <w:right w:val="single" w:sz="12" w:space="0" w:color="FFFFFF"/>
            </w:tcBorders>
            <w:shd w:val="clear" w:color="000000" w:fill="8DB3E2"/>
            <w:noWrap/>
          </w:tcPr>
          <w:p w14:paraId="1EAA4790"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-74 869,10</w:t>
            </w:r>
          </w:p>
        </w:tc>
      </w:tr>
    </w:tbl>
    <w:p w14:paraId="267AFA73" w14:textId="77777777" w:rsidR="0004598E" w:rsidRDefault="0004598E" w:rsidP="0004598E">
      <w:pPr>
        <w:spacing w:line="240" w:lineRule="auto"/>
        <w:jc w:val="both"/>
        <w:rPr>
          <w:sz w:val="20"/>
          <w:szCs w:val="20"/>
          <w:lang w:eastAsia="sk-SK"/>
        </w:rPr>
      </w:pPr>
    </w:p>
    <w:p w14:paraId="458D662A" w14:textId="1EE1E997" w:rsidR="0004598E" w:rsidRPr="00094641" w:rsidRDefault="0004598E" w:rsidP="0004598E">
      <w:pPr>
        <w:spacing w:line="240" w:lineRule="auto"/>
        <w:jc w:val="both"/>
        <w:rPr>
          <w:sz w:val="24"/>
          <w:szCs w:val="24"/>
          <w:lang w:eastAsia="sk-SK"/>
        </w:rPr>
      </w:pPr>
      <w:r w:rsidRPr="00094641">
        <w:rPr>
          <w:b/>
          <w:sz w:val="24"/>
          <w:szCs w:val="24"/>
          <w:u w:val="single"/>
        </w:rPr>
        <w:t>Zdravotnícke z</w:t>
      </w:r>
      <w:r w:rsidRPr="00094641">
        <w:rPr>
          <w:b/>
          <w:sz w:val="24"/>
          <w:szCs w:val="24"/>
          <w:u w:val="single"/>
          <w:lang w:eastAsia="sk-SK"/>
        </w:rPr>
        <w:t>ariadenie v zriaďovateľskej pôsobnosti BSK</w:t>
      </w:r>
      <w:r w:rsidRPr="00094641">
        <w:rPr>
          <w:sz w:val="24"/>
          <w:szCs w:val="24"/>
          <w:lang w:eastAsia="sk-SK"/>
        </w:rPr>
        <w:t xml:space="preserve"> vykazuje pohľadávky k 31.12.20</w:t>
      </w:r>
      <w:r>
        <w:rPr>
          <w:sz w:val="24"/>
          <w:szCs w:val="24"/>
          <w:lang w:eastAsia="sk-SK"/>
        </w:rPr>
        <w:t>20</w:t>
      </w:r>
      <w:r w:rsidRPr="00094641">
        <w:rPr>
          <w:sz w:val="24"/>
          <w:szCs w:val="24"/>
          <w:lang w:eastAsia="sk-SK"/>
        </w:rPr>
        <w:t xml:space="preserve"> v celkovej hodnote </w:t>
      </w:r>
      <w:r>
        <w:rPr>
          <w:b/>
          <w:bCs/>
          <w:sz w:val="24"/>
          <w:szCs w:val="24"/>
          <w:lang w:eastAsia="sk-SK"/>
        </w:rPr>
        <w:t>88 808,69</w:t>
      </w:r>
      <w:r w:rsidRPr="00094641">
        <w:rPr>
          <w:b/>
          <w:sz w:val="24"/>
          <w:szCs w:val="24"/>
          <w:lang w:eastAsia="sk-SK"/>
        </w:rPr>
        <w:t xml:space="preserve"> EUR, </w:t>
      </w:r>
      <w:r w:rsidRPr="00BC0391">
        <w:rPr>
          <w:bCs/>
          <w:sz w:val="24"/>
          <w:szCs w:val="24"/>
          <w:lang w:eastAsia="sk-SK"/>
        </w:rPr>
        <w:t>ktoré sú pohľadávkami krátkodobými.</w:t>
      </w:r>
      <w:r w:rsidRPr="00094641">
        <w:rPr>
          <w:b/>
          <w:sz w:val="24"/>
          <w:szCs w:val="24"/>
          <w:lang w:eastAsia="sk-SK"/>
        </w:rPr>
        <w:t xml:space="preserve"> </w:t>
      </w:r>
    </w:p>
    <w:tbl>
      <w:tblPr>
        <w:tblW w:w="10458" w:type="dxa"/>
        <w:tblInd w:w="55" w:type="dxa"/>
        <w:tblCellMar>
          <w:left w:w="70" w:type="dxa"/>
          <w:right w:w="70" w:type="dxa"/>
        </w:tblCellMar>
        <w:tblLook w:val="04A0" w:firstRow="1" w:lastRow="0" w:firstColumn="1" w:lastColumn="0" w:noHBand="0" w:noVBand="1"/>
      </w:tblPr>
      <w:tblGrid>
        <w:gridCol w:w="2383"/>
        <w:gridCol w:w="1577"/>
        <w:gridCol w:w="1660"/>
        <w:gridCol w:w="1795"/>
        <w:gridCol w:w="1795"/>
        <w:gridCol w:w="1248"/>
      </w:tblGrid>
      <w:tr w:rsidR="0004598E" w:rsidRPr="00094641" w14:paraId="454BFFD3" w14:textId="77777777" w:rsidTr="0004598E">
        <w:trPr>
          <w:trHeight w:val="269"/>
        </w:trPr>
        <w:tc>
          <w:tcPr>
            <w:tcW w:w="10458" w:type="dxa"/>
            <w:gridSpan w:val="6"/>
            <w:vMerge w:val="restart"/>
            <w:tcBorders>
              <w:top w:val="nil"/>
              <w:left w:val="single" w:sz="12" w:space="0" w:color="FFFFFF"/>
              <w:bottom w:val="nil"/>
              <w:right w:val="nil"/>
            </w:tcBorders>
            <w:shd w:val="clear" w:color="000000" w:fill="8DB3E2"/>
            <w:vAlign w:val="center"/>
            <w:hideMark/>
          </w:tcPr>
          <w:p w14:paraId="5C952BFA" w14:textId="77777777" w:rsidR="0004598E" w:rsidRPr="00094641" w:rsidRDefault="0004598E" w:rsidP="00222450">
            <w:pPr>
              <w:spacing w:after="0" w:line="240" w:lineRule="auto"/>
              <w:jc w:val="center"/>
              <w:rPr>
                <w:b/>
                <w:sz w:val="20"/>
                <w:szCs w:val="20"/>
              </w:rPr>
            </w:pPr>
            <w:r w:rsidRPr="00094641">
              <w:rPr>
                <w:b/>
                <w:sz w:val="20"/>
                <w:szCs w:val="20"/>
              </w:rPr>
              <w:t>PREHĽAD O POHĽADÁVKACH</w:t>
            </w:r>
          </w:p>
          <w:p w14:paraId="61C5040A" w14:textId="77777777" w:rsidR="0004598E" w:rsidRPr="00094641" w:rsidRDefault="0004598E" w:rsidP="00222450">
            <w:pPr>
              <w:spacing w:after="0" w:line="240" w:lineRule="auto"/>
              <w:jc w:val="center"/>
              <w:rPr>
                <w:b/>
                <w:sz w:val="20"/>
                <w:szCs w:val="20"/>
              </w:rPr>
            </w:pPr>
            <w:r w:rsidRPr="00094641">
              <w:rPr>
                <w:b/>
                <w:sz w:val="20"/>
                <w:szCs w:val="20"/>
              </w:rPr>
              <w:t>príspevkových organizácií v zriaďovateľskej  pôsobnosti BSK – zdravotnícke zariadenie v EUR</w:t>
            </w:r>
          </w:p>
          <w:p w14:paraId="5E38D4E3" w14:textId="77777777" w:rsidR="0004598E" w:rsidRPr="00094641" w:rsidRDefault="0004598E" w:rsidP="00222450">
            <w:pPr>
              <w:spacing w:after="0" w:line="240" w:lineRule="auto"/>
              <w:jc w:val="center"/>
              <w:rPr>
                <w:rFonts w:cs="Calibri"/>
                <w:b/>
                <w:bCs/>
                <w:sz w:val="20"/>
                <w:szCs w:val="20"/>
                <w:lang w:eastAsia="sk-SK"/>
              </w:rPr>
            </w:pPr>
          </w:p>
        </w:tc>
      </w:tr>
      <w:tr w:rsidR="0004598E" w:rsidRPr="00094641" w14:paraId="5B0DCB09" w14:textId="77777777" w:rsidTr="0004598E">
        <w:trPr>
          <w:trHeight w:val="269"/>
        </w:trPr>
        <w:tc>
          <w:tcPr>
            <w:tcW w:w="10458" w:type="dxa"/>
            <w:gridSpan w:val="6"/>
            <w:vMerge/>
            <w:tcBorders>
              <w:top w:val="nil"/>
              <w:left w:val="single" w:sz="12" w:space="0" w:color="FFFFFF"/>
              <w:bottom w:val="nil"/>
              <w:right w:val="nil"/>
            </w:tcBorders>
            <w:vAlign w:val="center"/>
            <w:hideMark/>
          </w:tcPr>
          <w:p w14:paraId="0FA2290F" w14:textId="77777777" w:rsidR="0004598E" w:rsidRPr="00094641" w:rsidRDefault="0004598E" w:rsidP="00222450">
            <w:pPr>
              <w:spacing w:after="0" w:line="240" w:lineRule="auto"/>
              <w:rPr>
                <w:rFonts w:cs="Calibri"/>
                <w:b/>
                <w:bCs/>
                <w:sz w:val="20"/>
                <w:szCs w:val="20"/>
                <w:lang w:eastAsia="sk-SK"/>
              </w:rPr>
            </w:pPr>
          </w:p>
        </w:tc>
      </w:tr>
      <w:tr w:rsidR="0004598E" w:rsidRPr="00094641" w14:paraId="2FA0E9C3" w14:textId="77777777" w:rsidTr="0004598E">
        <w:trPr>
          <w:trHeight w:val="269"/>
        </w:trPr>
        <w:tc>
          <w:tcPr>
            <w:tcW w:w="10458" w:type="dxa"/>
            <w:gridSpan w:val="6"/>
            <w:vMerge/>
            <w:tcBorders>
              <w:top w:val="nil"/>
              <w:left w:val="single" w:sz="12" w:space="0" w:color="FFFFFF"/>
              <w:bottom w:val="nil"/>
              <w:right w:val="nil"/>
            </w:tcBorders>
            <w:vAlign w:val="center"/>
            <w:hideMark/>
          </w:tcPr>
          <w:p w14:paraId="3B330704" w14:textId="77777777" w:rsidR="0004598E" w:rsidRPr="00094641" w:rsidRDefault="0004598E" w:rsidP="00222450">
            <w:pPr>
              <w:spacing w:after="0" w:line="240" w:lineRule="auto"/>
              <w:rPr>
                <w:rFonts w:cs="Calibri"/>
                <w:b/>
                <w:bCs/>
                <w:sz w:val="20"/>
                <w:szCs w:val="20"/>
                <w:lang w:eastAsia="sk-SK"/>
              </w:rPr>
            </w:pPr>
          </w:p>
        </w:tc>
      </w:tr>
      <w:tr w:rsidR="0004598E" w:rsidRPr="00094641" w14:paraId="425719A1" w14:textId="77777777" w:rsidTr="0004598E">
        <w:trPr>
          <w:trHeight w:val="491"/>
        </w:trPr>
        <w:tc>
          <w:tcPr>
            <w:tcW w:w="2383" w:type="dxa"/>
            <w:tcBorders>
              <w:top w:val="nil"/>
              <w:left w:val="single" w:sz="12" w:space="0" w:color="FFFFFF"/>
              <w:bottom w:val="single" w:sz="12" w:space="0" w:color="FFFFFF"/>
              <w:right w:val="single" w:sz="12" w:space="0" w:color="FFFFFF"/>
            </w:tcBorders>
            <w:shd w:val="clear" w:color="000000" w:fill="808080"/>
            <w:vAlign w:val="center"/>
            <w:hideMark/>
          </w:tcPr>
          <w:p w14:paraId="4B34B85A" w14:textId="77777777" w:rsidR="0004598E" w:rsidRPr="00094641" w:rsidRDefault="0004598E" w:rsidP="00222450">
            <w:pPr>
              <w:spacing w:after="0" w:line="240" w:lineRule="auto"/>
              <w:rPr>
                <w:rFonts w:cs="Calibri"/>
                <w:b/>
                <w:bCs/>
                <w:color w:val="FFFFFF"/>
                <w:sz w:val="20"/>
                <w:szCs w:val="20"/>
                <w:lang w:eastAsia="sk-SK"/>
              </w:rPr>
            </w:pPr>
            <w:r w:rsidRPr="00094641">
              <w:rPr>
                <w:rFonts w:cs="Calibri"/>
                <w:b/>
                <w:bCs/>
                <w:color w:val="FFFFFF"/>
                <w:sz w:val="20"/>
                <w:szCs w:val="20"/>
                <w:lang w:eastAsia="sk-SK"/>
              </w:rPr>
              <w:t>Druh pohľadávky</w:t>
            </w:r>
          </w:p>
        </w:tc>
        <w:tc>
          <w:tcPr>
            <w:tcW w:w="1577" w:type="dxa"/>
            <w:tcBorders>
              <w:top w:val="nil"/>
              <w:left w:val="nil"/>
              <w:bottom w:val="single" w:sz="12" w:space="0" w:color="FFFFFF"/>
              <w:right w:val="single" w:sz="12" w:space="0" w:color="FFFFFF"/>
            </w:tcBorders>
            <w:shd w:val="clear" w:color="000000" w:fill="808080"/>
            <w:noWrap/>
            <w:vAlign w:val="center"/>
            <w:hideMark/>
          </w:tcPr>
          <w:p w14:paraId="40913EB8"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Brutto k 31.12.20</w:t>
            </w:r>
            <w:r>
              <w:rPr>
                <w:rFonts w:cs="Calibri"/>
                <w:b/>
                <w:bCs/>
                <w:color w:val="FFFFFF"/>
                <w:sz w:val="20"/>
                <w:szCs w:val="20"/>
                <w:lang w:eastAsia="sk-SK"/>
              </w:rPr>
              <w:t>20</w:t>
            </w:r>
          </w:p>
        </w:tc>
        <w:tc>
          <w:tcPr>
            <w:tcW w:w="1660" w:type="dxa"/>
            <w:tcBorders>
              <w:top w:val="nil"/>
              <w:left w:val="nil"/>
              <w:bottom w:val="single" w:sz="12" w:space="0" w:color="FFFFFF"/>
              <w:right w:val="single" w:sz="12" w:space="0" w:color="FFFFFF"/>
            </w:tcBorders>
            <w:shd w:val="clear" w:color="000000" w:fill="808080"/>
            <w:noWrap/>
            <w:vAlign w:val="center"/>
            <w:hideMark/>
          </w:tcPr>
          <w:p w14:paraId="1F1FF382"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Korekcia k 31.12.20</w:t>
            </w:r>
            <w:r>
              <w:rPr>
                <w:rFonts w:cs="Calibri"/>
                <w:b/>
                <w:bCs/>
                <w:color w:val="FFFFFF"/>
                <w:sz w:val="20"/>
                <w:szCs w:val="20"/>
                <w:lang w:eastAsia="sk-SK"/>
              </w:rPr>
              <w:t>20</w:t>
            </w:r>
          </w:p>
        </w:tc>
        <w:tc>
          <w:tcPr>
            <w:tcW w:w="1795" w:type="dxa"/>
            <w:tcBorders>
              <w:top w:val="nil"/>
              <w:left w:val="nil"/>
              <w:bottom w:val="single" w:sz="12" w:space="0" w:color="FFFFFF"/>
              <w:right w:val="single" w:sz="12" w:space="0" w:color="FFFFFF"/>
            </w:tcBorders>
            <w:shd w:val="clear" w:color="000000" w:fill="808080"/>
            <w:noWrap/>
            <w:vAlign w:val="center"/>
            <w:hideMark/>
          </w:tcPr>
          <w:p w14:paraId="27CD93D3"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w:t>
            </w:r>
            <w:r>
              <w:rPr>
                <w:rFonts w:cs="Calibri"/>
                <w:b/>
                <w:bCs/>
                <w:color w:val="FFFFFF"/>
                <w:sz w:val="20"/>
                <w:szCs w:val="20"/>
                <w:lang w:eastAsia="sk-SK"/>
              </w:rPr>
              <w:t>20</w:t>
            </w:r>
          </w:p>
        </w:tc>
        <w:tc>
          <w:tcPr>
            <w:tcW w:w="1795" w:type="dxa"/>
            <w:tcBorders>
              <w:top w:val="nil"/>
              <w:left w:val="nil"/>
              <w:bottom w:val="single" w:sz="12" w:space="0" w:color="FFFFFF"/>
              <w:right w:val="single" w:sz="12" w:space="0" w:color="FFFFFF"/>
            </w:tcBorders>
            <w:shd w:val="clear" w:color="000000" w:fill="808080"/>
            <w:noWrap/>
            <w:vAlign w:val="center"/>
            <w:hideMark/>
          </w:tcPr>
          <w:p w14:paraId="14ACD814"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Netto k 31.12.201</w:t>
            </w:r>
            <w:r>
              <w:rPr>
                <w:rFonts w:cs="Calibri"/>
                <w:b/>
                <w:bCs/>
                <w:color w:val="FFFFFF"/>
                <w:sz w:val="20"/>
                <w:szCs w:val="20"/>
                <w:lang w:eastAsia="sk-SK"/>
              </w:rPr>
              <w:t>9</w:t>
            </w:r>
          </w:p>
        </w:tc>
        <w:tc>
          <w:tcPr>
            <w:tcW w:w="1246" w:type="dxa"/>
            <w:tcBorders>
              <w:top w:val="nil"/>
              <w:left w:val="nil"/>
              <w:bottom w:val="single" w:sz="12" w:space="0" w:color="FFFFFF"/>
              <w:right w:val="single" w:sz="12" w:space="0" w:color="FFFFFF"/>
            </w:tcBorders>
            <w:shd w:val="clear" w:color="000000" w:fill="808080"/>
            <w:vAlign w:val="center"/>
            <w:hideMark/>
          </w:tcPr>
          <w:p w14:paraId="45EA2340" w14:textId="77777777" w:rsidR="0004598E" w:rsidRPr="00094641" w:rsidRDefault="0004598E" w:rsidP="00222450">
            <w:pPr>
              <w:spacing w:after="0" w:line="240" w:lineRule="auto"/>
              <w:jc w:val="center"/>
              <w:rPr>
                <w:rFonts w:cs="Calibri"/>
                <w:b/>
                <w:bCs/>
                <w:color w:val="FFFFFF"/>
                <w:sz w:val="20"/>
                <w:szCs w:val="20"/>
                <w:lang w:eastAsia="sk-SK"/>
              </w:rPr>
            </w:pPr>
            <w:r w:rsidRPr="00094641">
              <w:rPr>
                <w:rFonts w:cs="Calibri"/>
                <w:b/>
                <w:bCs/>
                <w:color w:val="FFFFFF"/>
                <w:sz w:val="20"/>
                <w:szCs w:val="20"/>
                <w:lang w:eastAsia="sk-SK"/>
              </w:rPr>
              <w:t>Medziročná zmena</w:t>
            </w:r>
          </w:p>
        </w:tc>
      </w:tr>
      <w:tr w:rsidR="0004598E" w:rsidRPr="00094641" w14:paraId="57708256" w14:textId="77777777" w:rsidTr="0004598E">
        <w:trPr>
          <w:trHeight w:val="267"/>
        </w:trPr>
        <w:tc>
          <w:tcPr>
            <w:tcW w:w="2383" w:type="dxa"/>
            <w:tcBorders>
              <w:top w:val="nil"/>
              <w:left w:val="single" w:sz="12" w:space="0" w:color="FFFFFF"/>
              <w:bottom w:val="single" w:sz="12" w:space="0" w:color="FFFFFF"/>
              <w:right w:val="single" w:sz="12" w:space="0" w:color="FFFFFF"/>
            </w:tcBorders>
            <w:shd w:val="clear" w:color="000000" w:fill="D9D9D9"/>
            <w:vAlign w:val="center"/>
            <w:hideMark/>
          </w:tcPr>
          <w:p w14:paraId="227F04FD"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Dlhodobé pohľadávky</w:t>
            </w:r>
          </w:p>
        </w:tc>
        <w:tc>
          <w:tcPr>
            <w:tcW w:w="1577" w:type="dxa"/>
            <w:tcBorders>
              <w:top w:val="nil"/>
              <w:left w:val="nil"/>
              <w:bottom w:val="single" w:sz="12" w:space="0" w:color="FFFFFF"/>
              <w:right w:val="single" w:sz="12" w:space="0" w:color="FFFFFF"/>
            </w:tcBorders>
            <w:shd w:val="clear" w:color="000000" w:fill="D9D9D9"/>
            <w:noWrap/>
          </w:tcPr>
          <w:p w14:paraId="7DEF2D08"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660" w:type="dxa"/>
            <w:tcBorders>
              <w:top w:val="nil"/>
              <w:left w:val="nil"/>
              <w:bottom w:val="single" w:sz="12" w:space="0" w:color="FFFFFF"/>
              <w:right w:val="single" w:sz="12" w:space="0" w:color="FFFFFF"/>
            </w:tcBorders>
            <w:shd w:val="clear" w:color="000000" w:fill="D9D9D9"/>
            <w:noWrap/>
          </w:tcPr>
          <w:p w14:paraId="5B9F84EA"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795" w:type="dxa"/>
            <w:tcBorders>
              <w:top w:val="nil"/>
              <w:left w:val="nil"/>
              <w:bottom w:val="single" w:sz="12" w:space="0" w:color="FFFFFF"/>
              <w:right w:val="single" w:sz="12" w:space="0" w:color="FFFFFF"/>
            </w:tcBorders>
            <w:shd w:val="clear" w:color="000000" w:fill="D9D9D9"/>
            <w:noWrap/>
          </w:tcPr>
          <w:p w14:paraId="11BAEC56"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795" w:type="dxa"/>
            <w:tcBorders>
              <w:top w:val="nil"/>
              <w:left w:val="nil"/>
              <w:bottom w:val="single" w:sz="12" w:space="0" w:color="FFFFFF"/>
              <w:right w:val="single" w:sz="12" w:space="0" w:color="FFFFFF"/>
            </w:tcBorders>
            <w:shd w:val="clear" w:color="000000" w:fill="D9D9D9"/>
            <w:noWrap/>
          </w:tcPr>
          <w:p w14:paraId="4B09653A"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c>
          <w:tcPr>
            <w:tcW w:w="1246" w:type="dxa"/>
            <w:tcBorders>
              <w:top w:val="nil"/>
              <w:left w:val="nil"/>
              <w:bottom w:val="single" w:sz="12" w:space="0" w:color="FFFFFF"/>
              <w:right w:val="single" w:sz="12" w:space="0" w:color="FFFFFF"/>
            </w:tcBorders>
            <w:shd w:val="clear" w:color="000000" w:fill="D9D9D9"/>
            <w:noWrap/>
          </w:tcPr>
          <w:p w14:paraId="427D2E93" w14:textId="77777777" w:rsidR="0004598E" w:rsidRPr="00094641" w:rsidRDefault="0004598E" w:rsidP="00222450">
            <w:pPr>
              <w:spacing w:after="0" w:line="240" w:lineRule="auto"/>
              <w:jc w:val="right"/>
              <w:rPr>
                <w:rFonts w:cs="Calibri"/>
                <w:bCs/>
                <w:sz w:val="20"/>
                <w:szCs w:val="20"/>
                <w:lang w:eastAsia="sk-SK"/>
              </w:rPr>
            </w:pPr>
            <w:r w:rsidRPr="00094641">
              <w:rPr>
                <w:rFonts w:cs="Calibri"/>
                <w:bCs/>
                <w:sz w:val="20"/>
                <w:szCs w:val="20"/>
                <w:lang w:eastAsia="sk-SK"/>
              </w:rPr>
              <w:t>0,00</w:t>
            </w:r>
          </w:p>
        </w:tc>
      </w:tr>
      <w:tr w:rsidR="0004598E" w:rsidRPr="00094641" w14:paraId="7558DBE8" w14:textId="77777777" w:rsidTr="0004598E">
        <w:trPr>
          <w:trHeight w:val="267"/>
        </w:trPr>
        <w:tc>
          <w:tcPr>
            <w:tcW w:w="2383" w:type="dxa"/>
            <w:tcBorders>
              <w:top w:val="nil"/>
              <w:left w:val="single" w:sz="12" w:space="0" w:color="FFFFFF"/>
              <w:bottom w:val="single" w:sz="12" w:space="0" w:color="FFFFFF"/>
              <w:right w:val="single" w:sz="12" w:space="0" w:color="FFFFFF"/>
            </w:tcBorders>
            <w:shd w:val="clear" w:color="000000" w:fill="D9D9D9"/>
            <w:vAlign w:val="center"/>
            <w:hideMark/>
          </w:tcPr>
          <w:p w14:paraId="1244FB48"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Krátkodobé pohľadávky</w:t>
            </w:r>
          </w:p>
        </w:tc>
        <w:tc>
          <w:tcPr>
            <w:tcW w:w="1577" w:type="dxa"/>
            <w:tcBorders>
              <w:top w:val="nil"/>
              <w:left w:val="nil"/>
              <w:bottom w:val="single" w:sz="12" w:space="0" w:color="FFFFFF"/>
              <w:right w:val="single" w:sz="12" w:space="0" w:color="FFFFFF"/>
            </w:tcBorders>
            <w:shd w:val="clear" w:color="000000" w:fill="D9D9D9"/>
            <w:noWrap/>
          </w:tcPr>
          <w:p w14:paraId="7B68AB0E"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88 808,69</w:t>
            </w:r>
          </w:p>
        </w:tc>
        <w:tc>
          <w:tcPr>
            <w:tcW w:w="1660" w:type="dxa"/>
            <w:tcBorders>
              <w:top w:val="nil"/>
              <w:left w:val="nil"/>
              <w:bottom w:val="single" w:sz="12" w:space="0" w:color="FFFFFF"/>
              <w:right w:val="single" w:sz="12" w:space="0" w:color="FFFFFF"/>
            </w:tcBorders>
            <w:shd w:val="clear" w:color="000000" w:fill="D9D9D9"/>
            <w:noWrap/>
          </w:tcPr>
          <w:p w14:paraId="7977373C"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1 676,86</w:t>
            </w:r>
          </w:p>
        </w:tc>
        <w:tc>
          <w:tcPr>
            <w:tcW w:w="1795" w:type="dxa"/>
            <w:tcBorders>
              <w:top w:val="nil"/>
              <w:left w:val="nil"/>
              <w:bottom w:val="single" w:sz="12" w:space="0" w:color="FFFFFF"/>
              <w:right w:val="single" w:sz="12" w:space="0" w:color="FFFFFF"/>
            </w:tcBorders>
            <w:shd w:val="clear" w:color="000000" w:fill="D9D9D9"/>
            <w:noWrap/>
          </w:tcPr>
          <w:p w14:paraId="6D8F0270"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87 131,83</w:t>
            </w:r>
          </w:p>
        </w:tc>
        <w:tc>
          <w:tcPr>
            <w:tcW w:w="1795" w:type="dxa"/>
            <w:tcBorders>
              <w:top w:val="nil"/>
              <w:left w:val="nil"/>
              <w:bottom w:val="single" w:sz="12" w:space="0" w:color="FFFFFF"/>
              <w:right w:val="single" w:sz="12" w:space="0" w:color="FFFFFF"/>
            </w:tcBorders>
            <w:shd w:val="clear" w:color="000000" w:fill="D9D9D9"/>
            <w:noWrap/>
          </w:tcPr>
          <w:p w14:paraId="225D7674"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91 347,40</w:t>
            </w:r>
          </w:p>
        </w:tc>
        <w:tc>
          <w:tcPr>
            <w:tcW w:w="1246" w:type="dxa"/>
            <w:tcBorders>
              <w:top w:val="nil"/>
              <w:left w:val="nil"/>
              <w:bottom w:val="single" w:sz="12" w:space="0" w:color="FFFFFF"/>
              <w:right w:val="single" w:sz="12" w:space="0" w:color="FFFFFF"/>
            </w:tcBorders>
            <w:shd w:val="clear" w:color="000000" w:fill="D9D9D9"/>
            <w:noWrap/>
          </w:tcPr>
          <w:p w14:paraId="76960C0A" w14:textId="77777777" w:rsidR="0004598E" w:rsidRPr="00094641" w:rsidRDefault="0004598E" w:rsidP="00222450">
            <w:pPr>
              <w:spacing w:after="0" w:line="240" w:lineRule="auto"/>
              <w:jc w:val="right"/>
              <w:rPr>
                <w:rFonts w:cs="Calibri"/>
                <w:bCs/>
                <w:sz w:val="20"/>
                <w:szCs w:val="20"/>
                <w:lang w:eastAsia="sk-SK"/>
              </w:rPr>
            </w:pPr>
            <w:r>
              <w:rPr>
                <w:rFonts w:cs="Calibri"/>
                <w:bCs/>
                <w:sz w:val="20"/>
                <w:szCs w:val="20"/>
                <w:lang w:eastAsia="sk-SK"/>
              </w:rPr>
              <w:t>-4 215,57</w:t>
            </w:r>
          </w:p>
        </w:tc>
      </w:tr>
      <w:tr w:rsidR="0004598E" w:rsidRPr="00094641" w14:paraId="31280729" w14:textId="77777777" w:rsidTr="0004598E">
        <w:trPr>
          <w:trHeight w:val="267"/>
        </w:trPr>
        <w:tc>
          <w:tcPr>
            <w:tcW w:w="2383" w:type="dxa"/>
            <w:tcBorders>
              <w:top w:val="nil"/>
              <w:left w:val="single" w:sz="12" w:space="0" w:color="FFFFFF"/>
              <w:bottom w:val="single" w:sz="12" w:space="0" w:color="FFFFFF"/>
              <w:right w:val="single" w:sz="12" w:space="0" w:color="FFFFFF"/>
            </w:tcBorders>
            <w:shd w:val="clear" w:color="000000" w:fill="8DB3E2"/>
            <w:vAlign w:val="center"/>
            <w:hideMark/>
          </w:tcPr>
          <w:p w14:paraId="6CF95248" w14:textId="77777777" w:rsidR="0004598E" w:rsidRPr="00094641" w:rsidRDefault="0004598E" w:rsidP="00222450">
            <w:pPr>
              <w:spacing w:after="0" w:line="240" w:lineRule="auto"/>
              <w:rPr>
                <w:rFonts w:cs="Calibri"/>
                <w:b/>
                <w:bCs/>
                <w:sz w:val="20"/>
                <w:szCs w:val="20"/>
                <w:lang w:eastAsia="sk-SK"/>
              </w:rPr>
            </w:pPr>
            <w:r w:rsidRPr="00094641">
              <w:rPr>
                <w:rFonts w:cs="Calibri"/>
                <w:b/>
                <w:bCs/>
                <w:sz w:val="20"/>
                <w:szCs w:val="20"/>
                <w:lang w:eastAsia="sk-SK"/>
              </w:rPr>
              <w:t>Pohľadávky celkom</w:t>
            </w:r>
          </w:p>
        </w:tc>
        <w:tc>
          <w:tcPr>
            <w:tcW w:w="1577" w:type="dxa"/>
            <w:tcBorders>
              <w:top w:val="nil"/>
              <w:left w:val="nil"/>
              <w:bottom w:val="single" w:sz="12" w:space="0" w:color="FFFFFF"/>
              <w:right w:val="single" w:sz="12" w:space="0" w:color="FFFFFF"/>
            </w:tcBorders>
            <w:shd w:val="clear" w:color="000000" w:fill="8DB3E2"/>
            <w:noWrap/>
          </w:tcPr>
          <w:p w14:paraId="33D68FDD"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88 808,69</w:t>
            </w:r>
          </w:p>
        </w:tc>
        <w:tc>
          <w:tcPr>
            <w:tcW w:w="1660" w:type="dxa"/>
            <w:tcBorders>
              <w:top w:val="nil"/>
              <w:left w:val="nil"/>
              <w:bottom w:val="single" w:sz="12" w:space="0" w:color="FFFFFF"/>
              <w:right w:val="single" w:sz="12" w:space="0" w:color="FFFFFF"/>
            </w:tcBorders>
            <w:shd w:val="clear" w:color="000000" w:fill="8DB3E2"/>
            <w:noWrap/>
          </w:tcPr>
          <w:p w14:paraId="4959E6EE"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1 676,86</w:t>
            </w:r>
          </w:p>
        </w:tc>
        <w:tc>
          <w:tcPr>
            <w:tcW w:w="1795" w:type="dxa"/>
            <w:tcBorders>
              <w:top w:val="nil"/>
              <w:left w:val="nil"/>
              <w:bottom w:val="single" w:sz="12" w:space="0" w:color="FFFFFF"/>
              <w:right w:val="single" w:sz="12" w:space="0" w:color="FFFFFF"/>
            </w:tcBorders>
            <w:shd w:val="clear" w:color="000000" w:fill="8DB3E2"/>
            <w:noWrap/>
          </w:tcPr>
          <w:p w14:paraId="18FD038B"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87 131,83</w:t>
            </w:r>
          </w:p>
        </w:tc>
        <w:tc>
          <w:tcPr>
            <w:tcW w:w="1795" w:type="dxa"/>
            <w:tcBorders>
              <w:top w:val="nil"/>
              <w:left w:val="nil"/>
              <w:bottom w:val="single" w:sz="12" w:space="0" w:color="FFFFFF"/>
              <w:right w:val="single" w:sz="12" w:space="0" w:color="FFFFFF"/>
            </w:tcBorders>
            <w:shd w:val="clear" w:color="000000" w:fill="8DB3E2"/>
            <w:noWrap/>
          </w:tcPr>
          <w:p w14:paraId="3D7D9F1F"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91 347,40</w:t>
            </w:r>
          </w:p>
        </w:tc>
        <w:tc>
          <w:tcPr>
            <w:tcW w:w="1246" w:type="dxa"/>
            <w:tcBorders>
              <w:top w:val="nil"/>
              <w:left w:val="nil"/>
              <w:bottom w:val="single" w:sz="12" w:space="0" w:color="FFFFFF"/>
              <w:right w:val="single" w:sz="12" w:space="0" w:color="FFFFFF"/>
            </w:tcBorders>
            <w:shd w:val="clear" w:color="000000" w:fill="8DB3E2"/>
            <w:noWrap/>
          </w:tcPr>
          <w:p w14:paraId="174E47DF" w14:textId="77777777" w:rsidR="0004598E" w:rsidRPr="00094641" w:rsidRDefault="0004598E" w:rsidP="00222450">
            <w:pPr>
              <w:spacing w:after="0" w:line="240" w:lineRule="auto"/>
              <w:jc w:val="right"/>
              <w:rPr>
                <w:rFonts w:cs="Calibri"/>
                <w:b/>
                <w:bCs/>
                <w:sz w:val="20"/>
                <w:szCs w:val="20"/>
                <w:lang w:eastAsia="sk-SK"/>
              </w:rPr>
            </w:pPr>
            <w:r>
              <w:rPr>
                <w:rFonts w:cs="Calibri"/>
                <w:b/>
                <w:bCs/>
                <w:sz w:val="20"/>
                <w:szCs w:val="20"/>
                <w:lang w:eastAsia="sk-SK"/>
              </w:rPr>
              <w:t>-4 215,57</w:t>
            </w:r>
          </w:p>
        </w:tc>
      </w:tr>
    </w:tbl>
    <w:p w14:paraId="7AA956D6" w14:textId="487FE83A" w:rsidR="00F41DDA" w:rsidRDefault="00F41DDA" w:rsidP="00F41DDA">
      <w:pPr>
        <w:autoSpaceDE w:val="0"/>
        <w:autoSpaceDN w:val="0"/>
        <w:adjustRightInd w:val="0"/>
        <w:jc w:val="both"/>
      </w:pPr>
    </w:p>
    <w:p w14:paraId="4B659F49" w14:textId="77777777" w:rsidR="0004598E" w:rsidRPr="00094641" w:rsidRDefault="0004598E" w:rsidP="00F41DDA">
      <w:pPr>
        <w:autoSpaceDE w:val="0"/>
        <w:autoSpaceDN w:val="0"/>
        <w:adjustRightInd w:val="0"/>
        <w:jc w:val="both"/>
      </w:pPr>
    </w:p>
    <w:p w14:paraId="28713ADC" w14:textId="4552BE90" w:rsidR="00BE704E" w:rsidRPr="00045FB6" w:rsidRDefault="00BE704E" w:rsidP="00224AB4">
      <w:pPr>
        <w:pStyle w:val="tl1"/>
        <w:numPr>
          <w:ilvl w:val="0"/>
          <w:numId w:val="35"/>
        </w:numPr>
      </w:pPr>
      <w:r w:rsidRPr="00045FB6">
        <w:lastRenderedPageBreak/>
        <w:t xml:space="preserve">Prehľad o stave a vývoji dlhu BSK </w:t>
      </w:r>
    </w:p>
    <w:p w14:paraId="1AEBD5D4" w14:textId="77777777" w:rsidR="00BE704E" w:rsidRDefault="00A711BC" w:rsidP="00BE704E">
      <w:pPr>
        <w:shd w:val="clear" w:color="auto" w:fill="FFFFFF"/>
        <w:spacing w:after="0" w:line="240" w:lineRule="auto"/>
        <w:ind w:firstLine="142"/>
        <w:jc w:val="both"/>
        <w:rPr>
          <w:sz w:val="24"/>
          <w:szCs w:val="24"/>
        </w:rPr>
      </w:pPr>
      <w:r>
        <w:pict w14:anchorId="0F429A41">
          <v:rect id="_x0000_i1030" style="width:0;height:1.5pt" o:hralign="center" o:hrstd="t" o:hr="t" fillcolor="#a0a0a0" stroked="f"/>
        </w:pict>
      </w:r>
    </w:p>
    <w:p w14:paraId="6476D990" w14:textId="77777777" w:rsidR="00BE704E" w:rsidRPr="00FF591F" w:rsidRDefault="003159A8" w:rsidP="003159A8">
      <w:pPr>
        <w:shd w:val="clear" w:color="auto" w:fill="FFFFFF"/>
        <w:spacing w:after="0" w:line="240" w:lineRule="auto"/>
        <w:jc w:val="both"/>
        <w:rPr>
          <w:sz w:val="24"/>
          <w:szCs w:val="24"/>
        </w:rPr>
      </w:pPr>
      <w:r>
        <w:rPr>
          <w:sz w:val="24"/>
          <w:szCs w:val="24"/>
        </w:rPr>
        <w:t>V</w:t>
      </w:r>
      <w:r w:rsidR="00BE704E" w:rsidRPr="00FF591F">
        <w:rPr>
          <w:sz w:val="24"/>
          <w:szCs w:val="24"/>
        </w:rPr>
        <w:t xml:space="preserve"> súlade s ustanovením § 17 ods. 7 zákona NR SR č. 583/2004 Z. z. o rozpočtových pravidlách územnej samosprávy a o zmene a doplnení niektorých zákonov v znení neskorších predpisov sa celkovou sumou dlhu vyššieho územného celku rozumie súhrn záväzkov vyplývajúcich zo splácania istín návratných zdrojov financovania, záväzkov z investičných dodávateľských úverov ku koncu rozpočtového roka a suma ručiteľských záväzkov vyššieho územného celku.</w:t>
      </w:r>
      <w:r w:rsidR="000854B9" w:rsidRPr="00FF591F">
        <w:rPr>
          <w:sz w:val="24"/>
          <w:szCs w:val="24"/>
        </w:rPr>
        <w:t xml:space="preserve"> </w:t>
      </w:r>
    </w:p>
    <w:p w14:paraId="3E856851" w14:textId="77777777" w:rsidR="00BE704E" w:rsidRPr="00FF591F" w:rsidRDefault="00BE704E" w:rsidP="00BE704E">
      <w:pPr>
        <w:shd w:val="clear" w:color="auto" w:fill="FFFFFF"/>
        <w:spacing w:after="0" w:line="240" w:lineRule="auto"/>
        <w:ind w:firstLine="708"/>
        <w:jc w:val="both"/>
        <w:rPr>
          <w:sz w:val="24"/>
          <w:szCs w:val="24"/>
        </w:rPr>
      </w:pPr>
    </w:p>
    <w:p w14:paraId="1EFFC0B2" w14:textId="77777777" w:rsidR="000854B9" w:rsidRPr="000854B9" w:rsidRDefault="000854B9" w:rsidP="000854B9">
      <w:pPr>
        <w:widowControl w:val="0"/>
        <w:shd w:val="clear" w:color="auto" w:fill="FFFFFF"/>
        <w:tabs>
          <w:tab w:val="left" w:pos="-3261"/>
        </w:tabs>
        <w:autoSpaceDE w:val="0"/>
        <w:autoSpaceDN w:val="0"/>
        <w:adjustRightInd w:val="0"/>
        <w:spacing w:after="120" w:line="240" w:lineRule="auto"/>
        <w:jc w:val="both"/>
        <w:rPr>
          <w:b/>
          <w:bCs/>
          <w:sz w:val="24"/>
          <w:szCs w:val="24"/>
          <w:u w:val="single"/>
        </w:rPr>
      </w:pPr>
      <w:r w:rsidRPr="000854B9">
        <w:rPr>
          <w:b/>
          <w:bCs/>
          <w:sz w:val="24"/>
          <w:szCs w:val="24"/>
          <w:u w:val="single"/>
        </w:rPr>
        <w:t xml:space="preserve">Dodržanie podmienok na prijatie návratných zdrojov financovania </w:t>
      </w:r>
    </w:p>
    <w:p w14:paraId="54903B43" w14:textId="77777777" w:rsidR="000854B9" w:rsidRPr="00FF591F" w:rsidRDefault="000854B9" w:rsidP="000854B9">
      <w:pPr>
        <w:widowControl w:val="0"/>
        <w:shd w:val="clear" w:color="auto" w:fill="FFFFFF"/>
        <w:tabs>
          <w:tab w:val="left" w:pos="-3261"/>
        </w:tabs>
        <w:autoSpaceDE w:val="0"/>
        <w:autoSpaceDN w:val="0"/>
        <w:adjustRightInd w:val="0"/>
        <w:spacing w:after="120" w:line="240" w:lineRule="auto"/>
        <w:jc w:val="both"/>
      </w:pPr>
      <w:r w:rsidRPr="00FF591F">
        <w:t xml:space="preserve">Bratislavský samosprávny kraj v zmysle ustanovenia § 17 </w:t>
      </w:r>
      <w:r w:rsidR="00B248C2">
        <w:t xml:space="preserve">ods. 6 </w:t>
      </w:r>
      <w:r w:rsidRPr="00FF591F">
        <w:t xml:space="preserve">zákona č. 583/2004 </w:t>
      </w:r>
      <w:proofErr w:type="spellStart"/>
      <w:r w:rsidRPr="00FF591F">
        <w:t>Z.z</w:t>
      </w:r>
      <w:proofErr w:type="spellEnd"/>
      <w:r w:rsidRPr="00FF591F">
        <w:t xml:space="preserve">. o rozpočtových pravidlách územnej samosprávy a o zmene a doplnení niektorých zákonov v </w:t>
      </w:r>
      <w:proofErr w:type="spellStart"/>
      <w:r w:rsidRPr="00FF591F">
        <w:t>z.n.p</w:t>
      </w:r>
      <w:proofErr w:type="spellEnd"/>
      <w:r w:rsidRPr="00FF591F">
        <w:t xml:space="preserve">. môže na plnenie svojich úloh prijať návratné zdroje financovania len ak: </w:t>
      </w:r>
    </w:p>
    <w:p w14:paraId="3C3E67EF" w14:textId="77777777" w:rsidR="000854B9" w:rsidRPr="00FF591F" w:rsidRDefault="000854B9" w:rsidP="000854B9">
      <w:pPr>
        <w:widowControl w:val="0"/>
        <w:shd w:val="clear" w:color="auto" w:fill="FFFFFF"/>
        <w:tabs>
          <w:tab w:val="left" w:pos="-3261"/>
        </w:tabs>
        <w:autoSpaceDE w:val="0"/>
        <w:autoSpaceDN w:val="0"/>
        <w:adjustRightInd w:val="0"/>
        <w:spacing w:after="120" w:line="240" w:lineRule="auto"/>
        <w:jc w:val="both"/>
      </w:pPr>
      <w:r w:rsidRPr="00FF591F">
        <w:t xml:space="preserve">a) celková suma dlhu neprekročí 60% skutočných bežných príjmov predchádzajúceho rozpočtového roka a </w:t>
      </w:r>
    </w:p>
    <w:tbl>
      <w:tblPr>
        <w:tblpPr w:leftFromText="141" w:rightFromText="141" w:vertAnchor="text" w:horzAnchor="margin" w:tblpY="1481"/>
        <w:tblW w:w="10520" w:type="dxa"/>
        <w:tblCellMar>
          <w:left w:w="70" w:type="dxa"/>
          <w:right w:w="70" w:type="dxa"/>
        </w:tblCellMar>
        <w:tblLook w:val="04A0" w:firstRow="1" w:lastRow="0" w:firstColumn="1" w:lastColumn="0" w:noHBand="0" w:noVBand="1"/>
      </w:tblPr>
      <w:tblGrid>
        <w:gridCol w:w="3387"/>
        <w:gridCol w:w="1560"/>
        <w:gridCol w:w="1417"/>
        <w:gridCol w:w="1418"/>
        <w:gridCol w:w="1275"/>
        <w:gridCol w:w="1463"/>
      </w:tblGrid>
      <w:tr w:rsidR="00680CE2" w:rsidRPr="00FF591F" w14:paraId="254107F9" w14:textId="77777777" w:rsidTr="002F4402">
        <w:trPr>
          <w:trHeight w:val="247"/>
        </w:trPr>
        <w:tc>
          <w:tcPr>
            <w:tcW w:w="3387" w:type="dxa"/>
            <w:tcBorders>
              <w:top w:val="single" w:sz="12" w:space="0" w:color="FFFFFF"/>
              <w:left w:val="single" w:sz="12" w:space="0" w:color="FFFFFF"/>
              <w:bottom w:val="single" w:sz="12" w:space="0" w:color="FFFFFF"/>
              <w:right w:val="single" w:sz="12" w:space="0" w:color="FFFFFF"/>
            </w:tcBorders>
            <w:shd w:val="clear" w:color="000000" w:fill="8DB3E2"/>
            <w:vAlign w:val="center"/>
            <w:hideMark/>
          </w:tcPr>
          <w:p w14:paraId="4126198F" w14:textId="77777777" w:rsidR="00680CE2" w:rsidRPr="00F90874" w:rsidRDefault="00680CE2" w:rsidP="00680CE2">
            <w:pPr>
              <w:spacing w:after="0" w:line="240" w:lineRule="auto"/>
              <w:rPr>
                <w:rFonts w:cs="Calibri"/>
                <w:b/>
                <w:bCs/>
                <w:color w:val="000000"/>
                <w:lang w:eastAsia="sk-SK"/>
              </w:rPr>
            </w:pPr>
            <w:r w:rsidRPr="00F90874">
              <w:rPr>
                <w:rFonts w:cs="Calibri"/>
                <w:b/>
                <w:bCs/>
                <w:color w:val="000000"/>
                <w:lang w:eastAsia="sk-SK"/>
              </w:rPr>
              <w:t xml:space="preserve">Ukazovatele </w:t>
            </w:r>
            <w:proofErr w:type="spellStart"/>
            <w:r w:rsidRPr="00F90874">
              <w:rPr>
                <w:rFonts w:cs="Calibri"/>
                <w:b/>
                <w:bCs/>
                <w:color w:val="000000"/>
                <w:lang w:eastAsia="sk-SK"/>
              </w:rPr>
              <w:t>zadĺženosti</w:t>
            </w:r>
            <w:proofErr w:type="spellEnd"/>
          </w:p>
        </w:tc>
        <w:tc>
          <w:tcPr>
            <w:tcW w:w="1560" w:type="dxa"/>
            <w:tcBorders>
              <w:top w:val="single" w:sz="12" w:space="0" w:color="FFFFFF"/>
              <w:left w:val="nil"/>
              <w:bottom w:val="single" w:sz="12" w:space="0" w:color="FFFFFF"/>
              <w:right w:val="single" w:sz="12" w:space="0" w:color="FFFFFF"/>
            </w:tcBorders>
            <w:shd w:val="clear" w:color="000000" w:fill="8DB3E2"/>
            <w:hideMark/>
          </w:tcPr>
          <w:p w14:paraId="6DAF65B4" w14:textId="23E80EA6" w:rsidR="00680CE2" w:rsidRDefault="00680CE2" w:rsidP="00680CE2">
            <w:pPr>
              <w:spacing w:after="0" w:line="240" w:lineRule="auto"/>
              <w:jc w:val="center"/>
              <w:rPr>
                <w:rFonts w:cs="Calibri"/>
                <w:b/>
                <w:bCs/>
                <w:color w:val="000000"/>
                <w:lang w:eastAsia="sk-SK"/>
              </w:rPr>
            </w:pPr>
            <w:r>
              <w:rPr>
                <w:rFonts w:cs="Calibri"/>
                <w:b/>
                <w:bCs/>
                <w:color w:val="000000"/>
              </w:rPr>
              <w:t>2016</w:t>
            </w:r>
          </w:p>
        </w:tc>
        <w:tc>
          <w:tcPr>
            <w:tcW w:w="1417" w:type="dxa"/>
            <w:tcBorders>
              <w:top w:val="single" w:sz="12" w:space="0" w:color="FFFFFF"/>
              <w:left w:val="nil"/>
              <w:bottom w:val="single" w:sz="12" w:space="0" w:color="FFFFFF"/>
              <w:right w:val="single" w:sz="12" w:space="0" w:color="FFFFFF"/>
            </w:tcBorders>
            <w:shd w:val="clear" w:color="000000" w:fill="8DB3E2"/>
            <w:hideMark/>
          </w:tcPr>
          <w:p w14:paraId="7CDD93A9" w14:textId="03C71154" w:rsidR="00680CE2" w:rsidRDefault="00680CE2" w:rsidP="00680CE2">
            <w:pPr>
              <w:jc w:val="center"/>
              <w:rPr>
                <w:rFonts w:cs="Calibri"/>
                <w:b/>
                <w:bCs/>
                <w:color w:val="000000"/>
              </w:rPr>
            </w:pPr>
            <w:r>
              <w:rPr>
                <w:rFonts w:cs="Calibri"/>
                <w:b/>
                <w:bCs/>
                <w:color w:val="000000"/>
              </w:rPr>
              <w:t>2017</w:t>
            </w:r>
          </w:p>
        </w:tc>
        <w:tc>
          <w:tcPr>
            <w:tcW w:w="1418" w:type="dxa"/>
            <w:tcBorders>
              <w:top w:val="single" w:sz="12" w:space="0" w:color="FFFFFF"/>
              <w:left w:val="nil"/>
              <w:bottom w:val="single" w:sz="12" w:space="0" w:color="FFFFFF"/>
              <w:right w:val="single" w:sz="12" w:space="0" w:color="FFFFFF"/>
            </w:tcBorders>
            <w:shd w:val="clear" w:color="000000" w:fill="8DB3E2"/>
          </w:tcPr>
          <w:p w14:paraId="5B76C28A" w14:textId="52737B8C" w:rsidR="00680CE2" w:rsidRDefault="00680CE2" w:rsidP="00680CE2">
            <w:pPr>
              <w:jc w:val="center"/>
              <w:rPr>
                <w:rFonts w:cs="Calibri"/>
                <w:b/>
                <w:bCs/>
                <w:color w:val="000000"/>
              </w:rPr>
            </w:pPr>
            <w:r w:rsidRPr="00F90874">
              <w:rPr>
                <w:rFonts w:cs="Calibri"/>
                <w:b/>
                <w:bCs/>
                <w:color w:val="000000"/>
                <w:lang w:eastAsia="sk-SK"/>
              </w:rPr>
              <w:t>2018</w:t>
            </w:r>
          </w:p>
        </w:tc>
        <w:tc>
          <w:tcPr>
            <w:tcW w:w="1275" w:type="dxa"/>
            <w:tcBorders>
              <w:top w:val="single" w:sz="12" w:space="0" w:color="FFFFFF"/>
              <w:left w:val="nil"/>
              <w:bottom w:val="single" w:sz="12" w:space="0" w:color="FFFFFF"/>
              <w:right w:val="single" w:sz="12" w:space="0" w:color="FFFFFF"/>
            </w:tcBorders>
            <w:shd w:val="clear" w:color="000000" w:fill="8DB3E2"/>
          </w:tcPr>
          <w:p w14:paraId="7612039E" w14:textId="4152A575" w:rsidR="00680CE2" w:rsidRPr="00F90874" w:rsidRDefault="00680CE2" w:rsidP="00680CE2">
            <w:pPr>
              <w:spacing w:after="0" w:line="240" w:lineRule="auto"/>
              <w:jc w:val="center"/>
              <w:rPr>
                <w:rFonts w:cs="Calibri"/>
                <w:b/>
                <w:bCs/>
                <w:color w:val="000000"/>
                <w:lang w:eastAsia="sk-SK"/>
              </w:rPr>
            </w:pPr>
            <w:r w:rsidRPr="00F90874">
              <w:rPr>
                <w:rFonts w:cs="Calibri"/>
                <w:b/>
                <w:bCs/>
                <w:color w:val="000000"/>
                <w:lang w:eastAsia="sk-SK"/>
              </w:rPr>
              <w:t>2019</w:t>
            </w:r>
          </w:p>
        </w:tc>
        <w:tc>
          <w:tcPr>
            <w:tcW w:w="1463" w:type="dxa"/>
            <w:tcBorders>
              <w:top w:val="single" w:sz="12" w:space="0" w:color="FFFFFF"/>
              <w:left w:val="nil"/>
              <w:bottom w:val="single" w:sz="12" w:space="0" w:color="FFFFFF"/>
              <w:right w:val="single" w:sz="12" w:space="0" w:color="FFFFFF"/>
            </w:tcBorders>
            <w:shd w:val="clear" w:color="000000" w:fill="8DB3E2"/>
          </w:tcPr>
          <w:p w14:paraId="2C21BC49" w14:textId="6F0B14C7" w:rsidR="00680CE2" w:rsidRPr="00F90874" w:rsidRDefault="00680CE2" w:rsidP="00680CE2">
            <w:pPr>
              <w:spacing w:after="0" w:line="240" w:lineRule="auto"/>
              <w:jc w:val="center"/>
              <w:rPr>
                <w:rFonts w:cs="Calibri"/>
                <w:b/>
                <w:bCs/>
                <w:color w:val="000000"/>
                <w:lang w:eastAsia="sk-SK"/>
              </w:rPr>
            </w:pPr>
            <w:r>
              <w:rPr>
                <w:rFonts w:cs="Calibri"/>
                <w:b/>
                <w:bCs/>
                <w:color w:val="000000"/>
                <w:lang w:eastAsia="sk-SK"/>
              </w:rPr>
              <w:t>2020</w:t>
            </w:r>
          </w:p>
        </w:tc>
      </w:tr>
      <w:tr w:rsidR="00680CE2" w:rsidRPr="00FF591F" w14:paraId="1C6BB5B8" w14:textId="77777777" w:rsidTr="002F4402">
        <w:trPr>
          <w:trHeight w:hRule="exact" w:val="310"/>
        </w:trPr>
        <w:tc>
          <w:tcPr>
            <w:tcW w:w="3387" w:type="dxa"/>
            <w:tcBorders>
              <w:top w:val="nil"/>
              <w:left w:val="single" w:sz="12" w:space="0" w:color="FFFFFF"/>
              <w:bottom w:val="single" w:sz="12" w:space="0" w:color="FFFFFF"/>
              <w:right w:val="single" w:sz="12" w:space="0" w:color="FFFFFF"/>
            </w:tcBorders>
            <w:shd w:val="clear" w:color="000000" w:fill="F2F2F2"/>
            <w:vAlign w:val="center"/>
            <w:hideMark/>
          </w:tcPr>
          <w:p w14:paraId="4ADBB1ED" w14:textId="77777777" w:rsidR="00680CE2" w:rsidRPr="00F90874" w:rsidRDefault="00680CE2" w:rsidP="00680CE2">
            <w:pPr>
              <w:spacing w:after="0" w:line="240" w:lineRule="auto"/>
              <w:rPr>
                <w:rFonts w:cs="Calibri"/>
                <w:color w:val="000000"/>
                <w:lang w:eastAsia="sk-SK"/>
              </w:rPr>
            </w:pPr>
            <w:r w:rsidRPr="00F90874">
              <w:rPr>
                <w:rFonts w:cs="Calibri"/>
                <w:color w:val="000000"/>
                <w:lang w:eastAsia="sk-SK"/>
              </w:rPr>
              <w:t>Bežné príjmy</w:t>
            </w:r>
          </w:p>
        </w:tc>
        <w:tc>
          <w:tcPr>
            <w:tcW w:w="1560" w:type="dxa"/>
            <w:tcBorders>
              <w:top w:val="nil"/>
              <w:left w:val="nil"/>
              <w:bottom w:val="single" w:sz="12" w:space="0" w:color="FFFFFF"/>
              <w:right w:val="single" w:sz="12" w:space="0" w:color="FFFFFF"/>
            </w:tcBorders>
            <w:shd w:val="clear" w:color="000000" w:fill="F2F2F2"/>
            <w:vAlign w:val="center"/>
          </w:tcPr>
          <w:p w14:paraId="69459C19" w14:textId="5D9588F8" w:rsidR="00680CE2" w:rsidRDefault="00680CE2" w:rsidP="00680CE2">
            <w:pPr>
              <w:spacing w:after="0" w:line="240" w:lineRule="auto"/>
              <w:jc w:val="right"/>
              <w:rPr>
                <w:rFonts w:cs="Calibri"/>
                <w:color w:val="000000"/>
                <w:lang w:eastAsia="sk-SK"/>
              </w:rPr>
            </w:pPr>
            <w:r>
              <w:rPr>
                <w:rFonts w:cs="Calibri"/>
                <w:color w:val="000000"/>
              </w:rPr>
              <w:t>129 444 806</w:t>
            </w:r>
          </w:p>
        </w:tc>
        <w:tc>
          <w:tcPr>
            <w:tcW w:w="1417" w:type="dxa"/>
            <w:tcBorders>
              <w:top w:val="nil"/>
              <w:left w:val="nil"/>
              <w:bottom w:val="single" w:sz="12" w:space="0" w:color="FFFFFF"/>
              <w:right w:val="single" w:sz="12" w:space="0" w:color="FFFFFF"/>
            </w:tcBorders>
            <w:shd w:val="clear" w:color="000000" w:fill="F2F2F2"/>
            <w:vAlign w:val="center"/>
          </w:tcPr>
          <w:p w14:paraId="2E826478" w14:textId="457749A1" w:rsidR="00680CE2" w:rsidRDefault="00680CE2" w:rsidP="00680CE2">
            <w:pPr>
              <w:jc w:val="right"/>
              <w:rPr>
                <w:rFonts w:cs="Calibri"/>
                <w:color w:val="000000"/>
              </w:rPr>
            </w:pPr>
            <w:r>
              <w:rPr>
                <w:rFonts w:cs="Calibri"/>
                <w:color w:val="000000"/>
              </w:rPr>
              <w:t>135 795 820</w:t>
            </w:r>
          </w:p>
        </w:tc>
        <w:tc>
          <w:tcPr>
            <w:tcW w:w="1418" w:type="dxa"/>
            <w:tcBorders>
              <w:top w:val="nil"/>
              <w:left w:val="nil"/>
              <w:bottom w:val="single" w:sz="12" w:space="0" w:color="FFFFFF"/>
              <w:right w:val="single" w:sz="12" w:space="0" w:color="FFFFFF"/>
            </w:tcBorders>
            <w:shd w:val="clear" w:color="000000" w:fill="F2F2F2"/>
            <w:vAlign w:val="center"/>
          </w:tcPr>
          <w:p w14:paraId="5B550CF5" w14:textId="04CA66DE" w:rsidR="00680CE2" w:rsidRDefault="00680CE2" w:rsidP="00680CE2">
            <w:pPr>
              <w:jc w:val="right"/>
              <w:rPr>
                <w:rFonts w:cs="Calibri"/>
                <w:color w:val="000000"/>
              </w:rPr>
            </w:pPr>
            <w:r>
              <w:rPr>
                <w:rFonts w:cs="Calibri"/>
                <w:color w:val="000000"/>
              </w:rPr>
              <w:t>147 289 399</w:t>
            </w:r>
          </w:p>
        </w:tc>
        <w:tc>
          <w:tcPr>
            <w:tcW w:w="1275" w:type="dxa"/>
            <w:tcBorders>
              <w:top w:val="nil"/>
              <w:left w:val="nil"/>
              <w:bottom w:val="single" w:sz="12" w:space="0" w:color="FFFFFF"/>
              <w:right w:val="single" w:sz="12" w:space="0" w:color="FFFFFF"/>
            </w:tcBorders>
            <w:shd w:val="clear" w:color="000000" w:fill="F2F2F2"/>
            <w:vAlign w:val="center"/>
          </w:tcPr>
          <w:p w14:paraId="68DF0A23" w14:textId="17AA4CDA" w:rsidR="00680CE2" w:rsidRDefault="00680CE2" w:rsidP="00680CE2">
            <w:pPr>
              <w:jc w:val="right"/>
              <w:rPr>
                <w:rFonts w:cs="Calibri"/>
                <w:color w:val="000000"/>
              </w:rPr>
            </w:pPr>
            <w:r>
              <w:rPr>
                <w:rFonts w:cs="Calibri"/>
                <w:color w:val="000000"/>
              </w:rPr>
              <w:t>166 251 797</w:t>
            </w:r>
          </w:p>
        </w:tc>
        <w:tc>
          <w:tcPr>
            <w:tcW w:w="1463" w:type="dxa"/>
            <w:tcBorders>
              <w:top w:val="nil"/>
              <w:left w:val="nil"/>
              <w:bottom w:val="single" w:sz="12" w:space="0" w:color="FFFFFF"/>
              <w:right w:val="single" w:sz="12" w:space="0" w:color="FFFFFF"/>
            </w:tcBorders>
            <w:shd w:val="clear" w:color="000000" w:fill="F2F2F2"/>
            <w:vAlign w:val="center"/>
          </w:tcPr>
          <w:p w14:paraId="4F94D993" w14:textId="64D7EEBB" w:rsidR="00680CE2" w:rsidRPr="00680CE2" w:rsidRDefault="00224AB4" w:rsidP="00680CE2">
            <w:pPr>
              <w:jc w:val="right"/>
              <w:rPr>
                <w:rFonts w:cs="Calibri"/>
                <w:color w:val="000000"/>
                <w:highlight w:val="yellow"/>
              </w:rPr>
            </w:pPr>
            <w:r w:rsidRPr="00224AB4">
              <w:rPr>
                <w:rFonts w:cs="Calibri"/>
                <w:color w:val="000000"/>
              </w:rPr>
              <w:t>175 613 428</w:t>
            </w:r>
          </w:p>
        </w:tc>
      </w:tr>
      <w:tr w:rsidR="00680CE2" w:rsidRPr="00FF591F" w14:paraId="78D736C4" w14:textId="77777777" w:rsidTr="00347AC7">
        <w:trPr>
          <w:trHeight w:hRule="exact" w:val="314"/>
        </w:trPr>
        <w:tc>
          <w:tcPr>
            <w:tcW w:w="3387" w:type="dxa"/>
            <w:tcBorders>
              <w:top w:val="nil"/>
              <w:left w:val="single" w:sz="12" w:space="0" w:color="FFFFFF"/>
              <w:bottom w:val="single" w:sz="12" w:space="0" w:color="FFFFFF"/>
              <w:right w:val="single" w:sz="12" w:space="0" w:color="FFFFFF"/>
            </w:tcBorders>
            <w:shd w:val="clear" w:color="000000" w:fill="F2F2F2"/>
            <w:vAlign w:val="center"/>
            <w:hideMark/>
          </w:tcPr>
          <w:p w14:paraId="6B271B19" w14:textId="77777777" w:rsidR="00680CE2" w:rsidRPr="00F90874" w:rsidRDefault="00680CE2" w:rsidP="00680CE2">
            <w:pPr>
              <w:spacing w:after="0" w:line="240" w:lineRule="auto"/>
              <w:rPr>
                <w:rFonts w:cs="Calibri"/>
                <w:color w:val="000000"/>
                <w:lang w:eastAsia="sk-SK"/>
              </w:rPr>
            </w:pPr>
            <w:r w:rsidRPr="00F90874">
              <w:rPr>
                <w:rFonts w:cs="Calibri"/>
                <w:color w:val="000000"/>
                <w:lang w:eastAsia="sk-SK"/>
              </w:rPr>
              <w:t>Bežné príjmy znížené o dotácie</w:t>
            </w:r>
          </w:p>
        </w:tc>
        <w:tc>
          <w:tcPr>
            <w:tcW w:w="1560" w:type="dxa"/>
            <w:tcBorders>
              <w:top w:val="nil"/>
              <w:left w:val="nil"/>
              <w:bottom w:val="single" w:sz="12" w:space="0" w:color="FFFFFF"/>
              <w:right w:val="single" w:sz="12" w:space="0" w:color="FFFFFF"/>
            </w:tcBorders>
            <w:shd w:val="clear" w:color="000000" w:fill="F2F2F2"/>
            <w:vAlign w:val="center"/>
            <w:hideMark/>
          </w:tcPr>
          <w:p w14:paraId="56478451" w14:textId="3AFF97CB" w:rsidR="00680CE2" w:rsidRDefault="00680CE2" w:rsidP="00680CE2">
            <w:pPr>
              <w:jc w:val="right"/>
              <w:rPr>
                <w:rFonts w:cs="Calibri"/>
                <w:color w:val="000000"/>
              </w:rPr>
            </w:pPr>
            <w:r>
              <w:rPr>
                <w:rFonts w:cs="Calibri"/>
                <w:color w:val="000000"/>
              </w:rPr>
              <w:t>86 887 701</w:t>
            </w:r>
          </w:p>
        </w:tc>
        <w:tc>
          <w:tcPr>
            <w:tcW w:w="1417" w:type="dxa"/>
            <w:tcBorders>
              <w:top w:val="nil"/>
              <w:left w:val="nil"/>
              <w:bottom w:val="single" w:sz="12" w:space="0" w:color="FFFFFF"/>
              <w:right w:val="single" w:sz="12" w:space="0" w:color="FFFFFF"/>
            </w:tcBorders>
            <w:shd w:val="clear" w:color="000000" w:fill="F2F2F2"/>
            <w:vAlign w:val="center"/>
            <w:hideMark/>
          </w:tcPr>
          <w:p w14:paraId="10AC098B" w14:textId="12BAFDC1" w:rsidR="00680CE2" w:rsidRDefault="00680CE2" w:rsidP="00680CE2">
            <w:pPr>
              <w:jc w:val="right"/>
              <w:rPr>
                <w:rFonts w:cs="Calibri"/>
                <w:color w:val="000000"/>
              </w:rPr>
            </w:pPr>
            <w:r>
              <w:rPr>
                <w:rFonts w:cs="Calibri"/>
                <w:color w:val="000000"/>
              </w:rPr>
              <w:t>89 116 390</w:t>
            </w:r>
          </w:p>
        </w:tc>
        <w:tc>
          <w:tcPr>
            <w:tcW w:w="1418" w:type="dxa"/>
            <w:tcBorders>
              <w:top w:val="nil"/>
              <w:left w:val="nil"/>
              <w:bottom w:val="single" w:sz="12" w:space="0" w:color="FFFFFF"/>
              <w:right w:val="single" w:sz="12" w:space="0" w:color="FFFFFF"/>
            </w:tcBorders>
            <w:shd w:val="clear" w:color="000000" w:fill="F2F2F2"/>
            <w:vAlign w:val="center"/>
          </w:tcPr>
          <w:p w14:paraId="32F6E579" w14:textId="2EEB32B2" w:rsidR="00680CE2" w:rsidRDefault="00680CE2" w:rsidP="00680CE2">
            <w:pPr>
              <w:jc w:val="right"/>
              <w:rPr>
                <w:rFonts w:cs="Calibri"/>
                <w:color w:val="000000"/>
              </w:rPr>
            </w:pPr>
            <w:r>
              <w:rPr>
                <w:rFonts w:cs="Calibri"/>
                <w:color w:val="000000"/>
              </w:rPr>
              <w:t>99 160 369</w:t>
            </w:r>
          </w:p>
        </w:tc>
        <w:tc>
          <w:tcPr>
            <w:tcW w:w="1275" w:type="dxa"/>
            <w:tcBorders>
              <w:top w:val="nil"/>
              <w:left w:val="nil"/>
              <w:bottom w:val="single" w:sz="12" w:space="0" w:color="FFFFFF"/>
              <w:right w:val="single" w:sz="12" w:space="0" w:color="FFFFFF"/>
            </w:tcBorders>
            <w:shd w:val="clear" w:color="000000" w:fill="F2F2F2"/>
            <w:vAlign w:val="center"/>
          </w:tcPr>
          <w:p w14:paraId="44CE33D7" w14:textId="1E645D01" w:rsidR="00680CE2" w:rsidRDefault="00680CE2" w:rsidP="00680CE2">
            <w:pPr>
              <w:jc w:val="right"/>
              <w:rPr>
                <w:rFonts w:cs="Calibri"/>
                <w:color w:val="000000"/>
              </w:rPr>
            </w:pPr>
            <w:r>
              <w:rPr>
                <w:rFonts w:cs="Calibri"/>
                <w:color w:val="000000"/>
              </w:rPr>
              <w:t>110 336 419</w:t>
            </w:r>
          </w:p>
        </w:tc>
        <w:tc>
          <w:tcPr>
            <w:tcW w:w="1463" w:type="dxa"/>
            <w:tcBorders>
              <w:top w:val="nil"/>
              <w:left w:val="nil"/>
              <w:bottom w:val="single" w:sz="12" w:space="0" w:color="FFFFFF"/>
              <w:right w:val="single" w:sz="12" w:space="0" w:color="FFFFFF"/>
            </w:tcBorders>
            <w:shd w:val="clear" w:color="000000" w:fill="F2F2F2"/>
            <w:vAlign w:val="center"/>
          </w:tcPr>
          <w:p w14:paraId="2D0CCE0B" w14:textId="7938A30F" w:rsidR="00347AC7" w:rsidRDefault="00347AC7" w:rsidP="00347AC7">
            <w:pPr>
              <w:spacing w:after="0" w:line="240" w:lineRule="auto"/>
              <w:jc w:val="right"/>
              <w:rPr>
                <w:rFonts w:cs="Calibri"/>
                <w:color w:val="000000"/>
                <w:lang w:eastAsia="sk-SK"/>
              </w:rPr>
            </w:pPr>
            <w:r>
              <w:rPr>
                <w:rFonts w:cs="Calibri"/>
                <w:color w:val="000000"/>
              </w:rPr>
              <w:t>110 521 552</w:t>
            </w:r>
          </w:p>
          <w:p w14:paraId="35A793A0" w14:textId="52A73FFD" w:rsidR="00680CE2" w:rsidRPr="00680CE2" w:rsidRDefault="00680CE2" w:rsidP="00347AC7">
            <w:pPr>
              <w:rPr>
                <w:rFonts w:cs="Calibri"/>
                <w:color w:val="000000"/>
                <w:highlight w:val="yellow"/>
              </w:rPr>
            </w:pPr>
          </w:p>
        </w:tc>
      </w:tr>
      <w:tr w:rsidR="00680CE2" w:rsidRPr="00FF591F" w14:paraId="6549C627" w14:textId="77777777" w:rsidTr="002F4402">
        <w:trPr>
          <w:trHeight w:hRule="exact" w:val="310"/>
        </w:trPr>
        <w:tc>
          <w:tcPr>
            <w:tcW w:w="3387" w:type="dxa"/>
            <w:tcBorders>
              <w:top w:val="nil"/>
              <w:left w:val="single" w:sz="12" w:space="0" w:color="FFFFFF"/>
              <w:bottom w:val="single" w:sz="12" w:space="0" w:color="FFFFFF"/>
              <w:right w:val="single" w:sz="12" w:space="0" w:color="FFFFFF"/>
            </w:tcBorders>
            <w:shd w:val="clear" w:color="000000" w:fill="F2F2F2"/>
            <w:vAlign w:val="center"/>
            <w:hideMark/>
          </w:tcPr>
          <w:p w14:paraId="735CEEA4" w14:textId="77777777" w:rsidR="00680CE2" w:rsidRPr="00F90874" w:rsidRDefault="00680CE2" w:rsidP="00680CE2">
            <w:pPr>
              <w:spacing w:after="0" w:line="240" w:lineRule="auto"/>
              <w:rPr>
                <w:rFonts w:cs="Calibri"/>
                <w:color w:val="000000"/>
                <w:lang w:eastAsia="sk-SK"/>
              </w:rPr>
            </w:pPr>
            <w:r w:rsidRPr="00F90874">
              <w:rPr>
                <w:rFonts w:cs="Calibri"/>
                <w:color w:val="000000"/>
                <w:lang w:eastAsia="sk-SK"/>
              </w:rPr>
              <w:t>Výška dlhu</w:t>
            </w:r>
          </w:p>
        </w:tc>
        <w:tc>
          <w:tcPr>
            <w:tcW w:w="1560" w:type="dxa"/>
            <w:tcBorders>
              <w:top w:val="nil"/>
              <w:left w:val="nil"/>
              <w:bottom w:val="single" w:sz="12" w:space="0" w:color="FFFFFF"/>
              <w:right w:val="single" w:sz="12" w:space="0" w:color="FFFFFF"/>
            </w:tcBorders>
            <w:shd w:val="clear" w:color="000000" w:fill="F2F2F2"/>
            <w:vAlign w:val="center"/>
            <w:hideMark/>
          </w:tcPr>
          <w:p w14:paraId="4F3C0A14" w14:textId="3194CBFC" w:rsidR="00680CE2" w:rsidRDefault="00680CE2" w:rsidP="00680CE2">
            <w:pPr>
              <w:jc w:val="right"/>
              <w:rPr>
                <w:rFonts w:cs="Calibri"/>
                <w:color w:val="000000"/>
              </w:rPr>
            </w:pPr>
            <w:r>
              <w:rPr>
                <w:rFonts w:cs="Calibri"/>
                <w:color w:val="000000"/>
              </w:rPr>
              <w:t>37 066 636</w:t>
            </w:r>
          </w:p>
        </w:tc>
        <w:tc>
          <w:tcPr>
            <w:tcW w:w="1417" w:type="dxa"/>
            <w:tcBorders>
              <w:top w:val="nil"/>
              <w:left w:val="nil"/>
              <w:bottom w:val="single" w:sz="12" w:space="0" w:color="FFFFFF"/>
              <w:right w:val="single" w:sz="12" w:space="0" w:color="FFFFFF"/>
            </w:tcBorders>
            <w:shd w:val="clear" w:color="000000" w:fill="F2F2F2"/>
            <w:vAlign w:val="center"/>
            <w:hideMark/>
          </w:tcPr>
          <w:p w14:paraId="4D5B8EE3" w14:textId="3807071C" w:rsidR="00680CE2" w:rsidRDefault="00680CE2" w:rsidP="00680CE2">
            <w:pPr>
              <w:jc w:val="right"/>
              <w:rPr>
                <w:rFonts w:cs="Calibri"/>
                <w:color w:val="000000"/>
              </w:rPr>
            </w:pPr>
            <w:r>
              <w:rPr>
                <w:rFonts w:cs="Calibri"/>
                <w:color w:val="000000"/>
              </w:rPr>
              <w:t>44 469 140</w:t>
            </w:r>
          </w:p>
        </w:tc>
        <w:tc>
          <w:tcPr>
            <w:tcW w:w="1418" w:type="dxa"/>
            <w:tcBorders>
              <w:top w:val="nil"/>
              <w:left w:val="nil"/>
              <w:bottom w:val="single" w:sz="12" w:space="0" w:color="FFFFFF"/>
              <w:right w:val="single" w:sz="12" w:space="0" w:color="FFFFFF"/>
            </w:tcBorders>
            <w:shd w:val="clear" w:color="000000" w:fill="F2F2F2"/>
            <w:vAlign w:val="center"/>
          </w:tcPr>
          <w:p w14:paraId="4C856A57" w14:textId="5D3AB0D5" w:rsidR="00680CE2" w:rsidRDefault="00680CE2" w:rsidP="00680CE2">
            <w:pPr>
              <w:jc w:val="right"/>
              <w:rPr>
                <w:rFonts w:cs="Calibri"/>
                <w:color w:val="000000"/>
              </w:rPr>
            </w:pPr>
            <w:r>
              <w:rPr>
                <w:rFonts w:cs="Calibri"/>
                <w:color w:val="000000"/>
              </w:rPr>
              <w:t>50 204 977</w:t>
            </w:r>
          </w:p>
        </w:tc>
        <w:tc>
          <w:tcPr>
            <w:tcW w:w="1275" w:type="dxa"/>
            <w:tcBorders>
              <w:top w:val="nil"/>
              <w:left w:val="nil"/>
              <w:bottom w:val="single" w:sz="12" w:space="0" w:color="FFFFFF"/>
              <w:right w:val="single" w:sz="12" w:space="0" w:color="FFFFFF"/>
            </w:tcBorders>
            <w:shd w:val="clear" w:color="000000" w:fill="F2F2F2"/>
            <w:vAlign w:val="center"/>
          </w:tcPr>
          <w:p w14:paraId="354D5736" w14:textId="7792375B" w:rsidR="00680CE2" w:rsidRDefault="00680CE2" w:rsidP="00680CE2">
            <w:pPr>
              <w:jc w:val="right"/>
              <w:rPr>
                <w:rFonts w:cs="Calibri"/>
                <w:color w:val="000000"/>
              </w:rPr>
            </w:pPr>
            <w:r>
              <w:rPr>
                <w:rFonts w:cs="Calibri"/>
                <w:color w:val="000000"/>
              </w:rPr>
              <w:t>53 580 814</w:t>
            </w:r>
          </w:p>
        </w:tc>
        <w:tc>
          <w:tcPr>
            <w:tcW w:w="1463" w:type="dxa"/>
            <w:tcBorders>
              <w:top w:val="nil"/>
              <w:left w:val="nil"/>
              <w:bottom w:val="single" w:sz="12" w:space="0" w:color="FFFFFF"/>
              <w:right w:val="single" w:sz="12" w:space="0" w:color="FFFFFF"/>
            </w:tcBorders>
            <w:shd w:val="clear" w:color="000000" w:fill="F2F2F2"/>
            <w:vAlign w:val="center"/>
          </w:tcPr>
          <w:p w14:paraId="731770A8" w14:textId="74D19B1E" w:rsidR="00680CE2" w:rsidRDefault="00680CE2" w:rsidP="00680CE2">
            <w:pPr>
              <w:jc w:val="right"/>
              <w:rPr>
                <w:rFonts w:cs="Calibri"/>
                <w:color w:val="000000"/>
              </w:rPr>
            </w:pPr>
            <w:r>
              <w:rPr>
                <w:rFonts w:cs="Calibri"/>
                <w:color w:val="000000"/>
              </w:rPr>
              <w:t>61 351 996</w:t>
            </w:r>
          </w:p>
        </w:tc>
      </w:tr>
      <w:tr w:rsidR="00680CE2" w:rsidRPr="00FF591F" w14:paraId="5DC9DB5E" w14:textId="77777777" w:rsidTr="00911770">
        <w:trPr>
          <w:trHeight w:hRule="exact" w:val="683"/>
        </w:trPr>
        <w:tc>
          <w:tcPr>
            <w:tcW w:w="3387" w:type="dxa"/>
            <w:tcBorders>
              <w:top w:val="nil"/>
              <w:left w:val="single" w:sz="12" w:space="0" w:color="FFFFFF"/>
              <w:bottom w:val="single" w:sz="12" w:space="0" w:color="FFFFFF"/>
              <w:right w:val="single" w:sz="12" w:space="0" w:color="FFFFFF"/>
            </w:tcBorders>
            <w:shd w:val="clear" w:color="000000" w:fill="F2F2F2"/>
            <w:vAlign w:val="center"/>
            <w:hideMark/>
          </w:tcPr>
          <w:p w14:paraId="5A43C060" w14:textId="77777777" w:rsidR="00680CE2" w:rsidRPr="00F90874" w:rsidRDefault="00680CE2" w:rsidP="00680CE2">
            <w:pPr>
              <w:spacing w:after="0" w:line="240" w:lineRule="auto"/>
              <w:rPr>
                <w:rFonts w:cs="Calibri"/>
                <w:color w:val="000000"/>
                <w:lang w:eastAsia="sk-SK"/>
              </w:rPr>
            </w:pPr>
            <w:r w:rsidRPr="00F90874">
              <w:rPr>
                <w:rFonts w:cs="Calibri"/>
                <w:color w:val="000000"/>
                <w:lang w:eastAsia="sk-SK"/>
              </w:rPr>
              <w:t>Ročné splátky</w:t>
            </w:r>
            <w:r w:rsidRPr="00370DFF">
              <w:rPr>
                <w:rFonts w:cs="Calibri"/>
                <w:color w:val="000000"/>
                <w:lang w:eastAsia="sk-SK"/>
              </w:rPr>
              <w:t xml:space="preserve"> vrátane úhrady výnosov</w:t>
            </w:r>
          </w:p>
        </w:tc>
        <w:tc>
          <w:tcPr>
            <w:tcW w:w="1560" w:type="dxa"/>
            <w:tcBorders>
              <w:top w:val="nil"/>
              <w:left w:val="nil"/>
              <w:bottom w:val="single" w:sz="12" w:space="0" w:color="FFFFFF"/>
              <w:right w:val="single" w:sz="12" w:space="0" w:color="FFFFFF"/>
            </w:tcBorders>
            <w:shd w:val="clear" w:color="000000" w:fill="F2F2F2"/>
            <w:vAlign w:val="center"/>
            <w:hideMark/>
          </w:tcPr>
          <w:p w14:paraId="74380687" w14:textId="42BAC067" w:rsidR="00680CE2" w:rsidRDefault="00680CE2" w:rsidP="00680CE2">
            <w:pPr>
              <w:jc w:val="right"/>
              <w:rPr>
                <w:rFonts w:cs="Calibri"/>
                <w:color w:val="000000"/>
              </w:rPr>
            </w:pPr>
            <w:r>
              <w:rPr>
                <w:rFonts w:cs="Calibri"/>
                <w:color w:val="000000"/>
              </w:rPr>
              <w:t>2 893 398</w:t>
            </w:r>
          </w:p>
        </w:tc>
        <w:tc>
          <w:tcPr>
            <w:tcW w:w="1417" w:type="dxa"/>
            <w:tcBorders>
              <w:top w:val="nil"/>
              <w:left w:val="nil"/>
              <w:bottom w:val="single" w:sz="12" w:space="0" w:color="FFFFFF"/>
              <w:right w:val="single" w:sz="12" w:space="0" w:color="FFFFFF"/>
            </w:tcBorders>
            <w:shd w:val="clear" w:color="000000" w:fill="F2F2F2"/>
            <w:vAlign w:val="center"/>
            <w:hideMark/>
          </w:tcPr>
          <w:p w14:paraId="245F5936" w14:textId="2CEA0B43" w:rsidR="00680CE2" w:rsidRDefault="00680CE2" w:rsidP="00680CE2">
            <w:pPr>
              <w:jc w:val="right"/>
              <w:rPr>
                <w:rFonts w:cs="Calibri"/>
                <w:color w:val="000000"/>
              </w:rPr>
            </w:pPr>
            <w:r>
              <w:rPr>
                <w:rFonts w:cs="Calibri"/>
                <w:color w:val="000000"/>
              </w:rPr>
              <w:t>2 827 257</w:t>
            </w:r>
          </w:p>
        </w:tc>
        <w:tc>
          <w:tcPr>
            <w:tcW w:w="1418" w:type="dxa"/>
            <w:tcBorders>
              <w:top w:val="nil"/>
              <w:left w:val="nil"/>
              <w:bottom w:val="single" w:sz="12" w:space="0" w:color="FFFFFF"/>
              <w:right w:val="single" w:sz="12" w:space="0" w:color="FFFFFF"/>
            </w:tcBorders>
            <w:shd w:val="clear" w:color="000000" w:fill="F2F2F2"/>
            <w:vAlign w:val="center"/>
          </w:tcPr>
          <w:p w14:paraId="78EE434E" w14:textId="168C4205" w:rsidR="00680CE2" w:rsidRDefault="00680CE2" w:rsidP="00680CE2">
            <w:pPr>
              <w:jc w:val="right"/>
              <w:rPr>
                <w:rFonts w:cs="Calibri"/>
                <w:color w:val="000000"/>
              </w:rPr>
            </w:pPr>
            <w:r>
              <w:rPr>
                <w:rFonts w:cs="Calibri"/>
                <w:color w:val="000000"/>
              </w:rPr>
              <w:t>4 003 191</w:t>
            </w:r>
          </w:p>
        </w:tc>
        <w:tc>
          <w:tcPr>
            <w:tcW w:w="1275" w:type="dxa"/>
            <w:tcBorders>
              <w:top w:val="nil"/>
              <w:left w:val="nil"/>
              <w:bottom w:val="single" w:sz="12" w:space="0" w:color="FFFFFF"/>
              <w:right w:val="single" w:sz="12" w:space="0" w:color="FFFFFF"/>
            </w:tcBorders>
            <w:shd w:val="clear" w:color="000000" w:fill="F2F2F2"/>
            <w:vAlign w:val="center"/>
          </w:tcPr>
          <w:p w14:paraId="67990D9B" w14:textId="70FA18F8" w:rsidR="00680CE2" w:rsidRDefault="00680CE2" w:rsidP="00680CE2">
            <w:pPr>
              <w:jc w:val="right"/>
              <w:rPr>
                <w:rFonts w:cs="Calibri"/>
                <w:color w:val="000000"/>
              </w:rPr>
            </w:pPr>
            <w:r>
              <w:rPr>
                <w:rFonts w:cs="Calibri"/>
                <w:color w:val="000000"/>
              </w:rPr>
              <w:t>3 819 085</w:t>
            </w:r>
          </w:p>
        </w:tc>
        <w:tc>
          <w:tcPr>
            <w:tcW w:w="1463" w:type="dxa"/>
            <w:tcBorders>
              <w:top w:val="nil"/>
              <w:left w:val="nil"/>
              <w:bottom w:val="single" w:sz="12" w:space="0" w:color="FFFFFF"/>
              <w:right w:val="single" w:sz="12" w:space="0" w:color="FFFFFF"/>
            </w:tcBorders>
            <w:shd w:val="clear" w:color="000000" w:fill="F2F2F2"/>
            <w:vAlign w:val="center"/>
          </w:tcPr>
          <w:p w14:paraId="75ABE054" w14:textId="2838B9B9" w:rsidR="00680CE2" w:rsidRDefault="00680CE2" w:rsidP="00680CE2">
            <w:pPr>
              <w:jc w:val="right"/>
              <w:rPr>
                <w:rFonts w:cs="Calibri"/>
                <w:color w:val="000000"/>
              </w:rPr>
            </w:pPr>
            <w:r>
              <w:rPr>
                <w:rFonts w:cs="Calibri"/>
                <w:color w:val="000000"/>
              </w:rPr>
              <w:t>4 057 499</w:t>
            </w:r>
          </w:p>
        </w:tc>
      </w:tr>
      <w:tr w:rsidR="00680CE2" w:rsidRPr="00FF591F" w14:paraId="237705C0" w14:textId="77777777" w:rsidTr="002F4402">
        <w:trPr>
          <w:trHeight w:hRule="exact" w:val="653"/>
        </w:trPr>
        <w:tc>
          <w:tcPr>
            <w:tcW w:w="3387" w:type="dxa"/>
            <w:tcBorders>
              <w:top w:val="nil"/>
              <w:left w:val="single" w:sz="12" w:space="0" w:color="FFFFFF"/>
              <w:bottom w:val="single" w:sz="12" w:space="0" w:color="FFFFFF"/>
              <w:right w:val="single" w:sz="12" w:space="0" w:color="FFFFFF"/>
            </w:tcBorders>
            <w:shd w:val="clear" w:color="000000" w:fill="F2F2F2"/>
            <w:vAlign w:val="center"/>
            <w:hideMark/>
          </w:tcPr>
          <w:p w14:paraId="23F191DF" w14:textId="77777777" w:rsidR="00680CE2" w:rsidRPr="00F90874" w:rsidRDefault="00680CE2" w:rsidP="00680CE2">
            <w:pPr>
              <w:spacing w:after="0" w:line="240" w:lineRule="auto"/>
              <w:rPr>
                <w:rFonts w:cs="Calibri"/>
                <w:b/>
                <w:bCs/>
                <w:color w:val="000000"/>
                <w:lang w:eastAsia="sk-SK"/>
              </w:rPr>
            </w:pPr>
            <w:r w:rsidRPr="00F90874">
              <w:rPr>
                <w:rFonts w:cs="Calibri"/>
                <w:b/>
                <w:bCs/>
                <w:color w:val="000000"/>
                <w:lang w:eastAsia="sk-SK"/>
              </w:rPr>
              <w:t>Bankové úvery k bežným príjmom (limit 60%)</w:t>
            </w:r>
          </w:p>
        </w:tc>
        <w:tc>
          <w:tcPr>
            <w:tcW w:w="1560" w:type="dxa"/>
            <w:tcBorders>
              <w:top w:val="nil"/>
              <w:left w:val="nil"/>
              <w:bottom w:val="single" w:sz="12" w:space="0" w:color="FFFFFF"/>
              <w:right w:val="single" w:sz="12" w:space="0" w:color="FFFFFF"/>
            </w:tcBorders>
            <w:shd w:val="clear" w:color="000000" w:fill="F2F2F2"/>
            <w:vAlign w:val="center"/>
            <w:hideMark/>
          </w:tcPr>
          <w:p w14:paraId="0575E0FF" w14:textId="2E99AFAC" w:rsidR="00680CE2" w:rsidRDefault="00680CE2" w:rsidP="00680CE2">
            <w:pPr>
              <w:jc w:val="right"/>
              <w:rPr>
                <w:rFonts w:cs="Calibri"/>
                <w:b/>
                <w:bCs/>
                <w:color w:val="000000"/>
              </w:rPr>
            </w:pPr>
            <w:r>
              <w:rPr>
                <w:rFonts w:cs="Calibri"/>
                <w:b/>
                <w:bCs/>
                <w:color w:val="000000"/>
              </w:rPr>
              <w:t>29,69%</w:t>
            </w:r>
          </w:p>
        </w:tc>
        <w:tc>
          <w:tcPr>
            <w:tcW w:w="1417" w:type="dxa"/>
            <w:tcBorders>
              <w:top w:val="nil"/>
              <w:left w:val="nil"/>
              <w:bottom w:val="single" w:sz="12" w:space="0" w:color="FFFFFF"/>
              <w:right w:val="single" w:sz="12" w:space="0" w:color="FFFFFF"/>
            </w:tcBorders>
            <w:shd w:val="clear" w:color="000000" w:fill="F2F2F2"/>
            <w:vAlign w:val="center"/>
            <w:hideMark/>
          </w:tcPr>
          <w:p w14:paraId="164546F8" w14:textId="4DC8167A" w:rsidR="00680CE2" w:rsidRDefault="00680CE2" w:rsidP="00680CE2">
            <w:pPr>
              <w:jc w:val="right"/>
              <w:rPr>
                <w:rFonts w:cs="Calibri"/>
                <w:b/>
                <w:bCs/>
                <w:color w:val="000000"/>
              </w:rPr>
            </w:pPr>
            <w:r>
              <w:rPr>
                <w:rFonts w:cs="Calibri"/>
                <w:b/>
                <w:bCs/>
                <w:color w:val="000000"/>
              </w:rPr>
              <w:t>34,35%</w:t>
            </w:r>
          </w:p>
        </w:tc>
        <w:tc>
          <w:tcPr>
            <w:tcW w:w="1418" w:type="dxa"/>
            <w:tcBorders>
              <w:top w:val="nil"/>
              <w:left w:val="nil"/>
              <w:bottom w:val="single" w:sz="12" w:space="0" w:color="FFFFFF"/>
              <w:right w:val="single" w:sz="12" w:space="0" w:color="FFFFFF"/>
            </w:tcBorders>
            <w:shd w:val="clear" w:color="000000" w:fill="F2F2F2"/>
            <w:vAlign w:val="center"/>
          </w:tcPr>
          <w:p w14:paraId="7AC051A3" w14:textId="483E7CA5" w:rsidR="00680CE2" w:rsidRDefault="00680CE2" w:rsidP="00680CE2">
            <w:pPr>
              <w:jc w:val="right"/>
              <w:rPr>
                <w:rFonts w:cs="Calibri"/>
                <w:b/>
                <w:bCs/>
                <w:color w:val="000000"/>
              </w:rPr>
            </w:pPr>
            <w:r>
              <w:rPr>
                <w:rFonts w:cs="Calibri"/>
                <w:b/>
                <w:bCs/>
                <w:color w:val="000000"/>
              </w:rPr>
              <w:t>36,97%</w:t>
            </w:r>
          </w:p>
        </w:tc>
        <w:tc>
          <w:tcPr>
            <w:tcW w:w="1275" w:type="dxa"/>
            <w:tcBorders>
              <w:top w:val="nil"/>
              <w:left w:val="nil"/>
              <w:bottom w:val="single" w:sz="12" w:space="0" w:color="FFFFFF"/>
              <w:right w:val="single" w:sz="12" w:space="0" w:color="FFFFFF"/>
            </w:tcBorders>
            <w:shd w:val="clear" w:color="000000" w:fill="F2F2F2"/>
            <w:vAlign w:val="center"/>
          </w:tcPr>
          <w:p w14:paraId="3F08C73C" w14:textId="6A752ADE" w:rsidR="00680CE2" w:rsidRDefault="00680CE2" w:rsidP="00680CE2">
            <w:pPr>
              <w:jc w:val="right"/>
              <w:rPr>
                <w:rFonts w:cs="Calibri"/>
                <w:b/>
                <w:bCs/>
                <w:color w:val="000000"/>
              </w:rPr>
            </w:pPr>
            <w:r>
              <w:rPr>
                <w:rFonts w:cs="Calibri"/>
                <w:b/>
                <w:bCs/>
                <w:color w:val="000000"/>
              </w:rPr>
              <w:t>36,38%</w:t>
            </w:r>
          </w:p>
        </w:tc>
        <w:tc>
          <w:tcPr>
            <w:tcW w:w="1463" w:type="dxa"/>
            <w:tcBorders>
              <w:top w:val="nil"/>
              <w:left w:val="nil"/>
              <w:bottom w:val="single" w:sz="12" w:space="0" w:color="FFFFFF"/>
              <w:right w:val="single" w:sz="12" w:space="0" w:color="FFFFFF"/>
            </w:tcBorders>
            <w:shd w:val="clear" w:color="000000" w:fill="F2F2F2"/>
            <w:vAlign w:val="center"/>
          </w:tcPr>
          <w:p w14:paraId="4ED02DBA" w14:textId="2339B05F" w:rsidR="00680CE2" w:rsidRDefault="00680CE2" w:rsidP="00680CE2">
            <w:pPr>
              <w:jc w:val="right"/>
              <w:rPr>
                <w:rFonts w:cs="Calibri"/>
                <w:b/>
                <w:bCs/>
                <w:color w:val="000000"/>
              </w:rPr>
            </w:pPr>
            <w:r>
              <w:rPr>
                <w:rFonts w:cs="Calibri"/>
                <w:b/>
                <w:bCs/>
                <w:color w:val="000000"/>
              </w:rPr>
              <w:t>36,90%</w:t>
            </w:r>
          </w:p>
        </w:tc>
      </w:tr>
      <w:tr w:rsidR="00680CE2" w:rsidRPr="00FF591F" w14:paraId="5619A2AA" w14:textId="77777777" w:rsidTr="002F4402">
        <w:trPr>
          <w:trHeight w:hRule="exact" w:val="644"/>
        </w:trPr>
        <w:tc>
          <w:tcPr>
            <w:tcW w:w="3387" w:type="dxa"/>
            <w:tcBorders>
              <w:top w:val="nil"/>
              <w:left w:val="single" w:sz="12" w:space="0" w:color="FFFFFF"/>
              <w:bottom w:val="single" w:sz="12" w:space="0" w:color="FFFFFF"/>
              <w:right w:val="single" w:sz="12" w:space="0" w:color="FFFFFF"/>
            </w:tcBorders>
            <w:shd w:val="clear" w:color="000000" w:fill="F2F2F2"/>
            <w:vAlign w:val="center"/>
            <w:hideMark/>
          </w:tcPr>
          <w:p w14:paraId="28244DAD" w14:textId="77777777" w:rsidR="00680CE2" w:rsidRPr="00F90874" w:rsidRDefault="00680CE2" w:rsidP="00680CE2">
            <w:pPr>
              <w:spacing w:after="0" w:line="240" w:lineRule="auto"/>
              <w:rPr>
                <w:rFonts w:cs="Calibri"/>
                <w:b/>
                <w:bCs/>
                <w:color w:val="000000"/>
                <w:lang w:eastAsia="sk-SK"/>
              </w:rPr>
            </w:pPr>
            <w:r w:rsidRPr="00F90874">
              <w:rPr>
                <w:rFonts w:cs="Calibri"/>
                <w:b/>
                <w:bCs/>
                <w:color w:val="000000"/>
                <w:lang w:eastAsia="sk-SK"/>
              </w:rPr>
              <w:t>Ročné splátky k bežným príjmom (limit 25%)</w:t>
            </w:r>
          </w:p>
        </w:tc>
        <w:tc>
          <w:tcPr>
            <w:tcW w:w="1560" w:type="dxa"/>
            <w:tcBorders>
              <w:top w:val="nil"/>
              <w:left w:val="nil"/>
              <w:bottom w:val="single" w:sz="12" w:space="0" w:color="FFFFFF"/>
              <w:right w:val="single" w:sz="12" w:space="0" w:color="FFFFFF"/>
            </w:tcBorders>
            <w:shd w:val="clear" w:color="000000" w:fill="F2F2F2"/>
            <w:vAlign w:val="center"/>
            <w:hideMark/>
          </w:tcPr>
          <w:p w14:paraId="13C49ECC" w14:textId="44C68E5C" w:rsidR="00680CE2" w:rsidRDefault="00680CE2" w:rsidP="00680CE2">
            <w:pPr>
              <w:jc w:val="right"/>
              <w:rPr>
                <w:rFonts w:cs="Calibri"/>
                <w:b/>
                <w:bCs/>
                <w:color w:val="000000"/>
              </w:rPr>
            </w:pPr>
            <w:r>
              <w:rPr>
                <w:rFonts w:cs="Calibri"/>
                <w:b/>
                <w:bCs/>
                <w:color w:val="000000"/>
              </w:rPr>
              <w:t>2,32%</w:t>
            </w:r>
          </w:p>
        </w:tc>
        <w:tc>
          <w:tcPr>
            <w:tcW w:w="1417" w:type="dxa"/>
            <w:tcBorders>
              <w:top w:val="nil"/>
              <w:left w:val="nil"/>
              <w:bottom w:val="single" w:sz="12" w:space="0" w:color="FFFFFF"/>
              <w:right w:val="single" w:sz="12" w:space="0" w:color="FFFFFF"/>
            </w:tcBorders>
            <w:shd w:val="clear" w:color="000000" w:fill="F2F2F2"/>
            <w:vAlign w:val="center"/>
            <w:hideMark/>
          </w:tcPr>
          <w:p w14:paraId="790CAD61" w14:textId="700DB861" w:rsidR="00680CE2" w:rsidRDefault="00680CE2" w:rsidP="00680CE2">
            <w:pPr>
              <w:jc w:val="right"/>
              <w:rPr>
                <w:rFonts w:cs="Calibri"/>
                <w:b/>
                <w:bCs/>
                <w:color w:val="000000"/>
              </w:rPr>
            </w:pPr>
            <w:r>
              <w:rPr>
                <w:rFonts w:cs="Calibri"/>
                <w:b/>
                <w:bCs/>
                <w:color w:val="000000"/>
              </w:rPr>
              <w:t>3,25%</w:t>
            </w:r>
          </w:p>
        </w:tc>
        <w:tc>
          <w:tcPr>
            <w:tcW w:w="1418" w:type="dxa"/>
            <w:tcBorders>
              <w:top w:val="nil"/>
              <w:left w:val="nil"/>
              <w:bottom w:val="single" w:sz="12" w:space="0" w:color="FFFFFF"/>
              <w:right w:val="single" w:sz="12" w:space="0" w:color="FFFFFF"/>
            </w:tcBorders>
            <w:shd w:val="clear" w:color="000000" w:fill="F2F2F2"/>
            <w:vAlign w:val="center"/>
          </w:tcPr>
          <w:p w14:paraId="7664680F" w14:textId="6EB5D659" w:rsidR="00680CE2" w:rsidRDefault="00680CE2" w:rsidP="00680CE2">
            <w:pPr>
              <w:jc w:val="right"/>
              <w:rPr>
                <w:rFonts w:cs="Calibri"/>
                <w:b/>
                <w:bCs/>
                <w:color w:val="000000"/>
              </w:rPr>
            </w:pPr>
            <w:r>
              <w:rPr>
                <w:rFonts w:cs="Calibri"/>
                <w:b/>
                <w:bCs/>
                <w:color w:val="000000"/>
              </w:rPr>
              <w:t>3,90%</w:t>
            </w:r>
          </w:p>
        </w:tc>
        <w:tc>
          <w:tcPr>
            <w:tcW w:w="1275" w:type="dxa"/>
            <w:tcBorders>
              <w:top w:val="nil"/>
              <w:left w:val="nil"/>
              <w:bottom w:val="single" w:sz="12" w:space="0" w:color="FFFFFF"/>
              <w:right w:val="single" w:sz="12" w:space="0" w:color="FFFFFF"/>
            </w:tcBorders>
            <w:shd w:val="clear" w:color="000000" w:fill="F2F2F2"/>
            <w:vAlign w:val="center"/>
          </w:tcPr>
          <w:p w14:paraId="04F8F12D" w14:textId="31734684" w:rsidR="00680CE2" w:rsidRDefault="00680CE2" w:rsidP="00680CE2">
            <w:pPr>
              <w:jc w:val="right"/>
              <w:rPr>
                <w:rFonts w:cs="Calibri"/>
                <w:b/>
                <w:bCs/>
                <w:color w:val="000000"/>
              </w:rPr>
            </w:pPr>
            <w:r>
              <w:rPr>
                <w:rFonts w:cs="Calibri"/>
                <w:b/>
                <w:bCs/>
                <w:color w:val="000000"/>
              </w:rPr>
              <w:t>3,85%</w:t>
            </w:r>
          </w:p>
        </w:tc>
        <w:tc>
          <w:tcPr>
            <w:tcW w:w="1463" w:type="dxa"/>
            <w:tcBorders>
              <w:top w:val="nil"/>
              <w:left w:val="nil"/>
              <w:bottom w:val="single" w:sz="12" w:space="0" w:color="FFFFFF"/>
              <w:right w:val="single" w:sz="12" w:space="0" w:color="FFFFFF"/>
            </w:tcBorders>
            <w:shd w:val="clear" w:color="000000" w:fill="F2F2F2"/>
            <w:vAlign w:val="center"/>
          </w:tcPr>
          <w:p w14:paraId="5D490A36" w14:textId="772FEEE5" w:rsidR="00680CE2" w:rsidRDefault="00680CE2" w:rsidP="00680CE2">
            <w:pPr>
              <w:jc w:val="right"/>
              <w:rPr>
                <w:rFonts w:cs="Calibri"/>
                <w:b/>
                <w:bCs/>
                <w:color w:val="000000"/>
              </w:rPr>
            </w:pPr>
            <w:r>
              <w:rPr>
                <w:rFonts w:cs="Calibri"/>
                <w:b/>
                <w:bCs/>
                <w:color w:val="000000"/>
              </w:rPr>
              <w:t>3,68%</w:t>
            </w:r>
          </w:p>
        </w:tc>
      </w:tr>
    </w:tbl>
    <w:p w14:paraId="10E7AC8C" w14:textId="4C11BAFC" w:rsidR="00E75552" w:rsidRPr="002F4402" w:rsidRDefault="000854B9" w:rsidP="002F4402">
      <w:pPr>
        <w:widowControl w:val="0"/>
        <w:shd w:val="clear" w:color="auto" w:fill="FFFFFF"/>
        <w:tabs>
          <w:tab w:val="left" w:pos="-3261"/>
        </w:tabs>
        <w:autoSpaceDE w:val="0"/>
        <w:autoSpaceDN w:val="0"/>
        <w:adjustRightInd w:val="0"/>
        <w:spacing w:after="120" w:line="240" w:lineRule="auto"/>
        <w:jc w:val="both"/>
      </w:pPr>
      <w:r w:rsidRPr="00FF591F">
        <w:t>b) suma ročných splátok návratných zdrojov financovania vrátane úhrady výnosov neprekročí 25 % skutočných bežných príjmov predchádzajúceho roka znížených o prostriedky poskytnuté v príslušnom rozpočtovom roku obci alebo vyššiemu územnému celu z rozpočtu iného subjektu verejnej správy, prostriedky poskytnuté z EÚ a iné prostriedky zo zahraničia alebo prostriedky získané na základe osobitného predpisu.</w:t>
      </w:r>
    </w:p>
    <w:p w14:paraId="39102B58" w14:textId="48A8B86A" w:rsidR="009F3097" w:rsidRDefault="003159A8" w:rsidP="003159A8">
      <w:pPr>
        <w:spacing w:before="100" w:beforeAutospacing="1" w:after="100" w:afterAutospacing="1" w:line="240" w:lineRule="auto"/>
        <w:jc w:val="both"/>
        <w:rPr>
          <w:rFonts w:cs="Calibri"/>
          <w:u w:val="single"/>
        </w:rPr>
      </w:pPr>
      <w:r w:rsidRPr="003159A8">
        <w:rPr>
          <w:rFonts w:cs="Calibri"/>
          <w:u w:val="single"/>
        </w:rPr>
        <w:t>Graf 1</w:t>
      </w:r>
      <w:r w:rsidR="00304197">
        <w:rPr>
          <w:rFonts w:cs="Calibri"/>
          <w:u w:val="single"/>
        </w:rPr>
        <w:t xml:space="preserve">7: </w:t>
      </w:r>
      <w:r w:rsidRPr="003159A8">
        <w:rPr>
          <w:rFonts w:cs="Calibri"/>
          <w:u w:val="single"/>
        </w:rPr>
        <w:t xml:space="preserve"> </w:t>
      </w:r>
      <w:r w:rsidR="00E0303B" w:rsidRPr="003159A8">
        <w:rPr>
          <w:rFonts w:cs="Calibri"/>
          <w:u w:val="single"/>
        </w:rPr>
        <w:t xml:space="preserve">Vývoj </w:t>
      </w:r>
      <w:proofErr w:type="spellStart"/>
      <w:r w:rsidR="00E0303B">
        <w:rPr>
          <w:rFonts w:cs="Calibri"/>
          <w:u w:val="single"/>
        </w:rPr>
        <w:t>zadĺženia</w:t>
      </w:r>
      <w:proofErr w:type="spellEnd"/>
      <w:r w:rsidR="00E0303B">
        <w:rPr>
          <w:rFonts w:cs="Calibri"/>
          <w:u w:val="single"/>
        </w:rPr>
        <w:t xml:space="preserve"> </w:t>
      </w:r>
      <w:r w:rsidR="00E0303B" w:rsidRPr="003159A8">
        <w:rPr>
          <w:rFonts w:cs="Calibri"/>
          <w:u w:val="single"/>
        </w:rPr>
        <w:t>BSK od roku 201</w:t>
      </w:r>
      <w:r w:rsidR="00B727BC">
        <w:rPr>
          <w:rFonts w:cs="Calibri"/>
          <w:u w:val="single"/>
        </w:rPr>
        <w:t>6</w:t>
      </w:r>
      <w:r w:rsidR="00E0303B" w:rsidRPr="003159A8">
        <w:rPr>
          <w:rFonts w:cs="Calibri"/>
          <w:u w:val="single"/>
        </w:rPr>
        <w:t xml:space="preserve"> do roku 20</w:t>
      </w:r>
      <w:r w:rsidR="00E0303B">
        <w:rPr>
          <w:rFonts w:cs="Calibri"/>
          <w:u w:val="single"/>
        </w:rPr>
        <w:t xml:space="preserve">20 a predpoklad </w:t>
      </w:r>
      <w:r w:rsidR="00711974">
        <w:rPr>
          <w:rFonts w:cs="Calibri"/>
          <w:u w:val="single"/>
        </w:rPr>
        <w:t>do roku</w:t>
      </w:r>
      <w:r w:rsidR="00E0303B">
        <w:rPr>
          <w:rFonts w:cs="Calibri"/>
          <w:u w:val="single"/>
        </w:rPr>
        <w:t xml:space="preserve"> 202</w:t>
      </w:r>
      <w:r w:rsidR="00711974">
        <w:rPr>
          <w:rFonts w:cs="Calibri"/>
          <w:u w:val="single"/>
        </w:rPr>
        <w:t>2</w:t>
      </w:r>
      <w:r w:rsidR="00E0303B" w:rsidRPr="003159A8">
        <w:rPr>
          <w:rFonts w:cs="Calibri"/>
          <w:u w:val="single"/>
        </w:rPr>
        <w:t>:</w:t>
      </w:r>
    </w:p>
    <w:p w14:paraId="0BB79DCB" w14:textId="4059D73F" w:rsidR="00786729" w:rsidRDefault="00786729" w:rsidP="003159A8">
      <w:pPr>
        <w:spacing w:before="100" w:beforeAutospacing="1" w:after="100" w:afterAutospacing="1" w:line="240" w:lineRule="auto"/>
        <w:jc w:val="both"/>
        <w:rPr>
          <w:rFonts w:cs="Calibri"/>
          <w:u w:val="single"/>
        </w:rPr>
      </w:pPr>
      <w:r>
        <w:rPr>
          <w:noProof/>
        </w:rPr>
        <w:drawing>
          <wp:inline distT="0" distB="0" distL="0" distR="0" wp14:anchorId="51A3753C" wp14:editId="43F67411">
            <wp:extent cx="6645910" cy="3382645"/>
            <wp:effectExtent l="0" t="0" r="2540" b="8255"/>
            <wp:docPr id="8" name="Graf 8">
              <a:extLst xmlns:a="http://schemas.openxmlformats.org/drawingml/2006/main">
                <a:ext uri="{FF2B5EF4-FFF2-40B4-BE49-F238E27FC236}">
                  <a16:creationId xmlns:a16="http://schemas.microsoft.com/office/drawing/2014/main" id="{BD61DAD6-3F6A-4600-A1D9-A6D0A0113F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6263B1D" w14:textId="77777777" w:rsidR="009B2A4F" w:rsidRPr="003F566E" w:rsidRDefault="009B2A4F" w:rsidP="009B2A4F">
      <w:pPr>
        <w:jc w:val="both"/>
        <w:rPr>
          <w:rFonts w:cs="Calibri"/>
          <w:color w:val="000000"/>
          <w:sz w:val="24"/>
          <w:szCs w:val="24"/>
        </w:rPr>
      </w:pPr>
      <w:r w:rsidRPr="003F566E">
        <w:rPr>
          <w:rFonts w:cs="Calibri"/>
          <w:color w:val="000000"/>
          <w:sz w:val="24"/>
          <w:szCs w:val="24"/>
        </w:rPr>
        <w:lastRenderedPageBreak/>
        <w:t xml:space="preserve">K 31.12.2020 dosiahla dlhová zaťaženosť BSK úroveň </w:t>
      </w:r>
      <w:r w:rsidRPr="003F566E">
        <w:rPr>
          <w:rFonts w:cs="Calibri"/>
          <w:b/>
          <w:bCs/>
          <w:color w:val="000000"/>
          <w:sz w:val="24"/>
          <w:szCs w:val="24"/>
        </w:rPr>
        <w:t>36,90 %</w:t>
      </w:r>
      <w:r w:rsidRPr="003F566E">
        <w:rPr>
          <w:rFonts w:cs="Calibri"/>
          <w:color w:val="000000"/>
          <w:sz w:val="24"/>
          <w:szCs w:val="24"/>
        </w:rPr>
        <w:t xml:space="preserve"> k bežným príjmom roku 2019.</w:t>
      </w:r>
    </w:p>
    <w:p w14:paraId="4B788065" w14:textId="417A9B4F" w:rsidR="000854B9" w:rsidRPr="003F566E" w:rsidRDefault="00FF591F" w:rsidP="000854B9">
      <w:pPr>
        <w:shd w:val="clear" w:color="auto" w:fill="FFFFFF"/>
        <w:spacing w:after="0" w:line="240" w:lineRule="auto"/>
        <w:jc w:val="both"/>
        <w:rPr>
          <w:b/>
          <w:bCs/>
          <w:sz w:val="24"/>
          <w:szCs w:val="24"/>
        </w:rPr>
      </w:pPr>
      <w:r w:rsidRPr="003F566E">
        <w:rPr>
          <w:b/>
          <w:bCs/>
          <w:sz w:val="24"/>
          <w:szCs w:val="24"/>
        </w:rPr>
        <w:t>1</w:t>
      </w:r>
      <w:r w:rsidR="000854B9" w:rsidRPr="003F566E">
        <w:rPr>
          <w:b/>
          <w:bCs/>
          <w:sz w:val="24"/>
          <w:szCs w:val="24"/>
        </w:rPr>
        <w:t xml:space="preserve">.Výpočet % celkovej sumy dlhu </w:t>
      </w:r>
    </w:p>
    <w:p w14:paraId="68E271F7" w14:textId="089BA88D" w:rsidR="000854B9" w:rsidRPr="003F566E" w:rsidRDefault="000854B9" w:rsidP="000854B9">
      <w:pPr>
        <w:shd w:val="clear" w:color="auto" w:fill="FFFFFF"/>
        <w:spacing w:after="0" w:line="240" w:lineRule="auto"/>
        <w:jc w:val="both"/>
        <w:rPr>
          <w:sz w:val="24"/>
          <w:szCs w:val="24"/>
        </w:rPr>
      </w:pPr>
      <w:r w:rsidRPr="003F566E">
        <w:rPr>
          <w:sz w:val="24"/>
          <w:szCs w:val="24"/>
        </w:rPr>
        <w:t xml:space="preserve">Skutočné bežné príjmy za predchádzajúci rozpočtový rok, </w:t>
      </w:r>
      <w:proofErr w:type="spellStart"/>
      <w:r w:rsidRPr="003F566E">
        <w:rPr>
          <w:sz w:val="24"/>
          <w:szCs w:val="24"/>
        </w:rPr>
        <w:t>t.j</w:t>
      </w:r>
      <w:proofErr w:type="spellEnd"/>
      <w:r w:rsidRPr="003F566E">
        <w:rPr>
          <w:sz w:val="24"/>
          <w:szCs w:val="24"/>
        </w:rPr>
        <w:t>. rok 201</w:t>
      </w:r>
      <w:r w:rsidR="00680CE2" w:rsidRPr="003F566E">
        <w:rPr>
          <w:sz w:val="24"/>
          <w:szCs w:val="24"/>
        </w:rPr>
        <w:t>9</w:t>
      </w:r>
      <w:r w:rsidRPr="003F566E">
        <w:rPr>
          <w:sz w:val="24"/>
          <w:szCs w:val="24"/>
        </w:rPr>
        <w:t xml:space="preserve"> predstavujú sumu </w:t>
      </w:r>
      <w:r w:rsidR="00680CE2" w:rsidRPr="003F566E">
        <w:rPr>
          <w:rFonts w:cs="Calibri"/>
          <w:color w:val="000000"/>
          <w:sz w:val="24"/>
          <w:szCs w:val="24"/>
        </w:rPr>
        <w:t xml:space="preserve">166 251 797 </w:t>
      </w:r>
      <w:r w:rsidRPr="003F566E">
        <w:rPr>
          <w:sz w:val="24"/>
          <w:szCs w:val="24"/>
        </w:rPr>
        <w:t xml:space="preserve">€, z toho 60 % je </w:t>
      </w:r>
      <w:r w:rsidR="00680CE2" w:rsidRPr="003F566E">
        <w:rPr>
          <w:sz w:val="24"/>
          <w:szCs w:val="24"/>
        </w:rPr>
        <w:t>99 751 078</w:t>
      </w:r>
      <w:r w:rsidRPr="003F566E">
        <w:rPr>
          <w:sz w:val="24"/>
          <w:szCs w:val="24"/>
        </w:rPr>
        <w:t xml:space="preserve"> €. Celková suma dlhu kraja k 31.12.20</w:t>
      </w:r>
      <w:r w:rsidR="00680CE2" w:rsidRPr="003F566E">
        <w:rPr>
          <w:sz w:val="24"/>
          <w:szCs w:val="24"/>
        </w:rPr>
        <w:t>20</w:t>
      </w:r>
      <w:r w:rsidRPr="003F566E">
        <w:rPr>
          <w:sz w:val="24"/>
          <w:szCs w:val="24"/>
        </w:rPr>
        <w:t xml:space="preserve"> vo výške </w:t>
      </w:r>
      <w:r w:rsidR="00680CE2" w:rsidRPr="003F566E">
        <w:rPr>
          <w:rFonts w:cs="Calibri"/>
          <w:color w:val="000000"/>
          <w:sz w:val="24"/>
          <w:szCs w:val="24"/>
        </w:rPr>
        <w:t xml:space="preserve">61 351 996 </w:t>
      </w:r>
      <w:r w:rsidRPr="003F566E">
        <w:rPr>
          <w:sz w:val="24"/>
          <w:szCs w:val="24"/>
        </w:rPr>
        <w:t xml:space="preserve">€ predstavuje </w:t>
      </w:r>
      <w:r w:rsidRPr="003F566E">
        <w:rPr>
          <w:b/>
          <w:bCs/>
          <w:sz w:val="24"/>
          <w:szCs w:val="24"/>
        </w:rPr>
        <w:t>36,</w:t>
      </w:r>
      <w:r w:rsidR="00680CE2" w:rsidRPr="003F566E">
        <w:rPr>
          <w:b/>
          <w:bCs/>
          <w:sz w:val="24"/>
          <w:szCs w:val="24"/>
        </w:rPr>
        <w:t>90</w:t>
      </w:r>
      <w:r w:rsidRPr="003F566E">
        <w:rPr>
          <w:b/>
          <w:bCs/>
          <w:sz w:val="24"/>
          <w:szCs w:val="24"/>
        </w:rPr>
        <w:t xml:space="preserve"> %</w:t>
      </w:r>
      <w:r w:rsidRPr="003F566E">
        <w:rPr>
          <w:sz w:val="24"/>
          <w:szCs w:val="24"/>
        </w:rPr>
        <w:t xml:space="preserve"> bežných príjmov predchádzajúceho rozpočtového roka (</w:t>
      </w:r>
      <w:r w:rsidR="00680CE2" w:rsidRPr="003F566E">
        <w:rPr>
          <w:rFonts w:cs="Calibri"/>
          <w:color w:val="000000"/>
          <w:sz w:val="24"/>
          <w:szCs w:val="24"/>
        </w:rPr>
        <w:t xml:space="preserve">61 351 996 </w:t>
      </w:r>
      <w:r w:rsidRPr="003F566E">
        <w:rPr>
          <w:sz w:val="24"/>
          <w:szCs w:val="24"/>
        </w:rPr>
        <w:t xml:space="preserve">€: </w:t>
      </w:r>
      <w:r w:rsidR="00680CE2" w:rsidRPr="003F566E">
        <w:rPr>
          <w:rFonts w:cs="Calibri"/>
          <w:color w:val="000000"/>
          <w:sz w:val="24"/>
          <w:szCs w:val="24"/>
        </w:rPr>
        <w:t>166 251 797</w:t>
      </w:r>
      <w:r w:rsidRPr="003F566E">
        <w:rPr>
          <w:sz w:val="24"/>
          <w:szCs w:val="24"/>
        </w:rPr>
        <w:t xml:space="preserve">€). Podmienkou je neprekročiť 60%. </w:t>
      </w:r>
    </w:p>
    <w:p w14:paraId="523AF150" w14:textId="77777777" w:rsidR="000854B9" w:rsidRPr="003F566E" w:rsidRDefault="000854B9" w:rsidP="000854B9">
      <w:pPr>
        <w:shd w:val="clear" w:color="auto" w:fill="FFFFFF"/>
        <w:spacing w:after="0" w:line="240" w:lineRule="auto"/>
        <w:jc w:val="both"/>
        <w:rPr>
          <w:sz w:val="24"/>
          <w:szCs w:val="24"/>
        </w:rPr>
      </w:pPr>
    </w:p>
    <w:p w14:paraId="3A486912" w14:textId="77777777" w:rsidR="000854B9" w:rsidRPr="003F566E" w:rsidRDefault="000854B9" w:rsidP="000854B9">
      <w:pPr>
        <w:shd w:val="clear" w:color="auto" w:fill="FFFFFF"/>
        <w:spacing w:after="0" w:line="240" w:lineRule="auto"/>
        <w:jc w:val="both"/>
        <w:rPr>
          <w:b/>
          <w:bCs/>
          <w:sz w:val="24"/>
          <w:szCs w:val="24"/>
        </w:rPr>
      </w:pPr>
      <w:r w:rsidRPr="003F566E">
        <w:rPr>
          <w:b/>
          <w:bCs/>
          <w:sz w:val="24"/>
          <w:szCs w:val="24"/>
        </w:rPr>
        <w:t xml:space="preserve">2.Výpočet % ročných splátok vrátane úhrady výnosov </w:t>
      </w:r>
    </w:p>
    <w:p w14:paraId="06F3BDAC" w14:textId="1E770A67" w:rsidR="00671CE1" w:rsidRPr="003F566E" w:rsidRDefault="000854B9" w:rsidP="00BE704E">
      <w:pPr>
        <w:widowControl w:val="0"/>
        <w:shd w:val="clear" w:color="auto" w:fill="FFFFFF"/>
        <w:tabs>
          <w:tab w:val="left" w:pos="-3261"/>
        </w:tabs>
        <w:autoSpaceDE w:val="0"/>
        <w:autoSpaceDN w:val="0"/>
        <w:adjustRightInd w:val="0"/>
        <w:spacing w:after="120" w:line="240" w:lineRule="auto"/>
        <w:jc w:val="both"/>
        <w:rPr>
          <w:sz w:val="24"/>
          <w:szCs w:val="24"/>
        </w:rPr>
      </w:pPr>
      <w:r w:rsidRPr="003F566E">
        <w:rPr>
          <w:sz w:val="24"/>
          <w:szCs w:val="24"/>
        </w:rPr>
        <w:t xml:space="preserve">Skutočné bežné príjmy znížené o dotácie za predchádzajúci rozpočtový rok, </w:t>
      </w:r>
      <w:proofErr w:type="spellStart"/>
      <w:r w:rsidRPr="003F566E">
        <w:rPr>
          <w:sz w:val="24"/>
          <w:szCs w:val="24"/>
        </w:rPr>
        <w:t>t.j</w:t>
      </w:r>
      <w:proofErr w:type="spellEnd"/>
      <w:r w:rsidRPr="003F566E">
        <w:rPr>
          <w:sz w:val="24"/>
          <w:szCs w:val="24"/>
        </w:rPr>
        <w:t>. rok 201</w:t>
      </w:r>
      <w:r w:rsidR="00680CE2" w:rsidRPr="003F566E">
        <w:rPr>
          <w:sz w:val="24"/>
          <w:szCs w:val="24"/>
        </w:rPr>
        <w:t>9</w:t>
      </w:r>
      <w:r w:rsidRPr="003F566E">
        <w:rPr>
          <w:sz w:val="24"/>
          <w:szCs w:val="24"/>
        </w:rPr>
        <w:t xml:space="preserve"> predstavujú sumu</w:t>
      </w:r>
      <w:r w:rsidR="00EF7CD3" w:rsidRPr="003F566E">
        <w:rPr>
          <w:sz w:val="24"/>
          <w:szCs w:val="24"/>
        </w:rPr>
        <w:br/>
      </w:r>
      <w:r w:rsidR="00680CE2" w:rsidRPr="003F566E">
        <w:rPr>
          <w:rFonts w:cs="Calibri"/>
          <w:color w:val="000000"/>
          <w:sz w:val="24"/>
          <w:szCs w:val="24"/>
        </w:rPr>
        <w:t xml:space="preserve">110 336 419 </w:t>
      </w:r>
      <w:r w:rsidRPr="003F566E">
        <w:rPr>
          <w:sz w:val="24"/>
          <w:szCs w:val="24"/>
        </w:rPr>
        <w:t xml:space="preserve">€, z toho 25 % je </w:t>
      </w:r>
      <w:r w:rsidR="00680CE2" w:rsidRPr="003F566E">
        <w:rPr>
          <w:sz w:val="24"/>
          <w:szCs w:val="24"/>
        </w:rPr>
        <w:t>27 584 104, 75</w:t>
      </w:r>
      <w:r w:rsidRPr="003F566E">
        <w:rPr>
          <w:sz w:val="24"/>
          <w:szCs w:val="24"/>
        </w:rPr>
        <w:t xml:space="preserve"> €. Suma ročných splátok návratných zdrojov financovania </w:t>
      </w:r>
      <w:r w:rsidR="00DD4FBA" w:rsidRPr="003F566E">
        <w:rPr>
          <w:sz w:val="24"/>
          <w:szCs w:val="24"/>
        </w:rPr>
        <w:t xml:space="preserve">vrátane výnosov </w:t>
      </w:r>
      <w:r w:rsidRPr="003F566E">
        <w:rPr>
          <w:sz w:val="24"/>
          <w:szCs w:val="24"/>
        </w:rPr>
        <w:t xml:space="preserve">predstavuje </w:t>
      </w:r>
      <w:r w:rsidRPr="003F566E">
        <w:rPr>
          <w:b/>
          <w:bCs/>
          <w:sz w:val="24"/>
          <w:szCs w:val="24"/>
        </w:rPr>
        <w:t>3,</w:t>
      </w:r>
      <w:r w:rsidR="00680CE2" w:rsidRPr="003F566E">
        <w:rPr>
          <w:b/>
          <w:bCs/>
          <w:sz w:val="24"/>
          <w:szCs w:val="24"/>
        </w:rPr>
        <w:t>68</w:t>
      </w:r>
      <w:r w:rsidRPr="003F566E">
        <w:rPr>
          <w:b/>
          <w:bCs/>
          <w:sz w:val="24"/>
          <w:szCs w:val="24"/>
        </w:rPr>
        <w:t xml:space="preserve"> %</w:t>
      </w:r>
      <w:r w:rsidRPr="003F566E">
        <w:rPr>
          <w:sz w:val="24"/>
          <w:szCs w:val="24"/>
        </w:rPr>
        <w:t xml:space="preserve"> bežných príjmov znížených o dotácie (</w:t>
      </w:r>
      <w:r w:rsidR="00680CE2" w:rsidRPr="003F566E">
        <w:rPr>
          <w:rFonts w:cs="Calibri"/>
          <w:color w:val="000000"/>
          <w:sz w:val="24"/>
          <w:szCs w:val="24"/>
        </w:rPr>
        <w:t xml:space="preserve">4 057 499 </w:t>
      </w:r>
      <w:r w:rsidRPr="003F566E">
        <w:rPr>
          <w:sz w:val="24"/>
          <w:szCs w:val="24"/>
        </w:rPr>
        <w:t xml:space="preserve">€: </w:t>
      </w:r>
      <w:r w:rsidR="00680CE2" w:rsidRPr="003F566E">
        <w:rPr>
          <w:rFonts w:cs="Calibri"/>
          <w:color w:val="000000"/>
          <w:sz w:val="24"/>
          <w:szCs w:val="24"/>
        </w:rPr>
        <w:t xml:space="preserve">110 336 419 </w:t>
      </w:r>
      <w:r w:rsidRPr="003F566E">
        <w:rPr>
          <w:sz w:val="24"/>
          <w:szCs w:val="24"/>
        </w:rPr>
        <w:t>€). Podmienkou je neprekročiť 25% a</w:t>
      </w:r>
      <w:r w:rsidR="00EF7CD3" w:rsidRPr="003F566E">
        <w:rPr>
          <w:sz w:val="24"/>
          <w:szCs w:val="24"/>
        </w:rPr>
        <w:t> </w:t>
      </w:r>
      <w:r w:rsidRPr="003F566E">
        <w:rPr>
          <w:sz w:val="24"/>
          <w:szCs w:val="24"/>
        </w:rPr>
        <w:t>v zmysle zmluvy s EIB 15%.</w:t>
      </w:r>
    </w:p>
    <w:p w14:paraId="4FC012B3" w14:textId="1C7BDD91" w:rsidR="00FF591F" w:rsidRPr="003F566E" w:rsidRDefault="001D2E6F" w:rsidP="00BE704E">
      <w:pPr>
        <w:widowControl w:val="0"/>
        <w:shd w:val="clear" w:color="auto" w:fill="FFFFFF"/>
        <w:tabs>
          <w:tab w:val="left" w:pos="-3261"/>
        </w:tabs>
        <w:autoSpaceDE w:val="0"/>
        <w:autoSpaceDN w:val="0"/>
        <w:adjustRightInd w:val="0"/>
        <w:spacing w:after="120" w:line="240" w:lineRule="auto"/>
        <w:jc w:val="both"/>
        <w:rPr>
          <w:sz w:val="24"/>
          <w:szCs w:val="24"/>
        </w:rPr>
      </w:pPr>
      <w:r w:rsidRPr="003F566E">
        <w:rPr>
          <w:sz w:val="24"/>
          <w:szCs w:val="24"/>
        </w:rPr>
        <w:t xml:space="preserve">Stav istín z </w:t>
      </w:r>
      <w:r w:rsidR="00BE704E" w:rsidRPr="003F566E">
        <w:rPr>
          <w:sz w:val="24"/>
          <w:szCs w:val="24"/>
        </w:rPr>
        <w:t>prijatých úverov a finančných výpomocí z  bánk a finančných inštitúcií k 31.12.20</w:t>
      </w:r>
      <w:r w:rsidR="00B46FA2" w:rsidRPr="003F566E">
        <w:rPr>
          <w:sz w:val="24"/>
          <w:szCs w:val="24"/>
        </w:rPr>
        <w:t>20</w:t>
      </w:r>
      <w:r w:rsidR="00BE704E" w:rsidRPr="003F566E">
        <w:rPr>
          <w:sz w:val="24"/>
          <w:szCs w:val="24"/>
        </w:rPr>
        <w:t xml:space="preserve"> s porovnaním so stavom k 31.12.201</w:t>
      </w:r>
      <w:r w:rsidR="00F90874" w:rsidRPr="003F566E">
        <w:rPr>
          <w:sz w:val="24"/>
          <w:szCs w:val="24"/>
        </w:rPr>
        <w:t>7</w:t>
      </w:r>
      <w:r w:rsidR="00B46FA2" w:rsidRPr="003F566E">
        <w:rPr>
          <w:sz w:val="24"/>
          <w:szCs w:val="24"/>
        </w:rPr>
        <w:t>,</w:t>
      </w:r>
      <w:r w:rsidR="001C130D" w:rsidRPr="003F566E">
        <w:rPr>
          <w:sz w:val="24"/>
          <w:szCs w:val="24"/>
        </w:rPr>
        <w:t> </w:t>
      </w:r>
      <w:r w:rsidR="00F90874" w:rsidRPr="003F566E">
        <w:rPr>
          <w:sz w:val="24"/>
          <w:szCs w:val="24"/>
        </w:rPr>
        <w:t>201</w:t>
      </w:r>
      <w:r w:rsidR="00FF591F" w:rsidRPr="003F566E">
        <w:rPr>
          <w:sz w:val="24"/>
          <w:szCs w:val="24"/>
        </w:rPr>
        <w:t>8</w:t>
      </w:r>
      <w:r w:rsidR="00B46FA2" w:rsidRPr="003F566E">
        <w:rPr>
          <w:sz w:val="24"/>
          <w:szCs w:val="24"/>
        </w:rPr>
        <w:t xml:space="preserve"> a 2019</w:t>
      </w:r>
    </w:p>
    <w:tbl>
      <w:tblPr>
        <w:tblW w:w="5000" w:type="pct"/>
        <w:tblCellMar>
          <w:left w:w="70" w:type="dxa"/>
          <w:right w:w="70" w:type="dxa"/>
        </w:tblCellMar>
        <w:tblLook w:val="04A0" w:firstRow="1" w:lastRow="0" w:firstColumn="1" w:lastColumn="0" w:noHBand="0" w:noVBand="1"/>
      </w:tblPr>
      <w:tblGrid>
        <w:gridCol w:w="2653"/>
        <w:gridCol w:w="1246"/>
        <w:gridCol w:w="1250"/>
        <w:gridCol w:w="1242"/>
        <w:gridCol w:w="1415"/>
        <w:gridCol w:w="1242"/>
        <w:gridCol w:w="1242"/>
        <w:gridCol w:w="146"/>
      </w:tblGrid>
      <w:tr w:rsidR="00B46FA2" w:rsidRPr="00B46FA2" w14:paraId="6E347CE3" w14:textId="77777777" w:rsidTr="00B46FA2">
        <w:trPr>
          <w:gridAfter w:val="1"/>
          <w:wAfter w:w="70" w:type="pct"/>
          <w:trHeight w:val="315"/>
        </w:trPr>
        <w:tc>
          <w:tcPr>
            <w:tcW w:w="1284"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00D23B62" w14:textId="77777777" w:rsidR="00B46FA2" w:rsidRPr="00B46FA2" w:rsidRDefault="00B46FA2" w:rsidP="00B46FA2">
            <w:pPr>
              <w:spacing w:after="0" w:line="240" w:lineRule="auto"/>
              <w:jc w:val="center"/>
              <w:rPr>
                <w:rFonts w:cs="Calibri"/>
                <w:b/>
                <w:bCs/>
                <w:color w:val="000000"/>
                <w:sz w:val="24"/>
                <w:szCs w:val="24"/>
                <w:lang w:eastAsia="sk-SK"/>
              </w:rPr>
            </w:pPr>
            <w:r w:rsidRPr="00B46FA2">
              <w:rPr>
                <w:rFonts w:cs="Calibri"/>
                <w:b/>
                <w:bCs/>
                <w:color w:val="000000"/>
                <w:sz w:val="24"/>
                <w:szCs w:val="24"/>
                <w:lang w:eastAsia="sk-SK"/>
              </w:rPr>
              <w:t>Finančná inštitúcia</w:t>
            </w:r>
          </w:p>
        </w:tc>
        <w:tc>
          <w:tcPr>
            <w:tcW w:w="610"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1C3CCD0F" w14:textId="77777777" w:rsidR="00B46FA2" w:rsidRPr="00B46FA2" w:rsidRDefault="00B46FA2" w:rsidP="00B46FA2">
            <w:pPr>
              <w:spacing w:after="0" w:line="240" w:lineRule="auto"/>
              <w:jc w:val="center"/>
              <w:rPr>
                <w:rFonts w:cs="Calibri"/>
                <w:b/>
                <w:bCs/>
                <w:color w:val="000000"/>
                <w:sz w:val="24"/>
                <w:szCs w:val="24"/>
                <w:lang w:eastAsia="sk-SK"/>
              </w:rPr>
            </w:pPr>
            <w:r w:rsidRPr="00B46FA2">
              <w:rPr>
                <w:rFonts w:cs="Calibri"/>
                <w:b/>
                <w:bCs/>
                <w:color w:val="000000"/>
                <w:sz w:val="24"/>
                <w:szCs w:val="24"/>
                <w:lang w:eastAsia="sk-SK"/>
              </w:rPr>
              <w:t>Stav k 31.12.2017</w:t>
            </w:r>
          </w:p>
        </w:tc>
        <w:tc>
          <w:tcPr>
            <w:tcW w:w="612"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6393839A" w14:textId="77777777" w:rsidR="00B46FA2" w:rsidRPr="00B46FA2" w:rsidRDefault="00B46FA2" w:rsidP="00B46FA2">
            <w:pPr>
              <w:spacing w:after="0" w:line="240" w:lineRule="auto"/>
              <w:jc w:val="center"/>
              <w:rPr>
                <w:rFonts w:cs="Calibri"/>
                <w:b/>
                <w:bCs/>
                <w:color w:val="000000"/>
                <w:sz w:val="24"/>
                <w:szCs w:val="24"/>
                <w:lang w:eastAsia="sk-SK"/>
              </w:rPr>
            </w:pPr>
            <w:r w:rsidRPr="00B46FA2">
              <w:rPr>
                <w:rFonts w:cs="Calibri"/>
                <w:b/>
                <w:bCs/>
                <w:color w:val="000000"/>
                <w:sz w:val="24"/>
                <w:szCs w:val="24"/>
                <w:lang w:eastAsia="sk-SK"/>
              </w:rPr>
              <w:t>Stav k 31.12.2018</w:t>
            </w:r>
          </w:p>
        </w:tc>
        <w:tc>
          <w:tcPr>
            <w:tcW w:w="543"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2D2C9768" w14:textId="77777777" w:rsidR="00B46FA2" w:rsidRPr="00B46FA2" w:rsidRDefault="00B46FA2" w:rsidP="00B46FA2">
            <w:pPr>
              <w:spacing w:after="0" w:line="240" w:lineRule="auto"/>
              <w:jc w:val="center"/>
              <w:rPr>
                <w:rFonts w:cs="Calibri"/>
                <w:b/>
                <w:bCs/>
                <w:color w:val="000000"/>
                <w:sz w:val="24"/>
                <w:szCs w:val="24"/>
                <w:lang w:eastAsia="sk-SK"/>
              </w:rPr>
            </w:pPr>
            <w:r w:rsidRPr="00B46FA2">
              <w:rPr>
                <w:rFonts w:cs="Calibri"/>
                <w:b/>
                <w:bCs/>
                <w:color w:val="000000"/>
                <w:sz w:val="24"/>
                <w:szCs w:val="24"/>
                <w:lang w:eastAsia="sk-SK"/>
              </w:rPr>
              <w:t>Stav k 31.12.2019 v EUR</w:t>
            </w:r>
          </w:p>
        </w:tc>
        <w:tc>
          <w:tcPr>
            <w:tcW w:w="691" w:type="pct"/>
            <w:vMerge w:val="restart"/>
            <w:tcBorders>
              <w:top w:val="single" w:sz="12" w:space="0" w:color="FFFFFF"/>
              <w:left w:val="single" w:sz="12" w:space="0" w:color="FFFFFF"/>
              <w:bottom w:val="nil"/>
              <w:right w:val="single" w:sz="12" w:space="0" w:color="FFFFFF"/>
            </w:tcBorders>
            <w:shd w:val="clear" w:color="000000" w:fill="8DB3E2"/>
            <w:vAlign w:val="center"/>
            <w:hideMark/>
          </w:tcPr>
          <w:p w14:paraId="22B93485" w14:textId="77777777" w:rsidR="00B46FA2" w:rsidRPr="00B46FA2" w:rsidRDefault="00B46FA2" w:rsidP="00B46FA2">
            <w:pPr>
              <w:spacing w:after="0" w:line="240" w:lineRule="auto"/>
              <w:jc w:val="center"/>
              <w:rPr>
                <w:rFonts w:cs="Calibri"/>
                <w:b/>
                <w:bCs/>
                <w:color w:val="000000"/>
                <w:sz w:val="24"/>
                <w:szCs w:val="24"/>
                <w:lang w:eastAsia="sk-SK"/>
              </w:rPr>
            </w:pPr>
            <w:r w:rsidRPr="00B46FA2">
              <w:rPr>
                <w:rFonts w:cs="Calibri"/>
                <w:b/>
                <w:bCs/>
                <w:color w:val="000000"/>
                <w:sz w:val="24"/>
                <w:szCs w:val="24"/>
                <w:lang w:eastAsia="sk-SK"/>
              </w:rPr>
              <w:t>Prijatý úver  a NFV v roku 2020 v EUR</w:t>
            </w:r>
          </w:p>
        </w:tc>
        <w:tc>
          <w:tcPr>
            <w:tcW w:w="595" w:type="pct"/>
            <w:vMerge w:val="restart"/>
            <w:tcBorders>
              <w:top w:val="single" w:sz="12" w:space="0" w:color="FFFFFF"/>
              <w:left w:val="single" w:sz="12" w:space="0" w:color="FFFFFF"/>
              <w:bottom w:val="nil"/>
              <w:right w:val="single" w:sz="12" w:space="0" w:color="FFFFFF"/>
            </w:tcBorders>
            <w:shd w:val="clear" w:color="000000" w:fill="808080"/>
            <w:vAlign w:val="center"/>
            <w:hideMark/>
          </w:tcPr>
          <w:p w14:paraId="36208D96" w14:textId="77777777" w:rsidR="00B46FA2" w:rsidRPr="00B46FA2" w:rsidRDefault="00B46FA2" w:rsidP="00B46FA2">
            <w:pPr>
              <w:spacing w:after="0" w:line="240" w:lineRule="auto"/>
              <w:jc w:val="center"/>
              <w:rPr>
                <w:rFonts w:cs="Calibri"/>
                <w:b/>
                <w:bCs/>
                <w:color w:val="FFFFFF"/>
                <w:sz w:val="24"/>
                <w:szCs w:val="24"/>
                <w:lang w:eastAsia="sk-SK"/>
              </w:rPr>
            </w:pPr>
            <w:r w:rsidRPr="00B46FA2">
              <w:rPr>
                <w:rFonts w:cs="Calibri"/>
                <w:b/>
                <w:bCs/>
                <w:color w:val="FFFFFF"/>
                <w:sz w:val="24"/>
                <w:szCs w:val="24"/>
                <w:lang w:eastAsia="sk-SK"/>
              </w:rPr>
              <w:t>Splatenie istiny 31.12.2020</w:t>
            </w:r>
          </w:p>
        </w:tc>
        <w:tc>
          <w:tcPr>
            <w:tcW w:w="595" w:type="pct"/>
            <w:vMerge w:val="restart"/>
            <w:tcBorders>
              <w:top w:val="single" w:sz="12" w:space="0" w:color="FFFFFF"/>
              <w:left w:val="single" w:sz="12" w:space="0" w:color="FFFFFF"/>
              <w:bottom w:val="nil"/>
              <w:right w:val="single" w:sz="12" w:space="0" w:color="FFFFFF"/>
            </w:tcBorders>
            <w:shd w:val="clear" w:color="000000" w:fill="948A54"/>
            <w:vAlign w:val="center"/>
            <w:hideMark/>
          </w:tcPr>
          <w:p w14:paraId="19E480F8" w14:textId="77777777" w:rsidR="00B46FA2" w:rsidRPr="00B46FA2" w:rsidRDefault="00B46FA2" w:rsidP="00B46FA2">
            <w:pPr>
              <w:spacing w:after="0" w:line="240" w:lineRule="auto"/>
              <w:jc w:val="center"/>
              <w:rPr>
                <w:rFonts w:cs="Calibri"/>
                <w:b/>
                <w:bCs/>
                <w:color w:val="000000"/>
                <w:sz w:val="24"/>
                <w:szCs w:val="24"/>
                <w:lang w:eastAsia="sk-SK"/>
              </w:rPr>
            </w:pPr>
            <w:r w:rsidRPr="00B46FA2">
              <w:rPr>
                <w:rFonts w:cs="Calibri"/>
                <w:b/>
                <w:bCs/>
                <w:color w:val="000000"/>
                <w:sz w:val="24"/>
                <w:szCs w:val="24"/>
                <w:lang w:eastAsia="sk-SK"/>
              </w:rPr>
              <w:t>Zostatok istiny k 31.12.2020</w:t>
            </w:r>
          </w:p>
        </w:tc>
      </w:tr>
      <w:tr w:rsidR="00B46FA2" w:rsidRPr="00B46FA2" w14:paraId="520033B6" w14:textId="77777777" w:rsidTr="00B46FA2">
        <w:trPr>
          <w:trHeight w:val="300"/>
        </w:trPr>
        <w:tc>
          <w:tcPr>
            <w:tcW w:w="1284" w:type="pct"/>
            <w:vMerge/>
            <w:tcBorders>
              <w:top w:val="single" w:sz="12" w:space="0" w:color="FFFFFF"/>
              <w:left w:val="single" w:sz="12" w:space="0" w:color="FFFFFF"/>
              <w:bottom w:val="nil"/>
              <w:right w:val="single" w:sz="12" w:space="0" w:color="FFFFFF"/>
            </w:tcBorders>
            <w:vAlign w:val="center"/>
            <w:hideMark/>
          </w:tcPr>
          <w:p w14:paraId="6EA805A6" w14:textId="77777777" w:rsidR="00B46FA2" w:rsidRPr="00B46FA2" w:rsidRDefault="00B46FA2" w:rsidP="00B46FA2">
            <w:pPr>
              <w:spacing w:after="0" w:line="240" w:lineRule="auto"/>
              <w:rPr>
                <w:rFonts w:cs="Calibri"/>
                <w:b/>
                <w:bCs/>
                <w:color w:val="000000"/>
                <w:sz w:val="24"/>
                <w:szCs w:val="24"/>
                <w:lang w:eastAsia="sk-SK"/>
              </w:rPr>
            </w:pPr>
          </w:p>
        </w:tc>
        <w:tc>
          <w:tcPr>
            <w:tcW w:w="610" w:type="pct"/>
            <w:vMerge/>
            <w:tcBorders>
              <w:top w:val="single" w:sz="12" w:space="0" w:color="FFFFFF"/>
              <w:left w:val="single" w:sz="12" w:space="0" w:color="FFFFFF"/>
              <w:bottom w:val="nil"/>
              <w:right w:val="single" w:sz="12" w:space="0" w:color="FFFFFF"/>
            </w:tcBorders>
            <w:vAlign w:val="center"/>
            <w:hideMark/>
          </w:tcPr>
          <w:p w14:paraId="3EEDB4CE" w14:textId="77777777" w:rsidR="00B46FA2" w:rsidRPr="00B46FA2" w:rsidRDefault="00B46FA2" w:rsidP="00B46FA2">
            <w:pPr>
              <w:spacing w:after="0" w:line="240" w:lineRule="auto"/>
              <w:rPr>
                <w:rFonts w:cs="Calibri"/>
                <w:b/>
                <w:bCs/>
                <w:color w:val="000000"/>
                <w:sz w:val="24"/>
                <w:szCs w:val="24"/>
                <w:lang w:eastAsia="sk-SK"/>
              </w:rPr>
            </w:pPr>
          </w:p>
        </w:tc>
        <w:tc>
          <w:tcPr>
            <w:tcW w:w="612" w:type="pct"/>
            <w:vMerge/>
            <w:tcBorders>
              <w:top w:val="single" w:sz="12" w:space="0" w:color="FFFFFF"/>
              <w:left w:val="single" w:sz="12" w:space="0" w:color="FFFFFF"/>
              <w:bottom w:val="nil"/>
              <w:right w:val="single" w:sz="12" w:space="0" w:color="FFFFFF"/>
            </w:tcBorders>
            <w:vAlign w:val="center"/>
            <w:hideMark/>
          </w:tcPr>
          <w:p w14:paraId="403E1449" w14:textId="77777777" w:rsidR="00B46FA2" w:rsidRPr="00B46FA2" w:rsidRDefault="00B46FA2" w:rsidP="00B46FA2">
            <w:pPr>
              <w:spacing w:after="0" w:line="240" w:lineRule="auto"/>
              <w:rPr>
                <w:rFonts w:cs="Calibri"/>
                <w:b/>
                <w:bCs/>
                <w:color w:val="000000"/>
                <w:sz w:val="24"/>
                <w:szCs w:val="24"/>
                <w:lang w:eastAsia="sk-SK"/>
              </w:rPr>
            </w:pPr>
          </w:p>
        </w:tc>
        <w:tc>
          <w:tcPr>
            <w:tcW w:w="543" w:type="pct"/>
            <w:vMerge/>
            <w:tcBorders>
              <w:top w:val="single" w:sz="12" w:space="0" w:color="FFFFFF"/>
              <w:left w:val="single" w:sz="12" w:space="0" w:color="FFFFFF"/>
              <w:bottom w:val="nil"/>
              <w:right w:val="single" w:sz="12" w:space="0" w:color="FFFFFF"/>
            </w:tcBorders>
            <w:vAlign w:val="center"/>
            <w:hideMark/>
          </w:tcPr>
          <w:p w14:paraId="289CF901" w14:textId="77777777" w:rsidR="00B46FA2" w:rsidRPr="00B46FA2" w:rsidRDefault="00B46FA2" w:rsidP="00B46FA2">
            <w:pPr>
              <w:spacing w:after="0" w:line="240" w:lineRule="auto"/>
              <w:rPr>
                <w:rFonts w:cs="Calibri"/>
                <w:b/>
                <w:bCs/>
                <w:color w:val="000000"/>
                <w:sz w:val="24"/>
                <w:szCs w:val="24"/>
                <w:lang w:eastAsia="sk-SK"/>
              </w:rPr>
            </w:pPr>
          </w:p>
        </w:tc>
        <w:tc>
          <w:tcPr>
            <w:tcW w:w="691" w:type="pct"/>
            <w:vMerge/>
            <w:tcBorders>
              <w:top w:val="single" w:sz="12" w:space="0" w:color="FFFFFF"/>
              <w:left w:val="single" w:sz="12" w:space="0" w:color="FFFFFF"/>
              <w:bottom w:val="nil"/>
              <w:right w:val="single" w:sz="12" w:space="0" w:color="FFFFFF"/>
            </w:tcBorders>
            <w:vAlign w:val="center"/>
            <w:hideMark/>
          </w:tcPr>
          <w:p w14:paraId="290975F4" w14:textId="77777777" w:rsidR="00B46FA2" w:rsidRPr="00B46FA2" w:rsidRDefault="00B46FA2" w:rsidP="00B46FA2">
            <w:pPr>
              <w:spacing w:after="0" w:line="240" w:lineRule="auto"/>
              <w:rPr>
                <w:rFonts w:cs="Calibri"/>
                <w:b/>
                <w:bCs/>
                <w:color w:val="000000"/>
                <w:sz w:val="24"/>
                <w:szCs w:val="24"/>
                <w:lang w:eastAsia="sk-SK"/>
              </w:rPr>
            </w:pPr>
          </w:p>
        </w:tc>
        <w:tc>
          <w:tcPr>
            <w:tcW w:w="595" w:type="pct"/>
            <w:vMerge/>
            <w:tcBorders>
              <w:top w:val="single" w:sz="12" w:space="0" w:color="FFFFFF"/>
              <w:left w:val="single" w:sz="12" w:space="0" w:color="FFFFFF"/>
              <w:bottom w:val="nil"/>
              <w:right w:val="single" w:sz="12" w:space="0" w:color="FFFFFF"/>
            </w:tcBorders>
            <w:vAlign w:val="center"/>
            <w:hideMark/>
          </w:tcPr>
          <w:p w14:paraId="6AFEDC44" w14:textId="77777777" w:rsidR="00B46FA2" w:rsidRPr="00B46FA2" w:rsidRDefault="00B46FA2" w:rsidP="00B46FA2">
            <w:pPr>
              <w:spacing w:after="0" w:line="240" w:lineRule="auto"/>
              <w:rPr>
                <w:rFonts w:cs="Calibri"/>
                <w:b/>
                <w:bCs/>
                <w:color w:val="FFFFFF"/>
                <w:sz w:val="24"/>
                <w:szCs w:val="24"/>
                <w:lang w:eastAsia="sk-SK"/>
              </w:rPr>
            </w:pPr>
          </w:p>
        </w:tc>
        <w:tc>
          <w:tcPr>
            <w:tcW w:w="595" w:type="pct"/>
            <w:vMerge/>
            <w:tcBorders>
              <w:top w:val="single" w:sz="12" w:space="0" w:color="FFFFFF"/>
              <w:left w:val="single" w:sz="12" w:space="0" w:color="FFFFFF"/>
              <w:bottom w:val="nil"/>
              <w:right w:val="single" w:sz="12" w:space="0" w:color="FFFFFF"/>
            </w:tcBorders>
            <w:vAlign w:val="center"/>
            <w:hideMark/>
          </w:tcPr>
          <w:p w14:paraId="4E55199C" w14:textId="77777777" w:rsidR="00B46FA2" w:rsidRPr="00B46FA2" w:rsidRDefault="00B46FA2" w:rsidP="00B46FA2">
            <w:pPr>
              <w:spacing w:after="0" w:line="240" w:lineRule="auto"/>
              <w:rPr>
                <w:rFonts w:cs="Calibri"/>
                <w:b/>
                <w:bCs/>
                <w:color w:val="000000"/>
                <w:sz w:val="24"/>
                <w:szCs w:val="24"/>
                <w:lang w:eastAsia="sk-SK"/>
              </w:rPr>
            </w:pPr>
          </w:p>
        </w:tc>
        <w:tc>
          <w:tcPr>
            <w:tcW w:w="70" w:type="pct"/>
            <w:tcBorders>
              <w:top w:val="nil"/>
              <w:left w:val="nil"/>
              <w:bottom w:val="nil"/>
              <w:right w:val="nil"/>
            </w:tcBorders>
            <w:shd w:val="clear" w:color="auto" w:fill="auto"/>
            <w:noWrap/>
            <w:vAlign w:val="bottom"/>
            <w:hideMark/>
          </w:tcPr>
          <w:p w14:paraId="31C447B8" w14:textId="77777777" w:rsidR="00B46FA2" w:rsidRPr="00B46FA2" w:rsidRDefault="00B46FA2" w:rsidP="00B46FA2">
            <w:pPr>
              <w:spacing w:after="0" w:line="240" w:lineRule="auto"/>
              <w:jc w:val="center"/>
              <w:rPr>
                <w:rFonts w:cs="Calibri"/>
                <w:b/>
                <w:bCs/>
                <w:color w:val="000000"/>
                <w:sz w:val="24"/>
                <w:szCs w:val="24"/>
                <w:lang w:eastAsia="sk-SK"/>
              </w:rPr>
            </w:pPr>
          </w:p>
        </w:tc>
      </w:tr>
      <w:tr w:rsidR="00B46FA2" w:rsidRPr="00B46FA2" w14:paraId="32F7459F" w14:textId="77777777" w:rsidTr="00B46FA2">
        <w:trPr>
          <w:trHeight w:val="330"/>
        </w:trPr>
        <w:tc>
          <w:tcPr>
            <w:tcW w:w="1284" w:type="pct"/>
            <w:tcBorders>
              <w:top w:val="nil"/>
              <w:left w:val="single" w:sz="12" w:space="0" w:color="FFFFFF"/>
              <w:bottom w:val="single" w:sz="12" w:space="0" w:color="FFFFFF"/>
              <w:right w:val="single" w:sz="12" w:space="0" w:color="FFFFFF"/>
            </w:tcBorders>
            <w:shd w:val="clear" w:color="000000" w:fill="F2F2F2"/>
            <w:vAlign w:val="center"/>
            <w:hideMark/>
          </w:tcPr>
          <w:p w14:paraId="6CCCAD19" w14:textId="77777777" w:rsidR="00B46FA2" w:rsidRPr="00B46FA2" w:rsidRDefault="00B46FA2" w:rsidP="00B46FA2">
            <w:pPr>
              <w:spacing w:after="0" w:line="240" w:lineRule="auto"/>
              <w:rPr>
                <w:rFonts w:cs="Calibri"/>
                <w:b/>
                <w:bCs/>
                <w:color w:val="000000"/>
                <w:sz w:val="24"/>
                <w:szCs w:val="24"/>
                <w:lang w:eastAsia="sk-SK"/>
              </w:rPr>
            </w:pPr>
            <w:r w:rsidRPr="00B46FA2">
              <w:rPr>
                <w:rFonts w:cs="Calibri"/>
                <w:b/>
                <w:bCs/>
                <w:color w:val="000000"/>
                <w:sz w:val="24"/>
                <w:szCs w:val="24"/>
                <w:lang w:eastAsia="sk-SK"/>
              </w:rPr>
              <w:t>OTP banka</w:t>
            </w:r>
          </w:p>
        </w:tc>
        <w:tc>
          <w:tcPr>
            <w:tcW w:w="610" w:type="pct"/>
            <w:tcBorders>
              <w:top w:val="nil"/>
              <w:left w:val="nil"/>
              <w:bottom w:val="single" w:sz="12" w:space="0" w:color="FFFFFF"/>
              <w:right w:val="single" w:sz="12" w:space="0" w:color="FFFFFF"/>
            </w:tcBorders>
            <w:shd w:val="clear" w:color="000000" w:fill="F2F2F2"/>
            <w:vAlign w:val="center"/>
            <w:hideMark/>
          </w:tcPr>
          <w:p w14:paraId="03198C13"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1 145 847</w:t>
            </w:r>
          </w:p>
        </w:tc>
        <w:tc>
          <w:tcPr>
            <w:tcW w:w="612" w:type="pct"/>
            <w:tcBorders>
              <w:top w:val="nil"/>
              <w:left w:val="nil"/>
              <w:bottom w:val="single" w:sz="12" w:space="0" w:color="FFFFFF"/>
              <w:right w:val="single" w:sz="12" w:space="0" w:color="FFFFFF"/>
            </w:tcBorders>
            <w:shd w:val="clear" w:color="000000" w:fill="F2F2F2"/>
            <w:vAlign w:val="center"/>
            <w:hideMark/>
          </w:tcPr>
          <w:p w14:paraId="061F6F46"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993 155</w:t>
            </w:r>
          </w:p>
        </w:tc>
        <w:tc>
          <w:tcPr>
            <w:tcW w:w="543" w:type="pct"/>
            <w:tcBorders>
              <w:top w:val="nil"/>
              <w:left w:val="nil"/>
              <w:bottom w:val="single" w:sz="12" w:space="0" w:color="FFFFFF"/>
              <w:right w:val="single" w:sz="12" w:space="0" w:color="FFFFFF"/>
            </w:tcBorders>
            <w:shd w:val="clear" w:color="000000" w:fill="F2F2F2"/>
            <w:vAlign w:val="center"/>
            <w:hideMark/>
          </w:tcPr>
          <w:p w14:paraId="7EFC9703"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840 463</w:t>
            </w:r>
          </w:p>
        </w:tc>
        <w:tc>
          <w:tcPr>
            <w:tcW w:w="691" w:type="pct"/>
            <w:tcBorders>
              <w:top w:val="nil"/>
              <w:left w:val="nil"/>
              <w:bottom w:val="single" w:sz="12" w:space="0" w:color="FFFFFF"/>
              <w:right w:val="single" w:sz="12" w:space="0" w:color="FFFFFF"/>
            </w:tcBorders>
            <w:shd w:val="clear" w:color="000000" w:fill="F2F2F2"/>
            <w:vAlign w:val="center"/>
            <w:hideMark/>
          </w:tcPr>
          <w:p w14:paraId="3B3A42F8"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 </w:t>
            </w:r>
          </w:p>
        </w:tc>
        <w:tc>
          <w:tcPr>
            <w:tcW w:w="595" w:type="pct"/>
            <w:tcBorders>
              <w:top w:val="nil"/>
              <w:left w:val="nil"/>
              <w:bottom w:val="single" w:sz="12" w:space="0" w:color="FFFFFF"/>
              <w:right w:val="single" w:sz="12" w:space="0" w:color="FFFFFF"/>
            </w:tcBorders>
            <w:shd w:val="clear" w:color="000000" w:fill="BFBFBF"/>
            <w:vAlign w:val="center"/>
            <w:hideMark/>
          </w:tcPr>
          <w:p w14:paraId="4527FC96"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-152 692</w:t>
            </w:r>
          </w:p>
        </w:tc>
        <w:tc>
          <w:tcPr>
            <w:tcW w:w="595" w:type="pct"/>
            <w:tcBorders>
              <w:top w:val="nil"/>
              <w:left w:val="nil"/>
              <w:bottom w:val="single" w:sz="12" w:space="0" w:color="FFFFFF"/>
              <w:right w:val="single" w:sz="12" w:space="0" w:color="FFFFFF"/>
            </w:tcBorders>
            <w:shd w:val="clear" w:color="000000" w:fill="C4BD97"/>
            <w:vAlign w:val="center"/>
            <w:hideMark/>
          </w:tcPr>
          <w:p w14:paraId="2A11CDD3"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687 771</w:t>
            </w:r>
          </w:p>
        </w:tc>
        <w:tc>
          <w:tcPr>
            <w:tcW w:w="70" w:type="pct"/>
            <w:vAlign w:val="center"/>
            <w:hideMark/>
          </w:tcPr>
          <w:p w14:paraId="0811EE7F" w14:textId="77777777" w:rsidR="00B46FA2" w:rsidRPr="00B46FA2" w:rsidRDefault="00B46FA2" w:rsidP="00B46FA2">
            <w:pPr>
              <w:spacing w:after="0" w:line="240" w:lineRule="auto"/>
              <w:rPr>
                <w:rFonts w:ascii="Times New Roman" w:hAnsi="Times New Roman"/>
                <w:sz w:val="20"/>
                <w:szCs w:val="20"/>
                <w:lang w:eastAsia="sk-SK"/>
              </w:rPr>
            </w:pPr>
          </w:p>
        </w:tc>
      </w:tr>
      <w:tr w:rsidR="00B46FA2" w:rsidRPr="00B46FA2" w14:paraId="516A4C2D" w14:textId="77777777" w:rsidTr="00B46FA2">
        <w:trPr>
          <w:trHeight w:val="345"/>
        </w:trPr>
        <w:tc>
          <w:tcPr>
            <w:tcW w:w="1284" w:type="pct"/>
            <w:tcBorders>
              <w:top w:val="nil"/>
              <w:left w:val="single" w:sz="12" w:space="0" w:color="FFFFFF"/>
              <w:bottom w:val="single" w:sz="12" w:space="0" w:color="FFFFFF"/>
              <w:right w:val="single" w:sz="12" w:space="0" w:color="FFFFFF"/>
            </w:tcBorders>
            <w:shd w:val="clear" w:color="000000" w:fill="F2F2F2"/>
            <w:vAlign w:val="center"/>
            <w:hideMark/>
          </w:tcPr>
          <w:p w14:paraId="5336A32D" w14:textId="77777777" w:rsidR="00B46FA2" w:rsidRPr="00B46FA2" w:rsidRDefault="00B46FA2" w:rsidP="00B46FA2">
            <w:pPr>
              <w:spacing w:after="0" w:line="240" w:lineRule="auto"/>
              <w:rPr>
                <w:rFonts w:cs="Calibri"/>
                <w:b/>
                <w:bCs/>
                <w:color w:val="000000"/>
                <w:sz w:val="24"/>
                <w:szCs w:val="24"/>
                <w:lang w:eastAsia="sk-SK"/>
              </w:rPr>
            </w:pPr>
            <w:r w:rsidRPr="00B46FA2">
              <w:rPr>
                <w:rFonts w:cs="Calibri"/>
                <w:b/>
                <w:bCs/>
                <w:color w:val="000000"/>
                <w:sz w:val="24"/>
                <w:szCs w:val="24"/>
                <w:lang w:eastAsia="sk-SK"/>
              </w:rPr>
              <w:t>EIB</w:t>
            </w:r>
          </w:p>
        </w:tc>
        <w:tc>
          <w:tcPr>
            <w:tcW w:w="610" w:type="pct"/>
            <w:tcBorders>
              <w:top w:val="nil"/>
              <w:left w:val="nil"/>
              <w:bottom w:val="single" w:sz="12" w:space="0" w:color="FFFFFF"/>
              <w:right w:val="single" w:sz="12" w:space="0" w:color="FFFFFF"/>
            </w:tcBorders>
            <w:shd w:val="clear" w:color="000000" w:fill="F2F2F2"/>
            <w:vAlign w:val="center"/>
            <w:hideMark/>
          </w:tcPr>
          <w:p w14:paraId="721EDAF3"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19 400 699</w:t>
            </w:r>
          </w:p>
        </w:tc>
        <w:tc>
          <w:tcPr>
            <w:tcW w:w="612" w:type="pct"/>
            <w:tcBorders>
              <w:top w:val="nil"/>
              <w:left w:val="nil"/>
              <w:bottom w:val="single" w:sz="12" w:space="0" w:color="FFFFFF"/>
              <w:right w:val="single" w:sz="12" w:space="0" w:color="FFFFFF"/>
            </w:tcBorders>
            <w:shd w:val="clear" w:color="000000" w:fill="F2F2F2"/>
            <w:vAlign w:val="center"/>
            <w:hideMark/>
          </w:tcPr>
          <w:p w14:paraId="24C281CF"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34 564 966</w:t>
            </w:r>
          </w:p>
        </w:tc>
        <w:tc>
          <w:tcPr>
            <w:tcW w:w="543" w:type="pct"/>
            <w:tcBorders>
              <w:top w:val="nil"/>
              <w:left w:val="nil"/>
              <w:bottom w:val="single" w:sz="12" w:space="0" w:color="FFFFFF"/>
              <w:right w:val="single" w:sz="12" w:space="0" w:color="FFFFFF"/>
            </w:tcBorders>
            <w:shd w:val="clear" w:color="000000" w:fill="F2F2F2"/>
            <w:vAlign w:val="center"/>
            <w:hideMark/>
          </w:tcPr>
          <w:p w14:paraId="54FA9A78"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33 369 232</w:t>
            </w:r>
          </w:p>
        </w:tc>
        <w:tc>
          <w:tcPr>
            <w:tcW w:w="691" w:type="pct"/>
            <w:tcBorders>
              <w:top w:val="nil"/>
              <w:left w:val="nil"/>
              <w:bottom w:val="single" w:sz="12" w:space="0" w:color="FFFFFF"/>
              <w:right w:val="single" w:sz="12" w:space="0" w:color="FFFFFF"/>
            </w:tcBorders>
            <w:shd w:val="clear" w:color="000000" w:fill="F2F2F2"/>
            <w:vAlign w:val="center"/>
            <w:hideMark/>
          </w:tcPr>
          <w:p w14:paraId="2D04D73E"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6 000 000</w:t>
            </w:r>
          </w:p>
        </w:tc>
        <w:tc>
          <w:tcPr>
            <w:tcW w:w="595" w:type="pct"/>
            <w:tcBorders>
              <w:top w:val="nil"/>
              <w:left w:val="nil"/>
              <w:bottom w:val="single" w:sz="12" w:space="0" w:color="FFFFFF"/>
              <w:right w:val="single" w:sz="12" w:space="0" w:color="FFFFFF"/>
            </w:tcBorders>
            <w:shd w:val="clear" w:color="000000" w:fill="BFBFBF"/>
            <w:vAlign w:val="center"/>
            <w:hideMark/>
          </w:tcPr>
          <w:p w14:paraId="2DC243B6"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-1 475 733</w:t>
            </w:r>
          </w:p>
        </w:tc>
        <w:tc>
          <w:tcPr>
            <w:tcW w:w="595" w:type="pct"/>
            <w:tcBorders>
              <w:top w:val="nil"/>
              <w:left w:val="nil"/>
              <w:bottom w:val="single" w:sz="12" w:space="0" w:color="FFFFFF"/>
              <w:right w:val="single" w:sz="12" w:space="0" w:color="FFFFFF"/>
            </w:tcBorders>
            <w:shd w:val="clear" w:color="000000" w:fill="C4BD97"/>
            <w:vAlign w:val="center"/>
            <w:hideMark/>
          </w:tcPr>
          <w:p w14:paraId="10AC5CF6"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37 893 499</w:t>
            </w:r>
          </w:p>
        </w:tc>
        <w:tc>
          <w:tcPr>
            <w:tcW w:w="70" w:type="pct"/>
            <w:vAlign w:val="center"/>
            <w:hideMark/>
          </w:tcPr>
          <w:p w14:paraId="3F76F38D" w14:textId="77777777" w:rsidR="00B46FA2" w:rsidRPr="00B46FA2" w:rsidRDefault="00B46FA2" w:rsidP="00B46FA2">
            <w:pPr>
              <w:spacing w:after="0" w:line="240" w:lineRule="auto"/>
              <w:rPr>
                <w:rFonts w:ascii="Times New Roman" w:hAnsi="Times New Roman"/>
                <w:sz w:val="20"/>
                <w:szCs w:val="20"/>
                <w:lang w:eastAsia="sk-SK"/>
              </w:rPr>
            </w:pPr>
          </w:p>
        </w:tc>
      </w:tr>
      <w:tr w:rsidR="00B46FA2" w:rsidRPr="00B46FA2" w14:paraId="2A392D94" w14:textId="77777777" w:rsidTr="00B46FA2">
        <w:trPr>
          <w:trHeight w:val="345"/>
        </w:trPr>
        <w:tc>
          <w:tcPr>
            <w:tcW w:w="1284" w:type="pct"/>
            <w:tcBorders>
              <w:top w:val="nil"/>
              <w:left w:val="single" w:sz="12" w:space="0" w:color="FFFFFF"/>
              <w:bottom w:val="single" w:sz="12" w:space="0" w:color="FFFFFF"/>
              <w:right w:val="single" w:sz="12" w:space="0" w:color="FFFFFF"/>
            </w:tcBorders>
            <w:shd w:val="clear" w:color="000000" w:fill="F2F2F2"/>
            <w:vAlign w:val="center"/>
            <w:hideMark/>
          </w:tcPr>
          <w:p w14:paraId="75F94006" w14:textId="77777777" w:rsidR="00B46FA2" w:rsidRPr="00B46FA2" w:rsidRDefault="00B46FA2" w:rsidP="00B46FA2">
            <w:pPr>
              <w:spacing w:after="0" w:line="240" w:lineRule="auto"/>
              <w:rPr>
                <w:rFonts w:cs="Calibri"/>
                <w:b/>
                <w:bCs/>
                <w:color w:val="000000"/>
                <w:sz w:val="24"/>
                <w:szCs w:val="24"/>
                <w:lang w:eastAsia="sk-SK"/>
              </w:rPr>
            </w:pPr>
            <w:r w:rsidRPr="00B46FA2">
              <w:rPr>
                <w:rFonts w:cs="Calibri"/>
                <w:b/>
                <w:bCs/>
                <w:color w:val="000000"/>
                <w:sz w:val="24"/>
                <w:szCs w:val="24"/>
                <w:lang w:eastAsia="sk-SK"/>
              </w:rPr>
              <w:t>Komerční banka</w:t>
            </w:r>
          </w:p>
        </w:tc>
        <w:tc>
          <w:tcPr>
            <w:tcW w:w="610" w:type="pct"/>
            <w:tcBorders>
              <w:top w:val="nil"/>
              <w:left w:val="nil"/>
              <w:bottom w:val="single" w:sz="12" w:space="0" w:color="FFFFFF"/>
              <w:right w:val="single" w:sz="12" w:space="0" w:color="FFFFFF"/>
            </w:tcBorders>
            <w:shd w:val="clear" w:color="000000" w:fill="F2F2F2"/>
            <w:vAlign w:val="center"/>
            <w:hideMark/>
          </w:tcPr>
          <w:p w14:paraId="761A12AC"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9 884 875</w:t>
            </w:r>
          </w:p>
        </w:tc>
        <w:tc>
          <w:tcPr>
            <w:tcW w:w="612" w:type="pct"/>
            <w:tcBorders>
              <w:top w:val="nil"/>
              <w:left w:val="nil"/>
              <w:bottom w:val="single" w:sz="12" w:space="0" w:color="FFFFFF"/>
              <w:right w:val="single" w:sz="12" w:space="0" w:color="FFFFFF"/>
            </w:tcBorders>
            <w:shd w:val="clear" w:color="000000" w:fill="F2F2F2"/>
            <w:vAlign w:val="center"/>
            <w:hideMark/>
          </w:tcPr>
          <w:p w14:paraId="614B5149"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8 609 141</w:t>
            </w:r>
          </w:p>
        </w:tc>
        <w:tc>
          <w:tcPr>
            <w:tcW w:w="543" w:type="pct"/>
            <w:tcBorders>
              <w:top w:val="nil"/>
              <w:left w:val="nil"/>
              <w:bottom w:val="single" w:sz="12" w:space="0" w:color="FFFFFF"/>
              <w:right w:val="single" w:sz="12" w:space="0" w:color="FFFFFF"/>
            </w:tcBorders>
            <w:shd w:val="clear" w:color="000000" w:fill="F2F2F2"/>
            <w:vAlign w:val="center"/>
            <w:hideMark/>
          </w:tcPr>
          <w:p w14:paraId="217A40A7"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7 333 407</w:t>
            </w:r>
          </w:p>
        </w:tc>
        <w:tc>
          <w:tcPr>
            <w:tcW w:w="691" w:type="pct"/>
            <w:tcBorders>
              <w:top w:val="nil"/>
              <w:left w:val="nil"/>
              <w:bottom w:val="single" w:sz="12" w:space="0" w:color="FFFFFF"/>
              <w:right w:val="single" w:sz="12" w:space="0" w:color="FFFFFF"/>
            </w:tcBorders>
            <w:shd w:val="clear" w:color="000000" w:fill="F2F2F2"/>
            <w:vAlign w:val="center"/>
            <w:hideMark/>
          </w:tcPr>
          <w:p w14:paraId="6A0F060E"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 </w:t>
            </w:r>
          </w:p>
        </w:tc>
        <w:tc>
          <w:tcPr>
            <w:tcW w:w="595" w:type="pct"/>
            <w:tcBorders>
              <w:top w:val="nil"/>
              <w:left w:val="nil"/>
              <w:bottom w:val="single" w:sz="12" w:space="0" w:color="FFFFFF"/>
              <w:right w:val="single" w:sz="12" w:space="0" w:color="FFFFFF"/>
            </w:tcBorders>
            <w:shd w:val="clear" w:color="000000" w:fill="BFBFBF"/>
            <w:vAlign w:val="center"/>
            <w:hideMark/>
          </w:tcPr>
          <w:p w14:paraId="5D683A8D"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-1 275 734</w:t>
            </w:r>
          </w:p>
        </w:tc>
        <w:tc>
          <w:tcPr>
            <w:tcW w:w="595" w:type="pct"/>
            <w:tcBorders>
              <w:top w:val="nil"/>
              <w:left w:val="nil"/>
              <w:bottom w:val="single" w:sz="12" w:space="0" w:color="FFFFFF"/>
              <w:right w:val="single" w:sz="12" w:space="0" w:color="FFFFFF"/>
            </w:tcBorders>
            <w:shd w:val="clear" w:color="000000" w:fill="C4BD97"/>
            <w:vAlign w:val="center"/>
            <w:hideMark/>
          </w:tcPr>
          <w:p w14:paraId="029B098B"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6 057 673</w:t>
            </w:r>
          </w:p>
        </w:tc>
        <w:tc>
          <w:tcPr>
            <w:tcW w:w="70" w:type="pct"/>
            <w:vAlign w:val="center"/>
            <w:hideMark/>
          </w:tcPr>
          <w:p w14:paraId="10C9D691" w14:textId="77777777" w:rsidR="00B46FA2" w:rsidRPr="00B46FA2" w:rsidRDefault="00B46FA2" w:rsidP="00B46FA2">
            <w:pPr>
              <w:spacing w:after="0" w:line="240" w:lineRule="auto"/>
              <w:rPr>
                <w:rFonts w:ascii="Times New Roman" w:hAnsi="Times New Roman"/>
                <w:sz w:val="20"/>
                <w:szCs w:val="20"/>
                <w:lang w:eastAsia="sk-SK"/>
              </w:rPr>
            </w:pPr>
          </w:p>
        </w:tc>
      </w:tr>
      <w:tr w:rsidR="00B46FA2" w:rsidRPr="00B46FA2" w14:paraId="4BF98CFD" w14:textId="77777777" w:rsidTr="00B46FA2">
        <w:trPr>
          <w:trHeight w:val="345"/>
        </w:trPr>
        <w:tc>
          <w:tcPr>
            <w:tcW w:w="1284" w:type="pct"/>
            <w:tcBorders>
              <w:top w:val="nil"/>
              <w:left w:val="single" w:sz="12" w:space="0" w:color="FFFFFF"/>
              <w:bottom w:val="single" w:sz="12" w:space="0" w:color="FFFFFF"/>
              <w:right w:val="single" w:sz="12" w:space="0" w:color="FFFFFF"/>
            </w:tcBorders>
            <w:shd w:val="clear" w:color="000000" w:fill="F2F2F2"/>
            <w:vAlign w:val="center"/>
            <w:hideMark/>
          </w:tcPr>
          <w:p w14:paraId="6E965A62" w14:textId="77777777" w:rsidR="00B46FA2" w:rsidRPr="00B46FA2" w:rsidRDefault="00B46FA2" w:rsidP="00B46FA2">
            <w:pPr>
              <w:spacing w:after="0" w:line="240" w:lineRule="auto"/>
              <w:rPr>
                <w:rFonts w:cs="Calibri"/>
                <w:b/>
                <w:bCs/>
                <w:color w:val="000000"/>
                <w:sz w:val="24"/>
                <w:szCs w:val="24"/>
                <w:lang w:eastAsia="sk-SK"/>
              </w:rPr>
            </w:pPr>
            <w:r w:rsidRPr="00B46FA2">
              <w:rPr>
                <w:rFonts w:cs="Calibri"/>
                <w:b/>
                <w:bCs/>
                <w:color w:val="000000"/>
                <w:sz w:val="24"/>
                <w:szCs w:val="24"/>
                <w:lang w:eastAsia="sk-SK"/>
              </w:rPr>
              <w:t>Slovenská sporiteľňa</w:t>
            </w:r>
          </w:p>
        </w:tc>
        <w:tc>
          <w:tcPr>
            <w:tcW w:w="610" w:type="pct"/>
            <w:tcBorders>
              <w:top w:val="nil"/>
              <w:left w:val="nil"/>
              <w:bottom w:val="single" w:sz="12" w:space="0" w:color="FFFFFF"/>
              <w:right w:val="single" w:sz="12" w:space="0" w:color="FFFFFF"/>
            </w:tcBorders>
            <w:shd w:val="clear" w:color="000000" w:fill="F2F2F2"/>
            <w:vAlign w:val="center"/>
            <w:hideMark/>
          </w:tcPr>
          <w:p w14:paraId="191656B8"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14 037 719</w:t>
            </w:r>
          </w:p>
        </w:tc>
        <w:tc>
          <w:tcPr>
            <w:tcW w:w="612" w:type="pct"/>
            <w:tcBorders>
              <w:top w:val="nil"/>
              <w:left w:val="nil"/>
              <w:bottom w:val="single" w:sz="12" w:space="0" w:color="FFFFFF"/>
              <w:right w:val="single" w:sz="12" w:space="0" w:color="FFFFFF"/>
            </w:tcBorders>
            <w:shd w:val="clear" w:color="000000" w:fill="F2F2F2"/>
            <w:vAlign w:val="center"/>
            <w:hideMark/>
          </w:tcPr>
          <w:p w14:paraId="090980BA"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13 037 715</w:t>
            </w:r>
          </w:p>
        </w:tc>
        <w:tc>
          <w:tcPr>
            <w:tcW w:w="543" w:type="pct"/>
            <w:tcBorders>
              <w:top w:val="nil"/>
              <w:left w:val="nil"/>
              <w:bottom w:val="single" w:sz="12" w:space="0" w:color="FFFFFF"/>
              <w:right w:val="single" w:sz="12" w:space="0" w:color="FFFFFF"/>
            </w:tcBorders>
            <w:shd w:val="clear" w:color="000000" w:fill="F2F2F2"/>
            <w:vAlign w:val="center"/>
            <w:hideMark/>
          </w:tcPr>
          <w:p w14:paraId="4C9C15AB"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12 037 711</w:t>
            </w:r>
          </w:p>
        </w:tc>
        <w:tc>
          <w:tcPr>
            <w:tcW w:w="691" w:type="pct"/>
            <w:tcBorders>
              <w:top w:val="nil"/>
              <w:left w:val="nil"/>
              <w:bottom w:val="single" w:sz="12" w:space="0" w:color="FFFFFF"/>
              <w:right w:val="single" w:sz="12" w:space="0" w:color="FFFFFF"/>
            </w:tcBorders>
            <w:shd w:val="clear" w:color="000000" w:fill="F2F2F2"/>
            <w:vAlign w:val="center"/>
            <w:hideMark/>
          </w:tcPr>
          <w:p w14:paraId="1AF82082"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 </w:t>
            </w:r>
          </w:p>
        </w:tc>
        <w:tc>
          <w:tcPr>
            <w:tcW w:w="595" w:type="pct"/>
            <w:tcBorders>
              <w:top w:val="nil"/>
              <w:left w:val="nil"/>
              <w:bottom w:val="single" w:sz="12" w:space="0" w:color="FFFFFF"/>
              <w:right w:val="single" w:sz="12" w:space="0" w:color="FFFFFF"/>
            </w:tcBorders>
            <w:shd w:val="clear" w:color="000000" w:fill="BFBFBF"/>
            <w:vAlign w:val="center"/>
            <w:hideMark/>
          </w:tcPr>
          <w:p w14:paraId="3C03D778"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-1 000 004</w:t>
            </w:r>
          </w:p>
        </w:tc>
        <w:tc>
          <w:tcPr>
            <w:tcW w:w="595" w:type="pct"/>
            <w:tcBorders>
              <w:top w:val="nil"/>
              <w:left w:val="nil"/>
              <w:bottom w:val="single" w:sz="12" w:space="0" w:color="FFFFFF"/>
              <w:right w:val="single" w:sz="12" w:space="0" w:color="FFFFFF"/>
            </w:tcBorders>
            <w:shd w:val="clear" w:color="000000" w:fill="C4BD97"/>
            <w:vAlign w:val="center"/>
            <w:hideMark/>
          </w:tcPr>
          <w:p w14:paraId="7A6DF1EE"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11 037 707</w:t>
            </w:r>
          </w:p>
        </w:tc>
        <w:tc>
          <w:tcPr>
            <w:tcW w:w="70" w:type="pct"/>
            <w:vAlign w:val="center"/>
            <w:hideMark/>
          </w:tcPr>
          <w:p w14:paraId="66E72168" w14:textId="77777777" w:rsidR="00B46FA2" w:rsidRPr="00B46FA2" w:rsidRDefault="00B46FA2" w:rsidP="00B46FA2">
            <w:pPr>
              <w:spacing w:after="0" w:line="240" w:lineRule="auto"/>
              <w:rPr>
                <w:rFonts w:ascii="Times New Roman" w:hAnsi="Times New Roman"/>
                <w:sz w:val="20"/>
                <w:szCs w:val="20"/>
                <w:lang w:eastAsia="sk-SK"/>
              </w:rPr>
            </w:pPr>
          </w:p>
        </w:tc>
      </w:tr>
      <w:tr w:rsidR="00B46FA2" w:rsidRPr="00B46FA2" w14:paraId="71FD742B" w14:textId="77777777" w:rsidTr="00B46FA2">
        <w:trPr>
          <w:trHeight w:val="330"/>
        </w:trPr>
        <w:tc>
          <w:tcPr>
            <w:tcW w:w="1284" w:type="pct"/>
            <w:tcBorders>
              <w:top w:val="nil"/>
              <w:left w:val="single" w:sz="12" w:space="0" w:color="FFFFFF"/>
              <w:bottom w:val="nil"/>
              <w:right w:val="single" w:sz="12" w:space="0" w:color="FFFFFF"/>
            </w:tcBorders>
            <w:shd w:val="clear" w:color="000000" w:fill="F2F2F2"/>
            <w:vAlign w:val="center"/>
            <w:hideMark/>
          </w:tcPr>
          <w:p w14:paraId="3FA2A991" w14:textId="1E460565" w:rsidR="00B46FA2" w:rsidRPr="00B46FA2" w:rsidRDefault="00B46FA2" w:rsidP="00B46FA2">
            <w:pPr>
              <w:spacing w:after="0" w:line="240" w:lineRule="auto"/>
              <w:rPr>
                <w:rFonts w:cs="Calibri"/>
                <w:b/>
                <w:bCs/>
                <w:color w:val="000000"/>
                <w:sz w:val="24"/>
                <w:szCs w:val="24"/>
                <w:lang w:eastAsia="sk-SK"/>
              </w:rPr>
            </w:pPr>
            <w:r w:rsidRPr="00B46FA2">
              <w:rPr>
                <w:rFonts w:cs="Calibri"/>
                <w:b/>
                <w:bCs/>
                <w:color w:val="000000"/>
                <w:sz w:val="24"/>
                <w:szCs w:val="24"/>
                <w:lang w:eastAsia="sk-SK"/>
              </w:rPr>
              <w:t xml:space="preserve">MFSR - NFV </w:t>
            </w:r>
          </w:p>
        </w:tc>
        <w:tc>
          <w:tcPr>
            <w:tcW w:w="610" w:type="pct"/>
            <w:tcBorders>
              <w:top w:val="nil"/>
              <w:left w:val="nil"/>
              <w:bottom w:val="nil"/>
              <w:right w:val="single" w:sz="12" w:space="0" w:color="FFFFFF"/>
            </w:tcBorders>
            <w:shd w:val="clear" w:color="000000" w:fill="F2F2F2"/>
            <w:vAlign w:val="center"/>
            <w:hideMark/>
          </w:tcPr>
          <w:p w14:paraId="5E4FE97B"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0</w:t>
            </w:r>
          </w:p>
        </w:tc>
        <w:tc>
          <w:tcPr>
            <w:tcW w:w="612" w:type="pct"/>
            <w:tcBorders>
              <w:top w:val="nil"/>
              <w:left w:val="nil"/>
              <w:bottom w:val="nil"/>
              <w:right w:val="single" w:sz="12" w:space="0" w:color="FFFFFF"/>
            </w:tcBorders>
            <w:shd w:val="clear" w:color="000000" w:fill="F2F2F2"/>
            <w:vAlign w:val="center"/>
            <w:hideMark/>
          </w:tcPr>
          <w:p w14:paraId="3ABCEA4D"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0</w:t>
            </w:r>
          </w:p>
        </w:tc>
        <w:tc>
          <w:tcPr>
            <w:tcW w:w="543" w:type="pct"/>
            <w:tcBorders>
              <w:top w:val="nil"/>
              <w:left w:val="nil"/>
              <w:bottom w:val="nil"/>
              <w:right w:val="single" w:sz="12" w:space="0" w:color="FFFFFF"/>
            </w:tcBorders>
            <w:shd w:val="clear" w:color="000000" w:fill="F2F2F2"/>
            <w:vAlign w:val="center"/>
            <w:hideMark/>
          </w:tcPr>
          <w:p w14:paraId="7C7564E9"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0</w:t>
            </w:r>
          </w:p>
        </w:tc>
        <w:tc>
          <w:tcPr>
            <w:tcW w:w="691" w:type="pct"/>
            <w:tcBorders>
              <w:top w:val="nil"/>
              <w:left w:val="nil"/>
              <w:bottom w:val="nil"/>
              <w:right w:val="single" w:sz="12" w:space="0" w:color="FFFFFF"/>
            </w:tcBorders>
            <w:shd w:val="clear" w:color="000000" w:fill="F2F2F2"/>
            <w:vAlign w:val="center"/>
            <w:hideMark/>
          </w:tcPr>
          <w:p w14:paraId="3EAD2FC9"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5 675 346</w:t>
            </w:r>
          </w:p>
        </w:tc>
        <w:tc>
          <w:tcPr>
            <w:tcW w:w="595" w:type="pct"/>
            <w:tcBorders>
              <w:top w:val="nil"/>
              <w:left w:val="nil"/>
              <w:bottom w:val="nil"/>
              <w:right w:val="single" w:sz="12" w:space="0" w:color="FFFFFF"/>
            </w:tcBorders>
            <w:shd w:val="clear" w:color="000000" w:fill="BFBFBF"/>
            <w:vAlign w:val="center"/>
            <w:hideMark/>
          </w:tcPr>
          <w:p w14:paraId="150F16A7"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0</w:t>
            </w:r>
          </w:p>
        </w:tc>
        <w:tc>
          <w:tcPr>
            <w:tcW w:w="595" w:type="pct"/>
            <w:tcBorders>
              <w:top w:val="nil"/>
              <w:left w:val="nil"/>
              <w:bottom w:val="nil"/>
              <w:right w:val="single" w:sz="12" w:space="0" w:color="FFFFFF"/>
            </w:tcBorders>
            <w:shd w:val="clear" w:color="000000" w:fill="C4BD97"/>
            <w:vAlign w:val="center"/>
            <w:hideMark/>
          </w:tcPr>
          <w:p w14:paraId="7EE4B5F8" w14:textId="77777777" w:rsidR="00B46FA2" w:rsidRPr="00B46FA2" w:rsidRDefault="00B46FA2" w:rsidP="00B46FA2">
            <w:pPr>
              <w:spacing w:after="0" w:line="240" w:lineRule="auto"/>
              <w:jc w:val="right"/>
              <w:rPr>
                <w:rFonts w:cs="Calibri"/>
                <w:color w:val="000000"/>
                <w:sz w:val="24"/>
                <w:szCs w:val="24"/>
                <w:lang w:eastAsia="sk-SK"/>
              </w:rPr>
            </w:pPr>
            <w:r w:rsidRPr="00B46FA2">
              <w:rPr>
                <w:rFonts w:cs="Calibri"/>
                <w:color w:val="000000"/>
                <w:sz w:val="24"/>
                <w:szCs w:val="24"/>
                <w:lang w:eastAsia="sk-SK"/>
              </w:rPr>
              <w:t>5 675 346</w:t>
            </w:r>
          </w:p>
        </w:tc>
        <w:tc>
          <w:tcPr>
            <w:tcW w:w="70" w:type="pct"/>
            <w:vAlign w:val="center"/>
            <w:hideMark/>
          </w:tcPr>
          <w:p w14:paraId="2725D8DE" w14:textId="77777777" w:rsidR="00B46FA2" w:rsidRPr="00B46FA2" w:rsidRDefault="00B46FA2" w:rsidP="00B46FA2">
            <w:pPr>
              <w:spacing w:after="0" w:line="240" w:lineRule="auto"/>
              <w:rPr>
                <w:rFonts w:ascii="Times New Roman" w:hAnsi="Times New Roman"/>
                <w:sz w:val="20"/>
                <w:szCs w:val="20"/>
                <w:lang w:eastAsia="sk-SK"/>
              </w:rPr>
            </w:pPr>
          </w:p>
        </w:tc>
      </w:tr>
      <w:tr w:rsidR="00B46FA2" w:rsidRPr="00B46FA2" w14:paraId="7BFABBDC" w14:textId="77777777" w:rsidTr="00B46FA2">
        <w:trPr>
          <w:trHeight w:val="330"/>
        </w:trPr>
        <w:tc>
          <w:tcPr>
            <w:tcW w:w="1284" w:type="pct"/>
            <w:tcBorders>
              <w:top w:val="nil"/>
              <w:left w:val="single" w:sz="12" w:space="0" w:color="FFFFFF"/>
              <w:bottom w:val="nil"/>
              <w:right w:val="single" w:sz="12" w:space="0" w:color="FFFFFF"/>
            </w:tcBorders>
            <w:shd w:val="clear" w:color="000000" w:fill="8DB3E2"/>
            <w:vAlign w:val="center"/>
            <w:hideMark/>
          </w:tcPr>
          <w:p w14:paraId="235E8651" w14:textId="77777777" w:rsidR="00B46FA2" w:rsidRPr="00B46FA2" w:rsidRDefault="00B46FA2" w:rsidP="00B46FA2">
            <w:pPr>
              <w:spacing w:after="0" w:line="240" w:lineRule="auto"/>
              <w:rPr>
                <w:rFonts w:cs="Calibri"/>
                <w:b/>
                <w:bCs/>
                <w:color w:val="000000"/>
                <w:sz w:val="24"/>
                <w:szCs w:val="24"/>
                <w:lang w:eastAsia="sk-SK"/>
              </w:rPr>
            </w:pPr>
            <w:r w:rsidRPr="00B46FA2">
              <w:rPr>
                <w:rFonts w:cs="Calibri"/>
                <w:b/>
                <w:bCs/>
                <w:color w:val="000000"/>
                <w:sz w:val="24"/>
                <w:szCs w:val="24"/>
                <w:lang w:eastAsia="sk-SK"/>
              </w:rPr>
              <w:t xml:space="preserve">Spolu </w:t>
            </w:r>
          </w:p>
        </w:tc>
        <w:tc>
          <w:tcPr>
            <w:tcW w:w="610" w:type="pct"/>
            <w:tcBorders>
              <w:top w:val="nil"/>
              <w:left w:val="nil"/>
              <w:bottom w:val="nil"/>
              <w:right w:val="single" w:sz="12" w:space="0" w:color="FFFFFF"/>
            </w:tcBorders>
            <w:shd w:val="clear" w:color="000000" w:fill="8DB3E2"/>
            <w:vAlign w:val="center"/>
            <w:hideMark/>
          </w:tcPr>
          <w:p w14:paraId="7C538C17" w14:textId="77777777" w:rsidR="00B46FA2" w:rsidRPr="00B46FA2" w:rsidRDefault="00B46FA2" w:rsidP="00B46FA2">
            <w:pPr>
              <w:spacing w:after="0" w:line="240" w:lineRule="auto"/>
              <w:jc w:val="right"/>
              <w:rPr>
                <w:rFonts w:cs="Calibri"/>
                <w:b/>
                <w:bCs/>
                <w:color w:val="000000"/>
                <w:sz w:val="24"/>
                <w:szCs w:val="24"/>
                <w:lang w:eastAsia="sk-SK"/>
              </w:rPr>
            </w:pPr>
            <w:r w:rsidRPr="00B46FA2">
              <w:rPr>
                <w:rFonts w:cs="Calibri"/>
                <w:b/>
                <w:bCs/>
                <w:color w:val="000000"/>
                <w:sz w:val="24"/>
                <w:szCs w:val="24"/>
                <w:lang w:eastAsia="sk-SK"/>
              </w:rPr>
              <w:t>44 469 140</w:t>
            </w:r>
          </w:p>
        </w:tc>
        <w:tc>
          <w:tcPr>
            <w:tcW w:w="612" w:type="pct"/>
            <w:tcBorders>
              <w:top w:val="nil"/>
              <w:left w:val="nil"/>
              <w:bottom w:val="single" w:sz="12" w:space="0" w:color="FFFFFF"/>
              <w:right w:val="single" w:sz="12" w:space="0" w:color="FFFFFF"/>
            </w:tcBorders>
            <w:shd w:val="clear" w:color="000000" w:fill="8DB3E2"/>
            <w:vAlign w:val="center"/>
            <w:hideMark/>
          </w:tcPr>
          <w:p w14:paraId="2C32572D" w14:textId="77777777" w:rsidR="00B46FA2" w:rsidRPr="00B46FA2" w:rsidRDefault="00B46FA2" w:rsidP="00B46FA2">
            <w:pPr>
              <w:spacing w:after="0" w:line="240" w:lineRule="auto"/>
              <w:jc w:val="right"/>
              <w:rPr>
                <w:rFonts w:cs="Calibri"/>
                <w:b/>
                <w:bCs/>
                <w:color w:val="000000"/>
                <w:sz w:val="24"/>
                <w:szCs w:val="24"/>
                <w:lang w:eastAsia="sk-SK"/>
              </w:rPr>
            </w:pPr>
            <w:r w:rsidRPr="00B46FA2">
              <w:rPr>
                <w:rFonts w:cs="Calibri"/>
                <w:b/>
                <w:bCs/>
                <w:color w:val="000000"/>
                <w:sz w:val="24"/>
                <w:szCs w:val="24"/>
                <w:lang w:eastAsia="sk-SK"/>
              </w:rPr>
              <w:t>50 204 977</w:t>
            </w:r>
          </w:p>
        </w:tc>
        <w:tc>
          <w:tcPr>
            <w:tcW w:w="543" w:type="pct"/>
            <w:tcBorders>
              <w:top w:val="nil"/>
              <w:left w:val="nil"/>
              <w:bottom w:val="single" w:sz="12" w:space="0" w:color="FFFFFF"/>
              <w:right w:val="single" w:sz="12" w:space="0" w:color="FFFFFF"/>
            </w:tcBorders>
            <w:shd w:val="clear" w:color="000000" w:fill="8DB3E2"/>
            <w:vAlign w:val="center"/>
            <w:hideMark/>
          </w:tcPr>
          <w:p w14:paraId="224726E7" w14:textId="77777777" w:rsidR="00B46FA2" w:rsidRPr="00B46FA2" w:rsidRDefault="00B46FA2" w:rsidP="00B46FA2">
            <w:pPr>
              <w:spacing w:after="0" w:line="240" w:lineRule="auto"/>
              <w:jc w:val="right"/>
              <w:rPr>
                <w:rFonts w:cs="Calibri"/>
                <w:b/>
                <w:bCs/>
                <w:color w:val="000000"/>
                <w:sz w:val="24"/>
                <w:szCs w:val="24"/>
                <w:lang w:eastAsia="sk-SK"/>
              </w:rPr>
            </w:pPr>
            <w:r w:rsidRPr="00B46FA2">
              <w:rPr>
                <w:rFonts w:cs="Calibri"/>
                <w:b/>
                <w:bCs/>
                <w:color w:val="000000"/>
                <w:sz w:val="24"/>
                <w:szCs w:val="24"/>
                <w:lang w:eastAsia="sk-SK"/>
              </w:rPr>
              <w:t>53 580 813</w:t>
            </w:r>
          </w:p>
        </w:tc>
        <w:tc>
          <w:tcPr>
            <w:tcW w:w="691" w:type="pct"/>
            <w:tcBorders>
              <w:top w:val="nil"/>
              <w:left w:val="nil"/>
              <w:bottom w:val="single" w:sz="12" w:space="0" w:color="FFFFFF"/>
              <w:right w:val="single" w:sz="12" w:space="0" w:color="FFFFFF"/>
            </w:tcBorders>
            <w:shd w:val="clear" w:color="000000" w:fill="8DB3E2"/>
            <w:vAlign w:val="center"/>
            <w:hideMark/>
          </w:tcPr>
          <w:p w14:paraId="1EAC1F52" w14:textId="77777777" w:rsidR="00B46FA2" w:rsidRPr="00B46FA2" w:rsidRDefault="00B46FA2" w:rsidP="00B46FA2">
            <w:pPr>
              <w:spacing w:after="0" w:line="240" w:lineRule="auto"/>
              <w:jc w:val="right"/>
              <w:rPr>
                <w:rFonts w:cs="Calibri"/>
                <w:b/>
                <w:bCs/>
                <w:color w:val="000000"/>
                <w:sz w:val="24"/>
                <w:szCs w:val="24"/>
                <w:lang w:eastAsia="sk-SK"/>
              </w:rPr>
            </w:pPr>
            <w:r w:rsidRPr="00B46FA2">
              <w:rPr>
                <w:rFonts w:cs="Calibri"/>
                <w:b/>
                <w:bCs/>
                <w:color w:val="000000"/>
                <w:sz w:val="24"/>
                <w:szCs w:val="24"/>
                <w:lang w:eastAsia="sk-SK"/>
              </w:rPr>
              <w:t>11 675 346</w:t>
            </w:r>
          </w:p>
        </w:tc>
        <w:tc>
          <w:tcPr>
            <w:tcW w:w="595" w:type="pct"/>
            <w:tcBorders>
              <w:top w:val="nil"/>
              <w:left w:val="nil"/>
              <w:bottom w:val="single" w:sz="12" w:space="0" w:color="FFFFFF"/>
              <w:right w:val="single" w:sz="12" w:space="0" w:color="FFFFFF"/>
            </w:tcBorders>
            <w:shd w:val="clear" w:color="000000" w:fill="808080"/>
            <w:vAlign w:val="center"/>
            <w:hideMark/>
          </w:tcPr>
          <w:p w14:paraId="4C3A577E" w14:textId="77777777" w:rsidR="00B46FA2" w:rsidRPr="00B46FA2" w:rsidRDefault="00B46FA2" w:rsidP="00B46FA2">
            <w:pPr>
              <w:spacing w:after="0" w:line="240" w:lineRule="auto"/>
              <w:jc w:val="right"/>
              <w:rPr>
                <w:rFonts w:cs="Calibri"/>
                <w:b/>
                <w:bCs/>
                <w:color w:val="FFFFFF"/>
                <w:sz w:val="24"/>
                <w:szCs w:val="24"/>
                <w:lang w:eastAsia="sk-SK"/>
              </w:rPr>
            </w:pPr>
            <w:r w:rsidRPr="00B46FA2">
              <w:rPr>
                <w:rFonts w:cs="Calibri"/>
                <w:b/>
                <w:bCs/>
                <w:color w:val="FFFFFF"/>
                <w:sz w:val="24"/>
                <w:szCs w:val="24"/>
                <w:lang w:eastAsia="sk-SK"/>
              </w:rPr>
              <w:t>-3 904 163</w:t>
            </w:r>
          </w:p>
        </w:tc>
        <w:tc>
          <w:tcPr>
            <w:tcW w:w="595" w:type="pct"/>
            <w:tcBorders>
              <w:top w:val="nil"/>
              <w:left w:val="nil"/>
              <w:bottom w:val="single" w:sz="12" w:space="0" w:color="FFFFFF"/>
              <w:right w:val="single" w:sz="12" w:space="0" w:color="FFFFFF"/>
            </w:tcBorders>
            <w:shd w:val="clear" w:color="000000" w:fill="948A54"/>
            <w:vAlign w:val="center"/>
            <w:hideMark/>
          </w:tcPr>
          <w:p w14:paraId="753B5A48" w14:textId="77777777" w:rsidR="00B46FA2" w:rsidRPr="00B46FA2" w:rsidRDefault="00B46FA2" w:rsidP="00B46FA2">
            <w:pPr>
              <w:spacing w:after="0" w:line="240" w:lineRule="auto"/>
              <w:jc w:val="right"/>
              <w:rPr>
                <w:rFonts w:cs="Calibri"/>
                <w:b/>
                <w:bCs/>
                <w:color w:val="000000"/>
                <w:sz w:val="24"/>
                <w:szCs w:val="24"/>
                <w:lang w:eastAsia="sk-SK"/>
              </w:rPr>
            </w:pPr>
            <w:r w:rsidRPr="00B46FA2">
              <w:rPr>
                <w:rFonts w:cs="Calibri"/>
                <w:b/>
                <w:bCs/>
                <w:color w:val="000000"/>
                <w:sz w:val="24"/>
                <w:szCs w:val="24"/>
                <w:lang w:eastAsia="sk-SK"/>
              </w:rPr>
              <w:t>61 351 996</w:t>
            </w:r>
          </w:p>
        </w:tc>
        <w:tc>
          <w:tcPr>
            <w:tcW w:w="70" w:type="pct"/>
            <w:vAlign w:val="center"/>
            <w:hideMark/>
          </w:tcPr>
          <w:p w14:paraId="01037060" w14:textId="77777777" w:rsidR="00B46FA2" w:rsidRPr="00B46FA2" w:rsidRDefault="00B46FA2" w:rsidP="00B46FA2">
            <w:pPr>
              <w:spacing w:after="0" w:line="240" w:lineRule="auto"/>
              <w:rPr>
                <w:rFonts w:ascii="Times New Roman" w:hAnsi="Times New Roman"/>
                <w:sz w:val="20"/>
                <w:szCs w:val="20"/>
                <w:lang w:eastAsia="sk-SK"/>
              </w:rPr>
            </w:pPr>
          </w:p>
        </w:tc>
      </w:tr>
    </w:tbl>
    <w:p w14:paraId="63BAA6E8" w14:textId="77777777" w:rsidR="00BE704E" w:rsidRDefault="00BE704E" w:rsidP="00943E9A">
      <w:pPr>
        <w:shd w:val="clear" w:color="auto" w:fill="FFFFFF"/>
        <w:spacing w:after="0" w:line="240" w:lineRule="auto"/>
        <w:jc w:val="both"/>
        <w:rPr>
          <w:sz w:val="24"/>
          <w:szCs w:val="24"/>
        </w:rPr>
      </w:pPr>
    </w:p>
    <w:p w14:paraId="3E3A1B7F" w14:textId="583437FD" w:rsidR="00DB1094" w:rsidRDefault="00DB1094" w:rsidP="00943E9A">
      <w:pPr>
        <w:pStyle w:val="tl1"/>
        <w:numPr>
          <w:ilvl w:val="0"/>
          <w:numId w:val="0"/>
        </w:numPr>
        <w:rPr>
          <w:sz w:val="32"/>
          <w:szCs w:val="32"/>
        </w:rPr>
      </w:pPr>
    </w:p>
    <w:p w14:paraId="6654BE86" w14:textId="5C1DFDCF" w:rsidR="00911770" w:rsidRDefault="00911770" w:rsidP="00943E9A">
      <w:pPr>
        <w:pStyle w:val="tl1"/>
        <w:numPr>
          <w:ilvl w:val="0"/>
          <w:numId w:val="0"/>
        </w:numPr>
        <w:rPr>
          <w:sz w:val="32"/>
          <w:szCs w:val="32"/>
        </w:rPr>
      </w:pPr>
    </w:p>
    <w:p w14:paraId="059ED3F5" w14:textId="393604BE" w:rsidR="00911770" w:rsidRDefault="00911770" w:rsidP="00943E9A">
      <w:pPr>
        <w:pStyle w:val="tl1"/>
        <w:numPr>
          <w:ilvl w:val="0"/>
          <w:numId w:val="0"/>
        </w:numPr>
        <w:rPr>
          <w:sz w:val="32"/>
          <w:szCs w:val="32"/>
        </w:rPr>
      </w:pPr>
    </w:p>
    <w:p w14:paraId="6860C357" w14:textId="6332C409" w:rsidR="00911770" w:rsidRDefault="00911770" w:rsidP="00943E9A">
      <w:pPr>
        <w:pStyle w:val="tl1"/>
        <w:numPr>
          <w:ilvl w:val="0"/>
          <w:numId w:val="0"/>
        </w:numPr>
        <w:rPr>
          <w:sz w:val="32"/>
          <w:szCs w:val="32"/>
        </w:rPr>
      </w:pPr>
    </w:p>
    <w:p w14:paraId="2D976889" w14:textId="24920C63" w:rsidR="00911770" w:rsidRDefault="00911770" w:rsidP="00943E9A">
      <w:pPr>
        <w:pStyle w:val="tl1"/>
        <w:numPr>
          <w:ilvl w:val="0"/>
          <w:numId w:val="0"/>
        </w:numPr>
        <w:rPr>
          <w:sz w:val="32"/>
          <w:szCs w:val="32"/>
        </w:rPr>
      </w:pPr>
    </w:p>
    <w:p w14:paraId="11F209C9" w14:textId="0D6E1301" w:rsidR="00911770" w:rsidRDefault="00911770" w:rsidP="00943E9A">
      <w:pPr>
        <w:pStyle w:val="tl1"/>
        <w:numPr>
          <w:ilvl w:val="0"/>
          <w:numId w:val="0"/>
        </w:numPr>
        <w:rPr>
          <w:sz w:val="32"/>
          <w:szCs w:val="32"/>
        </w:rPr>
      </w:pPr>
    </w:p>
    <w:p w14:paraId="52DBBC91" w14:textId="52DDF126" w:rsidR="00911770" w:rsidRDefault="00911770" w:rsidP="00943E9A">
      <w:pPr>
        <w:pStyle w:val="tl1"/>
        <w:numPr>
          <w:ilvl w:val="0"/>
          <w:numId w:val="0"/>
        </w:numPr>
        <w:rPr>
          <w:sz w:val="32"/>
          <w:szCs w:val="32"/>
        </w:rPr>
      </w:pPr>
    </w:p>
    <w:p w14:paraId="27791CEB" w14:textId="6C571C3D" w:rsidR="00911770" w:rsidRDefault="00911770" w:rsidP="00943E9A">
      <w:pPr>
        <w:pStyle w:val="tl1"/>
        <w:numPr>
          <w:ilvl w:val="0"/>
          <w:numId w:val="0"/>
        </w:numPr>
        <w:rPr>
          <w:sz w:val="32"/>
          <w:szCs w:val="32"/>
        </w:rPr>
      </w:pPr>
    </w:p>
    <w:p w14:paraId="64E34B31" w14:textId="7EC87A87" w:rsidR="00911770" w:rsidRDefault="00911770" w:rsidP="00943E9A">
      <w:pPr>
        <w:pStyle w:val="tl1"/>
        <w:numPr>
          <w:ilvl w:val="0"/>
          <w:numId w:val="0"/>
        </w:numPr>
        <w:rPr>
          <w:sz w:val="32"/>
          <w:szCs w:val="32"/>
        </w:rPr>
      </w:pPr>
    </w:p>
    <w:p w14:paraId="6C11842D" w14:textId="7708AB5B" w:rsidR="00911770" w:rsidRDefault="00911770" w:rsidP="00943E9A">
      <w:pPr>
        <w:pStyle w:val="tl1"/>
        <w:numPr>
          <w:ilvl w:val="0"/>
          <w:numId w:val="0"/>
        </w:numPr>
        <w:rPr>
          <w:sz w:val="32"/>
          <w:szCs w:val="32"/>
        </w:rPr>
      </w:pPr>
    </w:p>
    <w:p w14:paraId="22A2A963" w14:textId="55490106" w:rsidR="00911770" w:rsidRDefault="00911770" w:rsidP="00943E9A">
      <w:pPr>
        <w:pStyle w:val="tl1"/>
        <w:numPr>
          <w:ilvl w:val="0"/>
          <w:numId w:val="0"/>
        </w:numPr>
        <w:rPr>
          <w:sz w:val="32"/>
          <w:szCs w:val="32"/>
        </w:rPr>
      </w:pPr>
    </w:p>
    <w:p w14:paraId="6CB916A6" w14:textId="13A6C57C" w:rsidR="00911770" w:rsidRDefault="00911770" w:rsidP="00943E9A">
      <w:pPr>
        <w:pStyle w:val="tl1"/>
        <w:numPr>
          <w:ilvl w:val="0"/>
          <w:numId w:val="0"/>
        </w:numPr>
        <w:rPr>
          <w:sz w:val="32"/>
          <w:szCs w:val="32"/>
        </w:rPr>
      </w:pPr>
    </w:p>
    <w:p w14:paraId="7FF2DE2A" w14:textId="2341F356" w:rsidR="00911770" w:rsidRDefault="00911770" w:rsidP="00943E9A">
      <w:pPr>
        <w:pStyle w:val="tl1"/>
        <w:numPr>
          <w:ilvl w:val="0"/>
          <w:numId w:val="0"/>
        </w:numPr>
        <w:rPr>
          <w:sz w:val="32"/>
          <w:szCs w:val="32"/>
        </w:rPr>
      </w:pPr>
    </w:p>
    <w:p w14:paraId="3420EA4F" w14:textId="6DC997C9" w:rsidR="00911770" w:rsidRDefault="00911770" w:rsidP="00943E9A">
      <w:pPr>
        <w:pStyle w:val="tl1"/>
        <w:numPr>
          <w:ilvl w:val="0"/>
          <w:numId w:val="0"/>
        </w:numPr>
        <w:rPr>
          <w:sz w:val="32"/>
          <w:szCs w:val="32"/>
        </w:rPr>
      </w:pPr>
    </w:p>
    <w:p w14:paraId="69D0F7F9" w14:textId="10C5F256" w:rsidR="00911770" w:rsidRDefault="00911770" w:rsidP="00943E9A">
      <w:pPr>
        <w:pStyle w:val="tl1"/>
        <w:numPr>
          <w:ilvl w:val="0"/>
          <w:numId w:val="0"/>
        </w:numPr>
        <w:rPr>
          <w:sz w:val="32"/>
          <w:szCs w:val="32"/>
        </w:rPr>
      </w:pPr>
    </w:p>
    <w:p w14:paraId="14EE8FC8" w14:textId="1F0EAA86" w:rsidR="00911770" w:rsidRDefault="00911770" w:rsidP="00943E9A">
      <w:pPr>
        <w:pStyle w:val="tl1"/>
        <w:numPr>
          <w:ilvl w:val="0"/>
          <w:numId w:val="0"/>
        </w:numPr>
        <w:rPr>
          <w:sz w:val="32"/>
          <w:szCs w:val="32"/>
        </w:rPr>
      </w:pPr>
    </w:p>
    <w:p w14:paraId="10B0995E" w14:textId="77777777" w:rsidR="00911770" w:rsidRDefault="00911770" w:rsidP="00943E9A">
      <w:pPr>
        <w:pStyle w:val="tl1"/>
        <w:numPr>
          <w:ilvl w:val="0"/>
          <w:numId w:val="0"/>
        </w:numPr>
        <w:rPr>
          <w:sz w:val="32"/>
          <w:szCs w:val="32"/>
        </w:rPr>
      </w:pPr>
    </w:p>
    <w:p w14:paraId="479762CA" w14:textId="77777777" w:rsidR="00943E9A" w:rsidRDefault="00943E9A" w:rsidP="00943E9A">
      <w:pPr>
        <w:pStyle w:val="tl1"/>
        <w:numPr>
          <w:ilvl w:val="0"/>
          <w:numId w:val="0"/>
        </w:numPr>
        <w:rPr>
          <w:sz w:val="32"/>
          <w:szCs w:val="32"/>
        </w:rPr>
      </w:pPr>
    </w:p>
    <w:p w14:paraId="15B5B999" w14:textId="77777777" w:rsidR="00BE704E" w:rsidRPr="00095DDA" w:rsidRDefault="00BE704E" w:rsidP="00943E9A">
      <w:pPr>
        <w:pStyle w:val="tl1"/>
      </w:pPr>
      <w:r w:rsidRPr="00095DDA">
        <w:lastRenderedPageBreak/>
        <w:t>Prehľad o poskytnutých dotáciách z rozpočtu BSK v zmysle VZN</w:t>
      </w:r>
      <w:r w:rsidR="00095DDA">
        <w:t xml:space="preserve"> </w:t>
      </w:r>
      <w:r w:rsidR="008C328A">
        <w:br/>
      </w:r>
      <w:r w:rsidRPr="00AF618B">
        <w:t xml:space="preserve">č. </w:t>
      </w:r>
      <w:r w:rsidR="0010539F" w:rsidRPr="00AF618B">
        <w:t>5</w:t>
      </w:r>
      <w:r w:rsidRPr="00AF618B">
        <w:t>/20</w:t>
      </w:r>
      <w:r w:rsidR="0010539F" w:rsidRPr="00AF618B">
        <w:t>18</w:t>
      </w:r>
      <w:r w:rsidRPr="00AF618B">
        <w:t xml:space="preserve"> o poskytovaní dotácii z rozpočtu BSK a </w:t>
      </w:r>
      <w:bookmarkStart w:id="1" w:name="_Hlk34809424"/>
      <w:r w:rsidRPr="00AF618B">
        <w:t>VZN č. 2/2018</w:t>
      </w:r>
      <w:r w:rsidRPr="00095DDA">
        <w:t xml:space="preserve"> o participatívnom rozpočte</w:t>
      </w:r>
    </w:p>
    <w:bookmarkEnd w:id="1"/>
    <w:p w14:paraId="779DF0BB" w14:textId="77777777" w:rsidR="00BE704E" w:rsidRPr="00B06F66" w:rsidRDefault="00A711BC" w:rsidP="0035099E">
      <w:pPr>
        <w:spacing w:after="0" w:line="240" w:lineRule="auto"/>
        <w:ind w:firstLine="142"/>
        <w:jc w:val="both"/>
        <w:rPr>
          <w:sz w:val="24"/>
          <w:szCs w:val="24"/>
        </w:rPr>
      </w:pPr>
      <w:r>
        <w:pict w14:anchorId="64CD29D4">
          <v:rect id="_x0000_i1031" style="width:0;height:1.5pt" o:hralign="center" o:hrstd="t" o:hr="t" fillcolor="#a0a0a0" stroked="f"/>
        </w:pict>
      </w:r>
      <w:r w:rsidR="00BE704E" w:rsidRPr="00B06F66">
        <w:rPr>
          <w:sz w:val="24"/>
          <w:szCs w:val="24"/>
        </w:rPr>
        <w:t>Výdavky rozpočtu BSK a ich použitie upravuje § 8 zákona 583/2004 Z. z. o rozpočtových pravidlách územnej samosprávy a o zmene a doplnení niektorých zákonov (ďalej len „zákon o rozpočtových pravidlách územnej samosprávy).</w:t>
      </w:r>
      <w:r w:rsidR="00095DDA">
        <w:rPr>
          <w:sz w:val="24"/>
          <w:szCs w:val="24"/>
        </w:rPr>
        <w:t xml:space="preserve"> </w:t>
      </w:r>
      <w:r w:rsidR="00943E9A">
        <w:rPr>
          <w:sz w:val="24"/>
          <w:szCs w:val="24"/>
        </w:rPr>
        <w:t xml:space="preserve"> </w:t>
      </w:r>
      <w:r w:rsidR="00BE704E" w:rsidRPr="00B06F66">
        <w:rPr>
          <w:sz w:val="24"/>
          <w:szCs w:val="24"/>
        </w:rPr>
        <w:t xml:space="preserve">Podľa ods. 2 § 8 uvedeného zákona sa z rozpočtu BSK môžu poskytovať dotácie právnickým osobám, ktorých zakladateľom je samosprávny kraj, a to na konkrétne úlohy a akcie vo verejnom záujme, alebo v prospech rozvoja územia vyššieho územného celku. </w:t>
      </w:r>
      <w:r w:rsidR="00095DDA">
        <w:rPr>
          <w:sz w:val="24"/>
          <w:szCs w:val="24"/>
        </w:rPr>
        <w:t xml:space="preserve"> </w:t>
      </w:r>
      <w:r w:rsidR="00BE704E" w:rsidRPr="00B06F66">
        <w:rPr>
          <w:sz w:val="24"/>
          <w:szCs w:val="24"/>
        </w:rPr>
        <w:t xml:space="preserve">Podľa ods. 4 § 8 vyšší územný celok môže poskytovať dotácie obciam na svojom území ako účasť na financovaní spoločných úloh v záujme rozvoja územia vyššieho územného celku. Vyšší územný celok môže poskytovať dotácie aj iným obciam alebo vyšším územným celkom, ak ide o poskytnutie pomoci pri likvidácii následkov živelnej pohromy, havárie alebo inej podobnej udalosti na ich území. </w:t>
      </w:r>
      <w:r w:rsidR="00095DDA">
        <w:rPr>
          <w:sz w:val="24"/>
          <w:szCs w:val="24"/>
        </w:rPr>
        <w:t xml:space="preserve"> </w:t>
      </w:r>
      <w:r w:rsidR="00BE704E" w:rsidRPr="00B06F66">
        <w:rPr>
          <w:sz w:val="24"/>
          <w:szCs w:val="24"/>
        </w:rPr>
        <w:t>Podľa ods. 5 § 8 právnickej osobe neuvedenej v odsekoch 2 a 4 a fyzickej osobe - podnikateľovi, ktorí majú sídlo alebo trvalý pobyt na území vyššieho územného celku, môže vyšší územný celok poskytovať dotácie za podmienok ustanovených všeobecne záväzným nariadením vyššieho územného celku len na podporu všeobecne prospešných služieb, všeobecne prospešných alebo verejnoprospešných účelov, na podporu podnikania a zamestnanosti.</w:t>
      </w:r>
    </w:p>
    <w:p w14:paraId="01292116" w14:textId="77777777" w:rsidR="00095DDA" w:rsidRDefault="00095DDA" w:rsidP="00095DDA">
      <w:pPr>
        <w:spacing w:after="0" w:line="240" w:lineRule="auto"/>
        <w:jc w:val="both"/>
        <w:rPr>
          <w:sz w:val="24"/>
          <w:szCs w:val="24"/>
        </w:rPr>
      </w:pPr>
    </w:p>
    <w:p w14:paraId="21E6F2E1" w14:textId="77777777" w:rsidR="00BE704E" w:rsidRPr="00B06F66" w:rsidRDefault="00BE704E" w:rsidP="00095DDA">
      <w:pPr>
        <w:spacing w:after="0" w:line="240" w:lineRule="auto"/>
        <w:jc w:val="both"/>
        <w:rPr>
          <w:sz w:val="24"/>
          <w:szCs w:val="24"/>
        </w:rPr>
      </w:pPr>
      <w:r w:rsidRPr="00B06F66">
        <w:rPr>
          <w:sz w:val="24"/>
          <w:szCs w:val="24"/>
        </w:rPr>
        <w:t>V zmysle § 16 ods. 5 písm. e) uvedeného zákona, súčasťou záverečného účtu vyššieho územného celku, je aj prehľad o poskytnutých dotáciách podľa § 8 ods. 5 v členení podľa jednotlivých príjemcov, ak nie sú vyšším územným celkom zverejnené iným spôsobom.</w:t>
      </w:r>
    </w:p>
    <w:p w14:paraId="340069D2" w14:textId="77777777" w:rsidR="00095DDA" w:rsidRDefault="00095DDA" w:rsidP="00095DDA">
      <w:pPr>
        <w:spacing w:after="0" w:line="240" w:lineRule="auto"/>
        <w:jc w:val="both"/>
        <w:rPr>
          <w:b/>
          <w:sz w:val="24"/>
          <w:szCs w:val="24"/>
        </w:rPr>
      </w:pPr>
    </w:p>
    <w:p w14:paraId="0EE87898" w14:textId="77777777" w:rsidR="00BE704E" w:rsidRDefault="00BE704E" w:rsidP="006244A2">
      <w:pPr>
        <w:spacing w:line="240" w:lineRule="auto"/>
        <w:jc w:val="both"/>
        <w:rPr>
          <w:sz w:val="24"/>
          <w:szCs w:val="24"/>
        </w:rPr>
      </w:pPr>
      <w:r w:rsidRPr="006E6028">
        <w:rPr>
          <w:b/>
          <w:sz w:val="24"/>
          <w:szCs w:val="24"/>
        </w:rPr>
        <w:t>Bratislavský samosprávny kraj upravuje postup a podmienky poskytovania dotácií</w:t>
      </w:r>
      <w:r w:rsidRPr="00B06F66">
        <w:rPr>
          <w:sz w:val="24"/>
          <w:szCs w:val="24"/>
        </w:rPr>
        <w:t xml:space="preserve"> z rozpočtu Bratislavského samosprávneho kraja obciam, mestám, mestským častiam, vyšším územným celkom a iným právnickým osobám a fyzickým osobám – podnikateľom </w:t>
      </w:r>
      <w:r w:rsidRPr="006E6028">
        <w:rPr>
          <w:b/>
          <w:sz w:val="24"/>
          <w:szCs w:val="24"/>
        </w:rPr>
        <w:t>Všeobecne</w:t>
      </w:r>
      <w:r>
        <w:rPr>
          <w:b/>
          <w:sz w:val="24"/>
          <w:szCs w:val="24"/>
        </w:rPr>
        <w:t xml:space="preserve"> zá</w:t>
      </w:r>
      <w:r w:rsidRPr="006E6028">
        <w:rPr>
          <w:b/>
          <w:sz w:val="24"/>
          <w:szCs w:val="24"/>
        </w:rPr>
        <w:t xml:space="preserve">väzným nariadením BSK </w:t>
      </w:r>
      <w:r>
        <w:rPr>
          <w:b/>
          <w:sz w:val="24"/>
          <w:szCs w:val="24"/>
        </w:rPr>
        <w:br/>
      </w:r>
      <w:r w:rsidRPr="006E6028">
        <w:rPr>
          <w:b/>
          <w:sz w:val="24"/>
          <w:szCs w:val="24"/>
        </w:rPr>
        <w:t>č.</w:t>
      </w:r>
      <w:r>
        <w:rPr>
          <w:b/>
          <w:sz w:val="24"/>
          <w:szCs w:val="24"/>
        </w:rPr>
        <w:t xml:space="preserve"> </w:t>
      </w:r>
      <w:r w:rsidR="0010539F">
        <w:rPr>
          <w:b/>
          <w:sz w:val="24"/>
          <w:szCs w:val="24"/>
        </w:rPr>
        <w:t>5</w:t>
      </w:r>
      <w:r w:rsidRPr="006E6028">
        <w:rPr>
          <w:b/>
          <w:sz w:val="24"/>
          <w:szCs w:val="24"/>
        </w:rPr>
        <w:t>/201</w:t>
      </w:r>
      <w:r w:rsidR="0010539F">
        <w:rPr>
          <w:b/>
          <w:sz w:val="24"/>
          <w:szCs w:val="24"/>
        </w:rPr>
        <w:t>8</w:t>
      </w:r>
      <w:r w:rsidRPr="00B06F66">
        <w:rPr>
          <w:sz w:val="24"/>
          <w:szCs w:val="24"/>
        </w:rPr>
        <w:t xml:space="preserve"> </w:t>
      </w:r>
      <w:r w:rsidRPr="006F2B2B">
        <w:rPr>
          <w:b/>
          <w:sz w:val="24"/>
          <w:szCs w:val="24"/>
        </w:rPr>
        <w:t xml:space="preserve">o poskytovaní dotácií z rozpočtu Bratislavského </w:t>
      </w:r>
      <w:r>
        <w:rPr>
          <w:b/>
          <w:sz w:val="24"/>
          <w:szCs w:val="24"/>
        </w:rPr>
        <w:t>s</w:t>
      </w:r>
      <w:r w:rsidRPr="006F2B2B">
        <w:rPr>
          <w:b/>
          <w:sz w:val="24"/>
          <w:szCs w:val="24"/>
        </w:rPr>
        <w:t>amosprávneho kraja</w:t>
      </w:r>
      <w:r>
        <w:rPr>
          <w:b/>
          <w:sz w:val="24"/>
          <w:szCs w:val="24"/>
        </w:rPr>
        <w:t xml:space="preserve"> </w:t>
      </w:r>
      <w:r w:rsidR="0010539F" w:rsidRPr="00B06F66">
        <w:rPr>
          <w:sz w:val="24"/>
          <w:szCs w:val="24"/>
        </w:rPr>
        <w:t>(ďalej len „VZN o poskytovaní dotácií</w:t>
      </w:r>
      <w:r w:rsidR="0010539F">
        <w:rPr>
          <w:sz w:val="24"/>
          <w:szCs w:val="24"/>
        </w:rPr>
        <w:t>“</w:t>
      </w:r>
      <w:r w:rsidR="0010539F" w:rsidRPr="00B06F66">
        <w:rPr>
          <w:sz w:val="24"/>
          <w:szCs w:val="24"/>
        </w:rPr>
        <w:t>)</w:t>
      </w:r>
      <w:r w:rsidR="0010539F">
        <w:rPr>
          <w:sz w:val="24"/>
          <w:szCs w:val="24"/>
        </w:rPr>
        <w:t xml:space="preserve"> </w:t>
      </w:r>
      <w:r>
        <w:rPr>
          <w:b/>
          <w:sz w:val="24"/>
          <w:szCs w:val="24"/>
        </w:rPr>
        <w:t>a Všeobecným záväzným nariadením BSK č.2/2018 o participatívnom rozpočte</w:t>
      </w:r>
      <w:r w:rsidR="0010539F">
        <w:rPr>
          <w:b/>
          <w:sz w:val="24"/>
          <w:szCs w:val="24"/>
        </w:rPr>
        <w:t xml:space="preserve"> </w:t>
      </w:r>
      <w:r w:rsidR="0010539F" w:rsidRPr="00B06F66">
        <w:rPr>
          <w:sz w:val="24"/>
          <w:szCs w:val="24"/>
        </w:rPr>
        <w:t>(ďalej len „VZN o</w:t>
      </w:r>
      <w:r w:rsidR="0010539F">
        <w:rPr>
          <w:sz w:val="24"/>
          <w:szCs w:val="24"/>
        </w:rPr>
        <w:t> </w:t>
      </w:r>
      <w:proofErr w:type="spellStart"/>
      <w:r w:rsidR="0010539F" w:rsidRPr="00B06F66">
        <w:rPr>
          <w:sz w:val="24"/>
          <w:szCs w:val="24"/>
        </w:rPr>
        <w:t>p</w:t>
      </w:r>
      <w:r w:rsidR="0010539F">
        <w:rPr>
          <w:sz w:val="24"/>
          <w:szCs w:val="24"/>
        </w:rPr>
        <w:t>aticipatívnom</w:t>
      </w:r>
      <w:proofErr w:type="spellEnd"/>
      <w:r w:rsidR="0010539F">
        <w:rPr>
          <w:sz w:val="24"/>
          <w:szCs w:val="24"/>
        </w:rPr>
        <w:t xml:space="preserve"> rozpočte“</w:t>
      </w:r>
      <w:r w:rsidR="0010539F" w:rsidRPr="00B06F66">
        <w:rPr>
          <w:sz w:val="24"/>
          <w:szCs w:val="24"/>
        </w:rPr>
        <w:t>).</w:t>
      </w:r>
    </w:p>
    <w:p w14:paraId="07670C24" w14:textId="214304B2" w:rsidR="00095DDA" w:rsidRPr="00095DDA" w:rsidRDefault="00BE704E" w:rsidP="00095DDA">
      <w:pPr>
        <w:spacing w:after="0" w:line="240" w:lineRule="auto"/>
        <w:jc w:val="both"/>
        <w:rPr>
          <w:rFonts w:cs="Calibri"/>
          <w:b/>
          <w:bCs/>
          <w:sz w:val="24"/>
          <w:szCs w:val="24"/>
          <w:lang w:eastAsia="sk-SK"/>
        </w:rPr>
      </w:pPr>
      <w:r w:rsidRPr="00103DCD">
        <w:rPr>
          <w:b/>
          <w:bCs/>
          <w:sz w:val="24"/>
          <w:szCs w:val="24"/>
        </w:rPr>
        <w:t>Pre rok 20</w:t>
      </w:r>
      <w:r w:rsidR="00F22B01">
        <w:rPr>
          <w:b/>
          <w:bCs/>
          <w:sz w:val="24"/>
          <w:szCs w:val="24"/>
        </w:rPr>
        <w:t>20</w:t>
      </w:r>
      <w:r w:rsidRPr="00103DCD">
        <w:rPr>
          <w:b/>
          <w:bCs/>
          <w:sz w:val="24"/>
          <w:szCs w:val="24"/>
        </w:rPr>
        <w:t xml:space="preserve"> predstavoval rozpočet</w:t>
      </w:r>
      <w:r w:rsidRPr="00B06F66">
        <w:rPr>
          <w:sz w:val="24"/>
          <w:szCs w:val="24"/>
        </w:rPr>
        <w:t xml:space="preserve"> </w:t>
      </w:r>
      <w:r w:rsidR="00452DBC" w:rsidRPr="00860926">
        <w:rPr>
          <w:sz w:val="24"/>
          <w:szCs w:val="24"/>
        </w:rPr>
        <w:t xml:space="preserve">v rámci Programu 14: Strategická podpora verejného života a rozvoja regiónu </w:t>
      </w:r>
      <w:r w:rsidRPr="00B06F66">
        <w:rPr>
          <w:sz w:val="24"/>
          <w:szCs w:val="24"/>
        </w:rPr>
        <w:t xml:space="preserve">na účely poskytovania dotácií </w:t>
      </w:r>
      <w:r w:rsidRPr="00103DCD">
        <w:rPr>
          <w:b/>
          <w:bCs/>
          <w:sz w:val="24"/>
          <w:szCs w:val="24"/>
        </w:rPr>
        <w:t xml:space="preserve">vo výške </w:t>
      </w:r>
      <w:r w:rsidR="00477D83" w:rsidRPr="00477D83">
        <w:rPr>
          <w:rFonts w:cs="Calibri"/>
          <w:b/>
          <w:bCs/>
          <w:sz w:val="24"/>
          <w:szCs w:val="24"/>
          <w:lang w:eastAsia="sk-SK"/>
        </w:rPr>
        <w:t>2 000</w:t>
      </w:r>
      <w:r w:rsidR="00477D83">
        <w:rPr>
          <w:rFonts w:cs="Calibri"/>
          <w:b/>
          <w:bCs/>
          <w:sz w:val="24"/>
          <w:szCs w:val="24"/>
          <w:lang w:eastAsia="sk-SK"/>
        </w:rPr>
        <w:t> </w:t>
      </w:r>
      <w:r w:rsidR="00477D83" w:rsidRPr="00477D83">
        <w:rPr>
          <w:rFonts w:cs="Calibri"/>
          <w:b/>
          <w:bCs/>
          <w:sz w:val="24"/>
          <w:szCs w:val="24"/>
          <w:lang w:eastAsia="sk-SK"/>
        </w:rPr>
        <w:t>000</w:t>
      </w:r>
      <w:r w:rsidR="00477D83">
        <w:rPr>
          <w:rFonts w:cs="Calibri"/>
          <w:b/>
          <w:bCs/>
          <w:sz w:val="24"/>
          <w:szCs w:val="24"/>
          <w:lang w:eastAsia="sk-SK"/>
        </w:rPr>
        <w:t xml:space="preserve"> </w:t>
      </w:r>
      <w:r w:rsidR="0010539F" w:rsidRPr="00257594">
        <w:rPr>
          <w:rFonts w:cs="Calibri"/>
          <w:b/>
          <w:bCs/>
          <w:sz w:val="24"/>
          <w:szCs w:val="24"/>
          <w:lang w:eastAsia="sk-SK"/>
        </w:rPr>
        <w:t>EUR</w:t>
      </w:r>
      <w:r w:rsidR="00452DBC" w:rsidRPr="00257594">
        <w:rPr>
          <w:rFonts w:cs="Calibri"/>
          <w:b/>
          <w:bCs/>
          <w:sz w:val="24"/>
          <w:szCs w:val="24"/>
          <w:lang w:eastAsia="sk-SK"/>
        </w:rPr>
        <w:t>.</w:t>
      </w:r>
      <w:r w:rsidRPr="00257594">
        <w:rPr>
          <w:rFonts w:cs="Calibri"/>
          <w:b/>
          <w:bCs/>
          <w:sz w:val="24"/>
          <w:szCs w:val="24"/>
          <w:lang w:eastAsia="sk-SK"/>
        </w:rPr>
        <w:t xml:space="preserve"> </w:t>
      </w:r>
      <w:r w:rsidR="00477D83">
        <w:rPr>
          <w:rFonts w:cs="Calibri"/>
          <w:b/>
          <w:bCs/>
          <w:sz w:val="24"/>
          <w:szCs w:val="24"/>
          <w:lang w:eastAsia="sk-SK"/>
        </w:rPr>
        <w:t>V súvislosti s </w:t>
      </w:r>
      <w:proofErr w:type="spellStart"/>
      <w:r w:rsidR="00477D83">
        <w:rPr>
          <w:rFonts w:cs="Calibri"/>
          <w:b/>
          <w:bCs/>
          <w:sz w:val="24"/>
          <w:szCs w:val="24"/>
          <w:lang w:eastAsia="sk-SK"/>
        </w:rPr>
        <w:t>pandemickou</w:t>
      </w:r>
      <w:proofErr w:type="spellEnd"/>
      <w:r w:rsidR="00477D83">
        <w:rPr>
          <w:rFonts w:cs="Calibri"/>
          <w:b/>
          <w:bCs/>
          <w:sz w:val="24"/>
          <w:szCs w:val="24"/>
          <w:lang w:eastAsia="sk-SK"/>
        </w:rPr>
        <w:t xml:space="preserve"> situáciou bol počas roka rozpočet </w:t>
      </w:r>
      <w:r w:rsidR="00257594" w:rsidRPr="00257594">
        <w:rPr>
          <w:rFonts w:cs="Calibri"/>
          <w:b/>
          <w:bCs/>
          <w:sz w:val="24"/>
          <w:szCs w:val="24"/>
          <w:lang w:eastAsia="sk-SK"/>
        </w:rPr>
        <w:t xml:space="preserve">programu </w:t>
      </w:r>
      <w:r w:rsidR="00477D83">
        <w:rPr>
          <w:rFonts w:cs="Calibri"/>
          <w:b/>
          <w:bCs/>
          <w:sz w:val="24"/>
          <w:szCs w:val="24"/>
          <w:lang w:eastAsia="sk-SK"/>
        </w:rPr>
        <w:t xml:space="preserve">znížený o </w:t>
      </w:r>
      <w:r w:rsidR="00477D83" w:rsidRPr="00477D83">
        <w:rPr>
          <w:rFonts w:cs="Calibri"/>
          <w:b/>
          <w:bCs/>
          <w:sz w:val="24"/>
          <w:szCs w:val="24"/>
          <w:lang w:eastAsia="sk-SK"/>
        </w:rPr>
        <w:t xml:space="preserve">1 700 000,00 EUR </w:t>
      </w:r>
      <w:r w:rsidR="00477D83">
        <w:rPr>
          <w:rFonts w:cs="Calibri"/>
          <w:b/>
          <w:bCs/>
          <w:sz w:val="24"/>
          <w:szCs w:val="24"/>
          <w:lang w:eastAsia="sk-SK"/>
        </w:rPr>
        <w:t>v zmysle UZN</w:t>
      </w:r>
      <w:r w:rsidR="00477D83" w:rsidRPr="00477D83">
        <w:rPr>
          <w:rFonts w:cs="Calibri"/>
          <w:b/>
          <w:bCs/>
          <w:sz w:val="24"/>
          <w:szCs w:val="24"/>
          <w:lang w:eastAsia="sk-SK"/>
        </w:rPr>
        <w:t xml:space="preserve"> Z BSK č. 247/2020 zo dňa 29.5.2020</w:t>
      </w:r>
      <w:r w:rsidR="00477D83">
        <w:rPr>
          <w:rFonts w:cs="Calibri"/>
          <w:b/>
          <w:bCs/>
          <w:sz w:val="24"/>
          <w:szCs w:val="24"/>
          <w:lang w:eastAsia="sk-SK"/>
        </w:rPr>
        <w:t xml:space="preserve"> </w:t>
      </w:r>
      <w:r w:rsidR="00257594" w:rsidRPr="00257594">
        <w:rPr>
          <w:rFonts w:cs="Calibri"/>
          <w:b/>
          <w:bCs/>
          <w:sz w:val="24"/>
          <w:szCs w:val="24"/>
          <w:lang w:eastAsia="sk-SK"/>
        </w:rPr>
        <w:t>a k</w:t>
      </w:r>
      <w:r w:rsidR="00103DCD" w:rsidRPr="00257594">
        <w:rPr>
          <w:rFonts w:cs="Calibri"/>
          <w:b/>
          <w:bCs/>
          <w:sz w:val="24"/>
          <w:szCs w:val="24"/>
          <w:lang w:eastAsia="sk-SK"/>
        </w:rPr>
        <w:t> 31.12.20</w:t>
      </w:r>
      <w:r w:rsidR="00477D83">
        <w:rPr>
          <w:rFonts w:cs="Calibri"/>
          <w:b/>
          <w:bCs/>
          <w:sz w:val="24"/>
          <w:szCs w:val="24"/>
          <w:lang w:eastAsia="sk-SK"/>
        </w:rPr>
        <w:t>20</w:t>
      </w:r>
      <w:r w:rsidR="00103DCD" w:rsidRPr="00257594">
        <w:rPr>
          <w:rFonts w:cs="Calibri"/>
          <w:b/>
          <w:bCs/>
          <w:sz w:val="24"/>
          <w:szCs w:val="24"/>
          <w:lang w:eastAsia="sk-SK"/>
        </w:rPr>
        <w:t xml:space="preserve"> bol z rozpočtu</w:t>
      </w:r>
      <w:r w:rsidR="00103DCD" w:rsidRPr="0082660E">
        <w:rPr>
          <w:rFonts w:cs="Calibri"/>
          <w:sz w:val="24"/>
          <w:szCs w:val="24"/>
          <w:lang w:eastAsia="sk-SK"/>
        </w:rPr>
        <w:t xml:space="preserve"> </w:t>
      </w:r>
      <w:r w:rsidR="00103DCD" w:rsidRPr="00285A25">
        <w:rPr>
          <w:rFonts w:cs="Calibri"/>
          <w:b/>
          <w:bCs/>
          <w:sz w:val="24"/>
          <w:szCs w:val="24"/>
          <w:lang w:eastAsia="sk-SK"/>
        </w:rPr>
        <w:t>čerpaný celkový objem finančných prostriedkov vo výške</w:t>
      </w:r>
      <w:r w:rsidR="00103DCD" w:rsidRPr="0082660E">
        <w:rPr>
          <w:rFonts w:cs="Calibri"/>
          <w:sz w:val="24"/>
          <w:szCs w:val="24"/>
          <w:lang w:eastAsia="sk-SK"/>
        </w:rPr>
        <w:t xml:space="preserve"> </w:t>
      </w:r>
      <w:r w:rsidR="00477D83">
        <w:rPr>
          <w:rFonts w:cs="Calibri"/>
          <w:sz w:val="24"/>
          <w:szCs w:val="24"/>
          <w:lang w:eastAsia="sk-SK"/>
        </w:rPr>
        <w:br/>
      </w:r>
      <w:r w:rsidR="00477D83" w:rsidRPr="00477D83">
        <w:rPr>
          <w:rFonts w:cs="Calibri"/>
          <w:b/>
          <w:sz w:val="24"/>
          <w:szCs w:val="24"/>
          <w:lang w:eastAsia="sk-SK"/>
        </w:rPr>
        <w:t>291 901,01</w:t>
      </w:r>
      <w:r w:rsidR="00477D83">
        <w:rPr>
          <w:rFonts w:cs="Calibri"/>
          <w:b/>
          <w:sz w:val="24"/>
          <w:szCs w:val="24"/>
          <w:lang w:eastAsia="sk-SK"/>
        </w:rPr>
        <w:t xml:space="preserve"> </w:t>
      </w:r>
      <w:r w:rsidR="00103DCD">
        <w:rPr>
          <w:rFonts w:cs="Calibri"/>
          <w:b/>
          <w:sz w:val="24"/>
          <w:szCs w:val="24"/>
          <w:lang w:eastAsia="sk-SK"/>
        </w:rPr>
        <w:t>EUR</w:t>
      </w:r>
      <w:r w:rsidR="00477D83">
        <w:rPr>
          <w:rFonts w:cs="Calibri"/>
          <w:b/>
          <w:sz w:val="24"/>
          <w:szCs w:val="24"/>
          <w:lang w:eastAsia="sk-SK"/>
        </w:rPr>
        <w:t xml:space="preserve">. </w:t>
      </w:r>
      <w:r w:rsidR="00860926">
        <w:rPr>
          <w:rFonts w:cs="Calibri"/>
          <w:bCs/>
          <w:sz w:val="24"/>
          <w:szCs w:val="24"/>
          <w:lang w:eastAsia="sk-SK"/>
        </w:rPr>
        <w:t xml:space="preserve">Po zúčtovaní všetkých </w:t>
      </w:r>
      <w:proofErr w:type="spellStart"/>
      <w:r w:rsidR="00860926">
        <w:rPr>
          <w:rFonts w:cs="Calibri"/>
          <w:bCs/>
          <w:sz w:val="24"/>
          <w:szCs w:val="24"/>
          <w:lang w:eastAsia="sk-SK"/>
        </w:rPr>
        <w:t>dotáci</w:t>
      </w:r>
      <w:proofErr w:type="spellEnd"/>
      <w:r w:rsidR="00140C59">
        <w:rPr>
          <w:rFonts w:cs="Calibri"/>
          <w:bCs/>
          <w:sz w:val="24"/>
          <w:szCs w:val="24"/>
          <w:lang w:eastAsia="sk-SK"/>
        </w:rPr>
        <w:t>,</w:t>
      </w:r>
      <w:r w:rsidR="00860926">
        <w:rPr>
          <w:rFonts w:cs="Calibri"/>
          <w:bCs/>
          <w:sz w:val="24"/>
          <w:szCs w:val="24"/>
          <w:lang w:eastAsia="sk-SK"/>
        </w:rPr>
        <w:t xml:space="preserve"> vrátane vrátených nevyčerpaných dotácii </w:t>
      </w:r>
      <w:r w:rsidR="000D2BAC">
        <w:rPr>
          <w:rFonts w:cs="Calibri"/>
          <w:bCs/>
          <w:sz w:val="24"/>
          <w:szCs w:val="24"/>
          <w:lang w:eastAsia="sk-SK"/>
        </w:rPr>
        <w:t xml:space="preserve">na začiatku roka </w:t>
      </w:r>
      <w:r w:rsidR="00095DDA" w:rsidRPr="00C7599E">
        <w:rPr>
          <w:rFonts w:cs="Calibri"/>
          <w:sz w:val="24"/>
          <w:szCs w:val="24"/>
          <w:lang w:eastAsia="sk-SK"/>
        </w:rPr>
        <w:t>20</w:t>
      </w:r>
      <w:r w:rsidR="00095DDA">
        <w:rPr>
          <w:rFonts w:cs="Calibri"/>
          <w:sz w:val="24"/>
          <w:szCs w:val="24"/>
          <w:lang w:eastAsia="sk-SK"/>
        </w:rPr>
        <w:t>2</w:t>
      </w:r>
      <w:r w:rsidR="008D699C">
        <w:rPr>
          <w:rFonts w:cs="Calibri"/>
          <w:sz w:val="24"/>
          <w:szCs w:val="24"/>
          <w:lang w:eastAsia="sk-SK"/>
        </w:rPr>
        <w:t>1</w:t>
      </w:r>
      <w:r w:rsidR="00140C59">
        <w:rPr>
          <w:rFonts w:cs="Calibri"/>
          <w:sz w:val="24"/>
          <w:szCs w:val="24"/>
          <w:lang w:eastAsia="sk-SK"/>
        </w:rPr>
        <w:t xml:space="preserve"> v sume </w:t>
      </w:r>
      <w:r w:rsidR="00477D83" w:rsidRPr="00477D83">
        <w:rPr>
          <w:rFonts w:cs="Calibri"/>
          <w:b/>
          <w:bCs/>
          <w:sz w:val="24"/>
          <w:szCs w:val="24"/>
          <w:lang w:eastAsia="sk-SK"/>
        </w:rPr>
        <w:t>1 294,21</w:t>
      </w:r>
      <w:r w:rsidR="00477D83">
        <w:rPr>
          <w:rFonts w:cs="Calibri"/>
          <w:b/>
          <w:bCs/>
          <w:sz w:val="24"/>
          <w:szCs w:val="24"/>
          <w:lang w:eastAsia="sk-SK"/>
        </w:rPr>
        <w:t xml:space="preserve"> </w:t>
      </w:r>
      <w:r w:rsidR="00140C59" w:rsidRPr="00285A25">
        <w:rPr>
          <w:rFonts w:cs="Calibri"/>
          <w:b/>
          <w:bCs/>
          <w:sz w:val="24"/>
          <w:szCs w:val="24"/>
          <w:lang w:eastAsia="sk-SK"/>
        </w:rPr>
        <w:t>EUR</w:t>
      </w:r>
      <w:r w:rsidR="00140C59">
        <w:rPr>
          <w:rFonts w:cs="Calibri"/>
          <w:b/>
          <w:bCs/>
          <w:sz w:val="24"/>
          <w:szCs w:val="24"/>
          <w:lang w:eastAsia="sk-SK"/>
        </w:rPr>
        <w:t>,</w:t>
      </w:r>
      <w:r w:rsidR="00140C59">
        <w:rPr>
          <w:rFonts w:cs="Calibri"/>
          <w:sz w:val="24"/>
          <w:szCs w:val="24"/>
          <w:lang w:eastAsia="sk-SK"/>
        </w:rPr>
        <w:t xml:space="preserve"> </w:t>
      </w:r>
      <w:r w:rsidR="00860926">
        <w:rPr>
          <w:rFonts w:cs="Calibri"/>
          <w:sz w:val="24"/>
          <w:szCs w:val="24"/>
          <w:lang w:eastAsia="sk-SK"/>
        </w:rPr>
        <w:t xml:space="preserve">je </w:t>
      </w:r>
      <w:r w:rsidR="00095DDA" w:rsidRPr="00095DDA">
        <w:rPr>
          <w:rFonts w:cs="Calibri"/>
          <w:b/>
          <w:bCs/>
          <w:sz w:val="24"/>
          <w:szCs w:val="24"/>
          <w:lang w:eastAsia="sk-SK"/>
        </w:rPr>
        <w:t xml:space="preserve">skutočné čerpanie poskytnutých dotácií vo výške </w:t>
      </w:r>
      <w:r w:rsidR="00477D83" w:rsidRPr="00477D83">
        <w:rPr>
          <w:rFonts w:cs="Calibri"/>
          <w:b/>
          <w:bCs/>
          <w:sz w:val="24"/>
          <w:szCs w:val="24"/>
          <w:lang w:eastAsia="sk-SK"/>
        </w:rPr>
        <w:t>290 606,80</w:t>
      </w:r>
      <w:r w:rsidR="00477D83">
        <w:rPr>
          <w:rFonts w:cs="Calibri"/>
          <w:b/>
          <w:bCs/>
          <w:sz w:val="24"/>
          <w:szCs w:val="24"/>
          <w:lang w:eastAsia="sk-SK"/>
        </w:rPr>
        <w:t xml:space="preserve"> </w:t>
      </w:r>
      <w:r w:rsidR="00095DDA" w:rsidRPr="00095DDA">
        <w:rPr>
          <w:rFonts w:cs="Calibri"/>
          <w:b/>
          <w:bCs/>
          <w:sz w:val="24"/>
          <w:szCs w:val="24"/>
          <w:lang w:eastAsia="sk-SK"/>
        </w:rPr>
        <w:t>EUR.</w:t>
      </w:r>
    </w:p>
    <w:p w14:paraId="174983A8" w14:textId="77777777" w:rsidR="00103DCD" w:rsidRDefault="00103DCD" w:rsidP="00103DCD">
      <w:pPr>
        <w:spacing w:after="0" w:line="240" w:lineRule="auto"/>
        <w:jc w:val="both"/>
        <w:rPr>
          <w:rFonts w:cs="Calibri"/>
          <w:bCs/>
          <w:sz w:val="24"/>
          <w:szCs w:val="24"/>
          <w:lang w:eastAsia="sk-SK"/>
        </w:rPr>
      </w:pPr>
    </w:p>
    <w:tbl>
      <w:tblPr>
        <w:tblpPr w:leftFromText="141" w:rightFromText="141" w:vertAnchor="text" w:horzAnchor="margin" w:tblpY="42"/>
        <w:tblW w:w="10333" w:type="dxa"/>
        <w:tblCellMar>
          <w:left w:w="70" w:type="dxa"/>
          <w:right w:w="70" w:type="dxa"/>
        </w:tblCellMar>
        <w:tblLook w:val="04A0" w:firstRow="1" w:lastRow="0" w:firstColumn="1" w:lastColumn="0" w:noHBand="0" w:noVBand="1"/>
      </w:tblPr>
      <w:tblGrid>
        <w:gridCol w:w="2651"/>
        <w:gridCol w:w="1633"/>
        <w:gridCol w:w="1734"/>
        <w:gridCol w:w="1462"/>
        <w:gridCol w:w="1343"/>
        <w:gridCol w:w="1510"/>
      </w:tblGrid>
      <w:tr w:rsidR="00095DDA" w:rsidRPr="00095DDA" w14:paraId="51B66E1D" w14:textId="77777777" w:rsidTr="004215A3">
        <w:trPr>
          <w:trHeight w:val="691"/>
        </w:trPr>
        <w:tc>
          <w:tcPr>
            <w:tcW w:w="2651" w:type="dxa"/>
            <w:vMerge w:val="restart"/>
            <w:tcBorders>
              <w:top w:val="single" w:sz="12" w:space="0" w:color="FFFFFF"/>
              <w:left w:val="single" w:sz="12" w:space="0" w:color="FFFFFF"/>
              <w:bottom w:val="nil"/>
              <w:right w:val="single" w:sz="12" w:space="0" w:color="FFFFFF"/>
            </w:tcBorders>
            <w:shd w:val="clear" w:color="000000" w:fill="8DB3E2"/>
            <w:noWrap/>
            <w:vAlign w:val="center"/>
            <w:hideMark/>
          </w:tcPr>
          <w:p w14:paraId="7A4C7332" w14:textId="77777777" w:rsidR="00095DDA" w:rsidRPr="00095DDA" w:rsidRDefault="00095DDA" w:rsidP="00095DDA">
            <w:pPr>
              <w:spacing w:after="0" w:line="240" w:lineRule="auto"/>
              <w:jc w:val="center"/>
              <w:rPr>
                <w:rFonts w:cs="Calibri"/>
                <w:b/>
                <w:bCs/>
                <w:color w:val="000000"/>
                <w:sz w:val="20"/>
                <w:szCs w:val="20"/>
                <w:lang w:eastAsia="sk-SK"/>
              </w:rPr>
            </w:pPr>
            <w:r w:rsidRPr="00095DDA">
              <w:rPr>
                <w:rFonts w:cs="Calibri"/>
                <w:b/>
                <w:bCs/>
                <w:color w:val="000000"/>
                <w:sz w:val="20"/>
                <w:szCs w:val="20"/>
                <w:lang w:eastAsia="sk-SK"/>
              </w:rPr>
              <w:t>Program 14:</w:t>
            </w:r>
            <w:r w:rsidRPr="00095DDA">
              <w:rPr>
                <w:rFonts w:cs="Calibri"/>
                <w:color w:val="000000"/>
                <w:lang w:eastAsia="sk-SK"/>
              </w:rPr>
              <w:t xml:space="preserve"> </w:t>
            </w:r>
            <w:r w:rsidRPr="00095DDA">
              <w:rPr>
                <w:rFonts w:cs="Calibri"/>
                <w:b/>
                <w:bCs/>
                <w:color w:val="000000"/>
                <w:lang w:eastAsia="sk-SK"/>
              </w:rPr>
              <w:t>Strategická podpora verejného života a rozvoja regiónu</w:t>
            </w:r>
          </w:p>
        </w:tc>
        <w:tc>
          <w:tcPr>
            <w:tcW w:w="1633" w:type="dxa"/>
            <w:tcBorders>
              <w:top w:val="single" w:sz="12" w:space="0" w:color="FFFFFF"/>
              <w:left w:val="nil"/>
              <w:bottom w:val="nil"/>
              <w:right w:val="single" w:sz="12" w:space="0" w:color="FFFFFF"/>
            </w:tcBorders>
            <w:shd w:val="clear" w:color="000000" w:fill="8DB3E2"/>
            <w:vAlign w:val="center"/>
            <w:hideMark/>
          </w:tcPr>
          <w:p w14:paraId="61EC3F55" w14:textId="34289177" w:rsidR="00095DDA" w:rsidRPr="00477D83" w:rsidRDefault="00095DDA" w:rsidP="00095DDA">
            <w:pPr>
              <w:spacing w:after="0" w:line="240" w:lineRule="auto"/>
              <w:jc w:val="center"/>
              <w:rPr>
                <w:rFonts w:cs="Calibri"/>
                <w:b/>
                <w:bCs/>
                <w:color w:val="000000"/>
                <w:sz w:val="20"/>
                <w:szCs w:val="20"/>
                <w:lang w:eastAsia="sk-SK"/>
              </w:rPr>
            </w:pPr>
            <w:r w:rsidRPr="00477D83">
              <w:rPr>
                <w:rFonts w:cs="Calibri"/>
                <w:b/>
                <w:bCs/>
                <w:color w:val="000000"/>
                <w:sz w:val="20"/>
                <w:szCs w:val="20"/>
                <w:lang w:eastAsia="sk-SK"/>
              </w:rPr>
              <w:t>Schválený rozpočet 20</w:t>
            </w:r>
            <w:r w:rsidR="00477D83">
              <w:rPr>
                <w:rFonts w:cs="Calibri"/>
                <w:b/>
                <w:bCs/>
                <w:color w:val="000000"/>
                <w:sz w:val="20"/>
                <w:szCs w:val="20"/>
                <w:lang w:eastAsia="sk-SK"/>
              </w:rPr>
              <w:t>20</w:t>
            </w:r>
          </w:p>
        </w:tc>
        <w:tc>
          <w:tcPr>
            <w:tcW w:w="1734" w:type="dxa"/>
            <w:tcBorders>
              <w:top w:val="single" w:sz="12" w:space="0" w:color="FFFFFF"/>
              <w:left w:val="nil"/>
              <w:bottom w:val="nil"/>
              <w:right w:val="single" w:sz="12" w:space="0" w:color="FFFFFF"/>
            </w:tcBorders>
            <w:shd w:val="clear" w:color="000000" w:fill="8DB3E2"/>
            <w:vAlign w:val="center"/>
            <w:hideMark/>
          </w:tcPr>
          <w:p w14:paraId="3F469358" w14:textId="29061A0A" w:rsidR="00095DDA" w:rsidRPr="00095DDA" w:rsidRDefault="00095DDA" w:rsidP="00095DDA">
            <w:pPr>
              <w:spacing w:after="0" w:line="240" w:lineRule="auto"/>
              <w:jc w:val="center"/>
              <w:rPr>
                <w:rFonts w:cs="Calibri"/>
                <w:b/>
                <w:bCs/>
                <w:color w:val="000000"/>
                <w:sz w:val="20"/>
                <w:szCs w:val="20"/>
                <w:lang w:eastAsia="sk-SK"/>
              </w:rPr>
            </w:pPr>
            <w:r w:rsidRPr="00095DDA">
              <w:rPr>
                <w:rFonts w:cs="Calibri"/>
                <w:b/>
                <w:bCs/>
                <w:color w:val="000000"/>
                <w:sz w:val="20"/>
                <w:szCs w:val="20"/>
                <w:lang w:eastAsia="sk-SK"/>
              </w:rPr>
              <w:t>Zmenený rozpočet k 31.12.20</w:t>
            </w:r>
            <w:r w:rsidR="00477D83">
              <w:rPr>
                <w:rFonts w:cs="Calibri"/>
                <w:b/>
                <w:bCs/>
                <w:color w:val="000000"/>
                <w:sz w:val="20"/>
                <w:szCs w:val="20"/>
                <w:lang w:eastAsia="sk-SK"/>
              </w:rPr>
              <w:t>20</w:t>
            </w:r>
          </w:p>
        </w:tc>
        <w:tc>
          <w:tcPr>
            <w:tcW w:w="1462" w:type="dxa"/>
            <w:tcBorders>
              <w:top w:val="single" w:sz="12" w:space="0" w:color="FFFFFF"/>
              <w:left w:val="nil"/>
              <w:bottom w:val="nil"/>
              <w:right w:val="single" w:sz="12" w:space="0" w:color="FFFFFF"/>
            </w:tcBorders>
            <w:shd w:val="clear" w:color="000000" w:fill="8DB3E2"/>
            <w:vAlign w:val="center"/>
            <w:hideMark/>
          </w:tcPr>
          <w:p w14:paraId="118F6D4A" w14:textId="71F763F8" w:rsidR="00095DDA" w:rsidRPr="00095DDA" w:rsidRDefault="00095DDA" w:rsidP="00095DDA">
            <w:pPr>
              <w:spacing w:after="0" w:line="240" w:lineRule="auto"/>
              <w:jc w:val="center"/>
              <w:rPr>
                <w:rFonts w:cs="Calibri"/>
                <w:b/>
                <w:bCs/>
                <w:color w:val="000000"/>
                <w:sz w:val="20"/>
                <w:szCs w:val="20"/>
                <w:lang w:eastAsia="sk-SK"/>
              </w:rPr>
            </w:pPr>
            <w:r w:rsidRPr="00095DDA">
              <w:rPr>
                <w:rFonts w:cs="Calibri"/>
                <w:b/>
                <w:bCs/>
                <w:color w:val="000000"/>
                <w:sz w:val="20"/>
                <w:szCs w:val="20"/>
                <w:lang w:eastAsia="sk-SK"/>
              </w:rPr>
              <w:t>Čerpanie k 31.12.20</w:t>
            </w:r>
            <w:r w:rsidR="00477D83">
              <w:rPr>
                <w:rFonts w:cs="Calibri"/>
                <w:b/>
                <w:bCs/>
                <w:color w:val="000000"/>
                <w:sz w:val="20"/>
                <w:szCs w:val="20"/>
                <w:lang w:eastAsia="sk-SK"/>
              </w:rPr>
              <w:t>20</w:t>
            </w:r>
          </w:p>
        </w:tc>
        <w:tc>
          <w:tcPr>
            <w:tcW w:w="1343" w:type="dxa"/>
            <w:tcBorders>
              <w:top w:val="single" w:sz="12" w:space="0" w:color="FFFFFF"/>
              <w:left w:val="nil"/>
              <w:bottom w:val="nil"/>
              <w:right w:val="single" w:sz="12" w:space="0" w:color="FFFFFF"/>
            </w:tcBorders>
            <w:shd w:val="clear" w:color="000000" w:fill="8DB3E2"/>
            <w:vAlign w:val="center"/>
            <w:hideMark/>
          </w:tcPr>
          <w:p w14:paraId="46606CF3" w14:textId="77777777" w:rsidR="00095DDA" w:rsidRPr="00095DDA" w:rsidRDefault="00095DDA" w:rsidP="00095DDA">
            <w:pPr>
              <w:spacing w:after="0" w:line="240" w:lineRule="auto"/>
              <w:jc w:val="center"/>
              <w:rPr>
                <w:rFonts w:cs="Calibri"/>
                <w:b/>
                <w:bCs/>
                <w:color w:val="000000"/>
                <w:sz w:val="20"/>
                <w:szCs w:val="20"/>
                <w:lang w:eastAsia="sk-SK"/>
              </w:rPr>
            </w:pPr>
            <w:r w:rsidRPr="00095DDA">
              <w:rPr>
                <w:rFonts w:cs="Calibri"/>
                <w:b/>
                <w:bCs/>
                <w:color w:val="000000"/>
                <w:sz w:val="20"/>
                <w:szCs w:val="20"/>
                <w:lang w:eastAsia="sk-SK"/>
              </w:rPr>
              <w:t>% čerpanie</w:t>
            </w:r>
            <w:r w:rsidRPr="00095DDA">
              <w:rPr>
                <w:rFonts w:cs="Calibri"/>
                <w:b/>
                <w:bCs/>
                <w:color w:val="000000"/>
                <w:sz w:val="18"/>
                <w:szCs w:val="18"/>
                <w:lang w:eastAsia="sk-SK"/>
              </w:rPr>
              <w:t xml:space="preserve"> </w:t>
            </w:r>
            <w:r w:rsidRPr="00477D83">
              <w:rPr>
                <w:rFonts w:cs="Calibri"/>
                <w:b/>
                <w:bCs/>
                <w:color w:val="000000"/>
                <w:sz w:val="20"/>
                <w:szCs w:val="20"/>
                <w:lang w:eastAsia="sk-SK"/>
              </w:rPr>
              <w:t>k zmenenému rozpočtu</w:t>
            </w:r>
          </w:p>
        </w:tc>
        <w:tc>
          <w:tcPr>
            <w:tcW w:w="1510" w:type="dxa"/>
            <w:vMerge w:val="restart"/>
            <w:tcBorders>
              <w:top w:val="single" w:sz="12" w:space="0" w:color="FFFFFF"/>
              <w:left w:val="single" w:sz="12" w:space="0" w:color="FFFFFF"/>
              <w:bottom w:val="nil"/>
              <w:right w:val="single" w:sz="12" w:space="0" w:color="FFFFFF"/>
            </w:tcBorders>
            <w:shd w:val="clear" w:color="auto" w:fill="DDD9C3" w:themeFill="background2" w:themeFillShade="E6"/>
            <w:vAlign w:val="center"/>
            <w:hideMark/>
          </w:tcPr>
          <w:p w14:paraId="7C408189" w14:textId="77777777" w:rsidR="00095DDA" w:rsidRPr="00095DDA" w:rsidRDefault="00095DDA" w:rsidP="00095DDA">
            <w:pPr>
              <w:spacing w:after="0" w:line="240" w:lineRule="auto"/>
              <w:jc w:val="center"/>
              <w:rPr>
                <w:rFonts w:cs="Calibri"/>
                <w:b/>
                <w:bCs/>
                <w:color w:val="000000"/>
                <w:sz w:val="18"/>
                <w:szCs w:val="18"/>
                <w:lang w:eastAsia="sk-SK"/>
              </w:rPr>
            </w:pPr>
            <w:r w:rsidRPr="00095DDA">
              <w:rPr>
                <w:rFonts w:cs="Calibri"/>
                <w:b/>
                <w:bCs/>
                <w:color w:val="000000"/>
                <w:sz w:val="18"/>
                <w:szCs w:val="18"/>
                <w:lang w:eastAsia="sk-SK"/>
              </w:rPr>
              <w:t xml:space="preserve">Skutočné čerpanie po odrátaní </w:t>
            </w:r>
            <w:proofErr w:type="spellStart"/>
            <w:r w:rsidRPr="00095DDA">
              <w:rPr>
                <w:rFonts w:cs="Calibri"/>
                <w:b/>
                <w:bCs/>
                <w:color w:val="000000"/>
                <w:sz w:val="18"/>
                <w:szCs w:val="18"/>
                <w:lang w:eastAsia="sk-SK"/>
              </w:rPr>
              <w:t>vratiek</w:t>
            </w:r>
            <w:proofErr w:type="spellEnd"/>
          </w:p>
        </w:tc>
      </w:tr>
      <w:tr w:rsidR="00095DDA" w:rsidRPr="00095DDA" w14:paraId="751C759A" w14:textId="77777777" w:rsidTr="004215A3">
        <w:trPr>
          <w:trHeight w:val="50"/>
        </w:trPr>
        <w:tc>
          <w:tcPr>
            <w:tcW w:w="2651" w:type="dxa"/>
            <w:vMerge/>
            <w:tcBorders>
              <w:top w:val="single" w:sz="12" w:space="0" w:color="FFFFFF"/>
              <w:left w:val="single" w:sz="12" w:space="0" w:color="FFFFFF"/>
              <w:bottom w:val="nil"/>
              <w:right w:val="single" w:sz="12" w:space="0" w:color="FFFFFF"/>
            </w:tcBorders>
            <w:vAlign w:val="center"/>
            <w:hideMark/>
          </w:tcPr>
          <w:p w14:paraId="5EAB266D" w14:textId="77777777" w:rsidR="00095DDA" w:rsidRPr="00095DDA" w:rsidRDefault="00095DDA" w:rsidP="00095DDA">
            <w:pPr>
              <w:spacing w:after="0" w:line="240" w:lineRule="auto"/>
              <w:rPr>
                <w:rFonts w:cs="Calibri"/>
                <w:b/>
                <w:bCs/>
                <w:color w:val="000000"/>
                <w:sz w:val="20"/>
                <w:szCs w:val="20"/>
                <w:lang w:eastAsia="sk-SK"/>
              </w:rPr>
            </w:pPr>
          </w:p>
        </w:tc>
        <w:tc>
          <w:tcPr>
            <w:tcW w:w="1633" w:type="dxa"/>
            <w:tcBorders>
              <w:top w:val="nil"/>
              <w:left w:val="nil"/>
              <w:bottom w:val="nil"/>
              <w:right w:val="single" w:sz="12" w:space="0" w:color="FFFFFF"/>
            </w:tcBorders>
            <w:shd w:val="clear" w:color="000000" w:fill="8DB3E2"/>
            <w:vAlign w:val="center"/>
            <w:hideMark/>
          </w:tcPr>
          <w:p w14:paraId="66EDFFE8" w14:textId="77777777" w:rsidR="00095DDA" w:rsidRPr="00477D83" w:rsidRDefault="00095DDA" w:rsidP="00095DDA">
            <w:pPr>
              <w:spacing w:after="0" w:line="240" w:lineRule="auto"/>
              <w:jc w:val="center"/>
              <w:rPr>
                <w:rFonts w:cs="Calibri"/>
                <w:b/>
                <w:bCs/>
                <w:color w:val="000000"/>
                <w:sz w:val="20"/>
                <w:szCs w:val="20"/>
                <w:lang w:eastAsia="sk-SK"/>
              </w:rPr>
            </w:pPr>
            <w:r w:rsidRPr="00477D83">
              <w:rPr>
                <w:rFonts w:cs="Calibri"/>
                <w:b/>
                <w:bCs/>
                <w:color w:val="000000"/>
                <w:sz w:val="20"/>
                <w:szCs w:val="20"/>
                <w:lang w:eastAsia="sk-SK"/>
              </w:rPr>
              <w:t xml:space="preserve"> v EUR</w:t>
            </w:r>
          </w:p>
        </w:tc>
        <w:tc>
          <w:tcPr>
            <w:tcW w:w="1734" w:type="dxa"/>
            <w:tcBorders>
              <w:top w:val="nil"/>
              <w:left w:val="nil"/>
              <w:bottom w:val="nil"/>
              <w:right w:val="single" w:sz="12" w:space="0" w:color="FFFFFF"/>
            </w:tcBorders>
            <w:shd w:val="clear" w:color="000000" w:fill="8DB3E2"/>
            <w:vAlign w:val="center"/>
            <w:hideMark/>
          </w:tcPr>
          <w:p w14:paraId="537F5F17" w14:textId="77777777" w:rsidR="00095DDA" w:rsidRPr="00095DDA" w:rsidRDefault="00095DDA" w:rsidP="00095DDA">
            <w:pPr>
              <w:spacing w:after="0" w:line="240" w:lineRule="auto"/>
              <w:jc w:val="center"/>
              <w:rPr>
                <w:rFonts w:cs="Calibri"/>
                <w:b/>
                <w:bCs/>
                <w:color w:val="000000"/>
                <w:sz w:val="20"/>
                <w:szCs w:val="20"/>
                <w:lang w:eastAsia="sk-SK"/>
              </w:rPr>
            </w:pPr>
            <w:r w:rsidRPr="00095DDA">
              <w:rPr>
                <w:rFonts w:cs="Calibri"/>
                <w:b/>
                <w:bCs/>
                <w:color w:val="000000"/>
                <w:sz w:val="20"/>
                <w:szCs w:val="20"/>
                <w:lang w:eastAsia="sk-SK"/>
              </w:rPr>
              <w:t xml:space="preserve"> v EUR</w:t>
            </w:r>
          </w:p>
        </w:tc>
        <w:tc>
          <w:tcPr>
            <w:tcW w:w="1462" w:type="dxa"/>
            <w:tcBorders>
              <w:top w:val="nil"/>
              <w:left w:val="nil"/>
              <w:bottom w:val="nil"/>
              <w:right w:val="single" w:sz="12" w:space="0" w:color="FFFFFF"/>
            </w:tcBorders>
            <w:shd w:val="clear" w:color="000000" w:fill="8DB3E2"/>
            <w:vAlign w:val="center"/>
            <w:hideMark/>
          </w:tcPr>
          <w:p w14:paraId="586FE034" w14:textId="77777777" w:rsidR="00095DDA" w:rsidRPr="00095DDA" w:rsidRDefault="00095DDA" w:rsidP="00095DDA">
            <w:pPr>
              <w:spacing w:after="0" w:line="240" w:lineRule="auto"/>
              <w:jc w:val="center"/>
              <w:rPr>
                <w:rFonts w:cs="Calibri"/>
                <w:b/>
                <w:bCs/>
                <w:color w:val="000000"/>
                <w:sz w:val="20"/>
                <w:szCs w:val="20"/>
                <w:lang w:eastAsia="sk-SK"/>
              </w:rPr>
            </w:pPr>
            <w:r w:rsidRPr="00095DDA">
              <w:rPr>
                <w:rFonts w:cs="Calibri"/>
                <w:b/>
                <w:bCs/>
                <w:color w:val="000000"/>
                <w:sz w:val="20"/>
                <w:szCs w:val="20"/>
                <w:lang w:eastAsia="sk-SK"/>
              </w:rPr>
              <w:t xml:space="preserve"> v EUR</w:t>
            </w:r>
          </w:p>
        </w:tc>
        <w:tc>
          <w:tcPr>
            <w:tcW w:w="1343" w:type="dxa"/>
            <w:tcBorders>
              <w:top w:val="nil"/>
              <w:left w:val="nil"/>
              <w:bottom w:val="nil"/>
              <w:right w:val="single" w:sz="12" w:space="0" w:color="FFFFFF"/>
            </w:tcBorders>
            <w:shd w:val="clear" w:color="000000" w:fill="8DB3E2"/>
            <w:vAlign w:val="center"/>
            <w:hideMark/>
          </w:tcPr>
          <w:p w14:paraId="56F9057A" w14:textId="77777777" w:rsidR="00095DDA" w:rsidRPr="00095DDA" w:rsidRDefault="00095DDA" w:rsidP="00095DDA">
            <w:pPr>
              <w:spacing w:after="0" w:line="240" w:lineRule="auto"/>
              <w:jc w:val="center"/>
              <w:rPr>
                <w:rFonts w:cs="Calibri"/>
                <w:b/>
                <w:bCs/>
                <w:color w:val="000000"/>
                <w:sz w:val="20"/>
                <w:szCs w:val="20"/>
                <w:lang w:eastAsia="sk-SK"/>
              </w:rPr>
            </w:pPr>
            <w:r w:rsidRPr="00095DDA">
              <w:rPr>
                <w:rFonts w:cs="Calibri"/>
                <w:b/>
                <w:bCs/>
                <w:color w:val="000000"/>
                <w:sz w:val="20"/>
                <w:szCs w:val="20"/>
                <w:lang w:eastAsia="sk-SK"/>
              </w:rPr>
              <w:t> </w:t>
            </w:r>
          </w:p>
        </w:tc>
        <w:tc>
          <w:tcPr>
            <w:tcW w:w="1510" w:type="dxa"/>
            <w:vMerge/>
            <w:tcBorders>
              <w:top w:val="single" w:sz="12" w:space="0" w:color="FFFFFF"/>
              <w:left w:val="single" w:sz="12" w:space="0" w:color="FFFFFF"/>
              <w:bottom w:val="nil"/>
              <w:right w:val="single" w:sz="12" w:space="0" w:color="FFFFFF"/>
            </w:tcBorders>
            <w:shd w:val="clear" w:color="auto" w:fill="DDD9C3" w:themeFill="background2" w:themeFillShade="E6"/>
            <w:vAlign w:val="center"/>
            <w:hideMark/>
          </w:tcPr>
          <w:p w14:paraId="2A540A50" w14:textId="77777777" w:rsidR="00095DDA" w:rsidRPr="00095DDA" w:rsidRDefault="00095DDA" w:rsidP="00095DDA">
            <w:pPr>
              <w:spacing w:after="0" w:line="240" w:lineRule="auto"/>
              <w:rPr>
                <w:rFonts w:cs="Calibri"/>
                <w:b/>
                <w:bCs/>
                <w:color w:val="000000"/>
                <w:sz w:val="18"/>
                <w:szCs w:val="18"/>
                <w:lang w:eastAsia="sk-SK"/>
              </w:rPr>
            </w:pPr>
          </w:p>
        </w:tc>
      </w:tr>
      <w:tr w:rsidR="00477D83" w:rsidRPr="00095DDA" w14:paraId="5B302E8D" w14:textId="77777777" w:rsidTr="004215A3">
        <w:trPr>
          <w:trHeight w:val="278"/>
        </w:trPr>
        <w:tc>
          <w:tcPr>
            <w:tcW w:w="2651" w:type="dxa"/>
            <w:tcBorders>
              <w:top w:val="nil"/>
              <w:left w:val="single" w:sz="12" w:space="0" w:color="FFFFFF"/>
              <w:bottom w:val="single" w:sz="12" w:space="0" w:color="FFFFFF"/>
              <w:right w:val="single" w:sz="12" w:space="0" w:color="FFFFFF"/>
            </w:tcBorders>
            <w:shd w:val="clear" w:color="000000" w:fill="F2F2F2"/>
            <w:noWrap/>
            <w:vAlign w:val="center"/>
            <w:hideMark/>
          </w:tcPr>
          <w:p w14:paraId="5FD88D47" w14:textId="77777777" w:rsidR="00477D83" w:rsidRPr="00095DDA" w:rsidRDefault="00477D83" w:rsidP="00477D83">
            <w:pPr>
              <w:spacing w:after="0" w:line="240" w:lineRule="auto"/>
              <w:rPr>
                <w:rFonts w:cs="Calibri"/>
                <w:color w:val="000000"/>
                <w:sz w:val="20"/>
                <w:szCs w:val="20"/>
                <w:lang w:eastAsia="sk-SK"/>
              </w:rPr>
            </w:pPr>
            <w:r w:rsidRPr="00095DDA">
              <w:rPr>
                <w:rFonts w:cs="Calibri"/>
                <w:color w:val="000000"/>
                <w:sz w:val="20"/>
                <w:szCs w:val="20"/>
                <w:lang w:eastAsia="sk-SK"/>
              </w:rPr>
              <w:t xml:space="preserve">14.1: BRDS </w:t>
            </w:r>
          </w:p>
        </w:tc>
        <w:tc>
          <w:tcPr>
            <w:tcW w:w="1633" w:type="dxa"/>
            <w:tcBorders>
              <w:top w:val="nil"/>
              <w:left w:val="nil"/>
              <w:bottom w:val="single" w:sz="12" w:space="0" w:color="FFFFFF"/>
              <w:right w:val="single" w:sz="12" w:space="0" w:color="FFFFFF"/>
            </w:tcBorders>
            <w:shd w:val="clear" w:color="000000" w:fill="F2F2F2"/>
            <w:noWrap/>
            <w:vAlign w:val="center"/>
            <w:hideMark/>
          </w:tcPr>
          <w:p w14:paraId="11B0D235" w14:textId="721022CB"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1 180 000,00</w:t>
            </w:r>
          </w:p>
        </w:tc>
        <w:tc>
          <w:tcPr>
            <w:tcW w:w="1734" w:type="dxa"/>
            <w:tcBorders>
              <w:top w:val="nil"/>
              <w:left w:val="nil"/>
              <w:bottom w:val="single" w:sz="12" w:space="0" w:color="FFFFFF"/>
              <w:right w:val="single" w:sz="12" w:space="0" w:color="FFFFFF"/>
            </w:tcBorders>
            <w:shd w:val="clear" w:color="000000" w:fill="F2F2F2"/>
            <w:noWrap/>
            <w:vAlign w:val="center"/>
            <w:hideMark/>
          </w:tcPr>
          <w:p w14:paraId="477D06EE" w14:textId="423BE5FC"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462" w:type="dxa"/>
            <w:tcBorders>
              <w:top w:val="nil"/>
              <w:left w:val="nil"/>
              <w:bottom w:val="single" w:sz="12" w:space="0" w:color="FFFFFF"/>
              <w:right w:val="single" w:sz="12" w:space="0" w:color="FFFFFF"/>
            </w:tcBorders>
            <w:shd w:val="clear" w:color="000000" w:fill="F2F2F2"/>
            <w:noWrap/>
            <w:vAlign w:val="center"/>
            <w:hideMark/>
          </w:tcPr>
          <w:p w14:paraId="227FC3D6" w14:textId="1673E027"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343" w:type="dxa"/>
            <w:tcBorders>
              <w:top w:val="nil"/>
              <w:left w:val="nil"/>
              <w:bottom w:val="single" w:sz="12" w:space="0" w:color="FFFFFF"/>
              <w:right w:val="single" w:sz="12" w:space="0" w:color="FFFFFF"/>
            </w:tcBorders>
            <w:shd w:val="clear" w:color="000000" w:fill="F2F2F2"/>
            <w:vAlign w:val="center"/>
            <w:hideMark/>
          </w:tcPr>
          <w:p w14:paraId="1A88A763" w14:textId="1B6A9279" w:rsidR="00477D83" w:rsidRPr="00095DDA" w:rsidRDefault="00477D83" w:rsidP="00477D83">
            <w:pPr>
              <w:spacing w:after="0" w:line="240" w:lineRule="auto"/>
              <w:jc w:val="right"/>
              <w:rPr>
                <w:rFonts w:cs="Calibri"/>
                <w:color w:val="000000"/>
                <w:sz w:val="20"/>
                <w:szCs w:val="20"/>
                <w:lang w:eastAsia="sk-SK"/>
              </w:rPr>
            </w:pPr>
          </w:p>
        </w:tc>
        <w:tc>
          <w:tcPr>
            <w:tcW w:w="1510" w:type="dxa"/>
            <w:tcBorders>
              <w:top w:val="nil"/>
              <w:left w:val="nil"/>
              <w:bottom w:val="single" w:sz="12" w:space="0" w:color="FFFFFF"/>
              <w:right w:val="single" w:sz="12" w:space="0" w:color="FFFFFF"/>
            </w:tcBorders>
            <w:shd w:val="clear" w:color="auto" w:fill="DDD9C3" w:themeFill="background2" w:themeFillShade="E6"/>
            <w:noWrap/>
            <w:vAlign w:val="center"/>
            <w:hideMark/>
          </w:tcPr>
          <w:p w14:paraId="078A2EC0" w14:textId="0A5F6156" w:rsidR="00477D83" w:rsidRPr="00095DDA" w:rsidRDefault="00477D83" w:rsidP="00477D83">
            <w:pPr>
              <w:spacing w:after="0" w:line="240" w:lineRule="auto"/>
              <w:jc w:val="right"/>
              <w:rPr>
                <w:rFonts w:cs="Calibri"/>
                <w:color w:val="000000"/>
                <w:sz w:val="20"/>
                <w:szCs w:val="20"/>
                <w:lang w:eastAsia="sk-SK"/>
              </w:rPr>
            </w:pPr>
            <w:r>
              <w:rPr>
                <w:rFonts w:cs="Calibri"/>
                <w:color w:val="000000"/>
                <w:sz w:val="20"/>
                <w:szCs w:val="20"/>
                <w:lang w:eastAsia="sk-SK"/>
              </w:rPr>
              <w:t>0,00</w:t>
            </w:r>
          </w:p>
        </w:tc>
      </w:tr>
      <w:tr w:rsidR="00477D83" w:rsidRPr="00095DDA" w14:paraId="7A362F21" w14:textId="77777777" w:rsidTr="00477D83">
        <w:trPr>
          <w:trHeight w:val="291"/>
        </w:trPr>
        <w:tc>
          <w:tcPr>
            <w:tcW w:w="2651" w:type="dxa"/>
            <w:tcBorders>
              <w:top w:val="nil"/>
              <w:left w:val="single" w:sz="12" w:space="0" w:color="FFFFFF"/>
              <w:bottom w:val="single" w:sz="12" w:space="0" w:color="FFFFFF"/>
              <w:right w:val="single" w:sz="12" w:space="0" w:color="FFFFFF"/>
            </w:tcBorders>
            <w:shd w:val="clear" w:color="000000" w:fill="F2F2F2"/>
            <w:noWrap/>
            <w:vAlign w:val="center"/>
            <w:hideMark/>
          </w:tcPr>
          <w:p w14:paraId="6276B6E8" w14:textId="77777777" w:rsidR="00477D83" w:rsidRPr="00095DDA" w:rsidRDefault="00477D83" w:rsidP="00477D83">
            <w:pPr>
              <w:spacing w:after="0" w:line="240" w:lineRule="auto"/>
              <w:rPr>
                <w:rFonts w:cs="Calibri"/>
                <w:color w:val="000000"/>
                <w:sz w:val="20"/>
                <w:szCs w:val="20"/>
                <w:lang w:eastAsia="sk-SK"/>
              </w:rPr>
            </w:pPr>
            <w:r w:rsidRPr="00095DDA">
              <w:rPr>
                <w:rFonts w:cs="Calibri"/>
                <w:color w:val="000000"/>
                <w:sz w:val="20"/>
                <w:szCs w:val="20"/>
                <w:lang w:eastAsia="sk-SK"/>
              </w:rPr>
              <w:t>14.2: Individuálne dotácie</w:t>
            </w:r>
          </w:p>
        </w:tc>
        <w:tc>
          <w:tcPr>
            <w:tcW w:w="1633" w:type="dxa"/>
            <w:tcBorders>
              <w:top w:val="nil"/>
              <w:left w:val="nil"/>
              <w:bottom w:val="single" w:sz="12" w:space="0" w:color="FFFFFF"/>
              <w:right w:val="single" w:sz="12" w:space="0" w:color="FFFFFF"/>
            </w:tcBorders>
            <w:shd w:val="clear" w:color="000000" w:fill="F2F2F2"/>
            <w:noWrap/>
            <w:vAlign w:val="center"/>
            <w:hideMark/>
          </w:tcPr>
          <w:p w14:paraId="7F53BA65" w14:textId="01B909C5"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300 000,00</w:t>
            </w:r>
          </w:p>
        </w:tc>
        <w:tc>
          <w:tcPr>
            <w:tcW w:w="1734" w:type="dxa"/>
            <w:tcBorders>
              <w:top w:val="nil"/>
              <w:left w:val="nil"/>
              <w:bottom w:val="single" w:sz="12" w:space="0" w:color="FFFFFF"/>
              <w:right w:val="single" w:sz="12" w:space="0" w:color="FFFFFF"/>
            </w:tcBorders>
            <w:shd w:val="clear" w:color="000000" w:fill="F2F2F2"/>
            <w:noWrap/>
            <w:vAlign w:val="center"/>
            <w:hideMark/>
          </w:tcPr>
          <w:p w14:paraId="4A22A5E8" w14:textId="69135153"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300 000,00</w:t>
            </w:r>
          </w:p>
        </w:tc>
        <w:tc>
          <w:tcPr>
            <w:tcW w:w="1462" w:type="dxa"/>
            <w:tcBorders>
              <w:top w:val="nil"/>
              <w:left w:val="nil"/>
              <w:bottom w:val="single" w:sz="12" w:space="0" w:color="FFFFFF"/>
              <w:right w:val="single" w:sz="12" w:space="0" w:color="FFFFFF"/>
            </w:tcBorders>
            <w:shd w:val="clear" w:color="000000" w:fill="F2F2F2"/>
            <w:noWrap/>
            <w:vAlign w:val="center"/>
            <w:hideMark/>
          </w:tcPr>
          <w:p w14:paraId="2E43A0CE" w14:textId="6B74234A"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291 901,01</w:t>
            </w:r>
          </w:p>
        </w:tc>
        <w:tc>
          <w:tcPr>
            <w:tcW w:w="1343" w:type="dxa"/>
            <w:tcBorders>
              <w:top w:val="nil"/>
              <w:left w:val="nil"/>
              <w:bottom w:val="single" w:sz="12" w:space="0" w:color="FFFFFF"/>
              <w:right w:val="single" w:sz="12" w:space="0" w:color="FFFFFF"/>
            </w:tcBorders>
            <w:shd w:val="clear" w:color="000000" w:fill="F2F2F2"/>
            <w:vAlign w:val="center"/>
          </w:tcPr>
          <w:p w14:paraId="737CCB69" w14:textId="5D88EA7B" w:rsidR="00477D83" w:rsidRPr="00095DDA" w:rsidRDefault="00477D83" w:rsidP="00477D83">
            <w:pPr>
              <w:spacing w:after="0" w:line="240" w:lineRule="auto"/>
              <w:jc w:val="right"/>
              <w:rPr>
                <w:rFonts w:cs="Calibri"/>
                <w:color w:val="000000"/>
                <w:sz w:val="20"/>
                <w:szCs w:val="20"/>
                <w:lang w:eastAsia="sk-SK"/>
              </w:rPr>
            </w:pPr>
            <w:r>
              <w:rPr>
                <w:rFonts w:cs="Calibri"/>
                <w:color w:val="000000"/>
                <w:sz w:val="20"/>
                <w:szCs w:val="20"/>
                <w:lang w:eastAsia="sk-SK"/>
              </w:rPr>
              <w:t>97,30</w:t>
            </w:r>
          </w:p>
        </w:tc>
        <w:tc>
          <w:tcPr>
            <w:tcW w:w="1510" w:type="dxa"/>
            <w:tcBorders>
              <w:top w:val="nil"/>
              <w:left w:val="nil"/>
              <w:bottom w:val="single" w:sz="12" w:space="0" w:color="FFFFFF"/>
              <w:right w:val="single" w:sz="12" w:space="0" w:color="FFFFFF"/>
            </w:tcBorders>
            <w:shd w:val="clear" w:color="auto" w:fill="DDD9C3" w:themeFill="background2" w:themeFillShade="E6"/>
            <w:noWrap/>
            <w:vAlign w:val="center"/>
          </w:tcPr>
          <w:p w14:paraId="15946D6A" w14:textId="63728426" w:rsidR="00477D83" w:rsidRPr="00095DDA" w:rsidRDefault="00477D83" w:rsidP="00477D83">
            <w:pPr>
              <w:spacing w:after="0" w:line="240" w:lineRule="auto"/>
              <w:jc w:val="right"/>
              <w:rPr>
                <w:rFonts w:cs="Calibri"/>
                <w:color w:val="000000"/>
                <w:sz w:val="20"/>
                <w:szCs w:val="20"/>
                <w:lang w:eastAsia="sk-SK"/>
              </w:rPr>
            </w:pPr>
            <w:r w:rsidRPr="00477D83">
              <w:rPr>
                <w:rFonts w:cs="Calibri"/>
                <w:color w:val="000000"/>
                <w:sz w:val="20"/>
                <w:szCs w:val="20"/>
                <w:lang w:eastAsia="sk-SK"/>
              </w:rPr>
              <w:t>290 606,80</w:t>
            </w:r>
          </w:p>
        </w:tc>
      </w:tr>
      <w:tr w:rsidR="00477D83" w:rsidRPr="00095DDA" w14:paraId="090125ED" w14:textId="77777777" w:rsidTr="00477D83">
        <w:trPr>
          <w:trHeight w:val="291"/>
        </w:trPr>
        <w:tc>
          <w:tcPr>
            <w:tcW w:w="2651" w:type="dxa"/>
            <w:tcBorders>
              <w:top w:val="nil"/>
              <w:left w:val="single" w:sz="12" w:space="0" w:color="FFFFFF"/>
              <w:bottom w:val="single" w:sz="12" w:space="0" w:color="FFFFFF"/>
              <w:right w:val="single" w:sz="12" w:space="0" w:color="FFFFFF"/>
            </w:tcBorders>
            <w:shd w:val="clear" w:color="000000" w:fill="F2F2F2"/>
            <w:noWrap/>
            <w:vAlign w:val="center"/>
            <w:hideMark/>
          </w:tcPr>
          <w:p w14:paraId="0BBB0AF7" w14:textId="77777777" w:rsidR="00477D83" w:rsidRPr="00095DDA" w:rsidRDefault="00477D83" w:rsidP="00477D83">
            <w:pPr>
              <w:spacing w:after="0" w:line="240" w:lineRule="auto"/>
              <w:rPr>
                <w:rFonts w:cs="Calibri"/>
                <w:color w:val="000000"/>
                <w:sz w:val="20"/>
                <w:szCs w:val="20"/>
                <w:lang w:eastAsia="sk-SK"/>
              </w:rPr>
            </w:pPr>
            <w:r w:rsidRPr="00095DDA">
              <w:rPr>
                <w:rFonts w:cs="Calibri"/>
                <w:color w:val="000000"/>
                <w:sz w:val="20"/>
                <w:szCs w:val="20"/>
                <w:lang w:eastAsia="sk-SK"/>
              </w:rPr>
              <w:t>14.3: Územné dotácie</w:t>
            </w:r>
          </w:p>
        </w:tc>
        <w:tc>
          <w:tcPr>
            <w:tcW w:w="1633" w:type="dxa"/>
            <w:tcBorders>
              <w:top w:val="nil"/>
              <w:left w:val="nil"/>
              <w:bottom w:val="single" w:sz="12" w:space="0" w:color="FFFFFF"/>
              <w:right w:val="single" w:sz="12" w:space="0" w:color="FFFFFF"/>
            </w:tcBorders>
            <w:shd w:val="clear" w:color="000000" w:fill="F2F2F2"/>
            <w:noWrap/>
            <w:vAlign w:val="center"/>
            <w:hideMark/>
          </w:tcPr>
          <w:p w14:paraId="21A05084" w14:textId="3CFF2DCF"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300 000,00</w:t>
            </w:r>
          </w:p>
        </w:tc>
        <w:tc>
          <w:tcPr>
            <w:tcW w:w="1734" w:type="dxa"/>
            <w:tcBorders>
              <w:top w:val="nil"/>
              <w:left w:val="nil"/>
              <w:bottom w:val="single" w:sz="12" w:space="0" w:color="FFFFFF"/>
              <w:right w:val="single" w:sz="12" w:space="0" w:color="FFFFFF"/>
            </w:tcBorders>
            <w:shd w:val="clear" w:color="000000" w:fill="F2F2F2"/>
            <w:noWrap/>
            <w:vAlign w:val="center"/>
            <w:hideMark/>
          </w:tcPr>
          <w:p w14:paraId="1E3DA6EE" w14:textId="58584D0E"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462" w:type="dxa"/>
            <w:tcBorders>
              <w:top w:val="nil"/>
              <w:left w:val="nil"/>
              <w:bottom w:val="single" w:sz="12" w:space="0" w:color="FFFFFF"/>
              <w:right w:val="single" w:sz="12" w:space="0" w:color="FFFFFF"/>
            </w:tcBorders>
            <w:shd w:val="clear" w:color="000000" w:fill="F2F2F2"/>
            <w:noWrap/>
            <w:vAlign w:val="center"/>
            <w:hideMark/>
          </w:tcPr>
          <w:p w14:paraId="3E39BD2C" w14:textId="29500DEB"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343" w:type="dxa"/>
            <w:tcBorders>
              <w:top w:val="nil"/>
              <w:left w:val="nil"/>
              <w:bottom w:val="single" w:sz="12" w:space="0" w:color="FFFFFF"/>
              <w:right w:val="single" w:sz="12" w:space="0" w:color="FFFFFF"/>
            </w:tcBorders>
            <w:shd w:val="clear" w:color="000000" w:fill="F2F2F2"/>
            <w:vAlign w:val="center"/>
          </w:tcPr>
          <w:p w14:paraId="481B0A1D" w14:textId="2A93A070" w:rsidR="00477D83" w:rsidRPr="00095DDA" w:rsidRDefault="00477D83" w:rsidP="00477D83">
            <w:pPr>
              <w:spacing w:after="0" w:line="240" w:lineRule="auto"/>
              <w:jc w:val="right"/>
              <w:rPr>
                <w:rFonts w:cs="Calibri"/>
                <w:color w:val="000000"/>
                <w:sz w:val="20"/>
                <w:szCs w:val="20"/>
                <w:lang w:eastAsia="sk-SK"/>
              </w:rPr>
            </w:pPr>
          </w:p>
        </w:tc>
        <w:tc>
          <w:tcPr>
            <w:tcW w:w="1510" w:type="dxa"/>
            <w:tcBorders>
              <w:top w:val="nil"/>
              <w:left w:val="nil"/>
              <w:bottom w:val="single" w:sz="12" w:space="0" w:color="FFFFFF"/>
              <w:right w:val="single" w:sz="12" w:space="0" w:color="FFFFFF"/>
            </w:tcBorders>
            <w:shd w:val="clear" w:color="auto" w:fill="DDD9C3" w:themeFill="background2" w:themeFillShade="E6"/>
            <w:noWrap/>
            <w:vAlign w:val="center"/>
          </w:tcPr>
          <w:p w14:paraId="505FDF2A" w14:textId="6AE2AC69" w:rsidR="00477D83" w:rsidRPr="00095DDA" w:rsidRDefault="00477D83" w:rsidP="00477D83">
            <w:pPr>
              <w:spacing w:after="0" w:line="240" w:lineRule="auto"/>
              <w:jc w:val="right"/>
              <w:rPr>
                <w:rFonts w:cs="Calibri"/>
                <w:color w:val="000000"/>
                <w:sz w:val="20"/>
                <w:szCs w:val="20"/>
                <w:lang w:eastAsia="sk-SK"/>
              </w:rPr>
            </w:pPr>
            <w:r>
              <w:rPr>
                <w:rFonts w:cs="Calibri"/>
                <w:color w:val="000000"/>
                <w:sz w:val="20"/>
                <w:szCs w:val="20"/>
                <w:lang w:eastAsia="sk-SK"/>
              </w:rPr>
              <w:t>0,00</w:t>
            </w:r>
          </w:p>
        </w:tc>
      </w:tr>
      <w:tr w:rsidR="00477D83" w:rsidRPr="00095DDA" w14:paraId="7F2197AF" w14:textId="77777777" w:rsidTr="00477D83">
        <w:trPr>
          <w:trHeight w:val="291"/>
        </w:trPr>
        <w:tc>
          <w:tcPr>
            <w:tcW w:w="2651" w:type="dxa"/>
            <w:tcBorders>
              <w:top w:val="nil"/>
              <w:left w:val="single" w:sz="12" w:space="0" w:color="FFFFFF"/>
              <w:bottom w:val="single" w:sz="12" w:space="0" w:color="FFFFFF"/>
              <w:right w:val="single" w:sz="12" w:space="0" w:color="FFFFFF"/>
            </w:tcBorders>
            <w:shd w:val="clear" w:color="000000" w:fill="F2F2F2"/>
            <w:noWrap/>
            <w:vAlign w:val="center"/>
            <w:hideMark/>
          </w:tcPr>
          <w:p w14:paraId="0C18BC82" w14:textId="77777777" w:rsidR="00477D83" w:rsidRPr="00095DDA" w:rsidRDefault="00477D83" w:rsidP="00477D83">
            <w:pPr>
              <w:spacing w:after="0" w:line="240" w:lineRule="auto"/>
              <w:rPr>
                <w:rFonts w:cs="Calibri"/>
                <w:color w:val="000000"/>
                <w:sz w:val="20"/>
                <w:szCs w:val="20"/>
                <w:lang w:eastAsia="sk-SK"/>
              </w:rPr>
            </w:pPr>
            <w:r w:rsidRPr="00095DDA">
              <w:rPr>
                <w:rFonts w:cs="Calibri"/>
                <w:color w:val="000000"/>
                <w:sz w:val="20"/>
                <w:szCs w:val="20"/>
                <w:lang w:eastAsia="sk-SK"/>
              </w:rPr>
              <w:t>14.4: Participatívny rozpočet</w:t>
            </w:r>
          </w:p>
        </w:tc>
        <w:tc>
          <w:tcPr>
            <w:tcW w:w="1633" w:type="dxa"/>
            <w:tcBorders>
              <w:top w:val="nil"/>
              <w:left w:val="nil"/>
              <w:bottom w:val="single" w:sz="12" w:space="0" w:color="FFFFFF"/>
              <w:right w:val="single" w:sz="12" w:space="0" w:color="FFFFFF"/>
            </w:tcBorders>
            <w:shd w:val="clear" w:color="000000" w:fill="F2F2F2"/>
            <w:noWrap/>
            <w:vAlign w:val="center"/>
            <w:hideMark/>
          </w:tcPr>
          <w:p w14:paraId="2C047EAD" w14:textId="567699FA"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200 000,00</w:t>
            </w:r>
          </w:p>
        </w:tc>
        <w:tc>
          <w:tcPr>
            <w:tcW w:w="1734" w:type="dxa"/>
            <w:tcBorders>
              <w:top w:val="nil"/>
              <w:left w:val="nil"/>
              <w:bottom w:val="single" w:sz="12" w:space="0" w:color="FFFFFF"/>
              <w:right w:val="single" w:sz="12" w:space="0" w:color="FFFFFF"/>
            </w:tcBorders>
            <w:shd w:val="clear" w:color="000000" w:fill="F2F2F2"/>
            <w:noWrap/>
            <w:vAlign w:val="center"/>
            <w:hideMark/>
          </w:tcPr>
          <w:p w14:paraId="437C7635" w14:textId="0C0D2555"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462" w:type="dxa"/>
            <w:tcBorders>
              <w:top w:val="nil"/>
              <w:left w:val="nil"/>
              <w:bottom w:val="single" w:sz="12" w:space="0" w:color="FFFFFF"/>
              <w:right w:val="single" w:sz="12" w:space="0" w:color="FFFFFF"/>
            </w:tcBorders>
            <w:shd w:val="clear" w:color="000000" w:fill="F2F2F2"/>
            <w:noWrap/>
            <w:vAlign w:val="center"/>
            <w:hideMark/>
          </w:tcPr>
          <w:p w14:paraId="18CFB469" w14:textId="7DACC7F9"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343" w:type="dxa"/>
            <w:tcBorders>
              <w:top w:val="nil"/>
              <w:left w:val="nil"/>
              <w:bottom w:val="single" w:sz="12" w:space="0" w:color="FFFFFF"/>
              <w:right w:val="single" w:sz="12" w:space="0" w:color="FFFFFF"/>
            </w:tcBorders>
            <w:shd w:val="clear" w:color="000000" w:fill="F2F2F2"/>
            <w:vAlign w:val="center"/>
          </w:tcPr>
          <w:p w14:paraId="7348DBDC" w14:textId="7C7EBC01" w:rsidR="00477D83" w:rsidRPr="00095DDA" w:rsidRDefault="00477D83" w:rsidP="00477D83">
            <w:pPr>
              <w:spacing w:after="0" w:line="240" w:lineRule="auto"/>
              <w:jc w:val="right"/>
              <w:rPr>
                <w:rFonts w:cs="Calibri"/>
                <w:color w:val="000000"/>
                <w:sz w:val="20"/>
                <w:szCs w:val="20"/>
                <w:lang w:eastAsia="sk-SK"/>
              </w:rPr>
            </w:pPr>
          </w:p>
        </w:tc>
        <w:tc>
          <w:tcPr>
            <w:tcW w:w="1510" w:type="dxa"/>
            <w:tcBorders>
              <w:top w:val="nil"/>
              <w:left w:val="nil"/>
              <w:bottom w:val="single" w:sz="12" w:space="0" w:color="FFFFFF"/>
              <w:right w:val="single" w:sz="12" w:space="0" w:color="FFFFFF"/>
            </w:tcBorders>
            <w:shd w:val="clear" w:color="auto" w:fill="DDD9C3" w:themeFill="background2" w:themeFillShade="E6"/>
            <w:noWrap/>
            <w:vAlign w:val="center"/>
          </w:tcPr>
          <w:p w14:paraId="4D277E35" w14:textId="14FD23F8" w:rsidR="00477D83" w:rsidRPr="00095DDA" w:rsidRDefault="00477D83" w:rsidP="00477D83">
            <w:pPr>
              <w:spacing w:after="0" w:line="240" w:lineRule="auto"/>
              <w:jc w:val="right"/>
              <w:rPr>
                <w:rFonts w:cs="Calibri"/>
                <w:color w:val="000000"/>
                <w:sz w:val="20"/>
                <w:szCs w:val="20"/>
                <w:lang w:eastAsia="sk-SK"/>
              </w:rPr>
            </w:pPr>
            <w:r>
              <w:rPr>
                <w:rFonts w:cs="Calibri"/>
                <w:color w:val="000000"/>
                <w:sz w:val="20"/>
                <w:szCs w:val="20"/>
                <w:lang w:eastAsia="sk-SK"/>
              </w:rPr>
              <w:t>0,00</w:t>
            </w:r>
          </w:p>
        </w:tc>
      </w:tr>
      <w:tr w:rsidR="00477D83" w:rsidRPr="00095DDA" w14:paraId="65A7736B" w14:textId="77777777" w:rsidTr="00477D83">
        <w:trPr>
          <w:trHeight w:val="291"/>
        </w:trPr>
        <w:tc>
          <w:tcPr>
            <w:tcW w:w="2651" w:type="dxa"/>
            <w:tcBorders>
              <w:top w:val="nil"/>
              <w:left w:val="single" w:sz="12" w:space="0" w:color="FFFFFF"/>
              <w:bottom w:val="single" w:sz="12" w:space="0" w:color="FFFFFF"/>
              <w:right w:val="single" w:sz="12" w:space="0" w:color="FFFFFF"/>
            </w:tcBorders>
            <w:shd w:val="clear" w:color="000000" w:fill="F2F2F2"/>
            <w:noWrap/>
            <w:vAlign w:val="center"/>
            <w:hideMark/>
          </w:tcPr>
          <w:p w14:paraId="46C50C03" w14:textId="77777777" w:rsidR="00477D83" w:rsidRPr="00095DDA" w:rsidRDefault="00477D83" w:rsidP="00477D83">
            <w:pPr>
              <w:spacing w:after="0" w:line="240" w:lineRule="auto"/>
              <w:rPr>
                <w:rFonts w:cs="Calibri"/>
                <w:color w:val="000000"/>
                <w:sz w:val="20"/>
                <w:szCs w:val="20"/>
                <w:lang w:eastAsia="sk-SK"/>
              </w:rPr>
            </w:pPr>
            <w:r w:rsidRPr="00095DDA">
              <w:rPr>
                <w:rFonts w:cs="Calibri"/>
                <w:color w:val="000000"/>
                <w:sz w:val="20"/>
                <w:szCs w:val="20"/>
                <w:lang w:eastAsia="sk-SK"/>
              </w:rPr>
              <w:t>14.5: Zdravotná starostlivosť</w:t>
            </w:r>
          </w:p>
        </w:tc>
        <w:tc>
          <w:tcPr>
            <w:tcW w:w="1633" w:type="dxa"/>
            <w:tcBorders>
              <w:top w:val="nil"/>
              <w:left w:val="nil"/>
              <w:bottom w:val="single" w:sz="12" w:space="0" w:color="FFFFFF"/>
              <w:right w:val="single" w:sz="12" w:space="0" w:color="FFFFFF"/>
            </w:tcBorders>
            <w:shd w:val="clear" w:color="000000" w:fill="F2F2F2"/>
            <w:noWrap/>
            <w:vAlign w:val="center"/>
            <w:hideMark/>
          </w:tcPr>
          <w:p w14:paraId="106A9740" w14:textId="25D29752"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20 000,00</w:t>
            </w:r>
          </w:p>
        </w:tc>
        <w:tc>
          <w:tcPr>
            <w:tcW w:w="1734" w:type="dxa"/>
            <w:tcBorders>
              <w:top w:val="nil"/>
              <w:left w:val="nil"/>
              <w:bottom w:val="single" w:sz="12" w:space="0" w:color="FFFFFF"/>
              <w:right w:val="single" w:sz="12" w:space="0" w:color="FFFFFF"/>
            </w:tcBorders>
            <w:shd w:val="clear" w:color="000000" w:fill="F2F2F2"/>
            <w:noWrap/>
            <w:vAlign w:val="center"/>
            <w:hideMark/>
          </w:tcPr>
          <w:p w14:paraId="643922A7" w14:textId="7FC880A3"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462" w:type="dxa"/>
            <w:tcBorders>
              <w:top w:val="nil"/>
              <w:left w:val="nil"/>
              <w:bottom w:val="single" w:sz="12" w:space="0" w:color="FFFFFF"/>
              <w:right w:val="single" w:sz="12" w:space="0" w:color="FFFFFF"/>
            </w:tcBorders>
            <w:shd w:val="clear" w:color="000000" w:fill="F2F2F2"/>
            <w:noWrap/>
            <w:vAlign w:val="center"/>
            <w:hideMark/>
          </w:tcPr>
          <w:p w14:paraId="7EF3478A" w14:textId="5E93ED47" w:rsidR="00477D83" w:rsidRPr="00095DDA" w:rsidRDefault="00477D83" w:rsidP="00477D83">
            <w:pPr>
              <w:spacing w:after="0" w:line="240" w:lineRule="auto"/>
              <w:jc w:val="right"/>
              <w:rPr>
                <w:rFonts w:cs="Calibri"/>
                <w:color w:val="000000"/>
                <w:sz w:val="20"/>
                <w:szCs w:val="20"/>
                <w:lang w:eastAsia="sk-SK"/>
              </w:rPr>
            </w:pPr>
            <w:r>
              <w:rPr>
                <w:rFonts w:cs="Arial"/>
                <w:color w:val="000000"/>
                <w:sz w:val="20"/>
                <w:szCs w:val="20"/>
                <w:lang w:eastAsia="sk-SK"/>
              </w:rPr>
              <w:t>0,00</w:t>
            </w:r>
          </w:p>
        </w:tc>
        <w:tc>
          <w:tcPr>
            <w:tcW w:w="1343" w:type="dxa"/>
            <w:tcBorders>
              <w:top w:val="nil"/>
              <w:left w:val="nil"/>
              <w:bottom w:val="single" w:sz="12" w:space="0" w:color="FFFFFF"/>
              <w:right w:val="single" w:sz="12" w:space="0" w:color="FFFFFF"/>
            </w:tcBorders>
            <w:shd w:val="clear" w:color="000000" w:fill="F2F2F2"/>
            <w:vAlign w:val="center"/>
          </w:tcPr>
          <w:p w14:paraId="560C8865" w14:textId="24FF71F8" w:rsidR="00477D83" w:rsidRPr="00095DDA" w:rsidRDefault="00477D83" w:rsidP="00477D83">
            <w:pPr>
              <w:spacing w:after="0" w:line="240" w:lineRule="auto"/>
              <w:jc w:val="right"/>
              <w:rPr>
                <w:rFonts w:cs="Calibri"/>
                <w:color w:val="000000"/>
                <w:sz w:val="20"/>
                <w:szCs w:val="20"/>
                <w:lang w:eastAsia="sk-SK"/>
              </w:rPr>
            </w:pPr>
          </w:p>
        </w:tc>
        <w:tc>
          <w:tcPr>
            <w:tcW w:w="1510" w:type="dxa"/>
            <w:tcBorders>
              <w:top w:val="nil"/>
              <w:left w:val="nil"/>
              <w:bottom w:val="single" w:sz="12" w:space="0" w:color="FFFFFF"/>
              <w:right w:val="single" w:sz="12" w:space="0" w:color="FFFFFF"/>
            </w:tcBorders>
            <w:shd w:val="clear" w:color="auto" w:fill="DDD9C3" w:themeFill="background2" w:themeFillShade="E6"/>
            <w:noWrap/>
            <w:vAlign w:val="center"/>
          </w:tcPr>
          <w:p w14:paraId="39D96FEC" w14:textId="4E59A341" w:rsidR="00477D83" w:rsidRPr="00095DDA" w:rsidRDefault="00477D83" w:rsidP="00477D83">
            <w:pPr>
              <w:spacing w:after="0" w:line="240" w:lineRule="auto"/>
              <w:jc w:val="right"/>
              <w:rPr>
                <w:rFonts w:cs="Calibri"/>
                <w:color w:val="000000"/>
                <w:sz w:val="20"/>
                <w:szCs w:val="20"/>
                <w:lang w:eastAsia="sk-SK"/>
              </w:rPr>
            </w:pPr>
            <w:r>
              <w:rPr>
                <w:rFonts w:cs="Calibri"/>
                <w:color w:val="000000"/>
                <w:sz w:val="20"/>
                <w:szCs w:val="20"/>
                <w:lang w:eastAsia="sk-SK"/>
              </w:rPr>
              <w:t>0,00</w:t>
            </w:r>
          </w:p>
        </w:tc>
      </w:tr>
      <w:tr w:rsidR="00477D83" w:rsidRPr="00095DDA" w14:paraId="22527F6E" w14:textId="77777777" w:rsidTr="00477D83">
        <w:trPr>
          <w:trHeight w:val="291"/>
        </w:trPr>
        <w:tc>
          <w:tcPr>
            <w:tcW w:w="2651" w:type="dxa"/>
            <w:tcBorders>
              <w:top w:val="nil"/>
              <w:left w:val="single" w:sz="12" w:space="0" w:color="FFFFFF"/>
              <w:bottom w:val="single" w:sz="12" w:space="0" w:color="FFFFFF"/>
              <w:right w:val="single" w:sz="12" w:space="0" w:color="FFFFFF"/>
            </w:tcBorders>
            <w:shd w:val="clear" w:color="000000" w:fill="8DB3E2"/>
            <w:noWrap/>
            <w:vAlign w:val="center"/>
            <w:hideMark/>
          </w:tcPr>
          <w:p w14:paraId="6403C309" w14:textId="77777777" w:rsidR="00477D83" w:rsidRPr="00095DDA" w:rsidRDefault="00477D83" w:rsidP="00477D83">
            <w:pPr>
              <w:spacing w:after="0" w:line="240" w:lineRule="auto"/>
              <w:jc w:val="center"/>
              <w:rPr>
                <w:rFonts w:cs="Calibri"/>
                <w:b/>
                <w:bCs/>
                <w:color w:val="000000"/>
                <w:lang w:eastAsia="sk-SK"/>
              </w:rPr>
            </w:pPr>
            <w:r w:rsidRPr="00095DDA">
              <w:rPr>
                <w:rFonts w:cs="Calibri"/>
                <w:b/>
                <w:bCs/>
                <w:color w:val="000000"/>
                <w:lang w:eastAsia="sk-SK"/>
              </w:rPr>
              <w:t>Celkový súčet</w:t>
            </w:r>
          </w:p>
        </w:tc>
        <w:tc>
          <w:tcPr>
            <w:tcW w:w="1633" w:type="dxa"/>
            <w:tcBorders>
              <w:top w:val="nil"/>
              <w:left w:val="nil"/>
              <w:bottom w:val="single" w:sz="12" w:space="0" w:color="FFFFFF"/>
              <w:right w:val="single" w:sz="12" w:space="0" w:color="FFFFFF"/>
            </w:tcBorders>
            <w:shd w:val="clear" w:color="000000" w:fill="8DB3E2"/>
            <w:noWrap/>
            <w:vAlign w:val="center"/>
            <w:hideMark/>
          </w:tcPr>
          <w:p w14:paraId="7F5E1113" w14:textId="3C731E57" w:rsidR="00477D83" w:rsidRPr="00095DDA" w:rsidRDefault="00477D83" w:rsidP="00477D83">
            <w:pPr>
              <w:spacing w:after="0" w:line="240" w:lineRule="auto"/>
              <w:jc w:val="right"/>
              <w:rPr>
                <w:rFonts w:cs="Calibri"/>
                <w:b/>
                <w:bCs/>
                <w:color w:val="000000"/>
                <w:lang w:eastAsia="sk-SK"/>
              </w:rPr>
            </w:pPr>
            <w:r>
              <w:rPr>
                <w:rFonts w:cs="Arial"/>
                <w:b/>
                <w:bCs/>
                <w:color w:val="000000"/>
                <w:lang w:eastAsia="sk-SK"/>
              </w:rPr>
              <w:t>2 000 000,00</w:t>
            </w:r>
          </w:p>
        </w:tc>
        <w:tc>
          <w:tcPr>
            <w:tcW w:w="1734" w:type="dxa"/>
            <w:tcBorders>
              <w:top w:val="nil"/>
              <w:left w:val="nil"/>
              <w:bottom w:val="single" w:sz="12" w:space="0" w:color="FFFFFF"/>
              <w:right w:val="single" w:sz="12" w:space="0" w:color="FFFFFF"/>
            </w:tcBorders>
            <w:shd w:val="clear" w:color="000000" w:fill="8DB3E2"/>
            <w:noWrap/>
            <w:vAlign w:val="center"/>
            <w:hideMark/>
          </w:tcPr>
          <w:p w14:paraId="56C1F9D1" w14:textId="2030328E" w:rsidR="00477D83" w:rsidRPr="00095DDA" w:rsidRDefault="00477D83" w:rsidP="00477D83">
            <w:pPr>
              <w:spacing w:after="0" w:line="240" w:lineRule="auto"/>
              <w:jc w:val="right"/>
              <w:rPr>
                <w:rFonts w:cs="Calibri"/>
                <w:b/>
                <w:bCs/>
                <w:color w:val="000000"/>
                <w:lang w:eastAsia="sk-SK"/>
              </w:rPr>
            </w:pPr>
            <w:r>
              <w:rPr>
                <w:rFonts w:cs="Arial"/>
                <w:b/>
                <w:bCs/>
                <w:color w:val="000000"/>
                <w:lang w:eastAsia="sk-SK"/>
              </w:rPr>
              <w:t>300 000,00</w:t>
            </w:r>
          </w:p>
        </w:tc>
        <w:tc>
          <w:tcPr>
            <w:tcW w:w="1462" w:type="dxa"/>
            <w:tcBorders>
              <w:top w:val="nil"/>
              <w:left w:val="nil"/>
              <w:bottom w:val="single" w:sz="12" w:space="0" w:color="FFFFFF"/>
              <w:right w:val="single" w:sz="12" w:space="0" w:color="FFFFFF"/>
            </w:tcBorders>
            <w:shd w:val="clear" w:color="000000" w:fill="8DB3E2"/>
            <w:noWrap/>
            <w:vAlign w:val="center"/>
            <w:hideMark/>
          </w:tcPr>
          <w:p w14:paraId="6A99A0C3" w14:textId="2C7B90B1" w:rsidR="00477D83" w:rsidRPr="00095DDA" w:rsidRDefault="00477D83" w:rsidP="00477D83">
            <w:pPr>
              <w:spacing w:after="0" w:line="240" w:lineRule="auto"/>
              <w:jc w:val="right"/>
              <w:rPr>
                <w:rFonts w:cs="Calibri"/>
                <w:b/>
                <w:bCs/>
                <w:color w:val="000000"/>
                <w:lang w:eastAsia="sk-SK"/>
              </w:rPr>
            </w:pPr>
            <w:r>
              <w:rPr>
                <w:rFonts w:cs="Arial"/>
                <w:b/>
                <w:bCs/>
                <w:color w:val="000000"/>
                <w:lang w:eastAsia="sk-SK"/>
              </w:rPr>
              <w:t>291 901,01</w:t>
            </w:r>
          </w:p>
        </w:tc>
        <w:tc>
          <w:tcPr>
            <w:tcW w:w="1343" w:type="dxa"/>
            <w:tcBorders>
              <w:top w:val="nil"/>
              <w:left w:val="nil"/>
              <w:bottom w:val="single" w:sz="12" w:space="0" w:color="FFFFFF"/>
              <w:right w:val="single" w:sz="12" w:space="0" w:color="FFFFFF"/>
            </w:tcBorders>
            <w:shd w:val="clear" w:color="000000" w:fill="95B3D7"/>
            <w:vAlign w:val="center"/>
          </w:tcPr>
          <w:p w14:paraId="22B950E1" w14:textId="3690AF5F" w:rsidR="00477D83" w:rsidRPr="00095DDA" w:rsidRDefault="00477D83" w:rsidP="00477D83">
            <w:pPr>
              <w:spacing w:after="0" w:line="240" w:lineRule="auto"/>
              <w:jc w:val="right"/>
              <w:rPr>
                <w:rFonts w:cs="Calibri"/>
                <w:b/>
                <w:bCs/>
                <w:color w:val="000000"/>
                <w:lang w:eastAsia="sk-SK"/>
              </w:rPr>
            </w:pPr>
            <w:r>
              <w:rPr>
                <w:rFonts w:cs="Calibri"/>
                <w:b/>
                <w:bCs/>
                <w:color w:val="000000"/>
                <w:lang w:eastAsia="sk-SK"/>
              </w:rPr>
              <w:t>97,30</w:t>
            </w:r>
          </w:p>
        </w:tc>
        <w:tc>
          <w:tcPr>
            <w:tcW w:w="1510" w:type="dxa"/>
            <w:tcBorders>
              <w:top w:val="nil"/>
              <w:left w:val="nil"/>
              <w:bottom w:val="single" w:sz="12" w:space="0" w:color="FFFFFF"/>
              <w:right w:val="single" w:sz="12" w:space="0" w:color="FFFFFF"/>
            </w:tcBorders>
            <w:shd w:val="clear" w:color="auto" w:fill="DDD9C3" w:themeFill="background2" w:themeFillShade="E6"/>
            <w:noWrap/>
            <w:vAlign w:val="center"/>
            <w:hideMark/>
          </w:tcPr>
          <w:p w14:paraId="3A607AC4" w14:textId="6A8A98B6" w:rsidR="00477D83" w:rsidRPr="00095DDA" w:rsidRDefault="00477D83" w:rsidP="00477D83">
            <w:pPr>
              <w:spacing w:after="0" w:line="240" w:lineRule="auto"/>
              <w:jc w:val="right"/>
              <w:rPr>
                <w:rFonts w:cs="Calibri"/>
                <w:b/>
                <w:bCs/>
                <w:color w:val="000000"/>
                <w:lang w:eastAsia="sk-SK"/>
              </w:rPr>
            </w:pPr>
            <w:r w:rsidRPr="00477D83">
              <w:rPr>
                <w:rFonts w:cs="Calibri"/>
                <w:b/>
                <w:bCs/>
                <w:color w:val="000000"/>
                <w:lang w:eastAsia="sk-SK"/>
              </w:rPr>
              <w:t>290 606,80</w:t>
            </w:r>
          </w:p>
        </w:tc>
      </w:tr>
    </w:tbl>
    <w:p w14:paraId="51EF6AB6" w14:textId="77777777" w:rsidR="00943E9A" w:rsidRDefault="00943E9A" w:rsidP="00095DDA">
      <w:pPr>
        <w:spacing w:after="0" w:line="240" w:lineRule="auto"/>
        <w:jc w:val="both"/>
        <w:rPr>
          <w:rFonts w:cs="Calibri"/>
          <w:sz w:val="24"/>
          <w:szCs w:val="24"/>
          <w:u w:val="single"/>
          <w:lang w:eastAsia="sk-SK"/>
        </w:rPr>
      </w:pPr>
    </w:p>
    <w:p w14:paraId="7BD6B0E8" w14:textId="77777777" w:rsidR="00237B88" w:rsidRDefault="003B29DA" w:rsidP="003F566E">
      <w:pPr>
        <w:autoSpaceDE w:val="0"/>
        <w:autoSpaceDN w:val="0"/>
        <w:adjustRightInd w:val="0"/>
        <w:spacing w:after="0" w:line="240" w:lineRule="auto"/>
        <w:jc w:val="both"/>
        <w:rPr>
          <w:sz w:val="24"/>
          <w:szCs w:val="24"/>
        </w:rPr>
      </w:pPr>
      <w:r w:rsidRPr="00FF5F1D">
        <w:rPr>
          <w:sz w:val="24"/>
          <w:szCs w:val="24"/>
        </w:rPr>
        <w:t xml:space="preserve">Program 14: Strategická podpora verejného života a rozvoja regiónu bol programom, ktorý bol </w:t>
      </w:r>
      <w:proofErr w:type="spellStart"/>
      <w:r w:rsidRPr="00FF5F1D">
        <w:rPr>
          <w:sz w:val="24"/>
          <w:szCs w:val="24"/>
        </w:rPr>
        <w:t>pandemickou</w:t>
      </w:r>
      <w:proofErr w:type="spellEnd"/>
      <w:r w:rsidRPr="00FF5F1D">
        <w:rPr>
          <w:sz w:val="24"/>
          <w:szCs w:val="24"/>
        </w:rPr>
        <w:t xml:space="preserve"> situáciou zasiahnutý najviac. BSK pomocou tohto programu poskyt</w:t>
      </w:r>
      <w:r w:rsidR="00F0599C" w:rsidRPr="00FF5F1D">
        <w:rPr>
          <w:sz w:val="24"/>
          <w:szCs w:val="24"/>
        </w:rPr>
        <w:t xml:space="preserve">uje </w:t>
      </w:r>
      <w:proofErr w:type="spellStart"/>
      <w:r w:rsidRPr="00FF5F1D">
        <w:rPr>
          <w:sz w:val="24"/>
          <w:szCs w:val="24"/>
        </w:rPr>
        <w:t>dotáci</w:t>
      </w:r>
      <w:r w:rsidR="00F0599C" w:rsidRPr="00FF5F1D">
        <w:rPr>
          <w:sz w:val="24"/>
          <w:szCs w:val="24"/>
        </w:rPr>
        <w:t>ie</w:t>
      </w:r>
      <w:proofErr w:type="spellEnd"/>
      <w:r w:rsidRPr="00FF5F1D">
        <w:rPr>
          <w:sz w:val="24"/>
          <w:szCs w:val="24"/>
        </w:rPr>
        <w:t xml:space="preserve"> z vlastných príjmov tretím osobám. Táto činnosť je nad rámec povinných originálnych kompetencií</w:t>
      </w:r>
      <w:r w:rsidR="00F0599C" w:rsidRPr="00FF5F1D">
        <w:rPr>
          <w:sz w:val="24"/>
          <w:szCs w:val="24"/>
        </w:rPr>
        <w:t>,</w:t>
      </w:r>
      <w:r w:rsidRPr="00FF5F1D">
        <w:rPr>
          <w:sz w:val="24"/>
          <w:szCs w:val="24"/>
        </w:rPr>
        <w:t xml:space="preserve"> a jej vykonávanie je priamo </w:t>
      </w:r>
      <w:r w:rsidRPr="00FF5F1D">
        <w:rPr>
          <w:sz w:val="24"/>
          <w:szCs w:val="24"/>
        </w:rPr>
        <w:lastRenderedPageBreak/>
        <w:t xml:space="preserve">naviazané na fakt, že región si v prvom rade </w:t>
      </w:r>
      <w:r w:rsidR="00F0599C" w:rsidRPr="00FF5F1D">
        <w:rPr>
          <w:sz w:val="24"/>
          <w:szCs w:val="24"/>
        </w:rPr>
        <w:t xml:space="preserve">musí </w:t>
      </w:r>
      <w:r w:rsidRPr="00FF5F1D">
        <w:rPr>
          <w:sz w:val="24"/>
          <w:szCs w:val="24"/>
        </w:rPr>
        <w:t>pln</w:t>
      </w:r>
      <w:r w:rsidR="00F0599C" w:rsidRPr="00FF5F1D">
        <w:rPr>
          <w:sz w:val="24"/>
          <w:szCs w:val="24"/>
        </w:rPr>
        <w:t>iť</w:t>
      </w:r>
      <w:r w:rsidRPr="00FF5F1D">
        <w:rPr>
          <w:sz w:val="24"/>
          <w:szCs w:val="24"/>
        </w:rPr>
        <w:t xml:space="preserve"> prenesené a </w:t>
      </w:r>
      <w:r w:rsidR="00F0599C" w:rsidRPr="00FF5F1D">
        <w:rPr>
          <w:sz w:val="24"/>
          <w:szCs w:val="24"/>
        </w:rPr>
        <w:t xml:space="preserve">svoje </w:t>
      </w:r>
      <w:r w:rsidRPr="00FF5F1D">
        <w:rPr>
          <w:sz w:val="24"/>
          <w:szCs w:val="24"/>
        </w:rPr>
        <w:t xml:space="preserve">originálne kompetencie a následne podľa možnosti </w:t>
      </w:r>
      <w:r w:rsidR="00F0599C" w:rsidRPr="00FF5F1D">
        <w:rPr>
          <w:sz w:val="24"/>
          <w:szCs w:val="24"/>
        </w:rPr>
        <w:t xml:space="preserve">môže </w:t>
      </w:r>
      <w:r w:rsidRPr="00FF5F1D">
        <w:rPr>
          <w:sz w:val="24"/>
          <w:szCs w:val="24"/>
        </w:rPr>
        <w:t>podpor</w:t>
      </w:r>
      <w:r w:rsidR="00F0599C" w:rsidRPr="00FF5F1D">
        <w:rPr>
          <w:sz w:val="24"/>
          <w:szCs w:val="24"/>
        </w:rPr>
        <w:t>iť</w:t>
      </w:r>
      <w:r w:rsidRPr="00FF5F1D">
        <w:rPr>
          <w:sz w:val="24"/>
          <w:szCs w:val="24"/>
        </w:rPr>
        <w:t xml:space="preserve"> prostredníctvom dotácií tretí sektor, resp. miestne samosprávy. </w:t>
      </w:r>
    </w:p>
    <w:p w14:paraId="52A1BE46" w14:textId="77777777" w:rsidR="002113BF" w:rsidRDefault="00237B88" w:rsidP="003F566E">
      <w:pPr>
        <w:spacing w:line="240" w:lineRule="auto"/>
        <w:jc w:val="both"/>
        <w:rPr>
          <w:sz w:val="24"/>
          <w:szCs w:val="24"/>
        </w:rPr>
      </w:pPr>
      <w:r w:rsidRPr="00237B88">
        <w:rPr>
          <w:sz w:val="24"/>
          <w:szCs w:val="24"/>
        </w:rPr>
        <w:t>V rámci úsporných opatrení z dôvodu výpadku daňových príjmov, spôsobeného pandémiou, kraj v máji pozastavil čerpanie výdavkov v rámci Bratislavskej regionálnej dotačnej schémy (BRDS) a zrušil všetky výzvy pre rok 2020. Z programu sa čerpa</w:t>
      </w:r>
      <w:r>
        <w:rPr>
          <w:sz w:val="24"/>
          <w:szCs w:val="24"/>
        </w:rPr>
        <w:t>li</w:t>
      </w:r>
      <w:r w:rsidRPr="00237B88">
        <w:rPr>
          <w:sz w:val="24"/>
          <w:szCs w:val="24"/>
        </w:rPr>
        <w:t xml:space="preserve"> individuálne dotácie, ktoré </w:t>
      </w:r>
      <w:r>
        <w:rPr>
          <w:sz w:val="24"/>
          <w:szCs w:val="24"/>
        </w:rPr>
        <w:t>boli</w:t>
      </w:r>
      <w:r w:rsidRPr="00237B88">
        <w:rPr>
          <w:sz w:val="24"/>
          <w:szCs w:val="24"/>
        </w:rPr>
        <w:t xml:space="preserve"> pod gesciou predsedu BSK. </w:t>
      </w:r>
    </w:p>
    <w:p w14:paraId="4AA86852" w14:textId="77777777" w:rsidR="004873A2" w:rsidRDefault="002113BF" w:rsidP="003F566E">
      <w:pPr>
        <w:spacing w:line="240" w:lineRule="auto"/>
        <w:jc w:val="both"/>
        <w:rPr>
          <w:b/>
          <w:bCs/>
          <w:sz w:val="24"/>
          <w:szCs w:val="24"/>
        </w:rPr>
      </w:pPr>
      <w:r>
        <w:rPr>
          <w:sz w:val="24"/>
          <w:szCs w:val="24"/>
        </w:rPr>
        <w:t xml:space="preserve">V roku 2020 požiadalo o dotáciu 182 žiadateľov v celkovom objeme 313 740 EUR. Celkovo použilo dotáciu 171 žiadateľov v objeme 290 606,80 EUR. Z celkového počtu žiadateľov, 6 čerpali kapitálové výdavky vo </w:t>
      </w:r>
      <w:r w:rsidRPr="00640942">
        <w:rPr>
          <w:sz w:val="24"/>
          <w:szCs w:val="24"/>
        </w:rPr>
        <w:t xml:space="preserve">výške 13 500 EUR a ostatných 165 </w:t>
      </w:r>
      <w:r w:rsidR="004873A2" w:rsidRPr="00640942">
        <w:rPr>
          <w:sz w:val="24"/>
          <w:szCs w:val="24"/>
        </w:rPr>
        <w:t xml:space="preserve">žiadateľov čerpalo </w:t>
      </w:r>
      <w:r w:rsidRPr="00640942">
        <w:rPr>
          <w:sz w:val="24"/>
          <w:szCs w:val="24"/>
        </w:rPr>
        <w:t xml:space="preserve">bežné výdavky vo výške </w:t>
      </w:r>
      <w:r w:rsidR="004873A2" w:rsidRPr="00640942">
        <w:rPr>
          <w:sz w:val="24"/>
          <w:szCs w:val="24"/>
        </w:rPr>
        <w:t>277 106,80 EUR</w:t>
      </w:r>
      <w:r w:rsidR="004873A2" w:rsidRPr="00640942">
        <w:rPr>
          <w:b/>
          <w:bCs/>
          <w:sz w:val="24"/>
          <w:szCs w:val="24"/>
        </w:rPr>
        <w:t>.</w:t>
      </w:r>
      <w:r w:rsidR="004873A2">
        <w:rPr>
          <w:b/>
          <w:bCs/>
          <w:sz w:val="24"/>
          <w:szCs w:val="24"/>
        </w:rPr>
        <w:t xml:space="preserve"> </w:t>
      </w:r>
    </w:p>
    <w:p w14:paraId="18EB6182" w14:textId="2D4BA93E" w:rsidR="00237B88" w:rsidRPr="00736B5A" w:rsidRDefault="00237B88" w:rsidP="00237B88">
      <w:pPr>
        <w:jc w:val="both"/>
        <w:rPr>
          <w:b/>
          <w:bCs/>
          <w:sz w:val="24"/>
          <w:szCs w:val="24"/>
        </w:rPr>
      </w:pPr>
      <w:r w:rsidRPr="00736B5A">
        <w:rPr>
          <w:b/>
          <w:bCs/>
          <w:sz w:val="24"/>
          <w:szCs w:val="24"/>
        </w:rPr>
        <w:t>Viac ako 50% čerpaných finančných prostriedkov podporilo kultúru a umenie v našom kraji.</w:t>
      </w:r>
    </w:p>
    <w:p w14:paraId="405A13EE" w14:textId="7FBCF80B" w:rsidR="0049018D" w:rsidRDefault="00095DDA" w:rsidP="00095DDA">
      <w:pPr>
        <w:spacing w:after="0" w:line="240" w:lineRule="auto"/>
        <w:jc w:val="both"/>
        <w:rPr>
          <w:rFonts w:cs="Calibri"/>
          <w:sz w:val="24"/>
          <w:szCs w:val="24"/>
          <w:u w:val="single"/>
          <w:lang w:eastAsia="sk-SK"/>
        </w:rPr>
      </w:pPr>
      <w:r>
        <w:rPr>
          <w:rFonts w:cs="Calibri"/>
          <w:sz w:val="24"/>
          <w:szCs w:val="24"/>
          <w:u w:val="single"/>
          <w:lang w:eastAsia="sk-SK"/>
        </w:rPr>
        <w:t xml:space="preserve">Graf č. </w:t>
      </w:r>
      <w:r w:rsidR="003159A8">
        <w:rPr>
          <w:rFonts w:cs="Calibri"/>
          <w:sz w:val="24"/>
          <w:szCs w:val="24"/>
          <w:u w:val="single"/>
          <w:lang w:eastAsia="sk-SK"/>
        </w:rPr>
        <w:t>1</w:t>
      </w:r>
      <w:r w:rsidR="00B45481">
        <w:rPr>
          <w:rFonts w:cs="Calibri"/>
          <w:sz w:val="24"/>
          <w:szCs w:val="24"/>
          <w:u w:val="single"/>
          <w:lang w:eastAsia="sk-SK"/>
        </w:rPr>
        <w:t>8</w:t>
      </w:r>
      <w:r>
        <w:rPr>
          <w:rFonts w:cs="Calibri"/>
          <w:sz w:val="24"/>
          <w:szCs w:val="24"/>
          <w:u w:val="single"/>
          <w:lang w:eastAsia="sk-SK"/>
        </w:rPr>
        <w:t xml:space="preserve">  : </w:t>
      </w:r>
      <w:r w:rsidRPr="00095DDA">
        <w:rPr>
          <w:rFonts w:cs="Calibri"/>
          <w:sz w:val="24"/>
          <w:szCs w:val="24"/>
          <w:u w:val="single"/>
          <w:lang w:eastAsia="sk-SK"/>
        </w:rPr>
        <w:t xml:space="preserve">Podiel </w:t>
      </w:r>
      <w:r>
        <w:rPr>
          <w:rFonts w:cs="Calibri"/>
          <w:sz w:val="24"/>
          <w:szCs w:val="24"/>
          <w:u w:val="single"/>
          <w:lang w:eastAsia="sk-SK"/>
        </w:rPr>
        <w:t xml:space="preserve">okresov BSK na celkovom skutočnom čerpaní </w:t>
      </w:r>
      <w:r w:rsidRPr="00095DDA">
        <w:rPr>
          <w:rFonts w:cs="Calibri"/>
          <w:sz w:val="24"/>
          <w:szCs w:val="24"/>
          <w:u w:val="single"/>
          <w:lang w:eastAsia="sk-SK"/>
        </w:rPr>
        <w:t xml:space="preserve">dotácii </w:t>
      </w:r>
      <w:r>
        <w:rPr>
          <w:rFonts w:cs="Calibri"/>
          <w:sz w:val="24"/>
          <w:szCs w:val="24"/>
          <w:u w:val="single"/>
          <w:lang w:eastAsia="sk-SK"/>
        </w:rPr>
        <w:t xml:space="preserve">z rozpočtu </w:t>
      </w:r>
      <w:r w:rsidR="0025238E" w:rsidRPr="0025238E">
        <w:rPr>
          <w:rFonts w:cs="Calibri"/>
          <w:sz w:val="24"/>
          <w:szCs w:val="24"/>
          <w:u w:val="single"/>
          <w:lang w:eastAsia="sk-SK"/>
        </w:rPr>
        <w:t>Program</w:t>
      </w:r>
      <w:r w:rsidR="0025238E">
        <w:rPr>
          <w:rFonts w:cs="Calibri"/>
          <w:sz w:val="24"/>
          <w:szCs w:val="24"/>
          <w:u w:val="single"/>
          <w:lang w:eastAsia="sk-SK"/>
        </w:rPr>
        <w:t>u</w:t>
      </w:r>
      <w:r w:rsidR="0025238E" w:rsidRPr="0025238E">
        <w:rPr>
          <w:rFonts w:cs="Calibri"/>
          <w:sz w:val="24"/>
          <w:szCs w:val="24"/>
          <w:u w:val="single"/>
          <w:lang w:eastAsia="sk-SK"/>
        </w:rPr>
        <w:t xml:space="preserve"> 14</w:t>
      </w:r>
    </w:p>
    <w:p w14:paraId="5FD18005" w14:textId="2474D919" w:rsidR="0049018D" w:rsidRDefault="0049018D" w:rsidP="00095DDA">
      <w:pPr>
        <w:spacing w:after="0" w:line="240" w:lineRule="auto"/>
        <w:jc w:val="both"/>
        <w:rPr>
          <w:rFonts w:cs="Calibri"/>
          <w:sz w:val="24"/>
          <w:szCs w:val="24"/>
          <w:u w:val="single"/>
          <w:lang w:eastAsia="sk-SK"/>
        </w:rPr>
      </w:pPr>
      <w:r>
        <w:rPr>
          <w:noProof/>
        </w:rPr>
        <w:drawing>
          <wp:inline distT="0" distB="0" distL="0" distR="0" wp14:anchorId="31B95532" wp14:editId="2A596FE8">
            <wp:extent cx="6885829" cy="2663687"/>
            <wp:effectExtent l="0" t="0" r="0" b="3810"/>
            <wp:docPr id="1" name="Graf 1">
              <a:extLst xmlns:a="http://schemas.openxmlformats.org/drawingml/2006/main">
                <a:ext uri="{FF2B5EF4-FFF2-40B4-BE49-F238E27FC236}">
                  <a16:creationId xmlns:a16="http://schemas.microsoft.com/office/drawing/2014/main" id="{CCC7A787-F3E1-4440-B1F4-83FFBE124C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0F27805" w14:textId="77777777" w:rsidR="00377402" w:rsidRDefault="00377402" w:rsidP="00557941">
      <w:pPr>
        <w:spacing w:after="0" w:line="240" w:lineRule="auto"/>
        <w:jc w:val="both"/>
        <w:rPr>
          <w:rFonts w:cs="Calibri"/>
          <w:sz w:val="24"/>
          <w:szCs w:val="24"/>
          <w:lang w:eastAsia="sk-SK"/>
        </w:rPr>
      </w:pPr>
    </w:p>
    <w:p w14:paraId="1FB5B9FD" w14:textId="155C232B" w:rsidR="00377402" w:rsidRPr="00F40B7E" w:rsidRDefault="00377402" w:rsidP="00557941">
      <w:pPr>
        <w:spacing w:after="0" w:line="240" w:lineRule="auto"/>
        <w:jc w:val="both"/>
        <w:rPr>
          <w:rFonts w:cs="Calibri"/>
          <w:sz w:val="24"/>
          <w:szCs w:val="24"/>
          <w:u w:val="single"/>
          <w:lang w:eastAsia="sk-SK"/>
        </w:rPr>
      </w:pPr>
      <w:r>
        <w:rPr>
          <w:rFonts w:cs="Calibri"/>
          <w:sz w:val="24"/>
          <w:szCs w:val="24"/>
          <w:u w:val="single"/>
          <w:lang w:eastAsia="sk-SK"/>
        </w:rPr>
        <w:t>Graf č. 1</w:t>
      </w:r>
      <w:r w:rsidR="00B45481">
        <w:rPr>
          <w:rFonts w:cs="Calibri"/>
          <w:sz w:val="24"/>
          <w:szCs w:val="24"/>
          <w:u w:val="single"/>
          <w:lang w:eastAsia="sk-SK"/>
        </w:rPr>
        <w:t>9</w:t>
      </w:r>
      <w:r>
        <w:rPr>
          <w:rFonts w:cs="Calibri"/>
          <w:sz w:val="24"/>
          <w:szCs w:val="24"/>
          <w:u w:val="single"/>
          <w:lang w:eastAsia="sk-SK"/>
        </w:rPr>
        <w:t xml:space="preserve"> : </w:t>
      </w:r>
      <w:r w:rsidRPr="00095DDA">
        <w:rPr>
          <w:rFonts w:cs="Calibri"/>
          <w:sz w:val="24"/>
          <w:szCs w:val="24"/>
          <w:u w:val="single"/>
          <w:lang w:eastAsia="sk-SK"/>
        </w:rPr>
        <w:t xml:space="preserve">Podiel </w:t>
      </w:r>
      <w:r>
        <w:rPr>
          <w:rFonts w:cs="Calibri"/>
          <w:sz w:val="24"/>
          <w:szCs w:val="24"/>
          <w:u w:val="single"/>
          <w:lang w:eastAsia="sk-SK"/>
        </w:rPr>
        <w:t>oblast</w:t>
      </w:r>
      <w:r w:rsidR="00F40B7E">
        <w:rPr>
          <w:rFonts w:cs="Calibri"/>
          <w:sz w:val="24"/>
          <w:szCs w:val="24"/>
          <w:u w:val="single"/>
          <w:lang w:eastAsia="sk-SK"/>
        </w:rPr>
        <w:t xml:space="preserve">í individuálnych dotácii </w:t>
      </w:r>
      <w:r>
        <w:rPr>
          <w:rFonts w:cs="Calibri"/>
          <w:sz w:val="24"/>
          <w:szCs w:val="24"/>
          <w:u w:val="single"/>
          <w:lang w:eastAsia="sk-SK"/>
        </w:rPr>
        <w:t xml:space="preserve">na celkovom skutočnom čerpaní </w:t>
      </w:r>
      <w:r w:rsidRPr="00095DDA">
        <w:rPr>
          <w:rFonts w:cs="Calibri"/>
          <w:sz w:val="24"/>
          <w:szCs w:val="24"/>
          <w:u w:val="single"/>
          <w:lang w:eastAsia="sk-SK"/>
        </w:rPr>
        <w:t xml:space="preserve">dotácii </w:t>
      </w:r>
      <w:r>
        <w:rPr>
          <w:rFonts w:cs="Calibri"/>
          <w:sz w:val="24"/>
          <w:szCs w:val="24"/>
          <w:u w:val="single"/>
          <w:lang w:eastAsia="sk-SK"/>
        </w:rPr>
        <w:t>z </w:t>
      </w:r>
      <w:r w:rsidRPr="0025238E">
        <w:rPr>
          <w:rFonts w:cs="Calibri"/>
          <w:sz w:val="24"/>
          <w:szCs w:val="24"/>
          <w:u w:val="single"/>
          <w:lang w:eastAsia="sk-SK"/>
        </w:rPr>
        <w:t>Program</w:t>
      </w:r>
      <w:r>
        <w:rPr>
          <w:rFonts w:cs="Calibri"/>
          <w:sz w:val="24"/>
          <w:szCs w:val="24"/>
          <w:u w:val="single"/>
          <w:lang w:eastAsia="sk-SK"/>
        </w:rPr>
        <w:t>u</w:t>
      </w:r>
      <w:r w:rsidRPr="0025238E">
        <w:rPr>
          <w:rFonts w:cs="Calibri"/>
          <w:sz w:val="24"/>
          <w:szCs w:val="24"/>
          <w:u w:val="single"/>
          <w:lang w:eastAsia="sk-SK"/>
        </w:rPr>
        <w:t xml:space="preserve"> 14</w:t>
      </w:r>
    </w:p>
    <w:p w14:paraId="1AFAF8FF" w14:textId="13185DF2" w:rsidR="00377402" w:rsidRDefault="00377402" w:rsidP="00557941">
      <w:pPr>
        <w:spacing w:after="0" w:line="240" w:lineRule="auto"/>
        <w:jc w:val="both"/>
        <w:rPr>
          <w:rFonts w:cs="Calibri"/>
          <w:sz w:val="24"/>
          <w:szCs w:val="24"/>
          <w:lang w:eastAsia="sk-SK"/>
        </w:rPr>
      </w:pPr>
      <w:r>
        <w:rPr>
          <w:noProof/>
        </w:rPr>
        <w:drawing>
          <wp:inline distT="0" distB="0" distL="0" distR="0" wp14:anchorId="28D8B946" wp14:editId="2A60DCE7">
            <wp:extent cx="6830170" cy="2544417"/>
            <wp:effectExtent l="0" t="0" r="8890" b="889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0B0C229E" w14:textId="4251217D" w:rsidR="00095DDA" w:rsidRPr="00225DB1" w:rsidRDefault="00225DB1" w:rsidP="00557941">
      <w:pPr>
        <w:spacing w:after="0" w:line="240" w:lineRule="auto"/>
        <w:jc w:val="both"/>
        <w:rPr>
          <w:rFonts w:cs="Calibri"/>
          <w:sz w:val="24"/>
          <w:szCs w:val="24"/>
          <w:lang w:eastAsia="sk-SK"/>
        </w:rPr>
      </w:pPr>
      <w:proofErr w:type="spellStart"/>
      <w:r>
        <w:rPr>
          <w:rFonts w:cs="Calibri"/>
          <w:sz w:val="24"/>
          <w:szCs w:val="24"/>
          <w:lang w:eastAsia="sk-SK"/>
        </w:rPr>
        <w:t>P</w:t>
      </w:r>
      <w:r w:rsidRPr="00C7599E">
        <w:rPr>
          <w:rFonts w:cs="Calibri"/>
          <w:sz w:val="24"/>
          <w:szCs w:val="24"/>
          <w:lang w:eastAsia="sk-SK"/>
        </w:rPr>
        <w:t>ehľad</w:t>
      </w:r>
      <w:proofErr w:type="spellEnd"/>
      <w:r w:rsidRPr="00C7599E">
        <w:rPr>
          <w:rFonts w:cs="Calibri"/>
          <w:sz w:val="24"/>
          <w:szCs w:val="24"/>
          <w:lang w:eastAsia="sk-SK"/>
        </w:rPr>
        <w:t xml:space="preserve"> skutočne vyčerpaných dotácií z rozpočtu BSK </w:t>
      </w:r>
      <w:r>
        <w:rPr>
          <w:rFonts w:cs="Calibri"/>
          <w:sz w:val="24"/>
          <w:szCs w:val="24"/>
          <w:lang w:eastAsia="sk-SK"/>
        </w:rPr>
        <w:t xml:space="preserve">v rámci Podprogramu: </w:t>
      </w:r>
      <w:r w:rsidRPr="00095DDA">
        <w:rPr>
          <w:rFonts w:cs="Calibri"/>
          <w:sz w:val="24"/>
          <w:szCs w:val="24"/>
          <w:lang w:eastAsia="sk-SK"/>
        </w:rPr>
        <w:t>14.2. Individuálne dotácie</w:t>
      </w:r>
      <w:r>
        <w:rPr>
          <w:rFonts w:cs="Calibri"/>
          <w:sz w:val="24"/>
          <w:szCs w:val="24"/>
          <w:lang w:eastAsia="sk-SK"/>
        </w:rPr>
        <w:t>:</w:t>
      </w:r>
    </w:p>
    <w:p w14:paraId="6B98BF71" w14:textId="77777777" w:rsidR="00095DDA" w:rsidRDefault="00095DDA" w:rsidP="00557941">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2182"/>
        <w:gridCol w:w="2975"/>
        <w:gridCol w:w="2337"/>
        <w:gridCol w:w="1320"/>
        <w:gridCol w:w="691"/>
        <w:gridCol w:w="951"/>
      </w:tblGrid>
      <w:tr w:rsidR="001139E3" w:rsidRPr="001139E3" w14:paraId="74B22CF9" w14:textId="77777777" w:rsidTr="00225DB1">
        <w:trPr>
          <w:trHeight w:val="495"/>
          <w:tblHeader/>
        </w:trPr>
        <w:tc>
          <w:tcPr>
            <w:tcW w:w="1043" w:type="pct"/>
            <w:tcBorders>
              <w:top w:val="nil"/>
              <w:left w:val="nil"/>
              <w:bottom w:val="nil"/>
              <w:right w:val="single" w:sz="8" w:space="0" w:color="auto"/>
            </w:tcBorders>
            <w:shd w:val="clear" w:color="auto" w:fill="auto"/>
            <w:noWrap/>
            <w:vAlign w:val="bottom"/>
            <w:hideMark/>
          </w:tcPr>
          <w:p w14:paraId="07DB2D80" w14:textId="77777777" w:rsidR="001139E3" w:rsidRPr="001139E3" w:rsidRDefault="001139E3" w:rsidP="001139E3">
            <w:pPr>
              <w:spacing w:after="0" w:line="240" w:lineRule="auto"/>
              <w:rPr>
                <w:rFonts w:cs="Calibri"/>
                <w:color w:val="000000"/>
                <w:sz w:val="20"/>
                <w:szCs w:val="20"/>
                <w:lang w:eastAsia="sk-SK"/>
              </w:rPr>
            </w:pPr>
            <w:r w:rsidRPr="001139E3">
              <w:rPr>
                <w:rFonts w:cs="Calibri"/>
                <w:color w:val="000000"/>
                <w:sz w:val="20"/>
                <w:szCs w:val="20"/>
                <w:lang w:eastAsia="sk-SK"/>
              </w:rPr>
              <w:t> </w:t>
            </w:r>
          </w:p>
        </w:tc>
        <w:tc>
          <w:tcPr>
            <w:tcW w:w="1423" w:type="pct"/>
            <w:tcBorders>
              <w:top w:val="single" w:sz="8" w:space="0" w:color="auto"/>
              <w:left w:val="nil"/>
              <w:bottom w:val="single" w:sz="8" w:space="0" w:color="auto"/>
              <w:right w:val="single" w:sz="8" w:space="0" w:color="auto"/>
            </w:tcBorders>
            <w:shd w:val="clear" w:color="auto" w:fill="auto"/>
            <w:vAlign w:val="center"/>
            <w:hideMark/>
          </w:tcPr>
          <w:p w14:paraId="7E6D3222" w14:textId="77777777" w:rsidR="001139E3" w:rsidRPr="001139E3" w:rsidRDefault="001139E3" w:rsidP="001139E3">
            <w:pPr>
              <w:spacing w:after="0" w:line="240" w:lineRule="auto"/>
              <w:jc w:val="center"/>
              <w:rPr>
                <w:rFonts w:ascii="Arial" w:hAnsi="Arial" w:cs="Arial"/>
                <w:b/>
                <w:bCs/>
                <w:color w:val="000000"/>
                <w:sz w:val="18"/>
                <w:szCs w:val="18"/>
                <w:lang w:eastAsia="sk-SK"/>
              </w:rPr>
            </w:pPr>
            <w:r w:rsidRPr="001139E3">
              <w:rPr>
                <w:rFonts w:ascii="Arial" w:hAnsi="Arial" w:cs="Arial"/>
                <w:b/>
                <w:bCs/>
                <w:color w:val="000000"/>
                <w:sz w:val="18"/>
                <w:szCs w:val="18"/>
                <w:lang w:eastAsia="sk-SK"/>
              </w:rPr>
              <w:t>Vykonávateľ</w:t>
            </w:r>
          </w:p>
        </w:tc>
        <w:tc>
          <w:tcPr>
            <w:tcW w:w="1118" w:type="pct"/>
            <w:tcBorders>
              <w:top w:val="single" w:sz="8" w:space="0" w:color="auto"/>
              <w:left w:val="nil"/>
              <w:bottom w:val="single" w:sz="8" w:space="0" w:color="auto"/>
              <w:right w:val="single" w:sz="8" w:space="0" w:color="auto"/>
            </w:tcBorders>
            <w:shd w:val="clear" w:color="auto" w:fill="auto"/>
            <w:vAlign w:val="center"/>
            <w:hideMark/>
          </w:tcPr>
          <w:p w14:paraId="3E2940BF" w14:textId="77777777" w:rsidR="001139E3" w:rsidRPr="001139E3" w:rsidRDefault="001139E3" w:rsidP="001139E3">
            <w:pPr>
              <w:spacing w:after="0" w:line="240" w:lineRule="auto"/>
              <w:jc w:val="center"/>
              <w:rPr>
                <w:rFonts w:ascii="Arial" w:hAnsi="Arial" w:cs="Arial"/>
                <w:b/>
                <w:bCs/>
                <w:color w:val="000000"/>
                <w:sz w:val="18"/>
                <w:szCs w:val="18"/>
                <w:lang w:eastAsia="sk-SK"/>
              </w:rPr>
            </w:pPr>
            <w:r w:rsidRPr="001139E3">
              <w:rPr>
                <w:rFonts w:ascii="Arial" w:hAnsi="Arial" w:cs="Arial"/>
                <w:b/>
                <w:bCs/>
                <w:color w:val="000000"/>
                <w:sz w:val="18"/>
                <w:szCs w:val="18"/>
                <w:lang w:eastAsia="sk-SK"/>
              </w:rPr>
              <w:t>Názov projektu</w:t>
            </w:r>
          </w:p>
        </w:tc>
        <w:tc>
          <w:tcPr>
            <w:tcW w:w="631" w:type="pct"/>
            <w:tcBorders>
              <w:top w:val="single" w:sz="8" w:space="0" w:color="auto"/>
              <w:left w:val="nil"/>
              <w:bottom w:val="single" w:sz="8" w:space="0" w:color="auto"/>
              <w:right w:val="single" w:sz="8" w:space="0" w:color="auto"/>
            </w:tcBorders>
            <w:shd w:val="clear" w:color="auto" w:fill="auto"/>
            <w:vAlign w:val="center"/>
            <w:hideMark/>
          </w:tcPr>
          <w:p w14:paraId="4FA5BA6D" w14:textId="77777777" w:rsidR="001139E3" w:rsidRPr="001139E3" w:rsidRDefault="001139E3" w:rsidP="001139E3">
            <w:pPr>
              <w:spacing w:after="0" w:line="240" w:lineRule="auto"/>
              <w:jc w:val="center"/>
              <w:rPr>
                <w:rFonts w:ascii="Arial" w:hAnsi="Arial" w:cs="Arial"/>
                <w:b/>
                <w:bCs/>
                <w:color w:val="000000"/>
                <w:sz w:val="18"/>
                <w:szCs w:val="18"/>
                <w:lang w:eastAsia="sk-SK"/>
              </w:rPr>
            </w:pPr>
            <w:r w:rsidRPr="001139E3">
              <w:rPr>
                <w:rFonts w:ascii="Arial" w:hAnsi="Arial" w:cs="Arial"/>
                <w:b/>
                <w:bCs/>
                <w:color w:val="000000"/>
                <w:sz w:val="18"/>
                <w:szCs w:val="18"/>
                <w:lang w:eastAsia="sk-SK"/>
              </w:rPr>
              <w:t>Okres</w:t>
            </w:r>
          </w:p>
        </w:tc>
        <w:tc>
          <w:tcPr>
            <w:tcW w:w="330" w:type="pct"/>
            <w:tcBorders>
              <w:top w:val="single" w:sz="8" w:space="0" w:color="auto"/>
              <w:left w:val="nil"/>
              <w:bottom w:val="single" w:sz="8" w:space="0" w:color="auto"/>
              <w:right w:val="single" w:sz="8" w:space="0" w:color="auto"/>
            </w:tcBorders>
            <w:shd w:val="clear" w:color="auto" w:fill="auto"/>
            <w:noWrap/>
            <w:vAlign w:val="center"/>
            <w:hideMark/>
          </w:tcPr>
          <w:p w14:paraId="23EDB5AD" w14:textId="77777777" w:rsidR="001139E3" w:rsidRPr="001139E3" w:rsidRDefault="001139E3" w:rsidP="001139E3">
            <w:pPr>
              <w:spacing w:after="0" w:line="240" w:lineRule="auto"/>
              <w:jc w:val="center"/>
              <w:rPr>
                <w:rFonts w:ascii="Arial" w:hAnsi="Arial" w:cs="Arial"/>
                <w:b/>
                <w:bCs/>
                <w:color w:val="000000"/>
                <w:sz w:val="18"/>
                <w:szCs w:val="18"/>
                <w:lang w:eastAsia="sk-SK"/>
              </w:rPr>
            </w:pPr>
            <w:r w:rsidRPr="001139E3">
              <w:rPr>
                <w:rFonts w:ascii="Arial" w:hAnsi="Arial" w:cs="Arial"/>
                <w:b/>
                <w:bCs/>
                <w:color w:val="000000"/>
                <w:sz w:val="18"/>
                <w:szCs w:val="18"/>
                <w:lang w:eastAsia="sk-SK"/>
              </w:rPr>
              <w:t>BV/KV</w:t>
            </w:r>
          </w:p>
        </w:tc>
        <w:tc>
          <w:tcPr>
            <w:tcW w:w="455" w:type="pct"/>
            <w:tcBorders>
              <w:top w:val="single" w:sz="8" w:space="0" w:color="auto"/>
              <w:left w:val="nil"/>
              <w:bottom w:val="single" w:sz="8" w:space="0" w:color="auto"/>
              <w:right w:val="single" w:sz="8" w:space="0" w:color="auto"/>
            </w:tcBorders>
            <w:shd w:val="clear" w:color="auto" w:fill="auto"/>
            <w:vAlign w:val="center"/>
            <w:hideMark/>
          </w:tcPr>
          <w:p w14:paraId="715F6BA9" w14:textId="77777777" w:rsidR="001139E3" w:rsidRPr="001139E3" w:rsidRDefault="001139E3" w:rsidP="001139E3">
            <w:pPr>
              <w:spacing w:after="0" w:line="240" w:lineRule="auto"/>
              <w:jc w:val="center"/>
              <w:rPr>
                <w:rFonts w:ascii="Arial" w:hAnsi="Arial" w:cs="Arial"/>
                <w:b/>
                <w:bCs/>
                <w:color w:val="000000"/>
                <w:sz w:val="18"/>
                <w:szCs w:val="18"/>
                <w:lang w:eastAsia="sk-SK"/>
              </w:rPr>
            </w:pPr>
            <w:r w:rsidRPr="001139E3">
              <w:rPr>
                <w:rFonts w:ascii="Arial" w:hAnsi="Arial" w:cs="Arial"/>
                <w:b/>
                <w:bCs/>
                <w:color w:val="000000"/>
                <w:sz w:val="18"/>
                <w:szCs w:val="18"/>
                <w:lang w:eastAsia="sk-SK"/>
              </w:rPr>
              <w:t>Skutočné čerpanie</w:t>
            </w:r>
          </w:p>
        </w:tc>
      </w:tr>
      <w:tr w:rsidR="001139E3" w:rsidRPr="001139E3" w14:paraId="739F3646" w14:textId="77777777" w:rsidTr="00225DB1">
        <w:trPr>
          <w:trHeight w:val="330"/>
          <w:tblHeader/>
        </w:trPr>
        <w:tc>
          <w:tcPr>
            <w:tcW w:w="5000" w:type="pct"/>
            <w:gridSpan w:val="6"/>
            <w:tcBorders>
              <w:top w:val="nil"/>
              <w:left w:val="single" w:sz="8" w:space="0" w:color="auto"/>
              <w:bottom w:val="single" w:sz="8" w:space="0" w:color="auto"/>
              <w:right w:val="nil"/>
            </w:tcBorders>
            <w:shd w:val="clear" w:color="000000" w:fill="DCE6F1"/>
            <w:noWrap/>
            <w:vAlign w:val="center"/>
            <w:hideMark/>
          </w:tcPr>
          <w:p w14:paraId="727452F3" w14:textId="77777777" w:rsidR="001139E3" w:rsidRPr="001139E3" w:rsidRDefault="001139E3" w:rsidP="001139E3">
            <w:pPr>
              <w:spacing w:after="0" w:line="240" w:lineRule="auto"/>
              <w:jc w:val="right"/>
              <w:rPr>
                <w:rFonts w:ascii="Arial" w:hAnsi="Arial" w:cs="Arial"/>
                <w:b/>
                <w:bCs/>
                <w:color w:val="000000"/>
                <w:sz w:val="24"/>
                <w:szCs w:val="24"/>
                <w:lang w:eastAsia="sk-SK"/>
              </w:rPr>
            </w:pPr>
            <w:r w:rsidRPr="001139E3">
              <w:rPr>
                <w:rFonts w:ascii="Arial" w:hAnsi="Arial" w:cs="Arial"/>
                <w:b/>
                <w:bCs/>
                <w:color w:val="000000"/>
                <w:sz w:val="24"/>
                <w:szCs w:val="24"/>
                <w:lang w:eastAsia="sk-SK"/>
              </w:rPr>
              <w:t>SPOLU INDIVIDUÁLNE DOTÁCIE</w:t>
            </w:r>
            <w:r w:rsidRPr="001139E3">
              <w:rPr>
                <w:rFonts w:ascii="Arial" w:hAnsi="Arial" w:cs="Arial"/>
                <w:color w:val="000000"/>
                <w:sz w:val="20"/>
                <w:szCs w:val="20"/>
                <w:lang w:eastAsia="sk-SK"/>
              </w:rPr>
              <w:t xml:space="preserve">: </w:t>
            </w:r>
            <w:r w:rsidRPr="001139E3">
              <w:rPr>
                <w:rFonts w:ascii="Arial" w:hAnsi="Arial" w:cs="Arial"/>
                <w:b/>
                <w:bCs/>
                <w:color w:val="000000"/>
                <w:sz w:val="24"/>
                <w:szCs w:val="24"/>
                <w:lang w:eastAsia="sk-SK"/>
              </w:rPr>
              <w:t>290 606,80EUR</w:t>
            </w:r>
            <w:r w:rsidRPr="001139E3">
              <w:rPr>
                <w:rFonts w:ascii="Arial" w:hAnsi="Arial" w:cs="Arial"/>
                <w:color w:val="000000"/>
                <w:sz w:val="20"/>
                <w:szCs w:val="20"/>
                <w:lang w:eastAsia="sk-SK"/>
              </w:rPr>
              <w:t xml:space="preserve"> </w:t>
            </w:r>
          </w:p>
        </w:tc>
      </w:tr>
      <w:tr w:rsidR="001139E3" w:rsidRPr="001139E3" w14:paraId="34A4A9B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DF2215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CF55DC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Mestská časť Bratislava - Ružinov</w:t>
            </w:r>
          </w:p>
        </w:tc>
        <w:tc>
          <w:tcPr>
            <w:tcW w:w="1118" w:type="pct"/>
            <w:tcBorders>
              <w:top w:val="nil"/>
              <w:left w:val="nil"/>
              <w:bottom w:val="single" w:sz="8" w:space="0" w:color="auto"/>
              <w:right w:val="single" w:sz="8" w:space="0" w:color="auto"/>
            </w:tcBorders>
            <w:shd w:val="clear" w:color="auto" w:fill="auto"/>
            <w:vAlign w:val="center"/>
            <w:hideMark/>
          </w:tcPr>
          <w:p w14:paraId="3C1B28A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Umenie pod oknami</w:t>
            </w:r>
          </w:p>
        </w:tc>
        <w:tc>
          <w:tcPr>
            <w:tcW w:w="631" w:type="pct"/>
            <w:tcBorders>
              <w:top w:val="nil"/>
              <w:left w:val="nil"/>
              <w:bottom w:val="single" w:sz="8" w:space="0" w:color="auto"/>
              <w:right w:val="single" w:sz="8" w:space="0" w:color="auto"/>
            </w:tcBorders>
            <w:shd w:val="clear" w:color="auto" w:fill="auto"/>
            <w:noWrap/>
            <w:vAlign w:val="center"/>
            <w:hideMark/>
          </w:tcPr>
          <w:p w14:paraId="78F28F1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0C674C3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1E3363D"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15F316A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C0F862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A9A7A9B"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Istro</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production</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435E707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Trojkráľový sprievod</w:t>
            </w:r>
          </w:p>
        </w:tc>
        <w:tc>
          <w:tcPr>
            <w:tcW w:w="631" w:type="pct"/>
            <w:tcBorders>
              <w:top w:val="nil"/>
              <w:left w:val="nil"/>
              <w:bottom w:val="single" w:sz="8" w:space="0" w:color="auto"/>
              <w:right w:val="single" w:sz="8" w:space="0" w:color="auto"/>
            </w:tcBorders>
            <w:shd w:val="clear" w:color="auto" w:fill="auto"/>
            <w:noWrap/>
            <w:vAlign w:val="center"/>
            <w:hideMark/>
          </w:tcPr>
          <w:p w14:paraId="190E3FA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52ABE39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748265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112E5EA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9B87F4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5F7774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Pedál</w:t>
            </w:r>
          </w:p>
        </w:tc>
        <w:tc>
          <w:tcPr>
            <w:tcW w:w="1118" w:type="pct"/>
            <w:tcBorders>
              <w:top w:val="nil"/>
              <w:left w:val="nil"/>
              <w:bottom w:val="single" w:sz="8" w:space="0" w:color="auto"/>
              <w:right w:val="single" w:sz="8" w:space="0" w:color="auto"/>
            </w:tcBorders>
            <w:shd w:val="clear" w:color="auto" w:fill="auto"/>
            <w:vAlign w:val="center"/>
            <w:hideMark/>
          </w:tcPr>
          <w:p w14:paraId="21A77FEA"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PumpPark</w:t>
            </w:r>
            <w:proofErr w:type="spellEnd"/>
            <w:r w:rsidRPr="001139E3">
              <w:rPr>
                <w:rFonts w:ascii="Arial" w:hAnsi="Arial" w:cs="Arial"/>
                <w:color w:val="000000"/>
                <w:sz w:val="20"/>
                <w:szCs w:val="20"/>
                <w:lang w:eastAsia="sk-SK"/>
              </w:rPr>
              <w:t xml:space="preserve"> Petržalka, </w:t>
            </w:r>
            <w:proofErr w:type="spellStart"/>
            <w:r w:rsidRPr="001139E3">
              <w:rPr>
                <w:rFonts w:ascii="Arial" w:hAnsi="Arial" w:cs="Arial"/>
                <w:color w:val="000000"/>
                <w:sz w:val="20"/>
                <w:szCs w:val="20"/>
                <w:lang w:eastAsia="sk-SK"/>
              </w:rPr>
              <w:t>Haanova</w:t>
            </w:r>
            <w:proofErr w:type="spellEnd"/>
            <w:r w:rsidRPr="001139E3">
              <w:rPr>
                <w:rFonts w:ascii="Arial" w:hAnsi="Arial" w:cs="Arial"/>
                <w:color w:val="000000"/>
                <w:sz w:val="20"/>
                <w:szCs w:val="20"/>
                <w:lang w:eastAsia="sk-SK"/>
              </w:rPr>
              <w:t xml:space="preserve"> ul.</w:t>
            </w:r>
          </w:p>
        </w:tc>
        <w:tc>
          <w:tcPr>
            <w:tcW w:w="631" w:type="pct"/>
            <w:tcBorders>
              <w:top w:val="nil"/>
              <w:left w:val="nil"/>
              <w:bottom w:val="single" w:sz="8" w:space="0" w:color="auto"/>
              <w:right w:val="single" w:sz="8" w:space="0" w:color="auto"/>
            </w:tcBorders>
            <w:shd w:val="clear" w:color="auto" w:fill="auto"/>
            <w:noWrap/>
            <w:vAlign w:val="center"/>
            <w:hideMark/>
          </w:tcPr>
          <w:p w14:paraId="31E2F26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A7AFED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B8F3D4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2557B39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AF102C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lastRenderedPageBreak/>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B057B2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Petržalčanka</w:t>
            </w:r>
          </w:p>
        </w:tc>
        <w:tc>
          <w:tcPr>
            <w:tcW w:w="1118" w:type="pct"/>
            <w:tcBorders>
              <w:top w:val="nil"/>
              <w:left w:val="nil"/>
              <w:bottom w:val="single" w:sz="8" w:space="0" w:color="auto"/>
              <w:right w:val="single" w:sz="8" w:space="0" w:color="auto"/>
            </w:tcBorders>
            <w:shd w:val="clear" w:color="auto" w:fill="auto"/>
            <w:vAlign w:val="center"/>
            <w:hideMark/>
          </w:tcPr>
          <w:p w14:paraId="2C51F9E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 piesňou starneme pomalšie</w:t>
            </w:r>
          </w:p>
        </w:tc>
        <w:tc>
          <w:tcPr>
            <w:tcW w:w="631" w:type="pct"/>
            <w:tcBorders>
              <w:top w:val="nil"/>
              <w:left w:val="nil"/>
              <w:bottom w:val="single" w:sz="8" w:space="0" w:color="auto"/>
              <w:right w:val="single" w:sz="8" w:space="0" w:color="auto"/>
            </w:tcBorders>
            <w:shd w:val="clear" w:color="auto" w:fill="auto"/>
            <w:noWrap/>
            <w:vAlign w:val="center"/>
            <w:hideMark/>
          </w:tcPr>
          <w:p w14:paraId="5FED0D5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242607E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20999A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76FCCA13"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0919C9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D314CE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Zohor</w:t>
            </w:r>
          </w:p>
        </w:tc>
        <w:tc>
          <w:tcPr>
            <w:tcW w:w="1118" w:type="pct"/>
            <w:tcBorders>
              <w:top w:val="nil"/>
              <w:left w:val="nil"/>
              <w:bottom w:val="single" w:sz="8" w:space="0" w:color="auto"/>
              <w:right w:val="single" w:sz="8" w:space="0" w:color="auto"/>
            </w:tcBorders>
            <w:shd w:val="clear" w:color="auto" w:fill="auto"/>
            <w:vAlign w:val="center"/>
            <w:hideMark/>
          </w:tcPr>
          <w:p w14:paraId="47604A6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Zohor včera a dnes - 5. ročník</w:t>
            </w:r>
          </w:p>
        </w:tc>
        <w:tc>
          <w:tcPr>
            <w:tcW w:w="631" w:type="pct"/>
            <w:tcBorders>
              <w:top w:val="nil"/>
              <w:left w:val="nil"/>
              <w:bottom w:val="single" w:sz="8" w:space="0" w:color="auto"/>
              <w:right w:val="single" w:sz="8" w:space="0" w:color="auto"/>
            </w:tcBorders>
            <w:shd w:val="clear" w:color="auto" w:fill="auto"/>
            <w:noWrap/>
            <w:vAlign w:val="center"/>
            <w:hideMark/>
          </w:tcPr>
          <w:p w14:paraId="54124CD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5D1BD47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FB3923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950,00</w:t>
            </w:r>
          </w:p>
        </w:tc>
      </w:tr>
      <w:tr w:rsidR="001139E3" w:rsidRPr="001139E3" w14:paraId="34D6079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AE13E6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E23C6D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Boris</w:t>
            </w:r>
          </w:p>
        </w:tc>
        <w:tc>
          <w:tcPr>
            <w:tcW w:w="1118" w:type="pct"/>
            <w:tcBorders>
              <w:top w:val="nil"/>
              <w:left w:val="nil"/>
              <w:bottom w:val="single" w:sz="8" w:space="0" w:color="auto"/>
              <w:right w:val="single" w:sz="8" w:space="0" w:color="auto"/>
            </w:tcBorders>
            <w:shd w:val="clear" w:color="auto" w:fill="auto"/>
            <w:vAlign w:val="center"/>
            <w:hideMark/>
          </w:tcPr>
          <w:p w14:paraId="0D90F723"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Teatro</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Colorato</w:t>
            </w:r>
            <w:proofErr w:type="spellEnd"/>
            <w:r w:rsidRPr="001139E3">
              <w:rPr>
                <w:rFonts w:ascii="Arial" w:hAnsi="Arial" w:cs="Arial"/>
                <w:color w:val="000000"/>
                <w:sz w:val="20"/>
                <w:szCs w:val="20"/>
                <w:lang w:eastAsia="sk-SK"/>
              </w:rPr>
              <w:t xml:space="preserve"> na festivale v Cannes 2020</w:t>
            </w:r>
          </w:p>
        </w:tc>
        <w:tc>
          <w:tcPr>
            <w:tcW w:w="631" w:type="pct"/>
            <w:tcBorders>
              <w:top w:val="nil"/>
              <w:left w:val="nil"/>
              <w:bottom w:val="single" w:sz="8" w:space="0" w:color="auto"/>
              <w:right w:val="single" w:sz="8" w:space="0" w:color="auto"/>
            </w:tcBorders>
            <w:shd w:val="clear" w:color="auto" w:fill="auto"/>
            <w:noWrap/>
            <w:vAlign w:val="center"/>
            <w:hideMark/>
          </w:tcPr>
          <w:p w14:paraId="0D65ADF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10CEC12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6D5D84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34690B1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1EDD46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BF9E46E"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eRko</w:t>
            </w:r>
            <w:proofErr w:type="spellEnd"/>
            <w:r w:rsidRPr="001139E3">
              <w:rPr>
                <w:rFonts w:ascii="Arial" w:hAnsi="Arial" w:cs="Arial"/>
                <w:color w:val="000000"/>
                <w:sz w:val="20"/>
                <w:szCs w:val="20"/>
                <w:lang w:eastAsia="sk-SK"/>
              </w:rPr>
              <w:t xml:space="preserve"> - Hnutie kresťanských spoločenstiev detí</w:t>
            </w:r>
          </w:p>
        </w:tc>
        <w:tc>
          <w:tcPr>
            <w:tcW w:w="1118" w:type="pct"/>
            <w:tcBorders>
              <w:top w:val="nil"/>
              <w:left w:val="nil"/>
              <w:bottom w:val="single" w:sz="8" w:space="0" w:color="auto"/>
              <w:right w:val="single" w:sz="8" w:space="0" w:color="auto"/>
            </w:tcBorders>
            <w:shd w:val="clear" w:color="auto" w:fill="auto"/>
            <w:vAlign w:val="center"/>
            <w:hideMark/>
          </w:tcPr>
          <w:p w14:paraId="6CBD4393"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Fararalandia</w:t>
            </w:r>
            <w:proofErr w:type="spellEnd"/>
            <w:r w:rsidRPr="001139E3">
              <w:rPr>
                <w:rFonts w:ascii="Arial" w:hAnsi="Arial" w:cs="Arial"/>
                <w:color w:val="000000"/>
                <w:sz w:val="20"/>
                <w:szCs w:val="20"/>
                <w:lang w:eastAsia="sk-SK"/>
              </w:rPr>
              <w:t xml:space="preserve"> 12</w:t>
            </w:r>
          </w:p>
        </w:tc>
        <w:tc>
          <w:tcPr>
            <w:tcW w:w="631" w:type="pct"/>
            <w:tcBorders>
              <w:top w:val="nil"/>
              <w:left w:val="nil"/>
              <w:bottom w:val="single" w:sz="8" w:space="0" w:color="auto"/>
              <w:right w:val="single" w:sz="8" w:space="0" w:color="auto"/>
            </w:tcBorders>
            <w:shd w:val="clear" w:color="auto" w:fill="auto"/>
            <w:noWrap/>
            <w:vAlign w:val="center"/>
            <w:hideMark/>
          </w:tcPr>
          <w:p w14:paraId="33D642B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3DCAE22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B53441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72C6C0C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7A9C90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791218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STAR </w:t>
            </w:r>
            <w:proofErr w:type="spellStart"/>
            <w:r w:rsidRPr="001139E3">
              <w:rPr>
                <w:rFonts w:ascii="Arial" w:hAnsi="Arial" w:cs="Arial"/>
                <w:color w:val="000000"/>
                <w:sz w:val="20"/>
                <w:szCs w:val="20"/>
                <w:lang w:eastAsia="sk-SK"/>
              </w:rPr>
              <w:t>production</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55BFFCA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Veľvyslanectvo mladých</w:t>
            </w:r>
          </w:p>
        </w:tc>
        <w:tc>
          <w:tcPr>
            <w:tcW w:w="631" w:type="pct"/>
            <w:tcBorders>
              <w:top w:val="nil"/>
              <w:left w:val="nil"/>
              <w:bottom w:val="single" w:sz="8" w:space="0" w:color="auto"/>
              <w:right w:val="single" w:sz="8" w:space="0" w:color="auto"/>
            </w:tcBorders>
            <w:shd w:val="clear" w:color="auto" w:fill="auto"/>
            <w:noWrap/>
            <w:vAlign w:val="center"/>
            <w:hideMark/>
          </w:tcPr>
          <w:p w14:paraId="414D615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509D624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0CF7BA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45A65B4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DDE84B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C95FBA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Bratislavský spolok nedoslýchavých</w:t>
            </w:r>
          </w:p>
        </w:tc>
        <w:tc>
          <w:tcPr>
            <w:tcW w:w="1118" w:type="pct"/>
            <w:tcBorders>
              <w:top w:val="nil"/>
              <w:left w:val="nil"/>
              <w:bottom w:val="single" w:sz="8" w:space="0" w:color="auto"/>
              <w:right w:val="single" w:sz="8" w:space="0" w:color="auto"/>
            </w:tcBorders>
            <w:shd w:val="clear" w:color="auto" w:fill="auto"/>
            <w:vAlign w:val="center"/>
            <w:hideMark/>
          </w:tcPr>
          <w:p w14:paraId="50E51994"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Sociálno</w:t>
            </w:r>
            <w:proofErr w:type="spellEnd"/>
            <w:r w:rsidRPr="001139E3">
              <w:rPr>
                <w:rFonts w:ascii="Arial" w:hAnsi="Arial" w:cs="Arial"/>
                <w:color w:val="000000"/>
                <w:sz w:val="20"/>
                <w:szCs w:val="20"/>
                <w:lang w:eastAsia="sk-SK"/>
              </w:rPr>
              <w:t xml:space="preserve"> rehabilitačný kurz</w:t>
            </w:r>
          </w:p>
        </w:tc>
        <w:tc>
          <w:tcPr>
            <w:tcW w:w="631" w:type="pct"/>
            <w:tcBorders>
              <w:top w:val="nil"/>
              <w:left w:val="nil"/>
              <w:bottom w:val="single" w:sz="8" w:space="0" w:color="auto"/>
              <w:right w:val="single" w:sz="8" w:space="0" w:color="auto"/>
            </w:tcBorders>
            <w:shd w:val="clear" w:color="auto" w:fill="auto"/>
            <w:noWrap/>
            <w:vAlign w:val="center"/>
            <w:hideMark/>
          </w:tcPr>
          <w:p w14:paraId="001314D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7712456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2FE6CF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7B48059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A07903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F33C83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Staromestský </w:t>
            </w:r>
            <w:proofErr w:type="spellStart"/>
            <w:r w:rsidRPr="001139E3">
              <w:rPr>
                <w:rFonts w:ascii="Arial" w:hAnsi="Arial" w:cs="Arial"/>
                <w:color w:val="000000"/>
                <w:sz w:val="20"/>
                <w:szCs w:val="20"/>
                <w:lang w:eastAsia="sk-SK"/>
              </w:rPr>
              <w:t>okrášľovací</w:t>
            </w:r>
            <w:proofErr w:type="spellEnd"/>
            <w:r w:rsidRPr="001139E3">
              <w:rPr>
                <w:rFonts w:ascii="Arial" w:hAnsi="Arial" w:cs="Arial"/>
                <w:color w:val="000000"/>
                <w:sz w:val="20"/>
                <w:szCs w:val="20"/>
                <w:lang w:eastAsia="sk-SK"/>
              </w:rPr>
              <w:t xml:space="preserve"> spolok</w:t>
            </w:r>
          </w:p>
        </w:tc>
        <w:tc>
          <w:tcPr>
            <w:tcW w:w="1118" w:type="pct"/>
            <w:tcBorders>
              <w:top w:val="nil"/>
              <w:left w:val="nil"/>
              <w:bottom w:val="single" w:sz="8" w:space="0" w:color="auto"/>
              <w:right w:val="single" w:sz="8" w:space="0" w:color="auto"/>
            </w:tcBorders>
            <w:shd w:val="clear" w:color="auto" w:fill="auto"/>
            <w:vAlign w:val="center"/>
            <w:hideMark/>
          </w:tcPr>
          <w:p w14:paraId="7095086C"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Arteterapia</w:t>
            </w:r>
            <w:proofErr w:type="spellEnd"/>
            <w:r w:rsidRPr="001139E3">
              <w:rPr>
                <w:rFonts w:ascii="Arial" w:hAnsi="Arial" w:cs="Arial"/>
                <w:color w:val="000000"/>
                <w:sz w:val="20"/>
                <w:szCs w:val="20"/>
                <w:lang w:eastAsia="sk-SK"/>
              </w:rPr>
              <w:t xml:space="preserve"> - zlepšovanie duševného zdravia seniorov</w:t>
            </w:r>
          </w:p>
        </w:tc>
        <w:tc>
          <w:tcPr>
            <w:tcW w:w="631" w:type="pct"/>
            <w:tcBorders>
              <w:top w:val="nil"/>
              <w:left w:val="nil"/>
              <w:bottom w:val="single" w:sz="8" w:space="0" w:color="auto"/>
              <w:right w:val="single" w:sz="8" w:space="0" w:color="auto"/>
            </w:tcBorders>
            <w:shd w:val="clear" w:color="auto" w:fill="auto"/>
            <w:noWrap/>
            <w:vAlign w:val="center"/>
            <w:hideMark/>
          </w:tcPr>
          <w:p w14:paraId="20710FA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2C7202E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CE57F0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328CFFF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909695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91A3BE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Náš Devín </w:t>
            </w:r>
          </w:p>
        </w:tc>
        <w:tc>
          <w:tcPr>
            <w:tcW w:w="1118" w:type="pct"/>
            <w:tcBorders>
              <w:top w:val="nil"/>
              <w:left w:val="nil"/>
              <w:bottom w:val="single" w:sz="8" w:space="0" w:color="auto"/>
              <w:right w:val="single" w:sz="8" w:space="0" w:color="auto"/>
            </w:tcBorders>
            <w:shd w:val="clear" w:color="auto" w:fill="auto"/>
            <w:vAlign w:val="center"/>
            <w:hideMark/>
          </w:tcPr>
          <w:p w14:paraId="3E78702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Rozhýbme deti v Devíne</w:t>
            </w:r>
          </w:p>
        </w:tc>
        <w:tc>
          <w:tcPr>
            <w:tcW w:w="631" w:type="pct"/>
            <w:tcBorders>
              <w:top w:val="nil"/>
              <w:left w:val="nil"/>
              <w:bottom w:val="single" w:sz="8" w:space="0" w:color="auto"/>
              <w:right w:val="single" w:sz="8" w:space="0" w:color="auto"/>
            </w:tcBorders>
            <w:shd w:val="clear" w:color="auto" w:fill="auto"/>
            <w:noWrap/>
            <w:vAlign w:val="center"/>
            <w:hideMark/>
          </w:tcPr>
          <w:p w14:paraId="2D731ED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34742C4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7D35C6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7276DE2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64455B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698FCA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Klub rýchlostnej kanoistiky Vinohrady</w:t>
            </w:r>
          </w:p>
        </w:tc>
        <w:tc>
          <w:tcPr>
            <w:tcW w:w="1118" w:type="pct"/>
            <w:tcBorders>
              <w:top w:val="nil"/>
              <w:left w:val="nil"/>
              <w:bottom w:val="single" w:sz="8" w:space="0" w:color="auto"/>
              <w:right w:val="single" w:sz="8" w:space="0" w:color="auto"/>
            </w:tcBorders>
            <w:shd w:val="clear" w:color="auto" w:fill="auto"/>
            <w:vAlign w:val="center"/>
            <w:hideMark/>
          </w:tcPr>
          <w:p w14:paraId="1622B00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Nákup pretekárskych lodí</w:t>
            </w:r>
          </w:p>
        </w:tc>
        <w:tc>
          <w:tcPr>
            <w:tcW w:w="631" w:type="pct"/>
            <w:tcBorders>
              <w:top w:val="nil"/>
              <w:left w:val="nil"/>
              <w:bottom w:val="single" w:sz="8" w:space="0" w:color="auto"/>
              <w:right w:val="single" w:sz="8" w:space="0" w:color="auto"/>
            </w:tcBorders>
            <w:shd w:val="clear" w:color="auto" w:fill="auto"/>
            <w:noWrap/>
            <w:vAlign w:val="center"/>
            <w:hideMark/>
          </w:tcPr>
          <w:p w14:paraId="4BC89A7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69DACCD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9F0B5B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3CD0804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535675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CCB5BE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Noc Architektúry</w:t>
            </w:r>
          </w:p>
        </w:tc>
        <w:tc>
          <w:tcPr>
            <w:tcW w:w="1118" w:type="pct"/>
            <w:tcBorders>
              <w:top w:val="nil"/>
              <w:left w:val="nil"/>
              <w:bottom w:val="single" w:sz="8" w:space="0" w:color="auto"/>
              <w:right w:val="single" w:sz="8" w:space="0" w:color="auto"/>
            </w:tcBorders>
            <w:shd w:val="clear" w:color="auto" w:fill="auto"/>
            <w:vAlign w:val="center"/>
            <w:hideMark/>
          </w:tcPr>
          <w:p w14:paraId="2090EC0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IKONY - fotografie stavieb povojnovej Bratislavy</w:t>
            </w:r>
          </w:p>
        </w:tc>
        <w:tc>
          <w:tcPr>
            <w:tcW w:w="631" w:type="pct"/>
            <w:tcBorders>
              <w:top w:val="nil"/>
              <w:left w:val="nil"/>
              <w:bottom w:val="single" w:sz="8" w:space="0" w:color="auto"/>
              <w:right w:val="single" w:sz="8" w:space="0" w:color="auto"/>
            </w:tcBorders>
            <w:shd w:val="clear" w:color="auto" w:fill="auto"/>
            <w:noWrap/>
            <w:vAlign w:val="center"/>
            <w:hideMark/>
          </w:tcPr>
          <w:p w14:paraId="72BBBD5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275C2CB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62C4E9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66C1275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CC75AC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6F2BEA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Nezisková organizácia NEO</w:t>
            </w:r>
          </w:p>
        </w:tc>
        <w:tc>
          <w:tcPr>
            <w:tcW w:w="1118" w:type="pct"/>
            <w:tcBorders>
              <w:top w:val="nil"/>
              <w:left w:val="nil"/>
              <w:bottom w:val="single" w:sz="8" w:space="0" w:color="auto"/>
              <w:right w:val="single" w:sz="8" w:space="0" w:color="auto"/>
            </w:tcBorders>
            <w:shd w:val="clear" w:color="auto" w:fill="auto"/>
            <w:vAlign w:val="center"/>
            <w:hideMark/>
          </w:tcPr>
          <w:p w14:paraId="7988697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Umelci v uliciach</w:t>
            </w:r>
          </w:p>
        </w:tc>
        <w:tc>
          <w:tcPr>
            <w:tcW w:w="631" w:type="pct"/>
            <w:tcBorders>
              <w:top w:val="nil"/>
              <w:left w:val="nil"/>
              <w:bottom w:val="single" w:sz="8" w:space="0" w:color="auto"/>
              <w:right w:val="single" w:sz="8" w:space="0" w:color="auto"/>
            </w:tcBorders>
            <w:shd w:val="clear" w:color="auto" w:fill="auto"/>
            <w:noWrap/>
            <w:vAlign w:val="center"/>
            <w:hideMark/>
          </w:tcPr>
          <w:p w14:paraId="014252B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686D278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E91499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4D11695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B0EBCE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F7289C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Simeon centrum</w:t>
            </w:r>
          </w:p>
        </w:tc>
        <w:tc>
          <w:tcPr>
            <w:tcW w:w="1118" w:type="pct"/>
            <w:tcBorders>
              <w:top w:val="nil"/>
              <w:left w:val="nil"/>
              <w:bottom w:val="single" w:sz="8" w:space="0" w:color="auto"/>
              <w:right w:val="single" w:sz="8" w:space="0" w:color="auto"/>
            </w:tcBorders>
            <w:shd w:val="clear" w:color="auto" w:fill="auto"/>
            <w:vAlign w:val="center"/>
            <w:hideMark/>
          </w:tcPr>
          <w:p w14:paraId="081D055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Zveľadenie a oprava priestorov pre mobilný hospic</w:t>
            </w:r>
          </w:p>
        </w:tc>
        <w:tc>
          <w:tcPr>
            <w:tcW w:w="631" w:type="pct"/>
            <w:tcBorders>
              <w:top w:val="nil"/>
              <w:left w:val="nil"/>
              <w:bottom w:val="single" w:sz="8" w:space="0" w:color="auto"/>
              <w:right w:val="single" w:sz="8" w:space="0" w:color="auto"/>
            </w:tcBorders>
            <w:shd w:val="clear" w:color="auto" w:fill="auto"/>
            <w:noWrap/>
            <w:vAlign w:val="center"/>
            <w:hideMark/>
          </w:tcPr>
          <w:p w14:paraId="5C62B73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521BA64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9C7B25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51C013A"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0029E6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F84661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Priatelia Lesa</w:t>
            </w:r>
          </w:p>
        </w:tc>
        <w:tc>
          <w:tcPr>
            <w:tcW w:w="1118" w:type="pct"/>
            <w:tcBorders>
              <w:top w:val="nil"/>
              <w:left w:val="nil"/>
              <w:bottom w:val="single" w:sz="8" w:space="0" w:color="auto"/>
              <w:right w:val="single" w:sz="8" w:space="0" w:color="auto"/>
            </w:tcBorders>
            <w:shd w:val="clear" w:color="auto" w:fill="auto"/>
            <w:vAlign w:val="center"/>
            <w:hideMark/>
          </w:tcPr>
          <w:p w14:paraId="454D0D1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Jarný trampský </w:t>
            </w:r>
            <w:proofErr w:type="spellStart"/>
            <w:r w:rsidRPr="001139E3">
              <w:rPr>
                <w:rFonts w:ascii="Arial" w:hAnsi="Arial" w:cs="Arial"/>
                <w:color w:val="000000"/>
                <w:sz w:val="20"/>
                <w:szCs w:val="20"/>
                <w:lang w:eastAsia="sk-SK"/>
              </w:rPr>
              <w:t>výšľap</w:t>
            </w:r>
            <w:proofErr w:type="spellEnd"/>
            <w:r w:rsidRPr="001139E3">
              <w:rPr>
                <w:rFonts w:ascii="Arial" w:hAnsi="Arial" w:cs="Arial"/>
                <w:color w:val="000000"/>
                <w:sz w:val="20"/>
                <w:szCs w:val="20"/>
                <w:lang w:eastAsia="sk-SK"/>
              </w:rPr>
              <w:t xml:space="preserve"> 2020 a nákup motorových píl</w:t>
            </w:r>
          </w:p>
        </w:tc>
        <w:tc>
          <w:tcPr>
            <w:tcW w:w="631" w:type="pct"/>
            <w:tcBorders>
              <w:top w:val="nil"/>
              <w:left w:val="nil"/>
              <w:bottom w:val="single" w:sz="8" w:space="0" w:color="auto"/>
              <w:right w:val="single" w:sz="8" w:space="0" w:color="auto"/>
            </w:tcBorders>
            <w:shd w:val="clear" w:color="auto" w:fill="auto"/>
            <w:noWrap/>
            <w:vAlign w:val="center"/>
            <w:hideMark/>
          </w:tcPr>
          <w:p w14:paraId="37FC271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5F73666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92B81B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1649092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E67ED4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4079E0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VINCÚR - spolok vinohradníkov a </w:t>
            </w:r>
            <w:proofErr w:type="spellStart"/>
            <w:r w:rsidRPr="001139E3">
              <w:rPr>
                <w:rFonts w:ascii="Arial" w:hAnsi="Arial" w:cs="Arial"/>
                <w:color w:val="000000"/>
                <w:sz w:val="20"/>
                <w:szCs w:val="20"/>
                <w:lang w:eastAsia="sk-SK"/>
              </w:rPr>
              <w:t>vinírov</w:t>
            </w:r>
            <w:proofErr w:type="spellEnd"/>
            <w:r w:rsidRPr="001139E3">
              <w:rPr>
                <w:rFonts w:ascii="Arial" w:hAnsi="Arial" w:cs="Arial"/>
                <w:color w:val="000000"/>
                <w:sz w:val="20"/>
                <w:szCs w:val="20"/>
                <w:lang w:eastAsia="sk-SK"/>
              </w:rPr>
              <w:t xml:space="preserve"> v Modre</w:t>
            </w:r>
          </w:p>
        </w:tc>
        <w:tc>
          <w:tcPr>
            <w:tcW w:w="1118" w:type="pct"/>
            <w:tcBorders>
              <w:top w:val="nil"/>
              <w:left w:val="nil"/>
              <w:bottom w:val="single" w:sz="8" w:space="0" w:color="auto"/>
              <w:right w:val="single" w:sz="8" w:space="0" w:color="auto"/>
            </w:tcBorders>
            <w:shd w:val="clear" w:color="auto" w:fill="auto"/>
            <w:vAlign w:val="center"/>
            <w:hideMark/>
          </w:tcPr>
          <w:p w14:paraId="43456FF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VITIS AUREA MODRA 2020</w:t>
            </w:r>
          </w:p>
        </w:tc>
        <w:tc>
          <w:tcPr>
            <w:tcW w:w="631" w:type="pct"/>
            <w:tcBorders>
              <w:top w:val="nil"/>
              <w:left w:val="nil"/>
              <w:bottom w:val="single" w:sz="8" w:space="0" w:color="auto"/>
              <w:right w:val="single" w:sz="8" w:space="0" w:color="auto"/>
            </w:tcBorders>
            <w:shd w:val="clear" w:color="auto" w:fill="auto"/>
            <w:noWrap/>
            <w:vAlign w:val="center"/>
            <w:hideMark/>
          </w:tcPr>
          <w:p w14:paraId="59E459C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2853F57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7FD94F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7961001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AEFBCF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A31D768"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Bullka</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55216BA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Spoznávame prírodu okolo nás</w:t>
            </w:r>
          </w:p>
        </w:tc>
        <w:tc>
          <w:tcPr>
            <w:tcW w:w="631" w:type="pct"/>
            <w:tcBorders>
              <w:top w:val="nil"/>
              <w:left w:val="nil"/>
              <w:bottom w:val="single" w:sz="8" w:space="0" w:color="auto"/>
              <w:right w:val="single" w:sz="8" w:space="0" w:color="auto"/>
            </w:tcBorders>
            <w:shd w:val="clear" w:color="auto" w:fill="auto"/>
            <w:noWrap/>
            <w:vAlign w:val="center"/>
            <w:hideMark/>
          </w:tcPr>
          <w:p w14:paraId="7E2C9CD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1089F1D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710C4F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65748C3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94E1DD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4DBC20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BAGAR</w:t>
            </w:r>
          </w:p>
        </w:tc>
        <w:tc>
          <w:tcPr>
            <w:tcW w:w="1118" w:type="pct"/>
            <w:tcBorders>
              <w:top w:val="nil"/>
              <w:left w:val="nil"/>
              <w:bottom w:val="single" w:sz="8" w:space="0" w:color="auto"/>
              <w:right w:val="single" w:sz="8" w:space="0" w:color="auto"/>
            </w:tcBorders>
            <w:shd w:val="clear" w:color="auto" w:fill="auto"/>
            <w:vAlign w:val="center"/>
            <w:hideMark/>
          </w:tcPr>
          <w:p w14:paraId="5DB0841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Senior </w:t>
            </w:r>
            <w:proofErr w:type="spellStart"/>
            <w:r w:rsidRPr="001139E3">
              <w:rPr>
                <w:rFonts w:ascii="Arial" w:hAnsi="Arial" w:cs="Arial"/>
                <w:color w:val="000000"/>
                <w:sz w:val="20"/>
                <w:szCs w:val="20"/>
                <w:lang w:eastAsia="sk-SK"/>
              </w:rPr>
              <w:t>Friendly</w:t>
            </w:r>
            <w:proofErr w:type="spellEnd"/>
            <w:r w:rsidRPr="001139E3">
              <w:rPr>
                <w:rFonts w:ascii="Arial" w:hAnsi="Arial" w:cs="Arial"/>
                <w:color w:val="000000"/>
                <w:sz w:val="20"/>
                <w:szCs w:val="20"/>
                <w:lang w:eastAsia="sk-SK"/>
              </w:rPr>
              <w:t xml:space="preserve"> 2020</w:t>
            </w:r>
          </w:p>
        </w:tc>
        <w:tc>
          <w:tcPr>
            <w:tcW w:w="631" w:type="pct"/>
            <w:tcBorders>
              <w:top w:val="nil"/>
              <w:left w:val="nil"/>
              <w:bottom w:val="single" w:sz="8" w:space="0" w:color="auto"/>
              <w:right w:val="single" w:sz="8" w:space="0" w:color="auto"/>
            </w:tcBorders>
            <w:shd w:val="clear" w:color="auto" w:fill="auto"/>
            <w:noWrap/>
            <w:vAlign w:val="center"/>
            <w:hideMark/>
          </w:tcPr>
          <w:p w14:paraId="57C7C9C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2695DC2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E2C52E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5F34FBCA"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3339A8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DBB2B1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Metropolitný orchester Bratislava</w:t>
            </w:r>
          </w:p>
        </w:tc>
        <w:tc>
          <w:tcPr>
            <w:tcW w:w="1118" w:type="pct"/>
            <w:tcBorders>
              <w:top w:val="nil"/>
              <w:left w:val="nil"/>
              <w:bottom w:val="single" w:sz="8" w:space="0" w:color="auto"/>
              <w:right w:val="single" w:sz="8" w:space="0" w:color="auto"/>
            </w:tcBorders>
            <w:shd w:val="clear" w:color="auto" w:fill="auto"/>
            <w:vAlign w:val="center"/>
            <w:hideMark/>
          </w:tcPr>
          <w:p w14:paraId="0071F91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Majstrovské operetné kurzy</w:t>
            </w:r>
          </w:p>
        </w:tc>
        <w:tc>
          <w:tcPr>
            <w:tcW w:w="631" w:type="pct"/>
            <w:tcBorders>
              <w:top w:val="nil"/>
              <w:left w:val="nil"/>
              <w:bottom w:val="single" w:sz="8" w:space="0" w:color="auto"/>
              <w:right w:val="single" w:sz="8" w:space="0" w:color="auto"/>
            </w:tcBorders>
            <w:shd w:val="clear" w:color="auto" w:fill="auto"/>
            <w:noWrap/>
            <w:vAlign w:val="center"/>
            <w:hideMark/>
          </w:tcPr>
          <w:p w14:paraId="2F6D9D0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B2D0B4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A17697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21111F3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EAC4D8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326639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Píla</w:t>
            </w:r>
          </w:p>
        </w:tc>
        <w:tc>
          <w:tcPr>
            <w:tcW w:w="1118" w:type="pct"/>
            <w:tcBorders>
              <w:top w:val="nil"/>
              <w:left w:val="nil"/>
              <w:bottom w:val="single" w:sz="8" w:space="0" w:color="auto"/>
              <w:right w:val="single" w:sz="8" w:space="0" w:color="auto"/>
            </w:tcBorders>
            <w:shd w:val="clear" w:color="auto" w:fill="auto"/>
            <w:vAlign w:val="center"/>
            <w:hideMark/>
          </w:tcPr>
          <w:p w14:paraId="72C6AEB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Rekonštrukcia miestneho rigola</w:t>
            </w:r>
          </w:p>
        </w:tc>
        <w:tc>
          <w:tcPr>
            <w:tcW w:w="631" w:type="pct"/>
            <w:tcBorders>
              <w:top w:val="nil"/>
              <w:left w:val="nil"/>
              <w:bottom w:val="single" w:sz="8" w:space="0" w:color="auto"/>
              <w:right w:val="single" w:sz="8" w:space="0" w:color="auto"/>
            </w:tcBorders>
            <w:shd w:val="clear" w:color="auto" w:fill="auto"/>
            <w:noWrap/>
            <w:vAlign w:val="center"/>
            <w:hideMark/>
          </w:tcPr>
          <w:p w14:paraId="4B2A1BD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297B0B3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KV</w:t>
            </w:r>
          </w:p>
        </w:tc>
        <w:tc>
          <w:tcPr>
            <w:tcW w:w="455" w:type="pct"/>
            <w:tcBorders>
              <w:top w:val="nil"/>
              <w:left w:val="nil"/>
              <w:bottom w:val="single" w:sz="8" w:space="0" w:color="auto"/>
              <w:right w:val="single" w:sz="8" w:space="0" w:color="auto"/>
            </w:tcBorders>
            <w:shd w:val="clear" w:color="auto" w:fill="auto"/>
            <w:vAlign w:val="center"/>
            <w:hideMark/>
          </w:tcPr>
          <w:p w14:paraId="7069ACA5"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21E9F70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8E762C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FC4AE4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Chorvátsky Grob</w:t>
            </w:r>
          </w:p>
        </w:tc>
        <w:tc>
          <w:tcPr>
            <w:tcW w:w="1118" w:type="pct"/>
            <w:tcBorders>
              <w:top w:val="nil"/>
              <w:left w:val="nil"/>
              <w:bottom w:val="single" w:sz="8" w:space="0" w:color="auto"/>
              <w:right w:val="single" w:sz="8" w:space="0" w:color="auto"/>
            </w:tcBorders>
            <w:shd w:val="clear" w:color="auto" w:fill="auto"/>
            <w:vAlign w:val="center"/>
            <w:hideMark/>
          </w:tcPr>
          <w:p w14:paraId="475DBE2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Kultúrne leto 2020</w:t>
            </w:r>
          </w:p>
        </w:tc>
        <w:tc>
          <w:tcPr>
            <w:tcW w:w="631" w:type="pct"/>
            <w:tcBorders>
              <w:top w:val="nil"/>
              <w:left w:val="nil"/>
              <w:bottom w:val="single" w:sz="8" w:space="0" w:color="auto"/>
              <w:right w:val="single" w:sz="8" w:space="0" w:color="auto"/>
            </w:tcBorders>
            <w:shd w:val="clear" w:color="auto" w:fill="auto"/>
            <w:noWrap/>
            <w:vAlign w:val="center"/>
            <w:hideMark/>
          </w:tcPr>
          <w:p w14:paraId="7255473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4C991F4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950F59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1 700,00</w:t>
            </w:r>
          </w:p>
        </w:tc>
      </w:tr>
      <w:tr w:rsidR="001139E3" w:rsidRPr="001139E3" w14:paraId="17334A6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7B57260"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6F1894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Slovenská ľudová majolika</w:t>
            </w:r>
          </w:p>
        </w:tc>
        <w:tc>
          <w:tcPr>
            <w:tcW w:w="1118" w:type="pct"/>
            <w:tcBorders>
              <w:top w:val="nil"/>
              <w:left w:val="nil"/>
              <w:bottom w:val="single" w:sz="8" w:space="0" w:color="auto"/>
              <w:right w:val="single" w:sz="8" w:space="0" w:color="auto"/>
            </w:tcBorders>
            <w:shd w:val="clear" w:color="auto" w:fill="auto"/>
            <w:vAlign w:val="center"/>
            <w:hideMark/>
          </w:tcPr>
          <w:p w14:paraId="2B2BDEF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Letné sympózium majoliky</w:t>
            </w:r>
          </w:p>
        </w:tc>
        <w:tc>
          <w:tcPr>
            <w:tcW w:w="631" w:type="pct"/>
            <w:tcBorders>
              <w:top w:val="nil"/>
              <w:left w:val="nil"/>
              <w:bottom w:val="single" w:sz="8" w:space="0" w:color="auto"/>
              <w:right w:val="single" w:sz="8" w:space="0" w:color="auto"/>
            </w:tcBorders>
            <w:shd w:val="clear" w:color="auto" w:fill="auto"/>
            <w:noWrap/>
            <w:vAlign w:val="center"/>
            <w:hideMark/>
          </w:tcPr>
          <w:p w14:paraId="4D15FE9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5FD5355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16CD4F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3 500,00</w:t>
            </w:r>
          </w:p>
        </w:tc>
      </w:tr>
      <w:tr w:rsidR="001139E3" w:rsidRPr="001139E3" w14:paraId="52659BA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5B9DAC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60B1F8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Slovenská ľudová majolika</w:t>
            </w:r>
          </w:p>
        </w:tc>
        <w:tc>
          <w:tcPr>
            <w:tcW w:w="1118" w:type="pct"/>
            <w:tcBorders>
              <w:top w:val="nil"/>
              <w:left w:val="nil"/>
              <w:bottom w:val="single" w:sz="8" w:space="0" w:color="auto"/>
              <w:right w:val="single" w:sz="8" w:space="0" w:color="auto"/>
            </w:tcBorders>
            <w:shd w:val="clear" w:color="auto" w:fill="auto"/>
            <w:vAlign w:val="center"/>
            <w:hideMark/>
          </w:tcPr>
          <w:p w14:paraId="53C5FF1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Hore Modrou maľovaná dlážka </w:t>
            </w:r>
          </w:p>
        </w:tc>
        <w:tc>
          <w:tcPr>
            <w:tcW w:w="631" w:type="pct"/>
            <w:tcBorders>
              <w:top w:val="nil"/>
              <w:left w:val="nil"/>
              <w:bottom w:val="single" w:sz="8" w:space="0" w:color="auto"/>
              <w:right w:val="single" w:sz="8" w:space="0" w:color="auto"/>
            </w:tcBorders>
            <w:shd w:val="clear" w:color="auto" w:fill="auto"/>
            <w:noWrap/>
            <w:vAlign w:val="center"/>
            <w:hideMark/>
          </w:tcPr>
          <w:p w14:paraId="6DD92A1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3F31A34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E51C7A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56540EF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F120A4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221E64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Magdalénka</w:t>
            </w:r>
          </w:p>
        </w:tc>
        <w:tc>
          <w:tcPr>
            <w:tcW w:w="1118" w:type="pct"/>
            <w:tcBorders>
              <w:top w:val="nil"/>
              <w:left w:val="nil"/>
              <w:bottom w:val="single" w:sz="8" w:space="0" w:color="auto"/>
              <w:right w:val="single" w:sz="8" w:space="0" w:color="auto"/>
            </w:tcBorders>
            <w:shd w:val="clear" w:color="auto" w:fill="auto"/>
            <w:vAlign w:val="center"/>
            <w:hideMark/>
          </w:tcPr>
          <w:p w14:paraId="398BA4A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Choreografia Myjava: Na Kopaniciach</w:t>
            </w:r>
          </w:p>
        </w:tc>
        <w:tc>
          <w:tcPr>
            <w:tcW w:w="631" w:type="pct"/>
            <w:tcBorders>
              <w:top w:val="nil"/>
              <w:left w:val="nil"/>
              <w:bottom w:val="single" w:sz="8" w:space="0" w:color="auto"/>
              <w:right w:val="single" w:sz="8" w:space="0" w:color="auto"/>
            </w:tcBorders>
            <w:shd w:val="clear" w:color="auto" w:fill="auto"/>
            <w:noWrap/>
            <w:vAlign w:val="center"/>
            <w:hideMark/>
          </w:tcPr>
          <w:p w14:paraId="3D39893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6351F34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9EF8F2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2 700,00</w:t>
            </w:r>
          </w:p>
        </w:tc>
      </w:tr>
      <w:tr w:rsidR="001139E3" w:rsidRPr="001139E3" w14:paraId="30EE4D3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1CE9887"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DBE76D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Neinvestičný fond židovského kultúrneho dedičstva - </w:t>
            </w:r>
            <w:proofErr w:type="spellStart"/>
            <w:r w:rsidRPr="001139E3">
              <w:rPr>
                <w:rFonts w:ascii="Arial" w:hAnsi="Arial" w:cs="Arial"/>
                <w:color w:val="000000"/>
                <w:sz w:val="20"/>
                <w:szCs w:val="20"/>
                <w:lang w:eastAsia="sk-SK"/>
              </w:rPr>
              <w:t>Menorah</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2EE2036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Poklady židovského múzea v Prešove II</w:t>
            </w:r>
          </w:p>
        </w:tc>
        <w:tc>
          <w:tcPr>
            <w:tcW w:w="631" w:type="pct"/>
            <w:tcBorders>
              <w:top w:val="nil"/>
              <w:left w:val="nil"/>
              <w:bottom w:val="single" w:sz="8" w:space="0" w:color="auto"/>
              <w:right w:val="single" w:sz="8" w:space="0" w:color="auto"/>
            </w:tcBorders>
            <w:shd w:val="clear" w:color="auto" w:fill="auto"/>
            <w:noWrap/>
            <w:vAlign w:val="center"/>
            <w:hideMark/>
          </w:tcPr>
          <w:p w14:paraId="2FAA46F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3271277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A03700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4 000,00</w:t>
            </w:r>
          </w:p>
        </w:tc>
      </w:tr>
      <w:tr w:rsidR="001139E3" w:rsidRPr="001139E3" w14:paraId="7F3DEDD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114C3B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4A53F0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Vysoká škola múzických </w:t>
            </w:r>
            <w:proofErr w:type="spellStart"/>
            <w:r w:rsidRPr="001139E3">
              <w:rPr>
                <w:rFonts w:ascii="Arial" w:hAnsi="Arial" w:cs="Arial"/>
                <w:color w:val="000000"/>
                <w:sz w:val="20"/>
                <w:szCs w:val="20"/>
                <w:lang w:eastAsia="sk-SK"/>
              </w:rPr>
              <w:t>umeni</w:t>
            </w:r>
            <w:proofErr w:type="spellEnd"/>
            <w:r w:rsidRPr="001139E3">
              <w:rPr>
                <w:rFonts w:ascii="Arial" w:hAnsi="Arial" w:cs="Arial"/>
                <w:color w:val="000000"/>
                <w:sz w:val="20"/>
                <w:szCs w:val="20"/>
                <w:lang w:eastAsia="sk-SK"/>
              </w:rPr>
              <w:t xml:space="preserve"> v Bratislave</w:t>
            </w:r>
          </w:p>
        </w:tc>
        <w:tc>
          <w:tcPr>
            <w:tcW w:w="1118" w:type="pct"/>
            <w:tcBorders>
              <w:top w:val="nil"/>
              <w:left w:val="nil"/>
              <w:bottom w:val="single" w:sz="8" w:space="0" w:color="auto"/>
              <w:right w:val="single" w:sz="8" w:space="0" w:color="auto"/>
            </w:tcBorders>
            <w:shd w:val="clear" w:color="auto" w:fill="auto"/>
            <w:vAlign w:val="center"/>
            <w:hideMark/>
          </w:tcPr>
          <w:p w14:paraId="62702A4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Festival študentských filmov Áčko</w:t>
            </w:r>
          </w:p>
        </w:tc>
        <w:tc>
          <w:tcPr>
            <w:tcW w:w="631" w:type="pct"/>
            <w:tcBorders>
              <w:top w:val="nil"/>
              <w:left w:val="nil"/>
              <w:bottom w:val="single" w:sz="8" w:space="0" w:color="auto"/>
              <w:right w:val="single" w:sz="8" w:space="0" w:color="auto"/>
            </w:tcBorders>
            <w:shd w:val="clear" w:color="auto" w:fill="auto"/>
            <w:noWrap/>
            <w:vAlign w:val="center"/>
            <w:hideMark/>
          </w:tcPr>
          <w:p w14:paraId="04123F0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4B09D97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3E7D0B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2 800,00</w:t>
            </w:r>
          </w:p>
        </w:tc>
      </w:tr>
      <w:tr w:rsidR="001139E3" w:rsidRPr="001139E3" w14:paraId="637F58F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5D94AC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C15DA9A"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Archimera</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6D7035E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Bratislavské moderné fontány</w:t>
            </w:r>
          </w:p>
        </w:tc>
        <w:tc>
          <w:tcPr>
            <w:tcW w:w="631" w:type="pct"/>
            <w:tcBorders>
              <w:top w:val="nil"/>
              <w:left w:val="nil"/>
              <w:bottom w:val="single" w:sz="8" w:space="0" w:color="auto"/>
              <w:right w:val="single" w:sz="8" w:space="0" w:color="auto"/>
            </w:tcBorders>
            <w:shd w:val="clear" w:color="auto" w:fill="auto"/>
            <w:noWrap/>
            <w:vAlign w:val="center"/>
            <w:hideMark/>
          </w:tcPr>
          <w:p w14:paraId="04D02DB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4175AC4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A5E01F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4665B98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784166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15D3DA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Mestský ústav ochrany pamiatok /MUOP/</w:t>
            </w:r>
          </w:p>
        </w:tc>
        <w:tc>
          <w:tcPr>
            <w:tcW w:w="1118" w:type="pct"/>
            <w:tcBorders>
              <w:top w:val="nil"/>
              <w:left w:val="nil"/>
              <w:bottom w:val="single" w:sz="8" w:space="0" w:color="auto"/>
              <w:right w:val="single" w:sz="8" w:space="0" w:color="auto"/>
            </w:tcBorders>
            <w:shd w:val="clear" w:color="auto" w:fill="auto"/>
            <w:vAlign w:val="center"/>
            <w:hideMark/>
          </w:tcPr>
          <w:p w14:paraId="4111D76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ULTIMUM REFUGIUM. (sympózium)</w:t>
            </w:r>
          </w:p>
        </w:tc>
        <w:tc>
          <w:tcPr>
            <w:tcW w:w="631" w:type="pct"/>
            <w:tcBorders>
              <w:top w:val="nil"/>
              <w:left w:val="nil"/>
              <w:bottom w:val="single" w:sz="8" w:space="0" w:color="auto"/>
              <w:right w:val="single" w:sz="8" w:space="0" w:color="auto"/>
            </w:tcBorders>
            <w:shd w:val="clear" w:color="auto" w:fill="auto"/>
            <w:noWrap/>
            <w:vAlign w:val="center"/>
            <w:hideMark/>
          </w:tcPr>
          <w:p w14:paraId="6482423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74324A9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8642ED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1 046,59</w:t>
            </w:r>
          </w:p>
        </w:tc>
      </w:tr>
      <w:tr w:rsidR="001139E3" w:rsidRPr="001139E3" w14:paraId="783B910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78C796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31AC8D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Psychiatrická nemocnica </w:t>
            </w:r>
            <w:proofErr w:type="spellStart"/>
            <w:r w:rsidRPr="001139E3">
              <w:rPr>
                <w:rFonts w:ascii="Arial" w:hAnsi="Arial" w:cs="Arial"/>
                <w:color w:val="000000"/>
                <w:sz w:val="20"/>
                <w:szCs w:val="20"/>
                <w:lang w:eastAsia="sk-SK"/>
              </w:rPr>
              <w:t>Philippa</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Pinela</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65990C6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Liečivé čaro umenia</w:t>
            </w:r>
          </w:p>
        </w:tc>
        <w:tc>
          <w:tcPr>
            <w:tcW w:w="631" w:type="pct"/>
            <w:tcBorders>
              <w:top w:val="nil"/>
              <w:left w:val="nil"/>
              <w:bottom w:val="single" w:sz="8" w:space="0" w:color="auto"/>
              <w:right w:val="single" w:sz="8" w:space="0" w:color="auto"/>
            </w:tcBorders>
            <w:shd w:val="clear" w:color="auto" w:fill="auto"/>
            <w:noWrap/>
            <w:vAlign w:val="center"/>
            <w:hideMark/>
          </w:tcPr>
          <w:p w14:paraId="3B7D626C"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54359A0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762113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2 750,00</w:t>
            </w:r>
          </w:p>
        </w:tc>
      </w:tr>
      <w:tr w:rsidR="001139E3" w:rsidRPr="001139E3" w14:paraId="05B5DA6A"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0375A70"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6954AA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c/LAP</w:t>
            </w:r>
          </w:p>
        </w:tc>
        <w:tc>
          <w:tcPr>
            <w:tcW w:w="1118" w:type="pct"/>
            <w:tcBorders>
              <w:top w:val="nil"/>
              <w:left w:val="nil"/>
              <w:bottom w:val="single" w:sz="8" w:space="0" w:color="auto"/>
              <w:right w:val="single" w:sz="8" w:space="0" w:color="auto"/>
            </w:tcBorders>
            <w:shd w:val="clear" w:color="auto" w:fill="auto"/>
            <w:vAlign w:val="center"/>
            <w:hideMark/>
          </w:tcPr>
          <w:p w14:paraId="285D21C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Reprízy zoskupenia Med a prach v roku 2020</w:t>
            </w:r>
          </w:p>
        </w:tc>
        <w:tc>
          <w:tcPr>
            <w:tcW w:w="631" w:type="pct"/>
            <w:tcBorders>
              <w:top w:val="nil"/>
              <w:left w:val="nil"/>
              <w:bottom w:val="single" w:sz="8" w:space="0" w:color="auto"/>
              <w:right w:val="single" w:sz="8" w:space="0" w:color="auto"/>
            </w:tcBorders>
            <w:shd w:val="clear" w:color="auto" w:fill="auto"/>
            <w:noWrap/>
            <w:vAlign w:val="center"/>
            <w:hideMark/>
          </w:tcPr>
          <w:p w14:paraId="17E5FC4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6D0CFF7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6B19535"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2744898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C88C4EA"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lastRenderedPageBreak/>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5F7058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Literárne informačné centrum</w:t>
            </w:r>
          </w:p>
        </w:tc>
        <w:tc>
          <w:tcPr>
            <w:tcW w:w="1118" w:type="pct"/>
            <w:tcBorders>
              <w:top w:val="nil"/>
              <w:left w:val="nil"/>
              <w:bottom w:val="single" w:sz="8" w:space="0" w:color="auto"/>
              <w:right w:val="single" w:sz="8" w:space="0" w:color="auto"/>
            </w:tcBorders>
            <w:shd w:val="clear" w:color="auto" w:fill="auto"/>
            <w:vAlign w:val="center"/>
            <w:hideMark/>
          </w:tcPr>
          <w:p w14:paraId="409BA83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Rezidenčné pobyty pre prekladateľov</w:t>
            </w:r>
          </w:p>
        </w:tc>
        <w:tc>
          <w:tcPr>
            <w:tcW w:w="631" w:type="pct"/>
            <w:tcBorders>
              <w:top w:val="nil"/>
              <w:left w:val="nil"/>
              <w:bottom w:val="single" w:sz="8" w:space="0" w:color="auto"/>
              <w:right w:val="single" w:sz="8" w:space="0" w:color="auto"/>
            </w:tcBorders>
            <w:shd w:val="clear" w:color="auto" w:fill="auto"/>
            <w:noWrap/>
            <w:vAlign w:val="center"/>
            <w:hideMark/>
          </w:tcPr>
          <w:p w14:paraId="2E912B3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233794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BC1722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2 223,10</w:t>
            </w:r>
          </w:p>
        </w:tc>
      </w:tr>
      <w:tr w:rsidR="001139E3" w:rsidRPr="001139E3" w14:paraId="03D6D71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B5CA73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C885C3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Slovenské centrum AICT</w:t>
            </w:r>
          </w:p>
        </w:tc>
        <w:tc>
          <w:tcPr>
            <w:tcW w:w="1118" w:type="pct"/>
            <w:tcBorders>
              <w:top w:val="nil"/>
              <w:left w:val="nil"/>
              <w:bottom w:val="single" w:sz="8" w:space="0" w:color="auto"/>
              <w:right w:val="single" w:sz="8" w:space="0" w:color="auto"/>
            </w:tcBorders>
            <w:shd w:val="clear" w:color="auto" w:fill="auto"/>
            <w:vAlign w:val="center"/>
            <w:hideMark/>
          </w:tcPr>
          <w:p w14:paraId="1645DB3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Monitoring bratislavských divadiel</w:t>
            </w:r>
          </w:p>
        </w:tc>
        <w:tc>
          <w:tcPr>
            <w:tcW w:w="631" w:type="pct"/>
            <w:tcBorders>
              <w:top w:val="nil"/>
              <w:left w:val="nil"/>
              <w:bottom w:val="single" w:sz="8" w:space="0" w:color="auto"/>
              <w:right w:val="single" w:sz="8" w:space="0" w:color="auto"/>
            </w:tcBorders>
            <w:shd w:val="clear" w:color="auto" w:fill="auto"/>
            <w:noWrap/>
            <w:vAlign w:val="center"/>
            <w:hideMark/>
          </w:tcPr>
          <w:p w14:paraId="10F8440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F5648A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C2D605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577492BA"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AB028B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3163F4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Mestské centrum kultúry Malacky</w:t>
            </w:r>
          </w:p>
        </w:tc>
        <w:tc>
          <w:tcPr>
            <w:tcW w:w="1118" w:type="pct"/>
            <w:tcBorders>
              <w:top w:val="nil"/>
              <w:left w:val="nil"/>
              <w:bottom w:val="single" w:sz="8" w:space="0" w:color="auto"/>
              <w:right w:val="single" w:sz="8" w:space="0" w:color="auto"/>
            </w:tcBorders>
            <w:shd w:val="clear" w:color="auto" w:fill="auto"/>
            <w:vAlign w:val="center"/>
            <w:hideMark/>
          </w:tcPr>
          <w:p w14:paraId="3786885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Stretnutie s históriou</w:t>
            </w:r>
          </w:p>
        </w:tc>
        <w:tc>
          <w:tcPr>
            <w:tcW w:w="631" w:type="pct"/>
            <w:tcBorders>
              <w:top w:val="nil"/>
              <w:left w:val="nil"/>
              <w:bottom w:val="single" w:sz="8" w:space="0" w:color="auto"/>
              <w:right w:val="single" w:sz="8" w:space="0" w:color="auto"/>
            </w:tcBorders>
            <w:shd w:val="clear" w:color="auto" w:fill="auto"/>
            <w:noWrap/>
            <w:vAlign w:val="center"/>
            <w:hideMark/>
          </w:tcPr>
          <w:p w14:paraId="3F29740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34561FF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716241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1 928,00</w:t>
            </w:r>
          </w:p>
        </w:tc>
      </w:tr>
      <w:tr w:rsidR="001139E3" w:rsidRPr="001139E3" w14:paraId="3F96E3E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E2DBEC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BFC2CD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Galéria mesta Bratislavy</w:t>
            </w:r>
          </w:p>
        </w:tc>
        <w:tc>
          <w:tcPr>
            <w:tcW w:w="1118" w:type="pct"/>
            <w:tcBorders>
              <w:top w:val="nil"/>
              <w:left w:val="nil"/>
              <w:bottom w:val="single" w:sz="8" w:space="0" w:color="auto"/>
              <w:right w:val="single" w:sz="8" w:space="0" w:color="auto"/>
            </w:tcBorders>
            <w:shd w:val="clear" w:color="auto" w:fill="auto"/>
            <w:vAlign w:val="center"/>
            <w:hideMark/>
          </w:tcPr>
          <w:p w14:paraId="0450DA1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Obnova expozície Gotika v Pálffyho paláci</w:t>
            </w:r>
          </w:p>
        </w:tc>
        <w:tc>
          <w:tcPr>
            <w:tcW w:w="631" w:type="pct"/>
            <w:tcBorders>
              <w:top w:val="nil"/>
              <w:left w:val="nil"/>
              <w:bottom w:val="single" w:sz="8" w:space="0" w:color="auto"/>
              <w:right w:val="single" w:sz="8" w:space="0" w:color="auto"/>
            </w:tcBorders>
            <w:shd w:val="clear" w:color="auto" w:fill="auto"/>
            <w:noWrap/>
            <w:vAlign w:val="center"/>
            <w:hideMark/>
          </w:tcPr>
          <w:p w14:paraId="2CCBA81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BFBED8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AD4C50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29B2DDD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AB2BACA"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5B499FE"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Museum</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Vinorum</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0C84917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Výskum veľkomoravskej pevnosti vo Svätom Jure</w:t>
            </w:r>
          </w:p>
        </w:tc>
        <w:tc>
          <w:tcPr>
            <w:tcW w:w="631" w:type="pct"/>
            <w:tcBorders>
              <w:top w:val="nil"/>
              <w:left w:val="nil"/>
              <w:bottom w:val="single" w:sz="8" w:space="0" w:color="auto"/>
              <w:right w:val="single" w:sz="8" w:space="0" w:color="auto"/>
            </w:tcBorders>
            <w:shd w:val="clear" w:color="auto" w:fill="auto"/>
            <w:noWrap/>
            <w:vAlign w:val="center"/>
            <w:hideMark/>
          </w:tcPr>
          <w:p w14:paraId="54CD8D8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6CBB1AD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10220D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7DFCE99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DF5D6C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B3E51C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FOTOFO</w:t>
            </w:r>
          </w:p>
        </w:tc>
        <w:tc>
          <w:tcPr>
            <w:tcW w:w="1118" w:type="pct"/>
            <w:tcBorders>
              <w:top w:val="nil"/>
              <w:left w:val="nil"/>
              <w:bottom w:val="single" w:sz="8" w:space="0" w:color="auto"/>
              <w:right w:val="single" w:sz="8" w:space="0" w:color="auto"/>
            </w:tcBorders>
            <w:shd w:val="clear" w:color="auto" w:fill="auto"/>
            <w:vAlign w:val="center"/>
            <w:hideMark/>
          </w:tcPr>
          <w:p w14:paraId="50D55C2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Stredoeurópsky dom fotografie</w:t>
            </w:r>
          </w:p>
        </w:tc>
        <w:tc>
          <w:tcPr>
            <w:tcW w:w="631" w:type="pct"/>
            <w:tcBorders>
              <w:top w:val="nil"/>
              <w:left w:val="nil"/>
              <w:bottom w:val="single" w:sz="8" w:space="0" w:color="auto"/>
              <w:right w:val="single" w:sz="8" w:space="0" w:color="auto"/>
            </w:tcBorders>
            <w:shd w:val="clear" w:color="auto" w:fill="auto"/>
            <w:noWrap/>
            <w:vAlign w:val="center"/>
            <w:hideMark/>
          </w:tcPr>
          <w:p w14:paraId="243CF1A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510F50F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3A1B72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0C4F58D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A9A91E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6DB7C5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Asociácia súčasného tanca</w:t>
            </w:r>
          </w:p>
        </w:tc>
        <w:tc>
          <w:tcPr>
            <w:tcW w:w="1118" w:type="pct"/>
            <w:tcBorders>
              <w:top w:val="nil"/>
              <w:left w:val="nil"/>
              <w:bottom w:val="single" w:sz="8" w:space="0" w:color="auto"/>
              <w:right w:val="single" w:sz="8" w:space="0" w:color="auto"/>
            </w:tcBorders>
            <w:shd w:val="clear" w:color="auto" w:fill="auto"/>
            <w:vAlign w:val="center"/>
            <w:hideMark/>
          </w:tcPr>
          <w:p w14:paraId="6D3D1AD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Zelená je tráva</w:t>
            </w:r>
          </w:p>
        </w:tc>
        <w:tc>
          <w:tcPr>
            <w:tcW w:w="631" w:type="pct"/>
            <w:tcBorders>
              <w:top w:val="nil"/>
              <w:left w:val="nil"/>
              <w:bottom w:val="single" w:sz="8" w:space="0" w:color="auto"/>
              <w:right w:val="single" w:sz="8" w:space="0" w:color="auto"/>
            </w:tcBorders>
            <w:shd w:val="clear" w:color="auto" w:fill="auto"/>
            <w:noWrap/>
            <w:vAlign w:val="center"/>
            <w:hideMark/>
          </w:tcPr>
          <w:p w14:paraId="5C3CC8F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22F73BA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1B8097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4 500,00</w:t>
            </w:r>
          </w:p>
        </w:tc>
      </w:tr>
      <w:tr w:rsidR="001139E3" w:rsidRPr="001139E3" w14:paraId="77569BA3"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B0F342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151828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Asociácia súčasného tanca</w:t>
            </w:r>
          </w:p>
        </w:tc>
        <w:tc>
          <w:tcPr>
            <w:tcW w:w="1118" w:type="pct"/>
            <w:tcBorders>
              <w:top w:val="nil"/>
              <w:left w:val="nil"/>
              <w:bottom w:val="single" w:sz="8" w:space="0" w:color="auto"/>
              <w:right w:val="single" w:sz="8" w:space="0" w:color="auto"/>
            </w:tcBorders>
            <w:shd w:val="clear" w:color="auto" w:fill="auto"/>
            <w:vAlign w:val="center"/>
            <w:hideMark/>
          </w:tcPr>
          <w:p w14:paraId="5F0A081A"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Nu</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DanceFest</w:t>
            </w:r>
            <w:proofErr w:type="spellEnd"/>
            <w:r w:rsidRPr="001139E3">
              <w:rPr>
                <w:rFonts w:ascii="Arial" w:hAnsi="Arial" w:cs="Arial"/>
                <w:color w:val="000000"/>
                <w:sz w:val="20"/>
                <w:szCs w:val="20"/>
                <w:lang w:eastAsia="sk-SK"/>
              </w:rPr>
              <w:t xml:space="preserve"> 2020, 15. ročník</w:t>
            </w:r>
          </w:p>
        </w:tc>
        <w:tc>
          <w:tcPr>
            <w:tcW w:w="631" w:type="pct"/>
            <w:tcBorders>
              <w:top w:val="nil"/>
              <w:left w:val="nil"/>
              <w:bottom w:val="single" w:sz="8" w:space="0" w:color="auto"/>
              <w:right w:val="single" w:sz="8" w:space="0" w:color="auto"/>
            </w:tcBorders>
            <w:shd w:val="clear" w:color="auto" w:fill="auto"/>
            <w:noWrap/>
            <w:vAlign w:val="center"/>
            <w:hideMark/>
          </w:tcPr>
          <w:p w14:paraId="1EE5C62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FEFB7E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A6F352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4 500,00</w:t>
            </w:r>
          </w:p>
        </w:tc>
      </w:tr>
      <w:tr w:rsidR="001139E3" w:rsidRPr="001139E3" w14:paraId="58F0881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09DBC3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E4986E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Divadlo Petra </w:t>
            </w:r>
            <w:proofErr w:type="spellStart"/>
            <w:r w:rsidRPr="001139E3">
              <w:rPr>
                <w:rFonts w:ascii="Arial" w:hAnsi="Arial" w:cs="Arial"/>
                <w:color w:val="000000"/>
                <w:sz w:val="20"/>
                <w:szCs w:val="20"/>
                <w:lang w:eastAsia="sk-SK"/>
              </w:rPr>
              <w:t>Mankoveckého</w:t>
            </w:r>
            <w:proofErr w:type="spellEnd"/>
            <w:r w:rsidRPr="001139E3">
              <w:rPr>
                <w:rFonts w:ascii="Arial" w:hAnsi="Arial" w:cs="Arial"/>
                <w:color w:val="000000"/>
                <w:sz w:val="20"/>
                <w:szCs w:val="20"/>
                <w:lang w:eastAsia="sk-SK"/>
              </w:rPr>
              <w:t xml:space="preserve"> </w:t>
            </w:r>
          </w:p>
        </w:tc>
        <w:tc>
          <w:tcPr>
            <w:tcW w:w="1118" w:type="pct"/>
            <w:tcBorders>
              <w:top w:val="nil"/>
              <w:left w:val="nil"/>
              <w:bottom w:val="single" w:sz="8" w:space="0" w:color="auto"/>
              <w:right w:val="single" w:sz="8" w:space="0" w:color="auto"/>
            </w:tcBorders>
            <w:shd w:val="clear" w:color="auto" w:fill="auto"/>
            <w:vAlign w:val="center"/>
            <w:hideMark/>
          </w:tcPr>
          <w:p w14:paraId="75CA3E3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Macbeth vlkom</w:t>
            </w:r>
          </w:p>
        </w:tc>
        <w:tc>
          <w:tcPr>
            <w:tcW w:w="631" w:type="pct"/>
            <w:tcBorders>
              <w:top w:val="nil"/>
              <w:left w:val="nil"/>
              <w:bottom w:val="single" w:sz="8" w:space="0" w:color="auto"/>
              <w:right w:val="single" w:sz="8" w:space="0" w:color="auto"/>
            </w:tcBorders>
            <w:shd w:val="clear" w:color="auto" w:fill="auto"/>
            <w:noWrap/>
            <w:vAlign w:val="center"/>
            <w:hideMark/>
          </w:tcPr>
          <w:p w14:paraId="6AC1911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EE7A90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84C0F3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5D4E0D6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EA2F09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BF5B1B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Divadlo Petra </w:t>
            </w:r>
            <w:proofErr w:type="spellStart"/>
            <w:r w:rsidRPr="001139E3">
              <w:rPr>
                <w:rFonts w:ascii="Arial" w:hAnsi="Arial" w:cs="Arial"/>
                <w:color w:val="000000"/>
                <w:sz w:val="20"/>
                <w:szCs w:val="20"/>
                <w:lang w:eastAsia="sk-SK"/>
              </w:rPr>
              <w:t>Mankoveckého</w:t>
            </w:r>
            <w:proofErr w:type="spellEnd"/>
            <w:r w:rsidRPr="001139E3">
              <w:rPr>
                <w:rFonts w:ascii="Arial" w:hAnsi="Arial" w:cs="Arial"/>
                <w:color w:val="000000"/>
                <w:sz w:val="20"/>
                <w:szCs w:val="20"/>
                <w:lang w:eastAsia="sk-SK"/>
              </w:rPr>
              <w:t xml:space="preserve"> </w:t>
            </w:r>
          </w:p>
        </w:tc>
        <w:tc>
          <w:tcPr>
            <w:tcW w:w="1118" w:type="pct"/>
            <w:tcBorders>
              <w:top w:val="nil"/>
              <w:left w:val="nil"/>
              <w:bottom w:val="single" w:sz="8" w:space="0" w:color="auto"/>
              <w:right w:val="single" w:sz="8" w:space="0" w:color="auto"/>
            </w:tcBorders>
            <w:shd w:val="clear" w:color="auto" w:fill="auto"/>
            <w:vAlign w:val="center"/>
            <w:hideMark/>
          </w:tcPr>
          <w:p w14:paraId="4BAEBA6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Aktivity Divadla Petra </w:t>
            </w:r>
            <w:proofErr w:type="spellStart"/>
            <w:r w:rsidRPr="001139E3">
              <w:rPr>
                <w:rFonts w:ascii="Arial" w:hAnsi="Arial" w:cs="Arial"/>
                <w:color w:val="000000"/>
                <w:sz w:val="20"/>
                <w:szCs w:val="20"/>
                <w:lang w:eastAsia="sk-SK"/>
              </w:rPr>
              <w:t>Mankoveckého</w:t>
            </w:r>
            <w:proofErr w:type="spellEnd"/>
            <w:r w:rsidRPr="001139E3">
              <w:rPr>
                <w:rFonts w:ascii="Arial" w:hAnsi="Arial" w:cs="Arial"/>
                <w:color w:val="000000"/>
                <w:sz w:val="20"/>
                <w:szCs w:val="20"/>
                <w:lang w:eastAsia="sk-SK"/>
              </w:rPr>
              <w:t xml:space="preserve"> </w:t>
            </w:r>
          </w:p>
        </w:tc>
        <w:tc>
          <w:tcPr>
            <w:tcW w:w="631" w:type="pct"/>
            <w:tcBorders>
              <w:top w:val="nil"/>
              <w:left w:val="nil"/>
              <w:bottom w:val="single" w:sz="8" w:space="0" w:color="auto"/>
              <w:right w:val="single" w:sz="8" w:space="0" w:color="auto"/>
            </w:tcBorders>
            <w:shd w:val="clear" w:color="auto" w:fill="auto"/>
            <w:noWrap/>
            <w:vAlign w:val="center"/>
            <w:hideMark/>
          </w:tcPr>
          <w:p w14:paraId="0931D8D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585948C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44A313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6BFABED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664F1C7"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99C0C1A"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Moncolova</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32890CC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Periférne videnie / </w:t>
            </w:r>
            <w:proofErr w:type="spellStart"/>
            <w:r w:rsidRPr="001139E3">
              <w:rPr>
                <w:rFonts w:ascii="Arial" w:hAnsi="Arial" w:cs="Arial"/>
                <w:color w:val="000000"/>
                <w:sz w:val="20"/>
                <w:szCs w:val="20"/>
                <w:lang w:eastAsia="sk-SK"/>
              </w:rPr>
              <w:t>Peripheral</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Vision</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4EBAEA4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73BA9F6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98204B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4FC006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D78DF7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122385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Združenie </w:t>
            </w:r>
            <w:proofErr w:type="spellStart"/>
            <w:r w:rsidRPr="001139E3">
              <w:rPr>
                <w:rFonts w:ascii="Arial" w:hAnsi="Arial" w:cs="Arial"/>
                <w:color w:val="000000"/>
                <w:sz w:val="20"/>
                <w:szCs w:val="20"/>
                <w:lang w:eastAsia="sk-SK"/>
              </w:rPr>
              <w:t>šperkárov</w:t>
            </w:r>
            <w:proofErr w:type="spellEnd"/>
            <w:r w:rsidRPr="001139E3">
              <w:rPr>
                <w:rFonts w:ascii="Arial" w:hAnsi="Arial" w:cs="Arial"/>
                <w:color w:val="000000"/>
                <w:sz w:val="20"/>
                <w:szCs w:val="20"/>
                <w:lang w:eastAsia="sk-SK"/>
              </w:rPr>
              <w:t xml:space="preserve"> AURA</w:t>
            </w:r>
          </w:p>
        </w:tc>
        <w:tc>
          <w:tcPr>
            <w:tcW w:w="1118" w:type="pct"/>
            <w:tcBorders>
              <w:top w:val="nil"/>
              <w:left w:val="nil"/>
              <w:bottom w:val="single" w:sz="8" w:space="0" w:color="auto"/>
              <w:right w:val="single" w:sz="8" w:space="0" w:color="auto"/>
            </w:tcBorders>
            <w:shd w:val="clear" w:color="auto" w:fill="auto"/>
            <w:vAlign w:val="center"/>
            <w:hideMark/>
          </w:tcPr>
          <w:p w14:paraId="48D84675"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ŠperkStret</w:t>
            </w:r>
            <w:proofErr w:type="spellEnd"/>
            <w:r w:rsidRPr="001139E3">
              <w:rPr>
                <w:rFonts w:ascii="Arial" w:hAnsi="Arial" w:cs="Arial"/>
                <w:color w:val="000000"/>
                <w:sz w:val="20"/>
                <w:szCs w:val="20"/>
                <w:lang w:eastAsia="sk-SK"/>
              </w:rPr>
              <w:t xml:space="preserve"> 2020</w:t>
            </w:r>
          </w:p>
        </w:tc>
        <w:tc>
          <w:tcPr>
            <w:tcW w:w="631" w:type="pct"/>
            <w:tcBorders>
              <w:top w:val="nil"/>
              <w:left w:val="nil"/>
              <w:bottom w:val="single" w:sz="8" w:space="0" w:color="auto"/>
              <w:right w:val="single" w:sz="8" w:space="0" w:color="auto"/>
            </w:tcBorders>
            <w:shd w:val="clear" w:color="auto" w:fill="auto"/>
            <w:noWrap/>
            <w:vAlign w:val="center"/>
            <w:hideMark/>
          </w:tcPr>
          <w:p w14:paraId="2C13E33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200F10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92C566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2 900,00</w:t>
            </w:r>
          </w:p>
        </w:tc>
      </w:tr>
      <w:tr w:rsidR="001139E3" w:rsidRPr="001139E3" w14:paraId="759F34C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2A8CF8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12E52E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Projekt Fórum - OZ</w:t>
            </w:r>
          </w:p>
        </w:tc>
        <w:tc>
          <w:tcPr>
            <w:tcW w:w="1118" w:type="pct"/>
            <w:tcBorders>
              <w:top w:val="nil"/>
              <w:left w:val="nil"/>
              <w:bottom w:val="single" w:sz="8" w:space="0" w:color="auto"/>
              <w:right w:val="single" w:sz="8" w:space="0" w:color="auto"/>
            </w:tcBorders>
            <w:shd w:val="clear" w:color="auto" w:fill="auto"/>
            <w:vAlign w:val="center"/>
            <w:hideMark/>
          </w:tcPr>
          <w:p w14:paraId="192F07C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Stredoeurópske fórum 2020</w:t>
            </w:r>
          </w:p>
        </w:tc>
        <w:tc>
          <w:tcPr>
            <w:tcW w:w="631" w:type="pct"/>
            <w:tcBorders>
              <w:top w:val="nil"/>
              <w:left w:val="nil"/>
              <w:bottom w:val="single" w:sz="8" w:space="0" w:color="auto"/>
              <w:right w:val="single" w:sz="8" w:space="0" w:color="auto"/>
            </w:tcBorders>
            <w:shd w:val="clear" w:color="auto" w:fill="auto"/>
            <w:noWrap/>
            <w:vAlign w:val="center"/>
            <w:hideMark/>
          </w:tcPr>
          <w:p w14:paraId="3C49A55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705820B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FEB015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4 000,00</w:t>
            </w:r>
          </w:p>
        </w:tc>
      </w:tr>
      <w:tr w:rsidR="001139E3" w:rsidRPr="001139E3" w14:paraId="1D5ADE3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7BBC40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95CE3C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Divadlo bez domova</w:t>
            </w:r>
          </w:p>
        </w:tc>
        <w:tc>
          <w:tcPr>
            <w:tcW w:w="1118" w:type="pct"/>
            <w:tcBorders>
              <w:top w:val="nil"/>
              <w:left w:val="nil"/>
              <w:bottom w:val="single" w:sz="8" w:space="0" w:color="auto"/>
              <w:right w:val="single" w:sz="8" w:space="0" w:color="auto"/>
            </w:tcBorders>
            <w:shd w:val="clear" w:color="auto" w:fill="auto"/>
            <w:vAlign w:val="center"/>
            <w:hideMark/>
          </w:tcPr>
          <w:p w14:paraId="3B9B97A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ERROR 2020</w:t>
            </w:r>
          </w:p>
        </w:tc>
        <w:tc>
          <w:tcPr>
            <w:tcW w:w="631" w:type="pct"/>
            <w:tcBorders>
              <w:top w:val="nil"/>
              <w:left w:val="nil"/>
              <w:bottom w:val="single" w:sz="8" w:space="0" w:color="auto"/>
              <w:right w:val="single" w:sz="8" w:space="0" w:color="auto"/>
            </w:tcBorders>
            <w:shd w:val="clear" w:color="auto" w:fill="auto"/>
            <w:noWrap/>
            <w:vAlign w:val="center"/>
            <w:hideMark/>
          </w:tcPr>
          <w:p w14:paraId="5B1577EC"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1A6708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938A69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4 000,00</w:t>
            </w:r>
          </w:p>
        </w:tc>
      </w:tr>
      <w:tr w:rsidR="001139E3" w:rsidRPr="001139E3" w14:paraId="3C3EFA0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20CDAFF"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23A46C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Guča s.r.o.</w:t>
            </w:r>
          </w:p>
        </w:tc>
        <w:tc>
          <w:tcPr>
            <w:tcW w:w="1118" w:type="pct"/>
            <w:tcBorders>
              <w:top w:val="nil"/>
              <w:left w:val="nil"/>
              <w:bottom w:val="single" w:sz="8" w:space="0" w:color="auto"/>
              <w:right w:val="single" w:sz="8" w:space="0" w:color="auto"/>
            </w:tcBorders>
            <w:shd w:val="clear" w:color="auto" w:fill="auto"/>
            <w:vAlign w:val="center"/>
            <w:hideMark/>
          </w:tcPr>
          <w:p w14:paraId="10B8ECA0"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Brave</w:t>
            </w:r>
            <w:proofErr w:type="spellEnd"/>
            <w:r w:rsidRPr="001139E3">
              <w:rPr>
                <w:rFonts w:ascii="Arial" w:hAnsi="Arial" w:cs="Arial"/>
                <w:color w:val="000000"/>
                <w:sz w:val="20"/>
                <w:szCs w:val="20"/>
                <w:lang w:eastAsia="sk-SK"/>
              </w:rPr>
              <w:t xml:space="preserve"> new </w:t>
            </w:r>
            <w:proofErr w:type="spellStart"/>
            <w:r w:rsidRPr="001139E3">
              <w:rPr>
                <w:rFonts w:ascii="Arial" w:hAnsi="Arial" w:cs="Arial"/>
                <w:color w:val="000000"/>
                <w:sz w:val="20"/>
                <w:szCs w:val="20"/>
                <w:lang w:eastAsia="sk-SK"/>
              </w:rPr>
              <w:t>word</w:t>
            </w:r>
            <w:proofErr w:type="spellEnd"/>
            <w:r w:rsidRPr="001139E3">
              <w:rPr>
                <w:rFonts w:ascii="Arial" w:hAnsi="Arial" w:cs="Arial"/>
                <w:color w:val="000000"/>
                <w:sz w:val="20"/>
                <w:szCs w:val="20"/>
                <w:lang w:eastAsia="sk-SK"/>
              </w:rPr>
              <w:t xml:space="preserve"> - Prekrásny nový svet</w:t>
            </w:r>
          </w:p>
        </w:tc>
        <w:tc>
          <w:tcPr>
            <w:tcW w:w="631" w:type="pct"/>
            <w:tcBorders>
              <w:top w:val="nil"/>
              <w:left w:val="nil"/>
              <w:bottom w:val="single" w:sz="8" w:space="0" w:color="auto"/>
              <w:right w:val="single" w:sz="8" w:space="0" w:color="auto"/>
            </w:tcBorders>
            <w:shd w:val="clear" w:color="auto" w:fill="auto"/>
            <w:noWrap/>
            <w:vAlign w:val="center"/>
            <w:hideMark/>
          </w:tcPr>
          <w:p w14:paraId="215A646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23CBCA8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C2616A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197151B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70B9D3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39B0E4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POST BELLUM SK</w:t>
            </w:r>
          </w:p>
        </w:tc>
        <w:tc>
          <w:tcPr>
            <w:tcW w:w="1118" w:type="pct"/>
            <w:tcBorders>
              <w:top w:val="nil"/>
              <w:left w:val="nil"/>
              <w:bottom w:val="single" w:sz="8" w:space="0" w:color="auto"/>
              <w:right w:val="single" w:sz="8" w:space="0" w:color="auto"/>
            </w:tcBorders>
            <w:shd w:val="clear" w:color="auto" w:fill="auto"/>
            <w:vAlign w:val="center"/>
            <w:hideMark/>
          </w:tcPr>
          <w:p w14:paraId="1E80E9E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Výstava k 75. výročiu ukončenia 2. svetovej vojny</w:t>
            </w:r>
          </w:p>
        </w:tc>
        <w:tc>
          <w:tcPr>
            <w:tcW w:w="631" w:type="pct"/>
            <w:tcBorders>
              <w:top w:val="nil"/>
              <w:left w:val="nil"/>
              <w:bottom w:val="single" w:sz="8" w:space="0" w:color="auto"/>
              <w:right w:val="single" w:sz="8" w:space="0" w:color="auto"/>
            </w:tcBorders>
            <w:shd w:val="clear" w:color="auto" w:fill="auto"/>
            <w:noWrap/>
            <w:vAlign w:val="center"/>
            <w:hideMark/>
          </w:tcPr>
          <w:p w14:paraId="529A30D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00506D7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88535E5"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21A687B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B595C5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E38FEB4"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InMusic</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0B900B9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Ensemble </w:t>
            </w:r>
            <w:proofErr w:type="spellStart"/>
            <w:r w:rsidRPr="001139E3">
              <w:rPr>
                <w:rFonts w:ascii="Arial" w:hAnsi="Arial" w:cs="Arial"/>
                <w:color w:val="000000"/>
                <w:sz w:val="20"/>
                <w:szCs w:val="20"/>
                <w:lang w:eastAsia="sk-SK"/>
              </w:rPr>
              <w:t>Ricercata</w:t>
            </w:r>
            <w:proofErr w:type="spellEnd"/>
            <w:r w:rsidRPr="001139E3">
              <w:rPr>
                <w:rFonts w:ascii="Arial" w:hAnsi="Arial" w:cs="Arial"/>
                <w:color w:val="000000"/>
                <w:sz w:val="20"/>
                <w:szCs w:val="20"/>
                <w:lang w:eastAsia="sk-SK"/>
              </w:rPr>
              <w:t xml:space="preserve"> - koncerty 2020</w:t>
            </w:r>
          </w:p>
        </w:tc>
        <w:tc>
          <w:tcPr>
            <w:tcW w:w="631" w:type="pct"/>
            <w:tcBorders>
              <w:top w:val="nil"/>
              <w:left w:val="nil"/>
              <w:bottom w:val="single" w:sz="8" w:space="0" w:color="auto"/>
              <w:right w:val="single" w:sz="8" w:space="0" w:color="auto"/>
            </w:tcBorders>
            <w:shd w:val="clear" w:color="auto" w:fill="auto"/>
            <w:noWrap/>
            <w:vAlign w:val="center"/>
            <w:hideMark/>
          </w:tcPr>
          <w:p w14:paraId="301995A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08EA31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B13CCD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0630AF0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CB113A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04BD2E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Slovenská výtvarná únia</w:t>
            </w:r>
          </w:p>
        </w:tc>
        <w:tc>
          <w:tcPr>
            <w:tcW w:w="1118" w:type="pct"/>
            <w:tcBorders>
              <w:top w:val="nil"/>
              <w:left w:val="nil"/>
              <w:bottom w:val="single" w:sz="8" w:space="0" w:color="auto"/>
              <w:right w:val="single" w:sz="8" w:space="0" w:color="auto"/>
            </w:tcBorders>
            <w:shd w:val="clear" w:color="auto" w:fill="auto"/>
            <w:vAlign w:val="center"/>
            <w:hideMark/>
          </w:tcPr>
          <w:p w14:paraId="77E6843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Galéria UMELKA 2020</w:t>
            </w:r>
          </w:p>
        </w:tc>
        <w:tc>
          <w:tcPr>
            <w:tcW w:w="631" w:type="pct"/>
            <w:tcBorders>
              <w:top w:val="nil"/>
              <w:left w:val="nil"/>
              <w:bottom w:val="single" w:sz="8" w:space="0" w:color="auto"/>
              <w:right w:val="single" w:sz="8" w:space="0" w:color="auto"/>
            </w:tcBorders>
            <w:shd w:val="clear" w:color="auto" w:fill="auto"/>
            <w:noWrap/>
            <w:vAlign w:val="center"/>
            <w:hideMark/>
          </w:tcPr>
          <w:p w14:paraId="616C0B5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08FB5E6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E6224F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432038A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4B7B28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649B399"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Ars</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Musica</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347BCF6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Publikácia Hudobné dejiny Bratislavy</w:t>
            </w:r>
          </w:p>
        </w:tc>
        <w:tc>
          <w:tcPr>
            <w:tcW w:w="631" w:type="pct"/>
            <w:tcBorders>
              <w:top w:val="nil"/>
              <w:left w:val="nil"/>
              <w:bottom w:val="single" w:sz="8" w:space="0" w:color="auto"/>
              <w:right w:val="single" w:sz="8" w:space="0" w:color="auto"/>
            </w:tcBorders>
            <w:shd w:val="clear" w:color="auto" w:fill="auto"/>
            <w:noWrap/>
            <w:vAlign w:val="center"/>
            <w:hideMark/>
          </w:tcPr>
          <w:p w14:paraId="0CD0353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2A96BC4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3C0B65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526F9E4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62AC4C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1CBB2C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Noc Architektúry</w:t>
            </w:r>
          </w:p>
        </w:tc>
        <w:tc>
          <w:tcPr>
            <w:tcW w:w="1118" w:type="pct"/>
            <w:tcBorders>
              <w:top w:val="nil"/>
              <w:left w:val="nil"/>
              <w:bottom w:val="single" w:sz="8" w:space="0" w:color="auto"/>
              <w:right w:val="single" w:sz="8" w:space="0" w:color="auto"/>
            </w:tcBorders>
            <w:shd w:val="clear" w:color="auto" w:fill="auto"/>
            <w:vAlign w:val="center"/>
            <w:hideMark/>
          </w:tcPr>
          <w:p w14:paraId="2E973844"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Chadder</w:t>
            </w:r>
            <w:proofErr w:type="spellEnd"/>
            <w:r w:rsidRPr="001139E3">
              <w:rPr>
                <w:rFonts w:ascii="Arial" w:hAnsi="Arial" w:cs="Arial"/>
                <w:color w:val="000000"/>
                <w:sz w:val="20"/>
                <w:szCs w:val="20"/>
                <w:lang w:eastAsia="sk-SK"/>
              </w:rPr>
              <w:t xml:space="preserve"> 2020</w:t>
            </w:r>
          </w:p>
        </w:tc>
        <w:tc>
          <w:tcPr>
            <w:tcW w:w="631" w:type="pct"/>
            <w:tcBorders>
              <w:top w:val="nil"/>
              <w:left w:val="nil"/>
              <w:bottom w:val="single" w:sz="8" w:space="0" w:color="auto"/>
              <w:right w:val="single" w:sz="8" w:space="0" w:color="auto"/>
            </w:tcBorders>
            <w:shd w:val="clear" w:color="auto" w:fill="auto"/>
            <w:noWrap/>
            <w:vAlign w:val="center"/>
            <w:hideMark/>
          </w:tcPr>
          <w:p w14:paraId="7A5661C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5EF2817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85D681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2 079,94</w:t>
            </w:r>
          </w:p>
        </w:tc>
      </w:tr>
      <w:tr w:rsidR="001139E3" w:rsidRPr="001139E3" w14:paraId="377DDFF3"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F18457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12EA6A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Film </w:t>
            </w:r>
            <w:proofErr w:type="spellStart"/>
            <w:r w:rsidRPr="001139E3">
              <w:rPr>
                <w:rFonts w:ascii="Arial" w:hAnsi="Arial" w:cs="Arial"/>
                <w:color w:val="000000"/>
                <w:sz w:val="20"/>
                <w:szCs w:val="20"/>
                <w:lang w:eastAsia="sk-SK"/>
              </w:rPr>
              <w:t>Europe</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75BB164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Be2Can 2020</w:t>
            </w:r>
          </w:p>
        </w:tc>
        <w:tc>
          <w:tcPr>
            <w:tcW w:w="631" w:type="pct"/>
            <w:tcBorders>
              <w:top w:val="nil"/>
              <w:left w:val="nil"/>
              <w:bottom w:val="single" w:sz="8" w:space="0" w:color="auto"/>
              <w:right w:val="single" w:sz="8" w:space="0" w:color="auto"/>
            </w:tcBorders>
            <w:shd w:val="clear" w:color="auto" w:fill="auto"/>
            <w:noWrap/>
            <w:vAlign w:val="center"/>
            <w:hideMark/>
          </w:tcPr>
          <w:p w14:paraId="2552669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6536176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72CA9E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2 800,00</w:t>
            </w:r>
          </w:p>
        </w:tc>
      </w:tr>
      <w:tr w:rsidR="001139E3" w:rsidRPr="001139E3" w14:paraId="240DD29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C92E377"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A2D238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KPTL</w:t>
            </w:r>
          </w:p>
        </w:tc>
        <w:tc>
          <w:tcPr>
            <w:tcW w:w="1118" w:type="pct"/>
            <w:tcBorders>
              <w:top w:val="nil"/>
              <w:left w:val="nil"/>
              <w:bottom w:val="single" w:sz="8" w:space="0" w:color="auto"/>
              <w:right w:val="single" w:sz="8" w:space="0" w:color="auto"/>
            </w:tcBorders>
            <w:shd w:val="clear" w:color="auto" w:fill="auto"/>
            <w:vAlign w:val="center"/>
            <w:hideMark/>
          </w:tcPr>
          <w:p w14:paraId="70B8969B"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kapitalks</w:t>
            </w:r>
            <w:proofErr w:type="spellEnd"/>
            <w:r w:rsidRPr="001139E3">
              <w:rPr>
                <w:rFonts w:ascii="Arial" w:hAnsi="Arial" w:cs="Arial"/>
                <w:color w:val="000000"/>
                <w:sz w:val="20"/>
                <w:szCs w:val="20"/>
                <w:lang w:eastAsia="sk-SK"/>
              </w:rPr>
              <w:t xml:space="preserve"> 2020</w:t>
            </w:r>
          </w:p>
        </w:tc>
        <w:tc>
          <w:tcPr>
            <w:tcW w:w="631" w:type="pct"/>
            <w:tcBorders>
              <w:top w:val="nil"/>
              <w:left w:val="nil"/>
              <w:bottom w:val="single" w:sz="8" w:space="0" w:color="auto"/>
              <w:right w:val="single" w:sz="8" w:space="0" w:color="auto"/>
            </w:tcBorders>
            <w:shd w:val="clear" w:color="auto" w:fill="auto"/>
            <w:noWrap/>
            <w:vAlign w:val="center"/>
            <w:hideMark/>
          </w:tcPr>
          <w:p w14:paraId="7476AAB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0780632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367E6C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4 000,00</w:t>
            </w:r>
          </w:p>
        </w:tc>
      </w:tr>
      <w:tr w:rsidR="001139E3" w:rsidRPr="001139E3" w14:paraId="14920AB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15594D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B3C0B1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HITCHHIKER </w:t>
            </w:r>
            <w:proofErr w:type="spellStart"/>
            <w:r w:rsidRPr="001139E3">
              <w:rPr>
                <w:rFonts w:ascii="Arial" w:hAnsi="Arial" w:cs="Arial"/>
                <w:color w:val="000000"/>
                <w:sz w:val="20"/>
                <w:szCs w:val="20"/>
                <w:lang w:eastAsia="sk-SK"/>
              </w:rPr>
              <w:t>Cinema</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19817AE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Čiary - distribúcia </w:t>
            </w:r>
          </w:p>
        </w:tc>
        <w:tc>
          <w:tcPr>
            <w:tcW w:w="631" w:type="pct"/>
            <w:tcBorders>
              <w:top w:val="nil"/>
              <w:left w:val="nil"/>
              <w:bottom w:val="single" w:sz="8" w:space="0" w:color="auto"/>
              <w:right w:val="single" w:sz="8" w:space="0" w:color="auto"/>
            </w:tcBorders>
            <w:shd w:val="clear" w:color="auto" w:fill="auto"/>
            <w:noWrap/>
            <w:vAlign w:val="center"/>
            <w:hideMark/>
          </w:tcPr>
          <w:p w14:paraId="1754765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E4D991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1F6CFE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74DF399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1B1BA6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A4852B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Iniciatívna inakosť</w:t>
            </w:r>
          </w:p>
        </w:tc>
        <w:tc>
          <w:tcPr>
            <w:tcW w:w="1118" w:type="pct"/>
            <w:tcBorders>
              <w:top w:val="nil"/>
              <w:left w:val="nil"/>
              <w:bottom w:val="single" w:sz="8" w:space="0" w:color="auto"/>
              <w:right w:val="single" w:sz="8" w:space="0" w:color="auto"/>
            </w:tcBorders>
            <w:shd w:val="clear" w:color="auto" w:fill="auto"/>
            <w:vAlign w:val="center"/>
            <w:hideMark/>
          </w:tcPr>
          <w:p w14:paraId="239AF04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Filmový festival inakosti 2020</w:t>
            </w:r>
          </w:p>
        </w:tc>
        <w:tc>
          <w:tcPr>
            <w:tcW w:w="631" w:type="pct"/>
            <w:tcBorders>
              <w:top w:val="nil"/>
              <w:left w:val="nil"/>
              <w:bottom w:val="single" w:sz="8" w:space="0" w:color="auto"/>
              <w:right w:val="single" w:sz="8" w:space="0" w:color="auto"/>
            </w:tcBorders>
            <w:shd w:val="clear" w:color="auto" w:fill="auto"/>
            <w:noWrap/>
            <w:vAlign w:val="center"/>
            <w:hideMark/>
          </w:tcPr>
          <w:p w14:paraId="0A00C8E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5B28427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28A0B4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4 000,00</w:t>
            </w:r>
          </w:p>
        </w:tc>
      </w:tr>
      <w:tr w:rsidR="001139E3" w:rsidRPr="001139E3" w14:paraId="090BE5A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2B0784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702CE0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Verbunk s.r.o.</w:t>
            </w:r>
          </w:p>
        </w:tc>
        <w:tc>
          <w:tcPr>
            <w:tcW w:w="1118" w:type="pct"/>
            <w:tcBorders>
              <w:top w:val="nil"/>
              <w:left w:val="nil"/>
              <w:bottom w:val="single" w:sz="8" w:space="0" w:color="auto"/>
              <w:right w:val="single" w:sz="8" w:space="0" w:color="auto"/>
            </w:tcBorders>
            <w:shd w:val="clear" w:color="auto" w:fill="auto"/>
            <w:vAlign w:val="center"/>
            <w:hideMark/>
          </w:tcPr>
          <w:p w14:paraId="01A5B52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Časopis TANEC</w:t>
            </w:r>
          </w:p>
        </w:tc>
        <w:tc>
          <w:tcPr>
            <w:tcW w:w="631" w:type="pct"/>
            <w:tcBorders>
              <w:top w:val="nil"/>
              <w:left w:val="nil"/>
              <w:bottom w:val="single" w:sz="8" w:space="0" w:color="auto"/>
              <w:right w:val="single" w:sz="8" w:space="0" w:color="auto"/>
            </w:tcBorders>
            <w:shd w:val="clear" w:color="auto" w:fill="auto"/>
            <w:noWrap/>
            <w:vAlign w:val="center"/>
            <w:hideMark/>
          </w:tcPr>
          <w:p w14:paraId="4D23B39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DADB5E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C28ECA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4 000,00</w:t>
            </w:r>
          </w:p>
        </w:tc>
      </w:tr>
      <w:tr w:rsidR="001139E3" w:rsidRPr="001139E3" w14:paraId="6BF926C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8757AA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DF01E3B"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Actoris</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services</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3FC4A00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Tiché kino</w:t>
            </w:r>
          </w:p>
        </w:tc>
        <w:tc>
          <w:tcPr>
            <w:tcW w:w="631" w:type="pct"/>
            <w:tcBorders>
              <w:top w:val="nil"/>
              <w:left w:val="nil"/>
              <w:bottom w:val="single" w:sz="8" w:space="0" w:color="auto"/>
              <w:right w:val="single" w:sz="8" w:space="0" w:color="auto"/>
            </w:tcBorders>
            <w:shd w:val="clear" w:color="auto" w:fill="auto"/>
            <w:noWrap/>
            <w:vAlign w:val="center"/>
            <w:hideMark/>
          </w:tcPr>
          <w:p w14:paraId="753C7AF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2C46660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3C587D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7000652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050D0A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76120A2"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Future</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Proof</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742DC6C2"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Virtual.techsummit</w:t>
            </w:r>
            <w:proofErr w:type="spellEnd"/>
            <w:r w:rsidRPr="001139E3">
              <w:rPr>
                <w:rFonts w:ascii="Arial" w:hAnsi="Arial" w:cs="Arial"/>
                <w:color w:val="000000"/>
                <w:sz w:val="20"/>
                <w:szCs w:val="20"/>
                <w:lang w:eastAsia="sk-SK"/>
              </w:rPr>
              <w:t xml:space="preserve"> - Mestá v kríze</w:t>
            </w:r>
          </w:p>
        </w:tc>
        <w:tc>
          <w:tcPr>
            <w:tcW w:w="631" w:type="pct"/>
            <w:tcBorders>
              <w:top w:val="nil"/>
              <w:left w:val="nil"/>
              <w:bottom w:val="single" w:sz="8" w:space="0" w:color="auto"/>
              <w:right w:val="single" w:sz="8" w:space="0" w:color="auto"/>
            </w:tcBorders>
            <w:shd w:val="clear" w:color="auto" w:fill="auto"/>
            <w:noWrap/>
            <w:vAlign w:val="center"/>
            <w:hideMark/>
          </w:tcPr>
          <w:p w14:paraId="1B2EED8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725A061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2A7875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1 600,00</w:t>
            </w:r>
          </w:p>
        </w:tc>
      </w:tr>
      <w:tr w:rsidR="001139E3" w:rsidRPr="001139E3" w14:paraId="0B901FF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A34903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D8E384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Jeden23223</w:t>
            </w:r>
          </w:p>
        </w:tc>
        <w:tc>
          <w:tcPr>
            <w:tcW w:w="1118" w:type="pct"/>
            <w:tcBorders>
              <w:top w:val="nil"/>
              <w:left w:val="nil"/>
              <w:bottom w:val="single" w:sz="8" w:space="0" w:color="auto"/>
              <w:right w:val="single" w:sz="8" w:space="0" w:color="auto"/>
            </w:tcBorders>
            <w:shd w:val="clear" w:color="auto" w:fill="auto"/>
            <w:vAlign w:val="center"/>
            <w:hideMark/>
          </w:tcPr>
          <w:p w14:paraId="44118D2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Grand Gala 2020</w:t>
            </w:r>
          </w:p>
        </w:tc>
        <w:tc>
          <w:tcPr>
            <w:tcW w:w="631" w:type="pct"/>
            <w:tcBorders>
              <w:top w:val="nil"/>
              <w:left w:val="nil"/>
              <w:bottom w:val="single" w:sz="8" w:space="0" w:color="auto"/>
              <w:right w:val="single" w:sz="8" w:space="0" w:color="auto"/>
            </w:tcBorders>
            <w:shd w:val="clear" w:color="auto" w:fill="auto"/>
            <w:noWrap/>
            <w:vAlign w:val="center"/>
            <w:hideMark/>
          </w:tcPr>
          <w:p w14:paraId="7061D69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7471E6C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0B003D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550D287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326AD1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DCBBA00"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Záhoracky</w:t>
            </w:r>
            <w:proofErr w:type="spellEnd"/>
            <w:r w:rsidRPr="001139E3">
              <w:rPr>
                <w:rFonts w:ascii="Arial" w:hAnsi="Arial" w:cs="Arial"/>
                <w:color w:val="000000"/>
                <w:sz w:val="20"/>
                <w:szCs w:val="20"/>
                <w:lang w:eastAsia="sk-SK"/>
              </w:rPr>
              <w:t xml:space="preserve"> folklór</w:t>
            </w:r>
          </w:p>
        </w:tc>
        <w:tc>
          <w:tcPr>
            <w:tcW w:w="1118" w:type="pct"/>
            <w:tcBorders>
              <w:top w:val="nil"/>
              <w:left w:val="nil"/>
              <w:bottom w:val="single" w:sz="8" w:space="0" w:color="auto"/>
              <w:right w:val="single" w:sz="8" w:space="0" w:color="auto"/>
            </w:tcBorders>
            <w:shd w:val="clear" w:color="auto" w:fill="auto"/>
            <w:vAlign w:val="center"/>
            <w:hideMark/>
          </w:tcPr>
          <w:p w14:paraId="3BAB7FF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III. </w:t>
            </w:r>
            <w:proofErr w:type="spellStart"/>
            <w:r w:rsidRPr="001139E3">
              <w:rPr>
                <w:rFonts w:ascii="Arial" w:hAnsi="Arial" w:cs="Arial"/>
                <w:color w:val="000000"/>
                <w:sz w:val="20"/>
                <w:szCs w:val="20"/>
                <w:lang w:eastAsia="sk-SK"/>
              </w:rPr>
              <w:t>Frolová</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notečka</w:t>
            </w:r>
            <w:proofErr w:type="spellEnd"/>
            <w:r w:rsidRPr="001139E3">
              <w:rPr>
                <w:rFonts w:ascii="Arial" w:hAnsi="Arial" w:cs="Arial"/>
                <w:color w:val="000000"/>
                <w:sz w:val="20"/>
                <w:szCs w:val="20"/>
                <w:lang w:eastAsia="sk-SK"/>
              </w:rPr>
              <w:t xml:space="preserve"> - folklórna prehliadka</w:t>
            </w:r>
          </w:p>
        </w:tc>
        <w:tc>
          <w:tcPr>
            <w:tcW w:w="631" w:type="pct"/>
            <w:tcBorders>
              <w:top w:val="nil"/>
              <w:left w:val="nil"/>
              <w:bottom w:val="single" w:sz="8" w:space="0" w:color="auto"/>
              <w:right w:val="single" w:sz="8" w:space="0" w:color="auto"/>
            </w:tcBorders>
            <w:shd w:val="clear" w:color="auto" w:fill="auto"/>
            <w:noWrap/>
            <w:vAlign w:val="center"/>
            <w:hideMark/>
          </w:tcPr>
          <w:p w14:paraId="3D5A25F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4670384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A2B955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3 328,00</w:t>
            </w:r>
          </w:p>
        </w:tc>
      </w:tr>
      <w:tr w:rsidR="001139E3" w:rsidRPr="001139E3" w14:paraId="6C629FB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4D6FCE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6B029C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NOMANTINELS</w:t>
            </w:r>
          </w:p>
        </w:tc>
        <w:tc>
          <w:tcPr>
            <w:tcW w:w="1118" w:type="pct"/>
            <w:tcBorders>
              <w:top w:val="nil"/>
              <w:left w:val="nil"/>
              <w:bottom w:val="single" w:sz="8" w:space="0" w:color="auto"/>
              <w:right w:val="single" w:sz="8" w:space="0" w:color="auto"/>
            </w:tcBorders>
            <w:shd w:val="clear" w:color="auto" w:fill="auto"/>
            <w:vAlign w:val="center"/>
            <w:hideMark/>
          </w:tcPr>
          <w:p w14:paraId="5F40138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Výstava </w:t>
            </w:r>
            <w:proofErr w:type="spellStart"/>
            <w:r w:rsidRPr="001139E3">
              <w:rPr>
                <w:rFonts w:ascii="Arial" w:hAnsi="Arial" w:cs="Arial"/>
                <w:color w:val="000000"/>
                <w:sz w:val="20"/>
                <w:szCs w:val="20"/>
                <w:lang w:eastAsia="sk-SK"/>
              </w:rPr>
              <w:t>Removal</w:t>
            </w:r>
            <w:proofErr w:type="spellEnd"/>
            <w:r w:rsidRPr="001139E3">
              <w:rPr>
                <w:rFonts w:ascii="Arial" w:hAnsi="Arial" w:cs="Arial"/>
                <w:color w:val="000000"/>
                <w:sz w:val="20"/>
                <w:szCs w:val="20"/>
                <w:lang w:eastAsia="sk-SK"/>
              </w:rPr>
              <w:t xml:space="preserve"> of </w:t>
            </w:r>
            <w:proofErr w:type="spellStart"/>
            <w:r w:rsidRPr="001139E3">
              <w:rPr>
                <w:rFonts w:ascii="Arial" w:hAnsi="Arial" w:cs="Arial"/>
                <w:color w:val="000000"/>
                <w:sz w:val="20"/>
                <w:szCs w:val="20"/>
                <w:lang w:eastAsia="sk-SK"/>
              </w:rPr>
              <w:t>Queer</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Curtain</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3839361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05DC343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BCB2BF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0E728DA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E95E20F"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70E244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Modranská muzeálna spoločnosť</w:t>
            </w:r>
          </w:p>
        </w:tc>
        <w:tc>
          <w:tcPr>
            <w:tcW w:w="1118" w:type="pct"/>
            <w:tcBorders>
              <w:top w:val="nil"/>
              <w:left w:val="nil"/>
              <w:bottom w:val="single" w:sz="8" w:space="0" w:color="auto"/>
              <w:right w:val="single" w:sz="8" w:space="0" w:color="auto"/>
            </w:tcBorders>
            <w:shd w:val="clear" w:color="auto" w:fill="auto"/>
            <w:vAlign w:val="center"/>
            <w:hideMark/>
          </w:tcPr>
          <w:p w14:paraId="7493896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Ľudový odev v Modre - Kráľovej II.</w:t>
            </w:r>
          </w:p>
        </w:tc>
        <w:tc>
          <w:tcPr>
            <w:tcW w:w="631" w:type="pct"/>
            <w:tcBorders>
              <w:top w:val="nil"/>
              <w:left w:val="nil"/>
              <w:bottom w:val="single" w:sz="8" w:space="0" w:color="auto"/>
              <w:right w:val="single" w:sz="8" w:space="0" w:color="auto"/>
            </w:tcBorders>
            <w:shd w:val="clear" w:color="auto" w:fill="auto"/>
            <w:noWrap/>
            <w:vAlign w:val="center"/>
            <w:hideMark/>
          </w:tcPr>
          <w:p w14:paraId="5B0BB9F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6BEB234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6B665F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099E922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BB1CA4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EA950D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Pre súčasnú operu</w:t>
            </w:r>
          </w:p>
        </w:tc>
        <w:tc>
          <w:tcPr>
            <w:tcW w:w="1118" w:type="pct"/>
            <w:tcBorders>
              <w:top w:val="nil"/>
              <w:left w:val="nil"/>
              <w:bottom w:val="single" w:sz="8" w:space="0" w:color="auto"/>
              <w:right w:val="single" w:sz="8" w:space="0" w:color="auto"/>
            </w:tcBorders>
            <w:shd w:val="clear" w:color="auto" w:fill="auto"/>
            <w:vAlign w:val="center"/>
            <w:hideMark/>
          </w:tcPr>
          <w:p w14:paraId="508E520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Autorská divadelná inscenácia "Šľachtici"</w:t>
            </w:r>
          </w:p>
        </w:tc>
        <w:tc>
          <w:tcPr>
            <w:tcW w:w="631" w:type="pct"/>
            <w:tcBorders>
              <w:top w:val="nil"/>
              <w:left w:val="nil"/>
              <w:bottom w:val="single" w:sz="8" w:space="0" w:color="auto"/>
              <w:right w:val="single" w:sz="8" w:space="0" w:color="auto"/>
            </w:tcBorders>
            <w:shd w:val="clear" w:color="auto" w:fill="auto"/>
            <w:noWrap/>
            <w:vAlign w:val="center"/>
            <w:hideMark/>
          </w:tcPr>
          <w:p w14:paraId="7EED597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728E074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DBA92CD"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2DE1922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3588C5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lastRenderedPageBreak/>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70C168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Inštitút Slovenskej komory architektov (ISKA)</w:t>
            </w:r>
          </w:p>
        </w:tc>
        <w:tc>
          <w:tcPr>
            <w:tcW w:w="1118" w:type="pct"/>
            <w:tcBorders>
              <w:top w:val="nil"/>
              <w:left w:val="nil"/>
              <w:bottom w:val="single" w:sz="8" w:space="0" w:color="auto"/>
              <w:right w:val="single" w:sz="8" w:space="0" w:color="auto"/>
            </w:tcBorders>
            <w:shd w:val="clear" w:color="auto" w:fill="auto"/>
            <w:vAlign w:val="center"/>
            <w:hideMark/>
          </w:tcPr>
          <w:p w14:paraId="45CA2D9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Katalóg CE ZA AR a Priestor#3</w:t>
            </w:r>
          </w:p>
        </w:tc>
        <w:tc>
          <w:tcPr>
            <w:tcW w:w="631" w:type="pct"/>
            <w:tcBorders>
              <w:top w:val="nil"/>
              <w:left w:val="nil"/>
              <w:bottom w:val="single" w:sz="8" w:space="0" w:color="auto"/>
              <w:right w:val="single" w:sz="8" w:space="0" w:color="auto"/>
            </w:tcBorders>
            <w:shd w:val="clear" w:color="auto" w:fill="auto"/>
            <w:noWrap/>
            <w:vAlign w:val="center"/>
            <w:hideMark/>
          </w:tcPr>
          <w:p w14:paraId="7843B1D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5809DFC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DDB3735"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7C27B9A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1B1520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AA4277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ACADEMIA ISTROPOLITANA NOVA</w:t>
            </w:r>
          </w:p>
        </w:tc>
        <w:tc>
          <w:tcPr>
            <w:tcW w:w="1118" w:type="pct"/>
            <w:tcBorders>
              <w:top w:val="nil"/>
              <w:left w:val="nil"/>
              <w:bottom w:val="single" w:sz="8" w:space="0" w:color="auto"/>
              <w:right w:val="single" w:sz="8" w:space="0" w:color="auto"/>
            </w:tcBorders>
            <w:shd w:val="clear" w:color="auto" w:fill="auto"/>
            <w:vAlign w:val="center"/>
            <w:hideMark/>
          </w:tcPr>
          <w:p w14:paraId="168BBD8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Ocenenie za príkladnú obnovu 2020</w:t>
            </w:r>
          </w:p>
        </w:tc>
        <w:tc>
          <w:tcPr>
            <w:tcW w:w="631" w:type="pct"/>
            <w:tcBorders>
              <w:top w:val="nil"/>
              <w:left w:val="nil"/>
              <w:bottom w:val="single" w:sz="8" w:space="0" w:color="auto"/>
              <w:right w:val="single" w:sz="8" w:space="0" w:color="auto"/>
            </w:tcBorders>
            <w:shd w:val="clear" w:color="auto" w:fill="auto"/>
            <w:noWrap/>
            <w:vAlign w:val="center"/>
            <w:hideMark/>
          </w:tcPr>
          <w:p w14:paraId="09F3AD9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6456DB0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31EB58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3 840,00</w:t>
            </w:r>
          </w:p>
        </w:tc>
      </w:tr>
      <w:tr w:rsidR="001139E3" w:rsidRPr="001139E3" w14:paraId="4C5990A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B0A87B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E04A8E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ACADEMIA ISTROPOLITANA NOVA</w:t>
            </w:r>
          </w:p>
        </w:tc>
        <w:tc>
          <w:tcPr>
            <w:tcW w:w="1118" w:type="pct"/>
            <w:tcBorders>
              <w:top w:val="nil"/>
              <w:left w:val="nil"/>
              <w:bottom w:val="single" w:sz="8" w:space="0" w:color="auto"/>
              <w:right w:val="single" w:sz="8" w:space="0" w:color="auto"/>
            </w:tcBorders>
            <w:shd w:val="clear" w:color="auto" w:fill="auto"/>
            <w:vAlign w:val="center"/>
            <w:hideMark/>
          </w:tcPr>
          <w:p w14:paraId="13CFAB3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Škola tradičných stavebných remesiel 2020</w:t>
            </w:r>
          </w:p>
        </w:tc>
        <w:tc>
          <w:tcPr>
            <w:tcW w:w="631" w:type="pct"/>
            <w:tcBorders>
              <w:top w:val="nil"/>
              <w:left w:val="nil"/>
              <w:bottom w:val="single" w:sz="8" w:space="0" w:color="auto"/>
              <w:right w:val="single" w:sz="8" w:space="0" w:color="auto"/>
            </w:tcBorders>
            <w:shd w:val="clear" w:color="auto" w:fill="auto"/>
            <w:noWrap/>
            <w:vAlign w:val="center"/>
            <w:hideMark/>
          </w:tcPr>
          <w:p w14:paraId="20E7163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5C4B5A1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1CD4EE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19FBD97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30EECC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E9E31D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Asociácia slovenských filmových klubov</w:t>
            </w:r>
          </w:p>
        </w:tc>
        <w:tc>
          <w:tcPr>
            <w:tcW w:w="1118" w:type="pct"/>
            <w:tcBorders>
              <w:top w:val="nil"/>
              <w:left w:val="nil"/>
              <w:bottom w:val="single" w:sz="8" w:space="0" w:color="auto"/>
              <w:right w:val="single" w:sz="8" w:space="0" w:color="auto"/>
            </w:tcBorders>
            <w:shd w:val="clear" w:color="auto" w:fill="auto"/>
            <w:vAlign w:val="center"/>
            <w:hideMark/>
          </w:tcPr>
          <w:p w14:paraId="65E9AFC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Medzinárodný filmový festival FEBIOFEST 2020</w:t>
            </w:r>
          </w:p>
        </w:tc>
        <w:tc>
          <w:tcPr>
            <w:tcW w:w="631" w:type="pct"/>
            <w:tcBorders>
              <w:top w:val="nil"/>
              <w:left w:val="nil"/>
              <w:bottom w:val="single" w:sz="8" w:space="0" w:color="auto"/>
              <w:right w:val="single" w:sz="8" w:space="0" w:color="auto"/>
            </w:tcBorders>
            <w:shd w:val="clear" w:color="auto" w:fill="auto"/>
            <w:noWrap/>
            <w:vAlign w:val="center"/>
            <w:hideMark/>
          </w:tcPr>
          <w:p w14:paraId="510986D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7586B14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B4B11EF"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523F61E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DD2635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B3950B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Človek v ohrození, </w:t>
            </w:r>
            <w:proofErr w:type="spellStart"/>
            <w:r w:rsidRPr="001139E3">
              <w:rPr>
                <w:rFonts w:ascii="Arial" w:hAnsi="Arial" w:cs="Arial"/>
                <w:color w:val="000000"/>
                <w:sz w:val="20"/>
                <w:szCs w:val="20"/>
                <w:lang w:eastAsia="sk-SK"/>
              </w:rPr>
              <w:t>n.o</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20DAC6D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Jeden svet 2020</w:t>
            </w:r>
          </w:p>
        </w:tc>
        <w:tc>
          <w:tcPr>
            <w:tcW w:w="631" w:type="pct"/>
            <w:tcBorders>
              <w:top w:val="nil"/>
              <w:left w:val="nil"/>
              <w:bottom w:val="single" w:sz="8" w:space="0" w:color="auto"/>
              <w:right w:val="single" w:sz="8" w:space="0" w:color="auto"/>
            </w:tcBorders>
            <w:shd w:val="clear" w:color="auto" w:fill="auto"/>
            <w:noWrap/>
            <w:vAlign w:val="center"/>
            <w:hideMark/>
          </w:tcPr>
          <w:p w14:paraId="040BD73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554C250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5358BC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5B0ADDD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49AA46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BA17E4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Andrea </w:t>
            </w:r>
            <w:proofErr w:type="spellStart"/>
            <w:r w:rsidRPr="001139E3">
              <w:rPr>
                <w:rFonts w:ascii="Arial" w:hAnsi="Arial" w:cs="Arial"/>
                <w:color w:val="000000"/>
                <w:sz w:val="20"/>
                <w:szCs w:val="20"/>
                <w:lang w:eastAsia="sk-SK"/>
              </w:rPr>
              <w:t>Kutlíková</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1D7522A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ART TALK</w:t>
            </w:r>
          </w:p>
        </w:tc>
        <w:tc>
          <w:tcPr>
            <w:tcW w:w="631" w:type="pct"/>
            <w:tcBorders>
              <w:top w:val="nil"/>
              <w:left w:val="nil"/>
              <w:bottom w:val="single" w:sz="8" w:space="0" w:color="auto"/>
              <w:right w:val="single" w:sz="8" w:space="0" w:color="auto"/>
            </w:tcBorders>
            <w:shd w:val="clear" w:color="auto" w:fill="auto"/>
            <w:noWrap/>
            <w:vAlign w:val="center"/>
            <w:hideMark/>
          </w:tcPr>
          <w:p w14:paraId="31BE825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749ADCC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414BFB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56EB8423"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AEC5FC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9237916"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Bebe</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Rebe</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10E91D62"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Babele</w:t>
            </w:r>
            <w:proofErr w:type="spellEnd"/>
            <w:r w:rsidRPr="001139E3">
              <w:rPr>
                <w:rFonts w:ascii="Arial" w:hAnsi="Arial" w:cs="Arial"/>
                <w:color w:val="000000"/>
                <w:sz w:val="20"/>
                <w:szCs w:val="20"/>
                <w:lang w:eastAsia="sk-SK"/>
              </w:rPr>
              <w:t xml:space="preserve"> beat band </w:t>
            </w:r>
          </w:p>
        </w:tc>
        <w:tc>
          <w:tcPr>
            <w:tcW w:w="631" w:type="pct"/>
            <w:tcBorders>
              <w:top w:val="nil"/>
              <w:left w:val="nil"/>
              <w:bottom w:val="single" w:sz="8" w:space="0" w:color="auto"/>
              <w:right w:val="single" w:sz="8" w:space="0" w:color="auto"/>
            </w:tcBorders>
            <w:shd w:val="clear" w:color="auto" w:fill="auto"/>
            <w:noWrap/>
            <w:vAlign w:val="center"/>
            <w:hideMark/>
          </w:tcPr>
          <w:p w14:paraId="5A18EAA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08EEEF6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162D0A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08037FE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4391B0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DCE3C4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Slovak </w:t>
            </w:r>
            <w:proofErr w:type="spellStart"/>
            <w:r w:rsidRPr="001139E3">
              <w:rPr>
                <w:rFonts w:ascii="Arial" w:hAnsi="Arial" w:cs="Arial"/>
                <w:color w:val="000000"/>
                <w:sz w:val="20"/>
                <w:szCs w:val="20"/>
                <w:lang w:eastAsia="sk-SK"/>
              </w:rPr>
              <w:t>Fashion</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Council</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2BEC1344"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Open</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Studios</w:t>
            </w:r>
            <w:proofErr w:type="spellEnd"/>
            <w:r w:rsidRPr="001139E3">
              <w:rPr>
                <w:rFonts w:ascii="Arial" w:hAnsi="Arial" w:cs="Arial"/>
                <w:color w:val="000000"/>
                <w:sz w:val="20"/>
                <w:szCs w:val="20"/>
                <w:lang w:eastAsia="sk-SK"/>
              </w:rPr>
              <w:t>: FASHION MAP</w:t>
            </w:r>
          </w:p>
        </w:tc>
        <w:tc>
          <w:tcPr>
            <w:tcW w:w="631" w:type="pct"/>
            <w:tcBorders>
              <w:top w:val="nil"/>
              <w:left w:val="nil"/>
              <w:bottom w:val="single" w:sz="8" w:space="0" w:color="auto"/>
              <w:right w:val="single" w:sz="8" w:space="0" w:color="auto"/>
            </w:tcBorders>
            <w:shd w:val="clear" w:color="auto" w:fill="auto"/>
            <w:noWrap/>
            <w:vAlign w:val="center"/>
            <w:hideMark/>
          </w:tcPr>
          <w:p w14:paraId="1AABE18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4EF70ED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7014D6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7C3566D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94F655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5F0787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Zahorian &amp; Van </w:t>
            </w:r>
            <w:proofErr w:type="spellStart"/>
            <w:r w:rsidRPr="001139E3">
              <w:rPr>
                <w:rFonts w:ascii="Arial" w:hAnsi="Arial" w:cs="Arial"/>
                <w:color w:val="000000"/>
                <w:sz w:val="20"/>
                <w:szCs w:val="20"/>
                <w:lang w:eastAsia="sk-SK"/>
              </w:rPr>
              <w:t>Espen</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3549C18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Výstava J. </w:t>
            </w:r>
            <w:proofErr w:type="spellStart"/>
            <w:r w:rsidRPr="001139E3">
              <w:rPr>
                <w:rFonts w:ascii="Arial" w:hAnsi="Arial" w:cs="Arial"/>
                <w:color w:val="000000"/>
                <w:sz w:val="20"/>
                <w:szCs w:val="20"/>
                <w:lang w:eastAsia="sk-SK"/>
              </w:rPr>
              <w:t>Kovanda</w:t>
            </w:r>
            <w:proofErr w:type="spellEnd"/>
            <w:r w:rsidRPr="001139E3">
              <w:rPr>
                <w:rFonts w:ascii="Arial" w:hAnsi="Arial" w:cs="Arial"/>
                <w:color w:val="000000"/>
                <w:sz w:val="20"/>
                <w:szCs w:val="20"/>
                <w:lang w:eastAsia="sk-SK"/>
              </w:rPr>
              <w:t xml:space="preserve"> a Z. </w:t>
            </w:r>
            <w:proofErr w:type="spellStart"/>
            <w:r w:rsidRPr="001139E3">
              <w:rPr>
                <w:rFonts w:ascii="Arial" w:hAnsi="Arial" w:cs="Arial"/>
                <w:color w:val="000000"/>
                <w:sz w:val="20"/>
                <w:szCs w:val="20"/>
                <w:lang w:eastAsia="sk-SK"/>
              </w:rPr>
              <w:t>Kadyrova</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6992F5A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45E78AD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EC6659F"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3A3EC39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7B73D6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BBB05C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BCHZ</w:t>
            </w:r>
          </w:p>
        </w:tc>
        <w:tc>
          <w:tcPr>
            <w:tcW w:w="1118" w:type="pct"/>
            <w:tcBorders>
              <w:top w:val="nil"/>
              <w:left w:val="nil"/>
              <w:bottom w:val="single" w:sz="8" w:space="0" w:color="auto"/>
              <w:right w:val="single" w:sz="8" w:space="0" w:color="auto"/>
            </w:tcBorders>
            <w:shd w:val="clear" w:color="auto" w:fill="auto"/>
            <w:vAlign w:val="center"/>
            <w:hideMark/>
          </w:tcPr>
          <w:p w14:paraId="10D8DAE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Letná hudobná škola</w:t>
            </w:r>
          </w:p>
        </w:tc>
        <w:tc>
          <w:tcPr>
            <w:tcW w:w="631" w:type="pct"/>
            <w:tcBorders>
              <w:top w:val="nil"/>
              <w:left w:val="nil"/>
              <w:bottom w:val="single" w:sz="8" w:space="0" w:color="auto"/>
              <w:right w:val="single" w:sz="8" w:space="0" w:color="auto"/>
            </w:tcBorders>
            <w:shd w:val="clear" w:color="auto" w:fill="auto"/>
            <w:noWrap/>
            <w:vAlign w:val="center"/>
            <w:hideMark/>
          </w:tcPr>
          <w:p w14:paraId="6A530B0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0EDA614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AD2F64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2160DBB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4E1F13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AEE91E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MČ Bratislava - Jarovce</w:t>
            </w:r>
          </w:p>
        </w:tc>
        <w:tc>
          <w:tcPr>
            <w:tcW w:w="1118" w:type="pct"/>
            <w:tcBorders>
              <w:top w:val="nil"/>
              <w:left w:val="nil"/>
              <w:bottom w:val="single" w:sz="8" w:space="0" w:color="auto"/>
              <w:right w:val="single" w:sz="8" w:space="0" w:color="auto"/>
            </w:tcBorders>
            <w:shd w:val="clear" w:color="auto" w:fill="auto"/>
            <w:vAlign w:val="center"/>
            <w:hideMark/>
          </w:tcPr>
          <w:p w14:paraId="6D60587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7. festival Podunajskej kultúry Jarovce</w:t>
            </w:r>
          </w:p>
        </w:tc>
        <w:tc>
          <w:tcPr>
            <w:tcW w:w="631" w:type="pct"/>
            <w:tcBorders>
              <w:top w:val="nil"/>
              <w:left w:val="nil"/>
              <w:bottom w:val="single" w:sz="8" w:space="0" w:color="auto"/>
              <w:right w:val="single" w:sz="8" w:space="0" w:color="auto"/>
            </w:tcBorders>
            <w:shd w:val="clear" w:color="auto" w:fill="auto"/>
            <w:noWrap/>
            <w:vAlign w:val="center"/>
            <w:hideMark/>
          </w:tcPr>
          <w:p w14:paraId="242E5EE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21FC0BC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D5BAF4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16E4164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BD8CA0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6CC29C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Šedý medveď</w:t>
            </w:r>
          </w:p>
        </w:tc>
        <w:tc>
          <w:tcPr>
            <w:tcW w:w="1118" w:type="pct"/>
            <w:tcBorders>
              <w:top w:val="nil"/>
              <w:left w:val="nil"/>
              <w:bottom w:val="single" w:sz="8" w:space="0" w:color="auto"/>
              <w:right w:val="single" w:sz="8" w:space="0" w:color="auto"/>
            </w:tcBorders>
            <w:shd w:val="clear" w:color="auto" w:fill="auto"/>
            <w:vAlign w:val="center"/>
            <w:hideMark/>
          </w:tcPr>
          <w:p w14:paraId="416B244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DÍKY MOC za pomoc</w:t>
            </w:r>
          </w:p>
        </w:tc>
        <w:tc>
          <w:tcPr>
            <w:tcW w:w="631" w:type="pct"/>
            <w:tcBorders>
              <w:top w:val="nil"/>
              <w:left w:val="nil"/>
              <w:bottom w:val="single" w:sz="8" w:space="0" w:color="auto"/>
              <w:right w:val="single" w:sz="8" w:space="0" w:color="auto"/>
            </w:tcBorders>
            <w:shd w:val="clear" w:color="auto" w:fill="auto"/>
            <w:noWrap/>
            <w:vAlign w:val="center"/>
            <w:hideMark/>
          </w:tcPr>
          <w:p w14:paraId="465AF2E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2A26977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58C6AA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16CC694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7388A6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F23342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Iniciatívna inakosť</w:t>
            </w:r>
          </w:p>
        </w:tc>
        <w:tc>
          <w:tcPr>
            <w:tcW w:w="1118" w:type="pct"/>
            <w:tcBorders>
              <w:top w:val="nil"/>
              <w:left w:val="nil"/>
              <w:bottom w:val="single" w:sz="8" w:space="0" w:color="auto"/>
              <w:right w:val="single" w:sz="8" w:space="0" w:color="auto"/>
            </w:tcBorders>
            <w:shd w:val="clear" w:color="auto" w:fill="auto"/>
            <w:vAlign w:val="center"/>
            <w:hideMark/>
          </w:tcPr>
          <w:p w14:paraId="649419ED"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inPoradňa</w:t>
            </w:r>
            <w:proofErr w:type="spellEnd"/>
            <w:r w:rsidRPr="001139E3">
              <w:rPr>
                <w:rFonts w:ascii="Arial" w:hAnsi="Arial" w:cs="Arial"/>
                <w:color w:val="000000"/>
                <w:sz w:val="20"/>
                <w:szCs w:val="20"/>
                <w:lang w:eastAsia="sk-SK"/>
              </w:rPr>
              <w:t xml:space="preserve"> - poradenstvo pre LGBTI mládež</w:t>
            </w:r>
          </w:p>
        </w:tc>
        <w:tc>
          <w:tcPr>
            <w:tcW w:w="631" w:type="pct"/>
            <w:tcBorders>
              <w:top w:val="nil"/>
              <w:left w:val="nil"/>
              <w:bottom w:val="single" w:sz="8" w:space="0" w:color="auto"/>
              <w:right w:val="single" w:sz="8" w:space="0" w:color="auto"/>
            </w:tcBorders>
            <w:shd w:val="clear" w:color="auto" w:fill="auto"/>
            <w:noWrap/>
            <w:vAlign w:val="center"/>
            <w:hideMark/>
          </w:tcPr>
          <w:p w14:paraId="20B3729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F3ED38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844E9D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999,85</w:t>
            </w:r>
          </w:p>
        </w:tc>
      </w:tr>
      <w:tr w:rsidR="001139E3" w:rsidRPr="001139E3" w14:paraId="239E931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E52495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5D3BE3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CHARAKTER - Film </w:t>
            </w:r>
            <w:proofErr w:type="spellStart"/>
            <w:r w:rsidRPr="001139E3">
              <w:rPr>
                <w:rFonts w:ascii="Arial" w:hAnsi="Arial" w:cs="Arial"/>
                <w:color w:val="000000"/>
                <w:sz w:val="20"/>
                <w:szCs w:val="20"/>
                <w:lang w:eastAsia="sk-SK"/>
              </w:rPr>
              <w:t>Development</w:t>
            </w:r>
            <w:proofErr w:type="spellEnd"/>
            <w:r w:rsidRPr="001139E3">
              <w:rPr>
                <w:rFonts w:ascii="Arial" w:hAnsi="Arial" w:cs="Arial"/>
                <w:color w:val="000000"/>
                <w:sz w:val="20"/>
                <w:szCs w:val="20"/>
                <w:lang w:eastAsia="sk-SK"/>
              </w:rPr>
              <w:t xml:space="preserve"> Association</w:t>
            </w:r>
          </w:p>
        </w:tc>
        <w:tc>
          <w:tcPr>
            <w:tcW w:w="1118" w:type="pct"/>
            <w:tcBorders>
              <w:top w:val="nil"/>
              <w:left w:val="nil"/>
              <w:bottom w:val="single" w:sz="8" w:space="0" w:color="auto"/>
              <w:right w:val="single" w:sz="8" w:space="0" w:color="auto"/>
            </w:tcBorders>
            <w:shd w:val="clear" w:color="auto" w:fill="auto"/>
            <w:vAlign w:val="center"/>
            <w:hideMark/>
          </w:tcPr>
          <w:p w14:paraId="2734D4E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Prvá dnes</w:t>
            </w:r>
          </w:p>
        </w:tc>
        <w:tc>
          <w:tcPr>
            <w:tcW w:w="631" w:type="pct"/>
            <w:tcBorders>
              <w:top w:val="nil"/>
              <w:left w:val="nil"/>
              <w:bottom w:val="single" w:sz="8" w:space="0" w:color="auto"/>
              <w:right w:val="single" w:sz="8" w:space="0" w:color="auto"/>
            </w:tcBorders>
            <w:shd w:val="clear" w:color="auto" w:fill="auto"/>
            <w:noWrap/>
            <w:vAlign w:val="center"/>
            <w:hideMark/>
          </w:tcPr>
          <w:p w14:paraId="30D8F0CC"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0D9A892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C8C0B6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318DC74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57E7C9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07EFB3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Športový klub karate SEIWA</w:t>
            </w:r>
          </w:p>
        </w:tc>
        <w:tc>
          <w:tcPr>
            <w:tcW w:w="1118" w:type="pct"/>
            <w:tcBorders>
              <w:top w:val="nil"/>
              <w:left w:val="nil"/>
              <w:bottom w:val="single" w:sz="8" w:space="0" w:color="auto"/>
              <w:right w:val="single" w:sz="8" w:space="0" w:color="auto"/>
            </w:tcBorders>
            <w:shd w:val="clear" w:color="auto" w:fill="auto"/>
            <w:vAlign w:val="center"/>
            <w:hideMark/>
          </w:tcPr>
          <w:p w14:paraId="1278033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A znova cvičíme karate</w:t>
            </w:r>
          </w:p>
        </w:tc>
        <w:tc>
          <w:tcPr>
            <w:tcW w:w="631" w:type="pct"/>
            <w:tcBorders>
              <w:top w:val="nil"/>
              <w:left w:val="nil"/>
              <w:bottom w:val="single" w:sz="8" w:space="0" w:color="auto"/>
              <w:right w:val="single" w:sz="8" w:space="0" w:color="auto"/>
            </w:tcBorders>
            <w:shd w:val="clear" w:color="auto" w:fill="auto"/>
            <w:noWrap/>
            <w:vAlign w:val="center"/>
            <w:hideMark/>
          </w:tcPr>
          <w:p w14:paraId="2120EC9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0722186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20E16C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6BACFFB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000E65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D9190B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Slávia vodné pólo </w:t>
            </w:r>
            <w:proofErr w:type="spellStart"/>
            <w:r w:rsidRPr="001139E3">
              <w:rPr>
                <w:rFonts w:ascii="Arial" w:hAnsi="Arial" w:cs="Arial"/>
                <w:color w:val="000000"/>
                <w:sz w:val="20"/>
                <w:szCs w:val="20"/>
                <w:lang w:eastAsia="sk-SK"/>
              </w:rPr>
              <w:t>menežment</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54689E2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Športová a klubová činnosť 2020</w:t>
            </w:r>
          </w:p>
        </w:tc>
        <w:tc>
          <w:tcPr>
            <w:tcW w:w="631" w:type="pct"/>
            <w:tcBorders>
              <w:top w:val="nil"/>
              <w:left w:val="nil"/>
              <w:bottom w:val="single" w:sz="8" w:space="0" w:color="auto"/>
              <w:right w:val="single" w:sz="8" w:space="0" w:color="auto"/>
            </w:tcBorders>
            <w:shd w:val="clear" w:color="auto" w:fill="auto"/>
            <w:noWrap/>
            <w:vAlign w:val="center"/>
            <w:hideMark/>
          </w:tcPr>
          <w:p w14:paraId="4C8845D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22ED074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A3C058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1D961453"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6DB9427"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0CF99A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SLNIEČKO NA CESTE</w:t>
            </w:r>
          </w:p>
        </w:tc>
        <w:tc>
          <w:tcPr>
            <w:tcW w:w="1118" w:type="pct"/>
            <w:tcBorders>
              <w:top w:val="nil"/>
              <w:left w:val="nil"/>
              <w:bottom w:val="single" w:sz="8" w:space="0" w:color="auto"/>
              <w:right w:val="single" w:sz="8" w:space="0" w:color="auto"/>
            </w:tcBorders>
            <w:shd w:val="clear" w:color="auto" w:fill="auto"/>
            <w:vAlign w:val="center"/>
            <w:hideMark/>
          </w:tcPr>
          <w:p w14:paraId="07473ED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Zdravý a kvalitný oddych / spánok pre rodičov</w:t>
            </w:r>
          </w:p>
        </w:tc>
        <w:tc>
          <w:tcPr>
            <w:tcW w:w="631" w:type="pct"/>
            <w:tcBorders>
              <w:top w:val="nil"/>
              <w:left w:val="nil"/>
              <w:bottom w:val="single" w:sz="8" w:space="0" w:color="auto"/>
              <w:right w:val="single" w:sz="8" w:space="0" w:color="auto"/>
            </w:tcBorders>
            <w:shd w:val="clear" w:color="auto" w:fill="auto"/>
            <w:noWrap/>
            <w:vAlign w:val="center"/>
            <w:hideMark/>
          </w:tcPr>
          <w:p w14:paraId="5342926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3BF73A2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67EE7F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1A0698A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19677F7"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48500F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Rodičovské združenie pri ZŠ kpt. J. Nálepku v Stupave</w:t>
            </w:r>
          </w:p>
        </w:tc>
        <w:tc>
          <w:tcPr>
            <w:tcW w:w="1118" w:type="pct"/>
            <w:tcBorders>
              <w:top w:val="nil"/>
              <w:left w:val="nil"/>
              <w:bottom w:val="single" w:sz="8" w:space="0" w:color="auto"/>
              <w:right w:val="single" w:sz="8" w:space="0" w:color="auto"/>
            </w:tcBorders>
            <w:shd w:val="clear" w:color="auto" w:fill="auto"/>
            <w:vAlign w:val="center"/>
            <w:hideMark/>
          </w:tcPr>
          <w:p w14:paraId="1D82F37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Voda pre školskú zeleň</w:t>
            </w:r>
          </w:p>
        </w:tc>
        <w:tc>
          <w:tcPr>
            <w:tcW w:w="631" w:type="pct"/>
            <w:tcBorders>
              <w:top w:val="nil"/>
              <w:left w:val="nil"/>
              <w:bottom w:val="single" w:sz="8" w:space="0" w:color="auto"/>
              <w:right w:val="single" w:sz="8" w:space="0" w:color="auto"/>
            </w:tcBorders>
            <w:shd w:val="clear" w:color="auto" w:fill="auto"/>
            <w:noWrap/>
            <w:vAlign w:val="center"/>
            <w:hideMark/>
          </w:tcPr>
          <w:p w14:paraId="43C255F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1168169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1371AA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6281B9F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A1A9DDA"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A26789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Rovinka</w:t>
            </w:r>
          </w:p>
        </w:tc>
        <w:tc>
          <w:tcPr>
            <w:tcW w:w="1118" w:type="pct"/>
            <w:tcBorders>
              <w:top w:val="nil"/>
              <w:left w:val="nil"/>
              <w:bottom w:val="single" w:sz="8" w:space="0" w:color="auto"/>
              <w:right w:val="single" w:sz="8" w:space="0" w:color="auto"/>
            </w:tcBorders>
            <w:shd w:val="clear" w:color="auto" w:fill="auto"/>
            <w:vAlign w:val="center"/>
            <w:hideMark/>
          </w:tcPr>
          <w:p w14:paraId="70EDA5E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Monitoring kvality ovzdušia - Rovinka a okolie</w:t>
            </w:r>
          </w:p>
        </w:tc>
        <w:tc>
          <w:tcPr>
            <w:tcW w:w="631" w:type="pct"/>
            <w:tcBorders>
              <w:top w:val="nil"/>
              <w:left w:val="nil"/>
              <w:bottom w:val="single" w:sz="8" w:space="0" w:color="auto"/>
              <w:right w:val="single" w:sz="8" w:space="0" w:color="auto"/>
            </w:tcBorders>
            <w:shd w:val="clear" w:color="auto" w:fill="auto"/>
            <w:noWrap/>
            <w:vAlign w:val="center"/>
            <w:hideMark/>
          </w:tcPr>
          <w:p w14:paraId="68036A3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660E6FD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2E6276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794AD5F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5C8DB2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58C428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Vysoká škola výtvarných umení v Bratislave</w:t>
            </w:r>
          </w:p>
        </w:tc>
        <w:tc>
          <w:tcPr>
            <w:tcW w:w="1118" w:type="pct"/>
            <w:tcBorders>
              <w:top w:val="nil"/>
              <w:left w:val="nil"/>
              <w:bottom w:val="single" w:sz="8" w:space="0" w:color="auto"/>
              <w:right w:val="single" w:sz="8" w:space="0" w:color="auto"/>
            </w:tcBorders>
            <w:shd w:val="clear" w:color="auto" w:fill="auto"/>
            <w:vAlign w:val="center"/>
            <w:hideMark/>
          </w:tcPr>
          <w:p w14:paraId="10E038D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MEDIUM 2020</w:t>
            </w:r>
          </w:p>
        </w:tc>
        <w:tc>
          <w:tcPr>
            <w:tcW w:w="631" w:type="pct"/>
            <w:tcBorders>
              <w:top w:val="nil"/>
              <w:left w:val="nil"/>
              <w:bottom w:val="single" w:sz="8" w:space="0" w:color="auto"/>
              <w:right w:val="single" w:sz="8" w:space="0" w:color="auto"/>
            </w:tcBorders>
            <w:shd w:val="clear" w:color="auto" w:fill="auto"/>
            <w:noWrap/>
            <w:vAlign w:val="center"/>
            <w:hideMark/>
          </w:tcPr>
          <w:p w14:paraId="04F0574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35054B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BCE02B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5BFE1F8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700048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6BAA31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JUNGPEREG 1632 v Senci</w:t>
            </w:r>
          </w:p>
        </w:tc>
        <w:tc>
          <w:tcPr>
            <w:tcW w:w="1118" w:type="pct"/>
            <w:tcBorders>
              <w:top w:val="nil"/>
              <w:left w:val="nil"/>
              <w:bottom w:val="single" w:sz="8" w:space="0" w:color="auto"/>
              <w:right w:val="single" w:sz="8" w:space="0" w:color="auto"/>
            </w:tcBorders>
            <w:shd w:val="clear" w:color="auto" w:fill="auto"/>
            <w:vAlign w:val="center"/>
            <w:hideMark/>
          </w:tcPr>
          <w:p w14:paraId="21102A8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Senecký vínny festival 2020 - 6. ročník</w:t>
            </w:r>
          </w:p>
        </w:tc>
        <w:tc>
          <w:tcPr>
            <w:tcW w:w="631" w:type="pct"/>
            <w:tcBorders>
              <w:top w:val="nil"/>
              <w:left w:val="nil"/>
              <w:bottom w:val="single" w:sz="8" w:space="0" w:color="auto"/>
              <w:right w:val="single" w:sz="8" w:space="0" w:color="auto"/>
            </w:tcBorders>
            <w:shd w:val="clear" w:color="auto" w:fill="auto"/>
            <w:noWrap/>
            <w:vAlign w:val="center"/>
            <w:hideMark/>
          </w:tcPr>
          <w:p w14:paraId="043BA60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7F5E1EF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8D7705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3 000,00</w:t>
            </w:r>
          </w:p>
        </w:tc>
      </w:tr>
      <w:tr w:rsidR="001139E3" w:rsidRPr="001139E3" w14:paraId="6DBEB0F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F0D9C3F"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82FFAE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KASPIAN </w:t>
            </w:r>
          </w:p>
        </w:tc>
        <w:tc>
          <w:tcPr>
            <w:tcW w:w="1118" w:type="pct"/>
            <w:tcBorders>
              <w:top w:val="nil"/>
              <w:left w:val="nil"/>
              <w:bottom w:val="single" w:sz="8" w:space="0" w:color="auto"/>
              <w:right w:val="single" w:sz="8" w:space="0" w:color="auto"/>
            </w:tcBorders>
            <w:shd w:val="clear" w:color="auto" w:fill="auto"/>
            <w:vAlign w:val="center"/>
            <w:hideMark/>
          </w:tcPr>
          <w:p w14:paraId="33BA080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Spoločne cez prekážky</w:t>
            </w:r>
          </w:p>
        </w:tc>
        <w:tc>
          <w:tcPr>
            <w:tcW w:w="631" w:type="pct"/>
            <w:tcBorders>
              <w:top w:val="nil"/>
              <w:left w:val="nil"/>
              <w:bottom w:val="single" w:sz="8" w:space="0" w:color="auto"/>
              <w:right w:val="single" w:sz="8" w:space="0" w:color="auto"/>
            </w:tcBorders>
            <w:shd w:val="clear" w:color="auto" w:fill="auto"/>
            <w:noWrap/>
            <w:vAlign w:val="center"/>
            <w:hideMark/>
          </w:tcPr>
          <w:p w14:paraId="02D1C0C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43DDE89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330AF3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1 865,23</w:t>
            </w:r>
          </w:p>
        </w:tc>
      </w:tr>
      <w:tr w:rsidR="001139E3" w:rsidRPr="001139E3" w14:paraId="4750795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797C15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3E1A0C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KLIMO DANCE STUDIO Bratislava</w:t>
            </w:r>
          </w:p>
        </w:tc>
        <w:tc>
          <w:tcPr>
            <w:tcW w:w="1118" w:type="pct"/>
            <w:tcBorders>
              <w:top w:val="nil"/>
              <w:left w:val="nil"/>
              <w:bottom w:val="single" w:sz="8" w:space="0" w:color="auto"/>
              <w:right w:val="single" w:sz="8" w:space="0" w:color="auto"/>
            </w:tcBorders>
            <w:shd w:val="clear" w:color="auto" w:fill="auto"/>
            <w:vAlign w:val="center"/>
            <w:hideMark/>
          </w:tcPr>
          <w:p w14:paraId="21E2525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Tanečné kostýmy pre deti</w:t>
            </w:r>
          </w:p>
        </w:tc>
        <w:tc>
          <w:tcPr>
            <w:tcW w:w="631" w:type="pct"/>
            <w:tcBorders>
              <w:top w:val="nil"/>
              <w:left w:val="nil"/>
              <w:bottom w:val="single" w:sz="8" w:space="0" w:color="auto"/>
              <w:right w:val="single" w:sz="8" w:space="0" w:color="auto"/>
            </w:tcBorders>
            <w:shd w:val="clear" w:color="auto" w:fill="auto"/>
            <w:noWrap/>
            <w:vAlign w:val="center"/>
            <w:hideMark/>
          </w:tcPr>
          <w:p w14:paraId="027D3E6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19CFBFC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1FBE36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5FAE87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54B763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B02E8A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ST Relax</w:t>
            </w:r>
          </w:p>
        </w:tc>
        <w:tc>
          <w:tcPr>
            <w:tcW w:w="1118" w:type="pct"/>
            <w:tcBorders>
              <w:top w:val="nil"/>
              <w:left w:val="nil"/>
              <w:bottom w:val="single" w:sz="8" w:space="0" w:color="auto"/>
              <w:right w:val="single" w:sz="8" w:space="0" w:color="auto"/>
            </w:tcBorders>
            <w:shd w:val="clear" w:color="auto" w:fill="auto"/>
            <w:vAlign w:val="center"/>
            <w:hideMark/>
          </w:tcPr>
          <w:p w14:paraId="69A361C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Satelite </w:t>
            </w:r>
            <w:proofErr w:type="spellStart"/>
            <w:r w:rsidRPr="001139E3">
              <w:rPr>
                <w:rFonts w:ascii="Arial" w:hAnsi="Arial" w:cs="Arial"/>
                <w:color w:val="000000"/>
                <w:sz w:val="20"/>
                <w:szCs w:val="20"/>
                <w:lang w:eastAsia="sk-SK"/>
              </w:rPr>
              <w:t>tour</w:t>
            </w:r>
            <w:proofErr w:type="spellEnd"/>
            <w:r w:rsidRPr="001139E3">
              <w:rPr>
                <w:rFonts w:ascii="Arial" w:hAnsi="Arial" w:cs="Arial"/>
                <w:color w:val="000000"/>
                <w:sz w:val="20"/>
                <w:szCs w:val="20"/>
                <w:lang w:eastAsia="sk-SK"/>
              </w:rPr>
              <w:t xml:space="preserve"> 2020 v stolnom tenise</w:t>
            </w:r>
          </w:p>
        </w:tc>
        <w:tc>
          <w:tcPr>
            <w:tcW w:w="631" w:type="pct"/>
            <w:tcBorders>
              <w:top w:val="nil"/>
              <w:left w:val="nil"/>
              <w:bottom w:val="single" w:sz="8" w:space="0" w:color="auto"/>
              <w:right w:val="single" w:sz="8" w:space="0" w:color="auto"/>
            </w:tcBorders>
            <w:shd w:val="clear" w:color="auto" w:fill="auto"/>
            <w:noWrap/>
            <w:vAlign w:val="center"/>
            <w:hideMark/>
          </w:tcPr>
          <w:p w14:paraId="3BEBABF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5B303EC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4E5264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6F827E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5B4A8D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EBE463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Nadácia SLOVAK PRESS PHOTO</w:t>
            </w:r>
          </w:p>
        </w:tc>
        <w:tc>
          <w:tcPr>
            <w:tcW w:w="1118" w:type="pct"/>
            <w:tcBorders>
              <w:top w:val="nil"/>
              <w:left w:val="nil"/>
              <w:bottom w:val="single" w:sz="8" w:space="0" w:color="auto"/>
              <w:right w:val="single" w:sz="8" w:space="0" w:color="auto"/>
            </w:tcBorders>
            <w:shd w:val="clear" w:color="auto" w:fill="auto"/>
            <w:vAlign w:val="center"/>
            <w:hideMark/>
          </w:tcPr>
          <w:p w14:paraId="2498FE2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SLOVAK PRESS PHOTO</w:t>
            </w:r>
          </w:p>
        </w:tc>
        <w:tc>
          <w:tcPr>
            <w:tcW w:w="631" w:type="pct"/>
            <w:tcBorders>
              <w:top w:val="nil"/>
              <w:left w:val="nil"/>
              <w:bottom w:val="single" w:sz="8" w:space="0" w:color="auto"/>
              <w:right w:val="single" w:sz="8" w:space="0" w:color="auto"/>
            </w:tcBorders>
            <w:shd w:val="clear" w:color="auto" w:fill="auto"/>
            <w:noWrap/>
            <w:vAlign w:val="center"/>
            <w:hideMark/>
          </w:tcPr>
          <w:p w14:paraId="1C5B0B4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BCBF52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A890E5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773E5DD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91F8BE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A47059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Cirkevný zbor ECAV na Slovensku Dunajská Lužná</w:t>
            </w:r>
          </w:p>
        </w:tc>
        <w:tc>
          <w:tcPr>
            <w:tcW w:w="1118" w:type="pct"/>
            <w:tcBorders>
              <w:top w:val="nil"/>
              <w:left w:val="nil"/>
              <w:bottom w:val="single" w:sz="8" w:space="0" w:color="auto"/>
              <w:right w:val="single" w:sz="8" w:space="0" w:color="auto"/>
            </w:tcBorders>
            <w:shd w:val="clear" w:color="auto" w:fill="auto"/>
            <w:vAlign w:val="center"/>
            <w:hideMark/>
          </w:tcPr>
          <w:p w14:paraId="61AE688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Dobudovanie a spevnenie chodníkov</w:t>
            </w:r>
          </w:p>
        </w:tc>
        <w:tc>
          <w:tcPr>
            <w:tcW w:w="631" w:type="pct"/>
            <w:tcBorders>
              <w:top w:val="nil"/>
              <w:left w:val="nil"/>
              <w:bottom w:val="single" w:sz="8" w:space="0" w:color="auto"/>
              <w:right w:val="single" w:sz="8" w:space="0" w:color="auto"/>
            </w:tcBorders>
            <w:shd w:val="clear" w:color="auto" w:fill="auto"/>
            <w:noWrap/>
            <w:vAlign w:val="center"/>
            <w:hideMark/>
          </w:tcPr>
          <w:p w14:paraId="7AED6B8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0143A58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B32644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49CECCE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EA23F0F"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159E4C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Bratislavské združenie telesnej kultúry</w:t>
            </w:r>
          </w:p>
        </w:tc>
        <w:tc>
          <w:tcPr>
            <w:tcW w:w="1118" w:type="pct"/>
            <w:tcBorders>
              <w:top w:val="nil"/>
              <w:left w:val="nil"/>
              <w:bottom w:val="single" w:sz="8" w:space="0" w:color="auto"/>
              <w:right w:val="single" w:sz="8" w:space="0" w:color="auto"/>
            </w:tcBorders>
            <w:shd w:val="clear" w:color="auto" w:fill="auto"/>
            <w:vAlign w:val="center"/>
            <w:hideMark/>
          </w:tcPr>
          <w:p w14:paraId="10A9DD2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Rozlúčkové, tortové preteky</w:t>
            </w:r>
          </w:p>
        </w:tc>
        <w:tc>
          <w:tcPr>
            <w:tcW w:w="631" w:type="pct"/>
            <w:tcBorders>
              <w:top w:val="nil"/>
              <w:left w:val="nil"/>
              <w:bottom w:val="single" w:sz="8" w:space="0" w:color="auto"/>
              <w:right w:val="single" w:sz="8" w:space="0" w:color="auto"/>
            </w:tcBorders>
            <w:shd w:val="clear" w:color="auto" w:fill="auto"/>
            <w:noWrap/>
            <w:vAlign w:val="center"/>
            <w:hideMark/>
          </w:tcPr>
          <w:p w14:paraId="5F96634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276C996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C44E34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0CD0FD1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D971AFA"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8F29B9F"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Terroir</w:t>
            </w:r>
            <w:proofErr w:type="spellEnd"/>
            <w:r w:rsidRPr="001139E3">
              <w:rPr>
                <w:rFonts w:ascii="Arial" w:hAnsi="Arial" w:cs="Arial"/>
                <w:color w:val="000000"/>
                <w:sz w:val="20"/>
                <w:szCs w:val="20"/>
                <w:lang w:eastAsia="sk-SK"/>
              </w:rPr>
              <w:t xml:space="preserve"> Rača</w:t>
            </w:r>
          </w:p>
        </w:tc>
        <w:tc>
          <w:tcPr>
            <w:tcW w:w="1118" w:type="pct"/>
            <w:tcBorders>
              <w:top w:val="nil"/>
              <w:left w:val="nil"/>
              <w:bottom w:val="single" w:sz="8" w:space="0" w:color="auto"/>
              <w:right w:val="single" w:sz="8" w:space="0" w:color="auto"/>
            </w:tcBorders>
            <w:shd w:val="clear" w:color="auto" w:fill="auto"/>
            <w:vAlign w:val="center"/>
            <w:hideMark/>
          </w:tcPr>
          <w:p w14:paraId="1E49027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Propagácia vinárstva a vinohradníctva</w:t>
            </w:r>
          </w:p>
        </w:tc>
        <w:tc>
          <w:tcPr>
            <w:tcW w:w="631" w:type="pct"/>
            <w:tcBorders>
              <w:top w:val="nil"/>
              <w:left w:val="nil"/>
              <w:bottom w:val="single" w:sz="8" w:space="0" w:color="auto"/>
              <w:right w:val="single" w:sz="8" w:space="0" w:color="auto"/>
            </w:tcBorders>
            <w:shd w:val="clear" w:color="auto" w:fill="auto"/>
            <w:noWrap/>
            <w:vAlign w:val="center"/>
            <w:hideMark/>
          </w:tcPr>
          <w:p w14:paraId="71EFA78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11FAD74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F20EA7F"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1DF0502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889B42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5D1AF8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OFK Dunajská Lužná</w:t>
            </w:r>
          </w:p>
        </w:tc>
        <w:tc>
          <w:tcPr>
            <w:tcW w:w="1118" w:type="pct"/>
            <w:tcBorders>
              <w:top w:val="nil"/>
              <w:left w:val="nil"/>
              <w:bottom w:val="single" w:sz="8" w:space="0" w:color="auto"/>
              <w:right w:val="single" w:sz="8" w:space="0" w:color="auto"/>
            </w:tcBorders>
            <w:shd w:val="clear" w:color="auto" w:fill="auto"/>
            <w:vAlign w:val="center"/>
            <w:hideMark/>
          </w:tcPr>
          <w:p w14:paraId="3847F36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Turnaj o Pohár poslanca BSK</w:t>
            </w:r>
          </w:p>
        </w:tc>
        <w:tc>
          <w:tcPr>
            <w:tcW w:w="631" w:type="pct"/>
            <w:tcBorders>
              <w:top w:val="nil"/>
              <w:left w:val="nil"/>
              <w:bottom w:val="single" w:sz="8" w:space="0" w:color="auto"/>
              <w:right w:val="single" w:sz="8" w:space="0" w:color="auto"/>
            </w:tcBorders>
            <w:shd w:val="clear" w:color="auto" w:fill="auto"/>
            <w:noWrap/>
            <w:vAlign w:val="center"/>
            <w:hideMark/>
          </w:tcPr>
          <w:p w14:paraId="3B51D86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4DE8291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E7DDF6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6863AC8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73FCAE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lastRenderedPageBreak/>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558A90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BK </w:t>
            </w:r>
            <w:proofErr w:type="spellStart"/>
            <w:r w:rsidRPr="001139E3">
              <w:rPr>
                <w:rFonts w:ascii="Arial" w:hAnsi="Arial" w:cs="Arial"/>
                <w:color w:val="000000"/>
                <w:sz w:val="20"/>
                <w:szCs w:val="20"/>
                <w:lang w:eastAsia="sk-SK"/>
              </w:rPr>
              <w:t>Inter</w:t>
            </w:r>
            <w:proofErr w:type="spellEnd"/>
            <w:r w:rsidRPr="001139E3">
              <w:rPr>
                <w:rFonts w:ascii="Arial" w:hAnsi="Arial" w:cs="Arial"/>
                <w:color w:val="000000"/>
                <w:sz w:val="20"/>
                <w:szCs w:val="20"/>
                <w:lang w:eastAsia="sk-SK"/>
              </w:rPr>
              <w:t xml:space="preserve"> Bratislava mládež</w:t>
            </w:r>
          </w:p>
        </w:tc>
        <w:tc>
          <w:tcPr>
            <w:tcW w:w="1118" w:type="pct"/>
            <w:tcBorders>
              <w:top w:val="nil"/>
              <w:left w:val="nil"/>
              <w:bottom w:val="single" w:sz="8" w:space="0" w:color="auto"/>
              <w:right w:val="single" w:sz="8" w:space="0" w:color="auto"/>
            </w:tcBorders>
            <w:shd w:val="clear" w:color="auto" w:fill="auto"/>
            <w:vAlign w:val="center"/>
            <w:hideMark/>
          </w:tcPr>
          <w:p w14:paraId="4558936F"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Inter</w:t>
            </w:r>
            <w:proofErr w:type="spellEnd"/>
            <w:r w:rsidRPr="001139E3">
              <w:rPr>
                <w:rFonts w:ascii="Arial" w:hAnsi="Arial" w:cs="Arial"/>
                <w:color w:val="000000"/>
                <w:sz w:val="20"/>
                <w:szCs w:val="20"/>
                <w:lang w:eastAsia="sk-SK"/>
              </w:rPr>
              <w:t xml:space="preserve"> na finálových turnajoch mládeže</w:t>
            </w:r>
          </w:p>
        </w:tc>
        <w:tc>
          <w:tcPr>
            <w:tcW w:w="631" w:type="pct"/>
            <w:tcBorders>
              <w:top w:val="nil"/>
              <w:left w:val="nil"/>
              <w:bottom w:val="single" w:sz="8" w:space="0" w:color="auto"/>
              <w:right w:val="single" w:sz="8" w:space="0" w:color="auto"/>
            </w:tcBorders>
            <w:shd w:val="clear" w:color="auto" w:fill="auto"/>
            <w:noWrap/>
            <w:vAlign w:val="center"/>
            <w:hideMark/>
          </w:tcPr>
          <w:p w14:paraId="721CDDC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58749D3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CC122E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2AA2686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2DFEB3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34EEA0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PUNKT, </w:t>
            </w: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3574FAF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Dobrý trh 2020</w:t>
            </w:r>
          </w:p>
        </w:tc>
        <w:tc>
          <w:tcPr>
            <w:tcW w:w="631" w:type="pct"/>
            <w:tcBorders>
              <w:top w:val="nil"/>
              <w:left w:val="nil"/>
              <w:bottom w:val="single" w:sz="8" w:space="0" w:color="auto"/>
              <w:right w:val="single" w:sz="8" w:space="0" w:color="auto"/>
            </w:tcBorders>
            <w:shd w:val="clear" w:color="auto" w:fill="auto"/>
            <w:noWrap/>
            <w:vAlign w:val="center"/>
            <w:hideMark/>
          </w:tcPr>
          <w:p w14:paraId="63CCA94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3D86D09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7FC71B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5615AF3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38CB7E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877C30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Združenie na pomoc ľuďom s mentálnym postihnutím v SR</w:t>
            </w:r>
          </w:p>
        </w:tc>
        <w:tc>
          <w:tcPr>
            <w:tcW w:w="1118" w:type="pct"/>
            <w:tcBorders>
              <w:top w:val="nil"/>
              <w:left w:val="nil"/>
              <w:bottom w:val="single" w:sz="8" w:space="0" w:color="auto"/>
              <w:right w:val="single" w:sz="8" w:space="0" w:color="auto"/>
            </w:tcBorders>
            <w:shd w:val="clear" w:color="auto" w:fill="auto"/>
            <w:vAlign w:val="center"/>
            <w:hideMark/>
          </w:tcPr>
          <w:p w14:paraId="6581C08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Vzdelávaco - rehabilitačné centrum BIVIO</w:t>
            </w:r>
          </w:p>
        </w:tc>
        <w:tc>
          <w:tcPr>
            <w:tcW w:w="631" w:type="pct"/>
            <w:tcBorders>
              <w:top w:val="nil"/>
              <w:left w:val="nil"/>
              <w:bottom w:val="single" w:sz="8" w:space="0" w:color="auto"/>
              <w:right w:val="single" w:sz="8" w:space="0" w:color="auto"/>
            </w:tcBorders>
            <w:shd w:val="clear" w:color="auto" w:fill="auto"/>
            <w:noWrap/>
            <w:vAlign w:val="center"/>
            <w:hideMark/>
          </w:tcPr>
          <w:p w14:paraId="3DC3E4D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1F2EF83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7F5A70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750,00</w:t>
            </w:r>
          </w:p>
        </w:tc>
      </w:tr>
      <w:tr w:rsidR="001139E3" w:rsidRPr="001139E3" w14:paraId="26F12FD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8EF3AC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CAFAD4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WRESTLING CLUB SLOVAKIA</w:t>
            </w:r>
          </w:p>
        </w:tc>
        <w:tc>
          <w:tcPr>
            <w:tcW w:w="1118" w:type="pct"/>
            <w:tcBorders>
              <w:top w:val="nil"/>
              <w:left w:val="nil"/>
              <w:bottom w:val="single" w:sz="8" w:space="0" w:color="auto"/>
              <w:right w:val="single" w:sz="8" w:space="0" w:color="auto"/>
            </w:tcBorders>
            <w:shd w:val="clear" w:color="auto" w:fill="auto"/>
            <w:vAlign w:val="center"/>
            <w:hideMark/>
          </w:tcPr>
          <w:p w14:paraId="6A98533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Nákup športového oblečenia a doplnkov</w:t>
            </w:r>
          </w:p>
        </w:tc>
        <w:tc>
          <w:tcPr>
            <w:tcW w:w="631" w:type="pct"/>
            <w:tcBorders>
              <w:top w:val="nil"/>
              <w:left w:val="nil"/>
              <w:bottom w:val="single" w:sz="8" w:space="0" w:color="auto"/>
              <w:right w:val="single" w:sz="8" w:space="0" w:color="auto"/>
            </w:tcBorders>
            <w:shd w:val="clear" w:color="auto" w:fill="auto"/>
            <w:noWrap/>
            <w:vAlign w:val="center"/>
            <w:hideMark/>
          </w:tcPr>
          <w:p w14:paraId="70BD429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27AF897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43A984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2C279B0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DC5269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F6666B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VAVA </w:t>
            </w:r>
            <w:proofErr w:type="spellStart"/>
            <w:r w:rsidRPr="001139E3">
              <w:rPr>
                <w:rFonts w:ascii="Arial" w:hAnsi="Arial" w:cs="Arial"/>
                <w:color w:val="000000"/>
                <w:sz w:val="20"/>
                <w:szCs w:val="20"/>
                <w:lang w:eastAsia="sk-SK"/>
              </w:rPr>
              <w:t>Land</w:t>
            </w:r>
            <w:proofErr w:type="spellEnd"/>
            <w:r w:rsidRPr="001139E3">
              <w:rPr>
                <w:rFonts w:ascii="Arial" w:hAnsi="Arial" w:cs="Arial"/>
                <w:color w:val="000000"/>
                <w:sz w:val="20"/>
                <w:szCs w:val="20"/>
                <w:lang w:eastAsia="sk-SK"/>
              </w:rPr>
              <w:t xml:space="preserve"> s.r.o.</w:t>
            </w:r>
          </w:p>
        </w:tc>
        <w:tc>
          <w:tcPr>
            <w:tcW w:w="1118" w:type="pct"/>
            <w:tcBorders>
              <w:top w:val="nil"/>
              <w:left w:val="nil"/>
              <w:bottom w:val="single" w:sz="8" w:space="0" w:color="auto"/>
              <w:right w:val="single" w:sz="8" w:space="0" w:color="auto"/>
            </w:tcBorders>
            <w:shd w:val="clear" w:color="auto" w:fill="auto"/>
            <w:vAlign w:val="center"/>
            <w:hideMark/>
          </w:tcPr>
          <w:p w14:paraId="7680527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Efektívne voľnočasové športové aktivity</w:t>
            </w:r>
          </w:p>
        </w:tc>
        <w:tc>
          <w:tcPr>
            <w:tcW w:w="631" w:type="pct"/>
            <w:tcBorders>
              <w:top w:val="nil"/>
              <w:left w:val="nil"/>
              <w:bottom w:val="single" w:sz="8" w:space="0" w:color="auto"/>
              <w:right w:val="single" w:sz="8" w:space="0" w:color="auto"/>
            </w:tcBorders>
            <w:shd w:val="clear" w:color="auto" w:fill="auto"/>
            <w:noWrap/>
            <w:vAlign w:val="center"/>
            <w:hideMark/>
          </w:tcPr>
          <w:p w14:paraId="33E8E8C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0937588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B4C60B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2A60066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6745FFA"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9929EE9"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Interklub</w:t>
            </w:r>
            <w:proofErr w:type="spellEnd"/>
            <w:r w:rsidRPr="001139E3">
              <w:rPr>
                <w:rFonts w:ascii="Arial" w:hAnsi="Arial" w:cs="Arial"/>
                <w:color w:val="000000"/>
                <w:sz w:val="20"/>
                <w:szCs w:val="20"/>
                <w:lang w:eastAsia="sk-SK"/>
              </w:rPr>
              <w:t xml:space="preserve"> Bratislava</w:t>
            </w:r>
          </w:p>
        </w:tc>
        <w:tc>
          <w:tcPr>
            <w:tcW w:w="1118" w:type="pct"/>
            <w:tcBorders>
              <w:top w:val="nil"/>
              <w:left w:val="nil"/>
              <w:bottom w:val="single" w:sz="8" w:space="0" w:color="auto"/>
              <w:right w:val="single" w:sz="8" w:space="0" w:color="auto"/>
            </w:tcBorders>
            <w:shd w:val="clear" w:color="auto" w:fill="auto"/>
            <w:vAlign w:val="center"/>
            <w:hideMark/>
          </w:tcPr>
          <w:p w14:paraId="48E7271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Materiálne zabezpečenie tanečníkov INTERKLUBU</w:t>
            </w:r>
          </w:p>
        </w:tc>
        <w:tc>
          <w:tcPr>
            <w:tcW w:w="631" w:type="pct"/>
            <w:tcBorders>
              <w:top w:val="nil"/>
              <w:left w:val="nil"/>
              <w:bottom w:val="single" w:sz="8" w:space="0" w:color="auto"/>
              <w:right w:val="single" w:sz="8" w:space="0" w:color="auto"/>
            </w:tcBorders>
            <w:shd w:val="clear" w:color="auto" w:fill="auto"/>
            <w:noWrap/>
            <w:vAlign w:val="center"/>
            <w:hideMark/>
          </w:tcPr>
          <w:p w14:paraId="66D44E8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79D5D72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BABD6E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28B88CE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0E276E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AF7914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MČ Bratislava - Záhorská Bystrica</w:t>
            </w:r>
          </w:p>
        </w:tc>
        <w:tc>
          <w:tcPr>
            <w:tcW w:w="1118" w:type="pct"/>
            <w:tcBorders>
              <w:top w:val="nil"/>
              <w:left w:val="nil"/>
              <w:bottom w:val="single" w:sz="8" w:space="0" w:color="auto"/>
              <w:right w:val="single" w:sz="8" w:space="0" w:color="auto"/>
            </w:tcBorders>
            <w:shd w:val="clear" w:color="auto" w:fill="auto"/>
            <w:vAlign w:val="center"/>
            <w:hideMark/>
          </w:tcPr>
          <w:p w14:paraId="168DD83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Kultúrne podujatia v Záhorskej Bystrici</w:t>
            </w:r>
          </w:p>
        </w:tc>
        <w:tc>
          <w:tcPr>
            <w:tcW w:w="631" w:type="pct"/>
            <w:tcBorders>
              <w:top w:val="nil"/>
              <w:left w:val="nil"/>
              <w:bottom w:val="single" w:sz="8" w:space="0" w:color="auto"/>
              <w:right w:val="single" w:sz="8" w:space="0" w:color="auto"/>
            </w:tcBorders>
            <w:shd w:val="clear" w:color="auto" w:fill="auto"/>
            <w:noWrap/>
            <w:vAlign w:val="center"/>
            <w:hideMark/>
          </w:tcPr>
          <w:p w14:paraId="5AAD8EE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4F4F04B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575869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1B621F0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B02F33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B38F7F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OZ Maratón</w:t>
            </w:r>
          </w:p>
        </w:tc>
        <w:tc>
          <w:tcPr>
            <w:tcW w:w="1118" w:type="pct"/>
            <w:tcBorders>
              <w:top w:val="nil"/>
              <w:left w:val="nil"/>
              <w:bottom w:val="single" w:sz="8" w:space="0" w:color="auto"/>
              <w:right w:val="single" w:sz="8" w:space="0" w:color="auto"/>
            </w:tcBorders>
            <w:shd w:val="clear" w:color="auto" w:fill="auto"/>
            <w:vAlign w:val="center"/>
            <w:hideMark/>
          </w:tcPr>
          <w:p w14:paraId="638CC18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STUPAVA TROPHY 2020</w:t>
            </w:r>
          </w:p>
        </w:tc>
        <w:tc>
          <w:tcPr>
            <w:tcW w:w="631" w:type="pct"/>
            <w:tcBorders>
              <w:top w:val="nil"/>
              <w:left w:val="nil"/>
              <w:bottom w:val="single" w:sz="8" w:space="0" w:color="auto"/>
              <w:right w:val="single" w:sz="8" w:space="0" w:color="auto"/>
            </w:tcBorders>
            <w:shd w:val="clear" w:color="auto" w:fill="auto"/>
            <w:noWrap/>
            <w:vAlign w:val="center"/>
            <w:hideMark/>
          </w:tcPr>
          <w:p w14:paraId="29E91DE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6F2BFF4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5EE208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4763CBB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E4D166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E6226FF"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Cykloklub</w:t>
            </w:r>
            <w:proofErr w:type="spellEnd"/>
            <w:r w:rsidRPr="001139E3">
              <w:rPr>
                <w:rFonts w:ascii="Arial" w:hAnsi="Arial" w:cs="Arial"/>
                <w:color w:val="000000"/>
                <w:sz w:val="20"/>
                <w:szCs w:val="20"/>
                <w:lang w:eastAsia="sk-SK"/>
              </w:rPr>
              <w:t xml:space="preserve"> Gajary</w:t>
            </w:r>
          </w:p>
        </w:tc>
        <w:tc>
          <w:tcPr>
            <w:tcW w:w="1118" w:type="pct"/>
            <w:tcBorders>
              <w:top w:val="nil"/>
              <w:left w:val="nil"/>
              <w:bottom w:val="single" w:sz="8" w:space="0" w:color="auto"/>
              <w:right w:val="single" w:sz="8" w:space="0" w:color="auto"/>
            </w:tcBorders>
            <w:shd w:val="clear" w:color="auto" w:fill="auto"/>
            <w:vAlign w:val="center"/>
            <w:hideMark/>
          </w:tcPr>
          <w:p w14:paraId="667EBE7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4. Gajarský </w:t>
            </w:r>
            <w:proofErr w:type="spellStart"/>
            <w:r w:rsidRPr="001139E3">
              <w:rPr>
                <w:rFonts w:ascii="Arial" w:hAnsi="Arial" w:cs="Arial"/>
                <w:color w:val="000000"/>
                <w:sz w:val="20"/>
                <w:szCs w:val="20"/>
                <w:lang w:eastAsia="sk-SK"/>
              </w:rPr>
              <w:t>Kovian</w:t>
            </w:r>
            <w:proofErr w:type="spellEnd"/>
            <w:r w:rsidRPr="001139E3">
              <w:rPr>
                <w:rFonts w:ascii="Arial" w:hAnsi="Arial" w:cs="Arial"/>
                <w:color w:val="000000"/>
                <w:sz w:val="20"/>
                <w:szCs w:val="20"/>
                <w:lang w:eastAsia="sk-SK"/>
              </w:rPr>
              <w:t xml:space="preserve"> MTB maratón</w:t>
            </w:r>
          </w:p>
        </w:tc>
        <w:tc>
          <w:tcPr>
            <w:tcW w:w="631" w:type="pct"/>
            <w:tcBorders>
              <w:top w:val="nil"/>
              <w:left w:val="nil"/>
              <w:bottom w:val="single" w:sz="8" w:space="0" w:color="auto"/>
              <w:right w:val="single" w:sz="8" w:space="0" w:color="auto"/>
            </w:tcBorders>
            <w:shd w:val="clear" w:color="auto" w:fill="auto"/>
            <w:noWrap/>
            <w:vAlign w:val="center"/>
            <w:hideMark/>
          </w:tcPr>
          <w:p w14:paraId="275E573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6944AD5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ABB1D6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33B1E66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A8BEAE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4BF603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CUI BONO OZ</w:t>
            </w:r>
          </w:p>
        </w:tc>
        <w:tc>
          <w:tcPr>
            <w:tcW w:w="1118" w:type="pct"/>
            <w:tcBorders>
              <w:top w:val="nil"/>
              <w:left w:val="nil"/>
              <w:bottom w:val="single" w:sz="8" w:space="0" w:color="auto"/>
              <w:right w:val="single" w:sz="8" w:space="0" w:color="auto"/>
            </w:tcBorders>
            <w:shd w:val="clear" w:color="auto" w:fill="auto"/>
            <w:vAlign w:val="center"/>
            <w:hideMark/>
          </w:tcPr>
          <w:p w14:paraId="7CDAA53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Ružinovský kolotoč</w:t>
            </w:r>
          </w:p>
        </w:tc>
        <w:tc>
          <w:tcPr>
            <w:tcW w:w="631" w:type="pct"/>
            <w:tcBorders>
              <w:top w:val="nil"/>
              <w:left w:val="nil"/>
              <w:bottom w:val="single" w:sz="8" w:space="0" w:color="auto"/>
              <w:right w:val="single" w:sz="8" w:space="0" w:color="auto"/>
            </w:tcBorders>
            <w:shd w:val="clear" w:color="auto" w:fill="auto"/>
            <w:noWrap/>
            <w:vAlign w:val="center"/>
            <w:hideMark/>
          </w:tcPr>
          <w:p w14:paraId="6B02537A"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5349573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FA4E35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6EA174D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AE0016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EA301BF"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Cyklokoalícia</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1E86C5B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Živé Račko</w:t>
            </w:r>
          </w:p>
        </w:tc>
        <w:tc>
          <w:tcPr>
            <w:tcW w:w="631" w:type="pct"/>
            <w:tcBorders>
              <w:top w:val="nil"/>
              <w:left w:val="nil"/>
              <w:bottom w:val="single" w:sz="8" w:space="0" w:color="auto"/>
              <w:right w:val="single" w:sz="8" w:space="0" w:color="auto"/>
            </w:tcBorders>
            <w:shd w:val="clear" w:color="auto" w:fill="auto"/>
            <w:noWrap/>
            <w:vAlign w:val="center"/>
            <w:hideMark/>
          </w:tcPr>
          <w:p w14:paraId="335CDD3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0C9E927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A65CE2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56CABC2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30D614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359F21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Občianske združenie Šport a zdravie</w:t>
            </w:r>
          </w:p>
        </w:tc>
        <w:tc>
          <w:tcPr>
            <w:tcW w:w="1118" w:type="pct"/>
            <w:tcBorders>
              <w:top w:val="nil"/>
              <w:left w:val="nil"/>
              <w:bottom w:val="single" w:sz="8" w:space="0" w:color="auto"/>
              <w:right w:val="single" w:sz="8" w:space="0" w:color="auto"/>
            </w:tcBorders>
            <w:shd w:val="clear" w:color="auto" w:fill="auto"/>
            <w:vAlign w:val="center"/>
            <w:hideMark/>
          </w:tcPr>
          <w:p w14:paraId="5CA8CAD2"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Vrakunský</w:t>
            </w:r>
            <w:proofErr w:type="spellEnd"/>
            <w:r w:rsidRPr="001139E3">
              <w:rPr>
                <w:rFonts w:ascii="Arial" w:hAnsi="Arial" w:cs="Arial"/>
                <w:color w:val="000000"/>
                <w:sz w:val="20"/>
                <w:szCs w:val="20"/>
                <w:lang w:eastAsia="sk-SK"/>
              </w:rPr>
              <w:t xml:space="preserve"> beh 2020</w:t>
            </w:r>
          </w:p>
        </w:tc>
        <w:tc>
          <w:tcPr>
            <w:tcW w:w="631" w:type="pct"/>
            <w:tcBorders>
              <w:top w:val="nil"/>
              <w:left w:val="nil"/>
              <w:bottom w:val="single" w:sz="8" w:space="0" w:color="auto"/>
              <w:right w:val="single" w:sz="8" w:space="0" w:color="auto"/>
            </w:tcBorders>
            <w:shd w:val="clear" w:color="auto" w:fill="auto"/>
            <w:noWrap/>
            <w:vAlign w:val="center"/>
            <w:hideMark/>
          </w:tcPr>
          <w:p w14:paraId="5279C74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24E0068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1683BC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747A811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AA1031A"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E00DB9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EDUVISION s.r.o.</w:t>
            </w:r>
          </w:p>
        </w:tc>
        <w:tc>
          <w:tcPr>
            <w:tcW w:w="1118" w:type="pct"/>
            <w:tcBorders>
              <w:top w:val="nil"/>
              <w:left w:val="nil"/>
              <w:bottom w:val="single" w:sz="8" w:space="0" w:color="auto"/>
              <w:right w:val="single" w:sz="8" w:space="0" w:color="auto"/>
            </w:tcBorders>
            <w:shd w:val="clear" w:color="auto" w:fill="auto"/>
            <w:vAlign w:val="center"/>
            <w:hideMark/>
          </w:tcPr>
          <w:p w14:paraId="11F5970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Pre lepšiu budúcnosť zeme</w:t>
            </w:r>
          </w:p>
        </w:tc>
        <w:tc>
          <w:tcPr>
            <w:tcW w:w="631" w:type="pct"/>
            <w:tcBorders>
              <w:top w:val="nil"/>
              <w:left w:val="nil"/>
              <w:bottom w:val="single" w:sz="8" w:space="0" w:color="auto"/>
              <w:right w:val="single" w:sz="8" w:space="0" w:color="auto"/>
            </w:tcBorders>
            <w:shd w:val="clear" w:color="auto" w:fill="auto"/>
            <w:noWrap/>
            <w:vAlign w:val="center"/>
            <w:hideMark/>
          </w:tcPr>
          <w:p w14:paraId="15AF0F6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77EFB16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1765A7F"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7006C41A"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AB7501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58811D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Nadácia Jána </w:t>
            </w:r>
            <w:proofErr w:type="spellStart"/>
            <w:r w:rsidRPr="001139E3">
              <w:rPr>
                <w:rFonts w:ascii="Arial" w:hAnsi="Arial" w:cs="Arial"/>
                <w:color w:val="000000"/>
                <w:sz w:val="20"/>
                <w:szCs w:val="20"/>
                <w:lang w:eastAsia="sk-SK"/>
              </w:rPr>
              <w:t>Cikkera</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50223C2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Obnova prístupového schodiska Múzea Jána </w:t>
            </w:r>
            <w:proofErr w:type="spellStart"/>
            <w:r w:rsidRPr="001139E3">
              <w:rPr>
                <w:rFonts w:ascii="Arial" w:hAnsi="Arial" w:cs="Arial"/>
                <w:color w:val="000000"/>
                <w:sz w:val="20"/>
                <w:szCs w:val="20"/>
                <w:lang w:eastAsia="sk-SK"/>
              </w:rPr>
              <w:t>Cikkera</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4C69869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075D4F7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1BD237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492,77</w:t>
            </w:r>
          </w:p>
        </w:tc>
      </w:tr>
      <w:tr w:rsidR="001139E3" w:rsidRPr="001139E3" w14:paraId="3135184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E9E0FE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0D517D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Plavecké Podhradie</w:t>
            </w:r>
          </w:p>
        </w:tc>
        <w:tc>
          <w:tcPr>
            <w:tcW w:w="1118" w:type="pct"/>
            <w:tcBorders>
              <w:top w:val="nil"/>
              <w:left w:val="nil"/>
              <w:bottom w:val="single" w:sz="8" w:space="0" w:color="auto"/>
              <w:right w:val="single" w:sz="8" w:space="0" w:color="auto"/>
            </w:tcBorders>
            <w:shd w:val="clear" w:color="auto" w:fill="auto"/>
            <w:vAlign w:val="center"/>
            <w:hideMark/>
          </w:tcPr>
          <w:p w14:paraId="2A01584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Výmena okien 2. etapa materská škola</w:t>
            </w:r>
          </w:p>
        </w:tc>
        <w:tc>
          <w:tcPr>
            <w:tcW w:w="631" w:type="pct"/>
            <w:tcBorders>
              <w:top w:val="nil"/>
              <w:left w:val="nil"/>
              <w:bottom w:val="single" w:sz="8" w:space="0" w:color="auto"/>
              <w:right w:val="single" w:sz="8" w:space="0" w:color="auto"/>
            </w:tcBorders>
            <w:shd w:val="clear" w:color="auto" w:fill="auto"/>
            <w:noWrap/>
            <w:vAlign w:val="center"/>
            <w:hideMark/>
          </w:tcPr>
          <w:p w14:paraId="10A51B6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2917FB7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KV</w:t>
            </w:r>
          </w:p>
        </w:tc>
        <w:tc>
          <w:tcPr>
            <w:tcW w:w="455" w:type="pct"/>
            <w:tcBorders>
              <w:top w:val="nil"/>
              <w:left w:val="nil"/>
              <w:bottom w:val="single" w:sz="8" w:space="0" w:color="auto"/>
              <w:right w:val="single" w:sz="8" w:space="0" w:color="auto"/>
            </w:tcBorders>
            <w:shd w:val="clear" w:color="auto" w:fill="auto"/>
            <w:vAlign w:val="center"/>
            <w:hideMark/>
          </w:tcPr>
          <w:p w14:paraId="1816793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299D61D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CF1722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5B5F10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Mesto Stupava</w:t>
            </w:r>
          </w:p>
        </w:tc>
        <w:tc>
          <w:tcPr>
            <w:tcW w:w="1118" w:type="pct"/>
            <w:tcBorders>
              <w:top w:val="nil"/>
              <w:left w:val="nil"/>
              <w:bottom w:val="single" w:sz="8" w:space="0" w:color="auto"/>
              <w:right w:val="single" w:sz="8" w:space="0" w:color="auto"/>
            </w:tcBorders>
            <w:shd w:val="clear" w:color="auto" w:fill="auto"/>
            <w:vAlign w:val="center"/>
            <w:hideMark/>
          </w:tcPr>
          <w:p w14:paraId="1FEC7ABA"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Zveladenie</w:t>
            </w:r>
            <w:proofErr w:type="spellEnd"/>
            <w:r w:rsidRPr="001139E3">
              <w:rPr>
                <w:rFonts w:ascii="Arial" w:hAnsi="Arial" w:cs="Arial"/>
                <w:color w:val="000000"/>
                <w:sz w:val="20"/>
                <w:szCs w:val="20"/>
                <w:lang w:eastAsia="sk-SK"/>
              </w:rPr>
              <w:t xml:space="preserve"> areálu MŠ Janka Kráľa v Stupave</w:t>
            </w:r>
          </w:p>
        </w:tc>
        <w:tc>
          <w:tcPr>
            <w:tcW w:w="631" w:type="pct"/>
            <w:tcBorders>
              <w:top w:val="nil"/>
              <w:left w:val="nil"/>
              <w:bottom w:val="single" w:sz="8" w:space="0" w:color="auto"/>
              <w:right w:val="single" w:sz="8" w:space="0" w:color="auto"/>
            </w:tcBorders>
            <w:shd w:val="clear" w:color="auto" w:fill="auto"/>
            <w:noWrap/>
            <w:vAlign w:val="center"/>
            <w:hideMark/>
          </w:tcPr>
          <w:p w14:paraId="4E2CFB9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2EBD081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4ECC06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34F7479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5C05B9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F857BF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Lokomotíva Devínska Nová Ves</w:t>
            </w:r>
          </w:p>
        </w:tc>
        <w:tc>
          <w:tcPr>
            <w:tcW w:w="1118" w:type="pct"/>
            <w:tcBorders>
              <w:top w:val="nil"/>
              <w:left w:val="nil"/>
              <w:bottom w:val="single" w:sz="8" w:space="0" w:color="auto"/>
              <w:right w:val="single" w:sz="8" w:space="0" w:color="auto"/>
            </w:tcBorders>
            <w:shd w:val="clear" w:color="auto" w:fill="auto"/>
            <w:vAlign w:val="center"/>
            <w:hideMark/>
          </w:tcPr>
          <w:p w14:paraId="0EF114E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DNV – žije futbalom – športová výstroj je základ</w:t>
            </w:r>
          </w:p>
        </w:tc>
        <w:tc>
          <w:tcPr>
            <w:tcW w:w="631" w:type="pct"/>
            <w:tcBorders>
              <w:top w:val="nil"/>
              <w:left w:val="nil"/>
              <w:bottom w:val="single" w:sz="8" w:space="0" w:color="auto"/>
              <w:right w:val="single" w:sz="8" w:space="0" w:color="auto"/>
            </w:tcBorders>
            <w:shd w:val="clear" w:color="auto" w:fill="auto"/>
            <w:noWrap/>
            <w:vAlign w:val="center"/>
            <w:hideMark/>
          </w:tcPr>
          <w:p w14:paraId="51BBFD3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33EF221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7FCB6A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0DD0234A"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D82EEB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30D6B9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Mestská časť Bratislava - Dúbravka</w:t>
            </w:r>
          </w:p>
        </w:tc>
        <w:tc>
          <w:tcPr>
            <w:tcW w:w="1118" w:type="pct"/>
            <w:tcBorders>
              <w:top w:val="nil"/>
              <w:left w:val="nil"/>
              <w:bottom w:val="single" w:sz="8" w:space="0" w:color="auto"/>
              <w:right w:val="single" w:sz="8" w:space="0" w:color="auto"/>
            </w:tcBorders>
            <w:shd w:val="clear" w:color="auto" w:fill="auto"/>
            <w:vAlign w:val="center"/>
            <w:hideMark/>
          </w:tcPr>
          <w:p w14:paraId="64E4D8F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Dni Dúbravky</w:t>
            </w:r>
          </w:p>
        </w:tc>
        <w:tc>
          <w:tcPr>
            <w:tcW w:w="631" w:type="pct"/>
            <w:tcBorders>
              <w:top w:val="nil"/>
              <w:left w:val="nil"/>
              <w:bottom w:val="single" w:sz="8" w:space="0" w:color="auto"/>
              <w:right w:val="single" w:sz="8" w:space="0" w:color="auto"/>
            </w:tcBorders>
            <w:shd w:val="clear" w:color="auto" w:fill="auto"/>
            <w:noWrap/>
            <w:vAlign w:val="center"/>
            <w:hideMark/>
          </w:tcPr>
          <w:p w14:paraId="3A64719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3A66A35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E95399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00278CD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2A3308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98A2A6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Múzeum Petržalského Opevnenia, OZ</w:t>
            </w:r>
          </w:p>
        </w:tc>
        <w:tc>
          <w:tcPr>
            <w:tcW w:w="1118" w:type="pct"/>
            <w:tcBorders>
              <w:top w:val="nil"/>
              <w:left w:val="nil"/>
              <w:bottom w:val="single" w:sz="8" w:space="0" w:color="auto"/>
              <w:right w:val="single" w:sz="8" w:space="0" w:color="auto"/>
            </w:tcBorders>
            <w:shd w:val="clear" w:color="auto" w:fill="auto"/>
            <w:vAlign w:val="center"/>
            <w:hideMark/>
          </w:tcPr>
          <w:p w14:paraId="04897D1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Bunker B-S 4 Lány – interaktivita a inovácie</w:t>
            </w:r>
          </w:p>
        </w:tc>
        <w:tc>
          <w:tcPr>
            <w:tcW w:w="631" w:type="pct"/>
            <w:tcBorders>
              <w:top w:val="nil"/>
              <w:left w:val="nil"/>
              <w:bottom w:val="single" w:sz="8" w:space="0" w:color="auto"/>
              <w:right w:val="single" w:sz="8" w:space="0" w:color="auto"/>
            </w:tcBorders>
            <w:shd w:val="clear" w:color="auto" w:fill="auto"/>
            <w:noWrap/>
            <w:vAlign w:val="center"/>
            <w:hideMark/>
          </w:tcPr>
          <w:p w14:paraId="2990ED1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37E4705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1B74D9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6C70F8D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852F3C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15F647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HK RUŽINOV ´99 Bratislava, </w:t>
            </w:r>
            <w:proofErr w:type="spellStart"/>
            <w:r w:rsidRPr="001139E3">
              <w:rPr>
                <w:rFonts w:ascii="Arial" w:hAnsi="Arial" w:cs="Arial"/>
                <w:color w:val="000000"/>
                <w:sz w:val="20"/>
                <w:szCs w:val="20"/>
                <w:lang w:eastAsia="sk-SK"/>
              </w:rPr>
              <w:t>a.s</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739F5BB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Špecializácia v príprave a tréningový proces</w:t>
            </w:r>
          </w:p>
        </w:tc>
        <w:tc>
          <w:tcPr>
            <w:tcW w:w="631" w:type="pct"/>
            <w:tcBorders>
              <w:top w:val="nil"/>
              <w:left w:val="nil"/>
              <w:bottom w:val="single" w:sz="8" w:space="0" w:color="auto"/>
              <w:right w:val="single" w:sz="8" w:space="0" w:color="auto"/>
            </w:tcBorders>
            <w:shd w:val="clear" w:color="auto" w:fill="auto"/>
            <w:noWrap/>
            <w:vAlign w:val="center"/>
            <w:hideMark/>
          </w:tcPr>
          <w:p w14:paraId="438EEC6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5D0EF7D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245D7B5"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4BE9D853"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5084CB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A74E4A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Lozorno</w:t>
            </w:r>
          </w:p>
        </w:tc>
        <w:tc>
          <w:tcPr>
            <w:tcW w:w="1118" w:type="pct"/>
            <w:tcBorders>
              <w:top w:val="nil"/>
              <w:left w:val="nil"/>
              <w:bottom w:val="single" w:sz="8" w:space="0" w:color="auto"/>
              <w:right w:val="single" w:sz="8" w:space="0" w:color="auto"/>
            </w:tcBorders>
            <w:shd w:val="clear" w:color="auto" w:fill="auto"/>
            <w:vAlign w:val="center"/>
            <w:hideMark/>
          </w:tcPr>
          <w:p w14:paraId="2175778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Jedna </w:t>
            </w:r>
            <w:proofErr w:type="spellStart"/>
            <w:r w:rsidRPr="001139E3">
              <w:rPr>
                <w:rFonts w:ascii="Arial" w:hAnsi="Arial" w:cs="Arial"/>
                <w:color w:val="000000"/>
                <w:sz w:val="20"/>
                <w:szCs w:val="20"/>
                <w:lang w:eastAsia="sk-SK"/>
              </w:rPr>
              <w:t>dzedzina</w:t>
            </w:r>
            <w:proofErr w:type="spellEnd"/>
            <w:r w:rsidRPr="001139E3">
              <w:rPr>
                <w:rFonts w:ascii="Arial" w:hAnsi="Arial" w:cs="Arial"/>
                <w:color w:val="000000"/>
                <w:sz w:val="20"/>
                <w:szCs w:val="20"/>
                <w:lang w:eastAsia="sk-SK"/>
              </w:rPr>
              <w:t xml:space="preserve"> – jedna </w:t>
            </w:r>
            <w:proofErr w:type="spellStart"/>
            <w:r w:rsidRPr="001139E3">
              <w:rPr>
                <w:rFonts w:ascii="Arial" w:hAnsi="Arial" w:cs="Arial"/>
                <w:color w:val="000000"/>
                <w:sz w:val="20"/>
                <w:szCs w:val="20"/>
                <w:lang w:eastAsia="sk-SK"/>
              </w:rPr>
              <w:t>rodzina</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3278004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40AEF25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293D1F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2BF04F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51CD6D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E6A1AF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Bratislavský šachový zväz</w:t>
            </w:r>
          </w:p>
        </w:tc>
        <w:tc>
          <w:tcPr>
            <w:tcW w:w="1118" w:type="pct"/>
            <w:tcBorders>
              <w:top w:val="nil"/>
              <w:left w:val="nil"/>
              <w:bottom w:val="single" w:sz="8" w:space="0" w:color="auto"/>
              <w:right w:val="single" w:sz="8" w:space="0" w:color="auto"/>
            </w:tcBorders>
            <w:shd w:val="clear" w:color="auto" w:fill="auto"/>
            <w:vAlign w:val="center"/>
            <w:hideMark/>
          </w:tcPr>
          <w:p w14:paraId="679A60E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Podpora rozvoja šachu v BSK 2020</w:t>
            </w:r>
          </w:p>
        </w:tc>
        <w:tc>
          <w:tcPr>
            <w:tcW w:w="631" w:type="pct"/>
            <w:tcBorders>
              <w:top w:val="nil"/>
              <w:left w:val="nil"/>
              <w:bottom w:val="single" w:sz="8" w:space="0" w:color="auto"/>
              <w:right w:val="single" w:sz="8" w:space="0" w:color="auto"/>
            </w:tcBorders>
            <w:shd w:val="clear" w:color="auto" w:fill="auto"/>
            <w:noWrap/>
            <w:vAlign w:val="center"/>
            <w:hideMark/>
          </w:tcPr>
          <w:p w14:paraId="28848DE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0045C1A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F22BD2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1F9D9D6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52F503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325D02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TOUR4U, s.r.o.</w:t>
            </w:r>
          </w:p>
        </w:tc>
        <w:tc>
          <w:tcPr>
            <w:tcW w:w="1118" w:type="pct"/>
            <w:tcBorders>
              <w:top w:val="nil"/>
              <w:left w:val="nil"/>
              <w:bottom w:val="single" w:sz="8" w:space="0" w:color="auto"/>
              <w:right w:val="single" w:sz="8" w:space="0" w:color="auto"/>
            </w:tcBorders>
            <w:shd w:val="clear" w:color="auto" w:fill="auto"/>
            <w:vAlign w:val="center"/>
            <w:hideMark/>
          </w:tcPr>
          <w:p w14:paraId="0CB0725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Devínsky </w:t>
            </w:r>
            <w:proofErr w:type="spellStart"/>
            <w:r w:rsidRPr="001139E3">
              <w:rPr>
                <w:rFonts w:ascii="Arial" w:hAnsi="Arial" w:cs="Arial"/>
                <w:color w:val="000000"/>
                <w:sz w:val="20"/>
                <w:szCs w:val="20"/>
                <w:lang w:eastAsia="sk-SK"/>
              </w:rPr>
              <w:t>Shuttle</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bus</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68204B2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39EFEA3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3F8172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220D39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CABFE2F"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D4350C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Slovenská basketbalová asociácia</w:t>
            </w:r>
          </w:p>
        </w:tc>
        <w:tc>
          <w:tcPr>
            <w:tcW w:w="1118" w:type="pct"/>
            <w:tcBorders>
              <w:top w:val="nil"/>
              <w:left w:val="nil"/>
              <w:bottom w:val="single" w:sz="8" w:space="0" w:color="auto"/>
              <w:right w:val="single" w:sz="8" w:space="0" w:color="auto"/>
            </w:tcBorders>
            <w:shd w:val="clear" w:color="auto" w:fill="auto"/>
            <w:vAlign w:val="center"/>
            <w:hideMark/>
          </w:tcPr>
          <w:p w14:paraId="4A7DC35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3X3 INTERNATIONAL WOMEN'S TOURNAMENT</w:t>
            </w:r>
          </w:p>
        </w:tc>
        <w:tc>
          <w:tcPr>
            <w:tcW w:w="631" w:type="pct"/>
            <w:tcBorders>
              <w:top w:val="nil"/>
              <w:left w:val="nil"/>
              <w:bottom w:val="single" w:sz="8" w:space="0" w:color="auto"/>
              <w:right w:val="single" w:sz="8" w:space="0" w:color="auto"/>
            </w:tcBorders>
            <w:shd w:val="clear" w:color="auto" w:fill="auto"/>
            <w:noWrap/>
            <w:vAlign w:val="center"/>
            <w:hideMark/>
          </w:tcPr>
          <w:p w14:paraId="55BCE37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4A6EF87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E3DC0F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629F54D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0623E7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40349A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Ing. Jana </w:t>
            </w:r>
            <w:proofErr w:type="spellStart"/>
            <w:r w:rsidRPr="001139E3">
              <w:rPr>
                <w:rFonts w:ascii="Arial" w:hAnsi="Arial" w:cs="Arial"/>
                <w:color w:val="000000"/>
                <w:sz w:val="20"/>
                <w:szCs w:val="20"/>
                <w:lang w:eastAsia="sk-SK"/>
              </w:rPr>
              <w:t>Lokšenincová</w:t>
            </w:r>
            <w:proofErr w:type="spellEnd"/>
            <w:r w:rsidRPr="001139E3">
              <w:rPr>
                <w:rFonts w:ascii="Arial" w:hAnsi="Arial" w:cs="Arial"/>
                <w:color w:val="000000"/>
                <w:sz w:val="20"/>
                <w:szCs w:val="20"/>
                <w:lang w:eastAsia="sk-SK"/>
              </w:rPr>
              <w:t xml:space="preserve"> - SLNKO RECORDS</w:t>
            </w:r>
          </w:p>
        </w:tc>
        <w:tc>
          <w:tcPr>
            <w:tcW w:w="1118" w:type="pct"/>
            <w:tcBorders>
              <w:top w:val="nil"/>
              <w:left w:val="nil"/>
              <w:bottom w:val="single" w:sz="8" w:space="0" w:color="auto"/>
              <w:right w:val="single" w:sz="8" w:space="0" w:color="auto"/>
            </w:tcBorders>
            <w:shd w:val="clear" w:color="auto" w:fill="auto"/>
            <w:vAlign w:val="center"/>
            <w:hideMark/>
          </w:tcPr>
          <w:p w14:paraId="1D2E41A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Do uší - Podcast bratislavskej hudobnej scény</w:t>
            </w:r>
          </w:p>
        </w:tc>
        <w:tc>
          <w:tcPr>
            <w:tcW w:w="631" w:type="pct"/>
            <w:tcBorders>
              <w:top w:val="nil"/>
              <w:left w:val="nil"/>
              <w:bottom w:val="single" w:sz="8" w:space="0" w:color="auto"/>
              <w:right w:val="single" w:sz="8" w:space="0" w:color="auto"/>
            </w:tcBorders>
            <w:shd w:val="clear" w:color="auto" w:fill="auto"/>
            <w:noWrap/>
            <w:vAlign w:val="center"/>
            <w:hideMark/>
          </w:tcPr>
          <w:p w14:paraId="1299505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1EAB63E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023A5E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4CF7847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587C85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51D05C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Psychiatrická nemocnica </w:t>
            </w:r>
            <w:proofErr w:type="spellStart"/>
            <w:r w:rsidRPr="001139E3">
              <w:rPr>
                <w:rFonts w:ascii="Arial" w:hAnsi="Arial" w:cs="Arial"/>
                <w:color w:val="000000"/>
                <w:sz w:val="20"/>
                <w:szCs w:val="20"/>
                <w:lang w:eastAsia="sk-SK"/>
              </w:rPr>
              <w:t>Philippa</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Pinela</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15734CC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Nové aktivity v </w:t>
            </w:r>
            <w:proofErr w:type="spellStart"/>
            <w:r w:rsidRPr="001139E3">
              <w:rPr>
                <w:rFonts w:ascii="Arial" w:hAnsi="Arial" w:cs="Arial"/>
                <w:color w:val="000000"/>
                <w:sz w:val="20"/>
                <w:szCs w:val="20"/>
                <w:lang w:eastAsia="sk-SK"/>
              </w:rPr>
              <w:t>Pinelke</w:t>
            </w:r>
            <w:proofErr w:type="spellEnd"/>
            <w:r w:rsidRPr="001139E3">
              <w:rPr>
                <w:rFonts w:ascii="Arial" w:hAnsi="Arial" w:cs="Arial"/>
                <w:color w:val="000000"/>
                <w:sz w:val="20"/>
                <w:szCs w:val="20"/>
                <w:lang w:eastAsia="sk-SK"/>
              </w:rPr>
              <w:t xml:space="preserve"> (nielen) počas pandémie</w:t>
            </w:r>
          </w:p>
        </w:tc>
        <w:tc>
          <w:tcPr>
            <w:tcW w:w="631" w:type="pct"/>
            <w:tcBorders>
              <w:top w:val="nil"/>
              <w:left w:val="nil"/>
              <w:bottom w:val="single" w:sz="8" w:space="0" w:color="auto"/>
              <w:right w:val="single" w:sz="8" w:space="0" w:color="auto"/>
            </w:tcBorders>
            <w:shd w:val="clear" w:color="auto" w:fill="auto"/>
            <w:noWrap/>
            <w:vAlign w:val="center"/>
            <w:hideMark/>
          </w:tcPr>
          <w:p w14:paraId="0356467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1FD91B1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6F12A7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07082DA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EA132D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lastRenderedPageBreak/>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927BCF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Občianske združenie SLÁVIK SLOVENSKA</w:t>
            </w:r>
          </w:p>
        </w:tc>
        <w:tc>
          <w:tcPr>
            <w:tcW w:w="1118" w:type="pct"/>
            <w:tcBorders>
              <w:top w:val="nil"/>
              <w:left w:val="nil"/>
              <w:bottom w:val="single" w:sz="8" w:space="0" w:color="auto"/>
              <w:right w:val="single" w:sz="8" w:space="0" w:color="auto"/>
            </w:tcBorders>
            <w:shd w:val="clear" w:color="auto" w:fill="auto"/>
            <w:vAlign w:val="center"/>
            <w:hideMark/>
          </w:tcPr>
          <w:p w14:paraId="24883FC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Eugen Suchoň, CD Komorná tvorba (1923-1977)</w:t>
            </w:r>
          </w:p>
        </w:tc>
        <w:tc>
          <w:tcPr>
            <w:tcW w:w="631" w:type="pct"/>
            <w:tcBorders>
              <w:top w:val="nil"/>
              <w:left w:val="nil"/>
              <w:bottom w:val="single" w:sz="8" w:space="0" w:color="auto"/>
              <w:right w:val="single" w:sz="8" w:space="0" w:color="auto"/>
            </w:tcBorders>
            <w:shd w:val="clear" w:color="auto" w:fill="auto"/>
            <w:noWrap/>
            <w:vAlign w:val="center"/>
            <w:hideMark/>
          </w:tcPr>
          <w:p w14:paraId="1A042B3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2CFA6FA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E99A2D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29F37D9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FCB3D1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2F2D59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SOVVA - Slovenská organizácia pre výskumné a vývojové aktivity</w:t>
            </w:r>
          </w:p>
        </w:tc>
        <w:tc>
          <w:tcPr>
            <w:tcW w:w="1118" w:type="pct"/>
            <w:tcBorders>
              <w:top w:val="nil"/>
              <w:left w:val="nil"/>
              <w:bottom w:val="single" w:sz="8" w:space="0" w:color="auto"/>
              <w:right w:val="single" w:sz="8" w:space="0" w:color="auto"/>
            </w:tcBorders>
            <w:shd w:val="clear" w:color="auto" w:fill="auto"/>
            <w:vAlign w:val="center"/>
            <w:hideMark/>
          </w:tcPr>
          <w:p w14:paraId="08F9244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Festival vedy - Európska noc výskumníkov 2020</w:t>
            </w:r>
          </w:p>
        </w:tc>
        <w:tc>
          <w:tcPr>
            <w:tcW w:w="631" w:type="pct"/>
            <w:tcBorders>
              <w:top w:val="nil"/>
              <w:left w:val="nil"/>
              <w:bottom w:val="single" w:sz="8" w:space="0" w:color="auto"/>
              <w:right w:val="single" w:sz="8" w:space="0" w:color="auto"/>
            </w:tcBorders>
            <w:shd w:val="clear" w:color="auto" w:fill="auto"/>
            <w:noWrap/>
            <w:vAlign w:val="center"/>
            <w:hideMark/>
          </w:tcPr>
          <w:p w14:paraId="58F2700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7C045A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63E2A8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73B6653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D25512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BA6724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Slovenský Zväz Karate</w:t>
            </w:r>
          </w:p>
        </w:tc>
        <w:tc>
          <w:tcPr>
            <w:tcW w:w="1118" w:type="pct"/>
            <w:tcBorders>
              <w:top w:val="nil"/>
              <w:left w:val="nil"/>
              <w:bottom w:val="single" w:sz="8" w:space="0" w:color="auto"/>
              <w:right w:val="single" w:sz="8" w:space="0" w:color="auto"/>
            </w:tcBorders>
            <w:shd w:val="clear" w:color="auto" w:fill="auto"/>
            <w:vAlign w:val="center"/>
            <w:hideMark/>
          </w:tcPr>
          <w:p w14:paraId="5B7BABA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40.ročník Veľká cena Slovenska v karate</w:t>
            </w:r>
          </w:p>
        </w:tc>
        <w:tc>
          <w:tcPr>
            <w:tcW w:w="631" w:type="pct"/>
            <w:tcBorders>
              <w:top w:val="nil"/>
              <w:left w:val="nil"/>
              <w:bottom w:val="single" w:sz="8" w:space="0" w:color="auto"/>
              <w:right w:val="single" w:sz="8" w:space="0" w:color="auto"/>
            </w:tcBorders>
            <w:shd w:val="clear" w:color="auto" w:fill="auto"/>
            <w:noWrap/>
            <w:vAlign w:val="center"/>
            <w:hideMark/>
          </w:tcPr>
          <w:p w14:paraId="3274B13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41BF170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AE3E43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4C8AAF8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757113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23CDB4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PRESTIGIO REALIZ team, </w:t>
            </w: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13B4FA4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Šprint FTVŠ 2020 Majstrovstvá Slovenska</w:t>
            </w:r>
          </w:p>
        </w:tc>
        <w:tc>
          <w:tcPr>
            <w:tcW w:w="631" w:type="pct"/>
            <w:tcBorders>
              <w:top w:val="nil"/>
              <w:left w:val="nil"/>
              <w:bottom w:val="single" w:sz="8" w:space="0" w:color="auto"/>
              <w:right w:val="single" w:sz="8" w:space="0" w:color="auto"/>
            </w:tcBorders>
            <w:shd w:val="clear" w:color="auto" w:fill="auto"/>
            <w:noWrap/>
            <w:vAlign w:val="center"/>
            <w:hideMark/>
          </w:tcPr>
          <w:p w14:paraId="20F2343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06C9BAD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412491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6C637A0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F7D96E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012FE3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LOHYNA WRESTLING ACADEMY</w:t>
            </w:r>
          </w:p>
        </w:tc>
        <w:tc>
          <w:tcPr>
            <w:tcW w:w="1118" w:type="pct"/>
            <w:tcBorders>
              <w:top w:val="nil"/>
              <w:left w:val="nil"/>
              <w:bottom w:val="single" w:sz="8" w:space="0" w:color="auto"/>
              <w:right w:val="single" w:sz="8" w:space="0" w:color="auto"/>
            </w:tcBorders>
            <w:shd w:val="clear" w:color="auto" w:fill="auto"/>
            <w:vAlign w:val="center"/>
            <w:hideMark/>
          </w:tcPr>
          <w:p w14:paraId="43AFB689"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Open</w:t>
            </w:r>
            <w:proofErr w:type="spellEnd"/>
            <w:r w:rsidRPr="001139E3">
              <w:rPr>
                <w:rFonts w:ascii="Arial" w:hAnsi="Arial" w:cs="Arial"/>
                <w:color w:val="000000"/>
                <w:sz w:val="20"/>
                <w:szCs w:val="20"/>
                <w:lang w:eastAsia="sk-SK"/>
              </w:rPr>
              <w:t xml:space="preserve"> Wrestling </w:t>
            </w:r>
            <w:proofErr w:type="spellStart"/>
            <w:r w:rsidRPr="001139E3">
              <w:rPr>
                <w:rFonts w:ascii="Arial" w:hAnsi="Arial" w:cs="Arial"/>
                <w:color w:val="000000"/>
                <w:sz w:val="20"/>
                <w:szCs w:val="20"/>
                <w:lang w:eastAsia="sk-SK"/>
              </w:rPr>
              <w:t>Day</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46FA79D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1220FF4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6EF10C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2 500,00</w:t>
            </w:r>
          </w:p>
        </w:tc>
      </w:tr>
      <w:tr w:rsidR="001139E3" w:rsidRPr="001139E3" w14:paraId="4F7D762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F4D79A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A4088C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Športový klub SUPERNOVA</w:t>
            </w:r>
          </w:p>
        </w:tc>
        <w:tc>
          <w:tcPr>
            <w:tcW w:w="1118" w:type="pct"/>
            <w:tcBorders>
              <w:top w:val="nil"/>
              <w:left w:val="nil"/>
              <w:bottom w:val="single" w:sz="8" w:space="0" w:color="auto"/>
              <w:right w:val="single" w:sz="8" w:space="0" w:color="auto"/>
            </w:tcBorders>
            <w:shd w:val="clear" w:color="auto" w:fill="auto"/>
            <w:vAlign w:val="center"/>
            <w:hideMark/>
          </w:tcPr>
          <w:p w14:paraId="38CC325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Zimná príprava mladých hviezd</w:t>
            </w:r>
          </w:p>
        </w:tc>
        <w:tc>
          <w:tcPr>
            <w:tcW w:w="631" w:type="pct"/>
            <w:tcBorders>
              <w:top w:val="nil"/>
              <w:left w:val="nil"/>
              <w:bottom w:val="single" w:sz="8" w:space="0" w:color="auto"/>
              <w:right w:val="single" w:sz="8" w:space="0" w:color="auto"/>
            </w:tcBorders>
            <w:shd w:val="clear" w:color="auto" w:fill="auto"/>
            <w:noWrap/>
            <w:vAlign w:val="center"/>
            <w:hideMark/>
          </w:tcPr>
          <w:p w14:paraId="0CB399E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6124278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30C71F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55A5E51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B2AE3C8"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7711DD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ŠK HANCOP </w:t>
            </w: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29918A3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HANCOP</w:t>
            </w:r>
          </w:p>
        </w:tc>
        <w:tc>
          <w:tcPr>
            <w:tcW w:w="631" w:type="pct"/>
            <w:tcBorders>
              <w:top w:val="nil"/>
              <w:left w:val="nil"/>
              <w:bottom w:val="single" w:sz="8" w:space="0" w:color="auto"/>
              <w:right w:val="single" w:sz="8" w:space="0" w:color="auto"/>
            </w:tcBorders>
            <w:shd w:val="clear" w:color="auto" w:fill="auto"/>
            <w:noWrap/>
            <w:vAlign w:val="center"/>
            <w:hideMark/>
          </w:tcPr>
          <w:p w14:paraId="4F6FDE5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11B13CD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778F04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619C3D5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853CB9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1B697A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Zväz slovenského lyžovania</w:t>
            </w:r>
          </w:p>
        </w:tc>
        <w:tc>
          <w:tcPr>
            <w:tcW w:w="1118" w:type="pct"/>
            <w:tcBorders>
              <w:top w:val="nil"/>
              <w:left w:val="nil"/>
              <w:bottom w:val="single" w:sz="8" w:space="0" w:color="auto"/>
              <w:right w:val="single" w:sz="8" w:space="0" w:color="auto"/>
            </w:tcBorders>
            <w:shd w:val="clear" w:color="auto" w:fill="auto"/>
            <w:vAlign w:val="center"/>
            <w:hideMark/>
          </w:tcPr>
          <w:p w14:paraId="74E4D12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Zdravá noha dieťaťa - základ zdravého vývoja</w:t>
            </w:r>
          </w:p>
        </w:tc>
        <w:tc>
          <w:tcPr>
            <w:tcW w:w="631" w:type="pct"/>
            <w:tcBorders>
              <w:top w:val="nil"/>
              <w:left w:val="nil"/>
              <w:bottom w:val="single" w:sz="8" w:space="0" w:color="auto"/>
              <w:right w:val="single" w:sz="8" w:space="0" w:color="auto"/>
            </w:tcBorders>
            <w:shd w:val="clear" w:color="auto" w:fill="auto"/>
            <w:noWrap/>
            <w:vAlign w:val="center"/>
            <w:hideMark/>
          </w:tcPr>
          <w:p w14:paraId="0938F68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69564A6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E71DF9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391D4C6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1EADC8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A1ABBF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Mestská časť Bratislava - Staré Mesto</w:t>
            </w:r>
          </w:p>
        </w:tc>
        <w:tc>
          <w:tcPr>
            <w:tcW w:w="1118" w:type="pct"/>
            <w:tcBorders>
              <w:top w:val="nil"/>
              <w:left w:val="nil"/>
              <w:bottom w:val="single" w:sz="8" w:space="0" w:color="auto"/>
              <w:right w:val="single" w:sz="8" w:space="0" w:color="auto"/>
            </w:tcBorders>
            <w:shd w:val="clear" w:color="auto" w:fill="auto"/>
            <w:vAlign w:val="center"/>
            <w:hideMark/>
          </w:tcPr>
          <w:p w14:paraId="1EA926C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Revitalizácia parčíka na Medenej ulici</w:t>
            </w:r>
          </w:p>
        </w:tc>
        <w:tc>
          <w:tcPr>
            <w:tcW w:w="631" w:type="pct"/>
            <w:tcBorders>
              <w:top w:val="nil"/>
              <w:left w:val="nil"/>
              <w:bottom w:val="single" w:sz="8" w:space="0" w:color="auto"/>
              <w:right w:val="single" w:sz="8" w:space="0" w:color="auto"/>
            </w:tcBorders>
            <w:shd w:val="clear" w:color="auto" w:fill="auto"/>
            <w:noWrap/>
            <w:vAlign w:val="center"/>
            <w:hideMark/>
          </w:tcPr>
          <w:p w14:paraId="5A408CE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796A957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8F4F9B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5 000,00</w:t>
            </w:r>
          </w:p>
        </w:tc>
      </w:tr>
      <w:tr w:rsidR="001139E3" w:rsidRPr="001139E3" w14:paraId="58A5945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408101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45DF69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Slovenský zväz malého futbalu</w:t>
            </w:r>
          </w:p>
        </w:tc>
        <w:tc>
          <w:tcPr>
            <w:tcW w:w="1118" w:type="pct"/>
            <w:tcBorders>
              <w:top w:val="nil"/>
              <w:left w:val="nil"/>
              <w:bottom w:val="single" w:sz="8" w:space="0" w:color="auto"/>
              <w:right w:val="single" w:sz="8" w:space="0" w:color="auto"/>
            </w:tcBorders>
            <w:shd w:val="clear" w:color="auto" w:fill="auto"/>
            <w:vAlign w:val="center"/>
            <w:hideMark/>
          </w:tcPr>
          <w:p w14:paraId="13C97CC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Bratislavský výber v národnej lige malého </w:t>
            </w:r>
            <w:proofErr w:type="spellStart"/>
            <w:r w:rsidRPr="001139E3">
              <w:rPr>
                <w:rFonts w:ascii="Arial" w:hAnsi="Arial" w:cs="Arial"/>
                <w:color w:val="000000"/>
                <w:sz w:val="20"/>
                <w:szCs w:val="20"/>
                <w:lang w:eastAsia="sk-SK"/>
              </w:rPr>
              <w:t>futbalui</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33C3F50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7F9B92C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E5B1E4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020D67B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3387B7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8E53E0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Bratislavský zväz malého futbalu, o. z.</w:t>
            </w:r>
          </w:p>
        </w:tc>
        <w:tc>
          <w:tcPr>
            <w:tcW w:w="1118" w:type="pct"/>
            <w:tcBorders>
              <w:top w:val="nil"/>
              <w:left w:val="nil"/>
              <w:bottom w:val="single" w:sz="8" w:space="0" w:color="auto"/>
              <w:right w:val="single" w:sz="8" w:space="0" w:color="auto"/>
            </w:tcBorders>
            <w:shd w:val="clear" w:color="auto" w:fill="auto"/>
            <w:vAlign w:val="center"/>
            <w:hideMark/>
          </w:tcPr>
          <w:p w14:paraId="5D88619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Sezóna malého futbalu v Bratislave</w:t>
            </w:r>
          </w:p>
        </w:tc>
        <w:tc>
          <w:tcPr>
            <w:tcW w:w="631" w:type="pct"/>
            <w:tcBorders>
              <w:top w:val="nil"/>
              <w:left w:val="nil"/>
              <w:bottom w:val="single" w:sz="8" w:space="0" w:color="auto"/>
              <w:right w:val="single" w:sz="8" w:space="0" w:color="auto"/>
            </w:tcBorders>
            <w:shd w:val="clear" w:color="auto" w:fill="auto"/>
            <w:noWrap/>
            <w:vAlign w:val="center"/>
            <w:hideMark/>
          </w:tcPr>
          <w:p w14:paraId="5413A9C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11660B2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2C7477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3598870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75095E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99357C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Vladimír </w:t>
            </w:r>
            <w:proofErr w:type="spellStart"/>
            <w:r w:rsidRPr="001139E3">
              <w:rPr>
                <w:rFonts w:ascii="Arial" w:hAnsi="Arial" w:cs="Arial"/>
                <w:color w:val="000000"/>
                <w:sz w:val="20"/>
                <w:szCs w:val="20"/>
                <w:lang w:eastAsia="sk-SK"/>
              </w:rPr>
              <w:t>Belzár</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349C034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Rekonštrukcia bočnej fasády budovy vedľa synagógy</w:t>
            </w:r>
          </w:p>
        </w:tc>
        <w:tc>
          <w:tcPr>
            <w:tcW w:w="631" w:type="pct"/>
            <w:tcBorders>
              <w:top w:val="nil"/>
              <w:left w:val="nil"/>
              <w:bottom w:val="single" w:sz="8" w:space="0" w:color="auto"/>
              <w:right w:val="single" w:sz="8" w:space="0" w:color="auto"/>
            </w:tcBorders>
            <w:shd w:val="clear" w:color="auto" w:fill="auto"/>
            <w:noWrap/>
            <w:vAlign w:val="center"/>
            <w:hideMark/>
          </w:tcPr>
          <w:p w14:paraId="6036904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284A240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KV</w:t>
            </w:r>
          </w:p>
        </w:tc>
        <w:tc>
          <w:tcPr>
            <w:tcW w:w="455" w:type="pct"/>
            <w:tcBorders>
              <w:top w:val="nil"/>
              <w:left w:val="nil"/>
              <w:bottom w:val="single" w:sz="8" w:space="0" w:color="auto"/>
              <w:right w:val="single" w:sz="8" w:space="0" w:color="auto"/>
            </w:tcBorders>
            <w:shd w:val="clear" w:color="auto" w:fill="auto"/>
            <w:vAlign w:val="center"/>
            <w:hideMark/>
          </w:tcPr>
          <w:p w14:paraId="3F54DC6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5 000,00</w:t>
            </w:r>
          </w:p>
        </w:tc>
      </w:tr>
      <w:tr w:rsidR="001139E3" w:rsidRPr="001139E3" w14:paraId="4EA9DCE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780098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5FB5E6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Mesto Senec</w:t>
            </w:r>
          </w:p>
        </w:tc>
        <w:tc>
          <w:tcPr>
            <w:tcW w:w="1118" w:type="pct"/>
            <w:tcBorders>
              <w:top w:val="nil"/>
              <w:left w:val="nil"/>
              <w:bottom w:val="single" w:sz="8" w:space="0" w:color="auto"/>
              <w:right w:val="single" w:sz="8" w:space="0" w:color="auto"/>
            </w:tcBorders>
            <w:shd w:val="clear" w:color="auto" w:fill="auto"/>
            <w:vAlign w:val="center"/>
            <w:hideMark/>
          </w:tcPr>
          <w:p w14:paraId="5761A31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Obnova okolia synagógy v meste Senec</w:t>
            </w:r>
          </w:p>
        </w:tc>
        <w:tc>
          <w:tcPr>
            <w:tcW w:w="631" w:type="pct"/>
            <w:tcBorders>
              <w:top w:val="nil"/>
              <w:left w:val="nil"/>
              <w:bottom w:val="single" w:sz="8" w:space="0" w:color="auto"/>
              <w:right w:val="single" w:sz="8" w:space="0" w:color="auto"/>
            </w:tcBorders>
            <w:shd w:val="clear" w:color="auto" w:fill="auto"/>
            <w:noWrap/>
            <w:vAlign w:val="center"/>
            <w:hideMark/>
          </w:tcPr>
          <w:p w14:paraId="57BB2F2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430CDE0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KV</w:t>
            </w:r>
          </w:p>
        </w:tc>
        <w:tc>
          <w:tcPr>
            <w:tcW w:w="455" w:type="pct"/>
            <w:tcBorders>
              <w:top w:val="nil"/>
              <w:left w:val="nil"/>
              <w:bottom w:val="single" w:sz="8" w:space="0" w:color="auto"/>
              <w:right w:val="single" w:sz="8" w:space="0" w:color="auto"/>
            </w:tcBorders>
            <w:shd w:val="clear" w:color="auto" w:fill="auto"/>
            <w:vAlign w:val="center"/>
            <w:hideMark/>
          </w:tcPr>
          <w:p w14:paraId="5FAEC43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5 000,00</w:t>
            </w:r>
          </w:p>
        </w:tc>
      </w:tr>
      <w:tr w:rsidR="001139E3" w:rsidRPr="001139E3" w14:paraId="73AE7D70"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58D485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81DF09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Mestské kultúrne a informačné centrum Stupava</w:t>
            </w:r>
          </w:p>
        </w:tc>
        <w:tc>
          <w:tcPr>
            <w:tcW w:w="1118" w:type="pct"/>
            <w:tcBorders>
              <w:top w:val="nil"/>
              <w:left w:val="nil"/>
              <w:bottom w:val="single" w:sz="8" w:space="0" w:color="auto"/>
              <w:right w:val="single" w:sz="8" w:space="0" w:color="auto"/>
            </w:tcBorders>
            <w:shd w:val="clear" w:color="auto" w:fill="auto"/>
            <w:vAlign w:val="center"/>
            <w:hideMark/>
          </w:tcPr>
          <w:p w14:paraId="2FA31A9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Župné Vianoce</w:t>
            </w:r>
          </w:p>
        </w:tc>
        <w:tc>
          <w:tcPr>
            <w:tcW w:w="631" w:type="pct"/>
            <w:tcBorders>
              <w:top w:val="nil"/>
              <w:left w:val="nil"/>
              <w:bottom w:val="single" w:sz="8" w:space="0" w:color="auto"/>
              <w:right w:val="single" w:sz="8" w:space="0" w:color="auto"/>
            </w:tcBorders>
            <w:shd w:val="clear" w:color="auto" w:fill="auto"/>
            <w:noWrap/>
            <w:vAlign w:val="center"/>
            <w:hideMark/>
          </w:tcPr>
          <w:p w14:paraId="1F409908"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0C3B90E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4322B2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1CF242E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80F1EB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719EAA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Občianske združenie Brána do života</w:t>
            </w:r>
          </w:p>
        </w:tc>
        <w:tc>
          <w:tcPr>
            <w:tcW w:w="1118" w:type="pct"/>
            <w:tcBorders>
              <w:top w:val="nil"/>
              <w:left w:val="nil"/>
              <w:bottom w:val="single" w:sz="8" w:space="0" w:color="auto"/>
              <w:right w:val="single" w:sz="8" w:space="0" w:color="auto"/>
            </w:tcBorders>
            <w:shd w:val="clear" w:color="auto" w:fill="auto"/>
            <w:vAlign w:val="center"/>
            <w:hideMark/>
          </w:tcPr>
          <w:p w14:paraId="484D08C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Sociálne začleňovanie</w:t>
            </w:r>
          </w:p>
        </w:tc>
        <w:tc>
          <w:tcPr>
            <w:tcW w:w="631" w:type="pct"/>
            <w:tcBorders>
              <w:top w:val="nil"/>
              <w:left w:val="nil"/>
              <w:bottom w:val="single" w:sz="8" w:space="0" w:color="auto"/>
              <w:right w:val="single" w:sz="8" w:space="0" w:color="auto"/>
            </w:tcBorders>
            <w:shd w:val="clear" w:color="auto" w:fill="auto"/>
            <w:noWrap/>
            <w:vAlign w:val="center"/>
            <w:hideMark/>
          </w:tcPr>
          <w:p w14:paraId="4E558B0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42C3B79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9668467"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800,00</w:t>
            </w:r>
          </w:p>
        </w:tc>
      </w:tr>
      <w:tr w:rsidR="001139E3" w:rsidRPr="001139E3" w14:paraId="2B4E3B0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4FC74F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41F657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Základná škola, Ružová dolina 29, Bratislava</w:t>
            </w:r>
          </w:p>
        </w:tc>
        <w:tc>
          <w:tcPr>
            <w:tcW w:w="1118" w:type="pct"/>
            <w:tcBorders>
              <w:top w:val="nil"/>
              <w:left w:val="nil"/>
              <w:bottom w:val="single" w:sz="8" w:space="0" w:color="auto"/>
              <w:right w:val="single" w:sz="8" w:space="0" w:color="auto"/>
            </w:tcBorders>
            <w:shd w:val="clear" w:color="auto" w:fill="auto"/>
            <w:vAlign w:val="center"/>
            <w:hideMark/>
          </w:tcPr>
          <w:p w14:paraId="33857D1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Skvalitnenie telesnej a športovej výchovy</w:t>
            </w:r>
          </w:p>
        </w:tc>
        <w:tc>
          <w:tcPr>
            <w:tcW w:w="631" w:type="pct"/>
            <w:tcBorders>
              <w:top w:val="nil"/>
              <w:left w:val="nil"/>
              <w:bottom w:val="single" w:sz="8" w:space="0" w:color="auto"/>
              <w:right w:val="single" w:sz="8" w:space="0" w:color="auto"/>
            </w:tcBorders>
            <w:shd w:val="clear" w:color="auto" w:fill="auto"/>
            <w:noWrap/>
            <w:vAlign w:val="center"/>
            <w:hideMark/>
          </w:tcPr>
          <w:p w14:paraId="231CF84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296CBD1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B9EEF4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6D89666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33C4DC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B80558E"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Dobrovolný</w:t>
            </w:r>
            <w:proofErr w:type="spellEnd"/>
            <w:r w:rsidRPr="001139E3">
              <w:rPr>
                <w:rFonts w:ascii="Arial" w:hAnsi="Arial" w:cs="Arial"/>
                <w:color w:val="000000"/>
                <w:sz w:val="20"/>
                <w:szCs w:val="20"/>
                <w:lang w:eastAsia="sk-SK"/>
              </w:rPr>
              <w:t xml:space="preserve"> hasičský zbor Ivanka pri Dunaji</w:t>
            </w:r>
          </w:p>
        </w:tc>
        <w:tc>
          <w:tcPr>
            <w:tcW w:w="1118" w:type="pct"/>
            <w:tcBorders>
              <w:top w:val="nil"/>
              <w:left w:val="nil"/>
              <w:bottom w:val="single" w:sz="8" w:space="0" w:color="auto"/>
              <w:right w:val="single" w:sz="8" w:space="0" w:color="auto"/>
            </w:tcBorders>
            <w:shd w:val="clear" w:color="auto" w:fill="auto"/>
            <w:vAlign w:val="center"/>
            <w:hideMark/>
          </w:tcPr>
          <w:p w14:paraId="355F247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Materiálno-technické vybavenie pre hasičov</w:t>
            </w:r>
          </w:p>
        </w:tc>
        <w:tc>
          <w:tcPr>
            <w:tcW w:w="631" w:type="pct"/>
            <w:tcBorders>
              <w:top w:val="nil"/>
              <w:left w:val="nil"/>
              <w:bottom w:val="single" w:sz="8" w:space="0" w:color="auto"/>
              <w:right w:val="single" w:sz="8" w:space="0" w:color="auto"/>
            </w:tcBorders>
            <w:shd w:val="clear" w:color="auto" w:fill="auto"/>
            <w:noWrap/>
            <w:vAlign w:val="center"/>
            <w:hideMark/>
          </w:tcPr>
          <w:p w14:paraId="1E05E6A2"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636D97B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E6115A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07BA465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B2ABEF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1EC9DB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MLADÝ HOKEJBALISTA - Podunajské Biskupice </w:t>
            </w: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2D6C223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MLADÝ HOKEJBALISTA 2020</w:t>
            </w:r>
          </w:p>
        </w:tc>
        <w:tc>
          <w:tcPr>
            <w:tcW w:w="631" w:type="pct"/>
            <w:tcBorders>
              <w:top w:val="nil"/>
              <w:left w:val="nil"/>
              <w:bottom w:val="single" w:sz="8" w:space="0" w:color="auto"/>
              <w:right w:val="single" w:sz="8" w:space="0" w:color="auto"/>
            </w:tcBorders>
            <w:shd w:val="clear" w:color="auto" w:fill="auto"/>
            <w:noWrap/>
            <w:vAlign w:val="center"/>
            <w:hideMark/>
          </w:tcPr>
          <w:p w14:paraId="286A826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1919C07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BF9C2FE"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4D530C2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02A518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2875A0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Mestská časť Bratislava - Vajnory</w:t>
            </w:r>
          </w:p>
        </w:tc>
        <w:tc>
          <w:tcPr>
            <w:tcW w:w="1118" w:type="pct"/>
            <w:tcBorders>
              <w:top w:val="nil"/>
              <w:left w:val="nil"/>
              <w:bottom w:val="single" w:sz="8" w:space="0" w:color="auto"/>
              <w:right w:val="single" w:sz="8" w:space="0" w:color="auto"/>
            </w:tcBorders>
            <w:shd w:val="clear" w:color="auto" w:fill="auto"/>
            <w:vAlign w:val="center"/>
            <w:hideMark/>
          </w:tcPr>
          <w:p w14:paraId="5D9677A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Vitajte vo Vajnoroch</w:t>
            </w:r>
          </w:p>
        </w:tc>
        <w:tc>
          <w:tcPr>
            <w:tcW w:w="631" w:type="pct"/>
            <w:tcBorders>
              <w:top w:val="nil"/>
              <w:left w:val="nil"/>
              <w:bottom w:val="single" w:sz="8" w:space="0" w:color="auto"/>
              <w:right w:val="single" w:sz="8" w:space="0" w:color="auto"/>
            </w:tcBorders>
            <w:shd w:val="clear" w:color="auto" w:fill="auto"/>
            <w:noWrap/>
            <w:vAlign w:val="center"/>
            <w:hideMark/>
          </w:tcPr>
          <w:p w14:paraId="7079B7E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08902E0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E4161D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62937AC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6073ED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F01A64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Mestská časť Bratislava - Vajnory</w:t>
            </w:r>
          </w:p>
        </w:tc>
        <w:tc>
          <w:tcPr>
            <w:tcW w:w="1118" w:type="pct"/>
            <w:tcBorders>
              <w:top w:val="nil"/>
              <w:left w:val="nil"/>
              <w:bottom w:val="single" w:sz="8" w:space="0" w:color="auto"/>
              <w:right w:val="single" w:sz="8" w:space="0" w:color="auto"/>
            </w:tcBorders>
            <w:shd w:val="clear" w:color="auto" w:fill="auto"/>
            <w:vAlign w:val="center"/>
            <w:hideMark/>
          </w:tcPr>
          <w:p w14:paraId="5D55B1A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Tematický nápis VAJNORY</w:t>
            </w:r>
          </w:p>
        </w:tc>
        <w:tc>
          <w:tcPr>
            <w:tcW w:w="631" w:type="pct"/>
            <w:tcBorders>
              <w:top w:val="nil"/>
              <w:left w:val="nil"/>
              <w:bottom w:val="single" w:sz="8" w:space="0" w:color="auto"/>
              <w:right w:val="single" w:sz="8" w:space="0" w:color="auto"/>
            </w:tcBorders>
            <w:shd w:val="clear" w:color="auto" w:fill="auto"/>
            <w:noWrap/>
            <w:vAlign w:val="center"/>
            <w:hideMark/>
          </w:tcPr>
          <w:p w14:paraId="3B8D8A7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4006E56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39B944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46D7D3C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ED9CCC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490E54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Kultúrne zariadenia Petržalky</w:t>
            </w:r>
          </w:p>
        </w:tc>
        <w:tc>
          <w:tcPr>
            <w:tcW w:w="1118" w:type="pct"/>
            <w:tcBorders>
              <w:top w:val="nil"/>
              <w:left w:val="nil"/>
              <w:bottom w:val="single" w:sz="8" w:space="0" w:color="auto"/>
              <w:right w:val="single" w:sz="8" w:space="0" w:color="auto"/>
            </w:tcBorders>
            <w:shd w:val="clear" w:color="auto" w:fill="auto"/>
            <w:vAlign w:val="center"/>
            <w:hideMark/>
          </w:tcPr>
          <w:p w14:paraId="15B799A0"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Supertrieda</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3F8D4CA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2AC20E4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1AAF72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4 000,00</w:t>
            </w:r>
          </w:p>
        </w:tc>
      </w:tr>
      <w:tr w:rsidR="001139E3" w:rsidRPr="001139E3" w14:paraId="2048C10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0E4600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4447AC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Vlky</w:t>
            </w:r>
          </w:p>
        </w:tc>
        <w:tc>
          <w:tcPr>
            <w:tcW w:w="1118" w:type="pct"/>
            <w:tcBorders>
              <w:top w:val="nil"/>
              <w:left w:val="nil"/>
              <w:bottom w:val="single" w:sz="8" w:space="0" w:color="auto"/>
              <w:right w:val="single" w:sz="8" w:space="0" w:color="auto"/>
            </w:tcBorders>
            <w:shd w:val="clear" w:color="auto" w:fill="auto"/>
            <w:vAlign w:val="center"/>
            <w:hideMark/>
          </w:tcPr>
          <w:p w14:paraId="422711C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Zariadenie domu smútku v obci Vlky</w:t>
            </w:r>
          </w:p>
        </w:tc>
        <w:tc>
          <w:tcPr>
            <w:tcW w:w="631" w:type="pct"/>
            <w:tcBorders>
              <w:top w:val="nil"/>
              <w:left w:val="nil"/>
              <w:bottom w:val="single" w:sz="8" w:space="0" w:color="auto"/>
              <w:right w:val="single" w:sz="8" w:space="0" w:color="auto"/>
            </w:tcBorders>
            <w:shd w:val="clear" w:color="auto" w:fill="auto"/>
            <w:noWrap/>
            <w:vAlign w:val="center"/>
            <w:hideMark/>
          </w:tcPr>
          <w:p w14:paraId="6FE14E2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317F8EE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59AD77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66DB932F"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22115D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A50723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RE/set</w:t>
            </w:r>
          </w:p>
        </w:tc>
        <w:tc>
          <w:tcPr>
            <w:tcW w:w="1118" w:type="pct"/>
            <w:tcBorders>
              <w:top w:val="nil"/>
              <w:left w:val="nil"/>
              <w:bottom w:val="single" w:sz="8" w:space="0" w:color="auto"/>
              <w:right w:val="single" w:sz="8" w:space="0" w:color="auto"/>
            </w:tcBorders>
            <w:shd w:val="clear" w:color="auto" w:fill="auto"/>
            <w:vAlign w:val="center"/>
            <w:hideMark/>
          </w:tcPr>
          <w:p w14:paraId="2B3B556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Prednášky o drogách pre základné a stredné školy</w:t>
            </w:r>
          </w:p>
        </w:tc>
        <w:tc>
          <w:tcPr>
            <w:tcW w:w="631" w:type="pct"/>
            <w:tcBorders>
              <w:top w:val="nil"/>
              <w:left w:val="nil"/>
              <w:bottom w:val="single" w:sz="8" w:space="0" w:color="auto"/>
              <w:right w:val="single" w:sz="8" w:space="0" w:color="auto"/>
            </w:tcBorders>
            <w:shd w:val="clear" w:color="auto" w:fill="auto"/>
            <w:noWrap/>
            <w:vAlign w:val="center"/>
            <w:hideMark/>
          </w:tcPr>
          <w:p w14:paraId="1E48B9B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670A9FF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DA8915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4AA414A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0AA6C3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50609F0"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Matarská</w:t>
            </w:r>
            <w:proofErr w:type="spellEnd"/>
            <w:r w:rsidRPr="001139E3">
              <w:rPr>
                <w:rFonts w:ascii="Arial" w:hAnsi="Arial" w:cs="Arial"/>
                <w:color w:val="000000"/>
                <w:sz w:val="20"/>
                <w:szCs w:val="20"/>
                <w:lang w:eastAsia="sk-SK"/>
              </w:rPr>
              <w:t xml:space="preserve"> škola v Lozorne</w:t>
            </w:r>
          </w:p>
        </w:tc>
        <w:tc>
          <w:tcPr>
            <w:tcW w:w="1118" w:type="pct"/>
            <w:tcBorders>
              <w:top w:val="nil"/>
              <w:left w:val="nil"/>
              <w:bottom w:val="single" w:sz="8" w:space="0" w:color="auto"/>
              <w:right w:val="single" w:sz="8" w:space="0" w:color="auto"/>
            </w:tcBorders>
            <w:shd w:val="clear" w:color="auto" w:fill="auto"/>
            <w:vAlign w:val="center"/>
            <w:hideMark/>
          </w:tcPr>
          <w:p w14:paraId="03B8307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Zvládneme to hravo-zdravo</w:t>
            </w:r>
          </w:p>
        </w:tc>
        <w:tc>
          <w:tcPr>
            <w:tcW w:w="631" w:type="pct"/>
            <w:tcBorders>
              <w:top w:val="nil"/>
              <w:left w:val="nil"/>
              <w:bottom w:val="single" w:sz="8" w:space="0" w:color="auto"/>
              <w:right w:val="single" w:sz="8" w:space="0" w:color="auto"/>
            </w:tcBorders>
            <w:shd w:val="clear" w:color="auto" w:fill="auto"/>
            <w:noWrap/>
            <w:vAlign w:val="center"/>
            <w:hideMark/>
          </w:tcPr>
          <w:p w14:paraId="4C288E9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4AF206C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1FAB95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680,00</w:t>
            </w:r>
          </w:p>
        </w:tc>
      </w:tr>
      <w:tr w:rsidR="001139E3" w:rsidRPr="001139E3" w14:paraId="59BB785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3B9BF7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7F2D57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PROTOS PRODUCTIONS, </w:t>
            </w:r>
            <w:proofErr w:type="spellStart"/>
            <w:r w:rsidRPr="001139E3">
              <w:rPr>
                <w:rFonts w:ascii="Arial" w:hAnsi="Arial" w:cs="Arial"/>
                <w:color w:val="000000"/>
                <w:sz w:val="20"/>
                <w:szCs w:val="20"/>
                <w:lang w:eastAsia="sk-SK"/>
              </w:rPr>
              <w:t>spol</w:t>
            </w:r>
            <w:proofErr w:type="spellEnd"/>
            <w:r w:rsidRPr="001139E3">
              <w:rPr>
                <w:rFonts w:ascii="Arial" w:hAnsi="Arial" w:cs="Arial"/>
                <w:color w:val="000000"/>
                <w:sz w:val="20"/>
                <w:szCs w:val="20"/>
                <w:lang w:eastAsia="sk-SK"/>
              </w:rPr>
              <w:t xml:space="preserve"> s r. o.</w:t>
            </w:r>
          </w:p>
        </w:tc>
        <w:tc>
          <w:tcPr>
            <w:tcW w:w="1118" w:type="pct"/>
            <w:tcBorders>
              <w:top w:val="nil"/>
              <w:left w:val="nil"/>
              <w:bottom w:val="single" w:sz="8" w:space="0" w:color="auto"/>
              <w:right w:val="single" w:sz="8" w:space="0" w:color="auto"/>
            </w:tcBorders>
            <w:shd w:val="clear" w:color="auto" w:fill="auto"/>
            <w:vAlign w:val="center"/>
            <w:hideMark/>
          </w:tcPr>
          <w:p w14:paraId="19F396D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LILI A LOLO</w:t>
            </w:r>
          </w:p>
        </w:tc>
        <w:tc>
          <w:tcPr>
            <w:tcW w:w="631" w:type="pct"/>
            <w:tcBorders>
              <w:top w:val="nil"/>
              <w:left w:val="nil"/>
              <w:bottom w:val="single" w:sz="8" w:space="0" w:color="auto"/>
              <w:right w:val="single" w:sz="8" w:space="0" w:color="auto"/>
            </w:tcBorders>
            <w:shd w:val="clear" w:color="auto" w:fill="auto"/>
            <w:noWrap/>
            <w:vAlign w:val="center"/>
            <w:hideMark/>
          </w:tcPr>
          <w:p w14:paraId="30EE657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44B731E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302B3E0"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0414E89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8052F0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9EAC01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PERRY TALENTS</w:t>
            </w:r>
          </w:p>
        </w:tc>
        <w:tc>
          <w:tcPr>
            <w:tcW w:w="1118" w:type="pct"/>
            <w:tcBorders>
              <w:top w:val="nil"/>
              <w:left w:val="nil"/>
              <w:bottom w:val="single" w:sz="8" w:space="0" w:color="auto"/>
              <w:right w:val="single" w:sz="8" w:space="0" w:color="auto"/>
            </w:tcBorders>
            <w:shd w:val="clear" w:color="auto" w:fill="auto"/>
            <w:vAlign w:val="center"/>
            <w:hideMark/>
          </w:tcPr>
          <w:p w14:paraId="4DD81F4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PERRY TALENTS akcelerátor 3.0</w:t>
            </w:r>
          </w:p>
        </w:tc>
        <w:tc>
          <w:tcPr>
            <w:tcW w:w="631" w:type="pct"/>
            <w:tcBorders>
              <w:top w:val="nil"/>
              <w:left w:val="nil"/>
              <w:bottom w:val="single" w:sz="8" w:space="0" w:color="auto"/>
              <w:right w:val="single" w:sz="8" w:space="0" w:color="auto"/>
            </w:tcBorders>
            <w:shd w:val="clear" w:color="auto" w:fill="auto"/>
            <w:noWrap/>
            <w:vAlign w:val="center"/>
            <w:hideMark/>
          </w:tcPr>
          <w:p w14:paraId="7735AAD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0E8844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3266C4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1 500,00</w:t>
            </w:r>
          </w:p>
        </w:tc>
      </w:tr>
      <w:tr w:rsidR="001139E3" w:rsidRPr="001139E3" w14:paraId="2F50EC7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12C9C70"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77A4085"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Protect</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work</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4809DAE6"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DigitalYou</w:t>
            </w:r>
            <w:proofErr w:type="spellEnd"/>
            <w:r w:rsidRPr="001139E3">
              <w:rPr>
                <w:rFonts w:ascii="Arial" w:hAnsi="Arial" w:cs="Arial"/>
                <w:color w:val="000000"/>
                <w:sz w:val="20"/>
                <w:szCs w:val="20"/>
                <w:lang w:eastAsia="sk-SK"/>
              </w:rPr>
              <w:t>: Rozvoj digitálnych zručností</w:t>
            </w:r>
          </w:p>
        </w:tc>
        <w:tc>
          <w:tcPr>
            <w:tcW w:w="631" w:type="pct"/>
            <w:tcBorders>
              <w:top w:val="nil"/>
              <w:left w:val="nil"/>
              <w:bottom w:val="single" w:sz="8" w:space="0" w:color="auto"/>
              <w:right w:val="single" w:sz="8" w:space="0" w:color="auto"/>
            </w:tcBorders>
            <w:shd w:val="clear" w:color="auto" w:fill="auto"/>
            <w:noWrap/>
            <w:vAlign w:val="center"/>
            <w:hideMark/>
          </w:tcPr>
          <w:p w14:paraId="3D1F865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7D70A65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5A969E9"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08139D8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E8D068C"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lastRenderedPageBreak/>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340F6D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Centrum MEMORY </w:t>
            </w:r>
            <w:proofErr w:type="spellStart"/>
            <w:r w:rsidRPr="001139E3">
              <w:rPr>
                <w:rFonts w:ascii="Arial" w:hAnsi="Arial" w:cs="Arial"/>
                <w:color w:val="000000"/>
                <w:sz w:val="20"/>
                <w:szCs w:val="20"/>
                <w:lang w:eastAsia="sk-SK"/>
              </w:rPr>
              <w:t>n.o</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3E4B332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Úprava hygienických zariadení v Centre MEMORY n. o.</w:t>
            </w:r>
          </w:p>
        </w:tc>
        <w:tc>
          <w:tcPr>
            <w:tcW w:w="631" w:type="pct"/>
            <w:tcBorders>
              <w:top w:val="nil"/>
              <w:left w:val="nil"/>
              <w:bottom w:val="single" w:sz="8" w:space="0" w:color="auto"/>
              <w:right w:val="single" w:sz="8" w:space="0" w:color="auto"/>
            </w:tcBorders>
            <w:shd w:val="clear" w:color="auto" w:fill="auto"/>
            <w:noWrap/>
            <w:vAlign w:val="center"/>
            <w:hideMark/>
          </w:tcPr>
          <w:p w14:paraId="65F577B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14FDA11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1189B8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1 200,00</w:t>
            </w:r>
          </w:p>
        </w:tc>
      </w:tr>
      <w:tr w:rsidR="001139E3" w:rsidRPr="001139E3" w14:paraId="063F115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38E235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EEDE93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Konfederácia politických </w:t>
            </w:r>
            <w:proofErr w:type="spellStart"/>
            <w:r w:rsidRPr="001139E3">
              <w:rPr>
                <w:rFonts w:ascii="Arial" w:hAnsi="Arial" w:cs="Arial"/>
                <w:color w:val="000000"/>
                <w:sz w:val="20"/>
                <w:szCs w:val="20"/>
                <w:lang w:eastAsia="sk-SK"/>
              </w:rPr>
              <w:t>väznov</w:t>
            </w:r>
            <w:proofErr w:type="spellEnd"/>
            <w:r w:rsidRPr="001139E3">
              <w:rPr>
                <w:rFonts w:ascii="Arial" w:hAnsi="Arial" w:cs="Arial"/>
                <w:color w:val="000000"/>
                <w:sz w:val="20"/>
                <w:szCs w:val="20"/>
                <w:lang w:eastAsia="sk-SK"/>
              </w:rPr>
              <w:t xml:space="preserve"> Slovenska</w:t>
            </w:r>
          </w:p>
        </w:tc>
        <w:tc>
          <w:tcPr>
            <w:tcW w:w="1118" w:type="pct"/>
            <w:tcBorders>
              <w:top w:val="nil"/>
              <w:left w:val="nil"/>
              <w:bottom w:val="single" w:sz="8" w:space="0" w:color="auto"/>
              <w:right w:val="single" w:sz="8" w:space="0" w:color="auto"/>
            </w:tcBorders>
            <w:shd w:val="clear" w:color="auto" w:fill="auto"/>
            <w:vAlign w:val="center"/>
            <w:hideMark/>
          </w:tcPr>
          <w:p w14:paraId="7819AB1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Obetiam komunistického režimu</w:t>
            </w:r>
          </w:p>
        </w:tc>
        <w:tc>
          <w:tcPr>
            <w:tcW w:w="631" w:type="pct"/>
            <w:tcBorders>
              <w:top w:val="nil"/>
              <w:left w:val="nil"/>
              <w:bottom w:val="single" w:sz="8" w:space="0" w:color="auto"/>
              <w:right w:val="single" w:sz="8" w:space="0" w:color="auto"/>
            </w:tcBorders>
            <w:shd w:val="clear" w:color="auto" w:fill="auto"/>
            <w:noWrap/>
            <w:vAlign w:val="center"/>
            <w:hideMark/>
          </w:tcPr>
          <w:p w14:paraId="0BC57AB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3201343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33D003D"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6E5E09B8"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C88B66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3C9928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TEKLA, </w:t>
            </w: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47076FC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Radi tvoríme v chránenej dielni</w:t>
            </w:r>
          </w:p>
        </w:tc>
        <w:tc>
          <w:tcPr>
            <w:tcW w:w="631" w:type="pct"/>
            <w:tcBorders>
              <w:top w:val="nil"/>
              <w:left w:val="nil"/>
              <w:bottom w:val="single" w:sz="8" w:space="0" w:color="auto"/>
              <w:right w:val="single" w:sz="8" w:space="0" w:color="auto"/>
            </w:tcBorders>
            <w:shd w:val="clear" w:color="auto" w:fill="auto"/>
            <w:noWrap/>
            <w:vAlign w:val="center"/>
            <w:hideMark/>
          </w:tcPr>
          <w:p w14:paraId="03590A1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09E5603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FA9C10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358C847A"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28A7C730"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791534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Viničné</w:t>
            </w:r>
          </w:p>
        </w:tc>
        <w:tc>
          <w:tcPr>
            <w:tcW w:w="1118" w:type="pct"/>
            <w:tcBorders>
              <w:top w:val="nil"/>
              <w:left w:val="nil"/>
              <w:bottom w:val="single" w:sz="8" w:space="0" w:color="auto"/>
              <w:right w:val="single" w:sz="8" w:space="0" w:color="auto"/>
            </w:tcBorders>
            <w:shd w:val="clear" w:color="auto" w:fill="auto"/>
            <w:vAlign w:val="center"/>
            <w:hideMark/>
          </w:tcPr>
          <w:p w14:paraId="2D34B8A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Rozšírenie kamerového systému v obci Viničné</w:t>
            </w:r>
          </w:p>
        </w:tc>
        <w:tc>
          <w:tcPr>
            <w:tcW w:w="631" w:type="pct"/>
            <w:tcBorders>
              <w:top w:val="nil"/>
              <w:left w:val="nil"/>
              <w:bottom w:val="single" w:sz="8" w:space="0" w:color="auto"/>
              <w:right w:val="single" w:sz="8" w:space="0" w:color="auto"/>
            </w:tcBorders>
            <w:shd w:val="clear" w:color="auto" w:fill="auto"/>
            <w:noWrap/>
            <w:vAlign w:val="center"/>
            <w:hideMark/>
          </w:tcPr>
          <w:p w14:paraId="5A9C29F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3403DAE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KV</w:t>
            </w:r>
          </w:p>
        </w:tc>
        <w:tc>
          <w:tcPr>
            <w:tcW w:w="455" w:type="pct"/>
            <w:tcBorders>
              <w:top w:val="nil"/>
              <w:left w:val="nil"/>
              <w:bottom w:val="single" w:sz="8" w:space="0" w:color="auto"/>
              <w:right w:val="single" w:sz="8" w:space="0" w:color="auto"/>
            </w:tcBorders>
            <w:shd w:val="clear" w:color="auto" w:fill="auto"/>
            <w:vAlign w:val="center"/>
            <w:hideMark/>
          </w:tcPr>
          <w:p w14:paraId="12F0A8E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05BF147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AC31F00"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A89254E"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Dram</w:t>
            </w:r>
            <w:proofErr w:type="spellEnd"/>
            <w:r w:rsidRPr="001139E3">
              <w:rPr>
                <w:rFonts w:ascii="Arial" w:hAnsi="Arial" w:cs="Arial"/>
                <w:color w:val="000000"/>
                <w:sz w:val="20"/>
                <w:szCs w:val="20"/>
                <w:lang w:eastAsia="sk-SK"/>
              </w:rPr>
              <w:t xml:space="preserve"> art štúdio</w:t>
            </w:r>
          </w:p>
        </w:tc>
        <w:tc>
          <w:tcPr>
            <w:tcW w:w="1118" w:type="pct"/>
            <w:tcBorders>
              <w:top w:val="nil"/>
              <w:left w:val="nil"/>
              <w:bottom w:val="single" w:sz="8" w:space="0" w:color="auto"/>
              <w:right w:val="single" w:sz="8" w:space="0" w:color="auto"/>
            </w:tcBorders>
            <w:shd w:val="clear" w:color="auto" w:fill="auto"/>
            <w:vAlign w:val="center"/>
            <w:hideMark/>
          </w:tcPr>
          <w:p w14:paraId="5A69072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Priestor pre </w:t>
            </w:r>
            <w:proofErr w:type="spellStart"/>
            <w:r w:rsidRPr="001139E3">
              <w:rPr>
                <w:rFonts w:ascii="Arial" w:hAnsi="Arial" w:cs="Arial"/>
                <w:color w:val="000000"/>
                <w:sz w:val="20"/>
                <w:szCs w:val="20"/>
                <w:lang w:eastAsia="sk-SK"/>
              </w:rPr>
              <w:t>seberalizáciu</w:t>
            </w:r>
            <w:proofErr w:type="spellEnd"/>
            <w:r w:rsidRPr="001139E3">
              <w:rPr>
                <w:rFonts w:ascii="Arial" w:hAnsi="Arial" w:cs="Arial"/>
                <w:color w:val="000000"/>
                <w:sz w:val="20"/>
                <w:szCs w:val="20"/>
                <w:lang w:eastAsia="sk-SK"/>
              </w:rPr>
              <w:t xml:space="preserve"> sa detí a mládeže</w:t>
            </w:r>
          </w:p>
        </w:tc>
        <w:tc>
          <w:tcPr>
            <w:tcW w:w="631" w:type="pct"/>
            <w:tcBorders>
              <w:top w:val="nil"/>
              <w:left w:val="nil"/>
              <w:bottom w:val="single" w:sz="8" w:space="0" w:color="auto"/>
              <w:right w:val="single" w:sz="8" w:space="0" w:color="auto"/>
            </w:tcBorders>
            <w:shd w:val="clear" w:color="auto" w:fill="auto"/>
            <w:noWrap/>
            <w:vAlign w:val="center"/>
            <w:hideMark/>
          </w:tcPr>
          <w:p w14:paraId="0A44AA55"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07472AB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03E6BE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695D7A9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E815AB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381385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Vajnorský </w:t>
            </w:r>
            <w:proofErr w:type="spellStart"/>
            <w:r w:rsidRPr="001139E3">
              <w:rPr>
                <w:rFonts w:ascii="Arial" w:hAnsi="Arial" w:cs="Arial"/>
                <w:color w:val="000000"/>
                <w:sz w:val="20"/>
                <w:szCs w:val="20"/>
                <w:lang w:eastAsia="sk-SK"/>
              </w:rPr>
              <w:t>okrášľovací</w:t>
            </w:r>
            <w:proofErr w:type="spellEnd"/>
            <w:r w:rsidRPr="001139E3">
              <w:rPr>
                <w:rFonts w:ascii="Arial" w:hAnsi="Arial" w:cs="Arial"/>
                <w:color w:val="000000"/>
                <w:sz w:val="20"/>
                <w:szCs w:val="20"/>
                <w:lang w:eastAsia="sk-SK"/>
              </w:rPr>
              <w:t xml:space="preserve"> spolok</w:t>
            </w:r>
          </w:p>
        </w:tc>
        <w:tc>
          <w:tcPr>
            <w:tcW w:w="1118" w:type="pct"/>
            <w:tcBorders>
              <w:top w:val="nil"/>
              <w:left w:val="nil"/>
              <w:bottom w:val="single" w:sz="8" w:space="0" w:color="auto"/>
              <w:right w:val="single" w:sz="8" w:space="0" w:color="auto"/>
            </w:tcBorders>
            <w:shd w:val="clear" w:color="auto" w:fill="auto"/>
            <w:vAlign w:val="center"/>
            <w:hideMark/>
          </w:tcPr>
          <w:p w14:paraId="5F5BBEC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Maľované Vajnory</w:t>
            </w:r>
          </w:p>
        </w:tc>
        <w:tc>
          <w:tcPr>
            <w:tcW w:w="631" w:type="pct"/>
            <w:tcBorders>
              <w:top w:val="nil"/>
              <w:left w:val="nil"/>
              <w:bottom w:val="single" w:sz="8" w:space="0" w:color="auto"/>
              <w:right w:val="single" w:sz="8" w:space="0" w:color="auto"/>
            </w:tcBorders>
            <w:shd w:val="clear" w:color="auto" w:fill="auto"/>
            <w:noWrap/>
            <w:vAlign w:val="center"/>
            <w:hideMark/>
          </w:tcPr>
          <w:p w14:paraId="5DB3536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43927DB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5EDA84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03D8D627"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235DC8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75A452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Obec </w:t>
            </w:r>
            <w:proofErr w:type="spellStart"/>
            <w:r w:rsidRPr="001139E3">
              <w:rPr>
                <w:rFonts w:ascii="Arial" w:hAnsi="Arial" w:cs="Arial"/>
                <w:color w:val="000000"/>
                <w:sz w:val="20"/>
                <w:szCs w:val="20"/>
                <w:lang w:eastAsia="sk-SK"/>
              </w:rPr>
              <w:t>Velké</w:t>
            </w:r>
            <w:proofErr w:type="spellEnd"/>
            <w:r w:rsidRPr="001139E3">
              <w:rPr>
                <w:rFonts w:ascii="Arial" w:hAnsi="Arial" w:cs="Arial"/>
                <w:color w:val="000000"/>
                <w:sz w:val="20"/>
                <w:szCs w:val="20"/>
                <w:lang w:eastAsia="sk-SK"/>
              </w:rPr>
              <w:t xml:space="preserve"> Leváre</w:t>
            </w:r>
          </w:p>
        </w:tc>
        <w:tc>
          <w:tcPr>
            <w:tcW w:w="1118" w:type="pct"/>
            <w:tcBorders>
              <w:top w:val="nil"/>
              <w:left w:val="nil"/>
              <w:bottom w:val="single" w:sz="8" w:space="0" w:color="auto"/>
              <w:right w:val="single" w:sz="8" w:space="0" w:color="auto"/>
            </w:tcBorders>
            <w:shd w:val="clear" w:color="auto" w:fill="auto"/>
            <w:vAlign w:val="center"/>
            <w:hideMark/>
          </w:tcPr>
          <w:p w14:paraId="4D1B59F5"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Levárska</w:t>
            </w:r>
            <w:proofErr w:type="spellEnd"/>
            <w:r w:rsidRPr="001139E3">
              <w:rPr>
                <w:rFonts w:ascii="Arial" w:hAnsi="Arial" w:cs="Arial"/>
                <w:color w:val="000000"/>
                <w:sz w:val="20"/>
                <w:szCs w:val="20"/>
                <w:lang w:eastAsia="sk-SK"/>
              </w:rPr>
              <w:t xml:space="preserve"> lipová </w:t>
            </w:r>
            <w:proofErr w:type="spellStart"/>
            <w:r w:rsidRPr="001139E3">
              <w:rPr>
                <w:rFonts w:ascii="Arial" w:hAnsi="Arial" w:cs="Arial"/>
                <w:color w:val="000000"/>
                <w:sz w:val="20"/>
                <w:szCs w:val="20"/>
                <w:lang w:eastAsia="sk-SK"/>
              </w:rPr>
              <w:t>alej</w:t>
            </w:r>
            <w:proofErr w:type="spellEnd"/>
            <w:r w:rsidRPr="001139E3">
              <w:rPr>
                <w:rFonts w:ascii="Arial" w:hAnsi="Arial" w:cs="Arial"/>
                <w:color w:val="000000"/>
                <w:sz w:val="20"/>
                <w:szCs w:val="20"/>
                <w:lang w:eastAsia="sk-SK"/>
              </w:rPr>
              <w:t xml:space="preserve"> – naše deti obci – 2. ročník</w:t>
            </w:r>
          </w:p>
        </w:tc>
        <w:tc>
          <w:tcPr>
            <w:tcW w:w="631" w:type="pct"/>
            <w:tcBorders>
              <w:top w:val="nil"/>
              <w:left w:val="nil"/>
              <w:bottom w:val="single" w:sz="8" w:space="0" w:color="auto"/>
              <w:right w:val="single" w:sz="8" w:space="0" w:color="auto"/>
            </w:tcBorders>
            <w:shd w:val="clear" w:color="auto" w:fill="auto"/>
            <w:noWrap/>
            <w:vAlign w:val="center"/>
            <w:hideMark/>
          </w:tcPr>
          <w:p w14:paraId="2D56EAB7"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7A7738B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AC85E5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5BDCA2A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09C4AC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6ED2EAC"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Parkour</w:t>
            </w:r>
            <w:proofErr w:type="spellEnd"/>
            <w:r w:rsidRPr="001139E3">
              <w:rPr>
                <w:rFonts w:ascii="Arial" w:hAnsi="Arial" w:cs="Arial"/>
                <w:color w:val="000000"/>
                <w:sz w:val="20"/>
                <w:szCs w:val="20"/>
                <w:lang w:eastAsia="sk-SK"/>
              </w:rPr>
              <w:t xml:space="preserve"> Škola</w:t>
            </w:r>
          </w:p>
        </w:tc>
        <w:tc>
          <w:tcPr>
            <w:tcW w:w="1118" w:type="pct"/>
            <w:tcBorders>
              <w:top w:val="nil"/>
              <w:left w:val="nil"/>
              <w:bottom w:val="single" w:sz="8" w:space="0" w:color="auto"/>
              <w:right w:val="single" w:sz="8" w:space="0" w:color="auto"/>
            </w:tcBorders>
            <w:shd w:val="clear" w:color="auto" w:fill="auto"/>
            <w:vAlign w:val="center"/>
            <w:hideMark/>
          </w:tcPr>
          <w:p w14:paraId="042464CA"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Parkourom</w:t>
            </w:r>
            <w:proofErr w:type="spellEnd"/>
            <w:r w:rsidRPr="001139E3">
              <w:rPr>
                <w:rFonts w:ascii="Arial" w:hAnsi="Arial" w:cs="Arial"/>
                <w:color w:val="000000"/>
                <w:sz w:val="20"/>
                <w:szCs w:val="20"/>
                <w:lang w:eastAsia="sk-SK"/>
              </w:rPr>
              <w:t xml:space="preserve"> bližšie k mladým</w:t>
            </w:r>
          </w:p>
        </w:tc>
        <w:tc>
          <w:tcPr>
            <w:tcW w:w="631" w:type="pct"/>
            <w:tcBorders>
              <w:top w:val="nil"/>
              <w:left w:val="nil"/>
              <w:bottom w:val="single" w:sz="8" w:space="0" w:color="auto"/>
              <w:right w:val="single" w:sz="8" w:space="0" w:color="auto"/>
            </w:tcBorders>
            <w:shd w:val="clear" w:color="auto" w:fill="auto"/>
            <w:noWrap/>
            <w:vAlign w:val="center"/>
            <w:hideMark/>
          </w:tcPr>
          <w:p w14:paraId="033B46D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141A6FF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5453A5B"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244B33F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A59BD16"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FB7C099"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Ohel</w:t>
            </w:r>
            <w:proofErr w:type="spellEnd"/>
            <w:r w:rsidRPr="001139E3">
              <w:rPr>
                <w:rFonts w:ascii="Arial" w:hAnsi="Arial" w:cs="Arial"/>
                <w:color w:val="000000"/>
                <w:sz w:val="20"/>
                <w:szCs w:val="20"/>
                <w:lang w:eastAsia="sk-SK"/>
              </w:rPr>
              <w:t xml:space="preserve"> David</w:t>
            </w:r>
          </w:p>
        </w:tc>
        <w:tc>
          <w:tcPr>
            <w:tcW w:w="1118" w:type="pct"/>
            <w:tcBorders>
              <w:top w:val="nil"/>
              <w:left w:val="nil"/>
              <w:bottom w:val="single" w:sz="8" w:space="0" w:color="auto"/>
              <w:right w:val="single" w:sz="8" w:space="0" w:color="auto"/>
            </w:tcBorders>
            <w:shd w:val="clear" w:color="auto" w:fill="auto"/>
            <w:vAlign w:val="center"/>
            <w:hideMark/>
          </w:tcPr>
          <w:p w14:paraId="67646B9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Terapeutická činnosť klientov</w:t>
            </w:r>
          </w:p>
        </w:tc>
        <w:tc>
          <w:tcPr>
            <w:tcW w:w="631" w:type="pct"/>
            <w:tcBorders>
              <w:top w:val="nil"/>
              <w:left w:val="nil"/>
              <w:bottom w:val="single" w:sz="8" w:space="0" w:color="auto"/>
              <w:right w:val="single" w:sz="8" w:space="0" w:color="auto"/>
            </w:tcBorders>
            <w:shd w:val="clear" w:color="auto" w:fill="auto"/>
            <w:noWrap/>
            <w:vAlign w:val="center"/>
            <w:hideMark/>
          </w:tcPr>
          <w:p w14:paraId="12819BE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1146273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B5C057C"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B25103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415ADB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EB5887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 LEPŠÍCH ČASOCH, </w:t>
            </w: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154202F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Obnova vonkajšieho plášťa vojenského bunkra</w:t>
            </w:r>
          </w:p>
        </w:tc>
        <w:tc>
          <w:tcPr>
            <w:tcW w:w="631" w:type="pct"/>
            <w:tcBorders>
              <w:top w:val="nil"/>
              <w:left w:val="nil"/>
              <w:bottom w:val="single" w:sz="8" w:space="0" w:color="auto"/>
              <w:right w:val="single" w:sz="8" w:space="0" w:color="auto"/>
            </w:tcBorders>
            <w:shd w:val="clear" w:color="auto" w:fill="auto"/>
            <w:noWrap/>
            <w:vAlign w:val="center"/>
            <w:hideMark/>
          </w:tcPr>
          <w:p w14:paraId="2077C82C"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2E46F3B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72FF6726"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700,00</w:t>
            </w:r>
          </w:p>
        </w:tc>
      </w:tr>
      <w:tr w:rsidR="001139E3" w:rsidRPr="001139E3" w14:paraId="2776AAB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7EB1D8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41D8122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 z. ŠINTER</w:t>
            </w:r>
          </w:p>
        </w:tc>
        <w:tc>
          <w:tcPr>
            <w:tcW w:w="1118" w:type="pct"/>
            <w:tcBorders>
              <w:top w:val="nil"/>
              <w:left w:val="nil"/>
              <w:bottom w:val="single" w:sz="8" w:space="0" w:color="auto"/>
              <w:right w:val="single" w:sz="8" w:space="0" w:color="auto"/>
            </w:tcBorders>
            <w:shd w:val="clear" w:color="auto" w:fill="auto"/>
            <w:vAlign w:val="center"/>
            <w:hideMark/>
          </w:tcPr>
          <w:p w14:paraId="193CC9F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 z. ŠINTER – basketbalový klub ŠINTER Vrakuňa</w:t>
            </w:r>
          </w:p>
        </w:tc>
        <w:tc>
          <w:tcPr>
            <w:tcW w:w="631" w:type="pct"/>
            <w:tcBorders>
              <w:top w:val="nil"/>
              <w:left w:val="nil"/>
              <w:bottom w:val="single" w:sz="8" w:space="0" w:color="auto"/>
              <w:right w:val="single" w:sz="8" w:space="0" w:color="auto"/>
            </w:tcBorders>
            <w:shd w:val="clear" w:color="auto" w:fill="auto"/>
            <w:noWrap/>
            <w:vAlign w:val="center"/>
            <w:hideMark/>
          </w:tcPr>
          <w:p w14:paraId="4C1CEF3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III.</w:t>
            </w:r>
          </w:p>
        </w:tc>
        <w:tc>
          <w:tcPr>
            <w:tcW w:w="330" w:type="pct"/>
            <w:tcBorders>
              <w:top w:val="nil"/>
              <w:left w:val="nil"/>
              <w:bottom w:val="single" w:sz="8" w:space="0" w:color="auto"/>
              <w:right w:val="single" w:sz="8" w:space="0" w:color="auto"/>
            </w:tcBorders>
            <w:shd w:val="clear" w:color="auto" w:fill="auto"/>
            <w:vAlign w:val="center"/>
            <w:hideMark/>
          </w:tcPr>
          <w:p w14:paraId="0D1296D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D32230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52290C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E80334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73B195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Občianske združenie Pezinský športový klub</w:t>
            </w:r>
          </w:p>
        </w:tc>
        <w:tc>
          <w:tcPr>
            <w:tcW w:w="1118" w:type="pct"/>
            <w:tcBorders>
              <w:top w:val="nil"/>
              <w:left w:val="nil"/>
              <w:bottom w:val="single" w:sz="8" w:space="0" w:color="auto"/>
              <w:right w:val="single" w:sz="8" w:space="0" w:color="auto"/>
            </w:tcBorders>
            <w:shd w:val="clear" w:color="auto" w:fill="auto"/>
            <w:vAlign w:val="center"/>
            <w:hideMark/>
          </w:tcPr>
          <w:p w14:paraId="6148A29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Zlepšíme deťom tréningové podmienky</w:t>
            </w:r>
          </w:p>
        </w:tc>
        <w:tc>
          <w:tcPr>
            <w:tcW w:w="631" w:type="pct"/>
            <w:tcBorders>
              <w:top w:val="nil"/>
              <w:left w:val="nil"/>
              <w:bottom w:val="single" w:sz="8" w:space="0" w:color="auto"/>
              <w:right w:val="single" w:sz="8" w:space="0" w:color="auto"/>
            </w:tcBorders>
            <w:shd w:val="clear" w:color="auto" w:fill="auto"/>
            <w:noWrap/>
            <w:vAlign w:val="center"/>
            <w:hideMark/>
          </w:tcPr>
          <w:p w14:paraId="3A92F963"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3376261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69FA24F"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900,00</w:t>
            </w:r>
          </w:p>
        </w:tc>
      </w:tr>
      <w:tr w:rsidR="001139E3" w:rsidRPr="001139E3" w14:paraId="66E7818B"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A183712"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E058A2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Lozorno</w:t>
            </w:r>
          </w:p>
        </w:tc>
        <w:tc>
          <w:tcPr>
            <w:tcW w:w="1118" w:type="pct"/>
            <w:tcBorders>
              <w:top w:val="nil"/>
              <w:left w:val="nil"/>
              <w:bottom w:val="single" w:sz="8" w:space="0" w:color="auto"/>
              <w:right w:val="single" w:sz="8" w:space="0" w:color="auto"/>
            </w:tcBorders>
            <w:shd w:val="clear" w:color="auto" w:fill="auto"/>
            <w:vAlign w:val="center"/>
            <w:hideMark/>
          </w:tcPr>
          <w:p w14:paraId="6591C12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Vianoce v dobe </w:t>
            </w:r>
            <w:proofErr w:type="spellStart"/>
            <w:r w:rsidRPr="001139E3">
              <w:rPr>
                <w:rFonts w:ascii="Arial" w:hAnsi="Arial" w:cs="Arial"/>
                <w:color w:val="000000"/>
                <w:sz w:val="20"/>
                <w:szCs w:val="20"/>
                <w:lang w:eastAsia="sk-SK"/>
              </w:rPr>
              <w:t>koronavírusovej</w:t>
            </w:r>
            <w:proofErr w:type="spellEnd"/>
          </w:p>
        </w:tc>
        <w:tc>
          <w:tcPr>
            <w:tcW w:w="631" w:type="pct"/>
            <w:tcBorders>
              <w:top w:val="nil"/>
              <w:left w:val="nil"/>
              <w:bottom w:val="single" w:sz="8" w:space="0" w:color="auto"/>
              <w:right w:val="single" w:sz="8" w:space="0" w:color="auto"/>
            </w:tcBorders>
            <w:shd w:val="clear" w:color="auto" w:fill="auto"/>
            <w:noWrap/>
            <w:vAlign w:val="center"/>
            <w:hideMark/>
          </w:tcPr>
          <w:p w14:paraId="23AAC31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690A1FD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475666F"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58D31AE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A61ADCD"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055786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Organizácia muskulárnych </w:t>
            </w:r>
            <w:proofErr w:type="spellStart"/>
            <w:r w:rsidRPr="001139E3">
              <w:rPr>
                <w:rFonts w:ascii="Arial" w:hAnsi="Arial" w:cs="Arial"/>
                <w:color w:val="000000"/>
                <w:sz w:val="20"/>
                <w:szCs w:val="20"/>
                <w:lang w:eastAsia="sk-SK"/>
              </w:rPr>
              <w:t>dystrofikov</w:t>
            </w:r>
            <w:proofErr w:type="spellEnd"/>
            <w:r w:rsidRPr="001139E3">
              <w:rPr>
                <w:rFonts w:ascii="Arial" w:hAnsi="Arial" w:cs="Arial"/>
                <w:color w:val="000000"/>
                <w:sz w:val="20"/>
                <w:szCs w:val="20"/>
                <w:lang w:eastAsia="sk-SK"/>
              </w:rPr>
              <w:t xml:space="preserve"> v SR</w:t>
            </w:r>
          </w:p>
        </w:tc>
        <w:tc>
          <w:tcPr>
            <w:tcW w:w="1118" w:type="pct"/>
            <w:tcBorders>
              <w:top w:val="nil"/>
              <w:left w:val="nil"/>
              <w:bottom w:val="single" w:sz="8" w:space="0" w:color="auto"/>
              <w:right w:val="single" w:sz="8" w:space="0" w:color="auto"/>
            </w:tcBorders>
            <w:shd w:val="clear" w:color="auto" w:fill="auto"/>
            <w:vAlign w:val="center"/>
            <w:hideMark/>
          </w:tcPr>
          <w:p w14:paraId="19F9B71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Sme pripravení pomáhať VIAC</w:t>
            </w:r>
          </w:p>
        </w:tc>
        <w:tc>
          <w:tcPr>
            <w:tcW w:w="631" w:type="pct"/>
            <w:tcBorders>
              <w:top w:val="nil"/>
              <w:left w:val="nil"/>
              <w:bottom w:val="single" w:sz="8" w:space="0" w:color="auto"/>
              <w:right w:val="single" w:sz="8" w:space="0" w:color="auto"/>
            </w:tcBorders>
            <w:shd w:val="clear" w:color="auto" w:fill="auto"/>
            <w:noWrap/>
            <w:vAlign w:val="center"/>
            <w:hideMark/>
          </w:tcPr>
          <w:p w14:paraId="1BF241A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37CC878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C77BE7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0FA2A054"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5BBB575"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D2D236A"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Still</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Moments</w:t>
            </w:r>
            <w:proofErr w:type="spellEnd"/>
            <w:r w:rsidRPr="001139E3">
              <w:rPr>
                <w:rFonts w:ascii="Arial" w:hAnsi="Arial" w:cs="Arial"/>
                <w:color w:val="000000"/>
                <w:sz w:val="20"/>
                <w:szCs w:val="20"/>
                <w:lang w:eastAsia="sk-SK"/>
              </w:rPr>
              <w:t>, s.r.o.</w:t>
            </w:r>
          </w:p>
        </w:tc>
        <w:tc>
          <w:tcPr>
            <w:tcW w:w="1118" w:type="pct"/>
            <w:tcBorders>
              <w:top w:val="nil"/>
              <w:left w:val="nil"/>
              <w:bottom w:val="single" w:sz="8" w:space="0" w:color="auto"/>
              <w:right w:val="single" w:sz="8" w:space="0" w:color="auto"/>
            </w:tcBorders>
            <w:shd w:val="clear" w:color="auto" w:fill="auto"/>
            <w:vAlign w:val="center"/>
            <w:hideMark/>
          </w:tcPr>
          <w:p w14:paraId="47B4988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Konferencia „Slovakia </w:t>
            </w:r>
            <w:proofErr w:type="spellStart"/>
            <w:r w:rsidRPr="001139E3">
              <w:rPr>
                <w:rFonts w:ascii="Arial" w:hAnsi="Arial" w:cs="Arial"/>
                <w:color w:val="000000"/>
                <w:sz w:val="20"/>
                <w:szCs w:val="20"/>
                <w:lang w:eastAsia="sk-SK"/>
              </w:rPr>
              <w:t>Going</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Zero</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Waste</w:t>
            </w:r>
            <w:proofErr w:type="spellEnd"/>
            <w:r w:rsidRPr="001139E3">
              <w:rPr>
                <w:rFonts w:ascii="Arial" w:hAnsi="Arial" w:cs="Arial"/>
                <w:color w:val="000000"/>
                <w:sz w:val="20"/>
                <w:szCs w:val="20"/>
                <w:lang w:eastAsia="sk-SK"/>
              </w:rPr>
              <w:t xml:space="preserve"> 2020"</w:t>
            </w:r>
          </w:p>
        </w:tc>
        <w:tc>
          <w:tcPr>
            <w:tcW w:w="631" w:type="pct"/>
            <w:tcBorders>
              <w:top w:val="nil"/>
              <w:left w:val="nil"/>
              <w:bottom w:val="single" w:sz="8" w:space="0" w:color="auto"/>
              <w:right w:val="single" w:sz="8" w:space="0" w:color="auto"/>
            </w:tcBorders>
            <w:shd w:val="clear" w:color="auto" w:fill="auto"/>
            <w:noWrap/>
            <w:vAlign w:val="center"/>
            <w:hideMark/>
          </w:tcPr>
          <w:p w14:paraId="764BAEEE"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5082DC64"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74DD2F3"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69023C2E"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6CED6724"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A9ACBD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SRRZ RZ pri MŠ Lachova 31, Bratislava</w:t>
            </w:r>
          </w:p>
        </w:tc>
        <w:tc>
          <w:tcPr>
            <w:tcW w:w="1118" w:type="pct"/>
            <w:tcBorders>
              <w:top w:val="nil"/>
              <w:left w:val="nil"/>
              <w:bottom w:val="single" w:sz="8" w:space="0" w:color="auto"/>
              <w:right w:val="single" w:sz="8" w:space="0" w:color="auto"/>
            </w:tcBorders>
            <w:shd w:val="clear" w:color="auto" w:fill="auto"/>
            <w:vAlign w:val="center"/>
            <w:hideMark/>
          </w:tcPr>
          <w:p w14:paraId="4F8B937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Voda čo nás drží nad vodou</w:t>
            </w:r>
          </w:p>
        </w:tc>
        <w:tc>
          <w:tcPr>
            <w:tcW w:w="631" w:type="pct"/>
            <w:tcBorders>
              <w:top w:val="nil"/>
              <w:left w:val="nil"/>
              <w:bottom w:val="single" w:sz="8" w:space="0" w:color="auto"/>
              <w:right w:val="single" w:sz="8" w:space="0" w:color="auto"/>
            </w:tcBorders>
            <w:shd w:val="clear" w:color="auto" w:fill="auto"/>
            <w:noWrap/>
            <w:vAlign w:val="center"/>
            <w:hideMark/>
          </w:tcPr>
          <w:p w14:paraId="38A4D5D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26AD110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873AEB5"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613,32</w:t>
            </w:r>
          </w:p>
        </w:tc>
      </w:tr>
      <w:tr w:rsidR="001139E3" w:rsidRPr="001139E3" w14:paraId="0A1777F6"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5CB962B"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E4CA0D9"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CLAUDIANUM </w:t>
            </w:r>
            <w:proofErr w:type="spellStart"/>
            <w:r w:rsidRPr="001139E3">
              <w:rPr>
                <w:rFonts w:ascii="Arial" w:hAnsi="Arial" w:cs="Arial"/>
                <w:color w:val="000000"/>
                <w:sz w:val="20"/>
                <w:szCs w:val="20"/>
                <w:lang w:eastAsia="sk-SK"/>
              </w:rPr>
              <w:t>n.o</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1CC38BA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Bezpečné prostredie pre CLAUDIANUM</w:t>
            </w:r>
          </w:p>
        </w:tc>
        <w:tc>
          <w:tcPr>
            <w:tcW w:w="631" w:type="pct"/>
            <w:tcBorders>
              <w:top w:val="nil"/>
              <w:left w:val="nil"/>
              <w:bottom w:val="single" w:sz="8" w:space="0" w:color="auto"/>
              <w:right w:val="single" w:sz="8" w:space="0" w:color="auto"/>
            </w:tcBorders>
            <w:shd w:val="clear" w:color="auto" w:fill="auto"/>
            <w:noWrap/>
            <w:vAlign w:val="center"/>
            <w:hideMark/>
          </w:tcPr>
          <w:p w14:paraId="14D0A7C9"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23C18D0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534B480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4F8B5A1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4161C10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E3801C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Obec Jablonec</w:t>
            </w:r>
          </w:p>
        </w:tc>
        <w:tc>
          <w:tcPr>
            <w:tcW w:w="1118" w:type="pct"/>
            <w:tcBorders>
              <w:top w:val="nil"/>
              <w:left w:val="nil"/>
              <w:bottom w:val="single" w:sz="8" w:space="0" w:color="auto"/>
              <w:right w:val="single" w:sz="8" w:space="0" w:color="auto"/>
            </w:tcBorders>
            <w:shd w:val="clear" w:color="auto" w:fill="auto"/>
            <w:vAlign w:val="center"/>
            <w:hideMark/>
          </w:tcPr>
          <w:p w14:paraId="25A8813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Výmena vchodových dverí a okien na budove OÚ</w:t>
            </w:r>
          </w:p>
        </w:tc>
        <w:tc>
          <w:tcPr>
            <w:tcW w:w="631" w:type="pct"/>
            <w:tcBorders>
              <w:top w:val="nil"/>
              <w:left w:val="nil"/>
              <w:bottom w:val="single" w:sz="8" w:space="0" w:color="auto"/>
              <w:right w:val="single" w:sz="8" w:space="0" w:color="auto"/>
            </w:tcBorders>
            <w:shd w:val="clear" w:color="auto" w:fill="auto"/>
            <w:noWrap/>
            <w:vAlign w:val="center"/>
            <w:hideMark/>
          </w:tcPr>
          <w:p w14:paraId="4C71D99F"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Pezinok</w:t>
            </w:r>
          </w:p>
        </w:tc>
        <w:tc>
          <w:tcPr>
            <w:tcW w:w="330" w:type="pct"/>
            <w:tcBorders>
              <w:top w:val="nil"/>
              <w:left w:val="nil"/>
              <w:bottom w:val="single" w:sz="8" w:space="0" w:color="auto"/>
              <w:right w:val="single" w:sz="8" w:space="0" w:color="auto"/>
            </w:tcBorders>
            <w:shd w:val="clear" w:color="auto" w:fill="auto"/>
            <w:vAlign w:val="center"/>
            <w:hideMark/>
          </w:tcPr>
          <w:p w14:paraId="46B67CE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KV</w:t>
            </w:r>
          </w:p>
        </w:tc>
        <w:tc>
          <w:tcPr>
            <w:tcW w:w="455" w:type="pct"/>
            <w:tcBorders>
              <w:top w:val="nil"/>
              <w:left w:val="nil"/>
              <w:bottom w:val="single" w:sz="8" w:space="0" w:color="auto"/>
              <w:right w:val="single" w:sz="8" w:space="0" w:color="auto"/>
            </w:tcBorders>
            <w:shd w:val="clear" w:color="auto" w:fill="auto"/>
            <w:vAlign w:val="center"/>
            <w:hideMark/>
          </w:tcPr>
          <w:p w14:paraId="61E2A97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47A4D5B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00C493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6260F46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Nezábudka - združ. na pomoc rod. so zdrav. postih. deťmi a </w:t>
            </w:r>
            <w:proofErr w:type="spellStart"/>
            <w:r w:rsidRPr="001139E3">
              <w:rPr>
                <w:rFonts w:ascii="Arial" w:hAnsi="Arial" w:cs="Arial"/>
                <w:color w:val="000000"/>
                <w:sz w:val="20"/>
                <w:szCs w:val="20"/>
                <w:lang w:eastAsia="sk-SK"/>
              </w:rPr>
              <w:t>mladist</w:t>
            </w:r>
            <w:proofErr w:type="spellEnd"/>
            <w:r w:rsidRPr="001139E3">
              <w:rPr>
                <w:rFonts w:ascii="Arial" w:hAnsi="Arial" w:cs="Arial"/>
                <w:color w:val="000000"/>
                <w:sz w:val="20"/>
                <w:szCs w:val="20"/>
                <w:lang w:eastAsia="sk-SK"/>
              </w:rPr>
              <w:t>.</w:t>
            </w:r>
          </w:p>
        </w:tc>
        <w:tc>
          <w:tcPr>
            <w:tcW w:w="1118" w:type="pct"/>
            <w:tcBorders>
              <w:top w:val="nil"/>
              <w:left w:val="nil"/>
              <w:bottom w:val="single" w:sz="8" w:space="0" w:color="auto"/>
              <w:right w:val="single" w:sz="8" w:space="0" w:color="auto"/>
            </w:tcBorders>
            <w:shd w:val="clear" w:color="auto" w:fill="auto"/>
            <w:vAlign w:val="center"/>
            <w:hideMark/>
          </w:tcPr>
          <w:p w14:paraId="3C8C18B0"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Bezpečné prostredie pre Nezábudku</w:t>
            </w:r>
          </w:p>
        </w:tc>
        <w:tc>
          <w:tcPr>
            <w:tcW w:w="631" w:type="pct"/>
            <w:tcBorders>
              <w:top w:val="nil"/>
              <w:left w:val="nil"/>
              <w:bottom w:val="single" w:sz="8" w:space="0" w:color="auto"/>
              <w:right w:val="single" w:sz="8" w:space="0" w:color="auto"/>
            </w:tcBorders>
            <w:shd w:val="clear" w:color="auto" w:fill="auto"/>
            <w:noWrap/>
            <w:vAlign w:val="center"/>
            <w:hideMark/>
          </w:tcPr>
          <w:p w14:paraId="659BDD8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Senec</w:t>
            </w:r>
          </w:p>
        </w:tc>
        <w:tc>
          <w:tcPr>
            <w:tcW w:w="330" w:type="pct"/>
            <w:tcBorders>
              <w:top w:val="nil"/>
              <w:left w:val="nil"/>
              <w:bottom w:val="single" w:sz="8" w:space="0" w:color="auto"/>
              <w:right w:val="single" w:sz="8" w:space="0" w:color="auto"/>
            </w:tcBorders>
            <w:shd w:val="clear" w:color="auto" w:fill="auto"/>
            <w:vAlign w:val="center"/>
            <w:hideMark/>
          </w:tcPr>
          <w:p w14:paraId="278F13E2"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36FA9EA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360,00</w:t>
            </w:r>
          </w:p>
        </w:tc>
      </w:tr>
      <w:tr w:rsidR="001139E3" w:rsidRPr="001139E3" w14:paraId="0A65CB01"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19A89D89"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74B05D7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FK </w:t>
            </w:r>
            <w:proofErr w:type="spellStart"/>
            <w:r w:rsidRPr="001139E3">
              <w:rPr>
                <w:rFonts w:ascii="Arial" w:hAnsi="Arial" w:cs="Arial"/>
                <w:color w:val="000000"/>
                <w:sz w:val="20"/>
                <w:szCs w:val="20"/>
                <w:lang w:eastAsia="sk-SK"/>
              </w:rPr>
              <w:t>Inter</w:t>
            </w:r>
            <w:proofErr w:type="spellEnd"/>
            <w:r w:rsidRPr="001139E3">
              <w:rPr>
                <w:rFonts w:ascii="Arial" w:hAnsi="Arial" w:cs="Arial"/>
                <w:color w:val="000000"/>
                <w:sz w:val="20"/>
                <w:szCs w:val="20"/>
                <w:lang w:eastAsia="sk-SK"/>
              </w:rPr>
              <w:t xml:space="preserve"> Bratislava mládež</w:t>
            </w:r>
          </w:p>
        </w:tc>
        <w:tc>
          <w:tcPr>
            <w:tcW w:w="1118" w:type="pct"/>
            <w:tcBorders>
              <w:top w:val="nil"/>
              <w:left w:val="nil"/>
              <w:bottom w:val="single" w:sz="8" w:space="0" w:color="auto"/>
              <w:right w:val="single" w:sz="8" w:space="0" w:color="auto"/>
            </w:tcBorders>
            <w:shd w:val="clear" w:color="auto" w:fill="auto"/>
            <w:vAlign w:val="center"/>
            <w:hideMark/>
          </w:tcPr>
          <w:p w14:paraId="2CFFAAF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Mládež žije športom</w:t>
            </w:r>
          </w:p>
        </w:tc>
        <w:tc>
          <w:tcPr>
            <w:tcW w:w="631" w:type="pct"/>
            <w:tcBorders>
              <w:top w:val="nil"/>
              <w:left w:val="nil"/>
              <w:bottom w:val="single" w:sz="8" w:space="0" w:color="auto"/>
              <w:right w:val="single" w:sz="8" w:space="0" w:color="auto"/>
            </w:tcBorders>
            <w:shd w:val="clear" w:color="auto" w:fill="auto"/>
            <w:noWrap/>
            <w:vAlign w:val="center"/>
            <w:hideMark/>
          </w:tcPr>
          <w:p w14:paraId="674F0A91"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5E553D0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07134C61"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700,00</w:t>
            </w:r>
          </w:p>
        </w:tc>
      </w:tr>
      <w:tr w:rsidR="001139E3" w:rsidRPr="001139E3" w14:paraId="0E4832E2"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7E29ADD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1FFE1D92"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Gamča</w:t>
            </w:r>
            <w:proofErr w:type="spellEnd"/>
            <w:r w:rsidRPr="001139E3">
              <w:rPr>
                <w:rFonts w:ascii="Arial" w:hAnsi="Arial" w:cs="Arial"/>
                <w:color w:val="000000"/>
                <w:sz w:val="20"/>
                <w:szCs w:val="20"/>
                <w:lang w:eastAsia="sk-SK"/>
              </w:rPr>
              <w:t xml:space="preserve"> perpetua</w:t>
            </w:r>
          </w:p>
        </w:tc>
        <w:tc>
          <w:tcPr>
            <w:tcW w:w="1118" w:type="pct"/>
            <w:tcBorders>
              <w:top w:val="nil"/>
              <w:left w:val="nil"/>
              <w:bottom w:val="single" w:sz="8" w:space="0" w:color="auto"/>
              <w:right w:val="single" w:sz="8" w:space="0" w:color="auto"/>
            </w:tcBorders>
            <w:shd w:val="clear" w:color="auto" w:fill="auto"/>
            <w:vAlign w:val="center"/>
            <w:hideMark/>
          </w:tcPr>
          <w:p w14:paraId="72C11A3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OH 2020</w:t>
            </w:r>
          </w:p>
        </w:tc>
        <w:tc>
          <w:tcPr>
            <w:tcW w:w="631" w:type="pct"/>
            <w:tcBorders>
              <w:top w:val="nil"/>
              <w:left w:val="nil"/>
              <w:bottom w:val="single" w:sz="8" w:space="0" w:color="auto"/>
              <w:right w:val="single" w:sz="8" w:space="0" w:color="auto"/>
            </w:tcBorders>
            <w:shd w:val="clear" w:color="auto" w:fill="auto"/>
            <w:noWrap/>
            <w:vAlign w:val="center"/>
            <w:hideMark/>
          </w:tcPr>
          <w:p w14:paraId="7517A850"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27A0FA7A"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5B5E61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r w:rsidR="001139E3" w:rsidRPr="001139E3" w14:paraId="434EC05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2D4C2A0"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373B2248"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 xml:space="preserve">Slovak Business </w:t>
            </w:r>
            <w:proofErr w:type="spellStart"/>
            <w:r w:rsidRPr="001139E3">
              <w:rPr>
                <w:rFonts w:ascii="Arial" w:hAnsi="Arial" w:cs="Arial"/>
                <w:color w:val="000000"/>
                <w:sz w:val="20"/>
                <w:szCs w:val="20"/>
                <w:lang w:eastAsia="sk-SK"/>
              </w:rPr>
              <w:t>Agency</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729EF9C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Podnikateľka Slovenska 2020</w:t>
            </w:r>
          </w:p>
        </w:tc>
        <w:tc>
          <w:tcPr>
            <w:tcW w:w="631" w:type="pct"/>
            <w:tcBorders>
              <w:top w:val="nil"/>
              <w:left w:val="nil"/>
              <w:bottom w:val="single" w:sz="8" w:space="0" w:color="auto"/>
              <w:right w:val="single" w:sz="8" w:space="0" w:color="auto"/>
            </w:tcBorders>
            <w:shd w:val="clear" w:color="auto" w:fill="auto"/>
            <w:noWrap/>
            <w:vAlign w:val="center"/>
            <w:hideMark/>
          </w:tcPr>
          <w:p w14:paraId="57E20F8D"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II.</w:t>
            </w:r>
          </w:p>
        </w:tc>
        <w:tc>
          <w:tcPr>
            <w:tcW w:w="330" w:type="pct"/>
            <w:tcBorders>
              <w:top w:val="nil"/>
              <w:left w:val="nil"/>
              <w:bottom w:val="single" w:sz="8" w:space="0" w:color="auto"/>
              <w:right w:val="single" w:sz="8" w:space="0" w:color="auto"/>
            </w:tcBorders>
            <w:shd w:val="clear" w:color="auto" w:fill="auto"/>
            <w:vAlign w:val="center"/>
            <w:hideMark/>
          </w:tcPr>
          <w:p w14:paraId="167B8B9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1CA6BA88"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78B545CC"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3F3651CE"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1ED1126"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Mestská časť Bratislava - Rusovce</w:t>
            </w:r>
          </w:p>
        </w:tc>
        <w:tc>
          <w:tcPr>
            <w:tcW w:w="1118" w:type="pct"/>
            <w:tcBorders>
              <w:top w:val="nil"/>
              <w:left w:val="nil"/>
              <w:bottom w:val="single" w:sz="8" w:space="0" w:color="auto"/>
              <w:right w:val="single" w:sz="8" w:space="0" w:color="auto"/>
            </w:tcBorders>
            <w:shd w:val="clear" w:color="auto" w:fill="auto"/>
            <w:vAlign w:val="center"/>
            <w:hideMark/>
          </w:tcPr>
          <w:p w14:paraId="1EB792F5"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Vianočný príbeh Rusoviec</w:t>
            </w:r>
          </w:p>
        </w:tc>
        <w:tc>
          <w:tcPr>
            <w:tcW w:w="631" w:type="pct"/>
            <w:tcBorders>
              <w:top w:val="nil"/>
              <w:left w:val="nil"/>
              <w:bottom w:val="single" w:sz="8" w:space="0" w:color="auto"/>
              <w:right w:val="single" w:sz="8" w:space="0" w:color="auto"/>
            </w:tcBorders>
            <w:shd w:val="clear" w:color="auto" w:fill="auto"/>
            <w:noWrap/>
            <w:vAlign w:val="center"/>
            <w:hideMark/>
          </w:tcPr>
          <w:p w14:paraId="038D84AB"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V.</w:t>
            </w:r>
          </w:p>
        </w:tc>
        <w:tc>
          <w:tcPr>
            <w:tcW w:w="330" w:type="pct"/>
            <w:tcBorders>
              <w:top w:val="nil"/>
              <w:left w:val="nil"/>
              <w:bottom w:val="single" w:sz="8" w:space="0" w:color="auto"/>
              <w:right w:val="single" w:sz="8" w:space="0" w:color="auto"/>
            </w:tcBorders>
            <w:shd w:val="clear" w:color="auto" w:fill="auto"/>
            <w:vAlign w:val="center"/>
            <w:hideMark/>
          </w:tcPr>
          <w:p w14:paraId="6727486B"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91228D4"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2 000,00</w:t>
            </w:r>
          </w:p>
        </w:tc>
      </w:tr>
      <w:tr w:rsidR="001139E3" w:rsidRPr="001139E3" w14:paraId="08FA2E99"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5D439BD1"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05BD92B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ŠK DIANELLO</w:t>
            </w:r>
          </w:p>
        </w:tc>
        <w:tc>
          <w:tcPr>
            <w:tcW w:w="1118" w:type="pct"/>
            <w:tcBorders>
              <w:top w:val="nil"/>
              <w:left w:val="nil"/>
              <w:bottom w:val="single" w:sz="8" w:space="0" w:color="auto"/>
              <w:right w:val="single" w:sz="8" w:space="0" w:color="auto"/>
            </w:tcBorders>
            <w:shd w:val="clear" w:color="auto" w:fill="auto"/>
            <w:vAlign w:val="center"/>
            <w:hideMark/>
          </w:tcPr>
          <w:p w14:paraId="54B3597D"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Socializácia detí s AS syndrómom - karanténa</w:t>
            </w:r>
          </w:p>
        </w:tc>
        <w:tc>
          <w:tcPr>
            <w:tcW w:w="631" w:type="pct"/>
            <w:tcBorders>
              <w:top w:val="nil"/>
              <w:left w:val="nil"/>
              <w:bottom w:val="single" w:sz="8" w:space="0" w:color="auto"/>
              <w:right w:val="single" w:sz="8" w:space="0" w:color="auto"/>
            </w:tcBorders>
            <w:shd w:val="clear" w:color="auto" w:fill="auto"/>
            <w:noWrap/>
            <w:vAlign w:val="center"/>
            <w:hideMark/>
          </w:tcPr>
          <w:p w14:paraId="7F7D01C6"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Malacky</w:t>
            </w:r>
          </w:p>
        </w:tc>
        <w:tc>
          <w:tcPr>
            <w:tcW w:w="330" w:type="pct"/>
            <w:tcBorders>
              <w:top w:val="nil"/>
              <w:left w:val="nil"/>
              <w:bottom w:val="single" w:sz="8" w:space="0" w:color="auto"/>
              <w:right w:val="single" w:sz="8" w:space="0" w:color="auto"/>
            </w:tcBorders>
            <w:shd w:val="clear" w:color="auto" w:fill="auto"/>
            <w:vAlign w:val="center"/>
            <w:hideMark/>
          </w:tcPr>
          <w:p w14:paraId="79BA024F"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6FF79AC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900,00</w:t>
            </w:r>
          </w:p>
        </w:tc>
      </w:tr>
      <w:tr w:rsidR="001139E3" w:rsidRPr="001139E3" w14:paraId="62F5A71D"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0DA56C3"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533F2CA3"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Hasičský zbor Bratislava Staré mesto</w:t>
            </w:r>
          </w:p>
        </w:tc>
        <w:tc>
          <w:tcPr>
            <w:tcW w:w="1118" w:type="pct"/>
            <w:tcBorders>
              <w:top w:val="nil"/>
              <w:left w:val="nil"/>
              <w:bottom w:val="single" w:sz="8" w:space="0" w:color="auto"/>
              <w:right w:val="single" w:sz="8" w:space="0" w:color="auto"/>
            </w:tcBorders>
            <w:shd w:val="clear" w:color="auto" w:fill="auto"/>
            <w:vAlign w:val="center"/>
            <w:hideMark/>
          </w:tcPr>
          <w:p w14:paraId="39A05317"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Centrum výcviku prvej pomoci a prevencie rizika</w:t>
            </w:r>
          </w:p>
        </w:tc>
        <w:tc>
          <w:tcPr>
            <w:tcW w:w="631" w:type="pct"/>
            <w:tcBorders>
              <w:top w:val="nil"/>
              <w:left w:val="nil"/>
              <w:bottom w:val="single" w:sz="8" w:space="0" w:color="auto"/>
              <w:right w:val="single" w:sz="8" w:space="0" w:color="auto"/>
            </w:tcBorders>
            <w:shd w:val="clear" w:color="auto" w:fill="auto"/>
            <w:noWrap/>
            <w:vAlign w:val="center"/>
            <w:hideMark/>
          </w:tcPr>
          <w:p w14:paraId="56A0718C"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w:t>
            </w:r>
          </w:p>
        </w:tc>
        <w:tc>
          <w:tcPr>
            <w:tcW w:w="330" w:type="pct"/>
            <w:tcBorders>
              <w:top w:val="nil"/>
              <w:left w:val="nil"/>
              <w:bottom w:val="single" w:sz="8" w:space="0" w:color="auto"/>
              <w:right w:val="single" w:sz="8" w:space="0" w:color="auto"/>
            </w:tcBorders>
            <w:shd w:val="clear" w:color="auto" w:fill="auto"/>
            <w:vAlign w:val="center"/>
            <w:hideMark/>
          </w:tcPr>
          <w:p w14:paraId="6430D9AE"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411BCF8A"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500,00</w:t>
            </w:r>
          </w:p>
        </w:tc>
      </w:tr>
      <w:tr w:rsidR="001139E3" w:rsidRPr="001139E3" w14:paraId="77115A35" w14:textId="77777777" w:rsidTr="00225DB1">
        <w:trPr>
          <w:trHeight w:val="360"/>
        </w:trPr>
        <w:tc>
          <w:tcPr>
            <w:tcW w:w="1043" w:type="pct"/>
            <w:tcBorders>
              <w:top w:val="nil"/>
              <w:left w:val="single" w:sz="8" w:space="0" w:color="auto"/>
              <w:bottom w:val="single" w:sz="8" w:space="0" w:color="auto"/>
              <w:right w:val="single" w:sz="8" w:space="0" w:color="auto"/>
            </w:tcBorders>
            <w:shd w:val="clear" w:color="000000" w:fill="DCE6F1"/>
            <w:noWrap/>
            <w:vAlign w:val="center"/>
            <w:hideMark/>
          </w:tcPr>
          <w:p w14:paraId="0518F667" w14:textId="77777777" w:rsidR="001139E3" w:rsidRPr="001139E3" w:rsidRDefault="001139E3" w:rsidP="001139E3">
            <w:pPr>
              <w:spacing w:after="0" w:line="240" w:lineRule="auto"/>
              <w:jc w:val="center"/>
              <w:rPr>
                <w:rFonts w:ascii="Arial" w:hAnsi="Arial" w:cs="Arial"/>
                <w:color w:val="000000"/>
                <w:sz w:val="18"/>
                <w:szCs w:val="18"/>
                <w:lang w:eastAsia="sk-SK"/>
              </w:rPr>
            </w:pPr>
            <w:r w:rsidRPr="001139E3">
              <w:rPr>
                <w:rFonts w:ascii="Arial" w:hAnsi="Arial" w:cs="Arial"/>
                <w:color w:val="000000"/>
                <w:sz w:val="18"/>
                <w:szCs w:val="18"/>
                <w:lang w:eastAsia="sk-SK"/>
              </w:rPr>
              <w:t>14.2. Individuálne dotácie</w:t>
            </w:r>
          </w:p>
        </w:tc>
        <w:tc>
          <w:tcPr>
            <w:tcW w:w="1423" w:type="pct"/>
            <w:tcBorders>
              <w:top w:val="nil"/>
              <w:left w:val="nil"/>
              <w:bottom w:val="single" w:sz="8" w:space="0" w:color="auto"/>
              <w:right w:val="single" w:sz="8" w:space="0" w:color="auto"/>
            </w:tcBorders>
            <w:shd w:val="clear" w:color="auto" w:fill="auto"/>
            <w:vAlign w:val="center"/>
            <w:hideMark/>
          </w:tcPr>
          <w:p w14:paraId="29B1925B" w14:textId="77777777" w:rsidR="001139E3" w:rsidRPr="001139E3" w:rsidRDefault="001139E3" w:rsidP="001139E3">
            <w:pPr>
              <w:spacing w:after="0" w:line="240" w:lineRule="auto"/>
              <w:rPr>
                <w:rFonts w:ascii="Arial" w:hAnsi="Arial" w:cs="Arial"/>
                <w:color w:val="000000"/>
                <w:sz w:val="20"/>
                <w:szCs w:val="20"/>
                <w:lang w:eastAsia="sk-SK"/>
              </w:rPr>
            </w:pPr>
            <w:proofErr w:type="spellStart"/>
            <w:r w:rsidRPr="001139E3">
              <w:rPr>
                <w:rFonts w:ascii="Arial" w:hAnsi="Arial" w:cs="Arial"/>
                <w:color w:val="000000"/>
                <w:sz w:val="20"/>
                <w:szCs w:val="20"/>
                <w:lang w:eastAsia="sk-SK"/>
              </w:rPr>
              <w:t>o.z</w:t>
            </w:r>
            <w:proofErr w:type="spellEnd"/>
            <w:r w:rsidRPr="001139E3">
              <w:rPr>
                <w:rFonts w:ascii="Arial" w:hAnsi="Arial" w:cs="Arial"/>
                <w:color w:val="000000"/>
                <w:sz w:val="20"/>
                <w:szCs w:val="20"/>
                <w:lang w:eastAsia="sk-SK"/>
              </w:rPr>
              <w:t xml:space="preserve">. Iniciatíva </w:t>
            </w:r>
            <w:proofErr w:type="spellStart"/>
            <w:r w:rsidRPr="001139E3">
              <w:rPr>
                <w:rFonts w:ascii="Arial" w:hAnsi="Arial" w:cs="Arial"/>
                <w:color w:val="000000"/>
                <w:sz w:val="20"/>
                <w:szCs w:val="20"/>
                <w:lang w:eastAsia="sk-SK"/>
              </w:rPr>
              <w:t>rodicov</w:t>
            </w:r>
            <w:proofErr w:type="spellEnd"/>
            <w:r w:rsidRPr="001139E3">
              <w:rPr>
                <w:rFonts w:ascii="Arial" w:hAnsi="Arial" w:cs="Arial"/>
                <w:color w:val="000000"/>
                <w:sz w:val="20"/>
                <w:szCs w:val="20"/>
                <w:lang w:eastAsia="sk-SK"/>
              </w:rPr>
              <w:t xml:space="preserve"> </w:t>
            </w:r>
            <w:proofErr w:type="spellStart"/>
            <w:r w:rsidRPr="001139E3">
              <w:rPr>
                <w:rFonts w:ascii="Arial" w:hAnsi="Arial" w:cs="Arial"/>
                <w:color w:val="000000"/>
                <w:sz w:val="20"/>
                <w:szCs w:val="20"/>
                <w:lang w:eastAsia="sk-SK"/>
              </w:rPr>
              <w:t>Lamaca</w:t>
            </w:r>
            <w:proofErr w:type="spellEnd"/>
          </w:p>
        </w:tc>
        <w:tc>
          <w:tcPr>
            <w:tcW w:w="1118" w:type="pct"/>
            <w:tcBorders>
              <w:top w:val="nil"/>
              <w:left w:val="nil"/>
              <w:bottom w:val="single" w:sz="8" w:space="0" w:color="auto"/>
              <w:right w:val="single" w:sz="8" w:space="0" w:color="auto"/>
            </w:tcBorders>
            <w:shd w:val="clear" w:color="auto" w:fill="auto"/>
            <w:vAlign w:val="center"/>
            <w:hideMark/>
          </w:tcPr>
          <w:p w14:paraId="1C4864BC"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Poď von, milý kamarát!</w:t>
            </w:r>
          </w:p>
        </w:tc>
        <w:tc>
          <w:tcPr>
            <w:tcW w:w="631" w:type="pct"/>
            <w:tcBorders>
              <w:top w:val="nil"/>
              <w:left w:val="nil"/>
              <w:bottom w:val="single" w:sz="8" w:space="0" w:color="auto"/>
              <w:right w:val="single" w:sz="8" w:space="0" w:color="auto"/>
            </w:tcBorders>
            <w:shd w:val="clear" w:color="auto" w:fill="auto"/>
            <w:noWrap/>
            <w:vAlign w:val="center"/>
            <w:hideMark/>
          </w:tcPr>
          <w:p w14:paraId="204D3234" w14:textId="77777777" w:rsidR="001139E3" w:rsidRPr="001139E3" w:rsidRDefault="001139E3" w:rsidP="001139E3">
            <w:pPr>
              <w:spacing w:after="0" w:line="240" w:lineRule="auto"/>
              <w:jc w:val="center"/>
              <w:rPr>
                <w:rFonts w:ascii="Arial" w:hAnsi="Arial" w:cs="Arial"/>
                <w:color w:val="000000"/>
                <w:sz w:val="20"/>
                <w:szCs w:val="20"/>
                <w:lang w:eastAsia="sk-SK"/>
              </w:rPr>
            </w:pPr>
            <w:r w:rsidRPr="001139E3">
              <w:rPr>
                <w:rFonts w:ascii="Arial" w:hAnsi="Arial" w:cs="Arial"/>
                <w:color w:val="000000"/>
                <w:sz w:val="20"/>
                <w:szCs w:val="20"/>
                <w:lang w:eastAsia="sk-SK"/>
              </w:rPr>
              <w:t>Bratislava IV.</w:t>
            </w:r>
          </w:p>
        </w:tc>
        <w:tc>
          <w:tcPr>
            <w:tcW w:w="330" w:type="pct"/>
            <w:tcBorders>
              <w:top w:val="nil"/>
              <w:left w:val="nil"/>
              <w:bottom w:val="single" w:sz="8" w:space="0" w:color="auto"/>
              <w:right w:val="single" w:sz="8" w:space="0" w:color="auto"/>
            </w:tcBorders>
            <w:shd w:val="clear" w:color="auto" w:fill="auto"/>
            <w:vAlign w:val="center"/>
            <w:hideMark/>
          </w:tcPr>
          <w:p w14:paraId="4C8BA751" w14:textId="77777777" w:rsidR="001139E3" w:rsidRPr="001139E3" w:rsidRDefault="001139E3" w:rsidP="001139E3">
            <w:pPr>
              <w:spacing w:after="0" w:line="240" w:lineRule="auto"/>
              <w:rPr>
                <w:rFonts w:ascii="Arial" w:hAnsi="Arial" w:cs="Arial"/>
                <w:color w:val="000000"/>
                <w:sz w:val="20"/>
                <w:szCs w:val="20"/>
                <w:lang w:eastAsia="sk-SK"/>
              </w:rPr>
            </w:pPr>
            <w:r w:rsidRPr="001139E3">
              <w:rPr>
                <w:rFonts w:ascii="Arial" w:hAnsi="Arial" w:cs="Arial"/>
                <w:color w:val="000000"/>
                <w:sz w:val="20"/>
                <w:szCs w:val="20"/>
                <w:lang w:eastAsia="sk-SK"/>
              </w:rPr>
              <w:t>BV</w:t>
            </w:r>
          </w:p>
        </w:tc>
        <w:tc>
          <w:tcPr>
            <w:tcW w:w="455" w:type="pct"/>
            <w:tcBorders>
              <w:top w:val="nil"/>
              <w:left w:val="nil"/>
              <w:bottom w:val="single" w:sz="8" w:space="0" w:color="auto"/>
              <w:right w:val="single" w:sz="8" w:space="0" w:color="auto"/>
            </w:tcBorders>
            <w:shd w:val="clear" w:color="auto" w:fill="auto"/>
            <w:vAlign w:val="center"/>
            <w:hideMark/>
          </w:tcPr>
          <w:p w14:paraId="249EB1A2" w14:textId="77777777" w:rsidR="001139E3" w:rsidRPr="001139E3" w:rsidRDefault="001139E3" w:rsidP="001139E3">
            <w:pPr>
              <w:spacing w:after="0" w:line="240" w:lineRule="auto"/>
              <w:jc w:val="right"/>
              <w:rPr>
                <w:rFonts w:ascii="Arial" w:hAnsi="Arial" w:cs="Arial"/>
                <w:color w:val="000000"/>
                <w:sz w:val="20"/>
                <w:szCs w:val="20"/>
                <w:lang w:eastAsia="sk-SK"/>
              </w:rPr>
            </w:pPr>
            <w:r w:rsidRPr="001139E3">
              <w:rPr>
                <w:rFonts w:ascii="Arial" w:hAnsi="Arial" w:cs="Arial"/>
                <w:color w:val="000000"/>
                <w:sz w:val="20"/>
                <w:szCs w:val="20"/>
                <w:lang w:eastAsia="sk-SK"/>
              </w:rPr>
              <w:t>1 000,00</w:t>
            </w:r>
          </w:p>
        </w:tc>
      </w:tr>
    </w:tbl>
    <w:p w14:paraId="23B7AB52" w14:textId="77777777" w:rsidR="00911770" w:rsidRPr="000D5FA5" w:rsidRDefault="00911770" w:rsidP="00BE704E">
      <w:pPr>
        <w:spacing w:after="0" w:line="240" w:lineRule="auto"/>
        <w:rPr>
          <w:u w:val="single"/>
        </w:rPr>
      </w:pPr>
    </w:p>
    <w:p w14:paraId="267F7858" w14:textId="5D6100C9" w:rsidR="00BE704E" w:rsidRPr="009F7B77" w:rsidRDefault="00BE704E" w:rsidP="00BE704E">
      <w:pPr>
        <w:pStyle w:val="tl1"/>
      </w:pPr>
      <w:r w:rsidRPr="00911770">
        <w:lastRenderedPageBreak/>
        <w:t>Prehľad o hospodárení príspevkových organizácií v zriaďovateľskej</w:t>
      </w:r>
      <w:r w:rsidRPr="009F7B77">
        <w:t xml:space="preserve"> pôsobnosti BSK k 31.12.20</w:t>
      </w:r>
      <w:r w:rsidR="006863C7">
        <w:t>20</w:t>
      </w:r>
    </w:p>
    <w:p w14:paraId="03388916" w14:textId="77777777" w:rsidR="00BE704E" w:rsidRDefault="00A711BC" w:rsidP="00BE704E">
      <w:pPr>
        <w:pStyle w:val="tl1"/>
        <w:numPr>
          <w:ilvl w:val="0"/>
          <w:numId w:val="0"/>
        </w:numPr>
        <w:ind w:left="360"/>
        <w:rPr>
          <w:sz w:val="24"/>
          <w:szCs w:val="24"/>
        </w:rPr>
      </w:pPr>
      <w:r>
        <w:pict w14:anchorId="1F88B89D">
          <v:rect id="_x0000_i1032" style="width:0;height:1.5pt" o:hralign="center" o:hrstd="t" o:hr="t" fillcolor="#a0a0a0" stroked="f"/>
        </w:pict>
      </w:r>
    </w:p>
    <w:p w14:paraId="2AEFBE8D" w14:textId="77777777" w:rsidR="00027146" w:rsidRPr="004B3C67" w:rsidRDefault="00027146" w:rsidP="009D37EE">
      <w:pPr>
        <w:autoSpaceDE w:val="0"/>
        <w:autoSpaceDN w:val="0"/>
        <w:adjustRightInd w:val="0"/>
        <w:jc w:val="both"/>
        <w:rPr>
          <w:rFonts w:cs="Calibri"/>
          <w:sz w:val="24"/>
          <w:szCs w:val="24"/>
        </w:rPr>
      </w:pPr>
      <w:r w:rsidRPr="004B3C67">
        <w:rPr>
          <w:rFonts w:cs="Calibri"/>
          <w:sz w:val="24"/>
          <w:szCs w:val="24"/>
        </w:rPr>
        <w:t xml:space="preserve">Financovanie príspevkových organizácii je viaczdrojové. V súlade s § 24 zákona NR SR č. 523/2004 Z. z. o rozpočtových pravidlách verejnej správy a o zmene a doplnení niektorých zákonov v znení neskorších predpisov, príspevková organizácia hospodári podľa svojho rozpočtu nákladov a výnosov a výsledku hospodárenia. Jej rozpočet zahŕňa aj príspevok z rozpočtu zriaďovateľa a prostriedky prijaté od iných subjektov. Účelovo určené dary a granty sa požívajú v súlade s určením ich darcu. </w:t>
      </w:r>
    </w:p>
    <w:p w14:paraId="4A6DEB7C" w14:textId="2CBE9F98" w:rsidR="00027146" w:rsidRDefault="00027146" w:rsidP="009D37EE">
      <w:pPr>
        <w:autoSpaceDE w:val="0"/>
        <w:autoSpaceDN w:val="0"/>
        <w:adjustRightInd w:val="0"/>
        <w:rPr>
          <w:rFonts w:cs="Calibri"/>
          <w:sz w:val="24"/>
          <w:szCs w:val="24"/>
        </w:rPr>
      </w:pPr>
      <w:r w:rsidRPr="004B3C67">
        <w:rPr>
          <w:rFonts w:cs="Calibri"/>
          <w:sz w:val="24"/>
          <w:szCs w:val="24"/>
        </w:rPr>
        <w:t>Hospodársky výsledok pred  a po zdanení príspevkových organizácií BSK v roku 20</w:t>
      </w:r>
      <w:r w:rsidR="00911770">
        <w:rPr>
          <w:rFonts w:cs="Calibri"/>
          <w:sz w:val="24"/>
          <w:szCs w:val="24"/>
        </w:rPr>
        <w:t>20</w:t>
      </w:r>
      <w:r w:rsidRPr="004B3C67">
        <w:rPr>
          <w:rFonts w:cs="Calibri"/>
          <w:sz w:val="24"/>
          <w:szCs w:val="24"/>
        </w:rPr>
        <w:t>:</w:t>
      </w:r>
    </w:p>
    <w:tbl>
      <w:tblPr>
        <w:tblW w:w="5000" w:type="pct"/>
        <w:tblCellMar>
          <w:left w:w="0" w:type="dxa"/>
          <w:right w:w="113" w:type="dxa"/>
        </w:tblCellMar>
        <w:tblLook w:val="04A0" w:firstRow="1" w:lastRow="0" w:firstColumn="1" w:lastColumn="0" w:noHBand="0" w:noVBand="1"/>
      </w:tblPr>
      <w:tblGrid>
        <w:gridCol w:w="3699"/>
        <w:gridCol w:w="939"/>
        <w:gridCol w:w="939"/>
        <w:gridCol w:w="1044"/>
        <w:gridCol w:w="1084"/>
        <w:gridCol w:w="939"/>
        <w:gridCol w:w="939"/>
        <w:gridCol w:w="878"/>
      </w:tblGrid>
      <w:tr w:rsidR="00911770" w:rsidRPr="000668B8" w14:paraId="1C7DEC25" w14:textId="77777777" w:rsidTr="00911770">
        <w:trPr>
          <w:trHeight w:val="315"/>
          <w:tblHeader/>
        </w:trPr>
        <w:tc>
          <w:tcPr>
            <w:tcW w:w="1781" w:type="pct"/>
            <w:tcBorders>
              <w:top w:val="nil"/>
              <w:left w:val="nil"/>
              <w:bottom w:val="nil"/>
              <w:right w:val="single" w:sz="4" w:space="0" w:color="FFFFFF" w:themeColor="background1"/>
            </w:tcBorders>
            <w:shd w:val="clear" w:color="auto" w:fill="auto"/>
            <w:noWrap/>
            <w:vAlign w:val="bottom"/>
            <w:hideMark/>
          </w:tcPr>
          <w:p w14:paraId="5D103B78" w14:textId="77777777" w:rsidR="00911770" w:rsidRPr="000668B8" w:rsidRDefault="00911770" w:rsidP="005A1544">
            <w:pPr>
              <w:spacing w:after="0" w:line="240" w:lineRule="auto"/>
              <w:rPr>
                <w:rFonts w:ascii="Arial" w:hAnsi="Arial" w:cs="Arial"/>
                <w:sz w:val="20"/>
                <w:szCs w:val="20"/>
                <w:lang w:eastAsia="sk-SK"/>
              </w:rPr>
            </w:pPr>
          </w:p>
        </w:tc>
        <w:tc>
          <w:tcPr>
            <w:tcW w:w="90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4F81BD"/>
            <w:noWrap/>
            <w:vAlign w:val="center"/>
            <w:hideMark/>
          </w:tcPr>
          <w:p w14:paraId="52C65E5B" w14:textId="77777777" w:rsidR="00911770" w:rsidRPr="000668B8" w:rsidRDefault="00911770" w:rsidP="005A1544">
            <w:pPr>
              <w:spacing w:after="0" w:line="240" w:lineRule="auto"/>
              <w:jc w:val="center"/>
              <w:rPr>
                <w:rFonts w:cs="Calibri"/>
                <w:b/>
                <w:bCs/>
                <w:lang w:eastAsia="sk-SK"/>
              </w:rPr>
            </w:pPr>
            <w:r w:rsidRPr="000668B8">
              <w:rPr>
                <w:rFonts w:cs="Calibri"/>
                <w:b/>
                <w:bCs/>
                <w:lang w:eastAsia="sk-SK"/>
              </w:rPr>
              <w:t>Hlavná činnosť</w:t>
            </w:r>
          </w:p>
        </w:tc>
        <w:tc>
          <w:tcPr>
            <w:tcW w:w="94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4F81BD"/>
            <w:noWrap/>
            <w:vAlign w:val="center"/>
            <w:hideMark/>
          </w:tcPr>
          <w:p w14:paraId="1F1EBB40" w14:textId="77777777" w:rsidR="00911770" w:rsidRPr="000668B8" w:rsidRDefault="00911770" w:rsidP="005A1544">
            <w:pPr>
              <w:spacing w:after="0" w:line="240" w:lineRule="auto"/>
              <w:jc w:val="center"/>
              <w:rPr>
                <w:rFonts w:cs="Calibri"/>
                <w:b/>
                <w:bCs/>
                <w:lang w:eastAsia="sk-SK"/>
              </w:rPr>
            </w:pPr>
            <w:r w:rsidRPr="000668B8">
              <w:rPr>
                <w:rFonts w:cs="Calibri"/>
                <w:b/>
                <w:bCs/>
                <w:lang w:eastAsia="sk-SK"/>
              </w:rPr>
              <w:t>Podnikateľská činnosť</w:t>
            </w:r>
          </w:p>
        </w:tc>
        <w:tc>
          <w:tcPr>
            <w:tcW w:w="90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4F81BD"/>
            <w:noWrap/>
            <w:vAlign w:val="center"/>
            <w:hideMark/>
          </w:tcPr>
          <w:p w14:paraId="79025931" w14:textId="77777777" w:rsidR="00911770" w:rsidRPr="000668B8" w:rsidRDefault="00911770" w:rsidP="005A1544">
            <w:pPr>
              <w:spacing w:after="0" w:line="240" w:lineRule="auto"/>
              <w:jc w:val="center"/>
              <w:rPr>
                <w:rFonts w:cs="Calibri"/>
                <w:b/>
                <w:bCs/>
                <w:lang w:eastAsia="sk-SK"/>
              </w:rPr>
            </w:pPr>
            <w:r w:rsidRPr="000668B8">
              <w:rPr>
                <w:rFonts w:cs="Calibri"/>
                <w:b/>
                <w:bCs/>
                <w:lang w:eastAsia="sk-SK"/>
              </w:rPr>
              <w:t>Spolu</w:t>
            </w:r>
          </w:p>
        </w:tc>
        <w:tc>
          <w:tcPr>
            <w:tcW w:w="4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4F81BD"/>
            <w:noWrap/>
            <w:vAlign w:val="center"/>
            <w:hideMark/>
          </w:tcPr>
          <w:p w14:paraId="6A24AFEC" w14:textId="77777777" w:rsidR="00911770" w:rsidRPr="000668B8" w:rsidRDefault="00911770" w:rsidP="005A1544">
            <w:pPr>
              <w:spacing w:after="0" w:line="240" w:lineRule="auto"/>
              <w:jc w:val="center"/>
              <w:rPr>
                <w:rFonts w:cs="Calibri"/>
                <w:b/>
                <w:bCs/>
                <w:lang w:eastAsia="sk-SK"/>
              </w:rPr>
            </w:pPr>
            <w:r w:rsidRPr="000668B8">
              <w:rPr>
                <w:rFonts w:cs="Calibri"/>
                <w:b/>
                <w:bCs/>
                <w:lang w:eastAsia="sk-SK"/>
              </w:rPr>
              <w:t>2019</w:t>
            </w:r>
          </w:p>
        </w:tc>
      </w:tr>
      <w:tr w:rsidR="00911770" w:rsidRPr="000668B8" w14:paraId="6CA6BB95" w14:textId="77777777" w:rsidTr="00911770">
        <w:trPr>
          <w:trHeight w:val="270"/>
          <w:tblHeader/>
        </w:trPr>
        <w:tc>
          <w:tcPr>
            <w:tcW w:w="1781" w:type="pct"/>
            <w:tcBorders>
              <w:top w:val="nil"/>
              <w:left w:val="nil"/>
              <w:bottom w:val="nil"/>
              <w:right w:val="single" w:sz="8" w:space="0" w:color="FFFFFF"/>
            </w:tcBorders>
            <w:shd w:val="clear" w:color="000000" w:fill="8DB4E2"/>
            <w:vAlign w:val="center"/>
            <w:hideMark/>
          </w:tcPr>
          <w:p w14:paraId="25D90123" w14:textId="77777777" w:rsidR="00911770" w:rsidRPr="000668B8" w:rsidRDefault="00911770" w:rsidP="005A1544">
            <w:pPr>
              <w:spacing w:after="0" w:line="240" w:lineRule="auto"/>
              <w:rPr>
                <w:rFonts w:cs="Calibri"/>
                <w:b/>
                <w:bCs/>
                <w:sz w:val="18"/>
                <w:szCs w:val="18"/>
                <w:lang w:eastAsia="sk-SK"/>
              </w:rPr>
            </w:pPr>
            <w:r w:rsidRPr="000668B8">
              <w:rPr>
                <w:rFonts w:cs="Calibri"/>
                <w:b/>
                <w:bCs/>
                <w:sz w:val="18"/>
                <w:szCs w:val="18"/>
                <w:lang w:eastAsia="sk-SK"/>
              </w:rPr>
              <w:t> </w:t>
            </w:r>
          </w:p>
        </w:tc>
        <w:tc>
          <w:tcPr>
            <w:tcW w:w="454" w:type="pct"/>
            <w:vMerge w:val="restart"/>
            <w:tcBorders>
              <w:top w:val="single" w:sz="4" w:space="0" w:color="FFFFFF" w:themeColor="background1"/>
              <w:left w:val="single" w:sz="8" w:space="0" w:color="FFFFFF"/>
              <w:bottom w:val="single" w:sz="8" w:space="0" w:color="FFFFFF"/>
              <w:right w:val="single" w:sz="8" w:space="0" w:color="FFFFFF"/>
            </w:tcBorders>
            <w:shd w:val="clear" w:color="000000" w:fill="8DB4E2"/>
            <w:vAlign w:val="center"/>
            <w:hideMark/>
          </w:tcPr>
          <w:p w14:paraId="110D7050" w14:textId="77777777" w:rsidR="00911770" w:rsidRPr="000668B8" w:rsidRDefault="00911770" w:rsidP="005A1544">
            <w:pPr>
              <w:spacing w:after="0" w:line="240" w:lineRule="auto"/>
              <w:jc w:val="center"/>
              <w:rPr>
                <w:rFonts w:cs="Calibri"/>
                <w:b/>
                <w:bCs/>
                <w:sz w:val="18"/>
                <w:szCs w:val="18"/>
                <w:lang w:eastAsia="sk-SK"/>
              </w:rPr>
            </w:pPr>
            <w:r w:rsidRPr="000668B8">
              <w:rPr>
                <w:rFonts w:cs="Calibri"/>
                <w:b/>
                <w:bCs/>
                <w:sz w:val="18"/>
                <w:szCs w:val="18"/>
                <w:lang w:eastAsia="sk-SK"/>
              </w:rPr>
              <w:t>VH pred zdanením k 31.12.2020</w:t>
            </w:r>
          </w:p>
        </w:tc>
        <w:tc>
          <w:tcPr>
            <w:tcW w:w="454" w:type="pct"/>
            <w:vMerge w:val="restart"/>
            <w:tcBorders>
              <w:top w:val="single" w:sz="4" w:space="0" w:color="FFFFFF" w:themeColor="background1"/>
              <w:left w:val="single" w:sz="8" w:space="0" w:color="FFFFFF"/>
              <w:bottom w:val="single" w:sz="8" w:space="0" w:color="FFFFFF"/>
              <w:right w:val="single" w:sz="8" w:space="0" w:color="FFFFFF"/>
            </w:tcBorders>
            <w:shd w:val="clear" w:color="000000" w:fill="C4BD97"/>
            <w:vAlign w:val="center"/>
            <w:hideMark/>
          </w:tcPr>
          <w:p w14:paraId="4B9A634F" w14:textId="77777777" w:rsidR="00911770" w:rsidRPr="000668B8" w:rsidRDefault="00911770" w:rsidP="005A1544">
            <w:pPr>
              <w:spacing w:after="0" w:line="240" w:lineRule="auto"/>
              <w:jc w:val="center"/>
              <w:rPr>
                <w:rFonts w:cs="Calibri"/>
                <w:b/>
                <w:bCs/>
                <w:sz w:val="18"/>
                <w:szCs w:val="18"/>
                <w:lang w:eastAsia="sk-SK"/>
              </w:rPr>
            </w:pPr>
            <w:r w:rsidRPr="000668B8">
              <w:rPr>
                <w:rFonts w:cs="Calibri"/>
                <w:b/>
                <w:bCs/>
                <w:sz w:val="18"/>
                <w:szCs w:val="18"/>
                <w:lang w:eastAsia="sk-SK"/>
              </w:rPr>
              <w:t>VH po zdanení k 31.12.2020</w:t>
            </w:r>
          </w:p>
        </w:tc>
        <w:tc>
          <w:tcPr>
            <w:tcW w:w="462" w:type="pct"/>
            <w:vMerge w:val="restart"/>
            <w:tcBorders>
              <w:top w:val="single" w:sz="4" w:space="0" w:color="FFFFFF" w:themeColor="background1"/>
              <w:left w:val="single" w:sz="8" w:space="0" w:color="FFFFFF"/>
              <w:bottom w:val="single" w:sz="8" w:space="0" w:color="FFFFFF"/>
              <w:right w:val="single" w:sz="8" w:space="0" w:color="FFFFFF"/>
            </w:tcBorders>
            <w:shd w:val="clear" w:color="000000" w:fill="8DB4E2"/>
            <w:vAlign w:val="center"/>
            <w:hideMark/>
          </w:tcPr>
          <w:p w14:paraId="7CE0BB04" w14:textId="77777777" w:rsidR="00911770" w:rsidRPr="000668B8" w:rsidRDefault="00911770" w:rsidP="005A1544">
            <w:pPr>
              <w:spacing w:after="0" w:line="240" w:lineRule="auto"/>
              <w:jc w:val="center"/>
              <w:rPr>
                <w:rFonts w:cs="Calibri"/>
                <w:b/>
                <w:bCs/>
                <w:sz w:val="18"/>
                <w:szCs w:val="18"/>
                <w:lang w:eastAsia="sk-SK"/>
              </w:rPr>
            </w:pPr>
            <w:r w:rsidRPr="000668B8">
              <w:rPr>
                <w:rFonts w:cs="Calibri"/>
                <w:b/>
                <w:bCs/>
                <w:sz w:val="18"/>
                <w:szCs w:val="18"/>
                <w:lang w:eastAsia="sk-SK"/>
              </w:rPr>
              <w:t>VH pred zdanením k 31.12.2020</w:t>
            </w:r>
          </w:p>
        </w:tc>
        <w:tc>
          <w:tcPr>
            <w:tcW w:w="480" w:type="pct"/>
            <w:vMerge w:val="restart"/>
            <w:tcBorders>
              <w:top w:val="single" w:sz="4" w:space="0" w:color="FFFFFF" w:themeColor="background1"/>
              <w:left w:val="single" w:sz="8" w:space="0" w:color="FFFFFF"/>
              <w:bottom w:val="single" w:sz="8" w:space="0" w:color="FFFFFF"/>
              <w:right w:val="single" w:sz="8" w:space="0" w:color="FFFFFF"/>
            </w:tcBorders>
            <w:shd w:val="clear" w:color="000000" w:fill="C4BD97"/>
            <w:vAlign w:val="center"/>
            <w:hideMark/>
          </w:tcPr>
          <w:p w14:paraId="5473892E" w14:textId="77777777" w:rsidR="00911770" w:rsidRPr="000668B8" w:rsidRDefault="00911770" w:rsidP="005A1544">
            <w:pPr>
              <w:spacing w:after="0" w:line="240" w:lineRule="auto"/>
              <w:jc w:val="center"/>
              <w:rPr>
                <w:rFonts w:cs="Calibri"/>
                <w:b/>
                <w:bCs/>
                <w:sz w:val="18"/>
                <w:szCs w:val="18"/>
                <w:lang w:eastAsia="sk-SK"/>
              </w:rPr>
            </w:pPr>
            <w:r w:rsidRPr="000668B8">
              <w:rPr>
                <w:rFonts w:cs="Calibri"/>
                <w:b/>
                <w:bCs/>
                <w:sz w:val="18"/>
                <w:szCs w:val="18"/>
                <w:lang w:eastAsia="sk-SK"/>
              </w:rPr>
              <w:t>VH po zdanení k 31.12.2020</w:t>
            </w:r>
          </w:p>
        </w:tc>
        <w:tc>
          <w:tcPr>
            <w:tcW w:w="454" w:type="pct"/>
            <w:vMerge w:val="restart"/>
            <w:tcBorders>
              <w:top w:val="single" w:sz="4" w:space="0" w:color="FFFFFF" w:themeColor="background1"/>
              <w:left w:val="single" w:sz="8" w:space="0" w:color="FFFFFF"/>
              <w:bottom w:val="single" w:sz="8" w:space="0" w:color="FFFFFF"/>
              <w:right w:val="single" w:sz="8" w:space="0" w:color="FFFFFF"/>
            </w:tcBorders>
            <w:shd w:val="clear" w:color="000000" w:fill="8DB4E2"/>
            <w:vAlign w:val="center"/>
            <w:hideMark/>
          </w:tcPr>
          <w:p w14:paraId="6F6285F2" w14:textId="77777777" w:rsidR="00911770" w:rsidRPr="000668B8" w:rsidRDefault="00911770" w:rsidP="005A1544">
            <w:pPr>
              <w:spacing w:after="0" w:line="240" w:lineRule="auto"/>
              <w:jc w:val="center"/>
              <w:rPr>
                <w:rFonts w:cs="Calibri"/>
                <w:b/>
                <w:bCs/>
                <w:sz w:val="18"/>
                <w:szCs w:val="18"/>
                <w:lang w:eastAsia="sk-SK"/>
              </w:rPr>
            </w:pPr>
            <w:r w:rsidRPr="000668B8">
              <w:rPr>
                <w:rFonts w:cs="Calibri"/>
                <w:b/>
                <w:bCs/>
                <w:sz w:val="18"/>
                <w:szCs w:val="18"/>
                <w:lang w:eastAsia="sk-SK"/>
              </w:rPr>
              <w:t>VH pred zdanením k 31.12.2020</w:t>
            </w:r>
          </w:p>
        </w:tc>
        <w:tc>
          <w:tcPr>
            <w:tcW w:w="454" w:type="pct"/>
            <w:vMerge w:val="restart"/>
            <w:tcBorders>
              <w:top w:val="single" w:sz="4" w:space="0" w:color="FFFFFF" w:themeColor="background1"/>
              <w:left w:val="single" w:sz="8" w:space="0" w:color="FFFFFF"/>
              <w:bottom w:val="single" w:sz="8" w:space="0" w:color="FFFFFF"/>
              <w:right w:val="single" w:sz="8" w:space="0" w:color="FFFFFF"/>
            </w:tcBorders>
            <w:shd w:val="clear" w:color="000000" w:fill="C4BD97"/>
            <w:vAlign w:val="center"/>
            <w:hideMark/>
          </w:tcPr>
          <w:p w14:paraId="31B985C2" w14:textId="77777777" w:rsidR="00911770" w:rsidRPr="000668B8" w:rsidRDefault="00911770" w:rsidP="005A1544">
            <w:pPr>
              <w:spacing w:after="0" w:line="240" w:lineRule="auto"/>
              <w:jc w:val="center"/>
              <w:rPr>
                <w:rFonts w:cs="Calibri"/>
                <w:b/>
                <w:bCs/>
                <w:sz w:val="18"/>
                <w:szCs w:val="18"/>
                <w:lang w:eastAsia="sk-SK"/>
              </w:rPr>
            </w:pPr>
            <w:r w:rsidRPr="000668B8">
              <w:rPr>
                <w:rFonts w:cs="Calibri"/>
                <w:b/>
                <w:bCs/>
                <w:sz w:val="18"/>
                <w:szCs w:val="18"/>
                <w:lang w:eastAsia="sk-SK"/>
              </w:rPr>
              <w:t>VH po zdanení k 31.12.2020</w:t>
            </w:r>
          </w:p>
        </w:tc>
        <w:tc>
          <w:tcPr>
            <w:tcW w:w="462" w:type="pct"/>
            <w:vMerge w:val="restart"/>
            <w:tcBorders>
              <w:top w:val="single" w:sz="4" w:space="0" w:color="FFFFFF" w:themeColor="background1"/>
              <w:left w:val="single" w:sz="8" w:space="0" w:color="FFFFFF"/>
              <w:bottom w:val="single" w:sz="8" w:space="0" w:color="FFFFFF"/>
              <w:right w:val="single" w:sz="8" w:space="0" w:color="FFFFFF"/>
            </w:tcBorders>
            <w:shd w:val="clear" w:color="000000" w:fill="D9D9D9"/>
            <w:vAlign w:val="center"/>
            <w:hideMark/>
          </w:tcPr>
          <w:p w14:paraId="354D2C3C" w14:textId="77777777" w:rsidR="00911770" w:rsidRPr="000668B8" w:rsidRDefault="00911770" w:rsidP="005A1544">
            <w:pPr>
              <w:spacing w:after="0" w:line="240" w:lineRule="auto"/>
              <w:jc w:val="center"/>
              <w:rPr>
                <w:rFonts w:cs="Calibri"/>
                <w:b/>
                <w:bCs/>
                <w:sz w:val="18"/>
                <w:szCs w:val="18"/>
                <w:lang w:eastAsia="sk-SK"/>
              </w:rPr>
            </w:pPr>
            <w:r w:rsidRPr="000668B8">
              <w:rPr>
                <w:rFonts w:cs="Calibri"/>
                <w:b/>
                <w:bCs/>
                <w:sz w:val="18"/>
                <w:szCs w:val="18"/>
                <w:lang w:eastAsia="sk-SK"/>
              </w:rPr>
              <w:t>Spolu HV po zdanení za rok 2019</w:t>
            </w:r>
          </w:p>
        </w:tc>
      </w:tr>
      <w:tr w:rsidR="00911770" w:rsidRPr="000668B8" w14:paraId="29382579" w14:textId="77777777" w:rsidTr="00911770">
        <w:trPr>
          <w:trHeight w:val="315"/>
        </w:trPr>
        <w:tc>
          <w:tcPr>
            <w:tcW w:w="1781" w:type="pct"/>
            <w:tcBorders>
              <w:top w:val="nil"/>
              <w:left w:val="nil"/>
              <w:bottom w:val="nil"/>
              <w:right w:val="single" w:sz="8" w:space="0" w:color="FFFFFF"/>
            </w:tcBorders>
            <w:shd w:val="clear" w:color="000000" w:fill="8DB4E2"/>
            <w:vAlign w:val="center"/>
            <w:hideMark/>
          </w:tcPr>
          <w:p w14:paraId="53772F66" w14:textId="77777777" w:rsidR="00911770" w:rsidRPr="000668B8" w:rsidRDefault="00911770" w:rsidP="005A1544">
            <w:pPr>
              <w:spacing w:after="0" w:line="240" w:lineRule="auto"/>
              <w:rPr>
                <w:rFonts w:cs="Calibri"/>
                <w:b/>
                <w:bCs/>
                <w:sz w:val="24"/>
                <w:szCs w:val="24"/>
                <w:lang w:eastAsia="sk-SK"/>
              </w:rPr>
            </w:pPr>
            <w:r w:rsidRPr="000668B8">
              <w:rPr>
                <w:rFonts w:cs="Calibri"/>
                <w:b/>
                <w:bCs/>
                <w:sz w:val="24"/>
                <w:szCs w:val="24"/>
                <w:lang w:eastAsia="sk-SK"/>
              </w:rPr>
              <w:t xml:space="preserve"> Príspevková organizácia</w:t>
            </w:r>
          </w:p>
        </w:tc>
        <w:tc>
          <w:tcPr>
            <w:tcW w:w="454" w:type="pct"/>
            <w:vMerge/>
            <w:tcBorders>
              <w:top w:val="nil"/>
              <w:left w:val="single" w:sz="8" w:space="0" w:color="FFFFFF"/>
              <w:bottom w:val="single" w:sz="8" w:space="0" w:color="FFFFFF"/>
              <w:right w:val="single" w:sz="8" w:space="0" w:color="FFFFFF"/>
            </w:tcBorders>
            <w:vAlign w:val="center"/>
            <w:hideMark/>
          </w:tcPr>
          <w:p w14:paraId="1E624807" w14:textId="77777777" w:rsidR="00911770" w:rsidRPr="000668B8" w:rsidRDefault="00911770" w:rsidP="005A1544">
            <w:pPr>
              <w:spacing w:after="0" w:line="240" w:lineRule="auto"/>
              <w:rPr>
                <w:rFonts w:cs="Calibri"/>
                <w:b/>
                <w:bCs/>
                <w:sz w:val="18"/>
                <w:szCs w:val="18"/>
                <w:lang w:eastAsia="sk-SK"/>
              </w:rPr>
            </w:pPr>
          </w:p>
        </w:tc>
        <w:tc>
          <w:tcPr>
            <w:tcW w:w="454" w:type="pct"/>
            <w:vMerge/>
            <w:tcBorders>
              <w:top w:val="nil"/>
              <w:left w:val="single" w:sz="8" w:space="0" w:color="FFFFFF"/>
              <w:bottom w:val="single" w:sz="8" w:space="0" w:color="FFFFFF"/>
              <w:right w:val="single" w:sz="8" w:space="0" w:color="FFFFFF"/>
            </w:tcBorders>
            <w:vAlign w:val="center"/>
            <w:hideMark/>
          </w:tcPr>
          <w:p w14:paraId="3B720491" w14:textId="77777777" w:rsidR="00911770" w:rsidRPr="000668B8" w:rsidRDefault="00911770" w:rsidP="005A1544">
            <w:pPr>
              <w:spacing w:after="0" w:line="240" w:lineRule="auto"/>
              <w:rPr>
                <w:rFonts w:cs="Calibri"/>
                <w:b/>
                <w:bCs/>
                <w:sz w:val="18"/>
                <w:szCs w:val="18"/>
                <w:lang w:eastAsia="sk-SK"/>
              </w:rPr>
            </w:pPr>
          </w:p>
        </w:tc>
        <w:tc>
          <w:tcPr>
            <w:tcW w:w="462" w:type="pct"/>
            <w:vMerge/>
            <w:tcBorders>
              <w:top w:val="nil"/>
              <w:left w:val="single" w:sz="8" w:space="0" w:color="FFFFFF"/>
              <w:bottom w:val="single" w:sz="8" w:space="0" w:color="FFFFFF"/>
              <w:right w:val="single" w:sz="8" w:space="0" w:color="FFFFFF"/>
            </w:tcBorders>
            <w:vAlign w:val="center"/>
            <w:hideMark/>
          </w:tcPr>
          <w:p w14:paraId="20260838" w14:textId="77777777" w:rsidR="00911770" w:rsidRPr="000668B8" w:rsidRDefault="00911770" w:rsidP="005A1544">
            <w:pPr>
              <w:spacing w:after="0" w:line="240" w:lineRule="auto"/>
              <w:rPr>
                <w:rFonts w:cs="Calibri"/>
                <w:b/>
                <w:bCs/>
                <w:sz w:val="18"/>
                <w:szCs w:val="18"/>
                <w:lang w:eastAsia="sk-SK"/>
              </w:rPr>
            </w:pPr>
          </w:p>
        </w:tc>
        <w:tc>
          <w:tcPr>
            <w:tcW w:w="480" w:type="pct"/>
            <w:vMerge/>
            <w:tcBorders>
              <w:top w:val="nil"/>
              <w:left w:val="single" w:sz="8" w:space="0" w:color="FFFFFF"/>
              <w:bottom w:val="single" w:sz="8" w:space="0" w:color="FFFFFF"/>
              <w:right w:val="single" w:sz="8" w:space="0" w:color="FFFFFF"/>
            </w:tcBorders>
            <w:vAlign w:val="center"/>
            <w:hideMark/>
          </w:tcPr>
          <w:p w14:paraId="6E160224" w14:textId="77777777" w:rsidR="00911770" w:rsidRPr="000668B8" w:rsidRDefault="00911770" w:rsidP="005A1544">
            <w:pPr>
              <w:spacing w:after="0" w:line="240" w:lineRule="auto"/>
              <w:rPr>
                <w:rFonts w:cs="Calibri"/>
                <w:b/>
                <w:bCs/>
                <w:sz w:val="18"/>
                <w:szCs w:val="18"/>
                <w:lang w:eastAsia="sk-SK"/>
              </w:rPr>
            </w:pPr>
          </w:p>
        </w:tc>
        <w:tc>
          <w:tcPr>
            <w:tcW w:w="454" w:type="pct"/>
            <w:vMerge/>
            <w:tcBorders>
              <w:top w:val="nil"/>
              <w:left w:val="single" w:sz="8" w:space="0" w:color="FFFFFF"/>
              <w:bottom w:val="single" w:sz="8" w:space="0" w:color="FFFFFF"/>
              <w:right w:val="single" w:sz="8" w:space="0" w:color="FFFFFF"/>
            </w:tcBorders>
            <w:vAlign w:val="center"/>
            <w:hideMark/>
          </w:tcPr>
          <w:p w14:paraId="5D5D08F3" w14:textId="77777777" w:rsidR="00911770" w:rsidRPr="000668B8" w:rsidRDefault="00911770" w:rsidP="005A1544">
            <w:pPr>
              <w:spacing w:after="0" w:line="240" w:lineRule="auto"/>
              <w:rPr>
                <w:rFonts w:cs="Calibri"/>
                <w:b/>
                <w:bCs/>
                <w:sz w:val="18"/>
                <w:szCs w:val="18"/>
                <w:lang w:eastAsia="sk-SK"/>
              </w:rPr>
            </w:pPr>
          </w:p>
        </w:tc>
        <w:tc>
          <w:tcPr>
            <w:tcW w:w="454" w:type="pct"/>
            <w:vMerge/>
            <w:tcBorders>
              <w:top w:val="nil"/>
              <w:left w:val="single" w:sz="8" w:space="0" w:color="FFFFFF"/>
              <w:bottom w:val="single" w:sz="8" w:space="0" w:color="FFFFFF"/>
              <w:right w:val="single" w:sz="8" w:space="0" w:color="FFFFFF"/>
            </w:tcBorders>
            <w:vAlign w:val="center"/>
            <w:hideMark/>
          </w:tcPr>
          <w:p w14:paraId="552D4571" w14:textId="77777777" w:rsidR="00911770" w:rsidRPr="000668B8" w:rsidRDefault="00911770" w:rsidP="005A1544">
            <w:pPr>
              <w:spacing w:after="0" w:line="240" w:lineRule="auto"/>
              <w:rPr>
                <w:rFonts w:cs="Calibri"/>
                <w:b/>
                <w:bCs/>
                <w:sz w:val="18"/>
                <w:szCs w:val="18"/>
                <w:lang w:eastAsia="sk-SK"/>
              </w:rPr>
            </w:pPr>
          </w:p>
        </w:tc>
        <w:tc>
          <w:tcPr>
            <w:tcW w:w="462" w:type="pct"/>
            <w:vMerge/>
            <w:tcBorders>
              <w:top w:val="nil"/>
              <w:left w:val="single" w:sz="8" w:space="0" w:color="FFFFFF"/>
              <w:bottom w:val="single" w:sz="8" w:space="0" w:color="FFFFFF"/>
              <w:right w:val="single" w:sz="8" w:space="0" w:color="FFFFFF"/>
            </w:tcBorders>
            <w:vAlign w:val="center"/>
            <w:hideMark/>
          </w:tcPr>
          <w:p w14:paraId="44CDE0DC" w14:textId="77777777" w:rsidR="00911770" w:rsidRPr="000668B8" w:rsidRDefault="00911770" w:rsidP="005A1544">
            <w:pPr>
              <w:spacing w:after="0" w:line="240" w:lineRule="auto"/>
              <w:rPr>
                <w:rFonts w:cs="Calibri"/>
                <w:b/>
                <w:bCs/>
                <w:sz w:val="18"/>
                <w:szCs w:val="18"/>
                <w:lang w:eastAsia="sk-SK"/>
              </w:rPr>
            </w:pPr>
          </w:p>
        </w:tc>
      </w:tr>
      <w:tr w:rsidR="00911770" w:rsidRPr="000668B8" w14:paraId="13EC6AED" w14:textId="77777777" w:rsidTr="00911770">
        <w:trPr>
          <w:trHeight w:val="444"/>
        </w:trPr>
        <w:tc>
          <w:tcPr>
            <w:tcW w:w="1781" w:type="pct"/>
            <w:tcBorders>
              <w:top w:val="nil"/>
              <w:left w:val="nil"/>
              <w:bottom w:val="single" w:sz="8" w:space="0" w:color="FFFFFF"/>
              <w:right w:val="single" w:sz="8" w:space="0" w:color="FFFFFF"/>
            </w:tcBorders>
            <w:shd w:val="clear" w:color="000000" w:fill="8DB4E2"/>
            <w:vAlign w:val="center"/>
            <w:hideMark/>
          </w:tcPr>
          <w:p w14:paraId="6A026CB8" w14:textId="77777777" w:rsidR="00911770" w:rsidRPr="000668B8" w:rsidRDefault="00911770" w:rsidP="005A1544">
            <w:pPr>
              <w:spacing w:after="0" w:line="240" w:lineRule="auto"/>
              <w:jc w:val="center"/>
              <w:rPr>
                <w:rFonts w:cs="Calibri"/>
                <w:b/>
                <w:bCs/>
                <w:color w:val="FF0000"/>
                <w:sz w:val="18"/>
                <w:szCs w:val="18"/>
                <w:lang w:eastAsia="sk-SK"/>
              </w:rPr>
            </w:pPr>
          </w:p>
        </w:tc>
        <w:tc>
          <w:tcPr>
            <w:tcW w:w="454" w:type="pct"/>
            <w:vMerge/>
            <w:tcBorders>
              <w:top w:val="nil"/>
              <w:left w:val="single" w:sz="8" w:space="0" w:color="FFFFFF"/>
              <w:bottom w:val="single" w:sz="8" w:space="0" w:color="FFFFFF"/>
              <w:right w:val="single" w:sz="8" w:space="0" w:color="FFFFFF"/>
            </w:tcBorders>
            <w:vAlign w:val="center"/>
            <w:hideMark/>
          </w:tcPr>
          <w:p w14:paraId="7A11BFE8" w14:textId="77777777" w:rsidR="00911770" w:rsidRPr="000668B8" w:rsidRDefault="00911770" w:rsidP="005A1544">
            <w:pPr>
              <w:spacing w:after="0" w:line="240" w:lineRule="auto"/>
              <w:rPr>
                <w:rFonts w:cs="Calibri"/>
                <w:b/>
                <w:bCs/>
                <w:color w:val="FF0000"/>
                <w:sz w:val="18"/>
                <w:szCs w:val="18"/>
                <w:lang w:eastAsia="sk-SK"/>
              </w:rPr>
            </w:pPr>
          </w:p>
        </w:tc>
        <w:tc>
          <w:tcPr>
            <w:tcW w:w="454" w:type="pct"/>
            <w:vMerge/>
            <w:tcBorders>
              <w:top w:val="nil"/>
              <w:left w:val="single" w:sz="8" w:space="0" w:color="FFFFFF"/>
              <w:bottom w:val="single" w:sz="8" w:space="0" w:color="FFFFFF"/>
              <w:right w:val="single" w:sz="8" w:space="0" w:color="FFFFFF"/>
            </w:tcBorders>
            <w:vAlign w:val="center"/>
            <w:hideMark/>
          </w:tcPr>
          <w:p w14:paraId="15FC2B28" w14:textId="77777777" w:rsidR="00911770" w:rsidRPr="000668B8" w:rsidRDefault="00911770" w:rsidP="005A1544">
            <w:pPr>
              <w:spacing w:after="0" w:line="240" w:lineRule="auto"/>
              <w:rPr>
                <w:rFonts w:cs="Calibri"/>
                <w:b/>
                <w:bCs/>
                <w:color w:val="FF0000"/>
                <w:sz w:val="18"/>
                <w:szCs w:val="18"/>
                <w:lang w:eastAsia="sk-SK"/>
              </w:rPr>
            </w:pPr>
          </w:p>
        </w:tc>
        <w:tc>
          <w:tcPr>
            <w:tcW w:w="462" w:type="pct"/>
            <w:vMerge/>
            <w:tcBorders>
              <w:top w:val="nil"/>
              <w:left w:val="single" w:sz="8" w:space="0" w:color="FFFFFF"/>
              <w:bottom w:val="single" w:sz="8" w:space="0" w:color="FFFFFF"/>
              <w:right w:val="single" w:sz="8" w:space="0" w:color="FFFFFF"/>
            </w:tcBorders>
            <w:vAlign w:val="center"/>
            <w:hideMark/>
          </w:tcPr>
          <w:p w14:paraId="06106B63" w14:textId="77777777" w:rsidR="00911770" w:rsidRPr="000668B8" w:rsidRDefault="00911770" w:rsidP="005A1544">
            <w:pPr>
              <w:spacing w:after="0" w:line="240" w:lineRule="auto"/>
              <w:rPr>
                <w:rFonts w:cs="Calibri"/>
                <w:b/>
                <w:bCs/>
                <w:color w:val="FF0000"/>
                <w:sz w:val="18"/>
                <w:szCs w:val="18"/>
                <w:lang w:eastAsia="sk-SK"/>
              </w:rPr>
            </w:pPr>
          </w:p>
        </w:tc>
        <w:tc>
          <w:tcPr>
            <w:tcW w:w="480" w:type="pct"/>
            <w:vMerge/>
            <w:tcBorders>
              <w:top w:val="nil"/>
              <w:left w:val="single" w:sz="8" w:space="0" w:color="FFFFFF"/>
              <w:bottom w:val="single" w:sz="8" w:space="0" w:color="FFFFFF"/>
              <w:right w:val="single" w:sz="8" w:space="0" w:color="FFFFFF"/>
            </w:tcBorders>
            <w:vAlign w:val="center"/>
            <w:hideMark/>
          </w:tcPr>
          <w:p w14:paraId="3EF45DE0" w14:textId="77777777" w:rsidR="00911770" w:rsidRPr="000668B8" w:rsidRDefault="00911770" w:rsidP="005A1544">
            <w:pPr>
              <w:spacing w:after="0" w:line="240" w:lineRule="auto"/>
              <w:rPr>
                <w:rFonts w:cs="Calibri"/>
                <w:b/>
                <w:bCs/>
                <w:color w:val="FF0000"/>
                <w:sz w:val="18"/>
                <w:szCs w:val="18"/>
                <w:lang w:eastAsia="sk-SK"/>
              </w:rPr>
            </w:pPr>
          </w:p>
        </w:tc>
        <w:tc>
          <w:tcPr>
            <w:tcW w:w="454" w:type="pct"/>
            <w:vMerge/>
            <w:tcBorders>
              <w:top w:val="nil"/>
              <w:left w:val="single" w:sz="8" w:space="0" w:color="FFFFFF"/>
              <w:bottom w:val="single" w:sz="8" w:space="0" w:color="FFFFFF"/>
              <w:right w:val="single" w:sz="8" w:space="0" w:color="FFFFFF"/>
            </w:tcBorders>
            <w:vAlign w:val="center"/>
            <w:hideMark/>
          </w:tcPr>
          <w:p w14:paraId="3FC23AF5" w14:textId="77777777" w:rsidR="00911770" w:rsidRPr="000668B8" w:rsidRDefault="00911770" w:rsidP="005A1544">
            <w:pPr>
              <w:spacing w:after="0" w:line="240" w:lineRule="auto"/>
              <w:rPr>
                <w:rFonts w:cs="Calibri"/>
                <w:b/>
                <w:bCs/>
                <w:color w:val="FF0000"/>
                <w:sz w:val="18"/>
                <w:szCs w:val="18"/>
                <w:lang w:eastAsia="sk-SK"/>
              </w:rPr>
            </w:pPr>
          </w:p>
        </w:tc>
        <w:tc>
          <w:tcPr>
            <w:tcW w:w="454" w:type="pct"/>
            <w:vMerge/>
            <w:tcBorders>
              <w:top w:val="nil"/>
              <w:left w:val="single" w:sz="8" w:space="0" w:color="FFFFFF"/>
              <w:bottom w:val="single" w:sz="8" w:space="0" w:color="FFFFFF"/>
              <w:right w:val="single" w:sz="8" w:space="0" w:color="FFFFFF"/>
            </w:tcBorders>
            <w:vAlign w:val="center"/>
            <w:hideMark/>
          </w:tcPr>
          <w:p w14:paraId="195CA804" w14:textId="77777777" w:rsidR="00911770" w:rsidRPr="000668B8" w:rsidRDefault="00911770" w:rsidP="005A1544">
            <w:pPr>
              <w:spacing w:after="0" w:line="240" w:lineRule="auto"/>
              <w:rPr>
                <w:rFonts w:cs="Calibri"/>
                <w:b/>
                <w:bCs/>
                <w:color w:val="FF0000"/>
                <w:sz w:val="18"/>
                <w:szCs w:val="18"/>
                <w:lang w:eastAsia="sk-SK"/>
              </w:rPr>
            </w:pPr>
          </w:p>
        </w:tc>
        <w:tc>
          <w:tcPr>
            <w:tcW w:w="462" w:type="pct"/>
            <w:vMerge/>
            <w:tcBorders>
              <w:top w:val="nil"/>
              <w:left w:val="single" w:sz="8" w:space="0" w:color="FFFFFF"/>
              <w:bottom w:val="single" w:sz="8" w:space="0" w:color="FFFFFF"/>
              <w:right w:val="single" w:sz="8" w:space="0" w:color="FFFFFF"/>
            </w:tcBorders>
            <w:vAlign w:val="center"/>
            <w:hideMark/>
          </w:tcPr>
          <w:p w14:paraId="12A66138" w14:textId="77777777" w:rsidR="00911770" w:rsidRPr="000668B8" w:rsidRDefault="00911770" w:rsidP="005A1544">
            <w:pPr>
              <w:spacing w:after="0" w:line="240" w:lineRule="auto"/>
              <w:rPr>
                <w:rFonts w:cs="Calibri"/>
                <w:b/>
                <w:bCs/>
                <w:color w:val="FF0000"/>
                <w:sz w:val="18"/>
                <w:szCs w:val="18"/>
                <w:lang w:eastAsia="sk-SK"/>
              </w:rPr>
            </w:pPr>
          </w:p>
        </w:tc>
      </w:tr>
      <w:tr w:rsidR="00911770" w:rsidRPr="000668B8" w14:paraId="5A155271"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C4BD97"/>
            <w:vAlign w:val="bottom"/>
            <w:hideMark/>
          </w:tcPr>
          <w:p w14:paraId="6FCEC7CF" w14:textId="77777777" w:rsidR="00911770" w:rsidRPr="00940301" w:rsidRDefault="00911770" w:rsidP="005A1544">
            <w:pPr>
              <w:spacing w:after="0" w:line="240" w:lineRule="auto"/>
              <w:rPr>
                <w:rFonts w:cs="Calibri"/>
                <w:b/>
                <w:bCs/>
                <w:sz w:val="18"/>
                <w:szCs w:val="18"/>
              </w:rPr>
            </w:pPr>
            <w:r w:rsidRPr="00940301">
              <w:rPr>
                <w:rFonts w:asciiTheme="minorHAnsi" w:hAnsiTheme="minorHAnsi" w:cstheme="minorHAnsi"/>
                <w:b/>
                <w:bCs/>
                <w:sz w:val="18"/>
                <w:szCs w:val="18"/>
                <w:lang w:eastAsia="sk-SK"/>
              </w:rPr>
              <w:t>Kultúrne zariadenia</w:t>
            </w:r>
          </w:p>
        </w:tc>
        <w:tc>
          <w:tcPr>
            <w:tcW w:w="454" w:type="pct"/>
            <w:tcBorders>
              <w:top w:val="nil"/>
              <w:left w:val="nil"/>
              <w:bottom w:val="single" w:sz="8" w:space="0" w:color="FFFFFF"/>
              <w:right w:val="single" w:sz="8" w:space="0" w:color="FFFFFF"/>
            </w:tcBorders>
            <w:shd w:val="clear" w:color="000000" w:fill="C4BD97"/>
            <w:vAlign w:val="bottom"/>
            <w:hideMark/>
          </w:tcPr>
          <w:p w14:paraId="6AD43580" w14:textId="77777777" w:rsidR="00911770" w:rsidRPr="00940301" w:rsidRDefault="00911770" w:rsidP="005A1544">
            <w:pPr>
              <w:spacing w:after="0"/>
              <w:jc w:val="right"/>
              <w:rPr>
                <w:rFonts w:cs="Calibri"/>
                <w:b/>
                <w:bCs/>
                <w:sz w:val="18"/>
                <w:szCs w:val="18"/>
              </w:rPr>
            </w:pPr>
            <w:r w:rsidRPr="00940301">
              <w:rPr>
                <w:rFonts w:cs="Calibri"/>
                <w:b/>
                <w:bCs/>
                <w:sz w:val="18"/>
                <w:szCs w:val="18"/>
              </w:rPr>
              <w:t>30 047</w:t>
            </w:r>
          </w:p>
        </w:tc>
        <w:tc>
          <w:tcPr>
            <w:tcW w:w="454" w:type="pct"/>
            <w:tcBorders>
              <w:top w:val="nil"/>
              <w:left w:val="nil"/>
              <w:bottom w:val="single" w:sz="8" w:space="0" w:color="FFFFFF"/>
              <w:right w:val="single" w:sz="8" w:space="0" w:color="FFFFFF"/>
            </w:tcBorders>
            <w:shd w:val="clear" w:color="000000" w:fill="C4BD97"/>
            <w:vAlign w:val="bottom"/>
            <w:hideMark/>
          </w:tcPr>
          <w:p w14:paraId="6A155F84" w14:textId="77777777" w:rsidR="00911770" w:rsidRPr="00940301" w:rsidRDefault="00911770" w:rsidP="005A1544">
            <w:pPr>
              <w:spacing w:after="0"/>
              <w:jc w:val="right"/>
              <w:rPr>
                <w:rFonts w:cs="Calibri"/>
                <w:b/>
                <w:bCs/>
                <w:sz w:val="18"/>
                <w:szCs w:val="18"/>
              </w:rPr>
            </w:pPr>
            <w:r w:rsidRPr="00940301">
              <w:rPr>
                <w:rFonts w:cs="Calibri"/>
                <w:b/>
                <w:bCs/>
                <w:sz w:val="18"/>
                <w:szCs w:val="18"/>
              </w:rPr>
              <w:t>29 953</w:t>
            </w:r>
          </w:p>
        </w:tc>
        <w:tc>
          <w:tcPr>
            <w:tcW w:w="462" w:type="pct"/>
            <w:tcBorders>
              <w:top w:val="nil"/>
              <w:left w:val="nil"/>
              <w:bottom w:val="single" w:sz="8" w:space="0" w:color="FFFFFF"/>
              <w:right w:val="single" w:sz="8" w:space="0" w:color="FFFFFF"/>
            </w:tcBorders>
            <w:shd w:val="clear" w:color="000000" w:fill="C4BD97"/>
            <w:vAlign w:val="bottom"/>
            <w:hideMark/>
          </w:tcPr>
          <w:p w14:paraId="50FE3A12" w14:textId="77777777" w:rsidR="00911770" w:rsidRPr="00940301" w:rsidRDefault="00911770" w:rsidP="005A1544">
            <w:pPr>
              <w:spacing w:after="0"/>
              <w:jc w:val="right"/>
              <w:rPr>
                <w:rFonts w:cs="Calibri"/>
                <w:b/>
                <w:bCs/>
                <w:sz w:val="18"/>
                <w:szCs w:val="18"/>
              </w:rPr>
            </w:pPr>
            <w:r w:rsidRPr="00940301">
              <w:rPr>
                <w:rFonts w:cs="Calibri"/>
                <w:b/>
                <w:bCs/>
                <w:sz w:val="18"/>
                <w:szCs w:val="18"/>
              </w:rPr>
              <w:t>0</w:t>
            </w:r>
          </w:p>
        </w:tc>
        <w:tc>
          <w:tcPr>
            <w:tcW w:w="480" w:type="pct"/>
            <w:tcBorders>
              <w:top w:val="nil"/>
              <w:left w:val="nil"/>
              <w:bottom w:val="single" w:sz="8" w:space="0" w:color="FFFFFF"/>
              <w:right w:val="single" w:sz="8" w:space="0" w:color="FFFFFF"/>
            </w:tcBorders>
            <w:shd w:val="clear" w:color="000000" w:fill="C4BD97"/>
            <w:vAlign w:val="bottom"/>
            <w:hideMark/>
          </w:tcPr>
          <w:p w14:paraId="4406ACB1" w14:textId="77777777" w:rsidR="00911770" w:rsidRPr="00940301" w:rsidRDefault="00911770" w:rsidP="005A1544">
            <w:pPr>
              <w:spacing w:after="0"/>
              <w:jc w:val="right"/>
              <w:rPr>
                <w:rFonts w:cs="Calibri"/>
                <w:b/>
                <w:bCs/>
                <w:sz w:val="18"/>
                <w:szCs w:val="18"/>
              </w:rPr>
            </w:pPr>
            <w:r w:rsidRPr="00940301">
              <w:rPr>
                <w:rFonts w:cs="Calibri"/>
                <w:b/>
                <w:bCs/>
                <w:sz w:val="18"/>
                <w:szCs w:val="18"/>
              </w:rPr>
              <w:t>0</w:t>
            </w:r>
          </w:p>
        </w:tc>
        <w:tc>
          <w:tcPr>
            <w:tcW w:w="454" w:type="pct"/>
            <w:tcBorders>
              <w:top w:val="nil"/>
              <w:left w:val="nil"/>
              <w:bottom w:val="single" w:sz="8" w:space="0" w:color="FFFFFF"/>
              <w:right w:val="single" w:sz="8" w:space="0" w:color="FFFFFF"/>
            </w:tcBorders>
            <w:shd w:val="clear" w:color="000000" w:fill="C4BD97"/>
            <w:vAlign w:val="bottom"/>
            <w:hideMark/>
          </w:tcPr>
          <w:p w14:paraId="4F1BC835" w14:textId="77777777" w:rsidR="00911770" w:rsidRPr="00940301" w:rsidRDefault="00911770" w:rsidP="005A1544">
            <w:pPr>
              <w:spacing w:after="0"/>
              <w:jc w:val="right"/>
              <w:rPr>
                <w:rFonts w:cs="Calibri"/>
                <w:b/>
                <w:bCs/>
                <w:sz w:val="18"/>
                <w:szCs w:val="18"/>
              </w:rPr>
            </w:pPr>
            <w:r w:rsidRPr="00940301">
              <w:rPr>
                <w:rFonts w:cs="Calibri"/>
                <w:b/>
                <w:bCs/>
                <w:sz w:val="18"/>
                <w:szCs w:val="18"/>
              </w:rPr>
              <w:t>30 047</w:t>
            </w:r>
          </w:p>
        </w:tc>
        <w:tc>
          <w:tcPr>
            <w:tcW w:w="454" w:type="pct"/>
            <w:tcBorders>
              <w:top w:val="nil"/>
              <w:left w:val="nil"/>
              <w:bottom w:val="single" w:sz="8" w:space="0" w:color="FFFFFF"/>
              <w:right w:val="single" w:sz="8" w:space="0" w:color="FFFFFF"/>
            </w:tcBorders>
            <w:shd w:val="clear" w:color="000000" w:fill="C4BD97"/>
            <w:vAlign w:val="bottom"/>
            <w:hideMark/>
          </w:tcPr>
          <w:p w14:paraId="77DC8526" w14:textId="77777777" w:rsidR="00911770" w:rsidRPr="00940301" w:rsidRDefault="00911770" w:rsidP="005A1544">
            <w:pPr>
              <w:spacing w:after="0"/>
              <w:jc w:val="right"/>
              <w:rPr>
                <w:rFonts w:cs="Calibri"/>
                <w:b/>
                <w:bCs/>
                <w:sz w:val="18"/>
                <w:szCs w:val="18"/>
              </w:rPr>
            </w:pPr>
            <w:r w:rsidRPr="00940301">
              <w:rPr>
                <w:rFonts w:cs="Calibri"/>
                <w:b/>
                <w:bCs/>
                <w:sz w:val="18"/>
                <w:szCs w:val="18"/>
              </w:rPr>
              <w:t>29 953</w:t>
            </w:r>
          </w:p>
        </w:tc>
        <w:tc>
          <w:tcPr>
            <w:tcW w:w="462" w:type="pct"/>
            <w:tcBorders>
              <w:top w:val="nil"/>
              <w:left w:val="nil"/>
              <w:bottom w:val="single" w:sz="8" w:space="0" w:color="FFFFFF"/>
              <w:right w:val="single" w:sz="8" w:space="0" w:color="FFFFFF"/>
            </w:tcBorders>
            <w:shd w:val="clear" w:color="000000" w:fill="D9D9D9"/>
            <w:vAlign w:val="bottom"/>
            <w:hideMark/>
          </w:tcPr>
          <w:p w14:paraId="61ECF239" w14:textId="77777777" w:rsidR="00911770" w:rsidRPr="00940301" w:rsidRDefault="00911770" w:rsidP="005A1544">
            <w:pPr>
              <w:spacing w:after="0"/>
              <w:jc w:val="right"/>
              <w:rPr>
                <w:rFonts w:cs="Calibri"/>
                <w:b/>
                <w:bCs/>
                <w:sz w:val="18"/>
                <w:szCs w:val="18"/>
              </w:rPr>
            </w:pPr>
            <w:r w:rsidRPr="00940301">
              <w:rPr>
                <w:rFonts w:cs="Calibri"/>
                <w:b/>
                <w:bCs/>
                <w:sz w:val="18"/>
                <w:szCs w:val="18"/>
              </w:rPr>
              <w:t>73 543</w:t>
            </w:r>
          </w:p>
        </w:tc>
      </w:tr>
      <w:tr w:rsidR="00911770" w:rsidRPr="000668B8" w14:paraId="6673EBB1"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7F089BCE" w14:textId="77777777" w:rsidR="00911770" w:rsidRPr="00940301" w:rsidRDefault="00911770" w:rsidP="005A1544">
            <w:pPr>
              <w:spacing w:after="0"/>
              <w:rPr>
                <w:rFonts w:cs="Calibri"/>
                <w:sz w:val="18"/>
                <w:szCs w:val="18"/>
              </w:rPr>
            </w:pPr>
            <w:r w:rsidRPr="00940301">
              <w:rPr>
                <w:rFonts w:cs="Calibri"/>
                <w:sz w:val="18"/>
                <w:szCs w:val="18"/>
              </w:rPr>
              <w:t>Bratislavské bábkové divadlo</w:t>
            </w:r>
          </w:p>
        </w:tc>
        <w:tc>
          <w:tcPr>
            <w:tcW w:w="454" w:type="pct"/>
            <w:tcBorders>
              <w:top w:val="nil"/>
              <w:left w:val="nil"/>
              <w:bottom w:val="single" w:sz="8" w:space="0" w:color="FFFFFF"/>
              <w:right w:val="single" w:sz="8" w:space="0" w:color="FFFFFF"/>
            </w:tcBorders>
            <w:shd w:val="clear" w:color="000000" w:fill="F2F2F2"/>
            <w:noWrap/>
            <w:vAlign w:val="bottom"/>
            <w:hideMark/>
          </w:tcPr>
          <w:p w14:paraId="084E171D" w14:textId="77777777" w:rsidR="00911770" w:rsidRPr="00940301" w:rsidRDefault="00911770" w:rsidP="005A1544">
            <w:pPr>
              <w:spacing w:after="0"/>
              <w:jc w:val="right"/>
              <w:rPr>
                <w:rFonts w:cs="Calibri"/>
                <w:sz w:val="18"/>
                <w:szCs w:val="18"/>
              </w:rPr>
            </w:pPr>
            <w:r w:rsidRPr="00940301">
              <w:rPr>
                <w:rFonts w:cs="Calibri"/>
                <w:sz w:val="18"/>
                <w:szCs w:val="18"/>
              </w:rPr>
              <w:t>29 567</w:t>
            </w:r>
          </w:p>
        </w:tc>
        <w:tc>
          <w:tcPr>
            <w:tcW w:w="454" w:type="pct"/>
            <w:tcBorders>
              <w:top w:val="nil"/>
              <w:left w:val="nil"/>
              <w:bottom w:val="single" w:sz="8" w:space="0" w:color="FFFFFF"/>
              <w:right w:val="single" w:sz="8" w:space="0" w:color="FFFFFF"/>
            </w:tcBorders>
            <w:shd w:val="clear" w:color="000000" w:fill="C4BD97"/>
            <w:noWrap/>
            <w:vAlign w:val="bottom"/>
            <w:hideMark/>
          </w:tcPr>
          <w:p w14:paraId="36D96EF4" w14:textId="77777777" w:rsidR="00911770" w:rsidRPr="00940301" w:rsidRDefault="00911770" w:rsidP="005A1544">
            <w:pPr>
              <w:spacing w:after="0"/>
              <w:jc w:val="right"/>
              <w:rPr>
                <w:rFonts w:cs="Calibri"/>
                <w:sz w:val="18"/>
                <w:szCs w:val="18"/>
              </w:rPr>
            </w:pPr>
            <w:r w:rsidRPr="00940301">
              <w:rPr>
                <w:rFonts w:cs="Calibri"/>
                <w:sz w:val="18"/>
                <w:szCs w:val="18"/>
              </w:rPr>
              <w:t>29 473</w:t>
            </w:r>
          </w:p>
        </w:tc>
        <w:tc>
          <w:tcPr>
            <w:tcW w:w="462" w:type="pct"/>
            <w:tcBorders>
              <w:top w:val="nil"/>
              <w:left w:val="nil"/>
              <w:bottom w:val="single" w:sz="8" w:space="0" w:color="FFFFFF"/>
              <w:right w:val="single" w:sz="8" w:space="0" w:color="FFFFFF"/>
            </w:tcBorders>
            <w:shd w:val="clear" w:color="000000" w:fill="F2F2F2"/>
            <w:noWrap/>
            <w:vAlign w:val="bottom"/>
            <w:hideMark/>
          </w:tcPr>
          <w:p w14:paraId="4E82620D"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7AF87DA3"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29F8CC27" w14:textId="77777777" w:rsidR="00911770" w:rsidRPr="00940301" w:rsidRDefault="00911770" w:rsidP="005A1544">
            <w:pPr>
              <w:spacing w:after="0"/>
              <w:jc w:val="right"/>
              <w:rPr>
                <w:rFonts w:cs="Calibri"/>
                <w:sz w:val="18"/>
                <w:szCs w:val="18"/>
              </w:rPr>
            </w:pPr>
            <w:r w:rsidRPr="00940301">
              <w:rPr>
                <w:rFonts w:cs="Calibri"/>
                <w:sz w:val="18"/>
                <w:szCs w:val="18"/>
              </w:rPr>
              <w:t>29 567</w:t>
            </w:r>
          </w:p>
        </w:tc>
        <w:tc>
          <w:tcPr>
            <w:tcW w:w="454" w:type="pct"/>
            <w:tcBorders>
              <w:top w:val="nil"/>
              <w:left w:val="nil"/>
              <w:bottom w:val="single" w:sz="8" w:space="0" w:color="FFFFFF"/>
              <w:right w:val="single" w:sz="8" w:space="0" w:color="FFFFFF"/>
            </w:tcBorders>
            <w:shd w:val="clear" w:color="000000" w:fill="C4BD97"/>
            <w:noWrap/>
            <w:vAlign w:val="bottom"/>
            <w:hideMark/>
          </w:tcPr>
          <w:p w14:paraId="48BCCA69" w14:textId="77777777" w:rsidR="00911770" w:rsidRPr="00940301" w:rsidRDefault="00911770" w:rsidP="005A1544">
            <w:pPr>
              <w:spacing w:after="0"/>
              <w:jc w:val="right"/>
              <w:rPr>
                <w:rFonts w:cs="Calibri"/>
                <w:sz w:val="18"/>
                <w:szCs w:val="18"/>
              </w:rPr>
            </w:pPr>
            <w:r w:rsidRPr="00940301">
              <w:rPr>
                <w:rFonts w:cs="Calibri"/>
                <w:sz w:val="18"/>
                <w:szCs w:val="18"/>
              </w:rPr>
              <w:t>29 473</w:t>
            </w:r>
          </w:p>
        </w:tc>
        <w:tc>
          <w:tcPr>
            <w:tcW w:w="462" w:type="pct"/>
            <w:tcBorders>
              <w:top w:val="nil"/>
              <w:left w:val="nil"/>
              <w:bottom w:val="single" w:sz="8" w:space="0" w:color="FFFFFF"/>
              <w:right w:val="single" w:sz="8" w:space="0" w:color="FFFFFF"/>
            </w:tcBorders>
            <w:shd w:val="clear" w:color="000000" w:fill="D9D9D9"/>
            <w:vAlign w:val="bottom"/>
            <w:hideMark/>
          </w:tcPr>
          <w:p w14:paraId="0DADFA9C" w14:textId="77777777" w:rsidR="00911770" w:rsidRPr="00940301" w:rsidRDefault="00911770" w:rsidP="005A1544">
            <w:pPr>
              <w:spacing w:after="0"/>
              <w:jc w:val="right"/>
              <w:rPr>
                <w:rFonts w:cs="Calibri"/>
                <w:sz w:val="18"/>
                <w:szCs w:val="18"/>
              </w:rPr>
            </w:pPr>
            <w:r w:rsidRPr="00940301">
              <w:rPr>
                <w:rFonts w:cs="Calibri"/>
                <w:sz w:val="18"/>
                <w:szCs w:val="18"/>
              </w:rPr>
              <w:t>104 042</w:t>
            </w:r>
          </w:p>
        </w:tc>
      </w:tr>
      <w:tr w:rsidR="00911770" w:rsidRPr="000668B8" w14:paraId="59076069"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0825C7E9" w14:textId="77777777" w:rsidR="00911770" w:rsidRPr="00940301" w:rsidRDefault="00911770" w:rsidP="005A1544">
            <w:pPr>
              <w:spacing w:after="0"/>
              <w:rPr>
                <w:rFonts w:cs="Calibri"/>
                <w:sz w:val="18"/>
                <w:szCs w:val="18"/>
              </w:rPr>
            </w:pPr>
            <w:r w:rsidRPr="00940301">
              <w:rPr>
                <w:rFonts w:cs="Calibri"/>
                <w:sz w:val="18"/>
                <w:szCs w:val="18"/>
              </w:rPr>
              <w:t>Divadlo ARÉNA</w:t>
            </w:r>
          </w:p>
        </w:tc>
        <w:tc>
          <w:tcPr>
            <w:tcW w:w="454" w:type="pct"/>
            <w:tcBorders>
              <w:top w:val="nil"/>
              <w:left w:val="nil"/>
              <w:bottom w:val="single" w:sz="8" w:space="0" w:color="FFFFFF"/>
              <w:right w:val="single" w:sz="8" w:space="0" w:color="FFFFFF"/>
            </w:tcBorders>
            <w:shd w:val="clear" w:color="000000" w:fill="F2F2F2"/>
            <w:noWrap/>
            <w:vAlign w:val="bottom"/>
            <w:hideMark/>
          </w:tcPr>
          <w:p w14:paraId="2C72EA9F" w14:textId="77777777" w:rsidR="00911770" w:rsidRPr="00940301" w:rsidRDefault="00911770" w:rsidP="005A1544">
            <w:pPr>
              <w:spacing w:after="0"/>
              <w:jc w:val="right"/>
              <w:rPr>
                <w:rFonts w:cs="Calibri"/>
                <w:sz w:val="18"/>
                <w:szCs w:val="18"/>
              </w:rPr>
            </w:pPr>
            <w:r w:rsidRPr="00940301">
              <w:rPr>
                <w:rFonts w:cs="Calibri"/>
                <w:sz w:val="18"/>
                <w:szCs w:val="18"/>
              </w:rPr>
              <w:t>20 300</w:t>
            </w:r>
          </w:p>
        </w:tc>
        <w:tc>
          <w:tcPr>
            <w:tcW w:w="454" w:type="pct"/>
            <w:tcBorders>
              <w:top w:val="nil"/>
              <w:left w:val="nil"/>
              <w:bottom w:val="single" w:sz="8" w:space="0" w:color="FFFFFF"/>
              <w:right w:val="single" w:sz="8" w:space="0" w:color="FFFFFF"/>
            </w:tcBorders>
            <w:shd w:val="clear" w:color="000000" w:fill="C4BD97"/>
            <w:noWrap/>
            <w:vAlign w:val="bottom"/>
            <w:hideMark/>
          </w:tcPr>
          <w:p w14:paraId="4F9F9959" w14:textId="77777777" w:rsidR="00911770" w:rsidRPr="00940301" w:rsidRDefault="00911770" w:rsidP="005A1544">
            <w:pPr>
              <w:spacing w:after="0"/>
              <w:jc w:val="right"/>
              <w:rPr>
                <w:rFonts w:cs="Calibri"/>
                <w:sz w:val="18"/>
                <w:szCs w:val="18"/>
              </w:rPr>
            </w:pPr>
            <w:r w:rsidRPr="00940301">
              <w:rPr>
                <w:rFonts w:cs="Calibri"/>
                <w:sz w:val="18"/>
                <w:szCs w:val="18"/>
              </w:rPr>
              <w:t>20 300</w:t>
            </w:r>
          </w:p>
        </w:tc>
        <w:tc>
          <w:tcPr>
            <w:tcW w:w="462" w:type="pct"/>
            <w:tcBorders>
              <w:top w:val="nil"/>
              <w:left w:val="nil"/>
              <w:bottom w:val="single" w:sz="8" w:space="0" w:color="FFFFFF"/>
              <w:right w:val="single" w:sz="8" w:space="0" w:color="FFFFFF"/>
            </w:tcBorders>
            <w:shd w:val="clear" w:color="000000" w:fill="F2F2F2"/>
            <w:noWrap/>
            <w:vAlign w:val="bottom"/>
            <w:hideMark/>
          </w:tcPr>
          <w:p w14:paraId="38CABF07"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550F4543"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45E0ED63" w14:textId="77777777" w:rsidR="00911770" w:rsidRPr="00940301" w:rsidRDefault="00911770" w:rsidP="005A1544">
            <w:pPr>
              <w:spacing w:after="0"/>
              <w:jc w:val="right"/>
              <w:rPr>
                <w:rFonts w:cs="Calibri"/>
                <w:sz w:val="18"/>
                <w:szCs w:val="18"/>
              </w:rPr>
            </w:pPr>
            <w:r w:rsidRPr="00940301">
              <w:rPr>
                <w:rFonts w:cs="Calibri"/>
                <w:sz w:val="18"/>
                <w:szCs w:val="18"/>
              </w:rPr>
              <w:t>20 300</w:t>
            </w:r>
          </w:p>
        </w:tc>
        <w:tc>
          <w:tcPr>
            <w:tcW w:w="454" w:type="pct"/>
            <w:tcBorders>
              <w:top w:val="nil"/>
              <w:left w:val="nil"/>
              <w:bottom w:val="single" w:sz="8" w:space="0" w:color="FFFFFF"/>
              <w:right w:val="single" w:sz="8" w:space="0" w:color="FFFFFF"/>
            </w:tcBorders>
            <w:shd w:val="clear" w:color="000000" w:fill="C4BD97"/>
            <w:noWrap/>
            <w:vAlign w:val="bottom"/>
            <w:hideMark/>
          </w:tcPr>
          <w:p w14:paraId="60FFC4D5" w14:textId="77777777" w:rsidR="00911770" w:rsidRPr="00940301" w:rsidRDefault="00911770" w:rsidP="005A1544">
            <w:pPr>
              <w:spacing w:after="0"/>
              <w:jc w:val="right"/>
              <w:rPr>
                <w:rFonts w:cs="Calibri"/>
                <w:sz w:val="18"/>
                <w:szCs w:val="18"/>
              </w:rPr>
            </w:pPr>
            <w:r w:rsidRPr="00940301">
              <w:rPr>
                <w:rFonts w:cs="Calibri"/>
                <w:sz w:val="18"/>
                <w:szCs w:val="18"/>
              </w:rPr>
              <w:t>20 300</w:t>
            </w:r>
          </w:p>
        </w:tc>
        <w:tc>
          <w:tcPr>
            <w:tcW w:w="462" w:type="pct"/>
            <w:tcBorders>
              <w:top w:val="nil"/>
              <w:left w:val="nil"/>
              <w:bottom w:val="single" w:sz="8" w:space="0" w:color="FFFFFF"/>
              <w:right w:val="single" w:sz="8" w:space="0" w:color="FFFFFF"/>
            </w:tcBorders>
            <w:shd w:val="clear" w:color="000000" w:fill="D9D9D9"/>
            <w:vAlign w:val="bottom"/>
            <w:hideMark/>
          </w:tcPr>
          <w:p w14:paraId="4F2EFF5D" w14:textId="77777777" w:rsidR="00911770" w:rsidRPr="00940301" w:rsidRDefault="00911770" w:rsidP="005A1544">
            <w:pPr>
              <w:spacing w:after="0"/>
              <w:jc w:val="right"/>
              <w:rPr>
                <w:rFonts w:cs="Calibri"/>
                <w:sz w:val="18"/>
                <w:szCs w:val="18"/>
              </w:rPr>
            </w:pPr>
            <w:r w:rsidRPr="00940301">
              <w:rPr>
                <w:rFonts w:cs="Calibri"/>
                <w:sz w:val="18"/>
                <w:szCs w:val="18"/>
              </w:rPr>
              <w:t>-44 788</w:t>
            </w:r>
          </w:p>
        </w:tc>
      </w:tr>
      <w:tr w:rsidR="00911770" w:rsidRPr="000668B8" w14:paraId="007C3D42"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0B0A7CE1" w14:textId="77777777" w:rsidR="00911770" w:rsidRPr="00940301" w:rsidRDefault="00911770" w:rsidP="005A1544">
            <w:pPr>
              <w:spacing w:after="0"/>
              <w:rPr>
                <w:rFonts w:cs="Calibri"/>
                <w:sz w:val="18"/>
                <w:szCs w:val="18"/>
              </w:rPr>
            </w:pPr>
            <w:r w:rsidRPr="00940301">
              <w:rPr>
                <w:rFonts w:cs="Calibri"/>
                <w:sz w:val="18"/>
                <w:szCs w:val="18"/>
              </w:rPr>
              <w:t>Malokarpatská knižnica v Pezinku</w:t>
            </w:r>
          </w:p>
        </w:tc>
        <w:tc>
          <w:tcPr>
            <w:tcW w:w="454" w:type="pct"/>
            <w:tcBorders>
              <w:top w:val="nil"/>
              <w:left w:val="nil"/>
              <w:bottom w:val="single" w:sz="8" w:space="0" w:color="FFFFFF"/>
              <w:right w:val="single" w:sz="8" w:space="0" w:color="FFFFFF"/>
            </w:tcBorders>
            <w:shd w:val="clear" w:color="000000" w:fill="F2F2F2"/>
            <w:noWrap/>
            <w:vAlign w:val="bottom"/>
            <w:hideMark/>
          </w:tcPr>
          <w:p w14:paraId="2C658A52" w14:textId="77777777" w:rsidR="00911770" w:rsidRPr="00940301" w:rsidRDefault="00911770" w:rsidP="005A1544">
            <w:pPr>
              <w:spacing w:after="0"/>
              <w:jc w:val="right"/>
              <w:rPr>
                <w:rFonts w:cs="Calibri"/>
                <w:sz w:val="18"/>
                <w:szCs w:val="18"/>
              </w:rPr>
            </w:pPr>
            <w:r w:rsidRPr="00940301">
              <w:rPr>
                <w:rFonts w:cs="Calibri"/>
                <w:sz w:val="18"/>
                <w:szCs w:val="18"/>
              </w:rPr>
              <w:t>1 042</w:t>
            </w:r>
          </w:p>
        </w:tc>
        <w:tc>
          <w:tcPr>
            <w:tcW w:w="454" w:type="pct"/>
            <w:tcBorders>
              <w:top w:val="nil"/>
              <w:left w:val="nil"/>
              <w:bottom w:val="single" w:sz="8" w:space="0" w:color="FFFFFF"/>
              <w:right w:val="single" w:sz="8" w:space="0" w:color="FFFFFF"/>
            </w:tcBorders>
            <w:shd w:val="clear" w:color="000000" w:fill="C4BD97"/>
            <w:noWrap/>
            <w:vAlign w:val="bottom"/>
            <w:hideMark/>
          </w:tcPr>
          <w:p w14:paraId="4E7849AC" w14:textId="77777777" w:rsidR="00911770" w:rsidRPr="00940301" w:rsidRDefault="00911770" w:rsidP="005A1544">
            <w:pPr>
              <w:spacing w:after="0"/>
              <w:jc w:val="right"/>
              <w:rPr>
                <w:rFonts w:cs="Calibri"/>
                <w:sz w:val="18"/>
                <w:szCs w:val="18"/>
              </w:rPr>
            </w:pPr>
            <w:r w:rsidRPr="00940301">
              <w:rPr>
                <w:rFonts w:cs="Calibri"/>
                <w:sz w:val="18"/>
                <w:szCs w:val="18"/>
              </w:rPr>
              <w:t>1 042</w:t>
            </w:r>
          </w:p>
        </w:tc>
        <w:tc>
          <w:tcPr>
            <w:tcW w:w="462" w:type="pct"/>
            <w:tcBorders>
              <w:top w:val="nil"/>
              <w:left w:val="nil"/>
              <w:bottom w:val="single" w:sz="8" w:space="0" w:color="FFFFFF"/>
              <w:right w:val="single" w:sz="8" w:space="0" w:color="FFFFFF"/>
            </w:tcBorders>
            <w:shd w:val="clear" w:color="000000" w:fill="F2F2F2"/>
            <w:noWrap/>
            <w:vAlign w:val="bottom"/>
            <w:hideMark/>
          </w:tcPr>
          <w:p w14:paraId="77AF3C2C"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18A46B62"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76B84AC4" w14:textId="77777777" w:rsidR="00911770" w:rsidRPr="00940301" w:rsidRDefault="00911770" w:rsidP="005A1544">
            <w:pPr>
              <w:spacing w:after="0"/>
              <w:jc w:val="right"/>
              <w:rPr>
                <w:rFonts w:cs="Calibri"/>
                <w:sz w:val="18"/>
                <w:szCs w:val="18"/>
              </w:rPr>
            </w:pPr>
            <w:r w:rsidRPr="00940301">
              <w:rPr>
                <w:rFonts w:cs="Calibri"/>
                <w:sz w:val="18"/>
                <w:szCs w:val="18"/>
              </w:rPr>
              <w:t>1 042</w:t>
            </w:r>
          </w:p>
        </w:tc>
        <w:tc>
          <w:tcPr>
            <w:tcW w:w="454" w:type="pct"/>
            <w:tcBorders>
              <w:top w:val="nil"/>
              <w:left w:val="nil"/>
              <w:bottom w:val="single" w:sz="8" w:space="0" w:color="FFFFFF"/>
              <w:right w:val="single" w:sz="8" w:space="0" w:color="FFFFFF"/>
            </w:tcBorders>
            <w:shd w:val="clear" w:color="000000" w:fill="C4BD97"/>
            <w:noWrap/>
            <w:vAlign w:val="bottom"/>
            <w:hideMark/>
          </w:tcPr>
          <w:p w14:paraId="17193BF0" w14:textId="77777777" w:rsidR="00911770" w:rsidRPr="00940301" w:rsidRDefault="00911770" w:rsidP="005A1544">
            <w:pPr>
              <w:spacing w:after="0"/>
              <w:jc w:val="right"/>
              <w:rPr>
                <w:rFonts w:cs="Calibri"/>
                <w:sz w:val="18"/>
                <w:szCs w:val="18"/>
              </w:rPr>
            </w:pPr>
            <w:r w:rsidRPr="00940301">
              <w:rPr>
                <w:rFonts w:cs="Calibri"/>
                <w:sz w:val="18"/>
                <w:szCs w:val="18"/>
              </w:rPr>
              <w:t>1 042</w:t>
            </w:r>
          </w:p>
        </w:tc>
        <w:tc>
          <w:tcPr>
            <w:tcW w:w="462" w:type="pct"/>
            <w:tcBorders>
              <w:top w:val="nil"/>
              <w:left w:val="nil"/>
              <w:bottom w:val="single" w:sz="8" w:space="0" w:color="FFFFFF"/>
              <w:right w:val="single" w:sz="8" w:space="0" w:color="FFFFFF"/>
            </w:tcBorders>
            <w:shd w:val="clear" w:color="000000" w:fill="D9D9D9"/>
            <w:vAlign w:val="bottom"/>
            <w:hideMark/>
          </w:tcPr>
          <w:p w14:paraId="3E1D2E0B" w14:textId="77777777" w:rsidR="00911770" w:rsidRPr="00940301" w:rsidRDefault="00911770" w:rsidP="005A1544">
            <w:pPr>
              <w:spacing w:after="0"/>
              <w:jc w:val="right"/>
              <w:rPr>
                <w:rFonts w:cs="Calibri"/>
                <w:sz w:val="18"/>
                <w:szCs w:val="18"/>
              </w:rPr>
            </w:pPr>
            <w:r w:rsidRPr="00940301">
              <w:rPr>
                <w:rFonts w:cs="Calibri"/>
                <w:sz w:val="18"/>
                <w:szCs w:val="18"/>
              </w:rPr>
              <w:t>-3 251</w:t>
            </w:r>
          </w:p>
        </w:tc>
      </w:tr>
      <w:tr w:rsidR="00911770" w:rsidRPr="000668B8" w14:paraId="6ED498DD"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3946B79D" w14:textId="77777777" w:rsidR="00911770" w:rsidRPr="00940301" w:rsidRDefault="00911770" w:rsidP="005A1544">
            <w:pPr>
              <w:spacing w:after="0"/>
              <w:rPr>
                <w:rFonts w:cs="Calibri"/>
                <w:sz w:val="18"/>
                <w:szCs w:val="18"/>
              </w:rPr>
            </w:pPr>
            <w:r w:rsidRPr="00940301">
              <w:rPr>
                <w:rFonts w:cs="Calibri"/>
                <w:sz w:val="18"/>
                <w:szCs w:val="18"/>
              </w:rPr>
              <w:t>Malokarpatské osvetové stredisko v Modre</w:t>
            </w:r>
          </w:p>
        </w:tc>
        <w:tc>
          <w:tcPr>
            <w:tcW w:w="454" w:type="pct"/>
            <w:tcBorders>
              <w:top w:val="nil"/>
              <w:left w:val="nil"/>
              <w:bottom w:val="single" w:sz="8" w:space="0" w:color="FFFFFF"/>
              <w:right w:val="single" w:sz="8" w:space="0" w:color="FFFFFF"/>
            </w:tcBorders>
            <w:shd w:val="clear" w:color="000000" w:fill="F2F2F2"/>
            <w:noWrap/>
            <w:vAlign w:val="bottom"/>
            <w:hideMark/>
          </w:tcPr>
          <w:p w14:paraId="68FEC312" w14:textId="77777777" w:rsidR="00911770" w:rsidRPr="00940301" w:rsidRDefault="00911770" w:rsidP="005A1544">
            <w:pPr>
              <w:spacing w:after="0"/>
              <w:jc w:val="right"/>
              <w:rPr>
                <w:rFonts w:cs="Calibri"/>
                <w:sz w:val="18"/>
                <w:szCs w:val="18"/>
              </w:rPr>
            </w:pPr>
            <w:r w:rsidRPr="00940301">
              <w:rPr>
                <w:rFonts w:cs="Calibri"/>
                <w:sz w:val="18"/>
                <w:szCs w:val="18"/>
              </w:rPr>
              <w:t>-365</w:t>
            </w:r>
          </w:p>
        </w:tc>
        <w:tc>
          <w:tcPr>
            <w:tcW w:w="454" w:type="pct"/>
            <w:tcBorders>
              <w:top w:val="nil"/>
              <w:left w:val="nil"/>
              <w:bottom w:val="single" w:sz="8" w:space="0" w:color="FFFFFF"/>
              <w:right w:val="single" w:sz="8" w:space="0" w:color="FFFFFF"/>
            </w:tcBorders>
            <w:shd w:val="clear" w:color="000000" w:fill="C4BD97"/>
            <w:noWrap/>
            <w:vAlign w:val="bottom"/>
            <w:hideMark/>
          </w:tcPr>
          <w:p w14:paraId="108E8852" w14:textId="77777777" w:rsidR="00911770" w:rsidRPr="00940301" w:rsidRDefault="00911770" w:rsidP="005A1544">
            <w:pPr>
              <w:spacing w:after="0"/>
              <w:jc w:val="right"/>
              <w:rPr>
                <w:rFonts w:cs="Calibri"/>
                <w:sz w:val="18"/>
                <w:szCs w:val="18"/>
              </w:rPr>
            </w:pPr>
            <w:r w:rsidRPr="00940301">
              <w:rPr>
                <w:rFonts w:cs="Calibri"/>
                <w:sz w:val="18"/>
                <w:szCs w:val="18"/>
              </w:rPr>
              <w:t>-365</w:t>
            </w:r>
          </w:p>
        </w:tc>
        <w:tc>
          <w:tcPr>
            <w:tcW w:w="462" w:type="pct"/>
            <w:tcBorders>
              <w:top w:val="nil"/>
              <w:left w:val="nil"/>
              <w:bottom w:val="single" w:sz="8" w:space="0" w:color="FFFFFF"/>
              <w:right w:val="single" w:sz="8" w:space="0" w:color="FFFFFF"/>
            </w:tcBorders>
            <w:shd w:val="clear" w:color="000000" w:fill="F2F2F2"/>
            <w:noWrap/>
            <w:vAlign w:val="bottom"/>
            <w:hideMark/>
          </w:tcPr>
          <w:p w14:paraId="47107227"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5CF81D21"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35826876" w14:textId="77777777" w:rsidR="00911770" w:rsidRPr="00940301" w:rsidRDefault="00911770" w:rsidP="005A1544">
            <w:pPr>
              <w:spacing w:after="0"/>
              <w:jc w:val="right"/>
              <w:rPr>
                <w:rFonts w:cs="Calibri"/>
                <w:sz w:val="18"/>
                <w:szCs w:val="18"/>
              </w:rPr>
            </w:pPr>
            <w:r w:rsidRPr="00940301">
              <w:rPr>
                <w:rFonts w:cs="Calibri"/>
                <w:sz w:val="18"/>
                <w:szCs w:val="18"/>
              </w:rPr>
              <w:t>-365</w:t>
            </w:r>
          </w:p>
        </w:tc>
        <w:tc>
          <w:tcPr>
            <w:tcW w:w="454" w:type="pct"/>
            <w:tcBorders>
              <w:top w:val="nil"/>
              <w:left w:val="nil"/>
              <w:bottom w:val="single" w:sz="8" w:space="0" w:color="FFFFFF"/>
              <w:right w:val="single" w:sz="8" w:space="0" w:color="FFFFFF"/>
            </w:tcBorders>
            <w:shd w:val="clear" w:color="000000" w:fill="C4BD97"/>
            <w:noWrap/>
            <w:vAlign w:val="bottom"/>
            <w:hideMark/>
          </w:tcPr>
          <w:p w14:paraId="66EE38CD" w14:textId="77777777" w:rsidR="00911770" w:rsidRPr="00940301" w:rsidRDefault="00911770" w:rsidP="005A1544">
            <w:pPr>
              <w:spacing w:after="0"/>
              <w:jc w:val="right"/>
              <w:rPr>
                <w:rFonts w:cs="Calibri"/>
                <w:sz w:val="18"/>
                <w:szCs w:val="18"/>
              </w:rPr>
            </w:pPr>
            <w:r w:rsidRPr="00940301">
              <w:rPr>
                <w:rFonts w:cs="Calibri"/>
                <w:sz w:val="18"/>
                <w:szCs w:val="18"/>
              </w:rPr>
              <w:t>-365</w:t>
            </w:r>
          </w:p>
        </w:tc>
        <w:tc>
          <w:tcPr>
            <w:tcW w:w="462" w:type="pct"/>
            <w:tcBorders>
              <w:top w:val="nil"/>
              <w:left w:val="nil"/>
              <w:bottom w:val="single" w:sz="8" w:space="0" w:color="FFFFFF"/>
              <w:right w:val="single" w:sz="8" w:space="0" w:color="FFFFFF"/>
            </w:tcBorders>
            <w:shd w:val="clear" w:color="000000" w:fill="D9D9D9"/>
            <w:vAlign w:val="bottom"/>
            <w:hideMark/>
          </w:tcPr>
          <w:p w14:paraId="5C060AAE" w14:textId="77777777" w:rsidR="00911770" w:rsidRPr="00940301" w:rsidRDefault="00911770" w:rsidP="005A1544">
            <w:pPr>
              <w:spacing w:after="0"/>
              <w:jc w:val="right"/>
              <w:rPr>
                <w:rFonts w:cs="Calibri"/>
                <w:sz w:val="18"/>
                <w:szCs w:val="18"/>
              </w:rPr>
            </w:pPr>
            <w:r w:rsidRPr="00940301">
              <w:rPr>
                <w:rFonts w:cs="Calibri"/>
                <w:sz w:val="18"/>
                <w:szCs w:val="18"/>
              </w:rPr>
              <w:t>-19 717</w:t>
            </w:r>
          </w:p>
        </w:tc>
      </w:tr>
      <w:tr w:rsidR="00911770" w:rsidRPr="000668B8" w14:paraId="74C4F560"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6CF94673" w14:textId="77777777" w:rsidR="00911770" w:rsidRPr="00940301" w:rsidRDefault="00911770" w:rsidP="005A1544">
            <w:pPr>
              <w:spacing w:after="0"/>
              <w:rPr>
                <w:rFonts w:cs="Calibri"/>
                <w:sz w:val="18"/>
                <w:szCs w:val="18"/>
              </w:rPr>
            </w:pPr>
            <w:r w:rsidRPr="00940301">
              <w:rPr>
                <w:rFonts w:cs="Calibri"/>
                <w:sz w:val="18"/>
                <w:szCs w:val="18"/>
              </w:rPr>
              <w:t>Divadlo ASTORKA Korzo ´90</w:t>
            </w:r>
          </w:p>
        </w:tc>
        <w:tc>
          <w:tcPr>
            <w:tcW w:w="454" w:type="pct"/>
            <w:tcBorders>
              <w:top w:val="nil"/>
              <w:left w:val="nil"/>
              <w:bottom w:val="single" w:sz="8" w:space="0" w:color="FFFFFF"/>
              <w:right w:val="single" w:sz="8" w:space="0" w:color="FFFFFF"/>
            </w:tcBorders>
            <w:shd w:val="clear" w:color="000000" w:fill="F2F2F2"/>
            <w:noWrap/>
            <w:vAlign w:val="bottom"/>
            <w:hideMark/>
          </w:tcPr>
          <w:p w14:paraId="3210A6D5" w14:textId="77777777" w:rsidR="00911770" w:rsidRPr="00940301" w:rsidRDefault="00911770" w:rsidP="005A1544">
            <w:pPr>
              <w:spacing w:after="0"/>
              <w:jc w:val="right"/>
              <w:rPr>
                <w:rFonts w:cs="Calibri"/>
                <w:sz w:val="18"/>
                <w:szCs w:val="18"/>
              </w:rPr>
            </w:pPr>
            <w:r w:rsidRPr="00940301">
              <w:rPr>
                <w:rFonts w:cs="Calibri"/>
                <w:sz w:val="18"/>
                <w:szCs w:val="18"/>
              </w:rPr>
              <w:t>-3 266</w:t>
            </w:r>
          </w:p>
        </w:tc>
        <w:tc>
          <w:tcPr>
            <w:tcW w:w="454" w:type="pct"/>
            <w:tcBorders>
              <w:top w:val="nil"/>
              <w:left w:val="nil"/>
              <w:bottom w:val="single" w:sz="8" w:space="0" w:color="FFFFFF"/>
              <w:right w:val="single" w:sz="8" w:space="0" w:color="FFFFFF"/>
            </w:tcBorders>
            <w:shd w:val="clear" w:color="000000" w:fill="C4BD97"/>
            <w:noWrap/>
            <w:vAlign w:val="bottom"/>
            <w:hideMark/>
          </w:tcPr>
          <w:p w14:paraId="43DD195D" w14:textId="77777777" w:rsidR="00911770" w:rsidRPr="00940301" w:rsidRDefault="00911770" w:rsidP="005A1544">
            <w:pPr>
              <w:spacing w:after="0"/>
              <w:jc w:val="right"/>
              <w:rPr>
                <w:rFonts w:cs="Calibri"/>
                <w:sz w:val="18"/>
                <w:szCs w:val="18"/>
              </w:rPr>
            </w:pPr>
            <w:r w:rsidRPr="00940301">
              <w:rPr>
                <w:rFonts w:cs="Calibri"/>
                <w:sz w:val="18"/>
                <w:szCs w:val="18"/>
              </w:rPr>
              <w:t>-3 266</w:t>
            </w:r>
          </w:p>
        </w:tc>
        <w:tc>
          <w:tcPr>
            <w:tcW w:w="462" w:type="pct"/>
            <w:tcBorders>
              <w:top w:val="nil"/>
              <w:left w:val="nil"/>
              <w:bottom w:val="single" w:sz="8" w:space="0" w:color="FFFFFF"/>
              <w:right w:val="single" w:sz="8" w:space="0" w:color="FFFFFF"/>
            </w:tcBorders>
            <w:shd w:val="clear" w:color="000000" w:fill="F2F2F2"/>
            <w:noWrap/>
            <w:vAlign w:val="bottom"/>
            <w:hideMark/>
          </w:tcPr>
          <w:p w14:paraId="1422D26A"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16EEE6E1"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661C0C52" w14:textId="77777777" w:rsidR="00911770" w:rsidRPr="00940301" w:rsidRDefault="00911770" w:rsidP="005A1544">
            <w:pPr>
              <w:spacing w:after="0"/>
              <w:jc w:val="right"/>
              <w:rPr>
                <w:rFonts w:cs="Calibri"/>
                <w:sz w:val="18"/>
                <w:szCs w:val="18"/>
              </w:rPr>
            </w:pPr>
            <w:r w:rsidRPr="00940301">
              <w:rPr>
                <w:rFonts w:cs="Calibri"/>
                <w:sz w:val="18"/>
                <w:szCs w:val="18"/>
              </w:rPr>
              <w:t>-3 266</w:t>
            </w:r>
          </w:p>
        </w:tc>
        <w:tc>
          <w:tcPr>
            <w:tcW w:w="454" w:type="pct"/>
            <w:tcBorders>
              <w:top w:val="nil"/>
              <w:left w:val="nil"/>
              <w:bottom w:val="single" w:sz="8" w:space="0" w:color="FFFFFF"/>
              <w:right w:val="single" w:sz="8" w:space="0" w:color="FFFFFF"/>
            </w:tcBorders>
            <w:shd w:val="clear" w:color="000000" w:fill="C4BD97"/>
            <w:noWrap/>
            <w:vAlign w:val="bottom"/>
            <w:hideMark/>
          </w:tcPr>
          <w:p w14:paraId="5D1183AC" w14:textId="77777777" w:rsidR="00911770" w:rsidRPr="00940301" w:rsidRDefault="00911770" w:rsidP="005A1544">
            <w:pPr>
              <w:spacing w:after="0"/>
              <w:jc w:val="right"/>
              <w:rPr>
                <w:rFonts w:cs="Calibri"/>
                <w:sz w:val="18"/>
                <w:szCs w:val="18"/>
              </w:rPr>
            </w:pPr>
            <w:r w:rsidRPr="00940301">
              <w:rPr>
                <w:rFonts w:cs="Calibri"/>
                <w:sz w:val="18"/>
                <w:szCs w:val="18"/>
              </w:rPr>
              <w:t>-3 266</w:t>
            </w:r>
          </w:p>
        </w:tc>
        <w:tc>
          <w:tcPr>
            <w:tcW w:w="462" w:type="pct"/>
            <w:tcBorders>
              <w:top w:val="nil"/>
              <w:left w:val="nil"/>
              <w:bottom w:val="single" w:sz="8" w:space="0" w:color="FFFFFF"/>
              <w:right w:val="single" w:sz="8" w:space="0" w:color="FFFFFF"/>
            </w:tcBorders>
            <w:shd w:val="clear" w:color="000000" w:fill="D9D9D9"/>
            <w:vAlign w:val="bottom"/>
            <w:hideMark/>
          </w:tcPr>
          <w:p w14:paraId="03F54E2E" w14:textId="77777777" w:rsidR="00911770" w:rsidRPr="00940301" w:rsidRDefault="00911770" w:rsidP="005A1544">
            <w:pPr>
              <w:spacing w:after="0"/>
              <w:jc w:val="right"/>
              <w:rPr>
                <w:rFonts w:cs="Calibri"/>
                <w:sz w:val="18"/>
                <w:szCs w:val="18"/>
              </w:rPr>
            </w:pPr>
            <w:r w:rsidRPr="00940301">
              <w:rPr>
                <w:rFonts w:cs="Calibri"/>
                <w:sz w:val="18"/>
                <w:szCs w:val="18"/>
              </w:rPr>
              <w:t>31</w:t>
            </w:r>
          </w:p>
        </w:tc>
      </w:tr>
      <w:tr w:rsidR="00911770" w:rsidRPr="000668B8" w14:paraId="384F299A"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43066CB2" w14:textId="77777777" w:rsidR="00911770" w:rsidRPr="00940301" w:rsidRDefault="00911770" w:rsidP="005A1544">
            <w:pPr>
              <w:spacing w:after="0"/>
              <w:rPr>
                <w:rFonts w:cs="Calibri"/>
                <w:sz w:val="18"/>
                <w:szCs w:val="18"/>
              </w:rPr>
            </w:pPr>
            <w:r w:rsidRPr="00940301">
              <w:rPr>
                <w:rFonts w:cs="Calibri"/>
                <w:sz w:val="18"/>
                <w:szCs w:val="18"/>
              </w:rPr>
              <w:t>Malokarpatské múzeum v Pezinku</w:t>
            </w:r>
          </w:p>
        </w:tc>
        <w:tc>
          <w:tcPr>
            <w:tcW w:w="454" w:type="pct"/>
            <w:tcBorders>
              <w:top w:val="nil"/>
              <w:left w:val="nil"/>
              <w:bottom w:val="single" w:sz="8" w:space="0" w:color="FFFFFF"/>
              <w:right w:val="single" w:sz="8" w:space="0" w:color="FFFFFF"/>
            </w:tcBorders>
            <w:shd w:val="clear" w:color="000000" w:fill="F2F2F2"/>
            <w:noWrap/>
            <w:vAlign w:val="bottom"/>
            <w:hideMark/>
          </w:tcPr>
          <w:p w14:paraId="6884B636" w14:textId="77777777" w:rsidR="00911770" w:rsidRPr="00940301" w:rsidRDefault="00911770" w:rsidP="005A1544">
            <w:pPr>
              <w:spacing w:after="0"/>
              <w:jc w:val="right"/>
              <w:rPr>
                <w:rFonts w:cs="Calibri"/>
                <w:sz w:val="18"/>
                <w:szCs w:val="18"/>
              </w:rPr>
            </w:pPr>
            <w:r w:rsidRPr="00940301">
              <w:rPr>
                <w:rFonts w:cs="Calibri"/>
                <w:sz w:val="18"/>
                <w:szCs w:val="18"/>
              </w:rPr>
              <w:t>-6 946</w:t>
            </w:r>
          </w:p>
        </w:tc>
        <w:tc>
          <w:tcPr>
            <w:tcW w:w="454" w:type="pct"/>
            <w:tcBorders>
              <w:top w:val="nil"/>
              <w:left w:val="nil"/>
              <w:bottom w:val="single" w:sz="8" w:space="0" w:color="FFFFFF"/>
              <w:right w:val="single" w:sz="8" w:space="0" w:color="FFFFFF"/>
            </w:tcBorders>
            <w:shd w:val="clear" w:color="000000" w:fill="C4BD97"/>
            <w:noWrap/>
            <w:vAlign w:val="bottom"/>
            <w:hideMark/>
          </w:tcPr>
          <w:p w14:paraId="464F35BF" w14:textId="77777777" w:rsidR="00911770" w:rsidRPr="00940301" w:rsidRDefault="00911770" w:rsidP="005A1544">
            <w:pPr>
              <w:spacing w:after="0"/>
              <w:jc w:val="right"/>
              <w:rPr>
                <w:rFonts w:cs="Calibri"/>
                <w:sz w:val="18"/>
                <w:szCs w:val="18"/>
              </w:rPr>
            </w:pPr>
            <w:r w:rsidRPr="00940301">
              <w:rPr>
                <w:rFonts w:cs="Calibri"/>
                <w:sz w:val="18"/>
                <w:szCs w:val="18"/>
              </w:rPr>
              <w:t>-6 946</w:t>
            </w:r>
          </w:p>
        </w:tc>
        <w:tc>
          <w:tcPr>
            <w:tcW w:w="462" w:type="pct"/>
            <w:tcBorders>
              <w:top w:val="nil"/>
              <w:left w:val="nil"/>
              <w:bottom w:val="single" w:sz="8" w:space="0" w:color="FFFFFF"/>
              <w:right w:val="single" w:sz="8" w:space="0" w:color="FFFFFF"/>
            </w:tcBorders>
            <w:shd w:val="clear" w:color="000000" w:fill="F2F2F2"/>
            <w:noWrap/>
            <w:vAlign w:val="bottom"/>
            <w:hideMark/>
          </w:tcPr>
          <w:p w14:paraId="67CDAB17"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58296EDD"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488F0880" w14:textId="77777777" w:rsidR="00911770" w:rsidRPr="00940301" w:rsidRDefault="00911770" w:rsidP="005A1544">
            <w:pPr>
              <w:spacing w:after="0"/>
              <w:jc w:val="right"/>
              <w:rPr>
                <w:rFonts w:cs="Calibri"/>
                <w:sz w:val="18"/>
                <w:szCs w:val="18"/>
              </w:rPr>
            </w:pPr>
            <w:r w:rsidRPr="00940301">
              <w:rPr>
                <w:rFonts w:cs="Calibri"/>
                <w:sz w:val="18"/>
                <w:szCs w:val="18"/>
              </w:rPr>
              <w:t>-6 946</w:t>
            </w:r>
          </w:p>
        </w:tc>
        <w:tc>
          <w:tcPr>
            <w:tcW w:w="454" w:type="pct"/>
            <w:tcBorders>
              <w:top w:val="nil"/>
              <w:left w:val="nil"/>
              <w:bottom w:val="single" w:sz="8" w:space="0" w:color="FFFFFF"/>
              <w:right w:val="single" w:sz="8" w:space="0" w:color="FFFFFF"/>
            </w:tcBorders>
            <w:shd w:val="clear" w:color="000000" w:fill="C4BD97"/>
            <w:noWrap/>
            <w:vAlign w:val="bottom"/>
            <w:hideMark/>
          </w:tcPr>
          <w:p w14:paraId="3245E5C6" w14:textId="77777777" w:rsidR="00911770" w:rsidRPr="00940301" w:rsidRDefault="00911770" w:rsidP="005A1544">
            <w:pPr>
              <w:spacing w:after="0"/>
              <w:jc w:val="right"/>
              <w:rPr>
                <w:rFonts w:cs="Calibri"/>
                <w:sz w:val="18"/>
                <w:szCs w:val="18"/>
              </w:rPr>
            </w:pPr>
            <w:r w:rsidRPr="00940301">
              <w:rPr>
                <w:rFonts w:cs="Calibri"/>
                <w:sz w:val="18"/>
                <w:szCs w:val="18"/>
              </w:rPr>
              <w:t>-6 946</w:t>
            </w:r>
          </w:p>
        </w:tc>
        <w:tc>
          <w:tcPr>
            <w:tcW w:w="462" w:type="pct"/>
            <w:tcBorders>
              <w:top w:val="nil"/>
              <w:left w:val="nil"/>
              <w:bottom w:val="single" w:sz="8" w:space="0" w:color="FFFFFF"/>
              <w:right w:val="single" w:sz="8" w:space="0" w:color="FFFFFF"/>
            </w:tcBorders>
            <w:shd w:val="clear" w:color="000000" w:fill="D9D9D9"/>
            <w:vAlign w:val="bottom"/>
            <w:hideMark/>
          </w:tcPr>
          <w:p w14:paraId="3E8CBD83" w14:textId="77777777" w:rsidR="00911770" w:rsidRPr="00940301" w:rsidRDefault="00911770" w:rsidP="005A1544">
            <w:pPr>
              <w:spacing w:after="0"/>
              <w:jc w:val="right"/>
              <w:rPr>
                <w:rFonts w:cs="Calibri"/>
                <w:sz w:val="18"/>
                <w:szCs w:val="18"/>
              </w:rPr>
            </w:pPr>
            <w:r w:rsidRPr="00940301">
              <w:rPr>
                <w:rFonts w:cs="Calibri"/>
                <w:sz w:val="18"/>
                <w:szCs w:val="18"/>
              </w:rPr>
              <w:t>17 861</w:t>
            </w:r>
          </w:p>
        </w:tc>
      </w:tr>
      <w:tr w:rsidR="00911770" w:rsidRPr="000668B8" w14:paraId="35DC8B31"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4FFBB8B5" w14:textId="77777777" w:rsidR="00911770" w:rsidRPr="00940301" w:rsidRDefault="00911770" w:rsidP="005A1544">
            <w:pPr>
              <w:spacing w:after="0"/>
              <w:rPr>
                <w:rFonts w:cs="Calibri"/>
                <w:sz w:val="18"/>
                <w:szCs w:val="18"/>
              </w:rPr>
            </w:pPr>
            <w:r w:rsidRPr="00940301">
              <w:rPr>
                <w:rFonts w:cs="Calibri"/>
                <w:sz w:val="18"/>
                <w:szCs w:val="18"/>
              </w:rPr>
              <w:t>Divadlo LUDUS</w:t>
            </w:r>
          </w:p>
        </w:tc>
        <w:tc>
          <w:tcPr>
            <w:tcW w:w="454" w:type="pct"/>
            <w:tcBorders>
              <w:top w:val="nil"/>
              <w:left w:val="nil"/>
              <w:bottom w:val="single" w:sz="8" w:space="0" w:color="FFFFFF"/>
              <w:right w:val="single" w:sz="8" w:space="0" w:color="FFFFFF"/>
            </w:tcBorders>
            <w:shd w:val="clear" w:color="000000" w:fill="F2F2F2"/>
            <w:noWrap/>
            <w:vAlign w:val="bottom"/>
            <w:hideMark/>
          </w:tcPr>
          <w:p w14:paraId="06E9E7B3" w14:textId="77777777" w:rsidR="00911770" w:rsidRPr="00940301" w:rsidRDefault="00911770" w:rsidP="005A1544">
            <w:pPr>
              <w:spacing w:after="0"/>
              <w:jc w:val="right"/>
              <w:rPr>
                <w:rFonts w:cs="Calibri"/>
                <w:sz w:val="18"/>
                <w:szCs w:val="18"/>
              </w:rPr>
            </w:pPr>
            <w:r w:rsidRPr="00940301">
              <w:rPr>
                <w:rFonts w:cs="Calibri"/>
                <w:sz w:val="18"/>
                <w:szCs w:val="18"/>
              </w:rPr>
              <w:t>-10 286</w:t>
            </w:r>
          </w:p>
        </w:tc>
        <w:tc>
          <w:tcPr>
            <w:tcW w:w="454" w:type="pct"/>
            <w:tcBorders>
              <w:top w:val="nil"/>
              <w:left w:val="nil"/>
              <w:bottom w:val="single" w:sz="8" w:space="0" w:color="FFFFFF"/>
              <w:right w:val="single" w:sz="8" w:space="0" w:color="FFFFFF"/>
            </w:tcBorders>
            <w:shd w:val="clear" w:color="000000" w:fill="C4BD97"/>
            <w:noWrap/>
            <w:vAlign w:val="bottom"/>
            <w:hideMark/>
          </w:tcPr>
          <w:p w14:paraId="566A7FBD" w14:textId="77777777" w:rsidR="00911770" w:rsidRPr="00940301" w:rsidRDefault="00911770" w:rsidP="005A1544">
            <w:pPr>
              <w:spacing w:after="0"/>
              <w:jc w:val="right"/>
              <w:rPr>
                <w:rFonts w:cs="Calibri"/>
                <w:sz w:val="18"/>
                <w:szCs w:val="18"/>
              </w:rPr>
            </w:pPr>
            <w:r w:rsidRPr="00940301">
              <w:rPr>
                <w:rFonts w:cs="Calibri"/>
                <w:sz w:val="18"/>
                <w:szCs w:val="18"/>
              </w:rPr>
              <w:t>-10 286</w:t>
            </w:r>
          </w:p>
        </w:tc>
        <w:tc>
          <w:tcPr>
            <w:tcW w:w="462" w:type="pct"/>
            <w:tcBorders>
              <w:top w:val="nil"/>
              <w:left w:val="nil"/>
              <w:bottom w:val="single" w:sz="8" w:space="0" w:color="FFFFFF"/>
              <w:right w:val="single" w:sz="8" w:space="0" w:color="FFFFFF"/>
            </w:tcBorders>
            <w:shd w:val="clear" w:color="000000" w:fill="F2F2F2"/>
            <w:noWrap/>
            <w:vAlign w:val="bottom"/>
            <w:hideMark/>
          </w:tcPr>
          <w:p w14:paraId="4EB35AF6"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51B57F62"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3AE4C1A5" w14:textId="77777777" w:rsidR="00911770" w:rsidRPr="00940301" w:rsidRDefault="00911770" w:rsidP="005A1544">
            <w:pPr>
              <w:spacing w:after="0"/>
              <w:jc w:val="right"/>
              <w:rPr>
                <w:rFonts w:cs="Calibri"/>
                <w:sz w:val="18"/>
                <w:szCs w:val="18"/>
              </w:rPr>
            </w:pPr>
            <w:r w:rsidRPr="00940301">
              <w:rPr>
                <w:rFonts w:cs="Calibri"/>
                <w:sz w:val="18"/>
                <w:szCs w:val="18"/>
              </w:rPr>
              <w:t>-10 286</w:t>
            </w:r>
          </w:p>
        </w:tc>
        <w:tc>
          <w:tcPr>
            <w:tcW w:w="454" w:type="pct"/>
            <w:tcBorders>
              <w:top w:val="nil"/>
              <w:left w:val="nil"/>
              <w:bottom w:val="single" w:sz="8" w:space="0" w:color="FFFFFF"/>
              <w:right w:val="single" w:sz="8" w:space="0" w:color="FFFFFF"/>
            </w:tcBorders>
            <w:shd w:val="clear" w:color="000000" w:fill="C4BD97"/>
            <w:noWrap/>
            <w:vAlign w:val="bottom"/>
            <w:hideMark/>
          </w:tcPr>
          <w:p w14:paraId="74E5B81F" w14:textId="77777777" w:rsidR="00911770" w:rsidRPr="00940301" w:rsidRDefault="00911770" w:rsidP="005A1544">
            <w:pPr>
              <w:spacing w:after="0"/>
              <w:jc w:val="right"/>
              <w:rPr>
                <w:rFonts w:cs="Calibri"/>
                <w:sz w:val="18"/>
                <w:szCs w:val="18"/>
              </w:rPr>
            </w:pPr>
            <w:r w:rsidRPr="00940301">
              <w:rPr>
                <w:rFonts w:cs="Calibri"/>
                <w:sz w:val="18"/>
                <w:szCs w:val="18"/>
              </w:rPr>
              <w:t>-10 286</w:t>
            </w:r>
          </w:p>
        </w:tc>
        <w:tc>
          <w:tcPr>
            <w:tcW w:w="462" w:type="pct"/>
            <w:tcBorders>
              <w:top w:val="nil"/>
              <w:left w:val="nil"/>
              <w:bottom w:val="single" w:sz="8" w:space="0" w:color="FFFFFF"/>
              <w:right w:val="single" w:sz="8" w:space="0" w:color="FFFFFF"/>
            </w:tcBorders>
            <w:shd w:val="clear" w:color="000000" w:fill="D9D9D9"/>
            <w:vAlign w:val="bottom"/>
            <w:hideMark/>
          </w:tcPr>
          <w:p w14:paraId="2BD56DA8" w14:textId="77777777" w:rsidR="00911770" w:rsidRPr="00940301" w:rsidRDefault="00911770" w:rsidP="005A1544">
            <w:pPr>
              <w:spacing w:after="0"/>
              <w:jc w:val="right"/>
              <w:rPr>
                <w:rFonts w:cs="Calibri"/>
                <w:sz w:val="18"/>
                <w:szCs w:val="18"/>
              </w:rPr>
            </w:pPr>
            <w:r w:rsidRPr="00940301">
              <w:rPr>
                <w:rFonts w:cs="Calibri"/>
                <w:sz w:val="18"/>
                <w:szCs w:val="18"/>
              </w:rPr>
              <w:t>19 366</w:t>
            </w:r>
          </w:p>
        </w:tc>
      </w:tr>
      <w:tr w:rsidR="00911770" w:rsidRPr="000668B8" w14:paraId="20CF0481"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C4BD97"/>
            <w:vAlign w:val="bottom"/>
            <w:hideMark/>
          </w:tcPr>
          <w:p w14:paraId="68D4A360" w14:textId="77777777" w:rsidR="00911770" w:rsidRPr="00940301" w:rsidRDefault="00911770" w:rsidP="005A1544">
            <w:pPr>
              <w:spacing w:after="0"/>
              <w:rPr>
                <w:rFonts w:cs="Calibri"/>
                <w:b/>
                <w:bCs/>
                <w:sz w:val="18"/>
                <w:szCs w:val="18"/>
              </w:rPr>
            </w:pPr>
            <w:r w:rsidRPr="00940301">
              <w:rPr>
                <w:rFonts w:asciiTheme="minorHAnsi" w:hAnsiTheme="minorHAnsi" w:cstheme="minorHAnsi"/>
                <w:b/>
                <w:bCs/>
                <w:sz w:val="18"/>
                <w:szCs w:val="18"/>
                <w:lang w:eastAsia="sk-SK"/>
              </w:rPr>
              <w:t>Školské zariadenia</w:t>
            </w:r>
          </w:p>
        </w:tc>
        <w:tc>
          <w:tcPr>
            <w:tcW w:w="454" w:type="pct"/>
            <w:tcBorders>
              <w:top w:val="nil"/>
              <w:left w:val="nil"/>
              <w:bottom w:val="single" w:sz="8" w:space="0" w:color="FFFFFF"/>
              <w:right w:val="single" w:sz="8" w:space="0" w:color="FFFFFF"/>
            </w:tcBorders>
            <w:shd w:val="clear" w:color="000000" w:fill="C4BD97"/>
            <w:vAlign w:val="bottom"/>
            <w:hideMark/>
          </w:tcPr>
          <w:p w14:paraId="408C8C24" w14:textId="77777777" w:rsidR="00911770" w:rsidRPr="00940301" w:rsidRDefault="00911770" w:rsidP="005A1544">
            <w:pPr>
              <w:spacing w:after="0"/>
              <w:jc w:val="right"/>
              <w:rPr>
                <w:rFonts w:cs="Calibri"/>
                <w:b/>
                <w:bCs/>
                <w:sz w:val="18"/>
                <w:szCs w:val="18"/>
              </w:rPr>
            </w:pPr>
            <w:r w:rsidRPr="00940301">
              <w:rPr>
                <w:rFonts w:cs="Calibri"/>
                <w:b/>
                <w:bCs/>
                <w:sz w:val="18"/>
                <w:szCs w:val="18"/>
              </w:rPr>
              <w:t>406 960</w:t>
            </w:r>
          </w:p>
        </w:tc>
        <w:tc>
          <w:tcPr>
            <w:tcW w:w="454" w:type="pct"/>
            <w:tcBorders>
              <w:top w:val="nil"/>
              <w:left w:val="nil"/>
              <w:bottom w:val="single" w:sz="8" w:space="0" w:color="FFFFFF"/>
              <w:right w:val="single" w:sz="8" w:space="0" w:color="FFFFFF"/>
            </w:tcBorders>
            <w:shd w:val="clear" w:color="000000" w:fill="C4BD97"/>
            <w:vAlign w:val="bottom"/>
            <w:hideMark/>
          </w:tcPr>
          <w:p w14:paraId="6AE91AFD" w14:textId="77777777" w:rsidR="00911770" w:rsidRPr="00940301" w:rsidRDefault="00911770" w:rsidP="005A1544">
            <w:pPr>
              <w:spacing w:after="0"/>
              <w:jc w:val="right"/>
              <w:rPr>
                <w:rFonts w:cs="Calibri"/>
                <w:b/>
                <w:bCs/>
                <w:sz w:val="18"/>
                <w:szCs w:val="18"/>
              </w:rPr>
            </w:pPr>
            <w:r w:rsidRPr="00940301">
              <w:rPr>
                <w:rFonts w:cs="Calibri"/>
                <w:b/>
                <w:bCs/>
                <w:sz w:val="18"/>
                <w:szCs w:val="18"/>
              </w:rPr>
              <w:t>391 589</w:t>
            </w:r>
          </w:p>
        </w:tc>
        <w:tc>
          <w:tcPr>
            <w:tcW w:w="462" w:type="pct"/>
            <w:tcBorders>
              <w:top w:val="nil"/>
              <w:left w:val="nil"/>
              <w:bottom w:val="single" w:sz="8" w:space="0" w:color="FFFFFF"/>
              <w:right w:val="single" w:sz="8" w:space="0" w:color="FFFFFF"/>
            </w:tcBorders>
            <w:shd w:val="clear" w:color="000000" w:fill="C4BD97"/>
            <w:vAlign w:val="bottom"/>
            <w:hideMark/>
          </w:tcPr>
          <w:p w14:paraId="0BBD5AEB" w14:textId="77777777" w:rsidR="00911770" w:rsidRPr="00940301" w:rsidRDefault="00911770" w:rsidP="005A1544">
            <w:pPr>
              <w:spacing w:after="0"/>
              <w:jc w:val="right"/>
              <w:rPr>
                <w:rFonts w:cs="Calibri"/>
                <w:b/>
                <w:bCs/>
                <w:sz w:val="18"/>
                <w:szCs w:val="18"/>
              </w:rPr>
            </w:pPr>
            <w:r w:rsidRPr="00940301">
              <w:rPr>
                <w:rFonts w:cs="Calibri"/>
                <w:b/>
                <w:bCs/>
                <w:sz w:val="18"/>
                <w:szCs w:val="18"/>
              </w:rPr>
              <w:t>20 638</w:t>
            </w:r>
          </w:p>
        </w:tc>
        <w:tc>
          <w:tcPr>
            <w:tcW w:w="480" w:type="pct"/>
            <w:tcBorders>
              <w:top w:val="nil"/>
              <w:left w:val="nil"/>
              <w:bottom w:val="single" w:sz="8" w:space="0" w:color="FFFFFF"/>
              <w:right w:val="single" w:sz="8" w:space="0" w:color="FFFFFF"/>
            </w:tcBorders>
            <w:shd w:val="clear" w:color="000000" w:fill="C4BD97"/>
            <w:vAlign w:val="bottom"/>
            <w:hideMark/>
          </w:tcPr>
          <w:p w14:paraId="7A559859" w14:textId="77777777" w:rsidR="00911770" w:rsidRPr="00940301" w:rsidRDefault="00911770" w:rsidP="005A1544">
            <w:pPr>
              <w:spacing w:after="0"/>
              <w:jc w:val="right"/>
              <w:rPr>
                <w:rFonts w:cs="Calibri"/>
                <w:b/>
                <w:bCs/>
                <w:sz w:val="18"/>
                <w:szCs w:val="18"/>
              </w:rPr>
            </w:pPr>
            <w:r w:rsidRPr="00940301">
              <w:rPr>
                <w:rFonts w:cs="Calibri"/>
                <w:b/>
                <w:bCs/>
                <w:sz w:val="18"/>
                <w:szCs w:val="18"/>
              </w:rPr>
              <w:t>13 261</w:t>
            </w:r>
          </w:p>
        </w:tc>
        <w:tc>
          <w:tcPr>
            <w:tcW w:w="454" w:type="pct"/>
            <w:tcBorders>
              <w:top w:val="nil"/>
              <w:left w:val="nil"/>
              <w:bottom w:val="single" w:sz="8" w:space="0" w:color="FFFFFF"/>
              <w:right w:val="single" w:sz="8" w:space="0" w:color="FFFFFF"/>
            </w:tcBorders>
            <w:shd w:val="clear" w:color="000000" w:fill="C4BD97"/>
            <w:vAlign w:val="bottom"/>
            <w:hideMark/>
          </w:tcPr>
          <w:p w14:paraId="40C28A44" w14:textId="77777777" w:rsidR="00911770" w:rsidRPr="00940301" w:rsidRDefault="00911770" w:rsidP="005A1544">
            <w:pPr>
              <w:spacing w:after="0"/>
              <w:jc w:val="right"/>
              <w:rPr>
                <w:rFonts w:cs="Calibri"/>
                <w:b/>
                <w:bCs/>
                <w:sz w:val="18"/>
                <w:szCs w:val="18"/>
              </w:rPr>
            </w:pPr>
            <w:r w:rsidRPr="00940301">
              <w:rPr>
                <w:rFonts w:cs="Calibri"/>
                <w:b/>
                <w:bCs/>
                <w:sz w:val="18"/>
                <w:szCs w:val="18"/>
              </w:rPr>
              <w:t>427 598</w:t>
            </w:r>
          </w:p>
        </w:tc>
        <w:tc>
          <w:tcPr>
            <w:tcW w:w="454" w:type="pct"/>
            <w:tcBorders>
              <w:top w:val="nil"/>
              <w:left w:val="nil"/>
              <w:bottom w:val="single" w:sz="8" w:space="0" w:color="FFFFFF"/>
              <w:right w:val="single" w:sz="8" w:space="0" w:color="FFFFFF"/>
            </w:tcBorders>
            <w:shd w:val="clear" w:color="000000" w:fill="C4BD97"/>
            <w:vAlign w:val="bottom"/>
            <w:hideMark/>
          </w:tcPr>
          <w:p w14:paraId="023F16F8" w14:textId="77777777" w:rsidR="00911770" w:rsidRPr="00940301" w:rsidRDefault="00911770" w:rsidP="005A1544">
            <w:pPr>
              <w:spacing w:after="0"/>
              <w:jc w:val="right"/>
              <w:rPr>
                <w:rFonts w:cs="Calibri"/>
                <w:b/>
                <w:bCs/>
                <w:sz w:val="18"/>
                <w:szCs w:val="18"/>
              </w:rPr>
            </w:pPr>
            <w:r w:rsidRPr="00940301">
              <w:rPr>
                <w:rFonts w:cs="Calibri"/>
                <w:b/>
                <w:bCs/>
                <w:sz w:val="18"/>
                <w:szCs w:val="18"/>
              </w:rPr>
              <w:t>404 850</w:t>
            </w:r>
          </w:p>
        </w:tc>
        <w:tc>
          <w:tcPr>
            <w:tcW w:w="462" w:type="pct"/>
            <w:tcBorders>
              <w:top w:val="nil"/>
              <w:left w:val="nil"/>
              <w:bottom w:val="single" w:sz="8" w:space="0" w:color="FFFFFF"/>
              <w:right w:val="single" w:sz="8" w:space="0" w:color="FFFFFF"/>
            </w:tcBorders>
            <w:shd w:val="clear" w:color="000000" w:fill="D9D9D9"/>
            <w:vAlign w:val="bottom"/>
            <w:hideMark/>
          </w:tcPr>
          <w:p w14:paraId="4960C76A" w14:textId="77777777" w:rsidR="00911770" w:rsidRPr="00940301" w:rsidRDefault="00911770" w:rsidP="005A1544">
            <w:pPr>
              <w:spacing w:after="0"/>
              <w:jc w:val="right"/>
              <w:rPr>
                <w:rFonts w:cs="Calibri"/>
                <w:b/>
                <w:bCs/>
                <w:sz w:val="18"/>
                <w:szCs w:val="18"/>
              </w:rPr>
            </w:pPr>
            <w:r w:rsidRPr="00940301">
              <w:rPr>
                <w:rFonts w:cs="Calibri"/>
                <w:b/>
                <w:bCs/>
                <w:sz w:val="18"/>
                <w:szCs w:val="18"/>
              </w:rPr>
              <w:t>365 642</w:t>
            </w:r>
          </w:p>
        </w:tc>
      </w:tr>
      <w:tr w:rsidR="00911770" w:rsidRPr="000668B8" w14:paraId="28EBFD01"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40EC8EEC" w14:textId="77777777" w:rsidR="00911770" w:rsidRPr="00940301" w:rsidRDefault="00911770" w:rsidP="005A1544">
            <w:pPr>
              <w:spacing w:after="0"/>
              <w:rPr>
                <w:rFonts w:cs="Calibri"/>
                <w:sz w:val="18"/>
                <w:szCs w:val="18"/>
              </w:rPr>
            </w:pPr>
            <w:r w:rsidRPr="00940301">
              <w:rPr>
                <w:rFonts w:cs="Calibri"/>
                <w:sz w:val="18"/>
                <w:szCs w:val="18"/>
              </w:rPr>
              <w:t>Jazyková škola, Palisády 38</w:t>
            </w:r>
          </w:p>
        </w:tc>
        <w:tc>
          <w:tcPr>
            <w:tcW w:w="454" w:type="pct"/>
            <w:tcBorders>
              <w:top w:val="nil"/>
              <w:left w:val="nil"/>
              <w:bottom w:val="single" w:sz="8" w:space="0" w:color="FFFFFF"/>
              <w:right w:val="single" w:sz="8" w:space="0" w:color="FFFFFF"/>
            </w:tcBorders>
            <w:shd w:val="clear" w:color="000000" w:fill="F2F2F2"/>
            <w:noWrap/>
            <w:vAlign w:val="bottom"/>
            <w:hideMark/>
          </w:tcPr>
          <w:p w14:paraId="4E33C734" w14:textId="77777777" w:rsidR="00911770" w:rsidRPr="00940301" w:rsidRDefault="00911770" w:rsidP="005A1544">
            <w:pPr>
              <w:spacing w:after="0"/>
              <w:jc w:val="right"/>
              <w:rPr>
                <w:rFonts w:cs="Calibri"/>
                <w:sz w:val="18"/>
                <w:szCs w:val="18"/>
              </w:rPr>
            </w:pPr>
            <w:r w:rsidRPr="00940301">
              <w:rPr>
                <w:rFonts w:cs="Calibri"/>
                <w:sz w:val="18"/>
                <w:szCs w:val="18"/>
              </w:rPr>
              <w:t>441 973</w:t>
            </w:r>
          </w:p>
        </w:tc>
        <w:tc>
          <w:tcPr>
            <w:tcW w:w="454" w:type="pct"/>
            <w:tcBorders>
              <w:top w:val="nil"/>
              <w:left w:val="nil"/>
              <w:bottom w:val="single" w:sz="8" w:space="0" w:color="FFFFFF"/>
              <w:right w:val="single" w:sz="8" w:space="0" w:color="FFFFFF"/>
            </w:tcBorders>
            <w:shd w:val="clear" w:color="000000" w:fill="C4BD97"/>
            <w:noWrap/>
            <w:vAlign w:val="bottom"/>
            <w:hideMark/>
          </w:tcPr>
          <w:p w14:paraId="336DFD11" w14:textId="77777777" w:rsidR="00911770" w:rsidRPr="00940301" w:rsidRDefault="00911770" w:rsidP="005A1544">
            <w:pPr>
              <w:spacing w:after="0"/>
              <w:jc w:val="right"/>
              <w:rPr>
                <w:rFonts w:cs="Calibri"/>
                <w:sz w:val="18"/>
                <w:szCs w:val="18"/>
              </w:rPr>
            </w:pPr>
            <w:r w:rsidRPr="00940301">
              <w:rPr>
                <w:rFonts w:cs="Calibri"/>
                <w:sz w:val="18"/>
                <w:szCs w:val="18"/>
              </w:rPr>
              <w:t>440 991</w:t>
            </w:r>
          </w:p>
        </w:tc>
        <w:tc>
          <w:tcPr>
            <w:tcW w:w="462" w:type="pct"/>
            <w:tcBorders>
              <w:top w:val="nil"/>
              <w:left w:val="nil"/>
              <w:bottom w:val="single" w:sz="8" w:space="0" w:color="FFFFFF"/>
              <w:right w:val="single" w:sz="8" w:space="0" w:color="FFFFFF"/>
            </w:tcBorders>
            <w:shd w:val="clear" w:color="000000" w:fill="F2F2F2"/>
            <w:noWrap/>
            <w:vAlign w:val="bottom"/>
            <w:hideMark/>
          </w:tcPr>
          <w:p w14:paraId="1D925396"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119D763D"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60CDC658" w14:textId="77777777" w:rsidR="00911770" w:rsidRPr="00940301" w:rsidRDefault="00911770" w:rsidP="005A1544">
            <w:pPr>
              <w:spacing w:after="0"/>
              <w:jc w:val="right"/>
              <w:rPr>
                <w:rFonts w:cs="Calibri"/>
                <w:sz w:val="18"/>
                <w:szCs w:val="18"/>
              </w:rPr>
            </w:pPr>
            <w:r w:rsidRPr="00940301">
              <w:rPr>
                <w:rFonts w:cs="Calibri"/>
                <w:sz w:val="18"/>
                <w:szCs w:val="18"/>
              </w:rPr>
              <w:t>441 973</w:t>
            </w:r>
          </w:p>
        </w:tc>
        <w:tc>
          <w:tcPr>
            <w:tcW w:w="454" w:type="pct"/>
            <w:tcBorders>
              <w:top w:val="nil"/>
              <w:left w:val="nil"/>
              <w:bottom w:val="single" w:sz="8" w:space="0" w:color="FFFFFF"/>
              <w:right w:val="single" w:sz="8" w:space="0" w:color="FFFFFF"/>
            </w:tcBorders>
            <w:shd w:val="clear" w:color="000000" w:fill="C4BD97"/>
            <w:noWrap/>
            <w:vAlign w:val="bottom"/>
            <w:hideMark/>
          </w:tcPr>
          <w:p w14:paraId="513F030C" w14:textId="77777777" w:rsidR="00911770" w:rsidRPr="00940301" w:rsidRDefault="00911770" w:rsidP="005A1544">
            <w:pPr>
              <w:spacing w:after="0"/>
              <w:jc w:val="right"/>
              <w:rPr>
                <w:rFonts w:cs="Calibri"/>
                <w:sz w:val="18"/>
                <w:szCs w:val="18"/>
              </w:rPr>
            </w:pPr>
            <w:r w:rsidRPr="00940301">
              <w:rPr>
                <w:rFonts w:cs="Calibri"/>
                <w:sz w:val="18"/>
                <w:szCs w:val="18"/>
              </w:rPr>
              <w:t>440 991</w:t>
            </w:r>
          </w:p>
        </w:tc>
        <w:tc>
          <w:tcPr>
            <w:tcW w:w="462" w:type="pct"/>
            <w:tcBorders>
              <w:top w:val="nil"/>
              <w:left w:val="nil"/>
              <w:bottom w:val="single" w:sz="8" w:space="0" w:color="FFFFFF"/>
              <w:right w:val="single" w:sz="8" w:space="0" w:color="FFFFFF"/>
            </w:tcBorders>
            <w:shd w:val="clear" w:color="000000" w:fill="D9D9D9"/>
            <w:vAlign w:val="bottom"/>
            <w:hideMark/>
          </w:tcPr>
          <w:p w14:paraId="7964BE78" w14:textId="77777777" w:rsidR="00911770" w:rsidRPr="00940301" w:rsidRDefault="00911770" w:rsidP="005A1544">
            <w:pPr>
              <w:spacing w:after="0"/>
              <w:jc w:val="right"/>
              <w:rPr>
                <w:rFonts w:cs="Calibri"/>
                <w:sz w:val="18"/>
                <w:szCs w:val="18"/>
              </w:rPr>
            </w:pPr>
            <w:r w:rsidRPr="00940301">
              <w:rPr>
                <w:rFonts w:cs="Calibri"/>
                <w:sz w:val="18"/>
                <w:szCs w:val="18"/>
              </w:rPr>
              <w:t>176 257</w:t>
            </w:r>
          </w:p>
        </w:tc>
      </w:tr>
      <w:tr w:rsidR="00911770" w:rsidRPr="000668B8" w14:paraId="59B28D99"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0055C923" w14:textId="77777777" w:rsidR="00911770" w:rsidRPr="00940301" w:rsidRDefault="00911770" w:rsidP="005A1544">
            <w:pPr>
              <w:spacing w:after="0"/>
              <w:rPr>
                <w:rFonts w:cs="Calibri"/>
                <w:sz w:val="18"/>
                <w:szCs w:val="18"/>
              </w:rPr>
            </w:pPr>
            <w:r w:rsidRPr="00940301">
              <w:rPr>
                <w:rFonts w:cs="Calibri"/>
                <w:sz w:val="18"/>
                <w:szCs w:val="18"/>
              </w:rPr>
              <w:t xml:space="preserve">SOŠ technológií a remesiel, </w:t>
            </w:r>
            <w:proofErr w:type="spellStart"/>
            <w:r w:rsidRPr="00940301">
              <w:rPr>
                <w:rFonts w:cs="Calibri"/>
                <w:sz w:val="18"/>
                <w:szCs w:val="18"/>
              </w:rPr>
              <w:t>Ivanská</w:t>
            </w:r>
            <w:proofErr w:type="spellEnd"/>
            <w:r w:rsidRPr="00940301">
              <w:rPr>
                <w:rFonts w:cs="Calibri"/>
                <w:sz w:val="18"/>
                <w:szCs w:val="18"/>
              </w:rPr>
              <w:t xml:space="preserve"> cesta 21, BA</w:t>
            </w:r>
          </w:p>
        </w:tc>
        <w:tc>
          <w:tcPr>
            <w:tcW w:w="454" w:type="pct"/>
            <w:tcBorders>
              <w:top w:val="nil"/>
              <w:left w:val="nil"/>
              <w:bottom w:val="single" w:sz="8" w:space="0" w:color="FFFFFF"/>
              <w:right w:val="single" w:sz="8" w:space="0" w:color="FFFFFF"/>
            </w:tcBorders>
            <w:shd w:val="clear" w:color="000000" w:fill="F2F2F2"/>
            <w:noWrap/>
            <w:vAlign w:val="bottom"/>
            <w:hideMark/>
          </w:tcPr>
          <w:p w14:paraId="7611F8E9" w14:textId="77777777" w:rsidR="00911770" w:rsidRPr="00940301" w:rsidRDefault="00911770" w:rsidP="005A1544">
            <w:pPr>
              <w:spacing w:after="0"/>
              <w:jc w:val="right"/>
              <w:rPr>
                <w:rFonts w:cs="Calibri"/>
                <w:sz w:val="18"/>
                <w:szCs w:val="18"/>
              </w:rPr>
            </w:pPr>
            <w:r w:rsidRPr="00940301">
              <w:rPr>
                <w:rFonts w:cs="Calibri"/>
                <w:sz w:val="18"/>
                <w:szCs w:val="18"/>
              </w:rPr>
              <w:t>75 664</w:t>
            </w:r>
          </w:p>
        </w:tc>
        <w:tc>
          <w:tcPr>
            <w:tcW w:w="454" w:type="pct"/>
            <w:tcBorders>
              <w:top w:val="nil"/>
              <w:left w:val="nil"/>
              <w:bottom w:val="single" w:sz="8" w:space="0" w:color="FFFFFF"/>
              <w:right w:val="single" w:sz="8" w:space="0" w:color="FFFFFF"/>
            </w:tcBorders>
            <w:shd w:val="clear" w:color="000000" w:fill="C4BD97"/>
            <w:noWrap/>
            <w:vAlign w:val="bottom"/>
            <w:hideMark/>
          </w:tcPr>
          <w:p w14:paraId="2A870180" w14:textId="77777777" w:rsidR="00911770" w:rsidRPr="00940301" w:rsidRDefault="00911770" w:rsidP="005A1544">
            <w:pPr>
              <w:spacing w:after="0"/>
              <w:jc w:val="right"/>
              <w:rPr>
                <w:rFonts w:cs="Calibri"/>
                <w:sz w:val="18"/>
                <w:szCs w:val="18"/>
              </w:rPr>
            </w:pPr>
            <w:r w:rsidRPr="00940301">
              <w:rPr>
                <w:rFonts w:cs="Calibri"/>
                <w:sz w:val="18"/>
                <w:szCs w:val="18"/>
              </w:rPr>
              <w:t>75 664</w:t>
            </w:r>
          </w:p>
        </w:tc>
        <w:tc>
          <w:tcPr>
            <w:tcW w:w="462" w:type="pct"/>
            <w:tcBorders>
              <w:top w:val="nil"/>
              <w:left w:val="nil"/>
              <w:bottom w:val="single" w:sz="8" w:space="0" w:color="FFFFFF"/>
              <w:right w:val="single" w:sz="8" w:space="0" w:color="FFFFFF"/>
            </w:tcBorders>
            <w:shd w:val="clear" w:color="000000" w:fill="F2F2F2"/>
            <w:noWrap/>
            <w:vAlign w:val="bottom"/>
            <w:hideMark/>
          </w:tcPr>
          <w:p w14:paraId="1851614C" w14:textId="77777777" w:rsidR="00911770" w:rsidRPr="00940301" w:rsidRDefault="00911770" w:rsidP="005A1544">
            <w:pPr>
              <w:spacing w:after="0"/>
              <w:jc w:val="right"/>
              <w:rPr>
                <w:rFonts w:cs="Calibri"/>
                <w:sz w:val="18"/>
                <w:szCs w:val="18"/>
              </w:rPr>
            </w:pPr>
            <w:r w:rsidRPr="00940301">
              <w:rPr>
                <w:rFonts w:cs="Calibri"/>
                <w:sz w:val="18"/>
                <w:szCs w:val="18"/>
              </w:rPr>
              <w:t>3 218</w:t>
            </w:r>
          </w:p>
        </w:tc>
        <w:tc>
          <w:tcPr>
            <w:tcW w:w="480" w:type="pct"/>
            <w:tcBorders>
              <w:top w:val="nil"/>
              <w:left w:val="nil"/>
              <w:bottom w:val="single" w:sz="8" w:space="0" w:color="FFFFFF"/>
              <w:right w:val="single" w:sz="8" w:space="0" w:color="FFFFFF"/>
            </w:tcBorders>
            <w:shd w:val="clear" w:color="000000" w:fill="C4BD97"/>
            <w:noWrap/>
            <w:vAlign w:val="bottom"/>
            <w:hideMark/>
          </w:tcPr>
          <w:p w14:paraId="050E5344" w14:textId="77777777" w:rsidR="00911770" w:rsidRPr="00940301" w:rsidRDefault="00911770" w:rsidP="005A1544">
            <w:pPr>
              <w:spacing w:after="0"/>
              <w:jc w:val="right"/>
              <w:rPr>
                <w:rFonts w:cs="Calibri"/>
                <w:sz w:val="18"/>
                <w:szCs w:val="18"/>
              </w:rPr>
            </w:pPr>
            <w:r w:rsidRPr="00940301">
              <w:rPr>
                <w:rFonts w:cs="Calibri"/>
                <w:sz w:val="18"/>
                <w:szCs w:val="18"/>
              </w:rPr>
              <w:t>2 735</w:t>
            </w:r>
          </w:p>
        </w:tc>
        <w:tc>
          <w:tcPr>
            <w:tcW w:w="454" w:type="pct"/>
            <w:tcBorders>
              <w:top w:val="nil"/>
              <w:left w:val="nil"/>
              <w:bottom w:val="single" w:sz="8" w:space="0" w:color="FFFFFF"/>
              <w:right w:val="single" w:sz="8" w:space="0" w:color="FFFFFF"/>
            </w:tcBorders>
            <w:shd w:val="clear" w:color="000000" w:fill="F2F2F2"/>
            <w:noWrap/>
            <w:vAlign w:val="bottom"/>
            <w:hideMark/>
          </w:tcPr>
          <w:p w14:paraId="119D0317" w14:textId="77777777" w:rsidR="00911770" w:rsidRPr="00940301" w:rsidRDefault="00911770" w:rsidP="005A1544">
            <w:pPr>
              <w:spacing w:after="0"/>
              <w:jc w:val="right"/>
              <w:rPr>
                <w:rFonts w:cs="Calibri"/>
                <w:sz w:val="18"/>
                <w:szCs w:val="18"/>
              </w:rPr>
            </w:pPr>
            <w:r w:rsidRPr="00940301">
              <w:rPr>
                <w:rFonts w:cs="Calibri"/>
                <w:sz w:val="18"/>
                <w:szCs w:val="18"/>
              </w:rPr>
              <w:t>78 882</w:t>
            </w:r>
          </w:p>
        </w:tc>
        <w:tc>
          <w:tcPr>
            <w:tcW w:w="454" w:type="pct"/>
            <w:tcBorders>
              <w:top w:val="nil"/>
              <w:left w:val="nil"/>
              <w:bottom w:val="single" w:sz="8" w:space="0" w:color="FFFFFF"/>
              <w:right w:val="single" w:sz="8" w:space="0" w:color="FFFFFF"/>
            </w:tcBorders>
            <w:shd w:val="clear" w:color="000000" w:fill="C4BD97"/>
            <w:noWrap/>
            <w:vAlign w:val="bottom"/>
            <w:hideMark/>
          </w:tcPr>
          <w:p w14:paraId="4F8C4359" w14:textId="77777777" w:rsidR="00911770" w:rsidRPr="00940301" w:rsidRDefault="00911770" w:rsidP="005A1544">
            <w:pPr>
              <w:spacing w:after="0"/>
              <w:jc w:val="right"/>
              <w:rPr>
                <w:rFonts w:cs="Calibri"/>
                <w:sz w:val="18"/>
                <w:szCs w:val="18"/>
              </w:rPr>
            </w:pPr>
            <w:r w:rsidRPr="00940301">
              <w:rPr>
                <w:rFonts w:cs="Calibri"/>
                <w:sz w:val="18"/>
                <w:szCs w:val="18"/>
              </w:rPr>
              <w:t>78 400</w:t>
            </w:r>
          </w:p>
        </w:tc>
        <w:tc>
          <w:tcPr>
            <w:tcW w:w="462" w:type="pct"/>
            <w:tcBorders>
              <w:top w:val="nil"/>
              <w:left w:val="nil"/>
              <w:bottom w:val="single" w:sz="8" w:space="0" w:color="FFFFFF"/>
              <w:right w:val="single" w:sz="8" w:space="0" w:color="FFFFFF"/>
            </w:tcBorders>
            <w:shd w:val="clear" w:color="000000" w:fill="D9D9D9"/>
            <w:vAlign w:val="bottom"/>
            <w:hideMark/>
          </w:tcPr>
          <w:p w14:paraId="53009DCC" w14:textId="77777777" w:rsidR="00911770" w:rsidRPr="00940301" w:rsidRDefault="00911770" w:rsidP="005A1544">
            <w:pPr>
              <w:spacing w:after="0"/>
              <w:jc w:val="right"/>
              <w:rPr>
                <w:rFonts w:cs="Calibri"/>
                <w:sz w:val="18"/>
                <w:szCs w:val="18"/>
              </w:rPr>
            </w:pPr>
            <w:r w:rsidRPr="00940301">
              <w:rPr>
                <w:rFonts w:cs="Calibri"/>
                <w:sz w:val="18"/>
                <w:szCs w:val="18"/>
              </w:rPr>
              <w:t>6 028</w:t>
            </w:r>
          </w:p>
        </w:tc>
      </w:tr>
      <w:tr w:rsidR="00911770" w:rsidRPr="000668B8" w14:paraId="5CDC8B3D"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31EF1567" w14:textId="77777777" w:rsidR="00911770" w:rsidRPr="00940301" w:rsidRDefault="00911770" w:rsidP="005A1544">
            <w:pPr>
              <w:spacing w:after="0"/>
              <w:rPr>
                <w:rFonts w:cs="Calibri"/>
                <w:sz w:val="18"/>
                <w:szCs w:val="18"/>
              </w:rPr>
            </w:pPr>
            <w:r w:rsidRPr="00940301">
              <w:rPr>
                <w:rFonts w:cs="Calibri"/>
                <w:sz w:val="18"/>
                <w:szCs w:val="18"/>
              </w:rPr>
              <w:t>Škola umeleckého priemyslu, Sklenárova 7, BA</w:t>
            </w:r>
          </w:p>
        </w:tc>
        <w:tc>
          <w:tcPr>
            <w:tcW w:w="454" w:type="pct"/>
            <w:tcBorders>
              <w:top w:val="nil"/>
              <w:left w:val="nil"/>
              <w:bottom w:val="single" w:sz="8" w:space="0" w:color="FFFFFF"/>
              <w:right w:val="single" w:sz="8" w:space="0" w:color="FFFFFF"/>
            </w:tcBorders>
            <w:shd w:val="clear" w:color="000000" w:fill="F2F2F2"/>
            <w:noWrap/>
            <w:vAlign w:val="bottom"/>
            <w:hideMark/>
          </w:tcPr>
          <w:p w14:paraId="3C14DCB2" w14:textId="77777777" w:rsidR="00911770" w:rsidRPr="00940301" w:rsidRDefault="00911770" w:rsidP="005A1544">
            <w:pPr>
              <w:spacing w:after="0"/>
              <w:jc w:val="right"/>
              <w:rPr>
                <w:rFonts w:cs="Calibri"/>
                <w:sz w:val="18"/>
                <w:szCs w:val="18"/>
              </w:rPr>
            </w:pPr>
            <w:r w:rsidRPr="00940301">
              <w:rPr>
                <w:rFonts w:cs="Calibri"/>
                <w:sz w:val="18"/>
                <w:szCs w:val="18"/>
              </w:rPr>
              <w:t>5 788</w:t>
            </w:r>
          </w:p>
        </w:tc>
        <w:tc>
          <w:tcPr>
            <w:tcW w:w="454" w:type="pct"/>
            <w:tcBorders>
              <w:top w:val="nil"/>
              <w:left w:val="nil"/>
              <w:bottom w:val="single" w:sz="8" w:space="0" w:color="FFFFFF"/>
              <w:right w:val="single" w:sz="8" w:space="0" w:color="FFFFFF"/>
            </w:tcBorders>
            <w:shd w:val="clear" w:color="000000" w:fill="C4BD97"/>
            <w:noWrap/>
            <w:vAlign w:val="bottom"/>
            <w:hideMark/>
          </w:tcPr>
          <w:p w14:paraId="07636F0F" w14:textId="77777777" w:rsidR="00911770" w:rsidRPr="00940301" w:rsidRDefault="00911770" w:rsidP="005A1544">
            <w:pPr>
              <w:spacing w:after="0"/>
              <w:jc w:val="right"/>
              <w:rPr>
                <w:rFonts w:cs="Calibri"/>
                <w:sz w:val="18"/>
                <w:szCs w:val="18"/>
              </w:rPr>
            </w:pPr>
            <w:r w:rsidRPr="00940301">
              <w:rPr>
                <w:rFonts w:cs="Calibri"/>
                <w:sz w:val="18"/>
                <w:szCs w:val="18"/>
              </w:rPr>
              <w:t>4 760</w:t>
            </w:r>
          </w:p>
        </w:tc>
        <w:tc>
          <w:tcPr>
            <w:tcW w:w="462" w:type="pct"/>
            <w:tcBorders>
              <w:top w:val="nil"/>
              <w:left w:val="nil"/>
              <w:bottom w:val="single" w:sz="8" w:space="0" w:color="FFFFFF"/>
              <w:right w:val="single" w:sz="8" w:space="0" w:color="FFFFFF"/>
            </w:tcBorders>
            <w:shd w:val="clear" w:color="000000" w:fill="F2F2F2"/>
            <w:noWrap/>
            <w:vAlign w:val="bottom"/>
            <w:hideMark/>
          </w:tcPr>
          <w:p w14:paraId="0CA8567D"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310AAA31"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012FD6CC" w14:textId="77777777" w:rsidR="00911770" w:rsidRPr="00940301" w:rsidRDefault="00911770" w:rsidP="005A1544">
            <w:pPr>
              <w:spacing w:after="0"/>
              <w:jc w:val="right"/>
              <w:rPr>
                <w:rFonts w:cs="Calibri"/>
                <w:sz w:val="18"/>
                <w:szCs w:val="18"/>
              </w:rPr>
            </w:pPr>
            <w:r w:rsidRPr="00940301">
              <w:rPr>
                <w:rFonts w:cs="Calibri"/>
                <w:sz w:val="18"/>
                <w:szCs w:val="18"/>
              </w:rPr>
              <w:t>5 788</w:t>
            </w:r>
          </w:p>
        </w:tc>
        <w:tc>
          <w:tcPr>
            <w:tcW w:w="454" w:type="pct"/>
            <w:tcBorders>
              <w:top w:val="nil"/>
              <w:left w:val="nil"/>
              <w:bottom w:val="single" w:sz="8" w:space="0" w:color="FFFFFF"/>
              <w:right w:val="single" w:sz="8" w:space="0" w:color="FFFFFF"/>
            </w:tcBorders>
            <w:shd w:val="clear" w:color="000000" w:fill="C4BD97"/>
            <w:noWrap/>
            <w:vAlign w:val="bottom"/>
            <w:hideMark/>
          </w:tcPr>
          <w:p w14:paraId="234FFE0B" w14:textId="77777777" w:rsidR="00911770" w:rsidRPr="00940301" w:rsidRDefault="00911770" w:rsidP="005A1544">
            <w:pPr>
              <w:spacing w:after="0"/>
              <w:jc w:val="right"/>
              <w:rPr>
                <w:rFonts w:cs="Calibri"/>
                <w:sz w:val="18"/>
                <w:szCs w:val="18"/>
              </w:rPr>
            </w:pPr>
            <w:r w:rsidRPr="00940301">
              <w:rPr>
                <w:rFonts w:cs="Calibri"/>
                <w:sz w:val="18"/>
                <w:szCs w:val="18"/>
              </w:rPr>
              <w:t>4 760</w:t>
            </w:r>
          </w:p>
        </w:tc>
        <w:tc>
          <w:tcPr>
            <w:tcW w:w="462" w:type="pct"/>
            <w:tcBorders>
              <w:top w:val="nil"/>
              <w:left w:val="nil"/>
              <w:bottom w:val="single" w:sz="8" w:space="0" w:color="FFFFFF"/>
              <w:right w:val="single" w:sz="8" w:space="0" w:color="FFFFFF"/>
            </w:tcBorders>
            <w:shd w:val="clear" w:color="000000" w:fill="D9D9D9"/>
            <w:vAlign w:val="bottom"/>
            <w:hideMark/>
          </w:tcPr>
          <w:p w14:paraId="4ED1ACBC" w14:textId="77777777" w:rsidR="00911770" w:rsidRPr="00940301" w:rsidRDefault="00911770" w:rsidP="005A1544">
            <w:pPr>
              <w:spacing w:after="0"/>
              <w:jc w:val="right"/>
              <w:rPr>
                <w:rFonts w:cs="Calibri"/>
                <w:sz w:val="18"/>
                <w:szCs w:val="18"/>
              </w:rPr>
            </w:pPr>
            <w:r w:rsidRPr="00940301">
              <w:rPr>
                <w:rFonts w:cs="Calibri"/>
                <w:sz w:val="18"/>
                <w:szCs w:val="18"/>
              </w:rPr>
              <w:t>2 676</w:t>
            </w:r>
          </w:p>
        </w:tc>
      </w:tr>
      <w:tr w:rsidR="00911770" w:rsidRPr="000668B8" w14:paraId="2F18F031"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13D68AB7" w14:textId="77777777" w:rsidR="00911770" w:rsidRPr="00940301" w:rsidRDefault="00911770" w:rsidP="005A1544">
            <w:pPr>
              <w:spacing w:after="0"/>
              <w:rPr>
                <w:rFonts w:cs="Calibri"/>
                <w:sz w:val="18"/>
                <w:szCs w:val="18"/>
              </w:rPr>
            </w:pPr>
            <w:r w:rsidRPr="00940301">
              <w:rPr>
                <w:rFonts w:cs="Calibri"/>
                <w:sz w:val="18"/>
                <w:szCs w:val="18"/>
              </w:rPr>
              <w:t xml:space="preserve">Jazyková škola pri Gymnáziu J. </w:t>
            </w:r>
            <w:proofErr w:type="spellStart"/>
            <w:r w:rsidRPr="00940301">
              <w:rPr>
                <w:rFonts w:cs="Calibri"/>
                <w:sz w:val="18"/>
                <w:szCs w:val="18"/>
              </w:rPr>
              <w:t>Papánka</w:t>
            </w:r>
            <w:proofErr w:type="spellEnd"/>
          </w:p>
        </w:tc>
        <w:tc>
          <w:tcPr>
            <w:tcW w:w="454" w:type="pct"/>
            <w:tcBorders>
              <w:top w:val="nil"/>
              <w:left w:val="nil"/>
              <w:bottom w:val="single" w:sz="8" w:space="0" w:color="FFFFFF"/>
              <w:right w:val="single" w:sz="8" w:space="0" w:color="FFFFFF"/>
            </w:tcBorders>
            <w:shd w:val="clear" w:color="000000" w:fill="F2F2F2"/>
            <w:noWrap/>
            <w:vAlign w:val="bottom"/>
            <w:hideMark/>
          </w:tcPr>
          <w:p w14:paraId="28944302" w14:textId="77777777" w:rsidR="00911770" w:rsidRPr="00940301" w:rsidRDefault="00911770" w:rsidP="005A1544">
            <w:pPr>
              <w:spacing w:after="0"/>
              <w:jc w:val="right"/>
              <w:rPr>
                <w:rFonts w:cs="Calibri"/>
                <w:sz w:val="18"/>
                <w:szCs w:val="18"/>
              </w:rPr>
            </w:pPr>
            <w:r w:rsidRPr="00940301">
              <w:rPr>
                <w:rFonts w:cs="Calibri"/>
                <w:sz w:val="18"/>
                <w:szCs w:val="18"/>
              </w:rPr>
              <w:t>5 683</w:t>
            </w:r>
          </w:p>
        </w:tc>
        <w:tc>
          <w:tcPr>
            <w:tcW w:w="454" w:type="pct"/>
            <w:tcBorders>
              <w:top w:val="nil"/>
              <w:left w:val="nil"/>
              <w:bottom w:val="single" w:sz="8" w:space="0" w:color="FFFFFF"/>
              <w:right w:val="single" w:sz="8" w:space="0" w:color="FFFFFF"/>
            </w:tcBorders>
            <w:shd w:val="clear" w:color="000000" w:fill="C4BD97"/>
            <w:noWrap/>
            <w:vAlign w:val="bottom"/>
            <w:hideMark/>
          </w:tcPr>
          <w:p w14:paraId="5ADB63DD" w14:textId="77777777" w:rsidR="00911770" w:rsidRPr="00940301" w:rsidRDefault="00911770" w:rsidP="005A1544">
            <w:pPr>
              <w:spacing w:after="0"/>
              <w:jc w:val="right"/>
              <w:rPr>
                <w:rFonts w:cs="Calibri"/>
                <w:sz w:val="18"/>
                <w:szCs w:val="18"/>
              </w:rPr>
            </w:pPr>
            <w:r w:rsidRPr="00940301">
              <w:rPr>
                <w:rFonts w:cs="Calibri"/>
                <w:sz w:val="18"/>
                <w:szCs w:val="18"/>
              </w:rPr>
              <w:t>5 683</w:t>
            </w:r>
          </w:p>
        </w:tc>
        <w:tc>
          <w:tcPr>
            <w:tcW w:w="462" w:type="pct"/>
            <w:tcBorders>
              <w:top w:val="nil"/>
              <w:left w:val="nil"/>
              <w:bottom w:val="single" w:sz="8" w:space="0" w:color="FFFFFF"/>
              <w:right w:val="single" w:sz="8" w:space="0" w:color="FFFFFF"/>
            </w:tcBorders>
            <w:shd w:val="clear" w:color="000000" w:fill="F2F2F2"/>
            <w:noWrap/>
            <w:vAlign w:val="bottom"/>
            <w:hideMark/>
          </w:tcPr>
          <w:p w14:paraId="2D9301B5"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7BB55039"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75D381E1" w14:textId="77777777" w:rsidR="00911770" w:rsidRPr="00940301" w:rsidRDefault="00911770" w:rsidP="005A1544">
            <w:pPr>
              <w:spacing w:after="0"/>
              <w:jc w:val="right"/>
              <w:rPr>
                <w:rFonts w:cs="Calibri"/>
                <w:sz w:val="18"/>
                <w:szCs w:val="18"/>
              </w:rPr>
            </w:pPr>
            <w:r w:rsidRPr="00940301">
              <w:rPr>
                <w:rFonts w:cs="Calibri"/>
                <w:sz w:val="18"/>
                <w:szCs w:val="18"/>
              </w:rPr>
              <w:t>5 683</w:t>
            </w:r>
          </w:p>
        </w:tc>
        <w:tc>
          <w:tcPr>
            <w:tcW w:w="454" w:type="pct"/>
            <w:tcBorders>
              <w:top w:val="nil"/>
              <w:left w:val="nil"/>
              <w:bottom w:val="single" w:sz="8" w:space="0" w:color="FFFFFF"/>
              <w:right w:val="single" w:sz="8" w:space="0" w:color="FFFFFF"/>
            </w:tcBorders>
            <w:shd w:val="clear" w:color="000000" w:fill="C4BD97"/>
            <w:noWrap/>
            <w:vAlign w:val="bottom"/>
            <w:hideMark/>
          </w:tcPr>
          <w:p w14:paraId="4E2A9996" w14:textId="77777777" w:rsidR="00911770" w:rsidRPr="00940301" w:rsidRDefault="00911770" w:rsidP="005A1544">
            <w:pPr>
              <w:spacing w:after="0"/>
              <w:jc w:val="right"/>
              <w:rPr>
                <w:rFonts w:cs="Calibri"/>
                <w:sz w:val="18"/>
                <w:szCs w:val="18"/>
              </w:rPr>
            </w:pPr>
            <w:r w:rsidRPr="00940301">
              <w:rPr>
                <w:rFonts w:cs="Calibri"/>
                <w:sz w:val="18"/>
                <w:szCs w:val="18"/>
              </w:rPr>
              <w:t>5 683</w:t>
            </w:r>
          </w:p>
        </w:tc>
        <w:tc>
          <w:tcPr>
            <w:tcW w:w="462" w:type="pct"/>
            <w:tcBorders>
              <w:top w:val="nil"/>
              <w:left w:val="nil"/>
              <w:bottom w:val="single" w:sz="8" w:space="0" w:color="FFFFFF"/>
              <w:right w:val="single" w:sz="8" w:space="0" w:color="FFFFFF"/>
            </w:tcBorders>
            <w:shd w:val="clear" w:color="000000" w:fill="D9D9D9"/>
            <w:vAlign w:val="bottom"/>
            <w:hideMark/>
          </w:tcPr>
          <w:p w14:paraId="5352EB47" w14:textId="77777777" w:rsidR="00911770" w:rsidRPr="00940301" w:rsidRDefault="00911770" w:rsidP="005A1544">
            <w:pPr>
              <w:spacing w:after="0"/>
              <w:jc w:val="right"/>
              <w:rPr>
                <w:rFonts w:cs="Calibri"/>
                <w:sz w:val="18"/>
                <w:szCs w:val="18"/>
              </w:rPr>
            </w:pPr>
            <w:r w:rsidRPr="00940301">
              <w:rPr>
                <w:rFonts w:cs="Calibri"/>
                <w:sz w:val="18"/>
                <w:szCs w:val="18"/>
              </w:rPr>
              <w:t>-5 115</w:t>
            </w:r>
          </w:p>
        </w:tc>
      </w:tr>
      <w:tr w:rsidR="00911770" w:rsidRPr="000668B8" w14:paraId="091C0811"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6AC342C4" w14:textId="77777777" w:rsidR="00911770" w:rsidRPr="00940301" w:rsidRDefault="00911770" w:rsidP="005A1544">
            <w:pPr>
              <w:spacing w:after="0"/>
              <w:rPr>
                <w:rFonts w:cs="Calibri"/>
                <w:sz w:val="18"/>
                <w:szCs w:val="18"/>
              </w:rPr>
            </w:pPr>
            <w:r w:rsidRPr="00940301">
              <w:rPr>
                <w:rFonts w:cs="Calibri"/>
                <w:sz w:val="18"/>
                <w:szCs w:val="18"/>
              </w:rPr>
              <w:t>SOŠ obch</w:t>
            </w:r>
            <w:r>
              <w:rPr>
                <w:rFonts w:cs="Calibri"/>
                <w:sz w:val="18"/>
                <w:szCs w:val="18"/>
              </w:rPr>
              <w:t>.</w:t>
            </w:r>
            <w:r w:rsidRPr="00940301">
              <w:rPr>
                <w:rFonts w:cs="Calibri"/>
                <w:sz w:val="18"/>
                <w:szCs w:val="18"/>
              </w:rPr>
              <w:t xml:space="preserve"> a služieb </w:t>
            </w:r>
            <w:r>
              <w:rPr>
                <w:rFonts w:cs="Calibri"/>
                <w:sz w:val="18"/>
                <w:szCs w:val="18"/>
              </w:rPr>
              <w:t>S.</w:t>
            </w:r>
            <w:r w:rsidRPr="00940301">
              <w:rPr>
                <w:rFonts w:cs="Calibri"/>
                <w:sz w:val="18"/>
                <w:szCs w:val="18"/>
              </w:rPr>
              <w:t xml:space="preserve"> Jurkoviča, </w:t>
            </w:r>
            <w:proofErr w:type="spellStart"/>
            <w:r w:rsidRPr="00940301">
              <w:rPr>
                <w:rFonts w:cs="Calibri"/>
                <w:sz w:val="18"/>
                <w:szCs w:val="18"/>
              </w:rPr>
              <w:t>Skenárova</w:t>
            </w:r>
            <w:proofErr w:type="spellEnd"/>
            <w:r w:rsidRPr="00940301">
              <w:rPr>
                <w:rFonts w:cs="Calibri"/>
                <w:sz w:val="18"/>
                <w:szCs w:val="18"/>
              </w:rPr>
              <w:t xml:space="preserve"> 1, BA</w:t>
            </w:r>
          </w:p>
        </w:tc>
        <w:tc>
          <w:tcPr>
            <w:tcW w:w="454" w:type="pct"/>
            <w:tcBorders>
              <w:top w:val="nil"/>
              <w:left w:val="nil"/>
              <w:bottom w:val="single" w:sz="8" w:space="0" w:color="FFFFFF"/>
              <w:right w:val="single" w:sz="8" w:space="0" w:color="FFFFFF"/>
            </w:tcBorders>
            <w:shd w:val="clear" w:color="000000" w:fill="F2F2F2"/>
            <w:noWrap/>
            <w:vAlign w:val="bottom"/>
            <w:hideMark/>
          </w:tcPr>
          <w:p w14:paraId="5FE55788" w14:textId="77777777" w:rsidR="00911770" w:rsidRPr="00940301" w:rsidRDefault="00911770" w:rsidP="005A1544">
            <w:pPr>
              <w:spacing w:after="0"/>
              <w:jc w:val="right"/>
              <w:rPr>
                <w:rFonts w:cs="Calibri"/>
                <w:sz w:val="18"/>
                <w:szCs w:val="18"/>
              </w:rPr>
            </w:pPr>
            <w:r w:rsidRPr="00940301">
              <w:rPr>
                <w:rFonts w:cs="Calibri"/>
                <w:sz w:val="18"/>
                <w:szCs w:val="18"/>
              </w:rPr>
              <w:t>4 930</w:t>
            </w:r>
          </w:p>
        </w:tc>
        <w:tc>
          <w:tcPr>
            <w:tcW w:w="454" w:type="pct"/>
            <w:tcBorders>
              <w:top w:val="nil"/>
              <w:left w:val="nil"/>
              <w:bottom w:val="single" w:sz="8" w:space="0" w:color="FFFFFF"/>
              <w:right w:val="single" w:sz="8" w:space="0" w:color="FFFFFF"/>
            </w:tcBorders>
            <w:shd w:val="clear" w:color="000000" w:fill="C4BD97"/>
            <w:noWrap/>
            <w:vAlign w:val="bottom"/>
            <w:hideMark/>
          </w:tcPr>
          <w:p w14:paraId="7C5BDFAF" w14:textId="77777777" w:rsidR="00911770" w:rsidRPr="00940301" w:rsidRDefault="00911770" w:rsidP="005A1544">
            <w:pPr>
              <w:spacing w:after="0"/>
              <w:jc w:val="right"/>
              <w:rPr>
                <w:rFonts w:cs="Calibri"/>
                <w:sz w:val="18"/>
                <w:szCs w:val="18"/>
              </w:rPr>
            </w:pPr>
            <w:r w:rsidRPr="00940301">
              <w:rPr>
                <w:rFonts w:cs="Calibri"/>
                <w:sz w:val="18"/>
                <w:szCs w:val="18"/>
              </w:rPr>
              <w:t>3 443</w:t>
            </w:r>
          </w:p>
        </w:tc>
        <w:tc>
          <w:tcPr>
            <w:tcW w:w="462" w:type="pct"/>
            <w:tcBorders>
              <w:top w:val="nil"/>
              <w:left w:val="nil"/>
              <w:bottom w:val="single" w:sz="8" w:space="0" w:color="FFFFFF"/>
              <w:right w:val="single" w:sz="8" w:space="0" w:color="FFFFFF"/>
            </w:tcBorders>
            <w:shd w:val="clear" w:color="000000" w:fill="F2F2F2"/>
            <w:noWrap/>
            <w:vAlign w:val="bottom"/>
            <w:hideMark/>
          </w:tcPr>
          <w:p w14:paraId="6BA13043" w14:textId="77777777" w:rsidR="00911770" w:rsidRPr="00940301" w:rsidRDefault="00911770" w:rsidP="005A1544">
            <w:pPr>
              <w:spacing w:after="0"/>
              <w:jc w:val="right"/>
              <w:rPr>
                <w:rFonts w:cs="Calibri"/>
                <w:sz w:val="18"/>
                <w:szCs w:val="18"/>
              </w:rPr>
            </w:pPr>
            <w:r w:rsidRPr="00940301">
              <w:rPr>
                <w:rFonts w:cs="Calibri"/>
                <w:sz w:val="18"/>
                <w:szCs w:val="18"/>
              </w:rPr>
              <w:t>1 476</w:t>
            </w:r>
          </w:p>
        </w:tc>
        <w:tc>
          <w:tcPr>
            <w:tcW w:w="480" w:type="pct"/>
            <w:tcBorders>
              <w:top w:val="nil"/>
              <w:left w:val="nil"/>
              <w:bottom w:val="single" w:sz="8" w:space="0" w:color="FFFFFF"/>
              <w:right w:val="single" w:sz="8" w:space="0" w:color="FFFFFF"/>
            </w:tcBorders>
            <w:shd w:val="clear" w:color="000000" w:fill="C4BD97"/>
            <w:noWrap/>
            <w:vAlign w:val="bottom"/>
            <w:hideMark/>
          </w:tcPr>
          <w:p w14:paraId="21C56590" w14:textId="77777777" w:rsidR="00911770" w:rsidRPr="00940301" w:rsidRDefault="00911770" w:rsidP="005A1544">
            <w:pPr>
              <w:spacing w:after="0"/>
              <w:jc w:val="right"/>
              <w:rPr>
                <w:rFonts w:cs="Calibri"/>
                <w:sz w:val="18"/>
                <w:szCs w:val="18"/>
              </w:rPr>
            </w:pPr>
            <w:r w:rsidRPr="00940301">
              <w:rPr>
                <w:rFonts w:cs="Calibri"/>
                <w:sz w:val="18"/>
                <w:szCs w:val="18"/>
              </w:rPr>
              <w:t>1 255</w:t>
            </w:r>
          </w:p>
        </w:tc>
        <w:tc>
          <w:tcPr>
            <w:tcW w:w="454" w:type="pct"/>
            <w:tcBorders>
              <w:top w:val="nil"/>
              <w:left w:val="nil"/>
              <w:bottom w:val="single" w:sz="8" w:space="0" w:color="FFFFFF"/>
              <w:right w:val="single" w:sz="8" w:space="0" w:color="FFFFFF"/>
            </w:tcBorders>
            <w:shd w:val="clear" w:color="000000" w:fill="F2F2F2"/>
            <w:noWrap/>
            <w:vAlign w:val="bottom"/>
            <w:hideMark/>
          </w:tcPr>
          <w:p w14:paraId="2CD61C75" w14:textId="77777777" w:rsidR="00911770" w:rsidRPr="00940301" w:rsidRDefault="00911770" w:rsidP="005A1544">
            <w:pPr>
              <w:spacing w:after="0"/>
              <w:jc w:val="right"/>
              <w:rPr>
                <w:rFonts w:cs="Calibri"/>
                <w:sz w:val="18"/>
                <w:szCs w:val="18"/>
              </w:rPr>
            </w:pPr>
            <w:r w:rsidRPr="00940301">
              <w:rPr>
                <w:rFonts w:cs="Calibri"/>
                <w:sz w:val="18"/>
                <w:szCs w:val="18"/>
              </w:rPr>
              <w:t>6 406</w:t>
            </w:r>
          </w:p>
        </w:tc>
        <w:tc>
          <w:tcPr>
            <w:tcW w:w="454" w:type="pct"/>
            <w:tcBorders>
              <w:top w:val="nil"/>
              <w:left w:val="nil"/>
              <w:bottom w:val="single" w:sz="8" w:space="0" w:color="FFFFFF"/>
              <w:right w:val="single" w:sz="8" w:space="0" w:color="FFFFFF"/>
            </w:tcBorders>
            <w:shd w:val="clear" w:color="000000" w:fill="C4BD97"/>
            <w:noWrap/>
            <w:vAlign w:val="bottom"/>
            <w:hideMark/>
          </w:tcPr>
          <w:p w14:paraId="2D0E717F" w14:textId="77777777" w:rsidR="00911770" w:rsidRPr="00940301" w:rsidRDefault="00911770" w:rsidP="005A1544">
            <w:pPr>
              <w:spacing w:after="0"/>
              <w:jc w:val="right"/>
              <w:rPr>
                <w:rFonts w:cs="Calibri"/>
                <w:sz w:val="18"/>
                <w:szCs w:val="18"/>
              </w:rPr>
            </w:pPr>
            <w:r w:rsidRPr="00940301">
              <w:rPr>
                <w:rFonts w:cs="Calibri"/>
                <w:sz w:val="18"/>
                <w:szCs w:val="18"/>
              </w:rPr>
              <w:t>4 697</w:t>
            </w:r>
          </w:p>
        </w:tc>
        <w:tc>
          <w:tcPr>
            <w:tcW w:w="462" w:type="pct"/>
            <w:tcBorders>
              <w:top w:val="nil"/>
              <w:left w:val="nil"/>
              <w:bottom w:val="single" w:sz="8" w:space="0" w:color="FFFFFF"/>
              <w:right w:val="single" w:sz="8" w:space="0" w:color="FFFFFF"/>
            </w:tcBorders>
            <w:shd w:val="clear" w:color="000000" w:fill="D9D9D9"/>
            <w:vAlign w:val="bottom"/>
            <w:hideMark/>
          </w:tcPr>
          <w:p w14:paraId="1E24E96F" w14:textId="77777777" w:rsidR="00911770" w:rsidRPr="00940301" w:rsidRDefault="00911770" w:rsidP="005A1544">
            <w:pPr>
              <w:spacing w:after="0"/>
              <w:jc w:val="right"/>
              <w:rPr>
                <w:rFonts w:cs="Calibri"/>
                <w:sz w:val="18"/>
                <w:szCs w:val="18"/>
              </w:rPr>
            </w:pPr>
            <w:r w:rsidRPr="00940301">
              <w:rPr>
                <w:rFonts w:cs="Calibri"/>
                <w:sz w:val="18"/>
                <w:szCs w:val="18"/>
              </w:rPr>
              <w:t>14 574</w:t>
            </w:r>
          </w:p>
        </w:tc>
      </w:tr>
      <w:tr w:rsidR="00911770" w:rsidRPr="000668B8" w14:paraId="6AC5B6B3"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136E2542" w14:textId="77777777" w:rsidR="00911770" w:rsidRPr="00940301" w:rsidRDefault="00911770" w:rsidP="005A1544">
            <w:pPr>
              <w:spacing w:after="0"/>
              <w:rPr>
                <w:rFonts w:cs="Calibri"/>
                <w:sz w:val="18"/>
                <w:szCs w:val="18"/>
              </w:rPr>
            </w:pPr>
            <w:r w:rsidRPr="00874EF0">
              <w:rPr>
                <w:rFonts w:cs="Calibri"/>
                <w:sz w:val="18"/>
                <w:szCs w:val="18"/>
              </w:rPr>
              <w:t xml:space="preserve">Hotelová akadémia, </w:t>
            </w:r>
            <w:proofErr w:type="spellStart"/>
            <w:r w:rsidRPr="00874EF0">
              <w:rPr>
                <w:rFonts w:cs="Calibri"/>
                <w:sz w:val="18"/>
                <w:szCs w:val="18"/>
              </w:rPr>
              <w:t>Mikovíniho</w:t>
            </w:r>
            <w:proofErr w:type="spellEnd"/>
            <w:r w:rsidRPr="00874EF0">
              <w:rPr>
                <w:rFonts w:cs="Calibri"/>
                <w:sz w:val="18"/>
                <w:szCs w:val="18"/>
              </w:rPr>
              <w:t xml:space="preserve"> 1, BA</w:t>
            </w:r>
          </w:p>
        </w:tc>
        <w:tc>
          <w:tcPr>
            <w:tcW w:w="454" w:type="pct"/>
            <w:tcBorders>
              <w:top w:val="nil"/>
              <w:left w:val="nil"/>
              <w:bottom w:val="single" w:sz="8" w:space="0" w:color="FFFFFF"/>
              <w:right w:val="single" w:sz="8" w:space="0" w:color="FFFFFF"/>
            </w:tcBorders>
            <w:shd w:val="clear" w:color="000000" w:fill="F2F2F2"/>
            <w:noWrap/>
            <w:vAlign w:val="bottom"/>
            <w:hideMark/>
          </w:tcPr>
          <w:p w14:paraId="0398077B" w14:textId="77777777" w:rsidR="00911770" w:rsidRPr="00940301" w:rsidRDefault="00911770" w:rsidP="005A1544">
            <w:pPr>
              <w:spacing w:after="0"/>
              <w:jc w:val="right"/>
              <w:rPr>
                <w:rFonts w:cs="Calibri"/>
                <w:sz w:val="18"/>
                <w:szCs w:val="18"/>
              </w:rPr>
            </w:pPr>
            <w:r w:rsidRPr="00940301">
              <w:rPr>
                <w:rFonts w:cs="Calibri"/>
                <w:sz w:val="18"/>
                <w:szCs w:val="18"/>
              </w:rPr>
              <w:t>2 099</w:t>
            </w:r>
          </w:p>
        </w:tc>
        <w:tc>
          <w:tcPr>
            <w:tcW w:w="454" w:type="pct"/>
            <w:tcBorders>
              <w:top w:val="nil"/>
              <w:left w:val="nil"/>
              <w:bottom w:val="single" w:sz="8" w:space="0" w:color="FFFFFF"/>
              <w:right w:val="single" w:sz="8" w:space="0" w:color="FFFFFF"/>
            </w:tcBorders>
            <w:shd w:val="clear" w:color="000000" w:fill="C4BD97"/>
            <w:noWrap/>
            <w:vAlign w:val="bottom"/>
            <w:hideMark/>
          </w:tcPr>
          <w:p w14:paraId="7A63BD7E" w14:textId="77777777" w:rsidR="00911770" w:rsidRPr="00940301" w:rsidRDefault="00911770" w:rsidP="005A1544">
            <w:pPr>
              <w:spacing w:after="0"/>
              <w:jc w:val="right"/>
              <w:rPr>
                <w:rFonts w:cs="Calibri"/>
                <w:sz w:val="18"/>
                <w:szCs w:val="18"/>
              </w:rPr>
            </w:pPr>
            <w:r w:rsidRPr="00940301">
              <w:rPr>
                <w:rFonts w:cs="Calibri"/>
                <w:sz w:val="18"/>
                <w:szCs w:val="18"/>
              </w:rPr>
              <w:t>2 099</w:t>
            </w:r>
          </w:p>
        </w:tc>
        <w:tc>
          <w:tcPr>
            <w:tcW w:w="462" w:type="pct"/>
            <w:tcBorders>
              <w:top w:val="nil"/>
              <w:left w:val="nil"/>
              <w:bottom w:val="single" w:sz="8" w:space="0" w:color="FFFFFF"/>
              <w:right w:val="single" w:sz="8" w:space="0" w:color="FFFFFF"/>
            </w:tcBorders>
            <w:shd w:val="clear" w:color="000000" w:fill="F2F2F2"/>
            <w:noWrap/>
            <w:vAlign w:val="bottom"/>
            <w:hideMark/>
          </w:tcPr>
          <w:p w14:paraId="5F69735F" w14:textId="77777777" w:rsidR="00911770" w:rsidRPr="00940301" w:rsidRDefault="00911770" w:rsidP="005A1544">
            <w:pPr>
              <w:spacing w:after="0"/>
              <w:jc w:val="right"/>
              <w:rPr>
                <w:rFonts w:cs="Calibri"/>
                <w:sz w:val="18"/>
                <w:szCs w:val="18"/>
              </w:rPr>
            </w:pPr>
            <w:r w:rsidRPr="00940301">
              <w:rPr>
                <w:rFonts w:cs="Calibri"/>
                <w:sz w:val="18"/>
                <w:szCs w:val="18"/>
              </w:rPr>
              <w:t>1 929</w:t>
            </w:r>
          </w:p>
        </w:tc>
        <w:tc>
          <w:tcPr>
            <w:tcW w:w="480" w:type="pct"/>
            <w:tcBorders>
              <w:top w:val="nil"/>
              <w:left w:val="nil"/>
              <w:bottom w:val="single" w:sz="8" w:space="0" w:color="FFFFFF"/>
              <w:right w:val="single" w:sz="8" w:space="0" w:color="FFFFFF"/>
            </w:tcBorders>
            <w:shd w:val="clear" w:color="000000" w:fill="C4BD97"/>
            <w:noWrap/>
            <w:vAlign w:val="bottom"/>
            <w:hideMark/>
          </w:tcPr>
          <w:p w14:paraId="6B7BF33A" w14:textId="77777777" w:rsidR="00911770" w:rsidRPr="00940301" w:rsidRDefault="00911770" w:rsidP="005A1544">
            <w:pPr>
              <w:spacing w:after="0"/>
              <w:jc w:val="right"/>
              <w:rPr>
                <w:rFonts w:cs="Calibri"/>
                <w:sz w:val="18"/>
                <w:szCs w:val="18"/>
              </w:rPr>
            </w:pPr>
            <w:r w:rsidRPr="00940301">
              <w:rPr>
                <w:rFonts w:cs="Calibri"/>
                <w:sz w:val="18"/>
                <w:szCs w:val="18"/>
              </w:rPr>
              <w:t>1 639</w:t>
            </w:r>
          </w:p>
        </w:tc>
        <w:tc>
          <w:tcPr>
            <w:tcW w:w="454" w:type="pct"/>
            <w:tcBorders>
              <w:top w:val="nil"/>
              <w:left w:val="nil"/>
              <w:bottom w:val="single" w:sz="8" w:space="0" w:color="FFFFFF"/>
              <w:right w:val="single" w:sz="8" w:space="0" w:color="FFFFFF"/>
            </w:tcBorders>
            <w:shd w:val="clear" w:color="000000" w:fill="F2F2F2"/>
            <w:noWrap/>
            <w:vAlign w:val="bottom"/>
            <w:hideMark/>
          </w:tcPr>
          <w:p w14:paraId="0D2EF19C" w14:textId="77777777" w:rsidR="00911770" w:rsidRPr="00940301" w:rsidRDefault="00911770" w:rsidP="005A1544">
            <w:pPr>
              <w:spacing w:after="0"/>
              <w:jc w:val="right"/>
              <w:rPr>
                <w:rFonts w:cs="Calibri"/>
                <w:sz w:val="18"/>
                <w:szCs w:val="18"/>
              </w:rPr>
            </w:pPr>
            <w:r w:rsidRPr="00940301">
              <w:rPr>
                <w:rFonts w:cs="Calibri"/>
                <w:sz w:val="18"/>
                <w:szCs w:val="18"/>
              </w:rPr>
              <w:t>4 028</w:t>
            </w:r>
          </w:p>
        </w:tc>
        <w:tc>
          <w:tcPr>
            <w:tcW w:w="454" w:type="pct"/>
            <w:tcBorders>
              <w:top w:val="nil"/>
              <w:left w:val="nil"/>
              <w:bottom w:val="single" w:sz="8" w:space="0" w:color="FFFFFF"/>
              <w:right w:val="single" w:sz="8" w:space="0" w:color="FFFFFF"/>
            </w:tcBorders>
            <w:shd w:val="clear" w:color="000000" w:fill="C4BD97"/>
            <w:noWrap/>
            <w:vAlign w:val="bottom"/>
            <w:hideMark/>
          </w:tcPr>
          <w:p w14:paraId="5CF792C3" w14:textId="77777777" w:rsidR="00911770" w:rsidRPr="00940301" w:rsidRDefault="00911770" w:rsidP="005A1544">
            <w:pPr>
              <w:spacing w:after="0"/>
              <w:jc w:val="right"/>
              <w:rPr>
                <w:rFonts w:cs="Calibri"/>
                <w:sz w:val="18"/>
                <w:szCs w:val="18"/>
              </w:rPr>
            </w:pPr>
            <w:r w:rsidRPr="00940301">
              <w:rPr>
                <w:rFonts w:cs="Calibri"/>
                <w:sz w:val="18"/>
                <w:szCs w:val="18"/>
              </w:rPr>
              <w:t>3 739</w:t>
            </w:r>
          </w:p>
        </w:tc>
        <w:tc>
          <w:tcPr>
            <w:tcW w:w="462" w:type="pct"/>
            <w:tcBorders>
              <w:top w:val="nil"/>
              <w:left w:val="nil"/>
              <w:bottom w:val="single" w:sz="8" w:space="0" w:color="FFFFFF"/>
              <w:right w:val="single" w:sz="8" w:space="0" w:color="FFFFFF"/>
            </w:tcBorders>
            <w:shd w:val="clear" w:color="000000" w:fill="D9D9D9"/>
            <w:vAlign w:val="bottom"/>
            <w:hideMark/>
          </w:tcPr>
          <w:p w14:paraId="20C6194F" w14:textId="77777777" w:rsidR="00911770" w:rsidRPr="00940301" w:rsidRDefault="00911770" w:rsidP="005A1544">
            <w:pPr>
              <w:spacing w:after="0"/>
              <w:jc w:val="right"/>
              <w:rPr>
                <w:rFonts w:cs="Calibri"/>
                <w:sz w:val="18"/>
                <w:szCs w:val="18"/>
              </w:rPr>
            </w:pPr>
            <w:r w:rsidRPr="00940301">
              <w:rPr>
                <w:rFonts w:cs="Calibri"/>
                <w:sz w:val="18"/>
                <w:szCs w:val="18"/>
              </w:rPr>
              <w:t>6 127</w:t>
            </w:r>
          </w:p>
        </w:tc>
      </w:tr>
      <w:tr w:rsidR="00911770" w:rsidRPr="000668B8" w14:paraId="713418D0"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tcPr>
          <w:p w14:paraId="3DFEEA69" w14:textId="77777777" w:rsidR="00911770" w:rsidRPr="00940301" w:rsidRDefault="00911770" w:rsidP="005A1544">
            <w:pPr>
              <w:spacing w:after="0"/>
              <w:rPr>
                <w:rFonts w:cs="Calibri"/>
                <w:sz w:val="18"/>
                <w:szCs w:val="18"/>
              </w:rPr>
            </w:pPr>
            <w:r w:rsidRPr="00940301">
              <w:rPr>
                <w:rFonts w:cs="Calibri"/>
                <w:sz w:val="18"/>
                <w:szCs w:val="18"/>
              </w:rPr>
              <w:t>Spojená škola, Tokajícka 24, BA</w:t>
            </w:r>
          </w:p>
        </w:tc>
        <w:tc>
          <w:tcPr>
            <w:tcW w:w="454" w:type="pct"/>
            <w:tcBorders>
              <w:top w:val="nil"/>
              <w:left w:val="nil"/>
              <w:bottom w:val="single" w:sz="8" w:space="0" w:color="FFFFFF"/>
              <w:right w:val="single" w:sz="8" w:space="0" w:color="FFFFFF"/>
            </w:tcBorders>
            <w:shd w:val="clear" w:color="000000" w:fill="F2F2F2"/>
            <w:noWrap/>
            <w:vAlign w:val="bottom"/>
            <w:hideMark/>
          </w:tcPr>
          <w:p w14:paraId="7773A1DF" w14:textId="77777777" w:rsidR="00911770" w:rsidRPr="00940301" w:rsidRDefault="00911770" w:rsidP="005A1544">
            <w:pPr>
              <w:spacing w:after="0"/>
              <w:jc w:val="right"/>
              <w:rPr>
                <w:rFonts w:cs="Calibri"/>
                <w:sz w:val="18"/>
                <w:szCs w:val="18"/>
              </w:rPr>
            </w:pPr>
            <w:r w:rsidRPr="00940301">
              <w:rPr>
                <w:rFonts w:cs="Calibri"/>
                <w:sz w:val="18"/>
                <w:szCs w:val="18"/>
              </w:rPr>
              <w:t>1 923</w:t>
            </w:r>
          </w:p>
        </w:tc>
        <w:tc>
          <w:tcPr>
            <w:tcW w:w="454" w:type="pct"/>
            <w:tcBorders>
              <w:top w:val="nil"/>
              <w:left w:val="nil"/>
              <w:bottom w:val="single" w:sz="8" w:space="0" w:color="FFFFFF"/>
              <w:right w:val="single" w:sz="8" w:space="0" w:color="FFFFFF"/>
            </w:tcBorders>
            <w:shd w:val="clear" w:color="000000" w:fill="C4BD97"/>
            <w:noWrap/>
            <w:vAlign w:val="bottom"/>
            <w:hideMark/>
          </w:tcPr>
          <w:p w14:paraId="2A15DF26" w14:textId="77777777" w:rsidR="00911770" w:rsidRPr="00940301" w:rsidRDefault="00911770" w:rsidP="005A1544">
            <w:pPr>
              <w:spacing w:after="0"/>
              <w:jc w:val="right"/>
              <w:rPr>
                <w:rFonts w:cs="Calibri"/>
                <w:sz w:val="18"/>
                <w:szCs w:val="18"/>
              </w:rPr>
            </w:pPr>
            <w:r w:rsidRPr="00940301">
              <w:rPr>
                <w:rFonts w:cs="Calibri"/>
                <w:sz w:val="18"/>
                <w:szCs w:val="18"/>
              </w:rPr>
              <w:t>-1 296</w:t>
            </w:r>
          </w:p>
        </w:tc>
        <w:tc>
          <w:tcPr>
            <w:tcW w:w="462" w:type="pct"/>
            <w:tcBorders>
              <w:top w:val="nil"/>
              <w:left w:val="nil"/>
              <w:bottom w:val="single" w:sz="8" w:space="0" w:color="FFFFFF"/>
              <w:right w:val="single" w:sz="8" w:space="0" w:color="FFFFFF"/>
            </w:tcBorders>
            <w:shd w:val="clear" w:color="000000" w:fill="F2F2F2"/>
            <w:noWrap/>
            <w:vAlign w:val="bottom"/>
            <w:hideMark/>
          </w:tcPr>
          <w:p w14:paraId="241E8774"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423F2E07"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0CD5A7ED" w14:textId="77777777" w:rsidR="00911770" w:rsidRPr="00940301" w:rsidRDefault="00911770" w:rsidP="005A1544">
            <w:pPr>
              <w:spacing w:after="0"/>
              <w:jc w:val="right"/>
              <w:rPr>
                <w:rFonts w:cs="Calibri"/>
                <w:sz w:val="18"/>
                <w:szCs w:val="18"/>
              </w:rPr>
            </w:pPr>
            <w:r w:rsidRPr="00940301">
              <w:rPr>
                <w:rFonts w:cs="Calibri"/>
                <w:sz w:val="18"/>
                <w:szCs w:val="18"/>
              </w:rPr>
              <w:t>1 923</w:t>
            </w:r>
          </w:p>
        </w:tc>
        <w:tc>
          <w:tcPr>
            <w:tcW w:w="454" w:type="pct"/>
            <w:tcBorders>
              <w:top w:val="nil"/>
              <w:left w:val="nil"/>
              <w:bottom w:val="single" w:sz="8" w:space="0" w:color="FFFFFF"/>
              <w:right w:val="single" w:sz="8" w:space="0" w:color="FFFFFF"/>
            </w:tcBorders>
            <w:shd w:val="clear" w:color="000000" w:fill="C4BD97"/>
            <w:noWrap/>
            <w:vAlign w:val="bottom"/>
            <w:hideMark/>
          </w:tcPr>
          <w:p w14:paraId="7B97D95B" w14:textId="77777777" w:rsidR="00911770" w:rsidRPr="00940301" w:rsidRDefault="00911770" w:rsidP="005A1544">
            <w:pPr>
              <w:spacing w:after="0"/>
              <w:jc w:val="right"/>
              <w:rPr>
                <w:rFonts w:cs="Calibri"/>
                <w:sz w:val="18"/>
                <w:szCs w:val="18"/>
              </w:rPr>
            </w:pPr>
            <w:r w:rsidRPr="00940301">
              <w:rPr>
                <w:rFonts w:cs="Calibri"/>
                <w:sz w:val="18"/>
                <w:szCs w:val="18"/>
              </w:rPr>
              <w:t>-1 296</w:t>
            </w:r>
          </w:p>
        </w:tc>
        <w:tc>
          <w:tcPr>
            <w:tcW w:w="462" w:type="pct"/>
            <w:tcBorders>
              <w:top w:val="nil"/>
              <w:left w:val="nil"/>
              <w:bottom w:val="single" w:sz="8" w:space="0" w:color="FFFFFF"/>
              <w:right w:val="single" w:sz="8" w:space="0" w:color="FFFFFF"/>
            </w:tcBorders>
            <w:shd w:val="clear" w:color="000000" w:fill="D9D9D9"/>
            <w:vAlign w:val="bottom"/>
            <w:hideMark/>
          </w:tcPr>
          <w:p w14:paraId="0B7A62FC" w14:textId="77777777" w:rsidR="00911770" w:rsidRPr="00940301" w:rsidRDefault="00911770" w:rsidP="005A1544">
            <w:pPr>
              <w:spacing w:after="0"/>
              <w:jc w:val="right"/>
              <w:rPr>
                <w:rFonts w:cs="Calibri"/>
                <w:sz w:val="18"/>
                <w:szCs w:val="18"/>
              </w:rPr>
            </w:pPr>
            <w:r w:rsidRPr="00940301">
              <w:rPr>
                <w:rFonts w:cs="Calibri"/>
                <w:sz w:val="18"/>
                <w:szCs w:val="18"/>
              </w:rPr>
              <w:t>-7 616</w:t>
            </w:r>
          </w:p>
        </w:tc>
      </w:tr>
      <w:tr w:rsidR="00911770" w:rsidRPr="000668B8" w14:paraId="56E7600C"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76A8D766" w14:textId="77777777" w:rsidR="00911770" w:rsidRPr="00940301" w:rsidRDefault="00911770" w:rsidP="005A1544">
            <w:pPr>
              <w:spacing w:after="0"/>
              <w:rPr>
                <w:rFonts w:cs="Calibri"/>
                <w:sz w:val="18"/>
                <w:szCs w:val="18"/>
              </w:rPr>
            </w:pPr>
            <w:r w:rsidRPr="00940301">
              <w:rPr>
                <w:rFonts w:cs="Calibri"/>
                <w:sz w:val="18"/>
                <w:szCs w:val="18"/>
              </w:rPr>
              <w:t>SOŠ hotel</w:t>
            </w:r>
            <w:r>
              <w:rPr>
                <w:rFonts w:cs="Calibri"/>
                <w:sz w:val="18"/>
                <w:szCs w:val="18"/>
              </w:rPr>
              <w:t>.</w:t>
            </w:r>
            <w:r w:rsidRPr="00940301">
              <w:rPr>
                <w:rFonts w:cs="Calibri"/>
                <w:sz w:val="18"/>
                <w:szCs w:val="18"/>
              </w:rPr>
              <w:t xml:space="preserve"> služieb a obchodu, Na Pántoch 9, BA</w:t>
            </w:r>
          </w:p>
        </w:tc>
        <w:tc>
          <w:tcPr>
            <w:tcW w:w="454" w:type="pct"/>
            <w:tcBorders>
              <w:top w:val="nil"/>
              <w:left w:val="nil"/>
              <w:bottom w:val="single" w:sz="8" w:space="0" w:color="FFFFFF"/>
              <w:right w:val="single" w:sz="8" w:space="0" w:color="FFFFFF"/>
            </w:tcBorders>
            <w:shd w:val="clear" w:color="000000" w:fill="F2F2F2"/>
            <w:noWrap/>
            <w:vAlign w:val="bottom"/>
            <w:hideMark/>
          </w:tcPr>
          <w:p w14:paraId="465C5D5D" w14:textId="77777777" w:rsidR="00911770" w:rsidRPr="00940301" w:rsidRDefault="00911770" w:rsidP="005A1544">
            <w:pPr>
              <w:spacing w:after="0"/>
              <w:jc w:val="right"/>
              <w:rPr>
                <w:rFonts w:cs="Calibri"/>
                <w:sz w:val="18"/>
                <w:szCs w:val="18"/>
              </w:rPr>
            </w:pPr>
            <w:r w:rsidRPr="00940301">
              <w:rPr>
                <w:rFonts w:cs="Calibri"/>
                <w:sz w:val="18"/>
                <w:szCs w:val="18"/>
              </w:rPr>
              <w:t>695</w:t>
            </w:r>
          </w:p>
        </w:tc>
        <w:tc>
          <w:tcPr>
            <w:tcW w:w="454" w:type="pct"/>
            <w:tcBorders>
              <w:top w:val="nil"/>
              <w:left w:val="nil"/>
              <w:bottom w:val="single" w:sz="8" w:space="0" w:color="FFFFFF"/>
              <w:right w:val="single" w:sz="8" w:space="0" w:color="FFFFFF"/>
            </w:tcBorders>
            <w:shd w:val="clear" w:color="000000" w:fill="C4BD97"/>
            <w:noWrap/>
            <w:vAlign w:val="bottom"/>
            <w:hideMark/>
          </w:tcPr>
          <w:p w14:paraId="6076959F" w14:textId="77777777" w:rsidR="00911770" w:rsidRPr="00940301" w:rsidRDefault="00911770" w:rsidP="005A1544">
            <w:pPr>
              <w:spacing w:after="0"/>
              <w:jc w:val="right"/>
              <w:rPr>
                <w:rFonts w:cs="Calibri"/>
                <w:sz w:val="18"/>
                <w:szCs w:val="18"/>
              </w:rPr>
            </w:pPr>
            <w:r w:rsidRPr="00940301">
              <w:rPr>
                <w:rFonts w:cs="Calibri"/>
                <w:sz w:val="18"/>
                <w:szCs w:val="18"/>
              </w:rPr>
              <w:t>26</w:t>
            </w:r>
          </w:p>
        </w:tc>
        <w:tc>
          <w:tcPr>
            <w:tcW w:w="462" w:type="pct"/>
            <w:tcBorders>
              <w:top w:val="nil"/>
              <w:left w:val="nil"/>
              <w:bottom w:val="single" w:sz="8" w:space="0" w:color="FFFFFF"/>
              <w:right w:val="single" w:sz="8" w:space="0" w:color="FFFFFF"/>
            </w:tcBorders>
            <w:shd w:val="clear" w:color="000000" w:fill="F2F2F2"/>
            <w:noWrap/>
            <w:vAlign w:val="bottom"/>
            <w:hideMark/>
          </w:tcPr>
          <w:p w14:paraId="4056D0A0" w14:textId="77777777" w:rsidR="00911770" w:rsidRPr="00940301" w:rsidRDefault="00911770" w:rsidP="005A1544">
            <w:pPr>
              <w:spacing w:after="0"/>
              <w:jc w:val="right"/>
              <w:rPr>
                <w:rFonts w:cs="Calibri"/>
                <w:sz w:val="18"/>
                <w:szCs w:val="18"/>
              </w:rPr>
            </w:pPr>
            <w:r w:rsidRPr="00940301">
              <w:rPr>
                <w:rFonts w:cs="Calibri"/>
                <w:sz w:val="18"/>
                <w:szCs w:val="18"/>
              </w:rPr>
              <w:t>221</w:t>
            </w:r>
          </w:p>
        </w:tc>
        <w:tc>
          <w:tcPr>
            <w:tcW w:w="480" w:type="pct"/>
            <w:tcBorders>
              <w:top w:val="nil"/>
              <w:left w:val="nil"/>
              <w:bottom w:val="single" w:sz="8" w:space="0" w:color="FFFFFF"/>
              <w:right w:val="single" w:sz="8" w:space="0" w:color="FFFFFF"/>
            </w:tcBorders>
            <w:shd w:val="clear" w:color="000000" w:fill="C4BD97"/>
            <w:noWrap/>
            <w:vAlign w:val="bottom"/>
            <w:hideMark/>
          </w:tcPr>
          <w:p w14:paraId="5D8E5820" w14:textId="77777777" w:rsidR="00911770" w:rsidRPr="00940301" w:rsidRDefault="00911770" w:rsidP="005A1544">
            <w:pPr>
              <w:spacing w:after="0"/>
              <w:jc w:val="right"/>
              <w:rPr>
                <w:rFonts w:cs="Calibri"/>
                <w:sz w:val="18"/>
                <w:szCs w:val="18"/>
              </w:rPr>
            </w:pPr>
            <w:r w:rsidRPr="00940301">
              <w:rPr>
                <w:rFonts w:cs="Calibri"/>
                <w:sz w:val="18"/>
                <w:szCs w:val="18"/>
              </w:rPr>
              <w:t>188</w:t>
            </w:r>
          </w:p>
        </w:tc>
        <w:tc>
          <w:tcPr>
            <w:tcW w:w="454" w:type="pct"/>
            <w:tcBorders>
              <w:top w:val="nil"/>
              <w:left w:val="nil"/>
              <w:bottom w:val="single" w:sz="8" w:space="0" w:color="FFFFFF"/>
              <w:right w:val="single" w:sz="8" w:space="0" w:color="FFFFFF"/>
            </w:tcBorders>
            <w:shd w:val="clear" w:color="000000" w:fill="F2F2F2"/>
            <w:noWrap/>
            <w:vAlign w:val="bottom"/>
            <w:hideMark/>
          </w:tcPr>
          <w:p w14:paraId="38D7A0D6" w14:textId="77777777" w:rsidR="00911770" w:rsidRPr="00940301" w:rsidRDefault="00911770" w:rsidP="005A1544">
            <w:pPr>
              <w:spacing w:after="0"/>
              <w:jc w:val="right"/>
              <w:rPr>
                <w:rFonts w:cs="Calibri"/>
                <w:sz w:val="18"/>
                <w:szCs w:val="18"/>
              </w:rPr>
            </w:pPr>
            <w:r w:rsidRPr="00940301">
              <w:rPr>
                <w:rFonts w:cs="Calibri"/>
                <w:sz w:val="18"/>
                <w:szCs w:val="18"/>
              </w:rPr>
              <w:t>916</w:t>
            </w:r>
          </w:p>
        </w:tc>
        <w:tc>
          <w:tcPr>
            <w:tcW w:w="454" w:type="pct"/>
            <w:tcBorders>
              <w:top w:val="nil"/>
              <w:left w:val="nil"/>
              <w:bottom w:val="single" w:sz="8" w:space="0" w:color="FFFFFF"/>
              <w:right w:val="single" w:sz="8" w:space="0" w:color="FFFFFF"/>
            </w:tcBorders>
            <w:shd w:val="clear" w:color="000000" w:fill="C4BD97"/>
            <w:noWrap/>
            <w:vAlign w:val="bottom"/>
            <w:hideMark/>
          </w:tcPr>
          <w:p w14:paraId="43420A15" w14:textId="77777777" w:rsidR="00911770" w:rsidRPr="00940301" w:rsidRDefault="00911770" w:rsidP="005A1544">
            <w:pPr>
              <w:spacing w:after="0"/>
              <w:jc w:val="right"/>
              <w:rPr>
                <w:rFonts w:cs="Calibri"/>
                <w:sz w:val="18"/>
                <w:szCs w:val="18"/>
              </w:rPr>
            </w:pPr>
            <w:r w:rsidRPr="00940301">
              <w:rPr>
                <w:rFonts w:cs="Calibri"/>
                <w:sz w:val="18"/>
                <w:szCs w:val="18"/>
              </w:rPr>
              <w:t>214</w:t>
            </w:r>
          </w:p>
        </w:tc>
        <w:tc>
          <w:tcPr>
            <w:tcW w:w="462" w:type="pct"/>
            <w:tcBorders>
              <w:top w:val="nil"/>
              <w:left w:val="nil"/>
              <w:bottom w:val="single" w:sz="8" w:space="0" w:color="FFFFFF"/>
              <w:right w:val="single" w:sz="8" w:space="0" w:color="FFFFFF"/>
            </w:tcBorders>
            <w:shd w:val="clear" w:color="000000" w:fill="D9D9D9"/>
            <w:vAlign w:val="bottom"/>
            <w:hideMark/>
          </w:tcPr>
          <w:p w14:paraId="5789A763" w14:textId="77777777" w:rsidR="00911770" w:rsidRPr="00940301" w:rsidRDefault="00911770" w:rsidP="005A1544">
            <w:pPr>
              <w:spacing w:after="0"/>
              <w:jc w:val="right"/>
              <w:rPr>
                <w:rFonts w:cs="Calibri"/>
                <w:sz w:val="18"/>
                <w:szCs w:val="18"/>
              </w:rPr>
            </w:pPr>
            <w:r w:rsidRPr="00940301">
              <w:rPr>
                <w:rFonts w:cs="Calibri"/>
                <w:sz w:val="18"/>
                <w:szCs w:val="18"/>
              </w:rPr>
              <w:t>16 517</w:t>
            </w:r>
          </w:p>
        </w:tc>
      </w:tr>
      <w:tr w:rsidR="00911770" w:rsidRPr="000668B8" w14:paraId="2873E48B"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055C9975" w14:textId="77777777" w:rsidR="00911770" w:rsidRPr="00940301" w:rsidRDefault="00911770" w:rsidP="005A1544">
            <w:pPr>
              <w:spacing w:after="0"/>
              <w:rPr>
                <w:rFonts w:cs="Calibri"/>
                <w:sz w:val="18"/>
                <w:szCs w:val="18"/>
              </w:rPr>
            </w:pPr>
            <w:r w:rsidRPr="00940301">
              <w:rPr>
                <w:rFonts w:cs="Calibri"/>
                <w:sz w:val="18"/>
                <w:szCs w:val="18"/>
              </w:rPr>
              <w:t xml:space="preserve">SOŠ kaderníctva a </w:t>
            </w:r>
            <w:proofErr w:type="spellStart"/>
            <w:r w:rsidRPr="00940301">
              <w:rPr>
                <w:rFonts w:cs="Calibri"/>
                <w:sz w:val="18"/>
                <w:szCs w:val="18"/>
              </w:rPr>
              <w:t>vizážistiky</w:t>
            </w:r>
            <w:proofErr w:type="spellEnd"/>
            <w:r w:rsidRPr="00940301">
              <w:rPr>
                <w:rFonts w:cs="Calibri"/>
                <w:sz w:val="18"/>
                <w:szCs w:val="18"/>
              </w:rPr>
              <w:t>, Svätoplukova 2, BA</w:t>
            </w:r>
          </w:p>
        </w:tc>
        <w:tc>
          <w:tcPr>
            <w:tcW w:w="454" w:type="pct"/>
            <w:tcBorders>
              <w:top w:val="nil"/>
              <w:left w:val="nil"/>
              <w:bottom w:val="single" w:sz="8" w:space="0" w:color="FFFFFF"/>
              <w:right w:val="single" w:sz="8" w:space="0" w:color="FFFFFF"/>
            </w:tcBorders>
            <w:shd w:val="clear" w:color="000000" w:fill="F2F2F2"/>
            <w:noWrap/>
            <w:vAlign w:val="bottom"/>
            <w:hideMark/>
          </w:tcPr>
          <w:p w14:paraId="4C77E2F6" w14:textId="77777777" w:rsidR="00911770" w:rsidRPr="00940301" w:rsidRDefault="00911770" w:rsidP="005A1544">
            <w:pPr>
              <w:spacing w:after="0"/>
              <w:jc w:val="right"/>
              <w:rPr>
                <w:rFonts w:cs="Calibri"/>
                <w:sz w:val="18"/>
                <w:szCs w:val="18"/>
              </w:rPr>
            </w:pPr>
            <w:r w:rsidRPr="00940301">
              <w:rPr>
                <w:rFonts w:cs="Calibri"/>
                <w:sz w:val="18"/>
                <w:szCs w:val="18"/>
              </w:rPr>
              <w:t>-2 870</w:t>
            </w:r>
          </w:p>
        </w:tc>
        <w:tc>
          <w:tcPr>
            <w:tcW w:w="454" w:type="pct"/>
            <w:tcBorders>
              <w:top w:val="nil"/>
              <w:left w:val="nil"/>
              <w:bottom w:val="single" w:sz="8" w:space="0" w:color="FFFFFF"/>
              <w:right w:val="single" w:sz="8" w:space="0" w:color="FFFFFF"/>
            </w:tcBorders>
            <w:shd w:val="clear" w:color="000000" w:fill="C4BD97"/>
            <w:noWrap/>
            <w:vAlign w:val="bottom"/>
            <w:hideMark/>
          </w:tcPr>
          <w:p w14:paraId="2E4ADFD2" w14:textId="77777777" w:rsidR="00911770" w:rsidRPr="00940301" w:rsidRDefault="00911770" w:rsidP="005A1544">
            <w:pPr>
              <w:spacing w:after="0"/>
              <w:jc w:val="right"/>
              <w:rPr>
                <w:rFonts w:cs="Calibri"/>
                <w:sz w:val="18"/>
                <w:szCs w:val="18"/>
              </w:rPr>
            </w:pPr>
            <w:r w:rsidRPr="00940301">
              <w:rPr>
                <w:rFonts w:cs="Calibri"/>
                <w:sz w:val="18"/>
                <w:szCs w:val="18"/>
              </w:rPr>
              <w:t>-2 870</w:t>
            </w:r>
          </w:p>
        </w:tc>
        <w:tc>
          <w:tcPr>
            <w:tcW w:w="462" w:type="pct"/>
            <w:tcBorders>
              <w:top w:val="nil"/>
              <w:left w:val="nil"/>
              <w:bottom w:val="single" w:sz="8" w:space="0" w:color="FFFFFF"/>
              <w:right w:val="single" w:sz="8" w:space="0" w:color="FFFFFF"/>
            </w:tcBorders>
            <w:shd w:val="clear" w:color="000000" w:fill="F2F2F2"/>
            <w:noWrap/>
            <w:vAlign w:val="bottom"/>
            <w:hideMark/>
          </w:tcPr>
          <w:p w14:paraId="097936B6" w14:textId="77777777" w:rsidR="00911770" w:rsidRPr="00940301" w:rsidRDefault="00911770" w:rsidP="005A1544">
            <w:pPr>
              <w:spacing w:after="0"/>
              <w:jc w:val="right"/>
              <w:rPr>
                <w:rFonts w:cs="Calibri"/>
                <w:sz w:val="18"/>
                <w:szCs w:val="18"/>
              </w:rPr>
            </w:pPr>
            <w:r w:rsidRPr="00940301">
              <w:rPr>
                <w:rFonts w:cs="Calibri"/>
                <w:sz w:val="18"/>
                <w:szCs w:val="18"/>
              </w:rPr>
              <w:t>3 864</w:t>
            </w:r>
          </w:p>
        </w:tc>
        <w:tc>
          <w:tcPr>
            <w:tcW w:w="480" w:type="pct"/>
            <w:tcBorders>
              <w:top w:val="nil"/>
              <w:left w:val="nil"/>
              <w:bottom w:val="single" w:sz="8" w:space="0" w:color="FFFFFF"/>
              <w:right w:val="single" w:sz="8" w:space="0" w:color="FFFFFF"/>
            </w:tcBorders>
            <w:shd w:val="clear" w:color="000000" w:fill="C4BD97"/>
            <w:noWrap/>
            <w:vAlign w:val="bottom"/>
            <w:hideMark/>
          </w:tcPr>
          <w:p w14:paraId="0A34992C" w14:textId="77777777" w:rsidR="00911770" w:rsidRPr="00940301" w:rsidRDefault="00911770" w:rsidP="005A1544">
            <w:pPr>
              <w:spacing w:after="0"/>
              <w:jc w:val="right"/>
              <w:rPr>
                <w:rFonts w:cs="Calibri"/>
                <w:sz w:val="18"/>
                <w:szCs w:val="18"/>
              </w:rPr>
            </w:pPr>
            <w:r w:rsidRPr="00940301">
              <w:rPr>
                <w:rFonts w:cs="Calibri"/>
                <w:sz w:val="18"/>
                <w:szCs w:val="18"/>
              </w:rPr>
              <w:t>3 053</w:t>
            </w:r>
          </w:p>
        </w:tc>
        <w:tc>
          <w:tcPr>
            <w:tcW w:w="454" w:type="pct"/>
            <w:tcBorders>
              <w:top w:val="nil"/>
              <w:left w:val="nil"/>
              <w:bottom w:val="single" w:sz="8" w:space="0" w:color="FFFFFF"/>
              <w:right w:val="single" w:sz="8" w:space="0" w:color="FFFFFF"/>
            </w:tcBorders>
            <w:shd w:val="clear" w:color="000000" w:fill="F2F2F2"/>
            <w:noWrap/>
            <w:vAlign w:val="bottom"/>
            <w:hideMark/>
          </w:tcPr>
          <w:p w14:paraId="1EE4D12D" w14:textId="77777777" w:rsidR="00911770" w:rsidRPr="00940301" w:rsidRDefault="00911770" w:rsidP="005A1544">
            <w:pPr>
              <w:spacing w:after="0"/>
              <w:jc w:val="right"/>
              <w:rPr>
                <w:rFonts w:cs="Calibri"/>
                <w:sz w:val="18"/>
                <w:szCs w:val="18"/>
              </w:rPr>
            </w:pPr>
            <w:r w:rsidRPr="00940301">
              <w:rPr>
                <w:rFonts w:cs="Calibri"/>
                <w:sz w:val="18"/>
                <w:szCs w:val="18"/>
              </w:rPr>
              <w:t>994</w:t>
            </w:r>
          </w:p>
        </w:tc>
        <w:tc>
          <w:tcPr>
            <w:tcW w:w="454" w:type="pct"/>
            <w:tcBorders>
              <w:top w:val="nil"/>
              <w:left w:val="nil"/>
              <w:bottom w:val="single" w:sz="8" w:space="0" w:color="FFFFFF"/>
              <w:right w:val="single" w:sz="8" w:space="0" w:color="FFFFFF"/>
            </w:tcBorders>
            <w:shd w:val="clear" w:color="000000" w:fill="C4BD97"/>
            <w:noWrap/>
            <w:vAlign w:val="bottom"/>
            <w:hideMark/>
          </w:tcPr>
          <w:p w14:paraId="4B397AEC" w14:textId="77777777" w:rsidR="00911770" w:rsidRPr="00940301" w:rsidRDefault="00911770" w:rsidP="005A1544">
            <w:pPr>
              <w:spacing w:after="0"/>
              <w:jc w:val="right"/>
              <w:rPr>
                <w:rFonts w:cs="Calibri"/>
                <w:sz w:val="18"/>
                <w:szCs w:val="18"/>
              </w:rPr>
            </w:pPr>
            <w:r w:rsidRPr="00940301">
              <w:rPr>
                <w:rFonts w:cs="Calibri"/>
                <w:sz w:val="18"/>
                <w:szCs w:val="18"/>
              </w:rPr>
              <w:t>182</w:t>
            </w:r>
          </w:p>
        </w:tc>
        <w:tc>
          <w:tcPr>
            <w:tcW w:w="462" w:type="pct"/>
            <w:tcBorders>
              <w:top w:val="nil"/>
              <w:left w:val="nil"/>
              <w:bottom w:val="single" w:sz="8" w:space="0" w:color="FFFFFF"/>
              <w:right w:val="single" w:sz="8" w:space="0" w:color="FFFFFF"/>
            </w:tcBorders>
            <w:shd w:val="clear" w:color="000000" w:fill="D9D9D9"/>
            <w:vAlign w:val="bottom"/>
            <w:hideMark/>
          </w:tcPr>
          <w:p w14:paraId="772D85D3" w14:textId="77777777" w:rsidR="00911770" w:rsidRPr="00940301" w:rsidRDefault="00911770" w:rsidP="005A1544">
            <w:pPr>
              <w:spacing w:after="0"/>
              <w:jc w:val="right"/>
              <w:rPr>
                <w:rFonts w:cs="Calibri"/>
                <w:sz w:val="18"/>
                <w:szCs w:val="18"/>
              </w:rPr>
            </w:pPr>
            <w:r w:rsidRPr="00940301">
              <w:rPr>
                <w:rFonts w:cs="Calibri"/>
                <w:sz w:val="18"/>
                <w:szCs w:val="18"/>
              </w:rPr>
              <w:t>-4 979</w:t>
            </w:r>
          </w:p>
        </w:tc>
      </w:tr>
      <w:tr w:rsidR="00911770" w:rsidRPr="000668B8" w14:paraId="5945DB82"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011369C3" w14:textId="77777777" w:rsidR="00911770" w:rsidRPr="00940301" w:rsidRDefault="00911770" w:rsidP="005A1544">
            <w:pPr>
              <w:spacing w:after="0"/>
              <w:rPr>
                <w:rFonts w:cs="Calibri"/>
                <w:sz w:val="18"/>
                <w:szCs w:val="18"/>
              </w:rPr>
            </w:pPr>
            <w:r w:rsidRPr="00940301">
              <w:rPr>
                <w:rFonts w:cs="Calibri"/>
                <w:sz w:val="18"/>
                <w:szCs w:val="18"/>
              </w:rPr>
              <w:t xml:space="preserve">SOŠ </w:t>
            </w:r>
            <w:proofErr w:type="spellStart"/>
            <w:r w:rsidRPr="00940301">
              <w:rPr>
                <w:rFonts w:cs="Calibri"/>
                <w:sz w:val="18"/>
                <w:szCs w:val="18"/>
              </w:rPr>
              <w:t>beauty</w:t>
            </w:r>
            <w:proofErr w:type="spellEnd"/>
            <w:r w:rsidRPr="00940301">
              <w:rPr>
                <w:rFonts w:cs="Calibri"/>
                <w:sz w:val="18"/>
                <w:szCs w:val="18"/>
              </w:rPr>
              <w:t xml:space="preserve"> služieb, Račianska 105, BA</w:t>
            </w:r>
          </w:p>
        </w:tc>
        <w:tc>
          <w:tcPr>
            <w:tcW w:w="454" w:type="pct"/>
            <w:tcBorders>
              <w:top w:val="nil"/>
              <w:left w:val="nil"/>
              <w:bottom w:val="single" w:sz="8" w:space="0" w:color="FFFFFF"/>
              <w:right w:val="single" w:sz="8" w:space="0" w:color="FFFFFF"/>
            </w:tcBorders>
            <w:shd w:val="clear" w:color="000000" w:fill="F2F2F2"/>
            <w:noWrap/>
            <w:vAlign w:val="bottom"/>
            <w:hideMark/>
          </w:tcPr>
          <w:p w14:paraId="60CD1955" w14:textId="77777777" w:rsidR="00911770" w:rsidRPr="00940301" w:rsidRDefault="00911770" w:rsidP="005A1544">
            <w:pPr>
              <w:spacing w:after="0"/>
              <w:jc w:val="right"/>
              <w:rPr>
                <w:rFonts w:cs="Calibri"/>
                <w:sz w:val="18"/>
                <w:szCs w:val="18"/>
              </w:rPr>
            </w:pPr>
            <w:r w:rsidRPr="00940301">
              <w:rPr>
                <w:rFonts w:cs="Calibri"/>
                <w:sz w:val="18"/>
                <w:szCs w:val="18"/>
              </w:rPr>
              <w:t>-7 899</w:t>
            </w:r>
          </w:p>
        </w:tc>
        <w:tc>
          <w:tcPr>
            <w:tcW w:w="454" w:type="pct"/>
            <w:tcBorders>
              <w:top w:val="nil"/>
              <w:left w:val="nil"/>
              <w:bottom w:val="single" w:sz="8" w:space="0" w:color="FFFFFF"/>
              <w:right w:val="single" w:sz="8" w:space="0" w:color="FFFFFF"/>
            </w:tcBorders>
            <w:shd w:val="clear" w:color="000000" w:fill="C4BD97"/>
            <w:noWrap/>
            <w:vAlign w:val="bottom"/>
            <w:hideMark/>
          </w:tcPr>
          <w:p w14:paraId="3751B443" w14:textId="77777777" w:rsidR="00911770" w:rsidRPr="00940301" w:rsidRDefault="00911770" w:rsidP="005A1544">
            <w:pPr>
              <w:spacing w:after="0"/>
              <w:jc w:val="right"/>
              <w:rPr>
                <w:rFonts w:cs="Calibri"/>
                <w:sz w:val="18"/>
                <w:szCs w:val="18"/>
              </w:rPr>
            </w:pPr>
            <w:r w:rsidRPr="00940301">
              <w:rPr>
                <w:rFonts w:cs="Calibri"/>
                <w:sz w:val="18"/>
                <w:szCs w:val="18"/>
              </w:rPr>
              <w:t>-7 958</w:t>
            </w:r>
          </w:p>
        </w:tc>
        <w:tc>
          <w:tcPr>
            <w:tcW w:w="462" w:type="pct"/>
            <w:tcBorders>
              <w:top w:val="nil"/>
              <w:left w:val="nil"/>
              <w:bottom w:val="single" w:sz="8" w:space="0" w:color="FFFFFF"/>
              <w:right w:val="single" w:sz="8" w:space="0" w:color="FFFFFF"/>
            </w:tcBorders>
            <w:shd w:val="clear" w:color="000000" w:fill="F2F2F2"/>
            <w:noWrap/>
            <w:vAlign w:val="bottom"/>
            <w:hideMark/>
          </w:tcPr>
          <w:p w14:paraId="547D403C"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64162C17"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41A65695" w14:textId="77777777" w:rsidR="00911770" w:rsidRPr="00940301" w:rsidRDefault="00911770" w:rsidP="005A1544">
            <w:pPr>
              <w:spacing w:after="0"/>
              <w:jc w:val="right"/>
              <w:rPr>
                <w:rFonts w:cs="Calibri"/>
                <w:sz w:val="18"/>
                <w:szCs w:val="18"/>
              </w:rPr>
            </w:pPr>
            <w:r w:rsidRPr="00940301">
              <w:rPr>
                <w:rFonts w:cs="Calibri"/>
                <w:sz w:val="18"/>
                <w:szCs w:val="18"/>
              </w:rPr>
              <w:t>-7 899</w:t>
            </w:r>
          </w:p>
        </w:tc>
        <w:tc>
          <w:tcPr>
            <w:tcW w:w="454" w:type="pct"/>
            <w:tcBorders>
              <w:top w:val="nil"/>
              <w:left w:val="nil"/>
              <w:bottom w:val="single" w:sz="8" w:space="0" w:color="FFFFFF"/>
              <w:right w:val="single" w:sz="8" w:space="0" w:color="FFFFFF"/>
            </w:tcBorders>
            <w:shd w:val="clear" w:color="000000" w:fill="C4BD97"/>
            <w:noWrap/>
            <w:vAlign w:val="bottom"/>
            <w:hideMark/>
          </w:tcPr>
          <w:p w14:paraId="25545F02" w14:textId="77777777" w:rsidR="00911770" w:rsidRPr="00940301" w:rsidRDefault="00911770" w:rsidP="005A1544">
            <w:pPr>
              <w:spacing w:after="0"/>
              <w:jc w:val="right"/>
              <w:rPr>
                <w:rFonts w:cs="Calibri"/>
                <w:sz w:val="18"/>
                <w:szCs w:val="18"/>
              </w:rPr>
            </w:pPr>
            <w:r w:rsidRPr="00940301">
              <w:rPr>
                <w:rFonts w:cs="Calibri"/>
                <w:sz w:val="18"/>
                <w:szCs w:val="18"/>
              </w:rPr>
              <w:t>-7 958</w:t>
            </w:r>
          </w:p>
        </w:tc>
        <w:tc>
          <w:tcPr>
            <w:tcW w:w="462" w:type="pct"/>
            <w:tcBorders>
              <w:top w:val="nil"/>
              <w:left w:val="nil"/>
              <w:bottom w:val="single" w:sz="8" w:space="0" w:color="FFFFFF"/>
              <w:right w:val="single" w:sz="8" w:space="0" w:color="FFFFFF"/>
            </w:tcBorders>
            <w:shd w:val="clear" w:color="000000" w:fill="D9D9D9"/>
            <w:vAlign w:val="bottom"/>
            <w:hideMark/>
          </w:tcPr>
          <w:p w14:paraId="30CD9124" w14:textId="77777777" w:rsidR="00911770" w:rsidRPr="00940301" w:rsidRDefault="00911770" w:rsidP="005A1544">
            <w:pPr>
              <w:spacing w:after="0"/>
              <w:jc w:val="right"/>
              <w:rPr>
                <w:rFonts w:cs="Calibri"/>
                <w:sz w:val="18"/>
                <w:szCs w:val="18"/>
              </w:rPr>
            </w:pPr>
            <w:r w:rsidRPr="00940301">
              <w:rPr>
                <w:rFonts w:cs="Calibri"/>
                <w:sz w:val="18"/>
                <w:szCs w:val="18"/>
              </w:rPr>
              <w:t>-50 817</w:t>
            </w:r>
          </w:p>
        </w:tc>
      </w:tr>
      <w:tr w:rsidR="00911770" w:rsidRPr="000668B8" w14:paraId="7439DC66"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6802E45D" w14:textId="77777777" w:rsidR="00911770" w:rsidRPr="00940301" w:rsidRDefault="00911770" w:rsidP="005A1544">
            <w:pPr>
              <w:spacing w:after="0"/>
              <w:rPr>
                <w:rFonts w:cs="Calibri"/>
                <w:sz w:val="18"/>
                <w:szCs w:val="18"/>
              </w:rPr>
            </w:pPr>
            <w:r w:rsidRPr="00940301">
              <w:rPr>
                <w:rFonts w:cs="Calibri"/>
                <w:sz w:val="18"/>
                <w:szCs w:val="18"/>
              </w:rPr>
              <w:t>SOŠ automobilová a</w:t>
            </w:r>
            <w:r>
              <w:rPr>
                <w:rFonts w:cs="Calibri"/>
                <w:sz w:val="18"/>
                <w:szCs w:val="18"/>
              </w:rPr>
              <w:t> </w:t>
            </w:r>
            <w:r w:rsidRPr="00940301">
              <w:rPr>
                <w:rFonts w:cs="Calibri"/>
                <w:sz w:val="18"/>
                <w:szCs w:val="18"/>
              </w:rPr>
              <w:t>podnik</w:t>
            </w:r>
            <w:r>
              <w:rPr>
                <w:rFonts w:cs="Calibri"/>
                <w:sz w:val="18"/>
                <w:szCs w:val="18"/>
              </w:rPr>
              <w:t>.</w:t>
            </w:r>
            <w:r w:rsidRPr="00940301">
              <w:rPr>
                <w:rFonts w:cs="Calibri"/>
                <w:sz w:val="18"/>
                <w:szCs w:val="18"/>
              </w:rPr>
              <w:t>, Kysucká 14, Senec</w:t>
            </w:r>
          </w:p>
        </w:tc>
        <w:tc>
          <w:tcPr>
            <w:tcW w:w="454" w:type="pct"/>
            <w:tcBorders>
              <w:top w:val="nil"/>
              <w:left w:val="nil"/>
              <w:bottom w:val="single" w:sz="8" w:space="0" w:color="FFFFFF"/>
              <w:right w:val="single" w:sz="8" w:space="0" w:color="FFFFFF"/>
            </w:tcBorders>
            <w:shd w:val="clear" w:color="000000" w:fill="F2F2F2"/>
            <w:noWrap/>
            <w:vAlign w:val="bottom"/>
            <w:hideMark/>
          </w:tcPr>
          <w:p w14:paraId="51FFB154" w14:textId="77777777" w:rsidR="00911770" w:rsidRPr="00940301" w:rsidRDefault="00911770" w:rsidP="005A1544">
            <w:pPr>
              <w:spacing w:after="0"/>
              <w:jc w:val="right"/>
              <w:rPr>
                <w:rFonts w:cs="Calibri"/>
                <w:sz w:val="18"/>
                <w:szCs w:val="18"/>
              </w:rPr>
            </w:pPr>
            <w:r w:rsidRPr="00940301">
              <w:rPr>
                <w:rFonts w:cs="Calibri"/>
                <w:sz w:val="18"/>
                <w:szCs w:val="18"/>
              </w:rPr>
              <w:t>-8 719</w:t>
            </w:r>
          </w:p>
        </w:tc>
        <w:tc>
          <w:tcPr>
            <w:tcW w:w="454" w:type="pct"/>
            <w:tcBorders>
              <w:top w:val="nil"/>
              <w:left w:val="nil"/>
              <w:bottom w:val="single" w:sz="8" w:space="0" w:color="FFFFFF"/>
              <w:right w:val="single" w:sz="8" w:space="0" w:color="FFFFFF"/>
            </w:tcBorders>
            <w:shd w:val="clear" w:color="000000" w:fill="C4BD97"/>
            <w:noWrap/>
            <w:vAlign w:val="bottom"/>
            <w:hideMark/>
          </w:tcPr>
          <w:p w14:paraId="5942D2C8" w14:textId="77777777" w:rsidR="00911770" w:rsidRPr="00940301" w:rsidRDefault="00911770" w:rsidP="005A1544">
            <w:pPr>
              <w:spacing w:after="0"/>
              <w:jc w:val="right"/>
              <w:rPr>
                <w:rFonts w:cs="Calibri"/>
                <w:sz w:val="18"/>
                <w:szCs w:val="18"/>
              </w:rPr>
            </w:pPr>
            <w:r w:rsidRPr="00940301">
              <w:rPr>
                <w:rFonts w:cs="Calibri"/>
                <w:sz w:val="18"/>
                <w:szCs w:val="18"/>
              </w:rPr>
              <w:t>-8 719</w:t>
            </w:r>
          </w:p>
        </w:tc>
        <w:tc>
          <w:tcPr>
            <w:tcW w:w="462" w:type="pct"/>
            <w:tcBorders>
              <w:top w:val="nil"/>
              <w:left w:val="nil"/>
              <w:bottom w:val="single" w:sz="8" w:space="0" w:color="FFFFFF"/>
              <w:right w:val="single" w:sz="8" w:space="0" w:color="FFFFFF"/>
            </w:tcBorders>
            <w:shd w:val="clear" w:color="000000" w:fill="F2F2F2"/>
            <w:noWrap/>
            <w:vAlign w:val="bottom"/>
            <w:hideMark/>
          </w:tcPr>
          <w:p w14:paraId="739D38BE"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7196B50D"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3DACA072" w14:textId="77777777" w:rsidR="00911770" w:rsidRPr="00940301" w:rsidRDefault="00911770" w:rsidP="005A1544">
            <w:pPr>
              <w:spacing w:after="0"/>
              <w:jc w:val="right"/>
              <w:rPr>
                <w:rFonts w:cs="Calibri"/>
                <w:sz w:val="18"/>
                <w:szCs w:val="18"/>
              </w:rPr>
            </w:pPr>
            <w:r w:rsidRPr="00940301">
              <w:rPr>
                <w:rFonts w:cs="Calibri"/>
                <w:sz w:val="18"/>
                <w:szCs w:val="18"/>
              </w:rPr>
              <w:t>-8 719</w:t>
            </w:r>
          </w:p>
        </w:tc>
        <w:tc>
          <w:tcPr>
            <w:tcW w:w="454" w:type="pct"/>
            <w:tcBorders>
              <w:top w:val="nil"/>
              <w:left w:val="nil"/>
              <w:bottom w:val="single" w:sz="8" w:space="0" w:color="FFFFFF"/>
              <w:right w:val="single" w:sz="8" w:space="0" w:color="FFFFFF"/>
            </w:tcBorders>
            <w:shd w:val="clear" w:color="000000" w:fill="C4BD97"/>
            <w:noWrap/>
            <w:vAlign w:val="bottom"/>
            <w:hideMark/>
          </w:tcPr>
          <w:p w14:paraId="2293FE79" w14:textId="77777777" w:rsidR="00911770" w:rsidRPr="00940301" w:rsidRDefault="00911770" w:rsidP="005A1544">
            <w:pPr>
              <w:spacing w:after="0"/>
              <w:jc w:val="right"/>
              <w:rPr>
                <w:rFonts w:cs="Calibri"/>
                <w:sz w:val="18"/>
                <w:szCs w:val="18"/>
              </w:rPr>
            </w:pPr>
            <w:r w:rsidRPr="00940301">
              <w:rPr>
                <w:rFonts w:cs="Calibri"/>
                <w:sz w:val="18"/>
                <w:szCs w:val="18"/>
              </w:rPr>
              <w:t>-8 719</w:t>
            </w:r>
          </w:p>
        </w:tc>
        <w:tc>
          <w:tcPr>
            <w:tcW w:w="462" w:type="pct"/>
            <w:tcBorders>
              <w:top w:val="nil"/>
              <w:left w:val="nil"/>
              <w:bottom w:val="single" w:sz="8" w:space="0" w:color="FFFFFF"/>
              <w:right w:val="single" w:sz="8" w:space="0" w:color="FFFFFF"/>
            </w:tcBorders>
            <w:shd w:val="clear" w:color="000000" w:fill="D9D9D9"/>
            <w:vAlign w:val="bottom"/>
            <w:hideMark/>
          </w:tcPr>
          <w:p w14:paraId="22961F42" w14:textId="77777777" w:rsidR="00911770" w:rsidRPr="00940301" w:rsidRDefault="00911770" w:rsidP="005A1544">
            <w:pPr>
              <w:spacing w:after="0"/>
              <w:jc w:val="right"/>
              <w:rPr>
                <w:rFonts w:cs="Calibri"/>
                <w:sz w:val="18"/>
                <w:szCs w:val="18"/>
              </w:rPr>
            </w:pPr>
            <w:r w:rsidRPr="00940301">
              <w:rPr>
                <w:rFonts w:cs="Calibri"/>
                <w:sz w:val="18"/>
                <w:szCs w:val="18"/>
              </w:rPr>
              <w:t>78 280</w:t>
            </w:r>
          </w:p>
        </w:tc>
      </w:tr>
      <w:tr w:rsidR="00911770" w:rsidRPr="000668B8" w14:paraId="757943B3"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6AC92273" w14:textId="77777777" w:rsidR="00911770" w:rsidRPr="00940301" w:rsidRDefault="00911770" w:rsidP="005A1544">
            <w:pPr>
              <w:spacing w:after="0"/>
              <w:rPr>
                <w:rFonts w:cs="Calibri"/>
                <w:sz w:val="18"/>
                <w:szCs w:val="18"/>
              </w:rPr>
            </w:pPr>
            <w:r w:rsidRPr="00874EF0">
              <w:rPr>
                <w:rFonts w:cs="Calibri"/>
                <w:sz w:val="18"/>
                <w:szCs w:val="18"/>
              </w:rPr>
              <w:t xml:space="preserve">SOŠ polygrafická, </w:t>
            </w:r>
            <w:r w:rsidRPr="00874EF0">
              <w:rPr>
                <w:sz w:val="18"/>
                <w:szCs w:val="18"/>
              </w:rPr>
              <w:t>Račianska 190, BA</w:t>
            </w:r>
          </w:p>
        </w:tc>
        <w:tc>
          <w:tcPr>
            <w:tcW w:w="454" w:type="pct"/>
            <w:tcBorders>
              <w:top w:val="nil"/>
              <w:left w:val="nil"/>
              <w:bottom w:val="single" w:sz="8" w:space="0" w:color="FFFFFF"/>
              <w:right w:val="single" w:sz="8" w:space="0" w:color="FFFFFF"/>
            </w:tcBorders>
            <w:shd w:val="clear" w:color="000000" w:fill="F2F2F2"/>
            <w:noWrap/>
            <w:vAlign w:val="bottom"/>
            <w:hideMark/>
          </w:tcPr>
          <w:p w14:paraId="413B771C" w14:textId="77777777" w:rsidR="00911770" w:rsidRPr="00940301" w:rsidRDefault="00911770" w:rsidP="005A1544">
            <w:pPr>
              <w:spacing w:after="0"/>
              <w:jc w:val="right"/>
              <w:rPr>
                <w:rFonts w:cs="Calibri"/>
                <w:sz w:val="18"/>
                <w:szCs w:val="18"/>
              </w:rPr>
            </w:pPr>
            <w:r w:rsidRPr="00940301">
              <w:rPr>
                <w:rFonts w:cs="Calibri"/>
                <w:sz w:val="18"/>
                <w:szCs w:val="18"/>
              </w:rPr>
              <w:t>-15 285</w:t>
            </w:r>
          </w:p>
        </w:tc>
        <w:tc>
          <w:tcPr>
            <w:tcW w:w="454" w:type="pct"/>
            <w:tcBorders>
              <w:top w:val="nil"/>
              <w:left w:val="nil"/>
              <w:bottom w:val="single" w:sz="8" w:space="0" w:color="FFFFFF"/>
              <w:right w:val="single" w:sz="8" w:space="0" w:color="FFFFFF"/>
            </w:tcBorders>
            <w:shd w:val="clear" w:color="000000" w:fill="C4BD97"/>
            <w:noWrap/>
            <w:vAlign w:val="bottom"/>
            <w:hideMark/>
          </w:tcPr>
          <w:p w14:paraId="21554537" w14:textId="77777777" w:rsidR="00911770" w:rsidRPr="00940301" w:rsidRDefault="00911770" w:rsidP="005A1544">
            <w:pPr>
              <w:spacing w:after="0"/>
              <w:jc w:val="right"/>
              <w:rPr>
                <w:rFonts w:cs="Calibri"/>
                <w:sz w:val="18"/>
                <w:szCs w:val="18"/>
              </w:rPr>
            </w:pPr>
            <w:r w:rsidRPr="00940301">
              <w:rPr>
                <w:rFonts w:cs="Calibri"/>
                <w:sz w:val="18"/>
                <w:szCs w:val="18"/>
              </w:rPr>
              <w:t>-22 171</w:t>
            </w:r>
          </w:p>
        </w:tc>
        <w:tc>
          <w:tcPr>
            <w:tcW w:w="462" w:type="pct"/>
            <w:tcBorders>
              <w:top w:val="nil"/>
              <w:left w:val="nil"/>
              <w:bottom w:val="single" w:sz="8" w:space="0" w:color="FFFFFF"/>
              <w:right w:val="single" w:sz="8" w:space="0" w:color="FFFFFF"/>
            </w:tcBorders>
            <w:shd w:val="clear" w:color="000000" w:fill="F2F2F2"/>
            <w:noWrap/>
            <w:vAlign w:val="bottom"/>
            <w:hideMark/>
          </w:tcPr>
          <w:p w14:paraId="5F4D12DD" w14:textId="77777777" w:rsidR="00911770" w:rsidRPr="00940301" w:rsidRDefault="00911770" w:rsidP="005A1544">
            <w:pPr>
              <w:spacing w:after="0"/>
              <w:jc w:val="right"/>
              <w:rPr>
                <w:rFonts w:cs="Calibri"/>
                <w:sz w:val="18"/>
                <w:szCs w:val="18"/>
              </w:rPr>
            </w:pPr>
            <w:r w:rsidRPr="00940301">
              <w:rPr>
                <w:rFonts w:cs="Calibri"/>
                <w:sz w:val="18"/>
                <w:szCs w:val="18"/>
              </w:rPr>
              <w:t>7 253</w:t>
            </w:r>
          </w:p>
        </w:tc>
        <w:tc>
          <w:tcPr>
            <w:tcW w:w="480" w:type="pct"/>
            <w:tcBorders>
              <w:top w:val="nil"/>
              <w:left w:val="nil"/>
              <w:bottom w:val="single" w:sz="8" w:space="0" w:color="FFFFFF"/>
              <w:right w:val="single" w:sz="8" w:space="0" w:color="FFFFFF"/>
            </w:tcBorders>
            <w:shd w:val="clear" w:color="000000" w:fill="C4BD97"/>
            <w:noWrap/>
            <w:vAlign w:val="bottom"/>
            <w:hideMark/>
          </w:tcPr>
          <w:p w14:paraId="2AD997DB" w14:textId="77777777" w:rsidR="00911770" w:rsidRPr="00940301" w:rsidRDefault="00911770" w:rsidP="005A1544">
            <w:pPr>
              <w:spacing w:after="0"/>
              <w:jc w:val="right"/>
              <w:rPr>
                <w:rFonts w:cs="Calibri"/>
                <w:sz w:val="18"/>
                <w:szCs w:val="18"/>
              </w:rPr>
            </w:pPr>
            <w:r w:rsidRPr="00940301">
              <w:rPr>
                <w:rFonts w:cs="Calibri"/>
                <w:sz w:val="18"/>
                <w:szCs w:val="18"/>
              </w:rPr>
              <w:t>2 223</w:t>
            </w:r>
          </w:p>
        </w:tc>
        <w:tc>
          <w:tcPr>
            <w:tcW w:w="454" w:type="pct"/>
            <w:tcBorders>
              <w:top w:val="nil"/>
              <w:left w:val="nil"/>
              <w:bottom w:val="single" w:sz="8" w:space="0" w:color="FFFFFF"/>
              <w:right w:val="single" w:sz="8" w:space="0" w:color="FFFFFF"/>
            </w:tcBorders>
            <w:shd w:val="clear" w:color="000000" w:fill="F2F2F2"/>
            <w:noWrap/>
            <w:vAlign w:val="bottom"/>
            <w:hideMark/>
          </w:tcPr>
          <w:p w14:paraId="78A371CA" w14:textId="77777777" w:rsidR="00911770" w:rsidRPr="00940301" w:rsidRDefault="00911770" w:rsidP="005A1544">
            <w:pPr>
              <w:spacing w:after="0"/>
              <w:jc w:val="right"/>
              <w:rPr>
                <w:rFonts w:cs="Calibri"/>
                <w:sz w:val="18"/>
                <w:szCs w:val="18"/>
              </w:rPr>
            </w:pPr>
            <w:r w:rsidRPr="00940301">
              <w:rPr>
                <w:rFonts w:cs="Calibri"/>
                <w:sz w:val="18"/>
                <w:szCs w:val="18"/>
              </w:rPr>
              <w:t>-8 032</w:t>
            </w:r>
          </w:p>
        </w:tc>
        <w:tc>
          <w:tcPr>
            <w:tcW w:w="454" w:type="pct"/>
            <w:tcBorders>
              <w:top w:val="nil"/>
              <w:left w:val="nil"/>
              <w:bottom w:val="single" w:sz="8" w:space="0" w:color="FFFFFF"/>
              <w:right w:val="single" w:sz="8" w:space="0" w:color="FFFFFF"/>
            </w:tcBorders>
            <w:shd w:val="clear" w:color="000000" w:fill="C4BD97"/>
            <w:noWrap/>
            <w:vAlign w:val="bottom"/>
            <w:hideMark/>
          </w:tcPr>
          <w:p w14:paraId="31514C4B" w14:textId="77777777" w:rsidR="00911770" w:rsidRPr="00940301" w:rsidRDefault="00911770" w:rsidP="005A1544">
            <w:pPr>
              <w:spacing w:after="0"/>
              <w:jc w:val="right"/>
              <w:rPr>
                <w:rFonts w:cs="Calibri"/>
                <w:sz w:val="18"/>
                <w:szCs w:val="18"/>
              </w:rPr>
            </w:pPr>
            <w:r w:rsidRPr="00940301">
              <w:rPr>
                <w:rFonts w:cs="Calibri"/>
                <w:sz w:val="18"/>
                <w:szCs w:val="18"/>
              </w:rPr>
              <w:t>-19 948</w:t>
            </w:r>
          </w:p>
        </w:tc>
        <w:tc>
          <w:tcPr>
            <w:tcW w:w="462" w:type="pct"/>
            <w:tcBorders>
              <w:top w:val="nil"/>
              <w:left w:val="nil"/>
              <w:bottom w:val="single" w:sz="8" w:space="0" w:color="FFFFFF"/>
              <w:right w:val="single" w:sz="8" w:space="0" w:color="FFFFFF"/>
            </w:tcBorders>
            <w:shd w:val="clear" w:color="000000" w:fill="D9D9D9"/>
            <w:vAlign w:val="bottom"/>
            <w:hideMark/>
          </w:tcPr>
          <w:p w14:paraId="16E8A11B" w14:textId="77777777" w:rsidR="00911770" w:rsidRPr="00940301" w:rsidRDefault="00911770" w:rsidP="005A1544">
            <w:pPr>
              <w:spacing w:after="0"/>
              <w:jc w:val="right"/>
              <w:rPr>
                <w:rFonts w:cs="Calibri"/>
                <w:sz w:val="18"/>
                <w:szCs w:val="18"/>
              </w:rPr>
            </w:pPr>
            <w:r w:rsidRPr="00940301">
              <w:rPr>
                <w:rFonts w:cs="Calibri"/>
                <w:sz w:val="18"/>
                <w:szCs w:val="18"/>
              </w:rPr>
              <w:t>-4 607</w:t>
            </w:r>
          </w:p>
        </w:tc>
      </w:tr>
      <w:tr w:rsidR="00911770" w:rsidRPr="000668B8" w14:paraId="3E0EDC4F"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48272163" w14:textId="77777777" w:rsidR="00911770" w:rsidRPr="00940301" w:rsidRDefault="00911770" w:rsidP="005A1544">
            <w:pPr>
              <w:spacing w:after="0"/>
              <w:rPr>
                <w:rFonts w:cs="Calibri"/>
                <w:sz w:val="18"/>
                <w:szCs w:val="18"/>
              </w:rPr>
            </w:pPr>
            <w:r w:rsidRPr="00940301">
              <w:rPr>
                <w:rFonts w:cs="Calibri"/>
                <w:sz w:val="18"/>
                <w:szCs w:val="18"/>
              </w:rPr>
              <w:t xml:space="preserve">SOŠ informačných technológií, </w:t>
            </w:r>
            <w:proofErr w:type="spellStart"/>
            <w:r w:rsidRPr="00940301">
              <w:rPr>
                <w:rFonts w:cs="Calibri"/>
                <w:sz w:val="18"/>
                <w:szCs w:val="18"/>
              </w:rPr>
              <w:t>Hlinícka</w:t>
            </w:r>
            <w:proofErr w:type="spellEnd"/>
            <w:r w:rsidRPr="00940301">
              <w:rPr>
                <w:rFonts w:cs="Calibri"/>
                <w:sz w:val="18"/>
                <w:szCs w:val="18"/>
              </w:rPr>
              <w:t xml:space="preserve"> 1, BA</w:t>
            </w:r>
          </w:p>
        </w:tc>
        <w:tc>
          <w:tcPr>
            <w:tcW w:w="454" w:type="pct"/>
            <w:tcBorders>
              <w:top w:val="nil"/>
              <w:left w:val="nil"/>
              <w:bottom w:val="single" w:sz="8" w:space="0" w:color="FFFFFF"/>
              <w:right w:val="single" w:sz="8" w:space="0" w:color="FFFFFF"/>
            </w:tcBorders>
            <w:shd w:val="clear" w:color="000000" w:fill="F2F2F2"/>
            <w:noWrap/>
            <w:vAlign w:val="bottom"/>
            <w:hideMark/>
          </w:tcPr>
          <w:p w14:paraId="2038BA71" w14:textId="77777777" w:rsidR="00911770" w:rsidRPr="00940301" w:rsidRDefault="00911770" w:rsidP="005A1544">
            <w:pPr>
              <w:spacing w:after="0"/>
              <w:jc w:val="right"/>
              <w:rPr>
                <w:rFonts w:cs="Calibri"/>
                <w:sz w:val="18"/>
                <w:szCs w:val="18"/>
              </w:rPr>
            </w:pPr>
            <w:r w:rsidRPr="00940301">
              <w:rPr>
                <w:rFonts w:cs="Calibri"/>
                <w:sz w:val="18"/>
                <w:szCs w:val="18"/>
              </w:rPr>
              <w:t>-23 413</w:t>
            </w:r>
          </w:p>
        </w:tc>
        <w:tc>
          <w:tcPr>
            <w:tcW w:w="454" w:type="pct"/>
            <w:tcBorders>
              <w:top w:val="nil"/>
              <w:left w:val="nil"/>
              <w:bottom w:val="single" w:sz="8" w:space="0" w:color="FFFFFF"/>
              <w:right w:val="single" w:sz="8" w:space="0" w:color="FFFFFF"/>
            </w:tcBorders>
            <w:shd w:val="clear" w:color="000000" w:fill="C4BD97"/>
            <w:noWrap/>
            <w:vAlign w:val="bottom"/>
            <w:hideMark/>
          </w:tcPr>
          <w:p w14:paraId="3B5554F9" w14:textId="77777777" w:rsidR="00911770" w:rsidRPr="00940301" w:rsidRDefault="00911770" w:rsidP="005A1544">
            <w:pPr>
              <w:spacing w:after="0"/>
              <w:jc w:val="right"/>
              <w:rPr>
                <w:rFonts w:cs="Calibri"/>
                <w:sz w:val="18"/>
                <w:szCs w:val="18"/>
              </w:rPr>
            </w:pPr>
            <w:r w:rsidRPr="00940301">
              <w:rPr>
                <w:rFonts w:cs="Calibri"/>
                <w:sz w:val="18"/>
                <w:szCs w:val="18"/>
              </w:rPr>
              <w:t>-23 827</w:t>
            </w:r>
          </w:p>
        </w:tc>
        <w:tc>
          <w:tcPr>
            <w:tcW w:w="462" w:type="pct"/>
            <w:tcBorders>
              <w:top w:val="nil"/>
              <w:left w:val="nil"/>
              <w:bottom w:val="single" w:sz="8" w:space="0" w:color="FFFFFF"/>
              <w:right w:val="single" w:sz="8" w:space="0" w:color="FFFFFF"/>
            </w:tcBorders>
            <w:shd w:val="clear" w:color="000000" w:fill="F2F2F2"/>
            <w:noWrap/>
            <w:vAlign w:val="bottom"/>
            <w:hideMark/>
          </w:tcPr>
          <w:p w14:paraId="53A998B7" w14:textId="77777777" w:rsidR="00911770" w:rsidRPr="00940301" w:rsidRDefault="00911770" w:rsidP="005A1544">
            <w:pPr>
              <w:spacing w:after="0"/>
              <w:jc w:val="right"/>
              <w:rPr>
                <w:rFonts w:cs="Calibri"/>
                <w:sz w:val="18"/>
                <w:szCs w:val="18"/>
              </w:rPr>
            </w:pPr>
            <w:r w:rsidRPr="00940301">
              <w:rPr>
                <w:rFonts w:cs="Calibri"/>
                <w:sz w:val="18"/>
                <w:szCs w:val="18"/>
              </w:rPr>
              <w:t>2 677</w:t>
            </w:r>
          </w:p>
        </w:tc>
        <w:tc>
          <w:tcPr>
            <w:tcW w:w="480" w:type="pct"/>
            <w:tcBorders>
              <w:top w:val="nil"/>
              <w:left w:val="nil"/>
              <w:bottom w:val="single" w:sz="8" w:space="0" w:color="FFFFFF"/>
              <w:right w:val="single" w:sz="8" w:space="0" w:color="FFFFFF"/>
            </w:tcBorders>
            <w:shd w:val="clear" w:color="000000" w:fill="C4BD97"/>
            <w:noWrap/>
            <w:vAlign w:val="bottom"/>
            <w:hideMark/>
          </w:tcPr>
          <w:p w14:paraId="2C549087" w14:textId="77777777" w:rsidR="00911770" w:rsidRPr="00940301" w:rsidRDefault="00911770" w:rsidP="005A1544">
            <w:pPr>
              <w:spacing w:after="0"/>
              <w:jc w:val="right"/>
              <w:rPr>
                <w:rFonts w:cs="Calibri"/>
                <w:sz w:val="18"/>
                <w:szCs w:val="18"/>
              </w:rPr>
            </w:pPr>
            <w:r w:rsidRPr="00940301">
              <w:rPr>
                <w:rFonts w:cs="Calibri"/>
                <w:sz w:val="18"/>
                <w:szCs w:val="18"/>
              </w:rPr>
              <w:t>2 169</w:t>
            </w:r>
          </w:p>
        </w:tc>
        <w:tc>
          <w:tcPr>
            <w:tcW w:w="454" w:type="pct"/>
            <w:tcBorders>
              <w:top w:val="nil"/>
              <w:left w:val="nil"/>
              <w:bottom w:val="single" w:sz="8" w:space="0" w:color="FFFFFF"/>
              <w:right w:val="single" w:sz="8" w:space="0" w:color="FFFFFF"/>
            </w:tcBorders>
            <w:shd w:val="clear" w:color="000000" w:fill="F2F2F2"/>
            <w:noWrap/>
            <w:vAlign w:val="bottom"/>
            <w:hideMark/>
          </w:tcPr>
          <w:p w14:paraId="43396209" w14:textId="77777777" w:rsidR="00911770" w:rsidRPr="00940301" w:rsidRDefault="00911770" w:rsidP="005A1544">
            <w:pPr>
              <w:spacing w:after="0"/>
              <w:jc w:val="right"/>
              <w:rPr>
                <w:rFonts w:cs="Calibri"/>
                <w:sz w:val="18"/>
                <w:szCs w:val="18"/>
              </w:rPr>
            </w:pPr>
            <w:r w:rsidRPr="00940301">
              <w:rPr>
                <w:rFonts w:cs="Calibri"/>
                <w:sz w:val="18"/>
                <w:szCs w:val="18"/>
              </w:rPr>
              <w:t>-20 736</w:t>
            </w:r>
          </w:p>
        </w:tc>
        <w:tc>
          <w:tcPr>
            <w:tcW w:w="454" w:type="pct"/>
            <w:tcBorders>
              <w:top w:val="nil"/>
              <w:left w:val="nil"/>
              <w:bottom w:val="single" w:sz="8" w:space="0" w:color="FFFFFF"/>
              <w:right w:val="single" w:sz="8" w:space="0" w:color="FFFFFF"/>
            </w:tcBorders>
            <w:shd w:val="clear" w:color="000000" w:fill="C4BD97"/>
            <w:noWrap/>
            <w:vAlign w:val="bottom"/>
            <w:hideMark/>
          </w:tcPr>
          <w:p w14:paraId="0B72C8B1" w14:textId="77777777" w:rsidR="00911770" w:rsidRPr="00940301" w:rsidRDefault="00911770" w:rsidP="005A1544">
            <w:pPr>
              <w:spacing w:after="0"/>
              <w:jc w:val="right"/>
              <w:rPr>
                <w:rFonts w:cs="Calibri"/>
                <w:sz w:val="18"/>
                <w:szCs w:val="18"/>
              </w:rPr>
            </w:pPr>
            <w:r w:rsidRPr="00940301">
              <w:rPr>
                <w:rFonts w:cs="Calibri"/>
                <w:sz w:val="18"/>
                <w:szCs w:val="18"/>
              </w:rPr>
              <w:t>-21 659</w:t>
            </w:r>
          </w:p>
        </w:tc>
        <w:tc>
          <w:tcPr>
            <w:tcW w:w="462" w:type="pct"/>
            <w:tcBorders>
              <w:top w:val="nil"/>
              <w:left w:val="nil"/>
              <w:bottom w:val="single" w:sz="8" w:space="0" w:color="FFFFFF"/>
              <w:right w:val="single" w:sz="8" w:space="0" w:color="FFFFFF"/>
            </w:tcBorders>
            <w:shd w:val="clear" w:color="000000" w:fill="D9D9D9"/>
            <w:vAlign w:val="bottom"/>
            <w:hideMark/>
          </w:tcPr>
          <w:p w14:paraId="4D89E479" w14:textId="77777777" w:rsidR="00911770" w:rsidRPr="00940301" w:rsidRDefault="00911770" w:rsidP="005A1544">
            <w:pPr>
              <w:spacing w:after="0"/>
              <w:jc w:val="right"/>
              <w:rPr>
                <w:rFonts w:cs="Calibri"/>
                <w:sz w:val="18"/>
                <w:szCs w:val="18"/>
              </w:rPr>
            </w:pPr>
            <w:r w:rsidRPr="00940301">
              <w:rPr>
                <w:rFonts w:cs="Calibri"/>
                <w:sz w:val="18"/>
                <w:szCs w:val="18"/>
              </w:rPr>
              <w:t>3 506</w:t>
            </w:r>
          </w:p>
        </w:tc>
      </w:tr>
      <w:tr w:rsidR="00911770" w:rsidRPr="000668B8" w14:paraId="148E127B"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5B26A12F" w14:textId="77777777" w:rsidR="00911770" w:rsidRPr="00940301" w:rsidRDefault="00911770" w:rsidP="005A1544">
            <w:pPr>
              <w:spacing w:after="0"/>
              <w:rPr>
                <w:rFonts w:cs="Calibri"/>
                <w:sz w:val="18"/>
                <w:szCs w:val="18"/>
              </w:rPr>
            </w:pPr>
            <w:r w:rsidRPr="00940301">
              <w:rPr>
                <w:rFonts w:cs="Calibri"/>
                <w:sz w:val="18"/>
                <w:szCs w:val="18"/>
              </w:rPr>
              <w:t xml:space="preserve">SOŠ </w:t>
            </w:r>
            <w:proofErr w:type="spellStart"/>
            <w:r w:rsidRPr="00940301">
              <w:rPr>
                <w:rFonts w:cs="Calibri"/>
                <w:sz w:val="18"/>
                <w:szCs w:val="18"/>
              </w:rPr>
              <w:t>gastro</w:t>
            </w:r>
            <w:proofErr w:type="spellEnd"/>
            <w:r>
              <w:rPr>
                <w:rFonts w:cs="Calibri"/>
                <w:sz w:val="18"/>
                <w:szCs w:val="18"/>
              </w:rPr>
              <w:t>.</w:t>
            </w:r>
            <w:r w:rsidRPr="00940301">
              <w:rPr>
                <w:rFonts w:cs="Calibri"/>
                <w:sz w:val="18"/>
                <w:szCs w:val="18"/>
              </w:rPr>
              <w:t xml:space="preserve"> a hotelových služieb, Farského 9, BA</w:t>
            </w:r>
          </w:p>
        </w:tc>
        <w:tc>
          <w:tcPr>
            <w:tcW w:w="454" w:type="pct"/>
            <w:tcBorders>
              <w:top w:val="nil"/>
              <w:left w:val="nil"/>
              <w:bottom w:val="single" w:sz="8" w:space="0" w:color="FFFFFF"/>
              <w:right w:val="single" w:sz="8" w:space="0" w:color="FFFFFF"/>
            </w:tcBorders>
            <w:shd w:val="clear" w:color="000000" w:fill="F2F2F2"/>
            <w:noWrap/>
            <w:vAlign w:val="bottom"/>
            <w:hideMark/>
          </w:tcPr>
          <w:p w14:paraId="740263C9" w14:textId="77777777" w:rsidR="00911770" w:rsidRPr="00940301" w:rsidRDefault="00911770" w:rsidP="005A1544">
            <w:pPr>
              <w:spacing w:after="0"/>
              <w:jc w:val="right"/>
              <w:rPr>
                <w:rFonts w:cs="Calibri"/>
                <w:sz w:val="18"/>
                <w:szCs w:val="18"/>
              </w:rPr>
            </w:pPr>
            <w:r w:rsidRPr="00940301">
              <w:rPr>
                <w:rFonts w:cs="Calibri"/>
                <w:sz w:val="18"/>
                <w:szCs w:val="18"/>
              </w:rPr>
              <w:t>-73 610</w:t>
            </w:r>
          </w:p>
        </w:tc>
        <w:tc>
          <w:tcPr>
            <w:tcW w:w="454" w:type="pct"/>
            <w:tcBorders>
              <w:top w:val="nil"/>
              <w:left w:val="nil"/>
              <w:bottom w:val="single" w:sz="8" w:space="0" w:color="FFFFFF"/>
              <w:right w:val="single" w:sz="8" w:space="0" w:color="FFFFFF"/>
            </w:tcBorders>
            <w:shd w:val="clear" w:color="000000" w:fill="C4BD97"/>
            <w:noWrap/>
            <w:vAlign w:val="bottom"/>
            <w:hideMark/>
          </w:tcPr>
          <w:p w14:paraId="1ABAFC73" w14:textId="77777777" w:rsidR="00911770" w:rsidRPr="00940301" w:rsidRDefault="00911770" w:rsidP="005A1544">
            <w:pPr>
              <w:spacing w:after="0"/>
              <w:jc w:val="right"/>
              <w:rPr>
                <w:rFonts w:cs="Calibri"/>
                <w:sz w:val="18"/>
                <w:szCs w:val="18"/>
              </w:rPr>
            </w:pPr>
            <w:r w:rsidRPr="00940301">
              <w:rPr>
                <w:rFonts w:cs="Calibri"/>
                <w:sz w:val="18"/>
                <w:szCs w:val="18"/>
              </w:rPr>
              <w:t>-74 237</w:t>
            </w:r>
          </w:p>
        </w:tc>
        <w:tc>
          <w:tcPr>
            <w:tcW w:w="462" w:type="pct"/>
            <w:tcBorders>
              <w:top w:val="nil"/>
              <w:left w:val="nil"/>
              <w:bottom w:val="single" w:sz="8" w:space="0" w:color="FFFFFF"/>
              <w:right w:val="single" w:sz="8" w:space="0" w:color="FFFFFF"/>
            </w:tcBorders>
            <w:shd w:val="clear" w:color="000000" w:fill="F2F2F2"/>
            <w:noWrap/>
            <w:vAlign w:val="bottom"/>
            <w:hideMark/>
          </w:tcPr>
          <w:p w14:paraId="127386F2"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750CAA1B"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01E6D6DB" w14:textId="77777777" w:rsidR="00911770" w:rsidRPr="00940301" w:rsidRDefault="00911770" w:rsidP="005A1544">
            <w:pPr>
              <w:spacing w:after="0"/>
              <w:jc w:val="right"/>
              <w:rPr>
                <w:rFonts w:cs="Calibri"/>
                <w:sz w:val="18"/>
                <w:szCs w:val="18"/>
              </w:rPr>
            </w:pPr>
            <w:r w:rsidRPr="00940301">
              <w:rPr>
                <w:rFonts w:cs="Calibri"/>
                <w:sz w:val="18"/>
                <w:szCs w:val="18"/>
              </w:rPr>
              <w:t>-73 610</w:t>
            </w:r>
          </w:p>
        </w:tc>
        <w:tc>
          <w:tcPr>
            <w:tcW w:w="454" w:type="pct"/>
            <w:tcBorders>
              <w:top w:val="nil"/>
              <w:left w:val="nil"/>
              <w:bottom w:val="single" w:sz="8" w:space="0" w:color="FFFFFF"/>
              <w:right w:val="single" w:sz="8" w:space="0" w:color="FFFFFF"/>
            </w:tcBorders>
            <w:shd w:val="clear" w:color="000000" w:fill="C4BD97"/>
            <w:noWrap/>
            <w:vAlign w:val="bottom"/>
            <w:hideMark/>
          </w:tcPr>
          <w:p w14:paraId="0FCD4B94" w14:textId="77777777" w:rsidR="00911770" w:rsidRPr="00940301" w:rsidRDefault="00911770" w:rsidP="005A1544">
            <w:pPr>
              <w:spacing w:after="0"/>
              <w:jc w:val="right"/>
              <w:rPr>
                <w:rFonts w:cs="Calibri"/>
                <w:sz w:val="18"/>
                <w:szCs w:val="18"/>
              </w:rPr>
            </w:pPr>
            <w:r w:rsidRPr="00940301">
              <w:rPr>
                <w:rFonts w:cs="Calibri"/>
                <w:sz w:val="18"/>
                <w:szCs w:val="18"/>
              </w:rPr>
              <w:t>-74 237</w:t>
            </w:r>
          </w:p>
        </w:tc>
        <w:tc>
          <w:tcPr>
            <w:tcW w:w="462" w:type="pct"/>
            <w:tcBorders>
              <w:top w:val="nil"/>
              <w:left w:val="nil"/>
              <w:bottom w:val="single" w:sz="8" w:space="0" w:color="FFFFFF"/>
              <w:right w:val="single" w:sz="8" w:space="0" w:color="FFFFFF"/>
            </w:tcBorders>
            <w:shd w:val="clear" w:color="000000" w:fill="D9D9D9"/>
            <w:vAlign w:val="bottom"/>
            <w:hideMark/>
          </w:tcPr>
          <w:p w14:paraId="51D93333" w14:textId="77777777" w:rsidR="00911770" w:rsidRPr="00940301" w:rsidRDefault="00911770" w:rsidP="005A1544">
            <w:pPr>
              <w:spacing w:after="0"/>
              <w:jc w:val="right"/>
              <w:rPr>
                <w:rFonts w:cs="Calibri"/>
                <w:sz w:val="18"/>
                <w:szCs w:val="18"/>
              </w:rPr>
            </w:pPr>
            <w:r w:rsidRPr="00940301">
              <w:rPr>
                <w:rFonts w:cs="Calibri"/>
                <w:sz w:val="18"/>
                <w:szCs w:val="18"/>
              </w:rPr>
              <w:t>134 810</w:t>
            </w:r>
          </w:p>
        </w:tc>
      </w:tr>
      <w:tr w:rsidR="00911770" w:rsidRPr="000668B8" w14:paraId="3D718AC6"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C4BD97"/>
            <w:vAlign w:val="bottom"/>
            <w:hideMark/>
          </w:tcPr>
          <w:p w14:paraId="2967C231" w14:textId="77777777" w:rsidR="00911770" w:rsidRPr="00940301" w:rsidRDefault="00911770" w:rsidP="005A1544">
            <w:pPr>
              <w:spacing w:after="0"/>
              <w:rPr>
                <w:rFonts w:cs="Calibri"/>
                <w:b/>
                <w:bCs/>
                <w:sz w:val="18"/>
                <w:szCs w:val="18"/>
              </w:rPr>
            </w:pPr>
            <w:r w:rsidRPr="00940301">
              <w:rPr>
                <w:rFonts w:asciiTheme="minorHAnsi" w:hAnsiTheme="minorHAnsi" w:cstheme="minorHAnsi"/>
                <w:b/>
                <w:bCs/>
                <w:sz w:val="18"/>
                <w:szCs w:val="18"/>
                <w:lang w:eastAsia="sk-SK"/>
              </w:rPr>
              <w:t>Zdravotnícke zariadenia</w:t>
            </w:r>
          </w:p>
        </w:tc>
        <w:tc>
          <w:tcPr>
            <w:tcW w:w="454" w:type="pct"/>
            <w:tcBorders>
              <w:top w:val="nil"/>
              <w:left w:val="nil"/>
              <w:bottom w:val="single" w:sz="8" w:space="0" w:color="FFFFFF"/>
              <w:right w:val="single" w:sz="8" w:space="0" w:color="FFFFFF"/>
            </w:tcBorders>
            <w:shd w:val="clear" w:color="000000" w:fill="C4BD97"/>
            <w:vAlign w:val="bottom"/>
            <w:hideMark/>
          </w:tcPr>
          <w:p w14:paraId="0C918C8C" w14:textId="77777777" w:rsidR="00911770" w:rsidRPr="00940301" w:rsidRDefault="00911770" w:rsidP="005A1544">
            <w:pPr>
              <w:spacing w:after="0"/>
              <w:jc w:val="right"/>
              <w:rPr>
                <w:rFonts w:cs="Calibri"/>
                <w:b/>
                <w:bCs/>
                <w:sz w:val="18"/>
                <w:szCs w:val="18"/>
              </w:rPr>
            </w:pPr>
            <w:r w:rsidRPr="00940301">
              <w:rPr>
                <w:rFonts w:cs="Calibri"/>
                <w:b/>
                <w:bCs/>
                <w:sz w:val="18"/>
                <w:szCs w:val="18"/>
              </w:rPr>
              <w:t>-46 298</w:t>
            </w:r>
          </w:p>
        </w:tc>
        <w:tc>
          <w:tcPr>
            <w:tcW w:w="454" w:type="pct"/>
            <w:tcBorders>
              <w:top w:val="nil"/>
              <w:left w:val="nil"/>
              <w:bottom w:val="single" w:sz="8" w:space="0" w:color="FFFFFF"/>
              <w:right w:val="single" w:sz="8" w:space="0" w:color="FFFFFF"/>
            </w:tcBorders>
            <w:shd w:val="clear" w:color="000000" w:fill="C4BD97"/>
            <w:vAlign w:val="bottom"/>
            <w:hideMark/>
          </w:tcPr>
          <w:p w14:paraId="46C999EC" w14:textId="77777777" w:rsidR="00911770" w:rsidRPr="00940301" w:rsidRDefault="00911770" w:rsidP="005A1544">
            <w:pPr>
              <w:spacing w:after="0"/>
              <w:jc w:val="right"/>
              <w:rPr>
                <w:rFonts w:cs="Calibri"/>
                <w:b/>
                <w:bCs/>
                <w:sz w:val="18"/>
                <w:szCs w:val="18"/>
              </w:rPr>
            </w:pPr>
            <w:r w:rsidRPr="00940301">
              <w:rPr>
                <w:rFonts w:cs="Calibri"/>
                <w:b/>
                <w:bCs/>
                <w:sz w:val="18"/>
                <w:szCs w:val="18"/>
              </w:rPr>
              <w:t>-56 519</w:t>
            </w:r>
          </w:p>
        </w:tc>
        <w:tc>
          <w:tcPr>
            <w:tcW w:w="462" w:type="pct"/>
            <w:tcBorders>
              <w:top w:val="nil"/>
              <w:left w:val="nil"/>
              <w:bottom w:val="single" w:sz="8" w:space="0" w:color="FFFFFF"/>
              <w:right w:val="single" w:sz="8" w:space="0" w:color="FFFFFF"/>
            </w:tcBorders>
            <w:shd w:val="clear" w:color="000000" w:fill="C4BD97"/>
            <w:vAlign w:val="bottom"/>
            <w:hideMark/>
          </w:tcPr>
          <w:p w14:paraId="3F22BC04" w14:textId="77777777" w:rsidR="00911770" w:rsidRPr="00940301" w:rsidRDefault="00911770" w:rsidP="005A1544">
            <w:pPr>
              <w:spacing w:after="0"/>
              <w:jc w:val="right"/>
              <w:rPr>
                <w:rFonts w:cs="Calibri"/>
                <w:b/>
                <w:bCs/>
                <w:sz w:val="18"/>
                <w:szCs w:val="18"/>
              </w:rPr>
            </w:pPr>
            <w:r w:rsidRPr="00940301">
              <w:rPr>
                <w:rFonts w:cs="Calibri"/>
                <w:b/>
                <w:bCs/>
                <w:sz w:val="18"/>
                <w:szCs w:val="18"/>
              </w:rPr>
              <w:t>0</w:t>
            </w:r>
          </w:p>
        </w:tc>
        <w:tc>
          <w:tcPr>
            <w:tcW w:w="480" w:type="pct"/>
            <w:tcBorders>
              <w:top w:val="nil"/>
              <w:left w:val="nil"/>
              <w:bottom w:val="single" w:sz="8" w:space="0" w:color="FFFFFF"/>
              <w:right w:val="single" w:sz="8" w:space="0" w:color="FFFFFF"/>
            </w:tcBorders>
            <w:shd w:val="clear" w:color="000000" w:fill="C4BD97"/>
            <w:vAlign w:val="bottom"/>
            <w:hideMark/>
          </w:tcPr>
          <w:p w14:paraId="3293B1A8" w14:textId="77777777" w:rsidR="00911770" w:rsidRPr="00940301" w:rsidRDefault="00911770" w:rsidP="005A1544">
            <w:pPr>
              <w:spacing w:after="0"/>
              <w:jc w:val="right"/>
              <w:rPr>
                <w:rFonts w:cs="Calibri"/>
                <w:b/>
                <w:bCs/>
                <w:sz w:val="18"/>
                <w:szCs w:val="18"/>
              </w:rPr>
            </w:pPr>
            <w:r w:rsidRPr="00940301">
              <w:rPr>
                <w:rFonts w:cs="Calibri"/>
                <w:b/>
                <w:bCs/>
                <w:sz w:val="18"/>
                <w:szCs w:val="18"/>
              </w:rPr>
              <w:t>0</w:t>
            </w:r>
          </w:p>
        </w:tc>
        <w:tc>
          <w:tcPr>
            <w:tcW w:w="454" w:type="pct"/>
            <w:tcBorders>
              <w:top w:val="nil"/>
              <w:left w:val="nil"/>
              <w:bottom w:val="single" w:sz="8" w:space="0" w:color="FFFFFF"/>
              <w:right w:val="single" w:sz="8" w:space="0" w:color="FFFFFF"/>
            </w:tcBorders>
            <w:shd w:val="clear" w:color="000000" w:fill="C4BD97"/>
            <w:vAlign w:val="bottom"/>
            <w:hideMark/>
          </w:tcPr>
          <w:p w14:paraId="67134974" w14:textId="77777777" w:rsidR="00911770" w:rsidRPr="00940301" w:rsidRDefault="00911770" w:rsidP="005A1544">
            <w:pPr>
              <w:spacing w:after="0"/>
              <w:jc w:val="right"/>
              <w:rPr>
                <w:rFonts w:cs="Calibri"/>
                <w:b/>
                <w:bCs/>
                <w:sz w:val="18"/>
                <w:szCs w:val="18"/>
              </w:rPr>
            </w:pPr>
            <w:r w:rsidRPr="00940301">
              <w:rPr>
                <w:rFonts w:cs="Calibri"/>
                <w:b/>
                <w:bCs/>
                <w:sz w:val="18"/>
                <w:szCs w:val="18"/>
              </w:rPr>
              <w:t>-46 298</w:t>
            </w:r>
          </w:p>
        </w:tc>
        <w:tc>
          <w:tcPr>
            <w:tcW w:w="454" w:type="pct"/>
            <w:tcBorders>
              <w:top w:val="nil"/>
              <w:left w:val="nil"/>
              <w:bottom w:val="single" w:sz="8" w:space="0" w:color="FFFFFF"/>
              <w:right w:val="single" w:sz="8" w:space="0" w:color="FFFFFF"/>
            </w:tcBorders>
            <w:shd w:val="clear" w:color="000000" w:fill="C4BD97"/>
            <w:vAlign w:val="bottom"/>
            <w:hideMark/>
          </w:tcPr>
          <w:p w14:paraId="69F5D5A8" w14:textId="77777777" w:rsidR="00911770" w:rsidRPr="00940301" w:rsidRDefault="00911770" w:rsidP="005A1544">
            <w:pPr>
              <w:spacing w:after="0"/>
              <w:jc w:val="right"/>
              <w:rPr>
                <w:rFonts w:cs="Calibri"/>
                <w:b/>
                <w:bCs/>
                <w:sz w:val="18"/>
                <w:szCs w:val="18"/>
              </w:rPr>
            </w:pPr>
            <w:r w:rsidRPr="00940301">
              <w:rPr>
                <w:rFonts w:cs="Calibri"/>
                <w:b/>
                <w:bCs/>
                <w:sz w:val="18"/>
                <w:szCs w:val="18"/>
              </w:rPr>
              <w:t>-56 519</w:t>
            </w:r>
          </w:p>
        </w:tc>
        <w:tc>
          <w:tcPr>
            <w:tcW w:w="462" w:type="pct"/>
            <w:tcBorders>
              <w:top w:val="nil"/>
              <w:left w:val="nil"/>
              <w:bottom w:val="single" w:sz="8" w:space="0" w:color="FFFFFF"/>
              <w:right w:val="single" w:sz="8" w:space="0" w:color="FFFFFF"/>
            </w:tcBorders>
            <w:shd w:val="clear" w:color="000000" w:fill="D9D9D9"/>
            <w:vAlign w:val="bottom"/>
            <w:hideMark/>
          </w:tcPr>
          <w:p w14:paraId="17128B2A" w14:textId="77777777" w:rsidR="00911770" w:rsidRPr="00940301" w:rsidRDefault="00911770" w:rsidP="005A1544">
            <w:pPr>
              <w:spacing w:after="0"/>
              <w:jc w:val="right"/>
              <w:rPr>
                <w:rFonts w:cs="Calibri"/>
                <w:b/>
                <w:bCs/>
                <w:sz w:val="18"/>
                <w:szCs w:val="18"/>
              </w:rPr>
            </w:pPr>
            <w:r w:rsidRPr="00940301">
              <w:rPr>
                <w:rFonts w:cs="Calibri"/>
                <w:b/>
                <w:bCs/>
                <w:sz w:val="18"/>
                <w:szCs w:val="18"/>
              </w:rPr>
              <w:t>-43 217</w:t>
            </w:r>
          </w:p>
        </w:tc>
      </w:tr>
      <w:tr w:rsidR="00911770" w:rsidRPr="000668B8" w14:paraId="6EEFBE15"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F2F2F2"/>
            <w:vAlign w:val="bottom"/>
            <w:hideMark/>
          </w:tcPr>
          <w:p w14:paraId="47E59077" w14:textId="77777777" w:rsidR="00911770" w:rsidRPr="00940301" w:rsidRDefault="00911770" w:rsidP="005A1544">
            <w:pPr>
              <w:spacing w:after="0"/>
              <w:rPr>
                <w:rFonts w:cs="Calibri"/>
                <w:sz w:val="18"/>
                <w:szCs w:val="18"/>
              </w:rPr>
            </w:pPr>
            <w:r w:rsidRPr="00940301">
              <w:rPr>
                <w:rFonts w:cs="Calibri"/>
                <w:sz w:val="18"/>
                <w:szCs w:val="18"/>
              </w:rPr>
              <w:t>Poliklinika Karlova Ves</w:t>
            </w:r>
          </w:p>
        </w:tc>
        <w:tc>
          <w:tcPr>
            <w:tcW w:w="454" w:type="pct"/>
            <w:tcBorders>
              <w:top w:val="nil"/>
              <w:left w:val="nil"/>
              <w:bottom w:val="single" w:sz="8" w:space="0" w:color="FFFFFF"/>
              <w:right w:val="single" w:sz="8" w:space="0" w:color="FFFFFF"/>
            </w:tcBorders>
            <w:shd w:val="clear" w:color="000000" w:fill="F2F2F2"/>
            <w:noWrap/>
            <w:vAlign w:val="bottom"/>
            <w:hideMark/>
          </w:tcPr>
          <w:p w14:paraId="4CE40A75" w14:textId="77777777" w:rsidR="00911770" w:rsidRPr="00940301" w:rsidRDefault="00911770" w:rsidP="005A1544">
            <w:pPr>
              <w:spacing w:after="0"/>
              <w:jc w:val="right"/>
              <w:rPr>
                <w:rFonts w:cs="Calibri"/>
                <w:sz w:val="18"/>
                <w:szCs w:val="18"/>
              </w:rPr>
            </w:pPr>
            <w:r w:rsidRPr="00940301">
              <w:rPr>
                <w:rFonts w:cs="Calibri"/>
                <w:sz w:val="18"/>
                <w:szCs w:val="18"/>
              </w:rPr>
              <w:t>-46 298</w:t>
            </w:r>
          </w:p>
        </w:tc>
        <w:tc>
          <w:tcPr>
            <w:tcW w:w="454" w:type="pct"/>
            <w:tcBorders>
              <w:top w:val="nil"/>
              <w:left w:val="nil"/>
              <w:bottom w:val="single" w:sz="8" w:space="0" w:color="FFFFFF"/>
              <w:right w:val="single" w:sz="8" w:space="0" w:color="FFFFFF"/>
            </w:tcBorders>
            <w:shd w:val="clear" w:color="000000" w:fill="C4BD97"/>
            <w:noWrap/>
            <w:vAlign w:val="bottom"/>
            <w:hideMark/>
          </w:tcPr>
          <w:p w14:paraId="6372138D" w14:textId="77777777" w:rsidR="00911770" w:rsidRPr="00940301" w:rsidRDefault="00911770" w:rsidP="005A1544">
            <w:pPr>
              <w:spacing w:after="0"/>
              <w:jc w:val="right"/>
              <w:rPr>
                <w:rFonts w:cs="Calibri"/>
                <w:sz w:val="18"/>
                <w:szCs w:val="18"/>
              </w:rPr>
            </w:pPr>
            <w:r w:rsidRPr="00940301">
              <w:rPr>
                <w:rFonts w:cs="Calibri"/>
                <w:sz w:val="18"/>
                <w:szCs w:val="18"/>
              </w:rPr>
              <w:t>-56 519</w:t>
            </w:r>
          </w:p>
        </w:tc>
        <w:tc>
          <w:tcPr>
            <w:tcW w:w="462" w:type="pct"/>
            <w:tcBorders>
              <w:top w:val="nil"/>
              <w:left w:val="nil"/>
              <w:bottom w:val="single" w:sz="8" w:space="0" w:color="FFFFFF"/>
              <w:right w:val="single" w:sz="8" w:space="0" w:color="FFFFFF"/>
            </w:tcBorders>
            <w:shd w:val="clear" w:color="000000" w:fill="F2F2F2"/>
            <w:noWrap/>
            <w:vAlign w:val="bottom"/>
            <w:hideMark/>
          </w:tcPr>
          <w:p w14:paraId="2A64FB64"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80" w:type="pct"/>
            <w:tcBorders>
              <w:top w:val="nil"/>
              <w:left w:val="nil"/>
              <w:bottom w:val="single" w:sz="8" w:space="0" w:color="FFFFFF"/>
              <w:right w:val="single" w:sz="8" w:space="0" w:color="FFFFFF"/>
            </w:tcBorders>
            <w:shd w:val="clear" w:color="000000" w:fill="C4BD97"/>
            <w:noWrap/>
            <w:vAlign w:val="bottom"/>
            <w:hideMark/>
          </w:tcPr>
          <w:p w14:paraId="7F0CE5C5" w14:textId="77777777" w:rsidR="00911770" w:rsidRPr="00940301" w:rsidRDefault="00911770" w:rsidP="005A1544">
            <w:pPr>
              <w:spacing w:after="0"/>
              <w:jc w:val="right"/>
              <w:rPr>
                <w:rFonts w:cs="Calibri"/>
                <w:sz w:val="18"/>
                <w:szCs w:val="18"/>
              </w:rPr>
            </w:pPr>
            <w:r w:rsidRPr="00940301">
              <w:rPr>
                <w:rFonts w:cs="Calibri"/>
                <w:sz w:val="18"/>
                <w:szCs w:val="18"/>
              </w:rPr>
              <w:t>0</w:t>
            </w:r>
          </w:p>
        </w:tc>
        <w:tc>
          <w:tcPr>
            <w:tcW w:w="454" w:type="pct"/>
            <w:tcBorders>
              <w:top w:val="nil"/>
              <w:left w:val="nil"/>
              <w:bottom w:val="single" w:sz="8" w:space="0" w:color="FFFFFF"/>
              <w:right w:val="single" w:sz="8" w:space="0" w:color="FFFFFF"/>
            </w:tcBorders>
            <w:shd w:val="clear" w:color="000000" w:fill="F2F2F2"/>
            <w:noWrap/>
            <w:vAlign w:val="bottom"/>
            <w:hideMark/>
          </w:tcPr>
          <w:p w14:paraId="2CD7AA7B" w14:textId="77777777" w:rsidR="00911770" w:rsidRPr="00940301" w:rsidRDefault="00911770" w:rsidP="005A1544">
            <w:pPr>
              <w:spacing w:after="0"/>
              <w:jc w:val="right"/>
              <w:rPr>
                <w:rFonts w:cs="Calibri"/>
                <w:sz w:val="18"/>
                <w:szCs w:val="18"/>
              </w:rPr>
            </w:pPr>
            <w:r w:rsidRPr="00940301">
              <w:rPr>
                <w:rFonts w:cs="Calibri"/>
                <w:sz w:val="18"/>
                <w:szCs w:val="18"/>
              </w:rPr>
              <w:t>-46 298</w:t>
            </w:r>
          </w:p>
        </w:tc>
        <w:tc>
          <w:tcPr>
            <w:tcW w:w="454" w:type="pct"/>
            <w:tcBorders>
              <w:top w:val="nil"/>
              <w:left w:val="nil"/>
              <w:bottom w:val="single" w:sz="8" w:space="0" w:color="FFFFFF"/>
              <w:right w:val="single" w:sz="8" w:space="0" w:color="FFFFFF"/>
            </w:tcBorders>
            <w:shd w:val="clear" w:color="000000" w:fill="C4BD97"/>
            <w:noWrap/>
            <w:vAlign w:val="bottom"/>
            <w:hideMark/>
          </w:tcPr>
          <w:p w14:paraId="68B40A85" w14:textId="77777777" w:rsidR="00911770" w:rsidRPr="00940301" w:rsidRDefault="00911770" w:rsidP="005A1544">
            <w:pPr>
              <w:spacing w:after="0"/>
              <w:jc w:val="right"/>
              <w:rPr>
                <w:rFonts w:cs="Calibri"/>
                <w:sz w:val="18"/>
                <w:szCs w:val="18"/>
              </w:rPr>
            </w:pPr>
            <w:r w:rsidRPr="00940301">
              <w:rPr>
                <w:rFonts w:cs="Calibri"/>
                <w:sz w:val="18"/>
                <w:szCs w:val="18"/>
              </w:rPr>
              <w:t>-56 519</w:t>
            </w:r>
          </w:p>
        </w:tc>
        <w:tc>
          <w:tcPr>
            <w:tcW w:w="462" w:type="pct"/>
            <w:tcBorders>
              <w:top w:val="nil"/>
              <w:left w:val="nil"/>
              <w:bottom w:val="single" w:sz="8" w:space="0" w:color="FFFFFF"/>
              <w:right w:val="single" w:sz="8" w:space="0" w:color="FFFFFF"/>
            </w:tcBorders>
            <w:shd w:val="clear" w:color="000000" w:fill="D9D9D9"/>
            <w:vAlign w:val="bottom"/>
            <w:hideMark/>
          </w:tcPr>
          <w:p w14:paraId="5E04885A" w14:textId="77777777" w:rsidR="00911770" w:rsidRPr="00940301" w:rsidRDefault="00911770" w:rsidP="005A1544">
            <w:pPr>
              <w:spacing w:after="0"/>
              <w:jc w:val="right"/>
              <w:rPr>
                <w:rFonts w:cs="Calibri"/>
                <w:sz w:val="18"/>
                <w:szCs w:val="18"/>
              </w:rPr>
            </w:pPr>
            <w:r w:rsidRPr="00940301">
              <w:rPr>
                <w:rFonts w:cs="Calibri"/>
                <w:sz w:val="18"/>
                <w:szCs w:val="18"/>
              </w:rPr>
              <w:t>-43 217</w:t>
            </w:r>
          </w:p>
        </w:tc>
      </w:tr>
      <w:tr w:rsidR="00911770" w:rsidRPr="000668B8" w14:paraId="712CFB13" w14:textId="77777777" w:rsidTr="00911770">
        <w:trPr>
          <w:trHeight w:val="300"/>
        </w:trPr>
        <w:tc>
          <w:tcPr>
            <w:tcW w:w="1781" w:type="pct"/>
            <w:tcBorders>
              <w:top w:val="nil"/>
              <w:left w:val="single" w:sz="8" w:space="0" w:color="FFFFFF"/>
              <w:bottom w:val="single" w:sz="8" w:space="0" w:color="FFFFFF"/>
              <w:right w:val="single" w:sz="8" w:space="0" w:color="FFFFFF"/>
            </w:tcBorders>
            <w:shd w:val="clear" w:color="000000" w:fill="8DB4E2"/>
            <w:vAlign w:val="bottom"/>
            <w:hideMark/>
          </w:tcPr>
          <w:p w14:paraId="7E5C2037" w14:textId="77777777" w:rsidR="00911770" w:rsidRPr="00940301" w:rsidRDefault="00911770" w:rsidP="005A1544">
            <w:pPr>
              <w:spacing w:after="0"/>
              <w:rPr>
                <w:rFonts w:cs="Calibri"/>
                <w:b/>
                <w:bCs/>
                <w:sz w:val="18"/>
                <w:szCs w:val="18"/>
              </w:rPr>
            </w:pPr>
            <w:r w:rsidRPr="00940301">
              <w:rPr>
                <w:rFonts w:asciiTheme="minorHAnsi" w:hAnsiTheme="minorHAnsi" w:cstheme="minorHAnsi"/>
                <w:b/>
                <w:bCs/>
                <w:sz w:val="18"/>
                <w:szCs w:val="18"/>
                <w:lang w:eastAsia="sk-SK"/>
              </w:rPr>
              <w:t>Spolu</w:t>
            </w:r>
          </w:p>
        </w:tc>
        <w:tc>
          <w:tcPr>
            <w:tcW w:w="454" w:type="pct"/>
            <w:tcBorders>
              <w:top w:val="nil"/>
              <w:left w:val="nil"/>
              <w:bottom w:val="single" w:sz="8" w:space="0" w:color="FFFFFF"/>
              <w:right w:val="single" w:sz="8" w:space="0" w:color="FFFFFF"/>
            </w:tcBorders>
            <w:shd w:val="clear" w:color="000000" w:fill="8DB4E2"/>
            <w:vAlign w:val="bottom"/>
            <w:hideMark/>
          </w:tcPr>
          <w:p w14:paraId="2F4CD019" w14:textId="77777777" w:rsidR="00911770" w:rsidRPr="00940301" w:rsidRDefault="00911770" w:rsidP="005A1544">
            <w:pPr>
              <w:spacing w:after="0"/>
              <w:jc w:val="right"/>
              <w:rPr>
                <w:rFonts w:cs="Calibri"/>
                <w:b/>
                <w:bCs/>
                <w:sz w:val="18"/>
                <w:szCs w:val="18"/>
              </w:rPr>
            </w:pPr>
            <w:r w:rsidRPr="00940301">
              <w:rPr>
                <w:rFonts w:cs="Calibri"/>
                <w:b/>
                <w:bCs/>
                <w:sz w:val="18"/>
                <w:szCs w:val="18"/>
              </w:rPr>
              <w:t>390 709</w:t>
            </w:r>
          </w:p>
        </w:tc>
        <w:tc>
          <w:tcPr>
            <w:tcW w:w="454" w:type="pct"/>
            <w:tcBorders>
              <w:top w:val="nil"/>
              <w:left w:val="nil"/>
              <w:bottom w:val="single" w:sz="8" w:space="0" w:color="FFFFFF"/>
              <w:right w:val="single" w:sz="8" w:space="0" w:color="FFFFFF"/>
            </w:tcBorders>
            <w:shd w:val="clear" w:color="000000" w:fill="C4BD97"/>
            <w:vAlign w:val="bottom"/>
            <w:hideMark/>
          </w:tcPr>
          <w:p w14:paraId="30D81B23" w14:textId="77777777" w:rsidR="00911770" w:rsidRPr="00940301" w:rsidRDefault="00911770" w:rsidP="005A1544">
            <w:pPr>
              <w:spacing w:after="0"/>
              <w:jc w:val="right"/>
              <w:rPr>
                <w:rFonts w:cs="Calibri"/>
                <w:b/>
                <w:bCs/>
                <w:sz w:val="18"/>
                <w:szCs w:val="18"/>
              </w:rPr>
            </w:pPr>
            <w:r w:rsidRPr="00940301">
              <w:rPr>
                <w:rFonts w:cs="Calibri"/>
                <w:b/>
                <w:bCs/>
                <w:sz w:val="18"/>
                <w:szCs w:val="18"/>
              </w:rPr>
              <w:t>365 023</w:t>
            </w:r>
          </w:p>
        </w:tc>
        <w:tc>
          <w:tcPr>
            <w:tcW w:w="462" w:type="pct"/>
            <w:tcBorders>
              <w:top w:val="nil"/>
              <w:left w:val="nil"/>
              <w:bottom w:val="single" w:sz="8" w:space="0" w:color="FFFFFF"/>
              <w:right w:val="single" w:sz="8" w:space="0" w:color="FFFFFF"/>
            </w:tcBorders>
            <w:shd w:val="clear" w:color="000000" w:fill="8DB4E2"/>
            <w:vAlign w:val="bottom"/>
            <w:hideMark/>
          </w:tcPr>
          <w:p w14:paraId="6D95CF33" w14:textId="77777777" w:rsidR="00911770" w:rsidRPr="00940301" w:rsidRDefault="00911770" w:rsidP="005A1544">
            <w:pPr>
              <w:spacing w:after="0"/>
              <w:jc w:val="right"/>
              <w:rPr>
                <w:rFonts w:cs="Calibri"/>
                <w:b/>
                <w:bCs/>
                <w:sz w:val="18"/>
                <w:szCs w:val="18"/>
              </w:rPr>
            </w:pPr>
            <w:r w:rsidRPr="00940301">
              <w:rPr>
                <w:rFonts w:cs="Calibri"/>
                <w:b/>
                <w:bCs/>
                <w:sz w:val="18"/>
                <w:szCs w:val="18"/>
              </w:rPr>
              <w:t>20 638</w:t>
            </w:r>
          </w:p>
        </w:tc>
        <w:tc>
          <w:tcPr>
            <w:tcW w:w="480" w:type="pct"/>
            <w:tcBorders>
              <w:top w:val="nil"/>
              <w:left w:val="nil"/>
              <w:bottom w:val="single" w:sz="8" w:space="0" w:color="FFFFFF"/>
              <w:right w:val="single" w:sz="8" w:space="0" w:color="FFFFFF"/>
            </w:tcBorders>
            <w:shd w:val="clear" w:color="000000" w:fill="C4BD97"/>
            <w:vAlign w:val="bottom"/>
            <w:hideMark/>
          </w:tcPr>
          <w:p w14:paraId="273ACE4A" w14:textId="77777777" w:rsidR="00911770" w:rsidRPr="00940301" w:rsidRDefault="00911770" w:rsidP="005A1544">
            <w:pPr>
              <w:spacing w:after="0"/>
              <w:jc w:val="right"/>
              <w:rPr>
                <w:rFonts w:cs="Calibri"/>
                <w:b/>
                <w:bCs/>
                <w:sz w:val="18"/>
                <w:szCs w:val="18"/>
              </w:rPr>
            </w:pPr>
            <w:r w:rsidRPr="00940301">
              <w:rPr>
                <w:rFonts w:cs="Calibri"/>
                <w:b/>
                <w:bCs/>
                <w:sz w:val="18"/>
                <w:szCs w:val="18"/>
              </w:rPr>
              <w:t>13 261</w:t>
            </w:r>
          </w:p>
        </w:tc>
        <w:tc>
          <w:tcPr>
            <w:tcW w:w="454" w:type="pct"/>
            <w:tcBorders>
              <w:top w:val="nil"/>
              <w:left w:val="nil"/>
              <w:bottom w:val="single" w:sz="8" w:space="0" w:color="FFFFFF"/>
              <w:right w:val="single" w:sz="8" w:space="0" w:color="FFFFFF"/>
            </w:tcBorders>
            <w:shd w:val="clear" w:color="000000" w:fill="8DB4E2"/>
            <w:vAlign w:val="bottom"/>
            <w:hideMark/>
          </w:tcPr>
          <w:p w14:paraId="1608C2FA" w14:textId="77777777" w:rsidR="00911770" w:rsidRPr="00940301" w:rsidRDefault="00911770" w:rsidP="005A1544">
            <w:pPr>
              <w:spacing w:after="0"/>
              <w:jc w:val="right"/>
              <w:rPr>
                <w:rFonts w:cs="Calibri"/>
                <w:b/>
                <w:bCs/>
                <w:sz w:val="18"/>
                <w:szCs w:val="18"/>
              </w:rPr>
            </w:pPr>
            <w:r w:rsidRPr="00940301">
              <w:rPr>
                <w:rFonts w:cs="Calibri"/>
                <w:b/>
                <w:bCs/>
                <w:sz w:val="18"/>
                <w:szCs w:val="18"/>
              </w:rPr>
              <w:t>411 347</w:t>
            </w:r>
          </w:p>
        </w:tc>
        <w:tc>
          <w:tcPr>
            <w:tcW w:w="454" w:type="pct"/>
            <w:tcBorders>
              <w:top w:val="nil"/>
              <w:left w:val="nil"/>
              <w:bottom w:val="single" w:sz="8" w:space="0" w:color="FFFFFF"/>
              <w:right w:val="single" w:sz="8" w:space="0" w:color="FFFFFF"/>
            </w:tcBorders>
            <w:shd w:val="clear" w:color="000000" w:fill="C4BD97"/>
            <w:vAlign w:val="bottom"/>
            <w:hideMark/>
          </w:tcPr>
          <w:p w14:paraId="692CBF58" w14:textId="77777777" w:rsidR="00911770" w:rsidRPr="00940301" w:rsidRDefault="00911770" w:rsidP="005A1544">
            <w:pPr>
              <w:spacing w:after="0"/>
              <w:jc w:val="right"/>
              <w:rPr>
                <w:rFonts w:cs="Calibri"/>
                <w:b/>
                <w:bCs/>
                <w:sz w:val="18"/>
                <w:szCs w:val="18"/>
              </w:rPr>
            </w:pPr>
            <w:r w:rsidRPr="00940301">
              <w:rPr>
                <w:rFonts w:cs="Calibri"/>
                <w:b/>
                <w:bCs/>
                <w:sz w:val="18"/>
                <w:szCs w:val="18"/>
              </w:rPr>
              <w:t>378 284</w:t>
            </w:r>
          </w:p>
        </w:tc>
        <w:tc>
          <w:tcPr>
            <w:tcW w:w="462" w:type="pct"/>
            <w:tcBorders>
              <w:top w:val="nil"/>
              <w:left w:val="nil"/>
              <w:bottom w:val="single" w:sz="8" w:space="0" w:color="FFFFFF"/>
              <w:right w:val="single" w:sz="8" w:space="0" w:color="FFFFFF"/>
            </w:tcBorders>
            <w:shd w:val="clear" w:color="000000" w:fill="D9D9D9"/>
            <w:vAlign w:val="bottom"/>
            <w:hideMark/>
          </w:tcPr>
          <w:p w14:paraId="74B57A97" w14:textId="77777777" w:rsidR="00911770" w:rsidRPr="00940301" w:rsidRDefault="00911770" w:rsidP="005A1544">
            <w:pPr>
              <w:spacing w:after="0"/>
              <w:jc w:val="right"/>
              <w:rPr>
                <w:rFonts w:cs="Calibri"/>
                <w:b/>
                <w:bCs/>
                <w:sz w:val="18"/>
                <w:szCs w:val="18"/>
              </w:rPr>
            </w:pPr>
            <w:r w:rsidRPr="00940301">
              <w:rPr>
                <w:rFonts w:cs="Calibri"/>
                <w:b/>
                <w:bCs/>
                <w:sz w:val="18"/>
                <w:szCs w:val="18"/>
              </w:rPr>
              <w:t>395 967</w:t>
            </w:r>
          </w:p>
        </w:tc>
      </w:tr>
    </w:tbl>
    <w:p w14:paraId="08BD522A" w14:textId="77777777" w:rsidR="00911770" w:rsidRDefault="00911770" w:rsidP="00911770">
      <w:pPr>
        <w:autoSpaceDE w:val="0"/>
        <w:autoSpaceDN w:val="0"/>
        <w:adjustRightInd w:val="0"/>
        <w:jc w:val="both"/>
        <w:rPr>
          <w:rFonts w:cs="Calibri"/>
          <w:b/>
          <w:sz w:val="24"/>
          <w:szCs w:val="24"/>
        </w:rPr>
      </w:pPr>
    </w:p>
    <w:p w14:paraId="61A897CC" w14:textId="11299A89" w:rsidR="00911770" w:rsidRPr="00B423C7" w:rsidRDefault="00911770" w:rsidP="00911770">
      <w:pPr>
        <w:autoSpaceDE w:val="0"/>
        <w:autoSpaceDN w:val="0"/>
        <w:adjustRightInd w:val="0"/>
        <w:jc w:val="both"/>
        <w:rPr>
          <w:rFonts w:cs="Calibri"/>
          <w:b/>
          <w:sz w:val="24"/>
          <w:szCs w:val="24"/>
        </w:rPr>
      </w:pPr>
      <w:r w:rsidRPr="00B423C7">
        <w:rPr>
          <w:rFonts w:cs="Calibri"/>
          <w:b/>
          <w:sz w:val="24"/>
          <w:szCs w:val="24"/>
        </w:rPr>
        <w:t>Príspevkové organizácie v zriaďovateľskej pôsobnosti BSK ukončili rok 2020 zo ziskom v celkovom objeme 378 284 EUR, z hlavnej činnosti boli v vytvorili zisk 365 023 EUR a z podnikateľskej činnosti vytvorili zisk</w:t>
      </w:r>
      <w:r>
        <w:rPr>
          <w:rFonts w:cs="Calibri"/>
          <w:b/>
          <w:sz w:val="24"/>
          <w:szCs w:val="24"/>
        </w:rPr>
        <w:br/>
      </w:r>
      <w:r w:rsidRPr="00B423C7">
        <w:rPr>
          <w:rFonts w:cs="Calibri"/>
          <w:b/>
          <w:sz w:val="24"/>
          <w:szCs w:val="24"/>
        </w:rPr>
        <w:t xml:space="preserve">v objeme 13 261 EUR. </w:t>
      </w:r>
    </w:p>
    <w:p w14:paraId="1BD453D7" w14:textId="77777777" w:rsidR="00911770" w:rsidRPr="00B423C7" w:rsidRDefault="00911770" w:rsidP="00911770">
      <w:pPr>
        <w:autoSpaceDE w:val="0"/>
        <w:autoSpaceDN w:val="0"/>
        <w:adjustRightInd w:val="0"/>
        <w:jc w:val="both"/>
        <w:rPr>
          <w:rFonts w:cs="Calibri"/>
          <w:sz w:val="24"/>
          <w:szCs w:val="24"/>
        </w:rPr>
      </w:pPr>
      <w:r w:rsidRPr="00B423C7">
        <w:rPr>
          <w:rFonts w:cs="Calibri"/>
          <w:sz w:val="24"/>
          <w:szCs w:val="24"/>
        </w:rPr>
        <w:lastRenderedPageBreak/>
        <w:t>Z celkového počtu 22 príspevkových organizácii v zriaďovateľskej pôsobnosti BSK vykázalo z hlavnej činnosti 13 organizácii zisk a 9 organizácii stratu, z podnikateľskej činnosti 7 organizácii zisk a 15 organizácii nevykonávalo podnikateľskú činnosť alebo vykázalo nulovú hodnotu hospodárskeho výsledku.</w:t>
      </w:r>
      <w:r w:rsidRPr="00B423C7">
        <w:rPr>
          <w:rFonts w:cs="Calibri"/>
          <w:b/>
          <w:sz w:val="24"/>
          <w:szCs w:val="24"/>
        </w:rPr>
        <w:t xml:space="preserve">  </w:t>
      </w:r>
    </w:p>
    <w:p w14:paraId="3BA12AB5" w14:textId="77777777" w:rsidR="00911770" w:rsidRPr="000668B8" w:rsidRDefault="00911770" w:rsidP="00911770">
      <w:pPr>
        <w:autoSpaceDE w:val="0"/>
        <w:autoSpaceDN w:val="0"/>
        <w:adjustRightInd w:val="0"/>
        <w:spacing w:line="240" w:lineRule="auto"/>
        <w:jc w:val="both"/>
        <w:rPr>
          <w:rFonts w:cs="Calibri"/>
          <w:sz w:val="24"/>
          <w:szCs w:val="24"/>
        </w:rPr>
      </w:pPr>
      <w:r w:rsidRPr="000668B8">
        <w:rPr>
          <w:rFonts w:cs="Calibri"/>
          <w:b/>
          <w:sz w:val="24"/>
          <w:szCs w:val="24"/>
        </w:rPr>
        <w:t>Príspevkové organizácie v zriaďovateľskej pôsobnosti BSK musia</w:t>
      </w:r>
      <w:r w:rsidRPr="000668B8">
        <w:rPr>
          <w:rFonts w:cs="Calibri"/>
          <w:sz w:val="24"/>
          <w:szCs w:val="24"/>
        </w:rPr>
        <w:t xml:space="preserve"> podľa § 21 ods. 2 zákona rozpočtových pravidlách verejnej správy </w:t>
      </w:r>
      <w:r w:rsidRPr="000668B8">
        <w:rPr>
          <w:rFonts w:cs="Calibri"/>
          <w:b/>
          <w:sz w:val="24"/>
          <w:szCs w:val="24"/>
        </w:rPr>
        <w:t>spĺňať kritérium, podľa ktorého menej ako 50% výrobných nákladov musí byť pokrytých tržbami</w:t>
      </w:r>
      <w:r w:rsidRPr="000668B8">
        <w:rPr>
          <w:rFonts w:cs="Calibri"/>
          <w:sz w:val="24"/>
          <w:szCs w:val="24"/>
        </w:rPr>
        <w:t xml:space="preserve">. Zriaďovateľ je povinný v zmysle § 21 ods. 12a zákona o rozpočtových pravidlách verejnej správy k 31. decembru príslušného kalendárneho roka takúto organizáciu zrušiť, ak uvedené kritérium nie je dodržané počas najmenej dvoch po sebe nasledujúcich rokov.  </w:t>
      </w:r>
    </w:p>
    <w:p w14:paraId="10654CEE" w14:textId="4E41504D" w:rsidR="00911770" w:rsidRDefault="00027146" w:rsidP="009D37EE">
      <w:pPr>
        <w:autoSpaceDE w:val="0"/>
        <w:autoSpaceDN w:val="0"/>
        <w:adjustRightInd w:val="0"/>
        <w:spacing w:line="240" w:lineRule="auto"/>
        <w:jc w:val="both"/>
        <w:rPr>
          <w:rFonts w:cs="Calibri"/>
          <w:sz w:val="24"/>
          <w:szCs w:val="24"/>
        </w:rPr>
      </w:pPr>
      <w:r w:rsidRPr="00425BCC">
        <w:rPr>
          <w:rFonts w:cs="Calibri"/>
          <w:sz w:val="24"/>
          <w:szCs w:val="24"/>
        </w:rPr>
        <w:t>Prehľad plnenia § 21 ods. 2 zákona o rozpočtových pravidlách verejnej správy príspevkovými organizáciami v zriaďovateľskej pôsobnosti BSK:</w:t>
      </w:r>
    </w:p>
    <w:tbl>
      <w:tblPr>
        <w:tblW w:w="10181"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6121"/>
        <w:gridCol w:w="2030"/>
        <w:gridCol w:w="2030"/>
      </w:tblGrid>
      <w:tr w:rsidR="00911770" w:rsidRPr="000668B8" w14:paraId="01632806" w14:textId="77777777" w:rsidTr="00911770">
        <w:trPr>
          <w:trHeight w:val="611"/>
          <w:jc w:val="center"/>
        </w:trPr>
        <w:tc>
          <w:tcPr>
            <w:tcW w:w="6121" w:type="dxa"/>
            <w:shd w:val="clear" w:color="000000" w:fill="8DB3E2"/>
            <w:noWrap/>
            <w:vAlign w:val="center"/>
            <w:hideMark/>
          </w:tcPr>
          <w:p w14:paraId="2B5E2E3C" w14:textId="77777777" w:rsidR="00911770" w:rsidRPr="000668B8" w:rsidRDefault="00911770" w:rsidP="005A1544">
            <w:pPr>
              <w:spacing w:after="0" w:line="240" w:lineRule="auto"/>
              <w:rPr>
                <w:rFonts w:cs="Calibri"/>
                <w:b/>
                <w:bCs/>
                <w:sz w:val="20"/>
                <w:szCs w:val="20"/>
                <w:lang w:eastAsia="sk-SK"/>
              </w:rPr>
            </w:pPr>
            <w:r w:rsidRPr="000668B8">
              <w:rPr>
                <w:rFonts w:cs="Calibri"/>
                <w:b/>
                <w:bCs/>
                <w:sz w:val="20"/>
                <w:szCs w:val="20"/>
                <w:lang w:eastAsia="sk-SK"/>
              </w:rPr>
              <w:t>Názov príspevkovej organizácie v zriaďovateľskej pôsobnosti BSK</w:t>
            </w:r>
          </w:p>
        </w:tc>
        <w:tc>
          <w:tcPr>
            <w:tcW w:w="2030" w:type="dxa"/>
            <w:shd w:val="clear" w:color="000000" w:fill="8DB3E2"/>
            <w:vAlign w:val="center"/>
            <w:hideMark/>
          </w:tcPr>
          <w:p w14:paraId="572081DF" w14:textId="77777777" w:rsidR="00911770" w:rsidRPr="000668B8" w:rsidRDefault="00911770" w:rsidP="005A1544">
            <w:pPr>
              <w:spacing w:after="0" w:line="240" w:lineRule="auto"/>
              <w:jc w:val="center"/>
              <w:rPr>
                <w:rFonts w:cs="Calibri"/>
                <w:b/>
                <w:bCs/>
                <w:sz w:val="20"/>
                <w:szCs w:val="20"/>
                <w:lang w:eastAsia="sk-SK"/>
              </w:rPr>
            </w:pPr>
            <w:r w:rsidRPr="000668B8">
              <w:rPr>
                <w:rFonts w:cs="Calibri"/>
                <w:b/>
                <w:bCs/>
                <w:sz w:val="20"/>
                <w:szCs w:val="20"/>
                <w:lang w:eastAsia="sk-SK"/>
              </w:rPr>
              <w:t>% tržby/náklady 2020</w:t>
            </w:r>
          </w:p>
        </w:tc>
        <w:tc>
          <w:tcPr>
            <w:tcW w:w="2030" w:type="dxa"/>
            <w:shd w:val="clear" w:color="000000" w:fill="8DB3E2"/>
            <w:vAlign w:val="center"/>
            <w:hideMark/>
          </w:tcPr>
          <w:p w14:paraId="15232C32" w14:textId="77777777" w:rsidR="00911770" w:rsidRPr="000668B8" w:rsidRDefault="00911770" w:rsidP="005A1544">
            <w:pPr>
              <w:spacing w:after="0" w:line="240" w:lineRule="auto"/>
              <w:jc w:val="center"/>
              <w:rPr>
                <w:rFonts w:cs="Calibri"/>
                <w:b/>
                <w:bCs/>
                <w:sz w:val="20"/>
                <w:szCs w:val="20"/>
                <w:lang w:eastAsia="sk-SK"/>
              </w:rPr>
            </w:pPr>
            <w:r w:rsidRPr="000668B8">
              <w:rPr>
                <w:rFonts w:cs="Calibri"/>
                <w:b/>
                <w:bCs/>
                <w:sz w:val="20"/>
                <w:szCs w:val="20"/>
                <w:lang w:eastAsia="sk-SK"/>
              </w:rPr>
              <w:t>% tržby/náklady 2019</w:t>
            </w:r>
          </w:p>
        </w:tc>
      </w:tr>
      <w:tr w:rsidR="00911770" w:rsidRPr="000668B8" w14:paraId="182070D8" w14:textId="77777777" w:rsidTr="00911770">
        <w:trPr>
          <w:trHeight w:val="320"/>
          <w:jc w:val="center"/>
        </w:trPr>
        <w:tc>
          <w:tcPr>
            <w:tcW w:w="10181" w:type="dxa"/>
            <w:gridSpan w:val="3"/>
            <w:shd w:val="clear" w:color="000000" w:fill="A6A6A6"/>
            <w:vAlign w:val="center"/>
            <w:hideMark/>
          </w:tcPr>
          <w:p w14:paraId="540327F3" w14:textId="77777777" w:rsidR="00911770" w:rsidRPr="00A52E06" w:rsidRDefault="00911770" w:rsidP="005A1544">
            <w:pPr>
              <w:spacing w:after="0" w:line="240" w:lineRule="auto"/>
              <w:rPr>
                <w:rFonts w:cs="Calibri"/>
                <w:b/>
                <w:bCs/>
                <w:sz w:val="20"/>
                <w:szCs w:val="20"/>
                <w:lang w:eastAsia="sk-SK"/>
              </w:rPr>
            </w:pPr>
            <w:r w:rsidRPr="00A52E06">
              <w:rPr>
                <w:rFonts w:cs="Calibri"/>
                <w:b/>
                <w:bCs/>
                <w:sz w:val="20"/>
                <w:szCs w:val="20"/>
                <w:lang w:eastAsia="sk-SK"/>
              </w:rPr>
              <w:t>Kultúrne zariadenia</w:t>
            </w:r>
          </w:p>
        </w:tc>
      </w:tr>
      <w:tr w:rsidR="00911770" w:rsidRPr="000668B8" w14:paraId="335360B4" w14:textId="77777777" w:rsidTr="00911770">
        <w:trPr>
          <w:trHeight w:val="259"/>
          <w:jc w:val="center"/>
        </w:trPr>
        <w:tc>
          <w:tcPr>
            <w:tcW w:w="6121" w:type="dxa"/>
            <w:shd w:val="clear" w:color="auto" w:fill="F2F2F2" w:themeFill="background1" w:themeFillShade="F2"/>
            <w:vAlign w:val="bottom"/>
            <w:hideMark/>
          </w:tcPr>
          <w:p w14:paraId="2F95CC10" w14:textId="77777777" w:rsidR="00911770" w:rsidRPr="00A52E06" w:rsidRDefault="00911770" w:rsidP="005A1544">
            <w:pPr>
              <w:spacing w:after="0" w:line="240" w:lineRule="auto"/>
              <w:ind w:firstLineChars="100" w:firstLine="180"/>
              <w:rPr>
                <w:rFonts w:cs="Calibri"/>
                <w:sz w:val="18"/>
                <w:szCs w:val="18"/>
              </w:rPr>
            </w:pPr>
            <w:r w:rsidRPr="00A52E06">
              <w:rPr>
                <w:rFonts w:cs="Calibri"/>
                <w:sz w:val="18"/>
                <w:szCs w:val="18"/>
              </w:rPr>
              <w:t>Divadlo ARÉNA</w:t>
            </w:r>
          </w:p>
        </w:tc>
        <w:tc>
          <w:tcPr>
            <w:tcW w:w="2030" w:type="dxa"/>
            <w:shd w:val="clear" w:color="auto" w:fill="F2F2F2" w:themeFill="background1" w:themeFillShade="F2"/>
            <w:noWrap/>
            <w:vAlign w:val="bottom"/>
          </w:tcPr>
          <w:p w14:paraId="20C24121" w14:textId="77777777" w:rsidR="00911770" w:rsidRPr="00A52E06" w:rsidRDefault="00911770" w:rsidP="005A1544">
            <w:pPr>
              <w:spacing w:before="100" w:beforeAutospacing="1" w:after="0" w:line="240" w:lineRule="auto"/>
              <w:jc w:val="center"/>
              <w:rPr>
                <w:rFonts w:cs="Calibri"/>
                <w:sz w:val="18"/>
                <w:szCs w:val="18"/>
              </w:rPr>
            </w:pPr>
            <w:r w:rsidRPr="00A52E06">
              <w:rPr>
                <w:rFonts w:cs="Calibri"/>
                <w:sz w:val="18"/>
                <w:szCs w:val="18"/>
              </w:rPr>
              <w:t>10%</w:t>
            </w:r>
          </w:p>
        </w:tc>
        <w:tc>
          <w:tcPr>
            <w:tcW w:w="2030" w:type="dxa"/>
            <w:shd w:val="clear" w:color="auto" w:fill="F2F2F2" w:themeFill="background1" w:themeFillShade="F2"/>
            <w:noWrap/>
            <w:vAlign w:val="bottom"/>
            <w:hideMark/>
          </w:tcPr>
          <w:p w14:paraId="5749551F" w14:textId="77777777" w:rsidR="00911770" w:rsidRPr="00A52E06" w:rsidRDefault="00911770" w:rsidP="005A1544">
            <w:pPr>
              <w:spacing w:after="0"/>
              <w:jc w:val="center"/>
              <w:rPr>
                <w:rFonts w:cs="Calibri"/>
                <w:sz w:val="18"/>
                <w:szCs w:val="18"/>
              </w:rPr>
            </w:pPr>
            <w:r w:rsidRPr="00A52E06">
              <w:rPr>
                <w:rFonts w:cs="Calibri"/>
                <w:sz w:val="18"/>
                <w:szCs w:val="18"/>
              </w:rPr>
              <w:t>19%</w:t>
            </w:r>
          </w:p>
        </w:tc>
      </w:tr>
      <w:tr w:rsidR="00911770" w:rsidRPr="000668B8" w14:paraId="4856F4E0" w14:textId="77777777" w:rsidTr="00911770">
        <w:trPr>
          <w:trHeight w:val="259"/>
          <w:jc w:val="center"/>
        </w:trPr>
        <w:tc>
          <w:tcPr>
            <w:tcW w:w="6121" w:type="dxa"/>
            <w:shd w:val="clear" w:color="auto" w:fill="F2F2F2" w:themeFill="background1" w:themeFillShade="F2"/>
            <w:vAlign w:val="bottom"/>
            <w:hideMark/>
          </w:tcPr>
          <w:p w14:paraId="20B19616"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Divadlo ASTORKA Korzo ´90</w:t>
            </w:r>
          </w:p>
        </w:tc>
        <w:tc>
          <w:tcPr>
            <w:tcW w:w="2030" w:type="dxa"/>
            <w:shd w:val="clear" w:color="auto" w:fill="F2F2F2" w:themeFill="background1" w:themeFillShade="F2"/>
            <w:noWrap/>
            <w:vAlign w:val="bottom"/>
          </w:tcPr>
          <w:p w14:paraId="57D78269" w14:textId="77777777" w:rsidR="00911770" w:rsidRPr="00A52E06" w:rsidRDefault="00911770" w:rsidP="005A1544">
            <w:pPr>
              <w:spacing w:before="100" w:beforeAutospacing="1" w:after="0"/>
              <w:jc w:val="center"/>
              <w:rPr>
                <w:rFonts w:cs="Calibri"/>
                <w:sz w:val="18"/>
                <w:szCs w:val="18"/>
              </w:rPr>
            </w:pPr>
            <w:r w:rsidRPr="00A52E06">
              <w:rPr>
                <w:rFonts w:cs="Calibri"/>
                <w:sz w:val="18"/>
                <w:szCs w:val="18"/>
              </w:rPr>
              <w:t>8%</w:t>
            </w:r>
          </w:p>
        </w:tc>
        <w:tc>
          <w:tcPr>
            <w:tcW w:w="2030" w:type="dxa"/>
            <w:shd w:val="clear" w:color="auto" w:fill="F2F2F2" w:themeFill="background1" w:themeFillShade="F2"/>
            <w:noWrap/>
            <w:vAlign w:val="bottom"/>
            <w:hideMark/>
          </w:tcPr>
          <w:p w14:paraId="01B2EDBC" w14:textId="77777777" w:rsidR="00911770" w:rsidRPr="00A52E06" w:rsidRDefault="00911770" w:rsidP="005A1544">
            <w:pPr>
              <w:spacing w:after="0"/>
              <w:jc w:val="center"/>
              <w:rPr>
                <w:rFonts w:cs="Calibri"/>
                <w:sz w:val="18"/>
                <w:szCs w:val="18"/>
              </w:rPr>
            </w:pPr>
            <w:r w:rsidRPr="00A52E06">
              <w:rPr>
                <w:rFonts w:cs="Calibri"/>
                <w:sz w:val="18"/>
                <w:szCs w:val="18"/>
              </w:rPr>
              <w:t>21%</w:t>
            </w:r>
          </w:p>
        </w:tc>
      </w:tr>
      <w:tr w:rsidR="00911770" w:rsidRPr="000668B8" w14:paraId="1EF24FAB" w14:textId="77777777" w:rsidTr="00911770">
        <w:trPr>
          <w:trHeight w:val="259"/>
          <w:jc w:val="center"/>
        </w:trPr>
        <w:tc>
          <w:tcPr>
            <w:tcW w:w="6121" w:type="dxa"/>
            <w:shd w:val="clear" w:color="auto" w:fill="F2F2F2" w:themeFill="background1" w:themeFillShade="F2"/>
            <w:vAlign w:val="bottom"/>
            <w:hideMark/>
          </w:tcPr>
          <w:p w14:paraId="4AFD1C54"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Malokarpatské múzeum v Pezinku</w:t>
            </w:r>
          </w:p>
        </w:tc>
        <w:tc>
          <w:tcPr>
            <w:tcW w:w="2030" w:type="dxa"/>
            <w:shd w:val="clear" w:color="auto" w:fill="F2F2F2" w:themeFill="background1" w:themeFillShade="F2"/>
            <w:noWrap/>
            <w:vAlign w:val="bottom"/>
          </w:tcPr>
          <w:p w14:paraId="6B34A305" w14:textId="77777777" w:rsidR="00911770" w:rsidRPr="00A52E06" w:rsidRDefault="00911770" w:rsidP="005A1544">
            <w:pPr>
              <w:spacing w:before="100" w:beforeAutospacing="1" w:after="0"/>
              <w:jc w:val="center"/>
              <w:rPr>
                <w:rFonts w:cs="Calibri"/>
                <w:sz w:val="18"/>
                <w:szCs w:val="18"/>
              </w:rPr>
            </w:pPr>
            <w:r w:rsidRPr="00A52E06">
              <w:rPr>
                <w:rFonts w:cs="Calibri"/>
                <w:sz w:val="18"/>
                <w:szCs w:val="18"/>
              </w:rPr>
              <w:t>5%</w:t>
            </w:r>
          </w:p>
        </w:tc>
        <w:tc>
          <w:tcPr>
            <w:tcW w:w="2030" w:type="dxa"/>
            <w:shd w:val="clear" w:color="auto" w:fill="F2F2F2" w:themeFill="background1" w:themeFillShade="F2"/>
            <w:noWrap/>
            <w:vAlign w:val="bottom"/>
            <w:hideMark/>
          </w:tcPr>
          <w:p w14:paraId="5D5EF538" w14:textId="77777777" w:rsidR="00911770" w:rsidRPr="00A52E06" w:rsidRDefault="00911770" w:rsidP="005A1544">
            <w:pPr>
              <w:spacing w:after="0"/>
              <w:jc w:val="center"/>
              <w:rPr>
                <w:rFonts w:cs="Calibri"/>
                <w:sz w:val="18"/>
                <w:szCs w:val="18"/>
              </w:rPr>
            </w:pPr>
            <w:r w:rsidRPr="00A52E06">
              <w:rPr>
                <w:rFonts w:cs="Calibri"/>
                <w:sz w:val="18"/>
                <w:szCs w:val="18"/>
              </w:rPr>
              <w:t>7%</w:t>
            </w:r>
          </w:p>
        </w:tc>
      </w:tr>
      <w:tr w:rsidR="00911770" w:rsidRPr="000668B8" w14:paraId="731EE23F" w14:textId="77777777" w:rsidTr="00911770">
        <w:trPr>
          <w:trHeight w:val="259"/>
          <w:jc w:val="center"/>
        </w:trPr>
        <w:tc>
          <w:tcPr>
            <w:tcW w:w="6121" w:type="dxa"/>
            <w:shd w:val="clear" w:color="auto" w:fill="F2F2F2" w:themeFill="background1" w:themeFillShade="F2"/>
            <w:vAlign w:val="bottom"/>
            <w:hideMark/>
          </w:tcPr>
          <w:p w14:paraId="50E7234B"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Malokarpatské osvetové stredisko v Modre</w:t>
            </w:r>
          </w:p>
        </w:tc>
        <w:tc>
          <w:tcPr>
            <w:tcW w:w="2030" w:type="dxa"/>
            <w:shd w:val="clear" w:color="auto" w:fill="F2F2F2" w:themeFill="background1" w:themeFillShade="F2"/>
            <w:noWrap/>
            <w:vAlign w:val="bottom"/>
          </w:tcPr>
          <w:p w14:paraId="4E41DBB9" w14:textId="77777777" w:rsidR="00911770" w:rsidRPr="00A52E06" w:rsidRDefault="00911770" w:rsidP="005A1544">
            <w:pPr>
              <w:spacing w:before="100" w:beforeAutospacing="1" w:after="0"/>
              <w:jc w:val="center"/>
              <w:rPr>
                <w:rFonts w:cs="Calibri"/>
                <w:sz w:val="18"/>
                <w:szCs w:val="18"/>
              </w:rPr>
            </w:pPr>
            <w:r w:rsidRPr="00A52E06">
              <w:rPr>
                <w:rFonts w:cs="Calibri"/>
                <w:sz w:val="18"/>
                <w:szCs w:val="18"/>
              </w:rPr>
              <w:t>4%</w:t>
            </w:r>
          </w:p>
        </w:tc>
        <w:tc>
          <w:tcPr>
            <w:tcW w:w="2030" w:type="dxa"/>
            <w:shd w:val="clear" w:color="auto" w:fill="F2F2F2" w:themeFill="background1" w:themeFillShade="F2"/>
            <w:noWrap/>
            <w:vAlign w:val="bottom"/>
            <w:hideMark/>
          </w:tcPr>
          <w:p w14:paraId="4F971C20" w14:textId="77777777" w:rsidR="00911770" w:rsidRPr="00A52E06" w:rsidRDefault="00911770" w:rsidP="005A1544">
            <w:pPr>
              <w:spacing w:after="0"/>
              <w:jc w:val="center"/>
              <w:rPr>
                <w:rFonts w:cs="Calibri"/>
                <w:sz w:val="18"/>
                <w:szCs w:val="18"/>
              </w:rPr>
            </w:pPr>
            <w:r w:rsidRPr="00A52E06">
              <w:rPr>
                <w:rFonts w:cs="Calibri"/>
                <w:sz w:val="18"/>
                <w:szCs w:val="18"/>
              </w:rPr>
              <w:t>5%</w:t>
            </w:r>
          </w:p>
        </w:tc>
      </w:tr>
      <w:tr w:rsidR="00911770" w:rsidRPr="000668B8" w14:paraId="3E6D8F4A" w14:textId="77777777" w:rsidTr="00911770">
        <w:trPr>
          <w:trHeight w:val="259"/>
          <w:jc w:val="center"/>
        </w:trPr>
        <w:tc>
          <w:tcPr>
            <w:tcW w:w="6121" w:type="dxa"/>
            <w:shd w:val="clear" w:color="auto" w:fill="F2F2F2" w:themeFill="background1" w:themeFillShade="F2"/>
            <w:vAlign w:val="bottom"/>
            <w:hideMark/>
          </w:tcPr>
          <w:p w14:paraId="02DA76F0"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Bratislavské bábkové divadlo</w:t>
            </w:r>
          </w:p>
        </w:tc>
        <w:tc>
          <w:tcPr>
            <w:tcW w:w="2030" w:type="dxa"/>
            <w:shd w:val="clear" w:color="auto" w:fill="F2F2F2" w:themeFill="background1" w:themeFillShade="F2"/>
            <w:noWrap/>
            <w:vAlign w:val="bottom"/>
          </w:tcPr>
          <w:p w14:paraId="121185F8" w14:textId="77777777" w:rsidR="00911770" w:rsidRPr="00A52E06" w:rsidRDefault="00911770" w:rsidP="005A1544">
            <w:pPr>
              <w:spacing w:before="100" w:beforeAutospacing="1" w:after="0"/>
              <w:jc w:val="center"/>
              <w:rPr>
                <w:rFonts w:cs="Calibri"/>
                <w:sz w:val="18"/>
                <w:szCs w:val="18"/>
              </w:rPr>
            </w:pPr>
            <w:r w:rsidRPr="00A52E06">
              <w:rPr>
                <w:rFonts w:cs="Calibri"/>
                <w:sz w:val="18"/>
                <w:szCs w:val="18"/>
              </w:rPr>
              <w:t>3%</w:t>
            </w:r>
          </w:p>
        </w:tc>
        <w:tc>
          <w:tcPr>
            <w:tcW w:w="2030" w:type="dxa"/>
            <w:shd w:val="clear" w:color="auto" w:fill="F2F2F2" w:themeFill="background1" w:themeFillShade="F2"/>
            <w:noWrap/>
            <w:vAlign w:val="bottom"/>
            <w:hideMark/>
          </w:tcPr>
          <w:p w14:paraId="454D3816" w14:textId="77777777" w:rsidR="00911770" w:rsidRPr="00A52E06" w:rsidRDefault="00911770" w:rsidP="005A1544">
            <w:pPr>
              <w:spacing w:after="0"/>
              <w:jc w:val="center"/>
              <w:rPr>
                <w:rFonts w:cs="Calibri"/>
                <w:sz w:val="18"/>
                <w:szCs w:val="18"/>
              </w:rPr>
            </w:pPr>
            <w:r w:rsidRPr="00A52E06">
              <w:rPr>
                <w:rFonts w:cs="Calibri"/>
                <w:sz w:val="18"/>
                <w:szCs w:val="18"/>
              </w:rPr>
              <w:t>12%</w:t>
            </w:r>
          </w:p>
        </w:tc>
      </w:tr>
      <w:tr w:rsidR="00911770" w:rsidRPr="000668B8" w14:paraId="4ADCC191" w14:textId="77777777" w:rsidTr="00911770">
        <w:trPr>
          <w:trHeight w:val="259"/>
          <w:jc w:val="center"/>
        </w:trPr>
        <w:tc>
          <w:tcPr>
            <w:tcW w:w="6121" w:type="dxa"/>
            <w:shd w:val="clear" w:color="auto" w:fill="F2F2F2" w:themeFill="background1" w:themeFillShade="F2"/>
            <w:vAlign w:val="bottom"/>
            <w:hideMark/>
          </w:tcPr>
          <w:p w14:paraId="0C1EE7EC"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Malokarpatská knižnica v Pezinku</w:t>
            </w:r>
          </w:p>
        </w:tc>
        <w:tc>
          <w:tcPr>
            <w:tcW w:w="2030" w:type="dxa"/>
            <w:shd w:val="clear" w:color="auto" w:fill="F2F2F2" w:themeFill="background1" w:themeFillShade="F2"/>
            <w:noWrap/>
            <w:vAlign w:val="bottom"/>
          </w:tcPr>
          <w:p w14:paraId="18B3FAA4" w14:textId="77777777" w:rsidR="00911770" w:rsidRPr="00A52E06" w:rsidRDefault="00911770" w:rsidP="005A1544">
            <w:pPr>
              <w:spacing w:before="100" w:beforeAutospacing="1" w:after="0"/>
              <w:jc w:val="center"/>
              <w:rPr>
                <w:rFonts w:cs="Calibri"/>
                <w:sz w:val="18"/>
                <w:szCs w:val="18"/>
              </w:rPr>
            </w:pPr>
            <w:r w:rsidRPr="00A52E06">
              <w:rPr>
                <w:rFonts w:cs="Calibri"/>
                <w:sz w:val="18"/>
                <w:szCs w:val="18"/>
              </w:rPr>
              <w:t>3%</w:t>
            </w:r>
          </w:p>
        </w:tc>
        <w:tc>
          <w:tcPr>
            <w:tcW w:w="2030" w:type="dxa"/>
            <w:shd w:val="clear" w:color="auto" w:fill="F2F2F2" w:themeFill="background1" w:themeFillShade="F2"/>
            <w:noWrap/>
            <w:vAlign w:val="bottom"/>
            <w:hideMark/>
          </w:tcPr>
          <w:p w14:paraId="4BA31801" w14:textId="77777777" w:rsidR="00911770" w:rsidRPr="00A52E06" w:rsidRDefault="00911770" w:rsidP="005A1544">
            <w:pPr>
              <w:spacing w:after="0"/>
              <w:jc w:val="center"/>
              <w:rPr>
                <w:rFonts w:cs="Calibri"/>
                <w:sz w:val="18"/>
                <w:szCs w:val="18"/>
              </w:rPr>
            </w:pPr>
            <w:r w:rsidRPr="00A52E06">
              <w:rPr>
                <w:rFonts w:cs="Calibri"/>
                <w:sz w:val="18"/>
                <w:szCs w:val="18"/>
              </w:rPr>
              <w:t>2%</w:t>
            </w:r>
          </w:p>
        </w:tc>
      </w:tr>
      <w:tr w:rsidR="00911770" w:rsidRPr="000668B8" w14:paraId="49ACC646" w14:textId="77777777" w:rsidTr="00911770">
        <w:trPr>
          <w:trHeight w:val="259"/>
          <w:jc w:val="center"/>
        </w:trPr>
        <w:tc>
          <w:tcPr>
            <w:tcW w:w="6121" w:type="dxa"/>
            <w:shd w:val="clear" w:color="auto" w:fill="F2F2F2" w:themeFill="background1" w:themeFillShade="F2"/>
            <w:vAlign w:val="bottom"/>
            <w:hideMark/>
          </w:tcPr>
          <w:p w14:paraId="11FAC466"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Divadlo LUDUS</w:t>
            </w:r>
          </w:p>
        </w:tc>
        <w:tc>
          <w:tcPr>
            <w:tcW w:w="2030" w:type="dxa"/>
            <w:shd w:val="clear" w:color="auto" w:fill="F2F2F2" w:themeFill="background1" w:themeFillShade="F2"/>
            <w:noWrap/>
            <w:vAlign w:val="bottom"/>
          </w:tcPr>
          <w:p w14:paraId="5C4D4609" w14:textId="77777777" w:rsidR="00911770" w:rsidRPr="00A52E06" w:rsidRDefault="00911770" w:rsidP="005A1544">
            <w:pPr>
              <w:spacing w:before="100" w:beforeAutospacing="1" w:after="0"/>
              <w:jc w:val="center"/>
              <w:rPr>
                <w:rFonts w:cs="Calibri"/>
                <w:sz w:val="18"/>
                <w:szCs w:val="18"/>
              </w:rPr>
            </w:pPr>
            <w:r w:rsidRPr="00A52E06">
              <w:rPr>
                <w:rFonts w:cs="Calibri"/>
                <w:sz w:val="18"/>
                <w:szCs w:val="18"/>
              </w:rPr>
              <w:t>1%</w:t>
            </w:r>
          </w:p>
        </w:tc>
        <w:tc>
          <w:tcPr>
            <w:tcW w:w="2030" w:type="dxa"/>
            <w:shd w:val="clear" w:color="auto" w:fill="F2F2F2" w:themeFill="background1" w:themeFillShade="F2"/>
            <w:noWrap/>
            <w:vAlign w:val="bottom"/>
            <w:hideMark/>
          </w:tcPr>
          <w:p w14:paraId="1B849DF7" w14:textId="77777777" w:rsidR="00911770" w:rsidRPr="00A52E06" w:rsidRDefault="00911770" w:rsidP="005A1544">
            <w:pPr>
              <w:spacing w:after="0"/>
              <w:jc w:val="center"/>
              <w:rPr>
                <w:rFonts w:cs="Calibri"/>
                <w:sz w:val="18"/>
                <w:szCs w:val="18"/>
              </w:rPr>
            </w:pPr>
            <w:r w:rsidRPr="00A52E06">
              <w:rPr>
                <w:rFonts w:cs="Calibri"/>
                <w:sz w:val="18"/>
                <w:szCs w:val="18"/>
              </w:rPr>
              <w:t>6%</w:t>
            </w:r>
          </w:p>
        </w:tc>
      </w:tr>
      <w:tr w:rsidR="00911770" w:rsidRPr="000668B8" w14:paraId="0D3118A2" w14:textId="77777777" w:rsidTr="00911770">
        <w:trPr>
          <w:trHeight w:val="320"/>
          <w:jc w:val="center"/>
        </w:trPr>
        <w:tc>
          <w:tcPr>
            <w:tcW w:w="10181" w:type="dxa"/>
            <w:gridSpan w:val="3"/>
            <w:shd w:val="clear" w:color="000000" w:fill="A6A6A6"/>
            <w:vAlign w:val="center"/>
          </w:tcPr>
          <w:p w14:paraId="043F5874" w14:textId="77777777" w:rsidR="00911770" w:rsidRPr="00A52E06" w:rsidRDefault="00911770" w:rsidP="005A1544">
            <w:pPr>
              <w:spacing w:after="0" w:line="240" w:lineRule="auto"/>
              <w:rPr>
                <w:rFonts w:cs="Calibri"/>
                <w:b/>
                <w:bCs/>
                <w:sz w:val="20"/>
                <w:szCs w:val="20"/>
                <w:lang w:eastAsia="sk-SK"/>
              </w:rPr>
            </w:pPr>
            <w:r w:rsidRPr="00A52E06">
              <w:rPr>
                <w:rFonts w:asciiTheme="minorHAnsi" w:hAnsiTheme="minorHAnsi" w:cstheme="minorHAnsi"/>
                <w:b/>
                <w:bCs/>
                <w:sz w:val="18"/>
                <w:szCs w:val="18"/>
                <w:lang w:eastAsia="sk-SK"/>
              </w:rPr>
              <w:t>Školské zariadenia</w:t>
            </w:r>
          </w:p>
        </w:tc>
      </w:tr>
      <w:tr w:rsidR="00911770" w:rsidRPr="000668B8" w14:paraId="42F6AA02" w14:textId="77777777" w:rsidTr="00911770">
        <w:trPr>
          <w:trHeight w:val="259"/>
          <w:jc w:val="center"/>
        </w:trPr>
        <w:tc>
          <w:tcPr>
            <w:tcW w:w="6121" w:type="dxa"/>
            <w:shd w:val="clear" w:color="auto" w:fill="F2F2F2" w:themeFill="background1" w:themeFillShade="F2"/>
            <w:vAlign w:val="bottom"/>
            <w:hideMark/>
          </w:tcPr>
          <w:p w14:paraId="2F8AC510" w14:textId="77777777" w:rsidR="00911770" w:rsidRPr="00A52E06" w:rsidRDefault="00911770" w:rsidP="005A1544">
            <w:pPr>
              <w:spacing w:after="0" w:line="240" w:lineRule="auto"/>
              <w:ind w:firstLineChars="100" w:firstLine="180"/>
              <w:rPr>
                <w:rFonts w:cs="Calibri"/>
                <w:sz w:val="18"/>
                <w:szCs w:val="18"/>
              </w:rPr>
            </w:pPr>
            <w:r w:rsidRPr="00A52E06">
              <w:rPr>
                <w:rFonts w:cs="Calibri"/>
                <w:sz w:val="18"/>
                <w:szCs w:val="18"/>
              </w:rPr>
              <w:t>Jazyková škola, Palisády 38</w:t>
            </w:r>
          </w:p>
        </w:tc>
        <w:tc>
          <w:tcPr>
            <w:tcW w:w="2030" w:type="dxa"/>
            <w:shd w:val="clear" w:color="auto" w:fill="F2F2F2" w:themeFill="background1" w:themeFillShade="F2"/>
            <w:noWrap/>
            <w:vAlign w:val="bottom"/>
          </w:tcPr>
          <w:p w14:paraId="79B6B1DA" w14:textId="77777777" w:rsidR="00911770" w:rsidRPr="00A52E06" w:rsidRDefault="00911770" w:rsidP="005A1544">
            <w:pPr>
              <w:spacing w:after="0" w:line="240" w:lineRule="auto"/>
              <w:jc w:val="center"/>
              <w:rPr>
                <w:rFonts w:cs="Calibri"/>
                <w:sz w:val="18"/>
                <w:szCs w:val="18"/>
              </w:rPr>
            </w:pPr>
            <w:r w:rsidRPr="00A52E06">
              <w:rPr>
                <w:rFonts w:cs="Calibri"/>
                <w:sz w:val="18"/>
                <w:szCs w:val="18"/>
              </w:rPr>
              <w:t>39%</w:t>
            </w:r>
          </w:p>
        </w:tc>
        <w:tc>
          <w:tcPr>
            <w:tcW w:w="2030" w:type="dxa"/>
            <w:shd w:val="clear" w:color="auto" w:fill="F2F2F2" w:themeFill="background1" w:themeFillShade="F2"/>
            <w:noWrap/>
            <w:vAlign w:val="bottom"/>
            <w:hideMark/>
          </w:tcPr>
          <w:p w14:paraId="70D1FD7D" w14:textId="77777777" w:rsidR="00911770" w:rsidRPr="00A52E06" w:rsidRDefault="00911770" w:rsidP="005A1544">
            <w:pPr>
              <w:spacing w:after="0"/>
              <w:jc w:val="center"/>
              <w:rPr>
                <w:rFonts w:cs="Calibri"/>
                <w:sz w:val="18"/>
                <w:szCs w:val="18"/>
              </w:rPr>
            </w:pPr>
            <w:r w:rsidRPr="00A52E06">
              <w:rPr>
                <w:rFonts w:cs="Calibri"/>
                <w:sz w:val="18"/>
                <w:szCs w:val="18"/>
              </w:rPr>
              <w:t>27%</w:t>
            </w:r>
          </w:p>
        </w:tc>
      </w:tr>
      <w:tr w:rsidR="00911770" w:rsidRPr="000668B8" w14:paraId="0294C0A6" w14:textId="77777777" w:rsidTr="00911770">
        <w:trPr>
          <w:trHeight w:val="259"/>
          <w:jc w:val="center"/>
        </w:trPr>
        <w:tc>
          <w:tcPr>
            <w:tcW w:w="6121" w:type="dxa"/>
            <w:shd w:val="clear" w:color="auto" w:fill="F2F2F2" w:themeFill="background1" w:themeFillShade="F2"/>
            <w:vAlign w:val="bottom"/>
            <w:hideMark/>
          </w:tcPr>
          <w:p w14:paraId="0BE4E379"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 xml:space="preserve">Jazyková škola pri Gymnáziu J. </w:t>
            </w:r>
            <w:proofErr w:type="spellStart"/>
            <w:r w:rsidRPr="00A52E06">
              <w:rPr>
                <w:rFonts w:cs="Calibri"/>
                <w:sz w:val="18"/>
                <w:szCs w:val="18"/>
              </w:rPr>
              <w:t>Papánka</w:t>
            </w:r>
            <w:proofErr w:type="spellEnd"/>
          </w:p>
        </w:tc>
        <w:tc>
          <w:tcPr>
            <w:tcW w:w="2030" w:type="dxa"/>
            <w:shd w:val="clear" w:color="auto" w:fill="F2F2F2" w:themeFill="background1" w:themeFillShade="F2"/>
            <w:noWrap/>
            <w:vAlign w:val="bottom"/>
          </w:tcPr>
          <w:p w14:paraId="66F75D24" w14:textId="77777777" w:rsidR="00911770" w:rsidRPr="00A52E06" w:rsidRDefault="00911770" w:rsidP="005A1544">
            <w:pPr>
              <w:spacing w:after="0"/>
              <w:jc w:val="center"/>
              <w:rPr>
                <w:rFonts w:cs="Calibri"/>
                <w:sz w:val="18"/>
                <w:szCs w:val="18"/>
              </w:rPr>
            </w:pPr>
            <w:r w:rsidRPr="00A52E06">
              <w:rPr>
                <w:rFonts w:cs="Calibri"/>
                <w:sz w:val="18"/>
                <w:szCs w:val="18"/>
              </w:rPr>
              <w:t>37%</w:t>
            </w:r>
          </w:p>
        </w:tc>
        <w:tc>
          <w:tcPr>
            <w:tcW w:w="2030" w:type="dxa"/>
            <w:shd w:val="clear" w:color="auto" w:fill="F2F2F2" w:themeFill="background1" w:themeFillShade="F2"/>
            <w:noWrap/>
            <w:vAlign w:val="bottom"/>
            <w:hideMark/>
          </w:tcPr>
          <w:p w14:paraId="3ABD1328" w14:textId="77777777" w:rsidR="00911770" w:rsidRPr="00A52E06" w:rsidRDefault="00911770" w:rsidP="005A1544">
            <w:pPr>
              <w:spacing w:after="0"/>
              <w:jc w:val="center"/>
              <w:rPr>
                <w:rFonts w:cs="Calibri"/>
                <w:sz w:val="18"/>
                <w:szCs w:val="18"/>
              </w:rPr>
            </w:pPr>
            <w:r w:rsidRPr="00A52E06">
              <w:rPr>
                <w:rFonts w:cs="Calibri"/>
                <w:sz w:val="18"/>
                <w:szCs w:val="18"/>
              </w:rPr>
              <w:t>19%</w:t>
            </w:r>
          </w:p>
        </w:tc>
      </w:tr>
      <w:tr w:rsidR="00911770" w:rsidRPr="000668B8" w14:paraId="0C4489D4" w14:textId="77777777" w:rsidTr="00911770">
        <w:trPr>
          <w:trHeight w:val="259"/>
          <w:jc w:val="center"/>
        </w:trPr>
        <w:tc>
          <w:tcPr>
            <w:tcW w:w="6121" w:type="dxa"/>
            <w:shd w:val="clear" w:color="auto" w:fill="F2F2F2" w:themeFill="background1" w:themeFillShade="F2"/>
            <w:vAlign w:val="bottom"/>
            <w:hideMark/>
          </w:tcPr>
          <w:p w14:paraId="1FAF4EFD"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SOŠ automobilová a podnikania, Kysucká 14, Senec</w:t>
            </w:r>
          </w:p>
        </w:tc>
        <w:tc>
          <w:tcPr>
            <w:tcW w:w="2030" w:type="dxa"/>
            <w:shd w:val="clear" w:color="auto" w:fill="F2F2F2" w:themeFill="background1" w:themeFillShade="F2"/>
            <w:noWrap/>
            <w:vAlign w:val="bottom"/>
          </w:tcPr>
          <w:p w14:paraId="2375F99C" w14:textId="77777777" w:rsidR="00911770" w:rsidRPr="00A52E06" w:rsidRDefault="00911770" w:rsidP="005A1544">
            <w:pPr>
              <w:spacing w:after="0"/>
              <w:jc w:val="center"/>
              <w:rPr>
                <w:rFonts w:cs="Calibri"/>
                <w:sz w:val="18"/>
                <w:szCs w:val="18"/>
              </w:rPr>
            </w:pPr>
            <w:r w:rsidRPr="00A52E06">
              <w:rPr>
                <w:rFonts w:cs="Calibri"/>
                <w:sz w:val="18"/>
                <w:szCs w:val="18"/>
              </w:rPr>
              <w:t>32%</w:t>
            </w:r>
          </w:p>
        </w:tc>
        <w:tc>
          <w:tcPr>
            <w:tcW w:w="2030" w:type="dxa"/>
            <w:shd w:val="clear" w:color="auto" w:fill="F2F2F2" w:themeFill="background1" w:themeFillShade="F2"/>
            <w:noWrap/>
            <w:vAlign w:val="bottom"/>
            <w:hideMark/>
          </w:tcPr>
          <w:p w14:paraId="7FF59AE7" w14:textId="77777777" w:rsidR="00911770" w:rsidRPr="00A52E06" w:rsidRDefault="00911770" w:rsidP="005A1544">
            <w:pPr>
              <w:spacing w:after="0"/>
              <w:jc w:val="center"/>
              <w:rPr>
                <w:rFonts w:cs="Calibri"/>
                <w:sz w:val="18"/>
                <w:szCs w:val="18"/>
              </w:rPr>
            </w:pPr>
            <w:r w:rsidRPr="00A52E06">
              <w:rPr>
                <w:rFonts w:cs="Calibri"/>
                <w:sz w:val="18"/>
                <w:szCs w:val="18"/>
              </w:rPr>
              <w:t>38%</w:t>
            </w:r>
          </w:p>
        </w:tc>
      </w:tr>
      <w:tr w:rsidR="00911770" w:rsidRPr="000668B8" w14:paraId="0C301638" w14:textId="77777777" w:rsidTr="00911770">
        <w:trPr>
          <w:trHeight w:val="259"/>
          <w:jc w:val="center"/>
        </w:trPr>
        <w:tc>
          <w:tcPr>
            <w:tcW w:w="6121" w:type="dxa"/>
            <w:shd w:val="clear" w:color="auto" w:fill="F2F2F2" w:themeFill="background1" w:themeFillShade="F2"/>
            <w:vAlign w:val="bottom"/>
            <w:hideMark/>
          </w:tcPr>
          <w:p w14:paraId="3C6851DF"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SOŠ hotelových služieb a obchodu, Na Pántoch 9, BA</w:t>
            </w:r>
          </w:p>
        </w:tc>
        <w:tc>
          <w:tcPr>
            <w:tcW w:w="2030" w:type="dxa"/>
            <w:shd w:val="clear" w:color="auto" w:fill="F2F2F2" w:themeFill="background1" w:themeFillShade="F2"/>
            <w:noWrap/>
            <w:vAlign w:val="bottom"/>
          </w:tcPr>
          <w:p w14:paraId="0919B946" w14:textId="77777777" w:rsidR="00911770" w:rsidRPr="00A52E06" w:rsidRDefault="00911770" w:rsidP="005A1544">
            <w:pPr>
              <w:spacing w:after="0"/>
              <w:jc w:val="center"/>
              <w:rPr>
                <w:rFonts w:cs="Calibri"/>
                <w:sz w:val="18"/>
                <w:szCs w:val="18"/>
              </w:rPr>
            </w:pPr>
            <w:r w:rsidRPr="00A52E06">
              <w:rPr>
                <w:rFonts w:cs="Calibri"/>
                <w:sz w:val="18"/>
                <w:szCs w:val="18"/>
              </w:rPr>
              <w:t>32%</w:t>
            </w:r>
          </w:p>
        </w:tc>
        <w:tc>
          <w:tcPr>
            <w:tcW w:w="2030" w:type="dxa"/>
            <w:shd w:val="clear" w:color="auto" w:fill="F2F2F2" w:themeFill="background1" w:themeFillShade="F2"/>
            <w:noWrap/>
            <w:vAlign w:val="bottom"/>
            <w:hideMark/>
          </w:tcPr>
          <w:p w14:paraId="3AE55D11" w14:textId="77777777" w:rsidR="00911770" w:rsidRPr="00A52E06" w:rsidRDefault="00911770" w:rsidP="005A1544">
            <w:pPr>
              <w:spacing w:after="0"/>
              <w:jc w:val="center"/>
              <w:rPr>
                <w:rFonts w:cs="Calibri"/>
                <w:sz w:val="18"/>
                <w:szCs w:val="18"/>
              </w:rPr>
            </w:pPr>
            <w:r w:rsidRPr="00A52E06">
              <w:rPr>
                <w:rFonts w:cs="Calibri"/>
                <w:sz w:val="18"/>
                <w:szCs w:val="18"/>
              </w:rPr>
              <w:t>35%</w:t>
            </w:r>
          </w:p>
        </w:tc>
      </w:tr>
      <w:tr w:rsidR="00911770" w:rsidRPr="000668B8" w14:paraId="271ED5D4" w14:textId="77777777" w:rsidTr="00911770">
        <w:trPr>
          <w:trHeight w:val="259"/>
          <w:jc w:val="center"/>
        </w:trPr>
        <w:tc>
          <w:tcPr>
            <w:tcW w:w="6121" w:type="dxa"/>
            <w:shd w:val="clear" w:color="auto" w:fill="F2F2F2" w:themeFill="background1" w:themeFillShade="F2"/>
            <w:vAlign w:val="bottom"/>
            <w:hideMark/>
          </w:tcPr>
          <w:p w14:paraId="2BD108EF"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Stredná odborná škola polygrafická</w:t>
            </w:r>
          </w:p>
        </w:tc>
        <w:tc>
          <w:tcPr>
            <w:tcW w:w="2030" w:type="dxa"/>
            <w:shd w:val="clear" w:color="auto" w:fill="F2F2F2" w:themeFill="background1" w:themeFillShade="F2"/>
            <w:noWrap/>
            <w:vAlign w:val="bottom"/>
          </w:tcPr>
          <w:p w14:paraId="0D508135" w14:textId="77777777" w:rsidR="00911770" w:rsidRPr="00A52E06" w:rsidRDefault="00911770" w:rsidP="005A1544">
            <w:pPr>
              <w:spacing w:after="0"/>
              <w:jc w:val="center"/>
              <w:rPr>
                <w:rFonts w:cs="Calibri"/>
                <w:sz w:val="18"/>
                <w:szCs w:val="18"/>
              </w:rPr>
            </w:pPr>
            <w:r w:rsidRPr="00A52E06">
              <w:rPr>
                <w:rFonts w:cs="Calibri"/>
                <w:sz w:val="18"/>
                <w:szCs w:val="18"/>
              </w:rPr>
              <w:t>22%</w:t>
            </w:r>
          </w:p>
        </w:tc>
        <w:tc>
          <w:tcPr>
            <w:tcW w:w="2030" w:type="dxa"/>
            <w:shd w:val="clear" w:color="auto" w:fill="F2F2F2" w:themeFill="background1" w:themeFillShade="F2"/>
            <w:noWrap/>
            <w:vAlign w:val="bottom"/>
            <w:hideMark/>
          </w:tcPr>
          <w:p w14:paraId="64799390" w14:textId="77777777" w:rsidR="00911770" w:rsidRPr="00A52E06" w:rsidRDefault="00911770" w:rsidP="005A1544">
            <w:pPr>
              <w:spacing w:after="0"/>
              <w:jc w:val="center"/>
              <w:rPr>
                <w:rFonts w:cs="Calibri"/>
                <w:sz w:val="18"/>
                <w:szCs w:val="18"/>
              </w:rPr>
            </w:pPr>
            <w:r w:rsidRPr="00A52E06">
              <w:rPr>
                <w:rFonts w:cs="Calibri"/>
                <w:sz w:val="18"/>
                <w:szCs w:val="18"/>
              </w:rPr>
              <w:t>27%</w:t>
            </w:r>
          </w:p>
        </w:tc>
      </w:tr>
      <w:tr w:rsidR="00911770" w:rsidRPr="000668B8" w14:paraId="144A96F0" w14:textId="77777777" w:rsidTr="00911770">
        <w:trPr>
          <w:trHeight w:val="288"/>
          <w:jc w:val="center"/>
        </w:trPr>
        <w:tc>
          <w:tcPr>
            <w:tcW w:w="6121" w:type="dxa"/>
            <w:shd w:val="clear" w:color="auto" w:fill="F2F2F2" w:themeFill="background1" w:themeFillShade="F2"/>
            <w:vAlign w:val="bottom"/>
            <w:hideMark/>
          </w:tcPr>
          <w:p w14:paraId="64FDE9AD"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 xml:space="preserve">SOŠ informačných technológií, </w:t>
            </w:r>
            <w:proofErr w:type="spellStart"/>
            <w:r w:rsidRPr="00A52E06">
              <w:rPr>
                <w:rFonts w:cs="Calibri"/>
                <w:sz w:val="18"/>
                <w:szCs w:val="18"/>
              </w:rPr>
              <w:t>Hlinícka</w:t>
            </w:r>
            <w:proofErr w:type="spellEnd"/>
            <w:r w:rsidRPr="00A52E06">
              <w:rPr>
                <w:rFonts w:cs="Calibri"/>
                <w:sz w:val="18"/>
                <w:szCs w:val="18"/>
              </w:rPr>
              <w:t xml:space="preserve"> 1, BA</w:t>
            </w:r>
          </w:p>
        </w:tc>
        <w:tc>
          <w:tcPr>
            <w:tcW w:w="2030" w:type="dxa"/>
            <w:shd w:val="clear" w:color="auto" w:fill="F2F2F2" w:themeFill="background1" w:themeFillShade="F2"/>
            <w:noWrap/>
            <w:vAlign w:val="bottom"/>
          </w:tcPr>
          <w:p w14:paraId="7BFA6C82" w14:textId="77777777" w:rsidR="00911770" w:rsidRPr="00A52E06" w:rsidRDefault="00911770" w:rsidP="005A1544">
            <w:pPr>
              <w:spacing w:after="0"/>
              <w:jc w:val="center"/>
              <w:rPr>
                <w:rFonts w:cs="Calibri"/>
                <w:sz w:val="18"/>
                <w:szCs w:val="18"/>
              </w:rPr>
            </w:pPr>
            <w:r w:rsidRPr="00A52E06">
              <w:rPr>
                <w:rFonts w:cs="Calibri"/>
                <w:sz w:val="18"/>
                <w:szCs w:val="18"/>
              </w:rPr>
              <w:t>12%</w:t>
            </w:r>
          </w:p>
        </w:tc>
        <w:tc>
          <w:tcPr>
            <w:tcW w:w="2030" w:type="dxa"/>
            <w:shd w:val="clear" w:color="auto" w:fill="F2F2F2" w:themeFill="background1" w:themeFillShade="F2"/>
            <w:noWrap/>
            <w:vAlign w:val="bottom"/>
            <w:hideMark/>
          </w:tcPr>
          <w:p w14:paraId="5121AF30" w14:textId="77777777" w:rsidR="00911770" w:rsidRPr="00A52E06" w:rsidRDefault="00911770" w:rsidP="005A1544">
            <w:pPr>
              <w:spacing w:after="0"/>
              <w:jc w:val="center"/>
              <w:rPr>
                <w:rFonts w:cs="Calibri"/>
                <w:sz w:val="18"/>
                <w:szCs w:val="18"/>
              </w:rPr>
            </w:pPr>
            <w:r w:rsidRPr="00A52E06">
              <w:rPr>
                <w:rFonts w:cs="Calibri"/>
                <w:sz w:val="18"/>
                <w:szCs w:val="18"/>
              </w:rPr>
              <w:t>14%</w:t>
            </w:r>
          </w:p>
        </w:tc>
      </w:tr>
      <w:tr w:rsidR="00911770" w:rsidRPr="000668B8" w14:paraId="41BBA580" w14:textId="77777777" w:rsidTr="00911770">
        <w:trPr>
          <w:trHeight w:val="259"/>
          <w:jc w:val="center"/>
        </w:trPr>
        <w:tc>
          <w:tcPr>
            <w:tcW w:w="6121" w:type="dxa"/>
            <w:shd w:val="clear" w:color="auto" w:fill="F2F2F2" w:themeFill="background1" w:themeFillShade="F2"/>
            <w:vAlign w:val="bottom"/>
            <w:hideMark/>
          </w:tcPr>
          <w:p w14:paraId="0C8D2824"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 xml:space="preserve">SOŠ technológií a remesiel, </w:t>
            </w:r>
            <w:proofErr w:type="spellStart"/>
            <w:r w:rsidRPr="00A52E06">
              <w:rPr>
                <w:rFonts w:cs="Calibri"/>
                <w:sz w:val="18"/>
                <w:szCs w:val="18"/>
              </w:rPr>
              <w:t>Ivanská</w:t>
            </w:r>
            <w:proofErr w:type="spellEnd"/>
            <w:r w:rsidRPr="00A52E06">
              <w:rPr>
                <w:rFonts w:cs="Calibri"/>
                <w:sz w:val="18"/>
                <w:szCs w:val="18"/>
              </w:rPr>
              <w:t xml:space="preserve"> cesta 21, BA</w:t>
            </w:r>
          </w:p>
        </w:tc>
        <w:tc>
          <w:tcPr>
            <w:tcW w:w="2030" w:type="dxa"/>
            <w:shd w:val="clear" w:color="auto" w:fill="F2F2F2" w:themeFill="background1" w:themeFillShade="F2"/>
            <w:noWrap/>
            <w:vAlign w:val="bottom"/>
          </w:tcPr>
          <w:p w14:paraId="1E49B456" w14:textId="77777777" w:rsidR="00911770" w:rsidRPr="00A52E06" w:rsidRDefault="00911770" w:rsidP="005A1544">
            <w:pPr>
              <w:spacing w:after="0"/>
              <w:jc w:val="center"/>
              <w:rPr>
                <w:rFonts w:cs="Calibri"/>
                <w:sz w:val="18"/>
                <w:szCs w:val="18"/>
              </w:rPr>
            </w:pPr>
            <w:r w:rsidRPr="00A52E06">
              <w:rPr>
                <w:rFonts w:cs="Calibri"/>
                <w:sz w:val="18"/>
                <w:szCs w:val="18"/>
              </w:rPr>
              <w:t>11%</w:t>
            </w:r>
          </w:p>
        </w:tc>
        <w:tc>
          <w:tcPr>
            <w:tcW w:w="2030" w:type="dxa"/>
            <w:shd w:val="clear" w:color="auto" w:fill="F2F2F2" w:themeFill="background1" w:themeFillShade="F2"/>
            <w:noWrap/>
            <w:vAlign w:val="bottom"/>
            <w:hideMark/>
          </w:tcPr>
          <w:p w14:paraId="0C98171F" w14:textId="77777777" w:rsidR="00911770" w:rsidRPr="00A52E06" w:rsidRDefault="00911770" w:rsidP="005A1544">
            <w:pPr>
              <w:spacing w:after="0"/>
              <w:jc w:val="center"/>
              <w:rPr>
                <w:rFonts w:cs="Calibri"/>
                <w:sz w:val="18"/>
                <w:szCs w:val="18"/>
              </w:rPr>
            </w:pPr>
            <w:r w:rsidRPr="00A52E06">
              <w:rPr>
                <w:rFonts w:cs="Calibri"/>
                <w:sz w:val="18"/>
                <w:szCs w:val="18"/>
              </w:rPr>
              <w:t>17%</w:t>
            </w:r>
          </w:p>
        </w:tc>
      </w:tr>
      <w:tr w:rsidR="00911770" w:rsidRPr="000668B8" w14:paraId="72A33F09" w14:textId="77777777" w:rsidTr="00911770">
        <w:trPr>
          <w:trHeight w:val="259"/>
          <w:jc w:val="center"/>
        </w:trPr>
        <w:tc>
          <w:tcPr>
            <w:tcW w:w="6121" w:type="dxa"/>
            <w:shd w:val="clear" w:color="auto" w:fill="F2F2F2" w:themeFill="background1" w:themeFillShade="F2"/>
            <w:vAlign w:val="bottom"/>
            <w:hideMark/>
          </w:tcPr>
          <w:p w14:paraId="56C903E7"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 xml:space="preserve">SOŠ kaderníctva a </w:t>
            </w:r>
            <w:proofErr w:type="spellStart"/>
            <w:r w:rsidRPr="00A52E06">
              <w:rPr>
                <w:rFonts w:cs="Calibri"/>
                <w:sz w:val="18"/>
                <w:szCs w:val="18"/>
              </w:rPr>
              <w:t>vizážistiky</w:t>
            </w:r>
            <w:proofErr w:type="spellEnd"/>
            <w:r w:rsidRPr="00A52E06">
              <w:rPr>
                <w:rFonts w:cs="Calibri"/>
                <w:sz w:val="18"/>
                <w:szCs w:val="18"/>
              </w:rPr>
              <w:t>, Svätoplukova 2, BA</w:t>
            </w:r>
          </w:p>
        </w:tc>
        <w:tc>
          <w:tcPr>
            <w:tcW w:w="2030" w:type="dxa"/>
            <w:shd w:val="clear" w:color="auto" w:fill="F2F2F2" w:themeFill="background1" w:themeFillShade="F2"/>
            <w:noWrap/>
            <w:vAlign w:val="bottom"/>
          </w:tcPr>
          <w:p w14:paraId="78A79E0A" w14:textId="77777777" w:rsidR="00911770" w:rsidRPr="00A52E06" w:rsidRDefault="00911770" w:rsidP="005A1544">
            <w:pPr>
              <w:spacing w:after="0"/>
              <w:jc w:val="center"/>
              <w:rPr>
                <w:rFonts w:cs="Calibri"/>
                <w:sz w:val="18"/>
                <w:szCs w:val="18"/>
              </w:rPr>
            </w:pPr>
            <w:r w:rsidRPr="00A52E06">
              <w:rPr>
                <w:rFonts w:cs="Calibri"/>
                <w:sz w:val="18"/>
                <w:szCs w:val="18"/>
              </w:rPr>
              <w:t>9%</w:t>
            </w:r>
          </w:p>
        </w:tc>
        <w:tc>
          <w:tcPr>
            <w:tcW w:w="2030" w:type="dxa"/>
            <w:shd w:val="clear" w:color="auto" w:fill="F2F2F2" w:themeFill="background1" w:themeFillShade="F2"/>
            <w:noWrap/>
            <w:vAlign w:val="bottom"/>
            <w:hideMark/>
          </w:tcPr>
          <w:p w14:paraId="5166DFC4" w14:textId="77777777" w:rsidR="00911770" w:rsidRPr="00A52E06" w:rsidRDefault="00911770" w:rsidP="005A1544">
            <w:pPr>
              <w:spacing w:after="0"/>
              <w:jc w:val="center"/>
              <w:rPr>
                <w:rFonts w:cs="Calibri"/>
                <w:sz w:val="18"/>
                <w:szCs w:val="18"/>
              </w:rPr>
            </w:pPr>
            <w:r w:rsidRPr="00A52E06">
              <w:rPr>
                <w:rFonts w:cs="Calibri"/>
                <w:sz w:val="18"/>
                <w:szCs w:val="18"/>
              </w:rPr>
              <w:t>13%</w:t>
            </w:r>
          </w:p>
        </w:tc>
      </w:tr>
      <w:tr w:rsidR="00911770" w:rsidRPr="000668B8" w14:paraId="59521B17" w14:textId="77777777" w:rsidTr="00911770">
        <w:trPr>
          <w:trHeight w:val="259"/>
          <w:jc w:val="center"/>
        </w:trPr>
        <w:tc>
          <w:tcPr>
            <w:tcW w:w="6121" w:type="dxa"/>
            <w:shd w:val="clear" w:color="auto" w:fill="F2F2F2" w:themeFill="background1" w:themeFillShade="F2"/>
            <w:vAlign w:val="bottom"/>
            <w:hideMark/>
          </w:tcPr>
          <w:p w14:paraId="7BB63E7E"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SOŠ gastronómie a hotelových služieb, Farského 9, BA</w:t>
            </w:r>
          </w:p>
        </w:tc>
        <w:tc>
          <w:tcPr>
            <w:tcW w:w="2030" w:type="dxa"/>
            <w:shd w:val="clear" w:color="auto" w:fill="F2F2F2" w:themeFill="background1" w:themeFillShade="F2"/>
            <w:noWrap/>
            <w:vAlign w:val="bottom"/>
          </w:tcPr>
          <w:p w14:paraId="19885C4A" w14:textId="77777777" w:rsidR="00911770" w:rsidRPr="00A52E06" w:rsidRDefault="00911770" w:rsidP="005A1544">
            <w:pPr>
              <w:spacing w:after="0"/>
              <w:jc w:val="center"/>
              <w:rPr>
                <w:rFonts w:cs="Calibri"/>
                <w:sz w:val="18"/>
                <w:szCs w:val="18"/>
              </w:rPr>
            </w:pPr>
            <w:r w:rsidRPr="00A52E06">
              <w:rPr>
                <w:rFonts w:cs="Calibri"/>
                <w:sz w:val="18"/>
                <w:szCs w:val="18"/>
              </w:rPr>
              <w:t>4%</w:t>
            </w:r>
          </w:p>
        </w:tc>
        <w:tc>
          <w:tcPr>
            <w:tcW w:w="2030" w:type="dxa"/>
            <w:shd w:val="clear" w:color="auto" w:fill="F2F2F2" w:themeFill="background1" w:themeFillShade="F2"/>
            <w:noWrap/>
            <w:vAlign w:val="bottom"/>
            <w:hideMark/>
          </w:tcPr>
          <w:p w14:paraId="1F4947BF" w14:textId="77777777" w:rsidR="00911770" w:rsidRPr="00A52E06" w:rsidRDefault="00911770" w:rsidP="005A1544">
            <w:pPr>
              <w:spacing w:after="0"/>
              <w:jc w:val="center"/>
              <w:rPr>
                <w:rFonts w:cs="Calibri"/>
                <w:sz w:val="18"/>
                <w:szCs w:val="18"/>
              </w:rPr>
            </w:pPr>
            <w:r w:rsidRPr="00A52E06">
              <w:rPr>
                <w:rFonts w:cs="Calibri"/>
                <w:sz w:val="18"/>
                <w:szCs w:val="18"/>
              </w:rPr>
              <w:t>11%</w:t>
            </w:r>
          </w:p>
        </w:tc>
      </w:tr>
      <w:tr w:rsidR="00911770" w:rsidRPr="000668B8" w14:paraId="03437A7A" w14:textId="77777777" w:rsidTr="00911770">
        <w:trPr>
          <w:trHeight w:val="259"/>
          <w:jc w:val="center"/>
        </w:trPr>
        <w:tc>
          <w:tcPr>
            <w:tcW w:w="6121" w:type="dxa"/>
            <w:shd w:val="clear" w:color="auto" w:fill="F2F2F2" w:themeFill="background1" w:themeFillShade="F2"/>
            <w:vAlign w:val="bottom"/>
            <w:hideMark/>
          </w:tcPr>
          <w:p w14:paraId="3DE61DBE"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 xml:space="preserve">SOŠ </w:t>
            </w:r>
            <w:proofErr w:type="spellStart"/>
            <w:r w:rsidRPr="00A52E06">
              <w:rPr>
                <w:rFonts w:cs="Calibri"/>
                <w:sz w:val="18"/>
                <w:szCs w:val="18"/>
              </w:rPr>
              <w:t>beauty</w:t>
            </w:r>
            <w:proofErr w:type="spellEnd"/>
            <w:r w:rsidRPr="00A52E06">
              <w:rPr>
                <w:rFonts w:cs="Calibri"/>
                <w:sz w:val="18"/>
                <w:szCs w:val="18"/>
              </w:rPr>
              <w:t xml:space="preserve"> služieb, Račianska 105, BA</w:t>
            </w:r>
          </w:p>
        </w:tc>
        <w:tc>
          <w:tcPr>
            <w:tcW w:w="2030" w:type="dxa"/>
            <w:shd w:val="clear" w:color="auto" w:fill="F2F2F2" w:themeFill="background1" w:themeFillShade="F2"/>
            <w:noWrap/>
            <w:vAlign w:val="bottom"/>
          </w:tcPr>
          <w:p w14:paraId="400FDA70" w14:textId="77777777" w:rsidR="00911770" w:rsidRPr="00A52E06" w:rsidRDefault="00911770" w:rsidP="005A1544">
            <w:pPr>
              <w:spacing w:after="0"/>
              <w:jc w:val="center"/>
              <w:rPr>
                <w:rFonts w:cs="Calibri"/>
                <w:sz w:val="18"/>
                <w:szCs w:val="18"/>
              </w:rPr>
            </w:pPr>
            <w:r w:rsidRPr="00A52E06">
              <w:rPr>
                <w:rFonts w:cs="Calibri"/>
                <w:sz w:val="18"/>
                <w:szCs w:val="18"/>
              </w:rPr>
              <w:t>2%</w:t>
            </w:r>
          </w:p>
        </w:tc>
        <w:tc>
          <w:tcPr>
            <w:tcW w:w="2030" w:type="dxa"/>
            <w:shd w:val="clear" w:color="auto" w:fill="F2F2F2" w:themeFill="background1" w:themeFillShade="F2"/>
            <w:noWrap/>
            <w:vAlign w:val="bottom"/>
            <w:hideMark/>
          </w:tcPr>
          <w:p w14:paraId="3B3BE16A" w14:textId="77777777" w:rsidR="00911770" w:rsidRPr="00A52E06" w:rsidRDefault="00911770" w:rsidP="005A1544">
            <w:pPr>
              <w:spacing w:after="0"/>
              <w:jc w:val="center"/>
              <w:rPr>
                <w:rFonts w:cs="Calibri"/>
                <w:sz w:val="18"/>
                <w:szCs w:val="18"/>
              </w:rPr>
            </w:pPr>
            <w:r w:rsidRPr="00A52E06">
              <w:rPr>
                <w:rFonts w:cs="Calibri"/>
                <w:sz w:val="18"/>
                <w:szCs w:val="18"/>
              </w:rPr>
              <w:t>6%</w:t>
            </w:r>
          </w:p>
        </w:tc>
      </w:tr>
      <w:tr w:rsidR="00911770" w:rsidRPr="000668B8" w14:paraId="06BC4658" w14:textId="77777777" w:rsidTr="00911770">
        <w:trPr>
          <w:trHeight w:val="259"/>
          <w:jc w:val="center"/>
        </w:trPr>
        <w:tc>
          <w:tcPr>
            <w:tcW w:w="6121" w:type="dxa"/>
            <w:shd w:val="clear" w:color="auto" w:fill="F2F2F2" w:themeFill="background1" w:themeFillShade="F2"/>
            <w:vAlign w:val="bottom"/>
            <w:hideMark/>
          </w:tcPr>
          <w:p w14:paraId="4EBE3B10"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Hotelová akadémia</w:t>
            </w:r>
          </w:p>
        </w:tc>
        <w:tc>
          <w:tcPr>
            <w:tcW w:w="2030" w:type="dxa"/>
            <w:shd w:val="clear" w:color="auto" w:fill="F2F2F2" w:themeFill="background1" w:themeFillShade="F2"/>
            <w:noWrap/>
            <w:vAlign w:val="bottom"/>
          </w:tcPr>
          <w:p w14:paraId="72ECBD1D" w14:textId="77777777" w:rsidR="00911770" w:rsidRPr="00A52E06" w:rsidRDefault="00911770" w:rsidP="005A1544">
            <w:pPr>
              <w:spacing w:after="0"/>
              <w:jc w:val="center"/>
              <w:rPr>
                <w:rFonts w:cs="Calibri"/>
                <w:sz w:val="18"/>
                <w:szCs w:val="18"/>
              </w:rPr>
            </w:pPr>
            <w:r w:rsidRPr="00A52E06">
              <w:rPr>
                <w:rFonts w:cs="Calibri"/>
                <w:sz w:val="18"/>
                <w:szCs w:val="18"/>
              </w:rPr>
              <w:t>2%</w:t>
            </w:r>
          </w:p>
        </w:tc>
        <w:tc>
          <w:tcPr>
            <w:tcW w:w="2030" w:type="dxa"/>
            <w:shd w:val="clear" w:color="auto" w:fill="F2F2F2" w:themeFill="background1" w:themeFillShade="F2"/>
            <w:noWrap/>
            <w:vAlign w:val="bottom"/>
            <w:hideMark/>
          </w:tcPr>
          <w:p w14:paraId="7F1FEC61" w14:textId="77777777" w:rsidR="00911770" w:rsidRPr="00A52E06" w:rsidRDefault="00911770" w:rsidP="005A1544">
            <w:pPr>
              <w:spacing w:after="0"/>
              <w:jc w:val="center"/>
              <w:rPr>
                <w:rFonts w:cs="Calibri"/>
                <w:sz w:val="18"/>
                <w:szCs w:val="18"/>
              </w:rPr>
            </w:pPr>
            <w:r w:rsidRPr="00A52E06">
              <w:rPr>
                <w:rFonts w:cs="Calibri"/>
                <w:sz w:val="18"/>
                <w:szCs w:val="18"/>
              </w:rPr>
              <w:t>6%</w:t>
            </w:r>
          </w:p>
        </w:tc>
      </w:tr>
      <w:tr w:rsidR="00911770" w:rsidRPr="000668B8" w14:paraId="31759F53" w14:textId="77777777" w:rsidTr="00911770">
        <w:trPr>
          <w:trHeight w:val="259"/>
          <w:jc w:val="center"/>
        </w:trPr>
        <w:tc>
          <w:tcPr>
            <w:tcW w:w="6121" w:type="dxa"/>
            <w:shd w:val="clear" w:color="auto" w:fill="F2F2F2" w:themeFill="background1" w:themeFillShade="F2"/>
            <w:vAlign w:val="bottom"/>
            <w:hideMark/>
          </w:tcPr>
          <w:p w14:paraId="7FE3503E"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Spojená škola, Tokajícka 24, BA</w:t>
            </w:r>
          </w:p>
        </w:tc>
        <w:tc>
          <w:tcPr>
            <w:tcW w:w="2030" w:type="dxa"/>
            <w:shd w:val="clear" w:color="auto" w:fill="F2F2F2" w:themeFill="background1" w:themeFillShade="F2"/>
            <w:noWrap/>
            <w:vAlign w:val="bottom"/>
          </w:tcPr>
          <w:p w14:paraId="4E8A5628" w14:textId="77777777" w:rsidR="00911770" w:rsidRPr="00A52E06" w:rsidRDefault="00911770" w:rsidP="005A1544">
            <w:pPr>
              <w:spacing w:after="0"/>
              <w:jc w:val="center"/>
              <w:rPr>
                <w:rFonts w:cs="Calibri"/>
                <w:sz w:val="18"/>
                <w:szCs w:val="18"/>
              </w:rPr>
            </w:pPr>
            <w:r w:rsidRPr="00A52E06">
              <w:rPr>
                <w:rFonts w:cs="Calibri"/>
                <w:sz w:val="18"/>
                <w:szCs w:val="18"/>
              </w:rPr>
              <w:t>2%</w:t>
            </w:r>
          </w:p>
        </w:tc>
        <w:tc>
          <w:tcPr>
            <w:tcW w:w="2030" w:type="dxa"/>
            <w:shd w:val="clear" w:color="auto" w:fill="F2F2F2" w:themeFill="background1" w:themeFillShade="F2"/>
            <w:noWrap/>
            <w:vAlign w:val="bottom"/>
            <w:hideMark/>
          </w:tcPr>
          <w:p w14:paraId="2C180B48" w14:textId="77777777" w:rsidR="00911770" w:rsidRPr="00A52E06" w:rsidRDefault="00911770" w:rsidP="005A1544">
            <w:pPr>
              <w:spacing w:after="0"/>
              <w:jc w:val="center"/>
              <w:rPr>
                <w:rFonts w:cs="Calibri"/>
                <w:sz w:val="18"/>
                <w:szCs w:val="18"/>
              </w:rPr>
            </w:pPr>
            <w:r w:rsidRPr="00A52E06">
              <w:rPr>
                <w:rFonts w:cs="Calibri"/>
                <w:sz w:val="18"/>
                <w:szCs w:val="18"/>
              </w:rPr>
              <w:t>2%</w:t>
            </w:r>
          </w:p>
        </w:tc>
      </w:tr>
      <w:tr w:rsidR="00911770" w:rsidRPr="000668B8" w14:paraId="5889C0CD" w14:textId="77777777" w:rsidTr="00911770">
        <w:trPr>
          <w:trHeight w:val="259"/>
          <w:jc w:val="center"/>
        </w:trPr>
        <w:tc>
          <w:tcPr>
            <w:tcW w:w="6121" w:type="dxa"/>
            <w:shd w:val="clear" w:color="auto" w:fill="F2F2F2" w:themeFill="background1" w:themeFillShade="F2"/>
            <w:vAlign w:val="bottom"/>
            <w:hideMark/>
          </w:tcPr>
          <w:p w14:paraId="086E08A6"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 xml:space="preserve">SOŠ obchodu a služieb Samuela Jurkoviča, </w:t>
            </w:r>
            <w:proofErr w:type="spellStart"/>
            <w:r w:rsidRPr="00A52E06">
              <w:rPr>
                <w:rFonts w:cs="Calibri"/>
                <w:sz w:val="18"/>
                <w:szCs w:val="18"/>
              </w:rPr>
              <w:t>Skenárova</w:t>
            </w:r>
            <w:proofErr w:type="spellEnd"/>
            <w:r w:rsidRPr="00A52E06">
              <w:rPr>
                <w:rFonts w:cs="Calibri"/>
                <w:sz w:val="18"/>
                <w:szCs w:val="18"/>
              </w:rPr>
              <w:t xml:space="preserve"> 1, BA</w:t>
            </w:r>
          </w:p>
        </w:tc>
        <w:tc>
          <w:tcPr>
            <w:tcW w:w="2030" w:type="dxa"/>
            <w:shd w:val="clear" w:color="auto" w:fill="F2F2F2" w:themeFill="background1" w:themeFillShade="F2"/>
            <w:noWrap/>
            <w:vAlign w:val="bottom"/>
          </w:tcPr>
          <w:p w14:paraId="004E8573" w14:textId="77777777" w:rsidR="00911770" w:rsidRPr="00A52E06" w:rsidRDefault="00911770" w:rsidP="005A1544">
            <w:pPr>
              <w:spacing w:after="0"/>
              <w:jc w:val="center"/>
              <w:rPr>
                <w:rFonts w:cs="Calibri"/>
                <w:sz w:val="18"/>
                <w:szCs w:val="18"/>
              </w:rPr>
            </w:pPr>
            <w:r w:rsidRPr="00A52E06">
              <w:rPr>
                <w:rFonts w:cs="Calibri"/>
                <w:sz w:val="18"/>
                <w:szCs w:val="18"/>
              </w:rPr>
              <w:t>1%</w:t>
            </w:r>
          </w:p>
        </w:tc>
        <w:tc>
          <w:tcPr>
            <w:tcW w:w="2030" w:type="dxa"/>
            <w:shd w:val="clear" w:color="auto" w:fill="F2F2F2" w:themeFill="background1" w:themeFillShade="F2"/>
            <w:noWrap/>
            <w:vAlign w:val="bottom"/>
            <w:hideMark/>
          </w:tcPr>
          <w:p w14:paraId="5F6248A5" w14:textId="77777777" w:rsidR="00911770" w:rsidRPr="00A52E06" w:rsidRDefault="00911770" w:rsidP="005A1544">
            <w:pPr>
              <w:spacing w:after="0"/>
              <w:jc w:val="center"/>
              <w:rPr>
                <w:rFonts w:cs="Calibri"/>
                <w:sz w:val="18"/>
                <w:szCs w:val="18"/>
              </w:rPr>
            </w:pPr>
            <w:r w:rsidRPr="00A52E06">
              <w:rPr>
                <w:rFonts w:cs="Calibri"/>
                <w:sz w:val="18"/>
                <w:szCs w:val="18"/>
              </w:rPr>
              <w:t>2%</w:t>
            </w:r>
          </w:p>
        </w:tc>
      </w:tr>
      <w:tr w:rsidR="00911770" w:rsidRPr="000668B8" w14:paraId="25A899A3" w14:textId="77777777" w:rsidTr="00911770">
        <w:trPr>
          <w:trHeight w:val="259"/>
          <w:jc w:val="center"/>
        </w:trPr>
        <w:tc>
          <w:tcPr>
            <w:tcW w:w="6121" w:type="dxa"/>
            <w:shd w:val="clear" w:color="auto" w:fill="F2F2F2" w:themeFill="background1" w:themeFillShade="F2"/>
            <w:vAlign w:val="bottom"/>
            <w:hideMark/>
          </w:tcPr>
          <w:p w14:paraId="37B65F0D" w14:textId="77777777" w:rsidR="00911770" w:rsidRPr="00A52E06" w:rsidRDefault="00911770" w:rsidP="005A1544">
            <w:pPr>
              <w:spacing w:after="0"/>
              <w:ind w:firstLineChars="100" w:firstLine="180"/>
              <w:rPr>
                <w:rFonts w:cs="Calibri"/>
                <w:sz w:val="18"/>
                <w:szCs w:val="18"/>
              </w:rPr>
            </w:pPr>
            <w:r w:rsidRPr="00A52E06">
              <w:rPr>
                <w:rFonts w:cs="Calibri"/>
                <w:sz w:val="18"/>
                <w:szCs w:val="18"/>
              </w:rPr>
              <w:t>Škola umeleckého priemyslu, Sklenárova 7, BA</w:t>
            </w:r>
          </w:p>
        </w:tc>
        <w:tc>
          <w:tcPr>
            <w:tcW w:w="2030" w:type="dxa"/>
            <w:shd w:val="clear" w:color="auto" w:fill="F2F2F2" w:themeFill="background1" w:themeFillShade="F2"/>
            <w:noWrap/>
            <w:vAlign w:val="bottom"/>
          </w:tcPr>
          <w:p w14:paraId="6A6942BF" w14:textId="77777777" w:rsidR="00911770" w:rsidRPr="00A52E06" w:rsidRDefault="00911770" w:rsidP="005A1544">
            <w:pPr>
              <w:spacing w:after="0"/>
              <w:jc w:val="center"/>
              <w:rPr>
                <w:rFonts w:cs="Calibri"/>
                <w:sz w:val="18"/>
                <w:szCs w:val="18"/>
              </w:rPr>
            </w:pPr>
            <w:r w:rsidRPr="00A52E06">
              <w:rPr>
                <w:rFonts w:cs="Calibri"/>
                <w:sz w:val="18"/>
                <w:szCs w:val="18"/>
              </w:rPr>
              <w:t>1%</w:t>
            </w:r>
          </w:p>
        </w:tc>
        <w:tc>
          <w:tcPr>
            <w:tcW w:w="2030" w:type="dxa"/>
            <w:shd w:val="clear" w:color="auto" w:fill="F2F2F2" w:themeFill="background1" w:themeFillShade="F2"/>
            <w:noWrap/>
            <w:vAlign w:val="bottom"/>
            <w:hideMark/>
          </w:tcPr>
          <w:p w14:paraId="63328F19" w14:textId="77777777" w:rsidR="00911770" w:rsidRPr="00A52E06" w:rsidRDefault="00911770" w:rsidP="005A1544">
            <w:pPr>
              <w:spacing w:after="0"/>
              <w:jc w:val="center"/>
              <w:rPr>
                <w:rFonts w:cs="Calibri"/>
                <w:sz w:val="18"/>
                <w:szCs w:val="18"/>
              </w:rPr>
            </w:pPr>
            <w:r w:rsidRPr="00A52E06">
              <w:rPr>
                <w:rFonts w:cs="Calibri"/>
                <w:sz w:val="18"/>
                <w:szCs w:val="18"/>
              </w:rPr>
              <w:t>3%</w:t>
            </w:r>
          </w:p>
        </w:tc>
      </w:tr>
      <w:tr w:rsidR="00911770" w:rsidRPr="000668B8" w14:paraId="2BE1572A" w14:textId="77777777" w:rsidTr="00911770">
        <w:trPr>
          <w:trHeight w:val="320"/>
          <w:jc w:val="center"/>
        </w:trPr>
        <w:tc>
          <w:tcPr>
            <w:tcW w:w="10181" w:type="dxa"/>
            <w:gridSpan w:val="3"/>
            <w:shd w:val="clear" w:color="000000" w:fill="A6A6A6"/>
            <w:vAlign w:val="center"/>
          </w:tcPr>
          <w:p w14:paraId="501AB6BD" w14:textId="77777777" w:rsidR="00911770" w:rsidRPr="00A52E06" w:rsidRDefault="00911770" w:rsidP="005A1544">
            <w:pPr>
              <w:spacing w:after="0" w:line="240" w:lineRule="auto"/>
              <w:rPr>
                <w:rFonts w:cs="Calibri"/>
                <w:b/>
                <w:bCs/>
                <w:sz w:val="20"/>
                <w:szCs w:val="20"/>
                <w:lang w:eastAsia="sk-SK"/>
              </w:rPr>
            </w:pPr>
            <w:r w:rsidRPr="00A52E06">
              <w:rPr>
                <w:rFonts w:asciiTheme="minorHAnsi" w:hAnsiTheme="minorHAnsi" w:cstheme="minorHAnsi"/>
                <w:b/>
                <w:bCs/>
                <w:sz w:val="18"/>
                <w:szCs w:val="18"/>
                <w:lang w:eastAsia="sk-SK"/>
              </w:rPr>
              <w:t>Zdravotnícke zariadenia</w:t>
            </w:r>
          </w:p>
        </w:tc>
      </w:tr>
      <w:tr w:rsidR="00911770" w:rsidRPr="000668B8" w14:paraId="086F8E61" w14:textId="77777777" w:rsidTr="00911770">
        <w:trPr>
          <w:trHeight w:val="259"/>
          <w:jc w:val="center"/>
        </w:trPr>
        <w:tc>
          <w:tcPr>
            <w:tcW w:w="6121" w:type="dxa"/>
            <w:shd w:val="clear" w:color="auto" w:fill="F2F2F2" w:themeFill="background1" w:themeFillShade="F2"/>
            <w:vAlign w:val="bottom"/>
            <w:hideMark/>
          </w:tcPr>
          <w:p w14:paraId="7ED9AC50" w14:textId="77777777" w:rsidR="00911770" w:rsidRPr="000668B8" w:rsidRDefault="00911770" w:rsidP="005A1544">
            <w:pPr>
              <w:spacing w:after="0" w:line="240" w:lineRule="auto"/>
              <w:ind w:firstLineChars="100" w:firstLine="180"/>
              <w:rPr>
                <w:rFonts w:cs="Calibri"/>
                <w:color w:val="FF0000"/>
                <w:sz w:val="18"/>
                <w:szCs w:val="18"/>
              </w:rPr>
            </w:pPr>
            <w:r>
              <w:rPr>
                <w:rFonts w:cs="Calibri"/>
                <w:color w:val="000000"/>
                <w:sz w:val="18"/>
                <w:szCs w:val="18"/>
              </w:rPr>
              <w:t>Poliklinika Karlova Ves</w:t>
            </w:r>
          </w:p>
        </w:tc>
        <w:tc>
          <w:tcPr>
            <w:tcW w:w="2030" w:type="dxa"/>
            <w:shd w:val="clear" w:color="auto" w:fill="F2F2F2" w:themeFill="background1" w:themeFillShade="F2"/>
            <w:noWrap/>
            <w:vAlign w:val="bottom"/>
          </w:tcPr>
          <w:p w14:paraId="7FB472E4" w14:textId="77777777" w:rsidR="00911770" w:rsidRPr="000668B8" w:rsidRDefault="00911770" w:rsidP="005A1544">
            <w:pPr>
              <w:spacing w:after="0" w:line="240" w:lineRule="auto"/>
              <w:jc w:val="center"/>
              <w:rPr>
                <w:rFonts w:cs="Calibri"/>
                <w:color w:val="FF0000"/>
                <w:sz w:val="18"/>
                <w:szCs w:val="18"/>
              </w:rPr>
            </w:pPr>
            <w:r>
              <w:rPr>
                <w:rFonts w:cs="Calibri"/>
                <w:color w:val="000000"/>
                <w:sz w:val="18"/>
                <w:szCs w:val="18"/>
              </w:rPr>
              <w:t>23%</w:t>
            </w:r>
          </w:p>
        </w:tc>
        <w:tc>
          <w:tcPr>
            <w:tcW w:w="2030" w:type="dxa"/>
            <w:shd w:val="clear" w:color="auto" w:fill="F2F2F2" w:themeFill="background1" w:themeFillShade="F2"/>
            <w:noWrap/>
            <w:vAlign w:val="bottom"/>
            <w:hideMark/>
          </w:tcPr>
          <w:p w14:paraId="48A8A284" w14:textId="77777777" w:rsidR="00911770" w:rsidRPr="000668B8" w:rsidRDefault="00911770" w:rsidP="005A1544">
            <w:pPr>
              <w:spacing w:after="0"/>
              <w:jc w:val="center"/>
              <w:rPr>
                <w:rFonts w:cs="Calibri"/>
                <w:color w:val="FF0000"/>
                <w:sz w:val="18"/>
                <w:szCs w:val="18"/>
              </w:rPr>
            </w:pPr>
            <w:r>
              <w:rPr>
                <w:rFonts w:cs="Calibri"/>
                <w:color w:val="000000"/>
                <w:sz w:val="18"/>
                <w:szCs w:val="18"/>
              </w:rPr>
              <w:t>31%</w:t>
            </w:r>
          </w:p>
        </w:tc>
      </w:tr>
    </w:tbl>
    <w:p w14:paraId="34259597" w14:textId="1DA3A115" w:rsidR="00027146" w:rsidRDefault="00027146" w:rsidP="00027146">
      <w:pPr>
        <w:rPr>
          <w:color w:val="FF0000"/>
        </w:rPr>
      </w:pPr>
    </w:p>
    <w:p w14:paraId="2967628B" w14:textId="7E3C4602" w:rsidR="0056420B" w:rsidRDefault="0056420B" w:rsidP="00027146">
      <w:pPr>
        <w:rPr>
          <w:color w:val="FF0000"/>
        </w:rPr>
      </w:pPr>
    </w:p>
    <w:p w14:paraId="6956C0EC" w14:textId="403403DD" w:rsidR="0056420B" w:rsidRDefault="0056420B" w:rsidP="00027146">
      <w:pPr>
        <w:rPr>
          <w:color w:val="FF0000"/>
        </w:rPr>
      </w:pPr>
    </w:p>
    <w:p w14:paraId="2684FEDE" w14:textId="57324C5C" w:rsidR="0056420B" w:rsidRDefault="0056420B" w:rsidP="00027146">
      <w:pPr>
        <w:rPr>
          <w:color w:val="FF0000"/>
        </w:rPr>
      </w:pPr>
    </w:p>
    <w:p w14:paraId="3FA84ABA" w14:textId="36478B3A" w:rsidR="0056420B" w:rsidRDefault="0056420B" w:rsidP="00027146">
      <w:pPr>
        <w:rPr>
          <w:color w:val="FF0000"/>
        </w:rPr>
      </w:pPr>
    </w:p>
    <w:p w14:paraId="71B4F8C0" w14:textId="77777777" w:rsidR="0056420B" w:rsidRPr="004B3C67" w:rsidRDefault="0056420B" w:rsidP="00027146">
      <w:pPr>
        <w:rPr>
          <w:color w:val="FF0000"/>
        </w:rPr>
      </w:pPr>
    </w:p>
    <w:p w14:paraId="1525BECC" w14:textId="77777777" w:rsidR="00027146" w:rsidRPr="004B3C67" w:rsidRDefault="00027146" w:rsidP="00027146">
      <w:pPr>
        <w:rPr>
          <w:color w:val="FF0000"/>
        </w:rPr>
      </w:pPr>
    </w:p>
    <w:p w14:paraId="64155E64" w14:textId="669B9693" w:rsidR="00027146" w:rsidRDefault="00027146" w:rsidP="005C6B40">
      <w:pPr>
        <w:pStyle w:val="tl1"/>
      </w:pPr>
      <w:r w:rsidRPr="004B33A9">
        <w:lastRenderedPageBreak/>
        <w:t>Náklady a výnosy podnikateľskej činnosti organizácií</w:t>
      </w:r>
      <w:r w:rsidR="005C6B40">
        <w:t xml:space="preserve"> </w:t>
      </w:r>
      <w:r w:rsidRPr="002D2941">
        <w:t xml:space="preserve">v zriaďovateľskej pôsobnosti  BSK k 31. 12. </w:t>
      </w:r>
      <w:r w:rsidR="008F2840">
        <w:t>2020</w:t>
      </w:r>
    </w:p>
    <w:p w14:paraId="22D30AB5" w14:textId="77777777" w:rsidR="00E86AB4" w:rsidRDefault="00A711BC" w:rsidP="00E86AB4">
      <w:pPr>
        <w:pStyle w:val="tl1"/>
        <w:numPr>
          <w:ilvl w:val="0"/>
          <w:numId w:val="0"/>
        </w:numPr>
        <w:ind w:left="360"/>
        <w:rPr>
          <w:sz w:val="24"/>
          <w:szCs w:val="24"/>
        </w:rPr>
      </w:pPr>
      <w:r>
        <w:pict w14:anchorId="5B1F28FD">
          <v:rect id="_x0000_i1033" style="width:0;height:1.5pt" o:hralign="center" o:hrstd="t" o:hr="t" fillcolor="#a0a0a0" stroked="f"/>
        </w:pict>
      </w:r>
    </w:p>
    <w:p w14:paraId="154E7635" w14:textId="77777777" w:rsidR="00E86AB4" w:rsidRDefault="00E86AB4" w:rsidP="00E86AB4">
      <w:pPr>
        <w:pStyle w:val="tl2"/>
        <w:ind w:left="0" w:firstLine="0"/>
      </w:pPr>
    </w:p>
    <w:p w14:paraId="7E19886C" w14:textId="77777777" w:rsidR="00E86AB4" w:rsidRDefault="00E86AB4" w:rsidP="009D37EE">
      <w:pPr>
        <w:spacing w:after="0" w:line="240" w:lineRule="auto"/>
        <w:jc w:val="both"/>
        <w:rPr>
          <w:sz w:val="24"/>
          <w:szCs w:val="24"/>
        </w:rPr>
      </w:pPr>
      <w:r>
        <w:rPr>
          <w:sz w:val="24"/>
          <w:szCs w:val="24"/>
        </w:rPr>
        <w:t>Podnikateľskú činnosť rozpočtových a príspevkových organizácií v zriaďovateľskej pôsobnosti Bratislavského samosprávneho kraja upravuje § 28 zákona NR SR č. 523/2004 o rozpočtových pravidlách verejnej správy</w:t>
      </w:r>
      <w:r>
        <w:rPr>
          <w:rFonts w:cs="Calibri"/>
          <w:color w:val="000000"/>
          <w:sz w:val="24"/>
          <w:szCs w:val="24"/>
        </w:rPr>
        <w:t xml:space="preserve"> a o zmene a doplnení niektorých zákonov v znení neskorších predpisov</w:t>
      </w:r>
      <w:r>
        <w:rPr>
          <w:sz w:val="24"/>
          <w:szCs w:val="24"/>
        </w:rPr>
        <w:t xml:space="preserve">. </w:t>
      </w:r>
    </w:p>
    <w:p w14:paraId="349387C7" w14:textId="77777777" w:rsidR="00E86AB4" w:rsidRDefault="00E86AB4" w:rsidP="00E86AB4">
      <w:pPr>
        <w:spacing w:after="0" w:line="240" w:lineRule="auto"/>
        <w:ind w:firstLine="425"/>
        <w:jc w:val="both"/>
        <w:rPr>
          <w:sz w:val="24"/>
          <w:szCs w:val="24"/>
        </w:rPr>
      </w:pPr>
    </w:p>
    <w:p w14:paraId="1ACCB08A" w14:textId="77777777" w:rsidR="00E86AB4" w:rsidRDefault="00E86AB4" w:rsidP="009D37EE">
      <w:pPr>
        <w:spacing w:after="0" w:line="240" w:lineRule="auto"/>
        <w:jc w:val="both"/>
        <w:rPr>
          <w:sz w:val="24"/>
          <w:szCs w:val="24"/>
        </w:rPr>
      </w:pPr>
      <w:r>
        <w:rPr>
          <w:sz w:val="24"/>
          <w:szCs w:val="24"/>
        </w:rPr>
        <w:t>Ak je hospodárskym výsledkom podnikateľskej činnosti</w:t>
      </w:r>
      <w:r>
        <w:rPr>
          <w:b/>
          <w:sz w:val="24"/>
          <w:szCs w:val="24"/>
        </w:rPr>
        <w:t xml:space="preserve"> </w:t>
      </w:r>
      <w:r>
        <w:rPr>
          <w:sz w:val="24"/>
          <w:szCs w:val="24"/>
        </w:rPr>
        <w:t>k 30. septembru rozpočtového roku strata, je vedúci (štatutárny zástupca) rozpočtovej alebo príspevkovej organizácie povinný zabezpečiť, aby bola do konca rozpočtového roka vyrovnaná, alebo urobiť také opatrenia na ukončenie podnikateľskej činnosti, aby sa v ďalšom rozpočtovom roku nevykonávala.</w:t>
      </w:r>
    </w:p>
    <w:p w14:paraId="399D7068" w14:textId="77777777" w:rsidR="00E86AB4" w:rsidRDefault="00E86AB4" w:rsidP="00E86AB4">
      <w:pPr>
        <w:spacing w:after="0" w:line="240" w:lineRule="auto"/>
        <w:jc w:val="both"/>
        <w:rPr>
          <w:sz w:val="24"/>
          <w:szCs w:val="24"/>
        </w:rPr>
      </w:pPr>
    </w:p>
    <w:p w14:paraId="67EE0A30" w14:textId="3A10C31F" w:rsidR="00E86AB4" w:rsidRDefault="00E86AB4" w:rsidP="009D37EE">
      <w:pPr>
        <w:jc w:val="both"/>
        <w:rPr>
          <w:b/>
          <w:sz w:val="24"/>
          <w:szCs w:val="24"/>
        </w:rPr>
      </w:pPr>
      <w:r>
        <w:rPr>
          <w:b/>
          <w:sz w:val="24"/>
          <w:szCs w:val="24"/>
        </w:rPr>
        <w:t>V roku 20</w:t>
      </w:r>
      <w:r w:rsidR="008F2840">
        <w:rPr>
          <w:b/>
          <w:sz w:val="24"/>
          <w:szCs w:val="24"/>
        </w:rPr>
        <w:t>20</w:t>
      </w:r>
      <w:r>
        <w:rPr>
          <w:b/>
          <w:sz w:val="24"/>
          <w:szCs w:val="24"/>
        </w:rPr>
        <w:t xml:space="preserve"> rozpočtové a príspevkové organizácie v pôsobnosti BSK vytvorili z podnikateľskej činnosti zisk po zdanení v celkovom objeme</w:t>
      </w:r>
      <w:r w:rsidR="009935CE">
        <w:rPr>
          <w:b/>
          <w:sz w:val="24"/>
          <w:szCs w:val="24"/>
        </w:rPr>
        <w:t xml:space="preserve"> </w:t>
      </w:r>
      <w:r w:rsidR="008F2840">
        <w:rPr>
          <w:b/>
          <w:sz w:val="24"/>
          <w:szCs w:val="24"/>
        </w:rPr>
        <w:t>23 639,69</w:t>
      </w:r>
      <w:r w:rsidR="008F2840" w:rsidRPr="00415037">
        <w:rPr>
          <w:b/>
          <w:sz w:val="24"/>
          <w:szCs w:val="24"/>
        </w:rPr>
        <w:t xml:space="preserve"> </w:t>
      </w:r>
      <w:r>
        <w:rPr>
          <w:b/>
          <w:sz w:val="24"/>
          <w:szCs w:val="24"/>
        </w:rPr>
        <w:t xml:space="preserve">EUR. </w:t>
      </w:r>
    </w:p>
    <w:p w14:paraId="3D1A76FC" w14:textId="34335C7C" w:rsidR="009935CE" w:rsidRDefault="009935CE" w:rsidP="00D95B5D">
      <w:pPr>
        <w:pStyle w:val="tl2"/>
        <w:ind w:left="0" w:firstLine="426"/>
      </w:pPr>
      <w:r w:rsidRPr="00E41A14">
        <w:t>I.1 Rozpočtové organizácie BSK</w:t>
      </w:r>
    </w:p>
    <w:p w14:paraId="316FCA1A" w14:textId="77777777" w:rsidR="003656D0" w:rsidRPr="00D95B5D" w:rsidRDefault="003656D0" w:rsidP="00D95B5D">
      <w:pPr>
        <w:pStyle w:val="tl2"/>
        <w:ind w:left="0" w:firstLine="426"/>
      </w:pPr>
    </w:p>
    <w:p w14:paraId="7C757AD7" w14:textId="1A94D1C1" w:rsidR="003656D0" w:rsidRDefault="009935CE" w:rsidP="003F566E">
      <w:pPr>
        <w:spacing w:line="240" w:lineRule="auto"/>
        <w:jc w:val="both"/>
        <w:rPr>
          <w:sz w:val="24"/>
          <w:szCs w:val="24"/>
        </w:rPr>
      </w:pPr>
      <w:r>
        <w:rPr>
          <w:sz w:val="24"/>
          <w:szCs w:val="24"/>
        </w:rPr>
        <w:t xml:space="preserve">Z celkového počtu 57 rozpočtových organizácii v zriaďovateľskej pôsobnosti BSK vykonávalo v roku 2019 podnikateľskú činnosť </w:t>
      </w:r>
      <w:r w:rsidRPr="005C6B40">
        <w:rPr>
          <w:b/>
          <w:bCs/>
          <w:sz w:val="24"/>
          <w:szCs w:val="24"/>
        </w:rPr>
        <w:t xml:space="preserve">6 školských organizácii: SOŠ podnikania a služieb, </w:t>
      </w:r>
      <w:proofErr w:type="spellStart"/>
      <w:r w:rsidRPr="005C6B40">
        <w:rPr>
          <w:b/>
          <w:bCs/>
          <w:sz w:val="24"/>
          <w:szCs w:val="24"/>
        </w:rPr>
        <w:t>Myslenická</w:t>
      </w:r>
      <w:proofErr w:type="spellEnd"/>
      <w:r w:rsidRPr="005C6B40">
        <w:rPr>
          <w:b/>
          <w:bCs/>
          <w:sz w:val="24"/>
          <w:szCs w:val="24"/>
        </w:rPr>
        <w:t xml:space="preserve"> 1, Pezinok, SOŠ technická, Vranovská 4, BA, SOŠ </w:t>
      </w:r>
      <w:proofErr w:type="spellStart"/>
      <w:r w:rsidRPr="005C6B40">
        <w:rPr>
          <w:b/>
          <w:bCs/>
          <w:sz w:val="24"/>
          <w:szCs w:val="24"/>
        </w:rPr>
        <w:t>vinársko</w:t>
      </w:r>
      <w:proofErr w:type="spellEnd"/>
      <w:r w:rsidRPr="005C6B40">
        <w:rPr>
          <w:b/>
          <w:bCs/>
          <w:sz w:val="24"/>
          <w:szCs w:val="24"/>
        </w:rPr>
        <w:t xml:space="preserve"> - ovocinárska Modra, Spojená škola, </w:t>
      </w:r>
      <w:proofErr w:type="spellStart"/>
      <w:r w:rsidRPr="005C6B40">
        <w:rPr>
          <w:b/>
          <w:bCs/>
          <w:sz w:val="24"/>
          <w:szCs w:val="24"/>
        </w:rPr>
        <w:t>Ivánka</w:t>
      </w:r>
      <w:proofErr w:type="spellEnd"/>
      <w:r w:rsidRPr="005C6B40">
        <w:rPr>
          <w:b/>
          <w:bCs/>
          <w:sz w:val="24"/>
          <w:szCs w:val="24"/>
        </w:rPr>
        <w:t xml:space="preserve"> pri Dunaji, SPŠ dopravná, </w:t>
      </w:r>
      <w:proofErr w:type="spellStart"/>
      <w:r w:rsidRPr="005C6B40">
        <w:rPr>
          <w:b/>
          <w:bCs/>
          <w:sz w:val="24"/>
          <w:szCs w:val="24"/>
        </w:rPr>
        <w:t>Kvačalova</w:t>
      </w:r>
      <w:proofErr w:type="spellEnd"/>
      <w:r w:rsidRPr="005C6B40">
        <w:rPr>
          <w:b/>
          <w:bCs/>
          <w:sz w:val="24"/>
          <w:szCs w:val="24"/>
        </w:rPr>
        <w:t xml:space="preserve"> BA a Školský internát, Trnavská 2</w:t>
      </w:r>
      <w:r>
        <w:rPr>
          <w:sz w:val="24"/>
          <w:szCs w:val="24"/>
        </w:rPr>
        <w:t xml:space="preserve">. Na konci roka vykázali </w:t>
      </w:r>
      <w:r w:rsidRPr="008B776A">
        <w:rPr>
          <w:rFonts w:cs="Calibri"/>
          <w:b/>
          <w:sz w:val="24"/>
          <w:szCs w:val="24"/>
        </w:rPr>
        <w:t>z podnikateľskej činnosti</w:t>
      </w:r>
      <w:r w:rsidRPr="008B776A">
        <w:rPr>
          <w:rFonts w:cs="Calibri"/>
          <w:sz w:val="24"/>
          <w:szCs w:val="24"/>
        </w:rPr>
        <w:t xml:space="preserve"> </w:t>
      </w:r>
      <w:r w:rsidRPr="008B776A">
        <w:rPr>
          <w:rFonts w:cs="Calibri"/>
          <w:b/>
          <w:sz w:val="24"/>
          <w:szCs w:val="24"/>
        </w:rPr>
        <w:t>zisk po zdanení</w:t>
      </w:r>
      <w:r w:rsidRPr="008B776A">
        <w:rPr>
          <w:rFonts w:cs="Calibri"/>
          <w:sz w:val="24"/>
          <w:szCs w:val="24"/>
        </w:rPr>
        <w:t xml:space="preserve"> </w:t>
      </w:r>
      <w:r w:rsidRPr="008B776A">
        <w:rPr>
          <w:b/>
          <w:sz w:val="24"/>
          <w:szCs w:val="24"/>
        </w:rPr>
        <w:t>vo</w:t>
      </w:r>
      <w:r w:rsidRPr="008B776A">
        <w:rPr>
          <w:sz w:val="24"/>
          <w:szCs w:val="24"/>
        </w:rPr>
        <w:t xml:space="preserve"> </w:t>
      </w:r>
      <w:r w:rsidRPr="008B776A">
        <w:rPr>
          <w:b/>
          <w:sz w:val="24"/>
          <w:szCs w:val="24"/>
        </w:rPr>
        <w:t xml:space="preserve">výške </w:t>
      </w:r>
      <w:r w:rsidR="008F2840" w:rsidRPr="008F2840">
        <w:rPr>
          <w:b/>
          <w:sz w:val="24"/>
          <w:szCs w:val="24"/>
        </w:rPr>
        <w:t>10 378,32</w:t>
      </w:r>
      <w:r w:rsidR="008F2840">
        <w:rPr>
          <w:b/>
          <w:sz w:val="24"/>
          <w:szCs w:val="24"/>
        </w:rPr>
        <w:t xml:space="preserve"> </w:t>
      </w:r>
      <w:r w:rsidRPr="008B776A">
        <w:rPr>
          <w:b/>
          <w:sz w:val="24"/>
          <w:szCs w:val="24"/>
        </w:rPr>
        <w:t>EUR</w:t>
      </w:r>
      <w:r>
        <w:rPr>
          <w:sz w:val="24"/>
          <w:szCs w:val="24"/>
        </w:rPr>
        <w:t xml:space="preserve">. Ostatné rozpočtové organizácie v zriaďovateľskej pôsobnosti BSK </w:t>
      </w:r>
      <w:r>
        <w:rPr>
          <w:sz w:val="24"/>
          <w:szCs w:val="24"/>
        </w:rPr>
        <w:br/>
        <w:t>k 31. 12. 20</w:t>
      </w:r>
      <w:r w:rsidR="003656D0">
        <w:rPr>
          <w:sz w:val="24"/>
          <w:szCs w:val="24"/>
        </w:rPr>
        <w:t>20</w:t>
      </w:r>
      <w:r>
        <w:rPr>
          <w:sz w:val="24"/>
          <w:szCs w:val="24"/>
        </w:rPr>
        <w:t xml:space="preserve"> hospodária len v rámci hlavnej činnosti alebo vykazovali nulovú hodnotu hospodárenia z</w:t>
      </w:r>
      <w:r w:rsidR="003656D0">
        <w:rPr>
          <w:sz w:val="24"/>
          <w:szCs w:val="24"/>
        </w:rPr>
        <w:t> podnikateľskej činnosti.</w:t>
      </w: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1731"/>
        <w:gridCol w:w="1298"/>
        <w:gridCol w:w="1234"/>
        <w:gridCol w:w="1299"/>
        <w:gridCol w:w="1234"/>
        <w:gridCol w:w="1299"/>
        <w:gridCol w:w="1234"/>
        <w:gridCol w:w="1127"/>
      </w:tblGrid>
      <w:tr w:rsidR="003656D0" w:rsidRPr="0005003A" w14:paraId="0FDADD95" w14:textId="77777777" w:rsidTr="003656D0">
        <w:trPr>
          <w:trHeight w:val="284"/>
          <w:tblHeader/>
        </w:trPr>
        <w:tc>
          <w:tcPr>
            <w:tcW w:w="0" w:type="auto"/>
            <w:noWrap/>
            <w:vAlign w:val="bottom"/>
            <w:hideMark/>
          </w:tcPr>
          <w:p w14:paraId="6DA01EBE" w14:textId="77777777" w:rsidR="003656D0" w:rsidRPr="0005003A" w:rsidRDefault="003656D0" w:rsidP="005A1544">
            <w:pPr>
              <w:rPr>
                <w:sz w:val="18"/>
                <w:szCs w:val="18"/>
              </w:rPr>
            </w:pPr>
          </w:p>
        </w:tc>
        <w:tc>
          <w:tcPr>
            <w:tcW w:w="0" w:type="auto"/>
            <w:gridSpan w:val="2"/>
            <w:shd w:val="clear" w:color="auto" w:fill="4F81BD"/>
            <w:noWrap/>
            <w:vAlign w:val="center"/>
            <w:hideMark/>
          </w:tcPr>
          <w:p w14:paraId="32C84647"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Hlavná činnosť</w:t>
            </w:r>
          </w:p>
        </w:tc>
        <w:tc>
          <w:tcPr>
            <w:tcW w:w="0" w:type="auto"/>
            <w:gridSpan w:val="2"/>
            <w:shd w:val="clear" w:color="auto" w:fill="4F81BD"/>
            <w:noWrap/>
            <w:vAlign w:val="center"/>
            <w:hideMark/>
          </w:tcPr>
          <w:p w14:paraId="483CD0F5"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Podnikateľská činnosť</w:t>
            </w:r>
          </w:p>
        </w:tc>
        <w:tc>
          <w:tcPr>
            <w:tcW w:w="0" w:type="auto"/>
            <w:gridSpan w:val="2"/>
            <w:shd w:val="clear" w:color="auto" w:fill="4F81BD"/>
            <w:noWrap/>
            <w:vAlign w:val="center"/>
            <w:hideMark/>
          </w:tcPr>
          <w:p w14:paraId="60292590"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Spolu</w:t>
            </w:r>
          </w:p>
        </w:tc>
        <w:tc>
          <w:tcPr>
            <w:tcW w:w="0" w:type="auto"/>
            <w:shd w:val="clear" w:color="auto" w:fill="4F81BD"/>
            <w:vAlign w:val="center"/>
            <w:hideMark/>
          </w:tcPr>
          <w:p w14:paraId="2592E7FF"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201</w:t>
            </w:r>
            <w:r>
              <w:rPr>
                <w:rFonts w:cs="Calibri"/>
                <w:b/>
                <w:bCs/>
                <w:color w:val="000000"/>
                <w:sz w:val="18"/>
                <w:szCs w:val="18"/>
                <w:lang w:eastAsia="sk-SK"/>
              </w:rPr>
              <w:t>9</w:t>
            </w:r>
          </w:p>
        </w:tc>
      </w:tr>
      <w:tr w:rsidR="003656D0" w:rsidRPr="0005003A" w14:paraId="131897A7" w14:textId="77777777" w:rsidTr="003656D0">
        <w:trPr>
          <w:trHeight w:val="284"/>
          <w:tblHeader/>
        </w:trPr>
        <w:tc>
          <w:tcPr>
            <w:tcW w:w="0" w:type="auto"/>
            <w:shd w:val="clear" w:color="auto" w:fill="8DB4E2"/>
            <w:vAlign w:val="center"/>
            <w:hideMark/>
          </w:tcPr>
          <w:p w14:paraId="5A735C98" w14:textId="77777777" w:rsidR="003656D0" w:rsidRPr="0005003A" w:rsidRDefault="003656D0" w:rsidP="005A1544">
            <w:pPr>
              <w:spacing w:after="0" w:line="240" w:lineRule="auto"/>
              <w:rPr>
                <w:rFonts w:cs="Calibri"/>
                <w:b/>
                <w:bCs/>
                <w:color w:val="000000"/>
                <w:sz w:val="18"/>
                <w:szCs w:val="18"/>
                <w:lang w:eastAsia="sk-SK"/>
              </w:rPr>
            </w:pPr>
            <w:r w:rsidRPr="0005003A">
              <w:rPr>
                <w:rFonts w:cs="Calibri"/>
                <w:b/>
                <w:bCs/>
                <w:color w:val="000000"/>
                <w:sz w:val="18"/>
                <w:szCs w:val="18"/>
                <w:lang w:eastAsia="sk-SK"/>
              </w:rPr>
              <w:t> Rozpočtová organizácia</w:t>
            </w:r>
          </w:p>
        </w:tc>
        <w:tc>
          <w:tcPr>
            <w:tcW w:w="0" w:type="auto"/>
            <w:shd w:val="clear" w:color="auto" w:fill="8DB4E2"/>
            <w:vAlign w:val="center"/>
            <w:hideMark/>
          </w:tcPr>
          <w:p w14:paraId="16B4074B"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VH pred zdanením k 31.12.20</w:t>
            </w:r>
            <w:r>
              <w:rPr>
                <w:rFonts w:cs="Calibri"/>
                <w:b/>
                <w:bCs/>
                <w:color w:val="000000"/>
                <w:sz w:val="18"/>
                <w:szCs w:val="18"/>
                <w:lang w:eastAsia="sk-SK"/>
              </w:rPr>
              <w:t>20</w:t>
            </w:r>
          </w:p>
        </w:tc>
        <w:tc>
          <w:tcPr>
            <w:tcW w:w="0" w:type="auto"/>
            <w:shd w:val="clear" w:color="auto" w:fill="C4BD97"/>
            <w:vAlign w:val="center"/>
            <w:hideMark/>
          </w:tcPr>
          <w:p w14:paraId="13887415"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VH po zdanení k 31.12.20</w:t>
            </w:r>
            <w:r>
              <w:rPr>
                <w:rFonts w:cs="Calibri"/>
                <w:b/>
                <w:bCs/>
                <w:color w:val="000000"/>
                <w:sz w:val="18"/>
                <w:szCs w:val="18"/>
                <w:lang w:eastAsia="sk-SK"/>
              </w:rPr>
              <w:t>20</w:t>
            </w:r>
          </w:p>
        </w:tc>
        <w:tc>
          <w:tcPr>
            <w:tcW w:w="0" w:type="auto"/>
            <w:shd w:val="clear" w:color="auto" w:fill="8DB4E2"/>
            <w:vAlign w:val="center"/>
            <w:hideMark/>
          </w:tcPr>
          <w:p w14:paraId="74DA0711"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VH pred zdanením k 31.12.20</w:t>
            </w:r>
            <w:r>
              <w:rPr>
                <w:rFonts w:cs="Calibri"/>
                <w:b/>
                <w:bCs/>
                <w:color w:val="000000"/>
                <w:sz w:val="18"/>
                <w:szCs w:val="18"/>
                <w:lang w:eastAsia="sk-SK"/>
              </w:rPr>
              <w:t>20</w:t>
            </w:r>
          </w:p>
        </w:tc>
        <w:tc>
          <w:tcPr>
            <w:tcW w:w="0" w:type="auto"/>
            <w:shd w:val="clear" w:color="auto" w:fill="C4BD97"/>
            <w:vAlign w:val="center"/>
            <w:hideMark/>
          </w:tcPr>
          <w:p w14:paraId="6B4E1547"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VH po zdanení k 31.12.20</w:t>
            </w:r>
            <w:r>
              <w:rPr>
                <w:rFonts w:cs="Calibri"/>
                <w:b/>
                <w:bCs/>
                <w:color w:val="000000"/>
                <w:sz w:val="18"/>
                <w:szCs w:val="18"/>
                <w:lang w:eastAsia="sk-SK"/>
              </w:rPr>
              <w:t>20</w:t>
            </w:r>
          </w:p>
        </w:tc>
        <w:tc>
          <w:tcPr>
            <w:tcW w:w="0" w:type="auto"/>
            <w:shd w:val="clear" w:color="auto" w:fill="8DB4E2"/>
            <w:vAlign w:val="center"/>
            <w:hideMark/>
          </w:tcPr>
          <w:p w14:paraId="2D93399C"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VH pred zdanením k 31.12.20</w:t>
            </w:r>
            <w:r>
              <w:rPr>
                <w:rFonts w:cs="Calibri"/>
                <w:b/>
                <w:bCs/>
                <w:color w:val="000000"/>
                <w:sz w:val="18"/>
                <w:szCs w:val="18"/>
                <w:lang w:eastAsia="sk-SK"/>
              </w:rPr>
              <w:t>20</w:t>
            </w:r>
          </w:p>
        </w:tc>
        <w:tc>
          <w:tcPr>
            <w:tcW w:w="0" w:type="auto"/>
            <w:shd w:val="clear" w:color="auto" w:fill="C4BD97"/>
            <w:vAlign w:val="center"/>
            <w:hideMark/>
          </w:tcPr>
          <w:p w14:paraId="0415D00C"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VH po zdanení k 31.12.20</w:t>
            </w:r>
            <w:r>
              <w:rPr>
                <w:rFonts w:cs="Calibri"/>
                <w:b/>
                <w:bCs/>
                <w:color w:val="000000"/>
                <w:sz w:val="18"/>
                <w:szCs w:val="18"/>
                <w:lang w:eastAsia="sk-SK"/>
              </w:rPr>
              <w:t>20</w:t>
            </w:r>
          </w:p>
        </w:tc>
        <w:tc>
          <w:tcPr>
            <w:tcW w:w="0" w:type="auto"/>
            <w:shd w:val="clear" w:color="auto" w:fill="D9D9D9"/>
            <w:vAlign w:val="center"/>
            <w:hideMark/>
          </w:tcPr>
          <w:p w14:paraId="53DAFC94" w14:textId="77777777" w:rsidR="003656D0" w:rsidRPr="0005003A" w:rsidRDefault="003656D0" w:rsidP="005A1544">
            <w:pPr>
              <w:spacing w:after="0" w:line="240" w:lineRule="auto"/>
              <w:jc w:val="center"/>
              <w:rPr>
                <w:rFonts w:cs="Calibri"/>
                <w:b/>
                <w:bCs/>
                <w:color w:val="000000"/>
                <w:sz w:val="18"/>
                <w:szCs w:val="18"/>
                <w:lang w:eastAsia="sk-SK"/>
              </w:rPr>
            </w:pPr>
            <w:r w:rsidRPr="0005003A">
              <w:rPr>
                <w:rFonts w:cs="Calibri"/>
                <w:b/>
                <w:bCs/>
                <w:color w:val="000000"/>
                <w:sz w:val="18"/>
                <w:szCs w:val="18"/>
                <w:lang w:eastAsia="sk-SK"/>
              </w:rPr>
              <w:t>Spolu VH po zdanení v roku 201</w:t>
            </w:r>
            <w:r>
              <w:rPr>
                <w:rFonts w:cs="Calibri"/>
                <w:b/>
                <w:bCs/>
                <w:color w:val="000000"/>
                <w:sz w:val="18"/>
                <w:szCs w:val="18"/>
                <w:lang w:eastAsia="sk-SK"/>
              </w:rPr>
              <w:t>9</w:t>
            </w:r>
          </w:p>
        </w:tc>
      </w:tr>
      <w:tr w:rsidR="003656D0" w:rsidRPr="0005003A" w14:paraId="3808911B" w14:textId="77777777" w:rsidTr="003656D0">
        <w:trPr>
          <w:trHeight w:val="284"/>
        </w:trPr>
        <w:tc>
          <w:tcPr>
            <w:tcW w:w="0" w:type="auto"/>
            <w:shd w:val="clear" w:color="auto" w:fill="BFBFBF" w:themeFill="background1" w:themeFillShade="BF"/>
            <w:vAlign w:val="center"/>
            <w:hideMark/>
          </w:tcPr>
          <w:p w14:paraId="317EAC00" w14:textId="77777777" w:rsidR="003656D0" w:rsidRPr="006B0E9F" w:rsidRDefault="003656D0" w:rsidP="005A1544">
            <w:pPr>
              <w:spacing w:after="0" w:line="240" w:lineRule="auto"/>
              <w:rPr>
                <w:rFonts w:cs="Calibri"/>
                <w:b/>
                <w:bCs/>
                <w:color w:val="000000"/>
                <w:sz w:val="18"/>
                <w:szCs w:val="18"/>
                <w:lang w:eastAsia="sk-SK"/>
              </w:rPr>
            </w:pPr>
            <w:r w:rsidRPr="006B0E9F">
              <w:rPr>
                <w:rFonts w:cs="Calibri"/>
                <w:b/>
                <w:bCs/>
                <w:color w:val="000000"/>
                <w:sz w:val="18"/>
                <w:szCs w:val="18"/>
                <w:lang w:eastAsia="sk-SK"/>
              </w:rPr>
              <w:t>Bratislavský samosprávny kraj</w:t>
            </w:r>
          </w:p>
        </w:tc>
        <w:tc>
          <w:tcPr>
            <w:tcW w:w="0" w:type="auto"/>
            <w:shd w:val="clear" w:color="auto" w:fill="BFBFBF" w:themeFill="background1" w:themeFillShade="BF"/>
          </w:tcPr>
          <w:p w14:paraId="639936AB" w14:textId="77777777" w:rsidR="003656D0" w:rsidRPr="00AF5194" w:rsidRDefault="003656D0" w:rsidP="005A1544">
            <w:pPr>
              <w:spacing w:after="0" w:line="240" w:lineRule="auto"/>
              <w:jc w:val="right"/>
              <w:rPr>
                <w:rFonts w:cs="Calibri"/>
                <w:b/>
                <w:bCs/>
                <w:color w:val="000000"/>
                <w:sz w:val="18"/>
                <w:szCs w:val="18"/>
                <w:lang w:eastAsia="sk-SK"/>
              </w:rPr>
            </w:pPr>
            <w:r w:rsidRPr="00AF5194">
              <w:rPr>
                <w:b/>
                <w:bCs/>
                <w:sz w:val="18"/>
                <w:szCs w:val="18"/>
              </w:rPr>
              <w:t>10 970 930,15</w:t>
            </w:r>
          </w:p>
        </w:tc>
        <w:tc>
          <w:tcPr>
            <w:tcW w:w="0" w:type="auto"/>
            <w:shd w:val="clear" w:color="auto" w:fill="BFBFBF" w:themeFill="background1" w:themeFillShade="BF"/>
          </w:tcPr>
          <w:p w14:paraId="07D32095" w14:textId="77777777" w:rsidR="003656D0" w:rsidRPr="00AF5194" w:rsidRDefault="003656D0" w:rsidP="005A1544">
            <w:pPr>
              <w:spacing w:after="0" w:line="240" w:lineRule="auto"/>
              <w:jc w:val="right"/>
              <w:rPr>
                <w:rFonts w:cs="Calibri"/>
                <w:b/>
                <w:bCs/>
                <w:color w:val="000000"/>
                <w:sz w:val="18"/>
                <w:szCs w:val="18"/>
                <w:lang w:eastAsia="sk-SK"/>
              </w:rPr>
            </w:pPr>
            <w:r w:rsidRPr="00AF5194">
              <w:rPr>
                <w:b/>
                <w:bCs/>
                <w:sz w:val="18"/>
                <w:szCs w:val="18"/>
              </w:rPr>
              <w:t>10 969 393,51</w:t>
            </w:r>
          </w:p>
        </w:tc>
        <w:tc>
          <w:tcPr>
            <w:tcW w:w="0" w:type="auto"/>
            <w:shd w:val="clear" w:color="auto" w:fill="BFBFBF" w:themeFill="background1" w:themeFillShade="BF"/>
          </w:tcPr>
          <w:p w14:paraId="49959B2B" w14:textId="77777777" w:rsidR="003656D0" w:rsidRPr="00AF5194" w:rsidRDefault="003656D0" w:rsidP="005A1544">
            <w:pPr>
              <w:spacing w:after="0" w:line="240" w:lineRule="auto"/>
              <w:jc w:val="right"/>
              <w:rPr>
                <w:rFonts w:cs="Calibri"/>
                <w:b/>
                <w:bCs/>
                <w:color w:val="000000"/>
                <w:sz w:val="18"/>
                <w:szCs w:val="18"/>
                <w:lang w:eastAsia="sk-SK"/>
              </w:rPr>
            </w:pPr>
            <w:r w:rsidRPr="00AF5194">
              <w:rPr>
                <w:b/>
                <w:bCs/>
                <w:sz w:val="18"/>
                <w:szCs w:val="18"/>
              </w:rPr>
              <w:t>0,00</w:t>
            </w:r>
          </w:p>
        </w:tc>
        <w:tc>
          <w:tcPr>
            <w:tcW w:w="0" w:type="auto"/>
            <w:shd w:val="clear" w:color="auto" w:fill="BFBFBF" w:themeFill="background1" w:themeFillShade="BF"/>
          </w:tcPr>
          <w:p w14:paraId="0B6E8C74" w14:textId="77777777" w:rsidR="003656D0" w:rsidRPr="00AF5194" w:rsidRDefault="003656D0" w:rsidP="005A1544">
            <w:pPr>
              <w:spacing w:after="0" w:line="240" w:lineRule="auto"/>
              <w:jc w:val="right"/>
              <w:rPr>
                <w:rFonts w:cs="Calibri"/>
                <w:b/>
                <w:bCs/>
                <w:color w:val="000000"/>
                <w:sz w:val="18"/>
                <w:szCs w:val="18"/>
                <w:lang w:eastAsia="sk-SK"/>
              </w:rPr>
            </w:pPr>
            <w:r w:rsidRPr="00AF5194">
              <w:rPr>
                <w:b/>
                <w:bCs/>
                <w:sz w:val="18"/>
                <w:szCs w:val="18"/>
              </w:rPr>
              <w:t>0,00</w:t>
            </w:r>
          </w:p>
        </w:tc>
        <w:tc>
          <w:tcPr>
            <w:tcW w:w="0" w:type="auto"/>
            <w:shd w:val="clear" w:color="auto" w:fill="BFBFBF" w:themeFill="background1" w:themeFillShade="BF"/>
          </w:tcPr>
          <w:p w14:paraId="2B0EEAB9" w14:textId="77777777" w:rsidR="003656D0" w:rsidRPr="00AF5194" w:rsidRDefault="003656D0" w:rsidP="005A1544">
            <w:pPr>
              <w:spacing w:after="0" w:line="240" w:lineRule="auto"/>
              <w:jc w:val="right"/>
              <w:rPr>
                <w:rFonts w:cs="Calibri"/>
                <w:b/>
                <w:bCs/>
                <w:color w:val="000000"/>
                <w:sz w:val="18"/>
                <w:szCs w:val="18"/>
                <w:lang w:eastAsia="sk-SK"/>
              </w:rPr>
            </w:pPr>
            <w:r w:rsidRPr="00AF5194">
              <w:rPr>
                <w:b/>
                <w:bCs/>
                <w:sz w:val="18"/>
                <w:szCs w:val="18"/>
              </w:rPr>
              <w:t>10 970 630,15</w:t>
            </w:r>
          </w:p>
        </w:tc>
        <w:tc>
          <w:tcPr>
            <w:tcW w:w="0" w:type="auto"/>
            <w:shd w:val="clear" w:color="auto" w:fill="BFBFBF" w:themeFill="background1" w:themeFillShade="BF"/>
          </w:tcPr>
          <w:p w14:paraId="764F97F7" w14:textId="77777777" w:rsidR="003656D0" w:rsidRPr="00AF5194" w:rsidRDefault="003656D0" w:rsidP="005A1544">
            <w:pPr>
              <w:spacing w:after="0" w:line="240" w:lineRule="auto"/>
              <w:jc w:val="right"/>
              <w:rPr>
                <w:rFonts w:cs="Calibri"/>
                <w:b/>
                <w:bCs/>
                <w:color w:val="000000"/>
                <w:sz w:val="18"/>
                <w:szCs w:val="18"/>
                <w:lang w:eastAsia="sk-SK"/>
              </w:rPr>
            </w:pPr>
            <w:r w:rsidRPr="00AF5194">
              <w:rPr>
                <w:b/>
                <w:bCs/>
                <w:sz w:val="18"/>
                <w:szCs w:val="18"/>
              </w:rPr>
              <w:t>10 969 393,51</w:t>
            </w:r>
          </w:p>
        </w:tc>
        <w:tc>
          <w:tcPr>
            <w:tcW w:w="0" w:type="auto"/>
            <w:shd w:val="clear" w:color="auto" w:fill="D9D9D9"/>
          </w:tcPr>
          <w:p w14:paraId="6685D9FC" w14:textId="77777777" w:rsidR="003656D0" w:rsidRPr="00AF5194" w:rsidRDefault="003656D0" w:rsidP="005A1544">
            <w:pPr>
              <w:spacing w:after="0" w:line="240" w:lineRule="auto"/>
              <w:jc w:val="right"/>
              <w:rPr>
                <w:rFonts w:cs="Calibri"/>
                <w:b/>
                <w:bCs/>
                <w:color w:val="000000"/>
                <w:sz w:val="18"/>
                <w:szCs w:val="18"/>
                <w:lang w:eastAsia="sk-SK"/>
              </w:rPr>
            </w:pPr>
            <w:r w:rsidRPr="00AF5194">
              <w:rPr>
                <w:b/>
                <w:bCs/>
                <w:sz w:val="18"/>
                <w:szCs w:val="18"/>
              </w:rPr>
              <w:t>6 414 417,14</w:t>
            </w:r>
          </w:p>
        </w:tc>
      </w:tr>
      <w:tr w:rsidR="003656D0" w:rsidRPr="0005003A" w14:paraId="4C7BF7BF" w14:textId="77777777" w:rsidTr="003656D0">
        <w:trPr>
          <w:trHeight w:val="284"/>
        </w:trPr>
        <w:tc>
          <w:tcPr>
            <w:tcW w:w="0" w:type="auto"/>
            <w:shd w:val="clear" w:color="auto" w:fill="BFBFBF" w:themeFill="background1" w:themeFillShade="BF"/>
            <w:vAlign w:val="center"/>
            <w:hideMark/>
          </w:tcPr>
          <w:p w14:paraId="3BB39C9D" w14:textId="77777777" w:rsidR="003656D0" w:rsidRPr="006B0E9F" w:rsidRDefault="003656D0" w:rsidP="005A1544">
            <w:pPr>
              <w:spacing w:after="0" w:line="240" w:lineRule="auto"/>
              <w:rPr>
                <w:rFonts w:cs="Calibri"/>
                <w:b/>
                <w:bCs/>
                <w:color w:val="000000"/>
                <w:sz w:val="18"/>
                <w:szCs w:val="18"/>
                <w:lang w:eastAsia="sk-SK"/>
              </w:rPr>
            </w:pPr>
            <w:r w:rsidRPr="006B0E9F">
              <w:rPr>
                <w:rFonts w:cs="Calibri"/>
                <w:b/>
                <w:bCs/>
                <w:color w:val="000000"/>
                <w:sz w:val="18"/>
                <w:szCs w:val="18"/>
                <w:lang w:eastAsia="sk-SK"/>
              </w:rPr>
              <w:t>Sociálne zariadenia</w:t>
            </w:r>
          </w:p>
        </w:tc>
        <w:tc>
          <w:tcPr>
            <w:tcW w:w="0" w:type="auto"/>
            <w:shd w:val="clear" w:color="auto" w:fill="BFBFBF" w:themeFill="background1" w:themeFillShade="BF"/>
            <w:hideMark/>
          </w:tcPr>
          <w:p w14:paraId="748C0AC6"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-201 451,36</w:t>
            </w:r>
          </w:p>
        </w:tc>
        <w:tc>
          <w:tcPr>
            <w:tcW w:w="0" w:type="auto"/>
            <w:shd w:val="clear" w:color="auto" w:fill="BFBFBF" w:themeFill="background1" w:themeFillShade="BF"/>
            <w:hideMark/>
          </w:tcPr>
          <w:p w14:paraId="3B8642AB"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-201 451,36</w:t>
            </w:r>
          </w:p>
        </w:tc>
        <w:tc>
          <w:tcPr>
            <w:tcW w:w="0" w:type="auto"/>
            <w:shd w:val="clear" w:color="auto" w:fill="BFBFBF" w:themeFill="background1" w:themeFillShade="BF"/>
            <w:hideMark/>
          </w:tcPr>
          <w:p w14:paraId="28B873F6"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0,00</w:t>
            </w:r>
          </w:p>
        </w:tc>
        <w:tc>
          <w:tcPr>
            <w:tcW w:w="0" w:type="auto"/>
            <w:shd w:val="clear" w:color="auto" w:fill="BFBFBF" w:themeFill="background1" w:themeFillShade="BF"/>
            <w:hideMark/>
          </w:tcPr>
          <w:p w14:paraId="4745760A"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0,00</w:t>
            </w:r>
          </w:p>
        </w:tc>
        <w:tc>
          <w:tcPr>
            <w:tcW w:w="0" w:type="auto"/>
            <w:shd w:val="clear" w:color="auto" w:fill="BFBFBF" w:themeFill="background1" w:themeFillShade="BF"/>
            <w:hideMark/>
          </w:tcPr>
          <w:p w14:paraId="4ECE3706"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-201 451,36</w:t>
            </w:r>
          </w:p>
        </w:tc>
        <w:tc>
          <w:tcPr>
            <w:tcW w:w="0" w:type="auto"/>
            <w:shd w:val="clear" w:color="auto" w:fill="BFBFBF" w:themeFill="background1" w:themeFillShade="BF"/>
            <w:hideMark/>
          </w:tcPr>
          <w:p w14:paraId="5821AF67"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-201 451,36</w:t>
            </w:r>
          </w:p>
        </w:tc>
        <w:tc>
          <w:tcPr>
            <w:tcW w:w="0" w:type="auto"/>
            <w:shd w:val="clear" w:color="auto" w:fill="D9D9D9"/>
            <w:hideMark/>
          </w:tcPr>
          <w:p w14:paraId="1F52F489"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-43 972,87</w:t>
            </w:r>
          </w:p>
        </w:tc>
      </w:tr>
      <w:tr w:rsidR="003656D0" w:rsidRPr="0005003A" w14:paraId="374530E1" w14:textId="77777777" w:rsidTr="003656D0">
        <w:trPr>
          <w:trHeight w:val="284"/>
        </w:trPr>
        <w:tc>
          <w:tcPr>
            <w:tcW w:w="0" w:type="auto"/>
            <w:shd w:val="clear" w:color="auto" w:fill="EEECE1" w:themeFill="background2"/>
            <w:hideMark/>
          </w:tcPr>
          <w:p w14:paraId="4ADC3B45"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Centrum sociálnych služieb Pod Karpatmi</w:t>
            </w:r>
          </w:p>
        </w:tc>
        <w:tc>
          <w:tcPr>
            <w:tcW w:w="0" w:type="auto"/>
            <w:shd w:val="clear" w:color="auto" w:fill="EEECE1" w:themeFill="background2"/>
          </w:tcPr>
          <w:p w14:paraId="7DDA9A9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-149 676,24</w:t>
            </w:r>
          </w:p>
        </w:tc>
        <w:tc>
          <w:tcPr>
            <w:tcW w:w="0" w:type="auto"/>
            <w:shd w:val="clear" w:color="auto" w:fill="C4BD97"/>
            <w:hideMark/>
          </w:tcPr>
          <w:p w14:paraId="46694223"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-149 676,24</w:t>
            </w:r>
          </w:p>
        </w:tc>
        <w:tc>
          <w:tcPr>
            <w:tcW w:w="0" w:type="auto"/>
            <w:shd w:val="clear" w:color="auto" w:fill="EEECE1" w:themeFill="background2"/>
            <w:hideMark/>
          </w:tcPr>
          <w:p w14:paraId="4F1B03DE"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5A703C9B"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1ED1E1CC"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-149 676,24</w:t>
            </w:r>
          </w:p>
        </w:tc>
        <w:tc>
          <w:tcPr>
            <w:tcW w:w="0" w:type="auto"/>
            <w:shd w:val="clear" w:color="auto" w:fill="C4BD97"/>
            <w:hideMark/>
          </w:tcPr>
          <w:p w14:paraId="74D020A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-149 676,24</w:t>
            </w:r>
          </w:p>
        </w:tc>
        <w:tc>
          <w:tcPr>
            <w:tcW w:w="0" w:type="auto"/>
            <w:shd w:val="clear" w:color="auto" w:fill="D9D9D9"/>
            <w:hideMark/>
          </w:tcPr>
          <w:p w14:paraId="6F80B24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-7 263,39</w:t>
            </w:r>
          </w:p>
        </w:tc>
      </w:tr>
      <w:tr w:rsidR="003656D0" w:rsidRPr="0005003A" w14:paraId="18965673" w14:textId="77777777" w:rsidTr="003656D0">
        <w:trPr>
          <w:trHeight w:val="284"/>
        </w:trPr>
        <w:tc>
          <w:tcPr>
            <w:tcW w:w="0" w:type="auto"/>
            <w:shd w:val="clear" w:color="auto" w:fill="EEECE1" w:themeFill="background2"/>
            <w:hideMark/>
          </w:tcPr>
          <w:p w14:paraId="7470F9C8"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Centrum sociálnych služieb </w:t>
            </w:r>
            <w:proofErr w:type="spellStart"/>
            <w:r w:rsidRPr="003656D0">
              <w:rPr>
                <w:sz w:val="16"/>
                <w:szCs w:val="16"/>
              </w:rPr>
              <w:t>Sibírka</w:t>
            </w:r>
            <w:proofErr w:type="spellEnd"/>
          </w:p>
        </w:tc>
        <w:tc>
          <w:tcPr>
            <w:tcW w:w="0" w:type="auto"/>
            <w:shd w:val="clear" w:color="auto" w:fill="EEECE1" w:themeFill="background2"/>
          </w:tcPr>
          <w:p w14:paraId="2D2B69E4"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7 501,73</w:t>
            </w:r>
          </w:p>
        </w:tc>
        <w:tc>
          <w:tcPr>
            <w:tcW w:w="0" w:type="auto"/>
            <w:shd w:val="clear" w:color="auto" w:fill="C4BD97"/>
            <w:hideMark/>
          </w:tcPr>
          <w:p w14:paraId="758A0998"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7 501,73</w:t>
            </w:r>
          </w:p>
        </w:tc>
        <w:tc>
          <w:tcPr>
            <w:tcW w:w="0" w:type="auto"/>
            <w:shd w:val="clear" w:color="auto" w:fill="EEECE1" w:themeFill="background2"/>
            <w:hideMark/>
          </w:tcPr>
          <w:p w14:paraId="4B9F0E2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2FEE7A1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6ACE4CE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7 501,73</w:t>
            </w:r>
          </w:p>
        </w:tc>
        <w:tc>
          <w:tcPr>
            <w:tcW w:w="0" w:type="auto"/>
            <w:shd w:val="clear" w:color="auto" w:fill="C4BD97"/>
            <w:hideMark/>
          </w:tcPr>
          <w:p w14:paraId="0768E229"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7 501,73</w:t>
            </w:r>
          </w:p>
        </w:tc>
        <w:tc>
          <w:tcPr>
            <w:tcW w:w="0" w:type="auto"/>
            <w:shd w:val="clear" w:color="auto" w:fill="D9D9D9"/>
            <w:hideMark/>
          </w:tcPr>
          <w:p w14:paraId="5DB8E0D6"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-4 801,72</w:t>
            </w:r>
          </w:p>
        </w:tc>
      </w:tr>
      <w:tr w:rsidR="003656D0" w:rsidRPr="0005003A" w14:paraId="5807855D" w14:textId="77777777" w:rsidTr="003656D0">
        <w:trPr>
          <w:trHeight w:val="284"/>
        </w:trPr>
        <w:tc>
          <w:tcPr>
            <w:tcW w:w="0" w:type="auto"/>
            <w:shd w:val="clear" w:color="auto" w:fill="EEECE1" w:themeFill="background2"/>
            <w:hideMark/>
          </w:tcPr>
          <w:p w14:paraId="5A7F320C"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DSS a ZPB MEREMA</w:t>
            </w:r>
          </w:p>
        </w:tc>
        <w:tc>
          <w:tcPr>
            <w:tcW w:w="0" w:type="auto"/>
            <w:shd w:val="clear" w:color="auto" w:fill="EEECE1" w:themeFill="background2"/>
          </w:tcPr>
          <w:p w14:paraId="5CAFE002"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998,54</w:t>
            </w:r>
          </w:p>
        </w:tc>
        <w:tc>
          <w:tcPr>
            <w:tcW w:w="0" w:type="auto"/>
            <w:shd w:val="clear" w:color="auto" w:fill="C4BD97"/>
            <w:hideMark/>
          </w:tcPr>
          <w:p w14:paraId="62318AE9"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998,54</w:t>
            </w:r>
          </w:p>
        </w:tc>
        <w:tc>
          <w:tcPr>
            <w:tcW w:w="0" w:type="auto"/>
            <w:shd w:val="clear" w:color="auto" w:fill="EEECE1" w:themeFill="background2"/>
            <w:hideMark/>
          </w:tcPr>
          <w:p w14:paraId="21AAF2D9"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36333F62"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6713503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998,54</w:t>
            </w:r>
          </w:p>
        </w:tc>
        <w:tc>
          <w:tcPr>
            <w:tcW w:w="0" w:type="auto"/>
            <w:shd w:val="clear" w:color="auto" w:fill="C4BD97"/>
            <w:hideMark/>
          </w:tcPr>
          <w:p w14:paraId="6AF84D7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998,54</w:t>
            </w:r>
          </w:p>
        </w:tc>
        <w:tc>
          <w:tcPr>
            <w:tcW w:w="0" w:type="auto"/>
            <w:shd w:val="clear" w:color="auto" w:fill="D9D9D9"/>
            <w:hideMark/>
          </w:tcPr>
          <w:p w14:paraId="52C12DD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-171,20</w:t>
            </w:r>
          </w:p>
        </w:tc>
      </w:tr>
      <w:tr w:rsidR="003656D0" w:rsidRPr="0005003A" w14:paraId="2AE8EC30" w14:textId="77777777" w:rsidTr="003656D0">
        <w:trPr>
          <w:trHeight w:val="284"/>
        </w:trPr>
        <w:tc>
          <w:tcPr>
            <w:tcW w:w="0" w:type="auto"/>
            <w:shd w:val="clear" w:color="auto" w:fill="EEECE1" w:themeFill="background2"/>
            <w:hideMark/>
          </w:tcPr>
          <w:p w14:paraId="339423D7"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DSS a zariadenie pre seniorov Kaštieľ</w:t>
            </w:r>
          </w:p>
        </w:tc>
        <w:tc>
          <w:tcPr>
            <w:tcW w:w="0" w:type="auto"/>
            <w:shd w:val="clear" w:color="auto" w:fill="EEECE1" w:themeFill="background2"/>
          </w:tcPr>
          <w:p w14:paraId="552FCDE4"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-11 753,21</w:t>
            </w:r>
          </w:p>
        </w:tc>
        <w:tc>
          <w:tcPr>
            <w:tcW w:w="0" w:type="auto"/>
            <w:shd w:val="clear" w:color="auto" w:fill="C4BD97"/>
            <w:hideMark/>
          </w:tcPr>
          <w:p w14:paraId="25FA750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-11 753,21</w:t>
            </w:r>
          </w:p>
        </w:tc>
        <w:tc>
          <w:tcPr>
            <w:tcW w:w="0" w:type="auto"/>
            <w:shd w:val="clear" w:color="auto" w:fill="EEECE1" w:themeFill="background2"/>
            <w:hideMark/>
          </w:tcPr>
          <w:p w14:paraId="146949AB"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263BE5B6"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62E8409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-11 753,21</w:t>
            </w:r>
          </w:p>
        </w:tc>
        <w:tc>
          <w:tcPr>
            <w:tcW w:w="0" w:type="auto"/>
            <w:shd w:val="clear" w:color="auto" w:fill="C4BD97"/>
            <w:hideMark/>
          </w:tcPr>
          <w:p w14:paraId="0303F4D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-11 753,21</w:t>
            </w:r>
          </w:p>
        </w:tc>
        <w:tc>
          <w:tcPr>
            <w:tcW w:w="0" w:type="auto"/>
            <w:shd w:val="clear" w:color="auto" w:fill="D9D9D9"/>
            <w:hideMark/>
          </w:tcPr>
          <w:p w14:paraId="49D5D213"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-4 475,01</w:t>
            </w:r>
          </w:p>
        </w:tc>
      </w:tr>
      <w:tr w:rsidR="003656D0" w:rsidRPr="0005003A" w14:paraId="734A5C0E" w14:textId="77777777" w:rsidTr="003656D0">
        <w:trPr>
          <w:trHeight w:val="284"/>
        </w:trPr>
        <w:tc>
          <w:tcPr>
            <w:tcW w:w="0" w:type="auto"/>
            <w:shd w:val="clear" w:color="auto" w:fill="EEECE1" w:themeFill="background2"/>
            <w:hideMark/>
          </w:tcPr>
          <w:p w14:paraId="44B9AA48"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DSS a zariadenie pre seniorov Rača</w:t>
            </w:r>
          </w:p>
        </w:tc>
        <w:tc>
          <w:tcPr>
            <w:tcW w:w="0" w:type="auto"/>
            <w:shd w:val="clear" w:color="auto" w:fill="EEECE1" w:themeFill="background2"/>
          </w:tcPr>
          <w:p w14:paraId="21C65284"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-45 424,31</w:t>
            </w:r>
          </w:p>
        </w:tc>
        <w:tc>
          <w:tcPr>
            <w:tcW w:w="0" w:type="auto"/>
            <w:shd w:val="clear" w:color="auto" w:fill="C4BD97"/>
            <w:hideMark/>
          </w:tcPr>
          <w:p w14:paraId="50585AE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-45 424,31</w:t>
            </w:r>
          </w:p>
        </w:tc>
        <w:tc>
          <w:tcPr>
            <w:tcW w:w="0" w:type="auto"/>
            <w:shd w:val="clear" w:color="auto" w:fill="EEECE1" w:themeFill="background2"/>
            <w:hideMark/>
          </w:tcPr>
          <w:p w14:paraId="68A55984"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2A67FCD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725C70F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-45 424,31</w:t>
            </w:r>
          </w:p>
        </w:tc>
        <w:tc>
          <w:tcPr>
            <w:tcW w:w="0" w:type="auto"/>
            <w:shd w:val="clear" w:color="auto" w:fill="C4BD97"/>
            <w:hideMark/>
          </w:tcPr>
          <w:p w14:paraId="5F65B267"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-45 424,31</w:t>
            </w:r>
          </w:p>
        </w:tc>
        <w:tc>
          <w:tcPr>
            <w:tcW w:w="0" w:type="auto"/>
            <w:shd w:val="clear" w:color="auto" w:fill="D9D9D9"/>
            <w:hideMark/>
          </w:tcPr>
          <w:p w14:paraId="5B7A0623"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-19 574,24</w:t>
            </w:r>
          </w:p>
        </w:tc>
      </w:tr>
      <w:tr w:rsidR="003656D0" w:rsidRPr="0005003A" w14:paraId="225B0161" w14:textId="77777777" w:rsidTr="003656D0">
        <w:trPr>
          <w:trHeight w:val="284"/>
        </w:trPr>
        <w:tc>
          <w:tcPr>
            <w:tcW w:w="0" w:type="auto"/>
            <w:shd w:val="clear" w:color="auto" w:fill="EEECE1" w:themeFill="background2"/>
            <w:hideMark/>
          </w:tcPr>
          <w:p w14:paraId="06BA8225"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DSS pre deti a dospelých INTEGRA</w:t>
            </w:r>
          </w:p>
        </w:tc>
        <w:tc>
          <w:tcPr>
            <w:tcW w:w="0" w:type="auto"/>
            <w:shd w:val="clear" w:color="auto" w:fill="EEECE1" w:themeFill="background2"/>
          </w:tcPr>
          <w:p w14:paraId="3C1F7F10"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6 748,54</w:t>
            </w:r>
          </w:p>
        </w:tc>
        <w:tc>
          <w:tcPr>
            <w:tcW w:w="0" w:type="auto"/>
            <w:shd w:val="clear" w:color="auto" w:fill="C4BD97"/>
            <w:hideMark/>
          </w:tcPr>
          <w:p w14:paraId="1F5A567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6 748,54</w:t>
            </w:r>
          </w:p>
        </w:tc>
        <w:tc>
          <w:tcPr>
            <w:tcW w:w="0" w:type="auto"/>
            <w:shd w:val="clear" w:color="auto" w:fill="EEECE1" w:themeFill="background2"/>
            <w:hideMark/>
          </w:tcPr>
          <w:p w14:paraId="67B2E76B"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5564E0D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1A118FD0"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6 748,54</w:t>
            </w:r>
          </w:p>
        </w:tc>
        <w:tc>
          <w:tcPr>
            <w:tcW w:w="0" w:type="auto"/>
            <w:shd w:val="clear" w:color="auto" w:fill="C4BD97"/>
            <w:hideMark/>
          </w:tcPr>
          <w:p w14:paraId="2EC6E8E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6 748,54</w:t>
            </w:r>
          </w:p>
        </w:tc>
        <w:tc>
          <w:tcPr>
            <w:tcW w:w="0" w:type="auto"/>
            <w:shd w:val="clear" w:color="auto" w:fill="D9D9D9"/>
            <w:hideMark/>
          </w:tcPr>
          <w:p w14:paraId="1FE153D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-8 571,92</w:t>
            </w:r>
          </w:p>
        </w:tc>
      </w:tr>
      <w:tr w:rsidR="003656D0" w:rsidRPr="0005003A" w14:paraId="4872ADE7" w14:textId="77777777" w:rsidTr="003656D0">
        <w:trPr>
          <w:trHeight w:val="284"/>
        </w:trPr>
        <w:tc>
          <w:tcPr>
            <w:tcW w:w="0" w:type="auto"/>
            <w:shd w:val="clear" w:color="auto" w:fill="EEECE1" w:themeFill="background2"/>
            <w:hideMark/>
          </w:tcPr>
          <w:p w14:paraId="1850B3A4"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DSS pre deti a dospelých KAMPINO</w:t>
            </w:r>
          </w:p>
        </w:tc>
        <w:tc>
          <w:tcPr>
            <w:tcW w:w="0" w:type="auto"/>
            <w:shd w:val="clear" w:color="auto" w:fill="EEECE1" w:themeFill="background2"/>
          </w:tcPr>
          <w:p w14:paraId="6B086667"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5 755,32</w:t>
            </w:r>
          </w:p>
        </w:tc>
        <w:tc>
          <w:tcPr>
            <w:tcW w:w="0" w:type="auto"/>
            <w:shd w:val="clear" w:color="auto" w:fill="C4BD97"/>
            <w:hideMark/>
          </w:tcPr>
          <w:p w14:paraId="3C4D76B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5 755,32</w:t>
            </w:r>
          </w:p>
        </w:tc>
        <w:tc>
          <w:tcPr>
            <w:tcW w:w="0" w:type="auto"/>
            <w:shd w:val="clear" w:color="auto" w:fill="EEECE1" w:themeFill="background2"/>
            <w:hideMark/>
          </w:tcPr>
          <w:p w14:paraId="02D09A69"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17C063A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4ABB7EF2"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5 755,32</w:t>
            </w:r>
          </w:p>
        </w:tc>
        <w:tc>
          <w:tcPr>
            <w:tcW w:w="0" w:type="auto"/>
            <w:shd w:val="clear" w:color="auto" w:fill="C4BD97"/>
            <w:hideMark/>
          </w:tcPr>
          <w:p w14:paraId="1601D7C4"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5 755,32</w:t>
            </w:r>
          </w:p>
        </w:tc>
        <w:tc>
          <w:tcPr>
            <w:tcW w:w="0" w:type="auto"/>
            <w:shd w:val="clear" w:color="auto" w:fill="D9D9D9"/>
            <w:hideMark/>
          </w:tcPr>
          <w:p w14:paraId="5FBF497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21 578,09</w:t>
            </w:r>
          </w:p>
        </w:tc>
      </w:tr>
      <w:tr w:rsidR="003656D0" w:rsidRPr="0005003A" w14:paraId="6637EEA2" w14:textId="77777777" w:rsidTr="003656D0">
        <w:trPr>
          <w:trHeight w:val="284"/>
        </w:trPr>
        <w:tc>
          <w:tcPr>
            <w:tcW w:w="0" w:type="auto"/>
            <w:shd w:val="clear" w:color="auto" w:fill="EEECE1" w:themeFill="background2"/>
            <w:hideMark/>
          </w:tcPr>
          <w:p w14:paraId="728655ED"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DSS pre deti a dospelých, Javorinská</w:t>
            </w:r>
          </w:p>
        </w:tc>
        <w:tc>
          <w:tcPr>
            <w:tcW w:w="0" w:type="auto"/>
            <w:shd w:val="clear" w:color="auto" w:fill="EEECE1" w:themeFill="background2"/>
          </w:tcPr>
          <w:p w14:paraId="269B4B3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-3 749,75</w:t>
            </w:r>
          </w:p>
        </w:tc>
        <w:tc>
          <w:tcPr>
            <w:tcW w:w="0" w:type="auto"/>
            <w:shd w:val="clear" w:color="auto" w:fill="C4BD97"/>
            <w:hideMark/>
          </w:tcPr>
          <w:p w14:paraId="2EA1B9B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-3 749,75</w:t>
            </w:r>
          </w:p>
        </w:tc>
        <w:tc>
          <w:tcPr>
            <w:tcW w:w="0" w:type="auto"/>
            <w:shd w:val="clear" w:color="auto" w:fill="EEECE1" w:themeFill="background2"/>
            <w:hideMark/>
          </w:tcPr>
          <w:p w14:paraId="0D5EDD4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0B5AC16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33BB895B"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-3 749,75</w:t>
            </w:r>
          </w:p>
        </w:tc>
        <w:tc>
          <w:tcPr>
            <w:tcW w:w="0" w:type="auto"/>
            <w:shd w:val="clear" w:color="auto" w:fill="C4BD97"/>
            <w:hideMark/>
          </w:tcPr>
          <w:p w14:paraId="3C912D38"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-3 749,75</w:t>
            </w:r>
          </w:p>
        </w:tc>
        <w:tc>
          <w:tcPr>
            <w:tcW w:w="0" w:type="auto"/>
            <w:shd w:val="clear" w:color="auto" w:fill="D9D9D9"/>
            <w:hideMark/>
          </w:tcPr>
          <w:p w14:paraId="288089EC"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-11 753,01</w:t>
            </w:r>
          </w:p>
        </w:tc>
      </w:tr>
      <w:tr w:rsidR="003656D0" w:rsidRPr="0005003A" w14:paraId="4D039C36" w14:textId="77777777" w:rsidTr="003656D0">
        <w:trPr>
          <w:trHeight w:val="284"/>
        </w:trPr>
        <w:tc>
          <w:tcPr>
            <w:tcW w:w="0" w:type="auto"/>
            <w:shd w:val="clear" w:color="auto" w:fill="EEECE1" w:themeFill="background2"/>
            <w:hideMark/>
          </w:tcPr>
          <w:p w14:paraId="0ACABD22"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DSS pre dospelých, Báhoň</w:t>
            </w:r>
          </w:p>
        </w:tc>
        <w:tc>
          <w:tcPr>
            <w:tcW w:w="0" w:type="auto"/>
            <w:shd w:val="clear" w:color="auto" w:fill="EEECE1" w:themeFill="background2"/>
          </w:tcPr>
          <w:p w14:paraId="1EC673A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-29 515,11</w:t>
            </w:r>
          </w:p>
        </w:tc>
        <w:tc>
          <w:tcPr>
            <w:tcW w:w="0" w:type="auto"/>
            <w:shd w:val="clear" w:color="auto" w:fill="C4BD97"/>
            <w:hideMark/>
          </w:tcPr>
          <w:p w14:paraId="3E4EBCC2"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-29 515,11</w:t>
            </w:r>
          </w:p>
        </w:tc>
        <w:tc>
          <w:tcPr>
            <w:tcW w:w="0" w:type="auto"/>
            <w:shd w:val="clear" w:color="auto" w:fill="EEECE1" w:themeFill="background2"/>
            <w:hideMark/>
          </w:tcPr>
          <w:p w14:paraId="6DAC2D13"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014A2080"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13CD85E0"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-29 515,11</w:t>
            </w:r>
          </w:p>
        </w:tc>
        <w:tc>
          <w:tcPr>
            <w:tcW w:w="0" w:type="auto"/>
            <w:shd w:val="clear" w:color="auto" w:fill="C4BD97"/>
            <w:hideMark/>
          </w:tcPr>
          <w:p w14:paraId="4E959EC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-29 515,11</w:t>
            </w:r>
          </w:p>
        </w:tc>
        <w:tc>
          <w:tcPr>
            <w:tcW w:w="0" w:type="auto"/>
            <w:shd w:val="clear" w:color="auto" w:fill="D9D9D9"/>
            <w:hideMark/>
          </w:tcPr>
          <w:p w14:paraId="5CF8B9F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-3 060,81</w:t>
            </w:r>
          </w:p>
        </w:tc>
      </w:tr>
      <w:tr w:rsidR="003656D0" w:rsidRPr="0005003A" w14:paraId="27A55B4C" w14:textId="77777777" w:rsidTr="003656D0">
        <w:trPr>
          <w:trHeight w:val="284"/>
        </w:trPr>
        <w:tc>
          <w:tcPr>
            <w:tcW w:w="0" w:type="auto"/>
            <w:shd w:val="clear" w:color="auto" w:fill="EEECE1" w:themeFill="background2"/>
            <w:hideMark/>
          </w:tcPr>
          <w:p w14:paraId="1E8CAF24"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DSS prof. </w:t>
            </w:r>
            <w:proofErr w:type="spellStart"/>
            <w:r w:rsidRPr="003656D0">
              <w:rPr>
                <w:sz w:val="16"/>
                <w:szCs w:val="16"/>
              </w:rPr>
              <w:t>K.Matulaya</w:t>
            </w:r>
            <w:proofErr w:type="spellEnd"/>
            <w:r w:rsidRPr="003656D0">
              <w:rPr>
                <w:sz w:val="16"/>
                <w:szCs w:val="16"/>
              </w:rPr>
              <w:t xml:space="preserve"> pre deti a dospel.</w:t>
            </w:r>
          </w:p>
        </w:tc>
        <w:tc>
          <w:tcPr>
            <w:tcW w:w="0" w:type="auto"/>
            <w:shd w:val="clear" w:color="auto" w:fill="EEECE1" w:themeFill="background2"/>
          </w:tcPr>
          <w:p w14:paraId="1627C4A8"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-2 030,04</w:t>
            </w:r>
          </w:p>
        </w:tc>
        <w:tc>
          <w:tcPr>
            <w:tcW w:w="0" w:type="auto"/>
            <w:shd w:val="clear" w:color="auto" w:fill="C4BD97"/>
            <w:hideMark/>
          </w:tcPr>
          <w:p w14:paraId="0EB02CF0"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-2 030,04</w:t>
            </w:r>
          </w:p>
        </w:tc>
        <w:tc>
          <w:tcPr>
            <w:tcW w:w="0" w:type="auto"/>
            <w:shd w:val="clear" w:color="auto" w:fill="EEECE1" w:themeFill="background2"/>
            <w:hideMark/>
          </w:tcPr>
          <w:p w14:paraId="17B8A6BE"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21E1794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61F7543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-2 030,04</w:t>
            </w:r>
          </w:p>
        </w:tc>
        <w:tc>
          <w:tcPr>
            <w:tcW w:w="0" w:type="auto"/>
            <w:shd w:val="clear" w:color="auto" w:fill="C4BD97"/>
            <w:hideMark/>
          </w:tcPr>
          <w:p w14:paraId="68679D1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-2 030,04</w:t>
            </w:r>
          </w:p>
        </w:tc>
        <w:tc>
          <w:tcPr>
            <w:tcW w:w="0" w:type="auto"/>
            <w:shd w:val="clear" w:color="auto" w:fill="D9D9D9"/>
            <w:hideMark/>
          </w:tcPr>
          <w:p w14:paraId="6A039CDB"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-3 103,93</w:t>
            </w:r>
          </w:p>
        </w:tc>
      </w:tr>
      <w:tr w:rsidR="003656D0" w:rsidRPr="0005003A" w14:paraId="708C8417" w14:textId="77777777" w:rsidTr="003656D0">
        <w:trPr>
          <w:trHeight w:val="284"/>
        </w:trPr>
        <w:tc>
          <w:tcPr>
            <w:tcW w:w="0" w:type="auto"/>
            <w:shd w:val="clear" w:color="auto" w:fill="EEECE1" w:themeFill="background2"/>
            <w:hideMark/>
          </w:tcPr>
          <w:p w14:paraId="0DAC2F01"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DSS </w:t>
            </w:r>
            <w:proofErr w:type="spellStart"/>
            <w:r w:rsidRPr="003656D0">
              <w:rPr>
                <w:sz w:val="16"/>
                <w:szCs w:val="16"/>
              </w:rPr>
              <w:t>Rozsutec</w:t>
            </w:r>
            <w:proofErr w:type="spellEnd"/>
          </w:p>
        </w:tc>
        <w:tc>
          <w:tcPr>
            <w:tcW w:w="0" w:type="auto"/>
            <w:shd w:val="clear" w:color="auto" w:fill="EEECE1" w:themeFill="background2"/>
          </w:tcPr>
          <w:p w14:paraId="2193FC47"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440,35</w:t>
            </w:r>
          </w:p>
        </w:tc>
        <w:tc>
          <w:tcPr>
            <w:tcW w:w="0" w:type="auto"/>
            <w:shd w:val="clear" w:color="auto" w:fill="C4BD97"/>
            <w:hideMark/>
          </w:tcPr>
          <w:p w14:paraId="4541EB23"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440,35</w:t>
            </w:r>
          </w:p>
        </w:tc>
        <w:tc>
          <w:tcPr>
            <w:tcW w:w="0" w:type="auto"/>
            <w:shd w:val="clear" w:color="auto" w:fill="EEECE1" w:themeFill="background2"/>
            <w:hideMark/>
          </w:tcPr>
          <w:p w14:paraId="0CE6722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7FB65D9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1230793E"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440,35</w:t>
            </w:r>
          </w:p>
        </w:tc>
        <w:tc>
          <w:tcPr>
            <w:tcW w:w="0" w:type="auto"/>
            <w:shd w:val="clear" w:color="auto" w:fill="C4BD97"/>
            <w:hideMark/>
          </w:tcPr>
          <w:p w14:paraId="68A7F2D9"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440,35</w:t>
            </w:r>
          </w:p>
        </w:tc>
        <w:tc>
          <w:tcPr>
            <w:tcW w:w="0" w:type="auto"/>
            <w:shd w:val="clear" w:color="auto" w:fill="D9D9D9"/>
            <w:hideMark/>
          </w:tcPr>
          <w:p w14:paraId="0E1C58E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-2 988,77</w:t>
            </w:r>
          </w:p>
        </w:tc>
      </w:tr>
      <w:tr w:rsidR="003656D0" w:rsidRPr="0005003A" w14:paraId="01634FC9" w14:textId="77777777" w:rsidTr="003656D0">
        <w:trPr>
          <w:trHeight w:val="284"/>
        </w:trPr>
        <w:tc>
          <w:tcPr>
            <w:tcW w:w="0" w:type="auto"/>
            <w:shd w:val="clear" w:color="auto" w:fill="EEECE1" w:themeFill="background2"/>
            <w:hideMark/>
          </w:tcPr>
          <w:p w14:paraId="59B45A32"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GAUDEAMUS - zariadenie komunitnej rehabilitácie</w:t>
            </w:r>
          </w:p>
        </w:tc>
        <w:tc>
          <w:tcPr>
            <w:tcW w:w="0" w:type="auto"/>
            <w:shd w:val="clear" w:color="auto" w:fill="EEECE1" w:themeFill="background2"/>
          </w:tcPr>
          <w:p w14:paraId="76F5031B"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6 010,00</w:t>
            </w:r>
          </w:p>
        </w:tc>
        <w:tc>
          <w:tcPr>
            <w:tcW w:w="0" w:type="auto"/>
            <w:shd w:val="clear" w:color="auto" w:fill="C4BD97"/>
            <w:hideMark/>
          </w:tcPr>
          <w:p w14:paraId="308525E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6 010,00</w:t>
            </w:r>
          </w:p>
        </w:tc>
        <w:tc>
          <w:tcPr>
            <w:tcW w:w="0" w:type="auto"/>
            <w:shd w:val="clear" w:color="auto" w:fill="EEECE1" w:themeFill="background2"/>
            <w:hideMark/>
          </w:tcPr>
          <w:p w14:paraId="7F0D16D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343322B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28C74E80"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6 010,00</w:t>
            </w:r>
          </w:p>
        </w:tc>
        <w:tc>
          <w:tcPr>
            <w:tcW w:w="0" w:type="auto"/>
            <w:shd w:val="clear" w:color="auto" w:fill="C4BD97"/>
            <w:hideMark/>
          </w:tcPr>
          <w:p w14:paraId="011B48B0"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6 010,00</w:t>
            </w:r>
          </w:p>
        </w:tc>
        <w:tc>
          <w:tcPr>
            <w:tcW w:w="0" w:type="auto"/>
            <w:shd w:val="clear" w:color="auto" w:fill="D9D9D9"/>
            <w:hideMark/>
          </w:tcPr>
          <w:p w14:paraId="0EC046A8"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-243,30</w:t>
            </w:r>
          </w:p>
        </w:tc>
      </w:tr>
      <w:tr w:rsidR="003656D0" w:rsidRPr="0005003A" w14:paraId="4F8C6FFC" w14:textId="77777777" w:rsidTr="003656D0">
        <w:trPr>
          <w:trHeight w:val="284"/>
        </w:trPr>
        <w:tc>
          <w:tcPr>
            <w:tcW w:w="0" w:type="auto"/>
            <w:shd w:val="clear" w:color="auto" w:fill="EEECE1" w:themeFill="background2"/>
            <w:hideMark/>
          </w:tcPr>
          <w:p w14:paraId="59F88C33"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ZSS Pod hradom, Plavecké Podhradie</w:t>
            </w:r>
          </w:p>
        </w:tc>
        <w:tc>
          <w:tcPr>
            <w:tcW w:w="0" w:type="auto"/>
            <w:shd w:val="clear" w:color="auto" w:fill="EEECE1" w:themeFill="background2"/>
          </w:tcPr>
          <w:p w14:paraId="2F276F3D"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-1 489,09</w:t>
            </w:r>
          </w:p>
        </w:tc>
        <w:tc>
          <w:tcPr>
            <w:tcW w:w="0" w:type="auto"/>
            <w:shd w:val="clear" w:color="auto" w:fill="C4BD97"/>
            <w:hideMark/>
          </w:tcPr>
          <w:p w14:paraId="16E3314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-1 489,09</w:t>
            </w:r>
          </w:p>
        </w:tc>
        <w:tc>
          <w:tcPr>
            <w:tcW w:w="0" w:type="auto"/>
            <w:shd w:val="clear" w:color="auto" w:fill="EEECE1" w:themeFill="background2"/>
            <w:hideMark/>
          </w:tcPr>
          <w:p w14:paraId="24E75561"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59C32E1F"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2FCD4AD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-1 489,09</w:t>
            </w:r>
          </w:p>
        </w:tc>
        <w:tc>
          <w:tcPr>
            <w:tcW w:w="0" w:type="auto"/>
            <w:shd w:val="clear" w:color="auto" w:fill="C4BD97"/>
            <w:hideMark/>
          </w:tcPr>
          <w:p w14:paraId="71BC929C"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-1 489,09</w:t>
            </w:r>
          </w:p>
        </w:tc>
        <w:tc>
          <w:tcPr>
            <w:tcW w:w="0" w:type="auto"/>
            <w:shd w:val="clear" w:color="auto" w:fill="D9D9D9"/>
            <w:hideMark/>
          </w:tcPr>
          <w:p w14:paraId="6A516494"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-8 045,92</w:t>
            </w:r>
          </w:p>
        </w:tc>
      </w:tr>
      <w:tr w:rsidR="003656D0" w:rsidRPr="0005003A" w14:paraId="1C7D58AC" w14:textId="77777777" w:rsidTr="003656D0">
        <w:trPr>
          <w:trHeight w:val="284"/>
        </w:trPr>
        <w:tc>
          <w:tcPr>
            <w:tcW w:w="0" w:type="auto"/>
            <w:shd w:val="clear" w:color="auto" w:fill="EEECE1" w:themeFill="background2"/>
            <w:hideMark/>
          </w:tcPr>
          <w:p w14:paraId="59B0F7CD"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lastRenderedPageBreak/>
              <w:t>Zariadenie sociálnych služieb ROSA</w:t>
            </w:r>
          </w:p>
        </w:tc>
        <w:tc>
          <w:tcPr>
            <w:tcW w:w="0" w:type="auto"/>
            <w:shd w:val="clear" w:color="auto" w:fill="EEECE1" w:themeFill="background2"/>
          </w:tcPr>
          <w:p w14:paraId="751F6AD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14 731,91</w:t>
            </w:r>
          </w:p>
        </w:tc>
        <w:tc>
          <w:tcPr>
            <w:tcW w:w="0" w:type="auto"/>
            <w:shd w:val="clear" w:color="auto" w:fill="C4BD97"/>
            <w:hideMark/>
          </w:tcPr>
          <w:p w14:paraId="515254C7"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14 731,91</w:t>
            </w:r>
          </w:p>
        </w:tc>
        <w:tc>
          <w:tcPr>
            <w:tcW w:w="0" w:type="auto"/>
            <w:shd w:val="clear" w:color="auto" w:fill="EEECE1" w:themeFill="background2"/>
            <w:hideMark/>
          </w:tcPr>
          <w:p w14:paraId="5E8B499B"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C4BD97"/>
            <w:hideMark/>
          </w:tcPr>
          <w:p w14:paraId="2093AE0E"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0,00</w:t>
            </w:r>
          </w:p>
        </w:tc>
        <w:tc>
          <w:tcPr>
            <w:tcW w:w="0" w:type="auto"/>
            <w:shd w:val="clear" w:color="auto" w:fill="EEECE1" w:themeFill="background2"/>
            <w:hideMark/>
          </w:tcPr>
          <w:p w14:paraId="5C89146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14 731,91</w:t>
            </w:r>
          </w:p>
        </w:tc>
        <w:tc>
          <w:tcPr>
            <w:tcW w:w="0" w:type="auto"/>
            <w:shd w:val="clear" w:color="auto" w:fill="C4BD97"/>
            <w:hideMark/>
          </w:tcPr>
          <w:p w14:paraId="11E04135"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14 731,91</w:t>
            </w:r>
          </w:p>
        </w:tc>
        <w:tc>
          <w:tcPr>
            <w:tcW w:w="0" w:type="auto"/>
            <w:shd w:val="clear" w:color="auto" w:fill="D9D9D9"/>
            <w:hideMark/>
          </w:tcPr>
          <w:p w14:paraId="633251EA" w14:textId="77777777" w:rsidR="003656D0" w:rsidRPr="001A0D5C" w:rsidRDefault="003656D0" w:rsidP="005A1544">
            <w:pPr>
              <w:spacing w:after="0" w:line="240" w:lineRule="auto"/>
              <w:jc w:val="right"/>
              <w:rPr>
                <w:rFonts w:cs="Calibri"/>
                <w:color w:val="000000"/>
                <w:sz w:val="18"/>
                <w:szCs w:val="18"/>
                <w:lang w:eastAsia="sk-SK"/>
              </w:rPr>
            </w:pPr>
            <w:r w:rsidRPr="001A0D5C">
              <w:rPr>
                <w:sz w:val="18"/>
                <w:szCs w:val="18"/>
              </w:rPr>
              <w:t>8 502,26</w:t>
            </w:r>
          </w:p>
        </w:tc>
      </w:tr>
      <w:tr w:rsidR="003656D0" w:rsidRPr="0005003A" w14:paraId="07FFDADE" w14:textId="77777777" w:rsidTr="003656D0">
        <w:trPr>
          <w:trHeight w:val="284"/>
        </w:trPr>
        <w:tc>
          <w:tcPr>
            <w:tcW w:w="0" w:type="auto"/>
            <w:shd w:val="clear" w:color="auto" w:fill="BFBFBF" w:themeFill="background1" w:themeFillShade="BF"/>
            <w:vAlign w:val="center"/>
            <w:hideMark/>
          </w:tcPr>
          <w:p w14:paraId="0FBF9016" w14:textId="77777777" w:rsidR="003656D0" w:rsidRPr="003656D0" w:rsidRDefault="003656D0" w:rsidP="005A1544">
            <w:pPr>
              <w:spacing w:after="0" w:line="240" w:lineRule="auto"/>
              <w:rPr>
                <w:rFonts w:cs="Calibri"/>
                <w:b/>
                <w:bCs/>
                <w:color w:val="000000"/>
                <w:sz w:val="16"/>
                <w:szCs w:val="16"/>
                <w:lang w:eastAsia="sk-SK"/>
              </w:rPr>
            </w:pPr>
            <w:r w:rsidRPr="003656D0">
              <w:rPr>
                <w:rFonts w:cs="Calibri"/>
                <w:b/>
                <w:bCs/>
                <w:color w:val="000000"/>
                <w:sz w:val="16"/>
                <w:szCs w:val="16"/>
                <w:lang w:eastAsia="sk-SK"/>
              </w:rPr>
              <w:t>Školské zariadenia</w:t>
            </w:r>
          </w:p>
        </w:tc>
        <w:tc>
          <w:tcPr>
            <w:tcW w:w="0" w:type="auto"/>
            <w:shd w:val="clear" w:color="auto" w:fill="BFBFBF" w:themeFill="background1" w:themeFillShade="BF"/>
          </w:tcPr>
          <w:p w14:paraId="4307480D"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65 071,06</w:t>
            </w:r>
          </w:p>
        </w:tc>
        <w:tc>
          <w:tcPr>
            <w:tcW w:w="0" w:type="auto"/>
            <w:shd w:val="clear" w:color="auto" w:fill="BFBFBF" w:themeFill="background1" w:themeFillShade="BF"/>
          </w:tcPr>
          <w:p w14:paraId="0963ED13"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65 071,06</w:t>
            </w:r>
          </w:p>
        </w:tc>
        <w:tc>
          <w:tcPr>
            <w:tcW w:w="0" w:type="auto"/>
            <w:shd w:val="clear" w:color="auto" w:fill="BFBFBF" w:themeFill="background1" w:themeFillShade="BF"/>
          </w:tcPr>
          <w:p w14:paraId="598A96EA"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15 228,29</w:t>
            </w:r>
          </w:p>
        </w:tc>
        <w:tc>
          <w:tcPr>
            <w:tcW w:w="0" w:type="auto"/>
            <w:shd w:val="clear" w:color="auto" w:fill="BFBFBF" w:themeFill="background1" w:themeFillShade="BF"/>
          </w:tcPr>
          <w:p w14:paraId="34CC84DF"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10 378,32</w:t>
            </w:r>
          </w:p>
        </w:tc>
        <w:tc>
          <w:tcPr>
            <w:tcW w:w="0" w:type="auto"/>
            <w:shd w:val="clear" w:color="auto" w:fill="BFBFBF" w:themeFill="background1" w:themeFillShade="BF"/>
          </w:tcPr>
          <w:p w14:paraId="25122E23"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80 299,35</w:t>
            </w:r>
          </w:p>
        </w:tc>
        <w:tc>
          <w:tcPr>
            <w:tcW w:w="0" w:type="auto"/>
            <w:shd w:val="clear" w:color="auto" w:fill="BFBFBF" w:themeFill="background1" w:themeFillShade="BF"/>
          </w:tcPr>
          <w:p w14:paraId="4580C75C"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75 449,38</w:t>
            </w:r>
          </w:p>
        </w:tc>
        <w:tc>
          <w:tcPr>
            <w:tcW w:w="0" w:type="auto"/>
            <w:shd w:val="clear" w:color="auto" w:fill="D9D9D9"/>
          </w:tcPr>
          <w:p w14:paraId="786CFBAC" w14:textId="77777777" w:rsidR="003656D0" w:rsidRPr="00792F36" w:rsidRDefault="003656D0" w:rsidP="005A1544">
            <w:pPr>
              <w:spacing w:after="0" w:line="240" w:lineRule="auto"/>
              <w:jc w:val="right"/>
              <w:rPr>
                <w:rFonts w:cs="Calibri"/>
                <w:b/>
                <w:bCs/>
                <w:color w:val="000000"/>
                <w:sz w:val="18"/>
                <w:szCs w:val="18"/>
                <w:lang w:eastAsia="sk-SK"/>
              </w:rPr>
            </w:pPr>
            <w:r w:rsidRPr="00792F36">
              <w:rPr>
                <w:b/>
                <w:bCs/>
                <w:sz w:val="18"/>
                <w:szCs w:val="18"/>
              </w:rPr>
              <w:t>-158 359,94</w:t>
            </w:r>
          </w:p>
        </w:tc>
      </w:tr>
      <w:tr w:rsidR="003656D0" w:rsidRPr="00792F36" w14:paraId="08D30F6C" w14:textId="77777777" w:rsidTr="003656D0">
        <w:trPr>
          <w:trHeight w:val="284"/>
        </w:trPr>
        <w:tc>
          <w:tcPr>
            <w:tcW w:w="0" w:type="auto"/>
            <w:shd w:val="clear" w:color="auto" w:fill="EEECE1" w:themeFill="background2"/>
            <w:hideMark/>
          </w:tcPr>
          <w:p w14:paraId="7D7C20FB"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Gymnázium Alberta Einsteina </w:t>
            </w:r>
          </w:p>
        </w:tc>
        <w:tc>
          <w:tcPr>
            <w:tcW w:w="0" w:type="auto"/>
            <w:shd w:val="clear" w:color="auto" w:fill="EEECE1" w:themeFill="background2"/>
            <w:hideMark/>
          </w:tcPr>
          <w:p w14:paraId="1E0A2F1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50 805,15</w:t>
            </w:r>
          </w:p>
        </w:tc>
        <w:tc>
          <w:tcPr>
            <w:tcW w:w="0" w:type="auto"/>
            <w:shd w:val="clear" w:color="auto" w:fill="C4BD97"/>
            <w:hideMark/>
          </w:tcPr>
          <w:p w14:paraId="07BCC95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50 805,15</w:t>
            </w:r>
          </w:p>
        </w:tc>
        <w:tc>
          <w:tcPr>
            <w:tcW w:w="0" w:type="auto"/>
            <w:shd w:val="clear" w:color="auto" w:fill="EEECE1" w:themeFill="background2"/>
            <w:hideMark/>
          </w:tcPr>
          <w:p w14:paraId="7084D57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32FEEFC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7942921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50 805,15</w:t>
            </w:r>
          </w:p>
        </w:tc>
        <w:tc>
          <w:tcPr>
            <w:tcW w:w="0" w:type="auto"/>
            <w:shd w:val="clear" w:color="auto" w:fill="C4BD97"/>
            <w:hideMark/>
          </w:tcPr>
          <w:p w14:paraId="09EC726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50 805,15</w:t>
            </w:r>
          </w:p>
        </w:tc>
        <w:tc>
          <w:tcPr>
            <w:tcW w:w="0" w:type="auto"/>
            <w:shd w:val="clear" w:color="auto" w:fill="D9D9D9"/>
            <w:hideMark/>
          </w:tcPr>
          <w:p w14:paraId="4EED834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-26 027,44</w:t>
            </w:r>
          </w:p>
        </w:tc>
      </w:tr>
      <w:tr w:rsidR="003656D0" w:rsidRPr="00792F36" w14:paraId="7A1AF2F9" w14:textId="77777777" w:rsidTr="003656D0">
        <w:trPr>
          <w:trHeight w:val="284"/>
        </w:trPr>
        <w:tc>
          <w:tcPr>
            <w:tcW w:w="0" w:type="auto"/>
            <w:shd w:val="clear" w:color="auto" w:fill="EEECE1" w:themeFill="background2"/>
            <w:hideMark/>
          </w:tcPr>
          <w:p w14:paraId="24034BAC"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Gymnázium Antona Bernoláka </w:t>
            </w:r>
          </w:p>
        </w:tc>
        <w:tc>
          <w:tcPr>
            <w:tcW w:w="0" w:type="auto"/>
            <w:shd w:val="clear" w:color="auto" w:fill="EEECE1" w:themeFill="background2"/>
            <w:hideMark/>
          </w:tcPr>
          <w:p w14:paraId="2D7ACA1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2 105,90</w:t>
            </w:r>
          </w:p>
        </w:tc>
        <w:tc>
          <w:tcPr>
            <w:tcW w:w="0" w:type="auto"/>
            <w:shd w:val="clear" w:color="auto" w:fill="C4BD97"/>
            <w:hideMark/>
          </w:tcPr>
          <w:p w14:paraId="5AA8C96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2 105,90</w:t>
            </w:r>
          </w:p>
        </w:tc>
        <w:tc>
          <w:tcPr>
            <w:tcW w:w="0" w:type="auto"/>
            <w:shd w:val="clear" w:color="auto" w:fill="EEECE1" w:themeFill="background2"/>
            <w:hideMark/>
          </w:tcPr>
          <w:p w14:paraId="18441CF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0818C6D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3990F10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2 105,90</w:t>
            </w:r>
          </w:p>
        </w:tc>
        <w:tc>
          <w:tcPr>
            <w:tcW w:w="0" w:type="auto"/>
            <w:shd w:val="clear" w:color="auto" w:fill="C4BD97"/>
            <w:hideMark/>
          </w:tcPr>
          <w:p w14:paraId="087BB25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2 105,90</w:t>
            </w:r>
          </w:p>
        </w:tc>
        <w:tc>
          <w:tcPr>
            <w:tcW w:w="0" w:type="auto"/>
            <w:shd w:val="clear" w:color="auto" w:fill="D9D9D9"/>
            <w:hideMark/>
          </w:tcPr>
          <w:p w14:paraId="0C74DBA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4 578,68</w:t>
            </w:r>
          </w:p>
        </w:tc>
      </w:tr>
      <w:tr w:rsidR="003656D0" w:rsidRPr="00792F36" w14:paraId="23EA392D" w14:textId="77777777" w:rsidTr="003656D0">
        <w:trPr>
          <w:trHeight w:val="284"/>
        </w:trPr>
        <w:tc>
          <w:tcPr>
            <w:tcW w:w="0" w:type="auto"/>
            <w:shd w:val="clear" w:color="auto" w:fill="EEECE1" w:themeFill="background2"/>
            <w:hideMark/>
          </w:tcPr>
          <w:p w14:paraId="76E836D6"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Gymnázium </w:t>
            </w:r>
            <w:proofErr w:type="spellStart"/>
            <w:r w:rsidRPr="003656D0">
              <w:rPr>
                <w:sz w:val="16"/>
                <w:szCs w:val="16"/>
              </w:rPr>
              <w:t>Grosslingová</w:t>
            </w:r>
            <w:proofErr w:type="spellEnd"/>
          </w:p>
        </w:tc>
        <w:tc>
          <w:tcPr>
            <w:tcW w:w="0" w:type="auto"/>
            <w:shd w:val="clear" w:color="auto" w:fill="EEECE1" w:themeFill="background2"/>
            <w:hideMark/>
          </w:tcPr>
          <w:p w14:paraId="458C9DA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14 384,95</w:t>
            </w:r>
          </w:p>
        </w:tc>
        <w:tc>
          <w:tcPr>
            <w:tcW w:w="0" w:type="auto"/>
            <w:shd w:val="clear" w:color="auto" w:fill="C4BD97"/>
            <w:hideMark/>
          </w:tcPr>
          <w:p w14:paraId="3E89483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14 384,95</w:t>
            </w:r>
          </w:p>
        </w:tc>
        <w:tc>
          <w:tcPr>
            <w:tcW w:w="0" w:type="auto"/>
            <w:shd w:val="clear" w:color="auto" w:fill="EEECE1" w:themeFill="background2"/>
            <w:hideMark/>
          </w:tcPr>
          <w:p w14:paraId="33A44E6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4161B3B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5C395B6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14 384,95</w:t>
            </w:r>
          </w:p>
        </w:tc>
        <w:tc>
          <w:tcPr>
            <w:tcW w:w="0" w:type="auto"/>
            <w:shd w:val="clear" w:color="auto" w:fill="C4BD97"/>
            <w:hideMark/>
          </w:tcPr>
          <w:p w14:paraId="1F75A23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14 384,95</w:t>
            </w:r>
          </w:p>
        </w:tc>
        <w:tc>
          <w:tcPr>
            <w:tcW w:w="0" w:type="auto"/>
            <w:shd w:val="clear" w:color="auto" w:fill="D9D9D9"/>
            <w:hideMark/>
          </w:tcPr>
          <w:p w14:paraId="7EDDF41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25 128,54</w:t>
            </w:r>
          </w:p>
        </w:tc>
      </w:tr>
      <w:tr w:rsidR="003656D0" w:rsidRPr="00792F36" w14:paraId="06A36CD9" w14:textId="77777777" w:rsidTr="003656D0">
        <w:trPr>
          <w:trHeight w:val="284"/>
        </w:trPr>
        <w:tc>
          <w:tcPr>
            <w:tcW w:w="0" w:type="auto"/>
            <w:shd w:val="clear" w:color="auto" w:fill="EEECE1" w:themeFill="background2"/>
            <w:hideMark/>
          </w:tcPr>
          <w:p w14:paraId="6BA041F2"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Gymnázium Ivana Horvátha</w:t>
            </w:r>
          </w:p>
        </w:tc>
        <w:tc>
          <w:tcPr>
            <w:tcW w:w="0" w:type="auto"/>
            <w:shd w:val="clear" w:color="auto" w:fill="EEECE1" w:themeFill="background2"/>
            <w:hideMark/>
          </w:tcPr>
          <w:p w14:paraId="7E0ECF8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-4 849,13</w:t>
            </w:r>
          </w:p>
        </w:tc>
        <w:tc>
          <w:tcPr>
            <w:tcW w:w="0" w:type="auto"/>
            <w:shd w:val="clear" w:color="auto" w:fill="C4BD97"/>
            <w:hideMark/>
          </w:tcPr>
          <w:p w14:paraId="193B8BF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-4 849,13</w:t>
            </w:r>
          </w:p>
        </w:tc>
        <w:tc>
          <w:tcPr>
            <w:tcW w:w="0" w:type="auto"/>
            <w:shd w:val="clear" w:color="auto" w:fill="EEECE1" w:themeFill="background2"/>
            <w:hideMark/>
          </w:tcPr>
          <w:p w14:paraId="1C753F3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5906516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626DE05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-4 849,13</w:t>
            </w:r>
          </w:p>
        </w:tc>
        <w:tc>
          <w:tcPr>
            <w:tcW w:w="0" w:type="auto"/>
            <w:shd w:val="clear" w:color="auto" w:fill="C4BD97"/>
            <w:hideMark/>
          </w:tcPr>
          <w:p w14:paraId="2C454AF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-4 849,13</w:t>
            </w:r>
          </w:p>
        </w:tc>
        <w:tc>
          <w:tcPr>
            <w:tcW w:w="0" w:type="auto"/>
            <w:shd w:val="clear" w:color="auto" w:fill="D9D9D9"/>
            <w:hideMark/>
          </w:tcPr>
          <w:p w14:paraId="7959D73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-12 262,17</w:t>
            </w:r>
          </w:p>
        </w:tc>
      </w:tr>
      <w:tr w:rsidR="003656D0" w:rsidRPr="00792F36" w14:paraId="04161D42" w14:textId="77777777" w:rsidTr="003656D0">
        <w:trPr>
          <w:trHeight w:val="284"/>
        </w:trPr>
        <w:tc>
          <w:tcPr>
            <w:tcW w:w="0" w:type="auto"/>
            <w:shd w:val="clear" w:color="auto" w:fill="EEECE1" w:themeFill="background2"/>
            <w:hideMark/>
          </w:tcPr>
          <w:p w14:paraId="4693761B"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Gymnázium Jána </w:t>
            </w:r>
            <w:proofErr w:type="spellStart"/>
            <w:r w:rsidRPr="003656D0">
              <w:rPr>
                <w:sz w:val="16"/>
                <w:szCs w:val="16"/>
              </w:rPr>
              <w:t>Papánka</w:t>
            </w:r>
            <w:proofErr w:type="spellEnd"/>
          </w:p>
        </w:tc>
        <w:tc>
          <w:tcPr>
            <w:tcW w:w="0" w:type="auto"/>
            <w:shd w:val="clear" w:color="auto" w:fill="EEECE1" w:themeFill="background2"/>
            <w:hideMark/>
          </w:tcPr>
          <w:p w14:paraId="2226C94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-190,93</w:t>
            </w:r>
          </w:p>
        </w:tc>
        <w:tc>
          <w:tcPr>
            <w:tcW w:w="0" w:type="auto"/>
            <w:shd w:val="clear" w:color="auto" w:fill="C4BD97"/>
            <w:hideMark/>
          </w:tcPr>
          <w:p w14:paraId="45041F4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-190,93</w:t>
            </w:r>
          </w:p>
        </w:tc>
        <w:tc>
          <w:tcPr>
            <w:tcW w:w="0" w:type="auto"/>
            <w:shd w:val="clear" w:color="auto" w:fill="EEECE1" w:themeFill="background2"/>
            <w:hideMark/>
          </w:tcPr>
          <w:p w14:paraId="4A30BE0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4AF63D0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6390EBE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-190,93</w:t>
            </w:r>
          </w:p>
        </w:tc>
        <w:tc>
          <w:tcPr>
            <w:tcW w:w="0" w:type="auto"/>
            <w:shd w:val="clear" w:color="auto" w:fill="C4BD97"/>
            <w:hideMark/>
          </w:tcPr>
          <w:p w14:paraId="49B697A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-190,93</w:t>
            </w:r>
          </w:p>
        </w:tc>
        <w:tc>
          <w:tcPr>
            <w:tcW w:w="0" w:type="auto"/>
            <w:shd w:val="clear" w:color="auto" w:fill="D9D9D9"/>
            <w:hideMark/>
          </w:tcPr>
          <w:p w14:paraId="7CE54F0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2 172,16</w:t>
            </w:r>
          </w:p>
        </w:tc>
      </w:tr>
      <w:tr w:rsidR="003656D0" w:rsidRPr="00792F36" w14:paraId="5A5356F4" w14:textId="77777777" w:rsidTr="003656D0">
        <w:trPr>
          <w:trHeight w:val="284"/>
        </w:trPr>
        <w:tc>
          <w:tcPr>
            <w:tcW w:w="0" w:type="auto"/>
            <w:shd w:val="clear" w:color="auto" w:fill="EEECE1" w:themeFill="background2"/>
            <w:hideMark/>
          </w:tcPr>
          <w:p w14:paraId="5F6D32BC"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Gymnázium </w:t>
            </w:r>
            <w:proofErr w:type="spellStart"/>
            <w:r w:rsidRPr="003656D0">
              <w:rPr>
                <w:sz w:val="16"/>
                <w:szCs w:val="16"/>
              </w:rPr>
              <w:t>K.Štúra</w:t>
            </w:r>
            <w:proofErr w:type="spellEnd"/>
            <w:r w:rsidRPr="003656D0">
              <w:rPr>
                <w:sz w:val="16"/>
                <w:szCs w:val="16"/>
              </w:rPr>
              <w:t xml:space="preserve"> Modra</w:t>
            </w:r>
          </w:p>
        </w:tc>
        <w:tc>
          <w:tcPr>
            <w:tcW w:w="0" w:type="auto"/>
            <w:shd w:val="clear" w:color="auto" w:fill="EEECE1" w:themeFill="background2"/>
            <w:hideMark/>
          </w:tcPr>
          <w:p w14:paraId="7B40344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5 911,36</w:t>
            </w:r>
          </w:p>
        </w:tc>
        <w:tc>
          <w:tcPr>
            <w:tcW w:w="0" w:type="auto"/>
            <w:shd w:val="clear" w:color="auto" w:fill="C4BD97"/>
            <w:hideMark/>
          </w:tcPr>
          <w:p w14:paraId="6921994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5 911,36</w:t>
            </w:r>
          </w:p>
        </w:tc>
        <w:tc>
          <w:tcPr>
            <w:tcW w:w="0" w:type="auto"/>
            <w:shd w:val="clear" w:color="auto" w:fill="EEECE1" w:themeFill="background2"/>
            <w:hideMark/>
          </w:tcPr>
          <w:p w14:paraId="4901EF6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6A4A9F4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4BCE5F7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5 911,36</w:t>
            </w:r>
          </w:p>
        </w:tc>
        <w:tc>
          <w:tcPr>
            <w:tcW w:w="0" w:type="auto"/>
            <w:shd w:val="clear" w:color="auto" w:fill="C4BD97"/>
            <w:hideMark/>
          </w:tcPr>
          <w:p w14:paraId="4730E97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5 911,36</w:t>
            </w:r>
          </w:p>
        </w:tc>
        <w:tc>
          <w:tcPr>
            <w:tcW w:w="0" w:type="auto"/>
            <w:shd w:val="clear" w:color="auto" w:fill="D9D9D9"/>
            <w:hideMark/>
          </w:tcPr>
          <w:p w14:paraId="3A794B8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-2 946,92</w:t>
            </w:r>
          </w:p>
        </w:tc>
      </w:tr>
      <w:tr w:rsidR="003656D0" w:rsidRPr="00792F36" w14:paraId="260D6ACD" w14:textId="77777777" w:rsidTr="003656D0">
        <w:trPr>
          <w:trHeight w:val="284"/>
        </w:trPr>
        <w:tc>
          <w:tcPr>
            <w:tcW w:w="0" w:type="auto"/>
            <w:shd w:val="clear" w:color="auto" w:fill="EEECE1" w:themeFill="background2"/>
            <w:hideMark/>
          </w:tcPr>
          <w:p w14:paraId="4A3BB17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Gymnázium L. Novomeského</w:t>
            </w:r>
          </w:p>
        </w:tc>
        <w:tc>
          <w:tcPr>
            <w:tcW w:w="0" w:type="auto"/>
            <w:shd w:val="clear" w:color="auto" w:fill="EEECE1" w:themeFill="background2"/>
            <w:hideMark/>
          </w:tcPr>
          <w:p w14:paraId="6F1438D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-10 109,00</w:t>
            </w:r>
          </w:p>
        </w:tc>
        <w:tc>
          <w:tcPr>
            <w:tcW w:w="0" w:type="auto"/>
            <w:shd w:val="clear" w:color="auto" w:fill="C4BD97"/>
            <w:hideMark/>
          </w:tcPr>
          <w:p w14:paraId="75D5475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-10 109,00</w:t>
            </w:r>
          </w:p>
        </w:tc>
        <w:tc>
          <w:tcPr>
            <w:tcW w:w="0" w:type="auto"/>
            <w:shd w:val="clear" w:color="auto" w:fill="EEECE1" w:themeFill="background2"/>
            <w:hideMark/>
          </w:tcPr>
          <w:p w14:paraId="121E366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2C1A2C5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0323E96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-10 109,00</w:t>
            </w:r>
          </w:p>
        </w:tc>
        <w:tc>
          <w:tcPr>
            <w:tcW w:w="0" w:type="auto"/>
            <w:shd w:val="clear" w:color="auto" w:fill="C4BD97"/>
            <w:hideMark/>
          </w:tcPr>
          <w:p w14:paraId="13BE38E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-10 109,00</w:t>
            </w:r>
          </w:p>
        </w:tc>
        <w:tc>
          <w:tcPr>
            <w:tcW w:w="0" w:type="auto"/>
            <w:shd w:val="clear" w:color="auto" w:fill="D9D9D9"/>
            <w:hideMark/>
          </w:tcPr>
          <w:p w14:paraId="03992AD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-4 670,47</w:t>
            </w:r>
          </w:p>
        </w:tc>
      </w:tr>
      <w:tr w:rsidR="003656D0" w:rsidRPr="00792F36" w14:paraId="5DCFB50E" w14:textId="77777777" w:rsidTr="003656D0">
        <w:trPr>
          <w:trHeight w:val="284"/>
        </w:trPr>
        <w:tc>
          <w:tcPr>
            <w:tcW w:w="0" w:type="auto"/>
            <w:shd w:val="clear" w:color="auto" w:fill="EEECE1" w:themeFill="background2"/>
            <w:hideMark/>
          </w:tcPr>
          <w:p w14:paraId="6BC6F524"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Gymnázium Malacky</w:t>
            </w:r>
          </w:p>
        </w:tc>
        <w:tc>
          <w:tcPr>
            <w:tcW w:w="0" w:type="auto"/>
            <w:shd w:val="clear" w:color="auto" w:fill="EEECE1" w:themeFill="background2"/>
            <w:hideMark/>
          </w:tcPr>
          <w:p w14:paraId="4AB7488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4 012,95</w:t>
            </w:r>
          </w:p>
        </w:tc>
        <w:tc>
          <w:tcPr>
            <w:tcW w:w="0" w:type="auto"/>
            <w:shd w:val="clear" w:color="auto" w:fill="C4BD97"/>
            <w:hideMark/>
          </w:tcPr>
          <w:p w14:paraId="74667D5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4 012,95</w:t>
            </w:r>
          </w:p>
        </w:tc>
        <w:tc>
          <w:tcPr>
            <w:tcW w:w="0" w:type="auto"/>
            <w:shd w:val="clear" w:color="auto" w:fill="EEECE1" w:themeFill="background2"/>
            <w:hideMark/>
          </w:tcPr>
          <w:p w14:paraId="1AE28C8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0036EE7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56662A2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4 012,95</w:t>
            </w:r>
          </w:p>
        </w:tc>
        <w:tc>
          <w:tcPr>
            <w:tcW w:w="0" w:type="auto"/>
            <w:shd w:val="clear" w:color="auto" w:fill="C4BD97"/>
            <w:hideMark/>
          </w:tcPr>
          <w:p w14:paraId="286B465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4 012,95</w:t>
            </w:r>
          </w:p>
        </w:tc>
        <w:tc>
          <w:tcPr>
            <w:tcW w:w="0" w:type="auto"/>
            <w:shd w:val="clear" w:color="auto" w:fill="D9D9D9"/>
            <w:hideMark/>
          </w:tcPr>
          <w:p w14:paraId="3675BC9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1 772,59</w:t>
            </w:r>
          </w:p>
        </w:tc>
      </w:tr>
      <w:tr w:rsidR="003656D0" w:rsidRPr="00792F36" w14:paraId="06E47B49" w14:textId="77777777" w:rsidTr="003656D0">
        <w:trPr>
          <w:trHeight w:val="284"/>
        </w:trPr>
        <w:tc>
          <w:tcPr>
            <w:tcW w:w="0" w:type="auto"/>
            <w:shd w:val="clear" w:color="auto" w:fill="EEECE1" w:themeFill="background2"/>
            <w:hideMark/>
          </w:tcPr>
          <w:p w14:paraId="0461C4A3"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Gymnázium Pankúchova</w:t>
            </w:r>
          </w:p>
        </w:tc>
        <w:tc>
          <w:tcPr>
            <w:tcW w:w="0" w:type="auto"/>
            <w:shd w:val="clear" w:color="auto" w:fill="EEECE1" w:themeFill="background2"/>
            <w:hideMark/>
          </w:tcPr>
          <w:p w14:paraId="35C15FE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9 489,01</w:t>
            </w:r>
          </w:p>
        </w:tc>
        <w:tc>
          <w:tcPr>
            <w:tcW w:w="0" w:type="auto"/>
            <w:shd w:val="clear" w:color="auto" w:fill="C4BD97"/>
            <w:hideMark/>
          </w:tcPr>
          <w:p w14:paraId="568A089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9 489,01</w:t>
            </w:r>
          </w:p>
        </w:tc>
        <w:tc>
          <w:tcPr>
            <w:tcW w:w="0" w:type="auto"/>
            <w:shd w:val="clear" w:color="auto" w:fill="EEECE1" w:themeFill="background2"/>
            <w:hideMark/>
          </w:tcPr>
          <w:p w14:paraId="0877C47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75B8297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351BDB8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9 489,01</w:t>
            </w:r>
          </w:p>
        </w:tc>
        <w:tc>
          <w:tcPr>
            <w:tcW w:w="0" w:type="auto"/>
            <w:shd w:val="clear" w:color="auto" w:fill="C4BD97"/>
            <w:hideMark/>
          </w:tcPr>
          <w:p w14:paraId="08C28CE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9 489,01</w:t>
            </w:r>
          </w:p>
        </w:tc>
        <w:tc>
          <w:tcPr>
            <w:tcW w:w="0" w:type="auto"/>
            <w:shd w:val="clear" w:color="auto" w:fill="D9D9D9"/>
            <w:hideMark/>
          </w:tcPr>
          <w:p w14:paraId="2AA4949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-2 369,28</w:t>
            </w:r>
          </w:p>
        </w:tc>
      </w:tr>
      <w:tr w:rsidR="003656D0" w:rsidRPr="00792F36" w14:paraId="39DB6117" w14:textId="77777777" w:rsidTr="003656D0">
        <w:trPr>
          <w:trHeight w:val="284"/>
        </w:trPr>
        <w:tc>
          <w:tcPr>
            <w:tcW w:w="0" w:type="auto"/>
            <w:shd w:val="clear" w:color="auto" w:fill="EEECE1" w:themeFill="background2"/>
            <w:hideMark/>
          </w:tcPr>
          <w:p w14:paraId="065A559F"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Gymnázium Pezinok</w:t>
            </w:r>
          </w:p>
        </w:tc>
        <w:tc>
          <w:tcPr>
            <w:tcW w:w="0" w:type="auto"/>
            <w:shd w:val="clear" w:color="auto" w:fill="EEECE1" w:themeFill="background2"/>
            <w:hideMark/>
          </w:tcPr>
          <w:p w14:paraId="52936DC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2 085,88</w:t>
            </w:r>
          </w:p>
        </w:tc>
        <w:tc>
          <w:tcPr>
            <w:tcW w:w="0" w:type="auto"/>
            <w:shd w:val="clear" w:color="auto" w:fill="C4BD97"/>
            <w:hideMark/>
          </w:tcPr>
          <w:p w14:paraId="7CE7744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2 085,88</w:t>
            </w:r>
          </w:p>
        </w:tc>
        <w:tc>
          <w:tcPr>
            <w:tcW w:w="0" w:type="auto"/>
            <w:shd w:val="clear" w:color="auto" w:fill="EEECE1" w:themeFill="background2"/>
            <w:hideMark/>
          </w:tcPr>
          <w:p w14:paraId="566409A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56D41BD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223E14A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2 085,88</w:t>
            </w:r>
          </w:p>
        </w:tc>
        <w:tc>
          <w:tcPr>
            <w:tcW w:w="0" w:type="auto"/>
            <w:shd w:val="clear" w:color="auto" w:fill="C4BD97"/>
            <w:hideMark/>
          </w:tcPr>
          <w:p w14:paraId="42AC027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2 085,88</w:t>
            </w:r>
          </w:p>
        </w:tc>
        <w:tc>
          <w:tcPr>
            <w:tcW w:w="0" w:type="auto"/>
            <w:shd w:val="clear" w:color="auto" w:fill="D9D9D9"/>
            <w:hideMark/>
          </w:tcPr>
          <w:p w14:paraId="5BE6A1D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-1 422,83</w:t>
            </w:r>
          </w:p>
        </w:tc>
      </w:tr>
      <w:tr w:rsidR="003656D0" w:rsidRPr="00792F36" w14:paraId="4DA3FDE3" w14:textId="77777777" w:rsidTr="003656D0">
        <w:trPr>
          <w:trHeight w:val="284"/>
        </w:trPr>
        <w:tc>
          <w:tcPr>
            <w:tcW w:w="0" w:type="auto"/>
            <w:shd w:val="clear" w:color="auto" w:fill="EEECE1" w:themeFill="background2"/>
            <w:hideMark/>
          </w:tcPr>
          <w:p w14:paraId="30287ABC"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Gymnázium, Hubeného</w:t>
            </w:r>
          </w:p>
        </w:tc>
        <w:tc>
          <w:tcPr>
            <w:tcW w:w="0" w:type="auto"/>
            <w:shd w:val="clear" w:color="auto" w:fill="EEECE1" w:themeFill="background2"/>
            <w:hideMark/>
          </w:tcPr>
          <w:p w14:paraId="1BF94DC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-14 893,80</w:t>
            </w:r>
          </w:p>
        </w:tc>
        <w:tc>
          <w:tcPr>
            <w:tcW w:w="0" w:type="auto"/>
            <w:shd w:val="clear" w:color="auto" w:fill="C4BD97"/>
            <w:hideMark/>
          </w:tcPr>
          <w:p w14:paraId="462A5A3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-14 893,80</w:t>
            </w:r>
          </w:p>
        </w:tc>
        <w:tc>
          <w:tcPr>
            <w:tcW w:w="0" w:type="auto"/>
            <w:shd w:val="clear" w:color="auto" w:fill="EEECE1" w:themeFill="background2"/>
            <w:hideMark/>
          </w:tcPr>
          <w:p w14:paraId="61D4827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309D104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14873F5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-14 893,80</w:t>
            </w:r>
          </w:p>
        </w:tc>
        <w:tc>
          <w:tcPr>
            <w:tcW w:w="0" w:type="auto"/>
            <w:shd w:val="clear" w:color="auto" w:fill="C4BD97"/>
            <w:hideMark/>
          </w:tcPr>
          <w:p w14:paraId="2396305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-14 893,80</w:t>
            </w:r>
          </w:p>
        </w:tc>
        <w:tc>
          <w:tcPr>
            <w:tcW w:w="0" w:type="auto"/>
            <w:shd w:val="clear" w:color="auto" w:fill="D9D9D9"/>
            <w:hideMark/>
          </w:tcPr>
          <w:p w14:paraId="53C87E5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-3 276,28</w:t>
            </w:r>
          </w:p>
        </w:tc>
      </w:tr>
      <w:tr w:rsidR="003656D0" w:rsidRPr="00792F36" w14:paraId="5FADCCFF" w14:textId="77777777" w:rsidTr="003656D0">
        <w:trPr>
          <w:trHeight w:val="284"/>
        </w:trPr>
        <w:tc>
          <w:tcPr>
            <w:tcW w:w="0" w:type="auto"/>
            <w:shd w:val="clear" w:color="auto" w:fill="EEECE1" w:themeFill="background2"/>
            <w:hideMark/>
          </w:tcPr>
          <w:p w14:paraId="274FDA56"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Konzervatórium v Bratislave</w:t>
            </w:r>
          </w:p>
        </w:tc>
        <w:tc>
          <w:tcPr>
            <w:tcW w:w="0" w:type="auto"/>
            <w:shd w:val="clear" w:color="auto" w:fill="EEECE1" w:themeFill="background2"/>
            <w:hideMark/>
          </w:tcPr>
          <w:p w14:paraId="3D77EC2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26 693,37</w:t>
            </w:r>
          </w:p>
        </w:tc>
        <w:tc>
          <w:tcPr>
            <w:tcW w:w="0" w:type="auto"/>
            <w:shd w:val="clear" w:color="auto" w:fill="C4BD97"/>
            <w:hideMark/>
          </w:tcPr>
          <w:p w14:paraId="3CABAF5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26 693,37</w:t>
            </w:r>
          </w:p>
        </w:tc>
        <w:tc>
          <w:tcPr>
            <w:tcW w:w="0" w:type="auto"/>
            <w:shd w:val="clear" w:color="auto" w:fill="EEECE1" w:themeFill="background2"/>
            <w:hideMark/>
          </w:tcPr>
          <w:p w14:paraId="2172A3A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45FC171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730F227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26 693,37</w:t>
            </w:r>
          </w:p>
        </w:tc>
        <w:tc>
          <w:tcPr>
            <w:tcW w:w="0" w:type="auto"/>
            <w:shd w:val="clear" w:color="auto" w:fill="C4BD97"/>
            <w:hideMark/>
          </w:tcPr>
          <w:p w14:paraId="26A9861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26 693,37</w:t>
            </w:r>
          </w:p>
        </w:tc>
        <w:tc>
          <w:tcPr>
            <w:tcW w:w="0" w:type="auto"/>
            <w:shd w:val="clear" w:color="auto" w:fill="D9D9D9"/>
            <w:hideMark/>
          </w:tcPr>
          <w:p w14:paraId="508A2B5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-32 940,51</w:t>
            </w:r>
          </w:p>
        </w:tc>
      </w:tr>
      <w:tr w:rsidR="003656D0" w:rsidRPr="00792F36" w14:paraId="2A4101FC" w14:textId="77777777" w:rsidTr="003656D0">
        <w:trPr>
          <w:trHeight w:val="284"/>
        </w:trPr>
        <w:tc>
          <w:tcPr>
            <w:tcW w:w="0" w:type="auto"/>
            <w:shd w:val="clear" w:color="auto" w:fill="EEECE1" w:themeFill="background2"/>
            <w:hideMark/>
          </w:tcPr>
          <w:p w14:paraId="299E406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Obchodná akadémia Pezinok</w:t>
            </w:r>
          </w:p>
        </w:tc>
        <w:tc>
          <w:tcPr>
            <w:tcW w:w="0" w:type="auto"/>
            <w:shd w:val="clear" w:color="auto" w:fill="EEECE1" w:themeFill="background2"/>
            <w:hideMark/>
          </w:tcPr>
          <w:p w14:paraId="3719B39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442,78</w:t>
            </w:r>
          </w:p>
        </w:tc>
        <w:tc>
          <w:tcPr>
            <w:tcW w:w="0" w:type="auto"/>
            <w:shd w:val="clear" w:color="auto" w:fill="C4BD97"/>
            <w:hideMark/>
          </w:tcPr>
          <w:p w14:paraId="700B919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442,78</w:t>
            </w:r>
          </w:p>
        </w:tc>
        <w:tc>
          <w:tcPr>
            <w:tcW w:w="0" w:type="auto"/>
            <w:shd w:val="clear" w:color="auto" w:fill="EEECE1" w:themeFill="background2"/>
            <w:hideMark/>
          </w:tcPr>
          <w:p w14:paraId="06DCBFE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5DBB7C9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7CA7FEC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442,78</w:t>
            </w:r>
          </w:p>
        </w:tc>
        <w:tc>
          <w:tcPr>
            <w:tcW w:w="0" w:type="auto"/>
            <w:shd w:val="clear" w:color="auto" w:fill="C4BD97"/>
            <w:hideMark/>
          </w:tcPr>
          <w:p w14:paraId="53E6FD0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442,78</w:t>
            </w:r>
          </w:p>
        </w:tc>
        <w:tc>
          <w:tcPr>
            <w:tcW w:w="0" w:type="auto"/>
            <w:shd w:val="clear" w:color="auto" w:fill="D9D9D9"/>
            <w:hideMark/>
          </w:tcPr>
          <w:p w14:paraId="5F85C77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-1 013,87</w:t>
            </w:r>
          </w:p>
        </w:tc>
      </w:tr>
      <w:tr w:rsidR="003656D0" w:rsidRPr="00792F36" w14:paraId="028114D0" w14:textId="77777777" w:rsidTr="003656D0">
        <w:trPr>
          <w:trHeight w:val="284"/>
        </w:trPr>
        <w:tc>
          <w:tcPr>
            <w:tcW w:w="0" w:type="auto"/>
            <w:shd w:val="clear" w:color="auto" w:fill="EEECE1" w:themeFill="background2"/>
            <w:hideMark/>
          </w:tcPr>
          <w:p w14:paraId="1AF5E26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Obchodná akadémia, </w:t>
            </w:r>
            <w:proofErr w:type="spellStart"/>
            <w:r w:rsidRPr="003656D0">
              <w:rPr>
                <w:sz w:val="16"/>
                <w:szCs w:val="16"/>
              </w:rPr>
              <w:t>Dudova</w:t>
            </w:r>
            <w:proofErr w:type="spellEnd"/>
          </w:p>
        </w:tc>
        <w:tc>
          <w:tcPr>
            <w:tcW w:w="0" w:type="auto"/>
            <w:shd w:val="clear" w:color="auto" w:fill="EEECE1" w:themeFill="background2"/>
            <w:hideMark/>
          </w:tcPr>
          <w:p w14:paraId="65FBA30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726,24</w:t>
            </w:r>
          </w:p>
        </w:tc>
        <w:tc>
          <w:tcPr>
            <w:tcW w:w="0" w:type="auto"/>
            <w:shd w:val="clear" w:color="auto" w:fill="C4BD97"/>
            <w:hideMark/>
          </w:tcPr>
          <w:p w14:paraId="01A9DE9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726,24</w:t>
            </w:r>
          </w:p>
        </w:tc>
        <w:tc>
          <w:tcPr>
            <w:tcW w:w="0" w:type="auto"/>
            <w:shd w:val="clear" w:color="auto" w:fill="EEECE1" w:themeFill="background2"/>
            <w:hideMark/>
          </w:tcPr>
          <w:p w14:paraId="6CCD36A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17B6587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496BE03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726,24</w:t>
            </w:r>
          </w:p>
        </w:tc>
        <w:tc>
          <w:tcPr>
            <w:tcW w:w="0" w:type="auto"/>
            <w:shd w:val="clear" w:color="auto" w:fill="C4BD97"/>
            <w:hideMark/>
          </w:tcPr>
          <w:p w14:paraId="4A85467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726,24</w:t>
            </w:r>
          </w:p>
        </w:tc>
        <w:tc>
          <w:tcPr>
            <w:tcW w:w="0" w:type="auto"/>
            <w:shd w:val="clear" w:color="auto" w:fill="D9D9D9"/>
            <w:hideMark/>
          </w:tcPr>
          <w:p w14:paraId="75EC3A2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5 442,60</w:t>
            </w:r>
          </w:p>
        </w:tc>
      </w:tr>
      <w:tr w:rsidR="003656D0" w:rsidRPr="00792F36" w14:paraId="0D6FC1A4" w14:textId="77777777" w:rsidTr="003656D0">
        <w:trPr>
          <w:trHeight w:val="284"/>
        </w:trPr>
        <w:tc>
          <w:tcPr>
            <w:tcW w:w="0" w:type="auto"/>
            <w:shd w:val="clear" w:color="auto" w:fill="EEECE1" w:themeFill="background2"/>
            <w:hideMark/>
          </w:tcPr>
          <w:p w14:paraId="2D082D3B"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Obchodná akadémia, </w:t>
            </w:r>
            <w:proofErr w:type="spellStart"/>
            <w:r w:rsidRPr="003656D0">
              <w:rPr>
                <w:sz w:val="16"/>
                <w:szCs w:val="16"/>
              </w:rPr>
              <w:t>Nevädzova</w:t>
            </w:r>
            <w:proofErr w:type="spellEnd"/>
            <w:r w:rsidRPr="003656D0">
              <w:rPr>
                <w:sz w:val="16"/>
                <w:szCs w:val="16"/>
              </w:rPr>
              <w:t xml:space="preserve"> 3</w:t>
            </w:r>
          </w:p>
        </w:tc>
        <w:tc>
          <w:tcPr>
            <w:tcW w:w="0" w:type="auto"/>
            <w:shd w:val="clear" w:color="auto" w:fill="EEECE1" w:themeFill="background2"/>
            <w:hideMark/>
          </w:tcPr>
          <w:p w14:paraId="2DBBF6B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-485,78</w:t>
            </w:r>
          </w:p>
        </w:tc>
        <w:tc>
          <w:tcPr>
            <w:tcW w:w="0" w:type="auto"/>
            <w:shd w:val="clear" w:color="auto" w:fill="C4BD97"/>
            <w:hideMark/>
          </w:tcPr>
          <w:p w14:paraId="1EF4C9D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-485,78</w:t>
            </w:r>
          </w:p>
        </w:tc>
        <w:tc>
          <w:tcPr>
            <w:tcW w:w="0" w:type="auto"/>
            <w:shd w:val="clear" w:color="auto" w:fill="EEECE1" w:themeFill="background2"/>
            <w:hideMark/>
          </w:tcPr>
          <w:p w14:paraId="2FF0CEA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4435567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4D4376C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-485,78</w:t>
            </w:r>
          </w:p>
        </w:tc>
        <w:tc>
          <w:tcPr>
            <w:tcW w:w="0" w:type="auto"/>
            <w:shd w:val="clear" w:color="auto" w:fill="C4BD97"/>
            <w:hideMark/>
          </w:tcPr>
          <w:p w14:paraId="3030EF8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-485,78</w:t>
            </w:r>
          </w:p>
        </w:tc>
        <w:tc>
          <w:tcPr>
            <w:tcW w:w="0" w:type="auto"/>
            <w:shd w:val="clear" w:color="auto" w:fill="D9D9D9"/>
            <w:hideMark/>
          </w:tcPr>
          <w:p w14:paraId="60613D0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1 199,96</w:t>
            </w:r>
          </w:p>
        </w:tc>
      </w:tr>
      <w:tr w:rsidR="003656D0" w:rsidRPr="00792F36" w14:paraId="707F72AD" w14:textId="77777777" w:rsidTr="003656D0">
        <w:trPr>
          <w:trHeight w:val="284"/>
        </w:trPr>
        <w:tc>
          <w:tcPr>
            <w:tcW w:w="0" w:type="auto"/>
            <w:shd w:val="clear" w:color="auto" w:fill="EEECE1" w:themeFill="background2"/>
            <w:hideMark/>
          </w:tcPr>
          <w:p w14:paraId="1364609C"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Obchodná akadémia, Račianska 107</w:t>
            </w:r>
          </w:p>
        </w:tc>
        <w:tc>
          <w:tcPr>
            <w:tcW w:w="0" w:type="auto"/>
            <w:shd w:val="clear" w:color="auto" w:fill="EEECE1" w:themeFill="background2"/>
            <w:hideMark/>
          </w:tcPr>
          <w:p w14:paraId="0CDB04B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1 944,32</w:t>
            </w:r>
          </w:p>
        </w:tc>
        <w:tc>
          <w:tcPr>
            <w:tcW w:w="0" w:type="auto"/>
            <w:shd w:val="clear" w:color="auto" w:fill="C4BD97"/>
            <w:hideMark/>
          </w:tcPr>
          <w:p w14:paraId="49506AE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1 944,32</w:t>
            </w:r>
          </w:p>
        </w:tc>
        <w:tc>
          <w:tcPr>
            <w:tcW w:w="0" w:type="auto"/>
            <w:shd w:val="clear" w:color="auto" w:fill="EEECE1" w:themeFill="background2"/>
            <w:hideMark/>
          </w:tcPr>
          <w:p w14:paraId="2D21B68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0164ED2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17EAD84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1 944,32</w:t>
            </w:r>
          </w:p>
        </w:tc>
        <w:tc>
          <w:tcPr>
            <w:tcW w:w="0" w:type="auto"/>
            <w:shd w:val="clear" w:color="auto" w:fill="C4BD97"/>
            <w:hideMark/>
          </w:tcPr>
          <w:p w14:paraId="2777A68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1 944,32</w:t>
            </w:r>
          </w:p>
        </w:tc>
        <w:tc>
          <w:tcPr>
            <w:tcW w:w="0" w:type="auto"/>
            <w:shd w:val="clear" w:color="auto" w:fill="D9D9D9"/>
            <w:hideMark/>
          </w:tcPr>
          <w:p w14:paraId="343BAD9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-3 093,74</w:t>
            </w:r>
          </w:p>
        </w:tc>
      </w:tr>
      <w:tr w:rsidR="003656D0" w:rsidRPr="00792F36" w14:paraId="47307FA2" w14:textId="77777777" w:rsidTr="003656D0">
        <w:trPr>
          <w:trHeight w:val="284"/>
        </w:trPr>
        <w:tc>
          <w:tcPr>
            <w:tcW w:w="0" w:type="auto"/>
            <w:shd w:val="clear" w:color="auto" w:fill="EEECE1" w:themeFill="background2"/>
            <w:hideMark/>
          </w:tcPr>
          <w:p w14:paraId="645F3FDC"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SOŠ dopravná, </w:t>
            </w:r>
            <w:proofErr w:type="spellStart"/>
            <w:r w:rsidRPr="003656D0">
              <w:rPr>
                <w:sz w:val="16"/>
                <w:szCs w:val="16"/>
              </w:rPr>
              <w:t>Kvačalova</w:t>
            </w:r>
            <w:proofErr w:type="spellEnd"/>
            <w:r w:rsidRPr="003656D0">
              <w:rPr>
                <w:sz w:val="16"/>
                <w:szCs w:val="16"/>
              </w:rPr>
              <w:t xml:space="preserve"> 20, BA</w:t>
            </w:r>
          </w:p>
        </w:tc>
        <w:tc>
          <w:tcPr>
            <w:tcW w:w="0" w:type="auto"/>
            <w:shd w:val="clear" w:color="auto" w:fill="EEECE1" w:themeFill="background2"/>
            <w:hideMark/>
          </w:tcPr>
          <w:p w14:paraId="3521B77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1 221,09</w:t>
            </w:r>
          </w:p>
        </w:tc>
        <w:tc>
          <w:tcPr>
            <w:tcW w:w="0" w:type="auto"/>
            <w:shd w:val="clear" w:color="auto" w:fill="C4BD97"/>
            <w:hideMark/>
          </w:tcPr>
          <w:p w14:paraId="6987E9D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1 221,09</w:t>
            </w:r>
          </w:p>
        </w:tc>
        <w:tc>
          <w:tcPr>
            <w:tcW w:w="0" w:type="auto"/>
            <w:shd w:val="clear" w:color="auto" w:fill="EEECE1" w:themeFill="background2"/>
            <w:hideMark/>
          </w:tcPr>
          <w:p w14:paraId="1E23550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4C8262B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4111A02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1 221,09</w:t>
            </w:r>
          </w:p>
        </w:tc>
        <w:tc>
          <w:tcPr>
            <w:tcW w:w="0" w:type="auto"/>
            <w:shd w:val="clear" w:color="auto" w:fill="C4BD97"/>
            <w:hideMark/>
          </w:tcPr>
          <w:p w14:paraId="5C3AEA2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1 221,09</w:t>
            </w:r>
          </w:p>
        </w:tc>
        <w:tc>
          <w:tcPr>
            <w:tcW w:w="0" w:type="auto"/>
            <w:shd w:val="clear" w:color="auto" w:fill="D9D9D9"/>
            <w:hideMark/>
          </w:tcPr>
          <w:p w14:paraId="5B3624D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5 303,03</w:t>
            </w:r>
          </w:p>
        </w:tc>
      </w:tr>
      <w:tr w:rsidR="003656D0" w:rsidRPr="00792F36" w14:paraId="31A0E03F" w14:textId="77777777" w:rsidTr="003656D0">
        <w:trPr>
          <w:trHeight w:val="284"/>
        </w:trPr>
        <w:tc>
          <w:tcPr>
            <w:tcW w:w="0" w:type="auto"/>
            <w:shd w:val="clear" w:color="auto" w:fill="EEECE1" w:themeFill="background2"/>
            <w:hideMark/>
          </w:tcPr>
          <w:p w14:paraId="2A9D4BC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SOŠ </w:t>
            </w:r>
            <w:proofErr w:type="spellStart"/>
            <w:r w:rsidRPr="003656D0">
              <w:rPr>
                <w:sz w:val="16"/>
                <w:szCs w:val="16"/>
              </w:rPr>
              <w:t>elektr</w:t>
            </w:r>
            <w:proofErr w:type="spellEnd"/>
            <w:r w:rsidRPr="003656D0">
              <w:rPr>
                <w:sz w:val="16"/>
                <w:szCs w:val="16"/>
              </w:rPr>
              <w:t>., Rybničná 59, BA</w:t>
            </w:r>
          </w:p>
        </w:tc>
        <w:tc>
          <w:tcPr>
            <w:tcW w:w="0" w:type="auto"/>
            <w:shd w:val="clear" w:color="auto" w:fill="EEECE1" w:themeFill="background2"/>
            <w:hideMark/>
          </w:tcPr>
          <w:p w14:paraId="6F71210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-269,71</w:t>
            </w:r>
          </w:p>
        </w:tc>
        <w:tc>
          <w:tcPr>
            <w:tcW w:w="0" w:type="auto"/>
            <w:shd w:val="clear" w:color="auto" w:fill="C4BD97"/>
            <w:hideMark/>
          </w:tcPr>
          <w:p w14:paraId="620C0C0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-269,71</w:t>
            </w:r>
          </w:p>
        </w:tc>
        <w:tc>
          <w:tcPr>
            <w:tcW w:w="0" w:type="auto"/>
            <w:shd w:val="clear" w:color="auto" w:fill="EEECE1" w:themeFill="background2"/>
            <w:hideMark/>
          </w:tcPr>
          <w:p w14:paraId="0336AC0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637284E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3B623FA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-269,71</w:t>
            </w:r>
          </w:p>
        </w:tc>
        <w:tc>
          <w:tcPr>
            <w:tcW w:w="0" w:type="auto"/>
            <w:shd w:val="clear" w:color="auto" w:fill="C4BD97"/>
            <w:hideMark/>
          </w:tcPr>
          <w:p w14:paraId="4330EC6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-269,71</w:t>
            </w:r>
          </w:p>
        </w:tc>
        <w:tc>
          <w:tcPr>
            <w:tcW w:w="0" w:type="auto"/>
            <w:shd w:val="clear" w:color="auto" w:fill="D9D9D9"/>
            <w:hideMark/>
          </w:tcPr>
          <w:p w14:paraId="46EA9D4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-21 010,14</w:t>
            </w:r>
          </w:p>
        </w:tc>
      </w:tr>
      <w:tr w:rsidR="003656D0" w:rsidRPr="00792F36" w14:paraId="14C595D6" w14:textId="77777777" w:rsidTr="003656D0">
        <w:trPr>
          <w:trHeight w:val="284"/>
        </w:trPr>
        <w:tc>
          <w:tcPr>
            <w:tcW w:w="0" w:type="auto"/>
            <w:shd w:val="clear" w:color="auto" w:fill="EEECE1" w:themeFill="background2"/>
            <w:hideMark/>
          </w:tcPr>
          <w:p w14:paraId="03C7ABDB"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SOŠ chemická, Vlčie hrdlo 50, BA</w:t>
            </w:r>
          </w:p>
        </w:tc>
        <w:tc>
          <w:tcPr>
            <w:tcW w:w="0" w:type="auto"/>
            <w:shd w:val="clear" w:color="auto" w:fill="EEECE1" w:themeFill="background2"/>
            <w:hideMark/>
          </w:tcPr>
          <w:p w14:paraId="1E18914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1 504,28</w:t>
            </w:r>
          </w:p>
        </w:tc>
        <w:tc>
          <w:tcPr>
            <w:tcW w:w="0" w:type="auto"/>
            <w:shd w:val="clear" w:color="auto" w:fill="C4BD97"/>
            <w:hideMark/>
          </w:tcPr>
          <w:p w14:paraId="2F8B1F4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1 504,28</w:t>
            </w:r>
          </w:p>
        </w:tc>
        <w:tc>
          <w:tcPr>
            <w:tcW w:w="0" w:type="auto"/>
            <w:shd w:val="clear" w:color="auto" w:fill="EEECE1" w:themeFill="background2"/>
            <w:hideMark/>
          </w:tcPr>
          <w:p w14:paraId="073B944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13B4251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00FF86C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1 504,28</w:t>
            </w:r>
          </w:p>
        </w:tc>
        <w:tc>
          <w:tcPr>
            <w:tcW w:w="0" w:type="auto"/>
            <w:shd w:val="clear" w:color="auto" w:fill="C4BD97"/>
            <w:hideMark/>
          </w:tcPr>
          <w:p w14:paraId="65E316B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1 504,28</w:t>
            </w:r>
          </w:p>
        </w:tc>
        <w:tc>
          <w:tcPr>
            <w:tcW w:w="0" w:type="auto"/>
            <w:shd w:val="clear" w:color="auto" w:fill="D9D9D9"/>
            <w:hideMark/>
          </w:tcPr>
          <w:p w14:paraId="53EBB68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-3 381,30</w:t>
            </w:r>
          </w:p>
        </w:tc>
      </w:tr>
      <w:tr w:rsidR="003656D0" w:rsidRPr="00792F36" w14:paraId="5837FB5E" w14:textId="77777777" w:rsidTr="003656D0">
        <w:trPr>
          <w:trHeight w:val="284"/>
        </w:trPr>
        <w:tc>
          <w:tcPr>
            <w:tcW w:w="0" w:type="auto"/>
            <w:shd w:val="clear" w:color="auto" w:fill="EEECE1" w:themeFill="background2"/>
            <w:hideMark/>
          </w:tcPr>
          <w:p w14:paraId="7B11E8D6"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SOŠ </w:t>
            </w:r>
            <w:proofErr w:type="spellStart"/>
            <w:r w:rsidRPr="003656D0">
              <w:rPr>
                <w:sz w:val="16"/>
                <w:szCs w:val="16"/>
              </w:rPr>
              <w:t>masmed</w:t>
            </w:r>
            <w:proofErr w:type="spellEnd"/>
            <w:r w:rsidRPr="003656D0">
              <w:rPr>
                <w:sz w:val="16"/>
                <w:szCs w:val="16"/>
              </w:rPr>
              <w:t>. a informačných štúdií,</w:t>
            </w:r>
          </w:p>
        </w:tc>
        <w:tc>
          <w:tcPr>
            <w:tcW w:w="0" w:type="auto"/>
            <w:shd w:val="clear" w:color="auto" w:fill="EEECE1" w:themeFill="background2"/>
            <w:hideMark/>
          </w:tcPr>
          <w:p w14:paraId="791E5F7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-1 133,00</w:t>
            </w:r>
          </w:p>
        </w:tc>
        <w:tc>
          <w:tcPr>
            <w:tcW w:w="0" w:type="auto"/>
            <w:shd w:val="clear" w:color="auto" w:fill="C4BD97"/>
            <w:hideMark/>
          </w:tcPr>
          <w:p w14:paraId="1D42211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-1 133,00</w:t>
            </w:r>
          </w:p>
        </w:tc>
        <w:tc>
          <w:tcPr>
            <w:tcW w:w="0" w:type="auto"/>
            <w:shd w:val="clear" w:color="auto" w:fill="EEECE1" w:themeFill="background2"/>
            <w:hideMark/>
          </w:tcPr>
          <w:p w14:paraId="0CFC51B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46D8861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7B9D16A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-1 133,00</w:t>
            </w:r>
          </w:p>
        </w:tc>
        <w:tc>
          <w:tcPr>
            <w:tcW w:w="0" w:type="auto"/>
            <w:shd w:val="clear" w:color="auto" w:fill="C4BD97"/>
            <w:hideMark/>
          </w:tcPr>
          <w:p w14:paraId="547B70B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-1 133,00</w:t>
            </w:r>
          </w:p>
        </w:tc>
        <w:tc>
          <w:tcPr>
            <w:tcW w:w="0" w:type="auto"/>
            <w:shd w:val="clear" w:color="auto" w:fill="D9D9D9"/>
            <w:hideMark/>
          </w:tcPr>
          <w:p w14:paraId="1E9F16B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-1 133,00</w:t>
            </w:r>
          </w:p>
        </w:tc>
      </w:tr>
      <w:tr w:rsidR="003656D0" w:rsidRPr="00792F36" w14:paraId="3339AE25" w14:textId="77777777" w:rsidTr="003656D0">
        <w:trPr>
          <w:trHeight w:val="284"/>
        </w:trPr>
        <w:tc>
          <w:tcPr>
            <w:tcW w:w="0" w:type="auto"/>
            <w:shd w:val="clear" w:color="auto" w:fill="EEECE1" w:themeFill="background2"/>
            <w:hideMark/>
          </w:tcPr>
          <w:p w14:paraId="76B33384"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SOŠ pedagogická, Bullova 2, BA</w:t>
            </w:r>
          </w:p>
        </w:tc>
        <w:tc>
          <w:tcPr>
            <w:tcW w:w="0" w:type="auto"/>
            <w:shd w:val="clear" w:color="auto" w:fill="EEECE1" w:themeFill="background2"/>
            <w:hideMark/>
          </w:tcPr>
          <w:p w14:paraId="53CC3E2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2 995,72</w:t>
            </w:r>
          </w:p>
        </w:tc>
        <w:tc>
          <w:tcPr>
            <w:tcW w:w="0" w:type="auto"/>
            <w:shd w:val="clear" w:color="auto" w:fill="C4BD97"/>
            <w:hideMark/>
          </w:tcPr>
          <w:p w14:paraId="5D79008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2 995,72</w:t>
            </w:r>
          </w:p>
        </w:tc>
        <w:tc>
          <w:tcPr>
            <w:tcW w:w="0" w:type="auto"/>
            <w:shd w:val="clear" w:color="auto" w:fill="EEECE1" w:themeFill="background2"/>
            <w:hideMark/>
          </w:tcPr>
          <w:p w14:paraId="0617561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484EE95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165B0D9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2 995,72</w:t>
            </w:r>
          </w:p>
        </w:tc>
        <w:tc>
          <w:tcPr>
            <w:tcW w:w="0" w:type="auto"/>
            <w:shd w:val="clear" w:color="auto" w:fill="C4BD97"/>
            <w:hideMark/>
          </w:tcPr>
          <w:p w14:paraId="3E25494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2 995,72</w:t>
            </w:r>
          </w:p>
        </w:tc>
        <w:tc>
          <w:tcPr>
            <w:tcW w:w="0" w:type="auto"/>
            <w:shd w:val="clear" w:color="auto" w:fill="D9D9D9"/>
            <w:hideMark/>
          </w:tcPr>
          <w:p w14:paraId="3778E01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1 898,38</w:t>
            </w:r>
          </w:p>
        </w:tc>
      </w:tr>
      <w:tr w:rsidR="003656D0" w:rsidRPr="00792F36" w14:paraId="481EB4D2" w14:textId="77777777" w:rsidTr="003656D0">
        <w:trPr>
          <w:trHeight w:val="284"/>
        </w:trPr>
        <w:tc>
          <w:tcPr>
            <w:tcW w:w="0" w:type="auto"/>
            <w:shd w:val="clear" w:color="auto" w:fill="EEECE1" w:themeFill="background2"/>
            <w:hideMark/>
          </w:tcPr>
          <w:p w14:paraId="46DA887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SOŠ pedagogická, Sokolská 6, Modra</w:t>
            </w:r>
          </w:p>
        </w:tc>
        <w:tc>
          <w:tcPr>
            <w:tcW w:w="0" w:type="auto"/>
            <w:shd w:val="clear" w:color="auto" w:fill="EEECE1" w:themeFill="background2"/>
            <w:hideMark/>
          </w:tcPr>
          <w:p w14:paraId="48B26B4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290,78</w:t>
            </w:r>
          </w:p>
        </w:tc>
        <w:tc>
          <w:tcPr>
            <w:tcW w:w="0" w:type="auto"/>
            <w:shd w:val="clear" w:color="auto" w:fill="C4BD97"/>
            <w:hideMark/>
          </w:tcPr>
          <w:p w14:paraId="7FCACDD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290,78</w:t>
            </w:r>
          </w:p>
        </w:tc>
        <w:tc>
          <w:tcPr>
            <w:tcW w:w="0" w:type="auto"/>
            <w:shd w:val="clear" w:color="auto" w:fill="EEECE1" w:themeFill="background2"/>
            <w:hideMark/>
          </w:tcPr>
          <w:p w14:paraId="2247E11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3A93E2F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5675DD0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290,78</w:t>
            </w:r>
          </w:p>
        </w:tc>
        <w:tc>
          <w:tcPr>
            <w:tcW w:w="0" w:type="auto"/>
            <w:shd w:val="clear" w:color="auto" w:fill="C4BD97"/>
            <w:hideMark/>
          </w:tcPr>
          <w:p w14:paraId="02ACB56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290,78</w:t>
            </w:r>
          </w:p>
        </w:tc>
        <w:tc>
          <w:tcPr>
            <w:tcW w:w="0" w:type="auto"/>
            <w:shd w:val="clear" w:color="auto" w:fill="D9D9D9"/>
            <w:hideMark/>
          </w:tcPr>
          <w:p w14:paraId="36B7E6D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-753,33</w:t>
            </w:r>
          </w:p>
        </w:tc>
      </w:tr>
      <w:tr w:rsidR="003656D0" w:rsidRPr="00792F36" w14:paraId="1206BE3C" w14:textId="77777777" w:rsidTr="003656D0">
        <w:trPr>
          <w:trHeight w:val="284"/>
        </w:trPr>
        <w:tc>
          <w:tcPr>
            <w:tcW w:w="0" w:type="auto"/>
            <w:shd w:val="clear" w:color="auto" w:fill="EEECE1" w:themeFill="background2"/>
            <w:hideMark/>
          </w:tcPr>
          <w:p w14:paraId="5D0BC56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SOŠ podnikania</w:t>
            </w:r>
          </w:p>
        </w:tc>
        <w:tc>
          <w:tcPr>
            <w:tcW w:w="0" w:type="auto"/>
            <w:shd w:val="clear" w:color="auto" w:fill="EEECE1" w:themeFill="background2"/>
            <w:hideMark/>
          </w:tcPr>
          <w:p w14:paraId="27A1474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-6 932,00</w:t>
            </w:r>
          </w:p>
        </w:tc>
        <w:tc>
          <w:tcPr>
            <w:tcW w:w="0" w:type="auto"/>
            <w:shd w:val="clear" w:color="auto" w:fill="C4BD97"/>
            <w:hideMark/>
          </w:tcPr>
          <w:p w14:paraId="71384B7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-6 932,00</w:t>
            </w:r>
          </w:p>
        </w:tc>
        <w:tc>
          <w:tcPr>
            <w:tcW w:w="0" w:type="auto"/>
            <w:shd w:val="clear" w:color="auto" w:fill="EEECE1" w:themeFill="background2"/>
            <w:hideMark/>
          </w:tcPr>
          <w:p w14:paraId="17B47B9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01F6E5E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77DF1E7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-6 932,00</w:t>
            </w:r>
          </w:p>
        </w:tc>
        <w:tc>
          <w:tcPr>
            <w:tcW w:w="0" w:type="auto"/>
            <w:shd w:val="clear" w:color="auto" w:fill="C4BD97"/>
            <w:hideMark/>
          </w:tcPr>
          <w:p w14:paraId="45A0C0F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-6 932,00</w:t>
            </w:r>
          </w:p>
        </w:tc>
        <w:tc>
          <w:tcPr>
            <w:tcW w:w="0" w:type="auto"/>
            <w:shd w:val="clear" w:color="auto" w:fill="D9D9D9"/>
            <w:hideMark/>
          </w:tcPr>
          <w:p w14:paraId="4318306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-2 615,00</w:t>
            </w:r>
          </w:p>
        </w:tc>
      </w:tr>
      <w:tr w:rsidR="003656D0" w:rsidRPr="00792F36" w14:paraId="59B8D5A0" w14:textId="77777777" w:rsidTr="003656D0">
        <w:trPr>
          <w:trHeight w:val="284"/>
        </w:trPr>
        <w:tc>
          <w:tcPr>
            <w:tcW w:w="0" w:type="auto"/>
            <w:shd w:val="clear" w:color="auto" w:fill="EEECE1" w:themeFill="background2"/>
            <w:hideMark/>
          </w:tcPr>
          <w:p w14:paraId="27BCC835"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SOŠ podnikania a služieb, Pezinok</w:t>
            </w:r>
          </w:p>
        </w:tc>
        <w:tc>
          <w:tcPr>
            <w:tcW w:w="0" w:type="auto"/>
            <w:shd w:val="clear" w:color="auto" w:fill="EEECE1" w:themeFill="background2"/>
            <w:hideMark/>
          </w:tcPr>
          <w:p w14:paraId="10596CE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10 092,96</w:t>
            </w:r>
          </w:p>
        </w:tc>
        <w:tc>
          <w:tcPr>
            <w:tcW w:w="0" w:type="auto"/>
            <w:shd w:val="clear" w:color="auto" w:fill="C4BD97"/>
            <w:hideMark/>
          </w:tcPr>
          <w:p w14:paraId="51B29C2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10 092,96</w:t>
            </w:r>
          </w:p>
        </w:tc>
        <w:tc>
          <w:tcPr>
            <w:tcW w:w="0" w:type="auto"/>
            <w:shd w:val="clear" w:color="auto" w:fill="EEECE1" w:themeFill="background2"/>
            <w:hideMark/>
          </w:tcPr>
          <w:p w14:paraId="4C1C4DC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453,88</w:t>
            </w:r>
          </w:p>
        </w:tc>
        <w:tc>
          <w:tcPr>
            <w:tcW w:w="0" w:type="auto"/>
            <w:shd w:val="clear" w:color="auto" w:fill="C4BD97"/>
            <w:hideMark/>
          </w:tcPr>
          <w:p w14:paraId="74E13A3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453,88</w:t>
            </w:r>
          </w:p>
        </w:tc>
        <w:tc>
          <w:tcPr>
            <w:tcW w:w="0" w:type="auto"/>
            <w:shd w:val="clear" w:color="auto" w:fill="EEECE1" w:themeFill="background2"/>
            <w:hideMark/>
          </w:tcPr>
          <w:p w14:paraId="7F8419A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10 546,84</w:t>
            </w:r>
          </w:p>
        </w:tc>
        <w:tc>
          <w:tcPr>
            <w:tcW w:w="0" w:type="auto"/>
            <w:shd w:val="clear" w:color="auto" w:fill="C4BD97"/>
            <w:hideMark/>
          </w:tcPr>
          <w:p w14:paraId="09D970F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10 546,84</w:t>
            </w:r>
          </w:p>
        </w:tc>
        <w:tc>
          <w:tcPr>
            <w:tcW w:w="0" w:type="auto"/>
            <w:shd w:val="clear" w:color="auto" w:fill="D9D9D9"/>
            <w:hideMark/>
          </w:tcPr>
          <w:p w14:paraId="75D078D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12 509,89</w:t>
            </w:r>
          </w:p>
        </w:tc>
      </w:tr>
      <w:tr w:rsidR="003656D0" w:rsidRPr="00792F36" w14:paraId="7DEF2840" w14:textId="77777777" w:rsidTr="003656D0">
        <w:trPr>
          <w:trHeight w:val="284"/>
        </w:trPr>
        <w:tc>
          <w:tcPr>
            <w:tcW w:w="0" w:type="auto"/>
            <w:shd w:val="clear" w:color="auto" w:fill="EEECE1" w:themeFill="background2"/>
            <w:hideMark/>
          </w:tcPr>
          <w:p w14:paraId="22E84F57"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SOŠ technická, Vranovská 4, BA</w:t>
            </w:r>
          </w:p>
        </w:tc>
        <w:tc>
          <w:tcPr>
            <w:tcW w:w="0" w:type="auto"/>
            <w:shd w:val="clear" w:color="auto" w:fill="EEECE1" w:themeFill="background2"/>
            <w:hideMark/>
          </w:tcPr>
          <w:p w14:paraId="45388BE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-7 743,40</w:t>
            </w:r>
          </w:p>
        </w:tc>
        <w:tc>
          <w:tcPr>
            <w:tcW w:w="0" w:type="auto"/>
            <w:shd w:val="clear" w:color="auto" w:fill="C4BD97"/>
            <w:hideMark/>
          </w:tcPr>
          <w:p w14:paraId="255B175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-7 743,40</w:t>
            </w:r>
          </w:p>
        </w:tc>
        <w:tc>
          <w:tcPr>
            <w:tcW w:w="0" w:type="auto"/>
            <w:shd w:val="clear" w:color="auto" w:fill="EEECE1" w:themeFill="background2"/>
            <w:hideMark/>
          </w:tcPr>
          <w:p w14:paraId="329A83C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174,98</w:t>
            </w:r>
          </w:p>
        </w:tc>
        <w:tc>
          <w:tcPr>
            <w:tcW w:w="0" w:type="auto"/>
            <w:shd w:val="clear" w:color="auto" w:fill="C4BD97"/>
            <w:hideMark/>
          </w:tcPr>
          <w:p w14:paraId="6CBF0F3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174,98</w:t>
            </w:r>
          </w:p>
        </w:tc>
        <w:tc>
          <w:tcPr>
            <w:tcW w:w="0" w:type="auto"/>
            <w:shd w:val="clear" w:color="auto" w:fill="EEECE1" w:themeFill="background2"/>
            <w:hideMark/>
          </w:tcPr>
          <w:p w14:paraId="78B860B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-7 568,42</w:t>
            </w:r>
          </w:p>
        </w:tc>
        <w:tc>
          <w:tcPr>
            <w:tcW w:w="0" w:type="auto"/>
            <w:shd w:val="clear" w:color="auto" w:fill="C4BD97"/>
            <w:hideMark/>
          </w:tcPr>
          <w:p w14:paraId="54641AE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-7 568,42</w:t>
            </w:r>
          </w:p>
        </w:tc>
        <w:tc>
          <w:tcPr>
            <w:tcW w:w="0" w:type="auto"/>
            <w:shd w:val="clear" w:color="auto" w:fill="D9D9D9"/>
            <w:hideMark/>
          </w:tcPr>
          <w:p w14:paraId="1F68436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-7 300,91</w:t>
            </w:r>
          </w:p>
        </w:tc>
      </w:tr>
      <w:tr w:rsidR="003656D0" w:rsidRPr="00792F36" w14:paraId="278624C6" w14:textId="77777777" w:rsidTr="003656D0">
        <w:trPr>
          <w:trHeight w:val="284"/>
        </w:trPr>
        <w:tc>
          <w:tcPr>
            <w:tcW w:w="0" w:type="auto"/>
            <w:shd w:val="clear" w:color="auto" w:fill="EEECE1" w:themeFill="background2"/>
            <w:hideMark/>
          </w:tcPr>
          <w:p w14:paraId="5AE80AEC"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SOŠ </w:t>
            </w:r>
            <w:proofErr w:type="spellStart"/>
            <w:r w:rsidRPr="003656D0">
              <w:rPr>
                <w:sz w:val="16"/>
                <w:szCs w:val="16"/>
              </w:rPr>
              <w:t>vinársko</w:t>
            </w:r>
            <w:proofErr w:type="spellEnd"/>
            <w:r w:rsidRPr="003656D0">
              <w:rPr>
                <w:sz w:val="16"/>
                <w:szCs w:val="16"/>
              </w:rPr>
              <w:t xml:space="preserve"> - ovocinárska Modra</w:t>
            </w:r>
          </w:p>
        </w:tc>
        <w:tc>
          <w:tcPr>
            <w:tcW w:w="0" w:type="auto"/>
            <w:shd w:val="clear" w:color="auto" w:fill="EEECE1" w:themeFill="background2"/>
            <w:hideMark/>
          </w:tcPr>
          <w:p w14:paraId="12F7DA5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-1 397,87</w:t>
            </w:r>
          </w:p>
        </w:tc>
        <w:tc>
          <w:tcPr>
            <w:tcW w:w="0" w:type="auto"/>
            <w:shd w:val="clear" w:color="auto" w:fill="C4BD97"/>
            <w:hideMark/>
          </w:tcPr>
          <w:p w14:paraId="497F6CC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-1 397,87</w:t>
            </w:r>
          </w:p>
        </w:tc>
        <w:tc>
          <w:tcPr>
            <w:tcW w:w="0" w:type="auto"/>
            <w:shd w:val="clear" w:color="auto" w:fill="EEECE1" w:themeFill="background2"/>
            <w:hideMark/>
          </w:tcPr>
          <w:p w14:paraId="387D0B3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7 534,56</w:t>
            </w:r>
          </w:p>
        </w:tc>
        <w:tc>
          <w:tcPr>
            <w:tcW w:w="0" w:type="auto"/>
            <w:shd w:val="clear" w:color="auto" w:fill="C4BD97"/>
            <w:hideMark/>
          </w:tcPr>
          <w:p w14:paraId="3023758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5 952,30</w:t>
            </w:r>
          </w:p>
        </w:tc>
        <w:tc>
          <w:tcPr>
            <w:tcW w:w="0" w:type="auto"/>
            <w:shd w:val="clear" w:color="auto" w:fill="EEECE1" w:themeFill="background2"/>
            <w:hideMark/>
          </w:tcPr>
          <w:p w14:paraId="5B5F7E6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6 136,69</w:t>
            </w:r>
          </w:p>
        </w:tc>
        <w:tc>
          <w:tcPr>
            <w:tcW w:w="0" w:type="auto"/>
            <w:shd w:val="clear" w:color="auto" w:fill="C4BD97"/>
            <w:hideMark/>
          </w:tcPr>
          <w:p w14:paraId="7980F32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4 554,43</w:t>
            </w:r>
          </w:p>
        </w:tc>
        <w:tc>
          <w:tcPr>
            <w:tcW w:w="0" w:type="auto"/>
            <w:shd w:val="clear" w:color="auto" w:fill="D9D9D9"/>
            <w:hideMark/>
          </w:tcPr>
          <w:p w14:paraId="62FD392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-5 155,78</w:t>
            </w:r>
          </w:p>
        </w:tc>
      </w:tr>
      <w:tr w:rsidR="003656D0" w:rsidRPr="00792F36" w14:paraId="157FBC64" w14:textId="77777777" w:rsidTr="003656D0">
        <w:trPr>
          <w:trHeight w:val="284"/>
        </w:trPr>
        <w:tc>
          <w:tcPr>
            <w:tcW w:w="0" w:type="auto"/>
            <w:shd w:val="clear" w:color="auto" w:fill="EEECE1" w:themeFill="background2"/>
            <w:hideMark/>
          </w:tcPr>
          <w:p w14:paraId="603D7BB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Spojená škola s vyuč. Jazykom maďarským</w:t>
            </w:r>
          </w:p>
        </w:tc>
        <w:tc>
          <w:tcPr>
            <w:tcW w:w="0" w:type="auto"/>
            <w:shd w:val="clear" w:color="auto" w:fill="EEECE1" w:themeFill="background2"/>
            <w:hideMark/>
          </w:tcPr>
          <w:p w14:paraId="31C0401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1 847,00</w:t>
            </w:r>
          </w:p>
        </w:tc>
        <w:tc>
          <w:tcPr>
            <w:tcW w:w="0" w:type="auto"/>
            <w:shd w:val="clear" w:color="auto" w:fill="C4BD97"/>
            <w:hideMark/>
          </w:tcPr>
          <w:p w14:paraId="3767DB6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1 847,00</w:t>
            </w:r>
          </w:p>
        </w:tc>
        <w:tc>
          <w:tcPr>
            <w:tcW w:w="0" w:type="auto"/>
            <w:shd w:val="clear" w:color="auto" w:fill="EEECE1" w:themeFill="background2"/>
            <w:hideMark/>
          </w:tcPr>
          <w:p w14:paraId="2658832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2CABC09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54072EE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1 847,00</w:t>
            </w:r>
          </w:p>
        </w:tc>
        <w:tc>
          <w:tcPr>
            <w:tcW w:w="0" w:type="auto"/>
            <w:shd w:val="clear" w:color="auto" w:fill="C4BD97"/>
            <w:hideMark/>
          </w:tcPr>
          <w:p w14:paraId="329F1E8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1 847,00</w:t>
            </w:r>
          </w:p>
        </w:tc>
        <w:tc>
          <w:tcPr>
            <w:tcW w:w="0" w:type="auto"/>
            <w:shd w:val="clear" w:color="auto" w:fill="D9D9D9"/>
            <w:hideMark/>
          </w:tcPr>
          <w:p w14:paraId="1D63B76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3 389,49</w:t>
            </w:r>
          </w:p>
        </w:tc>
      </w:tr>
      <w:tr w:rsidR="003656D0" w:rsidRPr="00792F36" w14:paraId="27377B23" w14:textId="77777777" w:rsidTr="003656D0">
        <w:trPr>
          <w:trHeight w:val="284"/>
        </w:trPr>
        <w:tc>
          <w:tcPr>
            <w:tcW w:w="0" w:type="auto"/>
            <w:shd w:val="clear" w:color="auto" w:fill="EEECE1" w:themeFill="background2"/>
            <w:hideMark/>
          </w:tcPr>
          <w:p w14:paraId="606B173A"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Spojená škola, </w:t>
            </w:r>
            <w:proofErr w:type="spellStart"/>
            <w:r w:rsidRPr="003656D0">
              <w:rPr>
                <w:sz w:val="16"/>
                <w:szCs w:val="16"/>
              </w:rPr>
              <w:t>Ivánka</w:t>
            </w:r>
            <w:proofErr w:type="spellEnd"/>
            <w:r w:rsidRPr="003656D0">
              <w:rPr>
                <w:sz w:val="16"/>
                <w:szCs w:val="16"/>
              </w:rPr>
              <w:t xml:space="preserve"> pri Dunaji</w:t>
            </w:r>
          </w:p>
        </w:tc>
        <w:tc>
          <w:tcPr>
            <w:tcW w:w="0" w:type="auto"/>
            <w:shd w:val="clear" w:color="auto" w:fill="EEECE1" w:themeFill="background2"/>
            <w:hideMark/>
          </w:tcPr>
          <w:p w14:paraId="0766F02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9 631,08</w:t>
            </w:r>
          </w:p>
        </w:tc>
        <w:tc>
          <w:tcPr>
            <w:tcW w:w="0" w:type="auto"/>
            <w:shd w:val="clear" w:color="auto" w:fill="C4BD97"/>
            <w:hideMark/>
          </w:tcPr>
          <w:p w14:paraId="1318BB9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9 631,08</w:t>
            </w:r>
          </w:p>
        </w:tc>
        <w:tc>
          <w:tcPr>
            <w:tcW w:w="0" w:type="auto"/>
            <w:shd w:val="clear" w:color="auto" w:fill="EEECE1" w:themeFill="background2"/>
            <w:hideMark/>
          </w:tcPr>
          <w:p w14:paraId="36E1C0D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-13 776,47</w:t>
            </w:r>
          </w:p>
        </w:tc>
        <w:tc>
          <w:tcPr>
            <w:tcW w:w="0" w:type="auto"/>
            <w:shd w:val="clear" w:color="auto" w:fill="C4BD97"/>
            <w:hideMark/>
          </w:tcPr>
          <w:p w14:paraId="0DAFACE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-13 776,47</w:t>
            </w:r>
          </w:p>
        </w:tc>
        <w:tc>
          <w:tcPr>
            <w:tcW w:w="0" w:type="auto"/>
            <w:shd w:val="clear" w:color="auto" w:fill="EEECE1" w:themeFill="background2"/>
            <w:hideMark/>
          </w:tcPr>
          <w:p w14:paraId="278A027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-4 145,39</w:t>
            </w:r>
          </w:p>
        </w:tc>
        <w:tc>
          <w:tcPr>
            <w:tcW w:w="0" w:type="auto"/>
            <w:shd w:val="clear" w:color="auto" w:fill="C4BD97"/>
            <w:hideMark/>
          </w:tcPr>
          <w:p w14:paraId="748DB7E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-4 145,39</w:t>
            </w:r>
          </w:p>
        </w:tc>
        <w:tc>
          <w:tcPr>
            <w:tcW w:w="0" w:type="auto"/>
            <w:shd w:val="clear" w:color="auto" w:fill="D9D9D9"/>
            <w:hideMark/>
          </w:tcPr>
          <w:p w14:paraId="7BD4A12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-36 406,52</w:t>
            </w:r>
          </w:p>
        </w:tc>
      </w:tr>
      <w:tr w:rsidR="003656D0" w:rsidRPr="00792F36" w14:paraId="393FE178" w14:textId="77777777" w:rsidTr="003656D0">
        <w:trPr>
          <w:trHeight w:val="284"/>
        </w:trPr>
        <w:tc>
          <w:tcPr>
            <w:tcW w:w="0" w:type="auto"/>
            <w:shd w:val="clear" w:color="auto" w:fill="EEECE1" w:themeFill="background2"/>
            <w:hideMark/>
          </w:tcPr>
          <w:p w14:paraId="167BAE15"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Spojená škola, Malinovo</w:t>
            </w:r>
          </w:p>
        </w:tc>
        <w:tc>
          <w:tcPr>
            <w:tcW w:w="0" w:type="auto"/>
            <w:shd w:val="clear" w:color="auto" w:fill="EEECE1" w:themeFill="background2"/>
            <w:hideMark/>
          </w:tcPr>
          <w:p w14:paraId="21D2103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-86 626,12</w:t>
            </w:r>
          </w:p>
        </w:tc>
        <w:tc>
          <w:tcPr>
            <w:tcW w:w="0" w:type="auto"/>
            <w:shd w:val="clear" w:color="auto" w:fill="C4BD97"/>
            <w:hideMark/>
          </w:tcPr>
          <w:p w14:paraId="12C56E8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-86 626,12</w:t>
            </w:r>
          </w:p>
        </w:tc>
        <w:tc>
          <w:tcPr>
            <w:tcW w:w="0" w:type="auto"/>
            <w:shd w:val="clear" w:color="auto" w:fill="EEECE1" w:themeFill="background2"/>
            <w:hideMark/>
          </w:tcPr>
          <w:p w14:paraId="3B2E8C6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03CE522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1D331F4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-86 626,12</w:t>
            </w:r>
          </w:p>
        </w:tc>
        <w:tc>
          <w:tcPr>
            <w:tcW w:w="0" w:type="auto"/>
            <w:shd w:val="clear" w:color="auto" w:fill="C4BD97"/>
            <w:hideMark/>
          </w:tcPr>
          <w:p w14:paraId="4D43B09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-86 626,12</w:t>
            </w:r>
          </w:p>
        </w:tc>
        <w:tc>
          <w:tcPr>
            <w:tcW w:w="0" w:type="auto"/>
            <w:shd w:val="clear" w:color="auto" w:fill="D9D9D9"/>
            <w:hideMark/>
          </w:tcPr>
          <w:p w14:paraId="38DAB43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-2 658,06</w:t>
            </w:r>
          </w:p>
        </w:tc>
      </w:tr>
      <w:tr w:rsidR="003656D0" w:rsidRPr="00792F36" w14:paraId="43D93D06" w14:textId="77777777" w:rsidTr="003656D0">
        <w:trPr>
          <w:trHeight w:val="284"/>
        </w:trPr>
        <w:tc>
          <w:tcPr>
            <w:tcW w:w="0" w:type="auto"/>
            <w:shd w:val="clear" w:color="auto" w:fill="EEECE1" w:themeFill="background2"/>
            <w:hideMark/>
          </w:tcPr>
          <w:p w14:paraId="62B9835F"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Spojená škola, </w:t>
            </w:r>
            <w:proofErr w:type="spellStart"/>
            <w:r w:rsidRPr="003656D0">
              <w:rPr>
                <w:sz w:val="16"/>
                <w:szCs w:val="16"/>
              </w:rPr>
              <w:t>Ostredková</w:t>
            </w:r>
            <w:proofErr w:type="spellEnd"/>
          </w:p>
        </w:tc>
        <w:tc>
          <w:tcPr>
            <w:tcW w:w="0" w:type="auto"/>
            <w:shd w:val="clear" w:color="auto" w:fill="EEECE1" w:themeFill="background2"/>
            <w:hideMark/>
          </w:tcPr>
          <w:p w14:paraId="01F1B7F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1 065,49</w:t>
            </w:r>
          </w:p>
        </w:tc>
        <w:tc>
          <w:tcPr>
            <w:tcW w:w="0" w:type="auto"/>
            <w:shd w:val="clear" w:color="auto" w:fill="C4BD97"/>
            <w:hideMark/>
          </w:tcPr>
          <w:p w14:paraId="312C550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1 065,49</w:t>
            </w:r>
          </w:p>
        </w:tc>
        <w:tc>
          <w:tcPr>
            <w:tcW w:w="0" w:type="auto"/>
            <w:shd w:val="clear" w:color="auto" w:fill="EEECE1" w:themeFill="background2"/>
            <w:hideMark/>
          </w:tcPr>
          <w:p w14:paraId="0CC5D70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1CD6822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6C4BF9D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1 065,49</w:t>
            </w:r>
          </w:p>
        </w:tc>
        <w:tc>
          <w:tcPr>
            <w:tcW w:w="0" w:type="auto"/>
            <w:shd w:val="clear" w:color="auto" w:fill="C4BD97"/>
            <w:hideMark/>
          </w:tcPr>
          <w:p w14:paraId="39BDA27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1 065,49</w:t>
            </w:r>
          </w:p>
        </w:tc>
        <w:tc>
          <w:tcPr>
            <w:tcW w:w="0" w:type="auto"/>
            <w:shd w:val="clear" w:color="auto" w:fill="D9D9D9"/>
            <w:hideMark/>
          </w:tcPr>
          <w:p w14:paraId="3B0EDA4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r>
      <w:tr w:rsidR="003656D0" w:rsidRPr="00792F36" w14:paraId="7512E0A1" w14:textId="77777777" w:rsidTr="003656D0">
        <w:trPr>
          <w:trHeight w:val="284"/>
        </w:trPr>
        <w:tc>
          <w:tcPr>
            <w:tcW w:w="0" w:type="auto"/>
            <w:shd w:val="clear" w:color="auto" w:fill="EEECE1" w:themeFill="background2"/>
            <w:hideMark/>
          </w:tcPr>
          <w:p w14:paraId="0006D77D"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Spojená škola, Pankúchova</w:t>
            </w:r>
          </w:p>
        </w:tc>
        <w:tc>
          <w:tcPr>
            <w:tcW w:w="0" w:type="auto"/>
            <w:shd w:val="clear" w:color="auto" w:fill="EEECE1" w:themeFill="background2"/>
            <w:hideMark/>
          </w:tcPr>
          <w:p w14:paraId="218594C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-20 174,31</w:t>
            </w:r>
          </w:p>
        </w:tc>
        <w:tc>
          <w:tcPr>
            <w:tcW w:w="0" w:type="auto"/>
            <w:shd w:val="clear" w:color="auto" w:fill="C4BD97"/>
            <w:hideMark/>
          </w:tcPr>
          <w:p w14:paraId="1CA8686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-20 174,31</w:t>
            </w:r>
          </w:p>
        </w:tc>
        <w:tc>
          <w:tcPr>
            <w:tcW w:w="0" w:type="auto"/>
            <w:shd w:val="clear" w:color="auto" w:fill="EEECE1" w:themeFill="background2"/>
            <w:hideMark/>
          </w:tcPr>
          <w:p w14:paraId="03B96EE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7BDFDAE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55DD7AA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-20 174,31</w:t>
            </w:r>
          </w:p>
        </w:tc>
        <w:tc>
          <w:tcPr>
            <w:tcW w:w="0" w:type="auto"/>
            <w:shd w:val="clear" w:color="auto" w:fill="C4BD97"/>
            <w:hideMark/>
          </w:tcPr>
          <w:p w14:paraId="2CB63AA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-20 174,31</w:t>
            </w:r>
          </w:p>
        </w:tc>
        <w:tc>
          <w:tcPr>
            <w:tcW w:w="0" w:type="auto"/>
            <w:shd w:val="clear" w:color="auto" w:fill="D9D9D9"/>
            <w:hideMark/>
          </w:tcPr>
          <w:p w14:paraId="65F4A2B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r>
      <w:tr w:rsidR="003656D0" w:rsidRPr="00792F36" w14:paraId="4A59E3C0" w14:textId="77777777" w:rsidTr="003656D0">
        <w:trPr>
          <w:trHeight w:val="284"/>
        </w:trPr>
        <w:tc>
          <w:tcPr>
            <w:tcW w:w="0" w:type="auto"/>
            <w:shd w:val="clear" w:color="auto" w:fill="EEECE1" w:themeFill="background2"/>
            <w:hideMark/>
          </w:tcPr>
          <w:p w14:paraId="70406963"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SPŠ dopravná, </w:t>
            </w:r>
            <w:proofErr w:type="spellStart"/>
            <w:r w:rsidRPr="003656D0">
              <w:rPr>
                <w:sz w:val="16"/>
                <w:szCs w:val="16"/>
              </w:rPr>
              <w:t>Kvačalova</w:t>
            </w:r>
            <w:proofErr w:type="spellEnd"/>
            <w:r w:rsidRPr="003656D0">
              <w:rPr>
                <w:sz w:val="16"/>
                <w:szCs w:val="16"/>
              </w:rPr>
              <w:t xml:space="preserve"> BA</w:t>
            </w:r>
          </w:p>
        </w:tc>
        <w:tc>
          <w:tcPr>
            <w:tcW w:w="0" w:type="auto"/>
            <w:shd w:val="clear" w:color="auto" w:fill="EEECE1" w:themeFill="background2"/>
            <w:hideMark/>
          </w:tcPr>
          <w:p w14:paraId="7217E03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6 394,29</w:t>
            </w:r>
          </w:p>
        </w:tc>
        <w:tc>
          <w:tcPr>
            <w:tcW w:w="0" w:type="auto"/>
            <w:shd w:val="clear" w:color="auto" w:fill="C4BD97"/>
            <w:hideMark/>
          </w:tcPr>
          <w:p w14:paraId="1900A0E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6 394,29</w:t>
            </w:r>
          </w:p>
        </w:tc>
        <w:tc>
          <w:tcPr>
            <w:tcW w:w="0" w:type="auto"/>
            <w:shd w:val="clear" w:color="auto" w:fill="EEECE1" w:themeFill="background2"/>
            <w:hideMark/>
          </w:tcPr>
          <w:p w14:paraId="482A77F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5 800,49</w:t>
            </w:r>
          </w:p>
        </w:tc>
        <w:tc>
          <w:tcPr>
            <w:tcW w:w="0" w:type="auto"/>
            <w:shd w:val="clear" w:color="auto" w:fill="C4BD97"/>
            <w:hideMark/>
          </w:tcPr>
          <w:p w14:paraId="20483C3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5 691,36</w:t>
            </w:r>
          </w:p>
        </w:tc>
        <w:tc>
          <w:tcPr>
            <w:tcW w:w="0" w:type="auto"/>
            <w:shd w:val="clear" w:color="auto" w:fill="EEECE1" w:themeFill="background2"/>
            <w:hideMark/>
          </w:tcPr>
          <w:p w14:paraId="0E3A871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12 194,78</w:t>
            </w:r>
          </w:p>
        </w:tc>
        <w:tc>
          <w:tcPr>
            <w:tcW w:w="0" w:type="auto"/>
            <w:shd w:val="clear" w:color="auto" w:fill="C4BD97"/>
            <w:hideMark/>
          </w:tcPr>
          <w:p w14:paraId="765C211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12 085,65</w:t>
            </w:r>
          </w:p>
        </w:tc>
        <w:tc>
          <w:tcPr>
            <w:tcW w:w="0" w:type="auto"/>
            <w:shd w:val="clear" w:color="auto" w:fill="D9D9D9"/>
            <w:hideMark/>
          </w:tcPr>
          <w:p w14:paraId="476D621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-56 059,80</w:t>
            </w:r>
          </w:p>
        </w:tc>
      </w:tr>
      <w:tr w:rsidR="003656D0" w:rsidRPr="00792F36" w14:paraId="6C661408" w14:textId="77777777" w:rsidTr="003656D0">
        <w:trPr>
          <w:trHeight w:val="284"/>
        </w:trPr>
        <w:tc>
          <w:tcPr>
            <w:tcW w:w="0" w:type="auto"/>
            <w:shd w:val="clear" w:color="auto" w:fill="EEECE1" w:themeFill="background2"/>
            <w:hideMark/>
          </w:tcPr>
          <w:p w14:paraId="75832832"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SPŠ elektrotechnická, </w:t>
            </w:r>
            <w:proofErr w:type="spellStart"/>
            <w:r w:rsidRPr="003656D0">
              <w:rPr>
                <w:sz w:val="16"/>
                <w:szCs w:val="16"/>
              </w:rPr>
              <w:t>Hálova</w:t>
            </w:r>
            <w:proofErr w:type="spellEnd"/>
            <w:r w:rsidRPr="003656D0">
              <w:rPr>
                <w:sz w:val="16"/>
                <w:szCs w:val="16"/>
              </w:rPr>
              <w:t xml:space="preserve"> 16</w:t>
            </w:r>
          </w:p>
        </w:tc>
        <w:tc>
          <w:tcPr>
            <w:tcW w:w="0" w:type="auto"/>
            <w:shd w:val="clear" w:color="auto" w:fill="EEECE1" w:themeFill="background2"/>
            <w:hideMark/>
          </w:tcPr>
          <w:p w14:paraId="43A9F22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-653,32</w:t>
            </w:r>
          </w:p>
        </w:tc>
        <w:tc>
          <w:tcPr>
            <w:tcW w:w="0" w:type="auto"/>
            <w:shd w:val="clear" w:color="auto" w:fill="C4BD97"/>
            <w:hideMark/>
          </w:tcPr>
          <w:p w14:paraId="69BAF8D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-653,32</w:t>
            </w:r>
          </w:p>
        </w:tc>
        <w:tc>
          <w:tcPr>
            <w:tcW w:w="0" w:type="auto"/>
            <w:shd w:val="clear" w:color="auto" w:fill="EEECE1" w:themeFill="background2"/>
            <w:hideMark/>
          </w:tcPr>
          <w:p w14:paraId="44E8241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18BC9E9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171C7E0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-653,32</w:t>
            </w:r>
          </w:p>
        </w:tc>
        <w:tc>
          <w:tcPr>
            <w:tcW w:w="0" w:type="auto"/>
            <w:shd w:val="clear" w:color="auto" w:fill="C4BD97"/>
            <w:hideMark/>
          </w:tcPr>
          <w:p w14:paraId="3B1B28A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-653,32</w:t>
            </w:r>
          </w:p>
        </w:tc>
        <w:tc>
          <w:tcPr>
            <w:tcW w:w="0" w:type="auto"/>
            <w:shd w:val="clear" w:color="auto" w:fill="D9D9D9"/>
            <w:hideMark/>
          </w:tcPr>
          <w:p w14:paraId="1BF3A0A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-25 255,86</w:t>
            </w:r>
          </w:p>
        </w:tc>
      </w:tr>
      <w:tr w:rsidR="003656D0" w:rsidRPr="00792F36" w14:paraId="3303D76B" w14:textId="77777777" w:rsidTr="003656D0">
        <w:trPr>
          <w:trHeight w:val="284"/>
        </w:trPr>
        <w:tc>
          <w:tcPr>
            <w:tcW w:w="0" w:type="auto"/>
            <w:shd w:val="clear" w:color="auto" w:fill="EEECE1" w:themeFill="background2"/>
            <w:hideMark/>
          </w:tcPr>
          <w:p w14:paraId="231B650E"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SPŠ elektrotechnická, </w:t>
            </w:r>
            <w:proofErr w:type="spellStart"/>
            <w:r w:rsidRPr="003656D0">
              <w:rPr>
                <w:sz w:val="16"/>
                <w:szCs w:val="16"/>
              </w:rPr>
              <w:t>K.Adlera</w:t>
            </w:r>
            <w:proofErr w:type="spellEnd"/>
            <w:r w:rsidRPr="003656D0">
              <w:rPr>
                <w:sz w:val="16"/>
                <w:szCs w:val="16"/>
              </w:rPr>
              <w:t xml:space="preserve"> 5 BA</w:t>
            </w:r>
          </w:p>
        </w:tc>
        <w:tc>
          <w:tcPr>
            <w:tcW w:w="0" w:type="auto"/>
            <w:shd w:val="clear" w:color="auto" w:fill="EEECE1" w:themeFill="background2"/>
            <w:hideMark/>
          </w:tcPr>
          <w:p w14:paraId="6D007E2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13 657,18</w:t>
            </w:r>
          </w:p>
        </w:tc>
        <w:tc>
          <w:tcPr>
            <w:tcW w:w="0" w:type="auto"/>
            <w:shd w:val="clear" w:color="auto" w:fill="C4BD97"/>
            <w:hideMark/>
          </w:tcPr>
          <w:p w14:paraId="46F4CDF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13 657,18</w:t>
            </w:r>
          </w:p>
        </w:tc>
        <w:tc>
          <w:tcPr>
            <w:tcW w:w="0" w:type="auto"/>
            <w:shd w:val="clear" w:color="auto" w:fill="EEECE1" w:themeFill="background2"/>
            <w:hideMark/>
          </w:tcPr>
          <w:p w14:paraId="388DC23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316070C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5BD34FF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13 657,18</w:t>
            </w:r>
          </w:p>
        </w:tc>
        <w:tc>
          <w:tcPr>
            <w:tcW w:w="0" w:type="auto"/>
            <w:shd w:val="clear" w:color="auto" w:fill="C4BD97"/>
            <w:hideMark/>
          </w:tcPr>
          <w:p w14:paraId="54B0AAF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13 657,18</w:t>
            </w:r>
          </w:p>
        </w:tc>
        <w:tc>
          <w:tcPr>
            <w:tcW w:w="0" w:type="auto"/>
            <w:shd w:val="clear" w:color="auto" w:fill="D9D9D9"/>
            <w:hideMark/>
          </w:tcPr>
          <w:p w14:paraId="189BFB4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30 195,08</w:t>
            </w:r>
          </w:p>
        </w:tc>
      </w:tr>
      <w:tr w:rsidR="003656D0" w:rsidRPr="00792F36" w14:paraId="446571D8" w14:textId="77777777" w:rsidTr="003656D0">
        <w:trPr>
          <w:trHeight w:val="284"/>
        </w:trPr>
        <w:tc>
          <w:tcPr>
            <w:tcW w:w="0" w:type="auto"/>
            <w:shd w:val="clear" w:color="auto" w:fill="EEECE1" w:themeFill="background2"/>
            <w:hideMark/>
          </w:tcPr>
          <w:p w14:paraId="356BEAAE"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SPŠ elektrotechnická, Zochova BA</w:t>
            </w:r>
          </w:p>
        </w:tc>
        <w:tc>
          <w:tcPr>
            <w:tcW w:w="0" w:type="auto"/>
            <w:shd w:val="clear" w:color="auto" w:fill="EEECE1" w:themeFill="background2"/>
            <w:hideMark/>
          </w:tcPr>
          <w:p w14:paraId="0816E1A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-4 473,68</w:t>
            </w:r>
          </w:p>
        </w:tc>
        <w:tc>
          <w:tcPr>
            <w:tcW w:w="0" w:type="auto"/>
            <w:shd w:val="clear" w:color="auto" w:fill="C4BD97"/>
            <w:hideMark/>
          </w:tcPr>
          <w:p w14:paraId="70DB0E8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-4 473,68</w:t>
            </w:r>
          </w:p>
        </w:tc>
        <w:tc>
          <w:tcPr>
            <w:tcW w:w="0" w:type="auto"/>
            <w:shd w:val="clear" w:color="auto" w:fill="EEECE1" w:themeFill="background2"/>
            <w:hideMark/>
          </w:tcPr>
          <w:p w14:paraId="1EC9CCA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3EBCFAB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72EADC0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-4 473,68</w:t>
            </w:r>
          </w:p>
        </w:tc>
        <w:tc>
          <w:tcPr>
            <w:tcW w:w="0" w:type="auto"/>
            <w:shd w:val="clear" w:color="auto" w:fill="C4BD97"/>
            <w:hideMark/>
          </w:tcPr>
          <w:p w14:paraId="3706DB9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-4 473,68</w:t>
            </w:r>
          </w:p>
        </w:tc>
        <w:tc>
          <w:tcPr>
            <w:tcW w:w="0" w:type="auto"/>
            <w:shd w:val="clear" w:color="auto" w:fill="D9D9D9"/>
            <w:hideMark/>
          </w:tcPr>
          <w:p w14:paraId="1D22355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-2 893,25</w:t>
            </w:r>
          </w:p>
        </w:tc>
      </w:tr>
      <w:tr w:rsidR="003656D0" w:rsidRPr="00792F36" w14:paraId="6E1923CA" w14:textId="77777777" w:rsidTr="003656D0">
        <w:trPr>
          <w:trHeight w:val="284"/>
        </w:trPr>
        <w:tc>
          <w:tcPr>
            <w:tcW w:w="0" w:type="auto"/>
            <w:shd w:val="clear" w:color="auto" w:fill="EEECE1" w:themeFill="background2"/>
            <w:hideMark/>
          </w:tcPr>
          <w:p w14:paraId="02CD557F"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lastRenderedPageBreak/>
              <w:t>SPŠ stav. a geodetická, Drieňová BA</w:t>
            </w:r>
          </w:p>
        </w:tc>
        <w:tc>
          <w:tcPr>
            <w:tcW w:w="0" w:type="auto"/>
            <w:shd w:val="clear" w:color="auto" w:fill="EEECE1" w:themeFill="background2"/>
            <w:hideMark/>
          </w:tcPr>
          <w:p w14:paraId="1A559D7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34 680,44</w:t>
            </w:r>
          </w:p>
        </w:tc>
        <w:tc>
          <w:tcPr>
            <w:tcW w:w="0" w:type="auto"/>
            <w:shd w:val="clear" w:color="auto" w:fill="C4BD97"/>
            <w:hideMark/>
          </w:tcPr>
          <w:p w14:paraId="6185A34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34 680,44</w:t>
            </w:r>
          </w:p>
        </w:tc>
        <w:tc>
          <w:tcPr>
            <w:tcW w:w="0" w:type="auto"/>
            <w:shd w:val="clear" w:color="auto" w:fill="EEECE1" w:themeFill="background2"/>
            <w:hideMark/>
          </w:tcPr>
          <w:p w14:paraId="5ED610F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5554DD3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33B6935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34 680,44</w:t>
            </w:r>
          </w:p>
        </w:tc>
        <w:tc>
          <w:tcPr>
            <w:tcW w:w="0" w:type="auto"/>
            <w:shd w:val="clear" w:color="auto" w:fill="C4BD97"/>
            <w:hideMark/>
          </w:tcPr>
          <w:p w14:paraId="7E404C9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34 680,44</w:t>
            </w:r>
          </w:p>
        </w:tc>
        <w:tc>
          <w:tcPr>
            <w:tcW w:w="0" w:type="auto"/>
            <w:shd w:val="clear" w:color="auto" w:fill="D9D9D9"/>
            <w:hideMark/>
          </w:tcPr>
          <w:p w14:paraId="03C66B9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-4 697,75</w:t>
            </w:r>
          </w:p>
        </w:tc>
      </w:tr>
      <w:tr w:rsidR="003656D0" w:rsidRPr="00792F36" w14:paraId="10D34F59" w14:textId="77777777" w:rsidTr="003656D0">
        <w:trPr>
          <w:trHeight w:val="284"/>
        </w:trPr>
        <w:tc>
          <w:tcPr>
            <w:tcW w:w="0" w:type="auto"/>
            <w:shd w:val="clear" w:color="auto" w:fill="EEECE1" w:themeFill="background2"/>
            <w:hideMark/>
          </w:tcPr>
          <w:p w14:paraId="557EEA3A"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SPŠ strojnícka, </w:t>
            </w:r>
            <w:proofErr w:type="spellStart"/>
            <w:r w:rsidRPr="003656D0">
              <w:rPr>
                <w:sz w:val="16"/>
                <w:szCs w:val="16"/>
              </w:rPr>
              <w:t>Fajnorovo</w:t>
            </w:r>
            <w:proofErr w:type="spellEnd"/>
            <w:r w:rsidRPr="003656D0">
              <w:rPr>
                <w:sz w:val="16"/>
                <w:szCs w:val="16"/>
              </w:rPr>
              <w:t xml:space="preserve"> </w:t>
            </w:r>
            <w:proofErr w:type="spellStart"/>
            <w:r w:rsidRPr="003656D0">
              <w:rPr>
                <w:sz w:val="16"/>
                <w:szCs w:val="16"/>
              </w:rPr>
              <w:t>nábr</w:t>
            </w:r>
            <w:proofErr w:type="spellEnd"/>
            <w:r w:rsidRPr="003656D0">
              <w:rPr>
                <w:sz w:val="16"/>
                <w:szCs w:val="16"/>
              </w:rPr>
              <w:t>. BA</w:t>
            </w:r>
          </w:p>
        </w:tc>
        <w:tc>
          <w:tcPr>
            <w:tcW w:w="0" w:type="auto"/>
            <w:shd w:val="clear" w:color="auto" w:fill="EEECE1" w:themeFill="background2"/>
            <w:hideMark/>
          </w:tcPr>
          <w:p w14:paraId="00EC9801"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19 078,83</w:t>
            </w:r>
          </w:p>
        </w:tc>
        <w:tc>
          <w:tcPr>
            <w:tcW w:w="0" w:type="auto"/>
            <w:shd w:val="clear" w:color="auto" w:fill="C4BD97"/>
            <w:hideMark/>
          </w:tcPr>
          <w:p w14:paraId="0F90052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19 078,83</w:t>
            </w:r>
          </w:p>
        </w:tc>
        <w:tc>
          <w:tcPr>
            <w:tcW w:w="0" w:type="auto"/>
            <w:shd w:val="clear" w:color="auto" w:fill="EEECE1" w:themeFill="background2"/>
            <w:hideMark/>
          </w:tcPr>
          <w:p w14:paraId="23236CA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210B6DA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4E7AD6A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19 078,83</w:t>
            </w:r>
          </w:p>
        </w:tc>
        <w:tc>
          <w:tcPr>
            <w:tcW w:w="0" w:type="auto"/>
            <w:shd w:val="clear" w:color="auto" w:fill="C4BD97"/>
            <w:hideMark/>
          </w:tcPr>
          <w:p w14:paraId="598AB11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19 078,83</w:t>
            </w:r>
          </w:p>
        </w:tc>
        <w:tc>
          <w:tcPr>
            <w:tcW w:w="0" w:type="auto"/>
            <w:shd w:val="clear" w:color="auto" w:fill="D9D9D9"/>
            <w:hideMark/>
          </w:tcPr>
          <w:p w14:paraId="38B848F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9 198,03</w:t>
            </w:r>
          </w:p>
        </w:tc>
      </w:tr>
      <w:tr w:rsidR="003656D0" w:rsidRPr="00792F36" w14:paraId="0DA338C5" w14:textId="77777777" w:rsidTr="003656D0">
        <w:trPr>
          <w:trHeight w:val="284"/>
        </w:trPr>
        <w:tc>
          <w:tcPr>
            <w:tcW w:w="0" w:type="auto"/>
            <w:shd w:val="clear" w:color="auto" w:fill="EEECE1" w:themeFill="background2"/>
            <w:hideMark/>
          </w:tcPr>
          <w:p w14:paraId="1597BE3C" w14:textId="42E53AF5"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Stredná športová škola, </w:t>
            </w:r>
            <w:proofErr w:type="spellStart"/>
            <w:r w:rsidRPr="003656D0">
              <w:rPr>
                <w:sz w:val="16"/>
                <w:szCs w:val="16"/>
              </w:rPr>
              <w:t>Ostredková</w:t>
            </w:r>
            <w:proofErr w:type="spellEnd"/>
          </w:p>
        </w:tc>
        <w:tc>
          <w:tcPr>
            <w:tcW w:w="0" w:type="auto"/>
            <w:shd w:val="clear" w:color="auto" w:fill="EEECE1" w:themeFill="background2"/>
            <w:hideMark/>
          </w:tcPr>
          <w:p w14:paraId="7969C06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5 963,55</w:t>
            </w:r>
          </w:p>
        </w:tc>
        <w:tc>
          <w:tcPr>
            <w:tcW w:w="0" w:type="auto"/>
            <w:shd w:val="clear" w:color="auto" w:fill="C4BD97"/>
            <w:hideMark/>
          </w:tcPr>
          <w:p w14:paraId="69077A52"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5 963,55</w:t>
            </w:r>
          </w:p>
        </w:tc>
        <w:tc>
          <w:tcPr>
            <w:tcW w:w="0" w:type="auto"/>
            <w:shd w:val="clear" w:color="auto" w:fill="EEECE1" w:themeFill="background2"/>
            <w:hideMark/>
          </w:tcPr>
          <w:p w14:paraId="5EEC977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357CB8B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0CC6BBD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5 963,55</w:t>
            </w:r>
          </w:p>
        </w:tc>
        <w:tc>
          <w:tcPr>
            <w:tcW w:w="0" w:type="auto"/>
            <w:shd w:val="clear" w:color="auto" w:fill="C4BD97"/>
            <w:hideMark/>
          </w:tcPr>
          <w:p w14:paraId="3F21EB6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5 963,55</w:t>
            </w:r>
          </w:p>
        </w:tc>
        <w:tc>
          <w:tcPr>
            <w:tcW w:w="0" w:type="auto"/>
            <w:shd w:val="clear" w:color="auto" w:fill="D9D9D9"/>
            <w:hideMark/>
          </w:tcPr>
          <w:p w14:paraId="135060E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-14 567,35</w:t>
            </w:r>
          </w:p>
        </w:tc>
      </w:tr>
      <w:tr w:rsidR="003656D0" w:rsidRPr="00792F36" w14:paraId="26ABF610" w14:textId="77777777" w:rsidTr="003656D0">
        <w:trPr>
          <w:trHeight w:val="284"/>
        </w:trPr>
        <w:tc>
          <w:tcPr>
            <w:tcW w:w="0" w:type="auto"/>
            <w:shd w:val="clear" w:color="auto" w:fill="EEECE1" w:themeFill="background2"/>
            <w:hideMark/>
          </w:tcPr>
          <w:p w14:paraId="49C59AC8"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Stredná zdravotnícka škola, </w:t>
            </w:r>
            <w:proofErr w:type="spellStart"/>
            <w:r w:rsidRPr="003656D0">
              <w:rPr>
                <w:sz w:val="16"/>
                <w:szCs w:val="16"/>
              </w:rPr>
              <w:t>Strečnianska</w:t>
            </w:r>
            <w:proofErr w:type="spellEnd"/>
            <w:r w:rsidRPr="003656D0">
              <w:rPr>
                <w:sz w:val="16"/>
                <w:szCs w:val="16"/>
              </w:rPr>
              <w:t xml:space="preserve"> 20</w:t>
            </w:r>
          </w:p>
        </w:tc>
        <w:tc>
          <w:tcPr>
            <w:tcW w:w="0" w:type="auto"/>
            <w:shd w:val="clear" w:color="auto" w:fill="EEECE1" w:themeFill="background2"/>
            <w:hideMark/>
          </w:tcPr>
          <w:p w14:paraId="3CCFD3D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2 639,00</w:t>
            </w:r>
          </w:p>
        </w:tc>
        <w:tc>
          <w:tcPr>
            <w:tcW w:w="0" w:type="auto"/>
            <w:shd w:val="clear" w:color="auto" w:fill="C4BD97"/>
            <w:hideMark/>
          </w:tcPr>
          <w:p w14:paraId="0BFF534D"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2 639,00</w:t>
            </w:r>
          </w:p>
        </w:tc>
        <w:tc>
          <w:tcPr>
            <w:tcW w:w="0" w:type="auto"/>
            <w:shd w:val="clear" w:color="auto" w:fill="EEECE1" w:themeFill="background2"/>
            <w:hideMark/>
          </w:tcPr>
          <w:p w14:paraId="5D2B632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648883A5"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642F4A0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2 639,00</w:t>
            </w:r>
          </w:p>
        </w:tc>
        <w:tc>
          <w:tcPr>
            <w:tcW w:w="0" w:type="auto"/>
            <w:shd w:val="clear" w:color="auto" w:fill="C4BD97"/>
            <w:hideMark/>
          </w:tcPr>
          <w:p w14:paraId="0537B66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2 639,00</w:t>
            </w:r>
          </w:p>
        </w:tc>
        <w:tc>
          <w:tcPr>
            <w:tcW w:w="0" w:type="auto"/>
            <w:shd w:val="clear" w:color="auto" w:fill="D9D9D9"/>
            <w:hideMark/>
          </w:tcPr>
          <w:p w14:paraId="455D4850"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5 250,84</w:t>
            </w:r>
          </w:p>
        </w:tc>
      </w:tr>
      <w:tr w:rsidR="003656D0" w:rsidRPr="00792F36" w14:paraId="3BC50B9D" w14:textId="77777777" w:rsidTr="003656D0">
        <w:trPr>
          <w:trHeight w:val="284"/>
        </w:trPr>
        <w:tc>
          <w:tcPr>
            <w:tcW w:w="0" w:type="auto"/>
            <w:shd w:val="clear" w:color="auto" w:fill="EEECE1" w:themeFill="background2"/>
            <w:hideMark/>
          </w:tcPr>
          <w:p w14:paraId="2E0B84DA"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Stredná zdravotnícka škola, Záhradnícka 44</w:t>
            </w:r>
          </w:p>
        </w:tc>
        <w:tc>
          <w:tcPr>
            <w:tcW w:w="0" w:type="auto"/>
            <w:shd w:val="clear" w:color="auto" w:fill="EEECE1" w:themeFill="background2"/>
            <w:hideMark/>
          </w:tcPr>
          <w:p w14:paraId="0AF46C2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11 296,79</w:t>
            </w:r>
          </w:p>
        </w:tc>
        <w:tc>
          <w:tcPr>
            <w:tcW w:w="0" w:type="auto"/>
            <w:shd w:val="clear" w:color="auto" w:fill="C4BD97"/>
            <w:hideMark/>
          </w:tcPr>
          <w:p w14:paraId="5DE5B62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11 296,79</w:t>
            </w:r>
          </w:p>
        </w:tc>
        <w:tc>
          <w:tcPr>
            <w:tcW w:w="0" w:type="auto"/>
            <w:shd w:val="clear" w:color="auto" w:fill="EEECE1" w:themeFill="background2"/>
            <w:hideMark/>
          </w:tcPr>
          <w:p w14:paraId="508B14B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02A7BDE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782D0A9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11 296,79</w:t>
            </w:r>
          </w:p>
        </w:tc>
        <w:tc>
          <w:tcPr>
            <w:tcW w:w="0" w:type="auto"/>
            <w:shd w:val="clear" w:color="auto" w:fill="C4BD97"/>
            <w:hideMark/>
          </w:tcPr>
          <w:p w14:paraId="72FBAA6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11 296,79</w:t>
            </w:r>
          </w:p>
        </w:tc>
        <w:tc>
          <w:tcPr>
            <w:tcW w:w="0" w:type="auto"/>
            <w:shd w:val="clear" w:color="auto" w:fill="D9D9D9"/>
            <w:hideMark/>
          </w:tcPr>
          <w:p w14:paraId="3BC626A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10 531,97</w:t>
            </w:r>
          </w:p>
        </w:tc>
      </w:tr>
      <w:tr w:rsidR="003656D0" w:rsidRPr="00792F36" w14:paraId="232A6EE8" w14:textId="77777777" w:rsidTr="003656D0">
        <w:trPr>
          <w:trHeight w:val="284"/>
        </w:trPr>
        <w:tc>
          <w:tcPr>
            <w:tcW w:w="0" w:type="auto"/>
            <w:shd w:val="clear" w:color="auto" w:fill="EEECE1" w:themeFill="background2"/>
            <w:hideMark/>
          </w:tcPr>
          <w:p w14:paraId="115B5C0E"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Škola pre mimoriadne nadané deti a gymnázium </w:t>
            </w:r>
          </w:p>
        </w:tc>
        <w:tc>
          <w:tcPr>
            <w:tcW w:w="0" w:type="auto"/>
            <w:shd w:val="clear" w:color="auto" w:fill="EEECE1" w:themeFill="background2"/>
            <w:hideMark/>
          </w:tcPr>
          <w:p w14:paraId="78E74CA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-6 107,29</w:t>
            </w:r>
          </w:p>
        </w:tc>
        <w:tc>
          <w:tcPr>
            <w:tcW w:w="0" w:type="auto"/>
            <w:shd w:val="clear" w:color="auto" w:fill="C4BD97"/>
            <w:hideMark/>
          </w:tcPr>
          <w:p w14:paraId="5C741B5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-6 107,29</w:t>
            </w:r>
          </w:p>
        </w:tc>
        <w:tc>
          <w:tcPr>
            <w:tcW w:w="0" w:type="auto"/>
            <w:shd w:val="clear" w:color="auto" w:fill="EEECE1" w:themeFill="background2"/>
            <w:hideMark/>
          </w:tcPr>
          <w:p w14:paraId="6D4920C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297B8C7F"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03C9B716"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-6 107,29</w:t>
            </w:r>
          </w:p>
        </w:tc>
        <w:tc>
          <w:tcPr>
            <w:tcW w:w="0" w:type="auto"/>
            <w:shd w:val="clear" w:color="auto" w:fill="C4BD97"/>
            <w:hideMark/>
          </w:tcPr>
          <w:p w14:paraId="6C817D6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-6 107,29</w:t>
            </w:r>
          </w:p>
        </w:tc>
        <w:tc>
          <w:tcPr>
            <w:tcW w:w="0" w:type="auto"/>
            <w:shd w:val="clear" w:color="auto" w:fill="D9D9D9"/>
            <w:hideMark/>
          </w:tcPr>
          <w:p w14:paraId="3EB43A39"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-30 739,52</w:t>
            </w:r>
          </w:p>
        </w:tc>
      </w:tr>
      <w:tr w:rsidR="003656D0" w:rsidRPr="00792F36" w14:paraId="73ADDE8A" w14:textId="77777777" w:rsidTr="003656D0">
        <w:trPr>
          <w:trHeight w:val="284"/>
        </w:trPr>
        <w:tc>
          <w:tcPr>
            <w:tcW w:w="0" w:type="auto"/>
            <w:shd w:val="clear" w:color="auto" w:fill="EEECE1" w:themeFill="background2"/>
            <w:hideMark/>
          </w:tcPr>
          <w:p w14:paraId="2DED77B9"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 xml:space="preserve">Škola umeleckého priemyslu </w:t>
            </w:r>
            <w:proofErr w:type="spellStart"/>
            <w:r w:rsidRPr="003656D0">
              <w:rPr>
                <w:sz w:val="16"/>
                <w:szCs w:val="16"/>
              </w:rPr>
              <w:t>Josefa</w:t>
            </w:r>
            <w:proofErr w:type="spellEnd"/>
            <w:r w:rsidRPr="003656D0">
              <w:rPr>
                <w:sz w:val="16"/>
                <w:szCs w:val="16"/>
              </w:rPr>
              <w:t xml:space="preserve"> Vydru</w:t>
            </w:r>
          </w:p>
        </w:tc>
        <w:tc>
          <w:tcPr>
            <w:tcW w:w="0" w:type="auto"/>
            <w:shd w:val="clear" w:color="auto" w:fill="EEECE1" w:themeFill="background2"/>
            <w:hideMark/>
          </w:tcPr>
          <w:p w14:paraId="0A16CBF4"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8 328,34</w:t>
            </w:r>
          </w:p>
        </w:tc>
        <w:tc>
          <w:tcPr>
            <w:tcW w:w="0" w:type="auto"/>
            <w:shd w:val="clear" w:color="auto" w:fill="C4BD97"/>
            <w:hideMark/>
          </w:tcPr>
          <w:p w14:paraId="279AF7A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8 328,34</w:t>
            </w:r>
          </w:p>
        </w:tc>
        <w:tc>
          <w:tcPr>
            <w:tcW w:w="0" w:type="auto"/>
            <w:shd w:val="clear" w:color="auto" w:fill="EEECE1" w:themeFill="background2"/>
            <w:hideMark/>
          </w:tcPr>
          <w:p w14:paraId="7F1B9B5B"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C4BD97"/>
            <w:hideMark/>
          </w:tcPr>
          <w:p w14:paraId="6123DC2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0,00</w:t>
            </w:r>
          </w:p>
        </w:tc>
        <w:tc>
          <w:tcPr>
            <w:tcW w:w="0" w:type="auto"/>
            <w:shd w:val="clear" w:color="auto" w:fill="EEECE1" w:themeFill="background2"/>
            <w:hideMark/>
          </w:tcPr>
          <w:p w14:paraId="37C1CC2A"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8 328,34</w:t>
            </w:r>
          </w:p>
        </w:tc>
        <w:tc>
          <w:tcPr>
            <w:tcW w:w="0" w:type="auto"/>
            <w:shd w:val="clear" w:color="auto" w:fill="C4BD97"/>
            <w:hideMark/>
          </w:tcPr>
          <w:p w14:paraId="20C234B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8 328,34</w:t>
            </w:r>
          </w:p>
        </w:tc>
        <w:tc>
          <w:tcPr>
            <w:tcW w:w="0" w:type="auto"/>
            <w:shd w:val="clear" w:color="auto" w:fill="D9D9D9"/>
            <w:hideMark/>
          </w:tcPr>
          <w:p w14:paraId="556DE31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17 576,62</w:t>
            </w:r>
          </w:p>
        </w:tc>
      </w:tr>
      <w:tr w:rsidR="003656D0" w:rsidRPr="00792F36" w14:paraId="270C2A91" w14:textId="77777777" w:rsidTr="003656D0">
        <w:trPr>
          <w:trHeight w:val="284"/>
        </w:trPr>
        <w:tc>
          <w:tcPr>
            <w:tcW w:w="0" w:type="auto"/>
            <w:shd w:val="clear" w:color="auto" w:fill="EEECE1" w:themeFill="background2"/>
            <w:hideMark/>
          </w:tcPr>
          <w:p w14:paraId="703F57A1" w14:textId="77777777" w:rsidR="003656D0" w:rsidRPr="003656D0" w:rsidRDefault="003656D0" w:rsidP="005A1544">
            <w:pPr>
              <w:spacing w:after="0" w:line="240" w:lineRule="auto"/>
              <w:rPr>
                <w:rFonts w:cs="Calibri"/>
                <w:color w:val="000000"/>
                <w:sz w:val="16"/>
                <w:szCs w:val="16"/>
                <w:lang w:eastAsia="sk-SK"/>
              </w:rPr>
            </w:pPr>
            <w:r w:rsidRPr="003656D0">
              <w:rPr>
                <w:sz w:val="16"/>
                <w:szCs w:val="16"/>
              </w:rPr>
              <w:t>Školský internát, Trnavská 2</w:t>
            </w:r>
          </w:p>
        </w:tc>
        <w:tc>
          <w:tcPr>
            <w:tcW w:w="0" w:type="auto"/>
            <w:shd w:val="clear" w:color="auto" w:fill="EEECE1" w:themeFill="background2"/>
            <w:hideMark/>
          </w:tcPr>
          <w:p w14:paraId="4911B34C"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-6 388,74</w:t>
            </w:r>
          </w:p>
        </w:tc>
        <w:tc>
          <w:tcPr>
            <w:tcW w:w="0" w:type="auto"/>
            <w:shd w:val="clear" w:color="auto" w:fill="C4BD97"/>
            <w:hideMark/>
          </w:tcPr>
          <w:p w14:paraId="47185588"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-6 388,74</w:t>
            </w:r>
          </w:p>
        </w:tc>
        <w:tc>
          <w:tcPr>
            <w:tcW w:w="0" w:type="auto"/>
            <w:shd w:val="clear" w:color="auto" w:fill="EEECE1" w:themeFill="background2"/>
            <w:hideMark/>
          </w:tcPr>
          <w:p w14:paraId="0B9623F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15 040,85</w:t>
            </w:r>
          </w:p>
        </w:tc>
        <w:tc>
          <w:tcPr>
            <w:tcW w:w="0" w:type="auto"/>
            <w:shd w:val="clear" w:color="auto" w:fill="C4BD97"/>
            <w:hideMark/>
          </w:tcPr>
          <w:p w14:paraId="19EE813E"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11 882,27</w:t>
            </w:r>
          </w:p>
        </w:tc>
        <w:tc>
          <w:tcPr>
            <w:tcW w:w="0" w:type="auto"/>
            <w:shd w:val="clear" w:color="auto" w:fill="EEECE1" w:themeFill="background2"/>
            <w:hideMark/>
          </w:tcPr>
          <w:p w14:paraId="6DE0D813"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8 652,11</w:t>
            </w:r>
          </w:p>
        </w:tc>
        <w:tc>
          <w:tcPr>
            <w:tcW w:w="0" w:type="auto"/>
            <w:shd w:val="clear" w:color="auto" w:fill="C4BD97"/>
            <w:hideMark/>
          </w:tcPr>
          <w:p w14:paraId="65CE45B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5 493,53</w:t>
            </w:r>
          </w:p>
        </w:tc>
        <w:tc>
          <w:tcPr>
            <w:tcW w:w="0" w:type="auto"/>
            <w:shd w:val="clear" w:color="auto" w:fill="D9D9D9"/>
            <w:hideMark/>
          </w:tcPr>
          <w:p w14:paraId="35555E37" w14:textId="77777777" w:rsidR="003656D0" w:rsidRPr="00792F36" w:rsidRDefault="003656D0" w:rsidP="005A1544">
            <w:pPr>
              <w:spacing w:after="0" w:line="240" w:lineRule="auto"/>
              <w:jc w:val="right"/>
              <w:rPr>
                <w:rFonts w:cs="Calibri"/>
                <w:color w:val="000000"/>
                <w:sz w:val="18"/>
                <w:szCs w:val="18"/>
                <w:lang w:eastAsia="sk-SK"/>
              </w:rPr>
            </w:pPr>
            <w:r w:rsidRPr="00792F36">
              <w:rPr>
                <w:sz w:val="18"/>
                <w:szCs w:val="18"/>
              </w:rPr>
              <w:t>4 686,13</w:t>
            </w:r>
          </w:p>
        </w:tc>
      </w:tr>
      <w:tr w:rsidR="003656D0" w:rsidRPr="003656D0" w14:paraId="4BAAEE09" w14:textId="77777777" w:rsidTr="003656D0">
        <w:trPr>
          <w:trHeight w:val="284"/>
        </w:trPr>
        <w:tc>
          <w:tcPr>
            <w:tcW w:w="0" w:type="auto"/>
            <w:shd w:val="clear" w:color="auto" w:fill="8DB4E2"/>
            <w:vAlign w:val="center"/>
            <w:hideMark/>
          </w:tcPr>
          <w:p w14:paraId="18C9B433" w14:textId="77777777" w:rsidR="003656D0" w:rsidRPr="003656D0" w:rsidRDefault="003656D0" w:rsidP="005A1544">
            <w:pPr>
              <w:spacing w:after="0" w:line="240" w:lineRule="auto"/>
              <w:rPr>
                <w:rFonts w:cs="Calibri"/>
                <w:b/>
                <w:bCs/>
                <w:color w:val="000000"/>
                <w:sz w:val="18"/>
                <w:szCs w:val="18"/>
                <w:lang w:eastAsia="sk-SK"/>
              </w:rPr>
            </w:pPr>
            <w:r w:rsidRPr="003656D0">
              <w:rPr>
                <w:rFonts w:cs="Calibri"/>
                <w:b/>
                <w:bCs/>
                <w:color w:val="000000"/>
                <w:sz w:val="18"/>
                <w:szCs w:val="18"/>
                <w:lang w:eastAsia="sk-SK"/>
              </w:rPr>
              <w:t>Celkový súčet</w:t>
            </w:r>
          </w:p>
        </w:tc>
        <w:tc>
          <w:tcPr>
            <w:tcW w:w="0" w:type="auto"/>
            <w:shd w:val="clear" w:color="auto" w:fill="8DB4E2"/>
          </w:tcPr>
          <w:p w14:paraId="0D12D2DC" w14:textId="77777777" w:rsidR="003656D0" w:rsidRPr="003656D0" w:rsidRDefault="003656D0" w:rsidP="005A1544">
            <w:pPr>
              <w:spacing w:after="0" w:line="240" w:lineRule="auto"/>
              <w:jc w:val="right"/>
              <w:rPr>
                <w:rFonts w:cs="Calibri"/>
                <w:b/>
                <w:bCs/>
                <w:color w:val="000000"/>
                <w:sz w:val="18"/>
                <w:szCs w:val="18"/>
                <w:lang w:eastAsia="sk-SK"/>
              </w:rPr>
            </w:pPr>
            <w:r w:rsidRPr="003656D0">
              <w:rPr>
                <w:b/>
                <w:bCs/>
                <w:sz w:val="18"/>
                <w:szCs w:val="18"/>
              </w:rPr>
              <w:t>10 834 549,85</w:t>
            </w:r>
          </w:p>
        </w:tc>
        <w:tc>
          <w:tcPr>
            <w:tcW w:w="0" w:type="auto"/>
            <w:shd w:val="clear" w:color="auto" w:fill="C4BD97"/>
          </w:tcPr>
          <w:p w14:paraId="262FFC98" w14:textId="77777777" w:rsidR="003656D0" w:rsidRPr="003656D0" w:rsidRDefault="003656D0" w:rsidP="005A1544">
            <w:pPr>
              <w:spacing w:after="0" w:line="240" w:lineRule="auto"/>
              <w:jc w:val="right"/>
              <w:rPr>
                <w:rFonts w:cs="Calibri"/>
                <w:b/>
                <w:bCs/>
                <w:color w:val="000000"/>
                <w:sz w:val="18"/>
                <w:szCs w:val="18"/>
                <w:lang w:eastAsia="sk-SK"/>
              </w:rPr>
            </w:pPr>
            <w:r w:rsidRPr="003656D0">
              <w:rPr>
                <w:b/>
                <w:bCs/>
                <w:sz w:val="18"/>
                <w:szCs w:val="18"/>
              </w:rPr>
              <w:t>10 833 013,21</w:t>
            </w:r>
          </w:p>
        </w:tc>
        <w:tc>
          <w:tcPr>
            <w:tcW w:w="0" w:type="auto"/>
            <w:shd w:val="clear" w:color="auto" w:fill="8DB4E2"/>
          </w:tcPr>
          <w:p w14:paraId="19FA0F50" w14:textId="77777777" w:rsidR="003656D0" w:rsidRPr="003656D0" w:rsidRDefault="003656D0" w:rsidP="005A1544">
            <w:pPr>
              <w:spacing w:after="0" w:line="240" w:lineRule="auto"/>
              <w:jc w:val="right"/>
              <w:rPr>
                <w:rFonts w:cs="Calibri"/>
                <w:b/>
                <w:bCs/>
                <w:color w:val="000000"/>
                <w:sz w:val="18"/>
                <w:szCs w:val="18"/>
                <w:lang w:eastAsia="sk-SK"/>
              </w:rPr>
            </w:pPr>
            <w:r w:rsidRPr="003656D0">
              <w:rPr>
                <w:b/>
                <w:bCs/>
                <w:sz w:val="18"/>
                <w:szCs w:val="18"/>
              </w:rPr>
              <w:t>15 228,29</w:t>
            </w:r>
          </w:p>
        </w:tc>
        <w:tc>
          <w:tcPr>
            <w:tcW w:w="0" w:type="auto"/>
            <w:shd w:val="clear" w:color="auto" w:fill="C4BD97"/>
          </w:tcPr>
          <w:p w14:paraId="292A3D77" w14:textId="77777777" w:rsidR="003656D0" w:rsidRPr="003656D0" w:rsidRDefault="003656D0" w:rsidP="005A1544">
            <w:pPr>
              <w:spacing w:after="0" w:line="240" w:lineRule="auto"/>
              <w:jc w:val="right"/>
              <w:rPr>
                <w:rFonts w:cs="Calibri"/>
                <w:b/>
                <w:bCs/>
                <w:color w:val="000000"/>
                <w:sz w:val="18"/>
                <w:szCs w:val="18"/>
                <w:lang w:eastAsia="sk-SK"/>
              </w:rPr>
            </w:pPr>
            <w:r w:rsidRPr="003656D0">
              <w:rPr>
                <w:b/>
                <w:bCs/>
                <w:sz w:val="18"/>
                <w:szCs w:val="18"/>
              </w:rPr>
              <w:t>10 378,32</w:t>
            </w:r>
          </w:p>
        </w:tc>
        <w:tc>
          <w:tcPr>
            <w:tcW w:w="0" w:type="auto"/>
            <w:shd w:val="clear" w:color="auto" w:fill="8DB4E2"/>
          </w:tcPr>
          <w:p w14:paraId="5484CA0F" w14:textId="77777777" w:rsidR="003656D0" w:rsidRPr="003656D0" w:rsidRDefault="003656D0" w:rsidP="005A1544">
            <w:pPr>
              <w:spacing w:after="0" w:line="240" w:lineRule="auto"/>
              <w:jc w:val="right"/>
              <w:rPr>
                <w:rFonts w:cs="Calibri"/>
                <w:b/>
                <w:bCs/>
                <w:color w:val="000000"/>
                <w:sz w:val="18"/>
                <w:szCs w:val="18"/>
                <w:lang w:eastAsia="sk-SK"/>
              </w:rPr>
            </w:pPr>
            <w:r w:rsidRPr="003656D0">
              <w:rPr>
                <w:b/>
                <w:bCs/>
                <w:sz w:val="18"/>
                <w:szCs w:val="18"/>
              </w:rPr>
              <w:t>10 849 478,14</w:t>
            </w:r>
          </w:p>
        </w:tc>
        <w:tc>
          <w:tcPr>
            <w:tcW w:w="0" w:type="auto"/>
            <w:shd w:val="clear" w:color="auto" w:fill="C4BD97"/>
          </w:tcPr>
          <w:p w14:paraId="05487466" w14:textId="77777777" w:rsidR="003656D0" w:rsidRPr="003656D0" w:rsidRDefault="003656D0" w:rsidP="005A1544">
            <w:pPr>
              <w:spacing w:after="0" w:line="240" w:lineRule="auto"/>
              <w:jc w:val="right"/>
              <w:rPr>
                <w:rFonts w:cs="Calibri"/>
                <w:b/>
                <w:bCs/>
                <w:color w:val="000000"/>
                <w:sz w:val="18"/>
                <w:szCs w:val="18"/>
                <w:lang w:eastAsia="sk-SK"/>
              </w:rPr>
            </w:pPr>
            <w:r w:rsidRPr="003656D0">
              <w:rPr>
                <w:b/>
                <w:bCs/>
                <w:sz w:val="18"/>
                <w:szCs w:val="18"/>
              </w:rPr>
              <w:t>10 843 391,53</w:t>
            </w:r>
          </w:p>
        </w:tc>
        <w:tc>
          <w:tcPr>
            <w:tcW w:w="0" w:type="auto"/>
            <w:shd w:val="clear" w:color="auto" w:fill="D9D9D9"/>
          </w:tcPr>
          <w:p w14:paraId="47A62374" w14:textId="77777777" w:rsidR="003656D0" w:rsidRPr="003656D0" w:rsidRDefault="003656D0" w:rsidP="005A1544">
            <w:pPr>
              <w:spacing w:after="0" w:line="240" w:lineRule="auto"/>
              <w:jc w:val="right"/>
              <w:rPr>
                <w:rFonts w:cs="Calibri"/>
                <w:b/>
                <w:bCs/>
                <w:color w:val="000000"/>
                <w:sz w:val="18"/>
                <w:szCs w:val="18"/>
                <w:lang w:eastAsia="sk-SK"/>
              </w:rPr>
            </w:pPr>
            <w:r w:rsidRPr="003656D0">
              <w:rPr>
                <w:b/>
                <w:bCs/>
                <w:sz w:val="18"/>
                <w:szCs w:val="18"/>
              </w:rPr>
              <w:t>6 212 084,33</w:t>
            </w:r>
          </w:p>
        </w:tc>
      </w:tr>
    </w:tbl>
    <w:p w14:paraId="1BD6AA2E" w14:textId="77777777" w:rsidR="003656D0" w:rsidRPr="002D2941" w:rsidRDefault="003656D0" w:rsidP="00E41A14">
      <w:pPr>
        <w:pStyle w:val="tl1"/>
        <w:numPr>
          <w:ilvl w:val="0"/>
          <w:numId w:val="0"/>
        </w:numPr>
      </w:pPr>
    </w:p>
    <w:p w14:paraId="536A752A" w14:textId="77777777" w:rsidR="00027146" w:rsidRPr="002D2941" w:rsidRDefault="00027146" w:rsidP="00027146">
      <w:pPr>
        <w:pStyle w:val="tl2"/>
      </w:pPr>
      <w:r w:rsidRPr="00BA467F">
        <w:t>I.2 Príspevkové organizácie BSK</w:t>
      </w:r>
    </w:p>
    <w:p w14:paraId="361DBCCD" w14:textId="77777777" w:rsidR="0011014C" w:rsidRDefault="0011014C" w:rsidP="00027146">
      <w:pPr>
        <w:pStyle w:val="tl2"/>
        <w:rPr>
          <w:color w:val="FF0000"/>
        </w:rPr>
      </w:pPr>
    </w:p>
    <w:p w14:paraId="2DE0D792" w14:textId="77777777" w:rsidR="0011014C" w:rsidRPr="002D2941" w:rsidRDefault="0011014C" w:rsidP="003F566E">
      <w:pPr>
        <w:spacing w:line="240" w:lineRule="auto"/>
        <w:jc w:val="both"/>
        <w:rPr>
          <w:sz w:val="24"/>
          <w:szCs w:val="24"/>
        </w:rPr>
      </w:pPr>
      <w:r w:rsidRPr="002D2941">
        <w:rPr>
          <w:sz w:val="24"/>
          <w:szCs w:val="24"/>
        </w:rPr>
        <w:t>Príspevková organizácia v zriaďovateľskej pôsobnosti BSK môže so súhlasom zriaďovateľa vykonávať podnikateľskú činnosť nad rámec hlavnej činnosti, pre ktorú bola zriadená, iba ak plní úlohy určené zriaďovateľom. Náklady na podnikateľskú činnosť musia byť kryté výnosmi z nej.</w:t>
      </w:r>
    </w:p>
    <w:p w14:paraId="25BAC060" w14:textId="7C11ACC6" w:rsidR="0011014C" w:rsidRDefault="0011014C" w:rsidP="0011014C">
      <w:pPr>
        <w:jc w:val="both"/>
        <w:rPr>
          <w:sz w:val="24"/>
          <w:szCs w:val="24"/>
        </w:rPr>
      </w:pPr>
      <w:r w:rsidRPr="002D2941">
        <w:rPr>
          <w:sz w:val="24"/>
          <w:szCs w:val="24"/>
        </w:rPr>
        <w:t>Prehľad nákladov a výnosov z podnikateľskej činnosti príspevkových organizácii za rok 20</w:t>
      </w:r>
      <w:r w:rsidR="00BA467F">
        <w:rPr>
          <w:sz w:val="24"/>
          <w:szCs w:val="24"/>
        </w:rPr>
        <w:t>20</w:t>
      </w:r>
      <w:r w:rsidRPr="002D2941">
        <w:rPr>
          <w:sz w:val="24"/>
          <w:szCs w:val="24"/>
        </w:rPr>
        <w:t>:</w:t>
      </w:r>
    </w:p>
    <w:tbl>
      <w:tblPr>
        <w:tblW w:w="10677" w:type="dxa"/>
        <w:tblInd w:w="-204" w:type="dxa"/>
        <w:tblCellMar>
          <w:left w:w="70" w:type="dxa"/>
          <w:right w:w="70" w:type="dxa"/>
        </w:tblCellMar>
        <w:tblLook w:val="04A0" w:firstRow="1" w:lastRow="0" w:firstColumn="1" w:lastColumn="0" w:noHBand="0" w:noVBand="1"/>
      </w:tblPr>
      <w:tblGrid>
        <w:gridCol w:w="5586"/>
        <w:gridCol w:w="2163"/>
        <w:gridCol w:w="1464"/>
        <w:gridCol w:w="1464"/>
      </w:tblGrid>
      <w:tr w:rsidR="00BA467F" w:rsidRPr="0026467B" w14:paraId="1E1D717D" w14:textId="77777777" w:rsidTr="00BA467F">
        <w:trPr>
          <w:trHeight w:val="839"/>
        </w:trPr>
        <w:tc>
          <w:tcPr>
            <w:tcW w:w="5586" w:type="dxa"/>
            <w:tcBorders>
              <w:top w:val="nil"/>
              <w:left w:val="nil"/>
              <w:bottom w:val="single" w:sz="8" w:space="0" w:color="FFFFFF"/>
              <w:right w:val="single" w:sz="8" w:space="0" w:color="FFFFFF"/>
            </w:tcBorders>
            <w:shd w:val="clear" w:color="000000" w:fill="8DB4E2"/>
            <w:noWrap/>
            <w:vAlign w:val="center"/>
            <w:hideMark/>
          </w:tcPr>
          <w:p w14:paraId="7EC8F7DB" w14:textId="77777777" w:rsidR="00BA467F" w:rsidRPr="0026467B" w:rsidRDefault="00BA467F" w:rsidP="00C32ACA">
            <w:pPr>
              <w:spacing w:after="0" w:line="240" w:lineRule="auto"/>
              <w:rPr>
                <w:rFonts w:cs="Calibri"/>
                <w:b/>
                <w:bCs/>
                <w:sz w:val="18"/>
                <w:szCs w:val="18"/>
                <w:lang w:eastAsia="sk-SK"/>
              </w:rPr>
            </w:pPr>
            <w:r w:rsidRPr="0026467B">
              <w:rPr>
                <w:rFonts w:cs="Calibri"/>
                <w:b/>
                <w:bCs/>
                <w:sz w:val="18"/>
                <w:szCs w:val="18"/>
                <w:lang w:eastAsia="sk-SK"/>
              </w:rPr>
              <w:t>Názov príspevkovej organizácie</w:t>
            </w:r>
          </w:p>
        </w:tc>
        <w:tc>
          <w:tcPr>
            <w:tcW w:w="2162" w:type="dxa"/>
            <w:tcBorders>
              <w:top w:val="nil"/>
              <w:left w:val="nil"/>
              <w:bottom w:val="single" w:sz="8" w:space="0" w:color="FFFFFF"/>
              <w:right w:val="single" w:sz="8" w:space="0" w:color="FFFFFF"/>
            </w:tcBorders>
            <w:shd w:val="clear" w:color="000000" w:fill="8DB4E2"/>
            <w:noWrap/>
            <w:vAlign w:val="center"/>
            <w:hideMark/>
          </w:tcPr>
          <w:p w14:paraId="7ED98869" w14:textId="77777777" w:rsidR="00BA467F" w:rsidRPr="0026467B" w:rsidRDefault="00BA467F" w:rsidP="00C32ACA">
            <w:pPr>
              <w:spacing w:after="0" w:line="240" w:lineRule="auto"/>
              <w:jc w:val="center"/>
              <w:rPr>
                <w:rFonts w:cs="Calibri"/>
                <w:b/>
                <w:bCs/>
                <w:sz w:val="18"/>
                <w:szCs w:val="18"/>
                <w:lang w:eastAsia="sk-SK"/>
              </w:rPr>
            </w:pPr>
            <w:r w:rsidRPr="0026467B">
              <w:rPr>
                <w:rFonts w:cs="Calibri"/>
                <w:b/>
                <w:bCs/>
                <w:sz w:val="18"/>
                <w:szCs w:val="18"/>
                <w:lang w:eastAsia="sk-SK"/>
              </w:rPr>
              <w:t>Ukazovateľ</w:t>
            </w:r>
          </w:p>
        </w:tc>
        <w:tc>
          <w:tcPr>
            <w:tcW w:w="1464" w:type="dxa"/>
            <w:tcBorders>
              <w:top w:val="nil"/>
              <w:left w:val="nil"/>
              <w:bottom w:val="single" w:sz="8" w:space="0" w:color="FFFFFF"/>
              <w:right w:val="single" w:sz="8" w:space="0" w:color="FFFFFF"/>
            </w:tcBorders>
            <w:shd w:val="clear" w:color="000000" w:fill="8DB4E2"/>
            <w:vAlign w:val="center"/>
            <w:hideMark/>
          </w:tcPr>
          <w:p w14:paraId="7A532E16" w14:textId="5C48B24F" w:rsidR="00BA467F" w:rsidRPr="0026467B" w:rsidRDefault="00BA467F" w:rsidP="00C32ACA">
            <w:pPr>
              <w:spacing w:after="0" w:line="240" w:lineRule="auto"/>
              <w:jc w:val="center"/>
              <w:rPr>
                <w:rFonts w:cs="Calibri"/>
                <w:b/>
                <w:bCs/>
                <w:sz w:val="18"/>
                <w:szCs w:val="18"/>
                <w:lang w:eastAsia="sk-SK"/>
              </w:rPr>
            </w:pPr>
            <w:r w:rsidRPr="0026467B">
              <w:rPr>
                <w:rFonts w:cs="Calibri"/>
                <w:b/>
                <w:bCs/>
                <w:sz w:val="18"/>
                <w:szCs w:val="18"/>
                <w:lang w:eastAsia="sk-SK"/>
              </w:rPr>
              <w:t>Podnikateľská činnosť  za rok 2020</w:t>
            </w:r>
          </w:p>
        </w:tc>
        <w:tc>
          <w:tcPr>
            <w:tcW w:w="1464" w:type="dxa"/>
            <w:tcBorders>
              <w:top w:val="nil"/>
              <w:left w:val="nil"/>
              <w:bottom w:val="single" w:sz="8" w:space="0" w:color="FFFFFF"/>
              <w:right w:val="single" w:sz="8" w:space="0" w:color="FFFFFF"/>
            </w:tcBorders>
            <w:shd w:val="clear" w:color="000000" w:fill="8DB4E2"/>
            <w:vAlign w:val="center"/>
            <w:hideMark/>
          </w:tcPr>
          <w:p w14:paraId="641BEB44" w14:textId="7B9DE558" w:rsidR="00BA467F" w:rsidRPr="0026467B" w:rsidRDefault="00BA467F" w:rsidP="00C32ACA">
            <w:pPr>
              <w:spacing w:after="0" w:line="240" w:lineRule="auto"/>
              <w:jc w:val="center"/>
              <w:rPr>
                <w:rFonts w:cs="Calibri"/>
                <w:b/>
                <w:bCs/>
                <w:sz w:val="18"/>
                <w:szCs w:val="18"/>
                <w:lang w:eastAsia="sk-SK"/>
              </w:rPr>
            </w:pPr>
            <w:r w:rsidRPr="0026467B">
              <w:rPr>
                <w:rFonts w:cs="Calibri"/>
                <w:b/>
                <w:bCs/>
                <w:sz w:val="18"/>
                <w:szCs w:val="18"/>
                <w:lang w:eastAsia="sk-SK"/>
              </w:rPr>
              <w:t>Podnikateľská činnosť  za rok 2019</w:t>
            </w:r>
          </w:p>
        </w:tc>
      </w:tr>
      <w:tr w:rsidR="00BA467F" w:rsidRPr="0026467B" w14:paraId="4947934B" w14:textId="77777777" w:rsidTr="00BA467F">
        <w:trPr>
          <w:trHeight w:hRule="exact" w:val="263"/>
        </w:trPr>
        <w:tc>
          <w:tcPr>
            <w:tcW w:w="7749" w:type="dxa"/>
            <w:gridSpan w:val="2"/>
            <w:tcBorders>
              <w:top w:val="single" w:sz="8" w:space="0" w:color="FFFFFF"/>
              <w:bottom w:val="single" w:sz="8" w:space="0" w:color="FFFFFF"/>
            </w:tcBorders>
            <w:shd w:val="clear" w:color="000000" w:fill="C4BD97"/>
            <w:vAlign w:val="center"/>
            <w:hideMark/>
          </w:tcPr>
          <w:p w14:paraId="6A977D75" w14:textId="77777777" w:rsidR="00BA467F" w:rsidRPr="0026467B" w:rsidRDefault="00BA467F" w:rsidP="00C32ACA">
            <w:pPr>
              <w:spacing w:after="0" w:line="240" w:lineRule="auto"/>
              <w:rPr>
                <w:rFonts w:cs="Calibri"/>
                <w:b/>
                <w:bCs/>
                <w:sz w:val="18"/>
                <w:szCs w:val="18"/>
                <w:lang w:eastAsia="sk-SK"/>
              </w:rPr>
            </w:pPr>
            <w:r w:rsidRPr="0026467B">
              <w:rPr>
                <w:rFonts w:cs="Calibri"/>
                <w:b/>
                <w:bCs/>
                <w:sz w:val="18"/>
                <w:szCs w:val="18"/>
                <w:lang w:eastAsia="sk-SK"/>
              </w:rPr>
              <w:t>Školské zariadenia</w:t>
            </w:r>
          </w:p>
        </w:tc>
        <w:tc>
          <w:tcPr>
            <w:tcW w:w="1464" w:type="dxa"/>
            <w:tcBorders>
              <w:top w:val="single" w:sz="8" w:space="0" w:color="FFFFFF"/>
              <w:bottom w:val="single" w:sz="8" w:space="0" w:color="FFFFFF"/>
            </w:tcBorders>
            <w:shd w:val="clear" w:color="auto" w:fill="C4BC96" w:themeFill="background2" w:themeFillShade="BF"/>
            <w:vAlign w:val="center"/>
          </w:tcPr>
          <w:p w14:paraId="50B4E26C" w14:textId="77777777" w:rsidR="00BA467F" w:rsidRPr="0026467B" w:rsidRDefault="00BA467F" w:rsidP="00C32ACA">
            <w:pPr>
              <w:spacing w:after="0" w:line="240" w:lineRule="auto"/>
              <w:jc w:val="center"/>
              <w:rPr>
                <w:rFonts w:cs="Calibri"/>
                <w:b/>
                <w:bCs/>
                <w:sz w:val="18"/>
                <w:szCs w:val="18"/>
                <w:lang w:eastAsia="sk-SK"/>
              </w:rPr>
            </w:pPr>
          </w:p>
        </w:tc>
        <w:tc>
          <w:tcPr>
            <w:tcW w:w="1464" w:type="dxa"/>
            <w:tcBorders>
              <w:top w:val="single" w:sz="8" w:space="0" w:color="FFFFFF"/>
              <w:left w:val="nil"/>
              <w:bottom w:val="single" w:sz="8" w:space="0" w:color="FFFFFF"/>
              <w:right w:val="single" w:sz="8" w:space="0" w:color="FFFFFF"/>
            </w:tcBorders>
            <w:shd w:val="clear" w:color="000000" w:fill="C4BD97"/>
            <w:vAlign w:val="center"/>
          </w:tcPr>
          <w:p w14:paraId="465F18CF" w14:textId="77777777" w:rsidR="00BA467F" w:rsidRPr="0026467B" w:rsidRDefault="00BA467F" w:rsidP="00C32ACA">
            <w:pPr>
              <w:spacing w:after="0" w:line="240" w:lineRule="auto"/>
              <w:jc w:val="center"/>
              <w:rPr>
                <w:rFonts w:cs="Calibri"/>
                <w:b/>
                <w:bCs/>
                <w:sz w:val="18"/>
                <w:szCs w:val="18"/>
                <w:lang w:eastAsia="sk-SK"/>
              </w:rPr>
            </w:pPr>
          </w:p>
        </w:tc>
      </w:tr>
      <w:tr w:rsidR="00BA467F" w:rsidRPr="0026467B" w14:paraId="56610FF1" w14:textId="77777777" w:rsidTr="00BA467F">
        <w:trPr>
          <w:trHeight w:hRule="exact" w:val="263"/>
        </w:trPr>
        <w:tc>
          <w:tcPr>
            <w:tcW w:w="5586" w:type="dxa"/>
            <w:vMerge w:val="restart"/>
            <w:tcBorders>
              <w:top w:val="single" w:sz="8" w:space="0" w:color="FFFFFF"/>
              <w:left w:val="single" w:sz="8" w:space="0" w:color="FFFFFF"/>
              <w:bottom w:val="single" w:sz="8" w:space="0" w:color="FFFFFF"/>
              <w:right w:val="single" w:sz="8" w:space="0" w:color="FFFFFF"/>
            </w:tcBorders>
            <w:shd w:val="clear" w:color="000000" w:fill="D9D9D9"/>
            <w:vAlign w:val="center"/>
            <w:hideMark/>
          </w:tcPr>
          <w:p w14:paraId="59EA72C5"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Hotelová akadémia, </w:t>
            </w:r>
            <w:proofErr w:type="spellStart"/>
            <w:r w:rsidRPr="0026467B">
              <w:rPr>
                <w:rFonts w:asciiTheme="minorHAnsi" w:hAnsiTheme="minorHAnsi" w:cstheme="minorHAnsi"/>
                <w:sz w:val="18"/>
                <w:szCs w:val="18"/>
                <w:lang w:eastAsia="sk-SK"/>
              </w:rPr>
              <w:t>Mikovíniho</w:t>
            </w:r>
            <w:proofErr w:type="spellEnd"/>
            <w:r w:rsidRPr="0026467B">
              <w:rPr>
                <w:rFonts w:asciiTheme="minorHAnsi" w:hAnsiTheme="minorHAnsi" w:cstheme="minorHAnsi"/>
                <w:sz w:val="18"/>
                <w:szCs w:val="18"/>
                <w:lang w:eastAsia="sk-SK"/>
              </w:rPr>
              <w:t xml:space="preserve"> 1, BA</w:t>
            </w:r>
          </w:p>
        </w:tc>
        <w:tc>
          <w:tcPr>
            <w:tcW w:w="2162" w:type="dxa"/>
            <w:tcBorders>
              <w:top w:val="single" w:sz="8" w:space="0" w:color="FFFFFF"/>
              <w:left w:val="nil"/>
              <w:bottom w:val="single" w:sz="8" w:space="0" w:color="FFFFFF"/>
              <w:right w:val="single" w:sz="8" w:space="0" w:color="FFFFFF"/>
            </w:tcBorders>
            <w:shd w:val="clear" w:color="000000" w:fill="F2F2F2"/>
            <w:noWrap/>
            <w:vAlign w:val="center"/>
            <w:hideMark/>
          </w:tcPr>
          <w:p w14:paraId="1241D732"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single" w:sz="8" w:space="0" w:color="FFFFFF"/>
              <w:left w:val="nil"/>
              <w:bottom w:val="single" w:sz="8" w:space="0" w:color="FFFFFF"/>
              <w:right w:val="single" w:sz="8" w:space="0" w:color="FFFFFF"/>
            </w:tcBorders>
            <w:shd w:val="clear" w:color="auto" w:fill="C4BC96" w:themeFill="background2" w:themeFillShade="BF"/>
            <w:noWrap/>
            <w:vAlign w:val="bottom"/>
          </w:tcPr>
          <w:p w14:paraId="02E954A9" w14:textId="77777777" w:rsidR="00BA467F" w:rsidRPr="0026467B" w:rsidRDefault="00BA467F" w:rsidP="00C32ACA">
            <w:pPr>
              <w:spacing w:after="0" w:line="240" w:lineRule="auto"/>
              <w:jc w:val="right"/>
              <w:rPr>
                <w:rFonts w:cs="Calibri"/>
                <w:sz w:val="18"/>
                <w:szCs w:val="18"/>
              </w:rPr>
            </w:pPr>
            <w:r w:rsidRPr="0026467B">
              <w:rPr>
                <w:rFonts w:cs="Calibri"/>
                <w:sz w:val="18"/>
                <w:szCs w:val="18"/>
              </w:rPr>
              <w:t>2 950</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4C619369" w14:textId="77777777" w:rsidR="00BA467F" w:rsidRPr="0026467B" w:rsidRDefault="00BA467F" w:rsidP="00C32ACA">
            <w:pPr>
              <w:spacing w:after="0" w:line="240" w:lineRule="auto"/>
              <w:jc w:val="right"/>
              <w:rPr>
                <w:rFonts w:cs="Calibri"/>
                <w:sz w:val="18"/>
                <w:szCs w:val="18"/>
              </w:rPr>
            </w:pPr>
            <w:r w:rsidRPr="0026467B">
              <w:rPr>
                <w:rFonts w:cs="Calibri"/>
                <w:sz w:val="18"/>
                <w:szCs w:val="18"/>
              </w:rPr>
              <w:t>2 200</w:t>
            </w:r>
          </w:p>
        </w:tc>
      </w:tr>
      <w:tr w:rsidR="00BA467F" w:rsidRPr="0026467B" w14:paraId="7E299FE9"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64AD7780"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6DCE595E"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20474C42" w14:textId="77777777" w:rsidR="00BA467F" w:rsidRPr="0026467B" w:rsidRDefault="00BA467F" w:rsidP="00C32ACA">
            <w:pPr>
              <w:spacing w:after="0"/>
              <w:jc w:val="right"/>
              <w:rPr>
                <w:rFonts w:cs="Calibri"/>
                <w:sz w:val="18"/>
                <w:szCs w:val="18"/>
              </w:rPr>
            </w:pPr>
            <w:r w:rsidRPr="0026467B">
              <w:rPr>
                <w:rFonts w:cs="Calibri"/>
                <w:sz w:val="18"/>
                <w:szCs w:val="18"/>
              </w:rPr>
              <w:t>1 021</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6A454309" w14:textId="77777777" w:rsidR="00BA467F" w:rsidRPr="0026467B" w:rsidRDefault="00BA467F" w:rsidP="00C32ACA">
            <w:pPr>
              <w:spacing w:after="0"/>
              <w:jc w:val="right"/>
              <w:rPr>
                <w:rFonts w:cs="Calibri"/>
                <w:sz w:val="18"/>
                <w:szCs w:val="18"/>
              </w:rPr>
            </w:pPr>
            <w:r w:rsidRPr="0026467B">
              <w:rPr>
                <w:rFonts w:cs="Calibri"/>
                <w:sz w:val="18"/>
                <w:szCs w:val="18"/>
              </w:rPr>
              <w:t>1 876</w:t>
            </w:r>
          </w:p>
        </w:tc>
      </w:tr>
      <w:tr w:rsidR="00BA467F" w:rsidRPr="0026467B" w14:paraId="75CFCD49"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1DE8A036"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0057071F"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25B8D906" w14:textId="77777777" w:rsidR="00BA467F" w:rsidRPr="0026467B" w:rsidRDefault="00BA467F" w:rsidP="00C32ACA">
            <w:pPr>
              <w:spacing w:after="0"/>
              <w:jc w:val="right"/>
              <w:rPr>
                <w:rFonts w:cs="Calibri"/>
                <w:sz w:val="18"/>
                <w:szCs w:val="18"/>
              </w:rPr>
            </w:pPr>
            <w:r w:rsidRPr="0026467B">
              <w:rPr>
                <w:rFonts w:cs="Calibri"/>
                <w:sz w:val="18"/>
                <w:szCs w:val="18"/>
              </w:rPr>
              <w:t>289</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3F6A8DD4" w14:textId="77777777" w:rsidR="00BA467F" w:rsidRPr="0026467B" w:rsidRDefault="00BA467F" w:rsidP="00C32ACA">
            <w:pPr>
              <w:spacing w:after="0"/>
              <w:jc w:val="right"/>
              <w:rPr>
                <w:rFonts w:cs="Calibri"/>
                <w:sz w:val="18"/>
                <w:szCs w:val="18"/>
              </w:rPr>
            </w:pPr>
            <w:r w:rsidRPr="0026467B">
              <w:rPr>
                <w:rFonts w:cs="Calibri"/>
                <w:sz w:val="18"/>
                <w:szCs w:val="18"/>
              </w:rPr>
              <w:t>68</w:t>
            </w:r>
          </w:p>
        </w:tc>
      </w:tr>
      <w:tr w:rsidR="00BA467F" w:rsidRPr="0026467B" w14:paraId="061F1526"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40037077"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5EFE6450"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605B3E28" w14:textId="77777777" w:rsidR="00BA467F" w:rsidRPr="0026467B" w:rsidRDefault="00BA467F" w:rsidP="00C32ACA">
            <w:pPr>
              <w:spacing w:after="0"/>
              <w:jc w:val="right"/>
              <w:rPr>
                <w:rFonts w:cs="Calibri"/>
                <w:b/>
                <w:bCs/>
                <w:sz w:val="18"/>
                <w:szCs w:val="18"/>
              </w:rPr>
            </w:pPr>
            <w:r w:rsidRPr="0026467B">
              <w:rPr>
                <w:rFonts w:cs="Calibri"/>
                <w:b/>
                <w:bCs/>
                <w:sz w:val="18"/>
                <w:szCs w:val="18"/>
              </w:rPr>
              <w:t>1 639</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276C705B" w14:textId="77777777" w:rsidR="00BA467F" w:rsidRPr="0026467B" w:rsidRDefault="00BA467F" w:rsidP="00C32ACA">
            <w:pPr>
              <w:spacing w:after="0"/>
              <w:jc w:val="right"/>
              <w:rPr>
                <w:rFonts w:cs="Calibri"/>
                <w:b/>
                <w:sz w:val="18"/>
                <w:szCs w:val="18"/>
              </w:rPr>
            </w:pPr>
            <w:r w:rsidRPr="0026467B">
              <w:rPr>
                <w:rFonts w:cs="Calibri"/>
                <w:b/>
                <w:bCs/>
                <w:sz w:val="18"/>
                <w:szCs w:val="18"/>
              </w:rPr>
              <w:t>256</w:t>
            </w:r>
          </w:p>
        </w:tc>
      </w:tr>
      <w:tr w:rsidR="00BA467F" w:rsidRPr="0026467B" w14:paraId="30E49498" w14:textId="77777777" w:rsidTr="00BA467F">
        <w:trPr>
          <w:trHeight w:hRule="exact" w:val="263"/>
        </w:trPr>
        <w:tc>
          <w:tcPr>
            <w:tcW w:w="5586" w:type="dxa"/>
            <w:vMerge w:val="restart"/>
            <w:tcBorders>
              <w:top w:val="nil"/>
              <w:left w:val="single" w:sz="8" w:space="0" w:color="FFFFFF"/>
              <w:bottom w:val="single" w:sz="8" w:space="0" w:color="FFFFFF"/>
              <w:right w:val="single" w:sz="8" w:space="0" w:color="FFFFFF"/>
            </w:tcBorders>
            <w:shd w:val="clear" w:color="000000" w:fill="D9D9D9"/>
            <w:vAlign w:val="center"/>
            <w:hideMark/>
          </w:tcPr>
          <w:p w14:paraId="717B0E38"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cs="Calibri"/>
                <w:sz w:val="18"/>
                <w:szCs w:val="18"/>
              </w:rPr>
              <w:t>SOŠ automobilová a podnikania, Kysucká 14, Senec</w:t>
            </w:r>
          </w:p>
        </w:tc>
        <w:tc>
          <w:tcPr>
            <w:tcW w:w="2162" w:type="dxa"/>
            <w:tcBorders>
              <w:top w:val="nil"/>
              <w:left w:val="nil"/>
              <w:bottom w:val="single" w:sz="8" w:space="0" w:color="FFFFFF"/>
              <w:right w:val="single" w:sz="8" w:space="0" w:color="FFFFFF"/>
            </w:tcBorders>
            <w:shd w:val="clear" w:color="000000" w:fill="F2F2F2"/>
            <w:noWrap/>
            <w:vAlign w:val="center"/>
            <w:hideMark/>
          </w:tcPr>
          <w:p w14:paraId="18DD7C1F"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03EF7BD2" w14:textId="77777777" w:rsidR="00BA467F" w:rsidRPr="0026467B" w:rsidRDefault="00BA467F" w:rsidP="00C32ACA">
            <w:pPr>
              <w:spacing w:after="0"/>
              <w:jc w:val="right"/>
              <w:rPr>
                <w:rFonts w:cs="Calibri"/>
                <w:sz w:val="18"/>
                <w:szCs w:val="18"/>
              </w:rPr>
            </w:pPr>
            <w:r w:rsidRPr="0026467B">
              <w:rPr>
                <w:rFonts w:cs="Calibri"/>
                <w:sz w:val="18"/>
                <w:szCs w:val="18"/>
              </w:rPr>
              <w:t>131 900</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156DD081" w14:textId="77777777" w:rsidR="00BA467F" w:rsidRPr="0026467B" w:rsidRDefault="00BA467F" w:rsidP="00C32ACA">
            <w:pPr>
              <w:spacing w:after="0"/>
              <w:jc w:val="right"/>
              <w:rPr>
                <w:rFonts w:cs="Calibri"/>
                <w:sz w:val="18"/>
                <w:szCs w:val="18"/>
              </w:rPr>
            </w:pPr>
            <w:r w:rsidRPr="0026467B">
              <w:rPr>
                <w:rFonts w:cs="Calibri"/>
                <w:sz w:val="18"/>
                <w:szCs w:val="18"/>
              </w:rPr>
              <w:t>173 440</w:t>
            </w:r>
          </w:p>
        </w:tc>
      </w:tr>
      <w:tr w:rsidR="00BA467F" w:rsidRPr="0026467B" w14:paraId="7F05D039"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4C2559BE"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4FF0B5A6"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60758329" w14:textId="77777777" w:rsidR="00BA467F" w:rsidRPr="0026467B" w:rsidRDefault="00BA467F" w:rsidP="00C32ACA">
            <w:pPr>
              <w:spacing w:after="0"/>
              <w:jc w:val="right"/>
              <w:rPr>
                <w:rFonts w:cs="Calibri"/>
                <w:sz w:val="18"/>
                <w:szCs w:val="18"/>
              </w:rPr>
            </w:pPr>
            <w:r w:rsidRPr="0026467B">
              <w:rPr>
                <w:rFonts w:cs="Calibri"/>
                <w:sz w:val="18"/>
                <w:szCs w:val="18"/>
              </w:rPr>
              <w:t>131 900</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17359E47" w14:textId="77777777" w:rsidR="00BA467F" w:rsidRPr="0026467B" w:rsidRDefault="00BA467F" w:rsidP="00C32ACA">
            <w:pPr>
              <w:spacing w:after="0"/>
              <w:jc w:val="right"/>
              <w:rPr>
                <w:rFonts w:cs="Calibri"/>
                <w:sz w:val="18"/>
                <w:szCs w:val="18"/>
              </w:rPr>
            </w:pPr>
            <w:r w:rsidRPr="0026467B">
              <w:rPr>
                <w:rFonts w:cs="Calibri"/>
                <w:sz w:val="18"/>
                <w:szCs w:val="18"/>
              </w:rPr>
              <w:t>173 440</w:t>
            </w:r>
          </w:p>
        </w:tc>
      </w:tr>
      <w:tr w:rsidR="00BA467F" w:rsidRPr="0026467B" w14:paraId="66ED496A"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1D121105"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5923BF76"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4B74F91E" w14:textId="77777777" w:rsidR="00BA467F" w:rsidRPr="0026467B" w:rsidRDefault="00BA467F" w:rsidP="00C32ACA">
            <w:pPr>
              <w:spacing w:after="0"/>
              <w:jc w:val="right"/>
              <w:rPr>
                <w:rFonts w:cs="Calibri"/>
                <w:sz w:val="18"/>
                <w:szCs w:val="18"/>
              </w:rPr>
            </w:pPr>
            <w:r w:rsidRPr="0026467B">
              <w:rPr>
                <w:rFonts w:cs="Calibri"/>
                <w:sz w:val="18"/>
                <w:szCs w:val="18"/>
              </w:rPr>
              <w:t>0</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6185D946" w14:textId="77777777" w:rsidR="00BA467F" w:rsidRPr="0026467B" w:rsidRDefault="00BA467F" w:rsidP="00C32ACA">
            <w:pPr>
              <w:spacing w:after="0"/>
              <w:jc w:val="right"/>
              <w:rPr>
                <w:rFonts w:cs="Calibri"/>
                <w:sz w:val="18"/>
                <w:szCs w:val="18"/>
              </w:rPr>
            </w:pPr>
            <w:r w:rsidRPr="0026467B">
              <w:rPr>
                <w:rFonts w:cs="Calibri"/>
                <w:sz w:val="18"/>
                <w:szCs w:val="18"/>
              </w:rPr>
              <w:t>0</w:t>
            </w:r>
          </w:p>
        </w:tc>
      </w:tr>
      <w:tr w:rsidR="00BA467F" w:rsidRPr="0026467B" w14:paraId="72BA477C"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3826526E"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31352785"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5F39DFD3" w14:textId="77777777" w:rsidR="00BA467F" w:rsidRPr="0026467B" w:rsidRDefault="00BA467F" w:rsidP="00C32ACA">
            <w:pPr>
              <w:spacing w:after="0"/>
              <w:jc w:val="right"/>
              <w:rPr>
                <w:rFonts w:cs="Calibri"/>
                <w:b/>
                <w:bCs/>
                <w:sz w:val="18"/>
                <w:szCs w:val="18"/>
              </w:rPr>
            </w:pPr>
            <w:r w:rsidRPr="0026467B">
              <w:rPr>
                <w:rFonts w:cs="Calibri"/>
                <w:b/>
                <w:bCs/>
                <w:sz w:val="18"/>
                <w:szCs w:val="18"/>
              </w:rPr>
              <w:t>0</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4A4C7892" w14:textId="77777777" w:rsidR="00BA467F" w:rsidRPr="0026467B" w:rsidRDefault="00BA467F" w:rsidP="00C32ACA">
            <w:pPr>
              <w:spacing w:after="0"/>
              <w:jc w:val="right"/>
              <w:rPr>
                <w:rFonts w:cs="Calibri"/>
                <w:b/>
                <w:sz w:val="18"/>
                <w:szCs w:val="18"/>
              </w:rPr>
            </w:pPr>
            <w:r w:rsidRPr="0026467B">
              <w:rPr>
                <w:rFonts w:cs="Calibri"/>
                <w:b/>
                <w:bCs/>
                <w:sz w:val="18"/>
                <w:szCs w:val="18"/>
              </w:rPr>
              <w:t>0</w:t>
            </w:r>
          </w:p>
        </w:tc>
      </w:tr>
      <w:tr w:rsidR="00BA467F" w:rsidRPr="0026467B" w14:paraId="56CD3BD2" w14:textId="77777777" w:rsidTr="00BA467F">
        <w:trPr>
          <w:trHeight w:hRule="exact" w:val="263"/>
        </w:trPr>
        <w:tc>
          <w:tcPr>
            <w:tcW w:w="5586" w:type="dxa"/>
            <w:vMerge w:val="restart"/>
            <w:tcBorders>
              <w:top w:val="nil"/>
              <w:left w:val="single" w:sz="8" w:space="0" w:color="FFFFFF"/>
              <w:bottom w:val="single" w:sz="8" w:space="0" w:color="FFFFFF"/>
              <w:right w:val="single" w:sz="8" w:space="0" w:color="FFFFFF"/>
            </w:tcBorders>
            <w:shd w:val="clear" w:color="000000" w:fill="D9D9D9"/>
            <w:vAlign w:val="center"/>
            <w:hideMark/>
          </w:tcPr>
          <w:p w14:paraId="6F556711"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SOŠ hotelových služieb a obchodu, Na Pántoch 9, BA</w:t>
            </w:r>
          </w:p>
        </w:tc>
        <w:tc>
          <w:tcPr>
            <w:tcW w:w="2162" w:type="dxa"/>
            <w:tcBorders>
              <w:top w:val="nil"/>
              <w:left w:val="nil"/>
              <w:bottom w:val="single" w:sz="8" w:space="0" w:color="FFFFFF"/>
              <w:right w:val="single" w:sz="8" w:space="0" w:color="FFFFFF"/>
            </w:tcBorders>
            <w:shd w:val="clear" w:color="000000" w:fill="F2F2F2"/>
            <w:noWrap/>
            <w:vAlign w:val="center"/>
            <w:hideMark/>
          </w:tcPr>
          <w:p w14:paraId="3A5FDD4E"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0AB9C2FE" w14:textId="77777777" w:rsidR="00BA467F" w:rsidRPr="0026467B" w:rsidRDefault="00BA467F" w:rsidP="00C32ACA">
            <w:pPr>
              <w:spacing w:after="0"/>
              <w:jc w:val="right"/>
              <w:rPr>
                <w:rFonts w:cs="Calibri"/>
                <w:sz w:val="18"/>
                <w:szCs w:val="18"/>
              </w:rPr>
            </w:pPr>
            <w:r w:rsidRPr="0026467B">
              <w:rPr>
                <w:rFonts w:cs="Calibri"/>
                <w:sz w:val="18"/>
                <w:szCs w:val="18"/>
              </w:rPr>
              <w:t>4 493</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137A52F5" w14:textId="77777777" w:rsidR="00BA467F" w:rsidRPr="0026467B" w:rsidRDefault="00BA467F" w:rsidP="00C32ACA">
            <w:pPr>
              <w:spacing w:after="0"/>
              <w:jc w:val="right"/>
              <w:rPr>
                <w:rFonts w:cs="Calibri"/>
                <w:sz w:val="18"/>
                <w:szCs w:val="18"/>
              </w:rPr>
            </w:pPr>
            <w:r w:rsidRPr="0026467B">
              <w:rPr>
                <w:rFonts w:cs="Calibri"/>
                <w:sz w:val="18"/>
                <w:szCs w:val="18"/>
              </w:rPr>
              <w:t>34 692</w:t>
            </w:r>
          </w:p>
        </w:tc>
      </w:tr>
      <w:tr w:rsidR="00BA467F" w:rsidRPr="0026467B" w14:paraId="099F7BB6"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1A7CD7AF"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426B19BC"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21C70DE0" w14:textId="77777777" w:rsidR="00BA467F" w:rsidRPr="0026467B" w:rsidRDefault="00BA467F" w:rsidP="00C32ACA">
            <w:pPr>
              <w:spacing w:after="0"/>
              <w:jc w:val="right"/>
              <w:rPr>
                <w:rFonts w:cs="Calibri"/>
                <w:sz w:val="18"/>
                <w:szCs w:val="18"/>
              </w:rPr>
            </w:pPr>
            <w:r w:rsidRPr="0026467B">
              <w:rPr>
                <w:rFonts w:cs="Calibri"/>
                <w:sz w:val="18"/>
                <w:szCs w:val="18"/>
              </w:rPr>
              <w:t>4 272</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6C6C1646" w14:textId="77777777" w:rsidR="00BA467F" w:rsidRPr="0026467B" w:rsidRDefault="00BA467F" w:rsidP="00C32ACA">
            <w:pPr>
              <w:spacing w:after="0"/>
              <w:jc w:val="right"/>
              <w:rPr>
                <w:rFonts w:cs="Calibri"/>
                <w:sz w:val="18"/>
                <w:szCs w:val="18"/>
              </w:rPr>
            </w:pPr>
            <w:r w:rsidRPr="0026467B">
              <w:rPr>
                <w:rFonts w:cs="Calibri"/>
                <w:sz w:val="18"/>
                <w:szCs w:val="18"/>
              </w:rPr>
              <w:t>27 562</w:t>
            </w:r>
          </w:p>
        </w:tc>
      </w:tr>
      <w:tr w:rsidR="00BA467F" w:rsidRPr="0026467B" w14:paraId="575184C2"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4659A765"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7877A2F5"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20B385F8" w14:textId="77777777" w:rsidR="00BA467F" w:rsidRPr="0026467B" w:rsidRDefault="00BA467F" w:rsidP="00C32ACA">
            <w:pPr>
              <w:spacing w:after="0"/>
              <w:jc w:val="right"/>
              <w:rPr>
                <w:rFonts w:cs="Calibri"/>
                <w:sz w:val="18"/>
                <w:szCs w:val="18"/>
              </w:rPr>
            </w:pPr>
            <w:r w:rsidRPr="0026467B">
              <w:rPr>
                <w:rFonts w:cs="Calibri"/>
                <w:sz w:val="18"/>
                <w:szCs w:val="18"/>
              </w:rPr>
              <w:t>33</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22274367" w14:textId="77777777" w:rsidR="00BA467F" w:rsidRPr="0026467B" w:rsidRDefault="00BA467F" w:rsidP="00C32ACA">
            <w:pPr>
              <w:spacing w:after="0"/>
              <w:jc w:val="right"/>
              <w:rPr>
                <w:rFonts w:cs="Calibri"/>
                <w:sz w:val="18"/>
                <w:szCs w:val="18"/>
              </w:rPr>
            </w:pPr>
            <w:r w:rsidRPr="0026467B">
              <w:rPr>
                <w:rFonts w:cs="Calibri"/>
                <w:sz w:val="18"/>
                <w:szCs w:val="18"/>
              </w:rPr>
              <w:t>1 497</w:t>
            </w:r>
          </w:p>
        </w:tc>
      </w:tr>
      <w:tr w:rsidR="00BA467F" w:rsidRPr="0026467B" w14:paraId="666F9318"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6D5EE51C"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6C884CD2"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43F7F2A0" w14:textId="77777777" w:rsidR="00BA467F" w:rsidRPr="0026467B" w:rsidRDefault="00BA467F" w:rsidP="00C32ACA">
            <w:pPr>
              <w:spacing w:after="0"/>
              <w:jc w:val="right"/>
              <w:rPr>
                <w:rFonts w:cs="Calibri"/>
                <w:b/>
                <w:bCs/>
                <w:sz w:val="18"/>
                <w:szCs w:val="18"/>
              </w:rPr>
            </w:pPr>
            <w:r w:rsidRPr="0026467B">
              <w:rPr>
                <w:rFonts w:cs="Calibri"/>
                <w:b/>
                <w:bCs/>
                <w:sz w:val="18"/>
                <w:szCs w:val="18"/>
              </w:rPr>
              <w:t>188</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1A23B1FA" w14:textId="77777777" w:rsidR="00BA467F" w:rsidRPr="0026467B" w:rsidRDefault="00BA467F" w:rsidP="00C32ACA">
            <w:pPr>
              <w:spacing w:after="0"/>
              <w:jc w:val="right"/>
              <w:rPr>
                <w:rFonts w:cs="Calibri"/>
                <w:b/>
                <w:sz w:val="18"/>
                <w:szCs w:val="18"/>
              </w:rPr>
            </w:pPr>
            <w:r w:rsidRPr="0026467B">
              <w:rPr>
                <w:rFonts w:cs="Calibri"/>
                <w:b/>
                <w:bCs/>
                <w:sz w:val="18"/>
                <w:szCs w:val="18"/>
              </w:rPr>
              <w:t>5 633</w:t>
            </w:r>
          </w:p>
        </w:tc>
      </w:tr>
      <w:tr w:rsidR="00BA467F" w:rsidRPr="0026467B" w14:paraId="5C042CA7" w14:textId="77777777" w:rsidTr="00BA467F">
        <w:trPr>
          <w:trHeight w:hRule="exact" w:val="263"/>
        </w:trPr>
        <w:tc>
          <w:tcPr>
            <w:tcW w:w="5586" w:type="dxa"/>
            <w:vMerge w:val="restart"/>
            <w:tcBorders>
              <w:top w:val="nil"/>
              <w:left w:val="single" w:sz="8" w:space="0" w:color="FFFFFF"/>
              <w:bottom w:val="single" w:sz="8" w:space="0" w:color="FFFFFF"/>
              <w:right w:val="single" w:sz="8" w:space="0" w:color="FFFFFF"/>
            </w:tcBorders>
            <w:shd w:val="clear" w:color="000000" w:fill="D9D9D9"/>
            <w:vAlign w:val="center"/>
            <w:hideMark/>
          </w:tcPr>
          <w:p w14:paraId="616AE04D"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SOŠ informačných technológií, Hlinická 1, BA</w:t>
            </w:r>
          </w:p>
        </w:tc>
        <w:tc>
          <w:tcPr>
            <w:tcW w:w="2162" w:type="dxa"/>
            <w:tcBorders>
              <w:top w:val="nil"/>
              <w:left w:val="nil"/>
              <w:bottom w:val="single" w:sz="8" w:space="0" w:color="FFFFFF"/>
              <w:right w:val="single" w:sz="8" w:space="0" w:color="FFFFFF"/>
            </w:tcBorders>
            <w:shd w:val="clear" w:color="000000" w:fill="F2F2F2"/>
            <w:noWrap/>
            <w:vAlign w:val="center"/>
            <w:hideMark/>
          </w:tcPr>
          <w:p w14:paraId="5C2BC8FB"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16CA2B50" w14:textId="77777777" w:rsidR="00BA467F" w:rsidRPr="0026467B" w:rsidRDefault="00BA467F" w:rsidP="00C32ACA">
            <w:pPr>
              <w:spacing w:after="0"/>
              <w:jc w:val="right"/>
              <w:rPr>
                <w:rFonts w:cs="Calibri"/>
                <w:sz w:val="18"/>
                <w:szCs w:val="18"/>
              </w:rPr>
            </w:pPr>
            <w:r w:rsidRPr="0026467B">
              <w:rPr>
                <w:rFonts w:cs="Calibri"/>
                <w:sz w:val="18"/>
                <w:szCs w:val="18"/>
              </w:rPr>
              <w:t>132 651</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64EC65A4" w14:textId="77777777" w:rsidR="00BA467F" w:rsidRPr="0026467B" w:rsidRDefault="00BA467F" w:rsidP="00C32ACA">
            <w:pPr>
              <w:spacing w:after="0"/>
              <w:jc w:val="right"/>
              <w:rPr>
                <w:rFonts w:cs="Calibri"/>
                <w:sz w:val="18"/>
                <w:szCs w:val="18"/>
              </w:rPr>
            </w:pPr>
            <w:r w:rsidRPr="0026467B">
              <w:rPr>
                <w:rFonts w:cs="Calibri"/>
                <w:sz w:val="18"/>
                <w:szCs w:val="18"/>
              </w:rPr>
              <w:t>121 379</w:t>
            </w:r>
          </w:p>
        </w:tc>
      </w:tr>
      <w:tr w:rsidR="00BA467F" w:rsidRPr="0026467B" w14:paraId="27225A4A"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2731E7F9"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409D051D"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62D9F237" w14:textId="77777777" w:rsidR="00BA467F" w:rsidRPr="0026467B" w:rsidRDefault="00BA467F" w:rsidP="00C32ACA">
            <w:pPr>
              <w:spacing w:after="0"/>
              <w:jc w:val="right"/>
              <w:rPr>
                <w:rFonts w:cs="Calibri"/>
                <w:sz w:val="18"/>
                <w:szCs w:val="18"/>
              </w:rPr>
            </w:pPr>
            <w:r w:rsidRPr="0026467B">
              <w:rPr>
                <w:rFonts w:cs="Calibri"/>
                <w:sz w:val="18"/>
                <w:szCs w:val="18"/>
              </w:rPr>
              <w:t>129 974</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5E2E0929" w14:textId="77777777" w:rsidR="00BA467F" w:rsidRPr="0026467B" w:rsidRDefault="00BA467F" w:rsidP="00C32ACA">
            <w:pPr>
              <w:spacing w:after="0"/>
              <w:jc w:val="right"/>
              <w:rPr>
                <w:rFonts w:cs="Calibri"/>
                <w:sz w:val="18"/>
                <w:szCs w:val="18"/>
              </w:rPr>
            </w:pPr>
            <w:r w:rsidRPr="0026467B">
              <w:rPr>
                <w:rFonts w:cs="Calibri"/>
                <w:sz w:val="18"/>
                <w:szCs w:val="18"/>
              </w:rPr>
              <w:t>115 773</w:t>
            </w:r>
          </w:p>
        </w:tc>
      </w:tr>
      <w:tr w:rsidR="00BA467F" w:rsidRPr="0026467B" w14:paraId="046438AD"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6BEE8E0A"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39CC0893"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6371BB74" w14:textId="77777777" w:rsidR="00BA467F" w:rsidRPr="0026467B" w:rsidRDefault="00BA467F" w:rsidP="00C32ACA">
            <w:pPr>
              <w:spacing w:after="0"/>
              <w:jc w:val="right"/>
              <w:rPr>
                <w:rFonts w:cs="Calibri"/>
                <w:sz w:val="18"/>
                <w:szCs w:val="18"/>
              </w:rPr>
            </w:pPr>
            <w:r w:rsidRPr="0026467B">
              <w:rPr>
                <w:rFonts w:cs="Calibri"/>
                <w:sz w:val="18"/>
                <w:szCs w:val="18"/>
              </w:rPr>
              <w:t>509</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1D3138FE" w14:textId="77777777" w:rsidR="00BA467F" w:rsidRPr="0026467B" w:rsidRDefault="00BA467F" w:rsidP="00C32ACA">
            <w:pPr>
              <w:spacing w:after="0"/>
              <w:jc w:val="right"/>
              <w:rPr>
                <w:rFonts w:cs="Calibri"/>
                <w:sz w:val="18"/>
                <w:szCs w:val="18"/>
              </w:rPr>
            </w:pPr>
            <w:r w:rsidRPr="0026467B">
              <w:rPr>
                <w:rFonts w:cs="Calibri"/>
                <w:sz w:val="18"/>
                <w:szCs w:val="18"/>
              </w:rPr>
              <w:t>1 177</w:t>
            </w:r>
          </w:p>
        </w:tc>
      </w:tr>
      <w:tr w:rsidR="00BA467F" w:rsidRPr="0026467B" w14:paraId="39214775"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13DEF481"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6B56C06B"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7A20B49D" w14:textId="77777777" w:rsidR="00BA467F" w:rsidRPr="0026467B" w:rsidRDefault="00BA467F" w:rsidP="00C32ACA">
            <w:pPr>
              <w:spacing w:after="0"/>
              <w:jc w:val="right"/>
              <w:rPr>
                <w:rFonts w:cs="Calibri"/>
                <w:b/>
                <w:bCs/>
                <w:sz w:val="18"/>
                <w:szCs w:val="18"/>
              </w:rPr>
            </w:pPr>
            <w:r w:rsidRPr="0026467B">
              <w:rPr>
                <w:rFonts w:cs="Calibri"/>
                <w:b/>
                <w:bCs/>
                <w:sz w:val="18"/>
                <w:szCs w:val="18"/>
              </w:rPr>
              <w:t>2 169</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53BDF307" w14:textId="77777777" w:rsidR="00BA467F" w:rsidRPr="0026467B" w:rsidRDefault="00BA467F" w:rsidP="00C32ACA">
            <w:pPr>
              <w:spacing w:after="0"/>
              <w:jc w:val="right"/>
              <w:rPr>
                <w:rFonts w:cs="Calibri"/>
                <w:b/>
                <w:sz w:val="18"/>
                <w:szCs w:val="18"/>
              </w:rPr>
            </w:pPr>
            <w:r w:rsidRPr="0026467B">
              <w:rPr>
                <w:rFonts w:cs="Calibri"/>
                <w:b/>
                <w:bCs/>
                <w:sz w:val="18"/>
                <w:szCs w:val="18"/>
              </w:rPr>
              <w:t>4 429</w:t>
            </w:r>
          </w:p>
        </w:tc>
      </w:tr>
      <w:tr w:rsidR="00BA467F" w:rsidRPr="0026467B" w14:paraId="4405E42C" w14:textId="77777777" w:rsidTr="00BA467F">
        <w:trPr>
          <w:trHeight w:hRule="exact" w:val="263"/>
        </w:trPr>
        <w:tc>
          <w:tcPr>
            <w:tcW w:w="5586" w:type="dxa"/>
            <w:vMerge w:val="restart"/>
            <w:tcBorders>
              <w:top w:val="single" w:sz="8" w:space="0" w:color="FFFFFF"/>
              <w:left w:val="single" w:sz="8" w:space="0" w:color="FFFFFF"/>
              <w:bottom w:val="single" w:sz="8" w:space="0" w:color="FFFFFF"/>
              <w:right w:val="single" w:sz="8" w:space="0" w:color="FFFFFF"/>
            </w:tcBorders>
            <w:shd w:val="clear" w:color="000000" w:fill="D9D9D9"/>
            <w:vAlign w:val="center"/>
            <w:hideMark/>
          </w:tcPr>
          <w:p w14:paraId="4CBF2D44"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cs="Calibri"/>
                <w:sz w:val="18"/>
                <w:szCs w:val="18"/>
              </w:rPr>
              <w:t xml:space="preserve">SOŠ kaderníctva a </w:t>
            </w:r>
            <w:proofErr w:type="spellStart"/>
            <w:r w:rsidRPr="0026467B">
              <w:rPr>
                <w:rFonts w:cs="Calibri"/>
                <w:sz w:val="18"/>
                <w:szCs w:val="18"/>
              </w:rPr>
              <w:t>vizážistiky</w:t>
            </w:r>
            <w:proofErr w:type="spellEnd"/>
            <w:r w:rsidRPr="0026467B">
              <w:rPr>
                <w:rFonts w:cs="Calibri"/>
                <w:sz w:val="18"/>
                <w:szCs w:val="18"/>
              </w:rPr>
              <w:t xml:space="preserve">, Svätoplukova </w:t>
            </w:r>
            <w:r w:rsidRPr="0026467B">
              <w:rPr>
                <w:rFonts w:asciiTheme="minorHAnsi" w:hAnsiTheme="minorHAnsi" w:cstheme="minorHAnsi"/>
                <w:sz w:val="18"/>
                <w:szCs w:val="18"/>
                <w:lang w:eastAsia="sk-SK"/>
              </w:rPr>
              <w:t>2, BA</w:t>
            </w:r>
          </w:p>
        </w:tc>
        <w:tc>
          <w:tcPr>
            <w:tcW w:w="2162" w:type="dxa"/>
            <w:tcBorders>
              <w:top w:val="nil"/>
              <w:left w:val="nil"/>
              <w:bottom w:val="single" w:sz="8" w:space="0" w:color="FFFFFF"/>
              <w:right w:val="single" w:sz="8" w:space="0" w:color="FFFFFF"/>
            </w:tcBorders>
            <w:shd w:val="clear" w:color="000000" w:fill="F2F2F2"/>
            <w:noWrap/>
            <w:vAlign w:val="center"/>
            <w:hideMark/>
          </w:tcPr>
          <w:p w14:paraId="5D387AC5"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5ACAB513" w14:textId="77777777" w:rsidR="00BA467F" w:rsidRPr="0026467B" w:rsidRDefault="00BA467F" w:rsidP="00C32ACA">
            <w:pPr>
              <w:spacing w:after="0"/>
              <w:jc w:val="right"/>
              <w:rPr>
                <w:rFonts w:cs="Calibri"/>
                <w:sz w:val="18"/>
                <w:szCs w:val="18"/>
              </w:rPr>
            </w:pPr>
            <w:r w:rsidRPr="0026467B">
              <w:rPr>
                <w:rFonts w:cs="Calibri"/>
                <w:sz w:val="18"/>
                <w:szCs w:val="18"/>
              </w:rPr>
              <w:t>78 506</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2D918E1E" w14:textId="77777777" w:rsidR="00BA467F" w:rsidRPr="0026467B" w:rsidRDefault="00BA467F" w:rsidP="00C32ACA">
            <w:pPr>
              <w:spacing w:after="0"/>
              <w:jc w:val="right"/>
              <w:rPr>
                <w:rFonts w:cs="Calibri"/>
                <w:sz w:val="18"/>
                <w:szCs w:val="18"/>
              </w:rPr>
            </w:pPr>
            <w:r w:rsidRPr="0026467B">
              <w:rPr>
                <w:rFonts w:cs="Calibri"/>
                <w:sz w:val="18"/>
                <w:szCs w:val="18"/>
              </w:rPr>
              <w:t>96 068</w:t>
            </w:r>
          </w:p>
        </w:tc>
      </w:tr>
      <w:tr w:rsidR="00BA467F" w:rsidRPr="0026467B" w14:paraId="134FEC2C"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310F4C91"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32F935B0"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1D8D60B4" w14:textId="77777777" w:rsidR="00BA467F" w:rsidRPr="0026467B" w:rsidRDefault="00BA467F" w:rsidP="00C32ACA">
            <w:pPr>
              <w:spacing w:after="0"/>
              <w:jc w:val="right"/>
              <w:rPr>
                <w:rFonts w:cs="Calibri"/>
                <w:sz w:val="18"/>
                <w:szCs w:val="18"/>
              </w:rPr>
            </w:pPr>
            <w:r w:rsidRPr="0026467B">
              <w:rPr>
                <w:rFonts w:cs="Calibri"/>
                <w:sz w:val="18"/>
                <w:szCs w:val="18"/>
              </w:rPr>
              <w:t>74 642</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53C3A2F8" w14:textId="77777777" w:rsidR="00BA467F" w:rsidRPr="0026467B" w:rsidRDefault="00BA467F" w:rsidP="00C32ACA">
            <w:pPr>
              <w:spacing w:after="0"/>
              <w:jc w:val="right"/>
              <w:rPr>
                <w:rFonts w:cs="Calibri"/>
                <w:sz w:val="18"/>
                <w:szCs w:val="18"/>
              </w:rPr>
            </w:pPr>
            <w:r w:rsidRPr="0026467B">
              <w:rPr>
                <w:rFonts w:cs="Calibri"/>
                <w:sz w:val="18"/>
                <w:szCs w:val="18"/>
              </w:rPr>
              <w:t>86 928</w:t>
            </w:r>
          </w:p>
        </w:tc>
      </w:tr>
      <w:tr w:rsidR="00BA467F" w:rsidRPr="0026467B" w14:paraId="16E60162"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7C2412EC"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0EF6D7C1"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2EBFCFDF" w14:textId="77777777" w:rsidR="00BA467F" w:rsidRPr="0026467B" w:rsidRDefault="00BA467F" w:rsidP="00C32ACA">
            <w:pPr>
              <w:spacing w:after="0"/>
              <w:jc w:val="right"/>
              <w:rPr>
                <w:rFonts w:cs="Calibri"/>
                <w:sz w:val="18"/>
                <w:szCs w:val="18"/>
              </w:rPr>
            </w:pPr>
            <w:r w:rsidRPr="0026467B">
              <w:rPr>
                <w:rFonts w:cs="Calibri"/>
                <w:sz w:val="18"/>
                <w:szCs w:val="18"/>
              </w:rPr>
              <w:t>811</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0F965FCD" w14:textId="77777777" w:rsidR="00BA467F" w:rsidRPr="0026467B" w:rsidRDefault="00BA467F" w:rsidP="00C32ACA">
            <w:pPr>
              <w:spacing w:after="0"/>
              <w:jc w:val="right"/>
              <w:rPr>
                <w:rFonts w:cs="Calibri"/>
                <w:sz w:val="18"/>
                <w:szCs w:val="18"/>
              </w:rPr>
            </w:pPr>
            <w:r w:rsidRPr="0026467B">
              <w:rPr>
                <w:rFonts w:cs="Calibri"/>
                <w:sz w:val="18"/>
                <w:szCs w:val="18"/>
              </w:rPr>
              <w:t>1 919</w:t>
            </w:r>
          </w:p>
        </w:tc>
      </w:tr>
      <w:tr w:rsidR="00BA467F" w:rsidRPr="0026467B" w14:paraId="1A22EB08"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10CFD223"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0FBD51C6"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6CF6D039" w14:textId="77777777" w:rsidR="00BA467F" w:rsidRPr="0026467B" w:rsidRDefault="00BA467F" w:rsidP="00C32ACA">
            <w:pPr>
              <w:spacing w:after="0"/>
              <w:jc w:val="right"/>
              <w:rPr>
                <w:rFonts w:cs="Calibri"/>
                <w:b/>
                <w:bCs/>
                <w:sz w:val="18"/>
                <w:szCs w:val="18"/>
              </w:rPr>
            </w:pPr>
            <w:r w:rsidRPr="0026467B">
              <w:rPr>
                <w:rFonts w:cs="Calibri"/>
                <w:b/>
                <w:bCs/>
                <w:sz w:val="18"/>
                <w:szCs w:val="18"/>
              </w:rPr>
              <w:t>3 053</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539F1CDB" w14:textId="77777777" w:rsidR="00BA467F" w:rsidRPr="0026467B" w:rsidRDefault="00BA467F" w:rsidP="00C32ACA">
            <w:pPr>
              <w:spacing w:after="0"/>
              <w:jc w:val="right"/>
              <w:rPr>
                <w:rFonts w:cs="Calibri"/>
                <w:b/>
                <w:sz w:val="18"/>
                <w:szCs w:val="18"/>
              </w:rPr>
            </w:pPr>
            <w:r w:rsidRPr="0026467B">
              <w:rPr>
                <w:rFonts w:cs="Calibri"/>
                <w:b/>
                <w:bCs/>
                <w:sz w:val="18"/>
                <w:szCs w:val="18"/>
              </w:rPr>
              <w:t>7 220</w:t>
            </w:r>
          </w:p>
        </w:tc>
      </w:tr>
      <w:tr w:rsidR="00BA467F" w:rsidRPr="0026467B" w14:paraId="0BC8BFED" w14:textId="77777777" w:rsidTr="00BA467F">
        <w:trPr>
          <w:trHeight w:hRule="exact" w:val="263"/>
        </w:trPr>
        <w:tc>
          <w:tcPr>
            <w:tcW w:w="5586" w:type="dxa"/>
            <w:vMerge w:val="restart"/>
            <w:tcBorders>
              <w:top w:val="nil"/>
              <w:left w:val="single" w:sz="8" w:space="0" w:color="FFFFFF"/>
              <w:bottom w:val="single" w:sz="8" w:space="0" w:color="FFFFFF"/>
              <w:right w:val="single" w:sz="8" w:space="0" w:color="FFFFFF"/>
            </w:tcBorders>
            <w:shd w:val="clear" w:color="000000" w:fill="D9D9D9"/>
            <w:vAlign w:val="center"/>
            <w:hideMark/>
          </w:tcPr>
          <w:p w14:paraId="489F53D8"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SOŠ obchodu a služieb Samuela Jurkoviča, Sklenárova 1, BA</w:t>
            </w:r>
          </w:p>
        </w:tc>
        <w:tc>
          <w:tcPr>
            <w:tcW w:w="2162" w:type="dxa"/>
            <w:tcBorders>
              <w:top w:val="nil"/>
              <w:left w:val="nil"/>
              <w:bottom w:val="single" w:sz="8" w:space="0" w:color="FFFFFF"/>
              <w:right w:val="single" w:sz="8" w:space="0" w:color="FFFFFF"/>
            </w:tcBorders>
            <w:shd w:val="clear" w:color="000000" w:fill="F2F2F2"/>
            <w:noWrap/>
            <w:vAlign w:val="center"/>
            <w:hideMark/>
          </w:tcPr>
          <w:p w14:paraId="23605951"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424F35B8" w14:textId="77777777" w:rsidR="00BA467F" w:rsidRPr="0026467B" w:rsidRDefault="00BA467F" w:rsidP="00C32ACA">
            <w:pPr>
              <w:spacing w:after="0"/>
              <w:jc w:val="right"/>
              <w:rPr>
                <w:rFonts w:cs="Calibri"/>
                <w:sz w:val="18"/>
                <w:szCs w:val="18"/>
              </w:rPr>
            </w:pPr>
            <w:r w:rsidRPr="0026467B">
              <w:rPr>
                <w:rFonts w:cs="Calibri"/>
                <w:sz w:val="18"/>
                <w:szCs w:val="18"/>
              </w:rPr>
              <w:t>6 042</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73CC9DA5" w14:textId="77777777" w:rsidR="00BA467F" w:rsidRPr="0026467B" w:rsidRDefault="00BA467F" w:rsidP="00C32ACA">
            <w:pPr>
              <w:spacing w:after="0"/>
              <w:jc w:val="right"/>
              <w:rPr>
                <w:rFonts w:cs="Calibri"/>
                <w:sz w:val="18"/>
                <w:szCs w:val="18"/>
              </w:rPr>
            </w:pPr>
            <w:r w:rsidRPr="0026467B">
              <w:rPr>
                <w:rFonts w:cs="Calibri"/>
                <w:sz w:val="18"/>
                <w:szCs w:val="18"/>
              </w:rPr>
              <w:t>6 902</w:t>
            </w:r>
          </w:p>
        </w:tc>
      </w:tr>
      <w:tr w:rsidR="00BA467F" w:rsidRPr="0026467B" w14:paraId="14808D49"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2F7799AD"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1A4F4CA1"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6F3B7A9A" w14:textId="77777777" w:rsidR="00BA467F" w:rsidRPr="0026467B" w:rsidRDefault="00BA467F" w:rsidP="00C32ACA">
            <w:pPr>
              <w:spacing w:after="0"/>
              <w:jc w:val="right"/>
              <w:rPr>
                <w:rFonts w:cs="Calibri"/>
                <w:sz w:val="18"/>
                <w:szCs w:val="18"/>
              </w:rPr>
            </w:pPr>
            <w:r w:rsidRPr="0026467B">
              <w:rPr>
                <w:rFonts w:cs="Calibri"/>
                <w:sz w:val="18"/>
                <w:szCs w:val="18"/>
              </w:rPr>
              <w:t>4 566</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57DB5609" w14:textId="77777777" w:rsidR="00BA467F" w:rsidRPr="0026467B" w:rsidRDefault="00BA467F" w:rsidP="00C32ACA">
            <w:pPr>
              <w:spacing w:after="0"/>
              <w:jc w:val="right"/>
              <w:rPr>
                <w:rFonts w:cs="Calibri"/>
                <w:sz w:val="18"/>
                <w:szCs w:val="18"/>
              </w:rPr>
            </w:pPr>
            <w:r w:rsidRPr="0026467B">
              <w:rPr>
                <w:rFonts w:cs="Calibri"/>
                <w:sz w:val="18"/>
                <w:szCs w:val="18"/>
              </w:rPr>
              <w:t>5 843</w:t>
            </w:r>
          </w:p>
        </w:tc>
      </w:tr>
      <w:tr w:rsidR="00BA467F" w:rsidRPr="0026467B" w14:paraId="7E8F80D2"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22B8E038"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297E8EC0"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77371D62" w14:textId="77777777" w:rsidR="00BA467F" w:rsidRPr="0026467B" w:rsidRDefault="00BA467F" w:rsidP="00C32ACA">
            <w:pPr>
              <w:spacing w:after="0"/>
              <w:jc w:val="right"/>
              <w:rPr>
                <w:rFonts w:cs="Calibri"/>
                <w:sz w:val="18"/>
                <w:szCs w:val="18"/>
              </w:rPr>
            </w:pPr>
            <w:r w:rsidRPr="0026467B">
              <w:rPr>
                <w:rFonts w:cs="Calibri"/>
                <w:sz w:val="18"/>
                <w:szCs w:val="18"/>
              </w:rPr>
              <w:t>221</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186F3D4D" w14:textId="77777777" w:rsidR="00BA467F" w:rsidRPr="0026467B" w:rsidRDefault="00BA467F" w:rsidP="00C32ACA">
            <w:pPr>
              <w:spacing w:after="0"/>
              <w:jc w:val="right"/>
              <w:rPr>
                <w:rFonts w:cs="Calibri"/>
                <w:sz w:val="18"/>
                <w:szCs w:val="18"/>
              </w:rPr>
            </w:pPr>
            <w:r w:rsidRPr="0026467B">
              <w:rPr>
                <w:rFonts w:cs="Calibri"/>
                <w:sz w:val="18"/>
                <w:szCs w:val="18"/>
              </w:rPr>
              <w:t>222</w:t>
            </w:r>
          </w:p>
        </w:tc>
      </w:tr>
      <w:tr w:rsidR="00BA467F" w:rsidRPr="0026467B" w14:paraId="3FB8E0F1"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624DEDED"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62AD7DD4"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34C11AF6" w14:textId="77777777" w:rsidR="00BA467F" w:rsidRPr="0026467B" w:rsidRDefault="00BA467F" w:rsidP="00C32ACA">
            <w:pPr>
              <w:spacing w:after="0"/>
              <w:jc w:val="right"/>
              <w:rPr>
                <w:rFonts w:cs="Calibri"/>
                <w:b/>
                <w:bCs/>
                <w:sz w:val="18"/>
                <w:szCs w:val="18"/>
              </w:rPr>
            </w:pPr>
            <w:r w:rsidRPr="0026467B">
              <w:rPr>
                <w:rFonts w:cs="Calibri"/>
                <w:b/>
                <w:bCs/>
                <w:sz w:val="18"/>
                <w:szCs w:val="18"/>
              </w:rPr>
              <w:t>1 255</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6F342D40" w14:textId="77777777" w:rsidR="00BA467F" w:rsidRPr="0026467B" w:rsidRDefault="00BA467F" w:rsidP="00C32ACA">
            <w:pPr>
              <w:spacing w:after="0"/>
              <w:jc w:val="right"/>
              <w:rPr>
                <w:rFonts w:cs="Calibri"/>
                <w:b/>
                <w:sz w:val="18"/>
                <w:szCs w:val="18"/>
              </w:rPr>
            </w:pPr>
            <w:r w:rsidRPr="0026467B">
              <w:rPr>
                <w:rFonts w:cs="Calibri"/>
                <w:b/>
                <w:bCs/>
                <w:sz w:val="18"/>
                <w:szCs w:val="18"/>
              </w:rPr>
              <w:t>837</w:t>
            </w:r>
          </w:p>
        </w:tc>
      </w:tr>
      <w:tr w:rsidR="00BA467F" w:rsidRPr="0026467B" w14:paraId="044FA6C4" w14:textId="77777777" w:rsidTr="00BA467F">
        <w:trPr>
          <w:trHeight w:hRule="exact" w:val="263"/>
        </w:trPr>
        <w:tc>
          <w:tcPr>
            <w:tcW w:w="5586" w:type="dxa"/>
            <w:vMerge w:val="restart"/>
            <w:tcBorders>
              <w:top w:val="nil"/>
              <w:left w:val="single" w:sz="8" w:space="0" w:color="FFFFFF"/>
              <w:bottom w:val="single" w:sz="8" w:space="0" w:color="FFFFFF"/>
              <w:right w:val="single" w:sz="8" w:space="0" w:color="FFFFFF"/>
            </w:tcBorders>
            <w:shd w:val="clear" w:color="000000" w:fill="D9D9D9"/>
            <w:vAlign w:val="center"/>
            <w:hideMark/>
          </w:tcPr>
          <w:p w14:paraId="329A5E96"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SOŠ polygrafická, Račianska 190, BA</w:t>
            </w:r>
          </w:p>
        </w:tc>
        <w:tc>
          <w:tcPr>
            <w:tcW w:w="2162" w:type="dxa"/>
            <w:tcBorders>
              <w:top w:val="nil"/>
              <w:left w:val="nil"/>
              <w:bottom w:val="single" w:sz="8" w:space="0" w:color="FFFFFF"/>
              <w:right w:val="single" w:sz="8" w:space="0" w:color="FFFFFF"/>
            </w:tcBorders>
            <w:shd w:val="clear" w:color="000000" w:fill="F2F2F2"/>
            <w:noWrap/>
            <w:vAlign w:val="center"/>
            <w:hideMark/>
          </w:tcPr>
          <w:p w14:paraId="672B5C95"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058BB3E6" w14:textId="77777777" w:rsidR="00BA467F" w:rsidRPr="0026467B" w:rsidRDefault="00BA467F" w:rsidP="00C32ACA">
            <w:pPr>
              <w:spacing w:after="0"/>
              <w:jc w:val="right"/>
              <w:rPr>
                <w:rFonts w:cs="Calibri"/>
                <w:sz w:val="18"/>
                <w:szCs w:val="18"/>
              </w:rPr>
            </w:pPr>
            <w:r w:rsidRPr="0026467B">
              <w:rPr>
                <w:rFonts w:cs="Calibri"/>
                <w:sz w:val="18"/>
                <w:szCs w:val="18"/>
              </w:rPr>
              <w:t>342 209</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5B812404" w14:textId="77777777" w:rsidR="00BA467F" w:rsidRPr="0026467B" w:rsidRDefault="00BA467F" w:rsidP="00C32ACA">
            <w:pPr>
              <w:spacing w:after="0"/>
              <w:jc w:val="right"/>
              <w:rPr>
                <w:rFonts w:cs="Calibri"/>
                <w:sz w:val="18"/>
                <w:szCs w:val="18"/>
              </w:rPr>
            </w:pPr>
            <w:r w:rsidRPr="0026467B">
              <w:rPr>
                <w:rFonts w:cs="Calibri"/>
                <w:sz w:val="18"/>
                <w:szCs w:val="18"/>
              </w:rPr>
              <w:t>478 489</w:t>
            </w:r>
          </w:p>
        </w:tc>
      </w:tr>
      <w:tr w:rsidR="00BA467F" w:rsidRPr="0026467B" w14:paraId="785D7808"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7EBD6399"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42A2DFD7"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7D720D4C" w14:textId="77777777" w:rsidR="00BA467F" w:rsidRPr="0026467B" w:rsidRDefault="00BA467F" w:rsidP="00C32ACA">
            <w:pPr>
              <w:spacing w:after="0"/>
              <w:jc w:val="right"/>
              <w:rPr>
                <w:rFonts w:cs="Calibri"/>
                <w:sz w:val="18"/>
                <w:szCs w:val="18"/>
              </w:rPr>
            </w:pPr>
            <w:r w:rsidRPr="0026467B">
              <w:rPr>
                <w:rFonts w:cs="Calibri"/>
                <w:sz w:val="18"/>
                <w:szCs w:val="18"/>
              </w:rPr>
              <w:t>334 956</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1B7526C8" w14:textId="77777777" w:rsidR="00BA467F" w:rsidRPr="0026467B" w:rsidRDefault="00BA467F" w:rsidP="00C32ACA">
            <w:pPr>
              <w:spacing w:after="0"/>
              <w:jc w:val="right"/>
              <w:rPr>
                <w:rFonts w:cs="Calibri"/>
                <w:sz w:val="18"/>
                <w:szCs w:val="18"/>
              </w:rPr>
            </w:pPr>
            <w:r w:rsidRPr="0026467B">
              <w:rPr>
                <w:rFonts w:cs="Calibri"/>
                <w:sz w:val="18"/>
                <w:szCs w:val="18"/>
              </w:rPr>
              <w:t>476 635</w:t>
            </w:r>
          </w:p>
        </w:tc>
      </w:tr>
      <w:tr w:rsidR="00BA467F" w:rsidRPr="0026467B" w14:paraId="321C4D82"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34D2BFA5"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140EF6C9"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1D1E2855" w14:textId="77777777" w:rsidR="00BA467F" w:rsidRPr="0026467B" w:rsidRDefault="00BA467F" w:rsidP="00C32ACA">
            <w:pPr>
              <w:spacing w:after="0"/>
              <w:jc w:val="right"/>
              <w:rPr>
                <w:rFonts w:cs="Calibri"/>
                <w:sz w:val="18"/>
                <w:szCs w:val="18"/>
              </w:rPr>
            </w:pPr>
            <w:r w:rsidRPr="0026467B">
              <w:rPr>
                <w:rFonts w:cs="Calibri"/>
                <w:sz w:val="18"/>
                <w:szCs w:val="18"/>
              </w:rPr>
              <w:t>5 030</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28FDF7E8" w14:textId="77777777" w:rsidR="00BA467F" w:rsidRPr="0026467B" w:rsidRDefault="00BA467F" w:rsidP="00C32ACA">
            <w:pPr>
              <w:spacing w:after="0"/>
              <w:jc w:val="right"/>
              <w:rPr>
                <w:rFonts w:cs="Calibri"/>
                <w:sz w:val="18"/>
                <w:szCs w:val="18"/>
              </w:rPr>
            </w:pPr>
            <w:r w:rsidRPr="0026467B">
              <w:rPr>
                <w:rFonts w:cs="Calibri"/>
                <w:sz w:val="18"/>
                <w:szCs w:val="18"/>
              </w:rPr>
              <w:t>7 389</w:t>
            </w:r>
          </w:p>
        </w:tc>
      </w:tr>
      <w:tr w:rsidR="00BA467F" w:rsidRPr="0026467B" w14:paraId="32A73081"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02D63FFC"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70614C29"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5FB3A1C7" w14:textId="77777777" w:rsidR="00BA467F" w:rsidRPr="0026467B" w:rsidRDefault="00BA467F" w:rsidP="00C32ACA">
            <w:pPr>
              <w:spacing w:after="0"/>
              <w:jc w:val="right"/>
              <w:rPr>
                <w:rFonts w:cs="Calibri"/>
                <w:b/>
                <w:bCs/>
                <w:sz w:val="18"/>
                <w:szCs w:val="18"/>
              </w:rPr>
            </w:pPr>
            <w:r w:rsidRPr="0026467B">
              <w:rPr>
                <w:rFonts w:cs="Calibri"/>
                <w:b/>
                <w:bCs/>
                <w:sz w:val="18"/>
                <w:szCs w:val="18"/>
              </w:rPr>
              <w:t>2 223</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09523AD2" w14:textId="77777777" w:rsidR="00BA467F" w:rsidRPr="0026467B" w:rsidRDefault="00BA467F" w:rsidP="00C32ACA">
            <w:pPr>
              <w:spacing w:after="0"/>
              <w:jc w:val="right"/>
              <w:rPr>
                <w:rFonts w:cs="Calibri"/>
                <w:b/>
                <w:bCs/>
                <w:sz w:val="18"/>
                <w:szCs w:val="18"/>
              </w:rPr>
            </w:pPr>
            <w:r w:rsidRPr="0026467B">
              <w:rPr>
                <w:rFonts w:cs="Calibri"/>
                <w:b/>
                <w:bCs/>
                <w:sz w:val="18"/>
                <w:szCs w:val="18"/>
              </w:rPr>
              <w:t>-5 535</w:t>
            </w:r>
          </w:p>
        </w:tc>
      </w:tr>
      <w:tr w:rsidR="00BA467F" w:rsidRPr="0026467B" w14:paraId="440FD105" w14:textId="77777777" w:rsidTr="00BA467F">
        <w:trPr>
          <w:trHeight w:hRule="exact" w:val="263"/>
        </w:trPr>
        <w:tc>
          <w:tcPr>
            <w:tcW w:w="5586" w:type="dxa"/>
            <w:vMerge w:val="restart"/>
            <w:tcBorders>
              <w:top w:val="nil"/>
              <w:left w:val="single" w:sz="8" w:space="0" w:color="FFFFFF"/>
              <w:bottom w:val="single" w:sz="8" w:space="0" w:color="FFFFFF"/>
              <w:right w:val="single" w:sz="8" w:space="0" w:color="FFFFFF"/>
            </w:tcBorders>
            <w:shd w:val="clear" w:color="000000" w:fill="D9D9D9"/>
            <w:vAlign w:val="center"/>
            <w:hideMark/>
          </w:tcPr>
          <w:p w14:paraId="52FC90C4"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cs="Calibri"/>
                <w:sz w:val="18"/>
                <w:szCs w:val="18"/>
              </w:rPr>
              <w:t xml:space="preserve">SOŠ technológií a remesiel, </w:t>
            </w:r>
            <w:proofErr w:type="spellStart"/>
            <w:r w:rsidRPr="0026467B">
              <w:rPr>
                <w:rFonts w:cs="Calibri"/>
                <w:sz w:val="18"/>
                <w:szCs w:val="18"/>
              </w:rPr>
              <w:t>Ivanská</w:t>
            </w:r>
            <w:proofErr w:type="spellEnd"/>
            <w:r w:rsidRPr="0026467B">
              <w:rPr>
                <w:rFonts w:cs="Calibri"/>
                <w:sz w:val="18"/>
                <w:szCs w:val="18"/>
              </w:rPr>
              <w:t xml:space="preserve"> cesta 21, BA</w:t>
            </w:r>
          </w:p>
        </w:tc>
        <w:tc>
          <w:tcPr>
            <w:tcW w:w="2162" w:type="dxa"/>
            <w:tcBorders>
              <w:top w:val="nil"/>
              <w:left w:val="nil"/>
              <w:bottom w:val="single" w:sz="8" w:space="0" w:color="FFFFFF"/>
              <w:right w:val="single" w:sz="8" w:space="0" w:color="FFFFFF"/>
            </w:tcBorders>
            <w:shd w:val="clear" w:color="000000" w:fill="F2F2F2"/>
            <w:noWrap/>
            <w:vAlign w:val="center"/>
            <w:hideMark/>
          </w:tcPr>
          <w:p w14:paraId="3E4A891E"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Výnosy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4C7B1C8A" w14:textId="77777777" w:rsidR="00BA467F" w:rsidRPr="0026467B" w:rsidRDefault="00BA467F" w:rsidP="00C32ACA">
            <w:pPr>
              <w:spacing w:after="0" w:line="240" w:lineRule="auto"/>
              <w:jc w:val="right"/>
              <w:rPr>
                <w:rFonts w:cs="Calibri"/>
                <w:sz w:val="18"/>
                <w:szCs w:val="18"/>
              </w:rPr>
            </w:pPr>
            <w:r w:rsidRPr="0026467B">
              <w:rPr>
                <w:rFonts w:cs="Calibri"/>
                <w:sz w:val="18"/>
                <w:szCs w:val="18"/>
              </w:rPr>
              <w:t>62 716</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2A02AF67" w14:textId="77777777" w:rsidR="00BA467F" w:rsidRPr="0026467B" w:rsidRDefault="00BA467F" w:rsidP="00C32ACA">
            <w:pPr>
              <w:spacing w:after="0"/>
              <w:jc w:val="right"/>
              <w:rPr>
                <w:rFonts w:cs="Calibri"/>
                <w:sz w:val="18"/>
                <w:szCs w:val="18"/>
              </w:rPr>
            </w:pPr>
            <w:r w:rsidRPr="0026467B">
              <w:rPr>
                <w:rFonts w:cs="Calibri"/>
                <w:sz w:val="18"/>
                <w:szCs w:val="18"/>
              </w:rPr>
              <w:t>117 429</w:t>
            </w:r>
          </w:p>
        </w:tc>
      </w:tr>
      <w:tr w:rsidR="00BA467F" w:rsidRPr="0026467B" w14:paraId="10C1E1E2"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2DD2750C"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7DE12B17"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Náklady</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423F1A79" w14:textId="77777777" w:rsidR="00BA467F" w:rsidRPr="0026467B" w:rsidRDefault="00BA467F" w:rsidP="00C32ACA">
            <w:pPr>
              <w:spacing w:after="0"/>
              <w:jc w:val="right"/>
              <w:rPr>
                <w:rFonts w:cs="Calibri"/>
                <w:sz w:val="18"/>
                <w:szCs w:val="18"/>
              </w:rPr>
            </w:pPr>
            <w:r w:rsidRPr="0026467B">
              <w:rPr>
                <w:rFonts w:cs="Calibri"/>
                <w:sz w:val="18"/>
                <w:szCs w:val="18"/>
              </w:rPr>
              <w:t>59 498</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09E77D62" w14:textId="77777777" w:rsidR="00BA467F" w:rsidRPr="0026467B" w:rsidRDefault="00BA467F" w:rsidP="00C32ACA">
            <w:pPr>
              <w:spacing w:after="0"/>
              <w:jc w:val="right"/>
              <w:rPr>
                <w:rFonts w:cs="Calibri"/>
                <w:sz w:val="18"/>
                <w:szCs w:val="18"/>
              </w:rPr>
            </w:pPr>
            <w:r w:rsidRPr="0026467B">
              <w:rPr>
                <w:rFonts w:cs="Calibri"/>
                <w:sz w:val="18"/>
                <w:szCs w:val="18"/>
              </w:rPr>
              <w:t>113 847</w:t>
            </w:r>
          </w:p>
        </w:tc>
      </w:tr>
      <w:tr w:rsidR="00BA467F" w:rsidRPr="0026467B" w14:paraId="487AA172"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7903674D"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F2F2F2"/>
            <w:noWrap/>
            <w:vAlign w:val="center"/>
            <w:hideMark/>
          </w:tcPr>
          <w:p w14:paraId="129EEAC3" w14:textId="77777777" w:rsidR="00BA467F" w:rsidRPr="0026467B" w:rsidRDefault="00BA467F" w:rsidP="00C32ACA">
            <w:pPr>
              <w:spacing w:after="0" w:line="240" w:lineRule="auto"/>
              <w:rPr>
                <w:rFonts w:asciiTheme="minorHAnsi" w:hAnsiTheme="minorHAnsi" w:cstheme="minorHAnsi"/>
                <w:sz w:val="18"/>
                <w:szCs w:val="18"/>
                <w:lang w:eastAsia="sk-SK"/>
              </w:rPr>
            </w:pPr>
            <w:r w:rsidRPr="0026467B">
              <w:rPr>
                <w:rFonts w:asciiTheme="minorHAnsi" w:hAnsiTheme="minorHAnsi" w:cstheme="minorHAnsi"/>
                <w:sz w:val="18"/>
                <w:szCs w:val="18"/>
                <w:lang w:eastAsia="sk-SK"/>
              </w:rPr>
              <w:t xml:space="preserve">Splatná daň z príjmov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75A102FE" w14:textId="77777777" w:rsidR="00BA467F" w:rsidRPr="0026467B" w:rsidRDefault="00BA467F" w:rsidP="00C32ACA">
            <w:pPr>
              <w:spacing w:after="0"/>
              <w:jc w:val="right"/>
              <w:rPr>
                <w:rFonts w:cs="Calibri"/>
                <w:sz w:val="18"/>
                <w:szCs w:val="18"/>
              </w:rPr>
            </w:pPr>
            <w:r w:rsidRPr="0026467B">
              <w:rPr>
                <w:rFonts w:cs="Calibri"/>
                <w:sz w:val="18"/>
                <w:szCs w:val="18"/>
              </w:rPr>
              <w:t>483</w:t>
            </w:r>
          </w:p>
        </w:tc>
        <w:tc>
          <w:tcPr>
            <w:tcW w:w="1464" w:type="dxa"/>
            <w:tcBorders>
              <w:top w:val="single" w:sz="8" w:space="0" w:color="FFFFFF"/>
              <w:left w:val="nil"/>
              <w:bottom w:val="single" w:sz="8" w:space="0" w:color="FFFFFF"/>
              <w:right w:val="single" w:sz="8" w:space="0" w:color="FFFFFF"/>
            </w:tcBorders>
            <w:shd w:val="clear" w:color="000000" w:fill="F2F2F2" w:themeFill="background1" w:themeFillShade="F2"/>
            <w:noWrap/>
            <w:vAlign w:val="bottom"/>
            <w:hideMark/>
          </w:tcPr>
          <w:p w14:paraId="3CFCC767" w14:textId="77777777" w:rsidR="00BA467F" w:rsidRPr="0026467B" w:rsidRDefault="00BA467F" w:rsidP="00C32ACA">
            <w:pPr>
              <w:spacing w:after="0"/>
              <w:jc w:val="right"/>
              <w:rPr>
                <w:rFonts w:cs="Calibri"/>
                <w:sz w:val="18"/>
                <w:szCs w:val="18"/>
              </w:rPr>
            </w:pPr>
            <w:r w:rsidRPr="0026467B">
              <w:rPr>
                <w:rFonts w:cs="Calibri"/>
                <w:sz w:val="18"/>
                <w:szCs w:val="18"/>
              </w:rPr>
              <w:t>752</w:t>
            </w:r>
          </w:p>
        </w:tc>
      </w:tr>
      <w:tr w:rsidR="00BA467F" w:rsidRPr="0026467B" w14:paraId="48E1ADA4" w14:textId="77777777" w:rsidTr="00BA467F">
        <w:trPr>
          <w:trHeight w:val="263"/>
        </w:trPr>
        <w:tc>
          <w:tcPr>
            <w:tcW w:w="5586" w:type="dxa"/>
            <w:vMerge/>
            <w:tcBorders>
              <w:top w:val="nil"/>
              <w:left w:val="single" w:sz="8" w:space="0" w:color="FFFFFF"/>
              <w:bottom w:val="single" w:sz="8" w:space="0" w:color="FFFFFF"/>
              <w:right w:val="single" w:sz="8" w:space="0" w:color="FFFFFF"/>
            </w:tcBorders>
            <w:vAlign w:val="center"/>
            <w:hideMark/>
          </w:tcPr>
          <w:p w14:paraId="239062E4" w14:textId="77777777" w:rsidR="00BA467F" w:rsidRPr="0026467B" w:rsidRDefault="00BA467F" w:rsidP="00C32ACA">
            <w:pPr>
              <w:spacing w:after="0" w:line="240" w:lineRule="auto"/>
              <w:rPr>
                <w:rFonts w:asciiTheme="minorHAnsi" w:hAnsiTheme="minorHAnsi" w:cstheme="minorHAnsi"/>
                <w:sz w:val="18"/>
                <w:szCs w:val="18"/>
                <w:lang w:eastAsia="sk-SK"/>
              </w:rPr>
            </w:pPr>
          </w:p>
        </w:tc>
        <w:tc>
          <w:tcPr>
            <w:tcW w:w="2162" w:type="dxa"/>
            <w:tcBorders>
              <w:top w:val="nil"/>
              <w:left w:val="nil"/>
              <w:bottom w:val="single" w:sz="8" w:space="0" w:color="FFFFFF"/>
              <w:right w:val="single" w:sz="8" w:space="0" w:color="FFFFFF"/>
            </w:tcBorders>
            <w:shd w:val="clear" w:color="000000" w:fill="D9D9D9"/>
            <w:noWrap/>
            <w:vAlign w:val="center"/>
            <w:hideMark/>
          </w:tcPr>
          <w:p w14:paraId="752E7B73"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 xml:space="preserve">VH po zdanení </w:t>
            </w:r>
          </w:p>
        </w:tc>
        <w:tc>
          <w:tcPr>
            <w:tcW w:w="1464" w:type="dxa"/>
            <w:tcBorders>
              <w:top w:val="nil"/>
              <w:left w:val="nil"/>
              <w:bottom w:val="single" w:sz="8" w:space="0" w:color="FFFFFF"/>
              <w:right w:val="single" w:sz="8" w:space="0" w:color="FFFFFF"/>
            </w:tcBorders>
            <w:shd w:val="clear" w:color="auto" w:fill="C4BC96" w:themeFill="background2" w:themeFillShade="BF"/>
            <w:noWrap/>
            <w:vAlign w:val="bottom"/>
          </w:tcPr>
          <w:p w14:paraId="1342D494" w14:textId="77777777" w:rsidR="00BA467F" w:rsidRPr="0026467B" w:rsidRDefault="00BA467F" w:rsidP="00C32ACA">
            <w:pPr>
              <w:spacing w:after="0"/>
              <w:jc w:val="right"/>
              <w:rPr>
                <w:rFonts w:cs="Calibri"/>
                <w:b/>
                <w:bCs/>
                <w:sz w:val="18"/>
                <w:szCs w:val="18"/>
              </w:rPr>
            </w:pPr>
            <w:r w:rsidRPr="0026467B">
              <w:rPr>
                <w:rFonts w:cs="Calibri"/>
                <w:b/>
                <w:bCs/>
                <w:sz w:val="18"/>
                <w:szCs w:val="18"/>
              </w:rPr>
              <w:t>2 735</w:t>
            </w:r>
          </w:p>
        </w:tc>
        <w:tc>
          <w:tcPr>
            <w:tcW w:w="1464" w:type="dxa"/>
            <w:tcBorders>
              <w:top w:val="single" w:sz="8" w:space="0" w:color="FFFFFF"/>
              <w:left w:val="nil"/>
              <w:bottom w:val="single" w:sz="8" w:space="0" w:color="FFFFFF"/>
              <w:right w:val="single" w:sz="8" w:space="0" w:color="FFFFFF"/>
            </w:tcBorders>
            <w:shd w:val="clear" w:color="000000" w:fill="D9D9D9" w:themeFill="background1" w:themeFillShade="D9"/>
            <w:noWrap/>
            <w:vAlign w:val="bottom"/>
            <w:hideMark/>
          </w:tcPr>
          <w:p w14:paraId="05E1F787" w14:textId="77777777" w:rsidR="00BA467F" w:rsidRPr="0026467B" w:rsidRDefault="00BA467F" w:rsidP="00C32ACA">
            <w:pPr>
              <w:spacing w:after="0"/>
              <w:jc w:val="right"/>
              <w:rPr>
                <w:rFonts w:cs="Calibri"/>
                <w:b/>
                <w:bCs/>
                <w:sz w:val="18"/>
                <w:szCs w:val="18"/>
              </w:rPr>
            </w:pPr>
            <w:r w:rsidRPr="0026467B">
              <w:rPr>
                <w:rFonts w:cs="Calibri"/>
                <w:b/>
                <w:bCs/>
                <w:sz w:val="18"/>
                <w:szCs w:val="18"/>
              </w:rPr>
              <w:t>2 830</w:t>
            </w:r>
          </w:p>
        </w:tc>
      </w:tr>
      <w:tr w:rsidR="00BA467F" w:rsidRPr="0026467B" w14:paraId="43727CA6" w14:textId="77777777" w:rsidTr="00BA467F">
        <w:trPr>
          <w:trHeight w:val="263"/>
        </w:trPr>
        <w:tc>
          <w:tcPr>
            <w:tcW w:w="7749" w:type="dxa"/>
            <w:gridSpan w:val="2"/>
            <w:tcBorders>
              <w:top w:val="single" w:sz="8" w:space="0" w:color="FFFFFF"/>
              <w:left w:val="single" w:sz="8" w:space="0" w:color="FFFFFF"/>
              <w:bottom w:val="single" w:sz="8" w:space="0" w:color="FFFFFF"/>
              <w:right w:val="single" w:sz="8" w:space="0" w:color="FFFFFF"/>
            </w:tcBorders>
            <w:shd w:val="clear" w:color="000000" w:fill="C4BD97"/>
            <w:vAlign w:val="center"/>
            <w:hideMark/>
          </w:tcPr>
          <w:p w14:paraId="14CF3DE1" w14:textId="77777777" w:rsidR="00BA467F" w:rsidRPr="0026467B" w:rsidRDefault="00BA467F" w:rsidP="00C32ACA">
            <w:pPr>
              <w:spacing w:after="0" w:line="240" w:lineRule="auto"/>
              <w:rPr>
                <w:rFonts w:asciiTheme="minorHAnsi" w:hAnsiTheme="minorHAnsi" w:cstheme="minorHAnsi"/>
                <w:b/>
                <w:bCs/>
                <w:sz w:val="18"/>
                <w:szCs w:val="18"/>
                <w:lang w:eastAsia="sk-SK"/>
              </w:rPr>
            </w:pPr>
            <w:r w:rsidRPr="0026467B">
              <w:rPr>
                <w:rFonts w:asciiTheme="minorHAnsi" w:hAnsiTheme="minorHAnsi" w:cstheme="minorHAnsi"/>
                <w:b/>
                <w:bCs/>
                <w:sz w:val="18"/>
                <w:szCs w:val="18"/>
                <w:lang w:eastAsia="sk-SK"/>
              </w:rPr>
              <w:t>Spolu výsledok hospodárenia po zdanení</w:t>
            </w:r>
          </w:p>
        </w:tc>
        <w:tc>
          <w:tcPr>
            <w:tcW w:w="1464" w:type="dxa"/>
            <w:tcBorders>
              <w:top w:val="nil"/>
              <w:left w:val="nil"/>
              <w:bottom w:val="single" w:sz="8" w:space="0" w:color="FFFFFF"/>
              <w:right w:val="single" w:sz="8" w:space="0" w:color="FFFFFF"/>
            </w:tcBorders>
            <w:shd w:val="clear" w:color="auto" w:fill="C4BC96" w:themeFill="background2" w:themeFillShade="BF"/>
            <w:vAlign w:val="center"/>
            <w:hideMark/>
          </w:tcPr>
          <w:p w14:paraId="6D859749" w14:textId="77777777" w:rsidR="00BA467F" w:rsidRPr="0026467B" w:rsidRDefault="00BA467F" w:rsidP="00C32ACA">
            <w:pPr>
              <w:spacing w:after="0" w:line="240" w:lineRule="auto"/>
              <w:jc w:val="right"/>
              <w:rPr>
                <w:rFonts w:cs="Calibri"/>
                <w:b/>
                <w:bCs/>
                <w:sz w:val="18"/>
                <w:szCs w:val="18"/>
              </w:rPr>
            </w:pPr>
            <w:r w:rsidRPr="0026467B">
              <w:rPr>
                <w:rFonts w:cs="Calibri"/>
                <w:b/>
                <w:bCs/>
                <w:sz w:val="18"/>
                <w:szCs w:val="18"/>
              </w:rPr>
              <w:t>13 261</w:t>
            </w:r>
          </w:p>
        </w:tc>
        <w:tc>
          <w:tcPr>
            <w:tcW w:w="1464" w:type="dxa"/>
            <w:tcBorders>
              <w:top w:val="nil"/>
              <w:left w:val="nil"/>
              <w:bottom w:val="single" w:sz="8" w:space="0" w:color="FFFFFF"/>
              <w:right w:val="single" w:sz="8" w:space="0" w:color="FFFFFF"/>
            </w:tcBorders>
            <w:shd w:val="clear" w:color="000000" w:fill="C4BD97"/>
            <w:vAlign w:val="center"/>
            <w:hideMark/>
          </w:tcPr>
          <w:p w14:paraId="3909AE5A" w14:textId="77777777" w:rsidR="00BA467F" w:rsidRPr="0026467B" w:rsidRDefault="00BA467F" w:rsidP="00C32ACA">
            <w:pPr>
              <w:spacing w:after="0"/>
              <w:jc w:val="right"/>
              <w:rPr>
                <w:rFonts w:cs="Calibri"/>
                <w:b/>
                <w:bCs/>
                <w:sz w:val="18"/>
                <w:szCs w:val="18"/>
              </w:rPr>
            </w:pPr>
            <w:r w:rsidRPr="0026467B">
              <w:rPr>
                <w:rFonts w:cs="Calibri"/>
                <w:b/>
                <w:bCs/>
                <w:sz w:val="18"/>
                <w:szCs w:val="18"/>
              </w:rPr>
              <w:t>26 978</w:t>
            </w:r>
          </w:p>
        </w:tc>
      </w:tr>
    </w:tbl>
    <w:p w14:paraId="27A5E31D" w14:textId="77777777" w:rsidR="00BA467F" w:rsidRDefault="00BA467F" w:rsidP="00911770">
      <w:pPr>
        <w:autoSpaceDE w:val="0"/>
        <w:autoSpaceDN w:val="0"/>
        <w:adjustRightInd w:val="0"/>
        <w:jc w:val="both"/>
        <w:rPr>
          <w:rFonts w:cs="Calibri"/>
          <w:sz w:val="24"/>
          <w:szCs w:val="24"/>
        </w:rPr>
      </w:pPr>
    </w:p>
    <w:p w14:paraId="7B63B710" w14:textId="77777777" w:rsidR="00BA467F" w:rsidRPr="00E01520" w:rsidRDefault="00BA467F" w:rsidP="00BA467F">
      <w:pPr>
        <w:autoSpaceDE w:val="0"/>
        <w:autoSpaceDN w:val="0"/>
        <w:adjustRightInd w:val="0"/>
        <w:jc w:val="both"/>
      </w:pPr>
      <w:r w:rsidRPr="00E01520">
        <w:rPr>
          <w:rFonts w:cs="Calibri"/>
          <w:sz w:val="24"/>
          <w:szCs w:val="24"/>
        </w:rPr>
        <w:t xml:space="preserve">Z celkového počtu 22 príspevkových organizácii v zriaďovateľskej pôsobnosti BSK vykázalo </w:t>
      </w:r>
      <w:r w:rsidRPr="00E01520">
        <w:rPr>
          <w:b/>
          <w:sz w:val="24"/>
          <w:szCs w:val="24"/>
        </w:rPr>
        <w:t xml:space="preserve">k 31.12.2020 </w:t>
      </w:r>
      <w:r w:rsidRPr="00E01520">
        <w:rPr>
          <w:rFonts w:cs="Calibri"/>
          <w:b/>
          <w:sz w:val="24"/>
          <w:szCs w:val="24"/>
        </w:rPr>
        <w:t>z podnikateľskej činnosti</w:t>
      </w:r>
      <w:r w:rsidRPr="00E01520">
        <w:rPr>
          <w:rFonts w:cs="Calibri"/>
          <w:sz w:val="24"/>
          <w:szCs w:val="24"/>
        </w:rPr>
        <w:t xml:space="preserve"> </w:t>
      </w:r>
      <w:r w:rsidRPr="00E01520">
        <w:rPr>
          <w:rFonts w:cs="Calibri"/>
          <w:b/>
          <w:sz w:val="24"/>
          <w:szCs w:val="24"/>
        </w:rPr>
        <w:t>po zdanení</w:t>
      </w:r>
      <w:r w:rsidRPr="00E01520">
        <w:rPr>
          <w:rFonts w:cs="Calibri"/>
          <w:sz w:val="24"/>
          <w:szCs w:val="24"/>
        </w:rPr>
        <w:t xml:space="preserve"> 7 organizácii </w:t>
      </w:r>
      <w:r w:rsidRPr="00E01520">
        <w:rPr>
          <w:rFonts w:cs="Calibri"/>
          <w:b/>
          <w:sz w:val="24"/>
          <w:szCs w:val="24"/>
        </w:rPr>
        <w:t xml:space="preserve">zisk </w:t>
      </w:r>
      <w:r w:rsidRPr="00E01520">
        <w:rPr>
          <w:b/>
          <w:sz w:val="24"/>
          <w:szCs w:val="24"/>
        </w:rPr>
        <w:t>vo</w:t>
      </w:r>
      <w:r w:rsidRPr="00E01520">
        <w:rPr>
          <w:sz w:val="24"/>
          <w:szCs w:val="24"/>
        </w:rPr>
        <w:t xml:space="preserve"> </w:t>
      </w:r>
      <w:r w:rsidRPr="00E01520">
        <w:rPr>
          <w:b/>
          <w:sz w:val="24"/>
          <w:szCs w:val="24"/>
        </w:rPr>
        <w:t>výške 13 261 EUR</w:t>
      </w:r>
      <w:r w:rsidRPr="00E01520">
        <w:rPr>
          <w:rFonts w:cs="Calibri"/>
          <w:sz w:val="24"/>
          <w:szCs w:val="24"/>
        </w:rPr>
        <w:t>, 15 organizácii nevykonávalo podnikateľskú činnosť alebo vykázalo nulovú hodnotu z podnikateľskej činnosti.</w:t>
      </w:r>
      <w:r w:rsidRPr="00E01520">
        <w:rPr>
          <w:rFonts w:cs="Calibri"/>
          <w:b/>
          <w:sz w:val="24"/>
          <w:szCs w:val="24"/>
        </w:rPr>
        <w:t xml:space="preserve">   </w:t>
      </w:r>
    </w:p>
    <w:p w14:paraId="35AE50EF" w14:textId="77777777" w:rsidR="00BA467F" w:rsidRPr="00911770" w:rsidRDefault="00BA467F" w:rsidP="00911770">
      <w:pPr>
        <w:autoSpaceDE w:val="0"/>
        <w:autoSpaceDN w:val="0"/>
        <w:adjustRightInd w:val="0"/>
        <w:jc w:val="both"/>
      </w:pPr>
    </w:p>
    <w:p w14:paraId="5448FD91" w14:textId="77777777" w:rsidR="004B33A9" w:rsidRDefault="004B33A9" w:rsidP="00BE704E">
      <w:pPr>
        <w:rPr>
          <w:color w:val="FF0000"/>
        </w:rPr>
      </w:pPr>
    </w:p>
    <w:p w14:paraId="42CAED0B" w14:textId="046F2782" w:rsidR="00BE704E" w:rsidRPr="002004D2" w:rsidRDefault="00BE704E" w:rsidP="00BE704E">
      <w:pPr>
        <w:pStyle w:val="tl1"/>
      </w:pPr>
      <w:r w:rsidRPr="002004D2">
        <w:t>Prehľad o majetku BSK k 31.12.20</w:t>
      </w:r>
      <w:r w:rsidR="00100799">
        <w:t>20</w:t>
      </w:r>
    </w:p>
    <w:p w14:paraId="5A8DFB45" w14:textId="53020618" w:rsidR="00E1521D" w:rsidRDefault="00A711BC" w:rsidP="00E1521D">
      <w:pPr>
        <w:pStyle w:val="tl1"/>
        <w:numPr>
          <w:ilvl w:val="0"/>
          <w:numId w:val="0"/>
        </w:numPr>
        <w:ind w:left="360"/>
      </w:pPr>
      <w:r>
        <w:pict w14:anchorId="55745677">
          <v:rect id="_x0000_i1034" style="width:0;height:1.5pt" o:hralign="center" o:hrstd="t" o:hr="t" fillcolor="#a0a0a0" stroked="f"/>
        </w:pict>
      </w:r>
    </w:p>
    <w:p w14:paraId="5B9DF140" w14:textId="708C89C3" w:rsidR="00E1521D" w:rsidRPr="003F566E" w:rsidRDefault="00E1521D" w:rsidP="00E1521D">
      <w:pPr>
        <w:jc w:val="both"/>
        <w:rPr>
          <w:sz w:val="24"/>
          <w:szCs w:val="24"/>
        </w:rPr>
      </w:pPr>
      <w:r w:rsidRPr="003F566E">
        <w:rPr>
          <w:sz w:val="24"/>
          <w:szCs w:val="24"/>
        </w:rPr>
        <w:t>Neobežný majetok BSK zahŕňa dlhodobý nehmotný majetok (softvér, licencie, a i.), dlhodobý hmotný majetok (pozemky, budovy, stavby a haly, stroje, prístroje a zariadenia, dopravné prostriedky, inventár a pod.) a dlhodobý finančný majetok (podielové cenné papiere v dcérskych spoločnostiach).</w:t>
      </w:r>
    </w:p>
    <w:p w14:paraId="553D0907" w14:textId="77777777" w:rsidR="00E1521D" w:rsidRPr="003F566E" w:rsidRDefault="00E1521D" w:rsidP="00E1521D">
      <w:pPr>
        <w:jc w:val="both"/>
        <w:rPr>
          <w:b/>
          <w:sz w:val="24"/>
          <w:szCs w:val="24"/>
        </w:rPr>
      </w:pPr>
      <w:r w:rsidRPr="003F566E">
        <w:rPr>
          <w:bCs/>
          <w:sz w:val="24"/>
          <w:szCs w:val="24"/>
        </w:rPr>
        <w:t>Po vykonaní ročnej účtovnej uzávierky k 31.12.2020 bol vykázaný</w:t>
      </w:r>
      <w:r w:rsidRPr="003F566E">
        <w:rPr>
          <w:b/>
          <w:sz w:val="24"/>
          <w:szCs w:val="24"/>
        </w:rPr>
        <w:t xml:space="preserve"> neobežný majetok BSK </w:t>
      </w:r>
      <w:r w:rsidRPr="003F566E">
        <w:rPr>
          <w:sz w:val="24"/>
          <w:szCs w:val="24"/>
        </w:rPr>
        <w:t xml:space="preserve">(Úradom BSK, rozpočtovými a príspevkovými organizáciami v zriaďovateľskej pôsobnosti BSK) v obstarávacej hodnote (vstupná cena) sumou </w:t>
      </w:r>
      <w:r w:rsidRPr="003F566E">
        <w:rPr>
          <w:b/>
          <w:sz w:val="24"/>
          <w:szCs w:val="24"/>
        </w:rPr>
        <w:t>451 858 513,92 EUR</w:t>
      </w:r>
      <w:r w:rsidRPr="003F566E">
        <w:rPr>
          <w:sz w:val="24"/>
          <w:szCs w:val="24"/>
        </w:rPr>
        <w:t xml:space="preserve">.  </w:t>
      </w:r>
      <w:r w:rsidRPr="003F566E">
        <w:rPr>
          <w:b/>
          <w:sz w:val="24"/>
          <w:szCs w:val="24"/>
        </w:rPr>
        <w:t>Zostatková hodnota neobežného majetku BSK</w:t>
      </w:r>
      <w:r w:rsidRPr="003F566E">
        <w:rPr>
          <w:sz w:val="24"/>
          <w:szCs w:val="24"/>
        </w:rPr>
        <w:t xml:space="preserve">, </w:t>
      </w:r>
      <w:proofErr w:type="spellStart"/>
      <w:r w:rsidRPr="003F566E">
        <w:rPr>
          <w:sz w:val="24"/>
          <w:szCs w:val="24"/>
        </w:rPr>
        <w:t>t.j</w:t>
      </w:r>
      <w:proofErr w:type="spellEnd"/>
      <w:r w:rsidRPr="003F566E">
        <w:rPr>
          <w:sz w:val="24"/>
          <w:szCs w:val="24"/>
        </w:rPr>
        <w:t xml:space="preserve">. vstupná cena znížená o opravné položky a oprávky (suma naakumulovaných odpisov od momentu zaradenia dlhodobého majetku do používania až do momentu posledného účtovania odpisov) podľa účtovnej závierky k 31.12.2020 bola vykázaná </w:t>
      </w:r>
      <w:r w:rsidRPr="003F566E">
        <w:rPr>
          <w:bCs/>
          <w:sz w:val="24"/>
          <w:szCs w:val="24"/>
        </w:rPr>
        <w:t>v celkovej výške</w:t>
      </w:r>
      <w:r w:rsidRPr="003F566E">
        <w:rPr>
          <w:sz w:val="24"/>
          <w:szCs w:val="24"/>
        </w:rPr>
        <w:t xml:space="preserve"> </w:t>
      </w:r>
      <w:r w:rsidRPr="003F566E">
        <w:rPr>
          <w:b/>
          <w:sz w:val="24"/>
          <w:szCs w:val="24"/>
        </w:rPr>
        <w:t>294 417 961,79 EUR</w:t>
      </w:r>
      <w:r w:rsidRPr="003F566E">
        <w:rPr>
          <w:sz w:val="24"/>
          <w:szCs w:val="24"/>
        </w:rPr>
        <w:t>.</w:t>
      </w:r>
    </w:p>
    <w:p w14:paraId="21903726" w14:textId="77777777" w:rsidR="00E1521D" w:rsidRPr="003F566E" w:rsidRDefault="00E1521D" w:rsidP="00E1521D">
      <w:pPr>
        <w:jc w:val="both"/>
        <w:rPr>
          <w:sz w:val="24"/>
          <w:szCs w:val="24"/>
        </w:rPr>
      </w:pPr>
      <w:r w:rsidRPr="003F566E">
        <w:rPr>
          <w:sz w:val="24"/>
          <w:szCs w:val="24"/>
        </w:rPr>
        <w:t>Prehľad o stave majetku vo vlastníctve BSK je uvedený v nasledovnej tabuľke:</w:t>
      </w:r>
    </w:p>
    <w:tbl>
      <w:tblPr>
        <w:tblW w:w="9886" w:type="dxa"/>
        <w:tblInd w:w="55" w:type="dxa"/>
        <w:tblCellMar>
          <w:left w:w="70" w:type="dxa"/>
          <w:right w:w="70" w:type="dxa"/>
        </w:tblCellMar>
        <w:tblLook w:val="04A0" w:firstRow="1" w:lastRow="0" w:firstColumn="1" w:lastColumn="0" w:noHBand="0" w:noVBand="1"/>
      </w:tblPr>
      <w:tblGrid>
        <w:gridCol w:w="3418"/>
        <w:gridCol w:w="1701"/>
        <w:gridCol w:w="1559"/>
        <w:gridCol w:w="1701"/>
        <w:gridCol w:w="1507"/>
      </w:tblGrid>
      <w:tr w:rsidR="00E1521D" w:rsidRPr="00094641" w14:paraId="095AE7A8" w14:textId="77777777" w:rsidTr="00222450">
        <w:trPr>
          <w:trHeight w:hRule="exact" w:val="567"/>
        </w:trPr>
        <w:tc>
          <w:tcPr>
            <w:tcW w:w="9886" w:type="dxa"/>
            <w:gridSpan w:val="5"/>
            <w:tcBorders>
              <w:top w:val="single" w:sz="12" w:space="0" w:color="FFFFFF"/>
              <w:left w:val="single" w:sz="12" w:space="0" w:color="FFFFFF"/>
              <w:bottom w:val="single" w:sz="12" w:space="0" w:color="FFFFFF"/>
              <w:right w:val="single" w:sz="12" w:space="0" w:color="FFFFFF"/>
            </w:tcBorders>
            <w:shd w:val="clear" w:color="000000" w:fill="8DB3E2"/>
            <w:noWrap/>
            <w:vAlign w:val="center"/>
            <w:hideMark/>
          </w:tcPr>
          <w:p w14:paraId="34A06BF8"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PREHĽAD O MAJETKU vo vlastníctve BSK v EUR</w:t>
            </w:r>
          </w:p>
        </w:tc>
      </w:tr>
      <w:tr w:rsidR="00E1521D" w:rsidRPr="00094641" w14:paraId="125BAB52" w14:textId="77777777" w:rsidTr="00222450">
        <w:trPr>
          <w:trHeight w:val="531"/>
        </w:trPr>
        <w:tc>
          <w:tcPr>
            <w:tcW w:w="3418" w:type="dxa"/>
            <w:tcBorders>
              <w:top w:val="nil"/>
              <w:left w:val="single" w:sz="12" w:space="0" w:color="FFFFFF"/>
              <w:bottom w:val="single" w:sz="12" w:space="0" w:color="FFFFFF"/>
              <w:right w:val="single" w:sz="12" w:space="0" w:color="FFFFFF"/>
            </w:tcBorders>
            <w:shd w:val="clear" w:color="000000" w:fill="8DB3E2"/>
            <w:noWrap/>
            <w:vAlign w:val="center"/>
            <w:hideMark/>
          </w:tcPr>
          <w:p w14:paraId="7F75D458" w14:textId="77777777" w:rsidR="00E1521D" w:rsidRPr="00094641" w:rsidRDefault="00E1521D" w:rsidP="00222450">
            <w:pPr>
              <w:spacing w:after="0" w:line="240" w:lineRule="auto"/>
              <w:rPr>
                <w:rFonts w:cs="Calibri"/>
                <w:b/>
                <w:bCs/>
                <w:sz w:val="20"/>
                <w:szCs w:val="20"/>
                <w:lang w:eastAsia="sk-SK"/>
              </w:rPr>
            </w:pPr>
            <w:r w:rsidRPr="00094641">
              <w:rPr>
                <w:rFonts w:cs="Calibri"/>
                <w:b/>
                <w:bCs/>
                <w:sz w:val="20"/>
                <w:szCs w:val="20"/>
                <w:lang w:eastAsia="sk-SK"/>
              </w:rPr>
              <w:t>Názov</w:t>
            </w:r>
          </w:p>
        </w:tc>
        <w:tc>
          <w:tcPr>
            <w:tcW w:w="1701" w:type="dxa"/>
            <w:tcBorders>
              <w:top w:val="nil"/>
              <w:left w:val="nil"/>
              <w:bottom w:val="single" w:sz="12" w:space="0" w:color="FFFFFF"/>
              <w:right w:val="single" w:sz="12" w:space="0" w:color="FFFFFF"/>
            </w:tcBorders>
            <w:shd w:val="clear" w:color="000000" w:fill="8DB3E2"/>
            <w:vAlign w:val="center"/>
            <w:hideMark/>
          </w:tcPr>
          <w:p w14:paraId="66603CA3"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559" w:type="dxa"/>
            <w:tcBorders>
              <w:top w:val="nil"/>
              <w:left w:val="nil"/>
              <w:bottom w:val="single" w:sz="12" w:space="0" w:color="FFFFFF"/>
              <w:right w:val="single" w:sz="12" w:space="0" w:color="FFFFFF"/>
            </w:tcBorders>
            <w:shd w:val="clear" w:color="000000" w:fill="8DB3E2"/>
            <w:vAlign w:val="center"/>
            <w:hideMark/>
          </w:tcPr>
          <w:p w14:paraId="15031F0C"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701" w:type="dxa"/>
            <w:tcBorders>
              <w:top w:val="nil"/>
              <w:left w:val="nil"/>
              <w:bottom w:val="single" w:sz="12" w:space="0" w:color="FFFFFF"/>
              <w:right w:val="single" w:sz="12" w:space="0" w:color="FFFFFF"/>
            </w:tcBorders>
            <w:shd w:val="clear" w:color="000000" w:fill="8DB3E2"/>
            <w:vAlign w:val="center"/>
            <w:hideMark/>
          </w:tcPr>
          <w:p w14:paraId="33CABD11"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507" w:type="dxa"/>
            <w:tcBorders>
              <w:top w:val="nil"/>
              <w:left w:val="nil"/>
              <w:bottom w:val="single" w:sz="12" w:space="0" w:color="FFFFFF"/>
              <w:right w:val="single" w:sz="12" w:space="0" w:color="FFFFFF"/>
            </w:tcBorders>
            <w:shd w:val="clear" w:color="000000" w:fill="8DB3E2"/>
            <w:vAlign w:val="center"/>
            <w:hideMark/>
          </w:tcPr>
          <w:p w14:paraId="03C40760"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6768BE93" w14:textId="77777777" w:rsidTr="00222450">
        <w:trPr>
          <w:trHeight w:val="280"/>
        </w:trPr>
        <w:tc>
          <w:tcPr>
            <w:tcW w:w="3418" w:type="dxa"/>
            <w:tcBorders>
              <w:top w:val="nil"/>
              <w:left w:val="single" w:sz="12" w:space="0" w:color="FFFFFF"/>
              <w:bottom w:val="single" w:sz="12" w:space="0" w:color="FFFFFF"/>
              <w:right w:val="single" w:sz="12" w:space="0" w:color="FFFFFF"/>
            </w:tcBorders>
            <w:shd w:val="clear" w:color="000000" w:fill="BFBFBF"/>
            <w:vAlign w:val="center"/>
            <w:hideMark/>
          </w:tcPr>
          <w:p w14:paraId="61C81A2A"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701" w:type="dxa"/>
            <w:tcBorders>
              <w:top w:val="nil"/>
              <w:left w:val="nil"/>
              <w:bottom w:val="single" w:sz="12" w:space="0" w:color="FFFFFF"/>
              <w:right w:val="single" w:sz="12" w:space="0" w:color="FFFFFF"/>
            </w:tcBorders>
            <w:shd w:val="clear" w:color="000000" w:fill="BFBFBF"/>
            <w:noWrap/>
          </w:tcPr>
          <w:p w14:paraId="54A0B1FF"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451 858 513,92</w:t>
            </w:r>
          </w:p>
        </w:tc>
        <w:tc>
          <w:tcPr>
            <w:tcW w:w="1559" w:type="dxa"/>
            <w:tcBorders>
              <w:top w:val="nil"/>
              <w:left w:val="nil"/>
              <w:bottom w:val="single" w:sz="12" w:space="0" w:color="FFFFFF"/>
              <w:right w:val="single" w:sz="12" w:space="0" w:color="FFFFFF"/>
            </w:tcBorders>
            <w:shd w:val="clear" w:color="000000" w:fill="BFBFBF"/>
            <w:noWrap/>
          </w:tcPr>
          <w:p w14:paraId="33D95D54"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157 440 552,13</w:t>
            </w:r>
          </w:p>
        </w:tc>
        <w:tc>
          <w:tcPr>
            <w:tcW w:w="1701" w:type="dxa"/>
            <w:tcBorders>
              <w:top w:val="nil"/>
              <w:left w:val="nil"/>
              <w:bottom w:val="single" w:sz="12" w:space="0" w:color="FFFFFF"/>
              <w:right w:val="single" w:sz="12" w:space="0" w:color="FFFFFF"/>
            </w:tcBorders>
            <w:shd w:val="clear" w:color="000000" w:fill="BFBFBF"/>
            <w:noWrap/>
          </w:tcPr>
          <w:p w14:paraId="34DE2340"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294 417 961,79</w:t>
            </w:r>
          </w:p>
        </w:tc>
        <w:tc>
          <w:tcPr>
            <w:tcW w:w="1507" w:type="dxa"/>
            <w:tcBorders>
              <w:top w:val="nil"/>
              <w:left w:val="nil"/>
              <w:bottom w:val="single" w:sz="12" w:space="0" w:color="FFFFFF"/>
              <w:right w:val="single" w:sz="12" w:space="0" w:color="FFFFFF"/>
            </w:tcBorders>
            <w:shd w:val="clear" w:color="000000" w:fill="BFBFBF"/>
            <w:noWrap/>
          </w:tcPr>
          <w:p w14:paraId="48FB2FE2"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288 728 524,26</w:t>
            </w:r>
          </w:p>
        </w:tc>
      </w:tr>
      <w:tr w:rsidR="00E1521D" w:rsidRPr="00094641" w14:paraId="7F0E3A2F" w14:textId="77777777" w:rsidTr="00222450">
        <w:trPr>
          <w:trHeight w:val="280"/>
        </w:trPr>
        <w:tc>
          <w:tcPr>
            <w:tcW w:w="3418" w:type="dxa"/>
            <w:tcBorders>
              <w:top w:val="nil"/>
              <w:left w:val="single" w:sz="12" w:space="0" w:color="FFFFFF"/>
              <w:bottom w:val="single" w:sz="12" w:space="0" w:color="FFFFFF"/>
              <w:right w:val="single" w:sz="12" w:space="0" w:color="FFFFFF"/>
            </w:tcBorders>
            <w:shd w:val="clear" w:color="000000" w:fill="D9D9D9"/>
            <w:vAlign w:val="center"/>
            <w:hideMark/>
          </w:tcPr>
          <w:p w14:paraId="38640690" w14:textId="77777777" w:rsidR="00E1521D" w:rsidRPr="00094641" w:rsidRDefault="00E1521D" w:rsidP="00222450">
            <w:pPr>
              <w:spacing w:after="0" w:line="240" w:lineRule="auto"/>
              <w:jc w:val="both"/>
              <w:rPr>
                <w:rFonts w:cs="Calibri"/>
                <w:sz w:val="20"/>
                <w:szCs w:val="20"/>
                <w:lang w:eastAsia="sk-SK"/>
              </w:rPr>
            </w:pPr>
            <w:r w:rsidRPr="00094641">
              <w:rPr>
                <w:rFonts w:cs="Calibri"/>
                <w:sz w:val="20"/>
                <w:szCs w:val="20"/>
                <w:lang w:eastAsia="sk-SK"/>
              </w:rPr>
              <w:t>Dlhodobý nehmotný majetok</w:t>
            </w:r>
          </w:p>
        </w:tc>
        <w:tc>
          <w:tcPr>
            <w:tcW w:w="1701" w:type="dxa"/>
            <w:tcBorders>
              <w:top w:val="nil"/>
              <w:left w:val="nil"/>
              <w:bottom w:val="single" w:sz="12" w:space="0" w:color="FFFFFF"/>
              <w:right w:val="single" w:sz="12" w:space="0" w:color="FFFFFF"/>
            </w:tcBorders>
            <w:shd w:val="clear" w:color="000000" w:fill="D9D9D9"/>
            <w:noWrap/>
          </w:tcPr>
          <w:p w14:paraId="705C912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5 430 686,50</w:t>
            </w:r>
          </w:p>
        </w:tc>
        <w:tc>
          <w:tcPr>
            <w:tcW w:w="1559" w:type="dxa"/>
            <w:tcBorders>
              <w:top w:val="nil"/>
              <w:left w:val="nil"/>
              <w:bottom w:val="single" w:sz="12" w:space="0" w:color="FFFFFF"/>
              <w:right w:val="single" w:sz="12" w:space="0" w:color="FFFFFF"/>
            </w:tcBorders>
            <w:shd w:val="clear" w:color="000000" w:fill="D9D9D9"/>
            <w:noWrap/>
          </w:tcPr>
          <w:p w14:paraId="2A38C8DA"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4 516 707,09</w:t>
            </w:r>
          </w:p>
        </w:tc>
        <w:tc>
          <w:tcPr>
            <w:tcW w:w="1701" w:type="dxa"/>
            <w:tcBorders>
              <w:top w:val="nil"/>
              <w:left w:val="nil"/>
              <w:bottom w:val="single" w:sz="12" w:space="0" w:color="FFFFFF"/>
              <w:right w:val="single" w:sz="12" w:space="0" w:color="FFFFFF"/>
            </w:tcBorders>
            <w:shd w:val="clear" w:color="000000" w:fill="D9D9D9"/>
            <w:noWrap/>
          </w:tcPr>
          <w:p w14:paraId="5F7E24A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913 979,41</w:t>
            </w:r>
          </w:p>
        </w:tc>
        <w:tc>
          <w:tcPr>
            <w:tcW w:w="1507" w:type="dxa"/>
            <w:tcBorders>
              <w:top w:val="nil"/>
              <w:left w:val="nil"/>
              <w:bottom w:val="single" w:sz="12" w:space="0" w:color="FFFFFF"/>
              <w:right w:val="single" w:sz="12" w:space="0" w:color="FFFFFF"/>
            </w:tcBorders>
            <w:shd w:val="clear" w:color="000000" w:fill="D9D9D9"/>
            <w:noWrap/>
          </w:tcPr>
          <w:p w14:paraId="0550926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1 225 406,50</w:t>
            </w:r>
          </w:p>
        </w:tc>
      </w:tr>
      <w:tr w:rsidR="00E1521D" w:rsidRPr="00094641" w14:paraId="656DF982" w14:textId="77777777" w:rsidTr="00222450">
        <w:trPr>
          <w:trHeight w:val="280"/>
        </w:trPr>
        <w:tc>
          <w:tcPr>
            <w:tcW w:w="3418" w:type="dxa"/>
            <w:tcBorders>
              <w:top w:val="nil"/>
              <w:left w:val="single" w:sz="12" w:space="0" w:color="FFFFFF"/>
              <w:bottom w:val="single" w:sz="12" w:space="0" w:color="FFFFFF"/>
              <w:right w:val="single" w:sz="12" w:space="0" w:color="FFFFFF"/>
            </w:tcBorders>
            <w:shd w:val="clear" w:color="000000" w:fill="D9D9D9"/>
            <w:vAlign w:val="center"/>
            <w:hideMark/>
          </w:tcPr>
          <w:p w14:paraId="5FDB0E11" w14:textId="77777777" w:rsidR="00E1521D" w:rsidRPr="00094641" w:rsidRDefault="00E1521D" w:rsidP="00222450">
            <w:pPr>
              <w:spacing w:after="0" w:line="240" w:lineRule="auto"/>
              <w:jc w:val="both"/>
              <w:rPr>
                <w:rFonts w:cs="Calibri"/>
                <w:sz w:val="20"/>
                <w:szCs w:val="20"/>
                <w:lang w:eastAsia="sk-SK"/>
              </w:rPr>
            </w:pPr>
            <w:r w:rsidRPr="00094641">
              <w:rPr>
                <w:rFonts w:cs="Calibri"/>
                <w:sz w:val="20"/>
                <w:szCs w:val="20"/>
                <w:lang w:eastAsia="sk-SK"/>
              </w:rPr>
              <w:t>Dlhodobý hmotný majetok</w:t>
            </w:r>
          </w:p>
        </w:tc>
        <w:tc>
          <w:tcPr>
            <w:tcW w:w="1701" w:type="dxa"/>
            <w:tcBorders>
              <w:top w:val="nil"/>
              <w:left w:val="nil"/>
              <w:bottom w:val="single" w:sz="12" w:space="0" w:color="FFFFFF"/>
              <w:right w:val="single" w:sz="12" w:space="0" w:color="FFFFFF"/>
            </w:tcBorders>
            <w:shd w:val="clear" w:color="000000" w:fill="D9D9D9"/>
            <w:noWrap/>
          </w:tcPr>
          <w:p w14:paraId="71B778B7"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446 356 174,32</w:t>
            </w:r>
          </w:p>
        </w:tc>
        <w:tc>
          <w:tcPr>
            <w:tcW w:w="1559" w:type="dxa"/>
            <w:tcBorders>
              <w:top w:val="nil"/>
              <w:left w:val="nil"/>
              <w:bottom w:val="single" w:sz="12" w:space="0" w:color="FFFFFF"/>
              <w:right w:val="single" w:sz="12" w:space="0" w:color="FFFFFF"/>
            </w:tcBorders>
            <w:shd w:val="clear" w:color="000000" w:fill="D9D9D9"/>
            <w:noWrap/>
          </w:tcPr>
          <w:p w14:paraId="269EFCD1"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152 923 845,04</w:t>
            </w:r>
          </w:p>
        </w:tc>
        <w:tc>
          <w:tcPr>
            <w:tcW w:w="1701" w:type="dxa"/>
            <w:tcBorders>
              <w:top w:val="nil"/>
              <w:left w:val="nil"/>
              <w:bottom w:val="single" w:sz="12" w:space="0" w:color="FFFFFF"/>
              <w:right w:val="single" w:sz="12" w:space="0" w:color="FFFFFF"/>
            </w:tcBorders>
            <w:shd w:val="clear" w:color="000000" w:fill="D9D9D9"/>
            <w:noWrap/>
          </w:tcPr>
          <w:p w14:paraId="3C55ACFA"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293 432 329,28</w:t>
            </w:r>
          </w:p>
        </w:tc>
        <w:tc>
          <w:tcPr>
            <w:tcW w:w="1507" w:type="dxa"/>
            <w:tcBorders>
              <w:top w:val="nil"/>
              <w:left w:val="nil"/>
              <w:bottom w:val="single" w:sz="12" w:space="0" w:color="FFFFFF"/>
              <w:right w:val="single" w:sz="12" w:space="0" w:color="FFFFFF"/>
            </w:tcBorders>
            <w:shd w:val="clear" w:color="000000" w:fill="D9D9D9"/>
            <w:noWrap/>
          </w:tcPr>
          <w:p w14:paraId="3DD9BE8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287 458 964,76</w:t>
            </w:r>
          </w:p>
        </w:tc>
      </w:tr>
      <w:tr w:rsidR="00E1521D" w:rsidRPr="00094641" w14:paraId="1DE373CE" w14:textId="77777777" w:rsidTr="00222450">
        <w:trPr>
          <w:trHeight w:val="280"/>
        </w:trPr>
        <w:tc>
          <w:tcPr>
            <w:tcW w:w="3418" w:type="dxa"/>
            <w:tcBorders>
              <w:top w:val="nil"/>
              <w:left w:val="single" w:sz="12" w:space="0" w:color="FFFFFF"/>
              <w:bottom w:val="single" w:sz="12" w:space="0" w:color="FFFFFF"/>
              <w:right w:val="single" w:sz="12" w:space="0" w:color="FFFFFF"/>
            </w:tcBorders>
            <w:shd w:val="clear" w:color="000000" w:fill="D9D9D9"/>
            <w:vAlign w:val="center"/>
            <w:hideMark/>
          </w:tcPr>
          <w:p w14:paraId="4709D53B" w14:textId="77777777" w:rsidR="00E1521D" w:rsidRPr="00094641" w:rsidRDefault="00E1521D" w:rsidP="00222450">
            <w:pPr>
              <w:spacing w:after="0" w:line="240" w:lineRule="auto"/>
              <w:jc w:val="both"/>
              <w:rPr>
                <w:rFonts w:cs="Calibri"/>
                <w:sz w:val="20"/>
                <w:szCs w:val="20"/>
                <w:lang w:eastAsia="sk-SK"/>
              </w:rPr>
            </w:pPr>
            <w:r w:rsidRPr="00094641">
              <w:rPr>
                <w:rFonts w:cs="Calibri"/>
                <w:sz w:val="20"/>
                <w:szCs w:val="20"/>
                <w:lang w:eastAsia="sk-SK"/>
              </w:rPr>
              <w:t>Dlhodobý finančný majetok</w:t>
            </w:r>
          </w:p>
        </w:tc>
        <w:tc>
          <w:tcPr>
            <w:tcW w:w="1701" w:type="dxa"/>
            <w:tcBorders>
              <w:top w:val="nil"/>
              <w:left w:val="nil"/>
              <w:bottom w:val="single" w:sz="12" w:space="0" w:color="FFFFFF"/>
              <w:right w:val="single" w:sz="12" w:space="0" w:color="FFFFFF"/>
            </w:tcBorders>
            <w:shd w:val="clear" w:color="000000" w:fill="D9D9D9"/>
            <w:noWrap/>
          </w:tcPr>
          <w:p w14:paraId="5F460C9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71 653,10</w:t>
            </w:r>
          </w:p>
        </w:tc>
        <w:tc>
          <w:tcPr>
            <w:tcW w:w="1559" w:type="dxa"/>
            <w:tcBorders>
              <w:top w:val="nil"/>
              <w:left w:val="nil"/>
              <w:bottom w:val="single" w:sz="12" w:space="0" w:color="FFFFFF"/>
              <w:right w:val="single" w:sz="12" w:space="0" w:color="FFFFFF"/>
            </w:tcBorders>
            <w:shd w:val="clear" w:color="000000" w:fill="D9D9D9"/>
            <w:noWrap/>
          </w:tcPr>
          <w:p w14:paraId="1D5D62E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701" w:type="dxa"/>
            <w:tcBorders>
              <w:top w:val="nil"/>
              <w:left w:val="nil"/>
              <w:bottom w:val="single" w:sz="12" w:space="0" w:color="FFFFFF"/>
              <w:right w:val="single" w:sz="12" w:space="0" w:color="FFFFFF"/>
            </w:tcBorders>
            <w:shd w:val="clear" w:color="000000" w:fill="D9D9D9"/>
            <w:noWrap/>
          </w:tcPr>
          <w:p w14:paraId="22A9242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71 653,10</w:t>
            </w:r>
          </w:p>
        </w:tc>
        <w:tc>
          <w:tcPr>
            <w:tcW w:w="1507" w:type="dxa"/>
            <w:tcBorders>
              <w:top w:val="nil"/>
              <w:left w:val="nil"/>
              <w:bottom w:val="single" w:sz="12" w:space="0" w:color="FFFFFF"/>
              <w:right w:val="single" w:sz="12" w:space="0" w:color="FFFFFF"/>
            </w:tcBorders>
            <w:shd w:val="clear" w:color="000000" w:fill="D9D9D9"/>
            <w:noWrap/>
          </w:tcPr>
          <w:p w14:paraId="4DDC778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44 153,00</w:t>
            </w:r>
          </w:p>
        </w:tc>
      </w:tr>
    </w:tbl>
    <w:p w14:paraId="24B8A558" w14:textId="77777777" w:rsidR="00E1521D" w:rsidRPr="00094641" w:rsidRDefault="00E1521D" w:rsidP="00E1521D">
      <w:pPr>
        <w:jc w:val="both"/>
      </w:pPr>
    </w:p>
    <w:p w14:paraId="5AABF0FE" w14:textId="77777777" w:rsidR="00E1521D" w:rsidRPr="00094641" w:rsidRDefault="00E1521D" w:rsidP="00E1521D">
      <w:pPr>
        <w:pStyle w:val="tl2"/>
      </w:pPr>
      <w:r w:rsidRPr="00094641">
        <w:t>I.1</w:t>
      </w:r>
      <w:r w:rsidRPr="00687C60">
        <w:t>. Rozpočtové organizácie</w:t>
      </w:r>
      <w:r w:rsidRPr="00AA44BC">
        <w:t xml:space="preserve"> BSK</w:t>
      </w:r>
    </w:p>
    <w:p w14:paraId="114919D1" w14:textId="77777777" w:rsidR="00E1521D" w:rsidRPr="00094641" w:rsidRDefault="00E1521D" w:rsidP="00E1521D">
      <w:pPr>
        <w:pStyle w:val="tl2"/>
      </w:pPr>
    </w:p>
    <w:p w14:paraId="3C701CBA" w14:textId="77777777" w:rsidR="00E1521D" w:rsidRPr="00094641" w:rsidRDefault="00E1521D" w:rsidP="00E1521D">
      <w:pPr>
        <w:jc w:val="both"/>
      </w:pPr>
      <w:r w:rsidRPr="00094641">
        <w:rPr>
          <w:b/>
        </w:rPr>
        <w:t>Rozpočtové organizácie BSK v zriaďovateľskej pôsobnosti BSK vrátane Úradu BSK</w:t>
      </w:r>
      <w:r w:rsidRPr="00094641">
        <w:t xml:space="preserve"> vykázali </w:t>
      </w:r>
      <w:r w:rsidRPr="00094641">
        <w:rPr>
          <w:b/>
        </w:rPr>
        <w:t>celkovú výšku neobežného majetku k 31.12.20</w:t>
      </w:r>
      <w:r>
        <w:rPr>
          <w:b/>
        </w:rPr>
        <w:t>20</w:t>
      </w:r>
      <w:r w:rsidRPr="00094641">
        <w:t xml:space="preserve"> v obstarávacej hodnote </w:t>
      </w:r>
      <w:r>
        <w:rPr>
          <w:rFonts w:cs="Arial"/>
          <w:b/>
          <w:color w:val="000000"/>
        </w:rPr>
        <w:t>388 219 006,22</w:t>
      </w:r>
      <w:r w:rsidRPr="00094641">
        <w:rPr>
          <w:rFonts w:cs="Arial"/>
          <w:b/>
          <w:color w:val="000000"/>
        </w:rPr>
        <w:t xml:space="preserve"> </w:t>
      </w:r>
      <w:r w:rsidRPr="00094641">
        <w:rPr>
          <w:b/>
        </w:rPr>
        <w:t>EUR</w:t>
      </w:r>
      <w:r w:rsidRPr="00094641">
        <w:t xml:space="preserve">. </w:t>
      </w:r>
      <w:r w:rsidRPr="00094641">
        <w:rPr>
          <w:b/>
        </w:rPr>
        <w:t>Zostatková hodnota neobežného majetku BSK</w:t>
      </w:r>
      <w:r w:rsidRPr="00094641">
        <w:t>, podľa účtovnej závierky k 31.12.20</w:t>
      </w:r>
      <w:r>
        <w:t>20</w:t>
      </w:r>
      <w:r w:rsidRPr="00094641">
        <w:t xml:space="preserve"> bola vykázaná v celkovej výške </w:t>
      </w:r>
      <w:r>
        <w:rPr>
          <w:b/>
        </w:rPr>
        <w:t>256 551 684,68</w:t>
      </w:r>
      <w:r w:rsidRPr="00094641">
        <w:rPr>
          <w:b/>
        </w:rPr>
        <w:t xml:space="preserve"> EUR</w:t>
      </w:r>
      <w:r w:rsidRPr="00094641">
        <w:t xml:space="preserve">. </w:t>
      </w:r>
    </w:p>
    <w:tbl>
      <w:tblPr>
        <w:tblW w:w="10593" w:type="dxa"/>
        <w:tblInd w:w="55" w:type="dxa"/>
        <w:tblCellMar>
          <w:left w:w="70" w:type="dxa"/>
          <w:right w:w="70" w:type="dxa"/>
        </w:tblCellMar>
        <w:tblLook w:val="04A0" w:firstRow="1" w:lastRow="0" w:firstColumn="1" w:lastColumn="0" w:noHBand="0" w:noVBand="1"/>
      </w:tblPr>
      <w:tblGrid>
        <w:gridCol w:w="3542"/>
        <w:gridCol w:w="1839"/>
        <w:gridCol w:w="1993"/>
        <w:gridCol w:w="1532"/>
        <w:gridCol w:w="1687"/>
      </w:tblGrid>
      <w:tr w:rsidR="00E1521D" w:rsidRPr="00094641" w14:paraId="0853623B" w14:textId="77777777" w:rsidTr="00E1521D">
        <w:trPr>
          <w:trHeight w:val="591"/>
        </w:trPr>
        <w:tc>
          <w:tcPr>
            <w:tcW w:w="10593" w:type="dxa"/>
            <w:gridSpan w:val="5"/>
            <w:tcBorders>
              <w:top w:val="nil"/>
              <w:left w:val="single" w:sz="12" w:space="0" w:color="FFFFFF"/>
              <w:bottom w:val="single" w:sz="12" w:space="0" w:color="FFFFFF"/>
              <w:right w:val="single" w:sz="12" w:space="0" w:color="FFFFFF"/>
            </w:tcBorders>
            <w:shd w:val="clear" w:color="000000" w:fill="8DB3E2"/>
            <w:noWrap/>
            <w:vAlign w:val="center"/>
            <w:hideMark/>
          </w:tcPr>
          <w:p w14:paraId="340ACF15" w14:textId="77777777" w:rsidR="00E1521D" w:rsidRPr="00094641" w:rsidRDefault="00E1521D" w:rsidP="00222450">
            <w:pPr>
              <w:spacing w:after="0" w:line="240" w:lineRule="auto"/>
              <w:jc w:val="center"/>
              <w:rPr>
                <w:b/>
                <w:sz w:val="20"/>
                <w:szCs w:val="20"/>
              </w:rPr>
            </w:pPr>
            <w:r w:rsidRPr="00094641">
              <w:rPr>
                <w:b/>
                <w:sz w:val="20"/>
                <w:szCs w:val="20"/>
              </w:rPr>
              <w:lastRenderedPageBreak/>
              <w:t xml:space="preserve">PREHĽAD O MAJETKU v správe rozpočtových organizácií </w:t>
            </w:r>
          </w:p>
          <w:p w14:paraId="1DB7255C" w14:textId="77777777" w:rsidR="00E1521D" w:rsidRPr="00094641" w:rsidRDefault="00E1521D" w:rsidP="00222450">
            <w:pPr>
              <w:spacing w:after="0" w:line="240" w:lineRule="auto"/>
              <w:jc w:val="center"/>
              <w:rPr>
                <w:rFonts w:cs="Calibri"/>
                <w:b/>
                <w:bCs/>
                <w:sz w:val="20"/>
                <w:szCs w:val="20"/>
                <w:lang w:eastAsia="sk-SK"/>
              </w:rPr>
            </w:pPr>
            <w:r w:rsidRPr="00094641">
              <w:rPr>
                <w:b/>
                <w:sz w:val="20"/>
                <w:szCs w:val="20"/>
              </w:rPr>
              <w:t>v zriaďovateľskej pôsobnosti BSK vrátane Úradu BSK v EUR</w:t>
            </w:r>
            <w:r w:rsidRPr="00094641">
              <w:rPr>
                <w:rFonts w:cs="Calibri"/>
                <w:b/>
                <w:bCs/>
                <w:sz w:val="20"/>
                <w:szCs w:val="20"/>
                <w:lang w:eastAsia="sk-SK"/>
              </w:rPr>
              <w:t xml:space="preserve"> </w:t>
            </w:r>
          </w:p>
          <w:p w14:paraId="1620EDE7" w14:textId="77777777" w:rsidR="00E1521D" w:rsidRPr="00094641" w:rsidRDefault="00E1521D" w:rsidP="00222450">
            <w:pPr>
              <w:spacing w:after="0" w:line="240" w:lineRule="auto"/>
              <w:jc w:val="center"/>
              <w:rPr>
                <w:rFonts w:cs="Calibri"/>
                <w:b/>
                <w:bCs/>
                <w:sz w:val="20"/>
                <w:szCs w:val="20"/>
                <w:lang w:eastAsia="sk-SK"/>
              </w:rPr>
            </w:pPr>
          </w:p>
        </w:tc>
      </w:tr>
      <w:tr w:rsidR="00E1521D" w:rsidRPr="00094641" w14:paraId="5B7EA7B5" w14:textId="77777777" w:rsidTr="00E1521D">
        <w:trPr>
          <w:trHeight w:val="563"/>
        </w:trPr>
        <w:tc>
          <w:tcPr>
            <w:tcW w:w="3542" w:type="dxa"/>
            <w:tcBorders>
              <w:top w:val="nil"/>
              <w:left w:val="single" w:sz="12" w:space="0" w:color="FFFFFF"/>
              <w:bottom w:val="single" w:sz="12" w:space="0" w:color="FFFFFF"/>
              <w:right w:val="single" w:sz="12" w:space="0" w:color="FFFFFF"/>
            </w:tcBorders>
            <w:shd w:val="clear" w:color="000000" w:fill="8DB3E2"/>
            <w:noWrap/>
            <w:vAlign w:val="center"/>
            <w:hideMark/>
          </w:tcPr>
          <w:p w14:paraId="01EC2477"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Názov</w:t>
            </w:r>
          </w:p>
        </w:tc>
        <w:tc>
          <w:tcPr>
            <w:tcW w:w="1839" w:type="dxa"/>
            <w:tcBorders>
              <w:top w:val="nil"/>
              <w:left w:val="nil"/>
              <w:bottom w:val="single" w:sz="12" w:space="0" w:color="FFFFFF"/>
              <w:right w:val="single" w:sz="12" w:space="0" w:color="FFFFFF"/>
            </w:tcBorders>
            <w:shd w:val="clear" w:color="000000" w:fill="8DB3E2"/>
            <w:vAlign w:val="center"/>
            <w:hideMark/>
          </w:tcPr>
          <w:p w14:paraId="5B3F9117"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993" w:type="dxa"/>
            <w:tcBorders>
              <w:top w:val="nil"/>
              <w:left w:val="nil"/>
              <w:bottom w:val="single" w:sz="12" w:space="0" w:color="FFFFFF"/>
              <w:right w:val="single" w:sz="12" w:space="0" w:color="FFFFFF"/>
            </w:tcBorders>
            <w:shd w:val="clear" w:color="000000" w:fill="8DB3E2"/>
            <w:vAlign w:val="center"/>
            <w:hideMark/>
          </w:tcPr>
          <w:p w14:paraId="30AE117A"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532" w:type="dxa"/>
            <w:tcBorders>
              <w:top w:val="nil"/>
              <w:left w:val="nil"/>
              <w:bottom w:val="single" w:sz="12" w:space="0" w:color="FFFFFF"/>
              <w:right w:val="single" w:sz="12" w:space="0" w:color="FFFFFF"/>
            </w:tcBorders>
            <w:shd w:val="clear" w:color="000000" w:fill="8DB3E2"/>
            <w:vAlign w:val="center"/>
            <w:hideMark/>
          </w:tcPr>
          <w:p w14:paraId="20E131F1"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685" w:type="dxa"/>
            <w:tcBorders>
              <w:top w:val="nil"/>
              <w:left w:val="nil"/>
              <w:bottom w:val="single" w:sz="12" w:space="0" w:color="FFFFFF"/>
              <w:right w:val="single" w:sz="12" w:space="0" w:color="FFFFFF"/>
            </w:tcBorders>
            <w:shd w:val="clear" w:color="000000" w:fill="8DB3E2"/>
            <w:vAlign w:val="center"/>
            <w:hideMark/>
          </w:tcPr>
          <w:p w14:paraId="7A459C00"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5DA952F6" w14:textId="77777777" w:rsidTr="00E1521D">
        <w:trPr>
          <w:trHeight w:val="297"/>
        </w:trPr>
        <w:tc>
          <w:tcPr>
            <w:tcW w:w="3542" w:type="dxa"/>
            <w:tcBorders>
              <w:top w:val="nil"/>
              <w:left w:val="single" w:sz="12" w:space="0" w:color="FFFFFF"/>
              <w:bottom w:val="single" w:sz="12" w:space="0" w:color="FFFFFF"/>
              <w:right w:val="single" w:sz="12" w:space="0" w:color="FFFFFF"/>
            </w:tcBorders>
            <w:shd w:val="clear" w:color="000000" w:fill="BFBFBF"/>
            <w:vAlign w:val="center"/>
            <w:hideMark/>
          </w:tcPr>
          <w:p w14:paraId="24F4A066"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839" w:type="dxa"/>
            <w:tcBorders>
              <w:top w:val="nil"/>
              <w:left w:val="nil"/>
              <w:bottom w:val="single" w:sz="12" w:space="0" w:color="FFFFFF"/>
              <w:right w:val="single" w:sz="12" w:space="0" w:color="FFFFFF"/>
            </w:tcBorders>
            <w:shd w:val="clear" w:color="000000" w:fill="BFBFBF"/>
            <w:noWrap/>
          </w:tcPr>
          <w:p w14:paraId="57BA3422"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388 219 006,22</w:t>
            </w:r>
          </w:p>
        </w:tc>
        <w:tc>
          <w:tcPr>
            <w:tcW w:w="1993" w:type="dxa"/>
            <w:tcBorders>
              <w:top w:val="nil"/>
              <w:left w:val="nil"/>
              <w:bottom w:val="single" w:sz="12" w:space="0" w:color="FFFFFF"/>
              <w:right w:val="single" w:sz="12" w:space="0" w:color="FFFFFF"/>
            </w:tcBorders>
            <w:shd w:val="clear" w:color="000000" w:fill="BFBFBF"/>
            <w:noWrap/>
          </w:tcPr>
          <w:p w14:paraId="1D6ED658"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131 667 321,54</w:t>
            </w:r>
          </w:p>
        </w:tc>
        <w:tc>
          <w:tcPr>
            <w:tcW w:w="1532" w:type="dxa"/>
            <w:tcBorders>
              <w:top w:val="nil"/>
              <w:left w:val="nil"/>
              <w:bottom w:val="single" w:sz="12" w:space="0" w:color="FFFFFF"/>
              <w:right w:val="single" w:sz="12" w:space="0" w:color="FFFFFF"/>
            </w:tcBorders>
            <w:shd w:val="clear" w:color="000000" w:fill="BFBFBF"/>
            <w:noWrap/>
          </w:tcPr>
          <w:p w14:paraId="4021A737"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256 551 684,68</w:t>
            </w:r>
          </w:p>
        </w:tc>
        <w:tc>
          <w:tcPr>
            <w:tcW w:w="1685" w:type="dxa"/>
            <w:tcBorders>
              <w:top w:val="nil"/>
              <w:left w:val="nil"/>
              <w:bottom w:val="single" w:sz="12" w:space="0" w:color="FFFFFF"/>
              <w:right w:val="single" w:sz="12" w:space="0" w:color="FFFFFF"/>
            </w:tcBorders>
            <w:shd w:val="clear" w:color="000000" w:fill="BFBFBF"/>
            <w:noWrap/>
          </w:tcPr>
          <w:p w14:paraId="6618BA20"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251 371 132,10</w:t>
            </w:r>
          </w:p>
        </w:tc>
      </w:tr>
      <w:tr w:rsidR="00E1521D" w:rsidRPr="00094641" w14:paraId="65FC9BA0" w14:textId="77777777" w:rsidTr="00E1521D">
        <w:trPr>
          <w:trHeight w:val="296"/>
        </w:trPr>
        <w:tc>
          <w:tcPr>
            <w:tcW w:w="3542" w:type="dxa"/>
            <w:tcBorders>
              <w:top w:val="nil"/>
              <w:left w:val="single" w:sz="12" w:space="0" w:color="FFFFFF"/>
              <w:bottom w:val="single" w:sz="12" w:space="0" w:color="FFFFFF"/>
              <w:right w:val="single" w:sz="12" w:space="0" w:color="FFFFFF"/>
            </w:tcBorders>
            <w:shd w:val="clear" w:color="000000" w:fill="D9D9D9"/>
            <w:vAlign w:val="center"/>
            <w:hideMark/>
          </w:tcPr>
          <w:p w14:paraId="43E09271" w14:textId="77777777" w:rsidR="00E1521D" w:rsidRPr="00094641" w:rsidRDefault="00E1521D" w:rsidP="00222450">
            <w:pPr>
              <w:spacing w:after="0" w:line="240" w:lineRule="auto"/>
              <w:jc w:val="both"/>
              <w:rPr>
                <w:rFonts w:cs="Calibri"/>
                <w:sz w:val="20"/>
                <w:szCs w:val="20"/>
                <w:lang w:eastAsia="sk-SK"/>
              </w:rPr>
            </w:pPr>
            <w:r w:rsidRPr="00094641">
              <w:rPr>
                <w:rFonts w:cs="Calibri"/>
                <w:sz w:val="20"/>
                <w:szCs w:val="20"/>
                <w:lang w:eastAsia="sk-SK"/>
              </w:rPr>
              <w:t>Dlhodobý nehmotný majetok</w:t>
            </w:r>
          </w:p>
        </w:tc>
        <w:tc>
          <w:tcPr>
            <w:tcW w:w="1839" w:type="dxa"/>
            <w:tcBorders>
              <w:top w:val="nil"/>
              <w:left w:val="nil"/>
              <w:bottom w:val="single" w:sz="12" w:space="0" w:color="FFFFFF"/>
              <w:right w:val="single" w:sz="12" w:space="0" w:color="FFFFFF"/>
            </w:tcBorders>
            <w:shd w:val="clear" w:color="000000" w:fill="D9D9D9"/>
            <w:noWrap/>
          </w:tcPr>
          <w:p w14:paraId="195EC22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5 300 760,81</w:t>
            </w:r>
          </w:p>
        </w:tc>
        <w:tc>
          <w:tcPr>
            <w:tcW w:w="1993" w:type="dxa"/>
            <w:tcBorders>
              <w:top w:val="nil"/>
              <w:left w:val="nil"/>
              <w:bottom w:val="single" w:sz="12" w:space="0" w:color="FFFFFF"/>
              <w:right w:val="single" w:sz="12" w:space="0" w:color="FFFFFF"/>
            </w:tcBorders>
            <w:shd w:val="clear" w:color="000000" w:fill="D9D9D9"/>
            <w:noWrap/>
          </w:tcPr>
          <w:p w14:paraId="634C435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4 421 599,40</w:t>
            </w:r>
          </w:p>
        </w:tc>
        <w:tc>
          <w:tcPr>
            <w:tcW w:w="1532" w:type="dxa"/>
            <w:tcBorders>
              <w:top w:val="nil"/>
              <w:left w:val="nil"/>
              <w:bottom w:val="single" w:sz="12" w:space="0" w:color="FFFFFF"/>
              <w:right w:val="single" w:sz="12" w:space="0" w:color="FFFFFF"/>
            </w:tcBorders>
            <w:shd w:val="clear" w:color="000000" w:fill="D9D9D9"/>
            <w:noWrap/>
          </w:tcPr>
          <w:p w14:paraId="7FC0384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879 161,41</w:t>
            </w:r>
          </w:p>
        </w:tc>
        <w:tc>
          <w:tcPr>
            <w:tcW w:w="1685" w:type="dxa"/>
            <w:tcBorders>
              <w:top w:val="nil"/>
              <w:left w:val="nil"/>
              <w:bottom w:val="single" w:sz="12" w:space="0" w:color="FFFFFF"/>
              <w:right w:val="single" w:sz="12" w:space="0" w:color="FFFFFF"/>
            </w:tcBorders>
            <w:shd w:val="clear" w:color="000000" w:fill="D9D9D9"/>
            <w:noWrap/>
          </w:tcPr>
          <w:p w14:paraId="0C3B9CD7"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1 197 772,34</w:t>
            </w:r>
          </w:p>
        </w:tc>
      </w:tr>
      <w:tr w:rsidR="00E1521D" w:rsidRPr="00094641" w14:paraId="4F706E23" w14:textId="77777777" w:rsidTr="00E1521D">
        <w:trPr>
          <w:trHeight w:val="256"/>
        </w:trPr>
        <w:tc>
          <w:tcPr>
            <w:tcW w:w="3542" w:type="dxa"/>
            <w:tcBorders>
              <w:top w:val="nil"/>
              <w:left w:val="single" w:sz="12" w:space="0" w:color="FFFFFF"/>
              <w:bottom w:val="single" w:sz="12" w:space="0" w:color="FFFFFF"/>
              <w:right w:val="single" w:sz="12" w:space="0" w:color="FFFFFF"/>
            </w:tcBorders>
            <w:shd w:val="clear" w:color="000000" w:fill="D9D9D9"/>
            <w:vAlign w:val="center"/>
            <w:hideMark/>
          </w:tcPr>
          <w:p w14:paraId="26EB39D2" w14:textId="77777777" w:rsidR="00E1521D" w:rsidRPr="00094641" w:rsidRDefault="00E1521D" w:rsidP="00222450">
            <w:pPr>
              <w:spacing w:after="0" w:line="240" w:lineRule="auto"/>
              <w:jc w:val="both"/>
              <w:rPr>
                <w:rFonts w:cs="Calibri"/>
                <w:sz w:val="20"/>
                <w:szCs w:val="20"/>
                <w:lang w:eastAsia="sk-SK"/>
              </w:rPr>
            </w:pPr>
            <w:r w:rsidRPr="00094641">
              <w:rPr>
                <w:rFonts w:cs="Calibri"/>
                <w:sz w:val="20"/>
                <w:szCs w:val="20"/>
                <w:lang w:eastAsia="sk-SK"/>
              </w:rPr>
              <w:t>Dlhodobý hmotný majetok</w:t>
            </w:r>
          </w:p>
        </w:tc>
        <w:tc>
          <w:tcPr>
            <w:tcW w:w="1839" w:type="dxa"/>
            <w:tcBorders>
              <w:top w:val="nil"/>
              <w:left w:val="nil"/>
              <w:bottom w:val="single" w:sz="12" w:space="0" w:color="FFFFFF"/>
              <w:right w:val="single" w:sz="12" w:space="0" w:color="FFFFFF"/>
            </w:tcBorders>
            <w:shd w:val="clear" w:color="000000" w:fill="D9D9D9"/>
            <w:noWrap/>
          </w:tcPr>
          <w:p w14:paraId="2915E7F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382 846 592,31</w:t>
            </w:r>
          </w:p>
        </w:tc>
        <w:tc>
          <w:tcPr>
            <w:tcW w:w="1993" w:type="dxa"/>
            <w:tcBorders>
              <w:top w:val="nil"/>
              <w:left w:val="nil"/>
              <w:bottom w:val="single" w:sz="12" w:space="0" w:color="FFFFFF"/>
              <w:right w:val="single" w:sz="12" w:space="0" w:color="FFFFFF"/>
            </w:tcBorders>
            <w:shd w:val="clear" w:color="000000" w:fill="D9D9D9"/>
            <w:noWrap/>
          </w:tcPr>
          <w:p w14:paraId="4870847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127 245 722,14</w:t>
            </w:r>
          </w:p>
        </w:tc>
        <w:tc>
          <w:tcPr>
            <w:tcW w:w="1532" w:type="dxa"/>
            <w:tcBorders>
              <w:top w:val="nil"/>
              <w:left w:val="nil"/>
              <w:bottom w:val="single" w:sz="12" w:space="0" w:color="FFFFFF"/>
              <w:right w:val="single" w:sz="12" w:space="0" w:color="FFFFFF"/>
            </w:tcBorders>
            <w:shd w:val="clear" w:color="000000" w:fill="D9D9D9"/>
            <w:noWrap/>
          </w:tcPr>
          <w:p w14:paraId="1F96704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255 600 870,17</w:t>
            </w:r>
          </w:p>
        </w:tc>
        <w:tc>
          <w:tcPr>
            <w:tcW w:w="1685" w:type="dxa"/>
            <w:tcBorders>
              <w:top w:val="nil"/>
              <w:left w:val="nil"/>
              <w:bottom w:val="single" w:sz="12" w:space="0" w:color="FFFFFF"/>
              <w:right w:val="single" w:sz="12" w:space="0" w:color="FFFFFF"/>
            </w:tcBorders>
            <w:shd w:val="clear" w:color="000000" w:fill="D9D9D9"/>
            <w:noWrap/>
          </w:tcPr>
          <w:p w14:paraId="695DD2E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250 129 206,76</w:t>
            </w:r>
          </w:p>
        </w:tc>
      </w:tr>
      <w:tr w:rsidR="00E1521D" w:rsidRPr="00094641" w14:paraId="3E97E7D1" w14:textId="77777777" w:rsidTr="00E1521D">
        <w:trPr>
          <w:trHeight w:val="281"/>
        </w:trPr>
        <w:tc>
          <w:tcPr>
            <w:tcW w:w="3542" w:type="dxa"/>
            <w:tcBorders>
              <w:top w:val="nil"/>
              <w:left w:val="single" w:sz="12" w:space="0" w:color="FFFFFF"/>
              <w:bottom w:val="single" w:sz="12" w:space="0" w:color="FFFFFF"/>
              <w:right w:val="single" w:sz="12" w:space="0" w:color="FFFFFF"/>
            </w:tcBorders>
            <w:shd w:val="clear" w:color="000000" w:fill="D9D9D9"/>
            <w:vAlign w:val="center"/>
            <w:hideMark/>
          </w:tcPr>
          <w:p w14:paraId="273E117A" w14:textId="77777777" w:rsidR="00E1521D" w:rsidRPr="00094641" w:rsidRDefault="00E1521D" w:rsidP="00222450">
            <w:pPr>
              <w:spacing w:after="0" w:line="240" w:lineRule="auto"/>
              <w:jc w:val="both"/>
              <w:rPr>
                <w:rFonts w:cs="Calibri"/>
                <w:sz w:val="20"/>
                <w:szCs w:val="20"/>
                <w:lang w:eastAsia="sk-SK"/>
              </w:rPr>
            </w:pPr>
            <w:r w:rsidRPr="00094641">
              <w:rPr>
                <w:rFonts w:cs="Calibri"/>
                <w:sz w:val="20"/>
                <w:szCs w:val="20"/>
                <w:lang w:eastAsia="sk-SK"/>
              </w:rPr>
              <w:t>Dlhodobý finančný majetok</w:t>
            </w:r>
          </w:p>
        </w:tc>
        <w:tc>
          <w:tcPr>
            <w:tcW w:w="1839" w:type="dxa"/>
            <w:tcBorders>
              <w:top w:val="nil"/>
              <w:left w:val="nil"/>
              <w:bottom w:val="single" w:sz="12" w:space="0" w:color="FFFFFF"/>
              <w:right w:val="single" w:sz="12" w:space="0" w:color="FFFFFF"/>
            </w:tcBorders>
            <w:shd w:val="clear" w:color="000000" w:fill="D9D9D9"/>
            <w:noWrap/>
          </w:tcPr>
          <w:p w14:paraId="13314A3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71 653,10</w:t>
            </w:r>
          </w:p>
        </w:tc>
        <w:tc>
          <w:tcPr>
            <w:tcW w:w="1993" w:type="dxa"/>
            <w:tcBorders>
              <w:top w:val="nil"/>
              <w:left w:val="nil"/>
              <w:bottom w:val="single" w:sz="12" w:space="0" w:color="FFFFFF"/>
              <w:right w:val="single" w:sz="12" w:space="0" w:color="FFFFFF"/>
            </w:tcBorders>
            <w:shd w:val="clear" w:color="000000" w:fill="D9D9D9"/>
            <w:noWrap/>
          </w:tcPr>
          <w:p w14:paraId="64F8F21A"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32" w:type="dxa"/>
            <w:tcBorders>
              <w:top w:val="nil"/>
              <w:left w:val="nil"/>
              <w:bottom w:val="single" w:sz="12" w:space="0" w:color="FFFFFF"/>
              <w:right w:val="single" w:sz="12" w:space="0" w:color="FFFFFF"/>
            </w:tcBorders>
            <w:shd w:val="clear" w:color="000000" w:fill="D9D9D9"/>
            <w:noWrap/>
          </w:tcPr>
          <w:p w14:paraId="3D6CAC4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71 653,10</w:t>
            </w:r>
          </w:p>
        </w:tc>
        <w:tc>
          <w:tcPr>
            <w:tcW w:w="1685" w:type="dxa"/>
            <w:tcBorders>
              <w:top w:val="nil"/>
              <w:left w:val="nil"/>
              <w:bottom w:val="single" w:sz="12" w:space="0" w:color="FFFFFF"/>
              <w:right w:val="single" w:sz="12" w:space="0" w:color="FFFFFF"/>
            </w:tcBorders>
            <w:shd w:val="clear" w:color="000000" w:fill="D9D9D9"/>
            <w:noWrap/>
          </w:tcPr>
          <w:p w14:paraId="0D1A220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44 153,00</w:t>
            </w:r>
          </w:p>
        </w:tc>
      </w:tr>
    </w:tbl>
    <w:p w14:paraId="5F8D9A62" w14:textId="77777777" w:rsidR="00E1521D" w:rsidRDefault="00E1521D" w:rsidP="00E1521D">
      <w:pPr>
        <w:jc w:val="both"/>
        <w:rPr>
          <w:b/>
          <w:u w:val="single"/>
        </w:rPr>
      </w:pPr>
    </w:p>
    <w:p w14:paraId="7C0A9C64" w14:textId="566893A4" w:rsidR="00E1521D" w:rsidRPr="00094641" w:rsidRDefault="00E1521D" w:rsidP="00E1521D">
      <w:pPr>
        <w:jc w:val="both"/>
      </w:pPr>
      <w:r w:rsidRPr="00AA44BC">
        <w:rPr>
          <w:b/>
          <w:sz w:val="24"/>
          <w:szCs w:val="24"/>
          <w:u w:val="single"/>
        </w:rPr>
        <w:t xml:space="preserve">Úrad BSK </w:t>
      </w:r>
      <w:r w:rsidRPr="00AA44BC">
        <w:rPr>
          <w:sz w:val="24"/>
          <w:szCs w:val="24"/>
        </w:rPr>
        <w:t>vykázal</w:t>
      </w:r>
      <w:r w:rsidRPr="00094641">
        <w:rPr>
          <w:sz w:val="24"/>
          <w:szCs w:val="24"/>
        </w:rPr>
        <w:t xml:space="preserve"> celkovú výšku</w:t>
      </w:r>
      <w:r w:rsidRPr="00094641">
        <w:rPr>
          <w:b/>
          <w:sz w:val="24"/>
          <w:szCs w:val="24"/>
        </w:rPr>
        <w:t xml:space="preserve"> </w:t>
      </w:r>
      <w:r w:rsidRPr="00094641">
        <w:rPr>
          <w:b/>
        </w:rPr>
        <w:t>neobežného majetku k 31.12.20</w:t>
      </w:r>
      <w:r>
        <w:rPr>
          <w:b/>
        </w:rPr>
        <w:t>20</w:t>
      </w:r>
      <w:r w:rsidRPr="00094641">
        <w:t xml:space="preserve"> v obstarávacej hodnote </w:t>
      </w:r>
      <w:r>
        <w:rPr>
          <w:rFonts w:cs="Arial"/>
          <w:b/>
          <w:color w:val="000000"/>
        </w:rPr>
        <w:t>196 596 299,37</w:t>
      </w:r>
      <w:r w:rsidRPr="00094641">
        <w:t xml:space="preserve">.  </w:t>
      </w:r>
      <w:r w:rsidRPr="00094641">
        <w:rPr>
          <w:b/>
        </w:rPr>
        <w:t>Zostatková hodnota neobežného majetku</w:t>
      </w:r>
      <w:r w:rsidRPr="00094641">
        <w:t>, podľa účtovnej závierky k 31.12.20</w:t>
      </w:r>
      <w:r>
        <w:t>20</w:t>
      </w:r>
      <w:r w:rsidRPr="00094641">
        <w:t xml:space="preserve"> bola vykázaná v celkovej výške </w:t>
      </w:r>
      <w:r>
        <w:rPr>
          <w:b/>
        </w:rPr>
        <w:t>127 989 783,72</w:t>
      </w:r>
      <w:r w:rsidRPr="00094641">
        <w:rPr>
          <w:b/>
        </w:rPr>
        <w:t xml:space="preserve"> EUR</w:t>
      </w:r>
      <w:r w:rsidRPr="00094641">
        <w:t xml:space="preserve">. </w:t>
      </w:r>
    </w:p>
    <w:tbl>
      <w:tblPr>
        <w:tblW w:w="10500" w:type="dxa"/>
        <w:tblInd w:w="55" w:type="dxa"/>
        <w:tblCellMar>
          <w:left w:w="70" w:type="dxa"/>
          <w:right w:w="70" w:type="dxa"/>
        </w:tblCellMar>
        <w:tblLook w:val="04A0" w:firstRow="1" w:lastRow="0" w:firstColumn="1" w:lastColumn="0" w:noHBand="0" w:noVBand="1"/>
      </w:tblPr>
      <w:tblGrid>
        <w:gridCol w:w="3101"/>
        <w:gridCol w:w="1993"/>
        <w:gridCol w:w="2037"/>
        <w:gridCol w:w="1794"/>
        <w:gridCol w:w="1575"/>
      </w:tblGrid>
      <w:tr w:rsidR="00E1521D" w:rsidRPr="00094641" w14:paraId="3731B23A" w14:textId="77777777" w:rsidTr="00E1521D">
        <w:trPr>
          <w:trHeight w:val="269"/>
        </w:trPr>
        <w:tc>
          <w:tcPr>
            <w:tcW w:w="10500" w:type="dxa"/>
            <w:gridSpan w:val="5"/>
            <w:vMerge w:val="restart"/>
            <w:tcBorders>
              <w:top w:val="single" w:sz="12" w:space="0" w:color="FFFFFF"/>
              <w:left w:val="single" w:sz="12" w:space="0" w:color="FFFFFF"/>
              <w:bottom w:val="single" w:sz="12" w:space="0" w:color="FFFFFF"/>
              <w:right w:val="single" w:sz="12" w:space="0" w:color="FFFFFF"/>
            </w:tcBorders>
            <w:shd w:val="clear" w:color="000000" w:fill="8DB3E2"/>
            <w:noWrap/>
            <w:vAlign w:val="center"/>
            <w:hideMark/>
          </w:tcPr>
          <w:p w14:paraId="3E1E9B1E"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PREHĽAD O MAJETKU v správe Úrad</w:t>
            </w:r>
            <w:r>
              <w:rPr>
                <w:rFonts w:cs="Calibri"/>
                <w:b/>
                <w:bCs/>
                <w:sz w:val="20"/>
                <w:szCs w:val="20"/>
                <w:lang w:eastAsia="sk-SK"/>
              </w:rPr>
              <w:t>u</w:t>
            </w:r>
            <w:r w:rsidRPr="00094641">
              <w:rPr>
                <w:rFonts w:cs="Calibri"/>
                <w:b/>
                <w:bCs/>
                <w:sz w:val="20"/>
                <w:szCs w:val="20"/>
                <w:lang w:eastAsia="sk-SK"/>
              </w:rPr>
              <w:t xml:space="preserve"> BSK</w:t>
            </w:r>
          </w:p>
        </w:tc>
      </w:tr>
      <w:tr w:rsidR="00E1521D" w:rsidRPr="00094641" w14:paraId="7A2CB1F5" w14:textId="77777777" w:rsidTr="00E1521D">
        <w:trPr>
          <w:trHeight w:val="269"/>
        </w:trPr>
        <w:tc>
          <w:tcPr>
            <w:tcW w:w="10500" w:type="dxa"/>
            <w:gridSpan w:val="5"/>
            <w:vMerge/>
            <w:tcBorders>
              <w:top w:val="single" w:sz="12" w:space="0" w:color="FFFFFF"/>
              <w:left w:val="single" w:sz="12" w:space="0" w:color="FFFFFF"/>
              <w:bottom w:val="single" w:sz="12" w:space="0" w:color="FFFFFF"/>
              <w:right w:val="single" w:sz="12" w:space="0" w:color="FFFFFF"/>
            </w:tcBorders>
            <w:vAlign w:val="center"/>
            <w:hideMark/>
          </w:tcPr>
          <w:p w14:paraId="088F3D3B" w14:textId="77777777" w:rsidR="00E1521D" w:rsidRPr="00094641" w:rsidRDefault="00E1521D" w:rsidP="00222450">
            <w:pPr>
              <w:spacing w:after="0" w:line="240" w:lineRule="auto"/>
              <w:rPr>
                <w:rFonts w:cs="Calibri"/>
                <w:b/>
                <w:bCs/>
                <w:sz w:val="20"/>
                <w:szCs w:val="20"/>
                <w:lang w:eastAsia="sk-SK"/>
              </w:rPr>
            </w:pPr>
          </w:p>
        </w:tc>
      </w:tr>
      <w:tr w:rsidR="00E1521D" w:rsidRPr="00094641" w14:paraId="104F65FD" w14:textId="77777777" w:rsidTr="00E1521D">
        <w:trPr>
          <w:trHeight w:val="482"/>
        </w:trPr>
        <w:tc>
          <w:tcPr>
            <w:tcW w:w="3101" w:type="dxa"/>
            <w:tcBorders>
              <w:top w:val="nil"/>
              <w:left w:val="single" w:sz="12" w:space="0" w:color="FFFFFF"/>
              <w:bottom w:val="single" w:sz="12" w:space="0" w:color="FFFFFF"/>
              <w:right w:val="single" w:sz="12" w:space="0" w:color="FFFFFF"/>
            </w:tcBorders>
            <w:shd w:val="clear" w:color="000000" w:fill="8DB3E2"/>
            <w:noWrap/>
            <w:vAlign w:val="center"/>
            <w:hideMark/>
          </w:tcPr>
          <w:p w14:paraId="1FB406AE"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Názov</w:t>
            </w:r>
          </w:p>
        </w:tc>
        <w:tc>
          <w:tcPr>
            <w:tcW w:w="1993" w:type="dxa"/>
            <w:tcBorders>
              <w:top w:val="nil"/>
              <w:left w:val="nil"/>
              <w:bottom w:val="single" w:sz="12" w:space="0" w:color="FFFFFF"/>
              <w:right w:val="single" w:sz="12" w:space="0" w:color="FFFFFF"/>
            </w:tcBorders>
            <w:shd w:val="clear" w:color="000000" w:fill="8DB3E2"/>
            <w:vAlign w:val="center"/>
            <w:hideMark/>
          </w:tcPr>
          <w:p w14:paraId="587112A8"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2037" w:type="dxa"/>
            <w:tcBorders>
              <w:top w:val="nil"/>
              <w:left w:val="nil"/>
              <w:bottom w:val="single" w:sz="12" w:space="0" w:color="FFFFFF"/>
              <w:right w:val="single" w:sz="12" w:space="0" w:color="FFFFFF"/>
            </w:tcBorders>
            <w:shd w:val="clear" w:color="000000" w:fill="8DB3E2"/>
            <w:vAlign w:val="center"/>
            <w:hideMark/>
          </w:tcPr>
          <w:p w14:paraId="04E5A1E2"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794" w:type="dxa"/>
            <w:tcBorders>
              <w:top w:val="nil"/>
              <w:left w:val="nil"/>
              <w:bottom w:val="single" w:sz="12" w:space="0" w:color="FFFFFF"/>
              <w:right w:val="single" w:sz="12" w:space="0" w:color="FFFFFF"/>
            </w:tcBorders>
            <w:shd w:val="clear" w:color="000000" w:fill="8DB3E2"/>
            <w:vAlign w:val="center"/>
            <w:hideMark/>
          </w:tcPr>
          <w:p w14:paraId="78800F53"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573" w:type="dxa"/>
            <w:tcBorders>
              <w:top w:val="nil"/>
              <w:left w:val="nil"/>
              <w:bottom w:val="single" w:sz="12" w:space="0" w:color="FFFFFF"/>
              <w:right w:val="single" w:sz="12" w:space="0" w:color="FFFFFF"/>
            </w:tcBorders>
            <w:shd w:val="clear" w:color="000000" w:fill="8DB3E2"/>
            <w:vAlign w:val="center"/>
            <w:hideMark/>
          </w:tcPr>
          <w:p w14:paraId="63D8D424"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33F5C97B"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BFBFBF"/>
            <w:vAlign w:val="center"/>
            <w:hideMark/>
          </w:tcPr>
          <w:p w14:paraId="51084685"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993" w:type="dxa"/>
            <w:tcBorders>
              <w:top w:val="nil"/>
              <w:left w:val="nil"/>
              <w:bottom w:val="single" w:sz="12" w:space="0" w:color="FFFFFF"/>
              <w:right w:val="single" w:sz="12" w:space="0" w:color="FFFFFF"/>
            </w:tcBorders>
            <w:shd w:val="clear" w:color="000000" w:fill="BFBFBF"/>
            <w:noWrap/>
          </w:tcPr>
          <w:p w14:paraId="45862B37"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196 596 299,37</w:t>
            </w:r>
          </w:p>
        </w:tc>
        <w:tc>
          <w:tcPr>
            <w:tcW w:w="2037" w:type="dxa"/>
            <w:tcBorders>
              <w:top w:val="nil"/>
              <w:left w:val="nil"/>
              <w:bottom w:val="single" w:sz="12" w:space="0" w:color="FFFFFF"/>
              <w:right w:val="single" w:sz="12" w:space="0" w:color="FFFFFF"/>
            </w:tcBorders>
            <w:shd w:val="clear" w:color="000000" w:fill="BFBFBF"/>
            <w:noWrap/>
          </w:tcPr>
          <w:p w14:paraId="4734C116"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68 606 515,65</w:t>
            </w:r>
          </w:p>
        </w:tc>
        <w:tc>
          <w:tcPr>
            <w:tcW w:w="1794" w:type="dxa"/>
            <w:tcBorders>
              <w:top w:val="nil"/>
              <w:left w:val="nil"/>
              <w:bottom w:val="single" w:sz="12" w:space="0" w:color="FFFFFF"/>
              <w:right w:val="single" w:sz="12" w:space="0" w:color="FFFFFF"/>
            </w:tcBorders>
            <w:shd w:val="clear" w:color="000000" w:fill="BFBFBF"/>
            <w:noWrap/>
          </w:tcPr>
          <w:p w14:paraId="4DE0363E"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127 989 783,72</w:t>
            </w:r>
          </w:p>
        </w:tc>
        <w:tc>
          <w:tcPr>
            <w:tcW w:w="1573" w:type="dxa"/>
            <w:tcBorders>
              <w:top w:val="nil"/>
              <w:left w:val="nil"/>
              <w:bottom w:val="single" w:sz="12" w:space="0" w:color="FFFFFF"/>
              <w:right w:val="single" w:sz="12" w:space="0" w:color="FFFFFF"/>
            </w:tcBorders>
            <w:shd w:val="clear" w:color="000000" w:fill="BFBFBF"/>
            <w:noWrap/>
          </w:tcPr>
          <w:p w14:paraId="2D8DCCC7"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124 250 878,96</w:t>
            </w:r>
          </w:p>
        </w:tc>
      </w:tr>
      <w:tr w:rsidR="00E1521D" w:rsidRPr="00094641" w14:paraId="2DDB068D"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D9D9D9"/>
            <w:vAlign w:val="center"/>
            <w:hideMark/>
          </w:tcPr>
          <w:p w14:paraId="773F4FB1"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Dlhodobý nehmotný majetok</w:t>
            </w:r>
          </w:p>
        </w:tc>
        <w:tc>
          <w:tcPr>
            <w:tcW w:w="1993" w:type="dxa"/>
            <w:tcBorders>
              <w:top w:val="nil"/>
              <w:left w:val="nil"/>
              <w:bottom w:val="single" w:sz="12" w:space="0" w:color="FFFFFF"/>
              <w:right w:val="single" w:sz="12" w:space="0" w:color="FFFFFF"/>
            </w:tcBorders>
            <w:shd w:val="clear" w:color="000000" w:fill="D9D9D9"/>
            <w:noWrap/>
          </w:tcPr>
          <w:p w14:paraId="52E13B9A"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5 276 183,75</w:t>
            </w:r>
          </w:p>
        </w:tc>
        <w:tc>
          <w:tcPr>
            <w:tcW w:w="2037" w:type="dxa"/>
            <w:tcBorders>
              <w:top w:val="nil"/>
              <w:left w:val="nil"/>
              <w:bottom w:val="single" w:sz="12" w:space="0" w:color="FFFFFF"/>
              <w:right w:val="single" w:sz="12" w:space="0" w:color="FFFFFF"/>
            </w:tcBorders>
            <w:shd w:val="clear" w:color="000000" w:fill="D9D9D9"/>
            <w:noWrap/>
          </w:tcPr>
          <w:p w14:paraId="25B857FE"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4 397 022,34</w:t>
            </w:r>
          </w:p>
        </w:tc>
        <w:tc>
          <w:tcPr>
            <w:tcW w:w="1794" w:type="dxa"/>
            <w:tcBorders>
              <w:top w:val="nil"/>
              <w:left w:val="nil"/>
              <w:bottom w:val="single" w:sz="12" w:space="0" w:color="FFFFFF"/>
              <w:right w:val="single" w:sz="12" w:space="0" w:color="FFFFFF"/>
            </w:tcBorders>
            <w:shd w:val="clear" w:color="000000" w:fill="D9D9D9"/>
            <w:noWrap/>
          </w:tcPr>
          <w:p w14:paraId="2C1464F8"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879 161,41</w:t>
            </w:r>
          </w:p>
        </w:tc>
        <w:tc>
          <w:tcPr>
            <w:tcW w:w="1573" w:type="dxa"/>
            <w:tcBorders>
              <w:top w:val="nil"/>
              <w:left w:val="nil"/>
              <w:bottom w:val="single" w:sz="12" w:space="0" w:color="FFFFFF"/>
              <w:right w:val="single" w:sz="12" w:space="0" w:color="FFFFFF"/>
            </w:tcBorders>
            <w:shd w:val="clear" w:color="000000" w:fill="D9D9D9"/>
            <w:noWrap/>
          </w:tcPr>
          <w:p w14:paraId="257252B1"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1 197 772,34</w:t>
            </w:r>
          </w:p>
        </w:tc>
      </w:tr>
      <w:tr w:rsidR="00E1521D" w:rsidRPr="00094641" w14:paraId="6DAADC64"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4697162E" w14:textId="77777777" w:rsidR="00E1521D" w:rsidRPr="00094641" w:rsidRDefault="00E1521D" w:rsidP="00222450">
            <w:pPr>
              <w:spacing w:after="0" w:line="240" w:lineRule="auto"/>
              <w:jc w:val="both"/>
              <w:rPr>
                <w:rFonts w:cs="Calibri"/>
                <w:bCs/>
                <w:sz w:val="20"/>
                <w:szCs w:val="20"/>
                <w:lang w:eastAsia="sk-SK"/>
              </w:rPr>
            </w:pPr>
            <w:proofErr w:type="spellStart"/>
            <w:r w:rsidRPr="00094641">
              <w:rPr>
                <w:rFonts w:cs="Calibri"/>
                <w:bCs/>
                <w:sz w:val="20"/>
                <w:szCs w:val="20"/>
                <w:lang w:eastAsia="sk-SK"/>
              </w:rPr>
              <w:t>Softwér</w:t>
            </w:r>
            <w:proofErr w:type="spellEnd"/>
          </w:p>
        </w:tc>
        <w:tc>
          <w:tcPr>
            <w:tcW w:w="1993" w:type="dxa"/>
            <w:tcBorders>
              <w:top w:val="nil"/>
              <w:left w:val="nil"/>
              <w:bottom w:val="single" w:sz="12" w:space="0" w:color="FFFFFF"/>
              <w:right w:val="single" w:sz="12" w:space="0" w:color="FFFFFF"/>
            </w:tcBorders>
            <w:shd w:val="clear" w:color="000000" w:fill="F2F2F2"/>
            <w:noWrap/>
          </w:tcPr>
          <w:p w14:paraId="2D3ABD1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4 186 456,81</w:t>
            </w:r>
          </w:p>
        </w:tc>
        <w:tc>
          <w:tcPr>
            <w:tcW w:w="2037" w:type="dxa"/>
            <w:tcBorders>
              <w:top w:val="nil"/>
              <w:left w:val="nil"/>
              <w:bottom w:val="single" w:sz="12" w:space="0" w:color="FFFFFF"/>
              <w:right w:val="single" w:sz="12" w:space="0" w:color="FFFFFF"/>
            </w:tcBorders>
            <w:shd w:val="clear" w:color="000000" w:fill="F2F2F2"/>
            <w:noWrap/>
          </w:tcPr>
          <w:p w14:paraId="41745DF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3 477 903,68</w:t>
            </w:r>
          </w:p>
        </w:tc>
        <w:tc>
          <w:tcPr>
            <w:tcW w:w="1794" w:type="dxa"/>
            <w:tcBorders>
              <w:top w:val="nil"/>
              <w:left w:val="nil"/>
              <w:bottom w:val="single" w:sz="12" w:space="0" w:color="FFFFFF"/>
              <w:right w:val="single" w:sz="12" w:space="0" w:color="FFFFFF"/>
            </w:tcBorders>
            <w:shd w:val="clear" w:color="000000" w:fill="F2F2F2"/>
            <w:noWrap/>
          </w:tcPr>
          <w:p w14:paraId="284695D1"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708 553,13</w:t>
            </w:r>
          </w:p>
        </w:tc>
        <w:tc>
          <w:tcPr>
            <w:tcW w:w="1573" w:type="dxa"/>
            <w:tcBorders>
              <w:top w:val="nil"/>
              <w:left w:val="nil"/>
              <w:bottom w:val="single" w:sz="12" w:space="0" w:color="FFFFFF"/>
              <w:right w:val="single" w:sz="12" w:space="0" w:color="FFFFFF"/>
            </w:tcBorders>
            <w:shd w:val="clear" w:color="000000" w:fill="F2F2F2"/>
            <w:noWrap/>
          </w:tcPr>
          <w:p w14:paraId="36EE43C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1 010 554,90</w:t>
            </w:r>
          </w:p>
        </w:tc>
      </w:tr>
      <w:tr w:rsidR="00E1521D" w:rsidRPr="00094641" w14:paraId="0274BE16"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4ED5E3E2"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Oceniteľné práva</w:t>
            </w:r>
          </w:p>
        </w:tc>
        <w:tc>
          <w:tcPr>
            <w:tcW w:w="1993" w:type="dxa"/>
            <w:tcBorders>
              <w:top w:val="nil"/>
              <w:left w:val="nil"/>
              <w:bottom w:val="single" w:sz="12" w:space="0" w:color="FFFFFF"/>
              <w:right w:val="single" w:sz="12" w:space="0" w:color="FFFFFF"/>
            </w:tcBorders>
            <w:shd w:val="clear" w:color="000000" w:fill="F2F2F2"/>
            <w:noWrap/>
          </w:tcPr>
          <w:p w14:paraId="7E94432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573 392,53</w:t>
            </w:r>
          </w:p>
        </w:tc>
        <w:tc>
          <w:tcPr>
            <w:tcW w:w="2037" w:type="dxa"/>
            <w:tcBorders>
              <w:top w:val="nil"/>
              <w:left w:val="nil"/>
              <w:bottom w:val="single" w:sz="12" w:space="0" w:color="FFFFFF"/>
              <w:right w:val="single" w:sz="12" w:space="0" w:color="FFFFFF"/>
            </w:tcBorders>
            <w:shd w:val="clear" w:color="000000" w:fill="F2F2F2"/>
            <w:noWrap/>
          </w:tcPr>
          <w:p w14:paraId="18E1C24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558 157,73</w:t>
            </w:r>
          </w:p>
        </w:tc>
        <w:tc>
          <w:tcPr>
            <w:tcW w:w="1794" w:type="dxa"/>
            <w:tcBorders>
              <w:top w:val="nil"/>
              <w:left w:val="nil"/>
              <w:bottom w:val="single" w:sz="12" w:space="0" w:color="FFFFFF"/>
              <w:right w:val="single" w:sz="12" w:space="0" w:color="FFFFFF"/>
            </w:tcBorders>
            <w:shd w:val="clear" w:color="000000" w:fill="F2F2F2"/>
            <w:noWrap/>
          </w:tcPr>
          <w:p w14:paraId="27E8039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15 234,80</w:t>
            </w:r>
          </w:p>
        </w:tc>
        <w:tc>
          <w:tcPr>
            <w:tcW w:w="1573" w:type="dxa"/>
            <w:tcBorders>
              <w:top w:val="nil"/>
              <w:left w:val="nil"/>
              <w:bottom w:val="single" w:sz="12" w:space="0" w:color="FFFFFF"/>
              <w:right w:val="single" w:sz="12" w:space="0" w:color="FFFFFF"/>
            </w:tcBorders>
            <w:shd w:val="clear" w:color="000000" w:fill="F2F2F2"/>
            <w:noWrap/>
          </w:tcPr>
          <w:p w14:paraId="0ADE050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16 602,00</w:t>
            </w:r>
          </w:p>
        </w:tc>
      </w:tr>
      <w:tr w:rsidR="00E1521D" w:rsidRPr="00094641" w14:paraId="62BD5C97"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53ACF6DB"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Ostatný DNM</w:t>
            </w:r>
          </w:p>
        </w:tc>
        <w:tc>
          <w:tcPr>
            <w:tcW w:w="1993" w:type="dxa"/>
            <w:tcBorders>
              <w:top w:val="nil"/>
              <w:left w:val="nil"/>
              <w:bottom w:val="single" w:sz="12" w:space="0" w:color="FFFFFF"/>
              <w:right w:val="single" w:sz="12" w:space="0" w:color="FFFFFF"/>
            </w:tcBorders>
            <w:shd w:val="clear" w:color="000000" w:fill="F2F2F2"/>
            <w:noWrap/>
          </w:tcPr>
          <w:p w14:paraId="2D87177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357 334,41</w:t>
            </w:r>
          </w:p>
        </w:tc>
        <w:tc>
          <w:tcPr>
            <w:tcW w:w="2037" w:type="dxa"/>
            <w:tcBorders>
              <w:top w:val="nil"/>
              <w:left w:val="nil"/>
              <w:bottom w:val="single" w:sz="12" w:space="0" w:color="FFFFFF"/>
              <w:right w:val="single" w:sz="12" w:space="0" w:color="FFFFFF"/>
            </w:tcBorders>
            <w:shd w:val="clear" w:color="000000" w:fill="F2F2F2"/>
            <w:noWrap/>
          </w:tcPr>
          <w:p w14:paraId="329CDE6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354 960,93</w:t>
            </w:r>
          </w:p>
        </w:tc>
        <w:tc>
          <w:tcPr>
            <w:tcW w:w="1794" w:type="dxa"/>
            <w:tcBorders>
              <w:top w:val="nil"/>
              <w:left w:val="nil"/>
              <w:bottom w:val="single" w:sz="12" w:space="0" w:color="FFFFFF"/>
              <w:right w:val="single" w:sz="12" w:space="0" w:color="FFFFFF"/>
            </w:tcBorders>
            <w:shd w:val="clear" w:color="000000" w:fill="F2F2F2"/>
            <w:noWrap/>
          </w:tcPr>
          <w:p w14:paraId="470D77B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2373,48</w:t>
            </w:r>
          </w:p>
        </w:tc>
        <w:tc>
          <w:tcPr>
            <w:tcW w:w="1573" w:type="dxa"/>
            <w:tcBorders>
              <w:top w:val="nil"/>
              <w:left w:val="nil"/>
              <w:bottom w:val="single" w:sz="12" w:space="0" w:color="FFFFFF"/>
              <w:right w:val="single" w:sz="12" w:space="0" w:color="FFFFFF"/>
            </w:tcBorders>
            <w:shd w:val="clear" w:color="000000" w:fill="F2F2F2"/>
            <w:noWrap/>
          </w:tcPr>
          <w:p w14:paraId="6AB5FD2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17 615,44</w:t>
            </w:r>
          </w:p>
        </w:tc>
      </w:tr>
      <w:tr w:rsidR="00E1521D" w:rsidRPr="00094641" w14:paraId="7FCD8AC6"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1595F921"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Obstaranie DNM</w:t>
            </w:r>
          </w:p>
        </w:tc>
        <w:tc>
          <w:tcPr>
            <w:tcW w:w="1993" w:type="dxa"/>
            <w:tcBorders>
              <w:top w:val="nil"/>
              <w:left w:val="nil"/>
              <w:bottom w:val="single" w:sz="12" w:space="0" w:color="FFFFFF"/>
              <w:right w:val="single" w:sz="12" w:space="0" w:color="FFFFFF"/>
            </w:tcBorders>
            <w:shd w:val="clear" w:color="000000" w:fill="F2F2F2"/>
            <w:noWrap/>
          </w:tcPr>
          <w:p w14:paraId="35832C8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159 000,00</w:t>
            </w:r>
          </w:p>
        </w:tc>
        <w:tc>
          <w:tcPr>
            <w:tcW w:w="2037" w:type="dxa"/>
            <w:tcBorders>
              <w:top w:val="nil"/>
              <w:left w:val="nil"/>
              <w:bottom w:val="single" w:sz="12" w:space="0" w:color="FFFFFF"/>
              <w:right w:val="single" w:sz="12" w:space="0" w:color="FFFFFF"/>
            </w:tcBorders>
            <w:shd w:val="clear" w:color="000000" w:fill="F2F2F2"/>
            <w:noWrap/>
          </w:tcPr>
          <w:p w14:paraId="044FD9B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6 000,00</w:t>
            </w:r>
          </w:p>
        </w:tc>
        <w:tc>
          <w:tcPr>
            <w:tcW w:w="1794" w:type="dxa"/>
            <w:tcBorders>
              <w:top w:val="nil"/>
              <w:left w:val="nil"/>
              <w:bottom w:val="single" w:sz="12" w:space="0" w:color="FFFFFF"/>
              <w:right w:val="single" w:sz="12" w:space="0" w:color="FFFFFF"/>
            </w:tcBorders>
            <w:shd w:val="clear" w:color="000000" w:fill="F2F2F2"/>
            <w:noWrap/>
          </w:tcPr>
          <w:p w14:paraId="0660DEF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153 000,00</w:t>
            </w:r>
          </w:p>
        </w:tc>
        <w:tc>
          <w:tcPr>
            <w:tcW w:w="1573" w:type="dxa"/>
            <w:tcBorders>
              <w:top w:val="nil"/>
              <w:left w:val="nil"/>
              <w:bottom w:val="single" w:sz="12" w:space="0" w:color="FFFFFF"/>
              <w:right w:val="single" w:sz="12" w:space="0" w:color="FFFFFF"/>
            </w:tcBorders>
            <w:shd w:val="clear" w:color="000000" w:fill="F2F2F2"/>
            <w:noWrap/>
          </w:tcPr>
          <w:p w14:paraId="4D5638CA"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153 000,00</w:t>
            </w:r>
          </w:p>
        </w:tc>
      </w:tr>
      <w:tr w:rsidR="00E1521D" w:rsidRPr="00094641" w14:paraId="7727BC7E"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D9D9D9"/>
            <w:vAlign w:val="center"/>
            <w:hideMark/>
          </w:tcPr>
          <w:p w14:paraId="0B51D5A1"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Dlhodobý hmotný majetok</w:t>
            </w:r>
          </w:p>
        </w:tc>
        <w:tc>
          <w:tcPr>
            <w:tcW w:w="1993" w:type="dxa"/>
            <w:tcBorders>
              <w:top w:val="nil"/>
              <w:left w:val="nil"/>
              <w:bottom w:val="single" w:sz="12" w:space="0" w:color="FFFFFF"/>
              <w:right w:val="single" w:sz="12" w:space="0" w:color="FFFFFF"/>
            </w:tcBorders>
            <w:shd w:val="clear" w:color="000000" w:fill="D9D9D9"/>
            <w:noWrap/>
          </w:tcPr>
          <w:p w14:paraId="5D7D332A"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191 248 462,52</w:t>
            </w:r>
          </w:p>
        </w:tc>
        <w:tc>
          <w:tcPr>
            <w:tcW w:w="2037" w:type="dxa"/>
            <w:tcBorders>
              <w:top w:val="nil"/>
              <w:left w:val="nil"/>
              <w:bottom w:val="single" w:sz="12" w:space="0" w:color="FFFFFF"/>
              <w:right w:val="single" w:sz="12" w:space="0" w:color="FFFFFF"/>
            </w:tcBorders>
            <w:shd w:val="clear" w:color="000000" w:fill="D9D9D9"/>
            <w:noWrap/>
          </w:tcPr>
          <w:p w14:paraId="2720BC82"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64 209 493,31</w:t>
            </w:r>
          </w:p>
        </w:tc>
        <w:tc>
          <w:tcPr>
            <w:tcW w:w="1794" w:type="dxa"/>
            <w:tcBorders>
              <w:top w:val="nil"/>
              <w:left w:val="nil"/>
              <w:bottom w:val="single" w:sz="12" w:space="0" w:color="FFFFFF"/>
              <w:right w:val="single" w:sz="12" w:space="0" w:color="FFFFFF"/>
            </w:tcBorders>
            <w:shd w:val="clear" w:color="000000" w:fill="D9D9D9"/>
            <w:noWrap/>
          </w:tcPr>
          <w:p w14:paraId="2DEC906F"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127 038 969,21</w:t>
            </w:r>
          </w:p>
        </w:tc>
        <w:tc>
          <w:tcPr>
            <w:tcW w:w="1573" w:type="dxa"/>
            <w:tcBorders>
              <w:top w:val="nil"/>
              <w:left w:val="nil"/>
              <w:bottom w:val="single" w:sz="12" w:space="0" w:color="FFFFFF"/>
              <w:right w:val="single" w:sz="12" w:space="0" w:color="FFFFFF"/>
            </w:tcBorders>
            <w:shd w:val="clear" w:color="000000" w:fill="D9D9D9"/>
            <w:noWrap/>
          </w:tcPr>
          <w:p w14:paraId="676DB78E"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123 008 953,62</w:t>
            </w:r>
          </w:p>
        </w:tc>
      </w:tr>
      <w:tr w:rsidR="00E1521D" w:rsidRPr="00094641" w14:paraId="725DCFBC"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4A771BEB"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Pozemky</w:t>
            </w:r>
          </w:p>
        </w:tc>
        <w:tc>
          <w:tcPr>
            <w:tcW w:w="1993" w:type="dxa"/>
            <w:tcBorders>
              <w:top w:val="nil"/>
              <w:left w:val="nil"/>
              <w:bottom w:val="single" w:sz="12" w:space="0" w:color="FFFFFF"/>
              <w:right w:val="single" w:sz="12" w:space="0" w:color="FFFFFF"/>
            </w:tcBorders>
            <w:shd w:val="clear" w:color="000000" w:fill="F2F2F2"/>
            <w:noWrap/>
          </w:tcPr>
          <w:p w14:paraId="5676E0C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43 628 156,03</w:t>
            </w:r>
          </w:p>
        </w:tc>
        <w:tc>
          <w:tcPr>
            <w:tcW w:w="2037" w:type="dxa"/>
            <w:tcBorders>
              <w:top w:val="nil"/>
              <w:left w:val="nil"/>
              <w:bottom w:val="single" w:sz="12" w:space="0" w:color="FFFFFF"/>
              <w:right w:val="single" w:sz="12" w:space="0" w:color="FFFFFF"/>
            </w:tcBorders>
            <w:shd w:val="clear" w:color="000000" w:fill="F2F2F2"/>
            <w:noWrap/>
          </w:tcPr>
          <w:p w14:paraId="299B484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794" w:type="dxa"/>
            <w:tcBorders>
              <w:top w:val="nil"/>
              <w:left w:val="nil"/>
              <w:bottom w:val="single" w:sz="12" w:space="0" w:color="FFFFFF"/>
              <w:right w:val="single" w:sz="12" w:space="0" w:color="FFFFFF"/>
            </w:tcBorders>
            <w:shd w:val="clear" w:color="000000" w:fill="F2F2F2"/>
            <w:noWrap/>
          </w:tcPr>
          <w:p w14:paraId="452FC46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43 628 156,03</w:t>
            </w:r>
          </w:p>
        </w:tc>
        <w:tc>
          <w:tcPr>
            <w:tcW w:w="1573" w:type="dxa"/>
            <w:tcBorders>
              <w:top w:val="nil"/>
              <w:left w:val="nil"/>
              <w:bottom w:val="single" w:sz="12" w:space="0" w:color="FFFFFF"/>
              <w:right w:val="single" w:sz="12" w:space="0" w:color="FFFFFF"/>
            </w:tcBorders>
            <w:shd w:val="clear" w:color="000000" w:fill="F2F2F2"/>
            <w:noWrap/>
          </w:tcPr>
          <w:p w14:paraId="548E4E47"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42 097 983,12</w:t>
            </w:r>
          </w:p>
        </w:tc>
      </w:tr>
      <w:tr w:rsidR="00E1521D" w:rsidRPr="00094641" w14:paraId="2B24F9C6"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tcPr>
          <w:p w14:paraId="13F74640" w14:textId="77777777" w:rsidR="00E1521D" w:rsidRPr="00094641" w:rsidRDefault="00E1521D" w:rsidP="00222450">
            <w:pPr>
              <w:spacing w:after="0" w:line="240" w:lineRule="auto"/>
              <w:jc w:val="both"/>
              <w:rPr>
                <w:rFonts w:cs="Calibri"/>
                <w:bCs/>
                <w:sz w:val="20"/>
                <w:szCs w:val="20"/>
                <w:lang w:eastAsia="sk-SK"/>
              </w:rPr>
            </w:pPr>
            <w:r>
              <w:rPr>
                <w:rFonts w:cs="Calibri"/>
                <w:bCs/>
                <w:sz w:val="20"/>
                <w:szCs w:val="20"/>
                <w:lang w:eastAsia="sk-SK"/>
              </w:rPr>
              <w:t>Umelecké diela a zbierky</w:t>
            </w:r>
          </w:p>
        </w:tc>
        <w:tc>
          <w:tcPr>
            <w:tcW w:w="1993" w:type="dxa"/>
            <w:tcBorders>
              <w:top w:val="nil"/>
              <w:left w:val="nil"/>
              <w:bottom w:val="single" w:sz="12" w:space="0" w:color="FFFFFF"/>
              <w:right w:val="single" w:sz="12" w:space="0" w:color="FFFFFF"/>
            </w:tcBorders>
            <w:shd w:val="clear" w:color="000000" w:fill="F2F2F2"/>
            <w:noWrap/>
          </w:tcPr>
          <w:p w14:paraId="104ECEE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26 930,00</w:t>
            </w:r>
          </w:p>
        </w:tc>
        <w:tc>
          <w:tcPr>
            <w:tcW w:w="2037" w:type="dxa"/>
            <w:tcBorders>
              <w:top w:val="nil"/>
              <w:left w:val="nil"/>
              <w:bottom w:val="single" w:sz="12" w:space="0" w:color="FFFFFF"/>
              <w:right w:val="single" w:sz="12" w:space="0" w:color="FFFFFF"/>
            </w:tcBorders>
            <w:shd w:val="clear" w:color="000000" w:fill="F2F2F2"/>
            <w:noWrap/>
          </w:tcPr>
          <w:p w14:paraId="3A6462F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794" w:type="dxa"/>
            <w:tcBorders>
              <w:top w:val="nil"/>
              <w:left w:val="nil"/>
              <w:bottom w:val="single" w:sz="12" w:space="0" w:color="FFFFFF"/>
              <w:right w:val="single" w:sz="12" w:space="0" w:color="FFFFFF"/>
            </w:tcBorders>
            <w:shd w:val="clear" w:color="000000" w:fill="F2F2F2"/>
            <w:noWrap/>
          </w:tcPr>
          <w:p w14:paraId="3835588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26 930,00</w:t>
            </w:r>
          </w:p>
        </w:tc>
        <w:tc>
          <w:tcPr>
            <w:tcW w:w="1573" w:type="dxa"/>
            <w:tcBorders>
              <w:top w:val="nil"/>
              <w:left w:val="nil"/>
              <w:bottom w:val="single" w:sz="12" w:space="0" w:color="FFFFFF"/>
              <w:right w:val="single" w:sz="12" w:space="0" w:color="FFFFFF"/>
            </w:tcBorders>
            <w:shd w:val="clear" w:color="000000" w:fill="F2F2F2"/>
            <w:noWrap/>
          </w:tcPr>
          <w:p w14:paraId="7192E34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26 930,00</w:t>
            </w:r>
          </w:p>
        </w:tc>
      </w:tr>
      <w:tr w:rsidR="00E1521D" w:rsidRPr="00094641" w14:paraId="067AC9DB"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448EED95"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Stavby</w:t>
            </w:r>
          </w:p>
        </w:tc>
        <w:tc>
          <w:tcPr>
            <w:tcW w:w="1993" w:type="dxa"/>
            <w:tcBorders>
              <w:top w:val="nil"/>
              <w:left w:val="nil"/>
              <w:bottom w:val="single" w:sz="12" w:space="0" w:color="FFFFFF"/>
              <w:right w:val="single" w:sz="12" w:space="0" w:color="FFFFFF"/>
            </w:tcBorders>
            <w:shd w:val="clear" w:color="000000" w:fill="F2F2F2"/>
            <w:noWrap/>
          </w:tcPr>
          <w:p w14:paraId="3A3D400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127 792 782,39</w:t>
            </w:r>
          </w:p>
        </w:tc>
        <w:tc>
          <w:tcPr>
            <w:tcW w:w="2037" w:type="dxa"/>
            <w:tcBorders>
              <w:top w:val="nil"/>
              <w:left w:val="nil"/>
              <w:bottom w:val="single" w:sz="12" w:space="0" w:color="FFFFFF"/>
              <w:right w:val="single" w:sz="12" w:space="0" w:color="FFFFFF"/>
            </w:tcBorders>
            <w:shd w:val="clear" w:color="000000" w:fill="F2F2F2"/>
            <w:noWrap/>
          </w:tcPr>
          <w:p w14:paraId="5ACD15C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55 999 066,85</w:t>
            </w:r>
          </w:p>
        </w:tc>
        <w:tc>
          <w:tcPr>
            <w:tcW w:w="1794" w:type="dxa"/>
            <w:tcBorders>
              <w:top w:val="nil"/>
              <w:left w:val="nil"/>
              <w:bottom w:val="single" w:sz="12" w:space="0" w:color="FFFFFF"/>
              <w:right w:val="single" w:sz="12" w:space="0" w:color="FFFFFF"/>
            </w:tcBorders>
            <w:shd w:val="clear" w:color="000000" w:fill="F2F2F2"/>
            <w:noWrap/>
          </w:tcPr>
          <w:p w14:paraId="08C9E5C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71 793 715,54</w:t>
            </w:r>
          </w:p>
        </w:tc>
        <w:tc>
          <w:tcPr>
            <w:tcW w:w="1573" w:type="dxa"/>
            <w:tcBorders>
              <w:top w:val="nil"/>
              <w:left w:val="nil"/>
              <w:bottom w:val="single" w:sz="12" w:space="0" w:color="FFFFFF"/>
              <w:right w:val="single" w:sz="12" w:space="0" w:color="FFFFFF"/>
            </w:tcBorders>
            <w:shd w:val="clear" w:color="000000" w:fill="F2F2F2"/>
            <w:noWrap/>
          </w:tcPr>
          <w:p w14:paraId="44803B9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74 185 974,18</w:t>
            </w:r>
          </w:p>
        </w:tc>
      </w:tr>
      <w:tr w:rsidR="00E1521D" w:rsidRPr="00094641" w14:paraId="0604C2C0"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2F9E7A4D"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 xml:space="preserve">Samostatné hnuteľné veci </w:t>
            </w:r>
          </w:p>
        </w:tc>
        <w:tc>
          <w:tcPr>
            <w:tcW w:w="1993" w:type="dxa"/>
            <w:tcBorders>
              <w:top w:val="nil"/>
              <w:left w:val="nil"/>
              <w:bottom w:val="single" w:sz="12" w:space="0" w:color="FFFFFF"/>
              <w:right w:val="single" w:sz="12" w:space="0" w:color="FFFFFF"/>
            </w:tcBorders>
            <w:shd w:val="clear" w:color="000000" w:fill="F2F2F2"/>
            <w:noWrap/>
          </w:tcPr>
          <w:p w14:paraId="6DC6A819"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5 727 816,38</w:t>
            </w:r>
          </w:p>
        </w:tc>
        <w:tc>
          <w:tcPr>
            <w:tcW w:w="2037" w:type="dxa"/>
            <w:tcBorders>
              <w:top w:val="nil"/>
              <w:left w:val="nil"/>
              <w:bottom w:val="single" w:sz="12" w:space="0" w:color="FFFFFF"/>
              <w:right w:val="single" w:sz="12" w:space="0" w:color="FFFFFF"/>
            </w:tcBorders>
            <w:shd w:val="clear" w:color="000000" w:fill="F2F2F2"/>
            <w:noWrap/>
          </w:tcPr>
          <w:p w14:paraId="792BB5E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5 022 793,46</w:t>
            </w:r>
          </w:p>
        </w:tc>
        <w:tc>
          <w:tcPr>
            <w:tcW w:w="1794" w:type="dxa"/>
            <w:tcBorders>
              <w:top w:val="nil"/>
              <w:left w:val="nil"/>
              <w:bottom w:val="single" w:sz="12" w:space="0" w:color="FFFFFF"/>
              <w:right w:val="single" w:sz="12" w:space="0" w:color="FFFFFF"/>
            </w:tcBorders>
            <w:shd w:val="clear" w:color="000000" w:fill="F2F2F2"/>
            <w:noWrap/>
          </w:tcPr>
          <w:p w14:paraId="1CEE2B4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705 022,92</w:t>
            </w:r>
          </w:p>
        </w:tc>
        <w:tc>
          <w:tcPr>
            <w:tcW w:w="1573" w:type="dxa"/>
            <w:tcBorders>
              <w:top w:val="nil"/>
              <w:left w:val="nil"/>
              <w:bottom w:val="single" w:sz="12" w:space="0" w:color="FFFFFF"/>
              <w:right w:val="single" w:sz="12" w:space="0" w:color="FFFFFF"/>
            </w:tcBorders>
            <w:shd w:val="clear" w:color="000000" w:fill="F2F2F2"/>
            <w:noWrap/>
          </w:tcPr>
          <w:p w14:paraId="77FED38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1 093 436,71</w:t>
            </w:r>
          </w:p>
        </w:tc>
      </w:tr>
      <w:tr w:rsidR="00E1521D" w:rsidRPr="00094641" w14:paraId="1A5565F8"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7FAFECEE"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Dopravné prostriedky</w:t>
            </w:r>
          </w:p>
        </w:tc>
        <w:tc>
          <w:tcPr>
            <w:tcW w:w="1993" w:type="dxa"/>
            <w:tcBorders>
              <w:top w:val="nil"/>
              <w:left w:val="nil"/>
              <w:bottom w:val="single" w:sz="12" w:space="0" w:color="FFFFFF"/>
              <w:right w:val="single" w:sz="12" w:space="0" w:color="FFFFFF"/>
            </w:tcBorders>
            <w:shd w:val="clear" w:color="000000" w:fill="F2F2F2"/>
            <w:noWrap/>
          </w:tcPr>
          <w:p w14:paraId="1B21549C"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3 033 742,00</w:t>
            </w:r>
          </w:p>
        </w:tc>
        <w:tc>
          <w:tcPr>
            <w:tcW w:w="2037" w:type="dxa"/>
            <w:tcBorders>
              <w:top w:val="nil"/>
              <w:left w:val="nil"/>
              <w:bottom w:val="single" w:sz="12" w:space="0" w:color="FFFFFF"/>
              <w:right w:val="single" w:sz="12" w:space="0" w:color="FFFFFF"/>
            </w:tcBorders>
            <w:shd w:val="clear" w:color="000000" w:fill="F2F2F2"/>
            <w:noWrap/>
          </w:tcPr>
          <w:p w14:paraId="68B798B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2 555 518,45</w:t>
            </w:r>
          </w:p>
        </w:tc>
        <w:tc>
          <w:tcPr>
            <w:tcW w:w="1794" w:type="dxa"/>
            <w:tcBorders>
              <w:top w:val="nil"/>
              <w:left w:val="nil"/>
              <w:bottom w:val="single" w:sz="12" w:space="0" w:color="FFFFFF"/>
              <w:right w:val="single" w:sz="12" w:space="0" w:color="FFFFFF"/>
            </w:tcBorders>
            <w:shd w:val="clear" w:color="000000" w:fill="F2F2F2"/>
            <w:noWrap/>
          </w:tcPr>
          <w:p w14:paraId="666BBA71"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478 223,55</w:t>
            </w:r>
          </w:p>
        </w:tc>
        <w:tc>
          <w:tcPr>
            <w:tcW w:w="1573" w:type="dxa"/>
            <w:tcBorders>
              <w:top w:val="nil"/>
              <w:left w:val="nil"/>
              <w:bottom w:val="single" w:sz="12" w:space="0" w:color="FFFFFF"/>
              <w:right w:val="single" w:sz="12" w:space="0" w:color="FFFFFF"/>
            </w:tcBorders>
            <w:shd w:val="clear" w:color="000000" w:fill="F2F2F2"/>
            <w:noWrap/>
          </w:tcPr>
          <w:p w14:paraId="4DDC5FD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524 265,28</w:t>
            </w:r>
          </w:p>
        </w:tc>
      </w:tr>
      <w:tr w:rsidR="00E1521D" w:rsidRPr="00094641" w14:paraId="7B60FCEC"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59358AAC"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Drobný DHM</w:t>
            </w:r>
          </w:p>
        </w:tc>
        <w:tc>
          <w:tcPr>
            <w:tcW w:w="1993" w:type="dxa"/>
            <w:tcBorders>
              <w:top w:val="nil"/>
              <w:left w:val="nil"/>
              <w:bottom w:val="single" w:sz="12" w:space="0" w:color="FFFFFF"/>
              <w:right w:val="single" w:sz="12" w:space="0" w:color="FFFFFF"/>
            </w:tcBorders>
            <w:shd w:val="clear" w:color="000000" w:fill="F2F2F2"/>
            <w:noWrap/>
          </w:tcPr>
          <w:p w14:paraId="7615CF6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21 639,89</w:t>
            </w:r>
          </w:p>
        </w:tc>
        <w:tc>
          <w:tcPr>
            <w:tcW w:w="2037" w:type="dxa"/>
            <w:tcBorders>
              <w:top w:val="nil"/>
              <w:left w:val="nil"/>
              <w:bottom w:val="single" w:sz="12" w:space="0" w:color="FFFFFF"/>
              <w:right w:val="single" w:sz="12" w:space="0" w:color="FFFFFF"/>
            </w:tcBorders>
            <w:shd w:val="clear" w:color="000000" w:fill="F2F2F2"/>
            <w:noWrap/>
          </w:tcPr>
          <w:p w14:paraId="3DC3C531"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21 639,89</w:t>
            </w:r>
          </w:p>
        </w:tc>
        <w:tc>
          <w:tcPr>
            <w:tcW w:w="1794" w:type="dxa"/>
            <w:tcBorders>
              <w:top w:val="nil"/>
              <w:left w:val="nil"/>
              <w:bottom w:val="single" w:sz="12" w:space="0" w:color="FFFFFF"/>
              <w:right w:val="single" w:sz="12" w:space="0" w:color="FFFFFF"/>
            </w:tcBorders>
            <w:shd w:val="clear" w:color="000000" w:fill="F2F2F2"/>
            <w:noWrap/>
          </w:tcPr>
          <w:p w14:paraId="1A70C9FC"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73" w:type="dxa"/>
            <w:tcBorders>
              <w:top w:val="nil"/>
              <w:left w:val="nil"/>
              <w:bottom w:val="single" w:sz="12" w:space="0" w:color="FFFFFF"/>
              <w:right w:val="single" w:sz="12" w:space="0" w:color="FFFFFF"/>
            </w:tcBorders>
            <w:shd w:val="clear" w:color="000000" w:fill="F2F2F2"/>
            <w:noWrap/>
          </w:tcPr>
          <w:p w14:paraId="7401929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r w:rsidR="00E1521D" w:rsidRPr="00094641" w14:paraId="5CCAA007"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52D3DCC0"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Obstaranie DHM</w:t>
            </w:r>
          </w:p>
        </w:tc>
        <w:tc>
          <w:tcPr>
            <w:tcW w:w="1993" w:type="dxa"/>
            <w:tcBorders>
              <w:top w:val="nil"/>
              <w:left w:val="nil"/>
              <w:bottom w:val="single" w:sz="12" w:space="0" w:color="FFFFFF"/>
              <w:right w:val="single" w:sz="12" w:space="0" w:color="FFFFFF"/>
            </w:tcBorders>
            <w:shd w:val="clear" w:color="000000" w:fill="F2F2F2"/>
            <w:noWrap/>
          </w:tcPr>
          <w:p w14:paraId="24C884B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11 017 395,83</w:t>
            </w:r>
          </w:p>
        </w:tc>
        <w:tc>
          <w:tcPr>
            <w:tcW w:w="2037" w:type="dxa"/>
            <w:tcBorders>
              <w:top w:val="nil"/>
              <w:left w:val="nil"/>
              <w:bottom w:val="single" w:sz="12" w:space="0" w:color="FFFFFF"/>
              <w:right w:val="single" w:sz="12" w:space="0" w:color="FFFFFF"/>
            </w:tcBorders>
            <w:shd w:val="clear" w:color="000000" w:fill="F2F2F2"/>
            <w:noWrap/>
          </w:tcPr>
          <w:p w14:paraId="3B977D6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610 474,66</w:t>
            </w:r>
          </w:p>
        </w:tc>
        <w:tc>
          <w:tcPr>
            <w:tcW w:w="1794" w:type="dxa"/>
            <w:tcBorders>
              <w:top w:val="nil"/>
              <w:left w:val="nil"/>
              <w:bottom w:val="single" w:sz="12" w:space="0" w:color="FFFFFF"/>
              <w:right w:val="single" w:sz="12" w:space="0" w:color="FFFFFF"/>
            </w:tcBorders>
            <w:shd w:val="clear" w:color="000000" w:fill="F2F2F2"/>
            <w:noWrap/>
          </w:tcPr>
          <w:p w14:paraId="3DB3937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10 406 921,17</w:t>
            </w:r>
          </w:p>
        </w:tc>
        <w:tc>
          <w:tcPr>
            <w:tcW w:w="1573" w:type="dxa"/>
            <w:tcBorders>
              <w:top w:val="nil"/>
              <w:left w:val="nil"/>
              <w:bottom w:val="single" w:sz="12" w:space="0" w:color="FFFFFF"/>
              <w:right w:val="single" w:sz="12" w:space="0" w:color="FFFFFF"/>
            </w:tcBorders>
            <w:shd w:val="clear" w:color="000000" w:fill="F2F2F2"/>
            <w:noWrap/>
          </w:tcPr>
          <w:p w14:paraId="2D2E1AE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5 080 364,33</w:t>
            </w:r>
          </w:p>
        </w:tc>
      </w:tr>
      <w:tr w:rsidR="00E1521D" w:rsidRPr="00094641" w14:paraId="0B98E435"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D9D9D9"/>
            <w:vAlign w:val="center"/>
            <w:hideMark/>
          </w:tcPr>
          <w:p w14:paraId="646A0867"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Dlhodobý finančný majetok</w:t>
            </w:r>
          </w:p>
        </w:tc>
        <w:tc>
          <w:tcPr>
            <w:tcW w:w="1993" w:type="dxa"/>
            <w:tcBorders>
              <w:top w:val="nil"/>
              <w:left w:val="nil"/>
              <w:bottom w:val="single" w:sz="12" w:space="0" w:color="FFFFFF"/>
              <w:right w:val="single" w:sz="12" w:space="0" w:color="FFFFFF"/>
            </w:tcBorders>
            <w:shd w:val="clear" w:color="000000" w:fill="D9D9D9"/>
            <w:noWrap/>
          </w:tcPr>
          <w:p w14:paraId="52D14BC8"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71 653,10</w:t>
            </w:r>
          </w:p>
        </w:tc>
        <w:tc>
          <w:tcPr>
            <w:tcW w:w="2037" w:type="dxa"/>
            <w:tcBorders>
              <w:top w:val="nil"/>
              <w:left w:val="nil"/>
              <w:bottom w:val="single" w:sz="12" w:space="0" w:color="FFFFFF"/>
              <w:right w:val="single" w:sz="12" w:space="0" w:color="FFFFFF"/>
            </w:tcBorders>
            <w:shd w:val="clear" w:color="000000" w:fill="D9D9D9"/>
            <w:noWrap/>
          </w:tcPr>
          <w:p w14:paraId="425514DE"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0,00</w:t>
            </w:r>
          </w:p>
        </w:tc>
        <w:tc>
          <w:tcPr>
            <w:tcW w:w="1794" w:type="dxa"/>
            <w:tcBorders>
              <w:top w:val="nil"/>
              <w:left w:val="nil"/>
              <w:bottom w:val="single" w:sz="12" w:space="0" w:color="FFFFFF"/>
              <w:right w:val="single" w:sz="12" w:space="0" w:color="FFFFFF"/>
            </w:tcBorders>
            <w:shd w:val="clear" w:color="000000" w:fill="D9D9D9"/>
            <w:noWrap/>
          </w:tcPr>
          <w:p w14:paraId="550E60FD"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71 653,10</w:t>
            </w:r>
          </w:p>
        </w:tc>
        <w:tc>
          <w:tcPr>
            <w:tcW w:w="1573" w:type="dxa"/>
            <w:tcBorders>
              <w:top w:val="nil"/>
              <w:left w:val="nil"/>
              <w:bottom w:val="single" w:sz="12" w:space="0" w:color="FFFFFF"/>
              <w:right w:val="single" w:sz="12" w:space="0" w:color="FFFFFF"/>
            </w:tcBorders>
            <w:shd w:val="clear" w:color="000000" w:fill="D9D9D9"/>
            <w:noWrap/>
          </w:tcPr>
          <w:p w14:paraId="23ABA9AC"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44 153,00</w:t>
            </w:r>
          </w:p>
        </w:tc>
      </w:tr>
      <w:tr w:rsidR="00E1521D" w:rsidRPr="00094641" w14:paraId="08633916"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03778BFE"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Podielové cenné papiere</w:t>
            </w:r>
          </w:p>
        </w:tc>
        <w:tc>
          <w:tcPr>
            <w:tcW w:w="1993" w:type="dxa"/>
            <w:tcBorders>
              <w:top w:val="nil"/>
              <w:left w:val="nil"/>
              <w:bottom w:val="single" w:sz="12" w:space="0" w:color="FFFFFF"/>
              <w:right w:val="single" w:sz="12" w:space="0" w:color="FFFFFF"/>
            </w:tcBorders>
            <w:shd w:val="clear" w:color="000000" w:fill="F2F2F2"/>
            <w:noWrap/>
          </w:tcPr>
          <w:p w14:paraId="1C422E5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71 653,10</w:t>
            </w:r>
          </w:p>
        </w:tc>
        <w:tc>
          <w:tcPr>
            <w:tcW w:w="2037" w:type="dxa"/>
            <w:tcBorders>
              <w:top w:val="nil"/>
              <w:left w:val="nil"/>
              <w:bottom w:val="single" w:sz="12" w:space="0" w:color="FFFFFF"/>
              <w:right w:val="single" w:sz="12" w:space="0" w:color="FFFFFF"/>
            </w:tcBorders>
            <w:shd w:val="clear" w:color="000000" w:fill="F2F2F2"/>
            <w:noWrap/>
          </w:tcPr>
          <w:p w14:paraId="31F9B49A"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794" w:type="dxa"/>
            <w:tcBorders>
              <w:top w:val="nil"/>
              <w:left w:val="nil"/>
              <w:bottom w:val="single" w:sz="12" w:space="0" w:color="FFFFFF"/>
              <w:right w:val="single" w:sz="12" w:space="0" w:color="FFFFFF"/>
            </w:tcBorders>
            <w:shd w:val="clear" w:color="000000" w:fill="F2F2F2"/>
            <w:noWrap/>
          </w:tcPr>
          <w:p w14:paraId="5392335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71 653,10</w:t>
            </w:r>
          </w:p>
        </w:tc>
        <w:tc>
          <w:tcPr>
            <w:tcW w:w="1573" w:type="dxa"/>
            <w:tcBorders>
              <w:top w:val="nil"/>
              <w:left w:val="nil"/>
              <w:bottom w:val="single" w:sz="12" w:space="0" w:color="FFFFFF"/>
              <w:right w:val="single" w:sz="12" w:space="0" w:color="FFFFFF"/>
            </w:tcBorders>
            <w:shd w:val="clear" w:color="000000" w:fill="F2F2F2"/>
            <w:noWrap/>
          </w:tcPr>
          <w:p w14:paraId="2AC9523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44 153,00</w:t>
            </w:r>
          </w:p>
        </w:tc>
      </w:tr>
      <w:tr w:rsidR="00E1521D" w:rsidRPr="00094641" w14:paraId="14A139CA" w14:textId="77777777" w:rsidTr="00E1521D">
        <w:trPr>
          <w:trHeight w:val="253"/>
        </w:trPr>
        <w:tc>
          <w:tcPr>
            <w:tcW w:w="3101" w:type="dxa"/>
            <w:tcBorders>
              <w:top w:val="nil"/>
              <w:left w:val="single" w:sz="12" w:space="0" w:color="FFFFFF"/>
              <w:bottom w:val="single" w:sz="12" w:space="0" w:color="FFFFFF"/>
              <w:right w:val="single" w:sz="12" w:space="0" w:color="FFFFFF"/>
            </w:tcBorders>
            <w:shd w:val="clear" w:color="000000" w:fill="F2F2F2"/>
            <w:vAlign w:val="center"/>
            <w:hideMark/>
          </w:tcPr>
          <w:p w14:paraId="6191AA33"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Realizovateľné CP a podiely</w:t>
            </w:r>
          </w:p>
        </w:tc>
        <w:tc>
          <w:tcPr>
            <w:tcW w:w="1993" w:type="dxa"/>
            <w:tcBorders>
              <w:top w:val="nil"/>
              <w:left w:val="nil"/>
              <w:bottom w:val="single" w:sz="12" w:space="0" w:color="FFFFFF"/>
              <w:right w:val="single" w:sz="12" w:space="0" w:color="FFFFFF"/>
            </w:tcBorders>
            <w:shd w:val="clear" w:color="000000" w:fill="F2F2F2"/>
            <w:noWrap/>
          </w:tcPr>
          <w:p w14:paraId="2C3B62FC"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2037" w:type="dxa"/>
            <w:tcBorders>
              <w:top w:val="nil"/>
              <w:left w:val="nil"/>
              <w:bottom w:val="single" w:sz="12" w:space="0" w:color="FFFFFF"/>
              <w:right w:val="single" w:sz="12" w:space="0" w:color="FFFFFF"/>
            </w:tcBorders>
            <w:shd w:val="clear" w:color="000000" w:fill="F2F2F2"/>
            <w:noWrap/>
          </w:tcPr>
          <w:p w14:paraId="7D512C11"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794" w:type="dxa"/>
            <w:tcBorders>
              <w:top w:val="nil"/>
              <w:left w:val="nil"/>
              <w:bottom w:val="single" w:sz="12" w:space="0" w:color="FFFFFF"/>
              <w:right w:val="single" w:sz="12" w:space="0" w:color="FFFFFF"/>
            </w:tcBorders>
            <w:shd w:val="clear" w:color="000000" w:fill="F2F2F2"/>
            <w:noWrap/>
          </w:tcPr>
          <w:p w14:paraId="2E14962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73" w:type="dxa"/>
            <w:tcBorders>
              <w:top w:val="nil"/>
              <w:left w:val="nil"/>
              <w:bottom w:val="single" w:sz="12" w:space="0" w:color="FFFFFF"/>
              <w:right w:val="single" w:sz="12" w:space="0" w:color="FFFFFF"/>
            </w:tcBorders>
            <w:shd w:val="clear" w:color="000000" w:fill="F2F2F2"/>
            <w:noWrap/>
          </w:tcPr>
          <w:p w14:paraId="66D1AB3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bl>
    <w:p w14:paraId="67A40927" w14:textId="77777777" w:rsidR="00DF07D7" w:rsidRDefault="00DF07D7" w:rsidP="00E1521D">
      <w:pPr>
        <w:jc w:val="both"/>
        <w:rPr>
          <w:b/>
          <w:u w:val="single"/>
        </w:rPr>
      </w:pPr>
    </w:p>
    <w:p w14:paraId="1D7DC8FD" w14:textId="3F277443" w:rsidR="00E1521D" w:rsidRPr="00094641" w:rsidRDefault="00E1521D" w:rsidP="00E1521D">
      <w:pPr>
        <w:jc w:val="both"/>
      </w:pPr>
      <w:r w:rsidRPr="00AA44BC">
        <w:rPr>
          <w:b/>
          <w:u w:val="single"/>
        </w:rPr>
        <w:t>Sociálne zariadenia</w:t>
      </w:r>
      <w:r w:rsidRPr="00094641">
        <w:rPr>
          <w:b/>
          <w:u w:val="single"/>
        </w:rPr>
        <w:t xml:space="preserve"> v zriaďovateľskej pôsobnosti BSK</w:t>
      </w:r>
      <w:r w:rsidRPr="00094641">
        <w:rPr>
          <w:b/>
        </w:rPr>
        <w:t xml:space="preserve"> </w:t>
      </w:r>
      <w:r w:rsidRPr="00094641">
        <w:t xml:space="preserve">vykázali </w:t>
      </w:r>
      <w:r w:rsidRPr="00094641">
        <w:rPr>
          <w:b/>
        </w:rPr>
        <w:t>celkovú výšku neobežného majetku k 31.12.20</w:t>
      </w:r>
      <w:r>
        <w:rPr>
          <w:b/>
        </w:rPr>
        <w:t>20</w:t>
      </w:r>
      <w:r w:rsidRPr="00094641">
        <w:t xml:space="preserve"> v obstarávacej hodnote </w:t>
      </w:r>
      <w:r>
        <w:rPr>
          <w:rFonts w:cs="Arial"/>
          <w:b/>
          <w:color w:val="000000"/>
        </w:rPr>
        <w:t>75 285 263,39</w:t>
      </w:r>
      <w:r w:rsidRPr="00094641">
        <w:rPr>
          <w:rFonts w:cs="Arial"/>
          <w:b/>
          <w:color w:val="000000"/>
        </w:rPr>
        <w:t xml:space="preserve"> EUR</w:t>
      </w:r>
      <w:r w:rsidRPr="00094641">
        <w:t xml:space="preserve">.  </w:t>
      </w:r>
      <w:r w:rsidRPr="00094641">
        <w:rPr>
          <w:b/>
        </w:rPr>
        <w:t>Zostatková hodnota neobežného majetku</w:t>
      </w:r>
      <w:r w:rsidRPr="00094641">
        <w:t>, podľa účtovnej závierky k 31.12.20</w:t>
      </w:r>
      <w:r>
        <w:t>20</w:t>
      </w:r>
      <w:r w:rsidRPr="00094641">
        <w:t xml:space="preserve"> bola vykázaná v celkovej výške </w:t>
      </w:r>
      <w:r>
        <w:rPr>
          <w:b/>
        </w:rPr>
        <w:t>54 565 149,47</w:t>
      </w:r>
      <w:r w:rsidRPr="00094641">
        <w:rPr>
          <w:b/>
        </w:rPr>
        <w:t xml:space="preserve"> EUR</w:t>
      </w:r>
      <w:r w:rsidRPr="00094641">
        <w:t xml:space="preserve">. </w:t>
      </w:r>
    </w:p>
    <w:tbl>
      <w:tblPr>
        <w:tblW w:w="10531" w:type="dxa"/>
        <w:tblInd w:w="55" w:type="dxa"/>
        <w:tblCellMar>
          <w:left w:w="70" w:type="dxa"/>
          <w:right w:w="70" w:type="dxa"/>
        </w:tblCellMar>
        <w:tblLook w:val="04A0" w:firstRow="1" w:lastRow="0" w:firstColumn="1" w:lastColumn="0" w:noHBand="0" w:noVBand="1"/>
      </w:tblPr>
      <w:tblGrid>
        <w:gridCol w:w="3826"/>
        <w:gridCol w:w="1676"/>
        <w:gridCol w:w="1677"/>
        <w:gridCol w:w="1676"/>
        <w:gridCol w:w="1676"/>
      </w:tblGrid>
      <w:tr w:rsidR="00E1521D" w:rsidRPr="00094641" w14:paraId="4058890C" w14:textId="77777777" w:rsidTr="005A1544">
        <w:trPr>
          <w:trHeight w:val="287"/>
        </w:trPr>
        <w:tc>
          <w:tcPr>
            <w:tcW w:w="10531" w:type="dxa"/>
            <w:gridSpan w:val="5"/>
            <w:tcBorders>
              <w:top w:val="single" w:sz="12" w:space="0" w:color="FFFFFF"/>
              <w:left w:val="single" w:sz="12" w:space="0" w:color="FFFFFF"/>
              <w:bottom w:val="nil"/>
              <w:right w:val="single" w:sz="12" w:space="0" w:color="FFFFFF"/>
            </w:tcBorders>
            <w:shd w:val="clear" w:color="000000" w:fill="8DB3E2"/>
            <w:noWrap/>
            <w:vAlign w:val="center"/>
            <w:hideMark/>
          </w:tcPr>
          <w:p w14:paraId="7D9460F5"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PREHĽAD O MAJETKU v správe RO</w:t>
            </w:r>
          </w:p>
        </w:tc>
      </w:tr>
      <w:tr w:rsidR="00E1521D" w:rsidRPr="00094641" w14:paraId="3299F8E5" w14:textId="77777777" w:rsidTr="005A1544">
        <w:trPr>
          <w:trHeight w:val="272"/>
        </w:trPr>
        <w:tc>
          <w:tcPr>
            <w:tcW w:w="10531" w:type="dxa"/>
            <w:gridSpan w:val="5"/>
            <w:tcBorders>
              <w:top w:val="nil"/>
              <w:left w:val="single" w:sz="12" w:space="0" w:color="FFFFFF"/>
              <w:bottom w:val="single" w:sz="12" w:space="0" w:color="FFFFFF"/>
              <w:right w:val="single" w:sz="12" w:space="0" w:color="FFFFFF"/>
            </w:tcBorders>
            <w:shd w:val="clear" w:color="000000" w:fill="8DB3E2"/>
            <w:noWrap/>
            <w:vAlign w:val="center"/>
            <w:hideMark/>
          </w:tcPr>
          <w:p w14:paraId="1F8E5685"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 xml:space="preserve">v zriaďovateľskej pôsobnosti BSK  v EUR  - sociálne zariadenia </w:t>
            </w:r>
          </w:p>
        </w:tc>
      </w:tr>
      <w:tr w:rsidR="00E1521D" w:rsidRPr="00094641" w14:paraId="3B4D46E3" w14:textId="77777777" w:rsidTr="005A1544">
        <w:trPr>
          <w:trHeight w:val="529"/>
        </w:trPr>
        <w:tc>
          <w:tcPr>
            <w:tcW w:w="3826" w:type="dxa"/>
            <w:tcBorders>
              <w:top w:val="nil"/>
              <w:left w:val="single" w:sz="12" w:space="0" w:color="FFFFFF"/>
              <w:bottom w:val="single" w:sz="12" w:space="0" w:color="FFFFFF"/>
              <w:right w:val="single" w:sz="12" w:space="0" w:color="FFFFFF"/>
            </w:tcBorders>
            <w:shd w:val="clear" w:color="000000" w:fill="8DB3E2"/>
            <w:noWrap/>
            <w:vAlign w:val="center"/>
            <w:hideMark/>
          </w:tcPr>
          <w:p w14:paraId="57EE3518"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Názov</w:t>
            </w:r>
          </w:p>
        </w:tc>
        <w:tc>
          <w:tcPr>
            <w:tcW w:w="1676" w:type="dxa"/>
            <w:tcBorders>
              <w:top w:val="nil"/>
              <w:left w:val="nil"/>
              <w:bottom w:val="single" w:sz="12" w:space="0" w:color="FFFFFF"/>
              <w:right w:val="single" w:sz="12" w:space="0" w:color="FFFFFF"/>
            </w:tcBorders>
            <w:shd w:val="clear" w:color="000000" w:fill="8DB3E2"/>
            <w:vAlign w:val="center"/>
            <w:hideMark/>
          </w:tcPr>
          <w:p w14:paraId="6877B3A1"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677" w:type="dxa"/>
            <w:tcBorders>
              <w:top w:val="nil"/>
              <w:left w:val="nil"/>
              <w:bottom w:val="single" w:sz="12" w:space="0" w:color="FFFFFF"/>
              <w:right w:val="single" w:sz="12" w:space="0" w:color="FFFFFF"/>
            </w:tcBorders>
            <w:shd w:val="clear" w:color="000000" w:fill="8DB3E2"/>
            <w:vAlign w:val="center"/>
            <w:hideMark/>
          </w:tcPr>
          <w:p w14:paraId="5333267E"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676" w:type="dxa"/>
            <w:tcBorders>
              <w:top w:val="nil"/>
              <w:left w:val="nil"/>
              <w:bottom w:val="single" w:sz="12" w:space="0" w:color="FFFFFF"/>
              <w:right w:val="single" w:sz="12" w:space="0" w:color="FFFFFF"/>
            </w:tcBorders>
            <w:shd w:val="clear" w:color="000000" w:fill="8DB3E2"/>
            <w:vAlign w:val="center"/>
            <w:hideMark/>
          </w:tcPr>
          <w:p w14:paraId="6C58850A"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675" w:type="dxa"/>
            <w:tcBorders>
              <w:top w:val="nil"/>
              <w:left w:val="nil"/>
              <w:bottom w:val="single" w:sz="12" w:space="0" w:color="FFFFFF"/>
              <w:right w:val="single" w:sz="12" w:space="0" w:color="FFFFFF"/>
            </w:tcBorders>
            <w:shd w:val="clear" w:color="000000" w:fill="8DB3E2"/>
            <w:vAlign w:val="center"/>
            <w:hideMark/>
          </w:tcPr>
          <w:p w14:paraId="1AF4C599"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4D5CC6A6" w14:textId="77777777" w:rsidTr="005A1544">
        <w:trPr>
          <w:trHeight w:val="272"/>
        </w:trPr>
        <w:tc>
          <w:tcPr>
            <w:tcW w:w="3826" w:type="dxa"/>
            <w:tcBorders>
              <w:top w:val="nil"/>
              <w:left w:val="single" w:sz="12" w:space="0" w:color="FFFFFF"/>
              <w:bottom w:val="single" w:sz="12" w:space="0" w:color="FFFFFF"/>
              <w:right w:val="single" w:sz="12" w:space="0" w:color="FFFFFF"/>
            </w:tcBorders>
            <w:shd w:val="clear" w:color="000000" w:fill="BFBFBF"/>
            <w:vAlign w:val="center"/>
            <w:hideMark/>
          </w:tcPr>
          <w:p w14:paraId="1EA5572C"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676" w:type="dxa"/>
            <w:tcBorders>
              <w:top w:val="nil"/>
              <w:left w:val="nil"/>
              <w:bottom w:val="single" w:sz="12" w:space="0" w:color="FFFFFF"/>
              <w:right w:val="single" w:sz="12" w:space="0" w:color="FFFFFF"/>
            </w:tcBorders>
            <w:shd w:val="clear" w:color="000000" w:fill="BFBFBF"/>
            <w:noWrap/>
          </w:tcPr>
          <w:p w14:paraId="480DEB41"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75 285 263,39</w:t>
            </w:r>
          </w:p>
        </w:tc>
        <w:tc>
          <w:tcPr>
            <w:tcW w:w="1677" w:type="dxa"/>
            <w:tcBorders>
              <w:top w:val="nil"/>
              <w:left w:val="nil"/>
              <w:bottom w:val="single" w:sz="12" w:space="0" w:color="FFFFFF"/>
              <w:right w:val="single" w:sz="12" w:space="0" w:color="FFFFFF"/>
            </w:tcBorders>
            <w:shd w:val="clear" w:color="000000" w:fill="BFBFBF"/>
            <w:noWrap/>
          </w:tcPr>
          <w:p w14:paraId="59070643"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20 720 113,92</w:t>
            </w:r>
          </w:p>
        </w:tc>
        <w:tc>
          <w:tcPr>
            <w:tcW w:w="1676" w:type="dxa"/>
            <w:tcBorders>
              <w:top w:val="nil"/>
              <w:left w:val="nil"/>
              <w:bottom w:val="single" w:sz="12" w:space="0" w:color="FFFFFF"/>
              <w:right w:val="single" w:sz="12" w:space="0" w:color="FFFFFF"/>
            </w:tcBorders>
            <w:shd w:val="clear" w:color="000000" w:fill="BFBFBF"/>
            <w:noWrap/>
          </w:tcPr>
          <w:p w14:paraId="7D881685"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54 565 149,47</w:t>
            </w:r>
          </w:p>
        </w:tc>
        <w:tc>
          <w:tcPr>
            <w:tcW w:w="1675" w:type="dxa"/>
            <w:tcBorders>
              <w:top w:val="nil"/>
              <w:left w:val="nil"/>
              <w:bottom w:val="single" w:sz="12" w:space="0" w:color="FFFFFF"/>
              <w:right w:val="single" w:sz="12" w:space="0" w:color="FFFFFF"/>
            </w:tcBorders>
            <w:shd w:val="clear" w:color="000000" w:fill="BFBFBF"/>
            <w:noWrap/>
          </w:tcPr>
          <w:p w14:paraId="68D4F8E1"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54 422 486,47</w:t>
            </w:r>
          </w:p>
        </w:tc>
      </w:tr>
      <w:tr w:rsidR="00E1521D" w:rsidRPr="00094641" w14:paraId="1C4B63E9" w14:textId="77777777" w:rsidTr="005A1544">
        <w:trPr>
          <w:trHeight w:val="272"/>
        </w:trPr>
        <w:tc>
          <w:tcPr>
            <w:tcW w:w="3826" w:type="dxa"/>
            <w:tcBorders>
              <w:top w:val="nil"/>
              <w:left w:val="single" w:sz="12" w:space="0" w:color="FFFFFF"/>
              <w:bottom w:val="single" w:sz="12" w:space="0" w:color="FFFFFF"/>
              <w:right w:val="single" w:sz="12" w:space="0" w:color="FFFFFF"/>
            </w:tcBorders>
            <w:shd w:val="clear" w:color="000000" w:fill="D9D9D9"/>
            <w:vAlign w:val="center"/>
            <w:hideMark/>
          </w:tcPr>
          <w:p w14:paraId="7B3DB241"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nehmotný majetok</w:t>
            </w:r>
          </w:p>
        </w:tc>
        <w:tc>
          <w:tcPr>
            <w:tcW w:w="1676" w:type="dxa"/>
            <w:tcBorders>
              <w:top w:val="nil"/>
              <w:left w:val="nil"/>
              <w:bottom w:val="single" w:sz="12" w:space="0" w:color="FFFFFF"/>
              <w:right w:val="single" w:sz="12" w:space="0" w:color="FFFFFF"/>
            </w:tcBorders>
            <w:shd w:val="clear" w:color="000000" w:fill="D9D9D9"/>
            <w:noWrap/>
          </w:tcPr>
          <w:p w14:paraId="08EC73A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7" w:type="dxa"/>
            <w:tcBorders>
              <w:top w:val="nil"/>
              <w:left w:val="nil"/>
              <w:bottom w:val="single" w:sz="12" w:space="0" w:color="FFFFFF"/>
              <w:right w:val="single" w:sz="12" w:space="0" w:color="FFFFFF"/>
            </w:tcBorders>
            <w:shd w:val="clear" w:color="000000" w:fill="D9D9D9"/>
            <w:noWrap/>
          </w:tcPr>
          <w:p w14:paraId="721DBA3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6" w:type="dxa"/>
            <w:tcBorders>
              <w:top w:val="nil"/>
              <w:left w:val="nil"/>
              <w:bottom w:val="single" w:sz="12" w:space="0" w:color="FFFFFF"/>
              <w:right w:val="single" w:sz="12" w:space="0" w:color="FFFFFF"/>
            </w:tcBorders>
            <w:shd w:val="clear" w:color="000000" w:fill="D9D9D9"/>
            <w:noWrap/>
          </w:tcPr>
          <w:p w14:paraId="797E979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5" w:type="dxa"/>
            <w:tcBorders>
              <w:top w:val="nil"/>
              <w:left w:val="nil"/>
              <w:bottom w:val="single" w:sz="12" w:space="0" w:color="FFFFFF"/>
              <w:right w:val="single" w:sz="12" w:space="0" w:color="FFFFFF"/>
            </w:tcBorders>
            <w:shd w:val="clear" w:color="000000" w:fill="D9D9D9"/>
            <w:noWrap/>
          </w:tcPr>
          <w:p w14:paraId="0889749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r w:rsidR="00E1521D" w:rsidRPr="00094641" w14:paraId="47DEBE29" w14:textId="77777777" w:rsidTr="005A1544">
        <w:trPr>
          <w:trHeight w:val="272"/>
        </w:trPr>
        <w:tc>
          <w:tcPr>
            <w:tcW w:w="3826" w:type="dxa"/>
            <w:tcBorders>
              <w:top w:val="nil"/>
              <w:left w:val="single" w:sz="12" w:space="0" w:color="FFFFFF"/>
              <w:bottom w:val="single" w:sz="12" w:space="0" w:color="FFFFFF"/>
              <w:right w:val="single" w:sz="12" w:space="0" w:color="FFFFFF"/>
            </w:tcBorders>
            <w:shd w:val="clear" w:color="000000" w:fill="D9D9D9"/>
            <w:vAlign w:val="center"/>
            <w:hideMark/>
          </w:tcPr>
          <w:p w14:paraId="13448FF4"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hmotný majetok</w:t>
            </w:r>
          </w:p>
        </w:tc>
        <w:tc>
          <w:tcPr>
            <w:tcW w:w="1676" w:type="dxa"/>
            <w:tcBorders>
              <w:top w:val="nil"/>
              <w:left w:val="nil"/>
              <w:bottom w:val="single" w:sz="12" w:space="0" w:color="FFFFFF"/>
              <w:right w:val="single" w:sz="12" w:space="0" w:color="FFFFFF"/>
            </w:tcBorders>
            <w:shd w:val="clear" w:color="000000" w:fill="D9D9D9"/>
            <w:noWrap/>
          </w:tcPr>
          <w:p w14:paraId="485340D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75 285 263,39</w:t>
            </w:r>
          </w:p>
        </w:tc>
        <w:tc>
          <w:tcPr>
            <w:tcW w:w="1677" w:type="dxa"/>
            <w:tcBorders>
              <w:top w:val="nil"/>
              <w:left w:val="nil"/>
              <w:bottom w:val="single" w:sz="12" w:space="0" w:color="FFFFFF"/>
              <w:right w:val="single" w:sz="12" w:space="0" w:color="FFFFFF"/>
            </w:tcBorders>
            <w:shd w:val="clear" w:color="000000" w:fill="D9D9D9"/>
            <w:noWrap/>
          </w:tcPr>
          <w:p w14:paraId="3CEBFAC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20 720 113,92</w:t>
            </w:r>
          </w:p>
        </w:tc>
        <w:tc>
          <w:tcPr>
            <w:tcW w:w="1676" w:type="dxa"/>
            <w:tcBorders>
              <w:top w:val="nil"/>
              <w:left w:val="nil"/>
              <w:bottom w:val="single" w:sz="12" w:space="0" w:color="FFFFFF"/>
              <w:right w:val="single" w:sz="12" w:space="0" w:color="FFFFFF"/>
            </w:tcBorders>
            <w:shd w:val="clear" w:color="000000" w:fill="D9D9D9"/>
            <w:noWrap/>
          </w:tcPr>
          <w:p w14:paraId="43FFBF37"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54 565 149,47</w:t>
            </w:r>
          </w:p>
        </w:tc>
        <w:tc>
          <w:tcPr>
            <w:tcW w:w="1675" w:type="dxa"/>
            <w:tcBorders>
              <w:top w:val="nil"/>
              <w:left w:val="nil"/>
              <w:bottom w:val="single" w:sz="12" w:space="0" w:color="FFFFFF"/>
              <w:right w:val="single" w:sz="12" w:space="0" w:color="FFFFFF"/>
            </w:tcBorders>
            <w:shd w:val="clear" w:color="000000" w:fill="D9D9D9"/>
            <w:noWrap/>
          </w:tcPr>
          <w:p w14:paraId="4557798C"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54 422 486,47</w:t>
            </w:r>
          </w:p>
        </w:tc>
      </w:tr>
      <w:tr w:rsidR="00E1521D" w:rsidRPr="00094641" w14:paraId="17FC72D0" w14:textId="77777777" w:rsidTr="005A1544">
        <w:trPr>
          <w:trHeight w:val="320"/>
        </w:trPr>
        <w:tc>
          <w:tcPr>
            <w:tcW w:w="3826" w:type="dxa"/>
            <w:tcBorders>
              <w:top w:val="nil"/>
              <w:left w:val="single" w:sz="12" w:space="0" w:color="FFFFFF"/>
              <w:bottom w:val="single" w:sz="12" w:space="0" w:color="FFFFFF"/>
              <w:right w:val="single" w:sz="12" w:space="0" w:color="FFFFFF"/>
            </w:tcBorders>
            <w:shd w:val="clear" w:color="000000" w:fill="D9D9D9"/>
            <w:vAlign w:val="center"/>
            <w:hideMark/>
          </w:tcPr>
          <w:p w14:paraId="4731FD9E"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finančný majetok</w:t>
            </w:r>
          </w:p>
        </w:tc>
        <w:tc>
          <w:tcPr>
            <w:tcW w:w="1676" w:type="dxa"/>
            <w:tcBorders>
              <w:top w:val="nil"/>
              <w:left w:val="nil"/>
              <w:bottom w:val="single" w:sz="12" w:space="0" w:color="FFFFFF"/>
              <w:right w:val="single" w:sz="12" w:space="0" w:color="FFFFFF"/>
            </w:tcBorders>
            <w:shd w:val="clear" w:color="000000" w:fill="D9D9D9"/>
            <w:noWrap/>
          </w:tcPr>
          <w:p w14:paraId="63DB5E41"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7" w:type="dxa"/>
            <w:tcBorders>
              <w:top w:val="nil"/>
              <w:left w:val="nil"/>
              <w:bottom w:val="single" w:sz="12" w:space="0" w:color="FFFFFF"/>
              <w:right w:val="single" w:sz="12" w:space="0" w:color="FFFFFF"/>
            </w:tcBorders>
            <w:shd w:val="clear" w:color="000000" w:fill="D9D9D9"/>
            <w:noWrap/>
          </w:tcPr>
          <w:p w14:paraId="71BBC4D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6" w:type="dxa"/>
            <w:tcBorders>
              <w:top w:val="nil"/>
              <w:left w:val="nil"/>
              <w:bottom w:val="single" w:sz="12" w:space="0" w:color="FFFFFF"/>
              <w:right w:val="single" w:sz="12" w:space="0" w:color="FFFFFF"/>
            </w:tcBorders>
            <w:shd w:val="clear" w:color="000000" w:fill="D9D9D9"/>
            <w:noWrap/>
          </w:tcPr>
          <w:p w14:paraId="4B7C700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5" w:type="dxa"/>
            <w:tcBorders>
              <w:top w:val="nil"/>
              <w:left w:val="nil"/>
              <w:bottom w:val="single" w:sz="12" w:space="0" w:color="FFFFFF"/>
              <w:right w:val="single" w:sz="12" w:space="0" w:color="FFFFFF"/>
            </w:tcBorders>
            <w:shd w:val="clear" w:color="000000" w:fill="D9D9D9"/>
            <w:noWrap/>
          </w:tcPr>
          <w:p w14:paraId="7FE1E43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bl>
    <w:p w14:paraId="4ACD59D2" w14:textId="77777777" w:rsidR="00E1521D" w:rsidRPr="00094641" w:rsidRDefault="00E1521D" w:rsidP="00E1521D">
      <w:pPr>
        <w:jc w:val="both"/>
        <w:rPr>
          <w:b/>
          <w:u w:val="single"/>
        </w:rPr>
      </w:pPr>
    </w:p>
    <w:p w14:paraId="6752764E" w14:textId="77777777" w:rsidR="00E1521D" w:rsidRPr="00094641" w:rsidRDefault="00E1521D" w:rsidP="00E1521D">
      <w:pPr>
        <w:jc w:val="both"/>
      </w:pPr>
      <w:r w:rsidRPr="00AA44BC">
        <w:rPr>
          <w:b/>
          <w:u w:val="single"/>
        </w:rPr>
        <w:lastRenderedPageBreak/>
        <w:t>Školské zariadenia v</w:t>
      </w:r>
      <w:r w:rsidRPr="00094641">
        <w:rPr>
          <w:b/>
          <w:u w:val="single"/>
        </w:rPr>
        <w:t> zriaďovateľskej pôsobnosti BSK</w:t>
      </w:r>
      <w:r w:rsidRPr="00094641">
        <w:rPr>
          <w:b/>
        </w:rPr>
        <w:t xml:space="preserve"> </w:t>
      </w:r>
      <w:r w:rsidRPr="00094641">
        <w:t xml:space="preserve">vykázali </w:t>
      </w:r>
      <w:r w:rsidRPr="00094641">
        <w:rPr>
          <w:b/>
        </w:rPr>
        <w:t>k 31.12.20</w:t>
      </w:r>
      <w:r>
        <w:rPr>
          <w:b/>
        </w:rPr>
        <w:t>20</w:t>
      </w:r>
      <w:r w:rsidRPr="00094641">
        <w:t xml:space="preserve"> </w:t>
      </w:r>
      <w:r w:rsidRPr="00094641">
        <w:rPr>
          <w:b/>
        </w:rPr>
        <w:t xml:space="preserve">celkovú výšku neobežného majetku </w:t>
      </w:r>
      <w:r w:rsidRPr="00094641">
        <w:t xml:space="preserve">v obstarávacej hodnote </w:t>
      </w:r>
      <w:r>
        <w:rPr>
          <w:rFonts w:cs="Arial"/>
          <w:b/>
          <w:color w:val="000000"/>
        </w:rPr>
        <w:t>116 337 443,46</w:t>
      </w:r>
      <w:r w:rsidRPr="00094641">
        <w:rPr>
          <w:rFonts w:cs="Arial"/>
          <w:b/>
          <w:color w:val="000000"/>
        </w:rPr>
        <w:t xml:space="preserve"> </w:t>
      </w:r>
      <w:r w:rsidRPr="00094641">
        <w:rPr>
          <w:b/>
        </w:rPr>
        <w:t>EUR</w:t>
      </w:r>
      <w:r w:rsidRPr="00094641">
        <w:t xml:space="preserve">. </w:t>
      </w:r>
      <w:r w:rsidRPr="00094641">
        <w:rPr>
          <w:b/>
        </w:rPr>
        <w:t>Zostatková hodnota neobežného majetku</w:t>
      </w:r>
      <w:r w:rsidRPr="00094641">
        <w:t>, podľa účtovnej závierky k 31.12.20</w:t>
      </w:r>
      <w:r>
        <w:t>20</w:t>
      </w:r>
      <w:r w:rsidRPr="00094641">
        <w:t xml:space="preserve"> bola vykázaná v celkovej výške </w:t>
      </w:r>
      <w:r w:rsidRPr="00094641">
        <w:rPr>
          <w:rFonts w:cs="Arial"/>
          <w:b/>
          <w:color w:val="000000"/>
        </w:rPr>
        <w:t> </w:t>
      </w:r>
      <w:r>
        <w:rPr>
          <w:rFonts w:cs="Arial"/>
          <w:b/>
          <w:color w:val="000000"/>
        </w:rPr>
        <w:t>73 996 751,49</w:t>
      </w:r>
      <w:r w:rsidRPr="00094641">
        <w:rPr>
          <w:rFonts w:cs="Arial"/>
          <w:b/>
          <w:color w:val="000000"/>
        </w:rPr>
        <w:t xml:space="preserve"> EUR</w:t>
      </w:r>
      <w:r w:rsidRPr="00094641">
        <w:t xml:space="preserve">. </w:t>
      </w:r>
    </w:p>
    <w:tbl>
      <w:tblPr>
        <w:tblW w:w="10512" w:type="dxa"/>
        <w:tblInd w:w="55" w:type="dxa"/>
        <w:tblCellMar>
          <w:left w:w="70" w:type="dxa"/>
          <w:right w:w="70" w:type="dxa"/>
        </w:tblCellMar>
        <w:tblLook w:val="04A0" w:firstRow="1" w:lastRow="0" w:firstColumn="1" w:lastColumn="0" w:noHBand="0" w:noVBand="1"/>
      </w:tblPr>
      <w:tblGrid>
        <w:gridCol w:w="3656"/>
        <w:gridCol w:w="1820"/>
        <w:gridCol w:w="1669"/>
        <w:gridCol w:w="1820"/>
        <w:gridCol w:w="1547"/>
      </w:tblGrid>
      <w:tr w:rsidR="00E1521D" w:rsidRPr="00094641" w14:paraId="23089001" w14:textId="77777777" w:rsidTr="00E1521D">
        <w:trPr>
          <w:trHeight w:val="312"/>
        </w:trPr>
        <w:tc>
          <w:tcPr>
            <w:tcW w:w="10512" w:type="dxa"/>
            <w:gridSpan w:val="5"/>
            <w:tcBorders>
              <w:top w:val="single" w:sz="12" w:space="0" w:color="FFFFFF"/>
              <w:left w:val="single" w:sz="12" w:space="0" w:color="FFFFFF"/>
              <w:bottom w:val="nil"/>
              <w:right w:val="single" w:sz="12" w:space="0" w:color="FFFFFF"/>
            </w:tcBorders>
            <w:shd w:val="clear" w:color="000000" w:fill="8DB3E2"/>
            <w:noWrap/>
            <w:vAlign w:val="center"/>
            <w:hideMark/>
          </w:tcPr>
          <w:p w14:paraId="61916CD2"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PREHĽAD O MAJETKU v správe RO</w:t>
            </w:r>
          </w:p>
        </w:tc>
      </w:tr>
      <w:tr w:rsidR="00E1521D" w:rsidRPr="00094641" w14:paraId="1CF9D90E" w14:textId="77777777" w:rsidTr="00E1521D">
        <w:trPr>
          <w:trHeight w:val="312"/>
        </w:trPr>
        <w:tc>
          <w:tcPr>
            <w:tcW w:w="10512" w:type="dxa"/>
            <w:gridSpan w:val="5"/>
            <w:tcBorders>
              <w:top w:val="nil"/>
              <w:left w:val="single" w:sz="12" w:space="0" w:color="FFFFFF"/>
              <w:bottom w:val="single" w:sz="12" w:space="0" w:color="FFFFFF"/>
              <w:right w:val="single" w:sz="12" w:space="0" w:color="FFFFFF"/>
            </w:tcBorders>
            <w:shd w:val="clear" w:color="000000" w:fill="8DB3E2"/>
            <w:noWrap/>
            <w:vAlign w:val="center"/>
            <w:hideMark/>
          </w:tcPr>
          <w:p w14:paraId="1A89366E"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v zriaďovateľskej pôsobnosti BSK v EUR – školské zariadenia</w:t>
            </w:r>
          </w:p>
        </w:tc>
      </w:tr>
      <w:tr w:rsidR="00E1521D" w:rsidRPr="00094641" w14:paraId="77E3701F" w14:textId="77777777" w:rsidTr="00E1521D">
        <w:trPr>
          <w:trHeight w:val="469"/>
        </w:trPr>
        <w:tc>
          <w:tcPr>
            <w:tcW w:w="3656" w:type="dxa"/>
            <w:tcBorders>
              <w:top w:val="nil"/>
              <w:left w:val="single" w:sz="12" w:space="0" w:color="FFFFFF"/>
              <w:bottom w:val="single" w:sz="12" w:space="0" w:color="FFFFFF"/>
              <w:right w:val="single" w:sz="12" w:space="0" w:color="FFFFFF"/>
            </w:tcBorders>
            <w:shd w:val="clear" w:color="000000" w:fill="8DB3E2"/>
            <w:noWrap/>
            <w:vAlign w:val="center"/>
            <w:hideMark/>
          </w:tcPr>
          <w:p w14:paraId="38089F51"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Názov</w:t>
            </w:r>
          </w:p>
        </w:tc>
        <w:tc>
          <w:tcPr>
            <w:tcW w:w="1820" w:type="dxa"/>
            <w:tcBorders>
              <w:top w:val="nil"/>
              <w:left w:val="nil"/>
              <w:bottom w:val="single" w:sz="12" w:space="0" w:color="FFFFFF"/>
              <w:right w:val="single" w:sz="12" w:space="0" w:color="FFFFFF"/>
            </w:tcBorders>
            <w:shd w:val="clear" w:color="000000" w:fill="8DB3E2"/>
            <w:vAlign w:val="center"/>
            <w:hideMark/>
          </w:tcPr>
          <w:p w14:paraId="3DD4A6DD"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669" w:type="dxa"/>
            <w:tcBorders>
              <w:top w:val="nil"/>
              <w:left w:val="nil"/>
              <w:bottom w:val="single" w:sz="12" w:space="0" w:color="FFFFFF"/>
              <w:right w:val="single" w:sz="12" w:space="0" w:color="FFFFFF"/>
            </w:tcBorders>
            <w:shd w:val="clear" w:color="000000" w:fill="8DB3E2"/>
            <w:vAlign w:val="center"/>
            <w:hideMark/>
          </w:tcPr>
          <w:p w14:paraId="22124E38"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820" w:type="dxa"/>
            <w:tcBorders>
              <w:top w:val="nil"/>
              <w:left w:val="nil"/>
              <w:bottom w:val="single" w:sz="12" w:space="0" w:color="FFFFFF"/>
              <w:right w:val="single" w:sz="12" w:space="0" w:color="FFFFFF"/>
            </w:tcBorders>
            <w:shd w:val="clear" w:color="000000" w:fill="8DB3E2"/>
            <w:vAlign w:val="center"/>
            <w:hideMark/>
          </w:tcPr>
          <w:p w14:paraId="334F7D55"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547" w:type="dxa"/>
            <w:tcBorders>
              <w:top w:val="nil"/>
              <w:left w:val="nil"/>
              <w:bottom w:val="single" w:sz="12" w:space="0" w:color="FFFFFF"/>
              <w:right w:val="single" w:sz="12" w:space="0" w:color="FFFFFF"/>
            </w:tcBorders>
            <w:shd w:val="clear" w:color="000000" w:fill="8DB3E2"/>
            <w:vAlign w:val="center"/>
            <w:hideMark/>
          </w:tcPr>
          <w:p w14:paraId="0B87E832"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10B4FD38" w14:textId="77777777" w:rsidTr="00E1521D">
        <w:trPr>
          <w:trHeight w:val="247"/>
        </w:trPr>
        <w:tc>
          <w:tcPr>
            <w:tcW w:w="3656" w:type="dxa"/>
            <w:tcBorders>
              <w:top w:val="nil"/>
              <w:left w:val="single" w:sz="12" w:space="0" w:color="FFFFFF"/>
              <w:bottom w:val="single" w:sz="12" w:space="0" w:color="FFFFFF"/>
              <w:right w:val="single" w:sz="12" w:space="0" w:color="FFFFFF"/>
            </w:tcBorders>
            <w:shd w:val="clear" w:color="000000" w:fill="BFBFBF"/>
            <w:vAlign w:val="center"/>
            <w:hideMark/>
          </w:tcPr>
          <w:p w14:paraId="6B514AAC"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820" w:type="dxa"/>
            <w:tcBorders>
              <w:top w:val="nil"/>
              <w:left w:val="nil"/>
              <w:bottom w:val="single" w:sz="12" w:space="0" w:color="FFFFFF"/>
              <w:right w:val="single" w:sz="12" w:space="0" w:color="FFFFFF"/>
            </w:tcBorders>
            <w:shd w:val="clear" w:color="000000" w:fill="BFBFBF"/>
            <w:noWrap/>
          </w:tcPr>
          <w:p w14:paraId="28AA9A9A"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116 337 443,46</w:t>
            </w:r>
          </w:p>
        </w:tc>
        <w:tc>
          <w:tcPr>
            <w:tcW w:w="1669" w:type="dxa"/>
            <w:tcBorders>
              <w:top w:val="nil"/>
              <w:left w:val="nil"/>
              <w:bottom w:val="single" w:sz="12" w:space="0" w:color="FFFFFF"/>
              <w:right w:val="single" w:sz="12" w:space="0" w:color="FFFFFF"/>
            </w:tcBorders>
            <w:shd w:val="clear" w:color="000000" w:fill="BFBFBF"/>
            <w:noWrap/>
          </w:tcPr>
          <w:p w14:paraId="33F9D200"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42 340 691,97</w:t>
            </w:r>
          </w:p>
        </w:tc>
        <w:tc>
          <w:tcPr>
            <w:tcW w:w="1820" w:type="dxa"/>
            <w:tcBorders>
              <w:top w:val="nil"/>
              <w:left w:val="nil"/>
              <w:bottom w:val="single" w:sz="12" w:space="0" w:color="FFFFFF"/>
              <w:right w:val="single" w:sz="12" w:space="0" w:color="FFFFFF"/>
            </w:tcBorders>
            <w:shd w:val="clear" w:color="000000" w:fill="BFBFBF"/>
            <w:noWrap/>
          </w:tcPr>
          <w:p w14:paraId="11FA0B7E"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73 996 751,49</w:t>
            </w:r>
          </w:p>
        </w:tc>
        <w:tc>
          <w:tcPr>
            <w:tcW w:w="1547" w:type="dxa"/>
            <w:tcBorders>
              <w:top w:val="nil"/>
              <w:left w:val="nil"/>
              <w:bottom w:val="single" w:sz="12" w:space="0" w:color="FFFFFF"/>
              <w:right w:val="single" w:sz="12" w:space="0" w:color="FFFFFF"/>
            </w:tcBorders>
            <w:shd w:val="clear" w:color="000000" w:fill="BFBFBF"/>
            <w:noWrap/>
          </w:tcPr>
          <w:p w14:paraId="40978ACF"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72 697 766,67</w:t>
            </w:r>
          </w:p>
        </w:tc>
      </w:tr>
      <w:tr w:rsidR="00E1521D" w:rsidRPr="00094641" w14:paraId="5B67FA58" w14:textId="77777777" w:rsidTr="00E1521D">
        <w:trPr>
          <w:trHeight w:val="247"/>
        </w:trPr>
        <w:tc>
          <w:tcPr>
            <w:tcW w:w="3656" w:type="dxa"/>
            <w:tcBorders>
              <w:top w:val="nil"/>
              <w:left w:val="single" w:sz="12" w:space="0" w:color="FFFFFF"/>
              <w:bottom w:val="single" w:sz="12" w:space="0" w:color="FFFFFF"/>
              <w:right w:val="single" w:sz="12" w:space="0" w:color="FFFFFF"/>
            </w:tcBorders>
            <w:shd w:val="clear" w:color="000000" w:fill="D9D9D9"/>
            <w:vAlign w:val="center"/>
            <w:hideMark/>
          </w:tcPr>
          <w:p w14:paraId="0A6314E7"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nehmotný majetok</w:t>
            </w:r>
          </w:p>
        </w:tc>
        <w:tc>
          <w:tcPr>
            <w:tcW w:w="1820" w:type="dxa"/>
            <w:tcBorders>
              <w:top w:val="nil"/>
              <w:left w:val="nil"/>
              <w:bottom w:val="single" w:sz="12" w:space="0" w:color="FFFFFF"/>
              <w:right w:val="single" w:sz="12" w:space="0" w:color="FFFFFF"/>
            </w:tcBorders>
            <w:shd w:val="clear" w:color="000000" w:fill="D9D9D9"/>
            <w:noWrap/>
          </w:tcPr>
          <w:p w14:paraId="1625A74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24 577,06</w:t>
            </w:r>
          </w:p>
        </w:tc>
        <w:tc>
          <w:tcPr>
            <w:tcW w:w="1669" w:type="dxa"/>
            <w:tcBorders>
              <w:top w:val="nil"/>
              <w:left w:val="nil"/>
              <w:bottom w:val="single" w:sz="12" w:space="0" w:color="FFFFFF"/>
              <w:right w:val="single" w:sz="12" w:space="0" w:color="FFFFFF"/>
            </w:tcBorders>
            <w:shd w:val="clear" w:color="000000" w:fill="D9D9D9"/>
            <w:noWrap/>
          </w:tcPr>
          <w:p w14:paraId="3D90167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24 577,06</w:t>
            </w:r>
          </w:p>
        </w:tc>
        <w:tc>
          <w:tcPr>
            <w:tcW w:w="1820" w:type="dxa"/>
            <w:tcBorders>
              <w:top w:val="nil"/>
              <w:left w:val="nil"/>
              <w:bottom w:val="single" w:sz="12" w:space="0" w:color="FFFFFF"/>
              <w:right w:val="single" w:sz="12" w:space="0" w:color="FFFFFF"/>
            </w:tcBorders>
            <w:shd w:val="clear" w:color="000000" w:fill="D9D9D9"/>
            <w:noWrap/>
          </w:tcPr>
          <w:p w14:paraId="5BBA460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47" w:type="dxa"/>
            <w:tcBorders>
              <w:top w:val="nil"/>
              <w:left w:val="nil"/>
              <w:bottom w:val="single" w:sz="12" w:space="0" w:color="FFFFFF"/>
              <w:right w:val="single" w:sz="12" w:space="0" w:color="FFFFFF"/>
            </w:tcBorders>
            <w:shd w:val="clear" w:color="000000" w:fill="D9D9D9"/>
            <w:noWrap/>
          </w:tcPr>
          <w:p w14:paraId="141DEF09"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r w:rsidR="00E1521D" w:rsidRPr="00094641" w14:paraId="1EC488CF" w14:textId="77777777" w:rsidTr="00E1521D">
        <w:trPr>
          <w:trHeight w:val="247"/>
        </w:trPr>
        <w:tc>
          <w:tcPr>
            <w:tcW w:w="3656" w:type="dxa"/>
            <w:tcBorders>
              <w:top w:val="nil"/>
              <w:left w:val="single" w:sz="12" w:space="0" w:color="FFFFFF"/>
              <w:bottom w:val="single" w:sz="12" w:space="0" w:color="FFFFFF"/>
              <w:right w:val="single" w:sz="12" w:space="0" w:color="FFFFFF"/>
            </w:tcBorders>
            <w:shd w:val="clear" w:color="000000" w:fill="D9D9D9"/>
            <w:vAlign w:val="center"/>
            <w:hideMark/>
          </w:tcPr>
          <w:p w14:paraId="3EFBE626"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hmotný majetok</w:t>
            </w:r>
          </w:p>
        </w:tc>
        <w:tc>
          <w:tcPr>
            <w:tcW w:w="1820" w:type="dxa"/>
            <w:tcBorders>
              <w:top w:val="nil"/>
              <w:left w:val="nil"/>
              <w:bottom w:val="single" w:sz="12" w:space="0" w:color="FFFFFF"/>
              <w:right w:val="single" w:sz="12" w:space="0" w:color="FFFFFF"/>
            </w:tcBorders>
            <w:shd w:val="clear" w:color="000000" w:fill="D9D9D9"/>
            <w:noWrap/>
          </w:tcPr>
          <w:p w14:paraId="60B9140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116 312 866,40</w:t>
            </w:r>
          </w:p>
        </w:tc>
        <w:tc>
          <w:tcPr>
            <w:tcW w:w="1669" w:type="dxa"/>
            <w:tcBorders>
              <w:top w:val="nil"/>
              <w:left w:val="nil"/>
              <w:bottom w:val="single" w:sz="12" w:space="0" w:color="FFFFFF"/>
              <w:right w:val="single" w:sz="12" w:space="0" w:color="FFFFFF"/>
            </w:tcBorders>
            <w:shd w:val="clear" w:color="000000" w:fill="D9D9D9"/>
            <w:noWrap/>
          </w:tcPr>
          <w:p w14:paraId="37420A5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42 316 114,91</w:t>
            </w:r>
          </w:p>
        </w:tc>
        <w:tc>
          <w:tcPr>
            <w:tcW w:w="1820" w:type="dxa"/>
            <w:tcBorders>
              <w:top w:val="nil"/>
              <w:left w:val="nil"/>
              <w:bottom w:val="single" w:sz="12" w:space="0" w:color="FFFFFF"/>
              <w:right w:val="single" w:sz="12" w:space="0" w:color="FFFFFF"/>
            </w:tcBorders>
            <w:shd w:val="clear" w:color="000000" w:fill="D9D9D9"/>
            <w:noWrap/>
          </w:tcPr>
          <w:p w14:paraId="7B927A9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73 996 751,49</w:t>
            </w:r>
          </w:p>
        </w:tc>
        <w:tc>
          <w:tcPr>
            <w:tcW w:w="1547" w:type="dxa"/>
            <w:tcBorders>
              <w:top w:val="nil"/>
              <w:left w:val="nil"/>
              <w:bottom w:val="single" w:sz="12" w:space="0" w:color="FFFFFF"/>
              <w:right w:val="single" w:sz="12" w:space="0" w:color="FFFFFF"/>
            </w:tcBorders>
            <w:shd w:val="clear" w:color="000000" w:fill="D9D9D9"/>
            <w:noWrap/>
          </w:tcPr>
          <w:p w14:paraId="3D77249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72 697 766,67</w:t>
            </w:r>
          </w:p>
        </w:tc>
      </w:tr>
      <w:tr w:rsidR="00E1521D" w:rsidRPr="00094641" w14:paraId="6B346B68" w14:textId="77777777" w:rsidTr="00E1521D">
        <w:trPr>
          <w:trHeight w:val="247"/>
        </w:trPr>
        <w:tc>
          <w:tcPr>
            <w:tcW w:w="3656" w:type="dxa"/>
            <w:tcBorders>
              <w:top w:val="nil"/>
              <w:left w:val="single" w:sz="12" w:space="0" w:color="FFFFFF"/>
              <w:bottom w:val="single" w:sz="12" w:space="0" w:color="FFFFFF"/>
              <w:right w:val="single" w:sz="12" w:space="0" w:color="FFFFFF"/>
            </w:tcBorders>
            <w:shd w:val="clear" w:color="000000" w:fill="D9D9D9"/>
            <w:vAlign w:val="center"/>
            <w:hideMark/>
          </w:tcPr>
          <w:p w14:paraId="74C124A5"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finančný majetok</w:t>
            </w:r>
          </w:p>
        </w:tc>
        <w:tc>
          <w:tcPr>
            <w:tcW w:w="1820" w:type="dxa"/>
            <w:tcBorders>
              <w:top w:val="nil"/>
              <w:left w:val="nil"/>
              <w:bottom w:val="single" w:sz="12" w:space="0" w:color="FFFFFF"/>
              <w:right w:val="single" w:sz="12" w:space="0" w:color="FFFFFF"/>
            </w:tcBorders>
            <w:shd w:val="clear" w:color="000000" w:fill="D9D9D9"/>
            <w:noWrap/>
          </w:tcPr>
          <w:p w14:paraId="30A7B7A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69" w:type="dxa"/>
            <w:tcBorders>
              <w:top w:val="nil"/>
              <w:left w:val="nil"/>
              <w:bottom w:val="single" w:sz="12" w:space="0" w:color="FFFFFF"/>
              <w:right w:val="single" w:sz="12" w:space="0" w:color="FFFFFF"/>
            </w:tcBorders>
            <w:shd w:val="clear" w:color="000000" w:fill="D9D9D9"/>
            <w:noWrap/>
          </w:tcPr>
          <w:p w14:paraId="2D3DD9F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820" w:type="dxa"/>
            <w:tcBorders>
              <w:top w:val="nil"/>
              <w:left w:val="nil"/>
              <w:bottom w:val="single" w:sz="12" w:space="0" w:color="FFFFFF"/>
              <w:right w:val="single" w:sz="12" w:space="0" w:color="FFFFFF"/>
            </w:tcBorders>
            <w:shd w:val="clear" w:color="000000" w:fill="D9D9D9"/>
            <w:noWrap/>
          </w:tcPr>
          <w:p w14:paraId="38E08199"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47" w:type="dxa"/>
            <w:tcBorders>
              <w:top w:val="nil"/>
              <w:left w:val="nil"/>
              <w:bottom w:val="single" w:sz="12" w:space="0" w:color="FFFFFF"/>
              <w:right w:val="single" w:sz="12" w:space="0" w:color="FFFFFF"/>
            </w:tcBorders>
            <w:shd w:val="clear" w:color="000000" w:fill="D9D9D9"/>
            <w:noWrap/>
          </w:tcPr>
          <w:p w14:paraId="17D8976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bl>
    <w:p w14:paraId="550968B2" w14:textId="77777777" w:rsidR="00E1521D" w:rsidRPr="00094641" w:rsidRDefault="00E1521D" w:rsidP="00E1521D">
      <w:pPr>
        <w:pStyle w:val="tl2"/>
      </w:pPr>
    </w:p>
    <w:p w14:paraId="65024E80" w14:textId="77777777" w:rsidR="00E1521D" w:rsidRPr="00094641" w:rsidRDefault="00E1521D" w:rsidP="00E1521D">
      <w:pPr>
        <w:pStyle w:val="tl2"/>
      </w:pPr>
      <w:r w:rsidRPr="00094641">
        <w:t>I.</w:t>
      </w:r>
      <w:r w:rsidRPr="00AA44BC">
        <w:t xml:space="preserve">2 </w:t>
      </w:r>
      <w:r w:rsidRPr="00687C60">
        <w:t>Príspevkové organizácie</w:t>
      </w:r>
      <w:r w:rsidRPr="00094641">
        <w:t xml:space="preserve"> </w:t>
      </w:r>
    </w:p>
    <w:p w14:paraId="248A7C8A" w14:textId="77777777" w:rsidR="00E1521D" w:rsidRPr="00094641" w:rsidRDefault="00E1521D" w:rsidP="00E1521D">
      <w:pPr>
        <w:pStyle w:val="tl2"/>
      </w:pPr>
    </w:p>
    <w:p w14:paraId="6FD86D28" w14:textId="77777777" w:rsidR="00E1521D" w:rsidRPr="00094641" w:rsidRDefault="00E1521D" w:rsidP="00E1521D">
      <w:pPr>
        <w:jc w:val="both"/>
      </w:pPr>
      <w:r w:rsidRPr="00094641">
        <w:rPr>
          <w:b/>
        </w:rPr>
        <w:t>Príspevkové organizácie v zriaďovateľskej pôsobnosti BSK</w:t>
      </w:r>
      <w:r w:rsidRPr="00094641">
        <w:t xml:space="preserve"> k 31.12.20</w:t>
      </w:r>
      <w:r>
        <w:t>20</w:t>
      </w:r>
      <w:r w:rsidRPr="00094641">
        <w:t xml:space="preserve"> v účtovnej evidencii evidujú dlhodobý majetok v celkovej obstarávacej hodnote </w:t>
      </w:r>
      <w:r>
        <w:rPr>
          <w:b/>
        </w:rPr>
        <w:t>63 639 507,70</w:t>
      </w:r>
      <w:r w:rsidRPr="00094641">
        <w:rPr>
          <w:b/>
        </w:rPr>
        <w:t xml:space="preserve"> EUR</w:t>
      </w:r>
      <w:r w:rsidRPr="00094641">
        <w:t xml:space="preserve">. Celková hodnota majetku po odpočítaní </w:t>
      </w:r>
      <w:r>
        <w:t>korekcii</w:t>
      </w:r>
      <w:r w:rsidRPr="00094641">
        <w:t xml:space="preserve">, čiže zostatková hodnota majetku za príspevkové organizácie bola vo výške </w:t>
      </w:r>
      <w:r>
        <w:rPr>
          <w:b/>
        </w:rPr>
        <w:t>37 866 277,11</w:t>
      </w:r>
      <w:r w:rsidRPr="00094641">
        <w:rPr>
          <w:b/>
        </w:rPr>
        <w:t xml:space="preserve"> EUR. </w:t>
      </w:r>
    </w:p>
    <w:tbl>
      <w:tblPr>
        <w:tblW w:w="10668" w:type="dxa"/>
        <w:tblInd w:w="55" w:type="dxa"/>
        <w:tblCellMar>
          <w:left w:w="70" w:type="dxa"/>
          <w:right w:w="70" w:type="dxa"/>
        </w:tblCellMar>
        <w:tblLook w:val="04A0" w:firstRow="1" w:lastRow="0" w:firstColumn="1" w:lastColumn="0" w:noHBand="0" w:noVBand="1"/>
      </w:tblPr>
      <w:tblGrid>
        <w:gridCol w:w="3845"/>
        <w:gridCol w:w="1755"/>
        <w:gridCol w:w="1646"/>
        <w:gridCol w:w="1822"/>
        <w:gridCol w:w="1600"/>
      </w:tblGrid>
      <w:tr w:rsidR="00E1521D" w:rsidRPr="00094641" w14:paraId="2D6C4D04" w14:textId="77777777" w:rsidTr="00E1521D">
        <w:trPr>
          <w:trHeight w:val="704"/>
        </w:trPr>
        <w:tc>
          <w:tcPr>
            <w:tcW w:w="10668" w:type="dxa"/>
            <w:gridSpan w:val="5"/>
            <w:tcBorders>
              <w:top w:val="single" w:sz="12" w:space="0" w:color="FFFFFF"/>
              <w:left w:val="single" w:sz="12" w:space="0" w:color="FFFFFF"/>
              <w:bottom w:val="single" w:sz="12" w:space="0" w:color="FFFFFF"/>
              <w:right w:val="single" w:sz="12" w:space="0" w:color="FFFFFF"/>
            </w:tcBorders>
            <w:shd w:val="clear" w:color="000000" w:fill="8DB3E2"/>
            <w:noWrap/>
            <w:vAlign w:val="center"/>
            <w:hideMark/>
          </w:tcPr>
          <w:p w14:paraId="5CE08C1E"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PREHĽAD O MAJETKU v správe príspevkových organizácií v zriaďovateľskej pôsobnosti BSK v EUR</w:t>
            </w:r>
          </w:p>
        </w:tc>
      </w:tr>
      <w:tr w:rsidR="00E1521D" w:rsidRPr="00094641" w14:paraId="4EB1F0BF" w14:textId="77777777" w:rsidTr="00E1521D">
        <w:trPr>
          <w:trHeight w:val="506"/>
        </w:trPr>
        <w:tc>
          <w:tcPr>
            <w:tcW w:w="3845" w:type="dxa"/>
            <w:tcBorders>
              <w:top w:val="nil"/>
              <w:left w:val="single" w:sz="12" w:space="0" w:color="FFFFFF"/>
              <w:bottom w:val="single" w:sz="12" w:space="0" w:color="FFFFFF"/>
              <w:right w:val="single" w:sz="12" w:space="0" w:color="FFFFFF"/>
            </w:tcBorders>
            <w:shd w:val="clear" w:color="000000" w:fill="8DB3E2"/>
            <w:vAlign w:val="center"/>
            <w:hideMark/>
          </w:tcPr>
          <w:p w14:paraId="2ED35E6F"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Druh majetku</w:t>
            </w:r>
          </w:p>
        </w:tc>
        <w:tc>
          <w:tcPr>
            <w:tcW w:w="1755" w:type="dxa"/>
            <w:tcBorders>
              <w:top w:val="nil"/>
              <w:left w:val="nil"/>
              <w:bottom w:val="single" w:sz="12" w:space="0" w:color="FFFFFF"/>
              <w:right w:val="single" w:sz="12" w:space="0" w:color="FFFFFF"/>
            </w:tcBorders>
            <w:shd w:val="clear" w:color="000000" w:fill="8DB3E2"/>
            <w:vAlign w:val="center"/>
            <w:hideMark/>
          </w:tcPr>
          <w:p w14:paraId="7DDA82D7"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646" w:type="dxa"/>
            <w:tcBorders>
              <w:top w:val="nil"/>
              <w:left w:val="nil"/>
              <w:bottom w:val="single" w:sz="12" w:space="0" w:color="FFFFFF"/>
              <w:right w:val="single" w:sz="12" w:space="0" w:color="FFFFFF"/>
            </w:tcBorders>
            <w:shd w:val="clear" w:color="000000" w:fill="8DB3E2"/>
            <w:vAlign w:val="center"/>
            <w:hideMark/>
          </w:tcPr>
          <w:p w14:paraId="42DA6CFD"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822" w:type="dxa"/>
            <w:tcBorders>
              <w:top w:val="nil"/>
              <w:left w:val="nil"/>
              <w:bottom w:val="single" w:sz="12" w:space="0" w:color="FFFFFF"/>
              <w:right w:val="single" w:sz="12" w:space="0" w:color="FFFFFF"/>
            </w:tcBorders>
            <w:shd w:val="clear" w:color="000000" w:fill="8DB3E2"/>
            <w:vAlign w:val="center"/>
            <w:hideMark/>
          </w:tcPr>
          <w:p w14:paraId="5093FB8D"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597" w:type="dxa"/>
            <w:tcBorders>
              <w:top w:val="nil"/>
              <w:left w:val="nil"/>
              <w:bottom w:val="single" w:sz="12" w:space="0" w:color="FFFFFF"/>
              <w:right w:val="single" w:sz="12" w:space="0" w:color="FFFFFF"/>
            </w:tcBorders>
            <w:shd w:val="clear" w:color="000000" w:fill="8DB3E2"/>
            <w:vAlign w:val="center"/>
            <w:hideMark/>
          </w:tcPr>
          <w:p w14:paraId="582641AA"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19</w:t>
            </w:r>
          </w:p>
        </w:tc>
      </w:tr>
      <w:tr w:rsidR="00E1521D" w:rsidRPr="00094641" w14:paraId="5056577F" w14:textId="77777777" w:rsidTr="00E1521D">
        <w:trPr>
          <w:trHeight w:val="267"/>
        </w:trPr>
        <w:tc>
          <w:tcPr>
            <w:tcW w:w="3845" w:type="dxa"/>
            <w:tcBorders>
              <w:top w:val="nil"/>
              <w:left w:val="single" w:sz="12" w:space="0" w:color="FFFFFF"/>
              <w:bottom w:val="single" w:sz="12" w:space="0" w:color="FFFFFF"/>
              <w:right w:val="single" w:sz="12" w:space="0" w:color="FFFFFF"/>
            </w:tcBorders>
            <w:shd w:val="clear" w:color="000000" w:fill="BFBFBF"/>
            <w:vAlign w:val="center"/>
            <w:hideMark/>
          </w:tcPr>
          <w:p w14:paraId="1B6DAEFF"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755" w:type="dxa"/>
            <w:tcBorders>
              <w:top w:val="nil"/>
              <w:left w:val="nil"/>
              <w:bottom w:val="single" w:sz="12" w:space="0" w:color="FFFFFF"/>
              <w:right w:val="single" w:sz="12" w:space="0" w:color="FFFFFF"/>
            </w:tcBorders>
            <w:shd w:val="clear" w:color="000000" w:fill="BFBFBF"/>
            <w:noWrap/>
          </w:tcPr>
          <w:p w14:paraId="59DF3DC8"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63 639 507,70</w:t>
            </w:r>
          </w:p>
        </w:tc>
        <w:tc>
          <w:tcPr>
            <w:tcW w:w="1646" w:type="dxa"/>
            <w:tcBorders>
              <w:top w:val="nil"/>
              <w:left w:val="nil"/>
              <w:bottom w:val="single" w:sz="12" w:space="0" w:color="FFFFFF"/>
              <w:right w:val="single" w:sz="12" w:space="0" w:color="FFFFFF"/>
            </w:tcBorders>
            <w:shd w:val="clear" w:color="000000" w:fill="BFBFBF"/>
            <w:noWrap/>
          </w:tcPr>
          <w:p w14:paraId="645216FE"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25 773 230,59</w:t>
            </w:r>
          </w:p>
        </w:tc>
        <w:tc>
          <w:tcPr>
            <w:tcW w:w="1822" w:type="dxa"/>
            <w:tcBorders>
              <w:top w:val="nil"/>
              <w:left w:val="nil"/>
              <w:bottom w:val="single" w:sz="12" w:space="0" w:color="FFFFFF"/>
              <w:right w:val="single" w:sz="12" w:space="0" w:color="FFFFFF"/>
            </w:tcBorders>
            <w:shd w:val="clear" w:color="000000" w:fill="BFBFBF"/>
            <w:noWrap/>
          </w:tcPr>
          <w:p w14:paraId="3C48F959"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37 866 277,11</w:t>
            </w:r>
          </w:p>
        </w:tc>
        <w:tc>
          <w:tcPr>
            <w:tcW w:w="1597" w:type="dxa"/>
            <w:tcBorders>
              <w:top w:val="nil"/>
              <w:left w:val="nil"/>
              <w:bottom w:val="single" w:sz="12" w:space="0" w:color="FFFFFF"/>
              <w:right w:val="single" w:sz="12" w:space="0" w:color="FFFFFF"/>
            </w:tcBorders>
            <w:shd w:val="clear" w:color="000000" w:fill="BFBFBF"/>
            <w:noWrap/>
          </w:tcPr>
          <w:p w14:paraId="56929476"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37 357 392,16</w:t>
            </w:r>
          </w:p>
        </w:tc>
      </w:tr>
      <w:tr w:rsidR="00E1521D" w:rsidRPr="00094641" w14:paraId="7448AC29" w14:textId="77777777" w:rsidTr="00E1521D">
        <w:trPr>
          <w:trHeight w:val="267"/>
        </w:trPr>
        <w:tc>
          <w:tcPr>
            <w:tcW w:w="3845" w:type="dxa"/>
            <w:tcBorders>
              <w:top w:val="nil"/>
              <w:left w:val="single" w:sz="12" w:space="0" w:color="FFFFFF"/>
              <w:bottom w:val="single" w:sz="12" w:space="0" w:color="FFFFFF"/>
              <w:right w:val="single" w:sz="12" w:space="0" w:color="FFFFFF"/>
            </w:tcBorders>
            <w:shd w:val="clear" w:color="000000" w:fill="D9D9D9"/>
            <w:vAlign w:val="center"/>
            <w:hideMark/>
          </w:tcPr>
          <w:p w14:paraId="1B677ACE"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nehmotný majetok</w:t>
            </w:r>
          </w:p>
        </w:tc>
        <w:tc>
          <w:tcPr>
            <w:tcW w:w="1755" w:type="dxa"/>
            <w:tcBorders>
              <w:top w:val="nil"/>
              <w:left w:val="nil"/>
              <w:bottom w:val="single" w:sz="12" w:space="0" w:color="FFFFFF"/>
              <w:right w:val="single" w:sz="12" w:space="0" w:color="FFFFFF"/>
            </w:tcBorders>
            <w:shd w:val="clear" w:color="000000" w:fill="D9D9D9"/>
            <w:noWrap/>
          </w:tcPr>
          <w:p w14:paraId="6BDEF83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129 925,69</w:t>
            </w:r>
          </w:p>
        </w:tc>
        <w:tc>
          <w:tcPr>
            <w:tcW w:w="1646" w:type="dxa"/>
            <w:tcBorders>
              <w:top w:val="nil"/>
              <w:left w:val="nil"/>
              <w:bottom w:val="single" w:sz="12" w:space="0" w:color="FFFFFF"/>
              <w:right w:val="single" w:sz="12" w:space="0" w:color="FFFFFF"/>
            </w:tcBorders>
            <w:shd w:val="clear" w:color="000000" w:fill="D9D9D9"/>
            <w:noWrap/>
          </w:tcPr>
          <w:p w14:paraId="63E6405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95 107,69</w:t>
            </w:r>
          </w:p>
        </w:tc>
        <w:tc>
          <w:tcPr>
            <w:tcW w:w="1822" w:type="dxa"/>
            <w:tcBorders>
              <w:top w:val="nil"/>
              <w:left w:val="nil"/>
              <w:bottom w:val="single" w:sz="12" w:space="0" w:color="FFFFFF"/>
              <w:right w:val="single" w:sz="12" w:space="0" w:color="FFFFFF"/>
            </w:tcBorders>
            <w:shd w:val="clear" w:color="000000" w:fill="D9D9D9"/>
            <w:noWrap/>
          </w:tcPr>
          <w:p w14:paraId="133EE69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34 818,00</w:t>
            </w:r>
          </w:p>
        </w:tc>
        <w:tc>
          <w:tcPr>
            <w:tcW w:w="1597" w:type="dxa"/>
            <w:tcBorders>
              <w:top w:val="nil"/>
              <w:left w:val="nil"/>
              <w:bottom w:val="single" w:sz="12" w:space="0" w:color="FFFFFF"/>
              <w:right w:val="single" w:sz="12" w:space="0" w:color="FFFFFF"/>
            </w:tcBorders>
            <w:shd w:val="clear" w:color="000000" w:fill="D9D9D9"/>
            <w:noWrap/>
          </w:tcPr>
          <w:p w14:paraId="6F218719"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27 634,16</w:t>
            </w:r>
          </w:p>
        </w:tc>
      </w:tr>
      <w:tr w:rsidR="00E1521D" w:rsidRPr="00094641" w14:paraId="77A8758E" w14:textId="77777777" w:rsidTr="00E1521D">
        <w:trPr>
          <w:trHeight w:val="267"/>
        </w:trPr>
        <w:tc>
          <w:tcPr>
            <w:tcW w:w="3845" w:type="dxa"/>
            <w:tcBorders>
              <w:top w:val="nil"/>
              <w:left w:val="single" w:sz="12" w:space="0" w:color="FFFFFF"/>
              <w:bottom w:val="single" w:sz="12" w:space="0" w:color="FFFFFF"/>
              <w:right w:val="single" w:sz="12" w:space="0" w:color="FFFFFF"/>
            </w:tcBorders>
            <w:shd w:val="clear" w:color="000000" w:fill="D9D9D9"/>
            <w:vAlign w:val="center"/>
            <w:hideMark/>
          </w:tcPr>
          <w:p w14:paraId="23019842"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hmotný majetok</w:t>
            </w:r>
          </w:p>
        </w:tc>
        <w:tc>
          <w:tcPr>
            <w:tcW w:w="1755" w:type="dxa"/>
            <w:tcBorders>
              <w:top w:val="nil"/>
              <w:left w:val="nil"/>
              <w:bottom w:val="single" w:sz="12" w:space="0" w:color="FFFFFF"/>
              <w:right w:val="single" w:sz="12" w:space="0" w:color="FFFFFF"/>
            </w:tcBorders>
            <w:shd w:val="clear" w:color="000000" w:fill="D9D9D9"/>
            <w:noWrap/>
          </w:tcPr>
          <w:p w14:paraId="0F3ADD1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63 509 582,01</w:t>
            </w:r>
          </w:p>
        </w:tc>
        <w:tc>
          <w:tcPr>
            <w:tcW w:w="1646" w:type="dxa"/>
            <w:tcBorders>
              <w:top w:val="nil"/>
              <w:left w:val="nil"/>
              <w:bottom w:val="single" w:sz="12" w:space="0" w:color="FFFFFF"/>
              <w:right w:val="single" w:sz="12" w:space="0" w:color="FFFFFF"/>
            </w:tcBorders>
            <w:shd w:val="clear" w:color="000000" w:fill="D9D9D9"/>
            <w:noWrap/>
          </w:tcPr>
          <w:p w14:paraId="60408F4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25 678 122,90</w:t>
            </w:r>
          </w:p>
        </w:tc>
        <w:tc>
          <w:tcPr>
            <w:tcW w:w="1822" w:type="dxa"/>
            <w:tcBorders>
              <w:top w:val="nil"/>
              <w:left w:val="nil"/>
              <w:bottom w:val="single" w:sz="12" w:space="0" w:color="FFFFFF"/>
              <w:right w:val="single" w:sz="12" w:space="0" w:color="FFFFFF"/>
            </w:tcBorders>
            <w:shd w:val="clear" w:color="000000" w:fill="D9D9D9"/>
            <w:noWrap/>
          </w:tcPr>
          <w:p w14:paraId="27C55B0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37 831 459,11</w:t>
            </w:r>
          </w:p>
        </w:tc>
        <w:tc>
          <w:tcPr>
            <w:tcW w:w="1597" w:type="dxa"/>
            <w:tcBorders>
              <w:top w:val="nil"/>
              <w:left w:val="nil"/>
              <w:bottom w:val="single" w:sz="12" w:space="0" w:color="FFFFFF"/>
              <w:right w:val="single" w:sz="12" w:space="0" w:color="FFFFFF"/>
            </w:tcBorders>
            <w:shd w:val="clear" w:color="000000" w:fill="D9D9D9"/>
            <w:noWrap/>
          </w:tcPr>
          <w:p w14:paraId="5942EDC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37 329 758,00</w:t>
            </w:r>
          </w:p>
        </w:tc>
      </w:tr>
      <w:tr w:rsidR="00E1521D" w:rsidRPr="00094641" w14:paraId="6611A467" w14:textId="77777777" w:rsidTr="00E1521D">
        <w:trPr>
          <w:trHeight w:val="200"/>
        </w:trPr>
        <w:tc>
          <w:tcPr>
            <w:tcW w:w="3845" w:type="dxa"/>
            <w:tcBorders>
              <w:top w:val="nil"/>
              <w:left w:val="single" w:sz="12" w:space="0" w:color="FFFFFF"/>
              <w:bottom w:val="single" w:sz="12" w:space="0" w:color="FFFFFF"/>
              <w:right w:val="single" w:sz="12" w:space="0" w:color="FFFFFF"/>
            </w:tcBorders>
            <w:shd w:val="clear" w:color="000000" w:fill="D9D9D9"/>
            <w:vAlign w:val="center"/>
            <w:hideMark/>
          </w:tcPr>
          <w:p w14:paraId="14B2C45F"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finančný majetok</w:t>
            </w:r>
          </w:p>
        </w:tc>
        <w:tc>
          <w:tcPr>
            <w:tcW w:w="1755" w:type="dxa"/>
            <w:tcBorders>
              <w:top w:val="nil"/>
              <w:left w:val="nil"/>
              <w:bottom w:val="single" w:sz="12" w:space="0" w:color="FFFFFF"/>
              <w:right w:val="single" w:sz="12" w:space="0" w:color="FFFFFF"/>
            </w:tcBorders>
            <w:shd w:val="clear" w:color="000000" w:fill="D9D9D9"/>
            <w:noWrap/>
          </w:tcPr>
          <w:p w14:paraId="292426B0"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46" w:type="dxa"/>
            <w:tcBorders>
              <w:top w:val="nil"/>
              <w:left w:val="nil"/>
              <w:bottom w:val="single" w:sz="12" w:space="0" w:color="FFFFFF"/>
              <w:right w:val="single" w:sz="12" w:space="0" w:color="FFFFFF"/>
            </w:tcBorders>
            <w:shd w:val="clear" w:color="000000" w:fill="D9D9D9"/>
            <w:noWrap/>
          </w:tcPr>
          <w:p w14:paraId="6AECEDE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822" w:type="dxa"/>
            <w:tcBorders>
              <w:top w:val="nil"/>
              <w:left w:val="nil"/>
              <w:bottom w:val="single" w:sz="12" w:space="0" w:color="FFFFFF"/>
              <w:right w:val="single" w:sz="12" w:space="0" w:color="FFFFFF"/>
            </w:tcBorders>
            <w:shd w:val="clear" w:color="000000" w:fill="D9D9D9"/>
            <w:noWrap/>
          </w:tcPr>
          <w:p w14:paraId="1E707B9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97" w:type="dxa"/>
            <w:tcBorders>
              <w:top w:val="nil"/>
              <w:left w:val="nil"/>
              <w:bottom w:val="single" w:sz="12" w:space="0" w:color="FFFFFF"/>
              <w:right w:val="single" w:sz="12" w:space="0" w:color="FFFFFF"/>
            </w:tcBorders>
            <w:shd w:val="clear" w:color="000000" w:fill="D9D9D9"/>
            <w:noWrap/>
          </w:tcPr>
          <w:p w14:paraId="5C41DEEA"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bl>
    <w:p w14:paraId="4DDCE4C0" w14:textId="77777777" w:rsidR="00E1521D" w:rsidRPr="00094641" w:rsidRDefault="00E1521D" w:rsidP="00E1521D">
      <w:pPr>
        <w:ind w:firstLine="708"/>
        <w:jc w:val="both"/>
        <w:rPr>
          <w:b/>
          <w:u w:val="single"/>
        </w:rPr>
      </w:pPr>
    </w:p>
    <w:p w14:paraId="2E4071B8" w14:textId="77777777" w:rsidR="00E1521D" w:rsidRPr="00094641" w:rsidRDefault="00E1521D" w:rsidP="00E1521D">
      <w:pPr>
        <w:jc w:val="both"/>
      </w:pPr>
      <w:r w:rsidRPr="00094641">
        <w:rPr>
          <w:b/>
          <w:u w:val="single"/>
        </w:rPr>
        <w:t>Školské zariadenia v zriaďovateľskej pôsobnosti BSK</w:t>
      </w:r>
      <w:r w:rsidRPr="00094641">
        <w:rPr>
          <w:b/>
        </w:rPr>
        <w:t xml:space="preserve"> </w:t>
      </w:r>
      <w:r w:rsidRPr="00094641">
        <w:t xml:space="preserve">vykázali </w:t>
      </w:r>
      <w:r w:rsidRPr="00094641">
        <w:rPr>
          <w:b/>
        </w:rPr>
        <w:t>k 31.12.20</w:t>
      </w:r>
      <w:r>
        <w:rPr>
          <w:b/>
        </w:rPr>
        <w:t>20</w:t>
      </w:r>
      <w:r w:rsidRPr="00094641">
        <w:t xml:space="preserve"> </w:t>
      </w:r>
      <w:r w:rsidRPr="00094641">
        <w:rPr>
          <w:b/>
        </w:rPr>
        <w:t xml:space="preserve">celkovú výšku neobežného majetku </w:t>
      </w:r>
      <w:r w:rsidRPr="00094641">
        <w:t xml:space="preserve">v obstarávacej hodnote </w:t>
      </w:r>
      <w:r>
        <w:rPr>
          <w:rFonts w:cs="Arial"/>
          <w:b/>
          <w:color w:val="000000"/>
        </w:rPr>
        <w:t>47 616 167,17</w:t>
      </w:r>
      <w:r w:rsidRPr="00094641">
        <w:rPr>
          <w:rFonts w:cs="Arial"/>
          <w:b/>
          <w:color w:val="000000"/>
        </w:rPr>
        <w:t xml:space="preserve"> </w:t>
      </w:r>
      <w:r w:rsidRPr="00094641">
        <w:rPr>
          <w:b/>
        </w:rPr>
        <w:t>EUR</w:t>
      </w:r>
      <w:r w:rsidRPr="00094641">
        <w:t xml:space="preserve">. </w:t>
      </w:r>
      <w:r w:rsidRPr="00094641">
        <w:rPr>
          <w:b/>
        </w:rPr>
        <w:t>Zostatková hodnota neobežného majetku</w:t>
      </w:r>
      <w:r w:rsidRPr="00094641">
        <w:t>, podľa účtovnej závierky k 31.12.20</w:t>
      </w:r>
      <w:r>
        <w:t>20</w:t>
      </w:r>
      <w:r w:rsidRPr="00094641">
        <w:t xml:space="preserve"> bola vykázaná v celkovej výške </w:t>
      </w:r>
      <w:r>
        <w:rPr>
          <w:rFonts w:cs="Arial"/>
          <w:b/>
          <w:color w:val="000000"/>
        </w:rPr>
        <w:t>26 085 813,55</w:t>
      </w:r>
      <w:r w:rsidRPr="00094641">
        <w:rPr>
          <w:rFonts w:cs="Arial"/>
          <w:b/>
          <w:color w:val="000000"/>
        </w:rPr>
        <w:t xml:space="preserve"> EUR</w:t>
      </w:r>
      <w:r w:rsidRPr="00094641">
        <w:t xml:space="preserve">. </w:t>
      </w:r>
    </w:p>
    <w:tbl>
      <w:tblPr>
        <w:tblW w:w="10517" w:type="dxa"/>
        <w:tblInd w:w="55" w:type="dxa"/>
        <w:tblCellMar>
          <w:left w:w="70" w:type="dxa"/>
          <w:right w:w="70" w:type="dxa"/>
        </w:tblCellMar>
        <w:tblLook w:val="04A0" w:firstRow="1" w:lastRow="0" w:firstColumn="1" w:lastColumn="0" w:noHBand="0" w:noVBand="1"/>
      </w:tblPr>
      <w:tblGrid>
        <w:gridCol w:w="3791"/>
        <w:gridCol w:w="1729"/>
        <w:gridCol w:w="1729"/>
        <w:gridCol w:w="1690"/>
        <w:gridCol w:w="1578"/>
      </w:tblGrid>
      <w:tr w:rsidR="00E1521D" w:rsidRPr="00094641" w14:paraId="278E722B" w14:textId="77777777" w:rsidTr="00E1521D">
        <w:trPr>
          <w:trHeight w:val="289"/>
        </w:trPr>
        <w:tc>
          <w:tcPr>
            <w:tcW w:w="10517" w:type="dxa"/>
            <w:gridSpan w:val="5"/>
            <w:tcBorders>
              <w:top w:val="single" w:sz="12" w:space="0" w:color="FFFFFF"/>
              <w:left w:val="single" w:sz="12" w:space="0" w:color="FFFFFF"/>
              <w:bottom w:val="nil"/>
              <w:right w:val="single" w:sz="12" w:space="0" w:color="FFFFFF"/>
            </w:tcBorders>
            <w:shd w:val="clear" w:color="000000" w:fill="8DB3E2"/>
            <w:noWrap/>
            <w:vAlign w:val="center"/>
            <w:hideMark/>
          </w:tcPr>
          <w:p w14:paraId="79575CC2"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 xml:space="preserve">PREHĽAD O MAJETKU v správe príspevkových organizácií </w:t>
            </w:r>
          </w:p>
        </w:tc>
      </w:tr>
      <w:tr w:rsidR="00E1521D" w:rsidRPr="00094641" w14:paraId="121F65C1" w14:textId="77777777" w:rsidTr="00E1521D">
        <w:trPr>
          <w:trHeight w:val="289"/>
        </w:trPr>
        <w:tc>
          <w:tcPr>
            <w:tcW w:w="10517" w:type="dxa"/>
            <w:gridSpan w:val="5"/>
            <w:tcBorders>
              <w:top w:val="nil"/>
              <w:left w:val="single" w:sz="12" w:space="0" w:color="FFFFFF"/>
              <w:bottom w:val="single" w:sz="12" w:space="0" w:color="FFFFFF"/>
              <w:right w:val="single" w:sz="12" w:space="0" w:color="FFFFFF"/>
            </w:tcBorders>
            <w:shd w:val="clear" w:color="000000" w:fill="8DB3E2"/>
            <w:noWrap/>
            <w:vAlign w:val="center"/>
            <w:hideMark/>
          </w:tcPr>
          <w:p w14:paraId="1EBEA07C"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v zriaďovateľskej pôsobnosti BSK v EUR – školské zariadenia</w:t>
            </w:r>
          </w:p>
        </w:tc>
      </w:tr>
      <w:tr w:rsidR="00E1521D" w:rsidRPr="00094641" w14:paraId="416F57B1" w14:textId="77777777" w:rsidTr="00E1521D">
        <w:trPr>
          <w:trHeight w:val="580"/>
        </w:trPr>
        <w:tc>
          <w:tcPr>
            <w:tcW w:w="3791" w:type="dxa"/>
            <w:tcBorders>
              <w:top w:val="nil"/>
              <w:left w:val="single" w:sz="12" w:space="0" w:color="FFFFFF"/>
              <w:bottom w:val="single" w:sz="12" w:space="0" w:color="FFFFFF"/>
              <w:right w:val="single" w:sz="12" w:space="0" w:color="FFFFFF"/>
            </w:tcBorders>
            <w:shd w:val="clear" w:color="000000" w:fill="8DB3E2"/>
            <w:vAlign w:val="center"/>
            <w:hideMark/>
          </w:tcPr>
          <w:p w14:paraId="598F5323"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Druh majetku</w:t>
            </w:r>
          </w:p>
        </w:tc>
        <w:tc>
          <w:tcPr>
            <w:tcW w:w="1729" w:type="dxa"/>
            <w:tcBorders>
              <w:top w:val="nil"/>
              <w:left w:val="nil"/>
              <w:bottom w:val="single" w:sz="12" w:space="0" w:color="FFFFFF"/>
              <w:right w:val="single" w:sz="12" w:space="0" w:color="FFFFFF"/>
            </w:tcBorders>
            <w:shd w:val="clear" w:color="000000" w:fill="8DB3E2"/>
            <w:vAlign w:val="center"/>
            <w:hideMark/>
          </w:tcPr>
          <w:p w14:paraId="6A753E21"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729" w:type="dxa"/>
            <w:tcBorders>
              <w:top w:val="nil"/>
              <w:left w:val="nil"/>
              <w:bottom w:val="single" w:sz="12" w:space="0" w:color="FFFFFF"/>
              <w:right w:val="single" w:sz="12" w:space="0" w:color="FFFFFF"/>
            </w:tcBorders>
            <w:shd w:val="clear" w:color="000000" w:fill="8DB3E2"/>
            <w:vAlign w:val="center"/>
            <w:hideMark/>
          </w:tcPr>
          <w:p w14:paraId="2EDD5EB7"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690" w:type="dxa"/>
            <w:tcBorders>
              <w:top w:val="nil"/>
              <w:left w:val="nil"/>
              <w:bottom w:val="single" w:sz="12" w:space="0" w:color="FFFFFF"/>
              <w:right w:val="single" w:sz="12" w:space="0" w:color="FFFFFF"/>
            </w:tcBorders>
            <w:shd w:val="clear" w:color="000000" w:fill="8DB3E2"/>
            <w:vAlign w:val="center"/>
            <w:hideMark/>
          </w:tcPr>
          <w:p w14:paraId="7D876D71"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575" w:type="dxa"/>
            <w:tcBorders>
              <w:top w:val="nil"/>
              <w:left w:val="nil"/>
              <w:bottom w:val="single" w:sz="12" w:space="0" w:color="FFFFFF"/>
              <w:right w:val="single" w:sz="12" w:space="0" w:color="FFFFFF"/>
            </w:tcBorders>
            <w:shd w:val="clear" w:color="000000" w:fill="8DB3E2"/>
            <w:vAlign w:val="center"/>
            <w:hideMark/>
          </w:tcPr>
          <w:p w14:paraId="4F7E7585"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22A34B1E" w14:textId="77777777" w:rsidTr="00E1521D">
        <w:trPr>
          <w:trHeight w:val="305"/>
        </w:trPr>
        <w:tc>
          <w:tcPr>
            <w:tcW w:w="3791" w:type="dxa"/>
            <w:tcBorders>
              <w:top w:val="nil"/>
              <w:left w:val="single" w:sz="12" w:space="0" w:color="FFFFFF"/>
              <w:bottom w:val="single" w:sz="12" w:space="0" w:color="FFFFFF"/>
              <w:right w:val="single" w:sz="12" w:space="0" w:color="FFFFFF"/>
            </w:tcBorders>
            <w:shd w:val="clear" w:color="000000" w:fill="BFBFBF"/>
            <w:vAlign w:val="center"/>
            <w:hideMark/>
          </w:tcPr>
          <w:p w14:paraId="6783FC1D"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729" w:type="dxa"/>
            <w:tcBorders>
              <w:top w:val="nil"/>
              <w:left w:val="nil"/>
              <w:bottom w:val="single" w:sz="12" w:space="0" w:color="FFFFFF"/>
              <w:right w:val="single" w:sz="12" w:space="0" w:color="FFFFFF"/>
            </w:tcBorders>
            <w:shd w:val="clear" w:color="000000" w:fill="BFBFBF"/>
            <w:noWrap/>
          </w:tcPr>
          <w:p w14:paraId="4D6BC411"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47 616 167,17</w:t>
            </w:r>
          </w:p>
        </w:tc>
        <w:tc>
          <w:tcPr>
            <w:tcW w:w="1729" w:type="dxa"/>
            <w:tcBorders>
              <w:top w:val="nil"/>
              <w:left w:val="nil"/>
              <w:bottom w:val="single" w:sz="12" w:space="0" w:color="FFFFFF"/>
              <w:right w:val="single" w:sz="12" w:space="0" w:color="FFFFFF"/>
            </w:tcBorders>
            <w:shd w:val="clear" w:color="000000" w:fill="BFBFBF"/>
            <w:noWrap/>
          </w:tcPr>
          <w:p w14:paraId="3A4DB0B8"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21 530 353,62</w:t>
            </w:r>
          </w:p>
        </w:tc>
        <w:tc>
          <w:tcPr>
            <w:tcW w:w="1690" w:type="dxa"/>
            <w:tcBorders>
              <w:top w:val="nil"/>
              <w:left w:val="nil"/>
              <w:bottom w:val="single" w:sz="12" w:space="0" w:color="FFFFFF"/>
              <w:right w:val="single" w:sz="12" w:space="0" w:color="FFFFFF"/>
            </w:tcBorders>
            <w:shd w:val="clear" w:color="000000" w:fill="BFBFBF"/>
            <w:noWrap/>
          </w:tcPr>
          <w:p w14:paraId="518155F0"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26 085 813,55</w:t>
            </w:r>
          </w:p>
        </w:tc>
        <w:tc>
          <w:tcPr>
            <w:tcW w:w="1575" w:type="dxa"/>
            <w:tcBorders>
              <w:top w:val="nil"/>
              <w:left w:val="nil"/>
              <w:bottom w:val="single" w:sz="12" w:space="0" w:color="FFFFFF"/>
              <w:right w:val="single" w:sz="12" w:space="0" w:color="FFFFFF"/>
            </w:tcBorders>
            <w:shd w:val="clear" w:color="000000" w:fill="BFBFBF"/>
            <w:noWrap/>
          </w:tcPr>
          <w:p w14:paraId="69CAC2E2"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26 125 262,92</w:t>
            </w:r>
          </w:p>
        </w:tc>
      </w:tr>
      <w:tr w:rsidR="00E1521D" w:rsidRPr="00094641" w14:paraId="33143CE2" w14:textId="77777777" w:rsidTr="00E1521D">
        <w:trPr>
          <w:trHeight w:val="305"/>
        </w:trPr>
        <w:tc>
          <w:tcPr>
            <w:tcW w:w="3791" w:type="dxa"/>
            <w:tcBorders>
              <w:top w:val="nil"/>
              <w:left w:val="single" w:sz="12" w:space="0" w:color="FFFFFF"/>
              <w:bottom w:val="single" w:sz="12" w:space="0" w:color="FFFFFF"/>
              <w:right w:val="single" w:sz="12" w:space="0" w:color="FFFFFF"/>
            </w:tcBorders>
            <w:shd w:val="clear" w:color="000000" w:fill="D9D9D9"/>
            <w:vAlign w:val="center"/>
            <w:hideMark/>
          </w:tcPr>
          <w:p w14:paraId="6D8590C4"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nehmotný majetok</w:t>
            </w:r>
          </w:p>
        </w:tc>
        <w:tc>
          <w:tcPr>
            <w:tcW w:w="1729" w:type="dxa"/>
            <w:tcBorders>
              <w:top w:val="nil"/>
              <w:left w:val="nil"/>
              <w:bottom w:val="single" w:sz="12" w:space="0" w:color="FFFFFF"/>
              <w:right w:val="single" w:sz="12" w:space="0" w:color="FFFFFF"/>
            </w:tcBorders>
            <w:shd w:val="clear" w:color="000000" w:fill="D9D9D9"/>
            <w:noWrap/>
          </w:tcPr>
          <w:p w14:paraId="380FAB5C"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89 754,49</w:t>
            </w:r>
          </w:p>
        </w:tc>
        <w:tc>
          <w:tcPr>
            <w:tcW w:w="1729" w:type="dxa"/>
            <w:tcBorders>
              <w:top w:val="nil"/>
              <w:left w:val="nil"/>
              <w:bottom w:val="single" w:sz="12" w:space="0" w:color="FFFFFF"/>
              <w:right w:val="single" w:sz="12" w:space="0" w:color="FFFFFF"/>
            </w:tcBorders>
            <w:shd w:val="clear" w:color="000000" w:fill="D9D9D9"/>
            <w:noWrap/>
          </w:tcPr>
          <w:p w14:paraId="4C2DC18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81 460,05</w:t>
            </w:r>
          </w:p>
        </w:tc>
        <w:tc>
          <w:tcPr>
            <w:tcW w:w="1690" w:type="dxa"/>
            <w:tcBorders>
              <w:top w:val="nil"/>
              <w:left w:val="nil"/>
              <w:bottom w:val="single" w:sz="12" w:space="0" w:color="FFFFFF"/>
              <w:right w:val="single" w:sz="12" w:space="0" w:color="FFFFFF"/>
            </w:tcBorders>
            <w:shd w:val="clear" w:color="000000" w:fill="D9D9D9"/>
            <w:noWrap/>
          </w:tcPr>
          <w:p w14:paraId="1265974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8 294,44</w:t>
            </w:r>
          </w:p>
        </w:tc>
        <w:tc>
          <w:tcPr>
            <w:tcW w:w="1575" w:type="dxa"/>
            <w:tcBorders>
              <w:top w:val="nil"/>
              <w:left w:val="nil"/>
              <w:bottom w:val="single" w:sz="12" w:space="0" w:color="FFFFFF"/>
              <w:right w:val="single" w:sz="12" w:space="0" w:color="FFFFFF"/>
            </w:tcBorders>
            <w:shd w:val="clear" w:color="000000" w:fill="D9D9D9"/>
            <w:noWrap/>
          </w:tcPr>
          <w:p w14:paraId="5E6A679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11 428,36</w:t>
            </w:r>
          </w:p>
        </w:tc>
      </w:tr>
      <w:tr w:rsidR="00E1521D" w:rsidRPr="00094641" w14:paraId="1B58FAA4" w14:textId="77777777" w:rsidTr="00E1521D">
        <w:trPr>
          <w:trHeight w:val="305"/>
        </w:trPr>
        <w:tc>
          <w:tcPr>
            <w:tcW w:w="3791" w:type="dxa"/>
            <w:tcBorders>
              <w:top w:val="nil"/>
              <w:left w:val="single" w:sz="12" w:space="0" w:color="FFFFFF"/>
              <w:bottom w:val="single" w:sz="12" w:space="0" w:color="FFFFFF"/>
              <w:right w:val="single" w:sz="12" w:space="0" w:color="FFFFFF"/>
            </w:tcBorders>
            <w:shd w:val="clear" w:color="000000" w:fill="D9D9D9"/>
            <w:vAlign w:val="center"/>
            <w:hideMark/>
          </w:tcPr>
          <w:p w14:paraId="2A7072B5"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hmotný majetok</w:t>
            </w:r>
          </w:p>
        </w:tc>
        <w:tc>
          <w:tcPr>
            <w:tcW w:w="1729" w:type="dxa"/>
            <w:tcBorders>
              <w:top w:val="nil"/>
              <w:left w:val="nil"/>
              <w:bottom w:val="single" w:sz="12" w:space="0" w:color="FFFFFF"/>
              <w:right w:val="single" w:sz="12" w:space="0" w:color="FFFFFF"/>
            </w:tcBorders>
            <w:shd w:val="clear" w:color="000000" w:fill="D9D9D9"/>
            <w:noWrap/>
          </w:tcPr>
          <w:p w14:paraId="36ED63F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47 526 412,68</w:t>
            </w:r>
          </w:p>
        </w:tc>
        <w:tc>
          <w:tcPr>
            <w:tcW w:w="1729" w:type="dxa"/>
            <w:tcBorders>
              <w:top w:val="nil"/>
              <w:left w:val="nil"/>
              <w:bottom w:val="single" w:sz="12" w:space="0" w:color="FFFFFF"/>
              <w:right w:val="single" w:sz="12" w:space="0" w:color="FFFFFF"/>
            </w:tcBorders>
            <w:shd w:val="clear" w:color="000000" w:fill="D9D9D9"/>
            <w:noWrap/>
          </w:tcPr>
          <w:p w14:paraId="4C20EF3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21 448 893,57</w:t>
            </w:r>
          </w:p>
        </w:tc>
        <w:tc>
          <w:tcPr>
            <w:tcW w:w="1690" w:type="dxa"/>
            <w:tcBorders>
              <w:top w:val="nil"/>
              <w:left w:val="nil"/>
              <w:bottom w:val="single" w:sz="12" w:space="0" w:color="FFFFFF"/>
              <w:right w:val="single" w:sz="12" w:space="0" w:color="FFFFFF"/>
            </w:tcBorders>
            <w:shd w:val="clear" w:color="000000" w:fill="D9D9D9"/>
            <w:noWrap/>
          </w:tcPr>
          <w:p w14:paraId="268708AC"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26 077 519,11</w:t>
            </w:r>
          </w:p>
        </w:tc>
        <w:tc>
          <w:tcPr>
            <w:tcW w:w="1575" w:type="dxa"/>
            <w:tcBorders>
              <w:top w:val="nil"/>
              <w:left w:val="nil"/>
              <w:bottom w:val="single" w:sz="12" w:space="0" w:color="FFFFFF"/>
              <w:right w:val="single" w:sz="12" w:space="0" w:color="FFFFFF"/>
            </w:tcBorders>
            <w:shd w:val="clear" w:color="000000" w:fill="D9D9D9"/>
            <w:noWrap/>
          </w:tcPr>
          <w:p w14:paraId="25647E9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26 113 834,56</w:t>
            </w:r>
          </w:p>
        </w:tc>
      </w:tr>
      <w:tr w:rsidR="00E1521D" w:rsidRPr="00094641" w14:paraId="47CB2936" w14:textId="77777777" w:rsidTr="00E1521D">
        <w:trPr>
          <w:trHeight w:val="305"/>
        </w:trPr>
        <w:tc>
          <w:tcPr>
            <w:tcW w:w="3791" w:type="dxa"/>
            <w:tcBorders>
              <w:top w:val="nil"/>
              <w:left w:val="single" w:sz="12" w:space="0" w:color="FFFFFF"/>
              <w:bottom w:val="single" w:sz="12" w:space="0" w:color="FFFFFF"/>
              <w:right w:val="single" w:sz="12" w:space="0" w:color="FFFFFF"/>
            </w:tcBorders>
            <w:shd w:val="clear" w:color="000000" w:fill="D9D9D9"/>
            <w:vAlign w:val="center"/>
            <w:hideMark/>
          </w:tcPr>
          <w:p w14:paraId="3F941742"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finančný majetok</w:t>
            </w:r>
          </w:p>
        </w:tc>
        <w:tc>
          <w:tcPr>
            <w:tcW w:w="1729" w:type="dxa"/>
            <w:tcBorders>
              <w:top w:val="nil"/>
              <w:left w:val="nil"/>
              <w:bottom w:val="single" w:sz="12" w:space="0" w:color="FFFFFF"/>
              <w:right w:val="single" w:sz="12" w:space="0" w:color="FFFFFF"/>
            </w:tcBorders>
            <w:shd w:val="clear" w:color="000000" w:fill="D9D9D9"/>
            <w:noWrap/>
          </w:tcPr>
          <w:p w14:paraId="2F4D02D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729" w:type="dxa"/>
            <w:tcBorders>
              <w:top w:val="nil"/>
              <w:left w:val="nil"/>
              <w:bottom w:val="single" w:sz="12" w:space="0" w:color="FFFFFF"/>
              <w:right w:val="single" w:sz="12" w:space="0" w:color="FFFFFF"/>
            </w:tcBorders>
            <w:shd w:val="clear" w:color="000000" w:fill="D9D9D9"/>
            <w:noWrap/>
          </w:tcPr>
          <w:p w14:paraId="3873A17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90" w:type="dxa"/>
            <w:tcBorders>
              <w:top w:val="nil"/>
              <w:left w:val="nil"/>
              <w:bottom w:val="single" w:sz="12" w:space="0" w:color="FFFFFF"/>
              <w:right w:val="single" w:sz="12" w:space="0" w:color="FFFFFF"/>
            </w:tcBorders>
            <w:shd w:val="clear" w:color="000000" w:fill="D9D9D9"/>
            <w:noWrap/>
          </w:tcPr>
          <w:p w14:paraId="4707240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75" w:type="dxa"/>
            <w:tcBorders>
              <w:top w:val="nil"/>
              <w:left w:val="nil"/>
              <w:bottom w:val="single" w:sz="12" w:space="0" w:color="FFFFFF"/>
              <w:right w:val="single" w:sz="12" w:space="0" w:color="FFFFFF"/>
            </w:tcBorders>
            <w:shd w:val="clear" w:color="000000" w:fill="D9D9D9"/>
            <w:noWrap/>
          </w:tcPr>
          <w:p w14:paraId="77FD344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bl>
    <w:p w14:paraId="57F8D70E" w14:textId="77777777" w:rsidR="00E1521D" w:rsidRPr="00094641" w:rsidRDefault="00E1521D" w:rsidP="00E1521D">
      <w:pPr>
        <w:jc w:val="both"/>
        <w:rPr>
          <w:b/>
          <w:u w:val="single"/>
        </w:rPr>
      </w:pPr>
    </w:p>
    <w:p w14:paraId="4E665582" w14:textId="77777777" w:rsidR="00E1521D" w:rsidRPr="00094641" w:rsidRDefault="00E1521D" w:rsidP="00E1521D">
      <w:pPr>
        <w:jc w:val="both"/>
      </w:pPr>
      <w:r w:rsidRPr="00094641">
        <w:rPr>
          <w:b/>
          <w:u w:val="single"/>
        </w:rPr>
        <w:t>Kultúrne  zariadenia v zriaďovateľskej pôsobnosti BSK</w:t>
      </w:r>
      <w:r w:rsidRPr="00094641">
        <w:rPr>
          <w:b/>
        </w:rPr>
        <w:t xml:space="preserve"> </w:t>
      </w:r>
      <w:r w:rsidRPr="00094641">
        <w:t xml:space="preserve">vykázali </w:t>
      </w:r>
      <w:r w:rsidRPr="00094641">
        <w:rPr>
          <w:b/>
        </w:rPr>
        <w:t>k 31.12.20</w:t>
      </w:r>
      <w:r>
        <w:rPr>
          <w:b/>
        </w:rPr>
        <w:t>20</w:t>
      </w:r>
      <w:r w:rsidRPr="00094641">
        <w:t xml:space="preserve"> </w:t>
      </w:r>
      <w:r w:rsidRPr="00094641">
        <w:rPr>
          <w:b/>
        </w:rPr>
        <w:t xml:space="preserve">celkovú výšku neobežného majetku </w:t>
      </w:r>
      <w:r w:rsidRPr="00094641">
        <w:t xml:space="preserve">v obstarávacej hodnote </w:t>
      </w:r>
      <w:r>
        <w:rPr>
          <w:rFonts w:cs="Arial"/>
          <w:b/>
          <w:color w:val="000000"/>
        </w:rPr>
        <w:t>10 446 210,43</w:t>
      </w:r>
      <w:r w:rsidRPr="00094641">
        <w:rPr>
          <w:rFonts w:cs="Arial"/>
          <w:b/>
          <w:color w:val="000000"/>
        </w:rPr>
        <w:t xml:space="preserve"> EUR</w:t>
      </w:r>
      <w:r w:rsidRPr="00094641">
        <w:t xml:space="preserve">. </w:t>
      </w:r>
      <w:r w:rsidRPr="00094641">
        <w:rPr>
          <w:b/>
        </w:rPr>
        <w:t>Zostatková hodnota neobežného majetku</w:t>
      </w:r>
      <w:r w:rsidRPr="00094641">
        <w:t>, podľa účtovnej závierky k 31.12.20</w:t>
      </w:r>
      <w:r>
        <w:t>20</w:t>
      </w:r>
      <w:r w:rsidRPr="00094641">
        <w:t xml:space="preserve"> bola vykázaná v celkovej výške </w:t>
      </w:r>
      <w:r>
        <w:rPr>
          <w:rFonts w:cs="Arial"/>
          <w:b/>
          <w:color w:val="000000"/>
        </w:rPr>
        <w:t>7 954 902,19</w:t>
      </w:r>
      <w:r w:rsidRPr="00094641">
        <w:rPr>
          <w:rFonts w:cs="Arial"/>
          <w:b/>
          <w:color w:val="000000"/>
        </w:rPr>
        <w:t xml:space="preserve"> EUR</w:t>
      </w:r>
      <w:r w:rsidRPr="00094641">
        <w:t xml:space="preserve">. </w:t>
      </w:r>
    </w:p>
    <w:tbl>
      <w:tblPr>
        <w:tblW w:w="10489" w:type="dxa"/>
        <w:tblInd w:w="55" w:type="dxa"/>
        <w:tblCellMar>
          <w:left w:w="70" w:type="dxa"/>
          <w:right w:w="70" w:type="dxa"/>
        </w:tblCellMar>
        <w:tblLook w:val="04A0" w:firstRow="1" w:lastRow="0" w:firstColumn="1" w:lastColumn="0" w:noHBand="0" w:noVBand="1"/>
      </w:tblPr>
      <w:tblGrid>
        <w:gridCol w:w="3781"/>
        <w:gridCol w:w="1724"/>
        <w:gridCol w:w="1910"/>
        <w:gridCol w:w="1499"/>
        <w:gridCol w:w="1575"/>
      </w:tblGrid>
      <w:tr w:rsidR="00E1521D" w:rsidRPr="00094641" w14:paraId="4A1869BE" w14:textId="77777777" w:rsidTr="00E1521D">
        <w:trPr>
          <w:trHeight w:val="269"/>
        </w:trPr>
        <w:tc>
          <w:tcPr>
            <w:tcW w:w="10489" w:type="dxa"/>
            <w:gridSpan w:val="5"/>
            <w:tcBorders>
              <w:top w:val="single" w:sz="12" w:space="0" w:color="FFFFFF"/>
              <w:left w:val="single" w:sz="12" w:space="0" w:color="FFFFFF"/>
              <w:bottom w:val="nil"/>
              <w:right w:val="single" w:sz="12" w:space="0" w:color="FFFFFF"/>
            </w:tcBorders>
            <w:shd w:val="clear" w:color="000000" w:fill="8DB3E2"/>
            <w:noWrap/>
            <w:vAlign w:val="center"/>
            <w:hideMark/>
          </w:tcPr>
          <w:p w14:paraId="46EB408E"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 xml:space="preserve">PREHĽAD O MAJETKU v správe príspevkových organizácií </w:t>
            </w:r>
          </w:p>
        </w:tc>
      </w:tr>
      <w:tr w:rsidR="00E1521D" w:rsidRPr="00094641" w14:paraId="24C16E52" w14:textId="77777777" w:rsidTr="00E1521D">
        <w:trPr>
          <w:trHeight w:val="269"/>
        </w:trPr>
        <w:tc>
          <w:tcPr>
            <w:tcW w:w="10489" w:type="dxa"/>
            <w:gridSpan w:val="5"/>
            <w:tcBorders>
              <w:top w:val="nil"/>
              <w:left w:val="single" w:sz="12" w:space="0" w:color="FFFFFF"/>
              <w:bottom w:val="single" w:sz="12" w:space="0" w:color="FFFFFF"/>
              <w:right w:val="single" w:sz="12" w:space="0" w:color="FFFFFF"/>
            </w:tcBorders>
            <w:shd w:val="clear" w:color="000000" w:fill="8DB3E2"/>
            <w:noWrap/>
            <w:vAlign w:val="center"/>
            <w:hideMark/>
          </w:tcPr>
          <w:p w14:paraId="259D75EB"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v zriaďovateľskej pôsobnosti BSK v EUR – kultúrne zariadenia</w:t>
            </w:r>
          </w:p>
        </w:tc>
      </w:tr>
      <w:tr w:rsidR="00E1521D" w:rsidRPr="00094641" w14:paraId="3BC0A589" w14:textId="77777777" w:rsidTr="00E1521D">
        <w:trPr>
          <w:trHeight w:val="539"/>
        </w:trPr>
        <w:tc>
          <w:tcPr>
            <w:tcW w:w="3781" w:type="dxa"/>
            <w:tcBorders>
              <w:top w:val="nil"/>
              <w:left w:val="single" w:sz="12" w:space="0" w:color="FFFFFF"/>
              <w:bottom w:val="single" w:sz="12" w:space="0" w:color="FFFFFF"/>
              <w:right w:val="single" w:sz="12" w:space="0" w:color="FFFFFF"/>
            </w:tcBorders>
            <w:shd w:val="clear" w:color="000000" w:fill="8DB3E2"/>
            <w:vAlign w:val="center"/>
            <w:hideMark/>
          </w:tcPr>
          <w:p w14:paraId="2BB2113D"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Druh majetku</w:t>
            </w:r>
          </w:p>
        </w:tc>
        <w:tc>
          <w:tcPr>
            <w:tcW w:w="1724" w:type="dxa"/>
            <w:tcBorders>
              <w:top w:val="nil"/>
              <w:left w:val="nil"/>
              <w:bottom w:val="single" w:sz="12" w:space="0" w:color="FFFFFF"/>
              <w:right w:val="single" w:sz="12" w:space="0" w:color="FFFFFF"/>
            </w:tcBorders>
            <w:shd w:val="clear" w:color="000000" w:fill="8DB3E2"/>
            <w:vAlign w:val="center"/>
            <w:hideMark/>
          </w:tcPr>
          <w:p w14:paraId="694C15A4"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910" w:type="dxa"/>
            <w:tcBorders>
              <w:top w:val="nil"/>
              <w:left w:val="nil"/>
              <w:bottom w:val="single" w:sz="12" w:space="0" w:color="FFFFFF"/>
              <w:right w:val="single" w:sz="12" w:space="0" w:color="FFFFFF"/>
            </w:tcBorders>
            <w:shd w:val="clear" w:color="000000" w:fill="8DB3E2"/>
            <w:vAlign w:val="center"/>
            <w:hideMark/>
          </w:tcPr>
          <w:p w14:paraId="26E73588"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499" w:type="dxa"/>
            <w:tcBorders>
              <w:top w:val="nil"/>
              <w:left w:val="nil"/>
              <w:bottom w:val="single" w:sz="12" w:space="0" w:color="FFFFFF"/>
              <w:right w:val="single" w:sz="12" w:space="0" w:color="FFFFFF"/>
            </w:tcBorders>
            <w:shd w:val="clear" w:color="000000" w:fill="8DB3E2"/>
            <w:vAlign w:val="center"/>
            <w:hideMark/>
          </w:tcPr>
          <w:p w14:paraId="0EFD6D0A"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572" w:type="dxa"/>
            <w:tcBorders>
              <w:top w:val="nil"/>
              <w:left w:val="nil"/>
              <w:bottom w:val="single" w:sz="12" w:space="0" w:color="FFFFFF"/>
              <w:right w:val="single" w:sz="12" w:space="0" w:color="FFFFFF"/>
            </w:tcBorders>
            <w:shd w:val="clear" w:color="000000" w:fill="8DB3E2"/>
            <w:vAlign w:val="center"/>
            <w:hideMark/>
          </w:tcPr>
          <w:p w14:paraId="2B4CC8D0"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3D8D96D4" w14:textId="77777777" w:rsidTr="00E1521D">
        <w:trPr>
          <w:trHeight w:val="284"/>
        </w:trPr>
        <w:tc>
          <w:tcPr>
            <w:tcW w:w="3781" w:type="dxa"/>
            <w:tcBorders>
              <w:top w:val="nil"/>
              <w:left w:val="single" w:sz="12" w:space="0" w:color="FFFFFF"/>
              <w:bottom w:val="single" w:sz="12" w:space="0" w:color="FFFFFF"/>
              <w:right w:val="single" w:sz="12" w:space="0" w:color="FFFFFF"/>
            </w:tcBorders>
            <w:shd w:val="clear" w:color="000000" w:fill="BFBFBF"/>
            <w:vAlign w:val="center"/>
            <w:hideMark/>
          </w:tcPr>
          <w:p w14:paraId="689B47AB"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lastRenderedPageBreak/>
              <w:t>Neobežný majetok</w:t>
            </w:r>
          </w:p>
        </w:tc>
        <w:tc>
          <w:tcPr>
            <w:tcW w:w="1724" w:type="dxa"/>
            <w:tcBorders>
              <w:top w:val="nil"/>
              <w:left w:val="nil"/>
              <w:bottom w:val="single" w:sz="12" w:space="0" w:color="FFFFFF"/>
              <w:right w:val="single" w:sz="12" w:space="0" w:color="FFFFFF"/>
            </w:tcBorders>
            <w:shd w:val="clear" w:color="000000" w:fill="BFBFBF"/>
            <w:noWrap/>
          </w:tcPr>
          <w:p w14:paraId="28194F3A"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10 446 210,43</w:t>
            </w:r>
          </w:p>
        </w:tc>
        <w:tc>
          <w:tcPr>
            <w:tcW w:w="1910" w:type="dxa"/>
            <w:tcBorders>
              <w:top w:val="nil"/>
              <w:left w:val="nil"/>
              <w:bottom w:val="single" w:sz="12" w:space="0" w:color="FFFFFF"/>
              <w:right w:val="single" w:sz="12" w:space="0" w:color="FFFFFF"/>
            </w:tcBorders>
            <w:shd w:val="clear" w:color="000000" w:fill="BFBFBF"/>
            <w:noWrap/>
          </w:tcPr>
          <w:p w14:paraId="6E013152"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2 491 308,24</w:t>
            </w:r>
          </w:p>
        </w:tc>
        <w:tc>
          <w:tcPr>
            <w:tcW w:w="1499" w:type="dxa"/>
            <w:tcBorders>
              <w:top w:val="nil"/>
              <w:left w:val="nil"/>
              <w:bottom w:val="single" w:sz="12" w:space="0" w:color="FFFFFF"/>
              <w:right w:val="single" w:sz="12" w:space="0" w:color="FFFFFF"/>
            </w:tcBorders>
            <w:shd w:val="clear" w:color="000000" w:fill="BFBFBF"/>
            <w:noWrap/>
          </w:tcPr>
          <w:p w14:paraId="3ECDFB0B"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7 954 902,19</w:t>
            </w:r>
          </w:p>
        </w:tc>
        <w:tc>
          <w:tcPr>
            <w:tcW w:w="1572" w:type="dxa"/>
            <w:tcBorders>
              <w:top w:val="nil"/>
              <w:left w:val="nil"/>
              <w:bottom w:val="single" w:sz="12" w:space="0" w:color="FFFFFF"/>
              <w:right w:val="single" w:sz="12" w:space="0" w:color="FFFFFF"/>
            </w:tcBorders>
            <w:shd w:val="clear" w:color="000000" w:fill="BFBFBF"/>
            <w:noWrap/>
          </w:tcPr>
          <w:p w14:paraId="7F24B055"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7 660 964,44</w:t>
            </w:r>
          </w:p>
        </w:tc>
      </w:tr>
      <w:tr w:rsidR="00E1521D" w:rsidRPr="00094641" w14:paraId="3F8537A4" w14:textId="77777777" w:rsidTr="00E1521D">
        <w:trPr>
          <w:trHeight w:val="284"/>
        </w:trPr>
        <w:tc>
          <w:tcPr>
            <w:tcW w:w="3781" w:type="dxa"/>
            <w:tcBorders>
              <w:top w:val="nil"/>
              <w:left w:val="single" w:sz="12" w:space="0" w:color="FFFFFF"/>
              <w:bottom w:val="single" w:sz="12" w:space="0" w:color="FFFFFF"/>
              <w:right w:val="single" w:sz="12" w:space="0" w:color="FFFFFF"/>
            </w:tcBorders>
            <w:shd w:val="clear" w:color="000000" w:fill="D9D9D9"/>
            <w:vAlign w:val="center"/>
            <w:hideMark/>
          </w:tcPr>
          <w:p w14:paraId="7BE016DB"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nehmotný majetok</w:t>
            </w:r>
          </w:p>
        </w:tc>
        <w:tc>
          <w:tcPr>
            <w:tcW w:w="1724" w:type="dxa"/>
            <w:tcBorders>
              <w:top w:val="nil"/>
              <w:left w:val="nil"/>
              <w:bottom w:val="single" w:sz="12" w:space="0" w:color="FFFFFF"/>
              <w:right w:val="single" w:sz="12" w:space="0" w:color="FFFFFF"/>
            </w:tcBorders>
            <w:shd w:val="clear" w:color="000000" w:fill="D9D9D9"/>
            <w:noWrap/>
          </w:tcPr>
          <w:p w14:paraId="5ED9D99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40 171,20</w:t>
            </w:r>
          </w:p>
        </w:tc>
        <w:tc>
          <w:tcPr>
            <w:tcW w:w="1910" w:type="dxa"/>
            <w:tcBorders>
              <w:top w:val="nil"/>
              <w:left w:val="nil"/>
              <w:bottom w:val="single" w:sz="12" w:space="0" w:color="FFFFFF"/>
              <w:right w:val="single" w:sz="12" w:space="0" w:color="FFFFFF"/>
            </w:tcBorders>
            <w:shd w:val="clear" w:color="000000" w:fill="D9D9D9"/>
            <w:noWrap/>
          </w:tcPr>
          <w:p w14:paraId="667CCCB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13 647,64</w:t>
            </w:r>
          </w:p>
        </w:tc>
        <w:tc>
          <w:tcPr>
            <w:tcW w:w="1499" w:type="dxa"/>
            <w:tcBorders>
              <w:top w:val="nil"/>
              <w:left w:val="nil"/>
              <w:bottom w:val="single" w:sz="12" w:space="0" w:color="FFFFFF"/>
              <w:right w:val="single" w:sz="12" w:space="0" w:color="FFFFFF"/>
            </w:tcBorders>
            <w:shd w:val="clear" w:color="000000" w:fill="D9D9D9"/>
            <w:noWrap/>
          </w:tcPr>
          <w:p w14:paraId="5CC6936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26 523,56</w:t>
            </w:r>
          </w:p>
        </w:tc>
        <w:tc>
          <w:tcPr>
            <w:tcW w:w="1572" w:type="dxa"/>
            <w:tcBorders>
              <w:top w:val="nil"/>
              <w:left w:val="nil"/>
              <w:bottom w:val="single" w:sz="12" w:space="0" w:color="FFFFFF"/>
              <w:right w:val="single" w:sz="12" w:space="0" w:color="FFFFFF"/>
            </w:tcBorders>
            <w:shd w:val="clear" w:color="000000" w:fill="D9D9D9"/>
            <w:noWrap/>
          </w:tcPr>
          <w:p w14:paraId="491180C1"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16 205,80</w:t>
            </w:r>
          </w:p>
        </w:tc>
      </w:tr>
      <w:tr w:rsidR="00E1521D" w:rsidRPr="00094641" w14:paraId="228E5FFB" w14:textId="77777777" w:rsidTr="00E1521D">
        <w:trPr>
          <w:trHeight w:val="284"/>
        </w:trPr>
        <w:tc>
          <w:tcPr>
            <w:tcW w:w="3781" w:type="dxa"/>
            <w:tcBorders>
              <w:top w:val="nil"/>
              <w:left w:val="single" w:sz="12" w:space="0" w:color="FFFFFF"/>
              <w:bottom w:val="single" w:sz="12" w:space="0" w:color="FFFFFF"/>
              <w:right w:val="single" w:sz="12" w:space="0" w:color="FFFFFF"/>
            </w:tcBorders>
            <w:shd w:val="clear" w:color="000000" w:fill="D9D9D9"/>
            <w:vAlign w:val="center"/>
            <w:hideMark/>
          </w:tcPr>
          <w:p w14:paraId="74B46C03"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hmotný majetok</w:t>
            </w:r>
          </w:p>
        </w:tc>
        <w:tc>
          <w:tcPr>
            <w:tcW w:w="1724" w:type="dxa"/>
            <w:tcBorders>
              <w:top w:val="nil"/>
              <w:left w:val="nil"/>
              <w:bottom w:val="single" w:sz="12" w:space="0" w:color="FFFFFF"/>
              <w:right w:val="single" w:sz="12" w:space="0" w:color="FFFFFF"/>
            </w:tcBorders>
            <w:shd w:val="clear" w:color="000000" w:fill="D9D9D9"/>
            <w:noWrap/>
          </w:tcPr>
          <w:p w14:paraId="48A09C5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10 406 039,23</w:t>
            </w:r>
          </w:p>
        </w:tc>
        <w:tc>
          <w:tcPr>
            <w:tcW w:w="1910" w:type="dxa"/>
            <w:tcBorders>
              <w:top w:val="nil"/>
              <w:left w:val="nil"/>
              <w:bottom w:val="single" w:sz="12" w:space="0" w:color="FFFFFF"/>
              <w:right w:val="single" w:sz="12" w:space="0" w:color="FFFFFF"/>
            </w:tcBorders>
            <w:shd w:val="clear" w:color="000000" w:fill="D9D9D9"/>
            <w:noWrap/>
          </w:tcPr>
          <w:p w14:paraId="549A62C9"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2 477 660,60</w:t>
            </w:r>
          </w:p>
        </w:tc>
        <w:tc>
          <w:tcPr>
            <w:tcW w:w="1499" w:type="dxa"/>
            <w:tcBorders>
              <w:top w:val="nil"/>
              <w:left w:val="nil"/>
              <w:bottom w:val="single" w:sz="12" w:space="0" w:color="FFFFFF"/>
              <w:right w:val="single" w:sz="12" w:space="0" w:color="FFFFFF"/>
            </w:tcBorders>
            <w:shd w:val="clear" w:color="000000" w:fill="D9D9D9"/>
            <w:noWrap/>
          </w:tcPr>
          <w:p w14:paraId="41CCA72A"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7 928 378,63</w:t>
            </w:r>
          </w:p>
        </w:tc>
        <w:tc>
          <w:tcPr>
            <w:tcW w:w="1572" w:type="dxa"/>
            <w:tcBorders>
              <w:top w:val="nil"/>
              <w:left w:val="nil"/>
              <w:bottom w:val="single" w:sz="12" w:space="0" w:color="FFFFFF"/>
              <w:right w:val="single" w:sz="12" w:space="0" w:color="FFFFFF"/>
            </w:tcBorders>
            <w:shd w:val="clear" w:color="000000" w:fill="D9D9D9"/>
            <w:noWrap/>
          </w:tcPr>
          <w:p w14:paraId="6335D08B"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7 644 758,64</w:t>
            </w:r>
          </w:p>
        </w:tc>
      </w:tr>
      <w:tr w:rsidR="00E1521D" w:rsidRPr="00094641" w14:paraId="687003FE" w14:textId="77777777" w:rsidTr="00E1521D">
        <w:trPr>
          <w:trHeight w:val="284"/>
        </w:trPr>
        <w:tc>
          <w:tcPr>
            <w:tcW w:w="3781" w:type="dxa"/>
            <w:tcBorders>
              <w:top w:val="nil"/>
              <w:left w:val="single" w:sz="12" w:space="0" w:color="FFFFFF"/>
              <w:bottom w:val="single" w:sz="12" w:space="0" w:color="FFFFFF"/>
              <w:right w:val="single" w:sz="12" w:space="0" w:color="FFFFFF"/>
            </w:tcBorders>
            <w:shd w:val="clear" w:color="000000" w:fill="D9D9D9"/>
            <w:vAlign w:val="center"/>
            <w:hideMark/>
          </w:tcPr>
          <w:p w14:paraId="4B04E0D9"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finančný majetok</w:t>
            </w:r>
          </w:p>
        </w:tc>
        <w:tc>
          <w:tcPr>
            <w:tcW w:w="1724" w:type="dxa"/>
            <w:tcBorders>
              <w:top w:val="nil"/>
              <w:left w:val="nil"/>
              <w:bottom w:val="single" w:sz="12" w:space="0" w:color="FFFFFF"/>
              <w:right w:val="single" w:sz="12" w:space="0" w:color="FFFFFF"/>
            </w:tcBorders>
            <w:shd w:val="clear" w:color="000000" w:fill="D9D9D9"/>
            <w:noWrap/>
          </w:tcPr>
          <w:p w14:paraId="1532B54F"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910" w:type="dxa"/>
            <w:tcBorders>
              <w:top w:val="nil"/>
              <w:left w:val="nil"/>
              <w:bottom w:val="single" w:sz="12" w:space="0" w:color="FFFFFF"/>
              <w:right w:val="single" w:sz="12" w:space="0" w:color="FFFFFF"/>
            </w:tcBorders>
            <w:shd w:val="clear" w:color="000000" w:fill="D9D9D9"/>
            <w:noWrap/>
          </w:tcPr>
          <w:p w14:paraId="55624E5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499" w:type="dxa"/>
            <w:tcBorders>
              <w:top w:val="nil"/>
              <w:left w:val="nil"/>
              <w:bottom w:val="single" w:sz="12" w:space="0" w:color="FFFFFF"/>
              <w:right w:val="single" w:sz="12" w:space="0" w:color="FFFFFF"/>
            </w:tcBorders>
            <w:shd w:val="clear" w:color="000000" w:fill="D9D9D9"/>
            <w:noWrap/>
          </w:tcPr>
          <w:p w14:paraId="37638997"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72" w:type="dxa"/>
            <w:tcBorders>
              <w:top w:val="nil"/>
              <w:left w:val="nil"/>
              <w:bottom w:val="single" w:sz="12" w:space="0" w:color="FFFFFF"/>
              <w:right w:val="single" w:sz="12" w:space="0" w:color="FFFFFF"/>
            </w:tcBorders>
            <w:shd w:val="clear" w:color="000000" w:fill="D9D9D9"/>
            <w:noWrap/>
          </w:tcPr>
          <w:p w14:paraId="00A22B9E"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bl>
    <w:p w14:paraId="2C561EF0" w14:textId="77777777" w:rsidR="00E1521D" w:rsidRPr="00094641" w:rsidRDefault="00E1521D" w:rsidP="00E1521D">
      <w:pPr>
        <w:jc w:val="both"/>
      </w:pPr>
    </w:p>
    <w:p w14:paraId="7EED9F32" w14:textId="77777777" w:rsidR="00E1521D" w:rsidRPr="00094641" w:rsidRDefault="00E1521D" w:rsidP="00E1521D">
      <w:pPr>
        <w:jc w:val="both"/>
      </w:pPr>
      <w:r w:rsidRPr="00094641">
        <w:rPr>
          <w:b/>
          <w:u w:val="single"/>
        </w:rPr>
        <w:t>Zdravotnícke</w:t>
      </w:r>
      <w:r>
        <w:rPr>
          <w:b/>
          <w:u w:val="single"/>
        </w:rPr>
        <w:t xml:space="preserve"> </w:t>
      </w:r>
      <w:r w:rsidRPr="00094641">
        <w:rPr>
          <w:b/>
          <w:u w:val="single"/>
        </w:rPr>
        <w:t>zariadenie v zriaďovateľskej pôsobnosti BSK</w:t>
      </w:r>
      <w:r w:rsidRPr="00094641">
        <w:rPr>
          <w:b/>
        </w:rPr>
        <w:t xml:space="preserve"> </w:t>
      </w:r>
      <w:r w:rsidRPr="00094641">
        <w:t xml:space="preserve">vykazovalo </w:t>
      </w:r>
      <w:r w:rsidRPr="00094641">
        <w:rPr>
          <w:b/>
        </w:rPr>
        <w:t>k 31.12.20</w:t>
      </w:r>
      <w:r>
        <w:rPr>
          <w:b/>
        </w:rPr>
        <w:t>20</w:t>
      </w:r>
      <w:r w:rsidRPr="00094641">
        <w:t xml:space="preserve"> </w:t>
      </w:r>
      <w:r w:rsidRPr="00094641">
        <w:rPr>
          <w:b/>
        </w:rPr>
        <w:t xml:space="preserve">celkovú výšku neobežného majetku </w:t>
      </w:r>
      <w:r w:rsidRPr="00094641">
        <w:t xml:space="preserve">v obstarávacej hodnote </w:t>
      </w:r>
      <w:r>
        <w:rPr>
          <w:rFonts w:cs="Arial"/>
          <w:b/>
          <w:color w:val="000000"/>
        </w:rPr>
        <w:t>5 577 130,10</w:t>
      </w:r>
      <w:r w:rsidRPr="00094641">
        <w:rPr>
          <w:rFonts w:cs="Arial"/>
          <w:b/>
          <w:color w:val="000000"/>
        </w:rPr>
        <w:t xml:space="preserve"> EUR</w:t>
      </w:r>
      <w:r w:rsidRPr="00094641">
        <w:t xml:space="preserve">. </w:t>
      </w:r>
      <w:r w:rsidRPr="00094641">
        <w:rPr>
          <w:b/>
        </w:rPr>
        <w:t>Zostatková hodnota neobežného majetku</w:t>
      </w:r>
      <w:r w:rsidRPr="00094641">
        <w:t>, podľa účtovnej závierky k 31.12.20</w:t>
      </w:r>
      <w:r>
        <w:t>20</w:t>
      </w:r>
      <w:r w:rsidRPr="00094641">
        <w:t xml:space="preserve"> bola vykázaná v celkovej výške </w:t>
      </w:r>
      <w:r>
        <w:rPr>
          <w:rFonts w:cs="Arial"/>
          <w:b/>
          <w:color w:val="000000"/>
        </w:rPr>
        <w:t>3 825 561,37</w:t>
      </w:r>
      <w:r w:rsidRPr="00094641">
        <w:rPr>
          <w:rFonts w:cs="Arial"/>
          <w:b/>
          <w:color w:val="000000"/>
        </w:rPr>
        <w:t xml:space="preserve"> EUR</w:t>
      </w:r>
      <w:r w:rsidRPr="00094641">
        <w:t xml:space="preserve">. </w:t>
      </w:r>
    </w:p>
    <w:tbl>
      <w:tblPr>
        <w:tblW w:w="10407" w:type="dxa"/>
        <w:tblInd w:w="55" w:type="dxa"/>
        <w:tblCellMar>
          <w:left w:w="70" w:type="dxa"/>
          <w:right w:w="70" w:type="dxa"/>
        </w:tblCellMar>
        <w:tblLook w:val="04A0" w:firstRow="1" w:lastRow="0" w:firstColumn="1" w:lastColumn="0" w:noHBand="0" w:noVBand="1"/>
      </w:tblPr>
      <w:tblGrid>
        <w:gridCol w:w="3810"/>
        <w:gridCol w:w="1821"/>
        <w:gridCol w:w="1670"/>
        <w:gridCol w:w="1547"/>
        <w:gridCol w:w="1559"/>
      </w:tblGrid>
      <w:tr w:rsidR="00E1521D" w:rsidRPr="00094641" w14:paraId="345AE324" w14:textId="77777777" w:rsidTr="00E1521D">
        <w:trPr>
          <w:trHeight w:val="280"/>
        </w:trPr>
        <w:tc>
          <w:tcPr>
            <w:tcW w:w="10407" w:type="dxa"/>
            <w:gridSpan w:val="5"/>
            <w:tcBorders>
              <w:top w:val="single" w:sz="12" w:space="0" w:color="FFFFFF"/>
              <w:left w:val="single" w:sz="12" w:space="0" w:color="FFFFFF"/>
              <w:bottom w:val="nil"/>
              <w:right w:val="single" w:sz="12" w:space="0" w:color="FFFFFF"/>
            </w:tcBorders>
            <w:shd w:val="clear" w:color="000000" w:fill="8DB3E2"/>
            <w:noWrap/>
            <w:vAlign w:val="center"/>
            <w:hideMark/>
          </w:tcPr>
          <w:p w14:paraId="7D014256"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 xml:space="preserve">PREHĽAD O MAJETKU v správe príspevkových organizácií </w:t>
            </w:r>
          </w:p>
        </w:tc>
      </w:tr>
      <w:tr w:rsidR="00E1521D" w:rsidRPr="00094641" w14:paraId="35A1E4F2" w14:textId="77777777" w:rsidTr="00E1521D">
        <w:trPr>
          <w:trHeight w:val="280"/>
        </w:trPr>
        <w:tc>
          <w:tcPr>
            <w:tcW w:w="10407" w:type="dxa"/>
            <w:gridSpan w:val="5"/>
            <w:tcBorders>
              <w:top w:val="nil"/>
              <w:left w:val="single" w:sz="12" w:space="0" w:color="FFFFFF"/>
              <w:bottom w:val="single" w:sz="12" w:space="0" w:color="FFFFFF"/>
              <w:right w:val="single" w:sz="12" w:space="0" w:color="FFFFFF"/>
            </w:tcBorders>
            <w:shd w:val="clear" w:color="000000" w:fill="8DB3E2"/>
            <w:noWrap/>
            <w:vAlign w:val="center"/>
            <w:hideMark/>
          </w:tcPr>
          <w:p w14:paraId="1DC8A656"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v zriaďovateľskej pôsobnosti BSK v EUR – zdravotnícke zariadenie</w:t>
            </w:r>
          </w:p>
        </w:tc>
      </w:tr>
      <w:tr w:rsidR="00E1521D" w:rsidRPr="00094641" w14:paraId="45948891" w14:textId="77777777" w:rsidTr="00E1521D">
        <w:trPr>
          <w:trHeight w:val="559"/>
        </w:trPr>
        <w:tc>
          <w:tcPr>
            <w:tcW w:w="3810" w:type="dxa"/>
            <w:tcBorders>
              <w:top w:val="nil"/>
              <w:left w:val="single" w:sz="12" w:space="0" w:color="FFFFFF"/>
              <w:bottom w:val="single" w:sz="12" w:space="0" w:color="FFFFFF"/>
              <w:right w:val="single" w:sz="12" w:space="0" w:color="FFFFFF"/>
            </w:tcBorders>
            <w:shd w:val="clear" w:color="000000" w:fill="8DB3E2"/>
            <w:vAlign w:val="center"/>
            <w:hideMark/>
          </w:tcPr>
          <w:p w14:paraId="1ED8D821"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Druh majetku</w:t>
            </w:r>
          </w:p>
        </w:tc>
        <w:tc>
          <w:tcPr>
            <w:tcW w:w="1821" w:type="dxa"/>
            <w:tcBorders>
              <w:top w:val="nil"/>
              <w:left w:val="nil"/>
              <w:bottom w:val="single" w:sz="12" w:space="0" w:color="FFFFFF"/>
              <w:right w:val="single" w:sz="12" w:space="0" w:color="FFFFFF"/>
            </w:tcBorders>
            <w:shd w:val="clear" w:color="000000" w:fill="8DB3E2"/>
            <w:vAlign w:val="center"/>
            <w:hideMark/>
          </w:tcPr>
          <w:p w14:paraId="7FE83703"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Brutto k 31.12.20</w:t>
            </w:r>
            <w:r>
              <w:rPr>
                <w:rFonts w:cs="Calibri"/>
                <w:b/>
                <w:bCs/>
                <w:sz w:val="20"/>
                <w:szCs w:val="20"/>
                <w:lang w:eastAsia="sk-SK"/>
              </w:rPr>
              <w:t>20</w:t>
            </w:r>
          </w:p>
        </w:tc>
        <w:tc>
          <w:tcPr>
            <w:tcW w:w="1670" w:type="dxa"/>
            <w:tcBorders>
              <w:top w:val="nil"/>
              <w:left w:val="nil"/>
              <w:bottom w:val="single" w:sz="12" w:space="0" w:color="FFFFFF"/>
              <w:right w:val="single" w:sz="12" w:space="0" w:color="FFFFFF"/>
            </w:tcBorders>
            <w:shd w:val="clear" w:color="000000" w:fill="8DB3E2"/>
            <w:vAlign w:val="center"/>
            <w:hideMark/>
          </w:tcPr>
          <w:p w14:paraId="0A9363CE"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Korekcia k 31.12.20</w:t>
            </w:r>
            <w:r>
              <w:rPr>
                <w:rFonts w:cs="Calibri"/>
                <w:b/>
                <w:bCs/>
                <w:sz w:val="20"/>
                <w:szCs w:val="20"/>
                <w:lang w:eastAsia="sk-SK"/>
              </w:rPr>
              <w:t>20</w:t>
            </w:r>
          </w:p>
        </w:tc>
        <w:tc>
          <w:tcPr>
            <w:tcW w:w="1547" w:type="dxa"/>
            <w:tcBorders>
              <w:top w:val="nil"/>
              <w:left w:val="nil"/>
              <w:bottom w:val="single" w:sz="12" w:space="0" w:color="FFFFFF"/>
              <w:right w:val="single" w:sz="12" w:space="0" w:color="FFFFFF"/>
            </w:tcBorders>
            <w:shd w:val="clear" w:color="000000" w:fill="8DB3E2"/>
            <w:vAlign w:val="center"/>
            <w:hideMark/>
          </w:tcPr>
          <w:p w14:paraId="53689719"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w:t>
            </w:r>
            <w:r>
              <w:rPr>
                <w:rFonts w:cs="Calibri"/>
                <w:b/>
                <w:bCs/>
                <w:sz w:val="20"/>
                <w:szCs w:val="20"/>
                <w:lang w:eastAsia="sk-SK"/>
              </w:rPr>
              <w:t>20</w:t>
            </w:r>
          </w:p>
        </w:tc>
        <w:tc>
          <w:tcPr>
            <w:tcW w:w="1558" w:type="dxa"/>
            <w:tcBorders>
              <w:top w:val="nil"/>
              <w:left w:val="nil"/>
              <w:bottom w:val="single" w:sz="12" w:space="0" w:color="FFFFFF"/>
              <w:right w:val="single" w:sz="12" w:space="0" w:color="FFFFFF"/>
            </w:tcBorders>
            <w:shd w:val="clear" w:color="000000" w:fill="8DB3E2"/>
            <w:vAlign w:val="center"/>
            <w:hideMark/>
          </w:tcPr>
          <w:p w14:paraId="6E797BF0" w14:textId="77777777" w:rsidR="00E1521D" w:rsidRPr="00094641" w:rsidRDefault="00E1521D" w:rsidP="00222450">
            <w:pPr>
              <w:spacing w:after="0" w:line="240" w:lineRule="auto"/>
              <w:jc w:val="center"/>
              <w:rPr>
                <w:rFonts w:cs="Calibri"/>
                <w:b/>
                <w:bCs/>
                <w:sz w:val="20"/>
                <w:szCs w:val="20"/>
                <w:lang w:eastAsia="sk-SK"/>
              </w:rPr>
            </w:pPr>
            <w:r w:rsidRPr="00094641">
              <w:rPr>
                <w:rFonts w:cs="Calibri"/>
                <w:b/>
                <w:bCs/>
                <w:sz w:val="20"/>
                <w:szCs w:val="20"/>
                <w:lang w:eastAsia="sk-SK"/>
              </w:rPr>
              <w:t>Netto k 31.12.201</w:t>
            </w:r>
            <w:r>
              <w:rPr>
                <w:rFonts w:cs="Calibri"/>
                <w:b/>
                <w:bCs/>
                <w:sz w:val="20"/>
                <w:szCs w:val="20"/>
                <w:lang w:eastAsia="sk-SK"/>
              </w:rPr>
              <w:t>9</w:t>
            </w:r>
          </w:p>
        </w:tc>
      </w:tr>
      <w:tr w:rsidR="00E1521D" w:rsidRPr="00094641" w14:paraId="4EA5CD2F" w14:textId="77777777" w:rsidTr="00E1521D">
        <w:trPr>
          <w:trHeight w:val="295"/>
        </w:trPr>
        <w:tc>
          <w:tcPr>
            <w:tcW w:w="3810" w:type="dxa"/>
            <w:tcBorders>
              <w:top w:val="nil"/>
              <w:left w:val="single" w:sz="12" w:space="0" w:color="FFFFFF"/>
              <w:bottom w:val="single" w:sz="12" w:space="0" w:color="FFFFFF"/>
              <w:right w:val="single" w:sz="12" w:space="0" w:color="FFFFFF"/>
            </w:tcBorders>
            <w:shd w:val="clear" w:color="000000" w:fill="BFBFBF"/>
            <w:vAlign w:val="center"/>
            <w:hideMark/>
          </w:tcPr>
          <w:p w14:paraId="6E480F8B" w14:textId="77777777" w:rsidR="00E1521D" w:rsidRPr="00094641" w:rsidRDefault="00E1521D" w:rsidP="00222450">
            <w:pPr>
              <w:spacing w:after="0" w:line="240" w:lineRule="auto"/>
              <w:jc w:val="both"/>
              <w:rPr>
                <w:rFonts w:cs="Calibri"/>
                <w:b/>
                <w:bCs/>
                <w:sz w:val="20"/>
                <w:szCs w:val="20"/>
                <w:lang w:eastAsia="sk-SK"/>
              </w:rPr>
            </w:pPr>
            <w:r w:rsidRPr="00094641">
              <w:rPr>
                <w:rFonts w:cs="Calibri"/>
                <w:b/>
                <w:bCs/>
                <w:sz w:val="20"/>
                <w:szCs w:val="20"/>
                <w:lang w:eastAsia="sk-SK"/>
              </w:rPr>
              <w:t>Neobežný majetok</w:t>
            </w:r>
          </w:p>
        </w:tc>
        <w:tc>
          <w:tcPr>
            <w:tcW w:w="1821" w:type="dxa"/>
            <w:tcBorders>
              <w:top w:val="nil"/>
              <w:left w:val="nil"/>
              <w:bottom w:val="single" w:sz="12" w:space="0" w:color="FFFFFF"/>
              <w:right w:val="single" w:sz="12" w:space="0" w:color="FFFFFF"/>
            </w:tcBorders>
            <w:shd w:val="clear" w:color="000000" w:fill="BFBFBF"/>
            <w:noWrap/>
          </w:tcPr>
          <w:p w14:paraId="5D8944C6"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5 577 130,10</w:t>
            </w:r>
          </w:p>
        </w:tc>
        <w:tc>
          <w:tcPr>
            <w:tcW w:w="1670" w:type="dxa"/>
            <w:tcBorders>
              <w:top w:val="nil"/>
              <w:left w:val="nil"/>
              <w:bottom w:val="single" w:sz="12" w:space="0" w:color="FFFFFF"/>
              <w:right w:val="single" w:sz="12" w:space="0" w:color="FFFFFF"/>
            </w:tcBorders>
            <w:shd w:val="clear" w:color="000000" w:fill="BFBFBF"/>
            <w:noWrap/>
          </w:tcPr>
          <w:p w14:paraId="762054BD"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1 751 568,73</w:t>
            </w:r>
          </w:p>
        </w:tc>
        <w:tc>
          <w:tcPr>
            <w:tcW w:w="1547" w:type="dxa"/>
            <w:tcBorders>
              <w:top w:val="nil"/>
              <w:left w:val="nil"/>
              <w:bottom w:val="single" w:sz="12" w:space="0" w:color="FFFFFF"/>
              <w:right w:val="single" w:sz="12" w:space="0" w:color="FFFFFF"/>
            </w:tcBorders>
            <w:shd w:val="clear" w:color="000000" w:fill="BFBFBF"/>
            <w:noWrap/>
          </w:tcPr>
          <w:p w14:paraId="515FDDAE"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3 825 561,37</w:t>
            </w:r>
          </w:p>
        </w:tc>
        <w:tc>
          <w:tcPr>
            <w:tcW w:w="1558" w:type="dxa"/>
            <w:tcBorders>
              <w:top w:val="nil"/>
              <w:left w:val="nil"/>
              <w:bottom w:val="single" w:sz="12" w:space="0" w:color="FFFFFF"/>
              <w:right w:val="single" w:sz="12" w:space="0" w:color="FFFFFF"/>
            </w:tcBorders>
            <w:shd w:val="clear" w:color="000000" w:fill="BFBFBF"/>
            <w:noWrap/>
          </w:tcPr>
          <w:p w14:paraId="65C84256" w14:textId="77777777" w:rsidR="00E1521D" w:rsidRPr="00094641" w:rsidRDefault="00E1521D" w:rsidP="00222450">
            <w:pPr>
              <w:spacing w:after="0" w:line="240" w:lineRule="auto"/>
              <w:jc w:val="right"/>
              <w:rPr>
                <w:rFonts w:cs="Calibri"/>
                <w:b/>
                <w:bCs/>
                <w:sz w:val="20"/>
                <w:szCs w:val="20"/>
                <w:lang w:eastAsia="sk-SK"/>
              </w:rPr>
            </w:pPr>
            <w:r>
              <w:rPr>
                <w:rFonts w:cs="Calibri"/>
                <w:b/>
                <w:bCs/>
                <w:sz w:val="20"/>
                <w:szCs w:val="20"/>
                <w:lang w:eastAsia="sk-SK"/>
              </w:rPr>
              <w:t>3 571 164,80</w:t>
            </w:r>
          </w:p>
        </w:tc>
      </w:tr>
      <w:tr w:rsidR="00E1521D" w:rsidRPr="00094641" w14:paraId="3107832D" w14:textId="77777777" w:rsidTr="00E1521D">
        <w:trPr>
          <w:trHeight w:val="295"/>
        </w:trPr>
        <w:tc>
          <w:tcPr>
            <w:tcW w:w="3810" w:type="dxa"/>
            <w:tcBorders>
              <w:top w:val="nil"/>
              <w:left w:val="single" w:sz="12" w:space="0" w:color="FFFFFF"/>
              <w:bottom w:val="single" w:sz="12" w:space="0" w:color="FFFFFF"/>
              <w:right w:val="single" w:sz="12" w:space="0" w:color="FFFFFF"/>
            </w:tcBorders>
            <w:shd w:val="clear" w:color="000000" w:fill="D9D9D9"/>
            <w:vAlign w:val="center"/>
            <w:hideMark/>
          </w:tcPr>
          <w:p w14:paraId="49BD6C26"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nehmotný majetok</w:t>
            </w:r>
          </w:p>
        </w:tc>
        <w:tc>
          <w:tcPr>
            <w:tcW w:w="1821" w:type="dxa"/>
            <w:tcBorders>
              <w:top w:val="nil"/>
              <w:left w:val="nil"/>
              <w:bottom w:val="single" w:sz="12" w:space="0" w:color="FFFFFF"/>
              <w:right w:val="single" w:sz="12" w:space="0" w:color="FFFFFF"/>
            </w:tcBorders>
            <w:shd w:val="clear" w:color="000000" w:fill="D9D9D9"/>
            <w:noWrap/>
          </w:tcPr>
          <w:p w14:paraId="02EAD31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0" w:type="dxa"/>
            <w:tcBorders>
              <w:top w:val="nil"/>
              <w:left w:val="nil"/>
              <w:bottom w:val="single" w:sz="12" w:space="0" w:color="FFFFFF"/>
              <w:right w:val="single" w:sz="12" w:space="0" w:color="FFFFFF"/>
            </w:tcBorders>
            <w:shd w:val="clear" w:color="000000" w:fill="D9D9D9"/>
            <w:noWrap/>
          </w:tcPr>
          <w:p w14:paraId="05B1A2D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47" w:type="dxa"/>
            <w:tcBorders>
              <w:top w:val="nil"/>
              <w:left w:val="nil"/>
              <w:bottom w:val="single" w:sz="12" w:space="0" w:color="FFFFFF"/>
              <w:right w:val="single" w:sz="12" w:space="0" w:color="FFFFFF"/>
            </w:tcBorders>
            <w:shd w:val="clear" w:color="000000" w:fill="D9D9D9"/>
            <w:noWrap/>
          </w:tcPr>
          <w:p w14:paraId="0AC067B4"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58" w:type="dxa"/>
            <w:tcBorders>
              <w:top w:val="nil"/>
              <w:left w:val="nil"/>
              <w:bottom w:val="single" w:sz="12" w:space="0" w:color="FFFFFF"/>
              <w:right w:val="single" w:sz="12" w:space="0" w:color="FFFFFF"/>
            </w:tcBorders>
            <w:shd w:val="clear" w:color="000000" w:fill="D9D9D9"/>
            <w:noWrap/>
          </w:tcPr>
          <w:p w14:paraId="12570FD8"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r w:rsidR="00E1521D" w:rsidRPr="00094641" w14:paraId="08903099" w14:textId="77777777" w:rsidTr="00E1521D">
        <w:trPr>
          <w:trHeight w:val="295"/>
        </w:trPr>
        <w:tc>
          <w:tcPr>
            <w:tcW w:w="3810" w:type="dxa"/>
            <w:tcBorders>
              <w:top w:val="nil"/>
              <w:left w:val="single" w:sz="12" w:space="0" w:color="FFFFFF"/>
              <w:bottom w:val="single" w:sz="12" w:space="0" w:color="FFFFFF"/>
              <w:right w:val="single" w:sz="12" w:space="0" w:color="FFFFFF"/>
            </w:tcBorders>
            <w:shd w:val="clear" w:color="000000" w:fill="D9D9D9"/>
            <w:vAlign w:val="center"/>
            <w:hideMark/>
          </w:tcPr>
          <w:p w14:paraId="084020A8"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hmotný majetok</w:t>
            </w:r>
          </w:p>
        </w:tc>
        <w:tc>
          <w:tcPr>
            <w:tcW w:w="1821" w:type="dxa"/>
            <w:tcBorders>
              <w:top w:val="nil"/>
              <w:left w:val="nil"/>
              <w:bottom w:val="single" w:sz="12" w:space="0" w:color="FFFFFF"/>
              <w:right w:val="single" w:sz="12" w:space="0" w:color="FFFFFF"/>
            </w:tcBorders>
            <w:shd w:val="clear" w:color="000000" w:fill="D9D9D9"/>
            <w:noWrap/>
          </w:tcPr>
          <w:p w14:paraId="1F316F3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5 577 130,10</w:t>
            </w:r>
          </w:p>
        </w:tc>
        <w:tc>
          <w:tcPr>
            <w:tcW w:w="1670" w:type="dxa"/>
            <w:tcBorders>
              <w:top w:val="nil"/>
              <w:left w:val="nil"/>
              <w:bottom w:val="single" w:sz="12" w:space="0" w:color="FFFFFF"/>
              <w:right w:val="single" w:sz="12" w:space="0" w:color="FFFFFF"/>
            </w:tcBorders>
            <w:shd w:val="clear" w:color="000000" w:fill="D9D9D9"/>
            <w:noWrap/>
          </w:tcPr>
          <w:p w14:paraId="4683CAC6" w14:textId="77777777" w:rsidR="00E1521D" w:rsidRPr="00094641" w:rsidRDefault="00E1521D" w:rsidP="00222450">
            <w:pPr>
              <w:spacing w:after="0" w:line="240" w:lineRule="auto"/>
              <w:jc w:val="center"/>
              <w:rPr>
                <w:rFonts w:cs="Calibri"/>
                <w:bCs/>
                <w:sz w:val="20"/>
                <w:szCs w:val="20"/>
                <w:lang w:eastAsia="sk-SK"/>
              </w:rPr>
            </w:pPr>
            <w:r>
              <w:rPr>
                <w:rFonts w:cs="Calibri"/>
                <w:bCs/>
                <w:sz w:val="20"/>
                <w:szCs w:val="20"/>
                <w:lang w:eastAsia="sk-SK"/>
              </w:rPr>
              <w:t xml:space="preserve">        1 751 568,73</w:t>
            </w:r>
          </w:p>
        </w:tc>
        <w:tc>
          <w:tcPr>
            <w:tcW w:w="1547" w:type="dxa"/>
            <w:tcBorders>
              <w:top w:val="nil"/>
              <w:left w:val="nil"/>
              <w:bottom w:val="single" w:sz="12" w:space="0" w:color="FFFFFF"/>
              <w:right w:val="single" w:sz="12" w:space="0" w:color="FFFFFF"/>
            </w:tcBorders>
            <w:shd w:val="clear" w:color="000000" w:fill="D9D9D9"/>
            <w:noWrap/>
          </w:tcPr>
          <w:p w14:paraId="4906E03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3 825 561,37</w:t>
            </w:r>
          </w:p>
        </w:tc>
        <w:tc>
          <w:tcPr>
            <w:tcW w:w="1558" w:type="dxa"/>
            <w:tcBorders>
              <w:top w:val="nil"/>
              <w:left w:val="nil"/>
              <w:bottom w:val="single" w:sz="12" w:space="0" w:color="FFFFFF"/>
              <w:right w:val="single" w:sz="12" w:space="0" w:color="FFFFFF"/>
            </w:tcBorders>
            <w:shd w:val="clear" w:color="000000" w:fill="D9D9D9"/>
            <w:noWrap/>
          </w:tcPr>
          <w:p w14:paraId="27D3EF4D"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3 571 164,80</w:t>
            </w:r>
          </w:p>
        </w:tc>
      </w:tr>
      <w:tr w:rsidR="00E1521D" w:rsidRPr="00ED4990" w14:paraId="00C715BE" w14:textId="77777777" w:rsidTr="00E1521D">
        <w:trPr>
          <w:trHeight w:val="295"/>
        </w:trPr>
        <w:tc>
          <w:tcPr>
            <w:tcW w:w="3810" w:type="dxa"/>
            <w:tcBorders>
              <w:top w:val="nil"/>
              <w:left w:val="single" w:sz="12" w:space="0" w:color="FFFFFF"/>
              <w:bottom w:val="single" w:sz="12" w:space="0" w:color="FFFFFF"/>
              <w:right w:val="single" w:sz="12" w:space="0" w:color="FFFFFF"/>
            </w:tcBorders>
            <w:shd w:val="clear" w:color="000000" w:fill="D9D9D9"/>
            <w:vAlign w:val="center"/>
            <w:hideMark/>
          </w:tcPr>
          <w:p w14:paraId="1EA505F9" w14:textId="77777777" w:rsidR="00E1521D" w:rsidRPr="00094641" w:rsidRDefault="00E1521D" w:rsidP="00222450">
            <w:pPr>
              <w:spacing w:after="0" w:line="240" w:lineRule="auto"/>
              <w:jc w:val="both"/>
              <w:rPr>
                <w:rFonts w:cs="Calibri"/>
                <w:bCs/>
                <w:sz w:val="20"/>
                <w:szCs w:val="20"/>
                <w:lang w:eastAsia="sk-SK"/>
              </w:rPr>
            </w:pPr>
            <w:r w:rsidRPr="00094641">
              <w:rPr>
                <w:rFonts w:cs="Calibri"/>
                <w:bCs/>
                <w:sz w:val="20"/>
                <w:szCs w:val="20"/>
                <w:lang w:eastAsia="sk-SK"/>
              </w:rPr>
              <w:t>Dlhodobý finančný majetok</w:t>
            </w:r>
          </w:p>
        </w:tc>
        <w:tc>
          <w:tcPr>
            <w:tcW w:w="1821" w:type="dxa"/>
            <w:tcBorders>
              <w:top w:val="nil"/>
              <w:left w:val="nil"/>
              <w:bottom w:val="single" w:sz="12" w:space="0" w:color="FFFFFF"/>
              <w:right w:val="single" w:sz="12" w:space="0" w:color="FFFFFF"/>
            </w:tcBorders>
            <w:shd w:val="clear" w:color="000000" w:fill="D9D9D9"/>
            <w:noWrap/>
          </w:tcPr>
          <w:p w14:paraId="3BE2D143"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670" w:type="dxa"/>
            <w:tcBorders>
              <w:top w:val="nil"/>
              <w:left w:val="nil"/>
              <w:bottom w:val="single" w:sz="12" w:space="0" w:color="FFFFFF"/>
              <w:right w:val="single" w:sz="12" w:space="0" w:color="FFFFFF"/>
            </w:tcBorders>
            <w:shd w:val="clear" w:color="000000" w:fill="D9D9D9"/>
            <w:noWrap/>
          </w:tcPr>
          <w:p w14:paraId="0782CCD6"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47" w:type="dxa"/>
            <w:tcBorders>
              <w:top w:val="nil"/>
              <w:left w:val="nil"/>
              <w:bottom w:val="single" w:sz="12" w:space="0" w:color="FFFFFF"/>
              <w:right w:val="single" w:sz="12" w:space="0" w:color="FFFFFF"/>
            </w:tcBorders>
            <w:shd w:val="clear" w:color="000000" w:fill="D9D9D9"/>
            <w:noWrap/>
          </w:tcPr>
          <w:p w14:paraId="3FF8EAE2"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c>
          <w:tcPr>
            <w:tcW w:w="1558" w:type="dxa"/>
            <w:tcBorders>
              <w:top w:val="nil"/>
              <w:left w:val="nil"/>
              <w:bottom w:val="single" w:sz="12" w:space="0" w:color="FFFFFF"/>
              <w:right w:val="single" w:sz="12" w:space="0" w:color="FFFFFF"/>
            </w:tcBorders>
            <w:shd w:val="clear" w:color="000000" w:fill="D9D9D9"/>
            <w:noWrap/>
          </w:tcPr>
          <w:p w14:paraId="4B57C255" w14:textId="77777777" w:rsidR="00E1521D" w:rsidRPr="00094641" w:rsidRDefault="00E1521D" w:rsidP="00222450">
            <w:pPr>
              <w:spacing w:after="0" w:line="240" w:lineRule="auto"/>
              <w:jc w:val="right"/>
              <w:rPr>
                <w:rFonts w:cs="Calibri"/>
                <w:bCs/>
                <w:sz w:val="20"/>
                <w:szCs w:val="20"/>
                <w:lang w:eastAsia="sk-SK"/>
              </w:rPr>
            </w:pPr>
            <w:r>
              <w:rPr>
                <w:rFonts w:cs="Calibri"/>
                <w:bCs/>
                <w:sz w:val="20"/>
                <w:szCs w:val="20"/>
                <w:lang w:eastAsia="sk-SK"/>
              </w:rPr>
              <w:t>0,00</w:t>
            </w:r>
          </w:p>
        </w:tc>
      </w:tr>
    </w:tbl>
    <w:p w14:paraId="7099CBD9" w14:textId="77777777" w:rsidR="00E1521D" w:rsidRDefault="00E1521D" w:rsidP="00E1521D">
      <w:pPr>
        <w:jc w:val="both"/>
      </w:pPr>
    </w:p>
    <w:p w14:paraId="7A36F253" w14:textId="77777777" w:rsidR="00E41A14" w:rsidRDefault="00E41A14" w:rsidP="00BE704E">
      <w:pPr>
        <w:spacing w:after="0" w:line="240" w:lineRule="auto"/>
        <w:rPr>
          <w:rFonts w:cs="Calibri"/>
          <w:b/>
          <w:bCs/>
          <w:i/>
          <w:iCs/>
          <w:sz w:val="36"/>
          <w:szCs w:val="36"/>
          <w:lang w:eastAsia="sk-SK"/>
        </w:rPr>
      </w:pPr>
    </w:p>
    <w:p w14:paraId="28FB5377" w14:textId="77777777" w:rsidR="00BE704E" w:rsidRPr="007C2405" w:rsidRDefault="00BE704E" w:rsidP="00BE704E">
      <w:pPr>
        <w:jc w:val="both"/>
        <w:rPr>
          <w:rFonts w:cs="Calibri"/>
          <w:b/>
          <w:bCs/>
          <w:i/>
          <w:iCs/>
          <w:sz w:val="36"/>
          <w:szCs w:val="36"/>
          <w:lang w:eastAsia="sk-SK"/>
        </w:rPr>
      </w:pPr>
      <w:r>
        <w:rPr>
          <w:rFonts w:cs="Calibri"/>
          <w:b/>
          <w:bCs/>
          <w:i/>
          <w:iCs/>
          <w:sz w:val="36"/>
          <w:szCs w:val="36"/>
          <w:lang w:eastAsia="sk-SK"/>
        </w:rPr>
        <w:t>K</w:t>
      </w:r>
      <w:r w:rsidRPr="007C2405">
        <w:rPr>
          <w:rFonts w:cs="Calibri"/>
          <w:b/>
          <w:bCs/>
          <w:i/>
          <w:iCs/>
          <w:sz w:val="36"/>
          <w:szCs w:val="36"/>
          <w:lang w:eastAsia="sk-SK"/>
        </w:rPr>
        <w:t>. Z</w:t>
      </w:r>
      <w:r>
        <w:rPr>
          <w:rFonts w:cs="Calibri"/>
          <w:b/>
          <w:bCs/>
          <w:i/>
          <w:iCs/>
          <w:sz w:val="36"/>
          <w:szCs w:val="36"/>
          <w:lang w:eastAsia="sk-SK"/>
        </w:rPr>
        <w:t>áver</w:t>
      </w:r>
    </w:p>
    <w:p w14:paraId="4CBDB2B4" w14:textId="44FD6255" w:rsidR="00BE704E" w:rsidRDefault="00BE704E" w:rsidP="009D37EE">
      <w:pPr>
        <w:spacing w:after="0" w:line="240" w:lineRule="auto"/>
        <w:jc w:val="both"/>
        <w:rPr>
          <w:rFonts w:cstheme="minorHAnsi"/>
          <w:b/>
          <w:sz w:val="24"/>
          <w:szCs w:val="24"/>
          <w:lang w:eastAsia="sk-SK"/>
        </w:rPr>
      </w:pPr>
      <w:r w:rsidRPr="00353F1D">
        <w:rPr>
          <w:rFonts w:cstheme="minorHAnsi"/>
          <w:b/>
          <w:sz w:val="24"/>
          <w:szCs w:val="24"/>
          <w:lang w:eastAsia="sk-SK"/>
        </w:rPr>
        <w:t xml:space="preserve">Bratislavský samosprávny kraj v roku </w:t>
      </w:r>
      <w:r>
        <w:rPr>
          <w:rFonts w:cstheme="minorHAnsi"/>
          <w:b/>
          <w:sz w:val="24"/>
          <w:szCs w:val="24"/>
          <w:lang w:eastAsia="sk-SK"/>
        </w:rPr>
        <w:t>20</w:t>
      </w:r>
      <w:r w:rsidR="00100799">
        <w:rPr>
          <w:rFonts w:cstheme="minorHAnsi"/>
          <w:b/>
          <w:sz w:val="24"/>
          <w:szCs w:val="24"/>
          <w:lang w:eastAsia="sk-SK"/>
        </w:rPr>
        <w:t>20</w:t>
      </w:r>
      <w:r w:rsidRPr="00353F1D">
        <w:rPr>
          <w:rFonts w:cstheme="minorHAnsi"/>
          <w:b/>
          <w:sz w:val="24"/>
          <w:szCs w:val="24"/>
          <w:lang w:eastAsia="sk-SK"/>
        </w:rPr>
        <w:t xml:space="preserve"> zabezpečoval zákonom stanovený výkon samosprávnych funkcií</w:t>
      </w:r>
      <w:r w:rsidRPr="0079546B">
        <w:rPr>
          <w:rFonts w:cstheme="minorHAnsi"/>
          <w:sz w:val="24"/>
          <w:szCs w:val="24"/>
          <w:lang w:eastAsia="sk-SK"/>
        </w:rPr>
        <w:t xml:space="preserve">, plnil základné povinnosti spojené so samostatným hospodárením a nakladaním s majetkom BSK, príjmami BSK, dotáciami zo štátneho rozpočtu a fondov EÚ, zabezpečoval výkon a financovanie prenesených a originálnych kompetencií </w:t>
      </w:r>
      <w:r w:rsidRPr="00353F1D">
        <w:rPr>
          <w:rFonts w:cstheme="minorHAnsi"/>
          <w:b/>
          <w:sz w:val="24"/>
          <w:szCs w:val="24"/>
          <w:lang w:eastAsia="sk-SK"/>
        </w:rPr>
        <w:t>v zmysle platnej legislatívy.</w:t>
      </w:r>
    </w:p>
    <w:p w14:paraId="247D7F41" w14:textId="77777777" w:rsidR="00BE704E" w:rsidRPr="00B8220F" w:rsidRDefault="00BE704E" w:rsidP="00BE704E">
      <w:pPr>
        <w:spacing w:after="0" w:line="240" w:lineRule="auto"/>
        <w:ind w:firstLine="708"/>
        <w:jc w:val="both"/>
        <w:rPr>
          <w:rFonts w:cstheme="minorHAnsi"/>
          <w:b/>
          <w:sz w:val="24"/>
          <w:szCs w:val="24"/>
          <w:lang w:eastAsia="sk-SK"/>
        </w:rPr>
      </w:pPr>
    </w:p>
    <w:p w14:paraId="7D87AE9C" w14:textId="6FCD7C97" w:rsidR="00BE704E" w:rsidRDefault="00BE704E" w:rsidP="00BE704E">
      <w:pPr>
        <w:spacing w:after="0" w:line="240" w:lineRule="auto"/>
        <w:jc w:val="both"/>
        <w:rPr>
          <w:rFonts w:cstheme="minorHAnsi"/>
          <w:b/>
          <w:sz w:val="24"/>
          <w:szCs w:val="24"/>
          <w:lang w:eastAsia="sk-SK"/>
        </w:rPr>
      </w:pPr>
      <w:r w:rsidRPr="0079546B">
        <w:rPr>
          <w:rFonts w:cstheme="minorHAnsi"/>
          <w:sz w:val="24"/>
          <w:szCs w:val="24"/>
          <w:lang w:eastAsia="sk-SK"/>
        </w:rPr>
        <w:t xml:space="preserve">Účtovná závierka BSK za rok </w:t>
      </w:r>
      <w:r>
        <w:rPr>
          <w:rFonts w:cstheme="minorHAnsi"/>
          <w:sz w:val="24"/>
          <w:szCs w:val="24"/>
          <w:lang w:eastAsia="sk-SK"/>
        </w:rPr>
        <w:t>20</w:t>
      </w:r>
      <w:r w:rsidR="00100799">
        <w:rPr>
          <w:rFonts w:cstheme="minorHAnsi"/>
          <w:sz w:val="24"/>
          <w:szCs w:val="24"/>
          <w:lang w:eastAsia="sk-SK"/>
        </w:rPr>
        <w:t>20</w:t>
      </w:r>
      <w:r w:rsidRPr="0079546B">
        <w:rPr>
          <w:rFonts w:cstheme="minorHAnsi"/>
          <w:sz w:val="24"/>
          <w:szCs w:val="24"/>
          <w:lang w:eastAsia="sk-SK"/>
        </w:rPr>
        <w:t xml:space="preserve"> bola predložená v súlade s ustanovením § 16 ods. 3 zákona NR SR č. 583/2004 Z. z. o rozpočtových pravidlách územnej samosprávy a o zmene a doplnení niektorých zákonov v znení neskorších predpisov na overenie audítorom. </w:t>
      </w:r>
      <w:r w:rsidRPr="00353F1D">
        <w:rPr>
          <w:rFonts w:cstheme="minorHAnsi"/>
          <w:b/>
          <w:sz w:val="24"/>
          <w:szCs w:val="24"/>
          <w:lang w:eastAsia="sk-SK"/>
        </w:rPr>
        <w:t>Podľa názoru audítor</w:t>
      </w:r>
      <w:r>
        <w:rPr>
          <w:rFonts w:cstheme="minorHAnsi"/>
          <w:b/>
          <w:sz w:val="24"/>
          <w:szCs w:val="24"/>
          <w:lang w:eastAsia="sk-SK"/>
        </w:rPr>
        <w:t>a</w:t>
      </w:r>
      <w:r w:rsidRPr="00353F1D">
        <w:rPr>
          <w:rFonts w:cstheme="minorHAnsi"/>
          <w:b/>
          <w:sz w:val="24"/>
          <w:szCs w:val="24"/>
          <w:lang w:eastAsia="sk-SK"/>
        </w:rPr>
        <w:t xml:space="preserve"> účtovná závierka poskytuje vo všetkých vzájomných súvislostiach verný obraz finančnej situácie Bratislavského samosprávneho kraja </w:t>
      </w:r>
      <w:r w:rsidR="00100799">
        <w:rPr>
          <w:rFonts w:cstheme="minorHAnsi"/>
          <w:b/>
          <w:sz w:val="24"/>
          <w:szCs w:val="24"/>
          <w:lang w:eastAsia="sk-SK"/>
        </w:rPr>
        <w:br/>
      </w:r>
      <w:r w:rsidRPr="00353F1D">
        <w:rPr>
          <w:rFonts w:cstheme="minorHAnsi"/>
          <w:b/>
          <w:sz w:val="24"/>
          <w:szCs w:val="24"/>
          <w:lang w:eastAsia="sk-SK"/>
        </w:rPr>
        <w:t xml:space="preserve">k 31. decembru </w:t>
      </w:r>
      <w:r>
        <w:rPr>
          <w:rFonts w:cstheme="minorHAnsi"/>
          <w:b/>
          <w:sz w:val="24"/>
          <w:szCs w:val="24"/>
          <w:lang w:eastAsia="sk-SK"/>
        </w:rPr>
        <w:t>20</w:t>
      </w:r>
      <w:r w:rsidR="00100799">
        <w:rPr>
          <w:rFonts w:cstheme="minorHAnsi"/>
          <w:b/>
          <w:sz w:val="24"/>
          <w:szCs w:val="24"/>
          <w:lang w:eastAsia="sk-SK"/>
        </w:rPr>
        <w:t>2</w:t>
      </w:r>
      <w:r w:rsidR="008A6B2E">
        <w:rPr>
          <w:rFonts w:cstheme="minorHAnsi"/>
          <w:b/>
          <w:sz w:val="24"/>
          <w:szCs w:val="24"/>
          <w:lang w:eastAsia="sk-SK"/>
        </w:rPr>
        <w:t>0</w:t>
      </w:r>
      <w:r w:rsidRPr="00353F1D">
        <w:rPr>
          <w:rFonts w:cstheme="minorHAnsi"/>
          <w:b/>
          <w:sz w:val="24"/>
          <w:szCs w:val="24"/>
          <w:lang w:eastAsia="sk-SK"/>
        </w:rPr>
        <w:t xml:space="preserve"> a výsledky jeho hospodárenia a peňažné toky za rok končiaci k danému dátumu sú </w:t>
      </w:r>
      <w:r w:rsidR="00100799">
        <w:rPr>
          <w:rFonts w:cstheme="minorHAnsi"/>
          <w:b/>
          <w:sz w:val="24"/>
          <w:szCs w:val="24"/>
          <w:lang w:eastAsia="sk-SK"/>
        </w:rPr>
        <w:br/>
      </w:r>
      <w:r w:rsidRPr="00353F1D">
        <w:rPr>
          <w:rFonts w:cstheme="minorHAnsi"/>
          <w:b/>
          <w:sz w:val="24"/>
          <w:szCs w:val="24"/>
          <w:lang w:eastAsia="sk-SK"/>
        </w:rPr>
        <w:t xml:space="preserve">v súlade so zákonom o účtovníctve. </w:t>
      </w:r>
    </w:p>
    <w:p w14:paraId="59429A3F" w14:textId="77777777" w:rsidR="00BE704E" w:rsidRPr="00B8220F" w:rsidRDefault="00BE704E" w:rsidP="00BE704E">
      <w:pPr>
        <w:spacing w:after="0" w:line="240" w:lineRule="auto"/>
        <w:jc w:val="both"/>
        <w:rPr>
          <w:rFonts w:cstheme="minorHAnsi"/>
          <w:b/>
          <w:sz w:val="24"/>
          <w:szCs w:val="24"/>
          <w:lang w:eastAsia="sk-SK"/>
        </w:rPr>
      </w:pPr>
    </w:p>
    <w:p w14:paraId="6B243B3A" w14:textId="0FC45C7D" w:rsidR="00BE704E" w:rsidRDefault="00BE704E" w:rsidP="009D37EE">
      <w:pPr>
        <w:spacing w:after="0" w:line="240" w:lineRule="auto"/>
        <w:jc w:val="both"/>
        <w:rPr>
          <w:rFonts w:cstheme="minorHAnsi"/>
          <w:sz w:val="24"/>
          <w:szCs w:val="24"/>
          <w:lang w:eastAsia="sk-SK"/>
        </w:rPr>
      </w:pPr>
      <w:r w:rsidRPr="00353F1D">
        <w:rPr>
          <w:rFonts w:cstheme="minorHAnsi"/>
          <w:b/>
          <w:sz w:val="24"/>
          <w:szCs w:val="24"/>
          <w:lang w:eastAsia="sk-SK"/>
        </w:rPr>
        <w:t xml:space="preserve">Záverečný účet Bratislavského samosprávneho kraja za rok </w:t>
      </w:r>
      <w:r>
        <w:rPr>
          <w:rFonts w:cstheme="minorHAnsi"/>
          <w:b/>
          <w:sz w:val="24"/>
          <w:szCs w:val="24"/>
          <w:lang w:eastAsia="sk-SK"/>
        </w:rPr>
        <w:t>20</w:t>
      </w:r>
      <w:r w:rsidR="00100799">
        <w:rPr>
          <w:rFonts w:cstheme="minorHAnsi"/>
          <w:b/>
          <w:sz w:val="24"/>
          <w:szCs w:val="24"/>
          <w:lang w:eastAsia="sk-SK"/>
        </w:rPr>
        <w:t>20</w:t>
      </w:r>
      <w:r w:rsidRPr="00353F1D">
        <w:rPr>
          <w:rFonts w:cstheme="minorHAnsi"/>
          <w:b/>
          <w:sz w:val="24"/>
          <w:szCs w:val="24"/>
          <w:lang w:eastAsia="sk-SK"/>
        </w:rPr>
        <w:t xml:space="preserve"> bol</w:t>
      </w:r>
      <w:r w:rsidRPr="0079546B">
        <w:rPr>
          <w:rFonts w:cstheme="minorHAnsi"/>
          <w:sz w:val="24"/>
          <w:szCs w:val="24"/>
          <w:lang w:eastAsia="sk-SK"/>
        </w:rPr>
        <w:t xml:space="preserve"> v súlade s ustanovením </w:t>
      </w:r>
      <w:r>
        <w:rPr>
          <w:rFonts w:cstheme="minorHAnsi"/>
          <w:sz w:val="24"/>
          <w:szCs w:val="24"/>
          <w:lang w:eastAsia="sk-SK"/>
        </w:rPr>
        <w:br/>
      </w:r>
      <w:r w:rsidRPr="0079546B">
        <w:rPr>
          <w:rFonts w:cstheme="minorHAnsi"/>
          <w:sz w:val="24"/>
          <w:szCs w:val="24"/>
          <w:lang w:eastAsia="sk-SK"/>
        </w:rPr>
        <w:t xml:space="preserve">§ 19e ods. 1 písm. c) zákona NR SR č. 302/2001 Z. z. o samospráve vyšších územných celkov v znení neskorších predpisov </w:t>
      </w:r>
      <w:r w:rsidRPr="00353F1D">
        <w:rPr>
          <w:rFonts w:cstheme="minorHAnsi"/>
          <w:b/>
          <w:sz w:val="24"/>
          <w:szCs w:val="24"/>
          <w:lang w:eastAsia="sk-SK"/>
        </w:rPr>
        <w:t xml:space="preserve">postúpený Útvaru hlavného kontrolóra BSK za účelom spracovania odborného stanoviska </w:t>
      </w:r>
      <w:r w:rsidR="00100799">
        <w:rPr>
          <w:rFonts w:cstheme="minorHAnsi"/>
          <w:b/>
          <w:sz w:val="24"/>
          <w:szCs w:val="24"/>
          <w:lang w:eastAsia="sk-SK"/>
        </w:rPr>
        <w:br/>
      </w:r>
      <w:r w:rsidRPr="00353F1D">
        <w:rPr>
          <w:rFonts w:cstheme="minorHAnsi"/>
          <w:b/>
          <w:sz w:val="24"/>
          <w:szCs w:val="24"/>
          <w:lang w:eastAsia="sk-SK"/>
        </w:rPr>
        <w:t>k záverečnému účtu samosprávneho kraja.</w:t>
      </w:r>
      <w:r w:rsidRPr="0079546B">
        <w:rPr>
          <w:rFonts w:cstheme="minorHAnsi"/>
          <w:sz w:val="24"/>
          <w:szCs w:val="24"/>
          <w:lang w:eastAsia="sk-SK"/>
        </w:rPr>
        <w:t xml:space="preserve"> </w:t>
      </w:r>
    </w:p>
    <w:p w14:paraId="6800FFD4" w14:textId="77777777" w:rsidR="00BE704E" w:rsidRDefault="00BE704E" w:rsidP="00BE704E">
      <w:pPr>
        <w:spacing w:after="0" w:line="240" w:lineRule="auto"/>
        <w:ind w:firstLine="708"/>
        <w:jc w:val="both"/>
        <w:rPr>
          <w:rFonts w:cstheme="minorHAnsi"/>
          <w:sz w:val="24"/>
          <w:szCs w:val="24"/>
          <w:lang w:eastAsia="sk-SK"/>
        </w:rPr>
      </w:pPr>
    </w:p>
    <w:p w14:paraId="09634741" w14:textId="235A4066" w:rsidR="00BE704E" w:rsidRPr="00353F1D" w:rsidRDefault="00BE704E" w:rsidP="009D37EE">
      <w:pPr>
        <w:spacing w:after="0" w:line="240" w:lineRule="auto"/>
        <w:jc w:val="both"/>
        <w:rPr>
          <w:rFonts w:cstheme="minorHAnsi"/>
          <w:b/>
          <w:sz w:val="24"/>
          <w:szCs w:val="24"/>
          <w:lang w:eastAsia="sk-SK"/>
        </w:rPr>
      </w:pPr>
      <w:r w:rsidRPr="00353F1D">
        <w:rPr>
          <w:rFonts w:cstheme="minorHAnsi"/>
          <w:b/>
          <w:sz w:val="24"/>
          <w:szCs w:val="24"/>
          <w:lang w:eastAsia="sk-SK"/>
        </w:rPr>
        <w:t xml:space="preserve">Záverečný účet BSK za rok </w:t>
      </w:r>
      <w:r>
        <w:rPr>
          <w:rFonts w:cstheme="minorHAnsi"/>
          <w:b/>
          <w:sz w:val="24"/>
          <w:szCs w:val="24"/>
          <w:lang w:eastAsia="sk-SK"/>
        </w:rPr>
        <w:t>20</w:t>
      </w:r>
      <w:r w:rsidR="00100799">
        <w:rPr>
          <w:rFonts w:cstheme="minorHAnsi"/>
          <w:b/>
          <w:sz w:val="24"/>
          <w:szCs w:val="24"/>
          <w:lang w:eastAsia="sk-SK"/>
        </w:rPr>
        <w:t>20</w:t>
      </w:r>
      <w:r w:rsidRPr="00353F1D">
        <w:rPr>
          <w:rFonts w:cstheme="minorHAnsi"/>
          <w:b/>
          <w:sz w:val="24"/>
          <w:szCs w:val="24"/>
          <w:lang w:eastAsia="sk-SK"/>
        </w:rPr>
        <w:t xml:space="preserve"> bol</w:t>
      </w:r>
      <w:r w:rsidRPr="0079546B">
        <w:rPr>
          <w:rFonts w:cstheme="minorHAnsi"/>
          <w:sz w:val="24"/>
          <w:szCs w:val="24"/>
          <w:lang w:eastAsia="sk-SK"/>
        </w:rPr>
        <w:t xml:space="preserve"> v stanovenej lehote, najmenej 15 dní pred jeho schválením </w:t>
      </w:r>
      <w:r w:rsidRPr="00353F1D">
        <w:rPr>
          <w:rFonts w:cstheme="minorHAnsi"/>
          <w:b/>
          <w:sz w:val="24"/>
          <w:szCs w:val="24"/>
          <w:lang w:eastAsia="sk-SK"/>
        </w:rPr>
        <w:t>predložený na verejnú diskusiu</w:t>
      </w:r>
      <w:r w:rsidRPr="0079546B">
        <w:rPr>
          <w:rFonts w:cstheme="minorHAnsi"/>
          <w:sz w:val="24"/>
          <w:szCs w:val="24"/>
          <w:lang w:eastAsia="sk-SK"/>
        </w:rPr>
        <w:t xml:space="preserve"> v zmysle ustanovenia </w:t>
      </w:r>
      <w:bookmarkStart w:id="2" w:name="_Hlk31636787"/>
      <w:r w:rsidRPr="0079546B">
        <w:rPr>
          <w:rFonts w:cstheme="minorHAnsi"/>
          <w:sz w:val="24"/>
          <w:szCs w:val="24"/>
          <w:lang w:eastAsia="sk-SK"/>
        </w:rPr>
        <w:t xml:space="preserve">§ 16 ods. 9 zákona NR SR č. 583/2004 Z. z. o rozpočtových pravidlách územnej samosprávy v platnom znení v nadväznosti na ustanovenie § 9 ods. 3 zákona NR SR </w:t>
      </w:r>
      <w:r w:rsidR="00100799">
        <w:rPr>
          <w:rFonts w:cstheme="minorHAnsi"/>
          <w:sz w:val="24"/>
          <w:szCs w:val="24"/>
          <w:lang w:eastAsia="sk-SK"/>
        </w:rPr>
        <w:br/>
      </w:r>
      <w:r w:rsidRPr="0079546B">
        <w:rPr>
          <w:rFonts w:cstheme="minorHAnsi"/>
          <w:sz w:val="24"/>
          <w:szCs w:val="24"/>
          <w:lang w:eastAsia="sk-SK"/>
        </w:rPr>
        <w:t>č. 302/2001 Z. z. o samospráve vyšších územných celkov v znení neskorších predpisov</w:t>
      </w:r>
      <w:bookmarkEnd w:id="2"/>
      <w:r w:rsidRPr="00353F1D">
        <w:rPr>
          <w:rFonts w:cstheme="minorHAnsi"/>
          <w:b/>
          <w:sz w:val="24"/>
          <w:szCs w:val="24"/>
          <w:lang w:eastAsia="sk-SK"/>
        </w:rPr>
        <w:t xml:space="preserve">, </w:t>
      </w:r>
      <w:r>
        <w:rPr>
          <w:rFonts w:cstheme="minorHAnsi"/>
          <w:b/>
          <w:sz w:val="24"/>
          <w:szCs w:val="24"/>
          <w:lang w:eastAsia="sk-SK"/>
        </w:rPr>
        <w:br/>
      </w:r>
      <w:r w:rsidRPr="00353F1D">
        <w:rPr>
          <w:rFonts w:cstheme="minorHAnsi"/>
          <w:b/>
          <w:sz w:val="24"/>
          <w:szCs w:val="24"/>
          <w:lang w:eastAsia="sk-SK"/>
        </w:rPr>
        <w:t>a to zverejnením na úradnej tabuli a na internetovej stránke BSK.</w:t>
      </w:r>
    </w:p>
    <w:p w14:paraId="2D399204" w14:textId="7058B2E3" w:rsidR="00BE704E" w:rsidRDefault="00BE704E" w:rsidP="00BE704E">
      <w:pPr>
        <w:spacing w:after="0" w:line="240" w:lineRule="auto"/>
        <w:rPr>
          <w:rFonts w:cs="Calibri"/>
          <w:b/>
          <w:bCs/>
          <w:i/>
          <w:iCs/>
          <w:sz w:val="36"/>
          <w:szCs w:val="36"/>
          <w:lang w:eastAsia="sk-SK"/>
        </w:rPr>
      </w:pPr>
    </w:p>
    <w:p w14:paraId="15D395B8" w14:textId="71237301" w:rsidR="005A1544" w:rsidRDefault="005A1544" w:rsidP="00BE704E">
      <w:pPr>
        <w:spacing w:after="0" w:line="240" w:lineRule="auto"/>
        <w:rPr>
          <w:rFonts w:cs="Calibri"/>
          <w:b/>
          <w:bCs/>
          <w:i/>
          <w:iCs/>
          <w:sz w:val="36"/>
          <w:szCs w:val="36"/>
          <w:lang w:eastAsia="sk-SK"/>
        </w:rPr>
      </w:pPr>
    </w:p>
    <w:p w14:paraId="77FFF248" w14:textId="30FEBD5A" w:rsidR="005A1544" w:rsidRDefault="005A1544" w:rsidP="00BE704E">
      <w:pPr>
        <w:spacing w:after="0" w:line="240" w:lineRule="auto"/>
        <w:rPr>
          <w:rFonts w:cs="Calibri"/>
          <w:b/>
          <w:bCs/>
          <w:i/>
          <w:iCs/>
          <w:sz w:val="36"/>
          <w:szCs w:val="36"/>
          <w:lang w:eastAsia="sk-SK"/>
        </w:rPr>
      </w:pPr>
    </w:p>
    <w:p w14:paraId="37B2EFA6" w14:textId="77777777" w:rsidR="005A1544" w:rsidRDefault="005A1544" w:rsidP="00BE704E">
      <w:pPr>
        <w:spacing w:after="0" w:line="240" w:lineRule="auto"/>
        <w:rPr>
          <w:rFonts w:cs="Calibri"/>
          <w:b/>
          <w:bCs/>
          <w:i/>
          <w:iCs/>
          <w:sz w:val="36"/>
          <w:szCs w:val="36"/>
          <w:lang w:eastAsia="sk-SK"/>
        </w:rPr>
      </w:pPr>
    </w:p>
    <w:p w14:paraId="14A371C2" w14:textId="77777777" w:rsidR="00BE704E" w:rsidRPr="00AA5029" w:rsidRDefault="00BE704E" w:rsidP="00F72A56">
      <w:pPr>
        <w:pStyle w:val="tl1"/>
        <w:numPr>
          <w:ilvl w:val="0"/>
          <w:numId w:val="8"/>
        </w:numPr>
      </w:pPr>
      <w:r>
        <w:lastRenderedPageBreak/>
        <w:t xml:space="preserve"> </w:t>
      </w:r>
      <w:r w:rsidRPr="00AA5029">
        <w:t xml:space="preserve">Hodnotenie plnenia programov BSK </w:t>
      </w:r>
    </w:p>
    <w:p w14:paraId="783285D7" w14:textId="77777777" w:rsidR="00BC024C" w:rsidRPr="00C07B70" w:rsidRDefault="00BC024C" w:rsidP="00BC024C">
      <w:pPr>
        <w:spacing w:before="100" w:beforeAutospacing="1" w:after="100" w:afterAutospacing="1" w:line="240" w:lineRule="auto"/>
        <w:outlineLvl w:val="1"/>
        <w:rPr>
          <w:rFonts w:cstheme="minorHAnsi"/>
          <w:b/>
          <w:bCs/>
          <w:color w:val="880000"/>
          <w:sz w:val="36"/>
          <w:szCs w:val="36"/>
          <w:lang w:eastAsia="sk-SK"/>
        </w:rPr>
      </w:pPr>
      <w:bookmarkStart w:id="3" w:name="_Hlk35855262"/>
      <w:r w:rsidRPr="00C07B70">
        <w:rPr>
          <w:rFonts w:cstheme="minorHAnsi"/>
          <w:b/>
          <w:bCs/>
          <w:color w:val="880000"/>
          <w:sz w:val="36"/>
          <w:szCs w:val="36"/>
          <w:lang w:eastAsia="sk-SK"/>
        </w:rPr>
        <w:t>Program 1: Plánovanie, manažment a kontrola</w:t>
      </w:r>
    </w:p>
    <w:p w14:paraId="45457D8B" w14:textId="77777777" w:rsidR="00BC024C" w:rsidRPr="00C07B70" w:rsidRDefault="00BC024C" w:rsidP="00BC024C">
      <w:pPr>
        <w:spacing w:before="100" w:beforeAutospacing="1" w:after="100" w:afterAutospacing="1" w:line="240" w:lineRule="auto"/>
        <w:rPr>
          <w:rFonts w:cstheme="minorHAnsi"/>
          <w:sz w:val="24"/>
          <w:szCs w:val="24"/>
          <w:lang w:eastAsia="sk-SK"/>
        </w:rPr>
      </w:pPr>
      <w:r w:rsidRPr="00C07B70">
        <w:rPr>
          <w:rFonts w:cstheme="minorHAnsi"/>
          <w:b/>
          <w:bCs/>
          <w:sz w:val="24"/>
          <w:szCs w:val="24"/>
          <w:lang w:eastAsia="sk-SK"/>
        </w:rPr>
        <w:t xml:space="preserve">Zámer: </w:t>
      </w:r>
      <w:r w:rsidRPr="00C07B70">
        <w:rPr>
          <w:rFonts w:cstheme="minorHAnsi"/>
          <w:sz w:val="24"/>
          <w:szCs w:val="24"/>
          <w:lang w:eastAsia="sk-SK"/>
        </w:rPr>
        <w:t>Trvalo udržateľný rozvoj BSK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3"/>
        <w:gridCol w:w="2145"/>
        <w:gridCol w:w="1597"/>
        <w:gridCol w:w="1744"/>
        <w:gridCol w:w="1298"/>
        <w:gridCol w:w="969"/>
        <w:gridCol w:w="2160"/>
      </w:tblGrid>
      <w:tr w:rsidR="00BC024C" w:rsidRPr="00C07B70" w14:paraId="23DF0A11" w14:textId="77777777" w:rsidTr="00BC024C">
        <w:trPr>
          <w:tblCellSpacing w:w="15" w:type="dxa"/>
        </w:trPr>
        <w:tc>
          <w:tcPr>
            <w:tcW w:w="249" w:type="pct"/>
            <w:shd w:val="clear" w:color="auto" w:fill="C6DBF7"/>
            <w:vAlign w:val="center"/>
            <w:hideMark/>
          </w:tcPr>
          <w:p w14:paraId="15EE21D4"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Kód EK</w:t>
            </w:r>
          </w:p>
        </w:tc>
        <w:tc>
          <w:tcPr>
            <w:tcW w:w="1034" w:type="pct"/>
            <w:shd w:val="clear" w:color="auto" w:fill="C6DBF7"/>
            <w:vAlign w:val="center"/>
            <w:hideMark/>
          </w:tcPr>
          <w:p w14:paraId="6B947DCE"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Ekonomická klasifikácia</w:t>
            </w:r>
          </w:p>
        </w:tc>
        <w:tc>
          <w:tcPr>
            <w:tcW w:w="0" w:type="auto"/>
            <w:shd w:val="clear" w:color="auto" w:fill="C6DBF7"/>
            <w:vAlign w:val="center"/>
            <w:hideMark/>
          </w:tcPr>
          <w:p w14:paraId="3AAB4617"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Schválený</w:t>
            </w:r>
            <w:r w:rsidRPr="00C07B70">
              <w:rPr>
                <w:rFonts w:cstheme="minorHAnsi"/>
                <w:b/>
                <w:bCs/>
                <w:sz w:val="20"/>
                <w:szCs w:val="20"/>
                <w:lang w:eastAsia="sk-SK"/>
              </w:rPr>
              <w:br/>
              <w:t>rozpočet</w:t>
            </w:r>
            <w:r w:rsidRPr="00C07B70">
              <w:rPr>
                <w:rFonts w:cstheme="minorHAnsi"/>
                <w:b/>
                <w:bCs/>
                <w:sz w:val="20"/>
                <w:szCs w:val="20"/>
                <w:lang w:eastAsia="sk-SK"/>
              </w:rPr>
              <w:br/>
              <w:t>v EUR</w:t>
            </w:r>
          </w:p>
        </w:tc>
        <w:tc>
          <w:tcPr>
            <w:tcW w:w="838" w:type="pct"/>
            <w:shd w:val="clear" w:color="auto" w:fill="C6DBF7"/>
            <w:vAlign w:val="center"/>
            <w:hideMark/>
          </w:tcPr>
          <w:p w14:paraId="57ACBCBE"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Zmenený</w:t>
            </w:r>
            <w:r w:rsidRPr="00C07B70">
              <w:rPr>
                <w:rFonts w:cstheme="minorHAnsi"/>
                <w:b/>
                <w:bCs/>
                <w:sz w:val="20"/>
                <w:szCs w:val="20"/>
                <w:lang w:eastAsia="sk-SK"/>
              </w:rPr>
              <w:br/>
              <w:t>rozpočet</w:t>
            </w:r>
            <w:r w:rsidRPr="00C07B70">
              <w:rPr>
                <w:rFonts w:cstheme="minorHAnsi"/>
                <w:b/>
                <w:bCs/>
                <w:sz w:val="20"/>
                <w:szCs w:val="20"/>
                <w:lang w:eastAsia="sk-SK"/>
              </w:rPr>
              <w:br/>
              <w:t>v EUR</w:t>
            </w:r>
          </w:p>
        </w:tc>
        <w:tc>
          <w:tcPr>
            <w:tcW w:w="620" w:type="pct"/>
            <w:shd w:val="clear" w:color="auto" w:fill="C6DBF7"/>
            <w:vAlign w:val="center"/>
            <w:hideMark/>
          </w:tcPr>
          <w:p w14:paraId="18D19D71"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Čerpanie</w:t>
            </w:r>
            <w:r w:rsidRPr="00C07B70">
              <w:rPr>
                <w:rFonts w:cstheme="minorHAnsi"/>
                <w:b/>
                <w:bCs/>
                <w:sz w:val="20"/>
                <w:szCs w:val="20"/>
                <w:lang w:eastAsia="sk-SK"/>
              </w:rPr>
              <w:br/>
              <w:t>v EUR</w:t>
            </w:r>
          </w:p>
        </w:tc>
        <w:tc>
          <w:tcPr>
            <w:tcW w:w="459" w:type="pct"/>
            <w:shd w:val="clear" w:color="auto" w:fill="C6DBF7"/>
            <w:vAlign w:val="center"/>
            <w:hideMark/>
          </w:tcPr>
          <w:p w14:paraId="3C91B86A"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Čerpanie</w:t>
            </w:r>
            <w:r w:rsidRPr="00C07B70">
              <w:rPr>
                <w:rFonts w:cstheme="minorHAnsi"/>
                <w:b/>
                <w:bCs/>
                <w:sz w:val="20"/>
                <w:szCs w:val="20"/>
                <w:lang w:eastAsia="sk-SK"/>
              </w:rPr>
              <w:br/>
              <w:t xml:space="preserve">k </w:t>
            </w:r>
            <w:proofErr w:type="spellStart"/>
            <w:r w:rsidRPr="00C07B70">
              <w:rPr>
                <w:rFonts w:cstheme="minorHAnsi"/>
                <w:b/>
                <w:bCs/>
                <w:sz w:val="20"/>
                <w:szCs w:val="20"/>
                <w:lang w:eastAsia="sk-SK"/>
              </w:rPr>
              <w:t>zmen</w:t>
            </w:r>
            <w:proofErr w:type="spellEnd"/>
            <w:r w:rsidRPr="00C07B70">
              <w:rPr>
                <w:rFonts w:cstheme="minorHAnsi"/>
                <w:b/>
                <w:bCs/>
                <w:sz w:val="20"/>
                <w:szCs w:val="20"/>
                <w:lang w:eastAsia="sk-SK"/>
              </w:rPr>
              <w:t xml:space="preserve">. </w:t>
            </w:r>
            <w:proofErr w:type="spellStart"/>
            <w:r w:rsidRPr="00C07B70">
              <w:rPr>
                <w:rFonts w:cstheme="minorHAnsi"/>
                <w:b/>
                <w:bCs/>
                <w:sz w:val="20"/>
                <w:szCs w:val="20"/>
                <w:lang w:eastAsia="sk-SK"/>
              </w:rPr>
              <w:t>rozp</w:t>
            </w:r>
            <w:proofErr w:type="spellEnd"/>
            <w:r w:rsidRPr="00C07B70">
              <w:rPr>
                <w:rFonts w:cstheme="minorHAnsi"/>
                <w:b/>
                <w:bCs/>
                <w:sz w:val="20"/>
                <w:szCs w:val="20"/>
                <w:lang w:eastAsia="sk-SK"/>
              </w:rPr>
              <w:t>.</w:t>
            </w:r>
            <w:r w:rsidRPr="00C07B70">
              <w:rPr>
                <w:rFonts w:cstheme="minorHAnsi"/>
                <w:b/>
                <w:bCs/>
                <w:sz w:val="20"/>
                <w:szCs w:val="20"/>
                <w:lang w:eastAsia="sk-SK"/>
              </w:rPr>
              <w:br/>
              <w:t>v %</w:t>
            </w:r>
          </w:p>
        </w:tc>
        <w:tc>
          <w:tcPr>
            <w:tcW w:w="1034" w:type="pct"/>
            <w:shd w:val="clear" w:color="auto" w:fill="C6DBF7"/>
            <w:vAlign w:val="center"/>
            <w:hideMark/>
          </w:tcPr>
          <w:p w14:paraId="3D5C9579"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Zmeny rozpočtu</w:t>
            </w:r>
          </w:p>
        </w:tc>
      </w:tr>
      <w:tr w:rsidR="00BC024C" w:rsidRPr="00C07B70" w14:paraId="3A699635" w14:textId="77777777" w:rsidTr="00BC024C">
        <w:trPr>
          <w:tblCellSpacing w:w="15" w:type="dxa"/>
        </w:trPr>
        <w:tc>
          <w:tcPr>
            <w:tcW w:w="249" w:type="pct"/>
            <w:shd w:val="clear" w:color="auto" w:fill="D9D9D9"/>
            <w:noWrap/>
            <w:vAlign w:val="center"/>
            <w:hideMark/>
          </w:tcPr>
          <w:p w14:paraId="3E91F01D" w14:textId="77777777" w:rsidR="00BC024C" w:rsidRPr="00C07B70" w:rsidRDefault="00BC024C" w:rsidP="00BC024C">
            <w:pPr>
              <w:spacing w:after="0" w:line="240" w:lineRule="auto"/>
              <w:jc w:val="center"/>
              <w:rPr>
                <w:rFonts w:cstheme="minorHAnsi"/>
                <w:sz w:val="24"/>
                <w:szCs w:val="24"/>
                <w:lang w:eastAsia="sk-SK"/>
              </w:rPr>
            </w:pPr>
          </w:p>
        </w:tc>
        <w:tc>
          <w:tcPr>
            <w:tcW w:w="1034" w:type="pct"/>
            <w:shd w:val="clear" w:color="auto" w:fill="D9D9D9"/>
            <w:vAlign w:val="center"/>
            <w:hideMark/>
          </w:tcPr>
          <w:p w14:paraId="7FB55C60"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Výdavky celkom</w:t>
            </w:r>
            <w:r w:rsidRPr="00C07B70">
              <w:rPr>
                <w:rFonts w:cstheme="minorHAnsi"/>
                <w:sz w:val="24"/>
                <w:szCs w:val="24"/>
                <w:lang w:eastAsia="sk-SK"/>
              </w:rPr>
              <w:t xml:space="preserve"> </w:t>
            </w:r>
          </w:p>
        </w:tc>
        <w:tc>
          <w:tcPr>
            <w:tcW w:w="0" w:type="auto"/>
            <w:shd w:val="clear" w:color="auto" w:fill="D9D9D9"/>
            <w:noWrap/>
            <w:vAlign w:val="center"/>
            <w:hideMark/>
          </w:tcPr>
          <w:p w14:paraId="6BA5D8E4" w14:textId="77777777" w:rsidR="00BC024C" w:rsidRPr="00C07B70" w:rsidRDefault="00BC024C" w:rsidP="00BC024C">
            <w:pPr>
              <w:spacing w:after="0" w:line="240" w:lineRule="auto"/>
              <w:jc w:val="right"/>
              <w:rPr>
                <w:rFonts w:cstheme="minorHAnsi"/>
                <w:sz w:val="24"/>
                <w:szCs w:val="24"/>
                <w:lang w:eastAsia="sk-SK"/>
              </w:rPr>
            </w:pPr>
            <w:r w:rsidRPr="00C01C88">
              <w:rPr>
                <w:rFonts w:cstheme="minorHAnsi"/>
                <w:b/>
                <w:bCs/>
                <w:sz w:val="20"/>
                <w:szCs w:val="20"/>
                <w:lang w:eastAsia="sk-SK"/>
              </w:rPr>
              <w:t>21 283 498,79</w:t>
            </w:r>
          </w:p>
        </w:tc>
        <w:tc>
          <w:tcPr>
            <w:tcW w:w="838" w:type="pct"/>
            <w:shd w:val="clear" w:color="auto" w:fill="D9D9D9"/>
            <w:noWrap/>
            <w:vAlign w:val="center"/>
            <w:hideMark/>
          </w:tcPr>
          <w:p w14:paraId="547E9325" w14:textId="77777777" w:rsidR="00BC024C" w:rsidRPr="00C07B70" w:rsidRDefault="00BC024C" w:rsidP="00BC024C">
            <w:pPr>
              <w:spacing w:after="0" w:line="240" w:lineRule="auto"/>
              <w:jc w:val="right"/>
              <w:rPr>
                <w:rFonts w:cstheme="minorHAnsi"/>
                <w:sz w:val="24"/>
                <w:szCs w:val="24"/>
                <w:lang w:eastAsia="sk-SK"/>
              </w:rPr>
            </w:pPr>
            <w:r w:rsidRPr="00C01C88">
              <w:rPr>
                <w:rFonts w:cstheme="minorHAnsi"/>
                <w:b/>
                <w:bCs/>
                <w:sz w:val="20"/>
                <w:szCs w:val="20"/>
                <w:lang w:eastAsia="sk-SK"/>
              </w:rPr>
              <w:t xml:space="preserve">19 468 038,98 </w:t>
            </w:r>
          </w:p>
        </w:tc>
        <w:tc>
          <w:tcPr>
            <w:tcW w:w="620" w:type="pct"/>
            <w:shd w:val="clear" w:color="auto" w:fill="D9D9D9"/>
            <w:noWrap/>
            <w:vAlign w:val="center"/>
            <w:hideMark/>
          </w:tcPr>
          <w:p w14:paraId="16DFD713" w14:textId="77777777" w:rsidR="00BC024C" w:rsidRPr="00C07B70" w:rsidRDefault="00BC024C" w:rsidP="00BC024C">
            <w:pPr>
              <w:spacing w:after="0" w:line="240" w:lineRule="auto"/>
              <w:jc w:val="right"/>
              <w:rPr>
                <w:rFonts w:cstheme="minorHAnsi"/>
                <w:sz w:val="24"/>
                <w:szCs w:val="24"/>
                <w:lang w:eastAsia="sk-SK"/>
              </w:rPr>
            </w:pPr>
            <w:r w:rsidRPr="0088714A">
              <w:rPr>
                <w:rFonts w:cstheme="minorHAnsi"/>
                <w:b/>
                <w:bCs/>
                <w:sz w:val="20"/>
                <w:szCs w:val="20"/>
                <w:lang w:eastAsia="sk-SK"/>
              </w:rPr>
              <w:t>6 747 785,15</w:t>
            </w:r>
          </w:p>
        </w:tc>
        <w:tc>
          <w:tcPr>
            <w:tcW w:w="459" w:type="pct"/>
            <w:shd w:val="clear" w:color="auto" w:fill="D9D9D9"/>
            <w:noWrap/>
            <w:vAlign w:val="center"/>
            <w:hideMark/>
          </w:tcPr>
          <w:p w14:paraId="244AA535" w14:textId="77777777" w:rsidR="00BC024C" w:rsidRPr="00C07B70" w:rsidRDefault="00BC024C" w:rsidP="00BC024C">
            <w:pPr>
              <w:spacing w:after="0" w:line="240" w:lineRule="auto"/>
              <w:jc w:val="right"/>
              <w:rPr>
                <w:rFonts w:cstheme="minorHAnsi"/>
                <w:sz w:val="24"/>
                <w:szCs w:val="24"/>
                <w:lang w:eastAsia="sk-SK"/>
              </w:rPr>
            </w:pPr>
            <w:r>
              <w:rPr>
                <w:rFonts w:cstheme="minorHAnsi"/>
                <w:b/>
                <w:bCs/>
                <w:sz w:val="20"/>
                <w:szCs w:val="20"/>
                <w:lang w:eastAsia="sk-SK"/>
              </w:rPr>
              <w:t>34</w:t>
            </w:r>
            <w:r w:rsidRPr="00C07B70">
              <w:rPr>
                <w:rFonts w:cstheme="minorHAnsi"/>
                <w:b/>
                <w:bCs/>
                <w:sz w:val="20"/>
                <w:szCs w:val="20"/>
                <w:lang w:eastAsia="sk-SK"/>
              </w:rPr>
              <w:t>,</w:t>
            </w:r>
            <w:r>
              <w:rPr>
                <w:rFonts w:cstheme="minorHAnsi"/>
                <w:b/>
                <w:bCs/>
                <w:sz w:val="20"/>
                <w:szCs w:val="20"/>
                <w:lang w:eastAsia="sk-SK"/>
              </w:rPr>
              <w:t>66</w:t>
            </w:r>
            <w:r w:rsidRPr="00C07B70">
              <w:rPr>
                <w:rFonts w:cstheme="minorHAnsi"/>
                <w:sz w:val="24"/>
                <w:szCs w:val="24"/>
                <w:lang w:eastAsia="sk-SK"/>
              </w:rPr>
              <w:t xml:space="preserve"> </w:t>
            </w:r>
          </w:p>
        </w:tc>
        <w:tc>
          <w:tcPr>
            <w:tcW w:w="1034" w:type="pct"/>
            <w:vMerge w:val="restart"/>
            <w:shd w:val="clear" w:color="auto" w:fill="D9D9D9"/>
            <w:vAlign w:val="center"/>
            <w:hideMark/>
          </w:tcPr>
          <w:p w14:paraId="5EB0A9A9" w14:textId="77777777" w:rsidR="00BC024C" w:rsidRPr="00C07B70" w:rsidRDefault="00BC024C" w:rsidP="00BC024C">
            <w:pPr>
              <w:spacing w:after="0" w:line="240" w:lineRule="auto"/>
              <w:jc w:val="center"/>
              <w:rPr>
                <w:rFonts w:cstheme="minorHAnsi"/>
                <w:sz w:val="24"/>
                <w:szCs w:val="24"/>
                <w:lang w:eastAsia="sk-SK"/>
              </w:rPr>
            </w:pPr>
            <w:r w:rsidRPr="003F0F4A">
              <w:rPr>
                <w:rFonts w:cstheme="minorHAnsi"/>
                <w:b/>
                <w:sz w:val="20"/>
                <w:szCs w:val="20"/>
                <w:lang w:eastAsia="sk-SK"/>
              </w:rPr>
              <w:t xml:space="preserve">Zmeny rozpočtu </w:t>
            </w:r>
            <w:r>
              <w:rPr>
                <w:rFonts w:cstheme="minorHAnsi"/>
                <w:b/>
                <w:sz w:val="20"/>
                <w:szCs w:val="20"/>
                <w:lang w:eastAsia="sk-SK"/>
              </w:rPr>
              <w:t>sa nachádzajú pri podprogramoch</w:t>
            </w:r>
          </w:p>
        </w:tc>
      </w:tr>
      <w:tr w:rsidR="00BC024C" w:rsidRPr="00C07B70" w14:paraId="7B54D57A" w14:textId="77777777" w:rsidTr="00BC024C">
        <w:trPr>
          <w:tblCellSpacing w:w="15" w:type="dxa"/>
        </w:trPr>
        <w:tc>
          <w:tcPr>
            <w:tcW w:w="249" w:type="pct"/>
            <w:shd w:val="clear" w:color="auto" w:fill="D9D9D9"/>
            <w:noWrap/>
            <w:vAlign w:val="center"/>
            <w:hideMark/>
          </w:tcPr>
          <w:p w14:paraId="7FB4329C"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600</w:t>
            </w:r>
            <w:r w:rsidRPr="00C07B70">
              <w:rPr>
                <w:rFonts w:cstheme="minorHAnsi"/>
                <w:sz w:val="24"/>
                <w:szCs w:val="24"/>
                <w:lang w:eastAsia="sk-SK"/>
              </w:rPr>
              <w:t xml:space="preserve"> </w:t>
            </w:r>
          </w:p>
        </w:tc>
        <w:tc>
          <w:tcPr>
            <w:tcW w:w="1034" w:type="pct"/>
            <w:shd w:val="clear" w:color="auto" w:fill="D9D9D9"/>
            <w:vAlign w:val="center"/>
            <w:hideMark/>
          </w:tcPr>
          <w:p w14:paraId="3F069630"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Bežné výdavky</w:t>
            </w:r>
            <w:r w:rsidRPr="00C07B70">
              <w:rPr>
                <w:rFonts w:cstheme="minorHAnsi"/>
                <w:sz w:val="24"/>
                <w:szCs w:val="24"/>
                <w:lang w:eastAsia="sk-SK"/>
              </w:rPr>
              <w:t xml:space="preserve"> </w:t>
            </w:r>
          </w:p>
        </w:tc>
        <w:tc>
          <w:tcPr>
            <w:tcW w:w="0" w:type="auto"/>
            <w:shd w:val="clear" w:color="auto" w:fill="D9D9D9"/>
            <w:noWrap/>
            <w:vAlign w:val="center"/>
            <w:hideMark/>
          </w:tcPr>
          <w:p w14:paraId="7ABC91AA" w14:textId="77777777" w:rsidR="00BC024C" w:rsidRPr="00C07B70" w:rsidRDefault="00BC024C" w:rsidP="00BC024C">
            <w:pPr>
              <w:spacing w:after="0" w:line="240" w:lineRule="auto"/>
              <w:jc w:val="right"/>
              <w:rPr>
                <w:rFonts w:cstheme="minorHAnsi"/>
                <w:sz w:val="24"/>
                <w:szCs w:val="24"/>
                <w:lang w:eastAsia="sk-SK"/>
              </w:rPr>
            </w:pPr>
            <w:r w:rsidRPr="00ED4310">
              <w:rPr>
                <w:rFonts w:cstheme="minorHAnsi"/>
                <w:b/>
                <w:bCs/>
                <w:sz w:val="20"/>
                <w:szCs w:val="20"/>
                <w:lang w:eastAsia="sk-SK"/>
              </w:rPr>
              <w:t>7 340 853,41</w:t>
            </w:r>
          </w:p>
        </w:tc>
        <w:tc>
          <w:tcPr>
            <w:tcW w:w="838" w:type="pct"/>
            <w:shd w:val="clear" w:color="auto" w:fill="D9D9D9"/>
            <w:noWrap/>
            <w:vAlign w:val="center"/>
            <w:hideMark/>
          </w:tcPr>
          <w:p w14:paraId="2F2D2BFB" w14:textId="77777777" w:rsidR="00BC024C" w:rsidRPr="00C07B70" w:rsidRDefault="00BC024C" w:rsidP="00BC024C">
            <w:pPr>
              <w:spacing w:after="0" w:line="240" w:lineRule="auto"/>
              <w:jc w:val="right"/>
              <w:rPr>
                <w:rFonts w:cstheme="minorHAnsi"/>
                <w:sz w:val="24"/>
                <w:szCs w:val="24"/>
                <w:lang w:eastAsia="sk-SK"/>
              </w:rPr>
            </w:pPr>
            <w:r w:rsidRPr="00ED4310">
              <w:rPr>
                <w:rFonts w:cstheme="minorHAnsi"/>
                <w:b/>
                <w:bCs/>
                <w:sz w:val="20"/>
                <w:szCs w:val="20"/>
                <w:lang w:eastAsia="sk-SK"/>
              </w:rPr>
              <w:t>7 066 991,90</w:t>
            </w:r>
          </w:p>
        </w:tc>
        <w:tc>
          <w:tcPr>
            <w:tcW w:w="620" w:type="pct"/>
            <w:shd w:val="clear" w:color="auto" w:fill="D9D9D9"/>
            <w:noWrap/>
            <w:vAlign w:val="center"/>
            <w:hideMark/>
          </w:tcPr>
          <w:p w14:paraId="72FD1485" w14:textId="77777777" w:rsidR="00BC024C" w:rsidRPr="00C07B70" w:rsidRDefault="00BC024C" w:rsidP="00BC024C">
            <w:pPr>
              <w:spacing w:after="0" w:line="240" w:lineRule="auto"/>
              <w:jc w:val="right"/>
              <w:rPr>
                <w:rFonts w:cstheme="minorHAnsi"/>
                <w:sz w:val="24"/>
                <w:szCs w:val="24"/>
                <w:lang w:eastAsia="sk-SK"/>
              </w:rPr>
            </w:pPr>
            <w:r w:rsidRPr="00ED4310">
              <w:rPr>
                <w:rFonts w:cstheme="minorHAnsi"/>
                <w:b/>
                <w:bCs/>
                <w:sz w:val="20"/>
                <w:szCs w:val="20"/>
                <w:lang w:eastAsia="sk-SK"/>
              </w:rPr>
              <w:t>3 474 531,45</w:t>
            </w:r>
          </w:p>
        </w:tc>
        <w:tc>
          <w:tcPr>
            <w:tcW w:w="459" w:type="pct"/>
            <w:shd w:val="clear" w:color="auto" w:fill="D9D9D9"/>
            <w:noWrap/>
            <w:vAlign w:val="center"/>
            <w:hideMark/>
          </w:tcPr>
          <w:p w14:paraId="7209386F" w14:textId="77777777" w:rsidR="00BC024C" w:rsidRPr="00C07B70" w:rsidRDefault="00BC024C" w:rsidP="00BC024C">
            <w:pPr>
              <w:spacing w:after="0" w:line="240" w:lineRule="auto"/>
              <w:jc w:val="right"/>
              <w:rPr>
                <w:rFonts w:cstheme="minorHAnsi"/>
                <w:sz w:val="24"/>
                <w:szCs w:val="24"/>
                <w:lang w:eastAsia="sk-SK"/>
              </w:rPr>
            </w:pPr>
            <w:r>
              <w:rPr>
                <w:rFonts w:cstheme="minorHAnsi"/>
                <w:b/>
                <w:bCs/>
                <w:sz w:val="20"/>
                <w:szCs w:val="20"/>
                <w:lang w:eastAsia="sk-SK"/>
              </w:rPr>
              <w:t>49</w:t>
            </w:r>
            <w:r w:rsidRPr="00C07B70">
              <w:rPr>
                <w:rFonts w:cstheme="minorHAnsi"/>
                <w:b/>
                <w:bCs/>
                <w:sz w:val="20"/>
                <w:szCs w:val="20"/>
                <w:lang w:eastAsia="sk-SK"/>
              </w:rPr>
              <w:t>,</w:t>
            </w:r>
            <w:r>
              <w:rPr>
                <w:rFonts w:cstheme="minorHAnsi"/>
                <w:b/>
                <w:bCs/>
                <w:sz w:val="20"/>
                <w:szCs w:val="20"/>
                <w:lang w:eastAsia="sk-SK"/>
              </w:rPr>
              <w:t>17</w:t>
            </w:r>
            <w:r w:rsidRPr="00C07B70">
              <w:rPr>
                <w:rFonts w:cstheme="minorHAnsi"/>
                <w:sz w:val="24"/>
                <w:szCs w:val="24"/>
                <w:lang w:eastAsia="sk-SK"/>
              </w:rPr>
              <w:t xml:space="preserve"> </w:t>
            </w:r>
          </w:p>
        </w:tc>
        <w:tc>
          <w:tcPr>
            <w:tcW w:w="1034" w:type="pct"/>
            <w:vMerge/>
            <w:shd w:val="clear" w:color="auto" w:fill="D9D9D9"/>
            <w:vAlign w:val="center"/>
            <w:hideMark/>
          </w:tcPr>
          <w:p w14:paraId="66C6FFEB" w14:textId="77777777" w:rsidR="00BC024C" w:rsidRPr="00C07B70" w:rsidRDefault="00BC024C" w:rsidP="00BC024C">
            <w:pPr>
              <w:spacing w:after="0" w:line="240" w:lineRule="auto"/>
              <w:rPr>
                <w:rFonts w:cstheme="minorHAnsi"/>
                <w:sz w:val="24"/>
                <w:szCs w:val="24"/>
                <w:lang w:eastAsia="sk-SK"/>
              </w:rPr>
            </w:pPr>
          </w:p>
        </w:tc>
      </w:tr>
      <w:tr w:rsidR="00BC024C" w:rsidRPr="00C07B70" w14:paraId="37BA1B8A" w14:textId="77777777" w:rsidTr="00BC024C">
        <w:trPr>
          <w:tblCellSpacing w:w="15" w:type="dxa"/>
        </w:trPr>
        <w:tc>
          <w:tcPr>
            <w:tcW w:w="249" w:type="pct"/>
            <w:shd w:val="clear" w:color="auto" w:fill="EFEFEF"/>
            <w:noWrap/>
            <w:vAlign w:val="center"/>
            <w:hideMark/>
          </w:tcPr>
          <w:p w14:paraId="008E93DF"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610</w:t>
            </w:r>
            <w:r w:rsidRPr="00C07B70">
              <w:rPr>
                <w:rFonts w:cstheme="minorHAnsi"/>
                <w:sz w:val="24"/>
                <w:szCs w:val="24"/>
                <w:lang w:eastAsia="sk-SK"/>
              </w:rPr>
              <w:t xml:space="preserve"> </w:t>
            </w:r>
          </w:p>
        </w:tc>
        <w:tc>
          <w:tcPr>
            <w:tcW w:w="1034" w:type="pct"/>
            <w:shd w:val="clear" w:color="auto" w:fill="EFEFEF"/>
            <w:vAlign w:val="center"/>
            <w:hideMark/>
          </w:tcPr>
          <w:p w14:paraId="78CB90E0"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Mzdy, platy, ...</w:t>
            </w:r>
            <w:r w:rsidRPr="00C07B70">
              <w:rPr>
                <w:rFonts w:cstheme="minorHAnsi"/>
                <w:sz w:val="24"/>
                <w:szCs w:val="24"/>
                <w:lang w:eastAsia="sk-SK"/>
              </w:rPr>
              <w:t xml:space="preserve"> </w:t>
            </w:r>
          </w:p>
        </w:tc>
        <w:tc>
          <w:tcPr>
            <w:tcW w:w="0" w:type="auto"/>
            <w:shd w:val="clear" w:color="auto" w:fill="EFEFEF"/>
            <w:noWrap/>
            <w:vAlign w:val="center"/>
            <w:hideMark/>
          </w:tcPr>
          <w:p w14:paraId="3481CA6D" w14:textId="77777777" w:rsidR="00BC024C" w:rsidRPr="00C07B70" w:rsidRDefault="00BC024C" w:rsidP="00BC024C">
            <w:pPr>
              <w:spacing w:after="0" w:line="240" w:lineRule="auto"/>
              <w:jc w:val="right"/>
              <w:rPr>
                <w:rFonts w:cstheme="minorHAnsi"/>
                <w:sz w:val="24"/>
                <w:szCs w:val="24"/>
                <w:lang w:eastAsia="sk-SK"/>
              </w:rPr>
            </w:pPr>
            <w:r w:rsidRPr="00D85383">
              <w:rPr>
                <w:rFonts w:cstheme="minorHAnsi"/>
                <w:sz w:val="20"/>
                <w:szCs w:val="20"/>
                <w:lang w:eastAsia="sk-SK"/>
              </w:rPr>
              <w:t>1 315 219,37</w:t>
            </w:r>
          </w:p>
        </w:tc>
        <w:tc>
          <w:tcPr>
            <w:tcW w:w="838" w:type="pct"/>
            <w:shd w:val="clear" w:color="auto" w:fill="EFEFEF"/>
            <w:noWrap/>
            <w:vAlign w:val="center"/>
            <w:hideMark/>
          </w:tcPr>
          <w:p w14:paraId="723F8FEF" w14:textId="77777777" w:rsidR="00BC024C" w:rsidRPr="00C07B70" w:rsidRDefault="00BC024C" w:rsidP="00BC024C">
            <w:pPr>
              <w:spacing w:after="0" w:line="240" w:lineRule="auto"/>
              <w:jc w:val="right"/>
              <w:rPr>
                <w:rFonts w:cstheme="minorHAnsi"/>
                <w:sz w:val="24"/>
                <w:szCs w:val="24"/>
                <w:lang w:eastAsia="sk-SK"/>
              </w:rPr>
            </w:pPr>
            <w:r w:rsidRPr="00D85383">
              <w:rPr>
                <w:rFonts w:cstheme="minorHAnsi"/>
                <w:sz w:val="20"/>
                <w:szCs w:val="20"/>
                <w:lang w:eastAsia="sk-SK"/>
              </w:rPr>
              <w:t>1 396 131,71</w:t>
            </w:r>
          </w:p>
        </w:tc>
        <w:tc>
          <w:tcPr>
            <w:tcW w:w="620" w:type="pct"/>
            <w:shd w:val="clear" w:color="auto" w:fill="EFEFEF"/>
            <w:noWrap/>
            <w:vAlign w:val="center"/>
            <w:hideMark/>
          </w:tcPr>
          <w:p w14:paraId="0B81C9F3" w14:textId="77777777" w:rsidR="00BC024C" w:rsidRPr="00C07B70" w:rsidRDefault="00BC024C" w:rsidP="00BC024C">
            <w:pPr>
              <w:spacing w:after="0" w:line="240" w:lineRule="auto"/>
              <w:jc w:val="right"/>
              <w:rPr>
                <w:rFonts w:cstheme="minorHAnsi"/>
                <w:sz w:val="24"/>
                <w:szCs w:val="24"/>
                <w:lang w:eastAsia="sk-SK"/>
              </w:rPr>
            </w:pPr>
            <w:r w:rsidRPr="00D85383">
              <w:rPr>
                <w:rFonts w:cstheme="minorHAnsi"/>
                <w:sz w:val="20"/>
                <w:szCs w:val="20"/>
                <w:lang w:eastAsia="sk-SK"/>
              </w:rPr>
              <w:t>834</w:t>
            </w:r>
            <w:r>
              <w:rPr>
                <w:rFonts w:cstheme="minorHAnsi"/>
                <w:sz w:val="20"/>
                <w:szCs w:val="20"/>
                <w:lang w:eastAsia="sk-SK"/>
              </w:rPr>
              <w:t> </w:t>
            </w:r>
            <w:r w:rsidRPr="00D85383">
              <w:rPr>
                <w:rFonts w:cstheme="minorHAnsi"/>
                <w:sz w:val="20"/>
                <w:szCs w:val="20"/>
                <w:lang w:eastAsia="sk-SK"/>
              </w:rPr>
              <w:t>41</w:t>
            </w:r>
            <w:r>
              <w:rPr>
                <w:rFonts w:cstheme="minorHAnsi"/>
                <w:sz w:val="20"/>
                <w:szCs w:val="20"/>
                <w:lang w:eastAsia="sk-SK"/>
              </w:rPr>
              <w:t>0,0</w:t>
            </w:r>
            <w:r w:rsidRPr="00D85383">
              <w:rPr>
                <w:rFonts w:cstheme="minorHAnsi"/>
                <w:sz w:val="20"/>
                <w:szCs w:val="20"/>
                <w:lang w:eastAsia="sk-SK"/>
              </w:rPr>
              <w:t>0</w:t>
            </w:r>
          </w:p>
        </w:tc>
        <w:tc>
          <w:tcPr>
            <w:tcW w:w="459" w:type="pct"/>
            <w:shd w:val="clear" w:color="auto" w:fill="EFEFEF"/>
            <w:noWrap/>
            <w:vAlign w:val="center"/>
            <w:hideMark/>
          </w:tcPr>
          <w:p w14:paraId="0D2D2827"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5</w:t>
            </w:r>
            <w:r w:rsidRPr="00C07B70">
              <w:rPr>
                <w:rFonts w:cstheme="minorHAnsi"/>
                <w:sz w:val="20"/>
                <w:szCs w:val="20"/>
                <w:lang w:eastAsia="sk-SK"/>
              </w:rPr>
              <w:t>9,</w:t>
            </w:r>
            <w:r>
              <w:rPr>
                <w:rFonts w:cstheme="minorHAnsi"/>
                <w:sz w:val="20"/>
                <w:szCs w:val="20"/>
                <w:lang w:eastAsia="sk-SK"/>
              </w:rPr>
              <w:t>77</w:t>
            </w:r>
            <w:r w:rsidRPr="00C07B70">
              <w:rPr>
                <w:rFonts w:cstheme="minorHAnsi"/>
                <w:sz w:val="24"/>
                <w:szCs w:val="24"/>
                <w:lang w:eastAsia="sk-SK"/>
              </w:rPr>
              <w:t xml:space="preserve"> </w:t>
            </w:r>
          </w:p>
        </w:tc>
        <w:tc>
          <w:tcPr>
            <w:tcW w:w="1034" w:type="pct"/>
            <w:vMerge/>
            <w:shd w:val="clear" w:color="auto" w:fill="EFEFEF"/>
            <w:vAlign w:val="center"/>
            <w:hideMark/>
          </w:tcPr>
          <w:p w14:paraId="186A0E7A" w14:textId="77777777" w:rsidR="00BC024C" w:rsidRPr="00C07B70" w:rsidRDefault="00BC024C" w:rsidP="00BC024C">
            <w:pPr>
              <w:spacing w:after="0" w:line="240" w:lineRule="auto"/>
              <w:rPr>
                <w:rFonts w:cstheme="minorHAnsi"/>
                <w:sz w:val="24"/>
                <w:szCs w:val="24"/>
                <w:lang w:eastAsia="sk-SK"/>
              </w:rPr>
            </w:pPr>
          </w:p>
        </w:tc>
      </w:tr>
      <w:tr w:rsidR="00BC024C" w:rsidRPr="00C07B70" w14:paraId="04930A59" w14:textId="77777777" w:rsidTr="00BC024C">
        <w:trPr>
          <w:tblCellSpacing w:w="15" w:type="dxa"/>
        </w:trPr>
        <w:tc>
          <w:tcPr>
            <w:tcW w:w="249" w:type="pct"/>
            <w:shd w:val="clear" w:color="auto" w:fill="EFEFEF"/>
            <w:noWrap/>
            <w:vAlign w:val="center"/>
            <w:hideMark/>
          </w:tcPr>
          <w:p w14:paraId="79BF3FF7"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620</w:t>
            </w:r>
            <w:r w:rsidRPr="00C07B70">
              <w:rPr>
                <w:rFonts w:cstheme="minorHAnsi"/>
                <w:sz w:val="24"/>
                <w:szCs w:val="24"/>
                <w:lang w:eastAsia="sk-SK"/>
              </w:rPr>
              <w:t xml:space="preserve"> </w:t>
            </w:r>
          </w:p>
        </w:tc>
        <w:tc>
          <w:tcPr>
            <w:tcW w:w="1034" w:type="pct"/>
            <w:shd w:val="clear" w:color="auto" w:fill="EFEFEF"/>
            <w:vAlign w:val="center"/>
            <w:hideMark/>
          </w:tcPr>
          <w:p w14:paraId="3905E7D5"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Poistné do poisťovní</w:t>
            </w:r>
            <w:r w:rsidRPr="00C07B70">
              <w:rPr>
                <w:rFonts w:cstheme="minorHAnsi"/>
                <w:sz w:val="24"/>
                <w:szCs w:val="24"/>
                <w:lang w:eastAsia="sk-SK"/>
              </w:rPr>
              <w:t xml:space="preserve"> </w:t>
            </w:r>
          </w:p>
        </w:tc>
        <w:tc>
          <w:tcPr>
            <w:tcW w:w="0" w:type="auto"/>
            <w:shd w:val="clear" w:color="auto" w:fill="EFEFEF"/>
            <w:noWrap/>
            <w:vAlign w:val="center"/>
            <w:hideMark/>
          </w:tcPr>
          <w:p w14:paraId="329BAF05" w14:textId="77777777" w:rsidR="00BC024C" w:rsidRPr="00C07B70" w:rsidRDefault="00BC024C" w:rsidP="00BC024C">
            <w:pPr>
              <w:spacing w:after="0" w:line="240" w:lineRule="auto"/>
              <w:jc w:val="right"/>
              <w:rPr>
                <w:rFonts w:cstheme="minorHAnsi"/>
                <w:sz w:val="24"/>
                <w:szCs w:val="24"/>
                <w:lang w:eastAsia="sk-SK"/>
              </w:rPr>
            </w:pPr>
            <w:r w:rsidRPr="005B015E">
              <w:rPr>
                <w:rFonts w:cstheme="minorHAnsi"/>
                <w:sz w:val="20"/>
                <w:szCs w:val="20"/>
                <w:lang w:eastAsia="sk-SK"/>
              </w:rPr>
              <w:t>457 487,99</w:t>
            </w:r>
          </w:p>
        </w:tc>
        <w:tc>
          <w:tcPr>
            <w:tcW w:w="838" w:type="pct"/>
            <w:shd w:val="clear" w:color="auto" w:fill="EFEFEF"/>
            <w:noWrap/>
            <w:vAlign w:val="center"/>
            <w:hideMark/>
          </w:tcPr>
          <w:p w14:paraId="19962816" w14:textId="77777777" w:rsidR="00BC024C" w:rsidRPr="00C07B70" w:rsidRDefault="00BC024C" w:rsidP="00BC024C">
            <w:pPr>
              <w:spacing w:after="0" w:line="240" w:lineRule="auto"/>
              <w:jc w:val="right"/>
              <w:rPr>
                <w:rFonts w:cstheme="minorHAnsi"/>
                <w:sz w:val="24"/>
                <w:szCs w:val="24"/>
                <w:lang w:eastAsia="sk-SK"/>
              </w:rPr>
            </w:pPr>
            <w:r w:rsidRPr="005B015E">
              <w:rPr>
                <w:rFonts w:cstheme="minorHAnsi"/>
                <w:sz w:val="20"/>
                <w:szCs w:val="20"/>
                <w:lang w:eastAsia="sk-SK"/>
              </w:rPr>
              <w:t>560 901,84</w:t>
            </w:r>
          </w:p>
        </w:tc>
        <w:tc>
          <w:tcPr>
            <w:tcW w:w="620" w:type="pct"/>
            <w:shd w:val="clear" w:color="auto" w:fill="EFEFEF"/>
            <w:noWrap/>
            <w:vAlign w:val="center"/>
            <w:hideMark/>
          </w:tcPr>
          <w:p w14:paraId="308CA298" w14:textId="77777777" w:rsidR="00BC024C" w:rsidRPr="00C07B70" w:rsidRDefault="00BC024C" w:rsidP="00BC024C">
            <w:pPr>
              <w:spacing w:after="0" w:line="240" w:lineRule="auto"/>
              <w:jc w:val="right"/>
              <w:rPr>
                <w:rFonts w:cstheme="minorHAnsi"/>
                <w:sz w:val="24"/>
                <w:szCs w:val="24"/>
                <w:lang w:eastAsia="sk-SK"/>
              </w:rPr>
            </w:pPr>
            <w:r w:rsidRPr="005B015E">
              <w:rPr>
                <w:rFonts w:cstheme="minorHAnsi"/>
                <w:sz w:val="20"/>
                <w:szCs w:val="20"/>
                <w:lang w:eastAsia="sk-SK"/>
              </w:rPr>
              <w:t>464 772,01</w:t>
            </w:r>
          </w:p>
        </w:tc>
        <w:tc>
          <w:tcPr>
            <w:tcW w:w="459" w:type="pct"/>
            <w:shd w:val="clear" w:color="auto" w:fill="EFEFEF"/>
            <w:noWrap/>
            <w:vAlign w:val="center"/>
            <w:hideMark/>
          </w:tcPr>
          <w:p w14:paraId="1E466974"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82,</w:t>
            </w:r>
            <w:r>
              <w:rPr>
                <w:rFonts w:cstheme="minorHAnsi"/>
                <w:sz w:val="20"/>
                <w:szCs w:val="20"/>
                <w:lang w:eastAsia="sk-SK"/>
              </w:rPr>
              <w:t>86</w:t>
            </w:r>
            <w:r w:rsidRPr="00C07B70">
              <w:rPr>
                <w:rFonts w:cstheme="minorHAnsi"/>
                <w:sz w:val="24"/>
                <w:szCs w:val="24"/>
                <w:lang w:eastAsia="sk-SK"/>
              </w:rPr>
              <w:t xml:space="preserve"> </w:t>
            </w:r>
          </w:p>
        </w:tc>
        <w:tc>
          <w:tcPr>
            <w:tcW w:w="1034" w:type="pct"/>
            <w:vMerge/>
            <w:shd w:val="clear" w:color="auto" w:fill="EFEFEF"/>
            <w:vAlign w:val="center"/>
            <w:hideMark/>
          </w:tcPr>
          <w:p w14:paraId="0E483E84" w14:textId="77777777" w:rsidR="00BC024C" w:rsidRPr="00C07B70" w:rsidRDefault="00BC024C" w:rsidP="00BC024C">
            <w:pPr>
              <w:spacing w:after="0" w:line="240" w:lineRule="auto"/>
              <w:rPr>
                <w:rFonts w:cstheme="minorHAnsi"/>
                <w:sz w:val="24"/>
                <w:szCs w:val="24"/>
                <w:lang w:eastAsia="sk-SK"/>
              </w:rPr>
            </w:pPr>
          </w:p>
        </w:tc>
      </w:tr>
      <w:tr w:rsidR="00BC024C" w:rsidRPr="00C07B70" w14:paraId="02C123EB" w14:textId="77777777" w:rsidTr="00BC024C">
        <w:trPr>
          <w:tblCellSpacing w:w="15" w:type="dxa"/>
        </w:trPr>
        <w:tc>
          <w:tcPr>
            <w:tcW w:w="249" w:type="pct"/>
            <w:shd w:val="clear" w:color="auto" w:fill="EFEFEF"/>
            <w:noWrap/>
            <w:vAlign w:val="center"/>
            <w:hideMark/>
          </w:tcPr>
          <w:p w14:paraId="1800BB3F"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630</w:t>
            </w:r>
            <w:r w:rsidRPr="00C07B70">
              <w:rPr>
                <w:rFonts w:cstheme="minorHAnsi"/>
                <w:sz w:val="24"/>
                <w:szCs w:val="24"/>
                <w:lang w:eastAsia="sk-SK"/>
              </w:rPr>
              <w:t xml:space="preserve"> </w:t>
            </w:r>
          </w:p>
        </w:tc>
        <w:tc>
          <w:tcPr>
            <w:tcW w:w="1034" w:type="pct"/>
            <w:shd w:val="clear" w:color="auto" w:fill="EFEFEF"/>
            <w:vAlign w:val="center"/>
            <w:hideMark/>
          </w:tcPr>
          <w:p w14:paraId="6F1C1B3A"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Tovary a služby</w:t>
            </w:r>
            <w:r w:rsidRPr="00C07B70">
              <w:rPr>
                <w:rFonts w:cstheme="minorHAnsi"/>
                <w:sz w:val="24"/>
                <w:szCs w:val="24"/>
                <w:lang w:eastAsia="sk-SK"/>
              </w:rPr>
              <w:t xml:space="preserve"> </w:t>
            </w:r>
          </w:p>
        </w:tc>
        <w:tc>
          <w:tcPr>
            <w:tcW w:w="0" w:type="auto"/>
            <w:shd w:val="clear" w:color="auto" w:fill="EFEFEF"/>
            <w:noWrap/>
            <w:vAlign w:val="center"/>
            <w:hideMark/>
          </w:tcPr>
          <w:p w14:paraId="244D7AE1" w14:textId="77777777" w:rsidR="00BC024C" w:rsidRPr="00C07B70" w:rsidRDefault="00BC024C" w:rsidP="00BC024C">
            <w:pPr>
              <w:spacing w:after="0" w:line="240" w:lineRule="auto"/>
              <w:jc w:val="right"/>
              <w:rPr>
                <w:rFonts w:cstheme="minorHAnsi"/>
                <w:sz w:val="24"/>
                <w:szCs w:val="24"/>
                <w:lang w:eastAsia="sk-SK"/>
              </w:rPr>
            </w:pPr>
            <w:r w:rsidRPr="00926A60">
              <w:rPr>
                <w:rFonts w:cstheme="minorHAnsi"/>
                <w:sz w:val="20"/>
                <w:szCs w:val="20"/>
                <w:lang w:eastAsia="sk-SK"/>
              </w:rPr>
              <w:t>2 962 569,38</w:t>
            </w:r>
          </w:p>
        </w:tc>
        <w:tc>
          <w:tcPr>
            <w:tcW w:w="838" w:type="pct"/>
            <w:shd w:val="clear" w:color="auto" w:fill="EFEFEF"/>
            <w:noWrap/>
            <w:vAlign w:val="center"/>
            <w:hideMark/>
          </w:tcPr>
          <w:p w14:paraId="4B6FD87D" w14:textId="77777777" w:rsidR="00BC024C" w:rsidRPr="00C07B70" w:rsidRDefault="00BC024C" w:rsidP="00BC024C">
            <w:pPr>
              <w:spacing w:after="0" w:line="240" w:lineRule="auto"/>
              <w:jc w:val="right"/>
              <w:rPr>
                <w:rFonts w:cstheme="minorHAnsi"/>
                <w:sz w:val="24"/>
                <w:szCs w:val="24"/>
                <w:lang w:eastAsia="sk-SK"/>
              </w:rPr>
            </w:pPr>
            <w:r w:rsidRPr="00926A60">
              <w:rPr>
                <w:rFonts w:cstheme="minorHAnsi"/>
                <w:sz w:val="20"/>
                <w:szCs w:val="20"/>
                <w:lang w:eastAsia="sk-SK"/>
              </w:rPr>
              <w:t>2 669 811,31</w:t>
            </w:r>
          </w:p>
        </w:tc>
        <w:tc>
          <w:tcPr>
            <w:tcW w:w="620" w:type="pct"/>
            <w:shd w:val="clear" w:color="auto" w:fill="EFEFEF"/>
            <w:noWrap/>
            <w:vAlign w:val="center"/>
            <w:hideMark/>
          </w:tcPr>
          <w:p w14:paraId="1CD10995" w14:textId="77777777" w:rsidR="00BC024C" w:rsidRPr="00C07B70" w:rsidRDefault="00BC024C" w:rsidP="00BC024C">
            <w:pPr>
              <w:spacing w:after="0" w:line="240" w:lineRule="auto"/>
              <w:jc w:val="right"/>
              <w:rPr>
                <w:rFonts w:cstheme="minorHAnsi"/>
                <w:sz w:val="24"/>
                <w:szCs w:val="24"/>
                <w:lang w:eastAsia="sk-SK"/>
              </w:rPr>
            </w:pPr>
            <w:r w:rsidRPr="00926A60">
              <w:rPr>
                <w:rFonts w:cstheme="minorHAnsi"/>
                <w:sz w:val="20"/>
                <w:szCs w:val="20"/>
                <w:lang w:eastAsia="sk-SK"/>
              </w:rPr>
              <w:t>1 129 984,22</w:t>
            </w:r>
          </w:p>
        </w:tc>
        <w:tc>
          <w:tcPr>
            <w:tcW w:w="459" w:type="pct"/>
            <w:shd w:val="clear" w:color="auto" w:fill="EFEFEF"/>
            <w:noWrap/>
            <w:vAlign w:val="center"/>
            <w:hideMark/>
          </w:tcPr>
          <w:p w14:paraId="1A694843"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42</w:t>
            </w:r>
            <w:r w:rsidRPr="00C07B70">
              <w:rPr>
                <w:rFonts w:cstheme="minorHAnsi"/>
                <w:sz w:val="20"/>
                <w:szCs w:val="20"/>
                <w:lang w:eastAsia="sk-SK"/>
              </w:rPr>
              <w:t>,</w:t>
            </w:r>
            <w:r>
              <w:rPr>
                <w:rFonts w:cstheme="minorHAnsi"/>
                <w:sz w:val="20"/>
                <w:szCs w:val="20"/>
                <w:lang w:eastAsia="sk-SK"/>
              </w:rPr>
              <w:t>32</w:t>
            </w:r>
            <w:r w:rsidRPr="00C07B70">
              <w:rPr>
                <w:rFonts w:cstheme="minorHAnsi"/>
                <w:sz w:val="24"/>
                <w:szCs w:val="24"/>
                <w:lang w:eastAsia="sk-SK"/>
              </w:rPr>
              <w:t xml:space="preserve"> </w:t>
            </w:r>
          </w:p>
        </w:tc>
        <w:tc>
          <w:tcPr>
            <w:tcW w:w="1034" w:type="pct"/>
            <w:vMerge/>
            <w:shd w:val="clear" w:color="auto" w:fill="EFEFEF"/>
            <w:vAlign w:val="center"/>
            <w:hideMark/>
          </w:tcPr>
          <w:p w14:paraId="5405EF7B" w14:textId="77777777" w:rsidR="00BC024C" w:rsidRPr="00C07B70" w:rsidRDefault="00BC024C" w:rsidP="00BC024C">
            <w:pPr>
              <w:spacing w:after="0" w:line="240" w:lineRule="auto"/>
              <w:rPr>
                <w:rFonts w:cstheme="minorHAnsi"/>
                <w:sz w:val="24"/>
                <w:szCs w:val="24"/>
                <w:lang w:eastAsia="sk-SK"/>
              </w:rPr>
            </w:pPr>
          </w:p>
        </w:tc>
      </w:tr>
      <w:tr w:rsidR="00BC024C" w:rsidRPr="00C07B70" w14:paraId="6633C0B3" w14:textId="77777777" w:rsidTr="00BC024C">
        <w:trPr>
          <w:tblCellSpacing w:w="15" w:type="dxa"/>
        </w:trPr>
        <w:tc>
          <w:tcPr>
            <w:tcW w:w="249" w:type="pct"/>
            <w:shd w:val="clear" w:color="auto" w:fill="EFEFEF"/>
            <w:noWrap/>
            <w:vAlign w:val="center"/>
            <w:hideMark/>
          </w:tcPr>
          <w:p w14:paraId="468BA6DE"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640</w:t>
            </w:r>
            <w:r w:rsidRPr="00C07B70">
              <w:rPr>
                <w:rFonts w:cstheme="minorHAnsi"/>
                <w:sz w:val="24"/>
                <w:szCs w:val="24"/>
                <w:lang w:eastAsia="sk-SK"/>
              </w:rPr>
              <w:t xml:space="preserve"> </w:t>
            </w:r>
          </w:p>
        </w:tc>
        <w:tc>
          <w:tcPr>
            <w:tcW w:w="1034" w:type="pct"/>
            <w:shd w:val="clear" w:color="auto" w:fill="EFEFEF"/>
            <w:vAlign w:val="center"/>
            <w:hideMark/>
          </w:tcPr>
          <w:p w14:paraId="768D6AD7"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Bežné transfery</w:t>
            </w:r>
            <w:r w:rsidRPr="00C07B70">
              <w:rPr>
                <w:rFonts w:cstheme="minorHAnsi"/>
                <w:sz w:val="24"/>
                <w:szCs w:val="24"/>
                <w:lang w:eastAsia="sk-SK"/>
              </w:rPr>
              <w:t xml:space="preserve"> </w:t>
            </w:r>
          </w:p>
        </w:tc>
        <w:tc>
          <w:tcPr>
            <w:tcW w:w="0" w:type="auto"/>
            <w:shd w:val="clear" w:color="auto" w:fill="EFEFEF"/>
            <w:noWrap/>
            <w:vAlign w:val="center"/>
            <w:hideMark/>
          </w:tcPr>
          <w:p w14:paraId="2A48A2EF" w14:textId="77777777" w:rsidR="00BC024C" w:rsidRPr="00C07B70" w:rsidRDefault="00BC024C" w:rsidP="00BC024C">
            <w:pPr>
              <w:spacing w:after="0" w:line="240" w:lineRule="auto"/>
              <w:jc w:val="right"/>
              <w:rPr>
                <w:rFonts w:cstheme="minorHAnsi"/>
                <w:sz w:val="24"/>
                <w:szCs w:val="24"/>
                <w:lang w:eastAsia="sk-SK"/>
              </w:rPr>
            </w:pPr>
            <w:r w:rsidRPr="009D67CE">
              <w:rPr>
                <w:rFonts w:cstheme="minorHAnsi"/>
                <w:sz w:val="20"/>
                <w:szCs w:val="20"/>
                <w:lang w:eastAsia="sk-SK"/>
              </w:rPr>
              <w:t>2 235 576,67</w:t>
            </w:r>
          </w:p>
        </w:tc>
        <w:tc>
          <w:tcPr>
            <w:tcW w:w="838" w:type="pct"/>
            <w:shd w:val="clear" w:color="auto" w:fill="EFEFEF"/>
            <w:noWrap/>
            <w:vAlign w:val="center"/>
            <w:hideMark/>
          </w:tcPr>
          <w:p w14:paraId="3F9F62CC" w14:textId="77777777" w:rsidR="00BC024C" w:rsidRPr="00C07B70" w:rsidRDefault="00BC024C" w:rsidP="00BC024C">
            <w:pPr>
              <w:spacing w:after="0" w:line="240" w:lineRule="auto"/>
              <w:jc w:val="right"/>
              <w:rPr>
                <w:rFonts w:cstheme="minorHAnsi"/>
                <w:sz w:val="24"/>
                <w:szCs w:val="24"/>
                <w:lang w:eastAsia="sk-SK"/>
              </w:rPr>
            </w:pPr>
            <w:r w:rsidRPr="009D67CE">
              <w:rPr>
                <w:rFonts w:cstheme="minorHAnsi"/>
                <w:sz w:val="20"/>
                <w:szCs w:val="20"/>
                <w:lang w:eastAsia="sk-SK"/>
              </w:rPr>
              <w:t>2 217 292,65</w:t>
            </w:r>
          </w:p>
        </w:tc>
        <w:tc>
          <w:tcPr>
            <w:tcW w:w="620" w:type="pct"/>
            <w:shd w:val="clear" w:color="auto" w:fill="EFEFEF"/>
            <w:noWrap/>
            <w:vAlign w:val="center"/>
            <w:hideMark/>
          </w:tcPr>
          <w:p w14:paraId="609DF9E2" w14:textId="77777777" w:rsidR="00BC024C" w:rsidRPr="00C07B70" w:rsidRDefault="00BC024C" w:rsidP="00BC024C">
            <w:pPr>
              <w:spacing w:after="0" w:line="240" w:lineRule="auto"/>
              <w:jc w:val="right"/>
              <w:rPr>
                <w:rFonts w:cstheme="minorHAnsi"/>
                <w:sz w:val="24"/>
                <w:szCs w:val="24"/>
                <w:lang w:eastAsia="sk-SK"/>
              </w:rPr>
            </w:pPr>
            <w:r w:rsidRPr="009D67CE">
              <w:rPr>
                <w:rFonts w:cstheme="minorHAnsi"/>
                <w:sz w:val="20"/>
                <w:szCs w:val="20"/>
                <w:lang w:eastAsia="sk-SK"/>
              </w:rPr>
              <w:t>892 029,17</w:t>
            </w:r>
          </w:p>
        </w:tc>
        <w:tc>
          <w:tcPr>
            <w:tcW w:w="459" w:type="pct"/>
            <w:shd w:val="clear" w:color="auto" w:fill="EFEFEF"/>
            <w:noWrap/>
            <w:vAlign w:val="center"/>
            <w:hideMark/>
          </w:tcPr>
          <w:p w14:paraId="278841C6"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40</w:t>
            </w:r>
            <w:r w:rsidRPr="00C07B70">
              <w:rPr>
                <w:rFonts w:cstheme="minorHAnsi"/>
                <w:sz w:val="20"/>
                <w:szCs w:val="20"/>
                <w:lang w:eastAsia="sk-SK"/>
              </w:rPr>
              <w:t>,</w:t>
            </w:r>
            <w:r>
              <w:rPr>
                <w:rFonts w:cstheme="minorHAnsi"/>
                <w:sz w:val="20"/>
                <w:szCs w:val="20"/>
                <w:lang w:eastAsia="sk-SK"/>
              </w:rPr>
              <w:t>23</w:t>
            </w:r>
            <w:r w:rsidRPr="00C07B70">
              <w:rPr>
                <w:rFonts w:cstheme="minorHAnsi"/>
                <w:sz w:val="24"/>
                <w:szCs w:val="24"/>
                <w:lang w:eastAsia="sk-SK"/>
              </w:rPr>
              <w:t xml:space="preserve"> </w:t>
            </w:r>
          </w:p>
        </w:tc>
        <w:tc>
          <w:tcPr>
            <w:tcW w:w="1034" w:type="pct"/>
            <w:vMerge/>
            <w:shd w:val="clear" w:color="auto" w:fill="EFEFEF"/>
            <w:vAlign w:val="center"/>
            <w:hideMark/>
          </w:tcPr>
          <w:p w14:paraId="31500745" w14:textId="77777777" w:rsidR="00BC024C" w:rsidRPr="00C07B70" w:rsidRDefault="00BC024C" w:rsidP="00BC024C">
            <w:pPr>
              <w:spacing w:after="0" w:line="240" w:lineRule="auto"/>
              <w:rPr>
                <w:rFonts w:cstheme="minorHAnsi"/>
                <w:sz w:val="24"/>
                <w:szCs w:val="24"/>
                <w:lang w:eastAsia="sk-SK"/>
              </w:rPr>
            </w:pPr>
          </w:p>
        </w:tc>
      </w:tr>
      <w:tr w:rsidR="00BC024C" w:rsidRPr="00C07B70" w14:paraId="5E012464" w14:textId="77777777" w:rsidTr="00BC024C">
        <w:trPr>
          <w:tblCellSpacing w:w="15" w:type="dxa"/>
        </w:trPr>
        <w:tc>
          <w:tcPr>
            <w:tcW w:w="249" w:type="pct"/>
            <w:shd w:val="clear" w:color="auto" w:fill="EFEFEF"/>
            <w:noWrap/>
            <w:vAlign w:val="center"/>
            <w:hideMark/>
          </w:tcPr>
          <w:p w14:paraId="6A747CAD"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650</w:t>
            </w:r>
            <w:r w:rsidRPr="00C07B70">
              <w:rPr>
                <w:rFonts w:cstheme="minorHAnsi"/>
                <w:sz w:val="24"/>
                <w:szCs w:val="24"/>
                <w:lang w:eastAsia="sk-SK"/>
              </w:rPr>
              <w:t xml:space="preserve"> </w:t>
            </w:r>
          </w:p>
        </w:tc>
        <w:tc>
          <w:tcPr>
            <w:tcW w:w="1034" w:type="pct"/>
            <w:shd w:val="clear" w:color="auto" w:fill="EFEFEF"/>
            <w:vAlign w:val="center"/>
            <w:hideMark/>
          </w:tcPr>
          <w:p w14:paraId="11DFD709"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Splácanie úrokov</w:t>
            </w:r>
            <w:r w:rsidRPr="00C07B70">
              <w:rPr>
                <w:rFonts w:cstheme="minorHAnsi"/>
                <w:sz w:val="24"/>
                <w:szCs w:val="24"/>
                <w:lang w:eastAsia="sk-SK"/>
              </w:rPr>
              <w:t xml:space="preserve"> </w:t>
            </w:r>
          </w:p>
        </w:tc>
        <w:tc>
          <w:tcPr>
            <w:tcW w:w="0" w:type="auto"/>
            <w:shd w:val="clear" w:color="auto" w:fill="EFEFEF"/>
            <w:noWrap/>
            <w:vAlign w:val="center"/>
            <w:hideMark/>
          </w:tcPr>
          <w:p w14:paraId="5349341C" w14:textId="77777777" w:rsidR="00BC024C" w:rsidRPr="00C07B70" w:rsidRDefault="00BC024C" w:rsidP="00BC024C">
            <w:pPr>
              <w:spacing w:after="0" w:line="240" w:lineRule="auto"/>
              <w:jc w:val="right"/>
              <w:rPr>
                <w:rFonts w:cstheme="minorHAnsi"/>
                <w:sz w:val="24"/>
                <w:szCs w:val="24"/>
                <w:lang w:eastAsia="sk-SK"/>
              </w:rPr>
            </w:pPr>
            <w:r w:rsidRPr="00383B30">
              <w:rPr>
                <w:rFonts w:cstheme="minorHAnsi"/>
                <w:sz w:val="20"/>
                <w:szCs w:val="20"/>
                <w:lang w:eastAsia="sk-SK"/>
              </w:rPr>
              <w:t>370</w:t>
            </w:r>
            <w:r>
              <w:rPr>
                <w:rFonts w:cstheme="minorHAnsi"/>
                <w:sz w:val="20"/>
                <w:szCs w:val="20"/>
                <w:lang w:eastAsia="sk-SK"/>
              </w:rPr>
              <w:t> </w:t>
            </w:r>
            <w:r w:rsidRPr="00383B30">
              <w:rPr>
                <w:rFonts w:cstheme="minorHAnsi"/>
                <w:sz w:val="20"/>
                <w:szCs w:val="20"/>
                <w:lang w:eastAsia="sk-SK"/>
              </w:rPr>
              <w:t>000</w:t>
            </w:r>
            <w:r>
              <w:rPr>
                <w:rFonts w:cstheme="minorHAnsi"/>
                <w:sz w:val="20"/>
                <w:szCs w:val="20"/>
                <w:lang w:eastAsia="sk-SK"/>
              </w:rPr>
              <w:t>,00</w:t>
            </w:r>
          </w:p>
        </w:tc>
        <w:tc>
          <w:tcPr>
            <w:tcW w:w="838" w:type="pct"/>
            <w:shd w:val="clear" w:color="auto" w:fill="EFEFEF"/>
            <w:noWrap/>
            <w:vAlign w:val="center"/>
            <w:hideMark/>
          </w:tcPr>
          <w:p w14:paraId="3A60E6B8" w14:textId="77777777" w:rsidR="00BC024C" w:rsidRPr="00C07B70" w:rsidRDefault="00BC024C" w:rsidP="00BC024C">
            <w:pPr>
              <w:spacing w:after="0" w:line="240" w:lineRule="auto"/>
              <w:jc w:val="right"/>
              <w:rPr>
                <w:rFonts w:cstheme="minorHAnsi"/>
                <w:sz w:val="24"/>
                <w:szCs w:val="24"/>
                <w:lang w:eastAsia="sk-SK"/>
              </w:rPr>
            </w:pPr>
            <w:r w:rsidRPr="00383B30">
              <w:rPr>
                <w:rFonts w:cstheme="minorHAnsi"/>
                <w:sz w:val="20"/>
                <w:szCs w:val="20"/>
                <w:lang w:eastAsia="sk-SK"/>
              </w:rPr>
              <w:t>222 854,39</w:t>
            </w:r>
          </w:p>
        </w:tc>
        <w:tc>
          <w:tcPr>
            <w:tcW w:w="620" w:type="pct"/>
            <w:shd w:val="clear" w:color="auto" w:fill="EFEFEF"/>
            <w:noWrap/>
            <w:vAlign w:val="center"/>
            <w:hideMark/>
          </w:tcPr>
          <w:p w14:paraId="328004CD" w14:textId="77777777" w:rsidR="00BC024C" w:rsidRPr="00C07B70" w:rsidRDefault="00BC024C" w:rsidP="00BC024C">
            <w:pPr>
              <w:spacing w:after="0" w:line="240" w:lineRule="auto"/>
              <w:jc w:val="right"/>
              <w:rPr>
                <w:rFonts w:cstheme="minorHAnsi"/>
                <w:sz w:val="24"/>
                <w:szCs w:val="24"/>
                <w:lang w:eastAsia="sk-SK"/>
              </w:rPr>
            </w:pPr>
            <w:r w:rsidRPr="00383B30">
              <w:rPr>
                <w:rFonts w:cstheme="minorHAnsi"/>
                <w:sz w:val="20"/>
                <w:szCs w:val="20"/>
                <w:lang w:eastAsia="sk-SK"/>
              </w:rPr>
              <w:t>153 336,05</w:t>
            </w:r>
          </w:p>
        </w:tc>
        <w:tc>
          <w:tcPr>
            <w:tcW w:w="459" w:type="pct"/>
            <w:shd w:val="clear" w:color="auto" w:fill="EFEFEF"/>
            <w:noWrap/>
            <w:vAlign w:val="center"/>
            <w:hideMark/>
          </w:tcPr>
          <w:p w14:paraId="7444EBC9"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6</w:t>
            </w:r>
            <w:r w:rsidRPr="00C07B70">
              <w:rPr>
                <w:rFonts w:cstheme="minorHAnsi"/>
                <w:sz w:val="20"/>
                <w:szCs w:val="20"/>
                <w:lang w:eastAsia="sk-SK"/>
              </w:rPr>
              <w:t>8,</w:t>
            </w:r>
            <w:r>
              <w:rPr>
                <w:rFonts w:cstheme="minorHAnsi"/>
                <w:sz w:val="20"/>
                <w:szCs w:val="20"/>
                <w:lang w:eastAsia="sk-SK"/>
              </w:rPr>
              <w:t>81</w:t>
            </w:r>
            <w:r w:rsidRPr="00C07B70">
              <w:rPr>
                <w:rFonts w:cstheme="minorHAnsi"/>
                <w:sz w:val="24"/>
                <w:szCs w:val="24"/>
                <w:lang w:eastAsia="sk-SK"/>
              </w:rPr>
              <w:t xml:space="preserve"> </w:t>
            </w:r>
          </w:p>
        </w:tc>
        <w:tc>
          <w:tcPr>
            <w:tcW w:w="1034" w:type="pct"/>
            <w:vMerge/>
            <w:shd w:val="clear" w:color="auto" w:fill="EFEFEF"/>
            <w:vAlign w:val="center"/>
            <w:hideMark/>
          </w:tcPr>
          <w:p w14:paraId="13166A85" w14:textId="77777777" w:rsidR="00BC024C" w:rsidRPr="00C07B70" w:rsidRDefault="00BC024C" w:rsidP="00BC024C">
            <w:pPr>
              <w:spacing w:after="0" w:line="240" w:lineRule="auto"/>
              <w:rPr>
                <w:rFonts w:cstheme="minorHAnsi"/>
                <w:sz w:val="24"/>
                <w:szCs w:val="24"/>
                <w:lang w:eastAsia="sk-SK"/>
              </w:rPr>
            </w:pPr>
          </w:p>
        </w:tc>
      </w:tr>
      <w:tr w:rsidR="00BC024C" w:rsidRPr="00C07B70" w14:paraId="031C6A6D" w14:textId="77777777" w:rsidTr="00BC024C">
        <w:trPr>
          <w:tblCellSpacing w:w="15" w:type="dxa"/>
        </w:trPr>
        <w:tc>
          <w:tcPr>
            <w:tcW w:w="249" w:type="pct"/>
            <w:shd w:val="clear" w:color="auto" w:fill="D9D9D9"/>
            <w:noWrap/>
            <w:vAlign w:val="center"/>
            <w:hideMark/>
          </w:tcPr>
          <w:p w14:paraId="6CDDF362"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700</w:t>
            </w:r>
            <w:r w:rsidRPr="00C07B70">
              <w:rPr>
                <w:rFonts w:cstheme="minorHAnsi"/>
                <w:sz w:val="24"/>
                <w:szCs w:val="24"/>
                <w:lang w:eastAsia="sk-SK"/>
              </w:rPr>
              <w:t xml:space="preserve"> </w:t>
            </w:r>
          </w:p>
        </w:tc>
        <w:tc>
          <w:tcPr>
            <w:tcW w:w="1034" w:type="pct"/>
            <w:shd w:val="clear" w:color="auto" w:fill="D9D9D9"/>
            <w:vAlign w:val="center"/>
            <w:hideMark/>
          </w:tcPr>
          <w:p w14:paraId="19CED563"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Kapitálové výdavky</w:t>
            </w:r>
            <w:r w:rsidRPr="00C07B70">
              <w:rPr>
                <w:rFonts w:cstheme="minorHAnsi"/>
                <w:sz w:val="24"/>
                <w:szCs w:val="24"/>
                <w:lang w:eastAsia="sk-SK"/>
              </w:rPr>
              <w:t xml:space="preserve"> </w:t>
            </w:r>
          </w:p>
        </w:tc>
        <w:tc>
          <w:tcPr>
            <w:tcW w:w="0" w:type="auto"/>
            <w:shd w:val="clear" w:color="auto" w:fill="D9D9D9"/>
            <w:noWrap/>
            <w:vAlign w:val="center"/>
            <w:hideMark/>
          </w:tcPr>
          <w:p w14:paraId="2EDD0843" w14:textId="77777777" w:rsidR="00BC024C" w:rsidRPr="00C07B70" w:rsidRDefault="00BC024C" w:rsidP="00BC024C">
            <w:pPr>
              <w:spacing w:after="0" w:line="240" w:lineRule="auto"/>
              <w:jc w:val="right"/>
              <w:rPr>
                <w:rFonts w:cstheme="minorHAnsi"/>
                <w:sz w:val="24"/>
                <w:szCs w:val="24"/>
                <w:lang w:eastAsia="sk-SK"/>
              </w:rPr>
            </w:pPr>
            <w:r w:rsidRPr="00DA4300">
              <w:rPr>
                <w:rFonts w:cstheme="minorHAnsi"/>
                <w:b/>
                <w:bCs/>
                <w:sz w:val="20"/>
                <w:szCs w:val="20"/>
                <w:lang w:eastAsia="sk-SK"/>
              </w:rPr>
              <w:t>13 942 645,38</w:t>
            </w:r>
          </w:p>
        </w:tc>
        <w:tc>
          <w:tcPr>
            <w:tcW w:w="838" w:type="pct"/>
            <w:shd w:val="clear" w:color="auto" w:fill="D9D9D9"/>
            <w:noWrap/>
            <w:vAlign w:val="center"/>
            <w:hideMark/>
          </w:tcPr>
          <w:p w14:paraId="7092CF40" w14:textId="77777777" w:rsidR="00BC024C" w:rsidRPr="00C07B70" w:rsidRDefault="00BC024C" w:rsidP="00BC024C">
            <w:pPr>
              <w:spacing w:after="0" w:line="240" w:lineRule="auto"/>
              <w:jc w:val="right"/>
              <w:rPr>
                <w:rFonts w:cstheme="minorHAnsi"/>
                <w:sz w:val="24"/>
                <w:szCs w:val="24"/>
                <w:lang w:eastAsia="sk-SK"/>
              </w:rPr>
            </w:pPr>
            <w:r w:rsidRPr="00DA4300">
              <w:rPr>
                <w:rFonts w:cstheme="minorHAnsi"/>
                <w:b/>
                <w:bCs/>
                <w:sz w:val="20"/>
                <w:szCs w:val="20"/>
                <w:lang w:eastAsia="sk-SK"/>
              </w:rPr>
              <w:t>12 401 047,08</w:t>
            </w:r>
          </w:p>
        </w:tc>
        <w:tc>
          <w:tcPr>
            <w:tcW w:w="620" w:type="pct"/>
            <w:shd w:val="clear" w:color="auto" w:fill="D9D9D9"/>
            <w:noWrap/>
            <w:vAlign w:val="center"/>
            <w:hideMark/>
          </w:tcPr>
          <w:p w14:paraId="4B25AD14" w14:textId="77777777" w:rsidR="00BC024C" w:rsidRPr="00C07B70" w:rsidRDefault="00BC024C" w:rsidP="00BC024C">
            <w:pPr>
              <w:spacing w:after="0" w:line="240" w:lineRule="auto"/>
              <w:jc w:val="right"/>
              <w:rPr>
                <w:rFonts w:cstheme="minorHAnsi"/>
                <w:sz w:val="24"/>
                <w:szCs w:val="24"/>
                <w:lang w:eastAsia="sk-SK"/>
              </w:rPr>
            </w:pPr>
            <w:r w:rsidRPr="00DA4300">
              <w:rPr>
                <w:rFonts w:cstheme="minorHAnsi"/>
                <w:b/>
                <w:bCs/>
                <w:sz w:val="20"/>
                <w:szCs w:val="20"/>
                <w:lang w:eastAsia="sk-SK"/>
              </w:rPr>
              <w:t>3 273 253,70</w:t>
            </w:r>
          </w:p>
        </w:tc>
        <w:tc>
          <w:tcPr>
            <w:tcW w:w="459" w:type="pct"/>
            <w:shd w:val="clear" w:color="auto" w:fill="D9D9D9"/>
            <w:noWrap/>
            <w:vAlign w:val="center"/>
            <w:hideMark/>
          </w:tcPr>
          <w:p w14:paraId="7F6DC894" w14:textId="77777777" w:rsidR="00BC024C" w:rsidRPr="00C07B70" w:rsidRDefault="00BC024C" w:rsidP="00BC024C">
            <w:pPr>
              <w:spacing w:after="0" w:line="240" w:lineRule="auto"/>
              <w:jc w:val="right"/>
              <w:rPr>
                <w:rFonts w:cstheme="minorHAnsi"/>
                <w:sz w:val="24"/>
                <w:szCs w:val="24"/>
                <w:lang w:eastAsia="sk-SK"/>
              </w:rPr>
            </w:pPr>
            <w:r>
              <w:rPr>
                <w:rFonts w:cstheme="minorHAnsi"/>
                <w:b/>
                <w:bCs/>
                <w:sz w:val="20"/>
                <w:szCs w:val="20"/>
                <w:lang w:eastAsia="sk-SK"/>
              </w:rPr>
              <w:t>26</w:t>
            </w:r>
            <w:r w:rsidRPr="00C07B70">
              <w:rPr>
                <w:rFonts w:cstheme="minorHAnsi"/>
                <w:b/>
                <w:bCs/>
                <w:sz w:val="20"/>
                <w:szCs w:val="20"/>
                <w:lang w:eastAsia="sk-SK"/>
              </w:rPr>
              <w:t>,</w:t>
            </w:r>
            <w:r>
              <w:rPr>
                <w:rFonts w:cstheme="minorHAnsi"/>
                <w:b/>
                <w:bCs/>
                <w:sz w:val="20"/>
                <w:szCs w:val="20"/>
                <w:lang w:eastAsia="sk-SK"/>
              </w:rPr>
              <w:t>44</w:t>
            </w:r>
            <w:r w:rsidRPr="00C07B70">
              <w:rPr>
                <w:rFonts w:cstheme="minorHAnsi"/>
                <w:sz w:val="24"/>
                <w:szCs w:val="24"/>
                <w:lang w:eastAsia="sk-SK"/>
              </w:rPr>
              <w:t xml:space="preserve"> </w:t>
            </w:r>
          </w:p>
        </w:tc>
        <w:tc>
          <w:tcPr>
            <w:tcW w:w="1034" w:type="pct"/>
            <w:vMerge/>
            <w:shd w:val="clear" w:color="auto" w:fill="D9D9D9"/>
            <w:vAlign w:val="center"/>
            <w:hideMark/>
          </w:tcPr>
          <w:p w14:paraId="31B4E0AF" w14:textId="77777777" w:rsidR="00BC024C" w:rsidRPr="00C07B70" w:rsidRDefault="00BC024C" w:rsidP="00BC024C">
            <w:pPr>
              <w:spacing w:after="0" w:line="240" w:lineRule="auto"/>
              <w:rPr>
                <w:rFonts w:cstheme="minorHAnsi"/>
                <w:sz w:val="24"/>
                <w:szCs w:val="24"/>
                <w:lang w:eastAsia="sk-SK"/>
              </w:rPr>
            </w:pPr>
          </w:p>
        </w:tc>
      </w:tr>
      <w:tr w:rsidR="00BC024C" w:rsidRPr="00C07B70" w14:paraId="41414EA0" w14:textId="77777777" w:rsidTr="00BC024C">
        <w:trPr>
          <w:tblCellSpacing w:w="15" w:type="dxa"/>
        </w:trPr>
        <w:tc>
          <w:tcPr>
            <w:tcW w:w="249" w:type="pct"/>
            <w:shd w:val="clear" w:color="auto" w:fill="EFEFEF"/>
            <w:noWrap/>
            <w:vAlign w:val="center"/>
            <w:hideMark/>
          </w:tcPr>
          <w:p w14:paraId="742B8AB2"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710</w:t>
            </w:r>
            <w:r w:rsidRPr="00C07B70">
              <w:rPr>
                <w:rFonts w:cstheme="minorHAnsi"/>
                <w:sz w:val="24"/>
                <w:szCs w:val="24"/>
                <w:lang w:eastAsia="sk-SK"/>
              </w:rPr>
              <w:t xml:space="preserve"> </w:t>
            </w:r>
          </w:p>
        </w:tc>
        <w:tc>
          <w:tcPr>
            <w:tcW w:w="1034" w:type="pct"/>
            <w:shd w:val="clear" w:color="auto" w:fill="EFEFEF"/>
            <w:vAlign w:val="center"/>
            <w:hideMark/>
          </w:tcPr>
          <w:p w14:paraId="4574CA39" w14:textId="77777777" w:rsidR="00BC024C" w:rsidRPr="00C07B70" w:rsidRDefault="00BC024C" w:rsidP="00BC024C">
            <w:pPr>
              <w:spacing w:after="0" w:line="240" w:lineRule="auto"/>
              <w:rPr>
                <w:rFonts w:cstheme="minorHAnsi"/>
                <w:sz w:val="24"/>
                <w:szCs w:val="24"/>
                <w:lang w:eastAsia="sk-SK"/>
              </w:rPr>
            </w:pPr>
            <w:proofErr w:type="spellStart"/>
            <w:r w:rsidRPr="00C07B70">
              <w:rPr>
                <w:rFonts w:cstheme="minorHAnsi"/>
                <w:sz w:val="20"/>
                <w:szCs w:val="20"/>
                <w:lang w:eastAsia="sk-SK"/>
              </w:rPr>
              <w:t>Obst</w:t>
            </w:r>
            <w:proofErr w:type="spellEnd"/>
            <w:r w:rsidRPr="00C07B70">
              <w:rPr>
                <w:rFonts w:cstheme="minorHAnsi"/>
                <w:sz w:val="20"/>
                <w:szCs w:val="20"/>
                <w:lang w:eastAsia="sk-SK"/>
              </w:rPr>
              <w:t xml:space="preserve">. </w:t>
            </w:r>
            <w:proofErr w:type="spellStart"/>
            <w:r w:rsidRPr="00C07B70">
              <w:rPr>
                <w:rFonts w:cstheme="minorHAnsi"/>
                <w:sz w:val="20"/>
                <w:szCs w:val="20"/>
                <w:lang w:eastAsia="sk-SK"/>
              </w:rPr>
              <w:t>kapit</w:t>
            </w:r>
            <w:proofErr w:type="spellEnd"/>
            <w:r w:rsidRPr="00C07B70">
              <w:rPr>
                <w:rFonts w:cstheme="minorHAnsi"/>
                <w:sz w:val="20"/>
                <w:szCs w:val="20"/>
                <w:lang w:eastAsia="sk-SK"/>
              </w:rPr>
              <w:t>. aktív</w:t>
            </w:r>
            <w:r w:rsidRPr="00C07B70">
              <w:rPr>
                <w:rFonts w:cstheme="minorHAnsi"/>
                <w:sz w:val="24"/>
                <w:szCs w:val="24"/>
                <w:lang w:eastAsia="sk-SK"/>
              </w:rPr>
              <w:t xml:space="preserve"> </w:t>
            </w:r>
          </w:p>
        </w:tc>
        <w:tc>
          <w:tcPr>
            <w:tcW w:w="0" w:type="auto"/>
            <w:shd w:val="clear" w:color="auto" w:fill="EFEFEF"/>
            <w:noWrap/>
            <w:vAlign w:val="center"/>
            <w:hideMark/>
          </w:tcPr>
          <w:p w14:paraId="2C7ECB58" w14:textId="77777777" w:rsidR="00BC024C" w:rsidRPr="00C07B70" w:rsidRDefault="00BC024C" w:rsidP="00BC024C">
            <w:pPr>
              <w:spacing w:after="0" w:line="240" w:lineRule="auto"/>
              <w:jc w:val="right"/>
              <w:rPr>
                <w:rFonts w:cstheme="minorHAnsi"/>
                <w:sz w:val="24"/>
                <w:szCs w:val="24"/>
                <w:lang w:eastAsia="sk-SK"/>
              </w:rPr>
            </w:pPr>
            <w:r w:rsidRPr="00881A83">
              <w:rPr>
                <w:rFonts w:cstheme="minorHAnsi"/>
                <w:sz w:val="20"/>
                <w:szCs w:val="20"/>
                <w:lang w:eastAsia="sk-SK"/>
              </w:rPr>
              <w:t>12 151 284,80</w:t>
            </w:r>
          </w:p>
        </w:tc>
        <w:tc>
          <w:tcPr>
            <w:tcW w:w="838" w:type="pct"/>
            <w:shd w:val="clear" w:color="auto" w:fill="EFEFEF"/>
            <w:noWrap/>
            <w:vAlign w:val="center"/>
            <w:hideMark/>
          </w:tcPr>
          <w:p w14:paraId="174BB242" w14:textId="77777777" w:rsidR="00BC024C" w:rsidRPr="00C07B70" w:rsidRDefault="00BC024C" w:rsidP="00BC024C">
            <w:pPr>
              <w:spacing w:after="0" w:line="240" w:lineRule="auto"/>
              <w:jc w:val="right"/>
              <w:rPr>
                <w:rFonts w:cstheme="minorHAnsi"/>
                <w:sz w:val="24"/>
                <w:szCs w:val="24"/>
                <w:lang w:eastAsia="sk-SK"/>
              </w:rPr>
            </w:pPr>
            <w:r w:rsidRPr="00881A83">
              <w:rPr>
                <w:rFonts w:cstheme="minorHAnsi"/>
                <w:sz w:val="20"/>
                <w:szCs w:val="20"/>
                <w:lang w:eastAsia="sk-SK"/>
              </w:rPr>
              <w:t>10 564 302,49</w:t>
            </w:r>
          </w:p>
        </w:tc>
        <w:tc>
          <w:tcPr>
            <w:tcW w:w="620" w:type="pct"/>
            <w:shd w:val="clear" w:color="auto" w:fill="EFEFEF"/>
            <w:noWrap/>
            <w:vAlign w:val="center"/>
            <w:hideMark/>
          </w:tcPr>
          <w:p w14:paraId="4E0245CC" w14:textId="77777777" w:rsidR="00BC024C" w:rsidRPr="00C07B70" w:rsidRDefault="00BC024C" w:rsidP="00BC024C">
            <w:pPr>
              <w:spacing w:after="0" w:line="240" w:lineRule="auto"/>
              <w:jc w:val="right"/>
              <w:rPr>
                <w:rFonts w:cstheme="minorHAnsi"/>
                <w:sz w:val="24"/>
                <w:szCs w:val="24"/>
                <w:lang w:eastAsia="sk-SK"/>
              </w:rPr>
            </w:pPr>
            <w:r w:rsidRPr="00630789">
              <w:rPr>
                <w:rFonts w:cstheme="minorHAnsi"/>
                <w:sz w:val="20"/>
                <w:szCs w:val="20"/>
                <w:lang w:eastAsia="sk-SK"/>
              </w:rPr>
              <w:t>2 073 850,54</w:t>
            </w:r>
          </w:p>
        </w:tc>
        <w:tc>
          <w:tcPr>
            <w:tcW w:w="459" w:type="pct"/>
            <w:shd w:val="clear" w:color="auto" w:fill="EFEFEF"/>
            <w:noWrap/>
            <w:vAlign w:val="center"/>
            <w:hideMark/>
          </w:tcPr>
          <w:p w14:paraId="483C8950"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19</w:t>
            </w:r>
            <w:r w:rsidRPr="00C07B70">
              <w:rPr>
                <w:rFonts w:cstheme="minorHAnsi"/>
                <w:sz w:val="20"/>
                <w:szCs w:val="20"/>
                <w:lang w:eastAsia="sk-SK"/>
              </w:rPr>
              <w:t>,</w:t>
            </w:r>
            <w:r>
              <w:rPr>
                <w:rFonts w:cstheme="minorHAnsi"/>
                <w:sz w:val="20"/>
                <w:szCs w:val="20"/>
                <w:lang w:eastAsia="sk-SK"/>
              </w:rPr>
              <w:t>63</w:t>
            </w:r>
            <w:r w:rsidRPr="00C07B70">
              <w:rPr>
                <w:rFonts w:cstheme="minorHAnsi"/>
                <w:sz w:val="24"/>
                <w:szCs w:val="24"/>
                <w:lang w:eastAsia="sk-SK"/>
              </w:rPr>
              <w:t xml:space="preserve"> </w:t>
            </w:r>
          </w:p>
        </w:tc>
        <w:tc>
          <w:tcPr>
            <w:tcW w:w="1034" w:type="pct"/>
            <w:vMerge/>
            <w:shd w:val="clear" w:color="auto" w:fill="EFEFEF"/>
            <w:vAlign w:val="center"/>
            <w:hideMark/>
          </w:tcPr>
          <w:p w14:paraId="556C929C" w14:textId="77777777" w:rsidR="00BC024C" w:rsidRPr="00C07B70" w:rsidRDefault="00BC024C" w:rsidP="00BC024C">
            <w:pPr>
              <w:spacing w:after="0" w:line="240" w:lineRule="auto"/>
              <w:rPr>
                <w:rFonts w:cstheme="minorHAnsi"/>
                <w:sz w:val="24"/>
                <w:szCs w:val="24"/>
                <w:lang w:eastAsia="sk-SK"/>
              </w:rPr>
            </w:pPr>
          </w:p>
        </w:tc>
      </w:tr>
      <w:tr w:rsidR="00BC024C" w:rsidRPr="00C07B70" w14:paraId="4C84DCC2" w14:textId="77777777" w:rsidTr="00BC024C">
        <w:trPr>
          <w:tblCellSpacing w:w="15" w:type="dxa"/>
        </w:trPr>
        <w:tc>
          <w:tcPr>
            <w:tcW w:w="249" w:type="pct"/>
            <w:shd w:val="clear" w:color="auto" w:fill="EFEFEF"/>
            <w:noWrap/>
            <w:vAlign w:val="center"/>
            <w:hideMark/>
          </w:tcPr>
          <w:p w14:paraId="017235CF"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720</w:t>
            </w:r>
            <w:r w:rsidRPr="00C07B70">
              <w:rPr>
                <w:rFonts w:cstheme="minorHAnsi"/>
                <w:sz w:val="24"/>
                <w:szCs w:val="24"/>
                <w:lang w:eastAsia="sk-SK"/>
              </w:rPr>
              <w:t xml:space="preserve"> </w:t>
            </w:r>
          </w:p>
        </w:tc>
        <w:tc>
          <w:tcPr>
            <w:tcW w:w="1034" w:type="pct"/>
            <w:shd w:val="clear" w:color="auto" w:fill="EFEFEF"/>
            <w:vAlign w:val="center"/>
            <w:hideMark/>
          </w:tcPr>
          <w:p w14:paraId="1586E5F9"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Kapitálové transfery</w:t>
            </w:r>
            <w:r w:rsidRPr="00C07B70">
              <w:rPr>
                <w:rFonts w:cstheme="minorHAnsi"/>
                <w:sz w:val="24"/>
                <w:szCs w:val="24"/>
                <w:lang w:eastAsia="sk-SK"/>
              </w:rPr>
              <w:t xml:space="preserve"> </w:t>
            </w:r>
          </w:p>
        </w:tc>
        <w:tc>
          <w:tcPr>
            <w:tcW w:w="0" w:type="auto"/>
            <w:shd w:val="clear" w:color="auto" w:fill="EFEFEF"/>
            <w:noWrap/>
            <w:vAlign w:val="center"/>
            <w:hideMark/>
          </w:tcPr>
          <w:p w14:paraId="73313588" w14:textId="77777777" w:rsidR="00BC024C" w:rsidRPr="00C07B70" w:rsidRDefault="00BC024C" w:rsidP="00BC024C">
            <w:pPr>
              <w:spacing w:after="0" w:line="240" w:lineRule="auto"/>
              <w:jc w:val="right"/>
              <w:rPr>
                <w:rFonts w:cstheme="minorHAnsi"/>
                <w:sz w:val="24"/>
                <w:szCs w:val="24"/>
                <w:lang w:eastAsia="sk-SK"/>
              </w:rPr>
            </w:pPr>
            <w:r w:rsidRPr="00C616E2">
              <w:rPr>
                <w:rFonts w:cstheme="minorHAnsi"/>
                <w:sz w:val="20"/>
                <w:szCs w:val="20"/>
                <w:lang w:eastAsia="sk-SK"/>
              </w:rPr>
              <w:t xml:space="preserve">1 791 360,58 </w:t>
            </w:r>
          </w:p>
        </w:tc>
        <w:tc>
          <w:tcPr>
            <w:tcW w:w="838" w:type="pct"/>
            <w:shd w:val="clear" w:color="auto" w:fill="EFEFEF"/>
            <w:noWrap/>
            <w:vAlign w:val="center"/>
            <w:hideMark/>
          </w:tcPr>
          <w:p w14:paraId="41DF90F7" w14:textId="77777777" w:rsidR="00BC024C" w:rsidRPr="00C07B70" w:rsidRDefault="00BC024C" w:rsidP="00BC024C">
            <w:pPr>
              <w:spacing w:after="0" w:line="240" w:lineRule="auto"/>
              <w:jc w:val="right"/>
              <w:rPr>
                <w:rFonts w:cstheme="minorHAnsi"/>
                <w:sz w:val="24"/>
                <w:szCs w:val="24"/>
                <w:lang w:eastAsia="sk-SK"/>
              </w:rPr>
            </w:pPr>
            <w:r w:rsidRPr="00C616E2">
              <w:rPr>
                <w:rFonts w:cstheme="minorHAnsi"/>
                <w:sz w:val="20"/>
                <w:szCs w:val="20"/>
                <w:lang w:eastAsia="sk-SK"/>
              </w:rPr>
              <w:t>1 836 744,59</w:t>
            </w:r>
          </w:p>
        </w:tc>
        <w:tc>
          <w:tcPr>
            <w:tcW w:w="620" w:type="pct"/>
            <w:shd w:val="clear" w:color="auto" w:fill="EFEFEF"/>
            <w:noWrap/>
            <w:vAlign w:val="center"/>
            <w:hideMark/>
          </w:tcPr>
          <w:p w14:paraId="38C91AD7" w14:textId="77777777" w:rsidR="00BC024C" w:rsidRPr="00C07B70" w:rsidRDefault="00BC024C" w:rsidP="00BC024C">
            <w:pPr>
              <w:spacing w:after="0" w:line="240" w:lineRule="auto"/>
              <w:jc w:val="right"/>
              <w:rPr>
                <w:rFonts w:cstheme="minorHAnsi"/>
                <w:sz w:val="24"/>
                <w:szCs w:val="24"/>
                <w:lang w:eastAsia="sk-SK"/>
              </w:rPr>
            </w:pPr>
            <w:r w:rsidRPr="00C616E2">
              <w:rPr>
                <w:rFonts w:cstheme="minorHAnsi"/>
                <w:sz w:val="20"/>
                <w:szCs w:val="20"/>
                <w:lang w:eastAsia="sk-SK"/>
              </w:rPr>
              <w:t>1 199 403,16</w:t>
            </w:r>
          </w:p>
        </w:tc>
        <w:tc>
          <w:tcPr>
            <w:tcW w:w="459" w:type="pct"/>
            <w:shd w:val="clear" w:color="auto" w:fill="EFEFEF"/>
            <w:noWrap/>
            <w:vAlign w:val="center"/>
            <w:hideMark/>
          </w:tcPr>
          <w:p w14:paraId="16176C0C"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65</w:t>
            </w:r>
            <w:r w:rsidRPr="00C07B70">
              <w:rPr>
                <w:rFonts w:cstheme="minorHAnsi"/>
                <w:sz w:val="20"/>
                <w:szCs w:val="20"/>
                <w:lang w:eastAsia="sk-SK"/>
              </w:rPr>
              <w:t>,</w:t>
            </w:r>
            <w:r>
              <w:rPr>
                <w:rFonts w:cstheme="minorHAnsi"/>
                <w:sz w:val="20"/>
                <w:szCs w:val="20"/>
                <w:lang w:eastAsia="sk-SK"/>
              </w:rPr>
              <w:t>30</w:t>
            </w:r>
            <w:r w:rsidRPr="00C07B70">
              <w:rPr>
                <w:rFonts w:cstheme="minorHAnsi"/>
                <w:sz w:val="24"/>
                <w:szCs w:val="24"/>
                <w:lang w:eastAsia="sk-SK"/>
              </w:rPr>
              <w:t xml:space="preserve"> </w:t>
            </w:r>
          </w:p>
        </w:tc>
        <w:tc>
          <w:tcPr>
            <w:tcW w:w="1034" w:type="pct"/>
            <w:vMerge/>
            <w:shd w:val="clear" w:color="auto" w:fill="EFEFEF"/>
            <w:vAlign w:val="center"/>
            <w:hideMark/>
          </w:tcPr>
          <w:p w14:paraId="1B98B5D8" w14:textId="77777777" w:rsidR="00BC024C" w:rsidRPr="00C07B70" w:rsidRDefault="00BC024C" w:rsidP="00BC024C">
            <w:pPr>
              <w:spacing w:after="0" w:line="240" w:lineRule="auto"/>
              <w:rPr>
                <w:rFonts w:cstheme="minorHAnsi"/>
                <w:sz w:val="24"/>
                <w:szCs w:val="24"/>
                <w:lang w:eastAsia="sk-SK"/>
              </w:rPr>
            </w:pPr>
          </w:p>
        </w:tc>
      </w:tr>
    </w:tbl>
    <w:p w14:paraId="5465A610" w14:textId="77777777" w:rsidR="00755073" w:rsidRPr="001C41F1" w:rsidRDefault="00BC024C" w:rsidP="00755073">
      <w:pPr>
        <w:spacing w:before="100" w:beforeAutospacing="1" w:after="100" w:afterAutospacing="1" w:line="240" w:lineRule="auto"/>
        <w:jc w:val="both"/>
        <w:rPr>
          <w:rFonts w:cstheme="minorHAnsi"/>
          <w:lang w:eastAsia="sk-SK"/>
        </w:rPr>
      </w:pPr>
      <w:r w:rsidRPr="00C07B70">
        <w:rPr>
          <w:rFonts w:cstheme="minorHAnsi"/>
          <w:b/>
          <w:bCs/>
          <w:lang w:eastAsia="sk-SK"/>
        </w:rPr>
        <w:t xml:space="preserve">Komentár: </w:t>
      </w:r>
      <w:r w:rsidRPr="001C41F1">
        <w:rPr>
          <w:rFonts w:cstheme="minorHAnsi"/>
          <w:lang w:eastAsia="sk-SK"/>
        </w:rPr>
        <w:t>Program zahŕňa výkon funkcií manažmentu Bratislavského samosprávneho kraja na čele s predsedom samosprávneho kraja, podpredsedami a poslancami zastupiteľstva BSK. Súčasťou programu sú aktivity a činnosti samosprávneho kraja súvisiace so zahraničnou, koncepčnou a plánovacou politikou, ako aj ekonomickou a kontrolnou činnosťou.</w:t>
      </w:r>
    </w:p>
    <w:p w14:paraId="2015EEA6" w14:textId="5AA0893B" w:rsidR="00BC024C" w:rsidRPr="001C41F1" w:rsidRDefault="00BC024C" w:rsidP="00755073">
      <w:pPr>
        <w:spacing w:before="100" w:beforeAutospacing="1" w:after="100" w:afterAutospacing="1" w:line="240" w:lineRule="auto"/>
        <w:jc w:val="both"/>
        <w:rPr>
          <w:rFonts w:cstheme="minorHAnsi"/>
          <w:lang w:eastAsia="sk-SK"/>
        </w:rPr>
      </w:pPr>
      <w:r w:rsidRPr="001C41F1">
        <w:rPr>
          <w:rFonts w:cstheme="minorHAnsi"/>
          <w:lang w:eastAsia="sk-SK"/>
        </w:rPr>
        <w:t xml:space="preserve"> Na zabezpečenie všetkých aktivít a činností v rámci programu BSK financuje nasledovné podprogramy: Výkon funkcie predsedu, podpredsedov a poslancov zastupiteľstva BSK, Zahraničné vzťahy a Európske záležitosti, Územné plánovanie, GIS, ŽP, stratégia a riadenie projektov, Kontrola, Daňová a rozpočtová politika, Právne služby, INTERACT, Implementácia projektov Operačného programu Bratislavský kraj a Starostlivosť o krajinu, prírodné zdroje, územné plánovanie a prevenciu obyvateľstva. </w:t>
      </w:r>
    </w:p>
    <w:p w14:paraId="04710690" w14:textId="77777777" w:rsidR="00BC024C" w:rsidRPr="00C07B70" w:rsidRDefault="00BC024C" w:rsidP="00BC024C">
      <w:pPr>
        <w:spacing w:before="100" w:beforeAutospacing="1" w:after="100" w:afterAutospacing="1" w:line="240" w:lineRule="auto"/>
        <w:outlineLvl w:val="2"/>
        <w:rPr>
          <w:rFonts w:cstheme="minorHAnsi"/>
          <w:b/>
          <w:bCs/>
          <w:color w:val="4F6228"/>
          <w:sz w:val="27"/>
          <w:szCs w:val="27"/>
          <w:lang w:eastAsia="sk-SK"/>
        </w:rPr>
      </w:pPr>
      <w:bookmarkStart w:id="4" w:name="_Hlk35855133"/>
      <w:r w:rsidRPr="00C07B70">
        <w:rPr>
          <w:rFonts w:cstheme="minorHAnsi"/>
          <w:b/>
          <w:bCs/>
          <w:color w:val="4F6228"/>
          <w:sz w:val="27"/>
          <w:szCs w:val="27"/>
          <w:lang w:eastAsia="sk-SK"/>
        </w:rPr>
        <w:t>Podprogram 1.1: Výkon funkcie predsedu, podpredsedov a poslancov zastupiteľstva BSK</w:t>
      </w:r>
    </w:p>
    <w:p w14:paraId="7F1574E3" w14:textId="77777777" w:rsidR="00BC024C" w:rsidRPr="00C07B70" w:rsidRDefault="00BC024C" w:rsidP="00BC024C">
      <w:pPr>
        <w:spacing w:before="100" w:beforeAutospacing="1" w:after="100" w:afterAutospacing="1" w:line="240" w:lineRule="auto"/>
        <w:rPr>
          <w:rFonts w:cstheme="minorHAnsi"/>
          <w:sz w:val="24"/>
          <w:szCs w:val="24"/>
          <w:lang w:eastAsia="sk-SK"/>
        </w:rPr>
      </w:pPr>
      <w:r w:rsidRPr="00C07B70">
        <w:rPr>
          <w:rFonts w:cstheme="minorHAnsi"/>
          <w:b/>
          <w:bCs/>
          <w:sz w:val="24"/>
          <w:szCs w:val="24"/>
          <w:lang w:eastAsia="sk-SK"/>
        </w:rPr>
        <w:t xml:space="preserve">Zámer: </w:t>
      </w:r>
      <w:r w:rsidRPr="00C07B70">
        <w:rPr>
          <w:rFonts w:cstheme="minorHAnsi"/>
          <w:sz w:val="24"/>
          <w:szCs w:val="24"/>
          <w:lang w:eastAsia="sk-SK"/>
        </w:rPr>
        <w:t>Efektívne a transparentne fungujúci územný celok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6"/>
        <w:gridCol w:w="2442"/>
        <w:gridCol w:w="1551"/>
        <w:gridCol w:w="1235"/>
        <w:gridCol w:w="1161"/>
        <w:gridCol w:w="1094"/>
        <w:gridCol w:w="2417"/>
      </w:tblGrid>
      <w:tr w:rsidR="00BC024C" w:rsidRPr="00C07B70" w14:paraId="7FF3E695" w14:textId="77777777" w:rsidTr="00BC024C">
        <w:trPr>
          <w:tblCellSpacing w:w="15" w:type="dxa"/>
        </w:trPr>
        <w:tc>
          <w:tcPr>
            <w:tcW w:w="249" w:type="pct"/>
            <w:shd w:val="clear" w:color="auto" w:fill="C6DBF7"/>
            <w:vAlign w:val="center"/>
            <w:hideMark/>
          </w:tcPr>
          <w:p w14:paraId="7532199B"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Kód EK</w:t>
            </w:r>
          </w:p>
        </w:tc>
        <w:tc>
          <w:tcPr>
            <w:tcW w:w="1153" w:type="pct"/>
            <w:shd w:val="clear" w:color="auto" w:fill="C6DBF7"/>
            <w:vAlign w:val="center"/>
            <w:hideMark/>
          </w:tcPr>
          <w:p w14:paraId="1E0D33F1"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Ekonomická klasifikácia</w:t>
            </w:r>
          </w:p>
        </w:tc>
        <w:tc>
          <w:tcPr>
            <w:tcW w:w="727" w:type="pct"/>
            <w:shd w:val="clear" w:color="auto" w:fill="C6DBF7"/>
            <w:vAlign w:val="center"/>
            <w:hideMark/>
          </w:tcPr>
          <w:p w14:paraId="7B8E55ED"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Schválený</w:t>
            </w:r>
            <w:r w:rsidRPr="00C07B70">
              <w:rPr>
                <w:rFonts w:cstheme="minorHAnsi"/>
                <w:b/>
                <w:bCs/>
                <w:sz w:val="20"/>
                <w:szCs w:val="20"/>
                <w:lang w:eastAsia="sk-SK"/>
              </w:rPr>
              <w:br/>
              <w:t>rozpočet</w:t>
            </w:r>
            <w:r w:rsidRPr="00C07B70">
              <w:rPr>
                <w:rFonts w:cstheme="minorHAnsi"/>
                <w:b/>
                <w:bCs/>
                <w:sz w:val="20"/>
                <w:szCs w:val="20"/>
                <w:lang w:eastAsia="sk-SK"/>
              </w:rPr>
              <w:br/>
              <w:t>v EUR</w:t>
            </w:r>
          </w:p>
        </w:tc>
        <w:tc>
          <w:tcPr>
            <w:tcW w:w="575" w:type="pct"/>
            <w:shd w:val="clear" w:color="auto" w:fill="C6DBF7"/>
            <w:vAlign w:val="center"/>
            <w:hideMark/>
          </w:tcPr>
          <w:p w14:paraId="1E8359D7"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Zmenený</w:t>
            </w:r>
            <w:r w:rsidRPr="00C07B70">
              <w:rPr>
                <w:rFonts w:cstheme="minorHAnsi"/>
                <w:b/>
                <w:bCs/>
                <w:sz w:val="20"/>
                <w:szCs w:val="20"/>
                <w:lang w:eastAsia="sk-SK"/>
              </w:rPr>
              <w:br/>
              <w:t>rozpočet</w:t>
            </w:r>
            <w:r w:rsidRPr="00C07B70">
              <w:rPr>
                <w:rFonts w:cstheme="minorHAnsi"/>
                <w:b/>
                <w:bCs/>
                <w:sz w:val="20"/>
                <w:szCs w:val="20"/>
                <w:lang w:eastAsia="sk-SK"/>
              </w:rPr>
              <w:br/>
              <w:t>v EUR</w:t>
            </w:r>
          </w:p>
        </w:tc>
        <w:tc>
          <w:tcPr>
            <w:tcW w:w="540" w:type="pct"/>
            <w:shd w:val="clear" w:color="auto" w:fill="C6DBF7"/>
            <w:vAlign w:val="center"/>
            <w:hideMark/>
          </w:tcPr>
          <w:p w14:paraId="301A4095"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Čerpanie</w:t>
            </w:r>
            <w:r w:rsidRPr="00C07B70">
              <w:rPr>
                <w:rFonts w:cstheme="minorHAnsi"/>
                <w:b/>
                <w:bCs/>
                <w:sz w:val="20"/>
                <w:szCs w:val="20"/>
                <w:lang w:eastAsia="sk-SK"/>
              </w:rPr>
              <w:br/>
              <w:t>v EUR</w:t>
            </w:r>
          </w:p>
        </w:tc>
        <w:tc>
          <w:tcPr>
            <w:tcW w:w="508" w:type="pct"/>
            <w:shd w:val="clear" w:color="auto" w:fill="C6DBF7"/>
            <w:vAlign w:val="center"/>
            <w:hideMark/>
          </w:tcPr>
          <w:p w14:paraId="7A2C65CC"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Čerpanie</w:t>
            </w:r>
            <w:r w:rsidRPr="00C07B70">
              <w:rPr>
                <w:rFonts w:cstheme="minorHAnsi"/>
                <w:b/>
                <w:bCs/>
                <w:sz w:val="20"/>
                <w:szCs w:val="20"/>
                <w:lang w:eastAsia="sk-SK"/>
              </w:rPr>
              <w:br/>
              <w:t xml:space="preserve">k </w:t>
            </w:r>
            <w:proofErr w:type="spellStart"/>
            <w:r w:rsidRPr="00C07B70">
              <w:rPr>
                <w:rFonts w:cstheme="minorHAnsi"/>
                <w:b/>
                <w:bCs/>
                <w:sz w:val="20"/>
                <w:szCs w:val="20"/>
                <w:lang w:eastAsia="sk-SK"/>
              </w:rPr>
              <w:t>zmen</w:t>
            </w:r>
            <w:proofErr w:type="spellEnd"/>
            <w:r w:rsidRPr="00C07B70">
              <w:rPr>
                <w:rFonts w:cstheme="minorHAnsi"/>
                <w:b/>
                <w:bCs/>
                <w:sz w:val="20"/>
                <w:szCs w:val="20"/>
                <w:lang w:eastAsia="sk-SK"/>
              </w:rPr>
              <w:t xml:space="preserve">. </w:t>
            </w:r>
            <w:proofErr w:type="spellStart"/>
            <w:r w:rsidRPr="00C07B70">
              <w:rPr>
                <w:rFonts w:cstheme="minorHAnsi"/>
                <w:b/>
                <w:bCs/>
                <w:sz w:val="20"/>
                <w:szCs w:val="20"/>
                <w:lang w:eastAsia="sk-SK"/>
              </w:rPr>
              <w:t>rozp</w:t>
            </w:r>
            <w:proofErr w:type="spellEnd"/>
            <w:r w:rsidRPr="00C07B70">
              <w:rPr>
                <w:rFonts w:cstheme="minorHAnsi"/>
                <w:b/>
                <w:bCs/>
                <w:sz w:val="20"/>
                <w:szCs w:val="20"/>
                <w:lang w:eastAsia="sk-SK"/>
              </w:rPr>
              <w:t>.</w:t>
            </w:r>
            <w:r w:rsidRPr="00C07B70">
              <w:rPr>
                <w:rFonts w:cstheme="minorHAnsi"/>
                <w:b/>
                <w:bCs/>
                <w:sz w:val="20"/>
                <w:szCs w:val="20"/>
                <w:lang w:eastAsia="sk-SK"/>
              </w:rPr>
              <w:br/>
              <w:t>v %</w:t>
            </w:r>
          </w:p>
        </w:tc>
        <w:tc>
          <w:tcPr>
            <w:tcW w:w="1133" w:type="pct"/>
            <w:shd w:val="clear" w:color="auto" w:fill="C6DBF7"/>
            <w:vAlign w:val="center"/>
            <w:hideMark/>
          </w:tcPr>
          <w:p w14:paraId="144A42DD"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Zmeny rozpočtu</w:t>
            </w:r>
          </w:p>
        </w:tc>
      </w:tr>
      <w:tr w:rsidR="00BC024C" w:rsidRPr="00C07B70" w14:paraId="234B1DE3" w14:textId="77777777" w:rsidTr="00BC024C">
        <w:trPr>
          <w:tblCellSpacing w:w="15" w:type="dxa"/>
        </w:trPr>
        <w:tc>
          <w:tcPr>
            <w:tcW w:w="249" w:type="pct"/>
            <w:shd w:val="clear" w:color="auto" w:fill="D9D9D9"/>
            <w:noWrap/>
            <w:vAlign w:val="center"/>
            <w:hideMark/>
          </w:tcPr>
          <w:p w14:paraId="4AE1DB36" w14:textId="77777777" w:rsidR="00BC024C" w:rsidRPr="00C07B70" w:rsidRDefault="00BC024C" w:rsidP="00BC024C">
            <w:pPr>
              <w:spacing w:after="0" w:line="240" w:lineRule="auto"/>
              <w:jc w:val="center"/>
              <w:rPr>
                <w:rFonts w:cstheme="minorHAnsi"/>
                <w:sz w:val="24"/>
                <w:szCs w:val="24"/>
                <w:lang w:eastAsia="sk-SK"/>
              </w:rPr>
            </w:pPr>
          </w:p>
        </w:tc>
        <w:tc>
          <w:tcPr>
            <w:tcW w:w="1153" w:type="pct"/>
            <w:shd w:val="clear" w:color="auto" w:fill="D9D9D9"/>
            <w:vAlign w:val="center"/>
            <w:hideMark/>
          </w:tcPr>
          <w:p w14:paraId="55A394D6"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Výdavky celkom</w:t>
            </w:r>
            <w:r w:rsidRPr="00C07B70">
              <w:rPr>
                <w:rFonts w:cstheme="minorHAnsi"/>
                <w:sz w:val="24"/>
                <w:szCs w:val="24"/>
                <w:lang w:eastAsia="sk-SK"/>
              </w:rPr>
              <w:t xml:space="preserve"> </w:t>
            </w:r>
          </w:p>
        </w:tc>
        <w:tc>
          <w:tcPr>
            <w:tcW w:w="727" w:type="pct"/>
            <w:shd w:val="clear" w:color="auto" w:fill="D9D9D9"/>
            <w:noWrap/>
            <w:vAlign w:val="center"/>
            <w:hideMark/>
          </w:tcPr>
          <w:p w14:paraId="7F91B6FF"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b/>
                <w:bCs/>
                <w:sz w:val="20"/>
                <w:szCs w:val="20"/>
                <w:lang w:eastAsia="sk-SK"/>
              </w:rPr>
              <w:t xml:space="preserve">1 </w:t>
            </w:r>
            <w:r>
              <w:rPr>
                <w:rFonts w:cstheme="minorHAnsi"/>
                <w:b/>
                <w:bCs/>
                <w:sz w:val="20"/>
                <w:szCs w:val="20"/>
                <w:lang w:eastAsia="sk-SK"/>
              </w:rPr>
              <w:t>207</w:t>
            </w:r>
            <w:r w:rsidRPr="00C07B70">
              <w:rPr>
                <w:rFonts w:cstheme="minorHAnsi"/>
                <w:b/>
                <w:bCs/>
                <w:sz w:val="20"/>
                <w:szCs w:val="20"/>
                <w:lang w:eastAsia="sk-SK"/>
              </w:rPr>
              <w:t xml:space="preserve"> </w:t>
            </w:r>
            <w:r>
              <w:rPr>
                <w:rFonts w:cstheme="minorHAnsi"/>
                <w:b/>
                <w:bCs/>
                <w:sz w:val="20"/>
                <w:szCs w:val="20"/>
                <w:lang w:eastAsia="sk-SK"/>
              </w:rPr>
              <w:t>000</w:t>
            </w:r>
            <w:r w:rsidRPr="00C07B70">
              <w:rPr>
                <w:rFonts w:cstheme="minorHAnsi"/>
                <w:b/>
                <w:bCs/>
                <w:sz w:val="20"/>
                <w:szCs w:val="20"/>
                <w:lang w:eastAsia="sk-SK"/>
              </w:rPr>
              <w:t>,0</w:t>
            </w:r>
            <w:r>
              <w:rPr>
                <w:rFonts w:cstheme="minorHAnsi"/>
                <w:b/>
                <w:bCs/>
                <w:sz w:val="20"/>
                <w:szCs w:val="20"/>
                <w:lang w:eastAsia="sk-SK"/>
              </w:rPr>
              <w:t>0</w:t>
            </w:r>
            <w:r w:rsidRPr="00C07B70">
              <w:rPr>
                <w:rFonts w:cstheme="minorHAnsi"/>
                <w:sz w:val="24"/>
                <w:szCs w:val="24"/>
                <w:lang w:eastAsia="sk-SK"/>
              </w:rPr>
              <w:t xml:space="preserve"> </w:t>
            </w:r>
          </w:p>
        </w:tc>
        <w:tc>
          <w:tcPr>
            <w:tcW w:w="575" w:type="pct"/>
            <w:shd w:val="clear" w:color="auto" w:fill="D9D9D9"/>
            <w:noWrap/>
            <w:vAlign w:val="center"/>
            <w:hideMark/>
          </w:tcPr>
          <w:p w14:paraId="14264C00"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b/>
                <w:bCs/>
                <w:sz w:val="20"/>
                <w:szCs w:val="20"/>
                <w:lang w:eastAsia="sk-SK"/>
              </w:rPr>
              <w:t xml:space="preserve">1 </w:t>
            </w:r>
            <w:r>
              <w:rPr>
                <w:rFonts w:cstheme="minorHAnsi"/>
                <w:b/>
                <w:bCs/>
                <w:sz w:val="20"/>
                <w:szCs w:val="20"/>
                <w:lang w:eastAsia="sk-SK"/>
              </w:rPr>
              <w:t>207</w:t>
            </w:r>
            <w:r w:rsidRPr="00C07B70">
              <w:rPr>
                <w:rFonts w:cstheme="minorHAnsi"/>
                <w:b/>
                <w:bCs/>
                <w:sz w:val="20"/>
                <w:szCs w:val="20"/>
                <w:lang w:eastAsia="sk-SK"/>
              </w:rPr>
              <w:t xml:space="preserve"> </w:t>
            </w:r>
            <w:r>
              <w:rPr>
                <w:rFonts w:cstheme="minorHAnsi"/>
                <w:b/>
                <w:bCs/>
                <w:sz w:val="20"/>
                <w:szCs w:val="20"/>
                <w:lang w:eastAsia="sk-SK"/>
              </w:rPr>
              <w:t>00</w:t>
            </w:r>
            <w:r w:rsidRPr="00C07B70">
              <w:rPr>
                <w:rFonts w:cstheme="minorHAnsi"/>
                <w:b/>
                <w:bCs/>
                <w:sz w:val="20"/>
                <w:szCs w:val="20"/>
                <w:lang w:eastAsia="sk-SK"/>
              </w:rPr>
              <w:t>0,0</w:t>
            </w:r>
            <w:r>
              <w:rPr>
                <w:rFonts w:cstheme="minorHAnsi"/>
                <w:b/>
                <w:bCs/>
                <w:sz w:val="20"/>
                <w:szCs w:val="20"/>
                <w:lang w:eastAsia="sk-SK"/>
              </w:rPr>
              <w:t>0</w:t>
            </w:r>
            <w:r w:rsidRPr="00C07B70">
              <w:rPr>
                <w:rFonts w:cstheme="minorHAnsi"/>
                <w:sz w:val="24"/>
                <w:szCs w:val="24"/>
                <w:lang w:eastAsia="sk-SK"/>
              </w:rPr>
              <w:t xml:space="preserve"> </w:t>
            </w:r>
          </w:p>
        </w:tc>
        <w:tc>
          <w:tcPr>
            <w:tcW w:w="540" w:type="pct"/>
            <w:shd w:val="clear" w:color="auto" w:fill="D9D9D9"/>
            <w:noWrap/>
            <w:vAlign w:val="center"/>
            <w:hideMark/>
          </w:tcPr>
          <w:p w14:paraId="1C3E5D1D" w14:textId="77777777" w:rsidR="00BC024C" w:rsidRPr="00C07B70" w:rsidRDefault="00BC024C" w:rsidP="00BC024C">
            <w:pPr>
              <w:spacing w:after="0" w:line="240" w:lineRule="auto"/>
              <w:jc w:val="right"/>
              <w:rPr>
                <w:rFonts w:cstheme="minorHAnsi"/>
                <w:sz w:val="24"/>
                <w:szCs w:val="24"/>
                <w:lang w:eastAsia="sk-SK"/>
              </w:rPr>
            </w:pPr>
            <w:r>
              <w:rPr>
                <w:rFonts w:cstheme="minorHAnsi"/>
                <w:b/>
                <w:bCs/>
                <w:sz w:val="20"/>
                <w:szCs w:val="20"/>
                <w:lang w:eastAsia="sk-SK"/>
              </w:rPr>
              <w:t>1 034</w:t>
            </w:r>
            <w:r w:rsidRPr="00C07B70">
              <w:rPr>
                <w:rFonts w:cstheme="minorHAnsi"/>
                <w:b/>
                <w:bCs/>
                <w:sz w:val="20"/>
                <w:szCs w:val="20"/>
                <w:lang w:eastAsia="sk-SK"/>
              </w:rPr>
              <w:t xml:space="preserve"> </w:t>
            </w:r>
            <w:r>
              <w:rPr>
                <w:rFonts w:cstheme="minorHAnsi"/>
                <w:b/>
                <w:bCs/>
                <w:sz w:val="20"/>
                <w:szCs w:val="20"/>
                <w:lang w:eastAsia="sk-SK"/>
              </w:rPr>
              <w:t>128</w:t>
            </w:r>
            <w:r w:rsidRPr="00C07B70">
              <w:rPr>
                <w:rFonts w:cstheme="minorHAnsi"/>
                <w:b/>
                <w:bCs/>
                <w:sz w:val="20"/>
                <w:szCs w:val="20"/>
                <w:lang w:eastAsia="sk-SK"/>
              </w:rPr>
              <w:t>,</w:t>
            </w:r>
            <w:r>
              <w:rPr>
                <w:rFonts w:cstheme="minorHAnsi"/>
                <w:b/>
                <w:bCs/>
                <w:sz w:val="20"/>
                <w:szCs w:val="20"/>
                <w:lang w:eastAsia="sk-SK"/>
              </w:rPr>
              <w:t>48</w:t>
            </w:r>
            <w:r w:rsidRPr="00C07B70">
              <w:rPr>
                <w:rFonts w:cstheme="minorHAnsi"/>
                <w:sz w:val="24"/>
                <w:szCs w:val="24"/>
                <w:lang w:eastAsia="sk-SK"/>
              </w:rPr>
              <w:t xml:space="preserve"> </w:t>
            </w:r>
          </w:p>
        </w:tc>
        <w:tc>
          <w:tcPr>
            <w:tcW w:w="508" w:type="pct"/>
            <w:shd w:val="clear" w:color="auto" w:fill="D9D9D9"/>
            <w:noWrap/>
            <w:vAlign w:val="center"/>
            <w:hideMark/>
          </w:tcPr>
          <w:p w14:paraId="1F86F575"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b/>
                <w:bCs/>
                <w:sz w:val="20"/>
                <w:szCs w:val="20"/>
                <w:lang w:eastAsia="sk-SK"/>
              </w:rPr>
              <w:t>8</w:t>
            </w:r>
            <w:r>
              <w:rPr>
                <w:rFonts w:cstheme="minorHAnsi"/>
                <w:b/>
                <w:bCs/>
                <w:sz w:val="20"/>
                <w:szCs w:val="20"/>
                <w:lang w:eastAsia="sk-SK"/>
              </w:rPr>
              <w:t>5</w:t>
            </w:r>
            <w:r w:rsidRPr="00C07B70">
              <w:rPr>
                <w:rFonts w:cstheme="minorHAnsi"/>
                <w:b/>
                <w:bCs/>
                <w:sz w:val="20"/>
                <w:szCs w:val="20"/>
                <w:lang w:eastAsia="sk-SK"/>
              </w:rPr>
              <w:t>,</w:t>
            </w:r>
            <w:r>
              <w:rPr>
                <w:rFonts w:cstheme="minorHAnsi"/>
                <w:b/>
                <w:bCs/>
                <w:sz w:val="20"/>
                <w:szCs w:val="20"/>
                <w:lang w:eastAsia="sk-SK"/>
              </w:rPr>
              <w:t>68</w:t>
            </w:r>
            <w:r w:rsidRPr="00C07B70">
              <w:rPr>
                <w:rFonts w:cstheme="minorHAnsi"/>
                <w:sz w:val="24"/>
                <w:szCs w:val="24"/>
                <w:lang w:eastAsia="sk-SK"/>
              </w:rPr>
              <w:t xml:space="preserve"> </w:t>
            </w:r>
          </w:p>
        </w:tc>
        <w:tc>
          <w:tcPr>
            <w:tcW w:w="1133" w:type="pct"/>
            <w:vMerge w:val="restart"/>
            <w:shd w:val="clear" w:color="auto" w:fill="D9D9D9"/>
            <w:vAlign w:val="center"/>
            <w:hideMark/>
          </w:tcPr>
          <w:p w14:paraId="17834DC4" w14:textId="77777777" w:rsidR="00BC024C" w:rsidRPr="00C07B70" w:rsidRDefault="00BC024C" w:rsidP="00BC024C">
            <w:pPr>
              <w:spacing w:after="0" w:line="240" w:lineRule="auto"/>
              <w:rPr>
                <w:rFonts w:cstheme="minorHAnsi"/>
                <w:sz w:val="20"/>
                <w:szCs w:val="20"/>
                <w:lang w:eastAsia="sk-SK"/>
              </w:rPr>
            </w:pPr>
          </w:p>
        </w:tc>
      </w:tr>
      <w:tr w:rsidR="00BC024C" w:rsidRPr="00C07B70" w14:paraId="33C40DBA" w14:textId="77777777" w:rsidTr="00BC024C">
        <w:trPr>
          <w:tblCellSpacing w:w="15" w:type="dxa"/>
        </w:trPr>
        <w:tc>
          <w:tcPr>
            <w:tcW w:w="249" w:type="pct"/>
            <w:shd w:val="clear" w:color="auto" w:fill="D9D9D9"/>
            <w:noWrap/>
            <w:vAlign w:val="center"/>
            <w:hideMark/>
          </w:tcPr>
          <w:p w14:paraId="13C66476"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600</w:t>
            </w:r>
            <w:r w:rsidRPr="00C07B70">
              <w:rPr>
                <w:rFonts w:cstheme="minorHAnsi"/>
                <w:sz w:val="24"/>
                <w:szCs w:val="24"/>
                <w:lang w:eastAsia="sk-SK"/>
              </w:rPr>
              <w:t xml:space="preserve"> </w:t>
            </w:r>
          </w:p>
        </w:tc>
        <w:tc>
          <w:tcPr>
            <w:tcW w:w="1153" w:type="pct"/>
            <w:shd w:val="clear" w:color="auto" w:fill="D9D9D9"/>
            <w:vAlign w:val="center"/>
            <w:hideMark/>
          </w:tcPr>
          <w:p w14:paraId="3D08B1EC"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Bežné výdavky</w:t>
            </w:r>
            <w:r w:rsidRPr="00C07B70">
              <w:rPr>
                <w:rFonts w:cstheme="minorHAnsi"/>
                <w:sz w:val="24"/>
                <w:szCs w:val="24"/>
                <w:lang w:eastAsia="sk-SK"/>
              </w:rPr>
              <w:t xml:space="preserve"> </w:t>
            </w:r>
          </w:p>
        </w:tc>
        <w:tc>
          <w:tcPr>
            <w:tcW w:w="727" w:type="pct"/>
            <w:shd w:val="clear" w:color="auto" w:fill="D9D9D9"/>
            <w:noWrap/>
            <w:vAlign w:val="center"/>
            <w:hideMark/>
          </w:tcPr>
          <w:p w14:paraId="119E8746"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b/>
                <w:bCs/>
                <w:sz w:val="20"/>
                <w:szCs w:val="20"/>
                <w:lang w:eastAsia="sk-SK"/>
              </w:rPr>
              <w:t xml:space="preserve">1 </w:t>
            </w:r>
            <w:r>
              <w:rPr>
                <w:rFonts w:cstheme="minorHAnsi"/>
                <w:b/>
                <w:bCs/>
                <w:sz w:val="20"/>
                <w:szCs w:val="20"/>
                <w:lang w:eastAsia="sk-SK"/>
              </w:rPr>
              <w:t>207</w:t>
            </w:r>
            <w:r w:rsidRPr="00C07B70">
              <w:rPr>
                <w:rFonts w:cstheme="minorHAnsi"/>
                <w:b/>
                <w:bCs/>
                <w:sz w:val="20"/>
                <w:szCs w:val="20"/>
                <w:lang w:eastAsia="sk-SK"/>
              </w:rPr>
              <w:t xml:space="preserve"> 0</w:t>
            </w:r>
            <w:r>
              <w:rPr>
                <w:rFonts w:cstheme="minorHAnsi"/>
                <w:b/>
                <w:bCs/>
                <w:sz w:val="20"/>
                <w:szCs w:val="20"/>
                <w:lang w:eastAsia="sk-SK"/>
              </w:rPr>
              <w:t>0</w:t>
            </w:r>
            <w:r w:rsidRPr="00C07B70">
              <w:rPr>
                <w:rFonts w:cstheme="minorHAnsi"/>
                <w:b/>
                <w:bCs/>
                <w:sz w:val="20"/>
                <w:szCs w:val="20"/>
                <w:lang w:eastAsia="sk-SK"/>
              </w:rPr>
              <w:t>0,0</w:t>
            </w:r>
            <w:r>
              <w:rPr>
                <w:rFonts w:cstheme="minorHAnsi"/>
                <w:b/>
                <w:bCs/>
                <w:sz w:val="20"/>
                <w:szCs w:val="20"/>
                <w:lang w:eastAsia="sk-SK"/>
              </w:rPr>
              <w:t>0</w:t>
            </w:r>
            <w:r w:rsidRPr="00C07B70">
              <w:rPr>
                <w:rFonts w:cstheme="minorHAnsi"/>
                <w:sz w:val="24"/>
                <w:szCs w:val="24"/>
                <w:lang w:eastAsia="sk-SK"/>
              </w:rPr>
              <w:t xml:space="preserve"> </w:t>
            </w:r>
          </w:p>
        </w:tc>
        <w:tc>
          <w:tcPr>
            <w:tcW w:w="575" w:type="pct"/>
            <w:shd w:val="clear" w:color="auto" w:fill="D9D9D9"/>
            <w:noWrap/>
            <w:vAlign w:val="center"/>
            <w:hideMark/>
          </w:tcPr>
          <w:p w14:paraId="09B8486C"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b/>
                <w:bCs/>
                <w:sz w:val="20"/>
                <w:szCs w:val="20"/>
                <w:lang w:eastAsia="sk-SK"/>
              </w:rPr>
              <w:t xml:space="preserve">1 </w:t>
            </w:r>
            <w:r>
              <w:rPr>
                <w:rFonts w:cstheme="minorHAnsi"/>
                <w:b/>
                <w:bCs/>
                <w:sz w:val="20"/>
                <w:szCs w:val="20"/>
                <w:lang w:eastAsia="sk-SK"/>
              </w:rPr>
              <w:t>207</w:t>
            </w:r>
            <w:r w:rsidRPr="00C07B70">
              <w:rPr>
                <w:rFonts w:cstheme="minorHAnsi"/>
                <w:b/>
                <w:bCs/>
                <w:sz w:val="20"/>
                <w:szCs w:val="20"/>
                <w:lang w:eastAsia="sk-SK"/>
              </w:rPr>
              <w:t xml:space="preserve"> </w:t>
            </w:r>
            <w:r>
              <w:rPr>
                <w:rFonts w:cstheme="minorHAnsi"/>
                <w:b/>
                <w:bCs/>
                <w:sz w:val="20"/>
                <w:szCs w:val="20"/>
                <w:lang w:eastAsia="sk-SK"/>
              </w:rPr>
              <w:t>00</w:t>
            </w:r>
            <w:r w:rsidRPr="00C07B70">
              <w:rPr>
                <w:rFonts w:cstheme="minorHAnsi"/>
                <w:b/>
                <w:bCs/>
                <w:sz w:val="20"/>
                <w:szCs w:val="20"/>
                <w:lang w:eastAsia="sk-SK"/>
              </w:rPr>
              <w:t>0,0</w:t>
            </w:r>
            <w:r>
              <w:rPr>
                <w:rFonts w:cstheme="minorHAnsi"/>
                <w:b/>
                <w:bCs/>
                <w:sz w:val="20"/>
                <w:szCs w:val="20"/>
                <w:lang w:eastAsia="sk-SK"/>
              </w:rPr>
              <w:t>0</w:t>
            </w:r>
            <w:r w:rsidRPr="00C07B70">
              <w:rPr>
                <w:rFonts w:cstheme="minorHAnsi"/>
                <w:sz w:val="24"/>
                <w:szCs w:val="24"/>
                <w:lang w:eastAsia="sk-SK"/>
              </w:rPr>
              <w:t xml:space="preserve"> </w:t>
            </w:r>
          </w:p>
        </w:tc>
        <w:tc>
          <w:tcPr>
            <w:tcW w:w="540" w:type="pct"/>
            <w:shd w:val="clear" w:color="auto" w:fill="D9D9D9"/>
            <w:noWrap/>
            <w:vAlign w:val="center"/>
            <w:hideMark/>
          </w:tcPr>
          <w:p w14:paraId="7DBF0F5A" w14:textId="77777777" w:rsidR="00BC024C" w:rsidRPr="00C07B70" w:rsidRDefault="00BC024C" w:rsidP="00BC024C">
            <w:pPr>
              <w:spacing w:after="0" w:line="240" w:lineRule="auto"/>
              <w:jc w:val="right"/>
              <w:rPr>
                <w:rFonts w:cstheme="minorHAnsi"/>
                <w:sz w:val="24"/>
                <w:szCs w:val="24"/>
                <w:lang w:eastAsia="sk-SK"/>
              </w:rPr>
            </w:pPr>
            <w:r>
              <w:rPr>
                <w:rFonts w:cstheme="minorHAnsi"/>
                <w:b/>
                <w:bCs/>
                <w:sz w:val="20"/>
                <w:szCs w:val="20"/>
                <w:lang w:eastAsia="sk-SK"/>
              </w:rPr>
              <w:t>1 034</w:t>
            </w:r>
            <w:r w:rsidRPr="00C07B70">
              <w:rPr>
                <w:rFonts w:cstheme="minorHAnsi"/>
                <w:b/>
                <w:bCs/>
                <w:sz w:val="20"/>
                <w:szCs w:val="20"/>
                <w:lang w:eastAsia="sk-SK"/>
              </w:rPr>
              <w:t xml:space="preserve"> 1</w:t>
            </w:r>
            <w:r>
              <w:rPr>
                <w:rFonts w:cstheme="minorHAnsi"/>
                <w:b/>
                <w:bCs/>
                <w:sz w:val="20"/>
                <w:szCs w:val="20"/>
                <w:lang w:eastAsia="sk-SK"/>
              </w:rPr>
              <w:t>28</w:t>
            </w:r>
            <w:r w:rsidRPr="00C07B70">
              <w:rPr>
                <w:rFonts w:cstheme="minorHAnsi"/>
                <w:b/>
                <w:bCs/>
                <w:sz w:val="20"/>
                <w:szCs w:val="20"/>
                <w:lang w:eastAsia="sk-SK"/>
              </w:rPr>
              <w:t>,</w:t>
            </w:r>
            <w:r>
              <w:rPr>
                <w:rFonts w:cstheme="minorHAnsi"/>
                <w:b/>
                <w:bCs/>
                <w:sz w:val="20"/>
                <w:szCs w:val="20"/>
                <w:lang w:eastAsia="sk-SK"/>
              </w:rPr>
              <w:t>48</w:t>
            </w:r>
            <w:r w:rsidRPr="00C07B70">
              <w:rPr>
                <w:rFonts w:cstheme="minorHAnsi"/>
                <w:sz w:val="24"/>
                <w:szCs w:val="24"/>
                <w:lang w:eastAsia="sk-SK"/>
              </w:rPr>
              <w:t xml:space="preserve"> </w:t>
            </w:r>
          </w:p>
        </w:tc>
        <w:tc>
          <w:tcPr>
            <w:tcW w:w="508" w:type="pct"/>
            <w:shd w:val="clear" w:color="auto" w:fill="D9D9D9"/>
            <w:noWrap/>
            <w:vAlign w:val="center"/>
            <w:hideMark/>
          </w:tcPr>
          <w:p w14:paraId="25BCF1C6"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b/>
                <w:bCs/>
                <w:sz w:val="20"/>
                <w:szCs w:val="20"/>
                <w:lang w:eastAsia="sk-SK"/>
              </w:rPr>
              <w:t>8</w:t>
            </w:r>
            <w:r>
              <w:rPr>
                <w:rFonts w:cstheme="minorHAnsi"/>
                <w:b/>
                <w:bCs/>
                <w:sz w:val="20"/>
                <w:szCs w:val="20"/>
                <w:lang w:eastAsia="sk-SK"/>
              </w:rPr>
              <w:t>5</w:t>
            </w:r>
            <w:r w:rsidRPr="00C07B70">
              <w:rPr>
                <w:rFonts w:cstheme="minorHAnsi"/>
                <w:b/>
                <w:bCs/>
                <w:sz w:val="20"/>
                <w:szCs w:val="20"/>
                <w:lang w:eastAsia="sk-SK"/>
              </w:rPr>
              <w:t>,</w:t>
            </w:r>
            <w:r>
              <w:rPr>
                <w:rFonts w:cstheme="minorHAnsi"/>
                <w:b/>
                <w:bCs/>
                <w:sz w:val="20"/>
                <w:szCs w:val="20"/>
                <w:lang w:eastAsia="sk-SK"/>
              </w:rPr>
              <w:t>68</w:t>
            </w:r>
            <w:r w:rsidRPr="00C07B70">
              <w:rPr>
                <w:rFonts w:cstheme="minorHAnsi"/>
                <w:sz w:val="24"/>
                <w:szCs w:val="24"/>
                <w:lang w:eastAsia="sk-SK"/>
              </w:rPr>
              <w:t xml:space="preserve"> </w:t>
            </w:r>
          </w:p>
        </w:tc>
        <w:tc>
          <w:tcPr>
            <w:tcW w:w="1133" w:type="pct"/>
            <w:vMerge/>
            <w:shd w:val="clear" w:color="auto" w:fill="D9D9D9"/>
            <w:vAlign w:val="center"/>
            <w:hideMark/>
          </w:tcPr>
          <w:p w14:paraId="5C93F8FE" w14:textId="77777777" w:rsidR="00BC024C" w:rsidRPr="00C07B70" w:rsidRDefault="00BC024C" w:rsidP="00BC024C">
            <w:pPr>
              <w:spacing w:after="0" w:line="240" w:lineRule="auto"/>
              <w:rPr>
                <w:rFonts w:cstheme="minorHAnsi"/>
                <w:sz w:val="24"/>
                <w:szCs w:val="24"/>
                <w:lang w:eastAsia="sk-SK"/>
              </w:rPr>
            </w:pPr>
          </w:p>
        </w:tc>
      </w:tr>
      <w:tr w:rsidR="00BC024C" w:rsidRPr="00C07B70" w14:paraId="504EF9C2" w14:textId="77777777" w:rsidTr="00BC024C">
        <w:trPr>
          <w:tblCellSpacing w:w="15" w:type="dxa"/>
        </w:trPr>
        <w:tc>
          <w:tcPr>
            <w:tcW w:w="249" w:type="pct"/>
            <w:shd w:val="clear" w:color="auto" w:fill="EFEFEF"/>
            <w:noWrap/>
            <w:vAlign w:val="center"/>
            <w:hideMark/>
          </w:tcPr>
          <w:p w14:paraId="034F702A"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610</w:t>
            </w:r>
            <w:r w:rsidRPr="00C07B70">
              <w:rPr>
                <w:rFonts w:cstheme="minorHAnsi"/>
                <w:sz w:val="24"/>
                <w:szCs w:val="24"/>
                <w:lang w:eastAsia="sk-SK"/>
              </w:rPr>
              <w:t xml:space="preserve"> </w:t>
            </w:r>
          </w:p>
        </w:tc>
        <w:tc>
          <w:tcPr>
            <w:tcW w:w="1153" w:type="pct"/>
            <w:shd w:val="clear" w:color="auto" w:fill="EFEFEF"/>
            <w:vAlign w:val="center"/>
            <w:hideMark/>
          </w:tcPr>
          <w:p w14:paraId="198EBBB3"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Mzdy, platy, ...</w:t>
            </w:r>
            <w:r w:rsidRPr="00C07B70">
              <w:rPr>
                <w:rFonts w:cstheme="minorHAnsi"/>
                <w:sz w:val="24"/>
                <w:szCs w:val="24"/>
                <w:lang w:eastAsia="sk-SK"/>
              </w:rPr>
              <w:t xml:space="preserve"> </w:t>
            </w:r>
          </w:p>
        </w:tc>
        <w:tc>
          <w:tcPr>
            <w:tcW w:w="727" w:type="pct"/>
            <w:shd w:val="clear" w:color="auto" w:fill="EFEFEF"/>
            <w:noWrap/>
            <w:vAlign w:val="center"/>
            <w:hideMark/>
          </w:tcPr>
          <w:p w14:paraId="13C37D9A"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2</w:t>
            </w:r>
            <w:r>
              <w:rPr>
                <w:rFonts w:cstheme="minorHAnsi"/>
                <w:sz w:val="20"/>
                <w:szCs w:val="20"/>
                <w:lang w:eastAsia="sk-SK"/>
              </w:rPr>
              <w:t>78 167</w:t>
            </w:r>
            <w:r w:rsidRPr="00C07B70">
              <w:rPr>
                <w:rFonts w:cstheme="minorHAnsi"/>
                <w:sz w:val="20"/>
                <w:szCs w:val="20"/>
                <w:lang w:eastAsia="sk-SK"/>
              </w:rPr>
              <w:t>,0</w:t>
            </w:r>
            <w:r>
              <w:rPr>
                <w:rFonts w:cstheme="minorHAnsi"/>
                <w:sz w:val="20"/>
                <w:szCs w:val="20"/>
                <w:lang w:eastAsia="sk-SK"/>
              </w:rPr>
              <w:t>0</w:t>
            </w:r>
            <w:r w:rsidRPr="00C07B70">
              <w:rPr>
                <w:rFonts w:cstheme="minorHAnsi"/>
                <w:sz w:val="24"/>
                <w:szCs w:val="24"/>
                <w:lang w:eastAsia="sk-SK"/>
              </w:rPr>
              <w:t xml:space="preserve"> </w:t>
            </w:r>
          </w:p>
        </w:tc>
        <w:tc>
          <w:tcPr>
            <w:tcW w:w="575" w:type="pct"/>
            <w:shd w:val="clear" w:color="auto" w:fill="EFEFEF"/>
            <w:noWrap/>
            <w:vAlign w:val="center"/>
            <w:hideMark/>
          </w:tcPr>
          <w:p w14:paraId="4DB63092"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2</w:t>
            </w:r>
            <w:r>
              <w:rPr>
                <w:rFonts w:cstheme="minorHAnsi"/>
                <w:sz w:val="20"/>
                <w:szCs w:val="20"/>
                <w:lang w:eastAsia="sk-SK"/>
              </w:rPr>
              <w:t>78</w:t>
            </w:r>
            <w:r w:rsidRPr="00C07B70">
              <w:rPr>
                <w:rFonts w:cstheme="minorHAnsi"/>
                <w:sz w:val="20"/>
                <w:szCs w:val="20"/>
                <w:lang w:eastAsia="sk-SK"/>
              </w:rPr>
              <w:t xml:space="preserve"> 1</w:t>
            </w:r>
            <w:r>
              <w:rPr>
                <w:rFonts w:cstheme="minorHAnsi"/>
                <w:sz w:val="20"/>
                <w:szCs w:val="20"/>
                <w:lang w:eastAsia="sk-SK"/>
              </w:rPr>
              <w:t>67</w:t>
            </w:r>
            <w:r w:rsidRPr="00C07B70">
              <w:rPr>
                <w:rFonts w:cstheme="minorHAnsi"/>
                <w:sz w:val="20"/>
                <w:szCs w:val="20"/>
                <w:lang w:eastAsia="sk-SK"/>
              </w:rPr>
              <w:t>,0</w:t>
            </w:r>
            <w:r>
              <w:rPr>
                <w:rFonts w:cstheme="minorHAnsi"/>
                <w:sz w:val="20"/>
                <w:szCs w:val="20"/>
                <w:lang w:eastAsia="sk-SK"/>
              </w:rPr>
              <w:t>0</w:t>
            </w:r>
            <w:r w:rsidRPr="00C07B70">
              <w:rPr>
                <w:rFonts w:cstheme="minorHAnsi"/>
                <w:sz w:val="24"/>
                <w:szCs w:val="24"/>
                <w:lang w:eastAsia="sk-SK"/>
              </w:rPr>
              <w:t xml:space="preserve"> </w:t>
            </w:r>
          </w:p>
        </w:tc>
        <w:tc>
          <w:tcPr>
            <w:tcW w:w="540" w:type="pct"/>
            <w:shd w:val="clear" w:color="auto" w:fill="EFEFEF"/>
            <w:noWrap/>
            <w:vAlign w:val="center"/>
            <w:hideMark/>
          </w:tcPr>
          <w:p w14:paraId="617230A5"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24</w:t>
            </w:r>
            <w:r>
              <w:rPr>
                <w:rFonts w:cstheme="minorHAnsi"/>
                <w:sz w:val="20"/>
                <w:szCs w:val="20"/>
                <w:lang w:eastAsia="sk-SK"/>
              </w:rPr>
              <w:t>9</w:t>
            </w:r>
            <w:r w:rsidRPr="00C07B70">
              <w:rPr>
                <w:rFonts w:cstheme="minorHAnsi"/>
                <w:sz w:val="20"/>
                <w:szCs w:val="20"/>
                <w:lang w:eastAsia="sk-SK"/>
              </w:rPr>
              <w:t xml:space="preserve"> </w:t>
            </w:r>
            <w:r>
              <w:rPr>
                <w:rFonts w:cstheme="minorHAnsi"/>
                <w:sz w:val="20"/>
                <w:szCs w:val="20"/>
                <w:lang w:eastAsia="sk-SK"/>
              </w:rPr>
              <w:t>885</w:t>
            </w:r>
            <w:r w:rsidRPr="00C07B70">
              <w:rPr>
                <w:rFonts w:cstheme="minorHAnsi"/>
                <w:sz w:val="20"/>
                <w:szCs w:val="20"/>
                <w:lang w:eastAsia="sk-SK"/>
              </w:rPr>
              <w:t>,</w:t>
            </w:r>
            <w:r>
              <w:rPr>
                <w:rFonts w:cstheme="minorHAnsi"/>
                <w:sz w:val="20"/>
                <w:szCs w:val="20"/>
                <w:lang w:eastAsia="sk-SK"/>
              </w:rPr>
              <w:t>09</w:t>
            </w:r>
            <w:r w:rsidRPr="00C07B70">
              <w:rPr>
                <w:rFonts w:cstheme="minorHAnsi"/>
                <w:sz w:val="24"/>
                <w:szCs w:val="24"/>
                <w:lang w:eastAsia="sk-SK"/>
              </w:rPr>
              <w:t xml:space="preserve"> </w:t>
            </w:r>
          </w:p>
        </w:tc>
        <w:tc>
          <w:tcPr>
            <w:tcW w:w="508" w:type="pct"/>
            <w:shd w:val="clear" w:color="auto" w:fill="EFEFEF"/>
            <w:noWrap/>
            <w:vAlign w:val="center"/>
            <w:hideMark/>
          </w:tcPr>
          <w:p w14:paraId="74C12173"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8</w:t>
            </w:r>
            <w:r w:rsidRPr="00C07B70">
              <w:rPr>
                <w:rFonts w:cstheme="minorHAnsi"/>
                <w:sz w:val="20"/>
                <w:szCs w:val="20"/>
                <w:lang w:eastAsia="sk-SK"/>
              </w:rPr>
              <w:t>9,</w:t>
            </w:r>
            <w:r>
              <w:rPr>
                <w:rFonts w:cstheme="minorHAnsi"/>
                <w:sz w:val="20"/>
                <w:szCs w:val="20"/>
                <w:lang w:eastAsia="sk-SK"/>
              </w:rPr>
              <w:t>8</w:t>
            </w:r>
            <w:r w:rsidRPr="00C07B70">
              <w:rPr>
                <w:rFonts w:cstheme="minorHAnsi"/>
                <w:sz w:val="20"/>
                <w:szCs w:val="20"/>
                <w:lang w:eastAsia="sk-SK"/>
              </w:rPr>
              <w:t>3</w:t>
            </w:r>
            <w:r w:rsidRPr="00C07B70">
              <w:rPr>
                <w:rFonts w:cstheme="minorHAnsi"/>
                <w:sz w:val="24"/>
                <w:szCs w:val="24"/>
                <w:lang w:eastAsia="sk-SK"/>
              </w:rPr>
              <w:t xml:space="preserve"> </w:t>
            </w:r>
          </w:p>
        </w:tc>
        <w:tc>
          <w:tcPr>
            <w:tcW w:w="1133" w:type="pct"/>
            <w:vMerge/>
            <w:shd w:val="clear" w:color="auto" w:fill="EFEFEF"/>
            <w:vAlign w:val="center"/>
            <w:hideMark/>
          </w:tcPr>
          <w:p w14:paraId="302D2E1E" w14:textId="77777777" w:rsidR="00BC024C" w:rsidRPr="00C07B70" w:rsidRDefault="00BC024C" w:rsidP="00BC024C">
            <w:pPr>
              <w:spacing w:after="0" w:line="240" w:lineRule="auto"/>
              <w:rPr>
                <w:rFonts w:cstheme="minorHAnsi"/>
                <w:sz w:val="24"/>
                <w:szCs w:val="24"/>
                <w:lang w:eastAsia="sk-SK"/>
              </w:rPr>
            </w:pPr>
          </w:p>
        </w:tc>
      </w:tr>
      <w:tr w:rsidR="00BC024C" w:rsidRPr="00C07B70" w14:paraId="776CE159" w14:textId="77777777" w:rsidTr="00BC024C">
        <w:trPr>
          <w:tblCellSpacing w:w="15" w:type="dxa"/>
        </w:trPr>
        <w:tc>
          <w:tcPr>
            <w:tcW w:w="249" w:type="pct"/>
            <w:shd w:val="clear" w:color="auto" w:fill="EFEFEF"/>
            <w:noWrap/>
            <w:vAlign w:val="center"/>
            <w:hideMark/>
          </w:tcPr>
          <w:p w14:paraId="00D05E8C"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620</w:t>
            </w:r>
            <w:r w:rsidRPr="00C07B70">
              <w:rPr>
                <w:rFonts w:cstheme="minorHAnsi"/>
                <w:sz w:val="24"/>
                <w:szCs w:val="24"/>
                <w:lang w:eastAsia="sk-SK"/>
              </w:rPr>
              <w:t xml:space="preserve"> </w:t>
            </w:r>
          </w:p>
        </w:tc>
        <w:tc>
          <w:tcPr>
            <w:tcW w:w="1153" w:type="pct"/>
            <w:shd w:val="clear" w:color="auto" w:fill="EFEFEF"/>
            <w:vAlign w:val="center"/>
            <w:hideMark/>
          </w:tcPr>
          <w:p w14:paraId="54C7D6E2"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Poistné do poisťovní</w:t>
            </w:r>
            <w:r w:rsidRPr="00C07B70">
              <w:rPr>
                <w:rFonts w:cstheme="minorHAnsi"/>
                <w:sz w:val="24"/>
                <w:szCs w:val="24"/>
                <w:lang w:eastAsia="sk-SK"/>
              </w:rPr>
              <w:t xml:space="preserve"> </w:t>
            </w:r>
          </w:p>
        </w:tc>
        <w:tc>
          <w:tcPr>
            <w:tcW w:w="727" w:type="pct"/>
            <w:shd w:val="clear" w:color="auto" w:fill="EFEFEF"/>
            <w:noWrap/>
            <w:vAlign w:val="center"/>
            <w:hideMark/>
          </w:tcPr>
          <w:p w14:paraId="118B7485"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294</w:t>
            </w:r>
            <w:r w:rsidRPr="00C07B70">
              <w:rPr>
                <w:rFonts w:cstheme="minorHAnsi"/>
                <w:sz w:val="20"/>
                <w:szCs w:val="20"/>
                <w:lang w:eastAsia="sk-SK"/>
              </w:rPr>
              <w:t xml:space="preserve"> 5</w:t>
            </w:r>
            <w:r>
              <w:rPr>
                <w:rFonts w:cstheme="minorHAnsi"/>
                <w:sz w:val="20"/>
                <w:szCs w:val="20"/>
                <w:lang w:eastAsia="sk-SK"/>
              </w:rPr>
              <w:t>21</w:t>
            </w:r>
            <w:r w:rsidRPr="00C07B70">
              <w:rPr>
                <w:rFonts w:cstheme="minorHAnsi"/>
                <w:sz w:val="20"/>
                <w:szCs w:val="20"/>
                <w:lang w:eastAsia="sk-SK"/>
              </w:rPr>
              <w:t>,0</w:t>
            </w:r>
            <w:r>
              <w:rPr>
                <w:rFonts w:cstheme="minorHAnsi"/>
                <w:sz w:val="20"/>
                <w:szCs w:val="20"/>
                <w:lang w:eastAsia="sk-SK"/>
              </w:rPr>
              <w:t>0</w:t>
            </w:r>
            <w:r w:rsidRPr="00C07B70">
              <w:rPr>
                <w:rFonts w:cstheme="minorHAnsi"/>
                <w:sz w:val="24"/>
                <w:szCs w:val="24"/>
                <w:lang w:eastAsia="sk-SK"/>
              </w:rPr>
              <w:t xml:space="preserve"> </w:t>
            </w:r>
          </w:p>
        </w:tc>
        <w:tc>
          <w:tcPr>
            <w:tcW w:w="575" w:type="pct"/>
            <w:shd w:val="clear" w:color="auto" w:fill="EFEFEF"/>
            <w:noWrap/>
            <w:vAlign w:val="center"/>
            <w:hideMark/>
          </w:tcPr>
          <w:p w14:paraId="2E01DE25"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2</w:t>
            </w:r>
            <w:r>
              <w:rPr>
                <w:rFonts w:cstheme="minorHAnsi"/>
                <w:sz w:val="20"/>
                <w:szCs w:val="20"/>
                <w:lang w:eastAsia="sk-SK"/>
              </w:rPr>
              <w:t>9</w:t>
            </w:r>
            <w:r w:rsidRPr="00C07B70">
              <w:rPr>
                <w:rFonts w:cstheme="minorHAnsi"/>
                <w:sz w:val="20"/>
                <w:szCs w:val="20"/>
                <w:lang w:eastAsia="sk-SK"/>
              </w:rPr>
              <w:t xml:space="preserve">5 </w:t>
            </w:r>
            <w:r>
              <w:rPr>
                <w:rFonts w:cstheme="minorHAnsi"/>
                <w:sz w:val="20"/>
                <w:szCs w:val="20"/>
                <w:lang w:eastAsia="sk-SK"/>
              </w:rPr>
              <w:t>484</w:t>
            </w:r>
            <w:r w:rsidRPr="00C07B70">
              <w:rPr>
                <w:rFonts w:cstheme="minorHAnsi"/>
                <w:sz w:val="20"/>
                <w:szCs w:val="20"/>
                <w:lang w:eastAsia="sk-SK"/>
              </w:rPr>
              <w:t>,</w:t>
            </w:r>
            <w:r>
              <w:rPr>
                <w:rFonts w:cstheme="minorHAnsi"/>
                <w:sz w:val="20"/>
                <w:szCs w:val="20"/>
                <w:lang w:eastAsia="sk-SK"/>
              </w:rPr>
              <w:t>47</w:t>
            </w:r>
            <w:r w:rsidRPr="00C07B70">
              <w:rPr>
                <w:rFonts w:cstheme="minorHAnsi"/>
                <w:sz w:val="24"/>
                <w:szCs w:val="24"/>
                <w:lang w:eastAsia="sk-SK"/>
              </w:rPr>
              <w:t xml:space="preserve"> </w:t>
            </w:r>
          </w:p>
        </w:tc>
        <w:tc>
          <w:tcPr>
            <w:tcW w:w="540" w:type="pct"/>
            <w:shd w:val="clear" w:color="auto" w:fill="EFEFEF"/>
            <w:noWrap/>
            <w:vAlign w:val="center"/>
            <w:hideMark/>
          </w:tcPr>
          <w:p w14:paraId="18B40464"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2</w:t>
            </w:r>
            <w:r>
              <w:rPr>
                <w:rFonts w:cstheme="minorHAnsi"/>
                <w:sz w:val="20"/>
                <w:szCs w:val="20"/>
                <w:lang w:eastAsia="sk-SK"/>
              </w:rPr>
              <w:t>54</w:t>
            </w:r>
            <w:r w:rsidRPr="00C07B70">
              <w:rPr>
                <w:rFonts w:cstheme="minorHAnsi"/>
                <w:sz w:val="20"/>
                <w:szCs w:val="20"/>
                <w:lang w:eastAsia="sk-SK"/>
              </w:rPr>
              <w:t xml:space="preserve"> </w:t>
            </w:r>
            <w:r>
              <w:rPr>
                <w:rFonts w:cstheme="minorHAnsi"/>
                <w:sz w:val="20"/>
                <w:szCs w:val="20"/>
                <w:lang w:eastAsia="sk-SK"/>
              </w:rPr>
              <w:t>146</w:t>
            </w:r>
            <w:r w:rsidRPr="00C07B70">
              <w:rPr>
                <w:rFonts w:cstheme="minorHAnsi"/>
                <w:sz w:val="20"/>
                <w:szCs w:val="20"/>
                <w:lang w:eastAsia="sk-SK"/>
              </w:rPr>
              <w:t>,</w:t>
            </w:r>
            <w:r>
              <w:rPr>
                <w:rFonts w:cstheme="minorHAnsi"/>
                <w:sz w:val="20"/>
                <w:szCs w:val="20"/>
                <w:lang w:eastAsia="sk-SK"/>
              </w:rPr>
              <w:t>27</w:t>
            </w:r>
            <w:r w:rsidRPr="00C07B70">
              <w:rPr>
                <w:rFonts w:cstheme="minorHAnsi"/>
                <w:sz w:val="24"/>
                <w:szCs w:val="24"/>
                <w:lang w:eastAsia="sk-SK"/>
              </w:rPr>
              <w:t xml:space="preserve"> </w:t>
            </w:r>
          </w:p>
        </w:tc>
        <w:tc>
          <w:tcPr>
            <w:tcW w:w="508" w:type="pct"/>
            <w:shd w:val="clear" w:color="auto" w:fill="EFEFEF"/>
            <w:noWrap/>
            <w:vAlign w:val="center"/>
            <w:hideMark/>
          </w:tcPr>
          <w:p w14:paraId="4D1926BA"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8</w:t>
            </w:r>
            <w:r>
              <w:rPr>
                <w:rFonts w:cstheme="minorHAnsi"/>
                <w:sz w:val="20"/>
                <w:szCs w:val="20"/>
                <w:lang w:eastAsia="sk-SK"/>
              </w:rPr>
              <w:t>6</w:t>
            </w:r>
            <w:r w:rsidRPr="00C07B70">
              <w:rPr>
                <w:rFonts w:cstheme="minorHAnsi"/>
                <w:sz w:val="20"/>
                <w:szCs w:val="20"/>
                <w:lang w:eastAsia="sk-SK"/>
              </w:rPr>
              <w:t>,</w:t>
            </w:r>
            <w:r>
              <w:rPr>
                <w:rFonts w:cstheme="minorHAnsi"/>
                <w:sz w:val="20"/>
                <w:szCs w:val="20"/>
                <w:lang w:eastAsia="sk-SK"/>
              </w:rPr>
              <w:t>01</w:t>
            </w:r>
            <w:r w:rsidRPr="00C07B70">
              <w:rPr>
                <w:rFonts w:cstheme="minorHAnsi"/>
                <w:sz w:val="24"/>
                <w:szCs w:val="24"/>
                <w:lang w:eastAsia="sk-SK"/>
              </w:rPr>
              <w:t xml:space="preserve"> </w:t>
            </w:r>
          </w:p>
        </w:tc>
        <w:tc>
          <w:tcPr>
            <w:tcW w:w="1133" w:type="pct"/>
            <w:vMerge/>
            <w:shd w:val="clear" w:color="auto" w:fill="EFEFEF"/>
            <w:vAlign w:val="center"/>
            <w:hideMark/>
          </w:tcPr>
          <w:p w14:paraId="58EF8276" w14:textId="77777777" w:rsidR="00BC024C" w:rsidRPr="00C07B70" w:rsidRDefault="00BC024C" w:rsidP="00BC024C">
            <w:pPr>
              <w:spacing w:after="0" w:line="240" w:lineRule="auto"/>
              <w:rPr>
                <w:rFonts w:cstheme="minorHAnsi"/>
                <w:sz w:val="24"/>
                <w:szCs w:val="24"/>
                <w:lang w:eastAsia="sk-SK"/>
              </w:rPr>
            </w:pPr>
          </w:p>
        </w:tc>
      </w:tr>
      <w:tr w:rsidR="00BC024C" w:rsidRPr="00C07B70" w14:paraId="5126D3B9" w14:textId="77777777" w:rsidTr="00BC024C">
        <w:trPr>
          <w:tblCellSpacing w:w="15" w:type="dxa"/>
        </w:trPr>
        <w:tc>
          <w:tcPr>
            <w:tcW w:w="249" w:type="pct"/>
            <w:shd w:val="clear" w:color="auto" w:fill="EFEFEF"/>
            <w:noWrap/>
            <w:vAlign w:val="center"/>
            <w:hideMark/>
          </w:tcPr>
          <w:p w14:paraId="270E1689"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630</w:t>
            </w:r>
            <w:r w:rsidRPr="00C07B70">
              <w:rPr>
                <w:rFonts w:cstheme="minorHAnsi"/>
                <w:sz w:val="24"/>
                <w:szCs w:val="24"/>
                <w:lang w:eastAsia="sk-SK"/>
              </w:rPr>
              <w:t xml:space="preserve"> </w:t>
            </w:r>
          </w:p>
        </w:tc>
        <w:tc>
          <w:tcPr>
            <w:tcW w:w="1153" w:type="pct"/>
            <w:shd w:val="clear" w:color="auto" w:fill="EFEFEF"/>
            <w:vAlign w:val="center"/>
            <w:hideMark/>
          </w:tcPr>
          <w:p w14:paraId="62833B57"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Tovary a služby</w:t>
            </w:r>
            <w:r w:rsidRPr="00C07B70">
              <w:rPr>
                <w:rFonts w:cstheme="minorHAnsi"/>
                <w:sz w:val="24"/>
                <w:szCs w:val="24"/>
                <w:lang w:eastAsia="sk-SK"/>
              </w:rPr>
              <w:t xml:space="preserve"> </w:t>
            </w:r>
          </w:p>
        </w:tc>
        <w:tc>
          <w:tcPr>
            <w:tcW w:w="727" w:type="pct"/>
            <w:shd w:val="clear" w:color="auto" w:fill="EFEFEF"/>
            <w:noWrap/>
            <w:vAlign w:val="center"/>
            <w:hideMark/>
          </w:tcPr>
          <w:p w14:paraId="5F8873F0"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625</w:t>
            </w:r>
            <w:r w:rsidRPr="00C07B70">
              <w:rPr>
                <w:rFonts w:cstheme="minorHAnsi"/>
                <w:sz w:val="20"/>
                <w:szCs w:val="20"/>
                <w:lang w:eastAsia="sk-SK"/>
              </w:rPr>
              <w:t xml:space="preserve"> </w:t>
            </w:r>
            <w:r>
              <w:rPr>
                <w:rFonts w:cstheme="minorHAnsi"/>
                <w:sz w:val="20"/>
                <w:szCs w:val="20"/>
                <w:lang w:eastAsia="sk-SK"/>
              </w:rPr>
              <w:t>18</w:t>
            </w:r>
            <w:r w:rsidRPr="00C07B70">
              <w:rPr>
                <w:rFonts w:cstheme="minorHAnsi"/>
                <w:sz w:val="20"/>
                <w:szCs w:val="20"/>
                <w:lang w:eastAsia="sk-SK"/>
              </w:rPr>
              <w:t>0,00</w:t>
            </w:r>
            <w:r w:rsidRPr="00C07B70">
              <w:rPr>
                <w:rFonts w:cstheme="minorHAnsi"/>
                <w:sz w:val="24"/>
                <w:szCs w:val="24"/>
                <w:lang w:eastAsia="sk-SK"/>
              </w:rPr>
              <w:t xml:space="preserve"> </w:t>
            </w:r>
          </w:p>
        </w:tc>
        <w:tc>
          <w:tcPr>
            <w:tcW w:w="575" w:type="pct"/>
            <w:shd w:val="clear" w:color="auto" w:fill="EFEFEF"/>
            <w:noWrap/>
            <w:vAlign w:val="center"/>
            <w:hideMark/>
          </w:tcPr>
          <w:p w14:paraId="10D49748"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613 434</w:t>
            </w:r>
            <w:r w:rsidRPr="00C07B70">
              <w:rPr>
                <w:rFonts w:cstheme="minorHAnsi"/>
                <w:sz w:val="20"/>
                <w:szCs w:val="20"/>
                <w:lang w:eastAsia="sk-SK"/>
              </w:rPr>
              <w:t>,</w:t>
            </w:r>
            <w:r>
              <w:rPr>
                <w:rFonts w:cstheme="minorHAnsi"/>
                <w:sz w:val="20"/>
                <w:szCs w:val="20"/>
                <w:lang w:eastAsia="sk-SK"/>
              </w:rPr>
              <w:t>89</w:t>
            </w:r>
            <w:r w:rsidRPr="00C07B70">
              <w:rPr>
                <w:rFonts w:cstheme="minorHAnsi"/>
                <w:sz w:val="24"/>
                <w:szCs w:val="24"/>
                <w:lang w:eastAsia="sk-SK"/>
              </w:rPr>
              <w:t xml:space="preserve"> </w:t>
            </w:r>
          </w:p>
        </w:tc>
        <w:tc>
          <w:tcPr>
            <w:tcW w:w="540" w:type="pct"/>
            <w:shd w:val="clear" w:color="auto" w:fill="EFEFEF"/>
            <w:noWrap/>
            <w:vAlign w:val="center"/>
            <w:hideMark/>
          </w:tcPr>
          <w:p w14:paraId="46BC5782"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511</w:t>
            </w:r>
            <w:r w:rsidRPr="00C07B70">
              <w:rPr>
                <w:rFonts w:cstheme="minorHAnsi"/>
                <w:sz w:val="20"/>
                <w:szCs w:val="20"/>
                <w:lang w:eastAsia="sk-SK"/>
              </w:rPr>
              <w:t xml:space="preserve"> </w:t>
            </w:r>
            <w:r>
              <w:rPr>
                <w:rFonts w:cstheme="minorHAnsi"/>
                <w:sz w:val="20"/>
                <w:szCs w:val="20"/>
                <w:lang w:eastAsia="sk-SK"/>
              </w:rPr>
              <w:t>317</w:t>
            </w:r>
            <w:r w:rsidRPr="00C07B70">
              <w:rPr>
                <w:rFonts w:cstheme="minorHAnsi"/>
                <w:sz w:val="20"/>
                <w:szCs w:val="20"/>
                <w:lang w:eastAsia="sk-SK"/>
              </w:rPr>
              <w:t>,</w:t>
            </w:r>
            <w:r>
              <w:rPr>
                <w:rFonts w:cstheme="minorHAnsi"/>
                <w:sz w:val="20"/>
                <w:szCs w:val="20"/>
                <w:lang w:eastAsia="sk-SK"/>
              </w:rPr>
              <w:t>48</w:t>
            </w:r>
            <w:r w:rsidRPr="00C07B70">
              <w:rPr>
                <w:rFonts w:cstheme="minorHAnsi"/>
                <w:sz w:val="24"/>
                <w:szCs w:val="24"/>
                <w:lang w:eastAsia="sk-SK"/>
              </w:rPr>
              <w:t xml:space="preserve"> </w:t>
            </w:r>
          </w:p>
        </w:tc>
        <w:tc>
          <w:tcPr>
            <w:tcW w:w="508" w:type="pct"/>
            <w:shd w:val="clear" w:color="auto" w:fill="EFEFEF"/>
            <w:noWrap/>
            <w:vAlign w:val="center"/>
            <w:hideMark/>
          </w:tcPr>
          <w:p w14:paraId="4275F277"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8</w:t>
            </w:r>
            <w:r>
              <w:rPr>
                <w:rFonts w:cstheme="minorHAnsi"/>
                <w:sz w:val="20"/>
                <w:szCs w:val="20"/>
                <w:lang w:eastAsia="sk-SK"/>
              </w:rPr>
              <w:t>3</w:t>
            </w:r>
            <w:r w:rsidRPr="00C07B70">
              <w:rPr>
                <w:rFonts w:cstheme="minorHAnsi"/>
                <w:sz w:val="20"/>
                <w:szCs w:val="20"/>
                <w:lang w:eastAsia="sk-SK"/>
              </w:rPr>
              <w:t>,</w:t>
            </w:r>
            <w:r>
              <w:rPr>
                <w:rFonts w:cstheme="minorHAnsi"/>
                <w:sz w:val="20"/>
                <w:szCs w:val="20"/>
                <w:lang w:eastAsia="sk-SK"/>
              </w:rPr>
              <w:t>35</w:t>
            </w:r>
            <w:r w:rsidRPr="00C07B70">
              <w:rPr>
                <w:rFonts w:cstheme="minorHAnsi"/>
                <w:sz w:val="24"/>
                <w:szCs w:val="24"/>
                <w:lang w:eastAsia="sk-SK"/>
              </w:rPr>
              <w:t xml:space="preserve"> </w:t>
            </w:r>
          </w:p>
        </w:tc>
        <w:tc>
          <w:tcPr>
            <w:tcW w:w="1133" w:type="pct"/>
            <w:vMerge/>
            <w:shd w:val="clear" w:color="auto" w:fill="EFEFEF"/>
            <w:vAlign w:val="center"/>
            <w:hideMark/>
          </w:tcPr>
          <w:p w14:paraId="41E389B6" w14:textId="77777777" w:rsidR="00BC024C" w:rsidRPr="00C07B70" w:rsidRDefault="00BC024C" w:rsidP="00BC024C">
            <w:pPr>
              <w:spacing w:after="0" w:line="240" w:lineRule="auto"/>
              <w:rPr>
                <w:rFonts w:cstheme="minorHAnsi"/>
                <w:sz w:val="24"/>
                <w:szCs w:val="24"/>
                <w:lang w:eastAsia="sk-SK"/>
              </w:rPr>
            </w:pPr>
          </w:p>
        </w:tc>
      </w:tr>
      <w:tr w:rsidR="00BC024C" w:rsidRPr="00C07B70" w14:paraId="29660502" w14:textId="77777777" w:rsidTr="00BC024C">
        <w:trPr>
          <w:tblCellSpacing w:w="15" w:type="dxa"/>
        </w:trPr>
        <w:tc>
          <w:tcPr>
            <w:tcW w:w="249" w:type="pct"/>
            <w:shd w:val="clear" w:color="auto" w:fill="EFEFEF"/>
            <w:noWrap/>
            <w:vAlign w:val="center"/>
            <w:hideMark/>
          </w:tcPr>
          <w:p w14:paraId="59953A6B"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640</w:t>
            </w:r>
            <w:r w:rsidRPr="00C07B70">
              <w:rPr>
                <w:rFonts w:cstheme="minorHAnsi"/>
                <w:sz w:val="24"/>
                <w:szCs w:val="24"/>
                <w:lang w:eastAsia="sk-SK"/>
              </w:rPr>
              <w:t xml:space="preserve"> </w:t>
            </w:r>
          </w:p>
        </w:tc>
        <w:tc>
          <w:tcPr>
            <w:tcW w:w="1153" w:type="pct"/>
            <w:shd w:val="clear" w:color="auto" w:fill="EFEFEF"/>
            <w:vAlign w:val="center"/>
            <w:hideMark/>
          </w:tcPr>
          <w:p w14:paraId="4CEF0F62"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Bežné transfery</w:t>
            </w:r>
            <w:r w:rsidRPr="00C07B70">
              <w:rPr>
                <w:rFonts w:cstheme="minorHAnsi"/>
                <w:sz w:val="24"/>
                <w:szCs w:val="24"/>
                <w:lang w:eastAsia="sk-SK"/>
              </w:rPr>
              <w:t xml:space="preserve"> </w:t>
            </w:r>
          </w:p>
        </w:tc>
        <w:tc>
          <w:tcPr>
            <w:tcW w:w="727" w:type="pct"/>
            <w:shd w:val="clear" w:color="auto" w:fill="EFEFEF"/>
            <w:noWrap/>
            <w:vAlign w:val="center"/>
            <w:hideMark/>
          </w:tcPr>
          <w:p w14:paraId="0A2E0DC1"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9 132</w:t>
            </w:r>
            <w:r w:rsidRPr="00C07B70">
              <w:rPr>
                <w:rFonts w:cstheme="minorHAnsi"/>
                <w:sz w:val="20"/>
                <w:szCs w:val="20"/>
                <w:lang w:eastAsia="sk-SK"/>
              </w:rPr>
              <w:t>,00</w:t>
            </w:r>
            <w:r w:rsidRPr="00C07B70">
              <w:rPr>
                <w:rFonts w:cstheme="minorHAnsi"/>
                <w:sz w:val="24"/>
                <w:szCs w:val="24"/>
                <w:lang w:eastAsia="sk-SK"/>
              </w:rPr>
              <w:t xml:space="preserve"> </w:t>
            </w:r>
          </w:p>
        </w:tc>
        <w:tc>
          <w:tcPr>
            <w:tcW w:w="575" w:type="pct"/>
            <w:shd w:val="clear" w:color="auto" w:fill="EFEFEF"/>
            <w:noWrap/>
            <w:vAlign w:val="center"/>
            <w:hideMark/>
          </w:tcPr>
          <w:p w14:paraId="23D24EDA"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19 913</w:t>
            </w:r>
            <w:r w:rsidRPr="00C07B70">
              <w:rPr>
                <w:rFonts w:cstheme="minorHAnsi"/>
                <w:sz w:val="20"/>
                <w:szCs w:val="20"/>
                <w:lang w:eastAsia="sk-SK"/>
              </w:rPr>
              <w:t>,</w:t>
            </w:r>
            <w:r>
              <w:rPr>
                <w:rFonts w:cstheme="minorHAnsi"/>
                <w:sz w:val="20"/>
                <w:szCs w:val="20"/>
                <w:lang w:eastAsia="sk-SK"/>
              </w:rPr>
              <w:t>64</w:t>
            </w:r>
            <w:r w:rsidRPr="00C07B70">
              <w:rPr>
                <w:rFonts w:cstheme="minorHAnsi"/>
                <w:sz w:val="24"/>
                <w:szCs w:val="24"/>
                <w:lang w:eastAsia="sk-SK"/>
              </w:rPr>
              <w:t xml:space="preserve"> </w:t>
            </w:r>
          </w:p>
        </w:tc>
        <w:tc>
          <w:tcPr>
            <w:tcW w:w="540" w:type="pct"/>
            <w:shd w:val="clear" w:color="auto" w:fill="EFEFEF"/>
            <w:noWrap/>
            <w:vAlign w:val="center"/>
            <w:hideMark/>
          </w:tcPr>
          <w:p w14:paraId="5627BB57" w14:textId="77777777" w:rsidR="00BC024C" w:rsidRPr="00C07B70" w:rsidRDefault="00BC024C" w:rsidP="00BC024C">
            <w:pPr>
              <w:spacing w:after="0" w:line="240" w:lineRule="auto"/>
              <w:jc w:val="right"/>
              <w:rPr>
                <w:rFonts w:cstheme="minorHAnsi"/>
                <w:sz w:val="24"/>
                <w:szCs w:val="24"/>
                <w:lang w:eastAsia="sk-SK"/>
              </w:rPr>
            </w:pPr>
            <w:r>
              <w:rPr>
                <w:rFonts w:cstheme="minorHAnsi"/>
                <w:sz w:val="20"/>
                <w:szCs w:val="20"/>
                <w:lang w:eastAsia="sk-SK"/>
              </w:rPr>
              <w:t>18</w:t>
            </w:r>
            <w:r w:rsidRPr="00C07B70">
              <w:rPr>
                <w:rFonts w:cstheme="minorHAnsi"/>
                <w:sz w:val="20"/>
                <w:szCs w:val="20"/>
                <w:lang w:eastAsia="sk-SK"/>
              </w:rPr>
              <w:t xml:space="preserve"> </w:t>
            </w:r>
            <w:r>
              <w:rPr>
                <w:rFonts w:cstheme="minorHAnsi"/>
                <w:sz w:val="20"/>
                <w:szCs w:val="20"/>
                <w:lang w:eastAsia="sk-SK"/>
              </w:rPr>
              <w:t>779</w:t>
            </w:r>
            <w:r w:rsidRPr="00C07B70">
              <w:rPr>
                <w:rFonts w:cstheme="minorHAnsi"/>
                <w:sz w:val="20"/>
                <w:szCs w:val="20"/>
                <w:lang w:eastAsia="sk-SK"/>
              </w:rPr>
              <w:t>,</w:t>
            </w:r>
            <w:r>
              <w:rPr>
                <w:rFonts w:cstheme="minorHAnsi"/>
                <w:sz w:val="20"/>
                <w:szCs w:val="20"/>
                <w:lang w:eastAsia="sk-SK"/>
              </w:rPr>
              <w:t>64</w:t>
            </w:r>
            <w:r w:rsidRPr="00C07B70">
              <w:rPr>
                <w:rFonts w:cstheme="minorHAnsi"/>
                <w:sz w:val="24"/>
                <w:szCs w:val="24"/>
                <w:lang w:eastAsia="sk-SK"/>
              </w:rPr>
              <w:t xml:space="preserve"> </w:t>
            </w:r>
          </w:p>
        </w:tc>
        <w:tc>
          <w:tcPr>
            <w:tcW w:w="508" w:type="pct"/>
            <w:shd w:val="clear" w:color="auto" w:fill="EFEFEF"/>
            <w:noWrap/>
            <w:vAlign w:val="center"/>
            <w:hideMark/>
          </w:tcPr>
          <w:p w14:paraId="4D4AD0A5" w14:textId="77777777" w:rsidR="00BC024C" w:rsidRPr="00C07B70" w:rsidRDefault="00BC024C" w:rsidP="00BC024C">
            <w:pPr>
              <w:spacing w:after="0" w:line="240" w:lineRule="auto"/>
              <w:jc w:val="right"/>
              <w:rPr>
                <w:rFonts w:cstheme="minorHAnsi"/>
                <w:sz w:val="24"/>
                <w:szCs w:val="24"/>
                <w:lang w:eastAsia="sk-SK"/>
              </w:rPr>
            </w:pPr>
            <w:r w:rsidRPr="00C07B70">
              <w:rPr>
                <w:rFonts w:cstheme="minorHAnsi"/>
                <w:sz w:val="20"/>
                <w:szCs w:val="20"/>
                <w:lang w:eastAsia="sk-SK"/>
              </w:rPr>
              <w:t>9</w:t>
            </w:r>
            <w:r>
              <w:rPr>
                <w:rFonts w:cstheme="minorHAnsi"/>
                <w:sz w:val="20"/>
                <w:szCs w:val="20"/>
                <w:lang w:eastAsia="sk-SK"/>
              </w:rPr>
              <w:t>4</w:t>
            </w:r>
            <w:r w:rsidRPr="00C07B70">
              <w:rPr>
                <w:rFonts w:cstheme="minorHAnsi"/>
                <w:sz w:val="20"/>
                <w:szCs w:val="20"/>
                <w:lang w:eastAsia="sk-SK"/>
              </w:rPr>
              <w:t>,</w:t>
            </w:r>
            <w:r>
              <w:rPr>
                <w:rFonts w:cstheme="minorHAnsi"/>
                <w:sz w:val="20"/>
                <w:szCs w:val="20"/>
                <w:lang w:eastAsia="sk-SK"/>
              </w:rPr>
              <w:t>31</w:t>
            </w:r>
            <w:r w:rsidRPr="00C07B70">
              <w:rPr>
                <w:rFonts w:cstheme="minorHAnsi"/>
                <w:sz w:val="24"/>
                <w:szCs w:val="24"/>
                <w:lang w:eastAsia="sk-SK"/>
              </w:rPr>
              <w:t xml:space="preserve"> </w:t>
            </w:r>
          </w:p>
        </w:tc>
        <w:tc>
          <w:tcPr>
            <w:tcW w:w="1133" w:type="pct"/>
            <w:vMerge/>
            <w:shd w:val="clear" w:color="auto" w:fill="EFEFEF"/>
            <w:vAlign w:val="center"/>
            <w:hideMark/>
          </w:tcPr>
          <w:p w14:paraId="4A333430" w14:textId="77777777" w:rsidR="00BC024C" w:rsidRPr="00C07B70" w:rsidRDefault="00BC024C" w:rsidP="00BC024C">
            <w:pPr>
              <w:spacing w:after="0" w:line="240" w:lineRule="auto"/>
              <w:rPr>
                <w:rFonts w:cstheme="minorHAnsi"/>
                <w:sz w:val="24"/>
                <w:szCs w:val="24"/>
                <w:lang w:eastAsia="sk-SK"/>
              </w:rPr>
            </w:pPr>
          </w:p>
        </w:tc>
      </w:tr>
    </w:tbl>
    <w:p w14:paraId="49DAE2F6" w14:textId="77777777" w:rsidR="00BC024C" w:rsidRPr="00C07B70" w:rsidRDefault="00BC024C" w:rsidP="00BC024C">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002"/>
        <w:gridCol w:w="651"/>
        <w:gridCol w:w="1543"/>
        <w:gridCol w:w="1111"/>
        <w:gridCol w:w="4159"/>
      </w:tblGrid>
      <w:tr w:rsidR="00BC024C" w:rsidRPr="00C07B70" w14:paraId="266631D3" w14:textId="77777777" w:rsidTr="00BC024C">
        <w:trPr>
          <w:tblCellSpacing w:w="15" w:type="dxa"/>
        </w:trPr>
        <w:tc>
          <w:tcPr>
            <w:tcW w:w="0" w:type="auto"/>
            <w:shd w:val="clear" w:color="auto" w:fill="C2D69B"/>
            <w:vAlign w:val="center"/>
            <w:hideMark/>
          </w:tcPr>
          <w:p w14:paraId="6D41CAE9"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Zodpovednosť</w:t>
            </w:r>
          </w:p>
        </w:tc>
        <w:tc>
          <w:tcPr>
            <w:tcW w:w="0" w:type="auto"/>
            <w:gridSpan w:val="4"/>
            <w:shd w:val="clear" w:color="auto" w:fill="C2D69B"/>
            <w:vAlign w:val="center"/>
            <w:hideMark/>
          </w:tcPr>
          <w:p w14:paraId="10123ACB"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Kancelária predsedu</w:t>
            </w:r>
            <w:r w:rsidRPr="00C07B70">
              <w:rPr>
                <w:rFonts w:cstheme="minorHAnsi"/>
                <w:sz w:val="20"/>
                <w:szCs w:val="20"/>
                <w:lang w:eastAsia="sk-SK"/>
              </w:rPr>
              <w:br/>
            </w:r>
          </w:p>
        </w:tc>
      </w:tr>
      <w:tr w:rsidR="00BC024C" w:rsidRPr="00C07B70" w14:paraId="44FE3B56" w14:textId="77777777" w:rsidTr="00BC024C">
        <w:trPr>
          <w:tblCellSpacing w:w="15" w:type="dxa"/>
        </w:trPr>
        <w:tc>
          <w:tcPr>
            <w:tcW w:w="0" w:type="auto"/>
            <w:shd w:val="clear" w:color="auto" w:fill="C2D69B"/>
            <w:vAlign w:val="center"/>
            <w:hideMark/>
          </w:tcPr>
          <w:p w14:paraId="39922858"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Cieľ</w:t>
            </w:r>
          </w:p>
        </w:tc>
        <w:tc>
          <w:tcPr>
            <w:tcW w:w="0" w:type="auto"/>
            <w:gridSpan w:val="4"/>
            <w:shd w:val="clear" w:color="auto" w:fill="C2D69B"/>
            <w:vAlign w:val="center"/>
            <w:hideMark/>
          </w:tcPr>
          <w:p w14:paraId="372296C1"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 xml:space="preserve">Zabezpečiť účinné riadenie BSK </w:t>
            </w:r>
          </w:p>
        </w:tc>
      </w:tr>
      <w:tr w:rsidR="00BC024C" w:rsidRPr="00C07B70" w14:paraId="4B0F280C" w14:textId="77777777" w:rsidTr="00BC024C">
        <w:trPr>
          <w:tblCellSpacing w:w="15" w:type="dxa"/>
        </w:trPr>
        <w:tc>
          <w:tcPr>
            <w:tcW w:w="0" w:type="auto"/>
            <w:shd w:val="clear" w:color="auto" w:fill="C2D69B"/>
            <w:vAlign w:val="center"/>
            <w:hideMark/>
          </w:tcPr>
          <w:p w14:paraId="6837282F"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Merateľný ukazovateľ</w:t>
            </w:r>
          </w:p>
        </w:tc>
        <w:tc>
          <w:tcPr>
            <w:tcW w:w="0" w:type="auto"/>
            <w:gridSpan w:val="4"/>
            <w:shd w:val="clear" w:color="auto" w:fill="C2D69B"/>
            <w:vAlign w:val="center"/>
            <w:hideMark/>
          </w:tcPr>
          <w:p w14:paraId="270D7A07" w14:textId="77777777" w:rsidR="00BC024C" w:rsidRPr="00C07B70" w:rsidRDefault="00BC024C" w:rsidP="00BC024C">
            <w:pPr>
              <w:spacing w:after="0" w:line="240" w:lineRule="auto"/>
              <w:rPr>
                <w:rFonts w:cstheme="minorHAnsi"/>
                <w:sz w:val="24"/>
                <w:szCs w:val="24"/>
                <w:lang w:eastAsia="sk-SK"/>
              </w:rPr>
            </w:pPr>
            <w:r w:rsidRPr="00C07B70">
              <w:rPr>
                <w:rFonts w:cstheme="minorHAnsi"/>
                <w:sz w:val="20"/>
                <w:szCs w:val="20"/>
                <w:lang w:eastAsia="sk-SK"/>
              </w:rPr>
              <w:t>Počet rokovaní zastupiteľstva v roku</w:t>
            </w:r>
            <w:r w:rsidRPr="00C07B70">
              <w:rPr>
                <w:rFonts w:cstheme="minorHAnsi"/>
                <w:sz w:val="24"/>
                <w:szCs w:val="24"/>
                <w:lang w:eastAsia="sk-SK"/>
              </w:rPr>
              <w:t xml:space="preserve"> </w:t>
            </w:r>
          </w:p>
        </w:tc>
      </w:tr>
      <w:tr w:rsidR="00BC024C" w:rsidRPr="00C07B70" w14:paraId="71606803" w14:textId="77777777" w:rsidTr="00BC024C">
        <w:trPr>
          <w:tblCellSpacing w:w="15" w:type="dxa"/>
        </w:trPr>
        <w:tc>
          <w:tcPr>
            <w:tcW w:w="0" w:type="auto"/>
            <w:shd w:val="clear" w:color="auto" w:fill="C2D69B"/>
            <w:vAlign w:val="center"/>
            <w:hideMark/>
          </w:tcPr>
          <w:p w14:paraId="1F803578"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Rok</w:t>
            </w:r>
          </w:p>
        </w:tc>
        <w:tc>
          <w:tcPr>
            <w:tcW w:w="0" w:type="auto"/>
            <w:shd w:val="clear" w:color="auto" w:fill="C2D69B"/>
            <w:vAlign w:val="center"/>
            <w:hideMark/>
          </w:tcPr>
          <w:p w14:paraId="148FFFA8"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Plán</w:t>
            </w:r>
          </w:p>
        </w:tc>
        <w:tc>
          <w:tcPr>
            <w:tcW w:w="0" w:type="auto"/>
            <w:shd w:val="clear" w:color="auto" w:fill="C2D69B"/>
            <w:vAlign w:val="center"/>
            <w:hideMark/>
          </w:tcPr>
          <w:p w14:paraId="734F994F"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Skutočnosť</w:t>
            </w:r>
          </w:p>
        </w:tc>
        <w:tc>
          <w:tcPr>
            <w:tcW w:w="0" w:type="auto"/>
            <w:shd w:val="clear" w:color="auto" w:fill="C2D69B"/>
            <w:vAlign w:val="center"/>
            <w:hideMark/>
          </w:tcPr>
          <w:p w14:paraId="4FB95E44"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b/>
                <w:bCs/>
                <w:sz w:val="20"/>
                <w:szCs w:val="20"/>
                <w:lang w:eastAsia="sk-SK"/>
              </w:rPr>
              <w:t>Plnenie</w:t>
            </w:r>
          </w:p>
        </w:tc>
        <w:tc>
          <w:tcPr>
            <w:tcW w:w="2000" w:type="pct"/>
            <w:shd w:val="clear" w:color="auto" w:fill="C2D69B"/>
            <w:vAlign w:val="center"/>
            <w:hideMark/>
          </w:tcPr>
          <w:p w14:paraId="15622634" w14:textId="77777777" w:rsidR="00BC024C" w:rsidRPr="00C07B70" w:rsidRDefault="00BC024C" w:rsidP="00BC024C">
            <w:pPr>
              <w:spacing w:after="0" w:line="240" w:lineRule="auto"/>
              <w:rPr>
                <w:rFonts w:cstheme="minorHAnsi"/>
                <w:sz w:val="24"/>
                <w:szCs w:val="24"/>
                <w:lang w:eastAsia="sk-SK"/>
              </w:rPr>
            </w:pPr>
            <w:r w:rsidRPr="00C07B70">
              <w:rPr>
                <w:rFonts w:cstheme="minorHAnsi"/>
                <w:b/>
                <w:bCs/>
                <w:sz w:val="20"/>
                <w:szCs w:val="20"/>
                <w:lang w:eastAsia="sk-SK"/>
              </w:rPr>
              <w:t>Poznámka</w:t>
            </w:r>
          </w:p>
        </w:tc>
      </w:tr>
      <w:tr w:rsidR="00BC024C" w:rsidRPr="00C07B70" w14:paraId="00A6ADCB" w14:textId="77777777" w:rsidTr="00BC024C">
        <w:trPr>
          <w:tblCellSpacing w:w="15" w:type="dxa"/>
        </w:trPr>
        <w:tc>
          <w:tcPr>
            <w:tcW w:w="0" w:type="auto"/>
            <w:shd w:val="clear" w:color="auto" w:fill="C2D69B"/>
            <w:vAlign w:val="center"/>
            <w:hideMark/>
          </w:tcPr>
          <w:p w14:paraId="1A83341A"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sz w:val="20"/>
                <w:szCs w:val="20"/>
                <w:lang w:eastAsia="sk-SK"/>
              </w:rPr>
              <w:t>2</w:t>
            </w:r>
            <w:r>
              <w:rPr>
                <w:rFonts w:cstheme="minorHAnsi"/>
                <w:sz w:val="20"/>
                <w:szCs w:val="20"/>
                <w:lang w:eastAsia="sk-SK"/>
              </w:rPr>
              <w:t>020</w:t>
            </w:r>
            <w:r w:rsidRPr="00C07B70">
              <w:rPr>
                <w:rFonts w:cstheme="minorHAnsi"/>
                <w:sz w:val="24"/>
                <w:szCs w:val="24"/>
                <w:lang w:eastAsia="sk-SK"/>
              </w:rPr>
              <w:t xml:space="preserve"> </w:t>
            </w:r>
          </w:p>
        </w:tc>
        <w:tc>
          <w:tcPr>
            <w:tcW w:w="0" w:type="auto"/>
            <w:shd w:val="clear" w:color="auto" w:fill="C2D69B"/>
            <w:noWrap/>
            <w:vAlign w:val="center"/>
            <w:hideMark/>
          </w:tcPr>
          <w:p w14:paraId="36728A69"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sz w:val="20"/>
                <w:szCs w:val="20"/>
                <w:lang w:eastAsia="sk-SK"/>
              </w:rPr>
              <w:t> </w:t>
            </w:r>
            <w:r>
              <w:rPr>
                <w:rFonts w:cstheme="minorHAnsi"/>
                <w:sz w:val="20"/>
                <w:szCs w:val="20"/>
                <w:lang w:eastAsia="sk-SK"/>
              </w:rPr>
              <w:t>7</w:t>
            </w:r>
            <w:r w:rsidRPr="00C07B70">
              <w:rPr>
                <w:rFonts w:cstheme="minorHAnsi"/>
                <w:sz w:val="24"/>
                <w:szCs w:val="24"/>
                <w:lang w:eastAsia="sk-SK"/>
              </w:rPr>
              <w:t xml:space="preserve"> </w:t>
            </w:r>
          </w:p>
        </w:tc>
        <w:tc>
          <w:tcPr>
            <w:tcW w:w="0" w:type="auto"/>
            <w:shd w:val="clear" w:color="auto" w:fill="C2D69B"/>
            <w:noWrap/>
            <w:vAlign w:val="center"/>
            <w:hideMark/>
          </w:tcPr>
          <w:p w14:paraId="6334A420"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sz w:val="20"/>
                <w:szCs w:val="20"/>
                <w:lang w:eastAsia="sk-SK"/>
              </w:rPr>
              <w:t> </w:t>
            </w:r>
            <w:r>
              <w:rPr>
                <w:rFonts w:cstheme="minorHAnsi"/>
                <w:sz w:val="20"/>
                <w:szCs w:val="20"/>
                <w:lang w:eastAsia="sk-SK"/>
              </w:rPr>
              <w:t>8</w:t>
            </w:r>
            <w:r w:rsidRPr="00C07B70">
              <w:rPr>
                <w:rFonts w:cstheme="minorHAnsi"/>
                <w:sz w:val="24"/>
                <w:szCs w:val="24"/>
                <w:lang w:eastAsia="sk-SK"/>
              </w:rPr>
              <w:t xml:space="preserve"> </w:t>
            </w:r>
          </w:p>
        </w:tc>
        <w:tc>
          <w:tcPr>
            <w:tcW w:w="0" w:type="auto"/>
            <w:shd w:val="clear" w:color="auto" w:fill="C2D69B"/>
            <w:vAlign w:val="center"/>
            <w:hideMark/>
          </w:tcPr>
          <w:p w14:paraId="7589527D" w14:textId="77777777" w:rsidR="00BC024C" w:rsidRPr="00C07B70" w:rsidRDefault="00BC024C" w:rsidP="00BC024C">
            <w:pPr>
              <w:spacing w:after="0" w:line="240" w:lineRule="auto"/>
              <w:jc w:val="center"/>
              <w:rPr>
                <w:rFonts w:cstheme="minorHAnsi"/>
                <w:sz w:val="24"/>
                <w:szCs w:val="24"/>
                <w:lang w:eastAsia="sk-SK"/>
              </w:rPr>
            </w:pPr>
            <w:r w:rsidRPr="00C07B70">
              <w:rPr>
                <w:rFonts w:cstheme="minorHAnsi"/>
                <w:sz w:val="20"/>
                <w:szCs w:val="20"/>
                <w:lang w:eastAsia="sk-SK"/>
              </w:rPr>
              <w:t>Splnené</w:t>
            </w:r>
            <w:r w:rsidRPr="00C07B70">
              <w:rPr>
                <w:rFonts w:cstheme="minorHAnsi"/>
                <w:sz w:val="24"/>
                <w:szCs w:val="24"/>
                <w:lang w:eastAsia="sk-SK"/>
              </w:rPr>
              <w:t xml:space="preserve"> </w:t>
            </w:r>
          </w:p>
        </w:tc>
        <w:tc>
          <w:tcPr>
            <w:tcW w:w="0" w:type="auto"/>
            <w:shd w:val="clear" w:color="auto" w:fill="C2D69B"/>
            <w:vAlign w:val="center"/>
            <w:hideMark/>
          </w:tcPr>
          <w:p w14:paraId="302E70B5" w14:textId="77777777" w:rsidR="00BC024C" w:rsidRPr="00C07B70" w:rsidRDefault="00BC024C" w:rsidP="00BC024C">
            <w:pPr>
              <w:spacing w:after="0" w:line="240" w:lineRule="auto"/>
              <w:jc w:val="center"/>
              <w:rPr>
                <w:rFonts w:cstheme="minorHAnsi"/>
                <w:sz w:val="24"/>
                <w:szCs w:val="24"/>
                <w:lang w:eastAsia="sk-SK"/>
              </w:rPr>
            </w:pPr>
          </w:p>
        </w:tc>
      </w:tr>
    </w:tbl>
    <w:p w14:paraId="1565F6A7" w14:textId="77777777" w:rsidR="00BC024C" w:rsidRPr="001C41F1" w:rsidRDefault="00BC024C" w:rsidP="00BC024C">
      <w:pPr>
        <w:spacing w:before="100" w:beforeAutospacing="1" w:after="100" w:afterAutospacing="1" w:line="240" w:lineRule="auto"/>
        <w:jc w:val="both"/>
        <w:rPr>
          <w:rFonts w:cstheme="minorHAnsi"/>
          <w:lang w:eastAsia="sk-SK"/>
        </w:rPr>
      </w:pPr>
      <w:r w:rsidRPr="00755073">
        <w:rPr>
          <w:rFonts w:cstheme="minorHAnsi"/>
          <w:b/>
          <w:bCs/>
          <w:sz w:val="24"/>
          <w:szCs w:val="24"/>
          <w:lang w:eastAsia="sk-SK"/>
        </w:rPr>
        <w:lastRenderedPageBreak/>
        <w:t xml:space="preserve">Komentár: </w:t>
      </w:r>
      <w:r w:rsidRPr="001C41F1">
        <w:rPr>
          <w:rFonts w:cstheme="minorHAnsi"/>
          <w:lang w:eastAsia="sk-SK"/>
        </w:rPr>
        <w:t xml:space="preserve">V rámci podprogramu sú zahrnuté aktivity, ktoré zabezpečujú efektívne fungovanie Úradu Bratislavského samosprávneho kraja. Patria sem návštevy veľvyslancov a iných zahraničných delegácií, stretnutia so starostami obcí a primátormi miest, pracovné stretnutia poslancov s predsedom BSK, zasadnutia Komisií Zastupiteľstva BSK a mimoriadnych Komisií Zastupiteľstva BSK. Rozpočet zahŕňa aj bežné výdavky spojené s výkonom funkcie poslancov a podpredsedov Bratislavského samosprávneho kraja, t. z. výdavky na odmeny a cestovné náhrady poslancov, odmeny, poistné do sociálnej poisťovne a zdravotných poisťovní podpredsedov a tiež odmeny tajomníkov komisií zriadených Zastupiteľstvom BSK. Vo volebnom období 2017 – 2022 je Zastupiteľstvo Bratislavského samosprávneho kraja zborom 50 poslancov. Zastupiteľstvo BSK sa schádza podľa potreby a podľa schváleného plánu zasadnutí Zastupiteľstva BSK na príslušný kalendárny rok. </w:t>
      </w:r>
      <w:r w:rsidRPr="001C41F1">
        <w:rPr>
          <w:rFonts w:cs="Calibri"/>
          <w:color w:val="201F1E"/>
          <w:shd w:val="clear" w:color="auto" w:fill="FFFFFF"/>
        </w:rPr>
        <w:t>V roku 2020 sa uskutočnilo 8 rokovaní Zastupiteľstva Bratislavského samosprávneho kraja. V súvislosti s prijatými protiepidemiologickými opatreniami bolo jedno plánované rokovanie na termín 3. apríla 2020 zrušené. Dve rokovania Zastupiteľstva BSK sa uskutočnili v mimoriadnom termíne, to znamená, mimo schváleného harmonogramu zasadnutí na rok 2020. Jedná sa o termíny 4. septembra 2020 a 16. októbra 2020. To znamená, že v roku 2020 sa uskutočnilo 8 pracovných rokovaní zastupiteľstva v nasledovných termínoch: 28. februára, 29. mája, 26. júna, 04. septembra, 11. septembra, 16. októbra, 11. novembra a 18. decembra.</w:t>
      </w:r>
    </w:p>
    <w:bookmarkEnd w:id="4"/>
    <w:bookmarkEnd w:id="3"/>
    <w:p w14:paraId="1F3E45EE" w14:textId="77777777" w:rsidR="000B4F35" w:rsidRPr="00684BDE" w:rsidRDefault="000B4F35" w:rsidP="000B4F35">
      <w:pPr>
        <w:spacing w:before="100" w:beforeAutospacing="1" w:after="100" w:afterAutospacing="1" w:line="240" w:lineRule="auto"/>
        <w:outlineLvl w:val="2"/>
        <w:rPr>
          <w:rFonts w:cstheme="minorHAnsi"/>
          <w:b/>
          <w:bCs/>
          <w:color w:val="4F6228"/>
          <w:sz w:val="28"/>
          <w:szCs w:val="28"/>
          <w:lang w:eastAsia="sk-SK"/>
        </w:rPr>
      </w:pPr>
      <w:r w:rsidRPr="00684BDE">
        <w:rPr>
          <w:rFonts w:cstheme="minorHAnsi"/>
          <w:b/>
          <w:bCs/>
          <w:color w:val="4F6228"/>
          <w:sz w:val="28"/>
          <w:szCs w:val="28"/>
          <w:lang w:eastAsia="sk-SK"/>
        </w:rPr>
        <w:t>Podprogram 1.2: Zahraničné vzťahy a Európske záležitosti</w:t>
      </w:r>
    </w:p>
    <w:p w14:paraId="330D899D" w14:textId="77777777" w:rsidR="000B4F35" w:rsidRPr="00684BDE" w:rsidRDefault="000B4F35" w:rsidP="000B4F35">
      <w:pPr>
        <w:spacing w:before="100" w:beforeAutospacing="1" w:after="100" w:afterAutospacing="1" w:line="240" w:lineRule="auto"/>
        <w:rPr>
          <w:rFonts w:cstheme="minorHAnsi"/>
          <w:sz w:val="24"/>
          <w:szCs w:val="24"/>
          <w:lang w:eastAsia="sk-SK"/>
        </w:rPr>
      </w:pPr>
      <w:r w:rsidRPr="00684BDE">
        <w:rPr>
          <w:rFonts w:cstheme="minorHAnsi"/>
          <w:b/>
          <w:bCs/>
          <w:sz w:val="24"/>
          <w:szCs w:val="24"/>
          <w:lang w:eastAsia="sk-SK"/>
        </w:rPr>
        <w:t xml:space="preserve">Zámer: </w:t>
      </w:r>
      <w:r w:rsidRPr="00684BDE">
        <w:rPr>
          <w:rFonts w:cstheme="minorHAnsi"/>
          <w:sz w:val="24"/>
          <w:szCs w:val="24"/>
          <w:lang w:eastAsia="sk-SK"/>
        </w:rPr>
        <w:t>Realizované záujmy BSK na európskej úrovni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3"/>
        <w:gridCol w:w="2028"/>
        <w:gridCol w:w="1303"/>
        <w:gridCol w:w="1267"/>
        <w:gridCol w:w="1674"/>
        <w:gridCol w:w="1181"/>
        <w:gridCol w:w="2070"/>
      </w:tblGrid>
      <w:tr w:rsidR="000B4F35" w:rsidRPr="00684BDE" w14:paraId="61B79963" w14:textId="77777777" w:rsidTr="00296E97">
        <w:trPr>
          <w:tblCellSpacing w:w="15" w:type="dxa"/>
        </w:trPr>
        <w:tc>
          <w:tcPr>
            <w:tcW w:w="0" w:type="auto"/>
            <w:shd w:val="clear" w:color="auto" w:fill="C6DBF7"/>
            <w:vAlign w:val="center"/>
            <w:hideMark/>
          </w:tcPr>
          <w:p w14:paraId="296510D2"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Kód EK</w:t>
            </w:r>
          </w:p>
        </w:tc>
        <w:tc>
          <w:tcPr>
            <w:tcW w:w="977" w:type="pct"/>
            <w:shd w:val="clear" w:color="auto" w:fill="C6DBF7"/>
            <w:vAlign w:val="center"/>
            <w:hideMark/>
          </w:tcPr>
          <w:p w14:paraId="25431864"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Ekonomická klasifikácia</w:t>
            </w:r>
          </w:p>
        </w:tc>
        <w:tc>
          <w:tcPr>
            <w:tcW w:w="0" w:type="auto"/>
            <w:shd w:val="clear" w:color="auto" w:fill="C6DBF7"/>
            <w:vAlign w:val="center"/>
            <w:hideMark/>
          </w:tcPr>
          <w:p w14:paraId="1A0B6E7A"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Schválený</w:t>
            </w:r>
            <w:r w:rsidRPr="00684BDE">
              <w:rPr>
                <w:rFonts w:cstheme="minorHAnsi"/>
                <w:b/>
                <w:bCs/>
                <w:sz w:val="20"/>
                <w:szCs w:val="20"/>
                <w:lang w:eastAsia="sk-SK"/>
              </w:rPr>
              <w:br/>
              <w:t>rozpočet</w:t>
            </w:r>
            <w:r w:rsidRPr="00684BDE">
              <w:rPr>
                <w:rFonts w:cstheme="minorHAnsi"/>
                <w:b/>
                <w:bCs/>
                <w:sz w:val="20"/>
                <w:szCs w:val="20"/>
                <w:lang w:eastAsia="sk-SK"/>
              </w:rPr>
              <w:br/>
              <w:t>v EUR</w:t>
            </w:r>
          </w:p>
        </w:tc>
        <w:tc>
          <w:tcPr>
            <w:tcW w:w="0" w:type="auto"/>
            <w:shd w:val="clear" w:color="auto" w:fill="C6DBF7"/>
            <w:vAlign w:val="center"/>
            <w:hideMark/>
          </w:tcPr>
          <w:p w14:paraId="4399EFFF"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Zmenený</w:t>
            </w:r>
            <w:r w:rsidRPr="00684BDE">
              <w:rPr>
                <w:rFonts w:cstheme="minorHAnsi"/>
                <w:b/>
                <w:bCs/>
                <w:sz w:val="20"/>
                <w:szCs w:val="20"/>
                <w:lang w:eastAsia="sk-SK"/>
              </w:rPr>
              <w:br/>
              <w:t>rozpočet</w:t>
            </w:r>
            <w:r w:rsidRPr="00684BDE">
              <w:rPr>
                <w:rFonts w:cstheme="minorHAnsi"/>
                <w:b/>
                <w:bCs/>
                <w:sz w:val="20"/>
                <w:szCs w:val="20"/>
                <w:lang w:eastAsia="sk-SK"/>
              </w:rPr>
              <w:br/>
              <w:t>v EUR</w:t>
            </w:r>
          </w:p>
        </w:tc>
        <w:tc>
          <w:tcPr>
            <w:tcW w:w="804" w:type="pct"/>
            <w:shd w:val="clear" w:color="auto" w:fill="C6DBF7"/>
            <w:vAlign w:val="center"/>
            <w:hideMark/>
          </w:tcPr>
          <w:p w14:paraId="0398F3E4"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Čerpanie</w:t>
            </w:r>
            <w:r w:rsidRPr="00684BDE">
              <w:rPr>
                <w:rFonts w:cstheme="minorHAnsi"/>
                <w:b/>
                <w:bCs/>
                <w:sz w:val="20"/>
                <w:szCs w:val="20"/>
                <w:lang w:eastAsia="sk-SK"/>
              </w:rPr>
              <w:br/>
              <w:t>v EUR</w:t>
            </w:r>
          </w:p>
        </w:tc>
        <w:tc>
          <w:tcPr>
            <w:tcW w:w="563" w:type="pct"/>
            <w:shd w:val="clear" w:color="auto" w:fill="C6DBF7"/>
            <w:vAlign w:val="center"/>
            <w:hideMark/>
          </w:tcPr>
          <w:p w14:paraId="1DD114AC"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Čerpanie</w:t>
            </w:r>
            <w:r w:rsidRPr="00684BDE">
              <w:rPr>
                <w:rFonts w:cstheme="minorHAnsi"/>
                <w:b/>
                <w:bCs/>
                <w:sz w:val="20"/>
                <w:szCs w:val="20"/>
                <w:lang w:eastAsia="sk-SK"/>
              </w:rPr>
              <w:br/>
              <w:t xml:space="preserve">k </w:t>
            </w:r>
            <w:proofErr w:type="spellStart"/>
            <w:r w:rsidRPr="00684BDE">
              <w:rPr>
                <w:rFonts w:cstheme="minorHAnsi"/>
                <w:b/>
                <w:bCs/>
                <w:sz w:val="20"/>
                <w:szCs w:val="20"/>
                <w:lang w:eastAsia="sk-SK"/>
              </w:rPr>
              <w:t>zmen</w:t>
            </w:r>
            <w:proofErr w:type="spellEnd"/>
            <w:r w:rsidRPr="00684BDE">
              <w:rPr>
                <w:rFonts w:cstheme="minorHAnsi"/>
                <w:b/>
                <w:bCs/>
                <w:sz w:val="20"/>
                <w:szCs w:val="20"/>
                <w:lang w:eastAsia="sk-SK"/>
              </w:rPr>
              <w:t xml:space="preserve">. </w:t>
            </w:r>
            <w:proofErr w:type="spellStart"/>
            <w:r w:rsidRPr="00684BDE">
              <w:rPr>
                <w:rFonts w:cstheme="minorHAnsi"/>
                <w:b/>
                <w:bCs/>
                <w:sz w:val="20"/>
                <w:szCs w:val="20"/>
                <w:lang w:eastAsia="sk-SK"/>
              </w:rPr>
              <w:t>rozp</w:t>
            </w:r>
            <w:proofErr w:type="spellEnd"/>
            <w:r w:rsidRPr="00684BDE">
              <w:rPr>
                <w:rFonts w:cstheme="minorHAnsi"/>
                <w:b/>
                <w:bCs/>
                <w:sz w:val="20"/>
                <w:szCs w:val="20"/>
                <w:lang w:eastAsia="sk-SK"/>
              </w:rPr>
              <w:t>.</w:t>
            </w:r>
            <w:r w:rsidRPr="00684BDE">
              <w:rPr>
                <w:rFonts w:cstheme="minorHAnsi"/>
                <w:b/>
                <w:bCs/>
                <w:sz w:val="20"/>
                <w:szCs w:val="20"/>
                <w:lang w:eastAsia="sk-SK"/>
              </w:rPr>
              <w:br/>
              <w:t>v %</w:t>
            </w:r>
          </w:p>
        </w:tc>
        <w:tc>
          <w:tcPr>
            <w:tcW w:w="0" w:type="auto"/>
            <w:shd w:val="clear" w:color="auto" w:fill="C6DBF7"/>
            <w:vAlign w:val="center"/>
            <w:hideMark/>
          </w:tcPr>
          <w:p w14:paraId="7912CFB7"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Zmeny rozpočtu</w:t>
            </w:r>
          </w:p>
        </w:tc>
      </w:tr>
      <w:tr w:rsidR="000B4F35" w:rsidRPr="00684BDE" w14:paraId="594DF6C2" w14:textId="77777777" w:rsidTr="00296E97">
        <w:trPr>
          <w:tblCellSpacing w:w="15" w:type="dxa"/>
        </w:trPr>
        <w:tc>
          <w:tcPr>
            <w:tcW w:w="0" w:type="auto"/>
            <w:shd w:val="clear" w:color="auto" w:fill="D9D9D9"/>
            <w:noWrap/>
            <w:vAlign w:val="center"/>
            <w:hideMark/>
          </w:tcPr>
          <w:p w14:paraId="5B84592F" w14:textId="77777777" w:rsidR="000B4F35" w:rsidRPr="00684BDE" w:rsidRDefault="000B4F35" w:rsidP="000B4F35">
            <w:pPr>
              <w:spacing w:after="0" w:line="240" w:lineRule="auto"/>
              <w:jc w:val="center"/>
              <w:rPr>
                <w:rFonts w:cstheme="minorHAnsi"/>
                <w:sz w:val="24"/>
                <w:szCs w:val="24"/>
                <w:lang w:eastAsia="sk-SK"/>
              </w:rPr>
            </w:pPr>
          </w:p>
        </w:tc>
        <w:tc>
          <w:tcPr>
            <w:tcW w:w="0" w:type="auto"/>
            <w:shd w:val="clear" w:color="auto" w:fill="D9D9D9"/>
            <w:vAlign w:val="center"/>
            <w:hideMark/>
          </w:tcPr>
          <w:p w14:paraId="7F5E4154" w14:textId="77777777" w:rsidR="000B4F35" w:rsidRPr="00684BDE" w:rsidRDefault="000B4F35" w:rsidP="000B4F35">
            <w:pPr>
              <w:spacing w:after="0" w:line="240" w:lineRule="auto"/>
              <w:rPr>
                <w:rFonts w:cstheme="minorHAnsi"/>
                <w:sz w:val="24"/>
                <w:szCs w:val="24"/>
                <w:lang w:eastAsia="sk-SK"/>
              </w:rPr>
            </w:pPr>
            <w:r w:rsidRPr="00684BDE">
              <w:rPr>
                <w:rFonts w:cstheme="minorHAnsi"/>
                <w:b/>
                <w:bCs/>
                <w:sz w:val="20"/>
                <w:szCs w:val="20"/>
                <w:lang w:eastAsia="sk-SK"/>
              </w:rPr>
              <w:t>Výdavky celkom</w:t>
            </w:r>
            <w:r w:rsidRPr="00684BDE">
              <w:rPr>
                <w:rFonts w:cstheme="minorHAnsi"/>
                <w:sz w:val="24"/>
                <w:szCs w:val="24"/>
                <w:lang w:eastAsia="sk-SK"/>
              </w:rPr>
              <w:t xml:space="preserve"> </w:t>
            </w:r>
          </w:p>
        </w:tc>
        <w:tc>
          <w:tcPr>
            <w:tcW w:w="0" w:type="auto"/>
            <w:shd w:val="clear" w:color="auto" w:fill="D9D9D9"/>
            <w:noWrap/>
            <w:vAlign w:val="center"/>
            <w:hideMark/>
          </w:tcPr>
          <w:p w14:paraId="5DFD2AE0"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b/>
                <w:bCs/>
                <w:sz w:val="20"/>
                <w:szCs w:val="20"/>
                <w:lang w:eastAsia="sk-SK"/>
              </w:rPr>
              <w:t>80 000,00</w:t>
            </w:r>
            <w:r w:rsidRPr="00684BDE">
              <w:rPr>
                <w:rFonts w:cstheme="minorHAnsi"/>
                <w:sz w:val="24"/>
                <w:szCs w:val="24"/>
                <w:lang w:eastAsia="sk-SK"/>
              </w:rPr>
              <w:t xml:space="preserve"> </w:t>
            </w:r>
          </w:p>
        </w:tc>
        <w:tc>
          <w:tcPr>
            <w:tcW w:w="0" w:type="auto"/>
            <w:shd w:val="clear" w:color="auto" w:fill="D9D9D9"/>
            <w:noWrap/>
            <w:vAlign w:val="center"/>
            <w:hideMark/>
          </w:tcPr>
          <w:p w14:paraId="5462BADA"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b/>
                <w:bCs/>
                <w:sz w:val="20"/>
                <w:szCs w:val="20"/>
                <w:lang w:eastAsia="sk-SK"/>
              </w:rPr>
              <w:t>80 000,00</w:t>
            </w:r>
            <w:r w:rsidRPr="00684BDE">
              <w:rPr>
                <w:rFonts w:cstheme="minorHAnsi"/>
                <w:sz w:val="24"/>
                <w:szCs w:val="24"/>
                <w:lang w:eastAsia="sk-SK"/>
              </w:rPr>
              <w:t xml:space="preserve"> </w:t>
            </w:r>
          </w:p>
        </w:tc>
        <w:tc>
          <w:tcPr>
            <w:tcW w:w="804" w:type="pct"/>
            <w:shd w:val="clear" w:color="auto" w:fill="D9D9D9"/>
            <w:noWrap/>
            <w:vAlign w:val="center"/>
            <w:hideMark/>
          </w:tcPr>
          <w:p w14:paraId="6AA7111D" w14:textId="77777777" w:rsidR="000B4F35" w:rsidRPr="00684BDE" w:rsidRDefault="000B4F35" w:rsidP="000B4F35">
            <w:pPr>
              <w:spacing w:after="0" w:line="240" w:lineRule="auto"/>
              <w:jc w:val="right"/>
              <w:rPr>
                <w:rFonts w:cstheme="minorHAnsi"/>
                <w:sz w:val="24"/>
                <w:szCs w:val="24"/>
                <w:lang w:eastAsia="sk-SK"/>
              </w:rPr>
            </w:pPr>
            <w:r w:rsidRPr="0096604F">
              <w:rPr>
                <w:rFonts w:cstheme="minorHAnsi"/>
                <w:b/>
                <w:bCs/>
                <w:sz w:val="20"/>
                <w:szCs w:val="20"/>
                <w:lang w:eastAsia="sk-SK"/>
              </w:rPr>
              <w:t>29 929,21</w:t>
            </w:r>
          </w:p>
        </w:tc>
        <w:tc>
          <w:tcPr>
            <w:tcW w:w="563" w:type="pct"/>
            <w:shd w:val="clear" w:color="auto" w:fill="D9D9D9"/>
            <w:noWrap/>
            <w:vAlign w:val="center"/>
            <w:hideMark/>
          </w:tcPr>
          <w:p w14:paraId="26487029" w14:textId="77777777" w:rsidR="000B4F35" w:rsidRPr="00684BDE" w:rsidRDefault="000B4F35" w:rsidP="000B4F35">
            <w:pPr>
              <w:spacing w:after="0" w:line="240" w:lineRule="auto"/>
              <w:jc w:val="right"/>
              <w:rPr>
                <w:rFonts w:cstheme="minorHAnsi"/>
                <w:sz w:val="24"/>
                <w:szCs w:val="24"/>
                <w:lang w:eastAsia="sk-SK"/>
              </w:rPr>
            </w:pPr>
            <w:r>
              <w:rPr>
                <w:rFonts w:cstheme="minorHAnsi"/>
                <w:b/>
                <w:bCs/>
                <w:sz w:val="20"/>
                <w:szCs w:val="20"/>
                <w:lang w:eastAsia="sk-SK"/>
              </w:rPr>
              <w:t>37,41</w:t>
            </w:r>
            <w:r w:rsidRPr="00684BDE">
              <w:rPr>
                <w:rFonts w:cstheme="minorHAnsi"/>
                <w:sz w:val="24"/>
                <w:szCs w:val="24"/>
                <w:lang w:eastAsia="sk-SK"/>
              </w:rPr>
              <w:t xml:space="preserve"> </w:t>
            </w:r>
          </w:p>
        </w:tc>
        <w:tc>
          <w:tcPr>
            <w:tcW w:w="0" w:type="auto"/>
            <w:vMerge w:val="restart"/>
            <w:shd w:val="clear" w:color="auto" w:fill="D9D9D9"/>
            <w:vAlign w:val="center"/>
            <w:hideMark/>
          </w:tcPr>
          <w:p w14:paraId="44039A94" w14:textId="77777777" w:rsidR="000B4F35" w:rsidRPr="00684BDE" w:rsidRDefault="000B4F35" w:rsidP="000B4F35">
            <w:pPr>
              <w:spacing w:after="0" w:line="240" w:lineRule="auto"/>
              <w:jc w:val="right"/>
              <w:rPr>
                <w:rFonts w:cstheme="minorHAnsi"/>
                <w:sz w:val="24"/>
                <w:szCs w:val="24"/>
                <w:lang w:eastAsia="sk-SK"/>
              </w:rPr>
            </w:pPr>
          </w:p>
        </w:tc>
      </w:tr>
      <w:tr w:rsidR="000B4F35" w:rsidRPr="00684BDE" w14:paraId="27241DC0" w14:textId="77777777" w:rsidTr="00296E97">
        <w:trPr>
          <w:tblCellSpacing w:w="15" w:type="dxa"/>
        </w:trPr>
        <w:tc>
          <w:tcPr>
            <w:tcW w:w="0" w:type="auto"/>
            <w:shd w:val="clear" w:color="auto" w:fill="D9D9D9"/>
            <w:noWrap/>
            <w:vAlign w:val="center"/>
            <w:hideMark/>
          </w:tcPr>
          <w:p w14:paraId="1F0045E6" w14:textId="77777777" w:rsidR="000B4F35" w:rsidRPr="00684BDE" w:rsidRDefault="000B4F35" w:rsidP="000B4F35">
            <w:pPr>
              <w:spacing w:after="0" w:line="240" w:lineRule="auto"/>
              <w:rPr>
                <w:rFonts w:cstheme="minorHAnsi"/>
                <w:sz w:val="24"/>
                <w:szCs w:val="24"/>
                <w:lang w:eastAsia="sk-SK"/>
              </w:rPr>
            </w:pPr>
            <w:r w:rsidRPr="00684BDE">
              <w:rPr>
                <w:rFonts w:cstheme="minorHAnsi"/>
                <w:b/>
                <w:bCs/>
                <w:sz w:val="20"/>
                <w:szCs w:val="20"/>
                <w:lang w:eastAsia="sk-SK"/>
              </w:rPr>
              <w:t>600</w:t>
            </w:r>
            <w:r w:rsidRPr="00684BDE">
              <w:rPr>
                <w:rFonts w:cstheme="minorHAnsi"/>
                <w:sz w:val="24"/>
                <w:szCs w:val="24"/>
                <w:lang w:eastAsia="sk-SK"/>
              </w:rPr>
              <w:t xml:space="preserve"> </w:t>
            </w:r>
          </w:p>
        </w:tc>
        <w:tc>
          <w:tcPr>
            <w:tcW w:w="0" w:type="auto"/>
            <w:shd w:val="clear" w:color="auto" w:fill="D9D9D9"/>
            <w:vAlign w:val="center"/>
            <w:hideMark/>
          </w:tcPr>
          <w:p w14:paraId="68863EBA" w14:textId="77777777" w:rsidR="000B4F35" w:rsidRPr="00684BDE" w:rsidRDefault="000B4F35" w:rsidP="000B4F35">
            <w:pPr>
              <w:spacing w:after="0" w:line="240" w:lineRule="auto"/>
              <w:rPr>
                <w:rFonts w:cstheme="minorHAnsi"/>
                <w:sz w:val="24"/>
                <w:szCs w:val="24"/>
                <w:lang w:eastAsia="sk-SK"/>
              </w:rPr>
            </w:pPr>
            <w:r w:rsidRPr="00684BDE">
              <w:rPr>
                <w:rFonts w:cstheme="minorHAnsi"/>
                <w:b/>
                <w:bCs/>
                <w:sz w:val="20"/>
                <w:szCs w:val="20"/>
                <w:lang w:eastAsia="sk-SK"/>
              </w:rPr>
              <w:t>Bežné výdavky</w:t>
            </w:r>
            <w:r w:rsidRPr="00684BDE">
              <w:rPr>
                <w:rFonts w:cstheme="minorHAnsi"/>
                <w:sz w:val="24"/>
                <w:szCs w:val="24"/>
                <w:lang w:eastAsia="sk-SK"/>
              </w:rPr>
              <w:t xml:space="preserve"> </w:t>
            </w:r>
          </w:p>
        </w:tc>
        <w:tc>
          <w:tcPr>
            <w:tcW w:w="0" w:type="auto"/>
            <w:shd w:val="clear" w:color="auto" w:fill="D9D9D9"/>
            <w:noWrap/>
            <w:vAlign w:val="center"/>
            <w:hideMark/>
          </w:tcPr>
          <w:p w14:paraId="01214BED"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b/>
                <w:bCs/>
                <w:sz w:val="20"/>
                <w:szCs w:val="20"/>
                <w:lang w:eastAsia="sk-SK"/>
              </w:rPr>
              <w:t>80 000,00</w:t>
            </w:r>
            <w:r w:rsidRPr="00684BDE">
              <w:rPr>
                <w:rFonts w:cstheme="minorHAnsi"/>
                <w:sz w:val="24"/>
                <w:szCs w:val="24"/>
                <w:lang w:eastAsia="sk-SK"/>
              </w:rPr>
              <w:t xml:space="preserve"> </w:t>
            </w:r>
          </w:p>
        </w:tc>
        <w:tc>
          <w:tcPr>
            <w:tcW w:w="0" w:type="auto"/>
            <w:shd w:val="clear" w:color="auto" w:fill="D9D9D9"/>
            <w:noWrap/>
            <w:vAlign w:val="center"/>
            <w:hideMark/>
          </w:tcPr>
          <w:p w14:paraId="756A7B37"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b/>
                <w:bCs/>
                <w:sz w:val="20"/>
                <w:szCs w:val="20"/>
                <w:lang w:eastAsia="sk-SK"/>
              </w:rPr>
              <w:t>80 000,00</w:t>
            </w:r>
            <w:r w:rsidRPr="00684BDE">
              <w:rPr>
                <w:rFonts w:cstheme="minorHAnsi"/>
                <w:sz w:val="24"/>
                <w:szCs w:val="24"/>
                <w:lang w:eastAsia="sk-SK"/>
              </w:rPr>
              <w:t xml:space="preserve"> </w:t>
            </w:r>
          </w:p>
        </w:tc>
        <w:tc>
          <w:tcPr>
            <w:tcW w:w="804" w:type="pct"/>
            <w:shd w:val="clear" w:color="auto" w:fill="D9D9D9"/>
            <w:noWrap/>
            <w:vAlign w:val="center"/>
            <w:hideMark/>
          </w:tcPr>
          <w:p w14:paraId="1105EF0F" w14:textId="77777777" w:rsidR="000B4F35" w:rsidRPr="00684BDE" w:rsidRDefault="000B4F35" w:rsidP="000B4F35">
            <w:pPr>
              <w:spacing w:after="0" w:line="240" w:lineRule="auto"/>
              <w:jc w:val="right"/>
              <w:rPr>
                <w:rFonts w:cstheme="minorHAnsi"/>
                <w:sz w:val="24"/>
                <w:szCs w:val="24"/>
                <w:lang w:eastAsia="sk-SK"/>
              </w:rPr>
            </w:pPr>
            <w:r w:rsidRPr="0096604F">
              <w:rPr>
                <w:rFonts w:cstheme="minorHAnsi"/>
                <w:b/>
                <w:bCs/>
                <w:sz w:val="20"/>
                <w:szCs w:val="20"/>
                <w:lang w:eastAsia="sk-SK"/>
              </w:rPr>
              <w:t>29 929,21</w:t>
            </w:r>
          </w:p>
        </w:tc>
        <w:tc>
          <w:tcPr>
            <w:tcW w:w="563" w:type="pct"/>
            <w:shd w:val="clear" w:color="auto" w:fill="D9D9D9"/>
            <w:noWrap/>
            <w:vAlign w:val="center"/>
            <w:hideMark/>
          </w:tcPr>
          <w:p w14:paraId="2BB0DE0E"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b/>
                <w:bCs/>
                <w:sz w:val="20"/>
                <w:szCs w:val="20"/>
                <w:lang w:eastAsia="sk-SK"/>
              </w:rPr>
              <w:t>69,65</w:t>
            </w:r>
            <w:r w:rsidRPr="00684BDE">
              <w:rPr>
                <w:rFonts w:cstheme="minorHAnsi"/>
                <w:sz w:val="24"/>
                <w:szCs w:val="24"/>
                <w:lang w:eastAsia="sk-SK"/>
              </w:rPr>
              <w:t xml:space="preserve"> </w:t>
            </w:r>
          </w:p>
        </w:tc>
        <w:tc>
          <w:tcPr>
            <w:tcW w:w="0" w:type="auto"/>
            <w:vMerge/>
            <w:shd w:val="clear" w:color="auto" w:fill="D9D9D9"/>
            <w:vAlign w:val="center"/>
            <w:hideMark/>
          </w:tcPr>
          <w:p w14:paraId="3B437D21" w14:textId="77777777" w:rsidR="000B4F35" w:rsidRPr="00684BDE" w:rsidRDefault="000B4F35" w:rsidP="000B4F35">
            <w:pPr>
              <w:spacing w:after="0" w:line="240" w:lineRule="auto"/>
              <w:rPr>
                <w:rFonts w:cstheme="minorHAnsi"/>
                <w:sz w:val="24"/>
                <w:szCs w:val="24"/>
                <w:lang w:eastAsia="sk-SK"/>
              </w:rPr>
            </w:pPr>
          </w:p>
        </w:tc>
      </w:tr>
      <w:tr w:rsidR="000B4F35" w:rsidRPr="00684BDE" w14:paraId="52526405" w14:textId="77777777" w:rsidTr="00296E97">
        <w:trPr>
          <w:tblCellSpacing w:w="15" w:type="dxa"/>
        </w:trPr>
        <w:tc>
          <w:tcPr>
            <w:tcW w:w="0" w:type="auto"/>
            <w:shd w:val="clear" w:color="auto" w:fill="EFEFEF"/>
            <w:noWrap/>
            <w:vAlign w:val="center"/>
            <w:hideMark/>
          </w:tcPr>
          <w:p w14:paraId="2F962285" w14:textId="77777777" w:rsidR="000B4F35" w:rsidRPr="00684BDE" w:rsidRDefault="000B4F35" w:rsidP="000B4F35">
            <w:pPr>
              <w:spacing w:after="0" w:line="240" w:lineRule="auto"/>
              <w:rPr>
                <w:rFonts w:cstheme="minorHAnsi"/>
                <w:sz w:val="24"/>
                <w:szCs w:val="24"/>
                <w:lang w:eastAsia="sk-SK"/>
              </w:rPr>
            </w:pPr>
            <w:r w:rsidRPr="00684BDE">
              <w:rPr>
                <w:rFonts w:cstheme="minorHAnsi"/>
                <w:sz w:val="20"/>
                <w:szCs w:val="20"/>
                <w:lang w:eastAsia="sk-SK"/>
              </w:rPr>
              <w:t>630</w:t>
            </w:r>
            <w:r w:rsidRPr="00684BDE">
              <w:rPr>
                <w:rFonts w:cstheme="minorHAnsi"/>
                <w:sz w:val="24"/>
                <w:szCs w:val="24"/>
                <w:lang w:eastAsia="sk-SK"/>
              </w:rPr>
              <w:t xml:space="preserve"> </w:t>
            </w:r>
          </w:p>
        </w:tc>
        <w:tc>
          <w:tcPr>
            <w:tcW w:w="0" w:type="auto"/>
            <w:shd w:val="clear" w:color="auto" w:fill="EFEFEF"/>
            <w:vAlign w:val="center"/>
            <w:hideMark/>
          </w:tcPr>
          <w:p w14:paraId="2DB72501" w14:textId="77777777" w:rsidR="000B4F35" w:rsidRPr="00684BDE" w:rsidRDefault="000B4F35" w:rsidP="000B4F35">
            <w:pPr>
              <w:spacing w:after="0" w:line="240" w:lineRule="auto"/>
              <w:rPr>
                <w:rFonts w:cstheme="minorHAnsi"/>
                <w:sz w:val="24"/>
                <w:szCs w:val="24"/>
                <w:lang w:eastAsia="sk-SK"/>
              </w:rPr>
            </w:pPr>
            <w:r w:rsidRPr="00684BDE">
              <w:rPr>
                <w:rFonts w:cstheme="minorHAnsi"/>
                <w:sz w:val="20"/>
                <w:szCs w:val="20"/>
                <w:lang w:eastAsia="sk-SK"/>
              </w:rPr>
              <w:t>Tovary a služby</w:t>
            </w:r>
            <w:r w:rsidRPr="00684BDE">
              <w:rPr>
                <w:rFonts w:cstheme="minorHAnsi"/>
                <w:sz w:val="24"/>
                <w:szCs w:val="24"/>
                <w:lang w:eastAsia="sk-SK"/>
              </w:rPr>
              <w:t xml:space="preserve"> </w:t>
            </w:r>
          </w:p>
        </w:tc>
        <w:tc>
          <w:tcPr>
            <w:tcW w:w="0" w:type="auto"/>
            <w:shd w:val="clear" w:color="auto" w:fill="EFEFEF"/>
            <w:noWrap/>
            <w:vAlign w:val="center"/>
            <w:hideMark/>
          </w:tcPr>
          <w:p w14:paraId="66136549"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sz w:val="20"/>
                <w:szCs w:val="20"/>
                <w:lang w:eastAsia="sk-SK"/>
              </w:rPr>
              <w:t>80 000,00</w:t>
            </w:r>
            <w:r w:rsidRPr="00684BDE">
              <w:rPr>
                <w:rFonts w:cstheme="minorHAnsi"/>
                <w:sz w:val="24"/>
                <w:szCs w:val="24"/>
                <w:lang w:eastAsia="sk-SK"/>
              </w:rPr>
              <w:t xml:space="preserve"> </w:t>
            </w:r>
          </w:p>
        </w:tc>
        <w:tc>
          <w:tcPr>
            <w:tcW w:w="0" w:type="auto"/>
            <w:shd w:val="clear" w:color="auto" w:fill="EFEFEF"/>
            <w:noWrap/>
            <w:vAlign w:val="center"/>
            <w:hideMark/>
          </w:tcPr>
          <w:p w14:paraId="11219E21"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sz w:val="20"/>
                <w:szCs w:val="20"/>
                <w:lang w:eastAsia="sk-SK"/>
              </w:rPr>
              <w:t>64 350,00</w:t>
            </w:r>
            <w:r w:rsidRPr="00684BDE">
              <w:rPr>
                <w:rFonts w:cstheme="minorHAnsi"/>
                <w:sz w:val="24"/>
                <w:szCs w:val="24"/>
                <w:lang w:eastAsia="sk-SK"/>
              </w:rPr>
              <w:t xml:space="preserve"> </w:t>
            </w:r>
          </w:p>
        </w:tc>
        <w:tc>
          <w:tcPr>
            <w:tcW w:w="804" w:type="pct"/>
            <w:shd w:val="clear" w:color="auto" w:fill="EFEFEF"/>
            <w:noWrap/>
            <w:vAlign w:val="center"/>
            <w:hideMark/>
          </w:tcPr>
          <w:p w14:paraId="51BC0E16" w14:textId="77777777" w:rsidR="000B4F35" w:rsidRPr="00684BDE" w:rsidRDefault="000B4F35" w:rsidP="000B4F35">
            <w:pPr>
              <w:spacing w:after="0" w:line="240" w:lineRule="auto"/>
              <w:jc w:val="right"/>
              <w:rPr>
                <w:rFonts w:cstheme="minorHAnsi"/>
                <w:sz w:val="24"/>
                <w:szCs w:val="24"/>
                <w:lang w:eastAsia="sk-SK"/>
              </w:rPr>
            </w:pPr>
            <w:r w:rsidRPr="0096604F">
              <w:rPr>
                <w:rFonts w:cstheme="minorHAnsi"/>
                <w:sz w:val="20"/>
                <w:szCs w:val="20"/>
                <w:lang w:eastAsia="sk-SK"/>
              </w:rPr>
              <w:t>14 279,21</w:t>
            </w:r>
          </w:p>
        </w:tc>
        <w:tc>
          <w:tcPr>
            <w:tcW w:w="563" w:type="pct"/>
            <w:shd w:val="clear" w:color="auto" w:fill="EFEFEF"/>
            <w:noWrap/>
            <w:vAlign w:val="center"/>
            <w:hideMark/>
          </w:tcPr>
          <w:p w14:paraId="36754160" w14:textId="77777777" w:rsidR="000B4F35" w:rsidRPr="00684BDE" w:rsidRDefault="000B4F35" w:rsidP="000B4F35">
            <w:pPr>
              <w:spacing w:after="0" w:line="240" w:lineRule="auto"/>
              <w:jc w:val="right"/>
              <w:rPr>
                <w:rFonts w:cstheme="minorHAnsi"/>
                <w:sz w:val="24"/>
                <w:szCs w:val="24"/>
                <w:lang w:eastAsia="sk-SK"/>
              </w:rPr>
            </w:pPr>
            <w:r>
              <w:rPr>
                <w:rFonts w:cstheme="minorHAnsi"/>
                <w:sz w:val="20"/>
                <w:szCs w:val="20"/>
                <w:lang w:eastAsia="sk-SK"/>
              </w:rPr>
              <w:t>2</w:t>
            </w:r>
            <w:r w:rsidRPr="00684BDE">
              <w:rPr>
                <w:rFonts w:cstheme="minorHAnsi"/>
                <w:sz w:val="20"/>
                <w:szCs w:val="20"/>
                <w:lang w:eastAsia="sk-SK"/>
              </w:rPr>
              <w:t>2,</w:t>
            </w:r>
            <w:r>
              <w:rPr>
                <w:rFonts w:cstheme="minorHAnsi"/>
                <w:sz w:val="20"/>
                <w:szCs w:val="20"/>
                <w:lang w:eastAsia="sk-SK"/>
              </w:rPr>
              <w:t>19</w:t>
            </w:r>
            <w:r w:rsidRPr="00684BDE">
              <w:rPr>
                <w:rFonts w:cstheme="minorHAnsi"/>
                <w:sz w:val="24"/>
                <w:szCs w:val="24"/>
                <w:lang w:eastAsia="sk-SK"/>
              </w:rPr>
              <w:t xml:space="preserve"> </w:t>
            </w:r>
          </w:p>
        </w:tc>
        <w:tc>
          <w:tcPr>
            <w:tcW w:w="0" w:type="auto"/>
            <w:vMerge/>
            <w:shd w:val="clear" w:color="auto" w:fill="EFEFEF"/>
            <w:vAlign w:val="center"/>
            <w:hideMark/>
          </w:tcPr>
          <w:p w14:paraId="4B59E27B" w14:textId="77777777" w:rsidR="000B4F35" w:rsidRPr="00684BDE" w:rsidRDefault="000B4F35" w:rsidP="000B4F35">
            <w:pPr>
              <w:spacing w:after="0" w:line="240" w:lineRule="auto"/>
              <w:rPr>
                <w:rFonts w:cstheme="minorHAnsi"/>
                <w:sz w:val="24"/>
                <w:szCs w:val="24"/>
                <w:lang w:eastAsia="sk-SK"/>
              </w:rPr>
            </w:pPr>
          </w:p>
        </w:tc>
      </w:tr>
      <w:tr w:rsidR="000B4F35" w:rsidRPr="00684BDE" w14:paraId="18D3BEA8" w14:textId="77777777" w:rsidTr="00296E97">
        <w:trPr>
          <w:tblCellSpacing w:w="15" w:type="dxa"/>
        </w:trPr>
        <w:tc>
          <w:tcPr>
            <w:tcW w:w="0" w:type="auto"/>
            <w:shd w:val="clear" w:color="auto" w:fill="EFEFEF"/>
            <w:noWrap/>
            <w:vAlign w:val="center"/>
            <w:hideMark/>
          </w:tcPr>
          <w:p w14:paraId="3DD3FDC4" w14:textId="77777777" w:rsidR="000B4F35" w:rsidRPr="00684BDE" w:rsidRDefault="000B4F35" w:rsidP="000B4F35">
            <w:pPr>
              <w:spacing w:after="0" w:line="240" w:lineRule="auto"/>
              <w:rPr>
                <w:rFonts w:cstheme="minorHAnsi"/>
                <w:sz w:val="24"/>
                <w:szCs w:val="24"/>
                <w:lang w:eastAsia="sk-SK"/>
              </w:rPr>
            </w:pPr>
            <w:r w:rsidRPr="00684BDE">
              <w:rPr>
                <w:rFonts w:cstheme="minorHAnsi"/>
                <w:sz w:val="20"/>
                <w:szCs w:val="20"/>
                <w:lang w:eastAsia="sk-SK"/>
              </w:rPr>
              <w:t>640</w:t>
            </w:r>
            <w:r w:rsidRPr="00684BDE">
              <w:rPr>
                <w:rFonts w:cstheme="minorHAnsi"/>
                <w:sz w:val="24"/>
                <w:szCs w:val="24"/>
                <w:lang w:eastAsia="sk-SK"/>
              </w:rPr>
              <w:t xml:space="preserve"> </w:t>
            </w:r>
          </w:p>
        </w:tc>
        <w:tc>
          <w:tcPr>
            <w:tcW w:w="0" w:type="auto"/>
            <w:shd w:val="clear" w:color="auto" w:fill="EFEFEF"/>
            <w:vAlign w:val="center"/>
            <w:hideMark/>
          </w:tcPr>
          <w:p w14:paraId="08BB1BE7" w14:textId="77777777" w:rsidR="000B4F35" w:rsidRPr="00684BDE" w:rsidRDefault="000B4F35" w:rsidP="000B4F35">
            <w:pPr>
              <w:spacing w:after="0" w:line="240" w:lineRule="auto"/>
              <w:rPr>
                <w:rFonts w:cstheme="minorHAnsi"/>
                <w:sz w:val="24"/>
                <w:szCs w:val="24"/>
                <w:lang w:eastAsia="sk-SK"/>
              </w:rPr>
            </w:pPr>
            <w:r w:rsidRPr="00684BDE">
              <w:rPr>
                <w:rFonts w:cstheme="minorHAnsi"/>
                <w:sz w:val="20"/>
                <w:szCs w:val="20"/>
                <w:lang w:eastAsia="sk-SK"/>
              </w:rPr>
              <w:t>Bežné transfery</w:t>
            </w:r>
            <w:r w:rsidRPr="00684BDE">
              <w:rPr>
                <w:rFonts w:cstheme="minorHAnsi"/>
                <w:sz w:val="24"/>
                <w:szCs w:val="24"/>
                <w:lang w:eastAsia="sk-SK"/>
              </w:rPr>
              <w:t xml:space="preserve"> </w:t>
            </w:r>
          </w:p>
        </w:tc>
        <w:tc>
          <w:tcPr>
            <w:tcW w:w="0" w:type="auto"/>
            <w:shd w:val="clear" w:color="auto" w:fill="EFEFEF"/>
            <w:noWrap/>
            <w:vAlign w:val="center"/>
            <w:hideMark/>
          </w:tcPr>
          <w:p w14:paraId="0D2A1C47"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sz w:val="20"/>
                <w:szCs w:val="20"/>
                <w:lang w:eastAsia="sk-SK"/>
              </w:rPr>
              <w:t>0,00</w:t>
            </w:r>
            <w:r w:rsidRPr="00684BDE">
              <w:rPr>
                <w:rFonts w:cstheme="minorHAnsi"/>
                <w:sz w:val="24"/>
                <w:szCs w:val="24"/>
                <w:lang w:eastAsia="sk-SK"/>
              </w:rPr>
              <w:t xml:space="preserve"> </w:t>
            </w:r>
          </w:p>
        </w:tc>
        <w:tc>
          <w:tcPr>
            <w:tcW w:w="0" w:type="auto"/>
            <w:shd w:val="clear" w:color="auto" w:fill="EFEFEF"/>
            <w:noWrap/>
            <w:vAlign w:val="center"/>
            <w:hideMark/>
          </w:tcPr>
          <w:p w14:paraId="238B7B7A"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sz w:val="20"/>
                <w:szCs w:val="20"/>
                <w:lang w:eastAsia="sk-SK"/>
              </w:rPr>
              <w:t>15 650,00</w:t>
            </w:r>
            <w:r w:rsidRPr="00684BDE">
              <w:rPr>
                <w:rFonts w:cstheme="minorHAnsi"/>
                <w:sz w:val="24"/>
                <w:szCs w:val="24"/>
                <w:lang w:eastAsia="sk-SK"/>
              </w:rPr>
              <w:t xml:space="preserve"> </w:t>
            </w:r>
          </w:p>
        </w:tc>
        <w:tc>
          <w:tcPr>
            <w:tcW w:w="804" w:type="pct"/>
            <w:shd w:val="clear" w:color="auto" w:fill="EFEFEF"/>
            <w:noWrap/>
            <w:vAlign w:val="center"/>
            <w:hideMark/>
          </w:tcPr>
          <w:p w14:paraId="390CCD30"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sz w:val="20"/>
                <w:szCs w:val="20"/>
                <w:lang w:eastAsia="sk-SK"/>
              </w:rPr>
              <w:t>15 650,00</w:t>
            </w:r>
            <w:r w:rsidRPr="00684BDE">
              <w:rPr>
                <w:rFonts w:cstheme="minorHAnsi"/>
                <w:sz w:val="24"/>
                <w:szCs w:val="24"/>
                <w:lang w:eastAsia="sk-SK"/>
              </w:rPr>
              <w:t xml:space="preserve"> </w:t>
            </w:r>
          </w:p>
        </w:tc>
        <w:tc>
          <w:tcPr>
            <w:tcW w:w="563" w:type="pct"/>
            <w:shd w:val="clear" w:color="auto" w:fill="EFEFEF"/>
            <w:noWrap/>
            <w:vAlign w:val="center"/>
            <w:hideMark/>
          </w:tcPr>
          <w:p w14:paraId="3B288A6C" w14:textId="77777777" w:rsidR="000B4F35" w:rsidRPr="00684BDE" w:rsidRDefault="000B4F35" w:rsidP="000B4F35">
            <w:pPr>
              <w:spacing w:after="0" w:line="240" w:lineRule="auto"/>
              <w:jc w:val="right"/>
              <w:rPr>
                <w:rFonts w:cstheme="minorHAnsi"/>
                <w:sz w:val="24"/>
                <w:szCs w:val="24"/>
                <w:lang w:eastAsia="sk-SK"/>
              </w:rPr>
            </w:pPr>
            <w:r w:rsidRPr="00684BDE">
              <w:rPr>
                <w:rFonts w:cstheme="minorHAnsi"/>
                <w:sz w:val="20"/>
                <w:szCs w:val="20"/>
                <w:lang w:eastAsia="sk-SK"/>
              </w:rPr>
              <w:t>100,00</w:t>
            </w:r>
            <w:r w:rsidRPr="00684BDE">
              <w:rPr>
                <w:rFonts w:cstheme="minorHAnsi"/>
                <w:sz w:val="24"/>
                <w:szCs w:val="24"/>
                <w:lang w:eastAsia="sk-SK"/>
              </w:rPr>
              <w:t xml:space="preserve"> </w:t>
            </w:r>
          </w:p>
        </w:tc>
        <w:tc>
          <w:tcPr>
            <w:tcW w:w="0" w:type="auto"/>
            <w:vMerge/>
            <w:shd w:val="clear" w:color="auto" w:fill="EFEFEF"/>
            <w:vAlign w:val="center"/>
            <w:hideMark/>
          </w:tcPr>
          <w:p w14:paraId="1D531EDD" w14:textId="77777777" w:rsidR="000B4F35" w:rsidRPr="00684BDE" w:rsidRDefault="000B4F35" w:rsidP="000B4F35">
            <w:pPr>
              <w:spacing w:after="0" w:line="240" w:lineRule="auto"/>
              <w:rPr>
                <w:rFonts w:cstheme="minorHAnsi"/>
                <w:sz w:val="24"/>
                <w:szCs w:val="24"/>
                <w:lang w:eastAsia="sk-SK"/>
              </w:rPr>
            </w:pPr>
          </w:p>
        </w:tc>
      </w:tr>
    </w:tbl>
    <w:p w14:paraId="0E45F99E" w14:textId="77777777" w:rsidR="000B4F35" w:rsidRPr="00684BDE" w:rsidRDefault="000B4F35" w:rsidP="000B4F35">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002"/>
        <w:gridCol w:w="651"/>
        <w:gridCol w:w="1543"/>
        <w:gridCol w:w="1111"/>
        <w:gridCol w:w="4159"/>
      </w:tblGrid>
      <w:tr w:rsidR="000B4F35" w:rsidRPr="00684BDE" w14:paraId="17CA2FD9" w14:textId="77777777" w:rsidTr="000B4F35">
        <w:trPr>
          <w:tblCellSpacing w:w="15" w:type="dxa"/>
        </w:trPr>
        <w:tc>
          <w:tcPr>
            <w:tcW w:w="0" w:type="auto"/>
            <w:shd w:val="clear" w:color="auto" w:fill="C2D69B"/>
            <w:vAlign w:val="center"/>
            <w:hideMark/>
          </w:tcPr>
          <w:p w14:paraId="2D85D9EC" w14:textId="77777777" w:rsidR="000B4F35" w:rsidRPr="00684BDE" w:rsidRDefault="000B4F35" w:rsidP="000B4F35">
            <w:pPr>
              <w:spacing w:after="0" w:line="240" w:lineRule="auto"/>
              <w:rPr>
                <w:rFonts w:cstheme="minorHAnsi"/>
                <w:sz w:val="24"/>
                <w:szCs w:val="24"/>
                <w:lang w:eastAsia="sk-SK"/>
              </w:rPr>
            </w:pPr>
            <w:r w:rsidRPr="00684BDE">
              <w:rPr>
                <w:rFonts w:cstheme="minorHAnsi"/>
                <w:b/>
                <w:bCs/>
                <w:sz w:val="20"/>
                <w:szCs w:val="20"/>
                <w:lang w:eastAsia="sk-SK"/>
              </w:rPr>
              <w:t>Zodpovednosť</w:t>
            </w:r>
          </w:p>
        </w:tc>
        <w:tc>
          <w:tcPr>
            <w:tcW w:w="0" w:type="auto"/>
            <w:gridSpan w:val="4"/>
            <w:shd w:val="clear" w:color="auto" w:fill="C2D69B"/>
            <w:vAlign w:val="center"/>
            <w:hideMark/>
          </w:tcPr>
          <w:p w14:paraId="0305FD11" w14:textId="77777777" w:rsidR="000B4F35" w:rsidRPr="00684BDE" w:rsidRDefault="000B4F35" w:rsidP="000B4F35">
            <w:pPr>
              <w:spacing w:after="0" w:line="240" w:lineRule="auto"/>
              <w:rPr>
                <w:rFonts w:cstheme="minorHAnsi"/>
                <w:sz w:val="24"/>
                <w:szCs w:val="24"/>
                <w:lang w:eastAsia="sk-SK"/>
              </w:rPr>
            </w:pPr>
            <w:r w:rsidRPr="00684BDE">
              <w:rPr>
                <w:rFonts w:cstheme="minorHAnsi"/>
                <w:sz w:val="20"/>
                <w:szCs w:val="20"/>
                <w:lang w:eastAsia="sk-SK"/>
              </w:rPr>
              <w:t>Oddelenie zahraničných vzťahov, protokolu a EÚ záležitostí</w:t>
            </w:r>
            <w:r w:rsidRPr="00684BDE">
              <w:rPr>
                <w:rFonts w:cstheme="minorHAnsi"/>
                <w:sz w:val="20"/>
                <w:szCs w:val="20"/>
                <w:lang w:eastAsia="sk-SK"/>
              </w:rPr>
              <w:br/>
            </w:r>
          </w:p>
        </w:tc>
      </w:tr>
      <w:tr w:rsidR="000B4F35" w:rsidRPr="00684BDE" w14:paraId="52980AA0" w14:textId="77777777" w:rsidTr="000B4F35">
        <w:trPr>
          <w:tblCellSpacing w:w="15" w:type="dxa"/>
        </w:trPr>
        <w:tc>
          <w:tcPr>
            <w:tcW w:w="0" w:type="auto"/>
            <w:shd w:val="clear" w:color="auto" w:fill="C2D69B"/>
            <w:vAlign w:val="center"/>
            <w:hideMark/>
          </w:tcPr>
          <w:p w14:paraId="429A53ED" w14:textId="77777777" w:rsidR="000B4F35" w:rsidRPr="00684BDE" w:rsidRDefault="000B4F35" w:rsidP="000B4F35">
            <w:pPr>
              <w:spacing w:after="0" w:line="240" w:lineRule="auto"/>
              <w:rPr>
                <w:rFonts w:cstheme="minorHAnsi"/>
                <w:sz w:val="24"/>
                <w:szCs w:val="24"/>
                <w:lang w:eastAsia="sk-SK"/>
              </w:rPr>
            </w:pPr>
            <w:r w:rsidRPr="00684BDE">
              <w:rPr>
                <w:rFonts w:cstheme="minorHAnsi"/>
                <w:b/>
                <w:bCs/>
                <w:sz w:val="20"/>
                <w:szCs w:val="20"/>
                <w:lang w:eastAsia="sk-SK"/>
              </w:rPr>
              <w:t>Cieľ</w:t>
            </w:r>
          </w:p>
        </w:tc>
        <w:tc>
          <w:tcPr>
            <w:tcW w:w="0" w:type="auto"/>
            <w:gridSpan w:val="4"/>
            <w:shd w:val="clear" w:color="auto" w:fill="C2D69B"/>
            <w:vAlign w:val="center"/>
            <w:hideMark/>
          </w:tcPr>
          <w:p w14:paraId="35928F81" w14:textId="77777777" w:rsidR="000B4F35" w:rsidRPr="00684BDE" w:rsidRDefault="000B4F35" w:rsidP="000B4F35">
            <w:pPr>
              <w:spacing w:after="0" w:line="240" w:lineRule="auto"/>
              <w:rPr>
                <w:rFonts w:cstheme="minorHAnsi"/>
                <w:sz w:val="24"/>
                <w:szCs w:val="24"/>
                <w:lang w:eastAsia="sk-SK"/>
              </w:rPr>
            </w:pPr>
            <w:r w:rsidRPr="00684BDE">
              <w:rPr>
                <w:rFonts w:cstheme="minorHAnsi"/>
                <w:sz w:val="20"/>
                <w:szCs w:val="20"/>
                <w:lang w:eastAsia="sk-SK"/>
              </w:rPr>
              <w:t>Zabezpečiť partnerskú spoluprácu so zahraničnými regiónmi</w:t>
            </w:r>
            <w:r w:rsidRPr="00684BDE">
              <w:rPr>
                <w:rFonts w:cstheme="minorHAnsi"/>
                <w:sz w:val="24"/>
                <w:szCs w:val="24"/>
                <w:lang w:eastAsia="sk-SK"/>
              </w:rPr>
              <w:t xml:space="preserve"> </w:t>
            </w:r>
          </w:p>
        </w:tc>
      </w:tr>
      <w:tr w:rsidR="000B4F35" w:rsidRPr="00684BDE" w14:paraId="0D0605AB" w14:textId="77777777" w:rsidTr="000B4F35">
        <w:trPr>
          <w:tblCellSpacing w:w="15" w:type="dxa"/>
        </w:trPr>
        <w:tc>
          <w:tcPr>
            <w:tcW w:w="0" w:type="auto"/>
            <w:shd w:val="clear" w:color="auto" w:fill="C2D69B"/>
            <w:vAlign w:val="center"/>
            <w:hideMark/>
          </w:tcPr>
          <w:p w14:paraId="2DDC6FE5" w14:textId="77777777" w:rsidR="000B4F35" w:rsidRPr="00684BDE" w:rsidRDefault="000B4F35" w:rsidP="000B4F35">
            <w:pPr>
              <w:spacing w:after="0" w:line="240" w:lineRule="auto"/>
              <w:rPr>
                <w:rFonts w:cstheme="minorHAnsi"/>
                <w:sz w:val="24"/>
                <w:szCs w:val="24"/>
                <w:lang w:eastAsia="sk-SK"/>
              </w:rPr>
            </w:pPr>
            <w:r w:rsidRPr="00684BDE">
              <w:rPr>
                <w:rFonts w:cstheme="minorHAnsi"/>
                <w:b/>
                <w:bCs/>
                <w:sz w:val="20"/>
                <w:szCs w:val="20"/>
                <w:lang w:eastAsia="sk-SK"/>
              </w:rPr>
              <w:t>Merateľný ukazovateľ</w:t>
            </w:r>
          </w:p>
        </w:tc>
        <w:tc>
          <w:tcPr>
            <w:tcW w:w="0" w:type="auto"/>
            <w:gridSpan w:val="4"/>
            <w:shd w:val="clear" w:color="auto" w:fill="C2D69B"/>
            <w:vAlign w:val="center"/>
            <w:hideMark/>
          </w:tcPr>
          <w:p w14:paraId="7CBD80E0" w14:textId="77777777" w:rsidR="000B4F35" w:rsidRPr="00684BDE" w:rsidRDefault="000B4F35" w:rsidP="000B4F35">
            <w:pPr>
              <w:spacing w:after="0" w:line="240" w:lineRule="auto"/>
              <w:rPr>
                <w:rFonts w:cstheme="minorHAnsi"/>
                <w:sz w:val="24"/>
                <w:szCs w:val="24"/>
                <w:lang w:eastAsia="sk-SK"/>
              </w:rPr>
            </w:pPr>
            <w:r w:rsidRPr="00684BDE">
              <w:rPr>
                <w:rFonts w:cstheme="minorHAnsi"/>
                <w:sz w:val="20"/>
                <w:szCs w:val="20"/>
                <w:lang w:eastAsia="sk-SK"/>
              </w:rPr>
              <w:t>Počet partnerských regiónov za rok</w:t>
            </w:r>
            <w:r w:rsidRPr="00684BDE">
              <w:rPr>
                <w:rFonts w:cstheme="minorHAnsi"/>
                <w:sz w:val="24"/>
                <w:szCs w:val="24"/>
                <w:lang w:eastAsia="sk-SK"/>
              </w:rPr>
              <w:t xml:space="preserve"> </w:t>
            </w:r>
          </w:p>
        </w:tc>
      </w:tr>
      <w:tr w:rsidR="000B4F35" w:rsidRPr="00684BDE" w14:paraId="7FB3A736" w14:textId="77777777" w:rsidTr="000B4F35">
        <w:trPr>
          <w:tblCellSpacing w:w="15" w:type="dxa"/>
        </w:trPr>
        <w:tc>
          <w:tcPr>
            <w:tcW w:w="0" w:type="auto"/>
            <w:shd w:val="clear" w:color="auto" w:fill="C2D69B"/>
            <w:vAlign w:val="center"/>
            <w:hideMark/>
          </w:tcPr>
          <w:p w14:paraId="3B142100"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Rok</w:t>
            </w:r>
          </w:p>
        </w:tc>
        <w:tc>
          <w:tcPr>
            <w:tcW w:w="0" w:type="auto"/>
            <w:shd w:val="clear" w:color="auto" w:fill="C2D69B"/>
            <w:vAlign w:val="center"/>
            <w:hideMark/>
          </w:tcPr>
          <w:p w14:paraId="0E42D977"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Plán</w:t>
            </w:r>
          </w:p>
        </w:tc>
        <w:tc>
          <w:tcPr>
            <w:tcW w:w="0" w:type="auto"/>
            <w:shd w:val="clear" w:color="auto" w:fill="C2D69B"/>
            <w:vAlign w:val="center"/>
            <w:hideMark/>
          </w:tcPr>
          <w:p w14:paraId="359D6340"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Skutočnosť</w:t>
            </w:r>
          </w:p>
        </w:tc>
        <w:tc>
          <w:tcPr>
            <w:tcW w:w="0" w:type="auto"/>
            <w:shd w:val="clear" w:color="auto" w:fill="C2D69B"/>
            <w:vAlign w:val="center"/>
            <w:hideMark/>
          </w:tcPr>
          <w:p w14:paraId="71F570DA"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b/>
                <w:bCs/>
                <w:sz w:val="20"/>
                <w:szCs w:val="20"/>
                <w:lang w:eastAsia="sk-SK"/>
              </w:rPr>
              <w:t>Plnenie</w:t>
            </w:r>
          </w:p>
        </w:tc>
        <w:tc>
          <w:tcPr>
            <w:tcW w:w="2000" w:type="pct"/>
            <w:shd w:val="clear" w:color="auto" w:fill="C2D69B"/>
            <w:vAlign w:val="center"/>
            <w:hideMark/>
          </w:tcPr>
          <w:p w14:paraId="6FF75CE5" w14:textId="77777777" w:rsidR="000B4F35" w:rsidRPr="00684BDE" w:rsidRDefault="000B4F35" w:rsidP="000B4F35">
            <w:pPr>
              <w:spacing w:after="0" w:line="240" w:lineRule="auto"/>
              <w:rPr>
                <w:rFonts w:cstheme="minorHAnsi"/>
                <w:sz w:val="24"/>
                <w:szCs w:val="24"/>
                <w:lang w:eastAsia="sk-SK"/>
              </w:rPr>
            </w:pPr>
            <w:r w:rsidRPr="00684BDE">
              <w:rPr>
                <w:rFonts w:cstheme="minorHAnsi"/>
                <w:b/>
                <w:bCs/>
                <w:sz w:val="20"/>
                <w:szCs w:val="20"/>
                <w:lang w:eastAsia="sk-SK"/>
              </w:rPr>
              <w:t>Poznámka</w:t>
            </w:r>
          </w:p>
        </w:tc>
      </w:tr>
      <w:tr w:rsidR="000B4F35" w:rsidRPr="00684BDE" w14:paraId="13B9D1DE" w14:textId="77777777" w:rsidTr="000B4F35">
        <w:trPr>
          <w:tblCellSpacing w:w="15" w:type="dxa"/>
        </w:trPr>
        <w:tc>
          <w:tcPr>
            <w:tcW w:w="0" w:type="auto"/>
            <w:shd w:val="clear" w:color="auto" w:fill="C2D69B"/>
            <w:vAlign w:val="center"/>
            <w:hideMark/>
          </w:tcPr>
          <w:p w14:paraId="2A22C3B8"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sz w:val="20"/>
                <w:szCs w:val="20"/>
                <w:lang w:eastAsia="sk-SK"/>
              </w:rPr>
              <w:t>20</w:t>
            </w:r>
            <w:r>
              <w:rPr>
                <w:rFonts w:cstheme="minorHAnsi"/>
                <w:sz w:val="20"/>
                <w:szCs w:val="20"/>
                <w:lang w:eastAsia="sk-SK"/>
              </w:rPr>
              <w:t>20</w:t>
            </w:r>
            <w:r w:rsidRPr="00684BDE">
              <w:rPr>
                <w:rFonts w:cstheme="minorHAnsi"/>
                <w:sz w:val="24"/>
                <w:szCs w:val="24"/>
                <w:lang w:eastAsia="sk-SK"/>
              </w:rPr>
              <w:t xml:space="preserve"> </w:t>
            </w:r>
          </w:p>
        </w:tc>
        <w:tc>
          <w:tcPr>
            <w:tcW w:w="0" w:type="auto"/>
            <w:shd w:val="clear" w:color="auto" w:fill="C2D69B"/>
            <w:noWrap/>
            <w:vAlign w:val="center"/>
            <w:hideMark/>
          </w:tcPr>
          <w:p w14:paraId="12BB427D" w14:textId="475CD164" w:rsidR="000B4F35" w:rsidRPr="00684BDE" w:rsidRDefault="000B4F35" w:rsidP="000B4F35">
            <w:pPr>
              <w:spacing w:after="0" w:line="240" w:lineRule="auto"/>
              <w:jc w:val="center"/>
              <w:rPr>
                <w:rFonts w:cstheme="minorHAnsi"/>
                <w:sz w:val="24"/>
                <w:szCs w:val="24"/>
                <w:lang w:eastAsia="sk-SK"/>
              </w:rPr>
            </w:pPr>
            <w:r w:rsidRPr="00684BDE">
              <w:rPr>
                <w:rFonts w:cstheme="minorHAnsi"/>
                <w:sz w:val="20"/>
                <w:szCs w:val="20"/>
                <w:lang w:eastAsia="sk-SK"/>
              </w:rPr>
              <w:t> </w:t>
            </w:r>
            <w:r w:rsidR="00204325">
              <w:rPr>
                <w:rFonts w:cstheme="minorHAnsi"/>
                <w:sz w:val="20"/>
                <w:szCs w:val="20"/>
                <w:lang w:eastAsia="sk-SK"/>
              </w:rPr>
              <w:t>17</w:t>
            </w:r>
            <w:r w:rsidRPr="00684BDE">
              <w:rPr>
                <w:rFonts w:cstheme="minorHAnsi"/>
                <w:sz w:val="24"/>
                <w:szCs w:val="24"/>
                <w:lang w:eastAsia="sk-SK"/>
              </w:rPr>
              <w:t xml:space="preserve"> </w:t>
            </w:r>
          </w:p>
        </w:tc>
        <w:tc>
          <w:tcPr>
            <w:tcW w:w="0" w:type="auto"/>
            <w:shd w:val="clear" w:color="auto" w:fill="C2D69B"/>
            <w:noWrap/>
            <w:vAlign w:val="center"/>
            <w:hideMark/>
          </w:tcPr>
          <w:p w14:paraId="34F26451"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sz w:val="20"/>
                <w:szCs w:val="20"/>
                <w:lang w:eastAsia="sk-SK"/>
              </w:rPr>
              <w:t> 1</w:t>
            </w:r>
            <w:r>
              <w:rPr>
                <w:rFonts w:cstheme="minorHAnsi"/>
                <w:sz w:val="20"/>
                <w:szCs w:val="20"/>
                <w:lang w:eastAsia="sk-SK"/>
              </w:rPr>
              <w:t>8</w:t>
            </w:r>
            <w:r w:rsidRPr="00684BDE">
              <w:rPr>
                <w:rFonts w:cstheme="minorHAnsi"/>
                <w:sz w:val="24"/>
                <w:szCs w:val="24"/>
                <w:lang w:eastAsia="sk-SK"/>
              </w:rPr>
              <w:t xml:space="preserve"> </w:t>
            </w:r>
          </w:p>
        </w:tc>
        <w:tc>
          <w:tcPr>
            <w:tcW w:w="0" w:type="auto"/>
            <w:shd w:val="clear" w:color="auto" w:fill="C2D69B"/>
            <w:vAlign w:val="center"/>
            <w:hideMark/>
          </w:tcPr>
          <w:p w14:paraId="51FF4606" w14:textId="77777777" w:rsidR="000B4F35" w:rsidRPr="00684BDE" w:rsidRDefault="000B4F35" w:rsidP="000B4F35">
            <w:pPr>
              <w:spacing w:after="0" w:line="240" w:lineRule="auto"/>
              <w:jc w:val="center"/>
              <w:rPr>
                <w:rFonts w:cstheme="minorHAnsi"/>
                <w:sz w:val="24"/>
                <w:szCs w:val="24"/>
                <w:lang w:eastAsia="sk-SK"/>
              </w:rPr>
            </w:pPr>
            <w:r w:rsidRPr="00684BDE">
              <w:rPr>
                <w:rFonts w:cstheme="minorHAnsi"/>
                <w:sz w:val="20"/>
                <w:szCs w:val="20"/>
                <w:lang w:eastAsia="sk-SK"/>
              </w:rPr>
              <w:t>Splnené</w:t>
            </w:r>
            <w:r w:rsidRPr="00684BDE">
              <w:rPr>
                <w:rFonts w:cstheme="minorHAnsi"/>
                <w:sz w:val="24"/>
                <w:szCs w:val="24"/>
                <w:lang w:eastAsia="sk-SK"/>
              </w:rPr>
              <w:t xml:space="preserve"> </w:t>
            </w:r>
          </w:p>
        </w:tc>
        <w:tc>
          <w:tcPr>
            <w:tcW w:w="0" w:type="auto"/>
            <w:shd w:val="clear" w:color="auto" w:fill="C2D69B"/>
            <w:vAlign w:val="center"/>
            <w:hideMark/>
          </w:tcPr>
          <w:p w14:paraId="492E42C6" w14:textId="77777777" w:rsidR="000B4F35" w:rsidRPr="00AE6F97" w:rsidRDefault="000B4F35" w:rsidP="000B4F35">
            <w:pPr>
              <w:pStyle w:val="xxxmsonormal"/>
              <w:spacing w:before="0" w:beforeAutospacing="0" w:after="0" w:afterAutospacing="0"/>
              <w:jc w:val="both"/>
              <w:rPr>
                <w:rFonts w:asciiTheme="minorHAnsi" w:hAnsiTheme="minorHAnsi" w:cstheme="minorHAnsi"/>
                <w:sz w:val="20"/>
                <w:szCs w:val="20"/>
              </w:rPr>
            </w:pPr>
            <w:r w:rsidRPr="00AE6F97">
              <w:rPr>
                <w:rFonts w:asciiTheme="minorHAnsi" w:hAnsiTheme="minorHAnsi" w:cstheme="minorHAnsi"/>
                <w:sz w:val="20"/>
                <w:szCs w:val="20"/>
                <w:bdr w:val="none" w:sz="0" w:space="0" w:color="auto" w:frame="1"/>
              </w:rPr>
              <w:t>Počet partnerských regiónov B</w:t>
            </w:r>
            <w:r>
              <w:rPr>
                <w:rFonts w:asciiTheme="minorHAnsi" w:hAnsiTheme="minorHAnsi" w:cstheme="minorHAnsi"/>
                <w:sz w:val="20"/>
                <w:szCs w:val="20"/>
                <w:bdr w:val="none" w:sz="0" w:space="0" w:color="auto" w:frame="1"/>
              </w:rPr>
              <w:t>SK</w:t>
            </w:r>
            <w:r w:rsidRPr="00AE6F97">
              <w:rPr>
                <w:rFonts w:asciiTheme="minorHAnsi" w:hAnsiTheme="minorHAnsi" w:cstheme="minorHAnsi"/>
                <w:sz w:val="20"/>
                <w:szCs w:val="20"/>
                <w:bdr w:val="none" w:sz="0" w:space="0" w:color="auto" w:frame="1"/>
              </w:rPr>
              <w:t xml:space="preserve"> bol v roku 2020 navýšený o 1 partnerský región, a to Záhrebskú župu. Počet partnerských regiónov za rok 2020 je 18.</w:t>
            </w:r>
          </w:p>
          <w:p w14:paraId="0EC483AB" w14:textId="77777777" w:rsidR="000B4F35" w:rsidRPr="00AE6F97" w:rsidRDefault="000B4F35" w:rsidP="000B4F35">
            <w:pPr>
              <w:pStyle w:val="xxxmsonormal"/>
              <w:spacing w:before="0" w:beforeAutospacing="0" w:after="0" w:afterAutospacing="0"/>
              <w:jc w:val="both"/>
              <w:rPr>
                <w:rFonts w:asciiTheme="minorHAnsi" w:hAnsiTheme="minorHAnsi" w:cstheme="minorHAnsi"/>
                <w:sz w:val="20"/>
                <w:szCs w:val="20"/>
              </w:rPr>
            </w:pPr>
            <w:r w:rsidRPr="00AE6F97">
              <w:rPr>
                <w:rFonts w:asciiTheme="minorHAnsi" w:hAnsiTheme="minorHAnsi" w:cstheme="minorHAnsi"/>
                <w:sz w:val="20"/>
                <w:szCs w:val="20"/>
                <w:bdr w:val="none" w:sz="0" w:space="0" w:color="auto" w:frame="1"/>
              </w:rPr>
              <w:t>V roku 2020 teda došlo k uzavretiu 1 Dohody o spolupráci, konkrétne bola uzatvorená Dohoda o spolupráci medzi Záhrebskou župou (Chorvátska republika) a Bratislavským samosprávnym krajom (Slovenská republika).</w:t>
            </w:r>
          </w:p>
          <w:p w14:paraId="23FBF384" w14:textId="77777777" w:rsidR="000B4F35" w:rsidRPr="00684BDE" w:rsidRDefault="000B4F35" w:rsidP="000B4F35">
            <w:pPr>
              <w:spacing w:after="0" w:line="240" w:lineRule="auto"/>
              <w:rPr>
                <w:rFonts w:cstheme="minorHAnsi"/>
                <w:sz w:val="24"/>
                <w:szCs w:val="24"/>
                <w:lang w:eastAsia="sk-SK"/>
              </w:rPr>
            </w:pPr>
          </w:p>
        </w:tc>
      </w:tr>
    </w:tbl>
    <w:p w14:paraId="5AB4ECFE" w14:textId="77777777" w:rsidR="000B4F35" w:rsidRDefault="000B4F35" w:rsidP="000B4F35">
      <w:pPr>
        <w:spacing w:after="0" w:line="240" w:lineRule="auto"/>
        <w:jc w:val="both"/>
        <w:rPr>
          <w:rFonts w:cstheme="minorHAnsi"/>
          <w:b/>
          <w:bCs/>
          <w:lang w:eastAsia="sk-SK"/>
        </w:rPr>
      </w:pPr>
    </w:p>
    <w:p w14:paraId="69F4A0B7" w14:textId="77777777" w:rsidR="000B4F35" w:rsidRPr="001C41F1" w:rsidRDefault="000B4F35" w:rsidP="001C41F1">
      <w:pPr>
        <w:spacing w:after="0" w:line="240" w:lineRule="auto"/>
        <w:jc w:val="both"/>
        <w:rPr>
          <w:rFonts w:cstheme="minorHAnsi"/>
          <w:lang w:eastAsia="sk-SK"/>
        </w:rPr>
      </w:pPr>
      <w:r w:rsidRPr="00755073">
        <w:rPr>
          <w:rFonts w:cstheme="minorHAnsi"/>
          <w:b/>
          <w:bCs/>
          <w:sz w:val="24"/>
          <w:szCs w:val="24"/>
          <w:lang w:eastAsia="sk-SK"/>
        </w:rPr>
        <w:t xml:space="preserve">Komentár: </w:t>
      </w:r>
      <w:r w:rsidRPr="001C41F1">
        <w:rPr>
          <w:rFonts w:cstheme="minorHAnsi"/>
          <w:lang w:eastAsia="sk-SK"/>
        </w:rPr>
        <w:t>V rámci podprogramu 1.2 Zahraničné vzťahy a európske záležitosti sa zabezpečujú úlohy na úseku zahraničných vzťahov Bratislavského samosprávneho kraja a jeho orgánov, úlohy v rámci spolupráce medzi regiónmi členských štátov Európskej únie i ostatných regiónov, ako aj na úseku protokolárnych záležitostí.</w:t>
      </w:r>
    </w:p>
    <w:p w14:paraId="68C68184" w14:textId="77777777" w:rsidR="000B4F35" w:rsidRPr="001C41F1" w:rsidRDefault="000B4F35" w:rsidP="001C41F1">
      <w:pPr>
        <w:spacing w:after="0" w:line="240" w:lineRule="auto"/>
        <w:jc w:val="both"/>
        <w:rPr>
          <w:rFonts w:cstheme="minorHAnsi"/>
          <w:lang w:eastAsia="sk-SK"/>
        </w:rPr>
      </w:pPr>
      <w:r w:rsidRPr="001C41F1">
        <w:rPr>
          <w:rFonts w:cstheme="minorHAnsi"/>
          <w:lang w:eastAsia="sk-SK"/>
        </w:rPr>
        <w:t xml:space="preserve">Primárnym cieľom </w:t>
      </w:r>
      <w:proofErr w:type="spellStart"/>
      <w:r w:rsidRPr="001C41F1">
        <w:rPr>
          <w:rFonts w:cstheme="minorHAnsi"/>
          <w:lang w:eastAsia="sk-SK"/>
        </w:rPr>
        <w:t>OZVPaEZ</w:t>
      </w:r>
      <w:proofErr w:type="spellEnd"/>
      <w:r w:rsidRPr="001C41F1">
        <w:rPr>
          <w:rFonts w:cstheme="minorHAnsi"/>
          <w:lang w:eastAsia="sk-SK"/>
        </w:rPr>
        <w:t xml:space="preserve"> v časti zahraničných vzťahov a európskych záležitostí je vytváranie podmienok smerujúcich k udržiavaniu a nadväzovaniu dobrých a korektných medzinárodných vzťahov na regionálnej úrovni, predovšetkým s našimi susedmi. V spolupráci s právnym oddelením a odbornými útvarmi úradu zabezpečuje </w:t>
      </w:r>
      <w:proofErr w:type="spellStart"/>
      <w:r w:rsidRPr="001C41F1">
        <w:rPr>
          <w:rFonts w:cstheme="minorHAnsi"/>
          <w:lang w:eastAsia="sk-SK"/>
        </w:rPr>
        <w:t>OZVPaEZ</w:t>
      </w:r>
      <w:proofErr w:type="spellEnd"/>
      <w:r w:rsidRPr="001C41F1">
        <w:rPr>
          <w:rFonts w:cstheme="minorHAnsi"/>
          <w:lang w:eastAsia="sk-SK"/>
        </w:rPr>
        <w:t xml:space="preserve"> prípravu návrhov zmluvných dokumentov so zahraničnými partnermi do Zastupiteľstva BSK a pripravuje a koordinuje realizáciu ustanovení týchto zmluvných dokumentov. Oddelenie teda zabezpečuje a koordinuje spoluprácu v rámci zmluvných partnerstiev so zahraničnými regiónmi v spolupráci s ostatnými odbornými útvarmi úradu.</w:t>
      </w:r>
    </w:p>
    <w:p w14:paraId="1569CFE7" w14:textId="77777777" w:rsidR="000B4F35" w:rsidRPr="001C41F1" w:rsidRDefault="000B4F35" w:rsidP="001C41F1">
      <w:pPr>
        <w:spacing w:after="0" w:line="240" w:lineRule="auto"/>
        <w:jc w:val="both"/>
        <w:rPr>
          <w:rFonts w:cstheme="minorHAnsi"/>
          <w:lang w:eastAsia="sk-SK"/>
        </w:rPr>
      </w:pPr>
      <w:proofErr w:type="spellStart"/>
      <w:r w:rsidRPr="001C41F1">
        <w:rPr>
          <w:rFonts w:cstheme="minorHAnsi"/>
          <w:lang w:eastAsia="sk-SK"/>
        </w:rPr>
        <w:t>OZVPaEZ</w:t>
      </w:r>
      <w:proofErr w:type="spellEnd"/>
      <w:r w:rsidRPr="001C41F1">
        <w:rPr>
          <w:rFonts w:cstheme="minorHAnsi"/>
          <w:lang w:eastAsia="sk-SK"/>
        </w:rPr>
        <w:t xml:space="preserve"> tiež smeruje svoje úsilie k plneniu pracovných úloh a výkonu pracovných povinností vedúcich k splneniu cieľa, ktorým je posilnenie postavenia Bratislavského regiónu v európskom priestore.</w:t>
      </w:r>
    </w:p>
    <w:p w14:paraId="22639A85" w14:textId="1E754F24" w:rsidR="000B4F35" w:rsidRPr="001C41F1" w:rsidRDefault="000B4F35" w:rsidP="001C41F1">
      <w:pPr>
        <w:spacing w:after="0" w:line="240" w:lineRule="auto"/>
        <w:jc w:val="both"/>
        <w:rPr>
          <w:rFonts w:cstheme="minorHAnsi"/>
          <w:lang w:eastAsia="sk-SK"/>
        </w:rPr>
      </w:pPr>
      <w:r w:rsidRPr="001C41F1">
        <w:rPr>
          <w:rFonts w:cstheme="minorHAnsi"/>
          <w:lang w:eastAsia="sk-SK"/>
        </w:rPr>
        <w:br/>
        <w:t xml:space="preserve">Okrem vyššie spomenutého, </w:t>
      </w:r>
      <w:proofErr w:type="spellStart"/>
      <w:r w:rsidRPr="001C41F1">
        <w:rPr>
          <w:rFonts w:cstheme="minorHAnsi"/>
          <w:lang w:eastAsia="sk-SK"/>
        </w:rPr>
        <w:t>OZVPaEZ</w:t>
      </w:r>
      <w:proofErr w:type="spellEnd"/>
      <w:r w:rsidRPr="001C41F1">
        <w:rPr>
          <w:rFonts w:cstheme="minorHAnsi"/>
          <w:lang w:eastAsia="sk-SK"/>
        </w:rPr>
        <w:t xml:space="preserve"> zabezpečuje plnenie protokolárnych úloh:</w:t>
      </w:r>
    </w:p>
    <w:p w14:paraId="622B9391" w14:textId="313228B8" w:rsidR="000B4F35" w:rsidRPr="001C41F1" w:rsidRDefault="000B4F35" w:rsidP="001C41F1">
      <w:pPr>
        <w:spacing w:after="0" w:line="240" w:lineRule="auto"/>
        <w:jc w:val="both"/>
        <w:rPr>
          <w:rFonts w:cstheme="minorHAnsi"/>
          <w:lang w:eastAsia="sk-SK"/>
        </w:rPr>
      </w:pPr>
      <w:r w:rsidRPr="001C41F1">
        <w:rPr>
          <w:rFonts w:cstheme="minorHAnsi"/>
          <w:lang w:eastAsia="sk-SK"/>
        </w:rPr>
        <w:t xml:space="preserve">zvoláva, koordinuje, metodicky usmerňuje a zabezpečuje prípravu a realizáciu protokolárnych záležitostí predsedu, úradu a zastupiteľstva, zabezpečuje protokolárne náležitosti pri oficiálnych prijatiach najvyšších predstaviteľov </w:t>
      </w:r>
      <w:r w:rsidRPr="001C41F1">
        <w:rPr>
          <w:rFonts w:cstheme="minorHAnsi"/>
          <w:lang w:eastAsia="sk-SK"/>
        </w:rPr>
        <w:lastRenderedPageBreak/>
        <w:t>Slovenskej republiky, zahraničných návštevách, bilaterálnych a multilaterálnych stretnutiach predsedu s predstaviteľmi veľvyslanectiev, miest a obcí, ako aj pri pracovných návštevách na Slovensku i v zahraničí, poskytuje protokolárny sprievod a asistenciu predsedovi BSK, zabezpečuje a kreuje podkladové materiály pre predsedu BSK v súčinnosti s odbornými útvarmi.</w:t>
      </w:r>
    </w:p>
    <w:p w14:paraId="3CC904CE" w14:textId="77777777" w:rsidR="000B4F35" w:rsidRPr="00684BDE" w:rsidRDefault="000B4F35" w:rsidP="001C41F1">
      <w:pPr>
        <w:spacing w:after="0" w:line="240" w:lineRule="auto"/>
        <w:jc w:val="both"/>
        <w:rPr>
          <w:rFonts w:cstheme="minorHAnsi"/>
        </w:rPr>
      </w:pPr>
    </w:p>
    <w:p w14:paraId="022FA77C" w14:textId="77777777" w:rsidR="00466FAC" w:rsidRPr="00B5637F" w:rsidRDefault="00466FAC" w:rsidP="00466FAC">
      <w:pPr>
        <w:spacing w:before="100" w:beforeAutospacing="1" w:after="100" w:afterAutospacing="1" w:line="240" w:lineRule="auto"/>
        <w:outlineLvl w:val="2"/>
        <w:rPr>
          <w:rFonts w:cstheme="minorHAnsi"/>
          <w:b/>
          <w:bCs/>
          <w:color w:val="4F6228"/>
          <w:sz w:val="27"/>
          <w:szCs w:val="27"/>
          <w:lang w:eastAsia="sk-SK"/>
        </w:rPr>
      </w:pPr>
      <w:r w:rsidRPr="00755073">
        <w:rPr>
          <w:rFonts w:cstheme="minorHAnsi"/>
          <w:b/>
          <w:bCs/>
          <w:color w:val="4F6228"/>
          <w:sz w:val="27"/>
          <w:szCs w:val="27"/>
          <w:lang w:eastAsia="sk-SK"/>
        </w:rPr>
        <w:t>Podprogram 1.3: Stratégia, územný rozvoj a riadenie projektov</w:t>
      </w:r>
    </w:p>
    <w:p w14:paraId="2D03C266" w14:textId="77777777" w:rsidR="00C32ACA" w:rsidRPr="00F16DBE" w:rsidRDefault="00C32ACA" w:rsidP="00C32ACA">
      <w:pPr>
        <w:pStyle w:val="Normlnywebov"/>
        <w:rPr>
          <w:rFonts w:asciiTheme="minorHAnsi" w:hAnsiTheme="minorHAnsi"/>
        </w:rPr>
      </w:pPr>
      <w:r w:rsidRPr="00F16DBE">
        <w:rPr>
          <w:rFonts w:asciiTheme="minorHAnsi" w:hAnsiTheme="minorHAnsi"/>
          <w:b/>
          <w:bCs/>
        </w:rPr>
        <w:t xml:space="preserve">Zámer: </w:t>
      </w:r>
      <w:r w:rsidRPr="00F16DBE">
        <w:rPr>
          <w:rFonts w:asciiTheme="minorHAnsi" w:hAnsiTheme="minorHAnsi"/>
        </w:rPr>
        <w:t>Komplexný rozvoj územia s možnosťou využitia externých zdrojov</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52"/>
        <w:gridCol w:w="2023"/>
        <w:gridCol w:w="1418"/>
        <w:gridCol w:w="1609"/>
        <w:gridCol w:w="1188"/>
        <w:gridCol w:w="994"/>
        <w:gridCol w:w="2482"/>
      </w:tblGrid>
      <w:tr w:rsidR="00C32ACA" w:rsidRPr="00F16DBE" w14:paraId="6060172B" w14:textId="77777777" w:rsidTr="00C32ACA">
        <w:trPr>
          <w:tblCellSpacing w:w="15" w:type="dxa"/>
        </w:trPr>
        <w:tc>
          <w:tcPr>
            <w:tcW w:w="0" w:type="auto"/>
            <w:shd w:val="clear" w:color="auto" w:fill="C6DBF7"/>
            <w:vAlign w:val="center"/>
            <w:hideMark/>
          </w:tcPr>
          <w:p w14:paraId="04458AC4" w14:textId="77777777" w:rsidR="00C32ACA" w:rsidRPr="00F16DBE" w:rsidRDefault="00C32ACA" w:rsidP="00C32ACA">
            <w:pPr>
              <w:spacing w:after="0" w:line="240" w:lineRule="auto"/>
              <w:jc w:val="center"/>
              <w:rPr>
                <w:sz w:val="20"/>
                <w:szCs w:val="20"/>
                <w:lang w:eastAsia="sk-SK"/>
              </w:rPr>
            </w:pPr>
            <w:r w:rsidRPr="00F16DBE">
              <w:rPr>
                <w:b/>
                <w:bCs/>
                <w:sz w:val="20"/>
                <w:szCs w:val="20"/>
                <w:lang w:eastAsia="sk-SK"/>
              </w:rPr>
              <w:t>Kód EK</w:t>
            </w:r>
          </w:p>
        </w:tc>
        <w:tc>
          <w:tcPr>
            <w:tcW w:w="952" w:type="pct"/>
            <w:shd w:val="clear" w:color="auto" w:fill="C6DBF7"/>
            <w:vAlign w:val="center"/>
            <w:hideMark/>
          </w:tcPr>
          <w:p w14:paraId="7AE92E28" w14:textId="77777777" w:rsidR="00C32ACA" w:rsidRPr="00F16DBE" w:rsidRDefault="00C32ACA" w:rsidP="00C32ACA">
            <w:pPr>
              <w:spacing w:after="0" w:line="240" w:lineRule="auto"/>
              <w:jc w:val="center"/>
              <w:rPr>
                <w:sz w:val="20"/>
                <w:szCs w:val="20"/>
                <w:lang w:eastAsia="sk-SK"/>
              </w:rPr>
            </w:pPr>
            <w:r w:rsidRPr="00F16DBE">
              <w:rPr>
                <w:b/>
                <w:bCs/>
                <w:sz w:val="20"/>
                <w:szCs w:val="20"/>
                <w:lang w:eastAsia="sk-SK"/>
              </w:rPr>
              <w:t>Ekonomická klasifikácia</w:t>
            </w:r>
          </w:p>
        </w:tc>
        <w:tc>
          <w:tcPr>
            <w:tcW w:w="0" w:type="auto"/>
            <w:shd w:val="clear" w:color="auto" w:fill="C6DBF7"/>
            <w:vAlign w:val="center"/>
            <w:hideMark/>
          </w:tcPr>
          <w:p w14:paraId="5E9CB422" w14:textId="77777777" w:rsidR="00C32ACA" w:rsidRPr="00F16DBE" w:rsidRDefault="00C32ACA" w:rsidP="00C32ACA">
            <w:pPr>
              <w:spacing w:after="0" w:line="240" w:lineRule="auto"/>
              <w:jc w:val="center"/>
              <w:rPr>
                <w:sz w:val="20"/>
                <w:szCs w:val="20"/>
                <w:lang w:eastAsia="sk-SK"/>
              </w:rPr>
            </w:pPr>
            <w:r w:rsidRPr="00F16DBE">
              <w:rPr>
                <w:b/>
                <w:bCs/>
                <w:sz w:val="20"/>
                <w:szCs w:val="20"/>
                <w:lang w:eastAsia="sk-SK"/>
              </w:rPr>
              <w:t>Schválený</w:t>
            </w:r>
            <w:r w:rsidRPr="00F16DBE">
              <w:rPr>
                <w:b/>
                <w:bCs/>
                <w:sz w:val="20"/>
                <w:szCs w:val="20"/>
                <w:lang w:eastAsia="sk-SK"/>
              </w:rPr>
              <w:br/>
              <w:t>rozpočet</w:t>
            </w:r>
            <w:r w:rsidRPr="00F16DBE">
              <w:rPr>
                <w:b/>
                <w:bCs/>
                <w:sz w:val="20"/>
                <w:szCs w:val="20"/>
                <w:lang w:eastAsia="sk-SK"/>
              </w:rPr>
              <w:br/>
              <w:t>v EUR</w:t>
            </w:r>
          </w:p>
        </w:tc>
        <w:tc>
          <w:tcPr>
            <w:tcW w:w="776" w:type="pct"/>
            <w:shd w:val="clear" w:color="auto" w:fill="C6DBF7"/>
            <w:vAlign w:val="center"/>
            <w:hideMark/>
          </w:tcPr>
          <w:p w14:paraId="3CB76314" w14:textId="77777777" w:rsidR="00C32ACA" w:rsidRPr="00F16DBE" w:rsidRDefault="00C32ACA" w:rsidP="00C32ACA">
            <w:pPr>
              <w:spacing w:after="0" w:line="240" w:lineRule="auto"/>
              <w:jc w:val="center"/>
              <w:rPr>
                <w:sz w:val="20"/>
                <w:szCs w:val="20"/>
                <w:lang w:eastAsia="sk-SK"/>
              </w:rPr>
            </w:pPr>
            <w:r w:rsidRPr="00F16DBE">
              <w:rPr>
                <w:b/>
                <w:bCs/>
                <w:sz w:val="20"/>
                <w:szCs w:val="20"/>
                <w:lang w:eastAsia="sk-SK"/>
              </w:rPr>
              <w:t>Zmenený</w:t>
            </w:r>
            <w:r w:rsidRPr="00F16DBE">
              <w:rPr>
                <w:b/>
                <w:bCs/>
                <w:sz w:val="20"/>
                <w:szCs w:val="20"/>
                <w:lang w:eastAsia="sk-SK"/>
              </w:rPr>
              <w:br/>
              <w:t>rozpočet</w:t>
            </w:r>
            <w:r w:rsidRPr="00F16DBE">
              <w:rPr>
                <w:b/>
                <w:bCs/>
                <w:sz w:val="20"/>
                <w:szCs w:val="20"/>
                <w:lang w:eastAsia="sk-SK"/>
              </w:rPr>
              <w:br/>
              <w:t>v EUR</w:t>
            </w:r>
          </w:p>
        </w:tc>
        <w:tc>
          <w:tcPr>
            <w:tcW w:w="570" w:type="pct"/>
            <w:shd w:val="clear" w:color="auto" w:fill="C6DBF7"/>
            <w:vAlign w:val="center"/>
            <w:hideMark/>
          </w:tcPr>
          <w:p w14:paraId="6260D13A" w14:textId="77777777" w:rsidR="00C32ACA" w:rsidRPr="00F16DBE" w:rsidRDefault="00C32ACA" w:rsidP="00C32ACA">
            <w:pPr>
              <w:spacing w:after="0" w:line="240" w:lineRule="auto"/>
              <w:jc w:val="center"/>
              <w:rPr>
                <w:sz w:val="20"/>
                <w:szCs w:val="20"/>
                <w:lang w:eastAsia="sk-SK"/>
              </w:rPr>
            </w:pPr>
            <w:r w:rsidRPr="00F16DBE">
              <w:rPr>
                <w:b/>
                <w:bCs/>
                <w:sz w:val="20"/>
                <w:szCs w:val="20"/>
                <w:lang w:eastAsia="sk-SK"/>
              </w:rPr>
              <w:t>Čerpanie</w:t>
            </w:r>
            <w:r w:rsidRPr="00F16DBE">
              <w:rPr>
                <w:b/>
                <w:bCs/>
                <w:sz w:val="20"/>
                <w:szCs w:val="20"/>
                <w:lang w:eastAsia="sk-SK"/>
              </w:rPr>
              <w:br/>
              <w:t>v EUR</w:t>
            </w:r>
          </w:p>
        </w:tc>
        <w:tc>
          <w:tcPr>
            <w:tcW w:w="475" w:type="pct"/>
            <w:shd w:val="clear" w:color="auto" w:fill="C6DBF7"/>
            <w:vAlign w:val="center"/>
            <w:hideMark/>
          </w:tcPr>
          <w:p w14:paraId="37478B8B" w14:textId="77777777" w:rsidR="00C32ACA" w:rsidRPr="00F16DBE" w:rsidRDefault="00C32ACA" w:rsidP="00C32ACA">
            <w:pPr>
              <w:spacing w:after="0" w:line="240" w:lineRule="auto"/>
              <w:jc w:val="center"/>
              <w:rPr>
                <w:sz w:val="20"/>
                <w:szCs w:val="20"/>
                <w:lang w:eastAsia="sk-SK"/>
              </w:rPr>
            </w:pPr>
            <w:r w:rsidRPr="00F16DBE">
              <w:rPr>
                <w:b/>
                <w:bCs/>
                <w:sz w:val="20"/>
                <w:szCs w:val="20"/>
                <w:lang w:eastAsia="sk-SK"/>
              </w:rPr>
              <w:t>Čerpanie</w:t>
            </w:r>
            <w:r w:rsidRPr="00F16DBE">
              <w:rPr>
                <w:b/>
                <w:bCs/>
                <w:sz w:val="20"/>
                <w:szCs w:val="20"/>
                <w:lang w:eastAsia="sk-SK"/>
              </w:rPr>
              <w:br/>
              <w:t xml:space="preserve">k </w:t>
            </w:r>
            <w:proofErr w:type="spellStart"/>
            <w:r w:rsidRPr="00F16DBE">
              <w:rPr>
                <w:b/>
                <w:bCs/>
                <w:sz w:val="20"/>
                <w:szCs w:val="20"/>
                <w:lang w:eastAsia="sk-SK"/>
              </w:rPr>
              <w:t>zmen</w:t>
            </w:r>
            <w:proofErr w:type="spellEnd"/>
            <w:r w:rsidRPr="00F16DBE">
              <w:rPr>
                <w:b/>
                <w:bCs/>
                <w:sz w:val="20"/>
                <w:szCs w:val="20"/>
                <w:lang w:eastAsia="sk-SK"/>
              </w:rPr>
              <w:t xml:space="preserve">. </w:t>
            </w:r>
            <w:proofErr w:type="spellStart"/>
            <w:r w:rsidRPr="00F16DBE">
              <w:rPr>
                <w:b/>
                <w:bCs/>
                <w:sz w:val="20"/>
                <w:szCs w:val="20"/>
                <w:lang w:eastAsia="sk-SK"/>
              </w:rPr>
              <w:t>rozp</w:t>
            </w:r>
            <w:proofErr w:type="spellEnd"/>
            <w:r w:rsidRPr="00F16DBE">
              <w:rPr>
                <w:b/>
                <w:bCs/>
                <w:sz w:val="20"/>
                <w:szCs w:val="20"/>
                <w:lang w:eastAsia="sk-SK"/>
              </w:rPr>
              <w:t>.</w:t>
            </w:r>
            <w:r w:rsidRPr="00F16DBE">
              <w:rPr>
                <w:b/>
                <w:bCs/>
                <w:sz w:val="20"/>
                <w:szCs w:val="20"/>
                <w:lang w:eastAsia="sk-SK"/>
              </w:rPr>
              <w:br/>
              <w:t>v %</w:t>
            </w:r>
          </w:p>
        </w:tc>
        <w:tc>
          <w:tcPr>
            <w:tcW w:w="1195" w:type="pct"/>
            <w:shd w:val="clear" w:color="auto" w:fill="C6DBF7"/>
            <w:vAlign w:val="center"/>
            <w:hideMark/>
          </w:tcPr>
          <w:p w14:paraId="4EC1156F" w14:textId="77777777" w:rsidR="00C32ACA" w:rsidRPr="00F16DBE" w:rsidRDefault="00C32ACA" w:rsidP="00C32ACA">
            <w:pPr>
              <w:spacing w:after="0" w:line="240" w:lineRule="auto"/>
              <w:jc w:val="center"/>
              <w:rPr>
                <w:sz w:val="20"/>
                <w:szCs w:val="20"/>
                <w:lang w:eastAsia="sk-SK"/>
              </w:rPr>
            </w:pPr>
            <w:r w:rsidRPr="00F16DBE">
              <w:rPr>
                <w:b/>
                <w:bCs/>
                <w:sz w:val="20"/>
                <w:szCs w:val="20"/>
                <w:lang w:eastAsia="sk-SK"/>
              </w:rPr>
              <w:t>Zmeny rozpočtu</w:t>
            </w:r>
          </w:p>
        </w:tc>
      </w:tr>
      <w:tr w:rsidR="00C32ACA" w:rsidRPr="00F16DBE" w14:paraId="13FB9C27" w14:textId="77777777" w:rsidTr="00C32ACA">
        <w:trPr>
          <w:tblCellSpacing w:w="15" w:type="dxa"/>
        </w:trPr>
        <w:tc>
          <w:tcPr>
            <w:tcW w:w="0" w:type="auto"/>
            <w:shd w:val="clear" w:color="auto" w:fill="D9D9D9"/>
            <w:noWrap/>
            <w:vAlign w:val="center"/>
            <w:hideMark/>
          </w:tcPr>
          <w:p w14:paraId="6165B046" w14:textId="77777777" w:rsidR="00C32ACA" w:rsidRPr="00F16DBE" w:rsidRDefault="00C32ACA" w:rsidP="00C32ACA">
            <w:pPr>
              <w:spacing w:after="0" w:line="240" w:lineRule="auto"/>
              <w:rPr>
                <w:sz w:val="20"/>
                <w:szCs w:val="20"/>
                <w:lang w:eastAsia="sk-SK"/>
              </w:rPr>
            </w:pPr>
          </w:p>
        </w:tc>
        <w:tc>
          <w:tcPr>
            <w:tcW w:w="0" w:type="auto"/>
            <w:shd w:val="clear" w:color="auto" w:fill="D9D9D9"/>
            <w:vAlign w:val="center"/>
            <w:hideMark/>
          </w:tcPr>
          <w:p w14:paraId="15285D9A" w14:textId="77777777" w:rsidR="00C32ACA" w:rsidRPr="00F16DBE" w:rsidRDefault="00C32ACA" w:rsidP="00C32ACA">
            <w:pPr>
              <w:spacing w:after="0" w:line="240" w:lineRule="auto"/>
              <w:rPr>
                <w:b/>
                <w:bCs/>
                <w:sz w:val="20"/>
                <w:szCs w:val="20"/>
                <w:lang w:eastAsia="sk-SK"/>
              </w:rPr>
            </w:pPr>
            <w:r w:rsidRPr="00F16DBE">
              <w:rPr>
                <w:b/>
                <w:bCs/>
                <w:sz w:val="20"/>
                <w:szCs w:val="20"/>
                <w:lang w:eastAsia="sk-SK"/>
              </w:rPr>
              <w:t xml:space="preserve">Výdavky celkom </w:t>
            </w:r>
          </w:p>
        </w:tc>
        <w:tc>
          <w:tcPr>
            <w:tcW w:w="0" w:type="auto"/>
            <w:shd w:val="clear" w:color="auto" w:fill="D9D9D9"/>
            <w:noWrap/>
            <w:vAlign w:val="center"/>
            <w:hideMark/>
          </w:tcPr>
          <w:p w14:paraId="489B8D33" w14:textId="77777777" w:rsidR="00C32ACA" w:rsidRPr="00BA63D9" w:rsidRDefault="00C32ACA" w:rsidP="00C32ACA">
            <w:pPr>
              <w:spacing w:after="0" w:line="240" w:lineRule="auto"/>
              <w:jc w:val="right"/>
              <w:rPr>
                <w:b/>
                <w:bCs/>
                <w:color w:val="FF0000"/>
                <w:sz w:val="20"/>
                <w:szCs w:val="20"/>
                <w:lang w:eastAsia="sk-SK"/>
              </w:rPr>
            </w:pPr>
            <w:r w:rsidRPr="001C6501">
              <w:rPr>
                <w:b/>
                <w:bCs/>
                <w:color w:val="000000" w:themeColor="text1"/>
                <w:sz w:val="20"/>
                <w:szCs w:val="20"/>
                <w:lang w:eastAsia="sk-SK"/>
              </w:rPr>
              <w:t>17 619 770,96</w:t>
            </w:r>
          </w:p>
        </w:tc>
        <w:tc>
          <w:tcPr>
            <w:tcW w:w="776" w:type="pct"/>
            <w:shd w:val="clear" w:color="auto" w:fill="D9D9D9"/>
            <w:noWrap/>
            <w:vAlign w:val="center"/>
            <w:hideMark/>
          </w:tcPr>
          <w:p w14:paraId="1284B678" w14:textId="77777777" w:rsidR="00C32ACA" w:rsidRPr="00BA63D9" w:rsidRDefault="00C32ACA" w:rsidP="00C32ACA">
            <w:pPr>
              <w:spacing w:after="0" w:line="240" w:lineRule="auto"/>
              <w:jc w:val="right"/>
              <w:rPr>
                <w:b/>
                <w:bCs/>
                <w:color w:val="FF0000"/>
                <w:sz w:val="20"/>
                <w:szCs w:val="20"/>
                <w:lang w:eastAsia="sk-SK"/>
              </w:rPr>
            </w:pPr>
            <w:r w:rsidRPr="001C6501">
              <w:rPr>
                <w:b/>
                <w:bCs/>
                <w:color w:val="000000" w:themeColor="text1"/>
                <w:sz w:val="20"/>
                <w:szCs w:val="20"/>
                <w:lang w:eastAsia="sk-SK"/>
              </w:rPr>
              <w:t>16 237 223,85</w:t>
            </w:r>
          </w:p>
        </w:tc>
        <w:tc>
          <w:tcPr>
            <w:tcW w:w="570" w:type="pct"/>
            <w:shd w:val="clear" w:color="auto" w:fill="D9D9D9"/>
            <w:noWrap/>
            <w:vAlign w:val="center"/>
            <w:hideMark/>
          </w:tcPr>
          <w:p w14:paraId="0858E460" w14:textId="77777777" w:rsidR="00C32ACA" w:rsidRPr="00BA63D9" w:rsidRDefault="00C32ACA" w:rsidP="00C32ACA">
            <w:pPr>
              <w:spacing w:after="0" w:line="240" w:lineRule="auto"/>
              <w:jc w:val="right"/>
              <w:rPr>
                <w:b/>
                <w:bCs/>
                <w:color w:val="FF0000"/>
                <w:sz w:val="20"/>
                <w:szCs w:val="20"/>
                <w:lang w:eastAsia="sk-SK"/>
              </w:rPr>
            </w:pPr>
            <w:r w:rsidRPr="001C6501">
              <w:rPr>
                <w:b/>
                <w:bCs/>
                <w:color w:val="000000" w:themeColor="text1"/>
                <w:sz w:val="20"/>
                <w:szCs w:val="20"/>
                <w:lang w:eastAsia="sk-SK"/>
              </w:rPr>
              <w:t>4 662 534,11</w:t>
            </w:r>
          </w:p>
        </w:tc>
        <w:tc>
          <w:tcPr>
            <w:tcW w:w="475" w:type="pct"/>
            <w:shd w:val="clear" w:color="auto" w:fill="D9D9D9"/>
            <w:noWrap/>
            <w:vAlign w:val="center"/>
            <w:hideMark/>
          </w:tcPr>
          <w:p w14:paraId="553DF4FD" w14:textId="77777777" w:rsidR="00C32ACA" w:rsidRPr="00BA63D9" w:rsidRDefault="00C32ACA" w:rsidP="00C32ACA">
            <w:pPr>
              <w:spacing w:after="0" w:line="240" w:lineRule="auto"/>
              <w:jc w:val="right"/>
              <w:rPr>
                <w:b/>
                <w:bCs/>
                <w:color w:val="FF0000"/>
                <w:sz w:val="20"/>
                <w:szCs w:val="20"/>
                <w:lang w:eastAsia="sk-SK"/>
              </w:rPr>
            </w:pPr>
            <w:r w:rsidRPr="003330A0">
              <w:rPr>
                <w:b/>
                <w:bCs/>
                <w:color w:val="000000" w:themeColor="text1"/>
                <w:sz w:val="20"/>
                <w:szCs w:val="20"/>
                <w:lang w:eastAsia="sk-SK"/>
              </w:rPr>
              <w:t>28,71</w:t>
            </w:r>
          </w:p>
        </w:tc>
        <w:tc>
          <w:tcPr>
            <w:tcW w:w="1195" w:type="pct"/>
            <w:vMerge w:val="restart"/>
            <w:shd w:val="clear" w:color="auto" w:fill="D9D9D9"/>
            <w:vAlign w:val="center"/>
            <w:hideMark/>
          </w:tcPr>
          <w:p w14:paraId="44EC7E01" w14:textId="77777777" w:rsidR="00C32ACA" w:rsidRPr="003E7B99" w:rsidRDefault="00C32ACA" w:rsidP="00C32ACA">
            <w:pPr>
              <w:spacing w:after="0" w:line="240" w:lineRule="auto"/>
              <w:rPr>
                <w:color w:val="000000" w:themeColor="text1"/>
                <w:sz w:val="20"/>
                <w:szCs w:val="20"/>
                <w:lang w:eastAsia="sk-SK"/>
              </w:rPr>
            </w:pPr>
            <w:r w:rsidRPr="003E7B99">
              <w:rPr>
                <w:b/>
                <w:color w:val="000000" w:themeColor="text1"/>
                <w:sz w:val="20"/>
                <w:szCs w:val="20"/>
                <w:lang w:eastAsia="sk-SK"/>
              </w:rPr>
              <w:t>-</w:t>
            </w:r>
            <w:r w:rsidRPr="00232C06">
              <w:rPr>
                <w:b/>
                <w:color w:val="000000" w:themeColor="text1"/>
                <w:sz w:val="20"/>
                <w:szCs w:val="20"/>
                <w:lang w:eastAsia="sk-SK"/>
              </w:rPr>
              <w:t>1</w:t>
            </w:r>
            <w:r>
              <w:rPr>
                <w:b/>
                <w:color w:val="000000" w:themeColor="text1"/>
                <w:sz w:val="20"/>
                <w:szCs w:val="20"/>
                <w:lang w:eastAsia="sk-SK"/>
              </w:rPr>
              <w:t> </w:t>
            </w:r>
            <w:r w:rsidRPr="00232C06">
              <w:rPr>
                <w:b/>
                <w:color w:val="000000" w:themeColor="text1"/>
                <w:sz w:val="20"/>
                <w:szCs w:val="20"/>
                <w:lang w:eastAsia="sk-SK"/>
              </w:rPr>
              <w:t>818</w:t>
            </w:r>
            <w:r>
              <w:rPr>
                <w:b/>
                <w:color w:val="000000" w:themeColor="text1"/>
                <w:sz w:val="20"/>
                <w:szCs w:val="20"/>
                <w:lang w:eastAsia="sk-SK"/>
              </w:rPr>
              <w:t> </w:t>
            </w:r>
            <w:r w:rsidRPr="00232C06">
              <w:rPr>
                <w:b/>
                <w:color w:val="000000" w:themeColor="text1"/>
                <w:sz w:val="20"/>
                <w:szCs w:val="20"/>
                <w:lang w:eastAsia="sk-SK"/>
              </w:rPr>
              <w:t>674</w:t>
            </w:r>
            <w:r>
              <w:rPr>
                <w:b/>
                <w:color w:val="000000" w:themeColor="text1"/>
                <w:sz w:val="20"/>
                <w:szCs w:val="20"/>
                <w:lang w:eastAsia="sk-SK"/>
              </w:rPr>
              <w:t xml:space="preserve">,00 </w:t>
            </w:r>
            <w:r w:rsidRPr="003E7B99">
              <w:rPr>
                <w:b/>
                <w:color w:val="000000" w:themeColor="text1"/>
                <w:sz w:val="20"/>
                <w:szCs w:val="20"/>
                <w:lang w:eastAsia="sk-SK"/>
              </w:rPr>
              <w:t>EUR</w:t>
            </w:r>
            <w:r w:rsidRPr="003E7B99">
              <w:rPr>
                <w:color w:val="000000" w:themeColor="text1"/>
                <w:sz w:val="20"/>
                <w:szCs w:val="20"/>
                <w:lang w:eastAsia="sk-SK"/>
              </w:rPr>
              <w:t xml:space="preserve"> Presuny  medzi programami</w:t>
            </w:r>
          </w:p>
          <w:p w14:paraId="3FAABC03" w14:textId="77777777" w:rsidR="00C32ACA" w:rsidRPr="008F59BB" w:rsidRDefault="00C32ACA" w:rsidP="00C32ACA">
            <w:pPr>
              <w:spacing w:after="0" w:line="240" w:lineRule="auto"/>
              <w:rPr>
                <w:color w:val="FF0000"/>
                <w:sz w:val="20"/>
                <w:szCs w:val="20"/>
                <w:lang w:eastAsia="sk-SK"/>
              </w:rPr>
            </w:pPr>
            <w:r w:rsidRPr="003E7B99">
              <w:rPr>
                <w:b/>
                <w:color w:val="000000" w:themeColor="text1"/>
                <w:sz w:val="20"/>
                <w:szCs w:val="20"/>
                <w:lang w:eastAsia="sk-SK"/>
              </w:rPr>
              <w:t>+</w:t>
            </w:r>
            <w:r w:rsidRPr="00232C06">
              <w:rPr>
                <w:b/>
                <w:color w:val="000000" w:themeColor="text1"/>
                <w:sz w:val="20"/>
                <w:szCs w:val="20"/>
                <w:lang w:eastAsia="sk-SK"/>
              </w:rPr>
              <w:t>436</w:t>
            </w:r>
            <w:r>
              <w:rPr>
                <w:b/>
                <w:color w:val="000000" w:themeColor="text1"/>
                <w:sz w:val="20"/>
                <w:szCs w:val="20"/>
                <w:lang w:eastAsia="sk-SK"/>
              </w:rPr>
              <w:t xml:space="preserve"> </w:t>
            </w:r>
            <w:r w:rsidRPr="00232C06">
              <w:rPr>
                <w:b/>
                <w:color w:val="000000" w:themeColor="text1"/>
                <w:sz w:val="20"/>
                <w:szCs w:val="20"/>
                <w:lang w:eastAsia="sk-SK"/>
              </w:rPr>
              <w:t>126,89</w:t>
            </w:r>
            <w:r>
              <w:rPr>
                <w:b/>
                <w:color w:val="000000" w:themeColor="text1"/>
                <w:sz w:val="20"/>
                <w:szCs w:val="20"/>
                <w:lang w:eastAsia="sk-SK"/>
              </w:rPr>
              <w:t xml:space="preserve"> E</w:t>
            </w:r>
            <w:r w:rsidRPr="003E7B99">
              <w:rPr>
                <w:b/>
                <w:color w:val="000000" w:themeColor="text1"/>
                <w:sz w:val="20"/>
                <w:szCs w:val="20"/>
                <w:lang w:eastAsia="sk-SK"/>
              </w:rPr>
              <w:t xml:space="preserve">UR </w:t>
            </w:r>
            <w:r w:rsidRPr="003E7B99">
              <w:rPr>
                <w:color w:val="000000" w:themeColor="text1"/>
                <w:sz w:val="20"/>
                <w:szCs w:val="20"/>
                <w:lang w:eastAsia="sk-SK"/>
              </w:rPr>
              <w:t>Zvýšenie príjmov</w:t>
            </w:r>
          </w:p>
        </w:tc>
      </w:tr>
      <w:tr w:rsidR="00C32ACA" w:rsidRPr="00F16DBE" w14:paraId="5CA75B69" w14:textId="77777777" w:rsidTr="00C32ACA">
        <w:trPr>
          <w:tblCellSpacing w:w="15" w:type="dxa"/>
        </w:trPr>
        <w:tc>
          <w:tcPr>
            <w:tcW w:w="0" w:type="auto"/>
            <w:shd w:val="clear" w:color="auto" w:fill="D9D9D9"/>
            <w:noWrap/>
            <w:vAlign w:val="center"/>
            <w:hideMark/>
          </w:tcPr>
          <w:p w14:paraId="36A24E93" w14:textId="77777777" w:rsidR="00C32ACA" w:rsidRPr="00F16DBE" w:rsidRDefault="00C32ACA" w:rsidP="00C32ACA">
            <w:pPr>
              <w:spacing w:after="0" w:line="240" w:lineRule="auto"/>
              <w:rPr>
                <w:sz w:val="20"/>
                <w:szCs w:val="20"/>
                <w:lang w:eastAsia="sk-SK"/>
              </w:rPr>
            </w:pPr>
            <w:r w:rsidRPr="00F16DBE">
              <w:rPr>
                <w:b/>
                <w:bCs/>
                <w:sz w:val="20"/>
                <w:szCs w:val="20"/>
                <w:lang w:eastAsia="sk-SK"/>
              </w:rPr>
              <w:t>600</w:t>
            </w:r>
            <w:r w:rsidRPr="00F16DBE">
              <w:rPr>
                <w:sz w:val="20"/>
                <w:szCs w:val="20"/>
                <w:lang w:eastAsia="sk-SK"/>
              </w:rPr>
              <w:t xml:space="preserve"> </w:t>
            </w:r>
          </w:p>
        </w:tc>
        <w:tc>
          <w:tcPr>
            <w:tcW w:w="0" w:type="auto"/>
            <w:shd w:val="clear" w:color="auto" w:fill="D9D9D9"/>
            <w:vAlign w:val="center"/>
            <w:hideMark/>
          </w:tcPr>
          <w:p w14:paraId="0BAD1F0B" w14:textId="77777777" w:rsidR="00C32ACA" w:rsidRPr="00F16DBE" w:rsidRDefault="00C32ACA" w:rsidP="00C32ACA">
            <w:pPr>
              <w:spacing w:after="0" w:line="240" w:lineRule="auto"/>
              <w:rPr>
                <w:b/>
                <w:bCs/>
                <w:sz w:val="20"/>
                <w:szCs w:val="20"/>
                <w:lang w:eastAsia="sk-SK"/>
              </w:rPr>
            </w:pPr>
            <w:r w:rsidRPr="00F16DBE">
              <w:rPr>
                <w:b/>
                <w:bCs/>
                <w:sz w:val="20"/>
                <w:szCs w:val="20"/>
                <w:lang w:eastAsia="sk-SK"/>
              </w:rPr>
              <w:t xml:space="preserve">Bežné výdavky </w:t>
            </w:r>
          </w:p>
        </w:tc>
        <w:tc>
          <w:tcPr>
            <w:tcW w:w="0" w:type="auto"/>
            <w:shd w:val="clear" w:color="auto" w:fill="D9D9D9"/>
            <w:noWrap/>
            <w:vAlign w:val="center"/>
            <w:hideMark/>
          </w:tcPr>
          <w:p w14:paraId="0B8CA0F9" w14:textId="77777777" w:rsidR="00C32ACA" w:rsidRPr="00BA63D9" w:rsidRDefault="00C32ACA" w:rsidP="00C32ACA">
            <w:pPr>
              <w:spacing w:after="0" w:line="240" w:lineRule="auto"/>
              <w:jc w:val="right"/>
              <w:rPr>
                <w:b/>
                <w:bCs/>
                <w:color w:val="FF0000"/>
                <w:sz w:val="20"/>
                <w:szCs w:val="20"/>
                <w:lang w:eastAsia="sk-SK"/>
              </w:rPr>
            </w:pPr>
            <w:r w:rsidRPr="00617105">
              <w:rPr>
                <w:b/>
                <w:bCs/>
                <w:color w:val="000000" w:themeColor="text1"/>
                <w:sz w:val="20"/>
                <w:szCs w:val="20"/>
                <w:lang w:eastAsia="sk-SK"/>
              </w:rPr>
              <w:t>3 677 125,58</w:t>
            </w:r>
          </w:p>
        </w:tc>
        <w:tc>
          <w:tcPr>
            <w:tcW w:w="776" w:type="pct"/>
            <w:shd w:val="clear" w:color="auto" w:fill="D9D9D9"/>
            <w:noWrap/>
            <w:vAlign w:val="center"/>
            <w:hideMark/>
          </w:tcPr>
          <w:p w14:paraId="2D0817DF" w14:textId="77777777" w:rsidR="00C32ACA" w:rsidRPr="00BA63D9" w:rsidRDefault="00C32ACA" w:rsidP="00C32ACA">
            <w:pPr>
              <w:spacing w:after="0" w:line="240" w:lineRule="auto"/>
              <w:jc w:val="right"/>
              <w:rPr>
                <w:b/>
                <w:bCs/>
                <w:color w:val="FF0000"/>
                <w:sz w:val="20"/>
                <w:szCs w:val="20"/>
                <w:lang w:eastAsia="sk-SK"/>
              </w:rPr>
            </w:pPr>
            <w:r w:rsidRPr="00617105">
              <w:rPr>
                <w:b/>
                <w:bCs/>
                <w:color w:val="000000" w:themeColor="text1"/>
                <w:sz w:val="20"/>
                <w:szCs w:val="20"/>
                <w:lang w:eastAsia="sk-SK"/>
              </w:rPr>
              <w:t>3 857 500,28</w:t>
            </w:r>
          </w:p>
        </w:tc>
        <w:tc>
          <w:tcPr>
            <w:tcW w:w="570" w:type="pct"/>
            <w:shd w:val="clear" w:color="auto" w:fill="D9D9D9"/>
            <w:noWrap/>
            <w:vAlign w:val="center"/>
            <w:hideMark/>
          </w:tcPr>
          <w:p w14:paraId="2A888E52" w14:textId="77777777" w:rsidR="00C32ACA" w:rsidRPr="00BA63D9" w:rsidRDefault="00C32ACA" w:rsidP="00C32ACA">
            <w:pPr>
              <w:spacing w:after="0" w:line="240" w:lineRule="auto"/>
              <w:jc w:val="right"/>
              <w:rPr>
                <w:b/>
                <w:bCs/>
                <w:color w:val="FF0000"/>
                <w:sz w:val="20"/>
                <w:szCs w:val="20"/>
                <w:lang w:eastAsia="sk-SK"/>
              </w:rPr>
            </w:pPr>
            <w:r w:rsidRPr="00617105">
              <w:rPr>
                <w:b/>
                <w:bCs/>
                <w:color w:val="000000" w:themeColor="text1"/>
                <w:sz w:val="20"/>
                <w:szCs w:val="20"/>
                <w:lang w:eastAsia="sk-SK"/>
              </w:rPr>
              <w:t>1 389 280,41</w:t>
            </w:r>
          </w:p>
        </w:tc>
        <w:tc>
          <w:tcPr>
            <w:tcW w:w="475" w:type="pct"/>
            <w:shd w:val="clear" w:color="auto" w:fill="D9D9D9"/>
            <w:noWrap/>
            <w:vAlign w:val="center"/>
            <w:hideMark/>
          </w:tcPr>
          <w:p w14:paraId="53C89E21" w14:textId="77777777" w:rsidR="00C32ACA" w:rsidRPr="00BA63D9" w:rsidRDefault="00C32ACA" w:rsidP="00C32ACA">
            <w:pPr>
              <w:spacing w:after="0" w:line="240" w:lineRule="auto"/>
              <w:jc w:val="right"/>
              <w:rPr>
                <w:b/>
                <w:bCs/>
                <w:color w:val="FF0000"/>
                <w:sz w:val="20"/>
                <w:szCs w:val="20"/>
                <w:lang w:eastAsia="sk-SK"/>
              </w:rPr>
            </w:pPr>
            <w:r w:rsidRPr="003330A0">
              <w:rPr>
                <w:b/>
                <w:bCs/>
                <w:color w:val="000000" w:themeColor="text1"/>
                <w:sz w:val="20"/>
                <w:szCs w:val="20"/>
                <w:lang w:eastAsia="sk-SK"/>
              </w:rPr>
              <w:t>36,02</w:t>
            </w:r>
          </w:p>
        </w:tc>
        <w:tc>
          <w:tcPr>
            <w:tcW w:w="1195" w:type="pct"/>
            <w:vMerge/>
            <w:shd w:val="clear" w:color="auto" w:fill="D9D9D9"/>
            <w:vAlign w:val="center"/>
            <w:hideMark/>
          </w:tcPr>
          <w:p w14:paraId="5267369F" w14:textId="77777777" w:rsidR="00C32ACA" w:rsidRPr="008F59BB" w:rsidRDefault="00C32ACA" w:rsidP="00C32ACA">
            <w:pPr>
              <w:spacing w:after="0" w:line="240" w:lineRule="auto"/>
              <w:rPr>
                <w:color w:val="FF0000"/>
                <w:sz w:val="20"/>
                <w:szCs w:val="20"/>
                <w:lang w:eastAsia="sk-SK"/>
              </w:rPr>
            </w:pPr>
          </w:p>
        </w:tc>
      </w:tr>
      <w:tr w:rsidR="00C32ACA" w:rsidRPr="00F16DBE" w14:paraId="5E26A79E" w14:textId="77777777" w:rsidTr="00C32ACA">
        <w:trPr>
          <w:tblCellSpacing w:w="15" w:type="dxa"/>
        </w:trPr>
        <w:tc>
          <w:tcPr>
            <w:tcW w:w="0" w:type="auto"/>
            <w:shd w:val="clear" w:color="auto" w:fill="EFEFEF"/>
            <w:noWrap/>
            <w:vAlign w:val="center"/>
            <w:hideMark/>
          </w:tcPr>
          <w:p w14:paraId="1B6AA955"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610 </w:t>
            </w:r>
          </w:p>
        </w:tc>
        <w:tc>
          <w:tcPr>
            <w:tcW w:w="0" w:type="auto"/>
            <w:shd w:val="clear" w:color="auto" w:fill="EFEFEF"/>
            <w:vAlign w:val="center"/>
            <w:hideMark/>
          </w:tcPr>
          <w:p w14:paraId="65EEE1B7"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Mzdy, platy, ... </w:t>
            </w:r>
          </w:p>
        </w:tc>
        <w:tc>
          <w:tcPr>
            <w:tcW w:w="0" w:type="auto"/>
            <w:shd w:val="clear" w:color="auto" w:fill="EFEFEF"/>
            <w:noWrap/>
            <w:vAlign w:val="center"/>
            <w:hideMark/>
          </w:tcPr>
          <w:p w14:paraId="18562065" w14:textId="77777777" w:rsidR="00C32ACA" w:rsidRPr="00BA63D9" w:rsidRDefault="00C32ACA" w:rsidP="00C32ACA">
            <w:pPr>
              <w:spacing w:after="0" w:line="240" w:lineRule="auto"/>
              <w:jc w:val="right"/>
              <w:rPr>
                <w:color w:val="FF0000"/>
                <w:sz w:val="20"/>
                <w:szCs w:val="20"/>
                <w:lang w:eastAsia="sk-SK"/>
              </w:rPr>
            </w:pPr>
            <w:r w:rsidRPr="00617105">
              <w:rPr>
                <w:color w:val="000000" w:themeColor="text1"/>
                <w:sz w:val="20"/>
                <w:szCs w:val="20"/>
                <w:lang w:eastAsia="sk-SK"/>
              </w:rPr>
              <w:t>648 552,34</w:t>
            </w:r>
          </w:p>
        </w:tc>
        <w:tc>
          <w:tcPr>
            <w:tcW w:w="776" w:type="pct"/>
            <w:shd w:val="clear" w:color="auto" w:fill="EFEFEF"/>
            <w:noWrap/>
            <w:vAlign w:val="center"/>
            <w:hideMark/>
          </w:tcPr>
          <w:p w14:paraId="3B258048" w14:textId="77777777" w:rsidR="00C32ACA" w:rsidRPr="00BA63D9" w:rsidRDefault="00C32ACA" w:rsidP="00C32ACA">
            <w:pPr>
              <w:spacing w:after="0" w:line="240" w:lineRule="auto"/>
              <w:jc w:val="right"/>
              <w:rPr>
                <w:color w:val="FF0000"/>
                <w:sz w:val="20"/>
                <w:szCs w:val="20"/>
                <w:lang w:eastAsia="sk-SK"/>
              </w:rPr>
            </w:pPr>
            <w:r w:rsidRPr="00617105">
              <w:rPr>
                <w:color w:val="000000" w:themeColor="text1"/>
                <w:sz w:val="20"/>
                <w:szCs w:val="20"/>
                <w:lang w:eastAsia="sk-SK"/>
              </w:rPr>
              <w:t>731 309,24</w:t>
            </w:r>
          </w:p>
        </w:tc>
        <w:tc>
          <w:tcPr>
            <w:tcW w:w="570" w:type="pct"/>
            <w:shd w:val="clear" w:color="auto" w:fill="EFEFEF"/>
            <w:noWrap/>
            <w:vAlign w:val="center"/>
            <w:hideMark/>
          </w:tcPr>
          <w:p w14:paraId="28B72FD6" w14:textId="77777777" w:rsidR="00C32ACA" w:rsidRPr="00BA63D9" w:rsidRDefault="00C32ACA" w:rsidP="00C32ACA">
            <w:pPr>
              <w:spacing w:after="0" w:line="240" w:lineRule="auto"/>
              <w:jc w:val="right"/>
              <w:rPr>
                <w:color w:val="FF0000"/>
                <w:sz w:val="20"/>
                <w:szCs w:val="20"/>
                <w:lang w:eastAsia="sk-SK"/>
              </w:rPr>
            </w:pPr>
            <w:r w:rsidRPr="00617105">
              <w:rPr>
                <w:color w:val="000000" w:themeColor="text1"/>
                <w:sz w:val="20"/>
                <w:szCs w:val="20"/>
                <w:lang w:eastAsia="sk-SK"/>
              </w:rPr>
              <w:t>268 101,52</w:t>
            </w:r>
          </w:p>
        </w:tc>
        <w:tc>
          <w:tcPr>
            <w:tcW w:w="475" w:type="pct"/>
            <w:shd w:val="clear" w:color="auto" w:fill="EFEFEF"/>
            <w:noWrap/>
            <w:vAlign w:val="center"/>
            <w:hideMark/>
          </w:tcPr>
          <w:p w14:paraId="16B2EAE1" w14:textId="77777777" w:rsidR="00C32ACA" w:rsidRPr="00BA63D9" w:rsidRDefault="00C32ACA" w:rsidP="00C32ACA">
            <w:pPr>
              <w:spacing w:after="0" w:line="240" w:lineRule="auto"/>
              <w:jc w:val="right"/>
              <w:rPr>
                <w:color w:val="FF0000"/>
                <w:sz w:val="20"/>
                <w:szCs w:val="20"/>
                <w:lang w:eastAsia="sk-SK"/>
              </w:rPr>
            </w:pPr>
            <w:r w:rsidRPr="00071E19">
              <w:rPr>
                <w:color w:val="000000" w:themeColor="text1"/>
                <w:sz w:val="20"/>
                <w:szCs w:val="20"/>
                <w:lang w:eastAsia="sk-SK"/>
              </w:rPr>
              <w:t>36</w:t>
            </w:r>
            <w:r>
              <w:rPr>
                <w:color w:val="000000" w:themeColor="text1"/>
                <w:sz w:val="20"/>
                <w:szCs w:val="20"/>
                <w:lang w:eastAsia="sk-SK"/>
              </w:rPr>
              <w:t>,</w:t>
            </w:r>
            <w:r w:rsidRPr="00071E19">
              <w:rPr>
                <w:color w:val="000000" w:themeColor="text1"/>
                <w:sz w:val="20"/>
                <w:szCs w:val="20"/>
                <w:lang w:eastAsia="sk-SK"/>
              </w:rPr>
              <w:t>66</w:t>
            </w:r>
          </w:p>
        </w:tc>
        <w:tc>
          <w:tcPr>
            <w:tcW w:w="1195" w:type="pct"/>
            <w:vMerge/>
            <w:shd w:val="clear" w:color="auto" w:fill="EFEFEF"/>
            <w:vAlign w:val="center"/>
            <w:hideMark/>
          </w:tcPr>
          <w:p w14:paraId="68E96DD0" w14:textId="77777777" w:rsidR="00C32ACA" w:rsidRPr="008F59BB" w:rsidRDefault="00C32ACA" w:rsidP="00C32ACA">
            <w:pPr>
              <w:spacing w:after="0" w:line="240" w:lineRule="auto"/>
              <w:rPr>
                <w:color w:val="FF0000"/>
                <w:sz w:val="20"/>
                <w:szCs w:val="20"/>
                <w:lang w:eastAsia="sk-SK"/>
              </w:rPr>
            </w:pPr>
          </w:p>
        </w:tc>
      </w:tr>
      <w:tr w:rsidR="00C32ACA" w:rsidRPr="00F16DBE" w14:paraId="00106B94" w14:textId="77777777" w:rsidTr="00C32ACA">
        <w:trPr>
          <w:tblCellSpacing w:w="15" w:type="dxa"/>
        </w:trPr>
        <w:tc>
          <w:tcPr>
            <w:tcW w:w="0" w:type="auto"/>
            <w:shd w:val="clear" w:color="auto" w:fill="EFEFEF"/>
            <w:noWrap/>
            <w:vAlign w:val="center"/>
            <w:hideMark/>
          </w:tcPr>
          <w:p w14:paraId="0BF93730"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620 </w:t>
            </w:r>
          </w:p>
        </w:tc>
        <w:tc>
          <w:tcPr>
            <w:tcW w:w="0" w:type="auto"/>
            <w:shd w:val="clear" w:color="auto" w:fill="EFEFEF"/>
            <w:vAlign w:val="center"/>
            <w:hideMark/>
          </w:tcPr>
          <w:p w14:paraId="72C6D74B"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Poistné do poisťovní </w:t>
            </w:r>
          </w:p>
        </w:tc>
        <w:tc>
          <w:tcPr>
            <w:tcW w:w="0" w:type="auto"/>
            <w:shd w:val="clear" w:color="auto" w:fill="EFEFEF"/>
            <w:noWrap/>
            <w:vAlign w:val="center"/>
            <w:hideMark/>
          </w:tcPr>
          <w:p w14:paraId="513E548D" w14:textId="77777777" w:rsidR="00C32ACA" w:rsidRPr="00BA63D9" w:rsidRDefault="00C32ACA" w:rsidP="00C32ACA">
            <w:pPr>
              <w:spacing w:after="0" w:line="240" w:lineRule="auto"/>
              <w:jc w:val="right"/>
              <w:rPr>
                <w:color w:val="FF0000"/>
                <w:sz w:val="20"/>
                <w:szCs w:val="20"/>
                <w:lang w:eastAsia="sk-SK"/>
              </w:rPr>
            </w:pPr>
            <w:r w:rsidRPr="008F2236">
              <w:rPr>
                <w:color w:val="000000" w:themeColor="text1"/>
                <w:sz w:val="20"/>
                <w:szCs w:val="20"/>
                <w:lang w:eastAsia="sk-SK"/>
              </w:rPr>
              <w:t>0,00</w:t>
            </w:r>
          </w:p>
        </w:tc>
        <w:tc>
          <w:tcPr>
            <w:tcW w:w="776" w:type="pct"/>
            <w:shd w:val="clear" w:color="auto" w:fill="EFEFEF"/>
            <w:noWrap/>
            <w:vAlign w:val="center"/>
            <w:hideMark/>
          </w:tcPr>
          <w:p w14:paraId="5F3E8C3F" w14:textId="77777777" w:rsidR="00C32ACA" w:rsidRPr="00BA63D9" w:rsidRDefault="00C32ACA" w:rsidP="00C32ACA">
            <w:pPr>
              <w:spacing w:after="0" w:line="240" w:lineRule="auto"/>
              <w:jc w:val="right"/>
              <w:rPr>
                <w:color w:val="FF0000"/>
                <w:sz w:val="20"/>
                <w:szCs w:val="20"/>
                <w:lang w:eastAsia="sk-SK"/>
              </w:rPr>
            </w:pPr>
            <w:r w:rsidRPr="008F2236">
              <w:rPr>
                <w:color w:val="000000" w:themeColor="text1"/>
                <w:sz w:val="20"/>
                <w:szCs w:val="20"/>
                <w:lang w:eastAsia="sk-SK"/>
              </w:rPr>
              <w:t>91 755,80</w:t>
            </w:r>
          </w:p>
        </w:tc>
        <w:tc>
          <w:tcPr>
            <w:tcW w:w="570" w:type="pct"/>
            <w:shd w:val="clear" w:color="auto" w:fill="EFEFEF"/>
            <w:noWrap/>
            <w:vAlign w:val="center"/>
            <w:hideMark/>
          </w:tcPr>
          <w:p w14:paraId="7D9743B8" w14:textId="77777777" w:rsidR="00C32ACA" w:rsidRPr="00BA63D9" w:rsidRDefault="00C32ACA" w:rsidP="00C32ACA">
            <w:pPr>
              <w:spacing w:after="0" w:line="240" w:lineRule="auto"/>
              <w:jc w:val="right"/>
              <w:rPr>
                <w:color w:val="FF0000"/>
                <w:sz w:val="20"/>
                <w:szCs w:val="20"/>
                <w:lang w:eastAsia="sk-SK"/>
              </w:rPr>
            </w:pPr>
            <w:r w:rsidRPr="008F2236">
              <w:rPr>
                <w:color w:val="000000" w:themeColor="text1"/>
                <w:sz w:val="20"/>
                <w:szCs w:val="20"/>
                <w:lang w:eastAsia="sk-SK"/>
              </w:rPr>
              <w:t>91 755,80</w:t>
            </w:r>
          </w:p>
        </w:tc>
        <w:tc>
          <w:tcPr>
            <w:tcW w:w="475" w:type="pct"/>
            <w:shd w:val="clear" w:color="auto" w:fill="EFEFEF"/>
            <w:noWrap/>
            <w:vAlign w:val="center"/>
            <w:hideMark/>
          </w:tcPr>
          <w:p w14:paraId="2F0DED32" w14:textId="77777777" w:rsidR="00C32ACA" w:rsidRPr="00BA63D9" w:rsidRDefault="00C32ACA" w:rsidP="00C32ACA">
            <w:pPr>
              <w:spacing w:after="0" w:line="240" w:lineRule="auto"/>
              <w:jc w:val="right"/>
              <w:rPr>
                <w:color w:val="FF0000"/>
                <w:sz w:val="20"/>
                <w:szCs w:val="20"/>
                <w:lang w:eastAsia="sk-SK"/>
              </w:rPr>
            </w:pPr>
            <w:r w:rsidRPr="00BD0EA0">
              <w:rPr>
                <w:color w:val="000000" w:themeColor="text1"/>
                <w:sz w:val="20"/>
                <w:szCs w:val="20"/>
                <w:lang w:eastAsia="sk-SK"/>
              </w:rPr>
              <w:t>100,00</w:t>
            </w:r>
          </w:p>
        </w:tc>
        <w:tc>
          <w:tcPr>
            <w:tcW w:w="1195" w:type="pct"/>
            <w:vMerge/>
            <w:shd w:val="clear" w:color="auto" w:fill="EFEFEF"/>
            <w:vAlign w:val="center"/>
            <w:hideMark/>
          </w:tcPr>
          <w:p w14:paraId="44515AAD" w14:textId="77777777" w:rsidR="00C32ACA" w:rsidRPr="008F59BB" w:rsidRDefault="00C32ACA" w:rsidP="00C32ACA">
            <w:pPr>
              <w:spacing w:after="0" w:line="240" w:lineRule="auto"/>
              <w:rPr>
                <w:color w:val="FF0000"/>
                <w:sz w:val="20"/>
                <w:szCs w:val="20"/>
                <w:lang w:eastAsia="sk-SK"/>
              </w:rPr>
            </w:pPr>
          </w:p>
        </w:tc>
      </w:tr>
      <w:tr w:rsidR="00C32ACA" w:rsidRPr="00F16DBE" w14:paraId="050F005A" w14:textId="77777777" w:rsidTr="00C32ACA">
        <w:trPr>
          <w:tblCellSpacing w:w="15" w:type="dxa"/>
        </w:trPr>
        <w:tc>
          <w:tcPr>
            <w:tcW w:w="0" w:type="auto"/>
            <w:shd w:val="clear" w:color="auto" w:fill="EFEFEF"/>
            <w:noWrap/>
            <w:vAlign w:val="center"/>
            <w:hideMark/>
          </w:tcPr>
          <w:p w14:paraId="10FBC03F"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630 </w:t>
            </w:r>
          </w:p>
        </w:tc>
        <w:tc>
          <w:tcPr>
            <w:tcW w:w="0" w:type="auto"/>
            <w:shd w:val="clear" w:color="auto" w:fill="EFEFEF"/>
            <w:vAlign w:val="center"/>
            <w:hideMark/>
          </w:tcPr>
          <w:p w14:paraId="250ADC33"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Tovary a služby </w:t>
            </w:r>
          </w:p>
        </w:tc>
        <w:tc>
          <w:tcPr>
            <w:tcW w:w="0" w:type="auto"/>
            <w:shd w:val="clear" w:color="auto" w:fill="EFEFEF"/>
            <w:noWrap/>
            <w:vAlign w:val="center"/>
            <w:hideMark/>
          </w:tcPr>
          <w:p w14:paraId="2CAE5136" w14:textId="77777777" w:rsidR="00C32ACA" w:rsidRPr="00BA63D9" w:rsidRDefault="00C32ACA" w:rsidP="00C32ACA">
            <w:pPr>
              <w:spacing w:after="0" w:line="240" w:lineRule="auto"/>
              <w:jc w:val="right"/>
              <w:rPr>
                <w:color w:val="FF0000"/>
                <w:sz w:val="20"/>
                <w:szCs w:val="20"/>
                <w:lang w:eastAsia="sk-SK"/>
              </w:rPr>
            </w:pPr>
            <w:r w:rsidRPr="00016EC9">
              <w:rPr>
                <w:color w:val="000000" w:themeColor="text1"/>
                <w:sz w:val="20"/>
                <w:szCs w:val="20"/>
                <w:lang w:eastAsia="sk-SK"/>
              </w:rPr>
              <w:t>817 778,57</w:t>
            </w:r>
          </w:p>
        </w:tc>
        <w:tc>
          <w:tcPr>
            <w:tcW w:w="776" w:type="pct"/>
            <w:shd w:val="clear" w:color="auto" w:fill="EFEFEF"/>
            <w:noWrap/>
            <w:vAlign w:val="center"/>
            <w:hideMark/>
          </w:tcPr>
          <w:p w14:paraId="366E4D39" w14:textId="77777777" w:rsidR="00C32ACA" w:rsidRPr="00BA63D9" w:rsidRDefault="00C32ACA" w:rsidP="00C32ACA">
            <w:pPr>
              <w:spacing w:after="0" w:line="240" w:lineRule="auto"/>
              <w:jc w:val="right"/>
              <w:rPr>
                <w:color w:val="FF0000"/>
                <w:sz w:val="20"/>
                <w:szCs w:val="20"/>
                <w:lang w:eastAsia="sk-SK"/>
              </w:rPr>
            </w:pPr>
            <w:r w:rsidRPr="00411105">
              <w:rPr>
                <w:color w:val="000000" w:themeColor="text1"/>
                <w:sz w:val="20"/>
                <w:szCs w:val="20"/>
                <w:lang w:eastAsia="sk-SK"/>
              </w:rPr>
              <w:t>854 178,24</w:t>
            </w:r>
          </w:p>
        </w:tc>
        <w:tc>
          <w:tcPr>
            <w:tcW w:w="570" w:type="pct"/>
            <w:shd w:val="clear" w:color="auto" w:fill="EFEFEF"/>
            <w:noWrap/>
            <w:vAlign w:val="center"/>
            <w:hideMark/>
          </w:tcPr>
          <w:p w14:paraId="40955DEC" w14:textId="77777777" w:rsidR="00C32ACA" w:rsidRPr="00BA63D9" w:rsidRDefault="00C32ACA" w:rsidP="00C32ACA">
            <w:pPr>
              <w:spacing w:after="0" w:line="240" w:lineRule="auto"/>
              <w:jc w:val="right"/>
              <w:rPr>
                <w:color w:val="FF0000"/>
                <w:sz w:val="20"/>
                <w:szCs w:val="20"/>
                <w:lang w:eastAsia="sk-SK"/>
              </w:rPr>
            </w:pPr>
            <w:r w:rsidRPr="005D5BEC">
              <w:rPr>
                <w:color w:val="000000" w:themeColor="text1"/>
                <w:sz w:val="20"/>
                <w:szCs w:val="20"/>
                <w:lang w:eastAsia="sk-SK"/>
              </w:rPr>
              <w:t>173 279,64</w:t>
            </w:r>
          </w:p>
        </w:tc>
        <w:tc>
          <w:tcPr>
            <w:tcW w:w="475" w:type="pct"/>
            <w:shd w:val="clear" w:color="auto" w:fill="EFEFEF"/>
            <w:noWrap/>
            <w:vAlign w:val="center"/>
            <w:hideMark/>
          </w:tcPr>
          <w:p w14:paraId="3D40F4E3" w14:textId="77777777" w:rsidR="00C32ACA" w:rsidRPr="00BA63D9" w:rsidRDefault="00C32ACA" w:rsidP="00C32ACA">
            <w:pPr>
              <w:spacing w:after="0" w:line="240" w:lineRule="auto"/>
              <w:jc w:val="right"/>
              <w:rPr>
                <w:color w:val="FF0000"/>
                <w:sz w:val="20"/>
                <w:szCs w:val="20"/>
                <w:lang w:eastAsia="sk-SK"/>
              </w:rPr>
            </w:pPr>
            <w:r w:rsidRPr="00EB1691">
              <w:rPr>
                <w:color w:val="000000" w:themeColor="text1"/>
                <w:sz w:val="20"/>
                <w:szCs w:val="20"/>
                <w:lang w:eastAsia="sk-SK"/>
              </w:rPr>
              <w:t>20,29</w:t>
            </w:r>
          </w:p>
        </w:tc>
        <w:tc>
          <w:tcPr>
            <w:tcW w:w="1195" w:type="pct"/>
            <w:vMerge/>
            <w:shd w:val="clear" w:color="auto" w:fill="EFEFEF"/>
            <w:vAlign w:val="center"/>
            <w:hideMark/>
          </w:tcPr>
          <w:p w14:paraId="7FFF6D3F" w14:textId="77777777" w:rsidR="00C32ACA" w:rsidRPr="008F59BB" w:rsidRDefault="00C32ACA" w:rsidP="00C32ACA">
            <w:pPr>
              <w:spacing w:after="0" w:line="240" w:lineRule="auto"/>
              <w:rPr>
                <w:color w:val="FF0000"/>
                <w:sz w:val="20"/>
                <w:szCs w:val="20"/>
                <w:lang w:eastAsia="sk-SK"/>
              </w:rPr>
            </w:pPr>
          </w:p>
        </w:tc>
      </w:tr>
      <w:tr w:rsidR="00C32ACA" w:rsidRPr="00F16DBE" w14:paraId="03E58019" w14:textId="77777777" w:rsidTr="00C32ACA">
        <w:trPr>
          <w:tblCellSpacing w:w="15" w:type="dxa"/>
        </w:trPr>
        <w:tc>
          <w:tcPr>
            <w:tcW w:w="0" w:type="auto"/>
            <w:shd w:val="clear" w:color="auto" w:fill="EFEFEF"/>
            <w:noWrap/>
            <w:vAlign w:val="center"/>
            <w:hideMark/>
          </w:tcPr>
          <w:p w14:paraId="2B8D36EB"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640 </w:t>
            </w:r>
          </w:p>
        </w:tc>
        <w:tc>
          <w:tcPr>
            <w:tcW w:w="0" w:type="auto"/>
            <w:shd w:val="clear" w:color="auto" w:fill="EFEFEF"/>
            <w:vAlign w:val="center"/>
            <w:hideMark/>
          </w:tcPr>
          <w:p w14:paraId="63808E04"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Bežné transfery </w:t>
            </w:r>
          </w:p>
        </w:tc>
        <w:tc>
          <w:tcPr>
            <w:tcW w:w="0" w:type="auto"/>
            <w:shd w:val="clear" w:color="auto" w:fill="EFEFEF"/>
            <w:noWrap/>
            <w:vAlign w:val="center"/>
            <w:hideMark/>
          </w:tcPr>
          <w:p w14:paraId="55D51594" w14:textId="77777777" w:rsidR="00C32ACA" w:rsidRPr="00BA63D9" w:rsidRDefault="00C32ACA" w:rsidP="00C32ACA">
            <w:pPr>
              <w:spacing w:after="0" w:line="240" w:lineRule="auto"/>
              <w:jc w:val="right"/>
              <w:rPr>
                <w:color w:val="FF0000"/>
                <w:sz w:val="20"/>
                <w:szCs w:val="20"/>
                <w:lang w:eastAsia="sk-SK"/>
              </w:rPr>
            </w:pPr>
            <w:r w:rsidRPr="00E86D1D">
              <w:rPr>
                <w:color w:val="000000" w:themeColor="text1"/>
                <w:sz w:val="20"/>
                <w:szCs w:val="20"/>
                <w:lang w:eastAsia="sk-SK"/>
              </w:rPr>
              <w:t>2 210 794,67</w:t>
            </w:r>
          </w:p>
        </w:tc>
        <w:tc>
          <w:tcPr>
            <w:tcW w:w="776" w:type="pct"/>
            <w:shd w:val="clear" w:color="auto" w:fill="EFEFEF"/>
            <w:noWrap/>
            <w:vAlign w:val="center"/>
            <w:hideMark/>
          </w:tcPr>
          <w:p w14:paraId="6AA9BEB5" w14:textId="77777777" w:rsidR="00C32ACA" w:rsidRPr="00BA63D9" w:rsidRDefault="00C32ACA" w:rsidP="00C32ACA">
            <w:pPr>
              <w:spacing w:after="0" w:line="240" w:lineRule="auto"/>
              <w:jc w:val="right"/>
              <w:rPr>
                <w:color w:val="FF0000"/>
                <w:sz w:val="20"/>
                <w:szCs w:val="20"/>
                <w:lang w:eastAsia="sk-SK"/>
              </w:rPr>
            </w:pPr>
            <w:r w:rsidRPr="00281454">
              <w:rPr>
                <w:color w:val="000000" w:themeColor="text1"/>
                <w:sz w:val="20"/>
                <w:szCs w:val="20"/>
                <w:lang w:eastAsia="sk-SK"/>
              </w:rPr>
              <w:t>2 180 257,00</w:t>
            </w:r>
          </w:p>
        </w:tc>
        <w:tc>
          <w:tcPr>
            <w:tcW w:w="570" w:type="pct"/>
            <w:shd w:val="clear" w:color="auto" w:fill="EFEFEF"/>
            <w:noWrap/>
            <w:vAlign w:val="center"/>
            <w:hideMark/>
          </w:tcPr>
          <w:p w14:paraId="0D060DD5" w14:textId="77777777" w:rsidR="00C32ACA" w:rsidRPr="00BA63D9" w:rsidRDefault="00C32ACA" w:rsidP="00C32ACA">
            <w:pPr>
              <w:spacing w:after="0" w:line="240" w:lineRule="auto"/>
              <w:jc w:val="right"/>
              <w:rPr>
                <w:color w:val="FF0000"/>
                <w:sz w:val="20"/>
                <w:szCs w:val="20"/>
                <w:lang w:eastAsia="sk-SK"/>
              </w:rPr>
            </w:pPr>
            <w:r w:rsidRPr="00281454">
              <w:rPr>
                <w:color w:val="000000" w:themeColor="text1"/>
                <w:sz w:val="20"/>
                <w:szCs w:val="20"/>
                <w:lang w:eastAsia="sk-SK"/>
              </w:rPr>
              <w:t>856 143,45</w:t>
            </w:r>
          </w:p>
        </w:tc>
        <w:tc>
          <w:tcPr>
            <w:tcW w:w="475" w:type="pct"/>
            <w:shd w:val="clear" w:color="auto" w:fill="EFEFEF"/>
            <w:noWrap/>
            <w:vAlign w:val="center"/>
            <w:hideMark/>
          </w:tcPr>
          <w:p w14:paraId="3C4D6352" w14:textId="77777777" w:rsidR="00C32ACA" w:rsidRPr="00BA63D9" w:rsidRDefault="00C32ACA" w:rsidP="00C32ACA">
            <w:pPr>
              <w:spacing w:after="0" w:line="240" w:lineRule="auto"/>
              <w:jc w:val="right"/>
              <w:rPr>
                <w:color w:val="FF0000"/>
                <w:sz w:val="20"/>
                <w:szCs w:val="20"/>
                <w:lang w:eastAsia="sk-SK"/>
              </w:rPr>
            </w:pPr>
            <w:r w:rsidRPr="0041279E">
              <w:rPr>
                <w:color w:val="000000" w:themeColor="text1"/>
                <w:sz w:val="20"/>
                <w:szCs w:val="20"/>
                <w:lang w:eastAsia="sk-SK"/>
              </w:rPr>
              <w:t>39,27</w:t>
            </w:r>
          </w:p>
        </w:tc>
        <w:tc>
          <w:tcPr>
            <w:tcW w:w="1195" w:type="pct"/>
            <w:vMerge/>
            <w:shd w:val="clear" w:color="auto" w:fill="EFEFEF"/>
            <w:vAlign w:val="center"/>
            <w:hideMark/>
          </w:tcPr>
          <w:p w14:paraId="7FE80A71" w14:textId="77777777" w:rsidR="00C32ACA" w:rsidRPr="008F59BB" w:rsidRDefault="00C32ACA" w:rsidP="00C32ACA">
            <w:pPr>
              <w:spacing w:after="0" w:line="240" w:lineRule="auto"/>
              <w:rPr>
                <w:color w:val="FF0000"/>
                <w:sz w:val="20"/>
                <w:szCs w:val="20"/>
                <w:lang w:eastAsia="sk-SK"/>
              </w:rPr>
            </w:pPr>
          </w:p>
        </w:tc>
      </w:tr>
      <w:tr w:rsidR="00C32ACA" w:rsidRPr="00F16DBE" w14:paraId="3D98C072" w14:textId="77777777" w:rsidTr="00C32ACA">
        <w:trPr>
          <w:tblCellSpacing w:w="15" w:type="dxa"/>
        </w:trPr>
        <w:tc>
          <w:tcPr>
            <w:tcW w:w="0" w:type="auto"/>
            <w:shd w:val="clear" w:color="auto" w:fill="D9D9D9"/>
            <w:noWrap/>
            <w:vAlign w:val="center"/>
            <w:hideMark/>
          </w:tcPr>
          <w:p w14:paraId="166FFA0E" w14:textId="77777777" w:rsidR="00C32ACA" w:rsidRPr="00F16DBE" w:rsidRDefault="00C32ACA" w:rsidP="00C32ACA">
            <w:pPr>
              <w:spacing w:after="0" w:line="240" w:lineRule="auto"/>
              <w:rPr>
                <w:sz w:val="20"/>
                <w:szCs w:val="20"/>
                <w:lang w:eastAsia="sk-SK"/>
              </w:rPr>
            </w:pPr>
            <w:r w:rsidRPr="00F16DBE">
              <w:rPr>
                <w:b/>
                <w:bCs/>
                <w:sz w:val="20"/>
                <w:szCs w:val="20"/>
                <w:lang w:eastAsia="sk-SK"/>
              </w:rPr>
              <w:t>700</w:t>
            </w:r>
            <w:r w:rsidRPr="00F16DBE">
              <w:rPr>
                <w:sz w:val="20"/>
                <w:szCs w:val="20"/>
                <w:lang w:eastAsia="sk-SK"/>
              </w:rPr>
              <w:t xml:space="preserve"> </w:t>
            </w:r>
          </w:p>
        </w:tc>
        <w:tc>
          <w:tcPr>
            <w:tcW w:w="0" w:type="auto"/>
            <w:shd w:val="clear" w:color="auto" w:fill="D9D9D9"/>
            <w:vAlign w:val="center"/>
            <w:hideMark/>
          </w:tcPr>
          <w:p w14:paraId="60D89CB0" w14:textId="77777777" w:rsidR="00C32ACA" w:rsidRPr="00F16DBE" w:rsidRDefault="00C32ACA" w:rsidP="00C32ACA">
            <w:pPr>
              <w:spacing w:after="0" w:line="240" w:lineRule="auto"/>
              <w:rPr>
                <w:b/>
                <w:bCs/>
                <w:sz w:val="20"/>
                <w:szCs w:val="20"/>
                <w:lang w:eastAsia="sk-SK"/>
              </w:rPr>
            </w:pPr>
            <w:r w:rsidRPr="00F16DBE">
              <w:rPr>
                <w:b/>
                <w:bCs/>
                <w:sz w:val="20"/>
                <w:szCs w:val="20"/>
                <w:lang w:eastAsia="sk-SK"/>
              </w:rPr>
              <w:t xml:space="preserve">Kapitálové výdavky </w:t>
            </w:r>
          </w:p>
        </w:tc>
        <w:tc>
          <w:tcPr>
            <w:tcW w:w="0" w:type="auto"/>
            <w:shd w:val="clear" w:color="auto" w:fill="D9D9D9"/>
            <w:noWrap/>
            <w:vAlign w:val="center"/>
            <w:hideMark/>
          </w:tcPr>
          <w:p w14:paraId="70FFEF37" w14:textId="77777777" w:rsidR="00C32ACA" w:rsidRPr="00BA63D9" w:rsidRDefault="00C32ACA" w:rsidP="00C32ACA">
            <w:pPr>
              <w:spacing w:after="0" w:line="240" w:lineRule="auto"/>
              <w:jc w:val="right"/>
              <w:rPr>
                <w:b/>
                <w:bCs/>
                <w:color w:val="FF0000"/>
                <w:sz w:val="20"/>
                <w:szCs w:val="20"/>
                <w:lang w:eastAsia="sk-SK"/>
              </w:rPr>
            </w:pPr>
            <w:r w:rsidRPr="00216928">
              <w:rPr>
                <w:b/>
                <w:bCs/>
                <w:color w:val="000000" w:themeColor="text1"/>
                <w:sz w:val="20"/>
                <w:szCs w:val="20"/>
                <w:lang w:eastAsia="sk-SK"/>
              </w:rPr>
              <w:t>13 942 645,38</w:t>
            </w:r>
          </w:p>
        </w:tc>
        <w:tc>
          <w:tcPr>
            <w:tcW w:w="776" w:type="pct"/>
            <w:shd w:val="clear" w:color="auto" w:fill="D9D9D9"/>
            <w:noWrap/>
            <w:vAlign w:val="center"/>
            <w:hideMark/>
          </w:tcPr>
          <w:p w14:paraId="258904AC" w14:textId="77777777" w:rsidR="00C32ACA" w:rsidRPr="00BA63D9" w:rsidRDefault="00C32ACA" w:rsidP="00C32ACA">
            <w:pPr>
              <w:spacing w:after="0" w:line="240" w:lineRule="auto"/>
              <w:jc w:val="right"/>
              <w:rPr>
                <w:b/>
                <w:bCs/>
                <w:color w:val="FF0000"/>
                <w:sz w:val="20"/>
                <w:szCs w:val="20"/>
                <w:lang w:eastAsia="sk-SK"/>
              </w:rPr>
            </w:pPr>
            <w:r w:rsidRPr="00216928">
              <w:rPr>
                <w:b/>
                <w:bCs/>
                <w:color w:val="000000" w:themeColor="text1"/>
                <w:sz w:val="20"/>
                <w:szCs w:val="20"/>
                <w:lang w:eastAsia="sk-SK"/>
              </w:rPr>
              <w:t>12 379 723,57</w:t>
            </w:r>
          </w:p>
        </w:tc>
        <w:tc>
          <w:tcPr>
            <w:tcW w:w="570" w:type="pct"/>
            <w:shd w:val="clear" w:color="auto" w:fill="D9D9D9"/>
            <w:noWrap/>
            <w:vAlign w:val="center"/>
            <w:hideMark/>
          </w:tcPr>
          <w:p w14:paraId="1484FF59" w14:textId="77777777" w:rsidR="00C32ACA" w:rsidRPr="00BA63D9" w:rsidRDefault="00C32ACA" w:rsidP="00C32ACA">
            <w:pPr>
              <w:spacing w:after="0" w:line="240" w:lineRule="auto"/>
              <w:jc w:val="right"/>
              <w:rPr>
                <w:b/>
                <w:bCs/>
                <w:color w:val="FF0000"/>
                <w:sz w:val="20"/>
                <w:szCs w:val="20"/>
                <w:lang w:eastAsia="sk-SK"/>
              </w:rPr>
            </w:pPr>
            <w:r w:rsidRPr="00EC6FB8">
              <w:rPr>
                <w:b/>
                <w:bCs/>
                <w:color w:val="000000" w:themeColor="text1"/>
                <w:sz w:val="20"/>
                <w:szCs w:val="20"/>
                <w:lang w:eastAsia="sk-SK"/>
              </w:rPr>
              <w:t>3 273 253,70</w:t>
            </w:r>
          </w:p>
        </w:tc>
        <w:tc>
          <w:tcPr>
            <w:tcW w:w="475" w:type="pct"/>
            <w:shd w:val="clear" w:color="auto" w:fill="D9D9D9"/>
            <w:noWrap/>
            <w:vAlign w:val="center"/>
            <w:hideMark/>
          </w:tcPr>
          <w:p w14:paraId="4D44AA09" w14:textId="77777777" w:rsidR="00C32ACA" w:rsidRPr="00BA63D9" w:rsidRDefault="00C32ACA" w:rsidP="00C32ACA">
            <w:pPr>
              <w:spacing w:after="0" w:line="240" w:lineRule="auto"/>
              <w:jc w:val="right"/>
              <w:rPr>
                <w:b/>
                <w:bCs/>
                <w:color w:val="FF0000"/>
                <w:sz w:val="20"/>
                <w:szCs w:val="20"/>
                <w:lang w:eastAsia="sk-SK"/>
              </w:rPr>
            </w:pPr>
            <w:r w:rsidRPr="00A03443">
              <w:rPr>
                <w:b/>
                <w:bCs/>
                <w:color w:val="000000" w:themeColor="text1"/>
                <w:sz w:val="20"/>
                <w:szCs w:val="20"/>
                <w:lang w:eastAsia="sk-SK"/>
              </w:rPr>
              <w:t>26,44</w:t>
            </w:r>
          </w:p>
        </w:tc>
        <w:tc>
          <w:tcPr>
            <w:tcW w:w="1195" w:type="pct"/>
            <w:vMerge/>
            <w:shd w:val="clear" w:color="auto" w:fill="D9D9D9"/>
            <w:vAlign w:val="center"/>
            <w:hideMark/>
          </w:tcPr>
          <w:p w14:paraId="5E3BF7A8" w14:textId="77777777" w:rsidR="00C32ACA" w:rsidRPr="008F59BB" w:rsidRDefault="00C32ACA" w:rsidP="00C32ACA">
            <w:pPr>
              <w:spacing w:after="0" w:line="240" w:lineRule="auto"/>
              <w:rPr>
                <w:color w:val="FF0000"/>
                <w:sz w:val="20"/>
                <w:szCs w:val="20"/>
                <w:lang w:eastAsia="sk-SK"/>
              </w:rPr>
            </w:pPr>
          </w:p>
        </w:tc>
      </w:tr>
      <w:tr w:rsidR="00C32ACA" w:rsidRPr="00F16DBE" w14:paraId="15993568" w14:textId="77777777" w:rsidTr="00C32ACA">
        <w:trPr>
          <w:tblCellSpacing w:w="15" w:type="dxa"/>
        </w:trPr>
        <w:tc>
          <w:tcPr>
            <w:tcW w:w="0" w:type="auto"/>
            <w:shd w:val="clear" w:color="auto" w:fill="EFEFEF"/>
            <w:noWrap/>
            <w:vAlign w:val="center"/>
            <w:hideMark/>
          </w:tcPr>
          <w:p w14:paraId="281BBC24"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710 </w:t>
            </w:r>
          </w:p>
        </w:tc>
        <w:tc>
          <w:tcPr>
            <w:tcW w:w="0" w:type="auto"/>
            <w:shd w:val="clear" w:color="auto" w:fill="EFEFEF"/>
            <w:vAlign w:val="center"/>
            <w:hideMark/>
          </w:tcPr>
          <w:p w14:paraId="4B0D8C0A" w14:textId="77777777" w:rsidR="00C32ACA" w:rsidRPr="00F16DBE" w:rsidRDefault="00C32ACA" w:rsidP="00C32ACA">
            <w:pPr>
              <w:spacing w:after="0" w:line="240" w:lineRule="auto"/>
              <w:rPr>
                <w:sz w:val="20"/>
                <w:szCs w:val="20"/>
                <w:lang w:eastAsia="sk-SK"/>
              </w:rPr>
            </w:pPr>
            <w:proofErr w:type="spellStart"/>
            <w:r w:rsidRPr="00F16DBE">
              <w:rPr>
                <w:sz w:val="20"/>
                <w:szCs w:val="20"/>
                <w:lang w:eastAsia="sk-SK"/>
              </w:rPr>
              <w:t>Obst</w:t>
            </w:r>
            <w:proofErr w:type="spellEnd"/>
            <w:r w:rsidRPr="00F16DBE">
              <w:rPr>
                <w:sz w:val="20"/>
                <w:szCs w:val="20"/>
                <w:lang w:eastAsia="sk-SK"/>
              </w:rPr>
              <w:t xml:space="preserve">. </w:t>
            </w:r>
            <w:proofErr w:type="spellStart"/>
            <w:r w:rsidRPr="00F16DBE">
              <w:rPr>
                <w:sz w:val="20"/>
                <w:szCs w:val="20"/>
                <w:lang w:eastAsia="sk-SK"/>
              </w:rPr>
              <w:t>kapit</w:t>
            </w:r>
            <w:proofErr w:type="spellEnd"/>
            <w:r w:rsidRPr="00F16DBE">
              <w:rPr>
                <w:sz w:val="20"/>
                <w:szCs w:val="20"/>
                <w:lang w:eastAsia="sk-SK"/>
              </w:rPr>
              <w:t xml:space="preserve">. aktív </w:t>
            </w:r>
          </w:p>
        </w:tc>
        <w:tc>
          <w:tcPr>
            <w:tcW w:w="0" w:type="auto"/>
            <w:shd w:val="clear" w:color="auto" w:fill="EFEFEF"/>
            <w:noWrap/>
            <w:vAlign w:val="center"/>
            <w:hideMark/>
          </w:tcPr>
          <w:p w14:paraId="61C2491A" w14:textId="77777777" w:rsidR="00C32ACA" w:rsidRPr="00BA63D9" w:rsidRDefault="00C32ACA" w:rsidP="00C32ACA">
            <w:pPr>
              <w:spacing w:after="0" w:line="240" w:lineRule="auto"/>
              <w:jc w:val="right"/>
              <w:rPr>
                <w:color w:val="FF0000"/>
                <w:sz w:val="20"/>
                <w:szCs w:val="20"/>
                <w:lang w:eastAsia="sk-SK"/>
              </w:rPr>
            </w:pPr>
            <w:r w:rsidRPr="00733D84">
              <w:rPr>
                <w:color w:val="000000" w:themeColor="text1"/>
                <w:sz w:val="20"/>
                <w:szCs w:val="20"/>
                <w:lang w:eastAsia="sk-SK"/>
              </w:rPr>
              <w:t>12 151 284,80</w:t>
            </w:r>
          </w:p>
        </w:tc>
        <w:tc>
          <w:tcPr>
            <w:tcW w:w="776" w:type="pct"/>
            <w:shd w:val="clear" w:color="auto" w:fill="EFEFEF"/>
            <w:noWrap/>
            <w:vAlign w:val="center"/>
            <w:hideMark/>
          </w:tcPr>
          <w:p w14:paraId="757B52BE" w14:textId="77777777" w:rsidR="00C32ACA" w:rsidRPr="00BA63D9" w:rsidRDefault="00C32ACA" w:rsidP="00C32ACA">
            <w:pPr>
              <w:spacing w:after="0" w:line="240" w:lineRule="auto"/>
              <w:jc w:val="right"/>
              <w:rPr>
                <w:color w:val="FF0000"/>
                <w:sz w:val="20"/>
                <w:szCs w:val="20"/>
                <w:lang w:eastAsia="sk-SK"/>
              </w:rPr>
            </w:pPr>
            <w:r w:rsidRPr="00733D84">
              <w:rPr>
                <w:color w:val="000000" w:themeColor="text1"/>
                <w:sz w:val="20"/>
                <w:szCs w:val="20"/>
                <w:lang w:eastAsia="sk-SK"/>
              </w:rPr>
              <w:t>10 542 978,98</w:t>
            </w:r>
          </w:p>
        </w:tc>
        <w:tc>
          <w:tcPr>
            <w:tcW w:w="570" w:type="pct"/>
            <w:shd w:val="clear" w:color="auto" w:fill="EFEFEF"/>
            <w:noWrap/>
            <w:vAlign w:val="center"/>
            <w:hideMark/>
          </w:tcPr>
          <w:p w14:paraId="17223D3C" w14:textId="77777777" w:rsidR="00C32ACA" w:rsidRPr="00BA63D9" w:rsidRDefault="00C32ACA" w:rsidP="00C32ACA">
            <w:pPr>
              <w:spacing w:after="0" w:line="240" w:lineRule="auto"/>
              <w:jc w:val="right"/>
              <w:rPr>
                <w:color w:val="FF0000"/>
                <w:sz w:val="20"/>
                <w:szCs w:val="20"/>
                <w:lang w:eastAsia="sk-SK"/>
              </w:rPr>
            </w:pPr>
            <w:r w:rsidRPr="002F18DF">
              <w:rPr>
                <w:color w:val="000000" w:themeColor="text1"/>
                <w:sz w:val="20"/>
                <w:szCs w:val="20"/>
                <w:lang w:eastAsia="sk-SK"/>
              </w:rPr>
              <w:t>2 073 850,54</w:t>
            </w:r>
          </w:p>
        </w:tc>
        <w:tc>
          <w:tcPr>
            <w:tcW w:w="475" w:type="pct"/>
            <w:shd w:val="clear" w:color="auto" w:fill="EFEFEF"/>
            <w:noWrap/>
            <w:vAlign w:val="center"/>
            <w:hideMark/>
          </w:tcPr>
          <w:p w14:paraId="1793E42A" w14:textId="77777777" w:rsidR="00C32ACA" w:rsidRPr="00BA63D9" w:rsidRDefault="00C32ACA" w:rsidP="00C32ACA">
            <w:pPr>
              <w:spacing w:after="0" w:line="240" w:lineRule="auto"/>
              <w:jc w:val="right"/>
              <w:rPr>
                <w:color w:val="FF0000"/>
                <w:sz w:val="20"/>
                <w:szCs w:val="20"/>
                <w:lang w:eastAsia="sk-SK"/>
              </w:rPr>
            </w:pPr>
            <w:r w:rsidRPr="00B210CA">
              <w:rPr>
                <w:color w:val="000000" w:themeColor="text1"/>
                <w:sz w:val="20"/>
                <w:szCs w:val="20"/>
                <w:lang w:eastAsia="sk-SK"/>
              </w:rPr>
              <w:t>19,67</w:t>
            </w:r>
          </w:p>
        </w:tc>
        <w:tc>
          <w:tcPr>
            <w:tcW w:w="1195" w:type="pct"/>
            <w:vMerge/>
            <w:shd w:val="clear" w:color="auto" w:fill="EFEFEF"/>
            <w:vAlign w:val="center"/>
            <w:hideMark/>
          </w:tcPr>
          <w:p w14:paraId="1FA4F008" w14:textId="77777777" w:rsidR="00C32ACA" w:rsidRPr="008F59BB" w:rsidRDefault="00C32ACA" w:rsidP="00C32ACA">
            <w:pPr>
              <w:spacing w:after="0" w:line="240" w:lineRule="auto"/>
              <w:rPr>
                <w:color w:val="FF0000"/>
                <w:sz w:val="20"/>
                <w:szCs w:val="20"/>
                <w:lang w:eastAsia="sk-SK"/>
              </w:rPr>
            </w:pPr>
          </w:p>
        </w:tc>
      </w:tr>
      <w:tr w:rsidR="00C32ACA" w:rsidRPr="00F16DBE" w14:paraId="3A85084E" w14:textId="77777777" w:rsidTr="00C32ACA">
        <w:trPr>
          <w:tblCellSpacing w:w="15" w:type="dxa"/>
        </w:trPr>
        <w:tc>
          <w:tcPr>
            <w:tcW w:w="0" w:type="auto"/>
            <w:shd w:val="clear" w:color="auto" w:fill="EFEFEF"/>
            <w:noWrap/>
            <w:vAlign w:val="center"/>
            <w:hideMark/>
          </w:tcPr>
          <w:p w14:paraId="31A289BC"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720 </w:t>
            </w:r>
          </w:p>
        </w:tc>
        <w:tc>
          <w:tcPr>
            <w:tcW w:w="0" w:type="auto"/>
            <w:shd w:val="clear" w:color="auto" w:fill="EFEFEF"/>
            <w:vAlign w:val="center"/>
            <w:hideMark/>
          </w:tcPr>
          <w:p w14:paraId="438AB88E" w14:textId="77777777" w:rsidR="00C32ACA" w:rsidRPr="00F16DBE" w:rsidRDefault="00C32ACA" w:rsidP="00C32ACA">
            <w:pPr>
              <w:spacing w:after="0" w:line="240" w:lineRule="auto"/>
              <w:rPr>
                <w:sz w:val="20"/>
                <w:szCs w:val="20"/>
                <w:lang w:eastAsia="sk-SK"/>
              </w:rPr>
            </w:pPr>
            <w:r w:rsidRPr="00F16DBE">
              <w:rPr>
                <w:sz w:val="20"/>
                <w:szCs w:val="20"/>
                <w:lang w:eastAsia="sk-SK"/>
              </w:rPr>
              <w:t xml:space="preserve">Kapitálové transfery </w:t>
            </w:r>
          </w:p>
        </w:tc>
        <w:tc>
          <w:tcPr>
            <w:tcW w:w="0" w:type="auto"/>
            <w:shd w:val="clear" w:color="auto" w:fill="EFEFEF"/>
            <w:noWrap/>
            <w:vAlign w:val="center"/>
            <w:hideMark/>
          </w:tcPr>
          <w:p w14:paraId="3BD6EF76" w14:textId="77777777" w:rsidR="00C32ACA" w:rsidRPr="00BA63D9" w:rsidRDefault="00C32ACA" w:rsidP="00C32ACA">
            <w:pPr>
              <w:spacing w:after="0" w:line="240" w:lineRule="auto"/>
              <w:jc w:val="right"/>
              <w:rPr>
                <w:color w:val="FF0000"/>
                <w:sz w:val="20"/>
                <w:szCs w:val="20"/>
                <w:lang w:eastAsia="sk-SK"/>
              </w:rPr>
            </w:pPr>
            <w:r w:rsidRPr="00422884">
              <w:rPr>
                <w:color w:val="000000" w:themeColor="text1"/>
                <w:sz w:val="20"/>
                <w:szCs w:val="20"/>
                <w:lang w:eastAsia="sk-SK"/>
              </w:rPr>
              <w:t>1 791 360,58</w:t>
            </w:r>
          </w:p>
        </w:tc>
        <w:tc>
          <w:tcPr>
            <w:tcW w:w="776" w:type="pct"/>
            <w:shd w:val="clear" w:color="auto" w:fill="EFEFEF"/>
            <w:noWrap/>
            <w:vAlign w:val="center"/>
            <w:hideMark/>
          </w:tcPr>
          <w:p w14:paraId="3FAD4D78" w14:textId="77777777" w:rsidR="00C32ACA" w:rsidRPr="00BA63D9" w:rsidRDefault="00C32ACA" w:rsidP="00C32ACA">
            <w:pPr>
              <w:spacing w:after="0" w:line="240" w:lineRule="auto"/>
              <w:jc w:val="right"/>
              <w:rPr>
                <w:color w:val="FF0000"/>
                <w:sz w:val="20"/>
                <w:szCs w:val="20"/>
                <w:lang w:eastAsia="sk-SK"/>
              </w:rPr>
            </w:pPr>
            <w:r w:rsidRPr="00422884">
              <w:rPr>
                <w:color w:val="000000" w:themeColor="text1"/>
                <w:sz w:val="20"/>
                <w:szCs w:val="20"/>
                <w:lang w:eastAsia="sk-SK"/>
              </w:rPr>
              <w:t>1 836 744,59</w:t>
            </w:r>
          </w:p>
        </w:tc>
        <w:tc>
          <w:tcPr>
            <w:tcW w:w="570" w:type="pct"/>
            <w:shd w:val="clear" w:color="auto" w:fill="EFEFEF"/>
            <w:noWrap/>
            <w:vAlign w:val="center"/>
            <w:hideMark/>
          </w:tcPr>
          <w:p w14:paraId="7681D8FF" w14:textId="77777777" w:rsidR="00C32ACA" w:rsidRPr="00422884" w:rsidRDefault="00C32ACA" w:rsidP="00C32ACA">
            <w:pPr>
              <w:spacing w:after="0" w:line="240" w:lineRule="auto"/>
              <w:jc w:val="right"/>
              <w:rPr>
                <w:color w:val="000000" w:themeColor="text1"/>
                <w:sz w:val="20"/>
                <w:szCs w:val="20"/>
                <w:lang w:eastAsia="sk-SK"/>
              </w:rPr>
            </w:pPr>
            <w:r w:rsidRPr="00422884">
              <w:rPr>
                <w:color w:val="000000" w:themeColor="text1"/>
                <w:sz w:val="20"/>
                <w:szCs w:val="20"/>
                <w:lang w:eastAsia="sk-SK"/>
              </w:rPr>
              <w:t>1 199 403,16</w:t>
            </w:r>
          </w:p>
        </w:tc>
        <w:tc>
          <w:tcPr>
            <w:tcW w:w="475" w:type="pct"/>
            <w:shd w:val="clear" w:color="auto" w:fill="EFEFEF"/>
            <w:noWrap/>
            <w:vAlign w:val="center"/>
            <w:hideMark/>
          </w:tcPr>
          <w:p w14:paraId="6E6E97C2" w14:textId="77777777" w:rsidR="00C32ACA" w:rsidRPr="00BA63D9" w:rsidRDefault="00C32ACA" w:rsidP="00C32ACA">
            <w:pPr>
              <w:spacing w:after="0" w:line="240" w:lineRule="auto"/>
              <w:jc w:val="right"/>
              <w:rPr>
                <w:color w:val="FF0000"/>
                <w:sz w:val="20"/>
                <w:szCs w:val="20"/>
                <w:lang w:eastAsia="sk-SK"/>
              </w:rPr>
            </w:pPr>
            <w:r w:rsidRPr="0080219C">
              <w:rPr>
                <w:color w:val="000000" w:themeColor="text1"/>
                <w:sz w:val="20"/>
                <w:szCs w:val="20"/>
                <w:lang w:eastAsia="sk-SK"/>
              </w:rPr>
              <w:t>65,30</w:t>
            </w:r>
          </w:p>
        </w:tc>
        <w:tc>
          <w:tcPr>
            <w:tcW w:w="1195" w:type="pct"/>
            <w:vMerge/>
            <w:shd w:val="clear" w:color="auto" w:fill="EFEFEF"/>
            <w:vAlign w:val="center"/>
            <w:hideMark/>
          </w:tcPr>
          <w:p w14:paraId="23C0E7B0" w14:textId="77777777" w:rsidR="00C32ACA" w:rsidRPr="008F59BB" w:rsidRDefault="00C32ACA" w:rsidP="00C32ACA">
            <w:pPr>
              <w:spacing w:after="0" w:line="240" w:lineRule="auto"/>
              <w:rPr>
                <w:color w:val="FF0000"/>
                <w:sz w:val="20"/>
                <w:szCs w:val="20"/>
                <w:lang w:eastAsia="sk-SK"/>
              </w:rPr>
            </w:pPr>
          </w:p>
        </w:tc>
      </w:tr>
    </w:tbl>
    <w:p w14:paraId="1C9C691C" w14:textId="77777777" w:rsidR="00C32ACA" w:rsidRPr="000D10BD" w:rsidRDefault="00C32ACA" w:rsidP="00C32ACA">
      <w:pPr>
        <w:spacing w:after="0" w:line="240" w:lineRule="auto"/>
        <w:rPr>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890"/>
        <w:gridCol w:w="2125"/>
        <w:gridCol w:w="1527"/>
        <w:gridCol w:w="4011"/>
      </w:tblGrid>
      <w:tr w:rsidR="00C32ACA" w:rsidRPr="00F16DBE" w14:paraId="4673B5F2" w14:textId="77777777" w:rsidTr="00C32ACA">
        <w:trPr>
          <w:tblCellSpacing w:w="15" w:type="dxa"/>
        </w:trPr>
        <w:tc>
          <w:tcPr>
            <w:tcW w:w="0" w:type="auto"/>
            <w:shd w:val="clear" w:color="auto" w:fill="C2D69B"/>
            <w:vAlign w:val="center"/>
            <w:hideMark/>
          </w:tcPr>
          <w:p w14:paraId="377929AB" w14:textId="77777777" w:rsidR="00C32ACA" w:rsidRPr="00F16DBE" w:rsidRDefault="00C32ACA" w:rsidP="00C32ACA">
            <w:pPr>
              <w:spacing w:after="0" w:line="240" w:lineRule="auto"/>
              <w:rPr>
                <w:sz w:val="24"/>
                <w:szCs w:val="24"/>
                <w:lang w:eastAsia="sk-SK"/>
              </w:rPr>
            </w:pPr>
            <w:r w:rsidRPr="00F16DBE">
              <w:rPr>
                <w:b/>
                <w:bCs/>
                <w:sz w:val="20"/>
                <w:szCs w:val="20"/>
                <w:lang w:eastAsia="sk-SK"/>
              </w:rPr>
              <w:t>Zodpovednosť</w:t>
            </w:r>
          </w:p>
        </w:tc>
        <w:tc>
          <w:tcPr>
            <w:tcW w:w="0" w:type="auto"/>
            <w:gridSpan w:val="4"/>
            <w:shd w:val="clear" w:color="auto" w:fill="C2D69B"/>
            <w:vAlign w:val="center"/>
            <w:hideMark/>
          </w:tcPr>
          <w:p w14:paraId="3E405E70" w14:textId="77777777" w:rsidR="00C32ACA" w:rsidRPr="00F16DBE" w:rsidRDefault="00C32ACA" w:rsidP="00C32ACA">
            <w:pPr>
              <w:spacing w:after="0" w:line="240" w:lineRule="auto"/>
              <w:rPr>
                <w:sz w:val="24"/>
                <w:szCs w:val="24"/>
                <w:lang w:eastAsia="sk-SK"/>
              </w:rPr>
            </w:pPr>
            <w:r w:rsidRPr="00F16DBE">
              <w:rPr>
                <w:sz w:val="20"/>
                <w:szCs w:val="20"/>
                <w:lang w:eastAsia="sk-SK"/>
              </w:rPr>
              <w:t>Odbor stratégie, územné</w:t>
            </w:r>
            <w:r>
              <w:rPr>
                <w:sz w:val="20"/>
                <w:szCs w:val="20"/>
                <w:lang w:eastAsia="sk-SK"/>
              </w:rPr>
              <w:t>ho rozvoja a riadenia projektov</w:t>
            </w:r>
          </w:p>
        </w:tc>
      </w:tr>
      <w:tr w:rsidR="00C32ACA" w:rsidRPr="00F16DBE" w14:paraId="1470EBF4" w14:textId="77777777" w:rsidTr="00C32ACA">
        <w:trPr>
          <w:tblCellSpacing w:w="15" w:type="dxa"/>
        </w:trPr>
        <w:tc>
          <w:tcPr>
            <w:tcW w:w="0" w:type="auto"/>
            <w:shd w:val="clear" w:color="auto" w:fill="C2D69B"/>
            <w:vAlign w:val="center"/>
            <w:hideMark/>
          </w:tcPr>
          <w:p w14:paraId="6017D4C9" w14:textId="77777777" w:rsidR="00C32ACA" w:rsidRPr="00F16DBE" w:rsidRDefault="00C32ACA" w:rsidP="00C32ACA">
            <w:pPr>
              <w:spacing w:after="0" w:line="240" w:lineRule="auto"/>
              <w:rPr>
                <w:sz w:val="24"/>
                <w:szCs w:val="24"/>
                <w:lang w:eastAsia="sk-SK"/>
              </w:rPr>
            </w:pPr>
            <w:r w:rsidRPr="00F16DBE">
              <w:rPr>
                <w:b/>
                <w:bCs/>
                <w:sz w:val="20"/>
                <w:szCs w:val="20"/>
                <w:lang w:eastAsia="sk-SK"/>
              </w:rPr>
              <w:t>Cieľ</w:t>
            </w:r>
          </w:p>
        </w:tc>
        <w:tc>
          <w:tcPr>
            <w:tcW w:w="0" w:type="auto"/>
            <w:gridSpan w:val="4"/>
            <w:shd w:val="clear" w:color="auto" w:fill="C2D69B"/>
            <w:vAlign w:val="center"/>
            <w:hideMark/>
          </w:tcPr>
          <w:p w14:paraId="0D4B14FD" w14:textId="77777777" w:rsidR="00C32ACA" w:rsidRPr="00F16DBE" w:rsidRDefault="00C32ACA" w:rsidP="00C32ACA">
            <w:pPr>
              <w:spacing w:after="0" w:line="240" w:lineRule="auto"/>
              <w:rPr>
                <w:sz w:val="24"/>
                <w:szCs w:val="24"/>
                <w:lang w:eastAsia="sk-SK"/>
              </w:rPr>
            </w:pPr>
            <w:r w:rsidRPr="00F16DBE">
              <w:rPr>
                <w:sz w:val="20"/>
                <w:szCs w:val="20"/>
                <w:lang w:eastAsia="sk-SK"/>
              </w:rPr>
              <w:t>Zabezpečiť územný rozvoj regiónu z finančných prostriedkov získaných z externých zdrojov</w:t>
            </w:r>
            <w:r w:rsidRPr="00F16DBE">
              <w:rPr>
                <w:sz w:val="24"/>
                <w:szCs w:val="24"/>
                <w:lang w:eastAsia="sk-SK"/>
              </w:rPr>
              <w:t xml:space="preserve"> </w:t>
            </w:r>
          </w:p>
        </w:tc>
      </w:tr>
      <w:tr w:rsidR="00C32ACA" w:rsidRPr="00F16DBE" w14:paraId="26182720" w14:textId="77777777" w:rsidTr="00C32ACA">
        <w:trPr>
          <w:tblCellSpacing w:w="15" w:type="dxa"/>
        </w:trPr>
        <w:tc>
          <w:tcPr>
            <w:tcW w:w="0" w:type="auto"/>
            <w:shd w:val="clear" w:color="auto" w:fill="C2D69B"/>
            <w:vAlign w:val="center"/>
            <w:hideMark/>
          </w:tcPr>
          <w:p w14:paraId="4B18B267" w14:textId="77777777" w:rsidR="00C32ACA" w:rsidRPr="00F16DBE" w:rsidRDefault="00C32ACA" w:rsidP="00C32ACA">
            <w:pPr>
              <w:spacing w:after="0" w:line="240" w:lineRule="auto"/>
              <w:rPr>
                <w:sz w:val="24"/>
                <w:szCs w:val="24"/>
                <w:lang w:eastAsia="sk-SK"/>
              </w:rPr>
            </w:pPr>
            <w:r w:rsidRPr="00F16DBE">
              <w:rPr>
                <w:b/>
                <w:bCs/>
                <w:sz w:val="20"/>
                <w:szCs w:val="20"/>
                <w:lang w:eastAsia="sk-SK"/>
              </w:rPr>
              <w:t>Merateľný ukazovateľ</w:t>
            </w:r>
          </w:p>
        </w:tc>
        <w:tc>
          <w:tcPr>
            <w:tcW w:w="0" w:type="auto"/>
            <w:gridSpan w:val="4"/>
            <w:shd w:val="clear" w:color="auto" w:fill="C2D69B"/>
            <w:vAlign w:val="center"/>
            <w:hideMark/>
          </w:tcPr>
          <w:p w14:paraId="0D80ED31" w14:textId="77777777" w:rsidR="00C32ACA" w:rsidRPr="00F16DBE" w:rsidRDefault="00C32ACA" w:rsidP="00C32ACA">
            <w:pPr>
              <w:spacing w:after="0" w:line="240" w:lineRule="auto"/>
              <w:rPr>
                <w:sz w:val="24"/>
                <w:szCs w:val="24"/>
                <w:lang w:eastAsia="sk-SK"/>
              </w:rPr>
            </w:pPr>
            <w:r w:rsidRPr="00F16DBE">
              <w:rPr>
                <w:sz w:val="20"/>
                <w:szCs w:val="20"/>
                <w:lang w:eastAsia="sk-SK"/>
              </w:rPr>
              <w:t xml:space="preserve">Počet poskytnutých služieb za rok </w:t>
            </w:r>
          </w:p>
        </w:tc>
      </w:tr>
      <w:tr w:rsidR="00C32ACA" w:rsidRPr="00F16DBE" w14:paraId="339FC90D" w14:textId="77777777" w:rsidTr="00C32ACA">
        <w:trPr>
          <w:tblCellSpacing w:w="15" w:type="dxa"/>
        </w:trPr>
        <w:tc>
          <w:tcPr>
            <w:tcW w:w="0" w:type="auto"/>
            <w:shd w:val="clear" w:color="auto" w:fill="C2D69B"/>
            <w:vAlign w:val="center"/>
            <w:hideMark/>
          </w:tcPr>
          <w:p w14:paraId="07A1C48E"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Rok</w:t>
            </w:r>
          </w:p>
        </w:tc>
        <w:tc>
          <w:tcPr>
            <w:tcW w:w="0" w:type="auto"/>
            <w:shd w:val="clear" w:color="auto" w:fill="C2D69B"/>
            <w:vAlign w:val="center"/>
            <w:hideMark/>
          </w:tcPr>
          <w:p w14:paraId="63FE2B77"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Plán</w:t>
            </w:r>
          </w:p>
        </w:tc>
        <w:tc>
          <w:tcPr>
            <w:tcW w:w="0" w:type="auto"/>
            <w:shd w:val="clear" w:color="auto" w:fill="C2D69B"/>
            <w:vAlign w:val="center"/>
            <w:hideMark/>
          </w:tcPr>
          <w:p w14:paraId="28D650B2"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Skutočnosť</w:t>
            </w:r>
          </w:p>
        </w:tc>
        <w:tc>
          <w:tcPr>
            <w:tcW w:w="0" w:type="auto"/>
            <w:shd w:val="clear" w:color="auto" w:fill="C2D69B"/>
            <w:vAlign w:val="center"/>
            <w:hideMark/>
          </w:tcPr>
          <w:p w14:paraId="40E275AF"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Plnenie</w:t>
            </w:r>
          </w:p>
        </w:tc>
        <w:tc>
          <w:tcPr>
            <w:tcW w:w="1928" w:type="pct"/>
            <w:shd w:val="clear" w:color="auto" w:fill="C2D69B"/>
            <w:vAlign w:val="center"/>
            <w:hideMark/>
          </w:tcPr>
          <w:p w14:paraId="4AC99D2E" w14:textId="77777777" w:rsidR="00C32ACA" w:rsidRPr="00F16DBE" w:rsidRDefault="00C32ACA" w:rsidP="00C32ACA">
            <w:pPr>
              <w:spacing w:after="0" w:line="240" w:lineRule="auto"/>
              <w:rPr>
                <w:sz w:val="24"/>
                <w:szCs w:val="24"/>
                <w:lang w:eastAsia="sk-SK"/>
              </w:rPr>
            </w:pPr>
            <w:r w:rsidRPr="00F16DBE">
              <w:rPr>
                <w:b/>
                <w:bCs/>
                <w:sz w:val="20"/>
                <w:szCs w:val="20"/>
                <w:lang w:eastAsia="sk-SK"/>
              </w:rPr>
              <w:t>Poznámka</w:t>
            </w:r>
          </w:p>
        </w:tc>
      </w:tr>
      <w:tr w:rsidR="00C32ACA" w:rsidRPr="00F16DBE" w14:paraId="2E70181B" w14:textId="77777777" w:rsidTr="00C32ACA">
        <w:trPr>
          <w:tblCellSpacing w:w="15" w:type="dxa"/>
        </w:trPr>
        <w:tc>
          <w:tcPr>
            <w:tcW w:w="0" w:type="auto"/>
            <w:shd w:val="clear" w:color="auto" w:fill="C2D69B"/>
            <w:vAlign w:val="center"/>
            <w:hideMark/>
          </w:tcPr>
          <w:p w14:paraId="13F0BB50" w14:textId="77777777" w:rsidR="00C32ACA" w:rsidRPr="00F16DBE" w:rsidRDefault="00C32ACA" w:rsidP="00C32ACA">
            <w:pPr>
              <w:spacing w:after="0" w:line="240" w:lineRule="auto"/>
              <w:jc w:val="center"/>
              <w:rPr>
                <w:sz w:val="24"/>
                <w:szCs w:val="24"/>
                <w:lang w:eastAsia="sk-SK"/>
              </w:rPr>
            </w:pPr>
            <w:r>
              <w:rPr>
                <w:sz w:val="20"/>
                <w:szCs w:val="20"/>
                <w:lang w:eastAsia="sk-SK"/>
              </w:rPr>
              <w:t>2020</w:t>
            </w:r>
          </w:p>
        </w:tc>
        <w:tc>
          <w:tcPr>
            <w:tcW w:w="0" w:type="auto"/>
            <w:shd w:val="clear" w:color="auto" w:fill="C2D69B"/>
            <w:noWrap/>
            <w:vAlign w:val="center"/>
            <w:hideMark/>
          </w:tcPr>
          <w:p w14:paraId="154E9966" w14:textId="77777777" w:rsidR="00C32ACA" w:rsidRPr="00427FC1" w:rsidRDefault="00C32ACA" w:rsidP="00C32ACA">
            <w:pPr>
              <w:spacing w:after="0" w:line="240" w:lineRule="auto"/>
              <w:jc w:val="center"/>
              <w:rPr>
                <w:color w:val="000000" w:themeColor="text1"/>
                <w:sz w:val="24"/>
                <w:szCs w:val="24"/>
                <w:lang w:eastAsia="sk-SK"/>
              </w:rPr>
            </w:pPr>
            <w:r w:rsidRPr="00427FC1">
              <w:rPr>
                <w:color w:val="000000" w:themeColor="text1"/>
                <w:sz w:val="20"/>
                <w:szCs w:val="20"/>
                <w:lang w:eastAsia="sk-SK"/>
              </w:rPr>
              <w:t> 200</w:t>
            </w:r>
            <w:r w:rsidRPr="00427FC1">
              <w:rPr>
                <w:color w:val="000000" w:themeColor="text1"/>
                <w:sz w:val="24"/>
                <w:szCs w:val="24"/>
                <w:lang w:eastAsia="sk-SK"/>
              </w:rPr>
              <w:t xml:space="preserve"> </w:t>
            </w:r>
          </w:p>
        </w:tc>
        <w:tc>
          <w:tcPr>
            <w:tcW w:w="0" w:type="auto"/>
            <w:shd w:val="clear" w:color="auto" w:fill="C2D69B"/>
            <w:noWrap/>
            <w:vAlign w:val="center"/>
            <w:hideMark/>
          </w:tcPr>
          <w:p w14:paraId="035F8D6A" w14:textId="77777777" w:rsidR="00C32ACA" w:rsidRPr="00427FC1" w:rsidRDefault="00C32ACA" w:rsidP="00C32ACA">
            <w:pPr>
              <w:spacing w:after="0" w:line="240" w:lineRule="auto"/>
              <w:jc w:val="center"/>
              <w:rPr>
                <w:color w:val="000000" w:themeColor="text1"/>
                <w:sz w:val="24"/>
                <w:szCs w:val="24"/>
                <w:lang w:eastAsia="sk-SK"/>
              </w:rPr>
            </w:pPr>
            <w:r w:rsidRPr="00427FC1">
              <w:rPr>
                <w:color w:val="000000" w:themeColor="text1"/>
                <w:sz w:val="20"/>
                <w:szCs w:val="20"/>
                <w:lang w:eastAsia="sk-SK"/>
              </w:rPr>
              <w:t> 100</w:t>
            </w:r>
          </w:p>
        </w:tc>
        <w:tc>
          <w:tcPr>
            <w:tcW w:w="0" w:type="auto"/>
            <w:shd w:val="clear" w:color="auto" w:fill="C2D69B"/>
            <w:vAlign w:val="center"/>
            <w:hideMark/>
          </w:tcPr>
          <w:p w14:paraId="03C0C732" w14:textId="77777777" w:rsidR="00C32ACA" w:rsidRPr="00427FC1" w:rsidRDefault="00C32ACA" w:rsidP="00C32ACA">
            <w:pPr>
              <w:spacing w:after="0" w:line="240" w:lineRule="auto"/>
              <w:jc w:val="center"/>
              <w:rPr>
                <w:sz w:val="24"/>
                <w:szCs w:val="24"/>
                <w:lang w:val="de-DE" w:eastAsia="sk-SK"/>
              </w:rPr>
            </w:pPr>
            <w:proofErr w:type="spellStart"/>
            <w:r>
              <w:rPr>
                <w:sz w:val="20"/>
                <w:szCs w:val="20"/>
                <w:lang w:eastAsia="sk-SK"/>
              </w:rPr>
              <w:t>Splnen</w:t>
            </w:r>
            <w:proofErr w:type="spellEnd"/>
            <w:r>
              <w:rPr>
                <w:sz w:val="20"/>
                <w:szCs w:val="20"/>
                <w:lang w:val="de-DE" w:eastAsia="sk-SK"/>
              </w:rPr>
              <w:t>é</w:t>
            </w:r>
          </w:p>
        </w:tc>
        <w:tc>
          <w:tcPr>
            <w:tcW w:w="0" w:type="auto"/>
            <w:shd w:val="clear" w:color="auto" w:fill="C2D69B"/>
            <w:vAlign w:val="center"/>
            <w:hideMark/>
          </w:tcPr>
          <w:p w14:paraId="15A678AC" w14:textId="77777777" w:rsidR="00C32ACA" w:rsidRPr="00F16DBE" w:rsidRDefault="00C32ACA" w:rsidP="00C32ACA">
            <w:pPr>
              <w:spacing w:after="0" w:line="240" w:lineRule="auto"/>
              <w:rPr>
                <w:sz w:val="24"/>
                <w:szCs w:val="24"/>
                <w:lang w:eastAsia="sk-SK"/>
              </w:rPr>
            </w:pPr>
          </w:p>
        </w:tc>
      </w:tr>
      <w:tr w:rsidR="00C32ACA" w:rsidRPr="00F16DBE" w14:paraId="30997608" w14:textId="77777777" w:rsidTr="00C32ACA">
        <w:trPr>
          <w:tblCellSpacing w:w="15" w:type="dxa"/>
        </w:trPr>
        <w:tc>
          <w:tcPr>
            <w:tcW w:w="0" w:type="auto"/>
            <w:shd w:val="clear" w:color="auto" w:fill="C2D69B"/>
            <w:vAlign w:val="center"/>
            <w:hideMark/>
          </w:tcPr>
          <w:p w14:paraId="1D599170" w14:textId="77777777" w:rsidR="00C32ACA" w:rsidRPr="00F16DBE" w:rsidRDefault="00C32ACA" w:rsidP="00C32ACA">
            <w:pPr>
              <w:spacing w:after="0" w:line="240" w:lineRule="auto"/>
              <w:rPr>
                <w:sz w:val="24"/>
                <w:szCs w:val="24"/>
                <w:lang w:eastAsia="sk-SK"/>
              </w:rPr>
            </w:pPr>
            <w:r w:rsidRPr="00F16DBE">
              <w:rPr>
                <w:b/>
                <w:bCs/>
                <w:sz w:val="20"/>
                <w:szCs w:val="20"/>
                <w:lang w:eastAsia="sk-SK"/>
              </w:rPr>
              <w:t>Merateľný ukazovateľ</w:t>
            </w:r>
          </w:p>
        </w:tc>
        <w:tc>
          <w:tcPr>
            <w:tcW w:w="0" w:type="auto"/>
            <w:gridSpan w:val="4"/>
            <w:shd w:val="clear" w:color="auto" w:fill="C2D69B"/>
            <w:vAlign w:val="center"/>
            <w:hideMark/>
          </w:tcPr>
          <w:p w14:paraId="102D300F" w14:textId="77777777" w:rsidR="00C32ACA" w:rsidRPr="0092375E" w:rsidRDefault="00C32ACA" w:rsidP="00C32ACA">
            <w:pPr>
              <w:spacing w:after="0" w:line="240" w:lineRule="auto"/>
              <w:rPr>
                <w:color w:val="000000" w:themeColor="text1"/>
                <w:sz w:val="24"/>
                <w:szCs w:val="24"/>
                <w:lang w:eastAsia="sk-SK"/>
              </w:rPr>
            </w:pPr>
            <w:r w:rsidRPr="0092375E">
              <w:rPr>
                <w:color w:val="000000" w:themeColor="text1"/>
                <w:sz w:val="20"/>
                <w:szCs w:val="20"/>
                <w:lang w:eastAsia="sk-SK"/>
              </w:rPr>
              <w:t>Počet poskytnutých produktov spolu za rok</w:t>
            </w:r>
            <w:r w:rsidRPr="0092375E">
              <w:rPr>
                <w:color w:val="000000" w:themeColor="text1"/>
                <w:sz w:val="24"/>
                <w:szCs w:val="24"/>
                <w:lang w:eastAsia="sk-SK"/>
              </w:rPr>
              <w:t xml:space="preserve"> </w:t>
            </w:r>
          </w:p>
        </w:tc>
      </w:tr>
      <w:tr w:rsidR="00C32ACA" w:rsidRPr="00F16DBE" w14:paraId="65FAA8C6" w14:textId="77777777" w:rsidTr="00C32ACA">
        <w:trPr>
          <w:tblCellSpacing w:w="15" w:type="dxa"/>
        </w:trPr>
        <w:tc>
          <w:tcPr>
            <w:tcW w:w="0" w:type="auto"/>
            <w:shd w:val="clear" w:color="auto" w:fill="C2D69B"/>
            <w:vAlign w:val="center"/>
            <w:hideMark/>
          </w:tcPr>
          <w:p w14:paraId="0A51EECC"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Rok</w:t>
            </w:r>
          </w:p>
        </w:tc>
        <w:tc>
          <w:tcPr>
            <w:tcW w:w="0" w:type="auto"/>
            <w:shd w:val="clear" w:color="auto" w:fill="C2D69B"/>
            <w:vAlign w:val="center"/>
            <w:hideMark/>
          </w:tcPr>
          <w:p w14:paraId="0442AC14" w14:textId="77777777" w:rsidR="00C32ACA" w:rsidRPr="0092375E" w:rsidRDefault="00C32ACA" w:rsidP="00C32ACA">
            <w:pPr>
              <w:spacing w:after="0" w:line="240" w:lineRule="auto"/>
              <w:jc w:val="center"/>
              <w:rPr>
                <w:color w:val="000000" w:themeColor="text1"/>
                <w:sz w:val="24"/>
                <w:szCs w:val="24"/>
                <w:lang w:eastAsia="sk-SK"/>
              </w:rPr>
            </w:pPr>
            <w:r w:rsidRPr="0092375E">
              <w:rPr>
                <w:b/>
                <w:bCs/>
                <w:color w:val="000000" w:themeColor="text1"/>
                <w:sz w:val="20"/>
                <w:szCs w:val="20"/>
                <w:lang w:eastAsia="sk-SK"/>
              </w:rPr>
              <w:t>Plán</w:t>
            </w:r>
          </w:p>
        </w:tc>
        <w:tc>
          <w:tcPr>
            <w:tcW w:w="0" w:type="auto"/>
            <w:shd w:val="clear" w:color="auto" w:fill="C2D69B"/>
            <w:vAlign w:val="center"/>
            <w:hideMark/>
          </w:tcPr>
          <w:p w14:paraId="0CD035F0" w14:textId="77777777" w:rsidR="00C32ACA" w:rsidRPr="0092375E" w:rsidRDefault="00C32ACA" w:rsidP="00C32ACA">
            <w:pPr>
              <w:spacing w:after="0" w:line="240" w:lineRule="auto"/>
              <w:jc w:val="center"/>
              <w:rPr>
                <w:color w:val="000000" w:themeColor="text1"/>
                <w:sz w:val="24"/>
                <w:szCs w:val="24"/>
                <w:lang w:eastAsia="sk-SK"/>
              </w:rPr>
            </w:pPr>
            <w:r w:rsidRPr="0092375E">
              <w:rPr>
                <w:b/>
                <w:bCs/>
                <w:color w:val="000000" w:themeColor="text1"/>
                <w:sz w:val="20"/>
                <w:szCs w:val="20"/>
                <w:lang w:eastAsia="sk-SK"/>
              </w:rPr>
              <w:t>Skutočnosť</w:t>
            </w:r>
          </w:p>
        </w:tc>
        <w:tc>
          <w:tcPr>
            <w:tcW w:w="0" w:type="auto"/>
            <w:shd w:val="clear" w:color="auto" w:fill="C2D69B"/>
            <w:vAlign w:val="center"/>
            <w:hideMark/>
          </w:tcPr>
          <w:p w14:paraId="2AB1F448"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Plnenie</w:t>
            </w:r>
          </w:p>
        </w:tc>
        <w:tc>
          <w:tcPr>
            <w:tcW w:w="1928" w:type="pct"/>
            <w:shd w:val="clear" w:color="auto" w:fill="C2D69B"/>
            <w:vAlign w:val="center"/>
            <w:hideMark/>
          </w:tcPr>
          <w:p w14:paraId="07F53B90" w14:textId="77777777" w:rsidR="00C32ACA" w:rsidRPr="00F16DBE" w:rsidRDefault="00C32ACA" w:rsidP="00C32ACA">
            <w:pPr>
              <w:spacing w:after="0" w:line="240" w:lineRule="auto"/>
              <w:rPr>
                <w:sz w:val="24"/>
                <w:szCs w:val="24"/>
                <w:lang w:eastAsia="sk-SK"/>
              </w:rPr>
            </w:pPr>
            <w:r w:rsidRPr="00F16DBE">
              <w:rPr>
                <w:b/>
                <w:bCs/>
                <w:sz w:val="20"/>
                <w:szCs w:val="20"/>
                <w:lang w:eastAsia="sk-SK"/>
              </w:rPr>
              <w:t>Poznámka</w:t>
            </w:r>
          </w:p>
        </w:tc>
      </w:tr>
      <w:tr w:rsidR="00C32ACA" w:rsidRPr="00F16DBE" w14:paraId="5C9CA516" w14:textId="77777777" w:rsidTr="00C32ACA">
        <w:trPr>
          <w:tblCellSpacing w:w="15" w:type="dxa"/>
        </w:trPr>
        <w:tc>
          <w:tcPr>
            <w:tcW w:w="0" w:type="auto"/>
            <w:shd w:val="clear" w:color="auto" w:fill="C2D69B"/>
            <w:vAlign w:val="center"/>
            <w:hideMark/>
          </w:tcPr>
          <w:p w14:paraId="5C29AD3D" w14:textId="77777777" w:rsidR="00C32ACA" w:rsidRPr="00F16DBE" w:rsidRDefault="00C32ACA" w:rsidP="00C32ACA">
            <w:pPr>
              <w:spacing w:after="0" w:line="240" w:lineRule="auto"/>
              <w:jc w:val="center"/>
              <w:rPr>
                <w:sz w:val="24"/>
                <w:szCs w:val="24"/>
                <w:lang w:eastAsia="sk-SK"/>
              </w:rPr>
            </w:pPr>
            <w:r>
              <w:rPr>
                <w:sz w:val="20"/>
                <w:szCs w:val="20"/>
                <w:lang w:eastAsia="sk-SK"/>
              </w:rPr>
              <w:t>2020</w:t>
            </w:r>
          </w:p>
        </w:tc>
        <w:tc>
          <w:tcPr>
            <w:tcW w:w="0" w:type="auto"/>
            <w:shd w:val="clear" w:color="auto" w:fill="C2D69B"/>
            <w:noWrap/>
            <w:vAlign w:val="center"/>
            <w:hideMark/>
          </w:tcPr>
          <w:p w14:paraId="45E7D9EC" w14:textId="77777777" w:rsidR="00C32ACA" w:rsidRPr="00427FC1" w:rsidRDefault="00C32ACA" w:rsidP="00C32ACA">
            <w:pPr>
              <w:spacing w:after="0" w:line="240" w:lineRule="auto"/>
              <w:jc w:val="center"/>
              <w:rPr>
                <w:color w:val="000000" w:themeColor="text1"/>
                <w:sz w:val="24"/>
                <w:szCs w:val="24"/>
                <w:lang w:eastAsia="sk-SK"/>
              </w:rPr>
            </w:pPr>
            <w:r w:rsidRPr="00427FC1">
              <w:rPr>
                <w:color w:val="000000" w:themeColor="text1"/>
                <w:sz w:val="20"/>
                <w:szCs w:val="20"/>
                <w:lang w:eastAsia="sk-SK"/>
              </w:rPr>
              <w:t> 20</w:t>
            </w:r>
            <w:r w:rsidRPr="00427FC1">
              <w:rPr>
                <w:color w:val="000000" w:themeColor="text1"/>
                <w:sz w:val="24"/>
                <w:szCs w:val="24"/>
                <w:lang w:eastAsia="sk-SK"/>
              </w:rPr>
              <w:t xml:space="preserve"> </w:t>
            </w:r>
          </w:p>
        </w:tc>
        <w:tc>
          <w:tcPr>
            <w:tcW w:w="0" w:type="auto"/>
            <w:shd w:val="clear" w:color="auto" w:fill="C2D69B"/>
            <w:noWrap/>
            <w:vAlign w:val="center"/>
            <w:hideMark/>
          </w:tcPr>
          <w:p w14:paraId="6AA007A0" w14:textId="77777777" w:rsidR="00C32ACA" w:rsidRPr="00427FC1" w:rsidRDefault="00C32ACA" w:rsidP="00C32ACA">
            <w:pPr>
              <w:spacing w:after="0" w:line="240" w:lineRule="auto"/>
              <w:jc w:val="center"/>
              <w:rPr>
                <w:color w:val="000000" w:themeColor="text1"/>
                <w:sz w:val="24"/>
                <w:szCs w:val="24"/>
                <w:lang w:eastAsia="sk-SK"/>
              </w:rPr>
            </w:pPr>
            <w:r w:rsidRPr="00427FC1">
              <w:rPr>
                <w:color w:val="000000" w:themeColor="text1"/>
                <w:sz w:val="20"/>
                <w:szCs w:val="20"/>
                <w:lang w:eastAsia="sk-SK"/>
              </w:rPr>
              <w:t>20</w:t>
            </w:r>
          </w:p>
        </w:tc>
        <w:tc>
          <w:tcPr>
            <w:tcW w:w="0" w:type="auto"/>
            <w:shd w:val="clear" w:color="auto" w:fill="C2D69B"/>
            <w:vAlign w:val="center"/>
            <w:hideMark/>
          </w:tcPr>
          <w:p w14:paraId="18517D9D" w14:textId="77777777" w:rsidR="00C32ACA" w:rsidRPr="00F16DBE" w:rsidRDefault="00C32ACA" w:rsidP="00C32ACA">
            <w:pPr>
              <w:spacing w:after="0" w:line="240" w:lineRule="auto"/>
              <w:jc w:val="center"/>
              <w:rPr>
                <w:sz w:val="24"/>
                <w:szCs w:val="24"/>
                <w:lang w:eastAsia="sk-SK"/>
              </w:rPr>
            </w:pPr>
            <w:proofErr w:type="spellStart"/>
            <w:r>
              <w:rPr>
                <w:sz w:val="20"/>
                <w:szCs w:val="20"/>
                <w:lang w:eastAsia="sk-SK"/>
              </w:rPr>
              <w:t>Splnen</w:t>
            </w:r>
            <w:proofErr w:type="spellEnd"/>
            <w:r>
              <w:rPr>
                <w:sz w:val="20"/>
                <w:szCs w:val="20"/>
                <w:lang w:val="de-DE" w:eastAsia="sk-SK"/>
              </w:rPr>
              <w:t>é</w:t>
            </w:r>
          </w:p>
        </w:tc>
        <w:tc>
          <w:tcPr>
            <w:tcW w:w="0" w:type="auto"/>
            <w:shd w:val="clear" w:color="auto" w:fill="C2D69B"/>
            <w:vAlign w:val="center"/>
            <w:hideMark/>
          </w:tcPr>
          <w:p w14:paraId="094CA683" w14:textId="77777777" w:rsidR="00C32ACA" w:rsidRPr="00F16DBE" w:rsidRDefault="00C32ACA" w:rsidP="00C32ACA">
            <w:pPr>
              <w:spacing w:after="0" w:line="240" w:lineRule="auto"/>
              <w:rPr>
                <w:sz w:val="24"/>
                <w:szCs w:val="24"/>
                <w:lang w:eastAsia="sk-SK"/>
              </w:rPr>
            </w:pPr>
          </w:p>
        </w:tc>
      </w:tr>
      <w:tr w:rsidR="00C32ACA" w:rsidRPr="00F16DBE" w14:paraId="10B12869" w14:textId="77777777" w:rsidTr="00C32ACA">
        <w:trPr>
          <w:tblCellSpacing w:w="15" w:type="dxa"/>
        </w:trPr>
        <w:tc>
          <w:tcPr>
            <w:tcW w:w="0" w:type="auto"/>
            <w:shd w:val="clear" w:color="auto" w:fill="C2D69B"/>
            <w:vAlign w:val="center"/>
            <w:hideMark/>
          </w:tcPr>
          <w:p w14:paraId="0076315C" w14:textId="77777777" w:rsidR="00C32ACA" w:rsidRPr="00F16DBE" w:rsidRDefault="00C32ACA" w:rsidP="00C32ACA">
            <w:pPr>
              <w:spacing w:after="0" w:line="240" w:lineRule="auto"/>
              <w:rPr>
                <w:sz w:val="24"/>
                <w:szCs w:val="24"/>
                <w:lang w:eastAsia="sk-SK"/>
              </w:rPr>
            </w:pPr>
            <w:r w:rsidRPr="00F16DBE">
              <w:rPr>
                <w:b/>
                <w:bCs/>
                <w:sz w:val="20"/>
                <w:szCs w:val="20"/>
                <w:lang w:eastAsia="sk-SK"/>
              </w:rPr>
              <w:t>Merateľný ukazovateľ</w:t>
            </w:r>
          </w:p>
        </w:tc>
        <w:tc>
          <w:tcPr>
            <w:tcW w:w="0" w:type="auto"/>
            <w:gridSpan w:val="4"/>
            <w:shd w:val="clear" w:color="auto" w:fill="C2D69B"/>
            <w:vAlign w:val="center"/>
            <w:hideMark/>
          </w:tcPr>
          <w:p w14:paraId="51504D45" w14:textId="77777777" w:rsidR="00C32ACA" w:rsidRPr="0092375E" w:rsidRDefault="00C32ACA" w:rsidP="00C32ACA">
            <w:pPr>
              <w:spacing w:after="0" w:line="240" w:lineRule="auto"/>
              <w:rPr>
                <w:color w:val="000000" w:themeColor="text1"/>
                <w:sz w:val="24"/>
                <w:szCs w:val="24"/>
                <w:lang w:eastAsia="sk-SK"/>
              </w:rPr>
            </w:pPr>
            <w:r w:rsidRPr="0092375E">
              <w:rPr>
                <w:color w:val="000000" w:themeColor="text1"/>
                <w:sz w:val="20"/>
                <w:szCs w:val="20"/>
                <w:lang w:eastAsia="sk-SK"/>
              </w:rPr>
              <w:t>Počet administrovaných projektov spolu za rok</w:t>
            </w:r>
            <w:r w:rsidRPr="0092375E">
              <w:rPr>
                <w:color w:val="000000" w:themeColor="text1"/>
                <w:sz w:val="24"/>
                <w:szCs w:val="24"/>
                <w:lang w:eastAsia="sk-SK"/>
              </w:rPr>
              <w:t xml:space="preserve"> </w:t>
            </w:r>
          </w:p>
        </w:tc>
      </w:tr>
      <w:tr w:rsidR="00C32ACA" w:rsidRPr="00F16DBE" w14:paraId="0112A3F3" w14:textId="77777777" w:rsidTr="00C32ACA">
        <w:trPr>
          <w:tblCellSpacing w:w="15" w:type="dxa"/>
        </w:trPr>
        <w:tc>
          <w:tcPr>
            <w:tcW w:w="0" w:type="auto"/>
            <w:shd w:val="clear" w:color="auto" w:fill="C2D69B"/>
            <w:vAlign w:val="center"/>
            <w:hideMark/>
          </w:tcPr>
          <w:p w14:paraId="77680900"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Rok</w:t>
            </w:r>
          </w:p>
        </w:tc>
        <w:tc>
          <w:tcPr>
            <w:tcW w:w="0" w:type="auto"/>
            <w:shd w:val="clear" w:color="auto" w:fill="C2D69B"/>
            <w:vAlign w:val="center"/>
            <w:hideMark/>
          </w:tcPr>
          <w:p w14:paraId="6D2E426D" w14:textId="77777777" w:rsidR="00C32ACA" w:rsidRPr="0092375E" w:rsidRDefault="00C32ACA" w:rsidP="00C32ACA">
            <w:pPr>
              <w:spacing w:after="0" w:line="240" w:lineRule="auto"/>
              <w:jc w:val="center"/>
              <w:rPr>
                <w:color w:val="000000" w:themeColor="text1"/>
                <w:sz w:val="24"/>
                <w:szCs w:val="24"/>
                <w:lang w:eastAsia="sk-SK"/>
              </w:rPr>
            </w:pPr>
            <w:r w:rsidRPr="0092375E">
              <w:rPr>
                <w:b/>
                <w:bCs/>
                <w:color w:val="000000" w:themeColor="text1"/>
                <w:sz w:val="20"/>
                <w:szCs w:val="20"/>
                <w:lang w:eastAsia="sk-SK"/>
              </w:rPr>
              <w:t>Plán</w:t>
            </w:r>
          </w:p>
        </w:tc>
        <w:tc>
          <w:tcPr>
            <w:tcW w:w="0" w:type="auto"/>
            <w:shd w:val="clear" w:color="auto" w:fill="C2D69B"/>
            <w:vAlign w:val="center"/>
            <w:hideMark/>
          </w:tcPr>
          <w:p w14:paraId="22B75280" w14:textId="77777777" w:rsidR="00C32ACA" w:rsidRPr="0092375E" w:rsidRDefault="00C32ACA" w:rsidP="00C32ACA">
            <w:pPr>
              <w:spacing w:after="0" w:line="240" w:lineRule="auto"/>
              <w:jc w:val="center"/>
              <w:rPr>
                <w:color w:val="000000" w:themeColor="text1"/>
                <w:sz w:val="24"/>
                <w:szCs w:val="24"/>
                <w:lang w:eastAsia="sk-SK"/>
              </w:rPr>
            </w:pPr>
            <w:r w:rsidRPr="0092375E">
              <w:rPr>
                <w:b/>
                <w:bCs/>
                <w:color w:val="000000" w:themeColor="text1"/>
                <w:sz w:val="20"/>
                <w:szCs w:val="20"/>
                <w:lang w:eastAsia="sk-SK"/>
              </w:rPr>
              <w:t>Skutočnosť</w:t>
            </w:r>
          </w:p>
        </w:tc>
        <w:tc>
          <w:tcPr>
            <w:tcW w:w="0" w:type="auto"/>
            <w:shd w:val="clear" w:color="auto" w:fill="C2D69B"/>
            <w:vAlign w:val="center"/>
            <w:hideMark/>
          </w:tcPr>
          <w:p w14:paraId="6DE4B890" w14:textId="77777777" w:rsidR="00C32ACA" w:rsidRPr="00F16DBE" w:rsidRDefault="00C32ACA" w:rsidP="00C32ACA">
            <w:pPr>
              <w:spacing w:after="0" w:line="240" w:lineRule="auto"/>
              <w:jc w:val="center"/>
              <w:rPr>
                <w:sz w:val="24"/>
                <w:szCs w:val="24"/>
                <w:lang w:eastAsia="sk-SK"/>
              </w:rPr>
            </w:pPr>
            <w:r w:rsidRPr="00F16DBE">
              <w:rPr>
                <w:b/>
                <w:bCs/>
                <w:sz w:val="20"/>
                <w:szCs w:val="20"/>
                <w:lang w:eastAsia="sk-SK"/>
              </w:rPr>
              <w:t>Plnenie</w:t>
            </w:r>
          </w:p>
        </w:tc>
        <w:tc>
          <w:tcPr>
            <w:tcW w:w="1928" w:type="pct"/>
            <w:shd w:val="clear" w:color="auto" w:fill="C2D69B"/>
            <w:vAlign w:val="center"/>
            <w:hideMark/>
          </w:tcPr>
          <w:p w14:paraId="7A8951C3" w14:textId="77777777" w:rsidR="00C32ACA" w:rsidRPr="00F16DBE" w:rsidRDefault="00C32ACA" w:rsidP="00C32ACA">
            <w:pPr>
              <w:spacing w:after="0" w:line="240" w:lineRule="auto"/>
              <w:rPr>
                <w:sz w:val="24"/>
                <w:szCs w:val="24"/>
                <w:lang w:eastAsia="sk-SK"/>
              </w:rPr>
            </w:pPr>
            <w:r w:rsidRPr="00F16DBE">
              <w:rPr>
                <w:b/>
                <w:bCs/>
                <w:sz w:val="20"/>
                <w:szCs w:val="20"/>
                <w:lang w:eastAsia="sk-SK"/>
              </w:rPr>
              <w:t>Poznámka</w:t>
            </w:r>
          </w:p>
        </w:tc>
      </w:tr>
      <w:tr w:rsidR="00C32ACA" w:rsidRPr="00F16DBE" w14:paraId="1C8F30B5" w14:textId="77777777" w:rsidTr="00C32ACA">
        <w:trPr>
          <w:tblCellSpacing w:w="15" w:type="dxa"/>
        </w:trPr>
        <w:tc>
          <w:tcPr>
            <w:tcW w:w="0" w:type="auto"/>
            <w:shd w:val="clear" w:color="auto" w:fill="C2D69B"/>
            <w:vAlign w:val="center"/>
            <w:hideMark/>
          </w:tcPr>
          <w:p w14:paraId="4328495D" w14:textId="77777777" w:rsidR="00C32ACA" w:rsidRPr="00F16DBE" w:rsidRDefault="00C32ACA" w:rsidP="00C32ACA">
            <w:pPr>
              <w:spacing w:after="0" w:line="240" w:lineRule="auto"/>
              <w:jc w:val="center"/>
              <w:rPr>
                <w:sz w:val="24"/>
                <w:szCs w:val="24"/>
                <w:lang w:eastAsia="sk-SK"/>
              </w:rPr>
            </w:pPr>
            <w:r>
              <w:rPr>
                <w:sz w:val="20"/>
                <w:szCs w:val="20"/>
                <w:lang w:eastAsia="sk-SK"/>
              </w:rPr>
              <w:t>2020</w:t>
            </w:r>
          </w:p>
        </w:tc>
        <w:tc>
          <w:tcPr>
            <w:tcW w:w="0" w:type="auto"/>
            <w:shd w:val="clear" w:color="auto" w:fill="C2D69B"/>
            <w:noWrap/>
            <w:vAlign w:val="center"/>
            <w:hideMark/>
          </w:tcPr>
          <w:p w14:paraId="7B935571" w14:textId="77777777" w:rsidR="00C32ACA" w:rsidRPr="00427FC1" w:rsidRDefault="00C32ACA" w:rsidP="00C32ACA">
            <w:pPr>
              <w:spacing w:after="0" w:line="240" w:lineRule="auto"/>
              <w:jc w:val="center"/>
              <w:rPr>
                <w:color w:val="000000" w:themeColor="text1"/>
                <w:sz w:val="24"/>
                <w:szCs w:val="24"/>
                <w:lang w:eastAsia="sk-SK"/>
              </w:rPr>
            </w:pPr>
            <w:r w:rsidRPr="00427FC1">
              <w:rPr>
                <w:color w:val="000000" w:themeColor="text1"/>
                <w:sz w:val="20"/>
                <w:szCs w:val="20"/>
                <w:lang w:eastAsia="sk-SK"/>
              </w:rPr>
              <w:t> 20</w:t>
            </w:r>
            <w:r w:rsidRPr="00427FC1">
              <w:rPr>
                <w:color w:val="000000" w:themeColor="text1"/>
                <w:sz w:val="24"/>
                <w:szCs w:val="24"/>
                <w:lang w:eastAsia="sk-SK"/>
              </w:rPr>
              <w:t xml:space="preserve"> </w:t>
            </w:r>
          </w:p>
        </w:tc>
        <w:tc>
          <w:tcPr>
            <w:tcW w:w="0" w:type="auto"/>
            <w:shd w:val="clear" w:color="auto" w:fill="C2D69B"/>
            <w:noWrap/>
            <w:vAlign w:val="center"/>
            <w:hideMark/>
          </w:tcPr>
          <w:p w14:paraId="5E41C17E" w14:textId="77777777" w:rsidR="00C32ACA" w:rsidRPr="00427FC1" w:rsidRDefault="00C32ACA" w:rsidP="00C32ACA">
            <w:pPr>
              <w:spacing w:after="0" w:line="240" w:lineRule="auto"/>
              <w:jc w:val="center"/>
              <w:rPr>
                <w:color w:val="000000" w:themeColor="text1"/>
                <w:sz w:val="24"/>
                <w:szCs w:val="24"/>
                <w:lang w:eastAsia="sk-SK"/>
              </w:rPr>
            </w:pPr>
            <w:r w:rsidRPr="00427FC1">
              <w:rPr>
                <w:color w:val="000000" w:themeColor="text1"/>
                <w:sz w:val="20"/>
                <w:szCs w:val="20"/>
                <w:lang w:eastAsia="sk-SK"/>
              </w:rPr>
              <w:t> 26</w:t>
            </w:r>
          </w:p>
        </w:tc>
        <w:tc>
          <w:tcPr>
            <w:tcW w:w="0" w:type="auto"/>
            <w:shd w:val="clear" w:color="auto" w:fill="C2D69B"/>
            <w:vAlign w:val="center"/>
            <w:hideMark/>
          </w:tcPr>
          <w:p w14:paraId="1BA8D8EA" w14:textId="77777777" w:rsidR="00C32ACA" w:rsidRPr="00F16DBE" w:rsidRDefault="00C32ACA" w:rsidP="00C32ACA">
            <w:pPr>
              <w:spacing w:after="0" w:line="240" w:lineRule="auto"/>
              <w:jc w:val="center"/>
              <w:rPr>
                <w:sz w:val="24"/>
                <w:szCs w:val="24"/>
                <w:lang w:eastAsia="sk-SK"/>
              </w:rPr>
            </w:pPr>
            <w:r w:rsidRPr="00F16DBE">
              <w:rPr>
                <w:sz w:val="20"/>
                <w:szCs w:val="20"/>
                <w:lang w:eastAsia="sk-SK"/>
              </w:rPr>
              <w:t>Splnené</w:t>
            </w:r>
            <w:r w:rsidRPr="00F16DBE">
              <w:rPr>
                <w:sz w:val="24"/>
                <w:szCs w:val="24"/>
                <w:lang w:eastAsia="sk-SK"/>
              </w:rPr>
              <w:t xml:space="preserve"> </w:t>
            </w:r>
          </w:p>
        </w:tc>
        <w:tc>
          <w:tcPr>
            <w:tcW w:w="0" w:type="auto"/>
            <w:shd w:val="clear" w:color="auto" w:fill="C2D69B"/>
            <w:vAlign w:val="center"/>
            <w:hideMark/>
          </w:tcPr>
          <w:p w14:paraId="37965031" w14:textId="77777777" w:rsidR="00C32ACA" w:rsidRPr="00F16DBE" w:rsidRDefault="00C32ACA" w:rsidP="00C32ACA">
            <w:pPr>
              <w:spacing w:after="0" w:line="240" w:lineRule="auto"/>
              <w:rPr>
                <w:sz w:val="20"/>
                <w:szCs w:val="20"/>
                <w:lang w:eastAsia="sk-SK"/>
              </w:rPr>
            </w:pPr>
          </w:p>
        </w:tc>
      </w:tr>
    </w:tbl>
    <w:p w14:paraId="3C4C5F7A" w14:textId="77777777" w:rsidR="00C32ACA" w:rsidRDefault="00C32ACA" w:rsidP="00C32ACA">
      <w:pPr>
        <w:spacing w:after="0" w:line="240" w:lineRule="auto"/>
        <w:rPr>
          <w:b/>
          <w:bCs/>
          <w:lang w:eastAsia="sk-SK"/>
        </w:rPr>
      </w:pPr>
    </w:p>
    <w:p w14:paraId="2133C033" w14:textId="340A9F63" w:rsidR="00C32ACA" w:rsidRPr="001C41F1" w:rsidRDefault="00C32ACA" w:rsidP="00C32ACA">
      <w:pPr>
        <w:spacing w:after="0" w:line="240" w:lineRule="auto"/>
        <w:jc w:val="both"/>
        <w:rPr>
          <w:rFonts w:cstheme="minorHAnsi"/>
          <w:lang w:eastAsia="sk-SK"/>
        </w:rPr>
      </w:pPr>
      <w:r w:rsidRPr="00755073">
        <w:rPr>
          <w:b/>
          <w:bCs/>
          <w:sz w:val="24"/>
          <w:szCs w:val="24"/>
          <w:lang w:eastAsia="sk-SK"/>
        </w:rPr>
        <w:t xml:space="preserve">Komentár:  </w:t>
      </w:r>
      <w:r w:rsidRPr="001C41F1">
        <w:rPr>
          <w:rFonts w:cstheme="minorHAnsi"/>
          <w:lang w:eastAsia="sk-SK"/>
        </w:rPr>
        <w:t xml:space="preserve">V roku 2020 Odbor stratégie, územného rozvoja a riadenia projektov (ďalej len </w:t>
      </w:r>
      <w:proofErr w:type="spellStart"/>
      <w:r w:rsidRPr="001C41F1">
        <w:rPr>
          <w:rFonts w:cstheme="minorHAnsi"/>
          <w:lang w:eastAsia="sk-SK"/>
        </w:rPr>
        <w:t>OSÚRaRP</w:t>
      </w:r>
      <w:proofErr w:type="spellEnd"/>
      <w:r w:rsidRPr="001C41F1">
        <w:rPr>
          <w:rFonts w:cstheme="minorHAnsi"/>
          <w:lang w:eastAsia="sk-SK"/>
        </w:rPr>
        <w:t xml:space="preserve">) pracoval na 26 projektoch financovaných z externých zdrojov v zmysle Akčného plánu BSK.  </w:t>
      </w:r>
    </w:p>
    <w:p w14:paraId="596118FA" w14:textId="16916F83"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rámci Programu spolupráce </w:t>
      </w:r>
      <w:proofErr w:type="spellStart"/>
      <w:r w:rsidRPr="001C41F1">
        <w:rPr>
          <w:rFonts w:cstheme="minorHAnsi"/>
          <w:lang w:eastAsia="sk-SK"/>
        </w:rPr>
        <w:t>Interreg</w:t>
      </w:r>
      <w:proofErr w:type="spellEnd"/>
      <w:r w:rsidRPr="001C41F1">
        <w:rPr>
          <w:rFonts w:cstheme="minorHAnsi"/>
          <w:lang w:eastAsia="sk-SK"/>
        </w:rPr>
        <w:t xml:space="preserve"> V-A SK-AT, Programu spolupráce </w:t>
      </w:r>
      <w:proofErr w:type="spellStart"/>
      <w:r w:rsidRPr="001C41F1">
        <w:rPr>
          <w:rFonts w:cstheme="minorHAnsi"/>
          <w:lang w:eastAsia="sk-SK"/>
        </w:rPr>
        <w:t>Interreg</w:t>
      </w:r>
      <w:proofErr w:type="spellEnd"/>
      <w:r w:rsidRPr="001C41F1">
        <w:rPr>
          <w:rFonts w:cstheme="minorHAnsi"/>
          <w:lang w:eastAsia="sk-SK"/>
        </w:rPr>
        <w:t xml:space="preserve"> V-A SK-HU, Operačný programu efektívna verejná správa, Horizont 2020 administroval nasledovné projekty: </w:t>
      </w:r>
    </w:p>
    <w:p w14:paraId="7D080E5A"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Heritage</w:t>
      </w:r>
      <w:proofErr w:type="spellEnd"/>
      <w:r w:rsidRPr="001C41F1">
        <w:rPr>
          <w:rFonts w:cstheme="minorHAnsi"/>
          <w:lang w:eastAsia="sk-SK"/>
        </w:rPr>
        <w:t xml:space="preserve"> SK/AT - Kultúrno-kreatívne oživenie tradícií (Kaštieľ v Modre);</w:t>
      </w:r>
    </w:p>
    <w:p w14:paraId="391B833D"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Danube </w:t>
      </w:r>
      <w:proofErr w:type="spellStart"/>
      <w:r w:rsidRPr="001C41F1">
        <w:rPr>
          <w:rFonts w:cstheme="minorHAnsi"/>
          <w:lang w:eastAsia="sk-SK"/>
        </w:rPr>
        <w:t>bike&amp;boat</w:t>
      </w:r>
      <w:proofErr w:type="spellEnd"/>
      <w:r w:rsidRPr="001C41F1">
        <w:rPr>
          <w:rFonts w:cstheme="minorHAnsi"/>
          <w:lang w:eastAsia="sk-SK"/>
        </w:rPr>
        <w:t xml:space="preserve"> – Objavte Malý a </w:t>
      </w:r>
      <w:proofErr w:type="spellStart"/>
      <w:r w:rsidRPr="001C41F1">
        <w:rPr>
          <w:rFonts w:cstheme="minorHAnsi"/>
          <w:lang w:eastAsia="sk-SK"/>
        </w:rPr>
        <w:t>Mošonský</w:t>
      </w:r>
      <w:proofErr w:type="spellEnd"/>
      <w:r w:rsidRPr="001C41F1">
        <w:rPr>
          <w:rFonts w:cstheme="minorHAnsi"/>
          <w:lang w:eastAsia="sk-SK"/>
        </w:rPr>
        <w:t xml:space="preserve"> Dunaj na bicykli a na člne; </w:t>
      </w:r>
    </w:p>
    <w:p w14:paraId="6F868E67"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SacraVelo</w:t>
      </w:r>
      <w:proofErr w:type="spellEnd"/>
      <w:r w:rsidRPr="001C41F1">
        <w:rPr>
          <w:rFonts w:cstheme="minorHAnsi"/>
          <w:lang w:eastAsia="sk-SK"/>
        </w:rPr>
        <w:t xml:space="preserve"> – </w:t>
      </w:r>
      <w:proofErr w:type="spellStart"/>
      <w:r w:rsidRPr="001C41F1">
        <w:rPr>
          <w:rFonts w:cstheme="minorHAnsi"/>
          <w:lang w:eastAsia="sk-SK"/>
        </w:rPr>
        <w:t>Network</w:t>
      </w:r>
      <w:proofErr w:type="spellEnd"/>
      <w:r w:rsidRPr="001C41F1">
        <w:rPr>
          <w:rFonts w:cstheme="minorHAnsi"/>
          <w:lang w:eastAsia="sk-SK"/>
        </w:rPr>
        <w:t xml:space="preserve"> of </w:t>
      </w:r>
      <w:proofErr w:type="spellStart"/>
      <w:r w:rsidRPr="001C41F1">
        <w:rPr>
          <w:rFonts w:cstheme="minorHAnsi"/>
          <w:lang w:eastAsia="sk-SK"/>
        </w:rPr>
        <w:t>cross-border</w:t>
      </w:r>
      <w:proofErr w:type="spellEnd"/>
      <w:r w:rsidRPr="001C41F1">
        <w:rPr>
          <w:rFonts w:cstheme="minorHAnsi"/>
          <w:lang w:eastAsia="sk-SK"/>
        </w:rPr>
        <w:t xml:space="preserve"> </w:t>
      </w:r>
      <w:proofErr w:type="spellStart"/>
      <w:r w:rsidRPr="001C41F1">
        <w:rPr>
          <w:rFonts w:cstheme="minorHAnsi"/>
          <w:lang w:eastAsia="sk-SK"/>
        </w:rPr>
        <w:t>bicycle</w:t>
      </w:r>
      <w:proofErr w:type="spellEnd"/>
      <w:r w:rsidRPr="001C41F1">
        <w:rPr>
          <w:rFonts w:cstheme="minorHAnsi"/>
          <w:lang w:eastAsia="sk-SK"/>
        </w:rPr>
        <w:t xml:space="preserve"> </w:t>
      </w:r>
      <w:proofErr w:type="spellStart"/>
      <w:r w:rsidRPr="001C41F1">
        <w:rPr>
          <w:rFonts w:cstheme="minorHAnsi"/>
          <w:lang w:eastAsia="sk-SK"/>
        </w:rPr>
        <w:t>pilgrim</w:t>
      </w:r>
      <w:proofErr w:type="spellEnd"/>
      <w:r w:rsidRPr="001C41F1">
        <w:rPr>
          <w:rFonts w:cstheme="minorHAnsi"/>
          <w:lang w:eastAsia="sk-SK"/>
        </w:rPr>
        <w:t xml:space="preserve"> </w:t>
      </w:r>
      <w:proofErr w:type="spellStart"/>
      <w:r w:rsidRPr="001C41F1">
        <w:rPr>
          <w:rFonts w:cstheme="minorHAnsi"/>
          <w:lang w:eastAsia="sk-SK"/>
        </w:rPr>
        <w:t>routes</w:t>
      </w:r>
      <w:proofErr w:type="spellEnd"/>
      <w:r w:rsidRPr="001C41F1">
        <w:rPr>
          <w:rFonts w:cstheme="minorHAnsi"/>
          <w:lang w:eastAsia="sk-SK"/>
        </w:rPr>
        <w:t xml:space="preserve"> in </w:t>
      </w:r>
      <w:proofErr w:type="spellStart"/>
      <w:r w:rsidRPr="001C41F1">
        <w:rPr>
          <w:rFonts w:cstheme="minorHAnsi"/>
          <w:lang w:eastAsia="sk-SK"/>
        </w:rPr>
        <w:t>the</w:t>
      </w:r>
      <w:proofErr w:type="spellEnd"/>
      <w:r w:rsidRPr="001C41F1">
        <w:rPr>
          <w:rFonts w:cstheme="minorHAnsi"/>
          <w:lang w:eastAsia="sk-SK"/>
        </w:rPr>
        <w:t xml:space="preserve"> Danube </w:t>
      </w:r>
      <w:proofErr w:type="spellStart"/>
      <w:r w:rsidRPr="001C41F1">
        <w:rPr>
          <w:rFonts w:cstheme="minorHAnsi"/>
          <w:lang w:eastAsia="sk-SK"/>
        </w:rPr>
        <w:t>area</w:t>
      </w:r>
      <w:proofErr w:type="spellEnd"/>
      <w:r w:rsidRPr="001C41F1">
        <w:rPr>
          <w:rFonts w:cstheme="minorHAnsi"/>
          <w:lang w:eastAsia="sk-SK"/>
        </w:rPr>
        <w:t>;</w:t>
      </w:r>
    </w:p>
    <w:p w14:paraId="1811FE0E"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Vysomarch</w:t>
      </w:r>
      <w:proofErr w:type="spellEnd"/>
      <w:r w:rsidRPr="001C41F1">
        <w:rPr>
          <w:rFonts w:cstheme="minorHAnsi"/>
          <w:lang w:eastAsia="sk-SK"/>
        </w:rPr>
        <w:t xml:space="preserve"> - Cezhraničné prepojenia územia BSK a susediacich rakúskych obcí formou </w:t>
      </w:r>
      <w:proofErr w:type="spellStart"/>
      <w:r w:rsidRPr="001C41F1">
        <w:rPr>
          <w:rFonts w:cstheme="minorHAnsi"/>
          <w:lang w:eastAsia="sk-SK"/>
        </w:rPr>
        <w:t>cyklolávok</w:t>
      </w:r>
      <w:proofErr w:type="spellEnd"/>
      <w:r w:rsidRPr="001C41F1">
        <w:rPr>
          <w:rFonts w:cstheme="minorHAnsi"/>
          <w:lang w:eastAsia="sk-SK"/>
        </w:rPr>
        <w:t xml:space="preserve"> cez rieku Morava;</w:t>
      </w:r>
    </w:p>
    <w:p w14:paraId="054C23A6"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r w:rsidRPr="001C41F1">
        <w:rPr>
          <w:rFonts w:cstheme="minorHAnsi"/>
          <w:lang w:eastAsia="sk-SK"/>
        </w:rPr>
        <w:t>Regionálny bod SK-HU;</w:t>
      </w:r>
    </w:p>
    <w:p w14:paraId="5500527F"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Ecoregion</w:t>
      </w:r>
      <w:proofErr w:type="spellEnd"/>
      <w:r w:rsidRPr="001C41F1">
        <w:rPr>
          <w:rFonts w:cstheme="minorHAnsi"/>
          <w:lang w:eastAsia="sk-SK"/>
        </w:rPr>
        <w:t xml:space="preserve"> SKAT (</w:t>
      </w:r>
      <w:proofErr w:type="spellStart"/>
      <w:r w:rsidRPr="001C41F1">
        <w:rPr>
          <w:rFonts w:cstheme="minorHAnsi"/>
          <w:lang w:eastAsia="sk-SK"/>
        </w:rPr>
        <w:t>Ekocentrum</w:t>
      </w:r>
      <w:proofErr w:type="spellEnd"/>
      <w:r w:rsidRPr="001C41F1">
        <w:rPr>
          <w:rFonts w:cstheme="minorHAnsi"/>
          <w:lang w:eastAsia="sk-SK"/>
        </w:rPr>
        <w:t xml:space="preserve"> Čunovo – kaštieľ a vybavenie);</w:t>
      </w:r>
    </w:p>
    <w:p w14:paraId="0869BF03"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Ecoregion</w:t>
      </w:r>
      <w:proofErr w:type="spellEnd"/>
      <w:r w:rsidRPr="001C41F1">
        <w:rPr>
          <w:rFonts w:cstheme="minorHAnsi"/>
          <w:lang w:eastAsia="sk-SK"/>
        </w:rPr>
        <w:t xml:space="preserve"> SKHU (</w:t>
      </w:r>
      <w:proofErr w:type="spellStart"/>
      <w:r w:rsidRPr="001C41F1">
        <w:rPr>
          <w:rFonts w:cstheme="minorHAnsi"/>
          <w:lang w:eastAsia="sk-SK"/>
        </w:rPr>
        <w:t>Ekocentrum</w:t>
      </w:r>
      <w:proofErr w:type="spellEnd"/>
      <w:r w:rsidRPr="001C41F1">
        <w:rPr>
          <w:rFonts w:cstheme="minorHAnsi"/>
          <w:lang w:eastAsia="sk-SK"/>
        </w:rPr>
        <w:t xml:space="preserve"> Čunovo-záhrada a vybavenie);</w:t>
      </w:r>
    </w:p>
    <w:p w14:paraId="5BD186A4"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Flood</w:t>
      </w:r>
      <w:proofErr w:type="spellEnd"/>
      <w:r w:rsidRPr="001C41F1">
        <w:rPr>
          <w:rFonts w:cstheme="minorHAnsi"/>
          <w:lang w:eastAsia="sk-SK"/>
        </w:rPr>
        <w:t xml:space="preserve"> Serv - Verejný protipovodňový a výstražný systém;</w:t>
      </w:r>
    </w:p>
    <w:p w14:paraId="10273665"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Smart</w:t>
      </w:r>
      <w:proofErr w:type="spellEnd"/>
      <w:r w:rsidRPr="001C41F1">
        <w:rPr>
          <w:rFonts w:cstheme="minorHAnsi"/>
          <w:lang w:eastAsia="sk-SK"/>
        </w:rPr>
        <w:t xml:space="preserve"> región BSK (Inštitút regionálnej politiky);</w:t>
      </w:r>
    </w:p>
    <w:p w14:paraId="4B5E7AFC" w14:textId="77777777" w:rsidR="00C32ACA" w:rsidRPr="001C41F1" w:rsidRDefault="00C32ACA" w:rsidP="00C32ACA">
      <w:pPr>
        <w:pStyle w:val="Odsekzoznamu"/>
        <w:numPr>
          <w:ilvl w:val="0"/>
          <w:numId w:val="39"/>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Regiocoop</w:t>
      </w:r>
      <w:proofErr w:type="spellEnd"/>
      <w:r w:rsidRPr="001C41F1">
        <w:rPr>
          <w:rFonts w:cstheme="minorHAnsi"/>
          <w:lang w:eastAsia="sk-SK"/>
        </w:rPr>
        <w:t xml:space="preserve"> </w:t>
      </w:r>
    </w:p>
    <w:p w14:paraId="02A0FB87" w14:textId="7F5EE6A3"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V rámci Integrovaného regionálneho operačného programu administroval nasledovné projekty:</w:t>
      </w:r>
    </w:p>
    <w:p w14:paraId="74DE25AF" w14:textId="32C397B8"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lastRenderedPageBreak/>
        <w:t xml:space="preserve">Rekonštrukcia a investičná podpora Centra odborného vzdelávania a prípravy pre oblasť elektrotechniky </w:t>
      </w:r>
      <w:r w:rsidRPr="001C41F1">
        <w:rPr>
          <w:rFonts w:cstheme="minorHAnsi"/>
          <w:lang w:eastAsia="sk-SK"/>
        </w:rPr>
        <w:br/>
        <w:t xml:space="preserve">a informačných technológií, </w:t>
      </w:r>
      <w:proofErr w:type="spellStart"/>
      <w:r w:rsidRPr="001C41F1">
        <w:rPr>
          <w:rFonts w:cstheme="minorHAnsi"/>
          <w:lang w:eastAsia="sk-SK"/>
        </w:rPr>
        <w:t>Hlinícka</w:t>
      </w:r>
      <w:proofErr w:type="spellEnd"/>
      <w:r w:rsidRPr="001C41F1">
        <w:rPr>
          <w:rFonts w:cstheme="minorHAnsi"/>
          <w:lang w:eastAsia="sk-SK"/>
        </w:rPr>
        <w:t xml:space="preserve"> 1;</w:t>
      </w:r>
    </w:p>
    <w:p w14:paraId="09589AE6" w14:textId="14A03182"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 xml:space="preserve">Bratislava, Rekonštrukcia a investičná podpora Centra odborného vzdelávania a prípravy v pekárstve </w:t>
      </w:r>
      <w:r w:rsidRPr="001C41F1">
        <w:rPr>
          <w:rFonts w:cstheme="minorHAnsi"/>
          <w:lang w:eastAsia="sk-SK"/>
        </w:rPr>
        <w:br/>
        <w:t>a cukrárstve a v mäsiarstve a lahôdkarstve, Farského 9, Bratislava;</w:t>
      </w:r>
    </w:p>
    <w:p w14:paraId="273B1863" w14:textId="41BF98A4"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 xml:space="preserve">Rekonštrukcia a investičná podpora Centra odborného vzdelávania a prípravy v </w:t>
      </w:r>
      <w:proofErr w:type="spellStart"/>
      <w:r w:rsidRPr="001C41F1">
        <w:rPr>
          <w:rFonts w:cstheme="minorHAnsi"/>
          <w:lang w:eastAsia="sk-SK"/>
        </w:rPr>
        <w:t>agropodnikaní</w:t>
      </w:r>
      <w:proofErr w:type="spellEnd"/>
      <w:r w:rsidRPr="001C41F1">
        <w:rPr>
          <w:rFonts w:cstheme="minorHAnsi"/>
          <w:lang w:eastAsia="sk-SK"/>
        </w:rPr>
        <w:t xml:space="preserve"> - farmárstve,</w:t>
      </w:r>
      <w:r w:rsidRPr="001C41F1">
        <w:rPr>
          <w:rFonts w:cstheme="minorHAnsi"/>
          <w:lang w:eastAsia="sk-SK"/>
        </w:rPr>
        <w:br/>
        <w:t>v chove koní a jazdectve, v kynológii a v rybárstve, SNP 30, Ivanka pri Dunaji;</w:t>
      </w:r>
    </w:p>
    <w:p w14:paraId="21235599" w14:textId="77777777"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 xml:space="preserve">Rekonštrukcia a investičná podpora Centra odborného vzdelávania a prípravy v stavebníctve, SOŠ </w:t>
      </w:r>
      <w:proofErr w:type="spellStart"/>
      <w:r w:rsidRPr="001C41F1">
        <w:rPr>
          <w:rFonts w:cstheme="minorHAnsi"/>
          <w:lang w:eastAsia="sk-SK"/>
        </w:rPr>
        <w:t>Ivanská</w:t>
      </w:r>
      <w:proofErr w:type="spellEnd"/>
      <w:r w:rsidRPr="001C41F1">
        <w:rPr>
          <w:rFonts w:cstheme="minorHAnsi"/>
          <w:lang w:eastAsia="sk-SK"/>
        </w:rPr>
        <w:t xml:space="preserve"> cesta 21, Bratislava;</w:t>
      </w:r>
    </w:p>
    <w:p w14:paraId="63979AEF" w14:textId="77777777"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Rekonštrukcia a investičná podpora Centra odborného vzdelávania a prípravy pre oblasť polygrafie a médií SOŠ polygrafická, Račianska 190, Bratislava;</w:t>
      </w:r>
    </w:p>
    <w:p w14:paraId="4A1FA02F" w14:textId="77777777"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 xml:space="preserve">Podpora </w:t>
      </w:r>
      <w:proofErr w:type="spellStart"/>
      <w:r w:rsidRPr="001C41F1">
        <w:rPr>
          <w:rFonts w:cstheme="minorHAnsi"/>
          <w:lang w:eastAsia="sk-SK"/>
        </w:rPr>
        <w:t>deinštitucionalizácie</w:t>
      </w:r>
      <w:proofErr w:type="spellEnd"/>
      <w:r w:rsidRPr="001C41F1">
        <w:rPr>
          <w:rFonts w:cstheme="minorHAnsi"/>
          <w:lang w:eastAsia="sk-SK"/>
        </w:rPr>
        <w:t xml:space="preserve"> zariadení a sociálnych služieb v okrese Pezinok - DSS a ZPB MEREMA (objekty Častá, Dubová, Modra </w:t>
      </w:r>
      <w:proofErr w:type="spellStart"/>
      <w:r w:rsidRPr="001C41F1">
        <w:rPr>
          <w:rFonts w:cstheme="minorHAnsi"/>
          <w:lang w:eastAsia="sk-SK"/>
        </w:rPr>
        <w:t>Kraľová</w:t>
      </w:r>
      <w:proofErr w:type="spellEnd"/>
      <w:r w:rsidRPr="001C41F1">
        <w:rPr>
          <w:rFonts w:cstheme="minorHAnsi"/>
          <w:lang w:eastAsia="sk-SK"/>
        </w:rPr>
        <w:t>);</w:t>
      </w:r>
    </w:p>
    <w:p w14:paraId="3A51115A" w14:textId="77777777"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 xml:space="preserve">Podpora </w:t>
      </w:r>
      <w:proofErr w:type="spellStart"/>
      <w:r w:rsidRPr="001C41F1">
        <w:rPr>
          <w:rFonts w:cstheme="minorHAnsi"/>
          <w:lang w:eastAsia="sk-SK"/>
        </w:rPr>
        <w:t>deinštitucionalizácie</w:t>
      </w:r>
      <w:proofErr w:type="spellEnd"/>
      <w:r w:rsidRPr="001C41F1">
        <w:rPr>
          <w:rFonts w:cstheme="minorHAnsi"/>
          <w:lang w:eastAsia="sk-SK"/>
        </w:rPr>
        <w:t xml:space="preserve"> zariadení sociálnych služieb v Bratislave - DSS a ZPS Rača (objekty Račianska a </w:t>
      </w:r>
      <w:proofErr w:type="spellStart"/>
      <w:r w:rsidRPr="001C41F1">
        <w:rPr>
          <w:rFonts w:cstheme="minorHAnsi"/>
          <w:lang w:eastAsia="sk-SK"/>
        </w:rPr>
        <w:t>Strelkova</w:t>
      </w:r>
      <w:proofErr w:type="spellEnd"/>
      <w:r w:rsidRPr="001C41F1">
        <w:rPr>
          <w:rFonts w:cstheme="minorHAnsi"/>
          <w:lang w:eastAsia="sk-SK"/>
        </w:rPr>
        <w:t>);</w:t>
      </w:r>
    </w:p>
    <w:p w14:paraId="53138136" w14:textId="77777777"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Plán udržateľnej mobility Bratislavského samosprávneho kraja;</w:t>
      </w:r>
    </w:p>
    <w:p w14:paraId="2E50D474" w14:textId="77777777" w:rsidR="00C32ACA" w:rsidRPr="001C41F1" w:rsidRDefault="00C32ACA" w:rsidP="00C32ACA">
      <w:pPr>
        <w:pStyle w:val="Odsekzoznamu"/>
        <w:numPr>
          <w:ilvl w:val="0"/>
          <w:numId w:val="38"/>
        </w:numPr>
        <w:autoSpaceDE w:val="0"/>
        <w:autoSpaceDN w:val="0"/>
        <w:adjustRightInd w:val="0"/>
        <w:spacing w:before="100" w:after="100" w:line="240" w:lineRule="auto"/>
        <w:ind w:left="709" w:hanging="283"/>
        <w:jc w:val="both"/>
        <w:rPr>
          <w:rFonts w:cstheme="minorHAnsi"/>
          <w:lang w:eastAsia="sk-SK"/>
        </w:rPr>
      </w:pPr>
      <w:r w:rsidRPr="001C41F1">
        <w:rPr>
          <w:rFonts w:cstheme="minorHAnsi"/>
          <w:lang w:eastAsia="sk-SK"/>
        </w:rPr>
        <w:t>Modernizácia cesty III. triedy 1113 Rohožník – Malacky;</w:t>
      </w:r>
    </w:p>
    <w:p w14:paraId="6DF325D4"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Projekty vo fáze predprojektovej prípravy: </w:t>
      </w:r>
    </w:p>
    <w:p w14:paraId="23FF1EFE" w14:textId="77777777" w:rsidR="00C32ACA" w:rsidRPr="001C41F1" w:rsidRDefault="00C32ACA" w:rsidP="00C32ACA">
      <w:pPr>
        <w:pStyle w:val="Odsekzoznamu"/>
        <w:numPr>
          <w:ilvl w:val="0"/>
          <w:numId w:val="37"/>
        </w:numPr>
        <w:autoSpaceDE w:val="0"/>
        <w:autoSpaceDN w:val="0"/>
        <w:adjustRightInd w:val="0"/>
        <w:spacing w:before="100" w:after="100" w:line="240" w:lineRule="auto"/>
        <w:jc w:val="both"/>
        <w:rPr>
          <w:rFonts w:cstheme="minorHAnsi"/>
          <w:lang w:eastAsia="sk-SK"/>
        </w:rPr>
      </w:pPr>
      <w:r w:rsidRPr="001C41F1">
        <w:rPr>
          <w:rFonts w:cstheme="minorHAnsi"/>
          <w:lang w:eastAsia="sk-SK"/>
        </w:rPr>
        <w:t>Zelené opatrenia budovy BSK;</w:t>
      </w:r>
    </w:p>
    <w:p w14:paraId="0D54BC2F" w14:textId="77777777" w:rsidR="00C32ACA" w:rsidRPr="001C41F1" w:rsidRDefault="00C32ACA" w:rsidP="00C32ACA">
      <w:pPr>
        <w:pStyle w:val="Odsekzoznamu"/>
        <w:numPr>
          <w:ilvl w:val="0"/>
          <w:numId w:val="37"/>
        </w:num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Zelené opatrenia na budove SOŠ </w:t>
      </w:r>
      <w:proofErr w:type="spellStart"/>
      <w:r w:rsidRPr="001C41F1">
        <w:rPr>
          <w:rFonts w:cstheme="minorHAnsi"/>
          <w:lang w:eastAsia="sk-SK"/>
        </w:rPr>
        <w:t>Ivanská</w:t>
      </w:r>
      <w:proofErr w:type="spellEnd"/>
      <w:r w:rsidRPr="001C41F1">
        <w:rPr>
          <w:rFonts w:cstheme="minorHAnsi"/>
          <w:lang w:eastAsia="sk-SK"/>
        </w:rPr>
        <w:t xml:space="preserve"> cesta 21;</w:t>
      </w:r>
    </w:p>
    <w:p w14:paraId="06C41C9D" w14:textId="77777777" w:rsidR="00C32ACA" w:rsidRPr="001C41F1" w:rsidRDefault="00C32ACA" w:rsidP="00C32ACA">
      <w:pPr>
        <w:pStyle w:val="Odsekzoznamu"/>
        <w:numPr>
          <w:ilvl w:val="0"/>
          <w:numId w:val="37"/>
        </w:num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Prepojenie diaľničnej križovatky </w:t>
      </w:r>
      <w:proofErr w:type="spellStart"/>
      <w:r w:rsidRPr="001C41F1">
        <w:rPr>
          <w:rFonts w:cstheme="minorHAnsi"/>
          <w:lang w:eastAsia="sk-SK"/>
        </w:rPr>
        <w:t>Triblavina</w:t>
      </w:r>
      <w:proofErr w:type="spellEnd"/>
      <w:r w:rsidRPr="001C41F1">
        <w:rPr>
          <w:rFonts w:cstheme="minorHAnsi"/>
          <w:lang w:eastAsia="sk-SK"/>
        </w:rPr>
        <w:t xml:space="preserve"> s cestou III/1059 (50212);</w:t>
      </w:r>
    </w:p>
    <w:p w14:paraId="2C8A55BA" w14:textId="77777777" w:rsidR="00C32ACA" w:rsidRPr="001C41F1" w:rsidRDefault="00C32ACA" w:rsidP="00C32ACA">
      <w:pPr>
        <w:pStyle w:val="Odsekzoznamu"/>
        <w:numPr>
          <w:ilvl w:val="0"/>
          <w:numId w:val="37"/>
        </w:numPr>
        <w:autoSpaceDE w:val="0"/>
        <w:autoSpaceDN w:val="0"/>
        <w:adjustRightInd w:val="0"/>
        <w:spacing w:before="100" w:after="100" w:line="240" w:lineRule="auto"/>
        <w:jc w:val="both"/>
        <w:rPr>
          <w:rFonts w:cstheme="minorHAnsi"/>
          <w:lang w:eastAsia="sk-SK"/>
        </w:rPr>
      </w:pPr>
      <w:r w:rsidRPr="001C41F1">
        <w:rPr>
          <w:rFonts w:cstheme="minorHAnsi"/>
          <w:lang w:eastAsia="sk-SK"/>
        </w:rPr>
        <w:t>Cyklistické prepojenie medzi mestom Malacky a obcou Rohožník;</w:t>
      </w:r>
    </w:p>
    <w:p w14:paraId="52079E3B" w14:textId="77777777" w:rsidR="00C32ACA" w:rsidRPr="001C41F1" w:rsidRDefault="00C32ACA" w:rsidP="00C32ACA">
      <w:pPr>
        <w:pStyle w:val="Odsekzoznamu"/>
        <w:numPr>
          <w:ilvl w:val="0"/>
          <w:numId w:val="37"/>
        </w:num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Štúdia realizovateľnosti cestného mosta ponad rieku Morava medzi obcou </w:t>
      </w:r>
      <w:proofErr w:type="spellStart"/>
      <w:r w:rsidRPr="001C41F1">
        <w:rPr>
          <w:rFonts w:cstheme="minorHAnsi"/>
          <w:lang w:eastAsia="sk-SK"/>
        </w:rPr>
        <w:t>Angern</w:t>
      </w:r>
      <w:proofErr w:type="spellEnd"/>
      <w:r w:rsidRPr="001C41F1">
        <w:rPr>
          <w:rFonts w:cstheme="minorHAnsi"/>
          <w:lang w:eastAsia="sk-SK"/>
        </w:rPr>
        <w:t xml:space="preserve"> a obcou Záhorská Ves;</w:t>
      </w:r>
    </w:p>
    <w:p w14:paraId="094E1939" w14:textId="77777777" w:rsidR="00C32ACA" w:rsidRPr="001C41F1" w:rsidRDefault="00C32ACA" w:rsidP="00C32ACA">
      <w:pPr>
        <w:pStyle w:val="Odsekzoznamu"/>
        <w:numPr>
          <w:ilvl w:val="0"/>
          <w:numId w:val="37"/>
        </w:num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Autistické centrum </w:t>
      </w:r>
      <w:proofErr w:type="spellStart"/>
      <w:r w:rsidRPr="001C41F1">
        <w:rPr>
          <w:rFonts w:cstheme="minorHAnsi"/>
          <w:lang w:eastAsia="sk-SK"/>
        </w:rPr>
        <w:t>Znievska</w:t>
      </w:r>
      <w:proofErr w:type="spellEnd"/>
      <w:r w:rsidRPr="001C41F1">
        <w:rPr>
          <w:rFonts w:cstheme="minorHAnsi"/>
          <w:lang w:eastAsia="sk-SK"/>
        </w:rPr>
        <w:t>;</w:t>
      </w:r>
    </w:p>
    <w:p w14:paraId="142A66BE" w14:textId="77777777" w:rsidR="00C32ACA" w:rsidRPr="001C41F1" w:rsidRDefault="00C32ACA" w:rsidP="00C32ACA">
      <w:pPr>
        <w:pStyle w:val="Odsekzoznamu"/>
        <w:numPr>
          <w:ilvl w:val="0"/>
          <w:numId w:val="37"/>
        </w:numPr>
        <w:spacing w:before="100" w:after="100" w:line="240" w:lineRule="auto"/>
        <w:jc w:val="both"/>
        <w:rPr>
          <w:rFonts w:cstheme="minorHAnsi"/>
          <w:lang w:eastAsia="sk-SK"/>
        </w:rPr>
      </w:pPr>
      <w:r w:rsidRPr="001C41F1">
        <w:rPr>
          <w:rFonts w:cstheme="minorHAnsi"/>
          <w:lang w:eastAsia="sk-SK"/>
        </w:rPr>
        <w:t xml:space="preserve">Rekonštrukcia parku v </w:t>
      </w:r>
      <w:proofErr w:type="spellStart"/>
      <w:r w:rsidRPr="001C41F1">
        <w:rPr>
          <w:rFonts w:cstheme="minorHAnsi"/>
          <w:lang w:eastAsia="sk-SK"/>
        </w:rPr>
        <w:t>Malinove</w:t>
      </w:r>
      <w:proofErr w:type="spellEnd"/>
      <w:r w:rsidRPr="001C41F1">
        <w:rPr>
          <w:rFonts w:cstheme="minorHAnsi"/>
          <w:lang w:eastAsia="sk-SK"/>
        </w:rPr>
        <w:t xml:space="preserve">; </w:t>
      </w:r>
    </w:p>
    <w:p w14:paraId="5354853D"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K 1. máju 2020 došlo, vytvorením Inštitútu regionálnej politiky Bratislavského kraja (ďalej len „IRP BK“), k posilneniu analyticko-strategických a implementačných kapacít na Úrade BSK, ktoré sú v súlade s návrhom Vízie a stratégie rozvoja Slovenska do roku 2030 súčasťou podporného systému strategického riadenia štátu. Vznik a fungovanie IRP BK je jednou z hlavných aktivít projektu </w:t>
      </w:r>
      <w:proofErr w:type="spellStart"/>
      <w:r w:rsidRPr="001C41F1">
        <w:rPr>
          <w:rFonts w:cstheme="minorHAnsi"/>
          <w:lang w:eastAsia="sk-SK"/>
        </w:rPr>
        <w:t>Smart</w:t>
      </w:r>
      <w:proofErr w:type="spellEnd"/>
      <w:r w:rsidRPr="001C41F1">
        <w:rPr>
          <w:rFonts w:cstheme="minorHAnsi"/>
          <w:lang w:eastAsia="sk-SK"/>
        </w:rPr>
        <w:t xml:space="preserve"> región BSK, ktorý je spolufinancovaný z prostriedkov Európskeho sociálneho fondu v rámci operačného programu Efektívna verejná správa. Kľúčovými strategickými a koncepčnými dokumentami IRP BK, v ktorých boli na prelome rokov 2020/2021 ukončené procesy verejného obstarávania a následne začal proces ich tvorby v spolupráci s externými dodávateľmi, sú: </w:t>
      </w:r>
    </w:p>
    <w:p w14:paraId="6C885870"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Stratégia Bratislava SMART </w:t>
      </w:r>
      <w:proofErr w:type="spellStart"/>
      <w:r w:rsidRPr="001C41F1">
        <w:rPr>
          <w:rFonts w:cstheme="minorHAnsi"/>
          <w:lang w:eastAsia="sk-SK"/>
        </w:rPr>
        <w:t>Region</w:t>
      </w:r>
      <w:proofErr w:type="spellEnd"/>
      <w:r w:rsidRPr="001C41F1">
        <w:rPr>
          <w:rFonts w:cstheme="minorHAnsi"/>
          <w:lang w:eastAsia="sk-SK"/>
        </w:rPr>
        <w:t>  </w:t>
      </w:r>
    </w:p>
    <w:p w14:paraId="45B5B460"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Zabezpečenie zavedenia systému riadenia kvality na vybranej škole v zriaďovateľskej pôsobnosti BSK podľa modelu </w:t>
      </w:r>
      <w:proofErr w:type="spellStart"/>
      <w:r w:rsidRPr="001C41F1">
        <w:rPr>
          <w:rFonts w:cstheme="minorHAnsi"/>
          <w:lang w:eastAsia="sk-SK"/>
        </w:rPr>
        <w:t>Common</w:t>
      </w:r>
      <w:proofErr w:type="spellEnd"/>
      <w:r w:rsidRPr="001C41F1">
        <w:rPr>
          <w:rFonts w:cstheme="minorHAnsi"/>
          <w:lang w:eastAsia="sk-SK"/>
        </w:rPr>
        <w:t> </w:t>
      </w:r>
      <w:proofErr w:type="spellStart"/>
      <w:r w:rsidRPr="001C41F1">
        <w:rPr>
          <w:rFonts w:cstheme="minorHAnsi"/>
          <w:lang w:eastAsia="sk-SK"/>
        </w:rPr>
        <w:t>Assessment</w:t>
      </w:r>
      <w:proofErr w:type="spellEnd"/>
      <w:r w:rsidRPr="001C41F1">
        <w:rPr>
          <w:rFonts w:cstheme="minorHAnsi"/>
          <w:lang w:eastAsia="sk-SK"/>
        </w:rPr>
        <w:t> </w:t>
      </w:r>
      <w:proofErr w:type="spellStart"/>
      <w:r w:rsidRPr="001C41F1">
        <w:rPr>
          <w:rFonts w:cstheme="minorHAnsi"/>
          <w:lang w:eastAsia="sk-SK"/>
        </w:rPr>
        <w:t>Framework</w:t>
      </w:r>
      <w:proofErr w:type="spellEnd"/>
      <w:r w:rsidRPr="001C41F1">
        <w:rPr>
          <w:rFonts w:cstheme="minorHAnsi"/>
          <w:lang w:eastAsia="sk-SK"/>
        </w:rPr>
        <w:t> (CAF) </w:t>
      </w:r>
    </w:p>
    <w:p w14:paraId="66D5B218"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Koncepcia rozvoja športu a mládeže v podmienkach Bratislavského samosprávneho kraja 2021-2025 </w:t>
      </w:r>
    </w:p>
    <w:p w14:paraId="2F1E4026"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Vykonanie dátovej analýzy na Úrade BSK a návrh IT platformy na zber, zverejňovanie a analýzu otvorených dát </w:t>
      </w:r>
    </w:p>
    <w:p w14:paraId="368FCE31"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Koncepcia zvyšovania priepustnosti a bezpečnosti vybraných križovatiek na cestách II. a III. Triedy na území BSK </w:t>
      </w:r>
    </w:p>
    <w:p w14:paraId="45E60637"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Koncepcia rozvoja verejnej osobnej dopravy v BSK </w:t>
      </w:r>
    </w:p>
    <w:p w14:paraId="248952B6"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Adaptačný plán BSK na nepriaznivé dôsledky zmeny klímy   </w:t>
      </w:r>
    </w:p>
    <w:p w14:paraId="4336C4B8"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r w:rsidRPr="001C41F1">
        <w:rPr>
          <w:rFonts w:cstheme="minorHAnsi"/>
          <w:lang w:eastAsia="sk-SK"/>
        </w:rPr>
        <w:t>Stratégia rozvoja zdravotnej starostlivosti v BSK na roky 2021-2025 </w:t>
      </w:r>
    </w:p>
    <w:p w14:paraId="27258DF4" w14:textId="77777777" w:rsidR="00C32ACA" w:rsidRPr="001C41F1" w:rsidRDefault="00C32ACA" w:rsidP="00C32ACA">
      <w:pPr>
        <w:pStyle w:val="Odsekzoznamu"/>
        <w:numPr>
          <w:ilvl w:val="0"/>
          <w:numId w:val="40"/>
        </w:num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Social</w:t>
      </w:r>
      <w:proofErr w:type="spellEnd"/>
      <w:r w:rsidRPr="001C41F1">
        <w:rPr>
          <w:rFonts w:cstheme="minorHAnsi"/>
          <w:lang w:eastAsia="sk-SK"/>
        </w:rPr>
        <w:t> </w:t>
      </w:r>
      <w:proofErr w:type="spellStart"/>
      <w:r w:rsidRPr="001C41F1">
        <w:rPr>
          <w:rFonts w:cstheme="minorHAnsi"/>
          <w:lang w:eastAsia="sk-SK"/>
        </w:rPr>
        <w:t>Progress</w:t>
      </w:r>
      <w:proofErr w:type="spellEnd"/>
      <w:r w:rsidRPr="001C41F1">
        <w:rPr>
          <w:rFonts w:cstheme="minorHAnsi"/>
          <w:lang w:eastAsia="sk-SK"/>
        </w:rPr>
        <w:t> Index (Index sociálneho pokroku) </w:t>
      </w:r>
    </w:p>
    <w:p w14:paraId="76CE809B" w14:textId="1B65C3C6"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druhom polroku 2020 </w:t>
      </w:r>
      <w:proofErr w:type="spellStart"/>
      <w:r w:rsidRPr="001C41F1">
        <w:rPr>
          <w:rFonts w:cstheme="minorHAnsi"/>
          <w:lang w:eastAsia="sk-SK"/>
        </w:rPr>
        <w:t>OSÚRaRP</w:t>
      </w:r>
      <w:proofErr w:type="spellEnd"/>
      <w:r w:rsidRPr="001C41F1">
        <w:rPr>
          <w:rFonts w:cstheme="minorHAnsi"/>
          <w:lang w:eastAsia="sk-SK"/>
        </w:rPr>
        <w:t xml:space="preserve"> intenzívne pokračoval v spolupráci na tvorbe Programu hospodárskeho rozvoja a sociálneho rozvoja na roky 2021–2027 (s výhľadom do roku 2030) (ďalej len „PHRSR na roky 2021-2027“). Ide o strednodobý rozvojový dokument, ktorý patrí medzi najdôležitejšie strategické dokumenty VÚC, v zmysle zákona č. 539/2008 Z. z. o podpore regionálneho rozvoja, ktorý nastavuje smer a priority rozvoja kraja a zároveň slúži ako nástroj na čerpanie verejných prostriedkov a eurofondov na nasledujúcich 10 rokov. V roku 2020 bola dopracovaná návrhová (strategicko-programová) a implementačná (realizačno-finančná) časť dokumentu a v 4.kvartali roku 2020 začal proces pripomienkovania dokumentu. </w:t>
      </w:r>
    </w:p>
    <w:p w14:paraId="6B28C453"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Vypracovanie dokumentu sa v každej etape realizovalo za účasti širokej skupiny sociálno-ekonomických partnerov. Do prípravy dokumentu boli zapojení predovšetkým zástupcovia všetkých obcí, miest a mestských častí na území kraja. Zo strany akademického sektora a výskumu boli do prípravy zapojení aj zástupcovia univerzít, vysokých škôl a Slovenskej akadémie vied. Zo strany súkromného sektora boli do prípravy zapojení predstavitelia najväčších </w:t>
      </w:r>
      <w:r w:rsidRPr="001C41F1">
        <w:rPr>
          <w:rFonts w:cstheme="minorHAnsi"/>
          <w:lang w:eastAsia="sk-SK"/>
        </w:rPr>
        <w:lastRenderedPageBreak/>
        <w:t xml:space="preserve">zamestnávateľov na území kraja, zástupcovia obchodnej komory a zväzov podnikateľských subjektov. Zo strany mimovládneho sektora boli zapojení zástupcovia cirkví, neziskových organizácií pôsobiacich v rôznych oblastiach (najmä životné prostredie, vzdelávanie, sociálna oblasť, zdravotná starostlivosť, turizmus a kultúra). Individuálne tematické rokovania boli realizované so zástupcami štátnej správy. Dokument bol k dispozícií aj pre širokú verejnosť. Svojimi postrehmi a pripomienkami pri tvorbe dokumentu prispeli aj zástupcovia Európskej komisie a Európskej investičnej banky prostredníctvom pracovnej skupiny JASPERS. </w:t>
      </w:r>
    </w:p>
    <w:p w14:paraId="16009479"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Aj napriek </w:t>
      </w:r>
      <w:proofErr w:type="spellStart"/>
      <w:r w:rsidRPr="001C41F1">
        <w:rPr>
          <w:rFonts w:cstheme="minorHAnsi"/>
          <w:lang w:eastAsia="sk-SK"/>
        </w:rPr>
        <w:t>pandemickej</w:t>
      </w:r>
      <w:proofErr w:type="spellEnd"/>
      <w:r w:rsidRPr="001C41F1">
        <w:rPr>
          <w:rFonts w:cstheme="minorHAnsi"/>
          <w:lang w:eastAsia="sk-SK"/>
        </w:rPr>
        <w:t xml:space="preserve"> situácii, v súvislosti so šírením vírusu COVID-19, ktorá skomplikovala komunikáciu s partnermi, sa dokopy uskutočnilo niekoľko desiatok stretnutí a spolu bolo týmito spôsobmi zapojených viac ako 300 subjektov, ktoré aktívne prispeli do procesu tvorby PHRSR na roky 2021-2027 (s výhľadom do 2030), či už prostredníctvom postrehov, pripomienok alebo definovaním svojich potrieb a konkrétnych projektových zámerov.</w:t>
      </w:r>
    </w:p>
    <w:p w14:paraId="2A44F660"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súvislosti so spracovávaním dokumentu PHRSR na roky 2021-2027 (s výhľadom do 2030) sa v druhom polroku 2020 </w:t>
      </w:r>
      <w:proofErr w:type="spellStart"/>
      <w:r w:rsidRPr="001C41F1">
        <w:rPr>
          <w:rFonts w:cstheme="minorHAnsi"/>
          <w:lang w:eastAsia="sk-SK"/>
        </w:rPr>
        <w:t>OSÚRaRP</w:t>
      </w:r>
      <w:proofErr w:type="spellEnd"/>
      <w:r w:rsidRPr="001C41F1">
        <w:rPr>
          <w:rFonts w:cstheme="minorHAnsi"/>
          <w:lang w:eastAsia="sk-SK"/>
        </w:rPr>
        <w:t xml:space="preserve"> venoval aj prípravám a kreovaniu Rady partnerstva pre Integrovaný územný rozvoj Bratislavského kraja na roky 2021-2027 (ďalej len „Rada partnerstva“). Práve dokument PHRSR je totiž východiskom pre prípravu integrovanej územnej stratégie BSK (ďalej len „IÚS“), ktorá predstavuje implementačný nástroj PHRSR vo vzťahu k využitiu európskych štrukturálnych a investičných fondov (prípadne iných externých zdrojov). Súčasťou IÚS bude zásobník projektových zámerov, ktoré budú na území samosprávneho kraja podporené. Tieto projektové zámery bude schvaľovať Rada partnerstva BSK, ktorej ustanovujúce zasadnutie sa uskutočnilo 18.11.2020. Poradnými orgánmi Rady partnerstva je 7 pridružených tematických komisií, ktoré vedú zamestnanci </w:t>
      </w:r>
      <w:proofErr w:type="spellStart"/>
      <w:r w:rsidRPr="001C41F1">
        <w:rPr>
          <w:rFonts w:cstheme="minorHAnsi"/>
          <w:lang w:eastAsia="sk-SK"/>
        </w:rPr>
        <w:t>OSÚRaRP</w:t>
      </w:r>
      <w:proofErr w:type="spellEnd"/>
      <w:r w:rsidRPr="001C41F1">
        <w:rPr>
          <w:rFonts w:cstheme="minorHAnsi"/>
          <w:lang w:eastAsia="sk-SK"/>
        </w:rPr>
        <w:t xml:space="preserve">, SAV a Magistrátu HLMSR BA. Prvé zasadnutia komisií sa uskutočnili 7.-15.12.2020. V rámci tvorby IÚS odvtedy prebieha v rámci spomínaných tematických skupín komunikácia jednak na úrovni samosprávy, ako aj na úrovni sociálno-ekonomických partnerov s cieľom aktualizácie projektových zásobníkov z hľadiska finančnej náročnosti a stavu pripravenosti. Dôležitú úlohu v celom proces budú zohrávať tzv. kompetenčné centrá, ktoré budú poskytovať metodickú výpomoc a </w:t>
      </w:r>
      <w:proofErr w:type="spellStart"/>
      <w:r w:rsidRPr="001C41F1">
        <w:rPr>
          <w:rFonts w:cstheme="minorHAnsi"/>
          <w:lang w:eastAsia="sk-SK"/>
        </w:rPr>
        <w:t>proklientský</w:t>
      </w:r>
      <w:proofErr w:type="spellEnd"/>
      <w:r w:rsidRPr="001C41F1">
        <w:rPr>
          <w:rFonts w:cstheme="minorHAnsi"/>
          <w:lang w:eastAsia="sk-SK"/>
        </w:rPr>
        <w:t xml:space="preserve"> servis pre žiadateľov.</w:t>
      </w:r>
    </w:p>
    <w:p w14:paraId="32AC8848"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Všetky dáta a zistenia zozbierané počas uvedených aktivít boli počas roka 2020 využívané pri vstupoch BSK do prípravy nového programového obdobia a tiež Plánu obnovy a odolnosti.</w:t>
      </w:r>
    </w:p>
    <w:p w14:paraId="17726075"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V máji 2020 EK v reakcii na krízu súvisiacu s pandémiou zverejnila revidovaný návrh viacročného finančného rámca spolu s novým nástrojom obnovy s názvom „</w:t>
      </w:r>
      <w:proofErr w:type="spellStart"/>
      <w:r w:rsidRPr="001C41F1">
        <w:rPr>
          <w:rFonts w:cstheme="minorHAnsi"/>
          <w:lang w:eastAsia="sk-SK"/>
        </w:rPr>
        <w:t>Next</w:t>
      </w:r>
      <w:proofErr w:type="spellEnd"/>
      <w:r w:rsidRPr="001C41F1">
        <w:rPr>
          <w:rFonts w:cstheme="minorHAnsi"/>
          <w:lang w:eastAsia="sk-SK"/>
        </w:rPr>
        <w:t xml:space="preserve"> </w:t>
      </w:r>
      <w:proofErr w:type="spellStart"/>
      <w:r w:rsidRPr="001C41F1">
        <w:rPr>
          <w:rFonts w:cstheme="minorHAnsi"/>
          <w:lang w:eastAsia="sk-SK"/>
        </w:rPr>
        <w:t>Generation</w:t>
      </w:r>
      <w:proofErr w:type="spellEnd"/>
      <w:r w:rsidRPr="001C41F1">
        <w:rPr>
          <w:rFonts w:cstheme="minorHAnsi"/>
          <w:lang w:eastAsia="sk-SK"/>
        </w:rPr>
        <w:t xml:space="preserve"> EU“. Súčasťou revidovaného rozpočtu boli aj nové nástroje, ktorých cieľom je zmierniť negatívne dopady pandémie a rýchla obnova hospodárstva. Najdôležitejším komponentom  v rámci Plánu obnovy je Mechanizmus na podporu obnovy a odolnosti s celkovým rozpočtom 672,5 mld. EUR. V rámci tohto mechanizmu je pre SR alokovaných 5,84 mld. EUR vo forme grantov. BSK viedol intenzívne debaty s MF SR s cieľom zahrnúť dôležité priority BSK do národného plánu obnovy a odolnosti. V rámci </w:t>
      </w:r>
      <w:proofErr w:type="spellStart"/>
      <w:r w:rsidRPr="001C41F1">
        <w:rPr>
          <w:rFonts w:cstheme="minorHAnsi"/>
          <w:lang w:eastAsia="sk-SK"/>
        </w:rPr>
        <w:t>Next</w:t>
      </w:r>
      <w:proofErr w:type="spellEnd"/>
      <w:r w:rsidRPr="001C41F1">
        <w:rPr>
          <w:rFonts w:cstheme="minorHAnsi"/>
          <w:lang w:eastAsia="sk-SK"/>
        </w:rPr>
        <w:t xml:space="preserve"> </w:t>
      </w:r>
      <w:proofErr w:type="spellStart"/>
      <w:r w:rsidRPr="001C41F1">
        <w:rPr>
          <w:rFonts w:cstheme="minorHAnsi"/>
          <w:lang w:eastAsia="sk-SK"/>
        </w:rPr>
        <w:t>Generation</w:t>
      </w:r>
      <w:proofErr w:type="spellEnd"/>
      <w:r w:rsidRPr="001C41F1">
        <w:rPr>
          <w:rFonts w:cstheme="minorHAnsi"/>
          <w:lang w:eastAsia="sk-SK"/>
        </w:rPr>
        <w:t xml:space="preserve"> EU sú zdroje vyčlenené aj na nástroj REACT-EU. Počas roka 2020 BSK viedol dôležité rokovania s MIRRI SR a Európskou komisiou s cieľom zahrnúť financovanie rozširovania kapacít ZŠ na území kraja do národných priorít SR v celkovej výške viac ako 40 mil.€ (COV). Vo vzťahu k EK a RO sme preukázali vysokú potrebu a pripravenosť územia v tejto oblasti.</w:t>
      </w:r>
    </w:p>
    <w:p w14:paraId="19EB274C"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roku 2020 bol spracovaný taktiež strešný dokument pre koncept „SMART“ škôl, ktorý predstavuje víziu, ako má vyzerať moderné školstvo a vzdelávanie v kraji. Koncept pracuje s opisom 10 funkcií, ktoré sú pre „SMART“ školu kľúčové, najmä princípy zelenej, digitálnej, inkluzívnej a verejnosti otvorenej školy. V nadväznosti na koncept „SMART“ škôl sa taktiež začala príprava prípadovej štúdie možností vybudovania vzdelávacieho kampusu, ktorý by integroval viacero škôl s rovnakým zameraním v jednom areáli, ktorý zároveň slúži širšej verejnosti.  </w:t>
      </w:r>
    </w:p>
    <w:p w14:paraId="15E34971"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V roku 2020 došlo k ukončeniu spracovania Koncepcie sociálnej inklúzie BSK na roky 2020 – 2030, na ktorej BSK spolupracovalo s Prírodovedeckou fakultou UK v Bratislave. Koncepcia vychádza z programových dokumentov európskej, národnej a regionálnej úrovne a platnej legislatívy v sociálnej oblasti a jej cieľom je umožniť rovnaké príležitosti individuálneho rozvoja všetkým obyvateľov regiónu. Na základe analýzy vybraných problémov sociálnej inklúzie a diskusií s viac ako 130 relevantnými predstaviteľmi samosprávy, štátnych orgánov, mimovládnych a neziskových organizácií identifikuje najzraniteľnejšie skupiny obyvateľstva: seniori, ľudia bez domova, deti a mládež, osoby s nízkymi príjmami, cudzinci, Rómovia z marginalizovaných rómskych komunít. Prostredníctvom návrhu priorít, opatrení a aktivít stanovuje možnosti riešenia ako zabezpečiť prijateľnejšie životné podmienky jednotlivých ohrozených skupín obyvateľstva. Koncepcia bola schválená Zastupiteľstvom BSK 4.9.2020.</w:t>
      </w:r>
    </w:p>
    <w:p w14:paraId="4F472C55"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rámci projektu </w:t>
      </w:r>
      <w:proofErr w:type="spellStart"/>
      <w:r w:rsidRPr="001C41F1">
        <w:rPr>
          <w:rFonts w:cstheme="minorHAnsi"/>
          <w:lang w:eastAsia="sk-SK"/>
        </w:rPr>
        <w:t>Smart</w:t>
      </w:r>
      <w:proofErr w:type="spellEnd"/>
      <w:r w:rsidRPr="001C41F1">
        <w:rPr>
          <w:rFonts w:cstheme="minorHAnsi"/>
          <w:lang w:eastAsia="sk-SK"/>
        </w:rPr>
        <w:t xml:space="preserve"> </w:t>
      </w:r>
      <w:proofErr w:type="spellStart"/>
      <w:r w:rsidRPr="001C41F1">
        <w:rPr>
          <w:rFonts w:cstheme="minorHAnsi"/>
          <w:lang w:eastAsia="sk-SK"/>
        </w:rPr>
        <w:t>Region</w:t>
      </w:r>
      <w:proofErr w:type="spellEnd"/>
      <w:r w:rsidRPr="001C41F1">
        <w:rPr>
          <w:rFonts w:cstheme="minorHAnsi"/>
          <w:lang w:eastAsia="sk-SK"/>
        </w:rPr>
        <w:t xml:space="preserve"> BSK bol na Odbore územného plánu, GIS a životného prostredia prijatý nový zamestnanec, dendrológ. Vďaka novej kapacite mohol BSK spustiť v roku 2020 spracovanie pasportizácie zelene, cez inventarizáciu stromov a krov v areáloch vo vlastníctve alebo spoluvlastníctve BSK a začať jej systematickú starostlivosť.</w:t>
      </w:r>
    </w:p>
    <w:p w14:paraId="787CA73F"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lastRenderedPageBreak/>
        <w:t xml:space="preserve">V zmysle akčného plánu Koncepcie budovania siete environmentálno-vzdelávacích centier v BSK na obdobie 2018 – 2025 bola v roku 2020 zriadená na Oddelení životného prostredia Úradu BSK pozícia koordinátora environmentálneho vzdelávania, výchovy a osvety (financovaný z projektu </w:t>
      </w:r>
      <w:proofErr w:type="spellStart"/>
      <w:r w:rsidRPr="001C41F1">
        <w:rPr>
          <w:rFonts w:cstheme="minorHAnsi"/>
          <w:lang w:eastAsia="sk-SK"/>
        </w:rPr>
        <w:t>Smart</w:t>
      </w:r>
      <w:proofErr w:type="spellEnd"/>
      <w:r w:rsidRPr="001C41F1">
        <w:rPr>
          <w:rFonts w:cstheme="minorHAnsi"/>
          <w:lang w:eastAsia="sk-SK"/>
        </w:rPr>
        <w:t xml:space="preserve"> </w:t>
      </w:r>
      <w:proofErr w:type="spellStart"/>
      <w:r w:rsidRPr="001C41F1">
        <w:rPr>
          <w:rFonts w:cstheme="minorHAnsi"/>
          <w:lang w:eastAsia="sk-SK"/>
        </w:rPr>
        <w:t>Region</w:t>
      </w:r>
      <w:proofErr w:type="spellEnd"/>
      <w:r w:rsidRPr="001C41F1">
        <w:rPr>
          <w:rFonts w:cstheme="minorHAnsi"/>
          <w:lang w:eastAsia="sk-SK"/>
        </w:rPr>
        <w:t xml:space="preserve"> BSK) a poradnej skupiny regionálneho koordinátora pre EVVO v BSK zložená zo zástupcov BSK, miest a obcí, MŽP SR ako aj neziskových organizácií. Nová platforma - </w:t>
      </w:r>
      <w:proofErr w:type="spellStart"/>
      <w:r w:rsidRPr="001C41F1">
        <w:rPr>
          <w:rFonts w:cstheme="minorHAnsi"/>
          <w:lang w:eastAsia="sk-SK"/>
        </w:rPr>
        <w:t>enviroHUB</w:t>
      </w:r>
      <w:proofErr w:type="spellEnd"/>
      <w:r w:rsidRPr="001C41F1">
        <w:rPr>
          <w:rFonts w:cstheme="minorHAnsi"/>
          <w:lang w:eastAsia="sk-SK"/>
        </w:rPr>
        <w:t xml:space="preserve">. Platforma </w:t>
      </w:r>
      <w:proofErr w:type="spellStart"/>
      <w:r w:rsidRPr="001C41F1">
        <w:rPr>
          <w:rFonts w:cstheme="minorHAnsi"/>
          <w:lang w:eastAsia="sk-SK"/>
        </w:rPr>
        <w:t>enviroHUB</w:t>
      </w:r>
      <w:proofErr w:type="spellEnd"/>
      <w:r w:rsidRPr="001C41F1">
        <w:rPr>
          <w:rFonts w:cstheme="minorHAnsi"/>
          <w:lang w:eastAsia="sk-SK"/>
        </w:rPr>
        <w:t xml:space="preserve"> slúži pre rozvoj vedomostí a zručností obyvateľov a návštevníkov regiónu BSK v oblasti environmentálnej výchovy, vzdelávania a osvety ale čiastočne aj na propagáciu cestovného ruchu v BSK.  </w:t>
      </w:r>
    </w:p>
    <w:p w14:paraId="61290B14"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OSÚRaRP</w:t>
      </w:r>
      <w:proofErr w:type="spellEnd"/>
      <w:r w:rsidRPr="001C41F1">
        <w:rPr>
          <w:rFonts w:cstheme="minorHAnsi"/>
          <w:lang w:eastAsia="sk-SK"/>
        </w:rPr>
        <w:t xml:space="preserve"> taktiež v druhom polroku 2020 pripravil podrobný dotazník energetickej náročnosti, s ktorým sme oslovili zariadenia v správe BSK. Týmto spôsobom sa začala tvorba podkladu pre sledovanie skutočnej spotreby zariadení, vďaka čomu bude možné lepšie nastavenie našich budúcich investícii v oblasti energetickej efektívnosti budov.</w:t>
      </w:r>
    </w:p>
    <w:p w14:paraId="1891B0C1"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priebehu roka 2020 sa </w:t>
      </w:r>
      <w:proofErr w:type="spellStart"/>
      <w:r w:rsidRPr="001C41F1">
        <w:rPr>
          <w:rFonts w:cstheme="minorHAnsi"/>
          <w:lang w:eastAsia="sk-SK"/>
        </w:rPr>
        <w:t>OSÚRaRP</w:t>
      </w:r>
      <w:proofErr w:type="spellEnd"/>
      <w:r w:rsidRPr="001C41F1">
        <w:rPr>
          <w:rFonts w:cstheme="minorHAnsi"/>
          <w:lang w:eastAsia="sk-SK"/>
        </w:rPr>
        <w:t xml:space="preserve"> aktívne podieľal na tvorbe kľúčového strategického dokumentu - Plán udržateľnej dopravy Bratislavského kraja. Tento dokument je kľúčovým strategickým rozvojovým dokumentom pre oblasť dopravy do roku 2030, výhľadovo do roku 2050. V súčasnosti prebieha posúdenie dokumentu v rámci procesu SEA a schválenie samotného dokumentu Zastupiteľstvom BSK sa očakáva priebehu roka 2021.  </w:t>
      </w:r>
    </w:p>
    <w:p w14:paraId="52F84574"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proofErr w:type="spellStart"/>
      <w:r w:rsidRPr="001C41F1">
        <w:rPr>
          <w:rFonts w:cstheme="minorHAnsi"/>
          <w:lang w:eastAsia="sk-SK"/>
        </w:rPr>
        <w:t>OSÚRaRP</w:t>
      </w:r>
      <w:proofErr w:type="spellEnd"/>
      <w:r w:rsidRPr="001C41F1">
        <w:rPr>
          <w:rFonts w:cstheme="minorHAnsi"/>
          <w:lang w:eastAsia="sk-SK"/>
        </w:rPr>
        <w:t xml:space="preserve"> pripravil aj nové znenie výzvy v rámci Bratislavskej regionálnej dotačnej schémy na podporu ochrany životného prostredia a rozvoja vidieka na rok 2021. Hlavnou zmenou oproti minulým rokom bolo začlenenie Schémy na podporu turizmu do Schémy na podporu ochrany životného prostredia a rozvoja vidieka. Zlúčením schém bude BSK k ochrane životného prostredia a rozvoju vidieka lepšie prispievať aj prostredníctvom podpory udržateľného turizmu na území kraja. Výzva bola otvorená pre tri oblasti: životné prostredie, turizmus, environmentálna výchova, vzdelávanie a osveta. Samotná výzva bola vyhlásená dňa 20.12.2020 a bola otvorená do 15.2.2021.</w:t>
      </w:r>
    </w:p>
    <w:p w14:paraId="198D5A52"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súvislosti s prípravou Výzvy BRDS na podporu turizmu vytvoril </w:t>
      </w:r>
      <w:proofErr w:type="spellStart"/>
      <w:r w:rsidRPr="001C41F1">
        <w:rPr>
          <w:rFonts w:cstheme="minorHAnsi"/>
          <w:lang w:eastAsia="sk-SK"/>
        </w:rPr>
        <w:t>OSÚRaRP</w:t>
      </w:r>
      <w:proofErr w:type="spellEnd"/>
      <w:r w:rsidRPr="001C41F1">
        <w:rPr>
          <w:rFonts w:cstheme="minorHAnsi"/>
          <w:lang w:eastAsia="sk-SK"/>
        </w:rPr>
        <w:t xml:space="preserve"> Koncept tematických ciest ako jedného z nástrojov rozvoja turizmu na území BSK, ktorý sa stal súčasťou výzvy. Koncept bol v decembri 2020 predstavený aj na stretnutí pracovnej skupiny pre kultúru a kultúrne dedičstvo v rámci </w:t>
      </w:r>
      <w:proofErr w:type="spellStart"/>
      <w:r w:rsidRPr="001C41F1">
        <w:rPr>
          <w:rFonts w:cstheme="minorHAnsi"/>
          <w:lang w:eastAsia="sk-SK"/>
        </w:rPr>
        <w:t>Intgerreg</w:t>
      </w:r>
      <w:proofErr w:type="spellEnd"/>
      <w:r w:rsidRPr="001C41F1">
        <w:rPr>
          <w:rFonts w:cstheme="minorHAnsi"/>
          <w:lang w:eastAsia="sk-SK"/>
        </w:rPr>
        <w:t xml:space="preserve"> 2021+, kde vyvolal záujem partnerov o spoluprácu.</w:t>
      </w:r>
    </w:p>
    <w:p w14:paraId="3AD5ED7D"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Aj v roku 2020 plnil </w:t>
      </w:r>
      <w:proofErr w:type="spellStart"/>
      <w:r w:rsidRPr="001C41F1">
        <w:rPr>
          <w:rFonts w:cstheme="minorHAnsi"/>
          <w:lang w:eastAsia="sk-SK"/>
        </w:rPr>
        <w:t>OSÚRaRP</w:t>
      </w:r>
      <w:proofErr w:type="spellEnd"/>
      <w:r w:rsidRPr="001C41F1">
        <w:rPr>
          <w:rFonts w:cstheme="minorHAnsi"/>
          <w:lang w:eastAsia="sk-SK"/>
        </w:rPr>
        <w:t xml:space="preserve"> funkciu regionálneho kontaktného bodu pre Programy spolupráce SK-HU a SK-AT. V roku 2020 poskytoval konzultácie žiadateľom a prijímateľom v programe, pripravoval podklady na stretnutia v rámci Monitorovacieho výboru Programu cezhraničnej spolupráce SK-HU, SK-AT a Fondu malých projektov, Programovej skupiny „</w:t>
      </w:r>
      <w:proofErr w:type="spellStart"/>
      <w:r w:rsidRPr="001C41F1">
        <w:rPr>
          <w:rFonts w:cstheme="minorHAnsi"/>
          <w:lang w:eastAsia="sk-SK"/>
        </w:rPr>
        <w:t>Task</w:t>
      </w:r>
      <w:proofErr w:type="spellEnd"/>
      <w:r w:rsidRPr="001C41F1">
        <w:rPr>
          <w:rFonts w:cstheme="minorHAnsi"/>
          <w:lang w:eastAsia="sk-SK"/>
        </w:rPr>
        <w:t xml:space="preserve"> </w:t>
      </w:r>
      <w:proofErr w:type="spellStart"/>
      <w:r w:rsidRPr="001C41F1">
        <w:rPr>
          <w:rFonts w:cstheme="minorHAnsi"/>
          <w:lang w:eastAsia="sk-SK"/>
        </w:rPr>
        <w:t>Force“a</w:t>
      </w:r>
      <w:proofErr w:type="spellEnd"/>
      <w:r w:rsidRPr="001C41F1">
        <w:rPr>
          <w:rFonts w:cstheme="minorHAnsi"/>
          <w:lang w:eastAsia="sk-SK"/>
        </w:rPr>
        <w:t xml:space="preserve"> hlasovania per </w:t>
      </w:r>
      <w:proofErr w:type="spellStart"/>
      <w:r w:rsidRPr="001C41F1">
        <w:rPr>
          <w:rFonts w:cstheme="minorHAnsi"/>
          <w:lang w:eastAsia="sk-SK"/>
        </w:rPr>
        <w:t>rollam</w:t>
      </w:r>
      <w:proofErr w:type="spellEnd"/>
      <w:r w:rsidRPr="001C41F1">
        <w:rPr>
          <w:rFonts w:cstheme="minorHAnsi"/>
          <w:lang w:eastAsia="sk-SK"/>
        </w:rPr>
        <w:t xml:space="preserve">. Zúčastňoval sa na online stretnutiach Programových skupín oboch programov, ktorých úlohou je príprava nového programového obdobia. </w:t>
      </w:r>
    </w:p>
    <w:p w14:paraId="3C049898" w14:textId="77777777" w:rsidR="00C32ACA" w:rsidRPr="001C41F1" w:rsidRDefault="00C32ACA" w:rsidP="00C32ACA">
      <w:pPr>
        <w:autoSpaceDE w:val="0"/>
        <w:autoSpaceDN w:val="0"/>
        <w:adjustRightInd w:val="0"/>
        <w:spacing w:before="100" w:after="100" w:line="240" w:lineRule="auto"/>
        <w:jc w:val="both"/>
        <w:rPr>
          <w:rFonts w:cstheme="minorHAnsi"/>
          <w:lang w:eastAsia="sk-SK"/>
        </w:rPr>
      </w:pPr>
      <w:r w:rsidRPr="001C41F1">
        <w:rPr>
          <w:rFonts w:cstheme="minorHAnsi"/>
          <w:lang w:eastAsia="sk-SK"/>
        </w:rPr>
        <w:t xml:space="preserve">V 2. polroku 2020 bola ukončená implementácia projektu „EU-SPI – </w:t>
      </w:r>
      <w:proofErr w:type="spellStart"/>
      <w:r w:rsidRPr="001C41F1">
        <w:rPr>
          <w:rFonts w:cstheme="minorHAnsi"/>
          <w:lang w:eastAsia="sk-SK"/>
        </w:rPr>
        <w:t>What</w:t>
      </w:r>
      <w:proofErr w:type="spellEnd"/>
      <w:r w:rsidRPr="001C41F1">
        <w:rPr>
          <w:rFonts w:cstheme="minorHAnsi"/>
          <w:lang w:eastAsia="sk-SK"/>
        </w:rPr>
        <w:t xml:space="preserve"> </w:t>
      </w:r>
      <w:proofErr w:type="spellStart"/>
      <w:r w:rsidRPr="001C41F1">
        <w:rPr>
          <w:rFonts w:cstheme="minorHAnsi"/>
          <w:lang w:eastAsia="sk-SK"/>
        </w:rPr>
        <w:t>matters</w:t>
      </w:r>
      <w:proofErr w:type="spellEnd"/>
      <w:r w:rsidRPr="001C41F1">
        <w:rPr>
          <w:rFonts w:cstheme="minorHAnsi"/>
          <w:lang w:eastAsia="sk-SK"/>
        </w:rPr>
        <w:t xml:space="preserve"> to EU </w:t>
      </w:r>
      <w:proofErr w:type="spellStart"/>
      <w:r w:rsidRPr="001C41F1">
        <w:rPr>
          <w:rFonts w:cstheme="minorHAnsi"/>
          <w:lang w:eastAsia="sk-SK"/>
        </w:rPr>
        <w:t>citizens</w:t>
      </w:r>
      <w:proofErr w:type="spellEnd"/>
      <w:r w:rsidRPr="001C41F1">
        <w:rPr>
          <w:rFonts w:cstheme="minorHAnsi"/>
          <w:lang w:eastAsia="sk-SK"/>
        </w:rPr>
        <w:t>“ za účasti BSK, ako jedného z 10 participujúcich regiónov EÚ, pričom výsledkom pre Bratislavský kraj bolo postúpenie v predmetnom hodnotovom rebríčku.</w:t>
      </w:r>
    </w:p>
    <w:p w14:paraId="175EE44D" w14:textId="0532F165" w:rsidR="00C32ACA" w:rsidRPr="001C41F1" w:rsidRDefault="00C32ACA" w:rsidP="00C32ACA">
      <w:pPr>
        <w:spacing w:before="100" w:after="100" w:line="240" w:lineRule="auto"/>
        <w:jc w:val="both"/>
        <w:rPr>
          <w:rFonts w:cstheme="minorHAnsi"/>
          <w:lang w:eastAsia="sk-SK"/>
        </w:rPr>
      </w:pPr>
      <w:r w:rsidRPr="001C41F1">
        <w:rPr>
          <w:rFonts w:cstheme="minorHAnsi"/>
          <w:lang w:eastAsia="sk-SK"/>
        </w:rPr>
        <w:t xml:space="preserve">Práca Kancelárie BSK v Bruseli bola v 2. polroku 2020 primárne zameraná na aktivity súvisiace s prípravou budúceho programového obdobia a nariadeniami na európskej úrovni, ktorými sa bude riadiť. Veľká časť aktivít bola koncentrovaná v rámci Európskeho výboru regiónov a podpory členstva predsedu BSK, ktorému sa podarilo obhájiť pozíciu vedúceho slovenskej delegácie, získať funkciu podpredsedu politickej frakcie EKR, </w:t>
      </w:r>
      <w:proofErr w:type="spellStart"/>
      <w:r w:rsidRPr="001C41F1">
        <w:rPr>
          <w:rFonts w:cstheme="minorHAnsi"/>
          <w:lang w:eastAsia="sk-SK"/>
        </w:rPr>
        <w:t>vicekoordinátora</w:t>
      </w:r>
      <w:proofErr w:type="spellEnd"/>
      <w:r w:rsidRPr="001C41F1">
        <w:rPr>
          <w:rFonts w:cstheme="minorHAnsi"/>
          <w:lang w:eastAsia="sk-SK"/>
        </w:rPr>
        <w:t xml:space="preserve"> EKR v komisii COTER, a zastupovať slovenskú delegáciu v predsedníctve EVR. Aktivity kancelárie sa koncentrovali na prípravu stanovísk, predkladanie pozmeňovacích návrhov, aby v čo najväčšej miere reflektovali priority BSK pre budúce programové obdobie a spoločné pozície k obnove regiónov po pandémii COVID-19. Európska komisia v máji 2020 v reakcii na prebiehajúcu pandémiu spôsobenú ochorením COVID-19 predstavila revidovaný návrh viacročného finančného rámca (VFR). V danej súvislosti počas roka 2020 prebiehala intenzívna a inkluzívna diskusia týkajúca sa sektorových legislatívnych návrhov v rámci KP po 2020. Na decembrových </w:t>
      </w:r>
      <w:proofErr w:type="spellStart"/>
      <w:r w:rsidRPr="001C41F1">
        <w:rPr>
          <w:rFonts w:cstheme="minorHAnsi"/>
          <w:lang w:eastAsia="sk-SK"/>
        </w:rPr>
        <w:t>trialógoch</w:t>
      </w:r>
      <w:proofErr w:type="spellEnd"/>
      <w:r w:rsidRPr="001C41F1">
        <w:rPr>
          <w:rFonts w:cstheme="minorHAnsi"/>
          <w:lang w:eastAsia="sk-SK"/>
        </w:rPr>
        <w:t xml:space="preserve"> (EK, EP a ER) sa podarilo dosiahnuť dohodu na kľúčových bodoch nariadení. V priebehu februára 2021 na úrovni EÚ prebiehali posledné technické </w:t>
      </w:r>
      <w:proofErr w:type="spellStart"/>
      <w:r w:rsidRPr="001C41F1">
        <w:rPr>
          <w:rFonts w:cstheme="minorHAnsi"/>
          <w:lang w:eastAsia="sk-SK"/>
        </w:rPr>
        <w:t>trialógy</w:t>
      </w:r>
      <w:proofErr w:type="spellEnd"/>
      <w:r w:rsidRPr="001C41F1">
        <w:rPr>
          <w:rFonts w:cstheme="minorHAnsi"/>
          <w:lang w:eastAsia="sk-SK"/>
        </w:rPr>
        <w:t xml:space="preserve"> pričom sa očakáva, že nariadenia budú definitívne schválené Európskym parlamentom a Radou EÚ v priebehu apríla 2021. Kľúčovými bodmi nariadení z pohľadu BSK:</w:t>
      </w:r>
    </w:p>
    <w:p w14:paraId="2E6912B9" w14:textId="77777777" w:rsidR="00C32ACA" w:rsidRPr="001C41F1" w:rsidRDefault="00C32ACA" w:rsidP="00C32ACA">
      <w:pPr>
        <w:numPr>
          <w:ilvl w:val="0"/>
          <w:numId w:val="41"/>
        </w:numPr>
        <w:spacing w:after="0" w:line="240" w:lineRule="auto"/>
        <w:jc w:val="both"/>
        <w:textAlignment w:val="baseline"/>
        <w:rPr>
          <w:rFonts w:cstheme="minorHAnsi"/>
          <w:lang w:eastAsia="sk-SK"/>
        </w:rPr>
      </w:pPr>
      <w:r w:rsidRPr="001C41F1">
        <w:rPr>
          <w:rFonts w:cstheme="minorHAnsi"/>
          <w:lang w:eastAsia="sk-SK"/>
        </w:rPr>
        <w:t>Financovanie pre všetky regióny EÚ (bez ohľadu na ekonomickú klasifikáciu) </w:t>
      </w:r>
    </w:p>
    <w:p w14:paraId="10001841" w14:textId="77777777" w:rsidR="00C32ACA" w:rsidRPr="001C41F1" w:rsidRDefault="00C32ACA" w:rsidP="00C32ACA">
      <w:pPr>
        <w:numPr>
          <w:ilvl w:val="0"/>
          <w:numId w:val="41"/>
        </w:numPr>
        <w:spacing w:after="0" w:line="240" w:lineRule="auto"/>
        <w:jc w:val="both"/>
        <w:textAlignment w:val="baseline"/>
        <w:rPr>
          <w:rFonts w:cstheme="minorHAnsi"/>
          <w:lang w:eastAsia="sk-SK"/>
        </w:rPr>
      </w:pPr>
      <w:r w:rsidRPr="001C41F1">
        <w:rPr>
          <w:rFonts w:cstheme="minorHAnsi"/>
          <w:lang w:eastAsia="sk-SK"/>
        </w:rPr>
        <w:t>Alokačné kritériá: HDP zostáva dominantným indikátorom (doplnenie nových kritérií týkajúcich sa nezamestnanosti mladých, integrácie migrantov či životného prostredia)  </w:t>
      </w:r>
    </w:p>
    <w:p w14:paraId="6EAF2F4E" w14:textId="77777777" w:rsidR="00C32ACA" w:rsidRPr="001C41F1" w:rsidRDefault="00C32ACA" w:rsidP="00C32ACA">
      <w:pPr>
        <w:numPr>
          <w:ilvl w:val="0"/>
          <w:numId w:val="41"/>
        </w:numPr>
        <w:spacing w:after="0" w:line="240" w:lineRule="auto"/>
        <w:jc w:val="both"/>
        <w:textAlignment w:val="baseline"/>
        <w:rPr>
          <w:rFonts w:cstheme="minorHAnsi"/>
          <w:lang w:eastAsia="sk-SK"/>
        </w:rPr>
      </w:pPr>
      <w:r w:rsidRPr="001C41F1">
        <w:rPr>
          <w:rFonts w:cstheme="minorHAnsi"/>
          <w:lang w:eastAsia="sk-SK"/>
        </w:rPr>
        <w:t>Navýšenie max. miery presunu alokácie medzi kategóriami regiónov na 5+10%: povinná viazanosť dodatočných 10% na ciele politiky 1 a 2 (v programovom období 2014-2020 bola táto miera na úrovni 3%). O finálnej hodnote transfer do BSK v súčasnosti prebiehajú rokovania. </w:t>
      </w:r>
    </w:p>
    <w:p w14:paraId="51B6BE4B" w14:textId="77777777" w:rsidR="00C32ACA" w:rsidRPr="001C41F1" w:rsidRDefault="00C32ACA" w:rsidP="00C32ACA">
      <w:pPr>
        <w:numPr>
          <w:ilvl w:val="0"/>
          <w:numId w:val="41"/>
        </w:numPr>
        <w:spacing w:after="0" w:line="240" w:lineRule="auto"/>
        <w:jc w:val="both"/>
        <w:textAlignment w:val="baseline"/>
        <w:rPr>
          <w:rFonts w:cstheme="minorHAnsi"/>
          <w:lang w:eastAsia="sk-SK"/>
        </w:rPr>
      </w:pPr>
      <w:r w:rsidRPr="001C41F1">
        <w:rPr>
          <w:rFonts w:cstheme="minorHAnsi"/>
          <w:lang w:eastAsia="sk-SK"/>
        </w:rPr>
        <w:t>Tematická koncentrácia pre viac rozvinuté regióny: min. 85% na ciele politiky 1 a 2 a min 30% na cieľ 2.  </w:t>
      </w:r>
    </w:p>
    <w:p w14:paraId="6AAF1FEE" w14:textId="77777777" w:rsidR="00C32ACA" w:rsidRPr="001C41F1" w:rsidRDefault="00C32ACA" w:rsidP="00C32ACA">
      <w:pPr>
        <w:numPr>
          <w:ilvl w:val="0"/>
          <w:numId w:val="41"/>
        </w:numPr>
        <w:spacing w:after="0" w:line="240" w:lineRule="auto"/>
        <w:jc w:val="both"/>
        <w:textAlignment w:val="baseline"/>
        <w:rPr>
          <w:rFonts w:cstheme="minorHAnsi"/>
          <w:lang w:eastAsia="sk-SK"/>
        </w:rPr>
      </w:pPr>
      <w:r w:rsidRPr="001C41F1">
        <w:rPr>
          <w:rFonts w:cstheme="minorHAnsi"/>
          <w:lang w:eastAsia="sk-SK"/>
        </w:rPr>
        <w:t xml:space="preserve">BSK sa počas decembrových vyjednávaní v spolupráci s EP a SZ SR pri EÚ podarilo presadiť, aby pre viac rozvinuté regióny nebola zakotvená minimálna povinná koncentrácia zdrojov na cieľ politiky 1. Za úspech </w:t>
      </w:r>
      <w:r w:rsidRPr="001C41F1">
        <w:rPr>
          <w:rFonts w:cstheme="minorHAnsi"/>
          <w:lang w:eastAsia="sk-SK"/>
        </w:rPr>
        <w:lastRenderedPageBreak/>
        <w:t>možno považovať aj presun udržateľnej mestskej mobility do cieľa politiky 2, i keď s viacerými obmedzeniami (len 50% výdavkov sa bude započítavať do tematickej koncentrácie). </w:t>
      </w:r>
    </w:p>
    <w:p w14:paraId="5B68E1C0" w14:textId="77777777" w:rsidR="00C32ACA" w:rsidRPr="001C41F1" w:rsidRDefault="00C32ACA" w:rsidP="00C32ACA">
      <w:pPr>
        <w:numPr>
          <w:ilvl w:val="0"/>
          <w:numId w:val="41"/>
        </w:numPr>
        <w:spacing w:after="0" w:line="240" w:lineRule="auto"/>
        <w:jc w:val="both"/>
        <w:textAlignment w:val="baseline"/>
        <w:rPr>
          <w:rFonts w:cstheme="minorHAnsi"/>
          <w:lang w:eastAsia="sk-SK"/>
        </w:rPr>
      </w:pPr>
      <w:r w:rsidRPr="001C41F1">
        <w:rPr>
          <w:rFonts w:cstheme="minorHAnsi"/>
          <w:lang w:eastAsia="sk-SK"/>
        </w:rPr>
        <w:t>Posilnenie mestskej dimenzie: 8% EFRR vyčlenených na udržateľný mestský rozvoj </w:t>
      </w:r>
    </w:p>
    <w:p w14:paraId="61A958FE" w14:textId="77777777" w:rsidR="00C32ACA" w:rsidRPr="001C41F1" w:rsidRDefault="00C32ACA" w:rsidP="00C32ACA">
      <w:pPr>
        <w:numPr>
          <w:ilvl w:val="0"/>
          <w:numId w:val="41"/>
        </w:numPr>
        <w:spacing w:after="0" w:line="240" w:lineRule="auto"/>
        <w:jc w:val="both"/>
        <w:textAlignment w:val="baseline"/>
        <w:rPr>
          <w:rFonts w:cstheme="minorHAnsi"/>
          <w:lang w:eastAsia="sk-SK"/>
        </w:rPr>
      </w:pPr>
      <w:r w:rsidRPr="001C41F1">
        <w:rPr>
          <w:rFonts w:cstheme="minorHAnsi"/>
          <w:lang w:eastAsia="sk-SK"/>
        </w:rPr>
        <w:t>Zavedenie 80 opatrení pre zjednodušenie procesov čerpania</w:t>
      </w:r>
    </w:p>
    <w:p w14:paraId="1C7AB5E4" w14:textId="77777777" w:rsidR="00755073" w:rsidRPr="00755073" w:rsidRDefault="00755073" w:rsidP="00C32ACA">
      <w:pPr>
        <w:jc w:val="both"/>
        <w:rPr>
          <w:rFonts w:cstheme="minorHAnsi"/>
          <w:sz w:val="24"/>
          <w:szCs w:val="24"/>
          <w:lang w:eastAsia="sk-SK"/>
        </w:rPr>
      </w:pPr>
    </w:p>
    <w:p w14:paraId="4065787A" w14:textId="77777777" w:rsidR="000B4F35" w:rsidRPr="000727DA" w:rsidRDefault="000B4F35" w:rsidP="000B4F35">
      <w:pPr>
        <w:spacing w:before="100" w:beforeAutospacing="1" w:after="100" w:afterAutospacing="1" w:line="240" w:lineRule="auto"/>
        <w:outlineLvl w:val="2"/>
        <w:rPr>
          <w:rFonts w:cstheme="minorHAnsi"/>
          <w:b/>
          <w:bCs/>
          <w:color w:val="4F6228"/>
          <w:sz w:val="27"/>
          <w:szCs w:val="27"/>
          <w:lang w:eastAsia="sk-SK"/>
        </w:rPr>
      </w:pPr>
      <w:r w:rsidRPr="000727DA">
        <w:rPr>
          <w:rFonts w:cstheme="minorHAnsi"/>
          <w:b/>
          <w:bCs/>
          <w:color w:val="4F6228"/>
          <w:sz w:val="27"/>
          <w:szCs w:val="27"/>
          <w:lang w:eastAsia="sk-SK"/>
        </w:rPr>
        <w:t>Podprogram 1.4: Kontrola</w:t>
      </w:r>
    </w:p>
    <w:p w14:paraId="0FCBB2D2" w14:textId="77777777" w:rsidR="000B4F35" w:rsidRPr="000727DA" w:rsidRDefault="000B4F35" w:rsidP="000B4F35">
      <w:pPr>
        <w:spacing w:before="100" w:beforeAutospacing="1" w:after="100" w:afterAutospacing="1" w:line="240" w:lineRule="auto"/>
        <w:rPr>
          <w:rFonts w:cstheme="minorHAnsi"/>
          <w:sz w:val="24"/>
          <w:szCs w:val="24"/>
          <w:lang w:eastAsia="sk-SK"/>
        </w:rPr>
      </w:pPr>
      <w:r w:rsidRPr="000727DA">
        <w:rPr>
          <w:rFonts w:cstheme="minorHAnsi"/>
          <w:b/>
          <w:bCs/>
          <w:sz w:val="24"/>
          <w:szCs w:val="24"/>
          <w:lang w:eastAsia="sk-SK"/>
        </w:rPr>
        <w:t xml:space="preserve">Zámer: </w:t>
      </w:r>
      <w:r w:rsidRPr="000727DA">
        <w:rPr>
          <w:rFonts w:cstheme="minorHAnsi"/>
          <w:sz w:val="24"/>
          <w:szCs w:val="24"/>
          <w:lang w:eastAsia="sk-SK"/>
        </w:rPr>
        <w:t>Činnosť samosprávy v súlade s existujúcimi normami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09"/>
        <w:gridCol w:w="2741"/>
        <w:gridCol w:w="1545"/>
        <w:gridCol w:w="1173"/>
        <w:gridCol w:w="1286"/>
        <w:gridCol w:w="1153"/>
        <w:gridCol w:w="1859"/>
      </w:tblGrid>
      <w:tr w:rsidR="000B4F35" w:rsidRPr="000727DA" w14:paraId="1DEE7807" w14:textId="77777777" w:rsidTr="000B4F35">
        <w:trPr>
          <w:tblCellSpacing w:w="15" w:type="dxa"/>
        </w:trPr>
        <w:tc>
          <w:tcPr>
            <w:tcW w:w="317" w:type="pct"/>
            <w:shd w:val="clear" w:color="auto" w:fill="C6DBF7"/>
            <w:vAlign w:val="center"/>
            <w:hideMark/>
          </w:tcPr>
          <w:p w14:paraId="1497D53E"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Kód EK</w:t>
            </w:r>
          </w:p>
        </w:tc>
        <w:tc>
          <w:tcPr>
            <w:tcW w:w="1295" w:type="pct"/>
            <w:shd w:val="clear" w:color="auto" w:fill="C6DBF7"/>
            <w:vAlign w:val="center"/>
            <w:hideMark/>
          </w:tcPr>
          <w:p w14:paraId="1FDC72C8"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Ekonomická klasifikácia</w:t>
            </w:r>
          </w:p>
        </w:tc>
        <w:tc>
          <w:tcPr>
            <w:tcW w:w="724" w:type="pct"/>
            <w:shd w:val="clear" w:color="auto" w:fill="C6DBF7"/>
            <w:vAlign w:val="center"/>
            <w:hideMark/>
          </w:tcPr>
          <w:p w14:paraId="672C3287"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Schválený</w:t>
            </w:r>
            <w:r w:rsidRPr="000727DA">
              <w:rPr>
                <w:rFonts w:cstheme="minorHAnsi"/>
                <w:b/>
                <w:bCs/>
                <w:sz w:val="20"/>
                <w:szCs w:val="20"/>
                <w:lang w:eastAsia="sk-SK"/>
              </w:rPr>
              <w:br/>
              <w:t>rozpočet</w:t>
            </w:r>
            <w:r w:rsidRPr="000727DA">
              <w:rPr>
                <w:rFonts w:cstheme="minorHAnsi"/>
                <w:b/>
                <w:bCs/>
                <w:sz w:val="20"/>
                <w:szCs w:val="20"/>
                <w:lang w:eastAsia="sk-SK"/>
              </w:rPr>
              <w:br/>
              <w:t>v EUR</w:t>
            </w:r>
          </w:p>
        </w:tc>
        <w:tc>
          <w:tcPr>
            <w:tcW w:w="546" w:type="pct"/>
            <w:shd w:val="clear" w:color="auto" w:fill="C6DBF7"/>
            <w:vAlign w:val="center"/>
            <w:hideMark/>
          </w:tcPr>
          <w:p w14:paraId="259B5703"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Zmenený</w:t>
            </w:r>
            <w:r w:rsidRPr="000727DA">
              <w:rPr>
                <w:rFonts w:cstheme="minorHAnsi"/>
                <w:b/>
                <w:bCs/>
                <w:sz w:val="20"/>
                <w:szCs w:val="20"/>
                <w:lang w:eastAsia="sk-SK"/>
              </w:rPr>
              <w:br/>
              <w:t>rozpočet</w:t>
            </w:r>
            <w:r w:rsidRPr="000727DA">
              <w:rPr>
                <w:rFonts w:cstheme="minorHAnsi"/>
                <w:b/>
                <w:bCs/>
                <w:sz w:val="20"/>
                <w:szCs w:val="20"/>
                <w:lang w:eastAsia="sk-SK"/>
              </w:rPr>
              <w:br/>
              <w:t>v EUR</w:t>
            </w:r>
          </w:p>
        </w:tc>
        <w:tc>
          <w:tcPr>
            <w:tcW w:w="600" w:type="pct"/>
            <w:shd w:val="clear" w:color="auto" w:fill="C6DBF7"/>
            <w:vAlign w:val="center"/>
            <w:hideMark/>
          </w:tcPr>
          <w:p w14:paraId="5365CC21"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Čerpanie</w:t>
            </w:r>
            <w:r w:rsidRPr="000727DA">
              <w:rPr>
                <w:rFonts w:cstheme="minorHAnsi"/>
                <w:b/>
                <w:bCs/>
                <w:sz w:val="20"/>
                <w:szCs w:val="20"/>
                <w:lang w:eastAsia="sk-SK"/>
              </w:rPr>
              <w:br/>
              <w:t>v EUR</w:t>
            </w:r>
          </w:p>
        </w:tc>
        <w:tc>
          <w:tcPr>
            <w:tcW w:w="536" w:type="pct"/>
            <w:shd w:val="clear" w:color="auto" w:fill="C6DBF7"/>
            <w:vAlign w:val="center"/>
            <w:hideMark/>
          </w:tcPr>
          <w:p w14:paraId="0354F71E"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Čerpanie</w:t>
            </w:r>
            <w:r w:rsidRPr="000727DA">
              <w:rPr>
                <w:rFonts w:cstheme="minorHAnsi"/>
                <w:b/>
                <w:bCs/>
                <w:sz w:val="20"/>
                <w:szCs w:val="20"/>
                <w:lang w:eastAsia="sk-SK"/>
              </w:rPr>
              <w:br/>
              <w:t xml:space="preserve">k </w:t>
            </w:r>
            <w:proofErr w:type="spellStart"/>
            <w:r w:rsidRPr="000727DA">
              <w:rPr>
                <w:rFonts w:cstheme="minorHAnsi"/>
                <w:b/>
                <w:bCs/>
                <w:sz w:val="20"/>
                <w:szCs w:val="20"/>
                <w:lang w:eastAsia="sk-SK"/>
              </w:rPr>
              <w:t>zmen</w:t>
            </w:r>
            <w:proofErr w:type="spellEnd"/>
            <w:r w:rsidRPr="000727DA">
              <w:rPr>
                <w:rFonts w:cstheme="minorHAnsi"/>
                <w:b/>
                <w:bCs/>
                <w:sz w:val="20"/>
                <w:szCs w:val="20"/>
                <w:lang w:eastAsia="sk-SK"/>
              </w:rPr>
              <w:t xml:space="preserve">. </w:t>
            </w:r>
            <w:proofErr w:type="spellStart"/>
            <w:r w:rsidRPr="000727DA">
              <w:rPr>
                <w:rFonts w:cstheme="minorHAnsi"/>
                <w:b/>
                <w:bCs/>
                <w:sz w:val="20"/>
                <w:szCs w:val="20"/>
                <w:lang w:eastAsia="sk-SK"/>
              </w:rPr>
              <w:t>rozp</w:t>
            </w:r>
            <w:proofErr w:type="spellEnd"/>
            <w:r w:rsidRPr="000727DA">
              <w:rPr>
                <w:rFonts w:cstheme="minorHAnsi"/>
                <w:b/>
                <w:bCs/>
                <w:sz w:val="20"/>
                <w:szCs w:val="20"/>
                <w:lang w:eastAsia="sk-SK"/>
              </w:rPr>
              <w:t>.</w:t>
            </w:r>
            <w:r w:rsidRPr="000727DA">
              <w:rPr>
                <w:rFonts w:cstheme="minorHAnsi"/>
                <w:b/>
                <w:bCs/>
                <w:sz w:val="20"/>
                <w:szCs w:val="20"/>
                <w:lang w:eastAsia="sk-SK"/>
              </w:rPr>
              <w:br/>
              <w:t>v %</w:t>
            </w:r>
          </w:p>
        </w:tc>
        <w:tc>
          <w:tcPr>
            <w:tcW w:w="867" w:type="pct"/>
            <w:shd w:val="clear" w:color="auto" w:fill="C6DBF7"/>
            <w:vAlign w:val="center"/>
            <w:hideMark/>
          </w:tcPr>
          <w:p w14:paraId="6D98E74D"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Zmeny rozpočtu</w:t>
            </w:r>
          </w:p>
        </w:tc>
      </w:tr>
      <w:tr w:rsidR="000B4F35" w:rsidRPr="000727DA" w14:paraId="4521A92D" w14:textId="77777777" w:rsidTr="000B4F35">
        <w:trPr>
          <w:tblCellSpacing w:w="15" w:type="dxa"/>
        </w:trPr>
        <w:tc>
          <w:tcPr>
            <w:tcW w:w="317" w:type="pct"/>
            <w:shd w:val="clear" w:color="auto" w:fill="D9D9D9"/>
            <w:noWrap/>
            <w:vAlign w:val="center"/>
            <w:hideMark/>
          </w:tcPr>
          <w:p w14:paraId="607F631B" w14:textId="77777777" w:rsidR="000B4F35" w:rsidRPr="000727DA" w:rsidRDefault="000B4F35" w:rsidP="000B4F35">
            <w:pPr>
              <w:spacing w:after="0" w:line="240" w:lineRule="auto"/>
              <w:jc w:val="center"/>
              <w:rPr>
                <w:rFonts w:cstheme="minorHAnsi"/>
                <w:sz w:val="24"/>
                <w:szCs w:val="24"/>
                <w:lang w:eastAsia="sk-SK"/>
              </w:rPr>
            </w:pPr>
          </w:p>
        </w:tc>
        <w:tc>
          <w:tcPr>
            <w:tcW w:w="1295" w:type="pct"/>
            <w:shd w:val="clear" w:color="auto" w:fill="D9D9D9"/>
            <w:vAlign w:val="center"/>
            <w:hideMark/>
          </w:tcPr>
          <w:p w14:paraId="1209F65A" w14:textId="77777777" w:rsidR="000B4F35" w:rsidRPr="000727DA" w:rsidRDefault="000B4F35" w:rsidP="000B4F35">
            <w:pPr>
              <w:spacing w:after="0" w:line="240" w:lineRule="auto"/>
              <w:rPr>
                <w:rFonts w:cstheme="minorHAnsi"/>
                <w:sz w:val="24"/>
                <w:szCs w:val="24"/>
                <w:lang w:eastAsia="sk-SK"/>
              </w:rPr>
            </w:pPr>
            <w:r w:rsidRPr="000727DA">
              <w:rPr>
                <w:rFonts w:cstheme="minorHAnsi"/>
                <w:b/>
                <w:bCs/>
                <w:sz w:val="20"/>
                <w:szCs w:val="20"/>
                <w:lang w:eastAsia="sk-SK"/>
              </w:rPr>
              <w:t>Výdavky celkom</w:t>
            </w:r>
            <w:r w:rsidRPr="000727DA">
              <w:rPr>
                <w:rFonts w:cstheme="minorHAnsi"/>
                <w:sz w:val="24"/>
                <w:szCs w:val="24"/>
                <w:lang w:eastAsia="sk-SK"/>
              </w:rPr>
              <w:t xml:space="preserve"> </w:t>
            </w:r>
          </w:p>
        </w:tc>
        <w:tc>
          <w:tcPr>
            <w:tcW w:w="724" w:type="pct"/>
            <w:shd w:val="clear" w:color="auto" w:fill="D9D9D9"/>
            <w:noWrap/>
            <w:vAlign w:val="center"/>
            <w:hideMark/>
          </w:tcPr>
          <w:p w14:paraId="233C919F" w14:textId="77777777" w:rsidR="000B4F35" w:rsidRPr="000727DA" w:rsidRDefault="000B4F35" w:rsidP="000B4F35">
            <w:pPr>
              <w:spacing w:after="0" w:line="240" w:lineRule="auto"/>
              <w:jc w:val="right"/>
              <w:rPr>
                <w:rFonts w:cstheme="minorHAnsi"/>
                <w:sz w:val="24"/>
                <w:szCs w:val="24"/>
                <w:lang w:eastAsia="sk-SK"/>
              </w:rPr>
            </w:pPr>
            <w:r w:rsidRPr="000727DA">
              <w:rPr>
                <w:rFonts w:cstheme="minorHAnsi"/>
                <w:b/>
                <w:bCs/>
                <w:sz w:val="20"/>
                <w:szCs w:val="20"/>
                <w:lang w:eastAsia="sk-SK"/>
              </w:rPr>
              <w:t>13 750,00</w:t>
            </w:r>
            <w:r w:rsidRPr="000727DA">
              <w:rPr>
                <w:rFonts w:cstheme="minorHAnsi"/>
                <w:sz w:val="24"/>
                <w:szCs w:val="24"/>
                <w:lang w:eastAsia="sk-SK"/>
              </w:rPr>
              <w:t xml:space="preserve"> </w:t>
            </w:r>
          </w:p>
        </w:tc>
        <w:tc>
          <w:tcPr>
            <w:tcW w:w="546" w:type="pct"/>
            <w:shd w:val="clear" w:color="auto" w:fill="D9D9D9"/>
            <w:noWrap/>
            <w:vAlign w:val="center"/>
            <w:hideMark/>
          </w:tcPr>
          <w:p w14:paraId="65AB39B5" w14:textId="77777777" w:rsidR="000B4F35" w:rsidRPr="000727DA" w:rsidRDefault="000B4F35" w:rsidP="000B4F35">
            <w:pPr>
              <w:spacing w:after="0" w:line="240" w:lineRule="auto"/>
              <w:jc w:val="right"/>
              <w:rPr>
                <w:rFonts w:cstheme="minorHAnsi"/>
                <w:sz w:val="24"/>
                <w:szCs w:val="24"/>
                <w:lang w:eastAsia="sk-SK"/>
              </w:rPr>
            </w:pPr>
            <w:r w:rsidRPr="000727DA">
              <w:rPr>
                <w:rFonts w:cstheme="minorHAnsi"/>
                <w:b/>
                <w:bCs/>
                <w:sz w:val="20"/>
                <w:szCs w:val="20"/>
                <w:lang w:eastAsia="sk-SK"/>
              </w:rPr>
              <w:t>13 750,00</w:t>
            </w:r>
            <w:r w:rsidRPr="000727DA">
              <w:rPr>
                <w:rFonts w:cstheme="minorHAnsi"/>
                <w:sz w:val="24"/>
                <w:szCs w:val="24"/>
                <w:lang w:eastAsia="sk-SK"/>
              </w:rPr>
              <w:t xml:space="preserve"> </w:t>
            </w:r>
          </w:p>
        </w:tc>
        <w:tc>
          <w:tcPr>
            <w:tcW w:w="600" w:type="pct"/>
            <w:shd w:val="clear" w:color="auto" w:fill="D9D9D9"/>
            <w:noWrap/>
            <w:vAlign w:val="center"/>
            <w:hideMark/>
          </w:tcPr>
          <w:p w14:paraId="74D1B063" w14:textId="77777777" w:rsidR="000B4F35" w:rsidRPr="000727DA" w:rsidRDefault="000B4F35" w:rsidP="000B4F35">
            <w:pPr>
              <w:spacing w:after="0" w:line="240" w:lineRule="auto"/>
              <w:jc w:val="right"/>
              <w:rPr>
                <w:rFonts w:cstheme="minorHAnsi"/>
                <w:sz w:val="24"/>
                <w:szCs w:val="24"/>
                <w:lang w:eastAsia="sk-SK"/>
              </w:rPr>
            </w:pPr>
            <w:r>
              <w:rPr>
                <w:rFonts w:cstheme="minorHAnsi"/>
                <w:b/>
                <w:bCs/>
                <w:sz w:val="20"/>
                <w:szCs w:val="20"/>
                <w:lang w:eastAsia="sk-SK"/>
              </w:rPr>
              <w:t>1 227,50</w:t>
            </w:r>
            <w:r w:rsidRPr="000727DA">
              <w:rPr>
                <w:rFonts w:cstheme="minorHAnsi"/>
                <w:sz w:val="24"/>
                <w:szCs w:val="24"/>
                <w:lang w:eastAsia="sk-SK"/>
              </w:rPr>
              <w:t xml:space="preserve"> </w:t>
            </w:r>
          </w:p>
        </w:tc>
        <w:tc>
          <w:tcPr>
            <w:tcW w:w="536" w:type="pct"/>
            <w:shd w:val="clear" w:color="auto" w:fill="D9D9D9"/>
            <w:noWrap/>
            <w:vAlign w:val="center"/>
            <w:hideMark/>
          </w:tcPr>
          <w:p w14:paraId="2B68CBCA" w14:textId="77777777" w:rsidR="000B4F35" w:rsidRPr="000727DA" w:rsidRDefault="000B4F35" w:rsidP="000B4F35">
            <w:pPr>
              <w:spacing w:after="0" w:line="240" w:lineRule="auto"/>
              <w:jc w:val="right"/>
              <w:rPr>
                <w:rFonts w:cstheme="minorHAnsi"/>
                <w:sz w:val="24"/>
                <w:szCs w:val="24"/>
                <w:lang w:eastAsia="sk-SK"/>
              </w:rPr>
            </w:pPr>
            <w:r>
              <w:rPr>
                <w:rFonts w:cstheme="minorHAnsi"/>
                <w:b/>
                <w:bCs/>
                <w:sz w:val="20"/>
                <w:szCs w:val="20"/>
                <w:lang w:eastAsia="sk-SK"/>
              </w:rPr>
              <w:t>8,93</w:t>
            </w:r>
            <w:r w:rsidRPr="000727DA">
              <w:rPr>
                <w:rFonts w:cstheme="minorHAnsi"/>
                <w:sz w:val="24"/>
                <w:szCs w:val="24"/>
                <w:lang w:eastAsia="sk-SK"/>
              </w:rPr>
              <w:t xml:space="preserve"> </w:t>
            </w:r>
          </w:p>
        </w:tc>
        <w:tc>
          <w:tcPr>
            <w:tcW w:w="867" w:type="pct"/>
            <w:shd w:val="clear" w:color="auto" w:fill="D9D9D9"/>
            <w:vAlign w:val="center"/>
            <w:hideMark/>
          </w:tcPr>
          <w:p w14:paraId="6E5EC7BE" w14:textId="77777777" w:rsidR="000B4F35" w:rsidRPr="000727DA" w:rsidRDefault="000B4F35" w:rsidP="000B4F35">
            <w:pPr>
              <w:spacing w:after="0" w:line="240" w:lineRule="auto"/>
              <w:rPr>
                <w:rFonts w:cstheme="minorHAnsi"/>
                <w:sz w:val="20"/>
                <w:szCs w:val="20"/>
                <w:lang w:eastAsia="sk-SK"/>
              </w:rPr>
            </w:pPr>
          </w:p>
        </w:tc>
      </w:tr>
      <w:tr w:rsidR="000B4F35" w:rsidRPr="000727DA" w14:paraId="5F2169BB" w14:textId="77777777" w:rsidTr="000B4F35">
        <w:trPr>
          <w:tblCellSpacing w:w="15" w:type="dxa"/>
        </w:trPr>
        <w:tc>
          <w:tcPr>
            <w:tcW w:w="317" w:type="pct"/>
            <w:shd w:val="clear" w:color="auto" w:fill="D9D9D9"/>
            <w:noWrap/>
            <w:vAlign w:val="center"/>
            <w:hideMark/>
          </w:tcPr>
          <w:p w14:paraId="37640594" w14:textId="77777777" w:rsidR="000B4F35" w:rsidRPr="000727DA" w:rsidRDefault="000B4F35" w:rsidP="000B4F35">
            <w:pPr>
              <w:spacing w:after="0" w:line="240" w:lineRule="auto"/>
              <w:rPr>
                <w:rFonts w:cstheme="minorHAnsi"/>
                <w:sz w:val="24"/>
                <w:szCs w:val="24"/>
                <w:lang w:eastAsia="sk-SK"/>
              </w:rPr>
            </w:pPr>
            <w:r w:rsidRPr="000727DA">
              <w:rPr>
                <w:rFonts w:cstheme="minorHAnsi"/>
                <w:b/>
                <w:bCs/>
                <w:sz w:val="20"/>
                <w:szCs w:val="20"/>
                <w:lang w:eastAsia="sk-SK"/>
              </w:rPr>
              <w:t>600</w:t>
            </w:r>
            <w:r w:rsidRPr="000727DA">
              <w:rPr>
                <w:rFonts w:cstheme="minorHAnsi"/>
                <w:sz w:val="24"/>
                <w:szCs w:val="24"/>
                <w:lang w:eastAsia="sk-SK"/>
              </w:rPr>
              <w:t xml:space="preserve"> </w:t>
            </w:r>
          </w:p>
        </w:tc>
        <w:tc>
          <w:tcPr>
            <w:tcW w:w="1295" w:type="pct"/>
            <w:shd w:val="clear" w:color="auto" w:fill="D9D9D9"/>
            <w:vAlign w:val="center"/>
            <w:hideMark/>
          </w:tcPr>
          <w:p w14:paraId="1336DDA1" w14:textId="77777777" w:rsidR="000B4F35" w:rsidRPr="000727DA" w:rsidRDefault="000B4F35" w:rsidP="000B4F35">
            <w:pPr>
              <w:spacing w:after="0" w:line="240" w:lineRule="auto"/>
              <w:rPr>
                <w:rFonts w:cstheme="minorHAnsi"/>
                <w:sz w:val="24"/>
                <w:szCs w:val="24"/>
                <w:lang w:eastAsia="sk-SK"/>
              </w:rPr>
            </w:pPr>
            <w:r w:rsidRPr="000727DA">
              <w:rPr>
                <w:rFonts w:cstheme="minorHAnsi"/>
                <w:b/>
                <w:bCs/>
                <w:sz w:val="20"/>
                <w:szCs w:val="20"/>
                <w:lang w:eastAsia="sk-SK"/>
              </w:rPr>
              <w:t>Bežné výdavky</w:t>
            </w:r>
            <w:r w:rsidRPr="000727DA">
              <w:rPr>
                <w:rFonts w:cstheme="minorHAnsi"/>
                <w:sz w:val="24"/>
                <w:szCs w:val="24"/>
                <w:lang w:eastAsia="sk-SK"/>
              </w:rPr>
              <w:t xml:space="preserve"> </w:t>
            </w:r>
          </w:p>
        </w:tc>
        <w:tc>
          <w:tcPr>
            <w:tcW w:w="724" w:type="pct"/>
            <w:shd w:val="clear" w:color="auto" w:fill="D9D9D9"/>
            <w:noWrap/>
            <w:vAlign w:val="center"/>
            <w:hideMark/>
          </w:tcPr>
          <w:p w14:paraId="3AE11B51" w14:textId="77777777" w:rsidR="000B4F35" w:rsidRPr="000727DA" w:rsidRDefault="000B4F35" w:rsidP="000B4F35">
            <w:pPr>
              <w:spacing w:after="0" w:line="240" w:lineRule="auto"/>
              <w:jc w:val="right"/>
              <w:rPr>
                <w:rFonts w:cstheme="minorHAnsi"/>
                <w:sz w:val="24"/>
                <w:szCs w:val="24"/>
                <w:lang w:eastAsia="sk-SK"/>
              </w:rPr>
            </w:pPr>
            <w:r w:rsidRPr="000727DA">
              <w:rPr>
                <w:rFonts w:cstheme="minorHAnsi"/>
                <w:b/>
                <w:bCs/>
                <w:sz w:val="20"/>
                <w:szCs w:val="20"/>
                <w:lang w:eastAsia="sk-SK"/>
              </w:rPr>
              <w:t>13 750,00</w:t>
            </w:r>
            <w:r w:rsidRPr="000727DA">
              <w:rPr>
                <w:rFonts w:cstheme="minorHAnsi"/>
                <w:sz w:val="24"/>
                <w:szCs w:val="24"/>
                <w:lang w:eastAsia="sk-SK"/>
              </w:rPr>
              <w:t xml:space="preserve"> </w:t>
            </w:r>
          </w:p>
        </w:tc>
        <w:tc>
          <w:tcPr>
            <w:tcW w:w="546" w:type="pct"/>
            <w:shd w:val="clear" w:color="auto" w:fill="D9D9D9"/>
            <w:noWrap/>
            <w:vAlign w:val="center"/>
            <w:hideMark/>
          </w:tcPr>
          <w:p w14:paraId="68E1C43F" w14:textId="77777777" w:rsidR="000B4F35" w:rsidRPr="000727DA" w:rsidRDefault="000B4F35" w:rsidP="000B4F35">
            <w:pPr>
              <w:spacing w:after="0" w:line="240" w:lineRule="auto"/>
              <w:jc w:val="right"/>
              <w:rPr>
                <w:rFonts w:cstheme="minorHAnsi"/>
                <w:sz w:val="24"/>
                <w:szCs w:val="24"/>
                <w:lang w:eastAsia="sk-SK"/>
              </w:rPr>
            </w:pPr>
            <w:r w:rsidRPr="000727DA">
              <w:rPr>
                <w:rFonts w:cstheme="minorHAnsi"/>
                <w:b/>
                <w:bCs/>
                <w:sz w:val="20"/>
                <w:szCs w:val="20"/>
                <w:lang w:eastAsia="sk-SK"/>
              </w:rPr>
              <w:t>13 750,00</w:t>
            </w:r>
            <w:r w:rsidRPr="000727DA">
              <w:rPr>
                <w:rFonts w:cstheme="minorHAnsi"/>
                <w:sz w:val="24"/>
                <w:szCs w:val="24"/>
                <w:lang w:eastAsia="sk-SK"/>
              </w:rPr>
              <w:t xml:space="preserve"> </w:t>
            </w:r>
          </w:p>
        </w:tc>
        <w:tc>
          <w:tcPr>
            <w:tcW w:w="600" w:type="pct"/>
            <w:shd w:val="clear" w:color="auto" w:fill="D9D9D9"/>
            <w:noWrap/>
            <w:vAlign w:val="center"/>
            <w:hideMark/>
          </w:tcPr>
          <w:p w14:paraId="38328C37" w14:textId="77777777" w:rsidR="000B4F35" w:rsidRPr="000727DA" w:rsidRDefault="000B4F35" w:rsidP="000B4F35">
            <w:pPr>
              <w:spacing w:after="0" w:line="240" w:lineRule="auto"/>
              <w:jc w:val="right"/>
              <w:rPr>
                <w:rFonts w:cstheme="minorHAnsi"/>
                <w:sz w:val="24"/>
                <w:szCs w:val="24"/>
                <w:lang w:eastAsia="sk-SK"/>
              </w:rPr>
            </w:pPr>
            <w:r>
              <w:rPr>
                <w:rFonts w:cstheme="minorHAnsi"/>
                <w:b/>
                <w:bCs/>
                <w:sz w:val="20"/>
                <w:szCs w:val="20"/>
                <w:lang w:eastAsia="sk-SK"/>
              </w:rPr>
              <w:t>1 227,50</w:t>
            </w:r>
            <w:r w:rsidRPr="000727DA">
              <w:rPr>
                <w:rFonts w:cstheme="minorHAnsi"/>
                <w:sz w:val="24"/>
                <w:szCs w:val="24"/>
                <w:lang w:eastAsia="sk-SK"/>
              </w:rPr>
              <w:t xml:space="preserve"> </w:t>
            </w:r>
          </w:p>
        </w:tc>
        <w:tc>
          <w:tcPr>
            <w:tcW w:w="536" w:type="pct"/>
            <w:shd w:val="clear" w:color="auto" w:fill="D9D9D9"/>
            <w:noWrap/>
            <w:vAlign w:val="center"/>
            <w:hideMark/>
          </w:tcPr>
          <w:p w14:paraId="0639DFF8" w14:textId="77777777" w:rsidR="000B4F35" w:rsidRPr="000727DA" w:rsidRDefault="000B4F35" w:rsidP="000B4F35">
            <w:pPr>
              <w:spacing w:after="0" w:line="240" w:lineRule="auto"/>
              <w:jc w:val="right"/>
              <w:rPr>
                <w:rFonts w:cstheme="minorHAnsi"/>
                <w:sz w:val="24"/>
                <w:szCs w:val="24"/>
                <w:lang w:eastAsia="sk-SK"/>
              </w:rPr>
            </w:pPr>
            <w:r>
              <w:rPr>
                <w:rFonts w:cstheme="minorHAnsi"/>
                <w:b/>
                <w:bCs/>
                <w:sz w:val="20"/>
                <w:szCs w:val="20"/>
                <w:lang w:eastAsia="sk-SK"/>
              </w:rPr>
              <w:t>8,93</w:t>
            </w:r>
            <w:r w:rsidRPr="000727DA">
              <w:rPr>
                <w:rFonts w:cstheme="minorHAnsi"/>
                <w:sz w:val="24"/>
                <w:szCs w:val="24"/>
                <w:lang w:eastAsia="sk-SK"/>
              </w:rPr>
              <w:t xml:space="preserve"> </w:t>
            </w:r>
          </w:p>
        </w:tc>
        <w:tc>
          <w:tcPr>
            <w:tcW w:w="867" w:type="pct"/>
            <w:vMerge w:val="restart"/>
            <w:shd w:val="clear" w:color="auto" w:fill="D9D9D9"/>
            <w:vAlign w:val="center"/>
            <w:hideMark/>
          </w:tcPr>
          <w:p w14:paraId="7551D33B" w14:textId="77777777" w:rsidR="000B4F35" w:rsidRPr="000727DA" w:rsidRDefault="000B4F35" w:rsidP="000B4F35">
            <w:pPr>
              <w:spacing w:after="0" w:line="240" w:lineRule="auto"/>
              <w:jc w:val="right"/>
              <w:rPr>
                <w:rFonts w:cstheme="minorHAnsi"/>
                <w:sz w:val="24"/>
                <w:szCs w:val="24"/>
                <w:lang w:eastAsia="sk-SK"/>
              </w:rPr>
            </w:pPr>
          </w:p>
        </w:tc>
      </w:tr>
      <w:tr w:rsidR="000B4F35" w:rsidRPr="000727DA" w14:paraId="29A7E93C" w14:textId="77777777" w:rsidTr="000B4F35">
        <w:trPr>
          <w:tblCellSpacing w:w="15" w:type="dxa"/>
        </w:trPr>
        <w:tc>
          <w:tcPr>
            <w:tcW w:w="317" w:type="pct"/>
            <w:shd w:val="clear" w:color="auto" w:fill="EFEFEF"/>
            <w:noWrap/>
            <w:vAlign w:val="center"/>
            <w:hideMark/>
          </w:tcPr>
          <w:p w14:paraId="1FE208F9" w14:textId="77777777" w:rsidR="000B4F35" w:rsidRPr="000727DA" w:rsidRDefault="000B4F35" w:rsidP="000B4F35">
            <w:pPr>
              <w:spacing w:after="0" w:line="240" w:lineRule="auto"/>
              <w:rPr>
                <w:rFonts w:cstheme="minorHAnsi"/>
                <w:sz w:val="24"/>
                <w:szCs w:val="24"/>
                <w:lang w:eastAsia="sk-SK"/>
              </w:rPr>
            </w:pPr>
            <w:r w:rsidRPr="000727DA">
              <w:rPr>
                <w:rFonts w:cstheme="minorHAnsi"/>
                <w:sz w:val="20"/>
                <w:szCs w:val="20"/>
                <w:lang w:eastAsia="sk-SK"/>
              </w:rPr>
              <w:t>630</w:t>
            </w:r>
            <w:r w:rsidRPr="000727DA">
              <w:rPr>
                <w:rFonts w:cstheme="minorHAnsi"/>
                <w:sz w:val="24"/>
                <w:szCs w:val="24"/>
                <w:lang w:eastAsia="sk-SK"/>
              </w:rPr>
              <w:t xml:space="preserve"> </w:t>
            </w:r>
          </w:p>
        </w:tc>
        <w:tc>
          <w:tcPr>
            <w:tcW w:w="1295" w:type="pct"/>
            <w:shd w:val="clear" w:color="auto" w:fill="EFEFEF"/>
            <w:vAlign w:val="center"/>
            <w:hideMark/>
          </w:tcPr>
          <w:p w14:paraId="3D7EEA5C" w14:textId="77777777" w:rsidR="000B4F35" w:rsidRPr="000727DA" w:rsidRDefault="000B4F35" w:rsidP="000B4F35">
            <w:pPr>
              <w:spacing w:after="0" w:line="240" w:lineRule="auto"/>
              <w:rPr>
                <w:rFonts w:cstheme="minorHAnsi"/>
                <w:sz w:val="24"/>
                <w:szCs w:val="24"/>
                <w:lang w:eastAsia="sk-SK"/>
              </w:rPr>
            </w:pPr>
            <w:r w:rsidRPr="000727DA">
              <w:rPr>
                <w:rFonts w:cstheme="minorHAnsi"/>
                <w:sz w:val="20"/>
                <w:szCs w:val="20"/>
                <w:lang w:eastAsia="sk-SK"/>
              </w:rPr>
              <w:t>Tovary a služby</w:t>
            </w:r>
            <w:r w:rsidRPr="000727DA">
              <w:rPr>
                <w:rFonts w:cstheme="minorHAnsi"/>
                <w:sz w:val="24"/>
                <w:szCs w:val="24"/>
                <w:lang w:eastAsia="sk-SK"/>
              </w:rPr>
              <w:t xml:space="preserve"> </w:t>
            </w:r>
          </w:p>
        </w:tc>
        <w:tc>
          <w:tcPr>
            <w:tcW w:w="724" w:type="pct"/>
            <w:shd w:val="clear" w:color="auto" w:fill="EFEFEF"/>
            <w:noWrap/>
            <w:vAlign w:val="center"/>
            <w:hideMark/>
          </w:tcPr>
          <w:p w14:paraId="48F1A436" w14:textId="77777777" w:rsidR="000B4F35" w:rsidRPr="000727DA" w:rsidRDefault="000B4F35" w:rsidP="000B4F35">
            <w:pPr>
              <w:spacing w:after="0" w:line="240" w:lineRule="auto"/>
              <w:jc w:val="right"/>
              <w:rPr>
                <w:rFonts w:cstheme="minorHAnsi"/>
                <w:sz w:val="24"/>
                <w:szCs w:val="24"/>
                <w:lang w:eastAsia="sk-SK"/>
              </w:rPr>
            </w:pPr>
            <w:r w:rsidRPr="000727DA">
              <w:rPr>
                <w:rFonts w:cstheme="minorHAnsi"/>
                <w:sz w:val="20"/>
                <w:szCs w:val="20"/>
                <w:lang w:eastAsia="sk-SK"/>
              </w:rPr>
              <w:t>13 750,00</w:t>
            </w:r>
            <w:r w:rsidRPr="000727DA">
              <w:rPr>
                <w:rFonts w:cstheme="minorHAnsi"/>
                <w:sz w:val="24"/>
                <w:szCs w:val="24"/>
                <w:lang w:eastAsia="sk-SK"/>
              </w:rPr>
              <w:t xml:space="preserve"> </w:t>
            </w:r>
          </w:p>
        </w:tc>
        <w:tc>
          <w:tcPr>
            <w:tcW w:w="546" w:type="pct"/>
            <w:shd w:val="clear" w:color="auto" w:fill="EFEFEF"/>
            <w:noWrap/>
            <w:vAlign w:val="center"/>
            <w:hideMark/>
          </w:tcPr>
          <w:p w14:paraId="79358ED2" w14:textId="77777777" w:rsidR="000B4F35" w:rsidRPr="000727DA" w:rsidRDefault="000B4F35" w:rsidP="000B4F35">
            <w:pPr>
              <w:spacing w:after="0" w:line="240" w:lineRule="auto"/>
              <w:jc w:val="right"/>
              <w:rPr>
                <w:rFonts w:cstheme="minorHAnsi"/>
                <w:sz w:val="24"/>
                <w:szCs w:val="24"/>
                <w:lang w:eastAsia="sk-SK"/>
              </w:rPr>
            </w:pPr>
            <w:r w:rsidRPr="000727DA">
              <w:rPr>
                <w:rFonts w:cstheme="minorHAnsi"/>
                <w:sz w:val="20"/>
                <w:szCs w:val="20"/>
                <w:lang w:eastAsia="sk-SK"/>
              </w:rPr>
              <w:t>13 750,00</w:t>
            </w:r>
            <w:r w:rsidRPr="000727DA">
              <w:rPr>
                <w:rFonts w:cstheme="minorHAnsi"/>
                <w:sz w:val="24"/>
                <w:szCs w:val="24"/>
                <w:lang w:eastAsia="sk-SK"/>
              </w:rPr>
              <w:t xml:space="preserve"> </w:t>
            </w:r>
          </w:p>
        </w:tc>
        <w:tc>
          <w:tcPr>
            <w:tcW w:w="600" w:type="pct"/>
            <w:shd w:val="clear" w:color="auto" w:fill="EFEFEF"/>
            <w:noWrap/>
            <w:vAlign w:val="center"/>
            <w:hideMark/>
          </w:tcPr>
          <w:p w14:paraId="16B4FB03" w14:textId="77777777" w:rsidR="000B4F35" w:rsidRPr="000727DA" w:rsidRDefault="000B4F35" w:rsidP="000B4F35">
            <w:pPr>
              <w:spacing w:after="0" w:line="240" w:lineRule="auto"/>
              <w:jc w:val="right"/>
              <w:rPr>
                <w:rFonts w:cstheme="minorHAnsi"/>
                <w:sz w:val="24"/>
                <w:szCs w:val="24"/>
                <w:lang w:eastAsia="sk-SK"/>
              </w:rPr>
            </w:pPr>
            <w:r>
              <w:rPr>
                <w:rFonts w:cstheme="minorHAnsi"/>
                <w:b/>
                <w:bCs/>
                <w:sz w:val="20"/>
                <w:szCs w:val="20"/>
                <w:lang w:eastAsia="sk-SK"/>
              </w:rPr>
              <w:t>1 227,50</w:t>
            </w:r>
            <w:r w:rsidRPr="000727DA">
              <w:rPr>
                <w:rFonts w:cstheme="minorHAnsi"/>
                <w:sz w:val="24"/>
                <w:szCs w:val="24"/>
                <w:lang w:eastAsia="sk-SK"/>
              </w:rPr>
              <w:t xml:space="preserve"> </w:t>
            </w:r>
          </w:p>
        </w:tc>
        <w:tc>
          <w:tcPr>
            <w:tcW w:w="536" w:type="pct"/>
            <w:shd w:val="clear" w:color="auto" w:fill="EFEFEF"/>
            <w:noWrap/>
            <w:vAlign w:val="center"/>
            <w:hideMark/>
          </w:tcPr>
          <w:p w14:paraId="380E6B25" w14:textId="77777777" w:rsidR="000B4F35" w:rsidRPr="000727DA" w:rsidRDefault="000B4F35" w:rsidP="000B4F35">
            <w:pPr>
              <w:spacing w:after="0" w:line="240" w:lineRule="auto"/>
              <w:jc w:val="right"/>
              <w:rPr>
                <w:rFonts w:cstheme="minorHAnsi"/>
                <w:sz w:val="24"/>
                <w:szCs w:val="24"/>
                <w:lang w:eastAsia="sk-SK"/>
              </w:rPr>
            </w:pPr>
            <w:r>
              <w:rPr>
                <w:rFonts w:cstheme="minorHAnsi"/>
                <w:b/>
                <w:bCs/>
                <w:sz w:val="20"/>
                <w:szCs w:val="20"/>
                <w:lang w:eastAsia="sk-SK"/>
              </w:rPr>
              <w:t>8,93</w:t>
            </w:r>
            <w:r w:rsidRPr="000727DA">
              <w:rPr>
                <w:rFonts w:cstheme="minorHAnsi"/>
                <w:sz w:val="24"/>
                <w:szCs w:val="24"/>
                <w:lang w:eastAsia="sk-SK"/>
              </w:rPr>
              <w:t xml:space="preserve"> </w:t>
            </w:r>
          </w:p>
        </w:tc>
        <w:tc>
          <w:tcPr>
            <w:tcW w:w="867" w:type="pct"/>
            <w:vMerge/>
            <w:shd w:val="clear" w:color="auto" w:fill="EFEFEF"/>
            <w:vAlign w:val="center"/>
            <w:hideMark/>
          </w:tcPr>
          <w:p w14:paraId="1C31481B" w14:textId="77777777" w:rsidR="000B4F35" w:rsidRPr="000727DA" w:rsidRDefault="000B4F35" w:rsidP="000B4F35">
            <w:pPr>
              <w:spacing w:after="0" w:line="240" w:lineRule="auto"/>
              <w:rPr>
                <w:rFonts w:cstheme="minorHAnsi"/>
                <w:sz w:val="24"/>
                <w:szCs w:val="24"/>
                <w:lang w:eastAsia="sk-SK"/>
              </w:rPr>
            </w:pPr>
          </w:p>
        </w:tc>
      </w:tr>
    </w:tbl>
    <w:p w14:paraId="29AB69D5" w14:textId="77777777" w:rsidR="000B4F35" w:rsidRPr="000727DA" w:rsidRDefault="000B4F35" w:rsidP="000B4F35">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88"/>
        <w:gridCol w:w="543"/>
        <w:gridCol w:w="1281"/>
        <w:gridCol w:w="1995"/>
        <w:gridCol w:w="4159"/>
      </w:tblGrid>
      <w:tr w:rsidR="000B4F35" w:rsidRPr="000727DA" w14:paraId="426C5FE4" w14:textId="77777777" w:rsidTr="000B4F35">
        <w:trPr>
          <w:tblCellSpacing w:w="15" w:type="dxa"/>
        </w:trPr>
        <w:tc>
          <w:tcPr>
            <w:tcW w:w="0" w:type="auto"/>
            <w:shd w:val="clear" w:color="auto" w:fill="C2D69B"/>
            <w:vAlign w:val="center"/>
            <w:hideMark/>
          </w:tcPr>
          <w:p w14:paraId="3007CB59" w14:textId="77777777" w:rsidR="000B4F35" w:rsidRPr="000727DA" w:rsidRDefault="000B4F35" w:rsidP="000B4F35">
            <w:pPr>
              <w:spacing w:after="0" w:line="240" w:lineRule="auto"/>
              <w:rPr>
                <w:rFonts w:cstheme="minorHAnsi"/>
                <w:sz w:val="24"/>
                <w:szCs w:val="24"/>
                <w:lang w:eastAsia="sk-SK"/>
              </w:rPr>
            </w:pPr>
            <w:r w:rsidRPr="000727DA">
              <w:rPr>
                <w:rFonts w:cstheme="minorHAnsi"/>
                <w:b/>
                <w:bCs/>
                <w:sz w:val="20"/>
                <w:szCs w:val="20"/>
                <w:lang w:eastAsia="sk-SK"/>
              </w:rPr>
              <w:t>Zodpovednosť</w:t>
            </w:r>
          </w:p>
        </w:tc>
        <w:tc>
          <w:tcPr>
            <w:tcW w:w="0" w:type="auto"/>
            <w:gridSpan w:val="4"/>
            <w:shd w:val="clear" w:color="auto" w:fill="C2D69B"/>
            <w:vAlign w:val="center"/>
            <w:hideMark/>
          </w:tcPr>
          <w:p w14:paraId="3610ED4C" w14:textId="77777777" w:rsidR="000B4F35" w:rsidRPr="000727DA" w:rsidRDefault="000B4F35" w:rsidP="000B4F35">
            <w:pPr>
              <w:spacing w:after="0" w:line="240" w:lineRule="auto"/>
              <w:rPr>
                <w:rFonts w:cstheme="minorHAnsi"/>
                <w:sz w:val="24"/>
                <w:szCs w:val="24"/>
                <w:lang w:eastAsia="sk-SK"/>
              </w:rPr>
            </w:pPr>
            <w:r w:rsidRPr="000727DA">
              <w:rPr>
                <w:rFonts w:cstheme="minorHAnsi"/>
                <w:sz w:val="20"/>
                <w:szCs w:val="20"/>
                <w:lang w:eastAsia="sk-SK"/>
              </w:rPr>
              <w:t>Útvar hlavného kontrolóra</w:t>
            </w:r>
            <w:r w:rsidRPr="000727DA">
              <w:rPr>
                <w:rFonts w:cstheme="minorHAnsi"/>
                <w:sz w:val="24"/>
                <w:szCs w:val="24"/>
                <w:lang w:eastAsia="sk-SK"/>
              </w:rPr>
              <w:t xml:space="preserve"> </w:t>
            </w:r>
          </w:p>
        </w:tc>
      </w:tr>
      <w:tr w:rsidR="000B4F35" w:rsidRPr="000727DA" w14:paraId="0A2D3D66" w14:textId="77777777" w:rsidTr="000B4F35">
        <w:trPr>
          <w:tblCellSpacing w:w="15" w:type="dxa"/>
        </w:trPr>
        <w:tc>
          <w:tcPr>
            <w:tcW w:w="0" w:type="auto"/>
            <w:shd w:val="clear" w:color="auto" w:fill="C2D69B"/>
            <w:vAlign w:val="center"/>
            <w:hideMark/>
          </w:tcPr>
          <w:p w14:paraId="52A77B27" w14:textId="77777777" w:rsidR="000B4F35" w:rsidRPr="000727DA" w:rsidRDefault="000B4F35" w:rsidP="000B4F35">
            <w:pPr>
              <w:spacing w:after="0" w:line="240" w:lineRule="auto"/>
              <w:rPr>
                <w:rFonts w:cstheme="minorHAnsi"/>
                <w:sz w:val="24"/>
                <w:szCs w:val="24"/>
                <w:lang w:eastAsia="sk-SK"/>
              </w:rPr>
            </w:pPr>
            <w:r w:rsidRPr="000727DA">
              <w:rPr>
                <w:rFonts w:cstheme="minorHAnsi"/>
                <w:b/>
                <w:bCs/>
                <w:sz w:val="20"/>
                <w:szCs w:val="20"/>
                <w:lang w:eastAsia="sk-SK"/>
              </w:rPr>
              <w:t>Cieľ</w:t>
            </w:r>
          </w:p>
        </w:tc>
        <w:tc>
          <w:tcPr>
            <w:tcW w:w="0" w:type="auto"/>
            <w:gridSpan w:val="4"/>
            <w:shd w:val="clear" w:color="auto" w:fill="C2D69B"/>
            <w:vAlign w:val="center"/>
            <w:hideMark/>
          </w:tcPr>
          <w:p w14:paraId="7E2C7263" w14:textId="77777777" w:rsidR="000B4F35" w:rsidRPr="000727DA" w:rsidRDefault="000B4F35" w:rsidP="000B4F35">
            <w:pPr>
              <w:spacing w:after="0" w:line="240" w:lineRule="auto"/>
              <w:rPr>
                <w:rFonts w:cstheme="minorHAnsi"/>
                <w:sz w:val="24"/>
                <w:szCs w:val="24"/>
                <w:lang w:eastAsia="sk-SK"/>
              </w:rPr>
            </w:pPr>
            <w:r w:rsidRPr="000727DA">
              <w:rPr>
                <w:rFonts w:cstheme="minorHAnsi"/>
                <w:sz w:val="20"/>
                <w:szCs w:val="20"/>
                <w:lang w:eastAsia="sk-SK"/>
              </w:rPr>
              <w:t>Zabezpečiť výkon kontrolnej činnosti</w:t>
            </w:r>
            <w:r w:rsidRPr="000727DA">
              <w:rPr>
                <w:rFonts w:cstheme="minorHAnsi"/>
                <w:sz w:val="24"/>
                <w:szCs w:val="24"/>
                <w:lang w:eastAsia="sk-SK"/>
              </w:rPr>
              <w:t xml:space="preserve"> </w:t>
            </w:r>
          </w:p>
        </w:tc>
      </w:tr>
      <w:tr w:rsidR="000B4F35" w:rsidRPr="000727DA" w14:paraId="2D2750B8" w14:textId="77777777" w:rsidTr="000B4F35">
        <w:trPr>
          <w:tblCellSpacing w:w="15" w:type="dxa"/>
        </w:trPr>
        <w:tc>
          <w:tcPr>
            <w:tcW w:w="0" w:type="auto"/>
            <w:shd w:val="clear" w:color="auto" w:fill="C2D69B"/>
            <w:vAlign w:val="center"/>
            <w:hideMark/>
          </w:tcPr>
          <w:p w14:paraId="0499283B" w14:textId="77777777" w:rsidR="000B4F35" w:rsidRPr="000727DA" w:rsidRDefault="000B4F35" w:rsidP="000B4F35">
            <w:pPr>
              <w:spacing w:after="0" w:line="240" w:lineRule="auto"/>
              <w:rPr>
                <w:rFonts w:cstheme="minorHAnsi"/>
                <w:sz w:val="24"/>
                <w:szCs w:val="24"/>
                <w:lang w:eastAsia="sk-SK"/>
              </w:rPr>
            </w:pPr>
            <w:r w:rsidRPr="000727DA">
              <w:rPr>
                <w:rFonts w:cstheme="minorHAnsi"/>
                <w:b/>
                <w:bCs/>
                <w:sz w:val="20"/>
                <w:szCs w:val="20"/>
                <w:lang w:eastAsia="sk-SK"/>
              </w:rPr>
              <w:t>Merateľný ukazovateľ</w:t>
            </w:r>
          </w:p>
        </w:tc>
        <w:tc>
          <w:tcPr>
            <w:tcW w:w="0" w:type="auto"/>
            <w:gridSpan w:val="4"/>
            <w:shd w:val="clear" w:color="auto" w:fill="C2D69B"/>
            <w:vAlign w:val="center"/>
            <w:hideMark/>
          </w:tcPr>
          <w:p w14:paraId="02A91F6D" w14:textId="77777777" w:rsidR="000B4F35" w:rsidRPr="000727DA" w:rsidRDefault="000B4F35" w:rsidP="000B4F35">
            <w:pPr>
              <w:spacing w:after="0" w:line="240" w:lineRule="auto"/>
              <w:rPr>
                <w:rFonts w:cstheme="minorHAnsi"/>
                <w:sz w:val="24"/>
                <w:szCs w:val="24"/>
                <w:lang w:eastAsia="sk-SK"/>
              </w:rPr>
            </w:pPr>
            <w:r w:rsidRPr="000727DA">
              <w:rPr>
                <w:rFonts w:cstheme="minorHAnsi"/>
                <w:sz w:val="20"/>
                <w:szCs w:val="20"/>
                <w:lang w:eastAsia="sk-SK"/>
              </w:rPr>
              <w:t>Počet vykonaných kontrol za rok</w:t>
            </w:r>
            <w:r w:rsidRPr="000727DA">
              <w:rPr>
                <w:rFonts w:cstheme="minorHAnsi"/>
                <w:sz w:val="24"/>
                <w:szCs w:val="24"/>
                <w:lang w:eastAsia="sk-SK"/>
              </w:rPr>
              <w:t xml:space="preserve"> </w:t>
            </w:r>
          </w:p>
        </w:tc>
      </w:tr>
      <w:tr w:rsidR="000B4F35" w:rsidRPr="000727DA" w14:paraId="6E40B608" w14:textId="77777777" w:rsidTr="000B4F35">
        <w:trPr>
          <w:tblCellSpacing w:w="15" w:type="dxa"/>
        </w:trPr>
        <w:tc>
          <w:tcPr>
            <w:tcW w:w="0" w:type="auto"/>
            <w:shd w:val="clear" w:color="auto" w:fill="C2D69B"/>
            <w:vAlign w:val="center"/>
            <w:hideMark/>
          </w:tcPr>
          <w:p w14:paraId="58507E8F"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Rok</w:t>
            </w:r>
          </w:p>
        </w:tc>
        <w:tc>
          <w:tcPr>
            <w:tcW w:w="0" w:type="auto"/>
            <w:shd w:val="clear" w:color="auto" w:fill="C2D69B"/>
            <w:vAlign w:val="center"/>
            <w:hideMark/>
          </w:tcPr>
          <w:p w14:paraId="23140B05"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Plán</w:t>
            </w:r>
          </w:p>
        </w:tc>
        <w:tc>
          <w:tcPr>
            <w:tcW w:w="0" w:type="auto"/>
            <w:shd w:val="clear" w:color="auto" w:fill="C2D69B"/>
            <w:vAlign w:val="center"/>
            <w:hideMark/>
          </w:tcPr>
          <w:p w14:paraId="52F774D7"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Skutočnosť</w:t>
            </w:r>
          </w:p>
        </w:tc>
        <w:tc>
          <w:tcPr>
            <w:tcW w:w="0" w:type="auto"/>
            <w:shd w:val="clear" w:color="auto" w:fill="C2D69B"/>
            <w:vAlign w:val="center"/>
            <w:hideMark/>
          </w:tcPr>
          <w:p w14:paraId="7A4A3485"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b/>
                <w:bCs/>
                <w:sz w:val="20"/>
                <w:szCs w:val="20"/>
                <w:lang w:eastAsia="sk-SK"/>
              </w:rPr>
              <w:t>Plnenie</w:t>
            </w:r>
          </w:p>
        </w:tc>
        <w:tc>
          <w:tcPr>
            <w:tcW w:w="2000" w:type="pct"/>
            <w:shd w:val="clear" w:color="auto" w:fill="C2D69B"/>
            <w:vAlign w:val="center"/>
            <w:hideMark/>
          </w:tcPr>
          <w:p w14:paraId="0BCDB90C" w14:textId="77777777" w:rsidR="000B4F35" w:rsidRPr="000727DA" w:rsidRDefault="000B4F35" w:rsidP="000B4F35">
            <w:pPr>
              <w:spacing w:after="0" w:line="240" w:lineRule="auto"/>
              <w:rPr>
                <w:rFonts w:cstheme="minorHAnsi"/>
                <w:sz w:val="24"/>
                <w:szCs w:val="24"/>
                <w:lang w:eastAsia="sk-SK"/>
              </w:rPr>
            </w:pPr>
            <w:r w:rsidRPr="000727DA">
              <w:rPr>
                <w:rFonts w:cstheme="minorHAnsi"/>
                <w:b/>
                <w:bCs/>
                <w:sz w:val="20"/>
                <w:szCs w:val="20"/>
                <w:lang w:eastAsia="sk-SK"/>
              </w:rPr>
              <w:t>Poznámka</w:t>
            </w:r>
          </w:p>
        </w:tc>
      </w:tr>
      <w:tr w:rsidR="000B4F35" w:rsidRPr="000727DA" w14:paraId="3CCE425B" w14:textId="77777777" w:rsidTr="000B4F35">
        <w:trPr>
          <w:tblCellSpacing w:w="15" w:type="dxa"/>
        </w:trPr>
        <w:tc>
          <w:tcPr>
            <w:tcW w:w="0" w:type="auto"/>
            <w:shd w:val="clear" w:color="auto" w:fill="C2D69B"/>
            <w:vAlign w:val="center"/>
            <w:hideMark/>
          </w:tcPr>
          <w:p w14:paraId="43944558"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sz w:val="20"/>
                <w:szCs w:val="20"/>
                <w:lang w:eastAsia="sk-SK"/>
              </w:rPr>
              <w:t>20</w:t>
            </w:r>
            <w:r>
              <w:rPr>
                <w:rFonts w:cstheme="minorHAnsi"/>
                <w:sz w:val="20"/>
                <w:szCs w:val="20"/>
                <w:lang w:eastAsia="sk-SK"/>
              </w:rPr>
              <w:t>20</w:t>
            </w:r>
            <w:r w:rsidRPr="000727DA">
              <w:rPr>
                <w:rFonts w:cstheme="minorHAnsi"/>
                <w:sz w:val="24"/>
                <w:szCs w:val="24"/>
                <w:lang w:eastAsia="sk-SK"/>
              </w:rPr>
              <w:t xml:space="preserve"> </w:t>
            </w:r>
          </w:p>
        </w:tc>
        <w:tc>
          <w:tcPr>
            <w:tcW w:w="0" w:type="auto"/>
            <w:shd w:val="clear" w:color="auto" w:fill="C2D69B"/>
            <w:noWrap/>
            <w:vAlign w:val="center"/>
            <w:hideMark/>
          </w:tcPr>
          <w:p w14:paraId="2A35254D"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sz w:val="20"/>
                <w:szCs w:val="20"/>
                <w:lang w:eastAsia="sk-SK"/>
              </w:rPr>
              <w:t> </w:t>
            </w:r>
            <w:r>
              <w:rPr>
                <w:rFonts w:cstheme="minorHAnsi"/>
                <w:sz w:val="20"/>
                <w:szCs w:val="20"/>
                <w:lang w:eastAsia="sk-SK"/>
              </w:rPr>
              <w:t>6</w:t>
            </w:r>
            <w:r w:rsidRPr="000727DA">
              <w:rPr>
                <w:rFonts w:cstheme="minorHAnsi"/>
                <w:sz w:val="24"/>
                <w:szCs w:val="24"/>
                <w:lang w:eastAsia="sk-SK"/>
              </w:rPr>
              <w:t xml:space="preserve"> </w:t>
            </w:r>
          </w:p>
        </w:tc>
        <w:tc>
          <w:tcPr>
            <w:tcW w:w="0" w:type="auto"/>
            <w:shd w:val="clear" w:color="auto" w:fill="C2D69B"/>
            <w:noWrap/>
            <w:vAlign w:val="center"/>
            <w:hideMark/>
          </w:tcPr>
          <w:p w14:paraId="53E4B6C4" w14:textId="77777777" w:rsidR="000B4F35" w:rsidRPr="000727DA" w:rsidRDefault="000B4F35" w:rsidP="000B4F35">
            <w:pPr>
              <w:spacing w:after="0" w:line="240" w:lineRule="auto"/>
              <w:jc w:val="center"/>
              <w:rPr>
                <w:rFonts w:cstheme="minorHAnsi"/>
                <w:sz w:val="24"/>
                <w:szCs w:val="24"/>
                <w:lang w:eastAsia="sk-SK"/>
              </w:rPr>
            </w:pPr>
            <w:r w:rsidRPr="000727DA">
              <w:rPr>
                <w:rFonts w:cstheme="minorHAnsi"/>
                <w:sz w:val="20"/>
                <w:szCs w:val="20"/>
                <w:lang w:eastAsia="sk-SK"/>
              </w:rPr>
              <w:t> </w:t>
            </w:r>
            <w:r>
              <w:rPr>
                <w:rFonts w:cstheme="minorHAnsi"/>
                <w:sz w:val="20"/>
                <w:szCs w:val="20"/>
                <w:lang w:eastAsia="sk-SK"/>
              </w:rPr>
              <w:t>5</w:t>
            </w:r>
            <w:r w:rsidRPr="000727DA">
              <w:rPr>
                <w:rFonts w:cstheme="minorHAnsi"/>
                <w:sz w:val="24"/>
                <w:szCs w:val="24"/>
                <w:lang w:eastAsia="sk-SK"/>
              </w:rPr>
              <w:t xml:space="preserve"> </w:t>
            </w:r>
          </w:p>
        </w:tc>
        <w:tc>
          <w:tcPr>
            <w:tcW w:w="0" w:type="auto"/>
            <w:shd w:val="clear" w:color="auto" w:fill="C2D69B"/>
            <w:vAlign w:val="center"/>
            <w:hideMark/>
          </w:tcPr>
          <w:p w14:paraId="08445519" w14:textId="77777777" w:rsidR="000B4F35" w:rsidRPr="000727DA" w:rsidRDefault="000B4F35" w:rsidP="000B4F35">
            <w:pPr>
              <w:spacing w:after="0" w:line="240" w:lineRule="auto"/>
              <w:jc w:val="center"/>
              <w:rPr>
                <w:rFonts w:cstheme="minorHAnsi"/>
                <w:sz w:val="24"/>
                <w:szCs w:val="24"/>
                <w:lang w:eastAsia="sk-SK"/>
              </w:rPr>
            </w:pPr>
            <w:r>
              <w:rPr>
                <w:rFonts w:cstheme="minorHAnsi"/>
                <w:sz w:val="20"/>
                <w:szCs w:val="20"/>
                <w:lang w:eastAsia="sk-SK"/>
              </w:rPr>
              <w:t>Čiastočne s</w:t>
            </w:r>
            <w:r w:rsidRPr="000727DA">
              <w:rPr>
                <w:rFonts w:cstheme="minorHAnsi"/>
                <w:sz w:val="20"/>
                <w:szCs w:val="20"/>
                <w:lang w:eastAsia="sk-SK"/>
              </w:rPr>
              <w:t>plnené</w:t>
            </w:r>
            <w:r w:rsidRPr="000727DA">
              <w:rPr>
                <w:rFonts w:cstheme="minorHAnsi"/>
                <w:sz w:val="24"/>
                <w:szCs w:val="24"/>
                <w:lang w:eastAsia="sk-SK"/>
              </w:rPr>
              <w:t xml:space="preserve"> </w:t>
            </w:r>
          </w:p>
        </w:tc>
        <w:tc>
          <w:tcPr>
            <w:tcW w:w="0" w:type="auto"/>
            <w:shd w:val="clear" w:color="auto" w:fill="C2D69B"/>
            <w:vAlign w:val="center"/>
            <w:hideMark/>
          </w:tcPr>
          <w:p w14:paraId="40815608" w14:textId="77777777" w:rsidR="000B4F35" w:rsidRPr="000727DA" w:rsidRDefault="000B4F35" w:rsidP="000B4F35">
            <w:pPr>
              <w:spacing w:after="0" w:line="240" w:lineRule="auto"/>
              <w:jc w:val="center"/>
              <w:rPr>
                <w:rFonts w:cstheme="minorHAnsi"/>
                <w:sz w:val="24"/>
                <w:szCs w:val="24"/>
                <w:lang w:eastAsia="sk-SK"/>
              </w:rPr>
            </w:pPr>
          </w:p>
        </w:tc>
      </w:tr>
    </w:tbl>
    <w:p w14:paraId="31BE4DAA" w14:textId="77777777" w:rsidR="000B4F35" w:rsidRDefault="000B4F35" w:rsidP="000B4F35">
      <w:pPr>
        <w:pStyle w:val="Normlnywebov"/>
        <w:jc w:val="both"/>
        <w:rPr>
          <w:rFonts w:cstheme="minorHAnsi"/>
          <w:b/>
          <w:bCs/>
        </w:rPr>
      </w:pPr>
    </w:p>
    <w:p w14:paraId="4FD4618B" w14:textId="14523B6C" w:rsidR="000B4F35" w:rsidRPr="001C41F1" w:rsidRDefault="000B4F35" w:rsidP="000B4F35">
      <w:pPr>
        <w:pStyle w:val="Normlnywebov"/>
        <w:jc w:val="both"/>
        <w:rPr>
          <w:rFonts w:asciiTheme="minorHAnsi" w:hAnsiTheme="minorHAnsi" w:cstheme="minorHAnsi"/>
          <w:color w:val="000000"/>
          <w:sz w:val="22"/>
          <w:szCs w:val="22"/>
        </w:rPr>
      </w:pPr>
      <w:r w:rsidRPr="000B4F35">
        <w:rPr>
          <w:rFonts w:asciiTheme="minorHAnsi" w:hAnsiTheme="minorHAnsi" w:cstheme="minorHAnsi"/>
          <w:b/>
          <w:bCs/>
        </w:rPr>
        <w:t>Komentár:</w:t>
      </w:r>
      <w:r w:rsidRPr="000727DA">
        <w:rPr>
          <w:rFonts w:cstheme="minorHAnsi"/>
          <w:b/>
          <w:bCs/>
        </w:rPr>
        <w:t xml:space="preserve"> </w:t>
      </w:r>
      <w:r w:rsidRPr="001C41F1">
        <w:rPr>
          <w:rFonts w:asciiTheme="minorHAnsi" w:hAnsiTheme="minorHAnsi" w:cstheme="minorHAnsi"/>
          <w:color w:val="000000"/>
          <w:sz w:val="22"/>
          <w:szCs w:val="22"/>
        </w:rPr>
        <w:t>Podprogram predstavuje aktivity Útvaru hlavného kontrolóra BSK, ktorý zabezpečuje v rámci svojich kompetencií v zmysle zákona č. 302/2011 Z. z. a VZN BSK č. 1/2016 o kontrole v Bratislavskom samosprávnom kraji kontrolu súladu činností BSK so zákonmi, všeobecne záväznými nariadeniami a vnútornými normami samosprávneho kraja a organizácií vo svojej zriaďovateľskej pôsobnosti. Uvedené bežné výdavky predstavujú úhradu nevyhnutných výdavkov spojených s výkonom kontroly v subjektoch v pôsobnosti BSK, na cestovné náhrady zamestnancov Útvaru hlavného kontrolóra BSK a na zabezpečenie vzdelávania zamestnancov.</w:t>
      </w:r>
    </w:p>
    <w:p w14:paraId="21AEEC16" w14:textId="77777777" w:rsidR="000B4F35" w:rsidRPr="001C41F1" w:rsidRDefault="000B4F35" w:rsidP="000B4F35">
      <w:pPr>
        <w:spacing w:before="100" w:beforeAutospacing="1" w:after="100" w:afterAutospacing="1" w:line="240" w:lineRule="auto"/>
        <w:jc w:val="both"/>
        <w:rPr>
          <w:rFonts w:cstheme="minorHAnsi"/>
          <w:color w:val="000000"/>
          <w:lang w:eastAsia="sk-SK"/>
        </w:rPr>
      </w:pPr>
      <w:r w:rsidRPr="001C41F1">
        <w:rPr>
          <w:rFonts w:cstheme="minorHAnsi"/>
          <w:color w:val="000000"/>
          <w:lang w:eastAsia="sk-SK"/>
        </w:rPr>
        <w:t>Uznesením Z BSK č. 227/2019 z 13.12.2019 boli na 1. polrok 2020 schválené 4 kontrolné akcie a stanovisko k záverečnému účtu. Na 2. polrok 2020 bolo uznesením Z BSK č. 275/2020 zo 26.06.2020 schválené pokračovanie v dvoch kontrolných akciách a 1 nová kontrolná akcia. Z uvedeného počtu 6 kontrolných akcií na rok 2020 bolo k 31.12.2020 ukončených 5 kontrolných akcií.</w:t>
      </w:r>
    </w:p>
    <w:p w14:paraId="22025A50" w14:textId="77777777" w:rsidR="000B4F35" w:rsidRPr="00B002C2" w:rsidRDefault="000B4F35" w:rsidP="000B4F35">
      <w:pPr>
        <w:spacing w:before="100" w:beforeAutospacing="1" w:after="100" w:afterAutospacing="1" w:line="240" w:lineRule="auto"/>
        <w:outlineLvl w:val="2"/>
        <w:rPr>
          <w:rFonts w:cstheme="minorHAnsi"/>
          <w:b/>
          <w:bCs/>
          <w:color w:val="4F6228"/>
          <w:sz w:val="27"/>
          <w:szCs w:val="27"/>
          <w:lang w:eastAsia="sk-SK"/>
        </w:rPr>
      </w:pPr>
      <w:r w:rsidRPr="00B002C2">
        <w:rPr>
          <w:rFonts w:cstheme="minorHAnsi"/>
          <w:b/>
          <w:bCs/>
          <w:color w:val="4F6228"/>
          <w:sz w:val="27"/>
          <w:szCs w:val="27"/>
          <w:lang w:eastAsia="sk-SK"/>
        </w:rPr>
        <w:t>Podprogram 1.5: Daňová a rozpočtová politika</w:t>
      </w:r>
    </w:p>
    <w:p w14:paraId="4F4F6C47" w14:textId="77777777" w:rsidR="000B4F35" w:rsidRPr="0063481A" w:rsidRDefault="000B4F35" w:rsidP="000B4F35">
      <w:pPr>
        <w:spacing w:before="100" w:beforeAutospacing="1" w:after="100" w:afterAutospacing="1" w:line="240" w:lineRule="auto"/>
        <w:rPr>
          <w:rFonts w:cstheme="minorHAnsi"/>
          <w:sz w:val="24"/>
          <w:szCs w:val="24"/>
          <w:lang w:eastAsia="sk-SK"/>
        </w:rPr>
      </w:pPr>
      <w:r w:rsidRPr="0063481A">
        <w:rPr>
          <w:rFonts w:cstheme="minorHAnsi"/>
          <w:b/>
          <w:bCs/>
          <w:sz w:val="24"/>
          <w:szCs w:val="24"/>
          <w:lang w:eastAsia="sk-SK"/>
        </w:rPr>
        <w:t xml:space="preserve">Zámer: </w:t>
      </w:r>
      <w:r w:rsidRPr="0063481A">
        <w:rPr>
          <w:rFonts w:cstheme="minorHAnsi"/>
          <w:sz w:val="24"/>
          <w:szCs w:val="24"/>
          <w:lang w:eastAsia="sk-SK"/>
        </w:rPr>
        <w:t>Samosprávny kraj s efektívnym, hospodárnym a účinným využívaním verejných prostriedkov.</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6"/>
        <w:gridCol w:w="2023"/>
        <w:gridCol w:w="1460"/>
        <w:gridCol w:w="1338"/>
        <w:gridCol w:w="1007"/>
        <w:gridCol w:w="801"/>
        <w:gridCol w:w="2871"/>
      </w:tblGrid>
      <w:tr w:rsidR="000B4F35" w:rsidRPr="0063481A" w14:paraId="2E848DAC" w14:textId="77777777" w:rsidTr="000B4F35">
        <w:trPr>
          <w:tblCellSpacing w:w="15" w:type="dxa"/>
        </w:trPr>
        <w:tc>
          <w:tcPr>
            <w:tcW w:w="0" w:type="auto"/>
            <w:shd w:val="clear" w:color="auto" w:fill="C6DBF7"/>
            <w:vAlign w:val="center"/>
            <w:hideMark/>
          </w:tcPr>
          <w:p w14:paraId="34F9C8FE" w14:textId="77777777" w:rsidR="000B4F35" w:rsidRPr="0063481A" w:rsidRDefault="000B4F35" w:rsidP="000B4F35">
            <w:pPr>
              <w:spacing w:after="0" w:line="240" w:lineRule="auto"/>
              <w:jc w:val="center"/>
              <w:rPr>
                <w:rFonts w:cstheme="minorHAnsi"/>
                <w:sz w:val="20"/>
                <w:szCs w:val="20"/>
                <w:lang w:eastAsia="sk-SK"/>
              </w:rPr>
            </w:pPr>
            <w:r w:rsidRPr="0063481A">
              <w:rPr>
                <w:rFonts w:cstheme="minorHAnsi"/>
                <w:b/>
                <w:bCs/>
                <w:sz w:val="20"/>
                <w:szCs w:val="20"/>
                <w:lang w:eastAsia="sk-SK"/>
              </w:rPr>
              <w:t>Kód EK</w:t>
            </w:r>
          </w:p>
        </w:tc>
        <w:tc>
          <w:tcPr>
            <w:tcW w:w="952" w:type="pct"/>
            <w:shd w:val="clear" w:color="auto" w:fill="C6DBF7"/>
            <w:vAlign w:val="center"/>
            <w:hideMark/>
          </w:tcPr>
          <w:p w14:paraId="6DA09302" w14:textId="77777777" w:rsidR="000B4F35" w:rsidRPr="0063481A" w:rsidRDefault="000B4F35" w:rsidP="000B4F35">
            <w:pPr>
              <w:spacing w:after="0" w:line="240" w:lineRule="auto"/>
              <w:jc w:val="center"/>
              <w:rPr>
                <w:rFonts w:cstheme="minorHAnsi"/>
                <w:sz w:val="20"/>
                <w:szCs w:val="20"/>
                <w:lang w:eastAsia="sk-SK"/>
              </w:rPr>
            </w:pPr>
            <w:r w:rsidRPr="0063481A">
              <w:rPr>
                <w:rFonts w:cstheme="minorHAnsi"/>
                <w:b/>
                <w:bCs/>
                <w:sz w:val="20"/>
                <w:szCs w:val="20"/>
                <w:lang w:eastAsia="sk-SK"/>
              </w:rPr>
              <w:t>Ekonomická klasifikácia</w:t>
            </w:r>
          </w:p>
        </w:tc>
        <w:tc>
          <w:tcPr>
            <w:tcW w:w="0" w:type="auto"/>
            <w:shd w:val="clear" w:color="auto" w:fill="C6DBF7"/>
            <w:vAlign w:val="center"/>
            <w:hideMark/>
          </w:tcPr>
          <w:p w14:paraId="4434B2A8" w14:textId="77777777" w:rsidR="000B4F35" w:rsidRPr="0063481A" w:rsidRDefault="000B4F35" w:rsidP="000B4F35">
            <w:pPr>
              <w:spacing w:after="0" w:line="240" w:lineRule="auto"/>
              <w:jc w:val="center"/>
              <w:rPr>
                <w:rFonts w:cstheme="minorHAnsi"/>
                <w:sz w:val="20"/>
                <w:szCs w:val="20"/>
                <w:lang w:eastAsia="sk-SK"/>
              </w:rPr>
            </w:pPr>
            <w:r w:rsidRPr="0063481A">
              <w:rPr>
                <w:rFonts w:cstheme="minorHAnsi"/>
                <w:b/>
                <w:bCs/>
                <w:sz w:val="20"/>
                <w:szCs w:val="20"/>
                <w:lang w:eastAsia="sk-SK"/>
              </w:rPr>
              <w:t>Schválený</w:t>
            </w:r>
            <w:r w:rsidRPr="0063481A">
              <w:rPr>
                <w:rFonts w:cstheme="minorHAnsi"/>
                <w:b/>
                <w:bCs/>
                <w:sz w:val="20"/>
                <w:szCs w:val="20"/>
                <w:lang w:eastAsia="sk-SK"/>
              </w:rPr>
              <w:br/>
              <w:t>rozpočet</w:t>
            </w:r>
            <w:r w:rsidRPr="0063481A">
              <w:rPr>
                <w:rFonts w:cstheme="minorHAnsi"/>
                <w:b/>
                <w:bCs/>
                <w:sz w:val="20"/>
                <w:szCs w:val="20"/>
                <w:lang w:eastAsia="sk-SK"/>
              </w:rPr>
              <w:br/>
              <w:t>v EUR</w:t>
            </w:r>
          </w:p>
        </w:tc>
        <w:tc>
          <w:tcPr>
            <w:tcW w:w="646" w:type="pct"/>
            <w:shd w:val="clear" w:color="auto" w:fill="C6DBF7"/>
            <w:vAlign w:val="center"/>
            <w:hideMark/>
          </w:tcPr>
          <w:p w14:paraId="34B6A57B" w14:textId="77777777" w:rsidR="000B4F35" w:rsidRPr="0063481A" w:rsidRDefault="000B4F35" w:rsidP="000B4F35">
            <w:pPr>
              <w:spacing w:after="0" w:line="240" w:lineRule="auto"/>
              <w:jc w:val="center"/>
              <w:rPr>
                <w:rFonts w:cstheme="minorHAnsi"/>
                <w:sz w:val="20"/>
                <w:szCs w:val="20"/>
                <w:lang w:eastAsia="sk-SK"/>
              </w:rPr>
            </w:pPr>
            <w:r w:rsidRPr="0063481A">
              <w:rPr>
                <w:rFonts w:cstheme="minorHAnsi"/>
                <w:b/>
                <w:bCs/>
                <w:sz w:val="20"/>
                <w:szCs w:val="20"/>
                <w:lang w:eastAsia="sk-SK"/>
              </w:rPr>
              <w:t>Zmenený</w:t>
            </w:r>
            <w:r w:rsidRPr="0063481A">
              <w:rPr>
                <w:rFonts w:cstheme="minorHAnsi"/>
                <w:b/>
                <w:bCs/>
                <w:sz w:val="20"/>
                <w:szCs w:val="20"/>
                <w:lang w:eastAsia="sk-SK"/>
              </w:rPr>
              <w:br/>
              <w:t>rozpočet</w:t>
            </w:r>
            <w:r w:rsidRPr="0063481A">
              <w:rPr>
                <w:rFonts w:cstheme="minorHAnsi"/>
                <w:b/>
                <w:bCs/>
                <w:sz w:val="20"/>
                <w:szCs w:val="20"/>
                <w:lang w:eastAsia="sk-SK"/>
              </w:rPr>
              <w:br/>
              <w:t>v EUR</w:t>
            </w:r>
          </w:p>
        </w:tc>
        <w:tc>
          <w:tcPr>
            <w:tcW w:w="484" w:type="pct"/>
            <w:shd w:val="clear" w:color="auto" w:fill="C6DBF7"/>
            <w:vAlign w:val="center"/>
            <w:hideMark/>
          </w:tcPr>
          <w:p w14:paraId="5DF74057" w14:textId="77777777" w:rsidR="000B4F35" w:rsidRPr="0063481A" w:rsidRDefault="000B4F35" w:rsidP="000B4F35">
            <w:pPr>
              <w:spacing w:after="0" w:line="240" w:lineRule="auto"/>
              <w:jc w:val="center"/>
              <w:rPr>
                <w:rFonts w:cstheme="minorHAnsi"/>
                <w:sz w:val="20"/>
                <w:szCs w:val="20"/>
                <w:lang w:eastAsia="sk-SK"/>
              </w:rPr>
            </w:pPr>
            <w:r w:rsidRPr="0063481A">
              <w:rPr>
                <w:rFonts w:cstheme="minorHAnsi"/>
                <w:b/>
                <w:bCs/>
                <w:sz w:val="20"/>
                <w:szCs w:val="20"/>
                <w:lang w:eastAsia="sk-SK"/>
              </w:rPr>
              <w:t>Čerpanie</w:t>
            </w:r>
            <w:r w:rsidRPr="0063481A">
              <w:rPr>
                <w:rFonts w:cstheme="minorHAnsi"/>
                <w:b/>
                <w:bCs/>
                <w:sz w:val="20"/>
                <w:szCs w:val="20"/>
                <w:lang w:eastAsia="sk-SK"/>
              </w:rPr>
              <w:br/>
              <w:t>v EUR</w:t>
            </w:r>
          </w:p>
        </w:tc>
        <w:tc>
          <w:tcPr>
            <w:tcW w:w="368" w:type="pct"/>
            <w:shd w:val="clear" w:color="auto" w:fill="C6DBF7"/>
            <w:vAlign w:val="center"/>
            <w:hideMark/>
          </w:tcPr>
          <w:p w14:paraId="716C2F95" w14:textId="77777777" w:rsidR="000B4F35" w:rsidRPr="0063481A" w:rsidRDefault="000B4F35" w:rsidP="000B4F35">
            <w:pPr>
              <w:spacing w:after="0" w:line="240" w:lineRule="auto"/>
              <w:jc w:val="center"/>
              <w:rPr>
                <w:rFonts w:cstheme="minorHAnsi"/>
                <w:sz w:val="20"/>
                <w:szCs w:val="20"/>
                <w:lang w:eastAsia="sk-SK"/>
              </w:rPr>
            </w:pPr>
            <w:r w:rsidRPr="0063481A">
              <w:rPr>
                <w:rFonts w:cstheme="minorHAnsi"/>
                <w:b/>
                <w:bCs/>
                <w:sz w:val="20"/>
                <w:szCs w:val="20"/>
                <w:lang w:eastAsia="sk-SK"/>
              </w:rPr>
              <w:t>Čerpanie</w:t>
            </w:r>
            <w:r w:rsidRPr="0063481A">
              <w:rPr>
                <w:rFonts w:cstheme="minorHAnsi"/>
                <w:b/>
                <w:bCs/>
                <w:sz w:val="20"/>
                <w:szCs w:val="20"/>
                <w:lang w:eastAsia="sk-SK"/>
              </w:rPr>
              <w:br/>
              <w:t xml:space="preserve">k </w:t>
            </w:r>
            <w:proofErr w:type="spellStart"/>
            <w:r w:rsidRPr="0063481A">
              <w:rPr>
                <w:rFonts w:cstheme="minorHAnsi"/>
                <w:b/>
                <w:bCs/>
                <w:sz w:val="20"/>
                <w:szCs w:val="20"/>
                <w:lang w:eastAsia="sk-SK"/>
              </w:rPr>
              <w:t>zmen</w:t>
            </w:r>
            <w:proofErr w:type="spellEnd"/>
            <w:r w:rsidRPr="0063481A">
              <w:rPr>
                <w:rFonts w:cstheme="minorHAnsi"/>
                <w:b/>
                <w:bCs/>
                <w:sz w:val="20"/>
                <w:szCs w:val="20"/>
                <w:lang w:eastAsia="sk-SK"/>
              </w:rPr>
              <w:t xml:space="preserve">. </w:t>
            </w:r>
            <w:proofErr w:type="spellStart"/>
            <w:r w:rsidRPr="0063481A">
              <w:rPr>
                <w:rFonts w:cstheme="minorHAnsi"/>
                <w:b/>
                <w:bCs/>
                <w:sz w:val="20"/>
                <w:szCs w:val="20"/>
                <w:lang w:eastAsia="sk-SK"/>
              </w:rPr>
              <w:t>rozp</w:t>
            </w:r>
            <w:proofErr w:type="spellEnd"/>
            <w:r w:rsidRPr="0063481A">
              <w:rPr>
                <w:rFonts w:cstheme="minorHAnsi"/>
                <w:b/>
                <w:bCs/>
                <w:sz w:val="20"/>
                <w:szCs w:val="20"/>
                <w:lang w:eastAsia="sk-SK"/>
              </w:rPr>
              <w:t>.</w:t>
            </w:r>
            <w:r w:rsidRPr="0063481A">
              <w:rPr>
                <w:rFonts w:cstheme="minorHAnsi"/>
                <w:b/>
                <w:bCs/>
                <w:sz w:val="20"/>
                <w:szCs w:val="20"/>
                <w:lang w:eastAsia="sk-SK"/>
              </w:rPr>
              <w:br/>
              <w:t>v %</w:t>
            </w:r>
          </w:p>
        </w:tc>
        <w:tc>
          <w:tcPr>
            <w:tcW w:w="1388" w:type="pct"/>
            <w:shd w:val="clear" w:color="auto" w:fill="C6DBF7"/>
            <w:vAlign w:val="center"/>
            <w:hideMark/>
          </w:tcPr>
          <w:p w14:paraId="5E6A4922" w14:textId="77777777" w:rsidR="000B4F35" w:rsidRPr="0063481A" w:rsidRDefault="000B4F35" w:rsidP="000B4F35">
            <w:pPr>
              <w:spacing w:after="0" w:line="240" w:lineRule="auto"/>
              <w:jc w:val="center"/>
              <w:rPr>
                <w:rFonts w:cstheme="minorHAnsi"/>
                <w:sz w:val="20"/>
                <w:szCs w:val="20"/>
                <w:lang w:eastAsia="sk-SK"/>
              </w:rPr>
            </w:pPr>
            <w:r w:rsidRPr="0063481A">
              <w:rPr>
                <w:rFonts w:cstheme="minorHAnsi"/>
                <w:b/>
                <w:bCs/>
                <w:sz w:val="20"/>
                <w:szCs w:val="20"/>
                <w:lang w:eastAsia="sk-SK"/>
              </w:rPr>
              <w:t>Zmeny rozpočtu</w:t>
            </w:r>
          </w:p>
        </w:tc>
      </w:tr>
      <w:tr w:rsidR="000B4F35" w:rsidRPr="0063481A" w14:paraId="5FD17495" w14:textId="77777777" w:rsidTr="000B4F35">
        <w:trPr>
          <w:tblCellSpacing w:w="15" w:type="dxa"/>
        </w:trPr>
        <w:tc>
          <w:tcPr>
            <w:tcW w:w="0" w:type="auto"/>
            <w:shd w:val="clear" w:color="auto" w:fill="D9D9D9"/>
            <w:noWrap/>
            <w:vAlign w:val="center"/>
            <w:hideMark/>
          </w:tcPr>
          <w:p w14:paraId="2E3BBDAD" w14:textId="77777777" w:rsidR="000B4F35" w:rsidRPr="0063481A" w:rsidRDefault="000B4F35" w:rsidP="000B4F35">
            <w:pPr>
              <w:spacing w:after="0" w:line="240" w:lineRule="auto"/>
              <w:jc w:val="center"/>
              <w:rPr>
                <w:rFonts w:cstheme="minorHAnsi"/>
                <w:sz w:val="20"/>
                <w:szCs w:val="20"/>
                <w:lang w:eastAsia="sk-SK"/>
              </w:rPr>
            </w:pPr>
          </w:p>
        </w:tc>
        <w:tc>
          <w:tcPr>
            <w:tcW w:w="0" w:type="auto"/>
            <w:shd w:val="clear" w:color="auto" w:fill="D9D9D9"/>
            <w:vAlign w:val="center"/>
            <w:hideMark/>
          </w:tcPr>
          <w:p w14:paraId="44E8668C" w14:textId="77777777" w:rsidR="000B4F35" w:rsidRPr="0063481A" w:rsidRDefault="000B4F35" w:rsidP="000B4F35">
            <w:pPr>
              <w:spacing w:after="0" w:line="240" w:lineRule="auto"/>
              <w:rPr>
                <w:rFonts w:cstheme="minorHAnsi"/>
                <w:sz w:val="20"/>
                <w:szCs w:val="20"/>
                <w:lang w:eastAsia="sk-SK"/>
              </w:rPr>
            </w:pPr>
            <w:r w:rsidRPr="0063481A">
              <w:rPr>
                <w:rFonts w:cstheme="minorHAnsi"/>
                <w:b/>
                <w:bCs/>
                <w:sz w:val="20"/>
                <w:szCs w:val="20"/>
                <w:lang w:eastAsia="sk-SK"/>
              </w:rPr>
              <w:t>Výdavky celkom</w:t>
            </w:r>
            <w:r w:rsidRPr="0063481A">
              <w:rPr>
                <w:rFonts w:cstheme="minorHAnsi"/>
                <w:sz w:val="20"/>
                <w:szCs w:val="20"/>
                <w:lang w:eastAsia="sk-SK"/>
              </w:rPr>
              <w:t xml:space="preserve"> </w:t>
            </w:r>
          </w:p>
        </w:tc>
        <w:tc>
          <w:tcPr>
            <w:tcW w:w="0" w:type="auto"/>
            <w:shd w:val="clear" w:color="auto" w:fill="D9D9D9"/>
            <w:noWrap/>
            <w:vAlign w:val="center"/>
            <w:hideMark/>
          </w:tcPr>
          <w:p w14:paraId="22B2D464"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b/>
                <w:bCs/>
                <w:sz w:val="20"/>
                <w:szCs w:val="20"/>
                <w:lang w:eastAsia="sk-SK"/>
              </w:rPr>
              <w:t>400</w:t>
            </w:r>
            <w:r>
              <w:rPr>
                <w:rFonts w:cstheme="minorHAnsi"/>
                <w:b/>
                <w:bCs/>
                <w:sz w:val="20"/>
                <w:szCs w:val="20"/>
                <w:lang w:eastAsia="sk-SK"/>
              </w:rPr>
              <w:t> </w:t>
            </w:r>
            <w:r w:rsidRPr="008642F3">
              <w:rPr>
                <w:rFonts w:cstheme="minorHAnsi"/>
                <w:b/>
                <w:bCs/>
                <w:sz w:val="20"/>
                <w:szCs w:val="20"/>
                <w:lang w:eastAsia="sk-SK"/>
              </w:rPr>
              <w:t>680</w:t>
            </w:r>
            <w:r>
              <w:rPr>
                <w:rFonts w:cstheme="minorHAnsi"/>
                <w:b/>
                <w:bCs/>
                <w:sz w:val="20"/>
                <w:szCs w:val="20"/>
                <w:lang w:eastAsia="sk-SK"/>
              </w:rPr>
              <w:t>,00</w:t>
            </w:r>
          </w:p>
        </w:tc>
        <w:tc>
          <w:tcPr>
            <w:tcW w:w="646" w:type="pct"/>
            <w:shd w:val="clear" w:color="auto" w:fill="D9D9D9"/>
            <w:noWrap/>
            <w:vAlign w:val="center"/>
            <w:hideMark/>
          </w:tcPr>
          <w:p w14:paraId="418AB767"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b/>
                <w:bCs/>
                <w:sz w:val="20"/>
                <w:szCs w:val="20"/>
                <w:lang w:eastAsia="sk-SK"/>
              </w:rPr>
              <w:t>253 534,39</w:t>
            </w:r>
          </w:p>
        </w:tc>
        <w:tc>
          <w:tcPr>
            <w:tcW w:w="484" w:type="pct"/>
            <w:shd w:val="clear" w:color="auto" w:fill="D9D9D9"/>
            <w:noWrap/>
            <w:vAlign w:val="center"/>
            <w:hideMark/>
          </w:tcPr>
          <w:p w14:paraId="01AAB14E"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b/>
                <w:bCs/>
                <w:sz w:val="20"/>
                <w:szCs w:val="20"/>
                <w:lang w:eastAsia="sk-SK"/>
              </w:rPr>
              <w:t>168 753,52</w:t>
            </w:r>
          </w:p>
        </w:tc>
        <w:tc>
          <w:tcPr>
            <w:tcW w:w="368" w:type="pct"/>
            <w:shd w:val="clear" w:color="auto" w:fill="D9D9D9"/>
            <w:noWrap/>
            <w:vAlign w:val="center"/>
            <w:hideMark/>
          </w:tcPr>
          <w:p w14:paraId="0C60AA5F" w14:textId="77777777" w:rsidR="000B4F35" w:rsidRPr="0063481A" w:rsidRDefault="000B4F35" w:rsidP="000B4F35">
            <w:pPr>
              <w:spacing w:after="0" w:line="240" w:lineRule="auto"/>
              <w:jc w:val="right"/>
              <w:rPr>
                <w:rFonts w:cstheme="minorHAnsi"/>
                <w:sz w:val="20"/>
                <w:szCs w:val="20"/>
                <w:lang w:eastAsia="sk-SK"/>
              </w:rPr>
            </w:pPr>
            <w:r>
              <w:rPr>
                <w:rFonts w:cstheme="minorHAnsi"/>
                <w:b/>
                <w:bCs/>
                <w:sz w:val="20"/>
                <w:szCs w:val="20"/>
                <w:lang w:eastAsia="sk-SK"/>
              </w:rPr>
              <w:t>66</w:t>
            </w:r>
            <w:r w:rsidRPr="0063481A">
              <w:rPr>
                <w:rFonts w:cstheme="minorHAnsi"/>
                <w:b/>
                <w:bCs/>
                <w:sz w:val="20"/>
                <w:szCs w:val="20"/>
                <w:lang w:eastAsia="sk-SK"/>
              </w:rPr>
              <w:t>,</w:t>
            </w:r>
            <w:r>
              <w:rPr>
                <w:rFonts w:cstheme="minorHAnsi"/>
                <w:b/>
                <w:bCs/>
                <w:sz w:val="20"/>
                <w:szCs w:val="20"/>
                <w:lang w:eastAsia="sk-SK"/>
              </w:rPr>
              <w:t>56</w:t>
            </w:r>
            <w:r w:rsidRPr="0063481A">
              <w:rPr>
                <w:rFonts w:cstheme="minorHAnsi"/>
                <w:sz w:val="20"/>
                <w:szCs w:val="20"/>
                <w:lang w:eastAsia="sk-SK"/>
              </w:rPr>
              <w:t xml:space="preserve"> </w:t>
            </w:r>
          </w:p>
        </w:tc>
        <w:tc>
          <w:tcPr>
            <w:tcW w:w="1388" w:type="pct"/>
            <w:vMerge w:val="restart"/>
            <w:shd w:val="clear" w:color="auto" w:fill="D9D9D9"/>
            <w:vAlign w:val="center"/>
            <w:hideMark/>
          </w:tcPr>
          <w:p w14:paraId="752D659A" w14:textId="0002AEEC" w:rsidR="000B4F35" w:rsidRDefault="000B4F35" w:rsidP="000B4F35">
            <w:pPr>
              <w:spacing w:after="0" w:line="240" w:lineRule="auto"/>
              <w:rPr>
                <w:rFonts w:cstheme="minorHAnsi"/>
                <w:bCs/>
                <w:sz w:val="20"/>
                <w:szCs w:val="20"/>
                <w:lang w:eastAsia="sk-SK"/>
              </w:rPr>
            </w:pPr>
            <w:r w:rsidRPr="00296E97">
              <w:rPr>
                <w:rFonts w:cstheme="minorHAnsi"/>
                <w:b/>
                <w:sz w:val="20"/>
                <w:szCs w:val="20"/>
                <w:lang w:eastAsia="sk-SK"/>
              </w:rPr>
              <w:t>-80 000,00 EUR</w:t>
            </w:r>
            <w:r w:rsidRPr="000B4F35">
              <w:rPr>
                <w:rFonts w:cstheme="minorHAnsi"/>
                <w:bCs/>
                <w:sz w:val="20"/>
                <w:szCs w:val="20"/>
                <w:lang w:eastAsia="sk-SK"/>
              </w:rPr>
              <w:t xml:space="preserve"> dofinancovanie </w:t>
            </w:r>
            <w:proofErr w:type="spellStart"/>
            <w:r w:rsidRPr="000B4F35">
              <w:rPr>
                <w:rFonts w:cstheme="minorHAnsi"/>
                <w:bCs/>
                <w:sz w:val="20"/>
                <w:szCs w:val="20"/>
                <w:lang w:eastAsia="sk-SK"/>
              </w:rPr>
              <w:t>pandemickej</w:t>
            </w:r>
            <w:proofErr w:type="spellEnd"/>
            <w:r w:rsidRPr="000B4F35">
              <w:rPr>
                <w:rFonts w:cstheme="minorHAnsi"/>
                <w:bCs/>
                <w:sz w:val="20"/>
                <w:szCs w:val="20"/>
                <w:lang w:eastAsia="sk-SK"/>
              </w:rPr>
              <w:t xml:space="preserve"> situácie, </w:t>
            </w:r>
          </w:p>
          <w:p w14:paraId="31C56FB1" w14:textId="1FCE3F76" w:rsidR="000B4F35" w:rsidRDefault="000B4F35" w:rsidP="000B4F35">
            <w:pPr>
              <w:spacing w:after="0" w:line="240" w:lineRule="auto"/>
              <w:rPr>
                <w:rFonts w:cstheme="minorHAnsi"/>
                <w:bCs/>
                <w:sz w:val="20"/>
                <w:szCs w:val="20"/>
                <w:lang w:eastAsia="sk-SK"/>
              </w:rPr>
            </w:pPr>
            <w:r w:rsidRPr="00C05CAB">
              <w:rPr>
                <w:rFonts w:cstheme="minorHAnsi"/>
                <w:b/>
                <w:sz w:val="20"/>
                <w:szCs w:val="20"/>
                <w:lang w:eastAsia="sk-SK"/>
              </w:rPr>
              <w:t>-60 000, 00 EUR</w:t>
            </w:r>
            <w:r w:rsidRPr="000B4F35">
              <w:rPr>
                <w:rFonts w:cstheme="minorHAnsi"/>
                <w:bCs/>
                <w:sz w:val="20"/>
                <w:szCs w:val="20"/>
                <w:lang w:eastAsia="sk-SK"/>
              </w:rPr>
              <w:t xml:space="preserve"> dofinancovanie miezd Divadla Aréna, </w:t>
            </w:r>
          </w:p>
          <w:p w14:paraId="7374B85B" w14:textId="02F542AF" w:rsidR="000B4F35" w:rsidRPr="0063481A" w:rsidRDefault="000B4F35" w:rsidP="000B4F35">
            <w:pPr>
              <w:spacing w:after="0" w:line="240" w:lineRule="auto"/>
              <w:rPr>
                <w:rFonts w:cstheme="minorHAnsi"/>
                <w:b/>
                <w:sz w:val="20"/>
                <w:szCs w:val="20"/>
                <w:lang w:eastAsia="sk-SK"/>
              </w:rPr>
            </w:pPr>
            <w:r w:rsidRPr="00C05CAB">
              <w:rPr>
                <w:rFonts w:cstheme="minorHAnsi"/>
                <w:b/>
                <w:sz w:val="20"/>
                <w:szCs w:val="20"/>
                <w:lang w:eastAsia="sk-SK"/>
              </w:rPr>
              <w:t>-1 14</w:t>
            </w:r>
            <w:r w:rsidR="004B2724">
              <w:rPr>
                <w:rFonts w:cstheme="minorHAnsi"/>
                <w:b/>
                <w:sz w:val="20"/>
                <w:szCs w:val="20"/>
                <w:lang w:eastAsia="sk-SK"/>
              </w:rPr>
              <w:t>5</w:t>
            </w:r>
            <w:r w:rsidRPr="00C05CAB">
              <w:rPr>
                <w:rFonts w:cstheme="minorHAnsi"/>
                <w:b/>
                <w:sz w:val="20"/>
                <w:szCs w:val="20"/>
                <w:lang w:eastAsia="sk-SK"/>
              </w:rPr>
              <w:t>,</w:t>
            </w:r>
            <w:r w:rsidR="004B2724">
              <w:rPr>
                <w:rFonts w:cstheme="minorHAnsi"/>
                <w:b/>
                <w:sz w:val="20"/>
                <w:szCs w:val="20"/>
                <w:lang w:eastAsia="sk-SK"/>
              </w:rPr>
              <w:t>6</w:t>
            </w:r>
            <w:r w:rsidRPr="00C05CAB">
              <w:rPr>
                <w:rFonts w:cstheme="minorHAnsi"/>
                <w:b/>
                <w:sz w:val="20"/>
                <w:szCs w:val="20"/>
                <w:lang w:eastAsia="sk-SK"/>
              </w:rPr>
              <w:t>1 EUR</w:t>
            </w:r>
            <w:r w:rsidRPr="000B4F35">
              <w:rPr>
                <w:rFonts w:cstheme="minorHAnsi"/>
                <w:bCs/>
                <w:sz w:val="20"/>
                <w:szCs w:val="20"/>
                <w:lang w:eastAsia="sk-SK"/>
              </w:rPr>
              <w:t xml:space="preserve"> </w:t>
            </w:r>
            <w:r w:rsidR="00C05CAB">
              <w:rPr>
                <w:rFonts w:cstheme="minorHAnsi"/>
                <w:bCs/>
                <w:sz w:val="20"/>
                <w:szCs w:val="20"/>
                <w:lang w:eastAsia="sk-SK"/>
              </w:rPr>
              <w:t>presun na PK 1.7</w:t>
            </w:r>
          </w:p>
        </w:tc>
      </w:tr>
      <w:tr w:rsidR="000B4F35" w:rsidRPr="0063481A" w14:paraId="2E81C4DF" w14:textId="77777777" w:rsidTr="000B4F35">
        <w:trPr>
          <w:tblCellSpacing w:w="15" w:type="dxa"/>
        </w:trPr>
        <w:tc>
          <w:tcPr>
            <w:tcW w:w="0" w:type="auto"/>
            <w:shd w:val="clear" w:color="auto" w:fill="D9D9D9"/>
            <w:noWrap/>
            <w:vAlign w:val="center"/>
            <w:hideMark/>
          </w:tcPr>
          <w:p w14:paraId="01725AAA" w14:textId="77777777" w:rsidR="000B4F35" w:rsidRPr="0063481A" w:rsidRDefault="000B4F35" w:rsidP="000B4F35">
            <w:pPr>
              <w:spacing w:after="0" w:line="240" w:lineRule="auto"/>
              <w:rPr>
                <w:rFonts w:cstheme="minorHAnsi"/>
                <w:sz w:val="20"/>
                <w:szCs w:val="20"/>
                <w:lang w:eastAsia="sk-SK"/>
              </w:rPr>
            </w:pPr>
            <w:r w:rsidRPr="0063481A">
              <w:rPr>
                <w:rFonts w:cstheme="minorHAnsi"/>
                <w:b/>
                <w:bCs/>
                <w:sz w:val="20"/>
                <w:szCs w:val="20"/>
                <w:lang w:eastAsia="sk-SK"/>
              </w:rPr>
              <w:t>600</w:t>
            </w:r>
            <w:r w:rsidRPr="0063481A">
              <w:rPr>
                <w:rFonts w:cstheme="minorHAnsi"/>
                <w:sz w:val="20"/>
                <w:szCs w:val="20"/>
                <w:lang w:eastAsia="sk-SK"/>
              </w:rPr>
              <w:t xml:space="preserve"> </w:t>
            </w:r>
          </w:p>
        </w:tc>
        <w:tc>
          <w:tcPr>
            <w:tcW w:w="0" w:type="auto"/>
            <w:shd w:val="clear" w:color="auto" w:fill="D9D9D9"/>
            <w:vAlign w:val="center"/>
            <w:hideMark/>
          </w:tcPr>
          <w:p w14:paraId="1B0CD9C4" w14:textId="77777777" w:rsidR="000B4F35" w:rsidRPr="0063481A" w:rsidRDefault="000B4F35" w:rsidP="000B4F35">
            <w:pPr>
              <w:spacing w:after="0" w:line="240" w:lineRule="auto"/>
              <w:rPr>
                <w:rFonts w:cstheme="minorHAnsi"/>
                <w:sz w:val="20"/>
                <w:szCs w:val="20"/>
                <w:lang w:eastAsia="sk-SK"/>
              </w:rPr>
            </w:pPr>
            <w:r w:rsidRPr="0063481A">
              <w:rPr>
                <w:rFonts w:cstheme="minorHAnsi"/>
                <w:b/>
                <w:bCs/>
                <w:sz w:val="20"/>
                <w:szCs w:val="20"/>
                <w:lang w:eastAsia="sk-SK"/>
              </w:rPr>
              <w:t>Bežné výdavky</w:t>
            </w:r>
            <w:r w:rsidRPr="0063481A">
              <w:rPr>
                <w:rFonts w:cstheme="minorHAnsi"/>
                <w:sz w:val="20"/>
                <w:szCs w:val="20"/>
                <w:lang w:eastAsia="sk-SK"/>
              </w:rPr>
              <w:t xml:space="preserve"> </w:t>
            </w:r>
          </w:p>
        </w:tc>
        <w:tc>
          <w:tcPr>
            <w:tcW w:w="0" w:type="auto"/>
            <w:shd w:val="clear" w:color="auto" w:fill="D9D9D9"/>
            <w:noWrap/>
            <w:vAlign w:val="center"/>
            <w:hideMark/>
          </w:tcPr>
          <w:p w14:paraId="570AFBE9"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b/>
                <w:bCs/>
                <w:sz w:val="20"/>
                <w:szCs w:val="20"/>
                <w:lang w:eastAsia="sk-SK"/>
              </w:rPr>
              <w:t>400</w:t>
            </w:r>
            <w:r>
              <w:rPr>
                <w:rFonts w:cstheme="minorHAnsi"/>
                <w:b/>
                <w:bCs/>
                <w:sz w:val="20"/>
                <w:szCs w:val="20"/>
                <w:lang w:eastAsia="sk-SK"/>
              </w:rPr>
              <w:t> </w:t>
            </w:r>
            <w:r w:rsidRPr="008642F3">
              <w:rPr>
                <w:rFonts w:cstheme="minorHAnsi"/>
                <w:b/>
                <w:bCs/>
                <w:sz w:val="20"/>
                <w:szCs w:val="20"/>
                <w:lang w:eastAsia="sk-SK"/>
              </w:rPr>
              <w:t>680</w:t>
            </w:r>
            <w:r>
              <w:rPr>
                <w:rFonts w:cstheme="minorHAnsi"/>
                <w:b/>
                <w:bCs/>
                <w:sz w:val="20"/>
                <w:szCs w:val="20"/>
                <w:lang w:eastAsia="sk-SK"/>
              </w:rPr>
              <w:t>,00</w:t>
            </w:r>
          </w:p>
        </w:tc>
        <w:tc>
          <w:tcPr>
            <w:tcW w:w="646" w:type="pct"/>
            <w:shd w:val="clear" w:color="auto" w:fill="D9D9D9"/>
            <w:noWrap/>
            <w:vAlign w:val="center"/>
            <w:hideMark/>
          </w:tcPr>
          <w:p w14:paraId="5B6EF877"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b/>
                <w:bCs/>
                <w:sz w:val="20"/>
                <w:szCs w:val="20"/>
                <w:lang w:eastAsia="sk-SK"/>
              </w:rPr>
              <w:t>253 534,39</w:t>
            </w:r>
          </w:p>
        </w:tc>
        <w:tc>
          <w:tcPr>
            <w:tcW w:w="484" w:type="pct"/>
            <w:shd w:val="clear" w:color="auto" w:fill="D9D9D9"/>
            <w:noWrap/>
            <w:vAlign w:val="center"/>
            <w:hideMark/>
          </w:tcPr>
          <w:p w14:paraId="4B3ED515"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b/>
                <w:bCs/>
                <w:sz w:val="20"/>
                <w:szCs w:val="20"/>
                <w:lang w:eastAsia="sk-SK"/>
              </w:rPr>
              <w:t>168 753,52</w:t>
            </w:r>
          </w:p>
        </w:tc>
        <w:tc>
          <w:tcPr>
            <w:tcW w:w="368" w:type="pct"/>
            <w:shd w:val="clear" w:color="auto" w:fill="D9D9D9"/>
            <w:noWrap/>
            <w:vAlign w:val="center"/>
            <w:hideMark/>
          </w:tcPr>
          <w:p w14:paraId="44815707" w14:textId="77777777" w:rsidR="000B4F35" w:rsidRPr="0063481A" w:rsidRDefault="000B4F35" w:rsidP="000B4F35">
            <w:pPr>
              <w:spacing w:after="0" w:line="240" w:lineRule="auto"/>
              <w:jc w:val="right"/>
              <w:rPr>
                <w:rFonts w:cstheme="minorHAnsi"/>
                <w:sz w:val="20"/>
                <w:szCs w:val="20"/>
                <w:lang w:eastAsia="sk-SK"/>
              </w:rPr>
            </w:pPr>
            <w:r>
              <w:rPr>
                <w:rFonts w:cstheme="minorHAnsi"/>
                <w:b/>
                <w:bCs/>
                <w:sz w:val="20"/>
                <w:szCs w:val="20"/>
                <w:lang w:eastAsia="sk-SK"/>
              </w:rPr>
              <w:t>66</w:t>
            </w:r>
            <w:r w:rsidRPr="0063481A">
              <w:rPr>
                <w:rFonts w:cstheme="minorHAnsi"/>
                <w:b/>
                <w:bCs/>
                <w:sz w:val="20"/>
                <w:szCs w:val="20"/>
                <w:lang w:eastAsia="sk-SK"/>
              </w:rPr>
              <w:t>,</w:t>
            </w:r>
            <w:r>
              <w:rPr>
                <w:rFonts w:cstheme="minorHAnsi"/>
                <w:b/>
                <w:bCs/>
                <w:sz w:val="20"/>
                <w:szCs w:val="20"/>
                <w:lang w:eastAsia="sk-SK"/>
              </w:rPr>
              <w:t>56</w:t>
            </w:r>
            <w:r w:rsidRPr="0063481A">
              <w:rPr>
                <w:rFonts w:cstheme="minorHAnsi"/>
                <w:sz w:val="20"/>
                <w:szCs w:val="20"/>
                <w:lang w:eastAsia="sk-SK"/>
              </w:rPr>
              <w:t xml:space="preserve"> </w:t>
            </w:r>
          </w:p>
        </w:tc>
        <w:tc>
          <w:tcPr>
            <w:tcW w:w="1388" w:type="pct"/>
            <w:vMerge/>
            <w:shd w:val="clear" w:color="auto" w:fill="D9D9D9"/>
            <w:vAlign w:val="center"/>
            <w:hideMark/>
          </w:tcPr>
          <w:p w14:paraId="30F47D90" w14:textId="77777777" w:rsidR="000B4F35" w:rsidRPr="0063481A" w:rsidRDefault="000B4F35" w:rsidP="000B4F35">
            <w:pPr>
              <w:spacing w:after="0" w:line="240" w:lineRule="auto"/>
              <w:jc w:val="right"/>
              <w:rPr>
                <w:rFonts w:cstheme="minorHAnsi"/>
                <w:sz w:val="20"/>
                <w:szCs w:val="20"/>
                <w:lang w:eastAsia="sk-SK"/>
              </w:rPr>
            </w:pPr>
          </w:p>
        </w:tc>
      </w:tr>
      <w:tr w:rsidR="000B4F35" w:rsidRPr="0063481A" w14:paraId="083FF549" w14:textId="77777777" w:rsidTr="000B4F35">
        <w:trPr>
          <w:tblCellSpacing w:w="15" w:type="dxa"/>
        </w:trPr>
        <w:tc>
          <w:tcPr>
            <w:tcW w:w="0" w:type="auto"/>
            <w:shd w:val="clear" w:color="auto" w:fill="EFEFEF"/>
            <w:noWrap/>
            <w:vAlign w:val="center"/>
            <w:hideMark/>
          </w:tcPr>
          <w:p w14:paraId="436A6465" w14:textId="77777777" w:rsidR="000B4F35" w:rsidRPr="0063481A" w:rsidRDefault="000B4F35" w:rsidP="000B4F35">
            <w:pPr>
              <w:spacing w:after="0" w:line="240" w:lineRule="auto"/>
              <w:rPr>
                <w:rFonts w:cstheme="minorHAnsi"/>
                <w:sz w:val="20"/>
                <w:szCs w:val="20"/>
                <w:lang w:eastAsia="sk-SK"/>
              </w:rPr>
            </w:pPr>
            <w:r w:rsidRPr="0063481A">
              <w:rPr>
                <w:rFonts w:cstheme="minorHAnsi"/>
                <w:sz w:val="20"/>
                <w:szCs w:val="20"/>
                <w:lang w:eastAsia="sk-SK"/>
              </w:rPr>
              <w:t xml:space="preserve">630 </w:t>
            </w:r>
          </w:p>
        </w:tc>
        <w:tc>
          <w:tcPr>
            <w:tcW w:w="0" w:type="auto"/>
            <w:shd w:val="clear" w:color="auto" w:fill="EFEFEF"/>
            <w:vAlign w:val="center"/>
            <w:hideMark/>
          </w:tcPr>
          <w:p w14:paraId="639A582C" w14:textId="77777777" w:rsidR="000B4F35" w:rsidRPr="0063481A" w:rsidRDefault="000B4F35" w:rsidP="000B4F35">
            <w:pPr>
              <w:spacing w:after="0" w:line="240" w:lineRule="auto"/>
              <w:rPr>
                <w:rFonts w:cstheme="minorHAnsi"/>
                <w:sz w:val="20"/>
                <w:szCs w:val="20"/>
                <w:lang w:eastAsia="sk-SK"/>
              </w:rPr>
            </w:pPr>
            <w:r w:rsidRPr="0063481A">
              <w:rPr>
                <w:rFonts w:cstheme="minorHAnsi"/>
                <w:sz w:val="20"/>
                <w:szCs w:val="20"/>
                <w:lang w:eastAsia="sk-SK"/>
              </w:rPr>
              <w:t xml:space="preserve">Tovary a služby </w:t>
            </w:r>
          </w:p>
        </w:tc>
        <w:tc>
          <w:tcPr>
            <w:tcW w:w="0" w:type="auto"/>
            <w:shd w:val="clear" w:color="auto" w:fill="EFEFEF"/>
            <w:noWrap/>
            <w:vAlign w:val="center"/>
            <w:hideMark/>
          </w:tcPr>
          <w:p w14:paraId="333575E3" w14:textId="77777777" w:rsidR="000B4F35" w:rsidRPr="0063481A" w:rsidRDefault="000B4F35" w:rsidP="000B4F35">
            <w:pPr>
              <w:spacing w:after="0" w:line="240" w:lineRule="auto"/>
              <w:jc w:val="right"/>
              <w:rPr>
                <w:rFonts w:cstheme="minorHAnsi"/>
                <w:sz w:val="20"/>
                <w:szCs w:val="20"/>
                <w:lang w:eastAsia="sk-SK"/>
              </w:rPr>
            </w:pPr>
            <w:r>
              <w:rPr>
                <w:rFonts w:cstheme="minorHAnsi"/>
                <w:sz w:val="20"/>
                <w:szCs w:val="20"/>
                <w:lang w:eastAsia="sk-SK"/>
              </w:rPr>
              <w:t>30</w:t>
            </w:r>
            <w:r w:rsidRPr="0063481A">
              <w:rPr>
                <w:rFonts w:cstheme="minorHAnsi"/>
                <w:sz w:val="20"/>
                <w:szCs w:val="20"/>
                <w:lang w:eastAsia="sk-SK"/>
              </w:rPr>
              <w:t xml:space="preserve"> </w:t>
            </w:r>
            <w:r>
              <w:rPr>
                <w:rFonts w:cstheme="minorHAnsi"/>
                <w:sz w:val="20"/>
                <w:szCs w:val="20"/>
                <w:lang w:eastAsia="sk-SK"/>
              </w:rPr>
              <w:t>6</w:t>
            </w:r>
            <w:r w:rsidRPr="0063481A">
              <w:rPr>
                <w:rFonts w:cstheme="minorHAnsi"/>
                <w:sz w:val="20"/>
                <w:szCs w:val="20"/>
                <w:lang w:eastAsia="sk-SK"/>
              </w:rPr>
              <w:t xml:space="preserve">80,00 </w:t>
            </w:r>
          </w:p>
        </w:tc>
        <w:tc>
          <w:tcPr>
            <w:tcW w:w="646" w:type="pct"/>
            <w:shd w:val="clear" w:color="auto" w:fill="EFEFEF"/>
            <w:noWrap/>
            <w:vAlign w:val="center"/>
            <w:hideMark/>
          </w:tcPr>
          <w:p w14:paraId="24F86081" w14:textId="77777777" w:rsidR="000B4F35" w:rsidRPr="0063481A" w:rsidRDefault="000B4F35" w:rsidP="000B4F35">
            <w:pPr>
              <w:spacing w:after="0" w:line="240" w:lineRule="auto"/>
              <w:jc w:val="right"/>
              <w:rPr>
                <w:rFonts w:cstheme="minorHAnsi"/>
                <w:sz w:val="20"/>
                <w:szCs w:val="20"/>
                <w:lang w:eastAsia="sk-SK"/>
              </w:rPr>
            </w:pPr>
            <w:r>
              <w:rPr>
                <w:rFonts w:cstheme="minorHAnsi"/>
                <w:sz w:val="20"/>
                <w:szCs w:val="20"/>
                <w:lang w:eastAsia="sk-SK"/>
              </w:rPr>
              <w:t>30</w:t>
            </w:r>
            <w:r w:rsidRPr="0063481A">
              <w:rPr>
                <w:rFonts w:cstheme="minorHAnsi"/>
                <w:sz w:val="20"/>
                <w:szCs w:val="20"/>
                <w:lang w:eastAsia="sk-SK"/>
              </w:rPr>
              <w:t xml:space="preserve"> </w:t>
            </w:r>
            <w:r>
              <w:rPr>
                <w:rFonts w:cstheme="minorHAnsi"/>
                <w:sz w:val="20"/>
                <w:szCs w:val="20"/>
                <w:lang w:eastAsia="sk-SK"/>
              </w:rPr>
              <w:t>6</w:t>
            </w:r>
            <w:r w:rsidRPr="0063481A">
              <w:rPr>
                <w:rFonts w:cstheme="minorHAnsi"/>
                <w:sz w:val="20"/>
                <w:szCs w:val="20"/>
                <w:lang w:eastAsia="sk-SK"/>
              </w:rPr>
              <w:t xml:space="preserve">80,00 </w:t>
            </w:r>
          </w:p>
        </w:tc>
        <w:tc>
          <w:tcPr>
            <w:tcW w:w="484" w:type="pct"/>
            <w:shd w:val="clear" w:color="auto" w:fill="EFEFEF"/>
            <w:noWrap/>
            <w:vAlign w:val="center"/>
            <w:hideMark/>
          </w:tcPr>
          <w:p w14:paraId="679B02F0"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sz w:val="20"/>
                <w:szCs w:val="20"/>
                <w:lang w:eastAsia="sk-SK"/>
              </w:rPr>
              <w:t>15 417,47</w:t>
            </w:r>
          </w:p>
        </w:tc>
        <w:tc>
          <w:tcPr>
            <w:tcW w:w="368" w:type="pct"/>
            <w:shd w:val="clear" w:color="auto" w:fill="EFEFEF"/>
            <w:noWrap/>
            <w:vAlign w:val="center"/>
            <w:hideMark/>
          </w:tcPr>
          <w:p w14:paraId="40CC955E" w14:textId="77777777" w:rsidR="000B4F35" w:rsidRPr="0063481A" w:rsidRDefault="000B4F35" w:rsidP="000B4F35">
            <w:pPr>
              <w:spacing w:after="0" w:line="240" w:lineRule="auto"/>
              <w:jc w:val="right"/>
              <w:rPr>
                <w:rFonts w:cstheme="minorHAnsi"/>
                <w:sz w:val="20"/>
                <w:szCs w:val="20"/>
                <w:lang w:eastAsia="sk-SK"/>
              </w:rPr>
            </w:pPr>
            <w:r>
              <w:rPr>
                <w:rFonts w:cstheme="minorHAnsi"/>
                <w:sz w:val="20"/>
                <w:szCs w:val="20"/>
                <w:lang w:eastAsia="sk-SK"/>
              </w:rPr>
              <w:t>50</w:t>
            </w:r>
            <w:r w:rsidRPr="0063481A">
              <w:rPr>
                <w:rFonts w:cstheme="minorHAnsi"/>
                <w:sz w:val="20"/>
                <w:szCs w:val="20"/>
                <w:lang w:eastAsia="sk-SK"/>
              </w:rPr>
              <w:t>,</w:t>
            </w:r>
            <w:r>
              <w:rPr>
                <w:rFonts w:cstheme="minorHAnsi"/>
                <w:sz w:val="20"/>
                <w:szCs w:val="20"/>
                <w:lang w:eastAsia="sk-SK"/>
              </w:rPr>
              <w:t>25</w:t>
            </w:r>
            <w:r w:rsidRPr="0063481A">
              <w:rPr>
                <w:rFonts w:cstheme="minorHAnsi"/>
                <w:sz w:val="20"/>
                <w:szCs w:val="20"/>
                <w:lang w:eastAsia="sk-SK"/>
              </w:rPr>
              <w:t xml:space="preserve"> </w:t>
            </w:r>
          </w:p>
        </w:tc>
        <w:tc>
          <w:tcPr>
            <w:tcW w:w="1388" w:type="pct"/>
            <w:vMerge/>
            <w:shd w:val="clear" w:color="auto" w:fill="EFEFEF"/>
            <w:vAlign w:val="center"/>
            <w:hideMark/>
          </w:tcPr>
          <w:p w14:paraId="038B0B5F" w14:textId="77777777" w:rsidR="000B4F35" w:rsidRPr="0063481A" w:rsidRDefault="000B4F35" w:rsidP="000B4F35">
            <w:pPr>
              <w:spacing w:after="0" w:line="240" w:lineRule="auto"/>
              <w:rPr>
                <w:rFonts w:cstheme="minorHAnsi"/>
                <w:sz w:val="20"/>
                <w:szCs w:val="20"/>
                <w:lang w:eastAsia="sk-SK"/>
              </w:rPr>
            </w:pPr>
          </w:p>
        </w:tc>
      </w:tr>
      <w:tr w:rsidR="000B4F35" w:rsidRPr="0063481A" w14:paraId="4755F08E" w14:textId="77777777" w:rsidTr="000B4F35">
        <w:trPr>
          <w:tblCellSpacing w:w="15" w:type="dxa"/>
        </w:trPr>
        <w:tc>
          <w:tcPr>
            <w:tcW w:w="0" w:type="auto"/>
            <w:shd w:val="clear" w:color="auto" w:fill="EFEFEF"/>
            <w:noWrap/>
            <w:vAlign w:val="center"/>
            <w:hideMark/>
          </w:tcPr>
          <w:p w14:paraId="18B1A6B9" w14:textId="77777777" w:rsidR="000B4F35" w:rsidRPr="0063481A" w:rsidRDefault="000B4F35" w:rsidP="000B4F35">
            <w:pPr>
              <w:spacing w:after="0" w:line="240" w:lineRule="auto"/>
              <w:rPr>
                <w:rFonts w:cstheme="minorHAnsi"/>
                <w:sz w:val="20"/>
                <w:szCs w:val="20"/>
                <w:lang w:eastAsia="sk-SK"/>
              </w:rPr>
            </w:pPr>
            <w:r w:rsidRPr="0063481A">
              <w:rPr>
                <w:rFonts w:cstheme="minorHAnsi"/>
                <w:sz w:val="20"/>
                <w:szCs w:val="20"/>
                <w:lang w:eastAsia="sk-SK"/>
              </w:rPr>
              <w:t xml:space="preserve">650 </w:t>
            </w:r>
          </w:p>
        </w:tc>
        <w:tc>
          <w:tcPr>
            <w:tcW w:w="0" w:type="auto"/>
            <w:shd w:val="clear" w:color="auto" w:fill="EFEFEF"/>
            <w:vAlign w:val="center"/>
            <w:hideMark/>
          </w:tcPr>
          <w:p w14:paraId="7255B955" w14:textId="77777777" w:rsidR="000B4F35" w:rsidRPr="0063481A" w:rsidRDefault="000B4F35" w:rsidP="000B4F35">
            <w:pPr>
              <w:spacing w:after="0" w:line="240" w:lineRule="auto"/>
              <w:rPr>
                <w:rFonts w:cstheme="minorHAnsi"/>
                <w:sz w:val="20"/>
                <w:szCs w:val="20"/>
                <w:lang w:eastAsia="sk-SK"/>
              </w:rPr>
            </w:pPr>
            <w:r w:rsidRPr="0063481A">
              <w:rPr>
                <w:rFonts w:cstheme="minorHAnsi"/>
                <w:sz w:val="20"/>
                <w:szCs w:val="20"/>
                <w:lang w:eastAsia="sk-SK"/>
              </w:rPr>
              <w:t xml:space="preserve">Splácanie úrokov </w:t>
            </w:r>
          </w:p>
        </w:tc>
        <w:tc>
          <w:tcPr>
            <w:tcW w:w="0" w:type="auto"/>
            <w:shd w:val="clear" w:color="auto" w:fill="EFEFEF"/>
            <w:noWrap/>
            <w:vAlign w:val="center"/>
            <w:hideMark/>
          </w:tcPr>
          <w:p w14:paraId="5DB3DF93" w14:textId="77777777" w:rsidR="000B4F35" w:rsidRPr="0063481A" w:rsidRDefault="000B4F35" w:rsidP="000B4F35">
            <w:pPr>
              <w:spacing w:after="0" w:line="240" w:lineRule="auto"/>
              <w:jc w:val="right"/>
              <w:rPr>
                <w:rFonts w:cstheme="minorHAnsi"/>
                <w:sz w:val="20"/>
                <w:szCs w:val="20"/>
                <w:lang w:eastAsia="sk-SK"/>
              </w:rPr>
            </w:pPr>
            <w:r w:rsidRPr="0063481A">
              <w:rPr>
                <w:rFonts w:cstheme="minorHAnsi"/>
                <w:sz w:val="20"/>
                <w:szCs w:val="20"/>
                <w:lang w:eastAsia="sk-SK"/>
              </w:rPr>
              <w:t>3</w:t>
            </w:r>
            <w:r>
              <w:rPr>
                <w:rFonts w:cstheme="minorHAnsi"/>
                <w:sz w:val="20"/>
                <w:szCs w:val="20"/>
                <w:lang w:eastAsia="sk-SK"/>
              </w:rPr>
              <w:t>70 000,00</w:t>
            </w:r>
            <w:r w:rsidRPr="0063481A">
              <w:rPr>
                <w:rFonts w:cstheme="minorHAnsi"/>
                <w:sz w:val="20"/>
                <w:szCs w:val="20"/>
                <w:lang w:eastAsia="sk-SK"/>
              </w:rPr>
              <w:t xml:space="preserve"> </w:t>
            </w:r>
          </w:p>
        </w:tc>
        <w:tc>
          <w:tcPr>
            <w:tcW w:w="646" w:type="pct"/>
            <w:shd w:val="clear" w:color="auto" w:fill="EFEFEF"/>
            <w:noWrap/>
            <w:vAlign w:val="center"/>
            <w:hideMark/>
          </w:tcPr>
          <w:p w14:paraId="5894E13E" w14:textId="77777777" w:rsidR="000B4F35" w:rsidRPr="0063481A" w:rsidRDefault="000B4F35" w:rsidP="000B4F35">
            <w:pPr>
              <w:spacing w:after="0" w:line="240" w:lineRule="auto"/>
              <w:jc w:val="right"/>
              <w:rPr>
                <w:rFonts w:cstheme="minorHAnsi"/>
                <w:sz w:val="20"/>
                <w:szCs w:val="20"/>
                <w:lang w:eastAsia="sk-SK"/>
              </w:rPr>
            </w:pPr>
            <w:r w:rsidRPr="000B44A9">
              <w:rPr>
                <w:rFonts w:cstheme="minorHAnsi"/>
                <w:sz w:val="20"/>
                <w:szCs w:val="20"/>
                <w:lang w:eastAsia="sk-SK"/>
              </w:rPr>
              <w:t>222 854,39</w:t>
            </w:r>
          </w:p>
        </w:tc>
        <w:tc>
          <w:tcPr>
            <w:tcW w:w="484" w:type="pct"/>
            <w:shd w:val="clear" w:color="auto" w:fill="EFEFEF"/>
            <w:noWrap/>
            <w:vAlign w:val="center"/>
            <w:hideMark/>
          </w:tcPr>
          <w:p w14:paraId="6291F55E" w14:textId="77777777" w:rsidR="000B4F35" w:rsidRPr="0063481A" w:rsidRDefault="000B4F35" w:rsidP="000B4F35">
            <w:pPr>
              <w:spacing w:after="0" w:line="240" w:lineRule="auto"/>
              <w:jc w:val="right"/>
              <w:rPr>
                <w:rFonts w:cstheme="minorHAnsi"/>
                <w:sz w:val="20"/>
                <w:szCs w:val="20"/>
                <w:lang w:eastAsia="sk-SK"/>
              </w:rPr>
            </w:pPr>
            <w:r w:rsidRPr="008642F3">
              <w:rPr>
                <w:rFonts w:cstheme="minorHAnsi"/>
                <w:sz w:val="20"/>
                <w:szCs w:val="20"/>
                <w:lang w:eastAsia="sk-SK"/>
              </w:rPr>
              <w:t>153 336,05</w:t>
            </w:r>
          </w:p>
        </w:tc>
        <w:tc>
          <w:tcPr>
            <w:tcW w:w="368" w:type="pct"/>
            <w:shd w:val="clear" w:color="auto" w:fill="EFEFEF"/>
            <w:noWrap/>
            <w:vAlign w:val="center"/>
            <w:hideMark/>
          </w:tcPr>
          <w:p w14:paraId="147EFBEE" w14:textId="77777777" w:rsidR="000B4F35" w:rsidRPr="0063481A" w:rsidRDefault="000B4F35" w:rsidP="000B4F35">
            <w:pPr>
              <w:spacing w:after="0" w:line="240" w:lineRule="auto"/>
              <w:jc w:val="right"/>
              <w:rPr>
                <w:rFonts w:cstheme="minorHAnsi"/>
                <w:sz w:val="20"/>
                <w:szCs w:val="20"/>
                <w:lang w:eastAsia="sk-SK"/>
              </w:rPr>
            </w:pPr>
            <w:r>
              <w:rPr>
                <w:rFonts w:cstheme="minorHAnsi"/>
                <w:sz w:val="20"/>
                <w:szCs w:val="20"/>
                <w:lang w:eastAsia="sk-SK"/>
              </w:rPr>
              <w:t>68</w:t>
            </w:r>
            <w:r w:rsidRPr="0063481A">
              <w:rPr>
                <w:rFonts w:cstheme="minorHAnsi"/>
                <w:sz w:val="20"/>
                <w:szCs w:val="20"/>
                <w:lang w:eastAsia="sk-SK"/>
              </w:rPr>
              <w:t>,</w:t>
            </w:r>
            <w:r>
              <w:rPr>
                <w:rFonts w:cstheme="minorHAnsi"/>
                <w:sz w:val="20"/>
                <w:szCs w:val="20"/>
                <w:lang w:eastAsia="sk-SK"/>
              </w:rPr>
              <w:t>8</w:t>
            </w:r>
            <w:r w:rsidRPr="0063481A">
              <w:rPr>
                <w:rFonts w:cstheme="minorHAnsi"/>
                <w:sz w:val="20"/>
                <w:szCs w:val="20"/>
                <w:lang w:eastAsia="sk-SK"/>
              </w:rPr>
              <w:t xml:space="preserve">1 </w:t>
            </w:r>
          </w:p>
        </w:tc>
        <w:tc>
          <w:tcPr>
            <w:tcW w:w="1388" w:type="pct"/>
            <w:vMerge/>
            <w:shd w:val="clear" w:color="auto" w:fill="EFEFEF"/>
            <w:vAlign w:val="center"/>
            <w:hideMark/>
          </w:tcPr>
          <w:p w14:paraId="669398B3" w14:textId="77777777" w:rsidR="000B4F35" w:rsidRPr="0063481A" w:rsidRDefault="000B4F35" w:rsidP="000B4F35">
            <w:pPr>
              <w:spacing w:after="0" w:line="240" w:lineRule="auto"/>
              <w:rPr>
                <w:rFonts w:cstheme="minorHAnsi"/>
                <w:sz w:val="20"/>
                <w:szCs w:val="20"/>
                <w:lang w:eastAsia="sk-SK"/>
              </w:rPr>
            </w:pPr>
          </w:p>
        </w:tc>
      </w:tr>
    </w:tbl>
    <w:p w14:paraId="46FA5625" w14:textId="77777777" w:rsidR="000B4F35" w:rsidRPr="0063481A" w:rsidRDefault="000B4F35" w:rsidP="000B4F35">
      <w:pPr>
        <w:spacing w:after="0" w:line="240" w:lineRule="auto"/>
        <w:rPr>
          <w:rFonts w:cstheme="minorHAnsi"/>
          <w:vanish/>
          <w:sz w:val="20"/>
          <w:szCs w:val="20"/>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861"/>
        <w:gridCol w:w="2056"/>
        <w:gridCol w:w="1477"/>
        <w:gridCol w:w="4159"/>
      </w:tblGrid>
      <w:tr w:rsidR="000B4F35" w:rsidRPr="0063481A" w14:paraId="514CB781" w14:textId="77777777" w:rsidTr="000B4F35">
        <w:trPr>
          <w:tblCellSpacing w:w="15" w:type="dxa"/>
        </w:trPr>
        <w:tc>
          <w:tcPr>
            <w:tcW w:w="0" w:type="auto"/>
            <w:shd w:val="clear" w:color="auto" w:fill="C2D69B"/>
            <w:vAlign w:val="center"/>
            <w:hideMark/>
          </w:tcPr>
          <w:p w14:paraId="0CC7AC20" w14:textId="77777777" w:rsidR="000B4F35" w:rsidRPr="00863732" w:rsidRDefault="000B4F35" w:rsidP="000B4F35">
            <w:pPr>
              <w:spacing w:after="0" w:line="240" w:lineRule="auto"/>
              <w:rPr>
                <w:rFonts w:cstheme="minorHAnsi"/>
                <w:sz w:val="20"/>
                <w:szCs w:val="20"/>
                <w:lang w:eastAsia="sk-SK"/>
              </w:rPr>
            </w:pPr>
            <w:r w:rsidRPr="00863732">
              <w:rPr>
                <w:rFonts w:cstheme="minorHAnsi"/>
                <w:b/>
                <w:bCs/>
                <w:sz w:val="20"/>
                <w:szCs w:val="20"/>
                <w:lang w:eastAsia="sk-SK"/>
              </w:rPr>
              <w:t>Zodpovednosť</w:t>
            </w:r>
          </w:p>
        </w:tc>
        <w:tc>
          <w:tcPr>
            <w:tcW w:w="0" w:type="auto"/>
            <w:gridSpan w:val="4"/>
            <w:shd w:val="clear" w:color="auto" w:fill="C2D69B"/>
            <w:vAlign w:val="center"/>
            <w:hideMark/>
          </w:tcPr>
          <w:p w14:paraId="63230391" w14:textId="77777777" w:rsidR="000B4F35" w:rsidRPr="00863732" w:rsidRDefault="000B4F35" w:rsidP="000B4F35">
            <w:pPr>
              <w:spacing w:after="0" w:line="240" w:lineRule="auto"/>
              <w:rPr>
                <w:rFonts w:cstheme="minorHAnsi"/>
                <w:sz w:val="20"/>
                <w:szCs w:val="20"/>
                <w:lang w:eastAsia="sk-SK"/>
              </w:rPr>
            </w:pPr>
            <w:r w:rsidRPr="00863732">
              <w:rPr>
                <w:rFonts w:cstheme="minorHAnsi"/>
                <w:sz w:val="20"/>
                <w:szCs w:val="20"/>
                <w:lang w:eastAsia="sk-SK"/>
              </w:rPr>
              <w:t>Odbor financií</w:t>
            </w:r>
            <w:r w:rsidRPr="00863732">
              <w:rPr>
                <w:rFonts w:cstheme="minorHAnsi"/>
                <w:sz w:val="20"/>
                <w:szCs w:val="20"/>
                <w:lang w:eastAsia="sk-SK"/>
              </w:rPr>
              <w:br/>
            </w:r>
          </w:p>
        </w:tc>
      </w:tr>
      <w:tr w:rsidR="000B4F35" w:rsidRPr="0063481A" w14:paraId="7029D59E" w14:textId="77777777" w:rsidTr="000B4F35">
        <w:trPr>
          <w:tblCellSpacing w:w="15" w:type="dxa"/>
        </w:trPr>
        <w:tc>
          <w:tcPr>
            <w:tcW w:w="0" w:type="auto"/>
            <w:shd w:val="clear" w:color="auto" w:fill="C2D69B"/>
            <w:vAlign w:val="center"/>
            <w:hideMark/>
          </w:tcPr>
          <w:p w14:paraId="0728A3F0" w14:textId="77777777" w:rsidR="000B4F35" w:rsidRPr="00863732" w:rsidRDefault="000B4F35" w:rsidP="000B4F35">
            <w:pPr>
              <w:spacing w:after="0" w:line="240" w:lineRule="auto"/>
              <w:rPr>
                <w:rFonts w:cstheme="minorHAnsi"/>
                <w:sz w:val="20"/>
                <w:szCs w:val="20"/>
                <w:lang w:eastAsia="sk-SK"/>
              </w:rPr>
            </w:pPr>
            <w:r w:rsidRPr="00863732">
              <w:rPr>
                <w:rFonts w:cstheme="minorHAnsi"/>
                <w:b/>
                <w:bCs/>
                <w:sz w:val="20"/>
                <w:szCs w:val="20"/>
                <w:lang w:eastAsia="sk-SK"/>
              </w:rPr>
              <w:t>Cieľ</w:t>
            </w:r>
          </w:p>
        </w:tc>
        <w:tc>
          <w:tcPr>
            <w:tcW w:w="0" w:type="auto"/>
            <w:gridSpan w:val="4"/>
            <w:shd w:val="clear" w:color="auto" w:fill="C2D69B"/>
            <w:vAlign w:val="center"/>
            <w:hideMark/>
          </w:tcPr>
          <w:p w14:paraId="3D25DA05" w14:textId="77777777" w:rsidR="000B4F35" w:rsidRPr="00863732" w:rsidRDefault="000B4F35" w:rsidP="000B4F35">
            <w:pPr>
              <w:spacing w:after="0" w:line="240" w:lineRule="auto"/>
              <w:rPr>
                <w:rFonts w:cstheme="minorHAnsi"/>
                <w:sz w:val="20"/>
                <w:szCs w:val="20"/>
                <w:lang w:eastAsia="sk-SK"/>
              </w:rPr>
            </w:pPr>
            <w:r w:rsidRPr="00863732">
              <w:rPr>
                <w:rFonts w:cstheme="minorHAnsi"/>
                <w:sz w:val="20"/>
                <w:szCs w:val="20"/>
                <w:lang w:eastAsia="sk-SK"/>
              </w:rPr>
              <w:t xml:space="preserve">Zabezpečiť plynulý priebeh financovania úloh, potrieb a funkcií kraja v príslušnom roku </w:t>
            </w:r>
          </w:p>
        </w:tc>
      </w:tr>
      <w:tr w:rsidR="000B4F35" w:rsidRPr="0063481A" w14:paraId="203A00B9" w14:textId="77777777" w:rsidTr="000B4F35">
        <w:trPr>
          <w:tblCellSpacing w:w="15" w:type="dxa"/>
        </w:trPr>
        <w:tc>
          <w:tcPr>
            <w:tcW w:w="0" w:type="auto"/>
            <w:shd w:val="clear" w:color="auto" w:fill="C2D69B"/>
            <w:vAlign w:val="center"/>
            <w:hideMark/>
          </w:tcPr>
          <w:p w14:paraId="0FF50C82" w14:textId="77777777" w:rsidR="000B4F35" w:rsidRPr="00863732" w:rsidRDefault="000B4F35" w:rsidP="000B4F35">
            <w:pPr>
              <w:spacing w:after="0" w:line="240" w:lineRule="auto"/>
              <w:rPr>
                <w:rFonts w:cstheme="minorHAnsi"/>
                <w:sz w:val="20"/>
                <w:szCs w:val="20"/>
                <w:lang w:eastAsia="sk-SK"/>
              </w:rPr>
            </w:pPr>
            <w:r w:rsidRPr="00863732">
              <w:rPr>
                <w:rFonts w:cstheme="minorHAnsi"/>
                <w:b/>
                <w:bCs/>
                <w:sz w:val="20"/>
                <w:szCs w:val="20"/>
                <w:lang w:eastAsia="sk-SK"/>
              </w:rPr>
              <w:t>Merateľný ukazovateľ</w:t>
            </w:r>
          </w:p>
        </w:tc>
        <w:tc>
          <w:tcPr>
            <w:tcW w:w="0" w:type="auto"/>
            <w:gridSpan w:val="4"/>
            <w:shd w:val="clear" w:color="auto" w:fill="C2D69B"/>
            <w:vAlign w:val="center"/>
            <w:hideMark/>
          </w:tcPr>
          <w:p w14:paraId="46ED7F50" w14:textId="77777777" w:rsidR="000B4F35" w:rsidRPr="00863732" w:rsidRDefault="000B4F35" w:rsidP="000B4F35">
            <w:pPr>
              <w:spacing w:after="0" w:line="240" w:lineRule="auto"/>
              <w:rPr>
                <w:rFonts w:cstheme="minorHAnsi"/>
                <w:sz w:val="20"/>
                <w:szCs w:val="20"/>
                <w:lang w:eastAsia="sk-SK"/>
              </w:rPr>
            </w:pPr>
            <w:r w:rsidRPr="00863732">
              <w:rPr>
                <w:rFonts w:cstheme="minorHAnsi"/>
                <w:sz w:val="20"/>
                <w:szCs w:val="20"/>
                <w:lang w:eastAsia="sk-SK"/>
              </w:rPr>
              <w:t xml:space="preserve">Počet monitorovaní za rok </w:t>
            </w:r>
          </w:p>
        </w:tc>
      </w:tr>
      <w:tr w:rsidR="000B4F35" w:rsidRPr="0063481A" w14:paraId="15EB6DF0" w14:textId="77777777" w:rsidTr="000B4F35">
        <w:trPr>
          <w:tblCellSpacing w:w="15" w:type="dxa"/>
        </w:trPr>
        <w:tc>
          <w:tcPr>
            <w:tcW w:w="0" w:type="auto"/>
            <w:shd w:val="clear" w:color="auto" w:fill="C2D69B"/>
            <w:vAlign w:val="center"/>
            <w:hideMark/>
          </w:tcPr>
          <w:p w14:paraId="6C3A78D2"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b/>
                <w:bCs/>
                <w:sz w:val="20"/>
                <w:szCs w:val="20"/>
                <w:lang w:eastAsia="sk-SK"/>
              </w:rPr>
              <w:t>Rok</w:t>
            </w:r>
          </w:p>
        </w:tc>
        <w:tc>
          <w:tcPr>
            <w:tcW w:w="0" w:type="auto"/>
            <w:shd w:val="clear" w:color="auto" w:fill="C2D69B"/>
            <w:vAlign w:val="center"/>
            <w:hideMark/>
          </w:tcPr>
          <w:p w14:paraId="1A39F24C"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b/>
                <w:bCs/>
                <w:sz w:val="20"/>
                <w:szCs w:val="20"/>
                <w:lang w:eastAsia="sk-SK"/>
              </w:rPr>
              <w:t>Plán</w:t>
            </w:r>
          </w:p>
        </w:tc>
        <w:tc>
          <w:tcPr>
            <w:tcW w:w="0" w:type="auto"/>
            <w:shd w:val="clear" w:color="auto" w:fill="C2D69B"/>
            <w:vAlign w:val="center"/>
            <w:hideMark/>
          </w:tcPr>
          <w:p w14:paraId="3C111790"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b/>
                <w:bCs/>
                <w:sz w:val="20"/>
                <w:szCs w:val="20"/>
                <w:lang w:eastAsia="sk-SK"/>
              </w:rPr>
              <w:t>Skutočnosť</w:t>
            </w:r>
          </w:p>
        </w:tc>
        <w:tc>
          <w:tcPr>
            <w:tcW w:w="0" w:type="auto"/>
            <w:shd w:val="clear" w:color="auto" w:fill="C2D69B"/>
            <w:vAlign w:val="center"/>
            <w:hideMark/>
          </w:tcPr>
          <w:p w14:paraId="76C1D3DD"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b/>
                <w:bCs/>
                <w:sz w:val="20"/>
                <w:szCs w:val="20"/>
                <w:lang w:eastAsia="sk-SK"/>
              </w:rPr>
              <w:t>Plnenie</w:t>
            </w:r>
          </w:p>
        </w:tc>
        <w:tc>
          <w:tcPr>
            <w:tcW w:w="2000" w:type="pct"/>
            <w:shd w:val="clear" w:color="auto" w:fill="C2D69B"/>
            <w:vAlign w:val="center"/>
            <w:hideMark/>
          </w:tcPr>
          <w:p w14:paraId="04E9BC5A" w14:textId="77777777" w:rsidR="000B4F35" w:rsidRPr="00863732" w:rsidRDefault="000B4F35" w:rsidP="000B4F35">
            <w:pPr>
              <w:spacing w:after="0" w:line="240" w:lineRule="auto"/>
              <w:rPr>
                <w:rFonts w:cstheme="minorHAnsi"/>
                <w:sz w:val="20"/>
                <w:szCs w:val="20"/>
                <w:lang w:eastAsia="sk-SK"/>
              </w:rPr>
            </w:pPr>
            <w:r w:rsidRPr="00863732">
              <w:rPr>
                <w:rFonts w:cstheme="minorHAnsi"/>
                <w:b/>
                <w:bCs/>
                <w:sz w:val="20"/>
                <w:szCs w:val="20"/>
                <w:lang w:eastAsia="sk-SK"/>
              </w:rPr>
              <w:t>Poznámka</w:t>
            </w:r>
          </w:p>
        </w:tc>
      </w:tr>
      <w:tr w:rsidR="000B4F35" w:rsidRPr="0063481A" w14:paraId="5E2B4B32" w14:textId="77777777" w:rsidTr="000B4F35">
        <w:trPr>
          <w:tblCellSpacing w:w="15" w:type="dxa"/>
        </w:trPr>
        <w:tc>
          <w:tcPr>
            <w:tcW w:w="0" w:type="auto"/>
            <w:shd w:val="clear" w:color="auto" w:fill="C2D69B"/>
            <w:vAlign w:val="center"/>
            <w:hideMark/>
          </w:tcPr>
          <w:p w14:paraId="03E54E3B"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sz w:val="20"/>
                <w:szCs w:val="20"/>
                <w:lang w:eastAsia="sk-SK"/>
              </w:rPr>
              <w:t>20</w:t>
            </w:r>
            <w:r>
              <w:rPr>
                <w:rFonts w:cstheme="minorHAnsi"/>
                <w:sz w:val="20"/>
                <w:szCs w:val="20"/>
                <w:lang w:eastAsia="sk-SK"/>
              </w:rPr>
              <w:t>20</w:t>
            </w:r>
            <w:r w:rsidRPr="00863732">
              <w:rPr>
                <w:rFonts w:cstheme="minorHAnsi"/>
                <w:sz w:val="20"/>
                <w:szCs w:val="20"/>
                <w:lang w:eastAsia="sk-SK"/>
              </w:rPr>
              <w:t xml:space="preserve"> </w:t>
            </w:r>
          </w:p>
        </w:tc>
        <w:tc>
          <w:tcPr>
            <w:tcW w:w="0" w:type="auto"/>
            <w:shd w:val="clear" w:color="auto" w:fill="C2D69B"/>
            <w:noWrap/>
            <w:vAlign w:val="center"/>
            <w:hideMark/>
          </w:tcPr>
          <w:p w14:paraId="0EF6F033"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sz w:val="20"/>
                <w:szCs w:val="20"/>
                <w:lang w:eastAsia="sk-SK"/>
              </w:rPr>
              <w:t xml:space="preserve"> 4 </w:t>
            </w:r>
          </w:p>
        </w:tc>
        <w:tc>
          <w:tcPr>
            <w:tcW w:w="0" w:type="auto"/>
            <w:shd w:val="clear" w:color="auto" w:fill="C2D69B"/>
            <w:noWrap/>
            <w:vAlign w:val="center"/>
            <w:hideMark/>
          </w:tcPr>
          <w:p w14:paraId="326981EF"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sz w:val="20"/>
                <w:szCs w:val="20"/>
                <w:lang w:eastAsia="sk-SK"/>
              </w:rPr>
              <w:t xml:space="preserve"> 4 </w:t>
            </w:r>
          </w:p>
        </w:tc>
        <w:tc>
          <w:tcPr>
            <w:tcW w:w="0" w:type="auto"/>
            <w:shd w:val="clear" w:color="auto" w:fill="C2D69B"/>
            <w:vAlign w:val="center"/>
            <w:hideMark/>
          </w:tcPr>
          <w:p w14:paraId="14AA8A83" w14:textId="77777777" w:rsidR="000B4F35" w:rsidRPr="00863732" w:rsidRDefault="000B4F35" w:rsidP="000B4F35">
            <w:pPr>
              <w:spacing w:after="0" w:line="240" w:lineRule="auto"/>
              <w:jc w:val="center"/>
              <w:rPr>
                <w:rFonts w:cstheme="minorHAnsi"/>
                <w:sz w:val="20"/>
                <w:szCs w:val="20"/>
                <w:lang w:eastAsia="sk-SK"/>
              </w:rPr>
            </w:pPr>
            <w:r w:rsidRPr="00863732">
              <w:rPr>
                <w:rFonts w:cstheme="minorHAnsi"/>
                <w:sz w:val="20"/>
                <w:szCs w:val="20"/>
                <w:lang w:eastAsia="sk-SK"/>
              </w:rPr>
              <w:t xml:space="preserve">Splnené </w:t>
            </w:r>
          </w:p>
        </w:tc>
        <w:tc>
          <w:tcPr>
            <w:tcW w:w="0" w:type="auto"/>
            <w:shd w:val="clear" w:color="auto" w:fill="C2D69B"/>
            <w:vAlign w:val="center"/>
            <w:hideMark/>
          </w:tcPr>
          <w:p w14:paraId="6D909183" w14:textId="77777777" w:rsidR="000B4F35" w:rsidRPr="00863732" w:rsidRDefault="000B4F35" w:rsidP="000B4F35">
            <w:pPr>
              <w:spacing w:after="0" w:line="240" w:lineRule="auto"/>
              <w:jc w:val="center"/>
              <w:rPr>
                <w:rFonts w:cstheme="minorHAnsi"/>
                <w:sz w:val="20"/>
                <w:szCs w:val="20"/>
                <w:lang w:eastAsia="sk-SK"/>
              </w:rPr>
            </w:pPr>
          </w:p>
        </w:tc>
      </w:tr>
    </w:tbl>
    <w:p w14:paraId="3DF099B3" w14:textId="5CC3C482" w:rsidR="000B4F35" w:rsidRPr="001C41F1" w:rsidRDefault="000B4F35" w:rsidP="000B4F35">
      <w:pPr>
        <w:spacing w:before="100" w:beforeAutospacing="1" w:after="100" w:afterAutospacing="1" w:line="240" w:lineRule="auto"/>
        <w:jc w:val="both"/>
        <w:rPr>
          <w:rFonts w:cstheme="minorHAnsi"/>
          <w:lang w:eastAsia="sk-SK"/>
        </w:rPr>
      </w:pPr>
      <w:r w:rsidRPr="0063481A">
        <w:rPr>
          <w:rFonts w:cstheme="minorHAnsi"/>
          <w:b/>
          <w:bCs/>
          <w:sz w:val="24"/>
          <w:szCs w:val="24"/>
          <w:lang w:eastAsia="sk-SK"/>
        </w:rPr>
        <w:lastRenderedPageBreak/>
        <w:t xml:space="preserve">Komentár: </w:t>
      </w:r>
      <w:r w:rsidRPr="001C41F1">
        <w:rPr>
          <w:rFonts w:cstheme="minorHAnsi"/>
          <w:lang w:eastAsia="sk-SK"/>
        </w:rPr>
        <w:t>V rámci podprogramu zabezpečuje kraj všetky úlohy spojené s financovaním kraja vrátane zostavovania, čerpania, zmien a monitoringu rozpočtu, zostavovania záverečného účtu kraja, spravovania návratných zdrojov financovania, dlhovej služby kraja a ďalších úloh v tejto oblasti. Takisto je v tomto podprograme zahrnuté účtovníctvo kraja vykonávané podľa platných predpisov, vrátane zostavovania individuálnej a konsolidovanej účtovnej závierky kraja, pokladničných operácií, vykonávania inventarizácie finančných prostriedkov a zdrojov, pohľadávok a záväzkov, archivácie účtovných dokladov a ďalších úloh v tejto oblasti.</w:t>
      </w:r>
    </w:p>
    <w:p w14:paraId="5B530C86" w14:textId="77777777" w:rsidR="000B4F35" w:rsidRPr="00C812C8" w:rsidRDefault="000B4F35" w:rsidP="000B4F35">
      <w:pPr>
        <w:spacing w:before="100" w:beforeAutospacing="1" w:after="100" w:afterAutospacing="1" w:line="240" w:lineRule="auto"/>
        <w:outlineLvl w:val="2"/>
        <w:rPr>
          <w:rFonts w:cstheme="minorHAnsi"/>
          <w:b/>
          <w:bCs/>
          <w:color w:val="4F6228"/>
          <w:sz w:val="28"/>
          <w:szCs w:val="28"/>
          <w:lang w:eastAsia="sk-SK"/>
        </w:rPr>
      </w:pPr>
      <w:r w:rsidRPr="00C812C8">
        <w:rPr>
          <w:rFonts w:cstheme="minorHAnsi"/>
          <w:b/>
          <w:bCs/>
          <w:color w:val="4F6228"/>
          <w:sz w:val="28"/>
          <w:szCs w:val="28"/>
          <w:lang w:eastAsia="sk-SK"/>
        </w:rPr>
        <w:t>Podprogram 1.6: Právne služby</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8"/>
        <w:gridCol w:w="2263"/>
        <w:gridCol w:w="1558"/>
        <w:gridCol w:w="1564"/>
        <w:gridCol w:w="1276"/>
        <w:gridCol w:w="989"/>
        <w:gridCol w:w="2248"/>
      </w:tblGrid>
      <w:tr w:rsidR="000B4F35" w:rsidRPr="00C812C8" w14:paraId="3A239E8C" w14:textId="77777777" w:rsidTr="000B4F35">
        <w:trPr>
          <w:tblCellSpacing w:w="15" w:type="dxa"/>
        </w:trPr>
        <w:tc>
          <w:tcPr>
            <w:tcW w:w="250" w:type="pct"/>
            <w:shd w:val="clear" w:color="auto" w:fill="C6DBF7"/>
            <w:vAlign w:val="center"/>
            <w:hideMark/>
          </w:tcPr>
          <w:p w14:paraId="1C144474" w14:textId="77777777" w:rsidR="000B4F35" w:rsidRPr="00C812C8" w:rsidRDefault="000B4F35" w:rsidP="000B4F35">
            <w:pPr>
              <w:spacing w:after="0" w:line="240" w:lineRule="auto"/>
              <w:jc w:val="center"/>
              <w:rPr>
                <w:rFonts w:cstheme="minorHAnsi"/>
                <w:sz w:val="24"/>
                <w:szCs w:val="24"/>
                <w:lang w:eastAsia="sk-SK"/>
              </w:rPr>
            </w:pPr>
            <w:r>
              <w:rPr>
                <w:b/>
                <w:bCs/>
                <w:sz w:val="20"/>
                <w:szCs w:val="20"/>
              </w:rPr>
              <w:t>EK</w:t>
            </w:r>
          </w:p>
        </w:tc>
        <w:tc>
          <w:tcPr>
            <w:tcW w:w="1067" w:type="pct"/>
            <w:shd w:val="clear" w:color="auto" w:fill="C6DBF7"/>
            <w:vAlign w:val="center"/>
            <w:hideMark/>
          </w:tcPr>
          <w:p w14:paraId="5092CC77" w14:textId="77777777" w:rsidR="000B4F35" w:rsidRPr="00C812C8" w:rsidRDefault="000B4F35" w:rsidP="000B4F35">
            <w:pPr>
              <w:spacing w:after="0" w:line="240" w:lineRule="auto"/>
              <w:jc w:val="center"/>
              <w:rPr>
                <w:rFonts w:cstheme="minorHAnsi"/>
                <w:sz w:val="24"/>
                <w:szCs w:val="24"/>
                <w:lang w:eastAsia="sk-SK"/>
              </w:rPr>
            </w:pPr>
            <w:r>
              <w:rPr>
                <w:b/>
                <w:bCs/>
                <w:sz w:val="20"/>
                <w:szCs w:val="20"/>
              </w:rPr>
              <w:t>Ekonomická klasifikácia</w:t>
            </w:r>
          </w:p>
        </w:tc>
        <w:tc>
          <w:tcPr>
            <w:tcW w:w="730" w:type="pct"/>
            <w:shd w:val="clear" w:color="auto" w:fill="C6DBF7"/>
            <w:vAlign w:val="center"/>
            <w:hideMark/>
          </w:tcPr>
          <w:p w14:paraId="2ABABF28" w14:textId="77777777" w:rsidR="000B4F35" w:rsidRPr="00C812C8" w:rsidRDefault="000B4F35" w:rsidP="000B4F35">
            <w:pPr>
              <w:spacing w:after="0" w:line="240" w:lineRule="auto"/>
              <w:jc w:val="center"/>
              <w:rPr>
                <w:rFonts w:cstheme="minorHAnsi"/>
                <w:sz w:val="24"/>
                <w:szCs w:val="24"/>
                <w:lang w:eastAsia="sk-SK"/>
              </w:rPr>
            </w:pPr>
            <w:r>
              <w:rPr>
                <w:b/>
                <w:bCs/>
                <w:sz w:val="20"/>
                <w:szCs w:val="20"/>
              </w:rPr>
              <w:t>Schválený</w:t>
            </w:r>
            <w:r>
              <w:rPr>
                <w:b/>
                <w:bCs/>
                <w:sz w:val="20"/>
                <w:szCs w:val="20"/>
              </w:rPr>
              <w:br/>
              <w:t>rozpočet</w:t>
            </w:r>
            <w:r>
              <w:rPr>
                <w:b/>
                <w:bCs/>
                <w:sz w:val="20"/>
                <w:szCs w:val="20"/>
              </w:rPr>
              <w:br/>
              <w:t>v EUR</w:t>
            </w:r>
          </w:p>
        </w:tc>
        <w:tc>
          <w:tcPr>
            <w:tcW w:w="733" w:type="pct"/>
            <w:shd w:val="clear" w:color="auto" w:fill="C6DBF7"/>
            <w:vAlign w:val="center"/>
            <w:hideMark/>
          </w:tcPr>
          <w:p w14:paraId="594437C6" w14:textId="77777777" w:rsidR="000B4F35" w:rsidRPr="00C812C8" w:rsidRDefault="000B4F35" w:rsidP="000B4F35">
            <w:pPr>
              <w:spacing w:after="0" w:line="240" w:lineRule="auto"/>
              <w:jc w:val="center"/>
              <w:rPr>
                <w:rFonts w:cstheme="minorHAnsi"/>
                <w:sz w:val="24"/>
                <w:szCs w:val="24"/>
                <w:lang w:eastAsia="sk-SK"/>
              </w:rPr>
            </w:pPr>
            <w:r>
              <w:rPr>
                <w:b/>
                <w:bCs/>
                <w:sz w:val="20"/>
                <w:szCs w:val="20"/>
              </w:rPr>
              <w:t>Zmenený</w:t>
            </w:r>
            <w:r>
              <w:rPr>
                <w:b/>
                <w:bCs/>
                <w:sz w:val="20"/>
                <w:szCs w:val="20"/>
              </w:rPr>
              <w:br/>
              <w:t>rozpočet</w:t>
            </w:r>
            <w:r>
              <w:rPr>
                <w:b/>
                <w:bCs/>
                <w:sz w:val="20"/>
                <w:szCs w:val="20"/>
              </w:rPr>
              <w:br/>
              <w:t>v EUR</w:t>
            </w:r>
          </w:p>
        </w:tc>
        <w:tc>
          <w:tcPr>
            <w:tcW w:w="595" w:type="pct"/>
            <w:shd w:val="clear" w:color="auto" w:fill="C6DBF7"/>
            <w:vAlign w:val="center"/>
            <w:hideMark/>
          </w:tcPr>
          <w:p w14:paraId="291C8365" w14:textId="77777777" w:rsidR="000B4F35" w:rsidRPr="00C812C8" w:rsidRDefault="000B4F35" w:rsidP="000B4F35">
            <w:pPr>
              <w:spacing w:after="0" w:line="240" w:lineRule="auto"/>
              <w:jc w:val="center"/>
              <w:rPr>
                <w:rFonts w:cstheme="minorHAnsi"/>
                <w:sz w:val="24"/>
                <w:szCs w:val="24"/>
                <w:lang w:eastAsia="sk-SK"/>
              </w:rPr>
            </w:pPr>
            <w:r>
              <w:rPr>
                <w:b/>
                <w:bCs/>
                <w:sz w:val="20"/>
                <w:szCs w:val="20"/>
              </w:rPr>
              <w:t>Čerpanie</w:t>
            </w:r>
            <w:r>
              <w:rPr>
                <w:b/>
                <w:bCs/>
                <w:sz w:val="20"/>
                <w:szCs w:val="20"/>
              </w:rPr>
              <w:br/>
              <w:t>v EUR</w:t>
            </w:r>
          </w:p>
        </w:tc>
        <w:tc>
          <w:tcPr>
            <w:tcW w:w="458" w:type="pct"/>
            <w:shd w:val="clear" w:color="auto" w:fill="C6DBF7"/>
            <w:vAlign w:val="center"/>
            <w:hideMark/>
          </w:tcPr>
          <w:p w14:paraId="45E972B6" w14:textId="77777777" w:rsidR="000B4F35" w:rsidRPr="00C812C8" w:rsidRDefault="000B4F35" w:rsidP="000B4F35">
            <w:pPr>
              <w:spacing w:after="0" w:line="240" w:lineRule="auto"/>
              <w:jc w:val="center"/>
              <w:rPr>
                <w:rFonts w:cstheme="minorHAnsi"/>
                <w:sz w:val="24"/>
                <w:szCs w:val="24"/>
                <w:lang w:eastAsia="sk-SK"/>
              </w:rPr>
            </w:pPr>
            <w:r>
              <w:rPr>
                <w:b/>
                <w:bCs/>
                <w:sz w:val="20"/>
                <w:szCs w:val="20"/>
              </w:rPr>
              <w:t>Čerpanie</w:t>
            </w:r>
            <w:r>
              <w:rPr>
                <w:b/>
                <w:bCs/>
                <w:sz w:val="20"/>
                <w:szCs w:val="20"/>
              </w:rPr>
              <w:br/>
              <w:t xml:space="preserve">k </w:t>
            </w:r>
            <w:proofErr w:type="spellStart"/>
            <w:r>
              <w:rPr>
                <w:b/>
                <w:bCs/>
                <w:sz w:val="20"/>
                <w:szCs w:val="20"/>
              </w:rPr>
              <w:t>zmen</w:t>
            </w:r>
            <w:proofErr w:type="spellEnd"/>
            <w:r>
              <w:rPr>
                <w:b/>
                <w:bCs/>
                <w:sz w:val="20"/>
                <w:szCs w:val="20"/>
              </w:rPr>
              <w:t xml:space="preserve">. </w:t>
            </w:r>
            <w:proofErr w:type="spellStart"/>
            <w:r>
              <w:rPr>
                <w:b/>
                <w:bCs/>
                <w:sz w:val="20"/>
                <w:szCs w:val="20"/>
              </w:rPr>
              <w:t>rozp</w:t>
            </w:r>
            <w:proofErr w:type="spellEnd"/>
            <w:r>
              <w:rPr>
                <w:b/>
                <w:bCs/>
                <w:sz w:val="20"/>
                <w:szCs w:val="20"/>
              </w:rPr>
              <w:t>.</w:t>
            </w:r>
            <w:r>
              <w:rPr>
                <w:b/>
                <w:bCs/>
                <w:sz w:val="20"/>
                <w:szCs w:val="20"/>
              </w:rPr>
              <w:br/>
              <w:t>v %</w:t>
            </w:r>
          </w:p>
        </w:tc>
        <w:tc>
          <w:tcPr>
            <w:tcW w:w="1052" w:type="pct"/>
            <w:shd w:val="clear" w:color="auto" w:fill="C6DBF7"/>
            <w:vAlign w:val="center"/>
            <w:hideMark/>
          </w:tcPr>
          <w:p w14:paraId="27E292BA" w14:textId="77777777" w:rsidR="000B4F35" w:rsidRPr="00C812C8" w:rsidRDefault="000B4F35" w:rsidP="000B4F35">
            <w:pPr>
              <w:spacing w:after="0" w:line="240" w:lineRule="auto"/>
              <w:jc w:val="center"/>
              <w:rPr>
                <w:rFonts w:cstheme="minorHAnsi"/>
                <w:sz w:val="24"/>
                <w:szCs w:val="24"/>
                <w:lang w:eastAsia="sk-SK"/>
              </w:rPr>
            </w:pPr>
            <w:r w:rsidRPr="00C812C8">
              <w:rPr>
                <w:rFonts w:cstheme="minorHAnsi"/>
                <w:b/>
                <w:bCs/>
                <w:sz w:val="20"/>
                <w:szCs w:val="20"/>
                <w:lang w:eastAsia="sk-SK"/>
              </w:rPr>
              <w:t>Zmeny rozpočtu</w:t>
            </w:r>
          </w:p>
        </w:tc>
      </w:tr>
      <w:tr w:rsidR="000B4F35" w:rsidRPr="00C812C8" w14:paraId="7F609CED" w14:textId="77777777" w:rsidTr="000B4F35">
        <w:trPr>
          <w:tblCellSpacing w:w="15" w:type="dxa"/>
        </w:trPr>
        <w:tc>
          <w:tcPr>
            <w:tcW w:w="250" w:type="pct"/>
            <w:shd w:val="clear" w:color="auto" w:fill="D9D9D9"/>
            <w:noWrap/>
            <w:vAlign w:val="center"/>
            <w:hideMark/>
          </w:tcPr>
          <w:p w14:paraId="03862473" w14:textId="77777777" w:rsidR="000B4F35" w:rsidRPr="00C812C8" w:rsidRDefault="000B4F35" w:rsidP="000B4F35">
            <w:pPr>
              <w:spacing w:after="0" w:line="240" w:lineRule="auto"/>
              <w:jc w:val="center"/>
              <w:rPr>
                <w:rFonts w:cstheme="minorHAnsi"/>
                <w:sz w:val="24"/>
                <w:szCs w:val="24"/>
                <w:lang w:eastAsia="sk-SK"/>
              </w:rPr>
            </w:pPr>
          </w:p>
        </w:tc>
        <w:tc>
          <w:tcPr>
            <w:tcW w:w="1067" w:type="pct"/>
            <w:shd w:val="clear" w:color="auto" w:fill="D9D9D9"/>
            <w:vAlign w:val="center"/>
            <w:hideMark/>
          </w:tcPr>
          <w:p w14:paraId="4C30FD1C" w14:textId="77777777" w:rsidR="000B4F35" w:rsidRPr="00C812C8" w:rsidRDefault="000B4F35" w:rsidP="000B4F35">
            <w:pPr>
              <w:spacing w:after="0" w:line="240" w:lineRule="auto"/>
              <w:rPr>
                <w:rFonts w:cstheme="minorHAnsi"/>
                <w:sz w:val="24"/>
                <w:szCs w:val="24"/>
                <w:lang w:eastAsia="sk-SK"/>
              </w:rPr>
            </w:pPr>
            <w:r>
              <w:rPr>
                <w:b/>
                <w:bCs/>
                <w:sz w:val="20"/>
                <w:szCs w:val="20"/>
              </w:rPr>
              <w:t>Výdavky celkom</w:t>
            </w:r>
            <w:r>
              <w:t xml:space="preserve"> </w:t>
            </w:r>
          </w:p>
        </w:tc>
        <w:tc>
          <w:tcPr>
            <w:tcW w:w="730" w:type="pct"/>
            <w:shd w:val="clear" w:color="auto" w:fill="D9D9D9"/>
            <w:noWrap/>
            <w:vAlign w:val="center"/>
            <w:hideMark/>
          </w:tcPr>
          <w:p w14:paraId="0E6AF0E5"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910 000,00</w:t>
            </w:r>
            <w:r>
              <w:t xml:space="preserve"> </w:t>
            </w:r>
          </w:p>
        </w:tc>
        <w:tc>
          <w:tcPr>
            <w:tcW w:w="733" w:type="pct"/>
            <w:shd w:val="clear" w:color="auto" w:fill="D9D9D9"/>
            <w:noWrap/>
            <w:vAlign w:val="center"/>
            <w:hideMark/>
          </w:tcPr>
          <w:p w14:paraId="37A82CE0"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590 997,00</w:t>
            </w:r>
            <w:r>
              <w:t xml:space="preserve"> </w:t>
            </w:r>
          </w:p>
        </w:tc>
        <w:tc>
          <w:tcPr>
            <w:tcW w:w="595" w:type="pct"/>
            <w:shd w:val="clear" w:color="auto" w:fill="D9D9D9"/>
            <w:noWrap/>
            <w:vAlign w:val="center"/>
            <w:hideMark/>
          </w:tcPr>
          <w:p w14:paraId="49CE633E"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282 688,14</w:t>
            </w:r>
            <w:r>
              <w:t xml:space="preserve"> </w:t>
            </w:r>
          </w:p>
        </w:tc>
        <w:tc>
          <w:tcPr>
            <w:tcW w:w="458" w:type="pct"/>
            <w:shd w:val="clear" w:color="auto" w:fill="D9D9D9"/>
            <w:noWrap/>
            <w:vAlign w:val="center"/>
            <w:hideMark/>
          </w:tcPr>
          <w:p w14:paraId="0DC22183"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47,83</w:t>
            </w:r>
            <w:r>
              <w:t xml:space="preserve"> </w:t>
            </w:r>
          </w:p>
        </w:tc>
        <w:tc>
          <w:tcPr>
            <w:tcW w:w="1052" w:type="pct"/>
            <w:vMerge w:val="restart"/>
            <w:shd w:val="clear" w:color="auto" w:fill="D9D9D9"/>
            <w:vAlign w:val="center"/>
            <w:hideMark/>
          </w:tcPr>
          <w:p w14:paraId="5F0A530C" w14:textId="7DDBB618" w:rsidR="00305E9E" w:rsidRDefault="000B4F35" w:rsidP="000B4F35">
            <w:pPr>
              <w:spacing w:after="0" w:line="240" w:lineRule="auto"/>
              <w:rPr>
                <w:rFonts w:cstheme="minorHAnsi"/>
                <w:sz w:val="20"/>
                <w:szCs w:val="20"/>
                <w:lang w:eastAsia="sk-SK"/>
              </w:rPr>
            </w:pPr>
            <w:r>
              <w:rPr>
                <w:rFonts w:cstheme="minorHAnsi"/>
                <w:b/>
                <w:bCs/>
                <w:sz w:val="20"/>
                <w:szCs w:val="20"/>
                <w:lang w:eastAsia="sk-SK"/>
              </w:rPr>
              <w:t>-</w:t>
            </w:r>
            <w:r w:rsidR="00305E9E">
              <w:rPr>
                <w:rFonts w:cstheme="minorHAnsi"/>
                <w:b/>
                <w:bCs/>
                <w:sz w:val="20"/>
                <w:szCs w:val="20"/>
                <w:lang w:eastAsia="sk-SK"/>
              </w:rPr>
              <w:t>150 000</w:t>
            </w:r>
            <w:r>
              <w:rPr>
                <w:rFonts w:cstheme="minorHAnsi"/>
                <w:b/>
                <w:bCs/>
                <w:sz w:val="20"/>
                <w:szCs w:val="20"/>
                <w:lang w:eastAsia="sk-SK"/>
              </w:rPr>
              <w:t xml:space="preserve">,00 </w:t>
            </w:r>
            <w:r w:rsidRPr="00AE3FC3">
              <w:rPr>
                <w:rFonts w:cstheme="minorHAnsi"/>
                <w:b/>
                <w:bCs/>
                <w:sz w:val="20"/>
                <w:szCs w:val="20"/>
                <w:lang w:eastAsia="sk-SK"/>
              </w:rPr>
              <w:t xml:space="preserve">EUR </w:t>
            </w:r>
            <w:r w:rsidR="00305E9E" w:rsidRPr="00305E9E">
              <w:rPr>
                <w:rFonts w:cstheme="minorHAnsi"/>
                <w:sz w:val="20"/>
                <w:szCs w:val="20"/>
                <w:lang w:eastAsia="sk-SK"/>
              </w:rPr>
              <w:t xml:space="preserve">dofinancovanie </w:t>
            </w:r>
            <w:proofErr w:type="spellStart"/>
            <w:r w:rsidR="00305E9E" w:rsidRPr="00305E9E">
              <w:rPr>
                <w:rFonts w:cstheme="minorHAnsi"/>
                <w:sz w:val="20"/>
                <w:szCs w:val="20"/>
                <w:lang w:eastAsia="sk-SK"/>
              </w:rPr>
              <w:t>pandemických</w:t>
            </w:r>
            <w:proofErr w:type="spellEnd"/>
            <w:r w:rsidR="00305E9E" w:rsidRPr="00305E9E">
              <w:rPr>
                <w:rFonts w:cstheme="minorHAnsi"/>
                <w:sz w:val="20"/>
                <w:szCs w:val="20"/>
                <w:lang w:eastAsia="sk-SK"/>
              </w:rPr>
              <w:t xml:space="preserve"> výdavkov</w:t>
            </w:r>
            <w:r w:rsidR="00305E9E">
              <w:rPr>
                <w:rFonts w:cstheme="minorHAnsi"/>
                <w:sz w:val="20"/>
                <w:szCs w:val="20"/>
                <w:lang w:eastAsia="sk-SK"/>
              </w:rPr>
              <w:t>,</w:t>
            </w:r>
          </w:p>
          <w:p w14:paraId="6B8C45DA" w14:textId="446F9199" w:rsidR="000B4F35" w:rsidRPr="00305E9E" w:rsidRDefault="00305E9E" w:rsidP="000B4F35">
            <w:pPr>
              <w:spacing w:after="0" w:line="240" w:lineRule="auto"/>
              <w:rPr>
                <w:rFonts w:cstheme="minorHAnsi"/>
                <w:b/>
                <w:bCs/>
                <w:sz w:val="20"/>
                <w:szCs w:val="20"/>
                <w:lang w:eastAsia="sk-SK"/>
              </w:rPr>
            </w:pPr>
            <w:r w:rsidRPr="00305E9E">
              <w:rPr>
                <w:rFonts w:cstheme="minorHAnsi"/>
                <w:b/>
                <w:sz w:val="20"/>
                <w:szCs w:val="20"/>
                <w:lang w:eastAsia="sk-SK"/>
              </w:rPr>
              <w:t>-16</w:t>
            </w:r>
            <w:r>
              <w:rPr>
                <w:rFonts w:cstheme="minorHAnsi"/>
                <w:b/>
                <w:sz w:val="20"/>
                <w:szCs w:val="20"/>
                <w:lang w:eastAsia="sk-SK"/>
              </w:rPr>
              <w:t>9</w:t>
            </w:r>
            <w:r w:rsidRPr="00305E9E">
              <w:rPr>
                <w:rFonts w:cstheme="minorHAnsi"/>
                <w:b/>
                <w:sz w:val="20"/>
                <w:szCs w:val="20"/>
                <w:lang w:eastAsia="sk-SK"/>
              </w:rPr>
              <w:t> 003,00 EUR</w:t>
            </w:r>
            <w:r>
              <w:rPr>
                <w:rFonts w:cstheme="minorHAnsi"/>
                <w:bCs/>
                <w:sz w:val="20"/>
                <w:szCs w:val="20"/>
                <w:lang w:eastAsia="sk-SK"/>
              </w:rPr>
              <w:t xml:space="preserve"> dofinancovanie </w:t>
            </w:r>
            <w:r w:rsidRPr="00305E9E">
              <w:rPr>
                <w:rFonts w:cstheme="minorHAnsi"/>
                <w:bCs/>
                <w:sz w:val="20"/>
                <w:szCs w:val="20"/>
                <w:lang w:eastAsia="sk-SK"/>
              </w:rPr>
              <w:t xml:space="preserve">UPS pre </w:t>
            </w:r>
            <w:proofErr w:type="spellStart"/>
            <w:r w:rsidRPr="00305E9E">
              <w:rPr>
                <w:rFonts w:cstheme="minorHAnsi"/>
                <w:bCs/>
                <w:sz w:val="20"/>
                <w:szCs w:val="20"/>
                <w:lang w:eastAsia="sk-SK"/>
              </w:rPr>
              <w:t>region</w:t>
            </w:r>
            <w:proofErr w:type="spellEnd"/>
            <w:r w:rsidRPr="00305E9E">
              <w:rPr>
                <w:rFonts w:cstheme="minorHAnsi"/>
                <w:bCs/>
                <w:sz w:val="20"/>
                <w:szCs w:val="20"/>
                <w:lang w:eastAsia="sk-SK"/>
              </w:rPr>
              <w:t xml:space="preserve"> Malacky a okolie</w:t>
            </w:r>
          </w:p>
        </w:tc>
      </w:tr>
      <w:tr w:rsidR="000B4F35" w:rsidRPr="00C812C8" w14:paraId="419B74A8" w14:textId="77777777" w:rsidTr="000B4F35">
        <w:trPr>
          <w:tblCellSpacing w:w="15" w:type="dxa"/>
        </w:trPr>
        <w:tc>
          <w:tcPr>
            <w:tcW w:w="250" w:type="pct"/>
            <w:shd w:val="clear" w:color="auto" w:fill="D9D9D9"/>
            <w:noWrap/>
            <w:vAlign w:val="center"/>
            <w:hideMark/>
          </w:tcPr>
          <w:p w14:paraId="38711D1E" w14:textId="77777777" w:rsidR="000B4F35" w:rsidRPr="00C812C8" w:rsidRDefault="000B4F35" w:rsidP="000B4F35">
            <w:pPr>
              <w:spacing w:after="0" w:line="240" w:lineRule="auto"/>
              <w:rPr>
                <w:rFonts w:cstheme="minorHAnsi"/>
                <w:sz w:val="24"/>
                <w:szCs w:val="24"/>
                <w:lang w:eastAsia="sk-SK"/>
              </w:rPr>
            </w:pPr>
            <w:r>
              <w:rPr>
                <w:b/>
                <w:bCs/>
                <w:sz w:val="20"/>
                <w:szCs w:val="20"/>
              </w:rPr>
              <w:t>600</w:t>
            </w:r>
            <w:r>
              <w:t xml:space="preserve"> </w:t>
            </w:r>
          </w:p>
        </w:tc>
        <w:tc>
          <w:tcPr>
            <w:tcW w:w="1067" w:type="pct"/>
            <w:shd w:val="clear" w:color="auto" w:fill="D9D9D9"/>
            <w:vAlign w:val="center"/>
            <w:hideMark/>
          </w:tcPr>
          <w:p w14:paraId="6676ECD3" w14:textId="77777777" w:rsidR="000B4F35" w:rsidRPr="00C812C8" w:rsidRDefault="000B4F35" w:rsidP="000B4F35">
            <w:pPr>
              <w:spacing w:after="0" w:line="240" w:lineRule="auto"/>
              <w:rPr>
                <w:rFonts w:cstheme="minorHAnsi"/>
                <w:sz w:val="24"/>
                <w:szCs w:val="24"/>
                <w:lang w:eastAsia="sk-SK"/>
              </w:rPr>
            </w:pPr>
            <w:r>
              <w:rPr>
                <w:b/>
                <w:bCs/>
                <w:sz w:val="20"/>
                <w:szCs w:val="20"/>
              </w:rPr>
              <w:t>Bežné výdavky</w:t>
            </w:r>
            <w:r>
              <w:t xml:space="preserve"> </w:t>
            </w:r>
          </w:p>
        </w:tc>
        <w:tc>
          <w:tcPr>
            <w:tcW w:w="730" w:type="pct"/>
            <w:shd w:val="clear" w:color="auto" w:fill="D9D9D9"/>
            <w:noWrap/>
            <w:vAlign w:val="center"/>
            <w:hideMark/>
          </w:tcPr>
          <w:p w14:paraId="7B684E30"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910 000,00</w:t>
            </w:r>
            <w:r>
              <w:t xml:space="preserve"> </w:t>
            </w:r>
          </w:p>
        </w:tc>
        <w:tc>
          <w:tcPr>
            <w:tcW w:w="733" w:type="pct"/>
            <w:shd w:val="clear" w:color="auto" w:fill="D9D9D9"/>
            <w:noWrap/>
            <w:vAlign w:val="center"/>
            <w:hideMark/>
          </w:tcPr>
          <w:p w14:paraId="6B8C8B16"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590 997,00</w:t>
            </w:r>
            <w:r>
              <w:t xml:space="preserve"> </w:t>
            </w:r>
          </w:p>
        </w:tc>
        <w:tc>
          <w:tcPr>
            <w:tcW w:w="595" w:type="pct"/>
            <w:shd w:val="clear" w:color="auto" w:fill="D9D9D9"/>
            <w:noWrap/>
            <w:vAlign w:val="center"/>
            <w:hideMark/>
          </w:tcPr>
          <w:p w14:paraId="09C0AA61"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282 688,14</w:t>
            </w:r>
            <w:r>
              <w:t xml:space="preserve"> </w:t>
            </w:r>
          </w:p>
        </w:tc>
        <w:tc>
          <w:tcPr>
            <w:tcW w:w="458" w:type="pct"/>
            <w:shd w:val="clear" w:color="auto" w:fill="D9D9D9"/>
            <w:noWrap/>
            <w:vAlign w:val="center"/>
            <w:hideMark/>
          </w:tcPr>
          <w:p w14:paraId="3F55078E" w14:textId="77777777" w:rsidR="000B4F35" w:rsidRPr="00C812C8" w:rsidRDefault="000B4F35" w:rsidP="000B4F35">
            <w:pPr>
              <w:spacing w:after="0" w:line="240" w:lineRule="auto"/>
              <w:jc w:val="right"/>
              <w:rPr>
                <w:rFonts w:cstheme="minorHAnsi"/>
                <w:sz w:val="24"/>
                <w:szCs w:val="24"/>
                <w:lang w:eastAsia="sk-SK"/>
              </w:rPr>
            </w:pPr>
            <w:r>
              <w:rPr>
                <w:b/>
                <w:bCs/>
                <w:sz w:val="20"/>
                <w:szCs w:val="20"/>
              </w:rPr>
              <w:t>47,83</w:t>
            </w:r>
            <w:r>
              <w:t xml:space="preserve"> </w:t>
            </w:r>
          </w:p>
        </w:tc>
        <w:tc>
          <w:tcPr>
            <w:tcW w:w="1052" w:type="pct"/>
            <w:vMerge/>
            <w:shd w:val="clear" w:color="auto" w:fill="D9D9D9"/>
            <w:vAlign w:val="center"/>
            <w:hideMark/>
          </w:tcPr>
          <w:p w14:paraId="3C0FB4E4" w14:textId="77777777" w:rsidR="000B4F35" w:rsidRPr="00AE3FC3" w:rsidRDefault="000B4F35" w:rsidP="000B4F35">
            <w:pPr>
              <w:spacing w:after="0" w:line="240" w:lineRule="auto"/>
              <w:rPr>
                <w:rFonts w:cstheme="minorHAnsi"/>
                <w:b/>
                <w:bCs/>
                <w:sz w:val="20"/>
                <w:szCs w:val="20"/>
                <w:lang w:eastAsia="sk-SK"/>
              </w:rPr>
            </w:pPr>
          </w:p>
        </w:tc>
      </w:tr>
      <w:tr w:rsidR="000B4F35" w:rsidRPr="00C812C8" w14:paraId="239A7F9F" w14:textId="77777777" w:rsidTr="000B4F35">
        <w:trPr>
          <w:tblCellSpacing w:w="15" w:type="dxa"/>
        </w:trPr>
        <w:tc>
          <w:tcPr>
            <w:tcW w:w="250" w:type="pct"/>
            <w:shd w:val="clear" w:color="auto" w:fill="EFEFEF"/>
            <w:noWrap/>
            <w:vAlign w:val="center"/>
            <w:hideMark/>
          </w:tcPr>
          <w:p w14:paraId="03D7251B" w14:textId="77777777" w:rsidR="000B4F35" w:rsidRPr="00C812C8" w:rsidRDefault="000B4F35" w:rsidP="000B4F35">
            <w:pPr>
              <w:spacing w:after="0" w:line="240" w:lineRule="auto"/>
              <w:rPr>
                <w:rFonts w:cstheme="minorHAnsi"/>
                <w:sz w:val="24"/>
                <w:szCs w:val="24"/>
                <w:lang w:eastAsia="sk-SK"/>
              </w:rPr>
            </w:pPr>
            <w:r>
              <w:rPr>
                <w:sz w:val="20"/>
                <w:szCs w:val="20"/>
              </w:rPr>
              <w:t>630</w:t>
            </w:r>
            <w:r>
              <w:t xml:space="preserve"> </w:t>
            </w:r>
          </w:p>
        </w:tc>
        <w:tc>
          <w:tcPr>
            <w:tcW w:w="1067" w:type="pct"/>
            <w:shd w:val="clear" w:color="auto" w:fill="EFEFEF"/>
            <w:vAlign w:val="center"/>
            <w:hideMark/>
          </w:tcPr>
          <w:p w14:paraId="6FB728A4" w14:textId="77777777" w:rsidR="000B4F35" w:rsidRPr="00C812C8" w:rsidRDefault="000B4F35" w:rsidP="000B4F35">
            <w:pPr>
              <w:spacing w:after="0" w:line="240" w:lineRule="auto"/>
              <w:rPr>
                <w:rFonts w:cstheme="minorHAnsi"/>
                <w:sz w:val="24"/>
                <w:szCs w:val="24"/>
                <w:lang w:eastAsia="sk-SK"/>
              </w:rPr>
            </w:pPr>
            <w:r>
              <w:rPr>
                <w:sz w:val="20"/>
                <w:szCs w:val="20"/>
              </w:rPr>
              <w:t>Tovary a služby</w:t>
            </w:r>
            <w:r>
              <w:t xml:space="preserve"> </w:t>
            </w:r>
          </w:p>
        </w:tc>
        <w:tc>
          <w:tcPr>
            <w:tcW w:w="730" w:type="pct"/>
            <w:shd w:val="clear" w:color="auto" w:fill="EFEFEF"/>
            <w:noWrap/>
            <w:vAlign w:val="center"/>
            <w:hideMark/>
          </w:tcPr>
          <w:p w14:paraId="609EFF62" w14:textId="77777777" w:rsidR="000B4F35" w:rsidRPr="00C812C8" w:rsidRDefault="000B4F35" w:rsidP="000B4F35">
            <w:pPr>
              <w:spacing w:after="0" w:line="240" w:lineRule="auto"/>
              <w:jc w:val="right"/>
              <w:rPr>
                <w:rFonts w:cstheme="minorHAnsi"/>
                <w:sz w:val="24"/>
                <w:szCs w:val="24"/>
                <w:lang w:eastAsia="sk-SK"/>
              </w:rPr>
            </w:pPr>
            <w:r>
              <w:rPr>
                <w:sz w:val="20"/>
                <w:szCs w:val="20"/>
              </w:rPr>
              <w:t>910 000,00</w:t>
            </w:r>
            <w:r>
              <w:t xml:space="preserve"> </w:t>
            </w:r>
          </w:p>
        </w:tc>
        <w:tc>
          <w:tcPr>
            <w:tcW w:w="733" w:type="pct"/>
            <w:shd w:val="clear" w:color="auto" w:fill="EFEFEF"/>
            <w:noWrap/>
            <w:vAlign w:val="center"/>
            <w:hideMark/>
          </w:tcPr>
          <w:p w14:paraId="4EB82A58" w14:textId="77777777" w:rsidR="000B4F35" w:rsidRPr="00C812C8" w:rsidRDefault="000B4F35" w:rsidP="000B4F35">
            <w:pPr>
              <w:spacing w:after="0" w:line="240" w:lineRule="auto"/>
              <w:jc w:val="right"/>
              <w:rPr>
                <w:rFonts w:cstheme="minorHAnsi"/>
                <w:sz w:val="24"/>
                <w:szCs w:val="24"/>
                <w:lang w:eastAsia="sk-SK"/>
              </w:rPr>
            </w:pPr>
            <w:r>
              <w:rPr>
                <w:sz w:val="20"/>
                <w:szCs w:val="20"/>
              </w:rPr>
              <w:t>590 997,00</w:t>
            </w:r>
            <w:r>
              <w:t xml:space="preserve"> </w:t>
            </w:r>
          </w:p>
        </w:tc>
        <w:tc>
          <w:tcPr>
            <w:tcW w:w="595" w:type="pct"/>
            <w:shd w:val="clear" w:color="auto" w:fill="EFEFEF"/>
            <w:noWrap/>
            <w:vAlign w:val="center"/>
            <w:hideMark/>
          </w:tcPr>
          <w:p w14:paraId="0A3D4059" w14:textId="77777777" w:rsidR="000B4F35" w:rsidRPr="00C812C8" w:rsidRDefault="000B4F35" w:rsidP="000B4F35">
            <w:pPr>
              <w:spacing w:after="0" w:line="240" w:lineRule="auto"/>
              <w:jc w:val="right"/>
              <w:rPr>
                <w:rFonts w:cstheme="minorHAnsi"/>
                <w:sz w:val="24"/>
                <w:szCs w:val="24"/>
                <w:lang w:eastAsia="sk-SK"/>
              </w:rPr>
            </w:pPr>
            <w:r>
              <w:rPr>
                <w:sz w:val="20"/>
                <w:szCs w:val="20"/>
              </w:rPr>
              <w:t>282 688,14</w:t>
            </w:r>
            <w:r>
              <w:t xml:space="preserve"> </w:t>
            </w:r>
          </w:p>
        </w:tc>
        <w:tc>
          <w:tcPr>
            <w:tcW w:w="458" w:type="pct"/>
            <w:shd w:val="clear" w:color="auto" w:fill="EFEFEF"/>
            <w:noWrap/>
            <w:vAlign w:val="center"/>
            <w:hideMark/>
          </w:tcPr>
          <w:p w14:paraId="6ADA49A8" w14:textId="77777777" w:rsidR="000B4F35" w:rsidRPr="00C812C8" w:rsidRDefault="000B4F35" w:rsidP="000B4F35">
            <w:pPr>
              <w:spacing w:after="0" w:line="240" w:lineRule="auto"/>
              <w:jc w:val="right"/>
              <w:rPr>
                <w:rFonts w:cstheme="minorHAnsi"/>
                <w:sz w:val="24"/>
                <w:szCs w:val="24"/>
                <w:lang w:eastAsia="sk-SK"/>
              </w:rPr>
            </w:pPr>
            <w:r>
              <w:rPr>
                <w:sz w:val="20"/>
                <w:szCs w:val="20"/>
              </w:rPr>
              <w:t>47,83</w:t>
            </w:r>
          </w:p>
        </w:tc>
        <w:tc>
          <w:tcPr>
            <w:tcW w:w="1052" w:type="pct"/>
            <w:vMerge/>
            <w:shd w:val="clear" w:color="auto" w:fill="EFEFEF"/>
            <w:vAlign w:val="center"/>
            <w:hideMark/>
          </w:tcPr>
          <w:p w14:paraId="53489C21" w14:textId="77777777" w:rsidR="000B4F35" w:rsidRPr="00C812C8" w:rsidRDefault="000B4F35" w:rsidP="000B4F35">
            <w:pPr>
              <w:spacing w:after="0" w:line="240" w:lineRule="auto"/>
              <w:rPr>
                <w:rFonts w:cstheme="minorHAnsi"/>
                <w:sz w:val="24"/>
                <w:szCs w:val="24"/>
                <w:lang w:eastAsia="sk-SK"/>
              </w:rPr>
            </w:pPr>
          </w:p>
        </w:tc>
      </w:tr>
    </w:tbl>
    <w:p w14:paraId="791EC43C" w14:textId="77777777" w:rsidR="000B4F35" w:rsidRPr="00C812C8" w:rsidRDefault="000B4F35" w:rsidP="000B4F35">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002"/>
        <w:gridCol w:w="651"/>
        <w:gridCol w:w="1543"/>
        <w:gridCol w:w="1111"/>
        <w:gridCol w:w="4159"/>
      </w:tblGrid>
      <w:tr w:rsidR="000B4F35" w:rsidRPr="00C812C8" w14:paraId="4D80CD06" w14:textId="77777777" w:rsidTr="000B4F35">
        <w:trPr>
          <w:tblCellSpacing w:w="15" w:type="dxa"/>
        </w:trPr>
        <w:tc>
          <w:tcPr>
            <w:tcW w:w="0" w:type="auto"/>
            <w:shd w:val="clear" w:color="auto" w:fill="C2D69B"/>
            <w:vAlign w:val="center"/>
            <w:hideMark/>
          </w:tcPr>
          <w:p w14:paraId="2C5B2AF5" w14:textId="77777777" w:rsidR="000B4F35" w:rsidRPr="00C812C8" w:rsidRDefault="000B4F35" w:rsidP="000B4F35">
            <w:pPr>
              <w:spacing w:after="0" w:line="240" w:lineRule="auto"/>
              <w:rPr>
                <w:rFonts w:cstheme="minorHAnsi"/>
                <w:sz w:val="24"/>
                <w:szCs w:val="24"/>
                <w:lang w:eastAsia="sk-SK"/>
              </w:rPr>
            </w:pPr>
            <w:r w:rsidRPr="00C812C8">
              <w:rPr>
                <w:rFonts w:cstheme="minorHAnsi"/>
                <w:b/>
                <w:bCs/>
                <w:sz w:val="20"/>
                <w:szCs w:val="20"/>
                <w:lang w:eastAsia="sk-SK"/>
              </w:rPr>
              <w:t>Zodpovednosť</w:t>
            </w:r>
          </w:p>
        </w:tc>
        <w:tc>
          <w:tcPr>
            <w:tcW w:w="0" w:type="auto"/>
            <w:gridSpan w:val="4"/>
            <w:shd w:val="clear" w:color="auto" w:fill="C2D69B"/>
            <w:vAlign w:val="center"/>
            <w:hideMark/>
          </w:tcPr>
          <w:p w14:paraId="408BC7E7" w14:textId="77777777" w:rsidR="000B4F35" w:rsidRPr="00C812C8" w:rsidRDefault="000B4F35" w:rsidP="000B4F35">
            <w:pPr>
              <w:spacing w:after="0" w:line="240" w:lineRule="auto"/>
              <w:rPr>
                <w:rFonts w:cstheme="minorHAnsi"/>
                <w:sz w:val="24"/>
                <w:szCs w:val="24"/>
                <w:lang w:eastAsia="sk-SK"/>
              </w:rPr>
            </w:pPr>
            <w:r w:rsidRPr="00C812C8">
              <w:rPr>
                <w:rFonts w:cstheme="minorHAnsi"/>
                <w:sz w:val="20"/>
                <w:szCs w:val="20"/>
                <w:lang w:eastAsia="sk-SK"/>
              </w:rPr>
              <w:t>Oddelenie právne</w:t>
            </w:r>
            <w:r w:rsidRPr="00C812C8">
              <w:rPr>
                <w:rFonts w:cstheme="minorHAnsi"/>
                <w:sz w:val="24"/>
                <w:szCs w:val="24"/>
                <w:lang w:eastAsia="sk-SK"/>
              </w:rPr>
              <w:t xml:space="preserve"> </w:t>
            </w:r>
          </w:p>
        </w:tc>
      </w:tr>
      <w:tr w:rsidR="000B4F35" w:rsidRPr="00C812C8" w14:paraId="5395852B" w14:textId="77777777" w:rsidTr="000B4F35">
        <w:trPr>
          <w:tblCellSpacing w:w="15" w:type="dxa"/>
        </w:trPr>
        <w:tc>
          <w:tcPr>
            <w:tcW w:w="0" w:type="auto"/>
            <w:shd w:val="clear" w:color="auto" w:fill="C2D69B"/>
            <w:vAlign w:val="center"/>
            <w:hideMark/>
          </w:tcPr>
          <w:p w14:paraId="61462C6E" w14:textId="77777777" w:rsidR="000B4F35" w:rsidRPr="00C812C8" w:rsidRDefault="000B4F35" w:rsidP="000B4F35">
            <w:pPr>
              <w:spacing w:after="0" w:line="240" w:lineRule="auto"/>
              <w:rPr>
                <w:rFonts w:cstheme="minorHAnsi"/>
                <w:sz w:val="24"/>
                <w:szCs w:val="24"/>
                <w:lang w:eastAsia="sk-SK"/>
              </w:rPr>
            </w:pPr>
            <w:r w:rsidRPr="00C812C8">
              <w:rPr>
                <w:rFonts w:cstheme="minorHAnsi"/>
                <w:b/>
                <w:bCs/>
                <w:sz w:val="20"/>
                <w:szCs w:val="20"/>
                <w:lang w:eastAsia="sk-SK"/>
              </w:rPr>
              <w:t>Cieľ</w:t>
            </w:r>
          </w:p>
        </w:tc>
        <w:tc>
          <w:tcPr>
            <w:tcW w:w="0" w:type="auto"/>
            <w:gridSpan w:val="4"/>
            <w:shd w:val="clear" w:color="auto" w:fill="C2D69B"/>
            <w:vAlign w:val="center"/>
            <w:hideMark/>
          </w:tcPr>
          <w:p w14:paraId="5C235C37" w14:textId="77777777" w:rsidR="000B4F35" w:rsidRPr="00C812C8" w:rsidRDefault="000B4F35" w:rsidP="000B4F35">
            <w:pPr>
              <w:spacing w:after="0" w:line="240" w:lineRule="auto"/>
              <w:rPr>
                <w:rFonts w:cstheme="minorHAnsi"/>
                <w:sz w:val="24"/>
                <w:szCs w:val="24"/>
                <w:lang w:eastAsia="sk-SK"/>
              </w:rPr>
            </w:pPr>
            <w:r w:rsidRPr="00C812C8">
              <w:rPr>
                <w:rFonts w:cstheme="minorHAnsi"/>
                <w:sz w:val="20"/>
                <w:szCs w:val="20"/>
                <w:lang w:eastAsia="sk-SK"/>
              </w:rPr>
              <w:t>Zabezpečiť internú právnu podporu činností úradu BSK.</w:t>
            </w:r>
            <w:r w:rsidRPr="00C812C8">
              <w:rPr>
                <w:rFonts w:cstheme="minorHAnsi"/>
                <w:sz w:val="24"/>
                <w:szCs w:val="24"/>
                <w:lang w:eastAsia="sk-SK"/>
              </w:rPr>
              <w:t xml:space="preserve"> </w:t>
            </w:r>
          </w:p>
        </w:tc>
      </w:tr>
      <w:tr w:rsidR="000B4F35" w:rsidRPr="00C812C8" w14:paraId="0088825B" w14:textId="77777777" w:rsidTr="000B4F35">
        <w:trPr>
          <w:tblCellSpacing w:w="15" w:type="dxa"/>
        </w:trPr>
        <w:tc>
          <w:tcPr>
            <w:tcW w:w="0" w:type="auto"/>
            <w:shd w:val="clear" w:color="auto" w:fill="C2D69B"/>
            <w:vAlign w:val="center"/>
            <w:hideMark/>
          </w:tcPr>
          <w:p w14:paraId="2A229EA2" w14:textId="77777777" w:rsidR="000B4F35" w:rsidRPr="00C812C8" w:rsidRDefault="000B4F35" w:rsidP="000B4F35">
            <w:pPr>
              <w:spacing w:after="0" w:line="240" w:lineRule="auto"/>
              <w:rPr>
                <w:rFonts w:cstheme="minorHAnsi"/>
                <w:sz w:val="24"/>
                <w:szCs w:val="24"/>
                <w:lang w:eastAsia="sk-SK"/>
              </w:rPr>
            </w:pPr>
            <w:r w:rsidRPr="00C812C8">
              <w:rPr>
                <w:rFonts w:cstheme="minorHAnsi"/>
                <w:b/>
                <w:bCs/>
                <w:sz w:val="20"/>
                <w:szCs w:val="20"/>
                <w:lang w:eastAsia="sk-SK"/>
              </w:rPr>
              <w:t>Merateľný ukazovateľ</w:t>
            </w:r>
          </w:p>
        </w:tc>
        <w:tc>
          <w:tcPr>
            <w:tcW w:w="0" w:type="auto"/>
            <w:gridSpan w:val="4"/>
            <w:shd w:val="clear" w:color="auto" w:fill="C2D69B"/>
            <w:vAlign w:val="center"/>
            <w:hideMark/>
          </w:tcPr>
          <w:p w14:paraId="0D2C88CB" w14:textId="77777777" w:rsidR="000B4F35" w:rsidRPr="00C812C8" w:rsidRDefault="000B4F35" w:rsidP="000B4F35">
            <w:pPr>
              <w:spacing w:after="0" w:line="240" w:lineRule="auto"/>
              <w:rPr>
                <w:rFonts w:cstheme="minorHAnsi"/>
                <w:sz w:val="24"/>
                <w:szCs w:val="24"/>
                <w:lang w:eastAsia="sk-SK"/>
              </w:rPr>
            </w:pPr>
            <w:r w:rsidRPr="00C812C8">
              <w:rPr>
                <w:rFonts w:cstheme="minorHAnsi"/>
                <w:sz w:val="20"/>
                <w:szCs w:val="20"/>
                <w:lang w:eastAsia="sk-SK"/>
              </w:rPr>
              <w:t>Priemerný počet dní potrebných na spracovanie právneho stanoviska za rok</w:t>
            </w:r>
            <w:r w:rsidRPr="00C812C8">
              <w:rPr>
                <w:rFonts w:cstheme="minorHAnsi"/>
                <w:sz w:val="24"/>
                <w:szCs w:val="24"/>
                <w:lang w:eastAsia="sk-SK"/>
              </w:rPr>
              <w:t xml:space="preserve"> </w:t>
            </w:r>
          </w:p>
        </w:tc>
      </w:tr>
      <w:tr w:rsidR="000B4F35" w:rsidRPr="00C812C8" w14:paraId="4D9F69F6" w14:textId="77777777" w:rsidTr="000B4F35">
        <w:trPr>
          <w:tblCellSpacing w:w="15" w:type="dxa"/>
        </w:trPr>
        <w:tc>
          <w:tcPr>
            <w:tcW w:w="0" w:type="auto"/>
            <w:shd w:val="clear" w:color="auto" w:fill="C2D69B"/>
            <w:vAlign w:val="center"/>
            <w:hideMark/>
          </w:tcPr>
          <w:p w14:paraId="0FFD8FCA" w14:textId="77777777" w:rsidR="000B4F35" w:rsidRPr="00C812C8" w:rsidRDefault="000B4F35" w:rsidP="000B4F35">
            <w:pPr>
              <w:spacing w:after="0" w:line="240" w:lineRule="auto"/>
              <w:jc w:val="center"/>
              <w:rPr>
                <w:rFonts w:cstheme="minorHAnsi"/>
                <w:sz w:val="24"/>
                <w:szCs w:val="24"/>
                <w:lang w:eastAsia="sk-SK"/>
              </w:rPr>
            </w:pPr>
            <w:r w:rsidRPr="00C812C8">
              <w:rPr>
                <w:rFonts w:cstheme="minorHAnsi"/>
                <w:b/>
                <w:bCs/>
                <w:sz w:val="20"/>
                <w:szCs w:val="20"/>
                <w:lang w:eastAsia="sk-SK"/>
              </w:rPr>
              <w:t>Rok</w:t>
            </w:r>
          </w:p>
        </w:tc>
        <w:tc>
          <w:tcPr>
            <w:tcW w:w="0" w:type="auto"/>
            <w:shd w:val="clear" w:color="auto" w:fill="C2D69B"/>
            <w:vAlign w:val="center"/>
            <w:hideMark/>
          </w:tcPr>
          <w:p w14:paraId="0D81EABD" w14:textId="77777777" w:rsidR="000B4F35" w:rsidRPr="00C812C8" w:rsidRDefault="000B4F35" w:rsidP="000B4F35">
            <w:pPr>
              <w:spacing w:after="0" w:line="240" w:lineRule="auto"/>
              <w:jc w:val="center"/>
              <w:rPr>
                <w:rFonts w:cstheme="minorHAnsi"/>
                <w:sz w:val="24"/>
                <w:szCs w:val="24"/>
                <w:lang w:eastAsia="sk-SK"/>
              </w:rPr>
            </w:pPr>
            <w:r w:rsidRPr="00C812C8">
              <w:rPr>
                <w:rFonts w:cstheme="minorHAnsi"/>
                <w:b/>
                <w:bCs/>
                <w:sz w:val="20"/>
                <w:szCs w:val="20"/>
                <w:lang w:eastAsia="sk-SK"/>
              </w:rPr>
              <w:t>Plán</w:t>
            </w:r>
          </w:p>
        </w:tc>
        <w:tc>
          <w:tcPr>
            <w:tcW w:w="0" w:type="auto"/>
            <w:shd w:val="clear" w:color="auto" w:fill="C2D69B"/>
            <w:vAlign w:val="center"/>
            <w:hideMark/>
          </w:tcPr>
          <w:p w14:paraId="4C171609" w14:textId="77777777" w:rsidR="000B4F35" w:rsidRPr="00C812C8" w:rsidRDefault="000B4F35" w:rsidP="000B4F35">
            <w:pPr>
              <w:spacing w:after="0" w:line="240" w:lineRule="auto"/>
              <w:jc w:val="center"/>
              <w:rPr>
                <w:rFonts w:cstheme="minorHAnsi"/>
                <w:sz w:val="24"/>
                <w:szCs w:val="24"/>
                <w:lang w:eastAsia="sk-SK"/>
              </w:rPr>
            </w:pPr>
            <w:r w:rsidRPr="00C812C8">
              <w:rPr>
                <w:rFonts w:cstheme="minorHAnsi"/>
                <w:b/>
                <w:bCs/>
                <w:sz w:val="20"/>
                <w:szCs w:val="20"/>
                <w:lang w:eastAsia="sk-SK"/>
              </w:rPr>
              <w:t>Skutočnosť</w:t>
            </w:r>
          </w:p>
        </w:tc>
        <w:tc>
          <w:tcPr>
            <w:tcW w:w="0" w:type="auto"/>
            <w:shd w:val="clear" w:color="auto" w:fill="C2D69B"/>
            <w:vAlign w:val="center"/>
            <w:hideMark/>
          </w:tcPr>
          <w:p w14:paraId="2CB53066" w14:textId="77777777" w:rsidR="000B4F35" w:rsidRPr="00C812C8" w:rsidRDefault="000B4F35" w:rsidP="000B4F35">
            <w:pPr>
              <w:spacing w:after="0" w:line="240" w:lineRule="auto"/>
              <w:jc w:val="center"/>
              <w:rPr>
                <w:rFonts w:cstheme="minorHAnsi"/>
                <w:sz w:val="24"/>
                <w:szCs w:val="24"/>
                <w:lang w:eastAsia="sk-SK"/>
              </w:rPr>
            </w:pPr>
            <w:r w:rsidRPr="00C812C8">
              <w:rPr>
                <w:rFonts w:cstheme="minorHAnsi"/>
                <w:b/>
                <w:bCs/>
                <w:sz w:val="20"/>
                <w:szCs w:val="20"/>
                <w:lang w:eastAsia="sk-SK"/>
              </w:rPr>
              <w:t>Plnenie</w:t>
            </w:r>
          </w:p>
        </w:tc>
        <w:tc>
          <w:tcPr>
            <w:tcW w:w="2000" w:type="pct"/>
            <w:shd w:val="clear" w:color="auto" w:fill="C2D69B"/>
            <w:vAlign w:val="center"/>
            <w:hideMark/>
          </w:tcPr>
          <w:p w14:paraId="3E0E8209" w14:textId="77777777" w:rsidR="000B4F35" w:rsidRPr="00C812C8" w:rsidRDefault="000B4F35" w:rsidP="000B4F35">
            <w:pPr>
              <w:spacing w:after="0" w:line="240" w:lineRule="auto"/>
              <w:rPr>
                <w:rFonts w:cstheme="minorHAnsi"/>
                <w:sz w:val="24"/>
                <w:szCs w:val="24"/>
                <w:lang w:eastAsia="sk-SK"/>
              </w:rPr>
            </w:pPr>
            <w:r w:rsidRPr="00C812C8">
              <w:rPr>
                <w:rFonts w:cstheme="minorHAnsi"/>
                <w:b/>
                <w:bCs/>
                <w:sz w:val="20"/>
                <w:szCs w:val="20"/>
                <w:lang w:eastAsia="sk-SK"/>
              </w:rPr>
              <w:t>Poznámka</w:t>
            </w:r>
          </w:p>
        </w:tc>
      </w:tr>
      <w:tr w:rsidR="000B4F35" w:rsidRPr="00C812C8" w14:paraId="1A7C39B3" w14:textId="77777777" w:rsidTr="000B4F35">
        <w:trPr>
          <w:tblCellSpacing w:w="15" w:type="dxa"/>
        </w:trPr>
        <w:tc>
          <w:tcPr>
            <w:tcW w:w="0" w:type="auto"/>
            <w:shd w:val="clear" w:color="auto" w:fill="C2D69B"/>
            <w:vAlign w:val="center"/>
            <w:hideMark/>
          </w:tcPr>
          <w:p w14:paraId="77B0E246" w14:textId="77777777" w:rsidR="000B4F35" w:rsidRPr="00C812C8" w:rsidRDefault="000B4F35" w:rsidP="000B4F35">
            <w:pPr>
              <w:spacing w:after="0" w:line="240" w:lineRule="auto"/>
              <w:jc w:val="center"/>
              <w:rPr>
                <w:rFonts w:cstheme="minorHAnsi"/>
                <w:sz w:val="24"/>
                <w:szCs w:val="24"/>
                <w:lang w:eastAsia="sk-SK"/>
              </w:rPr>
            </w:pPr>
            <w:r w:rsidRPr="00C812C8">
              <w:rPr>
                <w:rFonts w:cstheme="minorHAnsi"/>
                <w:sz w:val="20"/>
                <w:szCs w:val="20"/>
                <w:lang w:eastAsia="sk-SK"/>
              </w:rPr>
              <w:t>20</w:t>
            </w:r>
            <w:r>
              <w:rPr>
                <w:rFonts w:cstheme="minorHAnsi"/>
                <w:sz w:val="20"/>
                <w:szCs w:val="20"/>
                <w:lang w:eastAsia="sk-SK"/>
              </w:rPr>
              <w:t>20</w:t>
            </w:r>
            <w:r w:rsidRPr="00C812C8">
              <w:rPr>
                <w:rFonts w:cstheme="minorHAnsi"/>
                <w:sz w:val="24"/>
                <w:szCs w:val="24"/>
                <w:lang w:eastAsia="sk-SK"/>
              </w:rPr>
              <w:t xml:space="preserve"> </w:t>
            </w:r>
          </w:p>
        </w:tc>
        <w:tc>
          <w:tcPr>
            <w:tcW w:w="0" w:type="auto"/>
            <w:shd w:val="clear" w:color="auto" w:fill="C2D69B"/>
            <w:noWrap/>
            <w:vAlign w:val="center"/>
            <w:hideMark/>
          </w:tcPr>
          <w:p w14:paraId="57E58473" w14:textId="77777777" w:rsidR="000B4F35" w:rsidRPr="00C812C8" w:rsidRDefault="000B4F35" w:rsidP="000B4F35">
            <w:pPr>
              <w:spacing w:after="0" w:line="240" w:lineRule="auto"/>
              <w:jc w:val="center"/>
              <w:rPr>
                <w:rFonts w:cstheme="minorHAnsi"/>
                <w:sz w:val="24"/>
                <w:szCs w:val="24"/>
                <w:lang w:eastAsia="sk-SK"/>
              </w:rPr>
            </w:pPr>
            <w:r w:rsidRPr="00C812C8">
              <w:rPr>
                <w:rFonts w:cstheme="minorHAnsi"/>
                <w:sz w:val="20"/>
                <w:szCs w:val="20"/>
                <w:lang w:eastAsia="sk-SK"/>
              </w:rPr>
              <w:t> 5</w:t>
            </w:r>
            <w:r w:rsidRPr="00C812C8">
              <w:rPr>
                <w:rFonts w:cstheme="minorHAnsi"/>
                <w:sz w:val="24"/>
                <w:szCs w:val="24"/>
                <w:lang w:eastAsia="sk-SK"/>
              </w:rPr>
              <w:t xml:space="preserve"> </w:t>
            </w:r>
          </w:p>
        </w:tc>
        <w:tc>
          <w:tcPr>
            <w:tcW w:w="0" w:type="auto"/>
            <w:shd w:val="clear" w:color="auto" w:fill="C2D69B"/>
            <w:noWrap/>
            <w:vAlign w:val="center"/>
            <w:hideMark/>
          </w:tcPr>
          <w:p w14:paraId="1B1714B5" w14:textId="77777777" w:rsidR="000B4F35" w:rsidRPr="00C812C8" w:rsidRDefault="000B4F35" w:rsidP="000B4F35">
            <w:pPr>
              <w:spacing w:after="0" w:line="240" w:lineRule="auto"/>
              <w:jc w:val="center"/>
              <w:rPr>
                <w:rFonts w:cstheme="minorHAnsi"/>
                <w:color w:val="FF0000"/>
                <w:sz w:val="24"/>
                <w:szCs w:val="24"/>
                <w:lang w:eastAsia="sk-SK"/>
              </w:rPr>
            </w:pPr>
            <w:r w:rsidRPr="00C812C8">
              <w:rPr>
                <w:rFonts w:cstheme="minorHAnsi"/>
                <w:sz w:val="20"/>
                <w:szCs w:val="20"/>
                <w:lang w:eastAsia="sk-SK"/>
              </w:rPr>
              <w:t>5</w:t>
            </w:r>
          </w:p>
        </w:tc>
        <w:tc>
          <w:tcPr>
            <w:tcW w:w="0" w:type="auto"/>
            <w:shd w:val="clear" w:color="auto" w:fill="C2D69B"/>
            <w:vAlign w:val="center"/>
            <w:hideMark/>
          </w:tcPr>
          <w:p w14:paraId="5F8230EE" w14:textId="77777777" w:rsidR="000B4F35" w:rsidRPr="00A03294" w:rsidRDefault="000B4F35" w:rsidP="000B4F35">
            <w:pPr>
              <w:spacing w:after="0" w:line="240" w:lineRule="auto"/>
              <w:jc w:val="center"/>
              <w:rPr>
                <w:rFonts w:cstheme="minorHAnsi"/>
                <w:sz w:val="20"/>
                <w:szCs w:val="20"/>
                <w:lang w:eastAsia="sk-SK"/>
              </w:rPr>
            </w:pPr>
            <w:r w:rsidRPr="00A03294">
              <w:rPr>
                <w:rFonts w:cstheme="minorHAnsi"/>
                <w:sz w:val="20"/>
                <w:szCs w:val="20"/>
                <w:lang w:eastAsia="sk-SK"/>
              </w:rPr>
              <w:t>Splnené</w:t>
            </w:r>
          </w:p>
        </w:tc>
        <w:tc>
          <w:tcPr>
            <w:tcW w:w="0" w:type="auto"/>
            <w:shd w:val="clear" w:color="auto" w:fill="C2D69B"/>
            <w:vAlign w:val="center"/>
            <w:hideMark/>
          </w:tcPr>
          <w:p w14:paraId="209BF7C0" w14:textId="77777777" w:rsidR="000B4F35" w:rsidRPr="00EC423D" w:rsidRDefault="000B4F35" w:rsidP="000B4F35">
            <w:pPr>
              <w:spacing w:after="0" w:line="240" w:lineRule="auto"/>
              <w:jc w:val="both"/>
              <w:rPr>
                <w:rFonts w:cstheme="minorHAnsi"/>
                <w:sz w:val="20"/>
                <w:szCs w:val="20"/>
                <w:lang w:eastAsia="sk-SK"/>
              </w:rPr>
            </w:pPr>
            <w:r w:rsidRPr="00EC423D">
              <w:rPr>
                <w:rFonts w:cstheme="minorHAnsi"/>
                <w:sz w:val="20"/>
                <w:szCs w:val="20"/>
                <w:lang w:eastAsia="sk-SK"/>
              </w:rPr>
              <w:t>Po kontrole náhodne vybraných interných listov bolo zistené, že interná podpora právnym oddelením bola zabezpečená v o priemernej lehote piatich dní od doručenia žiadostí stanovisko</w:t>
            </w:r>
          </w:p>
        </w:tc>
      </w:tr>
    </w:tbl>
    <w:p w14:paraId="2ABE3D4E" w14:textId="77777777" w:rsidR="000B4F35" w:rsidRDefault="000B4F35" w:rsidP="000B4F35">
      <w:pPr>
        <w:spacing w:before="100" w:beforeAutospacing="1" w:after="100" w:afterAutospacing="1" w:line="240" w:lineRule="auto"/>
        <w:jc w:val="both"/>
        <w:rPr>
          <w:rFonts w:cstheme="minorHAnsi"/>
          <w:sz w:val="24"/>
          <w:szCs w:val="24"/>
          <w:lang w:eastAsia="sk-SK"/>
        </w:rPr>
      </w:pPr>
      <w:r w:rsidRPr="00C812C8">
        <w:rPr>
          <w:rFonts w:cstheme="minorHAnsi"/>
          <w:b/>
          <w:bCs/>
          <w:sz w:val="24"/>
          <w:szCs w:val="24"/>
          <w:lang w:eastAsia="sk-SK"/>
        </w:rPr>
        <w:t>Komentár:</w:t>
      </w:r>
      <w:r>
        <w:rPr>
          <w:rFonts w:cstheme="minorHAnsi"/>
          <w:sz w:val="24"/>
          <w:szCs w:val="24"/>
          <w:lang w:eastAsia="sk-SK"/>
        </w:rPr>
        <w:t xml:space="preserve"> </w:t>
      </w:r>
      <w:r w:rsidRPr="001C41F1">
        <w:rPr>
          <w:rFonts w:cstheme="minorHAnsi"/>
          <w:lang w:eastAsia="sk-SK"/>
        </w:rPr>
        <w:t>V rámci podprogramu tvorili prevažnú časť výdavkov v roku náklady súvisiace s právnym zastupovaním Úradu BSK externými advokátskymi kanceláriami v závislosti od náročnosti súdnych sporov. Zvyšná časť výdavkov bola použitá na úhradu trov konania, súdnych poplatkov, právneho zastupovania, pokút, poskytnutie geodetických služieb, vypracovanie znaleckých posudkov.</w:t>
      </w:r>
    </w:p>
    <w:p w14:paraId="62BAEFFB" w14:textId="78E4B58D" w:rsidR="000B4F35" w:rsidRPr="00525FC8" w:rsidRDefault="000B4F35" w:rsidP="000B4F35">
      <w:pPr>
        <w:spacing w:before="100" w:beforeAutospacing="1" w:after="100" w:afterAutospacing="1" w:line="240" w:lineRule="auto"/>
        <w:outlineLvl w:val="2"/>
        <w:rPr>
          <w:rFonts w:cstheme="minorHAnsi"/>
          <w:b/>
          <w:bCs/>
          <w:color w:val="4F6228"/>
          <w:sz w:val="32"/>
          <w:szCs w:val="32"/>
          <w:lang w:eastAsia="sk-SK"/>
        </w:rPr>
      </w:pPr>
      <w:r w:rsidRPr="00525FC8">
        <w:rPr>
          <w:rFonts w:cstheme="minorHAnsi"/>
          <w:b/>
          <w:bCs/>
          <w:color w:val="4F6228"/>
          <w:sz w:val="32"/>
          <w:szCs w:val="32"/>
          <w:lang w:eastAsia="sk-SK"/>
        </w:rPr>
        <w:t xml:space="preserve">Podprogram 1.7: </w:t>
      </w:r>
      <w:proofErr w:type="spellStart"/>
      <w:r w:rsidRPr="00525FC8">
        <w:rPr>
          <w:rFonts w:cstheme="minorHAnsi"/>
          <w:b/>
          <w:bCs/>
          <w:color w:val="4F6228"/>
          <w:sz w:val="32"/>
          <w:szCs w:val="32"/>
          <w:lang w:eastAsia="sk-SK"/>
        </w:rPr>
        <w:t>Interact</w:t>
      </w:r>
      <w:proofErr w:type="spellEnd"/>
      <w:r w:rsidRPr="00525FC8">
        <w:rPr>
          <w:rFonts w:cstheme="minorHAnsi"/>
          <w:b/>
          <w:bCs/>
          <w:color w:val="4F6228"/>
          <w:sz w:val="32"/>
          <w:szCs w:val="32"/>
          <w:lang w:eastAsia="sk-SK"/>
        </w:rPr>
        <w:t xml:space="preserve"> III</w:t>
      </w:r>
      <w:r>
        <w:rPr>
          <w:rFonts w:cstheme="minorHAnsi"/>
          <w:b/>
          <w:bCs/>
          <w:color w:val="4F6228"/>
          <w:sz w:val="32"/>
          <w:szCs w:val="32"/>
          <w:lang w:eastAsia="sk-SK"/>
        </w:rPr>
        <w:t xml:space="preserve"> </w:t>
      </w:r>
    </w:p>
    <w:p w14:paraId="38955F27" w14:textId="77777777" w:rsidR="000B4F35" w:rsidRPr="00BE3F10" w:rsidRDefault="000B4F35" w:rsidP="000B4F35">
      <w:pPr>
        <w:pStyle w:val="Normlnywebov"/>
        <w:jc w:val="both"/>
        <w:rPr>
          <w:rFonts w:asciiTheme="minorHAnsi" w:hAnsiTheme="minorHAnsi" w:cstheme="minorHAnsi"/>
        </w:rPr>
      </w:pPr>
      <w:r w:rsidRPr="00BE3F10">
        <w:rPr>
          <w:rFonts w:asciiTheme="minorHAnsi" w:hAnsiTheme="minorHAnsi" w:cstheme="minorHAnsi"/>
          <w:b/>
          <w:bCs/>
        </w:rPr>
        <w:t xml:space="preserve">Zámer: </w:t>
      </w:r>
      <w:r w:rsidRPr="001C41F1">
        <w:rPr>
          <w:rFonts w:asciiTheme="minorHAnsi" w:hAnsiTheme="minorHAnsi" w:cstheme="minorHAnsi"/>
          <w:sz w:val="22"/>
          <w:szCs w:val="22"/>
        </w:rPr>
        <w:t xml:space="preserve">INTERACT III vznikol s cieľom posilniť inštitucionálne kapacity orgánov verejnej správy a zainteresovaných strán a efektivity verejnej správy podporovaním výmeny skúseností týkajúcich sa identifikácie, prenosu a šírenia osvedčených postupov a inovatívnych prístupov v súvislosti s realizáciou programov územnej spolupráce (EÚS) a činnosťami súvisiacimi s územnou spoluprácou a využitím Európskych združení európskej spolupráce (EZÚS). INTERACT III je program spolufinancovaný EFRR a pokrýva celé územie Únie, Nórska a Švajčiarska. Program spolupráce INTERACT III sa zameriava na 3 konkrétne ciele: a) zlepšiť riadiace a kontrolné kapacity programov EÚS; b) zlepšiť kapacitu EÚS pri šírení a propagácii programových výsledkov; c) zlepšiť schopnosť implementácie inovatívnych prístupov (EZÚS, revolvingové fondy, </w:t>
      </w:r>
      <w:proofErr w:type="spellStart"/>
      <w:r w:rsidRPr="001C41F1">
        <w:rPr>
          <w:rFonts w:asciiTheme="minorHAnsi" w:hAnsiTheme="minorHAnsi" w:cstheme="minorHAnsi"/>
          <w:sz w:val="22"/>
          <w:szCs w:val="22"/>
        </w:rPr>
        <w:t>makroregionálne</w:t>
      </w:r>
      <w:proofErr w:type="spellEnd"/>
      <w:r w:rsidRPr="001C41F1">
        <w:rPr>
          <w:rFonts w:asciiTheme="minorHAnsi" w:hAnsiTheme="minorHAnsi" w:cstheme="minorHAnsi"/>
          <w:sz w:val="22"/>
          <w:szCs w:val="22"/>
        </w:rPr>
        <w:t xml:space="preserve"> stratégie (MRS), článok 96 všeobecného nariadenia, IÚI atď.). Svoje služby poskytuje prostredníctvom kontaktných bodov vo Viedni, Valencii, </w:t>
      </w:r>
      <w:proofErr w:type="spellStart"/>
      <w:r w:rsidRPr="001C41F1">
        <w:rPr>
          <w:rFonts w:asciiTheme="minorHAnsi" w:hAnsiTheme="minorHAnsi" w:cstheme="minorHAnsi"/>
          <w:sz w:val="22"/>
          <w:szCs w:val="22"/>
        </w:rPr>
        <w:t>Turku</w:t>
      </w:r>
      <w:proofErr w:type="spellEnd"/>
      <w:r w:rsidRPr="001C41F1">
        <w:rPr>
          <w:rFonts w:asciiTheme="minorHAnsi" w:hAnsiTheme="minorHAnsi" w:cstheme="minorHAnsi"/>
          <w:sz w:val="22"/>
          <w:szCs w:val="22"/>
        </w:rPr>
        <w:t xml:space="preserve"> a vo </w:t>
      </w:r>
      <w:proofErr w:type="spellStart"/>
      <w:r w:rsidRPr="001C41F1">
        <w:rPr>
          <w:rFonts w:asciiTheme="minorHAnsi" w:hAnsiTheme="minorHAnsi" w:cstheme="minorHAnsi"/>
          <w:sz w:val="22"/>
          <w:szCs w:val="22"/>
        </w:rPr>
        <w:t>Viborgu</w:t>
      </w:r>
      <w:proofErr w:type="spellEnd"/>
      <w:r w:rsidRPr="001C41F1">
        <w:rPr>
          <w:rFonts w:asciiTheme="minorHAnsi" w:hAnsiTheme="minorHAnsi" w:cstheme="minorHAnsi"/>
          <w:sz w:val="22"/>
          <w:szCs w:val="22"/>
        </w:rPr>
        <w:t>.</w:t>
      </w:r>
      <w:r w:rsidRPr="00BE3F10">
        <w:rPr>
          <w:rFonts w:asciiTheme="minorHAnsi" w:hAnsiTheme="minorHAnsi" w:cstheme="minorHAnsi"/>
          <w:noProof/>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84"/>
        <w:gridCol w:w="2314"/>
        <w:gridCol w:w="1568"/>
        <w:gridCol w:w="1290"/>
        <w:gridCol w:w="1183"/>
        <w:gridCol w:w="1341"/>
        <w:gridCol w:w="1986"/>
      </w:tblGrid>
      <w:tr w:rsidR="000B4F35" w:rsidRPr="00525FC8" w14:paraId="4A1AD563" w14:textId="77777777" w:rsidTr="000B4F35">
        <w:trPr>
          <w:trHeight w:val="959"/>
          <w:tblCellSpacing w:w="15" w:type="dxa"/>
        </w:trPr>
        <w:tc>
          <w:tcPr>
            <w:tcW w:w="353" w:type="pct"/>
            <w:shd w:val="clear" w:color="auto" w:fill="C6DBF7"/>
            <w:vAlign w:val="center"/>
            <w:hideMark/>
          </w:tcPr>
          <w:p w14:paraId="55703561" w14:textId="77777777" w:rsidR="000B4F35" w:rsidRPr="00525FC8" w:rsidRDefault="000B4F35" w:rsidP="000B4F35">
            <w:pPr>
              <w:jc w:val="center"/>
              <w:rPr>
                <w:sz w:val="24"/>
                <w:szCs w:val="24"/>
              </w:rPr>
            </w:pPr>
            <w:r w:rsidRPr="00525FC8">
              <w:rPr>
                <w:b/>
                <w:bCs/>
                <w:sz w:val="20"/>
                <w:szCs w:val="20"/>
              </w:rPr>
              <w:t>Kód EK</w:t>
            </w:r>
          </w:p>
        </w:tc>
        <w:tc>
          <w:tcPr>
            <w:tcW w:w="1090" w:type="pct"/>
            <w:shd w:val="clear" w:color="auto" w:fill="C6DBF7"/>
            <w:vAlign w:val="center"/>
            <w:hideMark/>
          </w:tcPr>
          <w:p w14:paraId="4CBCBEC0" w14:textId="77777777" w:rsidR="000B4F35" w:rsidRPr="00525FC8" w:rsidRDefault="000B4F35" w:rsidP="000B4F35">
            <w:pPr>
              <w:jc w:val="center"/>
              <w:rPr>
                <w:sz w:val="24"/>
                <w:szCs w:val="24"/>
              </w:rPr>
            </w:pPr>
            <w:r w:rsidRPr="00525FC8">
              <w:rPr>
                <w:b/>
                <w:bCs/>
                <w:sz w:val="20"/>
                <w:szCs w:val="20"/>
              </w:rPr>
              <w:t>Ekonomická klasifikácia</w:t>
            </w:r>
          </w:p>
        </w:tc>
        <w:tc>
          <w:tcPr>
            <w:tcW w:w="734" w:type="pct"/>
            <w:shd w:val="clear" w:color="auto" w:fill="C6DBF7"/>
            <w:vAlign w:val="center"/>
            <w:hideMark/>
          </w:tcPr>
          <w:p w14:paraId="7FEEB6E5" w14:textId="77777777" w:rsidR="000B4F35" w:rsidRPr="00525FC8" w:rsidRDefault="000B4F35" w:rsidP="000B4F35">
            <w:pPr>
              <w:jc w:val="center"/>
              <w:rPr>
                <w:sz w:val="24"/>
                <w:szCs w:val="24"/>
              </w:rPr>
            </w:pPr>
            <w:r w:rsidRPr="00525FC8">
              <w:rPr>
                <w:b/>
                <w:bCs/>
                <w:sz w:val="20"/>
                <w:szCs w:val="20"/>
              </w:rPr>
              <w:t>Schválený</w:t>
            </w:r>
            <w:r w:rsidRPr="00525FC8">
              <w:rPr>
                <w:b/>
                <w:bCs/>
                <w:sz w:val="20"/>
                <w:szCs w:val="20"/>
              </w:rPr>
              <w:br/>
              <w:t>rozpočet</w:t>
            </w:r>
            <w:r w:rsidRPr="00525FC8">
              <w:rPr>
                <w:b/>
                <w:bCs/>
                <w:sz w:val="20"/>
                <w:szCs w:val="20"/>
              </w:rPr>
              <w:br/>
              <w:t>v EUR</w:t>
            </w:r>
          </w:p>
        </w:tc>
        <w:tc>
          <w:tcPr>
            <w:tcW w:w="601" w:type="pct"/>
            <w:shd w:val="clear" w:color="auto" w:fill="C6DBF7"/>
            <w:vAlign w:val="center"/>
            <w:hideMark/>
          </w:tcPr>
          <w:p w14:paraId="03EB65A8" w14:textId="77777777" w:rsidR="000B4F35" w:rsidRPr="00525FC8" w:rsidRDefault="000B4F35" w:rsidP="000B4F35">
            <w:pPr>
              <w:jc w:val="center"/>
              <w:rPr>
                <w:sz w:val="24"/>
                <w:szCs w:val="24"/>
              </w:rPr>
            </w:pPr>
            <w:r w:rsidRPr="00525FC8">
              <w:rPr>
                <w:b/>
                <w:bCs/>
                <w:sz w:val="20"/>
                <w:szCs w:val="20"/>
              </w:rPr>
              <w:t>Zmenený</w:t>
            </w:r>
            <w:r w:rsidRPr="00525FC8">
              <w:rPr>
                <w:b/>
                <w:bCs/>
                <w:sz w:val="20"/>
                <w:szCs w:val="20"/>
              </w:rPr>
              <w:br/>
              <w:t>rozpočet</w:t>
            </w:r>
            <w:r w:rsidRPr="00525FC8">
              <w:rPr>
                <w:b/>
                <w:bCs/>
                <w:sz w:val="20"/>
                <w:szCs w:val="20"/>
              </w:rPr>
              <w:br/>
              <w:t>v EUR</w:t>
            </w:r>
          </w:p>
        </w:tc>
        <w:tc>
          <w:tcPr>
            <w:tcW w:w="550" w:type="pct"/>
            <w:shd w:val="clear" w:color="auto" w:fill="C6DBF7"/>
            <w:vAlign w:val="center"/>
            <w:hideMark/>
          </w:tcPr>
          <w:p w14:paraId="78A7983F" w14:textId="77777777" w:rsidR="000B4F35" w:rsidRPr="00525FC8" w:rsidRDefault="000B4F35" w:rsidP="000B4F35">
            <w:pPr>
              <w:jc w:val="center"/>
              <w:rPr>
                <w:sz w:val="24"/>
                <w:szCs w:val="24"/>
              </w:rPr>
            </w:pPr>
            <w:r w:rsidRPr="00525FC8">
              <w:rPr>
                <w:b/>
                <w:bCs/>
                <w:sz w:val="20"/>
                <w:szCs w:val="20"/>
              </w:rPr>
              <w:t>Čerpanie</w:t>
            </w:r>
            <w:r w:rsidRPr="00525FC8">
              <w:rPr>
                <w:b/>
                <w:bCs/>
                <w:sz w:val="20"/>
                <w:szCs w:val="20"/>
              </w:rPr>
              <w:br/>
              <w:t>v EUR</w:t>
            </w:r>
          </w:p>
        </w:tc>
        <w:tc>
          <w:tcPr>
            <w:tcW w:w="626" w:type="pct"/>
            <w:shd w:val="clear" w:color="auto" w:fill="C6DBF7"/>
            <w:vAlign w:val="center"/>
            <w:hideMark/>
          </w:tcPr>
          <w:p w14:paraId="5088AE42" w14:textId="77777777" w:rsidR="000B4F35" w:rsidRPr="00525FC8" w:rsidRDefault="000B4F35" w:rsidP="000B4F35">
            <w:pPr>
              <w:jc w:val="center"/>
              <w:rPr>
                <w:sz w:val="24"/>
                <w:szCs w:val="24"/>
              </w:rPr>
            </w:pPr>
            <w:r w:rsidRPr="00525FC8">
              <w:rPr>
                <w:b/>
                <w:bCs/>
                <w:sz w:val="20"/>
                <w:szCs w:val="20"/>
              </w:rPr>
              <w:t>Čerpanie</w:t>
            </w:r>
            <w:r w:rsidRPr="00525FC8">
              <w:rPr>
                <w:b/>
                <w:bCs/>
                <w:sz w:val="20"/>
                <w:szCs w:val="20"/>
              </w:rPr>
              <w:br/>
              <w:t xml:space="preserve">k </w:t>
            </w:r>
            <w:proofErr w:type="spellStart"/>
            <w:r w:rsidRPr="00525FC8">
              <w:rPr>
                <w:b/>
                <w:bCs/>
                <w:sz w:val="20"/>
                <w:szCs w:val="20"/>
              </w:rPr>
              <w:t>zmen</w:t>
            </w:r>
            <w:proofErr w:type="spellEnd"/>
            <w:r w:rsidRPr="00525FC8">
              <w:rPr>
                <w:b/>
                <w:bCs/>
                <w:sz w:val="20"/>
                <w:szCs w:val="20"/>
              </w:rPr>
              <w:t xml:space="preserve">. </w:t>
            </w:r>
            <w:proofErr w:type="spellStart"/>
            <w:r w:rsidRPr="00525FC8">
              <w:rPr>
                <w:b/>
                <w:bCs/>
                <w:sz w:val="20"/>
                <w:szCs w:val="20"/>
              </w:rPr>
              <w:t>rozp</w:t>
            </w:r>
            <w:proofErr w:type="spellEnd"/>
            <w:r w:rsidRPr="00525FC8">
              <w:rPr>
                <w:b/>
                <w:bCs/>
                <w:sz w:val="20"/>
                <w:szCs w:val="20"/>
              </w:rPr>
              <w:t>.</w:t>
            </w:r>
            <w:r w:rsidRPr="00525FC8">
              <w:rPr>
                <w:b/>
                <w:bCs/>
                <w:sz w:val="20"/>
                <w:szCs w:val="20"/>
              </w:rPr>
              <w:br/>
              <w:t>v %</w:t>
            </w:r>
          </w:p>
        </w:tc>
        <w:tc>
          <w:tcPr>
            <w:tcW w:w="926" w:type="pct"/>
            <w:shd w:val="clear" w:color="auto" w:fill="C6DBF7"/>
            <w:vAlign w:val="center"/>
            <w:hideMark/>
          </w:tcPr>
          <w:p w14:paraId="2692001B" w14:textId="77777777" w:rsidR="000B4F35" w:rsidRPr="00525FC8" w:rsidRDefault="000B4F35" w:rsidP="000B4F35">
            <w:pPr>
              <w:jc w:val="center"/>
              <w:rPr>
                <w:sz w:val="24"/>
                <w:szCs w:val="24"/>
              </w:rPr>
            </w:pPr>
            <w:r w:rsidRPr="00525FC8">
              <w:rPr>
                <w:b/>
                <w:bCs/>
                <w:sz w:val="20"/>
                <w:szCs w:val="20"/>
              </w:rPr>
              <w:t>Zmeny rozpočtu</w:t>
            </w:r>
          </w:p>
        </w:tc>
      </w:tr>
      <w:tr w:rsidR="000B4F35" w:rsidRPr="00525FC8" w14:paraId="7792BDF9" w14:textId="77777777" w:rsidTr="000B4F35">
        <w:trPr>
          <w:trHeight w:hRule="exact" w:val="340"/>
          <w:tblCellSpacing w:w="15" w:type="dxa"/>
        </w:trPr>
        <w:tc>
          <w:tcPr>
            <w:tcW w:w="353" w:type="pct"/>
            <w:shd w:val="clear" w:color="auto" w:fill="D9D9D9"/>
            <w:noWrap/>
            <w:vAlign w:val="center"/>
            <w:hideMark/>
          </w:tcPr>
          <w:p w14:paraId="02791F0B" w14:textId="77777777" w:rsidR="000B4F35" w:rsidRPr="00525FC8" w:rsidRDefault="000B4F35" w:rsidP="000B4F35">
            <w:pPr>
              <w:rPr>
                <w:sz w:val="24"/>
                <w:szCs w:val="24"/>
              </w:rPr>
            </w:pPr>
          </w:p>
        </w:tc>
        <w:tc>
          <w:tcPr>
            <w:tcW w:w="1090" w:type="pct"/>
            <w:shd w:val="clear" w:color="auto" w:fill="D9D9D9"/>
            <w:vAlign w:val="center"/>
            <w:hideMark/>
          </w:tcPr>
          <w:p w14:paraId="7BA8A7EF" w14:textId="77777777" w:rsidR="000B4F35" w:rsidRPr="00525FC8" w:rsidRDefault="000B4F35" w:rsidP="000B4F35">
            <w:pPr>
              <w:rPr>
                <w:sz w:val="24"/>
                <w:szCs w:val="24"/>
              </w:rPr>
            </w:pPr>
            <w:r w:rsidRPr="00525FC8">
              <w:rPr>
                <w:b/>
                <w:bCs/>
                <w:sz w:val="20"/>
                <w:szCs w:val="20"/>
              </w:rPr>
              <w:t>Výdavky celkom</w:t>
            </w:r>
            <w:r w:rsidRPr="00525FC8">
              <w:t xml:space="preserve"> </w:t>
            </w:r>
          </w:p>
        </w:tc>
        <w:tc>
          <w:tcPr>
            <w:tcW w:w="734" w:type="pct"/>
            <w:shd w:val="clear" w:color="auto" w:fill="D9D9D9"/>
            <w:noWrap/>
            <w:vAlign w:val="center"/>
            <w:hideMark/>
          </w:tcPr>
          <w:p w14:paraId="103F6BD9" w14:textId="77777777" w:rsidR="000B4F35" w:rsidRPr="008121E6" w:rsidRDefault="000B4F35" w:rsidP="000B4F35">
            <w:pPr>
              <w:jc w:val="right"/>
              <w:rPr>
                <w:color w:val="FF0000"/>
                <w:sz w:val="24"/>
                <w:szCs w:val="24"/>
              </w:rPr>
            </w:pPr>
            <w:r w:rsidRPr="008121E6">
              <w:rPr>
                <w:b/>
                <w:bCs/>
                <w:color w:val="000000" w:themeColor="text1"/>
                <w:sz w:val="20"/>
                <w:szCs w:val="20"/>
              </w:rPr>
              <w:t>1 </w:t>
            </w:r>
            <w:r>
              <w:rPr>
                <w:b/>
                <w:bCs/>
                <w:color w:val="000000" w:themeColor="text1"/>
                <w:sz w:val="20"/>
                <w:szCs w:val="20"/>
              </w:rPr>
              <w:t>046</w:t>
            </w:r>
            <w:r w:rsidRPr="008121E6">
              <w:rPr>
                <w:b/>
                <w:bCs/>
                <w:color w:val="000000" w:themeColor="text1"/>
                <w:sz w:val="20"/>
                <w:szCs w:val="20"/>
              </w:rPr>
              <w:t xml:space="preserve"> </w:t>
            </w:r>
            <w:r>
              <w:rPr>
                <w:b/>
                <w:bCs/>
                <w:color w:val="000000" w:themeColor="text1"/>
                <w:sz w:val="20"/>
                <w:szCs w:val="20"/>
              </w:rPr>
              <w:t>217</w:t>
            </w:r>
            <w:r w:rsidRPr="008121E6">
              <w:rPr>
                <w:b/>
                <w:bCs/>
                <w:color w:val="000000" w:themeColor="text1"/>
                <w:sz w:val="20"/>
                <w:szCs w:val="20"/>
              </w:rPr>
              <w:t>,</w:t>
            </w:r>
            <w:r>
              <w:rPr>
                <w:b/>
                <w:bCs/>
                <w:color w:val="000000" w:themeColor="text1"/>
                <w:sz w:val="20"/>
                <w:szCs w:val="20"/>
              </w:rPr>
              <w:t>83</w:t>
            </w:r>
          </w:p>
        </w:tc>
        <w:tc>
          <w:tcPr>
            <w:tcW w:w="601" w:type="pct"/>
            <w:shd w:val="clear" w:color="auto" w:fill="D9D9D9"/>
            <w:noWrap/>
            <w:vAlign w:val="center"/>
            <w:hideMark/>
          </w:tcPr>
          <w:p w14:paraId="6C191D26" w14:textId="77777777" w:rsidR="000B4F35" w:rsidRPr="008121E6" w:rsidRDefault="000B4F35" w:rsidP="000B4F35">
            <w:pPr>
              <w:jc w:val="right"/>
              <w:rPr>
                <w:color w:val="FF0000"/>
                <w:sz w:val="24"/>
                <w:szCs w:val="24"/>
              </w:rPr>
            </w:pPr>
            <w:r w:rsidRPr="008121E6">
              <w:rPr>
                <w:b/>
                <w:bCs/>
                <w:color w:val="000000" w:themeColor="text1"/>
                <w:sz w:val="20"/>
                <w:szCs w:val="20"/>
              </w:rPr>
              <w:t>1 </w:t>
            </w:r>
            <w:r>
              <w:rPr>
                <w:b/>
                <w:bCs/>
                <w:color w:val="000000" w:themeColor="text1"/>
                <w:sz w:val="20"/>
                <w:szCs w:val="20"/>
              </w:rPr>
              <w:t>079</w:t>
            </w:r>
            <w:r w:rsidRPr="008121E6">
              <w:rPr>
                <w:b/>
                <w:bCs/>
                <w:color w:val="000000" w:themeColor="text1"/>
                <w:sz w:val="20"/>
                <w:szCs w:val="20"/>
              </w:rPr>
              <w:t xml:space="preserve"> </w:t>
            </w:r>
            <w:r>
              <w:rPr>
                <w:b/>
                <w:bCs/>
                <w:color w:val="000000" w:themeColor="text1"/>
                <w:sz w:val="20"/>
                <w:szCs w:val="20"/>
              </w:rPr>
              <w:t>453</w:t>
            </w:r>
            <w:r w:rsidRPr="008121E6">
              <w:rPr>
                <w:b/>
                <w:bCs/>
                <w:color w:val="000000" w:themeColor="text1"/>
                <w:sz w:val="20"/>
                <w:szCs w:val="20"/>
              </w:rPr>
              <w:t>,</w:t>
            </w:r>
            <w:r>
              <w:rPr>
                <w:b/>
                <w:bCs/>
                <w:color w:val="000000" w:themeColor="text1"/>
                <w:sz w:val="20"/>
                <w:szCs w:val="20"/>
              </w:rPr>
              <w:t>74</w:t>
            </w:r>
          </w:p>
        </w:tc>
        <w:tc>
          <w:tcPr>
            <w:tcW w:w="550" w:type="pct"/>
            <w:shd w:val="clear" w:color="auto" w:fill="D9D9D9"/>
            <w:noWrap/>
            <w:vAlign w:val="center"/>
            <w:hideMark/>
          </w:tcPr>
          <w:p w14:paraId="1A803949" w14:textId="77777777" w:rsidR="000B4F35" w:rsidRPr="008121E6" w:rsidRDefault="000B4F35" w:rsidP="000B4F35">
            <w:pPr>
              <w:jc w:val="right"/>
              <w:rPr>
                <w:color w:val="FF0000"/>
                <w:sz w:val="24"/>
                <w:szCs w:val="24"/>
              </w:rPr>
            </w:pPr>
            <w:r w:rsidRPr="008121E6">
              <w:rPr>
                <w:b/>
                <w:bCs/>
                <w:color w:val="000000" w:themeColor="text1"/>
                <w:sz w:val="20"/>
                <w:szCs w:val="20"/>
              </w:rPr>
              <w:t xml:space="preserve"> </w:t>
            </w:r>
            <w:r>
              <w:rPr>
                <w:b/>
                <w:bCs/>
                <w:color w:val="000000" w:themeColor="text1"/>
                <w:sz w:val="20"/>
                <w:szCs w:val="20"/>
              </w:rPr>
              <w:t>567 680,24</w:t>
            </w:r>
          </w:p>
        </w:tc>
        <w:tc>
          <w:tcPr>
            <w:tcW w:w="626" w:type="pct"/>
            <w:shd w:val="clear" w:color="auto" w:fill="D9D9D9"/>
            <w:noWrap/>
            <w:vAlign w:val="center"/>
            <w:hideMark/>
          </w:tcPr>
          <w:p w14:paraId="4422705F" w14:textId="77777777" w:rsidR="000B4F35" w:rsidRPr="008121E6" w:rsidRDefault="000B4F35" w:rsidP="000B4F35">
            <w:pPr>
              <w:jc w:val="right"/>
              <w:rPr>
                <w:color w:val="FF0000"/>
                <w:sz w:val="24"/>
                <w:szCs w:val="24"/>
              </w:rPr>
            </w:pPr>
            <w:r>
              <w:rPr>
                <w:b/>
                <w:bCs/>
                <w:color w:val="000000" w:themeColor="text1"/>
                <w:sz w:val="20"/>
                <w:szCs w:val="20"/>
              </w:rPr>
              <w:t>52,59</w:t>
            </w:r>
          </w:p>
        </w:tc>
        <w:tc>
          <w:tcPr>
            <w:tcW w:w="926" w:type="pct"/>
            <w:vMerge w:val="restart"/>
            <w:shd w:val="clear" w:color="auto" w:fill="D9D9D9"/>
            <w:vAlign w:val="center"/>
            <w:hideMark/>
          </w:tcPr>
          <w:p w14:paraId="2873A353" w14:textId="42519AF8" w:rsidR="00BE7F8B" w:rsidRDefault="00BE7F8B" w:rsidP="000B4F35">
            <w:pPr>
              <w:spacing w:after="0" w:line="240" w:lineRule="auto"/>
              <w:rPr>
                <w:rFonts w:cstheme="minorHAnsi"/>
                <w:sz w:val="20"/>
                <w:szCs w:val="20"/>
              </w:rPr>
            </w:pPr>
            <w:r>
              <w:rPr>
                <w:rFonts w:cstheme="minorHAnsi"/>
                <w:b/>
                <w:bCs/>
                <w:sz w:val="20"/>
                <w:szCs w:val="20"/>
              </w:rPr>
              <w:t>+32 090,30</w:t>
            </w:r>
            <w:r w:rsidR="000B4F35" w:rsidRPr="000B4F35">
              <w:rPr>
                <w:rFonts w:cstheme="minorHAnsi"/>
                <w:b/>
                <w:bCs/>
                <w:sz w:val="20"/>
                <w:szCs w:val="20"/>
              </w:rPr>
              <w:t xml:space="preserve"> EUR</w:t>
            </w:r>
            <w:r w:rsidR="000B4F35">
              <w:rPr>
                <w:rFonts w:cstheme="minorHAnsi"/>
                <w:sz w:val="20"/>
                <w:szCs w:val="20"/>
              </w:rPr>
              <w:t xml:space="preserve"> navýšenie rozpočtu</w:t>
            </w:r>
            <w:r>
              <w:rPr>
                <w:rFonts w:cstheme="minorHAnsi"/>
                <w:sz w:val="20"/>
                <w:szCs w:val="20"/>
              </w:rPr>
              <w:t xml:space="preserve"> o </w:t>
            </w:r>
            <w:r w:rsidRPr="00BE7F8B">
              <w:rPr>
                <w:rFonts w:cstheme="minorHAnsi"/>
                <w:sz w:val="20"/>
                <w:szCs w:val="20"/>
              </w:rPr>
              <w:t>nevyčerpané FP z</w:t>
            </w:r>
            <w:r>
              <w:rPr>
                <w:rFonts w:cstheme="minorHAnsi"/>
                <w:sz w:val="20"/>
                <w:szCs w:val="20"/>
              </w:rPr>
              <w:t> </w:t>
            </w:r>
            <w:r w:rsidRPr="00BE7F8B">
              <w:rPr>
                <w:rFonts w:cstheme="minorHAnsi"/>
                <w:sz w:val="20"/>
                <w:szCs w:val="20"/>
              </w:rPr>
              <w:t>r</w:t>
            </w:r>
            <w:r>
              <w:rPr>
                <w:rFonts w:cstheme="minorHAnsi"/>
                <w:sz w:val="20"/>
                <w:szCs w:val="20"/>
              </w:rPr>
              <w:t xml:space="preserve">oku </w:t>
            </w:r>
            <w:r w:rsidRPr="00BE7F8B">
              <w:rPr>
                <w:rFonts w:cstheme="minorHAnsi"/>
                <w:sz w:val="20"/>
                <w:szCs w:val="20"/>
              </w:rPr>
              <w:t>2019</w:t>
            </w:r>
            <w:r>
              <w:rPr>
                <w:rFonts w:cstheme="minorHAnsi"/>
                <w:sz w:val="20"/>
                <w:szCs w:val="20"/>
              </w:rPr>
              <w:t>,</w:t>
            </w:r>
          </w:p>
          <w:p w14:paraId="783DD7F5" w14:textId="22E0E736" w:rsidR="000B4F35" w:rsidRPr="00335D2D" w:rsidRDefault="00BE7F8B" w:rsidP="000B4F35">
            <w:pPr>
              <w:spacing w:after="0" w:line="240" w:lineRule="auto"/>
              <w:rPr>
                <w:rFonts w:cstheme="minorHAnsi"/>
                <w:sz w:val="20"/>
                <w:szCs w:val="20"/>
              </w:rPr>
            </w:pPr>
            <w:r w:rsidRPr="00BE7F8B">
              <w:rPr>
                <w:rFonts w:cstheme="minorHAnsi"/>
                <w:b/>
                <w:bCs/>
                <w:sz w:val="20"/>
                <w:szCs w:val="20"/>
              </w:rPr>
              <w:t>+</w:t>
            </w:r>
            <w:r w:rsidRPr="00C05CAB">
              <w:rPr>
                <w:rFonts w:cstheme="minorHAnsi"/>
                <w:b/>
                <w:sz w:val="20"/>
                <w:szCs w:val="20"/>
                <w:lang w:eastAsia="sk-SK"/>
              </w:rPr>
              <w:t>1 14</w:t>
            </w:r>
            <w:r>
              <w:rPr>
                <w:rFonts w:cstheme="minorHAnsi"/>
                <w:b/>
                <w:sz w:val="20"/>
                <w:szCs w:val="20"/>
                <w:lang w:eastAsia="sk-SK"/>
              </w:rPr>
              <w:t>5</w:t>
            </w:r>
            <w:r w:rsidRPr="00C05CAB">
              <w:rPr>
                <w:rFonts w:cstheme="minorHAnsi"/>
                <w:b/>
                <w:sz w:val="20"/>
                <w:szCs w:val="20"/>
                <w:lang w:eastAsia="sk-SK"/>
              </w:rPr>
              <w:t>,</w:t>
            </w:r>
            <w:r>
              <w:rPr>
                <w:rFonts w:cstheme="minorHAnsi"/>
                <w:b/>
                <w:sz w:val="20"/>
                <w:szCs w:val="20"/>
                <w:lang w:eastAsia="sk-SK"/>
              </w:rPr>
              <w:t>6</w:t>
            </w:r>
            <w:r w:rsidRPr="00C05CAB">
              <w:rPr>
                <w:rFonts w:cstheme="minorHAnsi"/>
                <w:b/>
                <w:sz w:val="20"/>
                <w:szCs w:val="20"/>
                <w:lang w:eastAsia="sk-SK"/>
              </w:rPr>
              <w:t>1 EUR</w:t>
            </w:r>
            <w:r w:rsidRPr="000B4F35">
              <w:rPr>
                <w:rFonts w:cstheme="minorHAnsi"/>
                <w:bCs/>
                <w:sz w:val="20"/>
                <w:szCs w:val="20"/>
                <w:lang w:eastAsia="sk-SK"/>
              </w:rPr>
              <w:t xml:space="preserve"> </w:t>
            </w:r>
            <w:r>
              <w:rPr>
                <w:rFonts w:cstheme="minorHAnsi"/>
                <w:bCs/>
                <w:sz w:val="20"/>
                <w:szCs w:val="20"/>
                <w:lang w:eastAsia="sk-SK"/>
              </w:rPr>
              <w:t>presun z PK 1.5</w:t>
            </w:r>
          </w:p>
        </w:tc>
      </w:tr>
      <w:tr w:rsidR="000B4F35" w:rsidRPr="00525FC8" w14:paraId="1654BF6C" w14:textId="77777777" w:rsidTr="000B4F35">
        <w:trPr>
          <w:trHeight w:hRule="exact" w:val="340"/>
          <w:tblCellSpacing w:w="15" w:type="dxa"/>
        </w:trPr>
        <w:tc>
          <w:tcPr>
            <w:tcW w:w="353" w:type="pct"/>
            <w:shd w:val="clear" w:color="auto" w:fill="D9D9D9"/>
            <w:noWrap/>
            <w:vAlign w:val="center"/>
            <w:hideMark/>
          </w:tcPr>
          <w:p w14:paraId="538EEFEB" w14:textId="77777777" w:rsidR="000B4F35" w:rsidRPr="00525FC8" w:rsidRDefault="000B4F35" w:rsidP="000B4F35">
            <w:pPr>
              <w:rPr>
                <w:sz w:val="24"/>
                <w:szCs w:val="24"/>
              </w:rPr>
            </w:pPr>
            <w:r w:rsidRPr="00525FC8">
              <w:rPr>
                <w:b/>
                <w:bCs/>
                <w:sz w:val="20"/>
                <w:szCs w:val="20"/>
              </w:rPr>
              <w:t>600</w:t>
            </w:r>
            <w:r w:rsidRPr="00525FC8">
              <w:t xml:space="preserve"> </w:t>
            </w:r>
          </w:p>
        </w:tc>
        <w:tc>
          <w:tcPr>
            <w:tcW w:w="1090" w:type="pct"/>
            <w:shd w:val="clear" w:color="auto" w:fill="D9D9D9"/>
            <w:vAlign w:val="center"/>
            <w:hideMark/>
          </w:tcPr>
          <w:p w14:paraId="2D96EAF5" w14:textId="77777777" w:rsidR="000B4F35" w:rsidRPr="00525FC8" w:rsidRDefault="000B4F35" w:rsidP="000B4F35">
            <w:pPr>
              <w:rPr>
                <w:sz w:val="24"/>
                <w:szCs w:val="24"/>
              </w:rPr>
            </w:pPr>
            <w:r w:rsidRPr="00525FC8">
              <w:rPr>
                <w:b/>
                <w:bCs/>
                <w:sz w:val="20"/>
                <w:szCs w:val="20"/>
              </w:rPr>
              <w:t>Bežné výdavky</w:t>
            </w:r>
            <w:r w:rsidRPr="00525FC8">
              <w:t xml:space="preserve"> </w:t>
            </w:r>
          </w:p>
        </w:tc>
        <w:tc>
          <w:tcPr>
            <w:tcW w:w="734" w:type="pct"/>
            <w:shd w:val="clear" w:color="auto" w:fill="D9D9D9"/>
            <w:noWrap/>
            <w:vAlign w:val="center"/>
            <w:hideMark/>
          </w:tcPr>
          <w:p w14:paraId="11C071A7" w14:textId="77777777" w:rsidR="000B4F35" w:rsidRPr="008121E6" w:rsidRDefault="000B4F35" w:rsidP="000B4F35">
            <w:pPr>
              <w:jc w:val="right"/>
              <w:rPr>
                <w:color w:val="FF0000"/>
                <w:sz w:val="24"/>
                <w:szCs w:val="24"/>
              </w:rPr>
            </w:pPr>
            <w:r w:rsidRPr="008121E6">
              <w:rPr>
                <w:b/>
                <w:bCs/>
                <w:color w:val="000000" w:themeColor="text1"/>
                <w:sz w:val="20"/>
                <w:szCs w:val="20"/>
              </w:rPr>
              <w:t>1 </w:t>
            </w:r>
            <w:r>
              <w:rPr>
                <w:b/>
                <w:bCs/>
                <w:color w:val="000000" w:themeColor="text1"/>
                <w:sz w:val="20"/>
                <w:szCs w:val="20"/>
              </w:rPr>
              <w:t>046</w:t>
            </w:r>
            <w:r w:rsidRPr="008121E6">
              <w:rPr>
                <w:b/>
                <w:bCs/>
                <w:color w:val="000000" w:themeColor="text1"/>
                <w:sz w:val="20"/>
                <w:szCs w:val="20"/>
              </w:rPr>
              <w:t xml:space="preserve"> </w:t>
            </w:r>
            <w:r>
              <w:rPr>
                <w:b/>
                <w:bCs/>
                <w:color w:val="000000" w:themeColor="text1"/>
                <w:sz w:val="20"/>
                <w:szCs w:val="20"/>
              </w:rPr>
              <w:t>217</w:t>
            </w:r>
            <w:r w:rsidRPr="008121E6">
              <w:rPr>
                <w:b/>
                <w:bCs/>
                <w:color w:val="000000" w:themeColor="text1"/>
                <w:sz w:val="20"/>
                <w:szCs w:val="20"/>
              </w:rPr>
              <w:t>,</w:t>
            </w:r>
            <w:r>
              <w:rPr>
                <w:b/>
                <w:bCs/>
                <w:color w:val="000000" w:themeColor="text1"/>
                <w:sz w:val="20"/>
                <w:szCs w:val="20"/>
              </w:rPr>
              <w:t>83</w:t>
            </w:r>
          </w:p>
        </w:tc>
        <w:tc>
          <w:tcPr>
            <w:tcW w:w="601" w:type="pct"/>
            <w:shd w:val="clear" w:color="auto" w:fill="D9D9D9"/>
            <w:noWrap/>
            <w:vAlign w:val="center"/>
            <w:hideMark/>
          </w:tcPr>
          <w:p w14:paraId="1ED4D36F" w14:textId="77777777" w:rsidR="000B4F35" w:rsidRPr="008121E6" w:rsidRDefault="000B4F35" w:rsidP="000B4F35">
            <w:pPr>
              <w:jc w:val="right"/>
              <w:rPr>
                <w:color w:val="FF0000"/>
                <w:sz w:val="24"/>
                <w:szCs w:val="24"/>
              </w:rPr>
            </w:pPr>
            <w:r w:rsidRPr="008121E6">
              <w:rPr>
                <w:b/>
                <w:bCs/>
                <w:color w:val="000000" w:themeColor="text1"/>
                <w:sz w:val="20"/>
                <w:szCs w:val="20"/>
              </w:rPr>
              <w:t>1</w:t>
            </w:r>
            <w:r>
              <w:rPr>
                <w:b/>
                <w:bCs/>
                <w:color w:val="000000" w:themeColor="text1"/>
                <w:sz w:val="20"/>
                <w:szCs w:val="20"/>
              </w:rPr>
              <w:t> 058 130,23</w:t>
            </w:r>
          </w:p>
        </w:tc>
        <w:tc>
          <w:tcPr>
            <w:tcW w:w="550" w:type="pct"/>
            <w:shd w:val="clear" w:color="auto" w:fill="D9D9D9"/>
            <w:noWrap/>
            <w:vAlign w:val="center"/>
            <w:hideMark/>
          </w:tcPr>
          <w:p w14:paraId="65C012E7" w14:textId="77777777" w:rsidR="000B4F35" w:rsidRPr="008121E6" w:rsidRDefault="000B4F35" w:rsidP="000B4F35">
            <w:pPr>
              <w:jc w:val="right"/>
              <w:rPr>
                <w:color w:val="000000" w:themeColor="text1"/>
                <w:sz w:val="24"/>
                <w:szCs w:val="24"/>
              </w:rPr>
            </w:pPr>
            <w:r>
              <w:rPr>
                <w:b/>
                <w:bCs/>
                <w:color w:val="000000" w:themeColor="text1"/>
                <w:sz w:val="20"/>
                <w:szCs w:val="20"/>
              </w:rPr>
              <w:t>567 680,24</w:t>
            </w:r>
          </w:p>
        </w:tc>
        <w:tc>
          <w:tcPr>
            <w:tcW w:w="626" w:type="pct"/>
            <w:shd w:val="clear" w:color="auto" w:fill="D9D9D9"/>
            <w:noWrap/>
            <w:vAlign w:val="center"/>
            <w:hideMark/>
          </w:tcPr>
          <w:p w14:paraId="14A20FFF" w14:textId="77777777" w:rsidR="000B4F35" w:rsidRPr="008121E6" w:rsidRDefault="000B4F35" w:rsidP="000B4F35">
            <w:pPr>
              <w:jc w:val="right"/>
              <w:rPr>
                <w:color w:val="FF0000"/>
                <w:sz w:val="24"/>
                <w:szCs w:val="24"/>
              </w:rPr>
            </w:pPr>
            <w:r>
              <w:rPr>
                <w:b/>
                <w:bCs/>
                <w:color w:val="000000" w:themeColor="text1"/>
                <w:sz w:val="20"/>
                <w:szCs w:val="20"/>
              </w:rPr>
              <w:t>53,65</w:t>
            </w:r>
          </w:p>
        </w:tc>
        <w:tc>
          <w:tcPr>
            <w:tcW w:w="926" w:type="pct"/>
            <w:vMerge/>
            <w:shd w:val="clear" w:color="auto" w:fill="D9D9D9"/>
            <w:vAlign w:val="center"/>
            <w:hideMark/>
          </w:tcPr>
          <w:p w14:paraId="284C6894" w14:textId="77777777" w:rsidR="000B4F35" w:rsidRPr="00525FC8" w:rsidRDefault="000B4F35" w:rsidP="000B4F35">
            <w:pPr>
              <w:rPr>
                <w:sz w:val="24"/>
                <w:szCs w:val="24"/>
              </w:rPr>
            </w:pPr>
          </w:p>
        </w:tc>
      </w:tr>
      <w:tr w:rsidR="000B4F35" w:rsidRPr="00525FC8" w14:paraId="6C0D3892" w14:textId="77777777" w:rsidTr="000B4F35">
        <w:trPr>
          <w:trHeight w:hRule="exact" w:val="340"/>
          <w:tblCellSpacing w:w="15" w:type="dxa"/>
        </w:trPr>
        <w:tc>
          <w:tcPr>
            <w:tcW w:w="353" w:type="pct"/>
            <w:shd w:val="clear" w:color="auto" w:fill="EFEFEF"/>
            <w:noWrap/>
            <w:vAlign w:val="center"/>
            <w:hideMark/>
          </w:tcPr>
          <w:p w14:paraId="4C405AEA" w14:textId="77777777" w:rsidR="000B4F35" w:rsidRPr="00525FC8" w:rsidRDefault="000B4F35" w:rsidP="000B4F35">
            <w:pPr>
              <w:rPr>
                <w:sz w:val="24"/>
                <w:szCs w:val="24"/>
              </w:rPr>
            </w:pPr>
            <w:r w:rsidRPr="00525FC8">
              <w:rPr>
                <w:sz w:val="20"/>
                <w:szCs w:val="20"/>
              </w:rPr>
              <w:t>610</w:t>
            </w:r>
            <w:r w:rsidRPr="00525FC8">
              <w:t xml:space="preserve"> </w:t>
            </w:r>
          </w:p>
        </w:tc>
        <w:tc>
          <w:tcPr>
            <w:tcW w:w="1090" w:type="pct"/>
            <w:shd w:val="clear" w:color="auto" w:fill="EFEFEF"/>
            <w:vAlign w:val="center"/>
            <w:hideMark/>
          </w:tcPr>
          <w:p w14:paraId="5BECA430" w14:textId="77777777" w:rsidR="000B4F35" w:rsidRPr="00525FC8" w:rsidRDefault="000B4F35" w:rsidP="000B4F35">
            <w:pPr>
              <w:rPr>
                <w:sz w:val="24"/>
                <w:szCs w:val="24"/>
              </w:rPr>
            </w:pPr>
            <w:r w:rsidRPr="00525FC8">
              <w:rPr>
                <w:sz w:val="20"/>
                <w:szCs w:val="20"/>
              </w:rPr>
              <w:t>Mzdy, platy, ...</w:t>
            </w:r>
            <w:r w:rsidRPr="00525FC8">
              <w:t xml:space="preserve"> </w:t>
            </w:r>
          </w:p>
        </w:tc>
        <w:tc>
          <w:tcPr>
            <w:tcW w:w="734" w:type="pct"/>
            <w:shd w:val="clear" w:color="auto" w:fill="EFEFEF"/>
            <w:noWrap/>
            <w:vAlign w:val="center"/>
            <w:hideMark/>
          </w:tcPr>
          <w:p w14:paraId="2063B5D5" w14:textId="77777777" w:rsidR="000B4F35" w:rsidRPr="008121E6" w:rsidRDefault="000B4F35" w:rsidP="000B4F35">
            <w:pPr>
              <w:jc w:val="right"/>
              <w:rPr>
                <w:color w:val="FF0000"/>
                <w:sz w:val="24"/>
                <w:szCs w:val="24"/>
              </w:rPr>
            </w:pPr>
            <w:r>
              <w:rPr>
                <w:color w:val="000000" w:themeColor="text1"/>
                <w:sz w:val="20"/>
                <w:szCs w:val="20"/>
              </w:rPr>
              <w:t>388 500,03</w:t>
            </w:r>
          </w:p>
        </w:tc>
        <w:tc>
          <w:tcPr>
            <w:tcW w:w="601" w:type="pct"/>
            <w:shd w:val="clear" w:color="auto" w:fill="EFEFEF"/>
            <w:noWrap/>
            <w:vAlign w:val="center"/>
            <w:hideMark/>
          </w:tcPr>
          <w:p w14:paraId="2C43718A" w14:textId="77777777" w:rsidR="000B4F35" w:rsidRPr="008121E6" w:rsidRDefault="000B4F35" w:rsidP="000B4F35">
            <w:pPr>
              <w:jc w:val="right"/>
              <w:rPr>
                <w:color w:val="FF0000"/>
                <w:sz w:val="24"/>
                <w:szCs w:val="24"/>
              </w:rPr>
            </w:pPr>
            <w:r>
              <w:rPr>
                <w:color w:val="000000" w:themeColor="text1"/>
                <w:sz w:val="20"/>
                <w:szCs w:val="20"/>
              </w:rPr>
              <w:t>386 655,47</w:t>
            </w:r>
          </w:p>
        </w:tc>
        <w:tc>
          <w:tcPr>
            <w:tcW w:w="550" w:type="pct"/>
            <w:shd w:val="clear" w:color="auto" w:fill="EFEFEF"/>
            <w:noWrap/>
            <w:vAlign w:val="center"/>
            <w:hideMark/>
          </w:tcPr>
          <w:p w14:paraId="326787B6" w14:textId="77777777" w:rsidR="000B4F35" w:rsidRPr="008121E6" w:rsidRDefault="000B4F35" w:rsidP="000B4F35">
            <w:pPr>
              <w:jc w:val="right"/>
              <w:rPr>
                <w:color w:val="FF0000"/>
                <w:sz w:val="24"/>
                <w:szCs w:val="24"/>
              </w:rPr>
            </w:pPr>
            <w:r>
              <w:rPr>
                <w:color w:val="000000" w:themeColor="text1"/>
                <w:sz w:val="20"/>
                <w:szCs w:val="20"/>
              </w:rPr>
              <w:t>316 423,39</w:t>
            </w:r>
          </w:p>
        </w:tc>
        <w:tc>
          <w:tcPr>
            <w:tcW w:w="626" w:type="pct"/>
            <w:shd w:val="clear" w:color="auto" w:fill="EFEFEF"/>
            <w:noWrap/>
            <w:vAlign w:val="center"/>
            <w:hideMark/>
          </w:tcPr>
          <w:p w14:paraId="48CE1D05" w14:textId="77777777" w:rsidR="000B4F35" w:rsidRPr="008121E6" w:rsidRDefault="000B4F35" w:rsidP="000B4F35">
            <w:pPr>
              <w:jc w:val="right"/>
              <w:rPr>
                <w:color w:val="FF0000"/>
                <w:sz w:val="24"/>
                <w:szCs w:val="24"/>
              </w:rPr>
            </w:pPr>
            <w:r>
              <w:rPr>
                <w:color w:val="000000" w:themeColor="text1"/>
                <w:sz w:val="20"/>
                <w:szCs w:val="20"/>
              </w:rPr>
              <w:t>81,84</w:t>
            </w:r>
            <w:r w:rsidRPr="00785B55">
              <w:rPr>
                <w:color w:val="000000" w:themeColor="text1"/>
              </w:rPr>
              <w:t xml:space="preserve"> </w:t>
            </w:r>
          </w:p>
        </w:tc>
        <w:tc>
          <w:tcPr>
            <w:tcW w:w="926" w:type="pct"/>
            <w:vMerge/>
            <w:shd w:val="clear" w:color="auto" w:fill="EFEFEF"/>
            <w:vAlign w:val="center"/>
            <w:hideMark/>
          </w:tcPr>
          <w:p w14:paraId="263C22BB" w14:textId="77777777" w:rsidR="000B4F35" w:rsidRPr="00525FC8" w:rsidRDefault="000B4F35" w:rsidP="000B4F35">
            <w:pPr>
              <w:rPr>
                <w:sz w:val="24"/>
                <w:szCs w:val="24"/>
              </w:rPr>
            </w:pPr>
          </w:p>
        </w:tc>
      </w:tr>
      <w:tr w:rsidR="000B4F35" w:rsidRPr="00525FC8" w14:paraId="0E989DB3" w14:textId="77777777" w:rsidTr="000B4F35">
        <w:trPr>
          <w:trHeight w:hRule="exact" w:val="340"/>
          <w:tblCellSpacing w:w="15" w:type="dxa"/>
        </w:trPr>
        <w:tc>
          <w:tcPr>
            <w:tcW w:w="353" w:type="pct"/>
            <w:shd w:val="clear" w:color="auto" w:fill="EFEFEF"/>
            <w:noWrap/>
            <w:vAlign w:val="center"/>
            <w:hideMark/>
          </w:tcPr>
          <w:p w14:paraId="524034AC" w14:textId="77777777" w:rsidR="000B4F35" w:rsidRPr="00525FC8" w:rsidRDefault="000B4F35" w:rsidP="000B4F35">
            <w:pPr>
              <w:rPr>
                <w:sz w:val="24"/>
                <w:szCs w:val="24"/>
              </w:rPr>
            </w:pPr>
            <w:r w:rsidRPr="00525FC8">
              <w:rPr>
                <w:sz w:val="20"/>
                <w:szCs w:val="20"/>
              </w:rPr>
              <w:t>620</w:t>
            </w:r>
            <w:r w:rsidRPr="00525FC8">
              <w:t xml:space="preserve"> </w:t>
            </w:r>
          </w:p>
        </w:tc>
        <w:tc>
          <w:tcPr>
            <w:tcW w:w="1090" w:type="pct"/>
            <w:shd w:val="clear" w:color="auto" w:fill="EFEFEF"/>
            <w:vAlign w:val="center"/>
            <w:hideMark/>
          </w:tcPr>
          <w:p w14:paraId="0431793D" w14:textId="77777777" w:rsidR="000B4F35" w:rsidRPr="00525FC8" w:rsidRDefault="000B4F35" w:rsidP="000B4F35">
            <w:pPr>
              <w:rPr>
                <w:sz w:val="24"/>
                <w:szCs w:val="24"/>
              </w:rPr>
            </w:pPr>
            <w:r w:rsidRPr="00525FC8">
              <w:rPr>
                <w:sz w:val="20"/>
                <w:szCs w:val="20"/>
              </w:rPr>
              <w:t>Poistné do poisťovní</w:t>
            </w:r>
            <w:r w:rsidRPr="00525FC8">
              <w:t xml:space="preserve"> </w:t>
            </w:r>
          </w:p>
        </w:tc>
        <w:tc>
          <w:tcPr>
            <w:tcW w:w="734" w:type="pct"/>
            <w:shd w:val="clear" w:color="auto" w:fill="EFEFEF"/>
            <w:noWrap/>
            <w:vAlign w:val="center"/>
            <w:hideMark/>
          </w:tcPr>
          <w:p w14:paraId="7904C8F6" w14:textId="77777777" w:rsidR="000B4F35" w:rsidRPr="008121E6" w:rsidRDefault="000B4F35" w:rsidP="000B4F35">
            <w:pPr>
              <w:jc w:val="right"/>
              <w:rPr>
                <w:color w:val="FF0000"/>
                <w:sz w:val="24"/>
                <w:szCs w:val="24"/>
              </w:rPr>
            </w:pPr>
            <w:r w:rsidRPr="008121E6">
              <w:rPr>
                <w:color w:val="000000" w:themeColor="text1"/>
                <w:sz w:val="20"/>
                <w:szCs w:val="20"/>
              </w:rPr>
              <w:t>1</w:t>
            </w:r>
            <w:r>
              <w:rPr>
                <w:color w:val="000000" w:themeColor="text1"/>
                <w:sz w:val="20"/>
                <w:szCs w:val="20"/>
              </w:rPr>
              <w:t>62 966,99</w:t>
            </w:r>
          </w:p>
        </w:tc>
        <w:tc>
          <w:tcPr>
            <w:tcW w:w="601" w:type="pct"/>
            <w:shd w:val="clear" w:color="auto" w:fill="EFEFEF"/>
            <w:noWrap/>
            <w:vAlign w:val="center"/>
            <w:hideMark/>
          </w:tcPr>
          <w:p w14:paraId="479E8139" w14:textId="77777777" w:rsidR="000B4F35" w:rsidRPr="008121E6" w:rsidRDefault="000B4F35" w:rsidP="000B4F35">
            <w:pPr>
              <w:jc w:val="right"/>
              <w:rPr>
                <w:color w:val="FF0000"/>
                <w:sz w:val="24"/>
                <w:szCs w:val="24"/>
              </w:rPr>
            </w:pPr>
            <w:r w:rsidRPr="008121E6">
              <w:rPr>
                <w:color w:val="000000" w:themeColor="text1"/>
                <w:sz w:val="20"/>
                <w:szCs w:val="20"/>
              </w:rPr>
              <w:t>1</w:t>
            </w:r>
            <w:r>
              <w:rPr>
                <w:color w:val="000000" w:themeColor="text1"/>
                <w:sz w:val="20"/>
                <w:szCs w:val="20"/>
              </w:rPr>
              <w:t>73 661,57</w:t>
            </w:r>
          </w:p>
        </w:tc>
        <w:tc>
          <w:tcPr>
            <w:tcW w:w="550" w:type="pct"/>
            <w:shd w:val="clear" w:color="auto" w:fill="EFEFEF"/>
            <w:noWrap/>
            <w:vAlign w:val="center"/>
            <w:hideMark/>
          </w:tcPr>
          <w:p w14:paraId="26D04B4A" w14:textId="77777777" w:rsidR="000B4F35" w:rsidRPr="008121E6" w:rsidRDefault="000B4F35" w:rsidP="000B4F35">
            <w:pPr>
              <w:jc w:val="right"/>
              <w:rPr>
                <w:color w:val="FF0000"/>
                <w:sz w:val="24"/>
                <w:szCs w:val="24"/>
              </w:rPr>
            </w:pPr>
            <w:r w:rsidRPr="008121E6">
              <w:rPr>
                <w:color w:val="000000" w:themeColor="text1"/>
                <w:sz w:val="20"/>
                <w:szCs w:val="20"/>
              </w:rPr>
              <w:t>1</w:t>
            </w:r>
            <w:r>
              <w:rPr>
                <w:color w:val="000000" w:themeColor="text1"/>
                <w:sz w:val="20"/>
                <w:szCs w:val="20"/>
              </w:rPr>
              <w:t>18 869,94</w:t>
            </w:r>
          </w:p>
        </w:tc>
        <w:tc>
          <w:tcPr>
            <w:tcW w:w="626" w:type="pct"/>
            <w:shd w:val="clear" w:color="auto" w:fill="EFEFEF"/>
            <w:noWrap/>
            <w:vAlign w:val="center"/>
            <w:hideMark/>
          </w:tcPr>
          <w:p w14:paraId="1FE518B9" w14:textId="77777777" w:rsidR="000B4F35" w:rsidRPr="008121E6" w:rsidRDefault="000B4F35" w:rsidP="000B4F35">
            <w:pPr>
              <w:jc w:val="right"/>
              <w:rPr>
                <w:color w:val="FF0000"/>
                <w:sz w:val="24"/>
                <w:szCs w:val="24"/>
              </w:rPr>
            </w:pPr>
            <w:r>
              <w:rPr>
                <w:color w:val="000000" w:themeColor="text1"/>
                <w:sz w:val="20"/>
                <w:szCs w:val="20"/>
              </w:rPr>
              <w:t>68,45</w:t>
            </w:r>
          </w:p>
        </w:tc>
        <w:tc>
          <w:tcPr>
            <w:tcW w:w="926" w:type="pct"/>
            <w:vMerge/>
            <w:shd w:val="clear" w:color="auto" w:fill="EFEFEF"/>
            <w:vAlign w:val="center"/>
            <w:hideMark/>
          </w:tcPr>
          <w:p w14:paraId="32F22595" w14:textId="77777777" w:rsidR="000B4F35" w:rsidRPr="00525FC8" w:rsidRDefault="000B4F35" w:rsidP="000B4F35">
            <w:pPr>
              <w:rPr>
                <w:sz w:val="24"/>
                <w:szCs w:val="24"/>
              </w:rPr>
            </w:pPr>
          </w:p>
        </w:tc>
      </w:tr>
      <w:tr w:rsidR="000B4F35" w:rsidRPr="00525FC8" w14:paraId="1034BBD5" w14:textId="77777777" w:rsidTr="000B4F35">
        <w:trPr>
          <w:trHeight w:hRule="exact" w:val="340"/>
          <w:tblCellSpacing w:w="15" w:type="dxa"/>
        </w:trPr>
        <w:tc>
          <w:tcPr>
            <w:tcW w:w="353" w:type="pct"/>
            <w:shd w:val="clear" w:color="auto" w:fill="EFEFEF"/>
            <w:noWrap/>
            <w:vAlign w:val="center"/>
            <w:hideMark/>
          </w:tcPr>
          <w:p w14:paraId="0FE683F8" w14:textId="77777777" w:rsidR="000B4F35" w:rsidRPr="00525FC8" w:rsidRDefault="000B4F35" w:rsidP="000B4F35">
            <w:pPr>
              <w:rPr>
                <w:sz w:val="24"/>
                <w:szCs w:val="24"/>
              </w:rPr>
            </w:pPr>
            <w:r w:rsidRPr="00525FC8">
              <w:rPr>
                <w:sz w:val="20"/>
                <w:szCs w:val="20"/>
              </w:rPr>
              <w:t>630</w:t>
            </w:r>
            <w:r w:rsidRPr="00525FC8">
              <w:t xml:space="preserve"> </w:t>
            </w:r>
          </w:p>
        </w:tc>
        <w:tc>
          <w:tcPr>
            <w:tcW w:w="1090" w:type="pct"/>
            <w:shd w:val="clear" w:color="auto" w:fill="EFEFEF"/>
            <w:vAlign w:val="center"/>
            <w:hideMark/>
          </w:tcPr>
          <w:p w14:paraId="19616D74" w14:textId="77777777" w:rsidR="000B4F35" w:rsidRPr="00525FC8" w:rsidRDefault="000B4F35" w:rsidP="000B4F35">
            <w:pPr>
              <w:rPr>
                <w:sz w:val="24"/>
                <w:szCs w:val="24"/>
              </w:rPr>
            </w:pPr>
            <w:r w:rsidRPr="00525FC8">
              <w:rPr>
                <w:sz w:val="20"/>
                <w:szCs w:val="20"/>
              </w:rPr>
              <w:t>Tovary a služby</w:t>
            </w:r>
            <w:r w:rsidRPr="00525FC8">
              <w:t xml:space="preserve"> </w:t>
            </w:r>
          </w:p>
        </w:tc>
        <w:tc>
          <w:tcPr>
            <w:tcW w:w="734" w:type="pct"/>
            <w:shd w:val="clear" w:color="auto" w:fill="EFEFEF"/>
            <w:noWrap/>
            <w:vAlign w:val="center"/>
            <w:hideMark/>
          </w:tcPr>
          <w:p w14:paraId="49B0C2FF" w14:textId="77777777" w:rsidR="000B4F35" w:rsidRPr="008121E6" w:rsidRDefault="000B4F35" w:rsidP="000B4F35">
            <w:pPr>
              <w:jc w:val="right"/>
              <w:rPr>
                <w:color w:val="FF0000"/>
                <w:sz w:val="24"/>
                <w:szCs w:val="24"/>
              </w:rPr>
            </w:pPr>
            <w:r>
              <w:rPr>
                <w:color w:val="000000" w:themeColor="text1"/>
                <w:sz w:val="20"/>
                <w:szCs w:val="20"/>
              </w:rPr>
              <w:t>494 750,81</w:t>
            </w:r>
          </w:p>
        </w:tc>
        <w:tc>
          <w:tcPr>
            <w:tcW w:w="601" w:type="pct"/>
            <w:shd w:val="clear" w:color="auto" w:fill="EFEFEF"/>
            <w:noWrap/>
            <w:vAlign w:val="center"/>
            <w:hideMark/>
          </w:tcPr>
          <w:p w14:paraId="1D3591E5" w14:textId="77777777" w:rsidR="000B4F35" w:rsidRPr="008121E6" w:rsidRDefault="000B4F35" w:rsidP="000B4F35">
            <w:pPr>
              <w:jc w:val="right"/>
              <w:rPr>
                <w:color w:val="FF0000"/>
                <w:sz w:val="24"/>
                <w:szCs w:val="24"/>
              </w:rPr>
            </w:pPr>
            <w:r>
              <w:rPr>
                <w:color w:val="000000" w:themeColor="text1"/>
                <w:sz w:val="20"/>
                <w:szCs w:val="20"/>
              </w:rPr>
              <w:t>496 341,18</w:t>
            </w:r>
          </w:p>
        </w:tc>
        <w:tc>
          <w:tcPr>
            <w:tcW w:w="550" w:type="pct"/>
            <w:shd w:val="clear" w:color="auto" w:fill="EFEFEF"/>
            <w:noWrap/>
            <w:vAlign w:val="center"/>
            <w:hideMark/>
          </w:tcPr>
          <w:p w14:paraId="2B2ACF31" w14:textId="77777777" w:rsidR="000B4F35" w:rsidRPr="008121E6" w:rsidRDefault="000B4F35" w:rsidP="000B4F35">
            <w:pPr>
              <w:jc w:val="right"/>
              <w:rPr>
                <w:color w:val="FF0000"/>
                <w:sz w:val="24"/>
                <w:szCs w:val="24"/>
              </w:rPr>
            </w:pPr>
            <w:r>
              <w:rPr>
                <w:color w:val="000000" w:themeColor="text1"/>
                <w:sz w:val="20"/>
                <w:szCs w:val="20"/>
              </w:rPr>
              <w:t>130 930,83</w:t>
            </w:r>
          </w:p>
        </w:tc>
        <w:tc>
          <w:tcPr>
            <w:tcW w:w="626" w:type="pct"/>
            <w:shd w:val="clear" w:color="auto" w:fill="EFEFEF"/>
            <w:noWrap/>
            <w:vAlign w:val="center"/>
            <w:hideMark/>
          </w:tcPr>
          <w:p w14:paraId="245B4BD7" w14:textId="77777777" w:rsidR="000B4F35" w:rsidRPr="008121E6" w:rsidRDefault="000B4F35" w:rsidP="000B4F35">
            <w:pPr>
              <w:jc w:val="right"/>
              <w:rPr>
                <w:color w:val="FF0000"/>
                <w:sz w:val="24"/>
                <w:szCs w:val="24"/>
              </w:rPr>
            </w:pPr>
            <w:r>
              <w:rPr>
                <w:color w:val="000000" w:themeColor="text1"/>
                <w:sz w:val="20"/>
                <w:szCs w:val="20"/>
              </w:rPr>
              <w:t>26,38</w:t>
            </w:r>
            <w:r w:rsidRPr="009B2DE7">
              <w:rPr>
                <w:color w:val="000000" w:themeColor="text1"/>
              </w:rPr>
              <w:t xml:space="preserve"> </w:t>
            </w:r>
          </w:p>
        </w:tc>
        <w:tc>
          <w:tcPr>
            <w:tcW w:w="926" w:type="pct"/>
            <w:vMerge/>
            <w:shd w:val="clear" w:color="auto" w:fill="EFEFEF"/>
            <w:vAlign w:val="center"/>
            <w:hideMark/>
          </w:tcPr>
          <w:p w14:paraId="5D79440E" w14:textId="77777777" w:rsidR="000B4F35" w:rsidRPr="00525FC8" w:rsidRDefault="000B4F35" w:rsidP="000B4F35">
            <w:pPr>
              <w:rPr>
                <w:sz w:val="24"/>
                <w:szCs w:val="24"/>
              </w:rPr>
            </w:pPr>
          </w:p>
        </w:tc>
      </w:tr>
      <w:tr w:rsidR="000B4F35" w:rsidRPr="00525FC8" w14:paraId="54A32911" w14:textId="77777777" w:rsidTr="000B4F35">
        <w:trPr>
          <w:trHeight w:hRule="exact" w:val="340"/>
          <w:tblCellSpacing w:w="15" w:type="dxa"/>
        </w:trPr>
        <w:tc>
          <w:tcPr>
            <w:tcW w:w="353" w:type="pct"/>
            <w:shd w:val="clear" w:color="auto" w:fill="EFEFEF"/>
            <w:noWrap/>
            <w:vAlign w:val="center"/>
            <w:hideMark/>
          </w:tcPr>
          <w:p w14:paraId="52169FB0" w14:textId="77777777" w:rsidR="000B4F35" w:rsidRPr="00525FC8" w:rsidRDefault="000B4F35" w:rsidP="000B4F35">
            <w:pPr>
              <w:rPr>
                <w:sz w:val="24"/>
                <w:szCs w:val="24"/>
              </w:rPr>
            </w:pPr>
            <w:r w:rsidRPr="00525FC8">
              <w:rPr>
                <w:sz w:val="20"/>
                <w:szCs w:val="20"/>
              </w:rPr>
              <w:lastRenderedPageBreak/>
              <w:t>640</w:t>
            </w:r>
            <w:r w:rsidRPr="00525FC8">
              <w:t xml:space="preserve"> </w:t>
            </w:r>
          </w:p>
        </w:tc>
        <w:tc>
          <w:tcPr>
            <w:tcW w:w="1090" w:type="pct"/>
            <w:shd w:val="clear" w:color="auto" w:fill="EFEFEF"/>
            <w:vAlign w:val="center"/>
            <w:hideMark/>
          </w:tcPr>
          <w:p w14:paraId="48F8FD73" w14:textId="77777777" w:rsidR="000B4F35" w:rsidRPr="00525FC8" w:rsidRDefault="000B4F35" w:rsidP="000B4F35">
            <w:pPr>
              <w:rPr>
                <w:sz w:val="24"/>
                <w:szCs w:val="24"/>
              </w:rPr>
            </w:pPr>
            <w:r w:rsidRPr="00525FC8">
              <w:rPr>
                <w:sz w:val="20"/>
                <w:szCs w:val="20"/>
              </w:rPr>
              <w:t>Bežné transfery</w:t>
            </w:r>
            <w:r w:rsidRPr="00525FC8">
              <w:t xml:space="preserve"> </w:t>
            </w:r>
          </w:p>
        </w:tc>
        <w:tc>
          <w:tcPr>
            <w:tcW w:w="734" w:type="pct"/>
            <w:shd w:val="clear" w:color="auto" w:fill="EFEFEF"/>
            <w:noWrap/>
            <w:vAlign w:val="center"/>
            <w:hideMark/>
          </w:tcPr>
          <w:p w14:paraId="13200ECE" w14:textId="77777777" w:rsidR="000B4F35" w:rsidRPr="008121E6" w:rsidRDefault="000B4F35" w:rsidP="000B4F35">
            <w:pPr>
              <w:jc w:val="right"/>
              <w:rPr>
                <w:color w:val="FF0000"/>
                <w:sz w:val="24"/>
                <w:szCs w:val="24"/>
              </w:rPr>
            </w:pPr>
            <w:r w:rsidRPr="00D65029">
              <w:rPr>
                <w:color w:val="000000" w:themeColor="text1"/>
                <w:sz w:val="20"/>
                <w:szCs w:val="20"/>
              </w:rPr>
              <w:t>0,00</w:t>
            </w:r>
          </w:p>
        </w:tc>
        <w:tc>
          <w:tcPr>
            <w:tcW w:w="601" w:type="pct"/>
            <w:shd w:val="clear" w:color="auto" w:fill="EFEFEF"/>
            <w:noWrap/>
            <w:vAlign w:val="center"/>
            <w:hideMark/>
          </w:tcPr>
          <w:p w14:paraId="4FE4A923" w14:textId="77777777" w:rsidR="000B4F35" w:rsidRPr="008121E6" w:rsidRDefault="000B4F35" w:rsidP="000B4F35">
            <w:pPr>
              <w:jc w:val="right"/>
              <w:rPr>
                <w:color w:val="FF0000"/>
                <w:sz w:val="24"/>
                <w:szCs w:val="24"/>
              </w:rPr>
            </w:pPr>
            <w:r>
              <w:rPr>
                <w:color w:val="000000" w:themeColor="text1"/>
                <w:sz w:val="20"/>
                <w:szCs w:val="20"/>
              </w:rPr>
              <w:t>1 472,01</w:t>
            </w:r>
          </w:p>
        </w:tc>
        <w:tc>
          <w:tcPr>
            <w:tcW w:w="550" w:type="pct"/>
            <w:shd w:val="clear" w:color="auto" w:fill="EFEFEF"/>
            <w:noWrap/>
            <w:vAlign w:val="center"/>
            <w:hideMark/>
          </w:tcPr>
          <w:p w14:paraId="12397551" w14:textId="77777777" w:rsidR="000B4F35" w:rsidRPr="008121E6" w:rsidRDefault="000B4F35" w:rsidP="000B4F35">
            <w:pPr>
              <w:jc w:val="right"/>
              <w:rPr>
                <w:color w:val="FF0000"/>
                <w:sz w:val="24"/>
                <w:szCs w:val="24"/>
              </w:rPr>
            </w:pPr>
            <w:r>
              <w:rPr>
                <w:color w:val="000000" w:themeColor="text1"/>
                <w:sz w:val="20"/>
                <w:szCs w:val="20"/>
              </w:rPr>
              <w:t>1 456,08</w:t>
            </w:r>
          </w:p>
        </w:tc>
        <w:tc>
          <w:tcPr>
            <w:tcW w:w="626" w:type="pct"/>
            <w:shd w:val="clear" w:color="auto" w:fill="EFEFEF"/>
            <w:noWrap/>
            <w:vAlign w:val="center"/>
            <w:hideMark/>
          </w:tcPr>
          <w:p w14:paraId="4156507C" w14:textId="77777777" w:rsidR="000B4F35" w:rsidRPr="008121E6" w:rsidRDefault="000B4F35" w:rsidP="000B4F35">
            <w:pPr>
              <w:jc w:val="right"/>
              <w:rPr>
                <w:color w:val="FF0000"/>
                <w:sz w:val="24"/>
                <w:szCs w:val="24"/>
              </w:rPr>
            </w:pPr>
            <w:r>
              <w:rPr>
                <w:color w:val="000000" w:themeColor="text1"/>
                <w:sz w:val="20"/>
                <w:szCs w:val="20"/>
              </w:rPr>
              <w:t>96</w:t>
            </w:r>
            <w:r w:rsidRPr="00161537">
              <w:rPr>
                <w:color w:val="000000" w:themeColor="text1"/>
                <w:sz w:val="20"/>
                <w:szCs w:val="20"/>
              </w:rPr>
              <w:t>,</w:t>
            </w:r>
            <w:r>
              <w:rPr>
                <w:color w:val="000000" w:themeColor="text1"/>
                <w:sz w:val="20"/>
                <w:szCs w:val="20"/>
              </w:rPr>
              <w:t>92</w:t>
            </w:r>
            <w:r w:rsidRPr="00161537">
              <w:rPr>
                <w:color w:val="000000" w:themeColor="text1"/>
              </w:rPr>
              <w:t xml:space="preserve"> </w:t>
            </w:r>
          </w:p>
        </w:tc>
        <w:tc>
          <w:tcPr>
            <w:tcW w:w="926" w:type="pct"/>
            <w:vMerge/>
            <w:shd w:val="clear" w:color="auto" w:fill="EFEFEF"/>
            <w:vAlign w:val="center"/>
            <w:hideMark/>
          </w:tcPr>
          <w:p w14:paraId="275A7765" w14:textId="77777777" w:rsidR="000B4F35" w:rsidRPr="00525FC8" w:rsidRDefault="000B4F35" w:rsidP="000B4F35">
            <w:pPr>
              <w:rPr>
                <w:sz w:val="24"/>
                <w:szCs w:val="24"/>
              </w:rPr>
            </w:pPr>
          </w:p>
        </w:tc>
      </w:tr>
      <w:tr w:rsidR="000B4F35" w:rsidRPr="00525FC8" w14:paraId="47CA320D" w14:textId="77777777" w:rsidTr="000B4F35">
        <w:trPr>
          <w:trHeight w:hRule="exact" w:val="340"/>
          <w:tblCellSpacing w:w="15" w:type="dxa"/>
        </w:trPr>
        <w:tc>
          <w:tcPr>
            <w:tcW w:w="353" w:type="pct"/>
            <w:shd w:val="clear" w:color="auto" w:fill="D9D9D9"/>
            <w:noWrap/>
            <w:vAlign w:val="center"/>
            <w:hideMark/>
          </w:tcPr>
          <w:p w14:paraId="126B670B" w14:textId="77777777" w:rsidR="000B4F35" w:rsidRPr="00525FC8" w:rsidRDefault="000B4F35" w:rsidP="000B4F35">
            <w:pPr>
              <w:rPr>
                <w:sz w:val="24"/>
                <w:szCs w:val="24"/>
              </w:rPr>
            </w:pPr>
            <w:r w:rsidRPr="00525FC8">
              <w:rPr>
                <w:b/>
                <w:bCs/>
                <w:sz w:val="20"/>
                <w:szCs w:val="20"/>
              </w:rPr>
              <w:t>700</w:t>
            </w:r>
            <w:r w:rsidRPr="00525FC8">
              <w:t xml:space="preserve"> </w:t>
            </w:r>
          </w:p>
        </w:tc>
        <w:tc>
          <w:tcPr>
            <w:tcW w:w="1090" w:type="pct"/>
            <w:shd w:val="clear" w:color="auto" w:fill="D9D9D9"/>
            <w:vAlign w:val="center"/>
            <w:hideMark/>
          </w:tcPr>
          <w:p w14:paraId="3D5CB9C2" w14:textId="77777777" w:rsidR="000B4F35" w:rsidRPr="00525FC8" w:rsidRDefault="000B4F35" w:rsidP="000B4F35">
            <w:pPr>
              <w:rPr>
                <w:sz w:val="24"/>
                <w:szCs w:val="24"/>
              </w:rPr>
            </w:pPr>
            <w:r w:rsidRPr="00525FC8">
              <w:rPr>
                <w:b/>
                <w:bCs/>
                <w:sz w:val="20"/>
                <w:szCs w:val="20"/>
              </w:rPr>
              <w:t>Kapitálové výdavky</w:t>
            </w:r>
            <w:r w:rsidRPr="00525FC8">
              <w:t xml:space="preserve"> </w:t>
            </w:r>
          </w:p>
        </w:tc>
        <w:tc>
          <w:tcPr>
            <w:tcW w:w="734" w:type="pct"/>
            <w:shd w:val="clear" w:color="auto" w:fill="D9D9D9"/>
            <w:noWrap/>
            <w:vAlign w:val="center"/>
            <w:hideMark/>
          </w:tcPr>
          <w:p w14:paraId="294F1A20" w14:textId="77777777" w:rsidR="000B4F35" w:rsidRPr="008121E6" w:rsidRDefault="000B4F35" w:rsidP="000B4F35">
            <w:pPr>
              <w:jc w:val="right"/>
              <w:rPr>
                <w:color w:val="FF0000"/>
                <w:sz w:val="24"/>
                <w:szCs w:val="24"/>
              </w:rPr>
            </w:pPr>
            <w:r w:rsidRPr="00750EA7">
              <w:rPr>
                <w:b/>
                <w:bCs/>
                <w:color w:val="000000" w:themeColor="text1"/>
                <w:sz w:val="20"/>
                <w:szCs w:val="20"/>
              </w:rPr>
              <w:t>0,00</w:t>
            </w:r>
          </w:p>
        </w:tc>
        <w:tc>
          <w:tcPr>
            <w:tcW w:w="601" w:type="pct"/>
            <w:shd w:val="clear" w:color="auto" w:fill="D9D9D9"/>
            <w:noWrap/>
            <w:vAlign w:val="center"/>
            <w:hideMark/>
          </w:tcPr>
          <w:p w14:paraId="5AA9FE83" w14:textId="77777777" w:rsidR="000B4F35" w:rsidRPr="008121E6" w:rsidRDefault="000B4F35" w:rsidP="000B4F35">
            <w:pPr>
              <w:jc w:val="right"/>
              <w:rPr>
                <w:color w:val="FF0000"/>
                <w:sz w:val="24"/>
                <w:szCs w:val="24"/>
              </w:rPr>
            </w:pPr>
            <w:r>
              <w:rPr>
                <w:b/>
                <w:bCs/>
                <w:color w:val="000000" w:themeColor="text1"/>
                <w:sz w:val="20"/>
                <w:szCs w:val="20"/>
              </w:rPr>
              <w:t>21 323,51</w:t>
            </w:r>
          </w:p>
        </w:tc>
        <w:tc>
          <w:tcPr>
            <w:tcW w:w="550" w:type="pct"/>
            <w:shd w:val="clear" w:color="auto" w:fill="D9D9D9"/>
            <w:noWrap/>
            <w:vAlign w:val="center"/>
            <w:hideMark/>
          </w:tcPr>
          <w:p w14:paraId="4695CCF8" w14:textId="77777777" w:rsidR="000B4F35" w:rsidRPr="008121E6" w:rsidRDefault="000B4F35" w:rsidP="000B4F35">
            <w:pPr>
              <w:jc w:val="right"/>
              <w:rPr>
                <w:color w:val="FF0000"/>
                <w:sz w:val="24"/>
                <w:szCs w:val="24"/>
              </w:rPr>
            </w:pPr>
            <w:r>
              <w:rPr>
                <w:b/>
                <w:bCs/>
                <w:color w:val="000000" w:themeColor="text1"/>
                <w:sz w:val="20"/>
                <w:szCs w:val="20"/>
              </w:rPr>
              <w:t>0,00</w:t>
            </w:r>
          </w:p>
        </w:tc>
        <w:tc>
          <w:tcPr>
            <w:tcW w:w="626" w:type="pct"/>
            <w:shd w:val="clear" w:color="auto" w:fill="D9D9D9"/>
            <w:noWrap/>
            <w:vAlign w:val="center"/>
            <w:hideMark/>
          </w:tcPr>
          <w:p w14:paraId="7BE516B7" w14:textId="77777777" w:rsidR="000B4F35" w:rsidRPr="008121E6" w:rsidRDefault="000B4F35" w:rsidP="000B4F35">
            <w:pPr>
              <w:jc w:val="right"/>
              <w:rPr>
                <w:color w:val="FF0000"/>
                <w:sz w:val="24"/>
                <w:szCs w:val="24"/>
              </w:rPr>
            </w:pPr>
            <w:r>
              <w:rPr>
                <w:b/>
                <w:bCs/>
                <w:color w:val="000000" w:themeColor="text1"/>
                <w:sz w:val="20"/>
                <w:szCs w:val="20"/>
              </w:rPr>
              <w:t>0,00</w:t>
            </w:r>
          </w:p>
        </w:tc>
        <w:tc>
          <w:tcPr>
            <w:tcW w:w="926" w:type="pct"/>
            <w:vMerge/>
            <w:shd w:val="clear" w:color="auto" w:fill="D9D9D9"/>
            <w:vAlign w:val="center"/>
            <w:hideMark/>
          </w:tcPr>
          <w:p w14:paraId="1EA55568" w14:textId="77777777" w:rsidR="000B4F35" w:rsidRPr="00525FC8" w:rsidRDefault="000B4F35" w:rsidP="000B4F35">
            <w:pPr>
              <w:rPr>
                <w:sz w:val="24"/>
                <w:szCs w:val="24"/>
              </w:rPr>
            </w:pPr>
          </w:p>
        </w:tc>
      </w:tr>
      <w:tr w:rsidR="000B4F35" w:rsidRPr="00525FC8" w14:paraId="3FD2B32F" w14:textId="77777777" w:rsidTr="000B4F35">
        <w:trPr>
          <w:trHeight w:hRule="exact" w:val="340"/>
          <w:tblCellSpacing w:w="15" w:type="dxa"/>
        </w:trPr>
        <w:tc>
          <w:tcPr>
            <w:tcW w:w="353" w:type="pct"/>
            <w:shd w:val="clear" w:color="auto" w:fill="EFEFEF"/>
            <w:noWrap/>
            <w:vAlign w:val="center"/>
            <w:hideMark/>
          </w:tcPr>
          <w:p w14:paraId="32EEEA33" w14:textId="77777777" w:rsidR="000B4F35" w:rsidRPr="00525FC8" w:rsidRDefault="000B4F35" w:rsidP="000B4F35">
            <w:pPr>
              <w:rPr>
                <w:sz w:val="24"/>
                <w:szCs w:val="24"/>
              </w:rPr>
            </w:pPr>
            <w:r w:rsidRPr="00525FC8">
              <w:rPr>
                <w:sz w:val="20"/>
                <w:szCs w:val="20"/>
              </w:rPr>
              <w:t>710</w:t>
            </w:r>
            <w:r w:rsidRPr="00525FC8">
              <w:t xml:space="preserve"> </w:t>
            </w:r>
          </w:p>
        </w:tc>
        <w:tc>
          <w:tcPr>
            <w:tcW w:w="1090" w:type="pct"/>
            <w:shd w:val="clear" w:color="auto" w:fill="EFEFEF"/>
            <w:vAlign w:val="center"/>
            <w:hideMark/>
          </w:tcPr>
          <w:p w14:paraId="129B7954" w14:textId="77777777" w:rsidR="000B4F35" w:rsidRPr="00525FC8" w:rsidRDefault="000B4F35" w:rsidP="000B4F35">
            <w:pPr>
              <w:rPr>
                <w:sz w:val="24"/>
                <w:szCs w:val="24"/>
              </w:rPr>
            </w:pPr>
            <w:proofErr w:type="spellStart"/>
            <w:r w:rsidRPr="00525FC8">
              <w:rPr>
                <w:sz w:val="20"/>
                <w:szCs w:val="20"/>
              </w:rPr>
              <w:t>Obst</w:t>
            </w:r>
            <w:proofErr w:type="spellEnd"/>
            <w:r w:rsidRPr="00525FC8">
              <w:rPr>
                <w:sz w:val="20"/>
                <w:szCs w:val="20"/>
              </w:rPr>
              <w:t xml:space="preserve">. </w:t>
            </w:r>
            <w:proofErr w:type="spellStart"/>
            <w:r w:rsidRPr="00525FC8">
              <w:rPr>
                <w:sz w:val="20"/>
                <w:szCs w:val="20"/>
              </w:rPr>
              <w:t>kapit</w:t>
            </w:r>
            <w:proofErr w:type="spellEnd"/>
            <w:r w:rsidRPr="00525FC8">
              <w:rPr>
                <w:sz w:val="20"/>
                <w:szCs w:val="20"/>
              </w:rPr>
              <w:t>. aktív</w:t>
            </w:r>
            <w:r w:rsidRPr="00525FC8">
              <w:t xml:space="preserve"> </w:t>
            </w:r>
          </w:p>
        </w:tc>
        <w:tc>
          <w:tcPr>
            <w:tcW w:w="734" w:type="pct"/>
            <w:shd w:val="clear" w:color="auto" w:fill="EFEFEF"/>
            <w:noWrap/>
            <w:vAlign w:val="center"/>
            <w:hideMark/>
          </w:tcPr>
          <w:p w14:paraId="718A33F9" w14:textId="77777777" w:rsidR="000B4F35" w:rsidRPr="008121E6" w:rsidRDefault="000B4F35" w:rsidP="000B4F35">
            <w:pPr>
              <w:jc w:val="right"/>
              <w:rPr>
                <w:color w:val="FF0000"/>
                <w:sz w:val="24"/>
                <w:szCs w:val="24"/>
              </w:rPr>
            </w:pPr>
            <w:r w:rsidRPr="00750EA7">
              <w:rPr>
                <w:color w:val="000000" w:themeColor="text1"/>
                <w:sz w:val="20"/>
                <w:szCs w:val="20"/>
              </w:rPr>
              <w:t>0,00</w:t>
            </w:r>
          </w:p>
        </w:tc>
        <w:tc>
          <w:tcPr>
            <w:tcW w:w="601" w:type="pct"/>
            <w:shd w:val="clear" w:color="auto" w:fill="EFEFEF"/>
            <w:noWrap/>
            <w:vAlign w:val="center"/>
            <w:hideMark/>
          </w:tcPr>
          <w:p w14:paraId="5DF8DAF4" w14:textId="77777777" w:rsidR="000B4F35" w:rsidRPr="008121E6" w:rsidRDefault="000B4F35" w:rsidP="000B4F35">
            <w:pPr>
              <w:jc w:val="right"/>
              <w:rPr>
                <w:color w:val="FF0000"/>
                <w:sz w:val="24"/>
                <w:szCs w:val="24"/>
              </w:rPr>
            </w:pPr>
            <w:r>
              <w:rPr>
                <w:color w:val="000000" w:themeColor="text1"/>
                <w:sz w:val="20"/>
                <w:szCs w:val="20"/>
              </w:rPr>
              <w:t>21 323,51</w:t>
            </w:r>
          </w:p>
        </w:tc>
        <w:tc>
          <w:tcPr>
            <w:tcW w:w="550" w:type="pct"/>
            <w:shd w:val="clear" w:color="auto" w:fill="EFEFEF"/>
            <w:noWrap/>
            <w:vAlign w:val="center"/>
            <w:hideMark/>
          </w:tcPr>
          <w:p w14:paraId="2EF4BA74" w14:textId="77777777" w:rsidR="000B4F35" w:rsidRPr="008121E6" w:rsidRDefault="000B4F35" w:rsidP="000B4F35">
            <w:pPr>
              <w:jc w:val="right"/>
              <w:rPr>
                <w:color w:val="FF0000"/>
                <w:sz w:val="24"/>
                <w:szCs w:val="24"/>
              </w:rPr>
            </w:pPr>
            <w:r>
              <w:rPr>
                <w:color w:val="000000" w:themeColor="text1"/>
                <w:sz w:val="20"/>
                <w:szCs w:val="20"/>
              </w:rPr>
              <w:t>0,00</w:t>
            </w:r>
          </w:p>
        </w:tc>
        <w:tc>
          <w:tcPr>
            <w:tcW w:w="626" w:type="pct"/>
            <w:shd w:val="clear" w:color="auto" w:fill="EFEFEF"/>
            <w:noWrap/>
            <w:vAlign w:val="center"/>
            <w:hideMark/>
          </w:tcPr>
          <w:p w14:paraId="7DA1B89F" w14:textId="77777777" w:rsidR="000B4F35" w:rsidRPr="008121E6" w:rsidRDefault="000B4F35" w:rsidP="000B4F35">
            <w:pPr>
              <w:jc w:val="right"/>
              <w:rPr>
                <w:color w:val="FF0000"/>
                <w:sz w:val="24"/>
                <w:szCs w:val="24"/>
              </w:rPr>
            </w:pPr>
            <w:r>
              <w:rPr>
                <w:color w:val="000000" w:themeColor="text1"/>
                <w:sz w:val="20"/>
                <w:szCs w:val="20"/>
              </w:rPr>
              <w:t>0,00</w:t>
            </w:r>
          </w:p>
        </w:tc>
        <w:tc>
          <w:tcPr>
            <w:tcW w:w="926" w:type="pct"/>
            <w:vMerge/>
            <w:shd w:val="clear" w:color="auto" w:fill="EFEFEF"/>
            <w:vAlign w:val="center"/>
            <w:hideMark/>
          </w:tcPr>
          <w:p w14:paraId="4034ACB7" w14:textId="77777777" w:rsidR="000B4F35" w:rsidRPr="00525FC8" w:rsidRDefault="000B4F35" w:rsidP="000B4F35">
            <w:pPr>
              <w:rPr>
                <w:sz w:val="24"/>
                <w:szCs w:val="24"/>
              </w:rPr>
            </w:pPr>
          </w:p>
        </w:tc>
      </w:tr>
    </w:tbl>
    <w:p w14:paraId="1130EF97" w14:textId="77777777" w:rsidR="000B4F35" w:rsidRPr="00525FC8" w:rsidRDefault="000B4F35" w:rsidP="000B4F35">
      <w:pPr>
        <w:pStyle w:val="Normlnywebov"/>
        <w:spacing w:after="0"/>
        <w:rPr>
          <w:rFonts w:asciiTheme="minorHAnsi" w:hAnsiTheme="minorHAnsi"/>
          <w:vanish/>
        </w:rPr>
      </w:pPr>
    </w:p>
    <w:tbl>
      <w:tblPr>
        <w:tblW w:w="4989" w:type="pct"/>
        <w:tblCellSpacing w:w="15" w:type="dxa"/>
        <w:tblCellMar>
          <w:top w:w="15" w:type="dxa"/>
          <w:left w:w="15" w:type="dxa"/>
          <w:bottom w:w="15" w:type="dxa"/>
          <w:right w:w="15" w:type="dxa"/>
        </w:tblCellMar>
        <w:tblLook w:val="04A0" w:firstRow="1" w:lastRow="0" w:firstColumn="1" w:lastColumn="0" w:noHBand="0" w:noVBand="1"/>
      </w:tblPr>
      <w:tblGrid>
        <w:gridCol w:w="3033"/>
        <w:gridCol w:w="725"/>
        <w:gridCol w:w="1557"/>
        <w:gridCol w:w="1119"/>
        <w:gridCol w:w="4009"/>
      </w:tblGrid>
      <w:tr w:rsidR="000B4F35" w:rsidRPr="00525FC8" w14:paraId="6FEA011A" w14:textId="77777777" w:rsidTr="00B002C2">
        <w:trPr>
          <w:trHeight w:hRule="exact" w:val="383"/>
          <w:tblCellSpacing w:w="15" w:type="dxa"/>
        </w:trPr>
        <w:tc>
          <w:tcPr>
            <w:tcW w:w="0" w:type="auto"/>
            <w:shd w:val="clear" w:color="auto" w:fill="C2D69B"/>
            <w:vAlign w:val="center"/>
            <w:hideMark/>
          </w:tcPr>
          <w:p w14:paraId="1D641B58" w14:textId="77777777" w:rsidR="000B4F35" w:rsidRPr="00B002C2" w:rsidRDefault="000B4F35" w:rsidP="000B4F35">
            <w:r w:rsidRPr="00B002C2">
              <w:rPr>
                <w:b/>
                <w:bCs/>
              </w:rPr>
              <w:t>Zodpovednosť</w:t>
            </w:r>
          </w:p>
        </w:tc>
        <w:tc>
          <w:tcPr>
            <w:tcW w:w="0" w:type="auto"/>
            <w:gridSpan w:val="4"/>
            <w:shd w:val="clear" w:color="auto" w:fill="C2D69B"/>
            <w:vAlign w:val="center"/>
            <w:hideMark/>
          </w:tcPr>
          <w:p w14:paraId="2479CE3F" w14:textId="77777777" w:rsidR="000B4F35" w:rsidRPr="00B002C2" w:rsidRDefault="000B4F35" w:rsidP="000B4F35">
            <w:r w:rsidRPr="00B002C2">
              <w:t xml:space="preserve">Odbor INTERACT </w:t>
            </w:r>
          </w:p>
        </w:tc>
      </w:tr>
      <w:tr w:rsidR="000B4F35" w:rsidRPr="00525FC8" w14:paraId="30D2F9BE" w14:textId="77777777" w:rsidTr="00B002C2">
        <w:trPr>
          <w:trHeight w:hRule="exact" w:val="374"/>
          <w:tblCellSpacing w:w="15" w:type="dxa"/>
        </w:trPr>
        <w:tc>
          <w:tcPr>
            <w:tcW w:w="0" w:type="auto"/>
            <w:shd w:val="clear" w:color="auto" w:fill="C2D69B"/>
            <w:vAlign w:val="center"/>
            <w:hideMark/>
          </w:tcPr>
          <w:p w14:paraId="7F3947D0" w14:textId="77777777" w:rsidR="000B4F35" w:rsidRPr="00B002C2" w:rsidRDefault="000B4F35" w:rsidP="000B4F35">
            <w:r w:rsidRPr="00B002C2">
              <w:rPr>
                <w:b/>
                <w:bCs/>
              </w:rPr>
              <w:t>Cieľ</w:t>
            </w:r>
          </w:p>
        </w:tc>
        <w:tc>
          <w:tcPr>
            <w:tcW w:w="0" w:type="auto"/>
            <w:gridSpan w:val="4"/>
            <w:shd w:val="clear" w:color="auto" w:fill="C2D69B"/>
            <w:vAlign w:val="center"/>
            <w:hideMark/>
          </w:tcPr>
          <w:p w14:paraId="5385030D" w14:textId="77777777" w:rsidR="000B4F35" w:rsidRPr="00B002C2" w:rsidRDefault="000B4F35" w:rsidP="000B4F35">
            <w:r w:rsidRPr="00B002C2">
              <w:t xml:space="preserve">Rozvoj a poskytovanie služieb </w:t>
            </w:r>
          </w:p>
        </w:tc>
      </w:tr>
      <w:tr w:rsidR="000B4F35" w:rsidRPr="00525FC8" w14:paraId="2C00E96F" w14:textId="77777777" w:rsidTr="00B002C2">
        <w:trPr>
          <w:trHeight w:hRule="exact" w:val="421"/>
          <w:tblCellSpacing w:w="15" w:type="dxa"/>
        </w:trPr>
        <w:tc>
          <w:tcPr>
            <w:tcW w:w="0" w:type="auto"/>
            <w:shd w:val="clear" w:color="auto" w:fill="C2D69B"/>
            <w:vAlign w:val="center"/>
            <w:hideMark/>
          </w:tcPr>
          <w:p w14:paraId="28C3B6B5" w14:textId="77777777" w:rsidR="000B4F35" w:rsidRPr="00B002C2" w:rsidRDefault="000B4F35" w:rsidP="000B4F35">
            <w:r w:rsidRPr="00B002C2">
              <w:rPr>
                <w:b/>
                <w:bCs/>
              </w:rPr>
              <w:t>Merateľný ukazovateľ</w:t>
            </w:r>
          </w:p>
        </w:tc>
        <w:tc>
          <w:tcPr>
            <w:tcW w:w="0" w:type="auto"/>
            <w:gridSpan w:val="4"/>
            <w:shd w:val="clear" w:color="auto" w:fill="C2D69B"/>
            <w:vAlign w:val="center"/>
            <w:hideMark/>
          </w:tcPr>
          <w:p w14:paraId="7744F892" w14:textId="77777777" w:rsidR="000B4F35" w:rsidRPr="00B002C2" w:rsidRDefault="000B4F35" w:rsidP="000B4F35">
            <w:r w:rsidRPr="00B002C2">
              <w:t xml:space="preserve">Podujatia </w:t>
            </w:r>
          </w:p>
        </w:tc>
      </w:tr>
      <w:tr w:rsidR="000B4F35" w:rsidRPr="00525FC8" w14:paraId="35895EB6" w14:textId="77777777" w:rsidTr="00B002C2">
        <w:trPr>
          <w:trHeight w:val="312"/>
          <w:tblCellSpacing w:w="15" w:type="dxa"/>
        </w:trPr>
        <w:tc>
          <w:tcPr>
            <w:tcW w:w="0" w:type="auto"/>
            <w:shd w:val="clear" w:color="auto" w:fill="C2D69B"/>
            <w:vAlign w:val="center"/>
            <w:hideMark/>
          </w:tcPr>
          <w:p w14:paraId="3A080C7C" w14:textId="77777777" w:rsidR="000B4F35" w:rsidRPr="00B002C2" w:rsidRDefault="000B4F35" w:rsidP="000B4F35">
            <w:pPr>
              <w:jc w:val="center"/>
            </w:pPr>
            <w:r w:rsidRPr="00B002C2">
              <w:rPr>
                <w:b/>
                <w:bCs/>
              </w:rPr>
              <w:t>Rok</w:t>
            </w:r>
          </w:p>
        </w:tc>
        <w:tc>
          <w:tcPr>
            <w:tcW w:w="0" w:type="auto"/>
            <w:shd w:val="clear" w:color="auto" w:fill="C2D69B"/>
            <w:vAlign w:val="center"/>
            <w:hideMark/>
          </w:tcPr>
          <w:p w14:paraId="61D3BD9F" w14:textId="77777777" w:rsidR="000B4F35" w:rsidRPr="00B002C2" w:rsidRDefault="000B4F35" w:rsidP="000B4F35">
            <w:pPr>
              <w:jc w:val="center"/>
            </w:pPr>
            <w:r w:rsidRPr="00B002C2">
              <w:rPr>
                <w:b/>
                <w:bCs/>
              </w:rPr>
              <w:t>Plán</w:t>
            </w:r>
          </w:p>
        </w:tc>
        <w:tc>
          <w:tcPr>
            <w:tcW w:w="0" w:type="auto"/>
            <w:shd w:val="clear" w:color="auto" w:fill="C2D69B"/>
            <w:vAlign w:val="center"/>
            <w:hideMark/>
          </w:tcPr>
          <w:p w14:paraId="131E6F08" w14:textId="77777777" w:rsidR="000B4F35" w:rsidRPr="00B002C2" w:rsidRDefault="000B4F35" w:rsidP="000B4F35">
            <w:pPr>
              <w:jc w:val="center"/>
            </w:pPr>
            <w:r w:rsidRPr="00B002C2">
              <w:rPr>
                <w:b/>
                <w:bCs/>
              </w:rPr>
              <w:t>Skutočnosť</w:t>
            </w:r>
          </w:p>
        </w:tc>
        <w:tc>
          <w:tcPr>
            <w:tcW w:w="0" w:type="auto"/>
            <w:shd w:val="clear" w:color="auto" w:fill="C2D69B"/>
            <w:vAlign w:val="center"/>
            <w:hideMark/>
          </w:tcPr>
          <w:p w14:paraId="11963976" w14:textId="77777777" w:rsidR="000B4F35" w:rsidRPr="00B002C2" w:rsidRDefault="000B4F35" w:rsidP="000B4F35">
            <w:pPr>
              <w:jc w:val="center"/>
            </w:pPr>
            <w:r w:rsidRPr="00B002C2">
              <w:rPr>
                <w:b/>
                <w:bCs/>
              </w:rPr>
              <w:t>Plnenie</w:t>
            </w:r>
          </w:p>
        </w:tc>
        <w:tc>
          <w:tcPr>
            <w:tcW w:w="1931" w:type="pct"/>
            <w:shd w:val="clear" w:color="auto" w:fill="C2D69B"/>
            <w:vAlign w:val="center"/>
            <w:hideMark/>
          </w:tcPr>
          <w:p w14:paraId="4B271625" w14:textId="77777777" w:rsidR="000B4F35" w:rsidRPr="00B002C2" w:rsidRDefault="000B4F35" w:rsidP="000B4F35">
            <w:r w:rsidRPr="00B002C2">
              <w:rPr>
                <w:b/>
                <w:bCs/>
              </w:rPr>
              <w:t>Poznámka</w:t>
            </w:r>
          </w:p>
        </w:tc>
      </w:tr>
      <w:tr w:rsidR="000B4F35" w:rsidRPr="00525FC8" w14:paraId="2917AD0B" w14:textId="77777777" w:rsidTr="00827064">
        <w:trPr>
          <w:trHeight w:val="426"/>
          <w:tblCellSpacing w:w="15" w:type="dxa"/>
        </w:trPr>
        <w:tc>
          <w:tcPr>
            <w:tcW w:w="0" w:type="auto"/>
            <w:shd w:val="clear" w:color="auto" w:fill="C2D69B"/>
            <w:vAlign w:val="center"/>
            <w:hideMark/>
          </w:tcPr>
          <w:p w14:paraId="72033AB7" w14:textId="77777777" w:rsidR="000B4F35" w:rsidRPr="00B002C2" w:rsidRDefault="000B4F35" w:rsidP="000B4F35">
            <w:pPr>
              <w:jc w:val="center"/>
            </w:pPr>
            <w:r w:rsidRPr="00B002C2">
              <w:t>2020</w:t>
            </w:r>
          </w:p>
        </w:tc>
        <w:tc>
          <w:tcPr>
            <w:tcW w:w="0" w:type="auto"/>
            <w:shd w:val="clear" w:color="auto" w:fill="C2D69B"/>
            <w:noWrap/>
            <w:vAlign w:val="center"/>
          </w:tcPr>
          <w:p w14:paraId="00F06D14" w14:textId="77777777" w:rsidR="000B4F35" w:rsidRPr="00B002C2" w:rsidRDefault="000B4F35" w:rsidP="000B4F35">
            <w:pPr>
              <w:jc w:val="center"/>
            </w:pPr>
            <w:r w:rsidRPr="00B002C2">
              <w:t>125</w:t>
            </w:r>
          </w:p>
        </w:tc>
        <w:tc>
          <w:tcPr>
            <w:tcW w:w="0" w:type="auto"/>
            <w:shd w:val="clear" w:color="auto" w:fill="C2D69B"/>
            <w:noWrap/>
            <w:vAlign w:val="center"/>
          </w:tcPr>
          <w:p w14:paraId="22954FA4" w14:textId="77777777" w:rsidR="000B4F35" w:rsidRPr="00B002C2" w:rsidRDefault="000B4F35" w:rsidP="000B4F35">
            <w:pPr>
              <w:jc w:val="center"/>
            </w:pPr>
            <w:r w:rsidRPr="00B002C2">
              <w:t>145</w:t>
            </w:r>
          </w:p>
        </w:tc>
        <w:tc>
          <w:tcPr>
            <w:tcW w:w="0" w:type="auto"/>
            <w:shd w:val="clear" w:color="auto" w:fill="C2D69B"/>
            <w:vAlign w:val="center"/>
            <w:hideMark/>
          </w:tcPr>
          <w:p w14:paraId="551D02F8" w14:textId="77777777" w:rsidR="000B4F35" w:rsidRPr="00B002C2" w:rsidRDefault="000B4F35" w:rsidP="000B4F35">
            <w:pPr>
              <w:jc w:val="center"/>
            </w:pPr>
            <w:r w:rsidRPr="00B002C2">
              <w:t xml:space="preserve">Splnené </w:t>
            </w:r>
          </w:p>
        </w:tc>
        <w:tc>
          <w:tcPr>
            <w:tcW w:w="0" w:type="auto"/>
            <w:shd w:val="clear" w:color="auto" w:fill="C2D69B"/>
            <w:vAlign w:val="center"/>
          </w:tcPr>
          <w:p w14:paraId="5507D8DE" w14:textId="77777777" w:rsidR="000B4F35" w:rsidRPr="00B002C2" w:rsidRDefault="000B4F35" w:rsidP="000B4F35">
            <w:r w:rsidRPr="00B002C2">
              <w:t>Napriek pandémii COVID-19 sa program okamžite preorientoval na poskytovanie služieb online formou.</w:t>
            </w:r>
          </w:p>
        </w:tc>
      </w:tr>
      <w:tr w:rsidR="000B4F35" w:rsidRPr="00525FC8" w14:paraId="56F62113" w14:textId="77777777" w:rsidTr="00B002C2">
        <w:trPr>
          <w:trHeight w:hRule="exact" w:val="369"/>
          <w:tblCellSpacing w:w="15" w:type="dxa"/>
        </w:trPr>
        <w:tc>
          <w:tcPr>
            <w:tcW w:w="0" w:type="auto"/>
            <w:shd w:val="clear" w:color="auto" w:fill="C2D69B"/>
            <w:vAlign w:val="center"/>
            <w:hideMark/>
          </w:tcPr>
          <w:p w14:paraId="0C564429" w14:textId="77777777" w:rsidR="000B4F35" w:rsidRPr="00B002C2" w:rsidRDefault="000B4F35" w:rsidP="000B4F35">
            <w:r w:rsidRPr="00B002C2">
              <w:rPr>
                <w:b/>
                <w:bCs/>
              </w:rPr>
              <w:t>Merateľný ukazovateľ</w:t>
            </w:r>
          </w:p>
        </w:tc>
        <w:tc>
          <w:tcPr>
            <w:tcW w:w="0" w:type="auto"/>
            <w:gridSpan w:val="4"/>
            <w:shd w:val="clear" w:color="auto" w:fill="C2D69B"/>
            <w:vAlign w:val="center"/>
            <w:hideMark/>
          </w:tcPr>
          <w:p w14:paraId="64817F1B" w14:textId="77777777" w:rsidR="000B4F35" w:rsidRPr="00B002C2" w:rsidRDefault="000B4F35" w:rsidP="000B4F35">
            <w:r w:rsidRPr="00B002C2">
              <w:t xml:space="preserve">Nástroje </w:t>
            </w:r>
          </w:p>
        </w:tc>
      </w:tr>
      <w:tr w:rsidR="000B4F35" w:rsidRPr="00525FC8" w14:paraId="138B72D0" w14:textId="77777777" w:rsidTr="00827064">
        <w:trPr>
          <w:trHeight w:val="340"/>
          <w:tblCellSpacing w:w="15" w:type="dxa"/>
        </w:trPr>
        <w:tc>
          <w:tcPr>
            <w:tcW w:w="0" w:type="auto"/>
            <w:shd w:val="clear" w:color="auto" w:fill="C2D69B"/>
            <w:vAlign w:val="center"/>
            <w:hideMark/>
          </w:tcPr>
          <w:p w14:paraId="3B5FAFD1" w14:textId="77777777" w:rsidR="000B4F35" w:rsidRPr="00B002C2" w:rsidRDefault="000B4F35" w:rsidP="000B4F35">
            <w:pPr>
              <w:jc w:val="center"/>
            </w:pPr>
            <w:r w:rsidRPr="00B002C2">
              <w:rPr>
                <w:b/>
                <w:bCs/>
              </w:rPr>
              <w:t>Rok</w:t>
            </w:r>
          </w:p>
        </w:tc>
        <w:tc>
          <w:tcPr>
            <w:tcW w:w="0" w:type="auto"/>
            <w:shd w:val="clear" w:color="auto" w:fill="C2D69B"/>
            <w:vAlign w:val="center"/>
            <w:hideMark/>
          </w:tcPr>
          <w:p w14:paraId="60E8BD90" w14:textId="77777777" w:rsidR="000B4F35" w:rsidRPr="00B002C2" w:rsidRDefault="000B4F35" w:rsidP="000B4F35">
            <w:pPr>
              <w:jc w:val="center"/>
            </w:pPr>
            <w:r w:rsidRPr="00B002C2">
              <w:rPr>
                <w:b/>
                <w:bCs/>
              </w:rPr>
              <w:t>Plán</w:t>
            </w:r>
          </w:p>
        </w:tc>
        <w:tc>
          <w:tcPr>
            <w:tcW w:w="0" w:type="auto"/>
            <w:shd w:val="clear" w:color="auto" w:fill="C2D69B"/>
            <w:vAlign w:val="center"/>
            <w:hideMark/>
          </w:tcPr>
          <w:p w14:paraId="5BBD38F1" w14:textId="77777777" w:rsidR="000B4F35" w:rsidRPr="00B002C2" w:rsidRDefault="000B4F35" w:rsidP="000B4F35">
            <w:pPr>
              <w:jc w:val="center"/>
            </w:pPr>
            <w:r w:rsidRPr="00B002C2">
              <w:rPr>
                <w:b/>
                <w:bCs/>
              </w:rPr>
              <w:t>Skutočnosť</w:t>
            </w:r>
          </w:p>
        </w:tc>
        <w:tc>
          <w:tcPr>
            <w:tcW w:w="0" w:type="auto"/>
            <w:shd w:val="clear" w:color="auto" w:fill="C2D69B"/>
            <w:vAlign w:val="center"/>
            <w:hideMark/>
          </w:tcPr>
          <w:p w14:paraId="053E6A85" w14:textId="77777777" w:rsidR="000B4F35" w:rsidRPr="00B002C2" w:rsidRDefault="000B4F35" w:rsidP="000B4F35">
            <w:pPr>
              <w:jc w:val="center"/>
            </w:pPr>
            <w:r w:rsidRPr="00B002C2">
              <w:rPr>
                <w:b/>
                <w:bCs/>
              </w:rPr>
              <w:t>Plnenie</w:t>
            </w:r>
          </w:p>
        </w:tc>
        <w:tc>
          <w:tcPr>
            <w:tcW w:w="1931" w:type="pct"/>
            <w:shd w:val="clear" w:color="auto" w:fill="C2D69B"/>
            <w:vAlign w:val="center"/>
            <w:hideMark/>
          </w:tcPr>
          <w:p w14:paraId="4689122F" w14:textId="77777777" w:rsidR="000B4F35" w:rsidRPr="00B002C2" w:rsidRDefault="000B4F35" w:rsidP="000B4F35">
            <w:r w:rsidRPr="00B002C2">
              <w:rPr>
                <w:b/>
                <w:bCs/>
              </w:rPr>
              <w:t>Poznámka</w:t>
            </w:r>
          </w:p>
        </w:tc>
      </w:tr>
      <w:tr w:rsidR="000B4F35" w:rsidRPr="00525FC8" w14:paraId="76580520" w14:textId="77777777" w:rsidTr="00827064">
        <w:trPr>
          <w:trHeight w:val="716"/>
          <w:tblCellSpacing w:w="15" w:type="dxa"/>
        </w:trPr>
        <w:tc>
          <w:tcPr>
            <w:tcW w:w="0" w:type="auto"/>
            <w:shd w:val="clear" w:color="auto" w:fill="C2D69B"/>
            <w:vAlign w:val="center"/>
            <w:hideMark/>
          </w:tcPr>
          <w:p w14:paraId="67C051F4" w14:textId="77777777" w:rsidR="000B4F35" w:rsidRPr="00B002C2" w:rsidRDefault="000B4F35" w:rsidP="000B4F35">
            <w:pPr>
              <w:jc w:val="center"/>
            </w:pPr>
            <w:r w:rsidRPr="00B002C2">
              <w:t xml:space="preserve">2020 </w:t>
            </w:r>
          </w:p>
        </w:tc>
        <w:tc>
          <w:tcPr>
            <w:tcW w:w="0" w:type="auto"/>
            <w:shd w:val="clear" w:color="auto" w:fill="C2D69B"/>
            <w:noWrap/>
            <w:vAlign w:val="center"/>
          </w:tcPr>
          <w:p w14:paraId="5814E6EA" w14:textId="77777777" w:rsidR="000B4F35" w:rsidRPr="00B002C2" w:rsidRDefault="000B4F35" w:rsidP="000B4F35">
            <w:pPr>
              <w:jc w:val="center"/>
            </w:pPr>
            <w:r w:rsidRPr="00B002C2">
              <w:t>52</w:t>
            </w:r>
          </w:p>
        </w:tc>
        <w:tc>
          <w:tcPr>
            <w:tcW w:w="0" w:type="auto"/>
            <w:shd w:val="clear" w:color="auto" w:fill="C2D69B"/>
            <w:noWrap/>
            <w:vAlign w:val="center"/>
          </w:tcPr>
          <w:p w14:paraId="34EB80B7" w14:textId="77777777" w:rsidR="000B4F35" w:rsidRPr="00B002C2" w:rsidRDefault="000B4F35" w:rsidP="000B4F35">
            <w:pPr>
              <w:jc w:val="center"/>
            </w:pPr>
            <w:r w:rsidRPr="00B002C2">
              <w:t>69</w:t>
            </w:r>
          </w:p>
        </w:tc>
        <w:tc>
          <w:tcPr>
            <w:tcW w:w="0" w:type="auto"/>
            <w:shd w:val="clear" w:color="auto" w:fill="C2D69B"/>
            <w:vAlign w:val="center"/>
            <w:hideMark/>
          </w:tcPr>
          <w:p w14:paraId="49B5C0ED" w14:textId="77777777" w:rsidR="000B4F35" w:rsidRPr="00B002C2" w:rsidRDefault="000B4F35" w:rsidP="000B4F35">
            <w:pPr>
              <w:jc w:val="center"/>
            </w:pPr>
            <w:r w:rsidRPr="00B002C2">
              <w:t xml:space="preserve">Splnené </w:t>
            </w:r>
          </w:p>
        </w:tc>
        <w:tc>
          <w:tcPr>
            <w:tcW w:w="0" w:type="auto"/>
            <w:shd w:val="clear" w:color="auto" w:fill="C2D69B"/>
            <w:vAlign w:val="center"/>
          </w:tcPr>
          <w:p w14:paraId="5CB712C5" w14:textId="77777777" w:rsidR="000B4F35" w:rsidRPr="00B002C2" w:rsidRDefault="000B4F35" w:rsidP="000B4F35">
            <w:r w:rsidRPr="00B002C2">
              <w:t xml:space="preserve">Vzhľadom na pandémiu COVID-19 a nemožnosť osobných stretnutí sa zvýšil dopyt po tvorbe nástrojov (formulárov, príručiek, </w:t>
            </w:r>
            <w:proofErr w:type="spellStart"/>
            <w:r w:rsidRPr="00B002C2">
              <w:t>factsheetov</w:t>
            </w:r>
            <w:proofErr w:type="spellEnd"/>
            <w:r w:rsidRPr="00B002C2">
              <w:t>, atď.)</w:t>
            </w:r>
          </w:p>
        </w:tc>
      </w:tr>
      <w:tr w:rsidR="000B4F35" w:rsidRPr="00525FC8" w14:paraId="5941F5A7" w14:textId="77777777" w:rsidTr="00B002C2">
        <w:trPr>
          <w:trHeight w:hRule="exact" w:val="332"/>
          <w:tblCellSpacing w:w="15" w:type="dxa"/>
        </w:trPr>
        <w:tc>
          <w:tcPr>
            <w:tcW w:w="0" w:type="auto"/>
            <w:shd w:val="clear" w:color="auto" w:fill="C2D69B"/>
            <w:vAlign w:val="center"/>
            <w:hideMark/>
          </w:tcPr>
          <w:p w14:paraId="29C99C9B" w14:textId="77777777" w:rsidR="000B4F35" w:rsidRPr="00B002C2" w:rsidRDefault="000B4F35" w:rsidP="000B4F35">
            <w:r w:rsidRPr="00B002C2">
              <w:rPr>
                <w:b/>
                <w:bCs/>
              </w:rPr>
              <w:t>Merateľný ukazovateľ</w:t>
            </w:r>
          </w:p>
        </w:tc>
        <w:tc>
          <w:tcPr>
            <w:tcW w:w="0" w:type="auto"/>
            <w:gridSpan w:val="4"/>
            <w:shd w:val="clear" w:color="auto" w:fill="C2D69B"/>
            <w:vAlign w:val="center"/>
            <w:hideMark/>
          </w:tcPr>
          <w:p w14:paraId="3689A314" w14:textId="77777777" w:rsidR="000B4F35" w:rsidRPr="00B002C2" w:rsidRDefault="000B4F35" w:rsidP="000B4F35">
            <w:r w:rsidRPr="00B002C2">
              <w:t xml:space="preserve">Počet účastníkov na podujatiach </w:t>
            </w:r>
          </w:p>
        </w:tc>
      </w:tr>
      <w:tr w:rsidR="000B4F35" w:rsidRPr="00525FC8" w14:paraId="3AC6945C" w14:textId="77777777" w:rsidTr="00B002C2">
        <w:trPr>
          <w:trHeight w:hRule="exact" w:val="381"/>
          <w:tblCellSpacing w:w="15" w:type="dxa"/>
        </w:trPr>
        <w:tc>
          <w:tcPr>
            <w:tcW w:w="0" w:type="auto"/>
            <w:shd w:val="clear" w:color="auto" w:fill="C2D69B"/>
            <w:vAlign w:val="center"/>
            <w:hideMark/>
          </w:tcPr>
          <w:p w14:paraId="5279FB22" w14:textId="77777777" w:rsidR="000B4F35" w:rsidRPr="00B002C2" w:rsidRDefault="000B4F35" w:rsidP="000B4F35">
            <w:pPr>
              <w:jc w:val="center"/>
            </w:pPr>
            <w:r w:rsidRPr="00B002C2">
              <w:rPr>
                <w:b/>
                <w:bCs/>
              </w:rPr>
              <w:t>Rok</w:t>
            </w:r>
          </w:p>
        </w:tc>
        <w:tc>
          <w:tcPr>
            <w:tcW w:w="0" w:type="auto"/>
            <w:shd w:val="clear" w:color="auto" w:fill="C2D69B"/>
            <w:vAlign w:val="center"/>
            <w:hideMark/>
          </w:tcPr>
          <w:p w14:paraId="2CA41DAC" w14:textId="77777777" w:rsidR="000B4F35" w:rsidRPr="00B002C2" w:rsidRDefault="000B4F35" w:rsidP="000B4F35">
            <w:pPr>
              <w:jc w:val="center"/>
            </w:pPr>
            <w:r w:rsidRPr="00B002C2">
              <w:rPr>
                <w:b/>
                <w:bCs/>
              </w:rPr>
              <w:t>Plán</w:t>
            </w:r>
          </w:p>
        </w:tc>
        <w:tc>
          <w:tcPr>
            <w:tcW w:w="0" w:type="auto"/>
            <w:shd w:val="clear" w:color="auto" w:fill="C2D69B"/>
            <w:vAlign w:val="center"/>
            <w:hideMark/>
          </w:tcPr>
          <w:p w14:paraId="2F130C8D" w14:textId="77777777" w:rsidR="000B4F35" w:rsidRPr="00B002C2" w:rsidRDefault="000B4F35" w:rsidP="000B4F35">
            <w:pPr>
              <w:jc w:val="center"/>
            </w:pPr>
            <w:r w:rsidRPr="00B002C2">
              <w:rPr>
                <w:b/>
                <w:bCs/>
              </w:rPr>
              <w:t>Skutočnosť</w:t>
            </w:r>
          </w:p>
        </w:tc>
        <w:tc>
          <w:tcPr>
            <w:tcW w:w="0" w:type="auto"/>
            <w:shd w:val="clear" w:color="auto" w:fill="C2D69B"/>
            <w:vAlign w:val="center"/>
            <w:hideMark/>
          </w:tcPr>
          <w:p w14:paraId="08D5587D" w14:textId="77777777" w:rsidR="000B4F35" w:rsidRPr="00B002C2" w:rsidRDefault="000B4F35" w:rsidP="000B4F35">
            <w:pPr>
              <w:jc w:val="center"/>
            </w:pPr>
            <w:r w:rsidRPr="00B002C2">
              <w:rPr>
                <w:b/>
                <w:bCs/>
              </w:rPr>
              <w:t>Plnenie</w:t>
            </w:r>
          </w:p>
        </w:tc>
        <w:tc>
          <w:tcPr>
            <w:tcW w:w="1931" w:type="pct"/>
            <w:shd w:val="clear" w:color="auto" w:fill="C2D69B"/>
            <w:vAlign w:val="center"/>
            <w:hideMark/>
          </w:tcPr>
          <w:p w14:paraId="7BB07006" w14:textId="77777777" w:rsidR="000B4F35" w:rsidRPr="00B002C2" w:rsidRDefault="000B4F35" w:rsidP="000B4F35">
            <w:r w:rsidRPr="00B002C2">
              <w:rPr>
                <w:b/>
                <w:bCs/>
              </w:rPr>
              <w:t>Poznámka</w:t>
            </w:r>
          </w:p>
        </w:tc>
      </w:tr>
      <w:tr w:rsidR="000B4F35" w:rsidRPr="00525FC8" w14:paraId="07B9B421" w14:textId="77777777" w:rsidTr="00827064">
        <w:trPr>
          <w:trHeight w:hRule="exact" w:val="636"/>
          <w:tblCellSpacing w:w="15" w:type="dxa"/>
        </w:trPr>
        <w:tc>
          <w:tcPr>
            <w:tcW w:w="0" w:type="auto"/>
            <w:shd w:val="clear" w:color="auto" w:fill="C2D69B"/>
            <w:vAlign w:val="center"/>
            <w:hideMark/>
          </w:tcPr>
          <w:p w14:paraId="6F3662C3" w14:textId="77777777" w:rsidR="000B4F35" w:rsidRPr="00B002C2" w:rsidRDefault="000B4F35" w:rsidP="000B4F35">
            <w:pPr>
              <w:jc w:val="center"/>
            </w:pPr>
            <w:r w:rsidRPr="00B002C2">
              <w:t xml:space="preserve">2020 </w:t>
            </w:r>
          </w:p>
        </w:tc>
        <w:tc>
          <w:tcPr>
            <w:tcW w:w="0" w:type="auto"/>
            <w:shd w:val="clear" w:color="auto" w:fill="C2D69B"/>
            <w:noWrap/>
            <w:vAlign w:val="center"/>
          </w:tcPr>
          <w:p w14:paraId="1477CEC6" w14:textId="77777777" w:rsidR="000B4F35" w:rsidRPr="00B002C2" w:rsidRDefault="000B4F35" w:rsidP="000B4F35">
            <w:pPr>
              <w:jc w:val="center"/>
            </w:pPr>
            <w:r w:rsidRPr="00B002C2">
              <w:t>1863</w:t>
            </w:r>
          </w:p>
        </w:tc>
        <w:tc>
          <w:tcPr>
            <w:tcW w:w="0" w:type="auto"/>
            <w:shd w:val="clear" w:color="auto" w:fill="C2D69B"/>
            <w:noWrap/>
            <w:vAlign w:val="center"/>
          </w:tcPr>
          <w:p w14:paraId="53444630" w14:textId="77777777" w:rsidR="000B4F35" w:rsidRPr="00B002C2" w:rsidRDefault="000B4F35" w:rsidP="000B4F35">
            <w:pPr>
              <w:jc w:val="center"/>
            </w:pPr>
            <w:r w:rsidRPr="00B002C2">
              <w:t>2161</w:t>
            </w:r>
          </w:p>
        </w:tc>
        <w:tc>
          <w:tcPr>
            <w:tcW w:w="0" w:type="auto"/>
            <w:shd w:val="clear" w:color="auto" w:fill="C2D69B"/>
            <w:vAlign w:val="center"/>
            <w:hideMark/>
          </w:tcPr>
          <w:p w14:paraId="7D458B7B" w14:textId="77777777" w:rsidR="000B4F35" w:rsidRPr="00B002C2" w:rsidRDefault="000B4F35" w:rsidP="000B4F35">
            <w:pPr>
              <w:jc w:val="center"/>
            </w:pPr>
            <w:r w:rsidRPr="00B002C2">
              <w:t xml:space="preserve">Splnené </w:t>
            </w:r>
          </w:p>
        </w:tc>
        <w:tc>
          <w:tcPr>
            <w:tcW w:w="0" w:type="auto"/>
            <w:shd w:val="clear" w:color="auto" w:fill="C2D69B"/>
            <w:vAlign w:val="center"/>
            <w:hideMark/>
          </w:tcPr>
          <w:p w14:paraId="7004EB09" w14:textId="77777777" w:rsidR="000B4F35" w:rsidRPr="00B002C2" w:rsidRDefault="000B4F35" w:rsidP="000B4F35">
            <w:r w:rsidRPr="00B002C2">
              <w:t>Uvedený údaj vychádza z priemerného počtu účastníkov na akciu (14,9 osoba / udalosť).</w:t>
            </w:r>
          </w:p>
        </w:tc>
      </w:tr>
      <w:tr w:rsidR="000B4F35" w:rsidRPr="00525FC8" w14:paraId="7BA39C17" w14:textId="77777777" w:rsidTr="00B002C2">
        <w:trPr>
          <w:trHeight w:hRule="exact" w:val="310"/>
          <w:tblCellSpacing w:w="15" w:type="dxa"/>
        </w:trPr>
        <w:tc>
          <w:tcPr>
            <w:tcW w:w="0" w:type="auto"/>
            <w:shd w:val="clear" w:color="auto" w:fill="C2D69B"/>
            <w:vAlign w:val="center"/>
            <w:hideMark/>
          </w:tcPr>
          <w:p w14:paraId="7A401334" w14:textId="77777777" w:rsidR="000B4F35" w:rsidRPr="00B002C2" w:rsidRDefault="000B4F35" w:rsidP="000B4F35">
            <w:r w:rsidRPr="00B002C2">
              <w:rPr>
                <w:b/>
                <w:bCs/>
              </w:rPr>
              <w:t>Cieľ</w:t>
            </w:r>
          </w:p>
        </w:tc>
        <w:tc>
          <w:tcPr>
            <w:tcW w:w="0" w:type="auto"/>
            <w:gridSpan w:val="4"/>
            <w:shd w:val="clear" w:color="auto" w:fill="C2D69B"/>
            <w:vAlign w:val="center"/>
            <w:hideMark/>
          </w:tcPr>
          <w:p w14:paraId="072D9B18" w14:textId="77777777" w:rsidR="000B4F35" w:rsidRPr="00B002C2" w:rsidRDefault="000B4F35" w:rsidP="000B4F35">
            <w:r w:rsidRPr="00B002C2">
              <w:t xml:space="preserve">Technická pomoc </w:t>
            </w:r>
          </w:p>
        </w:tc>
      </w:tr>
      <w:tr w:rsidR="000B4F35" w:rsidRPr="00525FC8" w14:paraId="7B6DD5BF" w14:textId="77777777" w:rsidTr="00B002C2">
        <w:trPr>
          <w:trHeight w:hRule="exact" w:val="386"/>
          <w:tblCellSpacing w:w="15" w:type="dxa"/>
        </w:trPr>
        <w:tc>
          <w:tcPr>
            <w:tcW w:w="0" w:type="auto"/>
            <w:shd w:val="clear" w:color="auto" w:fill="C2D69B"/>
            <w:vAlign w:val="center"/>
            <w:hideMark/>
          </w:tcPr>
          <w:p w14:paraId="4EA81D49" w14:textId="77777777" w:rsidR="000B4F35" w:rsidRPr="00B002C2" w:rsidRDefault="000B4F35" w:rsidP="000B4F35">
            <w:r w:rsidRPr="00B002C2">
              <w:rPr>
                <w:b/>
                <w:bCs/>
              </w:rPr>
              <w:t>Merateľný ukazovateľ</w:t>
            </w:r>
          </w:p>
        </w:tc>
        <w:tc>
          <w:tcPr>
            <w:tcW w:w="0" w:type="auto"/>
            <w:gridSpan w:val="4"/>
            <w:shd w:val="clear" w:color="auto" w:fill="C2D69B"/>
            <w:vAlign w:val="center"/>
            <w:hideMark/>
          </w:tcPr>
          <w:p w14:paraId="227847F9" w14:textId="77777777" w:rsidR="000B4F35" w:rsidRPr="00B002C2" w:rsidRDefault="000B4F35" w:rsidP="000B4F35">
            <w:r w:rsidRPr="00B002C2">
              <w:t xml:space="preserve">Zasadnutia monitorovacieho výboru </w:t>
            </w:r>
          </w:p>
        </w:tc>
      </w:tr>
      <w:tr w:rsidR="000B4F35" w:rsidRPr="00525FC8" w14:paraId="2EDD72E2" w14:textId="77777777" w:rsidTr="00B002C2">
        <w:trPr>
          <w:trHeight w:hRule="exact" w:val="392"/>
          <w:tblCellSpacing w:w="15" w:type="dxa"/>
        </w:trPr>
        <w:tc>
          <w:tcPr>
            <w:tcW w:w="0" w:type="auto"/>
            <w:shd w:val="clear" w:color="auto" w:fill="C2D69B"/>
            <w:vAlign w:val="center"/>
            <w:hideMark/>
          </w:tcPr>
          <w:p w14:paraId="3FAE0CBA" w14:textId="77777777" w:rsidR="000B4F35" w:rsidRPr="00B002C2" w:rsidRDefault="000B4F35" w:rsidP="000B4F35">
            <w:pPr>
              <w:jc w:val="center"/>
            </w:pPr>
            <w:r w:rsidRPr="00B002C2">
              <w:rPr>
                <w:b/>
                <w:bCs/>
              </w:rPr>
              <w:t>Rok</w:t>
            </w:r>
          </w:p>
        </w:tc>
        <w:tc>
          <w:tcPr>
            <w:tcW w:w="0" w:type="auto"/>
            <w:shd w:val="clear" w:color="auto" w:fill="C2D69B"/>
            <w:vAlign w:val="center"/>
            <w:hideMark/>
          </w:tcPr>
          <w:p w14:paraId="132B1DA8" w14:textId="77777777" w:rsidR="000B4F35" w:rsidRPr="00B002C2" w:rsidRDefault="000B4F35" w:rsidP="000B4F35">
            <w:pPr>
              <w:jc w:val="center"/>
            </w:pPr>
            <w:r w:rsidRPr="00B002C2">
              <w:rPr>
                <w:b/>
                <w:bCs/>
              </w:rPr>
              <w:t>Plán</w:t>
            </w:r>
          </w:p>
        </w:tc>
        <w:tc>
          <w:tcPr>
            <w:tcW w:w="0" w:type="auto"/>
            <w:shd w:val="clear" w:color="auto" w:fill="C2D69B"/>
            <w:vAlign w:val="center"/>
            <w:hideMark/>
          </w:tcPr>
          <w:p w14:paraId="781D6096" w14:textId="77777777" w:rsidR="000B4F35" w:rsidRPr="00B002C2" w:rsidRDefault="000B4F35" w:rsidP="000B4F35">
            <w:pPr>
              <w:jc w:val="center"/>
            </w:pPr>
            <w:r w:rsidRPr="00B002C2">
              <w:rPr>
                <w:b/>
                <w:bCs/>
              </w:rPr>
              <w:t>Skutočnosť</w:t>
            </w:r>
          </w:p>
        </w:tc>
        <w:tc>
          <w:tcPr>
            <w:tcW w:w="0" w:type="auto"/>
            <w:shd w:val="clear" w:color="auto" w:fill="C2D69B"/>
            <w:vAlign w:val="center"/>
            <w:hideMark/>
          </w:tcPr>
          <w:p w14:paraId="1A0F614A" w14:textId="77777777" w:rsidR="000B4F35" w:rsidRPr="00B002C2" w:rsidRDefault="000B4F35" w:rsidP="000B4F35">
            <w:pPr>
              <w:jc w:val="center"/>
            </w:pPr>
            <w:r w:rsidRPr="00B002C2">
              <w:rPr>
                <w:b/>
                <w:bCs/>
              </w:rPr>
              <w:t>Plnenie</w:t>
            </w:r>
          </w:p>
        </w:tc>
        <w:tc>
          <w:tcPr>
            <w:tcW w:w="1931" w:type="pct"/>
            <w:shd w:val="clear" w:color="auto" w:fill="C2D69B"/>
            <w:vAlign w:val="center"/>
            <w:hideMark/>
          </w:tcPr>
          <w:p w14:paraId="5B142507" w14:textId="77777777" w:rsidR="000B4F35" w:rsidRPr="00B002C2" w:rsidRDefault="000B4F35" w:rsidP="000B4F35">
            <w:r w:rsidRPr="00B002C2">
              <w:rPr>
                <w:b/>
                <w:bCs/>
              </w:rPr>
              <w:t>Poznámka</w:t>
            </w:r>
          </w:p>
        </w:tc>
      </w:tr>
      <w:tr w:rsidR="000B4F35" w:rsidRPr="00525FC8" w14:paraId="4B599051" w14:textId="77777777" w:rsidTr="00827064">
        <w:trPr>
          <w:trHeight w:val="1577"/>
          <w:tblCellSpacing w:w="15" w:type="dxa"/>
        </w:trPr>
        <w:tc>
          <w:tcPr>
            <w:tcW w:w="0" w:type="auto"/>
            <w:shd w:val="clear" w:color="auto" w:fill="C2D69B"/>
            <w:vAlign w:val="center"/>
            <w:hideMark/>
          </w:tcPr>
          <w:p w14:paraId="008D0CD1" w14:textId="77777777" w:rsidR="000B4F35" w:rsidRPr="00B002C2" w:rsidRDefault="000B4F35" w:rsidP="000B4F35">
            <w:pPr>
              <w:jc w:val="center"/>
            </w:pPr>
            <w:r w:rsidRPr="00B002C2">
              <w:t xml:space="preserve">2020 </w:t>
            </w:r>
          </w:p>
        </w:tc>
        <w:tc>
          <w:tcPr>
            <w:tcW w:w="0" w:type="auto"/>
            <w:shd w:val="clear" w:color="auto" w:fill="C2D69B"/>
            <w:noWrap/>
            <w:vAlign w:val="center"/>
          </w:tcPr>
          <w:p w14:paraId="3E3150B1" w14:textId="77777777" w:rsidR="000B4F35" w:rsidRPr="00B002C2" w:rsidRDefault="000B4F35" w:rsidP="000B4F35">
            <w:pPr>
              <w:jc w:val="center"/>
            </w:pPr>
            <w:r w:rsidRPr="00B002C2">
              <w:t>2</w:t>
            </w:r>
          </w:p>
        </w:tc>
        <w:tc>
          <w:tcPr>
            <w:tcW w:w="0" w:type="auto"/>
            <w:shd w:val="clear" w:color="auto" w:fill="C2D69B"/>
            <w:noWrap/>
            <w:vAlign w:val="center"/>
          </w:tcPr>
          <w:p w14:paraId="04F17AEF" w14:textId="77777777" w:rsidR="000B4F35" w:rsidRPr="00B002C2" w:rsidRDefault="000B4F35" w:rsidP="000B4F35">
            <w:pPr>
              <w:jc w:val="center"/>
            </w:pPr>
            <w:r w:rsidRPr="00B002C2">
              <w:t>3</w:t>
            </w:r>
          </w:p>
        </w:tc>
        <w:tc>
          <w:tcPr>
            <w:tcW w:w="0" w:type="auto"/>
            <w:shd w:val="clear" w:color="auto" w:fill="C2D69B"/>
            <w:vAlign w:val="center"/>
            <w:hideMark/>
          </w:tcPr>
          <w:p w14:paraId="3F05DF97" w14:textId="77777777" w:rsidR="000B4F35" w:rsidRPr="00B002C2" w:rsidRDefault="000B4F35" w:rsidP="000B4F35">
            <w:pPr>
              <w:jc w:val="center"/>
            </w:pPr>
            <w:r w:rsidRPr="00B002C2">
              <w:t xml:space="preserve">Splnené </w:t>
            </w:r>
          </w:p>
        </w:tc>
        <w:tc>
          <w:tcPr>
            <w:tcW w:w="0" w:type="auto"/>
            <w:shd w:val="clear" w:color="auto" w:fill="C2D69B"/>
            <w:vAlign w:val="center"/>
            <w:hideMark/>
          </w:tcPr>
          <w:p w14:paraId="77246C3E" w14:textId="39382BB1" w:rsidR="000B4F35" w:rsidRPr="00B002C2" w:rsidRDefault="000B4F35" w:rsidP="000B4F35">
            <w:r w:rsidRPr="00B002C2">
              <w:t>10. zasadnutie monitorovacieho výboru sa uskutočnilo dňa 24.06.2020 (online, predsedalo Fínsko);</w:t>
            </w:r>
            <w:r w:rsidR="00B002C2">
              <w:br/>
            </w:r>
            <w:r w:rsidRPr="00B002C2">
              <w:t>11. zasadnutie monitorovacieho výboru sa uskutočnilo dňa 05.10.2020 (online, predsedalo Fínsko);</w:t>
            </w:r>
            <w:r w:rsidR="00B002C2">
              <w:br/>
            </w:r>
            <w:r w:rsidRPr="00B002C2">
              <w:t>12. zasadnutie monitorovacieho výboru sa uskutočnilo dňa 09.12.2020 (online, predsedalo Chorvátsko).</w:t>
            </w:r>
          </w:p>
        </w:tc>
      </w:tr>
      <w:tr w:rsidR="000B4F35" w:rsidRPr="00525FC8" w14:paraId="17EAB115" w14:textId="77777777" w:rsidTr="00B002C2">
        <w:trPr>
          <w:trHeight w:hRule="exact" w:val="363"/>
          <w:tblCellSpacing w:w="15" w:type="dxa"/>
        </w:trPr>
        <w:tc>
          <w:tcPr>
            <w:tcW w:w="0" w:type="auto"/>
            <w:shd w:val="clear" w:color="auto" w:fill="C2D69B"/>
            <w:vAlign w:val="center"/>
            <w:hideMark/>
          </w:tcPr>
          <w:p w14:paraId="336076CC" w14:textId="77777777" w:rsidR="000B4F35" w:rsidRPr="00B002C2" w:rsidRDefault="000B4F35" w:rsidP="000B4F35">
            <w:pPr>
              <w:rPr>
                <w:b/>
                <w:bCs/>
              </w:rPr>
            </w:pPr>
            <w:r w:rsidRPr="00B002C2">
              <w:rPr>
                <w:b/>
                <w:bCs/>
              </w:rPr>
              <w:t>Merateľný ukazovateľ</w:t>
            </w:r>
          </w:p>
          <w:p w14:paraId="46024EC3" w14:textId="384E6AB5" w:rsidR="00827064" w:rsidRPr="00B002C2" w:rsidRDefault="00827064" w:rsidP="000B4F35"/>
        </w:tc>
        <w:tc>
          <w:tcPr>
            <w:tcW w:w="0" w:type="auto"/>
            <w:gridSpan w:val="4"/>
            <w:shd w:val="clear" w:color="auto" w:fill="C2D69B"/>
            <w:vAlign w:val="center"/>
            <w:hideMark/>
          </w:tcPr>
          <w:p w14:paraId="619478C9" w14:textId="77777777" w:rsidR="000B4F35" w:rsidRPr="00B002C2" w:rsidRDefault="000B4F35" w:rsidP="000B4F35">
            <w:r w:rsidRPr="00B002C2">
              <w:t xml:space="preserve">Vypracovanie výročnej správy o realizovaní programu spolupráce </w:t>
            </w:r>
          </w:p>
        </w:tc>
      </w:tr>
      <w:tr w:rsidR="000B4F35" w:rsidRPr="00525FC8" w14:paraId="6694B025" w14:textId="77777777" w:rsidTr="00B002C2">
        <w:trPr>
          <w:trHeight w:hRule="exact" w:val="363"/>
          <w:tblCellSpacing w:w="15" w:type="dxa"/>
        </w:trPr>
        <w:tc>
          <w:tcPr>
            <w:tcW w:w="0" w:type="auto"/>
            <w:shd w:val="clear" w:color="auto" w:fill="C2D69B"/>
            <w:vAlign w:val="center"/>
            <w:hideMark/>
          </w:tcPr>
          <w:p w14:paraId="219821FC" w14:textId="77777777" w:rsidR="000B4F35" w:rsidRPr="00B002C2" w:rsidRDefault="000B4F35" w:rsidP="000B4F35">
            <w:pPr>
              <w:jc w:val="center"/>
            </w:pPr>
            <w:r w:rsidRPr="00B002C2">
              <w:rPr>
                <w:b/>
                <w:bCs/>
              </w:rPr>
              <w:t>Rok</w:t>
            </w:r>
          </w:p>
        </w:tc>
        <w:tc>
          <w:tcPr>
            <w:tcW w:w="0" w:type="auto"/>
            <w:shd w:val="clear" w:color="auto" w:fill="C2D69B"/>
            <w:vAlign w:val="center"/>
            <w:hideMark/>
          </w:tcPr>
          <w:p w14:paraId="645C9297" w14:textId="77777777" w:rsidR="000B4F35" w:rsidRPr="00B002C2" w:rsidRDefault="000B4F35" w:rsidP="000B4F35">
            <w:pPr>
              <w:jc w:val="center"/>
            </w:pPr>
            <w:r w:rsidRPr="00B002C2">
              <w:rPr>
                <w:b/>
                <w:bCs/>
              </w:rPr>
              <w:t>Plán</w:t>
            </w:r>
          </w:p>
        </w:tc>
        <w:tc>
          <w:tcPr>
            <w:tcW w:w="0" w:type="auto"/>
            <w:shd w:val="clear" w:color="auto" w:fill="C2D69B"/>
            <w:vAlign w:val="center"/>
            <w:hideMark/>
          </w:tcPr>
          <w:p w14:paraId="4E70A716" w14:textId="77777777" w:rsidR="000B4F35" w:rsidRPr="00B002C2" w:rsidRDefault="000B4F35" w:rsidP="000B4F35">
            <w:pPr>
              <w:jc w:val="center"/>
            </w:pPr>
            <w:r w:rsidRPr="00B002C2">
              <w:rPr>
                <w:b/>
                <w:bCs/>
              </w:rPr>
              <w:t>Skutočnosť</w:t>
            </w:r>
          </w:p>
        </w:tc>
        <w:tc>
          <w:tcPr>
            <w:tcW w:w="0" w:type="auto"/>
            <w:shd w:val="clear" w:color="auto" w:fill="C2D69B"/>
            <w:vAlign w:val="center"/>
            <w:hideMark/>
          </w:tcPr>
          <w:p w14:paraId="52C6D6F9" w14:textId="77777777" w:rsidR="000B4F35" w:rsidRPr="00B002C2" w:rsidRDefault="000B4F35" w:rsidP="000B4F35">
            <w:pPr>
              <w:jc w:val="center"/>
            </w:pPr>
            <w:r w:rsidRPr="00B002C2">
              <w:rPr>
                <w:b/>
                <w:bCs/>
              </w:rPr>
              <w:t>Plnenie</w:t>
            </w:r>
          </w:p>
        </w:tc>
        <w:tc>
          <w:tcPr>
            <w:tcW w:w="1931" w:type="pct"/>
            <w:shd w:val="clear" w:color="auto" w:fill="C2D69B"/>
            <w:vAlign w:val="center"/>
            <w:hideMark/>
          </w:tcPr>
          <w:p w14:paraId="31320272" w14:textId="77777777" w:rsidR="000B4F35" w:rsidRPr="00B002C2" w:rsidRDefault="000B4F35" w:rsidP="000B4F35">
            <w:r w:rsidRPr="00B002C2">
              <w:rPr>
                <w:b/>
                <w:bCs/>
              </w:rPr>
              <w:t>Poznámka</w:t>
            </w:r>
          </w:p>
        </w:tc>
      </w:tr>
      <w:tr w:rsidR="000B4F35" w:rsidRPr="00525FC8" w14:paraId="7362BE14" w14:textId="77777777" w:rsidTr="00827064">
        <w:trPr>
          <w:trHeight w:hRule="exact" w:val="966"/>
          <w:tblCellSpacing w:w="15" w:type="dxa"/>
        </w:trPr>
        <w:tc>
          <w:tcPr>
            <w:tcW w:w="0" w:type="auto"/>
            <w:shd w:val="clear" w:color="auto" w:fill="C2D69B"/>
            <w:vAlign w:val="center"/>
            <w:hideMark/>
          </w:tcPr>
          <w:p w14:paraId="71366862" w14:textId="77777777" w:rsidR="000B4F35" w:rsidRPr="00B002C2" w:rsidRDefault="000B4F35" w:rsidP="000B4F35">
            <w:pPr>
              <w:jc w:val="center"/>
            </w:pPr>
            <w:r w:rsidRPr="00B002C2">
              <w:t xml:space="preserve">2020 </w:t>
            </w:r>
          </w:p>
        </w:tc>
        <w:tc>
          <w:tcPr>
            <w:tcW w:w="0" w:type="auto"/>
            <w:shd w:val="clear" w:color="auto" w:fill="C2D69B"/>
            <w:noWrap/>
            <w:vAlign w:val="center"/>
          </w:tcPr>
          <w:p w14:paraId="4F4F7BD9" w14:textId="77777777" w:rsidR="000B4F35" w:rsidRPr="00B002C2" w:rsidRDefault="000B4F35" w:rsidP="000B4F35">
            <w:pPr>
              <w:jc w:val="center"/>
            </w:pPr>
            <w:r w:rsidRPr="00B002C2">
              <w:t>1</w:t>
            </w:r>
          </w:p>
        </w:tc>
        <w:tc>
          <w:tcPr>
            <w:tcW w:w="0" w:type="auto"/>
            <w:shd w:val="clear" w:color="auto" w:fill="C2D69B"/>
            <w:noWrap/>
            <w:vAlign w:val="center"/>
          </w:tcPr>
          <w:p w14:paraId="374F249A" w14:textId="77777777" w:rsidR="000B4F35" w:rsidRPr="00B002C2" w:rsidRDefault="000B4F35" w:rsidP="000B4F35">
            <w:pPr>
              <w:jc w:val="center"/>
            </w:pPr>
            <w:r w:rsidRPr="00B002C2">
              <w:t>1</w:t>
            </w:r>
          </w:p>
        </w:tc>
        <w:tc>
          <w:tcPr>
            <w:tcW w:w="0" w:type="auto"/>
            <w:shd w:val="clear" w:color="auto" w:fill="C2D69B"/>
            <w:vAlign w:val="center"/>
            <w:hideMark/>
          </w:tcPr>
          <w:p w14:paraId="723BE994" w14:textId="77777777" w:rsidR="000B4F35" w:rsidRPr="00B002C2" w:rsidRDefault="000B4F35" w:rsidP="000B4F35">
            <w:pPr>
              <w:jc w:val="center"/>
            </w:pPr>
            <w:r w:rsidRPr="00B002C2">
              <w:t xml:space="preserve">Splnené </w:t>
            </w:r>
          </w:p>
        </w:tc>
        <w:tc>
          <w:tcPr>
            <w:tcW w:w="0" w:type="auto"/>
            <w:shd w:val="clear" w:color="auto" w:fill="C2D69B"/>
            <w:vAlign w:val="center"/>
            <w:hideMark/>
          </w:tcPr>
          <w:p w14:paraId="7F7CD776" w14:textId="77777777" w:rsidR="000B4F35" w:rsidRPr="00B002C2" w:rsidRDefault="000B4F35" w:rsidP="000B4F35">
            <w:r w:rsidRPr="00B002C2">
              <w:t>Program INTERACT predložil správu na EK dňa 30.09.2020 a EK ju bez pripomienok schválila dňa 28.01.2021.</w:t>
            </w:r>
          </w:p>
        </w:tc>
      </w:tr>
    </w:tbl>
    <w:p w14:paraId="2E22FAFB" w14:textId="77777777" w:rsidR="000B4F35" w:rsidRDefault="000B4F35" w:rsidP="000B4F35">
      <w:pPr>
        <w:pStyle w:val="Normlnywebov"/>
        <w:spacing w:after="0"/>
        <w:jc w:val="both"/>
        <w:rPr>
          <w:rFonts w:asciiTheme="minorHAnsi" w:hAnsiTheme="minorHAnsi"/>
          <w:b/>
          <w:bCs/>
          <w:sz w:val="22"/>
          <w:szCs w:val="22"/>
        </w:rPr>
      </w:pPr>
    </w:p>
    <w:p w14:paraId="0F033073" w14:textId="340F30D9" w:rsidR="000B4F35" w:rsidRDefault="000B4F35" w:rsidP="000B4F35">
      <w:pPr>
        <w:pStyle w:val="Normlnywebov"/>
        <w:spacing w:after="0"/>
        <w:jc w:val="both"/>
        <w:rPr>
          <w:rFonts w:asciiTheme="minorHAnsi" w:hAnsiTheme="minorHAnsi"/>
          <w:sz w:val="22"/>
          <w:szCs w:val="22"/>
        </w:rPr>
      </w:pPr>
      <w:r w:rsidRPr="00525FC8">
        <w:rPr>
          <w:rFonts w:asciiTheme="minorHAnsi" w:hAnsiTheme="minorHAnsi"/>
          <w:b/>
          <w:bCs/>
          <w:sz w:val="22"/>
          <w:szCs w:val="22"/>
        </w:rPr>
        <w:t xml:space="preserve">Komentár: </w:t>
      </w:r>
      <w:r w:rsidRPr="00782E86">
        <w:rPr>
          <w:rFonts w:asciiTheme="minorHAnsi" w:hAnsiTheme="minorHAnsi"/>
          <w:sz w:val="22"/>
          <w:szCs w:val="22"/>
        </w:rPr>
        <w:t xml:space="preserve">Poskytnuté služby programu spolupráce INTERACT, najmä pravidelné podujatia a školenia, boli silne ovplyvnené prepuknutím pandémie COVID-19. Všetky plánované medzinárodné podujatia boli od apríla 2020 realizované online. Podrobnejší zoznam aktivít je uvedený v časti </w:t>
      </w:r>
      <w:proofErr w:type="spellStart"/>
      <w:r w:rsidRPr="00782E86">
        <w:rPr>
          <w:rFonts w:asciiTheme="minorHAnsi" w:hAnsiTheme="minorHAnsi"/>
          <w:sz w:val="22"/>
          <w:szCs w:val="22"/>
        </w:rPr>
        <w:t>Events</w:t>
      </w:r>
      <w:proofErr w:type="spellEnd"/>
      <w:r w:rsidRPr="00782E86">
        <w:rPr>
          <w:rFonts w:asciiTheme="minorHAnsi" w:hAnsiTheme="minorHAnsi"/>
          <w:sz w:val="22"/>
          <w:szCs w:val="22"/>
        </w:rPr>
        <w:t xml:space="preserve"> na webovej stránke programu: </w:t>
      </w:r>
      <w:r w:rsidRPr="00782E86">
        <w:rPr>
          <w:rFonts w:asciiTheme="minorHAnsi" w:hAnsiTheme="minorHAnsi"/>
          <w:sz w:val="22"/>
          <w:szCs w:val="22"/>
        </w:rPr>
        <w:lastRenderedPageBreak/>
        <w:t xml:space="preserve">http://www.interact-eu.net/events. I napriek mimoriadnej situácii sa celý tím programu veľmi rýchlo preorientoval na poskytovanie služieb vo virtuálnom priestore, čo ocenili najmä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programy a Európska komisia, keďže rok 2020 bol mimoriadne dôležitý pri programovaní obdobia 2021-2027 a bolo nevyhnutné zabezpečiť, aby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programy i ďalší aktéri mali prístup k informáciám, možnosť diskutovať, klásť otázky Európskej komisii a vymieňať si skúsenosti pri príprave jednotlivých programov.</w:t>
      </w:r>
    </w:p>
    <w:p w14:paraId="08666746" w14:textId="77777777" w:rsidR="000B4F35" w:rsidRPr="00782E86" w:rsidRDefault="000B4F35" w:rsidP="000B4F35">
      <w:pPr>
        <w:pStyle w:val="Normlnywebov"/>
        <w:spacing w:after="0"/>
        <w:jc w:val="both"/>
        <w:rPr>
          <w:rFonts w:asciiTheme="minorHAnsi" w:hAnsiTheme="minorHAnsi"/>
          <w:sz w:val="22"/>
          <w:szCs w:val="22"/>
        </w:rPr>
      </w:pPr>
    </w:p>
    <w:p w14:paraId="5B94A472" w14:textId="5942CE68"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Podujatia INTERACT boli v roku 2020 zamerané najmä na nasledovné oblasti: </w:t>
      </w:r>
    </w:p>
    <w:p w14:paraId="70759635" w14:textId="77777777"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1)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post-2020: harmonizácia intervenčnej logiky a ukazovateľov (23.-24.01.2020, Viedeň), online podujatia zamerané na prípravu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programov po roku 2020 (25.03., 22.04., 29.04., 03.06., 15.06., 16.06.2020); online podujatie na tému prípravy programov pre najvzdialenejšie regióny (11.06.) a online podujatia objasňujúce politické ciele - </w:t>
      </w:r>
      <w:proofErr w:type="spellStart"/>
      <w:r w:rsidRPr="00782E86">
        <w:rPr>
          <w:rFonts w:asciiTheme="minorHAnsi" w:hAnsiTheme="minorHAnsi"/>
          <w:sz w:val="22"/>
          <w:szCs w:val="22"/>
        </w:rPr>
        <w:t>Policy</w:t>
      </w:r>
      <w:proofErr w:type="spellEnd"/>
      <w:r w:rsidRPr="00782E86">
        <w:rPr>
          <w:rFonts w:asciiTheme="minorHAnsi" w:hAnsiTheme="minorHAnsi"/>
          <w:sz w:val="22"/>
          <w:szCs w:val="22"/>
        </w:rPr>
        <w:t xml:space="preserve"> </w:t>
      </w:r>
      <w:proofErr w:type="spellStart"/>
      <w:r w:rsidRPr="00782E86">
        <w:rPr>
          <w:rFonts w:asciiTheme="minorHAnsi" w:hAnsiTheme="minorHAnsi"/>
          <w:sz w:val="22"/>
          <w:szCs w:val="22"/>
        </w:rPr>
        <w:t>Objectives</w:t>
      </w:r>
      <w:proofErr w:type="spellEnd"/>
      <w:r w:rsidRPr="00782E86">
        <w:rPr>
          <w:rFonts w:asciiTheme="minorHAnsi" w:hAnsiTheme="minorHAnsi"/>
          <w:sz w:val="22"/>
          <w:szCs w:val="22"/>
        </w:rPr>
        <w:t xml:space="preserve"> a špecifické ciele programov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w:t>
      </w:r>
      <w:proofErr w:type="spellStart"/>
      <w:r w:rsidRPr="00782E86">
        <w:rPr>
          <w:rFonts w:asciiTheme="minorHAnsi" w:hAnsiTheme="minorHAnsi"/>
          <w:sz w:val="22"/>
          <w:szCs w:val="22"/>
        </w:rPr>
        <w:t>Specific</w:t>
      </w:r>
      <w:proofErr w:type="spellEnd"/>
      <w:r w:rsidRPr="00782E86">
        <w:rPr>
          <w:rFonts w:asciiTheme="minorHAnsi" w:hAnsiTheme="minorHAnsi"/>
          <w:sz w:val="22"/>
          <w:szCs w:val="22"/>
        </w:rPr>
        <w:t xml:space="preserve"> </w:t>
      </w:r>
      <w:proofErr w:type="spellStart"/>
      <w:r w:rsidRPr="00782E86">
        <w:rPr>
          <w:rFonts w:asciiTheme="minorHAnsi" w:hAnsiTheme="minorHAnsi"/>
          <w:sz w:val="22"/>
          <w:szCs w:val="22"/>
        </w:rPr>
        <w:t>Objectives</w:t>
      </w:r>
      <w:proofErr w:type="spellEnd"/>
      <w:r w:rsidRPr="00782E86">
        <w:rPr>
          <w:rFonts w:asciiTheme="minorHAnsi" w:hAnsiTheme="minorHAnsi"/>
          <w:sz w:val="22"/>
          <w:szCs w:val="22"/>
        </w:rPr>
        <w:t xml:space="preserve"> (16.06., 06.07., 26.11. a 15.12.2020);</w:t>
      </w:r>
    </w:p>
    <w:p w14:paraId="12153E53" w14:textId="77777777"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2) Reakcia na COVID-19: otázky a odpovede s Európskou komisiou k reakcii na COVID-19 (26.05.2020, online), programová komunikácia počas COVID-19 (08.06.2020, online), stretnutie regionálnych sietí k téme COVID-19 (centrálna zóna a juhovýchodná zóna: 12.06.2020, online, severozápadná zóna: 23.06.2020, online);</w:t>
      </w:r>
    </w:p>
    <w:p w14:paraId="5404B70A" w14:textId="483146B6"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3) Finančný manažment: používanie zjednodušeného vykazovania výdavkov (04.-05.02.2020, Bratislava), fond malých projektov (05.-06.02.2020, Bratislava), stretnutia pracovných skupín pre štátnu pomoc (12.05.2020 a 05.06.2020, online), pravidelné stretnutie orgánov auditu (17.06.2020, online), poradenstvo pre jednotlivé programy / členské štáty EÚ (Malta: vykonávanie overovaní zo strany riadiaceho orgánu: 21.05.2020, online, nezrovnalosti a podvody: 28.05.2020, online, finančné opravy: 04.06.2020, online); úvodné stretnutie k auditnej dokumentácii  na obdobie 2021-2027 (15.07.2020, online), stretnutie orgánov auditu (25.09.2020, online), overovanie hospodárnosti výdavkov (10.09., 25.11., 27.11., 09.-10.12.2020, online);</w:t>
      </w:r>
    </w:p>
    <w:p w14:paraId="53EEE003" w14:textId="3712FDCC"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4) Kapitalizácia: stretnutia tematických skupín: riziká zmeny klímy (13.02. a 13.05.2020, online), inovatívna pozemná a námorná doprava pre zelenšiu Európu (09.06.2020, online), dopravné projekty v budúcnosti financované v rámci programov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 vízie (10.06.2020, online);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a výzvy v oblasti migrácie po roku 2020 (10.07.2020, online);</w:t>
      </w:r>
    </w:p>
    <w:p w14:paraId="0E14A3B7" w14:textId="7031CF77" w:rsidR="000B4F35"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5) Komunikácia: stretnutie komunikačnej skupiny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2020 (25.-26.02.2020, Vilnius), stretnutie komunikačnej skupiny nadnárodných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programov (27.02.2020, Vilnius), efektívne využitie anglického jazyka v komunikácii, tzv. „</w:t>
      </w:r>
      <w:proofErr w:type="spellStart"/>
      <w:r w:rsidRPr="00782E86">
        <w:rPr>
          <w:rFonts w:asciiTheme="minorHAnsi" w:hAnsiTheme="minorHAnsi"/>
          <w:sz w:val="22"/>
          <w:szCs w:val="22"/>
        </w:rPr>
        <w:t>Plain</w:t>
      </w:r>
      <w:proofErr w:type="spellEnd"/>
      <w:r w:rsidRPr="00782E86">
        <w:rPr>
          <w:rFonts w:asciiTheme="minorHAnsi" w:hAnsiTheme="minorHAnsi"/>
          <w:sz w:val="22"/>
          <w:szCs w:val="22"/>
        </w:rPr>
        <w:t xml:space="preserve"> English“ (región Baltského mora: 30.06.2020, online), príprava Dní európskej spolupráce 2020 (30.04.2020, online), príprava komunikačnej stratégie programov (16.06.2020, online), seminár na tému: Ako znížiť vplyv komunikácie na životné prostredie (29.09.2020, online).</w:t>
      </w:r>
    </w:p>
    <w:p w14:paraId="48D9680A" w14:textId="77777777" w:rsidR="000B4F35" w:rsidRPr="00782E86" w:rsidRDefault="000B4F35" w:rsidP="000B4F35">
      <w:pPr>
        <w:pStyle w:val="Normlnywebov"/>
        <w:spacing w:after="0"/>
        <w:jc w:val="both"/>
        <w:rPr>
          <w:rFonts w:asciiTheme="minorHAnsi" w:hAnsiTheme="minorHAnsi"/>
          <w:sz w:val="22"/>
          <w:szCs w:val="22"/>
        </w:rPr>
      </w:pPr>
    </w:p>
    <w:p w14:paraId="57792930" w14:textId="77777777"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Najviac využívané nástroje za obdobie január-december 2020:</w:t>
      </w:r>
    </w:p>
    <w:p w14:paraId="5E2E034F" w14:textId="77777777"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1) Nová webová stránka (www.ecday.eu) pre Deň európskej spolupráce 2020; </w:t>
      </w:r>
    </w:p>
    <w:p w14:paraId="2641C49E" w14:textId="77777777"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2) Intenzívne pokračuje príprava nového monitorovacieho systému pre programy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s názvom „</w:t>
      </w:r>
      <w:proofErr w:type="spellStart"/>
      <w:r w:rsidRPr="00782E86">
        <w:rPr>
          <w:rFonts w:asciiTheme="minorHAnsi" w:hAnsiTheme="minorHAnsi"/>
          <w:sz w:val="22"/>
          <w:szCs w:val="22"/>
        </w:rPr>
        <w:t>Jems</w:t>
      </w:r>
      <w:proofErr w:type="spellEnd"/>
      <w:r w:rsidRPr="00782E86">
        <w:rPr>
          <w:rFonts w:asciiTheme="minorHAnsi" w:hAnsiTheme="minorHAnsi"/>
          <w:sz w:val="22"/>
          <w:szCs w:val="22"/>
        </w:rPr>
        <w:t xml:space="preserve">“. Prvý modul bude k dispozícii od marca 2021; </w:t>
      </w:r>
    </w:p>
    <w:p w14:paraId="4420AFD9" w14:textId="77777777"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3) Vylepšenie funkcionalít v databáze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projektov https://keep.eu. Momentálne sa v databáze nachádza viac ako 24 500 projektov od roku 2000 až po súčasnosť;</w:t>
      </w:r>
    </w:p>
    <w:p w14:paraId="3506F87E" w14:textId="77777777" w:rsidR="000B4F35" w:rsidRPr="00782E86"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4) Online vzdelávanie: </w:t>
      </w:r>
      <w:proofErr w:type="spellStart"/>
      <w:r w:rsidRPr="00782E86">
        <w:rPr>
          <w:rFonts w:asciiTheme="minorHAnsi" w:hAnsiTheme="minorHAnsi"/>
          <w:sz w:val="22"/>
          <w:szCs w:val="22"/>
        </w:rPr>
        <w:t>Interact</w:t>
      </w:r>
      <w:proofErr w:type="spellEnd"/>
      <w:r w:rsidRPr="00782E86">
        <w:rPr>
          <w:rFonts w:asciiTheme="minorHAnsi" w:hAnsiTheme="minorHAnsi"/>
          <w:sz w:val="22"/>
          <w:szCs w:val="22"/>
        </w:rPr>
        <w:t xml:space="preserve"> platforma na online vzdelávanie (www.learning.interact-eu.net), ktorá bola spustená v apríli 2018, bola doplnená o nové online školenia na rôzne témy v oblasti komunikácie, napr.  story-</w:t>
      </w:r>
      <w:proofErr w:type="spellStart"/>
      <w:r w:rsidRPr="00782E86">
        <w:rPr>
          <w:rFonts w:asciiTheme="minorHAnsi" w:hAnsiTheme="minorHAnsi"/>
          <w:sz w:val="22"/>
          <w:szCs w:val="22"/>
        </w:rPr>
        <w:t>telling</w:t>
      </w:r>
      <w:proofErr w:type="spellEnd"/>
      <w:r w:rsidRPr="00782E86">
        <w:rPr>
          <w:rFonts w:asciiTheme="minorHAnsi" w:hAnsiTheme="minorHAnsi"/>
          <w:sz w:val="22"/>
          <w:szCs w:val="22"/>
        </w:rPr>
        <w:t xml:space="preserve">, e-mailové </w:t>
      </w:r>
      <w:proofErr w:type="spellStart"/>
      <w:r w:rsidRPr="00782E86">
        <w:rPr>
          <w:rFonts w:asciiTheme="minorHAnsi" w:hAnsiTheme="minorHAnsi"/>
          <w:sz w:val="22"/>
          <w:szCs w:val="22"/>
        </w:rPr>
        <w:t>newsletre</w:t>
      </w:r>
      <w:proofErr w:type="spellEnd"/>
      <w:r w:rsidRPr="00782E86">
        <w:rPr>
          <w:rFonts w:asciiTheme="minorHAnsi" w:hAnsiTheme="minorHAnsi"/>
          <w:sz w:val="22"/>
          <w:szCs w:val="22"/>
        </w:rPr>
        <w:t xml:space="preserve">, cieľové skupiny v rámci komunikácie a využitie sociálnych médií, webové stránky programov, používanie online nástrojov ako sú napr.: Twitter, LinkedIn, Facebook, Google </w:t>
      </w:r>
      <w:proofErr w:type="spellStart"/>
      <w:r w:rsidRPr="00782E86">
        <w:rPr>
          <w:rFonts w:asciiTheme="minorHAnsi" w:hAnsiTheme="minorHAnsi"/>
          <w:sz w:val="22"/>
          <w:szCs w:val="22"/>
        </w:rPr>
        <w:t>Analytics</w:t>
      </w:r>
      <w:proofErr w:type="spellEnd"/>
      <w:r w:rsidRPr="00782E86">
        <w:rPr>
          <w:rFonts w:asciiTheme="minorHAnsi" w:hAnsiTheme="minorHAnsi"/>
          <w:sz w:val="22"/>
          <w:szCs w:val="22"/>
        </w:rPr>
        <w:t xml:space="preserve"> v programovej komunikácii, atď. Taktiež bol spustený kurz týkajúci sa hodnotenia programov v období 2021-2027 a na čo je potrebné myslieť pri ich príprave;</w:t>
      </w:r>
    </w:p>
    <w:p w14:paraId="6777B963" w14:textId="77777777" w:rsidR="000B4F35" w:rsidRPr="00525FC8" w:rsidRDefault="000B4F35" w:rsidP="000B4F35">
      <w:pPr>
        <w:pStyle w:val="Normlnywebov"/>
        <w:spacing w:after="0"/>
        <w:jc w:val="both"/>
        <w:rPr>
          <w:rFonts w:asciiTheme="minorHAnsi" w:hAnsiTheme="minorHAnsi"/>
          <w:sz w:val="22"/>
          <w:szCs w:val="22"/>
        </w:rPr>
      </w:pPr>
      <w:r w:rsidRPr="00782E86">
        <w:rPr>
          <w:rFonts w:asciiTheme="minorHAnsi" w:hAnsiTheme="minorHAnsi"/>
          <w:sz w:val="22"/>
          <w:szCs w:val="22"/>
        </w:rPr>
        <w:t xml:space="preserve">5) Prevádzkovanie tematických komunít (online diskusné komunity), ktoré zahŕňajú všetky hlavné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témy, celkom 25 tém. Príklady: finančný manažment: oprávnenosť a možnosti  zjednodušovania výdavkov, národná kontrola, audit a </w:t>
      </w:r>
      <w:proofErr w:type="spellStart"/>
      <w:r w:rsidRPr="00782E86">
        <w:rPr>
          <w:rFonts w:asciiTheme="minorHAnsi" w:hAnsiTheme="minorHAnsi"/>
          <w:sz w:val="22"/>
          <w:szCs w:val="22"/>
        </w:rPr>
        <w:t>eMS</w:t>
      </w:r>
      <w:proofErr w:type="spellEnd"/>
      <w:r w:rsidRPr="00782E86">
        <w:rPr>
          <w:rFonts w:asciiTheme="minorHAnsi" w:hAnsiTheme="minorHAnsi"/>
          <w:sz w:val="22"/>
          <w:szCs w:val="22"/>
        </w:rPr>
        <w:t xml:space="preserve">; programový manažment: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-IPA CBC programy, najvzdialenejšie regióny, </w:t>
      </w:r>
      <w:proofErr w:type="spellStart"/>
      <w:r w:rsidRPr="00782E86">
        <w:rPr>
          <w:rFonts w:asciiTheme="minorHAnsi" w:hAnsiTheme="minorHAnsi"/>
          <w:sz w:val="22"/>
          <w:szCs w:val="22"/>
        </w:rPr>
        <w:t>interregionálne</w:t>
      </w:r>
      <w:proofErr w:type="spellEnd"/>
      <w:r w:rsidRPr="00782E86">
        <w:rPr>
          <w:rFonts w:asciiTheme="minorHAnsi" w:hAnsiTheme="minorHAnsi"/>
          <w:sz w:val="22"/>
          <w:szCs w:val="22"/>
        </w:rPr>
        <w:t xml:space="preserve"> programy, hodnotenia a indikátory, kapitalizácia a </w:t>
      </w:r>
      <w:proofErr w:type="spellStart"/>
      <w:r w:rsidRPr="00782E86">
        <w:rPr>
          <w:rFonts w:asciiTheme="minorHAnsi" w:hAnsiTheme="minorHAnsi"/>
          <w:sz w:val="22"/>
          <w:szCs w:val="22"/>
        </w:rPr>
        <w:t>Interreg</w:t>
      </w:r>
      <w:proofErr w:type="spellEnd"/>
      <w:r w:rsidRPr="00782E86">
        <w:rPr>
          <w:rFonts w:asciiTheme="minorHAnsi" w:hAnsiTheme="minorHAnsi"/>
          <w:sz w:val="22"/>
          <w:szCs w:val="22"/>
        </w:rPr>
        <w:t xml:space="preserve"> post-2020; komunikácia: programová komunikácia, Deň európskej spolupráce, atď.</w:t>
      </w:r>
    </w:p>
    <w:p w14:paraId="5180CB0D" w14:textId="5945F5BB" w:rsidR="00B002C2" w:rsidRDefault="00B002C2" w:rsidP="00DD2057">
      <w:pPr>
        <w:spacing w:before="100" w:beforeAutospacing="1" w:after="100" w:afterAutospacing="1" w:line="240" w:lineRule="auto"/>
        <w:outlineLvl w:val="2"/>
        <w:rPr>
          <w:rFonts w:cstheme="minorHAnsi"/>
          <w:b/>
          <w:bCs/>
          <w:color w:val="4F6228"/>
          <w:sz w:val="27"/>
          <w:szCs w:val="27"/>
          <w:lang w:eastAsia="sk-SK"/>
        </w:rPr>
      </w:pPr>
    </w:p>
    <w:p w14:paraId="0F52BC8A" w14:textId="77777777" w:rsidR="00390C7E" w:rsidRDefault="00390C7E" w:rsidP="00DD2057">
      <w:pPr>
        <w:spacing w:before="100" w:beforeAutospacing="1" w:after="100" w:afterAutospacing="1" w:line="240" w:lineRule="auto"/>
        <w:outlineLvl w:val="2"/>
        <w:rPr>
          <w:rFonts w:cstheme="minorHAnsi"/>
          <w:b/>
          <w:bCs/>
          <w:color w:val="4F6228"/>
          <w:sz w:val="27"/>
          <w:szCs w:val="27"/>
          <w:lang w:eastAsia="sk-SK"/>
        </w:rPr>
      </w:pPr>
    </w:p>
    <w:p w14:paraId="49CE1DF7" w14:textId="77777777" w:rsidR="00390C7E" w:rsidRDefault="00390C7E" w:rsidP="00DD2057">
      <w:pPr>
        <w:spacing w:before="100" w:beforeAutospacing="1" w:after="100" w:afterAutospacing="1" w:line="240" w:lineRule="auto"/>
        <w:outlineLvl w:val="2"/>
        <w:rPr>
          <w:rFonts w:cstheme="minorHAnsi"/>
          <w:b/>
          <w:bCs/>
          <w:color w:val="4F6228"/>
          <w:sz w:val="27"/>
          <w:szCs w:val="27"/>
          <w:lang w:eastAsia="sk-SK"/>
        </w:rPr>
      </w:pPr>
    </w:p>
    <w:p w14:paraId="26F22231" w14:textId="77777777" w:rsidR="00390C7E" w:rsidRDefault="00390C7E" w:rsidP="00DD2057">
      <w:pPr>
        <w:spacing w:before="100" w:beforeAutospacing="1" w:after="100" w:afterAutospacing="1" w:line="240" w:lineRule="auto"/>
        <w:outlineLvl w:val="2"/>
        <w:rPr>
          <w:rFonts w:cstheme="minorHAnsi"/>
          <w:b/>
          <w:bCs/>
          <w:color w:val="4F6228"/>
          <w:sz w:val="27"/>
          <w:szCs w:val="27"/>
          <w:lang w:eastAsia="sk-SK"/>
        </w:rPr>
      </w:pPr>
    </w:p>
    <w:p w14:paraId="331C18C5" w14:textId="03607842" w:rsidR="00827064" w:rsidRPr="004D060B" w:rsidRDefault="00827064" w:rsidP="00DD2057">
      <w:pPr>
        <w:spacing w:before="100" w:beforeAutospacing="1" w:after="100" w:afterAutospacing="1" w:line="240" w:lineRule="auto"/>
        <w:outlineLvl w:val="2"/>
        <w:rPr>
          <w:rFonts w:cstheme="minorHAnsi"/>
          <w:b/>
          <w:bCs/>
          <w:color w:val="4F6228"/>
          <w:sz w:val="27"/>
          <w:szCs w:val="27"/>
          <w:lang w:eastAsia="sk-SK"/>
        </w:rPr>
      </w:pPr>
      <w:r w:rsidRPr="004D060B">
        <w:rPr>
          <w:rFonts w:cstheme="minorHAnsi"/>
          <w:b/>
          <w:bCs/>
          <w:color w:val="4F6228"/>
          <w:sz w:val="27"/>
          <w:szCs w:val="27"/>
          <w:lang w:eastAsia="sk-SK"/>
        </w:rPr>
        <w:lastRenderedPageBreak/>
        <w:t>Podprogram 1.8: Implementácia projektov v rámci operačných programov OPBK a IROP</w:t>
      </w:r>
    </w:p>
    <w:p w14:paraId="57EEFEE7" w14:textId="77777777" w:rsidR="00827064" w:rsidRPr="004D060B" w:rsidRDefault="00827064" w:rsidP="00827064">
      <w:pPr>
        <w:spacing w:before="100" w:beforeAutospacing="1" w:after="100" w:afterAutospacing="1" w:line="240" w:lineRule="auto"/>
        <w:rPr>
          <w:rFonts w:cstheme="minorHAnsi"/>
          <w:sz w:val="24"/>
          <w:szCs w:val="24"/>
          <w:lang w:eastAsia="sk-SK"/>
        </w:rPr>
      </w:pPr>
      <w:r w:rsidRPr="004D060B">
        <w:rPr>
          <w:rFonts w:cstheme="minorHAnsi"/>
          <w:b/>
          <w:bCs/>
          <w:sz w:val="24"/>
          <w:szCs w:val="24"/>
          <w:lang w:eastAsia="sk-SK"/>
        </w:rPr>
        <w:t xml:space="preserve">Zámer: </w:t>
      </w:r>
      <w:r w:rsidRPr="004D060B">
        <w:rPr>
          <w:rFonts w:cstheme="minorHAnsi"/>
          <w:sz w:val="24"/>
          <w:szCs w:val="24"/>
          <w:lang w:eastAsia="sk-SK"/>
        </w:rPr>
        <w:t>Implementácia projektov OPBK a IROP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80"/>
        <w:gridCol w:w="2023"/>
        <w:gridCol w:w="1360"/>
        <w:gridCol w:w="1466"/>
        <w:gridCol w:w="1241"/>
        <w:gridCol w:w="1230"/>
        <w:gridCol w:w="2166"/>
      </w:tblGrid>
      <w:tr w:rsidR="00827064" w:rsidRPr="004D060B" w14:paraId="13A6B4F2" w14:textId="77777777" w:rsidTr="00827064">
        <w:trPr>
          <w:tblCellSpacing w:w="15" w:type="dxa"/>
        </w:trPr>
        <w:tc>
          <w:tcPr>
            <w:tcW w:w="0" w:type="auto"/>
            <w:shd w:val="clear" w:color="auto" w:fill="C6DBF7"/>
            <w:vAlign w:val="center"/>
            <w:hideMark/>
          </w:tcPr>
          <w:p w14:paraId="06B5CCBF"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Kód EK</w:t>
            </w:r>
          </w:p>
        </w:tc>
        <w:tc>
          <w:tcPr>
            <w:tcW w:w="952" w:type="pct"/>
            <w:shd w:val="clear" w:color="auto" w:fill="C6DBF7"/>
            <w:vAlign w:val="center"/>
            <w:hideMark/>
          </w:tcPr>
          <w:p w14:paraId="077C7349"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Ekonomická klasifikácia</w:t>
            </w:r>
          </w:p>
        </w:tc>
        <w:tc>
          <w:tcPr>
            <w:tcW w:w="0" w:type="auto"/>
            <w:shd w:val="clear" w:color="auto" w:fill="C6DBF7"/>
            <w:vAlign w:val="center"/>
            <w:hideMark/>
          </w:tcPr>
          <w:p w14:paraId="4C5F7E54"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Schválený</w:t>
            </w:r>
            <w:r w:rsidRPr="004D060B">
              <w:rPr>
                <w:rFonts w:cstheme="minorHAnsi"/>
                <w:b/>
                <w:bCs/>
                <w:sz w:val="20"/>
                <w:szCs w:val="20"/>
                <w:lang w:eastAsia="sk-SK"/>
              </w:rPr>
              <w:br/>
              <w:t>rozpočet</w:t>
            </w:r>
            <w:r w:rsidRPr="004D060B">
              <w:rPr>
                <w:rFonts w:cstheme="minorHAnsi"/>
                <w:b/>
                <w:bCs/>
                <w:sz w:val="20"/>
                <w:szCs w:val="20"/>
                <w:lang w:eastAsia="sk-SK"/>
              </w:rPr>
              <w:br/>
              <w:t>v EUR</w:t>
            </w:r>
          </w:p>
        </w:tc>
        <w:tc>
          <w:tcPr>
            <w:tcW w:w="706" w:type="pct"/>
            <w:shd w:val="clear" w:color="auto" w:fill="C6DBF7"/>
            <w:vAlign w:val="center"/>
            <w:hideMark/>
          </w:tcPr>
          <w:p w14:paraId="067E28F2"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Zmenený</w:t>
            </w:r>
            <w:r w:rsidRPr="004D060B">
              <w:rPr>
                <w:rFonts w:cstheme="minorHAnsi"/>
                <w:b/>
                <w:bCs/>
                <w:sz w:val="20"/>
                <w:szCs w:val="20"/>
                <w:lang w:eastAsia="sk-SK"/>
              </w:rPr>
              <w:br/>
              <w:t>rozpočet</w:t>
            </w:r>
            <w:r w:rsidRPr="004D060B">
              <w:rPr>
                <w:rFonts w:cstheme="minorHAnsi"/>
                <w:b/>
                <w:bCs/>
                <w:sz w:val="20"/>
                <w:szCs w:val="20"/>
                <w:lang w:eastAsia="sk-SK"/>
              </w:rPr>
              <w:br/>
              <w:t>v EUR</w:t>
            </w:r>
          </w:p>
        </w:tc>
        <w:tc>
          <w:tcPr>
            <w:tcW w:w="596" w:type="pct"/>
            <w:shd w:val="clear" w:color="auto" w:fill="C6DBF7"/>
            <w:vAlign w:val="center"/>
            <w:hideMark/>
          </w:tcPr>
          <w:p w14:paraId="30F589E2"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Čerpanie</w:t>
            </w:r>
            <w:r w:rsidRPr="004D060B">
              <w:rPr>
                <w:rFonts w:cstheme="minorHAnsi"/>
                <w:b/>
                <w:bCs/>
                <w:sz w:val="20"/>
                <w:szCs w:val="20"/>
                <w:lang w:eastAsia="sk-SK"/>
              </w:rPr>
              <w:br/>
              <w:t>v EUR</w:t>
            </w:r>
          </w:p>
        </w:tc>
        <w:tc>
          <w:tcPr>
            <w:tcW w:w="590" w:type="pct"/>
            <w:shd w:val="clear" w:color="auto" w:fill="C6DBF7"/>
            <w:vAlign w:val="center"/>
            <w:hideMark/>
          </w:tcPr>
          <w:p w14:paraId="56B75EE5"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Čerpanie</w:t>
            </w:r>
            <w:r w:rsidRPr="004D060B">
              <w:rPr>
                <w:rFonts w:cstheme="minorHAnsi"/>
                <w:b/>
                <w:bCs/>
                <w:sz w:val="20"/>
                <w:szCs w:val="20"/>
                <w:lang w:eastAsia="sk-SK"/>
              </w:rPr>
              <w:br/>
              <w:t xml:space="preserve">k </w:t>
            </w:r>
            <w:proofErr w:type="spellStart"/>
            <w:r w:rsidRPr="004D060B">
              <w:rPr>
                <w:rFonts w:cstheme="minorHAnsi"/>
                <w:b/>
                <w:bCs/>
                <w:sz w:val="20"/>
                <w:szCs w:val="20"/>
                <w:lang w:eastAsia="sk-SK"/>
              </w:rPr>
              <w:t>zmen</w:t>
            </w:r>
            <w:proofErr w:type="spellEnd"/>
            <w:r w:rsidRPr="004D060B">
              <w:rPr>
                <w:rFonts w:cstheme="minorHAnsi"/>
                <w:b/>
                <w:bCs/>
                <w:sz w:val="20"/>
                <w:szCs w:val="20"/>
                <w:lang w:eastAsia="sk-SK"/>
              </w:rPr>
              <w:t xml:space="preserve">. </w:t>
            </w:r>
            <w:proofErr w:type="spellStart"/>
            <w:r w:rsidRPr="004D060B">
              <w:rPr>
                <w:rFonts w:cstheme="minorHAnsi"/>
                <w:b/>
                <w:bCs/>
                <w:sz w:val="20"/>
                <w:szCs w:val="20"/>
                <w:lang w:eastAsia="sk-SK"/>
              </w:rPr>
              <w:t>rozp</w:t>
            </w:r>
            <w:proofErr w:type="spellEnd"/>
            <w:r w:rsidRPr="004D060B">
              <w:rPr>
                <w:rFonts w:cstheme="minorHAnsi"/>
                <w:b/>
                <w:bCs/>
                <w:sz w:val="20"/>
                <w:szCs w:val="20"/>
                <w:lang w:eastAsia="sk-SK"/>
              </w:rPr>
              <w:t>.</w:t>
            </w:r>
            <w:r w:rsidRPr="004D060B">
              <w:rPr>
                <w:rFonts w:cstheme="minorHAnsi"/>
                <w:b/>
                <w:bCs/>
                <w:sz w:val="20"/>
                <w:szCs w:val="20"/>
                <w:lang w:eastAsia="sk-SK"/>
              </w:rPr>
              <w:br/>
              <w:t>v %</w:t>
            </w:r>
          </w:p>
        </w:tc>
        <w:tc>
          <w:tcPr>
            <w:tcW w:w="0" w:type="auto"/>
            <w:shd w:val="clear" w:color="auto" w:fill="C6DBF7"/>
            <w:vAlign w:val="center"/>
            <w:hideMark/>
          </w:tcPr>
          <w:p w14:paraId="53C04F15"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Zmeny rozpočtu</w:t>
            </w:r>
          </w:p>
        </w:tc>
      </w:tr>
      <w:tr w:rsidR="00827064" w:rsidRPr="004D060B" w14:paraId="38F46709" w14:textId="77777777" w:rsidTr="00827064">
        <w:trPr>
          <w:tblCellSpacing w:w="15" w:type="dxa"/>
        </w:trPr>
        <w:tc>
          <w:tcPr>
            <w:tcW w:w="0" w:type="auto"/>
            <w:shd w:val="clear" w:color="auto" w:fill="D9D9D9"/>
            <w:noWrap/>
            <w:vAlign w:val="center"/>
            <w:hideMark/>
          </w:tcPr>
          <w:p w14:paraId="7D7852FF" w14:textId="77777777" w:rsidR="00827064" w:rsidRPr="004D060B" w:rsidRDefault="00827064" w:rsidP="00827064">
            <w:pPr>
              <w:spacing w:after="0" w:line="240" w:lineRule="auto"/>
              <w:jc w:val="center"/>
              <w:rPr>
                <w:rFonts w:cstheme="minorHAnsi"/>
                <w:sz w:val="20"/>
                <w:szCs w:val="20"/>
                <w:lang w:eastAsia="sk-SK"/>
              </w:rPr>
            </w:pPr>
          </w:p>
        </w:tc>
        <w:tc>
          <w:tcPr>
            <w:tcW w:w="0" w:type="auto"/>
            <w:shd w:val="clear" w:color="auto" w:fill="D9D9D9"/>
            <w:vAlign w:val="center"/>
            <w:hideMark/>
          </w:tcPr>
          <w:p w14:paraId="0C14EB7D"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Výdavky celkom</w:t>
            </w:r>
            <w:r w:rsidRPr="004D060B">
              <w:rPr>
                <w:rFonts w:cstheme="minorHAnsi"/>
                <w:sz w:val="20"/>
                <w:szCs w:val="20"/>
                <w:lang w:eastAsia="sk-SK"/>
              </w:rPr>
              <w:t xml:space="preserve"> </w:t>
            </w:r>
          </w:p>
        </w:tc>
        <w:tc>
          <w:tcPr>
            <w:tcW w:w="0" w:type="auto"/>
            <w:shd w:val="clear" w:color="auto" w:fill="D9D9D9"/>
            <w:noWrap/>
            <w:vAlign w:val="center"/>
            <w:hideMark/>
          </w:tcPr>
          <w:p w14:paraId="199ACECA"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5 580,00</w:t>
            </w:r>
            <w:r w:rsidRPr="004D060B">
              <w:rPr>
                <w:rFonts w:cstheme="minorHAnsi"/>
                <w:sz w:val="20"/>
                <w:szCs w:val="20"/>
                <w:lang w:eastAsia="sk-SK"/>
              </w:rPr>
              <w:t xml:space="preserve"> </w:t>
            </w:r>
          </w:p>
        </w:tc>
        <w:tc>
          <w:tcPr>
            <w:tcW w:w="706" w:type="pct"/>
            <w:shd w:val="clear" w:color="auto" w:fill="D9D9D9"/>
            <w:noWrap/>
            <w:vAlign w:val="center"/>
            <w:hideMark/>
          </w:tcPr>
          <w:p w14:paraId="62FBCD95"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5 580,00</w:t>
            </w:r>
            <w:r w:rsidRPr="004D060B">
              <w:rPr>
                <w:rFonts w:cstheme="minorHAnsi"/>
                <w:sz w:val="20"/>
                <w:szCs w:val="20"/>
                <w:lang w:eastAsia="sk-SK"/>
              </w:rPr>
              <w:t xml:space="preserve"> </w:t>
            </w:r>
          </w:p>
        </w:tc>
        <w:tc>
          <w:tcPr>
            <w:tcW w:w="596" w:type="pct"/>
            <w:shd w:val="clear" w:color="auto" w:fill="D9D9D9"/>
            <w:noWrap/>
            <w:vAlign w:val="center"/>
            <w:hideMark/>
          </w:tcPr>
          <w:p w14:paraId="710AC1CA"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8</w:t>
            </w:r>
            <w:r>
              <w:rPr>
                <w:rFonts w:cstheme="minorHAnsi"/>
                <w:b/>
                <w:bCs/>
                <w:sz w:val="20"/>
                <w:szCs w:val="20"/>
                <w:lang w:eastAsia="sk-SK"/>
              </w:rPr>
              <w:t>12,20</w:t>
            </w:r>
            <w:r w:rsidRPr="004D060B">
              <w:rPr>
                <w:rFonts w:cstheme="minorHAnsi"/>
                <w:sz w:val="20"/>
                <w:szCs w:val="20"/>
                <w:lang w:eastAsia="sk-SK"/>
              </w:rPr>
              <w:t xml:space="preserve"> </w:t>
            </w:r>
          </w:p>
        </w:tc>
        <w:tc>
          <w:tcPr>
            <w:tcW w:w="590" w:type="pct"/>
            <w:shd w:val="clear" w:color="auto" w:fill="D9D9D9"/>
            <w:noWrap/>
            <w:vAlign w:val="center"/>
            <w:hideMark/>
          </w:tcPr>
          <w:p w14:paraId="44B95B78"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1</w:t>
            </w:r>
            <w:r>
              <w:rPr>
                <w:rFonts w:cstheme="minorHAnsi"/>
                <w:b/>
                <w:bCs/>
                <w:sz w:val="20"/>
                <w:szCs w:val="20"/>
                <w:lang w:eastAsia="sk-SK"/>
              </w:rPr>
              <w:t>4</w:t>
            </w:r>
            <w:r w:rsidRPr="004D060B">
              <w:rPr>
                <w:rFonts w:cstheme="minorHAnsi"/>
                <w:b/>
                <w:bCs/>
                <w:sz w:val="20"/>
                <w:szCs w:val="20"/>
                <w:lang w:eastAsia="sk-SK"/>
              </w:rPr>
              <w:t>,</w:t>
            </w:r>
            <w:r>
              <w:rPr>
                <w:rFonts w:cstheme="minorHAnsi"/>
                <w:b/>
                <w:bCs/>
                <w:sz w:val="20"/>
                <w:szCs w:val="20"/>
                <w:lang w:eastAsia="sk-SK"/>
              </w:rPr>
              <w:t>56</w:t>
            </w:r>
            <w:r w:rsidRPr="004D060B">
              <w:rPr>
                <w:rFonts w:cstheme="minorHAnsi"/>
                <w:sz w:val="20"/>
                <w:szCs w:val="20"/>
                <w:lang w:eastAsia="sk-SK"/>
              </w:rPr>
              <w:t xml:space="preserve"> </w:t>
            </w:r>
          </w:p>
        </w:tc>
        <w:tc>
          <w:tcPr>
            <w:tcW w:w="0" w:type="auto"/>
            <w:vMerge w:val="restart"/>
            <w:shd w:val="clear" w:color="auto" w:fill="D9D9D9"/>
            <w:vAlign w:val="center"/>
            <w:hideMark/>
          </w:tcPr>
          <w:p w14:paraId="15F6D274" w14:textId="77777777" w:rsidR="00827064" w:rsidRPr="004D060B" w:rsidRDefault="00827064" w:rsidP="00827064">
            <w:pPr>
              <w:spacing w:after="0" w:line="240" w:lineRule="auto"/>
              <w:jc w:val="right"/>
              <w:rPr>
                <w:rFonts w:cstheme="minorHAnsi"/>
                <w:sz w:val="20"/>
                <w:szCs w:val="20"/>
                <w:lang w:eastAsia="sk-SK"/>
              </w:rPr>
            </w:pPr>
          </w:p>
        </w:tc>
      </w:tr>
      <w:tr w:rsidR="00827064" w:rsidRPr="004D060B" w14:paraId="3C4314DA" w14:textId="77777777" w:rsidTr="00827064">
        <w:trPr>
          <w:tblCellSpacing w:w="15" w:type="dxa"/>
        </w:trPr>
        <w:tc>
          <w:tcPr>
            <w:tcW w:w="0" w:type="auto"/>
            <w:shd w:val="clear" w:color="auto" w:fill="D9D9D9"/>
            <w:noWrap/>
            <w:vAlign w:val="center"/>
            <w:hideMark/>
          </w:tcPr>
          <w:p w14:paraId="13219545"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600</w:t>
            </w:r>
            <w:r w:rsidRPr="004D060B">
              <w:rPr>
                <w:rFonts w:cstheme="minorHAnsi"/>
                <w:sz w:val="20"/>
                <w:szCs w:val="20"/>
                <w:lang w:eastAsia="sk-SK"/>
              </w:rPr>
              <w:t xml:space="preserve"> </w:t>
            </w:r>
          </w:p>
        </w:tc>
        <w:tc>
          <w:tcPr>
            <w:tcW w:w="0" w:type="auto"/>
            <w:shd w:val="clear" w:color="auto" w:fill="D9D9D9"/>
            <w:vAlign w:val="center"/>
            <w:hideMark/>
          </w:tcPr>
          <w:p w14:paraId="0A68391C"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Bežné výdavky</w:t>
            </w:r>
            <w:r w:rsidRPr="004D060B">
              <w:rPr>
                <w:rFonts w:cstheme="minorHAnsi"/>
                <w:sz w:val="20"/>
                <w:szCs w:val="20"/>
                <w:lang w:eastAsia="sk-SK"/>
              </w:rPr>
              <w:t xml:space="preserve"> </w:t>
            </w:r>
          </w:p>
        </w:tc>
        <w:tc>
          <w:tcPr>
            <w:tcW w:w="0" w:type="auto"/>
            <w:shd w:val="clear" w:color="auto" w:fill="D9D9D9"/>
            <w:noWrap/>
            <w:vAlign w:val="center"/>
            <w:hideMark/>
          </w:tcPr>
          <w:p w14:paraId="5B638DC2"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5 580,00</w:t>
            </w:r>
            <w:r w:rsidRPr="004D060B">
              <w:rPr>
                <w:rFonts w:cstheme="minorHAnsi"/>
                <w:sz w:val="20"/>
                <w:szCs w:val="20"/>
                <w:lang w:eastAsia="sk-SK"/>
              </w:rPr>
              <w:t xml:space="preserve"> </w:t>
            </w:r>
          </w:p>
        </w:tc>
        <w:tc>
          <w:tcPr>
            <w:tcW w:w="706" w:type="pct"/>
            <w:shd w:val="clear" w:color="auto" w:fill="D9D9D9"/>
            <w:noWrap/>
            <w:vAlign w:val="center"/>
            <w:hideMark/>
          </w:tcPr>
          <w:p w14:paraId="15423A39"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5 580,00</w:t>
            </w:r>
            <w:r w:rsidRPr="004D060B">
              <w:rPr>
                <w:rFonts w:cstheme="minorHAnsi"/>
                <w:sz w:val="20"/>
                <w:szCs w:val="20"/>
                <w:lang w:eastAsia="sk-SK"/>
              </w:rPr>
              <w:t xml:space="preserve"> </w:t>
            </w:r>
          </w:p>
        </w:tc>
        <w:tc>
          <w:tcPr>
            <w:tcW w:w="596" w:type="pct"/>
            <w:shd w:val="clear" w:color="auto" w:fill="D9D9D9"/>
            <w:noWrap/>
            <w:vAlign w:val="center"/>
            <w:hideMark/>
          </w:tcPr>
          <w:p w14:paraId="28C06204"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8</w:t>
            </w:r>
            <w:r>
              <w:rPr>
                <w:rFonts w:cstheme="minorHAnsi"/>
                <w:b/>
                <w:bCs/>
                <w:sz w:val="20"/>
                <w:szCs w:val="20"/>
                <w:lang w:eastAsia="sk-SK"/>
              </w:rPr>
              <w:t>1</w:t>
            </w:r>
            <w:r w:rsidRPr="004D060B">
              <w:rPr>
                <w:rFonts w:cstheme="minorHAnsi"/>
                <w:b/>
                <w:bCs/>
                <w:sz w:val="20"/>
                <w:szCs w:val="20"/>
                <w:lang w:eastAsia="sk-SK"/>
              </w:rPr>
              <w:t>2,2</w:t>
            </w:r>
            <w:r>
              <w:rPr>
                <w:rFonts w:cstheme="minorHAnsi"/>
                <w:b/>
                <w:bCs/>
                <w:sz w:val="20"/>
                <w:szCs w:val="20"/>
                <w:lang w:eastAsia="sk-SK"/>
              </w:rPr>
              <w:t>0</w:t>
            </w:r>
            <w:r w:rsidRPr="004D060B">
              <w:rPr>
                <w:rFonts w:cstheme="minorHAnsi"/>
                <w:sz w:val="20"/>
                <w:szCs w:val="20"/>
                <w:lang w:eastAsia="sk-SK"/>
              </w:rPr>
              <w:t xml:space="preserve"> </w:t>
            </w:r>
          </w:p>
        </w:tc>
        <w:tc>
          <w:tcPr>
            <w:tcW w:w="590" w:type="pct"/>
            <w:shd w:val="clear" w:color="auto" w:fill="D9D9D9"/>
            <w:noWrap/>
            <w:vAlign w:val="center"/>
            <w:hideMark/>
          </w:tcPr>
          <w:p w14:paraId="777D0DF7"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b/>
                <w:bCs/>
                <w:sz w:val="20"/>
                <w:szCs w:val="20"/>
                <w:lang w:eastAsia="sk-SK"/>
              </w:rPr>
              <w:t>1</w:t>
            </w:r>
            <w:r>
              <w:rPr>
                <w:rFonts w:cstheme="minorHAnsi"/>
                <w:b/>
                <w:bCs/>
                <w:sz w:val="20"/>
                <w:szCs w:val="20"/>
                <w:lang w:eastAsia="sk-SK"/>
              </w:rPr>
              <w:t>4</w:t>
            </w:r>
            <w:r w:rsidRPr="004D060B">
              <w:rPr>
                <w:rFonts w:cstheme="minorHAnsi"/>
                <w:b/>
                <w:bCs/>
                <w:sz w:val="20"/>
                <w:szCs w:val="20"/>
                <w:lang w:eastAsia="sk-SK"/>
              </w:rPr>
              <w:t>,</w:t>
            </w:r>
            <w:r>
              <w:rPr>
                <w:rFonts w:cstheme="minorHAnsi"/>
                <w:b/>
                <w:bCs/>
                <w:sz w:val="20"/>
                <w:szCs w:val="20"/>
                <w:lang w:eastAsia="sk-SK"/>
              </w:rPr>
              <w:t>56</w:t>
            </w:r>
            <w:r w:rsidRPr="004D060B">
              <w:rPr>
                <w:rFonts w:cstheme="minorHAnsi"/>
                <w:sz w:val="20"/>
                <w:szCs w:val="20"/>
                <w:lang w:eastAsia="sk-SK"/>
              </w:rPr>
              <w:t xml:space="preserve"> </w:t>
            </w:r>
          </w:p>
        </w:tc>
        <w:tc>
          <w:tcPr>
            <w:tcW w:w="0" w:type="auto"/>
            <w:vMerge/>
            <w:shd w:val="clear" w:color="auto" w:fill="D9D9D9"/>
            <w:vAlign w:val="center"/>
            <w:hideMark/>
          </w:tcPr>
          <w:p w14:paraId="138DA6C2" w14:textId="77777777" w:rsidR="00827064" w:rsidRPr="004D060B" w:rsidRDefault="00827064" w:rsidP="00827064">
            <w:pPr>
              <w:spacing w:after="0" w:line="240" w:lineRule="auto"/>
              <w:rPr>
                <w:rFonts w:cstheme="minorHAnsi"/>
                <w:sz w:val="20"/>
                <w:szCs w:val="20"/>
                <w:lang w:eastAsia="sk-SK"/>
              </w:rPr>
            </w:pPr>
          </w:p>
        </w:tc>
      </w:tr>
      <w:tr w:rsidR="00827064" w:rsidRPr="004D060B" w14:paraId="18DCF10D" w14:textId="77777777" w:rsidTr="00827064">
        <w:trPr>
          <w:tblCellSpacing w:w="15" w:type="dxa"/>
        </w:trPr>
        <w:tc>
          <w:tcPr>
            <w:tcW w:w="0" w:type="auto"/>
            <w:shd w:val="clear" w:color="auto" w:fill="EFEFEF"/>
            <w:noWrap/>
            <w:vAlign w:val="center"/>
            <w:hideMark/>
          </w:tcPr>
          <w:p w14:paraId="22C239CF" w14:textId="77777777" w:rsidR="00827064" w:rsidRPr="004D060B" w:rsidRDefault="00827064" w:rsidP="00827064">
            <w:pPr>
              <w:spacing w:after="0" w:line="240" w:lineRule="auto"/>
              <w:rPr>
                <w:rFonts w:cstheme="minorHAnsi"/>
                <w:sz w:val="20"/>
                <w:szCs w:val="20"/>
                <w:lang w:eastAsia="sk-SK"/>
              </w:rPr>
            </w:pPr>
            <w:r w:rsidRPr="004D060B">
              <w:rPr>
                <w:rFonts w:cstheme="minorHAnsi"/>
                <w:sz w:val="20"/>
                <w:szCs w:val="20"/>
                <w:lang w:eastAsia="sk-SK"/>
              </w:rPr>
              <w:t xml:space="preserve">630 </w:t>
            </w:r>
          </w:p>
        </w:tc>
        <w:tc>
          <w:tcPr>
            <w:tcW w:w="0" w:type="auto"/>
            <w:shd w:val="clear" w:color="auto" w:fill="EFEFEF"/>
            <w:vAlign w:val="center"/>
            <w:hideMark/>
          </w:tcPr>
          <w:p w14:paraId="10307E9D" w14:textId="77777777" w:rsidR="00827064" w:rsidRPr="004D060B" w:rsidRDefault="00827064" w:rsidP="00827064">
            <w:pPr>
              <w:spacing w:after="0" w:line="240" w:lineRule="auto"/>
              <w:rPr>
                <w:rFonts w:cstheme="minorHAnsi"/>
                <w:sz w:val="20"/>
                <w:szCs w:val="20"/>
                <w:lang w:eastAsia="sk-SK"/>
              </w:rPr>
            </w:pPr>
            <w:r w:rsidRPr="004D060B">
              <w:rPr>
                <w:rFonts w:cstheme="minorHAnsi"/>
                <w:sz w:val="20"/>
                <w:szCs w:val="20"/>
                <w:lang w:eastAsia="sk-SK"/>
              </w:rPr>
              <w:t xml:space="preserve">Tovary a služby </w:t>
            </w:r>
          </w:p>
        </w:tc>
        <w:tc>
          <w:tcPr>
            <w:tcW w:w="0" w:type="auto"/>
            <w:shd w:val="clear" w:color="auto" w:fill="EFEFEF"/>
            <w:noWrap/>
            <w:vAlign w:val="center"/>
            <w:hideMark/>
          </w:tcPr>
          <w:p w14:paraId="2F75FA4B"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sz w:val="20"/>
                <w:szCs w:val="20"/>
                <w:lang w:eastAsia="sk-SK"/>
              </w:rPr>
              <w:t xml:space="preserve">5 580,00 </w:t>
            </w:r>
          </w:p>
        </w:tc>
        <w:tc>
          <w:tcPr>
            <w:tcW w:w="706" w:type="pct"/>
            <w:shd w:val="clear" w:color="auto" w:fill="EFEFEF"/>
            <w:noWrap/>
            <w:vAlign w:val="center"/>
            <w:hideMark/>
          </w:tcPr>
          <w:p w14:paraId="5C0FDDFF"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sz w:val="20"/>
                <w:szCs w:val="20"/>
                <w:lang w:eastAsia="sk-SK"/>
              </w:rPr>
              <w:t xml:space="preserve">5 580,00 </w:t>
            </w:r>
          </w:p>
        </w:tc>
        <w:tc>
          <w:tcPr>
            <w:tcW w:w="596" w:type="pct"/>
            <w:shd w:val="clear" w:color="auto" w:fill="EFEFEF"/>
            <w:noWrap/>
            <w:vAlign w:val="center"/>
            <w:hideMark/>
          </w:tcPr>
          <w:p w14:paraId="67C455CD"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sz w:val="20"/>
                <w:szCs w:val="20"/>
                <w:lang w:eastAsia="sk-SK"/>
              </w:rPr>
              <w:t>8</w:t>
            </w:r>
            <w:r>
              <w:rPr>
                <w:rFonts w:cstheme="minorHAnsi"/>
                <w:sz w:val="20"/>
                <w:szCs w:val="20"/>
                <w:lang w:eastAsia="sk-SK"/>
              </w:rPr>
              <w:t>1</w:t>
            </w:r>
            <w:r w:rsidRPr="004D060B">
              <w:rPr>
                <w:rFonts w:cstheme="minorHAnsi"/>
                <w:sz w:val="20"/>
                <w:szCs w:val="20"/>
                <w:lang w:eastAsia="sk-SK"/>
              </w:rPr>
              <w:t>2,2</w:t>
            </w:r>
            <w:r>
              <w:rPr>
                <w:rFonts w:cstheme="minorHAnsi"/>
                <w:sz w:val="20"/>
                <w:szCs w:val="20"/>
                <w:lang w:eastAsia="sk-SK"/>
              </w:rPr>
              <w:t>0</w:t>
            </w:r>
            <w:r w:rsidRPr="004D060B">
              <w:rPr>
                <w:rFonts w:cstheme="minorHAnsi"/>
                <w:sz w:val="20"/>
                <w:szCs w:val="20"/>
                <w:lang w:eastAsia="sk-SK"/>
              </w:rPr>
              <w:t xml:space="preserve"> </w:t>
            </w:r>
          </w:p>
        </w:tc>
        <w:tc>
          <w:tcPr>
            <w:tcW w:w="590" w:type="pct"/>
            <w:shd w:val="clear" w:color="auto" w:fill="EFEFEF"/>
            <w:noWrap/>
            <w:vAlign w:val="center"/>
            <w:hideMark/>
          </w:tcPr>
          <w:p w14:paraId="721C9554" w14:textId="77777777" w:rsidR="00827064" w:rsidRPr="004D060B" w:rsidRDefault="00827064" w:rsidP="00827064">
            <w:pPr>
              <w:spacing w:after="0" w:line="240" w:lineRule="auto"/>
              <w:jc w:val="right"/>
              <w:rPr>
                <w:rFonts w:cstheme="minorHAnsi"/>
                <w:sz w:val="20"/>
                <w:szCs w:val="20"/>
                <w:lang w:eastAsia="sk-SK"/>
              </w:rPr>
            </w:pPr>
            <w:r w:rsidRPr="004D060B">
              <w:rPr>
                <w:rFonts w:cstheme="minorHAnsi"/>
                <w:sz w:val="20"/>
                <w:szCs w:val="20"/>
                <w:lang w:eastAsia="sk-SK"/>
              </w:rPr>
              <w:t>1</w:t>
            </w:r>
            <w:r>
              <w:rPr>
                <w:rFonts w:cstheme="minorHAnsi"/>
                <w:sz w:val="20"/>
                <w:szCs w:val="20"/>
                <w:lang w:eastAsia="sk-SK"/>
              </w:rPr>
              <w:t>4</w:t>
            </w:r>
            <w:r w:rsidRPr="004D060B">
              <w:rPr>
                <w:rFonts w:cstheme="minorHAnsi"/>
                <w:sz w:val="20"/>
                <w:szCs w:val="20"/>
                <w:lang w:eastAsia="sk-SK"/>
              </w:rPr>
              <w:t>,</w:t>
            </w:r>
            <w:r>
              <w:rPr>
                <w:rFonts w:cstheme="minorHAnsi"/>
                <w:sz w:val="20"/>
                <w:szCs w:val="20"/>
                <w:lang w:eastAsia="sk-SK"/>
              </w:rPr>
              <w:t>56</w:t>
            </w:r>
            <w:r w:rsidRPr="004D060B">
              <w:rPr>
                <w:rFonts w:cstheme="minorHAnsi"/>
                <w:sz w:val="20"/>
                <w:szCs w:val="20"/>
                <w:lang w:eastAsia="sk-SK"/>
              </w:rPr>
              <w:t xml:space="preserve"> </w:t>
            </w:r>
          </w:p>
        </w:tc>
        <w:tc>
          <w:tcPr>
            <w:tcW w:w="0" w:type="auto"/>
            <w:vMerge/>
            <w:shd w:val="clear" w:color="auto" w:fill="EFEFEF"/>
            <w:vAlign w:val="center"/>
            <w:hideMark/>
          </w:tcPr>
          <w:p w14:paraId="4D999B05" w14:textId="77777777" w:rsidR="00827064" w:rsidRPr="004D060B" w:rsidRDefault="00827064" w:rsidP="00827064">
            <w:pPr>
              <w:spacing w:after="0" w:line="240" w:lineRule="auto"/>
              <w:rPr>
                <w:rFonts w:cstheme="minorHAnsi"/>
                <w:sz w:val="20"/>
                <w:szCs w:val="20"/>
                <w:lang w:eastAsia="sk-SK"/>
              </w:rPr>
            </w:pPr>
          </w:p>
        </w:tc>
      </w:tr>
    </w:tbl>
    <w:p w14:paraId="10085C68" w14:textId="77777777" w:rsidR="00827064" w:rsidRPr="004D060B" w:rsidRDefault="00827064" w:rsidP="00827064">
      <w:pPr>
        <w:spacing w:after="0" w:line="240" w:lineRule="auto"/>
        <w:rPr>
          <w:rFonts w:cstheme="minorHAnsi"/>
          <w:vanish/>
          <w:sz w:val="20"/>
          <w:szCs w:val="20"/>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11"/>
        <w:gridCol w:w="1321"/>
        <w:gridCol w:w="1320"/>
        <w:gridCol w:w="1735"/>
        <w:gridCol w:w="3579"/>
      </w:tblGrid>
      <w:tr w:rsidR="00827064" w:rsidRPr="004D060B" w14:paraId="26C4EDBD" w14:textId="77777777" w:rsidTr="00DD2057">
        <w:trPr>
          <w:tblCellSpacing w:w="15" w:type="dxa"/>
        </w:trPr>
        <w:tc>
          <w:tcPr>
            <w:tcW w:w="1188" w:type="pct"/>
            <w:shd w:val="clear" w:color="auto" w:fill="C2D69B"/>
            <w:vAlign w:val="center"/>
            <w:hideMark/>
          </w:tcPr>
          <w:p w14:paraId="2BCDC9CA"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Zodpovednosť</w:t>
            </w:r>
          </w:p>
        </w:tc>
        <w:tc>
          <w:tcPr>
            <w:tcW w:w="3769" w:type="pct"/>
            <w:gridSpan w:val="4"/>
            <w:shd w:val="clear" w:color="auto" w:fill="C2D69B"/>
            <w:vAlign w:val="center"/>
            <w:hideMark/>
          </w:tcPr>
          <w:p w14:paraId="10C31337" w14:textId="77777777" w:rsidR="00827064" w:rsidRPr="004D060B" w:rsidRDefault="00827064" w:rsidP="00827064">
            <w:pPr>
              <w:spacing w:after="0" w:line="240" w:lineRule="auto"/>
              <w:rPr>
                <w:rFonts w:cstheme="minorHAnsi"/>
                <w:sz w:val="20"/>
                <w:szCs w:val="20"/>
                <w:lang w:eastAsia="sk-SK"/>
              </w:rPr>
            </w:pPr>
            <w:r w:rsidRPr="004D060B">
              <w:rPr>
                <w:rFonts w:cstheme="minorHAnsi"/>
                <w:sz w:val="20"/>
                <w:szCs w:val="20"/>
                <w:lang w:eastAsia="sk-SK"/>
              </w:rPr>
              <w:t xml:space="preserve">Odbor implementácie operačných programov </w:t>
            </w:r>
          </w:p>
        </w:tc>
      </w:tr>
      <w:tr w:rsidR="00827064" w:rsidRPr="004D060B" w14:paraId="6E38D78B" w14:textId="77777777" w:rsidTr="00DD2057">
        <w:trPr>
          <w:tblCellSpacing w:w="15" w:type="dxa"/>
        </w:trPr>
        <w:tc>
          <w:tcPr>
            <w:tcW w:w="1188" w:type="pct"/>
            <w:shd w:val="clear" w:color="auto" w:fill="C2D69B"/>
            <w:vAlign w:val="center"/>
            <w:hideMark/>
          </w:tcPr>
          <w:p w14:paraId="6BE12D72"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Cieľ</w:t>
            </w:r>
          </w:p>
        </w:tc>
        <w:tc>
          <w:tcPr>
            <w:tcW w:w="3769" w:type="pct"/>
            <w:gridSpan w:val="4"/>
            <w:shd w:val="clear" w:color="auto" w:fill="C2D69B"/>
            <w:vAlign w:val="center"/>
            <w:hideMark/>
          </w:tcPr>
          <w:p w14:paraId="38995AB0" w14:textId="77777777" w:rsidR="00827064" w:rsidRPr="004D060B" w:rsidRDefault="00827064" w:rsidP="00827064">
            <w:pPr>
              <w:spacing w:after="0" w:line="240" w:lineRule="auto"/>
              <w:rPr>
                <w:rFonts w:cstheme="minorHAnsi"/>
                <w:sz w:val="20"/>
                <w:szCs w:val="20"/>
                <w:lang w:eastAsia="sk-SK"/>
              </w:rPr>
            </w:pPr>
            <w:r w:rsidRPr="004D060B">
              <w:rPr>
                <w:rFonts w:cstheme="minorHAnsi"/>
                <w:sz w:val="20"/>
                <w:szCs w:val="20"/>
                <w:lang w:eastAsia="sk-SK"/>
              </w:rPr>
              <w:t xml:space="preserve">Zabezpečiť implementáciu projektov OPBK a IROP </w:t>
            </w:r>
          </w:p>
        </w:tc>
      </w:tr>
      <w:tr w:rsidR="00827064" w:rsidRPr="004D060B" w14:paraId="2405B7BE" w14:textId="77777777" w:rsidTr="00DD2057">
        <w:trPr>
          <w:tblCellSpacing w:w="15" w:type="dxa"/>
        </w:trPr>
        <w:tc>
          <w:tcPr>
            <w:tcW w:w="1188" w:type="pct"/>
            <w:shd w:val="clear" w:color="auto" w:fill="C2D69B"/>
            <w:vAlign w:val="center"/>
            <w:hideMark/>
          </w:tcPr>
          <w:p w14:paraId="15B1E5E3"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Merateľný ukazovateľ</w:t>
            </w:r>
          </w:p>
        </w:tc>
        <w:tc>
          <w:tcPr>
            <w:tcW w:w="3769" w:type="pct"/>
            <w:gridSpan w:val="4"/>
            <w:shd w:val="clear" w:color="auto" w:fill="C2D69B"/>
            <w:vAlign w:val="center"/>
            <w:hideMark/>
          </w:tcPr>
          <w:p w14:paraId="64CCE8A4" w14:textId="77777777" w:rsidR="00827064" w:rsidRPr="004D060B" w:rsidRDefault="00827064" w:rsidP="00827064">
            <w:pPr>
              <w:spacing w:after="0" w:line="240" w:lineRule="auto"/>
              <w:rPr>
                <w:rFonts w:cstheme="minorHAnsi"/>
                <w:sz w:val="20"/>
                <w:szCs w:val="20"/>
                <w:lang w:eastAsia="sk-SK"/>
              </w:rPr>
            </w:pPr>
            <w:r w:rsidRPr="004D060B">
              <w:rPr>
                <w:rFonts w:cstheme="minorHAnsi"/>
                <w:sz w:val="20"/>
                <w:szCs w:val="20"/>
                <w:lang w:eastAsia="sk-SK"/>
              </w:rPr>
              <w:t xml:space="preserve">Počet administrovaných projektov OPBK za rok </w:t>
            </w:r>
          </w:p>
        </w:tc>
      </w:tr>
      <w:tr w:rsidR="00827064" w:rsidRPr="004D060B" w14:paraId="3FE8B43A" w14:textId="77777777" w:rsidTr="00DD2057">
        <w:trPr>
          <w:tblCellSpacing w:w="15" w:type="dxa"/>
        </w:trPr>
        <w:tc>
          <w:tcPr>
            <w:tcW w:w="1188" w:type="pct"/>
            <w:shd w:val="clear" w:color="auto" w:fill="C2D69B"/>
            <w:vAlign w:val="center"/>
            <w:hideMark/>
          </w:tcPr>
          <w:p w14:paraId="0A66B78A"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Rok</w:t>
            </w:r>
          </w:p>
        </w:tc>
        <w:tc>
          <w:tcPr>
            <w:tcW w:w="622" w:type="pct"/>
            <w:shd w:val="clear" w:color="auto" w:fill="C2D69B"/>
            <w:vAlign w:val="center"/>
            <w:hideMark/>
          </w:tcPr>
          <w:p w14:paraId="219BCF80"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Plán</w:t>
            </w:r>
          </w:p>
        </w:tc>
        <w:tc>
          <w:tcPr>
            <w:tcW w:w="622" w:type="pct"/>
            <w:shd w:val="clear" w:color="auto" w:fill="C2D69B"/>
            <w:vAlign w:val="center"/>
            <w:hideMark/>
          </w:tcPr>
          <w:p w14:paraId="717414F9"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Skutočnosť</w:t>
            </w:r>
          </w:p>
        </w:tc>
        <w:tc>
          <w:tcPr>
            <w:tcW w:w="822" w:type="pct"/>
            <w:shd w:val="clear" w:color="auto" w:fill="C2D69B"/>
            <w:vAlign w:val="center"/>
            <w:hideMark/>
          </w:tcPr>
          <w:p w14:paraId="0D558C7F"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Plnenie</w:t>
            </w:r>
          </w:p>
        </w:tc>
        <w:tc>
          <w:tcPr>
            <w:tcW w:w="1660" w:type="pct"/>
            <w:shd w:val="clear" w:color="auto" w:fill="C2D69B"/>
            <w:vAlign w:val="center"/>
            <w:hideMark/>
          </w:tcPr>
          <w:p w14:paraId="25FB9751"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Poznámka</w:t>
            </w:r>
          </w:p>
        </w:tc>
      </w:tr>
      <w:tr w:rsidR="00827064" w:rsidRPr="004D060B" w14:paraId="629E5C97" w14:textId="77777777" w:rsidTr="00DD2057">
        <w:trPr>
          <w:tblCellSpacing w:w="15" w:type="dxa"/>
        </w:trPr>
        <w:tc>
          <w:tcPr>
            <w:tcW w:w="1188" w:type="pct"/>
            <w:shd w:val="clear" w:color="auto" w:fill="C2D69B"/>
            <w:vAlign w:val="center"/>
            <w:hideMark/>
          </w:tcPr>
          <w:p w14:paraId="5D56D894"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sz w:val="20"/>
                <w:szCs w:val="20"/>
                <w:lang w:eastAsia="sk-SK"/>
              </w:rPr>
              <w:t>20</w:t>
            </w:r>
            <w:r>
              <w:rPr>
                <w:rFonts w:cstheme="minorHAnsi"/>
                <w:sz w:val="20"/>
                <w:szCs w:val="20"/>
                <w:lang w:eastAsia="sk-SK"/>
              </w:rPr>
              <w:t>20</w:t>
            </w:r>
            <w:r w:rsidRPr="004D060B">
              <w:rPr>
                <w:rFonts w:cstheme="minorHAnsi"/>
                <w:sz w:val="20"/>
                <w:szCs w:val="20"/>
                <w:lang w:eastAsia="sk-SK"/>
              </w:rPr>
              <w:t xml:space="preserve"> </w:t>
            </w:r>
          </w:p>
        </w:tc>
        <w:tc>
          <w:tcPr>
            <w:tcW w:w="622" w:type="pct"/>
            <w:shd w:val="clear" w:color="auto" w:fill="C2D69B"/>
            <w:noWrap/>
            <w:vAlign w:val="center"/>
            <w:hideMark/>
          </w:tcPr>
          <w:p w14:paraId="67BF98DA"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sz w:val="20"/>
                <w:szCs w:val="20"/>
                <w:lang w:eastAsia="sk-SK"/>
              </w:rPr>
              <w:t xml:space="preserve"> 65 </w:t>
            </w:r>
          </w:p>
        </w:tc>
        <w:tc>
          <w:tcPr>
            <w:tcW w:w="622" w:type="pct"/>
            <w:shd w:val="clear" w:color="auto" w:fill="C2D69B"/>
            <w:noWrap/>
            <w:vAlign w:val="center"/>
            <w:hideMark/>
          </w:tcPr>
          <w:p w14:paraId="3C57E366"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sz w:val="20"/>
                <w:szCs w:val="20"/>
                <w:lang w:eastAsia="sk-SK"/>
              </w:rPr>
              <w:t xml:space="preserve"> 65 </w:t>
            </w:r>
          </w:p>
        </w:tc>
        <w:tc>
          <w:tcPr>
            <w:tcW w:w="822" w:type="pct"/>
            <w:shd w:val="clear" w:color="auto" w:fill="C2D69B"/>
            <w:vAlign w:val="center"/>
            <w:hideMark/>
          </w:tcPr>
          <w:p w14:paraId="12BB91BB"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sz w:val="20"/>
                <w:szCs w:val="20"/>
                <w:lang w:eastAsia="sk-SK"/>
              </w:rPr>
              <w:t xml:space="preserve">Splnené </w:t>
            </w:r>
          </w:p>
        </w:tc>
        <w:tc>
          <w:tcPr>
            <w:tcW w:w="1660" w:type="pct"/>
            <w:shd w:val="clear" w:color="auto" w:fill="C2D69B"/>
            <w:vAlign w:val="center"/>
            <w:hideMark/>
          </w:tcPr>
          <w:p w14:paraId="40D265F6" w14:textId="77777777" w:rsidR="00827064" w:rsidRPr="004D060B" w:rsidRDefault="00827064" w:rsidP="00827064">
            <w:pPr>
              <w:spacing w:before="100" w:beforeAutospacing="1" w:after="100" w:afterAutospacing="1" w:line="240" w:lineRule="auto"/>
              <w:rPr>
                <w:rFonts w:cstheme="minorHAnsi"/>
                <w:sz w:val="20"/>
                <w:szCs w:val="20"/>
                <w:lang w:eastAsia="sk-SK"/>
              </w:rPr>
            </w:pPr>
            <w:r w:rsidRPr="00E50DF2">
              <w:rPr>
                <w:rFonts w:cstheme="minorHAnsi"/>
                <w:color w:val="000000"/>
                <w:sz w:val="20"/>
                <w:szCs w:val="20"/>
                <w:lang w:eastAsia="sk-SK"/>
              </w:rPr>
              <w:t>k 31.12.2020 bolo prijatých 65 následných monitorovacích správ, ktorými sa sleduje 5 ročné obdobie udržateľnosti po ukonč</w:t>
            </w:r>
            <w:r>
              <w:rPr>
                <w:rFonts w:cstheme="minorHAnsi"/>
                <w:color w:val="000000"/>
                <w:sz w:val="20"/>
                <w:szCs w:val="20"/>
                <w:lang w:eastAsia="sk-SK"/>
              </w:rPr>
              <w:t xml:space="preserve">ení </w:t>
            </w:r>
            <w:r w:rsidRPr="004D060B">
              <w:rPr>
                <w:rFonts w:cstheme="minorHAnsi"/>
                <w:sz w:val="20"/>
                <w:szCs w:val="20"/>
                <w:lang w:eastAsia="sk-SK"/>
              </w:rPr>
              <w:t xml:space="preserve">realizácie projektu </w:t>
            </w:r>
          </w:p>
        </w:tc>
      </w:tr>
      <w:tr w:rsidR="00827064" w:rsidRPr="004D060B" w14:paraId="65291D5B" w14:textId="77777777" w:rsidTr="00DD2057">
        <w:trPr>
          <w:tblCellSpacing w:w="15" w:type="dxa"/>
        </w:trPr>
        <w:tc>
          <w:tcPr>
            <w:tcW w:w="1188" w:type="pct"/>
            <w:shd w:val="clear" w:color="auto" w:fill="C2D69B"/>
            <w:vAlign w:val="center"/>
            <w:hideMark/>
          </w:tcPr>
          <w:p w14:paraId="7052FEF8"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Merateľný ukazovateľ</w:t>
            </w:r>
          </w:p>
        </w:tc>
        <w:tc>
          <w:tcPr>
            <w:tcW w:w="3769" w:type="pct"/>
            <w:gridSpan w:val="4"/>
            <w:shd w:val="clear" w:color="auto" w:fill="C2D69B"/>
            <w:vAlign w:val="center"/>
            <w:hideMark/>
          </w:tcPr>
          <w:p w14:paraId="3B0C626F" w14:textId="77777777" w:rsidR="00827064" w:rsidRPr="004D060B" w:rsidRDefault="00827064" w:rsidP="00827064">
            <w:pPr>
              <w:spacing w:after="0" w:line="240" w:lineRule="auto"/>
              <w:rPr>
                <w:rFonts w:cstheme="minorHAnsi"/>
                <w:sz w:val="20"/>
                <w:szCs w:val="20"/>
                <w:lang w:eastAsia="sk-SK"/>
              </w:rPr>
            </w:pPr>
            <w:r w:rsidRPr="004D060B">
              <w:rPr>
                <w:rFonts w:cstheme="minorHAnsi"/>
                <w:sz w:val="20"/>
                <w:szCs w:val="20"/>
                <w:lang w:eastAsia="sk-SK"/>
              </w:rPr>
              <w:t xml:space="preserve">Počet administrovaných projektov IROP za rok </w:t>
            </w:r>
          </w:p>
        </w:tc>
      </w:tr>
      <w:tr w:rsidR="00827064" w:rsidRPr="004D060B" w14:paraId="15BEB161" w14:textId="77777777" w:rsidTr="00DD2057">
        <w:trPr>
          <w:tblCellSpacing w:w="15" w:type="dxa"/>
        </w:trPr>
        <w:tc>
          <w:tcPr>
            <w:tcW w:w="1188" w:type="pct"/>
            <w:shd w:val="clear" w:color="auto" w:fill="C2D69B"/>
            <w:vAlign w:val="center"/>
            <w:hideMark/>
          </w:tcPr>
          <w:p w14:paraId="75580E83"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Rok</w:t>
            </w:r>
          </w:p>
        </w:tc>
        <w:tc>
          <w:tcPr>
            <w:tcW w:w="622" w:type="pct"/>
            <w:shd w:val="clear" w:color="auto" w:fill="C2D69B"/>
            <w:vAlign w:val="center"/>
            <w:hideMark/>
          </w:tcPr>
          <w:p w14:paraId="4E31AB5B"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Plán</w:t>
            </w:r>
          </w:p>
        </w:tc>
        <w:tc>
          <w:tcPr>
            <w:tcW w:w="622" w:type="pct"/>
            <w:shd w:val="clear" w:color="auto" w:fill="C2D69B"/>
            <w:vAlign w:val="center"/>
            <w:hideMark/>
          </w:tcPr>
          <w:p w14:paraId="62878DF6"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Skutočnosť</w:t>
            </w:r>
          </w:p>
        </w:tc>
        <w:tc>
          <w:tcPr>
            <w:tcW w:w="822" w:type="pct"/>
            <w:shd w:val="clear" w:color="auto" w:fill="C2D69B"/>
            <w:vAlign w:val="center"/>
            <w:hideMark/>
          </w:tcPr>
          <w:p w14:paraId="055DF049"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b/>
                <w:bCs/>
                <w:sz w:val="20"/>
                <w:szCs w:val="20"/>
                <w:lang w:eastAsia="sk-SK"/>
              </w:rPr>
              <w:t>Plnenie</w:t>
            </w:r>
          </w:p>
        </w:tc>
        <w:tc>
          <w:tcPr>
            <w:tcW w:w="1660" w:type="pct"/>
            <w:shd w:val="clear" w:color="auto" w:fill="C2D69B"/>
            <w:vAlign w:val="center"/>
            <w:hideMark/>
          </w:tcPr>
          <w:p w14:paraId="7FD7D2CB" w14:textId="77777777" w:rsidR="00827064" w:rsidRPr="004D060B" w:rsidRDefault="00827064" w:rsidP="00827064">
            <w:pPr>
              <w:spacing w:after="0" w:line="240" w:lineRule="auto"/>
              <w:rPr>
                <w:rFonts w:cstheme="minorHAnsi"/>
                <w:sz w:val="20"/>
                <w:szCs w:val="20"/>
                <w:lang w:eastAsia="sk-SK"/>
              </w:rPr>
            </w:pPr>
            <w:r w:rsidRPr="004D060B">
              <w:rPr>
                <w:rFonts w:cstheme="minorHAnsi"/>
                <w:b/>
                <w:bCs/>
                <w:sz w:val="20"/>
                <w:szCs w:val="20"/>
                <w:lang w:eastAsia="sk-SK"/>
              </w:rPr>
              <w:t>Poznámka</w:t>
            </w:r>
          </w:p>
        </w:tc>
      </w:tr>
      <w:tr w:rsidR="00827064" w:rsidRPr="004D060B" w14:paraId="15A86343" w14:textId="77777777" w:rsidTr="00DD2057">
        <w:trPr>
          <w:tblCellSpacing w:w="15" w:type="dxa"/>
        </w:trPr>
        <w:tc>
          <w:tcPr>
            <w:tcW w:w="1188" w:type="pct"/>
            <w:shd w:val="clear" w:color="auto" w:fill="C2D69B"/>
            <w:vAlign w:val="center"/>
            <w:hideMark/>
          </w:tcPr>
          <w:p w14:paraId="4FA7A4FD"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sz w:val="20"/>
                <w:szCs w:val="20"/>
                <w:lang w:eastAsia="sk-SK"/>
              </w:rPr>
              <w:t>20</w:t>
            </w:r>
            <w:r>
              <w:rPr>
                <w:rFonts w:cstheme="minorHAnsi"/>
                <w:sz w:val="20"/>
                <w:szCs w:val="20"/>
                <w:lang w:eastAsia="sk-SK"/>
              </w:rPr>
              <w:t>20</w:t>
            </w:r>
            <w:r w:rsidRPr="004D060B">
              <w:rPr>
                <w:rFonts w:cstheme="minorHAnsi"/>
                <w:sz w:val="20"/>
                <w:szCs w:val="20"/>
                <w:lang w:eastAsia="sk-SK"/>
              </w:rPr>
              <w:t xml:space="preserve"> </w:t>
            </w:r>
          </w:p>
        </w:tc>
        <w:tc>
          <w:tcPr>
            <w:tcW w:w="622" w:type="pct"/>
            <w:shd w:val="clear" w:color="auto" w:fill="C2D69B"/>
            <w:noWrap/>
            <w:vAlign w:val="center"/>
            <w:hideMark/>
          </w:tcPr>
          <w:p w14:paraId="6D715413"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sz w:val="20"/>
                <w:szCs w:val="20"/>
                <w:lang w:eastAsia="sk-SK"/>
              </w:rPr>
              <w:t xml:space="preserve"> 60 </w:t>
            </w:r>
          </w:p>
        </w:tc>
        <w:tc>
          <w:tcPr>
            <w:tcW w:w="622" w:type="pct"/>
            <w:shd w:val="clear" w:color="auto" w:fill="C2D69B"/>
            <w:noWrap/>
            <w:vAlign w:val="center"/>
            <w:hideMark/>
          </w:tcPr>
          <w:p w14:paraId="2FB358C3" w14:textId="77777777" w:rsidR="00827064" w:rsidRPr="004D060B" w:rsidRDefault="00827064" w:rsidP="00827064">
            <w:pPr>
              <w:spacing w:after="0" w:line="240" w:lineRule="auto"/>
              <w:jc w:val="center"/>
              <w:rPr>
                <w:rFonts w:cstheme="minorHAnsi"/>
                <w:sz w:val="20"/>
                <w:szCs w:val="20"/>
                <w:lang w:eastAsia="sk-SK"/>
              </w:rPr>
            </w:pPr>
            <w:r w:rsidRPr="004D060B">
              <w:rPr>
                <w:rFonts w:cstheme="minorHAnsi"/>
                <w:sz w:val="20"/>
                <w:szCs w:val="20"/>
                <w:lang w:eastAsia="sk-SK"/>
              </w:rPr>
              <w:t> </w:t>
            </w:r>
            <w:r>
              <w:rPr>
                <w:rFonts w:cstheme="minorHAnsi"/>
                <w:sz w:val="20"/>
                <w:szCs w:val="20"/>
                <w:lang w:eastAsia="sk-SK"/>
              </w:rPr>
              <w:t>70</w:t>
            </w:r>
            <w:r w:rsidRPr="004D060B">
              <w:rPr>
                <w:rFonts w:cstheme="minorHAnsi"/>
                <w:sz w:val="20"/>
                <w:szCs w:val="20"/>
                <w:lang w:eastAsia="sk-SK"/>
              </w:rPr>
              <w:t xml:space="preserve"> </w:t>
            </w:r>
          </w:p>
        </w:tc>
        <w:tc>
          <w:tcPr>
            <w:tcW w:w="822" w:type="pct"/>
            <w:shd w:val="clear" w:color="auto" w:fill="C2D69B"/>
            <w:vAlign w:val="center"/>
            <w:hideMark/>
          </w:tcPr>
          <w:p w14:paraId="0E60EE0F" w14:textId="77777777" w:rsidR="00827064" w:rsidRPr="004D060B" w:rsidRDefault="00827064" w:rsidP="00827064">
            <w:pPr>
              <w:spacing w:after="0" w:line="240" w:lineRule="auto"/>
              <w:jc w:val="center"/>
              <w:rPr>
                <w:rFonts w:cstheme="minorHAnsi"/>
                <w:sz w:val="20"/>
                <w:szCs w:val="20"/>
                <w:lang w:eastAsia="sk-SK"/>
              </w:rPr>
            </w:pPr>
            <w:r>
              <w:rPr>
                <w:rFonts w:cstheme="minorHAnsi"/>
                <w:sz w:val="20"/>
                <w:szCs w:val="20"/>
                <w:lang w:eastAsia="sk-SK"/>
              </w:rPr>
              <w:t>Splnené</w:t>
            </w:r>
            <w:r w:rsidRPr="004D060B">
              <w:rPr>
                <w:rFonts w:cstheme="minorHAnsi"/>
                <w:sz w:val="20"/>
                <w:szCs w:val="20"/>
                <w:lang w:eastAsia="sk-SK"/>
              </w:rPr>
              <w:t xml:space="preserve"> </w:t>
            </w:r>
          </w:p>
        </w:tc>
        <w:tc>
          <w:tcPr>
            <w:tcW w:w="1660" w:type="pct"/>
            <w:shd w:val="clear" w:color="auto" w:fill="C2D69B"/>
            <w:vAlign w:val="center"/>
            <w:hideMark/>
          </w:tcPr>
          <w:p w14:paraId="37997849" w14:textId="77777777" w:rsidR="00827064" w:rsidRPr="004D060B" w:rsidRDefault="00827064" w:rsidP="00827064">
            <w:pPr>
              <w:spacing w:after="0" w:line="240" w:lineRule="auto"/>
              <w:rPr>
                <w:rFonts w:cstheme="minorHAnsi"/>
                <w:sz w:val="20"/>
                <w:szCs w:val="20"/>
                <w:lang w:eastAsia="sk-SK"/>
              </w:rPr>
            </w:pPr>
            <w:r w:rsidRPr="004D060B">
              <w:rPr>
                <w:rFonts w:cstheme="minorHAnsi"/>
                <w:sz w:val="20"/>
                <w:szCs w:val="20"/>
                <w:lang w:eastAsia="sk-SK"/>
              </w:rPr>
              <w:t>k 31.12.20</w:t>
            </w:r>
            <w:r>
              <w:rPr>
                <w:rFonts w:cstheme="minorHAnsi"/>
                <w:sz w:val="20"/>
                <w:szCs w:val="20"/>
                <w:lang w:eastAsia="sk-SK"/>
              </w:rPr>
              <w:t>20</w:t>
            </w:r>
            <w:r w:rsidRPr="004D060B">
              <w:rPr>
                <w:rFonts w:cstheme="minorHAnsi"/>
                <w:sz w:val="20"/>
                <w:szCs w:val="20"/>
                <w:lang w:eastAsia="sk-SK"/>
              </w:rPr>
              <w:t xml:space="preserve"> bolo uzatvorených </w:t>
            </w:r>
            <w:r>
              <w:rPr>
                <w:rFonts w:cstheme="minorHAnsi"/>
                <w:sz w:val="20"/>
                <w:szCs w:val="20"/>
                <w:lang w:eastAsia="sk-SK"/>
              </w:rPr>
              <w:t>70</w:t>
            </w:r>
            <w:r w:rsidRPr="004D060B">
              <w:rPr>
                <w:rFonts w:cstheme="minorHAnsi"/>
                <w:sz w:val="20"/>
                <w:szCs w:val="20"/>
                <w:lang w:eastAsia="sk-SK"/>
              </w:rPr>
              <w:t xml:space="preserve"> zmlúv o poskytnutí NFP </w:t>
            </w:r>
          </w:p>
        </w:tc>
      </w:tr>
    </w:tbl>
    <w:p w14:paraId="77F4B38A" w14:textId="14B7C8EA" w:rsidR="00827064" w:rsidRPr="001C41F1" w:rsidRDefault="00827064" w:rsidP="00827064">
      <w:pPr>
        <w:spacing w:before="100" w:beforeAutospacing="1" w:after="100" w:afterAutospacing="1" w:line="240" w:lineRule="auto"/>
        <w:jc w:val="both"/>
        <w:rPr>
          <w:rFonts w:cstheme="minorHAnsi"/>
          <w:lang w:eastAsia="sk-SK"/>
        </w:rPr>
      </w:pPr>
      <w:r w:rsidRPr="004D060B">
        <w:rPr>
          <w:rFonts w:cstheme="minorHAnsi"/>
          <w:b/>
          <w:bCs/>
          <w:sz w:val="24"/>
          <w:szCs w:val="24"/>
          <w:lang w:eastAsia="sk-SK"/>
        </w:rPr>
        <w:t xml:space="preserve">Komentár: </w:t>
      </w:r>
      <w:r w:rsidRPr="001C41F1">
        <w:rPr>
          <w:rFonts w:cstheme="minorHAnsi"/>
          <w:lang w:eastAsia="sk-SK"/>
        </w:rPr>
        <w:t>Odbor implementácie operačných programov vystupuje ako sprostredkovateľský orgán pre Integrovaný regionálny operačný program (2014 - 2020) a Operačný program Bratislavský kraj (2007 – 2013). Hlavnou úlohou je poskytovanie poradenstva a informovanosť pre žiadateľov a prijímateľov, posudzovanie projektov, finančná kontrola oprávnenosti výdavkov, kontrola verejného obstarávania, zmenové procedúry a monitorovanie projektov. Časť nákladov na chod sprostredkovateľského orgánu je refundovaných z technickej pomoci IROP. Merateľný ukazovateľ Počet administrovaných projektov OPBK sleduje počet projektov s účinnou zmluvou o NFP, ktoré predkladajú následné monitorovacie správy (ukončené projekty). Merateľný ukazovateľ Počet administrovaných projektov IROP sleduje počet projektov z IROP, ktoré majú podpísanú zmluvu o NFP, sú v procese realizácie VO, realizujú projekt, alebo sa projekt monitoruje po jeho ukončení.</w:t>
      </w:r>
    </w:p>
    <w:p w14:paraId="3073C77F" w14:textId="17D4AB78" w:rsidR="00E709C4" w:rsidRPr="009E4E62" w:rsidRDefault="00E709C4" w:rsidP="00E709C4">
      <w:pPr>
        <w:spacing w:before="100" w:beforeAutospacing="1" w:after="100" w:afterAutospacing="1" w:line="240" w:lineRule="auto"/>
        <w:outlineLvl w:val="2"/>
        <w:rPr>
          <w:rFonts w:cstheme="minorHAnsi"/>
          <w:b/>
          <w:bCs/>
          <w:color w:val="4F6228"/>
          <w:sz w:val="27"/>
          <w:szCs w:val="27"/>
          <w:lang w:eastAsia="sk-SK"/>
        </w:rPr>
      </w:pPr>
      <w:r w:rsidRPr="009E4E62">
        <w:rPr>
          <w:rFonts w:cstheme="minorHAnsi"/>
          <w:b/>
          <w:bCs/>
          <w:color w:val="4F6228"/>
          <w:sz w:val="27"/>
          <w:szCs w:val="27"/>
          <w:lang w:eastAsia="sk-SK"/>
        </w:rPr>
        <w:t xml:space="preserve">Podprogram 1.9: </w:t>
      </w:r>
      <w:r w:rsidR="005233DE" w:rsidRPr="009E4E62">
        <w:rPr>
          <w:rFonts w:cstheme="minorHAnsi"/>
          <w:b/>
          <w:bCs/>
          <w:color w:val="4F6228"/>
          <w:sz w:val="27"/>
          <w:szCs w:val="27"/>
          <w:lang w:eastAsia="sk-SK"/>
        </w:rPr>
        <w:t>Bezpečnosť</w:t>
      </w:r>
    </w:p>
    <w:p w14:paraId="1B13C4BF" w14:textId="77777777" w:rsidR="009E4E62" w:rsidRPr="00074A3C" w:rsidRDefault="009E4E62" w:rsidP="009E4E62">
      <w:pPr>
        <w:spacing w:before="100" w:beforeAutospacing="1" w:after="100" w:afterAutospacing="1" w:line="240" w:lineRule="auto"/>
        <w:rPr>
          <w:rFonts w:cstheme="minorHAnsi"/>
          <w:sz w:val="24"/>
          <w:szCs w:val="24"/>
          <w:lang w:eastAsia="sk-SK"/>
        </w:rPr>
      </w:pPr>
      <w:r w:rsidRPr="00074A3C">
        <w:rPr>
          <w:rFonts w:cstheme="minorHAnsi"/>
          <w:b/>
          <w:bCs/>
          <w:sz w:val="24"/>
          <w:szCs w:val="24"/>
          <w:lang w:eastAsia="sk-SK"/>
        </w:rPr>
        <w:t xml:space="preserve">Zámer: </w:t>
      </w:r>
      <w:r w:rsidRPr="00074A3C">
        <w:rPr>
          <w:rFonts w:cstheme="minorHAnsi"/>
          <w:sz w:val="24"/>
          <w:szCs w:val="24"/>
          <w:lang w:eastAsia="sk-SK"/>
        </w:rPr>
        <w:t>Kraj pripravený na mimoriadne udalosti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80"/>
        <w:gridCol w:w="2023"/>
        <w:gridCol w:w="1359"/>
        <w:gridCol w:w="1738"/>
        <w:gridCol w:w="1357"/>
        <w:gridCol w:w="844"/>
        <w:gridCol w:w="2165"/>
      </w:tblGrid>
      <w:tr w:rsidR="009E4E62" w:rsidRPr="00074A3C" w14:paraId="3BA77576" w14:textId="77777777" w:rsidTr="009E4E62">
        <w:trPr>
          <w:tblCellSpacing w:w="15" w:type="dxa"/>
        </w:trPr>
        <w:tc>
          <w:tcPr>
            <w:tcW w:w="0" w:type="auto"/>
            <w:shd w:val="clear" w:color="auto" w:fill="C6DBF7"/>
            <w:vAlign w:val="center"/>
            <w:hideMark/>
          </w:tcPr>
          <w:p w14:paraId="606F89DC"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Kód EK</w:t>
            </w:r>
          </w:p>
        </w:tc>
        <w:tc>
          <w:tcPr>
            <w:tcW w:w="955" w:type="pct"/>
            <w:shd w:val="clear" w:color="auto" w:fill="C6DBF7"/>
            <w:vAlign w:val="center"/>
            <w:hideMark/>
          </w:tcPr>
          <w:p w14:paraId="320898C9"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Ekonomická klasifikácia</w:t>
            </w:r>
          </w:p>
        </w:tc>
        <w:tc>
          <w:tcPr>
            <w:tcW w:w="0" w:type="auto"/>
            <w:shd w:val="clear" w:color="auto" w:fill="C6DBF7"/>
            <w:vAlign w:val="center"/>
            <w:hideMark/>
          </w:tcPr>
          <w:p w14:paraId="0EDA2506"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Schválený</w:t>
            </w:r>
            <w:r w:rsidRPr="00074A3C">
              <w:rPr>
                <w:rFonts w:cstheme="minorHAnsi"/>
                <w:b/>
                <w:bCs/>
                <w:sz w:val="20"/>
                <w:szCs w:val="20"/>
                <w:lang w:eastAsia="sk-SK"/>
              </w:rPr>
              <w:br/>
              <w:t>rozpočet</w:t>
            </w:r>
            <w:r w:rsidRPr="00074A3C">
              <w:rPr>
                <w:rFonts w:cstheme="minorHAnsi"/>
                <w:b/>
                <w:bCs/>
                <w:sz w:val="20"/>
                <w:szCs w:val="20"/>
                <w:lang w:eastAsia="sk-SK"/>
              </w:rPr>
              <w:br/>
              <w:t>v EUR</w:t>
            </w:r>
          </w:p>
        </w:tc>
        <w:tc>
          <w:tcPr>
            <w:tcW w:w="838" w:type="pct"/>
            <w:shd w:val="clear" w:color="auto" w:fill="C6DBF7"/>
            <w:vAlign w:val="center"/>
            <w:hideMark/>
          </w:tcPr>
          <w:p w14:paraId="61CB0E07"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Zmenený</w:t>
            </w:r>
            <w:r w:rsidRPr="00074A3C">
              <w:rPr>
                <w:rFonts w:cstheme="minorHAnsi"/>
                <w:b/>
                <w:bCs/>
                <w:sz w:val="20"/>
                <w:szCs w:val="20"/>
                <w:lang w:eastAsia="sk-SK"/>
              </w:rPr>
              <w:br/>
              <w:t>rozpočet</w:t>
            </w:r>
            <w:r w:rsidRPr="00074A3C">
              <w:rPr>
                <w:rFonts w:cstheme="minorHAnsi"/>
                <w:b/>
                <w:bCs/>
                <w:sz w:val="20"/>
                <w:szCs w:val="20"/>
                <w:lang w:eastAsia="sk-SK"/>
              </w:rPr>
              <w:br/>
              <w:t>v EUR</w:t>
            </w:r>
          </w:p>
        </w:tc>
        <w:tc>
          <w:tcPr>
            <w:tcW w:w="652" w:type="pct"/>
            <w:shd w:val="clear" w:color="auto" w:fill="C6DBF7"/>
            <w:vAlign w:val="center"/>
            <w:hideMark/>
          </w:tcPr>
          <w:p w14:paraId="45E5FAE2"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Čerpanie</w:t>
            </w:r>
            <w:r w:rsidRPr="00074A3C">
              <w:rPr>
                <w:rFonts w:cstheme="minorHAnsi"/>
                <w:b/>
                <w:bCs/>
                <w:sz w:val="20"/>
                <w:szCs w:val="20"/>
                <w:lang w:eastAsia="sk-SK"/>
              </w:rPr>
              <w:br/>
              <w:t>v EUR</w:t>
            </w:r>
          </w:p>
        </w:tc>
        <w:tc>
          <w:tcPr>
            <w:tcW w:w="401" w:type="pct"/>
            <w:shd w:val="clear" w:color="auto" w:fill="C6DBF7"/>
            <w:vAlign w:val="center"/>
            <w:hideMark/>
          </w:tcPr>
          <w:p w14:paraId="22D68FDD"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Čerpanie</w:t>
            </w:r>
            <w:r w:rsidRPr="00074A3C">
              <w:rPr>
                <w:rFonts w:cstheme="minorHAnsi"/>
                <w:b/>
                <w:bCs/>
                <w:sz w:val="20"/>
                <w:szCs w:val="20"/>
                <w:lang w:eastAsia="sk-SK"/>
              </w:rPr>
              <w:br/>
              <w:t xml:space="preserve">k </w:t>
            </w:r>
            <w:proofErr w:type="spellStart"/>
            <w:r w:rsidRPr="00074A3C">
              <w:rPr>
                <w:rFonts w:cstheme="minorHAnsi"/>
                <w:b/>
                <w:bCs/>
                <w:sz w:val="20"/>
                <w:szCs w:val="20"/>
                <w:lang w:eastAsia="sk-SK"/>
              </w:rPr>
              <w:t>zmen</w:t>
            </w:r>
            <w:proofErr w:type="spellEnd"/>
            <w:r w:rsidRPr="00074A3C">
              <w:rPr>
                <w:rFonts w:cstheme="minorHAnsi"/>
                <w:b/>
                <w:bCs/>
                <w:sz w:val="20"/>
                <w:szCs w:val="20"/>
                <w:lang w:eastAsia="sk-SK"/>
              </w:rPr>
              <w:t xml:space="preserve">. </w:t>
            </w:r>
            <w:proofErr w:type="spellStart"/>
            <w:r w:rsidRPr="00074A3C">
              <w:rPr>
                <w:rFonts w:cstheme="minorHAnsi"/>
                <w:b/>
                <w:bCs/>
                <w:sz w:val="20"/>
                <w:szCs w:val="20"/>
                <w:lang w:eastAsia="sk-SK"/>
              </w:rPr>
              <w:t>rozp</w:t>
            </w:r>
            <w:proofErr w:type="spellEnd"/>
            <w:r w:rsidRPr="00074A3C">
              <w:rPr>
                <w:rFonts w:cstheme="minorHAnsi"/>
                <w:b/>
                <w:bCs/>
                <w:sz w:val="20"/>
                <w:szCs w:val="20"/>
                <w:lang w:eastAsia="sk-SK"/>
              </w:rPr>
              <w:t>.</w:t>
            </w:r>
            <w:r w:rsidRPr="00074A3C">
              <w:rPr>
                <w:rFonts w:cstheme="minorHAnsi"/>
                <w:b/>
                <w:bCs/>
                <w:sz w:val="20"/>
                <w:szCs w:val="20"/>
                <w:lang w:eastAsia="sk-SK"/>
              </w:rPr>
              <w:br/>
              <w:t>v %</w:t>
            </w:r>
          </w:p>
        </w:tc>
        <w:tc>
          <w:tcPr>
            <w:tcW w:w="0" w:type="auto"/>
            <w:shd w:val="clear" w:color="auto" w:fill="C6DBF7"/>
            <w:vAlign w:val="center"/>
            <w:hideMark/>
          </w:tcPr>
          <w:p w14:paraId="1C59CA02"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Zmeny rozpočtu</w:t>
            </w:r>
          </w:p>
        </w:tc>
      </w:tr>
      <w:tr w:rsidR="009E4E62" w:rsidRPr="00074A3C" w14:paraId="1282192C" w14:textId="77777777" w:rsidTr="009E4E62">
        <w:trPr>
          <w:tblCellSpacing w:w="15" w:type="dxa"/>
        </w:trPr>
        <w:tc>
          <w:tcPr>
            <w:tcW w:w="0" w:type="auto"/>
            <w:shd w:val="clear" w:color="auto" w:fill="D9D9D9"/>
            <w:noWrap/>
            <w:vAlign w:val="center"/>
            <w:hideMark/>
          </w:tcPr>
          <w:p w14:paraId="2251F554" w14:textId="77777777" w:rsidR="009E4E62" w:rsidRPr="00074A3C" w:rsidRDefault="009E4E62" w:rsidP="00314060">
            <w:pPr>
              <w:spacing w:after="0" w:line="240" w:lineRule="auto"/>
              <w:jc w:val="center"/>
              <w:rPr>
                <w:rFonts w:cstheme="minorHAnsi"/>
                <w:sz w:val="24"/>
                <w:szCs w:val="24"/>
                <w:lang w:eastAsia="sk-SK"/>
              </w:rPr>
            </w:pPr>
          </w:p>
        </w:tc>
        <w:tc>
          <w:tcPr>
            <w:tcW w:w="0" w:type="auto"/>
            <w:shd w:val="clear" w:color="auto" w:fill="D9D9D9"/>
            <w:vAlign w:val="center"/>
            <w:hideMark/>
          </w:tcPr>
          <w:p w14:paraId="3D3D599A"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Výdavky celkom</w:t>
            </w:r>
            <w:r w:rsidRPr="00074A3C">
              <w:rPr>
                <w:rFonts w:cstheme="minorHAnsi"/>
                <w:sz w:val="24"/>
                <w:szCs w:val="24"/>
                <w:lang w:eastAsia="sk-SK"/>
              </w:rPr>
              <w:t xml:space="preserve"> </w:t>
            </w:r>
          </w:p>
        </w:tc>
        <w:tc>
          <w:tcPr>
            <w:tcW w:w="0" w:type="auto"/>
            <w:shd w:val="clear" w:color="auto" w:fill="D9D9D9"/>
            <w:noWrap/>
            <w:vAlign w:val="center"/>
            <w:hideMark/>
          </w:tcPr>
          <w:p w14:paraId="75A34AB9"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500,00</w:t>
            </w:r>
            <w:r w:rsidRPr="00074A3C">
              <w:rPr>
                <w:rFonts w:cstheme="minorHAnsi"/>
                <w:sz w:val="24"/>
                <w:szCs w:val="24"/>
                <w:lang w:eastAsia="sk-SK"/>
              </w:rPr>
              <w:t xml:space="preserve"> </w:t>
            </w:r>
          </w:p>
        </w:tc>
        <w:tc>
          <w:tcPr>
            <w:tcW w:w="838" w:type="pct"/>
            <w:shd w:val="clear" w:color="auto" w:fill="D9D9D9"/>
            <w:noWrap/>
            <w:vAlign w:val="center"/>
            <w:hideMark/>
          </w:tcPr>
          <w:p w14:paraId="14769CFC"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500,00</w:t>
            </w:r>
            <w:r w:rsidRPr="00074A3C">
              <w:rPr>
                <w:rFonts w:cstheme="minorHAnsi"/>
                <w:sz w:val="24"/>
                <w:szCs w:val="24"/>
                <w:lang w:eastAsia="sk-SK"/>
              </w:rPr>
              <w:t xml:space="preserve"> </w:t>
            </w:r>
          </w:p>
        </w:tc>
        <w:tc>
          <w:tcPr>
            <w:tcW w:w="652" w:type="pct"/>
            <w:shd w:val="clear" w:color="auto" w:fill="D9D9D9"/>
            <w:noWrap/>
            <w:vAlign w:val="center"/>
            <w:hideMark/>
          </w:tcPr>
          <w:p w14:paraId="25713A1A"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32,00</w:t>
            </w:r>
            <w:r w:rsidRPr="00074A3C">
              <w:rPr>
                <w:rFonts w:cstheme="minorHAnsi"/>
                <w:sz w:val="24"/>
                <w:szCs w:val="24"/>
                <w:lang w:eastAsia="sk-SK"/>
              </w:rPr>
              <w:t xml:space="preserve"> </w:t>
            </w:r>
          </w:p>
        </w:tc>
        <w:tc>
          <w:tcPr>
            <w:tcW w:w="401" w:type="pct"/>
            <w:shd w:val="clear" w:color="auto" w:fill="D9D9D9"/>
            <w:noWrap/>
            <w:vAlign w:val="center"/>
            <w:hideMark/>
          </w:tcPr>
          <w:p w14:paraId="03CEC706"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6,40</w:t>
            </w:r>
            <w:r w:rsidRPr="00074A3C">
              <w:rPr>
                <w:rFonts w:cstheme="minorHAnsi"/>
                <w:sz w:val="24"/>
                <w:szCs w:val="24"/>
                <w:lang w:eastAsia="sk-SK"/>
              </w:rPr>
              <w:t xml:space="preserve"> </w:t>
            </w:r>
          </w:p>
        </w:tc>
        <w:tc>
          <w:tcPr>
            <w:tcW w:w="0" w:type="auto"/>
            <w:vMerge w:val="restart"/>
            <w:shd w:val="clear" w:color="auto" w:fill="D9D9D9"/>
            <w:vAlign w:val="center"/>
            <w:hideMark/>
          </w:tcPr>
          <w:p w14:paraId="2EB5E0E9" w14:textId="77777777" w:rsidR="009E4E62" w:rsidRPr="00074A3C" w:rsidRDefault="009E4E62" w:rsidP="00314060">
            <w:pPr>
              <w:spacing w:after="0" w:line="240" w:lineRule="auto"/>
              <w:jc w:val="right"/>
              <w:rPr>
                <w:rFonts w:cstheme="minorHAnsi"/>
                <w:sz w:val="24"/>
                <w:szCs w:val="24"/>
                <w:lang w:eastAsia="sk-SK"/>
              </w:rPr>
            </w:pPr>
          </w:p>
        </w:tc>
      </w:tr>
      <w:tr w:rsidR="009E4E62" w:rsidRPr="00074A3C" w14:paraId="34FCCAF0" w14:textId="77777777" w:rsidTr="009E4E62">
        <w:trPr>
          <w:tblCellSpacing w:w="15" w:type="dxa"/>
        </w:trPr>
        <w:tc>
          <w:tcPr>
            <w:tcW w:w="0" w:type="auto"/>
            <w:shd w:val="clear" w:color="auto" w:fill="D9D9D9"/>
            <w:noWrap/>
            <w:vAlign w:val="center"/>
            <w:hideMark/>
          </w:tcPr>
          <w:p w14:paraId="240C6E40"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600</w:t>
            </w:r>
            <w:r w:rsidRPr="00074A3C">
              <w:rPr>
                <w:rFonts w:cstheme="minorHAnsi"/>
                <w:sz w:val="24"/>
                <w:szCs w:val="24"/>
                <w:lang w:eastAsia="sk-SK"/>
              </w:rPr>
              <w:t xml:space="preserve"> </w:t>
            </w:r>
          </w:p>
        </w:tc>
        <w:tc>
          <w:tcPr>
            <w:tcW w:w="0" w:type="auto"/>
            <w:shd w:val="clear" w:color="auto" w:fill="D9D9D9"/>
            <w:vAlign w:val="center"/>
            <w:hideMark/>
          </w:tcPr>
          <w:p w14:paraId="0BEE48BF"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Bežné výdavky</w:t>
            </w:r>
            <w:r w:rsidRPr="00074A3C">
              <w:rPr>
                <w:rFonts w:cstheme="minorHAnsi"/>
                <w:sz w:val="24"/>
                <w:szCs w:val="24"/>
                <w:lang w:eastAsia="sk-SK"/>
              </w:rPr>
              <w:t xml:space="preserve"> </w:t>
            </w:r>
          </w:p>
        </w:tc>
        <w:tc>
          <w:tcPr>
            <w:tcW w:w="0" w:type="auto"/>
            <w:shd w:val="clear" w:color="auto" w:fill="D9D9D9"/>
            <w:noWrap/>
            <w:vAlign w:val="center"/>
            <w:hideMark/>
          </w:tcPr>
          <w:p w14:paraId="4F698367"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500,00</w:t>
            </w:r>
            <w:r w:rsidRPr="00074A3C">
              <w:rPr>
                <w:rFonts w:cstheme="minorHAnsi"/>
                <w:sz w:val="24"/>
                <w:szCs w:val="24"/>
                <w:lang w:eastAsia="sk-SK"/>
              </w:rPr>
              <w:t xml:space="preserve"> </w:t>
            </w:r>
          </w:p>
        </w:tc>
        <w:tc>
          <w:tcPr>
            <w:tcW w:w="838" w:type="pct"/>
            <w:shd w:val="clear" w:color="auto" w:fill="D9D9D9"/>
            <w:noWrap/>
            <w:vAlign w:val="center"/>
            <w:hideMark/>
          </w:tcPr>
          <w:p w14:paraId="1DE2F337"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500,00</w:t>
            </w:r>
            <w:r w:rsidRPr="00074A3C">
              <w:rPr>
                <w:rFonts w:cstheme="minorHAnsi"/>
                <w:sz w:val="24"/>
                <w:szCs w:val="24"/>
                <w:lang w:eastAsia="sk-SK"/>
              </w:rPr>
              <w:t xml:space="preserve"> </w:t>
            </w:r>
          </w:p>
        </w:tc>
        <w:tc>
          <w:tcPr>
            <w:tcW w:w="652" w:type="pct"/>
            <w:shd w:val="clear" w:color="auto" w:fill="D9D9D9"/>
            <w:noWrap/>
            <w:vAlign w:val="center"/>
            <w:hideMark/>
          </w:tcPr>
          <w:p w14:paraId="269954EE"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32,00</w:t>
            </w:r>
            <w:r w:rsidRPr="00074A3C">
              <w:rPr>
                <w:rFonts w:cstheme="minorHAnsi"/>
                <w:sz w:val="24"/>
                <w:szCs w:val="24"/>
                <w:lang w:eastAsia="sk-SK"/>
              </w:rPr>
              <w:t xml:space="preserve"> </w:t>
            </w:r>
          </w:p>
        </w:tc>
        <w:tc>
          <w:tcPr>
            <w:tcW w:w="401" w:type="pct"/>
            <w:shd w:val="clear" w:color="auto" w:fill="D9D9D9"/>
            <w:noWrap/>
            <w:vAlign w:val="center"/>
            <w:hideMark/>
          </w:tcPr>
          <w:p w14:paraId="635C0108"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b/>
                <w:bCs/>
                <w:sz w:val="20"/>
                <w:szCs w:val="20"/>
                <w:lang w:eastAsia="sk-SK"/>
              </w:rPr>
              <w:t>6,40</w:t>
            </w:r>
            <w:r w:rsidRPr="00074A3C">
              <w:rPr>
                <w:rFonts w:cstheme="minorHAnsi"/>
                <w:sz w:val="24"/>
                <w:szCs w:val="24"/>
                <w:lang w:eastAsia="sk-SK"/>
              </w:rPr>
              <w:t xml:space="preserve"> </w:t>
            </w:r>
          </w:p>
        </w:tc>
        <w:tc>
          <w:tcPr>
            <w:tcW w:w="0" w:type="auto"/>
            <w:vMerge/>
            <w:shd w:val="clear" w:color="auto" w:fill="D9D9D9"/>
            <w:vAlign w:val="center"/>
            <w:hideMark/>
          </w:tcPr>
          <w:p w14:paraId="5BA07030" w14:textId="77777777" w:rsidR="009E4E62" w:rsidRPr="00074A3C" w:rsidRDefault="009E4E62" w:rsidP="00314060">
            <w:pPr>
              <w:spacing w:after="0" w:line="240" w:lineRule="auto"/>
              <w:rPr>
                <w:rFonts w:cstheme="minorHAnsi"/>
                <w:sz w:val="24"/>
                <w:szCs w:val="24"/>
                <w:lang w:eastAsia="sk-SK"/>
              </w:rPr>
            </w:pPr>
          </w:p>
        </w:tc>
      </w:tr>
      <w:tr w:rsidR="009E4E62" w:rsidRPr="00074A3C" w14:paraId="178CCF91" w14:textId="77777777" w:rsidTr="009E4E62">
        <w:trPr>
          <w:tblCellSpacing w:w="15" w:type="dxa"/>
        </w:trPr>
        <w:tc>
          <w:tcPr>
            <w:tcW w:w="0" w:type="auto"/>
            <w:shd w:val="clear" w:color="auto" w:fill="EFEFEF"/>
            <w:noWrap/>
            <w:vAlign w:val="center"/>
            <w:hideMark/>
          </w:tcPr>
          <w:p w14:paraId="6102296F" w14:textId="77777777" w:rsidR="009E4E62" w:rsidRPr="00074A3C" w:rsidRDefault="009E4E62" w:rsidP="00314060">
            <w:pPr>
              <w:spacing w:after="0" w:line="240" w:lineRule="auto"/>
              <w:rPr>
                <w:rFonts w:cstheme="minorHAnsi"/>
                <w:sz w:val="24"/>
                <w:szCs w:val="24"/>
                <w:lang w:eastAsia="sk-SK"/>
              </w:rPr>
            </w:pPr>
            <w:r w:rsidRPr="00074A3C">
              <w:rPr>
                <w:rFonts w:cstheme="minorHAnsi"/>
                <w:sz w:val="20"/>
                <w:szCs w:val="20"/>
                <w:lang w:eastAsia="sk-SK"/>
              </w:rPr>
              <w:t>630</w:t>
            </w:r>
            <w:r w:rsidRPr="00074A3C">
              <w:rPr>
                <w:rFonts w:cstheme="minorHAnsi"/>
                <w:sz w:val="24"/>
                <w:szCs w:val="24"/>
                <w:lang w:eastAsia="sk-SK"/>
              </w:rPr>
              <w:t xml:space="preserve"> </w:t>
            </w:r>
          </w:p>
        </w:tc>
        <w:tc>
          <w:tcPr>
            <w:tcW w:w="0" w:type="auto"/>
            <w:shd w:val="clear" w:color="auto" w:fill="EFEFEF"/>
            <w:vAlign w:val="center"/>
            <w:hideMark/>
          </w:tcPr>
          <w:p w14:paraId="2AFC75C5" w14:textId="77777777" w:rsidR="009E4E62" w:rsidRPr="00074A3C" w:rsidRDefault="009E4E62" w:rsidP="00314060">
            <w:pPr>
              <w:spacing w:after="0" w:line="240" w:lineRule="auto"/>
              <w:rPr>
                <w:rFonts w:cstheme="minorHAnsi"/>
                <w:sz w:val="24"/>
                <w:szCs w:val="24"/>
                <w:lang w:eastAsia="sk-SK"/>
              </w:rPr>
            </w:pPr>
            <w:r w:rsidRPr="00074A3C">
              <w:rPr>
                <w:rFonts w:cstheme="minorHAnsi"/>
                <w:sz w:val="20"/>
                <w:szCs w:val="20"/>
                <w:lang w:eastAsia="sk-SK"/>
              </w:rPr>
              <w:t>Tovary a služby</w:t>
            </w:r>
            <w:r w:rsidRPr="00074A3C">
              <w:rPr>
                <w:rFonts w:cstheme="minorHAnsi"/>
                <w:sz w:val="24"/>
                <w:szCs w:val="24"/>
                <w:lang w:eastAsia="sk-SK"/>
              </w:rPr>
              <w:t xml:space="preserve"> </w:t>
            </w:r>
          </w:p>
        </w:tc>
        <w:tc>
          <w:tcPr>
            <w:tcW w:w="0" w:type="auto"/>
            <w:shd w:val="clear" w:color="auto" w:fill="EFEFEF"/>
            <w:noWrap/>
            <w:vAlign w:val="center"/>
            <w:hideMark/>
          </w:tcPr>
          <w:p w14:paraId="323ED65E"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sz w:val="20"/>
                <w:szCs w:val="20"/>
                <w:lang w:eastAsia="sk-SK"/>
              </w:rPr>
              <w:t>500,00</w:t>
            </w:r>
            <w:r w:rsidRPr="00074A3C">
              <w:rPr>
                <w:rFonts w:cstheme="minorHAnsi"/>
                <w:sz w:val="24"/>
                <w:szCs w:val="24"/>
                <w:lang w:eastAsia="sk-SK"/>
              </w:rPr>
              <w:t xml:space="preserve"> </w:t>
            </w:r>
          </w:p>
        </w:tc>
        <w:tc>
          <w:tcPr>
            <w:tcW w:w="838" w:type="pct"/>
            <w:shd w:val="clear" w:color="auto" w:fill="EFEFEF"/>
            <w:noWrap/>
            <w:vAlign w:val="center"/>
            <w:hideMark/>
          </w:tcPr>
          <w:p w14:paraId="2FB298C9"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sz w:val="20"/>
                <w:szCs w:val="20"/>
                <w:lang w:eastAsia="sk-SK"/>
              </w:rPr>
              <w:t>500,00</w:t>
            </w:r>
            <w:r w:rsidRPr="00074A3C">
              <w:rPr>
                <w:rFonts w:cstheme="minorHAnsi"/>
                <w:sz w:val="24"/>
                <w:szCs w:val="24"/>
                <w:lang w:eastAsia="sk-SK"/>
              </w:rPr>
              <w:t xml:space="preserve"> </w:t>
            </w:r>
          </w:p>
        </w:tc>
        <w:tc>
          <w:tcPr>
            <w:tcW w:w="652" w:type="pct"/>
            <w:shd w:val="clear" w:color="auto" w:fill="EFEFEF"/>
            <w:noWrap/>
            <w:vAlign w:val="center"/>
            <w:hideMark/>
          </w:tcPr>
          <w:p w14:paraId="719C192E"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sz w:val="20"/>
                <w:szCs w:val="20"/>
                <w:lang w:eastAsia="sk-SK"/>
              </w:rPr>
              <w:t>32,00</w:t>
            </w:r>
            <w:r w:rsidRPr="00074A3C">
              <w:rPr>
                <w:rFonts w:cstheme="minorHAnsi"/>
                <w:sz w:val="24"/>
                <w:szCs w:val="24"/>
                <w:lang w:eastAsia="sk-SK"/>
              </w:rPr>
              <w:t xml:space="preserve"> </w:t>
            </w:r>
          </w:p>
        </w:tc>
        <w:tc>
          <w:tcPr>
            <w:tcW w:w="401" w:type="pct"/>
            <w:shd w:val="clear" w:color="auto" w:fill="EFEFEF"/>
            <w:noWrap/>
            <w:vAlign w:val="center"/>
            <w:hideMark/>
          </w:tcPr>
          <w:p w14:paraId="0C7EE277" w14:textId="77777777" w:rsidR="009E4E62" w:rsidRPr="00074A3C" w:rsidRDefault="009E4E62" w:rsidP="00314060">
            <w:pPr>
              <w:spacing w:after="0" w:line="240" w:lineRule="auto"/>
              <w:jc w:val="right"/>
              <w:rPr>
                <w:rFonts w:cstheme="minorHAnsi"/>
                <w:sz w:val="24"/>
                <w:szCs w:val="24"/>
                <w:lang w:eastAsia="sk-SK"/>
              </w:rPr>
            </w:pPr>
            <w:r w:rsidRPr="00074A3C">
              <w:rPr>
                <w:rFonts w:cstheme="minorHAnsi"/>
                <w:sz w:val="20"/>
                <w:szCs w:val="20"/>
                <w:lang w:eastAsia="sk-SK"/>
              </w:rPr>
              <w:t>6,40</w:t>
            </w:r>
            <w:r w:rsidRPr="00074A3C">
              <w:rPr>
                <w:rFonts w:cstheme="minorHAnsi"/>
                <w:sz w:val="24"/>
                <w:szCs w:val="24"/>
                <w:lang w:eastAsia="sk-SK"/>
              </w:rPr>
              <w:t xml:space="preserve"> </w:t>
            </w:r>
          </w:p>
        </w:tc>
        <w:tc>
          <w:tcPr>
            <w:tcW w:w="0" w:type="auto"/>
            <w:vMerge/>
            <w:shd w:val="clear" w:color="auto" w:fill="EFEFEF"/>
            <w:vAlign w:val="center"/>
            <w:hideMark/>
          </w:tcPr>
          <w:p w14:paraId="7AC2A04E" w14:textId="77777777" w:rsidR="009E4E62" w:rsidRPr="00074A3C" w:rsidRDefault="009E4E62" w:rsidP="00314060">
            <w:pPr>
              <w:spacing w:after="0" w:line="240" w:lineRule="auto"/>
              <w:rPr>
                <w:rFonts w:cstheme="minorHAnsi"/>
                <w:sz w:val="24"/>
                <w:szCs w:val="24"/>
                <w:lang w:eastAsia="sk-SK"/>
              </w:rPr>
            </w:pPr>
          </w:p>
        </w:tc>
      </w:tr>
    </w:tbl>
    <w:p w14:paraId="1003B1A4" w14:textId="77777777" w:rsidR="009E4E62" w:rsidRPr="00074A3C" w:rsidRDefault="009E4E62" w:rsidP="009E4E62">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1230"/>
        <w:gridCol w:w="1856"/>
        <w:gridCol w:w="1308"/>
        <w:gridCol w:w="4159"/>
      </w:tblGrid>
      <w:tr w:rsidR="009E4E62" w:rsidRPr="00074A3C" w14:paraId="78DFC60B" w14:textId="77777777" w:rsidTr="00314060">
        <w:trPr>
          <w:tblCellSpacing w:w="15" w:type="dxa"/>
        </w:trPr>
        <w:tc>
          <w:tcPr>
            <w:tcW w:w="0" w:type="auto"/>
            <w:shd w:val="clear" w:color="auto" w:fill="C2D69B"/>
            <w:vAlign w:val="center"/>
            <w:hideMark/>
          </w:tcPr>
          <w:p w14:paraId="78C28A63"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Zodpovednosť</w:t>
            </w:r>
          </w:p>
        </w:tc>
        <w:tc>
          <w:tcPr>
            <w:tcW w:w="0" w:type="auto"/>
            <w:gridSpan w:val="4"/>
            <w:shd w:val="clear" w:color="auto" w:fill="C2D69B"/>
            <w:vAlign w:val="center"/>
            <w:hideMark/>
          </w:tcPr>
          <w:p w14:paraId="5A43DF71" w14:textId="77777777" w:rsidR="009E4E62" w:rsidRPr="00074A3C" w:rsidRDefault="009E4E62" w:rsidP="00314060">
            <w:pPr>
              <w:spacing w:after="0" w:line="240" w:lineRule="auto"/>
              <w:rPr>
                <w:rFonts w:cstheme="minorHAnsi"/>
                <w:sz w:val="24"/>
                <w:szCs w:val="24"/>
                <w:lang w:eastAsia="sk-SK"/>
              </w:rPr>
            </w:pPr>
            <w:r w:rsidRPr="00074A3C">
              <w:rPr>
                <w:rFonts w:cstheme="minorHAnsi"/>
                <w:sz w:val="20"/>
                <w:szCs w:val="20"/>
                <w:lang w:eastAsia="sk-SK"/>
              </w:rPr>
              <w:t>Útvar riaditeľa úradu BSK - úsek krízového riadenia</w:t>
            </w:r>
            <w:r w:rsidRPr="00074A3C">
              <w:rPr>
                <w:rFonts w:cstheme="minorHAnsi"/>
                <w:sz w:val="24"/>
                <w:szCs w:val="24"/>
                <w:lang w:eastAsia="sk-SK"/>
              </w:rPr>
              <w:t xml:space="preserve"> </w:t>
            </w:r>
          </w:p>
        </w:tc>
      </w:tr>
      <w:tr w:rsidR="009E4E62" w:rsidRPr="00074A3C" w14:paraId="4581E73D" w14:textId="77777777" w:rsidTr="00314060">
        <w:trPr>
          <w:tblCellSpacing w:w="15" w:type="dxa"/>
        </w:trPr>
        <w:tc>
          <w:tcPr>
            <w:tcW w:w="0" w:type="auto"/>
            <w:shd w:val="clear" w:color="auto" w:fill="C2D69B"/>
            <w:vAlign w:val="center"/>
            <w:hideMark/>
          </w:tcPr>
          <w:p w14:paraId="3BBD8597"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Cieľ</w:t>
            </w:r>
          </w:p>
        </w:tc>
        <w:tc>
          <w:tcPr>
            <w:tcW w:w="0" w:type="auto"/>
            <w:gridSpan w:val="4"/>
            <w:shd w:val="clear" w:color="auto" w:fill="C2D69B"/>
            <w:vAlign w:val="center"/>
            <w:hideMark/>
          </w:tcPr>
          <w:p w14:paraId="70BAB36A" w14:textId="77777777" w:rsidR="009E4E62" w:rsidRPr="00074A3C" w:rsidRDefault="009E4E62" w:rsidP="00314060">
            <w:pPr>
              <w:spacing w:after="0" w:line="240" w:lineRule="auto"/>
              <w:rPr>
                <w:rFonts w:cstheme="minorHAnsi"/>
                <w:sz w:val="24"/>
                <w:szCs w:val="24"/>
                <w:lang w:eastAsia="sk-SK"/>
              </w:rPr>
            </w:pPr>
            <w:r w:rsidRPr="00074A3C">
              <w:rPr>
                <w:rFonts w:cstheme="minorHAnsi"/>
                <w:sz w:val="20"/>
                <w:szCs w:val="20"/>
                <w:lang w:eastAsia="sk-SK"/>
              </w:rPr>
              <w:t>Zabezpečiť odborné vzdelávanie v systéme civilnej ochrany, zabezpečiť aktuálne informácie o možných subjektoch hospodárskej mobilizácie v pôsobnosti BSK cestou JIS MH SR.</w:t>
            </w:r>
            <w:r w:rsidRPr="00074A3C">
              <w:rPr>
                <w:rFonts w:cstheme="minorHAnsi"/>
                <w:sz w:val="24"/>
                <w:szCs w:val="24"/>
                <w:lang w:eastAsia="sk-SK"/>
              </w:rPr>
              <w:t xml:space="preserve"> </w:t>
            </w:r>
          </w:p>
        </w:tc>
      </w:tr>
      <w:tr w:rsidR="009E4E62" w:rsidRPr="00074A3C" w14:paraId="4905793F" w14:textId="77777777" w:rsidTr="00314060">
        <w:trPr>
          <w:tblCellSpacing w:w="15" w:type="dxa"/>
        </w:trPr>
        <w:tc>
          <w:tcPr>
            <w:tcW w:w="0" w:type="auto"/>
            <w:shd w:val="clear" w:color="auto" w:fill="C2D69B"/>
            <w:vAlign w:val="center"/>
            <w:hideMark/>
          </w:tcPr>
          <w:p w14:paraId="2390E135"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Merateľný ukazovateľ</w:t>
            </w:r>
          </w:p>
        </w:tc>
        <w:tc>
          <w:tcPr>
            <w:tcW w:w="0" w:type="auto"/>
            <w:gridSpan w:val="4"/>
            <w:shd w:val="clear" w:color="auto" w:fill="C2D69B"/>
            <w:vAlign w:val="center"/>
            <w:hideMark/>
          </w:tcPr>
          <w:p w14:paraId="081C8420" w14:textId="77777777" w:rsidR="009E4E62" w:rsidRPr="00074A3C" w:rsidRDefault="009E4E62" w:rsidP="00314060">
            <w:pPr>
              <w:spacing w:after="0" w:line="240" w:lineRule="auto"/>
              <w:rPr>
                <w:rFonts w:cstheme="minorHAnsi"/>
                <w:sz w:val="24"/>
                <w:szCs w:val="24"/>
                <w:lang w:eastAsia="sk-SK"/>
              </w:rPr>
            </w:pPr>
            <w:r w:rsidRPr="00074A3C">
              <w:rPr>
                <w:rFonts w:cstheme="minorHAnsi"/>
                <w:sz w:val="20"/>
                <w:szCs w:val="20"/>
                <w:lang w:eastAsia="sk-SK"/>
              </w:rPr>
              <w:t xml:space="preserve">Počet odborných školení spolu za rok </w:t>
            </w:r>
          </w:p>
        </w:tc>
      </w:tr>
      <w:tr w:rsidR="009E4E62" w:rsidRPr="00074A3C" w14:paraId="2F5442BB" w14:textId="77777777" w:rsidTr="00314060">
        <w:trPr>
          <w:tblCellSpacing w:w="15" w:type="dxa"/>
        </w:trPr>
        <w:tc>
          <w:tcPr>
            <w:tcW w:w="0" w:type="auto"/>
            <w:shd w:val="clear" w:color="auto" w:fill="C2D69B"/>
            <w:vAlign w:val="center"/>
            <w:hideMark/>
          </w:tcPr>
          <w:p w14:paraId="72093382"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Rok</w:t>
            </w:r>
          </w:p>
        </w:tc>
        <w:tc>
          <w:tcPr>
            <w:tcW w:w="0" w:type="auto"/>
            <w:shd w:val="clear" w:color="auto" w:fill="C2D69B"/>
            <w:vAlign w:val="center"/>
            <w:hideMark/>
          </w:tcPr>
          <w:p w14:paraId="660A0952"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Plán</w:t>
            </w:r>
          </w:p>
        </w:tc>
        <w:tc>
          <w:tcPr>
            <w:tcW w:w="0" w:type="auto"/>
            <w:shd w:val="clear" w:color="auto" w:fill="C2D69B"/>
            <w:vAlign w:val="center"/>
            <w:hideMark/>
          </w:tcPr>
          <w:p w14:paraId="2A147BD0"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Skutočnosť</w:t>
            </w:r>
          </w:p>
        </w:tc>
        <w:tc>
          <w:tcPr>
            <w:tcW w:w="0" w:type="auto"/>
            <w:shd w:val="clear" w:color="auto" w:fill="C2D69B"/>
            <w:vAlign w:val="center"/>
            <w:hideMark/>
          </w:tcPr>
          <w:p w14:paraId="6EDE990D"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Plnenie</w:t>
            </w:r>
          </w:p>
        </w:tc>
        <w:tc>
          <w:tcPr>
            <w:tcW w:w="2000" w:type="pct"/>
            <w:shd w:val="clear" w:color="auto" w:fill="C2D69B"/>
            <w:vAlign w:val="center"/>
            <w:hideMark/>
          </w:tcPr>
          <w:p w14:paraId="6CA2744B"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Poznámka</w:t>
            </w:r>
          </w:p>
        </w:tc>
      </w:tr>
      <w:tr w:rsidR="009E4E62" w:rsidRPr="00074A3C" w14:paraId="4827800E" w14:textId="77777777" w:rsidTr="00314060">
        <w:trPr>
          <w:tblCellSpacing w:w="15" w:type="dxa"/>
        </w:trPr>
        <w:tc>
          <w:tcPr>
            <w:tcW w:w="0" w:type="auto"/>
            <w:shd w:val="clear" w:color="auto" w:fill="C2D69B"/>
            <w:vAlign w:val="center"/>
            <w:hideMark/>
          </w:tcPr>
          <w:p w14:paraId="4E90BF8C"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2020</w:t>
            </w:r>
            <w:r w:rsidRPr="00074A3C">
              <w:rPr>
                <w:rFonts w:cstheme="minorHAnsi"/>
                <w:sz w:val="24"/>
                <w:szCs w:val="24"/>
                <w:lang w:eastAsia="sk-SK"/>
              </w:rPr>
              <w:t xml:space="preserve"> </w:t>
            </w:r>
          </w:p>
        </w:tc>
        <w:tc>
          <w:tcPr>
            <w:tcW w:w="0" w:type="auto"/>
            <w:shd w:val="clear" w:color="auto" w:fill="C2D69B"/>
            <w:noWrap/>
            <w:vAlign w:val="center"/>
            <w:hideMark/>
          </w:tcPr>
          <w:p w14:paraId="22113FDE"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 160</w:t>
            </w:r>
            <w:r w:rsidRPr="00074A3C">
              <w:rPr>
                <w:rFonts w:cstheme="minorHAnsi"/>
                <w:sz w:val="24"/>
                <w:szCs w:val="24"/>
                <w:lang w:eastAsia="sk-SK"/>
              </w:rPr>
              <w:t xml:space="preserve"> </w:t>
            </w:r>
          </w:p>
        </w:tc>
        <w:tc>
          <w:tcPr>
            <w:tcW w:w="0" w:type="auto"/>
            <w:shd w:val="clear" w:color="auto" w:fill="C2D69B"/>
            <w:noWrap/>
            <w:vAlign w:val="center"/>
            <w:hideMark/>
          </w:tcPr>
          <w:p w14:paraId="0ACBF19B"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 xml:space="preserve">144 </w:t>
            </w:r>
          </w:p>
        </w:tc>
        <w:tc>
          <w:tcPr>
            <w:tcW w:w="0" w:type="auto"/>
            <w:shd w:val="clear" w:color="auto" w:fill="C2D69B"/>
            <w:vAlign w:val="center"/>
            <w:hideMark/>
          </w:tcPr>
          <w:p w14:paraId="4D008580"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splnené</w:t>
            </w:r>
          </w:p>
        </w:tc>
        <w:tc>
          <w:tcPr>
            <w:tcW w:w="0" w:type="auto"/>
            <w:shd w:val="clear" w:color="auto" w:fill="C2D69B"/>
            <w:vAlign w:val="center"/>
            <w:hideMark/>
          </w:tcPr>
          <w:p w14:paraId="280E5033" w14:textId="77777777" w:rsidR="009E4E62" w:rsidRPr="00074A3C" w:rsidRDefault="009E4E62" w:rsidP="00314060">
            <w:pPr>
              <w:spacing w:after="0" w:line="240" w:lineRule="auto"/>
              <w:jc w:val="center"/>
              <w:rPr>
                <w:rFonts w:cstheme="minorHAnsi"/>
                <w:sz w:val="20"/>
                <w:szCs w:val="20"/>
                <w:lang w:eastAsia="sk-SK"/>
              </w:rPr>
            </w:pPr>
            <w:r w:rsidRPr="00074A3C">
              <w:rPr>
                <w:rFonts w:cstheme="minorHAnsi"/>
                <w:sz w:val="20"/>
                <w:szCs w:val="20"/>
                <w:lang w:eastAsia="sk-SK"/>
              </w:rPr>
              <w:t>online-poskytnutie prezentácií</w:t>
            </w:r>
          </w:p>
        </w:tc>
      </w:tr>
      <w:tr w:rsidR="009E4E62" w:rsidRPr="00074A3C" w14:paraId="6FB69CB5" w14:textId="77777777" w:rsidTr="00314060">
        <w:trPr>
          <w:tblCellSpacing w:w="15" w:type="dxa"/>
        </w:trPr>
        <w:tc>
          <w:tcPr>
            <w:tcW w:w="0" w:type="auto"/>
            <w:shd w:val="clear" w:color="auto" w:fill="C2D69B"/>
            <w:vAlign w:val="center"/>
            <w:hideMark/>
          </w:tcPr>
          <w:p w14:paraId="2E687686"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Merateľný ukazovateľ</w:t>
            </w:r>
          </w:p>
        </w:tc>
        <w:tc>
          <w:tcPr>
            <w:tcW w:w="0" w:type="auto"/>
            <w:gridSpan w:val="4"/>
            <w:shd w:val="clear" w:color="auto" w:fill="C2D69B"/>
            <w:vAlign w:val="center"/>
            <w:hideMark/>
          </w:tcPr>
          <w:p w14:paraId="7897B98F" w14:textId="77777777" w:rsidR="009E4E62" w:rsidRPr="00074A3C" w:rsidRDefault="009E4E62" w:rsidP="00314060">
            <w:pPr>
              <w:spacing w:after="0" w:line="240" w:lineRule="auto"/>
              <w:rPr>
                <w:rFonts w:cstheme="minorHAnsi"/>
                <w:sz w:val="24"/>
                <w:szCs w:val="24"/>
                <w:lang w:eastAsia="sk-SK"/>
              </w:rPr>
            </w:pPr>
            <w:r w:rsidRPr="00074A3C">
              <w:rPr>
                <w:rFonts w:cstheme="minorHAnsi"/>
                <w:sz w:val="20"/>
                <w:szCs w:val="20"/>
                <w:lang w:eastAsia="sk-SK"/>
              </w:rPr>
              <w:t xml:space="preserve">Počet preškolených zamestnancov a ostatných pracovníkov spolu za rok </w:t>
            </w:r>
          </w:p>
        </w:tc>
      </w:tr>
      <w:tr w:rsidR="009E4E62" w:rsidRPr="00074A3C" w14:paraId="468A340C" w14:textId="77777777" w:rsidTr="00314060">
        <w:trPr>
          <w:tblCellSpacing w:w="15" w:type="dxa"/>
        </w:trPr>
        <w:tc>
          <w:tcPr>
            <w:tcW w:w="0" w:type="auto"/>
            <w:shd w:val="clear" w:color="auto" w:fill="C2D69B"/>
            <w:vAlign w:val="center"/>
            <w:hideMark/>
          </w:tcPr>
          <w:p w14:paraId="4BA6AC09"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Rok</w:t>
            </w:r>
          </w:p>
        </w:tc>
        <w:tc>
          <w:tcPr>
            <w:tcW w:w="0" w:type="auto"/>
            <w:shd w:val="clear" w:color="auto" w:fill="C2D69B"/>
            <w:vAlign w:val="center"/>
            <w:hideMark/>
          </w:tcPr>
          <w:p w14:paraId="5422BED8"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Plán</w:t>
            </w:r>
          </w:p>
        </w:tc>
        <w:tc>
          <w:tcPr>
            <w:tcW w:w="0" w:type="auto"/>
            <w:shd w:val="clear" w:color="auto" w:fill="C2D69B"/>
            <w:vAlign w:val="center"/>
            <w:hideMark/>
          </w:tcPr>
          <w:p w14:paraId="54003BAF"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Skutočnosť</w:t>
            </w:r>
          </w:p>
        </w:tc>
        <w:tc>
          <w:tcPr>
            <w:tcW w:w="0" w:type="auto"/>
            <w:shd w:val="clear" w:color="auto" w:fill="C2D69B"/>
            <w:vAlign w:val="center"/>
            <w:hideMark/>
          </w:tcPr>
          <w:p w14:paraId="27FE92E6"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Plnenie</w:t>
            </w:r>
          </w:p>
        </w:tc>
        <w:tc>
          <w:tcPr>
            <w:tcW w:w="2000" w:type="pct"/>
            <w:shd w:val="clear" w:color="auto" w:fill="C2D69B"/>
            <w:vAlign w:val="center"/>
            <w:hideMark/>
          </w:tcPr>
          <w:p w14:paraId="6C5651BA"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Poznámka</w:t>
            </w:r>
          </w:p>
        </w:tc>
      </w:tr>
      <w:tr w:rsidR="009E4E62" w:rsidRPr="00074A3C" w14:paraId="383FB742" w14:textId="77777777" w:rsidTr="00314060">
        <w:trPr>
          <w:tblCellSpacing w:w="15" w:type="dxa"/>
        </w:trPr>
        <w:tc>
          <w:tcPr>
            <w:tcW w:w="0" w:type="auto"/>
            <w:shd w:val="clear" w:color="auto" w:fill="C2D69B"/>
            <w:vAlign w:val="center"/>
            <w:hideMark/>
          </w:tcPr>
          <w:p w14:paraId="3EFB845B"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2020</w:t>
            </w:r>
            <w:r w:rsidRPr="00074A3C">
              <w:rPr>
                <w:rFonts w:cstheme="minorHAnsi"/>
                <w:sz w:val="24"/>
                <w:szCs w:val="24"/>
                <w:lang w:eastAsia="sk-SK"/>
              </w:rPr>
              <w:t xml:space="preserve"> </w:t>
            </w:r>
          </w:p>
        </w:tc>
        <w:tc>
          <w:tcPr>
            <w:tcW w:w="0" w:type="auto"/>
            <w:shd w:val="clear" w:color="auto" w:fill="C2D69B"/>
            <w:noWrap/>
            <w:vAlign w:val="center"/>
            <w:hideMark/>
          </w:tcPr>
          <w:p w14:paraId="52116249"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 10 100</w:t>
            </w:r>
            <w:r w:rsidRPr="00074A3C">
              <w:rPr>
                <w:rFonts w:cstheme="minorHAnsi"/>
                <w:sz w:val="24"/>
                <w:szCs w:val="24"/>
                <w:lang w:eastAsia="sk-SK"/>
              </w:rPr>
              <w:t xml:space="preserve"> </w:t>
            </w:r>
          </w:p>
        </w:tc>
        <w:tc>
          <w:tcPr>
            <w:tcW w:w="0" w:type="auto"/>
            <w:shd w:val="clear" w:color="auto" w:fill="C2D69B"/>
            <w:noWrap/>
            <w:vAlign w:val="center"/>
            <w:hideMark/>
          </w:tcPr>
          <w:p w14:paraId="7FF47271"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 10 100</w:t>
            </w:r>
          </w:p>
        </w:tc>
        <w:tc>
          <w:tcPr>
            <w:tcW w:w="0" w:type="auto"/>
            <w:shd w:val="clear" w:color="auto" w:fill="C2D69B"/>
            <w:vAlign w:val="center"/>
            <w:hideMark/>
          </w:tcPr>
          <w:p w14:paraId="5FD756C7" w14:textId="77777777" w:rsidR="009E4E62" w:rsidRPr="00074A3C" w:rsidRDefault="009E4E62" w:rsidP="00314060">
            <w:pPr>
              <w:spacing w:after="0" w:line="240" w:lineRule="auto"/>
              <w:jc w:val="center"/>
              <w:rPr>
                <w:rFonts w:cstheme="minorHAnsi"/>
                <w:sz w:val="20"/>
                <w:szCs w:val="20"/>
                <w:lang w:eastAsia="sk-SK"/>
              </w:rPr>
            </w:pPr>
            <w:r w:rsidRPr="00074A3C">
              <w:rPr>
                <w:rFonts w:cstheme="minorHAnsi"/>
                <w:sz w:val="20"/>
                <w:szCs w:val="20"/>
                <w:lang w:eastAsia="sk-SK"/>
              </w:rPr>
              <w:t>splnené</w:t>
            </w:r>
          </w:p>
        </w:tc>
        <w:tc>
          <w:tcPr>
            <w:tcW w:w="0" w:type="auto"/>
            <w:shd w:val="clear" w:color="auto" w:fill="C2D69B"/>
            <w:vAlign w:val="center"/>
            <w:hideMark/>
          </w:tcPr>
          <w:p w14:paraId="632908B3" w14:textId="77777777" w:rsidR="009E4E62" w:rsidRPr="00074A3C" w:rsidRDefault="009E4E62" w:rsidP="00314060">
            <w:pPr>
              <w:spacing w:after="0" w:line="240" w:lineRule="auto"/>
              <w:jc w:val="center"/>
              <w:rPr>
                <w:rFonts w:cstheme="minorHAnsi"/>
                <w:sz w:val="20"/>
                <w:szCs w:val="20"/>
                <w:lang w:eastAsia="sk-SK"/>
              </w:rPr>
            </w:pPr>
          </w:p>
        </w:tc>
      </w:tr>
      <w:tr w:rsidR="009E4E62" w:rsidRPr="00074A3C" w14:paraId="20866102" w14:textId="77777777" w:rsidTr="00314060">
        <w:trPr>
          <w:tblCellSpacing w:w="15" w:type="dxa"/>
        </w:trPr>
        <w:tc>
          <w:tcPr>
            <w:tcW w:w="0" w:type="auto"/>
            <w:shd w:val="clear" w:color="auto" w:fill="C2D69B"/>
            <w:vAlign w:val="center"/>
            <w:hideMark/>
          </w:tcPr>
          <w:p w14:paraId="7F663EF5"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lastRenderedPageBreak/>
              <w:t>Merateľný ukazovateľ</w:t>
            </w:r>
          </w:p>
        </w:tc>
        <w:tc>
          <w:tcPr>
            <w:tcW w:w="0" w:type="auto"/>
            <w:gridSpan w:val="4"/>
            <w:shd w:val="clear" w:color="auto" w:fill="C2D69B"/>
            <w:vAlign w:val="center"/>
            <w:hideMark/>
          </w:tcPr>
          <w:p w14:paraId="108A30FF" w14:textId="77777777" w:rsidR="009E4E62" w:rsidRPr="00074A3C" w:rsidRDefault="009E4E62" w:rsidP="00314060">
            <w:pPr>
              <w:spacing w:after="0" w:line="240" w:lineRule="auto"/>
              <w:rPr>
                <w:rFonts w:cstheme="minorHAnsi"/>
                <w:sz w:val="24"/>
                <w:szCs w:val="24"/>
                <w:lang w:eastAsia="sk-SK"/>
              </w:rPr>
            </w:pPr>
            <w:r w:rsidRPr="00074A3C">
              <w:rPr>
                <w:rFonts w:cstheme="minorHAnsi"/>
                <w:sz w:val="20"/>
                <w:szCs w:val="20"/>
                <w:lang w:eastAsia="sk-SK"/>
              </w:rPr>
              <w:t xml:space="preserve">Počet subjektov hospodárskej mobilizácie </w:t>
            </w:r>
          </w:p>
        </w:tc>
      </w:tr>
      <w:tr w:rsidR="009E4E62" w:rsidRPr="00074A3C" w14:paraId="2AAF734A" w14:textId="77777777" w:rsidTr="00314060">
        <w:trPr>
          <w:tblCellSpacing w:w="15" w:type="dxa"/>
        </w:trPr>
        <w:tc>
          <w:tcPr>
            <w:tcW w:w="0" w:type="auto"/>
            <w:shd w:val="clear" w:color="auto" w:fill="C2D69B"/>
            <w:vAlign w:val="center"/>
            <w:hideMark/>
          </w:tcPr>
          <w:p w14:paraId="5E44504F"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Rok</w:t>
            </w:r>
          </w:p>
        </w:tc>
        <w:tc>
          <w:tcPr>
            <w:tcW w:w="0" w:type="auto"/>
            <w:shd w:val="clear" w:color="auto" w:fill="C2D69B"/>
            <w:vAlign w:val="center"/>
            <w:hideMark/>
          </w:tcPr>
          <w:p w14:paraId="7DC9C495"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Plán</w:t>
            </w:r>
          </w:p>
        </w:tc>
        <w:tc>
          <w:tcPr>
            <w:tcW w:w="0" w:type="auto"/>
            <w:shd w:val="clear" w:color="auto" w:fill="C2D69B"/>
            <w:vAlign w:val="center"/>
            <w:hideMark/>
          </w:tcPr>
          <w:p w14:paraId="408778D2"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Skutočnosť</w:t>
            </w:r>
          </w:p>
        </w:tc>
        <w:tc>
          <w:tcPr>
            <w:tcW w:w="0" w:type="auto"/>
            <w:shd w:val="clear" w:color="auto" w:fill="C2D69B"/>
            <w:vAlign w:val="center"/>
            <w:hideMark/>
          </w:tcPr>
          <w:p w14:paraId="2832F153"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b/>
                <w:bCs/>
                <w:sz w:val="20"/>
                <w:szCs w:val="20"/>
                <w:lang w:eastAsia="sk-SK"/>
              </w:rPr>
              <w:t>Plnenie</w:t>
            </w:r>
          </w:p>
        </w:tc>
        <w:tc>
          <w:tcPr>
            <w:tcW w:w="2000" w:type="pct"/>
            <w:shd w:val="clear" w:color="auto" w:fill="C2D69B"/>
            <w:vAlign w:val="center"/>
            <w:hideMark/>
          </w:tcPr>
          <w:p w14:paraId="4560B93F" w14:textId="77777777" w:rsidR="009E4E62" w:rsidRPr="00074A3C" w:rsidRDefault="009E4E62" w:rsidP="00314060">
            <w:pPr>
              <w:spacing w:after="0" w:line="240" w:lineRule="auto"/>
              <w:rPr>
                <w:rFonts w:cstheme="minorHAnsi"/>
                <w:sz w:val="24"/>
                <w:szCs w:val="24"/>
                <w:lang w:eastAsia="sk-SK"/>
              </w:rPr>
            </w:pPr>
            <w:r w:rsidRPr="00074A3C">
              <w:rPr>
                <w:rFonts w:cstheme="minorHAnsi"/>
                <w:b/>
                <w:bCs/>
                <w:sz w:val="20"/>
                <w:szCs w:val="20"/>
                <w:lang w:eastAsia="sk-SK"/>
              </w:rPr>
              <w:t>Poznámka</w:t>
            </w:r>
          </w:p>
        </w:tc>
      </w:tr>
      <w:tr w:rsidR="009E4E62" w:rsidRPr="00074A3C" w14:paraId="32EB07C5" w14:textId="77777777" w:rsidTr="009E4E62">
        <w:trPr>
          <w:trHeight w:val="322"/>
          <w:tblCellSpacing w:w="15" w:type="dxa"/>
        </w:trPr>
        <w:tc>
          <w:tcPr>
            <w:tcW w:w="0" w:type="auto"/>
            <w:shd w:val="clear" w:color="auto" w:fill="C2D69B"/>
            <w:vAlign w:val="center"/>
            <w:hideMark/>
          </w:tcPr>
          <w:p w14:paraId="27E6A9B6"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2020</w:t>
            </w:r>
            <w:r w:rsidRPr="00074A3C">
              <w:rPr>
                <w:rFonts w:cstheme="minorHAnsi"/>
                <w:sz w:val="24"/>
                <w:szCs w:val="24"/>
                <w:lang w:eastAsia="sk-SK"/>
              </w:rPr>
              <w:t xml:space="preserve"> </w:t>
            </w:r>
          </w:p>
        </w:tc>
        <w:tc>
          <w:tcPr>
            <w:tcW w:w="0" w:type="auto"/>
            <w:shd w:val="clear" w:color="auto" w:fill="C2D69B"/>
            <w:noWrap/>
            <w:vAlign w:val="center"/>
            <w:hideMark/>
          </w:tcPr>
          <w:p w14:paraId="57097E10"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 80</w:t>
            </w:r>
            <w:r w:rsidRPr="00074A3C">
              <w:rPr>
                <w:rFonts w:cstheme="minorHAnsi"/>
                <w:sz w:val="24"/>
                <w:szCs w:val="24"/>
                <w:lang w:eastAsia="sk-SK"/>
              </w:rPr>
              <w:t xml:space="preserve"> </w:t>
            </w:r>
          </w:p>
        </w:tc>
        <w:tc>
          <w:tcPr>
            <w:tcW w:w="0" w:type="auto"/>
            <w:shd w:val="clear" w:color="auto" w:fill="C2D69B"/>
            <w:noWrap/>
            <w:vAlign w:val="center"/>
            <w:hideMark/>
          </w:tcPr>
          <w:p w14:paraId="22360893" w14:textId="77777777" w:rsidR="009E4E62" w:rsidRPr="00074A3C" w:rsidRDefault="009E4E62" w:rsidP="00314060">
            <w:pPr>
              <w:spacing w:after="0" w:line="240" w:lineRule="auto"/>
              <w:jc w:val="center"/>
              <w:rPr>
                <w:rFonts w:cstheme="minorHAnsi"/>
                <w:sz w:val="24"/>
                <w:szCs w:val="24"/>
                <w:lang w:eastAsia="sk-SK"/>
              </w:rPr>
            </w:pPr>
            <w:r w:rsidRPr="00074A3C">
              <w:rPr>
                <w:rFonts w:cstheme="minorHAnsi"/>
                <w:sz w:val="20"/>
                <w:szCs w:val="20"/>
                <w:lang w:eastAsia="sk-SK"/>
              </w:rPr>
              <w:t>  72</w:t>
            </w:r>
          </w:p>
        </w:tc>
        <w:tc>
          <w:tcPr>
            <w:tcW w:w="0" w:type="auto"/>
            <w:shd w:val="clear" w:color="auto" w:fill="C2D69B"/>
            <w:vAlign w:val="center"/>
            <w:hideMark/>
          </w:tcPr>
          <w:p w14:paraId="0DF3C44D" w14:textId="77777777" w:rsidR="009E4E62" w:rsidRPr="00074A3C" w:rsidRDefault="009E4E62" w:rsidP="00314060">
            <w:pPr>
              <w:spacing w:after="0" w:line="240" w:lineRule="auto"/>
              <w:jc w:val="center"/>
              <w:rPr>
                <w:rFonts w:cstheme="minorHAnsi"/>
                <w:sz w:val="20"/>
                <w:szCs w:val="20"/>
                <w:lang w:eastAsia="sk-SK"/>
              </w:rPr>
            </w:pPr>
            <w:r w:rsidRPr="00074A3C">
              <w:rPr>
                <w:rFonts w:cstheme="minorHAnsi"/>
                <w:sz w:val="20"/>
                <w:szCs w:val="20"/>
                <w:lang w:eastAsia="sk-SK"/>
              </w:rPr>
              <w:t>splnené</w:t>
            </w:r>
          </w:p>
        </w:tc>
        <w:tc>
          <w:tcPr>
            <w:tcW w:w="0" w:type="auto"/>
            <w:shd w:val="clear" w:color="auto" w:fill="C2D69B"/>
            <w:vAlign w:val="center"/>
            <w:hideMark/>
          </w:tcPr>
          <w:p w14:paraId="5BBE69BB" w14:textId="77777777" w:rsidR="009E4E62" w:rsidRPr="00074A3C" w:rsidRDefault="009E4E62" w:rsidP="00314060">
            <w:pPr>
              <w:spacing w:after="0" w:line="240" w:lineRule="auto"/>
              <w:jc w:val="center"/>
              <w:rPr>
                <w:rFonts w:cstheme="minorHAnsi"/>
                <w:sz w:val="20"/>
                <w:szCs w:val="20"/>
                <w:lang w:eastAsia="sk-SK"/>
              </w:rPr>
            </w:pPr>
            <w:r w:rsidRPr="00074A3C">
              <w:rPr>
                <w:rFonts w:cstheme="minorHAnsi"/>
                <w:sz w:val="20"/>
                <w:szCs w:val="20"/>
                <w:lang w:eastAsia="sk-SK"/>
              </w:rPr>
              <w:t>celkový počet znížený v dôsledku spájania</w:t>
            </w:r>
          </w:p>
        </w:tc>
      </w:tr>
    </w:tbl>
    <w:p w14:paraId="7D95EC6D" w14:textId="77777777" w:rsidR="009E4E62" w:rsidRPr="00074A3C" w:rsidRDefault="009E4E62" w:rsidP="009E4E62">
      <w:pPr>
        <w:spacing w:after="0" w:line="240" w:lineRule="auto"/>
        <w:rPr>
          <w:rFonts w:cstheme="minorHAnsi"/>
          <w:b/>
          <w:bCs/>
          <w:lang w:eastAsia="sk-SK"/>
        </w:rPr>
      </w:pPr>
    </w:p>
    <w:p w14:paraId="2B9D8BA8" w14:textId="17C403BB" w:rsidR="009E4E62" w:rsidRPr="009E4E62" w:rsidRDefault="009E4E62" w:rsidP="009E4E62">
      <w:pPr>
        <w:spacing w:after="0" w:line="240" w:lineRule="auto"/>
        <w:jc w:val="both"/>
        <w:rPr>
          <w:rFonts w:cstheme="minorHAnsi"/>
          <w:b/>
          <w:bCs/>
          <w:lang w:eastAsia="sk-SK"/>
        </w:rPr>
      </w:pPr>
      <w:r w:rsidRPr="00074A3C">
        <w:rPr>
          <w:rFonts w:cstheme="minorHAnsi"/>
          <w:b/>
          <w:bCs/>
          <w:sz w:val="24"/>
          <w:szCs w:val="24"/>
          <w:lang w:eastAsia="sk-SK"/>
        </w:rPr>
        <w:t xml:space="preserve">Komentár: </w:t>
      </w:r>
      <w:r w:rsidRPr="009E4E62">
        <w:rPr>
          <w:rFonts w:cstheme="minorHAnsi"/>
        </w:rPr>
        <w:t xml:space="preserve">V priebehu roka 2020 sa preukázala vysoká odborná pripravenosť orgánov krízového riadenia Bratislavského samosprávneho kraja na riešenie krízových situácií samosprávy v oblasti krízového riadenia, civilnej ochrany, ochrany pred povodňami, hospodárskej mobilizácie a na úseku obrany štátu a to najmä prijímaním zásadných opatrení pri riešení protiepidemiologických opatrení. Krízový štáb BSK prijal ako prvý na Slovensku zásadné opatrenie proti šíreniu koronavírusu. </w:t>
      </w:r>
    </w:p>
    <w:p w14:paraId="206CBE77" w14:textId="77777777" w:rsidR="009E4E62" w:rsidRDefault="009E4E62" w:rsidP="009E4E62">
      <w:pPr>
        <w:spacing w:after="0" w:line="240" w:lineRule="auto"/>
        <w:jc w:val="both"/>
        <w:rPr>
          <w:rFonts w:cstheme="minorHAnsi"/>
        </w:rPr>
      </w:pPr>
    </w:p>
    <w:p w14:paraId="5603650D" w14:textId="55CFD009" w:rsidR="009E4E62" w:rsidRPr="009E4E62" w:rsidRDefault="009E4E62" w:rsidP="009E4E62">
      <w:pPr>
        <w:spacing w:after="0" w:line="240" w:lineRule="auto"/>
        <w:jc w:val="both"/>
        <w:rPr>
          <w:rFonts w:cstheme="minorHAnsi"/>
        </w:rPr>
      </w:pPr>
      <w:r w:rsidRPr="009E4E62">
        <w:rPr>
          <w:rFonts w:cstheme="minorHAnsi"/>
        </w:rPr>
        <w:t xml:space="preserve">BSK sa pravidelne zúčastňoval v priebehu roka zasadnutí krízových štábov na MZ SR, MV SR, na zasadnutiach Ústredného krízového štábu, na zasadnutiach Krízového štábu okresného úradu v sídle kraja ako aj zasadnutí krízových štábov mesta Malacky a Pezinok ako i zasadnutí </w:t>
      </w:r>
      <w:proofErr w:type="spellStart"/>
      <w:r w:rsidRPr="009E4E62">
        <w:rPr>
          <w:rFonts w:cstheme="minorHAnsi"/>
        </w:rPr>
        <w:t>Pandemickej</w:t>
      </w:r>
      <w:proofErr w:type="spellEnd"/>
      <w:r w:rsidRPr="009E4E62">
        <w:rPr>
          <w:rFonts w:cstheme="minorHAnsi"/>
        </w:rPr>
        <w:t xml:space="preserve"> komisie vlády SR.</w:t>
      </w:r>
    </w:p>
    <w:p w14:paraId="001BC4A4" w14:textId="77777777" w:rsidR="009E4E62" w:rsidRDefault="009E4E62" w:rsidP="009E4E62">
      <w:pPr>
        <w:spacing w:after="0" w:line="240" w:lineRule="auto"/>
        <w:jc w:val="both"/>
        <w:rPr>
          <w:rFonts w:cstheme="minorHAnsi"/>
          <w:b/>
          <w:bCs/>
        </w:rPr>
      </w:pPr>
    </w:p>
    <w:p w14:paraId="5B488654" w14:textId="06D3A2DE" w:rsidR="009E4E62" w:rsidRPr="009E4E62" w:rsidRDefault="009E4E62" w:rsidP="009E4E62">
      <w:pPr>
        <w:spacing w:after="0" w:line="240" w:lineRule="auto"/>
        <w:jc w:val="both"/>
        <w:rPr>
          <w:rFonts w:cstheme="minorHAnsi"/>
          <w:b/>
          <w:bCs/>
        </w:rPr>
      </w:pPr>
      <w:r w:rsidRPr="009E4E62">
        <w:rPr>
          <w:rFonts w:cstheme="minorHAnsi"/>
          <w:b/>
          <w:bCs/>
        </w:rPr>
        <w:t>V oblasti zabezpečenia úloh hospodárskej mobilizácie</w:t>
      </w:r>
    </w:p>
    <w:p w14:paraId="08561FDB" w14:textId="77777777" w:rsidR="009E4E62" w:rsidRPr="009E4E62" w:rsidRDefault="009E4E62" w:rsidP="009E4E62">
      <w:pPr>
        <w:spacing w:after="0" w:line="240" w:lineRule="auto"/>
        <w:jc w:val="both"/>
        <w:rPr>
          <w:rFonts w:cstheme="minorHAnsi"/>
        </w:rPr>
      </w:pPr>
      <w:r w:rsidRPr="009E4E62">
        <w:rPr>
          <w:rFonts w:cstheme="minorHAnsi"/>
        </w:rPr>
        <w:t xml:space="preserve">V súlade so zák. č. 179/2011 </w:t>
      </w:r>
      <w:proofErr w:type="spellStart"/>
      <w:r w:rsidRPr="009E4E62">
        <w:rPr>
          <w:rFonts w:cstheme="minorHAnsi"/>
        </w:rPr>
        <w:t>Z.z</w:t>
      </w:r>
      <w:proofErr w:type="spellEnd"/>
      <w:r w:rsidRPr="009E4E62">
        <w:rPr>
          <w:rFonts w:cstheme="minorHAnsi"/>
        </w:rPr>
        <w:t xml:space="preserve">. o hospodárskej mobilizácií a o zmene a doplnení zák. č. 387/2002 </w:t>
      </w:r>
      <w:proofErr w:type="spellStart"/>
      <w:r w:rsidRPr="009E4E62">
        <w:rPr>
          <w:rFonts w:cstheme="minorHAnsi"/>
        </w:rPr>
        <w:t>Z.z</w:t>
      </w:r>
      <w:proofErr w:type="spellEnd"/>
      <w:r w:rsidRPr="009E4E62">
        <w:rPr>
          <w:rFonts w:cstheme="minorHAnsi"/>
        </w:rPr>
        <w:t>. o riadení štátu v krízových situáciách mimo času vojny a vojnového stavu v znení neskorších predpisov boli na základe príkazu predsedu BSK určené ZSS v zriaďovateľskej pôsobnosti BSK za subjekty HM (celkovo 14).</w:t>
      </w:r>
    </w:p>
    <w:p w14:paraId="6B10D824" w14:textId="77777777" w:rsidR="009E4E62" w:rsidRPr="009E4E62" w:rsidRDefault="009E4E62" w:rsidP="009E4E62">
      <w:pPr>
        <w:spacing w:after="0" w:line="240" w:lineRule="auto"/>
        <w:jc w:val="both"/>
        <w:rPr>
          <w:rFonts w:cstheme="minorHAnsi"/>
        </w:rPr>
      </w:pPr>
      <w:r w:rsidRPr="009E4E62">
        <w:rPr>
          <w:rFonts w:cstheme="minorHAnsi"/>
        </w:rPr>
        <w:t xml:space="preserve">V súlade so zák. č. 179/2011 </w:t>
      </w:r>
      <w:proofErr w:type="spellStart"/>
      <w:r w:rsidRPr="009E4E62">
        <w:rPr>
          <w:rFonts w:cstheme="minorHAnsi"/>
        </w:rPr>
        <w:t>Z.z</w:t>
      </w:r>
      <w:proofErr w:type="spellEnd"/>
      <w:r w:rsidRPr="009E4E62">
        <w:rPr>
          <w:rFonts w:cstheme="minorHAnsi"/>
        </w:rPr>
        <w:t xml:space="preserve">. o hospodárskej mobilizácií a o zmene a doplnení zák. č. 387/2002 </w:t>
      </w:r>
      <w:proofErr w:type="spellStart"/>
      <w:r w:rsidRPr="009E4E62">
        <w:rPr>
          <w:rFonts w:cstheme="minorHAnsi"/>
        </w:rPr>
        <w:t>Z.z</w:t>
      </w:r>
      <w:proofErr w:type="spellEnd"/>
      <w:r w:rsidRPr="009E4E62">
        <w:rPr>
          <w:rFonts w:cstheme="minorHAnsi"/>
        </w:rPr>
        <w:t>. o riadení štátu v krízových situáciách mimo času vojny a vojnového stavu v znení neskorších predpisov bol na základe súhlasu predsedu BSK určený internát SOŠ vinársko-ovocinárskej v Modre za subjekt HM, ktorý plnil úlohy v prospech MV SR pri zabezpečovaní izolácie a karanténneho ubytovania repatriantov.</w:t>
      </w:r>
    </w:p>
    <w:p w14:paraId="0040D724" w14:textId="77777777" w:rsidR="009E4E62" w:rsidRPr="009E4E62" w:rsidRDefault="009E4E62" w:rsidP="009E4E62">
      <w:pPr>
        <w:spacing w:after="0" w:line="240" w:lineRule="auto"/>
        <w:jc w:val="both"/>
        <w:rPr>
          <w:rFonts w:cstheme="minorHAnsi"/>
        </w:rPr>
      </w:pPr>
      <w:r w:rsidRPr="009E4E62">
        <w:rPr>
          <w:rFonts w:cstheme="minorHAnsi"/>
        </w:rPr>
        <w:t xml:space="preserve">BSK plnilo úlohy v súlade s Nariadeniami vlády Slovenskej republiky na vykonanie niektorých opatrení HM v súvislosti s vyhlásením núdzového stavu na zabezpečenie riešenia prvej aj druhej vlny koronavírusu v spolupráci s MZ SR a MPSVaR a to logistickým zabezpečením od prevzatia osobných ochranných pracovných pomôcok (ďalej len „OOPP“) zo SŠHR až po distribúciu OOPP pre jednotlivých lekárov a jednotlivé ZSS v územnej pôsobnosti kraja. </w:t>
      </w:r>
    </w:p>
    <w:p w14:paraId="528A2F82" w14:textId="77777777" w:rsidR="009E4E62" w:rsidRPr="009E4E62" w:rsidRDefault="009E4E62" w:rsidP="009E4E62">
      <w:pPr>
        <w:spacing w:after="0" w:line="240" w:lineRule="auto"/>
        <w:jc w:val="both"/>
        <w:rPr>
          <w:rFonts w:cstheme="minorHAnsi"/>
        </w:rPr>
      </w:pPr>
      <w:r w:rsidRPr="009E4E62">
        <w:rPr>
          <w:rFonts w:cstheme="minorHAnsi"/>
        </w:rPr>
        <w:t>BSK poskytuje MPSVaR SR údaje o počtoch a rozmiestnení jednotlivých typov sociálnych zariadení, o počte osôb v nich umiestnených, ako i personálnom zabezpečení prostredníctvom JIS HM s ochrannou známkou EPSIS®JISHM, ktoré sa priebežne aktualizujú.</w:t>
      </w:r>
    </w:p>
    <w:p w14:paraId="65D169D4" w14:textId="2DB4A25C" w:rsidR="00C85736" w:rsidRDefault="00C85736" w:rsidP="00675665"/>
    <w:p w14:paraId="05C57CBE" w14:textId="77777777" w:rsidR="00B57C2F" w:rsidRDefault="00B57C2F" w:rsidP="00675665"/>
    <w:p w14:paraId="4389C26B" w14:textId="77777777" w:rsidR="00E17BB8" w:rsidRDefault="00E17BB8" w:rsidP="00E17BB8">
      <w:pPr>
        <w:spacing w:before="100" w:beforeAutospacing="1" w:after="100" w:afterAutospacing="1" w:line="240" w:lineRule="auto"/>
        <w:outlineLvl w:val="1"/>
        <w:rPr>
          <w:rFonts w:cstheme="minorHAnsi"/>
          <w:b/>
          <w:bCs/>
          <w:color w:val="880000"/>
          <w:sz w:val="36"/>
          <w:szCs w:val="36"/>
          <w:lang w:eastAsia="sk-SK"/>
        </w:rPr>
      </w:pPr>
      <w:r>
        <w:rPr>
          <w:rFonts w:cstheme="minorHAnsi"/>
          <w:b/>
          <w:bCs/>
          <w:color w:val="880000"/>
          <w:sz w:val="36"/>
          <w:szCs w:val="36"/>
          <w:lang w:eastAsia="sk-SK"/>
        </w:rPr>
        <w:t>Program 2: Propagácia a marketing</w:t>
      </w:r>
    </w:p>
    <w:p w14:paraId="16F45838" w14:textId="77777777" w:rsidR="00E17BB8" w:rsidRDefault="00E17BB8" w:rsidP="00E17BB8">
      <w:pPr>
        <w:spacing w:before="100" w:beforeAutospacing="1" w:after="100" w:afterAutospacing="1" w:line="240" w:lineRule="auto"/>
        <w:rPr>
          <w:rFonts w:cstheme="minorHAnsi"/>
          <w:sz w:val="24"/>
          <w:szCs w:val="24"/>
          <w:lang w:eastAsia="sk-SK"/>
        </w:rPr>
      </w:pPr>
      <w:r>
        <w:rPr>
          <w:rFonts w:cstheme="minorHAnsi"/>
          <w:b/>
          <w:bCs/>
          <w:sz w:val="24"/>
          <w:szCs w:val="24"/>
          <w:lang w:eastAsia="sk-SK"/>
        </w:rPr>
        <w:t xml:space="preserve">Zámer: </w:t>
      </w:r>
      <w:r>
        <w:rPr>
          <w:rFonts w:cstheme="minorHAnsi"/>
          <w:sz w:val="24"/>
          <w:szCs w:val="24"/>
          <w:lang w:eastAsia="sk-SK"/>
        </w:rPr>
        <w:t>Pozitívny obraz BSK</w:t>
      </w:r>
    </w:p>
    <w:tbl>
      <w:tblPr>
        <w:tblW w:w="5000" w:type="pct"/>
        <w:tblCellSpacing w:w="15" w:type="dxa"/>
        <w:tblLayout w:type="fixed"/>
        <w:tblLook w:val="04A0" w:firstRow="1" w:lastRow="0" w:firstColumn="1" w:lastColumn="0" w:noHBand="0" w:noVBand="1"/>
      </w:tblPr>
      <w:tblGrid>
        <w:gridCol w:w="851"/>
        <w:gridCol w:w="1843"/>
        <w:gridCol w:w="1701"/>
        <w:gridCol w:w="1736"/>
        <w:gridCol w:w="1382"/>
        <w:gridCol w:w="1051"/>
        <w:gridCol w:w="1902"/>
      </w:tblGrid>
      <w:tr w:rsidR="00E17BB8" w14:paraId="1B72C705" w14:textId="77777777" w:rsidTr="00B105D8">
        <w:trPr>
          <w:tblCellSpacing w:w="15" w:type="dxa"/>
        </w:trPr>
        <w:tc>
          <w:tcPr>
            <w:tcW w:w="806" w:type="dxa"/>
            <w:shd w:val="clear" w:color="auto" w:fill="C6DBF7"/>
            <w:tcMar>
              <w:top w:w="15" w:type="dxa"/>
              <w:left w:w="15" w:type="dxa"/>
              <w:bottom w:w="15" w:type="dxa"/>
              <w:right w:w="15" w:type="dxa"/>
            </w:tcMar>
            <w:vAlign w:val="center"/>
            <w:hideMark/>
          </w:tcPr>
          <w:p w14:paraId="36E90B8D"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Kód EK</w:t>
            </w:r>
          </w:p>
        </w:tc>
        <w:tc>
          <w:tcPr>
            <w:tcW w:w="1813" w:type="dxa"/>
            <w:shd w:val="clear" w:color="auto" w:fill="C6DBF7"/>
            <w:tcMar>
              <w:top w:w="15" w:type="dxa"/>
              <w:left w:w="15" w:type="dxa"/>
              <w:bottom w:w="15" w:type="dxa"/>
              <w:right w:w="15" w:type="dxa"/>
            </w:tcMar>
            <w:vAlign w:val="center"/>
            <w:hideMark/>
          </w:tcPr>
          <w:p w14:paraId="256CE456"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Ekonomická klasifikácia</w:t>
            </w:r>
          </w:p>
        </w:tc>
        <w:tc>
          <w:tcPr>
            <w:tcW w:w="1671" w:type="dxa"/>
            <w:shd w:val="clear" w:color="auto" w:fill="C6DBF7"/>
            <w:tcMar>
              <w:top w:w="15" w:type="dxa"/>
              <w:left w:w="15" w:type="dxa"/>
              <w:bottom w:w="15" w:type="dxa"/>
              <w:right w:w="15" w:type="dxa"/>
            </w:tcMar>
            <w:vAlign w:val="center"/>
            <w:hideMark/>
          </w:tcPr>
          <w:p w14:paraId="5D806EFD"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Schválený</w:t>
            </w:r>
            <w:r>
              <w:rPr>
                <w:rFonts w:cstheme="minorHAnsi"/>
                <w:b/>
                <w:bCs/>
                <w:sz w:val="20"/>
                <w:szCs w:val="20"/>
                <w:lang w:eastAsia="sk-SK"/>
              </w:rPr>
              <w:br/>
              <w:t>rozpočet</w:t>
            </w:r>
            <w:r>
              <w:rPr>
                <w:rFonts w:cstheme="minorHAnsi"/>
                <w:b/>
                <w:bCs/>
                <w:sz w:val="20"/>
                <w:szCs w:val="20"/>
                <w:lang w:eastAsia="sk-SK"/>
              </w:rPr>
              <w:br/>
              <w:t>v EUR</w:t>
            </w:r>
          </w:p>
        </w:tc>
        <w:tc>
          <w:tcPr>
            <w:tcW w:w="1706" w:type="dxa"/>
            <w:shd w:val="clear" w:color="auto" w:fill="C6DBF7"/>
            <w:tcMar>
              <w:top w:w="15" w:type="dxa"/>
              <w:left w:w="15" w:type="dxa"/>
              <w:bottom w:w="15" w:type="dxa"/>
              <w:right w:w="15" w:type="dxa"/>
            </w:tcMar>
            <w:vAlign w:val="center"/>
            <w:hideMark/>
          </w:tcPr>
          <w:p w14:paraId="232EBF25"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Zmenený</w:t>
            </w:r>
            <w:r>
              <w:rPr>
                <w:rFonts w:cstheme="minorHAnsi"/>
                <w:b/>
                <w:bCs/>
                <w:sz w:val="20"/>
                <w:szCs w:val="20"/>
                <w:lang w:eastAsia="sk-SK"/>
              </w:rPr>
              <w:br/>
              <w:t>rozpočet</w:t>
            </w:r>
            <w:r>
              <w:rPr>
                <w:rFonts w:cstheme="minorHAnsi"/>
                <w:b/>
                <w:bCs/>
                <w:sz w:val="20"/>
                <w:szCs w:val="20"/>
                <w:lang w:eastAsia="sk-SK"/>
              </w:rPr>
              <w:br/>
              <w:t>v EUR</w:t>
            </w:r>
          </w:p>
        </w:tc>
        <w:tc>
          <w:tcPr>
            <w:tcW w:w="1352" w:type="dxa"/>
            <w:shd w:val="clear" w:color="auto" w:fill="C6DBF7"/>
            <w:tcMar>
              <w:top w:w="15" w:type="dxa"/>
              <w:left w:w="15" w:type="dxa"/>
              <w:bottom w:w="15" w:type="dxa"/>
              <w:right w:w="15" w:type="dxa"/>
            </w:tcMar>
            <w:vAlign w:val="center"/>
            <w:hideMark/>
          </w:tcPr>
          <w:p w14:paraId="5367C31C"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Čerpanie</w:t>
            </w:r>
            <w:r>
              <w:rPr>
                <w:rFonts w:cstheme="minorHAnsi"/>
                <w:b/>
                <w:bCs/>
                <w:sz w:val="20"/>
                <w:szCs w:val="20"/>
                <w:lang w:eastAsia="sk-SK"/>
              </w:rPr>
              <w:br/>
              <w:t>v EUR</w:t>
            </w:r>
          </w:p>
        </w:tc>
        <w:tc>
          <w:tcPr>
            <w:tcW w:w="1021" w:type="dxa"/>
            <w:shd w:val="clear" w:color="auto" w:fill="C6DBF7"/>
            <w:tcMar>
              <w:top w:w="15" w:type="dxa"/>
              <w:left w:w="15" w:type="dxa"/>
              <w:bottom w:w="15" w:type="dxa"/>
              <w:right w:w="15" w:type="dxa"/>
            </w:tcMar>
            <w:vAlign w:val="center"/>
            <w:hideMark/>
          </w:tcPr>
          <w:p w14:paraId="4EB4ECC0"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Čerpanie</w:t>
            </w:r>
            <w:r>
              <w:rPr>
                <w:rFonts w:cstheme="minorHAnsi"/>
                <w:b/>
                <w:bCs/>
                <w:sz w:val="20"/>
                <w:szCs w:val="20"/>
                <w:lang w:eastAsia="sk-SK"/>
              </w:rPr>
              <w:br/>
              <w:t xml:space="preserve">k </w:t>
            </w:r>
            <w:proofErr w:type="spellStart"/>
            <w:r>
              <w:rPr>
                <w:rFonts w:cstheme="minorHAnsi"/>
                <w:b/>
                <w:bCs/>
                <w:sz w:val="20"/>
                <w:szCs w:val="20"/>
                <w:lang w:eastAsia="sk-SK"/>
              </w:rPr>
              <w:t>zmen</w:t>
            </w:r>
            <w:proofErr w:type="spellEnd"/>
            <w:r>
              <w:rPr>
                <w:rFonts w:cstheme="minorHAnsi"/>
                <w:b/>
                <w:bCs/>
                <w:sz w:val="20"/>
                <w:szCs w:val="20"/>
                <w:lang w:eastAsia="sk-SK"/>
              </w:rPr>
              <w:t xml:space="preserve">. </w:t>
            </w:r>
            <w:proofErr w:type="spellStart"/>
            <w:r>
              <w:rPr>
                <w:rFonts w:cstheme="minorHAnsi"/>
                <w:b/>
                <w:bCs/>
                <w:sz w:val="20"/>
                <w:szCs w:val="20"/>
                <w:lang w:eastAsia="sk-SK"/>
              </w:rPr>
              <w:t>rozp</w:t>
            </w:r>
            <w:proofErr w:type="spellEnd"/>
            <w:r>
              <w:rPr>
                <w:rFonts w:cstheme="minorHAnsi"/>
                <w:b/>
                <w:bCs/>
                <w:sz w:val="20"/>
                <w:szCs w:val="20"/>
                <w:lang w:eastAsia="sk-SK"/>
              </w:rPr>
              <w:t>.</w:t>
            </w:r>
            <w:r>
              <w:rPr>
                <w:rFonts w:cstheme="minorHAnsi"/>
                <w:b/>
                <w:bCs/>
                <w:sz w:val="20"/>
                <w:szCs w:val="20"/>
                <w:lang w:eastAsia="sk-SK"/>
              </w:rPr>
              <w:br/>
              <w:t>v %</w:t>
            </w:r>
          </w:p>
        </w:tc>
        <w:tc>
          <w:tcPr>
            <w:tcW w:w="1857" w:type="dxa"/>
            <w:shd w:val="clear" w:color="auto" w:fill="C6DBF7"/>
            <w:tcMar>
              <w:top w:w="15" w:type="dxa"/>
              <w:left w:w="15" w:type="dxa"/>
              <w:bottom w:w="15" w:type="dxa"/>
              <w:right w:w="15" w:type="dxa"/>
            </w:tcMar>
            <w:vAlign w:val="center"/>
            <w:hideMark/>
          </w:tcPr>
          <w:p w14:paraId="0DEB6AF4"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Zmeny rozpočtu</w:t>
            </w:r>
          </w:p>
        </w:tc>
      </w:tr>
      <w:tr w:rsidR="00E17BB8" w14:paraId="2F2B72DE" w14:textId="77777777" w:rsidTr="00B105D8">
        <w:trPr>
          <w:tblCellSpacing w:w="15" w:type="dxa"/>
        </w:trPr>
        <w:tc>
          <w:tcPr>
            <w:tcW w:w="806" w:type="dxa"/>
            <w:shd w:val="clear" w:color="auto" w:fill="D9D9D9"/>
            <w:noWrap/>
            <w:tcMar>
              <w:top w:w="15" w:type="dxa"/>
              <w:left w:w="15" w:type="dxa"/>
              <w:bottom w:w="15" w:type="dxa"/>
              <w:right w:w="15" w:type="dxa"/>
            </w:tcMar>
            <w:vAlign w:val="center"/>
            <w:hideMark/>
          </w:tcPr>
          <w:p w14:paraId="1D49BD05" w14:textId="77777777" w:rsidR="00E17BB8" w:rsidRDefault="00E17BB8">
            <w:pPr>
              <w:rPr>
                <w:rFonts w:cstheme="minorHAnsi"/>
                <w:sz w:val="24"/>
                <w:szCs w:val="24"/>
                <w:lang w:eastAsia="sk-SK"/>
              </w:rPr>
            </w:pPr>
          </w:p>
        </w:tc>
        <w:tc>
          <w:tcPr>
            <w:tcW w:w="1813" w:type="dxa"/>
            <w:shd w:val="clear" w:color="auto" w:fill="D9D9D9"/>
            <w:tcMar>
              <w:top w:w="15" w:type="dxa"/>
              <w:left w:w="15" w:type="dxa"/>
              <w:bottom w:w="15" w:type="dxa"/>
              <w:right w:w="15" w:type="dxa"/>
            </w:tcMar>
            <w:vAlign w:val="center"/>
            <w:hideMark/>
          </w:tcPr>
          <w:p w14:paraId="30E5371E" w14:textId="77777777" w:rsidR="00E17BB8" w:rsidRDefault="00E17BB8">
            <w:pPr>
              <w:spacing w:after="0" w:line="240" w:lineRule="auto"/>
              <w:rPr>
                <w:rFonts w:cstheme="minorHAnsi"/>
                <w:sz w:val="24"/>
                <w:szCs w:val="24"/>
                <w:lang w:eastAsia="sk-SK"/>
              </w:rPr>
            </w:pPr>
            <w:r>
              <w:rPr>
                <w:rFonts w:cstheme="minorHAnsi"/>
                <w:b/>
                <w:bCs/>
                <w:sz w:val="20"/>
                <w:szCs w:val="20"/>
                <w:lang w:eastAsia="sk-SK"/>
              </w:rPr>
              <w:t>Výdavky celkom</w:t>
            </w:r>
            <w:r>
              <w:rPr>
                <w:rFonts w:cstheme="minorHAnsi"/>
                <w:sz w:val="24"/>
                <w:szCs w:val="24"/>
                <w:lang w:eastAsia="sk-SK"/>
              </w:rPr>
              <w:t xml:space="preserve"> </w:t>
            </w:r>
          </w:p>
        </w:tc>
        <w:tc>
          <w:tcPr>
            <w:tcW w:w="1671" w:type="dxa"/>
            <w:shd w:val="clear" w:color="auto" w:fill="D9D9D9"/>
            <w:noWrap/>
            <w:tcMar>
              <w:top w:w="15" w:type="dxa"/>
              <w:left w:w="15" w:type="dxa"/>
              <w:bottom w:w="15" w:type="dxa"/>
              <w:right w:w="15" w:type="dxa"/>
            </w:tcMar>
            <w:vAlign w:val="center"/>
            <w:hideMark/>
          </w:tcPr>
          <w:p w14:paraId="64804C9E" w14:textId="77777777" w:rsidR="00E17BB8" w:rsidRDefault="00E17BB8">
            <w:pPr>
              <w:spacing w:after="0" w:line="240" w:lineRule="auto"/>
              <w:jc w:val="right"/>
              <w:rPr>
                <w:rFonts w:cstheme="minorHAnsi"/>
                <w:sz w:val="24"/>
                <w:szCs w:val="24"/>
                <w:lang w:eastAsia="sk-SK"/>
              </w:rPr>
            </w:pPr>
            <w:r>
              <w:rPr>
                <w:b/>
                <w:bCs/>
                <w:sz w:val="20"/>
                <w:szCs w:val="20"/>
              </w:rPr>
              <w:t>500 000,00</w:t>
            </w:r>
            <w:r>
              <w:t xml:space="preserve"> </w:t>
            </w:r>
          </w:p>
        </w:tc>
        <w:tc>
          <w:tcPr>
            <w:tcW w:w="1706" w:type="dxa"/>
            <w:shd w:val="clear" w:color="auto" w:fill="D9D9D9"/>
            <w:noWrap/>
            <w:tcMar>
              <w:top w:w="15" w:type="dxa"/>
              <w:left w:w="15" w:type="dxa"/>
              <w:bottom w:w="15" w:type="dxa"/>
              <w:right w:w="15" w:type="dxa"/>
            </w:tcMar>
            <w:vAlign w:val="center"/>
            <w:hideMark/>
          </w:tcPr>
          <w:p w14:paraId="2908379F" w14:textId="77777777" w:rsidR="00E17BB8" w:rsidRDefault="00E17BB8">
            <w:pPr>
              <w:spacing w:after="0" w:line="240" w:lineRule="auto"/>
              <w:jc w:val="right"/>
              <w:rPr>
                <w:rFonts w:cstheme="minorHAnsi"/>
                <w:sz w:val="24"/>
                <w:szCs w:val="24"/>
                <w:lang w:eastAsia="sk-SK"/>
              </w:rPr>
            </w:pPr>
            <w:r>
              <w:rPr>
                <w:b/>
                <w:bCs/>
                <w:sz w:val="20"/>
                <w:szCs w:val="20"/>
              </w:rPr>
              <w:t>500 000,00</w:t>
            </w:r>
            <w:r>
              <w:t xml:space="preserve"> </w:t>
            </w:r>
          </w:p>
        </w:tc>
        <w:tc>
          <w:tcPr>
            <w:tcW w:w="1352" w:type="dxa"/>
            <w:shd w:val="clear" w:color="auto" w:fill="D9D9D9"/>
            <w:noWrap/>
            <w:tcMar>
              <w:top w:w="15" w:type="dxa"/>
              <w:left w:w="15" w:type="dxa"/>
              <w:bottom w:w="15" w:type="dxa"/>
              <w:right w:w="15" w:type="dxa"/>
            </w:tcMar>
            <w:vAlign w:val="center"/>
            <w:hideMark/>
          </w:tcPr>
          <w:p w14:paraId="3B4A89A8" w14:textId="7099B947" w:rsidR="00E17BB8" w:rsidRPr="00B105D8" w:rsidRDefault="00B105D8" w:rsidP="00B105D8">
            <w:pPr>
              <w:spacing w:after="0" w:line="240" w:lineRule="auto"/>
              <w:rPr>
                <w:rFonts w:cstheme="minorHAnsi"/>
                <w:sz w:val="24"/>
                <w:szCs w:val="24"/>
                <w:lang w:eastAsia="sk-SK"/>
              </w:rPr>
            </w:pPr>
            <w:r>
              <w:rPr>
                <w:b/>
                <w:bCs/>
                <w:sz w:val="20"/>
                <w:szCs w:val="20"/>
              </w:rPr>
              <w:t xml:space="preserve">         </w:t>
            </w:r>
            <w:r w:rsidR="00E17BB8" w:rsidRPr="00B105D8">
              <w:rPr>
                <w:b/>
                <w:bCs/>
                <w:sz w:val="20"/>
                <w:szCs w:val="20"/>
              </w:rPr>
              <w:t>275</w:t>
            </w:r>
            <w:r>
              <w:rPr>
                <w:b/>
                <w:bCs/>
                <w:sz w:val="20"/>
                <w:szCs w:val="20"/>
              </w:rPr>
              <w:t xml:space="preserve"> </w:t>
            </w:r>
            <w:r w:rsidR="00E17BB8" w:rsidRPr="00B105D8">
              <w:rPr>
                <w:b/>
                <w:bCs/>
                <w:sz w:val="20"/>
                <w:szCs w:val="20"/>
              </w:rPr>
              <w:t>351,25</w:t>
            </w:r>
            <w:r w:rsidR="00E17BB8">
              <w:t xml:space="preserve"> </w:t>
            </w:r>
          </w:p>
        </w:tc>
        <w:tc>
          <w:tcPr>
            <w:tcW w:w="1021" w:type="dxa"/>
            <w:shd w:val="clear" w:color="auto" w:fill="D9D9D9"/>
            <w:noWrap/>
            <w:tcMar>
              <w:top w:w="15" w:type="dxa"/>
              <w:left w:w="15" w:type="dxa"/>
              <w:bottom w:w="15" w:type="dxa"/>
              <w:right w:w="15" w:type="dxa"/>
            </w:tcMar>
            <w:vAlign w:val="center"/>
            <w:hideMark/>
          </w:tcPr>
          <w:p w14:paraId="358FC308" w14:textId="77777777" w:rsidR="00E17BB8" w:rsidRDefault="00E17BB8">
            <w:pPr>
              <w:spacing w:after="0" w:line="240" w:lineRule="auto"/>
              <w:jc w:val="right"/>
              <w:rPr>
                <w:rFonts w:cstheme="minorHAnsi"/>
                <w:sz w:val="24"/>
                <w:szCs w:val="24"/>
                <w:lang w:eastAsia="sk-SK"/>
              </w:rPr>
            </w:pPr>
            <w:r>
              <w:rPr>
                <w:b/>
                <w:bCs/>
                <w:sz w:val="20"/>
                <w:szCs w:val="20"/>
              </w:rPr>
              <w:t>55,07</w:t>
            </w:r>
            <w:r>
              <w:t xml:space="preserve"> </w:t>
            </w:r>
          </w:p>
        </w:tc>
        <w:tc>
          <w:tcPr>
            <w:tcW w:w="1857" w:type="dxa"/>
            <w:vMerge w:val="restart"/>
            <w:shd w:val="clear" w:color="auto" w:fill="D9D9D9"/>
            <w:tcMar>
              <w:top w:w="15" w:type="dxa"/>
              <w:left w:w="15" w:type="dxa"/>
              <w:bottom w:w="15" w:type="dxa"/>
              <w:right w:w="15" w:type="dxa"/>
            </w:tcMar>
            <w:vAlign w:val="center"/>
            <w:hideMark/>
          </w:tcPr>
          <w:p w14:paraId="6739CAF1" w14:textId="77777777" w:rsidR="00E17BB8" w:rsidRDefault="00E17BB8">
            <w:pPr>
              <w:rPr>
                <w:rFonts w:cstheme="minorHAnsi"/>
                <w:sz w:val="24"/>
                <w:szCs w:val="24"/>
                <w:lang w:eastAsia="sk-SK"/>
              </w:rPr>
            </w:pPr>
          </w:p>
        </w:tc>
      </w:tr>
      <w:tr w:rsidR="00E17BB8" w14:paraId="36DF8F94" w14:textId="77777777" w:rsidTr="00B105D8">
        <w:trPr>
          <w:tblCellSpacing w:w="15" w:type="dxa"/>
        </w:trPr>
        <w:tc>
          <w:tcPr>
            <w:tcW w:w="806" w:type="dxa"/>
            <w:shd w:val="clear" w:color="auto" w:fill="D9D9D9"/>
            <w:noWrap/>
            <w:tcMar>
              <w:top w:w="15" w:type="dxa"/>
              <w:left w:w="15" w:type="dxa"/>
              <w:bottom w:w="15" w:type="dxa"/>
              <w:right w:w="15" w:type="dxa"/>
            </w:tcMar>
            <w:vAlign w:val="center"/>
            <w:hideMark/>
          </w:tcPr>
          <w:p w14:paraId="30E27708" w14:textId="77777777" w:rsidR="00E17BB8" w:rsidRDefault="00E17BB8">
            <w:pPr>
              <w:spacing w:after="0" w:line="240" w:lineRule="auto"/>
              <w:rPr>
                <w:rFonts w:cstheme="minorHAnsi"/>
                <w:sz w:val="24"/>
                <w:szCs w:val="24"/>
                <w:lang w:eastAsia="sk-SK"/>
              </w:rPr>
            </w:pPr>
            <w:r>
              <w:rPr>
                <w:rFonts w:cstheme="minorHAnsi"/>
                <w:b/>
                <w:bCs/>
                <w:sz w:val="20"/>
                <w:szCs w:val="20"/>
                <w:lang w:eastAsia="sk-SK"/>
              </w:rPr>
              <w:t>600</w:t>
            </w:r>
            <w:r>
              <w:rPr>
                <w:rFonts w:cstheme="minorHAnsi"/>
                <w:sz w:val="24"/>
                <w:szCs w:val="24"/>
                <w:lang w:eastAsia="sk-SK"/>
              </w:rPr>
              <w:t xml:space="preserve"> </w:t>
            </w:r>
          </w:p>
        </w:tc>
        <w:tc>
          <w:tcPr>
            <w:tcW w:w="1813" w:type="dxa"/>
            <w:shd w:val="clear" w:color="auto" w:fill="D9D9D9"/>
            <w:tcMar>
              <w:top w:w="15" w:type="dxa"/>
              <w:left w:w="15" w:type="dxa"/>
              <w:bottom w:w="15" w:type="dxa"/>
              <w:right w:w="15" w:type="dxa"/>
            </w:tcMar>
            <w:vAlign w:val="center"/>
            <w:hideMark/>
          </w:tcPr>
          <w:p w14:paraId="7AFD3336" w14:textId="77777777" w:rsidR="00E17BB8" w:rsidRDefault="00E17BB8">
            <w:pPr>
              <w:spacing w:after="0" w:line="240" w:lineRule="auto"/>
              <w:rPr>
                <w:rFonts w:cstheme="minorHAnsi"/>
                <w:sz w:val="24"/>
                <w:szCs w:val="24"/>
                <w:lang w:eastAsia="sk-SK"/>
              </w:rPr>
            </w:pPr>
            <w:r>
              <w:rPr>
                <w:rFonts w:cstheme="minorHAnsi"/>
                <w:b/>
                <w:bCs/>
                <w:sz w:val="20"/>
                <w:szCs w:val="20"/>
                <w:lang w:eastAsia="sk-SK"/>
              </w:rPr>
              <w:t>Bežné výdavky</w:t>
            </w:r>
            <w:r>
              <w:rPr>
                <w:rFonts w:cstheme="minorHAnsi"/>
                <w:sz w:val="24"/>
                <w:szCs w:val="24"/>
                <w:lang w:eastAsia="sk-SK"/>
              </w:rPr>
              <w:t xml:space="preserve"> </w:t>
            </w:r>
          </w:p>
        </w:tc>
        <w:tc>
          <w:tcPr>
            <w:tcW w:w="1671" w:type="dxa"/>
            <w:shd w:val="clear" w:color="auto" w:fill="D9D9D9"/>
            <w:noWrap/>
            <w:tcMar>
              <w:top w:w="15" w:type="dxa"/>
              <w:left w:w="15" w:type="dxa"/>
              <w:bottom w:w="15" w:type="dxa"/>
              <w:right w:w="15" w:type="dxa"/>
            </w:tcMar>
            <w:vAlign w:val="center"/>
            <w:hideMark/>
          </w:tcPr>
          <w:p w14:paraId="5EA29F7E" w14:textId="77777777" w:rsidR="00E17BB8" w:rsidRDefault="00E17BB8">
            <w:pPr>
              <w:spacing w:after="0" w:line="240" w:lineRule="auto"/>
              <w:jc w:val="right"/>
              <w:rPr>
                <w:rFonts w:cstheme="minorHAnsi"/>
                <w:sz w:val="24"/>
                <w:szCs w:val="24"/>
                <w:lang w:eastAsia="sk-SK"/>
              </w:rPr>
            </w:pPr>
            <w:r>
              <w:rPr>
                <w:b/>
                <w:bCs/>
                <w:sz w:val="20"/>
                <w:szCs w:val="20"/>
              </w:rPr>
              <w:t>500 000,00</w:t>
            </w:r>
            <w:r>
              <w:t xml:space="preserve"> </w:t>
            </w:r>
          </w:p>
        </w:tc>
        <w:tc>
          <w:tcPr>
            <w:tcW w:w="1706" w:type="dxa"/>
            <w:shd w:val="clear" w:color="auto" w:fill="D9D9D9"/>
            <w:noWrap/>
            <w:tcMar>
              <w:top w:w="15" w:type="dxa"/>
              <w:left w:w="15" w:type="dxa"/>
              <w:bottom w:w="15" w:type="dxa"/>
              <w:right w:w="15" w:type="dxa"/>
            </w:tcMar>
            <w:vAlign w:val="center"/>
            <w:hideMark/>
          </w:tcPr>
          <w:p w14:paraId="1FCD8ECD" w14:textId="77777777" w:rsidR="00E17BB8" w:rsidRDefault="00E17BB8">
            <w:pPr>
              <w:spacing w:after="0" w:line="240" w:lineRule="auto"/>
              <w:jc w:val="right"/>
              <w:rPr>
                <w:rFonts w:cstheme="minorHAnsi"/>
                <w:sz w:val="24"/>
                <w:szCs w:val="24"/>
                <w:lang w:eastAsia="sk-SK"/>
              </w:rPr>
            </w:pPr>
            <w:r>
              <w:rPr>
                <w:b/>
                <w:bCs/>
                <w:sz w:val="20"/>
                <w:szCs w:val="20"/>
              </w:rPr>
              <w:t>500 000,00</w:t>
            </w:r>
            <w:r>
              <w:t xml:space="preserve"> </w:t>
            </w:r>
          </w:p>
        </w:tc>
        <w:tc>
          <w:tcPr>
            <w:tcW w:w="1352" w:type="dxa"/>
            <w:shd w:val="clear" w:color="auto" w:fill="D9D9D9"/>
            <w:noWrap/>
            <w:tcMar>
              <w:top w:w="15" w:type="dxa"/>
              <w:left w:w="15" w:type="dxa"/>
              <w:bottom w:w="15" w:type="dxa"/>
              <w:right w:w="15" w:type="dxa"/>
            </w:tcMar>
            <w:vAlign w:val="center"/>
            <w:hideMark/>
          </w:tcPr>
          <w:p w14:paraId="2BEC02C6" w14:textId="77777777" w:rsidR="00E17BB8" w:rsidRDefault="00E17BB8">
            <w:pPr>
              <w:spacing w:after="0" w:line="240" w:lineRule="auto"/>
              <w:jc w:val="right"/>
              <w:rPr>
                <w:rFonts w:cstheme="minorHAnsi"/>
                <w:sz w:val="24"/>
                <w:szCs w:val="24"/>
                <w:lang w:eastAsia="sk-SK"/>
              </w:rPr>
            </w:pPr>
            <w:r>
              <w:rPr>
                <w:b/>
                <w:bCs/>
                <w:sz w:val="20"/>
                <w:szCs w:val="20"/>
              </w:rPr>
              <w:t>275 351,25</w:t>
            </w:r>
            <w:r>
              <w:t xml:space="preserve"> </w:t>
            </w:r>
          </w:p>
        </w:tc>
        <w:tc>
          <w:tcPr>
            <w:tcW w:w="1021" w:type="dxa"/>
            <w:shd w:val="clear" w:color="auto" w:fill="D9D9D9"/>
            <w:noWrap/>
            <w:tcMar>
              <w:top w:w="15" w:type="dxa"/>
              <w:left w:w="15" w:type="dxa"/>
              <w:bottom w:w="15" w:type="dxa"/>
              <w:right w:w="15" w:type="dxa"/>
            </w:tcMar>
            <w:vAlign w:val="center"/>
            <w:hideMark/>
          </w:tcPr>
          <w:p w14:paraId="18333788" w14:textId="77777777" w:rsidR="00E17BB8" w:rsidRDefault="00E17BB8">
            <w:pPr>
              <w:spacing w:after="0" w:line="240" w:lineRule="auto"/>
              <w:jc w:val="right"/>
              <w:rPr>
                <w:rFonts w:cstheme="minorHAnsi"/>
                <w:sz w:val="24"/>
                <w:szCs w:val="24"/>
                <w:lang w:eastAsia="sk-SK"/>
              </w:rPr>
            </w:pPr>
            <w:r>
              <w:rPr>
                <w:b/>
                <w:bCs/>
                <w:sz w:val="20"/>
                <w:szCs w:val="20"/>
              </w:rPr>
              <w:t>55,07</w:t>
            </w:r>
            <w:r>
              <w:t xml:space="preserve"> </w:t>
            </w:r>
          </w:p>
        </w:tc>
        <w:tc>
          <w:tcPr>
            <w:tcW w:w="1857" w:type="dxa"/>
            <w:vMerge/>
            <w:vAlign w:val="center"/>
            <w:hideMark/>
          </w:tcPr>
          <w:p w14:paraId="7FE60876" w14:textId="77777777" w:rsidR="00E17BB8" w:rsidRDefault="00E17BB8">
            <w:pPr>
              <w:spacing w:after="0"/>
              <w:rPr>
                <w:rFonts w:cstheme="minorHAnsi"/>
                <w:sz w:val="24"/>
                <w:szCs w:val="24"/>
                <w:lang w:eastAsia="sk-SK"/>
              </w:rPr>
            </w:pPr>
          </w:p>
        </w:tc>
      </w:tr>
      <w:tr w:rsidR="00E17BB8" w14:paraId="18C8B742" w14:textId="77777777" w:rsidTr="00B105D8">
        <w:trPr>
          <w:tblCellSpacing w:w="15" w:type="dxa"/>
        </w:trPr>
        <w:tc>
          <w:tcPr>
            <w:tcW w:w="806" w:type="dxa"/>
            <w:shd w:val="clear" w:color="auto" w:fill="EFEFEF"/>
            <w:noWrap/>
            <w:tcMar>
              <w:top w:w="15" w:type="dxa"/>
              <w:left w:w="15" w:type="dxa"/>
              <w:bottom w:w="15" w:type="dxa"/>
              <w:right w:w="15" w:type="dxa"/>
            </w:tcMar>
            <w:vAlign w:val="center"/>
            <w:hideMark/>
          </w:tcPr>
          <w:p w14:paraId="3993EC38" w14:textId="77777777" w:rsidR="00E17BB8" w:rsidRDefault="00E17BB8">
            <w:pPr>
              <w:spacing w:after="0" w:line="240" w:lineRule="auto"/>
              <w:rPr>
                <w:rFonts w:cstheme="minorHAnsi"/>
                <w:sz w:val="24"/>
                <w:szCs w:val="24"/>
                <w:lang w:eastAsia="sk-SK"/>
              </w:rPr>
            </w:pPr>
            <w:r>
              <w:rPr>
                <w:rFonts w:cstheme="minorHAnsi"/>
                <w:sz w:val="20"/>
                <w:szCs w:val="20"/>
                <w:lang w:eastAsia="sk-SK"/>
              </w:rPr>
              <w:t>630</w:t>
            </w:r>
            <w:r>
              <w:rPr>
                <w:rFonts w:cstheme="minorHAnsi"/>
                <w:sz w:val="24"/>
                <w:szCs w:val="24"/>
                <w:lang w:eastAsia="sk-SK"/>
              </w:rPr>
              <w:t xml:space="preserve"> </w:t>
            </w:r>
          </w:p>
        </w:tc>
        <w:tc>
          <w:tcPr>
            <w:tcW w:w="1813" w:type="dxa"/>
            <w:shd w:val="clear" w:color="auto" w:fill="EFEFEF"/>
            <w:tcMar>
              <w:top w:w="15" w:type="dxa"/>
              <w:left w:w="15" w:type="dxa"/>
              <w:bottom w:w="15" w:type="dxa"/>
              <w:right w:w="15" w:type="dxa"/>
            </w:tcMar>
            <w:vAlign w:val="center"/>
            <w:hideMark/>
          </w:tcPr>
          <w:p w14:paraId="7AD9F6CF" w14:textId="77777777" w:rsidR="00E17BB8" w:rsidRDefault="00E17BB8">
            <w:pPr>
              <w:spacing w:after="0" w:line="240" w:lineRule="auto"/>
              <w:rPr>
                <w:rFonts w:cstheme="minorHAnsi"/>
                <w:sz w:val="24"/>
                <w:szCs w:val="24"/>
                <w:lang w:eastAsia="sk-SK"/>
              </w:rPr>
            </w:pPr>
            <w:r>
              <w:rPr>
                <w:rFonts w:cstheme="minorHAnsi"/>
                <w:sz w:val="20"/>
                <w:szCs w:val="20"/>
                <w:lang w:eastAsia="sk-SK"/>
              </w:rPr>
              <w:t>Tovary a služby</w:t>
            </w:r>
            <w:r>
              <w:rPr>
                <w:rFonts w:cstheme="minorHAnsi"/>
                <w:sz w:val="24"/>
                <w:szCs w:val="24"/>
                <w:lang w:eastAsia="sk-SK"/>
              </w:rPr>
              <w:t xml:space="preserve"> </w:t>
            </w:r>
          </w:p>
        </w:tc>
        <w:tc>
          <w:tcPr>
            <w:tcW w:w="1671" w:type="dxa"/>
            <w:shd w:val="clear" w:color="auto" w:fill="EFEFEF"/>
            <w:noWrap/>
            <w:tcMar>
              <w:top w:w="15" w:type="dxa"/>
              <w:left w:w="15" w:type="dxa"/>
              <w:bottom w:w="15" w:type="dxa"/>
              <w:right w:w="15" w:type="dxa"/>
            </w:tcMar>
            <w:vAlign w:val="center"/>
            <w:hideMark/>
          </w:tcPr>
          <w:p w14:paraId="16DE5492" w14:textId="77777777" w:rsidR="00E17BB8" w:rsidRDefault="00E17BB8">
            <w:pPr>
              <w:spacing w:after="0" w:line="240" w:lineRule="auto"/>
              <w:jc w:val="right"/>
              <w:rPr>
                <w:rFonts w:cstheme="minorHAnsi"/>
                <w:sz w:val="24"/>
                <w:szCs w:val="24"/>
                <w:lang w:eastAsia="sk-SK"/>
              </w:rPr>
            </w:pPr>
            <w:r>
              <w:rPr>
                <w:sz w:val="20"/>
                <w:szCs w:val="20"/>
              </w:rPr>
              <w:t>440 000,00</w:t>
            </w:r>
            <w:r>
              <w:t xml:space="preserve"> </w:t>
            </w:r>
          </w:p>
        </w:tc>
        <w:tc>
          <w:tcPr>
            <w:tcW w:w="1706" w:type="dxa"/>
            <w:shd w:val="clear" w:color="auto" w:fill="EFEFEF"/>
            <w:noWrap/>
            <w:tcMar>
              <w:top w:w="15" w:type="dxa"/>
              <w:left w:w="15" w:type="dxa"/>
              <w:bottom w:w="15" w:type="dxa"/>
              <w:right w:w="15" w:type="dxa"/>
            </w:tcMar>
            <w:vAlign w:val="center"/>
            <w:hideMark/>
          </w:tcPr>
          <w:p w14:paraId="6A5F11C5" w14:textId="77777777" w:rsidR="00E17BB8" w:rsidRDefault="00E17BB8">
            <w:pPr>
              <w:spacing w:after="0" w:line="240" w:lineRule="auto"/>
              <w:jc w:val="right"/>
              <w:rPr>
                <w:rFonts w:cstheme="minorHAnsi"/>
                <w:sz w:val="24"/>
                <w:szCs w:val="24"/>
                <w:lang w:eastAsia="sk-SK"/>
              </w:rPr>
            </w:pPr>
            <w:r>
              <w:rPr>
                <w:sz w:val="20"/>
                <w:szCs w:val="20"/>
              </w:rPr>
              <w:t>462 800,00</w:t>
            </w:r>
            <w:r>
              <w:t xml:space="preserve"> </w:t>
            </w:r>
          </w:p>
        </w:tc>
        <w:tc>
          <w:tcPr>
            <w:tcW w:w="1352" w:type="dxa"/>
            <w:shd w:val="clear" w:color="auto" w:fill="EFEFEF"/>
            <w:noWrap/>
            <w:tcMar>
              <w:top w:w="15" w:type="dxa"/>
              <w:left w:w="15" w:type="dxa"/>
              <w:bottom w:w="15" w:type="dxa"/>
              <w:right w:w="15" w:type="dxa"/>
            </w:tcMar>
            <w:vAlign w:val="center"/>
            <w:hideMark/>
          </w:tcPr>
          <w:p w14:paraId="5C399D43" w14:textId="77777777" w:rsidR="00E17BB8" w:rsidRDefault="00E17BB8">
            <w:pPr>
              <w:spacing w:after="0" w:line="240" w:lineRule="auto"/>
              <w:jc w:val="right"/>
              <w:rPr>
                <w:rFonts w:cstheme="minorHAnsi"/>
                <w:sz w:val="24"/>
                <w:szCs w:val="24"/>
                <w:lang w:eastAsia="sk-SK"/>
              </w:rPr>
            </w:pPr>
            <w:r>
              <w:rPr>
                <w:sz w:val="20"/>
                <w:szCs w:val="20"/>
              </w:rPr>
              <w:t>275 351,25</w:t>
            </w:r>
            <w:r>
              <w:t xml:space="preserve"> </w:t>
            </w:r>
          </w:p>
        </w:tc>
        <w:tc>
          <w:tcPr>
            <w:tcW w:w="1021" w:type="dxa"/>
            <w:shd w:val="clear" w:color="auto" w:fill="EFEFEF"/>
            <w:noWrap/>
            <w:tcMar>
              <w:top w:w="15" w:type="dxa"/>
              <w:left w:w="15" w:type="dxa"/>
              <w:bottom w:w="15" w:type="dxa"/>
              <w:right w:w="15" w:type="dxa"/>
            </w:tcMar>
            <w:vAlign w:val="center"/>
            <w:hideMark/>
          </w:tcPr>
          <w:p w14:paraId="2953065B" w14:textId="77777777" w:rsidR="00E17BB8" w:rsidRDefault="00E17BB8">
            <w:pPr>
              <w:spacing w:after="0" w:line="240" w:lineRule="auto"/>
              <w:jc w:val="right"/>
              <w:rPr>
                <w:rFonts w:cstheme="minorHAnsi"/>
                <w:sz w:val="24"/>
                <w:szCs w:val="24"/>
                <w:lang w:eastAsia="sk-SK"/>
              </w:rPr>
            </w:pPr>
            <w:r>
              <w:rPr>
                <w:sz w:val="20"/>
                <w:szCs w:val="20"/>
              </w:rPr>
              <w:t>59,50</w:t>
            </w:r>
            <w:r>
              <w:t xml:space="preserve"> </w:t>
            </w:r>
          </w:p>
        </w:tc>
        <w:tc>
          <w:tcPr>
            <w:tcW w:w="1857" w:type="dxa"/>
            <w:vMerge/>
            <w:vAlign w:val="center"/>
            <w:hideMark/>
          </w:tcPr>
          <w:p w14:paraId="7127A3ED" w14:textId="77777777" w:rsidR="00E17BB8" w:rsidRDefault="00E17BB8">
            <w:pPr>
              <w:spacing w:after="0"/>
              <w:rPr>
                <w:rFonts w:cstheme="minorHAnsi"/>
                <w:sz w:val="24"/>
                <w:szCs w:val="24"/>
                <w:lang w:eastAsia="sk-SK"/>
              </w:rPr>
            </w:pPr>
          </w:p>
        </w:tc>
      </w:tr>
      <w:tr w:rsidR="00E17BB8" w14:paraId="012E9310" w14:textId="77777777" w:rsidTr="00B105D8">
        <w:trPr>
          <w:tblCellSpacing w:w="15" w:type="dxa"/>
        </w:trPr>
        <w:tc>
          <w:tcPr>
            <w:tcW w:w="806" w:type="dxa"/>
            <w:shd w:val="clear" w:color="auto" w:fill="EFEFEF"/>
            <w:noWrap/>
            <w:tcMar>
              <w:top w:w="15" w:type="dxa"/>
              <w:left w:w="15" w:type="dxa"/>
              <w:bottom w:w="15" w:type="dxa"/>
              <w:right w:w="15" w:type="dxa"/>
            </w:tcMar>
            <w:vAlign w:val="center"/>
            <w:hideMark/>
          </w:tcPr>
          <w:p w14:paraId="672B11B3" w14:textId="77777777" w:rsidR="00E17BB8" w:rsidRDefault="00E17BB8">
            <w:pPr>
              <w:spacing w:after="0" w:line="240" w:lineRule="auto"/>
              <w:rPr>
                <w:rFonts w:cstheme="minorHAnsi"/>
                <w:sz w:val="24"/>
                <w:szCs w:val="24"/>
                <w:lang w:eastAsia="sk-SK"/>
              </w:rPr>
            </w:pPr>
            <w:r>
              <w:rPr>
                <w:rFonts w:cstheme="minorHAnsi"/>
                <w:sz w:val="20"/>
                <w:szCs w:val="20"/>
                <w:lang w:eastAsia="sk-SK"/>
              </w:rPr>
              <w:t>640</w:t>
            </w:r>
            <w:r>
              <w:rPr>
                <w:rFonts w:cstheme="minorHAnsi"/>
                <w:sz w:val="24"/>
                <w:szCs w:val="24"/>
                <w:lang w:eastAsia="sk-SK"/>
              </w:rPr>
              <w:t xml:space="preserve"> </w:t>
            </w:r>
          </w:p>
        </w:tc>
        <w:tc>
          <w:tcPr>
            <w:tcW w:w="1813" w:type="dxa"/>
            <w:shd w:val="clear" w:color="auto" w:fill="EFEFEF"/>
            <w:tcMar>
              <w:top w:w="15" w:type="dxa"/>
              <w:left w:w="15" w:type="dxa"/>
              <w:bottom w:w="15" w:type="dxa"/>
              <w:right w:w="15" w:type="dxa"/>
            </w:tcMar>
            <w:vAlign w:val="center"/>
            <w:hideMark/>
          </w:tcPr>
          <w:p w14:paraId="7A52FF1A" w14:textId="77777777" w:rsidR="00E17BB8" w:rsidRDefault="00E17BB8">
            <w:pPr>
              <w:spacing w:after="0" w:line="240" w:lineRule="auto"/>
              <w:rPr>
                <w:rFonts w:cstheme="minorHAnsi"/>
                <w:sz w:val="24"/>
                <w:szCs w:val="24"/>
                <w:lang w:eastAsia="sk-SK"/>
              </w:rPr>
            </w:pPr>
            <w:r>
              <w:rPr>
                <w:rFonts w:cstheme="minorHAnsi"/>
                <w:sz w:val="20"/>
                <w:szCs w:val="20"/>
                <w:lang w:eastAsia="sk-SK"/>
              </w:rPr>
              <w:t>Bežné transfery</w:t>
            </w:r>
            <w:r>
              <w:rPr>
                <w:rFonts w:cstheme="minorHAnsi"/>
                <w:sz w:val="24"/>
                <w:szCs w:val="24"/>
                <w:lang w:eastAsia="sk-SK"/>
              </w:rPr>
              <w:t xml:space="preserve"> </w:t>
            </w:r>
          </w:p>
        </w:tc>
        <w:tc>
          <w:tcPr>
            <w:tcW w:w="1671" w:type="dxa"/>
            <w:shd w:val="clear" w:color="auto" w:fill="EFEFEF"/>
            <w:noWrap/>
            <w:tcMar>
              <w:top w:w="15" w:type="dxa"/>
              <w:left w:w="15" w:type="dxa"/>
              <w:bottom w:w="15" w:type="dxa"/>
              <w:right w:w="15" w:type="dxa"/>
            </w:tcMar>
            <w:vAlign w:val="center"/>
            <w:hideMark/>
          </w:tcPr>
          <w:p w14:paraId="5D118B0B" w14:textId="77777777" w:rsidR="00E17BB8" w:rsidRDefault="00E17BB8">
            <w:pPr>
              <w:spacing w:after="0" w:line="240" w:lineRule="auto"/>
              <w:jc w:val="right"/>
              <w:rPr>
                <w:rFonts w:cstheme="minorHAnsi"/>
                <w:sz w:val="24"/>
                <w:szCs w:val="24"/>
                <w:lang w:eastAsia="sk-SK"/>
              </w:rPr>
            </w:pPr>
            <w:r>
              <w:rPr>
                <w:sz w:val="20"/>
                <w:szCs w:val="20"/>
              </w:rPr>
              <w:t>60 000,00</w:t>
            </w:r>
            <w:r>
              <w:t xml:space="preserve"> </w:t>
            </w:r>
          </w:p>
        </w:tc>
        <w:tc>
          <w:tcPr>
            <w:tcW w:w="1706" w:type="dxa"/>
            <w:shd w:val="clear" w:color="auto" w:fill="EFEFEF"/>
            <w:noWrap/>
            <w:tcMar>
              <w:top w:w="15" w:type="dxa"/>
              <w:left w:w="15" w:type="dxa"/>
              <w:bottom w:w="15" w:type="dxa"/>
              <w:right w:w="15" w:type="dxa"/>
            </w:tcMar>
            <w:vAlign w:val="center"/>
            <w:hideMark/>
          </w:tcPr>
          <w:p w14:paraId="051015EB" w14:textId="77777777" w:rsidR="00E17BB8" w:rsidRDefault="00E17BB8">
            <w:pPr>
              <w:spacing w:after="0" w:line="240" w:lineRule="auto"/>
              <w:jc w:val="right"/>
              <w:rPr>
                <w:rFonts w:cstheme="minorHAnsi"/>
                <w:sz w:val="24"/>
                <w:szCs w:val="24"/>
                <w:lang w:eastAsia="sk-SK"/>
              </w:rPr>
            </w:pPr>
            <w:r>
              <w:rPr>
                <w:sz w:val="20"/>
                <w:szCs w:val="20"/>
              </w:rPr>
              <w:t>37 200,00</w:t>
            </w:r>
            <w:r>
              <w:t xml:space="preserve"> </w:t>
            </w:r>
          </w:p>
        </w:tc>
        <w:tc>
          <w:tcPr>
            <w:tcW w:w="1352" w:type="dxa"/>
            <w:shd w:val="clear" w:color="auto" w:fill="EFEFEF"/>
            <w:noWrap/>
            <w:tcMar>
              <w:top w:w="15" w:type="dxa"/>
              <w:left w:w="15" w:type="dxa"/>
              <w:bottom w:w="15" w:type="dxa"/>
              <w:right w:w="15" w:type="dxa"/>
            </w:tcMar>
            <w:vAlign w:val="center"/>
            <w:hideMark/>
          </w:tcPr>
          <w:p w14:paraId="55258195" w14:textId="77777777" w:rsidR="00E17BB8" w:rsidRDefault="00E17BB8">
            <w:pPr>
              <w:spacing w:after="0" w:line="240" w:lineRule="auto"/>
              <w:jc w:val="right"/>
              <w:rPr>
                <w:rFonts w:cstheme="minorHAnsi"/>
                <w:sz w:val="24"/>
                <w:szCs w:val="24"/>
                <w:lang w:eastAsia="sk-SK"/>
              </w:rPr>
            </w:pPr>
            <w:r>
              <w:rPr>
                <w:sz w:val="20"/>
                <w:szCs w:val="20"/>
              </w:rPr>
              <w:t>0,00</w:t>
            </w:r>
            <w:r>
              <w:t xml:space="preserve"> </w:t>
            </w:r>
          </w:p>
        </w:tc>
        <w:tc>
          <w:tcPr>
            <w:tcW w:w="1021" w:type="dxa"/>
            <w:shd w:val="clear" w:color="auto" w:fill="EFEFEF"/>
            <w:noWrap/>
            <w:tcMar>
              <w:top w:w="15" w:type="dxa"/>
              <w:left w:w="15" w:type="dxa"/>
              <w:bottom w:w="15" w:type="dxa"/>
              <w:right w:w="15" w:type="dxa"/>
            </w:tcMar>
            <w:vAlign w:val="center"/>
            <w:hideMark/>
          </w:tcPr>
          <w:p w14:paraId="1AE90739" w14:textId="77777777" w:rsidR="00E17BB8" w:rsidRDefault="00E17BB8">
            <w:pPr>
              <w:spacing w:after="0" w:line="240" w:lineRule="auto"/>
              <w:jc w:val="right"/>
              <w:rPr>
                <w:rFonts w:cstheme="minorHAnsi"/>
                <w:sz w:val="24"/>
                <w:szCs w:val="24"/>
                <w:lang w:eastAsia="sk-SK"/>
              </w:rPr>
            </w:pPr>
            <w:r>
              <w:rPr>
                <w:sz w:val="20"/>
                <w:szCs w:val="20"/>
              </w:rPr>
              <w:t>0,00</w:t>
            </w:r>
            <w:r>
              <w:t xml:space="preserve"> </w:t>
            </w:r>
          </w:p>
        </w:tc>
        <w:tc>
          <w:tcPr>
            <w:tcW w:w="1857" w:type="dxa"/>
            <w:vMerge/>
            <w:vAlign w:val="center"/>
            <w:hideMark/>
          </w:tcPr>
          <w:p w14:paraId="78C6E43B" w14:textId="77777777" w:rsidR="00E17BB8" w:rsidRDefault="00E17BB8">
            <w:pPr>
              <w:spacing w:after="0"/>
              <w:rPr>
                <w:rFonts w:cstheme="minorHAnsi"/>
                <w:sz w:val="24"/>
                <w:szCs w:val="24"/>
                <w:lang w:eastAsia="sk-SK"/>
              </w:rPr>
            </w:pPr>
          </w:p>
        </w:tc>
      </w:tr>
    </w:tbl>
    <w:p w14:paraId="72CC8861" w14:textId="77777777" w:rsidR="00E17BB8" w:rsidRDefault="00E17BB8" w:rsidP="00E17BB8">
      <w:pPr>
        <w:spacing w:after="0" w:line="240" w:lineRule="auto"/>
        <w:rPr>
          <w:rFonts w:asciiTheme="minorHAnsi" w:hAnsiTheme="minorHAnsi" w:cstheme="minorHAnsi"/>
          <w:vanish/>
          <w:sz w:val="24"/>
          <w:szCs w:val="24"/>
          <w:lang w:eastAsia="sk-SK"/>
        </w:rPr>
      </w:pPr>
    </w:p>
    <w:tbl>
      <w:tblPr>
        <w:tblW w:w="5000" w:type="pct"/>
        <w:tblCellSpacing w:w="15" w:type="dxa"/>
        <w:tblLook w:val="04A0" w:firstRow="1" w:lastRow="0" w:firstColumn="1" w:lastColumn="0" w:noHBand="0" w:noVBand="1"/>
      </w:tblPr>
      <w:tblGrid>
        <w:gridCol w:w="2313"/>
        <w:gridCol w:w="783"/>
        <w:gridCol w:w="1867"/>
        <w:gridCol w:w="1344"/>
        <w:gridCol w:w="4159"/>
      </w:tblGrid>
      <w:tr w:rsidR="00E17BB8" w14:paraId="73500F06" w14:textId="77777777" w:rsidTr="00E17BB8">
        <w:trPr>
          <w:tblCellSpacing w:w="15" w:type="dxa"/>
        </w:trPr>
        <w:tc>
          <w:tcPr>
            <w:tcW w:w="0" w:type="auto"/>
            <w:shd w:val="clear" w:color="auto" w:fill="C2D69B"/>
            <w:tcMar>
              <w:top w:w="15" w:type="dxa"/>
              <w:left w:w="15" w:type="dxa"/>
              <w:bottom w:w="15" w:type="dxa"/>
              <w:right w:w="15" w:type="dxa"/>
            </w:tcMar>
            <w:vAlign w:val="center"/>
            <w:hideMark/>
          </w:tcPr>
          <w:p w14:paraId="2B98DA97" w14:textId="77777777" w:rsidR="00E17BB8" w:rsidRDefault="00E17BB8">
            <w:pPr>
              <w:spacing w:after="0" w:line="240" w:lineRule="auto"/>
              <w:rPr>
                <w:rFonts w:cstheme="minorHAnsi"/>
                <w:sz w:val="24"/>
                <w:szCs w:val="24"/>
                <w:lang w:eastAsia="sk-SK"/>
              </w:rPr>
            </w:pPr>
            <w:r>
              <w:rPr>
                <w:rFonts w:cstheme="minorHAnsi"/>
                <w:b/>
                <w:bCs/>
                <w:sz w:val="20"/>
                <w:szCs w:val="20"/>
                <w:lang w:eastAsia="sk-SK"/>
              </w:rPr>
              <w:t>Zodpovednosť</w:t>
            </w:r>
          </w:p>
        </w:tc>
        <w:tc>
          <w:tcPr>
            <w:tcW w:w="0" w:type="auto"/>
            <w:gridSpan w:val="4"/>
            <w:shd w:val="clear" w:color="auto" w:fill="C2D69B"/>
            <w:tcMar>
              <w:top w:w="15" w:type="dxa"/>
              <w:left w:w="15" w:type="dxa"/>
              <w:bottom w:w="15" w:type="dxa"/>
              <w:right w:w="15" w:type="dxa"/>
            </w:tcMar>
            <w:vAlign w:val="center"/>
            <w:hideMark/>
          </w:tcPr>
          <w:p w14:paraId="2206A0B5" w14:textId="77777777" w:rsidR="00E17BB8" w:rsidRDefault="00E17BB8">
            <w:pPr>
              <w:spacing w:after="0" w:line="240" w:lineRule="auto"/>
              <w:rPr>
                <w:rFonts w:cstheme="minorHAnsi"/>
                <w:sz w:val="24"/>
                <w:szCs w:val="24"/>
                <w:lang w:eastAsia="sk-SK"/>
              </w:rPr>
            </w:pPr>
            <w:r>
              <w:rPr>
                <w:rFonts w:cstheme="minorHAnsi"/>
                <w:sz w:val="20"/>
                <w:szCs w:val="20"/>
                <w:lang w:eastAsia="sk-SK"/>
              </w:rPr>
              <w:t xml:space="preserve">Odbor komunikácie a propagácie </w:t>
            </w:r>
          </w:p>
        </w:tc>
      </w:tr>
      <w:tr w:rsidR="00E17BB8" w14:paraId="11FF2EDA" w14:textId="77777777" w:rsidTr="00E17BB8">
        <w:trPr>
          <w:tblCellSpacing w:w="15" w:type="dxa"/>
        </w:trPr>
        <w:tc>
          <w:tcPr>
            <w:tcW w:w="0" w:type="auto"/>
            <w:shd w:val="clear" w:color="auto" w:fill="C2D69B"/>
            <w:tcMar>
              <w:top w:w="15" w:type="dxa"/>
              <w:left w:w="15" w:type="dxa"/>
              <w:bottom w:w="15" w:type="dxa"/>
              <w:right w:w="15" w:type="dxa"/>
            </w:tcMar>
            <w:vAlign w:val="center"/>
            <w:hideMark/>
          </w:tcPr>
          <w:p w14:paraId="615D6020" w14:textId="77777777" w:rsidR="00E17BB8" w:rsidRDefault="00E17BB8">
            <w:pPr>
              <w:spacing w:after="0" w:line="240" w:lineRule="auto"/>
              <w:rPr>
                <w:rFonts w:cstheme="minorHAnsi"/>
                <w:sz w:val="24"/>
                <w:szCs w:val="24"/>
                <w:lang w:eastAsia="sk-SK"/>
              </w:rPr>
            </w:pPr>
            <w:r>
              <w:rPr>
                <w:rFonts w:cstheme="minorHAnsi"/>
                <w:b/>
                <w:bCs/>
                <w:sz w:val="20"/>
                <w:szCs w:val="20"/>
                <w:lang w:eastAsia="sk-SK"/>
              </w:rPr>
              <w:t>Cieľ</w:t>
            </w:r>
          </w:p>
        </w:tc>
        <w:tc>
          <w:tcPr>
            <w:tcW w:w="0" w:type="auto"/>
            <w:gridSpan w:val="4"/>
            <w:shd w:val="clear" w:color="auto" w:fill="C2D69B"/>
            <w:tcMar>
              <w:top w:w="15" w:type="dxa"/>
              <w:left w:w="15" w:type="dxa"/>
              <w:bottom w:w="15" w:type="dxa"/>
              <w:right w:w="15" w:type="dxa"/>
            </w:tcMar>
            <w:vAlign w:val="center"/>
            <w:hideMark/>
          </w:tcPr>
          <w:p w14:paraId="563D8AB5" w14:textId="77777777" w:rsidR="00E17BB8" w:rsidRDefault="00E17BB8">
            <w:pPr>
              <w:spacing w:after="0" w:line="240" w:lineRule="auto"/>
              <w:rPr>
                <w:rFonts w:cstheme="minorHAnsi"/>
                <w:sz w:val="24"/>
                <w:szCs w:val="24"/>
                <w:lang w:eastAsia="sk-SK"/>
              </w:rPr>
            </w:pPr>
            <w:r>
              <w:rPr>
                <w:rFonts w:cstheme="minorHAnsi"/>
                <w:sz w:val="20"/>
                <w:szCs w:val="20"/>
                <w:lang w:eastAsia="sk-SK"/>
              </w:rPr>
              <w:t>Zabezpečiť pozitívny vzťah a prezentáciu BSK</w:t>
            </w:r>
            <w:r>
              <w:rPr>
                <w:rFonts w:cstheme="minorHAnsi"/>
                <w:sz w:val="24"/>
                <w:szCs w:val="24"/>
                <w:lang w:eastAsia="sk-SK"/>
              </w:rPr>
              <w:t xml:space="preserve"> </w:t>
            </w:r>
          </w:p>
        </w:tc>
      </w:tr>
      <w:tr w:rsidR="00E17BB8" w14:paraId="2B9C09AE" w14:textId="77777777" w:rsidTr="00E17BB8">
        <w:trPr>
          <w:tblCellSpacing w:w="15" w:type="dxa"/>
        </w:trPr>
        <w:tc>
          <w:tcPr>
            <w:tcW w:w="0" w:type="auto"/>
            <w:shd w:val="clear" w:color="auto" w:fill="C2D69B"/>
            <w:tcMar>
              <w:top w:w="15" w:type="dxa"/>
              <w:left w:w="15" w:type="dxa"/>
              <w:bottom w:w="15" w:type="dxa"/>
              <w:right w:w="15" w:type="dxa"/>
            </w:tcMar>
            <w:vAlign w:val="center"/>
            <w:hideMark/>
          </w:tcPr>
          <w:p w14:paraId="05B526A8" w14:textId="77777777" w:rsidR="00E17BB8" w:rsidRDefault="00E17BB8">
            <w:pPr>
              <w:spacing w:after="0" w:line="240" w:lineRule="auto"/>
              <w:rPr>
                <w:rFonts w:cstheme="minorHAnsi"/>
                <w:sz w:val="24"/>
                <w:szCs w:val="24"/>
                <w:lang w:eastAsia="sk-SK"/>
              </w:rPr>
            </w:pPr>
            <w:r>
              <w:rPr>
                <w:rFonts w:cstheme="minorHAnsi"/>
                <w:b/>
                <w:bCs/>
                <w:sz w:val="20"/>
                <w:szCs w:val="20"/>
                <w:lang w:eastAsia="sk-SK"/>
              </w:rPr>
              <w:t>Merateľný ukazovateľ</w:t>
            </w:r>
          </w:p>
        </w:tc>
        <w:tc>
          <w:tcPr>
            <w:tcW w:w="0" w:type="auto"/>
            <w:gridSpan w:val="4"/>
            <w:shd w:val="clear" w:color="auto" w:fill="C2D69B"/>
            <w:tcMar>
              <w:top w:w="15" w:type="dxa"/>
              <w:left w:w="15" w:type="dxa"/>
              <w:bottom w:w="15" w:type="dxa"/>
              <w:right w:w="15" w:type="dxa"/>
            </w:tcMar>
            <w:vAlign w:val="center"/>
            <w:hideMark/>
          </w:tcPr>
          <w:p w14:paraId="1198BD1F" w14:textId="77777777" w:rsidR="00E17BB8" w:rsidRDefault="00E17BB8">
            <w:pPr>
              <w:spacing w:after="0" w:line="240" w:lineRule="auto"/>
              <w:rPr>
                <w:rFonts w:cstheme="minorHAnsi"/>
                <w:sz w:val="24"/>
                <w:szCs w:val="24"/>
                <w:lang w:eastAsia="sk-SK"/>
              </w:rPr>
            </w:pPr>
            <w:r>
              <w:rPr>
                <w:rFonts w:cstheme="minorHAnsi"/>
                <w:sz w:val="20"/>
                <w:szCs w:val="20"/>
                <w:lang w:eastAsia="sk-SK"/>
              </w:rPr>
              <w:t>Počet medializovaných tém týkajúcich sa BSK spolu za rok</w:t>
            </w:r>
            <w:r>
              <w:rPr>
                <w:rFonts w:cstheme="minorHAnsi"/>
                <w:sz w:val="24"/>
                <w:szCs w:val="24"/>
                <w:lang w:eastAsia="sk-SK"/>
              </w:rPr>
              <w:t xml:space="preserve"> </w:t>
            </w:r>
          </w:p>
        </w:tc>
      </w:tr>
      <w:tr w:rsidR="00E17BB8" w14:paraId="29415414" w14:textId="77777777" w:rsidTr="00E17BB8">
        <w:trPr>
          <w:tblCellSpacing w:w="15" w:type="dxa"/>
        </w:trPr>
        <w:tc>
          <w:tcPr>
            <w:tcW w:w="0" w:type="auto"/>
            <w:shd w:val="clear" w:color="auto" w:fill="C2D69B"/>
            <w:tcMar>
              <w:top w:w="15" w:type="dxa"/>
              <w:left w:w="15" w:type="dxa"/>
              <w:bottom w:w="15" w:type="dxa"/>
              <w:right w:w="15" w:type="dxa"/>
            </w:tcMar>
            <w:vAlign w:val="center"/>
            <w:hideMark/>
          </w:tcPr>
          <w:p w14:paraId="1C2C33A0"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Rok</w:t>
            </w:r>
          </w:p>
        </w:tc>
        <w:tc>
          <w:tcPr>
            <w:tcW w:w="0" w:type="auto"/>
            <w:shd w:val="clear" w:color="auto" w:fill="C2D69B"/>
            <w:tcMar>
              <w:top w:w="15" w:type="dxa"/>
              <w:left w:w="15" w:type="dxa"/>
              <w:bottom w:w="15" w:type="dxa"/>
              <w:right w:w="15" w:type="dxa"/>
            </w:tcMar>
            <w:vAlign w:val="center"/>
            <w:hideMark/>
          </w:tcPr>
          <w:p w14:paraId="66C54BAD"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Plán</w:t>
            </w:r>
          </w:p>
        </w:tc>
        <w:tc>
          <w:tcPr>
            <w:tcW w:w="0" w:type="auto"/>
            <w:shd w:val="clear" w:color="auto" w:fill="C2D69B"/>
            <w:tcMar>
              <w:top w:w="15" w:type="dxa"/>
              <w:left w:w="15" w:type="dxa"/>
              <w:bottom w:w="15" w:type="dxa"/>
              <w:right w:w="15" w:type="dxa"/>
            </w:tcMar>
            <w:vAlign w:val="center"/>
            <w:hideMark/>
          </w:tcPr>
          <w:p w14:paraId="39F521C9"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Skutočnosť</w:t>
            </w:r>
          </w:p>
        </w:tc>
        <w:tc>
          <w:tcPr>
            <w:tcW w:w="0" w:type="auto"/>
            <w:shd w:val="clear" w:color="auto" w:fill="C2D69B"/>
            <w:tcMar>
              <w:top w:w="15" w:type="dxa"/>
              <w:left w:w="15" w:type="dxa"/>
              <w:bottom w:w="15" w:type="dxa"/>
              <w:right w:w="15" w:type="dxa"/>
            </w:tcMar>
            <w:vAlign w:val="center"/>
            <w:hideMark/>
          </w:tcPr>
          <w:p w14:paraId="0C1DF21E" w14:textId="77777777" w:rsidR="00E17BB8" w:rsidRDefault="00E17BB8">
            <w:pPr>
              <w:spacing w:after="0" w:line="240" w:lineRule="auto"/>
              <w:jc w:val="center"/>
              <w:rPr>
                <w:rFonts w:cstheme="minorHAnsi"/>
                <w:sz w:val="24"/>
                <w:szCs w:val="24"/>
                <w:lang w:eastAsia="sk-SK"/>
              </w:rPr>
            </w:pPr>
            <w:r>
              <w:rPr>
                <w:rFonts w:cstheme="minorHAnsi"/>
                <w:b/>
                <w:bCs/>
                <w:sz w:val="20"/>
                <w:szCs w:val="20"/>
                <w:lang w:eastAsia="sk-SK"/>
              </w:rPr>
              <w:t>Plnenie</w:t>
            </w:r>
          </w:p>
        </w:tc>
        <w:tc>
          <w:tcPr>
            <w:tcW w:w="2000" w:type="pct"/>
            <w:shd w:val="clear" w:color="auto" w:fill="C2D69B"/>
            <w:tcMar>
              <w:top w:w="15" w:type="dxa"/>
              <w:left w:w="15" w:type="dxa"/>
              <w:bottom w:w="15" w:type="dxa"/>
              <w:right w:w="15" w:type="dxa"/>
            </w:tcMar>
            <w:vAlign w:val="center"/>
            <w:hideMark/>
          </w:tcPr>
          <w:p w14:paraId="73DE110F" w14:textId="77777777" w:rsidR="00E17BB8" w:rsidRDefault="00E17BB8">
            <w:pPr>
              <w:spacing w:after="0" w:line="240" w:lineRule="auto"/>
              <w:rPr>
                <w:rFonts w:cstheme="minorHAnsi"/>
                <w:sz w:val="24"/>
                <w:szCs w:val="24"/>
                <w:lang w:eastAsia="sk-SK"/>
              </w:rPr>
            </w:pPr>
            <w:r>
              <w:rPr>
                <w:rFonts w:cstheme="minorHAnsi"/>
                <w:b/>
                <w:bCs/>
                <w:sz w:val="20"/>
                <w:szCs w:val="20"/>
                <w:lang w:eastAsia="sk-SK"/>
              </w:rPr>
              <w:t>Poznámka</w:t>
            </w:r>
          </w:p>
        </w:tc>
      </w:tr>
      <w:tr w:rsidR="00E17BB8" w14:paraId="781164CC" w14:textId="77777777" w:rsidTr="00E17BB8">
        <w:trPr>
          <w:tblCellSpacing w:w="15" w:type="dxa"/>
        </w:trPr>
        <w:tc>
          <w:tcPr>
            <w:tcW w:w="0" w:type="auto"/>
            <w:shd w:val="clear" w:color="auto" w:fill="C2D69B"/>
            <w:tcMar>
              <w:top w:w="15" w:type="dxa"/>
              <w:left w:w="15" w:type="dxa"/>
              <w:bottom w:w="15" w:type="dxa"/>
              <w:right w:w="15" w:type="dxa"/>
            </w:tcMar>
            <w:vAlign w:val="center"/>
            <w:hideMark/>
          </w:tcPr>
          <w:p w14:paraId="4A433ED5" w14:textId="77777777" w:rsidR="00E17BB8" w:rsidRDefault="00E17BB8">
            <w:pPr>
              <w:spacing w:after="0" w:line="240" w:lineRule="auto"/>
              <w:jc w:val="center"/>
              <w:rPr>
                <w:rFonts w:cstheme="minorHAnsi"/>
                <w:sz w:val="24"/>
                <w:szCs w:val="24"/>
                <w:highlight w:val="yellow"/>
                <w:lang w:eastAsia="sk-SK"/>
              </w:rPr>
            </w:pPr>
            <w:r>
              <w:rPr>
                <w:rFonts w:cstheme="minorHAnsi"/>
                <w:sz w:val="20"/>
                <w:szCs w:val="20"/>
                <w:lang w:eastAsia="sk-SK"/>
              </w:rPr>
              <w:t>2020</w:t>
            </w:r>
            <w:r>
              <w:rPr>
                <w:rFonts w:cstheme="minorHAnsi"/>
                <w:sz w:val="24"/>
                <w:szCs w:val="24"/>
                <w:highlight w:val="yellow"/>
                <w:lang w:eastAsia="sk-SK"/>
              </w:rPr>
              <w:t xml:space="preserve"> </w:t>
            </w:r>
          </w:p>
        </w:tc>
        <w:tc>
          <w:tcPr>
            <w:tcW w:w="0" w:type="auto"/>
            <w:shd w:val="clear" w:color="auto" w:fill="C2D69B"/>
            <w:noWrap/>
            <w:tcMar>
              <w:top w:w="15" w:type="dxa"/>
              <w:left w:w="15" w:type="dxa"/>
              <w:bottom w:w="15" w:type="dxa"/>
              <w:right w:w="15" w:type="dxa"/>
            </w:tcMar>
            <w:vAlign w:val="center"/>
            <w:hideMark/>
          </w:tcPr>
          <w:p w14:paraId="10CE5ABB" w14:textId="77777777" w:rsidR="00E17BB8" w:rsidRDefault="00E17BB8">
            <w:pPr>
              <w:spacing w:after="0" w:line="240" w:lineRule="auto"/>
              <w:jc w:val="center"/>
              <w:rPr>
                <w:rFonts w:cstheme="minorHAnsi"/>
                <w:sz w:val="24"/>
                <w:szCs w:val="24"/>
                <w:highlight w:val="yellow"/>
                <w:lang w:eastAsia="sk-SK"/>
              </w:rPr>
            </w:pPr>
            <w:r>
              <w:rPr>
                <w:rFonts w:cstheme="minorHAnsi"/>
                <w:sz w:val="20"/>
                <w:szCs w:val="20"/>
                <w:lang w:eastAsia="sk-SK"/>
              </w:rPr>
              <w:t> 27</w:t>
            </w:r>
            <w:r>
              <w:rPr>
                <w:rFonts w:cstheme="minorHAnsi"/>
                <w:sz w:val="24"/>
                <w:szCs w:val="24"/>
                <w:lang w:eastAsia="sk-SK"/>
              </w:rPr>
              <w:t xml:space="preserve"> </w:t>
            </w:r>
          </w:p>
        </w:tc>
        <w:tc>
          <w:tcPr>
            <w:tcW w:w="0" w:type="auto"/>
            <w:shd w:val="clear" w:color="auto" w:fill="C2D69B"/>
            <w:noWrap/>
            <w:tcMar>
              <w:top w:w="15" w:type="dxa"/>
              <w:left w:w="15" w:type="dxa"/>
              <w:bottom w:w="15" w:type="dxa"/>
              <w:right w:w="15" w:type="dxa"/>
            </w:tcMar>
            <w:vAlign w:val="center"/>
            <w:hideMark/>
          </w:tcPr>
          <w:p w14:paraId="577B7A3E" w14:textId="77777777" w:rsidR="00E17BB8" w:rsidRDefault="00E17BB8">
            <w:pPr>
              <w:spacing w:after="0" w:line="240" w:lineRule="auto"/>
              <w:jc w:val="center"/>
              <w:rPr>
                <w:rFonts w:cstheme="minorHAnsi"/>
                <w:sz w:val="24"/>
                <w:szCs w:val="24"/>
                <w:highlight w:val="yellow"/>
                <w:lang w:eastAsia="sk-SK"/>
              </w:rPr>
            </w:pPr>
            <w:r>
              <w:rPr>
                <w:rFonts w:cstheme="minorHAnsi"/>
                <w:sz w:val="20"/>
                <w:szCs w:val="20"/>
                <w:lang w:eastAsia="sk-SK"/>
              </w:rPr>
              <w:t> 40</w:t>
            </w:r>
          </w:p>
        </w:tc>
        <w:tc>
          <w:tcPr>
            <w:tcW w:w="0" w:type="auto"/>
            <w:shd w:val="clear" w:color="auto" w:fill="C2D69B"/>
            <w:tcMar>
              <w:top w:w="15" w:type="dxa"/>
              <w:left w:w="15" w:type="dxa"/>
              <w:bottom w:w="15" w:type="dxa"/>
              <w:right w:w="15" w:type="dxa"/>
            </w:tcMar>
            <w:vAlign w:val="center"/>
            <w:hideMark/>
          </w:tcPr>
          <w:p w14:paraId="370D9336" w14:textId="5DCA82A1" w:rsidR="00E17BB8" w:rsidRDefault="000050A2">
            <w:pPr>
              <w:spacing w:after="0" w:line="240" w:lineRule="auto"/>
              <w:jc w:val="center"/>
              <w:rPr>
                <w:rFonts w:cstheme="minorHAnsi"/>
                <w:sz w:val="24"/>
                <w:szCs w:val="24"/>
                <w:highlight w:val="yellow"/>
                <w:lang w:eastAsia="sk-SK"/>
              </w:rPr>
            </w:pPr>
            <w:r>
              <w:rPr>
                <w:rFonts w:cstheme="minorHAnsi"/>
                <w:sz w:val="20"/>
                <w:szCs w:val="20"/>
                <w:lang w:eastAsia="sk-SK"/>
              </w:rPr>
              <w:t>S</w:t>
            </w:r>
            <w:r w:rsidR="00E17BB8">
              <w:rPr>
                <w:rFonts w:cstheme="minorHAnsi"/>
                <w:sz w:val="20"/>
                <w:szCs w:val="20"/>
                <w:lang w:eastAsia="sk-SK"/>
              </w:rPr>
              <w:t>plnené</w:t>
            </w:r>
            <w:r w:rsidR="00E17BB8">
              <w:rPr>
                <w:rFonts w:cstheme="minorHAnsi"/>
                <w:sz w:val="24"/>
                <w:szCs w:val="24"/>
                <w:highlight w:val="yellow"/>
                <w:lang w:eastAsia="sk-SK"/>
              </w:rPr>
              <w:t xml:space="preserve"> </w:t>
            </w:r>
          </w:p>
        </w:tc>
        <w:tc>
          <w:tcPr>
            <w:tcW w:w="0" w:type="auto"/>
            <w:shd w:val="clear" w:color="auto" w:fill="C2D69B"/>
            <w:tcMar>
              <w:top w:w="15" w:type="dxa"/>
              <w:left w:w="15" w:type="dxa"/>
              <w:bottom w:w="15" w:type="dxa"/>
              <w:right w:w="15" w:type="dxa"/>
            </w:tcMar>
            <w:vAlign w:val="center"/>
            <w:hideMark/>
          </w:tcPr>
          <w:p w14:paraId="1ED54DAB" w14:textId="77777777" w:rsidR="00E17BB8" w:rsidRDefault="00E17BB8">
            <w:pPr>
              <w:rPr>
                <w:rFonts w:cstheme="minorHAnsi"/>
                <w:sz w:val="24"/>
                <w:szCs w:val="24"/>
                <w:highlight w:val="yellow"/>
                <w:lang w:eastAsia="sk-SK"/>
              </w:rPr>
            </w:pPr>
          </w:p>
        </w:tc>
      </w:tr>
    </w:tbl>
    <w:p w14:paraId="26F540C4" w14:textId="77777777" w:rsidR="00E17BB8" w:rsidRDefault="00E17BB8" w:rsidP="00E17BB8">
      <w:pPr>
        <w:spacing w:after="0" w:line="240" w:lineRule="auto"/>
        <w:textAlignment w:val="baseline"/>
        <w:rPr>
          <w:rFonts w:cstheme="minorHAnsi"/>
          <w:lang w:eastAsia="sk-SK"/>
        </w:rPr>
      </w:pPr>
      <w:r>
        <w:rPr>
          <w:rFonts w:cstheme="minorHAnsi"/>
          <w:b/>
          <w:bCs/>
          <w:lang w:eastAsia="sk-SK"/>
        </w:rPr>
        <w:t>Komentár:</w:t>
      </w:r>
      <w:r>
        <w:rPr>
          <w:rFonts w:cstheme="minorHAnsi"/>
          <w:lang w:eastAsia="sk-SK"/>
        </w:rPr>
        <w:t> </w:t>
      </w:r>
    </w:p>
    <w:p w14:paraId="29C253F4"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Plánované výdavky v programe boli určené na zabezpečenie informovanosti obyvateľov o aktivitách BSK. Prioritou bola propagácia aktivít vyplývajúcich z akčného plánu BSK a publicita strategických projektov župy. Na zabezpečenie týchto </w:t>
      </w:r>
      <w:r>
        <w:rPr>
          <w:rFonts w:cstheme="minorHAnsi"/>
          <w:lang w:eastAsia="sk-SK"/>
        </w:rPr>
        <w:lastRenderedPageBreak/>
        <w:t>cieľov využíval BSK nástroje internej a externej komunikácie – nákup mediálneho priestoru v regionálnych médiách, propagáciu obsahu na sociálnych sieťach, vydávanie tlačovín a publikácií a podobne. Prostriedky v tomto programe boli určené aj na organizáciu a spolu organizáciu podujatí BSK a partnerských projektov. Tieto však boli v roku 2020 realizované len v obmedzenej miere kvôli opatreniam proti pandémii COVID-19. Dôležitým nástrojom pre informovanosť obyvateľov je mesačník Bratislavský kraj, ktorý vyšiel za rok 6-krát v náklade 200 tisíc kusov a bol distribuovaný pre obyvateľov kraja bezplatne. Súčasťou programu boli aj prostriedky určené na zabezpečovanie agentúrneho spravodajského servisu, denného monitoringu médií, grafické a tlačiarenské služby a nákup techniky pre účely produkcie komunikačných výstupov. Program zahŕňal aj prostriedky na zabezpečenie propagačných materiálov a predmetov župy vrátane informačných tabúľ.</w:t>
      </w:r>
    </w:p>
    <w:p w14:paraId="1F1B8CB0" w14:textId="77777777" w:rsidR="00E17BB8" w:rsidRDefault="00E17BB8" w:rsidP="00E17BB8">
      <w:pPr>
        <w:spacing w:after="0" w:line="240" w:lineRule="auto"/>
        <w:jc w:val="both"/>
        <w:textAlignment w:val="baseline"/>
        <w:rPr>
          <w:rFonts w:cstheme="minorHAnsi"/>
          <w:lang w:eastAsia="sk-SK"/>
        </w:rPr>
      </w:pPr>
    </w:p>
    <w:p w14:paraId="7EF0F5A1"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Najdôležitejším nástrojom pre informovanosť obyvateľov v kraji je nová webstránka  www.bratislavskykraj.sk, časopis Bratislavský kraj, sociálne médiá, ako aj inzertná spolupráca s regionálnymi printovými  a elektronickými médiami. </w:t>
      </w:r>
      <w:r>
        <w:rPr>
          <w:rFonts w:cstheme="minorHAnsi"/>
          <w:lang w:eastAsia="sk-SK"/>
        </w:rPr>
        <w:br/>
        <w:t>V rámci roka bolo natočených 131 videí v produkcii BSK. Z dôvodu preventívnych opatrení v súvislosti s </w:t>
      </w:r>
      <w:proofErr w:type="spellStart"/>
      <w:r>
        <w:rPr>
          <w:rFonts w:cstheme="minorHAnsi"/>
          <w:lang w:eastAsia="sk-SK"/>
        </w:rPr>
        <w:t>koronavírusom</w:t>
      </w:r>
      <w:proofErr w:type="spellEnd"/>
      <w:r>
        <w:rPr>
          <w:rFonts w:cstheme="minorHAnsi"/>
          <w:lang w:eastAsia="sk-SK"/>
        </w:rPr>
        <w:t xml:space="preserve"> bola väčšia časť kampani a podujatí presunutá na neskoršie obdobie. Za rok zrealizoval odbor komunikácie 12 tlačových konferencií,  uverejnil 72 tlačových správ, pripravil 15 podujatí (napr. ocenenie Samuela </w:t>
      </w:r>
      <w:proofErr w:type="spellStart"/>
      <w:r>
        <w:rPr>
          <w:rFonts w:cstheme="minorHAnsi"/>
          <w:lang w:eastAsia="sk-SK"/>
        </w:rPr>
        <w:t>Zocha</w:t>
      </w:r>
      <w:proofErr w:type="spellEnd"/>
      <w:r>
        <w:rPr>
          <w:rFonts w:cstheme="minorHAnsi"/>
          <w:lang w:eastAsia="sk-SK"/>
        </w:rPr>
        <w:t xml:space="preserve">, Vráťme knihy do škôl, </w:t>
      </w:r>
      <w:proofErr w:type="spellStart"/>
      <w:r>
        <w:rPr>
          <w:rFonts w:cstheme="minorHAnsi"/>
          <w:lang w:eastAsia="sk-SK"/>
        </w:rPr>
        <w:t>Deinštitucionalizácia</w:t>
      </w:r>
      <w:proofErr w:type="spellEnd"/>
      <w:r>
        <w:rPr>
          <w:rFonts w:cstheme="minorHAnsi"/>
          <w:lang w:eastAsia="sk-SK"/>
        </w:rPr>
        <w:t> zariadení sociálnych služieb a iné) a 10 mediálnych kampaní (napr. Prihlášky na strednú školy, </w:t>
      </w:r>
      <w:proofErr w:type="spellStart"/>
      <w:r>
        <w:rPr>
          <w:rFonts w:cstheme="minorHAnsi"/>
          <w:lang w:eastAsia="sk-SK"/>
        </w:rPr>
        <w:t>Pump</w:t>
      </w:r>
      <w:proofErr w:type="spellEnd"/>
      <w:r>
        <w:rPr>
          <w:rFonts w:cstheme="minorHAnsi"/>
          <w:lang w:eastAsia="sk-SK"/>
        </w:rPr>
        <w:t xml:space="preserve"> Track, Ďakujeme, Reštart kraja, DSS Výberové konanie, </w:t>
      </w:r>
      <w:proofErr w:type="spellStart"/>
      <w:r>
        <w:rPr>
          <w:rFonts w:cstheme="minorHAnsi"/>
          <w:lang w:eastAsia="sk-SK"/>
        </w:rPr>
        <w:t>Ecoregion</w:t>
      </w:r>
      <w:proofErr w:type="spellEnd"/>
      <w:r>
        <w:rPr>
          <w:rFonts w:cstheme="minorHAnsi"/>
          <w:lang w:eastAsia="sk-SK"/>
        </w:rPr>
        <w:t xml:space="preserve">, </w:t>
      </w:r>
      <w:proofErr w:type="spellStart"/>
      <w:r>
        <w:rPr>
          <w:rFonts w:cstheme="minorHAnsi"/>
          <w:lang w:eastAsia="sk-SK"/>
        </w:rPr>
        <w:t>Deinštitucionalizácia</w:t>
      </w:r>
      <w:proofErr w:type="spellEnd"/>
      <w:r>
        <w:rPr>
          <w:rFonts w:cstheme="minorHAnsi"/>
          <w:lang w:eastAsia="sk-SK"/>
        </w:rPr>
        <w:t>, 17.november, a iné ). Boli vydané tlačové materiály (napr.  updaty brožúry Stredná pre mňa, Fotokniha Bratislavský kraj, 8 druhov letákov na tému COVID, Koncepcia sociálnej inklúzie, brožúra 3 roky na župe). Aktivity boli realizované so zameraním na oblasť školstva, kultúry a cestovného ruchu, sociálnej oblasti, strategických projektov a dotácií.  </w:t>
      </w:r>
    </w:p>
    <w:p w14:paraId="7D0C1C71" w14:textId="77777777" w:rsidR="00E17BB8" w:rsidRDefault="00E17BB8" w:rsidP="00E17BB8">
      <w:pPr>
        <w:spacing w:after="0" w:line="240" w:lineRule="auto"/>
        <w:jc w:val="both"/>
        <w:textAlignment w:val="baseline"/>
        <w:rPr>
          <w:rFonts w:cstheme="minorHAnsi"/>
          <w:lang w:eastAsia="sk-SK"/>
        </w:rPr>
      </w:pPr>
    </w:p>
    <w:p w14:paraId="54AC1E19" w14:textId="77777777" w:rsidR="00E17BB8" w:rsidRDefault="00E17BB8" w:rsidP="00E17BB8">
      <w:pPr>
        <w:spacing w:after="0" w:line="240" w:lineRule="auto"/>
        <w:jc w:val="both"/>
        <w:textAlignment w:val="baseline"/>
        <w:rPr>
          <w:rFonts w:cstheme="minorHAnsi"/>
          <w:b/>
          <w:bCs/>
          <w:lang w:eastAsia="sk-SK"/>
        </w:rPr>
      </w:pPr>
      <w:r>
        <w:rPr>
          <w:rFonts w:cstheme="minorHAnsi"/>
          <w:b/>
          <w:bCs/>
          <w:lang w:eastAsia="sk-SK"/>
        </w:rPr>
        <w:t>Dosah komunikácie v online médiách za rok 2020: </w:t>
      </w:r>
    </w:p>
    <w:p w14:paraId="6A0B9972"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2,8 milióna zobrazení na stránke Bratislavskykraj.sk , uverejnených 2 125 článkov </w:t>
      </w:r>
    </w:p>
    <w:p w14:paraId="5A0A87A0"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14,2 milióna dosah všetkých príspevkov na Facebooku, </w:t>
      </w:r>
    </w:p>
    <w:p w14:paraId="6101DD77"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1,5 milióna pozretí videí, ktoré sú natočené v produkcií BSK </w:t>
      </w:r>
    </w:p>
    <w:p w14:paraId="1F99FDFE" w14:textId="77777777" w:rsidR="00E17BB8" w:rsidRDefault="00E17BB8" w:rsidP="00E17BB8">
      <w:pPr>
        <w:spacing w:after="0" w:line="240" w:lineRule="auto"/>
        <w:jc w:val="both"/>
        <w:textAlignment w:val="baseline"/>
        <w:rPr>
          <w:rFonts w:cstheme="minorHAnsi"/>
          <w:b/>
          <w:bCs/>
          <w:lang w:eastAsia="sk-SK"/>
        </w:rPr>
      </w:pPr>
    </w:p>
    <w:p w14:paraId="71B1B1FE" w14:textId="77777777" w:rsidR="00E17BB8" w:rsidRDefault="00E17BB8" w:rsidP="00E17BB8">
      <w:pPr>
        <w:spacing w:after="0" w:line="240" w:lineRule="auto"/>
        <w:jc w:val="both"/>
        <w:textAlignment w:val="baseline"/>
        <w:rPr>
          <w:rFonts w:cstheme="minorHAnsi"/>
          <w:b/>
          <w:bCs/>
          <w:lang w:eastAsia="sk-SK"/>
        </w:rPr>
      </w:pPr>
      <w:r>
        <w:rPr>
          <w:rFonts w:cstheme="minorHAnsi"/>
          <w:b/>
          <w:bCs/>
          <w:lang w:eastAsia="sk-SK"/>
        </w:rPr>
        <w:t>TÉMY</w:t>
      </w:r>
    </w:p>
    <w:p w14:paraId="49064A5E"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COVID-19 (usmernenia, opatrenia, testovanie, očkovanie...)</w:t>
      </w:r>
    </w:p>
    <w:p w14:paraId="115FE3F9"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Tri roky na župe</w:t>
      </w:r>
    </w:p>
    <w:p w14:paraId="26B9898C"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Rekonštrukcia Divadla Aréna</w:t>
      </w:r>
    </w:p>
    <w:p w14:paraId="36DE7B47"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Letný vlak </w:t>
      </w:r>
      <w:proofErr w:type="spellStart"/>
      <w:r>
        <w:rPr>
          <w:rFonts w:cstheme="minorHAnsi"/>
          <w:lang w:eastAsia="sk-SK"/>
        </w:rPr>
        <w:t>Záhoráčik</w:t>
      </w:r>
      <w:proofErr w:type="spellEnd"/>
    </w:p>
    <w:p w14:paraId="102C2E35"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Nová cestárska spoločnosť</w:t>
      </w:r>
    </w:p>
    <w:p w14:paraId="09F571D0"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Strávte leto v Bratislavskom kraji</w:t>
      </w:r>
    </w:p>
    <w:p w14:paraId="281BE1C6"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Rada partnerstva BSK</w:t>
      </w:r>
    </w:p>
    <w:p w14:paraId="50B13F06"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Program hospodárskeho rozvoja a sociálneho rozvoja</w:t>
      </w:r>
    </w:p>
    <w:p w14:paraId="3ACB97B5"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Nové programy župných škôl</w:t>
      </w:r>
    </w:p>
    <w:p w14:paraId="2F87BC05"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Diaľničná križovatka </w:t>
      </w:r>
      <w:proofErr w:type="spellStart"/>
      <w:r>
        <w:rPr>
          <w:rFonts w:cstheme="minorHAnsi"/>
          <w:lang w:eastAsia="sk-SK"/>
        </w:rPr>
        <w:t>Triblavina</w:t>
      </w:r>
      <w:proofErr w:type="spellEnd"/>
    </w:p>
    <w:p w14:paraId="0544C750"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Testovacie centrum BSK pre kľúčovú infraštruktúru</w:t>
      </w:r>
    </w:p>
    <w:p w14:paraId="3A9F0415" w14:textId="77777777" w:rsidR="00E17BB8" w:rsidRDefault="00E17BB8" w:rsidP="00E17BB8">
      <w:pPr>
        <w:spacing w:after="0" w:line="240" w:lineRule="auto"/>
        <w:jc w:val="both"/>
        <w:textAlignment w:val="baseline"/>
        <w:rPr>
          <w:rFonts w:cstheme="minorHAnsi"/>
          <w:lang w:eastAsia="sk-SK"/>
        </w:rPr>
      </w:pPr>
      <w:proofErr w:type="spellStart"/>
      <w:r>
        <w:rPr>
          <w:rFonts w:cstheme="minorHAnsi"/>
          <w:lang w:eastAsia="sk-SK"/>
        </w:rPr>
        <w:t>Pumptrack</w:t>
      </w:r>
      <w:proofErr w:type="spellEnd"/>
      <w:r>
        <w:rPr>
          <w:rFonts w:cstheme="minorHAnsi"/>
          <w:lang w:eastAsia="sk-SK"/>
        </w:rPr>
        <w:t xml:space="preserve"> na Zochovej chate</w:t>
      </w:r>
    </w:p>
    <w:p w14:paraId="016C6011"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Divadlo </w:t>
      </w:r>
      <w:proofErr w:type="spellStart"/>
      <w:r>
        <w:rPr>
          <w:rFonts w:cstheme="minorHAnsi"/>
          <w:lang w:eastAsia="sk-SK"/>
        </w:rPr>
        <w:t>Astorka</w:t>
      </w:r>
      <w:proofErr w:type="spellEnd"/>
      <w:r>
        <w:rPr>
          <w:rFonts w:cstheme="minorHAnsi"/>
          <w:lang w:eastAsia="sk-SK"/>
        </w:rPr>
        <w:t xml:space="preserve"> sa vracia</w:t>
      </w:r>
    </w:p>
    <w:p w14:paraId="35AE15C3"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Korzo Zálesie</w:t>
      </w:r>
    </w:p>
    <w:p w14:paraId="7285AC69"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Prestupné terminály</w:t>
      </w:r>
    </w:p>
    <w:p w14:paraId="0D3423E5"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Nelegálne skládky v kraji</w:t>
      </w:r>
    </w:p>
    <w:p w14:paraId="2451C376" w14:textId="77777777" w:rsidR="00E17BB8" w:rsidRDefault="00E17BB8" w:rsidP="00E17BB8">
      <w:pPr>
        <w:spacing w:after="0" w:line="240" w:lineRule="auto"/>
        <w:jc w:val="both"/>
        <w:textAlignment w:val="baseline"/>
        <w:rPr>
          <w:rFonts w:cstheme="minorHAnsi"/>
          <w:lang w:eastAsia="sk-SK"/>
        </w:rPr>
      </w:pPr>
    </w:p>
    <w:p w14:paraId="6FC45357" w14:textId="77777777" w:rsidR="00E17BB8" w:rsidRDefault="00E17BB8" w:rsidP="00E17BB8">
      <w:pPr>
        <w:spacing w:after="0" w:line="240" w:lineRule="auto"/>
        <w:jc w:val="both"/>
        <w:textAlignment w:val="baseline"/>
        <w:rPr>
          <w:rFonts w:cstheme="minorHAnsi"/>
          <w:b/>
          <w:bCs/>
          <w:lang w:eastAsia="sk-SK"/>
        </w:rPr>
      </w:pPr>
      <w:r>
        <w:rPr>
          <w:rFonts w:cstheme="minorHAnsi"/>
          <w:b/>
          <w:bCs/>
          <w:lang w:eastAsia="sk-SK"/>
        </w:rPr>
        <w:t>PODUJATIA</w:t>
      </w:r>
    </w:p>
    <w:p w14:paraId="59BE29C3"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Ocenenia Samuela </w:t>
      </w:r>
      <w:proofErr w:type="spellStart"/>
      <w:r>
        <w:rPr>
          <w:rFonts w:cstheme="minorHAnsi"/>
          <w:lang w:eastAsia="sk-SK"/>
        </w:rPr>
        <w:t>Zocha</w:t>
      </w:r>
      <w:proofErr w:type="spellEnd"/>
      <w:r>
        <w:rPr>
          <w:rFonts w:cstheme="minorHAnsi"/>
          <w:lang w:eastAsia="sk-SK"/>
        </w:rPr>
        <w:t xml:space="preserve"> (event)</w:t>
      </w:r>
    </w:p>
    <w:p w14:paraId="6F55131A"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Otvorenie Štefánikovej cyklomagistrály (tlačová konferencia + event)</w:t>
      </w:r>
    </w:p>
    <w:p w14:paraId="2DCAB08D"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Online konferencia DEKD „Dejiny školstva“</w:t>
      </w:r>
    </w:p>
    <w:p w14:paraId="53E3DE79" w14:textId="77777777" w:rsidR="00E17BB8" w:rsidRDefault="00E17BB8" w:rsidP="00E17BB8">
      <w:pPr>
        <w:spacing w:after="0" w:line="240" w:lineRule="auto"/>
        <w:jc w:val="both"/>
        <w:textAlignment w:val="baseline"/>
        <w:rPr>
          <w:rFonts w:cstheme="minorHAnsi"/>
          <w:lang w:eastAsia="sk-SK"/>
        </w:rPr>
      </w:pPr>
      <w:proofErr w:type="spellStart"/>
      <w:r>
        <w:rPr>
          <w:rFonts w:cstheme="minorHAnsi"/>
          <w:lang w:eastAsia="sk-SK"/>
        </w:rPr>
        <w:t>Deinštitucionalizácia</w:t>
      </w:r>
      <w:proofErr w:type="spellEnd"/>
      <w:r>
        <w:rPr>
          <w:rFonts w:cstheme="minorHAnsi"/>
          <w:lang w:eastAsia="sk-SK"/>
        </w:rPr>
        <w:t xml:space="preserve"> sociálnych služieb (tlačová konferencia + event)</w:t>
      </w:r>
    </w:p>
    <w:p w14:paraId="67DAAC35" w14:textId="77777777" w:rsidR="00E17BB8" w:rsidRDefault="00E17BB8" w:rsidP="00E17BB8">
      <w:pPr>
        <w:spacing w:after="0" w:line="240" w:lineRule="auto"/>
        <w:jc w:val="both"/>
        <w:textAlignment w:val="baseline"/>
        <w:rPr>
          <w:rFonts w:cstheme="minorHAnsi"/>
          <w:lang w:eastAsia="sk-SK"/>
        </w:rPr>
      </w:pPr>
    </w:p>
    <w:p w14:paraId="4B0D6ECE" w14:textId="77777777" w:rsidR="00E17BB8" w:rsidRDefault="00E17BB8" w:rsidP="00E17BB8">
      <w:pPr>
        <w:spacing w:after="0" w:line="240" w:lineRule="auto"/>
        <w:jc w:val="both"/>
        <w:textAlignment w:val="baseline"/>
        <w:rPr>
          <w:rFonts w:cstheme="minorHAnsi"/>
          <w:b/>
          <w:bCs/>
          <w:lang w:eastAsia="sk-SK"/>
        </w:rPr>
      </w:pPr>
      <w:r>
        <w:rPr>
          <w:rFonts w:cstheme="minorHAnsi"/>
          <w:b/>
          <w:bCs/>
          <w:lang w:eastAsia="sk-SK"/>
        </w:rPr>
        <w:t>KAMPANE</w:t>
      </w:r>
    </w:p>
    <w:p w14:paraId="5D60B0D9"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Kampaň Prihlášky na stredné školy „</w:t>
      </w:r>
      <w:proofErr w:type="spellStart"/>
      <w:r>
        <w:rPr>
          <w:rFonts w:cstheme="minorHAnsi"/>
          <w:lang w:eastAsia="sk-SK"/>
        </w:rPr>
        <w:t>Asimister</w:t>
      </w:r>
      <w:proofErr w:type="spellEnd"/>
      <w:r>
        <w:rPr>
          <w:rFonts w:cstheme="minorHAnsi"/>
          <w:lang w:eastAsia="sk-SK"/>
        </w:rPr>
        <w:t>“</w:t>
      </w:r>
    </w:p>
    <w:p w14:paraId="616D50C4"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Kampaň Nosme všetci rúška</w:t>
      </w:r>
    </w:p>
    <w:p w14:paraId="39C06A89"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Kampaň Ďakujeme (Zvládli sme boj s </w:t>
      </w:r>
      <w:proofErr w:type="spellStart"/>
      <w:r>
        <w:rPr>
          <w:rFonts w:cstheme="minorHAnsi"/>
          <w:lang w:eastAsia="sk-SK"/>
        </w:rPr>
        <w:t>koronavírusom</w:t>
      </w:r>
      <w:proofErr w:type="spellEnd"/>
      <w:r>
        <w:rPr>
          <w:rFonts w:cstheme="minorHAnsi"/>
          <w:lang w:eastAsia="sk-SK"/>
        </w:rPr>
        <w:t>)</w:t>
      </w:r>
    </w:p>
    <w:p w14:paraId="25C3E2DC"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Kampaň Reštart kraja (Aj teraz záleží na každom z nás)</w:t>
      </w:r>
    </w:p>
    <w:p w14:paraId="66E2EAA3"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lastRenderedPageBreak/>
        <w:t>Kampaň Posilňujte svoju imunitu </w:t>
      </w:r>
    </w:p>
    <w:p w14:paraId="2A504B74"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Kampaň Ako sa liečiť keď dostanete </w:t>
      </w:r>
      <w:proofErr w:type="spellStart"/>
      <w:r>
        <w:rPr>
          <w:rFonts w:cstheme="minorHAnsi"/>
          <w:lang w:eastAsia="sk-SK"/>
        </w:rPr>
        <w:t>koronavírus</w:t>
      </w:r>
      <w:proofErr w:type="spellEnd"/>
    </w:p>
    <w:p w14:paraId="656B6B9E"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Kampaň </w:t>
      </w:r>
      <w:proofErr w:type="spellStart"/>
      <w:r>
        <w:rPr>
          <w:rFonts w:cstheme="minorHAnsi"/>
          <w:lang w:eastAsia="sk-SK"/>
        </w:rPr>
        <w:t>Pump</w:t>
      </w:r>
      <w:proofErr w:type="spellEnd"/>
      <w:r>
        <w:rPr>
          <w:rFonts w:cstheme="minorHAnsi"/>
          <w:lang w:eastAsia="sk-SK"/>
        </w:rPr>
        <w:t xml:space="preserve">-Track otvorenie Bike </w:t>
      </w:r>
      <w:proofErr w:type="spellStart"/>
      <w:r>
        <w:rPr>
          <w:rFonts w:cstheme="minorHAnsi"/>
          <w:lang w:eastAsia="sk-SK"/>
        </w:rPr>
        <w:t>Barku</w:t>
      </w:r>
      <w:proofErr w:type="spellEnd"/>
      <w:r>
        <w:rPr>
          <w:rFonts w:cstheme="minorHAnsi"/>
          <w:lang w:eastAsia="sk-SK"/>
        </w:rPr>
        <w:t xml:space="preserve"> Zochova Chata</w:t>
      </w:r>
    </w:p>
    <w:p w14:paraId="650C7B5E"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Kampaň 300.000 na podporu kultúry v kraji (BSK/Nadácia TB)</w:t>
      </w:r>
    </w:p>
    <w:p w14:paraId="2AE59F5D" w14:textId="77777777" w:rsidR="00E17BB8" w:rsidRDefault="00E17BB8" w:rsidP="00E17BB8">
      <w:pPr>
        <w:spacing w:after="0" w:line="240" w:lineRule="auto"/>
        <w:jc w:val="both"/>
        <w:textAlignment w:val="baseline"/>
        <w:rPr>
          <w:rFonts w:cstheme="minorHAnsi"/>
          <w:lang w:eastAsia="sk-SK"/>
        </w:rPr>
      </w:pPr>
      <w:proofErr w:type="spellStart"/>
      <w:r>
        <w:rPr>
          <w:rFonts w:cstheme="minorHAnsi"/>
          <w:lang w:eastAsia="sk-SK"/>
        </w:rPr>
        <w:t>Deinštitucionalizácia</w:t>
      </w:r>
      <w:proofErr w:type="spellEnd"/>
      <w:r>
        <w:rPr>
          <w:rFonts w:cstheme="minorHAnsi"/>
          <w:lang w:eastAsia="sk-SK"/>
        </w:rPr>
        <w:t xml:space="preserve"> zariadení sociálnych služieb</w:t>
      </w:r>
    </w:p>
    <w:p w14:paraId="461F80EF"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Kampaň 17. november</w:t>
      </w:r>
    </w:p>
    <w:p w14:paraId="41A23BF9" w14:textId="77777777" w:rsidR="00E17BB8" w:rsidRDefault="00E17BB8" w:rsidP="00E17BB8">
      <w:pPr>
        <w:spacing w:after="0" w:line="240" w:lineRule="auto"/>
        <w:jc w:val="both"/>
        <w:textAlignment w:val="baseline"/>
        <w:rPr>
          <w:rFonts w:cstheme="minorHAnsi"/>
          <w:lang w:eastAsia="sk-SK"/>
        </w:rPr>
      </w:pPr>
    </w:p>
    <w:p w14:paraId="07E38F8F" w14:textId="77777777" w:rsidR="00E17BB8" w:rsidRDefault="00E17BB8" w:rsidP="00E17BB8">
      <w:pPr>
        <w:spacing w:after="0" w:line="240" w:lineRule="auto"/>
        <w:jc w:val="both"/>
        <w:textAlignment w:val="baseline"/>
        <w:rPr>
          <w:rFonts w:cstheme="minorHAnsi"/>
          <w:b/>
          <w:bCs/>
          <w:lang w:eastAsia="sk-SK"/>
        </w:rPr>
      </w:pPr>
      <w:r>
        <w:rPr>
          <w:rFonts w:cstheme="minorHAnsi"/>
          <w:b/>
          <w:bCs/>
          <w:lang w:eastAsia="sk-SK"/>
        </w:rPr>
        <w:t>PROJEKTY</w:t>
      </w:r>
    </w:p>
    <w:p w14:paraId="40071B18"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 xml:space="preserve">Konferencia </w:t>
      </w:r>
      <w:proofErr w:type="spellStart"/>
      <w:r>
        <w:rPr>
          <w:rFonts w:cstheme="minorHAnsi"/>
          <w:lang w:eastAsia="sk-SK"/>
        </w:rPr>
        <w:t>Herritage</w:t>
      </w:r>
      <w:proofErr w:type="spellEnd"/>
      <w:r>
        <w:rPr>
          <w:rFonts w:cstheme="minorHAnsi"/>
          <w:lang w:eastAsia="sk-SK"/>
        </w:rPr>
        <w:t xml:space="preserve"> (propagácia) </w:t>
      </w:r>
    </w:p>
    <w:p w14:paraId="6BA73FC2" w14:textId="77777777" w:rsidR="00E17BB8" w:rsidRDefault="00E17BB8" w:rsidP="00E17BB8">
      <w:pPr>
        <w:spacing w:after="0" w:line="240" w:lineRule="auto"/>
        <w:jc w:val="both"/>
        <w:textAlignment w:val="baseline"/>
        <w:rPr>
          <w:rFonts w:cstheme="minorHAnsi"/>
          <w:lang w:eastAsia="sk-SK"/>
        </w:rPr>
      </w:pPr>
      <w:proofErr w:type="spellStart"/>
      <w:r>
        <w:rPr>
          <w:rFonts w:cstheme="minorHAnsi"/>
          <w:lang w:eastAsia="sk-SK"/>
        </w:rPr>
        <w:t>Ecoregion</w:t>
      </w:r>
      <w:proofErr w:type="spellEnd"/>
      <w:r>
        <w:rPr>
          <w:rFonts w:cstheme="minorHAnsi"/>
          <w:lang w:eastAsia="sk-SK"/>
        </w:rPr>
        <w:t xml:space="preserve"> – PR kampaň</w:t>
      </w:r>
    </w:p>
    <w:p w14:paraId="0A45DFBA"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Spustenie novej webstránky BratislavskyKraj.sk</w:t>
      </w:r>
    </w:p>
    <w:p w14:paraId="35A4ABED"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Povinné inzercie/zverejňovanie v rámci strategických projektov (PUM)</w:t>
      </w:r>
    </w:p>
    <w:p w14:paraId="09647646"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Senecká synagóga</w:t>
      </w:r>
    </w:p>
    <w:p w14:paraId="6E1A005E" w14:textId="77777777" w:rsidR="00E17BB8" w:rsidRDefault="00E17BB8" w:rsidP="00E17BB8">
      <w:pPr>
        <w:spacing w:after="0" w:line="240" w:lineRule="auto"/>
        <w:jc w:val="both"/>
        <w:textAlignment w:val="baseline"/>
        <w:rPr>
          <w:rFonts w:cstheme="minorHAnsi"/>
          <w:lang w:eastAsia="sk-SK"/>
        </w:rPr>
      </w:pPr>
      <w:proofErr w:type="spellStart"/>
      <w:r>
        <w:rPr>
          <w:rFonts w:cstheme="minorHAnsi"/>
          <w:lang w:eastAsia="sk-SK"/>
        </w:rPr>
        <w:t>Ekocentrum</w:t>
      </w:r>
      <w:proofErr w:type="spellEnd"/>
      <w:r>
        <w:rPr>
          <w:rFonts w:cstheme="minorHAnsi"/>
          <w:lang w:eastAsia="sk-SK"/>
        </w:rPr>
        <w:t xml:space="preserve"> Čunovo</w:t>
      </w:r>
    </w:p>
    <w:p w14:paraId="768D050A" w14:textId="77777777" w:rsidR="00E17BB8" w:rsidRDefault="00E17BB8" w:rsidP="00E17BB8">
      <w:pPr>
        <w:spacing w:after="0" w:line="240" w:lineRule="auto"/>
        <w:jc w:val="both"/>
        <w:textAlignment w:val="baseline"/>
        <w:rPr>
          <w:rFonts w:cstheme="minorHAnsi"/>
          <w:b/>
          <w:bCs/>
          <w:lang w:eastAsia="sk-SK"/>
        </w:rPr>
      </w:pPr>
    </w:p>
    <w:p w14:paraId="1B074A3E" w14:textId="77777777" w:rsidR="00E17BB8" w:rsidRDefault="00E17BB8" w:rsidP="00E17BB8">
      <w:pPr>
        <w:spacing w:after="0" w:line="240" w:lineRule="auto"/>
        <w:jc w:val="both"/>
        <w:textAlignment w:val="baseline"/>
        <w:rPr>
          <w:rFonts w:cstheme="minorHAnsi"/>
          <w:b/>
          <w:bCs/>
          <w:lang w:eastAsia="sk-SK"/>
        </w:rPr>
      </w:pPr>
      <w:r>
        <w:rPr>
          <w:rFonts w:cstheme="minorHAnsi"/>
          <w:b/>
          <w:bCs/>
          <w:lang w:eastAsia="sk-SK"/>
        </w:rPr>
        <w:t>PROJEKTY NA WEBE: </w:t>
      </w:r>
    </w:p>
    <w:p w14:paraId="01B7FEE0" w14:textId="77777777" w:rsidR="00E17BB8" w:rsidRDefault="00A711BC" w:rsidP="00E17BB8">
      <w:pPr>
        <w:spacing w:after="0" w:line="240" w:lineRule="auto"/>
        <w:jc w:val="both"/>
        <w:textAlignment w:val="baseline"/>
        <w:rPr>
          <w:rFonts w:cstheme="minorHAnsi"/>
          <w:lang w:eastAsia="sk-SK"/>
        </w:rPr>
      </w:pPr>
      <w:hyperlink r:id="rId31" w:tgtFrame="_blank" w:history="1">
        <w:r w:rsidR="00E17BB8">
          <w:rPr>
            <w:rStyle w:val="Hypertextovprepojenie"/>
            <w:rFonts w:cstheme="minorHAnsi"/>
            <w:color w:val="0563C1"/>
          </w:rPr>
          <w:t>http://bratislavskykraj.sk/koronavirus/</w:t>
        </w:r>
      </w:hyperlink>
      <w:r w:rsidR="00E17BB8">
        <w:rPr>
          <w:rFonts w:cstheme="minorHAnsi"/>
          <w:lang w:eastAsia="sk-SK"/>
        </w:rPr>
        <w:t> </w:t>
      </w:r>
    </w:p>
    <w:p w14:paraId="0AB97C65" w14:textId="77777777" w:rsidR="00E17BB8" w:rsidRDefault="00A711BC" w:rsidP="00E17BB8">
      <w:pPr>
        <w:spacing w:after="0" w:line="240" w:lineRule="auto"/>
        <w:jc w:val="both"/>
        <w:textAlignment w:val="baseline"/>
        <w:rPr>
          <w:rFonts w:cstheme="minorHAnsi"/>
          <w:lang w:eastAsia="sk-SK"/>
        </w:rPr>
      </w:pPr>
      <w:hyperlink r:id="rId32" w:tgtFrame="_blank" w:history="1">
        <w:r w:rsidR="00E17BB8">
          <w:rPr>
            <w:rStyle w:val="Hypertextovprepojenie"/>
            <w:rFonts w:cstheme="minorHAnsi"/>
            <w:color w:val="0563C1"/>
          </w:rPr>
          <w:t>https://bratislavskykraj.sk/stredna-pre-mna/</w:t>
        </w:r>
      </w:hyperlink>
      <w:r w:rsidR="00E17BB8">
        <w:rPr>
          <w:rFonts w:cstheme="minorHAnsi"/>
          <w:lang w:eastAsia="sk-SK"/>
        </w:rPr>
        <w:t> </w:t>
      </w:r>
    </w:p>
    <w:p w14:paraId="08E5D7D5" w14:textId="77777777" w:rsidR="00E17BB8" w:rsidRDefault="00A711BC" w:rsidP="00E17BB8">
      <w:pPr>
        <w:spacing w:after="0" w:line="240" w:lineRule="auto"/>
        <w:jc w:val="both"/>
        <w:textAlignment w:val="baseline"/>
        <w:rPr>
          <w:rFonts w:cstheme="minorHAnsi"/>
          <w:lang w:eastAsia="sk-SK"/>
        </w:rPr>
      </w:pPr>
      <w:hyperlink r:id="rId33" w:tgtFrame="_blank" w:history="1">
        <w:r w:rsidR="00E17BB8">
          <w:rPr>
            <w:rStyle w:val="Hypertextovprepojenie"/>
            <w:rFonts w:cstheme="minorHAnsi"/>
            <w:color w:val="0563C1"/>
          </w:rPr>
          <w:t>https://bratislavskykraj.sk/pomozme-si/</w:t>
        </w:r>
      </w:hyperlink>
      <w:r w:rsidR="00E17BB8">
        <w:rPr>
          <w:rFonts w:cstheme="minorHAnsi"/>
          <w:color w:val="0563C1"/>
          <w:u w:val="single"/>
          <w:lang w:eastAsia="sk-SK"/>
        </w:rPr>
        <w:t> </w:t>
      </w:r>
      <w:r w:rsidR="00E17BB8">
        <w:rPr>
          <w:rFonts w:cstheme="minorHAnsi"/>
          <w:color w:val="0563C1"/>
          <w:lang w:eastAsia="sk-SK"/>
        </w:rPr>
        <w:t> </w:t>
      </w:r>
    </w:p>
    <w:p w14:paraId="7495C621" w14:textId="77777777" w:rsidR="00E17BB8" w:rsidRDefault="00E17BB8" w:rsidP="00E17BB8">
      <w:pPr>
        <w:spacing w:after="0" w:line="240" w:lineRule="auto"/>
        <w:jc w:val="both"/>
        <w:textAlignment w:val="baseline"/>
        <w:rPr>
          <w:rFonts w:cstheme="minorHAnsi"/>
          <w:lang w:eastAsia="sk-SK"/>
        </w:rPr>
      </w:pPr>
      <w:r>
        <w:rPr>
          <w:rFonts w:cstheme="minorHAnsi"/>
          <w:color w:val="0563C1"/>
          <w:u w:val="single"/>
          <w:lang w:eastAsia="sk-SK"/>
        </w:rPr>
        <w:t>https://bratislavskykraj.sk/divadlo-arena/</w:t>
      </w:r>
      <w:r>
        <w:rPr>
          <w:rFonts w:cstheme="minorHAnsi"/>
          <w:color w:val="0563C1"/>
          <w:lang w:eastAsia="sk-SK"/>
        </w:rPr>
        <w:t> </w:t>
      </w:r>
    </w:p>
    <w:p w14:paraId="30DEE70A" w14:textId="77777777" w:rsidR="00E17BB8" w:rsidRDefault="00A711BC" w:rsidP="00E17BB8">
      <w:pPr>
        <w:spacing w:after="0" w:line="240" w:lineRule="auto"/>
        <w:jc w:val="both"/>
        <w:textAlignment w:val="baseline"/>
        <w:rPr>
          <w:rFonts w:cstheme="minorHAnsi"/>
          <w:lang w:eastAsia="sk-SK"/>
        </w:rPr>
      </w:pPr>
      <w:hyperlink r:id="rId34" w:tgtFrame="_blank" w:history="1">
        <w:r w:rsidR="00E17BB8">
          <w:rPr>
            <w:rStyle w:val="Hypertextovprepojenie"/>
            <w:rFonts w:cstheme="minorHAnsi"/>
            <w:color w:val="0563C1"/>
          </w:rPr>
          <w:t>https://bratislavskykraj.sk/urad-bsk/eurofondy-a-regionalny-rozvoj/</w:t>
        </w:r>
      </w:hyperlink>
      <w:r w:rsidR="00E17BB8">
        <w:rPr>
          <w:rFonts w:cstheme="minorHAnsi"/>
          <w:lang w:eastAsia="sk-SK"/>
        </w:rPr>
        <w:t> </w:t>
      </w:r>
    </w:p>
    <w:p w14:paraId="725231BD" w14:textId="77777777" w:rsidR="00E17BB8" w:rsidRDefault="00A711BC" w:rsidP="00E17BB8">
      <w:pPr>
        <w:spacing w:after="0" w:line="240" w:lineRule="auto"/>
        <w:jc w:val="both"/>
        <w:textAlignment w:val="baseline"/>
        <w:rPr>
          <w:rFonts w:cstheme="minorHAnsi"/>
          <w:lang w:eastAsia="sk-SK"/>
        </w:rPr>
      </w:pPr>
      <w:hyperlink r:id="rId35" w:tgtFrame="_blank" w:history="1">
        <w:r w:rsidR="00E17BB8">
          <w:rPr>
            <w:rStyle w:val="Hypertextovprepojenie"/>
            <w:rFonts w:cstheme="minorHAnsi"/>
            <w:color w:val="0563C1"/>
          </w:rPr>
          <w:t>https://bratislavskykraj.sk/ocenenia-bratislavskeho-samospravneho-kraja/</w:t>
        </w:r>
      </w:hyperlink>
      <w:r w:rsidR="00E17BB8">
        <w:rPr>
          <w:rFonts w:cstheme="minorHAnsi"/>
          <w:lang w:eastAsia="sk-SK"/>
        </w:rPr>
        <w:t> </w:t>
      </w:r>
    </w:p>
    <w:p w14:paraId="564B07F6" w14:textId="77777777" w:rsidR="00E17BB8" w:rsidRDefault="00E17BB8" w:rsidP="00E17BB8">
      <w:pPr>
        <w:spacing w:after="0" w:line="240" w:lineRule="auto"/>
        <w:jc w:val="both"/>
        <w:textAlignment w:val="baseline"/>
        <w:rPr>
          <w:rFonts w:eastAsiaTheme="minorHAnsi" w:cstheme="minorHAnsi"/>
        </w:rPr>
      </w:pPr>
    </w:p>
    <w:p w14:paraId="177D3C37" w14:textId="77777777" w:rsidR="00E17BB8" w:rsidRDefault="00E17BB8" w:rsidP="00E17BB8">
      <w:pPr>
        <w:spacing w:after="0" w:line="240" w:lineRule="auto"/>
        <w:jc w:val="both"/>
        <w:textAlignment w:val="baseline"/>
        <w:rPr>
          <w:rFonts w:cstheme="minorHAnsi"/>
          <w:b/>
          <w:bCs/>
          <w:lang w:eastAsia="sk-SK"/>
        </w:rPr>
      </w:pPr>
      <w:r>
        <w:rPr>
          <w:rFonts w:cstheme="minorHAnsi"/>
          <w:b/>
          <w:bCs/>
          <w:lang w:eastAsia="sk-SK"/>
        </w:rPr>
        <w:t>OSTATNÉ</w:t>
      </w:r>
    </w:p>
    <w:p w14:paraId="3A7BC746"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Propagačná fotokniha Bratislavský kraj</w:t>
      </w:r>
    </w:p>
    <w:p w14:paraId="3998923C"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Nový dizajn časopisu Bratislavský kraj</w:t>
      </w:r>
    </w:p>
    <w:p w14:paraId="2D2EDE6A" w14:textId="77777777" w:rsidR="00E17BB8" w:rsidRDefault="00E17BB8" w:rsidP="00E17BB8">
      <w:pPr>
        <w:spacing w:after="0" w:line="240" w:lineRule="auto"/>
        <w:jc w:val="both"/>
        <w:textAlignment w:val="baseline"/>
        <w:rPr>
          <w:rFonts w:cstheme="minorHAnsi"/>
          <w:lang w:eastAsia="sk-SK"/>
        </w:rPr>
      </w:pPr>
      <w:proofErr w:type="spellStart"/>
      <w:r>
        <w:rPr>
          <w:rFonts w:cstheme="minorHAnsi"/>
          <w:lang w:eastAsia="sk-SK"/>
        </w:rPr>
        <w:t>Ecoregion</w:t>
      </w:r>
      <w:proofErr w:type="spellEnd"/>
      <w:r>
        <w:rPr>
          <w:rFonts w:cstheme="minorHAnsi"/>
          <w:lang w:eastAsia="sk-SK"/>
        </w:rPr>
        <w:t xml:space="preserve"> - tvorba loga a dizajn manuálu, </w:t>
      </w:r>
    </w:p>
    <w:p w14:paraId="7A176172" w14:textId="77777777" w:rsidR="00E17BB8" w:rsidRDefault="00E17BB8" w:rsidP="00E17BB8">
      <w:pPr>
        <w:spacing w:after="0" w:line="240" w:lineRule="auto"/>
        <w:jc w:val="both"/>
        <w:textAlignment w:val="baseline"/>
        <w:rPr>
          <w:rFonts w:cstheme="minorHAnsi"/>
          <w:lang w:eastAsia="sk-SK"/>
        </w:rPr>
      </w:pPr>
      <w:r>
        <w:rPr>
          <w:rFonts w:cstheme="minorHAnsi"/>
          <w:lang w:eastAsia="sk-SK"/>
        </w:rPr>
        <w:t>Distribúcia brožúry „Stredná pre mňa“ pre všetkých 9. ZŠ v Bratislavskom kraji</w:t>
      </w:r>
    </w:p>
    <w:p w14:paraId="3168C4AE" w14:textId="77777777" w:rsidR="00B105D8" w:rsidRDefault="00B105D8" w:rsidP="006A1B21">
      <w:pPr>
        <w:spacing w:before="100" w:beforeAutospacing="1" w:after="100" w:afterAutospacing="1" w:line="240" w:lineRule="auto"/>
        <w:jc w:val="both"/>
        <w:rPr>
          <w:rFonts w:cstheme="minorHAnsi"/>
          <w:lang w:eastAsia="sk-SK"/>
        </w:rPr>
      </w:pPr>
    </w:p>
    <w:p w14:paraId="4A747901" w14:textId="77777777" w:rsidR="00827064" w:rsidRPr="00F13D89" w:rsidRDefault="00827064" w:rsidP="00827064">
      <w:pPr>
        <w:spacing w:before="100" w:beforeAutospacing="1" w:after="100" w:afterAutospacing="1" w:line="240" w:lineRule="auto"/>
        <w:outlineLvl w:val="1"/>
        <w:rPr>
          <w:b/>
          <w:bCs/>
          <w:color w:val="880000"/>
          <w:sz w:val="36"/>
          <w:szCs w:val="36"/>
          <w:lang w:eastAsia="sk-SK"/>
        </w:rPr>
      </w:pPr>
      <w:r w:rsidRPr="00F13D89">
        <w:rPr>
          <w:b/>
          <w:bCs/>
          <w:color w:val="880000"/>
          <w:sz w:val="36"/>
          <w:szCs w:val="36"/>
          <w:lang w:eastAsia="sk-SK"/>
        </w:rPr>
        <w:t>Program 3: Interné služby</w:t>
      </w:r>
    </w:p>
    <w:p w14:paraId="7152E803" w14:textId="77777777" w:rsidR="00827064" w:rsidRPr="00F13D89" w:rsidRDefault="00827064" w:rsidP="00827064">
      <w:pPr>
        <w:spacing w:before="100" w:beforeAutospacing="1" w:after="100" w:afterAutospacing="1" w:line="240" w:lineRule="auto"/>
        <w:rPr>
          <w:sz w:val="24"/>
          <w:szCs w:val="24"/>
          <w:lang w:eastAsia="sk-SK"/>
        </w:rPr>
      </w:pPr>
      <w:r w:rsidRPr="00F13D89">
        <w:rPr>
          <w:b/>
          <w:bCs/>
          <w:sz w:val="24"/>
          <w:szCs w:val="24"/>
          <w:lang w:eastAsia="sk-SK"/>
        </w:rPr>
        <w:t xml:space="preserve">Zámer: </w:t>
      </w:r>
      <w:r w:rsidRPr="00F13D89">
        <w:rPr>
          <w:sz w:val="24"/>
          <w:szCs w:val="24"/>
          <w:lang w:eastAsia="sk-SK"/>
        </w:rPr>
        <w:t>Plynulý a efektívny chod úradu BSK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364"/>
        <w:gridCol w:w="2023"/>
        <w:gridCol w:w="1362"/>
        <w:gridCol w:w="1421"/>
        <w:gridCol w:w="1219"/>
        <w:gridCol w:w="1027"/>
        <w:gridCol w:w="2050"/>
      </w:tblGrid>
      <w:tr w:rsidR="00827064" w:rsidRPr="00F13D89" w14:paraId="737A5E04" w14:textId="77777777" w:rsidTr="00827064">
        <w:trPr>
          <w:tblCellSpacing w:w="15" w:type="dxa"/>
        </w:trPr>
        <w:tc>
          <w:tcPr>
            <w:tcW w:w="0" w:type="auto"/>
            <w:shd w:val="clear" w:color="auto" w:fill="C6DBF7"/>
            <w:vAlign w:val="center"/>
            <w:hideMark/>
          </w:tcPr>
          <w:p w14:paraId="149BB454"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Kód EK</w:t>
            </w:r>
          </w:p>
        </w:tc>
        <w:tc>
          <w:tcPr>
            <w:tcW w:w="952" w:type="pct"/>
            <w:shd w:val="clear" w:color="auto" w:fill="C6DBF7"/>
            <w:vAlign w:val="center"/>
            <w:hideMark/>
          </w:tcPr>
          <w:p w14:paraId="3461AA19"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Ekonomická klasifikácia</w:t>
            </w:r>
          </w:p>
        </w:tc>
        <w:tc>
          <w:tcPr>
            <w:tcW w:w="655" w:type="pct"/>
            <w:shd w:val="clear" w:color="auto" w:fill="C6DBF7"/>
            <w:vAlign w:val="center"/>
            <w:hideMark/>
          </w:tcPr>
          <w:p w14:paraId="21C741AC"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Schválený</w:t>
            </w:r>
            <w:r w:rsidRPr="00F13D89">
              <w:rPr>
                <w:b/>
                <w:bCs/>
                <w:sz w:val="20"/>
                <w:szCs w:val="20"/>
                <w:lang w:eastAsia="sk-SK"/>
              </w:rPr>
              <w:br/>
              <w:t>rozpočet</w:t>
            </w:r>
            <w:r w:rsidRPr="00F13D89">
              <w:rPr>
                <w:b/>
                <w:bCs/>
                <w:sz w:val="20"/>
                <w:szCs w:val="20"/>
                <w:lang w:eastAsia="sk-SK"/>
              </w:rPr>
              <w:br/>
              <w:t>v EUR</w:t>
            </w:r>
          </w:p>
        </w:tc>
        <w:tc>
          <w:tcPr>
            <w:tcW w:w="684" w:type="pct"/>
            <w:shd w:val="clear" w:color="auto" w:fill="C6DBF7"/>
            <w:vAlign w:val="center"/>
            <w:hideMark/>
          </w:tcPr>
          <w:p w14:paraId="742F2CFC"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Zmenený</w:t>
            </w:r>
            <w:r w:rsidRPr="00F13D89">
              <w:rPr>
                <w:b/>
                <w:bCs/>
                <w:sz w:val="20"/>
                <w:szCs w:val="20"/>
                <w:lang w:eastAsia="sk-SK"/>
              </w:rPr>
              <w:br/>
              <w:t>rozpočet</w:t>
            </w:r>
            <w:r w:rsidRPr="00F13D89">
              <w:rPr>
                <w:b/>
                <w:bCs/>
                <w:sz w:val="20"/>
                <w:szCs w:val="20"/>
                <w:lang w:eastAsia="sk-SK"/>
              </w:rPr>
              <w:br/>
              <w:t>v EUR</w:t>
            </w:r>
          </w:p>
        </w:tc>
        <w:tc>
          <w:tcPr>
            <w:tcW w:w="585" w:type="pct"/>
            <w:shd w:val="clear" w:color="auto" w:fill="C6DBF7"/>
            <w:vAlign w:val="center"/>
            <w:hideMark/>
          </w:tcPr>
          <w:p w14:paraId="50DDC704"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Čerpanie</w:t>
            </w:r>
            <w:r w:rsidRPr="00F13D89">
              <w:rPr>
                <w:b/>
                <w:bCs/>
                <w:sz w:val="20"/>
                <w:szCs w:val="20"/>
                <w:lang w:eastAsia="sk-SK"/>
              </w:rPr>
              <w:br/>
              <w:t>v EUR</w:t>
            </w:r>
          </w:p>
        </w:tc>
        <w:tc>
          <w:tcPr>
            <w:tcW w:w="491" w:type="pct"/>
            <w:shd w:val="clear" w:color="auto" w:fill="C6DBF7"/>
            <w:vAlign w:val="center"/>
            <w:hideMark/>
          </w:tcPr>
          <w:p w14:paraId="6728CDE0"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Čerpanie</w:t>
            </w:r>
            <w:r w:rsidRPr="00F13D89">
              <w:rPr>
                <w:b/>
                <w:bCs/>
                <w:sz w:val="20"/>
                <w:szCs w:val="20"/>
                <w:lang w:eastAsia="sk-SK"/>
              </w:rPr>
              <w:br/>
              <w:t xml:space="preserve">k </w:t>
            </w:r>
            <w:proofErr w:type="spellStart"/>
            <w:r w:rsidRPr="00F13D89">
              <w:rPr>
                <w:b/>
                <w:bCs/>
                <w:sz w:val="20"/>
                <w:szCs w:val="20"/>
                <w:lang w:eastAsia="sk-SK"/>
              </w:rPr>
              <w:t>zmen</w:t>
            </w:r>
            <w:proofErr w:type="spellEnd"/>
            <w:r w:rsidRPr="00F13D89">
              <w:rPr>
                <w:b/>
                <w:bCs/>
                <w:sz w:val="20"/>
                <w:szCs w:val="20"/>
                <w:lang w:eastAsia="sk-SK"/>
              </w:rPr>
              <w:t xml:space="preserve">. </w:t>
            </w:r>
            <w:proofErr w:type="spellStart"/>
            <w:r w:rsidRPr="00F13D89">
              <w:rPr>
                <w:b/>
                <w:bCs/>
                <w:sz w:val="20"/>
                <w:szCs w:val="20"/>
                <w:lang w:eastAsia="sk-SK"/>
              </w:rPr>
              <w:t>rozp</w:t>
            </w:r>
            <w:proofErr w:type="spellEnd"/>
            <w:r w:rsidRPr="00F13D89">
              <w:rPr>
                <w:b/>
                <w:bCs/>
                <w:sz w:val="20"/>
                <w:szCs w:val="20"/>
                <w:lang w:eastAsia="sk-SK"/>
              </w:rPr>
              <w:t>.</w:t>
            </w:r>
            <w:r w:rsidRPr="00F13D89">
              <w:rPr>
                <w:b/>
                <w:bCs/>
                <w:sz w:val="20"/>
                <w:szCs w:val="20"/>
                <w:lang w:eastAsia="sk-SK"/>
              </w:rPr>
              <w:br/>
              <w:t>v %</w:t>
            </w:r>
          </w:p>
        </w:tc>
        <w:tc>
          <w:tcPr>
            <w:tcW w:w="984" w:type="pct"/>
            <w:shd w:val="clear" w:color="auto" w:fill="C6DBF7"/>
            <w:vAlign w:val="center"/>
            <w:hideMark/>
          </w:tcPr>
          <w:p w14:paraId="236EFA05"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Zmeny rozpočtu</w:t>
            </w:r>
          </w:p>
        </w:tc>
      </w:tr>
      <w:tr w:rsidR="00827064" w:rsidRPr="00F13D89" w14:paraId="3DCD93F8" w14:textId="77777777" w:rsidTr="00827064">
        <w:trPr>
          <w:tblCellSpacing w:w="15" w:type="dxa"/>
        </w:trPr>
        <w:tc>
          <w:tcPr>
            <w:tcW w:w="0" w:type="auto"/>
            <w:shd w:val="clear" w:color="auto" w:fill="D9D9D9"/>
            <w:noWrap/>
            <w:vAlign w:val="center"/>
            <w:hideMark/>
          </w:tcPr>
          <w:p w14:paraId="3875B53E" w14:textId="77777777" w:rsidR="00827064" w:rsidRPr="00F13D89" w:rsidRDefault="00827064" w:rsidP="00827064">
            <w:pPr>
              <w:spacing w:after="0" w:line="240" w:lineRule="auto"/>
              <w:jc w:val="center"/>
              <w:rPr>
                <w:sz w:val="24"/>
                <w:szCs w:val="24"/>
                <w:lang w:eastAsia="sk-SK"/>
              </w:rPr>
            </w:pPr>
          </w:p>
        </w:tc>
        <w:tc>
          <w:tcPr>
            <w:tcW w:w="0" w:type="auto"/>
            <w:shd w:val="clear" w:color="auto" w:fill="D9D9D9"/>
            <w:vAlign w:val="center"/>
            <w:hideMark/>
          </w:tcPr>
          <w:p w14:paraId="16B6D3AF" w14:textId="77777777" w:rsidR="00827064" w:rsidRPr="00F13D89" w:rsidRDefault="00827064" w:rsidP="00827064">
            <w:pPr>
              <w:spacing w:after="0" w:line="240" w:lineRule="auto"/>
              <w:rPr>
                <w:sz w:val="24"/>
                <w:szCs w:val="24"/>
                <w:lang w:eastAsia="sk-SK"/>
              </w:rPr>
            </w:pPr>
            <w:r w:rsidRPr="00F13D89">
              <w:rPr>
                <w:b/>
                <w:bCs/>
                <w:sz w:val="20"/>
                <w:szCs w:val="20"/>
                <w:lang w:eastAsia="sk-SK"/>
              </w:rPr>
              <w:t>Výdavky celkom</w:t>
            </w:r>
            <w:r w:rsidRPr="00F13D89">
              <w:rPr>
                <w:sz w:val="24"/>
                <w:szCs w:val="24"/>
                <w:lang w:eastAsia="sk-SK"/>
              </w:rPr>
              <w:t xml:space="preserve"> </w:t>
            </w:r>
          </w:p>
        </w:tc>
        <w:tc>
          <w:tcPr>
            <w:tcW w:w="655" w:type="pct"/>
            <w:shd w:val="clear" w:color="auto" w:fill="D9D9D9"/>
            <w:noWrap/>
            <w:vAlign w:val="center"/>
            <w:hideMark/>
          </w:tcPr>
          <w:p w14:paraId="7EE390F9" w14:textId="77777777" w:rsidR="00827064" w:rsidRPr="007E3A1E" w:rsidRDefault="00827064" w:rsidP="00827064">
            <w:pPr>
              <w:spacing w:after="0" w:line="240" w:lineRule="auto"/>
              <w:jc w:val="right"/>
              <w:rPr>
                <w:sz w:val="24"/>
                <w:szCs w:val="24"/>
                <w:lang w:eastAsia="sk-SK"/>
              </w:rPr>
            </w:pPr>
            <w:r w:rsidRPr="007E3A1E">
              <w:rPr>
                <w:b/>
                <w:bCs/>
                <w:sz w:val="20"/>
                <w:szCs w:val="20"/>
                <w:lang w:eastAsia="sk-SK"/>
              </w:rPr>
              <w:t>22 148 728,04</w:t>
            </w:r>
            <w:r w:rsidRPr="007E3A1E">
              <w:rPr>
                <w:sz w:val="24"/>
                <w:szCs w:val="24"/>
                <w:lang w:eastAsia="sk-SK"/>
              </w:rPr>
              <w:t xml:space="preserve"> </w:t>
            </w:r>
          </w:p>
        </w:tc>
        <w:tc>
          <w:tcPr>
            <w:tcW w:w="684" w:type="pct"/>
            <w:shd w:val="clear" w:color="auto" w:fill="D9D9D9"/>
            <w:noWrap/>
            <w:vAlign w:val="center"/>
            <w:hideMark/>
          </w:tcPr>
          <w:p w14:paraId="7B3DADB2" w14:textId="77777777" w:rsidR="00827064" w:rsidRPr="007E3A1E" w:rsidRDefault="00827064" w:rsidP="00827064">
            <w:pPr>
              <w:spacing w:after="0" w:line="240" w:lineRule="auto"/>
              <w:jc w:val="right"/>
              <w:rPr>
                <w:sz w:val="24"/>
                <w:szCs w:val="24"/>
                <w:lang w:eastAsia="sk-SK"/>
              </w:rPr>
            </w:pPr>
            <w:r w:rsidRPr="007E3A1E">
              <w:rPr>
                <w:b/>
                <w:bCs/>
                <w:sz w:val="20"/>
                <w:szCs w:val="20"/>
                <w:lang w:eastAsia="sk-SK"/>
              </w:rPr>
              <w:t>20 836 728,04</w:t>
            </w:r>
            <w:r w:rsidRPr="007E3A1E">
              <w:rPr>
                <w:sz w:val="24"/>
                <w:szCs w:val="24"/>
                <w:lang w:eastAsia="sk-SK"/>
              </w:rPr>
              <w:t xml:space="preserve"> </w:t>
            </w:r>
          </w:p>
        </w:tc>
        <w:tc>
          <w:tcPr>
            <w:tcW w:w="585" w:type="pct"/>
            <w:shd w:val="clear" w:color="auto" w:fill="D9D9D9"/>
            <w:noWrap/>
            <w:vAlign w:val="center"/>
            <w:hideMark/>
          </w:tcPr>
          <w:p w14:paraId="083D6EA4" w14:textId="77777777" w:rsidR="00827064" w:rsidRPr="007E3A1E" w:rsidRDefault="00827064" w:rsidP="00827064">
            <w:pPr>
              <w:spacing w:after="0" w:line="240" w:lineRule="auto"/>
              <w:jc w:val="right"/>
              <w:rPr>
                <w:sz w:val="24"/>
                <w:szCs w:val="24"/>
                <w:lang w:eastAsia="sk-SK"/>
              </w:rPr>
            </w:pPr>
            <w:r w:rsidRPr="007E3A1E">
              <w:rPr>
                <w:b/>
                <w:bCs/>
                <w:sz w:val="20"/>
                <w:szCs w:val="20"/>
                <w:lang w:eastAsia="sk-SK"/>
              </w:rPr>
              <w:t>10 442 470,73</w:t>
            </w:r>
            <w:r w:rsidRPr="007E3A1E">
              <w:rPr>
                <w:sz w:val="24"/>
                <w:szCs w:val="24"/>
                <w:lang w:eastAsia="sk-SK"/>
              </w:rPr>
              <w:t xml:space="preserve"> </w:t>
            </w:r>
          </w:p>
        </w:tc>
        <w:tc>
          <w:tcPr>
            <w:tcW w:w="491" w:type="pct"/>
            <w:shd w:val="clear" w:color="auto" w:fill="D9D9D9"/>
            <w:noWrap/>
            <w:vAlign w:val="center"/>
            <w:hideMark/>
          </w:tcPr>
          <w:p w14:paraId="37CA4F7D" w14:textId="77777777" w:rsidR="00827064" w:rsidRPr="00AB0238" w:rsidRDefault="00827064" w:rsidP="00827064">
            <w:pPr>
              <w:spacing w:after="0" w:line="240" w:lineRule="auto"/>
              <w:jc w:val="right"/>
              <w:rPr>
                <w:color w:val="FF0000"/>
                <w:sz w:val="24"/>
                <w:szCs w:val="24"/>
                <w:lang w:eastAsia="sk-SK"/>
              </w:rPr>
            </w:pPr>
            <w:r w:rsidRPr="007E3A1E">
              <w:rPr>
                <w:b/>
                <w:bCs/>
                <w:sz w:val="20"/>
                <w:szCs w:val="20"/>
                <w:lang w:eastAsia="sk-SK"/>
              </w:rPr>
              <w:t>50,12</w:t>
            </w:r>
            <w:r w:rsidRPr="007E3A1E">
              <w:rPr>
                <w:sz w:val="24"/>
                <w:szCs w:val="24"/>
                <w:lang w:eastAsia="sk-SK"/>
              </w:rPr>
              <w:t xml:space="preserve"> </w:t>
            </w:r>
          </w:p>
        </w:tc>
        <w:tc>
          <w:tcPr>
            <w:tcW w:w="984" w:type="pct"/>
            <w:vMerge w:val="restart"/>
            <w:shd w:val="clear" w:color="auto" w:fill="D9D9D9"/>
            <w:vAlign w:val="center"/>
            <w:hideMark/>
          </w:tcPr>
          <w:p w14:paraId="675833F1" w14:textId="77777777" w:rsidR="00827064" w:rsidRPr="00F13D89" w:rsidRDefault="00827064" w:rsidP="00827064">
            <w:pPr>
              <w:spacing w:after="0" w:line="240" w:lineRule="auto"/>
              <w:jc w:val="center"/>
              <w:rPr>
                <w:sz w:val="24"/>
                <w:szCs w:val="24"/>
                <w:lang w:eastAsia="sk-SK"/>
              </w:rPr>
            </w:pPr>
            <w:r>
              <w:rPr>
                <w:rFonts w:cstheme="minorHAnsi"/>
                <w:b/>
                <w:sz w:val="18"/>
                <w:szCs w:val="18"/>
                <w:lang w:eastAsia="sk-SK"/>
              </w:rPr>
              <w:t>Zm</w:t>
            </w:r>
            <w:r w:rsidRPr="00E91FB2">
              <w:rPr>
                <w:rFonts w:cstheme="minorHAnsi"/>
                <w:b/>
                <w:sz w:val="18"/>
                <w:szCs w:val="18"/>
                <w:lang w:eastAsia="sk-SK"/>
              </w:rPr>
              <w:t>eny rozpočtu sa nachádzajú pri podprogramoch</w:t>
            </w:r>
          </w:p>
        </w:tc>
      </w:tr>
      <w:tr w:rsidR="00827064" w:rsidRPr="00F13D89" w14:paraId="24322717" w14:textId="77777777" w:rsidTr="00827064">
        <w:trPr>
          <w:tblCellSpacing w:w="15" w:type="dxa"/>
        </w:trPr>
        <w:tc>
          <w:tcPr>
            <w:tcW w:w="0" w:type="auto"/>
            <w:shd w:val="clear" w:color="auto" w:fill="D9D9D9"/>
            <w:noWrap/>
            <w:vAlign w:val="center"/>
            <w:hideMark/>
          </w:tcPr>
          <w:p w14:paraId="12B26EC2" w14:textId="77777777" w:rsidR="00827064" w:rsidRPr="00F13D89" w:rsidRDefault="00827064" w:rsidP="00827064">
            <w:pPr>
              <w:spacing w:after="0" w:line="240" w:lineRule="auto"/>
              <w:rPr>
                <w:sz w:val="24"/>
                <w:szCs w:val="24"/>
                <w:lang w:eastAsia="sk-SK"/>
              </w:rPr>
            </w:pPr>
            <w:r w:rsidRPr="00F13D89">
              <w:rPr>
                <w:b/>
                <w:bCs/>
                <w:sz w:val="20"/>
                <w:szCs w:val="20"/>
                <w:lang w:eastAsia="sk-SK"/>
              </w:rPr>
              <w:t>600</w:t>
            </w:r>
            <w:r w:rsidRPr="00F13D89">
              <w:rPr>
                <w:sz w:val="24"/>
                <w:szCs w:val="24"/>
                <w:lang w:eastAsia="sk-SK"/>
              </w:rPr>
              <w:t xml:space="preserve"> </w:t>
            </w:r>
          </w:p>
        </w:tc>
        <w:tc>
          <w:tcPr>
            <w:tcW w:w="0" w:type="auto"/>
            <w:shd w:val="clear" w:color="auto" w:fill="D9D9D9"/>
            <w:vAlign w:val="center"/>
            <w:hideMark/>
          </w:tcPr>
          <w:p w14:paraId="624FBDE6" w14:textId="77777777" w:rsidR="00827064" w:rsidRPr="00F13D89" w:rsidRDefault="00827064" w:rsidP="00827064">
            <w:pPr>
              <w:spacing w:after="0" w:line="240" w:lineRule="auto"/>
              <w:rPr>
                <w:sz w:val="24"/>
                <w:szCs w:val="24"/>
                <w:lang w:eastAsia="sk-SK"/>
              </w:rPr>
            </w:pPr>
            <w:r w:rsidRPr="00F13D89">
              <w:rPr>
                <w:b/>
                <w:bCs/>
                <w:sz w:val="20"/>
                <w:szCs w:val="20"/>
                <w:lang w:eastAsia="sk-SK"/>
              </w:rPr>
              <w:t>Bežné výdavky</w:t>
            </w:r>
            <w:r w:rsidRPr="00F13D89">
              <w:rPr>
                <w:sz w:val="24"/>
                <w:szCs w:val="24"/>
                <w:lang w:eastAsia="sk-SK"/>
              </w:rPr>
              <w:t xml:space="preserve"> </w:t>
            </w:r>
          </w:p>
        </w:tc>
        <w:tc>
          <w:tcPr>
            <w:tcW w:w="655" w:type="pct"/>
            <w:shd w:val="clear" w:color="auto" w:fill="D9D9D9"/>
            <w:noWrap/>
            <w:vAlign w:val="center"/>
            <w:hideMark/>
          </w:tcPr>
          <w:p w14:paraId="28350DF4" w14:textId="77777777" w:rsidR="00827064" w:rsidRPr="00D647DB" w:rsidRDefault="00827064" w:rsidP="00827064">
            <w:pPr>
              <w:spacing w:after="0" w:line="240" w:lineRule="auto"/>
              <w:jc w:val="right"/>
              <w:rPr>
                <w:sz w:val="24"/>
                <w:szCs w:val="24"/>
                <w:lang w:eastAsia="sk-SK"/>
              </w:rPr>
            </w:pPr>
            <w:r w:rsidRPr="00D647DB">
              <w:rPr>
                <w:b/>
                <w:bCs/>
                <w:sz w:val="20"/>
                <w:szCs w:val="20"/>
                <w:lang w:eastAsia="sk-SK"/>
              </w:rPr>
              <w:t>7 231 239,00</w:t>
            </w:r>
            <w:r w:rsidRPr="00D647DB">
              <w:rPr>
                <w:sz w:val="24"/>
                <w:szCs w:val="24"/>
                <w:lang w:eastAsia="sk-SK"/>
              </w:rPr>
              <w:t xml:space="preserve"> </w:t>
            </w:r>
          </w:p>
        </w:tc>
        <w:tc>
          <w:tcPr>
            <w:tcW w:w="684" w:type="pct"/>
            <w:shd w:val="clear" w:color="auto" w:fill="D9D9D9"/>
            <w:noWrap/>
            <w:vAlign w:val="center"/>
            <w:hideMark/>
          </w:tcPr>
          <w:p w14:paraId="1665049D" w14:textId="77777777" w:rsidR="00827064" w:rsidRPr="00D647DB" w:rsidRDefault="00827064" w:rsidP="00827064">
            <w:pPr>
              <w:spacing w:after="0" w:line="240" w:lineRule="auto"/>
              <w:jc w:val="right"/>
              <w:rPr>
                <w:sz w:val="24"/>
                <w:szCs w:val="24"/>
                <w:lang w:eastAsia="sk-SK"/>
              </w:rPr>
            </w:pPr>
            <w:r w:rsidRPr="00D647DB">
              <w:rPr>
                <w:b/>
                <w:bCs/>
                <w:sz w:val="20"/>
                <w:szCs w:val="20"/>
                <w:lang w:eastAsia="sk-SK"/>
              </w:rPr>
              <w:t>6 879 277,86</w:t>
            </w:r>
            <w:r w:rsidRPr="00D647DB">
              <w:rPr>
                <w:sz w:val="24"/>
                <w:szCs w:val="24"/>
                <w:lang w:eastAsia="sk-SK"/>
              </w:rPr>
              <w:t xml:space="preserve"> </w:t>
            </w:r>
          </w:p>
        </w:tc>
        <w:tc>
          <w:tcPr>
            <w:tcW w:w="585" w:type="pct"/>
            <w:shd w:val="clear" w:color="auto" w:fill="D9D9D9"/>
            <w:noWrap/>
            <w:vAlign w:val="center"/>
            <w:hideMark/>
          </w:tcPr>
          <w:p w14:paraId="3C6EACA3" w14:textId="77777777" w:rsidR="00827064" w:rsidRPr="00D647DB" w:rsidRDefault="00827064" w:rsidP="00827064">
            <w:pPr>
              <w:spacing w:after="0" w:line="240" w:lineRule="auto"/>
              <w:jc w:val="right"/>
              <w:rPr>
                <w:sz w:val="24"/>
                <w:szCs w:val="24"/>
                <w:lang w:eastAsia="sk-SK"/>
              </w:rPr>
            </w:pPr>
            <w:r w:rsidRPr="00D647DB">
              <w:rPr>
                <w:b/>
                <w:bCs/>
                <w:sz w:val="20"/>
                <w:szCs w:val="20"/>
                <w:lang w:eastAsia="sk-SK"/>
              </w:rPr>
              <w:t>5 092 566,20</w:t>
            </w:r>
            <w:r w:rsidRPr="00D647DB">
              <w:rPr>
                <w:sz w:val="24"/>
                <w:szCs w:val="24"/>
                <w:lang w:eastAsia="sk-SK"/>
              </w:rPr>
              <w:t xml:space="preserve"> </w:t>
            </w:r>
          </w:p>
        </w:tc>
        <w:tc>
          <w:tcPr>
            <w:tcW w:w="491" w:type="pct"/>
            <w:shd w:val="clear" w:color="auto" w:fill="D9D9D9"/>
            <w:noWrap/>
            <w:vAlign w:val="center"/>
            <w:hideMark/>
          </w:tcPr>
          <w:p w14:paraId="7CE1CC7E" w14:textId="77777777" w:rsidR="00827064" w:rsidRPr="00D647DB" w:rsidRDefault="00827064" w:rsidP="00827064">
            <w:pPr>
              <w:spacing w:after="0" w:line="240" w:lineRule="auto"/>
              <w:jc w:val="right"/>
              <w:rPr>
                <w:b/>
                <w:bCs/>
                <w:sz w:val="20"/>
                <w:szCs w:val="20"/>
                <w:lang w:eastAsia="sk-SK"/>
              </w:rPr>
            </w:pPr>
            <w:r w:rsidRPr="00D647DB">
              <w:rPr>
                <w:b/>
                <w:bCs/>
                <w:sz w:val="20"/>
                <w:szCs w:val="20"/>
                <w:lang w:eastAsia="sk-SK"/>
              </w:rPr>
              <w:t xml:space="preserve">74,03 </w:t>
            </w:r>
          </w:p>
        </w:tc>
        <w:tc>
          <w:tcPr>
            <w:tcW w:w="984" w:type="pct"/>
            <w:vMerge/>
            <w:shd w:val="clear" w:color="auto" w:fill="D9D9D9"/>
            <w:vAlign w:val="center"/>
            <w:hideMark/>
          </w:tcPr>
          <w:p w14:paraId="7D6EF176" w14:textId="77777777" w:rsidR="00827064" w:rsidRPr="00F13D89" w:rsidRDefault="00827064" w:rsidP="00827064">
            <w:pPr>
              <w:spacing w:after="0" w:line="240" w:lineRule="auto"/>
              <w:rPr>
                <w:sz w:val="24"/>
                <w:szCs w:val="24"/>
                <w:lang w:eastAsia="sk-SK"/>
              </w:rPr>
            </w:pPr>
          </w:p>
        </w:tc>
      </w:tr>
      <w:tr w:rsidR="00827064" w:rsidRPr="00F13D89" w14:paraId="4A081CBD" w14:textId="77777777" w:rsidTr="00827064">
        <w:trPr>
          <w:tblCellSpacing w:w="15" w:type="dxa"/>
        </w:trPr>
        <w:tc>
          <w:tcPr>
            <w:tcW w:w="0" w:type="auto"/>
            <w:shd w:val="clear" w:color="auto" w:fill="EFEFEF"/>
            <w:noWrap/>
            <w:vAlign w:val="center"/>
            <w:hideMark/>
          </w:tcPr>
          <w:p w14:paraId="33127480" w14:textId="77777777" w:rsidR="00827064" w:rsidRPr="00F13D89" w:rsidRDefault="00827064" w:rsidP="00827064">
            <w:pPr>
              <w:spacing w:after="0" w:line="240" w:lineRule="auto"/>
              <w:rPr>
                <w:sz w:val="24"/>
                <w:szCs w:val="24"/>
                <w:lang w:eastAsia="sk-SK"/>
              </w:rPr>
            </w:pPr>
            <w:r w:rsidRPr="00F13D89">
              <w:rPr>
                <w:sz w:val="20"/>
                <w:szCs w:val="20"/>
                <w:lang w:eastAsia="sk-SK"/>
              </w:rPr>
              <w:t>630</w:t>
            </w:r>
            <w:r w:rsidRPr="00F13D89">
              <w:rPr>
                <w:sz w:val="24"/>
                <w:szCs w:val="24"/>
                <w:lang w:eastAsia="sk-SK"/>
              </w:rPr>
              <w:t xml:space="preserve"> </w:t>
            </w:r>
          </w:p>
        </w:tc>
        <w:tc>
          <w:tcPr>
            <w:tcW w:w="0" w:type="auto"/>
            <w:shd w:val="clear" w:color="auto" w:fill="EFEFEF"/>
            <w:vAlign w:val="center"/>
            <w:hideMark/>
          </w:tcPr>
          <w:p w14:paraId="660C0F7D" w14:textId="77777777" w:rsidR="00827064" w:rsidRPr="00F13D89" w:rsidRDefault="00827064" w:rsidP="00827064">
            <w:pPr>
              <w:spacing w:after="0" w:line="240" w:lineRule="auto"/>
              <w:rPr>
                <w:sz w:val="24"/>
                <w:szCs w:val="24"/>
                <w:lang w:eastAsia="sk-SK"/>
              </w:rPr>
            </w:pPr>
            <w:r w:rsidRPr="00F13D89">
              <w:rPr>
                <w:sz w:val="20"/>
                <w:szCs w:val="20"/>
                <w:lang w:eastAsia="sk-SK"/>
              </w:rPr>
              <w:t>Tovary a služby</w:t>
            </w:r>
            <w:r w:rsidRPr="00F13D89">
              <w:rPr>
                <w:sz w:val="24"/>
                <w:szCs w:val="24"/>
                <w:lang w:eastAsia="sk-SK"/>
              </w:rPr>
              <w:t xml:space="preserve"> </w:t>
            </w:r>
          </w:p>
        </w:tc>
        <w:tc>
          <w:tcPr>
            <w:tcW w:w="655" w:type="pct"/>
            <w:shd w:val="clear" w:color="auto" w:fill="EFEFEF"/>
            <w:noWrap/>
            <w:vAlign w:val="center"/>
            <w:hideMark/>
          </w:tcPr>
          <w:p w14:paraId="77BB2911" w14:textId="77777777" w:rsidR="00827064" w:rsidRPr="00ED535E" w:rsidRDefault="00827064" w:rsidP="00827064">
            <w:pPr>
              <w:spacing w:after="0" w:line="240" w:lineRule="auto"/>
              <w:jc w:val="right"/>
              <w:rPr>
                <w:sz w:val="24"/>
                <w:szCs w:val="24"/>
                <w:lang w:eastAsia="sk-SK"/>
              </w:rPr>
            </w:pPr>
            <w:r w:rsidRPr="00ED535E">
              <w:rPr>
                <w:sz w:val="20"/>
                <w:szCs w:val="20"/>
                <w:lang w:eastAsia="sk-SK"/>
              </w:rPr>
              <w:t>7 231 239,00</w:t>
            </w:r>
            <w:r w:rsidRPr="00ED535E">
              <w:rPr>
                <w:sz w:val="24"/>
                <w:szCs w:val="24"/>
                <w:lang w:eastAsia="sk-SK"/>
              </w:rPr>
              <w:t xml:space="preserve"> </w:t>
            </w:r>
          </w:p>
        </w:tc>
        <w:tc>
          <w:tcPr>
            <w:tcW w:w="684" w:type="pct"/>
            <w:shd w:val="clear" w:color="auto" w:fill="EFEFEF"/>
            <w:noWrap/>
            <w:vAlign w:val="center"/>
            <w:hideMark/>
          </w:tcPr>
          <w:p w14:paraId="62235846" w14:textId="77777777" w:rsidR="00827064" w:rsidRPr="00ED535E" w:rsidRDefault="00827064" w:rsidP="00827064">
            <w:pPr>
              <w:spacing w:after="0" w:line="240" w:lineRule="auto"/>
              <w:jc w:val="right"/>
              <w:rPr>
                <w:sz w:val="24"/>
                <w:szCs w:val="24"/>
                <w:lang w:eastAsia="sk-SK"/>
              </w:rPr>
            </w:pPr>
            <w:r w:rsidRPr="00ED535E">
              <w:rPr>
                <w:sz w:val="20"/>
                <w:szCs w:val="20"/>
                <w:lang w:eastAsia="sk-SK"/>
              </w:rPr>
              <w:t>6 061 311,84</w:t>
            </w:r>
            <w:r w:rsidRPr="00ED535E">
              <w:rPr>
                <w:sz w:val="24"/>
                <w:szCs w:val="24"/>
                <w:lang w:eastAsia="sk-SK"/>
              </w:rPr>
              <w:t xml:space="preserve"> </w:t>
            </w:r>
          </w:p>
        </w:tc>
        <w:tc>
          <w:tcPr>
            <w:tcW w:w="585" w:type="pct"/>
            <w:shd w:val="clear" w:color="auto" w:fill="EFEFEF"/>
            <w:noWrap/>
            <w:vAlign w:val="center"/>
            <w:hideMark/>
          </w:tcPr>
          <w:p w14:paraId="00FE733D" w14:textId="77777777" w:rsidR="00827064" w:rsidRPr="00ED535E" w:rsidRDefault="00827064" w:rsidP="00827064">
            <w:pPr>
              <w:spacing w:after="0" w:line="240" w:lineRule="auto"/>
              <w:jc w:val="right"/>
              <w:rPr>
                <w:sz w:val="24"/>
                <w:szCs w:val="24"/>
                <w:lang w:eastAsia="sk-SK"/>
              </w:rPr>
            </w:pPr>
            <w:r w:rsidRPr="00ED535E">
              <w:rPr>
                <w:sz w:val="20"/>
                <w:szCs w:val="20"/>
                <w:lang w:eastAsia="sk-SK"/>
              </w:rPr>
              <w:t>4 546 403,00</w:t>
            </w:r>
            <w:r w:rsidRPr="00ED535E">
              <w:rPr>
                <w:sz w:val="24"/>
                <w:szCs w:val="24"/>
                <w:lang w:eastAsia="sk-SK"/>
              </w:rPr>
              <w:t xml:space="preserve"> </w:t>
            </w:r>
          </w:p>
        </w:tc>
        <w:tc>
          <w:tcPr>
            <w:tcW w:w="491" w:type="pct"/>
            <w:shd w:val="clear" w:color="auto" w:fill="EFEFEF"/>
            <w:noWrap/>
            <w:vAlign w:val="center"/>
          </w:tcPr>
          <w:p w14:paraId="3C979DAA" w14:textId="77777777" w:rsidR="00827064" w:rsidRPr="00ED535E" w:rsidRDefault="00827064" w:rsidP="00827064">
            <w:pPr>
              <w:spacing w:after="0" w:line="240" w:lineRule="auto"/>
              <w:jc w:val="right"/>
              <w:rPr>
                <w:sz w:val="24"/>
                <w:szCs w:val="24"/>
                <w:lang w:eastAsia="sk-SK"/>
              </w:rPr>
            </w:pPr>
            <w:r w:rsidRPr="00E470FE">
              <w:rPr>
                <w:sz w:val="20"/>
                <w:szCs w:val="20"/>
                <w:lang w:eastAsia="sk-SK"/>
              </w:rPr>
              <w:t>75,01</w:t>
            </w:r>
          </w:p>
        </w:tc>
        <w:tc>
          <w:tcPr>
            <w:tcW w:w="984" w:type="pct"/>
            <w:vMerge/>
            <w:shd w:val="clear" w:color="auto" w:fill="EFEFEF"/>
            <w:vAlign w:val="center"/>
            <w:hideMark/>
          </w:tcPr>
          <w:p w14:paraId="1F884692" w14:textId="77777777" w:rsidR="00827064" w:rsidRPr="00F13D89" w:rsidRDefault="00827064" w:rsidP="00827064">
            <w:pPr>
              <w:spacing w:after="0" w:line="240" w:lineRule="auto"/>
              <w:rPr>
                <w:sz w:val="24"/>
                <w:szCs w:val="24"/>
                <w:lang w:eastAsia="sk-SK"/>
              </w:rPr>
            </w:pPr>
          </w:p>
        </w:tc>
      </w:tr>
      <w:tr w:rsidR="00827064" w:rsidRPr="00F13D89" w14:paraId="6A1CC68C" w14:textId="77777777" w:rsidTr="00827064">
        <w:trPr>
          <w:tblCellSpacing w:w="15" w:type="dxa"/>
        </w:trPr>
        <w:tc>
          <w:tcPr>
            <w:tcW w:w="0" w:type="auto"/>
            <w:shd w:val="clear" w:color="auto" w:fill="EFEFEF"/>
            <w:noWrap/>
            <w:vAlign w:val="center"/>
          </w:tcPr>
          <w:p w14:paraId="3443665D" w14:textId="77777777" w:rsidR="00827064" w:rsidRPr="00F13D89" w:rsidRDefault="00827064" w:rsidP="00827064">
            <w:pPr>
              <w:spacing w:after="0" w:line="240" w:lineRule="auto"/>
              <w:rPr>
                <w:sz w:val="20"/>
                <w:szCs w:val="20"/>
                <w:lang w:eastAsia="sk-SK"/>
              </w:rPr>
            </w:pPr>
            <w:r>
              <w:rPr>
                <w:sz w:val="20"/>
                <w:szCs w:val="20"/>
                <w:lang w:eastAsia="sk-SK"/>
              </w:rPr>
              <w:t>640</w:t>
            </w:r>
          </w:p>
        </w:tc>
        <w:tc>
          <w:tcPr>
            <w:tcW w:w="0" w:type="auto"/>
            <w:shd w:val="clear" w:color="auto" w:fill="EFEFEF"/>
            <w:vAlign w:val="center"/>
          </w:tcPr>
          <w:p w14:paraId="18BAC040" w14:textId="77777777" w:rsidR="00827064" w:rsidRPr="00F13D89" w:rsidRDefault="00827064" w:rsidP="00827064">
            <w:pPr>
              <w:spacing w:after="0" w:line="240" w:lineRule="auto"/>
              <w:rPr>
                <w:sz w:val="20"/>
                <w:szCs w:val="20"/>
                <w:lang w:eastAsia="sk-SK"/>
              </w:rPr>
            </w:pPr>
            <w:r w:rsidRPr="00F13D89">
              <w:rPr>
                <w:sz w:val="20"/>
                <w:szCs w:val="20"/>
                <w:lang w:eastAsia="sk-SK"/>
              </w:rPr>
              <w:t>Bežné transfery</w:t>
            </w:r>
          </w:p>
        </w:tc>
        <w:tc>
          <w:tcPr>
            <w:tcW w:w="655" w:type="pct"/>
            <w:shd w:val="clear" w:color="auto" w:fill="EFEFEF"/>
            <w:noWrap/>
            <w:vAlign w:val="center"/>
          </w:tcPr>
          <w:p w14:paraId="4F6E0F25" w14:textId="77777777" w:rsidR="00827064" w:rsidRPr="00ED535E" w:rsidRDefault="00827064" w:rsidP="00827064">
            <w:pPr>
              <w:spacing w:after="0" w:line="240" w:lineRule="auto"/>
              <w:jc w:val="right"/>
              <w:rPr>
                <w:sz w:val="20"/>
                <w:szCs w:val="20"/>
                <w:lang w:eastAsia="sk-SK"/>
              </w:rPr>
            </w:pPr>
            <w:r w:rsidRPr="00ED535E">
              <w:rPr>
                <w:sz w:val="20"/>
                <w:szCs w:val="20"/>
                <w:lang w:eastAsia="sk-SK"/>
              </w:rPr>
              <w:t>0,00</w:t>
            </w:r>
          </w:p>
        </w:tc>
        <w:tc>
          <w:tcPr>
            <w:tcW w:w="684" w:type="pct"/>
            <w:shd w:val="clear" w:color="auto" w:fill="EFEFEF"/>
            <w:noWrap/>
            <w:vAlign w:val="center"/>
          </w:tcPr>
          <w:p w14:paraId="4C47EB9D" w14:textId="77777777" w:rsidR="00827064" w:rsidRPr="00ED535E" w:rsidRDefault="00827064" w:rsidP="00827064">
            <w:pPr>
              <w:spacing w:after="0" w:line="240" w:lineRule="auto"/>
              <w:jc w:val="right"/>
              <w:rPr>
                <w:sz w:val="20"/>
                <w:szCs w:val="20"/>
                <w:lang w:eastAsia="sk-SK"/>
              </w:rPr>
            </w:pPr>
            <w:r w:rsidRPr="00ED535E">
              <w:rPr>
                <w:sz w:val="20"/>
                <w:szCs w:val="20"/>
                <w:lang w:eastAsia="sk-SK"/>
              </w:rPr>
              <w:t>817 966,02</w:t>
            </w:r>
          </w:p>
        </w:tc>
        <w:tc>
          <w:tcPr>
            <w:tcW w:w="585" w:type="pct"/>
            <w:shd w:val="clear" w:color="auto" w:fill="EFEFEF"/>
            <w:noWrap/>
            <w:vAlign w:val="center"/>
          </w:tcPr>
          <w:p w14:paraId="7E26B275" w14:textId="77777777" w:rsidR="00827064" w:rsidRPr="00ED535E" w:rsidRDefault="00827064" w:rsidP="00827064">
            <w:pPr>
              <w:spacing w:after="0" w:line="240" w:lineRule="auto"/>
              <w:jc w:val="right"/>
              <w:rPr>
                <w:sz w:val="20"/>
                <w:szCs w:val="20"/>
                <w:lang w:eastAsia="sk-SK"/>
              </w:rPr>
            </w:pPr>
            <w:r w:rsidRPr="00ED535E">
              <w:rPr>
                <w:sz w:val="20"/>
                <w:szCs w:val="20"/>
                <w:lang w:eastAsia="sk-SK"/>
              </w:rPr>
              <w:t>546 163,20</w:t>
            </w:r>
          </w:p>
        </w:tc>
        <w:tc>
          <w:tcPr>
            <w:tcW w:w="491" w:type="pct"/>
            <w:shd w:val="clear" w:color="auto" w:fill="EFEFEF"/>
            <w:noWrap/>
            <w:vAlign w:val="center"/>
          </w:tcPr>
          <w:p w14:paraId="2D993D33" w14:textId="77777777" w:rsidR="00827064" w:rsidRPr="00ED535E" w:rsidRDefault="00827064" w:rsidP="00827064">
            <w:pPr>
              <w:spacing w:after="0" w:line="240" w:lineRule="auto"/>
              <w:jc w:val="right"/>
              <w:rPr>
                <w:sz w:val="20"/>
                <w:szCs w:val="20"/>
                <w:lang w:eastAsia="sk-SK"/>
              </w:rPr>
            </w:pPr>
            <w:r>
              <w:rPr>
                <w:sz w:val="20"/>
                <w:szCs w:val="20"/>
                <w:lang w:eastAsia="sk-SK"/>
              </w:rPr>
              <w:t>66,77</w:t>
            </w:r>
          </w:p>
        </w:tc>
        <w:tc>
          <w:tcPr>
            <w:tcW w:w="984" w:type="pct"/>
            <w:vMerge/>
            <w:shd w:val="clear" w:color="auto" w:fill="EFEFEF"/>
            <w:vAlign w:val="center"/>
          </w:tcPr>
          <w:p w14:paraId="6ACD8965" w14:textId="77777777" w:rsidR="00827064" w:rsidRPr="00F13D89" w:rsidRDefault="00827064" w:rsidP="00827064">
            <w:pPr>
              <w:spacing w:after="0" w:line="240" w:lineRule="auto"/>
              <w:rPr>
                <w:sz w:val="24"/>
                <w:szCs w:val="24"/>
                <w:lang w:eastAsia="sk-SK"/>
              </w:rPr>
            </w:pPr>
          </w:p>
        </w:tc>
      </w:tr>
      <w:tr w:rsidR="00827064" w:rsidRPr="00F13D89" w14:paraId="3B87DF7A" w14:textId="77777777" w:rsidTr="00827064">
        <w:trPr>
          <w:tblCellSpacing w:w="15" w:type="dxa"/>
        </w:trPr>
        <w:tc>
          <w:tcPr>
            <w:tcW w:w="0" w:type="auto"/>
            <w:shd w:val="clear" w:color="auto" w:fill="D9D9D9"/>
            <w:noWrap/>
            <w:vAlign w:val="center"/>
            <w:hideMark/>
          </w:tcPr>
          <w:p w14:paraId="6CF9E790" w14:textId="77777777" w:rsidR="00827064" w:rsidRPr="00F13D89" w:rsidRDefault="00827064" w:rsidP="00827064">
            <w:pPr>
              <w:spacing w:after="0" w:line="240" w:lineRule="auto"/>
              <w:rPr>
                <w:sz w:val="24"/>
                <w:szCs w:val="24"/>
                <w:lang w:eastAsia="sk-SK"/>
              </w:rPr>
            </w:pPr>
            <w:r w:rsidRPr="00F13D89">
              <w:rPr>
                <w:b/>
                <w:bCs/>
                <w:sz w:val="20"/>
                <w:szCs w:val="20"/>
                <w:lang w:eastAsia="sk-SK"/>
              </w:rPr>
              <w:t>700</w:t>
            </w:r>
            <w:r w:rsidRPr="00F13D89">
              <w:rPr>
                <w:sz w:val="24"/>
                <w:szCs w:val="24"/>
                <w:lang w:eastAsia="sk-SK"/>
              </w:rPr>
              <w:t xml:space="preserve"> </w:t>
            </w:r>
          </w:p>
        </w:tc>
        <w:tc>
          <w:tcPr>
            <w:tcW w:w="0" w:type="auto"/>
            <w:shd w:val="clear" w:color="auto" w:fill="D9D9D9"/>
            <w:vAlign w:val="center"/>
            <w:hideMark/>
          </w:tcPr>
          <w:p w14:paraId="4A355F12" w14:textId="77777777" w:rsidR="00827064" w:rsidRPr="00F13D89" w:rsidRDefault="00827064" w:rsidP="00827064">
            <w:pPr>
              <w:spacing w:after="0" w:line="240" w:lineRule="auto"/>
              <w:rPr>
                <w:sz w:val="24"/>
                <w:szCs w:val="24"/>
                <w:lang w:eastAsia="sk-SK"/>
              </w:rPr>
            </w:pPr>
            <w:r w:rsidRPr="00F13D89">
              <w:rPr>
                <w:b/>
                <w:bCs/>
                <w:sz w:val="20"/>
                <w:szCs w:val="20"/>
                <w:lang w:eastAsia="sk-SK"/>
              </w:rPr>
              <w:t>Kapitálové výdavky</w:t>
            </w:r>
            <w:r w:rsidRPr="00F13D89">
              <w:rPr>
                <w:sz w:val="24"/>
                <w:szCs w:val="24"/>
                <w:lang w:eastAsia="sk-SK"/>
              </w:rPr>
              <w:t xml:space="preserve"> </w:t>
            </w:r>
          </w:p>
        </w:tc>
        <w:tc>
          <w:tcPr>
            <w:tcW w:w="655" w:type="pct"/>
            <w:shd w:val="clear" w:color="auto" w:fill="D9D9D9"/>
            <w:noWrap/>
            <w:vAlign w:val="center"/>
            <w:hideMark/>
          </w:tcPr>
          <w:p w14:paraId="7C8D14C5" w14:textId="77777777" w:rsidR="00827064" w:rsidRPr="00ED535E" w:rsidRDefault="00827064" w:rsidP="00827064">
            <w:pPr>
              <w:spacing w:after="0" w:line="240" w:lineRule="auto"/>
              <w:jc w:val="right"/>
              <w:rPr>
                <w:sz w:val="24"/>
                <w:szCs w:val="24"/>
                <w:lang w:eastAsia="sk-SK"/>
              </w:rPr>
            </w:pPr>
            <w:r w:rsidRPr="00ED535E">
              <w:rPr>
                <w:b/>
                <w:bCs/>
                <w:sz w:val="20"/>
                <w:szCs w:val="20"/>
                <w:lang w:eastAsia="sk-SK"/>
              </w:rPr>
              <w:t>14 917 489,04</w:t>
            </w:r>
            <w:r w:rsidRPr="00ED535E">
              <w:rPr>
                <w:sz w:val="24"/>
                <w:szCs w:val="24"/>
                <w:lang w:eastAsia="sk-SK"/>
              </w:rPr>
              <w:t xml:space="preserve"> </w:t>
            </w:r>
          </w:p>
        </w:tc>
        <w:tc>
          <w:tcPr>
            <w:tcW w:w="684" w:type="pct"/>
            <w:shd w:val="clear" w:color="auto" w:fill="D9D9D9"/>
            <w:noWrap/>
            <w:vAlign w:val="center"/>
            <w:hideMark/>
          </w:tcPr>
          <w:p w14:paraId="4B62C499" w14:textId="77777777" w:rsidR="00827064" w:rsidRPr="00ED535E" w:rsidRDefault="00827064" w:rsidP="00827064">
            <w:pPr>
              <w:spacing w:after="0" w:line="240" w:lineRule="auto"/>
              <w:jc w:val="right"/>
              <w:rPr>
                <w:sz w:val="24"/>
                <w:szCs w:val="24"/>
                <w:lang w:eastAsia="sk-SK"/>
              </w:rPr>
            </w:pPr>
            <w:r w:rsidRPr="00ED535E">
              <w:rPr>
                <w:b/>
                <w:bCs/>
                <w:sz w:val="20"/>
                <w:szCs w:val="20"/>
                <w:lang w:eastAsia="sk-SK"/>
              </w:rPr>
              <w:t>13 957 450,18</w:t>
            </w:r>
            <w:r w:rsidRPr="00ED535E">
              <w:rPr>
                <w:sz w:val="24"/>
                <w:szCs w:val="24"/>
                <w:lang w:eastAsia="sk-SK"/>
              </w:rPr>
              <w:t xml:space="preserve"> </w:t>
            </w:r>
          </w:p>
        </w:tc>
        <w:tc>
          <w:tcPr>
            <w:tcW w:w="585" w:type="pct"/>
            <w:shd w:val="clear" w:color="auto" w:fill="D9D9D9"/>
            <w:noWrap/>
            <w:vAlign w:val="center"/>
            <w:hideMark/>
          </w:tcPr>
          <w:p w14:paraId="271D0550" w14:textId="77777777" w:rsidR="00827064" w:rsidRPr="00ED535E" w:rsidRDefault="00827064" w:rsidP="00827064">
            <w:pPr>
              <w:spacing w:after="0" w:line="240" w:lineRule="auto"/>
              <w:jc w:val="right"/>
              <w:rPr>
                <w:sz w:val="24"/>
                <w:szCs w:val="24"/>
                <w:lang w:eastAsia="sk-SK"/>
              </w:rPr>
            </w:pPr>
            <w:r w:rsidRPr="00ED535E">
              <w:rPr>
                <w:b/>
                <w:bCs/>
                <w:sz w:val="20"/>
                <w:szCs w:val="20"/>
                <w:lang w:eastAsia="sk-SK"/>
              </w:rPr>
              <w:t>5 349 904,53</w:t>
            </w:r>
            <w:r w:rsidRPr="00ED535E">
              <w:rPr>
                <w:sz w:val="24"/>
                <w:szCs w:val="24"/>
                <w:lang w:eastAsia="sk-SK"/>
              </w:rPr>
              <w:t xml:space="preserve"> </w:t>
            </w:r>
          </w:p>
        </w:tc>
        <w:tc>
          <w:tcPr>
            <w:tcW w:w="491" w:type="pct"/>
            <w:shd w:val="clear" w:color="auto" w:fill="D9D9D9"/>
            <w:noWrap/>
            <w:vAlign w:val="center"/>
          </w:tcPr>
          <w:p w14:paraId="1F619ED6" w14:textId="77777777" w:rsidR="00827064" w:rsidRPr="00E470FE" w:rsidRDefault="00827064" w:rsidP="00827064">
            <w:pPr>
              <w:spacing w:after="0" w:line="240" w:lineRule="auto"/>
              <w:jc w:val="right"/>
              <w:rPr>
                <w:b/>
                <w:bCs/>
                <w:sz w:val="20"/>
                <w:szCs w:val="20"/>
                <w:lang w:eastAsia="sk-SK"/>
              </w:rPr>
            </w:pPr>
            <w:r w:rsidRPr="00E470FE">
              <w:rPr>
                <w:b/>
                <w:bCs/>
                <w:sz w:val="20"/>
                <w:szCs w:val="20"/>
                <w:lang w:eastAsia="sk-SK"/>
              </w:rPr>
              <w:t>38,33</w:t>
            </w:r>
          </w:p>
        </w:tc>
        <w:tc>
          <w:tcPr>
            <w:tcW w:w="984" w:type="pct"/>
            <w:vMerge/>
            <w:shd w:val="clear" w:color="auto" w:fill="D9D9D9"/>
            <w:vAlign w:val="center"/>
            <w:hideMark/>
          </w:tcPr>
          <w:p w14:paraId="7F174A3C" w14:textId="77777777" w:rsidR="00827064" w:rsidRPr="00F13D89" w:rsidRDefault="00827064" w:rsidP="00827064">
            <w:pPr>
              <w:spacing w:after="0" w:line="240" w:lineRule="auto"/>
              <w:rPr>
                <w:sz w:val="24"/>
                <w:szCs w:val="24"/>
                <w:lang w:eastAsia="sk-SK"/>
              </w:rPr>
            </w:pPr>
          </w:p>
        </w:tc>
      </w:tr>
      <w:tr w:rsidR="00827064" w:rsidRPr="00F13D89" w14:paraId="3F953335" w14:textId="77777777" w:rsidTr="00827064">
        <w:trPr>
          <w:tblCellSpacing w:w="15" w:type="dxa"/>
        </w:trPr>
        <w:tc>
          <w:tcPr>
            <w:tcW w:w="0" w:type="auto"/>
            <w:shd w:val="clear" w:color="auto" w:fill="EFEFEF"/>
            <w:noWrap/>
            <w:vAlign w:val="center"/>
            <w:hideMark/>
          </w:tcPr>
          <w:p w14:paraId="66951293" w14:textId="77777777" w:rsidR="00827064" w:rsidRPr="00F13D89" w:rsidRDefault="00827064" w:rsidP="00827064">
            <w:pPr>
              <w:spacing w:after="0" w:line="240" w:lineRule="auto"/>
              <w:rPr>
                <w:sz w:val="24"/>
                <w:szCs w:val="24"/>
                <w:lang w:eastAsia="sk-SK"/>
              </w:rPr>
            </w:pPr>
            <w:r w:rsidRPr="00F13D89">
              <w:rPr>
                <w:sz w:val="20"/>
                <w:szCs w:val="20"/>
                <w:lang w:eastAsia="sk-SK"/>
              </w:rPr>
              <w:t>710</w:t>
            </w:r>
            <w:r w:rsidRPr="00F13D89">
              <w:rPr>
                <w:sz w:val="24"/>
                <w:szCs w:val="24"/>
                <w:lang w:eastAsia="sk-SK"/>
              </w:rPr>
              <w:t xml:space="preserve"> </w:t>
            </w:r>
          </w:p>
        </w:tc>
        <w:tc>
          <w:tcPr>
            <w:tcW w:w="0" w:type="auto"/>
            <w:shd w:val="clear" w:color="auto" w:fill="EFEFEF"/>
            <w:vAlign w:val="center"/>
            <w:hideMark/>
          </w:tcPr>
          <w:p w14:paraId="7FF687A3" w14:textId="77777777" w:rsidR="00827064" w:rsidRPr="00F13D89" w:rsidRDefault="00827064" w:rsidP="00827064">
            <w:pPr>
              <w:spacing w:after="0" w:line="240" w:lineRule="auto"/>
              <w:rPr>
                <w:sz w:val="24"/>
                <w:szCs w:val="24"/>
                <w:lang w:eastAsia="sk-SK"/>
              </w:rPr>
            </w:pPr>
            <w:proofErr w:type="spellStart"/>
            <w:r w:rsidRPr="00F13D89">
              <w:rPr>
                <w:sz w:val="20"/>
                <w:szCs w:val="20"/>
                <w:lang w:eastAsia="sk-SK"/>
              </w:rPr>
              <w:t>Obst</w:t>
            </w:r>
            <w:proofErr w:type="spellEnd"/>
            <w:r w:rsidRPr="00F13D89">
              <w:rPr>
                <w:sz w:val="20"/>
                <w:szCs w:val="20"/>
                <w:lang w:eastAsia="sk-SK"/>
              </w:rPr>
              <w:t xml:space="preserve">. </w:t>
            </w:r>
            <w:proofErr w:type="spellStart"/>
            <w:r w:rsidRPr="00F13D89">
              <w:rPr>
                <w:sz w:val="20"/>
                <w:szCs w:val="20"/>
                <w:lang w:eastAsia="sk-SK"/>
              </w:rPr>
              <w:t>kapit</w:t>
            </w:r>
            <w:proofErr w:type="spellEnd"/>
            <w:r w:rsidRPr="00F13D89">
              <w:rPr>
                <w:sz w:val="20"/>
                <w:szCs w:val="20"/>
                <w:lang w:eastAsia="sk-SK"/>
              </w:rPr>
              <w:t>. aktív</w:t>
            </w:r>
            <w:r w:rsidRPr="00F13D89">
              <w:rPr>
                <w:sz w:val="24"/>
                <w:szCs w:val="24"/>
                <w:lang w:eastAsia="sk-SK"/>
              </w:rPr>
              <w:t xml:space="preserve"> </w:t>
            </w:r>
          </w:p>
        </w:tc>
        <w:tc>
          <w:tcPr>
            <w:tcW w:w="655" w:type="pct"/>
            <w:shd w:val="clear" w:color="auto" w:fill="EFEFEF"/>
            <w:noWrap/>
            <w:vAlign w:val="center"/>
            <w:hideMark/>
          </w:tcPr>
          <w:p w14:paraId="2FBE6A2F" w14:textId="77777777" w:rsidR="00827064" w:rsidRPr="00ED535E" w:rsidRDefault="00827064" w:rsidP="00827064">
            <w:pPr>
              <w:spacing w:after="0" w:line="240" w:lineRule="auto"/>
              <w:jc w:val="right"/>
              <w:rPr>
                <w:sz w:val="24"/>
                <w:szCs w:val="24"/>
                <w:lang w:eastAsia="sk-SK"/>
              </w:rPr>
            </w:pPr>
            <w:r w:rsidRPr="00ED535E">
              <w:rPr>
                <w:sz w:val="20"/>
                <w:szCs w:val="20"/>
                <w:lang w:eastAsia="sk-SK"/>
              </w:rPr>
              <w:t>12 537 962,63</w:t>
            </w:r>
            <w:r w:rsidRPr="00ED535E">
              <w:rPr>
                <w:sz w:val="24"/>
                <w:szCs w:val="24"/>
                <w:lang w:eastAsia="sk-SK"/>
              </w:rPr>
              <w:t xml:space="preserve"> </w:t>
            </w:r>
          </w:p>
        </w:tc>
        <w:tc>
          <w:tcPr>
            <w:tcW w:w="684" w:type="pct"/>
            <w:shd w:val="clear" w:color="auto" w:fill="EFEFEF"/>
            <w:noWrap/>
            <w:vAlign w:val="center"/>
            <w:hideMark/>
          </w:tcPr>
          <w:p w14:paraId="36FC4B31" w14:textId="77777777" w:rsidR="00827064" w:rsidRPr="00ED535E" w:rsidRDefault="00827064" w:rsidP="00827064">
            <w:pPr>
              <w:spacing w:after="0" w:line="240" w:lineRule="auto"/>
              <w:jc w:val="right"/>
              <w:rPr>
                <w:sz w:val="24"/>
                <w:szCs w:val="24"/>
                <w:lang w:eastAsia="sk-SK"/>
              </w:rPr>
            </w:pPr>
            <w:r w:rsidRPr="00ED535E">
              <w:rPr>
                <w:sz w:val="20"/>
                <w:szCs w:val="20"/>
                <w:lang w:eastAsia="sk-SK"/>
              </w:rPr>
              <w:t>11 909 914,23</w:t>
            </w:r>
            <w:r w:rsidRPr="00ED535E">
              <w:rPr>
                <w:sz w:val="24"/>
                <w:szCs w:val="24"/>
                <w:lang w:eastAsia="sk-SK"/>
              </w:rPr>
              <w:t xml:space="preserve"> </w:t>
            </w:r>
          </w:p>
        </w:tc>
        <w:tc>
          <w:tcPr>
            <w:tcW w:w="585" w:type="pct"/>
            <w:shd w:val="clear" w:color="auto" w:fill="EFEFEF"/>
            <w:noWrap/>
            <w:vAlign w:val="center"/>
            <w:hideMark/>
          </w:tcPr>
          <w:p w14:paraId="07DD6089" w14:textId="77777777" w:rsidR="00827064" w:rsidRPr="00ED535E" w:rsidRDefault="00827064" w:rsidP="00827064">
            <w:pPr>
              <w:spacing w:after="0" w:line="240" w:lineRule="auto"/>
              <w:jc w:val="right"/>
              <w:rPr>
                <w:sz w:val="24"/>
                <w:szCs w:val="24"/>
                <w:lang w:eastAsia="sk-SK"/>
              </w:rPr>
            </w:pPr>
            <w:r w:rsidRPr="00ED535E">
              <w:rPr>
                <w:sz w:val="20"/>
                <w:szCs w:val="20"/>
                <w:lang w:eastAsia="sk-SK"/>
              </w:rPr>
              <w:t>4 397 891,13</w:t>
            </w:r>
            <w:r w:rsidRPr="00ED535E">
              <w:rPr>
                <w:sz w:val="24"/>
                <w:szCs w:val="24"/>
                <w:lang w:eastAsia="sk-SK"/>
              </w:rPr>
              <w:t xml:space="preserve"> </w:t>
            </w:r>
          </w:p>
        </w:tc>
        <w:tc>
          <w:tcPr>
            <w:tcW w:w="491" w:type="pct"/>
            <w:shd w:val="clear" w:color="auto" w:fill="EFEFEF"/>
            <w:noWrap/>
            <w:vAlign w:val="center"/>
          </w:tcPr>
          <w:p w14:paraId="52CD110E" w14:textId="77777777" w:rsidR="00827064" w:rsidRPr="00E470FE" w:rsidRDefault="00827064" w:rsidP="00827064">
            <w:pPr>
              <w:spacing w:after="0" w:line="240" w:lineRule="auto"/>
              <w:jc w:val="right"/>
              <w:rPr>
                <w:sz w:val="20"/>
                <w:szCs w:val="20"/>
                <w:lang w:eastAsia="sk-SK"/>
              </w:rPr>
            </w:pPr>
            <w:r w:rsidRPr="00E470FE">
              <w:rPr>
                <w:sz w:val="20"/>
                <w:szCs w:val="20"/>
                <w:lang w:eastAsia="sk-SK"/>
              </w:rPr>
              <w:t>36,93</w:t>
            </w:r>
          </w:p>
        </w:tc>
        <w:tc>
          <w:tcPr>
            <w:tcW w:w="984" w:type="pct"/>
            <w:vMerge/>
            <w:shd w:val="clear" w:color="auto" w:fill="EFEFEF"/>
            <w:vAlign w:val="center"/>
            <w:hideMark/>
          </w:tcPr>
          <w:p w14:paraId="20142326" w14:textId="77777777" w:rsidR="00827064" w:rsidRPr="00F13D89" w:rsidRDefault="00827064" w:rsidP="00827064">
            <w:pPr>
              <w:spacing w:after="0" w:line="240" w:lineRule="auto"/>
              <w:rPr>
                <w:sz w:val="24"/>
                <w:szCs w:val="24"/>
                <w:lang w:eastAsia="sk-SK"/>
              </w:rPr>
            </w:pPr>
          </w:p>
        </w:tc>
      </w:tr>
      <w:tr w:rsidR="00827064" w:rsidRPr="00F13D89" w14:paraId="66C0FBD7" w14:textId="77777777" w:rsidTr="00827064">
        <w:trPr>
          <w:tblCellSpacing w:w="15" w:type="dxa"/>
        </w:trPr>
        <w:tc>
          <w:tcPr>
            <w:tcW w:w="0" w:type="auto"/>
            <w:shd w:val="clear" w:color="auto" w:fill="EFEFEF"/>
            <w:noWrap/>
            <w:vAlign w:val="center"/>
          </w:tcPr>
          <w:p w14:paraId="59DA6041" w14:textId="77777777" w:rsidR="00827064" w:rsidRPr="00F13D89" w:rsidRDefault="00827064" w:rsidP="00827064">
            <w:pPr>
              <w:spacing w:after="0" w:line="240" w:lineRule="auto"/>
              <w:rPr>
                <w:sz w:val="20"/>
                <w:szCs w:val="20"/>
                <w:lang w:eastAsia="sk-SK"/>
              </w:rPr>
            </w:pPr>
            <w:r>
              <w:rPr>
                <w:sz w:val="20"/>
                <w:szCs w:val="20"/>
                <w:lang w:eastAsia="sk-SK"/>
              </w:rPr>
              <w:t>720</w:t>
            </w:r>
          </w:p>
        </w:tc>
        <w:tc>
          <w:tcPr>
            <w:tcW w:w="0" w:type="auto"/>
            <w:shd w:val="clear" w:color="auto" w:fill="EFEFEF"/>
            <w:vAlign w:val="center"/>
          </w:tcPr>
          <w:p w14:paraId="29AB7BF3" w14:textId="77777777" w:rsidR="00827064" w:rsidRPr="00F13D89" w:rsidRDefault="00827064" w:rsidP="00827064">
            <w:pPr>
              <w:spacing w:after="0" w:line="240" w:lineRule="auto"/>
              <w:rPr>
                <w:sz w:val="20"/>
                <w:szCs w:val="20"/>
                <w:lang w:eastAsia="sk-SK"/>
              </w:rPr>
            </w:pPr>
            <w:r>
              <w:rPr>
                <w:sz w:val="20"/>
                <w:szCs w:val="20"/>
                <w:lang w:eastAsia="sk-SK"/>
              </w:rPr>
              <w:t>Kapitálové transfery</w:t>
            </w:r>
          </w:p>
        </w:tc>
        <w:tc>
          <w:tcPr>
            <w:tcW w:w="655" w:type="pct"/>
            <w:shd w:val="clear" w:color="auto" w:fill="EFEFEF"/>
            <w:noWrap/>
            <w:vAlign w:val="center"/>
          </w:tcPr>
          <w:p w14:paraId="32BEE70E" w14:textId="77777777" w:rsidR="00827064" w:rsidRPr="00ED535E" w:rsidRDefault="00827064" w:rsidP="00827064">
            <w:pPr>
              <w:spacing w:after="0" w:line="240" w:lineRule="auto"/>
              <w:jc w:val="right"/>
              <w:rPr>
                <w:sz w:val="20"/>
                <w:szCs w:val="20"/>
                <w:lang w:eastAsia="sk-SK"/>
              </w:rPr>
            </w:pPr>
            <w:r w:rsidRPr="00ED535E">
              <w:rPr>
                <w:sz w:val="20"/>
                <w:szCs w:val="20"/>
                <w:lang w:eastAsia="sk-SK"/>
              </w:rPr>
              <w:t>2 379 526,41</w:t>
            </w:r>
          </w:p>
        </w:tc>
        <w:tc>
          <w:tcPr>
            <w:tcW w:w="684" w:type="pct"/>
            <w:shd w:val="clear" w:color="auto" w:fill="EFEFEF"/>
            <w:noWrap/>
            <w:vAlign w:val="center"/>
          </w:tcPr>
          <w:p w14:paraId="60B2CC64" w14:textId="77777777" w:rsidR="00827064" w:rsidRPr="00ED535E" w:rsidRDefault="00827064" w:rsidP="00827064">
            <w:pPr>
              <w:spacing w:after="0" w:line="240" w:lineRule="auto"/>
              <w:jc w:val="right"/>
              <w:rPr>
                <w:sz w:val="20"/>
                <w:szCs w:val="20"/>
                <w:lang w:eastAsia="sk-SK"/>
              </w:rPr>
            </w:pPr>
            <w:r w:rsidRPr="00ED535E">
              <w:rPr>
                <w:sz w:val="20"/>
                <w:szCs w:val="20"/>
                <w:lang w:eastAsia="sk-SK"/>
              </w:rPr>
              <w:t>2 047 535,95</w:t>
            </w:r>
          </w:p>
        </w:tc>
        <w:tc>
          <w:tcPr>
            <w:tcW w:w="585" w:type="pct"/>
            <w:shd w:val="clear" w:color="auto" w:fill="EFEFEF"/>
            <w:noWrap/>
            <w:vAlign w:val="center"/>
          </w:tcPr>
          <w:p w14:paraId="4657FD08" w14:textId="77777777" w:rsidR="00827064" w:rsidRPr="00ED535E" w:rsidRDefault="00827064" w:rsidP="00827064">
            <w:pPr>
              <w:spacing w:after="0" w:line="240" w:lineRule="auto"/>
              <w:jc w:val="right"/>
              <w:rPr>
                <w:sz w:val="20"/>
                <w:szCs w:val="20"/>
                <w:lang w:eastAsia="sk-SK"/>
              </w:rPr>
            </w:pPr>
            <w:r w:rsidRPr="00ED535E">
              <w:rPr>
                <w:sz w:val="20"/>
                <w:szCs w:val="20"/>
                <w:lang w:eastAsia="sk-SK"/>
              </w:rPr>
              <w:t>952 013,40</w:t>
            </w:r>
          </w:p>
        </w:tc>
        <w:tc>
          <w:tcPr>
            <w:tcW w:w="491" w:type="pct"/>
            <w:shd w:val="clear" w:color="auto" w:fill="EFEFEF"/>
            <w:noWrap/>
            <w:vAlign w:val="center"/>
          </w:tcPr>
          <w:p w14:paraId="3892FA8B" w14:textId="77777777" w:rsidR="00827064" w:rsidRPr="00ED535E" w:rsidRDefault="00827064" w:rsidP="00827064">
            <w:pPr>
              <w:spacing w:after="0" w:line="240" w:lineRule="auto"/>
              <w:jc w:val="right"/>
              <w:rPr>
                <w:sz w:val="20"/>
                <w:szCs w:val="20"/>
                <w:lang w:eastAsia="sk-SK"/>
              </w:rPr>
            </w:pPr>
            <w:r>
              <w:rPr>
                <w:sz w:val="20"/>
                <w:szCs w:val="20"/>
                <w:lang w:eastAsia="sk-SK"/>
              </w:rPr>
              <w:t>46,50</w:t>
            </w:r>
          </w:p>
        </w:tc>
        <w:tc>
          <w:tcPr>
            <w:tcW w:w="984" w:type="pct"/>
            <w:vMerge/>
            <w:shd w:val="clear" w:color="auto" w:fill="EFEFEF"/>
            <w:vAlign w:val="center"/>
          </w:tcPr>
          <w:p w14:paraId="79A269C7" w14:textId="77777777" w:rsidR="00827064" w:rsidRPr="00F13D89" w:rsidRDefault="00827064" w:rsidP="00827064">
            <w:pPr>
              <w:spacing w:after="0" w:line="240" w:lineRule="auto"/>
              <w:rPr>
                <w:sz w:val="24"/>
                <w:szCs w:val="24"/>
                <w:lang w:eastAsia="sk-SK"/>
              </w:rPr>
            </w:pPr>
          </w:p>
        </w:tc>
      </w:tr>
    </w:tbl>
    <w:p w14:paraId="148A4D63" w14:textId="7199001C" w:rsidR="00827064" w:rsidRDefault="00827064" w:rsidP="00827064">
      <w:pPr>
        <w:spacing w:before="100" w:beforeAutospacing="1" w:after="100" w:afterAutospacing="1" w:line="240" w:lineRule="auto"/>
        <w:jc w:val="both"/>
        <w:rPr>
          <w:lang w:eastAsia="sk-SK"/>
        </w:rPr>
      </w:pPr>
      <w:r w:rsidRPr="00F13D89">
        <w:rPr>
          <w:b/>
          <w:bCs/>
          <w:lang w:eastAsia="sk-SK"/>
        </w:rPr>
        <w:t xml:space="preserve">Komentár: </w:t>
      </w:r>
      <w:r w:rsidRPr="00F13D89">
        <w:rPr>
          <w:lang w:eastAsia="sk-SK"/>
        </w:rPr>
        <w:t xml:space="preserve">Na realizáciu kompetencií v rámci programu Interné služby, BSK vytvára materiálové a technické podmienky pre zabezpečenie všetkých aktivít a činností v rámci podprogramov: Správa a evidencia majetku,  Informačno-technologický systém, Majetok - investície, údržba. </w:t>
      </w:r>
    </w:p>
    <w:p w14:paraId="15A63393" w14:textId="77777777" w:rsidR="009E4E62" w:rsidRPr="00F13D89" w:rsidRDefault="009E4E62" w:rsidP="00827064">
      <w:pPr>
        <w:spacing w:before="100" w:beforeAutospacing="1" w:after="100" w:afterAutospacing="1" w:line="240" w:lineRule="auto"/>
        <w:jc w:val="both"/>
        <w:rPr>
          <w:lang w:eastAsia="sk-SK"/>
        </w:rPr>
      </w:pPr>
    </w:p>
    <w:p w14:paraId="23E13C4E" w14:textId="77777777" w:rsidR="00390C7E" w:rsidRDefault="00390C7E" w:rsidP="00827064">
      <w:pPr>
        <w:spacing w:before="100" w:beforeAutospacing="1" w:after="100" w:afterAutospacing="1" w:line="240" w:lineRule="auto"/>
        <w:outlineLvl w:val="2"/>
        <w:rPr>
          <w:b/>
          <w:bCs/>
          <w:color w:val="4F6228"/>
          <w:sz w:val="27"/>
          <w:szCs w:val="27"/>
          <w:lang w:eastAsia="sk-SK"/>
        </w:rPr>
      </w:pPr>
    </w:p>
    <w:p w14:paraId="75000655" w14:textId="32167DB4" w:rsidR="00827064" w:rsidRPr="00F13D89" w:rsidRDefault="00827064" w:rsidP="00827064">
      <w:pPr>
        <w:spacing w:before="100" w:beforeAutospacing="1" w:after="100" w:afterAutospacing="1" w:line="240" w:lineRule="auto"/>
        <w:outlineLvl w:val="2"/>
        <w:rPr>
          <w:b/>
          <w:bCs/>
          <w:color w:val="4F6228"/>
          <w:sz w:val="27"/>
          <w:szCs w:val="27"/>
          <w:lang w:eastAsia="sk-SK"/>
        </w:rPr>
      </w:pPr>
      <w:r w:rsidRPr="00F13D89">
        <w:rPr>
          <w:b/>
          <w:bCs/>
          <w:color w:val="4F6228"/>
          <w:sz w:val="27"/>
          <w:szCs w:val="27"/>
          <w:lang w:eastAsia="sk-SK"/>
        </w:rPr>
        <w:lastRenderedPageBreak/>
        <w:t>Podprogram 3.1: Správa a evidencia majetku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09"/>
        <w:gridCol w:w="2109"/>
        <w:gridCol w:w="1792"/>
        <w:gridCol w:w="1363"/>
        <w:gridCol w:w="1363"/>
        <w:gridCol w:w="938"/>
        <w:gridCol w:w="2192"/>
      </w:tblGrid>
      <w:tr w:rsidR="00827064" w:rsidRPr="00F13D89" w14:paraId="7AA60EF7" w14:textId="77777777" w:rsidTr="00827064">
        <w:trPr>
          <w:tblCellSpacing w:w="15" w:type="dxa"/>
        </w:trPr>
        <w:tc>
          <w:tcPr>
            <w:tcW w:w="317" w:type="pct"/>
            <w:shd w:val="clear" w:color="auto" w:fill="C6DBF7"/>
            <w:vAlign w:val="center"/>
            <w:hideMark/>
          </w:tcPr>
          <w:p w14:paraId="1CFFE5B0"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Kód EK</w:t>
            </w:r>
          </w:p>
        </w:tc>
        <w:tc>
          <w:tcPr>
            <w:tcW w:w="993" w:type="pct"/>
            <w:shd w:val="clear" w:color="auto" w:fill="C6DBF7"/>
            <w:vAlign w:val="center"/>
            <w:hideMark/>
          </w:tcPr>
          <w:p w14:paraId="201B5FB0"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Ekonomická klasifikácia</w:t>
            </w:r>
          </w:p>
        </w:tc>
        <w:tc>
          <w:tcPr>
            <w:tcW w:w="841" w:type="pct"/>
            <w:shd w:val="clear" w:color="auto" w:fill="C6DBF7"/>
            <w:vAlign w:val="center"/>
            <w:hideMark/>
          </w:tcPr>
          <w:p w14:paraId="5532B91B"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Schválený</w:t>
            </w:r>
            <w:r w:rsidRPr="00F13D89">
              <w:rPr>
                <w:b/>
                <w:bCs/>
                <w:sz w:val="20"/>
                <w:szCs w:val="20"/>
                <w:lang w:eastAsia="sk-SK"/>
              </w:rPr>
              <w:br/>
              <w:t>rozpočet</w:t>
            </w:r>
            <w:r w:rsidRPr="00F13D89">
              <w:rPr>
                <w:b/>
                <w:bCs/>
                <w:sz w:val="20"/>
                <w:szCs w:val="20"/>
                <w:lang w:eastAsia="sk-SK"/>
              </w:rPr>
              <w:br/>
              <w:t>v EUR</w:t>
            </w:r>
          </w:p>
        </w:tc>
        <w:tc>
          <w:tcPr>
            <w:tcW w:w="637" w:type="pct"/>
            <w:shd w:val="clear" w:color="auto" w:fill="C6DBF7"/>
            <w:vAlign w:val="center"/>
            <w:hideMark/>
          </w:tcPr>
          <w:p w14:paraId="15F4164E"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Zmenený</w:t>
            </w:r>
            <w:r w:rsidRPr="00F13D89">
              <w:rPr>
                <w:b/>
                <w:bCs/>
                <w:sz w:val="20"/>
                <w:szCs w:val="20"/>
                <w:lang w:eastAsia="sk-SK"/>
              </w:rPr>
              <w:br/>
              <w:t>rozpočet</w:t>
            </w:r>
            <w:r w:rsidRPr="00F13D89">
              <w:rPr>
                <w:b/>
                <w:bCs/>
                <w:sz w:val="20"/>
                <w:szCs w:val="20"/>
                <w:lang w:eastAsia="sk-SK"/>
              </w:rPr>
              <w:br/>
              <w:t>v EUR</w:t>
            </w:r>
          </w:p>
        </w:tc>
        <w:tc>
          <w:tcPr>
            <w:tcW w:w="637" w:type="pct"/>
            <w:shd w:val="clear" w:color="auto" w:fill="C6DBF7"/>
            <w:vAlign w:val="center"/>
            <w:hideMark/>
          </w:tcPr>
          <w:p w14:paraId="50086B7A"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Čerpanie</w:t>
            </w:r>
            <w:r w:rsidRPr="00F13D89">
              <w:rPr>
                <w:b/>
                <w:bCs/>
                <w:sz w:val="20"/>
                <w:szCs w:val="20"/>
                <w:lang w:eastAsia="sk-SK"/>
              </w:rPr>
              <w:br/>
              <w:t>v EUR</w:t>
            </w:r>
          </w:p>
        </w:tc>
        <w:tc>
          <w:tcPr>
            <w:tcW w:w="434" w:type="pct"/>
            <w:shd w:val="clear" w:color="auto" w:fill="C6DBF7"/>
            <w:vAlign w:val="center"/>
            <w:hideMark/>
          </w:tcPr>
          <w:p w14:paraId="6E10098C"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Čerpanie</w:t>
            </w:r>
            <w:r w:rsidRPr="00F13D89">
              <w:rPr>
                <w:b/>
                <w:bCs/>
                <w:sz w:val="20"/>
                <w:szCs w:val="20"/>
                <w:lang w:eastAsia="sk-SK"/>
              </w:rPr>
              <w:br/>
              <w:t xml:space="preserve">k </w:t>
            </w:r>
            <w:proofErr w:type="spellStart"/>
            <w:r w:rsidRPr="00F13D89">
              <w:rPr>
                <w:b/>
                <w:bCs/>
                <w:sz w:val="20"/>
                <w:szCs w:val="20"/>
                <w:lang w:eastAsia="sk-SK"/>
              </w:rPr>
              <w:t>zmen</w:t>
            </w:r>
            <w:proofErr w:type="spellEnd"/>
            <w:r w:rsidRPr="00F13D89">
              <w:rPr>
                <w:b/>
                <w:bCs/>
                <w:sz w:val="20"/>
                <w:szCs w:val="20"/>
                <w:lang w:eastAsia="sk-SK"/>
              </w:rPr>
              <w:t xml:space="preserve">. </w:t>
            </w:r>
            <w:proofErr w:type="spellStart"/>
            <w:r w:rsidRPr="00F13D89">
              <w:rPr>
                <w:b/>
                <w:bCs/>
                <w:sz w:val="20"/>
                <w:szCs w:val="20"/>
                <w:lang w:eastAsia="sk-SK"/>
              </w:rPr>
              <w:t>rozp</w:t>
            </w:r>
            <w:proofErr w:type="spellEnd"/>
            <w:r w:rsidRPr="00F13D89">
              <w:rPr>
                <w:b/>
                <w:bCs/>
                <w:sz w:val="20"/>
                <w:szCs w:val="20"/>
                <w:lang w:eastAsia="sk-SK"/>
              </w:rPr>
              <w:t>.</w:t>
            </w:r>
            <w:r w:rsidRPr="00F13D89">
              <w:rPr>
                <w:b/>
                <w:bCs/>
                <w:sz w:val="20"/>
                <w:szCs w:val="20"/>
                <w:lang w:eastAsia="sk-SK"/>
              </w:rPr>
              <w:br/>
              <w:t>v %</w:t>
            </w:r>
          </w:p>
        </w:tc>
        <w:tc>
          <w:tcPr>
            <w:tcW w:w="1026" w:type="pct"/>
            <w:shd w:val="clear" w:color="auto" w:fill="C6DBF7"/>
            <w:vAlign w:val="center"/>
            <w:hideMark/>
          </w:tcPr>
          <w:p w14:paraId="784B4514" w14:textId="77777777" w:rsidR="00827064" w:rsidRPr="00F13D89" w:rsidRDefault="00827064" w:rsidP="00827064">
            <w:pPr>
              <w:spacing w:after="0" w:line="240" w:lineRule="auto"/>
              <w:jc w:val="center"/>
              <w:rPr>
                <w:sz w:val="24"/>
                <w:szCs w:val="24"/>
                <w:lang w:eastAsia="sk-SK"/>
              </w:rPr>
            </w:pPr>
            <w:r w:rsidRPr="00F13D89">
              <w:rPr>
                <w:b/>
                <w:bCs/>
                <w:sz w:val="20"/>
                <w:szCs w:val="20"/>
                <w:lang w:eastAsia="sk-SK"/>
              </w:rPr>
              <w:t>Zmeny rozpočtu</w:t>
            </w:r>
          </w:p>
        </w:tc>
      </w:tr>
      <w:tr w:rsidR="00827064" w:rsidRPr="00F13D89" w14:paraId="64649CFD" w14:textId="77777777" w:rsidTr="00827064">
        <w:trPr>
          <w:tblCellSpacing w:w="15" w:type="dxa"/>
        </w:trPr>
        <w:tc>
          <w:tcPr>
            <w:tcW w:w="317" w:type="pct"/>
            <w:shd w:val="clear" w:color="auto" w:fill="D9D9D9"/>
            <w:noWrap/>
            <w:vAlign w:val="center"/>
            <w:hideMark/>
          </w:tcPr>
          <w:p w14:paraId="4F991FED" w14:textId="77777777" w:rsidR="00827064" w:rsidRPr="00F13D89" w:rsidRDefault="00827064" w:rsidP="00827064">
            <w:pPr>
              <w:spacing w:after="0" w:line="240" w:lineRule="auto"/>
              <w:jc w:val="center"/>
              <w:rPr>
                <w:sz w:val="24"/>
                <w:szCs w:val="24"/>
                <w:lang w:eastAsia="sk-SK"/>
              </w:rPr>
            </w:pPr>
          </w:p>
        </w:tc>
        <w:tc>
          <w:tcPr>
            <w:tcW w:w="993" w:type="pct"/>
            <w:shd w:val="clear" w:color="auto" w:fill="D9D9D9"/>
            <w:vAlign w:val="center"/>
            <w:hideMark/>
          </w:tcPr>
          <w:p w14:paraId="406AAD3A" w14:textId="77777777" w:rsidR="00827064" w:rsidRPr="00F13D89" w:rsidRDefault="00827064" w:rsidP="00827064">
            <w:pPr>
              <w:spacing w:after="0" w:line="240" w:lineRule="auto"/>
              <w:rPr>
                <w:sz w:val="24"/>
                <w:szCs w:val="24"/>
                <w:lang w:eastAsia="sk-SK"/>
              </w:rPr>
            </w:pPr>
            <w:r w:rsidRPr="00F13D89">
              <w:rPr>
                <w:b/>
                <w:bCs/>
                <w:sz w:val="20"/>
                <w:szCs w:val="20"/>
                <w:lang w:eastAsia="sk-SK"/>
              </w:rPr>
              <w:t>Výdavky celkom</w:t>
            </w:r>
            <w:r w:rsidRPr="00F13D89">
              <w:rPr>
                <w:sz w:val="24"/>
                <w:szCs w:val="24"/>
                <w:lang w:eastAsia="sk-SK"/>
              </w:rPr>
              <w:t xml:space="preserve"> </w:t>
            </w:r>
          </w:p>
        </w:tc>
        <w:tc>
          <w:tcPr>
            <w:tcW w:w="841" w:type="pct"/>
            <w:shd w:val="clear" w:color="auto" w:fill="D9D9D9"/>
            <w:noWrap/>
            <w:vAlign w:val="center"/>
            <w:hideMark/>
          </w:tcPr>
          <w:p w14:paraId="578453A6" w14:textId="77777777" w:rsidR="00827064" w:rsidRPr="00F13D89" w:rsidRDefault="00827064" w:rsidP="00827064">
            <w:pPr>
              <w:spacing w:after="0" w:line="240" w:lineRule="auto"/>
              <w:jc w:val="right"/>
              <w:rPr>
                <w:sz w:val="24"/>
                <w:szCs w:val="24"/>
                <w:lang w:eastAsia="sk-SK"/>
              </w:rPr>
            </w:pPr>
            <w:r>
              <w:rPr>
                <w:b/>
                <w:bCs/>
                <w:sz w:val="20"/>
                <w:szCs w:val="20"/>
                <w:lang w:eastAsia="sk-SK"/>
              </w:rPr>
              <w:t>4 155 600</w:t>
            </w:r>
            <w:r w:rsidRPr="00F13D89">
              <w:rPr>
                <w:b/>
                <w:bCs/>
                <w:sz w:val="20"/>
                <w:szCs w:val="20"/>
                <w:lang w:eastAsia="sk-SK"/>
              </w:rPr>
              <w:t>,</w:t>
            </w:r>
            <w:r>
              <w:rPr>
                <w:b/>
                <w:bCs/>
                <w:sz w:val="20"/>
                <w:szCs w:val="20"/>
                <w:lang w:eastAsia="sk-SK"/>
              </w:rPr>
              <w:t>0</w:t>
            </w:r>
            <w:r w:rsidRPr="00F13D89">
              <w:rPr>
                <w:b/>
                <w:bCs/>
                <w:sz w:val="20"/>
                <w:szCs w:val="20"/>
                <w:lang w:eastAsia="sk-SK"/>
              </w:rPr>
              <w:t>0</w:t>
            </w:r>
            <w:r w:rsidRPr="00F13D89">
              <w:rPr>
                <w:sz w:val="24"/>
                <w:szCs w:val="24"/>
                <w:lang w:eastAsia="sk-SK"/>
              </w:rPr>
              <w:t xml:space="preserve"> </w:t>
            </w:r>
          </w:p>
        </w:tc>
        <w:tc>
          <w:tcPr>
            <w:tcW w:w="637" w:type="pct"/>
            <w:shd w:val="clear" w:color="auto" w:fill="D9D9D9"/>
            <w:noWrap/>
            <w:vAlign w:val="center"/>
            <w:hideMark/>
          </w:tcPr>
          <w:p w14:paraId="0A89EF62" w14:textId="77777777" w:rsidR="00827064" w:rsidRPr="00F13D89" w:rsidRDefault="00827064" w:rsidP="00827064">
            <w:pPr>
              <w:spacing w:after="0" w:line="240" w:lineRule="auto"/>
              <w:jc w:val="right"/>
              <w:rPr>
                <w:sz w:val="24"/>
                <w:szCs w:val="24"/>
                <w:lang w:eastAsia="sk-SK"/>
              </w:rPr>
            </w:pPr>
            <w:r>
              <w:rPr>
                <w:b/>
                <w:bCs/>
                <w:sz w:val="20"/>
                <w:szCs w:val="20"/>
                <w:lang w:eastAsia="sk-SK"/>
              </w:rPr>
              <w:t>4 117</w:t>
            </w:r>
            <w:r w:rsidRPr="00F13D89">
              <w:rPr>
                <w:b/>
                <w:bCs/>
                <w:sz w:val="20"/>
                <w:szCs w:val="20"/>
                <w:lang w:eastAsia="sk-SK"/>
              </w:rPr>
              <w:t xml:space="preserve"> </w:t>
            </w:r>
            <w:r>
              <w:rPr>
                <w:b/>
                <w:bCs/>
                <w:sz w:val="20"/>
                <w:szCs w:val="20"/>
                <w:lang w:eastAsia="sk-SK"/>
              </w:rPr>
              <w:t>524</w:t>
            </w:r>
            <w:r w:rsidRPr="00F13D89">
              <w:rPr>
                <w:b/>
                <w:bCs/>
                <w:sz w:val="20"/>
                <w:szCs w:val="20"/>
                <w:lang w:eastAsia="sk-SK"/>
              </w:rPr>
              <w:t>,</w:t>
            </w:r>
            <w:r>
              <w:rPr>
                <w:b/>
                <w:bCs/>
                <w:sz w:val="20"/>
                <w:szCs w:val="20"/>
                <w:lang w:eastAsia="sk-SK"/>
              </w:rPr>
              <w:t>11</w:t>
            </w:r>
          </w:p>
        </w:tc>
        <w:tc>
          <w:tcPr>
            <w:tcW w:w="637" w:type="pct"/>
            <w:shd w:val="clear" w:color="auto" w:fill="D9D9D9"/>
            <w:noWrap/>
            <w:vAlign w:val="center"/>
            <w:hideMark/>
          </w:tcPr>
          <w:p w14:paraId="68B1418A" w14:textId="77777777" w:rsidR="00827064" w:rsidRPr="00F13D89" w:rsidRDefault="00827064" w:rsidP="00827064">
            <w:pPr>
              <w:spacing w:after="0" w:line="240" w:lineRule="auto"/>
              <w:jc w:val="right"/>
              <w:rPr>
                <w:sz w:val="24"/>
                <w:szCs w:val="24"/>
                <w:lang w:eastAsia="sk-SK"/>
              </w:rPr>
            </w:pPr>
            <w:r>
              <w:rPr>
                <w:b/>
                <w:bCs/>
                <w:sz w:val="20"/>
                <w:szCs w:val="20"/>
                <w:lang w:eastAsia="sk-SK"/>
              </w:rPr>
              <w:t>3</w:t>
            </w:r>
            <w:r w:rsidRPr="00F13D89">
              <w:rPr>
                <w:b/>
                <w:bCs/>
                <w:sz w:val="20"/>
                <w:szCs w:val="20"/>
                <w:lang w:eastAsia="sk-SK"/>
              </w:rPr>
              <w:t xml:space="preserve"> </w:t>
            </w:r>
            <w:r>
              <w:rPr>
                <w:b/>
                <w:bCs/>
                <w:sz w:val="20"/>
                <w:szCs w:val="20"/>
                <w:lang w:eastAsia="sk-SK"/>
              </w:rPr>
              <w:t>061</w:t>
            </w:r>
            <w:r w:rsidRPr="00F13D89">
              <w:rPr>
                <w:b/>
                <w:bCs/>
                <w:sz w:val="20"/>
                <w:szCs w:val="20"/>
                <w:lang w:eastAsia="sk-SK"/>
              </w:rPr>
              <w:t xml:space="preserve"> </w:t>
            </w:r>
            <w:r>
              <w:rPr>
                <w:b/>
                <w:bCs/>
                <w:sz w:val="20"/>
                <w:szCs w:val="20"/>
                <w:lang w:eastAsia="sk-SK"/>
              </w:rPr>
              <w:t>821</w:t>
            </w:r>
            <w:r w:rsidRPr="00F13D89">
              <w:rPr>
                <w:b/>
                <w:bCs/>
                <w:sz w:val="20"/>
                <w:szCs w:val="20"/>
                <w:lang w:eastAsia="sk-SK"/>
              </w:rPr>
              <w:t>,</w:t>
            </w:r>
            <w:r>
              <w:rPr>
                <w:b/>
                <w:bCs/>
                <w:sz w:val="20"/>
                <w:szCs w:val="20"/>
                <w:lang w:eastAsia="sk-SK"/>
              </w:rPr>
              <w:t>98</w:t>
            </w:r>
            <w:r w:rsidRPr="00F13D89">
              <w:rPr>
                <w:sz w:val="24"/>
                <w:szCs w:val="24"/>
                <w:lang w:eastAsia="sk-SK"/>
              </w:rPr>
              <w:t xml:space="preserve"> </w:t>
            </w:r>
          </w:p>
        </w:tc>
        <w:tc>
          <w:tcPr>
            <w:tcW w:w="434" w:type="pct"/>
            <w:shd w:val="clear" w:color="auto" w:fill="D9D9D9"/>
            <w:noWrap/>
            <w:vAlign w:val="center"/>
            <w:hideMark/>
          </w:tcPr>
          <w:p w14:paraId="732C3B26" w14:textId="77777777" w:rsidR="00827064" w:rsidRPr="00F13D89" w:rsidRDefault="00827064" w:rsidP="00827064">
            <w:pPr>
              <w:spacing w:after="0" w:line="240" w:lineRule="auto"/>
              <w:jc w:val="right"/>
              <w:rPr>
                <w:sz w:val="24"/>
                <w:szCs w:val="24"/>
                <w:lang w:eastAsia="sk-SK"/>
              </w:rPr>
            </w:pPr>
            <w:r>
              <w:rPr>
                <w:b/>
                <w:bCs/>
                <w:sz w:val="20"/>
                <w:szCs w:val="20"/>
                <w:lang w:eastAsia="sk-SK"/>
              </w:rPr>
              <w:t>74,36</w:t>
            </w:r>
            <w:r w:rsidRPr="00F13D89">
              <w:rPr>
                <w:sz w:val="24"/>
                <w:szCs w:val="24"/>
                <w:lang w:eastAsia="sk-SK"/>
              </w:rPr>
              <w:t xml:space="preserve"> </w:t>
            </w:r>
          </w:p>
        </w:tc>
        <w:tc>
          <w:tcPr>
            <w:tcW w:w="1026" w:type="pct"/>
            <w:vMerge w:val="restart"/>
            <w:shd w:val="clear" w:color="auto" w:fill="D9D9D9"/>
            <w:vAlign w:val="center"/>
            <w:hideMark/>
          </w:tcPr>
          <w:p w14:paraId="02E60FDA" w14:textId="6E9B0C35" w:rsidR="00827064" w:rsidRDefault="00827064" w:rsidP="00827064">
            <w:pPr>
              <w:spacing w:after="0"/>
              <w:rPr>
                <w:rFonts w:cstheme="minorHAnsi"/>
                <w:b/>
                <w:sz w:val="20"/>
                <w:szCs w:val="20"/>
                <w:lang w:eastAsia="sk-SK"/>
              </w:rPr>
            </w:pPr>
            <w:r>
              <w:rPr>
                <w:rFonts w:cstheme="minorHAnsi"/>
                <w:b/>
                <w:sz w:val="20"/>
                <w:szCs w:val="20"/>
                <w:lang w:eastAsia="sk-SK"/>
              </w:rPr>
              <w:t>-38 075,89</w:t>
            </w:r>
            <w:r w:rsidRPr="00947B75">
              <w:rPr>
                <w:rFonts w:cstheme="minorHAnsi"/>
                <w:b/>
                <w:sz w:val="20"/>
                <w:szCs w:val="20"/>
                <w:lang w:eastAsia="sk-SK"/>
              </w:rPr>
              <w:t xml:space="preserve"> EUR </w:t>
            </w:r>
            <w:r w:rsidRPr="00947B75">
              <w:rPr>
                <w:rFonts w:cstheme="minorHAnsi"/>
                <w:sz w:val="20"/>
                <w:szCs w:val="20"/>
                <w:lang w:eastAsia="sk-SK"/>
              </w:rPr>
              <w:t>presun</w:t>
            </w:r>
            <w:r>
              <w:rPr>
                <w:rFonts w:cstheme="minorHAnsi"/>
                <w:sz w:val="20"/>
                <w:szCs w:val="20"/>
                <w:lang w:eastAsia="sk-SK"/>
              </w:rPr>
              <w:t xml:space="preserve"> </w:t>
            </w:r>
            <w:r w:rsidR="00DD2057">
              <w:rPr>
                <w:rFonts w:cstheme="minorHAnsi"/>
                <w:sz w:val="20"/>
                <w:szCs w:val="20"/>
                <w:lang w:eastAsia="sk-SK"/>
              </w:rPr>
              <w:t>na PK</w:t>
            </w:r>
            <w:r>
              <w:rPr>
                <w:rFonts w:cstheme="minorHAnsi"/>
                <w:sz w:val="20"/>
                <w:szCs w:val="20"/>
                <w:lang w:eastAsia="sk-SK"/>
              </w:rPr>
              <w:t xml:space="preserve"> 3</w:t>
            </w:r>
            <w:r w:rsidR="00DD2057">
              <w:rPr>
                <w:rFonts w:cstheme="minorHAnsi"/>
                <w:sz w:val="20"/>
                <w:szCs w:val="20"/>
                <w:lang w:eastAsia="sk-SK"/>
              </w:rPr>
              <w:t>.3</w:t>
            </w:r>
          </w:p>
          <w:p w14:paraId="4EFAD92A" w14:textId="77777777" w:rsidR="00827064" w:rsidRPr="00F13D89" w:rsidRDefault="00827064" w:rsidP="00827064">
            <w:pPr>
              <w:spacing w:after="0"/>
              <w:rPr>
                <w:sz w:val="24"/>
                <w:szCs w:val="24"/>
                <w:lang w:eastAsia="sk-SK"/>
              </w:rPr>
            </w:pPr>
          </w:p>
          <w:p w14:paraId="0869F83B" w14:textId="77777777" w:rsidR="00827064" w:rsidRPr="00F13D89" w:rsidRDefault="00827064" w:rsidP="00827064">
            <w:pPr>
              <w:spacing w:after="0" w:line="240" w:lineRule="auto"/>
              <w:rPr>
                <w:sz w:val="24"/>
                <w:szCs w:val="24"/>
                <w:lang w:eastAsia="sk-SK"/>
              </w:rPr>
            </w:pPr>
          </w:p>
        </w:tc>
      </w:tr>
      <w:tr w:rsidR="00827064" w:rsidRPr="00F13D89" w14:paraId="32962C62" w14:textId="77777777" w:rsidTr="00827064">
        <w:trPr>
          <w:tblCellSpacing w:w="15" w:type="dxa"/>
        </w:trPr>
        <w:tc>
          <w:tcPr>
            <w:tcW w:w="317" w:type="pct"/>
            <w:shd w:val="clear" w:color="auto" w:fill="D9D9D9"/>
            <w:noWrap/>
            <w:vAlign w:val="center"/>
            <w:hideMark/>
          </w:tcPr>
          <w:p w14:paraId="02E7808A" w14:textId="77777777" w:rsidR="00827064" w:rsidRPr="00F13D89" w:rsidRDefault="00827064" w:rsidP="00827064">
            <w:pPr>
              <w:spacing w:after="0" w:line="240" w:lineRule="auto"/>
              <w:rPr>
                <w:sz w:val="24"/>
                <w:szCs w:val="24"/>
                <w:lang w:eastAsia="sk-SK"/>
              </w:rPr>
            </w:pPr>
            <w:r w:rsidRPr="00F13D89">
              <w:rPr>
                <w:b/>
                <w:bCs/>
                <w:sz w:val="20"/>
                <w:szCs w:val="20"/>
                <w:lang w:eastAsia="sk-SK"/>
              </w:rPr>
              <w:t>600</w:t>
            </w:r>
            <w:r w:rsidRPr="00F13D89">
              <w:rPr>
                <w:sz w:val="24"/>
                <w:szCs w:val="24"/>
                <w:lang w:eastAsia="sk-SK"/>
              </w:rPr>
              <w:t xml:space="preserve"> </w:t>
            </w:r>
          </w:p>
        </w:tc>
        <w:tc>
          <w:tcPr>
            <w:tcW w:w="993" w:type="pct"/>
            <w:shd w:val="clear" w:color="auto" w:fill="D9D9D9"/>
            <w:vAlign w:val="center"/>
            <w:hideMark/>
          </w:tcPr>
          <w:p w14:paraId="063ACD75" w14:textId="77777777" w:rsidR="00827064" w:rsidRPr="00F13D89" w:rsidRDefault="00827064" w:rsidP="00827064">
            <w:pPr>
              <w:spacing w:after="0" w:line="240" w:lineRule="auto"/>
              <w:rPr>
                <w:sz w:val="24"/>
                <w:szCs w:val="24"/>
                <w:lang w:eastAsia="sk-SK"/>
              </w:rPr>
            </w:pPr>
            <w:r w:rsidRPr="00F13D89">
              <w:rPr>
                <w:b/>
                <w:bCs/>
                <w:sz w:val="20"/>
                <w:szCs w:val="20"/>
                <w:lang w:eastAsia="sk-SK"/>
              </w:rPr>
              <w:t>Bežné výdavky</w:t>
            </w:r>
            <w:r w:rsidRPr="00F13D89">
              <w:rPr>
                <w:sz w:val="24"/>
                <w:szCs w:val="24"/>
                <w:lang w:eastAsia="sk-SK"/>
              </w:rPr>
              <w:t xml:space="preserve"> </w:t>
            </w:r>
          </w:p>
        </w:tc>
        <w:tc>
          <w:tcPr>
            <w:tcW w:w="841" w:type="pct"/>
            <w:shd w:val="clear" w:color="auto" w:fill="D9D9D9"/>
            <w:noWrap/>
            <w:vAlign w:val="center"/>
            <w:hideMark/>
          </w:tcPr>
          <w:p w14:paraId="18E8B223" w14:textId="77777777" w:rsidR="00827064" w:rsidRPr="00F13D89" w:rsidRDefault="00827064" w:rsidP="00827064">
            <w:pPr>
              <w:spacing w:after="0" w:line="240" w:lineRule="auto"/>
              <w:jc w:val="right"/>
              <w:rPr>
                <w:sz w:val="24"/>
                <w:szCs w:val="24"/>
                <w:lang w:eastAsia="sk-SK"/>
              </w:rPr>
            </w:pPr>
            <w:r>
              <w:rPr>
                <w:b/>
                <w:bCs/>
                <w:sz w:val="20"/>
                <w:szCs w:val="20"/>
                <w:lang w:eastAsia="sk-SK"/>
              </w:rPr>
              <w:t>1</w:t>
            </w:r>
            <w:r w:rsidRPr="00F13D89">
              <w:rPr>
                <w:b/>
                <w:bCs/>
                <w:sz w:val="20"/>
                <w:szCs w:val="20"/>
                <w:lang w:eastAsia="sk-SK"/>
              </w:rPr>
              <w:t xml:space="preserve"> </w:t>
            </w:r>
            <w:r>
              <w:rPr>
                <w:b/>
                <w:bCs/>
                <w:sz w:val="20"/>
                <w:szCs w:val="20"/>
                <w:lang w:eastAsia="sk-SK"/>
              </w:rPr>
              <w:t>975</w:t>
            </w:r>
            <w:r w:rsidRPr="00F13D89">
              <w:rPr>
                <w:b/>
                <w:bCs/>
                <w:sz w:val="20"/>
                <w:szCs w:val="20"/>
                <w:lang w:eastAsia="sk-SK"/>
              </w:rPr>
              <w:t xml:space="preserve"> </w:t>
            </w:r>
            <w:r>
              <w:rPr>
                <w:b/>
                <w:bCs/>
                <w:sz w:val="20"/>
                <w:szCs w:val="20"/>
                <w:lang w:eastAsia="sk-SK"/>
              </w:rPr>
              <w:t>600</w:t>
            </w:r>
            <w:r w:rsidRPr="00F13D89">
              <w:rPr>
                <w:b/>
                <w:bCs/>
                <w:sz w:val="20"/>
                <w:szCs w:val="20"/>
                <w:lang w:eastAsia="sk-SK"/>
              </w:rPr>
              <w:t>,</w:t>
            </w:r>
            <w:r>
              <w:rPr>
                <w:b/>
                <w:bCs/>
                <w:sz w:val="20"/>
                <w:szCs w:val="20"/>
                <w:lang w:eastAsia="sk-SK"/>
              </w:rPr>
              <w:t>0</w:t>
            </w:r>
            <w:r w:rsidRPr="00F13D89">
              <w:rPr>
                <w:b/>
                <w:bCs/>
                <w:sz w:val="20"/>
                <w:szCs w:val="20"/>
                <w:lang w:eastAsia="sk-SK"/>
              </w:rPr>
              <w:t>0</w:t>
            </w:r>
            <w:r w:rsidRPr="00F13D89">
              <w:rPr>
                <w:sz w:val="24"/>
                <w:szCs w:val="24"/>
                <w:lang w:eastAsia="sk-SK"/>
              </w:rPr>
              <w:t xml:space="preserve"> </w:t>
            </w:r>
          </w:p>
        </w:tc>
        <w:tc>
          <w:tcPr>
            <w:tcW w:w="637" w:type="pct"/>
            <w:shd w:val="clear" w:color="auto" w:fill="D9D9D9"/>
            <w:noWrap/>
            <w:vAlign w:val="center"/>
            <w:hideMark/>
          </w:tcPr>
          <w:p w14:paraId="3206AEC4" w14:textId="77777777" w:rsidR="00827064" w:rsidRPr="00F13D89" w:rsidRDefault="00827064" w:rsidP="00827064">
            <w:pPr>
              <w:spacing w:after="0" w:line="240" w:lineRule="auto"/>
              <w:jc w:val="right"/>
              <w:rPr>
                <w:sz w:val="24"/>
                <w:szCs w:val="24"/>
                <w:lang w:eastAsia="sk-SK"/>
              </w:rPr>
            </w:pPr>
            <w:r w:rsidRPr="00F13D89">
              <w:rPr>
                <w:b/>
                <w:bCs/>
                <w:sz w:val="20"/>
                <w:szCs w:val="20"/>
                <w:lang w:eastAsia="sk-SK"/>
              </w:rPr>
              <w:t xml:space="preserve">2 </w:t>
            </w:r>
            <w:r>
              <w:rPr>
                <w:b/>
                <w:bCs/>
                <w:sz w:val="20"/>
                <w:szCs w:val="20"/>
                <w:lang w:eastAsia="sk-SK"/>
              </w:rPr>
              <w:t>573</w:t>
            </w:r>
            <w:r w:rsidRPr="00F13D89">
              <w:rPr>
                <w:b/>
                <w:bCs/>
                <w:sz w:val="20"/>
                <w:szCs w:val="20"/>
                <w:lang w:eastAsia="sk-SK"/>
              </w:rPr>
              <w:t xml:space="preserve"> </w:t>
            </w:r>
            <w:r>
              <w:rPr>
                <w:b/>
                <w:bCs/>
                <w:sz w:val="20"/>
                <w:szCs w:val="20"/>
                <w:lang w:eastAsia="sk-SK"/>
              </w:rPr>
              <w:t>600</w:t>
            </w:r>
            <w:r w:rsidRPr="00F13D89">
              <w:rPr>
                <w:b/>
                <w:bCs/>
                <w:sz w:val="20"/>
                <w:szCs w:val="20"/>
                <w:lang w:eastAsia="sk-SK"/>
              </w:rPr>
              <w:t>,</w:t>
            </w:r>
            <w:r>
              <w:rPr>
                <w:b/>
                <w:bCs/>
                <w:sz w:val="20"/>
                <w:szCs w:val="20"/>
                <w:lang w:eastAsia="sk-SK"/>
              </w:rPr>
              <w:t>00</w:t>
            </w:r>
          </w:p>
        </w:tc>
        <w:tc>
          <w:tcPr>
            <w:tcW w:w="637" w:type="pct"/>
            <w:shd w:val="clear" w:color="auto" w:fill="D9D9D9"/>
            <w:noWrap/>
            <w:vAlign w:val="center"/>
            <w:hideMark/>
          </w:tcPr>
          <w:p w14:paraId="456B596D" w14:textId="77777777" w:rsidR="00827064" w:rsidRPr="00F13D89" w:rsidRDefault="00827064" w:rsidP="00827064">
            <w:pPr>
              <w:spacing w:after="0" w:line="240" w:lineRule="auto"/>
              <w:jc w:val="right"/>
              <w:rPr>
                <w:sz w:val="24"/>
                <w:szCs w:val="24"/>
                <w:lang w:eastAsia="sk-SK"/>
              </w:rPr>
            </w:pPr>
            <w:r>
              <w:rPr>
                <w:b/>
                <w:bCs/>
                <w:sz w:val="20"/>
                <w:szCs w:val="20"/>
                <w:lang w:eastAsia="sk-SK"/>
              </w:rPr>
              <w:t>2</w:t>
            </w:r>
            <w:r w:rsidRPr="00F13D89">
              <w:rPr>
                <w:b/>
                <w:bCs/>
                <w:sz w:val="20"/>
                <w:szCs w:val="20"/>
                <w:lang w:eastAsia="sk-SK"/>
              </w:rPr>
              <w:t xml:space="preserve"> </w:t>
            </w:r>
            <w:r>
              <w:rPr>
                <w:b/>
                <w:bCs/>
                <w:sz w:val="20"/>
                <w:szCs w:val="20"/>
                <w:lang w:eastAsia="sk-SK"/>
              </w:rPr>
              <w:t>313</w:t>
            </w:r>
            <w:r w:rsidRPr="00F13D89">
              <w:rPr>
                <w:b/>
                <w:bCs/>
                <w:sz w:val="20"/>
                <w:szCs w:val="20"/>
                <w:lang w:eastAsia="sk-SK"/>
              </w:rPr>
              <w:t xml:space="preserve"> </w:t>
            </w:r>
            <w:r>
              <w:rPr>
                <w:b/>
                <w:bCs/>
                <w:sz w:val="20"/>
                <w:szCs w:val="20"/>
                <w:lang w:eastAsia="sk-SK"/>
              </w:rPr>
              <w:t>016</w:t>
            </w:r>
            <w:r w:rsidRPr="00F13D89">
              <w:rPr>
                <w:b/>
                <w:bCs/>
                <w:sz w:val="20"/>
                <w:szCs w:val="20"/>
                <w:lang w:eastAsia="sk-SK"/>
              </w:rPr>
              <w:t>,</w:t>
            </w:r>
            <w:r>
              <w:rPr>
                <w:b/>
                <w:bCs/>
                <w:sz w:val="20"/>
                <w:szCs w:val="20"/>
                <w:lang w:eastAsia="sk-SK"/>
              </w:rPr>
              <w:t>11</w:t>
            </w:r>
            <w:r w:rsidRPr="00F13D89">
              <w:rPr>
                <w:sz w:val="24"/>
                <w:szCs w:val="24"/>
                <w:lang w:eastAsia="sk-SK"/>
              </w:rPr>
              <w:t xml:space="preserve"> </w:t>
            </w:r>
          </w:p>
        </w:tc>
        <w:tc>
          <w:tcPr>
            <w:tcW w:w="434" w:type="pct"/>
            <w:shd w:val="clear" w:color="auto" w:fill="D9D9D9"/>
            <w:noWrap/>
            <w:vAlign w:val="center"/>
            <w:hideMark/>
          </w:tcPr>
          <w:p w14:paraId="42527FFB" w14:textId="77777777" w:rsidR="00827064" w:rsidRPr="00F13D89" w:rsidRDefault="00827064" w:rsidP="00827064">
            <w:pPr>
              <w:spacing w:after="0" w:line="240" w:lineRule="auto"/>
              <w:jc w:val="right"/>
              <w:rPr>
                <w:sz w:val="24"/>
                <w:szCs w:val="24"/>
                <w:lang w:eastAsia="sk-SK"/>
              </w:rPr>
            </w:pPr>
            <w:r>
              <w:rPr>
                <w:b/>
                <w:bCs/>
                <w:sz w:val="20"/>
                <w:szCs w:val="20"/>
                <w:lang w:eastAsia="sk-SK"/>
              </w:rPr>
              <w:t>89,87</w:t>
            </w:r>
            <w:r w:rsidRPr="00F13D89">
              <w:rPr>
                <w:sz w:val="24"/>
                <w:szCs w:val="24"/>
                <w:lang w:eastAsia="sk-SK"/>
              </w:rPr>
              <w:t xml:space="preserve"> </w:t>
            </w:r>
          </w:p>
        </w:tc>
        <w:tc>
          <w:tcPr>
            <w:tcW w:w="1026" w:type="pct"/>
            <w:vMerge/>
            <w:shd w:val="clear" w:color="auto" w:fill="D9D9D9"/>
            <w:vAlign w:val="center"/>
            <w:hideMark/>
          </w:tcPr>
          <w:p w14:paraId="72048604" w14:textId="77777777" w:rsidR="00827064" w:rsidRPr="00F13D89" w:rsidRDefault="00827064" w:rsidP="00827064">
            <w:pPr>
              <w:spacing w:after="0" w:line="240" w:lineRule="auto"/>
              <w:rPr>
                <w:sz w:val="24"/>
                <w:szCs w:val="24"/>
                <w:lang w:eastAsia="sk-SK"/>
              </w:rPr>
            </w:pPr>
          </w:p>
        </w:tc>
      </w:tr>
      <w:tr w:rsidR="00827064" w:rsidRPr="00F13D89" w14:paraId="7A056675" w14:textId="77777777" w:rsidTr="00827064">
        <w:trPr>
          <w:tblCellSpacing w:w="15" w:type="dxa"/>
        </w:trPr>
        <w:tc>
          <w:tcPr>
            <w:tcW w:w="317" w:type="pct"/>
            <w:shd w:val="clear" w:color="auto" w:fill="EFEFEF"/>
            <w:noWrap/>
            <w:vAlign w:val="center"/>
            <w:hideMark/>
          </w:tcPr>
          <w:p w14:paraId="463178DA" w14:textId="77777777" w:rsidR="00827064" w:rsidRPr="00F13D89" w:rsidRDefault="00827064" w:rsidP="00827064">
            <w:pPr>
              <w:spacing w:after="0" w:line="240" w:lineRule="auto"/>
              <w:rPr>
                <w:sz w:val="24"/>
                <w:szCs w:val="24"/>
                <w:lang w:eastAsia="sk-SK"/>
              </w:rPr>
            </w:pPr>
            <w:r w:rsidRPr="00F13D89">
              <w:rPr>
                <w:sz w:val="20"/>
                <w:szCs w:val="20"/>
                <w:lang w:eastAsia="sk-SK"/>
              </w:rPr>
              <w:t>630</w:t>
            </w:r>
            <w:r w:rsidRPr="00F13D89">
              <w:rPr>
                <w:sz w:val="24"/>
                <w:szCs w:val="24"/>
                <w:lang w:eastAsia="sk-SK"/>
              </w:rPr>
              <w:t xml:space="preserve"> </w:t>
            </w:r>
          </w:p>
        </w:tc>
        <w:tc>
          <w:tcPr>
            <w:tcW w:w="993" w:type="pct"/>
            <w:shd w:val="clear" w:color="auto" w:fill="EFEFEF"/>
            <w:vAlign w:val="center"/>
            <w:hideMark/>
          </w:tcPr>
          <w:p w14:paraId="72F62772" w14:textId="77777777" w:rsidR="00827064" w:rsidRPr="00F13D89" w:rsidRDefault="00827064" w:rsidP="00827064">
            <w:pPr>
              <w:spacing w:after="0" w:line="240" w:lineRule="auto"/>
              <w:rPr>
                <w:sz w:val="24"/>
                <w:szCs w:val="24"/>
                <w:lang w:eastAsia="sk-SK"/>
              </w:rPr>
            </w:pPr>
            <w:r w:rsidRPr="00F13D89">
              <w:rPr>
                <w:sz w:val="20"/>
                <w:szCs w:val="20"/>
                <w:lang w:eastAsia="sk-SK"/>
              </w:rPr>
              <w:t>Tovary a služby</w:t>
            </w:r>
            <w:r w:rsidRPr="00F13D89">
              <w:rPr>
                <w:sz w:val="24"/>
                <w:szCs w:val="24"/>
                <w:lang w:eastAsia="sk-SK"/>
              </w:rPr>
              <w:t xml:space="preserve"> </w:t>
            </w:r>
          </w:p>
        </w:tc>
        <w:tc>
          <w:tcPr>
            <w:tcW w:w="841" w:type="pct"/>
            <w:shd w:val="clear" w:color="auto" w:fill="EFEFEF"/>
            <w:noWrap/>
            <w:vAlign w:val="center"/>
            <w:hideMark/>
          </w:tcPr>
          <w:p w14:paraId="685441F7" w14:textId="77777777" w:rsidR="00827064" w:rsidRPr="00F13D89" w:rsidRDefault="00827064" w:rsidP="00827064">
            <w:pPr>
              <w:spacing w:after="0" w:line="240" w:lineRule="auto"/>
              <w:jc w:val="right"/>
              <w:rPr>
                <w:sz w:val="24"/>
                <w:szCs w:val="24"/>
                <w:lang w:eastAsia="sk-SK"/>
              </w:rPr>
            </w:pPr>
            <w:r>
              <w:rPr>
                <w:sz w:val="20"/>
                <w:szCs w:val="20"/>
                <w:lang w:eastAsia="sk-SK"/>
              </w:rPr>
              <w:t>1</w:t>
            </w:r>
            <w:r w:rsidRPr="00F13D89">
              <w:rPr>
                <w:sz w:val="20"/>
                <w:szCs w:val="20"/>
                <w:lang w:eastAsia="sk-SK"/>
              </w:rPr>
              <w:t xml:space="preserve"> </w:t>
            </w:r>
            <w:r>
              <w:rPr>
                <w:sz w:val="20"/>
                <w:szCs w:val="20"/>
                <w:lang w:eastAsia="sk-SK"/>
              </w:rPr>
              <w:t>975</w:t>
            </w:r>
            <w:r w:rsidRPr="00F13D89">
              <w:rPr>
                <w:sz w:val="20"/>
                <w:szCs w:val="20"/>
                <w:lang w:eastAsia="sk-SK"/>
              </w:rPr>
              <w:t xml:space="preserve"> </w:t>
            </w:r>
            <w:r>
              <w:rPr>
                <w:sz w:val="20"/>
                <w:szCs w:val="20"/>
                <w:lang w:eastAsia="sk-SK"/>
              </w:rPr>
              <w:t>60</w:t>
            </w:r>
            <w:r w:rsidRPr="00F13D89">
              <w:rPr>
                <w:sz w:val="20"/>
                <w:szCs w:val="20"/>
                <w:lang w:eastAsia="sk-SK"/>
              </w:rPr>
              <w:t>0,00</w:t>
            </w:r>
            <w:r w:rsidRPr="00F13D89">
              <w:rPr>
                <w:sz w:val="24"/>
                <w:szCs w:val="24"/>
                <w:lang w:eastAsia="sk-SK"/>
              </w:rPr>
              <w:t xml:space="preserve"> </w:t>
            </w:r>
          </w:p>
        </w:tc>
        <w:tc>
          <w:tcPr>
            <w:tcW w:w="637" w:type="pct"/>
            <w:shd w:val="clear" w:color="auto" w:fill="EFEFEF"/>
            <w:noWrap/>
            <w:vAlign w:val="center"/>
            <w:hideMark/>
          </w:tcPr>
          <w:p w14:paraId="03737CD2" w14:textId="77777777" w:rsidR="00827064" w:rsidRPr="00F13D89" w:rsidRDefault="00827064" w:rsidP="00827064">
            <w:pPr>
              <w:spacing w:after="0" w:line="240" w:lineRule="auto"/>
              <w:jc w:val="right"/>
              <w:rPr>
                <w:sz w:val="24"/>
                <w:szCs w:val="24"/>
                <w:lang w:eastAsia="sk-SK"/>
              </w:rPr>
            </w:pPr>
            <w:r w:rsidRPr="00F13D89">
              <w:rPr>
                <w:sz w:val="20"/>
                <w:szCs w:val="20"/>
                <w:lang w:eastAsia="sk-SK"/>
              </w:rPr>
              <w:t xml:space="preserve">2 </w:t>
            </w:r>
            <w:r>
              <w:rPr>
                <w:sz w:val="20"/>
                <w:szCs w:val="20"/>
                <w:lang w:eastAsia="sk-SK"/>
              </w:rPr>
              <w:t>505</w:t>
            </w:r>
            <w:r w:rsidRPr="00F13D89">
              <w:rPr>
                <w:sz w:val="20"/>
                <w:szCs w:val="20"/>
                <w:lang w:eastAsia="sk-SK"/>
              </w:rPr>
              <w:t xml:space="preserve"> </w:t>
            </w:r>
            <w:r>
              <w:rPr>
                <w:sz w:val="20"/>
                <w:szCs w:val="20"/>
                <w:lang w:eastAsia="sk-SK"/>
              </w:rPr>
              <w:t>200</w:t>
            </w:r>
            <w:r w:rsidRPr="00F13D89">
              <w:rPr>
                <w:sz w:val="20"/>
                <w:szCs w:val="20"/>
                <w:lang w:eastAsia="sk-SK"/>
              </w:rPr>
              <w:t>,</w:t>
            </w:r>
            <w:r>
              <w:rPr>
                <w:sz w:val="20"/>
                <w:szCs w:val="20"/>
                <w:lang w:eastAsia="sk-SK"/>
              </w:rPr>
              <w:t>00</w:t>
            </w:r>
            <w:r w:rsidRPr="00F13D89">
              <w:rPr>
                <w:sz w:val="24"/>
                <w:szCs w:val="24"/>
                <w:lang w:eastAsia="sk-SK"/>
              </w:rPr>
              <w:t xml:space="preserve"> </w:t>
            </w:r>
          </w:p>
        </w:tc>
        <w:tc>
          <w:tcPr>
            <w:tcW w:w="637" w:type="pct"/>
            <w:shd w:val="clear" w:color="auto" w:fill="EFEFEF"/>
            <w:noWrap/>
            <w:vAlign w:val="center"/>
            <w:hideMark/>
          </w:tcPr>
          <w:p w14:paraId="008840D6" w14:textId="77777777" w:rsidR="00827064" w:rsidRPr="00F13D89" w:rsidRDefault="00827064" w:rsidP="00827064">
            <w:pPr>
              <w:spacing w:after="0" w:line="240" w:lineRule="auto"/>
              <w:jc w:val="right"/>
              <w:rPr>
                <w:sz w:val="24"/>
                <w:szCs w:val="24"/>
                <w:lang w:eastAsia="sk-SK"/>
              </w:rPr>
            </w:pPr>
            <w:r>
              <w:rPr>
                <w:sz w:val="20"/>
                <w:szCs w:val="20"/>
                <w:lang w:eastAsia="sk-SK"/>
              </w:rPr>
              <w:t>2 244</w:t>
            </w:r>
            <w:r w:rsidRPr="00F13D89">
              <w:rPr>
                <w:sz w:val="20"/>
                <w:szCs w:val="20"/>
                <w:lang w:eastAsia="sk-SK"/>
              </w:rPr>
              <w:t xml:space="preserve"> </w:t>
            </w:r>
            <w:r>
              <w:rPr>
                <w:sz w:val="20"/>
                <w:szCs w:val="20"/>
                <w:lang w:eastAsia="sk-SK"/>
              </w:rPr>
              <w:t>616</w:t>
            </w:r>
            <w:r w:rsidRPr="00F13D89">
              <w:rPr>
                <w:sz w:val="20"/>
                <w:szCs w:val="20"/>
                <w:lang w:eastAsia="sk-SK"/>
              </w:rPr>
              <w:t>,</w:t>
            </w:r>
            <w:r>
              <w:rPr>
                <w:sz w:val="20"/>
                <w:szCs w:val="20"/>
                <w:lang w:eastAsia="sk-SK"/>
              </w:rPr>
              <w:t>11</w:t>
            </w:r>
            <w:r w:rsidRPr="00F13D89">
              <w:rPr>
                <w:sz w:val="24"/>
                <w:szCs w:val="24"/>
                <w:lang w:eastAsia="sk-SK"/>
              </w:rPr>
              <w:t xml:space="preserve"> </w:t>
            </w:r>
          </w:p>
        </w:tc>
        <w:tc>
          <w:tcPr>
            <w:tcW w:w="434" w:type="pct"/>
            <w:shd w:val="clear" w:color="auto" w:fill="EFEFEF"/>
            <w:noWrap/>
            <w:vAlign w:val="center"/>
            <w:hideMark/>
          </w:tcPr>
          <w:p w14:paraId="062BFC3B" w14:textId="77777777" w:rsidR="00827064" w:rsidRPr="00F13D89" w:rsidRDefault="00827064" w:rsidP="00827064">
            <w:pPr>
              <w:spacing w:after="0" w:line="240" w:lineRule="auto"/>
              <w:jc w:val="right"/>
              <w:rPr>
                <w:sz w:val="24"/>
                <w:szCs w:val="24"/>
                <w:lang w:eastAsia="sk-SK"/>
              </w:rPr>
            </w:pPr>
            <w:r w:rsidRPr="00F13D89">
              <w:rPr>
                <w:sz w:val="20"/>
                <w:szCs w:val="20"/>
                <w:lang w:eastAsia="sk-SK"/>
              </w:rPr>
              <w:t>8</w:t>
            </w:r>
            <w:r>
              <w:rPr>
                <w:sz w:val="20"/>
                <w:szCs w:val="20"/>
                <w:lang w:eastAsia="sk-SK"/>
              </w:rPr>
              <w:t>9</w:t>
            </w:r>
            <w:r w:rsidRPr="00F13D89">
              <w:rPr>
                <w:sz w:val="20"/>
                <w:szCs w:val="20"/>
                <w:lang w:eastAsia="sk-SK"/>
              </w:rPr>
              <w:t>,</w:t>
            </w:r>
            <w:r>
              <w:rPr>
                <w:sz w:val="20"/>
                <w:szCs w:val="20"/>
                <w:lang w:eastAsia="sk-SK"/>
              </w:rPr>
              <w:t>60</w:t>
            </w:r>
            <w:r w:rsidRPr="00F13D89">
              <w:rPr>
                <w:sz w:val="24"/>
                <w:szCs w:val="24"/>
                <w:lang w:eastAsia="sk-SK"/>
              </w:rPr>
              <w:t xml:space="preserve"> </w:t>
            </w:r>
          </w:p>
        </w:tc>
        <w:tc>
          <w:tcPr>
            <w:tcW w:w="1026" w:type="pct"/>
            <w:vMerge/>
            <w:shd w:val="clear" w:color="auto" w:fill="EFEFEF"/>
            <w:vAlign w:val="center"/>
            <w:hideMark/>
          </w:tcPr>
          <w:p w14:paraId="60781689" w14:textId="77777777" w:rsidR="00827064" w:rsidRPr="00F13D89" w:rsidRDefault="00827064" w:rsidP="00827064">
            <w:pPr>
              <w:spacing w:after="0" w:line="240" w:lineRule="auto"/>
              <w:rPr>
                <w:sz w:val="24"/>
                <w:szCs w:val="24"/>
                <w:lang w:eastAsia="sk-SK"/>
              </w:rPr>
            </w:pPr>
          </w:p>
        </w:tc>
      </w:tr>
      <w:tr w:rsidR="00827064" w:rsidRPr="00F13D89" w14:paraId="5EA0402B" w14:textId="77777777" w:rsidTr="00827064">
        <w:trPr>
          <w:tblCellSpacing w:w="15" w:type="dxa"/>
        </w:trPr>
        <w:tc>
          <w:tcPr>
            <w:tcW w:w="317" w:type="pct"/>
            <w:shd w:val="clear" w:color="auto" w:fill="EFEFEF"/>
            <w:noWrap/>
            <w:vAlign w:val="center"/>
          </w:tcPr>
          <w:p w14:paraId="3C388B8B" w14:textId="77777777" w:rsidR="00827064" w:rsidRPr="00F13D89" w:rsidRDefault="00827064" w:rsidP="00827064">
            <w:pPr>
              <w:spacing w:after="0" w:line="240" w:lineRule="auto"/>
              <w:rPr>
                <w:sz w:val="24"/>
                <w:szCs w:val="24"/>
                <w:lang w:eastAsia="sk-SK"/>
              </w:rPr>
            </w:pPr>
            <w:r w:rsidRPr="00F13D89">
              <w:rPr>
                <w:sz w:val="20"/>
                <w:szCs w:val="20"/>
                <w:lang w:eastAsia="sk-SK"/>
              </w:rPr>
              <w:t>640</w:t>
            </w:r>
            <w:r w:rsidRPr="00F13D89">
              <w:rPr>
                <w:sz w:val="24"/>
                <w:szCs w:val="24"/>
                <w:lang w:eastAsia="sk-SK"/>
              </w:rPr>
              <w:t xml:space="preserve"> </w:t>
            </w:r>
          </w:p>
        </w:tc>
        <w:tc>
          <w:tcPr>
            <w:tcW w:w="993" w:type="pct"/>
            <w:shd w:val="clear" w:color="auto" w:fill="EFEFEF"/>
            <w:vAlign w:val="center"/>
          </w:tcPr>
          <w:p w14:paraId="604E22D8" w14:textId="77777777" w:rsidR="00827064" w:rsidRPr="00F13D89" w:rsidRDefault="00827064" w:rsidP="00827064">
            <w:pPr>
              <w:spacing w:after="0" w:line="240" w:lineRule="auto"/>
              <w:rPr>
                <w:sz w:val="24"/>
                <w:szCs w:val="24"/>
                <w:lang w:eastAsia="sk-SK"/>
              </w:rPr>
            </w:pPr>
            <w:r w:rsidRPr="00F13D89">
              <w:rPr>
                <w:sz w:val="20"/>
                <w:szCs w:val="20"/>
                <w:lang w:eastAsia="sk-SK"/>
              </w:rPr>
              <w:t>Bežné transfery</w:t>
            </w:r>
            <w:r w:rsidRPr="00F13D89">
              <w:rPr>
                <w:sz w:val="24"/>
                <w:szCs w:val="24"/>
                <w:lang w:eastAsia="sk-SK"/>
              </w:rPr>
              <w:t xml:space="preserve"> </w:t>
            </w:r>
          </w:p>
        </w:tc>
        <w:tc>
          <w:tcPr>
            <w:tcW w:w="841" w:type="pct"/>
            <w:shd w:val="clear" w:color="auto" w:fill="EFEFEF"/>
            <w:noWrap/>
            <w:vAlign w:val="center"/>
          </w:tcPr>
          <w:p w14:paraId="309BA005" w14:textId="77777777" w:rsidR="00827064" w:rsidRPr="00F13D89" w:rsidRDefault="00827064" w:rsidP="00827064">
            <w:pPr>
              <w:spacing w:after="0" w:line="240" w:lineRule="auto"/>
              <w:jc w:val="right"/>
              <w:rPr>
                <w:sz w:val="24"/>
                <w:szCs w:val="24"/>
                <w:lang w:eastAsia="sk-SK"/>
              </w:rPr>
            </w:pPr>
            <w:r w:rsidRPr="00F13D89">
              <w:rPr>
                <w:sz w:val="20"/>
                <w:szCs w:val="20"/>
                <w:lang w:eastAsia="sk-SK"/>
              </w:rPr>
              <w:t>0,00</w:t>
            </w:r>
            <w:r w:rsidRPr="00F13D89">
              <w:rPr>
                <w:sz w:val="24"/>
                <w:szCs w:val="24"/>
                <w:lang w:eastAsia="sk-SK"/>
              </w:rPr>
              <w:t xml:space="preserve"> </w:t>
            </w:r>
          </w:p>
        </w:tc>
        <w:tc>
          <w:tcPr>
            <w:tcW w:w="637" w:type="pct"/>
            <w:shd w:val="clear" w:color="auto" w:fill="EFEFEF"/>
            <w:noWrap/>
            <w:vAlign w:val="center"/>
          </w:tcPr>
          <w:p w14:paraId="5D56BAB4" w14:textId="77777777" w:rsidR="00827064" w:rsidRPr="00F13D89" w:rsidRDefault="00827064" w:rsidP="00827064">
            <w:pPr>
              <w:spacing w:after="0" w:line="240" w:lineRule="auto"/>
              <w:jc w:val="right"/>
              <w:rPr>
                <w:sz w:val="24"/>
                <w:szCs w:val="24"/>
                <w:lang w:eastAsia="sk-SK"/>
              </w:rPr>
            </w:pPr>
            <w:r>
              <w:rPr>
                <w:sz w:val="20"/>
                <w:szCs w:val="20"/>
                <w:lang w:eastAsia="sk-SK"/>
              </w:rPr>
              <w:t>68 400,00</w:t>
            </w:r>
            <w:r w:rsidRPr="00F13D89">
              <w:rPr>
                <w:sz w:val="24"/>
                <w:szCs w:val="24"/>
                <w:lang w:eastAsia="sk-SK"/>
              </w:rPr>
              <w:t xml:space="preserve"> </w:t>
            </w:r>
          </w:p>
        </w:tc>
        <w:tc>
          <w:tcPr>
            <w:tcW w:w="637" w:type="pct"/>
            <w:shd w:val="clear" w:color="auto" w:fill="EFEFEF"/>
            <w:noWrap/>
            <w:vAlign w:val="center"/>
          </w:tcPr>
          <w:p w14:paraId="634571E4" w14:textId="77777777" w:rsidR="00827064" w:rsidRPr="00F13D89" w:rsidRDefault="00827064" w:rsidP="00827064">
            <w:pPr>
              <w:spacing w:after="0" w:line="240" w:lineRule="auto"/>
              <w:jc w:val="right"/>
              <w:rPr>
                <w:sz w:val="24"/>
                <w:szCs w:val="24"/>
                <w:lang w:eastAsia="sk-SK"/>
              </w:rPr>
            </w:pPr>
            <w:r>
              <w:rPr>
                <w:sz w:val="20"/>
                <w:szCs w:val="20"/>
                <w:lang w:eastAsia="sk-SK"/>
              </w:rPr>
              <w:t>68 400,00</w:t>
            </w:r>
            <w:r w:rsidRPr="00F13D89">
              <w:rPr>
                <w:sz w:val="24"/>
                <w:szCs w:val="24"/>
                <w:lang w:eastAsia="sk-SK"/>
              </w:rPr>
              <w:t xml:space="preserve"> </w:t>
            </w:r>
          </w:p>
        </w:tc>
        <w:tc>
          <w:tcPr>
            <w:tcW w:w="434" w:type="pct"/>
            <w:shd w:val="clear" w:color="auto" w:fill="EFEFEF"/>
            <w:noWrap/>
            <w:vAlign w:val="center"/>
          </w:tcPr>
          <w:p w14:paraId="7A2F243F" w14:textId="77777777" w:rsidR="00827064" w:rsidRPr="00F13D89" w:rsidRDefault="00827064" w:rsidP="00827064">
            <w:pPr>
              <w:spacing w:after="0" w:line="240" w:lineRule="auto"/>
              <w:jc w:val="right"/>
              <w:rPr>
                <w:sz w:val="24"/>
                <w:szCs w:val="24"/>
                <w:lang w:eastAsia="sk-SK"/>
              </w:rPr>
            </w:pPr>
            <w:r>
              <w:rPr>
                <w:sz w:val="20"/>
                <w:szCs w:val="20"/>
                <w:lang w:eastAsia="sk-SK"/>
              </w:rPr>
              <w:t>10</w:t>
            </w:r>
            <w:r w:rsidRPr="00F13D89">
              <w:rPr>
                <w:sz w:val="20"/>
                <w:szCs w:val="20"/>
                <w:lang w:eastAsia="sk-SK"/>
              </w:rPr>
              <w:t>0,00</w:t>
            </w:r>
            <w:r w:rsidRPr="00F13D89">
              <w:rPr>
                <w:sz w:val="24"/>
                <w:szCs w:val="24"/>
                <w:lang w:eastAsia="sk-SK"/>
              </w:rPr>
              <w:t xml:space="preserve"> </w:t>
            </w:r>
          </w:p>
        </w:tc>
        <w:tc>
          <w:tcPr>
            <w:tcW w:w="1026" w:type="pct"/>
            <w:vMerge/>
            <w:shd w:val="clear" w:color="auto" w:fill="EFEFEF"/>
            <w:vAlign w:val="center"/>
          </w:tcPr>
          <w:p w14:paraId="7D8E7EB7" w14:textId="77777777" w:rsidR="00827064" w:rsidRPr="00F13D89" w:rsidRDefault="00827064" w:rsidP="00827064">
            <w:pPr>
              <w:spacing w:after="0" w:line="240" w:lineRule="auto"/>
              <w:rPr>
                <w:sz w:val="24"/>
                <w:szCs w:val="24"/>
                <w:lang w:eastAsia="sk-SK"/>
              </w:rPr>
            </w:pPr>
          </w:p>
        </w:tc>
      </w:tr>
      <w:tr w:rsidR="00827064" w:rsidRPr="00F13D89" w14:paraId="57CC4CC1" w14:textId="77777777" w:rsidTr="00827064">
        <w:trPr>
          <w:tblCellSpacing w:w="15" w:type="dxa"/>
        </w:trPr>
        <w:tc>
          <w:tcPr>
            <w:tcW w:w="317" w:type="pct"/>
            <w:shd w:val="clear" w:color="auto" w:fill="DDD9C3" w:themeFill="background2" w:themeFillShade="E6"/>
            <w:noWrap/>
            <w:vAlign w:val="center"/>
          </w:tcPr>
          <w:p w14:paraId="44CA9E0B" w14:textId="77777777" w:rsidR="00827064" w:rsidRPr="00F13D89" w:rsidRDefault="00827064" w:rsidP="00827064">
            <w:pPr>
              <w:spacing w:after="0" w:line="240" w:lineRule="auto"/>
              <w:rPr>
                <w:sz w:val="24"/>
                <w:szCs w:val="24"/>
                <w:lang w:eastAsia="sk-SK"/>
              </w:rPr>
            </w:pPr>
            <w:r w:rsidRPr="00F13D89">
              <w:rPr>
                <w:b/>
                <w:bCs/>
                <w:sz w:val="20"/>
                <w:szCs w:val="20"/>
                <w:lang w:eastAsia="sk-SK"/>
              </w:rPr>
              <w:t>700</w:t>
            </w:r>
            <w:r w:rsidRPr="00F13D89">
              <w:rPr>
                <w:sz w:val="24"/>
                <w:szCs w:val="24"/>
                <w:lang w:eastAsia="sk-SK"/>
              </w:rPr>
              <w:t xml:space="preserve"> </w:t>
            </w:r>
          </w:p>
        </w:tc>
        <w:tc>
          <w:tcPr>
            <w:tcW w:w="993" w:type="pct"/>
            <w:shd w:val="clear" w:color="auto" w:fill="DDD9C3" w:themeFill="background2" w:themeFillShade="E6"/>
            <w:vAlign w:val="center"/>
          </w:tcPr>
          <w:p w14:paraId="2C1DDF78" w14:textId="77777777" w:rsidR="00827064" w:rsidRPr="00F13D89" w:rsidRDefault="00827064" w:rsidP="00827064">
            <w:pPr>
              <w:spacing w:after="0" w:line="240" w:lineRule="auto"/>
              <w:rPr>
                <w:sz w:val="24"/>
                <w:szCs w:val="24"/>
                <w:lang w:eastAsia="sk-SK"/>
              </w:rPr>
            </w:pPr>
            <w:r w:rsidRPr="00F13D89">
              <w:rPr>
                <w:b/>
                <w:bCs/>
                <w:sz w:val="20"/>
                <w:szCs w:val="20"/>
                <w:lang w:eastAsia="sk-SK"/>
              </w:rPr>
              <w:t>Kapitálové výdavky</w:t>
            </w:r>
            <w:r w:rsidRPr="00F13D89">
              <w:rPr>
                <w:sz w:val="24"/>
                <w:szCs w:val="24"/>
                <w:lang w:eastAsia="sk-SK"/>
              </w:rPr>
              <w:t xml:space="preserve"> </w:t>
            </w:r>
          </w:p>
        </w:tc>
        <w:tc>
          <w:tcPr>
            <w:tcW w:w="841" w:type="pct"/>
            <w:shd w:val="clear" w:color="auto" w:fill="DDD9C3" w:themeFill="background2" w:themeFillShade="E6"/>
            <w:noWrap/>
            <w:vAlign w:val="center"/>
          </w:tcPr>
          <w:p w14:paraId="1112BF69" w14:textId="77777777" w:rsidR="00827064" w:rsidRPr="00F13D89" w:rsidRDefault="00827064" w:rsidP="00827064">
            <w:pPr>
              <w:spacing w:after="0" w:line="240" w:lineRule="auto"/>
              <w:jc w:val="right"/>
              <w:rPr>
                <w:sz w:val="24"/>
                <w:szCs w:val="24"/>
                <w:lang w:eastAsia="sk-SK"/>
              </w:rPr>
            </w:pPr>
            <w:r>
              <w:rPr>
                <w:sz w:val="20"/>
                <w:szCs w:val="20"/>
                <w:lang w:eastAsia="sk-SK"/>
              </w:rPr>
              <w:t>2 180 00</w:t>
            </w:r>
            <w:r w:rsidRPr="00F13D89">
              <w:rPr>
                <w:sz w:val="20"/>
                <w:szCs w:val="20"/>
                <w:lang w:eastAsia="sk-SK"/>
              </w:rPr>
              <w:t>0,00</w:t>
            </w:r>
          </w:p>
        </w:tc>
        <w:tc>
          <w:tcPr>
            <w:tcW w:w="637" w:type="pct"/>
            <w:shd w:val="clear" w:color="auto" w:fill="DDD9C3" w:themeFill="background2" w:themeFillShade="E6"/>
            <w:noWrap/>
            <w:vAlign w:val="center"/>
          </w:tcPr>
          <w:p w14:paraId="1745D732" w14:textId="77777777" w:rsidR="00827064" w:rsidRPr="00F13D89" w:rsidRDefault="00827064" w:rsidP="00827064">
            <w:pPr>
              <w:spacing w:after="0" w:line="240" w:lineRule="auto"/>
              <w:jc w:val="right"/>
              <w:rPr>
                <w:sz w:val="24"/>
                <w:szCs w:val="24"/>
                <w:lang w:eastAsia="sk-SK"/>
              </w:rPr>
            </w:pPr>
            <w:r>
              <w:rPr>
                <w:sz w:val="20"/>
                <w:szCs w:val="20"/>
                <w:lang w:eastAsia="sk-SK"/>
              </w:rPr>
              <w:t>1 543 924</w:t>
            </w:r>
            <w:r w:rsidRPr="00F13D89">
              <w:rPr>
                <w:sz w:val="20"/>
                <w:szCs w:val="20"/>
                <w:lang w:eastAsia="sk-SK"/>
              </w:rPr>
              <w:t>,</w:t>
            </w:r>
            <w:r>
              <w:rPr>
                <w:sz w:val="20"/>
                <w:szCs w:val="20"/>
                <w:lang w:eastAsia="sk-SK"/>
              </w:rPr>
              <w:t>11</w:t>
            </w:r>
          </w:p>
        </w:tc>
        <w:tc>
          <w:tcPr>
            <w:tcW w:w="637" w:type="pct"/>
            <w:shd w:val="clear" w:color="auto" w:fill="DDD9C3" w:themeFill="background2" w:themeFillShade="E6"/>
            <w:noWrap/>
            <w:vAlign w:val="center"/>
          </w:tcPr>
          <w:p w14:paraId="6D5D478B" w14:textId="77777777" w:rsidR="00827064" w:rsidRPr="00D31C76" w:rsidRDefault="00827064" w:rsidP="00827064">
            <w:pPr>
              <w:spacing w:after="0" w:line="240" w:lineRule="auto"/>
              <w:jc w:val="right"/>
              <w:rPr>
                <w:sz w:val="20"/>
                <w:szCs w:val="20"/>
                <w:lang w:eastAsia="sk-SK"/>
              </w:rPr>
            </w:pPr>
            <w:r>
              <w:rPr>
                <w:sz w:val="20"/>
                <w:szCs w:val="20"/>
                <w:lang w:eastAsia="sk-SK"/>
              </w:rPr>
              <w:t>748 805</w:t>
            </w:r>
            <w:r w:rsidRPr="00D31C76">
              <w:rPr>
                <w:sz w:val="20"/>
                <w:szCs w:val="20"/>
                <w:lang w:eastAsia="sk-SK"/>
              </w:rPr>
              <w:t>,</w:t>
            </w:r>
            <w:r>
              <w:rPr>
                <w:sz w:val="20"/>
                <w:szCs w:val="20"/>
                <w:lang w:eastAsia="sk-SK"/>
              </w:rPr>
              <w:t>87</w:t>
            </w:r>
          </w:p>
        </w:tc>
        <w:tc>
          <w:tcPr>
            <w:tcW w:w="434" w:type="pct"/>
            <w:shd w:val="clear" w:color="auto" w:fill="DDD9C3" w:themeFill="background2" w:themeFillShade="E6"/>
            <w:noWrap/>
            <w:vAlign w:val="center"/>
          </w:tcPr>
          <w:p w14:paraId="2E8E8A0C" w14:textId="77777777" w:rsidR="00827064" w:rsidRPr="00D31C76" w:rsidRDefault="00827064" w:rsidP="00827064">
            <w:pPr>
              <w:spacing w:after="0" w:line="240" w:lineRule="auto"/>
              <w:jc w:val="right"/>
              <w:rPr>
                <w:sz w:val="20"/>
                <w:szCs w:val="20"/>
                <w:lang w:eastAsia="sk-SK"/>
              </w:rPr>
            </w:pPr>
            <w:r>
              <w:rPr>
                <w:sz w:val="20"/>
                <w:szCs w:val="20"/>
                <w:lang w:eastAsia="sk-SK"/>
              </w:rPr>
              <w:t>48,50</w:t>
            </w:r>
          </w:p>
        </w:tc>
        <w:tc>
          <w:tcPr>
            <w:tcW w:w="1026" w:type="pct"/>
            <w:vMerge/>
            <w:shd w:val="clear" w:color="auto" w:fill="EFEFEF"/>
            <w:vAlign w:val="center"/>
          </w:tcPr>
          <w:p w14:paraId="2D52AD3A" w14:textId="77777777" w:rsidR="00827064" w:rsidRPr="00F13D89" w:rsidRDefault="00827064" w:rsidP="00827064">
            <w:pPr>
              <w:spacing w:after="0" w:line="240" w:lineRule="auto"/>
              <w:rPr>
                <w:sz w:val="24"/>
                <w:szCs w:val="24"/>
                <w:lang w:eastAsia="sk-SK"/>
              </w:rPr>
            </w:pPr>
          </w:p>
        </w:tc>
      </w:tr>
      <w:tr w:rsidR="00827064" w:rsidRPr="00F13D89" w14:paraId="24C1D26F" w14:textId="77777777" w:rsidTr="00827064">
        <w:trPr>
          <w:tblCellSpacing w:w="15" w:type="dxa"/>
        </w:trPr>
        <w:tc>
          <w:tcPr>
            <w:tcW w:w="317" w:type="pct"/>
            <w:shd w:val="clear" w:color="auto" w:fill="EFEFEF"/>
            <w:noWrap/>
            <w:vAlign w:val="center"/>
            <w:hideMark/>
          </w:tcPr>
          <w:p w14:paraId="53A97B47" w14:textId="77777777" w:rsidR="00827064" w:rsidRPr="00F13D89" w:rsidRDefault="00827064" w:rsidP="00827064">
            <w:pPr>
              <w:spacing w:after="0" w:line="240" w:lineRule="auto"/>
              <w:rPr>
                <w:sz w:val="24"/>
                <w:szCs w:val="24"/>
                <w:lang w:eastAsia="sk-SK"/>
              </w:rPr>
            </w:pPr>
            <w:r w:rsidRPr="00F13D89">
              <w:rPr>
                <w:sz w:val="20"/>
                <w:szCs w:val="20"/>
                <w:lang w:eastAsia="sk-SK"/>
              </w:rPr>
              <w:t>710</w:t>
            </w:r>
            <w:r w:rsidRPr="00F13D89">
              <w:rPr>
                <w:sz w:val="24"/>
                <w:szCs w:val="24"/>
                <w:lang w:eastAsia="sk-SK"/>
              </w:rPr>
              <w:t xml:space="preserve"> </w:t>
            </w:r>
          </w:p>
        </w:tc>
        <w:tc>
          <w:tcPr>
            <w:tcW w:w="993" w:type="pct"/>
            <w:shd w:val="clear" w:color="auto" w:fill="EFEFEF"/>
            <w:vAlign w:val="center"/>
            <w:hideMark/>
          </w:tcPr>
          <w:p w14:paraId="27EB339A" w14:textId="77777777" w:rsidR="00827064" w:rsidRPr="00F13D89" w:rsidRDefault="00827064" w:rsidP="00827064">
            <w:pPr>
              <w:spacing w:after="0" w:line="240" w:lineRule="auto"/>
              <w:rPr>
                <w:sz w:val="24"/>
                <w:szCs w:val="24"/>
                <w:lang w:eastAsia="sk-SK"/>
              </w:rPr>
            </w:pPr>
            <w:proofErr w:type="spellStart"/>
            <w:r w:rsidRPr="00F13D89">
              <w:rPr>
                <w:sz w:val="20"/>
                <w:szCs w:val="20"/>
                <w:lang w:eastAsia="sk-SK"/>
              </w:rPr>
              <w:t>Obst</w:t>
            </w:r>
            <w:proofErr w:type="spellEnd"/>
            <w:r w:rsidRPr="00F13D89">
              <w:rPr>
                <w:sz w:val="20"/>
                <w:szCs w:val="20"/>
                <w:lang w:eastAsia="sk-SK"/>
              </w:rPr>
              <w:t xml:space="preserve">. </w:t>
            </w:r>
            <w:proofErr w:type="spellStart"/>
            <w:r w:rsidRPr="00F13D89">
              <w:rPr>
                <w:sz w:val="20"/>
                <w:szCs w:val="20"/>
                <w:lang w:eastAsia="sk-SK"/>
              </w:rPr>
              <w:t>kapit</w:t>
            </w:r>
            <w:proofErr w:type="spellEnd"/>
            <w:r w:rsidRPr="00F13D89">
              <w:rPr>
                <w:sz w:val="20"/>
                <w:szCs w:val="20"/>
                <w:lang w:eastAsia="sk-SK"/>
              </w:rPr>
              <w:t>. aktív</w:t>
            </w:r>
            <w:r w:rsidRPr="00F13D89">
              <w:rPr>
                <w:sz w:val="24"/>
                <w:szCs w:val="24"/>
                <w:lang w:eastAsia="sk-SK"/>
              </w:rPr>
              <w:t xml:space="preserve"> </w:t>
            </w:r>
          </w:p>
        </w:tc>
        <w:tc>
          <w:tcPr>
            <w:tcW w:w="841" w:type="pct"/>
            <w:shd w:val="clear" w:color="auto" w:fill="EFEFEF"/>
            <w:noWrap/>
            <w:vAlign w:val="center"/>
          </w:tcPr>
          <w:p w14:paraId="05276880" w14:textId="77777777" w:rsidR="00827064" w:rsidRPr="00F13D89" w:rsidRDefault="00827064" w:rsidP="00827064">
            <w:pPr>
              <w:spacing w:after="0" w:line="240" w:lineRule="auto"/>
              <w:jc w:val="right"/>
              <w:rPr>
                <w:sz w:val="24"/>
                <w:szCs w:val="24"/>
                <w:lang w:eastAsia="sk-SK"/>
              </w:rPr>
            </w:pPr>
            <w:r>
              <w:rPr>
                <w:sz w:val="20"/>
                <w:szCs w:val="20"/>
                <w:lang w:eastAsia="sk-SK"/>
              </w:rPr>
              <w:t>2 180 00</w:t>
            </w:r>
            <w:r w:rsidRPr="00F13D89">
              <w:rPr>
                <w:sz w:val="20"/>
                <w:szCs w:val="20"/>
                <w:lang w:eastAsia="sk-SK"/>
              </w:rPr>
              <w:t>0,00</w:t>
            </w:r>
          </w:p>
        </w:tc>
        <w:tc>
          <w:tcPr>
            <w:tcW w:w="637" w:type="pct"/>
            <w:shd w:val="clear" w:color="auto" w:fill="EFEFEF"/>
            <w:noWrap/>
            <w:vAlign w:val="center"/>
          </w:tcPr>
          <w:p w14:paraId="53E0A9E6" w14:textId="77777777" w:rsidR="00827064" w:rsidRPr="00F13D89" w:rsidRDefault="00827064" w:rsidP="00827064">
            <w:pPr>
              <w:spacing w:after="0" w:line="240" w:lineRule="auto"/>
              <w:jc w:val="right"/>
              <w:rPr>
                <w:sz w:val="24"/>
                <w:szCs w:val="24"/>
                <w:lang w:eastAsia="sk-SK"/>
              </w:rPr>
            </w:pPr>
            <w:r>
              <w:rPr>
                <w:sz w:val="20"/>
                <w:szCs w:val="20"/>
                <w:lang w:eastAsia="sk-SK"/>
              </w:rPr>
              <w:t>1 543 924,11</w:t>
            </w:r>
          </w:p>
        </w:tc>
        <w:tc>
          <w:tcPr>
            <w:tcW w:w="637" w:type="pct"/>
            <w:shd w:val="clear" w:color="auto" w:fill="EFEFEF"/>
            <w:noWrap/>
            <w:vAlign w:val="center"/>
          </w:tcPr>
          <w:p w14:paraId="6CE2CD9E" w14:textId="77777777" w:rsidR="00827064" w:rsidRPr="00FB509B" w:rsidRDefault="00827064" w:rsidP="00827064">
            <w:pPr>
              <w:spacing w:after="0" w:line="240" w:lineRule="auto"/>
              <w:jc w:val="right"/>
              <w:rPr>
                <w:sz w:val="20"/>
                <w:szCs w:val="20"/>
                <w:lang w:eastAsia="sk-SK"/>
              </w:rPr>
            </w:pPr>
            <w:r w:rsidRPr="00FB509B">
              <w:rPr>
                <w:sz w:val="20"/>
                <w:szCs w:val="20"/>
                <w:lang w:eastAsia="sk-SK"/>
              </w:rPr>
              <w:t> </w:t>
            </w:r>
            <w:r>
              <w:rPr>
                <w:sz w:val="20"/>
                <w:szCs w:val="20"/>
                <w:lang w:eastAsia="sk-SK"/>
              </w:rPr>
              <w:t>748</w:t>
            </w:r>
            <w:r w:rsidRPr="00FB509B">
              <w:rPr>
                <w:sz w:val="20"/>
                <w:szCs w:val="20"/>
                <w:lang w:eastAsia="sk-SK"/>
              </w:rPr>
              <w:t> </w:t>
            </w:r>
            <w:r>
              <w:rPr>
                <w:sz w:val="20"/>
                <w:szCs w:val="20"/>
                <w:lang w:eastAsia="sk-SK"/>
              </w:rPr>
              <w:t>805</w:t>
            </w:r>
            <w:r w:rsidRPr="00FB509B">
              <w:rPr>
                <w:sz w:val="20"/>
                <w:szCs w:val="20"/>
                <w:lang w:eastAsia="sk-SK"/>
              </w:rPr>
              <w:t>,</w:t>
            </w:r>
            <w:r>
              <w:rPr>
                <w:sz w:val="20"/>
                <w:szCs w:val="20"/>
                <w:lang w:eastAsia="sk-SK"/>
              </w:rPr>
              <w:t>87</w:t>
            </w:r>
          </w:p>
        </w:tc>
        <w:tc>
          <w:tcPr>
            <w:tcW w:w="434" w:type="pct"/>
            <w:shd w:val="clear" w:color="auto" w:fill="EFEFEF"/>
            <w:noWrap/>
            <w:vAlign w:val="center"/>
          </w:tcPr>
          <w:p w14:paraId="53F72A45" w14:textId="77777777" w:rsidR="00827064" w:rsidRPr="00D31C76" w:rsidRDefault="00827064" w:rsidP="00827064">
            <w:pPr>
              <w:spacing w:after="0" w:line="240" w:lineRule="auto"/>
              <w:jc w:val="right"/>
              <w:rPr>
                <w:sz w:val="20"/>
                <w:szCs w:val="20"/>
                <w:lang w:eastAsia="sk-SK"/>
              </w:rPr>
            </w:pPr>
            <w:r>
              <w:rPr>
                <w:sz w:val="20"/>
                <w:szCs w:val="20"/>
                <w:lang w:eastAsia="sk-SK"/>
              </w:rPr>
              <w:t>48</w:t>
            </w:r>
            <w:r w:rsidRPr="00D31C76">
              <w:rPr>
                <w:sz w:val="20"/>
                <w:szCs w:val="20"/>
                <w:lang w:eastAsia="sk-SK"/>
              </w:rPr>
              <w:t>,</w:t>
            </w:r>
            <w:r>
              <w:rPr>
                <w:sz w:val="20"/>
                <w:szCs w:val="20"/>
                <w:lang w:eastAsia="sk-SK"/>
              </w:rPr>
              <w:t>5</w:t>
            </w:r>
            <w:r w:rsidRPr="00D31C76">
              <w:rPr>
                <w:sz w:val="20"/>
                <w:szCs w:val="20"/>
                <w:lang w:eastAsia="sk-SK"/>
              </w:rPr>
              <w:t>0</w:t>
            </w:r>
          </w:p>
        </w:tc>
        <w:tc>
          <w:tcPr>
            <w:tcW w:w="1026" w:type="pct"/>
            <w:vMerge/>
            <w:shd w:val="clear" w:color="auto" w:fill="EFEFEF"/>
            <w:vAlign w:val="center"/>
            <w:hideMark/>
          </w:tcPr>
          <w:p w14:paraId="4C1D8D48" w14:textId="77777777" w:rsidR="00827064" w:rsidRPr="00F13D89" w:rsidRDefault="00827064" w:rsidP="00827064">
            <w:pPr>
              <w:spacing w:after="0" w:line="240" w:lineRule="auto"/>
              <w:rPr>
                <w:sz w:val="24"/>
                <w:szCs w:val="24"/>
                <w:lang w:eastAsia="sk-SK"/>
              </w:rPr>
            </w:pPr>
          </w:p>
        </w:tc>
      </w:tr>
    </w:tbl>
    <w:p w14:paraId="3AB2A68B" w14:textId="77777777" w:rsidR="00827064" w:rsidRPr="00F13D89" w:rsidRDefault="00827064" w:rsidP="00827064">
      <w:pPr>
        <w:spacing w:after="0" w:line="240" w:lineRule="auto"/>
        <w:rPr>
          <w:vanish/>
          <w:sz w:val="24"/>
          <w:szCs w:val="24"/>
          <w:lang w:eastAsia="sk-SK"/>
        </w:rPr>
      </w:pPr>
    </w:p>
    <w:tbl>
      <w:tblPr>
        <w:tblW w:w="5001" w:type="pct"/>
        <w:tblCellSpacing w:w="15" w:type="dxa"/>
        <w:tblCellMar>
          <w:top w:w="15" w:type="dxa"/>
          <w:left w:w="15" w:type="dxa"/>
          <w:bottom w:w="15" w:type="dxa"/>
          <w:right w:w="15" w:type="dxa"/>
        </w:tblCellMar>
        <w:tblLook w:val="04A0" w:firstRow="1" w:lastRow="0" w:firstColumn="1" w:lastColumn="0" w:noHBand="0" w:noVBand="1"/>
      </w:tblPr>
      <w:tblGrid>
        <w:gridCol w:w="2686"/>
        <w:gridCol w:w="867"/>
        <w:gridCol w:w="1267"/>
        <w:gridCol w:w="1675"/>
        <w:gridCol w:w="1275"/>
        <w:gridCol w:w="2698"/>
      </w:tblGrid>
      <w:tr w:rsidR="00827064" w:rsidRPr="00F13D89" w14:paraId="034DB4EF" w14:textId="77777777" w:rsidTr="00827064">
        <w:trPr>
          <w:trHeight w:val="142"/>
          <w:tblCellSpacing w:w="15" w:type="dxa"/>
        </w:trPr>
        <w:tc>
          <w:tcPr>
            <w:tcW w:w="0" w:type="auto"/>
            <w:shd w:val="clear" w:color="auto" w:fill="C2D69B"/>
            <w:vAlign w:val="center"/>
            <w:hideMark/>
          </w:tcPr>
          <w:p w14:paraId="72AC0181" w14:textId="77777777" w:rsidR="00827064" w:rsidRPr="00F13D89" w:rsidRDefault="00827064" w:rsidP="00827064">
            <w:pPr>
              <w:spacing w:after="0" w:line="240" w:lineRule="auto"/>
              <w:rPr>
                <w:rFonts w:cs="Calibri"/>
                <w:sz w:val="18"/>
                <w:szCs w:val="18"/>
                <w:lang w:eastAsia="sk-SK"/>
              </w:rPr>
            </w:pPr>
            <w:r w:rsidRPr="00F13D89">
              <w:rPr>
                <w:rFonts w:cs="Calibri"/>
                <w:b/>
                <w:bCs/>
                <w:sz w:val="18"/>
                <w:szCs w:val="18"/>
                <w:lang w:eastAsia="sk-SK"/>
              </w:rPr>
              <w:t>Zodpovednosť</w:t>
            </w:r>
          </w:p>
        </w:tc>
        <w:tc>
          <w:tcPr>
            <w:tcW w:w="0" w:type="auto"/>
            <w:gridSpan w:val="5"/>
            <w:shd w:val="clear" w:color="auto" w:fill="C2D69B"/>
            <w:vAlign w:val="center"/>
            <w:hideMark/>
          </w:tcPr>
          <w:p w14:paraId="4BC297FD" w14:textId="77777777" w:rsidR="00827064" w:rsidRPr="00F13D89" w:rsidRDefault="00827064" w:rsidP="00827064">
            <w:pPr>
              <w:spacing w:after="0" w:line="240" w:lineRule="auto"/>
              <w:rPr>
                <w:rFonts w:cs="Calibri"/>
                <w:sz w:val="18"/>
                <w:szCs w:val="18"/>
                <w:lang w:eastAsia="sk-SK"/>
              </w:rPr>
            </w:pPr>
            <w:r w:rsidRPr="00F13D89">
              <w:rPr>
                <w:rFonts w:cs="Calibri"/>
                <w:sz w:val="18"/>
                <w:szCs w:val="18"/>
                <w:lang w:eastAsia="sk-SK"/>
              </w:rPr>
              <w:t xml:space="preserve">Odbor </w:t>
            </w:r>
            <w:proofErr w:type="spellStart"/>
            <w:r w:rsidRPr="00F13D89">
              <w:rPr>
                <w:rFonts w:cs="Calibri"/>
                <w:sz w:val="18"/>
                <w:szCs w:val="18"/>
                <w:lang w:eastAsia="sk-SK"/>
              </w:rPr>
              <w:t>IČSMaVO</w:t>
            </w:r>
            <w:proofErr w:type="spellEnd"/>
            <w:r w:rsidRPr="00F13D89">
              <w:rPr>
                <w:rFonts w:cs="Calibri"/>
                <w:sz w:val="18"/>
                <w:szCs w:val="18"/>
                <w:lang w:eastAsia="sk-SK"/>
              </w:rPr>
              <w:t>, oddelenie riadenia ľudských zdrojov a miezd</w:t>
            </w:r>
          </w:p>
        </w:tc>
      </w:tr>
      <w:tr w:rsidR="00827064" w:rsidRPr="00F13D89" w14:paraId="33342860" w14:textId="77777777" w:rsidTr="00827064">
        <w:trPr>
          <w:trHeight w:val="142"/>
          <w:tblCellSpacing w:w="15" w:type="dxa"/>
        </w:trPr>
        <w:tc>
          <w:tcPr>
            <w:tcW w:w="0" w:type="auto"/>
            <w:shd w:val="clear" w:color="auto" w:fill="C2D69B"/>
            <w:vAlign w:val="center"/>
            <w:hideMark/>
          </w:tcPr>
          <w:p w14:paraId="5722D724" w14:textId="77777777" w:rsidR="00827064" w:rsidRPr="00F13D89" w:rsidRDefault="00827064" w:rsidP="00827064">
            <w:pPr>
              <w:spacing w:after="0" w:line="240" w:lineRule="auto"/>
              <w:rPr>
                <w:rFonts w:cs="Calibri"/>
                <w:sz w:val="18"/>
                <w:szCs w:val="18"/>
                <w:lang w:eastAsia="sk-SK"/>
              </w:rPr>
            </w:pPr>
            <w:r w:rsidRPr="00F13D89">
              <w:rPr>
                <w:rFonts w:cs="Calibri"/>
                <w:b/>
                <w:bCs/>
                <w:sz w:val="18"/>
                <w:szCs w:val="18"/>
                <w:lang w:eastAsia="sk-SK"/>
              </w:rPr>
              <w:t>Cieľ</w:t>
            </w:r>
          </w:p>
        </w:tc>
        <w:tc>
          <w:tcPr>
            <w:tcW w:w="0" w:type="auto"/>
            <w:gridSpan w:val="5"/>
            <w:shd w:val="clear" w:color="auto" w:fill="C2D69B"/>
            <w:vAlign w:val="center"/>
            <w:hideMark/>
          </w:tcPr>
          <w:p w14:paraId="6EA46143" w14:textId="77777777" w:rsidR="00827064" w:rsidRPr="00F13D89" w:rsidRDefault="00827064" w:rsidP="00827064">
            <w:pPr>
              <w:spacing w:after="0" w:line="240" w:lineRule="auto"/>
              <w:rPr>
                <w:rFonts w:cs="Calibri"/>
                <w:sz w:val="18"/>
                <w:szCs w:val="18"/>
                <w:lang w:eastAsia="sk-SK"/>
              </w:rPr>
            </w:pPr>
            <w:r w:rsidRPr="00F13D89">
              <w:rPr>
                <w:rFonts w:cs="Calibri"/>
                <w:sz w:val="18"/>
                <w:szCs w:val="18"/>
                <w:lang w:eastAsia="sk-SK"/>
              </w:rPr>
              <w:t>Zabezpečiť plynulé materiálové zásobovanie potrieb</w:t>
            </w:r>
          </w:p>
        </w:tc>
      </w:tr>
      <w:tr w:rsidR="00827064" w:rsidRPr="00F13D89" w14:paraId="739FBA9E" w14:textId="77777777" w:rsidTr="00827064">
        <w:trPr>
          <w:trHeight w:val="142"/>
          <w:tblCellSpacing w:w="15" w:type="dxa"/>
        </w:trPr>
        <w:tc>
          <w:tcPr>
            <w:tcW w:w="0" w:type="auto"/>
            <w:shd w:val="clear" w:color="auto" w:fill="C2D69B"/>
            <w:vAlign w:val="center"/>
            <w:hideMark/>
          </w:tcPr>
          <w:p w14:paraId="72FDA70A" w14:textId="77777777" w:rsidR="00827064" w:rsidRPr="00F13D89" w:rsidRDefault="00827064" w:rsidP="00827064">
            <w:pPr>
              <w:spacing w:after="0" w:line="240" w:lineRule="auto"/>
              <w:rPr>
                <w:rFonts w:cs="Calibri"/>
                <w:sz w:val="18"/>
                <w:szCs w:val="18"/>
                <w:lang w:eastAsia="sk-SK"/>
              </w:rPr>
            </w:pPr>
            <w:r w:rsidRPr="00F13D89">
              <w:rPr>
                <w:rFonts w:cs="Calibri"/>
                <w:b/>
                <w:bCs/>
                <w:sz w:val="18"/>
                <w:szCs w:val="18"/>
                <w:lang w:eastAsia="sk-SK"/>
              </w:rPr>
              <w:t>Merateľný ukazovateľ</w:t>
            </w:r>
          </w:p>
        </w:tc>
        <w:tc>
          <w:tcPr>
            <w:tcW w:w="0" w:type="auto"/>
            <w:shd w:val="clear" w:color="auto" w:fill="C2D69B"/>
            <w:vAlign w:val="center"/>
            <w:hideMark/>
          </w:tcPr>
          <w:p w14:paraId="07FE255E" w14:textId="77777777" w:rsidR="00827064" w:rsidRPr="00F13D89" w:rsidRDefault="00827064" w:rsidP="00827064">
            <w:pPr>
              <w:spacing w:after="0" w:line="240" w:lineRule="auto"/>
              <w:rPr>
                <w:rFonts w:cs="Calibri"/>
                <w:sz w:val="18"/>
                <w:szCs w:val="18"/>
                <w:lang w:eastAsia="sk-SK"/>
              </w:rPr>
            </w:pPr>
            <w:r w:rsidRPr="00F13D89">
              <w:rPr>
                <w:rFonts w:cs="Calibri"/>
                <w:sz w:val="18"/>
                <w:szCs w:val="18"/>
                <w:lang w:eastAsia="sk-SK"/>
              </w:rPr>
              <w:t>Výstup</w:t>
            </w:r>
          </w:p>
        </w:tc>
        <w:tc>
          <w:tcPr>
            <w:tcW w:w="0" w:type="auto"/>
            <w:gridSpan w:val="4"/>
            <w:shd w:val="clear" w:color="auto" w:fill="C2D69B"/>
            <w:vAlign w:val="center"/>
            <w:hideMark/>
          </w:tcPr>
          <w:p w14:paraId="3BEC4F01" w14:textId="77777777" w:rsidR="00827064" w:rsidRPr="00F13D89" w:rsidRDefault="00827064" w:rsidP="00827064">
            <w:pPr>
              <w:spacing w:after="0" w:line="240" w:lineRule="auto"/>
              <w:rPr>
                <w:rFonts w:cs="Calibri"/>
                <w:sz w:val="18"/>
                <w:szCs w:val="18"/>
                <w:lang w:eastAsia="sk-SK"/>
              </w:rPr>
            </w:pPr>
            <w:r w:rsidRPr="00F13D89">
              <w:rPr>
                <w:rFonts w:cs="Calibri"/>
                <w:sz w:val="18"/>
                <w:szCs w:val="18"/>
                <w:lang w:eastAsia="sk-SK"/>
              </w:rPr>
              <w:t>Materiálne zásobovanie potrieb úradu v pracovných dňoch</w:t>
            </w:r>
          </w:p>
        </w:tc>
      </w:tr>
      <w:tr w:rsidR="00827064" w:rsidRPr="00F13D89" w14:paraId="5BCD0EF7" w14:textId="77777777" w:rsidTr="00827064">
        <w:trPr>
          <w:trHeight w:val="142"/>
          <w:tblCellSpacing w:w="15" w:type="dxa"/>
        </w:trPr>
        <w:tc>
          <w:tcPr>
            <w:tcW w:w="0" w:type="auto"/>
            <w:shd w:val="clear" w:color="auto" w:fill="C2D69B"/>
            <w:vAlign w:val="center"/>
            <w:hideMark/>
          </w:tcPr>
          <w:p w14:paraId="51C736C2" w14:textId="77777777" w:rsidR="00827064" w:rsidRPr="00F13D89" w:rsidRDefault="00827064" w:rsidP="00827064">
            <w:pPr>
              <w:spacing w:after="0" w:line="240" w:lineRule="auto"/>
              <w:jc w:val="center"/>
              <w:rPr>
                <w:rFonts w:cs="Calibri"/>
                <w:sz w:val="18"/>
                <w:szCs w:val="18"/>
                <w:lang w:eastAsia="sk-SK"/>
              </w:rPr>
            </w:pPr>
          </w:p>
        </w:tc>
        <w:tc>
          <w:tcPr>
            <w:tcW w:w="0" w:type="auto"/>
            <w:shd w:val="clear" w:color="auto" w:fill="C2D69B"/>
            <w:vAlign w:val="center"/>
            <w:hideMark/>
          </w:tcPr>
          <w:p w14:paraId="628C97F3" w14:textId="77777777" w:rsidR="00827064" w:rsidRPr="00F13D89" w:rsidRDefault="00827064" w:rsidP="00827064">
            <w:pPr>
              <w:spacing w:after="0" w:line="240" w:lineRule="auto"/>
              <w:jc w:val="center"/>
              <w:rPr>
                <w:rFonts w:cs="Calibri"/>
                <w:sz w:val="18"/>
                <w:szCs w:val="18"/>
                <w:lang w:eastAsia="sk-SK"/>
              </w:rPr>
            </w:pPr>
            <w:r w:rsidRPr="00F13D89">
              <w:rPr>
                <w:rFonts w:cs="Calibri"/>
                <w:b/>
                <w:bCs/>
                <w:sz w:val="18"/>
                <w:szCs w:val="18"/>
                <w:lang w:eastAsia="sk-SK"/>
              </w:rPr>
              <w:t>Rok</w:t>
            </w:r>
          </w:p>
        </w:tc>
        <w:tc>
          <w:tcPr>
            <w:tcW w:w="603" w:type="pct"/>
            <w:shd w:val="clear" w:color="auto" w:fill="C2D69B"/>
            <w:vAlign w:val="center"/>
            <w:hideMark/>
          </w:tcPr>
          <w:p w14:paraId="46AE3F8F" w14:textId="77777777" w:rsidR="00827064" w:rsidRPr="00F13D89" w:rsidRDefault="00827064" w:rsidP="00827064">
            <w:pPr>
              <w:spacing w:after="0" w:line="240" w:lineRule="auto"/>
              <w:jc w:val="center"/>
              <w:rPr>
                <w:rFonts w:cs="Calibri"/>
                <w:sz w:val="18"/>
                <w:szCs w:val="18"/>
                <w:lang w:eastAsia="sk-SK"/>
              </w:rPr>
            </w:pPr>
            <w:r w:rsidRPr="00F13D89">
              <w:rPr>
                <w:rFonts w:cs="Calibri"/>
                <w:b/>
                <w:bCs/>
                <w:sz w:val="18"/>
                <w:szCs w:val="18"/>
                <w:lang w:eastAsia="sk-SK"/>
              </w:rPr>
              <w:t>Plán</w:t>
            </w:r>
          </w:p>
        </w:tc>
        <w:tc>
          <w:tcPr>
            <w:tcW w:w="802" w:type="pct"/>
            <w:shd w:val="clear" w:color="auto" w:fill="C2D69B"/>
            <w:vAlign w:val="center"/>
            <w:hideMark/>
          </w:tcPr>
          <w:p w14:paraId="25C93B93" w14:textId="77777777" w:rsidR="00827064" w:rsidRPr="00F13D89" w:rsidRDefault="00827064" w:rsidP="00827064">
            <w:pPr>
              <w:spacing w:after="0" w:line="240" w:lineRule="auto"/>
              <w:jc w:val="center"/>
              <w:rPr>
                <w:rFonts w:cs="Calibri"/>
                <w:sz w:val="18"/>
                <w:szCs w:val="18"/>
                <w:lang w:eastAsia="sk-SK"/>
              </w:rPr>
            </w:pPr>
            <w:r w:rsidRPr="00F13D89">
              <w:rPr>
                <w:rFonts w:cs="Calibri"/>
                <w:b/>
                <w:bCs/>
                <w:sz w:val="18"/>
                <w:szCs w:val="18"/>
                <w:lang w:eastAsia="sk-SK"/>
              </w:rPr>
              <w:t>Skutočnosť</w:t>
            </w:r>
          </w:p>
        </w:tc>
        <w:tc>
          <w:tcPr>
            <w:tcW w:w="607" w:type="pct"/>
            <w:shd w:val="clear" w:color="auto" w:fill="C2D69B"/>
            <w:vAlign w:val="center"/>
            <w:hideMark/>
          </w:tcPr>
          <w:p w14:paraId="33FF3C16" w14:textId="77777777" w:rsidR="00827064" w:rsidRPr="00F13D89" w:rsidRDefault="00827064" w:rsidP="00827064">
            <w:pPr>
              <w:spacing w:after="0" w:line="240" w:lineRule="auto"/>
              <w:jc w:val="center"/>
              <w:rPr>
                <w:rFonts w:cs="Calibri"/>
                <w:sz w:val="18"/>
                <w:szCs w:val="18"/>
                <w:lang w:eastAsia="sk-SK"/>
              </w:rPr>
            </w:pPr>
            <w:r w:rsidRPr="00F13D89">
              <w:rPr>
                <w:rFonts w:cs="Calibri"/>
                <w:b/>
                <w:bCs/>
                <w:sz w:val="18"/>
                <w:szCs w:val="18"/>
                <w:lang w:eastAsia="sk-SK"/>
              </w:rPr>
              <w:t>Plnenie</w:t>
            </w:r>
          </w:p>
        </w:tc>
        <w:tc>
          <w:tcPr>
            <w:tcW w:w="1293" w:type="pct"/>
            <w:shd w:val="clear" w:color="auto" w:fill="C2D69B"/>
            <w:vAlign w:val="center"/>
            <w:hideMark/>
          </w:tcPr>
          <w:p w14:paraId="61B0EEFB" w14:textId="77777777" w:rsidR="00827064" w:rsidRPr="00F13D89" w:rsidRDefault="00827064" w:rsidP="00827064">
            <w:pPr>
              <w:spacing w:after="0" w:line="240" w:lineRule="auto"/>
              <w:rPr>
                <w:rFonts w:cs="Calibri"/>
                <w:sz w:val="18"/>
                <w:szCs w:val="18"/>
                <w:lang w:eastAsia="sk-SK"/>
              </w:rPr>
            </w:pPr>
            <w:r w:rsidRPr="00F13D89">
              <w:rPr>
                <w:rFonts w:cs="Calibri"/>
                <w:b/>
                <w:bCs/>
                <w:sz w:val="18"/>
                <w:szCs w:val="18"/>
                <w:lang w:eastAsia="sk-SK"/>
              </w:rPr>
              <w:t>Poznámka</w:t>
            </w:r>
          </w:p>
        </w:tc>
      </w:tr>
      <w:tr w:rsidR="00827064" w:rsidRPr="00F13D89" w14:paraId="6AA456EF" w14:textId="77777777" w:rsidTr="00827064">
        <w:trPr>
          <w:trHeight w:val="142"/>
          <w:tblCellSpacing w:w="15" w:type="dxa"/>
        </w:trPr>
        <w:tc>
          <w:tcPr>
            <w:tcW w:w="0" w:type="auto"/>
            <w:shd w:val="clear" w:color="auto" w:fill="C2D69B"/>
            <w:vAlign w:val="center"/>
            <w:hideMark/>
          </w:tcPr>
          <w:p w14:paraId="64C3F644" w14:textId="77777777" w:rsidR="00827064" w:rsidRPr="00F13D89" w:rsidRDefault="00827064" w:rsidP="00827064">
            <w:pPr>
              <w:spacing w:after="0" w:line="240" w:lineRule="auto"/>
              <w:jc w:val="center"/>
              <w:rPr>
                <w:rFonts w:cs="Calibri"/>
                <w:sz w:val="18"/>
                <w:szCs w:val="18"/>
                <w:lang w:eastAsia="sk-SK"/>
              </w:rPr>
            </w:pPr>
          </w:p>
        </w:tc>
        <w:tc>
          <w:tcPr>
            <w:tcW w:w="0" w:type="auto"/>
            <w:shd w:val="clear" w:color="auto" w:fill="C2D69B"/>
            <w:vAlign w:val="center"/>
            <w:hideMark/>
          </w:tcPr>
          <w:p w14:paraId="4CCB750E" w14:textId="77777777" w:rsidR="00827064" w:rsidRPr="00F13D89" w:rsidRDefault="00827064" w:rsidP="00827064">
            <w:pPr>
              <w:spacing w:after="0" w:line="240" w:lineRule="auto"/>
              <w:jc w:val="center"/>
              <w:rPr>
                <w:rFonts w:cs="Calibri"/>
                <w:sz w:val="18"/>
                <w:szCs w:val="18"/>
                <w:lang w:eastAsia="sk-SK"/>
              </w:rPr>
            </w:pPr>
            <w:r w:rsidRPr="00F13D89">
              <w:rPr>
                <w:rFonts w:cs="Calibri"/>
                <w:sz w:val="18"/>
                <w:szCs w:val="18"/>
                <w:lang w:eastAsia="sk-SK"/>
              </w:rPr>
              <w:t>20</w:t>
            </w:r>
            <w:r>
              <w:rPr>
                <w:rFonts w:cs="Calibri"/>
                <w:sz w:val="18"/>
                <w:szCs w:val="18"/>
                <w:lang w:eastAsia="sk-SK"/>
              </w:rPr>
              <w:t>20</w:t>
            </w:r>
          </w:p>
        </w:tc>
        <w:tc>
          <w:tcPr>
            <w:tcW w:w="603" w:type="pct"/>
            <w:shd w:val="clear" w:color="auto" w:fill="C2D69B"/>
            <w:noWrap/>
            <w:vAlign w:val="center"/>
            <w:hideMark/>
          </w:tcPr>
          <w:p w14:paraId="34567892" w14:textId="77777777" w:rsidR="00827064" w:rsidRPr="00F13D89" w:rsidRDefault="00827064" w:rsidP="00827064">
            <w:pPr>
              <w:spacing w:after="0" w:line="240" w:lineRule="auto"/>
              <w:jc w:val="center"/>
              <w:rPr>
                <w:rFonts w:cs="Calibri"/>
                <w:sz w:val="18"/>
                <w:szCs w:val="18"/>
                <w:lang w:eastAsia="sk-SK"/>
              </w:rPr>
            </w:pPr>
            <w:r w:rsidRPr="00F13D89">
              <w:rPr>
                <w:rFonts w:cs="Calibri"/>
                <w:sz w:val="18"/>
                <w:szCs w:val="18"/>
                <w:lang w:eastAsia="sk-SK"/>
              </w:rPr>
              <w:t>6</w:t>
            </w:r>
          </w:p>
        </w:tc>
        <w:tc>
          <w:tcPr>
            <w:tcW w:w="802" w:type="pct"/>
            <w:shd w:val="clear" w:color="auto" w:fill="C2D69B"/>
            <w:noWrap/>
            <w:vAlign w:val="center"/>
            <w:hideMark/>
          </w:tcPr>
          <w:p w14:paraId="745C54C0" w14:textId="77777777" w:rsidR="00827064" w:rsidRPr="00F13D89" w:rsidRDefault="00827064" w:rsidP="00827064">
            <w:pPr>
              <w:spacing w:after="0" w:line="240" w:lineRule="auto"/>
              <w:jc w:val="center"/>
              <w:rPr>
                <w:rFonts w:cs="Calibri"/>
                <w:sz w:val="18"/>
                <w:szCs w:val="18"/>
                <w:lang w:eastAsia="sk-SK"/>
              </w:rPr>
            </w:pPr>
            <w:r>
              <w:rPr>
                <w:rFonts w:cs="Calibri"/>
                <w:sz w:val="18"/>
                <w:szCs w:val="18"/>
                <w:lang w:eastAsia="sk-SK"/>
              </w:rPr>
              <w:t>17</w:t>
            </w:r>
          </w:p>
        </w:tc>
        <w:tc>
          <w:tcPr>
            <w:tcW w:w="607" w:type="pct"/>
            <w:shd w:val="clear" w:color="auto" w:fill="C2D69B"/>
            <w:vAlign w:val="center"/>
            <w:hideMark/>
          </w:tcPr>
          <w:p w14:paraId="152C302E" w14:textId="77777777" w:rsidR="00827064" w:rsidRPr="00F13D89" w:rsidRDefault="00827064" w:rsidP="00827064">
            <w:pPr>
              <w:spacing w:after="0" w:line="240" w:lineRule="auto"/>
              <w:jc w:val="center"/>
              <w:rPr>
                <w:rFonts w:cs="Calibri"/>
                <w:sz w:val="18"/>
                <w:szCs w:val="18"/>
                <w:lang w:eastAsia="sk-SK"/>
              </w:rPr>
            </w:pPr>
            <w:r w:rsidRPr="00F13D89">
              <w:rPr>
                <w:rFonts w:cs="Calibri"/>
                <w:sz w:val="18"/>
                <w:szCs w:val="18"/>
                <w:lang w:eastAsia="sk-SK"/>
              </w:rPr>
              <w:t>Nesplnené</w:t>
            </w:r>
          </w:p>
        </w:tc>
        <w:tc>
          <w:tcPr>
            <w:tcW w:w="1293" w:type="pct"/>
            <w:shd w:val="clear" w:color="auto" w:fill="C2D69B"/>
            <w:vAlign w:val="center"/>
            <w:hideMark/>
          </w:tcPr>
          <w:p w14:paraId="5B4113E0" w14:textId="77777777" w:rsidR="00827064" w:rsidRPr="00F13D89" w:rsidRDefault="00827064" w:rsidP="00827064">
            <w:pPr>
              <w:spacing w:after="0" w:line="240" w:lineRule="auto"/>
              <w:jc w:val="both"/>
              <w:rPr>
                <w:rFonts w:cs="Calibri"/>
                <w:sz w:val="18"/>
                <w:szCs w:val="18"/>
                <w:lang w:eastAsia="sk-SK"/>
              </w:rPr>
            </w:pPr>
            <w:r w:rsidRPr="00F13D89">
              <w:rPr>
                <w:rFonts w:eastAsia="Calibri" w:cs="Calibri"/>
                <w:sz w:val="18"/>
                <w:szCs w:val="18"/>
                <w:lang w:eastAsia="sk-SK"/>
              </w:rPr>
              <w:t>náročná administratíva vo väzbe na požiadavky zo zákonov a interných smerníc</w:t>
            </w:r>
          </w:p>
        </w:tc>
      </w:tr>
    </w:tbl>
    <w:p w14:paraId="23BB0D1D" w14:textId="77777777" w:rsidR="00827064" w:rsidRDefault="00827064" w:rsidP="00827064">
      <w:pPr>
        <w:spacing w:after="0" w:line="240" w:lineRule="auto"/>
        <w:jc w:val="both"/>
        <w:rPr>
          <w:b/>
        </w:rPr>
      </w:pPr>
    </w:p>
    <w:p w14:paraId="15D5B978" w14:textId="7E20299D" w:rsidR="00C55A20" w:rsidRDefault="00827064" w:rsidP="00B57C2F">
      <w:pPr>
        <w:spacing w:after="0" w:line="240" w:lineRule="auto"/>
        <w:jc w:val="both"/>
        <w:rPr>
          <w:lang w:eastAsia="sk-SK"/>
        </w:rPr>
      </w:pPr>
      <w:r w:rsidRPr="00947B75">
        <w:rPr>
          <w:b/>
          <w:lang w:eastAsia="sk-SK"/>
        </w:rPr>
        <w:t>Komentár:</w:t>
      </w:r>
      <w:r w:rsidRPr="00947B75">
        <w:rPr>
          <w:lang w:eastAsia="sk-SK"/>
        </w:rPr>
        <w:t xml:space="preserve"> </w:t>
      </w:r>
      <w:r>
        <w:rPr>
          <w:lang w:eastAsia="sk-SK"/>
        </w:rPr>
        <w:t>Z </w:t>
      </w:r>
      <w:r w:rsidRPr="00947B75">
        <w:rPr>
          <w:lang w:eastAsia="sk-SK"/>
        </w:rPr>
        <w:t>podprogram</w:t>
      </w:r>
      <w:r>
        <w:rPr>
          <w:lang w:eastAsia="sk-SK"/>
        </w:rPr>
        <w:t>u boli čerpané výdavky na</w:t>
      </w:r>
      <w:r w:rsidRPr="00947B75">
        <w:rPr>
          <w:lang w:eastAsia="sk-SK"/>
        </w:rPr>
        <w:t xml:space="preserve"> všetky prevádzkové náklady na nehnuteľný majetok v správe Úradu BSK</w:t>
      </w:r>
      <w:r>
        <w:rPr>
          <w:lang w:eastAsia="sk-SK"/>
        </w:rPr>
        <w:t xml:space="preserve"> (</w:t>
      </w:r>
      <w:r w:rsidRPr="00947B75">
        <w:rPr>
          <w:lang w:eastAsia="sk-SK"/>
        </w:rPr>
        <w:t>výdavky na energie, všeobecné a špeciálne služby, nájomné a pod.</w:t>
      </w:r>
      <w:r>
        <w:rPr>
          <w:lang w:eastAsia="sk-SK"/>
        </w:rPr>
        <w:t>)</w:t>
      </w:r>
      <w:r w:rsidRPr="00947B75">
        <w:rPr>
          <w:lang w:eastAsia="sk-SK"/>
        </w:rPr>
        <w:t xml:space="preserve">. Taktiež na materiálovo-technické zabezpečenie činnosti Úradu BSK, vrátane jeho administratívneho vybavenia, náklady spojené s prevádzkou </w:t>
      </w:r>
      <w:proofErr w:type="spellStart"/>
      <w:r w:rsidRPr="00947B75">
        <w:rPr>
          <w:lang w:eastAsia="sk-SK"/>
        </w:rPr>
        <w:t>autoparku</w:t>
      </w:r>
      <w:proofErr w:type="spellEnd"/>
      <w:r w:rsidRPr="00947B75">
        <w:rPr>
          <w:lang w:eastAsia="sk-SK"/>
        </w:rPr>
        <w:t xml:space="preserve"> BSK (pohonné hmoty, oleje, servisné a garančné prehliadky, opravy a údržba vozidiel, poistenie – v roku 20</w:t>
      </w:r>
      <w:r>
        <w:rPr>
          <w:lang w:eastAsia="sk-SK"/>
        </w:rPr>
        <w:t>20</w:t>
      </w:r>
      <w:r w:rsidRPr="00947B75">
        <w:rPr>
          <w:lang w:eastAsia="sk-SK"/>
        </w:rPr>
        <w:t xml:space="preserve"> úrad prevádzkoval </w:t>
      </w:r>
      <w:r>
        <w:rPr>
          <w:lang w:eastAsia="sk-SK"/>
        </w:rPr>
        <w:t>38</w:t>
      </w:r>
      <w:r w:rsidRPr="00947B75">
        <w:rPr>
          <w:lang w:eastAsia="sk-SK"/>
        </w:rPr>
        <w:t xml:space="preserve"> osobných motorových vozidiel), výdavky na stravovanie zamestnancov Úradu BSK a tiež výdavky na semináre, školenia a kurzy pre zamestnancov Úradu BSK. </w:t>
      </w:r>
      <w:r w:rsidR="003F566E">
        <w:rPr>
          <w:lang w:eastAsia="sk-SK"/>
        </w:rPr>
        <w:t>Kapitálové výdavky, ktoré boli čerpané v tomto podprograme, boli použité na majetkovo-právne vysporiadanie pod cestami II. a III. triedy BSK</w:t>
      </w:r>
      <w:r w:rsidR="00707641">
        <w:rPr>
          <w:lang w:eastAsia="sk-SK"/>
        </w:rPr>
        <w:t>.</w:t>
      </w:r>
    </w:p>
    <w:p w14:paraId="32E95696" w14:textId="3CAB775C" w:rsidR="00707641" w:rsidRDefault="00707641" w:rsidP="00B57C2F">
      <w:pPr>
        <w:spacing w:after="0" w:line="240" w:lineRule="auto"/>
        <w:jc w:val="both"/>
        <w:rPr>
          <w:lang w:eastAsia="sk-SK"/>
        </w:rPr>
      </w:pPr>
    </w:p>
    <w:p w14:paraId="19E966C0" w14:textId="0500AAE6" w:rsidR="00707641" w:rsidRDefault="00707641" w:rsidP="00B57C2F">
      <w:pPr>
        <w:spacing w:after="0" w:line="240" w:lineRule="auto"/>
        <w:jc w:val="both"/>
        <w:rPr>
          <w:lang w:eastAsia="sk-SK"/>
        </w:rPr>
      </w:pPr>
      <w:r>
        <w:rPr>
          <w:lang w:eastAsia="sk-SK"/>
        </w:rPr>
        <w:t xml:space="preserve">Veľkou časťou výdavkov, ktoré sa realizovali v rámci tohto podprogramu, boli výdavky súvisiace s pandémiou COVID – 19. Na začiatku pandémie nebol úplne zrejmý charakter týchto výdavkov a keďže sa prioritne týkali zabezpečenia priestorov BSK (dezinfekcie, merače teploty, </w:t>
      </w:r>
      <w:proofErr w:type="spellStart"/>
      <w:r>
        <w:rPr>
          <w:lang w:eastAsia="sk-SK"/>
        </w:rPr>
        <w:t>germicídne</w:t>
      </w:r>
      <w:proofErr w:type="spellEnd"/>
      <w:r>
        <w:rPr>
          <w:lang w:eastAsia="sk-SK"/>
        </w:rPr>
        <w:t xml:space="preserve"> žiariče, spotrebný zdravotnícky materiál), začali sme </w:t>
      </w:r>
      <w:proofErr w:type="spellStart"/>
      <w:r>
        <w:rPr>
          <w:lang w:eastAsia="sk-SK"/>
        </w:rPr>
        <w:t>pandemické</w:t>
      </w:r>
      <w:proofErr w:type="spellEnd"/>
      <w:r>
        <w:rPr>
          <w:lang w:eastAsia="sk-SK"/>
        </w:rPr>
        <w:t xml:space="preserve"> výdavky evidovať v rámci tohto podprogramu, keďže sú čiastočne prepojené na majetkové výdavky. Za rok 2020 boli </w:t>
      </w:r>
      <w:proofErr w:type="spellStart"/>
      <w:r>
        <w:rPr>
          <w:lang w:eastAsia="sk-SK"/>
        </w:rPr>
        <w:t>pandemické</w:t>
      </w:r>
      <w:proofErr w:type="spellEnd"/>
      <w:r>
        <w:rPr>
          <w:lang w:eastAsia="sk-SK"/>
        </w:rPr>
        <w:t xml:space="preserve"> výdavky BSK</w:t>
      </w:r>
      <w:r w:rsidR="00C14B63">
        <w:rPr>
          <w:lang w:eastAsia="sk-SK"/>
        </w:rPr>
        <w:t xml:space="preserve"> (OOPP, dezinfekcie, testovanie, </w:t>
      </w:r>
      <w:proofErr w:type="spellStart"/>
      <w:r w:rsidR="00C14B63">
        <w:rPr>
          <w:lang w:eastAsia="sk-SK"/>
        </w:rPr>
        <w:t>germicídne</w:t>
      </w:r>
      <w:proofErr w:type="spellEnd"/>
      <w:r w:rsidR="00C14B63">
        <w:rPr>
          <w:lang w:eastAsia="sk-SK"/>
        </w:rPr>
        <w:t xml:space="preserve"> žiariče</w:t>
      </w:r>
      <w:r w:rsidR="00A711BC">
        <w:rPr>
          <w:lang w:eastAsia="sk-SK"/>
        </w:rPr>
        <w:t xml:space="preserve"> a iné)</w:t>
      </w:r>
      <w:r>
        <w:rPr>
          <w:lang w:eastAsia="sk-SK"/>
        </w:rPr>
        <w:t xml:space="preserve"> </w:t>
      </w:r>
      <w:r w:rsidR="00C14B63">
        <w:rPr>
          <w:lang w:eastAsia="sk-SK"/>
        </w:rPr>
        <w:t>približne vo výške 0,52 mil. EUR</w:t>
      </w:r>
      <w:r w:rsidR="00A711BC">
        <w:rPr>
          <w:lang w:eastAsia="sk-SK"/>
        </w:rPr>
        <w:t>.</w:t>
      </w:r>
    </w:p>
    <w:p w14:paraId="0807D47E" w14:textId="77777777" w:rsidR="00B57C2F" w:rsidRPr="00B57C2F" w:rsidRDefault="00B57C2F" w:rsidP="00B57C2F">
      <w:pPr>
        <w:spacing w:after="0" w:line="240" w:lineRule="auto"/>
        <w:jc w:val="both"/>
        <w:rPr>
          <w:lang w:eastAsia="sk-SK"/>
        </w:rPr>
      </w:pPr>
    </w:p>
    <w:p w14:paraId="7F095106" w14:textId="35A89B46" w:rsidR="00B57C2F" w:rsidRPr="00B57C2F" w:rsidRDefault="00BA55C0" w:rsidP="00B57C2F">
      <w:pPr>
        <w:spacing w:before="100" w:beforeAutospacing="1" w:after="100" w:afterAutospacing="1" w:line="240" w:lineRule="auto"/>
        <w:outlineLvl w:val="2"/>
        <w:rPr>
          <w:b/>
          <w:bCs/>
          <w:color w:val="4F6228"/>
          <w:sz w:val="27"/>
          <w:szCs w:val="27"/>
          <w:lang w:eastAsia="sk-SK"/>
        </w:rPr>
      </w:pPr>
      <w:r w:rsidRPr="009E4E62">
        <w:rPr>
          <w:b/>
          <w:bCs/>
          <w:color w:val="4F6228"/>
          <w:sz w:val="27"/>
          <w:szCs w:val="27"/>
          <w:lang w:eastAsia="sk-SK"/>
        </w:rPr>
        <w:t>Podprogram 3.2: Informačno-technologický systém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0"/>
        <w:gridCol w:w="2023"/>
        <w:gridCol w:w="1368"/>
        <w:gridCol w:w="1368"/>
        <w:gridCol w:w="1445"/>
        <w:gridCol w:w="867"/>
        <w:gridCol w:w="2605"/>
      </w:tblGrid>
      <w:tr w:rsidR="001C41F1" w:rsidRPr="00A01017" w14:paraId="0C41E7E3" w14:textId="77777777" w:rsidTr="001C41F1">
        <w:trPr>
          <w:tblCellSpacing w:w="15" w:type="dxa"/>
        </w:trPr>
        <w:tc>
          <w:tcPr>
            <w:tcW w:w="0" w:type="auto"/>
            <w:shd w:val="clear" w:color="auto" w:fill="C6DBF7"/>
            <w:vAlign w:val="center"/>
            <w:hideMark/>
          </w:tcPr>
          <w:p w14:paraId="23765568"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Kód EK</w:t>
            </w:r>
          </w:p>
        </w:tc>
        <w:tc>
          <w:tcPr>
            <w:tcW w:w="952" w:type="pct"/>
            <w:shd w:val="clear" w:color="auto" w:fill="C6DBF7"/>
            <w:vAlign w:val="center"/>
            <w:hideMark/>
          </w:tcPr>
          <w:p w14:paraId="0DB744EF"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Ekonomická klasifikácia</w:t>
            </w:r>
          </w:p>
        </w:tc>
        <w:tc>
          <w:tcPr>
            <w:tcW w:w="0" w:type="auto"/>
            <w:shd w:val="clear" w:color="auto" w:fill="C6DBF7"/>
            <w:vAlign w:val="center"/>
            <w:hideMark/>
          </w:tcPr>
          <w:p w14:paraId="4ADC499C"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Schválený</w:t>
            </w:r>
            <w:r w:rsidRPr="00A01017">
              <w:rPr>
                <w:rFonts w:cstheme="minorHAnsi"/>
                <w:b/>
                <w:bCs/>
                <w:sz w:val="20"/>
                <w:szCs w:val="20"/>
                <w:lang w:eastAsia="sk-SK"/>
              </w:rPr>
              <w:br/>
              <w:t>rozpočet</w:t>
            </w:r>
            <w:r w:rsidRPr="00A01017">
              <w:rPr>
                <w:rFonts w:cstheme="minorHAnsi"/>
                <w:b/>
                <w:bCs/>
                <w:sz w:val="20"/>
                <w:szCs w:val="20"/>
                <w:lang w:eastAsia="sk-SK"/>
              </w:rPr>
              <w:br/>
              <w:t>v EUR</w:t>
            </w:r>
          </w:p>
        </w:tc>
        <w:tc>
          <w:tcPr>
            <w:tcW w:w="0" w:type="auto"/>
            <w:shd w:val="clear" w:color="auto" w:fill="C6DBF7"/>
            <w:vAlign w:val="center"/>
            <w:hideMark/>
          </w:tcPr>
          <w:p w14:paraId="0000B5C6"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Zmenený</w:t>
            </w:r>
            <w:r w:rsidRPr="00A01017">
              <w:rPr>
                <w:rFonts w:cstheme="minorHAnsi"/>
                <w:b/>
                <w:bCs/>
                <w:sz w:val="20"/>
                <w:szCs w:val="20"/>
                <w:lang w:eastAsia="sk-SK"/>
              </w:rPr>
              <w:br/>
              <w:t>rozpočet</w:t>
            </w:r>
            <w:r w:rsidRPr="00A01017">
              <w:rPr>
                <w:rFonts w:cstheme="minorHAnsi"/>
                <w:b/>
                <w:bCs/>
                <w:sz w:val="20"/>
                <w:szCs w:val="20"/>
                <w:lang w:eastAsia="sk-SK"/>
              </w:rPr>
              <w:br/>
              <w:t>v EUR</w:t>
            </w:r>
          </w:p>
        </w:tc>
        <w:tc>
          <w:tcPr>
            <w:tcW w:w="696" w:type="pct"/>
            <w:shd w:val="clear" w:color="auto" w:fill="C6DBF7"/>
            <w:vAlign w:val="center"/>
            <w:hideMark/>
          </w:tcPr>
          <w:p w14:paraId="364A2713"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Čerpanie</w:t>
            </w:r>
            <w:r w:rsidRPr="00A01017">
              <w:rPr>
                <w:rFonts w:cstheme="minorHAnsi"/>
                <w:b/>
                <w:bCs/>
                <w:sz w:val="20"/>
                <w:szCs w:val="20"/>
                <w:lang w:eastAsia="sk-SK"/>
              </w:rPr>
              <w:br/>
              <w:t>v EUR</w:t>
            </w:r>
          </w:p>
        </w:tc>
        <w:tc>
          <w:tcPr>
            <w:tcW w:w="413" w:type="pct"/>
            <w:shd w:val="clear" w:color="auto" w:fill="C6DBF7"/>
            <w:vAlign w:val="center"/>
            <w:hideMark/>
          </w:tcPr>
          <w:p w14:paraId="55C9DBF2"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Čerpanie</w:t>
            </w:r>
            <w:r w:rsidRPr="00A01017">
              <w:rPr>
                <w:rFonts w:cstheme="minorHAnsi"/>
                <w:b/>
                <w:bCs/>
                <w:sz w:val="20"/>
                <w:szCs w:val="20"/>
                <w:lang w:eastAsia="sk-SK"/>
              </w:rPr>
              <w:br/>
              <w:t xml:space="preserve">k </w:t>
            </w:r>
            <w:proofErr w:type="spellStart"/>
            <w:r w:rsidRPr="00A01017">
              <w:rPr>
                <w:rFonts w:cstheme="minorHAnsi"/>
                <w:b/>
                <w:bCs/>
                <w:sz w:val="20"/>
                <w:szCs w:val="20"/>
                <w:lang w:eastAsia="sk-SK"/>
              </w:rPr>
              <w:t>zmen</w:t>
            </w:r>
            <w:proofErr w:type="spellEnd"/>
            <w:r w:rsidRPr="00A01017">
              <w:rPr>
                <w:rFonts w:cstheme="minorHAnsi"/>
                <w:b/>
                <w:bCs/>
                <w:sz w:val="20"/>
                <w:szCs w:val="20"/>
                <w:lang w:eastAsia="sk-SK"/>
              </w:rPr>
              <w:t xml:space="preserve">. </w:t>
            </w:r>
            <w:proofErr w:type="spellStart"/>
            <w:r w:rsidRPr="00A01017">
              <w:rPr>
                <w:rFonts w:cstheme="minorHAnsi"/>
                <w:b/>
                <w:bCs/>
                <w:sz w:val="20"/>
                <w:szCs w:val="20"/>
                <w:lang w:eastAsia="sk-SK"/>
              </w:rPr>
              <w:t>rozp</w:t>
            </w:r>
            <w:proofErr w:type="spellEnd"/>
            <w:r w:rsidRPr="00A01017">
              <w:rPr>
                <w:rFonts w:cstheme="minorHAnsi"/>
                <w:b/>
                <w:bCs/>
                <w:sz w:val="20"/>
                <w:szCs w:val="20"/>
                <w:lang w:eastAsia="sk-SK"/>
              </w:rPr>
              <w:t>.</w:t>
            </w:r>
            <w:r w:rsidRPr="00A01017">
              <w:rPr>
                <w:rFonts w:cstheme="minorHAnsi"/>
                <w:b/>
                <w:bCs/>
                <w:sz w:val="20"/>
                <w:szCs w:val="20"/>
                <w:lang w:eastAsia="sk-SK"/>
              </w:rPr>
              <w:br/>
              <w:t>v %</w:t>
            </w:r>
          </w:p>
        </w:tc>
        <w:tc>
          <w:tcPr>
            <w:tcW w:w="1255" w:type="pct"/>
            <w:shd w:val="clear" w:color="auto" w:fill="C6DBF7"/>
            <w:vAlign w:val="center"/>
            <w:hideMark/>
          </w:tcPr>
          <w:p w14:paraId="3C07A496"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Zmeny rozpočtu</w:t>
            </w:r>
          </w:p>
        </w:tc>
      </w:tr>
      <w:tr w:rsidR="001C41F1" w:rsidRPr="00A01017" w14:paraId="7424DB75" w14:textId="77777777" w:rsidTr="001C41F1">
        <w:trPr>
          <w:tblCellSpacing w:w="15" w:type="dxa"/>
        </w:trPr>
        <w:tc>
          <w:tcPr>
            <w:tcW w:w="0" w:type="auto"/>
            <w:shd w:val="clear" w:color="auto" w:fill="D9D9D9"/>
            <w:noWrap/>
            <w:vAlign w:val="center"/>
            <w:hideMark/>
          </w:tcPr>
          <w:p w14:paraId="57699753" w14:textId="77777777" w:rsidR="00B57C2F" w:rsidRPr="00A01017" w:rsidRDefault="00B57C2F" w:rsidP="00314060">
            <w:pPr>
              <w:spacing w:after="0" w:line="240" w:lineRule="auto"/>
              <w:jc w:val="center"/>
              <w:rPr>
                <w:rFonts w:cstheme="minorHAnsi"/>
                <w:sz w:val="24"/>
                <w:szCs w:val="24"/>
                <w:lang w:eastAsia="sk-SK"/>
              </w:rPr>
            </w:pPr>
          </w:p>
        </w:tc>
        <w:tc>
          <w:tcPr>
            <w:tcW w:w="0" w:type="auto"/>
            <w:shd w:val="clear" w:color="auto" w:fill="D9D9D9"/>
            <w:vAlign w:val="center"/>
            <w:hideMark/>
          </w:tcPr>
          <w:p w14:paraId="08DF3D46"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Výdavky celkom</w:t>
            </w:r>
            <w:r w:rsidRPr="00A01017">
              <w:rPr>
                <w:rFonts w:cstheme="minorHAnsi"/>
                <w:sz w:val="24"/>
                <w:szCs w:val="24"/>
                <w:lang w:eastAsia="sk-SK"/>
              </w:rPr>
              <w:t xml:space="preserve"> </w:t>
            </w:r>
          </w:p>
        </w:tc>
        <w:tc>
          <w:tcPr>
            <w:tcW w:w="0" w:type="auto"/>
            <w:shd w:val="clear" w:color="auto" w:fill="D9D9D9"/>
            <w:noWrap/>
            <w:vAlign w:val="center"/>
            <w:hideMark/>
          </w:tcPr>
          <w:p w14:paraId="773E4C0A"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1 427 639,00</w:t>
            </w:r>
            <w:r w:rsidRPr="00A01017">
              <w:rPr>
                <w:rFonts w:cstheme="minorHAnsi"/>
                <w:sz w:val="24"/>
                <w:szCs w:val="24"/>
                <w:lang w:eastAsia="sk-SK"/>
              </w:rPr>
              <w:t xml:space="preserve"> </w:t>
            </w:r>
          </w:p>
        </w:tc>
        <w:tc>
          <w:tcPr>
            <w:tcW w:w="0" w:type="auto"/>
            <w:shd w:val="clear" w:color="auto" w:fill="D9D9D9"/>
            <w:noWrap/>
            <w:vAlign w:val="center"/>
            <w:hideMark/>
          </w:tcPr>
          <w:p w14:paraId="2BF822E1"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1 482 639,00</w:t>
            </w:r>
            <w:r w:rsidRPr="00A01017">
              <w:rPr>
                <w:rFonts w:cstheme="minorHAnsi"/>
                <w:sz w:val="24"/>
                <w:szCs w:val="24"/>
                <w:lang w:eastAsia="sk-SK"/>
              </w:rPr>
              <w:t xml:space="preserve"> </w:t>
            </w:r>
          </w:p>
        </w:tc>
        <w:tc>
          <w:tcPr>
            <w:tcW w:w="696" w:type="pct"/>
            <w:shd w:val="clear" w:color="auto" w:fill="D9D9D9"/>
            <w:noWrap/>
            <w:vAlign w:val="center"/>
            <w:hideMark/>
          </w:tcPr>
          <w:p w14:paraId="695EE655"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890 439,38</w:t>
            </w:r>
            <w:r w:rsidRPr="00A01017">
              <w:rPr>
                <w:rFonts w:cstheme="minorHAnsi"/>
                <w:sz w:val="24"/>
                <w:szCs w:val="24"/>
                <w:lang w:eastAsia="sk-SK"/>
              </w:rPr>
              <w:t xml:space="preserve"> </w:t>
            </w:r>
          </w:p>
        </w:tc>
        <w:tc>
          <w:tcPr>
            <w:tcW w:w="413" w:type="pct"/>
            <w:shd w:val="clear" w:color="auto" w:fill="D9D9D9"/>
            <w:noWrap/>
            <w:vAlign w:val="center"/>
            <w:hideMark/>
          </w:tcPr>
          <w:p w14:paraId="78B7277D"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60,06</w:t>
            </w:r>
            <w:r w:rsidRPr="00A01017">
              <w:rPr>
                <w:rFonts w:cstheme="minorHAnsi"/>
                <w:sz w:val="24"/>
                <w:szCs w:val="24"/>
                <w:lang w:eastAsia="sk-SK"/>
              </w:rPr>
              <w:t xml:space="preserve"> </w:t>
            </w:r>
          </w:p>
        </w:tc>
        <w:tc>
          <w:tcPr>
            <w:tcW w:w="1255" w:type="pct"/>
            <w:vMerge w:val="restart"/>
            <w:shd w:val="clear" w:color="auto" w:fill="D9D9D9"/>
            <w:vAlign w:val="center"/>
            <w:hideMark/>
          </w:tcPr>
          <w:p w14:paraId="2572D3BC" w14:textId="77777777" w:rsidR="00B57C2F" w:rsidRDefault="00B57C2F" w:rsidP="00314060">
            <w:pPr>
              <w:spacing w:after="0" w:line="240" w:lineRule="auto"/>
              <w:rPr>
                <w:sz w:val="20"/>
                <w:szCs w:val="20"/>
                <w:lang w:eastAsia="sk-SK"/>
              </w:rPr>
            </w:pPr>
            <w:r>
              <w:rPr>
                <w:b/>
                <w:sz w:val="20"/>
                <w:szCs w:val="20"/>
                <w:lang w:eastAsia="sk-SK"/>
              </w:rPr>
              <w:t>+30 000</w:t>
            </w:r>
            <w:r w:rsidRPr="00421D9F">
              <w:rPr>
                <w:b/>
                <w:sz w:val="20"/>
                <w:szCs w:val="20"/>
                <w:lang w:eastAsia="sk-SK"/>
              </w:rPr>
              <w:t xml:space="preserve"> EUR</w:t>
            </w:r>
            <w:r w:rsidRPr="00421D9F">
              <w:rPr>
                <w:sz w:val="20"/>
                <w:szCs w:val="20"/>
                <w:lang w:eastAsia="sk-SK"/>
              </w:rPr>
              <w:t xml:space="preserve"> </w:t>
            </w:r>
            <w:r>
              <w:rPr>
                <w:sz w:val="20"/>
                <w:szCs w:val="20"/>
                <w:lang w:eastAsia="sk-SK"/>
              </w:rPr>
              <w:t>presun z podprogramu 3.3</w:t>
            </w:r>
          </w:p>
          <w:p w14:paraId="4131875F" w14:textId="77777777" w:rsidR="00B57C2F" w:rsidRDefault="00B57C2F" w:rsidP="00314060">
            <w:pPr>
              <w:spacing w:after="0" w:line="240" w:lineRule="auto"/>
              <w:rPr>
                <w:sz w:val="20"/>
                <w:szCs w:val="20"/>
                <w:lang w:eastAsia="sk-SK"/>
              </w:rPr>
            </w:pPr>
            <w:r>
              <w:rPr>
                <w:b/>
                <w:sz w:val="20"/>
                <w:szCs w:val="20"/>
                <w:lang w:eastAsia="sk-SK"/>
              </w:rPr>
              <w:t>+25 000</w:t>
            </w:r>
            <w:r w:rsidRPr="00421D9F">
              <w:rPr>
                <w:b/>
                <w:sz w:val="20"/>
                <w:szCs w:val="20"/>
                <w:lang w:eastAsia="sk-SK"/>
              </w:rPr>
              <w:t xml:space="preserve"> EUR</w:t>
            </w:r>
            <w:r w:rsidRPr="00421D9F">
              <w:rPr>
                <w:sz w:val="20"/>
                <w:szCs w:val="20"/>
                <w:lang w:eastAsia="sk-SK"/>
              </w:rPr>
              <w:t xml:space="preserve"> </w:t>
            </w:r>
            <w:r>
              <w:rPr>
                <w:sz w:val="20"/>
                <w:szCs w:val="20"/>
                <w:lang w:eastAsia="sk-SK"/>
              </w:rPr>
              <w:t>dar na nákup výpočtovej techniky</w:t>
            </w:r>
          </w:p>
          <w:p w14:paraId="24232A92" w14:textId="77777777" w:rsidR="00B57C2F" w:rsidRPr="00A01017" w:rsidRDefault="00B57C2F" w:rsidP="00314060">
            <w:pPr>
              <w:spacing w:after="0" w:line="240" w:lineRule="auto"/>
              <w:rPr>
                <w:rFonts w:cstheme="minorHAnsi"/>
                <w:sz w:val="24"/>
                <w:szCs w:val="24"/>
                <w:lang w:eastAsia="sk-SK"/>
              </w:rPr>
            </w:pPr>
          </w:p>
        </w:tc>
      </w:tr>
      <w:tr w:rsidR="001C41F1" w:rsidRPr="00A01017" w14:paraId="660F2BF7" w14:textId="77777777" w:rsidTr="001C41F1">
        <w:trPr>
          <w:tblCellSpacing w:w="15" w:type="dxa"/>
        </w:trPr>
        <w:tc>
          <w:tcPr>
            <w:tcW w:w="0" w:type="auto"/>
            <w:shd w:val="clear" w:color="auto" w:fill="D9D9D9"/>
            <w:noWrap/>
            <w:vAlign w:val="center"/>
            <w:hideMark/>
          </w:tcPr>
          <w:p w14:paraId="45040F17"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600</w:t>
            </w:r>
            <w:r w:rsidRPr="00A01017">
              <w:rPr>
                <w:rFonts w:cstheme="minorHAnsi"/>
                <w:sz w:val="24"/>
                <w:szCs w:val="24"/>
                <w:lang w:eastAsia="sk-SK"/>
              </w:rPr>
              <w:t xml:space="preserve"> </w:t>
            </w:r>
          </w:p>
        </w:tc>
        <w:tc>
          <w:tcPr>
            <w:tcW w:w="0" w:type="auto"/>
            <w:shd w:val="clear" w:color="auto" w:fill="D9D9D9"/>
            <w:vAlign w:val="center"/>
            <w:hideMark/>
          </w:tcPr>
          <w:p w14:paraId="47C3BB4C"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Bežné výdavky</w:t>
            </w:r>
            <w:r w:rsidRPr="00A01017">
              <w:rPr>
                <w:rFonts w:cstheme="minorHAnsi"/>
                <w:sz w:val="24"/>
                <w:szCs w:val="24"/>
                <w:lang w:eastAsia="sk-SK"/>
              </w:rPr>
              <w:t xml:space="preserve"> </w:t>
            </w:r>
          </w:p>
        </w:tc>
        <w:tc>
          <w:tcPr>
            <w:tcW w:w="0" w:type="auto"/>
            <w:shd w:val="clear" w:color="auto" w:fill="D9D9D9"/>
            <w:noWrap/>
            <w:vAlign w:val="center"/>
            <w:hideMark/>
          </w:tcPr>
          <w:p w14:paraId="3AF53990"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1 255 639,00</w:t>
            </w:r>
            <w:r w:rsidRPr="00A01017">
              <w:rPr>
                <w:rFonts w:cstheme="minorHAnsi"/>
                <w:sz w:val="24"/>
                <w:szCs w:val="24"/>
                <w:lang w:eastAsia="sk-SK"/>
              </w:rPr>
              <w:t xml:space="preserve"> </w:t>
            </w:r>
          </w:p>
        </w:tc>
        <w:tc>
          <w:tcPr>
            <w:tcW w:w="0" w:type="auto"/>
            <w:shd w:val="clear" w:color="auto" w:fill="D9D9D9"/>
            <w:noWrap/>
            <w:vAlign w:val="center"/>
            <w:hideMark/>
          </w:tcPr>
          <w:p w14:paraId="6CAE12D1"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1 180 639,00</w:t>
            </w:r>
            <w:r w:rsidRPr="00A01017">
              <w:rPr>
                <w:rFonts w:cstheme="minorHAnsi"/>
                <w:sz w:val="24"/>
                <w:szCs w:val="24"/>
                <w:lang w:eastAsia="sk-SK"/>
              </w:rPr>
              <w:t xml:space="preserve"> </w:t>
            </w:r>
          </w:p>
        </w:tc>
        <w:tc>
          <w:tcPr>
            <w:tcW w:w="696" w:type="pct"/>
            <w:shd w:val="clear" w:color="auto" w:fill="D9D9D9"/>
            <w:noWrap/>
            <w:vAlign w:val="center"/>
            <w:hideMark/>
          </w:tcPr>
          <w:p w14:paraId="6D14BD08"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859 665,62</w:t>
            </w:r>
            <w:r w:rsidRPr="00A01017">
              <w:rPr>
                <w:rFonts w:cstheme="minorHAnsi"/>
                <w:sz w:val="24"/>
                <w:szCs w:val="24"/>
                <w:lang w:eastAsia="sk-SK"/>
              </w:rPr>
              <w:t xml:space="preserve"> </w:t>
            </w:r>
          </w:p>
        </w:tc>
        <w:tc>
          <w:tcPr>
            <w:tcW w:w="413" w:type="pct"/>
            <w:shd w:val="clear" w:color="auto" w:fill="D9D9D9"/>
            <w:noWrap/>
            <w:vAlign w:val="center"/>
            <w:hideMark/>
          </w:tcPr>
          <w:p w14:paraId="4FA4C554"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72,81</w:t>
            </w:r>
            <w:r w:rsidRPr="00A01017">
              <w:rPr>
                <w:rFonts w:cstheme="minorHAnsi"/>
                <w:sz w:val="24"/>
                <w:szCs w:val="24"/>
                <w:lang w:eastAsia="sk-SK"/>
              </w:rPr>
              <w:t xml:space="preserve"> </w:t>
            </w:r>
          </w:p>
        </w:tc>
        <w:tc>
          <w:tcPr>
            <w:tcW w:w="1255" w:type="pct"/>
            <w:vMerge/>
            <w:shd w:val="clear" w:color="auto" w:fill="D9D9D9"/>
            <w:vAlign w:val="center"/>
            <w:hideMark/>
          </w:tcPr>
          <w:p w14:paraId="7F33173B" w14:textId="77777777" w:rsidR="00B57C2F" w:rsidRPr="00A01017" w:rsidRDefault="00B57C2F" w:rsidP="00314060">
            <w:pPr>
              <w:spacing w:after="0" w:line="240" w:lineRule="auto"/>
              <w:rPr>
                <w:rFonts w:cstheme="minorHAnsi"/>
                <w:sz w:val="24"/>
                <w:szCs w:val="24"/>
                <w:lang w:eastAsia="sk-SK"/>
              </w:rPr>
            </w:pPr>
          </w:p>
        </w:tc>
      </w:tr>
      <w:tr w:rsidR="001C41F1" w:rsidRPr="00A01017" w14:paraId="769E20A9" w14:textId="77777777" w:rsidTr="001C41F1">
        <w:trPr>
          <w:tblCellSpacing w:w="15" w:type="dxa"/>
        </w:trPr>
        <w:tc>
          <w:tcPr>
            <w:tcW w:w="0" w:type="auto"/>
            <w:shd w:val="clear" w:color="auto" w:fill="EFEFEF"/>
            <w:noWrap/>
            <w:vAlign w:val="center"/>
            <w:hideMark/>
          </w:tcPr>
          <w:p w14:paraId="6F16948B" w14:textId="77777777" w:rsidR="00B57C2F" w:rsidRPr="00A01017" w:rsidRDefault="00B57C2F" w:rsidP="00314060">
            <w:pPr>
              <w:spacing w:after="0" w:line="240" w:lineRule="auto"/>
              <w:rPr>
                <w:rFonts w:cstheme="minorHAnsi"/>
                <w:sz w:val="24"/>
                <w:szCs w:val="24"/>
                <w:lang w:eastAsia="sk-SK"/>
              </w:rPr>
            </w:pPr>
            <w:r w:rsidRPr="00A01017">
              <w:rPr>
                <w:rFonts w:cstheme="minorHAnsi"/>
                <w:sz w:val="20"/>
                <w:szCs w:val="20"/>
                <w:lang w:eastAsia="sk-SK"/>
              </w:rPr>
              <w:t>630</w:t>
            </w:r>
            <w:r w:rsidRPr="00A01017">
              <w:rPr>
                <w:rFonts w:cstheme="minorHAnsi"/>
                <w:sz w:val="24"/>
                <w:szCs w:val="24"/>
                <w:lang w:eastAsia="sk-SK"/>
              </w:rPr>
              <w:t xml:space="preserve"> </w:t>
            </w:r>
          </w:p>
        </w:tc>
        <w:tc>
          <w:tcPr>
            <w:tcW w:w="0" w:type="auto"/>
            <w:shd w:val="clear" w:color="auto" w:fill="EFEFEF"/>
            <w:vAlign w:val="center"/>
            <w:hideMark/>
          </w:tcPr>
          <w:p w14:paraId="504D9553" w14:textId="77777777" w:rsidR="00B57C2F" w:rsidRPr="00A01017" w:rsidRDefault="00B57C2F" w:rsidP="00314060">
            <w:pPr>
              <w:spacing w:after="0" w:line="240" w:lineRule="auto"/>
              <w:rPr>
                <w:rFonts w:cstheme="minorHAnsi"/>
                <w:sz w:val="24"/>
                <w:szCs w:val="24"/>
                <w:lang w:eastAsia="sk-SK"/>
              </w:rPr>
            </w:pPr>
            <w:r w:rsidRPr="00A01017">
              <w:rPr>
                <w:rFonts w:cstheme="minorHAnsi"/>
                <w:sz w:val="20"/>
                <w:szCs w:val="20"/>
                <w:lang w:eastAsia="sk-SK"/>
              </w:rPr>
              <w:t>Tovary a služby</w:t>
            </w:r>
            <w:r w:rsidRPr="00A01017">
              <w:rPr>
                <w:rFonts w:cstheme="minorHAnsi"/>
                <w:sz w:val="24"/>
                <w:szCs w:val="24"/>
                <w:lang w:eastAsia="sk-SK"/>
              </w:rPr>
              <w:t xml:space="preserve"> </w:t>
            </w:r>
          </w:p>
        </w:tc>
        <w:tc>
          <w:tcPr>
            <w:tcW w:w="0" w:type="auto"/>
            <w:shd w:val="clear" w:color="auto" w:fill="EFEFEF"/>
            <w:noWrap/>
            <w:vAlign w:val="center"/>
            <w:hideMark/>
          </w:tcPr>
          <w:p w14:paraId="4B6682AB"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1 255 639,00</w:t>
            </w:r>
            <w:r w:rsidRPr="00A01017">
              <w:rPr>
                <w:rFonts w:cstheme="minorHAnsi"/>
                <w:sz w:val="24"/>
                <w:szCs w:val="24"/>
                <w:lang w:eastAsia="sk-SK"/>
              </w:rPr>
              <w:t xml:space="preserve"> </w:t>
            </w:r>
          </w:p>
        </w:tc>
        <w:tc>
          <w:tcPr>
            <w:tcW w:w="0" w:type="auto"/>
            <w:shd w:val="clear" w:color="auto" w:fill="EFEFEF"/>
            <w:noWrap/>
            <w:vAlign w:val="center"/>
            <w:hideMark/>
          </w:tcPr>
          <w:p w14:paraId="36AFBB14"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1 180 639,00</w:t>
            </w:r>
            <w:r w:rsidRPr="00A01017">
              <w:rPr>
                <w:rFonts w:cstheme="minorHAnsi"/>
                <w:sz w:val="24"/>
                <w:szCs w:val="24"/>
                <w:lang w:eastAsia="sk-SK"/>
              </w:rPr>
              <w:t xml:space="preserve"> </w:t>
            </w:r>
          </w:p>
        </w:tc>
        <w:tc>
          <w:tcPr>
            <w:tcW w:w="696" w:type="pct"/>
            <w:shd w:val="clear" w:color="auto" w:fill="EFEFEF"/>
            <w:noWrap/>
            <w:vAlign w:val="center"/>
            <w:hideMark/>
          </w:tcPr>
          <w:p w14:paraId="0EA8C9C2"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859 665,62</w:t>
            </w:r>
            <w:r w:rsidRPr="00A01017">
              <w:rPr>
                <w:rFonts w:cstheme="minorHAnsi"/>
                <w:sz w:val="24"/>
                <w:szCs w:val="24"/>
                <w:lang w:eastAsia="sk-SK"/>
              </w:rPr>
              <w:t xml:space="preserve"> </w:t>
            </w:r>
          </w:p>
        </w:tc>
        <w:tc>
          <w:tcPr>
            <w:tcW w:w="413" w:type="pct"/>
            <w:shd w:val="clear" w:color="auto" w:fill="EFEFEF"/>
            <w:noWrap/>
            <w:vAlign w:val="center"/>
            <w:hideMark/>
          </w:tcPr>
          <w:p w14:paraId="7C50C2A2"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72,81</w:t>
            </w:r>
            <w:r w:rsidRPr="00A01017">
              <w:rPr>
                <w:rFonts w:cstheme="minorHAnsi"/>
                <w:sz w:val="24"/>
                <w:szCs w:val="24"/>
                <w:lang w:eastAsia="sk-SK"/>
              </w:rPr>
              <w:t xml:space="preserve"> </w:t>
            </w:r>
          </w:p>
        </w:tc>
        <w:tc>
          <w:tcPr>
            <w:tcW w:w="1255" w:type="pct"/>
            <w:vMerge/>
            <w:shd w:val="clear" w:color="auto" w:fill="EFEFEF"/>
            <w:vAlign w:val="center"/>
            <w:hideMark/>
          </w:tcPr>
          <w:p w14:paraId="4147B2AB" w14:textId="77777777" w:rsidR="00B57C2F" w:rsidRPr="00A01017" w:rsidRDefault="00B57C2F" w:rsidP="00314060">
            <w:pPr>
              <w:spacing w:after="0" w:line="240" w:lineRule="auto"/>
              <w:rPr>
                <w:rFonts w:cstheme="minorHAnsi"/>
                <w:sz w:val="24"/>
                <w:szCs w:val="24"/>
                <w:lang w:eastAsia="sk-SK"/>
              </w:rPr>
            </w:pPr>
          </w:p>
        </w:tc>
      </w:tr>
      <w:tr w:rsidR="001C41F1" w:rsidRPr="00A01017" w14:paraId="068EF358" w14:textId="77777777" w:rsidTr="001C41F1">
        <w:trPr>
          <w:tblCellSpacing w:w="15" w:type="dxa"/>
        </w:trPr>
        <w:tc>
          <w:tcPr>
            <w:tcW w:w="0" w:type="auto"/>
            <w:shd w:val="clear" w:color="auto" w:fill="D9D9D9"/>
            <w:noWrap/>
            <w:vAlign w:val="center"/>
            <w:hideMark/>
          </w:tcPr>
          <w:p w14:paraId="2B57EBBB"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700</w:t>
            </w:r>
            <w:r w:rsidRPr="00A01017">
              <w:rPr>
                <w:rFonts w:cstheme="minorHAnsi"/>
                <w:sz w:val="24"/>
                <w:szCs w:val="24"/>
                <w:lang w:eastAsia="sk-SK"/>
              </w:rPr>
              <w:t xml:space="preserve"> </w:t>
            </w:r>
          </w:p>
        </w:tc>
        <w:tc>
          <w:tcPr>
            <w:tcW w:w="0" w:type="auto"/>
            <w:shd w:val="clear" w:color="auto" w:fill="D9D9D9"/>
            <w:vAlign w:val="center"/>
            <w:hideMark/>
          </w:tcPr>
          <w:p w14:paraId="66FB33FB"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Kapitálové výdavky</w:t>
            </w:r>
            <w:r w:rsidRPr="00A01017">
              <w:rPr>
                <w:rFonts w:cstheme="minorHAnsi"/>
                <w:sz w:val="24"/>
                <w:szCs w:val="24"/>
                <w:lang w:eastAsia="sk-SK"/>
              </w:rPr>
              <w:t xml:space="preserve"> </w:t>
            </w:r>
          </w:p>
        </w:tc>
        <w:tc>
          <w:tcPr>
            <w:tcW w:w="0" w:type="auto"/>
            <w:shd w:val="clear" w:color="auto" w:fill="D9D9D9"/>
            <w:noWrap/>
            <w:vAlign w:val="center"/>
            <w:hideMark/>
          </w:tcPr>
          <w:p w14:paraId="4E061639"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172 000,00</w:t>
            </w:r>
            <w:r w:rsidRPr="00A01017">
              <w:rPr>
                <w:rFonts w:cstheme="minorHAnsi"/>
                <w:sz w:val="24"/>
                <w:szCs w:val="24"/>
                <w:lang w:eastAsia="sk-SK"/>
              </w:rPr>
              <w:t xml:space="preserve"> </w:t>
            </w:r>
          </w:p>
        </w:tc>
        <w:tc>
          <w:tcPr>
            <w:tcW w:w="0" w:type="auto"/>
            <w:shd w:val="clear" w:color="auto" w:fill="D9D9D9"/>
            <w:noWrap/>
            <w:vAlign w:val="center"/>
            <w:hideMark/>
          </w:tcPr>
          <w:p w14:paraId="5A8F7414"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302 000,00</w:t>
            </w:r>
            <w:r w:rsidRPr="00A01017">
              <w:rPr>
                <w:rFonts w:cstheme="minorHAnsi"/>
                <w:sz w:val="24"/>
                <w:szCs w:val="24"/>
                <w:lang w:eastAsia="sk-SK"/>
              </w:rPr>
              <w:t xml:space="preserve"> </w:t>
            </w:r>
          </w:p>
        </w:tc>
        <w:tc>
          <w:tcPr>
            <w:tcW w:w="696" w:type="pct"/>
            <w:shd w:val="clear" w:color="auto" w:fill="D9D9D9"/>
            <w:noWrap/>
            <w:vAlign w:val="center"/>
            <w:hideMark/>
          </w:tcPr>
          <w:p w14:paraId="4C650845"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30 773,76</w:t>
            </w:r>
            <w:r w:rsidRPr="00A01017">
              <w:rPr>
                <w:rFonts w:cstheme="minorHAnsi"/>
                <w:sz w:val="24"/>
                <w:szCs w:val="24"/>
                <w:lang w:eastAsia="sk-SK"/>
              </w:rPr>
              <w:t xml:space="preserve"> </w:t>
            </w:r>
          </w:p>
        </w:tc>
        <w:tc>
          <w:tcPr>
            <w:tcW w:w="413" w:type="pct"/>
            <w:shd w:val="clear" w:color="auto" w:fill="D9D9D9"/>
            <w:noWrap/>
            <w:vAlign w:val="center"/>
            <w:hideMark/>
          </w:tcPr>
          <w:p w14:paraId="5AFB1336"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b/>
                <w:bCs/>
                <w:sz w:val="20"/>
                <w:szCs w:val="20"/>
                <w:lang w:eastAsia="sk-SK"/>
              </w:rPr>
              <w:t>10,19</w:t>
            </w:r>
            <w:r w:rsidRPr="00A01017">
              <w:rPr>
                <w:rFonts w:cstheme="minorHAnsi"/>
                <w:sz w:val="24"/>
                <w:szCs w:val="24"/>
                <w:lang w:eastAsia="sk-SK"/>
              </w:rPr>
              <w:t xml:space="preserve"> </w:t>
            </w:r>
          </w:p>
        </w:tc>
        <w:tc>
          <w:tcPr>
            <w:tcW w:w="1255" w:type="pct"/>
            <w:vMerge/>
            <w:shd w:val="clear" w:color="auto" w:fill="D9D9D9"/>
            <w:vAlign w:val="center"/>
            <w:hideMark/>
          </w:tcPr>
          <w:p w14:paraId="6D1CD7C8" w14:textId="77777777" w:rsidR="00B57C2F" w:rsidRPr="00A01017" w:rsidRDefault="00B57C2F" w:rsidP="00314060">
            <w:pPr>
              <w:spacing w:after="0" w:line="240" w:lineRule="auto"/>
              <w:rPr>
                <w:rFonts w:cstheme="minorHAnsi"/>
                <w:sz w:val="24"/>
                <w:szCs w:val="24"/>
                <w:lang w:eastAsia="sk-SK"/>
              </w:rPr>
            </w:pPr>
          </w:p>
        </w:tc>
      </w:tr>
      <w:tr w:rsidR="001C41F1" w:rsidRPr="00A01017" w14:paraId="4FD5FA73" w14:textId="77777777" w:rsidTr="001C41F1">
        <w:trPr>
          <w:tblCellSpacing w:w="15" w:type="dxa"/>
        </w:trPr>
        <w:tc>
          <w:tcPr>
            <w:tcW w:w="0" w:type="auto"/>
            <w:shd w:val="clear" w:color="auto" w:fill="EFEFEF"/>
            <w:noWrap/>
            <w:vAlign w:val="center"/>
            <w:hideMark/>
          </w:tcPr>
          <w:p w14:paraId="351A28CC" w14:textId="77777777" w:rsidR="00B57C2F" w:rsidRPr="00A01017" w:rsidRDefault="00B57C2F" w:rsidP="00314060">
            <w:pPr>
              <w:spacing w:after="0" w:line="240" w:lineRule="auto"/>
              <w:rPr>
                <w:rFonts w:cstheme="minorHAnsi"/>
                <w:sz w:val="24"/>
                <w:szCs w:val="24"/>
                <w:lang w:eastAsia="sk-SK"/>
              </w:rPr>
            </w:pPr>
            <w:r w:rsidRPr="00A01017">
              <w:rPr>
                <w:rFonts w:cstheme="minorHAnsi"/>
                <w:sz w:val="20"/>
                <w:szCs w:val="20"/>
                <w:lang w:eastAsia="sk-SK"/>
              </w:rPr>
              <w:t>710</w:t>
            </w:r>
            <w:r w:rsidRPr="00A01017">
              <w:rPr>
                <w:rFonts w:cstheme="minorHAnsi"/>
                <w:sz w:val="24"/>
                <w:szCs w:val="24"/>
                <w:lang w:eastAsia="sk-SK"/>
              </w:rPr>
              <w:t xml:space="preserve"> </w:t>
            </w:r>
          </w:p>
        </w:tc>
        <w:tc>
          <w:tcPr>
            <w:tcW w:w="0" w:type="auto"/>
            <w:shd w:val="clear" w:color="auto" w:fill="EFEFEF"/>
            <w:vAlign w:val="center"/>
            <w:hideMark/>
          </w:tcPr>
          <w:p w14:paraId="479BEBEE" w14:textId="77777777" w:rsidR="00B57C2F" w:rsidRPr="00A01017" w:rsidRDefault="00B57C2F" w:rsidP="00314060">
            <w:pPr>
              <w:spacing w:after="0" w:line="240" w:lineRule="auto"/>
              <w:rPr>
                <w:rFonts w:cstheme="minorHAnsi"/>
                <w:sz w:val="24"/>
                <w:szCs w:val="24"/>
                <w:lang w:eastAsia="sk-SK"/>
              </w:rPr>
            </w:pPr>
            <w:proofErr w:type="spellStart"/>
            <w:r w:rsidRPr="00A01017">
              <w:rPr>
                <w:rFonts w:cstheme="minorHAnsi"/>
                <w:sz w:val="20"/>
                <w:szCs w:val="20"/>
                <w:lang w:eastAsia="sk-SK"/>
              </w:rPr>
              <w:t>Obst</w:t>
            </w:r>
            <w:proofErr w:type="spellEnd"/>
            <w:r w:rsidRPr="00A01017">
              <w:rPr>
                <w:rFonts w:cstheme="minorHAnsi"/>
                <w:sz w:val="20"/>
                <w:szCs w:val="20"/>
                <w:lang w:eastAsia="sk-SK"/>
              </w:rPr>
              <w:t xml:space="preserve">. </w:t>
            </w:r>
            <w:proofErr w:type="spellStart"/>
            <w:r w:rsidRPr="00A01017">
              <w:rPr>
                <w:rFonts w:cstheme="minorHAnsi"/>
                <w:sz w:val="20"/>
                <w:szCs w:val="20"/>
                <w:lang w:eastAsia="sk-SK"/>
              </w:rPr>
              <w:t>kapit</w:t>
            </w:r>
            <w:proofErr w:type="spellEnd"/>
            <w:r w:rsidRPr="00A01017">
              <w:rPr>
                <w:rFonts w:cstheme="minorHAnsi"/>
                <w:sz w:val="20"/>
                <w:szCs w:val="20"/>
                <w:lang w:eastAsia="sk-SK"/>
              </w:rPr>
              <w:t>. aktív</w:t>
            </w:r>
            <w:r w:rsidRPr="00A01017">
              <w:rPr>
                <w:rFonts w:cstheme="minorHAnsi"/>
                <w:sz w:val="24"/>
                <w:szCs w:val="24"/>
                <w:lang w:eastAsia="sk-SK"/>
              </w:rPr>
              <w:t xml:space="preserve"> </w:t>
            </w:r>
          </w:p>
        </w:tc>
        <w:tc>
          <w:tcPr>
            <w:tcW w:w="0" w:type="auto"/>
            <w:shd w:val="clear" w:color="auto" w:fill="EFEFEF"/>
            <w:noWrap/>
            <w:vAlign w:val="center"/>
            <w:hideMark/>
          </w:tcPr>
          <w:p w14:paraId="43B6F0CA"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172 000,00</w:t>
            </w:r>
            <w:r w:rsidRPr="00A01017">
              <w:rPr>
                <w:rFonts w:cstheme="minorHAnsi"/>
                <w:sz w:val="24"/>
                <w:szCs w:val="24"/>
                <w:lang w:eastAsia="sk-SK"/>
              </w:rPr>
              <w:t xml:space="preserve"> </w:t>
            </w:r>
          </w:p>
        </w:tc>
        <w:tc>
          <w:tcPr>
            <w:tcW w:w="0" w:type="auto"/>
            <w:shd w:val="clear" w:color="auto" w:fill="EFEFEF"/>
            <w:noWrap/>
            <w:vAlign w:val="center"/>
            <w:hideMark/>
          </w:tcPr>
          <w:p w14:paraId="5C403B5D"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302 000,00</w:t>
            </w:r>
            <w:r w:rsidRPr="00A01017">
              <w:rPr>
                <w:rFonts w:cstheme="minorHAnsi"/>
                <w:sz w:val="24"/>
                <w:szCs w:val="24"/>
                <w:lang w:eastAsia="sk-SK"/>
              </w:rPr>
              <w:t xml:space="preserve"> </w:t>
            </w:r>
          </w:p>
        </w:tc>
        <w:tc>
          <w:tcPr>
            <w:tcW w:w="696" w:type="pct"/>
            <w:shd w:val="clear" w:color="auto" w:fill="EFEFEF"/>
            <w:noWrap/>
            <w:vAlign w:val="center"/>
            <w:hideMark/>
          </w:tcPr>
          <w:p w14:paraId="273251A7"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30 773,76</w:t>
            </w:r>
            <w:r w:rsidRPr="00A01017">
              <w:rPr>
                <w:rFonts w:cstheme="minorHAnsi"/>
                <w:sz w:val="24"/>
                <w:szCs w:val="24"/>
                <w:lang w:eastAsia="sk-SK"/>
              </w:rPr>
              <w:t xml:space="preserve"> </w:t>
            </w:r>
          </w:p>
        </w:tc>
        <w:tc>
          <w:tcPr>
            <w:tcW w:w="413" w:type="pct"/>
            <w:shd w:val="clear" w:color="auto" w:fill="EFEFEF"/>
            <w:noWrap/>
            <w:vAlign w:val="center"/>
            <w:hideMark/>
          </w:tcPr>
          <w:p w14:paraId="5073389A" w14:textId="77777777" w:rsidR="00B57C2F" w:rsidRPr="00A01017" w:rsidRDefault="00B57C2F" w:rsidP="00314060">
            <w:pPr>
              <w:spacing w:after="0" w:line="240" w:lineRule="auto"/>
              <w:jc w:val="right"/>
              <w:rPr>
                <w:rFonts w:cstheme="minorHAnsi"/>
                <w:sz w:val="24"/>
                <w:szCs w:val="24"/>
                <w:lang w:eastAsia="sk-SK"/>
              </w:rPr>
            </w:pPr>
            <w:r w:rsidRPr="00A01017">
              <w:rPr>
                <w:rFonts w:cstheme="minorHAnsi"/>
                <w:sz w:val="20"/>
                <w:szCs w:val="20"/>
                <w:lang w:eastAsia="sk-SK"/>
              </w:rPr>
              <w:t>10,19</w:t>
            </w:r>
            <w:r w:rsidRPr="00A01017">
              <w:rPr>
                <w:rFonts w:cstheme="minorHAnsi"/>
                <w:sz w:val="24"/>
                <w:szCs w:val="24"/>
                <w:lang w:eastAsia="sk-SK"/>
              </w:rPr>
              <w:t xml:space="preserve"> </w:t>
            </w:r>
          </w:p>
        </w:tc>
        <w:tc>
          <w:tcPr>
            <w:tcW w:w="1255" w:type="pct"/>
            <w:vMerge/>
            <w:shd w:val="clear" w:color="auto" w:fill="EFEFEF"/>
            <w:vAlign w:val="center"/>
            <w:hideMark/>
          </w:tcPr>
          <w:p w14:paraId="6F4F49FA" w14:textId="77777777" w:rsidR="00B57C2F" w:rsidRPr="00A01017" w:rsidRDefault="00B57C2F" w:rsidP="00314060">
            <w:pPr>
              <w:spacing w:after="0" w:line="240" w:lineRule="auto"/>
              <w:rPr>
                <w:rFonts w:cstheme="minorHAnsi"/>
                <w:sz w:val="24"/>
                <w:szCs w:val="24"/>
                <w:lang w:eastAsia="sk-SK"/>
              </w:rPr>
            </w:pPr>
          </w:p>
        </w:tc>
      </w:tr>
    </w:tbl>
    <w:p w14:paraId="5EF5E6B7" w14:textId="77777777" w:rsidR="00B57C2F" w:rsidRPr="00A01017" w:rsidRDefault="00B57C2F" w:rsidP="00B57C2F">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95"/>
        <w:gridCol w:w="767"/>
        <w:gridCol w:w="1830"/>
        <w:gridCol w:w="1315"/>
        <w:gridCol w:w="4159"/>
      </w:tblGrid>
      <w:tr w:rsidR="00B57C2F" w:rsidRPr="00A01017" w14:paraId="75946F40" w14:textId="77777777" w:rsidTr="00314060">
        <w:trPr>
          <w:tblCellSpacing w:w="15" w:type="dxa"/>
        </w:trPr>
        <w:tc>
          <w:tcPr>
            <w:tcW w:w="0" w:type="auto"/>
            <w:shd w:val="clear" w:color="auto" w:fill="C2D69B"/>
            <w:vAlign w:val="center"/>
            <w:hideMark/>
          </w:tcPr>
          <w:p w14:paraId="1AA0EBA0"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Zodpovednosť</w:t>
            </w:r>
          </w:p>
        </w:tc>
        <w:tc>
          <w:tcPr>
            <w:tcW w:w="0" w:type="auto"/>
            <w:gridSpan w:val="4"/>
            <w:shd w:val="clear" w:color="auto" w:fill="C2D69B"/>
            <w:vAlign w:val="center"/>
            <w:hideMark/>
          </w:tcPr>
          <w:p w14:paraId="2A7C173E" w14:textId="77777777" w:rsidR="00B57C2F" w:rsidRPr="00A01017" w:rsidRDefault="00B57C2F" w:rsidP="00314060">
            <w:pPr>
              <w:spacing w:after="0" w:line="240" w:lineRule="auto"/>
              <w:rPr>
                <w:rFonts w:cstheme="minorHAnsi"/>
                <w:sz w:val="24"/>
                <w:szCs w:val="24"/>
                <w:lang w:eastAsia="sk-SK"/>
              </w:rPr>
            </w:pPr>
            <w:r w:rsidRPr="00A01017">
              <w:rPr>
                <w:rFonts w:cstheme="minorHAnsi"/>
                <w:sz w:val="20"/>
                <w:szCs w:val="20"/>
                <w:lang w:eastAsia="sk-SK"/>
              </w:rPr>
              <w:t>Odbor informatiky</w:t>
            </w:r>
            <w:r w:rsidRPr="00A01017">
              <w:rPr>
                <w:rFonts w:cstheme="minorHAnsi"/>
                <w:sz w:val="24"/>
                <w:szCs w:val="24"/>
                <w:lang w:eastAsia="sk-SK"/>
              </w:rPr>
              <w:t xml:space="preserve"> </w:t>
            </w:r>
          </w:p>
        </w:tc>
      </w:tr>
      <w:tr w:rsidR="00B57C2F" w:rsidRPr="00A01017" w14:paraId="3626E4B2" w14:textId="77777777" w:rsidTr="00314060">
        <w:trPr>
          <w:tblCellSpacing w:w="15" w:type="dxa"/>
        </w:trPr>
        <w:tc>
          <w:tcPr>
            <w:tcW w:w="0" w:type="auto"/>
            <w:shd w:val="clear" w:color="auto" w:fill="C2D69B"/>
            <w:vAlign w:val="center"/>
            <w:hideMark/>
          </w:tcPr>
          <w:p w14:paraId="5A7CE043"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Cieľ</w:t>
            </w:r>
          </w:p>
        </w:tc>
        <w:tc>
          <w:tcPr>
            <w:tcW w:w="0" w:type="auto"/>
            <w:gridSpan w:val="4"/>
            <w:shd w:val="clear" w:color="auto" w:fill="C2D69B"/>
            <w:vAlign w:val="center"/>
            <w:hideMark/>
          </w:tcPr>
          <w:p w14:paraId="03B4477B" w14:textId="77777777" w:rsidR="00B57C2F" w:rsidRPr="00A01017" w:rsidRDefault="00B57C2F" w:rsidP="00314060">
            <w:pPr>
              <w:spacing w:after="0" w:line="240" w:lineRule="auto"/>
              <w:rPr>
                <w:rFonts w:cstheme="minorHAnsi"/>
                <w:sz w:val="24"/>
                <w:szCs w:val="24"/>
                <w:lang w:eastAsia="sk-SK"/>
              </w:rPr>
            </w:pPr>
            <w:r w:rsidRPr="00A01017">
              <w:rPr>
                <w:rFonts w:cstheme="minorHAnsi"/>
                <w:sz w:val="20"/>
                <w:szCs w:val="20"/>
                <w:lang w:eastAsia="sk-SK"/>
              </w:rPr>
              <w:t>Zabezpečiť kvalitný informačno-technologický systém</w:t>
            </w:r>
            <w:r w:rsidRPr="00A01017">
              <w:rPr>
                <w:rFonts w:cstheme="minorHAnsi"/>
                <w:sz w:val="24"/>
                <w:szCs w:val="24"/>
                <w:lang w:eastAsia="sk-SK"/>
              </w:rPr>
              <w:t xml:space="preserve"> </w:t>
            </w:r>
          </w:p>
        </w:tc>
      </w:tr>
      <w:tr w:rsidR="00B57C2F" w:rsidRPr="00A01017" w14:paraId="3E537E7D" w14:textId="77777777" w:rsidTr="00314060">
        <w:trPr>
          <w:tblCellSpacing w:w="15" w:type="dxa"/>
        </w:trPr>
        <w:tc>
          <w:tcPr>
            <w:tcW w:w="0" w:type="auto"/>
            <w:shd w:val="clear" w:color="auto" w:fill="C2D69B"/>
            <w:vAlign w:val="center"/>
            <w:hideMark/>
          </w:tcPr>
          <w:p w14:paraId="0D203E2F"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Merateľný ukazovateľ</w:t>
            </w:r>
          </w:p>
        </w:tc>
        <w:tc>
          <w:tcPr>
            <w:tcW w:w="0" w:type="auto"/>
            <w:gridSpan w:val="4"/>
            <w:shd w:val="clear" w:color="auto" w:fill="C2D69B"/>
            <w:vAlign w:val="center"/>
            <w:hideMark/>
          </w:tcPr>
          <w:p w14:paraId="28FE496C" w14:textId="77777777" w:rsidR="00B57C2F" w:rsidRPr="00A01017" w:rsidRDefault="00B57C2F" w:rsidP="00314060">
            <w:pPr>
              <w:spacing w:after="0" w:line="240" w:lineRule="auto"/>
              <w:rPr>
                <w:rFonts w:cstheme="minorHAnsi"/>
                <w:sz w:val="24"/>
                <w:szCs w:val="24"/>
                <w:lang w:eastAsia="sk-SK"/>
              </w:rPr>
            </w:pPr>
            <w:r w:rsidRPr="00A01017">
              <w:rPr>
                <w:rFonts w:cstheme="minorHAnsi"/>
                <w:sz w:val="20"/>
                <w:szCs w:val="20"/>
                <w:lang w:eastAsia="sk-SK"/>
              </w:rPr>
              <w:t>Priemerný vek výpočtovej techniky v mesiacoch v roku</w:t>
            </w:r>
            <w:r w:rsidRPr="00A01017">
              <w:rPr>
                <w:rFonts w:cstheme="minorHAnsi"/>
                <w:sz w:val="24"/>
                <w:szCs w:val="24"/>
                <w:lang w:eastAsia="sk-SK"/>
              </w:rPr>
              <w:t xml:space="preserve"> </w:t>
            </w:r>
          </w:p>
        </w:tc>
      </w:tr>
      <w:tr w:rsidR="00B57C2F" w:rsidRPr="00A01017" w14:paraId="186E37FA" w14:textId="77777777" w:rsidTr="00314060">
        <w:trPr>
          <w:tblCellSpacing w:w="15" w:type="dxa"/>
        </w:trPr>
        <w:tc>
          <w:tcPr>
            <w:tcW w:w="0" w:type="auto"/>
            <w:shd w:val="clear" w:color="auto" w:fill="C2D69B"/>
            <w:vAlign w:val="center"/>
            <w:hideMark/>
          </w:tcPr>
          <w:p w14:paraId="24285B7A"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Rok</w:t>
            </w:r>
          </w:p>
        </w:tc>
        <w:tc>
          <w:tcPr>
            <w:tcW w:w="0" w:type="auto"/>
            <w:shd w:val="clear" w:color="auto" w:fill="C2D69B"/>
            <w:vAlign w:val="center"/>
            <w:hideMark/>
          </w:tcPr>
          <w:p w14:paraId="3B4A1789"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Plán</w:t>
            </w:r>
          </w:p>
        </w:tc>
        <w:tc>
          <w:tcPr>
            <w:tcW w:w="0" w:type="auto"/>
            <w:shd w:val="clear" w:color="auto" w:fill="C2D69B"/>
            <w:vAlign w:val="center"/>
            <w:hideMark/>
          </w:tcPr>
          <w:p w14:paraId="2475AFCC"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Skutočnosť</w:t>
            </w:r>
          </w:p>
        </w:tc>
        <w:tc>
          <w:tcPr>
            <w:tcW w:w="0" w:type="auto"/>
            <w:shd w:val="clear" w:color="auto" w:fill="C2D69B"/>
            <w:vAlign w:val="center"/>
            <w:hideMark/>
          </w:tcPr>
          <w:p w14:paraId="51E5F475"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b/>
                <w:bCs/>
                <w:sz w:val="20"/>
                <w:szCs w:val="20"/>
                <w:lang w:eastAsia="sk-SK"/>
              </w:rPr>
              <w:t>Plnenie</w:t>
            </w:r>
          </w:p>
        </w:tc>
        <w:tc>
          <w:tcPr>
            <w:tcW w:w="2000" w:type="pct"/>
            <w:shd w:val="clear" w:color="auto" w:fill="C2D69B"/>
            <w:vAlign w:val="center"/>
            <w:hideMark/>
          </w:tcPr>
          <w:p w14:paraId="7DE0140D" w14:textId="77777777" w:rsidR="00B57C2F" w:rsidRPr="00A01017" w:rsidRDefault="00B57C2F" w:rsidP="00314060">
            <w:pPr>
              <w:spacing w:after="0" w:line="240" w:lineRule="auto"/>
              <w:rPr>
                <w:rFonts w:cstheme="minorHAnsi"/>
                <w:sz w:val="24"/>
                <w:szCs w:val="24"/>
                <w:lang w:eastAsia="sk-SK"/>
              </w:rPr>
            </w:pPr>
            <w:r w:rsidRPr="00A01017">
              <w:rPr>
                <w:rFonts w:cstheme="minorHAnsi"/>
                <w:b/>
                <w:bCs/>
                <w:sz w:val="20"/>
                <w:szCs w:val="20"/>
                <w:lang w:eastAsia="sk-SK"/>
              </w:rPr>
              <w:t>Poznámka</w:t>
            </w:r>
          </w:p>
        </w:tc>
      </w:tr>
      <w:tr w:rsidR="00B57C2F" w:rsidRPr="00A01017" w14:paraId="03E0BA77" w14:textId="77777777" w:rsidTr="00314060">
        <w:trPr>
          <w:tblCellSpacing w:w="15" w:type="dxa"/>
        </w:trPr>
        <w:tc>
          <w:tcPr>
            <w:tcW w:w="0" w:type="auto"/>
            <w:shd w:val="clear" w:color="auto" w:fill="C2D69B"/>
            <w:vAlign w:val="center"/>
            <w:hideMark/>
          </w:tcPr>
          <w:p w14:paraId="57663208"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sz w:val="20"/>
                <w:szCs w:val="20"/>
                <w:lang w:eastAsia="sk-SK"/>
              </w:rPr>
              <w:t>2020</w:t>
            </w:r>
            <w:r w:rsidRPr="00A01017">
              <w:rPr>
                <w:rFonts w:cstheme="minorHAnsi"/>
                <w:sz w:val="24"/>
                <w:szCs w:val="24"/>
                <w:lang w:eastAsia="sk-SK"/>
              </w:rPr>
              <w:t xml:space="preserve"> </w:t>
            </w:r>
          </w:p>
        </w:tc>
        <w:tc>
          <w:tcPr>
            <w:tcW w:w="0" w:type="auto"/>
            <w:shd w:val="clear" w:color="auto" w:fill="C2D69B"/>
            <w:noWrap/>
            <w:vAlign w:val="center"/>
            <w:hideMark/>
          </w:tcPr>
          <w:p w14:paraId="069A504D"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sz w:val="20"/>
                <w:szCs w:val="20"/>
                <w:lang w:eastAsia="sk-SK"/>
              </w:rPr>
              <w:t> 24</w:t>
            </w:r>
            <w:r w:rsidRPr="00A01017">
              <w:rPr>
                <w:rFonts w:cstheme="minorHAnsi"/>
                <w:sz w:val="24"/>
                <w:szCs w:val="24"/>
                <w:lang w:eastAsia="sk-SK"/>
              </w:rPr>
              <w:t xml:space="preserve"> </w:t>
            </w:r>
          </w:p>
        </w:tc>
        <w:tc>
          <w:tcPr>
            <w:tcW w:w="0" w:type="auto"/>
            <w:shd w:val="clear" w:color="auto" w:fill="C2D69B"/>
            <w:noWrap/>
            <w:vAlign w:val="center"/>
            <w:hideMark/>
          </w:tcPr>
          <w:p w14:paraId="690742F5" w14:textId="77777777" w:rsidR="00B57C2F" w:rsidRPr="00A01017" w:rsidRDefault="00B57C2F" w:rsidP="00314060">
            <w:pPr>
              <w:spacing w:after="0" w:line="240" w:lineRule="auto"/>
              <w:jc w:val="center"/>
              <w:rPr>
                <w:rFonts w:cstheme="minorHAnsi"/>
                <w:sz w:val="24"/>
                <w:szCs w:val="24"/>
                <w:lang w:eastAsia="sk-SK"/>
              </w:rPr>
            </w:pPr>
            <w:r w:rsidRPr="00A01017">
              <w:rPr>
                <w:rFonts w:cstheme="minorHAnsi"/>
                <w:sz w:val="20"/>
                <w:szCs w:val="20"/>
                <w:lang w:eastAsia="sk-SK"/>
              </w:rPr>
              <w:t>  26</w:t>
            </w:r>
          </w:p>
        </w:tc>
        <w:tc>
          <w:tcPr>
            <w:tcW w:w="0" w:type="auto"/>
            <w:shd w:val="clear" w:color="auto" w:fill="C2D69B"/>
            <w:vAlign w:val="center"/>
            <w:hideMark/>
          </w:tcPr>
          <w:p w14:paraId="56A0988E" w14:textId="77777777" w:rsidR="00B57C2F" w:rsidRPr="00A01017" w:rsidRDefault="00B57C2F" w:rsidP="00314060">
            <w:pPr>
              <w:spacing w:after="0" w:line="240" w:lineRule="auto"/>
              <w:jc w:val="center"/>
              <w:rPr>
                <w:rFonts w:cstheme="minorHAnsi"/>
                <w:sz w:val="20"/>
                <w:szCs w:val="20"/>
                <w:lang w:eastAsia="sk-SK"/>
              </w:rPr>
            </w:pPr>
            <w:r w:rsidRPr="00A01017">
              <w:rPr>
                <w:rFonts w:cstheme="minorHAnsi"/>
                <w:sz w:val="20"/>
                <w:szCs w:val="20"/>
                <w:lang w:eastAsia="sk-SK"/>
              </w:rPr>
              <w:t>Splnené</w:t>
            </w:r>
          </w:p>
        </w:tc>
        <w:tc>
          <w:tcPr>
            <w:tcW w:w="0" w:type="auto"/>
            <w:shd w:val="clear" w:color="auto" w:fill="C2D69B"/>
            <w:vAlign w:val="center"/>
            <w:hideMark/>
          </w:tcPr>
          <w:p w14:paraId="6A095A79" w14:textId="77777777" w:rsidR="00B57C2F" w:rsidRPr="00A01017" w:rsidRDefault="00B57C2F" w:rsidP="00314060">
            <w:pPr>
              <w:spacing w:after="0" w:line="240" w:lineRule="auto"/>
              <w:jc w:val="center"/>
              <w:rPr>
                <w:rFonts w:cstheme="minorHAnsi"/>
                <w:sz w:val="20"/>
                <w:szCs w:val="20"/>
                <w:lang w:eastAsia="sk-SK"/>
              </w:rPr>
            </w:pPr>
          </w:p>
        </w:tc>
      </w:tr>
    </w:tbl>
    <w:p w14:paraId="5F5E06EC" w14:textId="77777777" w:rsidR="00B57C2F" w:rsidRPr="001C41F1" w:rsidRDefault="00B57C2F" w:rsidP="00B57C2F">
      <w:pPr>
        <w:spacing w:before="100" w:beforeAutospacing="1" w:after="100" w:afterAutospacing="1" w:line="240" w:lineRule="auto"/>
        <w:jc w:val="both"/>
        <w:rPr>
          <w:rFonts w:cstheme="minorHAnsi"/>
          <w:lang w:eastAsia="sk-SK"/>
        </w:rPr>
      </w:pPr>
      <w:r w:rsidRPr="00A01017">
        <w:rPr>
          <w:rFonts w:cstheme="minorHAnsi"/>
          <w:b/>
          <w:bCs/>
          <w:lang w:eastAsia="sk-SK"/>
        </w:rPr>
        <w:lastRenderedPageBreak/>
        <w:t xml:space="preserve">Komentár: </w:t>
      </w:r>
      <w:r w:rsidRPr="001C41F1">
        <w:rPr>
          <w:rFonts w:cstheme="minorHAnsi"/>
          <w:lang w:eastAsia="sk-SK"/>
        </w:rPr>
        <w:t xml:space="preserve">V rámci predmetného podprogramu sa zabezpečujú všetky činnosti súvisiace s nepretržitým a správnym fungovaním informačných systémov, archivovanie a prenos dát a ich ochrana. V uvedených kapitálových výdavkoch sú zahrnuté výdavky na nákup a aktualizáciu softvérov (VEMA, SPIN, </w:t>
      </w:r>
      <w:proofErr w:type="spellStart"/>
      <w:r w:rsidRPr="001C41F1">
        <w:rPr>
          <w:rFonts w:cstheme="minorHAnsi"/>
          <w:lang w:eastAsia="sk-SK"/>
        </w:rPr>
        <w:t>iSPIN</w:t>
      </w:r>
      <w:proofErr w:type="spellEnd"/>
      <w:r w:rsidRPr="001C41F1">
        <w:rPr>
          <w:rFonts w:cstheme="minorHAnsi"/>
          <w:lang w:eastAsia="sk-SK"/>
        </w:rPr>
        <w:t xml:space="preserve">, antivírové a antispamové aplikácie atď.), automatizované spracovávanie výkazov a kontrola spracovaných uzávierok </w:t>
      </w:r>
      <w:proofErr w:type="spellStart"/>
      <w:r w:rsidRPr="001C41F1">
        <w:rPr>
          <w:rFonts w:cstheme="minorHAnsi"/>
          <w:lang w:eastAsia="sk-SK"/>
        </w:rPr>
        <w:t>OvZP</w:t>
      </w:r>
      <w:proofErr w:type="spellEnd"/>
      <w:r w:rsidRPr="001C41F1">
        <w:rPr>
          <w:rFonts w:cstheme="minorHAnsi"/>
          <w:lang w:eastAsia="sk-SK"/>
        </w:rPr>
        <w:t xml:space="preserve"> v IS SPIN, modernizácia sieťovej infraštruktúry a aktívnych prvkov za účelom zvýšenie bezpečnosti a spoľahlivosti siete.</w:t>
      </w:r>
    </w:p>
    <w:p w14:paraId="693027CD" w14:textId="77777777" w:rsidR="00BA55C0" w:rsidRPr="007E3C65" w:rsidRDefault="00BA55C0" w:rsidP="00BA55C0">
      <w:pPr>
        <w:spacing w:after="0" w:line="240" w:lineRule="auto"/>
        <w:rPr>
          <w:vanish/>
          <w:sz w:val="24"/>
          <w:szCs w:val="24"/>
          <w:lang w:eastAsia="sk-SK"/>
        </w:rPr>
      </w:pPr>
    </w:p>
    <w:p w14:paraId="41C5D51E" w14:textId="77777777" w:rsidR="00C55A20" w:rsidRPr="002A1905" w:rsidRDefault="00C55A20" w:rsidP="00C55A20">
      <w:pPr>
        <w:pStyle w:val="Nadpis3"/>
        <w:rPr>
          <w:rFonts w:asciiTheme="minorHAnsi" w:hAnsiTheme="minorHAnsi" w:cstheme="minorHAnsi"/>
          <w:color w:val="4F6228"/>
        </w:rPr>
      </w:pPr>
      <w:r w:rsidRPr="002A1905">
        <w:rPr>
          <w:rFonts w:asciiTheme="minorHAnsi" w:hAnsiTheme="minorHAnsi" w:cstheme="minorHAnsi"/>
          <w:color w:val="4F6228"/>
        </w:rPr>
        <w:t>Podprogram 3.3: Majetok- investície, údržba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8"/>
        <w:gridCol w:w="2028"/>
        <w:gridCol w:w="1541"/>
        <w:gridCol w:w="1541"/>
        <w:gridCol w:w="1412"/>
        <w:gridCol w:w="1071"/>
        <w:gridCol w:w="2055"/>
      </w:tblGrid>
      <w:tr w:rsidR="00C55A20" w:rsidRPr="002A1905" w14:paraId="26809899" w14:textId="77777777" w:rsidTr="00B16B6D">
        <w:trPr>
          <w:trHeight w:hRule="exact" w:val="1112"/>
          <w:tblCellSpacing w:w="15" w:type="dxa"/>
        </w:trPr>
        <w:tc>
          <w:tcPr>
            <w:tcW w:w="0" w:type="auto"/>
            <w:shd w:val="clear" w:color="auto" w:fill="C6DBF7"/>
            <w:vAlign w:val="center"/>
            <w:hideMark/>
          </w:tcPr>
          <w:p w14:paraId="5D8DA787"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Kód EK</w:t>
            </w:r>
          </w:p>
        </w:tc>
        <w:tc>
          <w:tcPr>
            <w:tcW w:w="977" w:type="pct"/>
            <w:shd w:val="clear" w:color="auto" w:fill="C6DBF7"/>
            <w:vAlign w:val="center"/>
            <w:hideMark/>
          </w:tcPr>
          <w:p w14:paraId="1E60D8C3"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Ekonomická klasifikácia</w:t>
            </w:r>
          </w:p>
        </w:tc>
        <w:tc>
          <w:tcPr>
            <w:tcW w:w="0" w:type="auto"/>
            <w:shd w:val="clear" w:color="auto" w:fill="C6DBF7"/>
            <w:vAlign w:val="center"/>
            <w:hideMark/>
          </w:tcPr>
          <w:p w14:paraId="046867D7"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Schválený</w:t>
            </w:r>
            <w:r w:rsidRPr="002A1905">
              <w:rPr>
                <w:rFonts w:asciiTheme="minorHAnsi" w:hAnsiTheme="minorHAnsi" w:cstheme="minorHAnsi"/>
                <w:b/>
                <w:bCs/>
                <w:sz w:val="20"/>
                <w:szCs w:val="20"/>
              </w:rPr>
              <w:br/>
              <w:t>rozpočet</w:t>
            </w:r>
            <w:r w:rsidRPr="002A1905">
              <w:rPr>
                <w:rFonts w:asciiTheme="minorHAnsi" w:hAnsiTheme="minorHAnsi" w:cstheme="minorHAnsi"/>
                <w:b/>
                <w:bCs/>
                <w:sz w:val="20"/>
                <w:szCs w:val="20"/>
              </w:rPr>
              <w:br/>
              <w:t>v EUR</w:t>
            </w:r>
          </w:p>
        </w:tc>
        <w:tc>
          <w:tcPr>
            <w:tcW w:w="0" w:type="auto"/>
            <w:shd w:val="clear" w:color="auto" w:fill="C6DBF7"/>
            <w:vAlign w:val="center"/>
            <w:hideMark/>
          </w:tcPr>
          <w:p w14:paraId="34646305"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Zmenený</w:t>
            </w:r>
            <w:r w:rsidRPr="002A1905">
              <w:rPr>
                <w:rFonts w:asciiTheme="minorHAnsi" w:hAnsiTheme="minorHAnsi" w:cstheme="minorHAnsi"/>
                <w:b/>
                <w:bCs/>
                <w:sz w:val="20"/>
                <w:szCs w:val="20"/>
              </w:rPr>
              <w:br/>
              <w:t>rozpočet</w:t>
            </w:r>
            <w:r w:rsidRPr="002A1905">
              <w:rPr>
                <w:rFonts w:asciiTheme="minorHAnsi" w:hAnsiTheme="minorHAnsi" w:cstheme="minorHAnsi"/>
                <w:b/>
                <w:bCs/>
                <w:sz w:val="20"/>
                <w:szCs w:val="20"/>
              </w:rPr>
              <w:br/>
              <w:t>v EUR</w:t>
            </w:r>
          </w:p>
        </w:tc>
        <w:tc>
          <w:tcPr>
            <w:tcW w:w="0" w:type="auto"/>
            <w:shd w:val="clear" w:color="auto" w:fill="C6DBF7"/>
            <w:vAlign w:val="center"/>
            <w:hideMark/>
          </w:tcPr>
          <w:p w14:paraId="0A378E56"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Čerpanie</w:t>
            </w:r>
            <w:r w:rsidRPr="002A1905">
              <w:rPr>
                <w:rFonts w:asciiTheme="minorHAnsi" w:hAnsiTheme="minorHAnsi" w:cstheme="minorHAnsi"/>
                <w:b/>
                <w:bCs/>
                <w:sz w:val="20"/>
                <w:szCs w:val="20"/>
              </w:rPr>
              <w:br/>
              <w:t>v EUR</w:t>
            </w:r>
          </w:p>
        </w:tc>
        <w:tc>
          <w:tcPr>
            <w:tcW w:w="509" w:type="pct"/>
            <w:shd w:val="clear" w:color="auto" w:fill="C6DBF7"/>
            <w:vAlign w:val="center"/>
            <w:hideMark/>
          </w:tcPr>
          <w:p w14:paraId="105C32B7"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Čerpanie</w:t>
            </w:r>
            <w:r w:rsidRPr="002A1905">
              <w:rPr>
                <w:rFonts w:asciiTheme="minorHAnsi" w:hAnsiTheme="minorHAnsi" w:cstheme="minorHAnsi"/>
                <w:b/>
                <w:bCs/>
                <w:sz w:val="20"/>
                <w:szCs w:val="20"/>
              </w:rPr>
              <w:br/>
              <w:t xml:space="preserve">k </w:t>
            </w:r>
            <w:proofErr w:type="spellStart"/>
            <w:r w:rsidRPr="002A1905">
              <w:rPr>
                <w:rFonts w:asciiTheme="minorHAnsi" w:hAnsiTheme="minorHAnsi" w:cstheme="minorHAnsi"/>
                <w:b/>
                <w:bCs/>
                <w:sz w:val="20"/>
                <w:szCs w:val="20"/>
              </w:rPr>
              <w:t>zmen</w:t>
            </w:r>
            <w:proofErr w:type="spellEnd"/>
            <w:r w:rsidRPr="002A1905">
              <w:rPr>
                <w:rFonts w:asciiTheme="minorHAnsi" w:hAnsiTheme="minorHAnsi" w:cstheme="minorHAnsi"/>
                <w:b/>
                <w:bCs/>
                <w:sz w:val="20"/>
                <w:szCs w:val="20"/>
              </w:rPr>
              <w:t xml:space="preserve">. </w:t>
            </w:r>
            <w:proofErr w:type="spellStart"/>
            <w:r w:rsidRPr="002A1905">
              <w:rPr>
                <w:rFonts w:asciiTheme="minorHAnsi" w:hAnsiTheme="minorHAnsi" w:cstheme="minorHAnsi"/>
                <w:b/>
                <w:bCs/>
                <w:sz w:val="20"/>
                <w:szCs w:val="20"/>
              </w:rPr>
              <w:t>rozp</w:t>
            </w:r>
            <w:proofErr w:type="spellEnd"/>
            <w:r w:rsidRPr="002A1905">
              <w:rPr>
                <w:rFonts w:asciiTheme="minorHAnsi" w:hAnsiTheme="minorHAnsi" w:cstheme="minorHAnsi"/>
                <w:b/>
                <w:bCs/>
                <w:sz w:val="20"/>
                <w:szCs w:val="20"/>
              </w:rPr>
              <w:t>.</w:t>
            </w:r>
            <w:r w:rsidRPr="002A1905">
              <w:rPr>
                <w:rFonts w:asciiTheme="minorHAnsi" w:hAnsiTheme="minorHAnsi" w:cstheme="minorHAnsi"/>
                <w:b/>
                <w:bCs/>
                <w:sz w:val="20"/>
                <w:szCs w:val="20"/>
              </w:rPr>
              <w:br/>
              <w:t>v %</w:t>
            </w:r>
          </w:p>
        </w:tc>
        <w:tc>
          <w:tcPr>
            <w:tcW w:w="983" w:type="pct"/>
            <w:shd w:val="clear" w:color="auto" w:fill="C6DBF7"/>
            <w:vAlign w:val="center"/>
            <w:hideMark/>
          </w:tcPr>
          <w:p w14:paraId="3C12562C"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Zmeny rozpočtu</w:t>
            </w:r>
          </w:p>
        </w:tc>
      </w:tr>
      <w:tr w:rsidR="00C55A20" w:rsidRPr="002A1905" w14:paraId="57C5B4D6" w14:textId="77777777" w:rsidTr="002A1905">
        <w:trPr>
          <w:trHeight w:hRule="exact" w:val="284"/>
          <w:tblCellSpacing w:w="15" w:type="dxa"/>
        </w:trPr>
        <w:tc>
          <w:tcPr>
            <w:tcW w:w="0" w:type="auto"/>
            <w:shd w:val="clear" w:color="auto" w:fill="D9D9D9"/>
            <w:noWrap/>
            <w:vAlign w:val="center"/>
            <w:hideMark/>
          </w:tcPr>
          <w:p w14:paraId="2E6AEB6B" w14:textId="77777777" w:rsidR="00C55A20" w:rsidRPr="002A1905" w:rsidRDefault="00C55A20">
            <w:pPr>
              <w:jc w:val="center"/>
              <w:rPr>
                <w:rFonts w:asciiTheme="minorHAnsi" w:hAnsiTheme="minorHAnsi" w:cstheme="minorHAnsi"/>
              </w:rPr>
            </w:pPr>
          </w:p>
        </w:tc>
        <w:tc>
          <w:tcPr>
            <w:tcW w:w="0" w:type="auto"/>
            <w:shd w:val="clear" w:color="auto" w:fill="D9D9D9"/>
            <w:vAlign w:val="center"/>
            <w:hideMark/>
          </w:tcPr>
          <w:p w14:paraId="56D6266F" w14:textId="77777777" w:rsidR="00C55A20" w:rsidRPr="002A1905" w:rsidRDefault="00C55A20">
            <w:pPr>
              <w:rPr>
                <w:rFonts w:asciiTheme="minorHAnsi" w:hAnsiTheme="minorHAnsi" w:cstheme="minorHAnsi"/>
                <w:sz w:val="24"/>
                <w:szCs w:val="24"/>
              </w:rPr>
            </w:pPr>
            <w:r w:rsidRPr="002A1905">
              <w:rPr>
                <w:rFonts w:asciiTheme="minorHAnsi" w:hAnsiTheme="minorHAnsi" w:cstheme="minorHAnsi"/>
                <w:b/>
                <w:bCs/>
                <w:sz w:val="20"/>
                <w:szCs w:val="20"/>
              </w:rPr>
              <w:t>Výdavky celkom</w:t>
            </w:r>
            <w:r w:rsidRPr="002A1905">
              <w:rPr>
                <w:rFonts w:asciiTheme="minorHAnsi" w:hAnsiTheme="minorHAnsi" w:cstheme="minorHAnsi"/>
              </w:rPr>
              <w:t xml:space="preserve"> </w:t>
            </w:r>
          </w:p>
        </w:tc>
        <w:tc>
          <w:tcPr>
            <w:tcW w:w="0" w:type="auto"/>
            <w:shd w:val="clear" w:color="auto" w:fill="D9D9D9"/>
            <w:noWrap/>
            <w:vAlign w:val="center"/>
            <w:hideMark/>
          </w:tcPr>
          <w:p w14:paraId="708D63DC"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16 565 489,04</w:t>
            </w:r>
            <w:r w:rsidRPr="002A1905">
              <w:rPr>
                <w:rFonts w:asciiTheme="minorHAnsi" w:hAnsiTheme="minorHAnsi" w:cstheme="minorHAnsi"/>
              </w:rPr>
              <w:t xml:space="preserve"> </w:t>
            </w:r>
          </w:p>
        </w:tc>
        <w:tc>
          <w:tcPr>
            <w:tcW w:w="0" w:type="auto"/>
            <w:shd w:val="clear" w:color="auto" w:fill="D9D9D9"/>
            <w:noWrap/>
            <w:vAlign w:val="center"/>
            <w:hideMark/>
          </w:tcPr>
          <w:p w14:paraId="7B3CF291"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15 236 564,93</w:t>
            </w:r>
            <w:r w:rsidRPr="002A1905">
              <w:rPr>
                <w:rFonts w:asciiTheme="minorHAnsi" w:hAnsiTheme="minorHAnsi" w:cstheme="minorHAnsi"/>
              </w:rPr>
              <w:t xml:space="preserve"> </w:t>
            </w:r>
          </w:p>
        </w:tc>
        <w:tc>
          <w:tcPr>
            <w:tcW w:w="0" w:type="auto"/>
            <w:shd w:val="clear" w:color="auto" w:fill="D9D9D9"/>
            <w:noWrap/>
            <w:vAlign w:val="center"/>
            <w:hideMark/>
          </w:tcPr>
          <w:p w14:paraId="6C32AA6C"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6 490 209,37</w:t>
            </w:r>
            <w:r w:rsidRPr="002A1905">
              <w:rPr>
                <w:rFonts w:asciiTheme="minorHAnsi" w:hAnsiTheme="minorHAnsi" w:cstheme="minorHAnsi"/>
              </w:rPr>
              <w:t xml:space="preserve"> </w:t>
            </w:r>
          </w:p>
        </w:tc>
        <w:tc>
          <w:tcPr>
            <w:tcW w:w="509" w:type="pct"/>
            <w:shd w:val="clear" w:color="auto" w:fill="D9D9D9"/>
            <w:noWrap/>
            <w:vAlign w:val="center"/>
            <w:hideMark/>
          </w:tcPr>
          <w:p w14:paraId="6EC0D3EA"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42,60</w:t>
            </w:r>
            <w:r w:rsidRPr="002A1905">
              <w:rPr>
                <w:rFonts w:asciiTheme="minorHAnsi" w:hAnsiTheme="minorHAnsi" w:cstheme="minorHAnsi"/>
              </w:rPr>
              <w:t xml:space="preserve"> </w:t>
            </w:r>
          </w:p>
        </w:tc>
        <w:tc>
          <w:tcPr>
            <w:tcW w:w="983" w:type="pct"/>
            <w:vMerge w:val="restart"/>
            <w:shd w:val="clear" w:color="auto" w:fill="D9D9D9"/>
            <w:vAlign w:val="center"/>
            <w:hideMark/>
          </w:tcPr>
          <w:p w14:paraId="5C86E0AD" w14:textId="77777777" w:rsidR="002A1905" w:rsidRPr="000C0A39" w:rsidRDefault="002A1905" w:rsidP="002A1905">
            <w:pPr>
              <w:tabs>
                <w:tab w:val="left" w:pos="765"/>
                <w:tab w:val="center" w:pos="1637"/>
              </w:tabs>
              <w:jc w:val="center"/>
              <w:rPr>
                <w:rFonts w:asciiTheme="minorHAnsi" w:hAnsiTheme="minorHAnsi" w:cstheme="minorHAnsi"/>
                <w:b/>
                <w:bCs/>
                <w:sz w:val="20"/>
                <w:szCs w:val="20"/>
              </w:rPr>
            </w:pPr>
            <w:r w:rsidRPr="000C0A39">
              <w:rPr>
                <w:rFonts w:asciiTheme="minorHAnsi" w:hAnsiTheme="minorHAnsi" w:cstheme="minorHAnsi"/>
                <w:b/>
                <w:bCs/>
                <w:sz w:val="20"/>
                <w:szCs w:val="20"/>
              </w:rPr>
              <w:t>Zmeny rozpočtu sa</w:t>
            </w:r>
            <w:r>
              <w:rPr>
                <w:rFonts w:asciiTheme="minorHAnsi" w:hAnsiTheme="minorHAnsi" w:cstheme="minorHAnsi"/>
                <w:b/>
                <w:bCs/>
                <w:sz w:val="20"/>
                <w:szCs w:val="20"/>
              </w:rPr>
              <w:t xml:space="preserve"> </w:t>
            </w:r>
            <w:r w:rsidRPr="000C0A39">
              <w:rPr>
                <w:rFonts w:asciiTheme="minorHAnsi" w:hAnsiTheme="minorHAnsi" w:cstheme="minorHAnsi"/>
                <w:b/>
                <w:bCs/>
                <w:sz w:val="20"/>
                <w:szCs w:val="20"/>
              </w:rPr>
              <w:t>nachádzajú pri prvkoch</w:t>
            </w:r>
          </w:p>
          <w:p w14:paraId="768E9A63" w14:textId="77777777" w:rsidR="00C55A20" w:rsidRPr="002A1905" w:rsidRDefault="00C55A20">
            <w:pPr>
              <w:jc w:val="right"/>
              <w:rPr>
                <w:rFonts w:asciiTheme="minorHAnsi" w:hAnsiTheme="minorHAnsi" w:cstheme="minorHAnsi"/>
              </w:rPr>
            </w:pPr>
          </w:p>
        </w:tc>
      </w:tr>
      <w:tr w:rsidR="00C55A20" w:rsidRPr="002A1905" w14:paraId="0BB504A1" w14:textId="77777777" w:rsidTr="002A1905">
        <w:trPr>
          <w:trHeight w:hRule="exact" w:val="284"/>
          <w:tblCellSpacing w:w="15" w:type="dxa"/>
        </w:trPr>
        <w:tc>
          <w:tcPr>
            <w:tcW w:w="0" w:type="auto"/>
            <w:shd w:val="clear" w:color="auto" w:fill="D9D9D9"/>
            <w:noWrap/>
            <w:vAlign w:val="center"/>
            <w:hideMark/>
          </w:tcPr>
          <w:p w14:paraId="56B74CBC" w14:textId="77777777" w:rsidR="00C55A20" w:rsidRPr="002A1905" w:rsidRDefault="00C55A20">
            <w:pPr>
              <w:rPr>
                <w:rFonts w:asciiTheme="minorHAnsi" w:hAnsiTheme="minorHAnsi" w:cstheme="minorHAnsi"/>
                <w:sz w:val="24"/>
                <w:szCs w:val="24"/>
              </w:rPr>
            </w:pPr>
            <w:r w:rsidRPr="002A1905">
              <w:rPr>
                <w:rFonts w:asciiTheme="minorHAnsi" w:hAnsiTheme="minorHAnsi" w:cstheme="minorHAnsi"/>
                <w:b/>
                <w:bCs/>
                <w:sz w:val="20"/>
                <w:szCs w:val="20"/>
              </w:rPr>
              <w:t>600</w:t>
            </w:r>
            <w:r w:rsidRPr="002A1905">
              <w:rPr>
                <w:rFonts w:asciiTheme="minorHAnsi" w:hAnsiTheme="minorHAnsi" w:cstheme="minorHAnsi"/>
              </w:rPr>
              <w:t xml:space="preserve"> </w:t>
            </w:r>
          </w:p>
        </w:tc>
        <w:tc>
          <w:tcPr>
            <w:tcW w:w="0" w:type="auto"/>
            <w:shd w:val="clear" w:color="auto" w:fill="D9D9D9"/>
            <w:vAlign w:val="center"/>
            <w:hideMark/>
          </w:tcPr>
          <w:p w14:paraId="51079DB7" w14:textId="77777777" w:rsidR="00C55A20" w:rsidRPr="002A1905" w:rsidRDefault="00C55A20">
            <w:pPr>
              <w:rPr>
                <w:rFonts w:asciiTheme="minorHAnsi" w:hAnsiTheme="minorHAnsi" w:cstheme="minorHAnsi"/>
              </w:rPr>
            </w:pPr>
            <w:r w:rsidRPr="002A1905">
              <w:rPr>
                <w:rFonts w:asciiTheme="minorHAnsi" w:hAnsiTheme="minorHAnsi" w:cstheme="minorHAnsi"/>
                <w:b/>
                <w:bCs/>
                <w:sz w:val="20"/>
                <w:szCs w:val="20"/>
              </w:rPr>
              <w:t>Bežné výdavky</w:t>
            </w:r>
            <w:r w:rsidRPr="002A1905">
              <w:rPr>
                <w:rFonts w:asciiTheme="minorHAnsi" w:hAnsiTheme="minorHAnsi" w:cstheme="minorHAnsi"/>
              </w:rPr>
              <w:t xml:space="preserve"> </w:t>
            </w:r>
          </w:p>
        </w:tc>
        <w:tc>
          <w:tcPr>
            <w:tcW w:w="0" w:type="auto"/>
            <w:shd w:val="clear" w:color="auto" w:fill="D9D9D9"/>
            <w:noWrap/>
            <w:vAlign w:val="center"/>
            <w:hideMark/>
          </w:tcPr>
          <w:p w14:paraId="2C3A5205"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4 000 000,00</w:t>
            </w:r>
            <w:r w:rsidRPr="002A1905">
              <w:rPr>
                <w:rFonts w:asciiTheme="minorHAnsi" w:hAnsiTheme="minorHAnsi" w:cstheme="minorHAnsi"/>
              </w:rPr>
              <w:t xml:space="preserve"> </w:t>
            </w:r>
          </w:p>
        </w:tc>
        <w:tc>
          <w:tcPr>
            <w:tcW w:w="0" w:type="auto"/>
            <w:shd w:val="clear" w:color="auto" w:fill="D9D9D9"/>
            <w:noWrap/>
            <w:vAlign w:val="center"/>
            <w:hideMark/>
          </w:tcPr>
          <w:p w14:paraId="546949CE"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3 125 038,86</w:t>
            </w:r>
            <w:r w:rsidRPr="002A1905">
              <w:rPr>
                <w:rFonts w:asciiTheme="minorHAnsi" w:hAnsiTheme="minorHAnsi" w:cstheme="minorHAnsi"/>
              </w:rPr>
              <w:t xml:space="preserve"> </w:t>
            </w:r>
          </w:p>
        </w:tc>
        <w:tc>
          <w:tcPr>
            <w:tcW w:w="0" w:type="auto"/>
            <w:shd w:val="clear" w:color="auto" w:fill="D9D9D9"/>
            <w:noWrap/>
            <w:vAlign w:val="center"/>
            <w:hideMark/>
          </w:tcPr>
          <w:p w14:paraId="66414252"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1 919 884,47</w:t>
            </w:r>
            <w:r w:rsidRPr="002A1905">
              <w:rPr>
                <w:rFonts w:asciiTheme="minorHAnsi" w:hAnsiTheme="minorHAnsi" w:cstheme="minorHAnsi"/>
              </w:rPr>
              <w:t xml:space="preserve"> </w:t>
            </w:r>
          </w:p>
        </w:tc>
        <w:tc>
          <w:tcPr>
            <w:tcW w:w="509" w:type="pct"/>
            <w:shd w:val="clear" w:color="auto" w:fill="D9D9D9"/>
            <w:noWrap/>
            <w:vAlign w:val="center"/>
            <w:hideMark/>
          </w:tcPr>
          <w:p w14:paraId="709A1F80"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61,44</w:t>
            </w:r>
            <w:r w:rsidRPr="002A1905">
              <w:rPr>
                <w:rFonts w:asciiTheme="minorHAnsi" w:hAnsiTheme="minorHAnsi" w:cstheme="minorHAnsi"/>
              </w:rPr>
              <w:t xml:space="preserve"> </w:t>
            </w:r>
          </w:p>
        </w:tc>
        <w:tc>
          <w:tcPr>
            <w:tcW w:w="983" w:type="pct"/>
            <w:vMerge/>
            <w:shd w:val="clear" w:color="auto" w:fill="D9D9D9"/>
            <w:vAlign w:val="center"/>
            <w:hideMark/>
          </w:tcPr>
          <w:p w14:paraId="63B757ED" w14:textId="77777777" w:rsidR="00C55A20" w:rsidRPr="002A1905" w:rsidRDefault="00C55A20">
            <w:pPr>
              <w:rPr>
                <w:rFonts w:asciiTheme="minorHAnsi" w:hAnsiTheme="minorHAnsi" w:cstheme="minorHAnsi"/>
                <w:sz w:val="24"/>
                <w:szCs w:val="24"/>
              </w:rPr>
            </w:pPr>
          </w:p>
        </w:tc>
      </w:tr>
      <w:tr w:rsidR="00C55A20" w:rsidRPr="002A1905" w14:paraId="70F1DBD2" w14:textId="77777777" w:rsidTr="002A1905">
        <w:trPr>
          <w:trHeight w:hRule="exact" w:val="284"/>
          <w:tblCellSpacing w:w="15" w:type="dxa"/>
        </w:trPr>
        <w:tc>
          <w:tcPr>
            <w:tcW w:w="0" w:type="auto"/>
            <w:shd w:val="clear" w:color="auto" w:fill="EFEFEF"/>
            <w:noWrap/>
            <w:vAlign w:val="center"/>
            <w:hideMark/>
          </w:tcPr>
          <w:p w14:paraId="3A7F4CAF"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630</w:t>
            </w:r>
            <w:r w:rsidRPr="002A1905">
              <w:rPr>
                <w:rFonts w:asciiTheme="minorHAnsi" w:hAnsiTheme="minorHAnsi" w:cstheme="minorHAnsi"/>
              </w:rPr>
              <w:t xml:space="preserve"> </w:t>
            </w:r>
          </w:p>
        </w:tc>
        <w:tc>
          <w:tcPr>
            <w:tcW w:w="0" w:type="auto"/>
            <w:shd w:val="clear" w:color="auto" w:fill="EFEFEF"/>
            <w:vAlign w:val="center"/>
            <w:hideMark/>
          </w:tcPr>
          <w:p w14:paraId="40ADB841"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Tovary a služby</w:t>
            </w:r>
            <w:r w:rsidRPr="002A1905">
              <w:rPr>
                <w:rFonts w:asciiTheme="minorHAnsi" w:hAnsiTheme="minorHAnsi" w:cstheme="minorHAnsi"/>
              </w:rPr>
              <w:t xml:space="preserve"> </w:t>
            </w:r>
          </w:p>
        </w:tc>
        <w:tc>
          <w:tcPr>
            <w:tcW w:w="0" w:type="auto"/>
            <w:shd w:val="clear" w:color="auto" w:fill="EFEFEF"/>
            <w:noWrap/>
            <w:vAlign w:val="center"/>
            <w:hideMark/>
          </w:tcPr>
          <w:p w14:paraId="638277EB"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4 000 000,00</w:t>
            </w:r>
            <w:r w:rsidRPr="002A1905">
              <w:rPr>
                <w:rFonts w:asciiTheme="minorHAnsi" w:hAnsiTheme="minorHAnsi" w:cstheme="minorHAnsi"/>
              </w:rPr>
              <w:t xml:space="preserve"> </w:t>
            </w:r>
          </w:p>
        </w:tc>
        <w:tc>
          <w:tcPr>
            <w:tcW w:w="0" w:type="auto"/>
            <w:shd w:val="clear" w:color="auto" w:fill="EFEFEF"/>
            <w:noWrap/>
            <w:vAlign w:val="center"/>
            <w:hideMark/>
          </w:tcPr>
          <w:p w14:paraId="1F3F5833"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2 375 472,84</w:t>
            </w:r>
            <w:r w:rsidRPr="002A1905">
              <w:rPr>
                <w:rFonts w:asciiTheme="minorHAnsi" w:hAnsiTheme="minorHAnsi" w:cstheme="minorHAnsi"/>
              </w:rPr>
              <w:t xml:space="preserve"> </w:t>
            </w:r>
          </w:p>
        </w:tc>
        <w:tc>
          <w:tcPr>
            <w:tcW w:w="0" w:type="auto"/>
            <w:shd w:val="clear" w:color="auto" w:fill="EFEFEF"/>
            <w:noWrap/>
            <w:vAlign w:val="center"/>
            <w:hideMark/>
          </w:tcPr>
          <w:p w14:paraId="5C277098"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1 442 121,27</w:t>
            </w:r>
            <w:r w:rsidRPr="002A1905">
              <w:rPr>
                <w:rFonts w:asciiTheme="minorHAnsi" w:hAnsiTheme="minorHAnsi" w:cstheme="minorHAnsi"/>
              </w:rPr>
              <w:t xml:space="preserve"> </w:t>
            </w:r>
          </w:p>
        </w:tc>
        <w:tc>
          <w:tcPr>
            <w:tcW w:w="509" w:type="pct"/>
            <w:shd w:val="clear" w:color="auto" w:fill="EFEFEF"/>
            <w:noWrap/>
            <w:vAlign w:val="center"/>
            <w:hideMark/>
          </w:tcPr>
          <w:p w14:paraId="70176FC7"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60,71</w:t>
            </w:r>
            <w:r w:rsidRPr="002A1905">
              <w:rPr>
                <w:rFonts w:asciiTheme="minorHAnsi" w:hAnsiTheme="minorHAnsi" w:cstheme="minorHAnsi"/>
              </w:rPr>
              <w:t xml:space="preserve"> </w:t>
            </w:r>
          </w:p>
        </w:tc>
        <w:tc>
          <w:tcPr>
            <w:tcW w:w="983" w:type="pct"/>
            <w:vMerge/>
            <w:shd w:val="clear" w:color="auto" w:fill="EFEFEF"/>
            <w:vAlign w:val="center"/>
            <w:hideMark/>
          </w:tcPr>
          <w:p w14:paraId="4E280919" w14:textId="77777777" w:rsidR="00C55A20" w:rsidRPr="002A1905" w:rsidRDefault="00C55A20">
            <w:pPr>
              <w:rPr>
                <w:rFonts w:asciiTheme="minorHAnsi" w:hAnsiTheme="minorHAnsi" w:cstheme="minorHAnsi"/>
                <w:sz w:val="24"/>
                <w:szCs w:val="24"/>
              </w:rPr>
            </w:pPr>
          </w:p>
        </w:tc>
      </w:tr>
      <w:tr w:rsidR="00C55A20" w:rsidRPr="002A1905" w14:paraId="1072D3D2" w14:textId="77777777" w:rsidTr="002A1905">
        <w:trPr>
          <w:trHeight w:hRule="exact" w:val="284"/>
          <w:tblCellSpacing w:w="15" w:type="dxa"/>
        </w:trPr>
        <w:tc>
          <w:tcPr>
            <w:tcW w:w="0" w:type="auto"/>
            <w:shd w:val="clear" w:color="auto" w:fill="EFEFEF"/>
            <w:noWrap/>
            <w:vAlign w:val="center"/>
            <w:hideMark/>
          </w:tcPr>
          <w:p w14:paraId="098AFC08"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640</w:t>
            </w:r>
            <w:r w:rsidRPr="002A1905">
              <w:rPr>
                <w:rFonts w:asciiTheme="minorHAnsi" w:hAnsiTheme="minorHAnsi" w:cstheme="minorHAnsi"/>
              </w:rPr>
              <w:t xml:space="preserve"> </w:t>
            </w:r>
          </w:p>
        </w:tc>
        <w:tc>
          <w:tcPr>
            <w:tcW w:w="0" w:type="auto"/>
            <w:shd w:val="clear" w:color="auto" w:fill="EFEFEF"/>
            <w:vAlign w:val="center"/>
            <w:hideMark/>
          </w:tcPr>
          <w:p w14:paraId="33F37262"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Bežné transfery</w:t>
            </w:r>
            <w:r w:rsidRPr="002A1905">
              <w:rPr>
                <w:rFonts w:asciiTheme="minorHAnsi" w:hAnsiTheme="minorHAnsi" w:cstheme="minorHAnsi"/>
              </w:rPr>
              <w:t xml:space="preserve"> </w:t>
            </w:r>
          </w:p>
        </w:tc>
        <w:tc>
          <w:tcPr>
            <w:tcW w:w="0" w:type="auto"/>
            <w:shd w:val="clear" w:color="auto" w:fill="EFEFEF"/>
            <w:noWrap/>
            <w:vAlign w:val="center"/>
            <w:hideMark/>
          </w:tcPr>
          <w:p w14:paraId="1D77EB47"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0,00</w:t>
            </w:r>
            <w:r w:rsidRPr="002A1905">
              <w:rPr>
                <w:rFonts w:asciiTheme="minorHAnsi" w:hAnsiTheme="minorHAnsi" w:cstheme="minorHAnsi"/>
              </w:rPr>
              <w:t xml:space="preserve"> </w:t>
            </w:r>
          </w:p>
        </w:tc>
        <w:tc>
          <w:tcPr>
            <w:tcW w:w="0" w:type="auto"/>
            <w:shd w:val="clear" w:color="auto" w:fill="EFEFEF"/>
            <w:noWrap/>
            <w:vAlign w:val="center"/>
            <w:hideMark/>
          </w:tcPr>
          <w:p w14:paraId="1C89B5D2"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749 566,02</w:t>
            </w:r>
            <w:r w:rsidRPr="002A1905">
              <w:rPr>
                <w:rFonts w:asciiTheme="minorHAnsi" w:hAnsiTheme="minorHAnsi" w:cstheme="minorHAnsi"/>
              </w:rPr>
              <w:t xml:space="preserve"> </w:t>
            </w:r>
          </w:p>
        </w:tc>
        <w:tc>
          <w:tcPr>
            <w:tcW w:w="0" w:type="auto"/>
            <w:shd w:val="clear" w:color="auto" w:fill="EFEFEF"/>
            <w:noWrap/>
            <w:vAlign w:val="center"/>
            <w:hideMark/>
          </w:tcPr>
          <w:p w14:paraId="6A110783"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477 763,20</w:t>
            </w:r>
            <w:r w:rsidRPr="002A1905">
              <w:rPr>
                <w:rFonts w:asciiTheme="minorHAnsi" w:hAnsiTheme="minorHAnsi" w:cstheme="minorHAnsi"/>
              </w:rPr>
              <w:t xml:space="preserve"> </w:t>
            </w:r>
          </w:p>
        </w:tc>
        <w:tc>
          <w:tcPr>
            <w:tcW w:w="509" w:type="pct"/>
            <w:shd w:val="clear" w:color="auto" w:fill="EFEFEF"/>
            <w:noWrap/>
            <w:vAlign w:val="center"/>
            <w:hideMark/>
          </w:tcPr>
          <w:p w14:paraId="2A5A1EB5"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63,74</w:t>
            </w:r>
            <w:r w:rsidRPr="002A1905">
              <w:rPr>
                <w:rFonts w:asciiTheme="minorHAnsi" w:hAnsiTheme="minorHAnsi" w:cstheme="minorHAnsi"/>
              </w:rPr>
              <w:t xml:space="preserve"> </w:t>
            </w:r>
          </w:p>
        </w:tc>
        <w:tc>
          <w:tcPr>
            <w:tcW w:w="983" w:type="pct"/>
            <w:vMerge/>
            <w:shd w:val="clear" w:color="auto" w:fill="EFEFEF"/>
            <w:vAlign w:val="center"/>
            <w:hideMark/>
          </w:tcPr>
          <w:p w14:paraId="5E58D1BB" w14:textId="77777777" w:rsidR="00C55A20" w:rsidRPr="002A1905" w:rsidRDefault="00C55A20">
            <w:pPr>
              <w:rPr>
                <w:rFonts w:asciiTheme="minorHAnsi" w:hAnsiTheme="minorHAnsi" w:cstheme="minorHAnsi"/>
                <w:sz w:val="24"/>
                <w:szCs w:val="24"/>
              </w:rPr>
            </w:pPr>
          </w:p>
        </w:tc>
      </w:tr>
      <w:tr w:rsidR="00C55A20" w:rsidRPr="002A1905" w14:paraId="3FF9DDD1" w14:textId="77777777" w:rsidTr="002A1905">
        <w:trPr>
          <w:trHeight w:hRule="exact" w:val="284"/>
          <w:tblCellSpacing w:w="15" w:type="dxa"/>
        </w:trPr>
        <w:tc>
          <w:tcPr>
            <w:tcW w:w="0" w:type="auto"/>
            <w:shd w:val="clear" w:color="auto" w:fill="D9D9D9"/>
            <w:noWrap/>
            <w:vAlign w:val="center"/>
            <w:hideMark/>
          </w:tcPr>
          <w:p w14:paraId="2034CD72" w14:textId="77777777" w:rsidR="00C55A20" w:rsidRPr="002A1905" w:rsidRDefault="00C55A20">
            <w:pPr>
              <w:rPr>
                <w:rFonts w:asciiTheme="minorHAnsi" w:hAnsiTheme="minorHAnsi" w:cstheme="minorHAnsi"/>
              </w:rPr>
            </w:pPr>
            <w:r w:rsidRPr="002A1905">
              <w:rPr>
                <w:rFonts w:asciiTheme="minorHAnsi" w:hAnsiTheme="minorHAnsi" w:cstheme="minorHAnsi"/>
                <w:b/>
                <w:bCs/>
                <w:sz w:val="20"/>
                <w:szCs w:val="20"/>
              </w:rPr>
              <w:t>700</w:t>
            </w:r>
            <w:r w:rsidRPr="002A1905">
              <w:rPr>
                <w:rFonts w:asciiTheme="minorHAnsi" w:hAnsiTheme="minorHAnsi" w:cstheme="minorHAnsi"/>
              </w:rPr>
              <w:t xml:space="preserve"> </w:t>
            </w:r>
          </w:p>
        </w:tc>
        <w:tc>
          <w:tcPr>
            <w:tcW w:w="0" w:type="auto"/>
            <w:shd w:val="clear" w:color="auto" w:fill="D9D9D9"/>
            <w:vAlign w:val="center"/>
            <w:hideMark/>
          </w:tcPr>
          <w:p w14:paraId="24BA640F" w14:textId="77777777" w:rsidR="00C55A20" w:rsidRPr="002A1905" w:rsidRDefault="00C55A20">
            <w:pPr>
              <w:rPr>
                <w:rFonts w:asciiTheme="minorHAnsi" w:hAnsiTheme="minorHAnsi" w:cstheme="minorHAnsi"/>
              </w:rPr>
            </w:pPr>
            <w:r w:rsidRPr="002A1905">
              <w:rPr>
                <w:rFonts w:asciiTheme="minorHAnsi" w:hAnsiTheme="minorHAnsi" w:cstheme="minorHAnsi"/>
                <w:b/>
                <w:bCs/>
                <w:sz w:val="20"/>
                <w:szCs w:val="20"/>
              </w:rPr>
              <w:t>Kapitálové výdavky</w:t>
            </w:r>
            <w:r w:rsidRPr="002A1905">
              <w:rPr>
                <w:rFonts w:asciiTheme="minorHAnsi" w:hAnsiTheme="minorHAnsi" w:cstheme="minorHAnsi"/>
              </w:rPr>
              <w:t xml:space="preserve"> </w:t>
            </w:r>
          </w:p>
        </w:tc>
        <w:tc>
          <w:tcPr>
            <w:tcW w:w="0" w:type="auto"/>
            <w:shd w:val="clear" w:color="auto" w:fill="D9D9D9"/>
            <w:noWrap/>
            <w:vAlign w:val="center"/>
            <w:hideMark/>
          </w:tcPr>
          <w:p w14:paraId="1D9D5E88"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12 565 489,04</w:t>
            </w:r>
            <w:r w:rsidRPr="002A1905">
              <w:rPr>
                <w:rFonts w:asciiTheme="minorHAnsi" w:hAnsiTheme="minorHAnsi" w:cstheme="minorHAnsi"/>
              </w:rPr>
              <w:t xml:space="preserve"> </w:t>
            </w:r>
          </w:p>
        </w:tc>
        <w:tc>
          <w:tcPr>
            <w:tcW w:w="0" w:type="auto"/>
            <w:shd w:val="clear" w:color="auto" w:fill="D9D9D9"/>
            <w:noWrap/>
            <w:vAlign w:val="center"/>
            <w:hideMark/>
          </w:tcPr>
          <w:p w14:paraId="39403B08"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12 111 526,07</w:t>
            </w:r>
            <w:r w:rsidRPr="002A1905">
              <w:rPr>
                <w:rFonts w:asciiTheme="minorHAnsi" w:hAnsiTheme="minorHAnsi" w:cstheme="minorHAnsi"/>
              </w:rPr>
              <w:t xml:space="preserve"> </w:t>
            </w:r>
          </w:p>
        </w:tc>
        <w:tc>
          <w:tcPr>
            <w:tcW w:w="0" w:type="auto"/>
            <w:shd w:val="clear" w:color="auto" w:fill="D9D9D9"/>
            <w:noWrap/>
            <w:vAlign w:val="center"/>
            <w:hideMark/>
          </w:tcPr>
          <w:p w14:paraId="70258183"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4 570 324,90</w:t>
            </w:r>
            <w:r w:rsidRPr="002A1905">
              <w:rPr>
                <w:rFonts w:asciiTheme="minorHAnsi" w:hAnsiTheme="minorHAnsi" w:cstheme="minorHAnsi"/>
              </w:rPr>
              <w:t xml:space="preserve"> </w:t>
            </w:r>
          </w:p>
        </w:tc>
        <w:tc>
          <w:tcPr>
            <w:tcW w:w="509" w:type="pct"/>
            <w:shd w:val="clear" w:color="auto" w:fill="D9D9D9"/>
            <w:noWrap/>
            <w:vAlign w:val="center"/>
            <w:hideMark/>
          </w:tcPr>
          <w:p w14:paraId="69E67619" w14:textId="77777777" w:rsidR="00C55A20" w:rsidRPr="002A1905" w:rsidRDefault="00C55A20">
            <w:pPr>
              <w:jc w:val="right"/>
              <w:rPr>
                <w:rFonts w:asciiTheme="minorHAnsi" w:hAnsiTheme="minorHAnsi" w:cstheme="minorHAnsi"/>
              </w:rPr>
            </w:pPr>
            <w:r w:rsidRPr="002A1905">
              <w:rPr>
                <w:rFonts w:asciiTheme="minorHAnsi" w:hAnsiTheme="minorHAnsi" w:cstheme="minorHAnsi"/>
                <w:b/>
                <w:bCs/>
                <w:sz w:val="20"/>
                <w:szCs w:val="20"/>
              </w:rPr>
              <w:t>37,74</w:t>
            </w:r>
            <w:r w:rsidRPr="002A1905">
              <w:rPr>
                <w:rFonts w:asciiTheme="minorHAnsi" w:hAnsiTheme="minorHAnsi" w:cstheme="minorHAnsi"/>
              </w:rPr>
              <w:t xml:space="preserve"> </w:t>
            </w:r>
          </w:p>
        </w:tc>
        <w:tc>
          <w:tcPr>
            <w:tcW w:w="983" w:type="pct"/>
            <w:vMerge/>
            <w:shd w:val="clear" w:color="auto" w:fill="D9D9D9"/>
            <w:vAlign w:val="center"/>
            <w:hideMark/>
          </w:tcPr>
          <w:p w14:paraId="494D927F" w14:textId="77777777" w:rsidR="00C55A20" w:rsidRPr="002A1905" w:rsidRDefault="00C55A20">
            <w:pPr>
              <w:rPr>
                <w:rFonts w:asciiTheme="minorHAnsi" w:hAnsiTheme="minorHAnsi" w:cstheme="minorHAnsi"/>
                <w:sz w:val="24"/>
                <w:szCs w:val="24"/>
              </w:rPr>
            </w:pPr>
          </w:p>
        </w:tc>
      </w:tr>
      <w:tr w:rsidR="00C55A20" w:rsidRPr="002A1905" w14:paraId="4AEDDEC0" w14:textId="77777777" w:rsidTr="002A1905">
        <w:trPr>
          <w:trHeight w:hRule="exact" w:val="284"/>
          <w:tblCellSpacing w:w="15" w:type="dxa"/>
        </w:trPr>
        <w:tc>
          <w:tcPr>
            <w:tcW w:w="0" w:type="auto"/>
            <w:shd w:val="clear" w:color="auto" w:fill="EFEFEF"/>
            <w:noWrap/>
            <w:vAlign w:val="center"/>
            <w:hideMark/>
          </w:tcPr>
          <w:p w14:paraId="6FBF5FEF"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710</w:t>
            </w:r>
            <w:r w:rsidRPr="002A1905">
              <w:rPr>
                <w:rFonts w:asciiTheme="minorHAnsi" w:hAnsiTheme="minorHAnsi" w:cstheme="minorHAnsi"/>
              </w:rPr>
              <w:t xml:space="preserve"> </w:t>
            </w:r>
          </w:p>
        </w:tc>
        <w:tc>
          <w:tcPr>
            <w:tcW w:w="0" w:type="auto"/>
            <w:shd w:val="clear" w:color="auto" w:fill="EFEFEF"/>
            <w:vAlign w:val="center"/>
            <w:hideMark/>
          </w:tcPr>
          <w:p w14:paraId="1BD038D5" w14:textId="77777777" w:rsidR="00C55A20" w:rsidRPr="002A1905" w:rsidRDefault="00C55A20">
            <w:pPr>
              <w:rPr>
                <w:rFonts w:asciiTheme="minorHAnsi" w:hAnsiTheme="minorHAnsi" w:cstheme="minorHAnsi"/>
              </w:rPr>
            </w:pPr>
            <w:proofErr w:type="spellStart"/>
            <w:r w:rsidRPr="002A1905">
              <w:rPr>
                <w:rFonts w:asciiTheme="minorHAnsi" w:hAnsiTheme="minorHAnsi" w:cstheme="minorHAnsi"/>
                <w:sz w:val="20"/>
                <w:szCs w:val="20"/>
              </w:rPr>
              <w:t>Obst</w:t>
            </w:r>
            <w:proofErr w:type="spellEnd"/>
            <w:r w:rsidRPr="002A1905">
              <w:rPr>
                <w:rFonts w:asciiTheme="minorHAnsi" w:hAnsiTheme="minorHAnsi" w:cstheme="minorHAnsi"/>
                <w:sz w:val="20"/>
                <w:szCs w:val="20"/>
              </w:rPr>
              <w:t xml:space="preserve">. </w:t>
            </w:r>
            <w:proofErr w:type="spellStart"/>
            <w:r w:rsidRPr="002A1905">
              <w:rPr>
                <w:rFonts w:asciiTheme="minorHAnsi" w:hAnsiTheme="minorHAnsi" w:cstheme="minorHAnsi"/>
                <w:sz w:val="20"/>
                <w:szCs w:val="20"/>
              </w:rPr>
              <w:t>kapit</w:t>
            </w:r>
            <w:proofErr w:type="spellEnd"/>
            <w:r w:rsidRPr="002A1905">
              <w:rPr>
                <w:rFonts w:asciiTheme="minorHAnsi" w:hAnsiTheme="minorHAnsi" w:cstheme="minorHAnsi"/>
                <w:sz w:val="20"/>
                <w:szCs w:val="20"/>
              </w:rPr>
              <w:t>. aktív</w:t>
            </w:r>
            <w:r w:rsidRPr="002A1905">
              <w:rPr>
                <w:rFonts w:asciiTheme="minorHAnsi" w:hAnsiTheme="minorHAnsi" w:cstheme="minorHAnsi"/>
              </w:rPr>
              <w:t xml:space="preserve"> </w:t>
            </w:r>
          </w:p>
        </w:tc>
        <w:tc>
          <w:tcPr>
            <w:tcW w:w="0" w:type="auto"/>
            <w:shd w:val="clear" w:color="auto" w:fill="EFEFEF"/>
            <w:noWrap/>
            <w:vAlign w:val="center"/>
            <w:hideMark/>
          </w:tcPr>
          <w:p w14:paraId="1E20F12A"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10 185 962,63</w:t>
            </w:r>
            <w:r w:rsidRPr="002A1905">
              <w:rPr>
                <w:rFonts w:asciiTheme="minorHAnsi" w:hAnsiTheme="minorHAnsi" w:cstheme="minorHAnsi"/>
              </w:rPr>
              <w:t xml:space="preserve"> </w:t>
            </w:r>
          </w:p>
        </w:tc>
        <w:tc>
          <w:tcPr>
            <w:tcW w:w="0" w:type="auto"/>
            <w:shd w:val="clear" w:color="auto" w:fill="EFEFEF"/>
            <w:noWrap/>
            <w:vAlign w:val="center"/>
            <w:hideMark/>
          </w:tcPr>
          <w:p w14:paraId="70D08B0E"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10 063 990,12</w:t>
            </w:r>
            <w:r w:rsidRPr="002A1905">
              <w:rPr>
                <w:rFonts w:asciiTheme="minorHAnsi" w:hAnsiTheme="minorHAnsi" w:cstheme="minorHAnsi"/>
              </w:rPr>
              <w:t xml:space="preserve"> </w:t>
            </w:r>
          </w:p>
        </w:tc>
        <w:tc>
          <w:tcPr>
            <w:tcW w:w="0" w:type="auto"/>
            <w:shd w:val="clear" w:color="auto" w:fill="EFEFEF"/>
            <w:noWrap/>
            <w:vAlign w:val="center"/>
            <w:hideMark/>
          </w:tcPr>
          <w:p w14:paraId="0B739E23"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3 618 311,50</w:t>
            </w:r>
            <w:r w:rsidRPr="002A1905">
              <w:rPr>
                <w:rFonts w:asciiTheme="minorHAnsi" w:hAnsiTheme="minorHAnsi" w:cstheme="minorHAnsi"/>
              </w:rPr>
              <w:t xml:space="preserve"> </w:t>
            </w:r>
          </w:p>
        </w:tc>
        <w:tc>
          <w:tcPr>
            <w:tcW w:w="509" w:type="pct"/>
            <w:shd w:val="clear" w:color="auto" w:fill="EFEFEF"/>
            <w:noWrap/>
            <w:vAlign w:val="center"/>
            <w:hideMark/>
          </w:tcPr>
          <w:p w14:paraId="6D86568A"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35,95</w:t>
            </w:r>
            <w:r w:rsidRPr="002A1905">
              <w:rPr>
                <w:rFonts w:asciiTheme="minorHAnsi" w:hAnsiTheme="minorHAnsi" w:cstheme="minorHAnsi"/>
              </w:rPr>
              <w:t xml:space="preserve"> </w:t>
            </w:r>
          </w:p>
        </w:tc>
        <w:tc>
          <w:tcPr>
            <w:tcW w:w="983" w:type="pct"/>
            <w:vMerge/>
            <w:shd w:val="clear" w:color="auto" w:fill="EFEFEF"/>
            <w:vAlign w:val="center"/>
            <w:hideMark/>
          </w:tcPr>
          <w:p w14:paraId="55B2E451" w14:textId="77777777" w:rsidR="00C55A20" w:rsidRPr="002A1905" w:rsidRDefault="00C55A20">
            <w:pPr>
              <w:rPr>
                <w:rFonts w:asciiTheme="minorHAnsi" w:hAnsiTheme="minorHAnsi" w:cstheme="minorHAnsi"/>
                <w:sz w:val="24"/>
                <w:szCs w:val="24"/>
              </w:rPr>
            </w:pPr>
          </w:p>
        </w:tc>
      </w:tr>
      <w:tr w:rsidR="00C55A20" w:rsidRPr="002A1905" w14:paraId="542253CC" w14:textId="77777777" w:rsidTr="002A1905">
        <w:trPr>
          <w:trHeight w:hRule="exact" w:val="284"/>
          <w:tblCellSpacing w:w="15" w:type="dxa"/>
        </w:trPr>
        <w:tc>
          <w:tcPr>
            <w:tcW w:w="0" w:type="auto"/>
            <w:shd w:val="clear" w:color="auto" w:fill="EFEFEF"/>
            <w:noWrap/>
            <w:vAlign w:val="center"/>
            <w:hideMark/>
          </w:tcPr>
          <w:p w14:paraId="22875819"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720</w:t>
            </w:r>
            <w:r w:rsidRPr="002A1905">
              <w:rPr>
                <w:rFonts w:asciiTheme="minorHAnsi" w:hAnsiTheme="minorHAnsi" w:cstheme="minorHAnsi"/>
              </w:rPr>
              <w:t xml:space="preserve"> </w:t>
            </w:r>
          </w:p>
        </w:tc>
        <w:tc>
          <w:tcPr>
            <w:tcW w:w="0" w:type="auto"/>
            <w:shd w:val="clear" w:color="auto" w:fill="EFEFEF"/>
            <w:vAlign w:val="center"/>
            <w:hideMark/>
          </w:tcPr>
          <w:p w14:paraId="3D4B8396"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Kapitálové transfery</w:t>
            </w:r>
            <w:r w:rsidRPr="002A1905">
              <w:rPr>
                <w:rFonts w:asciiTheme="minorHAnsi" w:hAnsiTheme="minorHAnsi" w:cstheme="minorHAnsi"/>
              </w:rPr>
              <w:t xml:space="preserve"> </w:t>
            </w:r>
          </w:p>
        </w:tc>
        <w:tc>
          <w:tcPr>
            <w:tcW w:w="0" w:type="auto"/>
            <w:shd w:val="clear" w:color="auto" w:fill="EFEFEF"/>
            <w:noWrap/>
            <w:vAlign w:val="center"/>
            <w:hideMark/>
          </w:tcPr>
          <w:p w14:paraId="1503D66E"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2 379 526,41</w:t>
            </w:r>
            <w:r w:rsidRPr="002A1905">
              <w:rPr>
                <w:rFonts w:asciiTheme="minorHAnsi" w:hAnsiTheme="minorHAnsi" w:cstheme="minorHAnsi"/>
              </w:rPr>
              <w:t xml:space="preserve"> </w:t>
            </w:r>
          </w:p>
        </w:tc>
        <w:tc>
          <w:tcPr>
            <w:tcW w:w="0" w:type="auto"/>
            <w:shd w:val="clear" w:color="auto" w:fill="EFEFEF"/>
            <w:noWrap/>
            <w:vAlign w:val="center"/>
            <w:hideMark/>
          </w:tcPr>
          <w:p w14:paraId="4F45F1A2"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2 047 535,95</w:t>
            </w:r>
            <w:r w:rsidRPr="002A1905">
              <w:rPr>
                <w:rFonts w:asciiTheme="minorHAnsi" w:hAnsiTheme="minorHAnsi" w:cstheme="minorHAnsi"/>
              </w:rPr>
              <w:t xml:space="preserve"> </w:t>
            </w:r>
          </w:p>
        </w:tc>
        <w:tc>
          <w:tcPr>
            <w:tcW w:w="0" w:type="auto"/>
            <w:shd w:val="clear" w:color="auto" w:fill="EFEFEF"/>
            <w:noWrap/>
            <w:vAlign w:val="center"/>
            <w:hideMark/>
          </w:tcPr>
          <w:p w14:paraId="4953AC1E"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952 013,40</w:t>
            </w:r>
            <w:r w:rsidRPr="002A1905">
              <w:rPr>
                <w:rFonts w:asciiTheme="minorHAnsi" w:hAnsiTheme="minorHAnsi" w:cstheme="minorHAnsi"/>
              </w:rPr>
              <w:t xml:space="preserve"> </w:t>
            </w:r>
          </w:p>
        </w:tc>
        <w:tc>
          <w:tcPr>
            <w:tcW w:w="509" w:type="pct"/>
            <w:shd w:val="clear" w:color="auto" w:fill="EFEFEF"/>
            <w:noWrap/>
            <w:vAlign w:val="center"/>
            <w:hideMark/>
          </w:tcPr>
          <w:p w14:paraId="29FED3B1" w14:textId="77777777" w:rsidR="00C55A20" w:rsidRPr="002A1905" w:rsidRDefault="00C55A20">
            <w:pPr>
              <w:jc w:val="right"/>
              <w:rPr>
                <w:rFonts w:asciiTheme="minorHAnsi" w:hAnsiTheme="minorHAnsi" w:cstheme="minorHAnsi"/>
              </w:rPr>
            </w:pPr>
            <w:r w:rsidRPr="002A1905">
              <w:rPr>
                <w:rFonts w:asciiTheme="minorHAnsi" w:hAnsiTheme="minorHAnsi" w:cstheme="minorHAnsi"/>
                <w:sz w:val="20"/>
                <w:szCs w:val="20"/>
              </w:rPr>
              <w:t>46,50</w:t>
            </w:r>
            <w:r w:rsidRPr="002A1905">
              <w:rPr>
                <w:rFonts w:asciiTheme="minorHAnsi" w:hAnsiTheme="minorHAnsi" w:cstheme="minorHAnsi"/>
              </w:rPr>
              <w:t xml:space="preserve"> </w:t>
            </w:r>
          </w:p>
        </w:tc>
        <w:tc>
          <w:tcPr>
            <w:tcW w:w="983" w:type="pct"/>
            <w:vMerge/>
            <w:shd w:val="clear" w:color="auto" w:fill="EFEFEF"/>
            <w:vAlign w:val="center"/>
            <w:hideMark/>
          </w:tcPr>
          <w:p w14:paraId="300BEA25" w14:textId="77777777" w:rsidR="00C55A20" w:rsidRPr="002A1905" w:rsidRDefault="00C55A20">
            <w:pPr>
              <w:rPr>
                <w:rFonts w:asciiTheme="minorHAnsi" w:hAnsiTheme="minorHAnsi" w:cstheme="minorHAnsi"/>
                <w:sz w:val="24"/>
                <w:szCs w:val="24"/>
              </w:rPr>
            </w:pPr>
          </w:p>
        </w:tc>
      </w:tr>
    </w:tbl>
    <w:p w14:paraId="43F5A874" w14:textId="77777777" w:rsidR="00C55A20" w:rsidRPr="002A1905" w:rsidRDefault="00C55A20" w:rsidP="00C55A20">
      <w:pPr>
        <w:pStyle w:val="Normlnywebov"/>
        <w:spacing w:after="0"/>
        <w:rPr>
          <w:rFonts w:asciiTheme="minorHAnsi" w:hAnsiTheme="minorHAnsi" w:cstheme="minorHAns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085"/>
        <w:gridCol w:w="668"/>
        <w:gridCol w:w="1861"/>
        <w:gridCol w:w="1314"/>
        <w:gridCol w:w="3538"/>
      </w:tblGrid>
      <w:tr w:rsidR="00C55A20" w:rsidRPr="002A1905" w14:paraId="399DDC8A" w14:textId="77777777" w:rsidTr="002A1905">
        <w:trPr>
          <w:trHeight w:hRule="exact" w:val="284"/>
          <w:tblCellSpacing w:w="15" w:type="dxa"/>
        </w:trPr>
        <w:tc>
          <w:tcPr>
            <w:tcW w:w="0" w:type="auto"/>
            <w:shd w:val="clear" w:color="auto" w:fill="C2D69B"/>
            <w:vAlign w:val="center"/>
            <w:hideMark/>
          </w:tcPr>
          <w:p w14:paraId="424C40D5" w14:textId="77777777" w:rsidR="00C55A20" w:rsidRPr="002A1905" w:rsidRDefault="00C55A20">
            <w:pPr>
              <w:rPr>
                <w:rFonts w:asciiTheme="minorHAnsi" w:hAnsiTheme="minorHAnsi" w:cstheme="minorHAnsi"/>
              </w:rPr>
            </w:pPr>
            <w:r w:rsidRPr="002A1905">
              <w:rPr>
                <w:rFonts w:asciiTheme="minorHAnsi" w:hAnsiTheme="minorHAnsi" w:cstheme="minorHAnsi"/>
                <w:b/>
                <w:bCs/>
                <w:sz w:val="20"/>
                <w:szCs w:val="20"/>
              </w:rPr>
              <w:t>Zodpovednosť</w:t>
            </w:r>
          </w:p>
        </w:tc>
        <w:tc>
          <w:tcPr>
            <w:tcW w:w="0" w:type="auto"/>
            <w:gridSpan w:val="4"/>
            <w:shd w:val="clear" w:color="auto" w:fill="C2D69B"/>
            <w:vAlign w:val="center"/>
            <w:hideMark/>
          </w:tcPr>
          <w:p w14:paraId="02600B4B"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Oddelenie investičných činností</w:t>
            </w:r>
            <w:r w:rsidRPr="002A1905">
              <w:rPr>
                <w:rFonts w:asciiTheme="minorHAnsi" w:hAnsiTheme="minorHAnsi" w:cstheme="minorHAnsi"/>
              </w:rPr>
              <w:t xml:space="preserve"> </w:t>
            </w:r>
          </w:p>
        </w:tc>
      </w:tr>
      <w:tr w:rsidR="00C55A20" w:rsidRPr="002A1905" w14:paraId="5228B69A" w14:textId="77777777" w:rsidTr="002A1905">
        <w:trPr>
          <w:trHeight w:hRule="exact" w:val="284"/>
          <w:tblCellSpacing w:w="15" w:type="dxa"/>
        </w:trPr>
        <w:tc>
          <w:tcPr>
            <w:tcW w:w="0" w:type="auto"/>
            <w:shd w:val="clear" w:color="auto" w:fill="C2D69B"/>
            <w:vAlign w:val="center"/>
            <w:hideMark/>
          </w:tcPr>
          <w:p w14:paraId="78227EFC" w14:textId="77777777" w:rsidR="00C55A20" w:rsidRPr="002A1905" w:rsidRDefault="00C55A20">
            <w:pPr>
              <w:rPr>
                <w:rFonts w:asciiTheme="minorHAnsi" w:hAnsiTheme="minorHAnsi" w:cstheme="minorHAnsi"/>
              </w:rPr>
            </w:pPr>
            <w:r w:rsidRPr="002A1905">
              <w:rPr>
                <w:rFonts w:asciiTheme="minorHAnsi" w:hAnsiTheme="minorHAnsi" w:cstheme="minorHAnsi"/>
                <w:b/>
                <w:bCs/>
                <w:sz w:val="20"/>
                <w:szCs w:val="20"/>
              </w:rPr>
              <w:t>Cieľ</w:t>
            </w:r>
          </w:p>
        </w:tc>
        <w:tc>
          <w:tcPr>
            <w:tcW w:w="0" w:type="auto"/>
            <w:gridSpan w:val="4"/>
            <w:shd w:val="clear" w:color="auto" w:fill="C2D69B"/>
            <w:vAlign w:val="center"/>
            <w:hideMark/>
          </w:tcPr>
          <w:p w14:paraId="5E6E8D1F"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Zabezpečiť optimálny stav majetku pre potreby BSK ( v %)</w:t>
            </w:r>
            <w:r w:rsidRPr="002A1905">
              <w:rPr>
                <w:rFonts w:asciiTheme="minorHAnsi" w:hAnsiTheme="minorHAnsi" w:cstheme="minorHAnsi"/>
              </w:rPr>
              <w:t xml:space="preserve"> </w:t>
            </w:r>
          </w:p>
        </w:tc>
      </w:tr>
      <w:tr w:rsidR="00C55A20" w:rsidRPr="002A1905" w14:paraId="7444E020" w14:textId="77777777" w:rsidTr="002A1905">
        <w:trPr>
          <w:trHeight w:hRule="exact" w:val="284"/>
          <w:tblCellSpacing w:w="15" w:type="dxa"/>
        </w:trPr>
        <w:tc>
          <w:tcPr>
            <w:tcW w:w="0" w:type="auto"/>
            <w:shd w:val="clear" w:color="auto" w:fill="C2D69B"/>
            <w:vAlign w:val="center"/>
            <w:hideMark/>
          </w:tcPr>
          <w:p w14:paraId="7EF211B3" w14:textId="77777777" w:rsidR="00C55A20" w:rsidRPr="002A1905" w:rsidRDefault="00C55A20">
            <w:pPr>
              <w:rPr>
                <w:rFonts w:asciiTheme="minorHAnsi" w:hAnsiTheme="minorHAnsi" w:cstheme="minorHAnsi"/>
              </w:rPr>
            </w:pPr>
            <w:r w:rsidRPr="002A1905">
              <w:rPr>
                <w:rFonts w:asciiTheme="minorHAnsi" w:hAnsiTheme="minorHAnsi" w:cstheme="minorHAnsi"/>
                <w:b/>
                <w:bCs/>
                <w:sz w:val="20"/>
                <w:szCs w:val="20"/>
              </w:rPr>
              <w:t>Merateľný ukazovateľ</w:t>
            </w:r>
          </w:p>
        </w:tc>
        <w:tc>
          <w:tcPr>
            <w:tcW w:w="0" w:type="auto"/>
            <w:gridSpan w:val="4"/>
            <w:shd w:val="clear" w:color="auto" w:fill="C2D69B"/>
            <w:vAlign w:val="center"/>
            <w:hideMark/>
          </w:tcPr>
          <w:p w14:paraId="279E057A" w14:textId="77777777" w:rsidR="00C55A20" w:rsidRPr="002A1905" w:rsidRDefault="00C55A20">
            <w:pPr>
              <w:rPr>
                <w:rFonts w:asciiTheme="minorHAnsi" w:hAnsiTheme="minorHAnsi" w:cstheme="minorHAnsi"/>
              </w:rPr>
            </w:pPr>
            <w:r w:rsidRPr="002A1905">
              <w:rPr>
                <w:rFonts w:asciiTheme="minorHAnsi" w:hAnsiTheme="minorHAnsi" w:cstheme="minorHAnsi"/>
                <w:sz w:val="20"/>
                <w:szCs w:val="20"/>
              </w:rPr>
              <w:t xml:space="preserve">Skutočné čerpanie plánovaných </w:t>
            </w:r>
            <w:proofErr w:type="spellStart"/>
            <w:r w:rsidRPr="002A1905">
              <w:rPr>
                <w:rFonts w:asciiTheme="minorHAnsi" w:hAnsiTheme="minorHAnsi" w:cstheme="minorHAnsi"/>
                <w:sz w:val="20"/>
                <w:szCs w:val="20"/>
              </w:rPr>
              <w:t>finačných</w:t>
            </w:r>
            <w:proofErr w:type="spellEnd"/>
            <w:r w:rsidRPr="002A1905">
              <w:rPr>
                <w:rFonts w:asciiTheme="minorHAnsi" w:hAnsiTheme="minorHAnsi" w:cstheme="minorHAnsi"/>
                <w:sz w:val="20"/>
                <w:szCs w:val="20"/>
              </w:rPr>
              <w:t xml:space="preserve"> prostriedkov na opravu, údržbu a rekonštrukciu </w:t>
            </w:r>
            <w:proofErr w:type="spellStart"/>
            <w:r w:rsidRPr="002A1905">
              <w:rPr>
                <w:rFonts w:asciiTheme="minorHAnsi" w:hAnsiTheme="minorHAnsi" w:cstheme="minorHAnsi"/>
                <w:sz w:val="20"/>
                <w:szCs w:val="20"/>
              </w:rPr>
              <w:t>majektu</w:t>
            </w:r>
            <w:proofErr w:type="spellEnd"/>
            <w:r w:rsidRPr="002A1905">
              <w:rPr>
                <w:rFonts w:asciiTheme="minorHAnsi" w:hAnsiTheme="minorHAnsi" w:cstheme="minorHAnsi"/>
                <w:sz w:val="20"/>
                <w:szCs w:val="20"/>
              </w:rPr>
              <w:t xml:space="preserve"> BSK v %</w:t>
            </w:r>
            <w:r w:rsidRPr="002A1905">
              <w:rPr>
                <w:rFonts w:asciiTheme="minorHAnsi" w:hAnsiTheme="minorHAnsi" w:cstheme="minorHAnsi"/>
              </w:rPr>
              <w:t xml:space="preserve"> </w:t>
            </w:r>
          </w:p>
        </w:tc>
      </w:tr>
      <w:tr w:rsidR="00C55A20" w:rsidRPr="002A1905" w14:paraId="6DD67004" w14:textId="77777777" w:rsidTr="000050A2">
        <w:trPr>
          <w:trHeight w:hRule="exact" w:val="284"/>
          <w:tblCellSpacing w:w="15" w:type="dxa"/>
        </w:trPr>
        <w:tc>
          <w:tcPr>
            <w:tcW w:w="0" w:type="auto"/>
            <w:shd w:val="clear" w:color="auto" w:fill="C2D69B"/>
            <w:vAlign w:val="center"/>
            <w:hideMark/>
          </w:tcPr>
          <w:p w14:paraId="11571E6B"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Rok</w:t>
            </w:r>
          </w:p>
        </w:tc>
        <w:tc>
          <w:tcPr>
            <w:tcW w:w="0" w:type="auto"/>
            <w:shd w:val="clear" w:color="auto" w:fill="C2D69B"/>
            <w:vAlign w:val="center"/>
            <w:hideMark/>
          </w:tcPr>
          <w:p w14:paraId="5636ACD6"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Plán</w:t>
            </w:r>
          </w:p>
        </w:tc>
        <w:tc>
          <w:tcPr>
            <w:tcW w:w="890" w:type="pct"/>
            <w:shd w:val="clear" w:color="auto" w:fill="C2D69B"/>
            <w:vAlign w:val="center"/>
            <w:hideMark/>
          </w:tcPr>
          <w:p w14:paraId="0A916FE7"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Skutočnosť</w:t>
            </w:r>
          </w:p>
        </w:tc>
        <w:tc>
          <w:tcPr>
            <w:tcW w:w="624" w:type="pct"/>
            <w:shd w:val="clear" w:color="auto" w:fill="C2D69B"/>
            <w:vAlign w:val="center"/>
            <w:hideMark/>
          </w:tcPr>
          <w:p w14:paraId="087EA273" w14:textId="77777777" w:rsidR="00C55A20" w:rsidRPr="002A1905" w:rsidRDefault="00C55A20">
            <w:pPr>
              <w:jc w:val="center"/>
              <w:rPr>
                <w:rFonts w:asciiTheme="minorHAnsi" w:hAnsiTheme="minorHAnsi" w:cstheme="minorHAnsi"/>
              </w:rPr>
            </w:pPr>
            <w:r w:rsidRPr="002A1905">
              <w:rPr>
                <w:rFonts w:asciiTheme="minorHAnsi" w:hAnsiTheme="minorHAnsi" w:cstheme="minorHAnsi"/>
                <w:b/>
                <w:bCs/>
                <w:sz w:val="20"/>
                <w:szCs w:val="20"/>
              </w:rPr>
              <w:t>Plnenie</w:t>
            </w:r>
          </w:p>
        </w:tc>
        <w:tc>
          <w:tcPr>
            <w:tcW w:w="1698" w:type="pct"/>
            <w:shd w:val="clear" w:color="auto" w:fill="C2D69B"/>
            <w:vAlign w:val="center"/>
            <w:hideMark/>
          </w:tcPr>
          <w:p w14:paraId="7D2ACBB9" w14:textId="77777777" w:rsidR="00C55A20" w:rsidRPr="002A1905" w:rsidRDefault="00C55A20">
            <w:pPr>
              <w:rPr>
                <w:rFonts w:asciiTheme="minorHAnsi" w:hAnsiTheme="minorHAnsi" w:cstheme="minorHAnsi"/>
              </w:rPr>
            </w:pPr>
            <w:r w:rsidRPr="002A1905">
              <w:rPr>
                <w:rFonts w:asciiTheme="minorHAnsi" w:hAnsiTheme="minorHAnsi" w:cstheme="minorHAnsi"/>
                <w:b/>
                <w:bCs/>
                <w:sz w:val="20"/>
                <w:szCs w:val="20"/>
              </w:rPr>
              <w:t>Poznámka</w:t>
            </w:r>
          </w:p>
        </w:tc>
      </w:tr>
      <w:tr w:rsidR="00C55A20" w:rsidRPr="002A1905" w14:paraId="581A2379" w14:textId="77777777" w:rsidTr="000050A2">
        <w:trPr>
          <w:tblCellSpacing w:w="15" w:type="dxa"/>
        </w:trPr>
        <w:tc>
          <w:tcPr>
            <w:tcW w:w="0" w:type="auto"/>
            <w:shd w:val="clear" w:color="auto" w:fill="C2D69B"/>
            <w:vAlign w:val="center"/>
            <w:hideMark/>
          </w:tcPr>
          <w:p w14:paraId="56943460" w14:textId="77777777" w:rsidR="00C55A20" w:rsidRPr="002A1905" w:rsidRDefault="00C55A20">
            <w:pPr>
              <w:jc w:val="center"/>
              <w:rPr>
                <w:rFonts w:asciiTheme="minorHAnsi" w:hAnsiTheme="minorHAnsi" w:cstheme="minorHAnsi"/>
              </w:rPr>
            </w:pPr>
            <w:r w:rsidRPr="002A1905">
              <w:rPr>
                <w:rFonts w:asciiTheme="minorHAnsi" w:hAnsiTheme="minorHAnsi" w:cstheme="minorHAnsi"/>
                <w:sz w:val="20"/>
                <w:szCs w:val="20"/>
              </w:rPr>
              <w:t>2020</w:t>
            </w:r>
            <w:r w:rsidRPr="002A1905">
              <w:rPr>
                <w:rFonts w:asciiTheme="minorHAnsi" w:hAnsiTheme="minorHAnsi" w:cstheme="minorHAnsi"/>
              </w:rPr>
              <w:t xml:space="preserve"> </w:t>
            </w:r>
          </w:p>
        </w:tc>
        <w:tc>
          <w:tcPr>
            <w:tcW w:w="0" w:type="auto"/>
            <w:shd w:val="clear" w:color="auto" w:fill="C2D69B"/>
            <w:noWrap/>
            <w:vAlign w:val="center"/>
            <w:hideMark/>
          </w:tcPr>
          <w:p w14:paraId="0EAA2883" w14:textId="77777777" w:rsidR="00C55A20" w:rsidRPr="002A1905" w:rsidRDefault="00C55A20">
            <w:pPr>
              <w:jc w:val="center"/>
              <w:rPr>
                <w:rFonts w:asciiTheme="minorHAnsi" w:hAnsiTheme="minorHAnsi" w:cstheme="minorHAnsi"/>
              </w:rPr>
            </w:pPr>
            <w:r w:rsidRPr="002A1905">
              <w:rPr>
                <w:rFonts w:asciiTheme="minorHAnsi" w:hAnsiTheme="minorHAnsi" w:cstheme="minorHAnsi"/>
                <w:sz w:val="20"/>
                <w:szCs w:val="20"/>
              </w:rPr>
              <w:t> 100</w:t>
            </w:r>
            <w:r w:rsidRPr="002A1905">
              <w:rPr>
                <w:rFonts w:asciiTheme="minorHAnsi" w:hAnsiTheme="minorHAnsi" w:cstheme="minorHAnsi"/>
              </w:rPr>
              <w:t xml:space="preserve"> </w:t>
            </w:r>
          </w:p>
        </w:tc>
        <w:tc>
          <w:tcPr>
            <w:tcW w:w="890" w:type="pct"/>
            <w:shd w:val="clear" w:color="auto" w:fill="C2D69B"/>
            <w:noWrap/>
            <w:vAlign w:val="center"/>
            <w:hideMark/>
          </w:tcPr>
          <w:p w14:paraId="30E0D0B4" w14:textId="77777777" w:rsidR="00C55A20" w:rsidRPr="002A1905" w:rsidRDefault="00C55A20">
            <w:pPr>
              <w:jc w:val="center"/>
              <w:rPr>
                <w:rFonts w:asciiTheme="minorHAnsi" w:hAnsiTheme="minorHAnsi" w:cstheme="minorHAnsi"/>
              </w:rPr>
            </w:pPr>
            <w:r w:rsidRPr="002A1905">
              <w:rPr>
                <w:rFonts w:asciiTheme="minorHAnsi" w:hAnsiTheme="minorHAnsi" w:cstheme="minorHAnsi"/>
                <w:sz w:val="20"/>
                <w:szCs w:val="20"/>
              </w:rPr>
              <w:t> 42.6</w:t>
            </w:r>
            <w:r w:rsidRPr="002A1905">
              <w:rPr>
                <w:rFonts w:asciiTheme="minorHAnsi" w:hAnsiTheme="minorHAnsi" w:cstheme="minorHAnsi"/>
              </w:rPr>
              <w:t xml:space="preserve"> </w:t>
            </w:r>
          </w:p>
        </w:tc>
        <w:tc>
          <w:tcPr>
            <w:tcW w:w="624" w:type="pct"/>
            <w:shd w:val="clear" w:color="auto" w:fill="C2D69B"/>
            <w:vAlign w:val="center"/>
            <w:hideMark/>
          </w:tcPr>
          <w:p w14:paraId="3BB35C30" w14:textId="77777777" w:rsidR="00C55A20" w:rsidRPr="002A1905" w:rsidRDefault="00C55A20">
            <w:pPr>
              <w:jc w:val="center"/>
              <w:rPr>
                <w:rFonts w:asciiTheme="minorHAnsi" w:hAnsiTheme="minorHAnsi" w:cstheme="minorHAnsi"/>
              </w:rPr>
            </w:pPr>
            <w:r w:rsidRPr="002A1905">
              <w:rPr>
                <w:rFonts w:asciiTheme="minorHAnsi" w:hAnsiTheme="minorHAnsi" w:cstheme="minorHAnsi"/>
                <w:sz w:val="20"/>
                <w:szCs w:val="20"/>
              </w:rPr>
              <w:t>Čiastočne</w:t>
            </w:r>
            <w:r w:rsidRPr="002A1905">
              <w:rPr>
                <w:rFonts w:asciiTheme="minorHAnsi" w:hAnsiTheme="minorHAnsi" w:cstheme="minorHAnsi"/>
              </w:rPr>
              <w:t xml:space="preserve"> </w:t>
            </w:r>
          </w:p>
        </w:tc>
        <w:tc>
          <w:tcPr>
            <w:tcW w:w="1698" w:type="pct"/>
            <w:shd w:val="clear" w:color="auto" w:fill="C2D69B"/>
            <w:vAlign w:val="center"/>
            <w:hideMark/>
          </w:tcPr>
          <w:p w14:paraId="6AE46C43" w14:textId="04E253A8" w:rsidR="00C55A20" w:rsidRPr="002A1905" w:rsidRDefault="002A1905" w:rsidP="000050A2">
            <w:pPr>
              <w:jc w:val="both"/>
              <w:rPr>
                <w:rFonts w:asciiTheme="minorHAnsi" w:hAnsiTheme="minorHAnsi" w:cstheme="minorHAnsi"/>
              </w:rPr>
            </w:pPr>
            <w:r>
              <w:rPr>
                <w:rFonts w:asciiTheme="minorHAnsi" w:hAnsiTheme="minorHAnsi" w:cstheme="minorHAnsi"/>
                <w:sz w:val="20"/>
                <w:szCs w:val="20"/>
              </w:rPr>
              <w:t>Nižšie čerpanie je z dôvodu neukončených prác, prebiehajúcich verejných obstarávaní a pod.</w:t>
            </w:r>
            <w:r w:rsidR="000050A2">
              <w:rPr>
                <w:rFonts w:asciiTheme="minorHAnsi" w:hAnsiTheme="minorHAnsi" w:cstheme="minorHAnsi"/>
                <w:sz w:val="20"/>
                <w:szCs w:val="20"/>
              </w:rPr>
              <w:t>, č</w:t>
            </w:r>
            <w:r>
              <w:rPr>
                <w:rFonts w:asciiTheme="minorHAnsi" w:hAnsiTheme="minorHAnsi" w:cstheme="minorHAnsi"/>
                <w:sz w:val="20"/>
                <w:szCs w:val="20"/>
              </w:rPr>
              <w:t xml:space="preserve">erpanie týchto akcií sa </w:t>
            </w:r>
            <w:r w:rsidR="00023CDE">
              <w:rPr>
                <w:rFonts w:asciiTheme="minorHAnsi" w:hAnsiTheme="minorHAnsi" w:cstheme="minorHAnsi"/>
                <w:sz w:val="20"/>
                <w:szCs w:val="20"/>
              </w:rPr>
              <w:t xml:space="preserve">prenieslo </w:t>
            </w:r>
            <w:r>
              <w:rPr>
                <w:rFonts w:asciiTheme="minorHAnsi" w:hAnsiTheme="minorHAnsi" w:cstheme="minorHAnsi"/>
                <w:sz w:val="20"/>
                <w:szCs w:val="20"/>
              </w:rPr>
              <w:t>do ďalších rokov.</w:t>
            </w:r>
          </w:p>
        </w:tc>
      </w:tr>
    </w:tbl>
    <w:p w14:paraId="2C96D707" w14:textId="77777777" w:rsidR="002A1905" w:rsidRDefault="002A1905" w:rsidP="00C55A20">
      <w:pPr>
        <w:pStyle w:val="Normlnywebov"/>
        <w:rPr>
          <w:rFonts w:asciiTheme="minorHAnsi" w:hAnsiTheme="minorHAnsi" w:cstheme="minorHAnsi"/>
          <w:b/>
          <w:bCs/>
          <w:sz w:val="22"/>
          <w:szCs w:val="22"/>
        </w:rPr>
      </w:pPr>
    </w:p>
    <w:p w14:paraId="03147474" w14:textId="73FB07BC" w:rsidR="002A1905" w:rsidRPr="002A1905" w:rsidRDefault="00C55A20" w:rsidP="002A1905">
      <w:pPr>
        <w:spacing w:after="0" w:line="240" w:lineRule="auto"/>
        <w:jc w:val="both"/>
        <w:rPr>
          <w:rFonts w:asciiTheme="minorHAnsi" w:hAnsiTheme="minorHAnsi" w:cstheme="minorHAnsi"/>
          <w:b/>
          <w:bCs/>
        </w:rPr>
      </w:pPr>
      <w:r w:rsidRPr="002A1905">
        <w:rPr>
          <w:rFonts w:asciiTheme="minorHAnsi" w:hAnsiTheme="minorHAnsi" w:cstheme="minorHAnsi"/>
          <w:b/>
          <w:bCs/>
        </w:rPr>
        <w:t xml:space="preserve">Komentár: </w:t>
      </w:r>
      <w:r w:rsidR="002A1905" w:rsidRPr="006D6B68">
        <w:rPr>
          <w:rFonts w:asciiTheme="minorHAnsi" w:eastAsiaTheme="minorHAnsi" w:hAnsiTheme="minorHAnsi" w:cstheme="minorHAnsi"/>
        </w:rPr>
        <w:t xml:space="preserve">V rámci podprogramu sa vykonali údržby, opravy objektov vo vlastníctve BSK </w:t>
      </w:r>
      <w:r w:rsidR="002A1905">
        <w:rPr>
          <w:rFonts w:asciiTheme="minorHAnsi" w:eastAsiaTheme="minorHAnsi" w:hAnsiTheme="minorHAnsi" w:cstheme="minorHAnsi"/>
        </w:rPr>
        <w:t>(</w:t>
      </w:r>
      <w:r w:rsidR="002A1905" w:rsidRPr="006D6B68">
        <w:rPr>
          <w:rFonts w:asciiTheme="minorHAnsi" w:eastAsiaTheme="minorHAnsi" w:hAnsiTheme="minorHAnsi" w:cstheme="minorHAnsi"/>
        </w:rPr>
        <w:t xml:space="preserve">školské, sociálne, kultúrne </w:t>
      </w:r>
      <w:r w:rsidR="00023CDE">
        <w:rPr>
          <w:rFonts w:asciiTheme="minorHAnsi" w:eastAsiaTheme="minorHAnsi" w:hAnsiTheme="minorHAnsi" w:cstheme="minorHAnsi"/>
        </w:rPr>
        <w:br/>
      </w:r>
      <w:r w:rsidR="002A1905" w:rsidRPr="006D6B68">
        <w:rPr>
          <w:rFonts w:asciiTheme="minorHAnsi" w:eastAsiaTheme="minorHAnsi" w:hAnsiTheme="minorHAnsi" w:cstheme="minorHAnsi"/>
        </w:rPr>
        <w:t>a zdravotnícke zariadenia</w:t>
      </w:r>
      <w:r w:rsidR="002A1905">
        <w:rPr>
          <w:rFonts w:asciiTheme="minorHAnsi" w:eastAsiaTheme="minorHAnsi" w:hAnsiTheme="minorHAnsi" w:cstheme="minorHAnsi"/>
        </w:rPr>
        <w:t>)</w:t>
      </w:r>
      <w:r w:rsidR="002A1905" w:rsidRPr="006D6B68">
        <w:rPr>
          <w:rFonts w:asciiTheme="minorHAnsi" w:eastAsiaTheme="minorHAnsi" w:hAnsiTheme="minorHAnsi" w:cstheme="minorHAnsi"/>
        </w:rPr>
        <w:t xml:space="preserve">. Na objektoch boli zrealizované napr. opravy rozvodov vody a kanalizácie, kotlov, striech a iných častí budov ako steny, podlahy, maľovania, </w:t>
      </w:r>
      <w:proofErr w:type="spellStart"/>
      <w:r w:rsidR="002A1905" w:rsidRPr="006D6B68">
        <w:rPr>
          <w:rFonts w:asciiTheme="minorHAnsi" w:eastAsiaTheme="minorHAnsi" w:hAnsiTheme="minorHAnsi" w:cstheme="minorHAnsi"/>
        </w:rPr>
        <w:t>orez</w:t>
      </w:r>
      <w:proofErr w:type="spellEnd"/>
      <w:r w:rsidR="002A1905" w:rsidRPr="006D6B68">
        <w:rPr>
          <w:rFonts w:asciiTheme="minorHAnsi" w:eastAsiaTheme="minorHAnsi" w:hAnsiTheme="minorHAnsi" w:cstheme="minorHAnsi"/>
        </w:rPr>
        <w:t xml:space="preserve"> stromov, nákup hmotného majetku  </w:t>
      </w:r>
      <w:r w:rsidR="002A1905">
        <w:rPr>
          <w:rFonts w:asciiTheme="minorHAnsi" w:eastAsiaTheme="minorHAnsi" w:hAnsiTheme="minorHAnsi" w:cstheme="minorHAnsi"/>
        </w:rPr>
        <w:t>(</w:t>
      </w:r>
      <w:r w:rsidR="002A1905" w:rsidRPr="006D6B68">
        <w:rPr>
          <w:rFonts w:asciiTheme="minorHAnsi" w:eastAsiaTheme="minorHAnsi" w:hAnsiTheme="minorHAnsi" w:cstheme="minorHAnsi"/>
        </w:rPr>
        <w:t>vybavenie školských jedální a</w:t>
      </w:r>
      <w:r w:rsidR="002A1905">
        <w:rPr>
          <w:rFonts w:asciiTheme="minorHAnsi" w:eastAsiaTheme="minorHAnsi" w:hAnsiTheme="minorHAnsi" w:cstheme="minorHAnsi"/>
        </w:rPr>
        <w:t> </w:t>
      </w:r>
      <w:r w:rsidR="002A1905" w:rsidRPr="006D6B68">
        <w:rPr>
          <w:rFonts w:asciiTheme="minorHAnsi" w:eastAsiaTheme="minorHAnsi" w:hAnsiTheme="minorHAnsi" w:cstheme="minorHAnsi"/>
        </w:rPr>
        <w:t>kuchýň</w:t>
      </w:r>
      <w:r w:rsidR="002A1905">
        <w:rPr>
          <w:rFonts w:asciiTheme="minorHAnsi" w:eastAsiaTheme="minorHAnsi" w:hAnsiTheme="minorHAnsi" w:cstheme="minorHAnsi"/>
        </w:rPr>
        <w:t>)</w:t>
      </w:r>
      <w:r w:rsidR="002A1905" w:rsidRPr="006D6B68">
        <w:rPr>
          <w:rFonts w:asciiTheme="minorHAnsi" w:eastAsiaTheme="minorHAnsi" w:hAnsiTheme="minorHAnsi" w:cstheme="minorHAnsi"/>
        </w:rPr>
        <w:t xml:space="preserve"> a výchovno-vzdelávacích pomôcok. Taktiež boli výdavky použité na odbornú pomoc, činnosť a poradenstvo pri zabezpečovaní stavebných prác, opráv a údržby budov v zriaďovateľskej pôsobnosti BSK</w:t>
      </w:r>
      <w:r w:rsidR="002A1905">
        <w:rPr>
          <w:rFonts w:asciiTheme="minorHAnsi" w:eastAsiaTheme="minorHAnsi" w:hAnsiTheme="minorHAnsi" w:cstheme="minorHAnsi"/>
        </w:rPr>
        <w:t>,</w:t>
      </w:r>
      <w:r w:rsidR="002A1905" w:rsidRPr="006D6B68">
        <w:rPr>
          <w:rFonts w:asciiTheme="minorHAnsi" w:eastAsiaTheme="minorHAnsi" w:hAnsiTheme="minorHAnsi" w:cstheme="minorHAnsi"/>
        </w:rPr>
        <w:t xml:space="preserve"> a aj poradenské a expertízne činnosti v oblasti investičnej výstavby, výkon činnosti stavebného dozoru, zabezpečenie procesu  verejného obstarávania.</w:t>
      </w:r>
      <w:r w:rsidR="002A1905">
        <w:rPr>
          <w:rFonts w:asciiTheme="minorHAnsi" w:hAnsiTheme="minorHAnsi" w:cstheme="minorHAnsi"/>
          <w:b/>
          <w:bCs/>
        </w:rPr>
        <w:t xml:space="preserve"> </w:t>
      </w:r>
      <w:r w:rsidR="002A1905" w:rsidRPr="006D6B68">
        <w:rPr>
          <w:rFonts w:asciiTheme="minorHAnsi" w:eastAsiaTheme="minorHAnsi" w:hAnsiTheme="minorHAnsi" w:cstheme="minorHAnsi"/>
        </w:rPr>
        <w:t xml:space="preserve">Kapitálové výdavky boli použité najmä na projektové dokumentácie </w:t>
      </w:r>
      <w:r w:rsidR="00023CDE">
        <w:rPr>
          <w:rFonts w:asciiTheme="minorHAnsi" w:eastAsiaTheme="minorHAnsi" w:hAnsiTheme="minorHAnsi" w:cstheme="minorHAnsi"/>
        </w:rPr>
        <w:br/>
      </w:r>
      <w:r w:rsidR="002A1905" w:rsidRPr="006D6B68">
        <w:rPr>
          <w:rFonts w:asciiTheme="minorHAnsi" w:eastAsiaTheme="minorHAnsi" w:hAnsiTheme="minorHAnsi" w:cstheme="minorHAnsi"/>
        </w:rPr>
        <w:t>k rekonštrukciám, modernizácie a technické zhodnotenie majetku BSK.</w:t>
      </w:r>
      <w:r w:rsidR="002A1905" w:rsidRPr="006D6B68">
        <w:rPr>
          <w:rFonts w:asciiTheme="minorHAnsi" w:eastAsiaTheme="minorHAnsi" w:hAnsiTheme="minorHAnsi" w:cstheme="minorHAnsi"/>
          <w:color w:val="FF0000"/>
        </w:rPr>
        <w:t xml:space="preserve"> </w:t>
      </w:r>
    </w:p>
    <w:p w14:paraId="7D63B7E0" w14:textId="77777777" w:rsidR="002A1905" w:rsidRDefault="002A1905" w:rsidP="002A1905">
      <w:pPr>
        <w:spacing w:after="0" w:line="240" w:lineRule="auto"/>
        <w:jc w:val="both"/>
        <w:rPr>
          <w:rFonts w:asciiTheme="minorHAnsi" w:eastAsiaTheme="minorHAnsi" w:hAnsiTheme="minorHAnsi" w:cstheme="minorHAnsi"/>
        </w:rPr>
      </w:pPr>
    </w:p>
    <w:p w14:paraId="42C427EF" w14:textId="64AA8957" w:rsidR="002A1905" w:rsidRDefault="002A1905" w:rsidP="002A1905">
      <w:pPr>
        <w:spacing w:after="0" w:line="240" w:lineRule="auto"/>
        <w:jc w:val="both"/>
        <w:rPr>
          <w:rFonts w:asciiTheme="minorHAnsi" w:eastAsiaTheme="minorHAnsi" w:hAnsiTheme="minorHAnsi" w:cstheme="minorHAnsi"/>
        </w:rPr>
      </w:pPr>
      <w:r w:rsidRPr="006D6B68">
        <w:rPr>
          <w:rFonts w:asciiTheme="minorHAnsi" w:eastAsiaTheme="minorHAnsi" w:hAnsiTheme="minorHAnsi" w:cstheme="minorHAnsi"/>
        </w:rPr>
        <w:t>Zrealizovali sa</w:t>
      </w:r>
      <w:r>
        <w:rPr>
          <w:rFonts w:asciiTheme="minorHAnsi" w:eastAsiaTheme="minorHAnsi" w:hAnsiTheme="minorHAnsi" w:cstheme="minorHAnsi"/>
        </w:rPr>
        <w:t>,</w:t>
      </w:r>
      <w:r w:rsidRPr="006D6B68">
        <w:rPr>
          <w:rFonts w:asciiTheme="minorHAnsi" w:eastAsiaTheme="minorHAnsi" w:hAnsiTheme="minorHAnsi" w:cstheme="minorHAnsi"/>
        </w:rPr>
        <w:t xml:space="preserve"> alebo boli vykonané čiastočne napr.</w:t>
      </w:r>
      <w:r>
        <w:rPr>
          <w:rFonts w:asciiTheme="minorHAnsi" w:eastAsiaTheme="minorHAnsi" w:hAnsiTheme="minorHAnsi" w:cstheme="minorHAnsi"/>
        </w:rPr>
        <w:t>:</w:t>
      </w:r>
    </w:p>
    <w:p w14:paraId="7A3CD297" w14:textId="77777777" w:rsidR="002A1905" w:rsidRDefault="002A1905" w:rsidP="002A1905">
      <w:pPr>
        <w:pStyle w:val="Odsekzoznamu"/>
        <w:numPr>
          <w:ilvl w:val="0"/>
          <w:numId w:val="12"/>
        </w:numPr>
        <w:spacing w:after="0" w:line="240" w:lineRule="auto"/>
        <w:jc w:val="both"/>
        <w:rPr>
          <w:rFonts w:asciiTheme="minorHAnsi" w:eastAsiaTheme="minorHAnsi" w:hAnsiTheme="minorHAnsi" w:cstheme="minorHAnsi"/>
        </w:rPr>
      </w:pPr>
      <w:r w:rsidRPr="006D6B68">
        <w:rPr>
          <w:rFonts w:asciiTheme="minorHAnsi" w:eastAsiaTheme="minorHAnsi" w:hAnsiTheme="minorHAnsi" w:cstheme="minorHAnsi"/>
        </w:rPr>
        <w:t xml:space="preserve">Stavebné práce / rekonštrukcia Synagógy v Senci a novostavba </w:t>
      </w:r>
      <w:proofErr w:type="spellStart"/>
      <w:r w:rsidRPr="006D6B68">
        <w:rPr>
          <w:rFonts w:asciiTheme="minorHAnsi" w:eastAsiaTheme="minorHAnsi" w:hAnsiTheme="minorHAnsi" w:cstheme="minorHAnsi"/>
        </w:rPr>
        <w:t>infopavilónu</w:t>
      </w:r>
      <w:proofErr w:type="spellEnd"/>
      <w:r w:rsidRPr="006D6B68">
        <w:rPr>
          <w:rFonts w:asciiTheme="minorHAnsi" w:eastAsiaTheme="minorHAnsi" w:hAnsiTheme="minorHAnsi" w:cstheme="minorHAnsi"/>
        </w:rPr>
        <w:t xml:space="preserve">, </w:t>
      </w:r>
    </w:p>
    <w:p w14:paraId="0A67E8BD" w14:textId="77777777" w:rsidR="002A1905" w:rsidRDefault="002A1905" w:rsidP="002A1905">
      <w:pPr>
        <w:pStyle w:val="Odsekzoznamu"/>
        <w:numPr>
          <w:ilvl w:val="0"/>
          <w:numId w:val="12"/>
        </w:numPr>
        <w:spacing w:after="0" w:line="240" w:lineRule="auto"/>
        <w:jc w:val="both"/>
        <w:rPr>
          <w:rFonts w:asciiTheme="minorHAnsi" w:eastAsiaTheme="minorHAnsi" w:hAnsiTheme="minorHAnsi" w:cstheme="minorHAnsi"/>
        </w:rPr>
      </w:pPr>
      <w:r>
        <w:rPr>
          <w:rFonts w:asciiTheme="minorHAnsi" w:eastAsiaTheme="minorHAnsi" w:hAnsiTheme="minorHAnsi" w:cstheme="minorHAnsi"/>
        </w:rPr>
        <w:t xml:space="preserve">Stavebné práce / modernizácia okien v zmysle požiadaviek KPÚ-BA / SPŠ strojnícka, </w:t>
      </w:r>
      <w:proofErr w:type="spellStart"/>
      <w:r>
        <w:rPr>
          <w:rFonts w:asciiTheme="minorHAnsi" w:eastAsiaTheme="minorHAnsi" w:hAnsiTheme="minorHAnsi" w:cstheme="minorHAnsi"/>
        </w:rPr>
        <w:t>Fajnorovo</w:t>
      </w:r>
      <w:proofErr w:type="spellEnd"/>
      <w:r>
        <w:rPr>
          <w:rFonts w:asciiTheme="minorHAnsi" w:eastAsiaTheme="minorHAnsi" w:hAnsiTheme="minorHAnsi" w:cstheme="minorHAnsi"/>
        </w:rPr>
        <w:t xml:space="preserve"> nábrežie,</w:t>
      </w:r>
    </w:p>
    <w:p w14:paraId="4F585421" w14:textId="77777777" w:rsidR="002A1905" w:rsidRDefault="002A1905" w:rsidP="002A1905">
      <w:pPr>
        <w:pStyle w:val="Odsekzoznamu"/>
        <w:numPr>
          <w:ilvl w:val="0"/>
          <w:numId w:val="12"/>
        </w:numPr>
        <w:spacing w:after="0" w:line="240" w:lineRule="auto"/>
        <w:jc w:val="both"/>
        <w:rPr>
          <w:rFonts w:asciiTheme="minorHAnsi" w:eastAsiaTheme="minorHAnsi" w:hAnsiTheme="minorHAnsi" w:cstheme="minorHAnsi"/>
        </w:rPr>
      </w:pPr>
      <w:r>
        <w:rPr>
          <w:rFonts w:asciiTheme="minorHAnsi" w:eastAsiaTheme="minorHAnsi" w:hAnsiTheme="minorHAnsi" w:cstheme="minorHAnsi"/>
        </w:rPr>
        <w:t>Stavebné práce / modernizácia okien v zmysle požiadaviek KPÚ-BA / SPŠE, Zochova,</w:t>
      </w:r>
    </w:p>
    <w:p w14:paraId="0AA05C0B" w14:textId="77777777" w:rsidR="002A1905" w:rsidRDefault="002A1905" w:rsidP="002A1905">
      <w:pPr>
        <w:pStyle w:val="Odsekzoznamu"/>
        <w:numPr>
          <w:ilvl w:val="0"/>
          <w:numId w:val="12"/>
        </w:numPr>
        <w:spacing w:after="0" w:line="240" w:lineRule="auto"/>
        <w:jc w:val="both"/>
        <w:rPr>
          <w:rFonts w:asciiTheme="minorHAnsi" w:eastAsiaTheme="minorHAnsi" w:hAnsiTheme="minorHAnsi" w:cstheme="minorHAnsi"/>
        </w:rPr>
      </w:pPr>
      <w:r>
        <w:rPr>
          <w:rFonts w:asciiTheme="minorHAnsi" w:eastAsiaTheme="minorHAnsi" w:hAnsiTheme="minorHAnsi" w:cstheme="minorHAnsi"/>
        </w:rPr>
        <w:t>Stavebné práce / rekonštrukcia sociálnych zariadení / Poliklinika Karlova Ves,</w:t>
      </w:r>
    </w:p>
    <w:p w14:paraId="44F7D49B" w14:textId="77777777" w:rsidR="002A1905" w:rsidRDefault="002A1905" w:rsidP="002A1905">
      <w:pPr>
        <w:pStyle w:val="Odsekzoznamu"/>
        <w:numPr>
          <w:ilvl w:val="0"/>
          <w:numId w:val="12"/>
        </w:numPr>
        <w:spacing w:after="0" w:line="240" w:lineRule="auto"/>
        <w:jc w:val="both"/>
        <w:rPr>
          <w:rFonts w:asciiTheme="minorHAnsi" w:eastAsiaTheme="minorHAnsi" w:hAnsiTheme="minorHAnsi" w:cstheme="minorHAnsi"/>
        </w:rPr>
      </w:pPr>
      <w:r>
        <w:rPr>
          <w:rFonts w:asciiTheme="minorHAnsi" w:eastAsiaTheme="minorHAnsi" w:hAnsiTheme="minorHAnsi" w:cstheme="minorHAnsi"/>
        </w:rPr>
        <w:t>S</w:t>
      </w:r>
      <w:r w:rsidRPr="002D3BB2">
        <w:rPr>
          <w:rFonts w:asciiTheme="minorHAnsi" w:eastAsiaTheme="minorHAnsi" w:hAnsiTheme="minorHAnsi" w:cstheme="minorHAnsi"/>
        </w:rPr>
        <w:t>tavebné práce / rekonštrukcia časti podkrovia v dvornej časti a prístavba schodiska a výťahu - k NKP / Dom meštiansky</w:t>
      </w:r>
      <w:r>
        <w:rPr>
          <w:rFonts w:asciiTheme="minorHAnsi" w:eastAsiaTheme="minorHAnsi" w:hAnsiTheme="minorHAnsi" w:cstheme="minorHAnsi"/>
        </w:rPr>
        <w:t xml:space="preserve"> / Malokarpatské múzeum v Pezinku,</w:t>
      </w:r>
    </w:p>
    <w:p w14:paraId="72A42A81" w14:textId="77777777" w:rsidR="002A1905" w:rsidRDefault="002A1905" w:rsidP="002A1905">
      <w:pPr>
        <w:pStyle w:val="Odsekzoznamu"/>
        <w:numPr>
          <w:ilvl w:val="0"/>
          <w:numId w:val="12"/>
        </w:numPr>
        <w:spacing w:after="0" w:line="240" w:lineRule="auto"/>
        <w:jc w:val="both"/>
        <w:rPr>
          <w:rFonts w:asciiTheme="minorHAnsi" w:eastAsiaTheme="minorHAnsi" w:hAnsiTheme="minorHAnsi" w:cstheme="minorHAnsi"/>
        </w:rPr>
      </w:pPr>
      <w:r>
        <w:rPr>
          <w:rFonts w:asciiTheme="minorHAnsi" w:eastAsiaTheme="minorHAnsi" w:hAnsiTheme="minorHAnsi" w:cstheme="minorHAnsi"/>
        </w:rPr>
        <w:t>S</w:t>
      </w:r>
      <w:r w:rsidRPr="002D3BB2">
        <w:rPr>
          <w:rFonts w:asciiTheme="minorHAnsi" w:eastAsiaTheme="minorHAnsi" w:hAnsiTheme="minorHAnsi" w:cstheme="minorHAnsi"/>
        </w:rPr>
        <w:t>tavebné práce / rekonštrukcia a modernizácia vonkajšieho športového areálu</w:t>
      </w:r>
      <w:r>
        <w:rPr>
          <w:rFonts w:asciiTheme="minorHAnsi" w:eastAsiaTheme="minorHAnsi" w:hAnsiTheme="minorHAnsi" w:cstheme="minorHAnsi"/>
        </w:rPr>
        <w:t xml:space="preserve"> / SPŠE K. Adlera,</w:t>
      </w:r>
    </w:p>
    <w:p w14:paraId="1EFF7BCB" w14:textId="77777777" w:rsidR="002A1905" w:rsidRPr="002D3BB2" w:rsidRDefault="002A1905" w:rsidP="002A1905">
      <w:pPr>
        <w:pStyle w:val="Odsekzoznamu"/>
        <w:numPr>
          <w:ilvl w:val="0"/>
          <w:numId w:val="12"/>
        </w:numPr>
        <w:spacing w:after="0" w:line="240" w:lineRule="auto"/>
        <w:jc w:val="both"/>
        <w:rPr>
          <w:rFonts w:asciiTheme="minorHAnsi" w:eastAsiaTheme="minorHAnsi" w:hAnsiTheme="minorHAnsi" w:cstheme="minorHAnsi"/>
        </w:rPr>
      </w:pPr>
      <w:r w:rsidRPr="002D3BB2">
        <w:rPr>
          <w:rFonts w:asciiTheme="minorHAnsi" w:eastAsiaTheme="minorHAnsi" w:hAnsiTheme="minorHAnsi" w:cstheme="minorHAnsi"/>
        </w:rPr>
        <w:t>stavebné práce / výstavba nového evakuačného výťahu / DSS Báhoň</w:t>
      </w:r>
      <w:r>
        <w:rPr>
          <w:rFonts w:asciiTheme="minorHAnsi" w:eastAsiaTheme="minorHAnsi" w:hAnsiTheme="minorHAnsi" w:cstheme="minorHAnsi"/>
        </w:rPr>
        <w:t>,</w:t>
      </w:r>
      <w:r w:rsidRPr="002D3BB2">
        <w:rPr>
          <w:rFonts w:asciiTheme="minorHAnsi" w:eastAsiaTheme="minorHAnsi" w:hAnsiTheme="minorHAnsi" w:cstheme="minorHAnsi"/>
        </w:rPr>
        <w:t xml:space="preserve"> a iné.</w:t>
      </w:r>
    </w:p>
    <w:p w14:paraId="00272DDD" w14:textId="77777777" w:rsidR="002A1905" w:rsidRDefault="002A1905" w:rsidP="002A1905">
      <w:pPr>
        <w:spacing w:after="0" w:line="240" w:lineRule="auto"/>
        <w:jc w:val="both"/>
        <w:rPr>
          <w:rFonts w:asciiTheme="minorHAnsi" w:eastAsiaTheme="minorHAnsi" w:hAnsiTheme="minorHAnsi" w:cstheme="minorHAnsi"/>
        </w:rPr>
      </w:pPr>
    </w:p>
    <w:p w14:paraId="1D9D05E5" w14:textId="75921471" w:rsidR="002A1905" w:rsidRDefault="002A1905" w:rsidP="002A1905">
      <w:pPr>
        <w:spacing w:after="0" w:line="240" w:lineRule="auto"/>
        <w:jc w:val="both"/>
        <w:rPr>
          <w:rFonts w:asciiTheme="minorHAnsi" w:eastAsiaTheme="minorHAnsi" w:hAnsiTheme="minorHAnsi" w:cstheme="minorHAnsi"/>
        </w:rPr>
      </w:pPr>
      <w:r w:rsidRPr="00011705">
        <w:rPr>
          <w:rFonts w:asciiTheme="minorHAnsi" w:eastAsiaTheme="minorHAnsi" w:hAnsiTheme="minorHAnsi" w:cstheme="minorHAnsi"/>
        </w:rPr>
        <w:t xml:space="preserve">V zmysle Uznesení č. 254/2020 zo dňa 29.05.2020 </w:t>
      </w:r>
      <w:r w:rsidRPr="002D3BB2">
        <w:rPr>
          <w:rFonts w:asciiTheme="minorHAnsi" w:eastAsiaTheme="minorHAnsi" w:hAnsiTheme="minorHAnsi" w:cstheme="minorHAnsi"/>
        </w:rPr>
        <w:t xml:space="preserve">sa </w:t>
      </w:r>
      <w:r w:rsidRPr="00011705">
        <w:rPr>
          <w:rFonts w:asciiTheme="minorHAnsi" w:eastAsiaTheme="minorHAnsi" w:hAnsiTheme="minorHAnsi" w:cstheme="minorHAnsi"/>
        </w:rPr>
        <w:t xml:space="preserve">kúpil rodinný dom v k. ú. Modra v súvislosti s projektom "Podpora </w:t>
      </w:r>
      <w:proofErr w:type="spellStart"/>
      <w:r w:rsidRPr="00011705">
        <w:rPr>
          <w:rFonts w:asciiTheme="minorHAnsi" w:eastAsiaTheme="minorHAnsi" w:hAnsiTheme="minorHAnsi" w:cstheme="minorHAnsi"/>
        </w:rPr>
        <w:t>deinštitucionalizácie</w:t>
      </w:r>
      <w:proofErr w:type="spellEnd"/>
      <w:r w:rsidRPr="00011705">
        <w:rPr>
          <w:rFonts w:asciiTheme="minorHAnsi" w:eastAsiaTheme="minorHAnsi" w:hAnsiTheme="minorHAnsi" w:cstheme="minorHAnsi"/>
        </w:rPr>
        <w:t xml:space="preserve"> sociálnych služieb v okrese Pezinok - DSS a ZPB MEREMA".  </w:t>
      </w:r>
    </w:p>
    <w:p w14:paraId="6426DFA7" w14:textId="77777777" w:rsidR="002A1905" w:rsidRDefault="002A1905" w:rsidP="002A1905">
      <w:pPr>
        <w:spacing w:after="0" w:line="240" w:lineRule="auto"/>
        <w:jc w:val="both"/>
        <w:rPr>
          <w:rFonts w:asciiTheme="minorHAnsi" w:eastAsiaTheme="minorHAnsi" w:hAnsiTheme="minorHAnsi" w:cstheme="minorHAnsi"/>
        </w:rPr>
      </w:pPr>
    </w:p>
    <w:p w14:paraId="5E009077" w14:textId="00649BEE" w:rsidR="002A1905" w:rsidRPr="006D6B68" w:rsidRDefault="002A1905" w:rsidP="002A1905">
      <w:pPr>
        <w:spacing w:after="0" w:line="240" w:lineRule="auto"/>
        <w:jc w:val="both"/>
        <w:rPr>
          <w:rFonts w:asciiTheme="minorHAnsi" w:eastAsiaTheme="minorHAnsi" w:hAnsiTheme="minorHAnsi" w:cstheme="minorHAnsi"/>
        </w:rPr>
      </w:pPr>
      <w:r w:rsidRPr="006D6B68">
        <w:rPr>
          <w:rFonts w:asciiTheme="minorHAnsi" w:eastAsiaTheme="minorHAnsi" w:hAnsiTheme="minorHAnsi" w:cstheme="minorHAnsi"/>
        </w:rPr>
        <w:lastRenderedPageBreak/>
        <w:t>Všetky bežné aj kapitálové výdavky sú uvedené v podrobnom prehľade čerpania podprogramu 3.3.</w:t>
      </w:r>
      <w:r w:rsidR="00023CDE">
        <w:rPr>
          <w:rFonts w:asciiTheme="minorHAnsi" w:eastAsiaTheme="minorHAnsi" w:hAnsiTheme="minorHAnsi" w:cstheme="minorHAnsi"/>
        </w:rPr>
        <w:t>.</w:t>
      </w:r>
      <w:r>
        <w:rPr>
          <w:rFonts w:asciiTheme="minorHAnsi" w:eastAsiaTheme="minorHAnsi" w:hAnsiTheme="minorHAnsi" w:cstheme="minorHAnsi"/>
        </w:rPr>
        <w:t xml:space="preserve"> </w:t>
      </w:r>
      <w:r w:rsidRPr="006D6B68">
        <w:rPr>
          <w:rFonts w:asciiTheme="minorHAnsi" w:eastAsiaTheme="minorHAnsi" w:hAnsiTheme="minorHAnsi" w:cstheme="minorHAnsi"/>
        </w:rPr>
        <w:t>Investičný plán na opravy, rekonštrukcie, modernizáciu a vybavenie hnuteľným majetkom bol v priebehu roka 20</w:t>
      </w:r>
      <w:r>
        <w:rPr>
          <w:rFonts w:asciiTheme="minorHAnsi" w:eastAsiaTheme="minorHAnsi" w:hAnsiTheme="minorHAnsi" w:cstheme="minorHAnsi"/>
        </w:rPr>
        <w:t>20</w:t>
      </w:r>
      <w:r w:rsidRPr="006D6B68">
        <w:rPr>
          <w:rFonts w:asciiTheme="minorHAnsi" w:eastAsiaTheme="minorHAnsi" w:hAnsiTheme="minorHAnsi" w:cstheme="minorHAnsi"/>
        </w:rPr>
        <w:t xml:space="preserve"> upravovaný v nadväznosti na potrebu realizovať nevyhnutnú neplánovanú údržbu a opravy.</w:t>
      </w:r>
    </w:p>
    <w:p w14:paraId="07B37A8D" w14:textId="29DDA388" w:rsidR="002A1905" w:rsidRDefault="002A1905" w:rsidP="00C55A20">
      <w:pPr>
        <w:pStyle w:val="Normlnywebov"/>
        <w:rPr>
          <w:rFonts w:asciiTheme="minorHAnsi" w:hAnsiTheme="minorHAnsi" w:cstheme="minorHAnsi"/>
          <w:b/>
          <w:bCs/>
          <w:sz w:val="22"/>
          <w:szCs w:val="22"/>
        </w:rPr>
      </w:pPr>
    </w:p>
    <w:p w14:paraId="719FED1F" w14:textId="77777777" w:rsidR="002A1905" w:rsidRPr="00E2082D" w:rsidRDefault="002A1905" w:rsidP="002A1905">
      <w:pPr>
        <w:pStyle w:val="Nadpis4"/>
        <w:rPr>
          <w:rFonts w:asciiTheme="minorHAnsi" w:hAnsiTheme="minorHAnsi" w:cstheme="minorHAnsi"/>
          <w:b w:val="0"/>
          <w:bCs w:val="0"/>
          <w:i/>
          <w:iCs/>
          <w:color w:val="244061"/>
        </w:rPr>
      </w:pPr>
      <w:r w:rsidRPr="00E2082D">
        <w:rPr>
          <w:rFonts w:asciiTheme="minorHAnsi" w:hAnsiTheme="minorHAnsi" w:cstheme="minorHAnsi"/>
          <w:color w:val="244061"/>
        </w:rPr>
        <w:t>Prvok 3.3.1: Bežné opravy a údržba</w:t>
      </w:r>
    </w:p>
    <w:tbl>
      <w:tblPr>
        <w:tblW w:w="5039" w:type="pct"/>
        <w:tblCellSpacing w:w="15" w:type="dxa"/>
        <w:tblCellMar>
          <w:top w:w="15" w:type="dxa"/>
          <w:left w:w="15" w:type="dxa"/>
          <w:bottom w:w="15" w:type="dxa"/>
          <w:right w:w="15" w:type="dxa"/>
        </w:tblCellMar>
        <w:tblLook w:val="04A0" w:firstRow="1" w:lastRow="0" w:firstColumn="1" w:lastColumn="0" w:noHBand="0" w:noVBand="1"/>
      </w:tblPr>
      <w:tblGrid>
        <w:gridCol w:w="835"/>
        <w:gridCol w:w="2023"/>
        <w:gridCol w:w="1448"/>
        <w:gridCol w:w="1173"/>
        <w:gridCol w:w="1153"/>
        <w:gridCol w:w="957"/>
        <w:gridCol w:w="2959"/>
      </w:tblGrid>
      <w:tr w:rsidR="00B16B6D" w:rsidRPr="00E2082D" w14:paraId="7C63DF63" w14:textId="77777777" w:rsidTr="00B16B6D">
        <w:trPr>
          <w:trHeight w:hRule="exact" w:val="1241"/>
          <w:tblCellSpacing w:w="15" w:type="dxa"/>
        </w:trPr>
        <w:tc>
          <w:tcPr>
            <w:tcW w:w="0" w:type="auto"/>
            <w:shd w:val="clear" w:color="auto" w:fill="C6DBF7"/>
            <w:vAlign w:val="center"/>
            <w:hideMark/>
          </w:tcPr>
          <w:p w14:paraId="1F58AAC3"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Kód EK</w:t>
            </w:r>
          </w:p>
        </w:tc>
        <w:tc>
          <w:tcPr>
            <w:tcW w:w="945" w:type="pct"/>
            <w:shd w:val="clear" w:color="auto" w:fill="C6DBF7"/>
            <w:vAlign w:val="center"/>
            <w:hideMark/>
          </w:tcPr>
          <w:p w14:paraId="279BAEEB"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Ekonomická klasifikácia</w:t>
            </w:r>
          </w:p>
        </w:tc>
        <w:tc>
          <w:tcPr>
            <w:tcW w:w="0" w:type="auto"/>
            <w:shd w:val="clear" w:color="auto" w:fill="C6DBF7"/>
            <w:vAlign w:val="center"/>
            <w:hideMark/>
          </w:tcPr>
          <w:p w14:paraId="1A922A11"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Schválený</w:t>
            </w:r>
            <w:r w:rsidRPr="00E2082D">
              <w:rPr>
                <w:rFonts w:asciiTheme="minorHAnsi" w:hAnsiTheme="minorHAnsi" w:cstheme="minorHAnsi"/>
                <w:b/>
                <w:bCs/>
                <w:sz w:val="20"/>
                <w:szCs w:val="20"/>
              </w:rPr>
              <w:br/>
              <w:t>rozpočet</w:t>
            </w:r>
            <w:r w:rsidRPr="00E2082D">
              <w:rPr>
                <w:rFonts w:asciiTheme="minorHAnsi" w:hAnsiTheme="minorHAnsi" w:cstheme="minorHAnsi"/>
                <w:b/>
                <w:bCs/>
                <w:sz w:val="20"/>
                <w:szCs w:val="20"/>
              </w:rPr>
              <w:br/>
              <w:t>v EUR</w:t>
            </w:r>
          </w:p>
        </w:tc>
        <w:tc>
          <w:tcPr>
            <w:tcW w:w="558" w:type="pct"/>
            <w:shd w:val="clear" w:color="auto" w:fill="C6DBF7"/>
            <w:vAlign w:val="center"/>
            <w:hideMark/>
          </w:tcPr>
          <w:p w14:paraId="74648698"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Zmenený</w:t>
            </w:r>
            <w:r w:rsidRPr="00E2082D">
              <w:rPr>
                <w:rFonts w:asciiTheme="minorHAnsi" w:hAnsiTheme="minorHAnsi" w:cstheme="minorHAnsi"/>
                <w:b/>
                <w:bCs/>
                <w:sz w:val="20"/>
                <w:szCs w:val="20"/>
              </w:rPr>
              <w:br/>
              <w:t>rozpočet</w:t>
            </w:r>
            <w:r w:rsidRPr="00E2082D">
              <w:rPr>
                <w:rFonts w:asciiTheme="minorHAnsi" w:hAnsiTheme="minorHAnsi" w:cstheme="minorHAnsi"/>
                <w:b/>
                <w:bCs/>
                <w:sz w:val="20"/>
                <w:szCs w:val="20"/>
              </w:rPr>
              <w:br/>
              <w:t>v EUR</w:t>
            </w:r>
          </w:p>
        </w:tc>
        <w:tc>
          <w:tcPr>
            <w:tcW w:w="548" w:type="pct"/>
            <w:shd w:val="clear" w:color="auto" w:fill="C6DBF7"/>
            <w:vAlign w:val="center"/>
            <w:hideMark/>
          </w:tcPr>
          <w:p w14:paraId="4F8C6CCE"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Čerpanie</w:t>
            </w:r>
            <w:r w:rsidRPr="00E2082D">
              <w:rPr>
                <w:rFonts w:asciiTheme="minorHAnsi" w:hAnsiTheme="minorHAnsi" w:cstheme="minorHAnsi"/>
                <w:b/>
                <w:bCs/>
                <w:sz w:val="20"/>
                <w:szCs w:val="20"/>
              </w:rPr>
              <w:br/>
              <w:t>v EUR</w:t>
            </w:r>
          </w:p>
        </w:tc>
        <w:tc>
          <w:tcPr>
            <w:tcW w:w="453" w:type="pct"/>
            <w:shd w:val="clear" w:color="auto" w:fill="C6DBF7"/>
            <w:vAlign w:val="center"/>
            <w:hideMark/>
          </w:tcPr>
          <w:p w14:paraId="5936F0C7"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Čerpanie</w:t>
            </w:r>
            <w:r w:rsidRPr="00E2082D">
              <w:rPr>
                <w:rFonts w:asciiTheme="minorHAnsi" w:hAnsiTheme="minorHAnsi" w:cstheme="minorHAnsi"/>
                <w:b/>
                <w:bCs/>
                <w:sz w:val="20"/>
                <w:szCs w:val="20"/>
              </w:rPr>
              <w:br/>
              <w:t xml:space="preserve">k </w:t>
            </w:r>
            <w:proofErr w:type="spellStart"/>
            <w:r w:rsidRPr="00E2082D">
              <w:rPr>
                <w:rFonts w:asciiTheme="minorHAnsi" w:hAnsiTheme="minorHAnsi" w:cstheme="minorHAnsi"/>
                <w:b/>
                <w:bCs/>
                <w:sz w:val="20"/>
                <w:szCs w:val="20"/>
              </w:rPr>
              <w:t>zmen</w:t>
            </w:r>
            <w:proofErr w:type="spellEnd"/>
            <w:r w:rsidRPr="00E2082D">
              <w:rPr>
                <w:rFonts w:asciiTheme="minorHAnsi" w:hAnsiTheme="minorHAnsi" w:cstheme="minorHAnsi"/>
                <w:b/>
                <w:bCs/>
                <w:sz w:val="20"/>
                <w:szCs w:val="20"/>
              </w:rPr>
              <w:t xml:space="preserve">. </w:t>
            </w:r>
            <w:proofErr w:type="spellStart"/>
            <w:r w:rsidRPr="00E2082D">
              <w:rPr>
                <w:rFonts w:asciiTheme="minorHAnsi" w:hAnsiTheme="minorHAnsi" w:cstheme="minorHAnsi"/>
                <w:b/>
                <w:bCs/>
                <w:sz w:val="20"/>
                <w:szCs w:val="20"/>
              </w:rPr>
              <w:t>rozp</w:t>
            </w:r>
            <w:proofErr w:type="spellEnd"/>
            <w:r w:rsidRPr="00E2082D">
              <w:rPr>
                <w:rFonts w:asciiTheme="minorHAnsi" w:hAnsiTheme="minorHAnsi" w:cstheme="minorHAnsi"/>
                <w:b/>
                <w:bCs/>
                <w:sz w:val="20"/>
                <w:szCs w:val="20"/>
              </w:rPr>
              <w:t>.</w:t>
            </w:r>
            <w:r w:rsidRPr="00E2082D">
              <w:rPr>
                <w:rFonts w:asciiTheme="minorHAnsi" w:hAnsiTheme="minorHAnsi" w:cstheme="minorHAnsi"/>
                <w:b/>
                <w:bCs/>
                <w:sz w:val="20"/>
                <w:szCs w:val="20"/>
              </w:rPr>
              <w:br/>
              <w:t>v %</w:t>
            </w:r>
          </w:p>
        </w:tc>
        <w:tc>
          <w:tcPr>
            <w:tcW w:w="1417" w:type="pct"/>
            <w:shd w:val="clear" w:color="auto" w:fill="C6DBF7"/>
            <w:vAlign w:val="center"/>
            <w:hideMark/>
          </w:tcPr>
          <w:p w14:paraId="2BBFE93F"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Zmeny rozpočtu</w:t>
            </w:r>
          </w:p>
        </w:tc>
      </w:tr>
      <w:tr w:rsidR="00B16B6D" w:rsidRPr="00E2082D" w14:paraId="764B51A0" w14:textId="77777777" w:rsidTr="000050A2">
        <w:trPr>
          <w:trHeight w:hRule="exact" w:val="284"/>
          <w:tblCellSpacing w:w="15" w:type="dxa"/>
        </w:trPr>
        <w:tc>
          <w:tcPr>
            <w:tcW w:w="0" w:type="auto"/>
            <w:shd w:val="clear" w:color="auto" w:fill="D9D9D9"/>
            <w:noWrap/>
            <w:vAlign w:val="center"/>
            <w:hideMark/>
          </w:tcPr>
          <w:p w14:paraId="1E7DE070" w14:textId="77777777" w:rsidR="002A1905" w:rsidRPr="00E2082D" w:rsidRDefault="002A1905" w:rsidP="002A1905">
            <w:pPr>
              <w:jc w:val="center"/>
              <w:rPr>
                <w:rFonts w:asciiTheme="minorHAnsi" w:hAnsiTheme="minorHAnsi" w:cstheme="minorHAnsi"/>
              </w:rPr>
            </w:pPr>
          </w:p>
        </w:tc>
        <w:tc>
          <w:tcPr>
            <w:tcW w:w="0" w:type="auto"/>
            <w:shd w:val="clear" w:color="auto" w:fill="D9D9D9"/>
            <w:vAlign w:val="center"/>
            <w:hideMark/>
          </w:tcPr>
          <w:p w14:paraId="5E17EBBF" w14:textId="77777777" w:rsidR="002A1905" w:rsidRPr="00E2082D" w:rsidRDefault="002A1905" w:rsidP="002A1905">
            <w:pPr>
              <w:rPr>
                <w:rFonts w:asciiTheme="minorHAnsi" w:hAnsiTheme="minorHAnsi" w:cstheme="minorHAnsi"/>
              </w:rPr>
            </w:pPr>
            <w:r w:rsidRPr="00E2082D">
              <w:rPr>
                <w:rFonts w:asciiTheme="minorHAnsi" w:hAnsiTheme="minorHAnsi" w:cstheme="minorHAnsi"/>
                <w:b/>
                <w:bCs/>
                <w:sz w:val="20"/>
                <w:szCs w:val="20"/>
              </w:rPr>
              <w:t>Výdavky celkom</w:t>
            </w:r>
            <w:r w:rsidRPr="00E2082D">
              <w:rPr>
                <w:rFonts w:asciiTheme="minorHAnsi" w:hAnsiTheme="minorHAnsi" w:cstheme="minorHAnsi"/>
              </w:rPr>
              <w:t xml:space="preserve"> </w:t>
            </w:r>
          </w:p>
        </w:tc>
        <w:tc>
          <w:tcPr>
            <w:tcW w:w="0" w:type="auto"/>
            <w:shd w:val="clear" w:color="auto" w:fill="D9D9D9"/>
            <w:noWrap/>
            <w:vAlign w:val="center"/>
            <w:hideMark/>
          </w:tcPr>
          <w:p w14:paraId="56BBEE07"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4 000 000,00</w:t>
            </w:r>
          </w:p>
        </w:tc>
        <w:tc>
          <w:tcPr>
            <w:tcW w:w="558" w:type="pct"/>
            <w:shd w:val="clear" w:color="auto" w:fill="D9D9D9"/>
            <w:noWrap/>
            <w:vAlign w:val="center"/>
            <w:hideMark/>
          </w:tcPr>
          <w:p w14:paraId="02A7751D"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3 125 038,86</w:t>
            </w:r>
          </w:p>
        </w:tc>
        <w:tc>
          <w:tcPr>
            <w:tcW w:w="548" w:type="pct"/>
            <w:shd w:val="clear" w:color="auto" w:fill="D9D9D9"/>
            <w:noWrap/>
            <w:vAlign w:val="center"/>
            <w:hideMark/>
          </w:tcPr>
          <w:p w14:paraId="6D448298"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1 919 884,47</w:t>
            </w:r>
          </w:p>
        </w:tc>
        <w:tc>
          <w:tcPr>
            <w:tcW w:w="453" w:type="pct"/>
            <w:shd w:val="clear" w:color="auto" w:fill="D9D9D9"/>
            <w:noWrap/>
            <w:vAlign w:val="center"/>
            <w:hideMark/>
          </w:tcPr>
          <w:p w14:paraId="7852EFBD"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61,44</w:t>
            </w:r>
          </w:p>
        </w:tc>
        <w:tc>
          <w:tcPr>
            <w:tcW w:w="1417" w:type="pct"/>
            <w:vMerge w:val="restart"/>
            <w:shd w:val="clear" w:color="auto" w:fill="D9D9D9"/>
            <w:vAlign w:val="center"/>
            <w:hideMark/>
          </w:tcPr>
          <w:p w14:paraId="0BAEF8EE" w14:textId="7EB5DEE1" w:rsidR="002A1905" w:rsidRPr="000050A2" w:rsidRDefault="002A1905" w:rsidP="002A1905">
            <w:pPr>
              <w:jc w:val="both"/>
              <w:rPr>
                <w:rFonts w:asciiTheme="minorHAnsi" w:hAnsiTheme="minorHAnsi" w:cstheme="minorHAnsi"/>
                <w:bCs/>
                <w:sz w:val="20"/>
                <w:szCs w:val="20"/>
              </w:rPr>
            </w:pPr>
            <w:r w:rsidRPr="001470B4">
              <w:rPr>
                <w:rFonts w:asciiTheme="minorHAnsi" w:hAnsiTheme="minorHAnsi" w:cstheme="minorHAnsi"/>
                <w:b/>
                <w:sz w:val="20"/>
                <w:szCs w:val="20"/>
              </w:rPr>
              <w:t>-</w:t>
            </w:r>
            <w:r>
              <w:rPr>
                <w:rFonts w:asciiTheme="minorHAnsi" w:hAnsiTheme="minorHAnsi" w:cstheme="minorHAnsi"/>
                <w:b/>
                <w:sz w:val="20"/>
                <w:szCs w:val="20"/>
              </w:rPr>
              <w:t>268</w:t>
            </w:r>
            <w:r w:rsidR="00B16B6D">
              <w:rPr>
                <w:rFonts w:asciiTheme="minorHAnsi" w:hAnsiTheme="minorHAnsi" w:cstheme="minorHAnsi"/>
                <w:b/>
                <w:sz w:val="20"/>
                <w:szCs w:val="20"/>
              </w:rPr>
              <w:t> </w:t>
            </w:r>
            <w:r w:rsidRPr="001470B4">
              <w:rPr>
                <w:rFonts w:asciiTheme="minorHAnsi" w:hAnsiTheme="minorHAnsi" w:cstheme="minorHAnsi"/>
                <w:b/>
                <w:sz w:val="20"/>
                <w:szCs w:val="20"/>
              </w:rPr>
              <w:t>000</w:t>
            </w:r>
            <w:r w:rsidR="00B16B6D">
              <w:rPr>
                <w:rFonts w:asciiTheme="minorHAnsi" w:hAnsiTheme="minorHAnsi" w:cstheme="minorHAnsi"/>
                <w:b/>
                <w:sz w:val="20"/>
                <w:szCs w:val="20"/>
              </w:rPr>
              <w:t xml:space="preserve">,00 EUR </w:t>
            </w:r>
            <w:r w:rsidRPr="003E24BA">
              <w:rPr>
                <w:rFonts w:asciiTheme="minorHAnsi" w:hAnsiTheme="minorHAnsi" w:cstheme="minorHAnsi"/>
                <w:bCs/>
                <w:sz w:val="20"/>
                <w:szCs w:val="20"/>
              </w:rPr>
              <w:t>presun na PK 3.1,</w:t>
            </w:r>
            <w:r w:rsidR="000050A2">
              <w:rPr>
                <w:rFonts w:asciiTheme="minorHAnsi" w:hAnsiTheme="minorHAnsi" w:cstheme="minorHAnsi"/>
                <w:bCs/>
                <w:sz w:val="20"/>
                <w:szCs w:val="20"/>
              </w:rPr>
              <w:br/>
            </w:r>
            <w:r w:rsidRPr="001470B4">
              <w:rPr>
                <w:rFonts w:asciiTheme="minorHAnsi" w:hAnsiTheme="minorHAnsi" w:cstheme="minorHAnsi"/>
                <w:b/>
                <w:sz w:val="20"/>
                <w:szCs w:val="20"/>
              </w:rPr>
              <w:t>-</w:t>
            </w:r>
            <w:r>
              <w:rPr>
                <w:rFonts w:asciiTheme="minorHAnsi" w:hAnsiTheme="minorHAnsi" w:cstheme="minorHAnsi"/>
                <w:b/>
                <w:sz w:val="20"/>
                <w:szCs w:val="20"/>
              </w:rPr>
              <w:t>130</w:t>
            </w:r>
            <w:r w:rsidRPr="001470B4">
              <w:rPr>
                <w:rFonts w:asciiTheme="minorHAnsi" w:hAnsiTheme="minorHAnsi" w:cstheme="minorHAnsi"/>
                <w:b/>
                <w:sz w:val="20"/>
                <w:szCs w:val="20"/>
              </w:rPr>
              <w:t> 000,</w:t>
            </w:r>
            <w:r w:rsidR="00B16B6D">
              <w:rPr>
                <w:rFonts w:asciiTheme="minorHAnsi" w:hAnsiTheme="minorHAnsi" w:cstheme="minorHAnsi"/>
                <w:b/>
                <w:sz w:val="20"/>
                <w:szCs w:val="20"/>
              </w:rPr>
              <w:t xml:space="preserve">00 EUR </w:t>
            </w:r>
            <w:r w:rsidRPr="00B16B6D">
              <w:rPr>
                <w:rFonts w:asciiTheme="minorHAnsi" w:hAnsiTheme="minorHAnsi" w:cstheme="minorHAnsi"/>
                <w:bCs/>
                <w:sz w:val="20"/>
                <w:szCs w:val="20"/>
              </w:rPr>
              <w:t>presun na PK 3.2,</w:t>
            </w:r>
            <w:r w:rsidR="000050A2">
              <w:rPr>
                <w:rFonts w:asciiTheme="minorHAnsi" w:hAnsiTheme="minorHAnsi" w:cstheme="minorHAnsi"/>
                <w:bCs/>
                <w:sz w:val="20"/>
                <w:szCs w:val="20"/>
              </w:rPr>
              <w:br/>
            </w:r>
            <w:r w:rsidRPr="001470B4">
              <w:rPr>
                <w:rFonts w:asciiTheme="minorHAnsi" w:hAnsiTheme="minorHAnsi" w:cstheme="minorHAnsi"/>
                <w:b/>
                <w:sz w:val="20"/>
                <w:szCs w:val="20"/>
              </w:rPr>
              <w:t>-</w:t>
            </w:r>
            <w:r>
              <w:rPr>
                <w:rFonts w:asciiTheme="minorHAnsi" w:hAnsiTheme="minorHAnsi" w:cstheme="minorHAnsi"/>
                <w:b/>
                <w:sz w:val="20"/>
                <w:szCs w:val="20"/>
              </w:rPr>
              <w:t>97</w:t>
            </w:r>
            <w:r w:rsidRPr="001470B4">
              <w:rPr>
                <w:rFonts w:asciiTheme="minorHAnsi" w:hAnsiTheme="minorHAnsi" w:cstheme="minorHAnsi"/>
                <w:b/>
                <w:sz w:val="20"/>
                <w:szCs w:val="20"/>
              </w:rPr>
              <w:t> 000,</w:t>
            </w:r>
            <w:r w:rsidR="00B16B6D">
              <w:rPr>
                <w:rFonts w:asciiTheme="minorHAnsi" w:hAnsiTheme="minorHAnsi" w:cstheme="minorHAnsi"/>
                <w:b/>
                <w:sz w:val="20"/>
                <w:szCs w:val="20"/>
              </w:rPr>
              <w:t xml:space="preserve">00 EUR </w:t>
            </w:r>
            <w:r w:rsidRPr="00B16B6D">
              <w:rPr>
                <w:rFonts w:asciiTheme="minorHAnsi" w:hAnsiTheme="minorHAnsi" w:cstheme="minorHAnsi"/>
                <w:bCs/>
                <w:sz w:val="20"/>
                <w:szCs w:val="20"/>
              </w:rPr>
              <w:t>presun na PK 12</w:t>
            </w:r>
            <w:r>
              <w:rPr>
                <w:rFonts w:asciiTheme="minorHAnsi" w:hAnsiTheme="minorHAnsi" w:cstheme="minorHAnsi"/>
                <w:b/>
                <w:sz w:val="20"/>
                <w:szCs w:val="20"/>
              </w:rPr>
              <w:t>,</w:t>
            </w:r>
            <w:r w:rsidR="000050A2">
              <w:rPr>
                <w:rFonts w:asciiTheme="minorHAnsi" w:hAnsiTheme="minorHAnsi" w:cstheme="minorHAnsi"/>
                <w:b/>
                <w:sz w:val="20"/>
                <w:szCs w:val="20"/>
              </w:rPr>
              <w:br/>
            </w:r>
            <w:r w:rsidRPr="005479EB">
              <w:rPr>
                <w:rFonts w:asciiTheme="minorHAnsi" w:hAnsiTheme="minorHAnsi" w:cstheme="minorHAnsi"/>
                <w:b/>
                <w:sz w:val="20"/>
                <w:szCs w:val="20"/>
              </w:rPr>
              <w:t>-</w:t>
            </w:r>
            <w:r w:rsidR="00B16B6D">
              <w:rPr>
                <w:rFonts w:asciiTheme="minorHAnsi" w:hAnsiTheme="minorHAnsi" w:cstheme="minorHAnsi"/>
                <w:b/>
                <w:sz w:val="20"/>
                <w:szCs w:val="20"/>
              </w:rPr>
              <w:t>379 961,14</w:t>
            </w:r>
            <w:r w:rsidRPr="005479EB">
              <w:rPr>
                <w:rFonts w:asciiTheme="minorHAnsi" w:hAnsiTheme="minorHAnsi" w:cstheme="minorHAnsi"/>
                <w:b/>
                <w:sz w:val="20"/>
                <w:szCs w:val="20"/>
              </w:rPr>
              <w:t xml:space="preserve"> </w:t>
            </w:r>
            <w:r w:rsidR="00B16B6D">
              <w:rPr>
                <w:rFonts w:asciiTheme="minorHAnsi" w:hAnsiTheme="minorHAnsi" w:cstheme="minorHAnsi"/>
                <w:b/>
                <w:sz w:val="20"/>
                <w:szCs w:val="20"/>
              </w:rPr>
              <w:t xml:space="preserve">EUR </w:t>
            </w:r>
            <w:r w:rsidRPr="00B16B6D">
              <w:rPr>
                <w:rFonts w:asciiTheme="minorHAnsi" w:hAnsiTheme="minorHAnsi" w:cstheme="minorHAnsi"/>
                <w:bCs/>
                <w:sz w:val="20"/>
                <w:szCs w:val="20"/>
              </w:rPr>
              <w:t xml:space="preserve">presun </w:t>
            </w:r>
            <w:r w:rsidR="00B16B6D">
              <w:rPr>
                <w:rFonts w:asciiTheme="minorHAnsi" w:hAnsiTheme="minorHAnsi" w:cstheme="minorHAnsi"/>
                <w:bCs/>
                <w:sz w:val="20"/>
                <w:szCs w:val="20"/>
              </w:rPr>
              <w:t>na PK 3.3.2</w:t>
            </w:r>
          </w:p>
          <w:p w14:paraId="0C56BADC" w14:textId="77777777" w:rsidR="002A1905" w:rsidRPr="00E2082D" w:rsidRDefault="002A1905" w:rsidP="00B16B6D">
            <w:pPr>
              <w:jc w:val="both"/>
              <w:rPr>
                <w:rFonts w:asciiTheme="minorHAnsi" w:hAnsiTheme="minorHAnsi" w:cstheme="minorHAnsi"/>
              </w:rPr>
            </w:pPr>
          </w:p>
        </w:tc>
      </w:tr>
      <w:tr w:rsidR="00B16B6D" w:rsidRPr="00E2082D" w14:paraId="339ACEFD" w14:textId="77777777" w:rsidTr="000050A2">
        <w:trPr>
          <w:trHeight w:hRule="exact" w:val="284"/>
          <w:tblCellSpacing w:w="15" w:type="dxa"/>
        </w:trPr>
        <w:tc>
          <w:tcPr>
            <w:tcW w:w="0" w:type="auto"/>
            <w:shd w:val="clear" w:color="auto" w:fill="D9D9D9"/>
            <w:noWrap/>
            <w:vAlign w:val="center"/>
            <w:hideMark/>
          </w:tcPr>
          <w:p w14:paraId="428760CF" w14:textId="77777777" w:rsidR="002A1905" w:rsidRPr="00E2082D" w:rsidRDefault="002A1905" w:rsidP="002A1905">
            <w:pPr>
              <w:rPr>
                <w:rFonts w:asciiTheme="minorHAnsi" w:hAnsiTheme="minorHAnsi" w:cstheme="minorHAnsi"/>
              </w:rPr>
            </w:pPr>
            <w:r w:rsidRPr="00E2082D">
              <w:rPr>
                <w:rFonts w:asciiTheme="minorHAnsi" w:hAnsiTheme="minorHAnsi" w:cstheme="minorHAnsi"/>
                <w:b/>
                <w:bCs/>
                <w:sz w:val="20"/>
                <w:szCs w:val="20"/>
              </w:rPr>
              <w:t>600</w:t>
            </w:r>
            <w:r w:rsidRPr="00E2082D">
              <w:rPr>
                <w:rFonts w:asciiTheme="minorHAnsi" w:hAnsiTheme="minorHAnsi" w:cstheme="minorHAnsi"/>
              </w:rPr>
              <w:t xml:space="preserve"> </w:t>
            </w:r>
          </w:p>
        </w:tc>
        <w:tc>
          <w:tcPr>
            <w:tcW w:w="0" w:type="auto"/>
            <w:shd w:val="clear" w:color="auto" w:fill="D9D9D9"/>
            <w:vAlign w:val="center"/>
            <w:hideMark/>
          </w:tcPr>
          <w:p w14:paraId="5E99BE70" w14:textId="77777777" w:rsidR="002A1905" w:rsidRPr="00E2082D" w:rsidRDefault="002A1905" w:rsidP="002A1905">
            <w:pPr>
              <w:rPr>
                <w:rFonts w:asciiTheme="minorHAnsi" w:hAnsiTheme="minorHAnsi" w:cstheme="minorHAnsi"/>
              </w:rPr>
            </w:pPr>
            <w:r w:rsidRPr="00E2082D">
              <w:rPr>
                <w:rFonts w:asciiTheme="minorHAnsi" w:hAnsiTheme="minorHAnsi" w:cstheme="minorHAnsi"/>
                <w:b/>
                <w:bCs/>
                <w:sz w:val="20"/>
                <w:szCs w:val="20"/>
              </w:rPr>
              <w:t>Bežné výdavky</w:t>
            </w:r>
            <w:r w:rsidRPr="00E2082D">
              <w:rPr>
                <w:rFonts w:asciiTheme="minorHAnsi" w:hAnsiTheme="minorHAnsi" w:cstheme="minorHAnsi"/>
              </w:rPr>
              <w:t xml:space="preserve"> </w:t>
            </w:r>
          </w:p>
        </w:tc>
        <w:tc>
          <w:tcPr>
            <w:tcW w:w="0" w:type="auto"/>
            <w:shd w:val="clear" w:color="auto" w:fill="D9D9D9"/>
            <w:noWrap/>
            <w:vAlign w:val="center"/>
            <w:hideMark/>
          </w:tcPr>
          <w:p w14:paraId="4B2BB557"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4 000 000,00</w:t>
            </w:r>
          </w:p>
        </w:tc>
        <w:tc>
          <w:tcPr>
            <w:tcW w:w="558" w:type="pct"/>
            <w:shd w:val="clear" w:color="auto" w:fill="D9D9D9"/>
            <w:noWrap/>
            <w:vAlign w:val="center"/>
            <w:hideMark/>
          </w:tcPr>
          <w:p w14:paraId="66D89E99"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3 125 038,86</w:t>
            </w:r>
          </w:p>
        </w:tc>
        <w:tc>
          <w:tcPr>
            <w:tcW w:w="548" w:type="pct"/>
            <w:shd w:val="clear" w:color="auto" w:fill="D9D9D9"/>
            <w:noWrap/>
            <w:vAlign w:val="center"/>
            <w:hideMark/>
          </w:tcPr>
          <w:p w14:paraId="1F49452D"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1 919 884,47</w:t>
            </w:r>
          </w:p>
        </w:tc>
        <w:tc>
          <w:tcPr>
            <w:tcW w:w="453" w:type="pct"/>
            <w:shd w:val="clear" w:color="auto" w:fill="D9D9D9"/>
            <w:noWrap/>
            <w:vAlign w:val="center"/>
            <w:hideMark/>
          </w:tcPr>
          <w:p w14:paraId="58EF90E9"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b/>
                <w:sz w:val="20"/>
                <w:szCs w:val="20"/>
              </w:rPr>
              <w:t>61,44</w:t>
            </w:r>
          </w:p>
        </w:tc>
        <w:tc>
          <w:tcPr>
            <w:tcW w:w="1417" w:type="pct"/>
            <w:vMerge/>
            <w:shd w:val="clear" w:color="auto" w:fill="D9D9D9"/>
            <w:vAlign w:val="center"/>
            <w:hideMark/>
          </w:tcPr>
          <w:p w14:paraId="79971202" w14:textId="77777777" w:rsidR="002A1905" w:rsidRPr="00E2082D" w:rsidRDefault="002A1905" w:rsidP="002A1905">
            <w:pPr>
              <w:rPr>
                <w:rFonts w:asciiTheme="minorHAnsi" w:hAnsiTheme="minorHAnsi" w:cstheme="minorHAnsi"/>
              </w:rPr>
            </w:pPr>
          </w:p>
        </w:tc>
      </w:tr>
      <w:tr w:rsidR="00B16B6D" w:rsidRPr="00E2082D" w14:paraId="3561B059" w14:textId="77777777" w:rsidTr="000050A2">
        <w:trPr>
          <w:trHeight w:hRule="exact" w:val="284"/>
          <w:tblCellSpacing w:w="15" w:type="dxa"/>
        </w:trPr>
        <w:tc>
          <w:tcPr>
            <w:tcW w:w="0" w:type="auto"/>
            <w:shd w:val="clear" w:color="auto" w:fill="EFEFEF"/>
            <w:noWrap/>
            <w:vAlign w:val="center"/>
            <w:hideMark/>
          </w:tcPr>
          <w:p w14:paraId="550387EA" w14:textId="77777777" w:rsidR="002A1905" w:rsidRPr="00E2082D" w:rsidRDefault="002A1905" w:rsidP="002A1905">
            <w:pPr>
              <w:rPr>
                <w:rFonts w:asciiTheme="minorHAnsi" w:hAnsiTheme="minorHAnsi" w:cstheme="minorHAnsi"/>
              </w:rPr>
            </w:pPr>
            <w:r w:rsidRPr="00E2082D">
              <w:rPr>
                <w:rFonts w:asciiTheme="minorHAnsi" w:hAnsiTheme="minorHAnsi" w:cstheme="minorHAnsi"/>
                <w:sz w:val="20"/>
                <w:szCs w:val="20"/>
              </w:rPr>
              <w:t>630</w:t>
            </w:r>
            <w:r w:rsidRPr="00E2082D">
              <w:rPr>
                <w:rFonts w:asciiTheme="minorHAnsi" w:hAnsiTheme="minorHAnsi" w:cstheme="minorHAnsi"/>
              </w:rPr>
              <w:t xml:space="preserve"> </w:t>
            </w:r>
          </w:p>
        </w:tc>
        <w:tc>
          <w:tcPr>
            <w:tcW w:w="0" w:type="auto"/>
            <w:shd w:val="clear" w:color="auto" w:fill="EFEFEF"/>
            <w:vAlign w:val="center"/>
            <w:hideMark/>
          </w:tcPr>
          <w:p w14:paraId="03820B35" w14:textId="77777777" w:rsidR="002A1905" w:rsidRPr="00E2082D" w:rsidRDefault="002A1905" w:rsidP="002A1905">
            <w:pPr>
              <w:rPr>
                <w:rFonts w:asciiTheme="minorHAnsi" w:hAnsiTheme="minorHAnsi" w:cstheme="minorHAnsi"/>
              </w:rPr>
            </w:pPr>
            <w:r w:rsidRPr="00E2082D">
              <w:rPr>
                <w:rFonts w:asciiTheme="minorHAnsi" w:hAnsiTheme="minorHAnsi" w:cstheme="minorHAnsi"/>
                <w:sz w:val="20"/>
                <w:szCs w:val="20"/>
              </w:rPr>
              <w:t>Tovary a služby</w:t>
            </w:r>
            <w:r w:rsidRPr="00E2082D">
              <w:rPr>
                <w:rFonts w:asciiTheme="minorHAnsi" w:hAnsiTheme="minorHAnsi" w:cstheme="minorHAnsi"/>
              </w:rPr>
              <w:t xml:space="preserve"> </w:t>
            </w:r>
          </w:p>
        </w:tc>
        <w:tc>
          <w:tcPr>
            <w:tcW w:w="0" w:type="auto"/>
            <w:shd w:val="clear" w:color="auto" w:fill="EFEFEF"/>
            <w:noWrap/>
            <w:vAlign w:val="center"/>
            <w:hideMark/>
          </w:tcPr>
          <w:p w14:paraId="2EF492A6"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sz w:val="20"/>
                <w:szCs w:val="20"/>
              </w:rPr>
              <w:t>4 000 000,00</w:t>
            </w:r>
          </w:p>
        </w:tc>
        <w:tc>
          <w:tcPr>
            <w:tcW w:w="558" w:type="pct"/>
            <w:shd w:val="clear" w:color="auto" w:fill="EFEFEF"/>
            <w:noWrap/>
            <w:vAlign w:val="center"/>
            <w:hideMark/>
          </w:tcPr>
          <w:p w14:paraId="77AAAC17"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sz w:val="20"/>
                <w:szCs w:val="20"/>
              </w:rPr>
              <w:t>2 375 472,84</w:t>
            </w:r>
          </w:p>
        </w:tc>
        <w:tc>
          <w:tcPr>
            <w:tcW w:w="548" w:type="pct"/>
            <w:shd w:val="clear" w:color="auto" w:fill="EFEFEF"/>
            <w:noWrap/>
            <w:vAlign w:val="center"/>
            <w:hideMark/>
          </w:tcPr>
          <w:p w14:paraId="6998DAA0"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sz w:val="20"/>
                <w:szCs w:val="20"/>
              </w:rPr>
              <w:t>1 442 121,27</w:t>
            </w:r>
          </w:p>
        </w:tc>
        <w:tc>
          <w:tcPr>
            <w:tcW w:w="453" w:type="pct"/>
            <w:shd w:val="clear" w:color="auto" w:fill="EFEFEF"/>
            <w:noWrap/>
            <w:vAlign w:val="center"/>
            <w:hideMark/>
          </w:tcPr>
          <w:p w14:paraId="28081819"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sz w:val="20"/>
                <w:szCs w:val="20"/>
              </w:rPr>
              <w:t>60,71</w:t>
            </w:r>
          </w:p>
        </w:tc>
        <w:tc>
          <w:tcPr>
            <w:tcW w:w="1417" w:type="pct"/>
            <w:vMerge/>
            <w:shd w:val="clear" w:color="auto" w:fill="EFEFEF"/>
            <w:vAlign w:val="center"/>
            <w:hideMark/>
          </w:tcPr>
          <w:p w14:paraId="5991471B" w14:textId="77777777" w:rsidR="002A1905" w:rsidRPr="00E2082D" w:rsidRDefault="002A1905" w:rsidP="002A1905">
            <w:pPr>
              <w:rPr>
                <w:rFonts w:asciiTheme="minorHAnsi" w:hAnsiTheme="minorHAnsi" w:cstheme="minorHAnsi"/>
              </w:rPr>
            </w:pPr>
          </w:p>
        </w:tc>
      </w:tr>
      <w:tr w:rsidR="00B16B6D" w:rsidRPr="00E2082D" w14:paraId="582F9889" w14:textId="77777777" w:rsidTr="000050A2">
        <w:trPr>
          <w:trHeight w:hRule="exact" w:val="436"/>
          <w:tblCellSpacing w:w="15" w:type="dxa"/>
        </w:trPr>
        <w:tc>
          <w:tcPr>
            <w:tcW w:w="0" w:type="auto"/>
            <w:shd w:val="clear" w:color="auto" w:fill="EFEFEF"/>
            <w:noWrap/>
            <w:vAlign w:val="center"/>
            <w:hideMark/>
          </w:tcPr>
          <w:p w14:paraId="7FB7227E" w14:textId="77777777" w:rsidR="002A1905" w:rsidRPr="00E2082D" w:rsidRDefault="002A1905" w:rsidP="002A1905">
            <w:pPr>
              <w:rPr>
                <w:rFonts w:asciiTheme="minorHAnsi" w:hAnsiTheme="minorHAnsi" w:cstheme="minorHAnsi"/>
              </w:rPr>
            </w:pPr>
            <w:r w:rsidRPr="00E2082D">
              <w:rPr>
                <w:rFonts w:asciiTheme="minorHAnsi" w:hAnsiTheme="minorHAnsi" w:cstheme="minorHAnsi"/>
                <w:sz w:val="20"/>
                <w:szCs w:val="20"/>
              </w:rPr>
              <w:t>640</w:t>
            </w:r>
            <w:r w:rsidRPr="00E2082D">
              <w:rPr>
                <w:rFonts w:asciiTheme="minorHAnsi" w:hAnsiTheme="minorHAnsi" w:cstheme="minorHAnsi"/>
              </w:rPr>
              <w:t xml:space="preserve"> </w:t>
            </w:r>
          </w:p>
        </w:tc>
        <w:tc>
          <w:tcPr>
            <w:tcW w:w="0" w:type="auto"/>
            <w:shd w:val="clear" w:color="auto" w:fill="EFEFEF"/>
            <w:vAlign w:val="center"/>
            <w:hideMark/>
          </w:tcPr>
          <w:p w14:paraId="2FB325A6" w14:textId="77777777" w:rsidR="002A1905" w:rsidRPr="00E2082D" w:rsidRDefault="002A1905" w:rsidP="002A1905">
            <w:pPr>
              <w:rPr>
                <w:rFonts w:asciiTheme="minorHAnsi" w:hAnsiTheme="minorHAnsi" w:cstheme="minorHAnsi"/>
              </w:rPr>
            </w:pPr>
            <w:r w:rsidRPr="00E2082D">
              <w:rPr>
                <w:rFonts w:asciiTheme="minorHAnsi" w:hAnsiTheme="minorHAnsi" w:cstheme="minorHAnsi"/>
                <w:sz w:val="20"/>
                <w:szCs w:val="20"/>
              </w:rPr>
              <w:t>Bežné transfery</w:t>
            </w:r>
            <w:r w:rsidRPr="00E2082D">
              <w:rPr>
                <w:rFonts w:asciiTheme="minorHAnsi" w:hAnsiTheme="minorHAnsi" w:cstheme="minorHAnsi"/>
              </w:rPr>
              <w:t xml:space="preserve"> </w:t>
            </w:r>
          </w:p>
        </w:tc>
        <w:tc>
          <w:tcPr>
            <w:tcW w:w="0" w:type="auto"/>
            <w:shd w:val="clear" w:color="auto" w:fill="EFEFEF"/>
            <w:noWrap/>
            <w:vAlign w:val="center"/>
            <w:hideMark/>
          </w:tcPr>
          <w:p w14:paraId="06B81E1C" w14:textId="77777777" w:rsidR="002A1905" w:rsidRPr="00E137D3" w:rsidRDefault="002A1905" w:rsidP="002A1905">
            <w:pPr>
              <w:jc w:val="right"/>
              <w:rPr>
                <w:rFonts w:asciiTheme="minorHAnsi" w:hAnsiTheme="minorHAnsi" w:cstheme="minorHAnsi"/>
                <w:color w:val="FF0000"/>
              </w:rPr>
            </w:pPr>
            <w:r w:rsidRPr="002440B6">
              <w:rPr>
                <w:rFonts w:asciiTheme="minorHAnsi" w:hAnsiTheme="minorHAnsi" w:cstheme="minorHAnsi"/>
                <w:sz w:val="20"/>
                <w:szCs w:val="20"/>
              </w:rPr>
              <w:t>0,00</w:t>
            </w:r>
          </w:p>
        </w:tc>
        <w:tc>
          <w:tcPr>
            <w:tcW w:w="558" w:type="pct"/>
            <w:shd w:val="clear" w:color="auto" w:fill="EFEFEF"/>
            <w:noWrap/>
            <w:vAlign w:val="center"/>
            <w:hideMark/>
          </w:tcPr>
          <w:p w14:paraId="6067D29D"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sz w:val="20"/>
                <w:szCs w:val="20"/>
              </w:rPr>
              <w:t>749 566,02</w:t>
            </w:r>
          </w:p>
        </w:tc>
        <w:tc>
          <w:tcPr>
            <w:tcW w:w="548" w:type="pct"/>
            <w:shd w:val="clear" w:color="auto" w:fill="EFEFEF"/>
            <w:noWrap/>
            <w:vAlign w:val="center"/>
            <w:hideMark/>
          </w:tcPr>
          <w:p w14:paraId="0A07C4F4"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sz w:val="20"/>
                <w:szCs w:val="20"/>
              </w:rPr>
              <w:t>477 763,20</w:t>
            </w:r>
          </w:p>
        </w:tc>
        <w:tc>
          <w:tcPr>
            <w:tcW w:w="453" w:type="pct"/>
            <w:shd w:val="clear" w:color="auto" w:fill="EFEFEF"/>
            <w:noWrap/>
            <w:vAlign w:val="center"/>
            <w:hideMark/>
          </w:tcPr>
          <w:p w14:paraId="671B780A"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sz w:val="20"/>
                <w:szCs w:val="20"/>
              </w:rPr>
              <w:t>63,74</w:t>
            </w:r>
          </w:p>
        </w:tc>
        <w:tc>
          <w:tcPr>
            <w:tcW w:w="1417" w:type="pct"/>
            <w:vMerge/>
            <w:shd w:val="clear" w:color="auto" w:fill="EFEFEF"/>
            <w:vAlign w:val="center"/>
            <w:hideMark/>
          </w:tcPr>
          <w:p w14:paraId="23D908B4" w14:textId="77777777" w:rsidR="002A1905" w:rsidRPr="00E2082D" w:rsidRDefault="002A1905" w:rsidP="002A1905">
            <w:pPr>
              <w:rPr>
                <w:rFonts w:asciiTheme="minorHAnsi" w:hAnsiTheme="minorHAnsi" w:cstheme="minorHAnsi"/>
              </w:rPr>
            </w:pPr>
          </w:p>
        </w:tc>
      </w:tr>
    </w:tbl>
    <w:p w14:paraId="373499D2" w14:textId="77777777" w:rsidR="002A1905" w:rsidRPr="00E2082D" w:rsidRDefault="002A1905" w:rsidP="002A1905">
      <w:pPr>
        <w:pStyle w:val="Nadpis4"/>
        <w:rPr>
          <w:rFonts w:asciiTheme="minorHAnsi" w:hAnsiTheme="minorHAnsi" w:cstheme="minorHAnsi"/>
          <w:b w:val="0"/>
          <w:bCs w:val="0"/>
          <w:i/>
          <w:iCs/>
          <w:color w:val="244061"/>
        </w:rPr>
      </w:pPr>
      <w:r w:rsidRPr="00E2082D">
        <w:rPr>
          <w:rFonts w:asciiTheme="minorHAnsi" w:hAnsiTheme="minorHAnsi" w:cstheme="minorHAnsi"/>
          <w:color w:val="244061"/>
        </w:rPr>
        <w:t>Prvok 3.3.2: Investície</w:t>
      </w:r>
    </w:p>
    <w:tbl>
      <w:tblPr>
        <w:tblW w:w="5066" w:type="pct"/>
        <w:tblCellSpacing w:w="15" w:type="dxa"/>
        <w:tblCellMar>
          <w:top w:w="15" w:type="dxa"/>
          <w:left w:w="15" w:type="dxa"/>
          <w:bottom w:w="15" w:type="dxa"/>
          <w:right w:w="15" w:type="dxa"/>
        </w:tblCellMar>
        <w:tblLook w:val="04A0" w:firstRow="1" w:lastRow="0" w:firstColumn="1" w:lastColumn="0" w:noHBand="0" w:noVBand="1"/>
      </w:tblPr>
      <w:tblGrid>
        <w:gridCol w:w="629"/>
        <w:gridCol w:w="2023"/>
        <w:gridCol w:w="1216"/>
        <w:gridCol w:w="1216"/>
        <w:gridCol w:w="1115"/>
        <w:gridCol w:w="1142"/>
        <w:gridCol w:w="3263"/>
      </w:tblGrid>
      <w:tr w:rsidR="002A1905" w:rsidRPr="00E2082D" w14:paraId="491A1D31" w14:textId="77777777" w:rsidTr="00B16B6D">
        <w:trPr>
          <w:trHeight w:hRule="exact" w:val="1158"/>
          <w:tblCellSpacing w:w="15" w:type="dxa"/>
        </w:trPr>
        <w:tc>
          <w:tcPr>
            <w:tcW w:w="0" w:type="auto"/>
            <w:shd w:val="clear" w:color="auto" w:fill="C6DBF7"/>
            <w:vAlign w:val="center"/>
            <w:hideMark/>
          </w:tcPr>
          <w:p w14:paraId="77FDEDDE"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Kód EK</w:t>
            </w:r>
          </w:p>
        </w:tc>
        <w:tc>
          <w:tcPr>
            <w:tcW w:w="942" w:type="pct"/>
            <w:shd w:val="clear" w:color="auto" w:fill="C6DBF7"/>
            <w:vAlign w:val="center"/>
            <w:hideMark/>
          </w:tcPr>
          <w:p w14:paraId="639B6305"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Ekonomická klasifikácia</w:t>
            </w:r>
          </w:p>
        </w:tc>
        <w:tc>
          <w:tcPr>
            <w:tcW w:w="0" w:type="auto"/>
            <w:shd w:val="clear" w:color="auto" w:fill="C6DBF7"/>
            <w:vAlign w:val="center"/>
            <w:hideMark/>
          </w:tcPr>
          <w:p w14:paraId="5B329CF1"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Schválený</w:t>
            </w:r>
            <w:r w:rsidRPr="00E2082D">
              <w:rPr>
                <w:rFonts w:asciiTheme="minorHAnsi" w:hAnsiTheme="minorHAnsi" w:cstheme="minorHAnsi"/>
                <w:b/>
                <w:bCs/>
                <w:sz w:val="20"/>
                <w:szCs w:val="20"/>
              </w:rPr>
              <w:br/>
              <w:t>rozpočet</w:t>
            </w:r>
            <w:r w:rsidRPr="00E2082D">
              <w:rPr>
                <w:rFonts w:asciiTheme="minorHAnsi" w:hAnsiTheme="minorHAnsi" w:cstheme="minorHAnsi"/>
                <w:b/>
                <w:bCs/>
                <w:sz w:val="20"/>
                <w:szCs w:val="20"/>
              </w:rPr>
              <w:br/>
              <w:t>v EUR</w:t>
            </w:r>
          </w:p>
        </w:tc>
        <w:tc>
          <w:tcPr>
            <w:tcW w:w="0" w:type="auto"/>
            <w:shd w:val="clear" w:color="auto" w:fill="C6DBF7"/>
            <w:vAlign w:val="center"/>
            <w:hideMark/>
          </w:tcPr>
          <w:p w14:paraId="3FBBB97E"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Zmenený</w:t>
            </w:r>
            <w:r w:rsidRPr="00E2082D">
              <w:rPr>
                <w:rFonts w:asciiTheme="minorHAnsi" w:hAnsiTheme="minorHAnsi" w:cstheme="minorHAnsi"/>
                <w:b/>
                <w:bCs/>
                <w:sz w:val="20"/>
                <w:szCs w:val="20"/>
              </w:rPr>
              <w:br/>
              <w:t>rozpočet</w:t>
            </w:r>
            <w:r w:rsidRPr="00E2082D">
              <w:rPr>
                <w:rFonts w:asciiTheme="minorHAnsi" w:hAnsiTheme="minorHAnsi" w:cstheme="minorHAnsi"/>
                <w:b/>
                <w:bCs/>
                <w:sz w:val="20"/>
                <w:szCs w:val="20"/>
              </w:rPr>
              <w:br/>
              <w:t>v EUR</w:t>
            </w:r>
          </w:p>
        </w:tc>
        <w:tc>
          <w:tcPr>
            <w:tcW w:w="0" w:type="auto"/>
            <w:shd w:val="clear" w:color="auto" w:fill="C6DBF7"/>
            <w:vAlign w:val="center"/>
            <w:hideMark/>
          </w:tcPr>
          <w:p w14:paraId="1FC7FEDA"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Čerpanie</w:t>
            </w:r>
            <w:r w:rsidRPr="00E2082D">
              <w:rPr>
                <w:rFonts w:asciiTheme="minorHAnsi" w:hAnsiTheme="minorHAnsi" w:cstheme="minorHAnsi"/>
                <w:b/>
                <w:bCs/>
                <w:sz w:val="20"/>
                <w:szCs w:val="20"/>
              </w:rPr>
              <w:br/>
              <w:t>v EUR</w:t>
            </w:r>
          </w:p>
        </w:tc>
        <w:tc>
          <w:tcPr>
            <w:tcW w:w="0" w:type="auto"/>
            <w:shd w:val="clear" w:color="auto" w:fill="C6DBF7"/>
            <w:vAlign w:val="center"/>
            <w:hideMark/>
          </w:tcPr>
          <w:p w14:paraId="5688B022"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Čerpanie</w:t>
            </w:r>
            <w:r w:rsidRPr="00E2082D">
              <w:rPr>
                <w:rFonts w:asciiTheme="minorHAnsi" w:hAnsiTheme="minorHAnsi" w:cstheme="minorHAnsi"/>
                <w:b/>
                <w:bCs/>
                <w:sz w:val="20"/>
                <w:szCs w:val="20"/>
              </w:rPr>
              <w:br/>
              <w:t xml:space="preserve">k </w:t>
            </w:r>
            <w:proofErr w:type="spellStart"/>
            <w:r w:rsidRPr="00E2082D">
              <w:rPr>
                <w:rFonts w:asciiTheme="minorHAnsi" w:hAnsiTheme="minorHAnsi" w:cstheme="minorHAnsi"/>
                <w:b/>
                <w:bCs/>
                <w:sz w:val="20"/>
                <w:szCs w:val="20"/>
              </w:rPr>
              <w:t>zmen</w:t>
            </w:r>
            <w:proofErr w:type="spellEnd"/>
            <w:r w:rsidRPr="00E2082D">
              <w:rPr>
                <w:rFonts w:asciiTheme="minorHAnsi" w:hAnsiTheme="minorHAnsi" w:cstheme="minorHAnsi"/>
                <w:b/>
                <w:bCs/>
                <w:sz w:val="20"/>
                <w:szCs w:val="20"/>
              </w:rPr>
              <w:t xml:space="preserve">. </w:t>
            </w:r>
            <w:proofErr w:type="spellStart"/>
            <w:r w:rsidRPr="00E2082D">
              <w:rPr>
                <w:rFonts w:asciiTheme="minorHAnsi" w:hAnsiTheme="minorHAnsi" w:cstheme="minorHAnsi"/>
                <w:b/>
                <w:bCs/>
                <w:sz w:val="20"/>
                <w:szCs w:val="20"/>
              </w:rPr>
              <w:t>rozp</w:t>
            </w:r>
            <w:proofErr w:type="spellEnd"/>
            <w:r w:rsidRPr="00E2082D">
              <w:rPr>
                <w:rFonts w:asciiTheme="minorHAnsi" w:hAnsiTheme="minorHAnsi" w:cstheme="minorHAnsi"/>
                <w:b/>
                <w:bCs/>
                <w:sz w:val="20"/>
                <w:szCs w:val="20"/>
              </w:rPr>
              <w:t>.</w:t>
            </w:r>
            <w:r w:rsidRPr="00E2082D">
              <w:rPr>
                <w:rFonts w:asciiTheme="minorHAnsi" w:hAnsiTheme="minorHAnsi" w:cstheme="minorHAnsi"/>
                <w:b/>
                <w:bCs/>
                <w:sz w:val="20"/>
                <w:szCs w:val="20"/>
              </w:rPr>
              <w:br/>
              <w:t>v %</w:t>
            </w:r>
          </w:p>
        </w:tc>
        <w:tc>
          <w:tcPr>
            <w:tcW w:w="1559" w:type="pct"/>
            <w:shd w:val="clear" w:color="auto" w:fill="C6DBF7"/>
            <w:vAlign w:val="center"/>
            <w:hideMark/>
          </w:tcPr>
          <w:p w14:paraId="54D9F85E" w14:textId="77777777" w:rsidR="002A1905" w:rsidRPr="00E2082D" w:rsidRDefault="002A1905" w:rsidP="002A1905">
            <w:pPr>
              <w:jc w:val="center"/>
              <w:rPr>
                <w:rFonts w:asciiTheme="minorHAnsi" w:hAnsiTheme="minorHAnsi" w:cstheme="minorHAnsi"/>
              </w:rPr>
            </w:pPr>
            <w:r w:rsidRPr="00E2082D">
              <w:rPr>
                <w:rFonts w:asciiTheme="minorHAnsi" w:hAnsiTheme="minorHAnsi" w:cstheme="minorHAnsi"/>
                <w:b/>
                <w:bCs/>
                <w:sz w:val="20"/>
                <w:szCs w:val="20"/>
              </w:rPr>
              <w:t>Zmeny rozpočtu</w:t>
            </w:r>
          </w:p>
        </w:tc>
      </w:tr>
      <w:tr w:rsidR="002A1905" w:rsidRPr="00E2082D" w14:paraId="3F308614" w14:textId="77777777" w:rsidTr="000050A2">
        <w:trPr>
          <w:trHeight w:hRule="exact" w:val="284"/>
          <w:tblCellSpacing w:w="15" w:type="dxa"/>
        </w:trPr>
        <w:tc>
          <w:tcPr>
            <w:tcW w:w="0" w:type="auto"/>
            <w:shd w:val="clear" w:color="auto" w:fill="D9D9D9"/>
            <w:noWrap/>
            <w:vAlign w:val="center"/>
            <w:hideMark/>
          </w:tcPr>
          <w:p w14:paraId="09DEC1FD" w14:textId="77777777" w:rsidR="002A1905" w:rsidRPr="00E2082D" w:rsidRDefault="002A1905" w:rsidP="002A1905">
            <w:pPr>
              <w:jc w:val="center"/>
              <w:rPr>
                <w:rFonts w:asciiTheme="minorHAnsi" w:hAnsiTheme="minorHAnsi" w:cstheme="minorHAnsi"/>
              </w:rPr>
            </w:pPr>
          </w:p>
        </w:tc>
        <w:tc>
          <w:tcPr>
            <w:tcW w:w="0" w:type="auto"/>
            <w:shd w:val="clear" w:color="auto" w:fill="D9D9D9"/>
            <w:vAlign w:val="center"/>
            <w:hideMark/>
          </w:tcPr>
          <w:p w14:paraId="41C4AA94" w14:textId="77777777" w:rsidR="002A1905" w:rsidRPr="00E2082D" w:rsidRDefault="002A1905" w:rsidP="002A1905">
            <w:pPr>
              <w:rPr>
                <w:rFonts w:asciiTheme="minorHAnsi" w:hAnsiTheme="minorHAnsi" w:cstheme="minorHAnsi"/>
              </w:rPr>
            </w:pPr>
            <w:r w:rsidRPr="00E2082D">
              <w:rPr>
                <w:rFonts w:asciiTheme="minorHAnsi" w:hAnsiTheme="minorHAnsi" w:cstheme="minorHAnsi"/>
                <w:b/>
                <w:bCs/>
                <w:sz w:val="20"/>
                <w:szCs w:val="20"/>
              </w:rPr>
              <w:t>Výdavky celkom</w:t>
            </w:r>
            <w:r w:rsidRPr="00E2082D">
              <w:rPr>
                <w:rFonts w:asciiTheme="minorHAnsi" w:hAnsiTheme="minorHAnsi" w:cstheme="minorHAnsi"/>
              </w:rPr>
              <w:t xml:space="preserve"> </w:t>
            </w:r>
          </w:p>
        </w:tc>
        <w:tc>
          <w:tcPr>
            <w:tcW w:w="0" w:type="auto"/>
            <w:shd w:val="clear" w:color="auto" w:fill="D9D9D9"/>
            <w:noWrap/>
            <w:vAlign w:val="center"/>
            <w:hideMark/>
          </w:tcPr>
          <w:p w14:paraId="30D0B4ED"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b/>
                <w:sz w:val="20"/>
                <w:szCs w:val="20"/>
              </w:rPr>
              <w:t>12 565 489,04</w:t>
            </w:r>
          </w:p>
        </w:tc>
        <w:tc>
          <w:tcPr>
            <w:tcW w:w="0" w:type="auto"/>
            <w:shd w:val="clear" w:color="auto" w:fill="D9D9D9"/>
            <w:noWrap/>
            <w:vAlign w:val="center"/>
            <w:hideMark/>
          </w:tcPr>
          <w:p w14:paraId="51B9B4AC"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b/>
                <w:sz w:val="20"/>
                <w:szCs w:val="20"/>
              </w:rPr>
              <w:t>12 111 526,07</w:t>
            </w:r>
          </w:p>
        </w:tc>
        <w:tc>
          <w:tcPr>
            <w:tcW w:w="0" w:type="auto"/>
            <w:shd w:val="clear" w:color="auto" w:fill="D9D9D9"/>
            <w:noWrap/>
            <w:vAlign w:val="center"/>
            <w:hideMark/>
          </w:tcPr>
          <w:p w14:paraId="5C551CC0"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b/>
                <w:sz w:val="20"/>
                <w:szCs w:val="20"/>
              </w:rPr>
              <w:t>4 570 324,90</w:t>
            </w:r>
          </w:p>
        </w:tc>
        <w:tc>
          <w:tcPr>
            <w:tcW w:w="0" w:type="auto"/>
            <w:shd w:val="clear" w:color="auto" w:fill="D9D9D9"/>
            <w:noWrap/>
            <w:vAlign w:val="center"/>
            <w:hideMark/>
          </w:tcPr>
          <w:p w14:paraId="483CCBAA" w14:textId="77777777" w:rsidR="002A1905" w:rsidRPr="00E137D3" w:rsidRDefault="002A1905" w:rsidP="002A1905">
            <w:pPr>
              <w:jc w:val="right"/>
              <w:rPr>
                <w:rFonts w:asciiTheme="minorHAnsi" w:hAnsiTheme="minorHAnsi" w:cstheme="minorHAnsi"/>
                <w:color w:val="FF0000"/>
              </w:rPr>
            </w:pPr>
            <w:r>
              <w:rPr>
                <w:rFonts w:asciiTheme="minorHAnsi" w:hAnsiTheme="minorHAnsi" w:cstheme="minorHAnsi"/>
                <w:b/>
                <w:sz w:val="20"/>
                <w:szCs w:val="20"/>
              </w:rPr>
              <w:t>37,74</w:t>
            </w:r>
          </w:p>
        </w:tc>
        <w:tc>
          <w:tcPr>
            <w:tcW w:w="1559" w:type="pct"/>
            <w:vMerge w:val="restart"/>
            <w:shd w:val="clear" w:color="auto" w:fill="D9D9D9"/>
            <w:vAlign w:val="center"/>
            <w:hideMark/>
          </w:tcPr>
          <w:p w14:paraId="4F530696" w14:textId="340FA99E" w:rsidR="002A1905" w:rsidRPr="000050A2" w:rsidRDefault="002A1905" w:rsidP="00B16B6D">
            <w:pPr>
              <w:rPr>
                <w:rFonts w:asciiTheme="minorHAnsi" w:hAnsiTheme="minorHAnsi" w:cstheme="minorHAnsi"/>
                <w:b/>
                <w:sz w:val="20"/>
                <w:szCs w:val="20"/>
              </w:rPr>
            </w:pPr>
            <w:r w:rsidRPr="00CD5DE2">
              <w:rPr>
                <w:rFonts w:asciiTheme="minorHAnsi" w:hAnsiTheme="minorHAnsi" w:cstheme="minorHAnsi"/>
                <w:b/>
                <w:sz w:val="20"/>
                <w:szCs w:val="20"/>
              </w:rPr>
              <w:t>-1 970 000,</w:t>
            </w:r>
            <w:r w:rsidR="00B16B6D">
              <w:rPr>
                <w:rFonts w:asciiTheme="minorHAnsi" w:hAnsiTheme="minorHAnsi" w:cstheme="minorHAnsi"/>
                <w:b/>
                <w:sz w:val="20"/>
                <w:szCs w:val="20"/>
              </w:rPr>
              <w:t xml:space="preserve">00 EUR </w:t>
            </w:r>
            <w:r w:rsidRPr="00B16B6D">
              <w:rPr>
                <w:rFonts w:asciiTheme="minorHAnsi" w:hAnsiTheme="minorHAnsi" w:cstheme="minorHAnsi"/>
                <w:bCs/>
                <w:sz w:val="20"/>
                <w:szCs w:val="20"/>
              </w:rPr>
              <w:t>zníženie v zmysle U</w:t>
            </w:r>
            <w:r w:rsidR="00B16B6D" w:rsidRPr="00B16B6D">
              <w:rPr>
                <w:rFonts w:asciiTheme="minorHAnsi" w:hAnsiTheme="minorHAnsi" w:cstheme="minorHAnsi"/>
                <w:bCs/>
                <w:sz w:val="20"/>
                <w:szCs w:val="20"/>
              </w:rPr>
              <w:t xml:space="preserve">ZN </w:t>
            </w:r>
            <w:r w:rsidRPr="00B16B6D">
              <w:rPr>
                <w:rFonts w:asciiTheme="minorHAnsi" w:hAnsiTheme="minorHAnsi" w:cstheme="minorHAnsi"/>
                <w:bCs/>
                <w:sz w:val="20"/>
                <w:szCs w:val="20"/>
              </w:rPr>
              <w:t>č. 247/2020 zo dňa 29.05.2020,</w:t>
            </w:r>
            <w:r w:rsidR="000050A2">
              <w:rPr>
                <w:rFonts w:asciiTheme="minorHAnsi" w:hAnsiTheme="minorHAnsi" w:cstheme="minorHAnsi"/>
                <w:bCs/>
                <w:sz w:val="20"/>
                <w:szCs w:val="20"/>
              </w:rPr>
              <w:br/>
            </w:r>
            <w:r w:rsidRPr="00BA779A">
              <w:rPr>
                <w:rFonts w:asciiTheme="minorHAnsi" w:hAnsiTheme="minorHAnsi" w:cstheme="minorHAnsi"/>
                <w:b/>
                <w:sz w:val="20"/>
                <w:szCs w:val="20"/>
              </w:rPr>
              <w:t>+300 000,</w:t>
            </w:r>
            <w:r w:rsidR="00B16B6D">
              <w:rPr>
                <w:rFonts w:asciiTheme="minorHAnsi" w:hAnsiTheme="minorHAnsi" w:cstheme="minorHAnsi"/>
                <w:b/>
                <w:sz w:val="20"/>
                <w:szCs w:val="20"/>
              </w:rPr>
              <w:t xml:space="preserve">00 EUR </w:t>
            </w:r>
            <w:r w:rsidRPr="00B16B6D">
              <w:rPr>
                <w:rFonts w:asciiTheme="minorHAnsi" w:hAnsiTheme="minorHAnsi" w:cstheme="minorHAnsi"/>
                <w:bCs/>
                <w:sz w:val="20"/>
                <w:szCs w:val="20"/>
              </w:rPr>
              <w:t>presun z PK 1.3,</w:t>
            </w:r>
            <w:r w:rsidR="000050A2">
              <w:rPr>
                <w:rFonts w:asciiTheme="minorHAnsi" w:hAnsiTheme="minorHAnsi" w:cstheme="minorHAnsi"/>
                <w:bCs/>
                <w:sz w:val="20"/>
                <w:szCs w:val="20"/>
              </w:rPr>
              <w:br/>
            </w:r>
            <w:r w:rsidRPr="00BA779A">
              <w:rPr>
                <w:rFonts w:asciiTheme="minorHAnsi" w:hAnsiTheme="minorHAnsi" w:cstheme="minorHAnsi"/>
                <w:b/>
                <w:sz w:val="20"/>
                <w:szCs w:val="20"/>
              </w:rPr>
              <w:t>+636 075,89</w:t>
            </w:r>
            <w:r w:rsidR="00B16B6D">
              <w:rPr>
                <w:rFonts w:asciiTheme="minorHAnsi" w:hAnsiTheme="minorHAnsi" w:cstheme="minorHAnsi"/>
                <w:b/>
                <w:sz w:val="20"/>
                <w:szCs w:val="20"/>
              </w:rPr>
              <w:t xml:space="preserve"> EUR </w:t>
            </w:r>
            <w:r w:rsidRPr="00B16B6D">
              <w:rPr>
                <w:rFonts w:asciiTheme="minorHAnsi" w:hAnsiTheme="minorHAnsi" w:cstheme="minorHAnsi"/>
                <w:bCs/>
                <w:sz w:val="20"/>
                <w:szCs w:val="20"/>
              </w:rPr>
              <w:t>presun z PK 3.1,</w:t>
            </w:r>
            <w:r w:rsidR="000050A2">
              <w:rPr>
                <w:rFonts w:asciiTheme="minorHAnsi" w:hAnsiTheme="minorHAnsi" w:cstheme="minorHAnsi"/>
                <w:bCs/>
                <w:sz w:val="20"/>
                <w:szCs w:val="20"/>
              </w:rPr>
              <w:br/>
            </w:r>
            <w:r w:rsidRPr="00BA779A">
              <w:rPr>
                <w:rFonts w:asciiTheme="minorHAnsi" w:hAnsiTheme="minorHAnsi" w:cstheme="minorHAnsi"/>
                <w:b/>
                <w:sz w:val="20"/>
                <w:szCs w:val="20"/>
              </w:rPr>
              <w:t>+200 000,</w:t>
            </w:r>
            <w:r w:rsidR="00B16B6D">
              <w:rPr>
                <w:rFonts w:asciiTheme="minorHAnsi" w:hAnsiTheme="minorHAnsi" w:cstheme="minorHAnsi"/>
                <w:b/>
                <w:sz w:val="20"/>
                <w:szCs w:val="20"/>
              </w:rPr>
              <w:t xml:space="preserve"> 00 EUR </w:t>
            </w:r>
            <w:r w:rsidRPr="00B16B6D">
              <w:rPr>
                <w:rFonts w:asciiTheme="minorHAnsi" w:hAnsiTheme="minorHAnsi" w:cstheme="minorHAnsi"/>
                <w:bCs/>
                <w:sz w:val="20"/>
                <w:szCs w:val="20"/>
              </w:rPr>
              <w:t>dar pre TKEJ,</w:t>
            </w:r>
            <w:r w:rsidR="000050A2">
              <w:rPr>
                <w:rFonts w:asciiTheme="minorHAnsi" w:hAnsiTheme="minorHAnsi" w:cstheme="minorHAnsi"/>
                <w:bCs/>
                <w:sz w:val="20"/>
                <w:szCs w:val="20"/>
              </w:rPr>
              <w:br/>
            </w:r>
            <w:r w:rsidR="00B16B6D">
              <w:rPr>
                <w:rFonts w:asciiTheme="minorHAnsi" w:hAnsiTheme="minorHAnsi" w:cstheme="minorHAnsi"/>
                <w:b/>
                <w:sz w:val="20"/>
                <w:szCs w:val="20"/>
              </w:rPr>
              <w:t>+379 961,14</w:t>
            </w:r>
            <w:r w:rsidR="00B16B6D" w:rsidRPr="005479EB">
              <w:rPr>
                <w:rFonts w:asciiTheme="minorHAnsi" w:hAnsiTheme="minorHAnsi" w:cstheme="minorHAnsi"/>
                <w:b/>
                <w:sz w:val="20"/>
                <w:szCs w:val="20"/>
              </w:rPr>
              <w:t xml:space="preserve"> </w:t>
            </w:r>
            <w:r w:rsidR="00B16B6D">
              <w:rPr>
                <w:rFonts w:asciiTheme="minorHAnsi" w:hAnsiTheme="minorHAnsi" w:cstheme="minorHAnsi"/>
                <w:b/>
                <w:sz w:val="20"/>
                <w:szCs w:val="20"/>
              </w:rPr>
              <w:t xml:space="preserve">EUR </w:t>
            </w:r>
            <w:r w:rsidR="00B16B6D" w:rsidRPr="00B16B6D">
              <w:rPr>
                <w:rFonts w:asciiTheme="minorHAnsi" w:hAnsiTheme="minorHAnsi" w:cstheme="minorHAnsi"/>
                <w:bCs/>
                <w:sz w:val="20"/>
                <w:szCs w:val="20"/>
              </w:rPr>
              <w:t xml:space="preserve">presun </w:t>
            </w:r>
            <w:r w:rsidR="00B16B6D">
              <w:rPr>
                <w:rFonts w:asciiTheme="minorHAnsi" w:hAnsiTheme="minorHAnsi" w:cstheme="minorHAnsi"/>
                <w:bCs/>
                <w:sz w:val="20"/>
                <w:szCs w:val="20"/>
              </w:rPr>
              <w:t>z PK 3.3.1</w:t>
            </w:r>
          </w:p>
        </w:tc>
      </w:tr>
      <w:tr w:rsidR="002A1905" w:rsidRPr="00E2082D" w14:paraId="763655C5" w14:textId="77777777" w:rsidTr="000050A2">
        <w:trPr>
          <w:trHeight w:hRule="exact" w:val="284"/>
          <w:tblCellSpacing w:w="15" w:type="dxa"/>
        </w:trPr>
        <w:tc>
          <w:tcPr>
            <w:tcW w:w="0" w:type="auto"/>
            <w:shd w:val="clear" w:color="auto" w:fill="D9D9D9"/>
            <w:noWrap/>
            <w:vAlign w:val="center"/>
            <w:hideMark/>
          </w:tcPr>
          <w:p w14:paraId="43948216" w14:textId="77777777" w:rsidR="002A1905" w:rsidRPr="00E2082D" w:rsidRDefault="002A1905" w:rsidP="002A1905">
            <w:pPr>
              <w:rPr>
                <w:rFonts w:asciiTheme="minorHAnsi" w:hAnsiTheme="minorHAnsi" w:cstheme="minorHAnsi"/>
              </w:rPr>
            </w:pPr>
            <w:r w:rsidRPr="00E2082D">
              <w:rPr>
                <w:rFonts w:asciiTheme="minorHAnsi" w:hAnsiTheme="minorHAnsi" w:cstheme="minorHAnsi"/>
                <w:b/>
                <w:bCs/>
                <w:sz w:val="20"/>
                <w:szCs w:val="20"/>
              </w:rPr>
              <w:t>700</w:t>
            </w:r>
            <w:r w:rsidRPr="00E2082D">
              <w:rPr>
                <w:rFonts w:asciiTheme="minorHAnsi" w:hAnsiTheme="minorHAnsi" w:cstheme="minorHAnsi"/>
              </w:rPr>
              <w:t xml:space="preserve"> </w:t>
            </w:r>
          </w:p>
        </w:tc>
        <w:tc>
          <w:tcPr>
            <w:tcW w:w="0" w:type="auto"/>
            <w:shd w:val="clear" w:color="auto" w:fill="D9D9D9"/>
            <w:vAlign w:val="center"/>
            <w:hideMark/>
          </w:tcPr>
          <w:p w14:paraId="334F5125" w14:textId="77777777" w:rsidR="002A1905" w:rsidRPr="00E2082D" w:rsidRDefault="002A1905" w:rsidP="002A1905">
            <w:pPr>
              <w:rPr>
                <w:rFonts w:asciiTheme="minorHAnsi" w:hAnsiTheme="minorHAnsi" w:cstheme="minorHAnsi"/>
              </w:rPr>
            </w:pPr>
            <w:r w:rsidRPr="00E2082D">
              <w:rPr>
                <w:rFonts w:asciiTheme="minorHAnsi" w:hAnsiTheme="minorHAnsi" w:cstheme="minorHAnsi"/>
                <w:b/>
                <w:bCs/>
                <w:sz w:val="20"/>
                <w:szCs w:val="20"/>
              </w:rPr>
              <w:t>Kapitálové výdavky</w:t>
            </w:r>
            <w:r w:rsidRPr="00E2082D">
              <w:rPr>
                <w:rFonts w:asciiTheme="minorHAnsi" w:hAnsiTheme="minorHAnsi" w:cstheme="minorHAnsi"/>
              </w:rPr>
              <w:t xml:space="preserve"> </w:t>
            </w:r>
          </w:p>
        </w:tc>
        <w:tc>
          <w:tcPr>
            <w:tcW w:w="0" w:type="auto"/>
            <w:shd w:val="clear" w:color="auto" w:fill="D9D9D9"/>
            <w:noWrap/>
            <w:vAlign w:val="center"/>
            <w:hideMark/>
          </w:tcPr>
          <w:p w14:paraId="04E8D967" w14:textId="77777777" w:rsidR="002A1905" w:rsidRPr="002A1905" w:rsidRDefault="002A1905" w:rsidP="002A1905">
            <w:pPr>
              <w:jc w:val="right"/>
              <w:rPr>
                <w:rFonts w:asciiTheme="minorHAnsi" w:hAnsiTheme="minorHAnsi" w:cstheme="minorHAnsi"/>
                <w:b/>
                <w:bCs/>
                <w:color w:val="FF0000"/>
              </w:rPr>
            </w:pPr>
            <w:r w:rsidRPr="002A1905">
              <w:rPr>
                <w:rFonts w:asciiTheme="minorHAnsi" w:hAnsiTheme="minorHAnsi" w:cstheme="minorHAnsi"/>
                <w:b/>
                <w:bCs/>
                <w:sz w:val="18"/>
                <w:szCs w:val="18"/>
              </w:rPr>
              <w:t>10 185 962,63</w:t>
            </w:r>
          </w:p>
        </w:tc>
        <w:tc>
          <w:tcPr>
            <w:tcW w:w="0" w:type="auto"/>
            <w:shd w:val="clear" w:color="auto" w:fill="D9D9D9"/>
            <w:noWrap/>
            <w:vAlign w:val="center"/>
            <w:hideMark/>
          </w:tcPr>
          <w:p w14:paraId="73E8F98A" w14:textId="77777777" w:rsidR="002A1905" w:rsidRPr="002A1905" w:rsidRDefault="002A1905" w:rsidP="002A1905">
            <w:pPr>
              <w:jc w:val="right"/>
              <w:rPr>
                <w:rFonts w:asciiTheme="minorHAnsi" w:hAnsiTheme="minorHAnsi" w:cstheme="minorHAnsi"/>
                <w:b/>
                <w:bCs/>
                <w:color w:val="FF0000"/>
              </w:rPr>
            </w:pPr>
            <w:r w:rsidRPr="002A1905">
              <w:rPr>
                <w:rFonts w:asciiTheme="minorHAnsi" w:hAnsiTheme="minorHAnsi" w:cstheme="minorHAnsi"/>
                <w:b/>
                <w:bCs/>
                <w:sz w:val="18"/>
                <w:szCs w:val="18"/>
              </w:rPr>
              <w:t>10 063 990,12</w:t>
            </w:r>
          </w:p>
        </w:tc>
        <w:tc>
          <w:tcPr>
            <w:tcW w:w="0" w:type="auto"/>
            <w:shd w:val="clear" w:color="auto" w:fill="D9D9D9"/>
            <w:noWrap/>
            <w:vAlign w:val="center"/>
            <w:hideMark/>
          </w:tcPr>
          <w:p w14:paraId="4BBA1B05" w14:textId="77777777" w:rsidR="002A1905" w:rsidRPr="002A1905" w:rsidRDefault="002A1905" w:rsidP="002A1905">
            <w:pPr>
              <w:jc w:val="right"/>
              <w:rPr>
                <w:rFonts w:asciiTheme="minorHAnsi" w:hAnsiTheme="minorHAnsi" w:cstheme="minorHAnsi"/>
                <w:b/>
                <w:bCs/>
                <w:color w:val="FF0000"/>
              </w:rPr>
            </w:pPr>
            <w:r w:rsidRPr="002A1905">
              <w:rPr>
                <w:rFonts w:asciiTheme="minorHAnsi" w:hAnsiTheme="minorHAnsi" w:cstheme="minorHAnsi"/>
                <w:b/>
                <w:bCs/>
                <w:sz w:val="18"/>
                <w:szCs w:val="18"/>
              </w:rPr>
              <w:t>3 618 311,50</w:t>
            </w:r>
          </w:p>
        </w:tc>
        <w:tc>
          <w:tcPr>
            <w:tcW w:w="0" w:type="auto"/>
            <w:shd w:val="clear" w:color="auto" w:fill="D9D9D9"/>
            <w:noWrap/>
            <w:vAlign w:val="center"/>
            <w:hideMark/>
          </w:tcPr>
          <w:p w14:paraId="3DAB5A45" w14:textId="77777777" w:rsidR="002A1905" w:rsidRPr="002A1905" w:rsidRDefault="002A1905" w:rsidP="002A1905">
            <w:pPr>
              <w:jc w:val="right"/>
              <w:rPr>
                <w:rFonts w:asciiTheme="minorHAnsi" w:hAnsiTheme="minorHAnsi" w:cstheme="minorHAnsi"/>
                <w:b/>
                <w:bCs/>
                <w:color w:val="FF0000"/>
              </w:rPr>
            </w:pPr>
            <w:r w:rsidRPr="002A1905">
              <w:rPr>
                <w:rFonts w:asciiTheme="minorHAnsi" w:hAnsiTheme="minorHAnsi" w:cstheme="minorHAnsi"/>
                <w:b/>
                <w:bCs/>
                <w:sz w:val="18"/>
                <w:szCs w:val="18"/>
              </w:rPr>
              <w:t>35,95</w:t>
            </w:r>
          </w:p>
        </w:tc>
        <w:tc>
          <w:tcPr>
            <w:tcW w:w="1559" w:type="pct"/>
            <w:vMerge/>
            <w:shd w:val="clear" w:color="auto" w:fill="D9D9D9"/>
            <w:vAlign w:val="center"/>
            <w:hideMark/>
          </w:tcPr>
          <w:p w14:paraId="71B2DF88" w14:textId="77777777" w:rsidR="002A1905" w:rsidRPr="00E137D3" w:rsidRDefault="002A1905" w:rsidP="002A1905">
            <w:pPr>
              <w:rPr>
                <w:rFonts w:asciiTheme="minorHAnsi" w:hAnsiTheme="minorHAnsi" w:cstheme="minorHAnsi"/>
                <w:color w:val="FF0000"/>
              </w:rPr>
            </w:pPr>
          </w:p>
        </w:tc>
      </w:tr>
      <w:tr w:rsidR="002A1905" w:rsidRPr="00E2082D" w14:paraId="77AA5BA3" w14:textId="77777777" w:rsidTr="000050A2">
        <w:trPr>
          <w:trHeight w:hRule="exact" w:val="284"/>
          <w:tblCellSpacing w:w="15" w:type="dxa"/>
        </w:trPr>
        <w:tc>
          <w:tcPr>
            <w:tcW w:w="0" w:type="auto"/>
            <w:shd w:val="clear" w:color="auto" w:fill="EFEFEF"/>
            <w:noWrap/>
            <w:vAlign w:val="center"/>
            <w:hideMark/>
          </w:tcPr>
          <w:p w14:paraId="1D856007" w14:textId="77777777" w:rsidR="002A1905" w:rsidRPr="00E2082D" w:rsidRDefault="002A1905" w:rsidP="002A1905">
            <w:pPr>
              <w:rPr>
                <w:rFonts w:asciiTheme="minorHAnsi" w:hAnsiTheme="minorHAnsi" w:cstheme="minorHAnsi"/>
              </w:rPr>
            </w:pPr>
            <w:r w:rsidRPr="00E2082D">
              <w:rPr>
                <w:rFonts w:asciiTheme="minorHAnsi" w:hAnsiTheme="minorHAnsi" w:cstheme="minorHAnsi"/>
                <w:sz w:val="20"/>
                <w:szCs w:val="20"/>
              </w:rPr>
              <w:t>710</w:t>
            </w:r>
            <w:r w:rsidRPr="00E2082D">
              <w:rPr>
                <w:rFonts w:asciiTheme="minorHAnsi" w:hAnsiTheme="minorHAnsi" w:cstheme="minorHAnsi"/>
              </w:rPr>
              <w:t xml:space="preserve"> </w:t>
            </w:r>
          </w:p>
        </w:tc>
        <w:tc>
          <w:tcPr>
            <w:tcW w:w="0" w:type="auto"/>
            <w:shd w:val="clear" w:color="auto" w:fill="EFEFEF"/>
            <w:vAlign w:val="center"/>
            <w:hideMark/>
          </w:tcPr>
          <w:p w14:paraId="20C1B0F4" w14:textId="77777777" w:rsidR="002A1905" w:rsidRPr="00E2082D" w:rsidRDefault="002A1905" w:rsidP="002A1905">
            <w:pPr>
              <w:rPr>
                <w:rFonts w:asciiTheme="minorHAnsi" w:hAnsiTheme="minorHAnsi" w:cstheme="minorHAnsi"/>
              </w:rPr>
            </w:pPr>
            <w:proofErr w:type="spellStart"/>
            <w:r w:rsidRPr="00E2082D">
              <w:rPr>
                <w:rFonts w:asciiTheme="minorHAnsi" w:hAnsiTheme="minorHAnsi" w:cstheme="minorHAnsi"/>
                <w:sz w:val="20"/>
                <w:szCs w:val="20"/>
              </w:rPr>
              <w:t>Obst</w:t>
            </w:r>
            <w:proofErr w:type="spellEnd"/>
            <w:r w:rsidRPr="00E2082D">
              <w:rPr>
                <w:rFonts w:asciiTheme="minorHAnsi" w:hAnsiTheme="minorHAnsi" w:cstheme="minorHAnsi"/>
                <w:sz w:val="20"/>
                <w:szCs w:val="20"/>
              </w:rPr>
              <w:t xml:space="preserve">. </w:t>
            </w:r>
            <w:proofErr w:type="spellStart"/>
            <w:r w:rsidRPr="00E2082D">
              <w:rPr>
                <w:rFonts w:asciiTheme="minorHAnsi" w:hAnsiTheme="minorHAnsi" w:cstheme="minorHAnsi"/>
                <w:sz w:val="20"/>
                <w:szCs w:val="20"/>
              </w:rPr>
              <w:t>kapit</w:t>
            </w:r>
            <w:proofErr w:type="spellEnd"/>
            <w:r w:rsidRPr="00E2082D">
              <w:rPr>
                <w:rFonts w:asciiTheme="minorHAnsi" w:hAnsiTheme="minorHAnsi" w:cstheme="minorHAnsi"/>
                <w:sz w:val="20"/>
                <w:szCs w:val="20"/>
              </w:rPr>
              <w:t>. aktív</w:t>
            </w:r>
            <w:r w:rsidRPr="00E2082D">
              <w:rPr>
                <w:rFonts w:asciiTheme="minorHAnsi" w:hAnsiTheme="minorHAnsi" w:cstheme="minorHAnsi"/>
              </w:rPr>
              <w:t xml:space="preserve"> </w:t>
            </w:r>
          </w:p>
        </w:tc>
        <w:tc>
          <w:tcPr>
            <w:tcW w:w="0" w:type="auto"/>
            <w:shd w:val="clear" w:color="auto" w:fill="EFEFEF"/>
            <w:noWrap/>
            <w:vAlign w:val="center"/>
            <w:hideMark/>
          </w:tcPr>
          <w:p w14:paraId="41AE5443"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sz w:val="18"/>
                <w:szCs w:val="18"/>
              </w:rPr>
              <w:t>2 379 526,41</w:t>
            </w:r>
          </w:p>
        </w:tc>
        <w:tc>
          <w:tcPr>
            <w:tcW w:w="0" w:type="auto"/>
            <w:shd w:val="clear" w:color="auto" w:fill="EFEFEF"/>
            <w:noWrap/>
            <w:vAlign w:val="center"/>
            <w:hideMark/>
          </w:tcPr>
          <w:p w14:paraId="57E35D17"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sz w:val="18"/>
                <w:szCs w:val="18"/>
              </w:rPr>
              <w:t>2 047 535,95</w:t>
            </w:r>
          </w:p>
        </w:tc>
        <w:tc>
          <w:tcPr>
            <w:tcW w:w="0" w:type="auto"/>
            <w:shd w:val="clear" w:color="auto" w:fill="EFEFEF"/>
            <w:noWrap/>
            <w:vAlign w:val="center"/>
            <w:hideMark/>
          </w:tcPr>
          <w:p w14:paraId="48771186"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sz w:val="18"/>
                <w:szCs w:val="18"/>
              </w:rPr>
              <w:t>952 013,40</w:t>
            </w:r>
          </w:p>
        </w:tc>
        <w:tc>
          <w:tcPr>
            <w:tcW w:w="0" w:type="auto"/>
            <w:shd w:val="clear" w:color="auto" w:fill="EFEFEF"/>
            <w:noWrap/>
            <w:vAlign w:val="center"/>
            <w:hideMark/>
          </w:tcPr>
          <w:p w14:paraId="1AE8172D" w14:textId="77777777" w:rsidR="002A1905" w:rsidRPr="00E137D3" w:rsidRDefault="002A1905" w:rsidP="002A1905">
            <w:pPr>
              <w:jc w:val="right"/>
              <w:rPr>
                <w:rFonts w:asciiTheme="minorHAnsi" w:hAnsiTheme="minorHAnsi" w:cstheme="minorHAnsi"/>
                <w:color w:val="FF0000"/>
              </w:rPr>
            </w:pPr>
            <w:r w:rsidRPr="00C7637F">
              <w:rPr>
                <w:rFonts w:asciiTheme="minorHAnsi" w:hAnsiTheme="minorHAnsi" w:cstheme="minorHAnsi"/>
                <w:sz w:val="18"/>
                <w:szCs w:val="18"/>
              </w:rPr>
              <w:t>46,50</w:t>
            </w:r>
          </w:p>
        </w:tc>
        <w:tc>
          <w:tcPr>
            <w:tcW w:w="1559" w:type="pct"/>
            <w:vMerge/>
            <w:shd w:val="clear" w:color="auto" w:fill="EFEFEF"/>
            <w:vAlign w:val="center"/>
            <w:hideMark/>
          </w:tcPr>
          <w:p w14:paraId="54CDD67D" w14:textId="77777777" w:rsidR="002A1905" w:rsidRPr="00E137D3" w:rsidRDefault="002A1905" w:rsidP="002A1905">
            <w:pPr>
              <w:rPr>
                <w:rFonts w:asciiTheme="minorHAnsi" w:hAnsiTheme="minorHAnsi" w:cstheme="minorHAnsi"/>
                <w:color w:val="FF0000"/>
              </w:rPr>
            </w:pPr>
          </w:p>
        </w:tc>
      </w:tr>
      <w:tr w:rsidR="002A1905" w:rsidRPr="00E2082D" w14:paraId="36752957" w14:textId="77777777" w:rsidTr="000050A2">
        <w:trPr>
          <w:trHeight w:hRule="exact" w:val="513"/>
          <w:tblCellSpacing w:w="15" w:type="dxa"/>
        </w:trPr>
        <w:tc>
          <w:tcPr>
            <w:tcW w:w="0" w:type="auto"/>
            <w:shd w:val="clear" w:color="auto" w:fill="EFEFEF"/>
            <w:noWrap/>
            <w:vAlign w:val="center"/>
            <w:hideMark/>
          </w:tcPr>
          <w:p w14:paraId="5D8A8170" w14:textId="77777777" w:rsidR="002A1905" w:rsidRPr="00E2082D" w:rsidRDefault="002A1905" w:rsidP="002A1905">
            <w:pPr>
              <w:rPr>
                <w:rFonts w:asciiTheme="minorHAnsi" w:hAnsiTheme="minorHAnsi" w:cstheme="minorHAnsi"/>
              </w:rPr>
            </w:pPr>
            <w:r w:rsidRPr="00E2082D">
              <w:rPr>
                <w:rFonts w:asciiTheme="minorHAnsi" w:hAnsiTheme="minorHAnsi" w:cstheme="minorHAnsi"/>
                <w:sz w:val="20"/>
                <w:szCs w:val="20"/>
              </w:rPr>
              <w:t>720</w:t>
            </w:r>
            <w:r w:rsidRPr="00E2082D">
              <w:rPr>
                <w:rFonts w:asciiTheme="minorHAnsi" w:hAnsiTheme="minorHAnsi" w:cstheme="minorHAnsi"/>
              </w:rPr>
              <w:t xml:space="preserve"> </w:t>
            </w:r>
          </w:p>
        </w:tc>
        <w:tc>
          <w:tcPr>
            <w:tcW w:w="0" w:type="auto"/>
            <w:shd w:val="clear" w:color="auto" w:fill="EFEFEF"/>
            <w:vAlign w:val="center"/>
            <w:hideMark/>
          </w:tcPr>
          <w:p w14:paraId="25947E08" w14:textId="77777777" w:rsidR="002A1905" w:rsidRPr="00E2082D" w:rsidRDefault="002A1905" w:rsidP="002A1905">
            <w:pPr>
              <w:rPr>
                <w:rFonts w:asciiTheme="minorHAnsi" w:hAnsiTheme="minorHAnsi" w:cstheme="minorHAnsi"/>
              </w:rPr>
            </w:pPr>
            <w:r w:rsidRPr="00E2082D">
              <w:rPr>
                <w:rFonts w:asciiTheme="minorHAnsi" w:hAnsiTheme="minorHAnsi" w:cstheme="minorHAnsi"/>
                <w:sz w:val="20"/>
                <w:szCs w:val="20"/>
              </w:rPr>
              <w:t>Kapitálové transfery</w:t>
            </w:r>
            <w:r w:rsidRPr="00E2082D">
              <w:rPr>
                <w:rFonts w:asciiTheme="minorHAnsi" w:hAnsiTheme="minorHAnsi" w:cstheme="minorHAnsi"/>
              </w:rPr>
              <w:t xml:space="preserve"> </w:t>
            </w:r>
          </w:p>
        </w:tc>
        <w:tc>
          <w:tcPr>
            <w:tcW w:w="0" w:type="auto"/>
            <w:shd w:val="clear" w:color="auto" w:fill="EFEFEF"/>
            <w:noWrap/>
            <w:vAlign w:val="center"/>
            <w:hideMark/>
          </w:tcPr>
          <w:p w14:paraId="4CB3B24D" w14:textId="77777777" w:rsidR="002A1905" w:rsidRPr="002A1905" w:rsidRDefault="002A1905" w:rsidP="002A1905">
            <w:pPr>
              <w:jc w:val="right"/>
              <w:rPr>
                <w:rFonts w:asciiTheme="minorHAnsi" w:hAnsiTheme="minorHAnsi" w:cstheme="minorHAnsi"/>
                <w:bCs/>
                <w:color w:val="FF0000"/>
              </w:rPr>
            </w:pPr>
            <w:r w:rsidRPr="002A1905">
              <w:rPr>
                <w:rFonts w:asciiTheme="minorHAnsi" w:hAnsiTheme="minorHAnsi" w:cstheme="minorHAnsi"/>
                <w:bCs/>
                <w:sz w:val="20"/>
                <w:szCs w:val="20"/>
              </w:rPr>
              <w:t>12 565 489,04</w:t>
            </w:r>
          </w:p>
        </w:tc>
        <w:tc>
          <w:tcPr>
            <w:tcW w:w="0" w:type="auto"/>
            <w:shd w:val="clear" w:color="auto" w:fill="EFEFEF"/>
            <w:noWrap/>
            <w:vAlign w:val="center"/>
            <w:hideMark/>
          </w:tcPr>
          <w:p w14:paraId="24CC130F" w14:textId="77777777" w:rsidR="002A1905" w:rsidRPr="002A1905" w:rsidRDefault="002A1905" w:rsidP="002A1905">
            <w:pPr>
              <w:jc w:val="right"/>
              <w:rPr>
                <w:rFonts w:asciiTheme="minorHAnsi" w:hAnsiTheme="minorHAnsi" w:cstheme="minorHAnsi"/>
                <w:bCs/>
                <w:color w:val="FF0000"/>
              </w:rPr>
            </w:pPr>
            <w:r w:rsidRPr="002A1905">
              <w:rPr>
                <w:rFonts w:asciiTheme="minorHAnsi" w:hAnsiTheme="minorHAnsi" w:cstheme="minorHAnsi"/>
                <w:bCs/>
                <w:sz w:val="20"/>
                <w:szCs w:val="20"/>
              </w:rPr>
              <w:t>12 111 526,07</w:t>
            </w:r>
          </w:p>
        </w:tc>
        <w:tc>
          <w:tcPr>
            <w:tcW w:w="0" w:type="auto"/>
            <w:shd w:val="clear" w:color="auto" w:fill="EFEFEF"/>
            <w:noWrap/>
            <w:vAlign w:val="center"/>
            <w:hideMark/>
          </w:tcPr>
          <w:p w14:paraId="4403ED2E" w14:textId="77777777" w:rsidR="002A1905" w:rsidRPr="002A1905" w:rsidRDefault="002A1905" w:rsidP="002A1905">
            <w:pPr>
              <w:jc w:val="right"/>
              <w:rPr>
                <w:rFonts w:asciiTheme="minorHAnsi" w:hAnsiTheme="minorHAnsi" w:cstheme="minorHAnsi"/>
                <w:bCs/>
                <w:color w:val="FF0000"/>
              </w:rPr>
            </w:pPr>
            <w:r w:rsidRPr="002A1905">
              <w:rPr>
                <w:rFonts w:asciiTheme="minorHAnsi" w:hAnsiTheme="minorHAnsi" w:cstheme="minorHAnsi"/>
                <w:bCs/>
                <w:sz w:val="20"/>
                <w:szCs w:val="20"/>
              </w:rPr>
              <w:t>4 570 324,90</w:t>
            </w:r>
          </w:p>
        </w:tc>
        <w:tc>
          <w:tcPr>
            <w:tcW w:w="0" w:type="auto"/>
            <w:shd w:val="clear" w:color="auto" w:fill="EFEFEF"/>
            <w:noWrap/>
            <w:vAlign w:val="center"/>
            <w:hideMark/>
          </w:tcPr>
          <w:p w14:paraId="65AEE988" w14:textId="77777777" w:rsidR="002A1905" w:rsidRPr="002A1905" w:rsidRDefault="002A1905" w:rsidP="002A1905">
            <w:pPr>
              <w:jc w:val="right"/>
              <w:rPr>
                <w:rFonts w:asciiTheme="minorHAnsi" w:hAnsiTheme="minorHAnsi" w:cstheme="minorHAnsi"/>
                <w:bCs/>
                <w:color w:val="FF0000"/>
              </w:rPr>
            </w:pPr>
            <w:r w:rsidRPr="002A1905">
              <w:rPr>
                <w:rFonts w:asciiTheme="minorHAnsi" w:hAnsiTheme="minorHAnsi" w:cstheme="minorHAnsi"/>
                <w:bCs/>
                <w:sz w:val="20"/>
                <w:szCs w:val="20"/>
              </w:rPr>
              <w:t>37,74</w:t>
            </w:r>
          </w:p>
        </w:tc>
        <w:tc>
          <w:tcPr>
            <w:tcW w:w="1559" w:type="pct"/>
            <w:vMerge/>
            <w:shd w:val="clear" w:color="auto" w:fill="EFEFEF"/>
            <w:vAlign w:val="center"/>
            <w:hideMark/>
          </w:tcPr>
          <w:p w14:paraId="0241EEDC" w14:textId="77777777" w:rsidR="002A1905" w:rsidRPr="00E137D3" w:rsidRDefault="002A1905" w:rsidP="002A1905">
            <w:pPr>
              <w:rPr>
                <w:rFonts w:asciiTheme="minorHAnsi" w:hAnsiTheme="minorHAnsi" w:cstheme="minorHAnsi"/>
                <w:color w:val="FF0000"/>
              </w:rPr>
            </w:pPr>
          </w:p>
        </w:tc>
      </w:tr>
    </w:tbl>
    <w:p w14:paraId="043AE94D" w14:textId="6314EE96" w:rsidR="00B57C2F" w:rsidRDefault="00B57C2F" w:rsidP="00725C26">
      <w:pPr>
        <w:spacing w:before="100" w:beforeAutospacing="1" w:after="100" w:afterAutospacing="1" w:line="240" w:lineRule="auto"/>
        <w:outlineLvl w:val="1"/>
        <w:rPr>
          <w:b/>
          <w:bCs/>
          <w:color w:val="880000"/>
          <w:sz w:val="36"/>
          <w:szCs w:val="36"/>
          <w:highlight w:val="yellow"/>
          <w:lang w:eastAsia="sk-SK"/>
        </w:rPr>
      </w:pPr>
    </w:p>
    <w:p w14:paraId="7DBB2E7F" w14:textId="77777777" w:rsidR="00B57C2F" w:rsidRPr="00212376" w:rsidRDefault="00B57C2F" w:rsidP="00B57C2F">
      <w:pPr>
        <w:spacing w:before="100" w:beforeAutospacing="1" w:after="100" w:afterAutospacing="1" w:line="240" w:lineRule="auto"/>
        <w:outlineLvl w:val="1"/>
        <w:rPr>
          <w:rFonts w:cstheme="minorHAnsi"/>
          <w:b/>
          <w:bCs/>
          <w:color w:val="880000"/>
          <w:sz w:val="36"/>
          <w:szCs w:val="36"/>
          <w:lang w:eastAsia="sk-SK"/>
        </w:rPr>
      </w:pPr>
      <w:r w:rsidRPr="00212376">
        <w:rPr>
          <w:rFonts w:cstheme="minorHAnsi"/>
          <w:b/>
          <w:bCs/>
          <w:color w:val="880000"/>
          <w:sz w:val="36"/>
          <w:szCs w:val="36"/>
          <w:lang w:eastAsia="sk-SK"/>
        </w:rPr>
        <w:t>Program 4: Cestovný ruch</w:t>
      </w:r>
    </w:p>
    <w:p w14:paraId="10F3AB63" w14:textId="42439E55" w:rsidR="00B57C2F" w:rsidRPr="00212376" w:rsidRDefault="00B57C2F" w:rsidP="00B57C2F">
      <w:pPr>
        <w:spacing w:before="100" w:beforeAutospacing="1" w:after="100" w:afterAutospacing="1" w:line="240" w:lineRule="auto"/>
        <w:rPr>
          <w:rFonts w:cstheme="minorHAnsi"/>
          <w:sz w:val="24"/>
          <w:szCs w:val="24"/>
          <w:lang w:eastAsia="sk-SK"/>
        </w:rPr>
      </w:pPr>
      <w:r w:rsidRPr="00212376">
        <w:rPr>
          <w:rFonts w:cstheme="minorHAnsi"/>
          <w:b/>
          <w:bCs/>
          <w:sz w:val="24"/>
          <w:szCs w:val="24"/>
          <w:lang w:eastAsia="sk-SK"/>
        </w:rPr>
        <w:t xml:space="preserve">Zámer: </w:t>
      </w:r>
      <w:r w:rsidRPr="00212376">
        <w:rPr>
          <w:rFonts w:cstheme="minorHAnsi"/>
          <w:sz w:val="24"/>
          <w:szCs w:val="24"/>
          <w:lang w:eastAsia="sk-SK"/>
        </w:rPr>
        <w:t xml:space="preserve">Bratislavský kraj - vyhľadávaná turistická destinácia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79"/>
        <w:gridCol w:w="2173"/>
        <w:gridCol w:w="1318"/>
        <w:gridCol w:w="1408"/>
        <w:gridCol w:w="1325"/>
        <w:gridCol w:w="1267"/>
        <w:gridCol w:w="2096"/>
      </w:tblGrid>
      <w:tr w:rsidR="00B57C2F" w:rsidRPr="00212376" w14:paraId="084AA5F4" w14:textId="77777777" w:rsidTr="00B57C2F">
        <w:trPr>
          <w:tblCellSpacing w:w="15" w:type="dxa"/>
        </w:trPr>
        <w:tc>
          <w:tcPr>
            <w:tcW w:w="0" w:type="auto"/>
            <w:shd w:val="clear" w:color="auto" w:fill="C6DBF7"/>
            <w:vAlign w:val="center"/>
            <w:hideMark/>
          </w:tcPr>
          <w:p w14:paraId="6F02A225"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Kód EK</w:t>
            </w:r>
          </w:p>
        </w:tc>
        <w:tc>
          <w:tcPr>
            <w:tcW w:w="1048" w:type="pct"/>
            <w:shd w:val="clear" w:color="auto" w:fill="C6DBF7"/>
            <w:vAlign w:val="center"/>
            <w:hideMark/>
          </w:tcPr>
          <w:p w14:paraId="53135396"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Ekonomická klasifikácia</w:t>
            </w:r>
          </w:p>
        </w:tc>
        <w:tc>
          <w:tcPr>
            <w:tcW w:w="0" w:type="auto"/>
            <w:shd w:val="clear" w:color="auto" w:fill="C6DBF7"/>
            <w:vAlign w:val="center"/>
            <w:hideMark/>
          </w:tcPr>
          <w:p w14:paraId="277A7BEF"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Schválený</w:t>
            </w:r>
            <w:r w:rsidRPr="00212376">
              <w:rPr>
                <w:rFonts w:cstheme="minorHAnsi"/>
                <w:b/>
                <w:bCs/>
                <w:sz w:val="20"/>
                <w:szCs w:val="20"/>
                <w:lang w:eastAsia="sk-SK"/>
              </w:rPr>
              <w:br/>
              <w:t>rozpočet</w:t>
            </w:r>
            <w:r w:rsidRPr="00212376">
              <w:rPr>
                <w:rFonts w:cstheme="minorHAnsi"/>
                <w:b/>
                <w:bCs/>
                <w:sz w:val="20"/>
                <w:szCs w:val="20"/>
                <w:lang w:eastAsia="sk-SK"/>
              </w:rPr>
              <w:br/>
              <w:t>v EUR</w:t>
            </w:r>
          </w:p>
        </w:tc>
        <w:tc>
          <w:tcPr>
            <w:tcW w:w="674" w:type="pct"/>
            <w:shd w:val="clear" w:color="auto" w:fill="C6DBF7"/>
            <w:vAlign w:val="center"/>
            <w:hideMark/>
          </w:tcPr>
          <w:p w14:paraId="20F13C85"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Zmenený</w:t>
            </w:r>
            <w:r w:rsidRPr="00212376">
              <w:rPr>
                <w:rFonts w:cstheme="minorHAnsi"/>
                <w:b/>
                <w:bCs/>
                <w:sz w:val="20"/>
                <w:szCs w:val="20"/>
                <w:lang w:eastAsia="sk-SK"/>
              </w:rPr>
              <w:br/>
              <w:t>rozpočet</w:t>
            </w:r>
            <w:r w:rsidRPr="00212376">
              <w:rPr>
                <w:rFonts w:cstheme="minorHAnsi"/>
                <w:b/>
                <w:bCs/>
                <w:sz w:val="20"/>
                <w:szCs w:val="20"/>
                <w:lang w:eastAsia="sk-SK"/>
              </w:rPr>
              <w:br/>
              <w:t>v EUR</w:t>
            </w:r>
          </w:p>
        </w:tc>
        <w:tc>
          <w:tcPr>
            <w:tcW w:w="633" w:type="pct"/>
            <w:shd w:val="clear" w:color="auto" w:fill="C6DBF7"/>
            <w:vAlign w:val="center"/>
            <w:hideMark/>
          </w:tcPr>
          <w:p w14:paraId="61AB72BC"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Čerpanie</w:t>
            </w:r>
            <w:r w:rsidRPr="00212376">
              <w:rPr>
                <w:rFonts w:cstheme="minorHAnsi"/>
                <w:b/>
                <w:bCs/>
                <w:sz w:val="20"/>
                <w:szCs w:val="20"/>
                <w:lang w:eastAsia="sk-SK"/>
              </w:rPr>
              <w:br/>
              <w:t>v EUR</w:t>
            </w:r>
          </w:p>
        </w:tc>
        <w:tc>
          <w:tcPr>
            <w:tcW w:w="605" w:type="pct"/>
            <w:shd w:val="clear" w:color="auto" w:fill="C6DBF7"/>
            <w:vAlign w:val="center"/>
            <w:hideMark/>
          </w:tcPr>
          <w:p w14:paraId="095D8DE3"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Čerpanie</w:t>
            </w:r>
            <w:r w:rsidRPr="00212376">
              <w:rPr>
                <w:rFonts w:cstheme="minorHAnsi"/>
                <w:b/>
                <w:bCs/>
                <w:sz w:val="20"/>
                <w:szCs w:val="20"/>
                <w:lang w:eastAsia="sk-SK"/>
              </w:rPr>
              <w:br/>
              <w:t xml:space="preserve">k </w:t>
            </w:r>
            <w:proofErr w:type="spellStart"/>
            <w:r w:rsidRPr="00212376">
              <w:rPr>
                <w:rFonts w:cstheme="minorHAnsi"/>
                <w:b/>
                <w:bCs/>
                <w:sz w:val="20"/>
                <w:szCs w:val="20"/>
                <w:lang w:eastAsia="sk-SK"/>
              </w:rPr>
              <w:t>zmen</w:t>
            </w:r>
            <w:proofErr w:type="spellEnd"/>
            <w:r w:rsidRPr="00212376">
              <w:rPr>
                <w:rFonts w:cstheme="minorHAnsi"/>
                <w:b/>
                <w:bCs/>
                <w:sz w:val="20"/>
                <w:szCs w:val="20"/>
                <w:lang w:eastAsia="sk-SK"/>
              </w:rPr>
              <w:t xml:space="preserve">. </w:t>
            </w:r>
            <w:proofErr w:type="spellStart"/>
            <w:r w:rsidRPr="00212376">
              <w:rPr>
                <w:rFonts w:cstheme="minorHAnsi"/>
                <w:b/>
                <w:bCs/>
                <w:sz w:val="20"/>
                <w:szCs w:val="20"/>
                <w:lang w:eastAsia="sk-SK"/>
              </w:rPr>
              <w:t>rozp</w:t>
            </w:r>
            <w:proofErr w:type="spellEnd"/>
            <w:r w:rsidRPr="00212376">
              <w:rPr>
                <w:rFonts w:cstheme="minorHAnsi"/>
                <w:b/>
                <w:bCs/>
                <w:sz w:val="20"/>
                <w:szCs w:val="20"/>
                <w:lang w:eastAsia="sk-SK"/>
              </w:rPr>
              <w:t>.</w:t>
            </w:r>
            <w:r w:rsidRPr="00212376">
              <w:rPr>
                <w:rFonts w:cstheme="minorHAnsi"/>
                <w:b/>
                <w:bCs/>
                <w:sz w:val="20"/>
                <w:szCs w:val="20"/>
                <w:lang w:eastAsia="sk-SK"/>
              </w:rPr>
              <w:br/>
              <w:t>v %</w:t>
            </w:r>
          </w:p>
        </w:tc>
        <w:tc>
          <w:tcPr>
            <w:tcW w:w="1003" w:type="pct"/>
            <w:shd w:val="clear" w:color="auto" w:fill="C6DBF7"/>
            <w:vAlign w:val="center"/>
            <w:hideMark/>
          </w:tcPr>
          <w:p w14:paraId="6518ED0B"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Zmeny rozpočtu</w:t>
            </w:r>
          </w:p>
        </w:tc>
      </w:tr>
      <w:tr w:rsidR="00B57C2F" w:rsidRPr="00212376" w14:paraId="724B53BE" w14:textId="77777777" w:rsidTr="00B57C2F">
        <w:trPr>
          <w:tblCellSpacing w:w="15" w:type="dxa"/>
        </w:trPr>
        <w:tc>
          <w:tcPr>
            <w:tcW w:w="0" w:type="auto"/>
            <w:shd w:val="clear" w:color="auto" w:fill="D9D9D9"/>
            <w:noWrap/>
            <w:vAlign w:val="center"/>
            <w:hideMark/>
          </w:tcPr>
          <w:p w14:paraId="32CD24C8" w14:textId="77777777" w:rsidR="00B57C2F" w:rsidRPr="00212376" w:rsidRDefault="00B57C2F" w:rsidP="00314060">
            <w:pPr>
              <w:spacing w:after="0" w:line="240" w:lineRule="auto"/>
              <w:jc w:val="center"/>
              <w:rPr>
                <w:rFonts w:cstheme="minorHAnsi"/>
                <w:sz w:val="24"/>
                <w:szCs w:val="24"/>
                <w:lang w:eastAsia="sk-SK"/>
              </w:rPr>
            </w:pPr>
          </w:p>
        </w:tc>
        <w:tc>
          <w:tcPr>
            <w:tcW w:w="0" w:type="auto"/>
            <w:shd w:val="clear" w:color="auto" w:fill="D9D9D9"/>
            <w:vAlign w:val="center"/>
            <w:hideMark/>
          </w:tcPr>
          <w:p w14:paraId="0308EDC4"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Výdavky celkom</w:t>
            </w:r>
            <w:r w:rsidRPr="00212376">
              <w:rPr>
                <w:rFonts w:cstheme="minorHAnsi"/>
                <w:sz w:val="24"/>
                <w:szCs w:val="24"/>
                <w:lang w:eastAsia="sk-SK"/>
              </w:rPr>
              <w:t xml:space="preserve"> </w:t>
            </w:r>
          </w:p>
        </w:tc>
        <w:tc>
          <w:tcPr>
            <w:tcW w:w="0" w:type="auto"/>
            <w:shd w:val="clear" w:color="auto" w:fill="D9D9D9"/>
            <w:noWrap/>
            <w:vAlign w:val="center"/>
            <w:hideMark/>
          </w:tcPr>
          <w:p w14:paraId="08963B45"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946 780,00</w:t>
            </w:r>
            <w:r w:rsidRPr="00212376">
              <w:rPr>
                <w:rFonts w:cstheme="minorHAnsi"/>
                <w:sz w:val="24"/>
                <w:szCs w:val="24"/>
                <w:lang w:eastAsia="sk-SK"/>
              </w:rPr>
              <w:t xml:space="preserve"> </w:t>
            </w:r>
          </w:p>
        </w:tc>
        <w:tc>
          <w:tcPr>
            <w:tcW w:w="674" w:type="pct"/>
            <w:shd w:val="clear" w:color="auto" w:fill="D9D9D9"/>
            <w:noWrap/>
            <w:vAlign w:val="center"/>
            <w:hideMark/>
          </w:tcPr>
          <w:p w14:paraId="066C68FD"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647 780,00</w:t>
            </w:r>
            <w:r w:rsidRPr="00212376">
              <w:rPr>
                <w:rFonts w:cstheme="minorHAnsi"/>
                <w:sz w:val="24"/>
                <w:szCs w:val="24"/>
                <w:lang w:eastAsia="sk-SK"/>
              </w:rPr>
              <w:t xml:space="preserve"> </w:t>
            </w:r>
          </w:p>
        </w:tc>
        <w:tc>
          <w:tcPr>
            <w:tcW w:w="633" w:type="pct"/>
            <w:shd w:val="clear" w:color="auto" w:fill="D9D9D9"/>
            <w:noWrap/>
            <w:vAlign w:val="center"/>
            <w:hideMark/>
          </w:tcPr>
          <w:p w14:paraId="08046EBF"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534 360,80</w:t>
            </w:r>
            <w:r w:rsidRPr="00212376">
              <w:rPr>
                <w:rFonts w:cstheme="minorHAnsi"/>
                <w:sz w:val="24"/>
                <w:szCs w:val="24"/>
                <w:lang w:eastAsia="sk-SK"/>
              </w:rPr>
              <w:t xml:space="preserve"> </w:t>
            </w:r>
          </w:p>
        </w:tc>
        <w:tc>
          <w:tcPr>
            <w:tcW w:w="605" w:type="pct"/>
            <w:shd w:val="clear" w:color="auto" w:fill="D9D9D9"/>
            <w:noWrap/>
            <w:vAlign w:val="center"/>
            <w:hideMark/>
          </w:tcPr>
          <w:p w14:paraId="2D194C7D"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82,49</w:t>
            </w:r>
            <w:r w:rsidRPr="00212376">
              <w:rPr>
                <w:rFonts w:cstheme="minorHAnsi"/>
                <w:sz w:val="24"/>
                <w:szCs w:val="24"/>
                <w:lang w:eastAsia="sk-SK"/>
              </w:rPr>
              <w:t xml:space="preserve"> </w:t>
            </w:r>
          </w:p>
        </w:tc>
        <w:tc>
          <w:tcPr>
            <w:tcW w:w="1003" w:type="pct"/>
            <w:vMerge w:val="restart"/>
            <w:shd w:val="clear" w:color="auto" w:fill="D9D9D9"/>
            <w:vAlign w:val="center"/>
            <w:hideMark/>
          </w:tcPr>
          <w:p w14:paraId="3E9825B4" w14:textId="7577A22A" w:rsidR="00B57C2F" w:rsidRDefault="00B57C2F" w:rsidP="00314060">
            <w:pPr>
              <w:spacing w:after="0" w:line="240" w:lineRule="auto"/>
              <w:rPr>
                <w:sz w:val="20"/>
                <w:szCs w:val="20"/>
                <w:lang w:eastAsia="sk-SK"/>
              </w:rPr>
            </w:pPr>
            <w:r>
              <w:rPr>
                <w:b/>
                <w:sz w:val="20"/>
                <w:szCs w:val="20"/>
                <w:lang w:eastAsia="sk-SK"/>
              </w:rPr>
              <w:t>-299 000</w:t>
            </w:r>
            <w:r w:rsidRPr="00421D9F">
              <w:rPr>
                <w:b/>
                <w:sz w:val="20"/>
                <w:szCs w:val="20"/>
                <w:lang w:eastAsia="sk-SK"/>
              </w:rPr>
              <w:t xml:space="preserve"> EUR</w:t>
            </w:r>
            <w:r w:rsidRPr="00421D9F">
              <w:rPr>
                <w:sz w:val="20"/>
                <w:szCs w:val="20"/>
                <w:lang w:eastAsia="sk-SK"/>
              </w:rPr>
              <w:t xml:space="preserve"> </w:t>
            </w:r>
            <w:r>
              <w:rPr>
                <w:sz w:val="20"/>
                <w:szCs w:val="20"/>
                <w:lang w:eastAsia="sk-SK"/>
              </w:rPr>
              <w:t>UZN BSK č.247/2020</w:t>
            </w:r>
          </w:p>
          <w:p w14:paraId="6DEB2DDC" w14:textId="77777777" w:rsidR="00B57C2F" w:rsidRPr="00212376" w:rsidRDefault="00B57C2F" w:rsidP="00314060">
            <w:pPr>
              <w:spacing w:after="0" w:line="240" w:lineRule="auto"/>
              <w:rPr>
                <w:rFonts w:cstheme="minorHAnsi"/>
                <w:sz w:val="24"/>
                <w:szCs w:val="24"/>
                <w:lang w:eastAsia="sk-SK"/>
              </w:rPr>
            </w:pPr>
          </w:p>
        </w:tc>
      </w:tr>
      <w:tr w:rsidR="00B57C2F" w:rsidRPr="00212376" w14:paraId="55E34E79" w14:textId="77777777" w:rsidTr="00B57C2F">
        <w:trPr>
          <w:tblCellSpacing w:w="15" w:type="dxa"/>
        </w:trPr>
        <w:tc>
          <w:tcPr>
            <w:tcW w:w="0" w:type="auto"/>
            <w:shd w:val="clear" w:color="auto" w:fill="D9D9D9"/>
            <w:noWrap/>
            <w:vAlign w:val="center"/>
            <w:hideMark/>
          </w:tcPr>
          <w:p w14:paraId="4ED8A5EB"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600</w:t>
            </w:r>
            <w:r w:rsidRPr="00212376">
              <w:rPr>
                <w:rFonts w:cstheme="minorHAnsi"/>
                <w:sz w:val="24"/>
                <w:szCs w:val="24"/>
                <w:lang w:eastAsia="sk-SK"/>
              </w:rPr>
              <w:t xml:space="preserve"> </w:t>
            </w:r>
          </w:p>
        </w:tc>
        <w:tc>
          <w:tcPr>
            <w:tcW w:w="0" w:type="auto"/>
            <w:shd w:val="clear" w:color="auto" w:fill="D9D9D9"/>
            <w:vAlign w:val="center"/>
            <w:hideMark/>
          </w:tcPr>
          <w:p w14:paraId="686218FC"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Bežné výdavky</w:t>
            </w:r>
            <w:r w:rsidRPr="00212376">
              <w:rPr>
                <w:rFonts w:cstheme="minorHAnsi"/>
                <w:sz w:val="24"/>
                <w:szCs w:val="24"/>
                <w:lang w:eastAsia="sk-SK"/>
              </w:rPr>
              <w:t xml:space="preserve"> </w:t>
            </w:r>
          </w:p>
        </w:tc>
        <w:tc>
          <w:tcPr>
            <w:tcW w:w="0" w:type="auto"/>
            <w:shd w:val="clear" w:color="auto" w:fill="D9D9D9"/>
            <w:noWrap/>
            <w:vAlign w:val="center"/>
            <w:hideMark/>
          </w:tcPr>
          <w:p w14:paraId="16657BFA"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946 780,00</w:t>
            </w:r>
            <w:r w:rsidRPr="00212376">
              <w:rPr>
                <w:rFonts w:cstheme="minorHAnsi"/>
                <w:sz w:val="24"/>
                <w:szCs w:val="24"/>
                <w:lang w:eastAsia="sk-SK"/>
              </w:rPr>
              <w:t xml:space="preserve"> </w:t>
            </w:r>
          </w:p>
        </w:tc>
        <w:tc>
          <w:tcPr>
            <w:tcW w:w="674" w:type="pct"/>
            <w:shd w:val="clear" w:color="auto" w:fill="D9D9D9"/>
            <w:noWrap/>
            <w:vAlign w:val="center"/>
            <w:hideMark/>
          </w:tcPr>
          <w:p w14:paraId="4E51E609"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647 780,00</w:t>
            </w:r>
            <w:r w:rsidRPr="00212376">
              <w:rPr>
                <w:rFonts w:cstheme="minorHAnsi"/>
                <w:sz w:val="24"/>
                <w:szCs w:val="24"/>
                <w:lang w:eastAsia="sk-SK"/>
              </w:rPr>
              <w:t xml:space="preserve"> </w:t>
            </w:r>
          </w:p>
        </w:tc>
        <w:tc>
          <w:tcPr>
            <w:tcW w:w="633" w:type="pct"/>
            <w:shd w:val="clear" w:color="auto" w:fill="D9D9D9"/>
            <w:noWrap/>
            <w:vAlign w:val="center"/>
            <w:hideMark/>
          </w:tcPr>
          <w:p w14:paraId="36F2B44C"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534 360,80</w:t>
            </w:r>
            <w:r w:rsidRPr="00212376">
              <w:rPr>
                <w:rFonts w:cstheme="minorHAnsi"/>
                <w:sz w:val="24"/>
                <w:szCs w:val="24"/>
                <w:lang w:eastAsia="sk-SK"/>
              </w:rPr>
              <w:t xml:space="preserve"> </w:t>
            </w:r>
          </w:p>
        </w:tc>
        <w:tc>
          <w:tcPr>
            <w:tcW w:w="605" w:type="pct"/>
            <w:shd w:val="clear" w:color="auto" w:fill="D9D9D9"/>
            <w:noWrap/>
            <w:vAlign w:val="center"/>
            <w:hideMark/>
          </w:tcPr>
          <w:p w14:paraId="17FB96F6"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b/>
                <w:bCs/>
                <w:sz w:val="20"/>
                <w:szCs w:val="20"/>
                <w:lang w:eastAsia="sk-SK"/>
              </w:rPr>
              <w:t>82,49</w:t>
            </w:r>
            <w:r w:rsidRPr="00212376">
              <w:rPr>
                <w:rFonts w:cstheme="minorHAnsi"/>
                <w:sz w:val="24"/>
                <w:szCs w:val="24"/>
                <w:lang w:eastAsia="sk-SK"/>
              </w:rPr>
              <w:t xml:space="preserve"> </w:t>
            </w:r>
          </w:p>
        </w:tc>
        <w:tc>
          <w:tcPr>
            <w:tcW w:w="1003" w:type="pct"/>
            <w:vMerge/>
            <w:shd w:val="clear" w:color="auto" w:fill="D9D9D9"/>
            <w:vAlign w:val="center"/>
            <w:hideMark/>
          </w:tcPr>
          <w:p w14:paraId="29DB1C8E" w14:textId="77777777" w:rsidR="00B57C2F" w:rsidRPr="00212376" w:rsidRDefault="00B57C2F" w:rsidP="00314060">
            <w:pPr>
              <w:spacing w:after="0" w:line="240" w:lineRule="auto"/>
              <w:rPr>
                <w:rFonts w:cstheme="minorHAnsi"/>
                <w:sz w:val="24"/>
                <w:szCs w:val="24"/>
                <w:lang w:eastAsia="sk-SK"/>
              </w:rPr>
            </w:pPr>
          </w:p>
        </w:tc>
      </w:tr>
      <w:tr w:rsidR="00B57C2F" w:rsidRPr="00212376" w14:paraId="22D02D65" w14:textId="77777777" w:rsidTr="00B57C2F">
        <w:trPr>
          <w:tblCellSpacing w:w="15" w:type="dxa"/>
        </w:trPr>
        <w:tc>
          <w:tcPr>
            <w:tcW w:w="0" w:type="auto"/>
            <w:shd w:val="clear" w:color="auto" w:fill="EFEFEF"/>
            <w:noWrap/>
            <w:vAlign w:val="center"/>
            <w:hideMark/>
          </w:tcPr>
          <w:p w14:paraId="0C465E76"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630</w:t>
            </w:r>
            <w:r w:rsidRPr="00212376">
              <w:rPr>
                <w:rFonts w:cstheme="minorHAnsi"/>
                <w:sz w:val="24"/>
                <w:szCs w:val="24"/>
                <w:lang w:eastAsia="sk-SK"/>
              </w:rPr>
              <w:t xml:space="preserve"> </w:t>
            </w:r>
          </w:p>
        </w:tc>
        <w:tc>
          <w:tcPr>
            <w:tcW w:w="0" w:type="auto"/>
            <w:shd w:val="clear" w:color="auto" w:fill="EFEFEF"/>
            <w:vAlign w:val="center"/>
            <w:hideMark/>
          </w:tcPr>
          <w:p w14:paraId="02A29AEE"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Tovary a služby</w:t>
            </w:r>
            <w:r w:rsidRPr="00212376">
              <w:rPr>
                <w:rFonts w:cstheme="minorHAnsi"/>
                <w:sz w:val="24"/>
                <w:szCs w:val="24"/>
                <w:lang w:eastAsia="sk-SK"/>
              </w:rPr>
              <w:t xml:space="preserve"> </w:t>
            </w:r>
          </w:p>
        </w:tc>
        <w:tc>
          <w:tcPr>
            <w:tcW w:w="0" w:type="auto"/>
            <w:shd w:val="clear" w:color="auto" w:fill="EFEFEF"/>
            <w:noWrap/>
            <w:vAlign w:val="center"/>
            <w:hideMark/>
          </w:tcPr>
          <w:p w14:paraId="331E4992"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476 780,00</w:t>
            </w:r>
            <w:r w:rsidRPr="00212376">
              <w:rPr>
                <w:rFonts w:cstheme="minorHAnsi"/>
                <w:sz w:val="24"/>
                <w:szCs w:val="24"/>
                <w:lang w:eastAsia="sk-SK"/>
              </w:rPr>
              <w:t xml:space="preserve"> </w:t>
            </w:r>
          </w:p>
        </w:tc>
        <w:tc>
          <w:tcPr>
            <w:tcW w:w="674" w:type="pct"/>
            <w:shd w:val="clear" w:color="auto" w:fill="EFEFEF"/>
            <w:noWrap/>
            <w:vAlign w:val="center"/>
            <w:hideMark/>
          </w:tcPr>
          <w:p w14:paraId="2BF926DB"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167 780,00</w:t>
            </w:r>
            <w:r w:rsidRPr="00212376">
              <w:rPr>
                <w:rFonts w:cstheme="minorHAnsi"/>
                <w:sz w:val="24"/>
                <w:szCs w:val="24"/>
                <w:lang w:eastAsia="sk-SK"/>
              </w:rPr>
              <w:t xml:space="preserve"> </w:t>
            </w:r>
          </w:p>
        </w:tc>
        <w:tc>
          <w:tcPr>
            <w:tcW w:w="633" w:type="pct"/>
            <w:shd w:val="clear" w:color="auto" w:fill="EFEFEF"/>
            <w:noWrap/>
            <w:vAlign w:val="center"/>
            <w:hideMark/>
          </w:tcPr>
          <w:p w14:paraId="10546E9C"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57 260,80</w:t>
            </w:r>
            <w:r w:rsidRPr="00212376">
              <w:rPr>
                <w:rFonts w:cstheme="minorHAnsi"/>
                <w:sz w:val="24"/>
                <w:szCs w:val="24"/>
                <w:lang w:eastAsia="sk-SK"/>
              </w:rPr>
              <w:t xml:space="preserve"> </w:t>
            </w:r>
          </w:p>
        </w:tc>
        <w:tc>
          <w:tcPr>
            <w:tcW w:w="605" w:type="pct"/>
            <w:shd w:val="clear" w:color="auto" w:fill="EFEFEF"/>
            <w:noWrap/>
            <w:vAlign w:val="center"/>
            <w:hideMark/>
          </w:tcPr>
          <w:p w14:paraId="1224225A"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34,13</w:t>
            </w:r>
            <w:r w:rsidRPr="00212376">
              <w:rPr>
                <w:rFonts w:cstheme="minorHAnsi"/>
                <w:sz w:val="24"/>
                <w:szCs w:val="24"/>
                <w:lang w:eastAsia="sk-SK"/>
              </w:rPr>
              <w:t xml:space="preserve"> </w:t>
            </w:r>
          </w:p>
        </w:tc>
        <w:tc>
          <w:tcPr>
            <w:tcW w:w="1003" w:type="pct"/>
            <w:vMerge/>
            <w:shd w:val="clear" w:color="auto" w:fill="EFEFEF"/>
            <w:vAlign w:val="center"/>
            <w:hideMark/>
          </w:tcPr>
          <w:p w14:paraId="0F469BB5" w14:textId="77777777" w:rsidR="00B57C2F" w:rsidRPr="00212376" w:rsidRDefault="00B57C2F" w:rsidP="00314060">
            <w:pPr>
              <w:spacing w:after="0" w:line="240" w:lineRule="auto"/>
              <w:rPr>
                <w:rFonts w:cstheme="minorHAnsi"/>
                <w:sz w:val="24"/>
                <w:szCs w:val="24"/>
                <w:lang w:eastAsia="sk-SK"/>
              </w:rPr>
            </w:pPr>
          </w:p>
        </w:tc>
      </w:tr>
      <w:tr w:rsidR="00B57C2F" w:rsidRPr="00212376" w14:paraId="2966D368" w14:textId="77777777" w:rsidTr="00B57C2F">
        <w:trPr>
          <w:tblCellSpacing w:w="15" w:type="dxa"/>
        </w:trPr>
        <w:tc>
          <w:tcPr>
            <w:tcW w:w="0" w:type="auto"/>
            <w:shd w:val="clear" w:color="auto" w:fill="EFEFEF"/>
            <w:noWrap/>
            <w:vAlign w:val="center"/>
            <w:hideMark/>
          </w:tcPr>
          <w:p w14:paraId="276A4FD6"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640</w:t>
            </w:r>
            <w:r w:rsidRPr="00212376">
              <w:rPr>
                <w:rFonts w:cstheme="minorHAnsi"/>
                <w:sz w:val="24"/>
                <w:szCs w:val="24"/>
                <w:lang w:eastAsia="sk-SK"/>
              </w:rPr>
              <w:t xml:space="preserve"> </w:t>
            </w:r>
          </w:p>
        </w:tc>
        <w:tc>
          <w:tcPr>
            <w:tcW w:w="0" w:type="auto"/>
            <w:shd w:val="clear" w:color="auto" w:fill="EFEFEF"/>
            <w:vAlign w:val="center"/>
            <w:hideMark/>
          </w:tcPr>
          <w:p w14:paraId="34859DE8"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Bežné transfery</w:t>
            </w:r>
            <w:r w:rsidRPr="00212376">
              <w:rPr>
                <w:rFonts w:cstheme="minorHAnsi"/>
                <w:sz w:val="24"/>
                <w:szCs w:val="24"/>
                <w:lang w:eastAsia="sk-SK"/>
              </w:rPr>
              <w:t xml:space="preserve"> </w:t>
            </w:r>
          </w:p>
        </w:tc>
        <w:tc>
          <w:tcPr>
            <w:tcW w:w="0" w:type="auto"/>
            <w:shd w:val="clear" w:color="auto" w:fill="EFEFEF"/>
            <w:noWrap/>
            <w:vAlign w:val="center"/>
            <w:hideMark/>
          </w:tcPr>
          <w:p w14:paraId="0507ACF8"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470 000,00</w:t>
            </w:r>
            <w:r w:rsidRPr="00212376">
              <w:rPr>
                <w:rFonts w:cstheme="minorHAnsi"/>
                <w:sz w:val="24"/>
                <w:szCs w:val="24"/>
                <w:lang w:eastAsia="sk-SK"/>
              </w:rPr>
              <w:t xml:space="preserve"> </w:t>
            </w:r>
          </w:p>
        </w:tc>
        <w:tc>
          <w:tcPr>
            <w:tcW w:w="674" w:type="pct"/>
            <w:shd w:val="clear" w:color="auto" w:fill="EFEFEF"/>
            <w:noWrap/>
            <w:vAlign w:val="center"/>
            <w:hideMark/>
          </w:tcPr>
          <w:p w14:paraId="128357D9"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480 000,00</w:t>
            </w:r>
            <w:r w:rsidRPr="00212376">
              <w:rPr>
                <w:rFonts w:cstheme="minorHAnsi"/>
                <w:sz w:val="24"/>
                <w:szCs w:val="24"/>
                <w:lang w:eastAsia="sk-SK"/>
              </w:rPr>
              <w:t xml:space="preserve"> </w:t>
            </w:r>
          </w:p>
        </w:tc>
        <w:tc>
          <w:tcPr>
            <w:tcW w:w="633" w:type="pct"/>
            <w:shd w:val="clear" w:color="auto" w:fill="EFEFEF"/>
            <w:noWrap/>
            <w:vAlign w:val="center"/>
            <w:hideMark/>
          </w:tcPr>
          <w:p w14:paraId="53CDEAAF"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477 100,00</w:t>
            </w:r>
            <w:r w:rsidRPr="00212376">
              <w:rPr>
                <w:rFonts w:cstheme="minorHAnsi"/>
                <w:sz w:val="24"/>
                <w:szCs w:val="24"/>
                <w:lang w:eastAsia="sk-SK"/>
              </w:rPr>
              <w:t xml:space="preserve"> </w:t>
            </w:r>
          </w:p>
        </w:tc>
        <w:tc>
          <w:tcPr>
            <w:tcW w:w="605" w:type="pct"/>
            <w:shd w:val="clear" w:color="auto" w:fill="EFEFEF"/>
            <w:noWrap/>
            <w:vAlign w:val="center"/>
            <w:hideMark/>
          </w:tcPr>
          <w:p w14:paraId="1DB12706" w14:textId="77777777" w:rsidR="00B57C2F" w:rsidRPr="00212376" w:rsidRDefault="00B57C2F" w:rsidP="00314060">
            <w:pPr>
              <w:spacing w:after="0" w:line="240" w:lineRule="auto"/>
              <w:jc w:val="right"/>
              <w:rPr>
                <w:rFonts w:cstheme="minorHAnsi"/>
                <w:sz w:val="24"/>
                <w:szCs w:val="24"/>
                <w:lang w:eastAsia="sk-SK"/>
              </w:rPr>
            </w:pPr>
            <w:r w:rsidRPr="00212376">
              <w:rPr>
                <w:rFonts w:cstheme="minorHAnsi"/>
                <w:sz w:val="20"/>
                <w:szCs w:val="20"/>
                <w:lang w:eastAsia="sk-SK"/>
              </w:rPr>
              <w:t>99,40</w:t>
            </w:r>
            <w:r w:rsidRPr="00212376">
              <w:rPr>
                <w:rFonts w:cstheme="minorHAnsi"/>
                <w:sz w:val="24"/>
                <w:szCs w:val="24"/>
                <w:lang w:eastAsia="sk-SK"/>
              </w:rPr>
              <w:t xml:space="preserve"> </w:t>
            </w:r>
          </w:p>
        </w:tc>
        <w:tc>
          <w:tcPr>
            <w:tcW w:w="1003" w:type="pct"/>
            <w:vMerge/>
            <w:shd w:val="clear" w:color="auto" w:fill="EFEFEF"/>
            <w:vAlign w:val="center"/>
            <w:hideMark/>
          </w:tcPr>
          <w:p w14:paraId="3032D6CA" w14:textId="77777777" w:rsidR="00B57C2F" w:rsidRPr="00212376" w:rsidRDefault="00B57C2F" w:rsidP="00314060">
            <w:pPr>
              <w:spacing w:after="0" w:line="240" w:lineRule="auto"/>
              <w:rPr>
                <w:rFonts w:cstheme="minorHAnsi"/>
                <w:sz w:val="24"/>
                <w:szCs w:val="24"/>
                <w:lang w:eastAsia="sk-SK"/>
              </w:rPr>
            </w:pPr>
          </w:p>
        </w:tc>
      </w:tr>
    </w:tbl>
    <w:p w14:paraId="68C91652" w14:textId="77777777" w:rsidR="00B57C2F" w:rsidRPr="00212376" w:rsidRDefault="00B57C2F" w:rsidP="00B57C2F">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892"/>
        <w:gridCol w:w="2132"/>
        <w:gridCol w:w="1532"/>
        <w:gridCol w:w="3997"/>
      </w:tblGrid>
      <w:tr w:rsidR="00B57C2F" w:rsidRPr="00212376" w14:paraId="07A2A3E6" w14:textId="77777777" w:rsidTr="00314060">
        <w:trPr>
          <w:tblCellSpacing w:w="15" w:type="dxa"/>
        </w:trPr>
        <w:tc>
          <w:tcPr>
            <w:tcW w:w="0" w:type="auto"/>
            <w:shd w:val="clear" w:color="auto" w:fill="C2D69B"/>
            <w:vAlign w:val="center"/>
            <w:hideMark/>
          </w:tcPr>
          <w:p w14:paraId="056A23F4"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Zodpovednosť</w:t>
            </w:r>
          </w:p>
        </w:tc>
        <w:tc>
          <w:tcPr>
            <w:tcW w:w="0" w:type="auto"/>
            <w:gridSpan w:val="4"/>
            <w:shd w:val="clear" w:color="auto" w:fill="C2D69B"/>
            <w:vAlign w:val="center"/>
            <w:hideMark/>
          </w:tcPr>
          <w:p w14:paraId="53F20B26"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Odbor cestovného ruchu a kultúry</w:t>
            </w:r>
            <w:r w:rsidRPr="00212376">
              <w:rPr>
                <w:rFonts w:cstheme="minorHAnsi"/>
                <w:sz w:val="20"/>
                <w:szCs w:val="20"/>
                <w:lang w:eastAsia="sk-SK"/>
              </w:rPr>
              <w:br/>
            </w:r>
          </w:p>
        </w:tc>
      </w:tr>
      <w:tr w:rsidR="00B57C2F" w:rsidRPr="00212376" w14:paraId="521F6D28" w14:textId="77777777" w:rsidTr="00314060">
        <w:trPr>
          <w:tblCellSpacing w:w="15" w:type="dxa"/>
        </w:trPr>
        <w:tc>
          <w:tcPr>
            <w:tcW w:w="0" w:type="auto"/>
            <w:shd w:val="clear" w:color="auto" w:fill="C2D69B"/>
            <w:vAlign w:val="center"/>
            <w:hideMark/>
          </w:tcPr>
          <w:p w14:paraId="05766209"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Cieľ</w:t>
            </w:r>
          </w:p>
        </w:tc>
        <w:tc>
          <w:tcPr>
            <w:tcW w:w="0" w:type="auto"/>
            <w:gridSpan w:val="4"/>
            <w:shd w:val="clear" w:color="auto" w:fill="C2D69B"/>
            <w:vAlign w:val="center"/>
            <w:hideMark/>
          </w:tcPr>
          <w:p w14:paraId="299B9E94"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Vytvoriť podmienky pre rozvoj CR v BSK</w:t>
            </w:r>
            <w:r w:rsidRPr="00212376">
              <w:rPr>
                <w:rFonts w:cstheme="minorHAnsi"/>
                <w:sz w:val="24"/>
                <w:szCs w:val="24"/>
                <w:lang w:eastAsia="sk-SK"/>
              </w:rPr>
              <w:t xml:space="preserve"> </w:t>
            </w:r>
          </w:p>
        </w:tc>
      </w:tr>
      <w:tr w:rsidR="00B57C2F" w:rsidRPr="00212376" w14:paraId="0562966A" w14:textId="77777777" w:rsidTr="00314060">
        <w:trPr>
          <w:tblCellSpacing w:w="15" w:type="dxa"/>
        </w:trPr>
        <w:tc>
          <w:tcPr>
            <w:tcW w:w="0" w:type="auto"/>
            <w:shd w:val="clear" w:color="auto" w:fill="C2D69B"/>
            <w:vAlign w:val="center"/>
            <w:hideMark/>
          </w:tcPr>
          <w:p w14:paraId="1AAB65C2"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Merateľný ukazovateľ</w:t>
            </w:r>
          </w:p>
        </w:tc>
        <w:tc>
          <w:tcPr>
            <w:tcW w:w="0" w:type="auto"/>
            <w:gridSpan w:val="4"/>
            <w:shd w:val="clear" w:color="auto" w:fill="C2D69B"/>
            <w:vAlign w:val="center"/>
            <w:hideMark/>
          </w:tcPr>
          <w:p w14:paraId="3C6B8F3B"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Počet vytvorených koncepčných materiálov a zorganizovaných marketingových aktivít na podporu cestovného ruchu v BSK</w:t>
            </w:r>
            <w:r w:rsidRPr="00212376">
              <w:rPr>
                <w:rFonts w:cstheme="minorHAnsi"/>
                <w:sz w:val="24"/>
                <w:szCs w:val="24"/>
                <w:lang w:eastAsia="sk-SK"/>
              </w:rPr>
              <w:t xml:space="preserve"> </w:t>
            </w:r>
          </w:p>
        </w:tc>
      </w:tr>
      <w:tr w:rsidR="00B57C2F" w:rsidRPr="00212376" w14:paraId="064D1683" w14:textId="77777777" w:rsidTr="00314060">
        <w:trPr>
          <w:tblCellSpacing w:w="15" w:type="dxa"/>
        </w:trPr>
        <w:tc>
          <w:tcPr>
            <w:tcW w:w="0" w:type="auto"/>
            <w:shd w:val="clear" w:color="auto" w:fill="C2D69B"/>
            <w:vAlign w:val="center"/>
            <w:hideMark/>
          </w:tcPr>
          <w:p w14:paraId="32311B07"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Rok</w:t>
            </w:r>
          </w:p>
        </w:tc>
        <w:tc>
          <w:tcPr>
            <w:tcW w:w="0" w:type="auto"/>
            <w:shd w:val="clear" w:color="auto" w:fill="C2D69B"/>
            <w:vAlign w:val="center"/>
            <w:hideMark/>
          </w:tcPr>
          <w:p w14:paraId="20E6B010"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Plán</w:t>
            </w:r>
          </w:p>
        </w:tc>
        <w:tc>
          <w:tcPr>
            <w:tcW w:w="0" w:type="auto"/>
            <w:shd w:val="clear" w:color="auto" w:fill="C2D69B"/>
            <w:vAlign w:val="center"/>
            <w:hideMark/>
          </w:tcPr>
          <w:p w14:paraId="4CFD2B74"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Skutočnosť</w:t>
            </w:r>
          </w:p>
        </w:tc>
        <w:tc>
          <w:tcPr>
            <w:tcW w:w="0" w:type="auto"/>
            <w:shd w:val="clear" w:color="auto" w:fill="C2D69B"/>
            <w:vAlign w:val="center"/>
            <w:hideMark/>
          </w:tcPr>
          <w:p w14:paraId="2778F295"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Plnenie</w:t>
            </w:r>
          </w:p>
        </w:tc>
        <w:tc>
          <w:tcPr>
            <w:tcW w:w="1921" w:type="pct"/>
            <w:shd w:val="clear" w:color="auto" w:fill="C2D69B"/>
            <w:vAlign w:val="center"/>
            <w:hideMark/>
          </w:tcPr>
          <w:p w14:paraId="65FF181E"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Poznámka</w:t>
            </w:r>
          </w:p>
        </w:tc>
      </w:tr>
      <w:tr w:rsidR="00B57C2F" w:rsidRPr="00212376" w14:paraId="3A6206AC" w14:textId="77777777" w:rsidTr="00314060">
        <w:trPr>
          <w:tblCellSpacing w:w="15" w:type="dxa"/>
        </w:trPr>
        <w:tc>
          <w:tcPr>
            <w:tcW w:w="0" w:type="auto"/>
            <w:shd w:val="clear" w:color="auto" w:fill="C2D69B"/>
            <w:vAlign w:val="center"/>
            <w:hideMark/>
          </w:tcPr>
          <w:p w14:paraId="56654A5F"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2020</w:t>
            </w:r>
            <w:r w:rsidRPr="00212376">
              <w:rPr>
                <w:rFonts w:cstheme="minorHAnsi"/>
                <w:sz w:val="24"/>
                <w:szCs w:val="24"/>
                <w:lang w:eastAsia="sk-SK"/>
              </w:rPr>
              <w:t xml:space="preserve"> </w:t>
            </w:r>
          </w:p>
        </w:tc>
        <w:tc>
          <w:tcPr>
            <w:tcW w:w="0" w:type="auto"/>
            <w:shd w:val="clear" w:color="auto" w:fill="C2D69B"/>
            <w:noWrap/>
            <w:vAlign w:val="center"/>
            <w:hideMark/>
          </w:tcPr>
          <w:p w14:paraId="06E313DA"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 2</w:t>
            </w:r>
            <w:r w:rsidRPr="00212376">
              <w:rPr>
                <w:rFonts w:cstheme="minorHAnsi"/>
                <w:sz w:val="24"/>
                <w:szCs w:val="24"/>
                <w:lang w:eastAsia="sk-SK"/>
              </w:rPr>
              <w:t xml:space="preserve"> </w:t>
            </w:r>
          </w:p>
        </w:tc>
        <w:tc>
          <w:tcPr>
            <w:tcW w:w="0" w:type="auto"/>
            <w:shd w:val="clear" w:color="auto" w:fill="C2D69B"/>
            <w:noWrap/>
            <w:vAlign w:val="center"/>
          </w:tcPr>
          <w:p w14:paraId="507D56E7"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  2</w:t>
            </w:r>
          </w:p>
        </w:tc>
        <w:tc>
          <w:tcPr>
            <w:tcW w:w="0" w:type="auto"/>
            <w:shd w:val="clear" w:color="auto" w:fill="C2D69B"/>
            <w:vAlign w:val="center"/>
          </w:tcPr>
          <w:p w14:paraId="737BCB69"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Splnené</w:t>
            </w:r>
          </w:p>
        </w:tc>
        <w:tc>
          <w:tcPr>
            <w:tcW w:w="0" w:type="auto"/>
            <w:shd w:val="clear" w:color="auto" w:fill="C2D69B"/>
            <w:vAlign w:val="center"/>
            <w:hideMark/>
          </w:tcPr>
          <w:p w14:paraId="6F375FC5" w14:textId="77777777" w:rsidR="00B57C2F" w:rsidRPr="00212376" w:rsidRDefault="00B57C2F" w:rsidP="00314060">
            <w:pPr>
              <w:spacing w:after="0" w:line="240" w:lineRule="auto"/>
              <w:jc w:val="center"/>
              <w:rPr>
                <w:rFonts w:cstheme="minorHAnsi"/>
                <w:sz w:val="24"/>
                <w:szCs w:val="24"/>
                <w:lang w:eastAsia="sk-SK"/>
              </w:rPr>
            </w:pPr>
          </w:p>
        </w:tc>
      </w:tr>
      <w:tr w:rsidR="00B57C2F" w:rsidRPr="00212376" w14:paraId="193DF3AA" w14:textId="77777777" w:rsidTr="00314060">
        <w:trPr>
          <w:tblCellSpacing w:w="15" w:type="dxa"/>
        </w:trPr>
        <w:tc>
          <w:tcPr>
            <w:tcW w:w="0" w:type="auto"/>
            <w:shd w:val="clear" w:color="auto" w:fill="C2D69B"/>
            <w:vAlign w:val="center"/>
            <w:hideMark/>
          </w:tcPr>
          <w:p w14:paraId="5DA6C2EF"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Merateľný ukazovateľ</w:t>
            </w:r>
          </w:p>
        </w:tc>
        <w:tc>
          <w:tcPr>
            <w:tcW w:w="0" w:type="auto"/>
            <w:gridSpan w:val="4"/>
            <w:shd w:val="clear" w:color="auto" w:fill="C2D69B"/>
            <w:vAlign w:val="center"/>
            <w:hideMark/>
          </w:tcPr>
          <w:p w14:paraId="61912B7B" w14:textId="77777777" w:rsidR="00B57C2F" w:rsidRPr="00212376" w:rsidRDefault="00B57C2F" w:rsidP="00314060">
            <w:pPr>
              <w:spacing w:after="0" w:line="240" w:lineRule="auto"/>
              <w:rPr>
                <w:rFonts w:cstheme="minorHAnsi"/>
                <w:sz w:val="24"/>
                <w:szCs w:val="24"/>
                <w:lang w:eastAsia="sk-SK"/>
              </w:rPr>
            </w:pPr>
            <w:r w:rsidRPr="00212376">
              <w:rPr>
                <w:rFonts w:cstheme="minorHAnsi"/>
                <w:sz w:val="20"/>
                <w:szCs w:val="20"/>
                <w:lang w:eastAsia="sk-SK"/>
              </w:rPr>
              <w:t>Počet splnených opatrení akčného plánu Stratégie rozvoja turizmu do roku 2020</w:t>
            </w:r>
            <w:r w:rsidRPr="00212376">
              <w:rPr>
                <w:rFonts w:cstheme="minorHAnsi"/>
                <w:sz w:val="24"/>
                <w:szCs w:val="24"/>
                <w:lang w:eastAsia="sk-SK"/>
              </w:rPr>
              <w:t xml:space="preserve"> </w:t>
            </w:r>
          </w:p>
        </w:tc>
      </w:tr>
      <w:tr w:rsidR="00B57C2F" w:rsidRPr="00212376" w14:paraId="544DD772" w14:textId="77777777" w:rsidTr="00314060">
        <w:trPr>
          <w:tblCellSpacing w:w="15" w:type="dxa"/>
        </w:trPr>
        <w:tc>
          <w:tcPr>
            <w:tcW w:w="0" w:type="auto"/>
            <w:shd w:val="clear" w:color="auto" w:fill="C2D69B"/>
            <w:vAlign w:val="center"/>
            <w:hideMark/>
          </w:tcPr>
          <w:p w14:paraId="78B97C66"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Rok</w:t>
            </w:r>
          </w:p>
        </w:tc>
        <w:tc>
          <w:tcPr>
            <w:tcW w:w="0" w:type="auto"/>
            <w:shd w:val="clear" w:color="auto" w:fill="C2D69B"/>
            <w:vAlign w:val="center"/>
            <w:hideMark/>
          </w:tcPr>
          <w:p w14:paraId="7EE6455E"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Plán</w:t>
            </w:r>
          </w:p>
        </w:tc>
        <w:tc>
          <w:tcPr>
            <w:tcW w:w="0" w:type="auto"/>
            <w:shd w:val="clear" w:color="auto" w:fill="C2D69B"/>
            <w:vAlign w:val="center"/>
            <w:hideMark/>
          </w:tcPr>
          <w:p w14:paraId="63003223"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Skutočnosť</w:t>
            </w:r>
          </w:p>
        </w:tc>
        <w:tc>
          <w:tcPr>
            <w:tcW w:w="0" w:type="auto"/>
            <w:shd w:val="clear" w:color="auto" w:fill="C2D69B"/>
            <w:vAlign w:val="center"/>
            <w:hideMark/>
          </w:tcPr>
          <w:p w14:paraId="199066D2"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b/>
                <w:bCs/>
                <w:sz w:val="20"/>
                <w:szCs w:val="20"/>
                <w:lang w:eastAsia="sk-SK"/>
              </w:rPr>
              <w:t>Plnenie</w:t>
            </w:r>
          </w:p>
        </w:tc>
        <w:tc>
          <w:tcPr>
            <w:tcW w:w="1921" w:type="pct"/>
            <w:shd w:val="clear" w:color="auto" w:fill="C2D69B"/>
            <w:vAlign w:val="center"/>
            <w:hideMark/>
          </w:tcPr>
          <w:p w14:paraId="53C554AA" w14:textId="77777777" w:rsidR="00B57C2F" w:rsidRPr="00212376" w:rsidRDefault="00B57C2F" w:rsidP="00314060">
            <w:pPr>
              <w:spacing w:after="0" w:line="240" w:lineRule="auto"/>
              <w:rPr>
                <w:rFonts w:cstheme="minorHAnsi"/>
                <w:sz w:val="24"/>
                <w:szCs w:val="24"/>
                <w:lang w:eastAsia="sk-SK"/>
              </w:rPr>
            </w:pPr>
            <w:r w:rsidRPr="00212376">
              <w:rPr>
                <w:rFonts w:cstheme="minorHAnsi"/>
                <w:b/>
                <w:bCs/>
                <w:sz w:val="20"/>
                <w:szCs w:val="20"/>
                <w:lang w:eastAsia="sk-SK"/>
              </w:rPr>
              <w:t>Poznámka</w:t>
            </w:r>
          </w:p>
        </w:tc>
      </w:tr>
      <w:tr w:rsidR="00B57C2F" w:rsidRPr="00212376" w14:paraId="7B79B9A8" w14:textId="77777777" w:rsidTr="00314060">
        <w:trPr>
          <w:tblCellSpacing w:w="15" w:type="dxa"/>
        </w:trPr>
        <w:tc>
          <w:tcPr>
            <w:tcW w:w="0" w:type="auto"/>
            <w:shd w:val="clear" w:color="auto" w:fill="C2D69B"/>
            <w:vAlign w:val="center"/>
            <w:hideMark/>
          </w:tcPr>
          <w:p w14:paraId="494F1A83"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2020</w:t>
            </w:r>
            <w:r w:rsidRPr="00212376">
              <w:rPr>
                <w:rFonts w:cstheme="minorHAnsi"/>
                <w:sz w:val="24"/>
                <w:szCs w:val="24"/>
                <w:lang w:eastAsia="sk-SK"/>
              </w:rPr>
              <w:t xml:space="preserve"> </w:t>
            </w:r>
          </w:p>
        </w:tc>
        <w:tc>
          <w:tcPr>
            <w:tcW w:w="0" w:type="auto"/>
            <w:shd w:val="clear" w:color="auto" w:fill="C2D69B"/>
            <w:noWrap/>
            <w:vAlign w:val="center"/>
            <w:hideMark/>
          </w:tcPr>
          <w:p w14:paraId="7AB8F538"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 2</w:t>
            </w:r>
            <w:r w:rsidRPr="00212376">
              <w:rPr>
                <w:rFonts w:cstheme="minorHAnsi"/>
                <w:sz w:val="24"/>
                <w:szCs w:val="24"/>
                <w:lang w:eastAsia="sk-SK"/>
              </w:rPr>
              <w:t xml:space="preserve"> </w:t>
            </w:r>
          </w:p>
        </w:tc>
        <w:tc>
          <w:tcPr>
            <w:tcW w:w="0" w:type="auto"/>
            <w:shd w:val="clear" w:color="auto" w:fill="C2D69B"/>
            <w:noWrap/>
            <w:vAlign w:val="center"/>
          </w:tcPr>
          <w:p w14:paraId="24A4592F"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  2</w:t>
            </w:r>
          </w:p>
        </w:tc>
        <w:tc>
          <w:tcPr>
            <w:tcW w:w="0" w:type="auto"/>
            <w:shd w:val="clear" w:color="auto" w:fill="C2D69B"/>
            <w:vAlign w:val="center"/>
          </w:tcPr>
          <w:p w14:paraId="4FFE3305" w14:textId="77777777" w:rsidR="00B57C2F" w:rsidRPr="00212376" w:rsidRDefault="00B57C2F" w:rsidP="00314060">
            <w:pPr>
              <w:spacing w:after="0" w:line="240" w:lineRule="auto"/>
              <w:jc w:val="center"/>
              <w:rPr>
                <w:rFonts w:cstheme="minorHAnsi"/>
                <w:sz w:val="24"/>
                <w:szCs w:val="24"/>
                <w:lang w:eastAsia="sk-SK"/>
              </w:rPr>
            </w:pPr>
            <w:r w:rsidRPr="00212376">
              <w:rPr>
                <w:rFonts w:cstheme="minorHAnsi"/>
                <w:sz w:val="20"/>
                <w:szCs w:val="20"/>
                <w:lang w:eastAsia="sk-SK"/>
              </w:rPr>
              <w:t>Splnené</w:t>
            </w:r>
          </w:p>
        </w:tc>
        <w:tc>
          <w:tcPr>
            <w:tcW w:w="0" w:type="auto"/>
            <w:shd w:val="clear" w:color="auto" w:fill="C2D69B"/>
            <w:vAlign w:val="center"/>
            <w:hideMark/>
          </w:tcPr>
          <w:p w14:paraId="65F82393" w14:textId="77777777" w:rsidR="00B57C2F" w:rsidRPr="00212376" w:rsidRDefault="00B57C2F" w:rsidP="00314060">
            <w:pPr>
              <w:spacing w:after="0" w:line="240" w:lineRule="auto"/>
              <w:jc w:val="center"/>
              <w:rPr>
                <w:rFonts w:cstheme="minorHAnsi"/>
                <w:sz w:val="24"/>
                <w:szCs w:val="24"/>
                <w:lang w:eastAsia="sk-SK"/>
              </w:rPr>
            </w:pPr>
          </w:p>
        </w:tc>
      </w:tr>
    </w:tbl>
    <w:p w14:paraId="07D45A85" w14:textId="05A35D7D" w:rsidR="00B57C2F" w:rsidRPr="009E4E62" w:rsidRDefault="00B57C2F" w:rsidP="009E4E62">
      <w:pPr>
        <w:spacing w:after="0" w:line="240" w:lineRule="auto"/>
        <w:jc w:val="both"/>
        <w:rPr>
          <w:rFonts w:asciiTheme="minorHAnsi" w:eastAsiaTheme="minorHAnsi" w:hAnsiTheme="minorHAnsi" w:cstheme="minorHAnsi"/>
        </w:rPr>
      </w:pPr>
      <w:r w:rsidRPr="00B57C2F">
        <w:rPr>
          <w:rFonts w:asciiTheme="minorHAnsi" w:eastAsiaTheme="minorHAnsi" w:hAnsiTheme="minorHAnsi" w:cstheme="minorHAnsi"/>
          <w:b/>
          <w:bCs/>
        </w:rPr>
        <w:lastRenderedPageBreak/>
        <w:t>Komentár:</w:t>
      </w:r>
      <w:r w:rsidRPr="00B57C2F">
        <w:rPr>
          <w:rFonts w:asciiTheme="minorHAnsi" w:eastAsiaTheme="minorHAnsi" w:hAnsiTheme="minorHAnsi" w:cstheme="minorHAnsi"/>
        </w:rPr>
        <w:t xml:space="preserve"> </w:t>
      </w:r>
      <w:r w:rsidRPr="009E4E62">
        <w:rPr>
          <w:rFonts w:asciiTheme="minorHAnsi" w:eastAsiaTheme="minorHAnsi" w:hAnsiTheme="minorHAnsi" w:cstheme="minorHAnsi"/>
        </w:rPr>
        <w:t xml:space="preserve">V roku 2020 oddelenie cestovného ruchu napĺňalo akčný plán a priority BSK realizáciou  opatrení Stratégie rozvoja turizmu Bratislavského kraja do r. 2020. V spolupráci so Slovenským </w:t>
      </w:r>
      <w:proofErr w:type="spellStart"/>
      <w:r w:rsidRPr="009E4E62">
        <w:rPr>
          <w:rFonts w:asciiTheme="minorHAnsi" w:eastAsiaTheme="minorHAnsi" w:hAnsiTheme="minorHAnsi" w:cstheme="minorHAnsi"/>
        </w:rPr>
        <w:t>cykloklubom</w:t>
      </w:r>
      <w:proofErr w:type="spellEnd"/>
      <w:r w:rsidRPr="009E4E62">
        <w:rPr>
          <w:rFonts w:asciiTheme="minorHAnsi" w:eastAsiaTheme="minorHAnsi" w:hAnsiTheme="minorHAnsi" w:cstheme="minorHAnsi"/>
        </w:rPr>
        <w:t xml:space="preserve"> prebehla Údržba cykloturistických trás na území BSK na základe rámcovej dohody pre obdobie 2018 – 2020 v celkovej výmere 410 km. V roku 2020 sa tak ukončila posledná fáza tejto dohody obstaraním 139 km trasy. S Klubom slovenských turistov pokračovala aj v roku 2020 spolupráca na Obnove a údržbe značenia peších turistických značených trás (TZT). Celkom 27 TZT s celkovou dĺžkou 199 km, obnovou pásového značkovania existujúcich peších TZT, smerovníkov, výmenou   poškodených a skorodovaných smeroviek a tabuliek miestneho názvu, náhradou zničených a chýbajúcich smerovníkov, osadením značkárskych kolov, vyčistením od zarastajúcej vegetácie a spriechodnením TZT.</w:t>
      </w:r>
    </w:p>
    <w:p w14:paraId="279851EC" w14:textId="77777777" w:rsidR="009E4E62" w:rsidRDefault="009E4E62" w:rsidP="009E4E62">
      <w:pPr>
        <w:spacing w:after="0"/>
        <w:jc w:val="both"/>
        <w:rPr>
          <w:rFonts w:asciiTheme="minorHAnsi" w:eastAsiaTheme="minorHAnsi" w:hAnsiTheme="minorHAnsi" w:cstheme="minorHAnsi"/>
        </w:rPr>
      </w:pPr>
    </w:p>
    <w:p w14:paraId="78A156C9" w14:textId="5297E0CF" w:rsidR="00B57C2F" w:rsidRPr="009E4E62" w:rsidRDefault="00B57C2F" w:rsidP="009E4E62">
      <w:pPr>
        <w:spacing w:after="0" w:line="240" w:lineRule="auto"/>
        <w:jc w:val="both"/>
        <w:rPr>
          <w:rFonts w:asciiTheme="minorHAnsi" w:eastAsiaTheme="minorHAnsi" w:hAnsiTheme="minorHAnsi" w:cstheme="minorHAnsi"/>
        </w:rPr>
      </w:pPr>
      <w:r w:rsidRPr="009E4E62">
        <w:rPr>
          <w:rFonts w:asciiTheme="minorHAnsi" w:eastAsiaTheme="minorHAnsi" w:hAnsiTheme="minorHAnsi" w:cstheme="minorHAnsi"/>
        </w:rPr>
        <w:t xml:space="preserve">V spolupráci s mestom Modra prebehla spolupráca pri územnom konaní k projektu MTB Okruh zručností/ MTB </w:t>
      </w:r>
      <w:proofErr w:type="spellStart"/>
      <w:r w:rsidRPr="009E4E62">
        <w:rPr>
          <w:rFonts w:asciiTheme="minorHAnsi" w:eastAsiaTheme="minorHAnsi" w:hAnsiTheme="minorHAnsi" w:cstheme="minorHAnsi"/>
        </w:rPr>
        <w:t>Skills</w:t>
      </w:r>
      <w:proofErr w:type="spellEnd"/>
      <w:r w:rsidRPr="009E4E62">
        <w:rPr>
          <w:rFonts w:asciiTheme="minorHAnsi" w:eastAsiaTheme="minorHAnsi" w:hAnsiTheme="minorHAnsi" w:cstheme="minorHAnsi"/>
        </w:rPr>
        <w:t xml:space="preserve"> Park. Projektová dokumentácia je vypracovaná a pripravená k realizácii stavby. Druhým rokom pokračuje i zmluva </w:t>
      </w:r>
      <w:r w:rsidRPr="009E4E62">
        <w:rPr>
          <w:rFonts w:asciiTheme="minorHAnsi" w:eastAsiaTheme="minorHAnsi" w:hAnsiTheme="minorHAnsi" w:cstheme="minorHAnsi"/>
        </w:rPr>
        <w:br/>
        <w:t xml:space="preserve">o službách pre Bike Park – </w:t>
      </w:r>
      <w:proofErr w:type="spellStart"/>
      <w:r w:rsidRPr="009E4E62">
        <w:rPr>
          <w:rFonts w:asciiTheme="minorHAnsi" w:eastAsiaTheme="minorHAnsi" w:hAnsiTheme="minorHAnsi" w:cstheme="minorHAnsi"/>
        </w:rPr>
        <w:t>pumptrackovú</w:t>
      </w:r>
      <w:proofErr w:type="spellEnd"/>
      <w:r w:rsidRPr="009E4E62">
        <w:rPr>
          <w:rFonts w:asciiTheme="minorHAnsi" w:eastAsiaTheme="minorHAnsi" w:hAnsiTheme="minorHAnsi" w:cstheme="minorHAnsi"/>
        </w:rPr>
        <w:t xml:space="preserve"> dráhu. V druhej polovici roka 2020 však boli oficiálne podujatia a tréningy prerušené z dôvodu </w:t>
      </w:r>
      <w:proofErr w:type="spellStart"/>
      <w:r w:rsidRPr="009E4E62">
        <w:rPr>
          <w:rFonts w:asciiTheme="minorHAnsi" w:eastAsiaTheme="minorHAnsi" w:hAnsiTheme="minorHAnsi" w:cstheme="minorHAnsi"/>
        </w:rPr>
        <w:t>pandemickej</w:t>
      </w:r>
      <w:proofErr w:type="spellEnd"/>
      <w:r w:rsidRPr="009E4E62">
        <w:rPr>
          <w:rFonts w:asciiTheme="minorHAnsi" w:eastAsiaTheme="minorHAnsi" w:hAnsiTheme="minorHAnsi" w:cstheme="minorHAnsi"/>
        </w:rPr>
        <w:t xml:space="preserve"> situácie. Tieto služby budú opätovne nahradené na jeseň 2021. K projektu Priechod pre cyklistov - hraničný priechod </w:t>
      </w:r>
      <w:proofErr w:type="spellStart"/>
      <w:r w:rsidRPr="009E4E62">
        <w:rPr>
          <w:rFonts w:asciiTheme="minorHAnsi" w:eastAsiaTheme="minorHAnsi" w:hAnsiTheme="minorHAnsi" w:cstheme="minorHAnsi"/>
        </w:rPr>
        <w:t>Berg</w:t>
      </w:r>
      <w:proofErr w:type="spellEnd"/>
      <w:r w:rsidRPr="009E4E62">
        <w:rPr>
          <w:rFonts w:asciiTheme="minorHAnsi" w:eastAsiaTheme="minorHAnsi" w:hAnsiTheme="minorHAnsi" w:cstheme="minorHAnsi"/>
        </w:rPr>
        <w:t>, Viedenská cesta - v rámci tematickej cesty Železnej opony prebehlo ku koncu roku 2020 verejné obstarávanie na výber zhotoviteľa stavby. Oddelenie cestovného ruchu pripravilo podklady do nových informačných a náučných tabúľ umiestnených na tematickej ceste, ako aj trojjazyčnú brožúru a mapy. Na cyklotrase pribudli i nové smerovníky.</w:t>
      </w:r>
    </w:p>
    <w:p w14:paraId="1D887726" w14:textId="77777777" w:rsidR="009E4E62" w:rsidRDefault="009E4E62" w:rsidP="009E4E62">
      <w:pPr>
        <w:spacing w:after="0" w:line="240" w:lineRule="auto"/>
        <w:jc w:val="both"/>
        <w:rPr>
          <w:rFonts w:asciiTheme="minorHAnsi" w:eastAsiaTheme="minorHAnsi" w:hAnsiTheme="minorHAnsi" w:cstheme="minorHAnsi"/>
        </w:rPr>
      </w:pPr>
    </w:p>
    <w:p w14:paraId="608B5F3E" w14:textId="7B0F85AF" w:rsidR="00B57C2F" w:rsidRPr="009E4E62" w:rsidRDefault="00B57C2F" w:rsidP="009E4E62">
      <w:pPr>
        <w:spacing w:after="0" w:line="240" w:lineRule="auto"/>
        <w:jc w:val="both"/>
        <w:rPr>
          <w:rFonts w:asciiTheme="minorHAnsi" w:eastAsiaTheme="minorHAnsi" w:hAnsiTheme="minorHAnsi" w:cstheme="minorHAnsi"/>
        </w:rPr>
      </w:pPr>
      <w:r w:rsidRPr="009E4E62">
        <w:rPr>
          <w:rFonts w:asciiTheme="minorHAnsi" w:eastAsiaTheme="minorHAnsi" w:hAnsiTheme="minorHAnsi" w:cstheme="minorHAnsi"/>
        </w:rPr>
        <w:t xml:space="preserve">Realizácia projektu Letný vlak </w:t>
      </w:r>
      <w:proofErr w:type="spellStart"/>
      <w:r w:rsidRPr="009E4E62">
        <w:rPr>
          <w:rFonts w:asciiTheme="minorHAnsi" w:eastAsiaTheme="minorHAnsi" w:hAnsiTheme="minorHAnsi" w:cstheme="minorHAnsi"/>
        </w:rPr>
        <w:t>Záhoráčik</w:t>
      </w:r>
      <w:proofErr w:type="spellEnd"/>
      <w:r w:rsidRPr="009E4E62">
        <w:rPr>
          <w:rFonts w:asciiTheme="minorHAnsi" w:eastAsiaTheme="minorHAnsi" w:hAnsiTheme="minorHAnsi" w:cstheme="minorHAnsi"/>
        </w:rPr>
        <w:t xml:space="preserve"> v gescii a z rozpočtu BSK bola v roku 2020 nahradená aktivitou a financovaním zo strany ŽSSK v spolupráci so Sekciou CR MDV SR v dôsledku prijatých opatrení pre pandémiu COVID-19. Zúčastnené strany za dopravcu, BSK a Bratislava </w:t>
      </w:r>
      <w:proofErr w:type="spellStart"/>
      <w:r w:rsidRPr="009E4E62">
        <w:rPr>
          <w:rFonts w:asciiTheme="minorHAnsi" w:eastAsiaTheme="minorHAnsi" w:hAnsiTheme="minorHAnsi" w:cstheme="minorHAnsi"/>
        </w:rPr>
        <w:t>Region</w:t>
      </w:r>
      <w:proofErr w:type="spellEnd"/>
      <w:r w:rsidRPr="009E4E62">
        <w:rPr>
          <w:rFonts w:asciiTheme="minorHAnsi" w:eastAsiaTheme="minorHAnsi" w:hAnsiTheme="minorHAnsi" w:cstheme="minorHAnsi"/>
        </w:rPr>
        <w:t xml:space="preserve"> </w:t>
      </w:r>
      <w:proofErr w:type="spellStart"/>
      <w:r w:rsidRPr="009E4E62">
        <w:rPr>
          <w:rFonts w:asciiTheme="minorHAnsi" w:eastAsiaTheme="minorHAnsi" w:hAnsiTheme="minorHAnsi" w:cstheme="minorHAnsi"/>
        </w:rPr>
        <w:t>Tourism</w:t>
      </w:r>
      <w:proofErr w:type="spellEnd"/>
      <w:r w:rsidRPr="009E4E62">
        <w:rPr>
          <w:rFonts w:asciiTheme="minorHAnsi" w:eastAsiaTheme="minorHAnsi" w:hAnsiTheme="minorHAnsi" w:cstheme="minorHAnsi"/>
        </w:rPr>
        <w:t xml:space="preserve"> sa podieľali na spoločnej propagácii a komunikácii projektu formou marketingovej kampane na rozvoj domáceho CR s názvom: Je to len na skok... aj s </w:t>
      </w:r>
      <w:proofErr w:type="spellStart"/>
      <w:r w:rsidRPr="009E4E62">
        <w:rPr>
          <w:rFonts w:asciiTheme="minorHAnsi" w:eastAsiaTheme="minorHAnsi" w:hAnsiTheme="minorHAnsi" w:cstheme="minorHAnsi"/>
        </w:rPr>
        <w:t>bajkom</w:t>
      </w:r>
      <w:proofErr w:type="spellEnd"/>
      <w:r w:rsidRPr="009E4E62">
        <w:rPr>
          <w:rFonts w:asciiTheme="minorHAnsi" w:eastAsiaTheme="minorHAnsi" w:hAnsiTheme="minorHAnsi" w:cstheme="minorHAnsi"/>
        </w:rPr>
        <w:t xml:space="preserve">. Letný vlak </w:t>
      </w:r>
      <w:proofErr w:type="spellStart"/>
      <w:r w:rsidRPr="009E4E62">
        <w:rPr>
          <w:rFonts w:asciiTheme="minorHAnsi" w:eastAsiaTheme="minorHAnsi" w:hAnsiTheme="minorHAnsi" w:cstheme="minorHAnsi"/>
        </w:rPr>
        <w:t>Záhoráčik</w:t>
      </w:r>
      <w:proofErr w:type="spellEnd"/>
      <w:r w:rsidRPr="009E4E62">
        <w:rPr>
          <w:rFonts w:asciiTheme="minorHAnsi" w:eastAsiaTheme="minorHAnsi" w:hAnsiTheme="minorHAnsi" w:cstheme="minorHAnsi"/>
        </w:rPr>
        <w:t xml:space="preserve"> premával cez víkendy a sviatky v skrátenom období od 4.7. - 15.9. 2020. V rámci kampane bola vytvorená Tematická mapa Záhorím, kde bolo možné naplánovať si výlet na Záhorie v mapovej aplikácii, ktorú pripravil Slovenský dom </w:t>
      </w:r>
      <w:proofErr w:type="spellStart"/>
      <w:r w:rsidRPr="009E4E62">
        <w:rPr>
          <w:rFonts w:asciiTheme="minorHAnsi" w:eastAsiaTheme="minorHAnsi" w:hAnsiTheme="minorHAnsi" w:cstheme="minorHAnsi"/>
        </w:rPr>
        <w:t>Centrope</w:t>
      </w:r>
      <w:proofErr w:type="spellEnd"/>
      <w:r w:rsidRPr="009E4E62">
        <w:rPr>
          <w:rFonts w:asciiTheme="minorHAnsi" w:eastAsiaTheme="minorHAnsi" w:hAnsiTheme="minorHAnsi" w:cstheme="minorHAnsi"/>
        </w:rPr>
        <w:t xml:space="preserve">. Napriek tomu, že bolo obdobie nasadenia </w:t>
      </w:r>
      <w:proofErr w:type="spellStart"/>
      <w:r w:rsidRPr="009E4E62">
        <w:rPr>
          <w:rFonts w:asciiTheme="minorHAnsi" w:eastAsiaTheme="minorHAnsi" w:hAnsiTheme="minorHAnsi" w:cstheme="minorHAnsi"/>
        </w:rPr>
        <w:t>Záhoráčika</w:t>
      </w:r>
      <w:proofErr w:type="spellEnd"/>
      <w:r w:rsidRPr="009E4E62">
        <w:rPr>
          <w:rFonts w:asciiTheme="minorHAnsi" w:eastAsiaTheme="minorHAnsi" w:hAnsiTheme="minorHAnsi" w:cstheme="minorHAnsi"/>
        </w:rPr>
        <w:t xml:space="preserve"> skrátené a platili mimoriadne opatrenia, bolo prepravených až 5800 osôb a 1200 bicyklov (významný nárast podielu cykloturistov oproti predchádzajúcim rokom).</w:t>
      </w:r>
    </w:p>
    <w:p w14:paraId="5DD1C209" w14:textId="77777777" w:rsidR="00B57C2F" w:rsidRPr="009E4E62" w:rsidRDefault="00B57C2F" w:rsidP="00B57C2F">
      <w:pPr>
        <w:jc w:val="both"/>
        <w:rPr>
          <w:rFonts w:asciiTheme="minorHAnsi" w:eastAsiaTheme="minorHAnsi" w:hAnsiTheme="minorHAnsi" w:cstheme="minorHAnsi"/>
        </w:rPr>
      </w:pPr>
      <w:r w:rsidRPr="009E4E62">
        <w:rPr>
          <w:rFonts w:asciiTheme="minorHAnsi" w:eastAsiaTheme="minorHAnsi" w:hAnsiTheme="minorHAnsi" w:cstheme="minorHAnsi"/>
        </w:rPr>
        <w:t>Rokom 2020 prebiehala i implementácia projektu Geoparku Malé Karpaty. Okrem prezentácie na podujatiach formou mobilného stánku, prebiehajúcim prezentačným a edukačným aktivitám sa neziskovej organizácii Barbora ku koncu roka 2020 podarilo certifikovať Geopark Malé Karpaty na Národný geopark Malé Karpaty, čo má pozitívny vplyv na rozvoj cestovného ruchu v celej oblasti.</w:t>
      </w:r>
    </w:p>
    <w:p w14:paraId="530DBE6B" w14:textId="77777777" w:rsidR="00B57C2F" w:rsidRPr="009E4E62" w:rsidRDefault="00B57C2F" w:rsidP="00B57C2F">
      <w:pPr>
        <w:spacing w:after="0"/>
        <w:jc w:val="both"/>
        <w:rPr>
          <w:rFonts w:asciiTheme="minorHAnsi" w:eastAsiaTheme="minorHAnsi" w:hAnsiTheme="minorHAnsi" w:cstheme="minorHAnsi"/>
        </w:rPr>
      </w:pPr>
      <w:r w:rsidRPr="009E4E62">
        <w:rPr>
          <w:rFonts w:asciiTheme="minorHAnsi" w:eastAsiaTheme="minorHAnsi" w:hAnsiTheme="minorHAnsi" w:cstheme="minorHAnsi"/>
        </w:rPr>
        <w:t xml:space="preserve">Projekt Malý a </w:t>
      </w:r>
      <w:proofErr w:type="spellStart"/>
      <w:r w:rsidRPr="009E4E62">
        <w:rPr>
          <w:rFonts w:asciiTheme="minorHAnsi" w:eastAsiaTheme="minorHAnsi" w:hAnsiTheme="minorHAnsi" w:cstheme="minorHAnsi"/>
        </w:rPr>
        <w:t>Mošonský</w:t>
      </w:r>
      <w:proofErr w:type="spellEnd"/>
      <w:r w:rsidRPr="009E4E62">
        <w:rPr>
          <w:rFonts w:asciiTheme="minorHAnsi" w:eastAsiaTheme="minorHAnsi" w:hAnsiTheme="minorHAnsi" w:cstheme="minorHAnsi"/>
        </w:rPr>
        <w:t xml:space="preserve"> Dunaj - Rozvoj novej destinácie Dunajské ostrovy  cezhraničný projekt v rámci Programu </w:t>
      </w:r>
      <w:proofErr w:type="spellStart"/>
      <w:r w:rsidRPr="009E4E62">
        <w:rPr>
          <w:rFonts w:asciiTheme="minorHAnsi" w:eastAsiaTheme="minorHAnsi" w:hAnsiTheme="minorHAnsi" w:cstheme="minorHAnsi"/>
        </w:rPr>
        <w:t>Interreg</w:t>
      </w:r>
      <w:proofErr w:type="spellEnd"/>
      <w:r w:rsidRPr="009E4E62">
        <w:rPr>
          <w:rFonts w:asciiTheme="minorHAnsi" w:eastAsiaTheme="minorHAnsi" w:hAnsiTheme="minorHAnsi" w:cstheme="minorHAnsi"/>
        </w:rPr>
        <w:t xml:space="preserve"> VA Slovensko-Maďarsko bol oficiálne ukončený v máji 2020, ale propagácia a komunikácia produktu (splavovanie Malého Dunaja, rekreácie pri vode na Slnečných jazerách, tipy na </w:t>
      </w:r>
      <w:proofErr w:type="spellStart"/>
      <w:r w:rsidRPr="009E4E62">
        <w:rPr>
          <w:rFonts w:asciiTheme="minorHAnsi" w:eastAsiaTheme="minorHAnsi" w:hAnsiTheme="minorHAnsi" w:cstheme="minorHAnsi"/>
        </w:rPr>
        <w:t>cyklovýlety</w:t>
      </w:r>
      <w:proofErr w:type="spellEnd"/>
      <w:r w:rsidRPr="009E4E62">
        <w:rPr>
          <w:rFonts w:asciiTheme="minorHAnsi" w:eastAsiaTheme="minorHAnsi" w:hAnsiTheme="minorHAnsi" w:cstheme="minorHAnsi"/>
        </w:rPr>
        <w:t xml:space="preserve">) pokračovala počas celej letnej sezóny na sociálnych sieťach aj so zapojením </w:t>
      </w:r>
      <w:proofErr w:type="spellStart"/>
      <w:r w:rsidRPr="009E4E62">
        <w:rPr>
          <w:rFonts w:asciiTheme="minorHAnsi" w:eastAsiaTheme="minorHAnsi" w:hAnsiTheme="minorHAnsi" w:cstheme="minorHAnsi"/>
        </w:rPr>
        <w:t>influencerov</w:t>
      </w:r>
      <w:proofErr w:type="spellEnd"/>
      <w:r w:rsidRPr="009E4E62">
        <w:rPr>
          <w:rFonts w:asciiTheme="minorHAnsi" w:eastAsiaTheme="minorHAnsi" w:hAnsiTheme="minorHAnsi" w:cstheme="minorHAnsi"/>
        </w:rPr>
        <w:t xml:space="preserve">, na www.bratislavskykraj.sk a www.bratislavaregion.travel formou nových videí, článkov, fotografií a máp s príbehom. Prebehla i príprava scenára pre natáčanie RTVS a jeho následné odvysielanie v relácii Slovensko v obrazoch v auguste 2020. Pre ďalšie programové obdobie sa pripravujú projektové zámery so zahrnutím </w:t>
      </w:r>
      <w:proofErr w:type="spellStart"/>
      <w:r w:rsidRPr="009E4E62">
        <w:rPr>
          <w:rFonts w:asciiTheme="minorHAnsi" w:eastAsiaTheme="minorHAnsi" w:hAnsiTheme="minorHAnsi" w:cstheme="minorHAnsi"/>
        </w:rPr>
        <w:t>stakeholderov</w:t>
      </w:r>
      <w:proofErr w:type="spellEnd"/>
      <w:r w:rsidRPr="009E4E62">
        <w:rPr>
          <w:rFonts w:asciiTheme="minorHAnsi" w:eastAsiaTheme="minorHAnsi" w:hAnsiTheme="minorHAnsi" w:cstheme="minorHAnsi"/>
        </w:rPr>
        <w:t>, obcí, OZ a ďalších aktérov v území ako partnerov projektov.</w:t>
      </w:r>
    </w:p>
    <w:p w14:paraId="514EDEF8" w14:textId="77777777" w:rsidR="00B57C2F" w:rsidRPr="00212376" w:rsidRDefault="00B57C2F" w:rsidP="00B57C2F">
      <w:pPr>
        <w:jc w:val="both"/>
        <w:rPr>
          <w:rFonts w:cstheme="minorHAnsi"/>
          <w:sz w:val="24"/>
          <w:szCs w:val="24"/>
        </w:rPr>
      </w:pPr>
    </w:p>
    <w:p w14:paraId="26408C57" w14:textId="7257A22C" w:rsidR="00F83677" w:rsidRPr="00D21730" w:rsidRDefault="009B4912" w:rsidP="00B57C2F">
      <w:pPr>
        <w:spacing w:before="100" w:beforeAutospacing="1" w:after="100" w:afterAutospacing="1" w:line="240" w:lineRule="auto"/>
        <w:jc w:val="both"/>
        <w:outlineLvl w:val="1"/>
        <w:rPr>
          <w:b/>
          <w:bCs/>
          <w:color w:val="4F6228"/>
          <w:sz w:val="27"/>
          <w:szCs w:val="27"/>
          <w:lang w:eastAsia="sk-SK"/>
        </w:rPr>
      </w:pPr>
      <w:r w:rsidRPr="00295CC1">
        <w:rPr>
          <w:rFonts w:cstheme="minorHAnsi"/>
          <w:b/>
          <w:bCs/>
          <w:color w:val="880000"/>
          <w:sz w:val="36"/>
          <w:szCs w:val="36"/>
          <w:lang w:eastAsia="sk-SK"/>
        </w:rPr>
        <w:t xml:space="preserve">Program 5: </w:t>
      </w:r>
      <w:r w:rsidR="00F83677" w:rsidRPr="00F83677">
        <w:rPr>
          <w:rFonts w:cstheme="minorHAnsi"/>
          <w:b/>
          <w:bCs/>
          <w:color w:val="880000"/>
          <w:sz w:val="36"/>
          <w:szCs w:val="36"/>
          <w:lang w:eastAsia="sk-SK"/>
        </w:rPr>
        <w:t xml:space="preserve">Starostlivosť o krajinu, prírodné zdroje, územné plánovanie a prevenciu obyvateľstva </w:t>
      </w:r>
    </w:p>
    <w:p w14:paraId="1554B5A2" w14:textId="77777777" w:rsidR="00F83677" w:rsidRPr="00D21730" w:rsidRDefault="00F83677" w:rsidP="00F83677">
      <w:pPr>
        <w:spacing w:before="100" w:beforeAutospacing="1" w:after="100" w:afterAutospacing="1" w:line="240" w:lineRule="auto"/>
        <w:rPr>
          <w:sz w:val="24"/>
          <w:szCs w:val="24"/>
          <w:lang w:eastAsia="sk-SK"/>
        </w:rPr>
      </w:pPr>
      <w:r w:rsidRPr="00D21730">
        <w:rPr>
          <w:b/>
          <w:bCs/>
          <w:sz w:val="24"/>
          <w:szCs w:val="24"/>
          <w:lang w:eastAsia="sk-SK"/>
        </w:rPr>
        <w:t xml:space="preserve">Zámer: </w:t>
      </w:r>
      <w:r w:rsidRPr="00AF4548">
        <w:rPr>
          <w:sz w:val="24"/>
          <w:szCs w:val="24"/>
          <w:lang w:eastAsia="sk-SK"/>
        </w:rPr>
        <w:t>Komplexný rozvoj územia s dôrazom na ochranu životného prostredia a územného plánovania</w:t>
      </w:r>
    </w:p>
    <w:tbl>
      <w:tblPr>
        <w:tblW w:w="5000" w:type="pct"/>
        <w:jc w:val="center"/>
        <w:tblCellSpacing w:w="15" w:type="dxa"/>
        <w:tblLayout w:type="fixed"/>
        <w:tblCellMar>
          <w:top w:w="15" w:type="dxa"/>
          <w:left w:w="15" w:type="dxa"/>
          <w:bottom w:w="15" w:type="dxa"/>
          <w:right w:w="15" w:type="dxa"/>
        </w:tblCellMar>
        <w:tblLook w:val="04A0" w:firstRow="1" w:lastRow="0" w:firstColumn="1" w:lastColumn="0" w:noHBand="0" w:noVBand="1"/>
      </w:tblPr>
      <w:tblGrid>
        <w:gridCol w:w="709"/>
        <w:gridCol w:w="2414"/>
        <w:gridCol w:w="1574"/>
        <w:gridCol w:w="1259"/>
        <w:gridCol w:w="1132"/>
        <w:gridCol w:w="1423"/>
        <w:gridCol w:w="1955"/>
      </w:tblGrid>
      <w:tr w:rsidR="00F83677" w:rsidRPr="00D21730" w14:paraId="4FC4497E" w14:textId="77777777" w:rsidTr="00F83677">
        <w:trPr>
          <w:tblCellSpacing w:w="15" w:type="dxa"/>
          <w:jc w:val="center"/>
        </w:trPr>
        <w:tc>
          <w:tcPr>
            <w:tcW w:w="317" w:type="pct"/>
            <w:shd w:val="clear" w:color="auto" w:fill="C6DBF7"/>
            <w:vAlign w:val="center"/>
            <w:hideMark/>
          </w:tcPr>
          <w:p w14:paraId="6DC8BB06"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Kód EK</w:t>
            </w:r>
          </w:p>
        </w:tc>
        <w:tc>
          <w:tcPr>
            <w:tcW w:w="1138" w:type="pct"/>
            <w:shd w:val="clear" w:color="auto" w:fill="C6DBF7"/>
            <w:vAlign w:val="center"/>
            <w:hideMark/>
          </w:tcPr>
          <w:p w14:paraId="48BBD7B4"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Ekonomická klasifikácia</w:t>
            </w:r>
          </w:p>
        </w:tc>
        <w:tc>
          <w:tcPr>
            <w:tcW w:w="738" w:type="pct"/>
            <w:shd w:val="clear" w:color="auto" w:fill="C6DBF7"/>
            <w:vAlign w:val="center"/>
            <w:hideMark/>
          </w:tcPr>
          <w:p w14:paraId="694EFE69"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Schválený</w:t>
            </w:r>
            <w:r w:rsidRPr="00D21730">
              <w:rPr>
                <w:b/>
                <w:bCs/>
                <w:sz w:val="20"/>
                <w:szCs w:val="20"/>
                <w:lang w:eastAsia="sk-SK"/>
              </w:rPr>
              <w:br/>
              <w:t>rozpočet</w:t>
            </w:r>
            <w:r w:rsidRPr="00D21730">
              <w:rPr>
                <w:b/>
                <w:bCs/>
                <w:sz w:val="20"/>
                <w:szCs w:val="20"/>
                <w:lang w:eastAsia="sk-SK"/>
              </w:rPr>
              <w:br/>
              <w:t>v EUR</w:t>
            </w:r>
          </w:p>
        </w:tc>
        <w:tc>
          <w:tcPr>
            <w:tcW w:w="587" w:type="pct"/>
            <w:shd w:val="clear" w:color="auto" w:fill="C6DBF7"/>
            <w:vAlign w:val="center"/>
            <w:hideMark/>
          </w:tcPr>
          <w:p w14:paraId="1683032D"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Zmenený</w:t>
            </w:r>
            <w:r w:rsidRPr="00D21730">
              <w:rPr>
                <w:b/>
                <w:bCs/>
                <w:sz w:val="20"/>
                <w:szCs w:val="20"/>
                <w:lang w:eastAsia="sk-SK"/>
              </w:rPr>
              <w:br/>
              <w:t>rozpočet</w:t>
            </w:r>
            <w:r w:rsidRPr="00D21730">
              <w:rPr>
                <w:b/>
                <w:bCs/>
                <w:sz w:val="20"/>
                <w:szCs w:val="20"/>
                <w:lang w:eastAsia="sk-SK"/>
              </w:rPr>
              <w:br/>
              <w:t>v EUR</w:t>
            </w:r>
          </w:p>
        </w:tc>
        <w:tc>
          <w:tcPr>
            <w:tcW w:w="527" w:type="pct"/>
            <w:shd w:val="clear" w:color="auto" w:fill="C6DBF7"/>
            <w:vAlign w:val="center"/>
            <w:hideMark/>
          </w:tcPr>
          <w:p w14:paraId="3B1D8095"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Čerpanie</w:t>
            </w:r>
            <w:r w:rsidRPr="00D21730">
              <w:rPr>
                <w:b/>
                <w:bCs/>
                <w:sz w:val="20"/>
                <w:szCs w:val="20"/>
                <w:lang w:eastAsia="sk-SK"/>
              </w:rPr>
              <w:br/>
              <w:t>v EUR</w:t>
            </w:r>
          </w:p>
        </w:tc>
        <w:tc>
          <w:tcPr>
            <w:tcW w:w="665" w:type="pct"/>
            <w:shd w:val="clear" w:color="auto" w:fill="C6DBF7"/>
            <w:vAlign w:val="center"/>
            <w:hideMark/>
          </w:tcPr>
          <w:p w14:paraId="75DAA68C"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Čerpanie</w:t>
            </w:r>
            <w:r w:rsidRPr="00D21730">
              <w:rPr>
                <w:b/>
                <w:bCs/>
                <w:sz w:val="20"/>
                <w:szCs w:val="20"/>
                <w:lang w:eastAsia="sk-SK"/>
              </w:rPr>
              <w:br/>
              <w:t xml:space="preserve">k </w:t>
            </w:r>
            <w:proofErr w:type="spellStart"/>
            <w:r w:rsidRPr="00D21730">
              <w:rPr>
                <w:b/>
                <w:bCs/>
                <w:sz w:val="20"/>
                <w:szCs w:val="20"/>
                <w:lang w:eastAsia="sk-SK"/>
              </w:rPr>
              <w:t>zmen</w:t>
            </w:r>
            <w:proofErr w:type="spellEnd"/>
            <w:r w:rsidRPr="00D21730">
              <w:rPr>
                <w:b/>
                <w:bCs/>
                <w:sz w:val="20"/>
                <w:szCs w:val="20"/>
                <w:lang w:eastAsia="sk-SK"/>
              </w:rPr>
              <w:t xml:space="preserve">. </w:t>
            </w:r>
            <w:proofErr w:type="spellStart"/>
            <w:r w:rsidRPr="00D21730">
              <w:rPr>
                <w:b/>
                <w:bCs/>
                <w:sz w:val="20"/>
                <w:szCs w:val="20"/>
                <w:lang w:eastAsia="sk-SK"/>
              </w:rPr>
              <w:t>rozp</w:t>
            </w:r>
            <w:proofErr w:type="spellEnd"/>
            <w:r w:rsidRPr="00D21730">
              <w:rPr>
                <w:b/>
                <w:bCs/>
                <w:sz w:val="20"/>
                <w:szCs w:val="20"/>
                <w:lang w:eastAsia="sk-SK"/>
              </w:rPr>
              <w:t>.</w:t>
            </w:r>
            <w:r w:rsidRPr="00D21730">
              <w:rPr>
                <w:b/>
                <w:bCs/>
                <w:sz w:val="20"/>
                <w:szCs w:val="20"/>
                <w:lang w:eastAsia="sk-SK"/>
              </w:rPr>
              <w:br/>
              <w:t>v %</w:t>
            </w:r>
          </w:p>
        </w:tc>
        <w:tc>
          <w:tcPr>
            <w:tcW w:w="913" w:type="pct"/>
            <w:shd w:val="clear" w:color="auto" w:fill="C6DBF7"/>
            <w:vAlign w:val="center"/>
          </w:tcPr>
          <w:p w14:paraId="60344191" w14:textId="77777777" w:rsidR="00F83677" w:rsidRPr="00D21730" w:rsidRDefault="00F83677" w:rsidP="00F83677">
            <w:pPr>
              <w:jc w:val="center"/>
              <w:rPr>
                <w:b/>
                <w:bCs/>
                <w:sz w:val="20"/>
                <w:szCs w:val="20"/>
                <w:lang w:eastAsia="sk-SK"/>
              </w:rPr>
            </w:pPr>
            <w:r w:rsidRPr="00525FC8">
              <w:rPr>
                <w:b/>
                <w:bCs/>
                <w:sz w:val="20"/>
                <w:szCs w:val="20"/>
              </w:rPr>
              <w:t>Zmeny rozpočtu</w:t>
            </w:r>
          </w:p>
        </w:tc>
      </w:tr>
      <w:tr w:rsidR="00F83677" w:rsidRPr="00D21730" w14:paraId="493B679E" w14:textId="77777777" w:rsidTr="00F83677">
        <w:trPr>
          <w:tblCellSpacing w:w="15" w:type="dxa"/>
          <w:jc w:val="center"/>
        </w:trPr>
        <w:tc>
          <w:tcPr>
            <w:tcW w:w="317" w:type="pct"/>
            <w:shd w:val="clear" w:color="auto" w:fill="D9D9D9"/>
            <w:noWrap/>
            <w:vAlign w:val="center"/>
            <w:hideMark/>
          </w:tcPr>
          <w:p w14:paraId="38443D3E" w14:textId="77777777" w:rsidR="00F83677" w:rsidRPr="00D21730" w:rsidRDefault="00F83677" w:rsidP="00F83677">
            <w:pPr>
              <w:spacing w:after="0" w:line="240" w:lineRule="auto"/>
              <w:jc w:val="center"/>
              <w:rPr>
                <w:sz w:val="24"/>
                <w:szCs w:val="24"/>
                <w:lang w:eastAsia="sk-SK"/>
              </w:rPr>
            </w:pPr>
          </w:p>
        </w:tc>
        <w:tc>
          <w:tcPr>
            <w:tcW w:w="1138" w:type="pct"/>
            <w:shd w:val="clear" w:color="auto" w:fill="D9D9D9"/>
            <w:vAlign w:val="center"/>
            <w:hideMark/>
          </w:tcPr>
          <w:p w14:paraId="2CEE3E87" w14:textId="77777777" w:rsidR="00F83677" w:rsidRPr="00D21730" w:rsidRDefault="00F83677" w:rsidP="00F83677">
            <w:pPr>
              <w:spacing w:after="0" w:line="240" w:lineRule="auto"/>
              <w:rPr>
                <w:sz w:val="24"/>
                <w:szCs w:val="24"/>
                <w:lang w:eastAsia="sk-SK"/>
              </w:rPr>
            </w:pPr>
            <w:r w:rsidRPr="00D21730">
              <w:rPr>
                <w:b/>
                <w:bCs/>
                <w:sz w:val="20"/>
                <w:szCs w:val="20"/>
                <w:lang w:eastAsia="sk-SK"/>
              </w:rPr>
              <w:t>Výdavky celkom</w:t>
            </w:r>
            <w:r w:rsidRPr="00D21730">
              <w:rPr>
                <w:sz w:val="24"/>
                <w:szCs w:val="24"/>
                <w:lang w:eastAsia="sk-SK"/>
              </w:rPr>
              <w:t xml:space="preserve"> </w:t>
            </w:r>
          </w:p>
        </w:tc>
        <w:tc>
          <w:tcPr>
            <w:tcW w:w="738" w:type="pct"/>
            <w:shd w:val="clear" w:color="auto" w:fill="D9D9D9"/>
            <w:noWrap/>
            <w:vAlign w:val="center"/>
            <w:hideMark/>
          </w:tcPr>
          <w:p w14:paraId="4AE19410" w14:textId="77777777" w:rsidR="00F83677" w:rsidRPr="001C72DE" w:rsidRDefault="00F83677" w:rsidP="00F83677">
            <w:pPr>
              <w:spacing w:after="0" w:line="240" w:lineRule="auto"/>
              <w:jc w:val="right"/>
              <w:rPr>
                <w:color w:val="000000" w:themeColor="text1"/>
                <w:sz w:val="24"/>
                <w:szCs w:val="24"/>
                <w:lang w:eastAsia="sk-SK"/>
              </w:rPr>
            </w:pPr>
            <w:r w:rsidRPr="00D4051E">
              <w:rPr>
                <w:b/>
                <w:bCs/>
                <w:color w:val="000000" w:themeColor="text1"/>
                <w:sz w:val="20"/>
                <w:szCs w:val="20"/>
                <w:lang w:eastAsia="sk-SK"/>
              </w:rPr>
              <w:t>307</w:t>
            </w:r>
            <w:r>
              <w:rPr>
                <w:b/>
                <w:bCs/>
                <w:color w:val="000000" w:themeColor="text1"/>
                <w:sz w:val="20"/>
                <w:szCs w:val="20"/>
                <w:lang w:eastAsia="sk-SK"/>
              </w:rPr>
              <w:t> </w:t>
            </w:r>
            <w:r w:rsidRPr="00D4051E">
              <w:rPr>
                <w:b/>
                <w:bCs/>
                <w:color w:val="000000" w:themeColor="text1"/>
                <w:sz w:val="20"/>
                <w:szCs w:val="20"/>
                <w:lang w:eastAsia="sk-SK"/>
              </w:rPr>
              <w:t>900</w:t>
            </w:r>
            <w:r>
              <w:rPr>
                <w:b/>
                <w:bCs/>
                <w:color w:val="000000" w:themeColor="text1"/>
                <w:sz w:val="20"/>
                <w:szCs w:val="20"/>
                <w:lang w:eastAsia="sk-SK"/>
              </w:rPr>
              <w:t>,00</w:t>
            </w:r>
          </w:p>
        </w:tc>
        <w:tc>
          <w:tcPr>
            <w:tcW w:w="587" w:type="pct"/>
            <w:shd w:val="clear" w:color="auto" w:fill="D9D9D9"/>
            <w:noWrap/>
            <w:vAlign w:val="center"/>
            <w:hideMark/>
          </w:tcPr>
          <w:p w14:paraId="4AFA0D8B" w14:textId="77777777" w:rsidR="00F83677" w:rsidRPr="001C72DE" w:rsidRDefault="00F83677" w:rsidP="00F83677">
            <w:pPr>
              <w:spacing w:after="0" w:line="240" w:lineRule="auto"/>
              <w:jc w:val="right"/>
              <w:rPr>
                <w:color w:val="000000" w:themeColor="text1"/>
                <w:sz w:val="24"/>
                <w:szCs w:val="24"/>
                <w:lang w:eastAsia="sk-SK"/>
              </w:rPr>
            </w:pPr>
            <w:r w:rsidRPr="00D4051E">
              <w:rPr>
                <w:b/>
                <w:bCs/>
                <w:color w:val="000000" w:themeColor="text1"/>
                <w:sz w:val="20"/>
                <w:szCs w:val="20"/>
                <w:lang w:eastAsia="sk-SK"/>
              </w:rPr>
              <w:t>307</w:t>
            </w:r>
            <w:r>
              <w:rPr>
                <w:b/>
                <w:bCs/>
                <w:color w:val="000000" w:themeColor="text1"/>
                <w:sz w:val="20"/>
                <w:szCs w:val="20"/>
                <w:lang w:eastAsia="sk-SK"/>
              </w:rPr>
              <w:t> </w:t>
            </w:r>
            <w:r w:rsidRPr="00D4051E">
              <w:rPr>
                <w:b/>
                <w:bCs/>
                <w:color w:val="000000" w:themeColor="text1"/>
                <w:sz w:val="20"/>
                <w:szCs w:val="20"/>
                <w:lang w:eastAsia="sk-SK"/>
              </w:rPr>
              <w:t>900</w:t>
            </w:r>
            <w:r>
              <w:rPr>
                <w:b/>
                <w:bCs/>
                <w:color w:val="000000" w:themeColor="text1"/>
                <w:sz w:val="20"/>
                <w:szCs w:val="20"/>
                <w:lang w:eastAsia="sk-SK"/>
              </w:rPr>
              <w:t>,00</w:t>
            </w:r>
          </w:p>
        </w:tc>
        <w:tc>
          <w:tcPr>
            <w:tcW w:w="527" w:type="pct"/>
            <w:shd w:val="clear" w:color="auto" w:fill="D9D9D9"/>
            <w:noWrap/>
            <w:vAlign w:val="center"/>
            <w:hideMark/>
          </w:tcPr>
          <w:p w14:paraId="75E65E44" w14:textId="77777777" w:rsidR="00F83677" w:rsidRPr="001C72DE" w:rsidRDefault="00F83677" w:rsidP="00F83677">
            <w:pPr>
              <w:spacing w:after="0" w:line="240" w:lineRule="auto"/>
              <w:jc w:val="right"/>
              <w:rPr>
                <w:color w:val="000000" w:themeColor="text1"/>
                <w:sz w:val="24"/>
                <w:szCs w:val="24"/>
                <w:lang w:eastAsia="sk-SK"/>
              </w:rPr>
            </w:pPr>
            <w:r w:rsidRPr="00D4051E">
              <w:rPr>
                <w:b/>
                <w:bCs/>
                <w:color w:val="000000" w:themeColor="text1"/>
                <w:sz w:val="20"/>
                <w:szCs w:val="20"/>
                <w:lang w:eastAsia="sk-SK"/>
              </w:rPr>
              <w:t>111</w:t>
            </w:r>
            <w:r>
              <w:rPr>
                <w:b/>
                <w:bCs/>
                <w:color w:val="000000" w:themeColor="text1"/>
                <w:sz w:val="20"/>
                <w:szCs w:val="20"/>
                <w:lang w:eastAsia="sk-SK"/>
              </w:rPr>
              <w:t xml:space="preserve"> </w:t>
            </w:r>
            <w:r w:rsidRPr="00D4051E">
              <w:rPr>
                <w:b/>
                <w:bCs/>
                <w:color w:val="000000" w:themeColor="text1"/>
                <w:sz w:val="20"/>
                <w:szCs w:val="20"/>
                <w:lang w:eastAsia="sk-SK"/>
              </w:rPr>
              <w:t>358,42</w:t>
            </w:r>
          </w:p>
        </w:tc>
        <w:tc>
          <w:tcPr>
            <w:tcW w:w="665" w:type="pct"/>
            <w:shd w:val="clear" w:color="auto" w:fill="D9D9D9"/>
            <w:noWrap/>
            <w:vAlign w:val="center"/>
            <w:hideMark/>
          </w:tcPr>
          <w:p w14:paraId="21BB4F91" w14:textId="77777777" w:rsidR="00F83677" w:rsidRPr="00D4051E" w:rsidRDefault="00F83677" w:rsidP="00F83677">
            <w:pPr>
              <w:spacing w:after="0" w:line="240" w:lineRule="auto"/>
              <w:jc w:val="right"/>
              <w:rPr>
                <w:color w:val="FF0000"/>
                <w:sz w:val="24"/>
                <w:szCs w:val="24"/>
                <w:lang w:eastAsia="sk-SK"/>
              </w:rPr>
            </w:pPr>
            <w:r w:rsidRPr="00FA5B5D">
              <w:rPr>
                <w:b/>
                <w:bCs/>
                <w:color w:val="000000" w:themeColor="text1"/>
                <w:sz w:val="20"/>
                <w:szCs w:val="20"/>
                <w:lang w:eastAsia="sk-SK"/>
              </w:rPr>
              <w:t>36,17</w:t>
            </w:r>
          </w:p>
        </w:tc>
        <w:tc>
          <w:tcPr>
            <w:tcW w:w="913" w:type="pct"/>
            <w:vMerge w:val="restart"/>
            <w:shd w:val="clear" w:color="auto" w:fill="D9D9D9"/>
          </w:tcPr>
          <w:p w14:paraId="29E820B4" w14:textId="77777777" w:rsidR="00F83677" w:rsidRDefault="00F83677" w:rsidP="00F83677">
            <w:pPr>
              <w:spacing w:after="0" w:line="240" w:lineRule="auto"/>
              <w:jc w:val="right"/>
              <w:rPr>
                <w:b/>
                <w:bCs/>
                <w:color w:val="000000" w:themeColor="text1"/>
                <w:sz w:val="20"/>
                <w:szCs w:val="20"/>
                <w:lang w:eastAsia="sk-SK"/>
              </w:rPr>
            </w:pPr>
          </w:p>
        </w:tc>
      </w:tr>
      <w:tr w:rsidR="00F83677" w:rsidRPr="00D21730" w14:paraId="19EBE1F2" w14:textId="77777777" w:rsidTr="00F83677">
        <w:trPr>
          <w:tblCellSpacing w:w="15" w:type="dxa"/>
          <w:jc w:val="center"/>
        </w:trPr>
        <w:tc>
          <w:tcPr>
            <w:tcW w:w="317" w:type="pct"/>
            <w:shd w:val="clear" w:color="auto" w:fill="D9D9D9"/>
            <w:noWrap/>
            <w:vAlign w:val="center"/>
            <w:hideMark/>
          </w:tcPr>
          <w:p w14:paraId="0702E428" w14:textId="77777777" w:rsidR="00F83677" w:rsidRPr="00D21730" w:rsidRDefault="00F83677" w:rsidP="00F83677">
            <w:pPr>
              <w:spacing w:after="0" w:line="240" w:lineRule="auto"/>
              <w:rPr>
                <w:sz w:val="24"/>
                <w:szCs w:val="24"/>
                <w:lang w:eastAsia="sk-SK"/>
              </w:rPr>
            </w:pPr>
            <w:r w:rsidRPr="00D21730">
              <w:rPr>
                <w:b/>
                <w:bCs/>
                <w:sz w:val="20"/>
                <w:szCs w:val="20"/>
                <w:lang w:eastAsia="sk-SK"/>
              </w:rPr>
              <w:t>600</w:t>
            </w:r>
            <w:r w:rsidRPr="00D21730">
              <w:rPr>
                <w:sz w:val="24"/>
                <w:szCs w:val="24"/>
                <w:lang w:eastAsia="sk-SK"/>
              </w:rPr>
              <w:t xml:space="preserve"> </w:t>
            </w:r>
          </w:p>
        </w:tc>
        <w:tc>
          <w:tcPr>
            <w:tcW w:w="1138" w:type="pct"/>
            <w:shd w:val="clear" w:color="auto" w:fill="D9D9D9"/>
            <w:vAlign w:val="center"/>
            <w:hideMark/>
          </w:tcPr>
          <w:p w14:paraId="14F77826" w14:textId="77777777" w:rsidR="00F83677" w:rsidRPr="00D21730" w:rsidRDefault="00F83677" w:rsidP="00F83677">
            <w:pPr>
              <w:spacing w:after="0" w:line="240" w:lineRule="auto"/>
              <w:rPr>
                <w:sz w:val="24"/>
                <w:szCs w:val="24"/>
                <w:lang w:eastAsia="sk-SK"/>
              </w:rPr>
            </w:pPr>
            <w:r w:rsidRPr="00D21730">
              <w:rPr>
                <w:b/>
                <w:bCs/>
                <w:sz w:val="20"/>
                <w:szCs w:val="20"/>
                <w:lang w:eastAsia="sk-SK"/>
              </w:rPr>
              <w:t>Bežné výdavky</w:t>
            </w:r>
            <w:r w:rsidRPr="00D21730">
              <w:rPr>
                <w:sz w:val="24"/>
                <w:szCs w:val="24"/>
                <w:lang w:eastAsia="sk-SK"/>
              </w:rPr>
              <w:t xml:space="preserve"> </w:t>
            </w:r>
          </w:p>
        </w:tc>
        <w:tc>
          <w:tcPr>
            <w:tcW w:w="738" w:type="pct"/>
            <w:shd w:val="clear" w:color="auto" w:fill="D9D9D9"/>
            <w:noWrap/>
            <w:vAlign w:val="center"/>
            <w:hideMark/>
          </w:tcPr>
          <w:p w14:paraId="74C90452" w14:textId="77777777" w:rsidR="00F83677" w:rsidRPr="001C72DE" w:rsidRDefault="00F83677" w:rsidP="00F83677">
            <w:pPr>
              <w:spacing w:after="0" w:line="240" w:lineRule="auto"/>
              <w:jc w:val="right"/>
              <w:rPr>
                <w:color w:val="000000" w:themeColor="text1"/>
                <w:sz w:val="24"/>
                <w:szCs w:val="24"/>
                <w:lang w:eastAsia="sk-SK"/>
              </w:rPr>
            </w:pPr>
            <w:r w:rsidRPr="00D4051E">
              <w:rPr>
                <w:b/>
                <w:bCs/>
                <w:color w:val="000000" w:themeColor="text1"/>
                <w:sz w:val="20"/>
                <w:szCs w:val="20"/>
                <w:lang w:eastAsia="sk-SK"/>
              </w:rPr>
              <w:t>262</w:t>
            </w:r>
            <w:r>
              <w:rPr>
                <w:b/>
                <w:bCs/>
                <w:color w:val="000000" w:themeColor="text1"/>
                <w:sz w:val="20"/>
                <w:szCs w:val="20"/>
                <w:lang w:eastAsia="sk-SK"/>
              </w:rPr>
              <w:t xml:space="preserve"> </w:t>
            </w:r>
            <w:r w:rsidRPr="00D4051E">
              <w:rPr>
                <w:b/>
                <w:bCs/>
                <w:color w:val="000000" w:themeColor="text1"/>
                <w:sz w:val="20"/>
                <w:szCs w:val="20"/>
                <w:lang w:eastAsia="sk-SK"/>
              </w:rPr>
              <w:t>900</w:t>
            </w:r>
            <w:r>
              <w:rPr>
                <w:b/>
                <w:bCs/>
                <w:color w:val="000000" w:themeColor="text1"/>
                <w:sz w:val="20"/>
                <w:szCs w:val="20"/>
                <w:lang w:eastAsia="sk-SK"/>
              </w:rPr>
              <w:t>,00</w:t>
            </w:r>
          </w:p>
        </w:tc>
        <w:tc>
          <w:tcPr>
            <w:tcW w:w="587" w:type="pct"/>
            <w:shd w:val="clear" w:color="auto" w:fill="D9D9D9"/>
            <w:noWrap/>
            <w:vAlign w:val="center"/>
            <w:hideMark/>
          </w:tcPr>
          <w:p w14:paraId="5EB7B8AB" w14:textId="77777777" w:rsidR="00F83677" w:rsidRPr="001C72DE" w:rsidRDefault="00F83677" w:rsidP="00F83677">
            <w:pPr>
              <w:spacing w:after="0" w:line="240" w:lineRule="auto"/>
              <w:jc w:val="right"/>
              <w:rPr>
                <w:color w:val="000000" w:themeColor="text1"/>
                <w:sz w:val="24"/>
                <w:szCs w:val="24"/>
                <w:lang w:eastAsia="sk-SK"/>
              </w:rPr>
            </w:pPr>
            <w:r w:rsidRPr="00D4051E">
              <w:rPr>
                <w:b/>
                <w:bCs/>
                <w:color w:val="000000" w:themeColor="text1"/>
                <w:sz w:val="20"/>
                <w:szCs w:val="20"/>
                <w:lang w:eastAsia="sk-SK"/>
              </w:rPr>
              <w:t>262</w:t>
            </w:r>
            <w:r>
              <w:rPr>
                <w:b/>
                <w:bCs/>
                <w:color w:val="000000" w:themeColor="text1"/>
                <w:sz w:val="20"/>
                <w:szCs w:val="20"/>
                <w:lang w:eastAsia="sk-SK"/>
              </w:rPr>
              <w:t> </w:t>
            </w:r>
            <w:r w:rsidRPr="00D4051E">
              <w:rPr>
                <w:b/>
                <w:bCs/>
                <w:color w:val="000000" w:themeColor="text1"/>
                <w:sz w:val="20"/>
                <w:szCs w:val="20"/>
                <w:lang w:eastAsia="sk-SK"/>
              </w:rPr>
              <w:t>900</w:t>
            </w:r>
            <w:r>
              <w:rPr>
                <w:b/>
                <w:bCs/>
                <w:color w:val="000000" w:themeColor="text1"/>
                <w:sz w:val="20"/>
                <w:szCs w:val="20"/>
                <w:lang w:eastAsia="sk-SK"/>
              </w:rPr>
              <w:t>,00</w:t>
            </w:r>
          </w:p>
        </w:tc>
        <w:tc>
          <w:tcPr>
            <w:tcW w:w="527" w:type="pct"/>
            <w:shd w:val="clear" w:color="auto" w:fill="D9D9D9"/>
            <w:noWrap/>
            <w:vAlign w:val="center"/>
            <w:hideMark/>
          </w:tcPr>
          <w:p w14:paraId="49347421" w14:textId="77777777" w:rsidR="00F83677" w:rsidRPr="001C72DE" w:rsidRDefault="00F83677" w:rsidP="00F83677">
            <w:pPr>
              <w:spacing w:after="0" w:line="240" w:lineRule="auto"/>
              <w:jc w:val="right"/>
              <w:rPr>
                <w:color w:val="000000" w:themeColor="text1"/>
                <w:sz w:val="24"/>
                <w:szCs w:val="24"/>
                <w:lang w:eastAsia="sk-SK"/>
              </w:rPr>
            </w:pPr>
            <w:r w:rsidRPr="00D4051E">
              <w:rPr>
                <w:b/>
                <w:bCs/>
                <w:color w:val="000000" w:themeColor="text1"/>
                <w:sz w:val="20"/>
                <w:szCs w:val="20"/>
                <w:lang w:eastAsia="sk-SK"/>
              </w:rPr>
              <w:t>81</w:t>
            </w:r>
            <w:r>
              <w:rPr>
                <w:b/>
                <w:bCs/>
                <w:color w:val="000000" w:themeColor="text1"/>
                <w:sz w:val="20"/>
                <w:szCs w:val="20"/>
                <w:lang w:eastAsia="sk-SK"/>
              </w:rPr>
              <w:t xml:space="preserve"> </w:t>
            </w:r>
            <w:r w:rsidRPr="00D4051E">
              <w:rPr>
                <w:b/>
                <w:bCs/>
                <w:color w:val="000000" w:themeColor="text1"/>
                <w:sz w:val="20"/>
                <w:szCs w:val="20"/>
                <w:lang w:eastAsia="sk-SK"/>
              </w:rPr>
              <w:t>682,42</w:t>
            </w:r>
          </w:p>
        </w:tc>
        <w:tc>
          <w:tcPr>
            <w:tcW w:w="665" w:type="pct"/>
            <w:shd w:val="clear" w:color="auto" w:fill="D9D9D9"/>
            <w:noWrap/>
            <w:vAlign w:val="center"/>
            <w:hideMark/>
          </w:tcPr>
          <w:p w14:paraId="7C57E110" w14:textId="77777777" w:rsidR="00F83677" w:rsidRPr="00D4051E" w:rsidRDefault="00F83677" w:rsidP="00F83677">
            <w:pPr>
              <w:spacing w:after="0" w:line="240" w:lineRule="auto"/>
              <w:jc w:val="right"/>
              <w:rPr>
                <w:color w:val="FF0000"/>
                <w:sz w:val="24"/>
                <w:szCs w:val="24"/>
                <w:lang w:eastAsia="sk-SK"/>
              </w:rPr>
            </w:pPr>
            <w:r w:rsidRPr="00FA5B5D">
              <w:rPr>
                <w:b/>
                <w:bCs/>
                <w:color w:val="000000" w:themeColor="text1"/>
                <w:sz w:val="20"/>
                <w:szCs w:val="20"/>
                <w:lang w:eastAsia="sk-SK"/>
              </w:rPr>
              <w:t>31,07</w:t>
            </w:r>
          </w:p>
        </w:tc>
        <w:tc>
          <w:tcPr>
            <w:tcW w:w="913" w:type="pct"/>
            <w:vMerge/>
            <w:shd w:val="clear" w:color="auto" w:fill="D9D9D9"/>
          </w:tcPr>
          <w:p w14:paraId="5262232A" w14:textId="77777777" w:rsidR="00F83677" w:rsidRDefault="00F83677" w:rsidP="00F83677">
            <w:pPr>
              <w:spacing w:after="0" w:line="240" w:lineRule="auto"/>
              <w:jc w:val="right"/>
              <w:rPr>
                <w:b/>
                <w:bCs/>
                <w:color w:val="000000" w:themeColor="text1"/>
                <w:sz w:val="20"/>
                <w:szCs w:val="20"/>
                <w:lang w:eastAsia="sk-SK"/>
              </w:rPr>
            </w:pPr>
          </w:p>
        </w:tc>
      </w:tr>
      <w:tr w:rsidR="00F83677" w:rsidRPr="00D21730" w14:paraId="35144C61" w14:textId="77777777" w:rsidTr="00F83677">
        <w:trPr>
          <w:tblCellSpacing w:w="15" w:type="dxa"/>
          <w:jc w:val="center"/>
        </w:trPr>
        <w:tc>
          <w:tcPr>
            <w:tcW w:w="317" w:type="pct"/>
            <w:shd w:val="clear" w:color="auto" w:fill="EFEFEF"/>
            <w:noWrap/>
            <w:vAlign w:val="center"/>
            <w:hideMark/>
          </w:tcPr>
          <w:p w14:paraId="0947B2AC" w14:textId="77777777" w:rsidR="00F83677" w:rsidRPr="00D21730" w:rsidRDefault="00F83677" w:rsidP="00F83677">
            <w:pPr>
              <w:spacing w:after="0" w:line="240" w:lineRule="auto"/>
              <w:rPr>
                <w:sz w:val="24"/>
                <w:szCs w:val="24"/>
                <w:lang w:eastAsia="sk-SK"/>
              </w:rPr>
            </w:pPr>
            <w:r w:rsidRPr="00D21730">
              <w:rPr>
                <w:sz w:val="20"/>
                <w:szCs w:val="20"/>
                <w:lang w:eastAsia="sk-SK"/>
              </w:rPr>
              <w:t>630</w:t>
            </w:r>
            <w:r w:rsidRPr="00D21730">
              <w:rPr>
                <w:sz w:val="24"/>
                <w:szCs w:val="24"/>
                <w:lang w:eastAsia="sk-SK"/>
              </w:rPr>
              <w:t xml:space="preserve"> </w:t>
            </w:r>
          </w:p>
        </w:tc>
        <w:tc>
          <w:tcPr>
            <w:tcW w:w="1138" w:type="pct"/>
            <w:shd w:val="clear" w:color="auto" w:fill="EFEFEF"/>
            <w:vAlign w:val="center"/>
            <w:hideMark/>
          </w:tcPr>
          <w:p w14:paraId="1E9E14FA" w14:textId="77777777" w:rsidR="00F83677" w:rsidRPr="00D21730" w:rsidRDefault="00F83677" w:rsidP="00F83677">
            <w:pPr>
              <w:spacing w:after="0" w:line="240" w:lineRule="auto"/>
              <w:rPr>
                <w:sz w:val="24"/>
                <w:szCs w:val="24"/>
                <w:lang w:eastAsia="sk-SK"/>
              </w:rPr>
            </w:pPr>
            <w:r w:rsidRPr="00D21730">
              <w:rPr>
                <w:sz w:val="20"/>
                <w:szCs w:val="20"/>
                <w:lang w:eastAsia="sk-SK"/>
              </w:rPr>
              <w:t>Tovary a služby</w:t>
            </w:r>
            <w:r w:rsidRPr="00D21730">
              <w:rPr>
                <w:sz w:val="24"/>
                <w:szCs w:val="24"/>
                <w:lang w:eastAsia="sk-SK"/>
              </w:rPr>
              <w:t xml:space="preserve"> </w:t>
            </w:r>
          </w:p>
        </w:tc>
        <w:tc>
          <w:tcPr>
            <w:tcW w:w="738" w:type="pct"/>
            <w:shd w:val="clear" w:color="auto" w:fill="EFEFEF"/>
            <w:noWrap/>
            <w:vAlign w:val="center"/>
            <w:hideMark/>
          </w:tcPr>
          <w:p w14:paraId="31977FE8" w14:textId="77777777" w:rsidR="00F83677" w:rsidRPr="001C72DE" w:rsidRDefault="00F83677" w:rsidP="00F83677">
            <w:pPr>
              <w:spacing w:after="0" w:line="240" w:lineRule="auto"/>
              <w:jc w:val="right"/>
              <w:rPr>
                <w:color w:val="000000" w:themeColor="text1"/>
                <w:sz w:val="20"/>
                <w:szCs w:val="20"/>
                <w:lang w:eastAsia="sk-SK"/>
              </w:rPr>
            </w:pPr>
            <w:r w:rsidRPr="00D4051E">
              <w:rPr>
                <w:color w:val="000000" w:themeColor="text1"/>
                <w:sz w:val="20"/>
                <w:szCs w:val="20"/>
                <w:lang w:eastAsia="sk-SK"/>
              </w:rPr>
              <w:t>262</w:t>
            </w:r>
            <w:r>
              <w:rPr>
                <w:color w:val="000000" w:themeColor="text1"/>
                <w:sz w:val="20"/>
                <w:szCs w:val="20"/>
                <w:lang w:eastAsia="sk-SK"/>
              </w:rPr>
              <w:t> </w:t>
            </w:r>
            <w:r w:rsidRPr="00D4051E">
              <w:rPr>
                <w:color w:val="000000" w:themeColor="text1"/>
                <w:sz w:val="20"/>
                <w:szCs w:val="20"/>
                <w:lang w:eastAsia="sk-SK"/>
              </w:rPr>
              <w:t>900</w:t>
            </w:r>
            <w:r>
              <w:rPr>
                <w:color w:val="000000" w:themeColor="text1"/>
                <w:sz w:val="20"/>
                <w:szCs w:val="20"/>
                <w:lang w:eastAsia="sk-SK"/>
              </w:rPr>
              <w:t>,00</w:t>
            </w:r>
          </w:p>
        </w:tc>
        <w:tc>
          <w:tcPr>
            <w:tcW w:w="587" w:type="pct"/>
            <w:shd w:val="clear" w:color="auto" w:fill="EFEFEF"/>
            <w:noWrap/>
            <w:vAlign w:val="center"/>
            <w:hideMark/>
          </w:tcPr>
          <w:p w14:paraId="1C12ACE4" w14:textId="77777777" w:rsidR="00F83677" w:rsidRPr="001C72DE" w:rsidRDefault="00F83677" w:rsidP="00F83677">
            <w:pPr>
              <w:spacing w:after="0" w:line="240" w:lineRule="auto"/>
              <w:jc w:val="right"/>
              <w:rPr>
                <w:color w:val="000000" w:themeColor="text1"/>
                <w:sz w:val="20"/>
                <w:szCs w:val="20"/>
                <w:lang w:eastAsia="sk-SK"/>
              </w:rPr>
            </w:pPr>
            <w:r w:rsidRPr="00D4051E">
              <w:rPr>
                <w:color w:val="000000" w:themeColor="text1"/>
                <w:sz w:val="20"/>
                <w:szCs w:val="20"/>
                <w:lang w:eastAsia="sk-SK"/>
              </w:rPr>
              <w:t>262</w:t>
            </w:r>
            <w:r>
              <w:rPr>
                <w:color w:val="000000" w:themeColor="text1"/>
                <w:sz w:val="20"/>
                <w:szCs w:val="20"/>
                <w:lang w:eastAsia="sk-SK"/>
              </w:rPr>
              <w:t> </w:t>
            </w:r>
            <w:r w:rsidRPr="00D4051E">
              <w:rPr>
                <w:color w:val="000000" w:themeColor="text1"/>
                <w:sz w:val="20"/>
                <w:szCs w:val="20"/>
                <w:lang w:eastAsia="sk-SK"/>
              </w:rPr>
              <w:t>900</w:t>
            </w:r>
            <w:r>
              <w:rPr>
                <w:color w:val="000000" w:themeColor="text1"/>
                <w:sz w:val="20"/>
                <w:szCs w:val="20"/>
                <w:lang w:eastAsia="sk-SK"/>
              </w:rPr>
              <w:t>,00</w:t>
            </w:r>
          </w:p>
        </w:tc>
        <w:tc>
          <w:tcPr>
            <w:tcW w:w="527" w:type="pct"/>
            <w:shd w:val="clear" w:color="auto" w:fill="EFEFEF"/>
            <w:noWrap/>
            <w:vAlign w:val="center"/>
            <w:hideMark/>
          </w:tcPr>
          <w:p w14:paraId="137F76DB" w14:textId="77777777" w:rsidR="00F83677" w:rsidRPr="001C72DE" w:rsidRDefault="00F83677" w:rsidP="00F83677">
            <w:pPr>
              <w:spacing w:after="0" w:line="240" w:lineRule="auto"/>
              <w:jc w:val="right"/>
              <w:rPr>
                <w:color w:val="000000" w:themeColor="text1"/>
                <w:sz w:val="20"/>
                <w:szCs w:val="20"/>
                <w:lang w:eastAsia="sk-SK"/>
              </w:rPr>
            </w:pPr>
            <w:r w:rsidRPr="00D4051E">
              <w:rPr>
                <w:color w:val="000000" w:themeColor="text1"/>
                <w:sz w:val="20"/>
                <w:szCs w:val="20"/>
                <w:lang w:eastAsia="sk-SK"/>
              </w:rPr>
              <w:t>81</w:t>
            </w:r>
            <w:r>
              <w:rPr>
                <w:color w:val="000000" w:themeColor="text1"/>
                <w:sz w:val="20"/>
                <w:szCs w:val="20"/>
                <w:lang w:eastAsia="sk-SK"/>
              </w:rPr>
              <w:t xml:space="preserve"> </w:t>
            </w:r>
            <w:r w:rsidRPr="00D4051E">
              <w:rPr>
                <w:color w:val="000000" w:themeColor="text1"/>
                <w:sz w:val="20"/>
                <w:szCs w:val="20"/>
                <w:lang w:eastAsia="sk-SK"/>
              </w:rPr>
              <w:t>682,42</w:t>
            </w:r>
          </w:p>
        </w:tc>
        <w:tc>
          <w:tcPr>
            <w:tcW w:w="665" w:type="pct"/>
            <w:shd w:val="clear" w:color="auto" w:fill="EFEFEF"/>
            <w:noWrap/>
            <w:vAlign w:val="center"/>
            <w:hideMark/>
          </w:tcPr>
          <w:p w14:paraId="1BFF62BD" w14:textId="77777777" w:rsidR="00F83677" w:rsidRPr="00FA5B5D" w:rsidRDefault="00F83677" w:rsidP="00F83677">
            <w:pPr>
              <w:spacing w:after="0" w:line="240" w:lineRule="auto"/>
              <w:jc w:val="right"/>
              <w:rPr>
                <w:color w:val="FF0000"/>
                <w:sz w:val="20"/>
                <w:szCs w:val="20"/>
                <w:lang w:eastAsia="sk-SK"/>
              </w:rPr>
            </w:pPr>
            <w:r w:rsidRPr="00FA5B5D">
              <w:rPr>
                <w:color w:val="000000" w:themeColor="text1"/>
                <w:sz w:val="20"/>
                <w:szCs w:val="20"/>
                <w:lang w:eastAsia="sk-SK"/>
              </w:rPr>
              <w:t>31,07</w:t>
            </w:r>
          </w:p>
        </w:tc>
        <w:tc>
          <w:tcPr>
            <w:tcW w:w="913" w:type="pct"/>
            <w:vMerge/>
            <w:shd w:val="clear" w:color="auto" w:fill="EFEFEF"/>
          </w:tcPr>
          <w:p w14:paraId="2F7BA276" w14:textId="77777777" w:rsidR="00F83677" w:rsidRDefault="00F83677" w:rsidP="00F83677">
            <w:pPr>
              <w:spacing w:after="0" w:line="240" w:lineRule="auto"/>
              <w:jc w:val="right"/>
              <w:rPr>
                <w:color w:val="000000" w:themeColor="text1"/>
                <w:sz w:val="20"/>
                <w:szCs w:val="20"/>
                <w:lang w:eastAsia="sk-SK"/>
              </w:rPr>
            </w:pPr>
          </w:p>
        </w:tc>
      </w:tr>
      <w:tr w:rsidR="00F83677" w:rsidRPr="00D21730" w14:paraId="62EF1080" w14:textId="77777777" w:rsidTr="00F83677">
        <w:trPr>
          <w:tblCellSpacing w:w="15" w:type="dxa"/>
          <w:jc w:val="center"/>
        </w:trPr>
        <w:tc>
          <w:tcPr>
            <w:tcW w:w="317" w:type="pct"/>
            <w:shd w:val="clear" w:color="auto" w:fill="D9D9D9" w:themeFill="background1" w:themeFillShade="D9"/>
            <w:noWrap/>
            <w:vAlign w:val="center"/>
          </w:tcPr>
          <w:p w14:paraId="66C2F1F6" w14:textId="77777777" w:rsidR="00F83677" w:rsidRPr="00D4051E" w:rsidRDefault="00F83677" w:rsidP="00F83677">
            <w:pPr>
              <w:spacing w:after="0" w:line="240" w:lineRule="auto"/>
              <w:rPr>
                <w:b/>
                <w:bCs/>
                <w:sz w:val="20"/>
                <w:szCs w:val="20"/>
                <w:lang w:eastAsia="sk-SK"/>
              </w:rPr>
            </w:pPr>
            <w:r w:rsidRPr="00D4051E">
              <w:rPr>
                <w:b/>
                <w:bCs/>
                <w:sz w:val="20"/>
                <w:szCs w:val="20"/>
                <w:lang w:eastAsia="sk-SK"/>
              </w:rPr>
              <w:lastRenderedPageBreak/>
              <w:t>700</w:t>
            </w:r>
          </w:p>
        </w:tc>
        <w:tc>
          <w:tcPr>
            <w:tcW w:w="1138" w:type="pct"/>
            <w:shd w:val="clear" w:color="auto" w:fill="D9D9D9" w:themeFill="background1" w:themeFillShade="D9"/>
            <w:vAlign w:val="center"/>
          </w:tcPr>
          <w:p w14:paraId="5FC96A91" w14:textId="77777777" w:rsidR="00F83677" w:rsidRPr="00D4051E" w:rsidRDefault="00F83677" w:rsidP="00F83677">
            <w:pPr>
              <w:spacing w:after="0" w:line="240" w:lineRule="auto"/>
              <w:rPr>
                <w:b/>
                <w:bCs/>
                <w:sz w:val="20"/>
                <w:szCs w:val="20"/>
                <w:lang w:eastAsia="sk-SK"/>
              </w:rPr>
            </w:pPr>
            <w:r w:rsidRPr="00D4051E">
              <w:rPr>
                <w:b/>
                <w:bCs/>
                <w:sz w:val="20"/>
                <w:szCs w:val="20"/>
                <w:lang w:eastAsia="sk-SK"/>
              </w:rPr>
              <w:t>Kapitálové  výdavky</w:t>
            </w:r>
          </w:p>
        </w:tc>
        <w:tc>
          <w:tcPr>
            <w:tcW w:w="738" w:type="pct"/>
            <w:shd w:val="clear" w:color="auto" w:fill="D9D9D9" w:themeFill="background1" w:themeFillShade="D9"/>
            <w:noWrap/>
            <w:vAlign w:val="center"/>
          </w:tcPr>
          <w:p w14:paraId="4D0A34B6" w14:textId="77777777" w:rsidR="00F83677" w:rsidRPr="00D4051E" w:rsidRDefault="00F83677" w:rsidP="00F83677">
            <w:pPr>
              <w:spacing w:after="0" w:line="240" w:lineRule="auto"/>
              <w:jc w:val="right"/>
              <w:rPr>
                <w:b/>
                <w:bCs/>
                <w:sz w:val="20"/>
                <w:szCs w:val="20"/>
                <w:lang w:eastAsia="sk-SK"/>
              </w:rPr>
            </w:pPr>
            <w:r w:rsidRPr="00D4051E">
              <w:rPr>
                <w:b/>
                <w:bCs/>
                <w:sz w:val="20"/>
                <w:szCs w:val="20"/>
                <w:lang w:eastAsia="sk-SK"/>
              </w:rPr>
              <w:t>45</w:t>
            </w:r>
            <w:r>
              <w:rPr>
                <w:b/>
                <w:bCs/>
                <w:sz w:val="20"/>
                <w:szCs w:val="20"/>
                <w:lang w:eastAsia="sk-SK"/>
              </w:rPr>
              <w:t> </w:t>
            </w:r>
            <w:r w:rsidRPr="00D4051E">
              <w:rPr>
                <w:b/>
                <w:bCs/>
                <w:sz w:val="20"/>
                <w:szCs w:val="20"/>
                <w:lang w:eastAsia="sk-SK"/>
              </w:rPr>
              <w:t>000</w:t>
            </w:r>
            <w:r>
              <w:rPr>
                <w:b/>
                <w:bCs/>
                <w:sz w:val="20"/>
                <w:szCs w:val="20"/>
                <w:lang w:eastAsia="sk-SK"/>
              </w:rPr>
              <w:t>,00</w:t>
            </w:r>
          </w:p>
        </w:tc>
        <w:tc>
          <w:tcPr>
            <w:tcW w:w="587" w:type="pct"/>
            <w:shd w:val="clear" w:color="auto" w:fill="D9D9D9" w:themeFill="background1" w:themeFillShade="D9"/>
            <w:noWrap/>
            <w:vAlign w:val="center"/>
          </w:tcPr>
          <w:p w14:paraId="1B950382" w14:textId="77777777" w:rsidR="00F83677" w:rsidRPr="00D4051E" w:rsidRDefault="00F83677" w:rsidP="00F83677">
            <w:pPr>
              <w:spacing w:after="0" w:line="240" w:lineRule="auto"/>
              <w:jc w:val="right"/>
              <w:rPr>
                <w:b/>
                <w:bCs/>
                <w:sz w:val="20"/>
                <w:szCs w:val="20"/>
                <w:lang w:eastAsia="sk-SK"/>
              </w:rPr>
            </w:pPr>
            <w:r w:rsidRPr="00D4051E">
              <w:rPr>
                <w:b/>
                <w:bCs/>
                <w:sz w:val="20"/>
                <w:szCs w:val="20"/>
                <w:lang w:eastAsia="sk-SK"/>
              </w:rPr>
              <w:t>45</w:t>
            </w:r>
            <w:r>
              <w:rPr>
                <w:b/>
                <w:bCs/>
                <w:sz w:val="20"/>
                <w:szCs w:val="20"/>
                <w:lang w:eastAsia="sk-SK"/>
              </w:rPr>
              <w:t> </w:t>
            </w:r>
            <w:r w:rsidRPr="00D4051E">
              <w:rPr>
                <w:b/>
                <w:bCs/>
                <w:sz w:val="20"/>
                <w:szCs w:val="20"/>
                <w:lang w:eastAsia="sk-SK"/>
              </w:rPr>
              <w:t>000</w:t>
            </w:r>
            <w:r>
              <w:rPr>
                <w:b/>
                <w:bCs/>
                <w:sz w:val="20"/>
                <w:szCs w:val="20"/>
                <w:lang w:eastAsia="sk-SK"/>
              </w:rPr>
              <w:t>,00</w:t>
            </w:r>
          </w:p>
        </w:tc>
        <w:tc>
          <w:tcPr>
            <w:tcW w:w="527" w:type="pct"/>
            <w:shd w:val="clear" w:color="auto" w:fill="D9D9D9" w:themeFill="background1" w:themeFillShade="D9"/>
            <w:noWrap/>
            <w:vAlign w:val="center"/>
          </w:tcPr>
          <w:p w14:paraId="3EB46074" w14:textId="77777777" w:rsidR="00F83677" w:rsidRPr="00D4051E" w:rsidRDefault="00F83677" w:rsidP="00F83677">
            <w:pPr>
              <w:spacing w:after="0" w:line="240" w:lineRule="auto"/>
              <w:jc w:val="right"/>
              <w:rPr>
                <w:b/>
                <w:bCs/>
                <w:sz w:val="20"/>
                <w:szCs w:val="20"/>
                <w:lang w:eastAsia="sk-SK"/>
              </w:rPr>
            </w:pPr>
            <w:r w:rsidRPr="00D4051E">
              <w:rPr>
                <w:b/>
                <w:bCs/>
                <w:sz w:val="20"/>
                <w:szCs w:val="20"/>
                <w:lang w:eastAsia="sk-SK"/>
              </w:rPr>
              <w:t>29</w:t>
            </w:r>
            <w:r>
              <w:rPr>
                <w:b/>
                <w:bCs/>
                <w:sz w:val="20"/>
                <w:szCs w:val="20"/>
                <w:lang w:eastAsia="sk-SK"/>
              </w:rPr>
              <w:t> </w:t>
            </w:r>
            <w:r w:rsidRPr="00D4051E">
              <w:rPr>
                <w:b/>
                <w:bCs/>
                <w:sz w:val="20"/>
                <w:szCs w:val="20"/>
                <w:lang w:eastAsia="sk-SK"/>
              </w:rPr>
              <w:t>676</w:t>
            </w:r>
            <w:r>
              <w:rPr>
                <w:b/>
                <w:bCs/>
                <w:sz w:val="20"/>
                <w:szCs w:val="20"/>
                <w:lang w:eastAsia="sk-SK"/>
              </w:rPr>
              <w:t>,00</w:t>
            </w:r>
          </w:p>
        </w:tc>
        <w:tc>
          <w:tcPr>
            <w:tcW w:w="665" w:type="pct"/>
            <w:shd w:val="clear" w:color="auto" w:fill="D9D9D9" w:themeFill="background1" w:themeFillShade="D9"/>
            <w:noWrap/>
            <w:vAlign w:val="center"/>
          </w:tcPr>
          <w:p w14:paraId="28E50DE5" w14:textId="77777777" w:rsidR="00F83677" w:rsidRPr="00D4051E" w:rsidRDefault="00F83677" w:rsidP="00F83677">
            <w:pPr>
              <w:spacing w:after="0" w:line="240" w:lineRule="auto"/>
              <w:jc w:val="right"/>
              <w:rPr>
                <w:b/>
                <w:bCs/>
                <w:sz w:val="20"/>
                <w:szCs w:val="20"/>
                <w:lang w:eastAsia="sk-SK"/>
              </w:rPr>
            </w:pPr>
            <w:r w:rsidRPr="00FA5B5D">
              <w:rPr>
                <w:b/>
                <w:bCs/>
                <w:sz w:val="20"/>
                <w:szCs w:val="20"/>
                <w:lang w:eastAsia="sk-SK"/>
              </w:rPr>
              <w:t>65</w:t>
            </w:r>
            <w:r>
              <w:rPr>
                <w:b/>
                <w:bCs/>
                <w:sz w:val="20"/>
                <w:szCs w:val="20"/>
                <w:lang w:eastAsia="sk-SK"/>
              </w:rPr>
              <w:t>,</w:t>
            </w:r>
            <w:r w:rsidRPr="00FA5B5D">
              <w:rPr>
                <w:b/>
                <w:bCs/>
                <w:sz w:val="20"/>
                <w:szCs w:val="20"/>
                <w:lang w:eastAsia="sk-SK"/>
              </w:rPr>
              <w:t>94</w:t>
            </w:r>
          </w:p>
        </w:tc>
        <w:tc>
          <w:tcPr>
            <w:tcW w:w="913" w:type="pct"/>
            <w:vMerge/>
            <w:shd w:val="clear" w:color="auto" w:fill="EFEFEF"/>
          </w:tcPr>
          <w:p w14:paraId="7652D62A" w14:textId="77777777" w:rsidR="00F83677" w:rsidRDefault="00F83677" w:rsidP="00F83677">
            <w:pPr>
              <w:spacing w:after="0" w:line="240" w:lineRule="auto"/>
              <w:jc w:val="right"/>
              <w:rPr>
                <w:color w:val="000000" w:themeColor="text1"/>
                <w:sz w:val="20"/>
                <w:szCs w:val="20"/>
                <w:lang w:eastAsia="sk-SK"/>
              </w:rPr>
            </w:pPr>
          </w:p>
        </w:tc>
      </w:tr>
      <w:tr w:rsidR="00F83677" w:rsidRPr="00D21730" w14:paraId="1C6F3FCC" w14:textId="77777777" w:rsidTr="00F83677">
        <w:trPr>
          <w:tblCellSpacing w:w="15" w:type="dxa"/>
          <w:jc w:val="center"/>
        </w:trPr>
        <w:tc>
          <w:tcPr>
            <w:tcW w:w="317" w:type="pct"/>
            <w:shd w:val="clear" w:color="auto" w:fill="EFEFEF"/>
            <w:noWrap/>
            <w:vAlign w:val="center"/>
          </w:tcPr>
          <w:p w14:paraId="0858F976" w14:textId="77777777" w:rsidR="00F83677" w:rsidRPr="00D21730" w:rsidRDefault="00F83677" w:rsidP="00F83677">
            <w:pPr>
              <w:spacing w:after="0" w:line="240" w:lineRule="auto"/>
              <w:rPr>
                <w:sz w:val="20"/>
                <w:szCs w:val="20"/>
                <w:lang w:eastAsia="sk-SK"/>
              </w:rPr>
            </w:pPr>
            <w:r w:rsidRPr="00D4051E">
              <w:rPr>
                <w:sz w:val="20"/>
                <w:szCs w:val="20"/>
                <w:lang w:eastAsia="sk-SK"/>
              </w:rPr>
              <w:t>710</w:t>
            </w:r>
          </w:p>
        </w:tc>
        <w:tc>
          <w:tcPr>
            <w:tcW w:w="1138" w:type="pct"/>
            <w:shd w:val="clear" w:color="auto" w:fill="EFEFEF"/>
            <w:vAlign w:val="center"/>
          </w:tcPr>
          <w:p w14:paraId="5866DA1D" w14:textId="77777777" w:rsidR="00F83677" w:rsidRPr="00D21730" w:rsidRDefault="00F83677" w:rsidP="00F83677">
            <w:pPr>
              <w:spacing w:after="0" w:line="240" w:lineRule="auto"/>
              <w:rPr>
                <w:sz w:val="20"/>
                <w:szCs w:val="20"/>
                <w:lang w:eastAsia="sk-SK"/>
              </w:rPr>
            </w:pPr>
            <w:proofErr w:type="spellStart"/>
            <w:r w:rsidRPr="00F16DBE">
              <w:rPr>
                <w:sz w:val="20"/>
                <w:szCs w:val="20"/>
                <w:lang w:eastAsia="sk-SK"/>
              </w:rPr>
              <w:t>Obst</w:t>
            </w:r>
            <w:proofErr w:type="spellEnd"/>
            <w:r w:rsidRPr="00F16DBE">
              <w:rPr>
                <w:sz w:val="20"/>
                <w:szCs w:val="20"/>
                <w:lang w:eastAsia="sk-SK"/>
              </w:rPr>
              <w:t xml:space="preserve">. </w:t>
            </w:r>
            <w:proofErr w:type="spellStart"/>
            <w:r w:rsidRPr="00F16DBE">
              <w:rPr>
                <w:sz w:val="20"/>
                <w:szCs w:val="20"/>
                <w:lang w:eastAsia="sk-SK"/>
              </w:rPr>
              <w:t>kapit</w:t>
            </w:r>
            <w:proofErr w:type="spellEnd"/>
            <w:r w:rsidRPr="00F16DBE">
              <w:rPr>
                <w:sz w:val="20"/>
                <w:szCs w:val="20"/>
                <w:lang w:eastAsia="sk-SK"/>
              </w:rPr>
              <w:t>. aktív</w:t>
            </w:r>
          </w:p>
        </w:tc>
        <w:tc>
          <w:tcPr>
            <w:tcW w:w="738" w:type="pct"/>
            <w:shd w:val="clear" w:color="auto" w:fill="EFEFEF"/>
            <w:noWrap/>
            <w:vAlign w:val="center"/>
          </w:tcPr>
          <w:p w14:paraId="7CCA77DA" w14:textId="77777777" w:rsidR="00F83677" w:rsidRPr="001C72DE" w:rsidRDefault="00F83677" w:rsidP="00F83677">
            <w:pPr>
              <w:spacing w:after="0" w:line="240" w:lineRule="auto"/>
              <w:jc w:val="right"/>
              <w:rPr>
                <w:color w:val="000000" w:themeColor="text1"/>
                <w:sz w:val="20"/>
                <w:szCs w:val="20"/>
                <w:lang w:eastAsia="sk-SK"/>
              </w:rPr>
            </w:pPr>
            <w:r w:rsidRPr="002E545A">
              <w:rPr>
                <w:color w:val="000000" w:themeColor="text1"/>
                <w:sz w:val="20"/>
                <w:szCs w:val="20"/>
                <w:lang w:eastAsia="sk-SK"/>
              </w:rPr>
              <w:t>45</w:t>
            </w:r>
            <w:r>
              <w:rPr>
                <w:color w:val="000000" w:themeColor="text1"/>
                <w:sz w:val="20"/>
                <w:szCs w:val="20"/>
                <w:lang w:eastAsia="sk-SK"/>
              </w:rPr>
              <w:t> </w:t>
            </w:r>
            <w:r w:rsidRPr="002E545A">
              <w:rPr>
                <w:color w:val="000000" w:themeColor="text1"/>
                <w:sz w:val="20"/>
                <w:szCs w:val="20"/>
                <w:lang w:eastAsia="sk-SK"/>
              </w:rPr>
              <w:t>000</w:t>
            </w:r>
            <w:r>
              <w:rPr>
                <w:color w:val="000000" w:themeColor="text1"/>
                <w:sz w:val="20"/>
                <w:szCs w:val="20"/>
                <w:lang w:eastAsia="sk-SK"/>
              </w:rPr>
              <w:t>,00</w:t>
            </w:r>
          </w:p>
        </w:tc>
        <w:tc>
          <w:tcPr>
            <w:tcW w:w="587" w:type="pct"/>
            <w:shd w:val="clear" w:color="auto" w:fill="EFEFEF"/>
            <w:noWrap/>
            <w:vAlign w:val="center"/>
          </w:tcPr>
          <w:p w14:paraId="7E64E6EB" w14:textId="77777777" w:rsidR="00F83677" w:rsidRPr="001C72DE" w:rsidRDefault="00F83677" w:rsidP="00F83677">
            <w:pPr>
              <w:spacing w:after="0" w:line="240" w:lineRule="auto"/>
              <w:jc w:val="right"/>
              <w:rPr>
                <w:color w:val="000000" w:themeColor="text1"/>
                <w:sz w:val="20"/>
                <w:szCs w:val="20"/>
                <w:lang w:eastAsia="sk-SK"/>
              </w:rPr>
            </w:pPr>
            <w:r w:rsidRPr="00897BE1">
              <w:rPr>
                <w:color w:val="000000" w:themeColor="text1"/>
                <w:sz w:val="20"/>
                <w:szCs w:val="20"/>
                <w:lang w:eastAsia="sk-SK"/>
              </w:rPr>
              <w:t>45</w:t>
            </w:r>
            <w:r>
              <w:rPr>
                <w:color w:val="000000" w:themeColor="text1"/>
                <w:sz w:val="20"/>
                <w:szCs w:val="20"/>
                <w:lang w:eastAsia="sk-SK"/>
              </w:rPr>
              <w:t> </w:t>
            </w:r>
            <w:r w:rsidRPr="00897BE1">
              <w:rPr>
                <w:color w:val="000000" w:themeColor="text1"/>
                <w:sz w:val="20"/>
                <w:szCs w:val="20"/>
                <w:lang w:eastAsia="sk-SK"/>
              </w:rPr>
              <w:t>000</w:t>
            </w:r>
            <w:r>
              <w:rPr>
                <w:color w:val="000000" w:themeColor="text1"/>
                <w:sz w:val="20"/>
                <w:szCs w:val="20"/>
                <w:lang w:eastAsia="sk-SK"/>
              </w:rPr>
              <w:t>,00</w:t>
            </w:r>
          </w:p>
        </w:tc>
        <w:tc>
          <w:tcPr>
            <w:tcW w:w="527" w:type="pct"/>
            <w:shd w:val="clear" w:color="auto" w:fill="EFEFEF"/>
            <w:noWrap/>
            <w:vAlign w:val="center"/>
          </w:tcPr>
          <w:p w14:paraId="7FFBC7F8" w14:textId="77777777" w:rsidR="00F83677" w:rsidRDefault="00F83677" w:rsidP="00F83677">
            <w:pPr>
              <w:spacing w:after="0" w:line="240" w:lineRule="auto"/>
              <w:jc w:val="right"/>
              <w:rPr>
                <w:color w:val="000000" w:themeColor="text1"/>
                <w:sz w:val="20"/>
                <w:szCs w:val="20"/>
                <w:lang w:eastAsia="sk-SK"/>
              </w:rPr>
            </w:pPr>
            <w:r w:rsidRPr="00897BE1">
              <w:rPr>
                <w:color w:val="000000" w:themeColor="text1"/>
                <w:sz w:val="20"/>
                <w:szCs w:val="20"/>
                <w:lang w:eastAsia="sk-SK"/>
              </w:rPr>
              <w:t>29</w:t>
            </w:r>
            <w:r>
              <w:rPr>
                <w:color w:val="000000" w:themeColor="text1"/>
                <w:sz w:val="20"/>
                <w:szCs w:val="20"/>
                <w:lang w:eastAsia="sk-SK"/>
              </w:rPr>
              <w:t> </w:t>
            </w:r>
            <w:r w:rsidRPr="00897BE1">
              <w:rPr>
                <w:color w:val="000000" w:themeColor="text1"/>
                <w:sz w:val="20"/>
                <w:szCs w:val="20"/>
                <w:lang w:eastAsia="sk-SK"/>
              </w:rPr>
              <w:t>676</w:t>
            </w:r>
            <w:r>
              <w:rPr>
                <w:color w:val="000000" w:themeColor="text1"/>
                <w:sz w:val="20"/>
                <w:szCs w:val="20"/>
                <w:lang w:eastAsia="sk-SK"/>
              </w:rPr>
              <w:t>,00</w:t>
            </w:r>
          </w:p>
        </w:tc>
        <w:tc>
          <w:tcPr>
            <w:tcW w:w="665" w:type="pct"/>
            <w:shd w:val="clear" w:color="auto" w:fill="EFEFEF"/>
            <w:noWrap/>
            <w:vAlign w:val="center"/>
          </w:tcPr>
          <w:p w14:paraId="79336602" w14:textId="77777777" w:rsidR="00F83677" w:rsidRPr="00FA5B5D" w:rsidRDefault="00F83677" w:rsidP="00F83677">
            <w:pPr>
              <w:spacing w:after="0" w:line="240" w:lineRule="auto"/>
              <w:jc w:val="right"/>
              <w:rPr>
                <w:color w:val="000000" w:themeColor="text1"/>
                <w:sz w:val="20"/>
                <w:szCs w:val="20"/>
                <w:lang w:eastAsia="sk-SK"/>
              </w:rPr>
            </w:pPr>
            <w:r w:rsidRPr="00FA5B5D">
              <w:rPr>
                <w:sz w:val="20"/>
                <w:szCs w:val="20"/>
                <w:lang w:eastAsia="sk-SK"/>
              </w:rPr>
              <w:t>65,94</w:t>
            </w:r>
          </w:p>
        </w:tc>
        <w:tc>
          <w:tcPr>
            <w:tcW w:w="913" w:type="pct"/>
            <w:vMerge/>
            <w:shd w:val="clear" w:color="auto" w:fill="EFEFEF"/>
          </w:tcPr>
          <w:p w14:paraId="43DD50BD" w14:textId="77777777" w:rsidR="00F83677" w:rsidRDefault="00F83677" w:rsidP="00F83677">
            <w:pPr>
              <w:spacing w:after="0" w:line="240" w:lineRule="auto"/>
              <w:jc w:val="right"/>
              <w:rPr>
                <w:color w:val="000000" w:themeColor="text1"/>
                <w:sz w:val="20"/>
                <w:szCs w:val="20"/>
                <w:lang w:eastAsia="sk-SK"/>
              </w:rPr>
            </w:pPr>
          </w:p>
        </w:tc>
      </w:tr>
    </w:tbl>
    <w:p w14:paraId="72EF467B" w14:textId="77777777" w:rsidR="00F83677" w:rsidRPr="00D21730" w:rsidRDefault="00F83677" w:rsidP="00F83677">
      <w:pPr>
        <w:spacing w:after="0" w:line="240" w:lineRule="auto"/>
        <w:rPr>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14"/>
        <w:gridCol w:w="966"/>
        <w:gridCol w:w="1686"/>
        <w:gridCol w:w="1213"/>
        <w:gridCol w:w="4087"/>
      </w:tblGrid>
      <w:tr w:rsidR="00F83677" w:rsidRPr="00D21730" w14:paraId="0C24174F" w14:textId="77777777" w:rsidTr="00F83677">
        <w:trPr>
          <w:tblCellSpacing w:w="15" w:type="dxa"/>
        </w:trPr>
        <w:tc>
          <w:tcPr>
            <w:tcW w:w="1189" w:type="pct"/>
            <w:shd w:val="clear" w:color="auto" w:fill="C2D69B"/>
            <w:vAlign w:val="center"/>
            <w:hideMark/>
          </w:tcPr>
          <w:p w14:paraId="606FC090" w14:textId="77777777" w:rsidR="00F83677" w:rsidRPr="00D21730" w:rsidRDefault="00F83677" w:rsidP="00F83677">
            <w:pPr>
              <w:spacing w:after="0" w:line="240" w:lineRule="auto"/>
              <w:rPr>
                <w:sz w:val="24"/>
                <w:szCs w:val="24"/>
                <w:lang w:eastAsia="sk-SK"/>
              </w:rPr>
            </w:pPr>
            <w:r w:rsidRPr="00D21730">
              <w:rPr>
                <w:b/>
                <w:bCs/>
                <w:sz w:val="20"/>
                <w:szCs w:val="20"/>
                <w:lang w:eastAsia="sk-SK"/>
              </w:rPr>
              <w:t>Zodpovednosť</w:t>
            </w:r>
          </w:p>
        </w:tc>
        <w:tc>
          <w:tcPr>
            <w:tcW w:w="3768" w:type="pct"/>
            <w:gridSpan w:val="4"/>
            <w:shd w:val="clear" w:color="auto" w:fill="C2D69B"/>
            <w:vAlign w:val="center"/>
            <w:hideMark/>
          </w:tcPr>
          <w:p w14:paraId="3A3B3319" w14:textId="77777777" w:rsidR="00F83677" w:rsidRPr="00D21730" w:rsidRDefault="00F83677" w:rsidP="00F83677">
            <w:pPr>
              <w:spacing w:after="0" w:line="240" w:lineRule="auto"/>
              <w:rPr>
                <w:sz w:val="24"/>
                <w:szCs w:val="24"/>
                <w:lang w:eastAsia="sk-SK"/>
              </w:rPr>
            </w:pPr>
            <w:r w:rsidRPr="00D21730">
              <w:rPr>
                <w:sz w:val="20"/>
                <w:szCs w:val="20"/>
                <w:lang w:eastAsia="sk-SK"/>
              </w:rPr>
              <w:t>Odbor územného pl</w:t>
            </w:r>
            <w:r>
              <w:rPr>
                <w:sz w:val="20"/>
                <w:szCs w:val="20"/>
                <w:lang w:eastAsia="sk-SK"/>
              </w:rPr>
              <w:t>ánu, GIS a životného prostredia</w:t>
            </w:r>
          </w:p>
        </w:tc>
      </w:tr>
      <w:tr w:rsidR="00F83677" w:rsidRPr="00D21730" w14:paraId="300E33E5" w14:textId="77777777" w:rsidTr="00F83677">
        <w:trPr>
          <w:tblCellSpacing w:w="15" w:type="dxa"/>
        </w:trPr>
        <w:tc>
          <w:tcPr>
            <w:tcW w:w="1189" w:type="pct"/>
            <w:shd w:val="clear" w:color="auto" w:fill="C2D69B"/>
            <w:vAlign w:val="center"/>
            <w:hideMark/>
          </w:tcPr>
          <w:p w14:paraId="5F9EE147" w14:textId="77777777" w:rsidR="00F83677" w:rsidRPr="00D21730" w:rsidRDefault="00F83677" w:rsidP="00F83677">
            <w:pPr>
              <w:spacing w:after="0" w:line="240" w:lineRule="auto"/>
              <w:rPr>
                <w:sz w:val="24"/>
                <w:szCs w:val="24"/>
                <w:lang w:eastAsia="sk-SK"/>
              </w:rPr>
            </w:pPr>
            <w:r w:rsidRPr="00D21730">
              <w:rPr>
                <w:b/>
                <w:bCs/>
                <w:sz w:val="20"/>
                <w:szCs w:val="20"/>
                <w:lang w:eastAsia="sk-SK"/>
              </w:rPr>
              <w:t>Cieľ</w:t>
            </w:r>
          </w:p>
        </w:tc>
        <w:tc>
          <w:tcPr>
            <w:tcW w:w="3768" w:type="pct"/>
            <w:gridSpan w:val="4"/>
            <w:shd w:val="clear" w:color="auto" w:fill="C2D69B"/>
            <w:vAlign w:val="center"/>
            <w:hideMark/>
          </w:tcPr>
          <w:p w14:paraId="6D3547BE" w14:textId="77777777" w:rsidR="00F83677" w:rsidRPr="00D21730" w:rsidRDefault="00F83677" w:rsidP="00F83677">
            <w:pPr>
              <w:spacing w:after="0" w:line="240" w:lineRule="auto"/>
              <w:rPr>
                <w:sz w:val="24"/>
                <w:szCs w:val="24"/>
                <w:lang w:eastAsia="sk-SK"/>
              </w:rPr>
            </w:pPr>
            <w:r w:rsidRPr="00D21730">
              <w:rPr>
                <w:sz w:val="20"/>
                <w:szCs w:val="20"/>
                <w:lang w:eastAsia="sk-SK"/>
              </w:rPr>
              <w:t>Zabezpečiť predpoklady rozvoja územia v jednotlivých kompetenčných oblastiach</w:t>
            </w:r>
            <w:r w:rsidRPr="00D21730">
              <w:rPr>
                <w:sz w:val="24"/>
                <w:szCs w:val="24"/>
                <w:lang w:eastAsia="sk-SK"/>
              </w:rPr>
              <w:t xml:space="preserve"> </w:t>
            </w:r>
          </w:p>
        </w:tc>
      </w:tr>
      <w:tr w:rsidR="00F83677" w:rsidRPr="00D21730" w14:paraId="7ED9FE6B" w14:textId="77777777" w:rsidTr="00F83677">
        <w:trPr>
          <w:tblCellSpacing w:w="15" w:type="dxa"/>
        </w:trPr>
        <w:tc>
          <w:tcPr>
            <w:tcW w:w="1189" w:type="pct"/>
            <w:shd w:val="clear" w:color="auto" w:fill="C2D69B"/>
            <w:vAlign w:val="center"/>
            <w:hideMark/>
          </w:tcPr>
          <w:p w14:paraId="2BE99303" w14:textId="77777777" w:rsidR="00F83677" w:rsidRPr="00D21730" w:rsidRDefault="00F83677" w:rsidP="00F83677">
            <w:pPr>
              <w:spacing w:after="0" w:line="240" w:lineRule="auto"/>
              <w:rPr>
                <w:sz w:val="24"/>
                <w:szCs w:val="24"/>
                <w:lang w:eastAsia="sk-SK"/>
              </w:rPr>
            </w:pPr>
            <w:r w:rsidRPr="00D21730">
              <w:rPr>
                <w:b/>
                <w:bCs/>
                <w:sz w:val="20"/>
                <w:szCs w:val="20"/>
                <w:lang w:eastAsia="sk-SK"/>
              </w:rPr>
              <w:t>Merateľný ukazovateľ</w:t>
            </w:r>
          </w:p>
        </w:tc>
        <w:tc>
          <w:tcPr>
            <w:tcW w:w="3768" w:type="pct"/>
            <w:gridSpan w:val="4"/>
            <w:shd w:val="clear" w:color="auto" w:fill="C2D69B"/>
            <w:vAlign w:val="center"/>
            <w:hideMark/>
          </w:tcPr>
          <w:p w14:paraId="3AB9A41F" w14:textId="77777777" w:rsidR="00F83677" w:rsidRPr="00D21730" w:rsidRDefault="00F83677" w:rsidP="00F83677">
            <w:pPr>
              <w:spacing w:after="0" w:line="240" w:lineRule="auto"/>
              <w:rPr>
                <w:sz w:val="24"/>
                <w:szCs w:val="24"/>
                <w:lang w:eastAsia="sk-SK"/>
              </w:rPr>
            </w:pPr>
            <w:r w:rsidRPr="00D21730">
              <w:rPr>
                <w:sz w:val="20"/>
                <w:szCs w:val="20"/>
                <w:lang w:eastAsia="sk-SK"/>
              </w:rPr>
              <w:t>Počet strategických materiálov vypracovaných spolu za rok</w:t>
            </w:r>
            <w:r w:rsidRPr="00D21730">
              <w:rPr>
                <w:sz w:val="24"/>
                <w:szCs w:val="24"/>
                <w:lang w:eastAsia="sk-SK"/>
              </w:rPr>
              <w:t xml:space="preserve"> </w:t>
            </w:r>
          </w:p>
        </w:tc>
      </w:tr>
      <w:tr w:rsidR="00F83677" w:rsidRPr="00D21730" w14:paraId="3E0889E5" w14:textId="77777777" w:rsidTr="00F83677">
        <w:trPr>
          <w:tblCellSpacing w:w="15" w:type="dxa"/>
        </w:trPr>
        <w:tc>
          <w:tcPr>
            <w:tcW w:w="1189" w:type="pct"/>
            <w:shd w:val="clear" w:color="auto" w:fill="C2D69B"/>
            <w:vAlign w:val="center"/>
            <w:hideMark/>
          </w:tcPr>
          <w:p w14:paraId="0C0241D1"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Rok</w:t>
            </w:r>
          </w:p>
        </w:tc>
        <w:tc>
          <w:tcPr>
            <w:tcW w:w="451" w:type="pct"/>
            <w:shd w:val="clear" w:color="auto" w:fill="C2D69B"/>
            <w:vAlign w:val="center"/>
            <w:hideMark/>
          </w:tcPr>
          <w:p w14:paraId="4DA3949D"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Plán</w:t>
            </w:r>
          </w:p>
        </w:tc>
        <w:tc>
          <w:tcPr>
            <w:tcW w:w="0" w:type="auto"/>
            <w:shd w:val="clear" w:color="auto" w:fill="C2D69B"/>
            <w:vAlign w:val="center"/>
            <w:hideMark/>
          </w:tcPr>
          <w:p w14:paraId="178932E3"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Skutočnosť</w:t>
            </w:r>
          </w:p>
        </w:tc>
        <w:tc>
          <w:tcPr>
            <w:tcW w:w="0" w:type="auto"/>
            <w:shd w:val="clear" w:color="auto" w:fill="C2D69B"/>
            <w:vAlign w:val="center"/>
            <w:hideMark/>
          </w:tcPr>
          <w:p w14:paraId="0571FEDE" w14:textId="77777777" w:rsidR="00F83677" w:rsidRPr="00D21730" w:rsidRDefault="00F83677" w:rsidP="00F83677">
            <w:pPr>
              <w:spacing w:after="0" w:line="240" w:lineRule="auto"/>
              <w:jc w:val="center"/>
              <w:rPr>
                <w:sz w:val="24"/>
                <w:szCs w:val="24"/>
                <w:lang w:eastAsia="sk-SK"/>
              </w:rPr>
            </w:pPr>
            <w:r w:rsidRPr="00D21730">
              <w:rPr>
                <w:b/>
                <w:bCs/>
                <w:sz w:val="20"/>
                <w:szCs w:val="20"/>
                <w:lang w:eastAsia="sk-SK"/>
              </w:rPr>
              <w:t>Plnenie</w:t>
            </w:r>
          </w:p>
        </w:tc>
        <w:tc>
          <w:tcPr>
            <w:tcW w:w="1948" w:type="pct"/>
            <w:shd w:val="clear" w:color="auto" w:fill="C2D69B"/>
            <w:vAlign w:val="center"/>
            <w:hideMark/>
          </w:tcPr>
          <w:p w14:paraId="014B3A4F" w14:textId="77777777" w:rsidR="00F83677" w:rsidRPr="00D21730" w:rsidRDefault="00F83677" w:rsidP="00F83677">
            <w:pPr>
              <w:spacing w:after="0" w:line="240" w:lineRule="auto"/>
              <w:rPr>
                <w:sz w:val="24"/>
                <w:szCs w:val="24"/>
                <w:lang w:eastAsia="sk-SK"/>
              </w:rPr>
            </w:pPr>
            <w:r w:rsidRPr="00D21730">
              <w:rPr>
                <w:b/>
                <w:bCs/>
                <w:sz w:val="20"/>
                <w:szCs w:val="20"/>
                <w:lang w:eastAsia="sk-SK"/>
              </w:rPr>
              <w:t>Poznámka</w:t>
            </w:r>
          </w:p>
        </w:tc>
      </w:tr>
      <w:tr w:rsidR="00F83677" w:rsidRPr="00D21730" w14:paraId="4ABBC5B0" w14:textId="77777777" w:rsidTr="00F83677">
        <w:trPr>
          <w:tblCellSpacing w:w="15" w:type="dxa"/>
        </w:trPr>
        <w:tc>
          <w:tcPr>
            <w:tcW w:w="1189" w:type="pct"/>
            <w:shd w:val="clear" w:color="auto" w:fill="C2D69B"/>
            <w:vAlign w:val="center"/>
            <w:hideMark/>
          </w:tcPr>
          <w:p w14:paraId="689EDB93" w14:textId="77777777" w:rsidR="00F83677" w:rsidRPr="00D21730" w:rsidRDefault="00F83677" w:rsidP="00F83677">
            <w:pPr>
              <w:spacing w:after="0" w:line="240" w:lineRule="auto"/>
              <w:jc w:val="center"/>
              <w:rPr>
                <w:sz w:val="24"/>
                <w:szCs w:val="24"/>
                <w:lang w:eastAsia="sk-SK"/>
              </w:rPr>
            </w:pPr>
            <w:r>
              <w:rPr>
                <w:sz w:val="20"/>
                <w:szCs w:val="20"/>
                <w:lang w:eastAsia="sk-SK"/>
              </w:rPr>
              <w:t>2020</w:t>
            </w:r>
          </w:p>
        </w:tc>
        <w:tc>
          <w:tcPr>
            <w:tcW w:w="451" w:type="pct"/>
            <w:shd w:val="clear" w:color="auto" w:fill="C2D69B"/>
            <w:noWrap/>
            <w:vAlign w:val="center"/>
            <w:hideMark/>
          </w:tcPr>
          <w:p w14:paraId="315A8359" w14:textId="77777777" w:rsidR="00F83677" w:rsidRPr="00950AA2" w:rsidRDefault="00F83677" w:rsidP="00F83677">
            <w:pPr>
              <w:spacing w:after="0" w:line="240" w:lineRule="auto"/>
              <w:jc w:val="center"/>
              <w:rPr>
                <w:color w:val="000000" w:themeColor="text1"/>
                <w:sz w:val="24"/>
                <w:szCs w:val="24"/>
                <w:lang w:eastAsia="sk-SK"/>
              </w:rPr>
            </w:pPr>
            <w:r w:rsidRPr="00950AA2">
              <w:rPr>
                <w:color w:val="000000" w:themeColor="text1"/>
                <w:sz w:val="20"/>
                <w:szCs w:val="20"/>
                <w:lang w:eastAsia="sk-SK"/>
              </w:rPr>
              <w:t> </w:t>
            </w:r>
            <w:r w:rsidRPr="00950AA2">
              <w:rPr>
                <w:color w:val="000000" w:themeColor="text1"/>
                <w:sz w:val="24"/>
                <w:szCs w:val="24"/>
                <w:lang w:eastAsia="sk-SK"/>
              </w:rPr>
              <w:t xml:space="preserve"> 3</w:t>
            </w:r>
          </w:p>
        </w:tc>
        <w:tc>
          <w:tcPr>
            <w:tcW w:w="0" w:type="auto"/>
            <w:shd w:val="clear" w:color="auto" w:fill="C2D69B"/>
            <w:noWrap/>
            <w:vAlign w:val="center"/>
            <w:hideMark/>
          </w:tcPr>
          <w:p w14:paraId="786DCB37" w14:textId="77777777" w:rsidR="00F83677" w:rsidRPr="00950AA2" w:rsidRDefault="00F83677" w:rsidP="00F83677">
            <w:pPr>
              <w:spacing w:after="0" w:line="240" w:lineRule="auto"/>
              <w:jc w:val="center"/>
              <w:rPr>
                <w:color w:val="000000" w:themeColor="text1"/>
                <w:sz w:val="24"/>
                <w:szCs w:val="24"/>
                <w:lang w:eastAsia="sk-SK"/>
              </w:rPr>
            </w:pPr>
            <w:r w:rsidRPr="00950AA2">
              <w:rPr>
                <w:color w:val="000000" w:themeColor="text1"/>
                <w:sz w:val="20"/>
                <w:szCs w:val="20"/>
                <w:lang w:eastAsia="sk-SK"/>
              </w:rPr>
              <w:t> 3</w:t>
            </w:r>
          </w:p>
        </w:tc>
        <w:tc>
          <w:tcPr>
            <w:tcW w:w="0" w:type="auto"/>
            <w:shd w:val="clear" w:color="auto" w:fill="C2D69B"/>
            <w:vAlign w:val="center"/>
            <w:hideMark/>
          </w:tcPr>
          <w:p w14:paraId="2719EDAD" w14:textId="77777777" w:rsidR="00F83677" w:rsidRPr="00D21730" w:rsidRDefault="00F83677" w:rsidP="00F83677">
            <w:pPr>
              <w:spacing w:after="0" w:line="240" w:lineRule="auto"/>
              <w:jc w:val="center"/>
              <w:rPr>
                <w:sz w:val="24"/>
                <w:szCs w:val="24"/>
                <w:lang w:eastAsia="sk-SK"/>
              </w:rPr>
            </w:pPr>
            <w:r>
              <w:rPr>
                <w:sz w:val="20"/>
                <w:szCs w:val="20"/>
                <w:lang w:eastAsia="sk-SK"/>
              </w:rPr>
              <w:t>Splnené</w:t>
            </w:r>
            <w:r w:rsidRPr="00D21730">
              <w:rPr>
                <w:sz w:val="24"/>
                <w:szCs w:val="24"/>
                <w:lang w:eastAsia="sk-SK"/>
              </w:rPr>
              <w:t xml:space="preserve"> </w:t>
            </w:r>
          </w:p>
        </w:tc>
        <w:tc>
          <w:tcPr>
            <w:tcW w:w="0" w:type="auto"/>
            <w:shd w:val="clear" w:color="auto" w:fill="C2D69B"/>
            <w:vAlign w:val="center"/>
            <w:hideMark/>
          </w:tcPr>
          <w:p w14:paraId="28BFC085" w14:textId="77777777" w:rsidR="00F83677" w:rsidRPr="00950AA2" w:rsidRDefault="00F83677" w:rsidP="00F83677">
            <w:pPr>
              <w:spacing w:after="0" w:line="240" w:lineRule="auto"/>
              <w:rPr>
                <w:sz w:val="20"/>
                <w:szCs w:val="20"/>
                <w:lang w:eastAsia="sk-SK"/>
              </w:rPr>
            </w:pPr>
            <w:r w:rsidRPr="00950AA2">
              <w:rPr>
                <w:sz w:val="20"/>
                <w:szCs w:val="20"/>
                <w:lang w:eastAsia="sk-SK"/>
              </w:rPr>
              <w:t>1. Akčný plán na presadzovanie ochrany lesov na území Bratislavského samosprávneho kraja v zmysle Memoranda o spolupráci a spoločnom postupe pri ochrane lesov – analytická časť</w:t>
            </w:r>
          </w:p>
          <w:p w14:paraId="5F496A68" w14:textId="77777777" w:rsidR="00F83677" w:rsidRPr="00950AA2" w:rsidRDefault="00F83677" w:rsidP="00F83677">
            <w:pPr>
              <w:spacing w:after="0" w:line="240" w:lineRule="auto"/>
              <w:rPr>
                <w:sz w:val="20"/>
                <w:szCs w:val="20"/>
                <w:lang w:eastAsia="sk-SK"/>
              </w:rPr>
            </w:pPr>
            <w:r w:rsidRPr="00950AA2">
              <w:rPr>
                <w:sz w:val="20"/>
                <w:szCs w:val="20"/>
                <w:lang w:eastAsia="sk-SK"/>
              </w:rPr>
              <w:t>2. Akčný plán Koncepcie ochrany a využívania zdrojov povrchovej a podzemnej vody v BSK</w:t>
            </w:r>
          </w:p>
          <w:p w14:paraId="1E840B8C" w14:textId="77777777" w:rsidR="00F83677" w:rsidRPr="00D21730" w:rsidRDefault="00F83677" w:rsidP="00F83677">
            <w:pPr>
              <w:spacing w:after="0" w:line="240" w:lineRule="auto"/>
              <w:rPr>
                <w:sz w:val="24"/>
                <w:szCs w:val="24"/>
                <w:lang w:eastAsia="sk-SK"/>
              </w:rPr>
            </w:pPr>
            <w:r w:rsidRPr="00950AA2">
              <w:rPr>
                <w:sz w:val="20"/>
                <w:szCs w:val="20"/>
                <w:lang w:eastAsia="sk-SK"/>
              </w:rPr>
              <w:t xml:space="preserve">3. Mobilná aplikácia na monitoring </w:t>
            </w:r>
            <w:proofErr w:type="spellStart"/>
            <w:r w:rsidRPr="00950AA2">
              <w:rPr>
                <w:sz w:val="20"/>
                <w:szCs w:val="20"/>
                <w:lang w:eastAsia="sk-SK"/>
              </w:rPr>
              <w:t>liahnisk</w:t>
            </w:r>
            <w:proofErr w:type="spellEnd"/>
            <w:r w:rsidRPr="00950AA2">
              <w:rPr>
                <w:sz w:val="20"/>
                <w:szCs w:val="20"/>
                <w:lang w:eastAsia="sk-SK"/>
              </w:rPr>
              <w:t xml:space="preserve"> komárov v BSK</w:t>
            </w:r>
          </w:p>
        </w:tc>
      </w:tr>
    </w:tbl>
    <w:p w14:paraId="209BC3E3" w14:textId="77777777" w:rsidR="00F83677" w:rsidRDefault="00F83677" w:rsidP="00F83677"/>
    <w:p w14:paraId="7D76E01D" w14:textId="77777777" w:rsidR="009E4E62" w:rsidRDefault="00B72B80" w:rsidP="009E4E62">
      <w:pPr>
        <w:spacing w:after="0" w:line="240" w:lineRule="auto"/>
        <w:jc w:val="both"/>
      </w:pPr>
      <w:r w:rsidRPr="00E74B3E">
        <w:rPr>
          <w:b/>
        </w:rPr>
        <w:t>Komentár:</w:t>
      </w:r>
      <w:r>
        <w:t xml:space="preserve"> </w:t>
      </w:r>
      <w:r w:rsidRPr="009E4E62">
        <w:t>Z programu boli zabezpečené spracovania 3 dokumentov:</w:t>
      </w:r>
    </w:p>
    <w:p w14:paraId="7F9542A2" w14:textId="42E8F11E" w:rsidR="00B72B80" w:rsidRPr="009E4E62" w:rsidRDefault="00B72B80" w:rsidP="009E4E62">
      <w:pPr>
        <w:spacing w:after="0" w:line="240" w:lineRule="auto"/>
        <w:jc w:val="both"/>
      </w:pPr>
      <w:r w:rsidRPr="009E4E62">
        <w:t xml:space="preserve"> </w:t>
      </w:r>
      <w:r w:rsidRPr="009E4E62">
        <w:br/>
        <w:t>1. Akčný plán na presadzovanie ochrany lesov na území Bratislavského samosprávneho kraja v zmysle Memoranda o spolupráci a spoločnom postupe pri ochrane lesov – analytická časť</w:t>
      </w:r>
    </w:p>
    <w:p w14:paraId="1C2A336B" w14:textId="77777777" w:rsidR="00B72B80" w:rsidRPr="009E4E62" w:rsidRDefault="00B72B80" w:rsidP="009E4E62">
      <w:pPr>
        <w:spacing w:after="0" w:line="240" w:lineRule="auto"/>
        <w:jc w:val="both"/>
      </w:pPr>
      <w:r w:rsidRPr="009E4E62">
        <w:t>2. Akčný plán Koncepcie ochrany a využívania zdrojov povrchovej a podzemnej vody v BSK</w:t>
      </w:r>
    </w:p>
    <w:p w14:paraId="1A035F5F" w14:textId="77777777" w:rsidR="00B72B80" w:rsidRPr="009E4E62" w:rsidRDefault="00B72B80" w:rsidP="009E4E62">
      <w:pPr>
        <w:spacing w:after="0" w:line="240" w:lineRule="auto"/>
        <w:jc w:val="both"/>
      </w:pPr>
      <w:r w:rsidRPr="009E4E62">
        <w:t xml:space="preserve">3. Mobilná aplikácia na monitoring liahnísk komárov v BSK. </w:t>
      </w:r>
    </w:p>
    <w:p w14:paraId="0E6E8EA4" w14:textId="77777777" w:rsidR="00B72B80" w:rsidRPr="009E4E62" w:rsidRDefault="00B72B80" w:rsidP="009E4E62">
      <w:pPr>
        <w:spacing w:after="0"/>
        <w:jc w:val="both"/>
      </w:pPr>
    </w:p>
    <w:p w14:paraId="4262D5DC" w14:textId="77777777" w:rsidR="00B72B80" w:rsidRPr="009E4E62" w:rsidRDefault="00B72B80" w:rsidP="009E4E62">
      <w:pPr>
        <w:spacing w:after="0" w:line="240" w:lineRule="auto"/>
        <w:jc w:val="both"/>
      </w:pPr>
      <w:r w:rsidRPr="009E4E62">
        <w:t>Do 31.6.2020 bol uhradený Akčný plán na presadzovanie ochrany lesov na území Bratislavského samosprávneho kraja v zmysle Memoranda o spolupráci a spoločnom postupe pri ochrane lesov – analytická časť.</w:t>
      </w:r>
    </w:p>
    <w:p w14:paraId="64B3402C" w14:textId="77777777" w:rsidR="00B72B80" w:rsidRPr="009E4E62" w:rsidRDefault="00B72B80" w:rsidP="009E4E62">
      <w:pPr>
        <w:spacing w:after="0" w:line="240" w:lineRule="auto"/>
        <w:jc w:val="both"/>
      </w:pPr>
    </w:p>
    <w:p w14:paraId="70AF73F4" w14:textId="0D40B9A6" w:rsidR="005233DE" w:rsidRPr="009E4E62" w:rsidRDefault="00B72B80" w:rsidP="009E4E62">
      <w:pPr>
        <w:spacing w:after="0" w:line="240" w:lineRule="auto"/>
        <w:jc w:val="both"/>
      </w:pPr>
      <w:r w:rsidRPr="009E4E62">
        <w:t xml:space="preserve">V roku 2020 aplikáciu biologického prípravku malo  zabezpečovať  priamo 7 dotknutých obcí za finančnej podpory z BRDS. V súvislosti s opatreniami </w:t>
      </w:r>
      <w:proofErr w:type="spellStart"/>
      <w:r w:rsidRPr="009E4E62">
        <w:t>Covid</w:t>
      </w:r>
      <w:proofErr w:type="spellEnd"/>
      <w:r w:rsidRPr="009E4E62">
        <w:t xml:space="preserve"> 19 a zrušením BRDS, Odbor ÚP, GIS a ŽP  pristúpil k zabezpečeniu dodávateľa pre aplikáciu biologického prípravku v dotknutom území. Zároveň prebiehali práce na vývoji mobilnej aplikácie na monitoring potenciálnych liahnísk komárov, ktorá umožňuje pravidelné monitorovanie liahnísk komárov a optimálne načasovanie aplikácie biologického prostriedku (BTI) na znižovanie populácie komárov na území BSK a zároveň slúžiaca na mapovanie a spresňovanie lokalít potenciálnych liahnísk komárov.  </w:t>
      </w:r>
    </w:p>
    <w:p w14:paraId="071ED825" w14:textId="77777777" w:rsidR="005233DE" w:rsidRPr="009E4E62" w:rsidRDefault="005233DE" w:rsidP="009E4E62">
      <w:pPr>
        <w:spacing w:after="0" w:line="240" w:lineRule="auto"/>
        <w:jc w:val="both"/>
      </w:pPr>
    </w:p>
    <w:p w14:paraId="7CBA6968" w14:textId="2959AF86" w:rsidR="00B72B80" w:rsidRPr="009E4E62" w:rsidRDefault="00B72B80" w:rsidP="009E4E62">
      <w:pPr>
        <w:jc w:val="both"/>
      </w:pPr>
      <w:r w:rsidRPr="009E4E62">
        <w:t xml:space="preserve">Uskutočnilo sa predĺženie softvérovej podpory programu ESID na spracovanie </w:t>
      </w:r>
      <w:proofErr w:type="spellStart"/>
      <w:r w:rsidRPr="009E4E62">
        <w:t>katastrálných</w:t>
      </w:r>
      <w:proofErr w:type="spellEnd"/>
      <w:r w:rsidRPr="009E4E62">
        <w:t xml:space="preserve"> dát.</w:t>
      </w:r>
    </w:p>
    <w:p w14:paraId="22796F73" w14:textId="5D4FB2AF" w:rsidR="005F6AF6" w:rsidRPr="00113008" w:rsidRDefault="005F6AF6" w:rsidP="00A711BC">
      <w:pPr>
        <w:spacing w:before="480" w:after="100" w:afterAutospacing="1" w:line="240" w:lineRule="auto"/>
        <w:outlineLvl w:val="1"/>
        <w:rPr>
          <w:b/>
          <w:bCs/>
          <w:sz w:val="36"/>
          <w:szCs w:val="36"/>
          <w:lang w:eastAsia="sk-SK"/>
        </w:rPr>
      </w:pPr>
      <w:r w:rsidRPr="005A23F2">
        <w:rPr>
          <w:b/>
          <w:bCs/>
          <w:color w:val="880000"/>
          <w:sz w:val="36"/>
          <w:szCs w:val="36"/>
          <w:lang w:eastAsia="sk-SK"/>
        </w:rPr>
        <w:t xml:space="preserve">Program </w:t>
      </w:r>
      <w:r>
        <w:rPr>
          <w:b/>
          <w:bCs/>
          <w:color w:val="880000"/>
          <w:sz w:val="36"/>
          <w:szCs w:val="36"/>
          <w:lang w:eastAsia="sk-SK"/>
        </w:rPr>
        <w:t>6</w:t>
      </w:r>
      <w:r w:rsidRPr="005A23F2">
        <w:rPr>
          <w:b/>
          <w:bCs/>
          <w:color w:val="880000"/>
          <w:sz w:val="36"/>
          <w:szCs w:val="36"/>
          <w:lang w:eastAsia="sk-SK"/>
        </w:rPr>
        <w:t xml:space="preserve">: </w:t>
      </w:r>
      <w:r>
        <w:rPr>
          <w:b/>
          <w:bCs/>
          <w:color w:val="880000"/>
          <w:sz w:val="36"/>
          <w:szCs w:val="36"/>
          <w:lang w:eastAsia="sk-SK"/>
        </w:rPr>
        <w:t xml:space="preserve">Komunikácie   </w:t>
      </w:r>
    </w:p>
    <w:p w14:paraId="27B557DF" w14:textId="77777777" w:rsidR="005F6AF6" w:rsidRPr="00D334C8" w:rsidRDefault="005F6AF6" w:rsidP="005F6AF6">
      <w:pPr>
        <w:pStyle w:val="Normlnywebov"/>
        <w:rPr>
          <w:rFonts w:asciiTheme="minorHAnsi" w:hAnsiTheme="minorHAnsi"/>
        </w:rPr>
      </w:pPr>
      <w:r w:rsidRPr="00D334C8">
        <w:rPr>
          <w:rFonts w:asciiTheme="minorHAnsi" w:hAnsiTheme="minorHAnsi"/>
          <w:b/>
          <w:bCs/>
        </w:rPr>
        <w:t xml:space="preserve">Zámer: </w:t>
      </w:r>
      <w:r w:rsidRPr="00D334C8">
        <w:rPr>
          <w:rFonts w:asciiTheme="minorHAnsi" w:hAnsiTheme="minorHAnsi"/>
        </w:rPr>
        <w:t>Zabezpečenie zjazdnosti a stabilizovanie technického stavu ciest</w:t>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763"/>
        <w:gridCol w:w="2270"/>
        <w:gridCol w:w="1366"/>
        <w:gridCol w:w="1324"/>
        <w:gridCol w:w="1540"/>
        <w:gridCol w:w="1053"/>
        <w:gridCol w:w="2150"/>
      </w:tblGrid>
      <w:tr w:rsidR="005F6AF6" w14:paraId="45B3CB52" w14:textId="77777777" w:rsidTr="005F6AF6">
        <w:trPr>
          <w:tblCellSpacing w:w="15" w:type="dxa"/>
        </w:trPr>
        <w:tc>
          <w:tcPr>
            <w:tcW w:w="670" w:type="dxa"/>
            <w:shd w:val="clear" w:color="auto" w:fill="C6DBF7"/>
            <w:vAlign w:val="center"/>
            <w:hideMark/>
          </w:tcPr>
          <w:p w14:paraId="72F8D3F9" w14:textId="77777777" w:rsidR="005F6AF6" w:rsidRDefault="005F6AF6" w:rsidP="005F6AF6">
            <w:pPr>
              <w:spacing w:after="0"/>
              <w:jc w:val="center"/>
              <w:rPr>
                <w:sz w:val="20"/>
                <w:szCs w:val="20"/>
              </w:rPr>
            </w:pPr>
            <w:r w:rsidRPr="01003ECD">
              <w:rPr>
                <w:b/>
                <w:bCs/>
                <w:sz w:val="20"/>
                <w:szCs w:val="20"/>
              </w:rPr>
              <w:t>Kód EK</w:t>
            </w:r>
          </w:p>
        </w:tc>
        <w:tc>
          <w:tcPr>
            <w:tcW w:w="2090" w:type="dxa"/>
            <w:shd w:val="clear" w:color="auto" w:fill="C6DBF7"/>
            <w:vAlign w:val="center"/>
            <w:hideMark/>
          </w:tcPr>
          <w:p w14:paraId="4EE8E45D" w14:textId="77777777" w:rsidR="005F6AF6" w:rsidRDefault="005F6AF6" w:rsidP="005F6AF6">
            <w:pPr>
              <w:spacing w:after="0"/>
              <w:jc w:val="center"/>
              <w:rPr>
                <w:sz w:val="20"/>
                <w:szCs w:val="20"/>
              </w:rPr>
            </w:pPr>
            <w:r w:rsidRPr="01003ECD">
              <w:rPr>
                <w:b/>
                <w:bCs/>
                <w:sz w:val="20"/>
                <w:szCs w:val="20"/>
              </w:rPr>
              <w:t>Ekonomická klasifikácia</w:t>
            </w:r>
          </w:p>
        </w:tc>
        <w:tc>
          <w:tcPr>
            <w:tcW w:w="1246" w:type="dxa"/>
            <w:shd w:val="clear" w:color="auto" w:fill="C6DBF7"/>
            <w:vAlign w:val="center"/>
            <w:hideMark/>
          </w:tcPr>
          <w:p w14:paraId="578DB167" w14:textId="77777777" w:rsidR="005F6AF6" w:rsidRDefault="005F6AF6" w:rsidP="005F6AF6">
            <w:pPr>
              <w:spacing w:after="0"/>
              <w:jc w:val="center"/>
              <w:rPr>
                <w:sz w:val="20"/>
                <w:szCs w:val="20"/>
              </w:rPr>
            </w:pPr>
            <w:r w:rsidRPr="01003ECD">
              <w:rPr>
                <w:b/>
                <w:bCs/>
                <w:sz w:val="20"/>
                <w:szCs w:val="20"/>
              </w:rPr>
              <w:t>Schválený</w:t>
            </w:r>
            <w:r>
              <w:br/>
            </w:r>
            <w:r w:rsidRPr="01003ECD">
              <w:rPr>
                <w:b/>
                <w:bCs/>
                <w:sz w:val="20"/>
                <w:szCs w:val="20"/>
              </w:rPr>
              <w:t>rozpočet</w:t>
            </w:r>
            <w:r>
              <w:br/>
            </w:r>
            <w:r w:rsidRPr="01003ECD">
              <w:rPr>
                <w:b/>
                <w:bCs/>
                <w:sz w:val="20"/>
                <w:szCs w:val="20"/>
              </w:rPr>
              <w:t>v EUR</w:t>
            </w:r>
          </w:p>
        </w:tc>
        <w:tc>
          <w:tcPr>
            <w:tcW w:w="1207" w:type="dxa"/>
            <w:shd w:val="clear" w:color="auto" w:fill="C6DBF7"/>
            <w:vAlign w:val="center"/>
            <w:hideMark/>
          </w:tcPr>
          <w:p w14:paraId="71DBB2A7" w14:textId="77777777" w:rsidR="005F6AF6" w:rsidRDefault="005F6AF6" w:rsidP="005F6AF6">
            <w:pPr>
              <w:spacing w:after="0"/>
              <w:jc w:val="center"/>
              <w:rPr>
                <w:sz w:val="20"/>
                <w:szCs w:val="20"/>
              </w:rPr>
            </w:pPr>
            <w:r w:rsidRPr="01003ECD">
              <w:rPr>
                <w:b/>
                <w:bCs/>
                <w:sz w:val="20"/>
                <w:szCs w:val="20"/>
              </w:rPr>
              <w:t>Zmenený</w:t>
            </w:r>
            <w:r>
              <w:br/>
            </w:r>
            <w:r w:rsidRPr="01003ECD">
              <w:rPr>
                <w:b/>
                <w:bCs/>
                <w:sz w:val="20"/>
                <w:szCs w:val="20"/>
              </w:rPr>
              <w:t>rozpočet</w:t>
            </w:r>
            <w:r>
              <w:br/>
            </w:r>
            <w:r w:rsidRPr="01003ECD">
              <w:rPr>
                <w:b/>
                <w:bCs/>
                <w:sz w:val="20"/>
                <w:szCs w:val="20"/>
              </w:rPr>
              <w:t>v EUR</w:t>
            </w:r>
          </w:p>
        </w:tc>
        <w:tc>
          <w:tcPr>
            <w:tcW w:w="1409" w:type="dxa"/>
            <w:shd w:val="clear" w:color="auto" w:fill="C6DBF7"/>
            <w:vAlign w:val="center"/>
            <w:hideMark/>
          </w:tcPr>
          <w:p w14:paraId="1461A2A3" w14:textId="77777777" w:rsidR="005F6AF6" w:rsidRDefault="005F6AF6" w:rsidP="005F6AF6">
            <w:pPr>
              <w:spacing w:after="0"/>
              <w:jc w:val="center"/>
              <w:rPr>
                <w:sz w:val="20"/>
                <w:szCs w:val="20"/>
              </w:rPr>
            </w:pPr>
            <w:r w:rsidRPr="01003ECD">
              <w:rPr>
                <w:b/>
                <w:bCs/>
                <w:sz w:val="20"/>
                <w:szCs w:val="20"/>
              </w:rPr>
              <w:t>Čerpanie</w:t>
            </w:r>
            <w:r>
              <w:br/>
            </w:r>
            <w:r w:rsidRPr="01003ECD">
              <w:rPr>
                <w:b/>
                <w:bCs/>
                <w:sz w:val="20"/>
                <w:szCs w:val="20"/>
              </w:rPr>
              <w:t>v EUR</w:t>
            </w:r>
          </w:p>
        </w:tc>
        <w:tc>
          <w:tcPr>
            <w:tcW w:w="954" w:type="dxa"/>
            <w:shd w:val="clear" w:color="auto" w:fill="C6DBF7"/>
            <w:vAlign w:val="center"/>
            <w:hideMark/>
          </w:tcPr>
          <w:p w14:paraId="00A90556" w14:textId="77777777" w:rsidR="005F6AF6" w:rsidRDefault="005F6AF6" w:rsidP="005F6AF6">
            <w:pPr>
              <w:spacing w:after="0"/>
              <w:jc w:val="center"/>
              <w:rPr>
                <w:sz w:val="20"/>
                <w:szCs w:val="20"/>
              </w:rPr>
            </w:pPr>
            <w:r w:rsidRPr="01003ECD">
              <w:rPr>
                <w:b/>
                <w:bCs/>
                <w:sz w:val="20"/>
                <w:szCs w:val="20"/>
              </w:rPr>
              <w:t>Čerpanie</w:t>
            </w:r>
            <w:r>
              <w:br/>
            </w:r>
            <w:r w:rsidRPr="01003ECD">
              <w:rPr>
                <w:b/>
                <w:bCs/>
                <w:sz w:val="20"/>
                <w:szCs w:val="20"/>
              </w:rPr>
              <w:t xml:space="preserve">k </w:t>
            </w:r>
            <w:proofErr w:type="spellStart"/>
            <w:r w:rsidRPr="01003ECD">
              <w:rPr>
                <w:b/>
                <w:bCs/>
                <w:sz w:val="20"/>
                <w:szCs w:val="20"/>
              </w:rPr>
              <w:t>zmen</w:t>
            </w:r>
            <w:proofErr w:type="spellEnd"/>
            <w:r w:rsidRPr="01003ECD">
              <w:rPr>
                <w:b/>
                <w:bCs/>
                <w:sz w:val="20"/>
                <w:szCs w:val="20"/>
              </w:rPr>
              <w:t xml:space="preserve">. </w:t>
            </w:r>
            <w:proofErr w:type="spellStart"/>
            <w:r w:rsidRPr="01003ECD">
              <w:rPr>
                <w:b/>
                <w:bCs/>
                <w:sz w:val="20"/>
                <w:szCs w:val="20"/>
              </w:rPr>
              <w:t>rozp</w:t>
            </w:r>
            <w:proofErr w:type="spellEnd"/>
            <w:r w:rsidRPr="01003ECD">
              <w:rPr>
                <w:b/>
                <w:bCs/>
                <w:sz w:val="20"/>
                <w:szCs w:val="20"/>
              </w:rPr>
              <w:t>.</w:t>
            </w:r>
            <w:r>
              <w:br/>
            </w:r>
            <w:r w:rsidRPr="01003ECD">
              <w:rPr>
                <w:b/>
                <w:bCs/>
                <w:sz w:val="20"/>
                <w:szCs w:val="20"/>
              </w:rPr>
              <w:t>v %</w:t>
            </w:r>
          </w:p>
        </w:tc>
        <w:tc>
          <w:tcPr>
            <w:tcW w:w="1964" w:type="dxa"/>
            <w:shd w:val="clear" w:color="auto" w:fill="C6DBF7"/>
            <w:vAlign w:val="center"/>
            <w:hideMark/>
          </w:tcPr>
          <w:p w14:paraId="6F3E579B" w14:textId="77777777" w:rsidR="005F6AF6" w:rsidRDefault="005F6AF6" w:rsidP="005F6AF6">
            <w:pPr>
              <w:jc w:val="center"/>
              <w:rPr>
                <w:sz w:val="20"/>
                <w:szCs w:val="20"/>
              </w:rPr>
            </w:pPr>
            <w:r w:rsidRPr="01003ECD">
              <w:rPr>
                <w:b/>
                <w:bCs/>
                <w:sz w:val="20"/>
                <w:szCs w:val="20"/>
              </w:rPr>
              <w:t>Zmeny rozpočtu</w:t>
            </w:r>
          </w:p>
        </w:tc>
      </w:tr>
      <w:tr w:rsidR="005F6AF6" w14:paraId="2B0EDFCD" w14:textId="77777777" w:rsidTr="005F6AF6">
        <w:trPr>
          <w:tblCellSpacing w:w="15" w:type="dxa"/>
        </w:trPr>
        <w:tc>
          <w:tcPr>
            <w:tcW w:w="670" w:type="dxa"/>
            <w:shd w:val="clear" w:color="auto" w:fill="D9D9D9" w:themeFill="background1" w:themeFillShade="D9"/>
            <w:noWrap/>
            <w:vAlign w:val="center"/>
            <w:hideMark/>
          </w:tcPr>
          <w:p w14:paraId="1D8BF177" w14:textId="77777777" w:rsidR="005F6AF6" w:rsidRDefault="005F6AF6" w:rsidP="005F6AF6">
            <w:pPr>
              <w:spacing w:after="0"/>
              <w:rPr>
                <w:sz w:val="20"/>
                <w:szCs w:val="20"/>
              </w:rPr>
            </w:pPr>
          </w:p>
        </w:tc>
        <w:tc>
          <w:tcPr>
            <w:tcW w:w="2090" w:type="dxa"/>
            <w:shd w:val="clear" w:color="auto" w:fill="D9D9D9" w:themeFill="background1" w:themeFillShade="D9"/>
            <w:vAlign w:val="center"/>
            <w:hideMark/>
          </w:tcPr>
          <w:p w14:paraId="1CBB328E" w14:textId="77777777" w:rsidR="005F6AF6" w:rsidRDefault="005F6AF6" w:rsidP="005F6AF6">
            <w:pPr>
              <w:spacing w:after="0"/>
              <w:rPr>
                <w:sz w:val="20"/>
                <w:szCs w:val="20"/>
              </w:rPr>
            </w:pPr>
            <w:r w:rsidRPr="01003ECD">
              <w:rPr>
                <w:b/>
                <w:bCs/>
                <w:sz w:val="20"/>
                <w:szCs w:val="20"/>
              </w:rPr>
              <w:t>Výdavky celkom</w:t>
            </w:r>
            <w:r w:rsidRPr="01003ECD">
              <w:rPr>
                <w:sz w:val="20"/>
                <w:szCs w:val="20"/>
              </w:rPr>
              <w:t xml:space="preserve"> </w:t>
            </w:r>
          </w:p>
        </w:tc>
        <w:tc>
          <w:tcPr>
            <w:tcW w:w="1246" w:type="dxa"/>
            <w:shd w:val="clear" w:color="auto" w:fill="D9D9D9" w:themeFill="background1" w:themeFillShade="D9"/>
            <w:noWrap/>
            <w:vAlign w:val="center"/>
            <w:hideMark/>
          </w:tcPr>
          <w:p w14:paraId="548F40A2" w14:textId="77777777" w:rsidR="005F6AF6" w:rsidRDefault="005F6AF6" w:rsidP="005F6AF6">
            <w:pPr>
              <w:spacing w:after="0"/>
              <w:jc w:val="right"/>
              <w:rPr>
                <w:b/>
                <w:bCs/>
                <w:sz w:val="20"/>
                <w:szCs w:val="20"/>
              </w:rPr>
            </w:pPr>
            <w:r w:rsidRPr="01003ECD">
              <w:rPr>
                <w:b/>
                <w:bCs/>
                <w:sz w:val="20"/>
                <w:szCs w:val="20"/>
              </w:rPr>
              <w:t>13</w:t>
            </w:r>
            <w:r>
              <w:rPr>
                <w:b/>
                <w:bCs/>
                <w:sz w:val="20"/>
                <w:szCs w:val="20"/>
              </w:rPr>
              <w:t> 915 133,00</w:t>
            </w:r>
          </w:p>
        </w:tc>
        <w:tc>
          <w:tcPr>
            <w:tcW w:w="1207" w:type="dxa"/>
            <w:shd w:val="clear" w:color="auto" w:fill="D9D9D9" w:themeFill="background1" w:themeFillShade="D9"/>
            <w:noWrap/>
            <w:vAlign w:val="center"/>
            <w:hideMark/>
          </w:tcPr>
          <w:p w14:paraId="16AF78E5" w14:textId="77777777" w:rsidR="005F6AF6" w:rsidRDefault="005F6AF6" w:rsidP="005F6AF6">
            <w:pPr>
              <w:spacing w:after="0"/>
              <w:jc w:val="right"/>
              <w:rPr>
                <w:b/>
                <w:bCs/>
                <w:sz w:val="20"/>
                <w:szCs w:val="20"/>
              </w:rPr>
            </w:pPr>
            <w:r>
              <w:rPr>
                <w:b/>
                <w:bCs/>
                <w:sz w:val="20"/>
                <w:szCs w:val="20"/>
              </w:rPr>
              <w:t>12 816 633,00</w:t>
            </w:r>
          </w:p>
        </w:tc>
        <w:tc>
          <w:tcPr>
            <w:tcW w:w="1409" w:type="dxa"/>
            <w:shd w:val="clear" w:color="auto" w:fill="D9D9D9" w:themeFill="background1" w:themeFillShade="D9"/>
            <w:noWrap/>
            <w:vAlign w:val="center"/>
            <w:hideMark/>
          </w:tcPr>
          <w:p w14:paraId="64BDAE33" w14:textId="77777777" w:rsidR="005F6AF6" w:rsidRDefault="005F6AF6" w:rsidP="005F6AF6">
            <w:pPr>
              <w:spacing w:after="0"/>
              <w:jc w:val="right"/>
              <w:rPr>
                <w:sz w:val="20"/>
                <w:szCs w:val="20"/>
              </w:rPr>
            </w:pPr>
            <w:r>
              <w:rPr>
                <w:b/>
                <w:bCs/>
                <w:sz w:val="20"/>
                <w:szCs w:val="20"/>
              </w:rPr>
              <w:t>6 065 541,80</w:t>
            </w:r>
          </w:p>
        </w:tc>
        <w:tc>
          <w:tcPr>
            <w:tcW w:w="954" w:type="dxa"/>
            <w:shd w:val="clear" w:color="auto" w:fill="D9D9D9" w:themeFill="background1" w:themeFillShade="D9"/>
            <w:noWrap/>
            <w:vAlign w:val="center"/>
            <w:hideMark/>
          </w:tcPr>
          <w:p w14:paraId="5BD0BF88" w14:textId="77777777" w:rsidR="005F6AF6" w:rsidRDefault="005F6AF6" w:rsidP="005F6AF6">
            <w:pPr>
              <w:spacing w:after="0"/>
              <w:jc w:val="right"/>
              <w:rPr>
                <w:sz w:val="20"/>
                <w:szCs w:val="20"/>
              </w:rPr>
            </w:pPr>
            <w:r>
              <w:rPr>
                <w:b/>
                <w:bCs/>
                <w:sz w:val="20"/>
                <w:szCs w:val="20"/>
              </w:rPr>
              <w:t>47,33</w:t>
            </w:r>
          </w:p>
        </w:tc>
        <w:tc>
          <w:tcPr>
            <w:tcW w:w="1964" w:type="dxa"/>
            <w:vMerge w:val="restart"/>
            <w:shd w:val="clear" w:color="auto" w:fill="D9D9D9" w:themeFill="background1" w:themeFillShade="D9"/>
            <w:vAlign w:val="center"/>
            <w:hideMark/>
          </w:tcPr>
          <w:p w14:paraId="7250988C" w14:textId="77777777" w:rsidR="005F6AF6" w:rsidRDefault="005F6AF6" w:rsidP="005F6AF6">
            <w:pPr>
              <w:spacing w:after="0"/>
              <w:rPr>
                <w:b/>
                <w:bCs/>
                <w:sz w:val="20"/>
                <w:szCs w:val="20"/>
              </w:rPr>
            </w:pPr>
            <w:r>
              <w:rPr>
                <w:b/>
                <w:bCs/>
                <w:sz w:val="20"/>
                <w:szCs w:val="20"/>
              </w:rPr>
              <w:t>-1 071 000,00</w:t>
            </w:r>
            <w:r w:rsidRPr="4960FDDF">
              <w:rPr>
                <w:b/>
                <w:bCs/>
                <w:sz w:val="20"/>
                <w:szCs w:val="20"/>
              </w:rPr>
              <w:t xml:space="preserve"> </w:t>
            </w:r>
            <w:r w:rsidRPr="006D4865">
              <w:rPr>
                <w:b/>
                <w:bCs/>
                <w:sz w:val="20"/>
                <w:szCs w:val="20"/>
              </w:rPr>
              <w:t>Zníženie výdavkov UZN č.  247/2020  zo dňa 29.5.2020</w:t>
            </w:r>
          </w:p>
          <w:p w14:paraId="18F93264" w14:textId="77777777" w:rsidR="005F6AF6" w:rsidRDefault="005F6AF6" w:rsidP="005F6AF6">
            <w:pPr>
              <w:spacing w:after="0"/>
              <w:rPr>
                <w:sz w:val="20"/>
                <w:szCs w:val="20"/>
              </w:rPr>
            </w:pPr>
            <w:r w:rsidRPr="4960FDDF">
              <w:rPr>
                <w:b/>
                <w:bCs/>
                <w:sz w:val="20"/>
                <w:szCs w:val="20"/>
              </w:rPr>
              <w:t>-</w:t>
            </w:r>
            <w:r>
              <w:rPr>
                <w:b/>
                <w:bCs/>
                <w:sz w:val="20"/>
                <w:szCs w:val="20"/>
              </w:rPr>
              <w:t>27 500</w:t>
            </w:r>
            <w:r w:rsidRPr="4960FDDF">
              <w:rPr>
                <w:b/>
                <w:bCs/>
                <w:sz w:val="20"/>
                <w:szCs w:val="20"/>
              </w:rPr>
              <w:t xml:space="preserve"> </w:t>
            </w:r>
            <w:r>
              <w:rPr>
                <w:b/>
                <w:bCs/>
                <w:sz w:val="20"/>
                <w:szCs w:val="20"/>
              </w:rPr>
              <w:t>P</w:t>
            </w:r>
            <w:r w:rsidRPr="006D4865">
              <w:rPr>
                <w:b/>
                <w:bCs/>
                <w:sz w:val="20"/>
                <w:szCs w:val="20"/>
              </w:rPr>
              <w:t xml:space="preserve">eňažný vklad do novozaloženej spoločnosti Regionálna správa ciest BSK </w:t>
            </w:r>
            <w:proofErr w:type="spellStart"/>
            <w:r w:rsidRPr="006D4865">
              <w:rPr>
                <w:b/>
                <w:bCs/>
                <w:sz w:val="20"/>
                <w:szCs w:val="20"/>
              </w:rPr>
              <w:t>a.s</w:t>
            </w:r>
            <w:proofErr w:type="spellEnd"/>
            <w:r w:rsidRPr="006D4865">
              <w:rPr>
                <w:b/>
                <w:bCs/>
                <w:sz w:val="20"/>
                <w:szCs w:val="20"/>
              </w:rPr>
              <w:t>./ UZN č. 300/2020 zo dňa 16.10.2020</w:t>
            </w:r>
          </w:p>
        </w:tc>
      </w:tr>
      <w:tr w:rsidR="005F6AF6" w14:paraId="1A33A1B7" w14:textId="77777777" w:rsidTr="005F6AF6">
        <w:trPr>
          <w:tblCellSpacing w:w="15" w:type="dxa"/>
        </w:trPr>
        <w:tc>
          <w:tcPr>
            <w:tcW w:w="670" w:type="dxa"/>
            <w:shd w:val="clear" w:color="auto" w:fill="D9D9D9" w:themeFill="background1" w:themeFillShade="D9"/>
            <w:noWrap/>
            <w:vAlign w:val="center"/>
            <w:hideMark/>
          </w:tcPr>
          <w:p w14:paraId="74AC7B29" w14:textId="77777777" w:rsidR="005F6AF6" w:rsidRDefault="005F6AF6" w:rsidP="005F6AF6">
            <w:pPr>
              <w:spacing w:after="0"/>
              <w:rPr>
                <w:sz w:val="20"/>
                <w:szCs w:val="20"/>
              </w:rPr>
            </w:pPr>
            <w:r w:rsidRPr="01003ECD">
              <w:rPr>
                <w:b/>
                <w:bCs/>
                <w:sz w:val="20"/>
                <w:szCs w:val="20"/>
              </w:rPr>
              <w:t>600</w:t>
            </w:r>
            <w:r w:rsidRPr="01003ECD">
              <w:rPr>
                <w:sz w:val="20"/>
                <w:szCs w:val="20"/>
              </w:rPr>
              <w:t xml:space="preserve"> </w:t>
            </w:r>
          </w:p>
        </w:tc>
        <w:tc>
          <w:tcPr>
            <w:tcW w:w="2090" w:type="dxa"/>
            <w:shd w:val="clear" w:color="auto" w:fill="D9D9D9" w:themeFill="background1" w:themeFillShade="D9"/>
            <w:vAlign w:val="center"/>
            <w:hideMark/>
          </w:tcPr>
          <w:p w14:paraId="17FDBCDF" w14:textId="77777777" w:rsidR="005F6AF6" w:rsidRDefault="005F6AF6" w:rsidP="005F6AF6">
            <w:pPr>
              <w:spacing w:after="0"/>
              <w:rPr>
                <w:sz w:val="20"/>
                <w:szCs w:val="20"/>
              </w:rPr>
            </w:pPr>
            <w:r w:rsidRPr="01003ECD">
              <w:rPr>
                <w:b/>
                <w:bCs/>
                <w:sz w:val="20"/>
                <w:szCs w:val="20"/>
              </w:rPr>
              <w:t>Bežné výdavky</w:t>
            </w:r>
            <w:r w:rsidRPr="01003ECD">
              <w:rPr>
                <w:sz w:val="20"/>
                <w:szCs w:val="20"/>
              </w:rPr>
              <w:t xml:space="preserve"> </w:t>
            </w:r>
          </w:p>
        </w:tc>
        <w:tc>
          <w:tcPr>
            <w:tcW w:w="1246" w:type="dxa"/>
            <w:shd w:val="clear" w:color="auto" w:fill="D9D9D9" w:themeFill="background1" w:themeFillShade="D9"/>
            <w:noWrap/>
            <w:vAlign w:val="center"/>
            <w:hideMark/>
          </w:tcPr>
          <w:p w14:paraId="7C437CEB" w14:textId="77777777" w:rsidR="005F6AF6" w:rsidRDefault="005F6AF6" w:rsidP="005F6AF6">
            <w:pPr>
              <w:spacing w:after="0"/>
              <w:jc w:val="right"/>
              <w:rPr>
                <w:sz w:val="20"/>
                <w:szCs w:val="20"/>
              </w:rPr>
            </w:pPr>
            <w:r w:rsidRPr="01003ECD">
              <w:rPr>
                <w:b/>
                <w:bCs/>
                <w:sz w:val="20"/>
                <w:szCs w:val="20"/>
              </w:rPr>
              <w:t>7</w:t>
            </w:r>
            <w:r>
              <w:rPr>
                <w:b/>
                <w:bCs/>
                <w:sz w:val="20"/>
                <w:szCs w:val="20"/>
              </w:rPr>
              <w:t> 515 133</w:t>
            </w:r>
            <w:r w:rsidRPr="01003ECD">
              <w:rPr>
                <w:b/>
                <w:bCs/>
                <w:sz w:val="20"/>
                <w:szCs w:val="20"/>
              </w:rPr>
              <w:t xml:space="preserve">,00 </w:t>
            </w:r>
          </w:p>
        </w:tc>
        <w:tc>
          <w:tcPr>
            <w:tcW w:w="1207" w:type="dxa"/>
            <w:shd w:val="clear" w:color="auto" w:fill="D9D9D9" w:themeFill="background1" w:themeFillShade="D9"/>
            <w:noWrap/>
            <w:vAlign w:val="center"/>
            <w:hideMark/>
          </w:tcPr>
          <w:p w14:paraId="441C2F45" w14:textId="77777777" w:rsidR="005F6AF6" w:rsidRDefault="005F6AF6" w:rsidP="005F6AF6">
            <w:pPr>
              <w:spacing w:after="0"/>
              <w:jc w:val="right"/>
              <w:rPr>
                <w:b/>
                <w:bCs/>
                <w:sz w:val="20"/>
                <w:szCs w:val="20"/>
              </w:rPr>
            </w:pPr>
            <w:r w:rsidRPr="01003ECD">
              <w:rPr>
                <w:b/>
                <w:bCs/>
                <w:sz w:val="20"/>
                <w:szCs w:val="20"/>
              </w:rPr>
              <w:t>7</w:t>
            </w:r>
            <w:r>
              <w:rPr>
                <w:b/>
                <w:bCs/>
                <w:sz w:val="20"/>
                <w:szCs w:val="20"/>
              </w:rPr>
              <w:t> 487 633,00</w:t>
            </w:r>
          </w:p>
        </w:tc>
        <w:tc>
          <w:tcPr>
            <w:tcW w:w="1409" w:type="dxa"/>
            <w:shd w:val="clear" w:color="auto" w:fill="D9D9D9" w:themeFill="background1" w:themeFillShade="D9"/>
            <w:noWrap/>
            <w:vAlign w:val="center"/>
            <w:hideMark/>
          </w:tcPr>
          <w:p w14:paraId="084E3320" w14:textId="77777777" w:rsidR="005F6AF6" w:rsidRDefault="005F6AF6" w:rsidP="005F6AF6">
            <w:pPr>
              <w:spacing w:after="0"/>
              <w:jc w:val="right"/>
              <w:rPr>
                <w:b/>
                <w:bCs/>
                <w:sz w:val="20"/>
                <w:szCs w:val="20"/>
              </w:rPr>
            </w:pPr>
            <w:r>
              <w:rPr>
                <w:b/>
                <w:bCs/>
                <w:sz w:val="20"/>
                <w:szCs w:val="20"/>
              </w:rPr>
              <w:t>4 818 521,18</w:t>
            </w:r>
          </w:p>
        </w:tc>
        <w:tc>
          <w:tcPr>
            <w:tcW w:w="954" w:type="dxa"/>
            <w:shd w:val="clear" w:color="auto" w:fill="D9D9D9" w:themeFill="background1" w:themeFillShade="D9"/>
            <w:noWrap/>
            <w:vAlign w:val="center"/>
            <w:hideMark/>
          </w:tcPr>
          <w:p w14:paraId="3B0C09EC" w14:textId="77777777" w:rsidR="005F6AF6" w:rsidRDefault="005F6AF6" w:rsidP="005F6AF6">
            <w:pPr>
              <w:spacing w:after="0"/>
              <w:jc w:val="right"/>
              <w:rPr>
                <w:b/>
                <w:bCs/>
                <w:sz w:val="20"/>
                <w:szCs w:val="20"/>
              </w:rPr>
            </w:pPr>
            <w:r>
              <w:rPr>
                <w:b/>
                <w:bCs/>
                <w:sz w:val="20"/>
                <w:szCs w:val="20"/>
              </w:rPr>
              <w:t>64,35</w:t>
            </w:r>
          </w:p>
        </w:tc>
        <w:tc>
          <w:tcPr>
            <w:tcW w:w="1964" w:type="dxa"/>
            <w:vMerge/>
            <w:vAlign w:val="center"/>
            <w:hideMark/>
          </w:tcPr>
          <w:p w14:paraId="57E57E85" w14:textId="77777777" w:rsidR="005F6AF6" w:rsidRDefault="005F6AF6" w:rsidP="005F6AF6">
            <w:pPr>
              <w:rPr>
                <w:sz w:val="24"/>
                <w:szCs w:val="24"/>
              </w:rPr>
            </w:pPr>
          </w:p>
        </w:tc>
      </w:tr>
      <w:tr w:rsidR="005F6AF6" w14:paraId="030734D1" w14:textId="77777777" w:rsidTr="005F6AF6">
        <w:trPr>
          <w:tblCellSpacing w:w="15" w:type="dxa"/>
        </w:trPr>
        <w:tc>
          <w:tcPr>
            <w:tcW w:w="670" w:type="dxa"/>
            <w:shd w:val="clear" w:color="auto" w:fill="EFEFEF"/>
            <w:noWrap/>
            <w:vAlign w:val="center"/>
            <w:hideMark/>
          </w:tcPr>
          <w:p w14:paraId="49CFA473" w14:textId="77777777" w:rsidR="005F6AF6" w:rsidRDefault="005F6AF6" w:rsidP="005F6AF6">
            <w:pPr>
              <w:spacing w:after="0"/>
              <w:rPr>
                <w:sz w:val="20"/>
                <w:szCs w:val="20"/>
              </w:rPr>
            </w:pPr>
            <w:r w:rsidRPr="01003ECD">
              <w:rPr>
                <w:sz w:val="20"/>
                <w:szCs w:val="20"/>
              </w:rPr>
              <w:t xml:space="preserve">630 </w:t>
            </w:r>
          </w:p>
        </w:tc>
        <w:tc>
          <w:tcPr>
            <w:tcW w:w="2090" w:type="dxa"/>
            <w:shd w:val="clear" w:color="auto" w:fill="EFEFEF"/>
            <w:vAlign w:val="center"/>
            <w:hideMark/>
          </w:tcPr>
          <w:p w14:paraId="3DE4A7BE" w14:textId="77777777" w:rsidR="005F6AF6" w:rsidRDefault="005F6AF6" w:rsidP="005F6AF6">
            <w:pPr>
              <w:spacing w:after="0"/>
              <w:rPr>
                <w:sz w:val="20"/>
                <w:szCs w:val="20"/>
              </w:rPr>
            </w:pPr>
            <w:r w:rsidRPr="01003ECD">
              <w:rPr>
                <w:sz w:val="20"/>
                <w:szCs w:val="20"/>
              </w:rPr>
              <w:t xml:space="preserve">Tovary a služby </w:t>
            </w:r>
          </w:p>
        </w:tc>
        <w:tc>
          <w:tcPr>
            <w:tcW w:w="1246" w:type="dxa"/>
            <w:shd w:val="clear" w:color="auto" w:fill="EFEFEF"/>
            <w:noWrap/>
            <w:vAlign w:val="center"/>
            <w:hideMark/>
          </w:tcPr>
          <w:p w14:paraId="0804074F" w14:textId="77777777" w:rsidR="005F6AF6" w:rsidRDefault="005F6AF6" w:rsidP="005F6AF6">
            <w:pPr>
              <w:spacing w:after="0"/>
              <w:jc w:val="right"/>
              <w:rPr>
                <w:sz w:val="20"/>
                <w:szCs w:val="20"/>
              </w:rPr>
            </w:pPr>
            <w:r>
              <w:rPr>
                <w:sz w:val="20"/>
                <w:szCs w:val="20"/>
              </w:rPr>
              <w:t>7 515 133, 00</w:t>
            </w:r>
            <w:r w:rsidRPr="01003ECD">
              <w:rPr>
                <w:sz w:val="20"/>
                <w:szCs w:val="20"/>
              </w:rPr>
              <w:t xml:space="preserve"> </w:t>
            </w:r>
          </w:p>
        </w:tc>
        <w:tc>
          <w:tcPr>
            <w:tcW w:w="1207" w:type="dxa"/>
            <w:shd w:val="clear" w:color="auto" w:fill="EFEFEF"/>
            <w:noWrap/>
            <w:vAlign w:val="center"/>
            <w:hideMark/>
          </w:tcPr>
          <w:p w14:paraId="1D9908AA" w14:textId="77777777" w:rsidR="005F6AF6" w:rsidRDefault="005F6AF6" w:rsidP="005F6AF6">
            <w:pPr>
              <w:spacing w:after="0"/>
              <w:jc w:val="right"/>
              <w:rPr>
                <w:sz w:val="20"/>
                <w:szCs w:val="20"/>
              </w:rPr>
            </w:pPr>
            <w:r w:rsidRPr="01003ECD">
              <w:rPr>
                <w:sz w:val="20"/>
                <w:szCs w:val="20"/>
              </w:rPr>
              <w:t xml:space="preserve"> </w:t>
            </w:r>
            <w:r>
              <w:rPr>
                <w:sz w:val="20"/>
                <w:szCs w:val="20"/>
              </w:rPr>
              <w:t>7 487 633,00</w:t>
            </w:r>
            <w:r w:rsidRPr="01003ECD">
              <w:rPr>
                <w:sz w:val="20"/>
                <w:szCs w:val="20"/>
              </w:rPr>
              <w:t xml:space="preserve"> </w:t>
            </w:r>
          </w:p>
        </w:tc>
        <w:tc>
          <w:tcPr>
            <w:tcW w:w="1409" w:type="dxa"/>
            <w:shd w:val="clear" w:color="auto" w:fill="EFEFEF"/>
            <w:noWrap/>
            <w:vAlign w:val="center"/>
            <w:hideMark/>
          </w:tcPr>
          <w:p w14:paraId="12EE269F" w14:textId="77777777" w:rsidR="005F6AF6" w:rsidRDefault="005F6AF6" w:rsidP="005F6AF6">
            <w:pPr>
              <w:spacing w:after="0"/>
              <w:jc w:val="right"/>
              <w:rPr>
                <w:rFonts w:eastAsia="Calibri" w:cs="Calibri"/>
                <w:b/>
                <w:bCs/>
                <w:color w:val="000000" w:themeColor="text1"/>
                <w:sz w:val="20"/>
                <w:szCs w:val="20"/>
              </w:rPr>
            </w:pPr>
            <w:r>
              <w:rPr>
                <w:rFonts w:eastAsia="Calibri" w:cs="Calibri"/>
                <w:b/>
                <w:bCs/>
                <w:color w:val="000000" w:themeColor="text1"/>
                <w:sz w:val="20"/>
                <w:szCs w:val="20"/>
              </w:rPr>
              <w:t>4 818 521,18</w:t>
            </w:r>
          </w:p>
        </w:tc>
        <w:tc>
          <w:tcPr>
            <w:tcW w:w="954" w:type="dxa"/>
            <w:shd w:val="clear" w:color="auto" w:fill="EFEFEF"/>
            <w:noWrap/>
            <w:vAlign w:val="center"/>
            <w:hideMark/>
          </w:tcPr>
          <w:p w14:paraId="554C5277" w14:textId="77777777" w:rsidR="005F6AF6" w:rsidRDefault="005F6AF6" w:rsidP="005F6AF6">
            <w:pPr>
              <w:spacing w:after="0"/>
              <w:jc w:val="right"/>
              <w:rPr>
                <w:sz w:val="20"/>
                <w:szCs w:val="20"/>
              </w:rPr>
            </w:pPr>
            <w:r>
              <w:rPr>
                <w:sz w:val="20"/>
                <w:szCs w:val="20"/>
              </w:rPr>
              <w:t>64,35</w:t>
            </w:r>
            <w:r w:rsidRPr="01003ECD">
              <w:rPr>
                <w:sz w:val="20"/>
                <w:szCs w:val="20"/>
              </w:rPr>
              <w:t xml:space="preserve"> </w:t>
            </w:r>
          </w:p>
        </w:tc>
        <w:tc>
          <w:tcPr>
            <w:tcW w:w="1964" w:type="dxa"/>
            <w:vMerge/>
            <w:vAlign w:val="center"/>
            <w:hideMark/>
          </w:tcPr>
          <w:p w14:paraId="6C047B9D" w14:textId="77777777" w:rsidR="005F6AF6" w:rsidRDefault="005F6AF6" w:rsidP="005F6AF6">
            <w:pPr>
              <w:rPr>
                <w:sz w:val="24"/>
                <w:szCs w:val="24"/>
              </w:rPr>
            </w:pPr>
          </w:p>
        </w:tc>
      </w:tr>
      <w:tr w:rsidR="005F6AF6" w14:paraId="21CDB53C" w14:textId="77777777" w:rsidTr="005F6AF6">
        <w:trPr>
          <w:tblCellSpacing w:w="15" w:type="dxa"/>
        </w:trPr>
        <w:tc>
          <w:tcPr>
            <w:tcW w:w="670" w:type="dxa"/>
            <w:shd w:val="clear" w:color="auto" w:fill="D9D9D9" w:themeFill="background1" w:themeFillShade="D9"/>
            <w:noWrap/>
            <w:vAlign w:val="center"/>
            <w:hideMark/>
          </w:tcPr>
          <w:p w14:paraId="4681F64A" w14:textId="77777777" w:rsidR="005F6AF6" w:rsidRDefault="005F6AF6" w:rsidP="005F6AF6">
            <w:pPr>
              <w:spacing w:after="0"/>
              <w:rPr>
                <w:sz w:val="20"/>
                <w:szCs w:val="20"/>
              </w:rPr>
            </w:pPr>
            <w:r w:rsidRPr="01003ECD">
              <w:rPr>
                <w:b/>
                <w:bCs/>
                <w:sz w:val="20"/>
                <w:szCs w:val="20"/>
              </w:rPr>
              <w:t>700</w:t>
            </w:r>
            <w:r w:rsidRPr="01003ECD">
              <w:rPr>
                <w:sz w:val="20"/>
                <w:szCs w:val="20"/>
              </w:rPr>
              <w:t xml:space="preserve"> </w:t>
            </w:r>
          </w:p>
        </w:tc>
        <w:tc>
          <w:tcPr>
            <w:tcW w:w="2090" w:type="dxa"/>
            <w:shd w:val="clear" w:color="auto" w:fill="D9D9D9" w:themeFill="background1" w:themeFillShade="D9"/>
            <w:vAlign w:val="center"/>
            <w:hideMark/>
          </w:tcPr>
          <w:p w14:paraId="02D24FDA" w14:textId="77777777" w:rsidR="005F6AF6" w:rsidRDefault="005F6AF6" w:rsidP="005F6AF6">
            <w:pPr>
              <w:spacing w:after="0"/>
              <w:rPr>
                <w:sz w:val="20"/>
                <w:szCs w:val="20"/>
              </w:rPr>
            </w:pPr>
            <w:r w:rsidRPr="01003ECD">
              <w:rPr>
                <w:b/>
                <w:bCs/>
                <w:sz w:val="20"/>
                <w:szCs w:val="20"/>
              </w:rPr>
              <w:t>Kapitálové výdavky</w:t>
            </w:r>
            <w:r w:rsidRPr="01003ECD">
              <w:rPr>
                <w:sz w:val="20"/>
                <w:szCs w:val="20"/>
              </w:rPr>
              <w:t xml:space="preserve"> </w:t>
            </w:r>
          </w:p>
        </w:tc>
        <w:tc>
          <w:tcPr>
            <w:tcW w:w="1246" w:type="dxa"/>
            <w:shd w:val="clear" w:color="auto" w:fill="D9D9D9" w:themeFill="background1" w:themeFillShade="D9"/>
            <w:noWrap/>
            <w:vAlign w:val="center"/>
            <w:hideMark/>
          </w:tcPr>
          <w:p w14:paraId="594E15F1" w14:textId="77777777" w:rsidR="005F6AF6" w:rsidRDefault="005F6AF6" w:rsidP="005F6AF6">
            <w:pPr>
              <w:spacing w:after="0"/>
              <w:jc w:val="right"/>
              <w:rPr>
                <w:sz w:val="20"/>
                <w:szCs w:val="20"/>
              </w:rPr>
            </w:pPr>
            <w:r>
              <w:rPr>
                <w:b/>
                <w:bCs/>
                <w:sz w:val="20"/>
                <w:szCs w:val="20"/>
              </w:rPr>
              <w:t>6 400 000,00</w:t>
            </w:r>
            <w:r w:rsidRPr="01003ECD">
              <w:rPr>
                <w:sz w:val="20"/>
                <w:szCs w:val="20"/>
              </w:rPr>
              <w:t xml:space="preserve"> </w:t>
            </w:r>
          </w:p>
        </w:tc>
        <w:tc>
          <w:tcPr>
            <w:tcW w:w="1207" w:type="dxa"/>
            <w:shd w:val="clear" w:color="auto" w:fill="D9D9D9" w:themeFill="background1" w:themeFillShade="D9"/>
            <w:noWrap/>
            <w:vAlign w:val="center"/>
            <w:hideMark/>
          </w:tcPr>
          <w:p w14:paraId="23AC9DCA" w14:textId="77777777" w:rsidR="005F6AF6" w:rsidRDefault="005F6AF6" w:rsidP="005F6AF6">
            <w:pPr>
              <w:spacing w:after="0"/>
              <w:jc w:val="right"/>
              <w:rPr>
                <w:b/>
                <w:bCs/>
                <w:sz w:val="20"/>
                <w:szCs w:val="20"/>
              </w:rPr>
            </w:pPr>
            <w:r>
              <w:rPr>
                <w:b/>
                <w:bCs/>
                <w:sz w:val="20"/>
                <w:szCs w:val="20"/>
              </w:rPr>
              <w:t>5 329 000,00</w:t>
            </w:r>
          </w:p>
        </w:tc>
        <w:tc>
          <w:tcPr>
            <w:tcW w:w="1409" w:type="dxa"/>
            <w:shd w:val="clear" w:color="auto" w:fill="D9D9D9" w:themeFill="background1" w:themeFillShade="D9"/>
            <w:noWrap/>
            <w:vAlign w:val="center"/>
            <w:hideMark/>
          </w:tcPr>
          <w:p w14:paraId="302E13B1" w14:textId="77777777" w:rsidR="005F6AF6" w:rsidRDefault="005F6AF6" w:rsidP="005F6AF6">
            <w:pPr>
              <w:spacing w:after="0"/>
              <w:jc w:val="right"/>
              <w:rPr>
                <w:b/>
                <w:bCs/>
                <w:sz w:val="20"/>
                <w:szCs w:val="20"/>
              </w:rPr>
            </w:pPr>
            <w:r>
              <w:rPr>
                <w:b/>
                <w:bCs/>
                <w:sz w:val="20"/>
                <w:szCs w:val="20"/>
              </w:rPr>
              <w:t>1 247 020,62</w:t>
            </w:r>
            <w:r w:rsidRPr="01003ECD">
              <w:rPr>
                <w:b/>
                <w:bCs/>
                <w:sz w:val="20"/>
                <w:szCs w:val="20"/>
              </w:rPr>
              <w:t xml:space="preserve"> </w:t>
            </w:r>
          </w:p>
        </w:tc>
        <w:tc>
          <w:tcPr>
            <w:tcW w:w="954" w:type="dxa"/>
            <w:shd w:val="clear" w:color="auto" w:fill="D9D9D9" w:themeFill="background1" w:themeFillShade="D9"/>
            <w:noWrap/>
            <w:vAlign w:val="center"/>
            <w:hideMark/>
          </w:tcPr>
          <w:p w14:paraId="72B647D0" w14:textId="77777777" w:rsidR="005F6AF6" w:rsidRDefault="005F6AF6" w:rsidP="005F6AF6">
            <w:pPr>
              <w:spacing w:after="0"/>
              <w:jc w:val="right"/>
              <w:rPr>
                <w:sz w:val="20"/>
                <w:szCs w:val="20"/>
              </w:rPr>
            </w:pPr>
            <w:r>
              <w:rPr>
                <w:b/>
                <w:bCs/>
                <w:sz w:val="20"/>
                <w:szCs w:val="20"/>
              </w:rPr>
              <w:t>23,40</w:t>
            </w:r>
            <w:r w:rsidRPr="01003ECD">
              <w:rPr>
                <w:b/>
                <w:bCs/>
                <w:sz w:val="20"/>
                <w:szCs w:val="20"/>
              </w:rPr>
              <w:t xml:space="preserve"> </w:t>
            </w:r>
          </w:p>
        </w:tc>
        <w:tc>
          <w:tcPr>
            <w:tcW w:w="1964" w:type="dxa"/>
            <w:vMerge/>
            <w:vAlign w:val="center"/>
            <w:hideMark/>
          </w:tcPr>
          <w:p w14:paraId="55EDE096" w14:textId="77777777" w:rsidR="005F6AF6" w:rsidRDefault="005F6AF6" w:rsidP="005F6AF6">
            <w:pPr>
              <w:rPr>
                <w:sz w:val="24"/>
                <w:szCs w:val="24"/>
              </w:rPr>
            </w:pPr>
          </w:p>
        </w:tc>
      </w:tr>
      <w:tr w:rsidR="005F6AF6" w14:paraId="18255841" w14:textId="77777777" w:rsidTr="005F6AF6">
        <w:trPr>
          <w:tblCellSpacing w:w="15" w:type="dxa"/>
        </w:trPr>
        <w:tc>
          <w:tcPr>
            <w:tcW w:w="670" w:type="dxa"/>
            <w:shd w:val="clear" w:color="auto" w:fill="EFEFEF"/>
            <w:noWrap/>
            <w:vAlign w:val="center"/>
            <w:hideMark/>
          </w:tcPr>
          <w:p w14:paraId="6BAE70FF" w14:textId="77777777" w:rsidR="005F6AF6" w:rsidRDefault="005F6AF6" w:rsidP="005F6AF6">
            <w:pPr>
              <w:spacing w:after="0"/>
              <w:rPr>
                <w:sz w:val="20"/>
                <w:szCs w:val="20"/>
              </w:rPr>
            </w:pPr>
            <w:r w:rsidRPr="01003ECD">
              <w:rPr>
                <w:sz w:val="20"/>
                <w:szCs w:val="20"/>
              </w:rPr>
              <w:t xml:space="preserve">710 </w:t>
            </w:r>
          </w:p>
        </w:tc>
        <w:tc>
          <w:tcPr>
            <w:tcW w:w="2090" w:type="dxa"/>
            <w:shd w:val="clear" w:color="auto" w:fill="EFEFEF"/>
            <w:vAlign w:val="center"/>
            <w:hideMark/>
          </w:tcPr>
          <w:p w14:paraId="1E31DB4D" w14:textId="77777777" w:rsidR="005F6AF6" w:rsidRDefault="005F6AF6" w:rsidP="005F6AF6">
            <w:pPr>
              <w:spacing w:after="0"/>
              <w:rPr>
                <w:sz w:val="20"/>
                <w:szCs w:val="20"/>
              </w:rPr>
            </w:pPr>
            <w:proofErr w:type="spellStart"/>
            <w:r w:rsidRPr="01003ECD">
              <w:rPr>
                <w:sz w:val="20"/>
                <w:szCs w:val="20"/>
              </w:rPr>
              <w:t>Obst</w:t>
            </w:r>
            <w:proofErr w:type="spellEnd"/>
            <w:r w:rsidRPr="01003ECD">
              <w:rPr>
                <w:sz w:val="20"/>
                <w:szCs w:val="20"/>
              </w:rPr>
              <w:t xml:space="preserve">. </w:t>
            </w:r>
            <w:proofErr w:type="spellStart"/>
            <w:r w:rsidRPr="01003ECD">
              <w:rPr>
                <w:sz w:val="20"/>
                <w:szCs w:val="20"/>
              </w:rPr>
              <w:t>kapit</w:t>
            </w:r>
            <w:proofErr w:type="spellEnd"/>
            <w:r w:rsidRPr="01003ECD">
              <w:rPr>
                <w:sz w:val="20"/>
                <w:szCs w:val="20"/>
              </w:rPr>
              <w:t xml:space="preserve">. aktív </w:t>
            </w:r>
          </w:p>
        </w:tc>
        <w:tc>
          <w:tcPr>
            <w:tcW w:w="1246" w:type="dxa"/>
            <w:shd w:val="clear" w:color="auto" w:fill="EFEFEF"/>
            <w:noWrap/>
            <w:vAlign w:val="center"/>
            <w:hideMark/>
          </w:tcPr>
          <w:p w14:paraId="79B6EBC4" w14:textId="77777777" w:rsidR="005F6AF6" w:rsidRDefault="005F6AF6" w:rsidP="005F6AF6">
            <w:pPr>
              <w:spacing w:after="0"/>
              <w:jc w:val="right"/>
              <w:rPr>
                <w:sz w:val="20"/>
                <w:szCs w:val="20"/>
              </w:rPr>
            </w:pPr>
            <w:r w:rsidRPr="01003ECD">
              <w:rPr>
                <w:sz w:val="20"/>
                <w:szCs w:val="20"/>
              </w:rPr>
              <w:t xml:space="preserve"> 6 </w:t>
            </w:r>
            <w:r>
              <w:rPr>
                <w:sz w:val="20"/>
                <w:szCs w:val="20"/>
              </w:rPr>
              <w:t>400</w:t>
            </w:r>
            <w:r w:rsidRPr="01003ECD">
              <w:rPr>
                <w:sz w:val="20"/>
                <w:szCs w:val="20"/>
              </w:rPr>
              <w:t xml:space="preserve"> 000,00  </w:t>
            </w:r>
          </w:p>
        </w:tc>
        <w:tc>
          <w:tcPr>
            <w:tcW w:w="1207" w:type="dxa"/>
            <w:shd w:val="clear" w:color="auto" w:fill="EFEFEF"/>
            <w:noWrap/>
            <w:vAlign w:val="center"/>
            <w:hideMark/>
          </w:tcPr>
          <w:p w14:paraId="797FB363" w14:textId="77777777" w:rsidR="005F6AF6" w:rsidRDefault="005F6AF6" w:rsidP="005F6AF6">
            <w:pPr>
              <w:spacing w:after="0"/>
              <w:jc w:val="right"/>
              <w:rPr>
                <w:sz w:val="20"/>
                <w:szCs w:val="20"/>
              </w:rPr>
            </w:pPr>
            <w:r>
              <w:rPr>
                <w:sz w:val="20"/>
                <w:szCs w:val="20"/>
              </w:rPr>
              <w:t>5 329 000,00</w:t>
            </w:r>
            <w:r w:rsidRPr="01003ECD">
              <w:rPr>
                <w:sz w:val="20"/>
                <w:szCs w:val="20"/>
              </w:rPr>
              <w:t xml:space="preserve"> </w:t>
            </w:r>
          </w:p>
        </w:tc>
        <w:tc>
          <w:tcPr>
            <w:tcW w:w="1409" w:type="dxa"/>
            <w:shd w:val="clear" w:color="auto" w:fill="EFEFEF"/>
            <w:noWrap/>
            <w:vAlign w:val="center"/>
            <w:hideMark/>
          </w:tcPr>
          <w:p w14:paraId="3311E077" w14:textId="77777777" w:rsidR="005F6AF6" w:rsidRDefault="005F6AF6" w:rsidP="005F6AF6">
            <w:pPr>
              <w:spacing w:after="0"/>
              <w:jc w:val="right"/>
              <w:rPr>
                <w:sz w:val="20"/>
                <w:szCs w:val="20"/>
              </w:rPr>
            </w:pPr>
            <w:r>
              <w:rPr>
                <w:sz w:val="20"/>
                <w:szCs w:val="20"/>
              </w:rPr>
              <w:t>1 247 020,62</w:t>
            </w:r>
            <w:r w:rsidRPr="01003ECD">
              <w:rPr>
                <w:sz w:val="20"/>
                <w:szCs w:val="20"/>
              </w:rPr>
              <w:t xml:space="preserve"> </w:t>
            </w:r>
          </w:p>
        </w:tc>
        <w:tc>
          <w:tcPr>
            <w:tcW w:w="954" w:type="dxa"/>
            <w:shd w:val="clear" w:color="auto" w:fill="EFEFEF"/>
            <w:noWrap/>
            <w:vAlign w:val="center"/>
            <w:hideMark/>
          </w:tcPr>
          <w:p w14:paraId="4FDD06AD" w14:textId="77777777" w:rsidR="005F6AF6" w:rsidRDefault="005F6AF6" w:rsidP="005F6AF6">
            <w:pPr>
              <w:spacing w:after="0"/>
              <w:jc w:val="right"/>
              <w:rPr>
                <w:sz w:val="20"/>
                <w:szCs w:val="20"/>
              </w:rPr>
            </w:pPr>
            <w:r>
              <w:rPr>
                <w:sz w:val="20"/>
                <w:szCs w:val="20"/>
              </w:rPr>
              <w:t>23,40</w:t>
            </w:r>
            <w:r w:rsidRPr="01003ECD">
              <w:rPr>
                <w:sz w:val="20"/>
                <w:szCs w:val="20"/>
              </w:rPr>
              <w:t xml:space="preserve"> </w:t>
            </w:r>
          </w:p>
        </w:tc>
        <w:tc>
          <w:tcPr>
            <w:tcW w:w="1964" w:type="dxa"/>
            <w:vMerge/>
            <w:vAlign w:val="center"/>
            <w:hideMark/>
          </w:tcPr>
          <w:p w14:paraId="6D5605B1" w14:textId="77777777" w:rsidR="005F6AF6" w:rsidRDefault="005F6AF6" w:rsidP="005F6AF6">
            <w:pPr>
              <w:rPr>
                <w:sz w:val="24"/>
                <w:szCs w:val="24"/>
              </w:rPr>
            </w:pPr>
          </w:p>
        </w:tc>
      </w:tr>
    </w:tbl>
    <w:p w14:paraId="6BB78050" w14:textId="77777777" w:rsidR="005F6AF6" w:rsidRDefault="005F6AF6" w:rsidP="005F6AF6">
      <w:pPr>
        <w:pStyle w:val="Normlnywebov"/>
        <w:spacing w:after="0"/>
        <w:rPr>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1119"/>
        <w:gridCol w:w="1689"/>
        <w:gridCol w:w="1586"/>
        <w:gridCol w:w="4159"/>
      </w:tblGrid>
      <w:tr w:rsidR="005F6AF6" w14:paraId="6B3A5FFB" w14:textId="77777777" w:rsidTr="005F6AF6">
        <w:trPr>
          <w:tblCellSpacing w:w="15" w:type="dxa"/>
        </w:trPr>
        <w:tc>
          <w:tcPr>
            <w:tcW w:w="0" w:type="auto"/>
            <w:shd w:val="clear" w:color="auto" w:fill="C2D69B"/>
            <w:vAlign w:val="center"/>
            <w:hideMark/>
          </w:tcPr>
          <w:p w14:paraId="79C280EF" w14:textId="77777777" w:rsidR="005F6AF6" w:rsidRDefault="005F6AF6" w:rsidP="005F6AF6">
            <w:pPr>
              <w:spacing w:after="0"/>
              <w:rPr>
                <w:sz w:val="24"/>
                <w:szCs w:val="24"/>
              </w:rPr>
            </w:pPr>
            <w:r>
              <w:rPr>
                <w:b/>
                <w:bCs/>
                <w:sz w:val="20"/>
                <w:szCs w:val="20"/>
              </w:rPr>
              <w:lastRenderedPageBreak/>
              <w:t>Zodpovednosť</w:t>
            </w:r>
          </w:p>
        </w:tc>
        <w:tc>
          <w:tcPr>
            <w:tcW w:w="0" w:type="auto"/>
            <w:gridSpan w:val="4"/>
            <w:shd w:val="clear" w:color="auto" w:fill="C2D69B"/>
            <w:vAlign w:val="center"/>
            <w:hideMark/>
          </w:tcPr>
          <w:p w14:paraId="35D9450A" w14:textId="77777777" w:rsidR="005F6AF6" w:rsidRDefault="005F6AF6" w:rsidP="005F6AF6">
            <w:pPr>
              <w:spacing w:after="0"/>
              <w:rPr>
                <w:sz w:val="24"/>
                <w:szCs w:val="24"/>
              </w:rPr>
            </w:pPr>
            <w:r>
              <w:rPr>
                <w:sz w:val="20"/>
                <w:szCs w:val="20"/>
              </w:rPr>
              <w:t>Odbor dopravy</w:t>
            </w:r>
            <w:r>
              <w:t xml:space="preserve"> </w:t>
            </w:r>
          </w:p>
        </w:tc>
      </w:tr>
      <w:tr w:rsidR="005F6AF6" w14:paraId="3184BB52" w14:textId="77777777" w:rsidTr="005F6AF6">
        <w:trPr>
          <w:tblCellSpacing w:w="15" w:type="dxa"/>
        </w:trPr>
        <w:tc>
          <w:tcPr>
            <w:tcW w:w="0" w:type="auto"/>
            <w:shd w:val="clear" w:color="auto" w:fill="C2D69B"/>
            <w:vAlign w:val="center"/>
            <w:hideMark/>
          </w:tcPr>
          <w:p w14:paraId="398107BC" w14:textId="77777777" w:rsidR="005F6AF6" w:rsidRDefault="005F6AF6" w:rsidP="005F6AF6">
            <w:pPr>
              <w:spacing w:after="0"/>
              <w:rPr>
                <w:sz w:val="24"/>
                <w:szCs w:val="24"/>
              </w:rPr>
            </w:pPr>
            <w:r>
              <w:rPr>
                <w:b/>
                <w:bCs/>
                <w:sz w:val="20"/>
                <w:szCs w:val="20"/>
              </w:rPr>
              <w:t>Cieľ</w:t>
            </w:r>
          </w:p>
        </w:tc>
        <w:tc>
          <w:tcPr>
            <w:tcW w:w="0" w:type="auto"/>
            <w:gridSpan w:val="4"/>
            <w:shd w:val="clear" w:color="auto" w:fill="C2D69B"/>
            <w:vAlign w:val="center"/>
            <w:hideMark/>
          </w:tcPr>
          <w:p w14:paraId="26129256" w14:textId="77777777" w:rsidR="005F6AF6" w:rsidRDefault="005F6AF6" w:rsidP="005F6AF6">
            <w:pPr>
              <w:spacing w:after="0"/>
              <w:rPr>
                <w:sz w:val="24"/>
                <w:szCs w:val="24"/>
              </w:rPr>
            </w:pPr>
            <w:r>
              <w:rPr>
                <w:sz w:val="20"/>
                <w:szCs w:val="20"/>
              </w:rPr>
              <w:t>Zabezpečiť zjazdnosť a bezpečnosť premávky na komunikáciách spravovaných BSK</w:t>
            </w:r>
            <w:r>
              <w:t xml:space="preserve"> </w:t>
            </w:r>
          </w:p>
        </w:tc>
      </w:tr>
      <w:tr w:rsidR="005F6AF6" w14:paraId="15CF572E" w14:textId="77777777" w:rsidTr="005F6AF6">
        <w:trPr>
          <w:tblCellSpacing w:w="15" w:type="dxa"/>
        </w:trPr>
        <w:tc>
          <w:tcPr>
            <w:tcW w:w="0" w:type="auto"/>
            <w:shd w:val="clear" w:color="auto" w:fill="C2D69B"/>
            <w:vAlign w:val="center"/>
            <w:hideMark/>
          </w:tcPr>
          <w:p w14:paraId="4C12F69B" w14:textId="77777777" w:rsidR="005F6AF6" w:rsidRDefault="005F6AF6" w:rsidP="005F6AF6">
            <w:pPr>
              <w:spacing w:after="0"/>
              <w:rPr>
                <w:sz w:val="24"/>
                <w:szCs w:val="24"/>
              </w:rPr>
            </w:pPr>
            <w:r>
              <w:rPr>
                <w:b/>
                <w:bCs/>
                <w:sz w:val="20"/>
                <w:szCs w:val="20"/>
              </w:rPr>
              <w:t>Merateľný ukazovateľ</w:t>
            </w:r>
          </w:p>
        </w:tc>
        <w:tc>
          <w:tcPr>
            <w:tcW w:w="0" w:type="auto"/>
            <w:gridSpan w:val="4"/>
            <w:shd w:val="clear" w:color="auto" w:fill="C2D69B"/>
            <w:vAlign w:val="center"/>
            <w:hideMark/>
          </w:tcPr>
          <w:p w14:paraId="0E8B6C88" w14:textId="77777777" w:rsidR="005F6AF6" w:rsidRDefault="005F6AF6" w:rsidP="005F6AF6">
            <w:pPr>
              <w:spacing w:after="0"/>
              <w:rPr>
                <w:sz w:val="24"/>
                <w:szCs w:val="24"/>
              </w:rPr>
            </w:pPr>
            <w:r>
              <w:rPr>
                <w:sz w:val="20"/>
                <w:szCs w:val="20"/>
              </w:rPr>
              <w:t>Počet km spravovaných ciest v BSK</w:t>
            </w:r>
            <w:r>
              <w:t xml:space="preserve"> </w:t>
            </w:r>
          </w:p>
        </w:tc>
      </w:tr>
      <w:tr w:rsidR="005F6AF6" w14:paraId="3F029B4A" w14:textId="77777777" w:rsidTr="005F6AF6">
        <w:trPr>
          <w:tblCellSpacing w:w="15" w:type="dxa"/>
        </w:trPr>
        <w:tc>
          <w:tcPr>
            <w:tcW w:w="0" w:type="auto"/>
            <w:shd w:val="clear" w:color="auto" w:fill="C2D69B"/>
            <w:vAlign w:val="center"/>
            <w:hideMark/>
          </w:tcPr>
          <w:p w14:paraId="4E5034E9" w14:textId="77777777" w:rsidR="005F6AF6" w:rsidRDefault="005F6AF6" w:rsidP="005F6AF6">
            <w:pPr>
              <w:spacing w:after="0"/>
              <w:jc w:val="center"/>
              <w:rPr>
                <w:sz w:val="24"/>
                <w:szCs w:val="24"/>
              </w:rPr>
            </w:pPr>
            <w:r>
              <w:rPr>
                <w:b/>
                <w:bCs/>
                <w:sz w:val="20"/>
                <w:szCs w:val="20"/>
              </w:rPr>
              <w:t>Rok</w:t>
            </w:r>
          </w:p>
        </w:tc>
        <w:tc>
          <w:tcPr>
            <w:tcW w:w="0" w:type="auto"/>
            <w:shd w:val="clear" w:color="auto" w:fill="C2D69B"/>
            <w:vAlign w:val="center"/>
            <w:hideMark/>
          </w:tcPr>
          <w:p w14:paraId="760AA722" w14:textId="77777777" w:rsidR="005F6AF6" w:rsidRDefault="005F6AF6" w:rsidP="005F6AF6">
            <w:pPr>
              <w:spacing w:after="0"/>
              <w:jc w:val="center"/>
              <w:rPr>
                <w:sz w:val="24"/>
                <w:szCs w:val="24"/>
              </w:rPr>
            </w:pPr>
            <w:r>
              <w:rPr>
                <w:b/>
                <w:bCs/>
                <w:sz w:val="20"/>
                <w:szCs w:val="20"/>
              </w:rPr>
              <w:t>Plán</w:t>
            </w:r>
          </w:p>
        </w:tc>
        <w:tc>
          <w:tcPr>
            <w:tcW w:w="0" w:type="auto"/>
            <w:shd w:val="clear" w:color="auto" w:fill="C2D69B"/>
            <w:vAlign w:val="center"/>
            <w:hideMark/>
          </w:tcPr>
          <w:p w14:paraId="11BAB10D" w14:textId="77777777" w:rsidR="005F6AF6" w:rsidRDefault="005F6AF6" w:rsidP="005F6AF6">
            <w:pPr>
              <w:spacing w:after="0"/>
              <w:jc w:val="center"/>
              <w:rPr>
                <w:sz w:val="24"/>
                <w:szCs w:val="24"/>
              </w:rPr>
            </w:pPr>
            <w:r>
              <w:rPr>
                <w:b/>
                <w:bCs/>
                <w:sz w:val="20"/>
                <w:szCs w:val="20"/>
              </w:rPr>
              <w:t>Skutočnosť</w:t>
            </w:r>
          </w:p>
        </w:tc>
        <w:tc>
          <w:tcPr>
            <w:tcW w:w="0" w:type="auto"/>
            <w:shd w:val="clear" w:color="auto" w:fill="C2D69B"/>
            <w:vAlign w:val="center"/>
            <w:hideMark/>
          </w:tcPr>
          <w:p w14:paraId="4226F034" w14:textId="77777777" w:rsidR="005F6AF6" w:rsidRDefault="005F6AF6" w:rsidP="005F6AF6">
            <w:pPr>
              <w:spacing w:after="0"/>
              <w:jc w:val="center"/>
              <w:rPr>
                <w:sz w:val="24"/>
                <w:szCs w:val="24"/>
              </w:rPr>
            </w:pPr>
            <w:r>
              <w:rPr>
                <w:b/>
                <w:bCs/>
                <w:sz w:val="20"/>
                <w:szCs w:val="20"/>
              </w:rPr>
              <w:t>Plnenie</w:t>
            </w:r>
          </w:p>
        </w:tc>
        <w:tc>
          <w:tcPr>
            <w:tcW w:w="2000" w:type="pct"/>
            <w:shd w:val="clear" w:color="auto" w:fill="C2D69B"/>
            <w:vAlign w:val="center"/>
            <w:hideMark/>
          </w:tcPr>
          <w:p w14:paraId="6AD9C25F" w14:textId="77777777" w:rsidR="005F6AF6" w:rsidRDefault="005F6AF6" w:rsidP="005F6AF6">
            <w:pPr>
              <w:spacing w:after="0"/>
              <w:rPr>
                <w:sz w:val="24"/>
                <w:szCs w:val="24"/>
              </w:rPr>
            </w:pPr>
            <w:r>
              <w:rPr>
                <w:b/>
                <w:bCs/>
                <w:sz w:val="20"/>
                <w:szCs w:val="20"/>
              </w:rPr>
              <w:t>Poznámka</w:t>
            </w:r>
          </w:p>
        </w:tc>
      </w:tr>
      <w:tr w:rsidR="005F6AF6" w14:paraId="195A1A7F" w14:textId="77777777" w:rsidTr="005F6AF6">
        <w:trPr>
          <w:tblCellSpacing w:w="15" w:type="dxa"/>
        </w:trPr>
        <w:tc>
          <w:tcPr>
            <w:tcW w:w="0" w:type="auto"/>
            <w:shd w:val="clear" w:color="auto" w:fill="C2D69B"/>
            <w:vAlign w:val="center"/>
            <w:hideMark/>
          </w:tcPr>
          <w:p w14:paraId="620C4B8F" w14:textId="77777777" w:rsidR="005F6AF6" w:rsidRDefault="005F6AF6" w:rsidP="005F6AF6">
            <w:pPr>
              <w:spacing w:after="0"/>
              <w:jc w:val="center"/>
            </w:pPr>
            <w:r>
              <w:rPr>
                <w:sz w:val="20"/>
                <w:szCs w:val="20"/>
              </w:rPr>
              <w:t>2020</w:t>
            </w:r>
          </w:p>
        </w:tc>
        <w:tc>
          <w:tcPr>
            <w:tcW w:w="0" w:type="auto"/>
            <w:shd w:val="clear" w:color="auto" w:fill="C2D69B"/>
            <w:noWrap/>
            <w:vAlign w:val="center"/>
            <w:hideMark/>
          </w:tcPr>
          <w:p w14:paraId="0CBB9973" w14:textId="77777777" w:rsidR="005F6AF6" w:rsidRDefault="005F6AF6" w:rsidP="005F6AF6">
            <w:pPr>
              <w:spacing w:after="0"/>
              <w:jc w:val="center"/>
              <w:rPr>
                <w:sz w:val="24"/>
                <w:szCs w:val="24"/>
              </w:rPr>
            </w:pPr>
            <w:r>
              <w:rPr>
                <w:sz w:val="20"/>
                <w:szCs w:val="20"/>
              </w:rPr>
              <w:t> 518</w:t>
            </w:r>
          </w:p>
        </w:tc>
        <w:tc>
          <w:tcPr>
            <w:tcW w:w="0" w:type="auto"/>
            <w:shd w:val="clear" w:color="auto" w:fill="C2D69B"/>
            <w:noWrap/>
            <w:vAlign w:val="center"/>
            <w:hideMark/>
          </w:tcPr>
          <w:p w14:paraId="13FA84DB" w14:textId="77777777" w:rsidR="005F6AF6" w:rsidRDefault="005F6AF6" w:rsidP="005F6AF6">
            <w:pPr>
              <w:spacing w:after="0"/>
              <w:jc w:val="center"/>
              <w:rPr>
                <w:sz w:val="24"/>
                <w:szCs w:val="24"/>
              </w:rPr>
            </w:pPr>
            <w:r>
              <w:rPr>
                <w:sz w:val="20"/>
                <w:szCs w:val="20"/>
              </w:rPr>
              <w:t> 518</w:t>
            </w:r>
            <w:r>
              <w:t xml:space="preserve"> </w:t>
            </w:r>
          </w:p>
        </w:tc>
        <w:tc>
          <w:tcPr>
            <w:tcW w:w="0" w:type="auto"/>
            <w:shd w:val="clear" w:color="auto" w:fill="C2D69B"/>
            <w:vAlign w:val="center"/>
            <w:hideMark/>
          </w:tcPr>
          <w:p w14:paraId="0CC78241" w14:textId="77777777" w:rsidR="005F6AF6" w:rsidRDefault="005F6AF6" w:rsidP="005F6AF6">
            <w:pPr>
              <w:spacing w:after="0"/>
              <w:jc w:val="center"/>
              <w:rPr>
                <w:sz w:val="24"/>
                <w:szCs w:val="24"/>
              </w:rPr>
            </w:pPr>
            <w:r>
              <w:rPr>
                <w:sz w:val="20"/>
                <w:szCs w:val="20"/>
              </w:rPr>
              <w:t>Splnené</w:t>
            </w:r>
            <w:r>
              <w:t xml:space="preserve"> </w:t>
            </w:r>
          </w:p>
        </w:tc>
        <w:tc>
          <w:tcPr>
            <w:tcW w:w="0" w:type="auto"/>
            <w:shd w:val="clear" w:color="auto" w:fill="C2D69B"/>
            <w:vAlign w:val="center"/>
            <w:hideMark/>
          </w:tcPr>
          <w:p w14:paraId="5CDCB008" w14:textId="77777777" w:rsidR="005F6AF6" w:rsidRDefault="005F6AF6" w:rsidP="005F6AF6">
            <w:pPr>
              <w:spacing w:after="0"/>
              <w:rPr>
                <w:sz w:val="24"/>
                <w:szCs w:val="24"/>
              </w:rPr>
            </w:pPr>
          </w:p>
        </w:tc>
      </w:tr>
      <w:tr w:rsidR="005F6AF6" w14:paraId="0529C3D5" w14:textId="77777777" w:rsidTr="005F6AF6">
        <w:trPr>
          <w:tblCellSpacing w:w="15" w:type="dxa"/>
        </w:trPr>
        <w:tc>
          <w:tcPr>
            <w:tcW w:w="0" w:type="auto"/>
            <w:shd w:val="clear" w:color="auto" w:fill="C2D69B"/>
            <w:vAlign w:val="center"/>
            <w:hideMark/>
          </w:tcPr>
          <w:p w14:paraId="30B729B8" w14:textId="77777777" w:rsidR="005F6AF6" w:rsidRDefault="005F6AF6" w:rsidP="005F6AF6">
            <w:pPr>
              <w:spacing w:after="0"/>
              <w:rPr>
                <w:sz w:val="24"/>
                <w:szCs w:val="24"/>
              </w:rPr>
            </w:pPr>
            <w:r>
              <w:rPr>
                <w:b/>
                <w:bCs/>
                <w:sz w:val="20"/>
                <w:szCs w:val="20"/>
              </w:rPr>
              <w:t>Cieľ</w:t>
            </w:r>
          </w:p>
        </w:tc>
        <w:tc>
          <w:tcPr>
            <w:tcW w:w="0" w:type="auto"/>
            <w:gridSpan w:val="4"/>
            <w:shd w:val="clear" w:color="auto" w:fill="C2D69B"/>
            <w:vAlign w:val="center"/>
            <w:hideMark/>
          </w:tcPr>
          <w:p w14:paraId="7DC8386E" w14:textId="77777777" w:rsidR="005F6AF6" w:rsidRDefault="005F6AF6" w:rsidP="005F6AF6">
            <w:pPr>
              <w:spacing w:after="0"/>
              <w:rPr>
                <w:sz w:val="24"/>
                <w:szCs w:val="24"/>
              </w:rPr>
            </w:pPr>
            <w:r>
              <w:rPr>
                <w:sz w:val="20"/>
                <w:szCs w:val="20"/>
              </w:rPr>
              <w:t>Stabilizovanie technického stavu ciest</w:t>
            </w:r>
            <w:r>
              <w:t xml:space="preserve"> </w:t>
            </w:r>
          </w:p>
        </w:tc>
      </w:tr>
      <w:tr w:rsidR="005F6AF6" w14:paraId="13A74E1C" w14:textId="77777777" w:rsidTr="005F6AF6">
        <w:trPr>
          <w:tblCellSpacing w:w="15" w:type="dxa"/>
        </w:trPr>
        <w:tc>
          <w:tcPr>
            <w:tcW w:w="0" w:type="auto"/>
            <w:shd w:val="clear" w:color="auto" w:fill="C2D69B"/>
            <w:vAlign w:val="center"/>
            <w:hideMark/>
          </w:tcPr>
          <w:p w14:paraId="2E4A7D33" w14:textId="77777777" w:rsidR="005F6AF6" w:rsidRDefault="005F6AF6" w:rsidP="005F6AF6">
            <w:pPr>
              <w:spacing w:after="0"/>
              <w:rPr>
                <w:sz w:val="24"/>
                <w:szCs w:val="24"/>
              </w:rPr>
            </w:pPr>
            <w:r>
              <w:rPr>
                <w:b/>
                <w:bCs/>
                <w:sz w:val="20"/>
                <w:szCs w:val="20"/>
              </w:rPr>
              <w:t>Merateľný ukazovateľ</w:t>
            </w:r>
          </w:p>
        </w:tc>
        <w:tc>
          <w:tcPr>
            <w:tcW w:w="0" w:type="auto"/>
            <w:gridSpan w:val="4"/>
            <w:shd w:val="clear" w:color="auto" w:fill="C2D69B"/>
            <w:vAlign w:val="center"/>
            <w:hideMark/>
          </w:tcPr>
          <w:p w14:paraId="7AB1D78E" w14:textId="77777777" w:rsidR="005F6AF6" w:rsidRDefault="005F6AF6" w:rsidP="005F6AF6">
            <w:pPr>
              <w:spacing w:after="0"/>
              <w:rPr>
                <w:sz w:val="24"/>
                <w:szCs w:val="24"/>
              </w:rPr>
            </w:pPr>
            <w:r>
              <w:rPr>
                <w:sz w:val="20"/>
                <w:szCs w:val="20"/>
              </w:rPr>
              <w:t>Opravy frézovaním, položením nového asfaltového koberca v m2</w:t>
            </w:r>
            <w:r>
              <w:t xml:space="preserve"> </w:t>
            </w:r>
          </w:p>
        </w:tc>
      </w:tr>
      <w:tr w:rsidR="005F6AF6" w14:paraId="7868E63F" w14:textId="77777777" w:rsidTr="005F6AF6">
        <w:trPr>
          <w:tblCellSpacing w:w="15" w:type="dxa"/>
        </w:trPr>
        <w:tc>
          <w:tcPr>
            <w:tcW w:w="0" w:type="auto"/>
            <w:shd w:val="clear" w:color="auto" w:fill="C2D69B"/>
            <w:vAlign w:val="center"/>
            <w:hideMark/>
          </w:tcPr>
          <w:p w14:paraId="146C54D4" w14:textId="77777777" w:rsidR="005F6AF6" w:rsidRDefault="005F6AF6" w:rsidP="005F6AF6">
            <w:pPr>
              <w:spacing w:after="0"/>
              <w:jc w:val="center"/>
              <w:rPr>
                <w:sz w:val="24"/>
                <w:szCs w:val="24"/>
              </w:rPr>
            </w:pPr>
            <w:r>
              <w:rPr>
                <w:b/>
                <w:bCs/>
                <w:sz w:val="20"/>
                <w:szCs w:val="20"/>
              </w:rPr>
              <w:t>Rok</w:t>
            </w:r>
          </w:p>
        </w:tc>
        <w:tc>
          <w:tcPr>
            <w:tcW w:w="0" w:type="auto"/>
            <w:shd w:val="clear" w:color="auto" w:fill="C2D69B"/>
            <w:vAlign w:val="center"/>
            <w:hideMark/>
          </w:tcPr>
          <w:p w14:paraId="1AFEF587" w14:textId="77777777" w:rsidR="005F6AF6" w:rsidRDefault="005F6AF6" w:rsidP="005F6AF6">
            <w:pPr>
              <w:spacing w:after="0"/>
              <w:jc w:val="center"/>
              <w:rPr>
                <w:sz w:val="24"/>
                <w:szCs w:val="24"/>
              </w:rPr>
            </w:pPr>
            <w:r>
              <w:rPr>
                <w:b/>
                <w:bCs/>
                <w:sz w:val="20"/>
                <w:szCs w:val="20"/>
              </w:rPr>
              <w:t>Plán</w:t>
            </w:r>
          </w:p>
        </w:tc>
        <w:tc>
          <w:tcPr>
            <w:tcW w:w="0" w:type="auto"/>
            <w:shd w:val="clear" w:color="auto" w:fill="C2D69B"/>
            <w:vAlign w:val="center"/>
            <w:hideMark/>
          </w:tcPr>
          <w:p w14:paraId="421DEB79" w14:textId="77777777" w:rsidR="005F6AF6" w:rsidRDefault="005F6AF6" w:rsidP="005F6AF6">
            <w:pPr>
              <w:spacing w:after="0"/>
              <w:jc w:val="center"/>
              <w:rPr>
                <w:sz w:val="24"/>
                <w:szCs w:val="24"/>
              </w:rPr>
            </w:pPr>
            <w:r>
              <w:rPr>
                <w:b/>
                <w:bCs/>
                <w:sz w:val="20"/>
                <w:szCs w:val="20"/>
              </w:rPr>
              <w:t>Skutočnosť</w:t>
            </w:r>
          </w:p>
        </w:tc>
        <w:tc>
          <w:tcPr>
            <w:tcW w:w="0" w:type="auto"/>
            <w:shd w:val="clear" w:color="auto" w:fill="C2D69B"/>
            <w:vAlign w:val="center"/>
            <w:hideMark/>
          </w:tcPr>
          <w:p w14:paraId="10DF59FA" w14:textId="77777777" w:rsidR="005F6AF6" w:rsidRDefault="005F6AF6" w:rsidP="005F6AF6">
            <w:pPr>
              <w:spacing w:after="0"/>
              <w:jc w:val="center"/>
              <w:rPr>
                <w:sz w:val="24"/>
                <w:szCs w:val="24"/>
              </w:rPr>
            </w:pPr>
            <w:r>
              <w:rPr>
                <w:b/>
                <w:bCs/>
                <w:sz w:val="20"/>
                <w:szCs w:val="20"/>
              </w:rPr>
              <w:t>Plnenie</w:t>
            </w:r>
          </w:p>
        </w:tc>
        <w:tc>
          <w:tcPr>
            <w:tcW w:w="2000" w:type="pct"/>
            <w:shd w:val="clear" w:color="auto" w:fill="C2D69B"/>
            <w:vAlign w:val="center"/>
            <w:hideMark/>
          </w:tcPr>
          <w:p w14:paraId="638B7734" w14:textId="77777777" w:rsidR="005F6AF6" w:rsidRDefault="005F6AF6" w:rsidP="005F6AF6">
            <w:pPr>
              <w:spacing w:after="0"/>
              <w:rPr>
                <w:sz w:val="24"/>
                <w:szCs w:val="24"/>
              </w:rPr>
            </w:pPr>
            <w:r>
              <w:rPr>
                <w:b/>
                <w:bCs/>
                <w:sz w:val="20"/>
                <w:szCs w:val="20"/>
              </w:rPr>
              <w:t>Poznámka</w:t>
            </w:r>
          </w:p>
        </w:tc>
      </w:tr>
      <w:tr w:rsidR="005F6AF6" w14:paraId="41FA4684" w14:textId="77777777" w:rsidTr="005F6AF6">
        <w:trPr>
          <w:tblCellSpacing w:w="15" w:type="dxa"/>
        </w:trPr>
        <w:tc>
          <w:tcPr>
            <w:tcW w:w="0" w:type="auto"/>
            <w:shd w:val="clear" w:color="auto" w:fill="C2D69B"/>
            <w:vAlign w:val="center"/>
            <w:hideMark/>
          </w:tcPr>
          <w:p w14:paraId="6B55EF5A" w14:textId="77777777" w:rsidR="005F6AF6" w:rsidRDefault="005F6AF6" w:rsidP="005F6AF6">
            <w:pPr>
              <w:spacing w:after="0"/>
              <w:jc w:val="center"/>
              <w:rPr>
                <w:sz w:val="24"/>
                <w:szCs w:val="24"/>
              </w:rPr>
            </w:pPr>
            <w:r w:rsidRPr="01003ECD">
              <w:rPr>
                <w:sz w:val="20"/>
                <w:szCs w:val="20"/>
              </w:rPr>
              <w:t>20</w:t>
            </w:r>
            <w:r>
              <w:rPr>
                <w:sz w:val="20"/>
                <w:szCs w:val="20"/>
              </w:rPr>
              <w:t>20</w:t>
            </w:r>
          </w:p>
        </w:tc>
        <w:tc>
          <w:tcPr>
            <w:tcW w:w="0" w:type="auto"/>
            <w:shd w:val="clear" w:color="auto" w:fill="C2D69B"/>
            <w:noWrap/>
            <w:vAlign w:val="center"/>
            <w:hideMark/>
          </w:tcPr>
          <w:p w14:paraId="5ACC4242" w14:textId="77777777" w:rsidR="005F6AF6" w:rsidRDefault="005F6AF6" w:rsidP="005F6AF6">
            <w:pPr>
              <w:spacing w:after="0"/>
              <w:jc w:val="center"/>
              <w:rPr>
                <w:sz w:val="24"/>
                <w:szCs w:val="24"/>
              </w:rPr>
            </w:pPr>
            <w:r w:rsidRPr="00685DFD">
              <w:rPr>
                <w:sz w:val="20"/>
                <w:szCs w:val="20"/>
              </w:rPr>
              <w:t>9 000</w:t>
            </w:r>
          </w:p>
        </w:tc>
        <w:tc>
          <w:tcPr>
            <w:tcW w:w="0" w:type="auto"/>
            <w:shd w:val="clear" w:color="auto" w:fill="C2D69B"/>
            <w:noWrap/>
            <w:vAlign w:val="center"/>
            <w:hideMark/>
          </w:tcPr>
          <w:p w14:paraId="6916D3D6" w14:textId="77777777" w:rsidR="005F6AF6" w:rsidRDefault="005F6AF6" w:rsidP="005F6AF6">
            <w:pPr>
              <w:spacing w:after="0"/>
              <w:jc w:val="center"/>
              <w:rPr>
                <w:sz w:val="20"/>
                <w:szCs w:val="20"/>
              </w:rPr>
            </w:pPr>
            <w:r w:rsidRPr="2F7061BF">
              <w:rPr>
                <w:sz w:val="20"/>
                <w:szCs w:val="20"/>
              </w:rPr>
              <w:t> </w:t>
            </w:r>
            <w:r>
              <w:rPr>
                <w:sz w:val="20"/>
                <w:szCs w:val="20"/>
              </w:rPr>
              <w:t>0</w:t>
            </w:r>
            <w:r w:rsidRPr="2F7061BF">
              <w:rPr>
                <w:sz w:val="20"/>
                <w:szCs w:val="20"/>
              </w:rPr>
              <w:t xml:space="preserve"> </w:t>
            </w:r>
          </w:p>
        </w:tc>
        <w:tc>
          <w:tcPr>
            <w:tcW w:w="0" w:type="auto"/>
            <w:shd w:val="clear" w:color="auto" w:fill="C2D69B"/>
            <w:vAlign w:val="center"/>
            <w:hideMark/>
          </w:tcPr>
          <w:p w14:paraId="2BC9AE3B" w14:textId="77777777" w:rsidR="005F6AF6" w:rsidRDefault="005F6AF6" w:rsidP="005F6AF6">
            <w:pPr>
              <w:spacing w:after="0"/>
              <w:jc w:val="center"/>
              <w:rPr>
                <w:sz w:val="24"/>
                <w:szCs w:val="24"/>
              </w:rPr>
            </w:pPr>
            <w:r>
              <w:rPr>
                <w:sz w:val="20"/>
                <w:szCs w:val="20"/>
              </w:rPr>
              <w:t>Nesplnené</w:t>
            </w:r>
            <w:r>
              <w:t xml:space="preserve"> </w:t>
            </w:r>
          </w:p>
        </w:tc>
        <w:tc>
          <w:tcPr>
            <w:tcW w:w="0" w:type="auto"/>
            <w:shd w:val="clear" w:color="auto" w:fill="C2D69B"/>
            <w:vAlign w:val="center"/>
            <w:hideMark/>
          </w:tcPr>
          <w:p w14:paraId="732DE014" w14:textId="77777777" w:rsidR="005F6AF6" w:rsidRDefault="005F6AF6" w:rsidP="005F6AF6">
            <w:pPr>
              <w:spacing w:after="0"/>
              <w:rPr>
                <w:sz w:val="24"/>
                <w:szCs w:val="24"/>
              </w:rPr>
            </w:pPr>
          </w:p>
        </w:tc>
      </w:tr>
      <w:tr w:rsidR="005F6AF6" w14:paraId="1CD75935" w14:textId="77777777" w:rsidTr="005F6AF6">
        <w:trPr>
          <w:tblCellSpacing w:w="15" w:type="dxa"/>
        </w:trPr>
        <w:tc>
          <w:tcPr>
            <w:tcW w:w="0" w:type="auto"/>
            <w:shd w:val="clear" w:color="auto" w:fill="C2D69B"/>
            <w:vAlign w:val="center"/>
            <w:hideMark/>
          </w:tcPr>
          <w:p w14:paraId="39701B7B" w14:textId="77777777" w:rsidR="005F6AF6" w:rsidRDefault="005F6AF6" w:rsidP="005F6AF6">
            <w:pPr>
              <w:spacing w:after="0"/>
              <w:rPr>
                <w:sz w:val="24"/>
                <w:szCs w:val="24"/>
              </w:rPr>
            </w:pPr>
            <w:r>
              <w:rPr>
                <w:b/>
                <w:bCs/>
                <w:sz w:val="20"/>
                <w:szCs w:val="20"/>
              </w:rPr>
              <w:t>Merateľný ukazovateľ</w:t>
            </w:r>
          </w:p>
        </w:tc>
        <w:tc>
          <w:tcPr>
            <w:tcW w:w="0" w:type="auto"/>
            <w:gridSpan w:val="4"/>
            <w:shd w:val="clear" w:color="auto" w:fill="C2D69B"/>
            <w:vAlign w:val="center"/>
            <w:hideMark/>
          </w:tcPr>
          <w:p w14:paraId="1CDB1C3F" w14:textId="77777777" w:rsidR="005F6AF6" w:rsidRDefault="005F6AF6" w:rsidP="005F6AF6">
            <w:pPr>
              <w:spacing w:after="0"/>
              <w:rPr>
                <w:sz w:val="24"/>
                <w:szCs w:val="24"/>
              </w:rPr>
            </w:pPr>
            <w:r>
              <w:rPr>
                <w:sz w:val="20"/>
                <w:szCs w:val="20"/>
              </w:rPr>
              <w:t>Bezpečnosť chodcov a cestnej premávky</w:t>
            </w:r>
            <w:r>
              <w:t xml:space="preserve"> </w:t>
            </w:r>
          </w:p>
        </w:tc>
      </w:tr>
      <w:tr w:rsidR="005F6AF6" w14:paraId="0607038F" w14:textId="77777777" w:rsidTr="005F6AF6">
        <w:trPr>
          <w:tblCellSpacing w:w="15" w:type="dxa"/>
        </w:trPr>
        <w:tc>
          <w:tcPr>
            <w:tcW w:w="0" w:type="auto"/>
            <w:shd w:val="clear" w:color="auto" w:fill="C2D69B"/>
            <w:vAlign w:val="center"/>
            <w:hideMark/>
          </w:tcPr>
          <w:p w14:paraId="0C860233" w14:textId="77777777" w:rsidR="005F6AF6" w:rsidRDefault="005F6AF6" w:rsidP="005F6AF6">
            <w:pPr>
              <w:spacing w:after="0"/>
              <w:jc w:val="center"/>
              <w:rPr>
                <w:sz w:val="24"/>
                <w:szCs w:val="24"/>
              </w:rPr>
            </w:pPr>
            <w:r>
              <w:rPr>
                <w:b/>
                <w:bCs/>
                <w:sz w:val="20"/>
                <w:szCs w:val="20"/>
              </w:rPr>
              <w:t>Rok</w:t>
            </w:r>
          </w:p>
        </w:tc>
        <w:tc>
          <w:tcPr>
            <w:tcW w:w="0" w:type="auto"/>
            <w:shd w:val="clear" w:color="auto" w:fill="C2D69B"/>
            <w:vAlign w:val="center"/>
            <w:hideMark/>
          </w:tcPr>
          <w:p w14:paraId="0C0F1DFF" w14:textId="77777777" w:rsidR="005F6AF6" w:rsidRDefault="005F6AF6" w:rsidP="005F6AF6">
            <w:pPr>
              <w:spacing w:after="0"/>
              <w:jc w:val="center"/>
              <w:rPr>
                <w:sz w:val="24"/>
                <w:szCs w:val="24"/>
              </w:rPr>
            </w:pPr>
            <w:r>
              <w:rPr>
                <w:b/>
                <w:bCs/>
                <w:sz w:val="20"/>
                <w:szCs w:val="20"/>
              </w:rPr>
              <w:t>Plán</w:t>
            </w:r>
          </w:p>
        </w:tc>
        <w:tc>
          <w:tcPr>
            <w:tcW w:w="0" w:type="auto"/>
            <w:shd w:val="clear" w:color="auto" w:fill="C2D69B"/>
            <w:vAlign w:val="center"/>
            <w:hideMark/>
          </w:tcPr>
          <w:p w14:paraId="3AFE6D58" w14:textId="77777777" w:rsidR="005F6AF6" w:rsidRDefault="005F6AF6" w:rsidP="005F6AF6">
            <w:pPr>
              <w:spacing w:after="0"/>
              <w:jc w:val="center"/>
              <w:rPr>
                <w:sz w:val="24"/>
                <w:szCs w:val="24"/>
              </w:rPr>
            </w:pPr>
            <w:r>
              <w:rPr>
                <w:b/>
                <w:bCs/>
                <w:sz w:val="20"/>
                <w:szCs w:val="20"/>
              </w:rPr>
              <w:t>Skutočnosť</w:t>
            </w:r>
          </w:p>
        </w:tc>
        <w:tc>
          <w:tcPr>
            <w:tcW w:w="0" w:type="auto"/>
            <w:shd w:val="clear" w:color="auto" w:fill="C2D69B"/>
            <w:vAlign w:val="center"/>
            <w:hideMark/>
          </w:tcPr>
          <w:p w14:paraId="4DB59B2A" w14:textId="77777777" w:rsidR="005F6AF6" w:rsidRDefault="005F6AF6" w:rsidP="005F6AF6">
            <w:pPr>
              <w:spacing w:after="0"/>
              <w:jc w:val="center"/>
              <w:rPr>
                <w:sz w:val="24"/>
                <w:szCs w:val="24"/>
              </w:rPr>
            </w:pPr>
            <w:r>
              <w:rPr>
                <w:b/>
                <w:bCs/>
                <w:sz w:val="20"/>
                <w:szCs w:val="20"/>
              </w:rPr>
              <w:t>Plnenie</w:t>
            </w:r>
          </w:p>
        </w:tc>
        <w:tc>
          <w:tcPr>
            <w:tcW w:w="2000" w:type="pct"/>
            <w:shd w:val="clear" w:color="auto" w:fill="C2D69B"/>
            <w:vAlign w:val="center"/>
            <w:hideMark/>
          </w:tcPr>
          <w:p w14:paraId="4B0E7E10" w14:textId="77777777" w:rsidR="005F6AF6" w:rsidRDefault="005F6AF6" w:rsidP="005F6AF6">
            <w:pPr>
              <w:spacing w:after="0"/>
              <w:rPr>
                <w:sz w:val="24"/>
                <w:szCs w:val="24"/>
              </w:rPr>
            </w:pPr>
            <w:r>
              <w:rPr>
                <w:b/>
                <w:bCs/>
                <w:sz w:val="20"/>
                <w:szCs w:val="20"/>
              </w:rPr>
              <w:t>Poznámka</w:t>
            </w:r>
          </w:p>
        </w:tc>
      </w:tr>
      <w:tr w:rsidR="005F6AF6" w14:paraId="0498413C" w14:textId="77777777" w:rsidTr="005F6AF6">
        <w:trPr>
          <w:tblCellSpacing w:w="15" w:type="dxa"/>
        </w:trPr>
        <w:tc>
          <w:tcPr>
            <w:tcW w:w="0" w:type="auto"/>
            <w:shd w:val="clear" w:color="auto" w:fill="C2D69B"/>
            <w:vAlign w:val="center"/>
            <w:hideMark/>
          </w:tcPr>
          <w:p w14:paraId="56202CF6" w14:textId="77777777" w:rsidR="005F6AF6" w:rsidRDefault="005F6AF6" w:rsidP="005F6AF6">
            <w:pPr>
              <w:spacing w:after="0"/>
              <w:jc w:val="center"/>
              <w:rPr>
                <w:sz w:val="24"/>
                <w:szCs w:val="24"/>
              </w:rPr>
            </w:pPr>
            <w:r w:rsidRPr="01003ECD">
              <w:rPr>
                <w:sz w:val="20"/>
                <w:szCs w:val="20"/>
              </w:rPr>
              <w:t>20</w:t>
            </w:r>
            <w:r>
              <w:rPr>
                <w:sz w:val="20"/>
                <w:szCs w:val="20"/>
              </w:rPr>
              <w:t>20</w:t>
            </w:r>
          </w:p>
        </w:tc>
        <w:tc>
          <w:tcPr>
            <w:tcW w:w="0" w:type="auto"/>
            <w:shd w:val="clear" w:color="auto" w:fill="C2D69B"/>
            <w:noWrap/>
            <w:vAlign w:val="center"/>
            <w:hideMark/>
          </w:tcPr>
          <w:p w14:paraId="2B69B30F" w14:textId="77777777" w:rsidR="005F6AF6" w:rsidRDefault="005F6AF6" w:rsidP="005F6AF6">
            <w:pPr>
              <w:spacing w:after="0"/>
              <w:jc w:val="center"/>
              <w:rPr>
                <w:sz w:val="24"/>
                <w:szCs w:val="24"/>
              </w:rPr>
            </w:pPr>
            <w:r>
              <w:rPr>
                <w:sz w:val="20"/>
                <w:szCs w:val="20"/>
              </w:rPr>
              <w:t> </w:t>
            </w:r>
            <w:r w:rsidRPr="00685DFD">
              <w:rPr>
                <w:sz w:val="20"/>
                <w:szCs w:val="20"/>
              </w:rPr>
              <w:t>1</w:t>
            </w:r>
            <w:r>
              <w:rPr>
                <w:sz w:val="20"/>
                <w:szCs w:val="20"/>
              </w:rPr>
              <w:t>0</w:t>
            </w:r>
            <w:r>
              <w:t xml:space="preserve"> </w:t>
            </w:r>
          </w:p>
        </w:tc>
        <w:tc>
          <w:tcPr>
            <w:tcW w:w="0" w:type="auto"/>
            <w:shd w:val="clear" w:color="auto" w:fill="C2D69B"/>
            <w:noWrap/>
            <w:vAlign w:val="center"/>
            <w:hideMark/>
          </w:tcPr>
          <w:p w14:paraId="11070A30" w14:textId="77777777" w:rsidR="005F6AF6" w:rsidRDefault="005F6AF6" w:rsidP="005F6AF6">
            <w:pPr>
              <w:spacing w:after="0"/>
              <w:jc w:val="center"/>
              <w:rPr>
                <w:sz w:val="20"/>
                <w:szCs w:val="20"/>
              </w:rPr>
            </w:pPr>
            <w:r w:rsidRPr="2F7061BF">
              <w:rPr>
                <w:sz w:val="20"/>
                <w:szCs w:val="20"/>
              </w:rPr>
              <w:t> </w:t>
            </w:r>
            <w:r>
              <w:rPr>
                <w:sz w:val="20"/>
                <w:szCs w:val="20"/>
              </w:rPr>
              <w:t>0</w:t>
            </w:r>
          </w:p>
        </w:tc>
        <w:tc>
          <w:tcPr>
            <w:tcW w:w="0" w:type="auto"/>
            <w:shd w:val="clear" w:color="auto" w:fill="C2D69B"/>
            <w:vAlign w:val="center"/>
            <w:hideMark/>
          </w:tcPr>
          <w:p w14:paraId="561E8EB4" w14:textId="77777777" w:rsidR="005F6AF6" w:rsidRDefault="005F6AF6" w:rsidP="005F6AF6">
            <w:pPr>
              <w:spacing w:after="0"/>
              <w:jc w:val="center"/>
              <w:rPr>
                <w:sz w:val="24"/>
                <w:szCs w:val="24"/>
              </w:rPr>
            </w:pPr>
            <w:r>
              <w:rPr>
                <w:sz w:val="20"/>
                <w:szCs w:val="20"/>
              </w:rPr>
              <w:t xml:space="preserve">Nesplnené </w:t>
            </w:r>
          </w:p>
        </w:tc>
        <w:tc>
          <w:tcPr>
            <w:tcW w:w="0" w:type="auto"/>
            <w:shd w:val="clear" w:color="auto" w:fill="C2D69B"/>
            <w:vAlign w:val="center"/>
            <w:hideMark/>
          </w:tcPr>
          <w:p w14:paraId="6D55833A" w14:textId="77777777" w:rsidR="005F6AF6" w:rsidRDefault="005F6AF6" w:rsidP="005F6AF6">
            <w:pPr>
              <w:spacing w:after="0"/>
              <w:rPr>
                <w:sz w:val="24"/>
                <w:szCs w:val="24"/>
              </w:rPr>
            </w:pPr>
          </w:p>
        </w:tc>
      </w:tr>
      <w:tr w:rsidR="005F6AF6" w14:paraId="77904BCB" w14:textId="77777777" w:rsidTr="005F6AF6">
        <w:trPr>
          <w:tblCellSpacing w:w="15" w:type="dxa"/>
        </w:trPr>
        <w:tc>
          <w:tcPr>
            <w:tcW w:w="0" w:type="auto"/>
            <w:shd w:val="clear" w:color="auto" w:fill="C2D69B"/>
            <w:vAlign w:val="center"/>
            <w:hideMark/>
          </w:tcPr>
          <w:p w14:paraId="600B4355" w14:textId="77777777" w:rsidR="005F6AF6" w:rsidRDefault="005F6AF6" w:rsidP="005F6AF6">
            <w:pPr>
              <w:spacing w:after="0"/>
              <w:rPr>
                <w:sz w:val="24"/>
                <w:szCs w:val="24"/>
              </w:rPr>
            </w:pPr>
            <w:r>
              <w:rPr>
                <w:b/>
                <w:bCs/>
                <w:sz w:val="20"/>
                <w:szCs w:val="20"/>
              </w:rPr>
              <w:t>Cieľ</w:t>
            </w:r>
          </w:p>
        </w:tc>
        <w:tc>
          <w:tcPr>
            <w:tcW w:w="0" w:type="auto"/>
            <w:gridSpan w:val="4"/>
            <w:shd w:val="clear" w:color="auto" w:fill="C2D69B"/>
            <w:vAlign w:val="center"/>
            <w:hideMark/>
          </w:tcPr>
          <w:p w14:paraId="2B22F7FC" w14:textId="77777777" w:rsidR="005F6AF6" w:rsidRDefault="005F6AF6" w:rsidP="005F6AF6">
            <w:pPr>
              <w:spacing w:after="0"/>
              <w:rPr>
                <w:sz w:val="24"/>
                <w:szCs w:val="24"/>
              </w:rPr>
            </w:pPr>
            <w:r>
              <w:rPr>
                <w:sz w:val="20"/>
                <w:szCs w:val="20"/>
              </w:rPr>
              <w:t>Výstavba nových komunikácií</w:t>
            </w:r>
            <w:r>
              <w:t xml:space="preserve"> </w:t>
            </w:r>
          </w:p>
        </w:tc>
      </w:tr>
      <w:tr w:rsidR="005F6AF6" w14:paraId="44966B49" w14:textId="77777777" w:rsidTr="005F6AF6">
        <w:trPr>
          <w:tblCellSpacing w:w="15" w:type="dxa"/>
        </w:trPr>
        <w:tc>
          <w:tcPr>
            <w:tcW w:w="0" w:type="auto"/>
            <w:shd w:val="clear" w:color="auto" w:fill="C2D69B"/>
            <w:vAlign w:val="center"/>
            <w:hideMark/>
          </w:tcPr>
          <w:p w14:paraId="75B8B55C" w14:textId="77777777" w:rsidR="005F6AF6" w:rsidRDefault="005F6AF6" w:rsidP="005F6AF6">
            <w:pPr>
              <w:spacing w:after="0"/>
              <w:rPr>
                <w:sz w:val="24"/>
                <w:szCs w:val="24"/>
              </w:rPr>
            </w:pPr>
            <w:r>
              <w:rPr>
                <w:b/>
                <w:bCs/>
                <w:sz w:val="20"/>
                <w:szCs w:val="20"/>
              </w:rPr>
              <w:t>Merateľný ukazovateľ</w:t>
            </w:r>
          </w:p>
        </w:tc>
        <w:tc>
          <w:tcPr>
            <w:tcW w:w="0" w:type="auto"/>
            <w:gridSpan w:val="4"/>
            <w:shd w:val="clear" w:color="auto" w:fill="C2D69B"/>
            <w:vAlign w:val="center"/>
            <w:hideMark/>
          </w:tcPr>
          <w:p w14:paraId="4A128C1F" w14:textId="77777777" w:rsidR="005F6AF6" w:rsidRDefault="005F6AF6" w:rsidP="005F6AF6">
            <w:pPr>
              <w:spacing w:after="0"/>
              <w:rPr>
                <w:sz w:val="24"/>
                <w:szCs w:val="24"/>
              </w:rPr>
            </w:pPr>
            <w:r>
              <w:rPr>
                <w:sz w:val="20"/>
                <w:szCs w:val="20"/>
              </w:rPr>
              <w:t>Príprava/realizácia v m2 nových ciest v BSK</w:t>
            </w:r>
            <w:r>
              <w:t xml:space="preserve"> </w:t>
            </w:r>
          </w:p>
        </w:tc>
      </w:tr>
      <w:tr w:rsidR="005F6AF6" w14:paraId="6E8B2F25" w14:textId="77777777" w:rsidTr="005F6AF6">
        <w:trPr>
          <w:tblCellSpacing w:w="15" w:type="dxa"/>
        </w:trPr>
        <w:tc>
          <w:tcPr>
            <w:tcW w:w="0" w:type="auto"/>
            <w:shd w:val="clear" w:color="auto" w:fill="C2D69B"/>
            <w:vAlign w:val="center"/>
            <w:hideMark/>
          </w:tcPr>
          <w:p w14:paraId="599EAA2E" w14:textId="77777777" w:rsidR="005F6AF6" w:rsidRDefault="005F6AF6" w:rsidP="005F6AF6">
            <w:pPr>
              <w:spacing w:after="0"/>
              <w:jc w:val="center"/>
              <w:rPr>
                <w:sz w:val="24"/>
                <w:szCs w:val="24"/>
              </w:rPr>
            </w:pPr>
            <w:r>
              <w:rPr>
                <w:b/>
                <w:bCs/>
                <w:sz w:val="20"/>
                <w:szCs w:val="20"/>
              </w:rPr>
              <w:t>Rok</w:t>
            </w:r>
          </w:p>
        </w:tc>
        <w:tc>
          <w:tcPr>
            <w:tcW w:w="0" w:type="auto"/>
            <w:shd w:val="clear" w:color="auto" w:fill="C2D69B"/>
            <w:vAlign w:val="center"/>
            <w:hideMark/>
          </w:tcPr>
          <w:p w14:paraId="36F39EAC" w14:textId="77777777" w:rsidR="005F6AF6" w:rsidRDefault="005F6AF6" w:rsidP="005F6AF6">
            <w:pPr>
              <w:spacing w:after="0"/>
              <w:jc w:val="center"/>
              <w:rPr>
                <w:sz w:val="24"/>
                <w:szCs w:val="24"/>
              </w:rPr>
            </w:pPr>
            <w:r>
              <w:rPr>
                <w:b/>
                <w:bCs/>
                <w:sz w:val="20"/>
                <w:szCs w:val="20"/>
              </w:rPr>
              <w:t>Plán</w:t>
            </w:r>
          </w:p>
        </w:tc>
        <w:tc>
          <w:tcPr>
            <w:tcW w:w="0" w:type="auto"/>
            <w:shd w:val="clear" w:color="auto" w:fill="C2D69B"/>
            <w:vAlign w:val="center"/>
            <w:hideMark/>
          </w:tcPr>
          <w:p w14:paraId="3B1AFEE8" w14:textId="77777777" w:rsidR="005F6AF6" w:rsidRDefault="005F6AF6" w:rsidP="005F6AF6">
            <w:pPr>
              <w:spacing w:after="0"/>
              <w:jc w:val="center"/>
              <w:rPr>
                <w:sz w:val="24"/>
                <w:szCs w:val="24"/>
              </w:rPr>
            </w:pPr>
            <w:r>
              <w:rPr>
                <w:b/>
                <w:bCs/>
                <w:sz w:val="20"/>
                <w:szCs w:val="20"/>
              </w:rPr>
              <w:t>Skutočnosť</w:t>
            </w:r>
          </w:p>
        </w:tc>
        <w:tc>
          <w:tcPr>
            <w:tcW w:w="0" w:type="auto"/>
            <w:shd w:val="clear" w:color="auto" w:fill="C2D69B"/>
            <w:vAlign w:val="center"/>
            <w:hideMark/>
          </w:tcPr>
          <w:p w14:paraId="15B1DCA1" w14:textId="77777777" w:rsidR="005F6AF6" w:rsidRDefault="005F6AF6" w:rsidP="005F6AF6">
            <w:pPr>
              <w:spacing w:after="0"/>
              <w:jc w:val="center"/>
              <w:rPr>
                <w:sz w:val="24"/>
                <w:szCs w:val="24"/>
              </w:rPr>
            </w:pPr>
            <w:r>
              <w:rPr>
                <w:b/>
                <w:bCs/>
                <w:sz w:val="20"/>
                <w:szCs w:val="20"/>
              </w:rPr>
              <w:t>Plnenie</w:t>
            </w:r>
          </w:p>
        </w:tc>
        <w:tc>
          <w:tcPr>
            <w:tcW w:w="2000" w:type="pct"/>
            <w:shd w:val="clear" w:color="auto" w:fill="C2D69B"/>
            <w:vAlign w:val="center"/>
            <w:hideMark/>
          </w:tcPr>
          <w:p w14:paraId="6369D7DD" w14:textId="77777777" w:rsidR="005F6AF6" w:rsidRDefault="005F6AF6" w:rsidP="005F6AF6">
            <w:pPr>
              <w:spacing w:after="0"/>
              <w:rPr>
                <w:sz w:val="24"/>
                <w:szCs w:val="24"/>
              </w:rPr>
            </w:pPr>
            <w:r>
              <w:rPr>
                <w:b/>
                <w:bCs/>
                <w:sz w:val="20"/>
                <w:szCs w:val="20"/>
              </w:rPr>
              <w:t>Poznámka</w:t>
            </w:r>
          </w:p>
        </w:tc>
      </w:tr>
      <w:tr w:rsidR="005F6AF6" w14:paraId="3A2EF06A" w14:textId="77777777" w:rsidTr="005F6AF6">
        <w:trPr>
          <w:tblCellSpacing w:w="15" w:type="dxa"/>
        </w:trPr>
        <w:tc>
          <w:tcPr>
            <w:tcW w:w="0" w:type="auto"/>
            <w:shd w:val="clear" w:color="auto" w:fill="C2D69B"/>
            <w:vAlign w:val="center"/>
            <w:hideMark/>
          </w:tcPr>
          <w:p w14:paraId="6C9C93ED" w14:textId="77777777" w:rsidR="005F6AF6" w:rsidRDefault="005F6AF6" w:rsidP="005F6AF6">
            <w:pPr>
              <w:spacing w:after="0"/>
              <w:jc w:val="center"/>
              <w:rPr>
                <w:sz w:val="24"/>
                <w:szCs w:val="24"/>
              </w:rPr>
            </w:pPr>
            <w:r w:rsidRPr="01003ECD">
              <w:rPr>
                <w:sz w:val="20"/>
                <w:szCs w:val="20"/>
              </w:rPr>
              <w:t>20</w:t>
            </w:r>
            <w:r>
              <w:rPr>
                <w:sz w:val="20"/>
                <w:szCs w:val="20"/>
              </w:rPr>
              <w:t>20</w:t>
            </w:r>
          </w:p>
        </w:tc>
        <w:tc>
          <w:tcPr>
            <w:tcW w:w="0" w:type="auto"/>
            <w:shd w:val="clear" w:color="auto" w:fill="C2D69B"/>
            <w:noWrap/>
            <w:vAlign w:val="center"/>
            <w:hideMark/>
          </w:tcPr>
          <w:p w14:paraId="4DE3E41B" w14:textId="77777777" w:rsidR="005F6AF6" w:rsidRDefault="005F6AF6" w:rsidP="005F6AF6">
            <w:pPr>
              <w:spacing w:after="0"/>
              <w:jc w:val="center"/>
              <w:rPr>
                <w:sz w:val="24"/>
                <w:szCs w:val="24"/>
              </w:rPr>
            </w:pPr>
            <w:r>
              <w:rPr>
                <w:sz w:val="20"/>
                <w:szCs w:val="20"/>
              </w:rPr>
              <w:t> 35 500</w:t>
            </w:r>
            <w:r>
              <w:t xml:space="preserve"> </w:t>
            </w:r>
          </w:p>
        </w:tc>
        <w:tc>
          <w:tcPr>
            <w:tcW w:w="0" w:type="auto"/>
            <w:shd w:val="clear" w:color="auto" w:fill="C2D69B"/>
            <w:noWrap/>
            <w:vAlign w:val="center"/>
            <w:hideMark/>
          </w:tcPr>
          <w:p w14:paraId="3AB2C723" w14:textId="77777777" w:rsidR="005F6AF6" w:rsidRDefault="005F6AF6" w:rsidP="005F6AF6">
            <w:pPr>
              <w:spacing w:after="0"/>
              <w:jc w:val="center"/>
              <w:rPr>
                <w:sz w:val="20"/>
                <w:szCs w:val="20"/>
              </w:rPr>
            </w:pPr>
            <w:r w:rsidRPr="2F7061BF">
              <w:rPr>
                <w:sz w:val="20"/>
                <w:szCs w:val="20"/>
              </w:rPr>
              <w:t xml:space="preserve"> 66 300 </w:t>
            </w:r>
          </w:p>
        </w:tc>
        <w:tc>
          <w:tcPr>
            <w:tcW w:w="0" w:type="auto"/>
            <w:shd w:val="clear" w:color="auto" w:fill="C2D69B"/>
            <w:vAlign w:val="center"/>
            <w:hideMark/>
          </w:tcPr>
          <w:p w14:paraId="778E4FB2" w14:textId="77777777" w:rsidR="005F6AF6" w:rsidRDefault="005F6AF6" w:rsidP="005F6AF6">
            <w:pPr>
              <w:spacing w:after="0"/>
              <w:jc w:val="center"/>
            </w:pPr>
            <w:r w:rsidRPr="2F7061BF">
              <w:rPr>
                <w:sz w:val="20"/>
                <w:szCs w:val="20"/>
              </w:rPr>
              <w:t xml:space="preserve">Splnené </w:t>
            </w:r>
          </w:p>
        </w:tc>
        <w:tc>
          <w:tcPr>
            <w:tcW w:w="0" w:type="auto"/>
            <w:shd w:val="clear" w:color="auto" w:fill="C2D69B"/>
            <w:vAlign w:val="center"/>
            <w:hideMark/>
          </w:tcPr>
          <w:p w14:paraId="29945288" w14:textId="77777777" w:rsidR="005F6AF6" w:rsidRDefault="005F6AF6" w:rsidP="005F6AF6">
            <w:pPr>
              <w:spacing w:after="0"/>
              <w:rPr>
                <w:sz w:val="20"/>
                <w:szCs w:val="20"/>
              </w:rPr>
            </w:pPr>
          </w:p>
        </w:tc>
      </w:tr>
    </w:tbl>
    <w:p w14:paraId="35C9F783" w14:textId="77777777" w:rsidR="005F6AF6" w:rsidRDefault="005F6AF6" w:rsidP="005F6AF6">
      <w:pPr>
        <w:pStyle w:val="Normlnywebov"/>
        <w:jc w:val="both"/>
        <w:rPr>
          <w:rFonts w:asciiTheme="minorHAnsi" w:hAnsiTheme="minorHAnsi"/>
          <w:b/>
          <w:bCs/>
          <w:sz w:val="22"/>
          <w:szCs w:val="22"/>
        </w:rPr>
      </w:pPr>
    </w:p>
    <w:p w14:paraId="202930BD" w14:textId="77777777" w:rsidR="005F6AF6" w:rsidRDefault="005F6AF6" w:rsidP="005F6AF6">
      <w:pPr>
        <w:jc w:val="both"/>
        <w:rPr>
          <w:rFonts w:eastAsiaTheme="minorEastAsia"/>
          <w:color w:val="000000" w:themeColor="text1"/>
        </w:rPr>
      </w:pPr>
      <w:proofErr w:type="spellStart"/>
      <w:r w:rsidRPr="005F6AF6">
        <w:rPr>
          <w:rFonts w:eastAsiaTheme="minorEastAsia"/>
          <w:b/>
          <w:bCs/>
          <w:color w:val="000000" w:themeColor="text1"/>
          <w:lang w:val="en-US"/>
        </w:rPr>
        <w:t>Komentár</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Cieľom</w:t>
      </w:r>
      <w:proofErr w:type="spellEnd"/>
      <w:r w:rsidRPr="2F7061BF">
        <w:rPr>
          <w:rFonts w:eastAsiaTheme="minorEastAsia"/>
          <w:color w:val="000000" w:themeColor="text1"/>
          <w:lang w:val="en-US"/>
        </w:rPr>
        <w:t xml:space="preserve"> bolo </w:t>
      </w:r>
      <w:proofErr w:type="spellStart"/>
      <w:r w:rsidRPr="2F7061BF">
        <w:rPr>
          <w:rFonts w:eastAsiaTheme="minorEastAsia"/>
          <w:color w:val="000000" w:themeColor="text1"/>
          <w:lang w:val="en-US"/>
        </w:rPr>
        <w:t>zabezpečenie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zjazdnosti</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bezpečnosti</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premávky</w:t>
      </w:r>
      <w:proofErr w:type="spellEnd"/>
      <w:r w:rsidRPr="2F7061BF">
        <w:rPr>
          <w:rFonts w:eastAsiaTheme="minorEastAsia"/>
          <w:color w:val="000000" w:themeColor="text1"/>
          <w:lang w:val="en-US"/>
        </w:rPr>
        <w:t xml:space="preserve"> v </w:t>
      </w:r>
      <w:proofErr w:type="spellStart"/>
      <w:r w:rsidRPr="2F7061BF">
        <w:rPr>
          <w:rFonts w:eastAsiaTheme="minorEastAsia"/>
          <w:color w:val="000000" w:themeColor="text1"/>
          <w:lang w:val="en-US"/>
        </w:rPr>
        <w:t>roku</w:t>
      </w:r>
      <w:proofErr w:type="spellEnd"/>
      <w:r w:rsidRPr="2F7061BF">
        <w:rPr>
          <w:rFonts w:eastAsiaTheme="minorEastAsia"/>
          <w:color w:val="000000" w:themeColor="text1"/>
          <w:lang w:val="en-US"/>
        </w:rPr>
        <w:t xml:space="preserve"> 20</w:t>
      </w:r>
      <w:r>
        <w:rPr>
          <w:rFonts w:eastAsiaTheme="minorEastAsia"/>
          <w:color w:val="000000" w:themeColor="text1"/>
          <w:lang w:val="en-US"/>
        </w:rPr>
        <w:t>20</w:t>
      </w:r>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všetkých</w:t>
      </w:r>
      <w:proofErr w:type="spellEnd"/>
      <w:r w:rsidRPr="2F7061BF">
        <w:rPr>
          <w:rFonts w:eastAsiaTheme="minorEastAsia"/>
          <w:color w:val="000000" w:themeColor="text1"/>
          <w:lang w:val="en-US"/>
        </w:rPr>
        <w:t xml:space="preserve"> 518 </w:t>
      </w:r>
      <w:proofErr w:type="spellStart"/>
      <w:r w:rsidRPr="2F7061BF">
        <w:rPr>
          <w:rFonts w:eastAsiaTheme="minorEastAsia"/>
          <w:color w:val="000000" w:themeColor="text1"/>
          <w:lang w:val="en-US"/>
        </w:rPr>
        <w:t>kilometroch</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komunikácií</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druhej</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tretej</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triedy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vlastníctve</w:t>
      </w:r>
      <w:proofErr w:type="spellEnd"/>
      <w:r w:rsidRPr="2F7061BF">
        <w:rPr>
          <w:rFonts w:eastAsiaTheme="minorEastAsia"/>
          <w:color w:val="000000" w:themeColor="text1"/>
          <w:lang w:val="en-US"/>
        </w:rPr>
        <w:t xml:space="preserve"> BSK. </w:t>
      </w:r>
      <w:proofErr w:type="spellStart"/>
      <w:r w:rsidRPr="2F7061BF">
        <w:rPr>
          <w:rFonts w:eastAsiaTheme="minorEastAsia"/>
          <w:color w:val="000000" w:themeColor="text1"/>
          <w:lang w:val="en-US"/>
        </w:rPr>
        <w:t>Vykonávanie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bežnej</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zimnej</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údržby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ciest</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zabezpečoval</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správca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komunikácií</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Regionálne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cesty</w:t>
      </w:r>
      <w:proofErr w:type="spellEnd"/>
      <w:r w:rsidRPr="2F7061BF">
        <w:rPr>
          <w:rFonts w:eastAsiaTheme="minorEastAsia"/>
          <w:color w:val="000000" w:themeColor="text1"/>
          <w:lang w:val="en-US"/>
        </w:rPr>
        <w:t xml:space="preserve"> Bratislava, </w:t>
      </w:r>
      <w:proofErr w:type="spellStart"/>
      <w:r w:rsidRPr="2F7061BF">
        <w:rPr>
          <w:rFonts w:eastAsiaTheme="minorEastAsia"/>
          <w:color w:val="000000" w:themeColor="text1"/>
          <w:lang w:val="en-US"/>
        </w:rPr>
        <w:t>a.s.</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organizácia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poverená</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výkonom</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údržby</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správy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ciest</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základe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Zmluvy</w:t>
      </w:r>
      <w:proofErr w:type="spellEnd"/>
      <w:r w:rsidRPr="2F7061BF">
        <w:rPr>
          <w:rFonts w:eastAsiaTheme="minorEastAsia"/>
          <w:color w:val="000000" w:themeColor="text1"/>
          <w:lang w:val="en-US"/>
        </w:rPr>
        <w:t xml:space="preserve"> o </w:t>
      </w:r>
      <w:proofErr w:type="spellStart"/>
      <w:r w:rsidRPr="2F7061BF">
        <w:rPr>
          <w:rFonts w:eastAsiaTheme="minorEastAsia"/>
          <w:color w:val="000000" w:themeColor="text1"/>
          <w:lang w:val="en-US"/>
        </w:rPr>
        <w:t>výkone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správy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majetku</w:t>
      </w:r>
      <w:proofErr w:type="spellEnd"/>
      <w:r w:rsidRPr="2F7061BF">
        <w:rPr>
          <w:rFonts w:eastAsiaTheme="minorEastAsia"/>
          <w:color w:val="000000" w:themeColor="text1"/>
          <w:lang w:val="en-US"/>
        </w:rPr>
        <w:t xml:space="preserve"> a o </w:t>
      </w:r>
      <w:proofErr w:type="spellStart"/>
      <w:r w:rsidRPr="2F7061BF">
        <w:rPr>
          <w:rFonts w:eastAsiaTheme="minorEastAsia"/>
          <w:color w:val="000000" w:themeColor="text1"/>
          <w:lang w:val="en-US"/>
        </w:rPr>
        <w:t>údržbe</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rekonštrukcii</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ciest</w:t>
      </w:r>
      <w:proofErr w:type="spellEnd"/>
      <w:r w:rsidRPr="2F7061BF">
        <w:rPr>
          <w:rFonts w:eastAsiaTheme="minorEastAsia"/>
          <w:color w:val="000000" w:themeColor="text1"/>
          <w:lang w:val="en-US"/>
        </w:rPr>
        <w:t xml:space="preserve"> II a III. </w:t>
      </w:r>
      <w:proofErr w:type="spellStart"/>
      <w:r w:rsidRPr="2F7061BF">
        <w:rPr>
          <w:rFonts w:eastAsiaTheme="minorEastAsia"/>
          <w:color w:val="000000" w:themeColor="text1"/>
          <w:lang w:val="en-US"/>
        </w:rPr>
        <w:t>triedy</w:t>
      </w:r>
      <w:proofErr w:type="spellEnd"/>
      <w:r w:rsidRPr="2F7061BF">
        <w:rPr>
          <w:rFonts w:eastAsiaTheme="minorEastAsia"/>
          <w:color w:val="000000" w:themeColor="text1"/>
          <w:lang w:val="en-US"/>
        </w:rPr>
        <w:t xml:space="preserve">". Pod </w:t>
      </w:r>
      <w:proofErr w:type="spellStart"/>
      <w:r w:rsidRPr="2F7061BF">
        <w:rPr>
          <w:rFonts w:eastAsiaTheme="minorEastAsia"/>
          <w:color w:val="000000" w:themeColor="text1"/>
          <w:lang w:val="en-US"/>
        </w:rPr>
        <w:t>bežnou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údržbou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rozumie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všetka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činnosť</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správcu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zabezpečenie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zjazdnosti</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ciest</w:t>
      </w:r>
      <w:proofErr w:type="spellEnd"/>
      <w:r w:rsidRPr="2F7061BF">
        <w:rPr>
          <w:rFonts w:eastAsiaTheme="minorEastAsia"/>
          <w:color w:val="000000" w:themeColor="text1"/>
          <w:lang w:val="en-US"/>
        </w:rPr>
        <w:t xml:space="preserve"> II. </w:t>
      </w:r>
      <w:proofErr w:type="spellStart"/>
      <w:r w:rsidRPr="2F7061BF">
        <w:rPr>
          <w:rFonts w:eastAsiaTheme="minorEastAsia"/>
          <w:color w:val="000000" w:themeColor="text1"/>
          <w:lang w:val="en-US"/>
        </w:rPr>
        <w:t>a</w:t>
      </w:r>
      <w:proofErr w:type="spellEnd"/>
      <w:r w:rsidRPr="2F7061BF">
        <w:rPr>
          <w:rFonts w:eastAsiaTheme="minorEastAsia"/>
          <w:color w:val="000000" w:themeColor="text1"/>
          <w:lang w:val="en-US"/>
        </w:rPr>
        <w:t xml:space="preserve"> III. </w:t>
      </w:r>
      <w:proofErr w:type="spellStart"/>
      <w:r w:rsidRPr="2F7061BF">
        <w:rPr>
          <w:rFonts w:eastAsiaTheme="minorEastAsia"/>
          <w:color w:val="000000" w:themeColor="text1"/>
          <w:lang w:val="en-US"/>
        </w:rPr>
        <w:t>triedy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počas</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celého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roka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bežné</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opravy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vozovky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oprava</w:t>
      </w:r>
      <w:proofErr w:type="spellEnd"/>
      <w:r w:rsidRPr="2F7061BF">
        <w:rPr>
          <w:rFonts w:eastAsiaTheme="minorEastAsia"/>
          <w:color w:val="000000" w:themeColor="text1"/>
          <w:lang w:val="en-US"/>
        </w:rPr>
        <w:t xml:space="preserve"> </w:t>
      </w:r>
      <w:proofErr w:type="gramStart"/>
      <w:r w:rsidRPr="2F7061BF">
        <w:rPr>
          <w:rFonts w:eastAsiaTheme="minorEastAsia"/>
          <w:color w:val="000000" w:themeColor="text1"/>
          <w:lang w:val="en-US"/>
        </w:rPr>
        <w:t>a</w:t>
      </w:r>
      <w:proofErr w:type="gram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obnova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vodorovného</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zvislého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dopravného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značenia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kosenie</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postreky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priľahlých</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pozemkov</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čistenie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priekop</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rigolov</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krajníc</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výrez</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krov</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stromov</w:t>
      </w:r>
      <w:proofErr w:type="spellEnd"/>
      <w:r w:rsidRPr="2F7061BF">
        <w:rPr>
          <w:rFonts w:eastAsiaTheme="minorEastAsia"/>
          <w:color w:val="000000" w:themeColor="text1"/>
          <w:lang w:val="en-US"/>
        </w:rPr>
        <w:t xml:space="preserve"> a ich </w:t>
      </w:r>
      <w:proofErr w:type="spellStart"/>
      <w:r w:rsidRPr="2F7061BF">
        <w:rPr>
          <w:rFonts w:eastAsiaTheme="minorEastAsia"/>
          <w:color w:val="000000" w:themeColor="text1"/>
          <w:lang w:val="en-US"/>
        </w:rPr>
        <w:t>likvidácia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odpratávanie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cestných</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prekážok</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čistenie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ciest</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priľahlých</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pozemkov</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výkon</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správy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atď</w:t>
      </w:r>
      <w:proofErr w:type="spellEnd"/>
      <w:r w:rsidRPr="2F7061BF">
        <w:rPr>
          <w:rFonts w:eastAsiaTheme="minorEastAsia"/>
          <w:color w:val="000000" w:themeColor="text1"/>
          <w:lang w:val="en-US"/>
        </w:rPr>
        <w:t xml:space="preserve">.), s </w:t>
      </w:r>
      <w:proofErr w:type="spellStart"/>
      <w:r w:rsidRPr="2F7061BF">
        <w:rPr>
          <w:rFonts w:eastAsiaTheme="minorEastAsia"/>
          <w:color w:val="000000" w:themeColor="text1"/>
          <w:lang w:val="en-US"/>
        </w:rPr>
        <w:t>výnimkou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mimoriadnych</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udalostí</w:t>
      </w:r>
      <w:proofErr w:type="spellEnd"/>
      <w:r w:rsidRPr="2F7061BF">
        <w:rPr>
          <w:rFonts w:eastAsiaTheme="minorEastAsia"/>
          <w:color w:val="000000" w:themeColor="text1"/>
          <w:lang w:val="en-US"/>
        </w:rPr>
        <w:t xml:space="preserve">. Pod </w:t>
      </w:r>
      <w:proofErr w:type="spellStart"/>
      <w:r w:rsidRPr="2F7061BF">
        <w:rPr>
          <w:rFonts w:eastAsiaTheme="minorEastAsia"/>
          <w:color w:val="000000" w:themeColor="text1"/>
          <w:lang w:val="en-US"/>
        </w:rPr>
        <w:t>zimnou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údržbou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rozumie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činnosť</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správcu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zabezpečenie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zjazdnosti</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ciest</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posyp</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zľadovateného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povrchu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vozovky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odhŕňanie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snehu</w:t>
      </w:r>
      <w:proofErr w:type="spellEnd"/>
      <w:r w:rsidRPr="2F7061BF">
        <w:rPr>
          <w:rFonts w:eastAsiaTheme="minorEastAsia"/>
          <w:color w:val="000000" w:themeColor="text1"/>
          <w:lang w:val="en-US"/>
        </w:rPr>
        <w:t xml:space="preserve"> z </w:t>
      </w:r>
      <w:proofErr w:type="spellStart"/>
      <w:r w:rsidRPr="2F7061BF">
        <w:rPr>
          <w:rFonts w:eastAsiaTheme="minorEastAsia"/>
          <w:color w:val="000000" w:themeColor="text1"/>
          <w:lang w:val="en-US"/>
        </w:rPr>
        <w:t>vozovky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odvoz</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snehu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odstraňovanie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cestných</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prekážok</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atď</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Zimná</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údržba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vykonávala</w:t>
      </w:r>
      <w:proofErr w:type="spellEnd"/>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vykonáva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prelome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kalendárnych</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rokov</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spravidla</w:t>
      </w:r>
      <w:proofErr w:type="spellEnd"/>
      <w:r w:rsidRPr="2F7061BF">
        <w:rPr>
          <w:rFonts w:eastAsiaTheme="minorEastAsia"/>
          <w:color w:val="000000" w:themeColor="text1"/>
          <w:lang w:val="en-US"/>
        </w:rPr>
        <w:t xml:space="preserve"> v </w:t>
      </w:r>
      <w:proofErr w:type="spellStart"/>
      <w:r w:rsidRPr="2F7061BF">
        <w:rPr>
          <w:rFonts w:eastAsiaTheme="minorEastAsia"/>
          <w:color w:val="000000" w:themeColor="text1"/>
          <w:lang w:val="en-US"/>
        </w:rPr>
        <w:t>období</w:t>
      </w:r>
      <w:proofErr w:type="spellEnd"/>
      <w:r w:rsidRPr="2F7061BF">
        <w:rPr>
          <w:rFonts w:eastAsiaTheme="minorEastAsia"/>
          <w:color w:val="000000" w:themeColor="text1"/>
          <w:lang w:val="en-US"/>
        </w:rPr>
        <w:t xml:space="preserve"> od 1. </w:t>
      </w:r>
      <w:proofErr w:type="spellStart"/>
      <w:r w:rsidRPr="2F7061BF">
        <w:rPr>
          <w:rFonts w:eastAsiaTheme="minorEastAsia"/>
          <w:color w:val="000000" w:themeColor="text1"/>
          <w:lang w:val="en-US"/>
        </w:rPr>
        <w:t>novembra</w:t>
      </w:r>
      <w:proofErr w:type="spellEnd"/>
      <w:r w:rsidRPr="2F7061BF">
        <w:rPr>
          <w:rFonts w:eastAsiaTheme="minorEastAsia"/>
          <w:color w:val="000000" w:themeColor="text1"/>
          <w:lang w:val="en-US"/>
        </w:rPr>
        <w:t xml:space="preserve"> do 31. </w:t>
      </w:r>
      <w:proofErr w:type="spellStart"/>
      <w:r w:rsidRPr="2F7061BF">
        <w:rPr>
          <w:rFonts w:eastAsiaTheme="minorEastAsia"/>
          <w:color w:val="000000" w:themeColor="text1"/>
          <w:lang w:val="en-US"/>
        </w:rPr>
        <w:t>marca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aktuálneho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zimného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obdobia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Prvá</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časť</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zimnej</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údržby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sa</w:t>
      </w:r>
      <w:proofErr w:type="spellEnd"/>
      <w:r w:rsidRPr="2F7061BF">
        <w:rPr>
          <w:rFonts w:eastAsiaTheme="minorEastAsia"/>
          <w:color w:val="000000" w:themeColor="text1"/>
          <w:lang w:val="en-US"/>
        </w:rPr>
        <w:t xml:space="preserve"> v </w:t>
      </w:r>
      <w:proofErr w:type="spellStart"/>
      <w:r w:rsidRPr="2F7061BF">
        <w:rPr>
          <w:rFonts w:eastAsiaTheme="minorEastAsia"/>
          <w:color w:val="000000" w:themeColor="text1"/>
          <w:lang w:val="en-US"/>
        </w:rPr>
        <w:t>kalendárnom</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roku</w:t>
      </w:r>
      <w:proofErr w:type="spellEnd"/>
      <w:r w:rsidRPr="2F7061BF">
        <w:rPr>
          <w:rFonts w:eastAsiaTheme="minorEastAsia"/>
          <w:color w:val="000000" w:themeColor="text1"/>
          <w:lang w:val="en-US"/>
        </w:rPr>
        <w:t xml:space="preserve"> 20</w:t>
      </w:r>
      <w:r>
        <w:rPr>
          <w:rFonts w:eastAsiaTheme="minorEastAsia"/>
          <w:color w:val="000000" w:themeColor="text1"/>
          <w:lang w:val="en-US"/>
        </w:rPr>
        <w:t>20</w:t>
      </w:r>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vykonávala</w:t>
      </w:r>
      <w:proofErr w:type="spellEnd"/>
      <w:r w:rsidRPr="2F7061BF">
        <w:rPr>
          <w:rFonts w:eastAsiaTheme="minorEastAsia"/>
          <w:color w:val="000000" w:themeColor="text1"/>
          <w:lang w:val="en-US"/>
        </w:rPr>
        <w:t xml:space="preserve"> v </w:t>
      </w:r>
      <w:proofErr w:type="spellStart"/>
      <w:r w:rsidRPr="2F7061BF">
        <w:rPr>
          <w:rFonts w:eastAsiaTheme="minorEastAsia"/>
          <w:color w:val="000000" w:themeColor="text1"/>
          <w:lang w:val="en-US"/>
        </w:rPr>
        <w:t>priebehu</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zimného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obdobia</w:t>
      </w:r>
      <w:proofErr w:type="spellEnd"/>
      <w:r w:rsidRPr="2F7061BF">
        <w:rPr>
          <w:rFonts w:eastAsiaTheme="minorEastAsia"/>
          <w:color w:val="000000" w:themeColor="text1"/>
          <w:lang w:val="en-US"/>
        </w:rPr>
        <w:t xml:space="preserve"> 20</w:t>
      </w:r>
      <w:r>
        <w:rPr>
          <w:rFonts w:eastAsiaTheme="minorEastAsia"/>
          <w:color w:val="000000" w:themeColor="text1"/>
          <w:lang w:val="en-US"/>
        </w:rPr>
        <w:t>19</w:t>
      </w:r>
      <w:r w:rsidRPr="2F7061BF">
        <w:rPr>
          <w:rFonts w:eastAsiaTheme="minorEastAsia"/>
          <w:color w:val="000000" w:themeColor="text1"/>
          <w:lang w:val="en-US"/>
        </w:rPr>
        <w:t>/20</w:t>
      </w:r>
      <w:r>
        <w:rPr>
          <w:rFonts w:eastAsiaTheme="minorEastAsia"/>
          <w:color w:val="000000" w:themeColor="text1"/>
          <w:lang w:val="en-US"/>
        </w:rPr>
        <w:t>20</w:t>
      </w:r>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t.j.</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prelome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rokov</w:t>
      </w:r>
      <w:proofErr w:type="spellEnd"/>
      <w:r w:rsidRPr="2F7061BF">
        <w:rPr>
          <w:rFonts w:eastAsiaTheme="minorEastAsia"/>
          <w:color w:val="000000" w:themeColor="text1"/>
          <w:lang w:val="en-US"/>
        </w:rPr>
        <w:t xml:space="preserve"> 201</w:t>
      </w:r>
      <w:r>
        <w:rPr>
          <w:rFonts w:eastAsiaTheme="minorEastAsia"/>
          <w:color w:val="000000" w:themeColor="text1"/>
          <w:lang w:val="en-US"/>
        </w:rPr>
        <w:t>9</w:t>
      </w:r>
      <w:r w:rsidRPr="2F7061BF">
        <w:rPr>
          <w:rFonts w:eastAsiaTheme="minorEastAsia"/>
          <w:color w:val="000000" w:themeColor="text1"/>
          <w:lang w:val="en-US"/>
        </w:rPr>
        <w:t xml:space="preserve"> a 20</w:t>
      </w:r>
      <w:r>
        <w:rPr>
          <w:rFonts w:eastAsiaTheme="minorEastAsia"/>
          <w:color w:val="000000" w:themeColor="text1"/>
          <w:lang w:val="en-US"/>
        </w:rPr>
        <w:t>20</w:t>
      </w:r>
      <w:r w:rsidRPr="2F7061BF">
        <w:rPr>
          <w:rFonts w:eastAsiaTheme="minorEastAsia"/>
          <w:color w:val="000000" w:themeColor="text1"/>
          <w:lang w:val="en-US"/>
        </w:rPr>
        <w:t>, od 1.11.201</w:t>
      </w:r>
      <w:r>
        <w:rPr>
          <w:rFonts w:eastAsiaTheme="minorEastAsia"/>
          <w:color w:val="000000" w:themeColor="text1"/>
          <w:lang w:val="en-US"/>
        </w:rPr>
        <w:t>9</w:t>
      </w:r>
      <w:r w:rsidRPr="2F7061BF">
        <w:rPr>
          <w:rFonts w:eastAsiaTheme="minorEastAsia"/>
          <w:color w:val="000000" w:themeColor="text1"/>
          <w:lang w:val="en-US"/>
        </w:rPr>
        <w:t xml:space="preserve"> do 31.3.20</w:t>
      </w:r>
      <w:r>
        <w:rPr>
          <w:rFonts w:eastAsiaTheme="minorEastAsia"/>
          <w:color w:val="000000" w:themeColor="text1"/>
          <w:lang w:val="en-US"/>
        </w:rPr>
        <w:t>20</w:t>
      </w:r>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Druhá</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časť</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zimnej</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údržby</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kalendárneho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roku</w:t>
      </w:r>
      <w:proofErr w:type="spellEnd"/>
      <w:r w:rsidRPr="2F7061BF">
        <w:rPr>
          <w:rFonts w:eastAsiaTheme="minorEastAsia"/>
          <w:color w:val="000000" w:themeColor="text1"/>
          <w:lang w:val="en-US"/>
        </w:rPr>
        <w:t xml:space="preserve"> 20</w:t>
      </w:r>
      <w:r>
        <w:rPr>
          <w:rFonts w:eastAsiaTheme="minorEastAsia"/>
          <w:color w:val="000000" w:themeColor="text1"/>
          <w:lang w:val="en-US"/>
        </w:rPr>
        <w:t>20</w:t>
      </w:r>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prebieha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počas</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nového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zimného</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obdobia</w:t>
      </w:r>
      <w:proofErr w:type="spellEnd"/>
      <w:r w:rsidRPr="2F7061BF">
        <w:rPr>
          <w:rFonts w:eastAsiaTheme="minorEastAsia"/>
          <w:color w:val="000000" w:themeColor="text1"/>
          <w:lang w:val="en-US"/>
        </w:rPr>
        <w:t xml:space="preserve"> 20</w:t>
      </w:r>
      <w:r>
        <w:rPr>
          <w:rFonts w:eastAsiaTheme="minorEastAsia"/>
          <w:color w:val="000000" w:themeColor="text1"/>
          <w:lang w:val="en-US"/>
        </w:rPr>
        <w:t>20</w:t>
      </w:r>
      <w:r w:rsidRPr="2F7061BF">
        <w:rPr>
          <w:rFonts w:eastAsiaTheme="minorEastAsia"/>
          <w:color w:val="000000" w:themeColor="text1"/>
          <w:lang w:val="en-US"/>
        </w:rPr>
        <w:t>/202</w:t>
      </w:r>
      <w:r>
        <w:rPr>
          <w:rFonts w:eastAsiaTheme="minorEastAsia"/>
          <w:color w:val="000000" w:themeColor="text1"/>
          <w:lang w:val="en-US"/>
        </w:rPr>
        <w:t>1</w:t>
      </w:r>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t.j.</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na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prelome</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rokov</w:t>
      </w:r>
      <w:proofErr w:type="spellEnd"/>
      <w:r w:rsidRPr="2F7061BF">
        <w:rPr>
          <w:rFonts w:eastAsiaTheme="minorEastAsia"/>
          <w:color w:val="000000" w:themeColor="text1"/>
          <w:lang w:val="en-US"/>
        </w:rPr>
        <w:t xml:space="preserve"> 20</w:t>
      </w:r>
      <w:r>
        <w:rPr>
          <w:rFonts w:eastAsiaTheme="minorEastAsia"/>
          <w:color w:val="000000" w:themeColor="text1"/>
          <w:lang w:val="en-US"/>
        </w:rPr>
        <w:t>20</w:t>
      </w:r>
      <w:r w:rsidRPr="2F7061BF">
        <w:rPr>
          <w:rFonts w:eastAsiaTheme="minorEastAsia"/>
          <w:color w:val="000000" w:themeColor="text1"/>
          <w:lang w:val="en-US"/>
        </w:rPr>
        <w:t xml:space="preserve"> a 202</w:t>
      </w:r>
      <w:r>
        <w:rPr>
          <w:rFonts w:eastAsiaTheme="minorEastAsia"/>
          <w:color w:val="000000" w:themeColor="text1"/>
          <w:lang w:val="en-US"/>
        </w:rPr>
        <w:t>1</w:t>
      </w:r>
      <w:r w:rsidRPr="2F7061BF">
        <w:rPr>
          <w:rFonts w:eastAsiaTheme="minorEastAsia"/>
          <w:color w:val="000000" w:themeColor="text1"/>
          <w:lang w:val="en-US"/>
        </w:rPr>
        <w:t xml:space="preserve">, a </w:t>
      </w:r>
      <w:proofErr w:type="spellStart"/>
      <w:r w:rsidRPr="2F7061BF">
        <w:rPr>
          <w:rFonts w:eastAsiaTheme="minorEastAsia"/>
          <w:color w:val="000000" w:themeColor="text1"/>
          <w:lang w:val="en-US"/>
        </w:rPr>
        <w:t>začala</w:t>
      </w:r>
      <w:proofErr w:type="spellEnd"/>
      <w:r w:rsidRPr="2F7061BF">
        <w:rPr>
          <w:rFonts w:eastAsiaTheme="minorEastAsia"/>
          <w:color w:val="000000" w:themeColor="text1"/>
          <w:lang w:val="en-US"/>
        </w:rPr>
        <w:t xml:space="preserve"> </w:t>
      </w:r>
      <w:proofErr w:type="spellStart"/>
      <w:r w:rsidRPr="2F7061BF">
        <w:rPr>
          <w:rFonts w:eastAsiaTheme="minorEastAsia"/>
          <w:color w:val="000000" w:themeColor="text1"/>
          <w:lang w:val="en-US"/>
        </w:rPr>
        <w:t>sa</w:t>
      </w:r>
      <w:proofErr w:type="spellEnd"/>
      <w:r w:rsidRPr="2F7061BF">
        <w:rPr>
          <w:rFonts w:eastAsiaTheme="minorEastAsia"/>
          <w:color w:val="000000" w:themeColor="text1"/>
          <w:lang w:val="en-US"/>
        </w:rPr>
        <w:t xml:space="preserve"> od 1.11.20</w:t>
      </w:r>
      <w:r>
        <w:rPr>
          <w:rFonts w:eastAsiaTheme="minorEastAsia"/>
          <w:color w:val="000000" w:themeColor="text1"/>
          <w:lang w:val="en-US"/>
        </w:rPr>
        <w:t>20</w:t>
      </w:r>
      <w:r w:rsidRPr="2F7061BF">
        <w:rPr>
          <w:rFonts w:eastAsiaTheme="minorEastAsia"/>
          <w:color w:val="000000" w:themeColor="text1"/>
          <w:lang w:val="en-US"/>
        </w:rPr>
        <w:t xml:space="preserve">. </w:t>
      </w:r>
      <w:r w:rsidRPr="2F7061BF">
        <w:rPr>
          <w:rFonts w:eastAsiaTheme="minorEastAsia"/>
          <w:color w:val="000000" w:themeColor="text1"/>
        </w:rPr>
        <w:t>Táto druhá časť zimnej údržby trvá priebežne stále, až do ukončenia prebiehajúceho aktuálneho zimného obdobia 20</w:t>
      </w:r>
      <w:r>
        <w:rPr>
          <w:rFonts w:eastAsiaTheme="minorEastAsia"/>
          <w:color w:val="000000" w:themeColor="text1"/>
        </w:rPr>
        <w:t>20</w:t>
      </w:r>
      <w:r w:rsidRPr="2F7061BF">
        <w:rPr>
          <w:rFonts w:eastAsiaTheme="minorEastAsia"/>
          <w:color w:val="000000" w:themeColor="text1"/>
        </w:rPr>
        <w:t>/20</w:t>
      </w:r>
      <w:r>
        <w:rPr>
          <w:rFonts w:eastAsiaTheme="minorEastAsia"/>
          <w:color w:val="000000" w:themeColor="text1"/>
        </w:rPr>
        <w:t>21</w:t>
      </w:r>
      <w:r w:rsidRPr="2F7061BF">
        <w:rPr>
          <w:rFonts w:eastAsiaTheme="minorEastAsia"/>
          <w:color w:val="000000" w:themeColor="text1"/>
        </w:rPr>
        <w:t xml:space="preserve">. </w:t>
      </w:r>
    </w:p>
    <w:p w14:paraId="673F7576" w14:textId="77777777" w:rsidR="005F6AF6" w:rsidRDefault="005F6AF6" w:rsidP="005F6AF6">
      <w:pPr>
        <w:jc w:val="both"/>
        <w:rPr>
          <w:rFonts w:eastAsiaTheme="minorEastAsia"/>
          <w:color w:val="000000" w:themeColor="text1"/>
        </w:rPr>
      </w:pPr>
      <w:r w:rsidRPr="00770405">
        <w:rPr>
          <w:rFonts w:eastAsiaTheme="minorEastAsia"/>
          <w:color w:val="000000" w:themeColor="text1"/>
        </w:rPr>
        <w:t xml:space="preserve">V roku 2020 sa pripravovali </w:t>
      </w:r>
      <w:r>
        <w:rPr>
          <w:rFonts w:eastAsiaTheme="minorEastAsia"/>
          <w:color w:val="000000" w:themeColor="text1"/>
        </w:rPr>
        <w:t xml:space="preserve">projektové dokumentácie na </w:t>
      </w:r>
      <w:r w:rsidRPr="00770405">
        <w:rPr>
          <w:rFonts w:eastAsiaTheme="minorEastAsia"/>
          <w:color w:val="000000" w:themeColor="text1"/>
        </w:rPr>
        <w:t>rekonštrukcie ciest</w:t>
      </w:r>
      <w:r>
        <w:rPr>
          <w:rFonts w:eastAsiaTheme="minorEastAsia"/>
          <w:color w:val="000000" w:themeColor="text1"/>
        </w:rPr>
        <w:t xml:space="preserve"> a mostov</w:t>
      </w:r>
      <w:r w:rsidRPr="00770405">
        <w:rPr>
          <w:rFonts w:eastAsiaTheme="minorEastAsia"/>
          <w:color w:val="000000" w:themeColor="text1"/>
        </w:rPr>
        <w:t>:</w:t>
      </w:r>
      <w:r>
        <w:rPr>
          <w:rFonts w:eastAsiaTheme="minorEastAsia"/>
          <w:color w:val="000000" w:themeColor="text1"/>
        </w:rPr>
        <w:t xml:space="preserve"> III/1046 zosuv Šenkvice, III/1064 zosuv Blatné, III/1100 most nad D2 Veľké Leváre, III/1109 most nad D2 Závod, revitalizácia ciest III/1046 Bernolákovo – Nová Dedinka a III/1046 Blatné - Šenkvice.</w:t>
      </w:r>
      <w:r w:rsidRPr="00770405">
        <w:rPr>
          <w:rFonts w:eastAsiaTheme="minorEastAsia"/>
          <w:color w:val="000000" w:themeColor="text1"/>
        </w:rPr>
        <w:t xml:space="preserve"> </w:t>
      </w:r>
      <w:r w:rsidRPr="00A977E1">
        <w:rPr>
          <w:rFonts w:eastAsiaTheme="minorEastAsia"/>
          <w:color w:val="000000" w:themeColor="text1"/>
        </w:rPr>
        <w:t>Rekonštrukcie ciest sa pripravujú na najviac opotrebovaných úsekoch cestnej siete, pričom sa prihliada na dopravný význam komunikácií.</w:t>
      </w:r>
    </w:p>
    <w:p w14:paraId="088A0F8E" w14:textId="77777777" w:rsidR="005F6AF6" w:rsidRDefault="005F6AF6" w:rsidP="005F6AF6">
      <w:pPr>
        <w:jc w:val="both"/>
        <w:rPr>
          <w:rFonts w:eastAsiaTheme="minorEastAsia"/>
          <w:color w:val="000000" w:themeColor="text1"/>
        </w:rPr>
      </w:pPr>
      <w:r>
        <w:rPr>
          <w:rFonts w:eastAsiaTheme="minorEastAsia"/>
          <w:color w:val="000000" w:themeColor="text1"/>
        </w:rPr>
        <w:t>V</w:t>
      </w:r>
      <w:r w:rsidRPr="00A0791E">
        <w:rPr>
          <w:rFonts w:eastAsiaTheme="minorEastAsia"/>
          <w:color w:val="000000" w:themeColor="text1"/>
        </w:rPr>
        <w:t xml:space="preserve"> rámci zvýšenia bezpečnosti účastníkov cestnej premávky na priechodoch pre chodcov </w:t>
      </w:r>
      <w:r>
        <w:rPr>
          <w:rFonts w:eastAsiaTheme="minorEastAsia"/>
          <w:color w:val="000000" w:themeColor="text1"/>
        </w:rPr>
        <w:t xml:space="preserve">bolo plánovaných </w:t>
      </w:r>
      <w:r w:rsidRPr="00A0791E">
        <w:rPr>
          <w:rFonts w:eastAsiaTheme="minorEastAsia"/>
          <w:color w:val="000000" w:themeColor="text1"/>
        </w:rPr>
        <w:t>aj vybudovanie 1</w:t>
      </w:r>
      <w:r>
        <w:rPr>
          <w:rFonts w:eastAsiaTheme="minorEastAsia"/>
          <w:color w:val="000000" w:themeColor="text1"/>
        </w:rPr>
        <w:t>0</w:t>
      </w:r>
      <w:r w:rsidRPr="00A0791E">
        <w:rPr>
          <w:rFonts w:eastAsiaTheme="minorEastAsia"/>
          <w:color w:val="000000" w:themeColor="text1"/>
        </w:rPr>
        <w:t xml:space="preserve"> bližšie neurčených priechodov pre chodcov na </w:t>
      </w:r>
      <w:r>
        <w:rPr>
          <w:rFonts w:eastAsiaTheme="minorEastAsia"/>
          <w:color w:val="000000" w:themeColor="text1"/>
        </w:rPr>
        <w:t>cestách II. a III.</w:t>
      </w:r>
      <w:r w:rsidRPr="00A0791E">
        <w:rPr>
          <w:rFonts w:eastAsiaTheme="minorEastAsia"/>
          <w:color w:val="000000" w:themeColor="text1"/>
        </w:rPr>
        <w:t xml:space="preserve"> triedy vo vlastníctve BSK. Vzhľadom k zmene legislatívy upravujúcej zriadenie priechodov pre chodcov (nová Vyhláška Ministerstva vnútra SR 30/2020 </w:t>
      </w:r>
      <w:proofErr w:type="spellStart"/>
      <w:r w:rsidRPr="00A0791E">
        <w:rPr>
          <w:rFonts w:eastAsiaTheme="minorEastAsia"/>
          <w:color w:val="000000" w:themeColor="text1"/>
        </w:rPr>
        <w:t>Z.z</w:t>
      </w:r>
      <w:proofErr w:type="spellEnd"/>
      <w:r w:rsidRPr="00A0791E">
        <w:rPr>
          <w:rFonts w:eastAsiaTheme="minorEastAsia"/>
          <w:color w:val="000000" w:themeColor="text1"/>
        </w:rPr>
        <w:t>. o dopravnom značení), neboli v roku 2020 realizované žiadne nové priechody pre chodcov, nakoľko bude potrebné prepracovať rezortné technické predpisy MDV SR na zriaďovanie priechodov pre chodcov a existujúce priechody budú nanovo posudzované. Všetky doteraz vybudované priechody pre chodcov boli udržiavané a obnovované v prevádzkyschopnom stave.</w:t>
      </w:r>
      <w:r w:rsidRPr="2F7061BF">
        <w:rPr>
          <w:rFonts w:eastAsiaTheme="minorEastAsia"/>
          <w:color w:val="000000" w:themeColor="text1"/>
        </w:rPr>
        <w:t xml:space="preserve"> </w:t>
      </w:r>
    </w:p>
    <w:p w14:paraId="33836C57" w14:textId="77777777" w:rsidR="005F6AF6" w:rsidRPr="00A977E1" w:rsidRDefault="005F6AF6" w:rsidP="005F6AF6">
      <w:pPr>
        <w:jc w:val="both"/>
        <w:rPr>
          <w:rFonts w:eastAsiaTheme="minorEastAsia"/>
          <w:color w:val="000000" w:themeColor="text1"/>
        </w:rPr>
      </w:pPr>
      <w:r w:rsidRPr="00A977E1">
        <w:rPr>
          <w:rFonts w:eastAsiaTheme="minorEastAsia"/>
          <w:color w:val="000000" w:themeColor="text1"/>
        </w:rPr>
        <w:t xml:space="preserve">V roku 2020 boli </w:t>
      </w:r>
      <w:r>
        <w:rPr>
          <w:rFonts w:eastAsiaTheme="minorEastAsia"/>
          <w:color w:val="000000" w:themeColor="text1"/>
        </w:rPr>
        <w:t>ukončené</w:t>
      </w:r>
      <w:r w:rsidRPr="00A977E1">
        <w:rPr>
          <w:rFonts w:eastAsiaTheme="minorEastAsia"/>
          <w:color w:val="000000" w:themeColor="text1"/>
        </w:rPr>
        <w:t xml:space="preserve"> rekonštrukci</w:t>
      </w:r>
      <w:r>
        <w:rPr>
          <w:rFonts w:eastAsiaTheme="minorEastAsia"/>
          <w:color w:val="000000" w:themeColor="text1"/>
        </w:rPr>
        <w:t>e</w:t>
      </w:r>
      <w:r w:rsidRPr="00A977E1">
        <w:rPr>
          <w:rFonts w:eastAsiaTheme="minorEastAsia"/>
          <w:color w:val="000000" w:themeColor="text1"/>
        </w:rPr>
        <w:t xml:space="preserve"> most</w:t>
      </w:r>
      <w:r>
        <w:rPr>
          <w:rFonts w:eastAsiaTheme="minorEastAsia"/>
          <w:color w:val="000000" w:themeColor="text1"/>
        </w:rPr>
        <w:t>ov</w:t>
      </w:r>
      <w:r w:rsidRPr="00A977E1">
        <w:rPr>
          <w:rFonts w:eastAsiaTheme="minorEastAsia"/>
          <w:color w:val="000000" w:themeColor="text1"/>
        </w:rPr>
        <w:t xml:space="preserve"> Malina v Malackách a most</w:t>
      </w:r>
      <w:r>
        <w:rPr>
          <w:rFonts w:eastAsiaTheme="minorEastAsia"/>
          <w:color w:val="000000" w:themeColor="text1"/>
        </w:rPr>
        <w:t>u</w:t>
      </w:r>
      <w:r w:rsidRPr="00A977E1">
        <w:rPr>
          <w:rFonts w:eastAsiaTheme="minorEastAsia"/>
          <w:color w:val="000000" w:themeColor="text1"/>
        </w:rPr>
        <w:t xml:space="preserve"> cez Čiernu vodu na ceste II/503 v Senci. </w:t>
      </w:r>
    </w:p>
    <w:p w14:paraId="340E4B70" w14:textId="0002B92D" w:rsidR="005F4994" w:rsidRPr="006F6256" w:rsidRDefault="005F6AF6" w:rsidP="005F4994">
      <w:pPr>
        <w:spacing w:after="0" w:line="240" w:lineRule="auto"/>
        <w:textAlignment w:val="baseline"/>
        <w:rPr>
          <w:rFonts w:ascii="Times New Roman" w:hAnsi="Times New Roman"/>
          <w:sz w:val="24"/>
          <w:szCs w:val="24"/>
          <w:lang w:eastAsia="sk-SK"/>
        </w:rPr>
      </w:pPr>
      <w:r>
        <w:rPr>
          <w:rFonts w:cs="Calibri"/>
          <w:lang w:eastAsia="sk-SK"/>
        </w:rPr>
        <w:lastRenderedPageBreak/>
        <w:t>V</w:t>
      </w:r>
      <w:r w:rsidR="005F4994" w:rsidRPr="00B43B1C">
        <w:rPr>
          <w:rFonts w:cs="Calibri"/>
          <w:lang w:eastAsia="sk-SK"/>
        </w:rPr>
        <w:t>ykonané práce podľa jednotlivých položiek v rámci prác bežnej a zimnej údržby:</w:t>
      </w:r>
      <w:r w:rsidR="005F4994" w:rsidRPr="006F6256">
        <w:rPr>
          <w:rFonts w:cs="Calibri"/>
          <w:lang w:eastAsia="sk-SK"/>
        </w:rPr>
        <w:t> </w:t>
      </w:r>
    </w:p>
    <w:p w14:paraId="2370E666" w14:textId="77777777" w:rsidR="005F4994" w:rsidRPr="005F4994" w:rsidRDefault="005F4994" w:rsidP="005F4994">
      <w:pPr>
        <w:spacing w:after="0" w:line="240" w:lineRule="auto"/>
        <w:jc w:val="both"/>
        <w:textAlignment w:val="baseline"/>
        <w:rPr>
          <w:rFonts w:ascii="Times New Roman" w:hAnsi="Times New Roman"/>
          <w:sz w:val="24"/>
          <w:szCs w:val="24"/>
          <w:lang w:eastAsia="sk-SK"/>
        </w:rPr>
      </w:pPr>
    </w:p>
    <w:tbl>
      <w:tblPr>
        <w:tblW w:w="10597" w:type="dxa"/>
        <w:tblLayout w:type="fixed"/>
        <w:tblCellMar>
          <w:left w:w="0" w:type="dxa"/>
          <w:right w:w="0" w:type="dxa"/>
        </w:tblCellMar>
        <w:tblLook w:val="04A0" w:firstRow="1" w:lastRow="0" w:firstColumn="1" w:lastColumn="0" w:noHBand="0" w:noVBand="1"/>
      </w:tblPr>
      <w:tblGrid>
        <w:gridCol w:w="4395"/>
        <w:gridCol w:w="1112"/>
        <w:gridCol w:w="447"/>
        <w:gridCol w:w="1559"/>
        <w:gridCol w:w="1559"/>
        <w:gridCol w:w="115"/>
        <w:gridCol w:w="918"/>
        <w:gridCol w:w="492"/>
      </w:tblGrid>
      <w:tr w:rsidR="005F6AF6" w14:paraId="0534DFE8" w14:textId="715D78F5" w:rsidTr="005F6AF6">
        <w:trPr>
          <w:trHeight w:hRule="exact" w:val="700"/>
        </w:trPr>
        <w:tc>
          <w:tcPr>
            <w:tcW w:w="5507" w:type="dxa"/>
            <w:gridSpan w:val="2"/>
            <w:tcBorders>
              <w:top w:val="nil"/>
              <w:left w:val="nil"/>
              <w:bottom w:val="single" w:sz="8" w:space="0" w:color="DCE6F1"/>
              <w:right w:val="nil"/>
            </w:tcBorders>
            <w:shd w:val="clear" w:color="auto" w:fill="95B3D7"/>
            <w:noWrap/>
            <w:tcMar>
              <w:top w:w="0" w:type="dxa"/>
              <w:left w:w="70" w:type="dxa"/>
              <w:bottom w:w="0" w:type="dxa"/>
              <w:right w:w="70" w:type="dxa"/>
            </w:tcMar>
            <w:vAlign w:val="center"/>
          </w:tcPr>
          <w:p w14:paraId="3D43A14F" w14:textId="77777777" w:rsidR="005F6AF6" w:rsidRDefault="005F6AF6" w:rsidP="00807CFF">
            <w:pPr>
              <w:spacing w:before="100" w:beforeAutospacing="1" w:after="100" w:afterAutospacing="1" w:line="240" w:lineRule="auto"/>
              <w:outlineLvl w:val="2"/>
              <w:rPr>
                <w:b/>
                <w:bCs/>
                <w:sz w:val="27"/>
                <w:szCs w:val="27"/>
                <w:lang w:eastAsia="sk-SK"/>
              </w:rPr>
            </w:pPr>
            <w:r>
              <w:rPr>
                <w:b/>
                <w:bCs/>
                <w:sz w:val="27"/>
                <w:szCs w:val="27"/>
                <w:lang w:eastAsia="sk-SK"/>
              </w:rPr>
              <w:t>Opravy, údržba a rekonštrukcie ciest</w:t>
            </w:r>
          </w:p>
          <w:p w14:paraId="66902DC3" w14:textId="77777777" w:rsidR="005F6AF6" w:rsidRDefault="005F6AF6" w:rsidP="00807CFF">
            <w:pPr>
              <w:rPr>
                <w:b/>
                <w:bCs/>
                <w:sz w:val="24"/>
                <w:szCs w:val="20"/>
                <w:lang w:eastAsia="sk-SK"/>
              </w:rPr>
            </w:pPr>
          </w:p>
        </w:tc>
        <w:tc>
          <w:tcPr>
            <w:tcW w:w="3680" w:type="dxa"/>
            <w:gridSpan w:val="4"/>
            <w:tcBorders>
              <w:top w:val="nil"/>
              <w:left w:val="nil"/>
              <w:bottom w:val="single" w:sz="8" w:space="0" w:color="DCE6F1"/>
              <w:right w:val="nil"/>
            </w:tcBorders>
            <w:shd w:val="clear" w:color="auto" w:fill="95B3D7"/>
            <w:vAlign w:val="center"/>
            <w:hideMark/>
          </w:tcPr>
          <w:p w14:paraId="4438786B" w14:textId="77777777" w:rsidR="005F6AF6" w:rsidRDefault="005F6AF6" w:rsidP="00807CFF">
            <w:pPr>
              <w:ind w:left="1423"/>
              <w:jc w:val="center"/>
              <w:rPr>
                <w:b/>
                <w:bCs/>
                <w:color w:val="000000"/>
                <w:sz w:val="24"/>
                <w:szCs w:val="20"/>
                <w:lang w:eastAsia="sk-SK"/>
              </w:rPr>
            </w:pPr>
            <w:r>
              <w:rPr>
                <w:b/>
                <w:bCs/>
                <w:color w:val="000000"/>
                <w:sz w:val="24"/>
                <w:szCs w:val="20"/>
                <w:lang w:eastAsia="sk-SK"/>
              </w:rPr>
              <w:t>Výdavky v jednotlivých rokoch</w:t>
            </w:r>
          </w:p>
        </w:tc>
        <w:tc>
          <w:tcPr>
            <w:tcW w:w="918" w:type="dxa"/>
            <w:tcBorders>
              <w:top w:val="nil"/>
              <w:left w:val="nil"/>
              <w:bottom w:val="single" w:sz="8" w:space="0" w:color="DCE6F1"/>
              <w:right w:val="nil"/>
            </w:tcBorders>
            <w:shd w:val="clear" w:color="auto" w:fill="95B3D7"/>
          </w:tcPr>
          <w:p w14:paraId="45706DE6" w14:textId="77777777" w:rsidR="005F6AF6" w:rsidRDefault="005F6AF6" w:rsidP="00807CFF">
            <w:pPr>
              <w:ind w:left="1423"/>
              <w:jc w:val="center"/>
              <w:rPr>
                <w:b/>
                <w:bCs/>
                <w:color w:val="000000"/>
                <w:sz w:val="24"/>
                <w:szCs w:val="20"/>
                <w:lang w:eastAsia="sk-SK"/>
              </w:rPr>
            </w:pPr>
          </w:p>
        </w:tc>
        <w:tc>
          <w:tcPr>
            <w:tcW w:w="492" w:type="dxa"/>
            <w:tcBorders>
              <w:top w:val="nil"/>
              <w:left w:val="nil"/>
              <w:bottom w:val="single" w:sz="8" w:space="0" w:color="DCE6F1"/>
              <w:right w:val="nil"/>
            </w:tcBorders>
            <w:shd w:val="clear" w:color="auto" w:fill="95B3D7"/>
          </w:tcPr>
          <w:p w14:paraId="29F63043" w14:textId="77777777" w:rsidR="005F6AF6" w:rsidRDefault="005F6AF6" w:rsidP="00807CFF">
            <w:pPr>
              <w:ind w:left="1423"/>
              <w:jc w:val="center"/>
              <w:rPr>
                <w:b/>
                <w:bCs/>
                <w:color w:val="000000"/>
                <w:sz w:val="24"/>
                <w:szCs w:val="20"/>
                <w:lang w:eastAsia="sk-SK"/>
              </w:rPr>
            </w:pPr>
          </w:p>
        </w:tc>
      </w:tr>
      <w:tr w:rsidR="005F6AF6" w14:paraId="1F8FE67D" w14:textId="64A64B7C" w:rsidTr="005F6AF6">
        <w:trPr>
          <w:trHeight w:hRule="exact" w:val="290"/>
        </w:trPr>
        <w:tc>
          <w:tcPr>
            <w:tcW w:w="4395" w:type="dxa"/>
            <w:tcBorders>
              <w:top w:val="nil"/>
              <w:left w:val="nil"/>
              <w:bottom w:val="single" w:sz="8" w:space="0" w:color="DCE6F1"/>
              <w:right w:val="nil"/>
            </w:tcBorders>
            <w:shd w:val="clear" w:color="auto" w:fill="95B3D7"/>
            <w:noWrap/>
            <w:tcMar>
              <w:top w:w="0" w:type="dxa"/>
              <w:left w:w="70" w:type="dxa"/>
              <w:bottom w:w="0" w:type="dxa"/>
              <w:right w:w="70" w:type="dxa"/>
            </w:tcMar>
            <w:vAlign w:val="center"/>
            <w:hideMark/>
          </w:tcPr>
          <w:p w14:paraId="587E8878" w14:textId="77777777" w:rsidR="005F6AF6" w:rsidRDefault="005F6AF6" w:rsidP="00807CFF">
            <w:pPr>
              <w:rPr>
                <w:b/>
                <w:bCs/>
                <w:color w:val="000000"/>
                <w:sz w:val="24"/>
                <w:szCs w:val="20"/>
                <w:lang w:eastAsia="sk-SK"/>
              </w:rPr>
            </w:pPr>
          </w:p>
        </w:tc>
        <w:tc>
          <w:tcPr>
            <w:tcW w:w="1559" w:type="dxa"/>
            <w:gridSpan w:val="2"/>
            <w:tcBorders>
              <w:top w:val="nil"/>
              <w:left w:val="nil"/>
              <w:bottom w:val="single" w:sz="8" w:space="0" w:color="DCE6F1"/>
              <w:right w:val="nil"/>
            </w:tcBorders>
            <w:shd w:val="clear" w:color="auto" w:fill="95B3D7"/>
            <w:vAlign w:val="center"/>
            <w:hideMark/>
          </w:tcPr>
          <w:p w14:paraId="66D7DB2F" w14:textId="77777777" w:rsidR="005F6AF6" w:rsidRDefault="005F6AF6" w:rsidP="00807CFF">
            <w:pPr>
              <w:jc w:val="right"/>
              <w:rPr>
                <w:b/>
                <w:bCs/>
                <w:color w:val="000000"/>
                <w:sz w:val="24"/>
                <w:szCs w:val="20"/>
                <w:lang w:eastAsia="sk-SK"/>
              </w:rPr>
            </w:pPr>
            <w:r>
              <w:rPr>
                <w:b/>
                <w:bCs/>
                <w:color w:val="000000"/>
                <w:sz w:val="24"/>
                <w:szCs w:val="20"/>
                <w:lang w:eastAsia="sk-SK"/>
              </w:rPr>
              <w:t>2017</w:t>
            </w:r>
          </w:p>
        </w:tc>
        <w:tc>
          <w:tcPr>
            <w:tcW w:w="1559" w:type="dxa"/>
            <w:tcBorders>
              <w:top w:val="nil"/>
              <w:left w:val="nil"/>
              <w:bottom w:val="single" w:sz="8" w:space="0" w:color="DCE6F1"/>
              <w:right w:val="nil"/>
            </w:tcBorders>
            <w:shd w:val="clear" w:color="auto" w:fill="95B3D7"/>
            <w:tcMar>
              <w:top w:w="0" w:type="dxa"/>
              <w:left w:w="70" w:type="dxa"/>
              <w:bottom w:w="0" w:type="dxa"/>
              <w:right w:w="70" w:type="dxa"/>
            </w:tcMar>
            <w:vAlign w:val="center"/>
            <w:hideMark/>
          </w:tcPr>
          <w:p w14:paraId="02008680" w14:textId="77777777" w:rsidR="005F6AF6" w:rsidRDefault="005F6AF6" w:rsidP="00807CFF">
            <w:pPr>
              <w:jc w:val="right"/>
              <w:rPr>
                <w:b/>
                <w:bCs/>
                <w:color w:val="000000"/>
                <w:sz w:val="24"/>
                <w:szCs w:val="20"/>
                <w:lang w:eastAsia="sk-SK"/>
              </w:rPr>
            </w:pPr>
            <w:r>
              <w:rPr>
                <w:b/>
                <w:bCs/>
                <w:color w:val="000000"/>
                <w:sz w:val="24"/>
                <w:szCs w:val="20"/>
                <w:lang w:eastAsia="sk-SK"/>
              </w:rPr>
              <w:t>2018</w:t>
            </w:r>
          </w:p>
        </w:tc>
        <w:tc>
          <w:tcPr>
            <w:tcW w:w="1559" w:type="dxa"/>
            <w:tcBorders>
              <w:top w:val="nil"/>
              <w:left w:val="nil"/>
              <w:bottom w:val="single" w:sz="8" w:space="0" w:color="DCE6F1"/>
              <w:right w:val="nil"/>
            </w:tcBorders>
            <w:shd w:val="clear" w:color="auto" w:fill="95B3D7"/>
          </w:tcPr>
          <w:p w14:paraId="6934899B" w14:textId="77777777" w:rsidR="005F6AF6" w:rsidRDefault="005F6AF6" w:rsidP="00807CFF">
            <w:pPr>
              <w:jc w:val="right"/>
              <w:rPr>
                <w:b/>
                <w:bCs/>
                <w:color w:val="000000"/>
                <w:sz w:val="24"/>
                <w:szCs w:val="20"/>
                <w:lang w:eastAsia="sk-SK"/>
              </w:rPr>
            </w:pPr>
            <w:r>
              <w:rPr>
                <w:b/>
                <w:bCs/>
                <w:color w:val="000000"/>
                <w:sz w:val="24"/>
                <w:szCs w:val="20"/>
                <w:lang w:eastAsia="sk-SK"/>
              </w:rPr>
              <w:t>2019</w:t>
            </w:r>
          </w:p>
        </w:tc>
        <w:tc>
          <w:tcPr>
            <w:tcW w:w="1525" w:type="dxa"/>
            <w:gridSpan w:val="3"/>
            <w:tcBorders>
              <w:top w:val="nil"/>
              <w:left w:val="nil"/>
              <w:bottom w:val="single" w:sz="8" w:space="0" w:color="DCE6F1"/>
              <w:right w:val="nil"/>
            </w:tcBorders>
            <w:shd w:val="clear" w:color="auto" w:fill="95B3D7"/>
          </w:tcPr>
          <w:p w14:paraId="5AAAC962" w14:textId="05A578AC" w:rsidR="005F6AF6" w:rsidRPr="005F6AF6" w:rsidRDefault="005F6AF6" w:rsidP="00807CFF">
            <w:pPr>
              <w:jc w:val="right"/>
              <w:rPr>
                <w:b/>
                <w:bCs/>
                <w:color w:val="000000"/>
                <w:sz w:val="24"/>
                <w:szCs w:val="24"/>
                <w:lang w:eastAsia="sk-SK"/>
              </w:rPr>
            </w:pPr>
            <w:r w:rsidRPr="005F6AF6">
              <w:rPr>
                <w:rFonts w:eastAsiaTheme="minorEastAsia"/>
                <w:b/>
                <w:bCs/>
                <w:color w:val="000000" w:themeColor="text1"/>
                <w:sz w:val="24"/>
                <w:szCs w:val="24"/>
              </w:rPr>
              <w:t>2020</w:t>
            </w:r>
          </w:p>
        </w:tc>
      </w:tr>
      <w:tr w:rsidR="005F6AF6" w14:paraId="55CA11FE" w14:textId="64FC9FAC"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6E8A1875" w14:textId="77777777" w:rsidR="005F6AF6" w:rsidRDefault="005F6AF6" w:rsidP="005F6AF6">
            <w:pPr>
              <w:rPr>
                <w:color w:val="000000"/>
                <w:sz w:val="20"/>
                <w:lang w:eastAsia="sk-SK"/>
              </w:rPr>
            </w:pPr>
            <w:r>
              <w:rPr>
                <w:bCs/>
                <w:color w:val="000000"/>
              </w:rPr>
              <w:t>ZIMNÁ ÚDRŽBA</w:t>
            </w:r>
          </w:p>
        </w:tc>
        <w:tc>
          <w:tcPr>
            <w:tcW w:w="1559" w:type="dxa"/>
            <w:gridSpan w:val="2"/>
            <w:tcBorders>
              <w:top w:val="nil"/>
              <w:left w:val="nil"/>
              <w:bottom w:val="single" w:sz="8" w:space="0" w:color="DCE6F1"/>
              <w:right w:val="nil"/>
            </w:tcBorders>
            <w:vAlign w:val="center"/>
          </w:tcPr>
          <w:p w14:paraId="2174EA05" w14:textId="77777777" w:rsidR="005F6AF6" w:rsidRDefault="005F6AF6" w:rsidP="005F6AF6">
            <w:pPr>
              <w:jc w:val="right"/>
              <w:rPr>
                <w:sz w:val="20"/>
                <w:lang w:eastAsia="sk-SK"/>
              </w:rPr>
            </w:pPr>
            <w:r>
              <w:rPr>
                <w:bCs/>
                <w:color w:val="000000"/>
              </w:rPr>
              <w:t>1 757 676 €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1D428E65" w14:textId="77777777" w:rsidR="005F6AF6" w:rsidRPr="005F6AF6" w:rsidRDefault="005F6AF6" w:rsidP="005F6AF6">
            <w:pPr>
              <w:jc w:val="right"/>
              <w:rPr>
                <w:lang w:eastAsia="sk-SK"/>
              </w:rPr>
            </w:pPr>
            <w:r w:rsidRPr="005F6AF6">
              <w:rPr>
                <w:lang w:eastAsia="sk-SK"/>
              </w:rPr>
              <w:t xml:space="preserve">1 552 214,13 </w:t>
            </w:r>
            <w:r w:rsidRPr="005F6AF6">
              <w:rPr>
                <w:bCs/>
                <w:color w:val="000000"/>
              </w:rPr>
              <w:t>€</w:t>
            </w:r>
          </w:p>
          <w:p w14:paraId="1D5D8499" w14:textId="77777777" w:rsidR="005F6AF6" w:rsidRPr="005F6AF6" w:rsidRDefault="005F6AF6" w:rsidP="005F6AF6">
            <w:pPr>
              <w:jc w:val="right"/>
              <w:rPr>
                <w:lang w:eastAsia="sk-SK"/>
              </w:rPr>
            </w:pPr>
            <w:r w:rsidRPr="005F6AF6">
              <w:rPr>
                <w:lang w:eastAsia="sk-SK"/>
              </w:rPr>
              <w:t xml:space="preserve"> </w:t>
            </w:r>
          </w:p>
        </w:tc>
        <w:tc>
          <w:tcPr>
            <w:tcW w:w="1559" w:type="dxa"/>
            <w:tcBorders>
              <w:top w:val="nil"/>
              <w:left w:val="nil"/>
              <w:bottom w:val="single" w:sz="8" w:space="0" w:color="DCE6F1"/>
              <w:right w:val="nil"/>
            </w:tcBorders>
          </w:tcPr>
          <w:p w14:paraId="27B49522" w14:textId="0820D20D" w:rsidR="005F6AF6" w:rsidRPr="005F6AF6" w:rsidRDefault="005F6AF6" w:rsidP="005F6AF6">
            <w:pPr>
              <w:spacing w:after="0" w:line="240" w:lineRule="auto"/>
              <w:jc w:val="right"/>
              <w:textAlignment w:val="baseline"/>
              <w:rPr>
                <w:rFonts w:ascii="Times New Roman" w:hAnsi="Times New Roman"/>
                <w:lang w:eastAsia="sk-SK"/>
              </w:rPr>
            </w:pPr>
            <w:r w:rsidRPr="005F6AF6">
              <w:rPr>
                <w:rFonts w:eastAsiaTheme="minorEastAsia"/>
                <w:color w:val="000000" w:themeColor="text1"/>
              </w:rPr>
              <w:t>1 624 388,62 €</w:t>
            </w:r>
          </w:p>
        </w:tc>
        <w:tc>
          <w:tcPr>
            <w:tcW w:w="1525" w:type="dxa"/>
            <w:gridSpan w:val="3"/>
            <w:tcBorders>
              <w:top w:val="nil"/>
              <w:left w:val="nil"/>
              <w:bottom w:val="single" w:sz="8" w:space="0" w:color="DCE6F1"/>
              <w:right w:val="nil"/>
            </w:tcBorders>
          </w:tcPr>
          <w:p w14:paraId="4A8678FA" w14:textId="03EF5079"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1 172 852,81 €</w:t>
            </w:r>
          </w:p>
        </w:tc>
      </w:tr>
      <w:tr w:rsidR="005F6AF6" w14:paraId="7FF510A7" w14:textId="23DBF373"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4421128B" w14:textId="77777777" w:rsidR="005F6AF6" w:rsidRDefault="005F6AF6" w:rsidP="005F6AF6">
            <w:pPr>
              <w:rPr>
                <w:color w:val="000000"/>
                <w:sz w:val="20"/>
                <w:lang w:eastAsia="sk-SK"/>
              </w:rPr>
            </w:pPr>
            <w:r>
              <w:rPr>
                <w:bCs/>
                <w:color w:val="000000"/>
              </w:rPr>
              <w:t>VOZOVKA - ÚDRŽBA A REKONŠTRUKCIA</w:t>
            </w:r>
          </w:p>
        </w:tc>
        <w:tc>
          <w:tcPr>
            <w:tcW w:w="1559" w:type="dxa"/>
            <w:gridSpan w:val="2"/>
            <w:tcBorders>
              <w:top w:val="nil"/>
              <w:left w:val="nil"/>
              <w:bottom w:val="single" w:sz="8" w:space="0" w:color="DCE6F1"/>
              <w:right w:val="nil"/>
            </w:tcBorders>
            <w:vAlign w:val="center"/>
          </w:tcPr>
          <w:p w14:paraId="4ABBE050" w14:textId="77777777" w:rsidR="005F6AF6" w:rsidRDefault="005F6AF6" w:rsidP="005F6AF6">
            <w:pPr>
              <w:jc w:val="right"/>
              <w:rPr>
                <w:sz w:val="20"/>
                <w:lang w:eastAsia="sk-SK"/>
              </w:rPr>
            </w:pPr>
            <w:r>
              <w:rPr>
                <w:bCs/>
                <w:color w:val="000000"/>
              </w:rPr>
              <w:t>934 346 €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24993ACD" w14:textId="77777777" w:rsidR="005F6AF6" w:rsidRPr="005F6AF6" w:rsidRDefault="005F6AF6" w:rsidP="005F6AF6">
            <w:pPr>
              <w:jc w:val="right"/>
              <w:rPr>
                <w:lang w:eastAsia="sk-SK"/>
              </w:rPr>
            </w:pPr>
            <w:r w:rsidRPr="005F6AF6">
              <w:rPr>
                <w:lang w:eastAsia="sk-SK"/>
              </w:rPr>
              <w:t xml:space="preserve">1 421 600,44 </w:t>
            </w:r>
            <w:r w:rsidRPr="005F6AF6">
              <w:rPr>
                <w:bCs/>
                <w:color w:val="000000"/>
              </w:rPr>
              <w:t>€</w:t>
            </w:r>
          </w:p>
          <w:p w14:paraId="257186DE" w14:textId="77777777" w:rsidR="005F6AF6" w:rsidRPr="005F6AF6" w:rsidRDefault="005F6AF6" w:rsidP="005F6AF6">
            <w:pPr>
              <w:jc w:val="right"/>
              <w:rPr>
                <w:lang w:eastAsia="sk-SK"/>
              </w:rPr>
            </w:pPr>
          </w:p>
        </w:tc>
        <w:tc>
          <w:tcPr>
            <w:tcW w:w="1559" w:type="dxa"/>
            <w:tcBorders>
              <w:top w:val="nil"/>
              <w:left w:val="nil"/>
              <w:bottom w:val="single" w:sz="8" w:space="0" w:color="DCE6F1"/>
              <w:right w:val="nil"/>
            </w:tcBorders>
          </w:tcPr>
          <w:p w14:paraId="0F4FB590" w14:textId="66EAE56C" w:rsidR="005F6AF6" w:rsidRPr="005F6AF6" w:rsidRDefault="005F6AF6" w:rsidP="005F6AF6">
            <w:pPr>
              <w:spacing w:after="0" w:line="240" w:lineRule="auto"/>
              <w:jc w:val="right"/>
              <w:textAlignment w:val="baseline"/>
              <w:rPr>
                <w:rFonts w:ascii="Times New Roman" w:hAnsi="Times New Roman"/>
                <w:lang w:eastAsia="sk-SK"/>
              </w:rPr>
            </w:pPr>
            <w:r w:rsidRPr="005F6AF6">
              <w:rPr>
                <w:rFonts w:eastAsiaTheme="minorEastAsia"/>
                <w:color w:val="000000" w:themeColor="text1"/>
              </w:rPr>
              <w:t>1 589 838,48 €</w:t>
            </w:r>
          </w:p>
        </w:tc>
        <w:tc>
          <w:tcPr>
            <w:tcW w:w="1525" w:type="dxa"/>
            <w:gridSpan w:val="3"/>
            <w:tcBorders>
              <w:top w:val="nil"/>
              <w:left w:val="nil"/>
              <w:bottom w:val="single" w:sz="8" w:space="0" w:color="DCE6F1"/>
              <w:right w:val="nil"/>
            </w:tcBorders>
          </w:tcPr>
          <w:p w14:paraId="48175A71" w14:textId="0EEEDCF8"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848 846,82 €</w:t>
            </w:r>
          </w:p>
        </w:tc>
      </w:tr>
      <w:tr w:rsidR="005F6AF6" w14:paraId="3E8D65A7" w14:textId="42F58ED2"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778CD179" w14:textId="77777777" w:rsidR="005F6AF6" w:rsidRDefault="005F6AF6" w:rsidP="005F6AF6">
            <w:pPr>
              <w:rPr>
                <w:color w:val="000000"/>
                <w:sz w:val="20"/>
                <w:lang w:eastAsia="sk-SK"/>
              </w:rPr>
            </w:pPr>
            <w:r>
              <w:rPr>
                <w:bCs/>
                <w:color w:val="000000"/>
              </w:rPr>
              <w:t>DOPRAVNÉ ZNAČENIA</w:t>
            </w:r>
          </w:p>
        </w:tc>
        <w:tc>
          <w:tcPr>
            <w:tcW w:w="1559" w:type="dxa"/>
            <w:gridSpan w:val="2"/>
            <w:tcBorders>
              <w:top w:val="nil"/>
              <w:left w:val="nil"/>
              <w:bottom w:val="single" w:sz="8" w:space="0" w:color="DCE6F1"/>
              <w:right w:val="nil"/>
            </w:tcBorders>
            <w:vAlign w:val="center"/>
          </w:tcPr>
          <w:p w14:paraId="55A1FCC8" w14:textId="77777777" w:rsidR="005F6AF6" w:rsidRDefault="005F6AF6" w:rsidP="005F6AF6">
            <w:pPr>
              <w:jc w:val="right"/>
              <w:rPr>
                <w:sz w:val="20"/>
                <w:lang w:eastAsia="sk-SK"/>
              </w:rPr>
            </w:pPr>
            <w:r>
              <w:rPr>
                <w:bCs/>
                <w:color w:val="000000"/>
              </w:rPr>
              <w:t>2 109 305 €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426B6131" w14:textId="77777777" w:rsidR="005F6AF6" w:rsidRPr="005F6AF6" w:rsidRDefault="005F6AF6" w:rsidP="005F6AF6">
            <w:pPr>
              <w:jc w:val="right"/>
              <w:rPr>
                <w:lang w:eastAsia="sk-SK"/>
              </w:rPr>
            </w:pPr>
            <w:r w:rsidRPr="005F6AF6">
              <w:rPr>
                <w:lang w:eastAsia="sk-SK"/>
              </w:rPr>
              <w:t xml:space="preserve">1 067 632,30 </w:t>
            </w:r>
            <w:r w:rsidRPr="005F6AF6">
              <w:rPr>
                <w:bCs/>
                <w:color w:val="000000"/>
              </w:rPr>
              <w:t>€</w:t>
            </w:r>
          </w:p>
        </w:tc>
        <w:tc>
          <w:tcPr>
            <w:tcW w:w="1559" w:type="dxa"/>
            <w:tcBorders>
              <w:top w:val="nil"/>
              <w:left w:val="nil"/>
              <w:bottom w:val="single" w:sz="8" w:space="0" w:color="DCE6F1"/>
              <w:right w:val="nil"/>
            </w:tcBorders>
          </w:tcPr>
          <w:p w14:paraId="2C7C7B28" w14:textId="5A6AA5D0" w:rsidR="005F6AF6" w:rsidRPr="005F6AF6" w:rsidRDefault="005F6AF6" w:rsidP="005F6AF6">
            <w:pPr>
              <w:spacing w:after="0" w:line="240" w:lineRule="auto"/>
              <w:jc w:val="right"/>
              <w:textAlignment w:val="baseline"/>
              <w:rPr>
                <w:rFonts w:ascii="Times New Roman" w:hAnsi="Times New Roman"/>
                <w:lang w:eastAsia="sk-SK"/>
              </w:rPr>
            </w:pPr>
            <w:r w:rsidRPr="005F6AF6">
              <w:rPr>
                <w:rFonts w:eastAsiaTheme="minorEastAsia"/>
                <w:color w:val="000000" w:themeColor="text1"/>
              </w:rPr>
              <w:t>1 013 367,89 €</w:t>
            </w:r>
          </w:p>
        </w:tc>
        <w:tc>
          <w:tcPr>
            <w:tcW w:w="1525" w:type="dxa"/>
            <w:gridSpan w:val="3"/>
            <w:tcBorders>
              <w:top w:val="nil"/>
              <w:left w:val="nil"/>
              <w:bottom w:val="single" w:sz="8" w:space="0" w:color="DCE6F1"/>
              <w:right w:val="nil"/>
            </w:tcBorders>
          </w:tcPr>
          <w:p w14:paraId="6174EC19" w14:textId="7C9FD39B"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977 697,75 €</w:t>
            </w:r>
          </w:p>
        </w:tc>
      </w:tr>
      <w:tr w:rsidR="005F6AF6" w14:paraId="50107EF3" w14:textId="5D9264CE"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51819361" w14:textId="77777777" w:rsidR="005F6AF6" w:rsidRDefault="005F6AF6" w:rsidP="005F6AF6">
            <w:pPr>
              <w:rPr>
                <w:color w:val="000000"/>
                <w:sz w:val="20"/>
              </w:rPr>
            </w:pPr>
            <w:r>
              <w:rPr>
                <w:bCs/>
                <w:color w:val="000000"/>
              </w:rPr>
              <w:t>BEZPEČNOSTNÉ ZARIADENIA A VYBAVENIA</w:t>
            </w:r>
          </w:p>
        </w:tc>
        <w:tc>
          <w:tcPr>
            <w:tcW w:w="1559" w:type="dxa"/>
            <w:gridSpan w:val="2"/>
            <w:tcBorders>
              <w:top w:val="nil"/>
              <w:left w:val="nil"/>
              <w:bottom w:val="single" w:sz="8" w:space="0" w:color="DCE6F1"/>
              <w:right w:val="nil"/>
            </w:tcBorders>
            <w:vAlign w:val="center"/>
          </w:tcPr>
          <w:p w14:paraId="5BDB1D36" w14:textId="77777777" w:rsidR="005F6AF6" w:rsidRDefault="005F6AF6" w:rsidP="005F6AF6">
            <w:pPr>
              <w:jc w:val="right"/>
              <w:rPr>
                <w:color w:val="000000"/>
              </w:rPr>
            </w:pPr>
            <w:r>
              <w:rPr>
                <w:bCs/>
                <w:color w:val="000000"/>
              </w:rPr>
              <w:t>291 902 €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7FFC785B" w14:textId="77777777" w:rsidR="005F6AF6" w:rsidRPr="005F6AF6" w:rsidRDefault="005F6AF6" w:rsidP="005F6AF6">
            <w:pPr>
              <w:jc w:val="right"/>
              <w:rPr>
                <w:color w:val="000000"/>
              </w:rPr>
            </w:pPr>
            <w:r w:rsidRPr="005F6AF6">
              <w:rPr>
                <w:color w:val="000000"/>
              </w:rPr>
              <w:t xml:space="preserve">40 585,74 </w:t>
            </w:r>
            <w:r w:rsidRPr="005F6AF6">
              <w:rPr>
                <w:bCs/>
                <w:color w:val="000000"/>
              </w:rPr>
              <w:t>€</w:t>
            </w:r>
          </w:p>
        </w:tc>
        <w:tc>
          <w:tcPr>
            <w:tcW w:w="1559" w:type="dxa"/>
            <w:tcBorders>
              <w:top w:val="nil"/>
              <w:left w:val="nil"/>
              <w:bottom w:val="single" w:sz="8" w:space="0" w:color="DCE6F1"/>
              <w:right w:val="nil"/>
            </w:tcBorders>
          </w:tcPr>
          <w:p w14:paraId="13A22FCD" w14:textId="57DD59A8" w:rsidR="005F6AF6" w:rsidRPr="005F6AF6" w:rsidRDefault="005F6AF6" w:rsidP="005F6AF6">
            <w:pPr>
              <w:spacing w:after="0" w:line="240" w:lineRule="auto"/>
              <w:jc w:val="right"/>
              <w:textAlignment w:val="baseline"/>
              <w:rPr>
                <w:rFonts w:ascii="Times New Roman" w:hAnsi="Times New Roman"/>
                <w:lang w:eastAsia="sk-SK"/>
              </w:rPr>
            </w:pPr>
            <w:r w:rsidRPr="005F6AF6">
              <w:rPr>
                <w:rFonts w:eastAsiaTheme="minorEastAsia"/>
                <w:color w:val="000000" w:themeColor="text1"/>
              </w:rPr>
              <w:t>38 165,44 €</w:t>
            </w:r>
          </w:p>
        </w:tc>
        <w:tc>
          <w:tcPr>
            <w:tcW w:w="1525" w:type="dxa"/>
            <w:gridSpan w:val="3"/>
            <w:tcBorders>
              <w:top w:val="nil"/>
              <w:left w:val="nil"/>
              <w:bottom w:val="single" w:sz="8" w:space="0" w:color="DCE6F1"/>
              <w:right w:val="nil"/>
            </w:tcBorders>
          </w:tcPr>
          <w:p w14:paraId="543217FD" w14:textId="1A85E662"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38 902,52 €</w:t>
            </w:r>
          </w:p>
        </w:tc>
      </w:tr>
      <w:tr w:rsidR="005F6AF6" w14:paraId="4302A340" w14:textId="20CF26FE"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23E301F4" w14:textId="77777777" w:rsidR="005F6AF6" w:rsidRDefault="005F6AF6" w:rsidP="005F6AF6">
            <w:pPr>
              <w:rPr>
                <w:color w:val="000000"/>
                <w:sz w:val="20"/>
              </w:rPr>
            </w:pPr>
            <w:r>
              <w:rPr>
                <w:bCs/>
                <w:color w:val="000000"/>
              </w:rPr>
              <w:t>CESTNÉ TELESO, KRAJNICE A ODVODNENIE</w:t>
            </w:r>
          </w:p>
        </w:tc>
        <w:tc>
          <w:tcPr>
            <w:tcW w:w="1559" w:type="dxa"/>
            <w:gridSpan w:val="2"/>
            <w:tcBorders>
              <w:top w:val="nil"/>
              <w:left w:val="nil"/>
              <w:bottom w:val="single" w:sz="8" w:space="0" w:color="DCE6F1"/>
              <w:right w:val="nil"/>
            </w:tcBorders>
            <w:vAlign w:val="center"/>
          </w:tcPr>
          <w:p w14:paraId="4FF68E58" w14:textId="77777777" w:rsidR="005F6AF6" w:rsidRDefault="005F6AF6" w:rsidP="005F6AF6">
            <w:pPr>
              <w:jc w:val="right"/>
              <w:rPr>
                <w:color w:val="000000"/>
              </w:rPr>
            </w:pPr>
            <w:r>
              <w:rPr>
                <w:bCs/>
                <w:color w:val="000000"/>
              </w:rPr>
              <w:t>1 350 639 €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40BFB816" w14:textId="77777777" w:rsidR="005F6AF6" w:rsidRPr="005F6AF6" w:rsidRDefault="005F6AF6" w:rsidP="005F6AF6">
            <w:pPr>
              <w:jc w:val="right"/>
              <w:rPr>
                <w:color w:val="000000"/>
              </w:rPr>
            </w:pPr>
            <w:r w:rsidRPr="005F6AF6">
              <w:rPr>
                <w:color w:val="000000"/>
              </w:rPr>
              <w:t xml:space="preserve">1 040 196,6 </w:t>
            </w:r>
            <w:r w:rsidRPr="005F6AF6">
              <w:rPr>
                <w:bCs/>
                <w:color w:val="000000"/>
              </w:rPr>
              <w:t>€</w:t>
            </w:r>
          </w:p>
          <w:p w14:paraId="1605EFF9" w14:textId="77777777" w:rsidR="005F6AF6" w:rsidRPr="005F6AF6" w:rsidRDefault="005F6AF6" w:rsidP="005F6AF6">
            <w:pPr>
              <w:jc w:val="right"/>
              <w:rPr>
                <w:color w:val="000000"/>
              </w:rPr>
            </w:pPr>
          </w:p>
        </w:tc>
        <w:tc>
          <w:tcPr>
            <w:tcW w:w="1559" w:type="dxa"/>
            <w:tcBorders>
              <w:top w:val="nil"/>
              <w:left w:val="nil"/>
              <w:bottom w:val="single" w:sz="8" w:space="0" w:color="DCE6F1"/>
              <w:right w:val="nil"/>
            </w:tcBorders>
          </w:tcPr>
          <w:p w14:paraId="6E1FAC20" w14:textId="77777777" w:rsidR="005F6AF6" w:rsidRPr="005F6AF6" w:rsidRDefault="005F6AF6" w:rsidP="005F6AF6">
            <w:pPr>
              <w:jc w:val="right"/>
              <w:rPr>
                <w:rFonts w:eastAsiaTheme="minorEastAsia"/>
                <w:color w:val="000000" w:themeColor="text1"/>
              </w:rPr>
            </w:pPr>
            <w:r w:rsidRPr="005F6AF6">
              <w:rPr>
                <w:rFonts w:eastAsiaTheme="minorEastAsia"/>
                <w:color w:val="000000" w:themeColor="text1"/>
              </w:rPr>
              <w:t>225 204,66€</w:t>
            </w:r>
          </w:p>
          <w:p w14:paraId="66F79456" w14:textId="61C56E27" w:rsidR="005F6AF6" w:rsidRPr="005F6AF6" w:rsidRDefault="005F6AF6" w:rsidP="005F6AF6">
            <w:pPr>
              <w:spacing w:after="0" w:line="240" w:lineRule="auto"/>
              <w:jc w:val="right"/>
              <w:textAlignment w:val="baseline"/>
              <w:rPr>
                <w:rFonts w:ascii="Times New Roman" w:hAnsi="Times New Roman"/>
                <w:lang w:eastAsia="sk-SK"/>
              </w:rPr>
            </w:pPr>
          </w:p>
        </w:tc>
        <w:tc>
          <w:tcPr>
            <w:tcW w:w="1525" w:type="dxa"/>
            <w:gridSpan w:val="3"/>
            <w:tcBorders>
              <w:top w:val="nil"/>
              <w:left w:val="nil"/>
              <w:bottom w:val="single" w:sz="8" w:space="0" w:color="DCE6F1"/>
              <w:right w:val="nil"/>
            </w:tcBorders>
          </w:tcPr>
          <w:p w14:paraId="4617AF32" w14:textId="1DE407DC"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120 892,06 €</w:t>
            </w:r>
          </w:p>
        </w:tc>
      </w:tr>
      <w:tr w:rsidR="005F6AF6" w14:paraId="3A664410" w14:textId="15A8F19A"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573D9954" w14:textId="77777777" w:rsidR="005F6AF6" w:rsidRDefault="005F6AF6" w:rsidP="005F6AF6">
            <w:pPr>
              <w:rPr>
                <w:color w:val="000000"/>
                <w:sz w:val="20"/>
              </w:rPr>
            </w:pPr>
            <w:r>
              <w:rPr>
                <w:bCs/>
                <w:color w:val="000000"/>
              </w:rPr>
              <w:t>MOSTY A PRÍSLUŠENSTVO, ZÁBRADLIA</w:t>
            </w:r>
          </w:p>
        </w:tc>
        <w:tc>
          <w:tcPr>
            <w:tcW w:w="1559" w:type="dxa"/>
            <w:gridSpan w:val="2"/>
            <w:tcBorders>
              <w:top w:val="nil"/>
              <w:left w:val="nil"/>
              <w:bottom w:val="single" w:sz="8" w:space="0" w:color="DCE6F1"/>
              <w:right w:val="nil"/>
            </w:tcBorders>
            <w:vAlign w:val="center"/>
          </w:tcPr>
          <w:p w14:paraId="5A500578" w14:textId="77777777" w:rsidR="005F6AF6" w:rsidRDefault="005F6AF6" w:rsidP="005F6AF6">
            <w:pPr>
              <w:jc w:val="right"/>
              <w:rPr>
                <w:color w:val="000000"/>
              </w:rPr>
            </w:pPr>
            <w:r>
              <w:rPr>
                <w:bCs/>
                <w:color w:val="000000"/>
              </w:rPr>
              <w:t>5 208 €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4AEEC41B" w14:textId="77777777" w:rsidR="005F6AF6" w:rsidRPr="005F6AF6" w:rsidRDefault="005F6AF6" w:rsidP="005F6AF6">
            <w:pPr>
              <w:jc w:val="right"/>
              <w:rPr>
                <w:color w:val="000000"/>
              </w:rPr>
            </w:pPr>
            <w:r w:rsidRPr="005F6AF6">
              <w:rPr>
                <w:color w:val="000000"/>
              </w:rPr>
              <w:t xml:space="preserve">7 563 08 </w:t>
            </w:r>
            <w:r w:rsidRPr="005F6AF6">
              <w:rPr>
                <w:bCs/>
                <w:color w:val="000000"/>
              </w:rPr>
              <w:t>€</w:t>
            </w:r>
          </w:p>
        </w:tc>
        <w:tc>
          <w:tcPr>
            <w:tcW w:w="1559" w:type="dxa"/>
            <w:tcBorders>
              <w:top w:val="nil"/>
              <w:left w:val="nil"/>
              <w:bottom w:val="single" w:sz="8" w:space="0" w:color="DCE6F1"/>
              <w:right w:val="nil"/>
            </w:tcBorders>
          </w:tcPr>
          <w:p w14:paraId="4057B081" w14:textId="77777777" w:rsidR="005F6AF6" w:rsidRPr="005F6AF6" w:rsidRDefault="005F6AF6" w:rsidP="005F6AF6">
            <w:pPr>
              <w:jc w:val="right"/>
              <w:rPr>
                <w:rFonts w:eastAsiaTheme="minorEastAsia"/>
                <w:color w:val="000000" w:themeColor="text1"/>
              </w:rPr>
            </w:pPr>
            <w:r w:rsidRPr="005F6AF6">
              <w:rPr>
                <w:rFonts w:eastAsiaTheme="minorEastAsia"/>
                <w:color w:val="000000" w:themeColor="text1"/>
              </w:rPr>
              <w:t>15 669,20€</w:t>
            </w:r>
          </w:p>
          <w:p w14:paraId="48D1F9BB" w14:textId="501B3F49" w:rsidR="005F6AF6" w:rsidRPr="005F6AF6" w:rsidRDefault="005F6AF6" w:rsidP="005F6AF6">
            <w:pPr>
              <w:spacing w:after="0" w:line="240" w:lineRule="auto"/>
              <w:jc w:val="right"/>
              <w:textAlignment w:val="baseline"/>
              <w:rPr>
                <w:rFonts w:ascii="Times New Roman" w:hAnsi="Times New Roman"/>
                <w:lang w:eastAsia="sk-SK"/>
              </w:rPr>
            </w:pPr>
          </w:p>
        </w:tc>
        <w:tc>
          <w:tcPr>
            <w:tcW w:w="1525" w:type="dxa"/>
            <w:gridSpan w:val="3"/>
            <w:tcBorders>
              <w:top w:val="nil"/>
              <w:left w:val="nil"/>
              <w:bottom w:val="single" w:sz="8" w:space="0" w:color="DCE6F1"/>
              <w:right w:val="nil"/>
            </w:tcBorders>
          </w:tcPr>
          <w:p w14:paraId="0D494BA8" w14:textId="500E369F"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11 818,54 €</w:t>
            </w:r>
          </w:p>
        </w:tc>
      </w:tr>
      <w:tr w:rsidR="005F6AF6" w14:paraId="6812C0BA" w14:textId="4FE83409"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004DFE72" w14:textId="77777777" w:rsidR="005F6AF6" w:rsidRDefault="005F6AF6" w:rsidP="005F6AF6">
            <w:pPr>
              <w:rPr>
                <w:color w:val="000000"/>
                <w:sz w:val="20"/>
              </w:rPr>
            </w:pPr>
            <w:r>
              <w:rPr>
                <w:bCs/>
                <w:color w:val="000000"/>
              </w:rPr>
              <w:t>OSTATNÉ OBJEKTY, ODSTAVNÉ PLOCHY A SKLÁDKY</w:t>
            </w:r>
          </w:p>
        </w:tc>
        <w:tc>
          <w:tcPr>
            <w:tcW w:w="1559" w:type="dxa"/>
            <w:gridSpan w:val="2"/>
            <w:tcBorders>
              <w:top w:val="nil"/>
              <w:left w:val="nil"/>
              <w:bottom w:val="single" w:sz="8" w:space="0" w:color="DCE6F1"/>
              <w:right w:val="nil"/>
            </w:tcBorders>
            <w:vAlign w:val="center"/>
          </w:tcPr>
          <w:p w14:paraId="341FB641" w14:textId="77777777" w:rsidR="005F6AF6" w:rsidRDefault="005F6AF6" w:rsidP="005F6AF6">
            <w:pPr>
              <w:jc w:val="right"/>
              <w:rPr>
                <w:color w:val="000000"/>
              </w:rPr>
            </w:pPr>
            <w:r>
              <w:rPr>
                <w:bCs/>
                <w:color w:val="000000"/>
              </w:rPr>
              <w:t>147 426 €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3F9FA172" w14:textId="77777777" w:rsidR="005F6AF6" w:rsidRPr="005F6AF6" w:rsidRDefault="005F6AF6" w:rsidP="005F6AF6">
            <w:pPr>
              <w:jc w:val="right"/>
              <w:rPr>
                <w:color w:val="000000"/>
              </w:rPr>
            </w:pPr>
            <w:r w:rsidRPr="005F6AF6">
              <w:rPr>
                <w:color w:val="000000"/>
              </w:rPr>
              <w:t xml:space="preserve">889,67 </w:t>
            </w:r>
            <w:r w:rsidRPr="005F6AF6">
              <w:rPr>
                <w:bCs/>
                <w:color w:val="000000"/>
              </w:rPr>
              <w:t>€</w:t>
            </w:r>
          </w:p>
        </w:tc>
        <w:tc>
          <w:tcPr>
            <w:tcW w:w="1559" w:type="dxa"/>
            <w:tcBorders>
              <w:top w:val="nil"/>
              <w:left w:val="nil"/>
              <w:bottom w:val="single" w:sz="8" w:space="0" w:color="DCE6F1"/>
              <w:right w:val="nil"/>
            </w:tcBorders>
          </w:tcPr>
          <w:p w14:paraId="50D9F584" w14:textId="77777777" w:rsidR="005F6AF6" w:rsidRPr="005F6AF6" w:rsidRDefault="005F6AF6" w:rsidP="005F6AF6">
            <w:pPr>
              <w:jc w:val="right"/>
              <w:rPr>
                <w:rFonts w:eastAsiaTheme="minorEastAsia"/>
                <w:color w:val="000000" w:themeColor="text1"/>
              </w:rPr>
            </w:pPr>
            <w:r w:rsidRPr="005F6AF6">
              <w:rPr>
                <w:rFonts w:eastAsiaTheme="minorEastAsia"/>
                <w:color w:val="000000" w:themeColor="text1"/>
              </w:rPr>
              <w:t>2 945,95€</w:t>
            </w:r>
          </w:p>
          <w:p w14:paraId="554C3825" w14:textId="7F1B2EA9" w:rsidR="005F6AF6" w:rsidRPr="005F6AF6" w:rsidRDefault="005F6AF6" w:rsidP="005F6AF6">
            <w:pPr>
              <w:spacing w:after="0" w:line="240" w:lineRule="auto"/>
              <w:jc w:val="right"/>
              <w:textAlignment w:val="baseline"/>
              <w:rPr>
                <w:rFonts w:ascii="Times New Roman" w:hAnsi="Times New Roman"/>
                <w:lang w:eastAsia="sk-SK"/>
              </w:rPr>
            </w:pPr>
          </w:p>
        </w:tc>
        <w:tc>
          <w:tcPr>
            <w:tcW w:w="1525" w:type="dxa"/>
            <w:gridSpan w:val="3"/>
            <w:tcBorders>
              <w:top w:val="nil"/>
              <w:left w:val="nil"/>
              <w:bottom w:val="single" w:sz="8" w:space="0" w:color="DCE6F1"/>
              <w:right w:val="nil"/>
            </w:tcBorders>
          </w:tcPr>
          <w:p w14:paraId="1A212C77" w14:textId="4C525857"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3 456,83 €</w:t>
            </w:r>
          </w:p>
        </w:tc>
      </w:tr>
      <w:tr w:rsidR="005F6AF6" w14:paraId="1B8E299C" w14:textId="05B399FD"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32787EE1" w14:textId="77777777" w:rsidR="005F6AF6" w:rsidRDefault="005F6AF6" w:rsidP="005F6AF6">
            <w:pPr>
              <w:rPr>
                <w:color w:val="000000"/>
                <w:sz w:val="20"/>
              </w:rPr>
            </w:pPr>
            <w:r>
              <w:rPr>
                <w:bCs/>
                <w:color w:val="000000"/>
              </w:rPr>
              <w:t>STROMY, TRÁVNE PORASTY - OŠETROVANIE</w:t>
            </w:r>
          </w:p>
        </w:tc>
        <w:tc>
          <w:tcPr>
            <w:tcW w:w="1559" w:type="dxa"/>
            <w:gridSpan w:val="2"/>
            <w:tcBorders>
              <w:top w:val="nil"/>
              <w:left w:val="nil"/>
              <w:bottom w:val="single" w:sz="8" w:space="0" w:color="DCE6F1"/>
              <w:right w:val="nil"/>
            </w:tcBorders>
            <w:vAlign w:val="center"/>
          </w:tcPr>
          <w:p w14:paraId="7C799755" w14:textId="77777777" w:rsidR="005F6AF6" w:rsidRDefault="005F6AF6" w:rsidP="005F6AF6">
            <w:pPr>
              <w:jc w:val="right"/>
              <w:rPr>
                <w:color w:val="000000"/>
              </w:rPr>
            </w:pPr>
            <w:r>
              <w:rPr>
                <w:bCs/>
                <w:color w:val="000000"/>
              </w:rPr>
              <w:t>977 760 €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5FAF8174" w14:textId="77777777" w:rsidR="005F6AF6" w:rsidRPr="005F6AF6" w:rsidRDefault="005F6AF6" w:rsidP="005F6AF6">
            <w:pPr>
              <w:jc w:val="right"/>
              <w:rPr>
                <w:color w:val="000000"/>
              </w:rPr>
            </w:pPr>
            <w:r w:rsidRPr="005F6AF6">
              <w:rPr>
                <w:color w:val="000000"/>
              </w:rPr>
              <w:t xml:space="preserve">1 057 979,14 </w:t>
            </w:r>
            <w:r w:rsidRPr="005F6AF6">
              <w:rPr>
                <w:bCs/>
                <w:color w:val="000000"/>
              </w:rPr>
              <w:t>€</w:t>
            </w:r>
          </w:p>
          <w:p w14:paraId="6B06166E" w14:textId="77777777" w:rsidR="005F6AF6" w:rsidRPr="005F6AF6" w:rsidRDefault="005F6AF6" w:rsidP="005F6AF6">
            <w:pPr>
              <w:jc w:val="right"/>
              <w:rPr>
                <w:color w:val="000000"/>
              </w:rPr>
            </w:pPr>
          </w:p>
        </w:tc>
        <w:tc>
          <w:tcPr>
            <w:tcW w:w="1559" w:type="dxa"/>
            <w:tcBorders>
              <w:top w:val="nil"/>
              <w:left w:val="nil"/>
              <w:bottom w:val="single" w:sz="8" w:space="0" w:color="DCE6F1"/>
              <w:right w:val="nil"/>
            </w:tcBorders>
          </w:tcPr>
          <w:p w14:paraId="7E8F102C" w14:textId="77777777" w:rsidR="005F6AF6" w:rsidRPr="005F6AF6" w:rsidRDefault="005F6AF6" w:rsidP="005F6AF6">
            <w:pPr>
              <w:jc w:val="right"/>
              <w:rPr>
                <w:rFonts w:eastAsiaTheme="minorEastAsia"/>
                <w:color w:val="000000" w:themeColor="text1"/>
              </w:rPr>
            </w:pPr>
            <w:r w:rsidRPr="005F6AF6">
              <w:rPr>
                <w:rFonts w:eastAsiaTheme="minorEastAsia"/>
                <w:color w:val="000000" w:themeColor="text1"/>
              </w:rPr>
              <w:t>599 309,72€</w:t>
            </w:r>
          </w:p>
          <w:p w14:paraId="42FA68AA" w14:textId="54ACA6FD" w:rsidR="005F6AF6" w:rsidRPr="005F6AF6" w:rsidRDefault="005F6AF6" w:rsidP="005F6AF6">
            <w:pPr>
              <w:spacing w:after="0" w:line="240" w:lineRule="auto"/>
              <w:jc w:val="right"/>
              <w:textAlignment w:val="baseline"/>
              <w:rPr>
                <w:rFonts w:ascii="Times New Roman" w:hAnsi="Times New Roman"/>
                <w:lang w:eastAsia="sk-SK"/>
              </w:rPr>
            </w:pPr>
          </w:p>
        </w:tc>
        <w:tc>
          <w:tcPr>
            <w:tcW w:w="1525" w:type="dxa"/>
            <w:gridSpan w:val="3"/>
            <w:tcBorders>
              <w:top w:val="nil"/>
              <w:left w:val="nil"/>
              <w:bottom w:val="single" w:sz="8" w:space="0" w:color="DCE6F1"/>
              <w:right w:val="nil"/>
            </w:tcBorders>
          </w:tcPr>
          <w:p w14:paraId="562740B2" w14:textId="0E13CEA3"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468 022,37 €</w:t>
            </w:r>
          </w:p>
        </w:tc>
      </w:tr>
      <w:tr w:rsidR="005F6AF6" w14:paraId="7DC56711" w14:textId="3AE9D8F0" w:rsidTr="005F6AF6">
        <w:trPr>
          <w:trHeight w:hRule="exact" w:val="312"/>
        </w:trPr>
        <w:tc>
          <w:tcPr>
            <w:tcW w:w="4395" w:type="dxa"/>
            <w:tcBorders>
              <w:top w:val="nil"/>
              <w:left w:val="nil"/>
              <w:bottom w:val="single" w:sz="8" w:space="0" w:color="DCE6F1"/>
              <w:right w:val="nil"/>
            </w:tcBorders>
            <w:noWrap/>
            <w:tcMar>
              <w:top w:w="0" w:type="dxa"/>
              <w:left w:w="70" w:type="dxa"/>
              <w:bottom w:w="0" w:type="dxa"/>
              <w:right w:w="70" w:type="dxa"/>
            </w:tcMar>
            <w:vAlign w:val="center"/>
            <w:hideMark/>
          </w:tcPr>
          <w:p w14:paraId="37DF1612" w14:textId="77777777" w:rsidR="005F6AF6" w:rsidRDefault="005F6AF6" w:rsidP="005F6AF6">
            <w:pPr>
              <w:rPr>
                <w:color w:val="000000"/>
                <w:sz w:val="20"/>
                <w:lang w:eastAsia="sk-SK"/>
              </w:rPr>
            </w:pPr>
            <w:r>
              <w:rPr>
                <w:bCs/>
                <w:color w:val="000000"/>
              </w:rPr>
              <w:t>OSTATNÉ ČINNOSTI</w:t>
            </w:r>
          </w:p>
        </w:tc>
        <w:tc>
          <w:tcPr>
            <w:tcW w:w="1559" w:type="dxa"/>
            <w:gridSpan w:val="2"/>
            <w:tcBorders>
              <w:top w:val="nil"/>
              <w:left w:val="nil"/>
              <w:bottom w:val="single" w:sz="8" w:space="0" w:color="DCE6F1"/>
              <w:right w:val="nil"/>
            </w:tcBorders>
            <w:vAlign w:val="center"/>
          </w:tcPr>
          <w:p w14:paraId="395CE382" w14:textId="77777777" w:rsidR="005F6AF6" w:rsidRDefault="005F6AF6" w:rsidP="005F6AF6">
            <w:pPr>
              <w:jc w:val="right"/>
              <w:rPr>
                <w:sz w:val="20"/>
                <w:lang w:eastAsia="sk-SK"/>
              </w:rPr>
            </w:pPr>
            <w:r>
              <w:rPr>
                <w:bCs/>
                <w:color w:val="000000"/>
              </w:rPr>
              <w:t>886 €</w:t>
            </w:r>
          </w:p>
        </w:tc>
        <w:tc>
          <w:tcPr>
            <w:tcW w:w="1559" w:type="dxa"/>
            <w:tcBorders>
              <w:top w:val="nil"/>
              <w:left w:val="nil"/>
              <w:bottom w:val="single" w:sz="8" w:space="0" w:color="DCE6F1"/>
              <w:right w:val="nil"/>
            </w:tcBorders>
            <w:tcMar>
              <w:top w:w="0" w:type="dxa"/>
              <w:left w:w="70" w:type="dxa"/>
              <w:bottom w:w="0" w:type="dxa"/>
              <w:right w:w="70" w:type="dxa"/>
            </w:tcMar>
            <w:vAlign w:val="center"/>
          </w:tcPr>
          <w:p w14:paraId="3B90B79C" w14:textId="77777777" w:rsidR="005F6AF6" w:rsidRPr="005F6AF6" w:rsidRDefault="005F6AF6" w:rsidP="005F6AF6">
            <w:pPr>
              <w:jc w:val="right"/>
              <w:rPr>
                <w:lang w:eastAsia="sk-SK"/>
              </w:rPr>
            </w:pPr>
            <w:r w:rsidRPr="005F6AF6">
              <w:rPr>
                <w:lang w:eastAsia="sk-SK"/>
              </w:rPr>
              <w:t xml:space="preserve">649,44 </w:t>
            </w:r>
            <w:r w:rsidRPr="005F6AF6">
              <w:rPr>
                <w:bCs/>
                <w:color w:val="000000"/>
              </w:rPr>
              <w:t>€</w:t>
            </w:r>
          </w:p>
        </w:tc>
        <w:tc>
          <w:tcPr>
            <w:tcW w:w="1559" w:type="dxa"/>
            <w:tcBorders>
              <w:top w:val="nil"/>
              <w:left w:val="nil"/>
              <w:bottom w:val="single" w:sz="8" w:space="0" w:color="DCE6F1"/>
              <w:right w:val="nil"/>
            </w:tcBorders>
          </w:tcPr>
          <w:p w14:paraId="39E0BD27" w14:textId="46BD8CFF" w:rsidR="005F6AF6" w:rsidRPr="005F6AF6" w:rsidRDefault="005F6AF6" w:rsidP="005F6AF6">
            <w:pPr>
              <w:spacing w:after="0" w:line="240" w:lineRule="auto"/>
              <w:jc w:val="right"/>
              <w:textAlignment w:val="baseline"/>
              <w:rPr>
                <w:rFonts w:ascii="Times New Roman" w:hAnsi="Times New Roman"/>
                <w:lang w:eastAsia="sk-SK"/>
              </w:rPr>
            </w:pPr>
            <w:r w:rsidRPr="005F6AF6">
              <w:rPr>
                <w:rFonts w:eastAsiaTheme="minorEastAsia"/>
                <w:color w:val="000000" w:themeColor="text1"/>
              </w:rPr>
              <w:t>262,73 €</w:t>
            </w:r>
          </w:p>
        </w:tc>
        <w:tc>
          <w:tcPr>
            <w:tcW w:w="1525" w:type="dxa"/>
            <w:gridSpan w:val="3"/>
            <w:tcBorders>
              <w:top w:val="nil"/>
              <w:left w:val="nil"/>
              <w:bottom w:val="single" w:sz="8" w:space="0" w:color="DCE6F1"/>
              <w:right w:val="nil"/>
            </w:tcBorders>
          </w:tcPr>
          <w:p w14:paraId="383434B9" w14:textId="28EAEC34" w:rsidR="005F6AF6" w:rsidRPr="005F6AF6" w:rsidRDefault="005F6AF6" w:rsidP="005F6AF6">
            <w:pPr>
              <w:spacing w:after="0" w:line="240" w:lineRule="auto"/>
              <w:jc w:val="right"/>
              <w:textAlignment w:val="baseline"/>
              <w:rPr>
                <w:rFonts w:cs="Calibri"/>
                <w:color w:val="000000"/>
                <w:lang w:eastAsia="sk-SK"/>
              </w:rPr>
            </w:pPr>
            <w:r w:rsidRPr="005F6AF6">
              <w:rPr>
                <w:rFonts w:eastAsiaTheme="minorEastAsia"/>
                <w:color w:val="000000" w:themeColor="text1"/>
              </w:rPr>
              <w:t>59,04 €</w:t>
            </w:r>
          </w:p>
        </w:tc>
      </w:tr>
      <w:tr w:rsidR="005F6AF6" w:rsidRPr="000D552D" w14:paraId="3B25F64A" w14:textId="45D76643" w:rsidTr="005F6AF6">
        <w:trPr>
          <w:trHeight w:hRule="exact" w:val="311"/>
        </w:trPr>
        <w:tc>
          <w:tcPr>
            <w:tcW w:w="4395" w:type="dxa"/>
            <w:tcBorders>
              <w:top w:val="nil"/>
              <w:left w:val="nil"/>
              <w:bottom w:val="single" w:sz="8" w:space="0" w:color="4F81BD"/>
              <w:right w:val="nil"/>
            </w:tcBorders>
            <w:shd w:val="clear" w:color="auto" w:fill="DCE6F1"/>
            <w:noWrap/>
            <w:tcMar>
              <w:top w:w="0" w:type="dxa"/>
              <w:left w:w="70" w:type="dxa"/>
              <w:bottom w:w="0" w:type="dxa"/>
              <w:right w:w="70" w:type="dxa"/>
            </w:tcMar>
            <w:vAlign w:val="center"/>
            <w:hideMark/>
          </w:tcPr>
          <w:p w14:paraId="190FF894" w14:textId="77777777" w:rsidR="005F6AF6" w:rsidRDefault="005F6AF6" w:rsidP="005F6AF6">
            <w:pPr>
              <w:rPr>
                <w:b/>
                <w:bCs/>
                <w:color w:val="000000"/>
                <w:sz w:val="24"/>
                <w:szCs w:val="24"/>
                <w:lang w:eastAsia="sk-SK"/>
              </w:rPr>
            </w:pPr>
            <w:r>
              <w:rPr>
                <w:b/>
                <w:bCs/>
                <w:color w:val="000000"/>
                <w:sz w:val="24"/>
                <w:szCs w:val="24"/>
                <w:lang w:eastAsia="sk-SK"/>
              </w:rPr>
              <w:t>Celkom</w:t>
            </w:r>
          </w:p>
        </w:tc>
        <w:tc>
          <w:tcPr>
            <w:tcW w:w="1559" w:type="dxa"/>
            <w:gridSpan w:val="2"/>
            <w:tcBorders>
              <w:top w:val="nil"/>
              <w:left w:val="nil"/>
              <w:bottom w:val="single" w:sz="8" w:space="0" w:color="4F81BD"/>
              <w:right w:val="nil"/>
            </w:tcBorders>
            <w:shd w:val="clear" w:color="auto" w:fill="DCE6F1"/>
            <w:vAlign w:val="bottom"/>
          </w:tcPr>
          <w:p w14:paraId="60BF45A1" w14:textId="77777777" w:rsidR="005F6AF6" w:rsidRDefault="005F6AF6" w:rsidP="005F6AF6">
            <w:pPr>
              <w:spacing w:after="0" w:line="240" w:lineRule="auto"/>
              <w:ind w:firstLineChars="200" w:firstLine="442"/>
              <w:jc w:val="right"/>
              <w:rPr>
                <w:b/>
                <w:bCs/>
                <w:color w:val="000000"/>
              </w:rPr>
            </w:pPr>
            <w:r>
              <w:rPr>
                <w:b/>
                <w:bCs/>
                <w:color w:val="000000"/>
              </w:rPr>
              <w:t>9 090 178 €</w:t>
            </w:r>
          </w:p>
          <w:p w14:paraId="24DF11FF" w14:textId="77777777" w:rsidR="005F6AF6" w:rsidRDefault="005F6AF6" w:rsidP="005F6AF6">
            <w:pPr>
              <w:jc w:val="right"/>
              <w:rPr>
                <w:b/>
                <w:bCs/>
                <w:sz w:val="24"/>
                <w:szCs w:val="24"/>
                <w:highlight w:val="yellow"/>
              </w:rPr>
            </w:pPr>
          </w:p>
        </w:tc>
        <w:tc>
          <w:tcPr>
            <w:tcW w:w="1559" w:type="dxa"/>
            <w:tcBorders>
              <w:top w:val="nil"/>
              <w:left w:val="nil"/>
              <w:bottom w:val="single" w:sz="8" w:space="0" w:color="4F81BD"/>
              <w:right w:val="nil"/>
            </w:tcBorders>
            <w:shd w:val="clear" w:color="auto" w:fill="DCE6F1"/>
            <w:tcMar>
              <w:top w:w="0" w:type="dxa"/>
              <w:left w:w="70" w:type="dxa"/>
              <w:bottom w:w="0" w:type="dxa"/>
              <w:right w:w="70" w:type="dxa"/>
            </w:tcMar>
            <w:vAlign w:val="bottom"/>
          </w:tcPr>
          <w:p w14:paraId="1CC23BAE" w14:textId="77777777" w:rsidR="005F6AF6" w:rsidRPr="005F4994" w:rsidRDefault="005F6AF6" w:rsidP="005F6AF6">
            <w:pPr>
              <w:spacing w:after="0" w:line="240" w:lineRule="auto"/>
              <w:jc w:val="right"/>
              <w:rPr>
                <w:b/>
                <w:bCs/>
                <w:color w:val="000000"/>
              </w:rPr>
            </w:pPr>
            <w:r w:rsidRPr="005F4994">
              <w:rPr>
                <w:b/>
                <w:bCs/>
                <w:color w:val="000000"/>
              </w:rPr>
              <w:t xml:space="preserve">6 189 310,54 </w:t>
            </w:r>
            <w:r w:rsidRPr="005F4994">
              <w:rPr>
                <w:bCs/>
                <w:color w:val="000000"/>
              </w:rPr>
              <w:t>€</w:t>
            </w:r>
          </w:p>
        </w:tc>
        <w:tc>
          <w:tcPr>
            <w:tcW w:w="1559" w:type="dxa"/>
            <w:tcBorders>
              <w:top w:val="nil"/>
              <w:left w:val="nil"/>
              <w:bottom w:val="single" w:sz="8" w:space="0" w:color="4F81BD"/>
              <w:right w:val="nil"/>
            </w:tcBorders>
            <w:shd w:val="clear" w:color="auto" w:fill="DCE6F1"/>
          </w:tcPr>
          <w:p w14:paraId="62784618" w14:textId="7E5ACB96" w:rsidR="005F6AF6" w:rsidRPr="006F6256" w:rsidRDefault="005F6AF6" w:rsidP="005F6AF6">
            <w:pPr>
              <w:spacing w:after="0" w:line="240" w:lineRule="auto"/>
              <w:jc w:val="right"/>
              <w:textAlignment w:val="baseline"/>
              <w:rPr>
                <w:rFonts w:ascii="Times New Roman" w:hAnsi="Times New Roman"/>
                <w:sz w:val="24"/>
                <w:szCs w:val="24"/>
                <w:lang w:eastAsia="sk-SK"/>
              </w:rPr>
            </w:pPr>
            <w:r w:rsidRPr="3B9E72DB">
              <w:rPr>
                <w:rFonts w:eastAsiaTheme="minorEastAsia"/>
                <w:b/>
                <w:bCs/>
                <w:color w:val="000000" w:themeColor="text1"/>
              </w:rPr>
              <w:t>5 109 152,69 €</w:t>
            </w:r>
          </w:p>
        </w:tc>
        <w:tc>
          <w:tcPr>
            <w:tcW w:w="1525" w:type="dxa"/>
            <w:gridSpan w:val="3"/>
            <w:tcBorders>
              <w:top w:val="nil"/>
              <w:left w:val="nil"/>
              <w:bottom w:val="single" w:sz="8" w:space="0" w:color="4F81BD"/>
              <w:right w:val="nil"/>
            </w:tcBorders>
            <w:shd w:val="clear" w:color="auto" w:fill="DCE6F1"/>
          </w:tcPr>
          <w:p w14:paraId="737AF5FF" w14:textId="57744814" w:rsidR="005F6AF6" w:rsidRPr="006F6256" w:rsidRDefault="005F6AF6" w:rsidP="005F6AF6">
            <w:pPr>
              <w:spacing w:after="0" w:line="240" w:lineRule="auto"/>
              <w:jc w:val="right"/>
              <w:textAlignment w:val="baseline"/>
              <w:rPr>
                <w:rFonts w:cs="Calibri"/>
                <w:b/>
                <w:bCs/>
                <w:color w:val="000000"/>
                <w:lang w:eastAsia="sk-SK"/>
              </w:rPr>
            </w:pPr>
            <w:r>
              <w:rPr>
                <w:rFonts w:eastAsiaTheme="minorEastAsia"/>
                <w:b/>
                <w:bCs/>
                <w:color w:val="000000" w:themeColor="text1"/>
              </w:rPr>
              <w:t>3 642 548,74 €</w:t>
            </w:r>
          </w:p>
        </w:tc>
      </w:tr>
    </w:tbl>
    <w:p w14:paraId="3A663A1E" w14:textId="77777777" w:rsidR="005F4994" w:rsidRDefault="005F4994" w:rsidP="005F4994">
      <w:pPr>
        <w:spacing w:after="0" w:line="240" w:lineRule="auto"/>
        <w:jc w:val="both"/>
        <w:textAlignment w:val="baseline"/>
        <w:rPr>
          <w:rFonts w:cs="Calibri"/>
          <w:color w:val="000000"/>
          <w:lang w:eastAsia="sk-SK"/>
        </w:rPr>
      </w:pPr>
    </w:p>
    <w:p w14:paraId="4B15D30E" w14:textId="12D354FB" w:rsidR="00076613" w:rsidRPr="00C12F78" w:rsidRDefault="00076613" w:rsidP="00076613">
      <w:pPr>
        <w:pStyle w:val="Nadpis2"/>
        <w:rPr>
          <w:rFonts w:asciiTheme="minorHAnsi" w:hAnsiTheme="minorHAnsi" w:cstheme="minorHAnsi"/>
          <w:color w:val="880000"/>
        </w:rPr>
      </w:pPr>
      <w:r w:rsidRPr="00C12F78">
        <w:rPr>
          <w:rFonts w:asciiTheme="minorHAnsi" w:hAnsiTheme="minorHAnsi" w:cstheme="minorHAnsi"/>
          <w:color w:val="880000"/>
        </w:rPr>
        <w:t>Program 7: Doprava</w:t>
      </w:r>
    </w:p>
    <w:p w14:paraId="1F4E974E" w14:textId="77777777" w:rsidR="00076613" w:rsidRPr="00C12F78" w:rsidRDefault="00076613" w:rsidP="00076613">
      <w:pPr>
        <w:pStyle w:val="Normlnywebov"/>
        <w:rPr>
          <w:rFonts w:asciiTheme="minorHAnsi" w:hAnsiTheme="minorHAnsi" w:cstheme="minorHAnsi"/>
        </w:rPr>
      </w:pPr>
      <w:r w:rsidRPr="00C12F78">
        <w:rPr>
          <w:rFonts w:asciiTheme="minorHAnsi" w:hAnsiTheme="minorHAnsi" w:cstheme="minorHAnsi"/>
          <w:b/>
          <w:bCs/>
        </w:rPr>
        <w:t xml:space="preserve">Zámer: </w:t>
      </w:r>
      <w:r w:rsidRPr="00C12F78">
        <w:rPr>
          <w:rFonts w:asciiTheme="minorHAnsi" w:hAnsiTheme="minorHAnsi" w:cstheme="minorHAnsi"/>
        </w:rPr>
        <w:t>Atraktívna a konkurencieschopná verejná doprava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08"/>
        <w:gridCol w:w="2023"/>
        <w:gridCol w:w="1561"/>
        <w:gridCol w:w="1224"/>
        <w:gridCol w:w="1216"/>
        <w:gridCol w:w="902"/>
        <w:gridCol w:w="2432"/>
      </w:tblGrid>
      <w:tr w:rsidR="00076613" w:rsidRPr="00C12F78" w14:paraId="5210DF4B" w14:textId="77777777" w:rsidTr="004B79E4">
        <w:trPr>
          <w:tblCellSpacing w:w="15" w:type="dxa"/>
        </w:trPr>
        <w:tc>
          <w:tcPr>
            <w:tcW w:w="0" w:type="auto"/>
            <w:shd w:val="clear" w:color="auto" w:fill="C6DBF7"/>
            <w:vAlign w:val="center"/>
            <w:hideMark/>
          </w:tcPr>
          <w:p w14:paraId="250F4F4C" w14:textId="77777777" w:rsidR="00076613" w:rsidRPr="00C12F78" w:rsidRDefault="00076613" w:rsidP="004B79E4">
            <w:pPr>
              <w:jc w:val="center"/>
              <w:rPr>
                <w:rFonts w:cstheme="minorHAnsi"/>
              </w:rPr>
            </w:pPr>
            <w:r w:rsidRPr="00C12F78">
              <w:rPr>
                <w:rFonts w:cstheme="minorHAnsi"/>
                <w:b/>
                <w:bCs/>
                <w:sz w:val="20"/>
                <w:szCs w:val="20"/>
              </w:rPr>
              <w:t>Kód EK</w:t>
            </w:r>
          </w:p>
        </w:tc>
        <w:tc>
          <w:tcPr>
            <w:tcW w:w="952" w:type="pct"/>
            <w:shd w:val="clear" w:color="auto" w:fill="C6DBF7"/>
            <w:vAlign w:val="center"/>
            <w:hideMark/>
          </w:tcPr>
          <w:p w14:paraId="5761E6C8" w14:textId="77777777" w:rsidR="00076613" w:rsidRPr="00C12F78" w:rsidRDefault="00076613" w:rsidP="004B79E4">
            <w:pPr>
              <w:jc w:val="center"/>
              <w:rPr>
                <w:rFonts w:cstheme="minorHAnsi"/>
              </w:rPr>
            </w:pPr>
            <w:r w:rsidRPr="00C12F78">
              <w:rPr>
                <w:rFonts w:cstheme="minorHAnsi"/>
                <w:b/>
                <w:bCs/>
                <w:sz w:val="20"/>
                <w:szCs w:val="20"/>
              </w:rPr>
              <w:t>Ekonomická klasifikácia</w:t>
            </w:r>
          </w:p>
        </w:tc>
        <w:tc>
          <w:tcPr>
            <w:tcW w:w="756" w:type="pct"/>
            <w:shd w:val="clear" w:color="auto" w:fill="C6DBF7"/>
            <w:vAlign w:val="center"/>
            <w:hideMark/>
          </w:tcPr>
          <w:p w14:paraId="61DF6E21" w14:textId="77777777" w:rsidR="00076613" w:rsidRPr="00C12F78" w:rsidRDefault="00076613" w:rsidP="004B79E4">
            <w:pPr>
              <w:jc w:val="center"/>
              <w:rPr>
                <w:rFonts w:cstheme="minorHAnsi"/>
              </w:rPr>
            </w:pPr>
            <w:r w:rsidRPr="00C12F78">
              <w:rPr>
                <w:rFonts w:cstheme="minorHAnsi"/>
                <w:b/>
                <w:bCs/>
                <w:sz w:val="20"/>
                <w:szCs w:val="20"/>
              </w:rPr>
              <w:t>Schválený</w:t>
            </w:r>
            <w:r w:rsidRPr="00C12F78">
              <w:rPr>
                <w:rFonts w:cstheme="minorHAnsi"/>
                <w:b/>
                <w:bCs/>
                <w:sz w:val="20"/>
                <w:szCs w:val="20"/>
              </w:rPr>
              <w:br/>
              <w:t>rozpočet</w:t>
            </w:r>
            <w:r w:rsidRPr="00C12F78">
              <w:rPr>
                <w:rFonts w:cstheme="minorHAnsi"/>
                <w:b/>
                <w:bCs/>
                <w:sz w:val="20"/>
                <w:szCs w:val="20"/>
              </w:rPr>
              <w:br/>
              <w:t>v EUR</w:t>
            </w:r>
          </w:p>
        </w:tc>
        <w:tc>
          <w:tcPr>
            <w:tcW w:w="591" w:type="pct"/>
            <w:shd w:val="clear" w:color="auto" w:fill="C6DBF7"/>
            <w:vAlign w:val="center"/>
            <w:hideMark/>
          </w:tcPr>
          <w:p w14:paraId="5390E245" w14:textId="77777777" w:rsidR="00076613" w:rsidRPr="00C12F78" w:rsidRDefault="00076613" w:rsidP="004B79E4">
            <w:pPr>
              <w:jc w:val="center"/>
              <w:rPr>
                <w:rFonts w:cstheme="minorHAnsi"/>
              </w:rPr>
            </w:pPr>
            <w:r w:rsidRPr="00C12F78">
              <w:rPr>
                <w:rFonts w:cstheme="minorHAnsi"/>
                <w:b/>
                <w:bCs/>
                <w:sz w:val="20"/>
                <w:szCs w:val="20"/>
              </w:rPr>
              <w:t>Zmenený</w:t>
            </w:r>
            <w:r w:rsidRPr="00C12F78">
              <w:rPr>
                <w:rFonts w:cstheme="minorHAnsi"/>
                <w:b/>
                <w:bCs/>
                <w:sz w:val="20"/>
                <w:szCs w:val="20"/>
              </w:rPr>
              <w:br/>
              <w:t>rozpočet</w:t>
            </w:r>
            <w:r w:rsidRPr="00C12F78">
              <w:rPr>
                <w:rFonts w:cstheme="minorHAnsi"/>
                <w:b/>
                <w:bCs/>
                <w:sz w:val="20"/>
                <w:szCs w:val="20"/>
              </w:rPr>
              <w:br/>
              <w:t>v EUR</w:t>
            </w:r>
          </w:p>
        </w:tc>
        <w:tc>
          <w:tcPr>
            <w:tcW w:w="567" w:type="pct"/>
            <w:shd w:val="clear" w:color="auto" w:fill="C6DBF7"/>
            <w:vAlign w:val="center"/>
            <w:hideMark/>
          </w:tcPr>
          <w:p w14:paraId="78455BB0" w14:textId="77777777" w:rsidR="00076613" w:rsidRPr="00C12F78" w:rsidRDefault="00076613" w:rsidP="004B79E4">
            <w:pPr>
              <w:jc w:val="center"/>
              <w:rPr>
                <w:rFonts w:cstheme="minorHAnsi"/>
              </w:rPr>
            </w:pPr>
            <w:r w:rsidRPr="00C12F78">
              <w:rPr>
                <w:rFonts w:cstheme="minorHAnsi"/>
                <w:b/>
                <w:bCs/>
                <w:sz w:val="20"/>
                <w:szCs w:val="20"/>
              </w:rPr>
              <w:t>Čerpanie</w:t>
            </w:r>
            <w:r w:rsidRPr="00C12F78">
              <w:rPr>
                <w:rFonts w:cstheme="minorHAnsi"/>
                <w:b/>
                <w:bCs/>
                <w:sz w:val="20"/>
                <w:szCs w:val="20"/>
              </w:rPr>
              <w:br/>
              <w:t>v EUR</w:t>
            </w:r>
          </w:p>
        </w:tc>
        <w:tc>
          <w:tcPr>
            <w:tcW w:w="433" w:type="pct"/>
            <w:shd w:val="clear" w:color="auto" w:fill="C6DBF7"/>
            <w:vAlign w:val="center"/>
            <w:hideMark/>
          </w:tcPr>
          <w:p w14:paraId="17DB5AFD" w14:textId="77777777" w:rsidR="00076613" w:rsidRPr="00C12F78" w:rsidRDefault="00076613" w:rsidP="004B79E4">
            <w:pPr>
              <w:jc w:val="center"/>
              <w:rPr>
                <w:rFonts w:cstheme="minorHAnsi"/>
              </w:rPr>
            </w:pPr>
            <w:r w:rsidRPr="00C12F78">
              <w:rPr>
                <w:rFonts w:cstheme="minorHAnsi"/>
                <w:b/>
                <w:bCs/>
                <w:sz w:val="20"/>
                <w:szCs w:val="20"/>
              </w:rPr>
              <w:t>Čerpanie</w:t>
            </w:r>
            <w:r w:rsidRPr="00C12F78">
              <w:rPr>
                <w:rFonts w:cstheme="minorHAnsi"/>
                <w:b/>
                <w:bCs/>
                <w:sz w:val="20"/>
                <w:szCs w:val="20"/>
              </w:rPr>
              <w:br/>
              <w:t xml:space="preserve">k </w:t>
            </w:r>
            <w:proofErr w:type="spellStart"/>
            <w:r w:rsidRPr="00C12F78">
              <w:rPr>
                <w:rFonts w:cstheme="minorHAnsi"/>
                <w:b/>
                <w:bCs/>
                <w:sz w:val="20"/>
                <w:szCs w:val="20"/>
              </w:rPr>
              <w:t>zmen</w:t>
            </w:r>
            <w:proofErr w:type="spellEnd"/>
            <w:r w:rsidRPr="00C12F78">
              <w:rPr>
                <w:rFonts w:cstheme="minorHAnsi"/>
                <w:b/>
                <w:bCs/>
                <w:sz w:val="20"/>
                <w:szCs w:val="20"/>
              </w:rPr>
              <w:t xml:space="preserve">. </w:t>
            </w:r>
            <w:proofErr w:type="spellStart"/>
            <w:r w:rsidRPr="00C12F78">
              <w:rPr>
                <w:rFonts w:cstheme="minorHAnsi"/>
                <w:b/>
                <w:bCs/>
                <w:sz w:val="20"/>
                <w:szCs w:val="20"/>
              </w:rPr>
              <w:t>rozp</w:t>
            </w:r>
            <w:proofErr w:type="spellEnd"/>
            <w:r w:rsidRPr="00C12F78">
              <w:rPr>
                <w:rFonts w:cstheme="minorHAnsi"/>
                <w:b/>
                <w:bCs/>
                <w:sz w:val="20"/>
                <w:szCs w:val="20"/>
              </w:rPr>
              <w:t>.</w:t>
            </w:r>
            <w:r w:rsidRPr="00C12F78">
              <w:rPr>
                <w:rFonts w:cstheme="minorHAnsi"/>
                <w:b/>
                <w:bCs/>
                <w:sz w:val="20"/>
                <w:szCs w:val="20"/>
              </w:rPr>
              <w:br/>
              <w:t>v %</w:t>
            </w:r>
          </w:p>
        </w:tc>
        <w:tc>
          <w:tcPr>
            <w:tcW w:w="1174" w:type="pct"/>
            <w:shd w:val="clear" w:color="auto" w:fill="C6DBF7"/>
            <w:vAlign w:val="center"/>
            <w:hideMark/>
          </w:tcPr>
          <w:p w14:paraId="553E4CB0" w14:textId="77777777" w:rsidR="00076613" w:rsidRPr="00C12F78" w:rsidRDefault="00076613" w:rsidP="004B79E4">
            <w:pPr>
              <w:jc w:val="center"/>
              <w:rPr>
                <w:rFonts w:cstheme="minorHAnsi"/>
              </w:rPr>
            </w:pPr>
            <w:r w:rsidRPr="00C12F78">
              <w:rPr>
                <w:rFonts w:cstheme="minorHAnsi"/>
                <w:b/>
                <w:bCs/>
                <w:sz w:val="20"/>
                <w:szCs w:val="20"/>
              </w:rPr>
              <w:t>Zmeny rozpočtu</w:t>
            </w:r>
          </w:p>
        </w:tc>
      </w:tr>
      <w:tr w:rsidR="00076613" w:rsidRPr="00C12F78" w14:paraId="2E8F68AA" w14:textId="77777777" w:rsidTr="004B79E4">
        <w:trPr>
          <w:trHeight w:hRule="exact" w:val="340"/>
          <w:tblCellSpacing w:w="15" w:type="dxa"/>
        </w:trPr>
        <w:tc>
          <w:tcPr>
            <w:tcW w:w="0" w:type="auto"/>
            <w:shd w:val="clear" w:color="auto" w:fill="D9D9D9"/>
            <w:noWrap/>
            <w:vAlign w:val="center"/>
            <w:hideMark/>
          </w:tcPr>
          <w:p w14:paraId="6C53148A" w14:textId="77777777" w:rsidR="00076613" w:rsidRPr="00C12F78" w:rsidRDefault="00076613" w:rsidP="004B79E4">
            <w:pPr>
              <w:jc w:val="center"/>
              <w:rPr>
                <w:rFonts w:cstheme="minorHAnsi"/>
              </w:rPr>
            </w:pPr>
          </w:p>
        </w:tc>
        <w:tc>
          <w:tcPr>
            <w:tcW w:w="0" w:type="auto"/>
            <w:shd w:val="clear" w:color="auto" w:fill="D9D9D9"/>
            <w:vAlign w:val="center"/>
            <w:hideMark/>
          </w:tcPr>
          <w:p w14:paraId="4A47D93C" w14:textId="77777777" w:rsidR="00076613" w:rsidRPr="00C12F78" w:rsidRDefault="00076613" w:rsidP="004B79E4">
            <w:pPr>
              <w:rPr>
                <w:rFonts w:cstheme="minorHAnsi"/>
                <w:sz w:val="24"/>
                <w:szCs w:val="24"/>
              </w:rPr>
            </w:pPr>
            <w:r w:rsidRPr="00C12F78">
              <w:rPr>
                <w:rFonts w:cstheme="minorHAnsi"/>
                <w:b/>
                <w:bCs/>
                <w:sz w:val="20"/>
                <w:szCs w:val="20"/>
              </w:rPr>
              <w:t>Výdavky celkom</w:t>
            </w:r>
            <w:r w:rsidRPr="00C12F78">
              <w:rPr>
                <w:rFonts w:cstheme="minorHAnsi"/>
              </w:rPr>
              <w:t xml:space="preserve"> </w:t>
            </w:r>
          </w:p>
        </w:tc>
        <w:tc>
          <w:tcPr>
            <w:tcW w:w="756" w:type="pct"/>
            <w:shd w:val="clear" w:color="auto" w:fill="D9D9D9"/>
            <w:noWrap/>
            <w:vAlign w:val="center"/>
            <w:hideMark/>
          </w:tcPr>
          <w:p w14:paraId="4165AA3D" w14:textId="77777777" w:rsidR="00076613" w:rsidRPr="00C12F78" w:rsidRDefault="00076613" w:rsidP="004B79E4">
            <w:pPr>
              <w:jc w:val="right"/>
              <w:rPr>
                <w:rFonts w:cstheme="minorHAnsi"/>
              </w:rPr>
            </w:pPr>
            <w:r w:rsidRPr="00C12F78">
              <w:rPr>
                <w:rFonts w:cstheme="minorHAnsi"/>
                <w:b/>
                <w:bCs/>
                <w:sz w:val="20"/>
                <w:szCs w:val="20"/>
              </w:rPr>
              <w:t>21 283 000,00</w:t>
            </w:r>
            <w:r w:rsidRPr="00C12F78">
              <w:rPr>
                <w:rFonts w:cstheme="minorHAnsi"/>
              </w:rPr>
              <w:t xml:space="preserve"> </w:t>
            </w:r>
          </w:p>
        </w:tc>
        <w:tc>
          <w:tcPr>
            <w:tcW w:w="591" w:type="pct"/>
            <w:shd w:val="clear" w:color="auto" w:fill="D9D9D9"/>
            <w:noWrap/>
            <w:vAlign w:val="center"/>
            <w:hideMark/>
          </w:tcPr>
          <w:p w14:paraId="7440BF06" w14:textId="77777777" w:rsidR="00076613" w:rsidRPr="00C12F78" w:rsidRDefault="00076613" w:rsidP="004B79E4">
            <w:pPr>
              <w:jc w:val="right"/>
              <w:rPr>
                <w:rFonts w:cstheme="minorHAnsi"/>
              </w:rPr>
            </w:pPr>
            <w:r w:rsidRPr="00C12F78">
              <w:rPr>
                <w:rFonts w:cstheme="minorHAnsi"/>
                <w:b/>
                <w:bCs/>
                <w:sz w:val="20"/>
                <w:szCs w:val="20"/>
              </w:rPr>
              <w:t>21 783 000,00</w:t>
            </w:r>
            <w:r w:rsidRPr="00C12F78">
              <w:rPr>
                <w:rFonts w:cstheme="minorHAnsi"/>
              </w:rPr>
              <w:t xml:space="preserve"> </w:t>
            </w:r>
          </w:p>
        </w:tc>
        <w:tc>
          <w:tcPr>
            <w:tcW w:w="567" w:type="pct"/>
            <w:shd w:val="clear" w:color="auto" w:fill="D9D9D9"/>
            <w:noWrap/>
            <w:vAlign w:val="center"/>
            <w:hideMark/>
          </w:tcPr>
          <w:p w14:paraId="72ED335A" w14:textId="77777777" w:rsidR="00076613" w:rsidRPr="00C12F78" w:rsidRDefault="00076613" w:rsidP="004B79E4">
            <w:pPr>
              <w:jc w:val="right"/>
              <w:rPr>
                <w:rFonts w:cstheme="minorHAnsi"/>
              </w:rPr>
            </w:pPr>
            <w:r w:rsidRPr="00C12F78">
              <w:rPr>
                <w:rFonts w:cstheme="minorHAnsi"/>
                <w:b/>
                <w:bCs/>
                <w:sz w:val="20"/>
                <w:szCs w:val="20"/>
              </w:rPr>
              <w:t>21 165 245,42</w:t>
            </w:r>
            <w:r w:rsidRPr="00C12F78">
              <w:rPr>
                <w:rFonts w:cstheme="minorHAnsi"/>
              </w:rPr>
              <w:t xml:space="preserve"> </w:t>
            </w:r>
          </w:p>
        </w:tc>
        <w:tc>
          <w:tcPr>
            <w:tcW w:w="433" w:type="pct"/>
            <w:shd w:val="clear" w:color="auto" w:fill="D9D9D9"/>
            <w:noWrap/>
            <w:vAlign w:val="center"/>
            <w:hideMark/>
          </w:tcPr>
          <w:p w14:paraId="10D7EC60" w14:textId="77777777" w:rsidR="00076613" w:rsidRPr="00C12F78" w:rsidRDefault="00076613" w:rsidP="004B79E4">
            <w:pPr>
              <w:jc w:val="right"/>
              <w:rPr>
                <w:rFonts w:cstheme="minorHAnsi"/>
              </w:rPr>
            </w:pPr>
            <w:r w:rsidRPr="00C12F78">
              <w:rPr>
                <w:rFonts w:cstheme="minorHAnsi"/>
                <w:b/>
                <w:bCs/>
                <w:sz w:val="20"/>
                <w:szCs w:val="20"/>
              </w:rPr>
              <w:t>97,16</w:t>
            </w:r>
            <w:r w:rsidRPr="00C12F78">
              <w:rPr>
                <w:rFonts w:cstheme="minorHAnsi"/>
              </w:rPr>
              <w:t xml:space="preserve"> </w:t>
            </w:r>
          </w:p>
        </w:tc>
        <w:tc>
          <w:tcPr>
            <w:tcW w:w="1174" w:type="pct"/>
            <w:vMerge w:val="restart"/>
            <w:shd w:val="clear" w:color="auto" w:fill="D9D9D9"/>
            <w:vAlign w:val="center"/>
            <w:hideMark/>
          </w:tcPr>
          <w:p w14:paraId="4693C8E9" w14:textId="554061FE" w:rsidR="00076613" w:rsidRPr="009A1E57" w:rsidRDefault="00076613" w:rsidP="004B79E4">
            <w:pPr>
              <w:rPr>
                <w:rFonts w:cstheme="minorHAnsi"/>
                <w:b/>
                <w:bCs/>
                <w:sz w:val="20"/>
                <w:szCs w:val="20"/>
              </w:rPr>
            </w:pPr>
            <w:r>
              <w:rPr>
                <w:rFonts w:cstheme="minorHAnsi"/>
                <w:b/>
                <w:bCs/>
                <w:sz w:val="20"/>
                <w:szCs w:val="20"/>
              </w:rPr>
              <w:t>+</w:t>
            </w:r>
            <w:r w:rsidRPr="009A1E57">
              <w:rPr>
                <w:rFonts w:cstheme="minorHAnsi"/>
                <w:b/>
                <w:bCs/>
                <w:sz w:val="20"/>
                <w:szCs w:val="20"/>
              </w:rPr>
              <w:t>500 000,00 EUR</w:t>
            </w:r>
            <w:r>
              <w:rPr>
                <w:rFonts w:cstheme="minorHAnsi"/>
                <w:b/>
                <w:bCs/>
                <w:sz w:val="20"/>
                <w:szCs w:val="20"/>
              </w:rPr>
              <w:t xml:space="preserve">, </w:t>
            </w:r>
            <w:r w:rsidRPr="009A1E57">
              <w:rPr>
                <w:rFonts w:cstheme="minorHAnsi"/>
                <w:sz w:val="20"/>
                <w:szCs w:val="20"/>
              </w:rPr>
              <w:t>I. zmena rozpočtu UZN č. 247/2020</w:t>
            </w:r>
          </w:p>
        </w:tc>
      </w:tr>
      <w:tr w:rsidR="00076613" w:rsidRPr="00C12F78" w14:paraId="08A7409D" w14:textId="77777777" w:rsidTr="004B79E4">
        <w:trPr>
          <w:trHeight w:hRule="exact" w:val="340"/>
          <w:tblCellSpacing w:w="15" w:type="dxa"/>
        </w:trPr>
        <w:tc>
          <w:tcPr>
            <w:tcW w:w="0" w:type="auto"/>
            <w:shd w:val="clear" w:color="auto" w:fill="D9D9D9"/>
            <w:noWrap/>
            <w:vAlign w:val="center"/>
            <w:hideMark/>
          </w:tcPr>
          <w:p w14:paraId="4EAF0950" w14:textId="77777777" w:rsidR="00076613" w:rsidRPr="00C12F78" w:rsidRDefault="00076613" w:rsidP="004B79E4">
            <w:pPr>
              <w:rPr>
                <w:rFonts w:cstheme="minorHAnsi"/>
                <w:sz w:val="24"/>
                <w:szCs w:val="24"/>
              </w:rPr>
            </w:pPr>
            <w:r w:rsidRPr="00C12F78">
              <w:rPr>
                <w:rFonts w:cstheme="minorHAnsi"/>
                <w:b/>
                <w:bCs/>
                <w:sz w:val="20"/>
                <w:szCs w:val="20"/>
              </w:rPr>
              <w:t>600</w:t>
            </w:r>
            <w:r w:rsidRPr="00C12F78">
              <w:rPr>
                <w:rFonts w:cstheme="minorHAnsi"/>
              </w:rPr>
              <w:t xml:space="preserve"> </w:t>
            </w:r>
          </w:p>
        </w:tc>
        <w:tc>
          <w:tcPr>
            <w:tcW w:w="0" w:type="auto"/>
            <w:shd w:val="clear" w:color="auto" w:fill="D9D9D9"/>
            <w:vAlign w:val="center"/>
            <w:hideMark/>
          </w:tcPr>
          <w:p w14:paraId="2C052DD0" w14:textId="77777777" w:rsidR="00076613" w:rsidRPr="00C12F78" w:rsidRDefault="00076613" w:rsidP="004B79E4">
            <w:pPr>
              <w:rPr>
                <w:rFonts w:cstheme="minorHAnsi"/>
              </w:rPr>
            </w:pPr>
            <w:r w:rsidRPr="00C12F78">
              <w:rPr>
                <w:rFonts w:cstheme="minorHAnsi"/>
                <w:b/>
                <w:bCs/>
                <w:sz w:val="20"/>
                <w:szCs w:val="20"/>
              </w:rPr>
              <w:t>Bežné výdavky</w:t>
            </w:r>
            <w:r w:rsidRPr="00C12F78">
              <w:rPr>
                <w:rFonts w:cstheme="minorHAnsi"/>
              </w:rPr>
              <w:t xml:space="preserve"> </w:t>
            </w:r>
          </w:p>
        </w:tc>
        <w:tc>
          <w:tcPr>
            <w:tcW w:w="756" w:type="pct"/>
            <w:shd w:val="clear" w:color="auto" w:fill="D9D9D9"/>
            <w:noWrap/>
            <w:vAlign w:val="center"/>
            <w:hideMark/>
          </w:tcPr>
          <w:p w14:paraId="5DBB3FAE" w14:textId="77777777" w:rsidR="00076613" w:rsidRPr="00C12F78" w:rsidRDefault="00076613" w:rsidP="004B79E4">
            <w:pPr>
              <w:jc w:val="right"/>
              <w:rPr>
                <w:rFonts w:cstheme="minorHAnsi"/>
              </w:rPr>
            </w:pPr>
            <w:r w:rsidRPr="00C12F78">
              <w:rPr>
                <w:rFonts w:cstheme="minorHAnsi"/>
                <w:b/>
                <w:bCs/>
                <w:sz w:val="20"/>
                <w:szCs w:val="20"/>
              </w:rPr>
              <w:t>21 283 000,00</w:t>
            </w:r>
            <w:r w:rsidRPr="00C12F78">
              <w:rPr>
                <w:rFonts w:cstheme="minorHAnsi"/>
              </w:rPr>
              <w:t xml:space="preserve"> </w:t>
            </w:r>
          </w:p>
        </w:tc>
        <w:tc>
          <w:tcPr>
            <w:tcW w:w="591" w:type="pct"/>
            <w:shd w:val="clear" w:color="auto" w:fill="D9D9D9"/>
            <w:noWrap/>
            <w:vAlign w:val="center"/>
            <w:hideMark/>
          </w:tcPr>
          <w:p w14:paraId="7386DC1C" w14:textId="77777777" w:rsidR="00076613" w:rsidRPr="00C12F78" w:rsidRDefault="00076613" w:rsidP="004B79E4">
            <w:pPr>
              <w:jc w:val="right"/>
              <w:rPr>
                <w:rFonts w:cstheme="minorHAnsi"/>
              </w:rPr>
            </w:pPr>
            <w:r w:rsidRPr="00C12F78">
              <w:rPr>
                <w:rFonts w:cstheme="minorHAnsi"/>
                <w:b/>
                <w:bCs/>
                <w:sz w:val="20"/>
                <w:szCs w:val="20"/>
              </w:rPr>
              <w:t>21 783 000,00</w:t>
            </w:r>
            <w:r w:rsidRPr="00C12F78">
              <w:rPr>
                <w:rFonts w:cstheme="minorHAnsi"/>
              </w:rPr>
              <w:t xml:space="preserve"> </w:t>
            </w:r>
          </w:p>
        </w:tc>
        <w:tc>
          <w:tcPr>
            <w:tcW w:w="567" w:type="pct"/>
            <w:shd w:val="clear" w:color="auto" w:fill="D9D9D9"/>
            <w:noWrap/>
            <w:vAlign w:val="center"/>
            <w:hideMark/>
          </w:tcPr>
          <w:p w14:paraId="17B71F93" w14:textId="77777777" w:rsidR="00076613" w:rsidRPr="00C12F78" w:rsidRDefault="00076613" w:rsidP="004B79E4">
            <w:pPr>
              <w:jc w:val="right"/>
              <w:rPr>
                <w:rFonts w:cstheme="minorHAnsi"/>
              </w:rPr>
            </w:pPr>
            <w:r w:rsidRPr="00C12F78">
              <w:rPr>
                <w:rFonts w:cstheme="minorHAnsi"/>
                <w:b/>
                <w:bCs/>
                <w:sz w:val="20"/>
                <w:szCs w:val="20"/>
              </w:rPr>
              <w:t>21 165 245,42</w:t>
            </w:r>
            <w:r w:rsidRPr="00C12F78">
              <w:rPr>
                <w:rFonts w:cstheme="minorHAnsi"/>
              </w:rPr>
              <w:t xml:space="preserve"> </w:t>
            </w:r>
          </w:p>
        </w:tc>
        <w:tc>
          <w:tcPr>
            <w:tcW w:w="433" w:type="pct"/>
            <w:shd w:val="clear" w:color="auto" w:fill="D9D9D9"/>
            <w:noWrap/>
            <w:vAlign w:val="center"/>
            <w:hideMark/>
          </w:tcPr>
          <w:p w14:paraId="6743188D" w14:textId="77777777" w:rsidR="00076613" w:rsidRPr="00C12F78" w:rsidRDefault="00076613" w:rsidP="004B79E4">
            <w:pPr>
              <w:jc w:val="right"/>
              <w:rPr>
                <w:rFonts w:cstheme="minorHAnsi"/>
              </w:rPr>
            </w:pPr>
            <w:r w:rsidRPr="00C12F78">
              <w:rPr>
                <w:rFonts w:cstheme="minorHAnsi"/>
                <w:b/>
                <w:bCs/>
                <w:sz w:val="20"/>
                <w:szCs w:val="20"/>
              </w:rPr>
              <w:t>97,16</w:t>
            </w:r>
            <w:r w:rsidRPr="00C12F78">
              <w:rPr>
                <w:rFonts w:cstheme="minorHAnsi"/>
              </w:rPr>
              <w:t xml:space="preserve"> </w:t>
            </w:r>
          </w:p>
        </w:tc>
        <w:tc>
          <w:tcPr>
            <w:tcW w:w="1174" w:type="pct"/>
            <w:vMerge/>
            <w:shd w:val="clear" w:color="auto" w:fill="D9D9D9"/>
            <w:vAlign w:val="center"/>
            <w:hideMark/>
          </w:tcPr>
          <w:p w14:paraId="1411C460" w14:textId="77777777" w:rsidR="00076613" w:rsidRPr="00C12F78" w:rsidRDefault="00076613" w:rsidP="004B79E4">
            <w:pPr>
              <w:rPr>
                <w:rFonts w:cstheme="minorHAnsi"/>
                <w:sz w:val="24"/>
                <w:szCs w:val="24"/>
              </w:rPr>
            </w:pPr>
          </w:p>
        </w:tc>
      </w:tr>
      <w:tr w:rsidR="00076613" w:rsidRPr="00C12F78" w14:paraId="6619C54E" w14:textId="77777777" w:rsidTr="004B79E4">
        <w:trPr>
          <w:trHeight w:hRule="exact" w:val="340"/>
          <w:tblCellSpacing w:w="15" w:type="dxa"/>
        </w:trPr>
        <w:tc>
          <w:tcPr>
            <w:tcW w:w="0" w:type="auto"/>
            <w:shd w:val="clear" w:color="auto" w:fill="EFEFEF"/>
            <w:noWrap/>
            <w:vAlign w:val="center"/>
            <w:hideMark/>
          </w:tcPr>
          <w:p w14:paraId="1366812F" w14:textId="77777777" w:rsidR="00076613" w:rsidRPr="00C12F78" w:rsidRDefault="00076613" w:rsidP="004B79E4">
            <w:pPr>
              <w:rPr>
                <w:rFonts w:cstheme="minorHAnsi"/>
                <w:sz w:val="24"/>
                <w:szCs w:val="24"/>
              </w:rPr>
            </w:pPr>
            <w:r w:rsidRPr="00C12F78">
              <w:rPr>
                <w:rFonts w:cstheme="minorHAnsi"/>
                <w:sz w:val="20"/>
                <w:szCs w:val="20"/>
              </w:rPr>
              <w:t>640</w:t>
            </w:r>
            <w:r w:rsidRPr="00C12F78">
              <w:rPr>
                <w:rFonts w:cstheme="minorHAnsi"/>
              </w:rPr>
              <w:t xml:space="preserve"> </w:t>
            </w:r>
          </w:p>
        </w:tc>
        <w:tc>
          <w:tcPr>
            <w:tcW w:w="0" w:type="auto"/>
            <w:shd w:val="clear" w:color="auto" w:fill="EFEFEF"/>
            <w:vAlign w:val="center"/>
            <w:hideMark/>
          </w:tcPr>
          <w:p w14:paraId="5E7699C0" w14:textId="77777777" w:rsidR="00076613" w:rsidRPr="00C12F78" w:rsidRDefault="00076613" w:rsidP="004B79E4">
            <w:pPr>
              <w:rPr>
                <w:rFonts w:cstheme="minorHAnsi"/>
              </w:rPr>
            </w:pPr>
            <w:r w:rsidRPr="00C12F78">
              <w:rPr>
                <w:rFonts w:cstheme="minorHAnsi"/>
                <w:sz w:val="20"/>
                <w:szCs w:val="20"/>
              </w:rPr>
              <w:t>Bežné transfery</w:t>
            </w:r>
            <w:r w:rsidRPr="00C12F78">
              <w:rPr>
                <w:rFonts w:cstheme="minorHAnsi"/>
              </w:rPr>
              <w:t xml:space="preserve"> </w:t>
            </w:r>
          </w:p>
        </w:tc>
        <w:tc>
          <w:tcPr>
            <w:tcW w:w="756" w:type="pct"/>
            <w:shd w:val="clear" w:color="auto" w:fill="EFEFEF"/>
            <w:noWrap/>
            <w:vAlign w:val="center"/>
            <w:hideMark/>
          </w:tcPr>
          <w:p w14:paraId="06F54501" w14:textId="77777777" w:rsidR="00076613" w:rsidRPr="00C12F78" w:rsidRDefault="00076613" w:rsidP="004B79E4">
            <w:pPr>
              <w:jc w:val="right"/>
              <w:rPr>
                <w:rFonts w:cstheme="minorHAnsi"/>
              </w:rPr>
            </w:pPr>
            <w:r w:rsidRPr="00C12F78">
              <w:rPr>
                <w:rFonts w:cstheme="minorHAnsi"/>
                <w:sz w:val="20"/>
                <w:szCs w:val="20"/>
              </w:rPr>
              <w:t>21 283 000,00</w:t>
            </w:r>
            <w:r w:rsidRPr="00C12F78">
              <w:rPr>
                <w:rFonts w:cstheme="minorHAnsi"/>
              </w:rPr>
              <w:t xml:space="preserve"> </w:t>
            </w:r>
          </w:p>
        </w:tc>
        <w:tc>
          <w:tcPr>
            <w:tcW w:w="591" w:type="pct"/>
            <w:shd w:val="clear" w:color="auto" w:fill="EFEFEF"/>
            <w:noWrap/>
            <w:vAlign w:val="center"/>
            <w:hideMark/>
          </w:tcPr>
          <w:p w14:paraId="0A64DA35" w14:textId="77777777" w:rsidR="00076613" w:rsidRPr="00C12F78" w:rsidRDefault="00076613" w:rsidP="004B79E4">
            <w:pPr>
              <w:jc w:val="right"/>
              <w:rPr>
                <w:rFonts w:cstheme="minorHAnsi"/>
              </w:rPr>
            </w:pPr>
            <w:r w:rsidRPr="00C12F78">
              <w:rPr>
                <w:rFonts w:cstheme="minorHAnsi"/>
                <w:sz w:val="20"/>
                <w:szCs w:val="20"/>
              </w:rPr>
              <w:t>21 783 000,00</w:t>
            </w:r>
            <w:r w:rsidRPr="00C12F78">
              <w:rPr>
                <w:rFonts w:cstheme="minorHAnsi"/>
              </w:rPr>
              <w:t xml:space="preserve"> </w:t>
            </w:r>
          </w:p>
        </w:tc>
        <w:tc>
          <w:tcPr>
            <w:tcW w:w="567" w:type="pct"/>
            <w:shd w:val="clear" w:color="auto" w:fill="EFEFEF"/>
            <w:noWrap/>
            <w:vAlign w:val="center"/>
            <w:hideMark/>
          </w:tcPr>
          <w:p w14:paraId="5A13E87D" w14:textId="77777777" w:rsidR="00076613" w:rsidRPr="00C12F78" w:rsidRDefault="00076613" w:rsidP="004B79E4">
            <w:pPr>
              <w:jc w:val="right"/>
              <w:rPr>
                <w:rFonts w:cstheme="minorHAnsi"/>
              </w:rPr>
            </w:pPr>
            <w:r w:rsidRPr="00C12F78">
              <w:rPr>
                <w:rFonts w:cstheme="minorHAnsi"/>
                <w:sz w:val="20"/>
                <w:szCs w:val="20"/>
              </w:rPr>
              <w:t>21 165 245,42</w:t>
            </w:r>
            <w:r w:rsidRPr="00C12F78">
              <w:rPr>
                <w:rFonts w:cstheme="minorHAnsi"/>
              </w:rPr>
              <w:t xml:space="preserve"> </w:t>
            </w:r>
          </w:p>
        </w:tc>
        <w:tc>
          <w:tcPr>
            <w:tcW w:w="433" w:type="pct"/>
            <w:shd w:val="clear" w:color="auto" w:fill="EFEFEF"/>
            <w:noWrap/>
            <w:vAlign w:val="center"/>
            <w:hideMark/>
          </w:tcPr>
          <w:p w14:paraId="48CAD6F4" w14:textId="77777777" w:rsidR="00076613" w:rsidRPr="00C12F78" w:rsidRDefault="00076613" w:rsidP="004B79E4">
            <w:pPr>
              <w:jc w:val="right"/>
              <w:rPr>
                <w:rFonts w:cstheme="minorHAnsi"/>
              </w:rPr>
            </w:pPr>
            <w:r w:rsidRPr="00C12F78">
              <w:rPr>
                <w:rFonts w:cstheme="minorHAnsi"/>
                <w:sz w:val="20"/>
                <w:szCs w:val="20"/>
              </w:rPr>
              <w:t>97,16</w:t>
            </w:r>
            <w:r w:rsidRPr="00C12F78">
              <w:rPr>
                <w:rFonts w:cstheme="minorHAnsi"/>
              </w:rPr>
              <w:t xml:space="preserve"> </w:t>
            </w:r>
          </w:p>
        </w:tc>
        <w:tc>
          <w:tcPr>
            <w:tcW w:w="1174" w:type="pct"/>
            <w:vMerge/>
            <w:shd w:val="clear" w:color="auto" w:fill="EFEFEF"/>
            <w:vAlign w:val="center"/>
            <w:hideMark/>
          </w:tcPr>
          <w:p w14:paraId="28A53CC9" w14:textId="77777777" w:rsidR="00076613" w:rsidRPr="00C12F78" w:rsidRDefault="00076613" w:rsidP="004B79E4">
            <w:pPr>
              <w:rPr>
                <w:rFonts w:cstheme="minorHAnsi"/>
                <w:sz w:val="24"/>
                <w:szCs w:val="24"/>
              </w:rPr>
            </w:pPr>
          </w:p>
        </w:tc>
      </w:tr>
    </w:tbl>
    <w:p w14:paraId="05B33CD2" w14:textId="77777777" w:rsidR="00076613" w:rsidRDefault="00076613" w:rsidP="00076613">
      <w:pPr>
        <w:pStyle w:val="Normlnywebov"/>
        <w:jc w:val="both"/>
        <w:rPr>
          <w:rFonts w:asciiTheme="minorHAnsi" w:hAnsiTheme="minorHAnsi" w:cstheme="minorHAnsi"/>
          <w:sz w:val="22"/>
          <w:szCs w:val="22"/>
        </w:rPr>
      </w:pPr>
      <w:r w:rsidRPr="00C12F78">
        <w:rPr>
          <w:rFonts w:asciiTheme="minorHAnsi" w:hAnsiTheme="minorHAnsi" w:cstheme="minorHAnsi"/>
          <w:b/>
          <w:bCs/>
          <w:sz w:val="22"/>
          <w:szCs w:val="22"/>
        </w:rPr>
        <w:t xml:space="preserve">Komentár: </w:t>
      </w:r>
      <w:r w:rsidRPr="00C12F78">
        <w:rPr>
          <w:rFonts w:asciiTheme="minorHAnsi" w:hAnsiTheme="minorHAnsi" w:cstheme="minorHAnsi"/>
          <w:sz w:val="22"/>
          <w:szCs w:val="22"/>
        </w:rPr>
        <w:t xml:space="preserve">Kompetencie BSK v oblasti cestnej dopravy a dráh vyplývajú zo zákona č. 56/2012 o cestnej doprave. Na zabezpečenie aktivít a činností v rámci programu Doprava, BSK financuje podprogramy Autobusová doprava a Integrovaný dopravný systém v Bratislavskom kraji. </w:t>
      </w:r>
    </w:p>
    <w:p w14:paraId="483104F4" w14:textId="7F33F4D1" w:rsidR="00076613" w:rsidRPr="00C12F78" w:rsidRDefault="00076613" w:rsidP="00076613">
      <w:pPr>
        <w:pStyle w:val="Nadpis3"/>
        <w:rPr>
          <w:rFonts w:asciiTheme="minorHAnsi" w:hAnsiTheme="minorHAnsi" w:cstheme="minorHAnsi"/>
          <w:color w:val="4F6228"/>
        </w:rPr>
      </w:pPr>
      <w:r w:rsidRPr="00C12F78">
        <w:rPr>
          <w:rFonts w:asciiTheme="minorHAnsi" w:hAnsiTheme="minorHAnsi" w:cstheme="minorHAnsi"/>
          <w:color w:val="4F6228"/>
        </w:rPr>
        <w:t>Podprogram 7.1: Železničná doprava</w:t>
      </w:r>
    </w:p>
    <w:p w14:paraId="1B97D51E" w14:textId="77777777" w:rsidR="00076613" w:rsidRPr="00C12F78" w:rsidRDefault="00076613" w:rsidP="00076613">
      <w:pPr>
        <w:pStyle w:val="Normlnywebov"/>
        <w:spacing w:after="0"/>
        <w:jc w:val="both"/>
        <w:rPr>
          <w:rFonts w:asciiTheme="minorHAnsi" w:hAnsiTheme="minorHAnsi" w:cstheme="minorHAnsi"/>
          <w:vanish/>
        </w:rPr>
      </w:pPr>
    </w:p>
    <w:p w14:paraId="15ED1A7A" w14:textId="2A05F701" w:rsidR="00390C7E" w:rsidRPr="00C12F78" w:rsidRDefault="00076613" w:rsidP="00076613">
      <w:pPr>
        <w:pStyle w:val="Normlnywebov"/>
        <w:jc w:val="both"/>
        <w:rPr>
          <w:rFonts w:asciiTheme="minorHAnsi" w:hAnsiTheme="minorHAnsi" w:cstheme="minorHAnsi"/>
          <w:sz w:val="22"/>
          <w:szCs w:val="22"/>
        </w:rPr>
      </w:pPr>
      <w:r w:rsidRPr="00C12F78">
        <w:rPr>
          <w:rFonts w:asciiTheme="minorHAnsi" w:hAnsiTheme="minorHAnsi" w:cstheme="minorHAnsi"/>
          <w:b/>
          <w:bCs/>
          <w:sz w:val="22"/>
          <w:szCs w:val="22"/>
        </w:rPr>
        <w:t xml:space="preserve">Komentár: </w:t>
      </w:r>
      <w:r w:rsidRPr="00C12F78">
        <w:rPr>
          <w:rFonts w:asciiTheme="minorHAnsi" w:hAnsiTheme="minorHAnsi" w:cstheme="minorHAnsi"/>
          <w:sz w:val="22"/>
          <w:szCs w:val="22"/>
        </w:rPr>
        <w:t xml:space="preserve">V roku 2020 BSK </w:t>
      </w:r>
      <w:r>
        <w:rPr>
          <w:rFonts w:asciiTheme="minorHAnsi" w:hAnsiTheme="minorHAnsi" w:cstheme="minorHAnsi"/>
          <w:sz w:val="22"/>
          <w:szCs w:val="22"/>
        </w:rPr>
        <w:t>neobjednal</w:t>
      </w:r>
      <w:r w:rsidRPr="00C12F78">
        <w:rPr>
          <w:rFonts w:asciiTheme="minorHAnsi" w:hAnsiTheme="minorHAnsi" w:cstheme="minorHAnsi"/>
          <w:sz w:val="22"/>
          <w:szCs w:val="22"/>
        </w:rPr>
        <w:t xml:space="preserve"> u dopravcu Železničná spoločnosť Slovensko, a. s. služby vo verejnom záujme a prevádzkovaní verejnej osobnej dopravy na trati 113 Zohor – Záhorská Ves. Doprava </w:t>
      </w:r>
      <w:r>
        <w:rPr>
          <w:rFonts w:asciiTheme="minorHAnsi" w:hAnsiTheme="minorHAnsi" w:cstheme="minorHAnsi"/>
          <w:sz w:val="22"/>
          <w:szCs w:val="22"/>
        </w:rPr>
        <w:t xml:space="preserve">bola </w:t>
      </w:r>
      <w:r w:rsidRPr="00C12F78">
        <w:rPr>
          <w:rFonts w:asciiTheme="minorHAnsi" w:hAnsiTheme="minorHAnsi" w:cstheme="minorHAnsi"/>
          <w:sz w:val="22"/>
          <w:szCs w:val="22"/>
        </w:rPr>
        <w:t>nahradená prímestskou autobusovou dopravou.</w:t>
      </w:r>
    </w:p>
    <w:p w14:paraId="309C4E89" w14:textId="77777777" w:rsidR="00390C7E" w:rsidRDefault="00076613" w:rsidP="00390C7E">
      <w:pPr>
        <w:pStyle w:val="Nadpis3"/>
        <w:spacing w:before="0" w:beforeAutospacing="0" w:after="0" w:afterAutospacing="0"/>
        <w:rPr>
          <w:rFonts w:asciiTheme="minorHAnsi" w:hAnsiTheme="minorHAnsi" w:cstheme="minorHAnsi"/>
          <w:color w:val="4F6228"/>
        </w:rPr>
      </w:pPr>
      <w:r w:rsidRPr="00C12F78">
        <w:rPr>
          <w:rFonts w:asciiTheme="minorHAnsi" w:hAnsiTheme="minorHAnsi" w:cstheme="minorHAnsi"/>
          <w:color w:val="4F6228"/>
        </w:rPr>
        <w:t>Podprogram 7.2: Autobusová doprava</w:t>
      </w:r>
    </w:p>
    <w:p w14:paraId="0D1282A9" w14:textId="441D7105" w:rsidR="00076613" w:rsidRPr="00390C7E" w:rsidRDefault="00076613" w:rsidP="00390C7E">
      <w:pPr>
        <w:pStyle w:val="Nadpis3"/>
        <w:spacing w:before="0" w:beforeAutospacing="0" w:after="0" w:afterAutospacing="0"/>
        <w:rPr>
          <w:rFonts w:asciiTheme="minorHAnsi" w:hAnsiTheme="minorHAnsi" w:cstheme="minorHAnsi"/>
          <w:b w:val="0"/>
          <w:bCs w:val="0"/>
        </w:rPr>
      </w:pPr>
      <w:r w:rsidRPr="00390C7E">
        <w:rPr>
          <w:rFonts w:asciiTheme="minorHAnsi" w:hAnsiTheme="minorHAnsi" w:cstheme="minorHAnsi"/>
        </w:rPr>
        <w:t>Zámer:</w:t>
      </w:r>
      <w:r w:rsidRPr="00C12F78">
        <w:rPr>
          <w:rFonts w:asciiTheme="minorHAnsi" w:hAnsiTheme="minorHAnsi" w:cstheme="minorHAnsi"/>
          <w:b w:val="0"/>
          <w:bCs w:val="0"/>
        </w:rPr>
        <w:t xml:space="preserve"> </w:t>
      </w:r>
      <w:r w:rsidRPr="00390C7E">
        <w:rPr>
          <w:rFonts w:asciiTheme="minorHAnsi" w:hAnsiTheme="minorHAnsi" w:cstheme="minorHAnsi"/>
          <w:b w:val="0"/>
          <w:bCs w:val="0"/>
        </w:rPr>
        <w:t>Zvýšiť atraktívnosť hromadnej autobusovej dopravy</w:t>
      </w:r>
    </w:p>
    <w:p w14:paraId="38859739" w14:textId="77777777" w:rsidR="00390C7E" w:rsidRPr="00390C7E" w:rsidRDefault="00390C7E" w:rsidP="00390C7E">
      <w:pPr>
        <w:pStyle w:val="Nadpis3"/>
        <w:spacing w:before="0" w:beforeAutospacing="0" w:after="0" w:afterAutospacing="0"/>
        <w:rPr>
          <w:rFonts w:asciiTheme="minorHAnsi" w:hAnsiTheme="minorHAnsi" w:cstheme="minorHAnsi"/>
          <w:color w:val="4F622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03"/>
        <w:gridCol w:w="2124"/>
        <w:gridCol w:w="1562"/>
        <w:gridCol w:w="1423"/>
        <w:gridCol w:w="1278"/>
        <w:gridCol w:w="1130"/>
        <w:gridCol w:w="2246"/>
      </w:tblGrid>
      <w:tr w:rsidR="00076613" w:rsidRPr="00C12F78" w14:paraId="1F5F7779" w14:textId="77777777" w:rsidTr="004B79E4">
        <w:trPr>
          <w:trHeight w:val="938"/>
          <w:tblCellSpacing w:w="15" w:type="dxa"/>
        </w:trPr>
        <w:tc>
          <w:tcPr>
            <w:tcW w:w="314" w:type="pct"/>
            <w:shd w:val="clear" w:color="auto" w:fill="C6DBF7"/>
            <w:vAlign w:val="center"/>
            <w:hideMark/>
          </w:tcPr>
          <w:p w14:paraId="1A2B44FE" w14:textId="77777777" w:rsidR="00076613" w:rsidRPr="00C12F78" w:rsidRDefault="00076613" w:rsidP="004B79E4">
            <w:pPr>
              <w:spacing w:after="0"/>
              <w:jc w:val="center"/>
              <w:rPr>
                <w:rFonts w:cstheme="minorHAnsi"/>
              </w:rPr>
            </w:pPr>
            <w:r w:rsidRPr="00C12F78">
              <w:rPr>
                <w:rFonts w:cstheme="minorHAnsi"/>
                <w:b/>
                <w:bCs/>
                <w:sz w:val="20"/>
                <w:szCs w:val="20"/>
              </w:rPr>
              <w:t>Kód EK</w:t>
            </w:r>
          </w:p>
        </w:tc>
        <w:tc>
          <w:tcPr>
            <w:tcW w:w="1000" w:type="pct"/>
            <w:shd w:val="clear" w:color="auto" w:fill="C6DBF7"/>
            <w:vAlign w:val="center"/>
            <w:hideMark/>
          </w:tcPr>
          <w:p w14:paraId="09029593" w14:textId="77777777" w:rsidR="00076613" w:rsidRPr="00C12F78" w:rsidRDefault="00076613" w:rsidP="004B79E4">
            <w:pPr>
              <w:spacing w:after="0"/>
              <w:jc w:val="center"/>
              <w:rPr>
                <w:rFonts w:cstheme="minorHAnsi"/>
              </w:rPr>
            </w:pPr>
            <w:r w:rsidRPr="00C12F78">
              <w:rPr>
                <w:rFonts w:cstheme="minorHAnsi"/>
                <w:b/>
                <w:bCs/>
                <w:sz w:val="20"/>
                <w:szCs w:val="20"/>
              </w:rPr>
              <w:t>Ekonomická klasifikácia</w:t>
            </w:r>
          </w:p>
        </w:tc>
        <w:tc>
          <w:tcPr>
            <w:tcW w:w="732" w:type="pct"/>
            <w:shd w:val="clear" w:color="auto" w:fill="C6DBF7"/>
            <w:vAlign w:val="center"/>
            <w:hideMark/>
          </w:tcPr>
          <w:p w14:paraId="4330DEF3" w14:textId="77777777" w:rsidR="00076613" w:rsidRPr="00C12F78" w:rsidRDefault="00076613" w:rsidP="004B79E4">
            <w:pPr>
              <w:spacing w:after="0"/>
              <w:jc w:val="center"/>
              <w:rPr>
                <w:rFonts w:cstheme="minorHAnsi"/>
              </w:rPr>
            </w:pPr>
            <w:r w:rsidRPr="00C12F78">
              <w:rPr>
                <w:rFonts w:cstheme="minorHAnsi"/>
                <w:b/>
                <w:bCs/>
                <w:sz w:val="20"/>
                <w:szCs w:val="20"/>
              </w:rPr>
              <w:t>Schválený</w:t>
            </w:r>
            <w:r w:rsidRPr="00C12F78">
              <w:rPr>
                <w:rFonts w:cstheme="minorHAnsi"/>
                <w:b/>
                <w:bCs/>
                <w:sz w:val="20"/>
                <w:szCs w:val="20"/>
              </w:rPr>
              <w:br/>
              <w:t>rozpočet</w:t>
            </w:r>
            <w:r w:rsidRPr="00C12F78">
              <w:rPr>
                <w:rFonts w:cstheme="minorHAnsi"/>
                <w:b/>
                <w:bCs/>
                <w:sz w:val="20"/>
                <w:szCs w:val="20"/>
              </w:rPr>
              <w:br/>
              <w:t>v EUR</w:t>
            </w:r>
          </w:p>
        </w:tc>
        <w:tc>
          <w:tcPr>
            <w:tcW w:w="665" w:type="pct"/>
            <w:shd w:val="clear" w:color="auto" w:fill="C6DBF7"/>
            <w:vAlign w:val="center"/>
            <w:hideMark/>
          </w:tcPr>
          <w:p w14:paraId="44E5F31C" w14:textId="77777777" w:rsidR="00076613" w:rsidRPr="00C12F78" w:rsidRDefault="00076613" w:rsidP="004B79E4">
            <w:pPr>
              <w:spacing w:after="0"/>
              <w:jc w:val="center"/>
              <w:rPr>
                <w:rFonts w:cstheme="minorHAnsi"/>
              </w:rPr>
            </w:pPr>
            <w:r w:rsidRPr="00C12F78">
              <w:rPr>
                <w:rFonts w:cstheme="minorHAnsi"/>
                <w:b/>
                <w:bCs/>
                <w:sz w:val="20"/>
                <w:szCs w:val="20"/>
              </w:rPr>
              <w:t>Zmenený</w:t>
            </w:r>
            <w:r w:rsidRPr="00C12F78">
              <w:rPr>
                <w:rFonts w:cstheme="minorHAnsi"/>
                <w:b/>
                <w:bCs/>
                <w:sz w:val="20"/>
                <w:szCs w:val="20"/>
              </w:rPr>
              <w:br/>
              <w:t>rozpočet</w:t>
            </w:r>
            <w:r w:rsidRPr="00C12F78">
              <w:rPr>
                <w:rFonts w:cstheme="minorHAnsi"/>
                <w:b/>
                <w:bCs/>
                <w:sz w:val="20"/>
                <w:szCs w:val="20"/>
              </w:rPr>
              <w:br/>
              <w:t>v EUR</w:t>
            </w:r>
          </w:p>
        </w:tc>
        <w:tc>
          <w:tcPr>
            <w:tcW w:w="596" w:type="pct"/>
            <w:shd w:val="clear" w:color="auto" w:fill="C6DBF7"/>
            <w:vAlign w:val="center"/>
            <w:hideMark/>
          </w:tcPr>
          <w:p w14:paraId="44AC430D" w14:textId="77777777" w:rsidR="00076613" w:rsidRPr="00C12F78" w:rsidRDefault="00076613" w:rsidP="004B79E4">
            <w:pPr>
              <w:spacing w:after="0"/>
              <w:jc w:val="center"/>
              <w:rPr>
                <w:rFonts w:cstheme="minorHAnsi"/>
              </w:rPr>
            </w:pPr>
            <w:r w:rsidRPr="00C12F78">
              <w:rPr>
                <w:rFonts w:cstheme="minorHAnsi"/>
                <w:b/>
                <w:bCs/>
                <w:sz w:val="20"/>
                <w:szCs w:val="20"/>
              </w:rPr>
              <w:t>Čerpanie</w:t>
            </w:r>
            <w:r w:rsidRPr="00C12F78">
              <w:rPr>
                <w:rFonts w:cstheme="minorHAnsi"/>
                <w:b/>
                <w:bCs/>
                <w:sz w:val="20"/>
                <w:szCs w:val="20"/>
              </w:rPr>
              <w:br/>
              <w:t>v EUR</w:t>
            </w:r>
          </w:p>
        </w:tc>
        <w:tc>
          <w:tcPr>
            <w:tcW w:w="526" w:type="pct"/>
            <w:shd w:val="clear" w:color="auto" w:fill="C6DBF7"/>
            <w:vAlign w:val="center"/>
            <w:hideMark/>
          </w:tcPr>
          <w:p w14:paraId="1F95274F" w14:textId="77777777" w:rsidR="00076613" w:rsidRPr="00C12F78" w:rsidRDefault="00076613" w:rsidP="004B79E4">
            <w:pPr>
              <w:spacing w:after="0"/>
              <w:jc w:val="center"/>
              <w:rPr>
                <w:rFonts w:cstheme="minorHAnsi"/>
              </w:rPr>
            </w:pPr>
            <w:r w:rsidRPr="00C12F78">
              <w:rPr>
                <w:rFonts w:cstheme="minorHAnsi"/>
                <w:b/>
                <w:bCs/>
                <w:sz w:val="20"/>
                <w:szCs w:val="20"/>
              </w:rPr>
              <w:t>Čerpanie</w:t>
            </w:r>
            <w:r w:rsidRPr="00C12F78">
              <w:rPr>
                <w:rFonts w:cstheme="minorHAnsi"/>
                <w:b/>
                <w:bCs/>
                <w:sz w:val="20"/>
                <w:szCs w:val="20"/>
              </w:rPr>
              <w:br/>
              <w:t xml:space="preserve">k </w:t>
            </w:r>
            <w:proofErr w:type="spellStart"/>
            <w:r w:rsidRPr="00C12F78">
              <w:rPr>
                <w:rFonts w:cstheme="minorHAnsi"/>
                <w:b/>
                <w:bCs/>
                <w:sz w:val="20"/>
                <w:szCs w:val="20"/>
              </w:rPr>
              <w:t>zmen</w:t>
            </w:r>
            <w:proofErr w:type="spellEnd"/>
            <w:r w:rsidRPr="00C12F78">
              <w:rPr>
                <w:rFonts w:cstheme="minorHAnsi"/>
                <w:b/>
                <w:bCs/>
                <w:sz w:val="20"/>
                <w:szCs w:val="20"/>
              </w:rPr>
              <w:t xml:space="preserve">. </w:t>
            </w:r>
            <w:proofErr w:type="spellStart"/>
            <w:r w:rsidRPr="00C12F78">
              <w:rPr>
                <w:rFonts w:cstheme="minorHAnsi"/>
                <w:b/>
                <w:bCs/>
                <w:sz w:val="20"/>
                <w:szCs w:val="20"/>
              </w:rPr>
              <w:t>rozp</w:t>
            </w:r>
            <w:proofErr w:type="spellEnd"/>
            <w:r w:rsidRPr="00C12F78">
              <w:rPr>
                <w:rFonts w:cstheme="minorHAnsi"/>
                <w:b/>
                <w:bCs/>
                <w:sz w:val="20"/>
                <w:szCs w:val="20"/>
              </w:rPr>
              <w:t>.</w:t>
            </w:r>
            <w:r w:rsidRPr="00C12F78">
              <w:rPr>
                <w:rFonts w:cstheme="minorHAnsi"/>
                <w:b/>
                <w:bCs/>
                <w:sz w:val="20"/>
                <w:szCs w:val="20"/>
              </w:rPr>
              <w:br/>
              <w:t>v %</w:t>
            </w:r>
          </w:p>
        </w:tc>
        <w:tc>
          <w:tcPr>
            <w:tcW w:w="1051" w:type="pct"/>
            <w:shd w:val="clear" w:color="auto" w:fill="C6DBF7"/>
            <w:vAlign w:val="center"/>
            <w:hideMark/>
          </w:tcPr>
          <w:p w14:paraId="3811D685" w14:textId="77777777" w:rsidR="00076613" w:rsidRPr="00C12F78" w:rsidRDefault="00076613" w:rsidP="004B79E4">
            <w:pPr>
              <w:spacing w:after="0"/>
              <w:jc w:val="center"/>
              <w:rPr>
                <w:rFonts w:cstheme="minorHAnsi"/>
              </w:rPr>
            </w:pPr>
            <w:r w:rsidRPr="00C12F78">
              <w:rPr>
                <w:rFonts w:cstheme="minorHAnsi"/>
                <w:b/>
                <w:bCs/>
                <w:sz w:val="20"/>
                <w:szCs w:val="20"/>
              </w:rPr>
              <w:t>Zmeny rozpočtu</w:t>
            </w:r>
          </w:p>
        </w:tc>
      </w:tr>
      <w:tr w:rsidR="00076613" w:rsidRPr="00C12F78" w14:paraId="4BEA3E15" w14:textId="77777777" w:rsidTr="004B79E4">
        <w:trPr>
          <w:trHeight w:hRule="exact" w:val="340"/>
          <w:tblCellSpacing w:w="15" w:type="dxa"/>
        </w:trPr>
        <w:tc>
          <w:tcPr>
            <w:tcW w:w="314" w:type="pct"/>
            <w:shd w:val="clear" w:color="auto" w:fill="D9D9D9"/>
            <w:noWrap/>
            <w:vAlign w:val="center"/>
            <w:hideMark/>
          </w:tcPr>
          <w:p w14:paraId="2C77178D" w14:textId="77777777" w:rsidR="00076613" w:rsidRPr="00C12F78" w:rsidRDefault="00076613" w:rsidP="004B79E4">
            <w:pPr>
              <w:jc w:val="center"/>
              <w:rPr>
                <w:rFonts w:cstheme="minorHAnsi"/>
              </w:rPr>
            </w:pPr>
          </w:p>
        </w:tc>
        <w:tc>
          <w:tcPr>
            <w:tcW w:w="1000" w:type="pct"/>
            <w:shd w:val="clear" w:color="auto" w:fill="D9D9D9"/>
            <w:vAlign w:val="center"/>
            <w:hideMark/>
          </w:tcPr>
          <w:p w14:paraId="6FCF57B5" w14:textId="77777777" w:rsidR="00076613" w:rsidRPr="00C12F78" w:rsidRDefault="00076613" w:rsidP="004B79E4">
            <w:pPr>
              <w:rPr>
                <w:rFonts w:cstheme="minorHAnsi"/>
                <w:sz w:val="24"/>
                <w:szCs w:val="24"/>
              </w:rPr>
            </w:pPr>
            <w:r w:rsidRPr="00C12F78">
              <w:rPr>
                <w:rFonts w:cstheme="minorHAnsi"/>
                <w:b/>
                <w:bCs/>
                <w:sz w:val="20"/>
                <w:szCs w:val="20"/>
              </w:rPr>
              <w:t>Výdavky celkom</w:t>
            </w:r>
            <w:r w:rsidRPr="00C12F78">
              <w:rPr>
                <w:rFonts w:cstheme="minorHAnsi"/>
              </w:rPr>
              <w:t xml:space="preserve"> </w:t>
            </w:r>
          </w:p>
        </w:tc>
        <w:tc>
          <w:tcPr>
            <w:tcW w:w="732" w:type="pct"/>
            <w:shd w:val="clear" w:color="auto" w:fill="D9D9D9"/>
            <w:noWrap/>
            <w:vAlign w:val="center"/>
            <w:hideMark/>
          </w:tcPr>
          <w:p w14:paraId="0064B2A5" w14:textId="77777777" w:rsidR="00076613" w:rsidRPr="00C12F78" w:rsidRDefault="00076613" w:rsidP="004B79E4">
            <w:pPr>
              <w:jc w:val="right"/>
              <w:rPr>
                <w:rFonts w:cstheme="minorHAnsi"/>
              </w:rPr>
            </w:pPr>
            <w:r w:rsidRPr="00C12F78">
              <w:rPr>
                <w:rFonts w:cstheme="minorHAnsi"/>
                <w:b/>
                <w:bCs/>
                <w:sz w:val="20"/>
                <w:szCs w:val="20"/>
              </w:rPr>
              <w:t>20 323 000,00</w:t>
            </w:r>
            <w:r w:rsidRPr="00C12F78">
              <w:rPr>
                <w:rFonts w:cstheme="minorHAnsi"/>
              </w:rPr>
              <w:t xml:space="preserve"> </w:t>
            </w:r>
          </w:p>
        </w:tc>
        <w:tc>
          <w:tcPr>
            <w:tcW w:w="665" w:type="pct"/>
            <w:shd w:val="clear" w:color="auto" w:fill="D9D9D9"/>
            <w:noWrap/>
            <w:vAlign w:val="center"/>
            <w:hideMark/>
          </w:tcPr>
          <w:p w14:paraId="32260908" w14:textId="77777777" w:rsidR="00076613" w:rsidRPr="00C12F78" w:rsidRDefault="00076613" w:rsidP="004B79E4">
            <w:pPr>
              <w:jc w:val="right"/>
              <w:rPr>
                <w:rFonts w:cstheme="minorHAnsi"/>
              </w:rPr>
            </w:pPr>
            <w:r w:rsidRPr="00C12F78">
              <w:rPr>
                <w:rFonts w:cstheme="minorHAnsi"/>
                <w:b/>
                <w:bCs/>
                <w:sz w:val="20"/>
                <w:szCs w:val="20"/>
              </w:rPr>
              <w:t>20 821 000,00</w:t>
            </w:r>
            <w:r w:rsidRPr="00C12F78">
              <w:rPr>
                <w:rFonts w:cstheme="minorHAnsi"/>
              </w:rPr>
              <w:t xml:space="preserve"> </w:t>
            </w:r>
          </w:p>
        </w:tc>
        <w:tc>
          <w:tcPr>
            <w:tcW w:w="596" w:type="pct"/>
            <w:shd w:val="clear" w:color="auto" w:fill="D9D9D9"/>
            <w:noWrap/>
            <w:vAlign w:val="center"/>
            <w:hideMark/>
          </w:tcPr>
          <w:p w14:paraId="78354E5F" w14:textId="77777777" w:rsidR="00076613" w:rsidRPr="00C12F78" w:rsidRDefault="00076613" w:rsidP="004B79E4">
            <w:pPr>
              <w:jc w:val="right"/>
              <w:rPr>
                <w:rFonts w:cstheme="minorHAnsi"/>
              </w:rPr>
            </w:pPr>
            <w:r w:rsidRPr="00C12F78">
              <w:rPr>
                <w:rFonts w:cstheme="minorHAnsi"/>
                <w:b/>
                <w:bCs/>
                <w:sz w:val="20"/>
                <w:szCs w:val="20"/>
              </w:rPr>
              <w:t>20 405 111,50</w:t>
            </w:r>
            <w:r w:rsidRPr="00C12F78">
              <w:rPr>
                <w:rFonts w:cstheme="minorHAnsi"/>
              </w:rPr>
              <w:t xml:space="preserve"> </w:t>
            </w:r>
          </w:p>
        </w:tc>
        <w:tc>
          <w:tcPr>
            <w:tcW w:w="526" w:type="pct"/>
            <w:shd w:val="clear" w:color="auto" w:fill="D9D9D9"/>
            <w:noWrap/>
            <w:vAlign w:val="center"/>
            <w:hideMark/>
          </w:tcPr>
          <w:p w14:paraId="300C9244" w14:textId="77777777" w:rsidR="00076613" w:rsidRPr="00C12F78" w:rsidRDefault="00076613" w:rsidP="004B79E4">
            <w:pPr>
              <w:jc w:val="right"/>
              <w:rPr>
                <w:rFonts w:cstheme="minorHAnsi"/>
              </w:rPr>
            </w:pPr>
            <w:r w:rsidRPr="00C12F78">
              <w:rPr>
                <w:rFonts w:cstheme="minorHAnsi"/>
                <w:b/>
                <w:bCs/>
                <w:sz w:val="20"/>
                <w:szCs w:val="20"/>
              </w:rPr>
              <w:t>98,00</w:t>
            </w:r>
            <w:r w:rsidRPr="00C12F78">
              <w:rPr>
                <w:rFonts w:cstheme="minorHAnsi"/>
              </w:rPr>
              <w:t xml:space="preserve"> </w:t>
            </w:r>
          </w:p>
        </w:tc>
        <w:tc>
          <w:tcPr>
            <w:tcW w:w="1051" w:type="pct"/>
            <w:vMerge w:val="restart"/>
            <w:shd w:val="clear" w:color="auto" w:fill="D9D9D9"/>
            <w:vAlign w:val="center"/>
          </w:tcPr>
          <w:p w14:paraId="6D540900" w14:textId="21FC35E0" w:rsidR="00076613" w:rsidRPr="00C12F78" w:rsidRDefault="00076613" w:rsidP="004B79E4">
            <w:pPr>
              <w:rPr>
                <w:rFonts w:cstheme="minorHAnsi"/>
                <w:sz w:val="20"/>
                <w:szCs w:val="20"/>
              </w:rPr>
            </w:pPr>
            <w:r>
              <w:rPr>
                <w:rFonts w:cstheme="minorHAnsi"/>
                <w:sz w:val="20"/>
                <w:szCs w:val="20"/>
              </w:rPr>
              <w:t xml:space="preserve"> +</w:t>
            </w:r>
            <w:r>
              <w:rPr>
                <w:rFonts w:cstheme="minorHAnsi"/>
                <w:b/>
                <w:bCs/>
                <w:sz w:val="20"/>
                <w:szCs w:val="20"/>
              </w:rPr>
              <w:t>498 000</w:t>
            </w:r>
            <w:r w:rsidRPr="009A1E57">
              <w:rPr>
                <w:rFonts w:cstheme="minorHAnsi"/>
                <w:b/>
                <w:bCs/>
                <w:sz w:val="20"/>
                <w:szCs w:val="20"/>
              </w:rPr>
              <w:t xml:space="preserve"> EUR</w:t>
            </w:r>
            <w:r>
              <w:rPr>
                <w:rFonts w:cstheme="minorHAnsi"/>
                <w:b/>
                <w:bCs/>
                <w:sz w:val="20"/>
                <w:szCs w:val="20"/>
              </w:rPr>
              <w:t xml:space="preserve">, </w:t>
            </w:r>
            <w:r w:rsidRPr="009A1E57">
              <w:rPr>
                <w:rFonts w:cstheme="minorHAnsi"/>
                <w:sz w:val="20"/>
                <w:szCs w:val="20"/>
              </w:rPr>
              <w:t>I. zmena rozpočtu UZN č.247/202</w:t>
            </w:r>
            <w:r>
              <w:rPr>
                <w:rFonts w:cstheme="minorHAnsi"/>
                <w:sz w:val="20"/>
                <w:szCs w:val="20"/>
              </w:rPr>
              <w:t>0</w:t>
            </w:r>
          </w:p>
        </w:tc>
      </w:tr>
      <w:tr w:rsidR="00076613" w:rsidRPr="00C12F78" w14:paraId="382B6926" w14:textId="77777777" w:rsidTr="004B79E4">
        <w:trPr>
          <w:trHeight w:hRule="exact" w:val="340"/>
          <w:tblCellSpacing w:w="15" w:type="dxa"/>
        </w:trPr>
        <w:tc>
          <w:tcPr>
            <w:tcW w:w="314" w:type="pct"/>
            <w:shd w:val="clear" w:color="auto" w:fill="D9D9D9"/>
            <w:noWrap/>
            <w:vAlign w:val="center"/>
            <w:hideMark/>
          </w:tcPr>
          <w:p w14:paraId="745C99D8" w14:textId="77777777" w:rsidR="00076613" w:rsidRPr="00C12F78" w:rsidRDefault="00076613" w:rsidP="004B79E4">
            <w:pPr>
              <w:rPr>
                <w:rFonts w:cstheme="minorHAnsi"/>
              </w:rPr>
            </w:pPr>
            <w:r w:rsidRPr="00C12F78">
              <w:rPr>
                <w:rFonts w:cstheme="minorHAnsi"/>
                <w:b/>
                <w:bCs/>
                <w:sz w:val="20"/>
                <w:szCs w:val="20"/>
              </w:rPr>
              <w:t>600</w:t>
            </w:r>
            <w:r w:rsidRPr="00C12F78">
              <w:rPr>
                <w:rFonts w:cstheme="minorHAnsi"/>
              </w:rPr>
              <w:t xml:space="preserve"> </w:t>
            </w:r>
          </w:p>
        </w:tc>
        <w:tc>
          <w:tcPr>
            <w:tcW w:w="1000" w:type="pct"/>
            <w:shd w:val="clear" w:color="auto" w:fill="D9D9D9"/>
            <w:vAlign w:val="center"/>
            <w:hideMark/>
          </w:tcPr>
          <w:p w14:paraId="1F86FB17" w14:textId="77777777" w:rsidR="00076613" w:rsidRPr="00C12F78" w:rsidRDefault="00076613" w:rsidP="004B79E4">
            <w:pPr>
              <w:rPr>
                <w:rFonts w:cstheme="minorHAnsi"/>
              </w:rPr>
            </w:pPr>
            <w:r w:rsidRPr="00C12F78">
              <w:rPr>
                <w:rFonts w:cstheme="minorHAnsi"/>
                <w:b/>
                <w:bCs/>
                <w:sz w:val="20"/>
                <w:szCs w:val="20"/>
              </w:rPr>
              <w:t>Bežné výdavky</w:t>
            </w:r>
            <w:r w:rsidRPr="00C12F78">
              <w:rPr>
                <w:rFonts w:cstheme="minorHAnsi"/>
              </w:rPr>
              <w:t xml:space="preserve"> </w:t>
            </w:r>
          </w:p>
        </w:tc>
        <w:tc>
          <w:tcPr>
            <w:tcW w:w="732" w:type="pct"/>
            <w:shd w:val="clear" w:color="auto" w:fill="D9D9D9"/>
            <w:noWrap/>
            <w:vAlign w:val="center"/>
            <w:hideMark/>
          </w:tcPr>
          <w:p w14:paraId="185B7281" w14:textId="77777777" w:rsidR="00076613" w:rsidRPr="00C12F78" w:rsidRDefault="00076613" w:rsidP="004B79E4">
            <w:pPr>
              <w:jc w:val="right"/>
              <w:rPr>
                <w:rFonts w:cstheme="minorHAnsi"/>
              </w:rPr>
            </w:pPr>
            <w:r w:rsidRPr="00C12F78">
              <w:rPr>
                <w:rFonts w:cstheme="minorHAnsi"/>
                <w:b/>
                <w:bCs/>
                <w:sz w:val="20"/>
                <w:szCs w:val="20"/>
              </w:rPr>
              <w:t>20 323 000,00</w:t>
            </w:r>
            <w:r w:rsidRPr="00C12F78">
              <w:rPr>
                <w:rFonts w:cstheme="minorHAnsi"/>
              </w:rPr>
              <w:t xml:space="preserve"> </w:t>
            </w:r>
          </w:p>
        </w:tc>
        <w:tc>
          <w:tcPr>
            <w:tcW w:w="665" w:type="pct"/>
            <w:shd w:val="clear" w:color="auto" w:fill="D9D9D9"/>
            <w:noWrap/>
            <w:vAlign w:val="center"/>
            <w:hideMark/>
          </w:tcPr>
          <w:p w14:paraId="07448DD7" w14:textId="77777777" w:rsidR="00076613" w:rsidRPr="00C12F78" w:rsidRDefault="00076613" w:rsidP="004B79E4">
            <w:pPr>
              <w:jc w:val="right"/>
              <w:rPr>
                <w:rFonts w:cstheme="minorHAnsi"/>
              </w:rPr>
            </w:pPr>
            <w:r w:rsidRPr="00C12F78">
              <w:rPr>
                <w:rFonts w:cstheme="minorHAnsi"/>
                <w:b/>
                <w:bCs/>
                <w:sz w:val="20"/>
                <w:szCs w:val="20"/>
              </w:rPr>
              <w:t>20 821 000,00</w:t>
            </w:r>
            <w:r w:rsidRPr="00C12F78">
              <w:rPr>
                <w:rFonts w:cstheme="minorHAnsi"/>
              </w:rPr>
              <w:t xml:space="preserve"> </w:t>
            </w:r>
          </w:p>
        </w:tc>
        <w:tc>
          <w:tcPr>
            <w:tcW w:w="596" w:type="pct"/>
            <w:shd w:val="clear" w:color="auto" w:fill="D9D9D9"/>
            <w:noWrap/>
            <w:vAlign w:val="center"/>
            <w:hideMark/>
          </w:tcPr>
          <w:p w14:paraId="6C0235D0" w14:textId="77777777" w:rsidR="00076613" w:rsidRPr="00C12F78" w:rsidRDefault="00076613" w:rsidP="004B79E4">
            <w:pPr>
              <w:jc w:val="right"/>
              <w:rPr>
                <w:rFonts w:cstheme="minorHAnsi"/>
              </w:rPr>
            </w:pPr>
            <w:r w:rsidRPr="00C12F78">
              <w:rPr>
                <w:rFonts w:cstheme="minorHAnsi"/>
                <w:b/>
                <w:bCs/>
                <w:sz w:val="20"/>
                <w:szCs w:val="20"/>
              </w:rPr>
              <w:t>20 405 111,50</w:t>
            </w:r>
            <w:r w:rsidRPr="00C12F78">
              <w:rPr>
                <w:rFonts w:cstheme="minorHAnsi"/>
              </w:rPr>
              <w:t xml:space="preserve"> </w:t>
            </w:r>
          </w:p>
        </w:tc>
        <w:tc>
          <w:tcPr>
            <w:tcW w:w="526" w:type="pct"/>
            <w:shd w:val="clear" w:color="auto" w:fill="D9D9D9"/>
            <w:noWrap/>
            <w:vAlign w:val="center"/>
            <w:hideMark/>
          </w:tcPr>
          <w:p w14:paraId="2BD75C0F" w14:textId="77777777" w:rsidR="00076613" w:rsidRPr="00C12F78" w:rsidRDefault="00076613" w:rsidP="004B79E4">
            <w:pPr>
              <w:jc w:val="right"/>
              <w:rPr>
                <w:rFonts w:cstheme="minorHAnsi"/>
              </w:rPr>
            </w:pPr>
            <w:r w:rsidRPr="00C12F78">
              <w:rPr>
                <w:rFonts w:cstheme="minorHAnsi"/>
                <w:b/>
                <w:bCs/>
                <w:sz w:val="20"/>
                <w:szCs w:val="20"/>
              </w:rPr>
              <w:t>98,00</w:t>
            </w:r>
            <w:r w:rsidRPr="00C12F78">
              <w:rPr>
                <w:rFonts w:cstheme="minorHAnsi"/>
              </w:rPr>
              <w:t xml:space="preserve"> </w:t>
            </w:r>
          </w:p>
        </w:tc>
        <w:tc>
          <w:tcPr>
            <w:tcW w:w="1051" w:type="pct"/>
            <w:vMerge/>
            <w:shd w:val="clear" w:color="auto" w:fill="D9D9D9"/>
            <w:vAlign w:val="center"/>
          </w:tcPr>
          <w:p w14:paraId="7FF369B6" w14:textId="77777777" w:rsidR="00076613" w:rsidRPr="00C12F78" w:rsidRDefault="00076613" w:rsidP="004B79E4">
            <w:pPr>
              <w:jc w:val="right"/>
              <w:rPr>
                <w:rFonts w:cstheme="minorHAnsi"/>
              </w:rPr>
            </w:pPr>
          </w:p>
        </w:tc>
      </w:tr>
      <w:tr w:rsidR="00076613" w:rsidRPr="00C12F78" w14:paraId="7414B468" w14:textId="77777777" w:rsidTr="004B79E4">
        <w:trPr>
          <w:trHeight w:hRule="exact" w:val="340"/>
          <w:tblCellSpacing w:w="15" w:type="dxa"/>
        </w:trPr>
        <w:tc>
          <w:tcPr>
            <w:tcW w:w="314" w:type="pct"/>
            <w:shd w:val="clear" w:color="auto" w:fill="EFEFEF"/>
            <w:noWrap/>
            <w:vAlign w:val="center"/>
            <w:hideMark/>
          </w:tcPr>
          <w:p w14:paraId="746D9E5C" w14:textId="77777777" w:rsidR="00076613" w:rsidRPr="00C12F78" w:rsidRDefault="00076613" w:rsidP="004B79E4">
            <w:pPr>
              <w:rPr>
                <w:rFonts w:cstheme="minorHAnsi"/>
                <w:sz w:val="24"/>
                <w:szCs w:val="24"/>
              </w:rPr>
            </w:pPr>
            <w:r w:rsidRPr="00C12F78">
              <w:rPr>
                <w:rFonts w:cstheme="minorHAnsi"/>
                <w:sz w:val="20"/>
                <w:szCs w:val="20"/>
              </w:rPr>
              <w:t>640</w:t>
            </w:r>
            <w:r w:rsidRPr="00C12F78">
              <w:rPr>
                <w:rFonts w:cstheme="minorHAnsi"/>
              </w:rPr>
              <w:t xml:space="preserve"> </w:t>
            </w:r>
          </w:p>
        </w:tc>
        <w:tc>
          <w:tcPr>
            <w:tcW w:w="1000" w:type="pct"/>
            <w:shd w:val="clear" w:color="auto" w:fill="EFEFEF"/>
            <w:vAlign w:val="center"/>
            <w:hideMark/>
          </w:tcPr>
          <w:p w14:paraId="2C611B2C" w14:textId="77777777" w:rsidR="00076613" w:rsidRPr="00C12F78" w:rsidRDefault="00076613" w:rsidP="004B79E4">
            <w:pPr>
              <w:rPr>
                <w:rFonts w:cstheme="minorHAnsi"/>
              </w:rPr>
            </w:pPr>
            <w:r w:rsidRPr="00C12F78">
              <w:rPr>
                <w:rFonts w:cstheme="minorHAnsi"/>
                <w:sz w:val="20"/>
                <w:szCs w:val="20"/>
              </w:rPr>
              <w:t>Bežné transfery</w:t>
            </w:r>
            <w:r w:rsidRPr="00C12F78">
              <w:rPr>
                <w:rFonts w:cstheme="minorHAnsi"/>
              </w:rPr>
              <w:t xml:space="preserve"> </w:t>
            </w:r>
          </w:p>
        </w:tc>
        <w:tc>
          <w:tcPr>
            <w:tcW w:w="732" w:type="pct"/>
            <w:shd w:val="clear" w:color="auto" w:fill="EFEFEF"/>
            <w:noWrap/>
            <w:vAlign w:val="center"/>
            <w:hideMark/>
          </w:tcPr>
          <w:p w14:paraId="245C2241" w14:textId="77777777" w:rsidR="00076613" w:rsidRPr="00C12F78" w:rsidRDefault="00076613" w:rsidP="004B79E4">
            <w:pPr>
              <w:jc w:val="right"/>
              <w:rPr>
                <w:rFonts w:cstheme="minorHAnsi"/>
              </w:rPr>
            </w:pPr>
            <w:r w:rsidRPr="00C12F78">
              <w:rPr>
                <w:rFonts w:cstheme="minorHAnsi"/>
                <w:sz w:val="20"/>
                <w:szCs w:val="20"/>
              </w:rPr>
              <w:t>20 323 000,00</w:t>
            </w:r>
            <w:r w:rsidRPr="00C12F78">
              <w:rPr>
                <w:rFonts w:cstheme="minorHAnsi"/>
              </w:rPr>
              <w:t xml:space="preserve"> </w:t>
            </w:r>
          </w:p>
        </w:tc>
        <w:tc>
          <w:tcPr>
            <w:tcW w:w="665" w:type="pct"/>
            <w:shd w:val="clear" w:color="auto" w:fill="EFEFEF"/>
            <w:noWrap/>
            <w:vAlign w:val="center"/>
            <w:hideMark/>
          </w:tcPr>
          <w:p w14:paraId="7D9AE516" w14:textId="77777777" w:rsidR="00076613" w:rsidRPr="00C12F78" w:rsidRDefault="00076613" w:rsidP="004B79E4">
            <w:pPr>
              <w:jc w:val="right"/>
              <w:rPr>
                <w:rFonts w:cstheme="minorHAnsi"/>
              </w:rPr>
            </w:pPr>
            <w:r w:rsidRPr="00C12F78">
              <w:rPr>
                <w:rFonts w:cstheme="minorHAnsi"/>
                <w:sz w:val="20"/>
                <w:szCs w:val="20"/>
              </w:rPr>
              <w:t>20 821 000,00</w:t>
            </w:r>
            <w:r w:rsidRPr="00C12F78">
              <w:rPr>
                <w:rFonts w:cstheme="minorHAnsi"/>
              </w:rPr>
              <w:t xml:space="preserve"> </w:t>
            </w:r>
          </w:p>
        </w:tc>
        <w:tc>
          <w:tcPr>
            <w:tcW w:w="596" w:type="pct"/>
            <w:shd w:val="clear" w:color="auto" w:fill="EFEFEF"/>
            <w:noWrap/>
            <w:vAlign w:val="center"/>
            <w:hideMark/>
          </w:tcPr>
          <w:p w14:paraId="3A537627" w14:textId="77777777" w:rsidR="00076613" w:rsidRPr="00C12F78" w:rsidRDefault="00076613" w:rsidP="004B79E4">
            <w:pPr>
              <w:jc w:val="right"/>
              <w:rPr>
                <w:rFonts w:cstheme="minorHAnsi"/>
              </w:rPr>
            </w:pPr>
            <w:r w:rsidRPr="00C12F78">
              <w:rPr>
                <w:rFonts w:cstheme="minorHAnsi"/>
                <w:sz w:val="20"/>
                <w:szCs w:val="20"/>
              </w:rPr>
              <w:t>20 405 111,50</w:t>
            </w:r>
            <w:r w:rsidRPr="00C12F78">
              <w:rPr>
                <w:rFonts w:cstheme="minorHAnsi"/>
              </w:rPr>
              <w:t xml:space="preserve"> </w:t>
            </w:r>
          </w:p>
        </w:tc>
        <w:tc>
          <w:tcPr>
            <w:tcW w:w="526" w:type="pct"/>
            <w:shd w:val="clear" w:color="auto" w:fill="EFEFEF"/>
            <w:noWrap/>
            <w:vAlign w:val="center"/>
            <w:hideMark/>
          </w:tcPr>
          <w:p w14:paraId="2EE88512" w14:textId="77777777" w:rsidR="00076613" w:rsidRPr="00C12F78" w:rsidRDefault="00076613" w:rsidP="004B79E4">
            <w:pPr>
              <w:jc w:val="right"/>
              <w:rPr>
                <w:rFonts w:cstheme="minorHAnsi"/>
              </w:rPr>
            </w:pPr>
            <w:r w:rsidRPr="00C12F78">
              <w:rPr>
                <w:rFonts w:cstheme="minorHAnsi"/>
                <w:sz w:val="20"/>
                <w:szCs w:val="20"/>
              </w:rPr>
              <w:t>98,00</w:t>
            </w:r>
            <w:r w:rsidRPr="00C12F78">
              <w:rPr>
                <w:rFonts w:cstheme="minorHAnsi"/>
              </w:rPr>
              <w:t xml:space="preserve"> </w:t>
            </w:r>
          </w:p>
        </w:tc>
        <w:tc>
          <w:tcPr>
            <w:tcW w:w="1051" w:type="pct"/>
            <w:vMerge/>
            <w:shd w:val="clear" w:color="auto" w:fill="EFEFEF"/>
            <w:vAlign w:val="center"/>
          </w:tcPr>
          <w:p w14:paraId="2945C148" w14:textId="77777777" w:rsidR="00076613" w:rsidRPr="00C12F78" w:rsidRDefault="00076613" w:rsidP="004B79E4">
            <w:pPr>
              <w:rPr>
                <w:rFonts w:cstheme="minorHAnsi"/>
                <w:sz w:val="24"/>
                <w:szCs w:val="24"/>
              </w:rPr>
            </w:pPr>
          </w:p>
        </w:tc>
      </w:tr>
    </w:tbl>
    <w:p w14:paraId="5959DE09" w14:textId="77777777" w:rsidR="00076613" w:rsidRPr="00C12F78" w:rsidRDefault="00076613" w:rsidP="00076613">
      <w:pPr>
        <w:pStyle w:val="Normlnywebov"/>
        <w:spacing w:after="0"/>
        <w:rPr>
          <w:rFonts w:asciiTheme="minorHAnsi" w:hAnsiTheme="minorHAnsi" w:cstheme="minorHAns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41"/>
        <w:gridCol w:w="1335"/>
        <w:gridCol w:w="1307"/>
        <w:gridCol w:w="1124"/>
        <w:gridCol w:w="4159"/>
      </w:tblGrid>
      <w:tr w:rsidR="00076613" w:rsidRPr="00C12F78" w14:paraId="494BF5AC" w14:textId="77777777" w:rsidTr="004B79E4">
        <w:trPr>
          <w:trHeight w:hRule="exact" w:val="340"/>
          <w:tblCellSpacing w:w="15" w:type="dxa"/>
        </w:trPr>
        <w:tc>
          <w:tcPr>
            <w:tcW w:w="0" w:type="auto"/>
            <w:shd w:val="clear" w:color="auto" w:fill="C2D69B"/>
            <w:vAlign w:val="center"/>
            <w:hideMark/>
          </w:tcPr>
          <w:p w14:paraId="67A7DA9B" w14:textId="77777777" w:rsidR="00076613" w:rsidRPr="00C12F78" w:rsidRDefault="00076613" w:rsidP="004B79E4">
            <w:pPr>
              <w:rPr>
                <w:rFonts w:cstheme="minorHAnsi"/>
              </w:rPr>
            </w:pPr>
            <w:r w:rsidRPr="00C12F78">
              <w:rPr>
                <w:rFonts w:cstheme="minorHAnsi"/>
                <w:b/>
                <w:bCs/>
                <w:sz w:val="20"/>
                <w:szCs w:val="20"/>
              </w:rPr>
              <w:t>Zodpovednosť</w:t>
            </w:r>
          </w:p>
        </w:tc>
        <w:tc>
          <w:tcPr>
            <w:tcW w:w="0" w:type="auto"/>
            <w:gridSpan w:val="4"/>
            <w:shd w:val="clear" w:color="auto" w:fill="C2D69B"/>
            <w:vAlign w:val="center"/>
            <w:hideMark/>
          </w:tcPr>
          <w:p w14:paraId="2D7A5642" w14:textId="77777777" w:rsidR="00076613" w:rsidRPr="00C12F78" w:rsidRDefault="00076613" w:rsidP="004B79E4">
            <w:pPr>
              <w:rPr>
                <w:rFonts w:cstheme="minorHAnsi"/>
              </w:rPr>
            </w:pPr>
            <w:r w:rsidRPr="00C12F78">
              <w:rPr>
                <w:rFonts w:cstheme="minorHAnsi"/>
                <w:sz w:val="20"/>
                <w:szCs w:val="20"/>
              </w:rPr>
              <w:t>Odbor dopravy</w:t>
            </w:r>
            <w:r w:rsidRPr="00C12F78">
              <w:rPr>
                <w:rFonts w:cstheme="minorHAnsi"/>
                <w:sz w:val="20"/>
                <w:szCs w:val="20"/>
              </w:rPr>
              <w:br/>
            </w:r>
          </w:p>
        </w:tc>
      </w:tr>
      <w:tr w:rsidR="00076613" w:rsidRPr="00C12F78" w14:paraId="6C35BE0E" w14:textId="77777777" w:rsidTr="004B79E4">
        <w:trPr>
          <w:trHeight w:hRule="exact" w:val="340"/>
          <w:tblCellSpacing w:w="15" w:type="dxa"/>
        </w:trPr>
        <w:tc>
          <w:tcPr>
            <w:tcW w:w="0" w:type="auto"/>
            <w:shd w:val="clear" w:color="auto" w:fill="C2D69B"/>
            <w:vAlign w:val="center"/>
            <w:hideMark/>
          </w:tcPr>
          <w:p w14:paraId="021C9D35" w14:textId="77777777" w:rsidR="00076613" w:rsidRPr="00C12F78" w:rsidRDefault="00076613" w:rsidP="004B79E4">
            <w:pPr>
              <w:rPr>
                <w:rFonts w:cstheme="minorHAnsi"/>
              </w:rPr>
            </w:pPr>
            <w:r w:rsidRPr="00C12F78">
              <w:rPr>
                <w:rFonts w:cstheme="minorHAnsi"/>
                <w:b/>
                <w:bCs/>
                <w:sz w:val="20"/>
                <w:szCs w:val="20"/>
              </w:rPr>
              <w:lastRenderedPageBreak/>
              <w:t>Cieľ</w:t>
            </w:r>
          </w:p>
        </w:tc>
        <w:tc>
          <w:tcPr>
            <w:tcW w:w="0" w:type="auto"/>
            <w:gridSpan w:val="4"/>
            <w:shd w:val="clear" w:color="auto" w:fill="C2D69B"/>
            <w:vAlign w:val="center"/>
            <w:hideMark/>
          </w:tcPr>
          <w:p w14:paraId="1EC7A5F1" w14:textId="77777777" w:rsidR="00076613" w:rsidRPr="00C12F78" w:rsidRDefault="00076613" w:rsidP="004B79E4">
            <w:pPr>
              <w:rPr>
                <w:rFonts w:cstheme="minorHAnsi"/>
              </w:rPr>
            </w:pPr>
            <w:r w:rsidRPr="00C12F78">
              <w:rPr>
                <w:rFonts w:cstheme="minorHAnsi"/>
                <w:sz w:val="20"/>
                <w:szCs w:val="20"/>
              </w:rPr>
              <w:t>Zabezpečiť atraktívnosť hromadnej autobusovej dopravy</w:t>
            </w:r>
            <w:r w:rsidRPr="00C12F78">
              <w:rPr>
                <w:rFonts w:cstheme="minorHAnsi"/>
              </w:rPr>
              <w:t xml:space="preserve"> </w:t>
            </w:r>
          </w:p>
        </w:tc>
      </w:tr>
      <w:tr w:rsidR="00076613" w:rsidRPr="00C12F78" w14:paraId="4238DF6D" w14:textId="77777777" w:rsidTr="004B79E4">
        <w:trPr>
          <w:trHeight w:hRule="exact" w:val="340"/>
          <w:tblCellSpacing w:w="15" w:type="dxa"/>
        </w:trPr>
        <w:tc>
          <w:tcPr>
            <w:tcW w:w="0" w:type="auto"/>
            <w:shd w:val="clear" w:color="auto" w:fill="C2D69B"/>
            <w:vAlign w:val="center"/>
            <w:hideMark/>
          </w:tcPr>
          <w:p w14:paraId="64C91612" w14:textId="77777777" w:rsidR="00076613" w:rsidRPr="00C12F78" w:rsidRDefault="00076613" w:rsidP="004B79E4">
            <w:pPr>
              <w:rPr>
                <w:rFonts w:cstheme="minorHAnsi"/>
              </w:rPr>
            </w:pPr>
            <w:r w:rsidRPr="00C12F78">
              <w:rPr>
                <w:rFonts w:cstheme="minorHAnsi"/>
                <w:b/>
                <w:bCs/>
                <w:sz w:val="20"/>
                <w:szCs w:val="20"/>
              </w:rPr>
              <w:t>Merateľný ukazovateľ</w:t>
            </w:r>
          </w:p>
        </w:tc>
        <w:tc>
          <w:tcPr>
            <w:tcW w:w="0" w:type="auto"/>
            <w:gridSpan w:val="4"/>
            <w:shd w:val="clear" w:color="auto" w:fill="C2D69B"/>
            <w:vAlign w:val="center"/>
            <w:hideMark/>
          </w:tcPr>
          <w:p w14:paraId="11609B77" w14:textId="77777777" w:rsidR="00076613" w:rsidRPr="00C12F78" w:rsidRDefault="00076613" w:rsidP="004B79E4">
            <w:pPr>
              <w:rPr>
                <w:rFonts w:cstheme="minorHAnsi"/>
              </w:rPr>
            </w:pPr>
            <w:r w:rsidRPr="00C12F78">
              <w:rPr>
                <w:rFonts w:cstheme="minorHAnsi"/>
                <w:sz w:val="20"/>
                <w:szCs w:val="20"/>
              </w:rPr>
              <w:t>Počet dopravných výkonov (v km) autobusovou dopravou spolu za rok</w:t>
            </w:r>
            <w:r w:rsidRPr="00C12F78">
              <w:rPr>
                <w:rFonts w:cstheme="minorHAnsi"/>
              </w:rPr>
              <w:t xml:space="preserve"> </w:t>
            </w:r>
          </w:p>
        </w:tc>
      </w:tr>
      <w:tr w:rsidR="00076613" w:rsidRPr="00C12F78" w14:paraId="250578D5" w14:textId="77777777" w:rsidTr="004B79E4">
        <w:trPr>
          <w:trHeight w:hRule="exact" w:val="340"/>
          <w:tblCellSpacing w:w="15" w:type="dxa"/>
        </w:trPr>
        <w:tc>
          <w:tcPr>
            <w:tcW w:w="0" w:type="auto"/>
            <w:shd w:val="clear" w:color="auto" w:fill="C2D69B"/>
            <w:vAlign w:val="center"/>
            <w:hideMark/>
          </w:tcPr>
          <w:p w14:paraId="1AE01F1C" w14:textId="77777777" w:rsidR="00076613" w:rsidRPr="00C12F78" w:rsidRDefault="00076613" w:rsidP="004B79E4">
            <w:pPr>
              <w:jc w:val="center"/>
              <w:rPr>
                <w:rFonts w:cstheme="minorHAnsi"/>
              </w:rPr>
            </w:pPr>
            <w:r w:rsidRPr="00C12F78">
              <w:rPr>
                <w:rFonts w:cstheme="minorHAnsi"/>
                <w:b/>
                <w:bCs/>
                <w:sz w:val="20"/>
                <w:szCs w:val="20"/>
              </w:rPr>
              <w:t>Rok</w:t>
            </w:r>
          </w:p>
        </w:tc>
        <w:tc>
          <w:tcPr>
            <w:tcW w:w="0" w:type="auto"/>
            <w:shd w:val="clear" w:color="auto" w:fill="C2D69B"/>
            <w:vAlign w:val="center"/>
            <w:hideMark/>
          </w:tcPr>
          <w:p w14:paraId="231625BA" w14:textId="77777777" w:rsidR="00076613" w:rsidRPr="00C12F78" w:rsidRDefault="00076613" w:rsidP="004B79E4">
            <w:pPr>
              <w:jc w:val="center"/>
              <w:rPr>
                <w:rFonts w:cstheme="minorHAnsi"/>
              </w:rPr>
            </w:pPr>
            <w:r w:rsidRPr="00C12F78">
              <w:rPr>
                <w:rFonts w:cstheme="minorHAnsi"/>
                <w:b/>
                <w:bCs/>
                <w:sz w:val="20"/>
                <w:szCs w:val="20"/>
              </w:rPr>
              <w:t>Plán</w:t>
            </w:r>
          </w:p>
        </w:tc>
        <w:tc>
          <w:tcPr>
            <w:tcW w:w="0" w:type="auto"/>
            <w:shd w:val="clear" w:color="auto" w:fill="C2D69B"/>
            <w:vAlign w:val="center"/>
            <w:hideMark/>
          </w:tcPr>
          <w:p w14:paraId="23B21F06" w14:textId="77777777" w:rsidR="00076613" w:rsidRPr="00C12F78" w:rsidRDefault="00076613" w:rsidP="004B79E4">
            <w:pPr>
              <w:jc w:val="center"/>
              <w:rPr>
                <w:rFonts w:cstheme="minorHAnsi"/>
              </w:rPr>
            </w:pPr>
            <w:r w:rsidRPr="00C12F78">
              <w:rPr>
                <w:rFonts w:cstheme="minorHAnsi"/>
                <w:b/>
                <w:bCs/>
                <w:sz w:val="20"/>
                <w:szCs w:val="20"/>
              </w:rPr>
              <w:t>Skutočnosť</w:t>
            </w:r>
          </w:p>
        </w:tc>
        <w:tc>
          <w:tcPr>
            <w:tcW w:w="0" w:type="auto"/>
            <w:shd w:val="clear" w:color="auto" w:fill="C2D69B"/>
            <w:vAlign w:val="center"/>
            <w:hideMark/>
          </w:tcPr>
          <w:p w14:paraId="035CE37A" w14:textId="77777777" w:rsidR="00076613" w:rsidRPr="00C12F78" w:rsidRDefault="00076613" w:rsidP="004B79E4">
            <w:pPr>
              <w:jc w:val="center"/>
              <w:rPr>
                <w:rFonts w:cstheme="minorHAnsi"/>
              </w:rPr>
            </w:pPr>
            <w:r w:rsidRPr="00C12F78">
              <w:rPr>
                <w:rFonts w:cstheme="minorHAnsi"/>
                <w:b/>
                <w:bCs/>
                <w:sz w:val="20"/>
                <w:szCs w:val="20"/>
              </w:rPr>
              <w:t>Plnenie</w:t>
            </w:r>
          </w:p>
        </w:tc>
        <w:tc>
          <w:tcPr>
            <w:tcW w:w="2000" w:type="pct"/>
            <w:shd w:val="clear" w:color="auto" w:fill="C2D69B"/>
            <w:vAlign w:val="center"/>
            <w:hideMark/>
          </w:tcPr>
          <w:p w14:paraId="1D8F7EF0" w14:textId="77777777" w:rsidR="00076613" w:rsidRPr="00C12F78" w:rsidRDefault="00076613" w:rsidP="004B79E4">
            <w:pPr>
              <w:rPr>
                <w:rFonts w:cstheme="minorHAnsi"/>
              </w:rPr>
            </w:pPr>
            <w:r w:rsidRPr="00C12F78">
              <w:rPr>
                <w:rFonts w:cstheme="minorHAnsi"/>
                <w:b/>
                <w:bCs/>
                <w:sz w:val="20"/>
                <w:szCs w:val="20"/>
              </w:rPr>
              <w:t>Poznámka</w:t>
            </w:r>
          </w:p>
        </w:tc>
      </w:tr>
      <w:tr w:rsidR="00076613" w:rsidRPr="00C12F78" w14:paraId="720F5780" w14:textId="77777777" w:rsidTr="004B79E4">
        <w:trPr>
          <w:tblCellSpacing w:w="15" w:type="dxa"/>
        </w:trPr>
        <w:tc>
          <w:tcPr>
            <w:tcW w:w="0" w:type="auto"/>
            <w:shd w:val="clear" w:color="auto" w:fill="C2D69B"/>
            <w:vAlign w:val="center"/>
            <w:hideMark/>
          </w:tcPr>
          <w:p w14:paraId="5DF94D55" w14:textId="77777777" w:rsidR="00076613" w:rsidRPr="00C12F78" w:rsidRDefault="00076613" w:rsidP="004B79E4">
            <w:pPr>
              <w:jc w:val="center"/>
              <w:rPr>
                <w:rFonts w:cstheme="minorHAnsi"/>
              </w:rPr>
            </w:pPr>
            <w:r w:rsidRPr="00C12F78">
              <w:rPr>
                <w:rFonts w:cstheme="minorHAnsi"/>
                <w:sz w:val="20"/>
                <w:szCs w:val="20"/>
              </w:rPr>
              <w:t>2020</w:t>
            </w:r>
            <w:r w:rsidRPr="00C12F78">
              <w:rPr>
                <w:rFonts w:cstheme="minorHAnsi"/>
              </w:rPr>
              <w:t xml:space="preserve"> </w:t>
            </w:r>
          </w:p>
        </w:tc>
        <w:tc>
          <w:tcPr>
            <w:tcW w:w="0" w:type="auto"/>
            <w:shd w:val="clear" w:color="auto" w:fill="C2D69B"/>
            <w:noWrap/>
            <w:vAlign w:val="center"/>
            <w:hideMark/>
          </w:tcPr>
          <w:p w14:paraId="40189A6F" w14:textId="77777777" w:rsidR="00076613" w:rsidRPr="00C12F78" w:rsidRDefault="00076613" w:rsidP="004B79E4">
            <w:pPr>
              <w:jc w:val="center"/>
              <w:rPr>
                <w:rFonts w:cstheme="minorHAnsi"/>
              </w:rPr>
            </w:pPr>
            <w:r w:rsidRPr="00C12F78">
              <w:rPr>
                <w:rFonts w:cstheme="minorHAnsi"/>
                <w:sz w:val="20"/>
                <w:szCs w:val="20"/>
              </w:rPr>
              <w:t> 14 443 000</w:t>
            </w:r>
            <w:r w:rsidRPr="00C12F78">
              <w:rPr>
                <w:rFonts w:cstheme="minorHAnsi"/>
              </w:rPr>
              <w:t xml:space="preserve"> </w:t>
            </w:r>
          </w:p>
        </w:tc>
        <w:tc>
          <w:tcPr>
            <w:tcW w:w="0" w:type="auto"/>
            <w:shd w:val="clear" w:color="auto" w:fill="C2D69B"/>
            <w:noWrap/>
            <w:vAlign w:val="center"/>
            <w:hideMark/>
          </w:tcPr>
          <w:p w14:paraId="0AE96507" w14:textId="77777777" w:rsidR="00076613" w:rsidRPr="00676B4C" w:rsidRDefault="00076613" w:rsidP="004B79E4">
            <w:pPr>
              <w:jc w:val="center"/>
              <w:rPr>
                <w:rFonts w:cstheme="minorHAnsi"/>
                <w:highlight w:val="yellow"/>
              </w:rPr>
            </w:pPr>
            <w:r w:rsidRPr="004279A6">
              <w:rPr>
                <w:rFonts w:cstheme="minorHAnsi"/>
                <w:sz w:val="20"/>
                <w:szCs w:val="20"/>
              </w:rPr>
              <w:t>13 249 850</w:t>
            </w:r>
          </w:p>
        </w:tc>
        <w:tc>
          <w:tcPr>
            <w:tcW w:w="0" w:type="auto"/>
            <w:shd w:val="clear" w:color="auto" w:fill="C2D69B"/>
            <w:vAlign w:val="center"/>
            <w:hideMark/>
          </w:tcPr>
          <w:p w14:paraId="36D562B5" w14:textId="77777777" w:rsidR="00076613" w:rsidRPr="00453A7A" w:rsidRDefault="00076613" w:rsidP="004B79E4">
            <w:pPr>
              <w:jc w:val="center"/>
              <w:rPr>
                <w:rFonts w:cstheme="minorHAnsi"/>
                <w:highlight w:val="yellow"/>
              </w:rPr>
            </w:pPr>
            <w:r w:rsidRPr="00676B4C">
              <w:rPr>
                <w:rFonts w:cstheme="minorHAnsi"/>
                <w:sz w:val="20"/>
                <w:szCs w:val="20"/>
              </w:rPr>
              <w:t>Čiastočne</w:t>
            </w:r>
            <w:r w:rsidRPr="00453A7A">
              <w:rPr>
                <w:rFonts w:cstheme="minorHAnsi"/>
                <w:highlight w:val="yellow"/>
              </w:rPr>
              <w:t xml:space="preserve"> </w:t>
            </w:r>
          </w:p>
        </w:tc>
        <w:tc>
          <w:tcPr>
            <w:tcW w:w="0" w:type="auto"/>
            <w:shd w:val="clear" w:color="auto" w:fill="C2D69B"/>
            <w:vAlign w:val="center"/>
            <w:hideMark/>
          </w:tcPr>
          <w:p w14:paraId="33389731" w14:textId="77777777" w:rsidR="00076613" w:rsidRPr="00676B4C" w:rsidRDefault="00076613" w:rsidP="004B79E4">
            <w:pPr>
              <w:spacing w:after="0"/>
              <w:jc w:val="both"/>
              <w:rPr>
                <w:sz w:val="18"/>
                <w:szCs w:val="18"/>
              </w:rPr>
            </w:pPr>
            <w:r w:rsidRPr="00676B4C">
              <w:rPr>
                <w:sz w:val="18"/>
                <w:szCs w:val="18"/>
              </w:rPr>
              <w:t xml:space="preserve">K termínu 08.03.2021 boli dodané predbežné údaje, nakoľko v čase zaslania údajov, dopravca nemusí disponovať všetkými prvotnými účtovnými dokladmi od dodávateľov, najmä za december 2020. Najneskôr do 31.03.2021 bude v zmysle zmluvy doručený výkaz za obdobie roka 2020. </w:t>
            </w:r>
          </w:p>
          <w:p w14:paraId="1D0CF9AF" w14:textId="21495F1D" w:rsidR="00076613" w:rsidRPr="00676B4C" w:rsidRDefault="00076613" w:rsidP="004B79E4">
            <w:pPr>
              <w:spacing w:after="0"/>
              <w:jc w:val="both"/>
              <w:rPr>
                <w:sz w:val="18"/>
                <w:szCs w:val="18"/>
              </w:rPr>
            </w:pPr>
            <w:r w:rsidRPr="00676B4C">
              <w:rPr>
                <w:sz w:val="18"/>
                <w:szCs w:val="18"/>
              </w:rPr>
              <w:t>Uzavretie dodatku č. 32 s navýšením mesačnej platby o 150</w:t>
            </w:r>
            <w:r>
              <w:rPr>
                <w:sz w:val="18"/>
                <w:szCs w:val="18"/>
              </w:rPr>
              <w:t> </w:t>
            </w:r>
            <w:r w:rsidRPr="00676B4C">
              <w:rPr>
                <w:sz w:val="18"/>
                <w:szCs w:val="18"/>
              </w:rPr>
              <w:t>000</w:t>
            </w:r>
            <w:r>
              <w:rPr>
                <w:sz w:val="18"/>
                <w:szCs w:val="18"/>
              </w:rPr>
              <w:t xml:space="preserve"> </w:t>
            </w:r>
            <w:r w:rsidRPr="00676B4C">
              <w:rPr>
                <w:sz w:val="18"/>
                <w:szCs w:val="18"/>
              </w:rPr>
              <w:t>€ za december 2020.</w:t>
            </w:r>
          </w:p>
          <w:p w14:paraId="15D381F9" w14:textId="77777777" w:rsidR="00076613" w:rsidRPr="00676B4C" w:rsidRDefault="00076613" w:rsidP="004B79E4">
            <w:pPr>
              <w:spacing w:after="0"/>
              <w:jc w:val="both"/>
              <w:rPr>
                <w:sz w:val="18"/>
                <w:szCs w:val="18"/>
              </w:rPr>
            </w:pPr>
            <w:r w:rsidRPr="00676B4C">
              <w:rPr>
                <w:sz w:val="18"/>
                <w:szCs w:val="18"/>
              </w:rPr>
              <w:t xml:space="preserve">Objem odjazdených kilometrov z cestovných poriadkov za sledované obdobie je výrazne nižší ako predpokladal plán. Dôvodom je vypuknutie pandémie vírusu COVID 19, kedy sa od marca 2020 až do konca roka 2020 operatívne viackrát upravovali cestovné poriadky (znižovali výkony) na základe dohody objednávateľa (BSK), koordinátora IDS BK (BID, a. s.) a dopravcu (Slovak </w:t>
            </w:r>
            <w:proofErr w:type="spellStart"/>
            <w:r w:rsidRPr="00676B4C">
              <w:rPr>
                <w:sz w:val="18"/>
                <w:szCs w:val="18"/>
              </w:rPr>
              <w:t>Lines</w:t>
            </w:r>
            <w:proofErr w:type="spellEnd"/>
            <w:r w:rsidRPr="00676B4C">
              <w:rPr>
                <w:sz w:val="18"/>
                <w:szCs w:val="18"/>
              </w:rPr>
              <w:t xml:space="preserve">, a. s.).  </w:t>
            </w:r>
          </w:p>
          <w:p w14:paraId="6E2DE74D" w14:textId="77777777" w:rsidR="00076613" w:rsidRPr="00453A7A" w:rsidRDefault="00076613" w:rsidP="004B79E4">
            <w:pPr>
              <w:rPr>
                <w:rFonts w:cstheme="minorHAnsi"/>
                <w:highlight w:val="yellow"/>
              </w:rPr>
            </w:pPr>
          </w:p>
        </w:tc>
      </w:tr>
    </w:tbl>
    <w:p w14:paraId="0623D974" w14:textId="77777777" w:rsidR="00076613" w:rsidRDefault="00076613" w:rsidP="00076613">
      <w:pPr>
        <w:spacing w:after="0" w:line="240" w:lineRule="auto"/>
        <w:rPr>
          <w:rFonts w:cstheme="minorHAnsi"/>
          <w:b/>
          <w:bCs/>
        </w:rPr>
      </w:pPr>
      <w:r w:rsidRPr="00676B4C">
        <w:rPr>
          <w:rFonts w:cstheme="minorHAnsi"/>
          <w:b/>
          <w:bCs/>
        </w:rPr>
        <w:t>Komentár:</w:t>
      </w:r>
      <w:r w:rsidRPr="00C12F78">
        <w:rPr>
          <w:rFonts w:cstheme="minorHAnsi"/>
          <w:b/>
          <w:bCs/>
        </w:rPr>
        <w:t xml:space="preserve"> </w:t>
      </w:r>
    </w:p>
    <w:p w14:paraId="2859E6F2" w14:textId="77777777" w:rsidR="00076613" w:rsidRPr="004279A6" w:rsidRDefault="00076613" w:rsidP="00076613">
      <w:pPr>
        <w:spacing w:after="0" w:line="240" w:lineRule="auto"/>
        <w:rPr>
          <w:rFonts w:cstheme="minorHAnsi"/>
          <w:b/>
          <w:bCs/>
        </w:rPr>
      </w:pPr>
      <w:r w:rsidRPr="00F32D5A">
        <w:t>V priebehu roka 20</w:t>
      </w:r>
      <w:r>
        <w:t>20</w:t>
      </w:r>
      <w:r w:rsidRPr="00F32D5A">
        <w:t xml:space="preserve"> došlo k vynúteným obchádzkam na území kraja</w:t>
      </w:r>
      <w:r>
        <w:t xml:space="preserve"> (spolu 20 545km):</w:t>
      </w:r>
    </w:p>
    <w:p w14:paraId="1BFDA769" w14:textId="77777777" w:rsidR="00076613" w:rsidRDefault="00076613" w:rsidP="00076613">
      <w:pPr>
        <w:spacing w:after="0" w:line="240" w:lineRule="auto"/>
        <w:jc w:val="both"/>
      </w:pPr>
      <w:r w:rsidRPr="00F32D5A">
        <w:t>- zmena trasovania spojov</w:t>
      </w:r>
      <w:r>
        <w:t xml:space="preserve"> z dôvodu zmeny organizácie dopravy v Modre od augusta do novembra 2020 (6 203 km),</w:t>
      </w:r>
    </w:p>
    <w:p w14:paraId="6D0C2449" w14:textId="77777777" w:rsidR="00076613" w:rsidRDefault="00076613" w:rsidP="00076613">
      <w:pPr>
        <w:spacing w:after="0" w:line="240" w:lineRule="auto"/>
        <w:jc w:val="both"/>
      </w:pPr>
      <w:r w:rsidRPr="00F32D5A">
        <w:t>- zmena trasovania spojov</w:t>
      </w:r>
      <w:r>
        <w:t xml:space="preserve"> z dôvodu zmeny organizácie dopravy na trase Rača – Svätý Jur od októbra do novembra</w:t>
      </w:r>
    </w:p>
    <w:p w14:paraId="05D8E6C1" w14:textId="77777777" w:rsidR="00076613" w:rsidRDefault="00076613" w:rsidP="00076613">
      <w:pPr>
        <w:spacing w:after="0" w:line="240" w:lineRule="auto"/>
        <w:jc w:val="both"/>
      </w:pPr>
      <w:r>
        <w:t xml:space="preserve">  2020 (6 015 km),</w:t>
      </w:r>
    </w:p>
    <w:p w14:paraId="6D1932AF" w14:textId="77777777" w:rsidR="00076613" w:rsidRDefault="00076613" w:rsidP="00076613">
      <w:pPr>
        <w:spacing w:after="0" w:line="240" w:lineRule="auto"/>
        <w:jc w:val="both"/>
      </w:pPr>
      <w:r w:rsidRPr="00F32D5A">
        <w:t>- zmena trasovania spojov</w:t>
      </w:r>
      <w:r>
        <w:t xml:space="preserve"> z dôvodu zmeny organizácie dopravy na trase Rovinka – Podunajské Biskupice, september</w:t>
      </w:r>
    </w:p>
    <w:p w14:paraId="7ABA42BB" w14:textId="77777777" w:rsidR="00076613" w:rsidRDefault="00076613" w:rsidP="00076613">
      <w:pPr>
        <w:spacing w:after="0" w:line="240" w:lineRule="auto"/>
        <w:jc w:val="both"/>
      </w:pPr>
      <w:r>
        <w:t xml:space="preserve">  a novembra 2020 (8 327 km),</w:t>
      </w:r>
    </w:p>
    <w:p w14:paraId="18E330B9" w14:textId="336D4DE2" w:rsidR="00076613" w:rsidRDefault="00076613" w:rsidP="00520426">
      <w:pPr>
        <w:spacing w:after="0" w:line="240" w:lineRule="auto"/>
        <w:jc w:val="both"/>
      </w:pPr>
      <w:r>
        <w:t>- počet prepravených osôb</w:t>
      </w:r>
      <w:r>
        <w:rPr>
          <w:b/>
          <w:bCs/>
        </w:rPr>
        <w:t xml:space="preserve"> </w:t>
      </w:r>
      <w:r>
        <w:t>7 852</w:t>
      </w:r>
      <w:r w:rsidR="004123B1">
        <w:t> </w:t>
      </w:r>
      <w:r>
        <w:t>32</w:t>
      </w:r>
      <w:r w:rsidRPr="00676B4C">
        <w:t>2</w:t>
      </w:r>
      <w:r>
        <w:t>.</w:t>
      </w:r>
    </w:p>
    <w:p w14:paraId="445BC1E1" w14:textId="0F29A2BE" w:rsidR="004123B1" w:rsidRDefault="004123B1" w:rsidP="00520426">
      <w:pPr>
        <w:spacing w:after="0" w:line="240" w:lineRule="auto"/>
        <w:jc w:val="both"/>
      </w:pPr>
    </w:p>
    <w:p w14:paraId="4B5509DF" w14:textId="015475F4" w:rsidR="004123B1" w:rsidRDefault="004123B1" w:rsidP="00520426">
      <w:pPr>
        <w:spacing w:after="0" w:line="240" w:lineRule="auto"/>
        <w:jc w:val="both"/>
      </w:pPr>
      <w:r>
        <w:rPr>
          <w:noProof/>
        </w:rPr>
        <w:drawing>
          <wp:inline distT="0" distB="0" distL="0" distR="0" wp14:anchorId="203DCF62" wp14:editId="5A123278">
            <wp:extent cx="6645910" cy="4345940"/>
            <wp:effectExtent l="0" t="0" r="254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6645910" cy="4345940"/>
                    </a:xfrm>
                    <a:prstGeom prst="rect">
                      <a:avLst/>
                    </a:prstGeom>
                  </pic:spPr>
                </pic:pic>
              </a:graphicData>
            </a:graphic>
          </wp:inline>
        </w:drawing>
      </w:r>
    </w:p>
    <w:p w14:paraId="7D43C473" w14:textId="2BD4753A" w:rsidR="004123B1" w:rsidRDefault="004123B1" w:rsidP="00520426">
      <w:pPr>
        <w:spacing w:after="0" w:line="240" w:lineRule="auto"/>
        <w:jc w:val="both"/>
      </w:pPr>
    </w:p>
    <w:p w14:paraId="10A1F8E1" w14:textId="30D59C2B" w:rsidR="004123B1" w:rsidRDefault="004123B1" w:rsidP="00520426">
      <w:pPr>
        <w:spacing w:after="0" w:line="240" w:lineRule="auto"/>
        <w:jc w:val="both"/>
      </w:pPr>
    </w:p>
    <w:p w14:paraId="0884C7CE" w14:textId="5E316E97" w:rsidR="00076613" w:rsidRPr="0066627E" w:rsidRDefault="00076613" w:rsidP="00076613">
      <w:pPr>
        <w:jc w:val="both"/>
        <w:rPr>
          <w:color w:val="FF0000"/>
        </w:rPr>
      </w:pPr>
      <w:r w:rsidRPr="009E4E62">
        <w:rPr>
          <w:rFonts w:asciiTheme="minorHAnsi" w:hAnsiTheme="minorHAnsi" w:cstheme="minorHAnsi"/>
          <w:b/>
          <w:bCs/>
          <w:color w:val="4F6228"/>
          <w:sz w:val="27"/>
          <w:szCs w:val="27"/>
          <w:lang w:eastAsia="sk-SK"/>
        </w:rPr>
        <w:lastRenderedPageBreak/>
        <w:t>Podprogram 7.3: Integrovaný dopravný systém v Bratislavskom kraji</w:t>
      </w:r>
    </w:p>
    <w:p w14:paraId="68F1EC85" w14:textId="77777777" w:rsidR="00076613" w:rsidRPr="00C12F78" w:rsidRDefault="00076613" w:rsidP="00076613">
      <w:pPr>
        <w:pStyle w:val="Normlnywebov"/>
        <w:rPr>
          <w:rFonts w:asciiTheme="minorHAnsi" w:hAnsiTheme="minorHAnsi" w:cstheme="minorHAnsi"/>
        </w:rPr>
      </w:pPr>
      <w:r w:rsidRPr="00C12F78">
        <w:rPr>
          <w:rFonts w:asciiTheme="minorHAnsi" w:hAnsiTheme="minorHAnsi" w:cstheme="minorHAnsi"/>
          <w:b/>
          <w:bCs/>
        </w:rPr>
        <w:t xml:space="preserve">Zámer: </w:t>
      </w:r>
      <w:r w:rsidRPr="00C12F78">
        <w:rPr>
          <w:rFonts w:asciiTheme="minorHAnsi" w:hAnsiTheme="minorHAnsi" w:cstheme="minorHAnsi"/>
        </w:rPr>
        <w:t>Vyhovujúca integrovaná doprava, ktorá je konkurencieschopná individuálnej automobilovej doprave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1"/>
        <w:gridCol w:w="2023"/>
        <w:gridCol w:w="1280"/>
        <w:gridCol w:w="1505"/>
        <w:gridCol w:w="1429"/>
        <w:gridCol w:w="1053"/>
        <w:gridCol w:w="2325"/>
      </w:tblGrid>
      <w:tr w:rsidR="00076613" w:rsidRPr="00C12F78" w14:paraId="79FD8410" w14:textId="77777777" w:rsidTr="004B79E4">
        <w:trPr>
          <w:tblCellSpacing w:w="15" w:type="dxa"/>
        </w:trPr>
        <w:tc>
          <w:tcPr>
            <w:tcW w:w="0" w:type="auto"/>
            <w:shd w:val="clear" w:color="auto" w:fill="C6DBF7"/>
            <w:vAlign w:val="center"/>
            <w:hideMark/>
          </w:tcPr>
          <w:p w14:paraId="240B9D7C" w14:textId="77777777" w:rsidR="00076613" w:rsidRPr="00C12F78" w:rsidRDefault="00076613" w:rsidP="004B79E4">
            <w:pPr>
              <w:jc w:val="center"/>
              <w:rPr>
                <w:rFonts w:cstheme="minorHAnsi"/>
              </w:rPr>
            </w:pPr>
            <w:r w:rsidRPr="00C12F78">
              <w:rPr>
                <w:rFonts w:cstheme="minorHAnsi"/>
                <w:b/>
                <w:bCs/>
                <w:sz w:val="20"/>
                <w:szCs w:val="20"/>
              </w:rPr>
              <w:t>Kód EK</w:t>
            </w:r>
          </w:p>
        </w:tc>
        <w:tc>
          <w:tcPr>
            <w:tcW w:w="952" w:type="pct"/>
            <w:shd w:val="clear" w:color="auto" w:fill="C6DBF7"/>
            <w:vAlign w:val="center"/>
            <w:hideMark/>
          </w:tcPr>
          <w:p w14:paraId="6CA5587D" w14:textId="77777777" w:rsidR="00076613" w:rsidRPr="00C12F78" w:rsidRDefault="00076613" w:rsidP="004B79E4">
            <w:pPr>
              <w:jc w:val="center"/>
              <w:rPr>
                <w:rFonts w:cstheme="minorHAnsi"/>
              </w:rPr>
            </w:pPr>
            <w:r w:rsidRPr="00C12F78">
              <w:rPr>
                <w:rFonts w:cstheme="minorHAnsi"/>
                <w:b/>
                <w:bCs/>
                <w:sz w:val="20"/>
                <w:szCs w:val="20"/>
              </w:rPr>
              <w:t>Ekonomická klasifikácia</w:t>
            </w:r>
          </w:p>
        </w:tc>
        <w:tc>
          <w:tcPr>
            <w:tcW w:w="0" w:type="auto"/>
            <w:shd w:val="clear" w:color="auto" w:fill="C6DBF7"/>
            <w:vAlign w:val="center"/>
            <w:hideMark/>
          </w:tcPr>
          <w:p w14:paraId="1E40A754" w14:textId="77777777" w:rsidR="00076613" w:rsidRPr="00C12F78" w:rsidRDefault="00076613" w:rsidP="004B79E4">
            <w:pPr>
              <w:jc w:val="center"/>
              <w:rPr>
                <w:rFonts w:cstheme="minorHAnsi"/>
              </w:rPr>
            </w:pPr>
            <w:r w:rsidRPr="00C12F78">
              <w:rPr>
                <w:rFonts w:cstheme="minorHAnsi"/>
                <w:b/>
                <w:bCs/>
                <w:sz w:val="20"/>
                <w:szCs w:val="20"/>
              </w:rPr>
              <w:t>Schválený</w:t>
            </w:r>
            <w:r w:rsidRPr="00C12F78">
              <w:rPr>
                <w:rFonts w:cstheme="minorHAnsi"/>
                <w:b/>
                <w:bCs/>
                <w:sz w:val="20"/>
                <w:szCs w:val="20"/>
              </w:rPr>
              <w:br/>
              <w:t>rozpočet</w:t>
            </w:r>
            <w:r w:rsidRPr="00C12F78">
              <w:rPr>
                <w:rFonts w:cstheme="minorHAnsi"/>
                <w:b/>
                <w:bCs/>
                <w:sz w:val="20"/>
                <w:szCs w:val="20"/>
              </w:rPr>
              <w:br/>
              <w:t>v EUR</w:t>
            </w:r>
          </w:p>
        </w:tc>
        <w:tc>
          <w:tcPr>
            <w:tcW w:w="725" w:type="pct"/>
            <w:shd w:val="clear" w:color="auto" w:fill="C6DBF7"/>
            <w:vAlign w:val="center"/>
            <w:hideMark/>
          </w:tcPr>
          <w:p w14:paraId="315FF4FE" w14:textId="77777777" w:rsidR="00076613" w:rsidRPr="00C12F78" w:rsidRDefault="00076613" w:rsidP="004B79E4">
            <w:pPr>
              <w:jc w:val="center"/>
              <w:rPr>
                <w:rFonts w:cstheme="minorHAnsi"/>
              </w:rPr>
            </w:pPr>
            <w:r w:rsidRPr="00C12F78">
              <w:rPr>
                <w:rFonts w:cstheme="minorHAnsi"/>
                <w:b/>
                <w:bCs/>
                <w:sz w:val="20"/>
                <w:szCs w:val="20"/>
              </w:rPr>
              <w:t>Zmenený</w:t>
            </w:r>
            <w:r w:rsidRPr="00C12F78">
              <w:rPr>
                <w:rFonts w:cstheme="minorHAnsi"/>
                <w:b/>
                <w:bCs/>
                <w:sz w:val="20"/>
                <w:szCs w:val="20"/>
              </w:rPr>
              <w:br/>
              <w:t>rozpočet</w:t>
            </w:r>
            <w:r w:rsidRPr="00C12F78">
              <w:rPr>
                <w:rFonts w:cstheme="minorHAnsi"/>
                <w:b/>
                <w:bCs/>
                <w:sz w:val="20"/>
                <w:szCs w:val="20"/>
              </w:rPr>
              <w:br/>
              <w:t>v EUR</w:t>
            </w:r>
          </w:p>
        </w:tc>
        <w:tc>
          <w:tcPr>
            <w:tcW w:w="688" w:type="pct"/>
            <w:shd w:val="clear" w:color="auto" w:fill="C6DBF7"/>
            <w:vAlign w:val="center"/>
            <w:hideMark/>
          </w:tcPr>
          <w:p w14:paraId="494685F2" w14:textId="77777777" w:rsidR="00076613" w:rsidRPr="00C12F78" w:rsidRDefault="00076613" w:rsidP="004B79E4">
            <w:pPr>
              <w:jc w:val="center"/>
              <w:rPr>
                <w:rFonts w:cstheme="minorHAnsi"/>
              </w:rPr>
            </w:pPr>
            <w:r w:rsidRPr="00C12F78">
              <w:rPr>
                <w:rFonts w:cstheme="minorHAnsi"/>
                <w:b/>
                <w:bCs/>
                <w:sz w:val="20"/>
                <w:szCs w:val="20"/>
              </w:rPr>
              <w:t>Čerpanie</w:t>
            </w:r>
            <w:r w:rsidRPr="00C12F78">
              <w:rPr>
                <w:rFonts w:cstheme="minorHAnsi"/>
                <w:b/>
                <w:bCs/>
                <w:sz w:val="20"/>
                <w:szCs w:val="20"/>
              </w:rPr>
              <w:br/>
              <w:t>v EUR</w:t>
            </w:r>
          </w:p>
        </w:tc>
        <w:tc>
          <w:tcPr>
            <w:tcW w:w="504" w:type="pct"/>
            <w:shd w:val="clear" w:color="auto" w:fill="C6DBF7"/>
            <w:vAlign w:val="center"/>
            <w:hideMark/>
          </w:tcPr>
          <w:p w14:paraId="318D6E4E" w14:textId="77777777" w:rsidR="00076613" w:rsidRPr="00C12F78" w:rsidRDefault="00076613" w:rsidP="004B79E4">
            <w:pPr>
              <w:jc w:val="center"/>
              <w:rPr>
                <w:rFonts w:cstheme="minorHAnsi"/>
              </w:rPr>
            </w:pPr>
            <w:r w:rsidRPr="00C12F78">
              <w:rPr>
                <w:rFonts w:cstheme="minorHAnsi"/>
                <w:b/>
                <w:bCs/>
                <w:sz w:val="20"/>
                <w:szCs w:val="20"/>
              </w:rPr>
              <w:t>Čerpanie</w:t>
            </w:r>
            <w:r w:rsidRPr="00C12F78">
              <w:rPr>
                <w:rFonts w:cstheme="minorHAnsi"/>
                <w:b/>
                <w:bCs/>
                <w:sz w:val="20"/>
                <w:szCs w:val="20"/>
              </w:rPr>
              <w:br/>
              <w:t xml:space="preserve">k </w:t>
            </w:r>
            <w:proofErr w:type="spellStart"/>
            <w:r w:rsidRPr="00C12F78">
              <w:rPr>
                <w:rFonts w:cstheme="minorHAnsi"/>
                <w:b/>
                <w:bCs/>
                <w:sz w:val="20"/>
                <w:szCs w:val="20"/>
              </w:rPr>
              <w:t>zmen</w:t>
            </w:r>
            <w:proofErr w:type="spellEnd"/>
            <w:r w:rsidRPr="00C12F78">
              <w:rPr>
                <w:rFonts w:cstheme="minorHAnsi"/>
                <w:b/>
                <w:bCs/>
                <w:sz w:val="20"/>
                <w:szCs w:val="20"/>
              </w:rPr>
              <w:t xml:space="preserve">. </w:t>
            </w:r>
            <w:proofErr w:type="spellStart"/>
            <w:r w:rsidRPr="00C12F78">
              <w:rPr>
                <w:rFonts w:cstheme="minorHAnsi"/>
                <w:b/>
                <w:bCs/>
                <w:sz w:val="20"/>
                <w:szCs w:val="20"/>
              </w:rPr>
              <w:t>rozp</w:t>
            </w:r>
            <w:proofErr w:type="spellEnd"/>
            <w:r w:rsidRPr="00C12F78">
              <w:rPr>
                <w:rFonts w:cstheme="minorHAnsi"/>
                <w:b/>
                <w:bCs/>
                <w:sz w:val="20"/>
                <w:szCs w:val="20"/>
              </w:rPr>
              <w:t>.</w:t>
            </w:r>
            <w:r w:rsidRPr="00C12F78">
              <w:rPr>
                <w:rFonts w:cstheme="minorHAnsi"/>
                <w:b/>
                <w:bCs/>
                <w:sz w:val="20"/>
                <w:szCs w:val="20"/>
              </w:rPr>
              <w:br/>
              <w:t>v %</w:t>
            </w:r>
          </w:p>
        </w:tc>
        <w:tc>
          <w:tcPr>
            <w:tcW w:w="1118" w:type="pct"/>
            <w:shd w:val="clear" w:color="auto" w:fill="C6DBF7"/>
            <w:vAlign w:val="center"/>
            <w:hideMark/>
          </w:tcPr>
          <w:p w14:paraId="19CD7490" w14:textId="77777777" w:rsidR="00076613" w:rsidRPr="00C12F78" w:rsidRDefault="00076613" w:rsidP="004B79E4">
            <w:pPr>
              <w:jc w:val="center"/>
              <w:rPr>
                <w:rFonts w:cstheme="minorHAnsi"/>
              </w:rPr>
            </w:pPr>
            <w:r w:rsidRPr="00C12F78">
              <w:rPr>
                <w:rFonts w:cstheme="minorHAnsi"/>
                <w:b/>
                <w:bCs/>
                <w:sz w:val="20"/>
                <w:szCs w:val="20"/>
              </w:rPr>
              <w:t>Zmeny rozpočtu</w:t>
            </w:r>
          </w:p>
        </w:tc>
      </w:tr>
      <w:tr w:rsidR="00076613" w:rsidRPr="00C12F78" w14:paraId="34545545" w14:textId="77777777" w:rsidTr="004B79E4">
        <w:trPr>
          <w:trHeight w:hRule="exact" w:val="340"/>
          <w:tblCellSpacing w:w="15" w:type="dxa"/>
        </w:trPr>
        <w:tc>
          <w:tcPr>
            <w:tcW w:w="0" w:type="auto"/>
            <w:shd w:val="clear" w:color="auto" w:fill="D9D9D9"/>
            <w:noWrap/>
            <w:vAlign w:val="center"/>
            <w:hideMark/>
          </w:tcPr>
          <w:p w14:paraId="0DC04C28" w14:textId="77777777" w:rsidR="00076613" w:rsidRPr="00C12F78" w:rsidRDefault="00076613" w:rsidP="004B79E4">
            <w:pPr>
              <w:jc w:val="center"/>
              <w:rPr>
                <w:rFonts w:cstheme="minorHAnsi"/>
              </w:rPr>
            </w:pPr>
          </w:p>
        </w:tc>
        <w:tc>
          <w:tcPr>
            <w:tcW w:w="0" w:type="auto"/>
            <w:shd w:val="clear" w:color="auto" w:fill="D9D9D9"/>
            <w:vAlign w:val="center"/>
            <w:hideMark/>
          </w:tcPr>
          <w:p w14:paraId="25365534" w14:textId="77777777" w:rsidR="00076613" w:rsidRPr="00C12F78" w:rsidRDefault="00076613" w:rsidP="004B79E4">
            <w:pPr>
              <w:rPr>
                <w:rFonts w:cstheme="minorHAnsi"/>
                <w:sz w:val="24"/>
                <w:szCs w:val="24"/>
              </w:rPr>
            </w:pPr>
            <w:r w:rsidRPr="00C12F78">
              <w:rPr>
                <w:rFonts w:cstheme="minorHAnsi"/>
                <w:b/>
                <w:bCs/>
                <w:sz w:val="20"/>
                <w:szCs w:val="20"/>
              </w:rPr>
              <w:t>Výdavky celkom</w:t>
            </w:r>
            <w:r w:rsidRPr="00C12F78">
              <w:rPr>
                <w:rFonts w:cstheme="minorHAnsi"/>
              </w:rPr>
              <w:t xml:space="preserve"> </w:t>
            </w:r>
          </w:p>
        </w:tc>
        <w:tc>
          <w:tcPr>
            <w:tcW w:w="0" w:type="auto"/>
            <w:shd w:val="clear" w:color="auto" w:fill="D9D9D9"/>
            <w:noWrap/>
            <w:vAlign w:val="center"/>
            <w:hideMark/>
          </w:tcPr>
          <w:p w14:paraId="306F67FC" w14:textId="77777777" w:rsidR="00076613" w:rsidRPr="00C12F78" w:rsidRDefault="00076613" w:rsidP="004B79E4">
            <w:pPr>
              <w:jc w:val="right"/>
              <w:rPr>
                <w:rFonts w:cstheme="minorHAnsi"/>
              </w:rPr>
            </w:pPr>
            <w:r w:rsidRPr="00C12F78">
              <w:rPr>
                <w:rFonts w:cstheme="minorHAnsi"/>
                <w:b/>
                <w:bCs/>
                <w:sz w:val="20"/>
                <w:szCs w:val="20"/>
              </w:rPr>
              <w:t>960 000,00</w:t>
            </w:r>
            <w:r w:rsidRPr="00C12F78">
              <w:rPr>
                <w:rFonts w:cstheme="minorHAnsi"/>
              </w:rPr>
              <w:t xml:space="preserve"> </w:t>
            </w:r>
          </w:p>
        </w:tc>
        <w:tc>
          <w:tcPr>
            <w:tcW w:w="725" w:type="pct"/>
            <w:shd w:val="clear" w:color="auto" w:fill="D9D9D9"/>
            <w:noWrap/>
            <w:vAlign w:val="center"/>
            <w:hideMark/>
          </w:tcPr>
          <w:p w14:paraId="3CF4FBF3" w14:textId="77777777" w:rsidR="00076613" w:rsidRPr="00C12F78" w:rsidRDefault="00076613" w:rsidP="004B79E4">
            <w:pPr>
              <w:jc w:val="right"/>
              <w:rPr>
                <w:rFonts w:cstheme="minorHAnsi"/>
              </w:rPr>
            </w:pPr>
            <w:r w:rsidRPr="00C12F78">
              <w:rPr>
                <w:rFonts w:cstheme="minorHAnsi"/>
                <w:b/>
                <w:bCs/>
                <w:sz w:val="20"/>
                <w:szCs w:val="20"/>
              </w:rPr>
              <w:t>962 000,00</w:t>
            </w:r>
            <w:r w:rsidRPr="00C12F78">
              <w:rPr>
                <w:rFonts w:cstheme="minorHAnsi"/>
              </w:rPr>
              <w:t xml:space="preserve"> </w:t>
            </w:r>
          </w:p>
        </w:tc>
        <w:tc>
          <w:tcPr>
            <w:tcW w:w="688" w:type="pct"/>
            <w:shd w:val="clear" w:color="auto" w:fill="D9D9D9"/>
            <w:noWrap/>
            <w:vAlign w:val="center"/>
            <w:hideMark/>
          </w:tcPr>
          <w:p w14:paraId="1D72651B" w14:textId="77777777" w:rsidR="00076613" w:rsidRPr="00C12F78" w:rsidRDefault="00076613" w:rsidP="004B79E4">
            <w:pPr>
              <w:jc w:val="right"/>
              <w:rPr>
                <w:rFonts w:cstheme="minorHAnsi"/>
              </w:rPr>
            </w:pPr>
            <w:r w:rsidRPr="00C12F78">
              <w:rPr>
                <w:rFonts w:cstheme="minorHAnsi"/>
                <w:b/>
                <w:bCs/>
                <w:sz w:val="20"/>
                <w:szCs w:val="20"/>
              </w:rPr>
              <w:t>760 133,92</w:t>
            </w:r>
            <w:r w:rsidRPr="00C12F78">
              <w:rPr>
                <w:rFonts w:cstheme="minorHAnsi"/>
              </w:rPr>
              <w:t xml:space="preserve"> </w:t>
            </w:r>
          </w:p>
        </w:tc>
        <w:tc>
          <w:tcPr>
            <w:tcW w:w="504" w:type="pct"/>
            <w:shd w:val="clear" w:color="auto" w:fill="D9D9D9"/>
            <w:noWrap/>
            <w:vAlign w:val="center"/>
            <w:hideMark/>
          </w:tcPr>
          <w:p w14:paraId="489D8FC1" w14:textId="77777777" w:rsidR="00076613" w:rsidRPr="00C12F78" w:rsidRDefault="00076613" w:rsidP="004B79E4">
            <w:pPr>
              <w:jc w:val="right"/>
              <w:rPr>
                <w:rFonts w:cstheme="minorHAnsi"/>
              </w:rPr>
            </w:pPr>
            <w:r w:rsidRPr="00C12F78">
              <w:rPr>
                <w:rFonts w:cstheme="minorHAnsi"/>
                <w:b/>
                <w:bCs/>
                <w:sz w:val="20"/>
                <w:szCs w:val="20"/>
              </w:rPr>
              <w:t>79,02</w:t>
            </w:r>
            <w:r w:rsidRPr="00C12F78">
              <w:rPr>
                <w:rFonts w:cstheme="minorHAnsi"/>
              </w:rPr>
              <w:t xml:space="preserve"> </w:t>
            </w:r>
          </w:p>
        </w:tc>
        <w:tc>
          <w:tcPr>
            <w:tcW w:w="1118" w:type="pct"/>
            <w:vMerge w:val="restart"/>
            <w:shd w:val="clear" w:color="auto" w:fill="D9D9D9"/>
            <w:vAlign w:val="center"/>
            <w:hideMark/>
          </w:tcPr>
          <w:p w14:paraId="5FA0BBDF" w14:textId="29ECF36C" w:rsidR="00076613" w:rsidRPr="00C12F78" w:rsidRDefault="00076613" w:rsidP="004B79E4">
            <w:pPr>
              <w:rPr>
                <w:rFonts w:cstheme="minorHAnsi"/>
              </w:rPr>
            </w:pPr>
            <w:r>
              <w:rPr>
                <w:rFonts w:cstheme="minorHAnsi"/>
                <w:b/>
                <w:bCs/>
                <w:sz w:val="20"/>
                <w:szCs w:val="20"/>
              </w:rPr>
              <w:t>+2 000</w:t>
            </w:r>
            <w:r w:rsidRPr="009A1E57">
              <w:rPr>
                <w:rFonts w:cstheme="minorHAnsi"/>
                <w:b/>
                <w:bCs/>
                <w:sz w:val="20"/>
                <w:szCs w:val="20"/>
              </w:rPr>
              <w:t xml:space="preserve"> EUR</w:t>
            </w:r>
            <w:r>
              <w:rPr>
                <w:rFonts w:cstheme="minorHAnsi"/>
                <w:b/>
                <w:bCs/>
                <w:sz w:val="20"/>
                <w:szCs w:val="20"/>
              </w:rPr>
              <w:t xml:space="preserve">, </w:t>
            </w:r>
            <w:r w:rsidRPr="009A1E57">
              <w:rPr>
                <w:rFonts w:cstheme="minorHAnsi"/>
                <w:sz w:val="20"/>
                <w:szCs w:val="20"/>
              </w:rPr>
              <w:t>I. zmena rozpočtu UZN č. 247/2020</w:t>
            </w:r>
          </w:p>
        </w:tc>
      </w:tr>
      <w:tr w:rsidR="00076613" w:rsidRPr="00C12F78" w14:paraId="4161AA5C" w14:textId="77777777" w:rsidTr="004B79E4">
        <w:trPr>
          <w:trHeight w:hRule="exact" w:val="340"/>
          <w:tblCellSpacing w:w="15" w:type="dxa"/>
        </w:trPr>
        <w:tc>
          <w:tcPr>
            <w:tcW w:w="0" w:type="auto"/>
            <w:shd w:val="clear" w:color="auto" w:fill="D9D9D9"/>
            <w:noWrap/>
            <w:vAlign w:val="center"/>
            <w:hideMark/>
          </w:tcPr>
          <w:p w14:paraId="22580A31" w14:textId="77777777" w:rsidR="00076613" w:rsidRPr="00C12F78" w:rsidRDefault="00076613" w:rsidP="004B79E4">
            <w:pPr>
              <w:rPr>
                <w:rFonts w:cstheme="minorHAnsi"/>
                <w:sz w:val="24"/>
                <w:szCs w:val="24"/>
              </w:rPr>
            </w:pPr>
            <w:r w:rsidRPr="00C12F78">
              <w:rPr>
                <w:rFonts w:cstheme="minorHAnsi"/>
                <w:b/>
                <w:bCs/>
                <w:sz w:val="20"/>
                <w:szCs w:val="20"/>
              </w:rPr>
              <w:t>600</w:t>
            </w:r>
            <w:r w:rsidRPr="00C12F78">
              <w:rPr>
                <w:rFonts w:cstheme="minorHAnsi"/>
              </w:rPr>
              <w:t xml:space="preserve"> </w:t>
            </w:r>
          </w:p>
        </w:tc>
        <w:tc>
          <w:tcPr>
            <w:tcW w:w="0" w:type="auto"/>
            <w:shd w:val="clear" w:color="auto" w:fill="D9D9D9"/>
            <w:vAlign w:val="center"/>
            <w:hideMark/>
          </w:tcPr>
          <w:p w14:paraId="268BB047" w14:textId="77777777" w:rsidR="00076613" w:rsidRPr="00C12F78" w:rsidRDefault="00076613" w:rsidP="004B79E4">
            <w:pPr>
              <w:rPr>
                <w:rFonts w:cstheme="minorHAnsi"/>
              </w:rPr>
            </w:pPr>
            <w:r w:rsidRPr="00C12F78">
              <w:rPr>
                <w:rFonts w:cstheme="minorHAnsi"/>
                <w:b/>
                <w:bCs/>
                <w:sz w:val="20"/>
                <w:szCs w:val="20"/>
              </w:rPr>
              <w:t>Bežné výdavky</w:t>
            </w:r>
            <w:r w:rsidRPr="00C12F78">
              <w:rPr>
                <w:rFonts w:cstheme="minorHAnsi"/>
              </w:rPr>
              <w:t xml:space="preserve"> </w:t>
            </w:r>
          </w:p>
        </w:tc>
        <w:tc>
          <w:tcPr>
            <w:tcW w:w="0" w:type="auto"/>
            <w:shd w:val="clear" w:color="auto" w:fill="D9D9D9"/>
            <w:noWrap/>
            <w:vAlign w:val="center"/>
            <w:hideMark/>
          </w:tcPr>
          <w:p w14:paraId="57F6494A" w14:textId="77777777" w:rsidR="00076613" w:rsidRPr="00C12F78" w:rsidRDefault="00076613" w:rsidP="004B79E4">
            <w:pPr>
              <w:jc w:val="right"/>
              <w:rPr>
                <w:rFonts w:cstheme="minorHAnsi"/>
              </w:rPr>
            </w:pPr>
            <w:r w:rsidRPr="00C12F78">
              <w:rPr>
                <w:rFonts w:cstheme="minorHAnsi"/>
                <w:b/>
                <w:bCs/>
                <w:sz w:val="20"/>
                <w:szCs w:val="20"/>
              </w:rPr>
              <w:t>960 000,00</w:t>
            </w:r>
            <w:r w:rsidRPr="00C12F78">
              <w:rPr>
                <w:rFonts w:cstheme="minorHAnsi"/>
              </w:rPr>
              <w:t xml:space="preserve"> </w:t>
            </w:r>
          </w:p>
        </w:tc>
        <w:tc>
          <w:tcPr>
            <w:tcW w:w="725" w:type="pct"/>
            <w:shd w:val="clear" w:color="auto" w:fill="D9D9D9"/>
            <w:noWrap/>
            <w:vAlign w:val="center"/>
            <w:hideMark/>
          </w:tcPr>
          <w:p w14:paraId="1E669040" w14:textId="77777777" w:rsidR="00076613" w:rsidRPr="00C12F78" w:rsidRDefault="00076613" w:rsidP="004B79E4">
            <w:pPr>
              <w:jc w:val="right"/>
              <w:rPr>
                <w:rFonts w:cstheme="minorHAnsi"/>
              </w:rPr>
            </w:pPr>
            <w:r w:rsidRPr="00C12F78">
              <w:rPr>
                <w:rFonts w:cstheme="minorHAnsi"/>
                <w:b/>
                <w:bCs/>
                <w:sz w:val="20"/>
                <w:szCs w:val="20"/>
              </w:rPr>
              <w:t>962 000,00</w:t>
            </w:r>
            <w:r w:rsidRPr="00C12F78">
              <w:rPr>
                <w:rFonts w:cstheme="minorHAnsi"/>
              </w:rPr>
              <w:t xml:space="preserve"> </w:t>
            </w:r>
          </w:p>
        </w:tc>
        <w:tc>
          <w:tcPr>
            <w:tcW w:w="688" w:type="pct"/>
            <w:shd w:val="clear" w:color="auto" w:fill="D9D9D9"/>
            <w:noWrap/>
            <w:vAlign w:val="center"/>
            <w:hideMark/>
          </w:tcPr>
          <w:p w14:paraId="5FB89E19" w14:textId="77777777" w:rsidR="00076613" w:rsidRPr="00C12F78" w:rsidRDefault="00076613" w:rsidP="004B79E4">
            <w:pPr>
              <w:jc w:val="right"/>
              <w:rPr>
                <w:rFonts w:cstheme="minorHAnsi"/>
              </w:rPr>
            </w:pPr>
            <w:r w:rsidRPr="00C12F78">
              <w:rPr>
                <w:rFonts w:cstheme="minorHAnsi"/>
                <w:b/>
                <w:bCs/>
                <w:sz w:val="20"/>
                <w:szCs w:val="20"/>
              </w:rPr>
              <w:t>760 133,92</w:t>
            </w:r>
            <w:r w:rsidRPr="00C12F78">
              <w:rPr>
                <w:rFonts w:cstheme="minorHAnsi"/>
              </w:rPr>
              <w:t xml:space="preserve"> </w:t>
            </w:r>
          </w:p>
        </w:tc>
        <w:tc>
          <w:tcPr>
            <w:tcW w:w="504" w:type="pct"/>
            <w:shd w:val="clear" w:color="auto" w:fill="D9D9D9"/>
            <w:noWrap/>
            <w:vAlign w:val="center"/>
            <w:hideMark/>
          </w:tcPr>
          <w:p w14:paraId="4895FD6C" w14:textId="77777777" w:rsidR="00076613" w:rsidRPr="00C12F78" w:rsidRDefault="00076613" w:rsidP="004B79E4">
            <w:pPr>
              <w:jc w:val="right"/>
              <w:rPr>
                <w:rFonts w:cstheme="minorHAnsi"/>
              </w:rPr>
            </w:pPr>
            <w:r w:rsidRPr="00C12F78">
              <w:rPr>
                <w:rFonts w:cstheme="minorHAnsi"/>
                <w:b/>
                <w:bCs/>
                <w:sz w:val="20"/>
                <w:szCs w:val="20"/>
              </w:rPr>
              <w:t>79,02</w:t>
            </w:r>
            <w:r w:rsidRPr="00C12F78">
              <w:rPr>
                <w:rFonts w:cstheme="minorHAnsi"/>
              </w:rPr>
              <w:t xml:space="preserve"> </w:t>
            </w:r>
          </w:p>
        </w:tc>
        <w:tc>
          <w:tcPr>
            <w:tcW w:w="1118" w:type="pct"/>
            <w:vMerge/>
            <w:shd w:val="clear" w:color="auto" w:fill="D9D9D9"/>
            <w:vAlign w:val="center"/>
            <w:hideMark/>
          </w:tcPr>
          <w:p w14:paraId="3D27F7FE" w14:textId="77777777" w:rsidR="00076613" w:rsidRPr="00C12F78" w:rsidRDefault="00076613" w:rsidP="004B79E4">
            <w:pPr>
              <w:rPr>
                <w:rFonts w:cstheme="minorHAnsi"/>
                <w:sz w:val="24"/>
                <w:szCs w:val="24"/>
              </w:rPr>
            </w:pPr>
          </w:p>
        </w:tc>
      </w:tr>
      <w:tr w:rsidR="00076613" w:rsidRPr="00C12F78" w14:paraId="0342C976" w14:textId="77777777" w:rsidTr="004B79E4">
        <w:trPr>
          <w:trHeight w:hRule="exact" w:val="340"/>
          <w:tblCellSpacing w:w="15" w:type="dxa"/>
        </w:trPr>
        <w:tc>
          <w:tcPr>
            <w:tcW w:w="0" w:type="auto"/>
            <w:shd w:val="clear" w:color="auto" w:fill="EFEFEF"/>
            <w:noWrap/>
            <w:vAlign w:val="center"/>
            <w:hideMark/>
          </w:tcPr>
          <w:p w14:paraId="5AD15227" w14:textId="77777777" w:rsidR="00076613" w:rsidRPr="00C12F78" w:rsidRDefault="00076613" w:rsidP="004B79E4">
            <w:pPr>
              <w:rPr>
                <w:rFonts w:cstheme="minorHAnsi"/>
              </w:rPr>
            </w:pPr>
            <w:r w:rsidRPr="00C12F78">
              <w:rPr>
                <w:rFonts w:cstheme="minorHAnsi"/>
                <w:sz w:val="20"/>
                <w:szCs w:val="20"/>
              </w:rPr>
              <w:t>640</w:t>
            </w:r>
            <w:r w:rsidRPr="00C12F78">
              <w:rPr>
                <w:rFonts w:cstheme="minorHAnsi"/>
              </w:rPr>
              <w:t xml:space="preserve"> </w:t>
            </w:r>
          </w:p>
        </w:tc>
        <w:tc>
          <w:tcPr>
            <w:tcW w:w="0" w:type="auto"/>
            <w:shd w:val="clear" w:color="auto" w:fill="EFEFEF"/>
            <w:vAlign w:val="center"/>
            <w:hideMark/>
          </w:tcPr>
          <w:p w14:paraId="2B498DFE" w14:textId="77777777" w:rsidR="00076613" w:rsidRPr="00C12F78" w:rsidRDefault="00076613" w:rsidP="004B79E4">
            <w:pPr>
              <w:rPr>
                <w:rFonts w:cstheme="minorHAnsi"/>
              </w:rPr>
            </w:pPr>
            <w:r w:rsidRPr="00C12F78">
              <w:rPr>
                <w:rFonts w:cstheme="minorHAnsi"/>
                <w:sz w:val="20"/>
                <w:szCs w:val="20"/>
              </w:rPr>
              <w:t>Bežné transfery</w:t>
            </w:r>
            <w:r w:rsidRPr="00C12F78">
              <w:rPr>
                <w:rFonts w:cstheme="minorHAnsi"/>
              </w:rPr>
              <w:t xml:space="preserve"> </w:t>
            </w:r>
          </w:p>
        </w:tc>
        <w:tc>
          <w:tcPr>
            <w:tcW w:w="0" w:type="auto"/>
            <w:shd w:val="clear" w:color="auto" w:fill="EFEFEF"/>
            <w:noWrap/>
            <w:vAlign w:val="center"/>
            <w:hideMark/>
          </w:tcPr>
          <w:p w14:paraId="3FD90B5C" w14:textId="77777777" w:rsidR="00076613" w:rsidRPr="00C12F78" w:rsidRDefault="00076613" w:rsidP="004B79E4">
            <w:pPr>
              <w:jc w:val="right"/>
              <w:rPr>
                <w:rFonts w:cstheme="minorHAnsi"/>
              </w:rPr>
            </w:pPr>
            <w:r w:rsidRPr="00C12F78">
              <w:rPr>
                <w:rFonts w:cstheme="minorHAnsi"/>
                <w:sz w:val="20"/>
                <w:szCs w:val="20"/>
              </w:rPr>
              <w:t>960 000,00</w:t>
            </w:r>
            <w:r w:rsidRPr="00C12F78">
              <w:rPr>
                <w:rFonts w:cstheme="minorHAnsi"/>
              </w:rPr>
              <w:t xml:space="preserve"> </w:t>
            </w:r>
          </w:p>
        </w:tc>
        <w:tc>
          <w:tcPr>
            <w:tcW w:w="725" w:type="pct"/>
            <w:shd w:val="clear" w:color="auto" w:fill="EFEFEF"/>
            <w:noWrap/>
            <w:vAlign w:val="center"/>
            <w:hideMark/>
          </w:tcPr>
          <w:p w14:paraId="0495AA35" w14:textId="77777777" w:rsidR="00076613" w:rsidRPr="00C12F78" w:rsidRDefault="00076613" w:rsidP="004B79E4">
            <w:pPr>
              <w:jc w:val="right"/>
              <w:rPr>
                <w:rFonts w:cstheme="minorHAnsi"/>
              </w:rPr>
            </w:pPr>
            <w:r w:rsidRPr="00C12F78">
              <w:rPr>
                <w:rFonts w:cstheme="minorHAnsi"/>
                <w:sz w:val="20"/>
                <w:szCs w:val="20"/>
              </w:rPr>
              <w:t>962 000,00</w:t>
            </w:r>
            <w:r w:rsidRPr="00C12F78">
              <w:rPr>
                <w:rFonts w:cstheme="minorHAnsi"/>
              </w:rPr>
              <w:t xml:space="preserve"> </w:t>
            </w:r>
          </w:p>
        </w:tc>
        <w:tc>
          <w:tcPr>
            <w:tcW w:w="688" w:type="pct"/>
            <w:shd w:val="clear" w:color="auto" w:fill="EFEFEF"/>
            <w:noWrap/>
            <w:vAlign w:val="center"/>
            <w:hideMark/>
          </w:tcPr>
          <w:p w14:paraId="7CAF684D" w14:textId="77777777" w:rsidR="00076613" w:rsidRPr="00C12F78" w:rsidRDefault="00076613" w:rsidP="004B79E4">
            <w:pPr>
              <w:jc w:val="right"/>
              <w:rPr>
                <w:rFonts w:cstheme="minorHAnsi"/>
              </w:rPr>
            </w:pPr>
            <w:r w:rsidRPr="00C12F78">
              <w:rPr>
                <w:rFonts w:cstheme="minorHAnsi"/>
                <w:sz w:val="20"/>
                <w:szCs w:val="20"/>
              </w:rPr>
              <w:t>760 133,92</w:t>
            </w:r>
            <w:r w:rsidRPr="00C12F78">
              <w:rPr>
                <w:rFonts w:cstheme="minorHAnsi"/>
              </w:rPr>
              <w:t xml:space="preserve"> </w:t>
            </w:r>
          </w:p>
        </w:tc>
        <w:tc>
          <w:tcPr>
            <w:tcW w:w="504" w:type="pct"/>
            <w:shd w:val="clear" w:color="auto" w:fill="EFEFEF"/>
            <w:noWrap/>
            <w:vAlign w:val="center"/>
            <w:hideMark/>
          </w:tcPr>
          <w:p w14:paraId="704142E3" w14:textId="77777777" w:rsidR="00076613" w:rsidRPr="00C12F78" w:rsidRDefault="00076613" w:rsidP="004B79E4">
            <w:pPr>
              <w:jc w:val="right"/>
              <w:rPr>
                <w:rFonts w:cstheme="minorHAnsi"/>
              </w:rPr>
            </w:pPr>
            <w:r w:rsidRPr="00C12F78">
              <w:rPr>
                <w:rFonts w:cstheme="minorHAnsi"/>
                <w:sz w:val="20"/>
                <w:szCs w:val="20"/>
              </w:rPr>
              <w:t>79,02</w:t>
            </w:r>
            <w:r w:rsidRPr="00C12F78">
              <w:rPr>
                <w:rFonts w:cstheme="minorHAnsi"/>
              </w:rPr>
              <w:t xml:space="preserve"> </w:t>
            </w:r>
          </w:p>
        </w:tc>
        <w:tc>
          <w:tcPr>
            <w:tcW w:w="1118" w:type="pct"/>
            <w:vMerge/>
            <w:shd w:val="clear" w:color="auto" w:fill="EFEFEF"/>
            <w:vAlign w:val="center"/>
            <w:hideMark/>
          </w:tcPr>
          <w:p w14:paraId="12AFF47B" w14:textId="77777777" w:rsidR="00076613" w:rsidRPr="00C12F78" w:rsidRDefault="00076613" w:rsidP="004B79E4">
            <w:pPr>
              <w:rPr>
                <w:rFonts w:cstheme="minorHAnsi"/>
                <w:sz w:val="24"/>
                <w:szCs w:val="24"/>
              </w:rPr>
            </w:pPr>
          </w:p>
        </w:tc>
      </w:tr>
    </w:tbl>
    <w:p w14:paraId="34375EE1" w14:textId="77777777" w:rsidR="00076613" w:rsidRPr="00C12F78" w:rsidRDefault="00076613" w:rsidP="00076613">
      <w:pPr>
        <w:pStyle w:val="Normlnywebov"/>
        <w:spacing w:after="0"/>
        <w:rPr>
          <w:rFonts w:asciiTheme="minorHAnsi" w:hAnsiTheme="minorHAnsi" w:cstheme="minorHAns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25"/>
        <w:gridCol w:w="1404"/>
        <w:gridCol w:w="1404"/>
        <w:gridCol w:w="1074"/>
        <w:gridCol w:w="4159"/>
      </w:tblGrid>
      <w:tr w:rsidR="00076613" w:rsidRPr="00C12F78" w14:paraId="004A11B5" w14:textId="77777777" w:rsidTr="004B79E4">
        <w:trPr>
          <w:trHeight w:hRule="exact" w:val="340"/>
          <w:tblCellSpacing w:w="15" w:type="dxa"/>
        </w:trPr>
        <w:tc>
          <w:tcPr>
            <w:tcW w:w="0" w:type="auto"/>
            <w:shd w:val="clear" w:color="auto" w:fill="C2D69B"/>
            <w:vAlign w:val="center"/>
            <w:hideMark/>
          </w:tcPr>
          <w:p w14:paraId="4B3F9B42" w14:textId="77777777" w:rsidR="00076613" w:rsidRPr="00C12F78" w:rsidRDefault="00076613" w:rsidP="004B79E4">
            <w:pPr>
              <w:rPr>
                <w:rFonts w:cstheme="minorHAnsi"/>
              </w:rPr>
            </w:pPr>
            <w:r w:rsidRPr="00C12F78">
              <w:rPr>
                <w:rFonts w:cstheme="minorHAnsi"/>
                <w:b/>
                <w:bCs/>
                <w:sz w:val="20"/>
                <w:szCs w:val="20"/>
              </w:rPr>
              <w:t>Zodpovednosť</w:t>
            </w:r>
          </w:p>
        </w:tc>
        <w:tc>
          <w:tcPr>
            <w:tcW w:w="0" w:type="auto"/>
            <w:gridSpan w:val="4"/>
            <w:shd w:val="clear" w:color="auto" w:fill="C2D69B"/>
            <w:vAlign w:val="center"/>
            <w:hideMark/>
          </w:tcPr>
          <w:p w14:paraId="62340253" w14:textId="77777777" w:rsidR="00076613" w:rsidRPr="00C12F78" w:rsidRDefault="00076613" w:rsidP="004B79E4">
            <w:pPr>
              <w:rPr>
                <w:rFonts w:cstheme="minorHAnsi"/>
              </w:rPr>
            </w:pPr>
            <w:r w:rsidRPr="00C12F78">
              <w:rPr>
                <w:rFonts w:cstheme="minorHAnsi"/>
                <w:sz w:val="20"/>
                <w:szCs w:val="20"/>
              </w:rPr>
              <w:t>Odbor dopravy</w:t>
            </w:r>
            <w:r w:rsidRPr="00C12F78">
              <w:rPr>
                <w:rFonts w:cstheme="minorHAnsi"/>
              </w:rPr>
              <w:t xml:space="preserve"> </w:t>
            </w:r>
          </w:p>
        </w:tc>
      </w:tr>
      <w:tr w:rsidR="00076613" w:rsidRPr="00C12F78" w14:paraId="38A5230E" w14:textId="77777777" w:rsidTr="004B79E4">
        <w:trPr>
          <w:trHeight w:hRule="exact" w:val="340"/>
          <w:tblCellSpacing w:w="15" w:type="dxa"/>
        </w:trPr>
        <w:tc>
          <w:tcPr>
            <w:tcW w:w="0" w:type="auto"/>
            <w:shd w:val="clear" w:color="auto" w:fill="C2D69B"/>
            <w:vAlign w:val="center"/>
            <w:hideMark/>
          </w:tcPr>
          <w:p w14:paraId="34960148" w14:textId="77777777" w:rsidR="00076613" w:rsidRPr="00C12F78" w:rsidRDefault="00076613" w:rsidP="004B79E4">
            <w:pPr>
              <w:rPr>
                <w:rFonts w:cstheme="minorHAnsi"/>
              </w:rPr>
            </w:pPr>
            <w:r w:rsidRPr="00C12F78">
              <w:rPr>
                <w:rFonts w:cstheme="minorHAnsi"/>
                <w:b/>
                <w:bCs/>
                <w:sz w:val="20"/>
                <w:szCs w:val="20"/>
              </w:rPr>
              <w:t>Cieľ</w:t>
            </w:r>
          </w:p>
        </w:tc>
        <w:tc>
          <w:tcPr>
            <w:tcW w:w="0" w:type="auto"/>
            <w:gridSpan w:val="4"/>
            <w:shd w:val="clear" w:color="auto" w:fill="C2D69B"/>
            <w:vAlign w:val="center"/>
            <w:hideMark/>
          </w:tcPr>
          <w:p w14:paraId="79BBE74B" w14:textId="77777777" w:rsidR="00076613" w:rsidRPr="00C12F78" w:rsidRDefault="00076613" w:rsidP="004B79E4">
            <w:pPr>
              <w:rPr>
                <w:rFonts w:cstheme="minorHAnsi"/>
              </w:rPr>
            </w:pPr>
            <w:r w:rsidRPr="00C12F78">
              <w:rPr>
                <w:rFonts w:cstheme="minorHAnsi"/>
                <w:sz w:val="20"/>
                <w:szCs w:val="20"/>
              </w:rPr>
              <w:t>Organizácia integrovaného dopravného systému</w:t>
            </w:r>
            <w:r w:rsidRPr="00C12F78">
              <w:rPr>
                <w:rFonts w:cstheme="minorHAnsi"/>
              </w:rPr>
              <w:t xml:space="preserve"> </w:t>
            </w:r>
          </w:p>
        </w:tc>
      </w:tr>
      <w:tr w:rsidR="00076613" w:rsidRPr="00C12F78" w14:paraId="3499B924" w14:textId="77777777" w:rsidTr="004B79E4">
        <w:trPr>
          <w:trHeight w:hRule="exact" w:val="340"/>
          <w:tblCellSpacing w:w="15" w:type="dxa"/>
        </w:trPr>
        <w:tc>
          <w:tcPr>
            <w:tcW w:w="0" w:type="auto"/>
            <w:shd w:val="clear" w:color="auto" w:fill="C2D69B"/>
            <w:vAlign w:val="center"/>
            <w:hideMark/>
          </w:tcPr>
          <w:p w14:paraId="323E9ED6" w14:textId="77777777" w:rsidR="00076613" w:rsidRPr="00C12F78" w:rsidRDefault="00076613" w:rsidP="004B79E4">
            <w:pPr>
              <w:rPr>
                <w:rFonts w:cstheme="minorHAnsi"/>
              </w:rPr>
            </w:pPr>
            <w:r w:rsidRPr="00C12F78">
              <w:rPr>
                <w:rFonts w:cstheme="minorHAnsi"/>
                <w:b/>
                <w:bCs/>
                <w:sz w:val="20"/>
                <w:szCs w:val="20"/>
              </w:rPr>
              <w:t>Merateľný ukazovateľ</w:t>
            </w:r>
          </w:p>
        </w:tc>
        <w:tc>
          <w:tcPr>
            <w:tcW w:w="0" w:type="auto"/>
            <w:gridSpan w:val="4"/>
            <w:shd w:val="clear" w:color="auto" w:fill="C2D69B"/>
            <w:vAlign w:val="center"/>
            <w:hideMark/>
          </w:tcPr>
          <w:p w14:paraId="27604DE9" w14:textId="77777777" w:rsidR="00076613" w:rsidRPr="00C12F78" w:rsidRDefault="00076613" w:rsidP="004B79E4">
            <w:pPr>
              <w:rPr>
                <w:rFonts w:cstheme="minorHAnsi"/>
              </w:rPr>
            </w:pPr>
            <w:r w:rsidRPr="00C12F78">
              <w:rPr>
                <w:rFonts w:cstheme="minorHAnsi"/>
                <w:sz w:val="20"/>
                <w:szCs w:val="20"/>
              </w:rPr>
              <w:t>Počet prepravených osôb v IDS BK</w:t>
            </w:r>
            <w:r w:rsidRPr="00C12F78">
              <w:rPr>
                <w:rFonts w:cstheme="minorHAnsi"/>
              </w:rPr>
              <w:t xml:space="preserve"> </w:t>
            </w:r>
          </w:p>
        </w:tc>
      </w:tr>
      <w:tr w:rsidR="00076613" w:rsidRPr="00C12F78" w14:paraId="74109453" w14:textId="77777777" w:rsidTr="004B79E4">
        <w:trPr>
          <w:trHeight w:hRule="exact" w:val="340"/>
          <w:tblCellSpacing w:w="15" w:type="dxa"/>
        </w:trPr>
        <w:tc>
          <w:tcPr>
            <w:tcW w:w="0" w:type="auto"/>
            <w:shd w:val="clear" w:color="auto" w:fill="C2D69B"/>
            <w:vAlign w:val="center"/>
            <w:hideMark/>
          </w:tcPr>
          <w:p w14:paraId="08605739" w14:textId="77777777" w:rsidR="00076613" w:rsidRPr="00C12F78" w:rsidRDefault="00076613" w:rsidP="004B79E4">
            <w:pPr>
              <w:jc w:val="center"/>
              <w:rPr>
                <w:rFonts w:cstheme="minorHAnsi"/>
              </w:rPr>
            </w:pPr>
            <w:r w:rsidRPr="00C12F78">
              <w:rPr>
                <w:rFonts w:cstheme="minorHAnsi"/>
                <w:b/>
                <w:bCs/>
                <w:sz w:val="20"/>
                <w:szCs w:val="20"/>
              </w:rPr>
              <w:t>Rok</w:t>
            </w:r>
          </w:p>
        </w:tc>
        <w:tc>
          <w:tcPr>
            <w:tcW w:w="0" w:type="auto"/>
            <w:shd w:val="clear" w:color="auto" w:fill="C2D69B"/>
            <w:vAlign w:val="center"/>
            <w:hideMark/>
          </w:tcPr>
          <w:p w14:paraId="72FEE192" w14:textId="77777777" w:rsidR="00076613" w:rsidRPr="00C12F78" w:rsidRDefault="00076613" w:rsidP="004B79E4">
            <w:pPr>
              <w:jc w:val="center"/>
              <w:rPr>
                <w:rFonts w:cstheme="minorHAnsi"/>
              </w:rPr>
            </w:pPr>
            <w:r w:rsidRPr="00C12F78">
              <w:rPr>
                <w:rFonts w:cstheme="minorHAnsi"/>
                <w:b/>
                <w:bCs/>
                <w:sz w:val="20"/>
                <w:szCs w:val="20"/>
              </w:rPr>
              <w:t>Plán</w:t>
            </w:r>
          </w:p>
        </w:tc>
        <w:tc>
          <w:tcPr>
            <w:tcW w:w="0" w:type="auto"/>
            <w:shd w:val="clear" w:color="auto" w:fill="C2D69B"/>
            <w:vAlign w:val="center"/>
            <w:hideMark/>
          </w:tcPr>
          <w:p w14:paraId="3720A343" w14:textId="77777777" w:rsidR="00076613" w:rsidRPr="00C12F78" w:rsidRDefault="00076613" w:rsidP="004B79E4">
            <w:pPr>
              <w:jc w:val="center"/>
              <w:rPr>
                <w:rFonts w:cstheme="minorHAnsi"/>
              </w:rPr>
            </w:pPr>
            <w:r w:rsidRPr="00C12F78">
              <w:rPr>
                <w:rFonts w:cstheme="minorHAnsi"/>
                <w:b/>
                <w:bCs/>
                <w:sz w:val="20"/>
                <w:szCs w:val="20"/>
              </w:rPr>
              <w:t>Skutočnosť</w:t>
            </w:r>
          </w:p>
        </w:tc>
        <w:tc>
          <w:tcPr>
            <w:tcW w:w="0" w:type="auto"/>
            <w:shd w:val="clear" w:color="auto" w:fill="C2D69B"/>
            <w:vAlign w:val="center"/>
            <w:hideMark/>
          </w:tcPr>
          <w:p w14:paraId="7A2419AD" w14:textId="77777777" w:rsidR="00076613" w:rsidRPr="00C12F78" w:rsidRDefault="00076613" w:rsidP="004B79E4">
            <w:pPr>
              <w:jc w:val="center"/>
              <w:rPr>
                <w:rFonts w:cstheme="minorHAnsi"/>
              </w:rPr>
            </w:pPr>
            <w:r w:rsidRPr="00C12F78">
              <w:rPr>
                <w:rFonts w:cstheme="minorHAnsi"/>
                <w:b/>
                <w:bCs/>
                <w:sz w:val="20"/>
                <w:szCs w:val="20"/>
              </w:rPr>
              <w:t>Plnenie</w:t>
            </w:r>
          </w:p>
        </w:tc>
        <w:tc>
          <w:tcPr>
            <w:tcW w:w="2000" w:type="pct"/>
            <w:shd w:val="clear" w:color="auto" w:fill="C2D69B"/>
            <w:vAlign w:val="center"/>
            <w:hideMark/>
          </w:tcPr>
          <w:p w14:paraId="55FA07F8" w14:textId="77777777" w:rsidR="00076613" w:rsidRPr="00C12F78" w:rsidRDefault="00076613" w:rsidP="004B79E4">
            <w:pPr>
              <w:rPr>
                <w:rFonts w:cstheme="minorHAnsi"/>
              </w:rPr>
            </w:pPr>
            <w:r w:rsidRPr="00C12F78">
              <w:rPr>
                <w:rFonts w:cstheme="minorHAnsi"/>
                <w:b/>
                <w:bCs/>
                <w:sz w:val="20"/>
                <w:szCs w:val="20"/>
              </w:rPr>
              <w:t>Poznámka</w:t>
            </w:r>
          </w:p>
        </w:tc>
      </w:tr>
      <w:tr w:rsidR="00076613" w:rsidRPr="00C12F78" w14:paraId="56D8C751" w14:textId="77777777" w:rsidTr="004B79E4">
        <w:trPr>
          <w:tblCellSpacing w:w="15" w:type="dxa"/>
        </w:trPr>
        <w:tc>
          <w:tcPr>
            <w:tcW w:w="0" w:type="auto"/>
            <w:shd w:val="clear" w:color="auto" w:fill="C2D69B"/>
            <w:vAlign w:val="center"/>
            <w:hideMark/>
          </w:tcPr>
          <w:p w14:paraId="3B172F2F" w14:textId="77777777" w:rsidR="00076613" w:rsidRPr="00C12F78" w:rsidRDefault="00076613" w:rsidP="004B79E4">
            <w:pPr>
              <w:jc w:val="center"/>
              <w:rPr>
                <w:rFonts w:cstheme="minorHAnsi"/>
              </w:rPr>
            </w:pPr>
            <w:r w:rsidRPr="00C12F78">
              <w:rPr>
                <w:rFonts w:cstheme="minorHAnsi"/>
                <w:sz w:val="20"/>
                <w:szCs w:val="20"/>
              </w:rPr>
              <w:t>2020</w:t>
            </w:r>
            <w:r w:rsidRPr="00C12F78">
              <w:rPr>
                <w:rFonts w:cstheme="minorHAnsi"/>
              </w:rPr>
              <w:t xml:space="preserve"> </w:t>
            </w:r>
          </w:p>
        </w:tc>
        <w:tc>
          <w:tcPr>
            <w:tcW w:w="0" w:type="auto"/>
            <w:shd w:val="clear" w:color="auto" w:fill="C2D69B"/>
            <w:noWrap/>
            <w:vAlign w:val="center"/>
            <w:hideMark/>
          </w:tcPr>
          <w:p w14:paraId="037A01CF" w14:textId="77777777" w:rsidR="00076613" w:rsidRPr="00C12F78" w:rsidRDefault="00076613" w:rsidP="004B79E4">
            <w:pPr>
              <w:jc w:val="center"/>
              <w:rPr>
                <w:rFonts w:cstheme="minorHAnsi"/>
              </w:rPr>
            </w:pPr>
            <w:r w:rsidRPr="00C12F78">
              <w:rPr>
                <w:rFonts w:cstheme="minorHAnsi"/>
                <w:sz w:val="20"/>
                <w:szCs w:val="20"/>
              </w:rPr>
              <w:t> 304 192 848</w:t>
            </w:r>
            <w:r w:rsidRPr="00C12F78">
              <w:rPr>
                <w:rFonts w:cstheme="minorHAnsi"/>
              </w:rPr>
              <w:t xml:space="preserve"> </w:t>
            </w:r>
          </w:p>
        </w:tc>
        <w:tc>
          <w:tcPr>
            <w:tcW w:w="0" w:type="auto"/>
            <w:shd w:val="clear" w:color="auto" w:fill="C2D69B"/>
            <w:noWrap/>
            <w:vAlign w:val="center"/>
            <w:hideMark/>
          </w:tcPr>
          <w:p w14:paraId="7AA40C9B" w14:textId="77777777" w:rsidR="00076613" w:rsidRPr="00E17950" w:rsidRDefault="00076613" w:rsidP="004B79E4">
            <w:pPr>
              <w:jc w:val="center"/>
              <w:rPr>
                <w:rFonts w:cstheme="minorHAnsi"/>
              </w:rPr>
            </w:pPr>
            <w:r w:rsidRPr="00E17950">
              <w:rPr>
                <w:rFonts w:cstheme="minorHAnsi"/>
                <w:sz w:val="20"/>
                <w:szCs w:val="20"/>
              </w:rPr>
              <w:t> 253 367 950</w:t>
            </w:r>
            <w:r w:rsidRPr="00E17950">
              <w:rPr>
                <w:rFonts w:cstheme="minorHAnsi"/>
              </w:rPr>
              <w:t xml:space="preserve"> </w:t>
            </w:r>
          </w:p>
        </w:tc>
        <w:tc>
          <w:tcPr>
            <w:tcW w:w="0" w:type="auto"/>
            <w:shd w:val="clear" w:color="auto" w:fill="C2D69B"/>
            <w:vAlign w:val="center"/>
            <w:hideMark/>
          </w:tcPr>
          <w:p w14:paraId="02848F2C" w14:textId="77777777" w:rsidR="00076613" w:rsidRPr="00E17950" w:rsidRDefault="00076613" w:rsidP="004B79E4">
            <w:pPr>
              <w:jc w:val="center"/>
              <w:rPr>
                <w:rFonts w:cstheme="minorHAnsi"/>
              </w:rPr>
            </w:pPr>
            <w:r w:rsidRPr="00E17950">
              <w:rPr>
                <w:rFonts w:cstheme="minorHAnsi"/>
                <w:sz w:val="20"/>
                <w:szCs w:val="20"/>
              </w:rPr>
              <w:t>Čiastočne</w:t>
            </w:r>
            <w:r w:rsidRPr="00E17950">
              <w:rPr>
                <w:rFonts w:cstheme="minorHAnsi"/>
              </w:rPr>
              <w:t xml:space="preserve"> </w:t>
            </w:r>
          </w:p>
        </w:tc>
        <w:tc>
          <w:tcPr>
            <w:tcW w:w="0" w:type="auto"/>
            <w:shd w:val="clear" w:color="auto" w:fill="C2D69B"/>
            <w:vAlign w:val="center"/>
            <w:hideMark/>
          </w:tcPr>
          <w:p w14:paraId="32753E03" w14:textId="77777777" w:rsidR="00076613" w:rsidRPr="00E17950" w:rsidRDefault="00076613" w:rsidP="004B79E4">
            <w:pPr>
              <w:jc w:val="both"/>
              <w:rPr>
                <w:rFonts w:cstheme="minorHAnsi"/>
              </w:rPr>
            </w:pPr>
            <w:r w:rsidRPr="00E17950">
              <w:rPr>
                <w:rFonts w:cstheme="minorHAnsi"/>
                <w:sz w:val="20"/>
                <w:szCs w:val="20"/>
              </w:rPr>
              <w:t>V roku 2020 bol IDS BK prevádzkovaný v plnom stave. Pre rok 2020 je v rozpočte BSK stanovená hodnota merného ukazovateľa vyjadrujúceho počet prepravených cestujúcich v IDS BK vo výške 304 192 848 osôb. Za I. polrok 2020 bolo v IDS BK prepravených 133</w:t>
            </w:r>
            <w:r>
              <w:rPr>
                <w:rFonts w:cstheme="minorHAnsi"/>
                <w:sz w:val="20"/>
                <w:szCs w:val="20"/>
              </w:rPr>
              <w:t> </w:t>
            </w:r>
            <w:r w:rsidRPr="00E17950">
              <w:rPr>
                <w:rFonts w:cstheme="minorHAnsi"/>
                <w:sz w:val="20"/>
                <w:szCs w:val="20"/>
              </w:rPr>
              <w:t>856</w:t>
            </w:r>
            <w:r>
              <w:rPr>
                <w:rFonts w:cstheme="minorHAnsi"/>
                <w:sz w:val="20"/>
                <w:szCs w:val="20"/>
              </w:rPr>
              <w:t xml:space="preserve"> </w:t>
            </w:r>
            <w:r w:rsidRPr="00E17950">
              <w:rPr>
                <w:rFonts w:cstheme="minorHAnsi"/>
                <w:sz w:val="20"/>
                <w:szCs w:val="20"/>
              </w:rPr>
              <w:t xml:space="preserve">203 osôb. Pokles oproti plánu je spôsobený pandémiou a súvisiacimi opatreniami, ktoré mali negatívny vplyv aj na verejnú dopravu. BID okrem činností na základe mandátnej zmluvy vykonáva pre BSK aj ďalšie činnosti a to správu označovačov CL a multifunkčných predajných automatov, vykonáva dopravné prieskumy a zabezpečuje propagáciu IDS BK. </w:t>
            </w:r>
          </w:p>
        </w:tc>
      </w:tr>
    </w:tbl>
    <w:p w14:paraId="5563512E" w14:textId="77777777" w:rsidR="00076613" w:rsidRDefault="00076613" w:rsidP="00076613">
      <w:pPr>
        <w:pStyle w:val="Normlnywebov"/>
        <w:spacing w:after="0"/>
        <w:jc w:val="both"/>
        <w:rPr>
          <w:rFonts w:asciiTheme="minorHAnsi" w:hAnsiTheme="minorHAnsi" w:cstheme="minorHAnsi"/>
          <w:b/>
          <w:bCs/>
          <w:sz w:val="22"/>
          <w:szCs w:val="22"/>
        </w:rPr>
      </w:pPr>
    </w:p>
    <w:p w14:paraId="2E99B741" w14:textId="448775E2" w:rsidR="00076613" w:rsidRPr="009E4E62" w:rsidRDefault="00076613" w:rsidP="00076613">
      <w:pPr>
        <w:pStyle w:val="Normlnywebov"/>
        <w:spacing w:after="0"/>
        <w:jc w:val="both"/>
        <w:rPr>
          <w:rFonts w:asciiTheme="minorHAnsi" w:hAnsiTheme="minorHAnsi" w:cstheme="minorHAnsi"/>
          <w:b/>
          <w:bCs/>
          <w:sz w:val="22"/>
          <w:szCs w:val="22"/>
        </w:rPr>
      </w:pPr>
      <w:r w:rsidRPr="00676B4C">
        <w:rPr>
          <w:rFonts w:asciiTheme="minorHAnsi" w:hAnsiTheme="minorHAnsi" w:cstheme="minorHAnsi"/>
          <w:b/>
          <w:bCs/>
          <w:sz w:val="22"/>
          <w:szCs w:val="22"/>
        </w:rPr>
        <w:t>Komentár:</w:t>
      </w:r>
      <w:r w:rsidR="009E4E62">
        <w:rPr>
          <w:rFonts w:asciiTheme="minorHAnsi" w:hAnsiTheme="minorHAnsi" w:cstheme="minorHAnsi"/>
          <w:b/>
          <w:bCs/>
          <w:sz w:val="22"/>
          <w:szCs w:val="22"/>
        </w:rPr>
        <w:t xml:space="preserve"> </w:t>
      </w:r>
      <w:r w:rsidRPr="00C12F78">
        <w:rPr>
          <w:rFonts w:asciiTheme="minorHAnsi" w:hAnsiTheme="minorHAnsi" w:cstheme="minorHAnsi"/>
          <w:sz w:val="22"/>
          <w:szCs w:val="22"/>
        </w:rPr>
        <w:t>Spoločnosť BID, a.</w:t>
      </w:r>
      <w:r>
        <w:rPr>
          <w:rFonts w:asciiTheme="minorHAnsi" w:hAnsiTheme="minorHAnsi" w:cstheme="minorHAnsi"/>
          <w:sz w:val="22"/>
          <w:szCs w:val="22"/>
        </w:rPr>
        <w:t xml:space="preserve"> </w:t>
      </w:r>
      <w:r w:rsidRPr="00C12F78">
        <w:rPr>
          <w:rFonts w:asciiTheme="minorHAnsi" w:hAnsiTheme="minorHAnsi" w:cstheme="minorHAnsi"/>
          <w:sz w:val="22"/>
          <w:szCs w:val="22"/>
        </w:rPr>
        <w:t>s. zabezpečuje úlohy a úkony súvisiace s prevádzkou Integrovaného dopravného systému v Bratislavskom kraji, na základe zmluvných vzťahov s objednávateľmi dopravy Hl. m. SR Bratislava a BSK. Zároveň vykonáva úlohy vyplývajúce zo zmluvných vzťahov s dopravcami zapojenými do IDS BKIDS BK bol spustený 1.6.2013 a následne rozšírený od 1.11.2015. Už od vzniku IDS BK vystupuje spoločnosť BID, a. s. ako koordinátor systému. Z toho mu vyplývajú úlohy definované v zmluvných vzťahoch. Medzi úlohy patrí najmä navrhovanie objemu dopravných výkonov jednotlivých druhov dopráv vychádzajúceho z návrhov cestovných poriadkov obsahujúcich vzájomnú koordináciu liniek a spojov, navrhovanie spoločnej tarify a prepravných podmienok, prevádzkovanie vybraných predajných kanálov a zúčtovacieho centra, definovanie jednotných štandardov verejnej dopravy a spoločného rozvoja systému, informačné služby pre cestujúcu verejnosť, zvyšovanie povedomia a dobrého mena verejnej dopravy v očiach verejnosti a v neposlednom rade aj kontrola prevádzky IDS BK po stránke ekonomickej aj dopravnej.</w:t>
      </w:r>
      <w:r>
        <w:rPr>
          <w:rFonts w:asciiTheme="minorHAnsi" w:hAnsiTheme="minorHAnsi" w:cstheme="minorHAnsi"/>
          <w:sz w:val="22"/>
          <w:szCs w:val="22"/>
        </w:rPr>
        <w:t xml:space="preserve"> </w:t>
      </w:r>
    </w:p>
    <w:p w14:paraId="5A180D0E" w14:textId="77777777" w:rsidR="00076613" w:rsidRPr="00FC6B11" w:rsidRDefault="00076613" w:rsidP="00076613">
      <w:pPr>
        <w:pStyle w:val="Normlnywebov"/>
        <w:spacing w:after="0"/>
        <w:jc w:val="both"/>
        <w:rPr>
          <w:rFonts w:asciiTheme="minorHAnsi" w:hAnsiTheme="minorHAnsi" w:cstheme="minorHAnsi"/>
          <w:sz w:val="22"/>
          <w:szCs w:val="22"/>
        </w:rPr>
      </w:pPr>
      <w:r w:rsidRPr="00FC6B11">
        <w:rPr>
          <w:rFonts w:asciiTheme="minorHAnsi" w:hAnsiTheme="minorHAnsi" w:cstheme="minorHAnsi"/>
          <w:sz w:val="22"/>
          <w:szCs w:val="22"/>
        </w:rPr>
        <w:t>Spoločnosť BID, a.</w:t>
      </w:r>
      <w:r>
        <w:rPr>
          <w:rFonts w:asciiTheme="minorHAnsi" w:hAnsiTheme="minorHAnsi" w:cstheme="minorHAnsi"/>
          <w:sz w:val="22"/>
          <w:szCs w:val="22"/>
        </w:rPr>
        <w:t xml:space="preserve"> </w:t>
      </w:r>
      <w:r w:rsidRPr="00FC6B11">
        <w:rPr>
          <w:rFonts w:asciiTheme="minorHAnsi" w:hAnsiTheme="minorHAnsi" w:cstheme="minorHAnsi"/>
          <w:sz w:val="22"/>
          <w:szCs w:val="22"/>
        </w:rPr>
        <w:t>s. sa v roku 2020 okrem bežných činností zaoberala:</w:t>
      </w:r>
    </w:p>
    <w:p w14:paraId="67B9C71F" w14:textId="77777777" w:rsidR="00076613" w:rsidRPr="00FC6B11" w:rsidRDefault="00076613" w:rsidP="00076613">
      <w:pPr>
        <w:numPr>
          <w:ilvl w:val="0"/>
          <w:numId w:val="36"/>
        </w:numPr>
        <w:spacing w:after="0" w:line="20" w:lineRule="atLeast"/>
        <w:rPr>
          <w:rFonts w:cstheme="minorHAnsi"/>
        </w:rPr>
      </w:pPr>
      <w:r w:rsidRPr="00FC6B11">
        <w:rPr>
          <w:rFonts w:cstheme="minorHAnsi"/>
        </w:rPr>
        <w:t>Návrh zmeny cien a tarifných podmienok v IDS BK</w:t>
      </w:r>
    </w:p>
    <w:p w14:paraId="5D18E5D3" w14:textId="77777777" w:rsidR="00076613" w:rsidRPr="00FC6B11" w:rsidRDefault="00076613" w:rsidP="00076613">
      <w:pPr>
        <w:numPr>
          <w:ilvl w:val="0"/>
          <w:numId w:val="36"/>
        </w:numPr>
        <w:spacing w:after="0" w:line="20" w:lineRule="atLeast"/>
        <w:rPr>
          <w:rFonts w:cstheme="minorHAnsi"/>
        </w:rPr>
      </w:pPr>
      <w:r w:rsidRPr="00FC6B11">
        <w:rPr>
          <w:rFonts w:cstheme="minorHAnsi"/>
        </w:rPr>
        <w:t>Obstaranie Clearingového centra</w:t>
      </w:r>
    </w:p>
    <w:p w14:paraId="1F35A945" w14:textId="77777777" w:rsidR="00076613" w:rsidRPr="00FC6B11" w:rsidRDefault="00076613" w:rsidP="00076613">
      <w:pPr>
        <w:numPr>
          <w:ilvl w:val="0"/>
          <w:numId w:val="36"/>
        </w:numPr>
        <w:spacing w:after="0" w:line="20" w:lineRule="atLeast"/>
        <w:rPr>
          <w:rFonts w:cstheme="minorHAnsi"/>
        </w:rPr>
      </w:pPr>
      <w:r w:rsidRPr="00FC6B11">
        <w:rPr>
          <w:rFonts w:cstheme="minorHAnsi"/>
        </w:rPr>
        <w:t>Spustenie Centrálneho dispečingu</w:t>
      </w:r>
    </w:p>
    <w:p w14:paraId="68AB78D5" w14:textId="77777777" w:rsidR="00076613" w:rsidRPr="00FC6B11" w:rsidRDefault="00076613" w:rsidP="00076613">
      <w:pPr>
        <w:numPr>
          <w:ilvl w:val="0"/>
          <w:numId w:val="36"/>
        </w:numPr>
        <w:spacing w:after="0" w:line="20" w:lineRule="atLeast"/>
        <w:rPr>
          <w:rFonts w:cstheme="minorHAnsi"/>
        </w:rPr>
      </w:pPr>
      <w:r w:rsidRPr="00FC6B11">
        <w:rPr>
          <w:rFonts w:cstheme="minorHAnsi"/>
        </w:rPr>
        <w:t>Príprava a realizácia akcie bonusových PCL ako reakcia na opatrenia Covid-19</w:t>
      </w:r>
    </w:p>
    <w:p w14:paraId="15476922" w14:textId="77777777" w:rsidR="00076613" w:rsidRPr="00FC6B11" w:rsidRDefault="00076613" w:rsidP="00076613">
      <w:pPr>
        <w:numPr>
          <w:ilvl w:val="0"/>
          <w:numId w:val="36"/>
        </w:numPr>
        <w:spacing w:after="0" w:line="20" w:lineRule="atLeast"/>
        <w:rPr>
          <w:rFonts w:cstheme="minorHAnsi"/>
        </w:rPr>
      </w:pPr>
      <w:r w:rsidRPr="00FC6B11">
        <w:rPr>
          <w:rFonts w:cstheme="minorHAnsi"/>
        </w:rPr>
        <w:t xml:space="preserve">Automatické predlžovanie platnosti BČK </w:t>
      </w:r>
      <w:proofErr w:type="spellStart"/>
      <w:r w:rsidRPr="00FC6B11">
        <w:rPr>
          <w:rFonts w:cstheme="minorHAnsi"/>
        </w:rPr>
        <w:t>Seniorpas</w:t>
      </w:r>
      <w:proofErr w:type="spellEnd"/>
    </w:p>
    <w:p w14:paraId="6F990A73" w14:textId="77777777" w:rsidR="00076613" w:rsidRPr="00FC6B11" w:rsidRDefault="00076613" w:rsidP="00076613">
      <w:pPr>
        <w:numPr>
          <w:ilvl w:val="0"/>
          <w:numId w:val="36"/>
        </w:numPr>
        <w:spacing w:after="0" w:line="20" w:lineRule="atLeast"/>
        <w:rPr>
          <w:rFonts w:cstheme="minorHAnsi"/>
        </w:rPr>
      </w:pPr>
      <w:r w:rsidRPr="00FC6B11">
        <w:rPr>
          <w:rFonts w:cstheme="minorHAnsi"/>
        </w:rPr>
        <w:t>Vylepšenie funkcií v mobilnej aplikácii IDS BK (online odchody spojov)</w:t>
      </w:r>
    </w:p>
    <w:p w14:paraId="5D32DA75" w14:textId="77777777" w:rsidR="00076613" w:rsidRPr="00FC6B11" w:rsidRDefault="00076613" w:rsidP="00076613">
      <w:pPr>
        <w:numPr>
          <w:ilvl w:val="0"/>
          <w:numId w:val="36"/>
        </w:numPr>
        <w:spacing w:after="0" w:line="20" w:lineRule="atLeast"/>
        <w:rPr>
          <w:rFonts w:cstheme="minorHAnsi"/>
        </w:rPr>
      </w:pPr>
      <w:r w:rsidRPr="00FC6B11">
        <w:rPr>
          <w:rFonts w:cstheme="minorHAnsi"/>
        </w:rPr>
        <w:t xml:space="preserve">Zmena webu IDS BK </w:t>
      </w:r>
    </w:p>
    <w:p w14:paraId="07F536E8" w14:textId="3B620CC8" w:rsidR="00076613" w:rsidRDefault="00076613" w:rsidP="00390C7E">
      <w:pPr>
        <w:numPr>
          <w:ilvl w:val="0"/>
          <w:numId w:val="36"/>
        </w:numPr>
        <w:spacing w:after="0" w:line="20" w:lineRule="atLeast"/>
        <w:rPr>
          <w:rFonts w:cstheme="minorHAnsi"/>
        </w:rPr>
      </w:pPr>
      <w:r w:rsidRPr="00FC6B11">
        <w:rPr>
          <w:rFonts w:cstheme="minorHAnsi"/>
        </w:rPr>
        <w:t>Viaceré zmeny cestovných poriadkov prímestskej autobusovej doprav</w:t>
      </w:r>
    </w:p>
    <w:p w14:paraId="3B912D99" w14:textId="77777777" w:rsidR="00390C7E" w:rsidRPr="00390C7E" w:rsidRDefault="00390C7E" w:rsidP="003B14D2">
      <w:pPr>
        <w:spacing w:after="0" w:line="20" w:lineRule="atLeast"/>
        <w:ind w:left="720"/>
        <w:rPr>
          <w:rFonts w:cstheme="minorHAnsi"/>
        </w:rPr>
      </w:pPr>
    </w:p>
    <w:p w14:paraId="3D111F2D" w14:textId="41CB6E35" w:rsidR="00AA5029" w:rsidRDefault="00AA5029" w:rsidP="00AA5029">
      <w:pPr>
        <w:pStyle w:val="Nadpis2"/>
        <w:rPr>
          <w:rFonts w:ascii="Calibri" w:hAnsi="Calibri" w:cs="Calibri"/>
          <w:color w:val="880000"/>
        </w:rPr>
      </w:pPr>
      <w:r w:rsidRPr="00CC0D5A">
        <w:rPr>
          <w:rFonts w:ascii="Calibri" w:hAnsi="Calibri" w:cs="Calibri"/>
          <w:color w:val="880000"/>
        </w:rPr>
        <w:lastRenderedPageBreak/>
        <w:t>Program 8: Vzdelávanie</w:t>
      </w:r>
    </w:p>
    <w:p w14:paraId="6E15987E" w14:textId="5AB6E3DF" w:rsidR="00B73FDB" w:rsidRDefault="0044504C" w:rsidP="0044504C">
      <w:pPr>
        <w:pStyle w:val="Normlnywebov"/>
        <w:rPr>
          <w:rFonts w:ascii="Calibri" w:hAnsi="Calibri" w:cs="Calibri"/>
        </w:rPr>
      </w:pPr>
      <w:r w:rsidRPr="00CC0D5A">
        <w:rPr>
          <w:rFonts w:ascii="Calibri" w:hAnsi="Calibri" w:cs="Calibri"/>
          <w:b/>
          <w:bCs/>
        </w:rPr>
        <w:t xml:space="preserve">Zámer: </w:t>
      </w:r>
      <w:r w:rsidRPr="00CC0D5A">
        <w:rPr>
          <w:rFonts w:ascii="Calibri" w:hAnsi="Calibri" w:cs="Calibri"/>
        </w:rPr>
        <w:t>Bratislavský samosprávny kraj otvorený vzdelaniu a kvalitnému poznaniu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4"/>
        <w:gridCol w:w="1366"/>
        <w:gridCol w:w="1214"/>
        <w:gridCol w:w="1212"/>
        <w:gridCol w:w="1212"/>
        <w:gridCol w:w="2123"/>
      </w:tblGrid>
      <w:tr w:rsidR="00B73FDB" w:rsidRPr="00B73FDB" w14:paraId="1EF8954E" w14:textId="77777777" w:rsidTr="00B73FDB">
        <w:trPr>
          <w:trHeight w:val="796"/>
          <w:tblCellSpacing w:w="15" w:type="dxa"/>
        </w:trPr>
        <w:tc>
          <w:tcPr>
            <w:tcW w:w="267" w:type="pct"/>
            <w:shd w:val="clear" w:color="auto" w:fill="C6DBF7"/>
            <w:vAlign w:val="center"/>
            <w:hideMark/>
          </w:tcPr>
          <w:p w14:paraId="0250E29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74114B7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637" w:type="pct"/>
            <w:shd w:val="clear" w:color="auto" w:fill="C6DBF7"/>
            <w:vAlign w:val="center"/>
            <w:hideMark/>
          </w:tcPr>
          <w:p w14:paraId="5689E0B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027DAE7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2A9A954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075D5EF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991" w:type="pct"/>
            <w:shd w:val="clear" w:color="auto" w:fill="C6DBF7"/>
            <w:vAlign w:val="center"/>
            <w:hideMark/>
          </w:tcPr>
          <w:p w14:paraId="2410437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163B465D" w14:textId="77777777" w:rsidTr="00B73FDB">
        <w:trPr>
          <w:tblCellSpacing w:w="15" w:type="dxa"/>
        </w:trPr>
        <w:tc>
          <w:tcPr>
            <w:tcW w:w="267" w:type="pct"/>
            <w:shd w:val="clear" w:color="auto" w:fill="D9D9D9"/>
            <w:noWrap/>
            <w:vAlign w:val="center"/>
            <w:hideMark/>
          </w:tcPr>
          <w:p w14:paraId="418494D9"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164F159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637" w:type="pct"/>
            <w:shd w:val="clear" w:color="auto" w:fill="D9D9D9"/>
            <w:noWrap/>
            <w:vAlign w:val="center"/>
            <w:hideMark/>
          </w:tcPr>
          <w:p w14:paraId="72FAE8C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75 603 276,74</w:t>
            </w:r>
            <w:r w:rsidRPr="00B73FDB">
              <w:rPr>
                <w:rFonts w:cs="Calibri"/>
                <w:sz w:val="18"/>
                <w:szCs w:val="18"/>
                <w:lang w:eastAsia="sk-SK"/>
              </w:rPr>
              <w:t xml:space="preserve"> </w:t>
            </w:r>
          </w:p>
        </w:tc>
        <w:tc>
          <w:tcPr>
            <w:tcW w:w="565" w:type="pct"/>
            <w:shd w:val="clear" w:color="auto" w:fill="D9D9D9"/>
            <w:noWrap/>
            <w:vAlign w:val="center"/>
            <w:hideMark/>
          </w:tcPr>
          <w:p w14:paraId="1EC15F0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81 047 762,07</w:t>
            </w:r>
            <w:r w:rsidRPr="00B73FDB">
              <w:rPr>
                <w:rFonts w:cs="Calibri"/>
                <w:sz w:val="18"/>
                <w:szCs w:val="18"/>
                <w:lang w:eastAsia="sk-SK"/>
              </w:rPr>
              <w:t xml:space="preserve"> </w:t>
            </w:r>
          </w:p>
        </w:tc>
        <w:tc>
          <w:tcPr>
            <w:tcW w:w="564" w:type="pct"/>
            <w:shd w:val="clear" w:color="auto" w:fill="D9D9D9"/>
            <w:noWrap/>
            <w:vAlign w:val="center"/>
            <w:hideMark/>
          </w:tcPr>
          <w:p w14:paraId="7B68759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75 606 263,30</w:t>
            </w:r>
            <w:r w:rsidRPr="00B73FDB">
              <w:rPr>
                <w:rFonts w:cs="Calibri"/>
                <w:sz w:val="18"/>
                <w:szCs w:val="18"/>
                <w:lang w:eastAsia="sk-SK"/>
              </w:rPr>
              <w:t xml:space="preserve"> </w:t>
            </w:r>
          </w:p>
        </w:tc>
        <w:tc>
          <w:tcPr>
            <w:tcW w:w="564" w:type="pct"/>
            <w:shd w:val="clear" w:color="auto" w:fill="D9D9D9"/>
            <w:noWrap/>
            <w:vAlign w:val="center"/>
            <w:hideMark/>
          </w:tcPr>
          <w:p w14:paraId="7175574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93,29</w:t>
            </w:r>
            <w:r w:rsidRPr="00B73FDB">
              <w:rPr>
                <w:rFonts w:cs="Calibri"/>
                <w:sz w:val="18"/>
                <w:szCs w:val="18"/>
                <w:lang w:eastAsia="sk-SK"/>
              </w:rPr>
              <w:t xml:space="preserve"> </w:t>
            </w:r>
          </w:p>
        </w:tc>
        <w:tc>
          <w:tcPr>
            <w:tcW w:w="991" w:type="pct"/>
            <w:vMerge w:val="restart"/>
            <w:shd w:val="clear" w:color="auto" w:fill="D9D9D9"/>
            <w:vAlign w:val="center"/>
            <w:hideMark/>
          </w:tcPr>
          <w:p w14:paraId="3DA2758B" w14:textId="77777777" w:rsidR="00B73FDB" w:rsidRPr="00B73FDB" w:rsidRDefault="00B73FDB" w:rsidP="00B73FDB">
            <w:pPr>
              <w:spacing w:after="0" w:line="240" w:lineRule="auto"/>
              <w:jc w:val="center"/>
              <w:rPr>
                <w:rFonts w:cs="Calibri"/>
                <w:b/>
                <w:sz w:val="18"/>
                <w:szCs w:val="18"/>
                <w:lang w:eastAsia="sk-SK"/>
              </w:rPr>
            </w:pPr>
            <w:r w:rsidRPr="00B73FDB">
              <w:rPr>
                <w:rFonts w:cs="Calibri"/>
                <w:b/>
                <w:sz w:val="18"/>
                <w:szCs w:val="18"/>
                <w:lang w:eastAsia="sk-SK"/>
              </w:rPr>
              <w:t>Zmeny rozpočtu sa nachádzajú pri podprogramoch</w:t>
            </w:r>
          </w:p>
          <w:p w14:paraId="1C84303D" w14:textId="77777777" w:rsidR="00B73FDB" w:rsidRPr="00B73FDB" w:rsidRDefault="00B73FDB" w:rsidP="00B73FDB">
            <w:pPr>
              <w:spacing w:after="0" w:line="240" w:lineRule="auto"/>
              <w:jc w:val="center"/>
              <w:rPr>
                <w:rFonts w:cs="Calibri"/>
                <w:sz w:val="18"/>
                <w:szCs w:val="18"/>
                <w:lang w:eastAsia="sk-SK"/>
              </w:rPr>
            </w:pPr>
            <w:r w:rsidRPr="00B73FDB">
              <w:rPr>
                <w:rFonts w:cs="Calibri"/>
                <w:b/>
                <w:sz w:val="18"/>
                <w:szCs w:val="18"/>
                <w:lang w:eastAsia="sk-SK"/>
              </w:rPr>
              <w:t>a  prvkoch</w:t>
            </w:r>
          </w:p>
        </w:tc>
      </w:tr>
      <w:tr w:rsidR="00B73FDB" w:rsidRPr="00B73FDB" w14:paraId="74441772" w14:textId="77777777" w:rsidTr="00B73FDB">
        <w:trPr>
          <w:tblCellSpacing w:w="15" w:type="dxa"/>
        </w:trPr>
        <w:tc>
          <w:tcPr>
            <w:tcW w:w="267" w:type="pct"/>
            <w:shd w:val="clear" w:color="auto" w:fill="D9D9D9"/>
            <w:noWrap/>
            <w:vAlign w:val="center"/>
            <w:hideMark/>
          </w:tcPr>
          <w:p w14:paraId="7B072C1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5D331AB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637" w:type="pct"/>
            <w:shd w:val="clear" w:color="auto" w:fill="D9D9D9"/>
            <w:noWrap/>
            <w:vAlign w:val="center"/>
            <w:hideMark/>
          </w:tcPr>
          <w:p w14:paraId="0C94A65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75 603 276,74</w:t>
            </w:r>
            <w:r w:rsidRPr="00B73FDB">
              <w:rPr>
                <w:rFonts w:cs="Calibri"/>
                <w:sz w:val="18"/>
                <w:szCs w:val="18"/>
                <w:lang w:eastAsia="sk-SK"/>
              </w:rPr>
              <w:t xml:space="preserve"> </w:t>
            </w:r>
          </w:p>
        </w:tc>
        <w:tc>
          <w:tcPr>
            <w:tcW w:w="565" w:type="pct"/>
            <w:shd w:val="clear" w:color="auto" w:fill="D9D9D9"/>
            <w:noWrap/>
            <w:vAlign w:val="center"/>
            <w:hideMark/>
          </w:tcPr>
          <w:p w14:paraId="3DBE128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80 921 806,81</w:t>
            </w:r>
            <w:r w:rsidRPr="00B73FDB">
              <w:rPr>
                <w:rFonts w:cs="Calibri"/>
                <w:sz w:val="18"/>
                <w:szCs w:val="18"/>
                <w:lang w:eastAsia="sk-SK"/>
              </w:rPr>
              <w:t xml:space="preserve"> </w:t>
            </w:r>
          </w:p>
        </w:tc>
        <w:tc>
          <w:tcPr>
            <w:tcW w:w="564" w:type="pct"/>
            <w:shd w:val="clear" w:color="auto" w:fill="D9D9D9"/>
            <w:noWrap/>
            <w:vAlign w:val="center"/>
            <w:hideMark/>
          </w:tcPr>
          <w:p w14:paraId="3FD8897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75 520 584,04</w:t>
            </w:r>
            <w:r w:rsidRPr="00B73FDB">
              <w:rPr>
                <w:rFonts w:cs="Calibri"/>
                <w:sz w:val="18"/>
                <w:szCs w:val="18"/>
                <w:lang w:eastAsia="sk-SK"/>
              </w:rPr>
              <w:t xml:space="preserve"> </w:t>
            </w:r>
          </w:p>
        </w:tc>
        <w:tc>
          <w:tcPr>
            <w:tcW w:w="564" w:type="pct"/>
            <w:shd w:val="clear" w:color="auto" w:fill="D9D9D9"/>
            <w:noWrap/>
            <w:vAlign w:val="center"/>
            <w:hideMark/>
          </w:tcPr>
          <w:p w14:paraId="711FB48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93,33</w:t>
            </w:r>
            <w:r w:rsidRPr="00B73FDB">
              <w:rPr>
                <w:rFonts w:cs="Calibri"/>
                <w:sz w:val="18"/>
                <w:szCs w:val="18"/>
                <w:lang w:eastAsia="sk-SK"/>
              </w:rPr>
              <w:t xml:space="preserve"> </w:t>
            </w:r>
          </w:p>
        </w:tc>
        <w:tc>
          <w:tcPr>
            <w:tcW w:w="991" w:type="pct"/>
            <w:vMerge/>
            <w:shd w:val="clear" w:color="auto" w:fill="D9D9D9"/>
            <w:vAlign w:val="center"/>
            <w:hideMark/>
          </w:tcPr>
          <w:p w14:paraId="685DDF15" w14:textId="77777777" w:rsidR="00B73FDB" w:rsidRPr="00B73FDB" w:rsidRDefault="00B73FDB" w:rsidP="00B73FDB">
            <w:pPr>
              <w:spacing w:after="0" w:line="240" w:lineRule="auto"/>
              <w:rPr>
                <w:rFonts w:cs="Calibri"/>
                <w:sz w:val="18"/>
                <w:szCs w:val="18"/>
                <w:lang w:eastAsia="sk-SK"/>
              </w:rPr>
            </w:pPr>
          </w:p>
        </w:tc>
      </w:tr>
      <w:tr w:rsidR="00B73FDB" w:rsidRPr="00B73FDB" w14:paraId="7539A8EE" w14:textId="77777777" w:rsidTr="00B73FDB">
        <w:trPr>
          <w:tblCellSpacing w:w="15" w:type="dxa"/>
        </w:trPr>
        <w:tc>
          <w:tcPr>
            <w:tcW w:w="267" w:type="pct"/>
            <w:shd w:val="clear" w:color="auto" w:fill="EFEFEF"/>
            <w:noWrap/>
            <w:vAlign w:val="center"/>
            <w:hideMark/>
          </w:tcPr>
          <w:p w14:paraId="7344630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2198E6A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637" w:type="pct"/>
            <w:shd w:val="clear" w:color="auto" w:fill="EFEFEF"/>
            <w:noWrap/>
            <w:vAlign w:val="center"/>
            <w:hideMark/>
          </w:tcPr>
          <w:p w14:paraId="01D4808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31 100 687,00 </w:t>
            </w:r>
          </w:p>
        </w:tc>
        <w:tc>
          <w:tcPr>
            <w:tcW w:w="565" w:type="pct"/>
            <w:shd w:val="clear" w:color="auto" w:fill="EFEFEF"/>
            <w:noWrap/>
            <w:vAlign w:val="center"/>
            <w:hideMark/>
          </w:tcPr>
          <w:p w14:paraId="5053DDA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33 719 151,03 </w:t>
            </w:r>
          </w:p>
        </w:tc>
        <w:tc>
          <w:tcPr>
            <w:tcW w:w="564" w:type="pct"/>
            <w:shd w:val="clear" w:color="auto" w:fill="EFEFEF"/>
            <w:noWrap/>
            <w:vAlign w:val="center"/>
            <w:hideMark/>
          </w:tcPr>
          <w:p w14:paraId="3C6A963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33 319 528,31 </w:t>
            </w:r>
          </w:p>
        </w:tc>
        <w:tc>
          <w:tcPr>
            <w:tcW w:w="564" w:type="pct"/>
            <w:shd w:val="clear" w:color="auto" w:fill="EFEFEF"/>
            <w:noWrap/>
            <w:vAlign w:val="center"/>
            <w:hideMark/>
          </w:tcPr>
          <w:p w14:paraId="6011072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98,81 </w:t>
            </w:r>
          </w:p>
        </w:tc>
        <w:tc>
          <w:tcPr>
            <w:tcW w:w="991" w:type="pct"/>
            <w:vMerge/>
            <w:shd w:val="clear" w:color="auto" w:fill="EFEFEF"/>
            <w:vAlign w:val="center"/>
            <w:hideMark/>
          </w:tcPr>
          <w:p w14:paraId="084C6133" w14:textId="77777777" w:rsidR="00B73FDB" w:rsidRPr="00B73FDB" w:rsidRDefault="00B73FDB" w:rsidP="00B73FDB">
            <w:pPr>
              <w:spacing w:after="0" w:line="240" w:lineRule="auto"/>
              <w:rPr>
                <w:rFonts w:cs="Calibri"/>
                <w:sz w:val="18"/>
                <w:szCs w:val="18"/>
                <w:lang w:eastAsia="sk-SK"/>
              </w:rPr>
            </w:pPr>
          </w:p>
        </w:tc>
      </w:tr>
      <w:tr w:rsidR="00B73FDB" w:rsidRPr="00B73FDB" w14:paraId="79DCF825" w14:textId="77777777" w:rsidTr="00B73FDB">
        <w:trPr>
          <w:tblCellSpacing w:w="15" w:type="dxa"/>
        </w:trPr>
        <w:tc>
          <w:tcPr>
            <w:tcW w:w="267" w:type="pct"/>
            <w:shd w:val="clear" w:color="auto" w:fill="EFEFEF"/>
            <w:noWrap/>
            <w:vAlign w:val="center"/>
            <w:hideMark/>
          </w:tcPr>
          <w:p w14:paraId="4012B6A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28F54E9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637" w:type="pct"/>
            <w:shd w:val="clear" w:color="auto" w:fill="EFEFEF"/>
            <w:noWrap/>
            <w:vAlign w:val="center"/>
            <w:hideMark/>
          </w:tcPr>
          <w:p w14:paraId="65D4428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11 096 021,00 </w:t>
            </w:r>
          </w:p>
        </w:tc>
        <w:tc>
          <w:tcPr>
            <w:tcW w:w="565" w:type="pct"/>
            <w:shd w:val="clear" w:color="auto" w:fill="EFEFEF"/>
            <w:noWrap/>
            <w:vAlign w:val="center"/>
            <w:hideMark/>
          </w:tcPr>
          <w:p w14:paraId="1B0A23A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11 602 374,10 </w:t>
            </w:r>
          </w:p>
        </w:tc>
        <w:tc>
          <w:tcPr>
            <w:tcW w:w="564" w:type="pct"/>
            <w:shd w:val="clear" w:color="auto" w:fill="EFEFEF"/>
            <w:noWrap/>
            <w:vAlign w:val="center"/>
            <w:hideMark/>
          </w:tcPr>
          <w:p w14:paraId="6F07280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11 428 620,26 </w:t>
            </w:r>
          </w:p>
        </w:tc>
        <w:tc>
          <w:tcPr>
            <w:tcW w:w="564" w:type="pct"/>
            <w:shd w:val="clear" w:color="auto" w:fill="EFEFEF"/>
            <w:noWrap/>
            <w:vAlign w:val="center"/>
            <w:hideMark/>
          </w:tcPr>
          <w:p w14:paraId="00980E6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98,50 </w:t>
            </w:r>
          </w:p>
        </w:tc>
        <w:tc>
          <w:tcPr>
            <w:tcW w:w="991" w:type="pct"/>
            <w:vMerge/>
            <w:shd w:val="clear" w:color="auto" w:fill="EFEFEF"/>
            <w:vAlign w:val="center"/>
            <w:hideMark/>
          </w:tcPr>
          <w:p w14:paraId="646E631B" w14:textId="77777777" w:rsidR="00B73FDB" w:rsidRPr="00B73FDB" w:rsidRDefault="00B73FDB" w:rsidP="00B73FDB">
            <w:pPr>
              <w:spacing w:after="0" w:line="240" w:lineRule="auto"/>
              <w:rPr>
                <w:rFonts w:cs="Calibri"/>
                <w:sz w:val="18"/>
                <w:szCs w:val="18"/>
                <w:lang w:eastAsia="sk-SK"/>
              </w:rPr>
            </w:pPr>
          </w:p>
        </w:tc>
      </w:tr>
      <w:tr w:rsidR="00B73FDB" w:rsidRPr="00B73FDB" w14:paraId="7B88E22B" w14:textId="77777777" w:rsidTr="00B73FDB">
        <w:trPr>
          <w:tblCellSpacing w:w="15" w:type="dxa"/>
        </w:trPr>
        <w:tc>
          <w:tcPr>
            <w:tcW w:w="267" w:type="pct"/>
            <w:shd w:val="clear" w:color="auto" w:fill="EFEFEF"/>
            <w:noWrap/>
            <w:vAlign w:val="center"/>
            <w:hideMark/>
          </w:tcPr>
          <w:p w14:paraId="2D2899F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09A7F37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637" w:type="pct"/>
            <w:shd w:val="clear" w:color="auto" w:fill="EFEFEF"/>
            <w:noWrap/>
            <w:vAlign w:val="center"/>
            <w:hideMark/>
          </w:tcPr>
          <w:p w14:paraId="0B333E4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10 980 101,74 </w:t>
            </w:r>
          </w:p>
        </w:tc>
        <w:tc>
          <w:tcPr>
            <w:tcW w:w="565" w:type="pct"/>
            <w:shd w:val="clear" w:color="auto" w:fill="EFEFEF"/>
            <w:noWrap/>
            <w:vAlign w:val="center"/>
            <w:hideMark/>
          </w:tcPr>
          <w:p w14:paraId="47E8BF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14 218 864,78 </w:t>
            </w:r>
          </w:p>
        </w:tc>
        <w:tc>
          <w:tcPr>
            <w:tcW w:w="564" w:type="pct"/>
            <w:shd w:val="clear" w:color="auto" w:fill="EFEFEF"/>
            <w:noWrap/>
            <w:vAlign w:val="center"/>
            <w:hideMark/>
          </w:tcPr>
          <w:p w14:paraId="4705653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10 559 900,29 </w:t>
            </w:r>
          </w:p>
        </w:tc>
        <w:tc>
          <w:tcPr>
            <w:tcW w:w="564" w:type="pct"/>
            <w:shd w:val="clear" w:color="auto" w:fill="EFEFEF"/>
            <w:noWrap/>
            <w:vAlign w:val="center"/>
            <w:hideMark/>
          </w:tcPr>
          <w:p w14:paraId="3508989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74,27 </w:t>
            </w:r>
          </w:p>
        </w:tc>
        <w:tc>
          <w:tcPr>
            <w:tcW w:w="991" w:type="pct"/>
            <w:vMerge/>
            <w:shd w:val="clear" w:color="auto" w:fill="EFEFEF"/>
            <w:vAlign w:val="center"/>
            <w:hideMark/>
          </w:tcPr>
          <w:p w14:paraId="25D1C540" w14:textId="77777777" w:rsidR="00B73FDB" w:rsidRPr="00B73FDB" w:rsidRDefault="00B73FDB" w:rsidP="00B73FDB">
            <w:pPr>
              <w:spacing w:after="0" w:line="240" w:lineRule="auto"/>
              <w:rPr>
                <w:rFonts w:cs="Calibri"/>
                <w:sz w:val="18"/>
                <w:szCs w:val="18"/>
                <w:lang w:eastAsia="sk-SK"/>
              </w:rPr>
            </w:pPr>
          </w:p>
        </w:tc>
      </w:tr>
      <w:tr w:rsidR="00B73FDB" w:rsidRPr="00B73FDB" w14:paraId="3EA2C5C1" w14:textId="77777777" w:rsidTr="00B73FDB">
        <w:trPr>
          <w:tblCellSpacing w:w="15" w:type="dxa"/>
        </w:trPr>
        <w:tc>
          <w:tcPr>
            <w:tcW w:w="267" w:type="pct"/>
            <w:shd w:val="clear" w:color="auto" w:fill="EFEFEF"/>
            <w:noWrap/>
            <w:vAlign w:val="center"/>
            <w:hideMark/>
          </w:tcPr>
          <w:p w14:paraId="4D5975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7BEEF68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637" w:type="pct"/>
            <w:shd w:val="clear" w:color="auto" w:fill="EFEFEF"/>
            <w:noWrap/>
            <w:vAlign w:val="center"/>
            <w:hideMark/>
          </w:tcPr>
          <w:p w14:paraId="1973C7A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22 426 467,00 </w:t>
            </w:r>
          </w:p>
        </w:tc>
        <w:tc>
          <w:tcPr>
            <w:tcW w:w="565" w:type="pct"/>
            <w:shd w:val="clear" w:color="auto" w:fill="EFEFEF"/>
            <w:noWrap/>
            <w:vAlign w:val="center"/>
            <w:hideMark/>
          </w:tcPr>
          <w:p w14:paraId="09BFE17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21 381 416,90 </w:t>
            </w:r>
          </w:p>
        </w:tc>
        <w:tc>
          <w:tcPr>
            <w:tcW w:w="564" w:type="pct"/>
            <w:shd w:val="clear" w:color="auto" w:fill="EFEFEF"/>
            <w:noWrap/>
            <w:vAlign w:val="center"/>
            <w:hideMark/>
          </w:tcPr>
          <w:p w14:paraId="213831E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20 212 535,18 </w:t>
            </w:r>
          </w:p>
        </w:tc>
        <w:tc>
          <w:tcPr>
            <w:tcW w:w="564" w:type="pct"/>
            <w:shd w:val="clear" w:color="auto" w:fill="EFEFEF"/>
            <w:noWrap/>
            <w:vAlign w:val="center"/>
            <w:hideMark/>
          </w:tcPr>
          <w:p w14:paraId="03DEFE7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94,53 </w:t>
            </w:r>
          </w:p>
        </w:tc>
        <w:tc>
          <w:tcPr>
            <w:tcW w:w="991" w:type="pct"/>
            <w:vMerge/>
            <w:shd w:val="clear" w:color="auto" w:fill="EFEFEF"/>
            <w:vAlign w:val="center"/>
            <w:hideMark/>
          </w:tcPr>
          <w:p w14:paraId="1CD55175" w14:textId="77777777" w:rsidR="00B73FDB" w:rsidRPr="00B73FDB" w:rsidRDefault="00B73FDB" w:rsidP="00B73FDB">
            <w:pPr>
              <w:spacing w:after="0" w:line="240" w:lineRule="auto"/>
              <w:rPr>
                <w:rFonts w:cs="Calibri"/>
                <w:sz w:val="18"/>
                <w:szCs w:val="18"/>
                <w:lang w:eastAsia="sk-SK"/>
              </w:rPr>
            </w:pPr>
          </w:p>
        </w:tc>
      </w:tr>
      <w:tr w:rsidR="00B73FDB" w:rsidRPr="00B73FDB" w14:paraId="40896484" w14:textId="77777777" w:rsidTr="00B73FDB">
        <w:trPr>
          <w:tblCellSpacing w:w="15" w:type="dxa"/>
        </w:trPr>
        <w:tc>
          <w:tcPr>
            <w:tcW w:w="267" w:type="pct"/>
            <w:shd w:val="clear" w:color="auto" w:fill="D9D9D9"/>
            <w:noWrap/>
            <w:vAlign w:val="center"/>
            <w:hideMark/>
          </w:tcPr>
          <w:p w14:paraId="0589453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700</w:t>
            </w:r>
            <w:r w:rsidRPr="00B73FDB">
              <w:rPr>
                <w:rFonts w:cs="Calibri"/>
                <w:sz w:val="18"/>
                <w:szCs w:val="18"/>
                <w:lang w:eastAsia="sk-SK"/>
              </w:rPr>
              <w:t xml:space="preserve"> </w:t>
            </w:r>
          </w:p>
        </w:tc>
        <w:tc>
          <w:tcPr>
            <w:tcW w:w="1289" w:type="pct"/>
            <w:shd w:val="clear" w:color="auto" w:fill="D9D9D9"/>
            <w:vAlign w:val="center"/>
            <w:hideMark/>
          </w:tcPr>
          <w:p w14:paraId="7E305EF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Kapitálové výdavky</w:t>
            </w:r>
            <w:r w:rsidRPr="00B73FDB">
              <w:rPr>
                <w:rFonts w:cs="Calibri"/>
                <w:sz w:val="18"/>
                <w:szCs w:val="18"/>
                <w:lang w:eastAsia="sk-SK"/>
              </w:rPr>
              <w:t xml:space="preserve"> </w:t>
            </w:r>
          </w:p>
        </w:tc>
        <w:tc>
          <w:tcPr>
            <w:tcW w:w="637" w:type="pct"/>
            <w:shd w:val="clear" w:color="auto" w:fill="D9D9D9"/>
            <w:noWrap/>
            <w:vAlign w:val="center"/>
            <w:hideMark/>
          </w:tcPr>
          <w:p w14:paraId="20B7EE5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65" w:type="pct"/>
            <w:shd w:val="clear" w:color="auto" w:fill="D9D9D9"/>
            <w:noWrap/>
            <w:vAlign w:val="center"/>
            <w:hideMark/>
          </w:tcPr>
          <w:p w14:paraId="4B404E4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125 955,26</w:t>
            </w:r>
            <w:r w:rsidRPr="00B73FDB">
              <w:rPr>
                <w:rFonts w:cs="Calibri"/>
                <w:sz w:val="18"/>
                <w:szCs w:val="18"/>
                <w:lang w:eastAsia="sk-SK"/>
              </w:rPr>
              <w:t xml:space="preserve"> </w:t>
            </w:r>
          </w:p>
        </w:tc>
        <w:tc>
          <w:tcPr>
            <w:tcW w:w="564" w:type="pct"/>
            <w:shd w:val="clear" w:color="auto" w:fill="D9D9D9"/>
            <w:noWrap/>
            <w:vAlign w:val="center"/>
            <w:hideMark/>
          </w:tcPr>
          <w:p w14:paraId="7D0915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85 679,26</w:t>
            </w:r>
            <w:r w:rsidRPr="00B73FDB">
              <w:rPr>
                <w:rFonts w:cs="Calibri"/>
                <w:sz w:val="18"/>
                <w:szCs w:val="18"/>
                <w:lang w:eastAsia="sk-SK"/>
              </w:rPr>
              <w:t xml:space="preserve"> </w:t>
            </w:r>
          </w:p>
        </w:tc>
        <w:tc>
          <w:tcPr>
            <w:tcW w:w="564" w:type="pct"/>
            <w:shd w:val="clear" w:color="auto" w:fill="D9D9D9"/>
            <w:noWrap/>
            <w:vAlign w:val="center"/>
            <w:hideMark/>
          </w:tcPr>
          <w:p w14:paraId="6088B41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68,02</w:t>
            </w:r>
            <w:r w:rsidRPr="00B73FDB">
              <w:rPr>
                <w:rFonts w:cs="Calibri"/>
                <w:sz w:val="18"/>
                <w:szCs w:val="18"/>
                <w:lang w:eastAsia="sk-SK"/>
              </w:rPr>
              <w:t xml:space="preserve"> </w:t>
            </w:r>
          </w:p>
        </w:tc>
        <w:tc>
          <w:tcPr>
            <w:tcW w:w="991" w:type="pct"/>
            <w:vMerge/>
            <w:shd w:val="clear" w:color="auto" w:fill="D9D9D9"/>
            <w:vAlign w:val="center"/>
            <w:hideMark/>
          </w:tcPr>
          <w:p w14:paraId="7770E18A" w14:textId="77777777" w:rsidR="00B73FDB" w:rsidRPr="00B73FDB" w:rsidRDefault="00B73FDB" w:rsidP="00B73FDB">
            <w:pPr>
              <w:spacing w:after="0" w:line="240" w:lineRule="auto"/>
              <w:rPr>
                <w:rFonts w:cs="Calibri"/>
                <w:sz w:val="18"/>
                <w:szCs w:val="18"/>
                <w:lang w:eastAsia="sk-SK"/>
              </w:rPr>
            </w:pPr>
          </w:p>
        </w:tc>
      </w:tr>
      <w:tr w:rsidR="00B73FDB" w:rsidRPr="00B73FDB" w14:paraId="19B4ABB9" w14:textId="77777777" w:rsidTr="00B73FDB">
        <w:trPr>
          <w:tblCellSpacing w:w="15" w:type="dxa"/>
        </w:trPr>
        <w:tc>
          <w:tcPr>
            <w:tcW w:w="267" w:type="pct"/>
            <w:shd w:val="clear" w:color="auto" w:fill="EFEFEF"/>
            <w:noWrap/>
            <w:vAlign w:val="center"/>
            <w:hideMark/>
          </w:tcPr>
          <w:p w14:paraId="71E1FFA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710 </w:t>
            </w:r>
          </w:p>
        </w:tc>
        <w:tc>
          <w:tcPr>
            <w:tcW w:w="1289" w:type="pct"/>
            <w:shd w:val="clear" w:color="auto" w:fill="EFEFEF"/>
            <w:vAlign w:val="center"/>
            <w:hideMark/>
          </w:tcPr>
          <w:p w14:paraId="061AAD5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Obstarávanie kapitálových aktív </w:t>
            </w:r>
          </w:p>
        </w:tc>
        <w:tc>
          <w:tcPr>
            <w:tcW w:w="637" w:type="pct"/>
            <w:shd w:val="clear" w:color="auto" w:fill="EFEFEF"/>
            <w:noWrap/>
            <w:vAlign w:val="center"/>
            <w:hideMark/>
          </w:tcPr>
          <w:p w14:paraId="487901F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5" w:type="pct"/>
            <w:shd w:val="clear" w:color="auto" w:fill="EFEFEF"/>
            <w:noWrap/>
            <w:vAlign w:val="center"/>
            <w:hideMark/>
          </w:tcPr>
          <w:p w14:paraId="654DBB1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99 986,26 </w:t>
            </w:r>
          </w:p>
        </w:tc>
        <w:tc>
          <w:tcPr>
            <w:tcW w:w="564" w:type="pct"/>
            <w:shd w:val="clear" w:color="auto" w:fill="EFEFEF"/>
            <w:noWrap/>
            <w:vAlign w:val="center"/>
            <w:hideMark/>
          </w:tcPr>
          <w:p w14:paraId="720E86E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59 710,26 </w:t>
            </w:r>
          </w:p>
        </w:tc>
        <w:tc>
          <w:tcPr>
            <w:tcW w:w="564" w:type="pct"/>
            <w:shd w:val="clear" w:color="auto" w:fill="EFEFEF"/>
            <w:noWrap/>
            <w:vAlign w:val="center"/>
            <w:hideMark/>
          </w:tcPr>
          <w:p w14:paraId="325AB5F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59,72 </w:t>
            </w:r>
          </w:p>
        </w:tc>
        <w:tc>
          <w:tcPr>
            <w:tcW w:w="991" w:type="pct"/>
            <w:vMerge/>
            <w:shd w:val="clear" w:color="auto" w:fill="EFEFEF"/>
            <w:vAlign w:val="center"/>
            <w:hideMark/>
          </w:tcPr>
          <w:p w14:paraId="5D04BC32" w14:textId="77777777" w:rsidR="00B73FDB" w:rsidRPr="00B73FDB" w:rsidRDefault="00B73FDB" w:rsidP="00B73FDB">
            <w:pPr>
              <w:spacing w:after="0" w:line="240" w:lineRule="auto"/>
              <w:rPr>
                <w:rFonts w:cs="Calibri"/>
                <w:sz w:val="18"/>
                <w:szCs w:val="18"/>
                <w:lang w:eastAsia="sk-SK"/>
              </w:rPr>
            </w:pPr>
          </w:p>
        </w:tc>
      </w:tr>
      <w:tr w:rsidR="00B73FDB" w:rsidRPr="00B73FDB" w14:paraId="73C0364D" w14:textId="77777777" w:rsidTr="00B73FDB">
        <w:trPr>
          <w:tblCellSpacing w:w="15" w:type="dxa"/>
        </w:trPr>
        <w:tc>
          <w:tcPr>
            <w:tcW w:w="267" w:type="pct"/>
            <w:shd w:val="clear" w:color="auto" w:fill="EFEFEF"/>
            <w:noWrap/>
            <w:vAlign w:val="center"/>
            <w:hideMark/>
          </w:tcPr>
          <w:p w14:paraId="432C9EB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720 </w:t>
            </w:r>
          </w:p>
        </w:tc>
        <w:tc>
          <w:tcPr>
            <w:tcW w:w="1289" w:type="pct"/>
            <w:shd w:val="clear" w:color="auto" w:fill="EFEFEF"/>
            <w:vAlign w:val="center"/>
            <w:hideMark/>
          </w:tcPr>
          <w:p w14:paraId="21D1A96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Kapitálové transfery </w:t>
            </w:r>
          </w:p>
        </w:tc>
        <w:tc>
          <w:tcPr>
            <w:tcW w:w="637" w:type="pct"/>
            <w:shd w:val="clear" w:color="auto" w:fill="EFEFEF"/>
            <w:noWrap/>
            <w:vAlign w:val="center"/>
            <w:hideMark/>
          </w:tcPr>
          <w:p w14:paraId="035C7C8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5" w:type="pct"/>
            <w:shd w:val="clear" w:color="auto" w:fill="EFEFEF"/>
            <w:noWrap/>
            <w:vAlign w:val="center"/>
            <w:hideMark/>
          </w:tcPr>
          <w:p w14:paraId="0E21418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25 969,00 </w:t>
            </w:r>
          </w:p>
        </w:tc>
        <w:tc>
          <w:tcPr>
            <w:tcW w:w="564" w:type="pct"/>
            <w:shd w:val="clear" w:color="auto" w:fill="EFEFEF"/>
            <w:noWrap/>
            <w:vAlign w:val="center"/>
            <w:hideMark/>
          </w:tcPr>
          <w:p w14:paraId="2CDB714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25 969,00 </w:t>
            </w:r>
          </w:p>
        </w:tc>
        <w:tc>
          <w:tcPr>
            <w:tcW w:w="564" w:type="pct"/>
            <w:shd w:val="clear" w:color="auto" w:fill="EFEFEF"/>
            <w:noWrap/>
            <w:vAlign w:val="center"/>
            <w:hideMark/>
          </w:tcPr>
          <w:p w14:paraId="79962C4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991" w:type="pct"/>
            <w:vMerge/>
            <w:shd w:val="clear" w:color="auto" w:fill="EFEFEF"/>
            <w:vAlign w:val="center"/>
            <w:hideMark/>
          </w:tcPr>
          <w:p w14:paraId="112C8392" w14:textId="77777777" w:rsidR="00B73FDB" w:rsidRPr="00B73FDB" w:rsidRDefault="00B73FDB" w:rsidP="00B73FDB">
            <w:pPr>
              <w:spacing w:after="0" w:line="240" w:lineRule="auto"/>
              <w:rPr>
                <w:rFonts w:cs="Calibri"/>
                <w:sz w:val="18"/>
                <w:szCs w:val="18"/>
                <w:lang w:eastAsia="sk-SK"/>
              </w:rPr>
            </w:pPr>
          </w:p>
        </w:tc>
      </w:tr>
    </w:tbl>
    <w:p w14:paraId="2FF02601" w14:textId="77777777" w:rsidR="00B73FDB" w:rsidRPr="00B73FDB" w:rsidRDefault="00B73FDB" w:rsidP="00B73FDB">
      <w:pPr>
        <w:spacing w:after="0" w:line="240" w:lineRule="auto"/>
        <w:rPr>
          <w:rFonts w:cs="Calibr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729"/>
        <w:gridCol w:w="1273"/>
        <w:gridCol w:w="1923"/>
        <w:gridCol w:w="1382"/>
        <w:gridCol w:w="4159"/>
      </w:tblGrid>
      <w:tr w:rsidR="00B73FDB" w:rsidRPr="00B73FDB" w14:paraId="1B3FEA62" w14:textId="77777777" w:rsidTr="00B73FDB">
        <w:trPr>
          <w:tblCellSpacing w:w="15" w:type="dxa"/>
        </w:trPr>
        <w:tc>
          <w:tcPr>
            <w:tcW w:w="0" w:type="auto"/>
            <w:shd w:val="clear" w:color="auto" w:fill="C2D69B"/>
            <w:vAlign w:val="center"/>
            <w:hideMark/>
          </w:tcPr>
          <w:p w14:paraId="2AEEBBE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3AC12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plynulý výchovno-vzdelávací proces, ubytovanie, stravovanie a voľnočasové aktivity pre žiakov </w:t>
            </w:r>
          </w:p>
        </w:tc>
      </w:tr>
      <w:tr w:rsidR="00B73FDB" w:rsidRPr="00B73FDB" w14:paraId="55BF460C" w14:textId="77777777" w:rsidTr="00B73FDB">
        <w:trPr>
          <w:tblCellSpacing w:w="15" w:type="dxa"/>
        </w:trPr>
        <w:tc>
          <w:tcPr>
            <w:tcW w:w="0" w:type="auto"/>
            <w:shd w:val="clear" w:color="auto" w:fill="C2D69B"/>
            <w:vAlign w:val="center"/>
            <w:hideMark/>
          </w:tcPr>
          <w:p w14:paraId="7E0F712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1744D1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w:t>
            </w:r>
          </w:p>
        </w:tc>
      </w:tr>
      <w:tr w:rsidR="00B73FDB" w:rsidRPr="00B73FDB" w14:paraId="10777B9C" w14:textId="77777777" w:rsidTr="00B73FDB">
        <w:trPr>
          <w:tblCellSpacing w:w="15" w:type="dxa"/>
        </w:trPr>
        <w:tc>
          <w:tcPr>
            <w:tcW w:w="0" w:type="auto"/>
            <w:shd w:val="clear" w:color="auto" w:fill="C2D69B"/>
            <w:vAlign w:val="center"/>
            <w:hideMark/>
          </w:tcPr>
          <w:p w14:paraId="25EF25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27EBC5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30B9CA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F85D76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CA6A79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1A97802" w14:textId="77777777" w:rsidTr="00B73FDB">
        <w:trPr>
          <w:tblCellSpacing w:w="15" w:type="dxa"/>
        </w:trPr>
        <w:tc>
          <w:tcPr>
            <w:tcW w:w="0" w:type="auto"/>
            <w:shd w:val="clear" w:color="auto" w:fill="C2D69B"/>
            <w:vAlign w:val="center"/>
            <w:hideMark/>
          </w:tcPr>
          <w:p w14:paraId="52CDD4E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D6D9BD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28 012 </w:t>
            </w:r>
          </w:p>
        </w:tc>
        <w:tc>
          <w:tcPr>
            <w:tcW w:w="0" w:type="auto"/>
            <w:shd w:val="clear" w:color="auto" w:fill="C2D69B"/>
            <w:noWrap/>
            <w:vAlign w:val="center"/>
            <w:hideMark/>
          </w:tcPr>
          <w:p w14:paraId="30FFDBC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29 076 </w:t>
            </w:r>
          </w:p>
        </w:tc>
        <w:tc>
          <w:tcPr>
            <w:tcW w:w="0" w:type="auto"/>
            <w:shd w:val="clear" w:color="auto" w:fill="C2D69B"/>
            <w:vAlign w:val="center"/>
            <w:hideMark/>
          </w:tcPr>
          <w:p w14:paraId="629FFB6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E7C4D2D"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1E570D27" w14:textId="77777777" w:rsidTr="00B73FDB">
        <w:trPr>
          <w:tblCellSpacing w:w="15" w:type="dxa"/>
        </w:trPr>
        <w:tc>
          <w:tcPr>
            <w:tcW w:w="0" w:type="auto"/>
            <w:shd w:val="clear" w:color="auto" w:fill="C2D69B"/>
            <w:vAlign w:val="center"/>
            <w:hideMark/>
          </w:tcPr>
          <w:p w14:paraId="0D6DDB9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A8D007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škôl a školských zariadení </w:t>
            </w:r>
          </w:p>
        </w:tc>
      </w:tr>
      <w:tr w:rsidR="00B73FDB" w:rsidRPr="00B73FDB" w14:paraId="21181D1D" w14:textId="77777777" w:rsidTr="00B73FDB">
        <w:trPr>
          <w:tblCellSpacing w:w="15" w:type="dxa"/>
        </w:trPr>
        <w:tc>
          <w:tcPr>
            <w:tcW w:w="0" w:type="auto"/>
            <w:shd w:val="clear" w:color="auto" w:fill="C2D69B"/>
            <w:vAlign w:val="center"/>
            <w:hideMark/>
          </w:tcPr>
          <w:p w14:paraId="0CA04EB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CF76E4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B4EB0C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4E0761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21E57B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0868474" w14:textId="77777777" w:rsidTr="00B73FDB">
        <w:trPr>
          <w:tblCellSpacing w:w="15" w:type="dxa"/>
        </w:trPr>
        <w:tc>
          <w:tcPr>
            <w:tcW w:w="0" w:type="auto"/>
            <w:shd w:val="clear" w:color="auto" w:fill="C2D69B"/>
            <w:vAlign w:val="center"/>
            <w:hideMark/>
          </w:tcPr>
          <w:p w14:paraId="3521B14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89A150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168 </w:t>
            </w:r>
          </w:p>
        </w:tc>
        <w:tc>
          <w:tcPr>
            <w:tcW w:w="0" w:type="auto"/>
            <w:shd w:val="clear" w:color="auto" w:fill="C2D69B"/>
            <w:noWrap/>
            <w:vAlign w:val="center"/>
            <w:hideMark/>
          </w:tcPr>
          <w:p w14:paraId="7A24B40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171 </w:t>
            </w:r>
          </w:p>
        </w:tc>
        <w:tc>
          <w:tcPr>
            <w:tcW w:w="0" w:type="auto"/>
            <w:shd w:val="clear" w:color="auto" w:fill="C2D69B"/>
            <w:vAlign w:val="center"/>
            <w:hideMark/>
          </w:tcPr>
          <w:p w14:paraId="6D1A991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0705556" w14:textId="77777777" w:rsidR="00B73FDB" w:rsidRPr="00B73FDB" w:rsidRDefault="00B73FDB" w:rsidP="00B73FDB">
            <w:pPr>
              <w:spacing w:after="0" w:line="240" w:lineRule="auto"/>
              <w:jc w:val="center"/>
              <w:rPr>
                <w:rFonts w:cs="Calibri"/>
                <w:sz w:val="18"/>
                <w:szCs w:val="18"/>
                <w:lang w:eastAsia="sk-SK"/>
              </w:rPr>
            </w:pPr>
          </w:p>
        </w:tc>
      </w:tr>
    </w:tbl>
    <w:p w14:paraId="04EFE009" w14:textId="01725BD1" w:rsidR="00B73FDB" w:rsidRDefault="00B73FDB" w:rsidP="0044504C">
      <w:pPr>
        <w:pStyle w:val="Normlnywebov"/>
        <w:rPr>
          <w:rFonts w:ascii="Calibri" w:hAnsi="Calibri" w:cs="Calibri"/>
        </w:rPr>
      </w:pPr>
    </w:p>
    <w:p w14:paraId="6947B4D7" w14:textId="77777777" w:rsidR="0044504C" w:rsidRPr="00CC0D5A" w:rsidRDefault="0044504C" w:rsidP="0044504C">
      <w:pPr>
        <w:pStyle w:val="Normlnywebov"/>
        <w:spacing w:after="0"/>
        <w:rPr>
          <w:rFonts w:ascii="Calibri" w:hAnsi="Calibri" w:cs="Calibri"/>
          <w:vanish/>
        </w:rPr>
      </w:pPr>
    </w:p>
    <w:p w14:paraId="57C6F491" w14:textId="77777777" w:rsidR="0044504C" w:rsidRDefault="0044504C" w:rsidP="0044504C">
      <w:pPr>
        <w:pStyle w:val="Normlnywebov"/>
        <w:spacing w:after="0"/>
        <w:jc w:val="both"/>
        <w:rPr>
          <w:rFonts w:ascii="Calibri" w:hAnsi="Calibri" w:cs="Calibri"/>
        </w:rPr>
      </w:pPr>
      <w:r w:rsidRPr="00CC0D5A">
        <w:rPr>
          <w:rFonts w:ascii="Calibri" w:hAnsi="Calibri" w:cs="Calibri"/>
          <w:b/>
          <w:bCs/>
        </w:rPr>
        <w:t xml:space="preserve">Komentár: </w:t>
      </w:r>
      <w:r w:rsidRPr="00CC0D5A">
        <w:rPr>
          <w:rFonts w:ascii="Calibri" w:hAnsi="Calibri" w:cs="Calibri"/>
        </w:rPr>
        <w:t xml:space="preserve">Hlavnou úlohou BSK v oblasti vzdelávania je schopnosť pripravovať kvalifikovaných stredoškolsky vzdelaných odborníkov pre potreby praxe, remeslá a aj pre vysokoškolské štúdium doma i v zahraničí. Regionálna samospráva má najväčší podiel zodpovednosti na fungovaní národného hospodárstva, pretože zabezpečuje vyškolených pracovníkov a zároveň pripravuje podmienky pre študentov na ďalšie vzdelávanie. Pre uplatnenie sa na trhu práce a začlenenia sa do spoločnosti dáva regionálne školstvo základ pre fungovanie priemyslu, poľnohospodárstva, rozvoj remesiel a duševný rozvoj nielen mladých ľudí, ale ľudí všetkých vekových kategórií prostredníctvom podpory celoživotného vzdelávania. Vzhľadom na rastúce kvalifikačné nároky na trhu práce je stredoškolské vzdelanie základným predpokladom úspešného uplatnenia sa na trhu práce. </w:t>
      </w:r>
      <w:r>
        <w:rPr>
          <w:rFonts w:ascii="Calibri" w:hAnsi="Calibri" w:cs="Calibri"/>
        </w:rPr>
        <w:t xml:space="preserve"> </w:t>
      </w:r>
    </w:p>
    <w:p w14:paraId="600C767F" w14:textId="77777777" w:rsidR="0044504C" w:rsidRDefault="0044504C" w:rsidP="0044504C">
      <w:pPr>
        <w:pStyle w:val="Normlnywebov"/>
        <w:spacing w:after="0"/>
        <w:jc w:val="both"/>
        <w:rPr>
          <w:rFonts w:ascii="Calibri" w:hAnsi="Calibri" w:cs="Calibri"/>
        </w:rPr>
      </w:pPr>
    </w:p>
    <w:p w14:paraId="06A13C0B" w14:textId="47B75A35" w:rsidR="0044504C" w:rsidRPr="00CC0D5A" w:rsidRDefault="0044504C" w:rsidP="0044504C">
      <w:pPr>
        <w:pStyle w:val="Normlnywebov"/>
        <w:spacing w:after="0"/>
        <w:jc w:val="both"/>
        <w:rPr>
          <w:rFonts w:ascii="Calibri" w:hAnsi="Calibri" w:cs="Calibri"/>
        </w:rPr>
      </w:pPr>
      <w:r w:rsidRPr="00CC0D5A">
        <w:rPr>
          <w:rFonts w:ascii="Calibri" w:hAnsi="Calibri" w:cs="Calibri"/>
        </w:rPr>
        <w:t xml:space="preserve">Jednou z priorít kraja je podpora celoživotného vzdelávania. Projekty celoživotného vzdelávania sa rozvíjajú v týchto centrách: </w:t>
      </w:r>
    </w:p>
    <w:p w14:paraId="0B7A3D47" w14:textId="77777777" w:rsidR="003B7ABA" w:rsidRDefault="0044504C" w:rsidP="0044504C">
      <w:pPr>
        <w:pStyle w:val="Normlnywebov"/>
        <w:spacing w:after="0"/>
        <w:jc w:val="both"/>
        <w:rPr>
          <w:rFonts w:ascii="Calibri" w:hAnsi="Calibri" w:cs="Calibri"/>
        </w:rPr>
      </w:pPr>
      <w:r w:rsidRPr="00CC0D5A">
        <w:rPr>
          <w:rFonts w:ascii="Calibri" w:hAnsi="Calibri" w:cs="Calibri"/>
        </w:rPr>
        <w:br/>
      </w:r>
      <w:r w:rsidR="003B7ABA">
        <w:rPr>
          <w:rFonts w:ascii="Calibri" w:hAnsi="Calibri" w:cs="Calibri"/>
        </w:rPr>
        <w:t xml:space="preserve">1. </w:t>
      </w:r>
      <w:r w:rsidRPr="00CC0D5A">
        <w:rPr>
          <w:rFonts w:ascii="Calibri" w:hAnsi="Calibri" w:cs="Calibri"/>
        </w:rPr>
        <w:t>Centrum odborného vzdelávania a prípravy pre oblasť poľnohospodárstva a rozvoja vidieka v</w:t>
      </w:r>
      <w:r>
        <w:rPr>
          <w:rFonts w:ascii="Calibri" w:hAnsi="Calibri" w:cs="Calibri"/>
        </w:rPr>
        <w:t> </w:t>
      </w:r>
      <w:r w:rsidRPr="00CC0D5A">
        <w:rPr>
          <w:rFonts w:ascii="Calibri" w:hAnsi="Calibri" w:cs="Calibri"/>
        </w:rPr>
        <w:t>Spojenej</w:t>
      </w:r>
      <w:r>
        <w:rPr>
          <w:rFonts w:ascii="Calibri" w:hAnsi="Calibri" w:cs="Calibri"/>
        </w:rPr>
        <w:t xml:space="preserve"> </w:t>
      </w:r>
      <w:r w:rsidRPr="00CC0D5A">
        <w:rPr>
          <w:rFonts w:ascii="Calibri" w:hAnsi="Calibri" w:cs="Calibri"/>
        </w:rPr>
        <w:t>škole, SNP 30, Ivanka pri Dunaji od 01. 09. 2012</w:t>
      </w:r>
    </w:p>
    <w:p w14:paraId="583E63E0" w14:textId="77777777" w:rsidR="003B7ABA" w:rsidRDefault="003B7ABA" w:rsidP="0044504C">
      <w:pPr>
        <w:pStyle w:val="Normlnywebov"/>
        <w:spacing w:after="0"/>
        <w:jc w:val="both"/>
        <w:rPr>
          <w:rFonts w:ascii="Calibri" w:hAnsi="Calibri" w:cs="Calibri"/>
        </w:rPr>
      </w:pPr>
      <w:r>
        <w:rPr>
          <w:rFonts w:ascii="Calibri" w:hAnsi="Calibri" w:cs="Calibri"/>
        </w:rPr>
        <w:t xml:space="preserve">2. </w:t>
      </w:r>
      <w:r w:rsidR="0044504C" w:rsidRPr="00CC0D5A">
        <w:rPr>
          <w:rFonts w:ascii="Calibri" w:hAnsi="Calibri" w:cs="Calibri"/>
        </w:rPr>
        <w:t>Centrum odborného vzdelávania a prípravy pre oblasť elektrotechniky a informačných technológií v</w:t>
      </w:r>
      <w:r w:rsidR="0044504C">
        <w:rPr>
          <w:rFonts w:ascii="Calibri" w:hAnsi="Calibri" w:cs="Calibri"/>
        </w:rPr>
        <w:t> </w:t>
      </w:r>
      <w:r w:rsidR="0044504C" w:rsidRPr="00CC0D5A">
        <w:rPr>
          <w:rFonts w:ascii="Calibri" w:hAnsi="Calibri" w:cs="Calibri"/>
        </w:rPr>
        <w:t>SOŠ</w:t>
      </w:r>
      <w:r w:rsidR="0044504C">
        <w:rPr>
          <w:rFonts w:ascii="Calibri" w:hAnsi="Calibri" w:cs="Calibri"/>
        </w:rPr>
        <w:t xml:space="preserve"> </w:t>
      </w:r>
      <w:r w:rsidR="0044504C" w:rsidRPr="00CC0D5A">
        <w:rPr>
          <w:rFonts w:ascii="Calibri" w:hAnsi="Calibri" w:cs="Calibri"/>
        </w:rPr>
        <w:t xml:space="preserve">informačných technológií, </w:t>
      </w:r>
      <w:proofErr w:type="spellStart"/>
      <w:r w:rsidR="0044504C" w:rsidRPr="00CC0D5A">
        <w:rPr>
          <w:rFonts w:ascii="Calibri" w:hAnsi="Calibri" w:cs="Calibri"/>
        </w:rPr>
        <w:t>Hlinícka</w:t>
      </w:r>
      <w:proofErr w:type="spellEnd"/>
      <w:r w:rsidR="0044504C" w:rsidRPr="00CC0D5A">
        <w:rPr>
          <w:rFonts w:ascii="Calibri" w:hAnsi="Calibri" w:cs="Calibri"/>
        </w:rPr>
        <w:t xml:space="preserve"> 1 v Bratislave od 01. 09. 2012 </w:t>
      </w:r>
    </w:p>
    <w:p w14:paraId="5E24B31F" w14:textId="77777777" w:rsidR="003B7ABA" w:rsidRDefault="003B7ABA" w:rsidP="0044504C">
      <w:pPr>
        <w:pStyle w:val="Normlnywebov"/>
        <w:spacing w:after="0"/>
        <w:jc w:val="both"/>
        <w:rPr>
          <w:rFonts w:ascii="Calibri" w:hAnsi="Calibri" w:cs="Calibri"/>
        </w:rPr>
      </w:pPr>
      <w:r>
        <w:rPr>
          <w:rFonts w:ascii="Calibri" w:hAnsi="Calibri" w:cs="Calibri"/>
        </w:rPr>
        <w:t xml:space="preserve">3. </w:t>
      </w:r>
      <w:r w:rsidR="0044504C" w:rsidRPr="00CC0D5A">
        <w:rPr>
          <w:rFonts w:ascii="Calibri" w:hAnsi="Calibri" w:cs="Calibri"/>
        </w:rPr>
        <w:t xml:space="preserve">Centrum odborného vzdelávania a prípravy pre oblasť stavebníctva v SOŠ, </w:t>
      </w:r>
      <w:proofErr w:type="spellStart"/>
      <w:r w:rsidR="0044504C" w:rsidRPr="00CC0D5A">
        <w:rPr>
          <w:rFonts w:ascii="Calibri" w:hAnsi="Calibri" w:cs="Calibri"/>
        </w:rPr>
        <w:t>Ivanská</w:t>
      </w:r>
      <w:proofErr w:type="spellEnd"/>
      <w:r w:rsidR="0044504C" w:rsidRPr="00CC0D5A">
        <w:rPr>
          <w:rFonts w:ascii="Calibri" w:hAnsi="Calibri" w:cs="Calibri"/>
        </w:rPr>
        <w:t xml:space="preserve"> cesta 21, 823 75 Bratislava od 01. 01. 2015</w:t>
      </w:r>
    </w:p>
    <w:p w14:paraId="0C76669E" w14:textId="77777777" w:rsidR="003B7ABA" w:rsidRDefault="003B7ABA" w:rsidP="0044504C">
      <w:pPr>
        <w:pStyle w:val="Normlnywebov"/>
        <w:spacing w:after="0"/>
        <w:jc w:val="both"/>
        <w:rPr>
          <w:rFonts w:ascii="Calibri" w:hAnsi="Calibri" w:cs="Calibri"/>
        </w:rPr>
      </w:pPr>
      <w:r>
        <w:rPr>
          <w:rFonts w:ascii="Calibri" w:hAnsi="Calibri" w:cs="Calibri"/>
        </w:rPr>
        <w:t xml:space="preserve">4. </w:t>
      </w:r>
      <w:r w:rsidR="0044504C" w:rsidRPr="00CC0D5A">
        <w:rPr>
          <w:rFonts w:ascii="Calibri" w:hAnsi="Calibri" w:cs="Calibri"/>
        </w:rPr>
        <w:t>Centrum odborného vzdelávania a prípravy pre oblasť polygrafie a médií v SOŠ polygrafickej, Račianska 190, Bratislava od 01. 07. 2015</w:t>
      </w:r>
    </w:p>
    <w:p w14:paraId="46D3105F" w14:textId="77777777" w:rsidR="003B7ABA" w:rsidRDefault="003B7ABA" w:rsidP="0044504C">
      <w:pPr>
        <w:pStyle w:val="Normlnywebov"/>
        <w:spacing w:after="0"/>
        <w:jc w:val="both"/>
        <w:rPr>
          <w:rFonts w:ascii="Calibri" w:hAnsi="Calibri" w:cs="Calibri"/>
        </w:rPr>
      </w:pPr>
      <w:r>
        <w:rPr>
          <w:rFonts w:ascii="Calibri" w:hAnsi="Calibri" w:cs="Calibri"/>
        </w:rPr>
        <w:t xml:space="preserve">5. </w:t>
      </w:r>
      <w:r w:rsidR="0044504C" w:rsidRPr="00CC0D5A">
        <w:rPr>
          <w:rFonts w:ascii="Calibri" w:hAnsi="Calibri" w:cs="Calibri"/>
        </w:rPr>
        <w:t>Centrum odborného vzdelávania a prípravy pre oblasť potravinárstva v SOŠ gastronómie a</w:t>
      </w:r>
      <w:r w:rsidR="0044504C">
        <w:rPr>
          <w:rFonts w:ascii="Calibri" w:hAnsi="Calibri" w:cs="Calibri"/>
        </w:rPr>
        <w:t> </w:t>
      </w:r>
      <w:r w:rsidR="0044504C" w:rsidRPr="00CC0D5A">
        <w:rPr>
          <w:rFonts w:ascii="Calibri" w:hAnsi="Calibri" w:cs="Calibri"/>
        </w:rPr>
        <w:t>hotelových</w:t>
      </w:r>
      <w:r w:rsidR="0044504C">
        <w:rPr>
          <w:rFonts w:ascii="Calibri" w:hAnsi="Calibri" w:cs="Calibri"/>
        </w:rPr>
        <w:t xml:space="preserve"> </w:t>
      </w:r>
      <w:r w:rsidR="0044504C" w:rsidRPr="00CC0D5A">
        <w:rPr>
          <w:rFonts w:ascii="Calibri" w:hAnsi="Calibri" w:cs="Calibri"/>
        </w:rPr>
        <w:t>služieb, Farského 9, Bratislava od 01. 05. 2013</w:t>
      </w:r>
    </w:p>
    <w:p w14:paraId="55E368DD" w14:textId="77777777" w:rsidR="003B7ABA" w:rsidRDefault="003B7ABA" w:rsidP="0044504C">
      <w:pPr>
        <w:pStyle w:val="Normlnywebov"/>
        <w:spacing w:after="0"/>
        <w:jc w:val="both"/>
        <w:rPr>
          <w:rFonts w:ascii="Calibri" w:hAnsi="Calibri" w:cs="Calibri"/>
        </w:rPr>
      </w:pPr>
      <w:r>
        <w:rPr>
          <w:rFonts w:ascii="Calibri" w:hAnsi="Calibri" w:cs="Calibri"/>
        </w:rPr>
        <w:t xml:space="preserve">6. </w:t>
      </w:r>
      <w:r w:rsidR="0044504C" w:rsidRPr="00CC0D5A">
        <w:rPr>
          <w:rFonts w:ascii="Calibri" w:hAnsi="Calibri" w:cs="Calibri"/>
        </w:rPr>
        <w:t xml:space="preserve">Centrum odborného vzdelávania a prípravy pre oblasť osobných služieb pri SOŠ </w:t>
      </w:r>
      <w:proofErr w:type="spellStart"/>
      <w:r w:rsidR="0044504C" w:rsidRPr="00CC0D5A">
        <w:rPr>
          <w:rFonts w:ascii="Calibri" w:hAnsi="Calibri" w:cs="Calibri"/>
        </w:rPr>
        <w:t>beauty</w:t>
      </w:r>
      <w:proofErr w:type="spellEnd"/>
      <w:r w:rsidR="0044504C" w:rsidRPr="00CC0D5A">
        <w:rPr>
          <w:rFonts w:ascii="Calibri" w:hAnsi="Calibri" w:cs="Calibri"/>
        </w:rPr>
        <w:t xml:space="preserve"> služieb, Račianska 105, Bratislava od 01. 03. 2016</w:t>
      </w:r>
    </w:p>
    <w:p w14:paraId="3CD29944" w14:textId="77777777" w:rsidR="003B7ABA" w:rsidRDefault="003B7ABA" w:rsidP="0044504C">
      <w:pPr>
        <w:pStyle w:val="Normlnywebov"/>
        <w:spacing w:after="0"/>
        <w:jc w:val="both"/>
        <w:rPr>
          <w:rFonts w:ascii="Calibri" w:hAnsi="Calibri" w:cs="Calibri"/>
        </w:rPr>
      </w:pPr>
      <w:r>
        <w:rPr>
          <w:rFonts w:ascii="Calibri" w:hAnsi="Calibri" w:cs="Calibri"/>
        </w:rPr>
        <w:t xml:space="preserve">7. </w:t>
      </w:r>
      <w:r w:rsidR="0044504C" w:rsidRPr="00CC0D5A">
        <w:rPr>
          <w:rFonts w:ascii="Calibri" w:hAnsi="Calibri" w:cs="Calibri"/>
        </w:rPr>
        <w:t>Centrum odborného vzdelávania a prípravy pre oblasť obchodu a služieb s ním spojených pri SOŠ obchodu a služieb S. Jurkoviča, Sklenárova 1, Bratislava od 1. 9. 2016</w:t>
      </w:r>
    </w:p>
    <w:p w14:paraId="36CCC11E" w14:textId="2E939FD1" w:rsidR="0044504C" w:rsidRDefault="003B7ABA" w:rsidP="0044504C">
      <w:pPr>
        <w:pStyle w:val="Normlnywebov"/>
        <w:spacing w:after="0"/>
        <w:jc w:val="both"/>
        <w:rPr>
          <w:rFonts w:ascii="Calibri" w:hAnsi="Calibri" w:cs="Calibri"/>
        </w:rPr>
      </w:pPr>
      <w:r>
        <w:rPr>
          <w:rFonts w:ascii="Calibri" w:hAnsi="Calibri" w:cs="Calibri"/>
        </w:rPr>
        <w:lastRenderedPageBreak/>
        <w:t xml:space="preserve">8. </w:t>
      </w:r>
      <w:r w:rsidR="0044504C" w:rsidRPr="00CC0D5A">
        <w:rPr>
          <w:rFonts w:ascii="Calibri" w:hAnsi="Calibri" w:cs="Calibri"/>
        </w:rPr>
        <w:t xml:space="preserve">Centrum odborného vzdelávania a prípravy pre oblasť technickej a aplikovanej chémie pri SOŠ chemickej, Vlčie hrdlo 50, Bratislava od 1. 9. 2016. </w:t>
      </w:r>
    </w:p>
    <w:p w14:paraId="5CB11656" w14:textId="77777777" w:rsidR="0044504C" w:rsidRDefault="0044504C" w:rsidP="0044504C">
      <w:pPr>
        <w:pStyle w:val="Normlnywebov"/>
        <w:spacing w:after="0"/>
        <w:jc w:val="both"/>
        <w:rPr>
          <w:rFonts w:ascii="Calibri" w:hAnsi="Calibri" w:cs="Calibri"/>
        </w:rPr>
      </w:pPr>
    </w:p>
    <w:p w14:paraId="34CF196F" w14:textId="592ADEC5" w:rsidR="0044504C" w:rsidRDefault="0044504C" w:rsidP="0044504C">
      <w:pPr>
        <w:pStyle w:val="Normlnywebov"/>
        <w:spacing w:after="0"/>
        <w:jc w:val="both"/>
        <w:rPr>
          <w:rFonts w:ascii="Calibri" w:hAnsi="Calibri" w:cs="Calibri"/>
        </w:rPr>
      </w:pPr>
      <w:r w:rsidRPr="00CC0D5A">
        <w:rPr>
          <w:rFonts w:ascii="Calibri" w:hAnsi="Calibri" w:cs="Calibri"/>
        </w:rPr>
        <w:t xml:space="preserve">Na rozvoj existujúcich a vytváranie nových centier odborného vzdelávania a prípravy </w:t>
      </w:r>
      <w:r>
        <w:rPr>
          <w:rFonts w:ascii="Calibri" w:hAnsi="Calibri" w:cs="Calibri"/>
        </w:rPr>
        <w:t xml:space="preserve">boli do rozpočtu </w:t>
      </w:r>
      <w:r w:rsidRPr="00CC0D5A">
        <w:rPr>
          <w:rFonts w:ascii="Calibri" w:hAnsi="Calibri" w:cs="Calibri"/>
        </w:rPr>
        <w:t xml:space="preserve">zapracované finančné prostriedky v zmysle schváleného Akčného plánu BSK na roky 2014 - 2020 v Podprograme 3.3. Majetok - investície, údržba a v Podprograme 1.3. Územné plánovanie, GIS, ŽP, stratégia a riadenie projektov. Na zabezpečenie všetkých aktivít a činností v rámci programu Vzdelávanie financuje BSK nasledovné podprogramy: Školský úrad, Všeobecné vzdelávanie, Odborné vzdelávanie, Školské stravovanie, Školské ubytovanie, Voľno-časové aktivity, Neštátni zriaďovatelia ZUŠ a školských zariadení, Strediská odbornej praxe a Ostatné výdavky na školstvo. Výška rozpočtov je v podprograme Všeobecné vzdelávanie a Odborné vzdelávanie napočítaná v súlade s platnou legislatívou. </w:t>
      </w:r>
    </w:p>
    <w:p w14:paraId="38910ED2" w14:textId="77777777" w:rsidR="0044504C" w:rsidRDefault="0044504C" w:rsidP="0044504C">
      <w:pPr>
        <w:pStyle w:val="Normlnywebov"/>
        <w:spacing w:after="0"/>
        <w:jc w:val="both"/>
        <w:rPr>
          <w:rFonts w:ascii="Calibri" w:hAnsi="Calibri" w:cs="Calibri"/>
        </w:rPr>
      </w:pPr>
    </w:p>
    <w:p w14:paraId="080F9537" w14:textId="10B2DB3B" w:rsidR="0044504C" w:rsidRDefault="0044504C" w:rsidP="0044504C">
      <w:pPr>
        <w:pStyle w:val="Normlnywebov"/>
        <w:spacing w:after="0"/>
        <w:jc w:val="both"/>
        <w:rPr>
          <w:rFonts w:ascii="Calibri" w:hAnsi="Calibri" w:cs="Calibri"/>
        </w:rPr>
      </w:pPr>
      <w:r w:rsidRPr="00CC0D5A">
        <w:rPr>
          <w:rFonts w:ascii="Calibri" w:hAnsi="Calibri" w:cs="Calibri"/>
        </w:rPr>
        <w:t xml:space="preserve">V podprogramoch Školské stravovanie, Školské ubytovanie, Voľno-časové aktivity, Neštátni zriaďovatelia ZUŠ a školských zariadení a Strediská odbornej praxe sú rozpočty napočítané v zmysle aktuálneho všeobecne záväzného nariadenia, schváleného Zastupiteľstvom BSK.  Podprogram Ostatné výdavky na školstvo tvoria finančné prostriedky na prenesené a originálne kompetencie. Pri prenesených kompetenciách sa </w:t>
      </w:r>
      <w:r>
        <w:rPr>
          <w:rFonts w:ascii="Calibri" w:hAnsi="Calibri" w:cs="Calibri"/>
        </w:rPr>
        <w:t>čerpali</w:t>
      </w:r>
      <w:r w:rsidRPr="00CC0D5A">
        <w:rPr>
          <w:rFonts w:ascii="Calibri" w:hAnsi="Calibri" w:cs="Calibri"/>
        </w:rPr>
        <w:t xml:space="preserve"> ostatné výdavky na pokrytie</w:t>
      </w:r>
      <w:r>
        <w:rPr>
          <w:rFonts w:ascii="Calibri" w:hAnsi="Calibri" w:cs="Calibri"/>
        </w:rPr>
        <w:t xml:space="preserve"> nevyhnutných potrieb v súvislosti s novým počtom žiakov</w:t>
      </w:r>
      <w:r w:rsidRPr="00CC0D5A">
        <w:rPr>
          <w:rFonts w:ascii="Calibri" w:hAnsi="Calibri" w:cs="Calibri"/>
        </w:rPr>
        <w:t xml:space="preserve"> a originálne kompetencie zahŕň</w:t>
      </w:r>
      <w:r>
        <w:rPr>
          <w:rFonts w:ascii="Calibri" w:hAnsi="Calibri" w:cs="Calibri"/>
        </w:rPr>
        <w:t>ali</w:t>
      </w:r>
      <w:r w:rsidRPr="00CC0D5A">
        <w:rPr>
          <w:rFonts w:ascii="Calibri" w:hAnsi="Calibri" w:cs="Calibri"/>
        </w:rPr>
        <w:t xml:space="preserve"> finančné prostriedky, ktoré b</w:t>
      </w:r>
      <w:r>
        <w:rPr>
          <w:rFonts w:ascii="Calibri" w:hAnsi="Calibri" w:cs="Calibri"/>
        </w:rPr>
        <w:t>oli</w:t>
      </w:r>
      <w:r w:rsidRPr="00CC0D5A">
        <w:rPr>
          <w:rFonts w:ascii="Calibri" w:hAnsi="Calibri" w:cs="Calibri"/>
        </w:rPr>
        <w:t xml:space="preserve"> použité na financovanie školských súťaží, spolufinancovanie projektov, nákladov v</w:t>
      </w:r>
      <w:r>
        <w:rPr>
          <w:rFonts w:ascii="Calibri" w:hAnsi="Calibri" w:cs="Calibri"/>
        </w:rPr>
        <w:t> </w:t>
      </w:r>
      <w:r w:rsidRPr="00CC0D5A">
        <w:rPr>
          <w:rFonts w:ascii="Calibri" w:hAnsi="Calibri" w:cs="Calibri"/>
        </w:rPr>
        <w:t>súvislosti</w:t>
      </w:r>
      <w:r>
        <w:rPr>
          <w:rFonts w:ascii="Calibri" w:hAnsi="Calibri" w:cs="Calibri"/>
        </w:rPr>
        <w:t xml:space="preserve"> </w:t>
      </w:r>
      <w:r w:rsidRPr="00CC0D5A">
        <w:rPr>
          <w:rFonts w:ascii="Calibri" w:hAnsi="Calibri" w:cs="Calibri"/>
        </w:rPr>
        <w:t>s optimalizáciou siete škôl a školských zariadení, výročia škôl, dane z nehnuteľností, nových výkonov, vybavenia škôl a</w:t>
      </w:r>
      <w:r>
        <w:rPr>
          <w:rFonts w:ascii="Calibri" w:hAnsi="Calibri" w:cs="Calibri"/>
        </w:rPr>
        <w:t> </w:t>
      </w:r>
      <w:r w:rsidRPr="00CC0D5A">
        <w:rPr>
          <w:rFonts w:ascii="Calibri" w:hAnsi="Calibri" w:cs="Calibri"/>
        </w:rPr>
        <w:t>školských</w:t>
      </w:r>
      <w:r>
        <w:rPr>
          <w:rFonts w:ascii="Calibri" w:hAnsi="Calibri" w:cs="Calibri"/>
        </w:rPr>
        <w:t xml:space="preserve"> </w:t>
      </w:r>
      <w:r w:rsidRPr="00CC0D5A">
        <w:rPr>
          <w:rFonts w:ascii="Calibri" w:hAnsi="Calibri" w:cs="Calibri"/>
        </w:rPr>
        <w:t>zariadení, novo</w:t>
      </w:r>
      <w:r>
        <w:rPr>
          <w:rFonts w:ascii="Calibri" w:hAnsi="Calibri" w:cs="Calibri"/>
        </w:rPr>
        <w:t xml:space="preserve"> </w:t>
      </w:r>
      <w:r w:rsidRPr="00CC0D5A">
        <w:rPr>
          <w:rFonts w:ascii="Calibri" w:hAnsi="Calibri" w:cs="Calibri"/>
        </w:rPr>
        <w:t xml:space="preserve">zaradených neštátnych škôl a školských zariadení v zmysle platného všeobecne záväzného nariadenia a iné aktivity škôl. Súčasťou Ostatných výdavkov na originálne kompetencie </w:t>
      </w:r>
      <w:r>
        <w:rPr>
          <w:rFonts w:ascii="Calibri" w:hAnsi="Calibri" w:cs="Calibri"/>
        </w:rPr>
        <w:t>bolo</w:t>
      </w:r>
      <w:r w:rsidRPr="00CC0D5A">
        <w:rPr>
          <w:rFonts w:ascii="Calibri" w:hAnsi="Calibri" w:cs="Calibri"/>
        </w:rPr>
        <w:t xml:space="preserve"> plnenie ďalšej priority BSK v oblasti vzdelávania, a to uplatňovanie motivačného systému odmeňovania pedagogických a nepedagogických zamestnancov.</w:t>
      </w:r>
    </w:p>
    <w:p w14:paraId="0104B200" w14:textId="77777777" w:rsidR="0044504C" w:rsidRDefault="0044504C" w:rsidP="0044504C">
      <w:pPr>
        <w:pStyle w:val="Normlnywebov"/>
        <w:spacing w:after="0"/>
        <w:jc w:val="both"/>
        <w:rPr>
          <w:rFonts w:asciiTheme="minorHAnsi" w:hAnsiTheme="minorHAnsi" w:cstheme="minorHAnsi"/>
        </w:rPr>
      </w:pPr>
    </w:p>
    <w:p w14:paraId="12D30541" w14:textId="46487021" w:rsidR="0044504C" w:rsidRPr="005B4F30" w:rsidRDefault="0044504C" w:rsidP="005B4F30">
      <w:pPr>
        <w:pStyle w:val="Normlnywebov"/>
        <w:spacing w:after="0"/>
        <w:jc w:val="both"/>
        <w:rPr>
          <w:rFonts w:ascii="Calibri" w:hAnsi="Calibri" w:cs="Calibri"/>
        </w:rPr>
      </w:pPr>
      <w:r>
        <w:rPr>
          <w:rFonts w:asciiTheme="minorHAnsi" w:hAnsiTheme="minorHAnsi" w:cstheme="minorHAnsi"/>
        </w:rPr>
        <w:t>V schválenom rozpočte na rok 2020 mali školy započítané normatívne aj nenormatívne finančné prostriedky, čo je zaznamenané v tomto materiáli pri jednotlivých prvkoch. Zmeny rozpočtu predstavujú rozdiel k rozpočtovaným finančným prostriedkom v schválenom rozpočte (napr. nenormatívne finančné prostriedky na odchodné do dôchodku, vzdelávacie poukazy, lyžiarske kurzy a pod.).</w:t>
      </w:r>
    </w:p>
    <w:p w14:paraId="0B69DEF3" w14:textId="3CA41939" w:rsidR="0044504C" w:rsidRDefault="0044504C" w:rsidP="0044504C">
      <w:pPr>
        <w:pStyle w:val="Nadpis3"/>
        <w:rPr>
          <w:rFonts w:ascii="Calibri" w:hAnsi="Calibri" w:cs="Calibri"/>
          <w:color w:val="4F6228"/>
        </w:rPr>
      </w:pPr>
      <w:r w:rsidRPr="00CC0D5A">
        <w:rPr>
          <w:rFonts w:ascii="Calibri" w:hAnsi="Calibri" w:cs="Calibri"/>
          <w:color w:val="4F6228"/>
        </w:rPr>
        <w:t>Podprogram 8.1: Školský úrad</w:t>
      </w:r>
    </w:p>
    <w:p w14:paraId="6098DBC8"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Koncepčný a metodicky riadený výchovno-vzdelávací systém v sieti škôl a školských zariadení</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6"/>
        <w:gridCol w:w="2735"/>
        <w:gridCol w:w="1215"/>
        <w:gridCol w:w="1212"/>
        <w:gridCol w:w="1212"/>
        <w:gridCol w:w="1212"/>
        <w:gridCol w:w="2274"/>
      </w:tblGrid>
      <w:tr w:rsidR="00B73FDB" w:rsidRPr="00B73FDB" w14:paraId="2CB21B5A" w14:textId="77777777" w:rsidTr="00B73FDB">
        <w:trPr>
          <w:tblCellSpacing w:w="15" w:type="dxa"/>
        </w:trPr>
        <w:tc>
          <w:tcPr>
            <w:tcW w:w="267" w:type="pct"/>
            <w:shd w:val="clear" w:color="auto" w:fill="C6DBF7"/>
            <w:vAlign w:val="center"/>
            <w:hideMark/>
          </w:tcPr>
          <w:p w14:paraId="6334692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6CB2499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0EBF0D7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52734F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2CCAAFE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76CA8DE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63" w:type="pct"/>
            <w:shd w:val="clear" w:color="auto" w:fill="C6DBF7"/>
            <w:vAlign w:val="center"/>
            <w:hideMark/>
          </w:tcPr>
          <w:p w14:paraId="53B39D9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F849539" w14:textId="77777777" w:rsidTr="00B73FDB">
        <w:trPr>
          <w:tblCellSpacing w:w="15" w:type="dxa"/>
        </w:trPr>
        <w:tc>
          <w:tcPr>
            <w:tcW w:w="267" w:type="pct"/>
            <w:shd w:val="clear" w:color="auto" w:fill="D9D9D9"/>
            <w:noWrap/>
            <w:vAlign w:val="center"/>
            <w:hideMark/>
          </w:tcPr>
          <w:p w14:paraId="47D00F95"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13F2905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5B97F87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43 018,00</w:t>
            </w:r>
            <w:r w:rsidRPr="00B73FDB">
              <w:rPr>
                <w:rFonts w:cs="Calibri"/>
                <w:sz w:val="18"/>
                <w:szCs w:val="18"/>
                <w:lang w:eastAsia="sk-SK"/>
              </w:rPr>
              <w:t xml:space="preserve"> </w:t>
            </w:r>
          </w:p>
        </w:tc>
        <w:tc>
          <w:tcPr>
            <w:tcW w:w="564" w:type="pct"/>
            <w:shd w:val="clear" w:color="auto" w:fill="D9D9D9"/>
            <w:noWrap/>
            <w:vAlign w:val="center"/>
            <w:hideMark/>
          </w:tcPr>
          <w:p w14:paraId="702433D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42 772,00</w:t>
            </w:r>
            <w:r w:rsidRPr="00B73FDB">
              <w:rPr>
                <w:rFonts w:cs="Calibri"/>
                <w:sz w:val="18"/>
                <w:szCs w:val="18"/>
                <w:lang w:eastAsia="sk-SK"/>
              </w:rPr>
              <w:t xml:space="preserve"> </w:t>
            </w:r>
          </w:p>
        </w:tc>
        <w:tc>
          <w:tcPr>
            <w:tcW w:w="564" w:type="pct"/>
            <w:shd w:val="clear" w:color="auto" w:fill="D9D9D9"/>
            <w:noWrap/>
            <w:vAlign w:val="center"/>
            <w:hideMark/>
          </w:tcPr>
          <w:p w14:paraId="37E6936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42 772,00</w:t>
            </w:r>
            <w:r w:rsidRPr="00B73FDB">
              <w:rPr>
                <w:rFonts w:cs="Calibri"/>
                <w:sz w:val="18"/>
                <w:szCs w:val="18"/>
                <w:lang w:eastAsia="sk-SK"/>
              </w:rPr>
              <w:t xml:space="preserve"> </w:t>
            </w:r>
          </w:p>
        </w:tc>
        <w:tc>
          <w:tcPr>
            <w:tcW w:w="564" w:type="pct"/>
            <w:shd w:val="clear" w:color="auto" w:fill="D9D9D9"/>
            <w:noWrap/>
            <w:vAlign w:val="center"/>
            <w:hideMark/>
          </w:tcPr>
          <w:p w14:paraId="23B2BD6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063" w:type="pct"/>
            <w:vMerge w:val="restart"/>
            <w:shd w:val="clear" w:color="auto" w:fill="D9D9D9"/>
            <w:hideMark/>
          </w:tcPr>
          <w:p w14:paraId="1B18D51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-3 506,00 EUR</w:t>
            </w:r>
            <w:r w:rsidRPr="00B73FDB">
              <w:rPr>
                <w:rFonts w:cs="Calibri"/>
                <w:sz w:val="18"/>
                <w:szCs w:val="18"/>
                <w:lang w:eastAsia="sk-SK"/>
              </w:rPr>
              <w:t xml:space="preserve"> rozpis štátneho rozpočtu,</w:t>
            </w:r>
          </w:p>
          <w:p w14:paraId="22B471F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+3 260,00 EUR</w:t>
            </w:r>
            <w:r w:rsidRPr="00B73FDB">
              <w:rPr>
                <w:rFonts w:cs="Calibri"/>
                <w:sz w:val="18"/>
                <w:szCs w:val="18"/>
                <w:lang w:eastAsia="sk-SK"/>
              </w:rPr>
              <w:t xml:space="preserve"> dopočet rozpočtu.</w:t>
            </w:r>
          </w:p>
        </w:tc>
      </w:tr>
      <w:tr w:rsidR="00B73FDB" w:rsidRPr="00B73FDB" w14:paraId="1714AE8C" w14:textId="77777777" w:rsidTr="00B73FDB">
        <w:trPr>
          <w:tblCellSpacing w:w="15" w:type="dxa"/>
        </w:trPr>
        <w:tc>
          <w:tcPr>
            <w:tcW w:w="267" w:type="pct"/>
            <w:shd w:val="clear" w:color="auto" w:fill="D9D9D9"/>
            <w:noWrap/>
            <w:vAlign w:val="center"/>
            <w:hideMark/>
          </w:tcPr>
          <w:p w14:paraId="1C5DA80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5003621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2CD7E95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43 018,00</w:t>
            </w:r>
            <w:r w:rsidRPr="00B73FDB">
              <w:rPr>
                <w:rFonts w:cs="Calibri"/>
                <w:sz w:val="18"/>
                <w:szCs w:val="18"/>
                <w:lang w:eastAsia="sk-SK"/>
              </w:rPr>
              <w:t xml:space="preserve"> </w:t>
            </w:r>
          </w:p>
        </w:tc>
        <w:tc>
          <w:tcPr>
            <w:tcW w:w="564" w:type="pct"/>
            <w:shd w:val="clear" w:color="auto" w:fill="D9D9D9"/>
            <w:noWrap/>
            <w:vAlign w:val="center"/>
            <w:hideMark/>
          </w:tcPr>
          <w:p w14:paraId="7220BE7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42 772,00</w:t>
            </w:r>
            <w:r w:rsidRPr="00B73FDB">
              <w:rPr>
                <w:rFonts w:cs="Calibri"/>
                <w:sz w:val="18"/>
                <w:szCs w:val="18"/>
                <w:lang w:eastAsia="sk-SK"/>
              </w:rPr>
              <w:t xml:space="preserve"> </w:t>
            </w:r>
          </w:p>
        </w:tc>
        <w:tc>
          <w:tcPr>
            <w:tcW w:w="564" w:type="pct"/>
            <w:shd w:val="clear" w:color="auto" w:fill="D9D9D9"/>
            <w:noWrap/>
            <w:vAlign w:val="center"/>
            <w:hideMark/>
          </w:tcPr>
          <w:p w14:paraId="6D38F7E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42 772,00</w:t>
            </w:r>
            <w:r w:rsidRPr="00B73FDB">
              <w:rPr>
                <w:rFonts w:cs="Calibri"/>
                <w:sz w:val="18"/>
                <w:szCs w:val="18"/>
                <w:lang w:eastAsia="sk-SK"/>
              </w:rPr>
              <w:t xml:space="preserve"> </w:t>
            </w:r>
          </w:p>
        </w:tc>
        <w:tc>
          <w:tcPr>
            <w:tcW w:w="564" w:type="pct"/>
            <w:shd w:val="clear" w:color="auto" w:fill="D9D9D9"/>
            <w:noWrap/>
            <w:vAlign w:val="center"/>
            <w:hideMark/>
          </w:tcPr>
          <w:p w14:paraId="3D8C77F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063" w:type="pct"/>
            <w:vMerge/>
            <w:shd w:val="clear" w:color="auto" w:fill="D9D9D9"/>
            <w:vAlign w:val="center"/>
            <w:hideMark/>
          </w:tcPr>
          <w:p w14:paraId="50E25CF3" w14:textId="77777777" w:rsidR="00B73FDB" w:rsidRPr="00B73FDB" w:rsidRDefault="00B73FDB" w:rsidP="00B73FDB">
            <w:pPr>
              <w:spacing w:after="0" w:line="240" w:lineRule="auto"/>
              <w:rPr>
                <w:rFonts w:cs="Calibri"/>
                <w:sz w:val="18"/>
                <w:szCs w:val="18"/>
                <w:lang w:eastAsia="sk-SK"/>
              </w:rPr>
            </w:pPr>
          </w:p>
        </w:tc>
      </w:tr>
      <w:tr w:rsidR="00B73FDB" w:rsidRPr="00B73FDB" w14:paraId="4375FD8A" w14:textId="77777777" w:rsidTr="00B73FDB">
        <w:trPr>
          <w:tblCellSpacing w:w="15" w:type="dxa"/>
        </w:trPr>
        <w:tc>
          <w:tcPr>
            <w:tcW w:w="267" w:type="pct"/>
            <w:shd w:val="clear" w:color="auto" w:fill="EFEFEF"/>
            <w:noWrap/>
            <w:vAlign w:val="center"/>
            <w:hideMark/>
          </w:tcPr>
          <w:p w14:paraId="0F78E34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2BB44AB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3EA387E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26 331,00 </w:t>
            </w:r>
          </w:p>
        </w:tc>
        <w:tc>
          <w:tcPr>
            <w:tcW w:w="564" w:type="pct"/>
            <w:shd w:val="clear" w:color="auto" w:fill="EFEFEF"/>
            <w:noWrap/>
            <w:vAlign w:val="center"/>
            <w:hideMark/>
          </w:tcPr>
          <w:p w14:paraId="22A27E7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32 515,08 </w:t>
            </w:r>
          </w:p>
        </w:tc>
        <w:tc>
          <w:tcPr>
            <w:tcW w:w="564" w:type="pct"/>
            <w:shd w:val="clear" w:color="auto" w:fill="EFEFEF"/>
            <w:noWrap/>
            <w:vAlign w:val="center"/>
            <w:hideMark/>
          </w:tcPr>
          <w:p w14:paraId="4ED98BB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32 515,08 </w:t>
            </w:r>
          </w:p>
        </w:tc>
        <w:tc>
          <w:tcPr>
            <w:tcW w:w="564" w:type="pct"/>
            <w:shd w:val="clear" w:color="auto" w:fill="EFEFEF"/>
            <w:noWrap/>
            <w:vAlign w:val="center"/>
            <w:hideMark/>
          </w:tcPr>
          <w:p w14:paraId="0AD2D7E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3" w:type="pct"/>
            <w:vMerge/>
            <w:shd w:val="clear" w:color="auto" w:fill="EFEFEF"/>
            <w:vAlign w:val="center"/>
            <w:hideMark/>
          </w:tcPr>
          <w:p w14:paraId="55B2B27B" w14:textId="77777777" w:rsidR="00B73FDB" w:rsidRPr="00B73FDB" w:rsidRDefault="00B73FDB" w:rsidP="00B73FDB">
            <w:pPr>
              <w:spacing w:after="0" w:line="240" w:lineRule="auto"/>
              <w:rPr>
                <w:rFonts w:cs="Calibri"/>
                <w:sz w:val="18"/>
                <w:szCs w:val="18"/>
                <w:lang w:eastAsia="sk-SK"/>
              </w:rPr>
            </w:pPr>
          </w:p>
        </w:tc>
      </w:tr>
      <w:tr w:rsidR="00B73FDB" w:rsidRPr="00B73FDB" w14:paraId="67C74EFA" w14:textId="77777777" w:rsidTr="00B73FDB">
        <w:trPr>
          <w:tblCellSpacing w:w="15" w:type="dxa"/>
        </w:trPr>
        <w:tc>
          <w:tcPr>
            <w:tcW w:w="267" w:type="pct"/>
            <w:shd w:val="clear" w:color="auto" w:fill="EFEFEF"/>
            <w:noWrap/>
            <w:vAlign w:val="center"/>
            <w:hideMark/>
          </w:tcPr>
          <w:p w14:paraId="208C5D5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43E5B40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5E37B60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10 115,00 </w:t>
            </w:r>
          </w:p>
        </w:tc>
        <w:tc>
          <w:tcPr>
            <w:tcW w:w="564" w:type="pct"/>
            <w:shd w:val="clear" w:color="auto" w:fill="EFEFEF"/>
            <w:noWrap/>
            <w:vAlign w:val="center"/>
            <w:hideMark/>
          </w:tcPr>
          <w:p w14:paraId="1A4EE35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9 090,24 </w:t>
            </w:r>
          </w:p>
        </w:tc>
        <w:tc>
          <w:tcPr>
            <w:tcW w:w="564" w:type="pct"/>
            <w:shd w:val="clear" w:color="auto" w:fill="EFEFEF"/>
            <w:noWrap/>
            <w:vAlign w:val="center"/>
            <w:hideMark/>
          </w:tcPr>
          <w:p w14:paraId="5F744E4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9 090,24 </w:t>
            </w:r>
          </w:p>
        </w:tc>
        <w:tc>
          <w:tcPr>
            <w:tcW w:w="564" w:type="pct"/>
            <w:shd w:val="clear" w:color="auto" w:fill="EFEFEF"/>
            <w:noWrap/>
            <w:vAlign w:val="center"/>
            <w:hideMark/>
          </w:tcPr>
          <w:p w14:paraId="0BECEE0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3" w:type="pct"/>
            <w:vMerge/>
            <w:shd w:val="clear" w:color="auto" w:fill="EFEFEF"/>
            <w:vAlign w:val="center"/>
            <w:hideMark/>
          </w:tcPr>
          <w:p w14:paraId="1B74B819" w14:textId="77777777" w:rsidR="00B73FDB" w:rsidRPr="00B73FDB" w:rsidRDefault="00B73FDB" w:rsidP="00B73FDB">
            <w:pPr>
              <w:spacing w:after="0" w:line="240" w:lineRule="auto"/>
              <w:rPr>
                <w:rFonts w:cs="Calibri"/>
                <w:sz w:val="18"/>
                <w:szCs w:val="18"/>
                <w:lang w:eastAsia="sk-SK"/>
              </w:rPr>
            </w:pPr>
          </w:p>
        </w:tc>
      </w:tr>
      <w:tr w:rsidR="00B73FDB" w:rsidRPr="00B73FDB" w14:paraId="3A07A694" w14:textId="77777777" w:rsidTr="00B73FDB">
        <w:trPr>
          <w:tblCellSpacing w:w="15" w:type="dxa"/>
        </w:trPr>
        <w:tc>
          <w:tcPr>
            <w:tcW w:w="267" w:type="pct"/>
            <w:shd w:val="clear" w:color="auto" w:fill="EFEFEF"/>
            <w:noWrap/>
            <w:vAlign w:val="center"/>
            <w:hideMark/>
          </w:tcPr>
          <w:p w14:paraId="642DB9F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494511B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79C4E45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6 572,00 </w:t>
            </w:r>
          </w:p>
        </w:tc>
        <w:tc>
          <w:tcPr>
            <w:tcW w:w="564" w:type="pct"/>
            <w:shd w:val="clear" w:color="auto" w:fill="EFEFEF"/>
            <w:noWrap/>
            <w:vAlign w:val="center"/>
            <w:hideMark/>
          </w:tcPr>
          <w:p w14:paraId="1179593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200,85 </w:t>
            </w:r>
          </w:p>
        </w:tc>
        <w:tc>
          <w:tcPr>
            <w:tcW w:w="564" w:type="pct"/>
            <w:shd w:val="clear" w:color="auto" w:fill="EFEFEF"/>
            <w:noWrap/>
            <w:vAlign w:val="center"/>
            <w:hideMark/>
          </w:tcPr>
          <w:p w14:paraId="77606B0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200,85 </w:t>
            </w:r>
          </w:p>
        </w:tc>
        <w:tc>
          <w:tcPr>
            <w:tcW w:w="564" w:type="pct"/>
            <w:shd w:val="clear" w:color="auto" w:fill="EFEFEF"/>
            <w:noWrap/>
            <w:vAlign w:val="center"/>
            <w:hideMark/>
          </w:tcPr>
          <w:p w14:paraId="48F689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3" w:type="pct"/>
            <w:vMerge/>
            <w:shd w:val="clear" w:color="auto" w:fill="EFEFEF"/>
            <w:vAlign w:val="center"/>
            <w:hideMark/>
          </w:tcPr>
          <w:p w14:paraId="34F51A88" w14:textId="77777777" w:rsidR="00B73FDB" w:rsidRPr="00B73FDB" w:rsidRDefault="00B73FDB" w:rsidP="00B73FDB">
            <w:pPr>
              <w:spacing w:after="0" w:line="240" w:lineRule="auto"/>
              <w:rPr>
                <w:rFonts w:cs="Calibri"/>
                <w:sz w:val="18"/>
                <w:szCs w:val="18"/>
                <w:lang w:eastAsia="sk-SK"/>
              </w:rPr>
            </w:pPr>
          </w:p>
        </w:tc>
      </w:tr>
      <w:tr w:rsidR="00B73FDB" w:rsidRPr="00B73FDB" w14:paraId="38ED66EE" w14:textId="77777777" w:rsidTr="00B73FDB">
        <w:trPr>
          <w:tblCellSpacing w:w="15" w:type="dxa"/>
        </w:trPr>
        <w:tc>
          <w:tcPr>
            <w:tcW w:w="267" w:type="pct"/>
            <w:shd w:val="clear" w:color="auto" w:fill="EFEFEF"/>
            <w:noWrap/>
            <w:vAlign w:val="center"/>
            <w:hideMark/>
          </w:tcPr>
          <w:p w14:paraId="528E471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3749461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1111F3C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78C238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965,83 </w:t>
            </w:r>
          </w:p>
        </w:tc>
        <w:tc>
          <w:tcPr>
            <w:tcW w:w="564" w:type="pct"/>
            <w:shd w:val="clear" w:color="auto" w:fill="EFEFEF"/>
            <w:noWrap/>
            <w:vAlign w:val="center"/>
            <w:hideMark/>
          </w:tcPr>
          <w:p w14:paraId="4DF659A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965,83 </w:t>
            </w:r>
          </w:p>
        </w:tc>
        <w:tc>
          <w:tcPr>
            <w:tcW w:w="564" w:type="pct"/>
            <w:shd w:val="clear" w:color="auto" w:fill="EFEFEF"/>
            <w:noWrap/>
            <w:vAlign w:val="center"/>
            <w:hideMark/>
          </w:tcPr>
          <w:p w14:paraId="7EDA55B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3" w:type="pct"/>
            <w:vMerge/>
            <w:shd w:val="clear" w:color="auto" w:fill="EFEFEF"/>
            <w:vAlign w:val="center"/>
            <w:hideMark/>
          </w:tcPr>
          <w:p w14:paraId="1917964A" w14:textId="77777777" w:rsidR="00B73FDB" w:rsidRPr="00B73FDB" w:rsidRDefault="00B73FDB" w:rsidP="00B73FDB">
            <w:pPr>
              <w:spacing w:after="0" w:line="240" w:lineRule="auto"/>
              <w:rPr>
                <w:rFonts w:cs="Calibri"/>
                <w:sz w:val="18"/>
                <w:szCs w:val="18"/>
                <w:lang w:eastAsia="sk-SK"/>
              </w:rPr>
            </w:pPr>
          </w:p>
        </w:tc>
      </w:tr>
    </w:tbl>
    <w:p w14:paraId="06928E55"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44"/>
        <w:gridCol w:w="621"/>
        <w:gridCol w:w="1465"/>
        <w:gridCol w:w="1377"/>
        <w:gridCol w:w="4159"/>
      </w:tblGrid>
      <w:tr w:rsidR="00B73FDB" w:rsidRPr="00B73FDB" w14:paraId="7C00A45B" w14:textId="77777777" w:rsidTr="00B73FDB">
        <w:trPr>
          <w:tblCellSpacing w:w="15" w:type="dxa"/>
        </w:trPr>
        <w:tc>
          <w:tcPr>
            <w:tcW w:w="0" w:type="auto"/>
            <w:shd w:val="clear" w:color="auto" w:fill="C2D69B"/>
            <w:vAlign w:val="center"/>
            <w:hideMark/>
          </w:tcPr>
          <w:p w14:paraId="3F6B0C8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8CB582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Odbor školstva, mládeže a športu </w:t>
            </w:r>
          </w:p>
        </w:tc>
      </w:tr>
      <w:tr w:rsidR="00B73FDB" w:rsidRPr="00B73FDB" w14:paraId="49BCD952" w14:textId="77777777" w:rsidTr="00B73FDB">
        <w:trPr>
          <w:tblCellSpacing w:w="15" w:type="dxa"/>
        </w:trPr>
        <w:tc>
          <w:tcPr>
            <w:tcW w:w="0" w:type="auto"/>
            <w:shd w:val="clear" w:color="auto" w:fill="C2D69B"/>
            <w:vAlign w:val="center"/>
            <w:hideMark/>
          </w:tcPr>
          <w:p w14:paraId="3FAE240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16A8186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organizačné riadenie škôl a školských zariadení </w:t>
            </w:r>
          </w:p>
        </w:tc>
      </w:tr>
      <w:tr w:rsidR="00B73FDB" w:rsidRPr="00B73FDB" w14:paraId="335CD5D1" w14:textId="77777777" w:rsidTr="00B73FDB">
        <w:trPr>
          <w:tblCellSpacing w:w="15" w:type="dxa"/>
        </w:trPr>
        <w:tc>
          <w:tcPr>
            <w:tcW w:w="0" w:type="auto"/>
            <w:shd w:val="clear" w:color="auto" w:fill="C2D69B"/>
            <w:vAlign w:val="center"/>
            <w:hideMark/>
          </w:tcPr>
          <w:p w14:paraId="6CE9F79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6CBCBF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realizovaných seminárov a školení spolu za rok </w:t>
            </w:r>
          </w:p>
        </w:tc>
      </w:tr>
      <w:tr w:rsidR="00B73FDB" w:rsidRPr="00B73FDB" w14:paraId="70DF4860" w14:textId="77777777" w:rsidTr="00B73FDB">
        <w:trPr>
          <w:tblCellSpacing w:w="15" w:type="dxa"/>
        </w:trPr>
        <w:tc>
          <w:tcPr>
            <w:tcW w:w="0" w:type="auto"/>
            <w:shd w:val="clear" w:color="auto" w:fill="C2D69B"/>
            <w:vAlign w:val="center"/>
            <w:hideMark/>
          </w:tcPr>
          <w:p w14:paraId="0B837BE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E3549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D63B55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5319DC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B7FCCC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02CC965" w14:textId="77777777" w:rsidTr="00B73FDB">
        <w:trPr>
          <w:tblCellSpacing w:w="15" w:type="dxa"/>
        </w:trPr>
        <w:tc>
          <w:tcPr>
            <w:tcW w:w="0" w:type="auto"/>
            <w:shd w:val="clear" w:color="auto" w:fill="C2D69B"/>
            <w:vAlign w:val="center"/>
            <w:hideMark/>
          </w:tcPr>
          <w:p w14:paraId="40E88EA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4B649C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 </w:t>
            </w:r>
          </w:p>
        </w:tc>
        <w:tc>
          <w:tcPr>
            <w:tcW w:w="0" w:type="auto"/>
            <w:shd w:val="clear" w:color="auto" w:fill="C2D69B"/>
            <w:noWrap/>
            <w:vAlign w:val="center"/>
            <w:hideMark/>
          </w:tcPr>
          <w:p w14:paraId="503A3E3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0 </w:t>
            </w:r>
          </w:p>
        </w:tc>
        <w:tc>
          <w:tcPr>
            <w:tcW w:w="0" w:type="auto"/>
            <w:shd w:val="clear" w:color="auto" w:fill="C2D69B"/>
            <w:vAlign w:val="center"/>
            <w:hideMark/>
          </w:tcPr>
          <w:p w14:paraId="6571069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3C1797F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Úloha nesplnená z dôvodu pandémie covid-19. </w:t>
            </w:r>
          </w:p>
        </w:tc>
      </w:tr>
      <w:tr w:rsidR="00B73FDB" w:rsidRPr="00B73FDB" w14:paraId="18179EF7" w14:textId="77777777" w:rsidTr="00B73FDB">
        <w:trPr>
          <w:tblCellSpacing w:w="15" w:type="dxa"/>
        </w:trPr>
        <w:tc>
          <w:tcPr>
            <w:tcW w:w="0" w:type="auto"/>
            <w:shd w:val="clear" w:color="auto" w:fill="C2D69B"/>
            <w:vAlign w:val="center"/>
            <w:hideMark/>
          </w:tcPr>
          <w:p w14:paraId="0137278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BF3EEA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pracovných porád s riaditeľmi škôl a školských zariadení spolu za rok </w:t>
            </w:r>
          </w:p>
        </w:tc>
      </w:tr>
      <w:tr w:rsidR="00B73FDB" w:rsidRPr="00B73FDB" w14:paraId="366DED23" w14:textId="77777777" w:rsidTr="00B73FDB">
        <w:trPr>
          <w:tblCellSpacing w:w="15" w:type="dxa"/>
        </w:trPr>
        <w:tc>
          <w:tcPr>
            <w:tcW w:w="0" w:type="auto"/>
            <w:shd w:val="clear" w:color="auto" w:fill="C2D69B"/>
            <w:vAlign w:val="center"/>
            <w:hideMark/>
          </w:tcPr>
          <w:p w14:paraId="5D3A394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DB53B6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CB5B97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299B1A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D41F55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2CC094C" w14:textId="77777777" w:rsidTr="00B73FDB">
        <w:trPr>
          <w:tblCellSpacing w:w="15" w:type="dxa"/>
        </w:trPr>
        <w:tc>
          <w:tcPr>
            <w:tcW w:w="0" w:type="auto"/>
            <w:shd w:val="clear" w:color="auto" w:fill="C2D69B"/>
            <w:vAlign w:val="center"/>
            <w:hideMark/>
          </w:tcPr>
          <w:p w14:paraId="322F2C1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6BB0FB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 </w:t>
            </w:r>
          </w:p>
        </w:tc>
        <w:tc>
          <w:tcPr>
            <w:tcW w:w="0" w:type="auto"/>
            <w:shd w:val="clear" w:color="auto" w:fill="C2D69B"/>
            <w:noWrap/>
            <w:vAlign w:val="center"/>
            <w:hideMark/>
          </w:tcPr>
          <w:p w14:paraId="6156195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 </w:t>
            </w:r>
          </w:p>
        </w:tc>
        <w:tc>
          <w:tcPr>
            <w:tcW w:w="0" w:type="auto"/>
            <w:shd w:val="clear" w:color="auto" w:fill="C2D69B"/>
            <w:vAlign w:val="center"/>
            <w:hideMark/>
          </w:tcPr>
          <w:p w14:paraId="3F17449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7AAE7BB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Úloha nesplnená z dôvodu pandémie covid-19. </w:t>
            </w:r>
          </w:p>
        </w:tc>
      </w:tr>
    </w:tbl>
    <w:p w14:paraId="3DCDA476" w14:textId="152B26AD" w:rsidR="00B73FDB" w:rsidRDefault="00B73FDB" w:rsidP="0044504C">
      <w:pPr>
        <w:pStyle w:val="Nadpis3"/>
        <w:rPr>
          <w:rFonts w:ascii="Calibri" w:hAnsi="Calibri" w:cs="Calibri"/>
          <w:color w:val="4F6228"/>
        </w:rPr>
      </w:pPr>
    </w:p>
    <w:p w14:paraId="5075BDC1" w14:textId="77777777" w:rsidR="0044504C" w:rsidRPr="0086626B" w:rsidRDefault="0044504C" w:rsidP="0044504C">
      <w:pPr>
        <w:pStyle w:val="Normlnywebov"/>
        <w:spacing w:after="0"/>
        <w:rPr>
          <w:rFonts w:ascii="Calibri" w:hAnsi="Calibri" w:cs="Calibri"/>
          <w:vanish/>
          <w:sz w:val="18"/>
          <w:szCs w:val="18"/>
        </w:rPr>
      </w:pPr>
    </w:p>
    <w:p w14:paraId="098E7DE8" w14:textId="77777777" w:rsidR="0044504C" w:rsidRPr="00393AE2" w:rsidRDefault="0044504C" w:rsidP="0044504C">
      <w:pPr>
        <w:pStyle w:val="Normlnywebov"/>
        <w:jc w:val="both"/>
        <w:rPr>
          <w:rFonts w:ascii="Calibri" w:hAnsi="Calibri" w:cs="Calibri"/>
        </w:rPr>
      </w:pPr>
      <w:r w:rsidRPr="00393AE2">
        <w:rPr>
          <w:rFonts w:ascii="Calibri" w:hAnsi="Calibri" w:cs="Calibri"/>
          <w:b/>
          <w:bCs/>
        </w:rPr>
        <w:t xml:space="preserve">Komentár: </w:t>
      </w:r>
      <w:r w:rsidRPr="00393AE2">
        <w:rPr>
          <w:rFonts w:ascii="Calibri" w:hAnsi="Calibri" w:cs="Calibri"/>
        </w:rPr>
        <w:t>Úlohou školského úradu je vytvárať koncepčné predpoklady pre vývoj škôl a školských zariadení v rámci kraja a realizovať úlohy vyplývajúce z preneseného výkonu štátnej správy v školstve. Nástrojmi, akými sa tento cieľ dosahuje, sú realizované semináre, školenia a pracovné porady s</w:t>
      </w:r>
      <w:r>
        <w:rPr>
          <w:rFonts w:ascii="Calibri" w:hAnsi="Calibri" w:cs="Calibri"/>
        </w:rPr>
        <w:t> </w:t>
      </w:r>
      <w:r w:rsidRPr="00393AE2">
        <w:rPr>
          <w:rFonts w:ascii="Calibri" w:hAnsi="Calibri" w:cs="Calibri"/>
        </w:rPr>
        <w:t>riaditeľmi</w:t>
      </w:r>
      <w:r>
        <w:rPr>
          <w:rFonts w:ascii="Calibri" w:hAnsi="Calibri" w:cs="Calibri"/>
        </w:rPr>
        <w:t xml:space="preserve"> </w:t>
      </w:r>
      <w:r w:rsidRPr="00393AE2">
        <w:rPr>
          <w:rFonts w:ascii="Calibri" w:hAnsi="Calibri" w:cs="Calibri"/>
        </w:rPr>
        <w:t>škôl a školských zariadení, zamerané na metodické usmerňovanie škôl a školských zariadení. V roku 2020 boli semináre, školenia a porady s riaditeľmi škôl a školských zariadení realizované v nižšom počte z dôvodu pandémie covid-19.</w:t>
      </w:r>
    </w:p>
    <w:p w14:paraId="5941491A" w14:textId="77777777" w:rsidR="00B73FDB" w:rsidRPr="00B73FDB" w:rsidRDefault="00B73FDB" w:rsidP="00B73FDB">
      <w:pPr>
        <w:spacing w:before="100" w:beforeAutospacing="1" w:after="100" w:afterAutospacing="1" w:line="240" w:lineRule="auto"/>
        <w:outlineLvl w:val="2"/>
        <w:rPr>
          <w:rFonts w:cs="Calibri"/>
          <w:b/>
          <w:bCs/>
          <w:color w:val="4F6228"/>
          <w:sz w:val="27"/>
          <w:szCs w:val="27"/>
          <w:lang w:eastAsia="sk-SK"/>
        </w:rPr>
      </w:pPr>
      <w:r w:rsidRPr="00B73FDB">
        <w:rPr>
          <w:rFonts w:cs="Calibri"/>
          <w:b/>
          <w:bCs/>
          <w:color w:val="4F6228"/>
          <w:sz w:val="27"/>
          <w:szCs w:val="27"/>
          <w:lang w:eastAsia="sk-SK"/>
        </w:rPr>
        <w:t>Podprogram 8.2: Všeobecné vzdelávanie</w:t>
      </w:r>
    </w:p>
    <w:p w14:paraId="389E43FC" w14:textId="77777777" w:rsidR="00B73FDB" w:rsidRPr="00B73FDB" w:rsidRDefault="00B73FDB" w:rsidP="00B73FDB">
      <w:pPr>
        <w:spacing w:before="100" w:beforeAutospacing="1" w:after="100" w:afterAutospacing="1" w:line="240" w:lineRule="auto"/>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Vysokokvalitné služby vo všeobecnom vzdelávaní</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31"/>
        <w:gridCol w:w="1215"/>
        <w:gridCol w:w="1214"/>
        <w:gridCol w:w="1212"/>
        <w:gridCol w:w="1212"/>
        <w:gridCol w:w="2274"/>
      </w:tblGrid>
      <w:tr w:rsidR="00B73FDB" w:rsidRPr="00B73FDB" w14:paraId="22AB8AED" w14:textId="77777777" w:rsidTr="00B73FDB">
        <w:trPr>
          <w:tblCellSpacing w:w="15" w:type="dxa"/>
        </w:trPr>
        <w:tc>
          <w:tcPr>
            <w:tcW w:w="268" w:type="pct"/>
            <w:shd w:val="clear" w:color="auto" w:fill="C6DBF7"/>
            <w:vAlign w:val="center"/>
            <w:hideMark/>
          </w:tcPr>
          <w:p w14:paraId="2AA2F6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48DF67A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3D97583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72200FD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530BBCF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045D02E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63" w:type="pct"/>
            <w:shd w:val="clear" w:color="auto" w:fill="C6DBF7"/>
            <w:vAlign w:val="center"/>
            <w:hideMark/>
          </w:tcPr>
          <w:p w14:paraId="7F455A7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0300AD7" w14:textId="77777777" w:rsidTr="00B73FDB">
        <w:trPr>
          <w:tblCellSpacing w:w="15" w:type="dxa"/>
        </w:trPr>
        <w:tc>
          <w:tcPr>
            <w:tcW w:w="268" w:type="pct"/>
            <w:shd w:val="clear" w:color="auto" w:fill="D9D9D9"/>
            <w:noWrap/>
            <w:vAlign w:val="center"/>
            <w:hideMark/>
          </w:tcPr>
          <w:p w14:paraId="29FD72E7"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7B2DC25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2586375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16 984 387,00</w:t>
            </w:r>
            <w:r w:rsidRPr="00B73FDB">
              <w:rPr>
                <w:rFonts w:cs="Calibri"/>
                <w:sz w:val="18"/>
                <w:szCs w:val="18"/>
                <w:lang w:eastAsia="sk-SK"/>
              </w:rPr>
              <w:t xml:space="preserve"> </w:t>
            </w:r>
          </w:p>
        </w:tc>
        <w:tc>
          <w:tcPr>
            <w:tcW w:w="565" w:type="pct"/>
            <w:shd w:val="clear" w:color="auto" w:fill="D9D9D9"/>
            <w:noWrap/>
            <w:vAlign w:val="center"/>
            <w:hideMark/>
          </w:tcPr>
          <w:p w14:paraId="2905B81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17 749 764,12</w:t>
            </w:r>
            <w:r w:rsidRPr="00B73FDB">
              <w:rPr>
                <w:rFonts w:cs="Calibri"/>
                <w:sz w:val="18"/>
                <w:szCs w:val="18"/>
                <w:lang w:eastAsia="sk-SK"/>
              </w:rPr>
              <w:t xml:space="preserve"> </w:t>
            </w:r>
          </w:p>
        </w:tc>
        <w:tc>
          <w:tcPr>
            <w:tcW w:w="564" w:type="pct"/>
            <w:shd w:val="clear" w:color="auto" w:fill="D9D9D9"/>
            <w:noWrap/>
            <w:vAlign w:val="center"/>
            <w:hideMark/>
          </w:tcPr>
          <w:p w14:paraId="5B73CF4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16 710 157,16</w:t>
            </w:r>
            <w:r w:rsidRPr="00B73FDB">
              <w:rPr>
                <w:rFonts w:cs="Calibri"/>
                <w:sz w:val="18"/>
                <w:szCs w:val="18"/>
                <w:lang w:eastAsia="sk-SK"/>
              </w:rPr>
              <w:t xml:space="preserve"> </w:t>
            </w:r>
          </w:p>
        </w:tc>
        <w:tc>
          <w:tcPr>
            <w:tcW w:w="564" w:type="pct"/>
            <w:shd w:val="clear" w:color="auto" w:fill="D9D9D9"/>
            <w:noWrap/>
            <w:vAlign w:val="center"/>
            <w:hideMark/>
          </w:tcPr>
          <w:p w14:paraId="04E4965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94,14</w:t>
            </w:r>
            <w:r w:rsidRPr="00B73FDB">
              <w:rPr>
                <w:rFonts w:cs="Calibri"/>
                <w:sz w:val="18"/>
                <w:szCs w:val="18"/>
                <w:lang w:eastAsia="sk-SK"/>
              </w:rPr>
              <w:t xml:space="preserve"> </w:t>
            </w:r>
          </w:p>
        </w:tc>
        <w:tc>
          <w:tcPr>
            <w:tcW w:w="1063" w:type="pct"/>
            <w:vMerge w:val="restart"/>
            <w:shd w:val="clear" w:color="auto" w:fill="D9D9D9"/>
            <w:vAlign w:val="center"/>
            <w:hideMark/>
          </w:tcPr>
          <w:p w14:paraId="50693C02" w14:textId="77777777" w:rsidR="00B73FDB" w:rsidRPr="00B73FDB" w:rsidRDefault="00B73FDB" w:rsidP="00B73FDB">
            <w:pPr>
              <w:spacing w:after="0" w:line="240" w:lineRule="auto"/>
              <w:jc w:val="center"/>
              <w:rPr>
                <w:rFonts w:cs="Calibri"/>
                <w:sz w:val="18"/>
                <w:szCs w:val="18"/>
                <w:lang w:eastAsia="sk-SK"/>
              </w:rPr>
            </w:pPr>
            <w:r w:rsidRPr="00B73FDB">
              <w:rPr>
                <w:rFonts w:cs="Calibri"/>
                <w:b/>
                <w:sz w:val="18"/>
                <w:szCs w:val="18"/>
                <w:lang w:eastAsia="sk-SK"/>
              </w:rPr>
              <w:t>Zmeny rozpočtu sa nachádzajú pri prvkoch.</w:t>
            </w:r>
          </w:p>
        </w:tc>
      </w:tr>
      <w:tr w:rsidR="00B73FDB" w:rsidRPr="00B73FDB" w14:paraId="56AEAD38" w14:textId="77777777" w:rsidTr="00B73FDB">
        <w:trPr>
          <w:tblCellSpacing w:w="15" w:type="dxa"/>
        </w:trPr>
        <w:tc>
          <w:tcPr>
            <w:tcW w:w="268" w:type="pct"/>
            <w:shd w:val="clear" w:color="auto" w:fill="D9D9D9"/>
            <w:noWrap/>
            <w:vAlign w:val="center"/>
            <w:hideMark/>
          </w:tcPr>
          <w:p w14:paraId="7E1CCC7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31DC127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62BC81F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16 984 387,00</w:t>
            </w:r>
            <w:r w:rsidRPr="00B73FDB">
              <w:rPr>
                <w:rFonts w:cs="Calibri"/>
                <w:sz w:val="18"/>
                <w:szCs w:val="18"/>
                <w:lang w:eastAsia="sk-SK"/>
              </w:rPr>
              <w:t xml:space="preserve"> </w:t>
            </w:r>
          </w:p>
        </w:tc>
        <w:tc>
          <w:tcPr>
            <w:tcW w:w="565" w:type="pct"/>
            <w:shd w:val="clear" w:color="auto" w:fill="D9D9D9"/>
            <w:noWrap/>
            <w:vAlign w:val="center"/>
            <w:hideMark/>
          </w:tcPr>
          <w:p w14:paraId="74D1F54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17 743 633,90</w:t>
            </w:r>
            <w:r w:rsidRPr="00B73FDB">
              <w:rPr>
                <w:rFonts w:cs="Calibri"/>
                <w:sz w:val="18"/>
                <w:szCs w:val="18"/>
                <w:lang w:eastAsia="sk-SK"/>
              </w:rPr>
              <w:t xml:space="preserve"> </w:t>
            </w:r>
          </w:p>
        </w:tc>
        <w:tc>
          <w:tcPr>
            <w:tcW w:w="564" w:type="pct"/>
            <w:shd w:val="clear" w:color="auto" w:fill="D9D9D9"/>
            <w:noWrap/>
            <w:vAlign w:val="center"/>
            <w:hideMark/>
          </w:tcPr>
          <w:p w14:paraId="35BBB93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16 706 425,94</w:t>
            </w:r>
            <w:r w:rsidRPr="00B73FDB">
              <w:rPr>
                <w:rFonts w:cs="Calibri"/>
                <w:sz w:val="18"/>
                <w:szCs w:val="18"/>
                <w:lang w:eastAsia="sk-SK"/>
              </w:rPr>
              <w:t xml:space="preserve"> </w:t>
            </w:r>
          </w:p>
        </w:tc>
        <w:tc>
          <w:tcPr>
            <w:tcW w:w="564" w:type="pct"/>
            <w:shd w:val="clear" w:color="auto" w:fill="D9D9D9"/>
            <w:noWrap/>
            <w:vAlign w:val="center"/>
            <w:hideMark/>
          </w:tcPr>
          <w:p w14:paraId="7DBDB97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94,15</w:t>
            </w:r>
            <w:r w:rsidRPr="00B73FDB">
              <w:rPr>
                <w:rFonts w:cs="Calibri"/>
                <w:sz w:val="18"/>
                <w:szCs w:val="18"/>
                <w:lang w:eastAsia="sk-SK"/>
              </w:rPr>
              <w:t xml:space="preserve"> </w:t>
            </w:r>
          </w:p>
        </w:tc>
        <w:tc>
          <w:tcPr>
            <w:tcW w:w="1063" w:type="pct"/>
            <w:vMerge/>
            <w:shd w:val="clear" w:color="auto" w:fill="D9D9D9"/>
            <w:vAlign w:val="center"/>
            <w:hideMark/>
          </w:tcPr>
          <w:p w14:paraId="7280EA70" w14:textId="77777777" w:rsidR="00B73FDB" w:rsidRPr="00B73FDB" w:rsidRDefault="00B73FDB" w:rsidP="00B73FDB">
            <w:pPr>
              <w:spacing w:after="0" w:line="240" w:lineRule="auto"/>
              <w:rPr>
                <w:rFonts w:cs="Calibri"/>
                <w:sz w:val="18"/>
                <w:szCs w:val="18"/>
                <w:lang w:eastAsia="sk-SK"/>
              </w:rPr>
            </w:pPr>
          </w:p>
        </w:tc>
      </w:tr>
      <w:tr w:rsidR="00B73FDB" w:rsidRPr="00B73FDB" w14:paraId="2DC8F2CD" w14:textId="77777777" w:rsidTr="00B73FDB">
        <w:trPr>
          <w:tblCellSpacing w:w="15" w:type="dxa"/>
        </w:trPr>
        <w:tc>
          <w:tcPr>
            <w:tcW w:w="268" w:type="pct"/>
            <w:shd w:val="clear" w:color="auto" w:fill="EFEFEF"/>
            <w:noWrap/>
            <w:vAlign w:val="center"/>
            <w:hideMark/>
          </w:tcPr>
          <w:p w14:paraId="063811C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300F410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543FABA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10 648 656,00 </w:t>
            </w:r>
          </w:p>
        </w:tc>
        <w:tc>
          <w:tcPr>
            <w:tcW w:w="565" w:type="pct"/>
            <w:shd w:val="clear" w:color="auto" w:fill="EFEFEF"/>
            <w:noWrap/>
            <w:vAlign w:val="center"/>
            <w:hideMark/>
          </w:tcPr>
          <w:p w14:paraId="29A8D8E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10 700 402,95 </w:t>
            </w:r>
          </w:p>
        </w:tc>
        <w:tc>
          <w:tcPr>
            <w:tcW w:w="564" w:type="pct"/>
            <w:shd w:val="clear" w:color="auto" w:fill="EFEFEF"/>
            <w:noWrap/>
            <w:vAlign w:val="center"/>
            <w:hideMark/>
          </w:tcPr>
          <w:p w14:paraId="4D96928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10 586 849,67 </w:t>
            </w:r>
          </w:p>
        </w:tc>
        <w:tc>
          <w:tcPr>
            <w:tcW w:w="564" w:type="pct"/>
            <w:shd w:val="clear" w:color="auto" w:fill="EFEFEF"/>
            <w:noWrap/>
            <w:vAlign w:val="center"/>
            <w:hideMark/>
          </w:tcPr>
          <w:p w14:paraId="247F1E4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98,94 </w:t>
            </w:r>
          </w:p>
        </w:tc>
        <w:tc>
          <w:tcPr>
            <w:tcW w:w="1063" w:type="pct"/>
            <w:vMerge/>
            <w:shd w:val="clear" w:color="auto" w:fill="EFEFEF"/>
            <w:vAlign w:val="center"/>
            <w:hideMark/>
          </w:tcPr>
          <w:p w14:paraId="3BB870B7" w14:textId="77777777" w:rsidR="00B73FDB" w:rsidRPr="00B73FDB" w:rsidRDefault="00B73FDB" w:rsidP="00B73FDB">
            <w:pPr>
              <w:spacing w:after="0" w:line="240" w:lineRule="auto"/>
              <w:rPr>
                <w:rFonts w:cs="Calibri"/>
                <w:sz w:val="18"/>
                <w:szCs w:val="18"/>
                <w:lang w:eastAsia="sk-SK"/>
              </w:rPr>
            </w:pPr>
          </w:p>
        </w:tc>
      </w:tr>
      <w:tr w:rsidR="00B73FDB" w:rsidRPr="00B73FDB" w14:paraId="60B6AD7F" w14:textId="77777777" w:rsidTr="00B73FDB">
        <w:trPr>
          <w:tblCellSpacing w:w="15" w:type="dxa"/>
        </w:trPr>
        <w:tc>
          <w:tcPr>
            <w:tcW w:w="268" w:type="pct"/>
            <w:shd w:val="clear" w:color="auto" w:fill="EFEFEF"/>
            <w:noWrap/>
            <w:vAlign w:val="center"/>
            <w:hideMark/>
          </w:tcPr>
          <w:p w14:paraId="11175F8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48B90C6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7E1D61A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3 756 757,00 </w:t>
            </w:r>
          </w:p>
        </w:tc>
        <w:tc>
          <w:tcPr>
            <w:tcW w:w="565" w:type="pct"/>
            <w:shd w:val="clear" w:color="auto" w:fill="EFEFEF"/>
            <w:noWrap/>
            <w:vAlign w:val="center"/>
            <w:hideMark/>
          </w:tcPr>
          <w:p w14:paraId="4838DB4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3 745 763,14 </w:t>
            </w:r>
          </w:p>
        </w:tc>
        <w:tc>
          <w:tcPr>
            <w:tcW w:w="564" w:type="pct"/>
            <w:shd w:val="clear" w:color="auto" w:fill="EFEFEF"/>
            <w:noWrap/>
            <w:vAlign w:val="center"/>
            <w:hideMark/>
          </w:tcPr>
          <w:p w14:paraId="4841EE5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3 643 720,06 </w:t>
            </w:r>
          </w:p>
        </w:tc>
        <w:tc>
          <w:tcPr>
            <w:tcW w:w="564" w:type="pct"/>
            <w:shd w:val="clear" w:color="auto" w:fill="EFEFEF"/>
            <w:noWrap/>
            <w:vAlign w:val="center"/>
            <w:hideMark/>
          </w:tcPr>
          <w:p w14:paraId="24606EF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97,28 </w:t>
            </w:r>
          </w:p>
        </w:tc>
        <w:tc>
          <w:tcPr>
            <w:tcW w:w="1063" w:type="pct"/>
            <w:vMerge/>
            <w:shd w:val="clear" w:color="auto" w:fill="EFEFEF"/>
            <w:vAlign w:val="center"/>
            <w:hideMark/>
          </w:tcPr>
          <w:p w14:paraId="228EF0C0" w14:textId="77777777" w:rsidR="00B73FDB" w:rsidRPr="00B73FDB" w:rsidRDefault="00B73FDB" w:rsidP="00B73FDB">
            <w:pPr>
              <w:spacing w:after="0" w:line="240" w:lineRule="auto"/>
              <w:rPr>
                <w:rFonts w:cs="Calibri"/>
                <w:sz w:val="18"/>
                <w:szCs w:val="18"/>
                <w:lang w:eastAsia="sk-SK"/>
              </w:rPr>
            </w:pPr>
          </w:p>
        </w:tc>
      </w:tr>
      <w:tr w:rsidR="00B73FDB" w:rsidRPr="00B73FDB" w14:paraId="278D4C61" w14:textId="77777777" w:rsidTr="00B73FDB">
        <w:trPr>
          <w:tblCellSpacing w:w="15" w:type="dxa"/>
        </w:trPr>
        <w:tc>
          <w:tcPr>
            <w:tcW w:w="268" w:type="pct"/>
            <w:shd w:val="clear" w:color="auto" w:fill="EFEFEF"/>
            <w:noWrap/>
            <w:vAlign w:val="center"/>
            <w:hideMark/>
          </w:tcPr>
          <w:p w14:paraId="5B2AC05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1222D12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5CBFB5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2 513 515,00 </w:t>
            </w:r>
          </w:p>
        </w:tc>
        <w:tc>
          <w:tcPr>
            <w:tcW w:w="565" w:type="pct"/>
            <w:shd w:val="clear" w:color="auto" w:fill="EFEFEF"/>
            <w:noWrap/>
            <w:vAlign w:val="center"/>
            <w:hideMark/>
          </w:tcPr>
          <w:p w14:paraId="419AC11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3 165 205,72 </w:t>
            </w:r>
          </w:p>
        </w:tc>
        <w:tc>
          <w:tcPr>
            <w:tcW w:w="564" w:type="pct"/>
            <w:shd w:val="clear" w:color="auto" w:fill="EFEFEF"/>
            <w:noWrap/>
            <w:vAlign w:val="center"/>
            <w:hideMark/>
          </w:tcPr>
          <w:p w14:paraId="68EE1D5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2 394 453,12 </w:t>
            </w:r>
          </w:p>
        </w:tc>
        <w:tc>
          <w:tcPr>
            <w:tcW w:w="564" w:type="pct"/>
            <w:shd w:val="clear" w:color="auto" w:fill="EFEFEF"/>
            <w:noWrap/>
            <w:vAlign w:val="center"/>
            <w:hideMark/>
          </w:tcPr>
          <w:p w14:paraId="11E977B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75,65 </w:t>
            </w:r>
          </w:p>
        </w:tc>
        <w:tc>
          <w:tcPr>
            <w:tcW w:w="1063" w:type="pct"/>
            <w:vMerge/>
            <w:shd w:val="clear" w:color="auto" w:fill="EFEFEF"/>
            <w:vAlign w:val="center"/>
            <w:hideMark/>
          </w:tcPr>
          <w:p w14:paraId="44A275C8" w14:textId="77777777" w:rsidR="00B73FDB" w:rsidRPr="00B73FDB" w:rsidRDefault="00B73FDB" w:rsidP="00B73FDB">
            <w:pPr>
              <w:spacing w:after="0" w:line="240" w:lineRule="auto"/>
              <w:rPr>
                <w:rFonts w:cs="Calibri"/>
                <w:sz w:val="18"/>
                <w:szCs w:val="18"/>
                <w:lang w:eastAsia="sk-SK"/>
              </w:rPr>
            </w:pPr>
          </w:p>
        </w:tc>
      </w:tr>
      <w:tr w:rsidR="00B73FDB" w:rsidRPr="00B73FDB" w14:paraId="7AD9AE50" w14:textId="77777777" w:rsidTr="00B73FDB">
        <w:trPr>
          <w:tblCellSpacing w:w="15" w:type="dxa"/>
        </w:trPr>
        <w:tc>
          <w:tcPr>
            <w:tcW w:w="268" w:type="pct"/>
            <w:shd w:val="clear" w:color="auto" w:fill="EFEFEF"/>
            <w:noWrap/>
            <w:vAlign w:val="center"/>
            <w:hideMark/>
          </w:tcPr>
          <w:p w14:paraId="72B7ED1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150F92F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118651F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65 459,00 </w:t>
            </w:r>
          </w:p>
        </w:tc>
        <w:tc>
          <w:tcPr>
            <w:tcW w:w="565" w:type="pct"/>
            <w:shd w:val="clear" w:color="auto" w:fill="EFEFEF"/>
            <w:noWrap/>
            <w:vAlign w:val="center"/>
            <w:hideMark/>
          </w:tcPr>
          <w:p w14:paraId="690366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132 262,09 </w:t>
            </w:r>
          </w:p>
        </w:tc>
        <w:tc>
          <w:tcPr>
            <w:tcW w:w="564" w:type="pct"/>
            <w:shd w:val="clear" w:color="auto" w:fill="EFEFEF"/>
            <w:noWrap/>
            <w:vAlign w:val="center"/>
            <w:hideMark/>
          </w:tcPr>
          <w:p w14:paraId="426F854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81 403,09 </w:t>
            </w:r>
          </w:p>
        </w:tc>
        <w:tc>
          <w:tcPr>
            <w:tcW w:w="564" w:type="pct"/>
            <w:shd w:val="clear" w:color="auto" w:fill="EFEFEF"/>
            <w:noWrap/>
            <w:vAlign w:val="center"/>
            <w:hideMark/>
          </w:tcPr>
          <w:p w14:paraId="4B57B16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61,55 </w:t>
            </w:r>
          </w:p>
        </w:tc>
        <w:tc>
          <w:tcPr>
            <w:tcW w:w="1063" w:type="pct"/>
            <w:vMerge/>
            <w:shd w:val="clear" w:color="auto" w:fill="EFEFEF"/>
            <w:vAlign w:val="center"/>
            <w:hideMark/>
          </w:tcPr>
          <w:p w14:paraId="7E3CBADD" w14:textId="77777777" w:rsidR="00B73FDB" w:rsidRPr="00B73FDB" w:rsidRDefault="00B73FDB" w:rsidP="00B73FDB">
            <w:pPr>
              <w:spacing w:after="0" w:line="240" w:lineRule="auto"/>
              <w:rPr>
                <w:rFonts w:cs="Calibri"/>
                <w:sz w:val="18"/>
                <w:szCs w:val="18"/>
                <w:lang w:eastAsia="sk-SK"/>
              </w:rPr>
            </w:pPr>
          </w:p>
        </w:tc>
      </w:tr>
      <w:tr w:rsidR="00B73FDB" w:rsidRPr="00B73FDB" w14:paraId="2AFF4D0D" w14:textId="77777777" w:rsidTr="00B73FDB">
        <w:trPr>
          <w:tblCellSpacing w:w="15" w:type="dxa"/>
        </w:trPr>
        <w:tc>
          <w:tcPr>
            <w:tcW w:w="268" w:type="pct"/>
            <w:shd w:val="clear" w:color="auto" w:fill="D9D9D9"/>
            <w:noWrap/>
            <w:vAlign w:val="center"/>
            <w:hideMark/>
          </w:tcPr>
          <w:p w14:paraId="0C0120F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700</w:t>
            </w:r>
            <w:r w:rsidRPr="00B73FDB">
              <w:rPr>
                <w:rFonts w:cs="Calibri"/>
                <w:sz w:val="18"/>
                <w:szCs w:val="18"/>
                <w:lang w:eastAsia="sk-SK"/>
              </w:rPr>
              <w:t xml:space="preserve"> </w:t>
            </w:r>
          </w:p>
        </w:tc>
        <w:tc>
          <w:tcPr>
            <w:tcW w:w="1288" w:type="pct"/>
            <w:shd w:val="clear" w:color="auto" w:fill="D9D9D9"/>
            <w:vAlign w:val="center"/>
            <w:hideMark/>
          </w:tcPr>
          <w:p w14:paraId="225B290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Kapitálové výdavky</w:t>
            </w:r>
            <w:r w:rsidRPr="00B73FDB">
              <w:rPr>
                <w:rFonts w:cs="Calibri"/>
                <w:sz w:val="18"/>
                <w:szCs w:val="18"/>
                <w:lang w:eastAsia="sk-SK"/>
              </w:rPr>
              <w:t xml:space="preserve"> </w:t>
            </w:r>
          </w:p>
        </w:tc>
        <w:tc>
          <w:tcPr>
            <w:tcW w:w="565" w:type="pct"/>
            <w:shd w:val="clear" w:color="auto" w:fill="D9D9D9"/>
            <w:noWrap/>
            <w:vAlign w:val="center"/>
            <w:hideMark/>
          </w:tcPr>
          <w:p w14:paraId="1E40F3D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65" w:type="pct"/>
            <w:shd w:val="clear" w:color="auto" w:fill="D9D9D9"/>
            <w:noWrap/>
            <w:vAlign w:val="center"/>
            <w:hideMark/>
          </w:tcPr>
          <w:p w14:paraId="3CD6545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6 130,22</w:t>
            </w:r>
            <w:r w:rsidRPr="00B73FDB">
              <w:rPr>
                <w:rFonts w:cs="Calibri"/>
                <w:sz w:val="18"/>
                <w:szCs w:val="18"/>
                <w:lang w:eastAsia="sk-SK"/>
              </w:rPr>
              <w:t xml:space="preserve"> </w:t>
            </w:r>
          </w:p>
        </w:tc>
        <w:tc>
          <w:tcPr>
            <w:tcW w:w="564" w:type="pct"/>
            <w:shd w:val="clear" w:color="auto" w:fill="D9D9D9"/>
            <w:noWrap/>
            <w:vAlign w:val="center"/>
            <w:hideMark/>
          </w:tcPr>
          <w:p w14:paraId="056E8F6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3 731,22</w:t>
            </w:r>
            <w:r w:rsidRPr="00B73FDB">
              <w:rPr>
                <w:rFonts w:cs="Calibri"/>
                <w:sz w:val="18"/>
                <w:szCs w:val="18"/>
                <w:lang w:eastAsia="sk-SK"/>
              </w:rPr>
              <w:t xml:space="preserve"> </w:t>
            </w:r>
          </w:p>
        </w:tc>
        <w:tc>
          <w:tcPr>
            <w:tcW w:w="564" w:type="pct"/>
            <w:shd w:val="clear" w:color="auto" w:fill="D9D9D9"/>
            <w:noWrap/>
            <w:vAlign w:val="center"/>
            <w:hideMark/>
          </w:tcPr>
          <w:p w14:paraId="7D7F6D2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60,87</w:t>
            </w:r>
            <w:r w:rsidRPr="00B73FDB">
              <w:rPr>
                <w:rFonts w:cs="Calibri"/>
                <w:sz w:val="18"/>
                <w:szCs w:val="18"/>
                <w:lang w:eastAsia="sk-SK"/>
              </w:rPr>
              <w:t xml:space="preserve"> </w:t>
            </w:r>
          </w:p>
        </w:tc>
        <w:tc>
          <w:tcPr>
            <w:tcW w:w="1063" w:type="pct"/>
            <w:vMerge/>
            <w:shd w:val="clear" w:color="auto" w:fill="D9D9D9"/>
            <w:vAlign w:val="center"/>
            <w:hideMark/>
          </w:tcPr>
          <w:p w14:paraId="1C8B671C" w14:textId="77777777" w:rsidR="00B73FDB" w:rsidRPr="00B73FDB" w:rsidRDefault="00B73FDB" w:rsidP="00B73FDB">
            <w:pPr>
              <w:spacing w:after="0" w:line="240" w:lineRule="auto"/>
              <w:rPr>
                <w:rFonts w:cs="Calibri"/>
                <w:sz w:val="18"/>
                <w:szCs w:val="18"/>
                <w:lang w:eastAsia="sk-SK"/>
              </w:rPr>
            </w:pPr>
          </w:p>
        </w:tc>
      </w:tr>
      <w:tr w:rsidR="00B73FDB" w:rsidRPr="00B73FDB" w14:paraId="76F37686" w14:textId="77777777" w:rsidTr="00B73FDB">
        <w:trPr>
          <w:tblCellSpacing w:w="15" w:type="dxa"/>
        </w:trPr>
        <w:tc>
          <w:tcPr>
            <w:tcW w:w="268" w:type="pct"/>
            <w:shd w:val="clear" w:color="auto" w:fill="EFEFEF"/>
            <w:noWrap/>
            <w:vAlign w:val="center"/>
            <w:hideMark/>
          </w:tcPr>
          <w:p w14:paraId="1F3BC83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710 </w:t>
            </w:r>
          </w:p>
        </w:tc>
        <w:tc>
          <w:tcPr>
            <w:tcW w:w="1288" w:type="pct"/>
            <w:shd w:val="clear" w:color="auto" w:fill="EFEFEF"/>
            <w:vAlign w:val="center"/>
            <w:hideMark/>
          </w:tcPr>
          <w:p w14:paraId="537B927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Obstarávanie kapitálových aktív </w:t>
            </w:r>
          </w:p>
        </w:tc>
        <w:tc>
          <w:tcPr>
            <w:tcW w:w="565" w:type="pct"/>
            <w:shd w:val="clear" w:color="auto" w:fill="EFEFEF"/>
            <w:noWrap/>
            <w:vAlign w:val="center"/>
            <w:hideMark/>
          </w:tcPr>
          <w:p w14:paraId="46AE751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5" w:type="pct"/>
            <w:shd w:val="clear" w:color="auto" w:fill="EFEFEF"/>
            <w:noWrap/>
            <w:vAlign w:val="center"/>
            <w:hideMark/>
          </w:tcPr>
          <w:p w14:paraId="2DCF8E8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6 130,22 </w:t>
            </w:r>
          </w:p>
        </w:tc>
        <w:tc>
          <w:tcPr>
            <w:tcW w:w="564" w:type="pct"/>
            <w:shd w:val="clear" w:color="auto" w:fill="EFEFEF"/>
            <w:noWrap/>
            <w:vAlign w:val="center"/>
            <w:hideMark/>
          </w:tcPr>
          <w:p w14:paraId="0E9AFB2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3 731,22 </w:t>
            </w:r>
          </w:p>
        </w:tc>
        <w:tc>
          <w:tcPr>
            <w:tcW w:w="564" w:type="pct"/>
            <w:shd w:val="clear" w:color="auto" w:fill="EFEFEF"/>
            <w:noWrap/>
            <w:vAlign w:val="center"/>
            <w:hideMark/>
          </w:tcPr>
          <w:p w14:paraId="6AA2C10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60,87 </w:t>
            </w:r>
          </w:p>
        </w:tc>
        <w:tc>
          <w:tcPr>
            <w:tcW w:w="1063" w:type="pct"/>
            <w:vMerge/>
            <w:shd w:val="clear" w:color="auto" w:fill="EFEFEF"/>
            <w:vAlign w:val="center"/>
            <w:hideMark/>
          </w:tcPr>
          <w:p w14:paraId="00D498B8" w14:textId="77777777" w:rsidR="00B73FDB" w:rsidRPr="00B73FDB" w:rsidRDefault="00B73FDB" w:rsidP="00B73FDB">
            <w:pPr>
              <w:spacing w:after="0" w:line="240" w:lineRule="auto"/>
              <w:rPr>
                <w:rFonts w:cs="Calibri"/>
                <w:sz w:val="18"/>
                <w:szCs w:val="18"/>
                <w:lang w:eastAsia="sk-SK"/>
              </w:rPr>
            </w:pPr>
          </w:p>
        </w:tc>
      </w:tr>
    </w:tbl>
    <w:p w14:paraId="7516EEE9" w14:textId="77777777" w:rsidR="00B73FDB" w:rsidRPr="00B73FDB" w:rsidRDefault="00B73FDB" w:rsidP="00B73FDB">
      <w:pPr>
        <w:spacing w:after="0" w:line="240" w:lineRule="auto"/>
        <w:rPr>
          <w:rFonts w:cs="Calibr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21"/>
        <w:gridCol w:w="949"/>
        <w:gridCol w:w="1695"/>
        <w:gridCol w:w="1218"/>
        <w:gridCol w:w="4083"/>
      </w:tblGrid>
      <w:tr w:rsidR="00B73FDB" w:rsidRPr="00B73FDB" w14:paraId="7D38824C" w14:textId="77777777" w:rsidTr="00B73FDB">
        <w:trPr>
          <w:tblCellSpacing w:w="15" w:type="dxa"/>
        </w:trPr>
        <w:tc>
          <w:tcPr>
            <w:tcW w:w="0" w:type="auto"/>
            <w:shd w:val="clear" w:color="auto" w:fill="C2D69B"/>
            <w:vAlign w:val="center"/>
            <w:hideMark/>
          </w:tcPr>
          <w:p w14:paraId="0BD84C2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3EEDA4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Odbor školstva, mládeže a športu </w:t>
            </w:r>
          </w:p>
        </w:tc>
      </w:tr>
      <w:tr w:rsidR="00B73FDB" w:rsidRPr="00B73FDB" w14:paraId="20AE8F0A" w14:textId="77777777" w:rsidTr="00B73FDB">
        <w:trPr>
          <w:tblCellSpacing w:w="15" w:type="dxa"/>
        </w:trPr>
        <w:tc>
          <w:tcPr>
            <w:tcW w:w="0" w:type="auto"/>
            <w:shd w:val="clear" w:color="auto" w:fill="C2D69B"/>
            <w:vAlign w:val="center"/>
            <w:hideMark/>
          </w:tcPr>
          <w:p w14:paraId="7BEB99C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1876CD4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všeobecný výchovno-vzdelávací proces </w:t>
            </w:r>
          </w:p>
        </w:tc>
      </w:tr>
      <w:tr w:rsidR="00B73FDB" w:rsidRPr="00B73FDB" w14:paraId="761CD930" w14:textId="77777777" w:rsidTr="00B73FDB">
        <w:trPr>
          <w:tblCellSpacing w:w="15" w:type="dxa"/>
        </w:trPr>
        <w:tc>
          <w:tcPr>
            <w:tcW w:w="0" w:type="auto"/>
            <w:shd w:val="clear" w:color="auto" w:fill="C2D69B"/>
            <w:vAlign w:val="center"/>
            <w:hideMark/>
          </w:tcPr>
          <w:p w14:paraId="63B22F7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5D421A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škôl so všeobecným vzdelávaním spolu </w:t>
            </w:r>
          </w:p>
        </w:tc>
      </w:tr>
      <w:tr w:rsidR="00B73FDB" w:rsidRPr="00B73FDB" w14:paraId="00F56823" w14:textId="77777777" w:rsidTr="00B73FDB">
        <w:trPr>
          <w:tblCellSpacing w:w="15" w:type="dxa"/>
        </w:trPr>
        <w:tc>
          <w:tcPr>
            <w:tcW w:w="0" w:type="auto"/>
            <w:shd w:val="clear" w:color="auto" w:fill="C2D69B"/>
            <w:vAlign w:val="center"/>
            <w:hideMark/>
          </w:tcPr>
          <w:p w14:paraId="4BC5037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023D8C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A3F581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B23BE2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1963" w:type="pct"/>
            <w:shd w:val="clear" w:color="auto" w:fill="C2D69B"/>
            <w:vAlign w:val="center"/>
            <w:hideMark/>
          </w:tcPr>
          <w:p w14:paraId="3543B14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B8625C3" w14:textId="77777777" w:rsidTr="00B73FDB">
        <w:trPr>
          <w:tblCellSpacing w:w="15" w:type="dxa"/>
        </w:trPr>
        <w:tc>
          <w:tcPr>
            <w:tcW w:w="0" w:type="auto"/>
            <w:shd w:val="clear" w:color="auto" w:fill="C2D69B"/>
            <w:vAlign w:val="center"/>
            <w:hideMark/>
          </w:tcPr>
          <w:p w14:paraId="61A8AAA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EA8B63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18 </w:t>
            </w:r>
          </w:p>
        </w:tc>
        <w:tc>
          <w:tcPr>
            <w:tcW w:w="0" w:type="auto"/>
            <w:shd w:val="clear" w:color="auto" w:fill="C2D69B"/>
            <w:noWrap/>
            <w:vAlign w:val="center"/>
            <w:hideMark/>
          </w:tcPr>
          <w:p w14:paraId="4964567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18 </w:t>
            </w:r>
          </w:p>
        </w:tc>
        <w:tc>
          <w:tcPr>
            <w:tcW w:w="0" w:type="auto"/>
            <w:shd w:val="clear" w:color="auto" w:fill="C2D69B"/>
            <w:vAlign w:val="center"/>
            <w:hideMark/>
          </w:tcPr>
          <w:p w14:paraId="295518C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0A52B97"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3C933CB9" w14:textId="77777777" w:rsidTr="00B73FDB">
        <w:trPr>
          <w:tblCellSpacing w:w="15" w:type="dxa"/>
        </w:trPr>
        <w:tc>
          <w:tcPr>
            <w:tcW w:w="0" w:type="auto"/>
            <w:shd w:val="clear" w:color="auto" w:fill="C2D69B"/>
            <w:vAlign w:val="center"/>
            <w:hideMark/>
          </w:tcPr>
          <w:p w14:paraId="04635E8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32DBC0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so všeobecným vzdelávaním spolu </w:t>
            </w:r>
          </w:p>
        </w:tc>
      </w:tr>
      <w:tr w:rsidR="00B73FDB" w:rsidRPr="00B73FDB" w14:paraId="15A26C0A" w14:textId="77777777" w:rsidTr="00B73FDB">
        <w:trPr>
          <w:tblCellSpacing w:w="15" w:type="dxa"/>
        </w:trPr>
        <w:tc>
          <w:tcPr>
            <w:tcW w:w="0" w:type="auto"/>
            <w:shd w:val="clear" w:color="auto" w:fill="C2D69B"/>
            <w:vAlign w:val="center"/>
            <w:hideMark/>
          </w:tcPr>
          <w:p w14:paraId="778D598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4AF6A9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8996D6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10647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1963" w:type="pct"/>
            <w:shd w:val="clear" w:color="auto" w:fill="C2D69B"/>
            <w:vAlign w:val="center"/>
            <w:hideMark/>
          </w:tcPr>
          <w:p w14:paraId="38FE7A3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552B29B" w14:textId="77777777" w:rsidTr="00B73FDB">
        <w:trPr>
          <w:tblCellSpacing w:w="15" w:type="dxa"/>
        </w:trPr>
        <w:tc>
          <w:tcPr>
            <w:tcW w:w="0" w:type="auto"/>
            <w:shd w:val="clear" w:color="auto" w:fill="C2D69B"/>
            <w:vAlign w:val="center"/>
            <w:hideMark/>
          </w:tcPr>
          <w:p w14:paraId="131784F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0855B11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6 645 </w:t>
            </w:r>
          </w:p>
        </w:tc>
        <w:tc>
          <w:tcPr>
            <w:tcW w:w="0" w:type="auto"/>
            <w:shd w:val="clear" w:color="auto" w:fill="C2D69B"/>
            <w:noWrap/>
            <w:vAlign w:val="center"/>
            <w:hideMark/>
          </w:tcPr>
          <w:p w14:paraId="5A773DE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6 747 </w:t>
            </w:r>
          </w:p>
        </w:tc>
        <w:tc>
          <w:tcPr>
            <w:tcW w:w="0" w:type="auto"/>
            <w:shd w:val="clear" w:color="auto" w:fill="C2D69B"/>
            <w:vAlign w:val="center"/>
            <w:hideMark/>
          </w:tcPr>
          <w:p w14:paraId="2B8FC25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51FF04E"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43C41E0" w14:textId="77777777" w:rsidTr="00B73FDB">
        <w:trPr>
          <w:tblCellSpacing w:w="15" w:type="dxa"/>
        </w:trPr>
        <w:tc>
          <w:tcPr>
            <w:tcW w:w="0" w:type="auto"/>
            <w:shd w:val="clear" w:color="auto" w:fill="C2D69B"/>
            <w:vAlign w:val="center"/>
            <w:hideMark/>
          </w:tcPr>
          <w:p w14:paraId="009ACF1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E072C5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2732F23E" w14:textId="77777777" w:rsidTr="00B73FDB">
        <w:trPr>
          <w:tblCellSpacing w:w="15" w:type="dxa"/>
        </w:trPr>
        <w:tc>
          <w:tcPr>
            <w:tcW w:w="0" w:type="auto"/>
            <w:shd w:val="clear" w:color="auto" w:fill="C2D69B"/>
            <w:vAlign w:val="center"/>
            <w:hideMark/>
          </w:tcPr>
          <w:p w14:paraId="16B7E58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7ED13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D1317A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0804E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1963" w:type="pct"/>
            <w:shd w:val="clear" w:color="auto" w:fill="C2D69B"/>
            <w:vAlign w:val="center"/>
            <w:hideMark/>
          </w:tcPr>
          <w:p w14:paraId="055BA0C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BB3B65A" w14:textId="77777777" w:rsidTr="00B73FDB">
        <w:trPr>
          <w:tblCellSpacing w:w="15" w:type="dxa"/>
        </w:trPr>
        <w:tc>
          <w:tcPr>
            <w:tcW w:w="0" w:type="auto"/>
            <w:shd w:val="clear" w:color="auto" w:fill="C2D69B"/>
            <w:vAlign w:val="center"/>
            <w:hideMark/>
          </w:tcPr>
          <w:p w14:paraId="6883FE1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AB8138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6 554</w:t>
            </w:r>
          </w:p>
        </w:tc>
        <w:tc>
          <w:tcPr>
            <w:tcW w:w="0" w:type="auto"/>
            <w:shd w:val="clear" w:color="auto" w:fill="C2D69B"/>
            <w:noWrap/>
            <w:vAlign w:val="center"/>
            <w:hideMark/>
          </w:tcPr>
          <w:p w14:paraId="72D1BA9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6 680</w:t>
            </w:r>
          </w:p>
        </w:tc>
        <w:tc>
          <w:tcPr>
            <w:tcW w:w="0" w:type="auto"/>
            <w:shd w:val="clear" w:color="auto" w:fill="C2D69B"/>
            <w:vAlign w:val="center"/>
            <w:hideMark/>
          </w:tcPr>
          <w:p w14:paraId="72F12F6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Splnené</w:t>
            </w:r>
          </w:p>
        </w:tc>
        <w:tc>
          <w:tcPr>
            <w:tcW w:w="0" w:type="auto"/>
            <w:shd w:val="clear" w:color="auto" w:fill="C2D69B"/>
            <w:vAlign w:val="center"/>
            <w:hideMark/>
          </w:tcPr>
          <w:p w14:paraId="29B4E4A1" w14:textId="77777777" w:rsidR="00B73FDB" w:rsidRPr="00B73FDB" w:rsidRDefault="00B73FDB" w:rsidP="00B73FDB">
            <w:pPr>
              <w:spacing w:after="0" w:line="240" w:lineRule="auto"/>
              <w:jc w:val="center"/>
              <w:rPr>
                <w:rFonts w:cs="Calibri"/>
                <w:sz w:val="18"/>
                <w:szCs w:val="18"/>
                <w:lang w:eastAsia="sk-SK"/>
              </w:rPr>
            </w:pPr>
          </w:p>
        </w:tc>
      </w:tr>
    </w:tbl>
    <w:p w14:paraId="58676792"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V rámci tohto podprogramu Bratislavský samosprávny kraj financuje päť základných škôl: školu pre mimoriadne nadané deti, využívajúcu nové alternatívne formy výučby, základnú školu s vyučovacím jazykom maďarským, ZŠ Malinovo ako súčasť Spojenej školy Malinovo, ZŠ ako súčasť Spojenej školy, </w:t>
      </w:r>
      <w:proofErr w:type="spellStart"/>
      <w:r w:rsidRPr="00B73FDB">
        <w:rPr>
          <w:rFonts w:cs="Calibri"/>
          <w:sz w:val="24"/>
          <w:szCs w:val="24"/>
          <w:lang w:eastAsia="sk-SK"/>
        </w:rPr>
        <w:t>Ostredkova</w:t>
      </w:r>
      <w:proofErr w:type="spellEnd"/>
      <w:r w:rsidRPr="00B73FDB">
        <w:rPr>
          <w:rFonts w:cs="Calibri"/>
          <w:sz w:val="24"/>
          <w:szCs w:val="24"/>
          <w:lang w:eastAsia="sk-SK"/>
        </w:rPr>
        <w:t xml:space="preserve"> 10, Bratislava a ZŠ ako súčasť Spojenej školy, Pankúchova 6, Bratislava. Takýmto spôsobom kraj prehlbuje vzdelanostnú úroveň i na základných školách a stará sa o mimoriadne nadané deti a deti s maďarskou národnosťou. Všeobecné vzdelávanie zabezpečujú gymnáziá, ktoré poskytujú v širokom a hlbokom zábere vzdelanostných oblastí znalosti a zvyšovanie ich kvality. Avšak kľúčovou úlohou gymnázia je predovšetkým pripraviť študentov na ďalšie vzdelávanie na vysokej škole. Tento podprogram obsahuje 12 gymnázií a jedno gymnázium, ktoré je organizačnou zložkou spojenej školy. Gymnázium Pankúchova 6, Bratislava, sa od 3. 9. 2020 stalo súčasťou Spojenej školy, Pankúchova 6, Bratislava, s dvoma organizačnými zložkami: základnou školou a gymnáziom. Financovanie v podprograme Všeobecné vzdelávanie sa riadi platnou legislatívou v oblasti školstva. Jedným z merateľných ukazovateľov pri všetkých prvkoch tohto podprogramu je počet žiakov, ktorý sa upravuje podľa skutočnosti uvedenej v štatistickom výkaze o strednej škole - </w:t>
      </w:r>
      <w:proofErr w:type="spellStart"/>
      <w:r w:rsidRPr="00B73FDB">
        <w:rPr>
          <w:rFonts w:cs="Calibri"/>
          <w:sz w:val="24"/>
          <w:szCs w:val="24"/>
          <w:lang w:eastAsia="sk-SK"/>
        </w:rPr>
        <w:t>Škol</w:t>
      </w:r>
      <w:proofErr w:type="spellEnd"/>
      <w:r w:rsidRPr="00B73FDB">
        <w:rPr>
          <w:rFonts w:cs="Calibri"/>
          <w:sz w:val="24"/>
          <w:szCs w:val="24"/>
          <w:lang w:eastAsia="sk-SK"/>
        </w:rPr>
        <w:t xml:space="preserve"> 2-01 k 15. septembru nového školského roka.</w:t>
      </w:r>
    </w:p>
    <w:p w14:paraId="5D5DE6EC" w14:textId="77777777" w:rsidR="00B73FDB" w:rsidRDefault="00B73FDB" w:rsidP="00B73FDB">
      <w:pPr>
        <w:spacing w:before="100" w:beforeAutospacing="1" w:after="100" w:afterAutospacing="1" w:line="240" w:lineRule="auto"/>
        <w:jc w:val="both"/>
        <w:rPr>
          <w:rFonts w:cs="Calibri"/>
          <w:b/>
          <w:color w:val="244061"/>
          <w:sz w:val="24"/>
          <w:szCs w:val="24"/>
          <w:lang w:eastAsia="sk-SK"/>
        </w:rPr>
      </w:pPr>
    </w:p>
    <w:p w14:paraId="628E92B9" w14:textId="77777777" w:rsidR="00B73FDB" w:rsidRDefault="00B73FDB" w:rsidP="00B73FDB">
      <w:pPr>
        <w:spacing w:before="100" w:beforeAutospacing="1" w:after="100" w:afterAutospacing="1" w:line="240" w:lineRule="auto"/>
        <w:jc w:val="both"/>
        <w:rPr>
          <w:rFonts w:cs="Calibri"/>
          <w:b/>
          <w:color w:val="244061"/>
          <w:sz w:val="24"/>
          <w:szCs w:val="24"/>
          <w:lang w:eastAsia="sk-SK"/>
        </w:rPr>
      </w:pPr>
    </w:p>
    <w:p w14:paraId="11FD33D1" w14:textId="7670DB00" w:rsidR="00B73FDB" w:rsidRPr="00B73FDB" w:rsidRDefault="00B73FDB" w:rsidP="00B73FDB">
      <w:pPr>
        <w:spacing w:before="100" w:beforeAutospacing="1" w:after="100" w:afterAutospacing="1" w:line="240" w:lineRule="auto"/>
        <w:jc w:val="both"/>
        <w:rPr>
          <w:rFonts w:cs="Calibri"/>
          <w:b/>
          <w:sz w:val="24"/>
          <w:szCs w:val="24"/>
          <w:lang w:eastAsia="sk-SK"/>
        </w:rPr>
      </w:pPr>
      <w:r w:rsidRPr="00B73FDB">
        <w:rPr>
          <w:rFonts w:cs="Calibri"/>
          <w:b/>
          <w:color w:val="244061"/>
          <w:sz w:val="24"/>
          <w:szCs w:val="24"/>
          <w:lang w:eastAsia="sk-SK"/>
        </w:rPr>
        <w:lastRenderedPageBreak/>
        <w:t>Prvok 8.2.1: Základná škola s vyučovacím jazykom maďarským, Dunajská 13,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3"/>
        <w:gridCol w:w="2728"/>
        <w:gridCol w:w="1212"/>
        <w:gridCol w:w="1212"/>
        <w:gridCol w:w="1061"/>
        <w:gridCol w:w="1212"/>
        <w:gridCol w:w="2428"/>
      </w:tblGrid>
      <w:tr w:rsidR="00B73FDB" w:rsidRPr="00B73FDB" w14:paraId="73ED6553" w14:textId="77777777" w:rsidTr="00B73FDB">
        <w:trPr>
          <w:tblCellSpacing w:w="15" w:type="dxa"/>
        </w:trPr>
        <w:tc>
          <w:tcPr>
            <w:tcW w:w="270" w:type="pct"/>
            <w:shd w:val="clear" w:color="auto" w:fill="C6DBF7"/>
            <w:vAlign w:val="center"/>
            <w:hideMark/>
          </w:tcPr>
          <w:p w14:paraId="39B9A2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2196573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1F9C06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3FBA3D0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66C3DEE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034B27F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75485B8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B95DAB1" w14:textId="77777777" w:rsidTr="00B73FDB">
        <w:trPr>
          <w:tblCellSpacing w:w="15" w:type="dxa"/>
        </w:trPr>
        <w:tc>
          <w:tcPr>
            <w:tcW w:w="270" w:type="pct"/>
            <w:shd w:val="clear" w:color="auto" w:fill="D9D9D9"/>
            <w:noWrap/>
            <w:vAlign w:val="center"/>
            <w:hideMark/>
          </w:tcPr>
          <w:p w14:paraId="755512F7"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5BC58AA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4464614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586 399,00</w:t>
            </w:r>
            <w:r w:rsidRPr="00B73FDB">
              <w:rPr>
                <w:rFonts w:cs="Calibri"/>
                <w:sz w:val="18"/>
                <w:szCs w:val="18"/>
                <w:lang w:eastAsia="sk-SK"/>
              </w:rPr>
              <w:t xml:space="preserve"> </w:t>
            </w:r>
          </w:p>
        </w:tc>
        <w:tc>
          <w:tcPr>
            <w:tcW w:w="564" w:type="pct"/>
            <w:shd w:val="clear" w:color="auto" w:fill="D9D9D9"/>
            <w:noWrap/>
            <w:vAlign w:val="center"/>
            <w:hideMark/>
          </w:tcPr>
          <w:p w14:paraId="59F41D3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620 850,10</w:t>
            </w:r>
            <w:r w:rsidRPr="00B73FDB">
              <w:rPr>
                <w:rFonts w:cs="Calibri"/>
                <w:sz w:val="18"/>
                <w:szCs w:val="18"/>
                <w:lang w:eastAsia="sk-SK"/>
              </w:rPr>
              <w:t xml:space="preserve"> </w:t>
            </w:r>
          </w:p>
        </w:tc>
        <w:tc>
          <w:tcPr>
            <w:tcW w:w="492" w:type="pct"/>
            <w:shd w:val="clear" w:color="auto" w:fill="D9D9D9"/>
            <w:noWrap/>
            <w:vAlign w:val="center"/>
            <w:hideMark/>
          </w:tcPr>
          <w:p w14:paraId="05115A3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620 850,10</w:t>
            </w:r>
            <w:r w:rsidRPr="00B73FDB">
              <w:rPr>
                <w:rFonts w:cs="Calibri"/>
                <w:sz w:val="18"/>
                <w:szCs w:val="18"/>
                <w:lang w:eastAsia="sk-SK"/>
              </w:rPr>
              <w:t xml:space="preserve"> </w:t>
            </w:r>
          </w:p>
        </w:tc>
        <w:tc>
          <w:tcPr>
            <w:tcW w:w="564" w:type="pct"/>
            <w:shd w:val="clear" w:color="auto" w:fill="D9D9D9"/>
            <w:noWrap/>
            <w:vAlign w:val="center"/>
            <w:hideMark/>
          </w:tcPr>
          <w:p w14:paraId="05BFA3C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val="restart"/>
            <w:shd w:val="clear" w:color="auto" w:fill="D9D9D9"/>
            <w:vAlign w:val="center"/>
            <w:hideMark/>
          </w:tcPr>
          <w:p w14:paraId="23FB36C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+16 234,00 EUR</w:t>
            </w:r>
            <w:r w:rsidRPr="00B73FDB">
              <w:rPr>
                <w:rFonts w:cs="Calibri"/>
                <w:sz w:val="18"/>
                <w:szCs w:val="18"/>
                <w:lang w:eastAsia="sk-SK"/>
              </w:rPr>
              <w:t xml:space="preserve"> normatívne finančné prostriedky,</w:t>
            </w:r>
          </w:p>
          <w:p w14:paraId="777050B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-2 800,00 EUR </w:t>
            </w:r>
            <w:r w:rsidRPr="00B73FDB">
              <w:rPr>
                <w:rFonts w:cs="Calibri"/>
                <w:sz w:val="18"/>
                <w:szCs w:val="18"/>
                <w:lang w:eastAsia="sk-SK"/>
              </w:rPr>
              <w:t>normatívne finančné prostriedky na školy v prírode,</w:t>
            </w:r>
          </w:p>
          <w:p w14:paraId="2AD49A8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-3 000,00 EUR </w:t>
            </w:r>
            <w:r w:rsidRPr="00B73FDB">
              <w:rPr>
                <w:rFonts w:cs="Calibri"/>
                <w:sz w:val="18"/>
                <w:szCs w:val="18"/>
                <w:lang w:eastAsia="sk-SK"/>
              </w:rPr>
              <w:t>nenormatívne finančné prostriedky na lyžiarske kurzy,</w:t>
            </w:r>
          </w:p>
          <w:p w14:paraId="3939DDA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+9 624,00 EUR</w:t>
            </w:r>
            <w:r w:rsidRPr="00B73FDB">
              <w:rPr>
                <w:rFonts w:cs="Calibri"/>
                <w:sz w:val="18"/>
                <w:szCs w:val="18"/>
                <w:lang w:eastAsia="sk-SK"/>
              </w:rPr>
              <w:t xml:space="preserve"> príspevok na učebnice,</w:t>
            </w:r>
          </w:p>
          <w:p w14:paraId="7BF82B1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+800,00 EUR</w:t>
            </w:r>
            <w:r w:rsidRPr="00B73FDB">
              <w:rPr>
                <w:rFonts w:cs="Calibri"/>
                <w:sz w:val="18"/>
                <w:szCs w:val="18"/>
                <w:lang w:eastAsia="sk-SK"/>
              </w:rPr>
              <w:t xml:space="preserve"> rozvojový projekt,</w:t>
            </w:r>
          </w:p>
          <w:p w14:paraId="7A9B48F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+13 593,00 EUR</w:t>
            </w:r>
            <w:r w:rsidRPr="00B73FDB">
              <w:rPr>
                <w:rFonts w:cs="Calibri"/>
                <w:sz w:val="18"/>
                <w:szCs w:val="18"/>
                <w:lang w:eastAsia="sk-SK"/>
              </w:rPr>
              <w:t xml:space="preserve"> osobné  náklady asistentov učiteľa pre žiakov so zdravotným znevýhodnením,</w:t>
            </w:r>
          </w:p>
          <w:p w14:paraId="324AD33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+0,10 EUR</w:t>
            </w:r>
            <w:r w:rsidRPr="00B73FDB">
              <w:rPr>
                <w:rFonts w:cs="Calibri"/>
                <w:sz w:val="18"/>
                <w:szCs w:val="18"/>
                <w:lang w:eastAsia="sk-SK"/>
              </w:rPr>
              <w:t xml:space="preserve"> nevyčerpané finančné prostriedky z r. 2019.</w:t>
            </w:r>
          </w:p>
        </w:tc>
      </w:tr>
      <w:tr w:rsidR="00B73FDB" w:rsidRPr="00B73FDB" w14:paraId="22654378" w14:textId="77777777" w:rsidTr="00B73FDB">
        <w:trPr>
          <w:tblCellSpacing w:w="15" w:type="dxa"/>
        </w:trPr>
        <w:tc>
          <w:tcPr>
            <w:tcW w:w="270" w:type="pct"/>
            <w:shd w:val="clear" w:color="auto" w:fill="D9D9D9"/>
            <w:noWrap/>
            <w:vAlign w:val="center"/>
            <w:hideMark/>
          </w:tcPr>
          <w:p w14:paraId="3EF39FD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2348493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272E50E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586 399,00</w:t>
            </w:r>
            <w:r w:rsidRPr="00B73FDB">
              <w:rPr>
                <w:rFonts w:cs="Calibri"/>
                <w:sz w:val="18"/>
                <w:szCs w:val="18"/>
                <w:lang w:eastAsia="sk-SK"/>
              </w:rPr>
              <w:t xml:space="preserve"> </w:t>
            </w:r>
          </w:p>
        </w:tc>
        <w:tc>
          <w:tcPr>
            <w:tcW w:w="564" w:type="pct"/>
            <w:shd w:val="clear" w:color="auto" w:fill="D9D9D9"/>
            <w:noWrap/>
            <w:vAlign w:val="center"/>
            <w:hideMark/>
          </w:tcPr>
          <w:p w14:paraId="36E15F3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620 850,10</w:t>
            </w:r>
            <w:r w:rsidRPr="00B73FDB">
              <w:rPr>
                <w:rFonts w:cs="Calibri"/>
                <w:sz w:val="18"/>
                <w:szCs w:val="18"/>
                <w:lang w:eastAsia="sk-SK"/>
              </w:rPr>
              <w:t xml:space="preserve"> </w:t>
            </w:r>
          </w:p>
        </w:tc>
        <w:tc>
          <w:tcPr>
            <w:tcW w:w="492" w:type="pct"/>
            <w:shd w:val="clear" w:color="auto" w:fill="D9D9D9"/>
            <w:noWrap/>
            <w:vAlign w:val="center"/>
            <w:hideMark/>
          </w:tcPr>
          <w:p w14:paraId="7F0DAF0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620 850,10</w:t>
            </w:r>
            <w:r w:rsidRPr="00B73FDB">
              <w:rPr>
                <w:rFonts w:cs="Calibri"/>
                <w:sz w:val="18"/>
                <w:szCs w:val="18"/>
                <w:lang w:eastAsia="sk-SK"/>
              </w:rPr>
              <w:t xml:space="preserve"> </w:t>
            </w:r>
          </w:p>
        </w:tc>
        <w:tc>
          <w:tcPr>
            <w:tcW w:w="564" w:type="pct"/>
            <w:shd w:val="clear" w:color="auto" w:fill="D9D9D9"/>
            <w:noWrap/>
            <w:vAlign w:val="center"/>
            <w:hideMark/>
          </w:tcPr>
          <w:p w14:paraId="4B0032F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shd w:val="clear" w:color="auto" w:fill="D9D9D9"/>
            <w:vAlign w:val="center"/>
            <w:hideMark/>
          </w:tcPr>
          <w:p w14:paraId="61AF6FEA"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668E14BB" w14:textId="77777777" w:rsidTr="00B73FDB">
        <w:trPr>
          <w:tblCellSpacing w:w="15" w:type="dxa"/>
        </w:trPr>
        <w:tc>
          <w:tcPr>
            <w:tcW w:w="270" w:type="pct"/>
            <w:shd w:val="clear" w:color="auto" w:fill="EFEFEF"/>
            <w:noWrap/>
            <w:vAlign w:val="center"/>
            <w:hideMark/>
          </w:tcPr>
          <w:p w14:paraId="21DA15C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4683570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37AF780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390 200,00 </w:t>
            </w:r>
          </w:p>
        </w:tc>
        <w:tc>
          <w:tcPr>
            <w:tcW w:w="564" w:type="pct"/>
            <w:shd w:val="clear" w:color="auto" w:fill="EFEFEF"/>
            <w:noWrap/>
            <w:vAlign w:val="center"/>
            <w:hideMark/>
          </w:tcPr>
          <w:p w14:paraId="619D348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427 060,27 </w:t>
            </w:r>
          </w:p>
        </w:tc>
        <w:tc>
          <w:tcPr>
            <w:tcW w:w="492" w:type="pct"/>
            <w:shd w:val="clear" w:color="auto" w:fill="EFEFEF"/>
            <w:noWrap/>
            <w:vAlign w:val="center"/>
            <w:hideMark/>
          </w:tcPr>
          <w:p w14:paraId="66F52CE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427 060,27 </w:t>
            </w:r>
          </w:p>
        </w:tc>
        <w:tc>
          <w:tcPr>
            <w:tcW w:w="564" w:type="pct"/>
            <w:shd w:val="clear" w:color="auto" w:fill="EFEFEF"/>
            <w:noWrap/>
            <w:vAlign w:val="center"/>
            <w:hideMark/>
          </w:tcPr>
          <w:p w14:paraId="66C7AE0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156BE071" w14:textId="77777777" w:rsidR="00B73FDB" w:rsidRPr="00B73FDB" w:rsidRDefault="00B73FDB" w:rsidP="00B73FDB">
            <w:pPr>
              <w:spacing w:after="0" w:line="240" w:lineRule="auto"/>
              <w:rPr>
                <w:rFonts w:cs="Calibri"/>
                <w:sz w:val="18"/>
                <w:szCs w:val="18"/>
                <w:lang w:eastAsia="sk-SK"/>
              </w:rPr>
            </w:pPr>
          </w:p>
        </w:tc>
      </w:tr>
      <w:tr w:rsidR="00B73FDB" w:rsidRPr="00B73FDB" w14:paraId="19996434" w14:textId="77777777" w:rsidTr="00B73FDB">
        <w:trPr>
          <w:tblCellSpacing w:w="15" w:type="dxa"/>
        </w:trPr>
        <w:tc>
          <w:tcPr>
            <w:tcW w:w="270" w:type="pct"/>
            <w:shd w:val="clear" w:color="auto" w:fill="EFEFEF"/>
            <w:noWrap/>
            <w:vAlign w:val="center"/>
            <w:hideMark/>
          </w:tcPr>
          <w:p w14:paraId="73BE474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65C1B74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53A1E18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136 375,00 </w:t>
            </w:r>
          </w:p>
        </w:tc>
        <w:tc>
          <w:tcPr>
            <w:tcW w:w="564" w:type="pct"/>
            <w:shd w:val="clear" w:color="auto" w:fill="EFEFEF"/>
            <w:noWrap/>
            <w:vAlign w:val="center"/>
            <w:hideMark/>
          </w:tcPr>
          <w:p w14:paraId="04551E9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138 694,19 </w:t>
            </w:r>
          </w:p>
        </w:tc>
        <w:tc>
          <w:tcPr>
            <w:tcW w:w="492" w:type="pct"/>
            <w:shd w:val="clear" w:color="auto" w:fill="EFEFEF"/>
            <w:noWrap/>
            <w:vAlign w:val="center"/>
            <w:hideMark/>
          </w:tcPr>
          <w:p w14:paraId="5082F24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138 694,19 </w:t>
            </w:r>
          </w:p>
        </w:tc>
        <w:tc>
          <w:tcPr>
            <w:tcW w:w="564" w:type="pct"/>
            <w:shd w:val="clear" w:color="auto" w:fill="EFEFEF"/>
            <w:noWrap/>
            <w:vAlign w:val="center"/>
            <w:hideMark/>
          </w:tcPr>
          <w:p w14:paraId="4A945CF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38BF2FCC" w14:textId="77777777" w:rsidR="00B73FDB" w:rsidRPr="00B73FDB" w:rsidRDefault="00B73FDB" w:rsidP="00B73FDB">
            <w:pPr>
              <w:spacing w:after="0" w:line="240" w:lineRule="auto"/>
              <w:rPr>
                <w:rFonts w:cs="Calibri"/>
                <w:sz w:val="18"/>
                <w:szCs w:val="18"/>
                <w:lang w:eastAsia="sk-SK"/>
              </w:rPr>
            </w:pPr>
          </w:p>
        </w:tc>
      </w:tr>
      <w:tr w:rsidR="00B73FDB" w:rsidRPr="00B73FDB" w14:paraId="274004CB" w14:textId="77777777" w:rsidTr="00B73FDB">
        <w:trPr>
          <w:tblCellSpacing w:w="15" w:type="dxa"/>
        </w:trPr>
        <w:tc>
          <w:tcPr>
            <w:tcW w:w="270" w:type="pct"/>
            <w:shd w:val="clear" w:color="auto" w:fill="EFEFEF"/>
            <w:noWrap/>
            <w:vAlign w:val="center"/>
            <w:hideMark/>
          </w:tcPr>
          <w:p w14:paraId="2CA5D0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702DF5B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2E37B5F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59 824,00 </w:t>
            </w:r>
          </w:p>
        </w:tc>
        <w:tc>
          <w:tcPr>
            <w:tcW w:w="564" w:type="pct"/>
            <w:shd w:val="clear" w:color="auto" w:fill="EFEFEF"/>
            <w:noWrap/>
            <w:vAlign w:val="center"/>
            <w:hideMark/>
          </w:tcPr>
          <w:p w14:paraId="2A4C616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53 929,91 </w:t>
            </w:r>
          </w:p>
        </w:tc>
        <w:tc>
          <w:tcPr>
            <w:tcW w:w="492" w:type="pct"/>
            <w:shd w:val="clear" w:color="auto" w:fill="EFEFEF"/>
            <w:noWrap/>
            <w:vAlign w:val="center"/>
            <w:hideMark/>
          </w:tcPr>
          <w:p w14:paraId="4F4282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53 929,91 </w:t>
            </w:r>
          </w:p>
        </w:tc>
        <w:tc>
          <w:tcPr>
            <w:tcW w:w="564" w:type="pct"/>
            <w:shd w:val="clear" w:color="auto" w:fill="EFEFEF"/>
            <w:noWrap/>
            <w:vAlign w:val="center"/>
            <w:hideMark/>
          </w:tcPr>
          <w:p w14:paraId="458B50B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0CA4BEFF" w14:textId="77777777" w:rsidR="00B73FDB" w:rsidRPr="00B73FDB" w:rsidRDefault="00B73FDB" w:rsidP="00B73FDB">
            <w:pPr>
              <w:spacing w:after="0" w:line="240" w:lineRule="auto"/>
              <w:rPr>
                <w:rFonts w:cs="Calibri"/>
                <w:sz w:val="18"/>
                <w:szCs w:val="18"/>
                <w:lang w:eastAsia="sk-SK"/>
              </w:rPr>
            </w:pPr>
          </w:p>
        </w:tc>
      </w:tr>
    </w:tbl>
    <w:p w14:paraId="5E04B68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45"/>
        <w:gridCol w:w="781"/>
        <w:gridCol w:w="1851"/>
        <w:gridCol w:w="1330"/>
        <w:gridCol w:w="4159"/>
      </w:tblGrid>
      <w:tr w:rsidR="00B73FDB" w:rsidRPr="00B73FDB" w14:paraId="54AB3337" w14:textId="77777777" w:rsidTr="00B73FDB">
        <w:trPr>
          <w:tblCellSpacing w:w="15" w:type="dxa"/>
        </w:trPr>
        <w:tc>
          <w:tcPr>
            <w:tcW w:w="0" w:type="auto"/>
            <w:shd w:val="clear" w:color="auto" w:fill="C2D69B"/>
            <w:vAlign w:val="center"/>
            <w:hideMark/>
          </w:tcPr>
          <w:p w14:paraId="75DAA67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0310C2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6DAE418F" w14:textId="77777777" w:rsidTr="00B73FDB">
        <w:trPr>
          <w:tblCellSpacing w:w="15" w:type="dxa"/>
        </w:trPr>
        <w:tc>
          <w:tcPr>
            <w:tcW w:w="0" w:type="auto"/>
            <w:shd w:val="clear" w:color="auto" w:fill="C2D69B"/>
            <w:vAlign w:val="center"/>
            <w:hideMark/>
          </w:tcPr>
          <w:p w14:paraId="46D8AE0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19935B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základnej škole </w:t>
            </w:r>
          </w:p>
        </w:tc>
      </w:tr>
      <w:tr w:rsidR="00B73FDB" w:rsidRPr="00B73FDB" w14:paraId="3819CF62" w14:textId="77777777" w:rsidTr="00B73FDB">
        <w:trPr>
          <w:tblCellSpacing w:w="15" w:type="dxa"/>
        </w:trPr>
        <w:tc>
          <w:tcPr>
            <w:tcW w:w="0" w:type="auto"/>
            <w:shd w:val="clear" w:color="auto" w:fill="C2D69B"/>
            <w:vAlign w:val="center"/>
            <w:hideMark/>
          </w:tcPr>
          <w:p w14:paraId="5115FED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3DF49A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6DA2C30" w14:textId="77777777" w:rsidTr="00B73FDB">
        <w:trPr>
          <w:tblCellSpacing w:w="15" w:type="dxa"/>
        </w:trPr>
        <w:tc>
          <w:tcPr>
            <w:tcW w:w="0" w:type="auto"/>
            <w:shd w:val="clear" w:color="auto" w:fill="C2D69B"/>
            <w:vAlign w:val="center"/>
            <w:hideMark/>
          </w:tcPr>
          <w:p w14:paraId="5135A72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25AB17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C5675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BEC383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035B12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ADA1B06" w14:textId="77777777" w:rsidTr="00B73FDB">
        <w:trPr>
          <w:tblCellSpacing w:w="15" w:type="dxa"/>
        </w:trPr>
        <w:tc>
          <w:tcPr>
            <w:tcW w:w="0" w:type="auto"/>
            <w:shd w:val="clear" w:color="auto" w:fill="C2D69B"/>
            <w:vAlign w:val="center"/>
            <w:hideMark/>
          </w:tcPr>
          <w:p w14:paraId="2ADE136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49BAB9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237 </w:t>
            </w:r>
          </w:p>
        </w:tc>
        <w:tc>
          <w:tcPr>
            <w:tcW w:w="0" w:type="auto"/>
            <w:shd w:val="clear" w:color="auto" w:fill="C2D69B"/>
            <w:noWrap/>
            <w:vAlign w:val="center"/>
            <w:hideMark/>
          </w:tcPr>
          <w:p w14:paraId="031290C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238 </w:t>
            </w:r>
          </w:p>
        </w:tc>
        <w:tc>
          <w:tcPr>
            <w:tcW w:w="0" w:type="auto"/>
            <w:shd w:val="clear" w:color="auto" w:fill="C2D69B"/>
            <w:vAlign w:val="center"/>
            <w:hideMark/>
          </w:tcPr>
          <w:p w14:paraId="7A4902B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DFA6AA5"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829D6B4" w14:textId="77777777" w:rsidTr="00B73FDB">
        <w:trPr>
          <w:tblCellSpacing w:w="15" w:type="dxa"/>
        </w:trPr>
        <w:tc>
          <w:tcPr>
            <w:tcW w:w="0" w:type="auto"/>
            <w:shd w:val="clear" w:color="auto" w:fill="C2D69B"/>
            <w:vAlign w:val="center"/>
            <w:hideMark/>
          </w:tcPr>
          <w:p w14:paraId="4C4BA24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C9D434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733BA09C" w14:textId="77777777" w:rsidTr="00B73FDB">
        <w:trPr>
          <w:tblCellSpacing w:w="15" w:type="dxa"/>
        </w:trPr>
        <w:tc>
          <w:tcPr>
            <w:tcW w:w="0" w:type="auto"/>
            <w:shd w:val="clear" w:color="auto" w:fill="C2D69B"/>
            <w:vAlign w:val="center"/>
            <w:hideMark/>
          </w:tcPr>
          <w:p w14:paraId="481E72C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3274A9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566339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CD5F76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7820D0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03DBE271" w14:textId="77777777" w:rsidTr="00B73FDB">
        <w:trPr>
          <w:tblCellSpacing w:w="15" w:type="dxa"/>
        </w:trPr>
        <w:tc>
          <w:tcPr>
            <w:tcW w:w="0" w:type="auto"/>
            <w:shd w:val="clear" w:color="auto" w:fill="C2D69B"/>
            <w:vAlign w:val="center"/>
            <w:hideMark/>
          </w:tcPr>
          <w:p w14:paraId="518D684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8E70D8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226 </w:t>
            </w:r>
          </w:p>
        </w:tc>
        <w:tc>
          <w:tcPr>
            <w:tcW w:w="0" w:type="auto"/>
            <w:shd w:val="clear" w:color="auto" w:fill="C2D69B"/>
            <w:noWrap/>
            <w:vAlign w:val="center"/>
            <w:hideMark/>
          </w:tcPr>
          <w:p w14:paraId="12FF507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238 </w:t>
            </w:r>
          </w:p>
        </w:tc>
        <w:tc>
          <w:tcPr>
            <w:tcW w:w="0" w:type="auto"/>
            <w:shd w:val="clear" w:color="auto" w:fill="C2D69B"/>
            <w:vAlign w:val="center"/>
            <w:hideMark/>
          </w:tcPr>
          <w:p w14:paraId="67BF675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4ED04BF" w14:textId="77777777" w:rsidR="00B73FDB" w:rsidRPr="00B73FDB" w:rsidRDefault="00B73FDB" w:rsidP="00B73FDB">
            <w:pPr>
              <w:spacing w:after="0" w:line="240" w:lineRule="auto"/>
              <w:jc w:val="center"/>
              <w:rPr>
                <w:rFonts w:cs="Calibri"/>
                <w:sz w:val="18"/>
                <w:szCs w:val="18"/>
                <w:lang w:eastAsia="sk-SK"/>
              </w:rPr>
            </w:pPr>
          </w:p>
        </w:tc>
      </w:tr>
    </w:tbl>
    <w:p w14:paraId="258AAE5E"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Plno organizovaná základná škola, ktorá poskytuje vzdelanie v 1.-9. ročníku v maďarskom jazyku. </w:t>
      </w:r>
    </w:p>
    <w:p w14:paraId="54501128"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8.2.2: Škola pre mimoriadne nadané deti, Teplická 7, BA - základná škola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31"/>
        <w:gridCol w:w="1214"/>
        <w:gridCol w:w="1212"/>
        <w:gridCol w:w="1061"/>
        <w:gridCol w:w="1212"/>
        <w:gridCol w:w="2428"/>
      </w:tblGrid>
      <w:tr w:rsidR="00B73FDB" w:rsidRPr="00B73FDB" w14:paraId="779394BD" w14:textId="77777777" w:rsidTr="00B73FDB">
        <w:trPr>
          <w:tblCellSpacing w:w="15" w:type="dxa"/>
        </w:trPr>
        <w:tc>
          <w:tcPr>
            <w:tcW w:w="268" w:type="pct"/>
            <w:shd w:val="clear" w:color="auto" w:fill="C6DBF7"/>
            <w:vAlign w:val="center"/>
            <w:hideMark/>
          </w:tcPr>
          <w:p w14:paraId="1EAF108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3D1A2BE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3013892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78823CA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375E443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366CA30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00B6958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8326C9F" w14:textId="77777777" w:rsidTr="00B73FDB">
        <w:trPr>
          <w:tblCellSpacing w:w="15" w:type="dxa"/>
        </w:trPr>
        <w:tc>
          <w:tcPr>
            <w:tcW w:w="268" w:type="pct"/>
            <w:shd w:val="clear" w:color="auto" w:fill="D9D9D9"/>
            <w:noWrap/>
            <w:vAlign w:val="center"/>
            <w:hideMark/>
          </w:tcPr>
          <w:p w14:paraId="73BE0D0C"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5D076A7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008B25E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843 515,00</w:t>
            </w:r>
            <w:r w:rsidRPr="00B73FDB">
              <w:rPr>
                <w:rFonts w:cs="Calibri"/>
                <w:sz w:val="18"/>
                <w:szCs w:val="18"/>
                <w:lang w:eastAsia="sk-SK"/>
              </w:rPr>
              <w:t xml:space="preserve"> </w:t>
            </w:r>
          </w:p>
        </w:tc>
        <w:tc>
          <w:tcPr>
            <w:tcW w:w="564" w:type="pct"/>
            <w:shd w:val="clear" w:color="auto" w:fill="D9D9D9"/>
            <w:noWrap/>
            <w:vAlign w:val="center"/>
            <w:hideMark/>
          </w:tcPr>
          <w:p w14:paraId="7538DE6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797 502,00</w:t>
            </w:r>
            <w:r w:rsidRPr="00B73FDB">
              <w:rPr>
                <w:rFonts w:cs="Calibri"/>
                <w:sz w:val="18"/>
                <w:szCs w:val="18"/>
                <w:lang w:eastAsia="sk-SK"/>
              </w:rPr>
              <w:t xml:space="preserve"> </w:t>
            </w:r>
          </w:p>
        </w:tc>
        <w:tc>
          <w:tcPr>
            <w:tcW w:w="492" w:type="pct"/>
            <w:shd w:val="clear" w:color="auto" w:fill="D9D9D9"/>
            <w:noWrap/>
            <w:vAlign w:val="center"/>
            <w:hideMark/>
          </w:tcPr>
          <w:p w14:paraId="21B857E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794 611,42</w:t>
            </w:r>
            <w:r w:rsidRPr="00B73FDB">
              <w:rPr>
                <w:rFonts w:cs="Calibri"/>
                <w:sz w:val="18"/>
                <w:szCs w:val="18"/>
                <w:lang w:eastAsia="sk-SK"/>
              </w:rPr>
              <w:t xml:space="preserve"> </w:t>
            </w:r>
          </w:p>
        </w:tc>
        <w:tc>
          <w:tcPr>
            <w:tcW w:w="564" w:type="pct"/>
            <w:shd w:val="clear" w:color="auto" w:fill="D9D9D9"/>
            <w:noWrap/>
            <w:vAlign w:val="center"/>
            <w:hideMark/>
          </w:tcPr>
          <w:p w14:paraId="3811198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99,64</w:t>
            </w:r>
            <w:r w:rsidRPr="00B73FDB">
              <w:rPr>
                <w:rFonts w:cs="Calibri"/>
                <w:sz w:val="18"/>
                <w:szCs w:val="18"/>
                <w:lang w:eastAsia="sk-SK"/>
              </w:rPr>
              <w:t xml:space="preserve"> </w:t>
            </w:r>
          </w:p>
        </w:tc>
        <w:tc>
          <w:tcPr>
            <w:tcW w:w="1136" w:type="pct"/>
            <w:vMerge w:val="restart"/>
            <w:shd w:val="clear" w:color="auto" w:fill="D9D9D9"/>
            <w:vAlign w:val="center"/>
            <w:hideMark/>
          </w:tcPr>
          <w:p w14:paraId="030C228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-53 920,00 EUR</w:t>
            </w:r>
            <w:r w:rsidRPr="00B73FDB">
              <w:rPr>
                <w:rFonts w:cs="Calibri"/>
                <w:sz w:val="18"/>
                <w:szCs w:val="18"/>
                <w:lang w:eastAsia="sk-SK"/>
              </w:rPr>
              <w:t xml:space="preserve"> normatívne finančné prostriedky,</w:t>
            </w:r>
          </w:p>
          <w:p w14:paraId="0394BB5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-5 400,00 EUR </w:t>
            </w:r>
            <w:r w:rsidRPr="00B73FDB">
              <w:rPr>
                <w:rFonts w:cs="Calibri"/>
                <w:sz w:val="18"/>
                <w:szCs w:val="18"/>
                <w:lang w:eastAsia="sk-SK"/>
              </w:rPr>
              <w:t>normatívne finančné prostriedky na školy v prírode,</w:t>
            </w:r>
          </w:p>
          <w:p w14:paraId="7BE45BA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+1 659,00 EUR </w:t>
            </w:r>
            <w:r w:rsidRPr="00B73FDB">
              <w:rPr>
                <w:rFonts w:cs="Calibri"/>
                <w:sz w:val="18"/>
                <w:szCs w:val="18"/>
                <w:lang w:eastAsia="sk-SK"/>
              </w:rPr>
              <w:t>príspevok na rekreáciu zamestnancov,</w:t>
            </w:r>
          </w:p>
          <w:p w14:paraId="029C7B4A" w14:textId="77777777" w:rsidR="00B73FDB" w:rsidRPr="00B73FDB" w:rsidRDefault="00B73FDB" w:rsidP="00B73FDB">
            <w:pPr>
              <w:spacing w:after="0" w:line="240" w:lineRule="auto"/>
              <w:jc w:val="both"/>
              <w:rPr>
                <w:rFonts w:cs="Calibri"/>
                <w:sz w:val="18"/>
                <w:szCs w:val="18"/>
                <w:lang w:eastAsia="sk-SK"/>
              </w:rPr>
            </w:pPr>
            <w:r w:rsidRPr="00B73FDB">
              <w:rPr>
                <w:rFonts w:cs="Calibri"/>
                <w:b/>
                <w:sz w:val="18"/>
                <w:szCs w:val="18"/>
                <w:lang w:eastAsia="sk-SK"/>
              </w:rPr>
              <w:t>+11 648,00 EUR</w:t>
            </w:r>
            <w:r w:rsidRPr="00B73FDB">
              <w:rPr>
                <w:rFonts w:cs="Calibri"/>
                <w:sz w:val="18"/>
                <w:szCs w:val="18"/>
                <w:lang w:eastAsia="sk-SK"/>
              </w:rPr>
              <w:t xml:space="preserve"> príspevok na učebnice.</w:t>
            </w:r>
          </w:p>
        </w:tc>
      </w:tr>
      <w:tr w:rsidR="00B73FDB" w:rsidRPr="00B73FDB" w14:paraId="2D624CD0" w14:textId="77777777" w:rsidTr="00B73FDB">
        <w:trPr>
          <w:tblCellSpacing w:w="15" w:type="dxa"/>
        </w:trPr>
        <w:tc>
          <w:tcPr>
            <w:tcW w:w="268" w:type="pct"/>
            <w:shd w:val="clear" w:color="auto" w:fill="D9D9D9"/>
            <w:noWrap/>
            <w:vAlign w:val="center"/>
            <w:hideMark/>
          </w:tcPr>
          <w:p w14:paraId="517DE61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65F087B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5792B03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843 515,00</w:t>
            </w:r>
            <w:r w:rsidRPr="00B73FDB">
              <w:rPr>
                <w:rFonts w:cs="Calibri"/>
                <w:sz w:val="18"/>
                <w:szCs w:val="18"/>
                <w:lang w:eastAsia="sk-SK"/>
              </w:rPr>
              <w:t xml:space="preserve"> </w:t>
            </w:r>
          </w:p>
        </w:tc>
        <w:tc>
          <w:tcPr>
            <w:tcW w:w="564" w:type="pct"/>
            <w:shd w:val="clear" w:color="auto" w:fill="D9D9D9"/>
            <w:noWrap/>
            <w:vAlign w:val="center"/>
            <w:hideMark/>
          </w:tcPr>
          <w:p w14:paraId="317F5E8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797 502,00</w:t>
            </w:r>
            <w:r w:rsidRPr="00B73FDB">
              <w:rPr>
                <w:rFonts w:cs="Calibri"/>
                <w:sz w:val="18"/>
                <w:szCs w:val="18"/>
                <w:lang w:eastAsia="sk-SK"/>
              </w:rPr>
              <w:t xml:space="preserve"> </w:t>
            </w:r>
          </w:p>
        </w:tc>
        <w:tc>
          <w:tcPr>
            <w:tcW w:w="492" w:type="pct"/>
            <w:shd w:val="clear" w:color="auto" w:fill="D9D9D9"/>
            <w:noWrap/>
            <w:vAlign w:val="center"/>
            <w:hideMark/>
          </w:tcPr>
          <w:p w14:paraId="7E599F5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794 611,42</w:t>
            </w:r>
            <w:r w:rsidRPr="00B73FDB">
              <w:rPr>
                <w:rFonts w:cs="Calibri"/>
                <w:sz w:val="18"/>
                <w:szCs w:val="18"/>
                <w:lang w:eastAsia="sk-SK"/>
              </w:rPr>
              <w:t xml:space="preserve"> </w:t>
            </w:r>
          </w:p>
        </w:tc>
        <w:tc>
          <w:tcPr>
            <w:tcW w:w="564" w:type="pct"/>
            <w:shd w:val="clear" w:color="auto" w:fill="D9D9D9"/>
            <w:noWrap/>
            <w:vAlign w:val="center"/>
            <w:hideMark/>
          </w:tcPr>
          <w:p w14:paraId="4F424E4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99,64</w:t>
            </w:r>
            <w:r w:rsidRPr="00B73FDB">
              <w:rPr>
                <w:rFonts w:cs="Calibri"/>
                <w:sz w:val="18"/>
                <w:szCs w:val="18"/>
                <w:lang w:eastAsia="sk-SK"/>
              </w:rPr>
              <w:t xml:space="preserve"> </w:t>
            </w:r>
          </w:p>
        </w:tc>
        <w:tc>
          <w:tcPr>
            <w:tcW w:w="1136" w:type="pct"/>
            <w:vMerge/>
            <w:shd w:val="clear" w:color="auto" w:fill="D9D9D9"/>
            <w:vAlign w:val="center"/>
            <w:hideMark/>
          </w:tcPr>
          <w:p w14:paraId="3DC0ED74"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0B384DE4" w14:textId="77777777" w:rsidTr="00B73FDB">
        <w:trPr>
          <w:tblCellSpacing w:w="15" w:type="dxa"/>
        </w:trPr>
        <w:tc>
          <w:tcPr>
            <w:tcW w:w="268" w:type="pct"/>
            <w:shd w:val="clear" w:color="auto" w:fill="EFEFEF"/>
            <w:noWrap/>
            <w:vAlign w:val="center"/>
            <w:hideMark/>
          </w:tcPr>
          <w:p w14:paraId="2F29A0F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6B107ED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72DFD66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523 104,00 </w:t>
            </w:r>
          </w:p>
        </w:tc>
        <w:tc>
          <w:tcPr>
            <w:tcW w:w="564" w:type="pct"/>
            <w:shd w:val="clear" w:color="auto" w:fill="EFEFEF"/>
            <w:noWrap/>
            <w:vAlign w:val="center"/>
            <w:hideMark/>
          </w:tcPr>
          <w:p w14:paraId="1030F97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493 282,42 </w:t>
            </w:r>
          </w:p>
        </w:tc>
        <w:tc>
          <w:tcPr>
            <w:tcW w:w="492" w:type="pct"/>
            <w:shd w:val="clear" w:color="auto" w:fill="EFEFEF"/>
            <w:noWrap/>
            <w:vAlign w:val="center"/>
            <w:hideMark/>
          </w:tcPr>
          <w:p w14:paraId="41DF58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491 391,84 </w:t>
            </w:r>
          </w:p>
        </w:tc>
        <w:tc>
          <w:tcPr>
            <w:tcW w:w="564" w:type="pct"/>
            <w:shd w:val="clear" w:color="auto" w:fill="EFEFEF"/>
            <w:noWrap/>
            <w:vAlign w:val="center"/>
            <w:hideMark/>
          </w:tcPr>
          <w:p w14:paraId="3053BDA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99,62 </w:t>
            </w:r>
          </w:p>
        </w:tc>
        <w:tc>
          <w:tcPr>
            <w:tcW w:w="1136" w:type="pct"/>
            <w:vMerge/>
            <w:shd w:val="clear" w:color="auto" w:fill="EFEFEF"/>
            <w:vAlign w:val="center"/>
            <w:hideMark/>
          </w:tcPr>
          <w:p w14:paraId="17A0B479" w14:textId="77777777" w:rsidR="00B73FDB" w:rsidRPr="00B73FDB" w:rsidRDefault="00B73FDB" w:rsidP="00B73FDB">
            <w:pPr>
              <w:spacing w:after="0" w:line="240" w:lineRule="auto"/>
              <w:rPr>
                <w:rFonts w:cs="Calibri"/>
                <w:sz w:val="18"/>
                <w:szCs w:val="18"/>
                <w:lang w:eastAsia="sk-SK"/>
              </w:rPr>
            </w:pPr>
          </w:p>
        </w:tc>
      </w:tr>
      <w:tr w:rsidR="00B73FDB" w:rsidRPr="00B73FDB" w14:paraId="508A59DB" w14:textId="77777777" w:rsidTr="00B73FDB">
        <w:trPr>
          <w:tblCellSpacing w:w="15" w:type="dxa"/>
        </w:trPr>
        <w:tc>
          <w:tcPr>
            <w:tcW w:w="268" w:type="pct"/>
            <w:shd w:val="clear" w:color="auto" w:fill="EFEFEF"/>
            <w:noWrap/>
            <w:vAlign w:val="center"/>
            <w:hideMark/>
          </w:tcPr>
          <w:p w14:paraId="0A10E5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4548842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0A039A2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182 825,00 </w:t>
            </w:r>
          </w:p>
        </w:tc>
        <w:tc>
          <w:tcPr>
            <w:tcW w:w="564" w:type="pct"/>
            <w:shd w:val="clear" w:color="auto" w:fill="EFEFEF"/>
            <w:noWrap/>
            <w:vAlign w:val="center"/>
            <w:hideMark/>
          </w:tcPr>
          <w:p w14:paraId="473C870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155 892,77 </w:t>
            </w:r>
          </w:p>
        </w:tc>
        <w:tc>
          <w:tcPr>
            <w:tcW w:w="492" w:type="pct"/>
            <w:shd w:val="clear" w:color="auto" w:fill="EFEFEF"/>
            <w:noWrap/>
            <w:vAlign w:val="center"/>
            <w:hideMark/>
          </w:tcPr>
          <w:p w14:paraId="7815FE3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155 892,77 </w:t>
            </w:r>
          </w:p>
        </w:tc>
        <w:tc>
          <w:tcPr>
            <w:tcW w:w="564" w:type="pct"/>
            <w:shd w:val="clear" w:color="auto" w:fill="EFEFEF"/>
            <w:noWrap/>
            <w:vAlign w:val="center"/>
            <w:hideMark/>
          </w:tcPr>
          <w:p w14:paraId="7EC6BE4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97D8CAC" w14:textId="77777777" w:rsidR="00B73FDB" w:rsidRPr="00B73FDB" w:rsidRDefault="00B73FDB" w:rsidP="00B73FDB">
            <w:pPr>
              <w:spacing w:after="0" w:line="240" w:lineRule="auto"/>
              <w:rPr>
                <w:rFonts w:cs="Calibri"/>
                <w:sz w:val="18"/>
                <w:szCs w:val="18"/>
                <w:lang w:eastAsia="sk-SK"/>
              </w:rPr>
            </w:pPr>
          </w:p>
        </w:tc>
      </w:tr>
      <w:tr w:rsidR="00B73FDB" w:rsidRPr="00B73FDB" w14:paraId="6CF7119F" w14:textId="77777777" w:rsidTr="00B73FDB">
        <w:trPr>
          <w:tblCellSpacing w:w="15" w:type="dxa"/>
        </w:trPr>
        <w:tc>
          <w:tcPr>
            <w:tcW w:w="268" w:type="pct"/>
            <w:shd w:val="clear" w:color="auto" w:fill="EFEFEF"/>
            <w:noWrap/>
            <w:vAlign w:val="center"/>
            <w:hideMark/>
          </w:tcPr>
          <w:p w14:paraId="66A6095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0AC02B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094B63F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137 586,00 </w:t>
            </w:r>
          </w:p>
        </w:tc>
        <w:tc>
          <w:tcPr>
            <w:tcW w:w="564" w:type="pct"/>
            <w:shd w:val="clear" w:color="auto" w:fill="EFEFEF"/>
            <w:noWrap/>
            <w:vAlign w:val="center"/>
            <w:hideMark/>
          </w:tcPr>
          <w:p w14:paraId="2C4635B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140 854,56 </w:t>
            </w:r>
          </w:p>
        </w:tc>
        <w:tc>
          <w:tcPr>
            <w:tcW w:w="492" w:type="pct"/>
            <w:shd w:val="clear" w:color="auto" w:fill="EFEFEF"/>
            <w:noWrap/>
            <w:vAlign w:val="center"/>
            <w:hideMark/>
          </w:tcPr>
          <w:p w14:paraId="1C87C8E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139 854,56 </w:t>
            </w:r>
          </w:p>
        </w:tc>
        <w:tc>
          <w:tcPr>
            <w:tcW w:w="564" w:type="pct"/>
            <w:shd w:val="clear" w:color="auto" w:fill="EFEFEF"/>
            <w:noWrap/>
            <w:vAlign w:val="center"/>
            <w:hideMark/>
          </w:tcPr>
          <w:p w14:paraId="2032554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99,29 </w:t>
            </w:r>
          </w:p>
        </w:tc>
        <w:tc>
          <w:tcPr>
            <w:tcW w:w="1136" w:type="pct"/>
            <w:vMerge/>
            <w:shd w:val="clear" w:color="auto" w:fill="EFEFEF"/>
            <w:vAlign w:val="center"/>
            <w:hideMark/>
          </w:tcPr>
          <w:p w14:paraId="45FF4496" w14:textId="77777777" w:rsidR="00B73FDB" w:rsidRPr="00B73FDB" w:rsidRDefault="00B73FDB" w:rsidP="00B73FDB">
            <w:pPr>
              <w:spacing w:after="0" w:line="240" w:lineRule="auto"/>
              <w:rPr>
                <w:rFonts w:cs="Calibri"/>
                <w:sz w:val="18"/>
                <w:szCs w:val="18"/>
                <w:lang w:eastAsia="sk-SK"/>
              </w:rPr>
            </w:pPr>
          </w:p>
        </w:tc>
      </w:tr>
    </w:tbl>
    <w:p w14:paraId="5D6BE68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03"/>
        <w:gridCol w:w="716"/>
        <w:gridCol w:w="1695"/>
        <w:gridCol w:w="1593"/>
        <w:gridCol w:w="4159"/>
      </w:tblGrid>
      <w:tr w:rsidR="00B73FDB" w:rsidRPr="00B73FDB" w14:paraId="39F174A1" w14:textId="77777777" w:rsidTr="00B73FDB">
        <w:trPr>
          <w:tblCellSpacing w:w="15" w:type="dxa"/>
        </w:trPr>
        <w:tc>
          <w:tcPr>
            <w:tcW w:w="0" w:type="auto"/>
            <w:shd w:val="clear" w:color="auto" w:fill="C2D69B"/>
            <w:vAlign w:val="center"/>
            <w:hideMark/>
          </w:tcPr>
          <w:p w14:paraId="0F77233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88E662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Riaditeľ zariadenia</w:t>
            </w:r>
            <w:r w:rsidRPr="00B73FDB">
              <w:rPr>
                <w:rFonts w:cs="Calibri"/>
                <w:sz w:val="18"/>
                <w:szCs w:val="18"/>
                <w:lang w:eastAsia="sk-SK"/>
              </w:rPr>
              <w:br/>
            </w:r>
          </w:p>
        </w:tc>
      </w:tr>
      <w:tr w:rsidR="00B73FDB" w:rsidRPr="00B73FDB" w14:paraId="39AA5FBB" w14:textId="77777777" w:rsidTr="00B73FDB">
        <w:trPr>
          <w:tblCellSpacing w:w="15" w:type="dxa"/>
        </w:trPr>
        <w:tc>
          <w:tcPr>
            <w:tcW w:w="0" w:type="auto"/>
            <w:shd w:val="clear" w:color="auto" w:fill="C2D69B"/>
            <w:vAlign w:val="center"/>
            <w:hideMark/>
          </w:tcPr>
          <w:p w14:paraId="7F14207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22FAA7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základnej škole </w:t>
            </w:r>
          </w:p>
        </w:tc>
      </w:tr>
      <w:tr w:rsidR="00B73FDB" w:rsidRPr="00B73FDB" w14:paraId="713B9D42" w14:textId="77777777" w:rsidTr="00B73FDB">
        <w:trPr>
          <w:tblCellSpacing w:w="15" w:type="dxa"/>
        </w:trPr>
        <w:tc>
          <w:tcPr>
            <w:tcW w:w="0" w:type="auto"/>
            <w:shd w:val="clear" w:color="auto" w:fill="C2D69B"/>
            <w:vAlign w:val="center"/>
            <w:hideMark/>
          </w:tcPr>
          <w:p w14:paraId="582768F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AF3ACD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7BC4B89" w14:textId="77777777" w:rsidTr="00B73FDB">
        <w:trPr>
          <w:tblCellSpacing w:w="15" w:type="dxa"/>
        </w:trPr>
        <w:tc>
          <w:tcPr>
            <w:tcW w:w="0" w:type="auto"/>
            <w:shd w:val="clear" w:color="auto" w:fill="C2D69B"/>
            <w:vAlign w:val="center"/>
            <w:hideMark/>
          </w:tcPr>
          <w:p w14:paraId="170CDA4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31F700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81A5F6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6CB444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F07C27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9814241" w14:textId="77777777" w:rsidTr="00B73FDB">
        <w:trPr>
          <w:tblCellSpacing w:w="15" w:type="dxa"/>
        </w:trPr>
        <w:tc>
          <w:tcPr>
            <w:tcW w:w="0" w:type="auto"/>
            <w:shd w:val="clear" w:color="auto" w:fill="C2D69B"/>
            <w:vAlign w:val="center"/>
            <w:hideMark/>
          </w:tcPr>
          <w:p w14:paraId="6DAAADB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7D75BB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321 </w:t>
            </w:r>
          </w:p>
        </w:tc>
        <w:tc>
          <w:tcPr>
            <w:tcW w:w="0" w:type="auto"/>
            <w:shd w:val="clear" w:color="auto" w:fill="C2D69B"/>
            <w:noWrap/>
            <w:vAlign w:val="center"/>
            <w:hideMark/>
          </w:tcPr>
          <w:p w14:paraId="2BE6364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317 </w:t>
            </w:r>
          </w:p>
        </w:tc>
        <w:tc>
          <w:tcPr>
            <w:tcW w:w="0" w:type="auto"/>
            <w:shd w:val="clear" w:color="auto" w:fill="C2D69B"/>
            <w:vAlign w:val="center"/>
            <w:hideMark/>
          </w:tcPr>
          <w:p w14:paraId="39BDF20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46F9D586"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3AB21D41" w14:textId="77777777" w:rsidTr="00B73FDB">
        <w:trPr>
          <w:tblCellSpacing w:w="15" w:type="dxa"/>
        </w:trPr>
        <w:tc>
          <w:tcPr>
            <w:tcW w:w="0" w:type="auto"/>
            <w:shd w:val="clear" w:color="auto" w:fill="C2D69B"/>
            <w:vAlign w:val="center"/>
            <w:hideMark/>
          </w:tcPr>
          <w:p w14:paraId="6ED7A9E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29CF6B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701C2D8B" w14:textId="77777777" w:rsidTr="00B73FDB">
        <w:trPr>
          <w:tblCellSpacing w:w="15" w:type="dxa"/>
        </w:trPr>
        <w:tc>
          <w:tcPr>
            <w:tcW w:w="0" w:type="auto"/>
            <w:shd w:val="clear" w:color="auto" w:fill="C2D69B"/>
            <w:vAlign w:val="center"/>
            <w:hideMark/>
          </w:tcPr>
          <w:p w14:paraId="5E191EB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4BCB6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6BD287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1C6493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EF31FE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282606D" w14:textId="77777777" w:rsidTr="00B73FDB">
        <w:trPr>
          <w:tblCellSpacing w:w="15" w:type="dxa"/>
        </w:trPr>
        <w:tc>
          <w:tcPr>
            <w:tcW w:w="0" w:type="auto"/>
            <w:shd w:val="clear" w:color="auto" w:fill="C2D69B"/>
            <w:vAlign w:val="center"/>
            <w:hideMark/>
          </w:tcPr>
          <w:p w14:paraId="040C300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29B19D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321 </w:t>
            </w:r>
          </w:p>
        </w:tc>
        <w:tc>
          <w:tcPr>
            <w:tcW w:w="0" w:type="auto"/>
            <w:shd w:val="clear" w:color="auto" w:fill="C2D69B"/>
            <w:noWrap/>
            <w:vAlign w:val="center"/>
            <w:hideMark/>
          </w:tcPr>
          <w:p w14:paraId="733B27C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317 </w:t>
            </w:r>
          </w:p>
        </w:tc>
        <w:tc>
          <w:tcPr>
            <w:tcW w:w="0" w:type="auto"/>
            <w:shd w:val="clear" w:color="auto" w:fill="C2D69B"/>
            <w:vAlign w:val="center"/>
            <w:hideMark/>
          </w:tcPr>
          <w:p w14:paraId="3F71822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009B57C2" w14:textId="77777777" w:rsidR="00B73FDB" w:rsidRPr="00B73FDB" w:rsidRDefault="00B73FDB" w:rsidP="00B73FDB">
            <w:pPr>
              <w:spacing w:after="0" w:line="240" w:lineRule="auto"/>
              <w:jc w:val="center"/>
              <w:rPr>
                <w:rFonts w:cs="Calibri"/>
                <w:sz w:val="18"/>
                <w:szCs w:val="18"/>
                <w:lang w:eastAsia="sk-SK"/>
              </w:rPr>
            </w:pPr>
          </w:p>
        </w:tc>
      </w:tr>
    </w:tbl>
    <w:p w14:paraId="3EBA2338"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Škola má 1.-5. ročník základnej školy, je zameraná na výchovu a vzdelávanie žiakov so všeobecným intelektovým nadaním. Žiaci sú prijímaní na základe diagnostikovaného nadania a škola je z hľadiska normatívneho financovania zaradená medzi školy so špeciálnym vzdelávaním.</w:t>
      </w:r>
    </w:p>
    <w:p w14:paraId="05E5F6AF"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lastRenderedPageBreak/>
        <w:t>Prvok 8.2.3: Gymnázium s vyučovacím jazykom maďarským, Dunajská 13,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6"/>
        <w:gridCol w:w="2721"/>
        <w:gridCol w:w="1224"/>
        <w:gridCol w:w="1212"/>
        <w:gridCol w:w="1073"/>
        <w:gridCol w:w="1204"/>
        <w:gridCol w:w="2426"/>
      </w:tblGrid>
      <w:tr w:rsidR="00B73FDB" w:rsidRPr="00B73FDB" w14:paraId="002572D0" w14:textId="77777777" w:rsidTr="00B73FDB">
        <w:trPr>
          <w:tblCellSpacing w:w="15" w:type="dxa"/>
        </w:trPr>
        <w:tc>
          <w:tcPr>
            <w:tcW w:w="267" w:type="pct"/>
            <w:shd w:val="clear" w:color="auto" w:fill="C6DBF7"/>
            <w:vAlign w:val="center"/>
            <w:hideMark/>
          </w:tcPr>
          <w:p w14:paraId="62355B2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4" w:type="pct"/>
            <w:shd w:val="clear" w:color="auto" w:fill="C6DBF7"/>
            <w:vAlign w:val="center"/>
            <w:hideMark/>
          </w:tcPr>
          <w:p w14:paraId="33F7079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70" w:type="pct"/>
            <w:shd w:val="clear" w:color="auto" w:fill="C6DBF7"/>
            <w:vAlign w:val="center"/>
            <w:hideMark/>
          </w:tcPr>
          <w:p w14:paraId="26EB019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20A8367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7" w:type="pct"/>
            <w:shd w:val="clear" w:color="auto" w:fill="C6DBF7"/>
            <w:vAlign w:val="center"/>
            <w:hideMark/>
          </w:tcPr>
          <w:p w14:paraId="703DAFA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0" w:type="pct"/>
            <w:shd w:val="clear" w:color="auto" w:fill="C6DBF7"/>
            <w:vAlign w:val="center"/>
            <w:hideMark/>
          </w:tcPr>
          <w:p w14:paraId="09882CE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5" w:type="pct"/>
            <w:shd w:val="clear" w:color="auto" w:fill="C6DBF7"/>
            <w:vAlign w:val="center"/>
            <w:hideMark/>
          </w:tcPr>
          <w:p w14:paraId="48304DC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1245616" w14:textId="77777777" w:rsidTr="00B73FDB">
        <w:trPr>
          <w:tblCellSpacing w:w="15" w:type="dxa"/>
        </w:trPr>
        <w:tc>
          <w:tcPr>
            <w:tcW w:w="267" w:type="pct"/>
            <w:shd w:val="clear" w:color="auto" w:fill="D9D9D9"/>
            <w:noWrap/>
            <w:vAlign w:val="center"/>
            <w:hideMark/>
          </w:tcPr>
          <w:p w14:paraId="37B25806" w14:textId="77777777" w:rsidR="00B73FDB" w:rsidRPr="00B73FDB" w:rsidRDefault="00B73FDB" w:rsidP="00B73FDB">
            <w:pPr>
              <w:spacing w:after="0" w:line="240" w:lineRule="auto"/>
              <w:jc w:val="center"/>
              <w:rPr>
                <w:rFonts w:cs="Calibri"/>
                <w:sz w:val="18"/>
                <w:szCs w:val="18"/>
                <w:lang w:eastAsia="sk-SK"/>
              </w:rPr>
            </w:pPr>
          </w:p>
        </w:tc>
        <w:tc>
          <w:tcPr>
            <w:tcW w:w="1284" w:type="pct"/>
            <w:shd w:val="clear" w:color="auto" w:fill="D9D9D9"/>
            <w:vAlign w:val="center"/>
            <w:hideMark/>
          </w:tcPr>
          <w:p w14:paraId="4FE7BC7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70" w:type="pct"/>
            <w:shd w:val="clear" w:color="auto" w:fill="D9D9D9"/>
            <w:noWrap/>
            <w:vAlign w:val="center"/>
            <w:hideMark/>
          </w:tcPr>
          <w:p w14:paraId="0835103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397 837,00</w:t>
            </w:r>
            <w:r w:rsidRPr="00B73FDB">
              <w:rPr>
                <w:rFonts w:cs="Calibri"/>
                <w:sz w:val="18"/>
                <w:szCs w:val="18"/>
                <w:lang w:eastAsia="sk-SK"/>
              </w:rPr>
              <w:t xml:space="preserve"> </w:t>
            </w:r>
          </w:p>
        </w:tc>
        <w:tc>
          <w:tcPr>
            <w:tcW w:w="564" w:type="pct"/>
            <w:shd w:val="clear" w:color="auto" w:fill="D9D9D9"/>
            <w:noWrap/>
            <w:vAlign w:val="center"/>
            <w:hideMark/>
          </w:tcPr>
          <w:p w14:paraId="76BD088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424 739,53</w:t>
            </w:r>
            <w:r w:rsidRPr="00B73FDB">
              <w:rPr>
                <w:rFonts w:cs="Calibri"/>
                <w:sz w:val="18"/>
                <w:szCs w:val="18"/>
                <w:lang w:eastAsia="sk-SK"/>
              </w:rPr>
              <w:t xml:space="preserve"> </w:t>
            </w:r>
          </w:p>
        </w:tc>
        <w:tc>
          <w:tcPr>
            <w:tcW w:w="497" w:type="pct"/>
            <w:shd w:val="clear" w:color="auto" w:fill="D9D9D9"/>
            <w:noWrap/>
            <w:vAlign w:val="center"/>
            <w:hideMark/>
          </w:tcPr>
          <w:p w14:paraId="4CFCA2A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424 264,69</w:t>
            </w:r>
            <w:r w:rsidRPr="00B73FDB">
              <w:rPr>
                <w:rFonts w:cs="Calibri"/>
                <w:sz w:val="18"/>
                <w:szCs w:val="18"/>
                <w:lang w:eastAsia="sk-SK"/>
              </w:rPr>
              <w:t xml:space="preserve"> </w:t>
            </w:r>
          </w:p>
        </w:tc>
        <w:tc>
          <w:tcPr>
            <w:tcW w:w="560" w:type="pct"/>
            <w:shd w:val="clear" w:color="auto" w:fill="D9D9D9"/>
            <w:noWrap/>
            <w:vAlign w:val="center"/>
            <w:hideMark/>
          </w:tcPr>
          <w:p w14:paraId="12F9578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99,89</w:t>
            </w:r>
            <w:r w:rsidRPr="00B73FDB">
              <w:rPr>
                <w:rFonts w:cs="Calibri"/>
                <w:sz w:val="18"/>
                <w:szCs w:val="18"/>
                <w:lang w:eastAsia="sk-SK"/>
              </w:rPr>
              <w:t xml:space="preserve"> </w:t>
            </w:r>
          </w:p>
        </w:tc>
        <w:tc>
          <w:tcPr>
            <w:tcW w:w="1135" w:type="pct"/>
            <w:vMerge w:val="restart"/>
            <w:shd w:val="clear" w:color="auto" w:fill="D9D9D9"/>
            <w:vAlign w:val="center"/>
            <w:hideMark/>
          </w:tcPr>
          <w:p w14:paraId="02A0CFD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+20 262,00 EUR</w:t>
            </w:r>
            <w:r w:rsidRPr="00B73FDB">
              <w:rPr>
                <w:rFonts w:cs="Calibri"/>
                <w:sz w:val="18"/>
                <w:szCs w:val="18"/>
                <w:lang w:eastAsia="sk-SK"/>
              </w:rPr>
              <w:t xml:space="preserve"> normatívne finančné prostriedky,</w:t>
            </w:r>
          </w:p>
          <w:p w14:paraId="6E51F1C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+127,00 EUR</w:t>
            </w:r>
            <w:r w:rsidRPr="00B73FDB">
              <w:rPr>
                <w:rFonts w:cs="Calibri"/>
                <w:sz w:val="18"/>
                <w:szCs w:val="18"/>
                <w:lang w:eastAsia="sk-SK"/>
              </w:rPr>
              <w:t xml:space="preserve"> normatívne finančné prostriedky na maturity,</w:t>
            </w:r>
          </w:p>
          <w:p w14:paraId="58B51924"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+945,00 EUR</w:t>
            </w:r>
            <w:r w:rsidRPr="00B73FDB">
              <w:rPr>
                <w:rFonts w:cs="Calibri"/>
                <w:sz w:val="18"/>
                <w:szCs w:val="18"/>
                <w:lang w:eastAsia="sk-SK"/>
              </w:rPr>
              <w:t xml:space="preserve"> príspevok na rekreáciu zamestnancov,</w:t>
            </w:r>
          </w:p>
          <w:p w14:paraId="36924D5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-96,00 EUR </w:t>
            </w:r>
            <w:r w:rsidRPr="00B73FDB">
              <w:rPr>
                <w:rFonts w:cs="Calibri"/>
                <w:sz w:val="18"/>
                <w:szCs w:val="18"/>
                <w:lang w:eastAsia="sk-SK"/>
              </w:rPr>
              <w:t>nenormatívne finančné prostriedky na vzdelávacie poukazy,</w:t>
            </w:r>
          </w:p>
          <w:p w14:paraId="25AD3B6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+5 164,00 EUR</w:t>
            </w:r>
            <w:r w:rsidRPr="00B73FDB">
              <w:rPr>
                <w:rFonts w:cs="Calibri"/>
                <w:sz w:val="18"/>
                <w:szCs w:val="18"/>
                <w:lang w:eastAsia="sk-SK"/>
              </w:rPr>
              <w:t xml:space="preserve"> odchodné do dôchodku,</w:t>
            </w:r>
          </w:p>
          <w:p w14:paraId="01CD890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+500,00 EUR</w:t>
            </w:r>
            <w:r w:rsidRPr="00B73FDB">
              <w:rPr>
                <w:rFonts w:cs="Calibri"/>
                <w:sz w:val="18"/>
                <w:szCs w:val="18"/>
                <w:lang w:eastAsia="sk-SK"/>
              </w:rPr>
              <w:t xml:space="preserve"> rozvojový projekt,</w:t>
            </w:r>
          </w:p>
          <w:p w14:paraId="450DE55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+0,53 EUR</w:t>
            </w:r>
            <w:r w:rsidRPr="00B73FDB">
              <w:rPr>
                <w:rFonts w:cs="Calibri"/>
                <w:sz w:val="18"/>
                <w:szCs w:val="18"/>
                <w:lang w:eastAsia="sk-SK"/>
              </w:rPr>
              <w:t xml:space="preserve"> nevyčerpané finančné prostriedky z r. 2019.</w:t>
            </w:r>
          </w:p>
        </w:tc>
      </w:tr>
      <w:tr w:rsidR="00B73FDB" w:rsidRPr="00B73FDB" w14:paraId="057A3191" w14:textId="77777777" w:rsidTr="00B73FDB">
        <w:trPr>
          <w:tblCellSpacing w:w="15" w:type="dxa"/>
        </w:trPr>
        <w:tc>
          <w:tcPr>
            <w:tcW w:w="267" w:type="pct"/>
            <w:shd w:val="clear" w:color="auto" w:fill="D9D9D9"/>
            <w:noWrap/>
            <w:vAlign w:val="center"/>
            <w:hideMark/>
          </w:tcPr>
          <w:p w14:paraId="2A0750C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4" w:type="pct"/>
            <w:shd w:val="clear" w:color="auto" w:fill="D9D9D9"/>
            <w:vAlign w:val="center"/>
            <w:hideMark/>
          </w:tcPr>
          <w:p w14:paraId="75B394E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70" w:type="pct"/>
            <w:shd w:val="clear" w:color="auto" w:fill="D9D9D9"/>
            <w:noWrap/>
            <w:vAlign w:val="center"/>
            <w:hideMark/>
          </w:tcPr>
          <w:p w14:paraId="05641FE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397 837,00</w:t>
            </w:r>
            <w:r w:rsidRPr="00B73FDB">
              <w:rPr>
                <w:rFonts w:cs="Calibri"/>
                <w:sz w:val="18"/>
                <w:szCs w:val="18"/>
                <w:lang w:eastAsia="sk-SK"/>
              </w:rPr>
              <w:t xml:space="preserve"> </w:t>
            </w:r>
          </w:p>
        </w:tc>
        <w:tc>
          <w:tcPr>
            <w:tcW w:w="564" w:type="pct"/>
            <w:shd w:val="clear" w:color="auto" w:fill="D9D9D9"/>
            <w:noWrap/>
            <w:vAlign w:val="center"/>
            <w:hideMark/>
          </w:tcPr>
          <w:p w14:paraId="6D28035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424 739,53</w:t>
            </w:r>
            <w:r w:rsidRPr="00B73FDB">
              <w:rPr>
                <w:rFonts w:cs="Calibri"/>
                <w:sz w:val="18"/>
                <w:szCs w:val="18"/>
                <w:lang w:eastAsia="sk-SK"/>
              </w:rPr>
              <w:t xml:space="preserve"> </w:t>
            </w:r>
          </w:p>
        </w:tc>
        <w:tc>
          <w:tcPr>
            <w:tcW w:w="497" w:type="pct"/>
            <w:shd w:val="clear" w:color="auto" w:fill="D9D9D9"/>
            <w:noWrap/>
            <w:vAlign w:val="center"/>
            <w:hideMark/>
          </w:tcPr>
          <w:p w14:paraId="3314B2B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424 264,69</w:t>
            </w:r>
            <w:r w:rsidRPr="00B73FDB">
              <w:rPr>
                <w:rFonts w:cs="Calibri"/>
                <w:sz w:val="18"/>
                <w:szCs w:val="18"/>
                <w:lang w:eastAsia="sk-SK"/>
              </w:rPr>
              <w:t xml:space="preserve"> </w:t>
            </w:r>
          </w:p>
        </w:tc>
        <w:tc>
          <w:tcPr>
            <w:tcW w:w="560" w:type="pct"/>
            <w:shd w:val="clear" w:color="auto" w:fill="D9D9D9"/>
            <w:noWrap/>
            <w:vAlign w:val="center"/>
            <w:hideMark/>
          </w:tcPr>
          <w:p w14:paraId="3C19D50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99,89</w:t>
            </w:r>
            <w:r w:rsidRPr="00B73FDB">
              <w:rPr>
                <w:rFonts w:cs="Calibri"/>
                <w:sz w:val="18"/>
                <w:szCs w:val="18"/>
                <w:lang w:eastAsia="sk-SK"/>
              </w:rPr>
              <w:t xml:space="preserve"> </w:t>
            </w:r>
          </w:p>
        </w:tc>
        <w:tc>
          <w:tcPr>
            <w:tcW w:w="1135" w:type="pct"/>
            <w:vMerge/>
            <w:shd w:val="clear" w:color="auto" w:fill="D9D9D9"/>
            <w:vAlign w:val="center"/>
            <w:hideMark/>
          </w:tcPr>
          <w:p w14:paraId="460D40C2"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5D4D136" w14:textId="77777777" w:rsidTr="00B73FDB">
        <w:trPr>
          <w:tblCellSpacing w:w="15" w:type="dxa"/>
        </w:trPr>
        <w:tc>
          <w:tcPr>
            <w:tcW w:w="267" w:type="pct"/>
            <w:shd w:val="clear" w:color="auto" w:fill="EFEFEF"/>
            <w:noWrap/>
            <w:vAlign w:val="center"/>
            <w:hideMark/>
          </w:tcPr>
          <w:p w14:paraId="3BCC280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4" w:type="pct"/>
            <w:shd w:val="clear" w:color="auto" w:fill="EFEFEF"/>
            <w:vAlign w:val="center"/>
            <w:hideMark/>
          </w:tcPr>
          <w:p w14:paraId="222919D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70" w:type="pct"/>
            <w:shd w:val="clear" w:color="auto" w:fill="EFEFEF"/>
            <w:noWrap/>
            <w:vAlign w:val="center"/>
            <w:hideMark/>
          </w:tcPr>
          <w:p w14:paraId="1DD04F6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246 000,00 </w:t>
            </w:r>
          </w:p>
        </w:tc>
        <w:tc>
          <w:tcPr>
            <w:tcW w:w="564" w:type="pct"/>
            <w:shd w:val="clear" w:color="auto" w:fill="EFEFEF"/>
            <w:noWrap/>
            <w:vAlign w:val="center"/>
            <w:hideMark/>
          </w:tcPr>
          <w:p w14:paraId="5B81F7A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263 015,43 </w:t>
            </w:r>
          </w:p>
        </w:tc>
        <w:tc>
          <w:tcPr>
            <w:tcW w:w="497" w:type="pct"/>
            <w:shd w:val="clear" w:color="auto" w:fill="EFEFEF"/>
            <w:noWrap/>
            <w:vAlign w:val="center"/>
            <w:hideMark/>
          </w:tcPr>
          <w:p w14:paraId="2406C3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263 015,43 </w:t>
            </w:r>
          </w:p>
        </w:tc>
        <w:tc>
          <w:tcPr>
            <w:tcW w:w="560" w:type="pct"/>
            <w:shd w:val="clear" w:color="auto" w:fill="EFEFEF"/>
            <w:noWrap/>
            <w:vAlign w:val="center"/>
            <w:hideMark/>
          </w:tcPr>
          <w:p w14:paraId="3284B6F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286C17AB" w14:textId="77777777" w:rsidR="00B73FDB" w:rsidRPr="00B73FDB" w:rsidRDefault="00B73FDB" w:rsidP="00B73FDB">
            <w:pPr>
              <w:spacing w:after="0" w:line="240" w:lineRule="auto"/>
              <w:rPr>
                <w:rFonts w:cs="Calibri"/>
                <w:sz w:val="18"/>
                <w:szCs w:val="18"/>
                <w:lang w:eastAsia="sk-SK"/>
              </w:rPr>
            </w:pPr>
          </w:p>
        </w:tc>
      </w:tr>
      <w:tr w:rsidR="00B73FDB" w:rsidRPr="00B73FDB" w14:paraId="02798F7F" w14:textId="77777777" w:rsidTr="00B73FDB">
        <w:trPr>
          <w:tblCellSpacing w:w="15" w:type="dxa"/>
        </w:trPr>
        <w:tc>
          <w:tcPr>
            <w:tcW w:w="267" w:type="pct"/>
            <w:shd w:val="clear" w:color="auto" w:fill="EFEFEF"/>
            <w:noWrap/>
            <w:vAlign w:val="center"/>
            <w:hideMark/>
          </w:tcPr>
          <w:p w14:paraId="606AF98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4" w:type="pct"/>
            <w:shd w:val="clear" w:color="auto" w:fill="EFEFEF"/>
            <w:vAlign w:val="center"/>
            <w:hideMark/>
          </w:tcPr>
          <w:p w14:paraId="02F2B17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70" w:type="pct"/>
            <w:shd w:val="clear" w:color="auto" w:fill="EFEFEF"/>
            <w:noWrap/>
            <w:vAlign w:val="center"/>
            <w:hideMark/>
          </w:tcPr>
          <w:p w14:paraId="338FEA4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85 977,00 </w:t>
            </w:r>
          </w:p>
        </w:tc>
        <w:tc>
          <w:tcPr>
            <w:tcW w:w="564" w:type="pct"/>
            <w:shd w:val="clear" w:color="auto" w:fill="EFEFEF"/>
            <w:noWrap/>
            <w:vAlign w:val="center"/>
            <w:hideMark/>
          </w:tcPr>
          <w:p w14:paraId="331B151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89 003,90 </w:t>
            </w:r>
          </w:p>
        </w:tc>
        <w:tc>
          <w:tcPr>
            <w:tcW w:w="497" w:type="pct"/>
            <w:shd w:val="clear" w:color="auto" w:fill="EFEFEF"/>
            <w:noWrap/>
            <w:vAlign w:val="center"/>
            <w:hideMark/>
          </w:tcPr>
          <w:p w14:paraId="3104CA6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89 003,90 </w:t>
            </w:r>
          </w:p>
        </w:tc>
        <w:tc>
          <w:tcPr>
            <w:tcW w:w="560" w:type="pct"/>
            <w:shd w:val="clear" w:color="auto" w:fill="EFEFEF"/>
            <w:noWrap/>
            <w:vAlign w:val="center"/>
            <w:hideMark/>
          </w:tcPr>
          <w:p w14:paraId="1FD6A4D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087EC5DE" w14:textId="77777777" w:rsidR="00B73FDB" w:rsidRPr="00B73FDB" w:rsidRDefault="00B73FDB" w:rsidP="00B73FDB">
            <w:pPr>
              <w:spacing w:after="0" w:line="240" w:lineRule="auto"/>
              <w:rPr>
                <w:rFonts w:cs="Calibri"/>
                <w:sz w:val="18"/>
                <w:szCs w:val="18"/>
                <w:lang w:eastAsia="sk-SK"/>
              </w:rPr>
            </w:pPr>
          </w:p>
        </w:tc>
      </w:tr>
      <w:tr w:rsidR="00B73FDB" w:rsidRPr="00B73FDB" w14:paraId="657E4F23" w14:textId="77777777" w:rsidTr="00B73FDB">
        <w:trPr>
          <w:tblCellSpacing w:w="15" w:type="dxa"/>
        </w:trPr>
        <w:tc>
          <w:tcPr>
            <w:tcW w:w="267" w:type="pct"/>
            <w:shd w:val="clear" w:color="auto" w:fill="EFEFEF"/>
            <w:noWrap/>
            <w:vAlign w:val="center"/>
            <w:hideMark/>
          </w:tcPr>
          <w:p w14:paraId="0C82B74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4" w:type="pct"/>
            <w:shd w:val="clear" w:color="auto" w:fill="EFEFEF"/>
            <w:vAlign w:val="center"/>
            <w:hideMark/>
          </w:tcPr>
          <w:p w14:paraId="0DBEFFB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70" w:type="pct"/>
            <w:shd w:val="clear" w:color="auto" w:fill="EFEFEF"/>
            <w:noWrap/>
            <w:vAlign w:val="center"/>
            <w:hideMark/>
          </w:tcPr>
          <w:p w14:paraId="7364A17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65 860,00 </w:t>
            </w:r>
          </w:p>
        </w:tc>
        <w:tc>
          <w:tcPr>
            <w:tcW w:w="564" w:type="pct"/>
            <w:shd w:val="clear" w:color="auto" w:fill="EFEFEF"/>
            <w:noWrap/>
            <w:vAlign w:val="center"/>
            <w:hideMark/>
          </w:tcPr>
          <w:p w14:paraId="7692C08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67 100,62 </w:t>
            </w:r>
          </w:p>
        </w:tc>
        <w:tc>
          <w:tcPr>
            <w:tcW w:w="497" w:type="pct"/>
            <w:shd w:val="clear" w:color="auto" w:fill="EFEFEF"/>
            <w:noWrap/>
            <w:vAlign w:val="center"/>
            <w:hideMark/>
          </w:tcPr>
          <w:p w14:paraId="76F029E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66 625,78 </w:t>
            </w:r>
          </w:p>
        </w:tc>
        <w:tc>
          <w:tcPr>
            <w:tcW w:w="560" w:type="pct"/>
            <w:shd w:val="clear" w:color="auto" w:fill="EFEFEF"/>
            <w:noWrap/>
            <w:vAlign w:val="center"/>
            <w:hideMark/>
          </w:tcPr>
          <w:p w14:paraId="76841AF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99,29 </w:t>
            </w:r>
          </w:p>
        </w:tc>
        <w:tc>
          <w:tcPr>
            <w:tcW w:w="1135" w:type="pct"/>
            <w:vMerge/>
            <w:shd w:val="clear" w:color="auto" w:fill="EFEFEF"/>
            <w:vAlign w:val="center"/>
            <w:hideMark/>
          </w:tcPr>
          <w:p w14:paraId="450B81C5" w14:textId="77777777" w:rsidR="00B73FDB" w:rsidRPr="00B73FDB" w:rsidRDefault="00B73FDB" w:rsidP="00B73FDB">
            <w:pPr>
              <w:spacing w:after="0" w:line="240" w:lineRule="auto"/>
              <w:rPr>
                <w:rFonts w:cs="Calibri"/>
                <w:sz w:val="18"/>
                <w:szCs w:val="18"/>
                <w:lang w:eastAsia="sk-SK"/>
              </w:rPr>
            </w:pPr>
          </w:p>
        </w:tc>
      </w:tr>
    </w:tbl>
    <w:p w14:paraId="39AED31F"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03"/>
        <w:gridCol w:w="716"/>
        <w:gridCol w:w="1695"/>
        <w:gridCol w:w="1593"/>
        <w:gridCol w:w="4159"/>
      </w:tblGrid>
      <w:tr w:rsidR="00B73FDB" w:rsidRPr="00B73FDB" w14:paraId="40C3C9DB" w14:textId="77777777" w:rsidTr="00B73FDB">
        <w:trPr>
          <w:tblCellSpacing w:w="15" w:type="dxa"/>
        </w:trPr>
        <w:tc>
          <w:tcPr>
            <w:tcW w:w="0" w:type="auto"/>
            <w:shd w:val="clear" w:color="auto" w:fill="C2D69B"/>
            <w:vAlign w:val="center"/>
            <w:hideMark/>
          </w:tcPr>
          <w:p w14:paraId="02E62B3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313FC5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09AF1526" w14:textId="77777777" w:rsidTr="00B73FDB">
        <w:trPr>
          <w:tblCellSpacing w:w="15" w:type="dxa"/>
        </w:trPr>
        <w:tc>
          <w:tcPr>
            <w:tcW w:w="0" w:type="auto"/>
            <w:shd w:val="clear" w:color="auto" w:fill="C2D69B"/>
            <w:vAlign w:val="center"/>
            <w:hideMark/>
          </w:tcPr>
          <w:p w14:paraId="3223AEE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1DF98D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základnej škole </w:t>
            </w:r>
          </w:p>
        </w:tc>
      </w:tr>
      <w:tr w:rsidR="00B73FDB" w:rsidRPr="00B73FDB" w14:paraId="2147F14F" w14:textId="77777777" w:rsidTr="00B73FDB">
        <w:trPr>
          <w:tblCellSpacing w:w="15" w:type="dxa"/>
        </w:trPr>
        <w:tc>
          <w:tcPr>
            <w:tcW w:w="0" w:type="auto"/>
            <w:shd w:val="clear" w:color="auto" w:fill="C2D69B"/>
            <w:vAlign w:val="center"/>
            <w:hideMark/>
          </w:tcPr>
          <w:p w14:paraId="1CCB198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69F889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335129C0" w14:textId="77777777" w:rsidTr="00B73FDB">
        <w:trPr>
          <w:tblCellSpacing w:w="15" w:type="dxa"/>
        </w:trPr>
        <w:tc>
          <w:tcPr>
            <w:tcW w:w="0" w:type="auto"/>
            <w:shd w:val="clear" w:color="auto" w:fill="C2D69B"/>
            <w:vAlign w:val="center"/>
            <w:hideMark/>
          </w:tcPr>
          <w:p w14:paraId="60011F1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6139D5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986D09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3FE0C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444828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0374960" w14:textId="77777777" w:rsidTr="00B73FDB">
        <w:trPr>
          <w:tblCellSpacing w:w="15" w:type="dxa"/>
        </w:trPr>
        <w:tc>
          <w:tcPr>
            <w:tcW w:w="0" w:type="auto"/>
            <w:shd w:val="clear" w:color="auto" w:fill="C2D69B"/>
            <w:vAlign w:val="center"/>
            <w:hideMark/>
          </w:tcPr>
          <w:p w14:paraId="4BBB6C0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02B90F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146 </w:t>
            </w:r>
          </w:p>
        </w:tc>
        <w:tc>
          <w:tcPr>
            <w:tcW w:w="0" w:type="auto"/>
            <w:shd w:val="clear" w:color="auto" w:fill="C2D69B"/>
            <w:noWrap/>
            <w:vAlign w:val="center"/>
            <w:hideMark/>
          </w:tcPr>
          <w:p w14:paraId="5264764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140 </w:t>
            </w:r>
          </w:p>
        </w:tc>
        <w:tc>
          <w:tcPr>
            <w:tcW w:w="0" w:type="auto"/>
            <w:shd w:val="clear" w:color="auto" w:fill="C2D69B"/>
            <w:vAlign w:val="center"/>
            <w:hideMark/>
          </w:tcPr>
          <w:p w14:paraId="731B081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F133DD0"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7FDCEA6" w14:textId="77777777" w:rsidTr="00B73FDB">
        <w:trPr>
          <w:tblCellSpacing w:w="15" w:type="dxa"/>
        </w:trPr>
        <w:tc>
          <w:tcPr>
            <w:tcW w:w="0" w:type="auto"/>
            <w:shd w:val="clear" w:color="auto" w:fill="C2D69B"/>
            <w:vAlign w:val="center"/>
            <w:hideMark/>
          </w:tcPr>
          <w:p w14:paraId="7406C89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34ACF4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2E81639" w14:textId="77777777" w:rsidTr="00B73FDB">
        <w:trPr>
          <w:tblCellSpacing w:w="15" w:type="dxa"/>
        </w:trPr>
        <w:tc>
          <w:tcPr>
            <w:tcW w:w="0" w:type="auto"/>
            <w:shd w:val="clear" w:color="auto" w:fill="C2D69B"/>
            <w:vAlign w:val="center"/>
            <w:hideMark/>
          </w:tcPr>
          <w:p w14:paraId="4EED8E9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A834F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A9A5B3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EAA601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934352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69AFFD1" w14:textId="77777777" w:rsidTr="00B73FDB">
        <w:trPr>
          <w:tblCellSpacing w:w="15" w:type="dxa"/>
        </w:trPr>
        <w:tc>
          <w:tcPr>
            <w:tcW w:w="0" w:type="auto"/>
            <w:shd w:val="clear" w:color="auto" w:fill="C2D69B"/>
            <w:vAlign w:val="center"/>
            <w:hideMark/>
          </w:tcPr>
          <w:p w14:paraId="2CA9689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A1F3C0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143 </w:t>
            </w:r>
          </w:p>
        </w:tc>
        <w:tc>
          <w:tcPr>
            <w:tcW w:w="0" w:type="auto"/>
            <w:shd w:val="clear" w:color="auto" w:fill="C2D69B"/>
            <w:noWrap/>
            <w:vAlign w:val="center"/>
            <w:hideMark/>
          </w:tcPr>
          <w:p w14:paraId="1B4FC9F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135 </w:t>
            </w:r>
          </w:p>
        </w:tc>
        <w:tc>
          <w:tcPr>
            <w:tcW w:w="0" w:type="auto"/>
            <w:shd w:val="clear" w:color="auto" w:fill="C2D69B"/>
            <w:vAlign w:val="center"/>
            <w:hideMark/>
          </w:tcPr>
          <w:p w14:paraId="5F02E8E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0DADFBA1" w14:textId="77777777" w:rsidR="00B73FDB" w:rsidRPr="00B73FDB" w:rsidRDefault="00B73FDB" w:rsidP="00B73FDB">
            <w:pPr>
              <w:spacing w:after="0" w:line="240" w:lineRule="auto"/>
              <w:jc w:val="center"/>
              <w:rPr>
                <w:rFonts w:cs="Calibri"/>
                <w:sz w:val="18"/>
                <w:szCs w:val="18"/>
                <w:lang w:eastAsia="sk-SK"/>
              </w:rPr>
            </w:pPr>
          </w:p>
        </w:tc>
      </w:tr>
    </w:tbl>
    <w:p w14:paraId="6354D4D5"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Gymnázium poskytuje všeobecné vzdelanie v jazyku národnostnej menšiny. Forma štúdia - 4-ročná, denná.</w:t>
      </w:r>
    </w:p>
    <w:p w14:paraId="4875DC66"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8.2.4: Škola pre mimoriadne nadané deti, Teplická 7, BA – gymnázium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6"/>
        <w:gridCol w:w="2727"/>
        <w:gridCol w:w="1210"/>
        <w:gridCol w:w="1226"/>
        <w:gridCol w:w="1057"/>
        <w:gridCol w:w="1216"/>
        <w:gridCol w:w="2424"/>
      </w:tblGrid>
      <w:tr w:rsidR="00B73FDB" w:rsidRPr="00B73FDB" w14:paraId="43A99FCB" w14:textId="77777777" w:rsidTr="00B73FDB">
        <w:trPr>
          <w:tblCellSpacing w:w="15" w:type="dxa"/>
        </w:trPr>
        <w:tc>
          <w:tcPr>
            <w:tcW w:w="267" w:type="pct"/>
            <w:shd w:val="clear" w:color="auto" w:fill="C6DBF7"/>
            <w:vAlign w:val="center"/>
            <w:hideMark/>
          </w:tcPr>
          <w:p w14:paraId="6C9519E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2F0FC5D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0B261DA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71" w:type="pct"/>
            <w:shd w:val="clear" w:color="auto" w:fill="C6DBF7"/>
            <w:vAlign w:val="center"/>
            <w:hideMark/>
          </w:tcPr>
          <w:p w14:paraId="504D5BC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0" w:type="pct"/>
            <w:shd w:val="clear" w:color="auto" w:fill="C6DBF7"/>
            <w:vAlign w:val="center"/>
            <w:hideMark/>
          </w:tcPr>
          <w:p w14:paraId="42C5AF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6" w:type="pct"/>
            <w:shd w:val="clear" w:color="auto" w:fill="C6DBF7"/>
            <w:vAlign w:val="center"/>
            <w:hideMark/>
          </w:tcPr>
          <w:p w14:paraId="34F5A67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4" w:type="pct"/>
            <w:shd w:val="clear" w:color="auto" w:fill="C6DBF7"/>
            <w:vAlign w:val="center"/>
            <w:hideMark/>
          </w:tcPr>
          <w:p w14:paraId="4EFFBAA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514980A" w14:textId="77777777" w:rsidTr="00B73FDB">
        <w:trPr>
          <w:tblCellSpacing w:w="15" w:type="dxa"/>
        </w:trPr>
        <w:tc>
          <w:tcPr>
            <w:tcW w:w="267" w:type="pct"/>
            <w:shd w:val="clear" w:color="auto" w:fill="D9D9D9"/>
            <w:noWrap/>
            <w:vAlign w:val="center"/>
            <w:hideMark/>
          </w:tcPr>
          <w:p w14:paraId="5D640EE1"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629BA94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08BAC77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1 486 545,00</w:t>
            </w:r>
            <w:r w:rsidRPr="00B73FDB">
              <w:rPr>
                <w:rFonts w:cs="Calibri"/>
                <w:sz w:val="18"/>
                <w:szCs w:val="18"/>
                <w:lang w:eastAsia="sk-SK"/>
              </w:rPr>
              <w:t xml:space="preserve"> </w:t>
            </w:r>
          </w:p>
        </w:tc>
        <w:tc>
          <w:tcPr>
            <w:tcW w:w="571" w:type="pct"/>
            <w:shd w:val="clear" w:color="auto" w:fill="D9D9D9"/>
            <w:noWrap/>
            <w:vAlign w:val="center"/>
            <w:hideMark/>
          </w:tcPr>
          <w:p w14:paraId="0082E79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1 507 674,01</w:t>
            </w:r>
            <w:r w:rsidRPr="00B73FDB">
              <w:rPr>
                <w:rFonts w:cs="Calibri"/>
                <w:sz w:val="18"/>
                <w:szCs w:val="18"/>
                <w:lang w:eastAsia="sk-SK"/>
              </w:rPr>
              <w:t xml:space="preserve"> </w:t>
            </w:r>
          </w:p>
        </w:tc>
        <w:tc>
          <w:tcPr>
            <w:tcW w:w="490" w:type="pct"/>
            <w:shd w:val="clear" w:color="auto" w:fill="D9D9D9"/>
            <w:noWrap/>
            <w:vAlign w:val="center"/>
            <w:hideMark/>
          </w:tcPr>
          <w:p w14:paraId="38FA562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1 486 812,64</w:t>
            </w:r>
            <w:r w:rsidRPr="00B73FDB">
              <w:rPr>
                <w:rFonts w:cs="Calibri"/>
                <w:sz w:val="18"/>
                <w:szCs w:val="18"/>
                <w:lang w:eastAsia="sk-SK"/>
              </w:rPr>
              <w:t xml:space="preserve"> </w:t>
            </w:r>
          </w:p>
        </w:tc>
        <w:tc>
          <w:tcPr>
            <w:tcW w:w="566" w:type="pct"/>
            <w:shd w:val="clear" w:color="auto" w:fill="D9D9D9"/>
            <w:noWrap/>
            <w:vAlign w:val="center"/>
            <w:hideMark/>
          </w:tcPr>
          <w:p w14:paraId="76C8040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98,62</w:t>
            </w:r>
            <w:r w:rsidRPr="00B73FDB">
              <w:rPr>
                <w:rFonts w:cs="Calibri"/>
                <w:sz w:val="18"/>
                <w:szCs w:val="18"/>
                <w:lang w:eastAsia="sk-SK"/>
              </w:rPr>
              <w:t xml:space="preserve"> </w:t>
            </w:r>
          </w:p>
        </w:tc>
        <w:tc>
          <w:tcPr>
            <w:tcW w:w="1134" w:type="pct"/>
            <w:vMerge w:val="restart"/>
            <w:shd w:val="clear" w:color="auto" w:fill="D9D9D9"/>
            <w:vAlign w:val="center"/>
            <w:hideMark/>
          </w:tcPr>
          <w:p w14:paraId="724ED75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-6 503,57,00 EUR</w:t>
            </w:r>
            <w:r w:rsidRPr="00B73FDB">
              <w:rPr>
                <w:rFonts w:cs="Calibri"/>
                <w:sz w:val="18"/>
                <w:szCs w:val="18"/>
                <w:lang w:eastAsia="sk-SK"/>
              </w:rPr>
              <w:t xml:space="preserve"> normatívne finančné prostriedky,</w:t>
            </w:r>
          </w:p>
          <w:p w14:paraId="55A7B59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+184,00 EUR</w:t>
            </w:r>
            <w:r w:rsidRPr="00B73FDB">
              <w:rPr>
                <w:rFonts w:cs="Calibri"/>
                <w:sz w:val="18"/>
                <w:szCs w:val="18"/>
                <w:lang w:eastAsia="sk-SK"/>
              </w:rPr>
              <w:t xml:space="preserve"> normatívne finančné prostriedky na maturity,</w:t>
            </w:r>
          </w:p>
          <w:p w14:paraId="1DEF2ADE"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+1 698,00 EUR</w:t>
            </w:r>
            <w:r w:rsidRPr="00B73FDB">
              <w:rPr>
                <w:rFonts w:cs="Calibri"/>
                <w:sz w:val="18"/>
                <w:szCs w:val="18"/>
                <w:lang w:eastAsia="sk-SK"/>
              </w:rPr>
              <w:t xml:space="preserve"> príspevok na rekreáciu zamestnancov,</w:t>
            </w:r>
          </w:p>
          <w:p w14:paraId="7B4C508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-2 951,00 EUR </w:t>
            </w:r>
            <w:r w:rsidRPr="00B73FDB">
              <w:rPr>
                <w:rFonts w:cs="Calibri"/>
                <w:sz w:val="18"/>
                <w:szCs w:val="18"/>
                <w:lang w:eastAsia="sk-SK"/>
              </w:rPr>
              <w:t>nenormatívne finančné prostriedky na vzdelávacie poukazy,</w:t>
            </w:r>
          </w:p>
          <w:p w14:paraId="39BA28A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+2 400,00 EUR</w:t>
            </w:r>
            <w:r w:rsidRPr="00B73FDB">
              <w:rPr>
                <w:rFonts w:cs="Calibri"/>
                <w:sz w:val="18"/>
                <w:szCs w:val="18"/>
                <w:lang w:eastAsia="sk-SK"/>
              </w:rPr>
              <w:t xml:space="preserve"> nenormatívne finančné prostriedky za mimoriadne výsledky žiakov,</w:t>
            </w:r>
          </w:p>
          <w:p w14:paraId="35B57D6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+233,00 EUR</w:t>
            </w:r>
            <w:r w:rsidRPr="00B73FDB">
              <w:rPr>
                <w:rFonts w:cs="Calibri"/>
                <w:sz w:val="18"/>
                <w:szCs w:val="18"/>
                <w:lang w:eastAsia="sk-SK"/>
              </w:rPr>
              <w:t xml:space="preserve"> nenormatívne finančné prostriedky na lyžiarske kurzy,</w:t>
            </w:r>
          </w:p>
          <w:p w14:paraId="0E97EAB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+26 068,58 EUR</w:t>
            </w:r>
            <w:r w:rsidRPr="00B73FDB">
              <w:rPr>
                <w:rFonts w:cs="Calibri"/>
                <w:sz w:val="18"/>
                <w:szCs w:val="18"/>
                <w:lang w:eastAsia="sk-SK"/>
              </w:rPr>
              <w:t xml:space="preserve"> nevyčerpané finančné prostriedky z r. 2019.</w:t>
            </w:r>
          </w:p>
        </w:tc>
      </w:tr>
      <w:tr w:rsidR="00B73FDB" w:rsidRPr="00B73FDB" w14:paraId="77980931" w14:textId="77777777" w:rsidTr="00B73FDB">
        <w:trPr>
          <w:tblCellSpacing w:w="15" w:type="dxa"/>
        </w:trPr>
        <w:tc>
          <w:tcPr>
            <w:tcW w:w="267" w:type="pct"/>
            <w:shd w:val="clear" w:color="auto" w:fill="D9D9D9"/>
            <w:noWrap/>
            <w:vAlign w:val="center"/>
            <w:hideMark/>
          </w:tcPr>
          <w:p w14:paraId="3219B9D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1FFBFB1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20DBCCB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1 486 545,00</w:t>
            </w:r>
            <w:r w:rsidRPr="00B73FDB">
              <w:rPr>
                <w:rFonts w:cs="Calibri"/>
                <w:sz w:val="18"/>
                <w:szCs w:val="18"/>
                <w:lang w:eastAsia="sk-SK"/>
              </w:rPr>
              <w:t xml:space="preserve"> </w:t>
            </w:r>
          </w:p>
        </w:tc>
        <w:tc>
          <w:tcPr>
            <w:tcW w:w="571" w:type="pct"/>
            <w:shd w:val="clear" w:color="auto" w:fill="D9D9D9"/>
            <w:noWrap/>
            <w:vAlign w:val="center"/>
            <w:hideMark/>
          </w:tcPr>
          <w:p w14:paraId="2B484C0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1 507 674,01</w:t>
            </w:r>
            <w:r w:rsidRPr="00B73FDB">
              <w:rPr>
                <w:rFonts w:cs="Calibri"/>
                <w:sz w:val="18"/>
                <w:szCs w:val="18"/>
                <w:lang w:eastAsia="sk-SK"/>
              </w:rPr>
              <w:t xml:space="preserve"> </w:t>
            </w:r>
          </w:p>
        </w:tc>
        <w:tc>
          <w:tcPr>
            <w:tcW w:w="490" w:type="pct"/>
            <w:shd w:val="clear" w:color="auto" w:fill="D9D9D9"/>
            <w:noWrap/>
            <w:vAlign w:val="center"/>
            <w:hideMark/>
          </w:tcPr>
          <w:p w14:paraId="0F99D5C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1 486 812,64</w:t>
            </w:r>
            <w:r w:rsidRPr="00B73FDB">
              <w:rPr>
                <w:rFonts w:cs="Calibri"/>
                <w:sz w:val="18"/>
                <w:szCs w:val="18"/>
                <w:lang w:eastAsia="sk-SK"/>
              </w:rPr>
              <w:t xml:space="preserve"> </w:t>
            </w:r>
          </w:p>
        </w:tc>
        <w:tc>
          <w:tcPr>
            <w:tcW w:w="566" w:type="pct"/>
            <w:shd w:val="clear" w:color="auto" w:fill="D9D9D9"/>
            <w:noWrap/>
            <w:vAlign w:val="center"/>
            <w:hideMark/>
          </w:tcPr>
          <w:p w14:paraId="1BAB0B5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98,62</w:t>
            </w:r>
            <w:r w:rsidRPr="00B73FDB">
              <w:rPr>
                <w:rFonts w:cs="Calibri"/>
                <w:sz w:val="18"/>
                <w:szCs w:val="18"/>
                <w:lang w:eastAsia="sk-SK"/>
              </w:rPr>
              <w:t xml:space="preserve"> </w:t>
            </w:r>
          </w:p>
        </w:tc>
        <w:tc>
          <w:tcPr>
            <w:tcW w:w="1134" w:type="pct"/>
            <w:vMerge/>
            <w:shd w:val="clear" w:color="auto" w:fill="D9D9D9"/>
            <w:vAlign w:val="center"/>
            <w:hideMark/>
          </w:tcPr>
          <w:p w14:paraId="0BDEA621"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00A29BA3" w14:textId="77777777" w:rsidTr="00B73FDB">
        <w:trPr>
          <w:tblCellSpacing w:w="15" w:type="dxa"/>
        </w:trPr>
        <w:tc>
          <w:tcPr>
            <w:tcW w:w="267" w:type="pct"/>
            <w:shd w:val="clear" w:color="auto" w:fill="EFEFEF"/>
            <w:noWrap/>
            <w:vAlign w:val="center"/>
            <w:hideMark/>
          </w:tcPr>
          <w:p w14:paraId="1EA5886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6" w:type="pct"/>
            <w:shd w:val="clear" w:color="auto" w:fill="EFEFEF"/>
            <w:vAlign w:val="center"/>
            <w:hideMark/>
          </w:tcPr>
          <w:p w14:paraId="4F6E849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5DE1CFB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951 134,00 </w:t>
            </w:r>
          </w:p>
        </w:tc>
        <w:tc>
          <w:tcPr>
            <w:tcW w:w="571" w:type="pct"/>
            <w:shd w:val="clear" w:color="auto" w:fill="EFEFEF"/>
            <w:noWrap/>
            <w:vAlign w:val="center"/>
            <w:hideMark/>
          </w:tcPr>
          <w:p w14:paraId="3AEAECD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992 001,11 </w:t>
            </w:r>
          </w:p>
        </w:tc>
        <w:tc>
          <w:tcPr>
            <w:tcW w:w="490" w:type="pct"/>
            <w:shd w:val="clear" w:color="auto" w:fill="EFEFEF"/>
            <w:noWrap/>
            <w:vAlign w:val="center"/>
            <w:hideMark/>
          </w:tcPr>
          <w:p w14:paraId="618D890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981 271,92 </w:t>
            </w:r>
          </w:p>
        </w:tc>
        <w:tc>
          <w:tcPr>
            <w:tcW w:w="566" w:type="pct"/>
            <w:shd w:val="clear" w:color="auto" w:fill="EFEFEF"/>
            <w:noWrap/>
            <w:vAlign w:val="center"/>
            <w:hideMark/>
          </w:tcPr>
          <w:p w14:paraId="0DCF2B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98,92 </w:t>
            </w:r>
          </w:p>
        </w:tc>
        <w:tc>
          <w:tcPr>
            <w:tcW w:w="1134" w:type="pct"/>
            <w:vMerge/>
            <w:shd w:val="clear" w:color="auto" w:fill="EFEFEF"/>
            <w:vAlign w:val="center"/>
            <w:hideMark/>
          </w:tcPr>
          <w:p w14:paraId="5FCAC2DE" w14:textId="77777777" w:rsidR="00B73FDB" w:rsidRPr="00B73FDB" w:rsidRDefault="00B73FDB" w:rsidP="00B73FDB">
            <w:pPr>
              <w:spacing w:after="0" w:line="240" w:lineRule="auto"/>
              <w:rPr>
                <w:rFonts w:cs="Calibri"/>
                <w:sz w:val="18"/>
                <w:szCs w:val="18"/>
                <w:lang w:eastAsia="sk-SK"/>
              </w:rPr>
            </w:pPr>
          </w:p>
        </w:tc>
      </w:tr>
      <w:tr w:rsidR="00B73FDB" w:rsidRPr="00B73FDB" w14:paraId="0093590D" w14:textId="77777777" w:rsidTr="00B73FDB">
        <w:trPr>
          <w:tblCellSpacing w:w="15" w:type="dxa"/>
        </w:trPr>
        <w:tc>
          <w:tcPr>
            <w:tcW w:w="267" w:type="pct"/>
            <w:shd w:val="clear" w:color="auto" w:fill="EFEFEF"/>
            <w:noWrap/>
            <w:vAlign w:val="center"/>
            <w:hideMark/>
          </w:tcPr>
          <w:p w14:paraId="79397FA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6" w:type="pct"/>
            <w:shd w:val="clear" w:color="auto" w:fill="EFEFEF"/>
            <w:vAlign w:val="center"/>
            <w:hideMark/>
          </w:tcPr>
          <w:p w14:paraId="2DE2EF6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7608122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332 422,00 </w:t>
            </w:r>
          </w:p>
        </w:tc>
        <w:tc>
          <w:tcPr>
            <w:tcW w:w="571" w:type="pct"/>
            <w:shd w:val="clear" w:color="auto" w:fill="EFEFEF"/>
            <w:noWrap/>
            <w:vAlign w:val="center"/>
            <w:hideMark/>
          </w:tcPr>
          <w:p w14:paraId="2EADF93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329 369,48 </w:t>
            </w:r>
          </w:p>
        </w:tc>
        <w:tc>
          <w:tcPr>
            <w:tcW w:w="490" w:type="pct"/>
            <w:shd w:val="clear" w:color="auto" w:fill="EFEFEF"/>
            <w:noWrap/>
            <w:vAlign w:val="center"/>
            <w:hideMark/>
          </w:tcPr>
          <w:p w14:paraId="633E03D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329 369,48 </w:t>
            </w:r>
          </w:p>
        </w:tc>
        <w:tc>
          <w:tcPr>
            <w:tcW w:w="566" w:type="pct"/>
            <w:shd w:val="clear" w:color="auto" w:fill="EFEFEF"/>
            <w:noWrap/>
            <w:vAlign w:val="center"/>
            <w:hideMark/>
          </w:tcPr>
          <w:p w14:paraId="5D26925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4" w:type="pct"/>
            <w:vMerge/>
            <w:shd w:val="clear" w:color="auto" w:fill="EFEFEF"/>
            <w:vAlign w:val="center"/>
            <w:hideMark/>
          </w:tcPr>
          <w:p w14:paraId="2BCA07A0" w14:textId="77777777" w:rsidR="00B73FDB" w:rsidRPr="00B73FDB" w:rsidRDefault="00B73FDB" w:rsidP="00B73FDB">
            <w:pPr>
              <w:spacing w:after="0" w:line="240" w:lineRule="auto"/>
              <w:rPr>
                <w:rFonts w:cs="Calibri"/>
                <w:sz w:val="18"/>
                <w:szCs w:val="18"/>
                <w:lang w:eastAsia="sk-SK"/>
              </w:rPr>
            </w:pPr>
          </w:p>
        </w:tc>
      </w:tr>
      <w:tr w:rsidR="00B73FDB" w:rsidRPr="00B73FDB" w14:paraId="77AF858E" w14:textId="77777777" w:rsidTr="00B73FDB">
        <w:trPr>
          <w:tblCellSpacing w:w="15" w:type="dxa"/>
        </w:trPr>
        <w:tc>
          <w:tcPr>
            <w:tcW w:w="267" w:type="pct"/>
            <w:shd w:val="clear" w:color="auto" w:fill="EFEFEF"/>
            <w:noWrap/>
            <w:vAlign w:val="center"/>
            <w:hideMark/>
          </w:tcPr>
          <w:p w14:paraId="2FCBE59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6" w:type="pct"/>
            <w:shd w:val="clear" w:color="auto" w:fill="EFEFEF"/>
            <w:vAlign w:val="center"/>
            <w:hideMark/>
          </w:tcPr>
          <w:p w14:paraId="3C34CA7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504759E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202 989,00 </w:t>
            </w:r>
          </w:p>
        </w:tc>
        <w:tc>
          <w:tcPr>
            <w:tcW w:w="571" w:type="pct"/>
            <w:shd w:val="clear" w:color="auto" w:fill="EFEFEF"/>
            <w:noWrap/>
            <w:vAlign w:val="center"/>
            <w:hideMark/>
          </w:tcPr>
          <w:p w14:paraId="5C50FD6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185 228,32 </w:t>
            </w:r>
          </w:p>
        </w:tc>
        <w:tc>
          <w:tcPr>
            <w:tcW w:w="490" w:type="pct"/>
            <w:shd w:val="clear" w:color="auto" w:fill="EFEFEF"/>
            <w:noWrap/>
            <w:vAlign w:val="center"/>
            <w:hideMark/>
          </w:tcPr>
          <w:p w14:paraId="2A158C3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175 096,14 </w:t>
            </w:r>
          </w:p>
        </w:tc>
        <w:tc>
          <w:tcPr>
            <w:tcW w:w="566" w:type="pct"/>
            <w:shd w:val="clear" w:color="auto" w:fill="EFEFEF"/>
            <w:noWrap/>
            <w:vAlign w:val="center"/>
            <w:hideMark/>
          </w:tcPr>
          <w:p w14:paraId="17B0FE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94,53 </w:t>
            </w:r>
          </w:p>
        </w:tc>
        <w:tc>
          <w:tcPr>
            <w:tcW w:w="1134" w:type="pct"/>
            <w:vMerge/>
            <w:shd w:val="clear" w:color="auto" w:fill="EFEFEF"/>
            <w:vAlign w:val="center"/>
            <w:hideMark/>
          </w:tcPr>
          <w:p w14:paraId="7C161EFB" w14:textId="77777777" w:rsidR="00B73FDB" w:rsidRPr="00B73FDB" w:rsidRDefault="00B73FDB" w:rsidP="00B73FDB">
            <w:pPr>
              <w:spacing w:after="0" w:line="240" w:lineRule="auto"/>
              <w:rPr>
                <w:rFonts w:cs="Calibri"/>
                <w:sz w:val="18"/>
                <w:szCs w:val="18"/>
                <w:lang w:eastAsia="sk-SK"/>
              </w:rPr>
            </w:pPr>
          </w:p>
        </w:tc>
      </w:tr>
    </w:tbl>
    <w:p w14:paraId="23A39AE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56"/>
        <w:gridCol w:w="689"/>
        <w:gridCol w:w="1630"/>
        <w:gridCol w:w="1532"/>
        <w:gridCol w:w="4159"/>
      </w:tblGrid>
      <w:tr w:rsidR="00B73FDB" w:rsidRPr="00B73FDB" w14:paraId="08DA371E" w14:textId="77777777" w:rsidTr="00B73FDB">
        <w:trPr>
          <w:tblCellSpacing w:w="15" w:type="dxa"/>
        </w:trPr>
        <w:tc>
          <w:tcPr>
            <w:tcW w:w="0" w:type="auto"/>
            <w:shd w:val="clear" w:color="auto" w:fill="C2D69B"/>
            <w:vAlign w:val="center"/>
            <w:hideMark/>
          </w:tcPr>
          <w:p w14:paraId="5679CB8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9811A4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A8E5B34" w14:textId="77777777" w:rsidTr="00B73FDB">
        <w:trPr>
          <w:tblCellSpacing w:w="15" w:type="dxa"/>
        </w:trPr>
        <w:tc>
          <w:tcPr>
            <w:tcW w:w="0" w:type="auto"/>
            <w:shd w:val="clear" w:color="auto" w:fill="C2D69B"/>
            <w:vAlign w:val="center"/>
            <w:hideMark/>
          </w:tcPr>
          <w:p w14:paraId="3681302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1520E8C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5E4D226B" w14:textId="77777777" w:rsidTr="00B73FDB">
        <w:trPr>
          <w:tblCellSpacing w:w="15" w:type="dxa"/>
        </w:trPr>
        <w:tc>
          <w:tcPr>
            <w:tcW w:w="0" w:type="auto"/>
            <w:shd w:val="clear" w:color="auto" w:fill="C2D69B"/>
            <w:vAlign w:val="center"/>
            <w:hideMark/>
          </w:tcPr>
          <w:p w14:paraId="324DB5F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A4B1AB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1C7482F8" w14:textId="77777777" w:rsidTr="00B73FDB">
        <w:trPr>
          <w:tblCellSpacing w:w="15" w:type="dxa"/>
        </w:trPr>
        <w:tc>
          <w:tcPr>
            <w:tcW w:w="0" w:type="auto"/>
            <w:shd w:val="clear" w:color="auto" w:fill="C2D69B"/>
            <w:vAlign w:val="center"/>
            <w:hideMark/>
          </w:tcPr>
          <w:p w14:paraId="502E3C5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8CD847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F5E845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8070A2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11CE47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0B17E513" w14:textId="77777777" w:rsidTr="00B73FDB">
        <w:trPr>
          <w:tblCellSpacing w:w="15" w:type="dxa"/>
        </w:trPr>
        <w:tc>
          <w:tcPr>
            <w:tcW w:w="0" w:type="auto"/>
            <w:shd w:val="clear" w:color="auto" w:fill="C2D69B"/>
            <w:vAlign w:val="center"/>
            <w:hideMark/>
          </w:tcPr>
          <w:p w14:paraId="3CD1153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C28F1B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450 </w:t>
            </w:r>
          </w:p>
        </w:tc>
        <w:tc>
          <w:tcPr>
            <w:tcW w:w="0" w:type="auto"/>
            <w:shd w:val="clear" w:color="auto" w:fill="C2D69B"/>
            <w:noWrap/>
            <w:vAlign w:val="center"/>
            <w:hideMark/>
          </w:tcPr>
          <w:p w14:paraId="09CE05E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460 </w:t>
            </w:r>
          </w:p>
        </w:tc>
        <w:tc>
          <w:tcPr>
            <w:tcW w:w="0" w:type="auto"/>
            <w:shd w:val="clear" w:color="auto" w:fill="C2D69B"/>
            <w:vAlign w:val="center"/>
            <w:hideMark/>
          </w:tcPr>
          <w:p w14:paraId="3FC50B2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54A3675"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5EFF384" w14:textId="77777777" w:rsidTr="00B73FDB">
        <w:trPr>
          <w:tblCellSpacing w:w="15" w:type="dxa"/>
        </w:trPr>
        <w:tc>
          <w:tcPr>
            <w:tcW w:w="0" w:type="auto"/>
            <w:shd w:val="clear" w:color="auto" w:fill="C2D69B"/>
            <w:vAlign w:val="center"/>
            <w:hideMark/>
          </w:tcPr>
          <w:p w14:paraId="2EBBB0B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17739C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A4C0299" w14:textId="77777777" w:rsidTr="00B73FDB">
        <w:trPr>
          <w:tblCellSpacing w:w="15" w:type="dxa"/>
        </w:trPr>
        <w:tc>
          <w:tcPr>
            <w:tcW w:w="0" w:type="auto"/>
            <w:shd w:val="clear" w:color="auto" w:fill="C2D69B"/>
            <w:vAlign w:val="center"/>
            <w:hideMark/>
          </w:tcPr>
          <w:p w14:paraId="615DC43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53DC48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DA9589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4B97C9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AEE7D5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49696AE" w14:textId="77777777" w:rsidTr="00B73FDB">
        <w:trPr>
          <w:tblCellSpacing w:w="15" w:type="dxa"/>
        </w:trPr>
        <w:tc>
          <w:tcPr>
            <w:tcW w:w="0" w:type="auto"/>
            <w:shd w:val="clear" w:color="auto" w:fill="C2D69B"/>
            <w:vAlign w:val="center"/>
            <w:hideMark/>
          </w:tcPr>
          <w:p w14:paraId="110C68B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lastRenderedPageBreak/>
              <w:t xml:space="preserve">2020 </w:t>
            </w:r>
          </w:p>
        </w:tc>
        <w:tc>
          <w:tcPr>
            <w:tcW w:w="0" w:type="auto"/>
            <w:shd w:val="clear" w:color="auto" w:fill="C2D69B"/>
            <w:noWrap/>
            <w:vAlign w:val="center"/>
            <w:hideMark/>
          </w:tcPr>
          <w:p w14:paraId="2419489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450 </w:t>
            </w:r>
          </w:p>
        </w:tc>
        <w:tc>
          <w:tcPr>
            <w:tcW w:w="0" w:type="auto"/>
            <w:shd w:val="clear" w:color="auto" w:fill="C2D69B"/>
            <w:noWrap/>
            <w:vAlign w:val="center"/>
            <w:hideMark/>
          </w:tcPr>
          <w:p w14:paraId="790266C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430 </w:t>
            </w:r>
          </w:p>
        </w:tc>
        <w:tc>
          <w:tcPr>
            <w:tcW w:w="0" w:type="auto"/>
            <w:shd w:val="clear" w:color="auto" w:fill="C2D69B"/>
            <w:vAlign w:val="center"/>
            <w:hideMark/>
          </w:tcPr>
          <w:p w14:paraId="6C2CBFC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0BC6CC41" w14:textId="77777777" w:rsidR="00B73FDB" w:rsidRPr="00B73FDB" w:rsidRDefault="00B73FDB" w:rsidP="00B73FDB">
            <w:pPr>
              <w:spacing w:after="0" w:line="240" w:lineRule="auto"/>
              <w:jc w:val="center"/>
              <w:rPr>
                <w:rFonts w:cs="Calibri"/>
                <w:sz w:val="18"/>
                <w:szCs w:val="18"/>
                <w:lang w:eastAsia="sk-SK"/>
              </w:rPr>
            </w:pPr>
          </w:p>
        </w:tc>
      </w:tr>
    </w:tbl>
    <w:p w14:paraId="001F6C7A"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Gymnázium so zameraním na výchovu a vzdelávanie žiakov so všeobecným intelektovým nadaním. Má len 8-ročnú formu štúdia. Žiaci sú prijímaní na základe diagnostikovaného nadania a škola je zaradená medzi školy so špeciálnym vzdelávaním.</w:t>
      </w:r>
    </w:p>
    <w:p w14:paraId="509140F0"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8.2.5: Gymnázium, </w:t>
      </w:r>
      <w:proofErr w:type="spellStart"/>
      <w:r w:rsidRPr="00B73FDB">
        <w:rPr>
          <w:rFonts w:ascii="Calibri" w:hAnsi="Calibri" w:cs="Calibri"/>
          <w:b/>
          <w:color w:val="244061"/>
        </w:rPr>
        <w:t>Haanova</w:t>
      </w:r>
      <w:proofErr w:type="spellEnd"/>
      <w:r w:rsidRPr="00B73FDB">
        <w:rPr>
          <w:rFonts w:ascii="Calibri" w:hAnsi="Calibri" w:cs="Calibri"/>
          <w:b/>
          <w:color w:val="244061"/>
        </w:rPr>
        <w:t xml:space="preserve"> 28, BA </w:t>
      </w:r>
    </w:p>
    <w:p w14:paraId="6F750F01"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Gymnázium bolo 1.7.2011 zlúčené s Gymnáziom Pankúchova 6 v Bratislave (Prvok 8.2.6)</w:t>
      </w:r>
    </w:p>
    <w:p w14:paraId="78CD7D17"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8.2.6: Gymnázium, Pankúchova 6, BA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0"/>
        <w:gridCol w:w="2759"/>
        <w:gridCol w:w="1214"/>
        <w:gridCol w:w="1212"/>
        <w:gridCol w:w="1061"/>
        <w:gridCol w:w="1212"/>
        <w:gridCol w:w="2428"/>
      </w:tblGrid>
      <w:tr w:rsidR="00B73FDB" w:rsidRPr="00B73FDB" w14:paraId="37F94580" w14:textId="77777777" w:rsidTr="00B73FDB">
        <w:trPr>
          <w:tblCellSpacing w:w="15" w:type="dxa"/>
        </w:trPr>
        <w:tc>
          <w:tcPr>
            <w:tcW w:w="255" w:type="pct"/>
            <w:shd w:val="clear" w:color="auto" w:fill="C6DBF7"/>
            <w:vAlign w:val="center"/>
            <w:hideMark/>
          </w:tcPr>
          <w:p w14:paraId="7E44D29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301" w:type="pct"/>
            <w:shd w:val="clear" w:color="auto" w:fill="C6DBF7"/>
            <w:vAlign w:val="center"/>
            <w:hideMark/>
          </w:tcPr>
          <w:p w14:paraId="314EDE3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39AFC03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266DEED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626FDD4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7888073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1588B0F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3309631" w14:textId="77777777" w:rsidTr="00B73FDB">
        <w:trPr>
          <w:tblCellSpacing w:w="15" w:type="dxa"/>
        </w:trPr>
        <w:tc>
          <w:tcPr>
            <w:tcW w:w="255" w:type="pct"/>
            <w:shd w:val="clear" w:color="auto" w:fill="D9D9D9"/>
            <w:noWrap/>
            <w:vAlign w:val="center"/>
            <w:hideMark/>
          </w:tcPr>
          <w:p w14:paraId="70EC1690" w14:textId="77777777" w:rsidR="00B73FDB" w:rsidRPr="00B73FDB" w:rsidRDefault="00B73FDB" w:rsidP="00B73FDB">
            <w:pPr>
              <w:spacing w:after="0" w:line="240" w:lineRule="auto"/>
              <w:jc w:val="center"/>
              <w:rPr>
                <w:rFonts w:cs="Calibri"/>
                <w:sz w:val="18"/>
                <w:szCs w:val="18"/>
                <w:lang w:eastAsia="sk-SK"/>
              </w:rPr>
            </w:pPr>
          </w:p>
        </w:tc>
        <w:tc>
          <w:tcPr>
            <w:tcW w:w="1301" w:type="pct"/>
            <w:shd w:val="clear" w:color="auto" w:fill="D9D9D9"/>
            <w:vAlign w:val="center"/>
            <w:hideMark/>
          </w:tcPr>
          <w:p w14:paraId="2C2A951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78A55F4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1 518 150,00</w:t>
            </w:r>
            <w:r w:rsidRPr="00B73FDB">
              <w:rPr>
                <w:rFonts w:cs="Calibri"/>
                <w:sz w:val="18"/>
                <w:szCs w:val="18"/>
                <w:lang w:eastAsia="sk-SK"/>
              </w:rPr>
              <w:t xml:space="preserve"> </w:t>
            </w:r>
          </w:p>
        </w:tc>
        <w:tc>
          <w:tcPr>
            <w:tcW w:w="564" w:type="pct"/>
            <w:shd w:val="clear" w:color="auto" w:fill="D9D9D9"/>
            <w:noWrap/>
            <w:vAlign w:val="center"/>
            <w:hideMark/>
          </w:tcPr>
          <w:p w14:paraId="7B45FAA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823 882,49</w:t>
            </w:r>
            <w:r w:rsidRPr="00B73FDB">
              <w:rPr>
                <w:rFonts w:cs="Calibri"/>
                <w:sz w:val="18"/>
                <w:szCs w:val="18"/>
                <w:lang w:eastAsia="sk-SK"/>
              </w:rPr>
              <w:t xml:space="preserve"> </w:t>
            </w:r>
          </w:p>
        </w:tc>
        <w:tc>
          <w:tcPr>
            <w:tcW w:w="492" w:type="pct"/>
            <w:shd w:val="clear" w:color="auto" w:fill="D9D9D9"/>
            <w:noWrap/>
            <w:vAlign w:val="center"/>
            <w:hideMark/>
          </w:tcPr>
          <w:p w14:paraId="46AE48F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823 882,49</w:t>
            </w:r>
            <w:r w:rsidRPr="00B73FDB">
              <w:rPr>
                <w:rFonts w:cs="Calibri"/>
                <w:sz w:val="18"/>
                <w:szCs w:val="18"/>
                <w:lang w:eastAsia="sk-SK"/>
              </w:rPr>
              <w:t xml:space="preserve"> </w:t>
            </w:r>
          </w:p>
        </w:tc>
        <w:tc>
          <w:tcPr>
            <w:tcW w:w="564" w:type="pct"/>
            <w:shd w:val="clear" w:color="auto" w:fill="D9D9D9"/>
            <w:noWrap/>
            <w:vAlign w:val="center"/>
            <w:hideMark/>
          </w:tcPr>
          <w:p w14:paraId="2731F34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val="restart"/>
            <w:shd w:val="clear" w:color="auto" w:fill="D9D9D9"/>
            <w:vAlign w:val="center"/>
            <w:hideMark/>
          </w:tcPr>
          <w:p w14:paraId="424F234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-212 323,00 EUR</w:t>
            </w:r>
            <w:r w:rsidRPr="00B73FDB">
              <w:rPr>
                <w:rFonts w:cs="Calibri"/>
                <w:sz w:val="18"/>
                <w:szCs w:val="18"/>
                <w:lang w:eastAsia="sk-SK"/>
              </w:rPr>
              <w:t xml:space="preserve"> normatívne finančné prostriedky,</w:t>
            </w:r>
          </w:p>
          <w:p w14:paraId="7108C92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+406,00 EUR</w:t>
            </w:r>
            <w:r w:rsidRPr="00B73FDB">
              <w:rPr>
                <w:rFonts w:cs="Calibri"/>
                <w:sz w:val="18"/>
                <w:szCs w:val="18"/>
                <w:lang w:eastAsia="sk-SK"/>
              </w:rPr>
              <w:t xml:space="preserve"> normatívne finančné prostriedky na maturity,</w:t>
            </w:r>
          </w:p>
          <w:p w14:paraId="791AF5F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+672,00 EUR </w:t>
            </w:r>
            <w:r w:rsidRPr="00B73FDB">
              <w:rPr>
                <w:rFonts w:cs="Calibri"/>
                <w:sz w:val="18"/>
                <w:szCs w:val="18"/>
                <w:lang w:eastAsia="sk-SK"/>
              </w:rPr>
              <w:t>nenormatívne finančné prostriedky na vzdelávacie poukazy,</w:t>
            </w:r>
          </w:p>
          <w:p w14:paraId="1A5B52D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+2 496,00 EUR</w:t>
            </w:r>
            <w:r w:rsidRPr="00B73FDB">
              <w:rPr>
                <w:rFonts w:cs="Calibri"/>
                <w:sz w:val="18"/>
                <w:szCs w:val="18"/>
                <w:lang w:eastAsia="sk-SK"/>
              </w:rPr>
              <w:t xml:space="preserve"> príspevok na učebnice,</w:t>
            </w:r>
          </w:p>
          <w:p w14:paraId="3C86901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-5 542,00 EUR</w:t>
            </w:r>
            <w:r w:rsidRPr="00B73FDB">
              <w:rPr>
                <w:rFonts w:cs="Calibri"/>
                <w:sz w:val="18"/>
                <w:szCs w:val="18"/>
                <w:lang w:eastAsia="sk-SK"/>
              </w:rPr>
              <w:t xml:space="preserve"> odchodné do dôchodku,</w:t>
            </w:r>
          </w:p>
          <w:p w14:paraId="1151EDB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+1 800,00 EUR</w:t>
            </w:r>
            <w:r w:rsidRPr="00B73FDB">
              <w:rPr>
                <w:rFonts w:cs="Calibri"/>
                <w:sz w:val="18"/>
                <w:szCs w:val="18"/>
                <w:lang w:eastAsia="sk-SK"/>
              </w:rPr>
              <w:t xml:space="preserve"> nenormatívne finančné prostriedky na lyžiarske kurzy,</w:t>
            </w:r>
          </w:p>
          <w:p w14:paraId="0F18490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-2 000,00 EUR</w:t>
            </w:r>
            <w:r w:rsidRPr="00B73FDB">
              <w:rPr>
                <w:rFonts w:cs="Calibri"/>
                <w:sz w:val="18"/>
                <w:szCs w:val="18"/>
                <w:lang w:eastAsia="sk-SK"/>
              </w:rPr>
              <w:t xml:space="preserve"> rozvojový projekt,</w:t>
            </w:r>
          </w:p>
          <w:p w14:paraId="31B6BEC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-502 111,63 EUR</w:t>
            </w:r>
            <w:r w:rsidRPr="00B73FDB">
              <w:rPr>
                <w:rFonts w:cs="Calibri"/>
                <w:sz w:val="18"/>
                <w:szCs w:val="18"/>
                <w:lang w:eastAsia="sk-SK"/>
              </w:rPr>
              <w:t xml:space="preserve"> vysporiadanie rozpočtu na skutočnosť – zrušenie organizácie,</w:t>
            </w:r>
          </w:p>
          <w:p w14:paraId="4AC1B05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+21 528,52 EUR</w:t>
            </w:r>
            <w:r w:rsidRPr="00B73FDB">
              <w:rPr>
                <w:rFonts w:cs="Calibri"/>
                <w:sz w:val="18"/>
                <w:szCs w:val="18"/>
                <w:lang w:eastAsia="sk-SK"/>
              </w:rPr>
              <w:t xml:space="preserve"> nevyčerpané finančné prostriedky z r. 2019,</w:t>
            </w:r>
          </w:p>
          <w:p w14:paraId="0396972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+806,60 EUR</w:t>
            </w:r>
            <w:r w:rsidRPr="00B73FDB">
              <w:rPr>
                <w:rFonts w:cs="Calibri"/>
                <w:sz w:val="18"/>
                <w:szCs w:val="18"/>
                <w:lang w:eastAsia="sk-SK"/>
              </w:rPr>
              <w:t xml:space="preserve"> príjmy z prenájmov.</w:t>
            </w:r>
          </w:p>
        </w:tc>
      </w:tr>
      <w:tr w:rsidR="00B73FDB" w:rsidRPr="00B73FDB" w14:paraId="3159CB4E" w14:textId="77777777" w:rsidTr="00B73FDB">
        <w:trPr>
          <w:tblCellSpacing w:w="15" w:type="dxa"/>
        </w:trPr>
        <w:tc>
          <w:tcPr>
            <w:tcW w:w="255" w:type="pct"/>
            <w:shd w:val="clear" w:color="auto" w:fill="D9D9D9"/>
            <w:noWrap/>
            <w:vAlign w:val="center"/>
            <w:hideMark/>
          </w:tcPr>
          <w:p w14:paraId="39FEC1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301" w:type="pct"/>
            <w:shd w:val="clear" w:color="auto" w:fill="D9D9D9"/>
            <w:vAlign w:val="center"/>
            <w:hideMark/>
          </w:tcPr>
          <w:p w14:paraId="7D4E399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3D0490B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1 518 150,00</w:t>
            </w:r>
            <w:r w:rsidRPr="00B73FDB">
              <w:rPr>
                <w:rFonts w:cs="Calibri"/>
                <w:sz w:val="18"/>
                <w:szCs w:val="18"/>
                <w:lang w:eastAsia="sk-SK"/>
              </w:rPr>
              <w:t xml:space="preserve"> </w:t>
            </w:r>
          </w:p>
        </w:tc>
        <w:tc>
          <w:tcPr>
            <w:tcW w:w="564" w:type="pct"/>
            <w:shd w:val="clear" w:color="auto" w:fill="D9D9D9"/>
            <w:noWrap/>
            <w:vAlign w:val="center"/>
            <w:hideMark/>
          </w:tcPr>
          <w:p w14:paraId="73310A0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823 882,49</w:t>
            </w:r>
            <w:r w:rsidRPr="00B73FDB">
              <w:rPr>
                <w:rFonts w:cs="Calibri"/>
                <w:sz w:val="18"/>
                <w:szCs w:val="18"/>
                <w:lang w:eastAsia="sk-SK"/>
              </w:rPr>
              <w:t xml:space="preserve"> </w:t>
            </w:r>
          </w:p>
        </w:tc>
        <w:tc>
          <w:tcPr>
            <w:tcW w:w="492" w:type="pct"/>
            <w:shd w:val="clear" w:color="auto" w:fill="D9D9D9"/>
            <w:noWrap/>
            <w:vAlign w:val="center"/>
            <w:hideMark/>
          </w:tcPr>
          <w:p w14:paraId="3B59D1C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823 882,49</w:t>
            </w:r>
            <w:r w:rsidRPr="00B73FDB">
              <w:rPr>
                <w:rFonts w:cs="Calibri"/>
                <w:sz w:val="18"/>
                <w:szCs w:val="18"/>
                <w:lang w:eastAsia="sk-SK"/>
              </w:rPr>
              <w:t xml:space="preserve"> </w:t>
            </w:r>
          </w:p>
        </w:tc>
        <w:tc>
          <w:tcPr>
            <w:tcW w:w="564" w:type="pct"/>
            <w:shd w:val="clear" w:color="auto" w:fill="D9D9D9"/>
            <w:noWrap/>
            <w:vAlign w:val="center"/>
            <w:hideMark/>
          </w:tcPr>
          <w:p w14:paraId="7FD1C49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shd w:val="clear" w:color="auto" w:fill="D9D9D9"/>
            <w:vAlign w:val="center"/>
            <w:hideMark/>
          </w:tcPr>
          <w:p w14:paraId="2D6FB404"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7CA84B3C" w14:textId="77777777" w:rsidTr="00B73FDB">
        <w:trPr>
          <w:tblCellSpacing w:w="15" w:type="dxa"/>
        </w:trPr>
        <w:tc>
          <w:tcPr>
            <w:tcW w:w="255" w:type="pct"/>
            <w:shd w:val="clear" w:color="auto" w:fill="EFEFEF"/>
            <w:noWrap/>
            <w:vAlign w:val="center"/>
            <w:hideMark/>
          </w:tcPr>
          <w:p w14:paraId="5CD93E9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301" w:type="pct"/>
            <w:shd w:val="clear" w:color="auto" w:fill="EFEFEF"/>
            <w:vAlign w:val="center"/>
            <w:hideMark/>
          </w:tcPr>
          <w:p w14:paraId="1543C74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643FE79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980 000,00 </w:t>
            </w:r>
          </w:p>
        </w:tc>
        <w:tc>
          <w:tcPr>
            <w:tcW w:w="564" w:type="pct"/>
            <w:shd w:val="clear" w:color="auto" w:fill="EFEFEF"/>
            <w:noWrap/>
            <w:vAlign w:val="center"/>
            <w:hideMark/>
          </w:tcPr>
          <w:p w14:paraId="02A5A4E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539 275,78 </w:t>
            </w:r>
          </w:p>
        </w:tc>
        <w:tc>
          <w:tcPr>
            <w:tcW w:w="492" w:type="pct"/>
            <w:shd w:val="clear" w:color="auto" w:fill="EFEFEF"/>
            <w:noWrap/>
            <w:vAlign w:val="center"/>
            <w:hideMark/>
          </w:tcPr>
          <w:p w14:paraId="27B3886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539 275,78 </w:t>
            </w:r>
          </w:p>
        </w:tc>
        <w:tc>
          <w:tcPr>
            <w:tcW w:w="564" w:type="pct"/>
            <w:shd w:val="clear" w:color="auto" w:fill="EFEFEF"/>
            <w:noWrap/>
            <w:vAlign w:val="center"/>
            <w:hideMark/>
          </w:tcPr>
          <w:p w14:paraId="2D84E5D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5E72FEDD" w14:textId="77777777" w:rsidR="00B73FDB" w:rsidRPr="00B73FDB" w:rsidRDefault="00B73FDB" w:rsidP="00B73FDB">
            <w:pPr>
              <w:spacing w:after="0" w:line="240" w:lineRule="auto"/>
              <w:rPr>
                <w:rFonts w:cs="Calibri"/>
                <w:sz w:val="18"/>
                <w:szCs w:val="18"/>
                <w:lang w:eastAsia="sk-SK"/>
              </w:rPr>
            </w:pPr>
          </w:p>
        </w:tc>
      </w:tr>
      <w:tr w:rsidR="00B73FDB" w:rsidRPr="00B73FDB" w14:paraId="63FAAD52" w14:textId="77777777" w:rsidTr="00B73FDB">
        <w:trPr>
          <w:tblCellSpacing w:w="15" w:type="dxa"/>
        </w:trPr>
        <w:tc>
          <w:tcPr>
            <w:tcW w:w="255" w:type="pct"/>
            <w:shd w:val="clear" w:color="auto" w:fill="EFEFEF"/>
            <w:noWrap/>
            <w:vAlign w:val="center"/>
            <w:hideMark/>
          </w:tcPr>
          <w:p w14:paraId="5F5B2CA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301" w:type="pct"/>
            <w:shd w:val="clear" w:color="auto" w:fill="EFEFEF"/>
            <w:vAlign w:val="center"/>
            <w:hideMark/>
          </w:tcPr>
          <w:p w14:paraId="47CD56F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2B8D259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343 800,00 </w:t>
            </w:r>
          </w:p>
        </w:tc>
        <w:tc>
          <w:tcPr>
            <w:tcW w:w="564" w:type="pct"/>
            <w:shd w:val="clear" w:color="auto" w:fill="EFEFEF"/>
            <w:noWrap/>
            <w:vAlign w:val="center"/>
            <w:hideMark/>
          </w:tcPr>
          <w:p w14:paraId="60E78A4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177 980,82 </w:t>
            </w:r>
          </w:p>
        </w:tc>
        <w:tc>
          <w:tcPr>
            <w:tcW w:w="492" w:type="pct"/>
            <w:shd w:val="clear" w:color="auto" w:fill="EFEFEF"/>
            <w:noWrap/>
            <w:vAlign w:val="center"/>
            <w:hideMark/>
          </w:tcPr>
          <w:p w14:paraId="2DB1057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177 980,82 </w:t>
            </w:r>
          </w:p>
        </w:tc>
        <w:tc>
          <w:tcPr>
            <w:tcW w:w="564" w:type="pct"/>
            <w:shd w:val="clear" w:color="auto" w:fill="EFEFEF"/>
            <w:noWrap/>
            <w:vAlign w:val="center"/>
            <w:hideMark/>
          </w:tcPr>
          <w:p w14:paraId="7B2B4BC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47069E7B" w14:textId="77777777" w:rsidR="00B73FDB" w:rsidRPr="00B73FDB" w:rsidRDefault="00B73FDB" w:rsidP="00B73FDB">
            <w:pPr>
              <w:spacing w:after="0" w:line="240" w:lineRule="auto"/>
              <w:rPr>
                <w:rFonts w:cs="Calibri"/>
                <w:sz w:val="18"/>
                <w:szCs w:val="18"/>
                <w:lang w:eastAsia="sk-SK"/>
              </w:rPr>
            </w:pPr>
          </w:p>
        </w:tc>
      </w:tr>
      <w:tr w:rsidR="00B73FDB" w:rsidRPr="00B73FDB" w14:paraId="32BB39EF" w14:textId="77777777" w:rsidTr="00B73FDB">
        <w:trPr>
          <w:tblCellSpacing w:w="15" w:type="dxa"/>
        </w:trPr>
        <w:tc>
          <w:tcPr>
            <w:tcW w:w="255" w:type="pct"/>
            <w:shd w:val="clear" w:color="auto" w:fill="EFEFEF"/>
            <w:noWrap/>
            <w:vAlign w:val="center"/>
            <w:hideMark/>
          </w:tcPr>
          <w:p w14:paraId="22D81E6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301" w:type="pct"/>
            <w:shd w:val="clear" w:color="auto" w:fill="EFEFEF"/>
            <w:vAlign w:val="center"/>
            <w:hideMark/>
          </w:tcPr>
          <w:p w14:paraId="5813E3D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0E1850F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194 350,00 </w:t>
            </w:r>
          </w:p>
        </w:tc>
        <w:tc>
          <w:tcPr>
            <w:tcW w:w="564" w:type="pct"/>
            <w:shd w:val="clear" w:color="auto" w:fill="EFEFEF"/>
            <w:noWrap/>
            <w:vAlign w:val="center"/>
            <w:hideMark/>
          </w:tcPr>
          <w:p w14:paraId="55E73E3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92 975,84 </w:t>
            </w:r>
          </w:p>
        </w:tc>
        <w:tc>
          <w:tcPr>
            <w:tcW w:w="492" w:type="pct"/>
            <w:shd w:val="clear" w:color="auto" w:fill="EFEFEF"/>
            <w:noWrap/>
            <w:vAlign w:val="center"/>
            <w:hideMark/>
          </w:tcPr>
          <w:p w14:paraId="2349C08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92 975,84 </w:t>
            </w:r>
          </w:p>
        </w:tc>
        <w:tc>
          <w:tcPr>
            <w:tcW w:w="564" w:type="pct"/>
            <w:shd w:val="clear" w:color="auto" w:fill="EFEFEF"/>
            <w:noWrap/>
            <w:vAlign w:val="center"/>
            <w:hideMark/>
          </w:tcPr>
          <w:p w14:paraId="5F6CF0D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716109A0" w14:textId="77777777" w:rsidR="00B73FDB" w:rsidRPr="00B73FDB" w:rsidRDefault="00B73FDB" w:rsidP="00B73FDB">
            <w:pPr>
              <w:spacing w:after="0" w:line="240" w:lineRule="auto"/>
              <w:rPr>
                <w:rFonts w:cs="Calibri"/>
                <w:sz w:val="18"/>
                <w:szCs w:val="18"/>
                <w:lang w:eastAsia="sk-SK"/>
              </w:rPr>
            </w:pPr>
          </w:p>
        </w:tc>
      </w:tr>
    </w:tbl>
    <w:p w14:paraId="53AA5493"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Od 3. 9. 2020 sa Gymnázium, Pankúchova 6, stalo súčasťou Spojenej školy, Pankúchova 6, s dvoma organizačnými zložkami: základná škola a gymnázium. Merateľné ukazovatele sú uvedené pri novom prvku. Rozpočet uvádzame do 31.8.2020.</w:t>
      </w:r>
    </w:p>
    <w:p w14:paraId="487B6192"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8.2.7: Gymnázium, </w:t>
      </w:r>
      <w:proofErr w:type="spellStart"/>
      <w:r w:rsidRPr="00B73FDB">
        <w:rPr>
          <w:rFonts w:ascii="Calibri" w:hAnsi="Calibri" w:cs="Calibri"/>
          <w:b/>
          <w:color w:val="244061"/>
        </w:rPr>
        <w:t>Grosslingova</w:t>
      </w:r>
      <w:proofErr w:type="spellEnd"/>
      <w:r w:rsidRPr="00B73FDB">
        <w:rPr>
          <w:rFonts w:ascii="Calibri" w:hAnsi="Calibri" w:cs="Calibri"/>
          <w:b/>
          <w:color w:val="244061"/>
        </w:rPr>
        <w:t xml:space="preserve"> 18,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6"/>
        <w:gridCol w:w="1212"/>
        <w:gridCol w:w="1208"/>
        <w:gridCol w:w="1081"/>
        <w:gridCol w:w="1208"/>
        <w:gridCol w:w="2428"/>
      </w:tblGrid>
      <w:tr w:rsidR="00B73FDB" w:rsidRPr="00B73FDB" w14:paraId="32789BB1" w14:textId="77777777" w:rsidTr="00B73FDB">
        <w:trPr>
          <w:tblCellSpacing w:w="15" w:type="dxa"/>
        </w:trPr>
        <w:tc>
          <w:tcPr>
            <w:tcW w:w="266" w:type="pct"/>
            <w:shd w:val="clear" w:color="auto" w:fill="C6DBF7"/>
            <w:vAlign w:val="center"/>
            <w:hideMark/>
          </w:tcPr>
          <w:p w14:paraId="405AF3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7C3D8BE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602D4BE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2" w:type="pct"/>
            <w:shd w:val="clear" w:color="auto" w:fill="C6DBF7"/>
            <w:vAlign w:val="center"/>
            <w:hideMark/>
          </w:tcPr>
          <w:p w14:paraId="44C4AF4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2" w:type="pct"/>
            <w:shd w:val="clear" w:color="auto" w:fill="C6DBF7"/>
            <w:vAlign w:val="center"/>
            <w:hideMark/>
          </w:tcPr>
          <w:p w14:paraId="488648D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62A5ED9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1299D47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32579998" w14:textId="77777777" w:rsidTr="00B73FDB">
        <w:trPr>
          <w:tblCellSpacing w:w="15" w:type="dxa"/>
        </w:trPr>
        <w:tc>
          <w:tcPr>
            <w:tcW w:w="266" w:type="pct"/>
            <w:shd w:val="clear" w:color="auto" w:fill="D9D9D9"/>
            <w:noWrap/>
            <w:vAlign w:val="center"/>
            <w:hideMark/>
          </w:tcPr>
          <w:p w14:paraId="57F9B38F"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216A621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09430BB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1 676 400,00</w:t>
            </w:r>
            <w:r w:rsidRPr="00B73FDB">
              <w:rPr>
                <w:rFonts w:cs="Calibri"/>
                <w:sz w:val="18"/>
                <w:szCs w:val="18"/>
                <w:lang w:eastAsia="sk-SK"/>
              </w:rPr>
              <w:t xml:space="preserve"> </w:t>
            </w:r>
          </w:p>
        </w:tc>
        <w:tc>
          <w:tcPr>
            <w:tcW w:w="562" w:type="pct"/>
            <w:shd w:val="clear" w:color="auto" w:fill="D9D9D9"/>
            <w:noWrap/>
            <w:vAlign w:val="center"/>
            <w:hideMark/>
          </w:tcPr>
          <w:p w14:paraId="6C24434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1 781 848,14</w:t>
            </w:r>
            <w:r w:rsidRPr="00B73FDB">
              <w:rPr>
                <w:rFonts w:cs="Calibri"/>
                <w:sz w:val="18"/>
                <w:szCs w:val="18"/>
                <w:lang w:eastAsia="sk-SK"/>
              </w:rPr>
              <w:t xml:space="preserve"> </w:t>
            </w:r>
          </w:p>
        </w:tc>
        <w:tc>
          <w:tcPr>
            <w:tcW w:w="502" w:type="pct"/>
            <w:shd w:val="clear" w:color="auto" w:fill="D9D9D9"/>
            <w:noWrap/>
            <w:vAlign w:val="center"/>
            <w:hideMark/>
          </w:tcPr>
          <w:p w14:paraId="463569D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1 616 773,43</w:t>
            </w:r>
            <w:r w:rsidRPr="00B73FDB">
              <w:rPr>
                <w:rFonts w:cs="Calibri"/>
                <w:sz w:val="18"/>
                <w:szCs w:val="18"/>
                <w:lang w:eastAsia="sk-SK"/>
              </w:rPr>
              <w:t xml:space="preserve"> </w:t>
            </w:r>
          </w:p>
        </w:tc>
        <w:tc>
          <w:tcPr>
            <w:tcW w:w="562" w:type="pct"/>
            <w:shd w:val="clear" w:color="auto" w:fill="D9D9D9"/>
            <w:noWrap/>
            <w:vAlign w:val="center"/>
            <w:hideMark/>
          </w:tcPr>
          <w:p w14:paraId="0A2AF4F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90,74</w:t>
            </w:r>
            <w:r w:rsidRPr="00B73FDB">
              <w:rPr>
                <w:rFonts w:cs="Calibri"/>
                <w:sz w:val="18"/>
                <w:szCs w:val="18"/>
                <w:lang w:eastAsia="sk-SK"/>
              </w:rPr>
              <w:t xml:space="preserve"> </w:t>
            </w:r>
          </w:p>
        </w:tc>
        <w:tc>
          <w:tcPr>
            <w:tcW w:w="1137" w:type="pct"/>
            <w:vMerge w:val="restart"/>
            <w:shd w:val="clear" w:color="auto" w:fill="D9D9D9"/>
            <w:vAlign w:val="center"/>
            <w:hideMark/>
          </w:tcPr>
          <w:p w14:paraId="2D046B9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+34 258,00 EUR</w:t>
            </w:r>
            <w:r w:rsidRPr="00B73FDB">
              <w:rPr>
                <w:rFonts w:cs="Calibri"/>
                <w:sz w:val="18"/>
                <w:szCs w:val="18"/>
                <w:lang w:eastAsia="sk-SK"/>
              </w:rPr>
              <w:t xml:space="preserve"> normatívne finančné prostriedky,</w:t>
            </w:r>
          </w:p>
          <w:p w14:paraId="1DA1559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+309,00 EUR</w:t>
            </w:r>
            <w:r w:rsidRPr="00B73FDB">
              <w:rPr>
                <w:rFonts w:cs="Calibri"/>
                <w:sz w:val="18"/>
                <w:szCs w:val="18"/>
                <w:lang w:eastAsia="sk-SK"/>
              </w:rPr>
              <w:t xml:space="preserve"> normatívne finančné prostriedky na maturity,</w:t>
            </w:r>
          </w:p>
          <w:p w14:paraId="515DE08B"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+2 684,00 EUR</w:t>
            </w:r>
            <w:r w:rsidRPr="00B73FDB">
              <w:rPr>
                <w:rFonts w:cs="Calibri"/>
                <w:sz w:val="18"/>
                <w:szCs w:val="18"/>
                <w:lang w:eastAsia="sk-SK"/>
              </w:rPr>
              <w:t xml:space="preserve"> príspevok na rekreáciu zamestnancov,</w:t>
            </w:r>
          </w:p>
          <w:p w14:paraId="197C080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+89,00 EUR </w:t>
            </w:r>
            <w:r w:rsidRPr="00B73FDB">
              <w:rPr>
                <w:rFonts w:cs="Calibri"/>
                <w:sz w:val="18"/>
                <w:szCs w:val="18"/>
                <w:lang w:eastAsia="sk-SK"/>
              </w:rPr>
              <w:t>nenormatívne finančné prostriedky na vzdelávacie poukazy,</w:t>
            </w:r>
          </w:p>
          <w:p w14:paraId="464D55C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+19 800,00 EUR</w:t>
            </w:r>
            <w:r w:rsidRPr="00B73FDB">
              <w:rPr>
                <w:rFonts w:cs="Calibri"/>
                <w:sz w:val="18"/>
                <w:szCs w:val="18"/>
                <w:lang w:eastAsia="sk-SK"/>
              </w:rPr>
              <w:t xml:space="preserve"> nenormatívne finančné prostriedky za mimoriadne výsledky žiakov,</w:t>
            </w:r>
          </w:p>
          <w:p w14:paraId="1FE08D9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+2 841,00 EUR</w:t>
            </w:r>
            <w:r w:rsidRPr="00B73FDB">
              <w:rPr>
                <w:rFonts w:cs="Calibri"/>
                <w:sz w:val="18"/>
                <w:szCs w:val="18"/>
                <w:lang w:eastAsia="sk-SK"/>
              </w:rPr>
              <w:t xml:space="preserve"> príspevok na učebnice,</w:t>
            </w:r>
          </w:p>
          <w:p w14:paraId="04A4624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+18,00 EUR</w:t>
            </w:r>
            <w:r w:rsidRPr="00B73FDB">
              <w:rPr>
                <w:rFonts w:cs="Calibri"/>
                <w:sz w:val="18"/>
                <w:szCs w:val="18"/>
                <w:lang w:eastAsia="sk-SK"/>
              </w:rPr>
              <w:t xml:space="preserve"> odchodné do dôchodku,</w:t>
            </w:r>
          </w:p>
          <w:p w14:paraId="3159F1E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-900,00 EUR</w:t>
            </w:r>
            <w:r w:rsidRPr="00B73FDB">
              <w:rPr>
                <w:rFonts w:cs="Calibri"/>
                <w:sz w:val="18"/>
                <w:szCs w:val="18"/>
                <w:lang w:eastAsia="sk-SK"/>
              </w:rPr>
              <w:t xml:space="preserve"> nenormatívne finančné prostriedky na lyžiarske kurzy,</w:t>
            </w:r>
          </w:p>
          <w:p w14:paraId="62A26E7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+18 101,92 EUR</w:t>
            </w:r>
            <w:r w:rsidRPr="00B73FDB">
              <w:rPr>
                <w:rFonts w:cs="Calibri"/>
                <w:sz w:val="18"/>
                <w:szCs w:val="18"/>
                <w:lang w:eastAsia="sk-SK"/>
              </w:rPr>
              <w:t xml:space="preserve"> nevyčerpané finančné prostriedky z r. 2019,</w:t>
            </w:r>
          </w:p>
          <w:p w14:paraId="0C7541A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-1 899,00 EUR</w:t>
            </w:r>
            <w:r w:rsidRPr="00B73FDB">
              <w:rPr>
                <w:rFonts w:cs="Calibri"/>
                <w:sz w:val="18"/>
                <w:szCs w:val="18"/>
                <w:lang w:eastAsia="sk-SK"/>
              </w:rPr>
              <w:t xml:space="preserve"> rozvojový projekt,</w:t>
            </w:r>
          </w:p>
          <w:p w14:paraId="096526E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+590,00 EUR</w:t>
            </w:r>
            <w:r w:rsidRPr="00B73FDB">
              <w:rPr>
                <w:rFonts w:cs="Calibri"/>
                <w:sz w:val="18"/>
                <w:szCs w:val="18"/>
                <w:lang w:eastAsia="sk-SK"/>
              </w:rPr>
              <w:t xml:space="preserve"> školské súťaže z OÚ,</w:t>
            </w:r>
          </w:p>
          <w:p w14:paraId="0892F17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+20 443,34 EUR</w:t>
            </w:r>
            <w:r w:rsidRPr="00B73FDB">
              <w:rPr>
                <w:rFonts w:cs="Calibri"/>
                <w:sz w:val="18"/>
                <w:szCs w:val="18"/>
                <w:lang w:eastAsia="sk-SK"/>
              </w:rPr>
              <w:t xml:space="preserve"> navýšenie rozpočtu projektového účtu,</w:t>
            </w:r>
          </w:p>
          <w:p w14:paraId="08474CB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+6 713,88 EUR</w:t>
            </w:r>
            <w:r w:rsidRPr="00B73FDB">
              <w:rPr>
                <w:rFonts w:cs="Calibri"/>
                <w:sz w:val="18"/>
                <w:szCs w:val="18"/>
                <w:lang w:eastAsia="sk-SK"/>
              </w:rPr>
              <w:t xml:space="preserve"> navýšenie rozpočtu darovacieho účtu.</w:t>
            </w:r>
          </w:p>
        </w:tc>
      </w:tr>
      <w:tr w:rsidR="00B73FDB" w:rsidRPr="00B73FDB" w14:paraId="49C1EF7C" w14:textId="77777777" w:rsidTr="00B73FDB">
        <w:trPr>
          <w:tblCellSpacing w:w="15" w:type="dxa"/>
        </w:trPr>
        <w:tc>
          <w:tcPr>
            <w:tcW w:w="266" w:type="pct"/>
            <w:shd w:val="clear" w:color="auto" w:fill="D9D9D9"/>
            <w:noWrap/>
            <w:vAlign w:val="center"/>
            <w:hideMark/>
          </w:tcPr>
          <w:p w14:paraId="65AC392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1B1889D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176C072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1 676 400,00</w:t>
            </w:r>
            <w:r w:rsidRPr="00B73FDB">
              <w:rPr>
                <w:rFonts w:cs="Calibri"/>
                <w:sz w:val="18"/>
                <w:szCs w:val="18"/>
                <w:lang w:eastAsia="sk-SK"/>
              </w:rPr>
              <w:t xml:space="preserve"> </w:t>
            </w:r>
          </w:p>
        </w:tc>
        <w:tc>
          <w:tcPr>
            <w:tcW w:w="562" w:type="pct"/>
            <w:shd w:val="clear" w:color="auto" w:fill="D9D9D9"/>
            <w:noWrap/>
            <w:vAlign w:val="center"/>
            <w:hideMark/>
          </w:tcPr>
          <w:p w14:paraId="265BDA3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1 779 449,14</w:t>
            </w:r>
            <w:r w:rsidRPr="00B73FDB">
              <w:rPr>
                <w:rFonts w:cs="Calibri"/>
                <w:sz w:val="18"/>
                <w:szCs w:val="18"/>
                <w:lang w:eastAsia="sk-SK"/>
              </w:rPr>
              <w:t xml:space="preserve"> </w:t>
            </w:r>
          </w:p>
        </w:tc>
        <w:tc>
          <w:tcPr>
            <w:tcW w:w="502" w:type="pct"/>
            <w:shd w:val="clear" w:color="auto" w:fill="D9D9D9"/>
            <w:noWrap/>
            <w:vAlign w:val="center"/>
            <w:hideMark/>
          </w:tcPr>
          <w:p w14:paraId="2CCEF81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1 616 773,43</w:t>
            </w:r>
            <w:r w:rsidRPr="00B73FDB">
              <w:rPr>
                <w:rFonts w:cs="Calibri"/>
                <w:sz w:val="18"/>
                <w:szCs w:val="18"/>
                <w:lang w:eastAsia="sk-SK"/>
              </w:rPr>
              <w:t xml:space="preserve"> </w:t>
            </w:r>
          </w:p>
        </w:tc>
        <w:tc>
          <w:tcPr>
            <w:tcW w:w="562" w:type="pct"/>
            <w:shd w:val="clear" w:color="auto" w:fill="D9D9D9"/>
            <w:noWrap/>
            <w:vAlign w:val="center"/>
            <w:hideMark/>
          </w:tcPr>
          <w:p w14:paraId="1B0FBC0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90,86</w:t>
            </w:r>
            <w:r w:rsidRPr="00B73FDB">
              <w:rPr>
                <w:rFonts w:cs="Calibri"/>
                <w:sz w:val="18"/>
                <w:szCs w:val="18"/>
                <w:lang w:eastAsia="sk-SK"/>
              </w:rPr>
              <w:t xml:space="preserve"> </w:t>
            </w:r>
          </w:p>
        </w:tc>
        <w:tc>
          <w:tcPr>
            <w:tcW w:w="1137" w:type="pct"/>
            <w:vMerge/>
            <w:shd w:val="clear" w:color="auto" w:fill="D9D9D9"/>
            <w:vAlign w:val="center"/>
            <w:hideMark/>
          </w:tcPr>
          <w:p w14:paraId="45AE460B" w14:textId="77777777" w:rsidR="00B73FDB" w:rsidRPr="00B73FDB" w:rsidRDefault="00B73FDB" w:rsidP="00B73FDB">
            <w:pPr>
              <w:spacing w:after="0" w:line="240" w:lineRule="auto"/>
              <w:rPr>
                <w:rFonts w:cs="Calibri"/>
                <w:sz w:val="18"/>
                <w:szCs w:val="18"/>
                <w:lang w:eastAsia="sk-SK"/>
              </w:rPr>
            </w:pPr>
          </w:p>
        </w:tc>
      </w:tr>
      <w:tr w:rsidR="00B73FDB" w:rsidRPr="00B73FDB" w14:paraId="230FA791" w14:textId="77777777" w:rsidTr="00B73FDB">
        <w:trPr>
          <w:tblCellSpacing w:w="15" w:type="dxa"/>
        </w:trPr>
        <w:tc>
          <w:tcPr>
            <w:tcW w:w="266" w:type="pct"/>
            <w:shd w:val="clear" w:color="auto" w:fill="EFEFEF"/>
            <w:noWrap/>
            <w:vAlign w:val="center"/>
            <w:hideMark/>
          </w:tcPr>
          <w:p w14:paraId="300D399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6" w:type="pct"/>
            <w:shd w:val="clear" w:color="auto" w:fill="EFEFEF"/>
            <w:vAlign w:val="center"/>
            <w:hideMark/>
          </w:tcPr>
          <w:p w14:paraId="0666617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20B6F53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1 017 807,00 </w:t>
            </w:r>
          </w:p>
        </w:tc>
        <w:tc>
          <w:tcPr>
            <w:tcW w:w="562" w:type="pct"/>
            <w:shd w:val="clear" w:color="auto" w:fill="EFEFEF"/>
            <w:noWrap/>
            <w:vAlign w:val="center"/>
            <w:hideMark/>
          </w:tcPr>
          <w:p w14:paraId="25EB168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1 064 198,53 </w:t>
            </w:r>
          </w:p>
        </w:tc>
        <w:tc>
          <w:tcPr>
            <w:tcW w:w="502" w:type="pct"/>
            <w:shd w:val="clear" w:color="auto" w:fill="EFEFEF"/>
            <w:noWrap/>
            <w:vAlign w:val="center"/>
            <w:hideMark/>
          </w:tcPr>
          <w:p w14:paraId="46CC0C1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1 064 198,53 </w:t>
            </w:r>
          </w:p>
        </w:tc>
        <w:tc>
          <w:tcPr>
            <w:tcW w:w="562" w:type="pct"/>
            <w:shd w:val="clear" w:color="auto" w:fill="EFEFEF"/>
            <w:noWrap/>
            <w:vAlign w:val="center"/>
            <w:hideMark/>
          </w:tcPr>
          <w:p w14:paraId="1CF7A58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63969644" w14:textId="77777777" w:rsidR="00B73FDB" w:rsidRPr="00B73FDB" w:rsidRDefault="00B73FDB" w:rsidP="00B73FDB">
            <w:pPr>
              <w:spacing w:after="0" w:line="240" w:lineRule="auto"/>
              <w:rPr>
                <w:rFonts w:cs="Calibri"/>
                <w:sz w:val="18"/>
                <w:szCs w:val="18"/>
                <w:lang w:eastAsia="sk-SK"/>
              </w:rPr>
            </w:pPr>
          </w:p>
        </w:tc>
      </w:tr>
      <w:tr w:rsidR="00B73FDB" w:rsidRPr="00B73FDB" w14:paraId="49938C4B" w14:textId="77777777" w:rsidTr="00B73FDB">
        <w:trPr>
          <w:tblCellSpacing w:w="15" w:type="dxa"/>
        </w:trPr>
        <w:tc>
          <w:tcPr>
            <w:tcW w:w="266" w:type="pct"/>
            <w:shd w:val="clear" w:color="auto" w:fill="EFEFEF"/>
            <w:noWrap/>
            <w:vAlign w:val="center"/>
            <w:hideMark/>
          </w:tcPr>
          <w:p w14:paraId="2A9C18A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6" w:type="pct"/>
            <w:shd w:val="clear" w:color="auto" w:fill="EFEFEF"/>
            <w:vAlign w:val="center"/>
            <w:hideMark/>
          </w:tcPr>
          <w:p w14:paraId="41699FB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0C22324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358 584,00 </w:t>
            </w:r>
          </w:p>
        </w:tc>
        <w:tc>
          <w:tcPr>
            <w:tcW w:w="562" w:type="pct"/>
            <w:shd w:val="clear" w:color="auto" w:fill="EFEFEF"/>
            <w:noWrap/>
            <w:vAlign w:val="center"/>
            <w:hideMark/>
          </w:tcPr>
          <w:p w14:paraId="16EEFFF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382 305,23 </w:t>
            </w:r>
          </w:p>
        </w:tc>
        <w:tc>
          <w:tcPr>
            <w:tcW w:w="502" w:type="pct"/>
            <w:shd w:val="clear" w:color="auto" w:fill="EFEFEF"/>
            <w:noWrap/>
            <w:vAlign w:val="center"/>
            <w:hideMark/>
          </w:tcPr>
          <w:p w14:paraId="69DDA4F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377 086,23 </w:t>
            </w:r>
          </w:p>
        </w:tc>
        <w:tc>
          <w:tcPr>
            <w:tcW w:w="562" w:type="pct"/>
            <w:shd w:val="clear" w:color="auto" w:fill="EFEFEF"/>
            <w:noWrap/>
            <w:vAlign w:val="center"/>
            <w:hideMark/>
          </w:tcPr>
          <w:p w14:paraId="770E0DC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98,63 </w:t>
            </w:r>
          </w:p>
        </w:tc>
        <w:tc>
          <w:tcPr>
            <w:tcW w:w="1137" w:type="pct"/>
            <w:vMerge/>
            <w:shd w:val="clear" w:color="auto" w:fill="EFEFEF"/>
            <w:vAlign w:val="center"/>
            <w:hideMark/>
          </w:tcPr>
          <w:p w14:paraId="7132EBF8" w14:textId="77777777" w:rsidR="00B73FDB" w:rsidRPr="00B73FDB" w:rsidRDefault="00B73FDB" w:rsidP="00B73FDB">
            <w:pPr>
              <w:spacing w:after="0" w:line="240" w:lineRule="auto"/>
              <w:rPr>
                <w:rFonts w:cs="Calibri"/>
                <w:sz w:val="18"/>
                <w:szCs w:val="18"/>
                <w:lang w:eastAsia="sk-SK"/>
              </w:rPr>
            </w:pPr>
          </w:p>
        </w:tc>
      </w:tr>
      <w:tr w:rsidR="00B73FDB" w:rsidRPr="00B73FDB" w14:paraId="38ABD20F" w14:textId="77777777" w:rsidTr="00B73FDB">
        <w:trPr>
          <w:tblCellSpacing w:w="15" w:type="dxa"/>
        </w:trPr>
        <w:tc>
          <w:tcPr>
            <w:tcW w:w="266" w:type="pct"/>
            <w:shd w:val="clear" w:color="auto" w:fill="EFEFEF"/>
            <w:noWrap/>
            <w:vAlign w:val="center"/>
            <w:hideMark/>
          </w:tcPr>
          <w:p w14:paraId="3C79F52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6" w:type="pct"/>
            <w:shd w:val="clear" w:color="auto" w:fill="EFEFEF"/>
            <w:vAlign w:val="center"/>
            <w:hideMark/>
          </w:tcPr>
          <w:p w14:paraId="2DBFE10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35293C1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249 150,00 </w:t>
            </w:r>
          </w:p>
        </w:tc>
        <w:tc>
          <w:tcPr>
            <w:tcW w:w="562" w:type="pct"/>
            <w:shd w:val="clear" w:color="auto" w:fill="EFEFEF"/>
            <w:noWrap/>
            <w:vAlign w:val="center"/>
            <w:hideMark/>
          </w:tcPr>
          <w:p w14:paraId="09F2F0B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271 852,96 </w:t>
            </w:r>
          </w:p>
        </w:tc>
        <w:tc>
          <w:tcPr>
            <w:tcW w:w="502" w:type="pct"/>
            <w:shd w:val="clear" w:color="auto" w:fill="EFEFEF"/>
            <w:noWrap/>
            <w:vAlign w:val="center"/>
            <w:hideMark/>
          </w:tcPr>
          <w:p w14:paraId="48092BF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165 255,25 </w:t>
            </w:r>
          </w:p>
        </w:tc>
        <w:tc>
          <w:tcPr>
            <w:tcW w:w="562" w:type="pct"/>
            <w:shd w:val="clear" w:color="auto" w:fill="EFEFEF"/>
            <w:noWrap/>
            <w:vAlign w:val="center"/>
            <w:hideMark/>
          </w:tcPr>
          <w:p w14:paraId="22E979C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60,79 </w:t>
            </w:r>
          </w:p>
        </w:tc>
        <w:tc>
          <w:tcPr>
            <w:tcW w:w="1137" w:type="pct"/>
            <w:vMerge/>
            <w:shd w:val="clear" w:color="auto" w:fill="EFEFEF"/>
            <w:vAlign w:val="center"/>
            <w:hideMark/>
          </w:tcPr>
          <w:p w14:paraId="71F0A9B7" w14:textId="77777777" w:rsidR="00B73FDB" w:rsidRPr="00B73FDB" w:rsidRDefault="00B73FDB" w:rsidP="00B73FDB">
            <w:pPr>
              <w:spacing w:after="0" w:line="240" w:lineRule="auto"/>
              <w:rPr>
                <w:rFonts w:cs="Calibri"/>
                <w:sz w:val="18"/>
                <w:szCs w:val="18"/>
                <w:lang w:eastAsia="sk-SK"/>
              </w:rPr>
            </w:pPr>
          </w:p>
        </w:tc>
      </w:tr>
      <w:tr w:rsidR="00B73FDB" w:rsidRPr="00B73FDB" w14:paraId="1BACC879" w14:textId="77777777" w:rsidTr="00B73FDB">
        <w:trPr>
          <w:tblCellSpacing w:w="15" w:type="dxa"/>
        </w:trPr>
        <w:tc>
          <w:tcPr>
            <w:tcW w:w="266" w:type="pct"/>
            <w:shd w:val="clear" w:color="auto" w:fill="EFEFEF"/>
            <w:noWrap/>
            <w:vAlign w:val="center"/>
            <w:hideMark/>
          </w:tcPr>
          <w:p w14:paraId="32A6579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327B73B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45139D0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50 859,00 </w:t>
            </w:r>
          </w:p>
        </w:tc>
        <w:tc>
          <w:tcPr>
            <w:tcW w:w="562" w:type="pct"/>
            <w:shd w:val="clear" w:color="auto" w:fill="EFEFEF"/>
            <w:noWrap/>
            <w:vAlign w:val="center"/>
            <w:hideMark/>
          </w:tcPr>
          <w:p w14:paraId="1C7C1C6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61 092,42 </w:t>
            </w:r>
          </w:p>
        </w:tc>
        <w:tc>
          <w:tcPr>
            <w:tcW w:w="502" w:type="pct"/>
            <w:shd w:val="clear" w:color="auto" w:fill="EFEFEF"/>
            <w:noWrap/>
            <w:vAlign w:val="center"/>
            <w:hideMark/>
          </w:tcPr>
          <w:p w14:paraId="605AE68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10 233,42 </w:t>
            </w:r>
          </w:p>
        </w:tc>
        <w:tc>
          <w:tcPr>
            <w:tcW w:w="562" w:type="pct"/>
            <w:shd w:val="clear" w:color="auto" w:fill="EFEFEF"/>
            <w:noWrap/>
            <w:vAlign w:val="center"/>
            <w:hideMark/>
          </w:tcPr>
          <w:p w14:paraId="1A4B731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16,75 </w:t>
            </w:r>
          </w:p>
        </w:tc>
        <w:tc>
          <w:tcPr>
            <w:tcW w:w="1137" w:type="pct"/>
            <w:vMerge/>
            <w:shd w:val="clear" w:color="auto" w:fill="EFEFEF"/>
            <w:vAlign w:val="center"/>
            <w:hideMark/>
          </w:tcPr>
          <w:p w14:paraId="5B8BC260" w14:textId="77777777" w:rsidR="00B73FDB" w:rsidRPr="00B73FDB" w:rsidRDefault="00B73FDB" w:rsidP="00B73FDB">
            <w:pPr>
              <w:spacing w:after="0" w:line="240" w:lineRule="auto"/>
              <w:rPr>
                <w:rFonts w:cs="Calibri"/>
                <w:sz w:val="18"/>
                <w:szCs w:val="18"/>
                <w:lang w:eastAsia="sk-SK"/>
              </w:rPr>
            </w:pPr>
          </w:p>
        </w:tc>
      </w:tr>
      <w:tr w:rsidR="00B73FDB" w:rsidRPr="00B73FDB" w14:paraId="4C73DF10" w14:textId="77777777" w:rsidTr="00B73FDB">
        <w:trPr>
          <w:tblCellSpacing w:w="15" w:type="dxa"/>
        </w:trPr>
        <w:tc>
          <w:tcPr>
            <w:tcW w:w="266" w:type="pct"/>
            <w:shd w:val="clear" w:color="auto" w:fill="D9D9D9"/>
            <w:noWrap/>
            <w:vAlign w:val="center"/>
          </w:tcPr>
          <w:p w14:paraId="4E939D80"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700</w:t>
            </w:r>
          </w:p>
        </w:tc>
        <w:tc>
          <w:tcPr>
            <w:tcW w:w="1286" w:type="pct"/>
            <w:shd w:val="clear" w:color="auto" w:fill="D9D9D9"/>
            <w:vAlign w:val="center"/>
          </w:tcPr>
          <w:p w14:paraId="100E25A6"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Kapitálové výdavky</w:t>
            </w:r>
          </w:p>
        </w:tc>
        <w:tc>
          <w:tcPr>
            <w:tcW w:w="564" w:type="pct"/>
            <w:shd w:val="clear" w:color="auto" w:fill="D9D9D9"/>
            <w:noWrap/>
            <w:vAlign w:val="center"/>
          </w:tcPr>
          <w:p w14:paraId="09C7053C"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562" w:type="pct"/>
            <w:shd w:val="clear" w:color="auto" w:fill="D9D9D9"/>
            <w:noWrap/>
            <w:vAlign w:val="center"/>
          </w:tcPr>
          <w:p w14:paraId="33207D8E"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2 399,00</w:t>
            </w:r>
          </w:p>
        </w:tc>
        <w:tc>
          <w:tcPr>
            <w:tcW w:w="502" w:type="pct"/>
            <w:shd w:val="clear" w:color="auto" w:fill="D9D9D9"/>
            <w:noWrap/>
            <w:vAlign w:val="center"/>
          </w:tcPr>
          <w:p w14:paraId="007D7141"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562" w:type="pct"/>
            <w:shd w:val="clear" w:color="auto" w:fill="D9D9D9"/>
            <w:noWrap/>
            <w:vAlign w:val="center"/>
          </w:tcPr>
          <w:p w14:paraId="676E74B9"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1137" w:type="pct"/>
            <w:vMerge w:val="restart"/>
            <w:shd w:val="clear" w:color="auto" w:fill="D9D9D9"/>
            <w:vAlign w:val="center"/>
          </w:tcPr>
          <w:p w14:paraId="1380BA3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+2 399,00 EUR</w:t>
            </w:r>
            <w:r w:rsidRPr="00B73FDB">
              <w:rPr>
                <w:rFonts w:cs="Calibri"/>
                <w:sz w:val="18"/>
                <w:szCs w:val="18"/>
                <w:lang w:eastAsia="sk-SK"/>
              </w:rPr>
              <w:t xml:space="preserve"> navýšenie rozpočtu darovacieho účtu.</w:t>
            </w:r>
          </w:p>
        </w:tc>
      </w:tr>
      <w:tr w:rsidR="00B73FDB" w:rsidRPr="00B73FDB" w14:paraId="680C08D9" w14:textId="77777777" w:rsidTr="00B73FDB">
        <w:trPr>
          <w:tblCellSpacing w:w="15" w:type="dxa"/>
        </w:trPr>
        <w:tc>
          <w:tcPr>
            <w:tcW w:w="266" w:type="pct"/>
            <w:shd w:val="clear" w:color="auto" w:fill="EFEFEF"/>
            <w:noWrap/>
            <w:vAlign w:val="center"/>
          </w:tcPr>
          <w:p w14:paraId="14414CE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710</w:t>
            </w:r>
          </w:p>
        </w:tc>
        <w:tc>
          <w:tcPr>
            <w:tcW w:w="1286" w:type="pct"/>
            <w:shd w:val="clear" w:color="auto" w:fill="EFEFEF"/>
            <w:vAlign w:val="center"/>
          </w:tcPr>
          <w:p w14:paraId="2830A0A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Obstarávanie kapitálový aktív</w:t>
            </w:r>
          </w:p>
        </w:tc>
        <w:tc>
          <w:tcPr>
            <w:tcW w:w="564" w:type="pct"/>
            <w:shd w:val="clear" w:color="auto" w:fill="EFEFEF"/>
            <w:noWrap/>
            <w:vAlign w:val="center"/>
          </w:tcPr>
          <w:p w14:paraId="6C8ED80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62" w:type="pct"/>
            <w:shd w:val="clear" w:color="auto" w:fill="EFEFEF"/>
            <w:noWrap/>
            <w:vAlign w:val="center"/>
          </w:tcPr>
          <w:p w14:paraId="3F01ECA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2 399,00</w:t>
            </w:r>
          </w:p>
        </w:tc>
        <w:tc>
          <w:tcPr>
            <w:tcW w:w="502" w:type="pct"/>
            <w:shd w:val="clear" w:color="auto" w:fill="EFEFEF"/>
            <w:noWrap/>
            <w:vAlign w:val="center"/>
          </w:tcPr>
          <w:p w14:paraId="47E02B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62" w:type="pct"/>
            <w:shd w:val="clear" w:color="auto" w:fill="EFEFEF"/>
            <w:noWrap/>
            <w:vAlign w:val="center"/>
          </w:tcPr>
          <w:p w14:paraId="7DF7FB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1137" w:type="pct"/>
            <w:vMerge/>
            <w:shd w:val="clear" w:color="auto" w:fill="EFEFEF"/>
            <w:vAlign w:val="center"/>
          </w:tcPr>
          <w:p w14:paraId="2D7E799B" w14:textId="77777777" w:rsidR="00B73FDB" w:rsidRPr="00B73FDB" w:rsidRDefault="00B73FDB" w:rsidP="00B73FDB">
            <w:pPr>
              <w:spacing w:after="0" w:line="240" w:lineRule="auto"/>
              <w:rPr>
                <w:rFonts w:cs="Calibri"/>
                <w:sz w:val="18"/>
                <w:szCs w:val="18"/>
                <w:lang w:eastAsia="sk-SK"/>
              </w:rPr>
            </w:pPr>
          </w:p>
        </w:tc>
      </w:tr>
    </w:tbl>
    <w:p w14:paraId="30BC48FF"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1712B340" w14:textId="77777777" w:rsidTr="00B73FDB">
        <w:trPr>
          <w:tblCellSpacing w:w="15" w:type="dxa"/>
        </w:trPr>
        <w:tc>
          <w:tcPr>
            <w:tcW w:w="0" w:type="auto"/>
            <w:shd w:val="clear" w:color="auto" w:fill="C2D69B"/>
            <w:vAlign w:val="center"/>
            <w:hideMark/>
          </w:tcPr>
          <w:p w14:paraId="4249222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AAFD88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680F3D5" w14:textId="77777777" w:rsidTr="00B73FDB">
        <w:trPr>
          <w:tblCellSpacing w:w="15" w:type="dxa"/>
        </w:trPr>
        <w:tc>
          <w:tcPr>
            <w:tcW w:w="0" w:type="auto"/>
            <w:shd w:val="clear" w:color="auto" w:fill="C2D69B"/>
            <w:vAlign w:val="center"/>
            <w:hideMark/>
          </w:tcPr>
          <w:p w14:paraId="4373498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8D9CC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7204B98C" w14:textId="77777777" w:rsidTr="00B73FDB">
        <w:trPr>
          <w:tblCellSpacing w:w="15" w:type="dxa"/>
        </w:trPr>
        <w:tc>
          <w:tcPr>
            <w:tcW w:w="0" w:type="auto"/>
            <w:shd w:val="clear" w:color="auto" w:fill="C2D69B"/>
            <w:vAlign w:val="center"/>
            <w:hideMark/>
          </w:tcPr>
          <w:p w14:paraId="6C16FE2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9202A5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018320B4" w14:textId="77777777" w:rsidTr="00B73FDB">
        <w:trPr>
          <w:tblCellSpacing w:w="15" w:type="dxa"/>
        </w:trPr>
        <w:tc>
          <w:tcPr>
            <w:tcW w:w="0" w:type="auto"/>
            <w:shd w:val="clear" w:color="auto" w:fill="C2D69B"/>
            <w:vAlign w:val="center"/>
            <w:hideMark/>
          </w:tcPr>
          <w:p w14:paraId="3A4F125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67E7AF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D40A29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3AA1F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07B9EA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3882EF9" w14:textId="77777777" w:rsidTr="00B73FDB">
        <w:trPr>
          <w:tblCellSpacing w:w="15" w:type="dxa"/>
        </w:trPr>
        <w:tc>
          <w:tcPr>
            <w:tcW w:w="0" w:type="auto"/>
            <w:shd w:val="clear" w:color="auto" w:fill="C2D69B"/>
            <w:vAlign w:val="center"/>
            <w:hideMark/>
          </w:tcPr>
          <w:p w14:paraId="1E8A424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91E648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638 </w:t>
            </w:r>
          </w:p>
        </w:tc>
        <w:tc>
          <w:tcPr>
            <w:tcW w:w="0" w:type="auto"/>
            <w:shd w:val="clear" w:color="auto" w:fill="C2D69B"/>
            <w:noWrap/>
            <w:vAlign w:val="center"/>
            <w:hideMark/>
          </w:tcPr>
          <w:p w14:paraId="5E04861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639 </w:t>
            </w:r>
          </w:p>
        </w:tc>
        <w:tc>
          <w:tcPr>
            <w:tcW w:w="0" w:type="auto"/>
            <w:shd w:val="clear" w:color="auto" w:fill="C2D69B"/>
            <w:vAlign w:val="center"/>
            <w:hideMark/>
          </w:tcPr>
          <w:p w14:paraId="6E993B7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78AD13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FEE4102" w14:textId="77777777" w:rsidTr="00B73FDB">
        <w:trPr>
          <w:tblCellSpacing w:w="15" w:type="dxa"/>
        </w:trPr>
        <w:tc>
          <w:tcPr>
            <w:tcW w:w="0" w:type="auto"/>
            <w:shd w:val="clear" w:color="auto" w:fill="C2D69B"/>
            <w:vAlign w:val="center"/>
            <w:hideMark/>
          </w:tcPr>
          <w:p w14:paraId="4A7EEF0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2A5DBC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5E3F08C" w14:textId="77777777" w:rsidTr="00B73FDB">
        <w:trPr>
          <w:tblCellSpacing w:w="15" w:type="dxa"/>
        </w:trPr>
        <w:tc>
          <w:tcPr>
            <w:tcW w:w="0" w:type="auto"/>
            <w:shd w:val="clear" w:color="auto" w:fill="C2D69B"/>
            <w:vAlign w:val="center"/>
            <w:hideMark/>
          </w:tcPr>
          <w:p w14:paraId="6240B50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76DD37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B55603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5598A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72447D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3AF1491" w14:textId="77777777" w:rsidTr="00B73FDB">
        <w:trPr>
          <w:tblCellSpacing w:w="15" w:type="dxa"/>
        </w:trPr>
        <w:tc>
          <w:tcPr>
            <w:tcW w:w="0" w:type="auto"/>
            <w:shd w:val="clear" w:color="auto" w:fill="C2D69B"/>
            <w:vAlign w:val="center"/>
            <w:hideMark/>
          </w:tcPr>
          <w:p w14:paraId="048FF99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267ABD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638 </w:t>
            </w:r>
          </w:p>
        </w:tc>
        <w:tc>
          <w:tcPr>
            <w:tcW w:w="0" w:type="auto"/>
            <w:shd w:val="clear" w:color="auto" w:fill="C2D69B"/>
            <w:noWrap/>
            <w:vAlign w:val="center"/>
            <w:hideMark/>
          </w:tcPr>
          <w:p w14:paraId="7E382C9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638 </w:t>
            </w:r>
          </w:p>
        </w:tc>
        <w:tc>
          <w:tcPr>
            <w:tcW w:w="0" w:type="auto"/>
            <w:shd w:val="clear" w:color="auto" w:fill="C2D69B"/>
            <w:vAlign w:val="center"/>
            <w:hideMark/>
          </w:tcPr>
          <w:p w14:paraId="4C13CD1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EAFA739" w14:textId="77777777" w:rsidR="00B73FDB" w:rsidRPr="00B73FDB" w:rsidRDefault="00B73FDB" w:rsidP="00B73FDB">
            <w:pPr>
              <w:spacing w:after="0" w:line="240" w:lineRule="auto"/>
              <w:jc w:val="center"/>
              <w:rPr>
                <w:rFonts w:cs="Calibri"/>
                <w:sz w:val="18"/>
                <w:szCs w:val="18"/>
                <w:lang w:eastAsia="sk-SK"/>
              </w:rPr>
            </w:pPr>
          </w:p>
        </w:tc>
      </w:tr>
    </w:tbl>
    <w:p w14:paraId="0EB4D6DF"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Poskytuje všeobecné vzdelanie v 4-ročnej, 5-ročnej a 8-ročnej forme štúdia so zameraním na matematiku. </w:t>
      </w:r>
    </w:p>
    <w:p w14:paraId="4AA3D478"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8.2.8: Gymnázium A. Einsteina, Einsteinova 35,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52"/>
        <w:gridCol w:w="1190"/>
        <w:gridCol w:w="1208"/>
        <w:gridCol w:w="1081"/>
        <w:gridCol w:w="1206"/>
        <w:gridCol w:w="2426"/>
      </w:tblGrid>
      <w:tr w:rsidR="00B73FDB" w:rsidRPr="00B73FDB" w14:paraId="3CC2DAAC" w14:textId="77777777" w:rsidTr="00B73FDB">
        <w:trPr>
          <w:tblCellSpacing w:w="15" w:type="dxa"/>
        </w:trPr>
        <w:tc>
          <w:tcPr>
            <w:tcW w:w="266" w:type="pct"/>
            <w:shd w:val="clear" w:color="auto" w:fill="C6DBF7"/>
            <w:vAlign w:val="center"/>
            <w:hideMark/>
          </w:tcPr>
          <w:p w14:paraId="0A1AE6E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99" w:type="pct"/>
            <w:shd w:val="clear" w:color="auto" w:fill="C6DBF7"/>
            <w:vAlign w:val="center"/>
            <w:hideMark/>
          </w:tcPr>
          <w:p w14:paraId="4519B1B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53" w:type="pct"/>
            <w:shd w:val="clear" w:color="auto" w:fill="C6DBF7"/>
            <w:vAlign w:val="center"/>
            <w:hideMark/>
          </w:tcPr>
          <w:p w14:paraId="05C3AC5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2" w:type="pct"/>
            <w:shd w:val="clear" w:color="auto" w:fill="C6DBF7"/>
            <w:vAlign w:val="center"/>
            <w:hideMark/>
          </w:tcPr>
          <w:p w14:paraId="3EB7974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2432E9B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1" w:type="pct"/>
            <w:shd w:val="clear" w:color="auto" w:fill="C6DBF7"/>
            <w:vAlign w:val="center"/>
            <w:hideMark/>
          </w:tcPr>
          <w:p w14:paraId="503DCFE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6E5E8FE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07703F3" w14:textId="77777777" w:rsidTr="00B73FDB">
        <w:trPr>
          <w:tblCellSpacing w:w="15" w:type="dxa"/>
        </w:trPr>
        <w:tc>
          <w:tcPr>
            <w:tcW w:w="266" w:type="pct"/>
            <w:shd w:val="clear" w:color="auto" w:fill="D9D9D9"/>
            <w:noWrap/>
            <w:vAlign w:val="center"/>
            <w:hideMark/>
          </w:tcPr>
          <w:p w14:paraId="1A4BBED8" w14:textId="77777777" w:rsidR="00B73FDB" w:rsidRPr="00B73FDB" w:rsidRDefault="00B73FDB" w:rsidP="00B73FDB">
            <w:pPr>
              <w:spacing w:after="0" w:line="240" w:lineRule="auto"/>
              <w:jc w:val="center"/>
              <w:rPr>
                <w:rFonts w:cs="Calibri"/>
                <w:sz w:val="18"/>
                <w:szCs w:val="18"/>
                <w:lang w:eastAsia="sk-SK"/>
              </w:rPr>
            </w:pPr>
          </w:p>
        </w:tc>
        <w:tc>
          <w:tcPr>
            <w:tcW w:w="1299" w:type="pct"/>
            <w:shd w:val="clear" w:color="auto" w:fill="D9D9D9"/>
            <w:vAlign w:val="center"/>
            <w:hideMark/>
          </w:tcPr>
          <w:p w14:paraId="66E52D7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53" w:type="pct"/>
            <w:shd w:val="clear" w:color="auto" w:fill="D9D9D9"/>
            <w:noWrap/>
            <w:vAlign w:val="center"/>
            <w:hideMark/>
          </w:tcPr>
          <w:p w14:paraId="010D6B7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1 055 994,00</w:t>
            </w:r>
            <w:r w:rsidRPr="00B73FDB">
              <w:rPr>
                <w:rFonts w:cs="Calibri"/>
                <w:sz w:val="18"/>
                <w:szCs w:val="18"/>
                <w:lang w:eastAsia="sk-SK"/>
              </w:rPr>
              <w:t xml:space="preserve"> </w:t>
            </w:r>
          </w:p>
        </w:tc>
        <w:tc>
          <w:tcPr>
            <w:tcW w:w="562" w:type="pct"/>
            <w:shd w:val="clear" w:color="auto" w:fill="D9D9D9"/>
            <w:noWrap/>
            <w:vAlign w:val="center"/>
            <w:hideMark/>
          </w:tcPr>
          <w:p w14:paraId="7AE0BA8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1 210 254,91</w:t>
            </w:r>
            <w:r w:rsidRPr="00B73FDB">
              <w:rPr>
                <w:rFonts w:cs="Calibri"/>
                <w:sz w:val="18"/>
                <w:szCs w:val="18"/>
                <w:lang w:eastAsia="sk-SK"/>
              </w:rPr>
              <w:t xml:space="preserve"> </w:t>
            </w:r>
          </w:p>
        </w:tc>
        <w:tc>
          <w:tcPr>
            <w:tcW w:w="501" w:type="pct"/>
            <w:shd w:val="clear" w:color="auto" w:fill="D9D9D9"/>
            <w:noWrap/>
            <w:vAlign w:val="center"/>
            <w:hideMark/>
          </w:tcPr>
          <w:p w14:paraId="1A5FAD8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1 102 973,27</w:t>
            </w:r>
            <w:r w:rsidRPr="00B73FDB">
              <w:rPr>
                <w:rFonts w:cs="Calibri"/>
                <w:sz w:val="18"/>
                <w:szCs w:val="18"/>
                <w:lang w:eastAsia="sk-SK"/>
              </w:rPr>
              <w:t xml:space="preserve"> </w:t>
            </w:r>
          </w:p>
        </w:tc>
        <w:tc>
          <w:tcPr>
            <w:tcW w:w="561" w:type="pct"/>
            <w:shd w:val="clear" w:color="auto" w:fill="D9D9D9"/>
            <w:noWrap/>
            <w:vAlign w:val="center"/>
            <w:hideMark/>
          </w:tcPr>
          <w:p w14:paraId="6390B7C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91,14</w:t>
            </w:r>
            <w:r w:rsidRPr="00B73FDB">
              <w:rPr>
                <w:rFonts w:cs="Calibri"/>
                <w:sz w:val="18"/>
                <w:szCs w:val="18"/>
                <w:lang w:eastAsia="sk-SK"/>
              </w:rPr>
              <w:t xml:space="preserve"> </w:t>
            </w:r>
          </w:p>
        </w:tc>
        <w:tc>
          <w:tcPr>
            <w:tcW w:w="1136" w:type="pct"/>
            <w:vMerge w:val="restart"/>
            <w:shd w:val="clear" w:color="auto" w:fill="D9D9D9"/>
            <w:vAlign w:val="center"/>
            <w:hideMark/>
          </w:tcPr>
          <w:p w14:paraId="41E7662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+34 146,00 EUR</w:t>
            </w:r>
            <w:r w:rsidRPr="00B73FDB">
              <w:rPr>
                <w:rFonts w:cs="Calibri"/>
                <w:sz w:val="18"/>
                <w:szCs w:val="18"/>
                <w:lang w:eastAsia="sk-SK"/>
              </w:rPr>
              <w:t xml:space="preserve"> normatívne finančné prostriedky,</w:t>
            </w:r>
          </w:p>
          <w:p w14:paraId="6546884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+183,00 EUR</w:t>
            </w:r>
            <w:r w:rsidRPr="00B73FDB">
              <w:rPr>
                <w:rFonts w:cs="Calibri"/>
                <w:sz w:val="18"/>
                <w:szCs w:val="18"/>
                <w:lang w:eastAsia="sk-SK"/>
              </w:rPr>
              <w:t xml:space="preserve"> normatívne finančné prostriedky na maturity,</w:t>
            </w:r>
          </w:p>
          <w:p w14:paraId="5DE63E9E"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+1 891,00 EUR</w:t>
            </w:r>
            <w:r w:rsidRPr="00B73FDB">
              <w:rPr>
                <w:rFonts w:cs="Calibri"/>
                <w:sz w:val="18"/>
                <w:szCs w:val="18"/>
                <w:lang w:eastAsia="sk-SK"/>
              </w:rPr>
              <w:t xml:space="preserve"> príspevok na rekreáciu zamestnancov,</w:t>
            </w:r>
          </w:p>
          <w:p w14:paraId="64FD09C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+960,00 EUR </w:t>
            </w:r>
            <w:r w:rsidRPr="00B73FDB">
              <w:rPr>
                <w:rFonts w:cs="Calibri"/>
                <w:sz w:val="18"/>
                <w:szCs w:val="18"/>
                <w:lang w:eastAsia="sk-SK"/>
              </w:rPr>
              <w:t>nenormatívne finančné prostriedky na vzdelávacie poukazy,</w:t>
            </w:r>
          </w:p>
          <w:p w14:paraId="5A6D74C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-1 037,00 EUR</w:t>
            </w:r>
            <w:r w:rsidRPr="00B73FDB">
              <w:rPr>
                <w:rFonts w:cs="Calibri"/>
                <w:sz w:val="18"/>
                <w:szCs w:val="18"/>
                <w:lang w:eastAsia="sk-SK"/>
              </w:rPr>
              <w:t xml:space="preserve"> rozvojový projekt,</w:t>
            </w:r>
          </w:p>
          <w:p w14:paraId="3425F3C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-4 026,00 EUR</w:t>
            </w:r>
            <w:r w:rsidRPr="00B73FDB">
              <w:rPr>
                <w:rFonts w:cs="Calibri"/>
                <w:sz w:val="18"/>
                <w:szCs w:val="18"/>
                <w:lang w:eastAsia="sk-SK"/>
              </w:rPr>
              <w:t xml:space="preserve"> odchodné do dôchodku,</w:t>
            </w:r>
          </w:p>
          <w:p w14:paraId="2F06BC7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-1 800,00 EUR</w:t>
            </w:r>
            <w:r w:rsidRPr="00B73FDB">
              <w:rPr>
                <w:rFonts w:cs="Calibri"/>
                <w:sz w:val="18"/>
                <w:szCs w:val="18"/>
                <w:lang w:eastAsia="sk-SK"/>
              </w:rPr>
              <w:t xml:space="preserve"> nenormatívne finančné prostriedky na lyžiarske kurzy,</w:t>
            </w:r>
          </w:p>
          <w:p w14:paraId="3078F58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+53 835,91 EUR</w:t>
            </w:r>
            <w:r w:rsidRPr="00B73FDB">
              <w:rPr>
                <w:rFonts w:cs="Calibri"/>
                <w:sz w:val="18"/>
                <w:szCs w:val="18"/>
                <w:lang w:eastAsia="sk-SK"/>
              </w:rPr>
              <w:t xml:space="preserve"> nevyčerpané finančné prostriedky z r. 2019,</w:t>
            </w:r>
          </w:p>
          <w:p w14:paraId="2B6FFCC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+808,00 EUR</w:t>
            </w:r>
            <w:r w:rsidRPr="00B73FDB">
              <w:rPr>
                <w:rFonts w:cs="Calibri"/>
                <w:sz w:val="18"/>
                <w:szCs w:val="18"/>
                <w:lang w:eastAsia="sk-SK"/>
              </w:rPr>
              <w:t xml:space="preserve"> projekt Erasmus+,</w:t>
            </w:r>
          </w:p>
          <w:p w14:paraId="02415C1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+69 300,00 EUR</w:t>
            </w:r>
            <w:r w:rsidRPr="00B73FDB">
              <w:rPr>
                <w:rFonts w:cs="Calibri"/>
                <w:sz w:val="18"/>
                <w:szCs w:val="18"/>
                <w:lang w:eastAsia="sk-SK"/>
              </w:rPr>
              <w:t xml:space="preserve"> navýšenie rozpočtu projektového účtu.</w:t>
            </w:r>
          </w:p>
        </w:tc>
      </w:tr>
      <w:tr w:rsidR="00B73FDB" w:rsidRPr="00B73FDB" w14:paraId="6F8F1118" w14:textId="77777777" w:rsidTr="00B73FDB">
        <w:trPr>
          <w:tblCellSpacing w:w="15" w:type="dxa"/>
        </w:trPr>
        <w:tc>
          <w:tcPr>
            <w:tcW w:w="266" w:type="pct"/>
            <w:shd w:val="clear" w:color="auto" w:fill="D9D9D9"/>
            <w:noWrap/>
            <w:vAlign w:val="center"/>
            <w:hideMark/>
          </w:tcPr>
          <w:p w14:paraId="10DF451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99" w:type="pct"/>
            <w:shd w:val="clear" w:color="auto" w:fill="D9D9D9"/>
            <w:vAlign w:val="center"/>
            <w:hideMark/>
          </w:tcPr>
          <w:p w14:paraId="606A5C9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53" w:type="pct"/>
            <w:shd w:val="clear" w:color="auto" w:fill="D9D9D9"/>
            <w:noWrap/>
            <w:vAlign w:val="center"/>
            <w:hideMark/>
          </w:tcPr>
          <w:p w14:paraId="6B6F19D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1 055 994,00</w:t>
            </w:r>
            <w:r w:rsidRPr="00B73FDB">
              <w:rPr>
                <w:rFonts w:cs="Calibri"/>
                <w:sz w:val="18"/>
                <w:szCs w:val="18"/>
                <w:lang w:eastAsia="sk-SK"/>
              </w:rPr>
              <w:t xml:space="preserve"> </w:t>
            </w:r>
          </w:p>
        </w:tc>
        <w:tc>
          <w:tcPr>
            <w:tcW w:w="562" w:type="pct"/>
            <w:shd w:val="clear" w:color="auto" w:fill="D9D9D9"/>
            <w:noWrap/>
            <w:vAlign w:val="center"/>
            <w:hideMark/>
          </w:tcPr>
          <w:p w14:paraId="2040540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1 210 254,91</w:t>
            </w:r>
            <w:r w:rsidRPr="00B73FDB">
              <w:rPr>
                <w:rFonts w:cs="Calibri"/>
                <w:sz w:val="18"/>
                <w:szCs w:val="18"/>
                <w:lang w:eastAsia="sk-SK"/>
              </w:rPr>
              <w:t xml:space="preserve"> </w:t>
            </w:r>
          </w:p>
        </w:tc>
        <w:tc>
          <w:tcPr>
            <w:tcW w:w="501" w:type="pct"/>
            <w:shd w:val="clear" w:color="auto" w:fill="D9D9D9"/>
            <w:noWrap/>
            <w:vAlign w:val="center"/>
            <w:hideMark/>
          </w:tcPr>
          <w:p w14:paraId="5EE39C0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1 102 973,27</w:t>
            </w:r>
            <w:r w:rsidRPr="00B73FDB">
              <w:rPr>
                <w:rFonts w:cs="Calibri"/>
                <w:sz w:val="18"/>
                <w:szCs w:val="18"/>
                <w:lang w:eastAsia="sk-SK"/>
              </w:rPr>
              <w:t xml:space="preserve"> </w:t>
            </w:r>
          </w:p>
        </w:tc>
        <w:tc>
          <w:tcPr>
            <w:tcW w:w="561" w:type="pct"/>
            <w:shd w:val="clear" w:color="auto" w:fill="D9D9D9"/>
            <w:noWrap/>
            <w:vAlign w:val="center"/>
            <w:hideMark/>
          </w:tcPr>
          <w:p w14:paraId="5CE5A76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91,14</w:t>
            </w:r>
            <w:r w:rsidRPr="00B73FDB">
              <w:rPr>
                <w:rFonts w:cs="Calibri"/>
                <w:sz w:val="18"/>
                <w:szCs w:val="18"/>
                <w:lang w:eastAsia="sk-SK"/>
              </w:rPr>
              <w:t xml:space="preserve"> </w:t>
            </w:r>
          </w:p>
        </w:tc>
        <w:tc>
          <w:tcPr>
            <w:tcW w:w="1136" w:type="pct"/>
            <w:vMerge/>
            <w:shd w:val="clear" w:color="auto" w:fill="D9D9D9"/>
            <w:vAlign w:val="center"/>
            <w:hideMark/>
          </w:tcPr>
          <w:p w14:paraId="715546EE" w14:textId="77777777" w:rsidR="00B73FDB" w:rsidRPr="00B73FDB" w:rsidRDefault="00B73FDB" w:rsidP="00B73FDB">
            <w:pPr>
              <w:spacing w:after="0" w:line="240" w:lineRule="auto"/>
              <w:rPr>
                <w:rFonts w:cs="Calibri"/>
                <w:sz w:val="18"/>
                <w:szCs w:val="18"/>
                <w:lang w:eastAsia="sk-SK"/>
              </w:rPr>
            </w:pPr>
          </w:p>
        </w:tc>
      </w:tr>
      <w:tr w:rsidR="00B73FDB" w:rsidRPr="00B73FDB" w14:paraId="718027C1" w14:textId="77777777" w:rsidTr="00B73FDB">
        <w:trPr>
          <w:tblCellSpacing w:w="15" w:type="dxa"/>
        </w:trPr>
        <w:tc>
          <w:tcPr>
            <w:tcW w:w="266" w:type="pct"/>
            <w:shd w:val="clear" w:color="auto" w:fill="EFEFEF"/>
            <w:noWrap/>
            <w:vAlign w:val="center"/>
            <w:hideMark/>
          </w:tcPr>
          <w:p w14:paraId="5E8FB0A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99" w:type="pct"/>
            <w:shd w:val="clear" w:color="auto" w:fill="EFEFEF"/>
            <w:vAlign w:val="center"/>
            <w:hideMark/>
          </w:tcPr>
          <w:p w14:paraId="4978653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53" w:type="pct"/>
            <w:shd w:val="clear" w:color="auto" w:fill="EFEFEF"/>
            <w:noWrap/>
            <w:vAlign w:val="center"/>
            <w:hideMark/>
          </w:tcPr>
          <w:p w14:paraId="2ACF961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661 060,00 </w:t>
            </w:r>
          </w:p>
        </w:tc>
        <w:tc>
          <w:tcPr>
            <w:tcW w:w="562" w:type="pct"/>
            <w:shd w:val="clear" w:color="auto" w:fill="EFEFEF"/>
            <w:noWrap/>
            <w:vAlign w:val="center"/>
            <w:hideMark/>
          </w:tcPr>
          <w:p w14:paraId="78BDE98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772 423,18 </w:t>
            </w:r>
          </w:p>
        </w:tc>
        <w:tc>
          <w:tcPr>
            <w:tcW w:w="501" w:type="pct"/>
            <w:shd w:val="clear" w:color="auto" w:fill="EFEFEF"/>
            <w:noWrap/>
            <w:vAlign w:val="center"/>
            <w:hideMark/>
          </w:tcPr>
          <w:p w14:paraId="28B43BC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691 270,88 </w:t>
            </w:r>
          </w:p>
        </w:tc>
        <w:tc>
          <w:tcPr>
            <w:tcW w:w="561" w:type="pct"/>
            <w:shd w:val="clear" w:color="auto" w:fill="EFEFEF"/>
            <w:noWrap/>
            <w:vAlign w:val="center"/>
            <w:hideMark/>
          </w:tcPr>
          <w:p w14:paraId="25661E6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89,49 </w:t>
            </w:r>
          </w:p>
        </w:tc>
        <w:tc>
          <w:tcPr>
            <w:tcW w:w="1136" w:type="pct"/>
            <w:vMerge/>
            <w:shd w:val="clear" w:color="auto" w:fill="EFEFEF"/>
            <w:vAlign w:val="center"/>
            <w:hideMark/>
          </w:tcPr>
          <w:p w14:paraId="59AA3355" w14:textId="77777777" w:rsidR="00B73FDB" w:rsidRPr="00B73FDB" w:rsidRDefault="00B73FDB" w:rsidP="00B73FDB">
            <w:pPr>
              <w:spacing w:after="0" w:line="240" w:lineRule="auto"/>
              <w:rPr>
                <w:rFonts w:cs="Calibri"/>
                <w:sz w:val="18"/>
                <w:szCs w:val="18"/>
                <w:lang w:eastAsia="sk-SK"/>
              </w:rPr>
            </w:pPr>
          </w:p>
        </w:tc>
      </w:tr>
      <w:tr w:rsidR="00B73FDB" w:rsidRPr="00B73FDB" w14:paraId="49954E41" w14:textId="77777777" w:rsidTr="00B73FDB">
        <w:trPr>
          <w:tblCellSpacing w:w="15" w:type="dxa"/>
        </w:trPr>
        <w:tc>
          <w:tcPr>
            <w:tcW w:w="266" w:type="pct"/>
            <w:shd w:val="clear" w:color="auto" w:fill="EFEFEF"/>
            <w:noWrap/>
            <w:vAlign w:val="center"/>
            <w:hideMark/>
          </w:tcPr>
          <w:p w14:paraId="5C821C2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99" w:type="pct"/>
            <w:shd w:val="clear" w:color="auto" w:fill="EFEFEF"/>
            <w:vAlign w:val="center"/>
            <w:hideMark/>
          </w:tcPr>
          <w:p w14:paraId="068027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53" w:type="pct"/>
            <w:shd w:val="clear" w:color="auto" w:fill="EFEFEF"/>
            <w:noWrap/>
            <w:vAlign w:val="center"/>
            <w:hideMark/>
          </w:tcPr>
          <w:p w14:paraId="7D7F8B5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227 422,00 </w:t>
            </w:r>
          </w:p>
        </w:tc>
        <w:tc>
          <w:tcPr>
            <w:tcW w:w="562" w:type="pct"/>
            <w:shd w:val="clear" w:color="auto" w:fill="EFEFEF"/>
            <w:noWrap/>
            <w:vAlign w:val="center"/>
            <w:hideMark/>
          </w:tcPr>
          <w:p w14:paraId="2112555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241 265,84 </w:t>
            </w:r>
          </w:p>
        </w:tc>
        <w:tc>
          <w:tcPr>
            <w:tcW w:w="501" w:type="pct"/>
            <w:shd w:val="clear" w:color="auto" w:fill="EFEFEF"/>
            <w:noWrap/>
            <w:vAlign w:val="center"/>
            <w:hideMark/>
          </w:tcPr>
          <w:p w14:paraId="57619DE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238 008,47 </w:t>
            </w:r>
          </w:p>
        </w:tc>
        <w:tc>
          <w:tcPr>
            <w:tcW w:w="561" w:type="pct"/>
            <w:shd w:val="clear" w:color="auto" w:fill="EFEFEF"/>
            <w:noWrap/>
            <w:vAlign w:val="center"/>
            <w:hideMark/>
          </w:tcPr>
          <w:p w14:paraId="56F2E3C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98,65 </w:t>
            </w:r>
          </w:p>
        </w:tc>
        <w:tc>
          <w:tcPr>
            <w:tcW w:w="1136" w:type="pct"/>
            <w:vMerge/>
            <w:shd w:val="clear" w:color="auto" w:fill="EFEFEF"/>
            <w:vAlign w:val="center"/>
            <w:hideMark/>
          </w:tcPr>
          <w:p w14:paraId="3F195316" w14:textId="77777777" w:rsidR="00B73FDB" w:rsidRPr="00B73FDB" w:rsidRDefault="00B73FDB" w:rsidP="00B73FDB">
            <w:pPr>
              <w:spacing w:after="0" w:line="240" w:lineRule="auto"/>
              <w:rPr>
                <w:rFonts w:cs="Calibri"/>
                <w:sz w:val="18"/>
                <w:szCs w:val="18"/>
                <w:lang w:eastAsia="sk-SK"/>
              </w:rPr>
            </w:pPr>
          </w:p>
        </w:tc>
      </w:tr>
      <w:tr w:rsidR="00B73FDB" w:rsidRPr="00B73FDB" w14:paraId="799E1BD6" w14:textId="77777777" w:rsidTr="00B73FDB">
        <w:trPr>
          <w:tblCellSpacing w:w="15" w:type="dxa"/>
        </w:trPr>
        <w:tc>
          <w:tcPr>
            <w:tcW w:w="266" w:type="pct"/>
            <w:shd w:val="clear" w:color="auto" w:fill="EFEFEF"/>
            <w:noWrap/>
            <w:vAlign w:val="center"/>
            <w:hideMark/>
          </w:tcPr>
          <w:p w14:paraId="7FE7F69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99" w:type="pct"/>
            <w:shd w:val="clear" w:color="auto" w:fill="EFEFEF"/>
            <w:vAlign w:val="center"/>
            <w:hideMark/>
          </w:tcPr>
          <w:p w14:paraId="00EBFD0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53" w:type="pct"/>
            <w:shd w:val="clear" w:color="auto" w:fill="EFEFEF"/>
            <w:noWrap/>
            <w:vAlign w:val="center"/>
            <w:hideMark/>
          </w:tcPr>
          <w:p w14:paraId="7857179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155 512,00 </w:t>
            </w:r>
          </w:p>
        </w:tc>
        <w:tc>
          <w:tcPr>
            <w:tcW w:w="562" w:type="pct"/>
            <w:shd w:val="clear" w:color="auto" w:fill="EFEFEF"/>
            <w:noWrap/>
            <w:vAlign w:val="center"/>
            <w:hideMark/>
          </w:tcPr>
          <w:p w14:paraId="4031B79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191 332,21 </w:t>
            </w:r>
          </w:p>
        </w:tc>
        <w:tc>
          <w:tcPr>
            <w:tcW w:w="501" w:type="pct"/>
            <w:shd w:val="clear" w:color="auto" w:fill="EFEFEF"/>
            <w:noWrap/>
            <w:vAlign w:val="center"/>
            <w:hideMark/>
          </w:tcPr>
          <w:p w14:paraId="4E5D84F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168 460,24 </w:t>
            </w:r>
          </w:p>
        </w:tc>
        <w:tc>
          <w:tcPr>
            <w:tcW w:w="561" w:type="pct"/>
            <w:shd w:val="clear" w:color="auto" w:fill="EFEFEF"/>
            <w:noWrap/>
            <w:vAlign w:val="center"/>
            <w:hideMark/>
          </w:tcPr>
          <w:p w14:paraId="74C2881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88,05 </w:t>
            </w:r>
          </w:p>
        </w:tc>
        <w:tc>
          <w:tcPr>
            <w:tcW w:w="1136" w:type="pct"/>
            <w:vMerge/>
            <w:shd w:val="clear" w:color="auto" w:fill="EFEFEF"/>
            <w:vAlign w:val="center"/>
            <w:hideMark/>
          </w:tcPr>
          <w:p w14:paraId="65EABE94" w14:textId="77777777" w:rsidR="00B73FDB" w:rsidRPr="00B73FDB" w:rsidRDefault="00B73FDB" w:rsidP="00B73FDB">
            <w:pPr>
              <w:spacing w:after="0" w:line="240" w:lineRule="auto"/>
              <w:rPr>
                <w:rFonts w:cs="Calibri"/>
                <w:sz w:val="18"/>
                <w:szCs w:val="18"/>
                <w:lang w:eastAsia="sk-SK"/>
              </w:rPr>
            </w:pPr>
          </w:p>
        </w:tc>
      </w:tr>
      <w:tr w:rsidR="00B73FDB" w:rsidRPr="00B73FDB" w14:paraId="5AC1A87E" w14:textId="77777777" w:rsidTr="00B73FDB">
        <w:trPr>
          <w:tblCellSpacing w:w="15" w:type="dxa"/>
        </w:trPr>
        <w:tc>
          <w:tcPr>
            <w:tcW w:w="266" w:type="pct"/>
            <w:shd w:val="clear" w:color="auto" w:fill="EFEFEF"/>
            <w:noWrap/>
            <w:vAlign w:val="center"/>
            <w:hideMark/>
          </w:tcPr>
          <w:p w14:paraId="419EEC6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99" w:type="pct"/>
            <w:shd w:val="clear" w:color="auto" w:fill="EFEFEF"/>
            <w:vAlign w:val="center"/>
            <w:hideMark/>
          </w:tcPr>
          <w:p w14:paraId="08E041C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53" w:type="pct"/>
            <w:shd w:val="clear" w:color="auto" w:fill="EFEFEF"/>
            <w:noWrap/>
            <w:vAlign w:val="center"/>
            <w:hideMark/>
          </w:tcPr>
          <w:p w14:paraId="1E491E2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12 000,00 </w:t>
            </w:r>
          </w:p>
        </w:tc>
        <w:tc>
          <w:tcPr>
            <w:tcW w:w="562" w:type="pct"/>
            <w:shd w:val="clear" w:color="auto" w:fill="EFEFEF"/>
            <w:noWrap/>
            <w:vAlign w:val="center"/>
            <w:hideMark/>
          </w:tcPr>
          <w:p w14:paraId="76169F5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5 233,68 </w:t>
            </w:r>
          </w:p>
        </w:tc>
        <w:tc>
          <w:tcPr>
            <w:tcW w:w="501" w:type="pct"/>
            <w:shd w:val="clear" w:color="auto" w:fill="EFEFEF"/>
            <w:noWrap/>
            <w:vAlign w:val="center"/>
            <w:hideMark/>
          </w:tcPr>
          <w:p w14:paraId="5CEC09B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5 233,68 </w:t>
            </w:r>
          </w:p>
        </w:tc>
        <w:tc>
          <w:tcPr>
            <w:tcW w:w="561" w:type="pct"/>
            <w:shd w:val="clear" w:color="auto" w:fill="EFEFEF"/>
            <w:noWrap/>
            <w:vAlign w:val="center"/>
            <w:hideMark/>
          </w:tcPr>
          <w:p w14:paraId="663DE9B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03C7782" w14:textId="77777777" w:rsidR="00B73FDB" w:rsidRPr="00B73FDB" w:rsidRDefault="00B73FDB" w:rsidP="00B73FDB">
            <w:pPr>
              <w:spacing w:after="0" w:line="240" w:lineRule="auto"/>
              <w:rPr>
                <w:rFonts w:cs="Calibri"/>
                <w:sz w:val="18"/>
                <w:szCs w:val="18"/>
                <w:lang w:eastAsia="sk-SK"/>
              </w:rPr>
            </w:pPr>
          </w:p>
        </w:tc>
      </w:tr>
    </w:tbl>
    <w:p w14:paraId="5269C3C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56"/>
        <w:gridCol w:w="689"/>
        <w:gridCol w:w="1630"/>
        <w:gridCol w:w="1532"/>
        <w:gridCol w:w="4159"/>
      </w:tblGrid>
      <w:tr w:rsidR="00B73FDB" w:rsidRPr="00B73FDB" w14:paraId="30105613" w14:textId="77777777" w:rsidTr="00B73FDB">
        <w:trPr>
          <w:tblCellSpacing w:w="15" w:type="dxa"/>
        </w:trPr>
        <w:tc>
          <w:tcPr>
            <w:tcW w:w="0" w:type="auto"/>
            <w:shd w:val="clear" w:color="auto" w:fill="C2D69B"/>
            <w:vAlign w:val="center"/>
            <w:hideMark/>
          </w:tcPr>
          <w:p w14:paraId="3E87EF7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7FF9DFE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365E06D2" w14:textId="77777777" w:rsidTr="00B73FDB">
        <w:trPr>
          <w:tblCellSpacing w:w="15" w:type="dxa"/>
        </w:trPr>
        <w:tc>
          <w:tcPr>
            <w:tcW w:w="0" w:type="auto"/>
            <w:shd w:val="clear" w:color="auto" w:fill="C2D69B"/>
            <w:vAlign w:val="center"/>
            <w:hideMark/>
          </w:tcPr>
          <w:p w14:paraId="7DC2DBC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7759EE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2983CF82" w14:textId="77777777" w:rsidTr="00B73FDB">
        <w:trPr>
          <w:tblCellSpacing w:w="15" w:type="dxa"/>
        </w:trPr>
        <w:tc>
          <w:tcPr>
            <w:tcW w:w="0" w:type="auto"/>
            <w:shd w:val="clear" w:color="auto" w:fill="C2D69B"/>
            <w:vAlign w:val="center"/>
            <w:hideMark/>
          </w:tcPr>
          <w:p w14:paraId="5038664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EB8904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42F680ED" w14:textId="77777777" w:rsidTr="00B73FDB">
        <w:trPr>
          <w:tblCellSpacing w:w="15" w:type="dxa"/>
        </w:trPr>
        <w:tc>
          <w:tcPr>
            <w:tcW w:w="0" w:type="auto"/>
            <w:shd w:val="clear" w:color="auto" w:fill="C2D69B"/>
            <w:vAlign w:val="center"/>
            <w:hideMark/>
          </w:tcPr>
          <w:p w14:paraId="40BC6E4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7DFF25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560A4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7A0662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F7CD4A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8696BAB" w14:textId="77777777" w:rsidTr="00B73FDB">
        <w:trPr>
          <w:tblCellSpacing w:w="15" w:type="dxa"/>
        </w:trPr>
        <w:tc>
          <w:tcPr>
            <w:tcW w:w="0" w:type="auto"/>
            <w:shd w:val="clear" w:color="auto" w:fill="C2D69B"/>
            <w:vAlign w:val="center"/>
            <w:hideMark/>
          </w:tcPr>
          <w:p w14:paraId="05BCECC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BD4384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456 </w:t>
            </w:r>
          </w:p>
        </w:tc>
        <w:tc>
          <w:tcPr>
            <w:tcW w:w="0" w:type="auto"/>
            <w:shd w:val="clear" w:color="auto" w:fill="C2D69B"/>
            <w:noWrap/>
            <w:vAlign w:val="center"/>
            <w:hideMark/>
          </w:tcPr>
          <w:p w14:paraId="577EE4A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455 </w:t>
            </w:r>
          </w:p>
        </w:tc>
        <w:tc>
          <w:tcPr>
            <w:tcW w:w="0" w:type="auto"/>
            <w:shd w:val="clear" w:color="auto" w:fill="C2D69B"/>
            <w:vAlign w:val="center"/>
            <w:hideMark/>
          </w:tcPr>
          <w:p w14:paraId="3A17197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2337A2B3"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55E947B" w14:textId="77777777" w:rsidTr="00B73FDB">
        <w:trPr>
          <w:tblCellSpacing w:w="15" w:type="dxa"/>
        </w:trPr>
        <w:tc>
          <w:tcPr>
            <w:tcW w:w="0" w:type="auto"/>
            <w:shd w:val="clear" w:color="auto" w:fill="C2D69B"/>
            <w:vAlign w:val="center"/>
            <w:hideMark/>
          </w:tcPr>
          <w:p w14:paraId="6F54534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Merateľný ukazovateľ</w:t>
            </w:r>
          </w:p>
        </w:tc>
        <w:tc>
          <w:tcPr>
            <w:tcW w:w="0" w:type="auto"/>
            <w:gridSpan w:val="4"/>
            <w:shd w:val="clear" w:color="auto" w:fill="C2D69B"/>
            <w:vAlign w:val="center"/>
            <w:hideMark/>
          </w:tcPr>
          <w:p w14:paraId="110B30D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dennej forme </w:t>
            </w:r>
          </w:p>
        </w:tc>
      </w:tr>
      <w:tr w:rsidR="00B73FDB" w:rsidRPr="00B73FDB" w14:paraId="1FF5B5D9" w14:textId="77777777" w:rsidTr="00B73FDB">
        <w:trPr>
          <w:tblCellSpacing w:w="15" w:type="dxa"/>
        </w:trPr>
        <w:tc>
          <w:tcPr>
            <w:tcW w:w="0" w:type="auto"/>
            <w:shd w:val="clear" w:color="auto" w:fill="C2D69B"/>
            <w:vAlign w:val="center"/>
            <w:hideMark/>
          </w:tcPr>
          <w:p w14:paraId="487318B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288CD6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53D7C0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2CB0F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30D4AA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DB3CCE9" w14:textId="77777777" w:rsidTr="00B73FDB">
        <w:trPr>
          <w:tblCellSpacing w:w="15" w:type="dxa"/>
        </w:trPr>
        <w:tc>
          <w:tcPr>
            <w:tcW w:w="0" w:type="auto"/>
            <w:shd w:val="clear" w:color="auto" w:fill="C2D69B"/>
            <w:vAlign w:val="center"/>
            <w:hideMark/>
          </w:tcPr>
          <w:p w14:paraId="304DFCC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AE6576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456 </w:t>
            </w:r>
          </w:p>
        </w:tc>
        <w:tc>
          <w:tcPr>
            <w:tcW w:w="0" w:type="auto"/>
            <w:shd w:val="clear" w:color="auto" w:fill="C2D69B"/>
            <w:noWrap/>
            <w:vAlign w:val="center"/>
            <w:hideMark/>
          </w:tcPr>
          <w:p w14:paraId="31B4A5D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449 </w:t>
            </w:r>
          </w:p>
        </w:tc>
        <w:tc>
          <w:tcPr>
            <w:tcW w:w="0" w:type="auto"/>
            <w:shd w:val="clear" w:color="auto" w:fill="C2D69B"/>
            <w:vAlign w:val="center"/>
            <w:hideMark/>
          </w:tcPr>
          <w:p w14:paraId="7A4C3B7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5992542B" w14:textId="77777777" w:rsidR="00B73FDB" w:rsidRPr="00B73FDB" w:rsidRDefault="00B73FDB" w:rsidP="00B73FDB">
            <w:pPr>
              <w:spacing w:after="0" w:line="240" w:lineRule="auto"/>
              <w:jc w:val="center"/>
              <w:rPr>
                <w:rFonts w:cs="Calibri"/>
                <w:sz w:val="18"/>
                <w:szCs w:val="18"/>
                <w:lang w:eastAsia="sk-SK"/>
              </w:rPr>
            </w:pPr>
          </w:p>
        </w:tc>
      </w:tr>
    </w:tbl>
    <w:p w14:paraId="55C8F7EF"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Gymnázium poskytuje všeobecné vzdelanie v 4-ročnej forme štúdia so zameraním na prírodné vedy a zároveň 5-ročné bilingválne štúdium v ruskom jazyku. </w:t>
      </w:r>
    </w:p>
    <w:p w14:paraId="19DC7E3E"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8.2.9: Gymnázium J. </w:t>
      </w:r>
      <w:proofErr w:type="spellStart"/>
      <w:r w:rsidRPr="00B73FDB">
        <w:rPr>
          <w:rFonts w:ascii="Calibri" w:hAnsi="Calibri" w:cs="Calibri"/>
          <w:b/>
          <w:color w:val="244061"/>
        </w:rPr>
        <w:t>Papánka</w:t>
      </w:r>
      <w:proofErr w:type="spellEnd"/>
      <w:r w:rsidRPr="00B73FDB">
        <w:rPr>
          <w:rFonts w:ascii="Calibri" w:hAnsi="Calibri" w:cs="Calibri"/>
          <w:b/>
          <w:color w:val="244061"/>
        </w:rPr>
        <w:t xml:space="preserve">, </w:t>
      </w:r>
      <w:proofErr w:type="spellStart"/>
      <w:r w:rsidRPr="00B73FDB">
        <w:rPr>
          <w:rFonts w:ascii="Calibri" w:hAnsi="Calibri" w:cs="Calibri"/>
          <w:b/>
          <w:color w:val="244061"/>
        </w:rPr>
        <w:t>Vazovova</w:t>
      </w:r>
      <w:proofErr w:type="spellEnd"/>
      <w:r w:rsidRPr="00B73FDB">
        <w:rPr>
          <w:rFonts w:ascii="Calibri" w:hAnsi="Calibri" w:cs="Calibri"/>
          <w:b/>
          <w:color w:val="244061"/>
        </w:rPr>
        <w:t xml:space="preserve"> 6,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6"/>
        <w:gridCol w:w="1210"/>
        <w:gridCol w:w="1210"/>
        <w:gridCol w:w="1081"/>
        <w:gridCol w:w="1208"/>
        <w:gridCol w:w="2428"/>
      </w:tblGrid>
      <w:tr w:rsidR="00B73FDB" w:rsidRPr="00B73FDB" w14:paraId="4C8E9207" w14:textId="77777777" w:rsidTr="00B73FDB">
        <w:trPr>
          <w:tblCellSpacing w:w="15" w:type="dxa"/>
        </w:trPr>
        <w:tc>
          <w:tcPr>
            <w:tcW w:w="266" w:type="pct"/>
            <w:shd w:val="clear" w:color="auto" w:fill="C6DBF7"/>
            <w:vAlign w:val="center"/>
            <w:hideMark/>
          </w:tcPr>
          <w:p w14:paraId="3AE3D20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50FC8D7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03CCCA6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627EA58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2" w:type="pct"/>
            <w:shd w:val="clear" w:color="auto" w:fill="C6DBF7"/>
            <w:vAlign w:val="center"/>
            <w:hideMark/>
          </w:tcPr>
          <w:p w14:paraId="2FA0A4B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40DB48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3779892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960D2A9" w14:textId="77777777" w:rsidTr="00B73FDB">
        <w:trPr>
          <w:tblCellSpacing w:w="15" w:type="dxa"/>
        </w:trPr>
        <w:tc>
          <w:tcPr>
            <w:tcW w:w="266" w:type="pct"/>
            <w:shd w:val="clear" w:color="auto" w:fill="D9D9D9"/>
            <w:noWrap/>
            <w:vAlign w:val="center"/>
            <w:hideMark/>
          </w:tcPr>
          <w:p w14:paraId="1484E49F"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4943659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399CB2F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1 266 900,00</w:t>
            </w:r>
            <w:r w:rsidRPr="00B73FDB">
              <w:rPr>
                <w:rFonts w:cs="Calibri"/>
                <w:sz w:val="18"/>
                <w:szCs w:val="18"/>
                <w:lang w:eastAsia="sk-SK"/>
              </w:rPr>
              <w:t xml:space="preserve"> </w:t>
            </w:r>
          </w:p>
        </w:tc>
        <w:tc>
          <w:tcPr>
            <w:tcW w:w="563" w:type="pct"/>
            <w:shd w:val="clear" w:color="auto" w:fill="D9D9D9"/>
            <w:noWrap/>
            <w:vAlign w:val="center"/>
            <w:hideMark/>
          </w:tcPr>
          <w:p w14:paraId="4B8B4DA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1 620 624,35</w:t>
            </w:r>
            <w:r w:rsidRPr="00B73FDB">
              <w:rPr>
                <w:rFonts w:cs="Calibri"/>
                <w:sz w:val="18"/>
                <w:szCs w:val="18"/>
                <w:lang w:eastAsia="sk-SK"/>
              </w:rPr>
              <w:t xml:space="preserve"> </w:t>
            </w:r>
          </w:p>
        </w:tc>
        <w:tc>
          <w:tcPr>
            <w:tcW w:w="502" w:type="pct"/>
            <w:shd w:val="clear" w:color="auto" w:fill="D9D9D9"/>
            <w:noWrap/>
            <w:vAlign w:val="center"/>
            <w:hideMark/>
          </w:tcPr>
          <w:p w14:paraId="3A2FE7C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1 387 813,25</w:t>
            </w:r>
            <w:r w:rsidRPr="00B73FDB">
              <w:rPr>
                <w:rFonts w:cs="Calibri"/>
                <w:sz w:val="18"/>
                <w:szCs w:val="18"/>
                <w:lang w:eastAsia="sk-SK"/>
              </w:rPr>
              <w:t xml:space="preserve"> </w:t>
            </w:r>
          </w:p>
        </w:tc>
        <w:tc>
          <w:tcPr>
            <w:tcW w:w="562" w:type="pct"/>
            <w:shd w:val="clear" w:color="auto" w:fill="D9D9D9"/>
            <w:noWrap/>
            <w:vAlign w:val="center"/>
            <w:hideMark/>
          </w:tcPr>
          <w:p w14:paraId="5ADB6F6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85,63</w:t>
            </w:r>
            <w:r w:rsidRPr="00B73FDB">
              <w:rPr>
                <w:rFonts w:cs="Calibri"/>
                <w:sz w:val="18"/>
                <w:szCs w:val="18"/>
                <w:lang w:eastAsia="sk-SK"/>
              </w:rPr>
              <w:t xml:space="preserve"> </w:t>
            </w:r>
          </w:p>
        </w:tc>
        <w:tc>
          <w:tcPr>
            <w:tcW w:w="1137" w:type="pct"/>
            <w:vMerge w:val="restart"/>
            <w:shd w:val="clear" w:color="auto" w:fill="D9D9D9"/>
            <w:vAlign w:val="center"/>
            <w:hideMark/>
          </w:tcPr>
          <w:p w14:paraId="2F4E499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+51 984,00 EUR</w:t>
            </w:r>
            <w:r w:rsidRPr="00B73FDB">
              <w:rPr>
                <w:rFonts w:cs="Calibri"/>
                <w:sz w:val="18"/>
                <w:szCs w:val="18"/>
                <w:lang w:eastAsia="sk-SK"/>
              </w:rPr>
              <w:t xml:space="preserve"> normatívne finančné prostriedky,</w:t>
            </w:r>
          </w:p>
          <w:p w14:paraId="6969168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+695,00 EUR</w:t>
            </w:r>
            <w:r w:rsidRPr="00B73FDB">
              <w:rPr>
                <w:rFonts w:cs="Calibri"/>
                <w:sz w:val="18"/>
                <w:szCs w:val="18"/>
                <w:lang w:eastAsia="sk-SK"/>
              </w:rPr>
              <w:t xml:space="preserve"> normatívne finančné prostriedky na maturity,</w:t>
            </w:r>
          </w:p>
          <w:p w14:paraId="7F91B3CB"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+3 347,00 EUR</w:t>
            </w:r>
            <w:r w:rsidRPr="00B73FDB">
              <w:rPr>
                <w:rFonts w:cs="Calibri"/>
                <w:sz w:val="18"/>
                <w:szCs w:val="18"/>
                <w:lang w:eastAsia="sk-SK"/>
              </w:rPr>
              <w:t xml:space="preserve"> príspevok na rekreáciu zamestnancov,</w:t>
            </w:r>
          </w:p>
          <w:p w14:paraId="13AB7DE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+2 425,00 EUR </w:t>
            </w:r>
            <w:r w:rsidRPr="00B73FDB">
              <w:rPr>
                <w:rFonts w:cs="Calibri"/>
                <w:sz w:val="18"/>
                <w:szCs w:val="18"/>
                <w:lang w:eastAsia="sk-SK"/>
              </w:rPr>
              <w:t>nenormatívne finančné prostriedky na vzdelávacie poukazy,</w:t>
            </w:r>
          </w:p>
          <w:p w14:paraId="3509532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+1 792,00 EUR</w:t>
            </w:r>
            <w:r w:rsidRPr="00B73FDB">
              <w:rPr>
                <w:rFonts w:cs="Calibri"/>
                <w:sz w:val="18"/>
                <w:szCs w:val="18"/>
                <w:lang w:eastAsia="sk-SK"/>
              </w:rPr>
              <w:t xml:space="preserve"> príspevok na učebnice,</w:t>
            </w:r>
          </w:p>
          <w:p w14:paraId="41C7789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+2 530,00 EUR</w:t>
            </w:r>
            <w:r w:rsidRPr="00B73FDB">
              <w:rPr>
                <w:rFonts w:cs="Calibri"/>
                <w:sz w:val="18"/>
                <w:szCs w:val="18"/>
                <w:lang w:eastAsia="sk-SK"/>
              </w:rPr>
              <w:t xml:space="preserve"> odchodné do dôchodku,</w:t>
            </w:r>
          </w:p>
          <w:p w14:paraId="1C6979D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+300,00 EUR</w:t>
            </w:r>
            <w:r w:rsidRPr="00B73FDB">
              <w:rPr>
                <w:rFonts w:cs="Calibri"/>
                <w:sz w:val="18"/>
                <w:szCs w:val="18"/>
                <w:lang w:eastAsia="sk-SK"/>
              </w:rPr>
              <w:t xml:space="preserve"> nenormatívne finančné prostriedky na lyžiarske kurzy,</w:t>
            </w:r>
          </w:p>
          <w:p w14:paraId="1574102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+2 163,65 EUR</w:t>
            </w:r>
            <w:r w:rsidRPr="00B73FDB">
              <w:rPr>
                <w:rFonts w:cs="Calibri"/>
                <w:sz w:val="18"/>
                <w:szCs w:val="18"/>
                <w:lang w:eastAsia="sk-SK"/>
              </w:rPr>
              <w:t xml:space="preserve"> nevyčerpané finančné prostriedky z r. 2019,</w:t>
            </w:r>
          </w:p>
          <w:p w14:paraId="209CD3A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+629,00 EUR</w:t>
            </w:r>
            <w:r w:rsidRPr="00B73FDB">
              <w:rPr>
                <w:rFonts w:cs="Calibri"/>
                <w:sz w:val="18"/>
                <w:szCs w:val="18"/>
                <w:lang w:eastAsia="sk-SK"/>
              </w:rPr>
              <w:t xml:space="preserve"> projekt Erasmus+,</w:t>
            </w:r>
          </w:p>
          <w:p w14:paraId="3B718B6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+8 347,90 EUR</w:t>
            </w:r>
            <w:r w:rsidRPr="00B73FDB">
              <w:rPr>
                <w:rFonts w:cs="Calibri"/>
                <w:sz w:val="18"/>
                <w:szCs w:val="18"/>
                <w:lang w:eastAsia="sk-SK"/>
              </w:rPr>
              <w:t xml:space="preserve"> projekt z MPC,</w:t>
            </w:r>
          </w:p>
          <w:p w14:paraId="0DFEF74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+275 779,58 EUR</w:t>
            </w:r>
            <w:r w:rsidRPr="00B73FDB">
              <w:rPr>
                <w:rFonts w:cs="Calibri"/>
                <w:sz w:val="18"/>
                <w:szCs w:val="18"/>
                <w:lang w:eastAsia="sk-SK"/>
              </w:rPr>
              <w:t xml:space="preserve"> navýšenie rozpočtu projektového účtu.</w:t>
            </w:r>
          </w:p>
        </w:tc>
      </w:tr>
      <w:tr w:rsidR="00B73FDB" w:rsidRPr="00B73FDB" w14:paraId="24685F77" w14:textId="77777777" w:rsidTr="00B73FDB">
        <w:trPr>
          <w:tblCellSpacing w:w="15" w:type="dxa"/>
        </w:trPr>
        <w:tc>
          <w:tcPr>
            <w:tcW w:w="266" w:type="pct"/>
            <w:shd w:val="clear" w:color="auto" w:fill="D9D9D9"/>
            <w:noWrap/>
            <w:vAlign w:val="center"/>
            <w:hideMark/>
          </w:tcPr>
          <w:p w14:paraId="627E408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207EA8E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362182C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1 266 900,00</w:t>
            </w:r>
            <w:r w:rsidRPr="00B73FDB">
              <w:rPr>
                <w:rFonts w:cs="Calibri"/>
                <w:sz w:val="18"/>
                <w:szCs w:val="18"/>
                <w:lang w:eastAsia="sk-SK"/>
              </w:rPr>
              <w:t xml:space="preserve"> </w:t>
            </w:r>
          </w:p>
        </w:tc>
        <w:tc>
          <w:tcPr>
            <w:tcW w:w="563" w:type="pct"/>
            <w:shd w:val="clear" w:color="auto" w:fill="D9D9D9"/>
            <w:noWrap/>
            <w:vAlign w:val="center"/>
            <w:hideMark/>
          </w:tcPr>
          <w:p w14:paraId="3EA3BBC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1 616 893,13</w:t>
            </w:r>
            <w:r w:rsidRPr="00B73FDB">
              <w:rPr>
                <w:rFonts w:cs="Calibri"/>
                <w:sz w:val="18"/>
                <w:szCs w:val="18"/>
                <w:lang w:eastAsia="sk-SK"/>
              </w:rPr>
              <w:t xml:space="preserve"> </w:t>
            </w:r>
          </w:p>
        </w:tc>
        <w:tc>
          <w:tcPr>
            <w:tcW w:w="502" w:type="pct"/>
            <w:shd w:val="clear" w:color="auto" w:fill="D9D9D9"/>
            <w:noWrap/>
            <w:vAlign w:val="center"/>
            <w:hideMark/>
          </w:tcPr>
          <w:p w14:paraId="2A66A75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1 384 082,03</w:t>
            </w:r>
            <w:r w:rsidRPr="00B73FDB">
              <w:rPr>
                <w:rFonts w:cs="Calibri"/>
                <w:sz w:val="18"/>
                <w:szCs w:val="18"/>
                <w:lang w:eastAsia="sk-SK"/>
              </w:rPr>
              <w:t xml:space="preserve"> </w:t>
            </w:r>
          </w:p>
        </w:tc>
        <w:tc>
          <w:tcPr>
            <w:tcW w:w="562" w:type="pct"/>
            <w:shd w:val="clear" w:color="auto" w:fill="D9D9D9"/>
            <w:noWrap/>
            <w:vAlign w:val="center"/>
            <w:hideMark/>
          </w:tcPr>
          <w:p w14:paraId="3F2D9DD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85,60</w:t>
            </w:r>
            <w:r w:rsidRPr="00B73FDB">
              <w:rPr>
                <w:rFonts w:cs="Calibri"/>
                <w:sz w:val="18"/>
                <w:szCs w:val="18"/>
                <w:lang w:eastAsia="sk-SK"/>
              </w:rPr>
              <w:t xml:space="preserve"> </w:t>
            </w:r>
          </w:p>
        </w:tc>
        <w:tc>
          <w:tcPr>
            <w:tcW w:w="1137" w:type="pct"/>
            <w:vMerge/>
            <w:shd w:val="clear" w:color="auto" w:fill="D9D9D9"/>
            <w:vAlign w:val="center"/>
            <w:hideMark/>
          </w:tcPr>
          <w:p w14:paraId="540D7C5A"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89486DF" w14:textId="77777777" w:rsidTr="00B73FDB">
        <w:trPr>
          <w:tblCellSpacing w:w="15" w:type="dxa"/>
        </w:trPr>
        <w:tc>
          <w:tcPr>
            <w:tcW w:w="266" w:type="pct"/>
            <w:shd w:val="clear" w:color="auto" w:fill="EFEFEF"/>
            <w:noWrap/>
            <w:vAlign w:val="center"/>
            <w:hideMark/>
          </w:tcPr>
          <w:p w14:paraId="532318B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6" w:type="pct"/>
            <w:shd w:val="clear" w:color="auto" w:fill="EFEFEF"/>
            <w:vAlign w:val="center"/>
            <w:hideMark/>
          </w:tcPr>
          <w:p w14:paraId="047919E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34E457F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817 500,00 </w:t>
            </w:r>
          </w:p>
        </w:tc>
        <w:tc>
          <w:tcPr>
            <w:tcW w:w="563" w:type="pct"/>
            <w:shd w:val="clear" w:color="auto" w:fill="EFEFEF"/>
            <w:noWrap/>
            <w:vAlign w:val="center"/>
            <w:hideMark/>
          </w:tcPr>
          <w:p w14:paraId="370F616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934 885,28 </w:t>
            </w:r>
          </w:p>
        </w:tc>
        <w:tc>
          <w:tcPr>
            <w:tcW w:w="502" w:type="pct"/>
            <w:shd w:val="clear" w:color="auto" w:fill="EFEFEF"/>
            <w:noWrap/>
            <w:vAlign w:val="center"/>
            <w:hideMark/>
          </w:tcPr>
          <w:p w14:paraId="641912A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917 350,90 </w:t>
            </w:r>
          </w:p>
        </w:tc>
        <w:tc>
          <w:tcPr>
            <w:tcW w:w="562" w:type="pct"/>
            <w:shd w:val="clear" w:color="auto" w:fill="EFEFEF"/>
            <w:noWrap/>
            <w:vAlign w:val="center"/>
            <w:hideMark/>
          </w:tcPr>
          <w:p w14:paraId="30EE314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98,12 </w:t>
            </w:r>
          </w:p>
        </w:tc>
        <w:tc>
          <w:tcPr>
            <w:tcW w:w="1137" w:type="pct"/>
            <w:vMerge/>
            <w:shd w:val="clear" w:color="auto" w:fill="EFEFEF"/>
            <w:vAlign w:val="center"/>
            <w:hideMark/>
          </w:tcPr>
          <w:p w14:paraId="3CE5D7CC" w14:textId="77777777" w:rsidR="00B73FDB" w:rsidRPr="00B73FDB" w:rsidRDefault="00B73FDB" w:rsidP="00B73FDB">
            <w:pPr>
              <w:spacing w:after="0" w:line="240" w:lineRule="auto"/>
              <w:rPr>
                <w:rFonts w:cs="Calibri"/>
                <w:sz w:val="18"/>
                <w:szCs w:val="18"/>
                <w:lang w:eastAsia="sk-SK"/>
              </w:rPr>
            </w:pPr>
          </w:p>
        </w:tc>
      </w:tr>
      <w:tr w:rsidR="00B73FDB" w:rsidRPr="00B73FDB" w14:paraId="346EC574" w14:textId="77777777" w:rsidTr="00B73FDB">
        <w:trPr>
          <w:tblCellSpacing w:w="15" w:type="dxa"/>
        </w:trPr>
        <w:tc>
          <w:tcPr>
            <w:tcW w:w="266" w:type="pct"/>
            <w:shd w:val="clear" w:color="auto" w:fill="EFEFEF"/>
            <w:noWrap/>
            <w:vAlign w:val="center"/>
            <w:hideMark/>
          </w:tcPr>
          <w:p w14:paraId="55070A1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6" w:type="pct"/>
            <w:shd w:val="clear" w:color="auto" w:fill="EFEFEF"/>
            <w:vAlign w:val="center"/>
            <w:hideMark/>
          </w:tcPr>
          <w:p w14:paraId="0A1A7EC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357E662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289 980,00 </w:t>
            </w:r>
          </w:p>
        </w:tc>
        <w:tc>
          <w:tcPr>
            <w:tcW w:w="563" w:type="pct"/>
            <w:shd w:val="clear" w:color="auto" w:fill="EFEFEF"/>
            <w:noWrap/>
            <w:vAlign w:val="center"/>
            <w:hideMark/>
          </w:tcPr>
          <w:p w14:paraId="4D2168B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402 073,32 </w:t>
            </w:r>
          </w:p>
        </w:tc>
        <w:tc>
          <w:tcPr>
            <w:tcW w:w="502" w:type="pct"/>
            <w:shd w:val="clear" w:color="auto" w:fill="EFEFEF"/>
            <w:noWrap/>
            <w:vAlign w:val="center"/>
            <w:hideMark/>
          </w:tcPr>
          <w:p w14:paraId="15BB15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308 506,61 </w:t>
            </w:r>
          </w:p>
        </w:tc>
        <w:tc>
          <w:tcPr>
            <w:tcW w:w="562" w:type="pct"/>
            <w:shd w:val="clear" w:color="auto" w:fill="EFEFEF"/>
            <w:noWrap/>
            <w:vAlign w:val="center"/>
            <w:hideMark/>
          </w:tcPr>
          <w:p w14:paraId="4523E5D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76,73 </w:t>
            </w:r>
          </w:p>
        </w:tc>
        <w:tc>
          <w:tcPr>
            <w:tcW w:w="1137" w:type="pct"/>
            <w:vMerge/>
            <w:shd w:val="clear" w:color="auto" w:fill="EFEFEF"/>
            <w:vAlign w:val="center"/>
            <w:hideMark/>
          </w:tcPr>
          <w:p w14:paraId="0D348F6B" w14:textId="77777777" w:rsidR="00B73FDB" w:rsidRPr="00B73FDB" w:rsidRDefault="00B73FDB" w:rsidP="00B73FDB">
            <w:pPr>
              <w:spacing w:after="0" w:line="240" w:lineRule="auto"/>
              <w:rPr>
                <w:rFonts w:cs="Calibri"/>
                <w:sz w:val="18"/>
                <w:szCs w:val="18"/>
                <w:lang w:eastAsia="sk-SK"/>
              </w:rPr>
            </w:pPr>
          </w:p>
        </w:tc>
      </w:tr>
      <w:tr w:rsidR="00B73FDB" w:rsidRPr="00B73FDB" w14:paraId="1B97F1C2" w14:textId="77777777" w:rsidTr="00B73FDB">
        <w:trPr>
          <w:tblCellSpacing w:w="15" w:type="dxa"/>
        </w:trPr>
        <w:tc>
          <w:tcPr>
            <w:tcW w:w="266" w:type="pct"/>
            <w:shd w:val="clear" w:color="auto" w:fill="EFEFEF"/>
            <w:noWrap/>
            <w:vAlign w:val="center"/>
            <w:hideMark/>
          </w:tcPr>
          <w:p w14:paraId="1899B4D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6" w:type="pct"/>
            <w:shd w:val="clear" w:color="auto" w:fill="EFEFEF"/>
            <w:vAlign w:val="center"/>
            <w:hideMark/>
          </w:tcPr>
          <w:p w14:paraId="5BBBF47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549F9C2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159 420,00 </w:t>
            </w:r>
          </w:p>
        </w:tc>
        <w:tc>
          <w:tcPr>
            <w:tcW w:w="563" w:type="pct"/>
            <w:shd w:val="clear" w:color="auto" w:fill="EFEFEF"/>
            <w:noWrap/>
            <w:vAlign w:val="center"/>
            <w:hideMark/>
          </w:tcPr>
          <w:p w14:paraId="0A36733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275 877,27 </w:t>
            </w:r>
          </w:p>
        </w:tc>
        <w:tc>
          <w:tcPr>
            <w:tcW w:w="502" w:type="pct"/>
            <w:shd w:val="clear" w:color="auto" w:fill="EFEFEF"/>
            <w:noWrap/>
            <w:vAlign w:val="center"/>
            <w:hideMark/>
          </w:tcPr>
          <w:p w14:paraId="65EEBFC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154 167,26 </w:t>
            </w:r>
          </w:p>
        </w:tc>
        <w:tc>
          <w:tcPr>
            <w:tcW w:w="562" w:type="pct"/>
            <w:shd w:val="clear" w:color="auto" w:fill="EFEFEF"/>
            <w:noWrap/>
            <w:vAlign w:val="center"/>
            <w:hideMark/>
          </w:tcPr>
          <w:p w14:paraId="1340E58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55,88 </w:t>
            </w:r>
          </w:p>
        </w:tc>
        <w:tc>
          <w:tcPr>
            <w:tcW w:w="1137" w:type="pct"/>
            <w:vMerge/>
            <w:shd w:val="clear" w:color="auto" w:fill="EFEFEF"/>
            <w:vAlign w:val="center"/>
            <w:hideMark/>
          </w:tcPr>
          <w:p w14:paraId="3BB14B06" w14:textId="77777777" w:rsidR="00B73FDB" w:rsidRPr="00B73FDB" w:rsidRDefault="00B73FDB" w:rsidP="00B73FDB">
            <w:pPr>
              <w:spacing w:after="0" w:line="240" w:lineRule="auto"/>
              <w:rPr>
                <w:rFonts w:cs="Calibri"/>
                <w:sz w:val="18"/>
                <w:szCs w:val="18"/>
                <w:lang w:eastAsia="sk-SK"/>
              </w:rPr>
            </w:pPr>
          </w:p>
        </w:tc>
      </w:tr>
      <w:tr w:rsidR="00B73FDB" w:rsidRPr="00B73FDB" w14:paraId="73507C5A" w14:textId="77777777" w:rsidTr="00B73FDB">
        <w:trPr>
          <w:tblCellSpacing w:w="15" w:type="dxa"/>
        </w:trPr>
        <w:tc>
          <w:tcPr>
            <w:tcW w:w="266" w:type="pct"/>
            <w:shd w:val="clear" w:color="auto" w:fill="D9D9D9"/>
            <w:noWrap/>
            <w:vAlign w:val="center"/>
          </w:tcPr>
          <w:p w14:paraId="2F226B61"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700</w:t>
            </w:r>
          </w:p>
        </w:tc>
        <w:tc>
          <w:tcPr>
            <w:tcW w:w="1286" w:type="pct"/>
            <w:shd w:val="clear" w:color="auto" w:fill="D9D9D9"/>
            <w:vAlign w:val="center"/>
          </w:tcPr>
          <w:p w14:paraId="567E4227"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Kapitálové výdavky</w:t>
            </w:r>
          </w:p>
        </w:tc>
        <w:tc>
          <w:tcPr>
            <w:tcW w:w="563" w:type="pct"/>
            <w:shd w:val="clear" w:color="auto" w:fill="D9D9D9"/>
            <w:noWrap/>
            <w:vAlign w:val="center"/>
          </w:tcPr>
          <w:p w14:paraId="44BCAACF"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563" w:type="pct"/>
            <w:shd w:val="clear" w:color="auto" w:fill="D9D9D9"/>
            <w:noWrap/>
            <w:vAlign w:val="center"/>
          </w:tcPr>
          <w:p w14:paraId="14F19C78"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3 731,22</w:t>
            </w:r>
          </w:p>
        </w:tc>
        <w:tc>
          <w:tcPr>
            <w:tcW w:w="502" w:type="pct"/>
            <w:shd w:val="clear" w:color="auto" w:fill="D9D9D9"/>
            <w:noWrap/>
            <w:vAlign w:val="center"/>
          </w:tcPr>
          <w:p w14:paraId="140C7632"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3 731,22</w:t>
            </w:r>
          </w:p>
        </w:tc>
        <w:tc>
          <w:tcPr>
            <w:tcW w:w="562" w:type="pct"/>
            <w:shd w:val="clear" w:color="auto" w:fill="D9D9D9"/>
            <w:noWrap/>
            <w:vAlign w:val="center"/>
          </w:tcPr>
          <w:p w14:paraId="3D1F2465"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100,00</w:t>
            </w:r>
          </w:p>
        </w:tc>
        <w:tc>
          <w:tcPr>
            <w:tcW w:w="1137" w:type="pct"/>
            <w:vMerge w:val="restart"/>
            <w:shd w:val="clear" w:color="auto" w:fill="D9D9D9"/>
            <w:vAlign w:val="center"/>
          </w:tcPr>
          <w:p w14:paraId="6EC4146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+3 731,22 EUR</w:t>
            </w:r>
            <w:r w:rsidRPr="00B73FDB">
              <w:rPr>
                <w:rFonts w:cs="Calibri"/>
                <w:sz w:val="18"/>
                <w:szCs w:val="18"/>
                <w:lang w:eastAsia="sk-SK"/>
              </w:rPr>
              <w:t xml:space="preserve"> navýšenie rozpočtu projektového účtu.</w:t>
            </w:r>
          </w:p>
        </w:tc>
      </w:tr>
      <w:tr w:rsidR="00B73FDB" w:rsidRPr="00B73FDB" w14:paraId="33C30CB6" w14:textId="77777777" w:rsidTr="00B73FDB">
        <w:trPr>
          <w:tblCellSpacing w:w="15" w:type="dxa"/>
        </w:trPr>
        <w:tc>
          <w:tcPr>
            <w:tcW w:w="266" w:type="pct"/>
            <w:shd w:val="clear" w:color="auto" w:fill="EFEFEF"/>
            <w:noWrap/>
            <w:vAlign w:val="center"/>
          </w:tcPr>
          <w:p w14:paraId="71BF721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710</w:t>
            </w:r>
          </w:p>
        </w:tc>
        <w:tc>
          <w:tcPr>
            <w:tcW w:w="1286" w:type="pct"/>
            <w:shd w:val="clear" w:color="auto" w:fill="EFEFEF"/>
            <w:vAlign w:val="center"/>
          </w:tcPr>
          <w:p w14:paraId="5889D89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Obstarávanie kapitálových aktív</w:t>
            </w:r>
          </w:p>
        </w:tc>
        <w:tc>
          <w:tcPr>
            <w:tcW w:w="563" w:type="pct"/>
            <w:shd w:val="clear" w:color="auto" w:fill="EFEFEF"/>
            <w:noWrap/>
            <w:vAlign w:val="center"/>
          </w:tcPr>
          <w:p w14:paraId="3B47F8A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63" w:type="pct"/>
            <w:shd w:val="clear" w:color="auto" w:fill="EFEFEF"/>
            <w:noWrap/>
            <w:vAlign w:val="center"/>
          </w:tcPr>
          <w:p w14:paraId="531AA43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3 731,22</w:t>
            </w:r>
          </w:p>
        </w:tc>
        <w:tc>
          <w:tcPr>
            <w:tcW w:w="502" w:type="pct"/>
            <w:shd w:val="clear" w:color="auto" w:fill="EFEFEF"/>
            <w:noWrap/>
            <w:vAlign w:val="center"/>
          </w:tcPr>
          <w:p w14:paraId="401A966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3 731,22</w:t>
            </w:r>
          </w:p>
        </w:tc>
        <w:tc>
          <w:tcPr>
            <w:tcW w:w="562" w:type="pct"/>
            <w:shd w:val="clear" w:color="auto" w:fill="EFEFEF"/>
            <w:noWrap/>
            <w:vAlign w:val="center"/>
          </w:tcPr>
          <w:p w14:paraId="57084DF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100,00</w:t>
            </w:r>
          </w:p>
        </w:tc>
        <w:tc>
          <w:tcPr>
            <w:tcW w:w="1137" w:type="pct"/>
            <w:vMerge/>
            <w:shd w:val="clear" w:color="auto" w:fill="EFEFEF"/>
            <w:vAlign w:val="center"/>
          </w:tcPr>
          <w:p w14:paraId="74A33206" w14:textId="77777777" w:rsidR="00B73FDB" w:rsidRPr="00B73FDB" w:rsidRDefault="00B73FDB" w:rsidP="00B73FDB">
            <w:pPr>
              <w:spacing w:after="0" w:line="240" w:lineRule="auto"/>
              <w:rPr>
                <w:rFonts w:cs="Calibri"/>
                <w:sz w:val="18"/>
                <w:szCs w:val="18"/>
                <w:lang w:eastAsia="sk-SK"/>
              </w:rPr>
            </w:pPr>
          </w:p>
        </w:tc>
      </w:tr>
    </w:tbl>
    <w:p w14:paraId="5CCB77C2"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0D3B8409" w14:textId="77777777" w:rsidTr="00B73FDB">
        <w:trPr>
          <w:tblCellSpacing w:w="15" w:type="dxa"/>
        </w:trPr>
        <w:tc>
          <w:tcPr>
            <w:tcW w:w="0" w:type="auto"/>
            <w:shd w:val="clear" w:color="auto" w:fill="C2D69B"/>
            <w:vAlign w:val="center"/>
            <w:hideMark/>
          </w:tcPr>
          <w:p w14:paraId="04BE3EE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180975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6282A86" w14:textId="77777777" w:rsidTr="00B73FDB">
        <w:trPr>
          <w:tblCellSpacing w:w="15" w:type="dxa"/>
        </w:trPr>
        <w:tc>
          <w:tcPr>
            <w:tcW w:w="0" w:type="auto"/>
            <w:shd w:val="clear" w:color="auto" w:fill="C2D69B"/>
            <w:vAlign w:val="center"/>
            <w:hideMark/>
          </w:tcPr>
          <w:p w14:paraId="3F44F80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53ED000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4F4598AE" w14:textId="77777777" w:rsidTr="00B73FDB">
        <w:trPr>
          <w:tblCellSpacing w:w="15" w:type="dxa"/>
        </w:trPr>
        <w:tc>
          <w:tcPr>
            <w:tcW w:w="0" w:type="auto"/>
            <w:shd w:val="clear" w:color="auto" w:fill="C2D69B"/>
            <w:vAlign w:val="center"/>
            <w:hideMark/>
          </w:tcPr>
          <w:p w14:paraId="0DF41FD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9752CD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DDE5326" w14:textId="77777777" w:rsidTr="00B73FDB">
        <w:trPr>
          <w:tblCellSpacing w:w="15" w:type="dxa"/>
        </w:trPr>
        <w:tc>
          <w:tcPr>
            <w:tcW w:w="0" w:type="auto"/>
            <w:shd w:val="clear" w:color="auto" w:fill="C2D69B"/>
            <w:vAlign w:val="center"/>
            <w:hideMark/>
          </w:tcPr>
          <w:p w14:paraId="3BFF38F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939D2F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A6043F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A1D72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6C9917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EAE2AFF" w14:textId="77777777" w:rsidTr="00B73FDB">
        <w:trPr>
          <w:tblCellSpacing w:w="15" w:type="dxa"/>
        </w:trPr>
        <w:tc>
          <w:tcPr>
            <w:tcW w:w="0" w:type="auto"/>
            <w:shd w:val="clear" w:color="auto" w:fill="C2D69B"/>
            <w:vAlign w:val="center"/>
            <w:hideMark/>
          </w:tcPr>
          <w:p w14:paraId="5528DF9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C16E81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559 </w:t>
            </w:r>
          </w:p>
        </w:tc>
        <w:tc>
          <w:tcPr>
            <w:tcW w:w="0" w:type="auto"/>
            <w:shd w:val="clear" w:color="auto" w:fill="C2D69B"/>
            <w:noWrap/>
            <w:vAlign w:val="center"/>
            <w:hideMark/>
          </w:tcPr>
          <w:p w14:paraId="35D2AFB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600 </w:t>
            </w:r>
          </w:p>
        </w:tc>
        <w:tc>
          <w:tcPr>
            <w:tcW w:w="0" w:type="auto"/>
            <w:shd w:val="clear" w:color="auto" w:fill="C2D69B"/>
            <w:vAlign w:val="center"/>
            <w:hideMark/>
          </w:tcPr>
          <w:p w14:paraId="6EAB045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1D3A00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4E8599D0" w14:textId="77777777" w:rsidTr="00B73FDB">
        <w:trPr>
          <w:tblCellSpacing w:w="15" w:type="dxa"/>
        </w:trPr>
        <w:tc>
          <w:tcPr>
            <w:tcW w:w="0" w:type="auto"/>
            <w:shd w:val="clear" w:color="auto" w:fill="C2D69B"/>
            <w:vAlign w:val="center"/>
            <w:hideMark/>
          </w:tcPr>
          <w:p w14:paraId="1AB429F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CB9C9F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A00FCD2" w14:textId="77777777" w:rsidTr="00B73FDB">
        <w:trPr>
          <w:tblCellSpacing w:w="15" w:type="dxa"/>
        </w:trPr>
        <w:tc>
          <w:tcPr>
            <w:tcW w:w="0" w:type="auto"/>
            <w:shd w:val="clear" w:color="auto" w:fill="C2D69B"/>
            <w:vAlign w:val="center"/>
            <w:hideMark/>
          </w:tcPr>
          <w:p w14:paraId="766AAA4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51397A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BAE83B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0FFE26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39DDBA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09E40F32" w14:textId="77777777" w:rsidTr="00B73FDB">
        <w:trPr>
          <w:tblCellSpacing w:w="15" w:type="dxa"/>
        </w:trPr>
        <w:tc>
          <w:tcPr>
            <w:tcW w:w="0" w:type="auto"/>
            <w:shd w:val="clear" w:color="auto" w:fill="C2D69B"/>
            <w:vAlign w:val="center"/>
            <w:hideMark/>
          </w:tcPr>
          <w:p w14:paraId="22EFEBF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93D31B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559 </w:t>
            </w:r>
          </w:p>
        </w:tc>
        <w:tc>
          <w:tcPr>
            <w:tcW w:w="0" w:type="auto"/>
            <w:shd w:val="clear" w:color="auto" w:fill="C2D69B"/>
            <w:noWrap/>
            <w:vAlign w:val="center"/>
            <w:hideMark/>
          </w:tcPr>
          <w:p w14:paraId="6BA9D78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600 </w:t>
            </w:r>
          </w:p>
        </w:tc>
        <w:tc>
          <w:tcPr>
            <w:tcW w:w="0" w:type="auto"/>
            <w:shd w:val="clear" w:color="auto" w:fill="C2D69B"/>
            <w:vAlign w:val="center"/>
            <w:hideMark/>
          </w:tcPr>
          <w:p w14:paraId="6DBF4FC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F6391FA" w14:textId="77777777" w:rsidR="00B73FDB" w:rsidRPr="00B73FDB" w:rsidRDefault="00B73FDB" w:rsidP="00B73FDB">
            <w:pPr>
              <w:spacing w:after="0" w:line="240" w:lineRule="auto"/>
              <w:jc w:val="center"/>
              <w:rPr>
                <w:rFonts w:cs="Calibri"/>
                <w:sz w:val="18"/>
                <w:szCs w:val="18"/>
                <w:lang w:eastAsia="sk-SK"/>
              </w:rPr>
            </w:pPr>
          </w:p>
        </w:tc>
      </w:tr>
    </w:tbl>
    <w:p w14:paraId="0D27AFCF"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Poskytuje všeobecné vzdelanie v 4-ročnej, 5-ročnej a 8-ročnej forme štúdia so zameraním na cudzie jazyky. </w:t>
      </w:r>
    </w:p>
    <w:p w14:paraId="469045FB"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8.2.10: Gymnázium L. Novomeského, Tomášikova 2,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4"/>
        <w:gridCol w:w="1212"/>
        <w:gridCol w:w="1212"/>
        <w:gridCol w:w="1083"/>
        <w:gridCol w:w="1208"/>
        <w:gridCol w:w="2424"/>
      </w:tblGrid>
      <w:tr w:rsidR="00B73FDB" w:rsidRPr="00B73FDB" w14:paraId="18816BDF" w14:textId="77777777" w:rsidTr="00B73FDB">
        <w:trPr>
          <w:tblCellSpacing w:w="15" w:type="dxa"/>
        </w:trPr>
        <w:tc>
          <w:tcPr>
            <w:tcW w:w="266" w:type="pct"/>
            <w:shd w:val="clear" w:color="auto" w:fill="C6DBF7"/>
            <w:vAlign w:val="center"/>
            <w:hideMark/>
          </w:tcPr>
          <w:p w14:paraId="27D987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5" w:type="pct"/>
            <w:shd w:val="clear" w:color="auto" w:fill="C6DBF7"/>
            <w:vAlign w:val="center"/>
            <w:hideMark/>
          </w:tcPr>
          <w:p w14:paraId="5F2A410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730D0E9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56F4C1E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2" w:type="pct"/>
            <w:shd w:val="clear" w:color="auto" w:fill="C6DBF7"/>
            <w:vAlign w:val="center"/>
            <w:hideMark/>
          </w:tcPr>
          <w:p w14:paraId="06BF33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7021D04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5" w:type="pct"/>
            <w:shd w:val="clear" w:color="auto" w:fill="C6DBF7"/>
            <w:vAlign w:val="center"/>
            <w:hideMark/>
          </w:tcPr>
          <w:p w14:paraId="5C3FD95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A74D4AD" w14:textId="77777777" w:rsidTr="00B73FDB">
        <w:trPr>
          <w:tblCellSpacing w:w="15" w:type="dxa"/>
        </w:trPr>
        <w:tc>
          <w:tcPr>
            <w:tcW w:w="266" w:type="pct"/>
            <w:shd w:val="clear" w:color="auto" w:fill="D9D9D9"/>
            <w:noWrap/>
            <w:vAlign w:val="center"/>
            <w:hideMark/>
          </w:tcPr>
          <w:p w14:paraId="38140342" w14:textId="77777777" w:rsidR="00B73FDB" w:rsidRPr="00B73FDB" w:rsidRDefault="00B73FDB" w:rsidP="00B73FDB">
            <w:pPr>
              <w:spacing w:after="0" w:line="240" w:lineRule="auto"/>
              <w:jc w:val="center"/>
              <w:rPr>
                <w:rFonts w:cs="Calibri"/>
                <w:sz w:val="18"/>
                <w:szCs w:val="18"/>
                <w:lang w:eastAsia="sk-SK"/>
              </w:rPr>
            </w:pPr>
          </w:p>
        </w:tc>
        <w:tc>
          <w:tcPr>
            <w:tcW w:w="1285" w:type="pct"/>
            <w:shd w:val="clear" w:color="auto" w:fill="D9D9D9"/>
            <w:vAlign w:val="center"/>
            <w:hideMark/>
          </w:tcPr>
          <w:p w14:paraId="72CDCC1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5C1CB69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1 225 580,00</w:t>
            </w:r>
            <w:r w:rsidRPr="00B73FDB">
              <w:rPr>
                <w:rFonts w:cs="Calibri"/>
                <w:sz w:val="18"/>
                <w:szCs w:val="18"/>
                <w:lang w:eastAsia="sk-SK"/>
              </w:rPr>
              <w:t xml:space="preserve"> </w:t>
            </w:r>
          </w:p>
        </w:tc>
        <w:tc>
          <w:tcPr>
            <w:tcW w:w="564" w:type="pct"/>
            <w:shd w:val="clear" w:color="auto" w:fill="D9D9D9"/>
            <w:noWrap/>
            <w:vAlign w:val="center"/>
            <w:hideMark/>
          </w:tcPr>
          <w:p w14:paraId="5495F6C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1 326 151,86</w:t>
            </w:r>
            <w:r w:rsidRPr="00B73FDB">
              <w:rPr>
                <w:rFonts w:cs="Calibri"/>
                <w:sz w:val="18"/>
                <w:szCs w:val="18"/>
                <w:lang w:eastAsia="sk-SK"/>
              </w:rPr>
              <w:t xml:space="preserve"> </w:t>
            </w:r>
          </w:p>
        </w:tc>
        <w:tc>
          <w:tcPr>
            <w:tcW w:w="502" w:type="pct"/>
            <w:shd w:val="clear" w:color="auto" w:fill="D9D9D9"/>
            <w:noWrap/>
            <w:vAlign w:val="center"/>
            <w:hideMark/>
          </w:tcPr>
          <w:p w14:paraId="182A13E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1 315 665,03</w:t>
            </w:r>
            <w:r w:rsidRPr="00B73FDB">
              <w:rPr>
                <w:rFonts w:cs="Calibri"/>
                <w:sz w:val="18"/>
                <w:szCs w:val="18"/>
                <w:lang w:eastAsia="sk-SK"/>
              </w:rPr>
              <w:t xml:space="preserve"> </w:t>
            </w:r>
          </w:p>
        </w:tc>
        <w:tc>
          <w:tcPr>
            <w:tcW w:w="562" w:type="pct"/>
            <w:shd w:val="clear" w:color="auto" w:fill="D9D9D9"/>
            <w:noWrap/>
            <w:vAlign w:val="center"/>
            <w:hideMark/>
          </w:tcPr>
          <w:p w14:paraId="214A614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99,21</w:t>
            </w:r>
            <w:r w:rsidRPr="00B73FDB">
              <w:rPr>
                <w:rFonts w:cs="Calibri"/>
                <w:sz w:val="18"/>
                <w:szCs w:val="18"/>
                <w:lang w:eastAsia="sk-SK"/>
              </w:rPr>
              <w:t xml:space="preserve"> </w:t>
            </w:r>
          </w:p>
        </w:tc>
        <w:tc>
          <w:tcPr>
            <w:tcW w:w="1135" w:type="pct"/>
            <w:vMerge w:val="restart"/>
            <w:shd w:val="clear" w:color="auto" w:fill="D9D9D9"/>
            <w:vAlign w:val="center"/>
            <w:hideMark/>
          </w:tcPr>
          <w:p w14:paraId="3D83C5C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+73 087,00 EUR</w:t>
            </w:r>
            <w:r w:rsidRPr="00B73FDB">
              <w:rPr>
                <w:rFonts w:cs="Calibri"/>
                <w:sz w:val="18"/>
                <w:szCs w:val="18"/>
                <w:lang w:eastAsia="sk-SK"/>
              </w:rPr>
              <w:t xml:space="preserve"> normatívne finančné prostriedky,</w:t>
            </w:r>
          </w:p>
          <w:p w14:paraId="03463D7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+20 000,00 EUR</w:t>
            </w:r>
            <w:r w:rsidRPr="00B73FDB">
              <w:rPr>
                <w:rFonts w:cs="Calibri"/>
                <w:sz w:val="18"/>
                <w:szCs w:val="18"/>
                <w:lang w:eastAsia="sk-SK"/>
              </w:rPr>
              <w:t xml:space="preserve"> dofinancovanie prevádzky školského bazéna,</w:t>
            </w:r>
          </w:p>
          <w:p w14:paraId="38B14C4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+350,00 EUR</w:t>
            </w:r>
            <w:r w:rsidRPr="00B73FDB">
              <w:rPr>
                <w:rFonts w:cs="Calibri"/>
                <w:sz w:val="18"/>
                <w:szCs w:val="18"/>
                <w:lang w:eastAsia="sk-SK"/>
              </w:rPr>
              <w:t xml:space="preserve"> normatívne finančné prostriedky na maturity,</w:t>
            </w:r>
          </w:p>
          <w:p w14:paraId="04C853A2"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lastRenderedPageBreak/>
              <w:t>+2 492,00 EUR</w:t>
            </w:r>
            <w:r w:rsidRPr="00B73FDB">
              <w:rPr>
                <w:rFonts w:cs="Calibri"/>
                <w:sz w:val="18"/>
                <w:szCs w:val="18"/>
                <w:lang w:eastAsia="sk-SK"/>
              </w:rPr>
              <w:t xml:space="preserve"> príspevok na rekreáciu zamestnancov,</w:t>
            </w:r>
          </w:p>
          <w:p w14:paraId="143D206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+1 786,00 EUR </w:t>
            </w:r>
            <w:r w:rsidRPr="00B73FDB">
              <w:rPr>
                <w:rFonts w:cs="Calibri"/>
                <w:sz w:val="18"/>
                <w:szCs w:val="18"/>
                <w:lang w:eastAsia="sk-SK"/>
              </w:rPr>
              <w:t>nenormatívne finančné prostriedky na vzdelávacie poukazy,</w:t>
            </w:r>
          </w:p>
          <w:p w14:paraId="0811E6B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+400,00 EUR</w:t>
            </w:r>
            <w:r w:rsidRPr="00B73FDB">
              <w:rPr>
                <w:rFonts w:cs="Calibri"/>
                <w:sz w:val="18"/>
                <w:szCs w:val="18"/>
                <w:lang w:eastAsia="sk-SK"/>
              </w:rPr>
              <w:t xml:space="preserve"> nenormatívne finančné prostriedky za mimoriadne výsledky žiakov,</w:t>
            </w:r>
          </w:p>
          <w:p w14:paraId="31CDC52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+2 928,00 EUR</w:t>
            </w:r>
            <w:r w:rsidRPr="00B73FDB">
              <w:rPr>
                <w:rFonts w:cs="Calibri"/>
                <w:sz w:val="18"/>
                <w:szCs w:val="18"/>
                <w:lang w:eastAsia="sk-SK"/>
              </w:rPr>
              <w:t xml:space="preserve"> príspevok na učebnice,</w:t>
            </w:r>
          </w:p>
          <w:p w14:paraId="3E10BFC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+301,00 EUR</w:t>
            </w:r>
            <w:r w:rsidRPr="00B73FDB">
              <w:rPr>
                <w:rFonts w:cs="Calibri"/>
                <w:sz w:val="18"/>
                <w:szCs w:val="18"/>
                <w:lang w:eastAsia="sk-SK"/>
              </w:rPr>
              <w:t xml:space="preserve"> odchodné do dôchodku,</w:t>
            </w:r>
          </w:p>
          <w:p w14:paraId="239B37D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+1 950,00 EUR</w:t>
            </w:r>
            <w:r w:rsidRPr="00B73FDB">
              <w:rPr>
                <w:rFonts w:cs="Calibri"/>
                <w:sz w:val="18"/>
                <w:szCs w:val="18"/>
                <w:lang w:eastAsia="sk-SK"/>
              </w:rPr>
              <w:t xml:space="preserve"> nenormatívne finančné prostriedky na lyžiarske kurzy,</w:t>
            </w:r>
          </w:p>
          <w:p w14:paraId="14BA5CE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w:t>
            </w:r>
            <w:r w:rsidRPr="00B73FDB">
              <w:rPr>
                <w:rFonts w:cs="Calibri"/>
                <w:b/>
                <w:sz w:val="18"/>
                <w:szCs w:val="18"/>
                <w:lang w:eastAsia="sk-SK"/>
              </w:rPr>
              <w:t>3 927,00 EUR</w:t>
            </w:r>
            <w:r w:rsidRPr="00B73FDB">
              <w:rPr>
                <w:rFonts w:cs="Calibri"/>
                <w:sz w:val="18"/>
                <w:szCs w:val="18"/>
                <w:lang w:eastAsia="sk-SK"/>
              </w:rPr>
              <w:t xml:space="preserve"> rozvojový projekt,</w:t>
            </w:r>
          </w:p>
          <w:p w14:paraId="4C8A879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+26,47 EUR</w:t>
            </w:r>
            <w:r w:rsidRPr="00B73FDB">
              <w:rPr>
                <w:rFonts w:cs="Calibri"/>
                <w:sz w:val="18"/>
                <w:szCs w:val="18"/>
                <w:lang w:eastAsia="sk-SK"/>
              </w:rPr>
              <w:t xml:space="preserve"> nevyčerpané finančné prostriedky z r. 2019,</w:t>
            </w:r>
          </w:p>
          <w:p w14:paraId="7980BA3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+1 178,39 EUR</w:t>
            </w:r>
            <w:r w:rsidRPr="00B73FDB">
              <w:rPr>
                <w:rFonts w:cs="Calibri"/>
                <w:sz w:val="18"/>
                <w:szCs w:val="18"/>
                <w:lang w:eastAsia="sk-SK"/>
              </w:rPr>
              <w:t xml:space="preserve"> príjmy z prenájmov.</w:t>
            </w:r>
          </w:p>
        </w:tc>
      </w:tr>
      <w:tr w:rsidR="00B73FDB" w:rsidRPr="00B73FDB" w14:paraId="7355E2C6" w14:textId="77777777" w:rsidTr="00B73FDB">
        <w:trPr>
          <w:tblCellSpacing w:w="15" w:type="dxa"/>
        </w:trPr>
        <w:tc>
          <w:tcPr>
            <w:tcW w:w="266" w:type="pct"/>
            <w:shd w:val="clear" w:color="auto" w:fill="D9D9D9"/>
            <w:noWrap/>
            <w:vAlign w:val="center"/>
            <w:hideMark/>
          </w:tcPr>
          <w:p w14:paraId="4F0FE51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5" w:type="pct"/>
            <w:shd w:val="clear" w:color="auto" w:fill="D9D9D9"/>
            <w:vAlign w:val="center"/>
            <w:hideMark/>
          </w:tcPr>
          <w:p w14:paraId="2FD3661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5C003A9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1 225 580,00</w:t>
            </w:r>
            <w:r w:rsidRPr="00B73FDB">
              <w:rPr>
                <w:rFonts w:cs="Calibri"/>
                <w:sz w:val="18"/>
                <w:szCs w:val="18"/>
                <w:lang w:eastAsia="sk-SK"/>
              </w:rPr>
              <w:t xml:space="preserve"> </w:t>
            </w:r>
          </w:p>
        </w:tc>
        <w:tc>
          <w:tcPr>
            <w:tcW w:w="564" w:type="pct"/>
            <w:shd w:val="clear" w:color="auto" w:fill="D9D9D9"/>
            <w:noWrap/>
            <w:vAlign w:val="center"/>
            <w:hideMark/>
          </w:tcPr>
          <w:p w14:paraId="0FD3F86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1 326 151,86</w:t>
            </w:r>
            <w:r w:rsidRPr="00B73FDB">
              <w:rPr>
                <w:rFonts w:cs="Calibri"/>
                <w:sz w:val="18"/>
                <w:szCs w:val="18"/>
                <w:lang w:eastAsia="sk-SK"/>
              </w:rPr>
              <w:t xml:space="preserve"> </w:t>
            </w:r>
          </w:p>
        </w:tc>
        <w:tc>
          <w:tcPr>
            <w:tcW w:w="502" w:type="pct"/>
            <w:shd w:val="clear" w:color="auto" w:fill="D9D9D9"/>
            <w:noWrap/>
            <w:vAlign w:val="center"/>
            <w:hideMark/>
          </w:tcPr>
          <w:p w14:paraId="51EDBA4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1 315 665,03</w:t>
            </w:r>
            <w:r w:rsidRPr="00B73FDB">
              <w:rPr>
                <w:rFonts w:cs="Calibri"/>
                <w:sz w:val="18"/>
                <w:szCs w:val="18"/>
                <w:lang w:eastAsia="sk-SK"/>
              </w:rPr>
              <w:t xml:space="preserve"> </w:t>
            </w:r>
          </w:p>
        </w:tc>
        <w:tc>
          <w:tcPr>
            <w:tcW w:w="562" w:type="pct"/>
            <w:shd w:val="clear" w:color="auto" w:fill="D9D9D9"/>
            <w:noWrap/>
            <w:vAlign w:val="center"/>
            <w:hideMark/>
          </w:tcPr>
          <w:p w14:paraId="280FD90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99,21</w:t>
            </w:r>
            <w:r w:rsidRPr="00B73FDB">
              <w:rPr>
                <w:rFonts w:cs="Calibri"/>
                <w:sz w:val="18"/>
                <w:szCs w:val="18"/>
                <w:lang w:eastAsia="sk-SK"/>
              </w:rPr>
              <w:t xml:space="preserve"> </w:t>
            </w:r>
          </w:p>
        </w:tc>
        <w:tc>
          <w:tcPr>
            <w:tcW w:w="1135" w:type="pct"/>
            <w:vMerge/>
            <w:shd w:val="clear" w:color="auto" w:fill="D9D9D9"/>
            <w:vAlign w:val="center"/>
            <w:hideMark/>
          </w:tcPr>
          <w:p w14:paraId="030509CE"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18EA743A" w14:textId="77777777" w:rsidTr="00B73FDB">
        <w:trPr>
          <w:tblCellSpacing w:w="15" w:type="dxa"/>
        </w:trPr>
        <w:tc>
          <w:tcPr>
            <w:tcW w:w="266" w:type="pct"/>
            <w:shd w:val="clear" w:color="auto" w:fill="EFEFEF"/>
            <w:noWrap/>
            <w:vAlign w:val="center"/>
            <w:hideMark/>
          </w:tcPr>
          <w:p w14:paraId="40E9B5F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5" w:type="pct"/>
            <w:shd w:val="clear" w:color="auto" w:fill="EFEFEF"/>
            <w:vAlign w:val="center"/>
            <w:hideMark/>
          </w:tcPr>
          <w:p w14:paraId="60F60AF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5A0F577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731 000,00 </w:t>
            </w:r>
          </w:p>
        </w:tc>
        <w:tc>
          <w:tcPr>
            <w:tcW w:w="564" w:type="pct"/>
            <w:shd w:val="clear" w:color="auto" w:fill="EFEFEF"/>
            <w:noWrap/>
            <w:vAlign w:val="center"/>
            <w:hideMark/>
          </w:tcPr>
          <w:p w14:paraId="199BFAE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779 668,67 </w:t>
            </w:r>
          </w:p>
        </w:tc>
        <w:tc>
          <w:tcPr>
            <w:tcW w:w="502" w:type="pct"/>
            <w:shd w:val="clear" w:color="auto" w:fill="EFEFEF"/>
            <w:noWrap/>
            <w:vAlign w:val="center"/>
            <w:hideMark/>
          </w:tcPr>
          <w:p w14:paraId="0FF5350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777 421,84 </w:t>
            </w:r>
          </w:p>
        </w:tc>
        <w:tc>
          <w:tcPr>
            <w:tcW w:w="562" w:type="pct"/>
            <w:shd w:val="clear" w:color="auto" w:fill="EFEFEF"/>
            <w:noWrap/>
            <w:vAlign w:val="center"/>
            <w:hideMark/>
          </w:tcPr>
          <w:p w14:paraId="4CFF2CF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99,71 </w:t>
            </w:r>
          </w:p>
        </w:tc>
        <w:tc>
          <w:tcPr>
            <w:tcW w:w="1135" w:type="pct"/>
            <w:vMerge/>
            <w:shd w:val="clear" w:color="auto" w:fill="EFEFEF"/>
            <w:vAlign w:val="center"/>
            <w:hideMark/>
          </w:tcPr>
          <w:p w14:paraId="746D1C7A" w14:textId="77777777" w:rsidR="00B73FDB" w:rsidRPr="00B73FDB" w:rsidRDefault="00B73FDB" w:rsidP="00B73FDB">
            <w:pPr>
              <w:spacing w:after="0" w:line="240" w:lineRule="auto"/>
              <w:rPr>
                <w:rFonts w:cs="Calibri"/>
                <w:sz w:val="18"/>
                <w:szCs w:val="18"/>
                <w:lang w:eastAsia="sk-SK"/>
              </w:rPr>
            </w:pPr>
          </w:p>
        </w:tc>
      </w:tr>
      <w:tr w:rsidR="00B73FDB" w:rsidRPr="00B73FDB" w14:paraId="22CDB83F" w14:textId="77777777" w:rsidTr="00B73FDB">
        <w:trPr>
          <w:tblCellSpacing w:w="15" w:type="dxa"/>
        </w:trPr>
        <w:tc>
          <w:tcPr>
            <w:tcW w:w="266" w:type="pct"/>
            <w:shd w:val="clear" w:color="auto" w:fill="EFEFEF"/>
            <w:noWrap/>
            <w:vAlign w:val="center"/>
            <w:hideMark/>
          </w:tcPr>
          <w:p w14:paraId="75798AF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5" w:type="pct"/>
            <w:shd w:val="clear" w:color="auto" w:fill="EFEFEF"/>
            <w:vAlign w:val="center"/>
            <w:hideMark/>
          </w:tcPr>
          <w:p w14:paraId="52D4306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31515B7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263 400,00 </w:t>
            </w:r>
          </w:p>
        </w:tc>
        <w:tc>
          <w:tcPr>
            <w:tcW w:w="564" w:type="pct"/>
            <w:shd w:val="clear" w:color="auto" w:fill="EFEFEF"/>
            <w:noWrap/>
            <w:vAlign w:val="center"/>
            <w:hideMark/>
          </w:tcPr>
          <w:p w14:paraId="192E0C9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286 295,95 </w:t>
            </w:r>
          </w:p>
        </w:tc>
        <w:tc>
          <w:tcPr>
            <w:tcW w:w="502" w:type="pct"/>
            <w:shd w:val="clear" w:color="auto" w:fill="EFEFEF"/>
            <w:noWrap/>
            <w:vAlign w:val="center"/>
            <w:hideMark/>
          </w:tcPr>
          <w:p w14:paraId="16A4DC9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286 295,95 </w:t>
            </w:r>
          </w:p>
        </w:tc>
        <w:tc>
          <w:tcPr>
            <w:tcW w:w="562" w:type="pct"/>
            <w:shd w:val="clear" w:color="auto" w:fill="EFEFEF"/>
            <w:noWrap/>
            <w:vAlign w:val="center"/>
            <w:hideMark/>
          </w:tcPr>
          <w:p w14:paraId="4DAF2C0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5438D199" w14:textId="77777777" w:rsidR="00B73FDB" w:rsidRPr="00B73FDB" w:rsidRDefault="00B73FDB" w:rsidP="00B73FDB">
            <w:pPr>
              <w:spacing w:after="0" w:line="240" w:lineRule="auto"/>
              <w:rPr>
                <w:rFonts w:cs="Calibri"/>
                <w:sz w:val="18"/>
                <w:szCs w:val="18"/>
                <w:lang w:eastAsia="sk-SK"/>
              </w:rPr>
            </w:pPr>
          </w:p>
        </w:tc>
      </w:tr>
      <w:tr w:rsidR="00B73FDB" w:rsidRPr="00B73FDB" w14:paraId="09B2240A" w14:textId="77777777" w:rsidTr="00B73FDB">
        <w:trPr>
          <w:tblCellSpacing w:w="15" w:type="dxa"/>
        </w:trPr>
        <w:tc>
          <w:tcPr>
            <w:tcW w:w="266" w:type="pct"/>
            <w:shd w:val="clear" w:color="auto" w:fill="EFEFEF"/>
            <w:noWrap/>
            <w:vAlign w:val="center"/>
            <w:hideMark/>
          </w:tcPr>
          <w:p w14:paraId="4921FE4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5" w:type="pct"/>
            <w:shd w:val="clear" w:color="auto" w:fill="EFEFEF"/>
            <w:vAlign w:val="center"/>
            <w:hideMark/>
          </w:tcPr>
          <w:p w14:paraId="38260A1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265E1C0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229 680,00 </w:t>
            </w:r>
          </w:p>
        </w:tc>
        <w:tc>
          <w:tcPr>
            <w:tcW w:w="564" w:type="pct"/>
            <w:shd w:val="clear" w:color="auto" w:fill="EFEFEF"/>
            <w:noWrap/>
            <w:vAlign w:val="center"/>
            <w:hideMark/>
          </w:tcPr>
          <w:p w14:paraId="0366F6B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253 807,96 </w:t>
            </w:r>
          </w:p>
        </w:tc>
        <w:tc>
          <w:tcPr>
            <w:tcW w:w="502" w:type="pct"/>
            <w:shd w:val="clear" w:color="auto" w:fill="EFEFEF"/>
            <w:noWrap/>
            <w:vAlign w:val="center"/>
            <w:hideMark/>
          </w:tcPr>
          <w:p w14:paraId="2012A13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245 567,96 </w:t>
            </w:r>
          </w:p>
        </w:tc>
        <w:tc>
          <w:tcPr>
            <w:tcW w:w="562" w:type="pct"/>
            <w:shd w:val="clear" w:color="auto" w:fill="EFEFEF"/>
            <w:noWrap/>
            <w:vAlign w:val="center"/>
            <w:hideMark/>
          </w:tcPr>
          <w:p w14:paraId="05BFAEA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96,75 </w:t>
            </w:r>
          </w:p>
        </w:tc>
        <w:tc>
          <w:tcPr>
            <w:tcW w:w="1135" w:type="pct"/>
            <w:vMerge/>
            <w:shd w:val="clear" w:color="auto" w:fill="EFEFEF"/>
            <w:vAlign w:val="center"/>
            <w:hideMark/>
          </w:tcPr>
          <w:p w14:paraId="259CC158" w14:textId="77777777" w:rsidR="00B73FDB" w:rsidRPr="00B73FDB" w:rsidRDefault="00B73FDB" w:rsidP="00B73FDB">
            <w:pPr>
              <w:spacing w:after="0" w:line="240" w:lineRule="auto"/>
              <w:rPr>
                <w:rFonts w:cs="Calibri"/>
                <w:sz w:val="18"/>
                <w:szCs w:val="18"/>
                <w:lang w:eastAsia="sk-SK"/>
              </w:rPr>
            </w:pPr>
          </w:p>
        </w:tc>
      </w:tr>
      <w:tr w:rsidR="00B73FDB" w:rsidRPr="00B73FDB" w14:paraId="563CA862" w14:textId="77777777" w:rsidTr="00B73FDB">
        <w:trPr>
          <w:tblCellSpacing w:w="15" w:type="dxa"/>
        </w:trPr>
        <w:tc>
          <w:tcPr>
            <w:tcW w:w="266" w:type="pct"/>
            <w:shd w:val="clear" w:color="auto" w:fill="EFEFEF"/>
            <w:noWrap/>
            <w:vAlign w:val="center"/>
            <w:hideMark/>
          </w:tcPr>
          <w:p w14:paraId="121D49A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5" w:type="pct"/>
            <w:shd w:val="clear" w:color="auto" w:fill="EFEFEF"/>
            <w:vAlign w:val="center"/>
            <w:hideMark/>
          </w:tcPr>
          <w:p w14:paraId="089F8A7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6B8F1E2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1 500,00 </w:t>
            </w:r>
          </w:p>
        </w:tc>
        <w:tc>
          <w:tcPr>
            <w:tcW w:w="564" w:type="pct"/>
            <w:shd w:val="clear" w:color="auto" w:fill="EFEFEF"/>
            <w:noWrap/>
            <w:vAlign w:val="center"/>
            <w:hideMark/>
          </w:tcPr>
          <w:p w14:paraId="6C84260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6 379,28 </w:t>
            </w:r>
          </w:p>
        </w:tc>
        <w:tc>
          <w:tcPr>
            <w:tcW w:w="502" w:type="pct"/>
            <w:shd w:val="clear" w:color="auto" w:fill="EFEFEF"/>
            <w:noWrap/>
            <w:vAlign w:val="center"/>
            <w:hideMark/>
          </w:tcPr>
          <w:p w14:paraId="24B43B4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6 379,28 </w:t>
            </w:r>
          </w:p>
        </w:tc>
        <w:tc>
          <w:tcPr>
            <w:tcW w:w="562" w:type="pct"/>
            <w:shd w:val="clear" w:color="auto" w:fill="EFEFEF"/>
            <w:noWrap/>
            <w:vAlign w:val="center"/>
            <w:hideMark/>
          </w:tcPr>
          <w:p w14:paraId="3151FC9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3152F2E2" w14:textId="77777777" w:rsidR="00B73FDB" w:rsidRPr="00B73FDB" w:rsidRDefault="00B73FDB" w:rsidP="00B73FDB">
            <w:pPr>
              <w:spacing w:after="0" w:line="240" w:lineRule="auto"/>
              <w:rPr>
                <w:rFonts w:cs="Calibri"/>
                <w:sz w:val="18"/>
                <w:szCs w:val="18"/>
                <w:lang w:eastAsia="sk-SK"/>
              </w:rPr>
            </w:pPr>
          </w:p>
        </w:tc>
      </w:tr>
    </w:tbl>
    <w:p w14:paraId="7014A119"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56"/>
        <w:gridCol w:w="689"/>
        <w:gridCol w:w="1630"/>
        <w:gridCol w:w="1532"/>
        <w:gridCol w:w="4159"/>
      </w:tblGrid>
      <w:tr w:rsidR="00B73FDB" w:rsidRPr="00B73FDB" w14:paraId="75A7B50E" w14:textId="77777777" w:rsidTr="00B73FDB">
        <w:trPr>
          <w:tblCellSpacing w:w="15" w:type="dxa"/>
        </w:trPr>
        <w:tc>
          <w:tcPr>
            <w:tcW w:w="0" w:type="auto"/>
            <w:shd w:val="clear" w:color="auto" w:fill="C2D69B"/>
            <w:vAlign w:val="center"/>
            <w:hideMark/>
          </w:tcPr>
          <w:p w14:paraId="627532B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5269ED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724AA3CD" w14:textId="77777777" w:rsidTr="00B73FDB">
        <w:trPr>
          <w:tblCellSpacing w:w="15" w:type="dxa"/>
        </w:trPr>
        <w:tc>
          <w:tcPr>
            <w:tcW w:w="0" w:type="auto"/>
            <w:shd w:val="clear" w:color="auto" w:fill="C2D69B"/>
            <w:vAlign w:val="center"/>
            <w:hideMark/>
          </w:tcPr>
          <w:p w14:paraId="3DD9C0F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5CC86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3444C460" w14:textId="77777777" w:rsidTr="00B73FDB">
        <w:trPr>
          <w:tblCellSpacing w:w="15" w:type="dxa"/>
        </w:trPr>
        <w:tc>
          <w:tcPr>
            <w:tcW w:w="0" w:type="auto"/>
            <w:shd w:val="clear" w:color="auto" w:fill="C2D69B"/>
            <w:vAlign w:val="center"/>
            <w:hideMark/>
          </w:tcPr>
          <w:p w14:paraId="347AD46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73340A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16B366BE" w14:textId="77777777" w:rsidTr="00B73FDB">
        <w:trPr>
          <w:tblCellSpacing w:w="15" w:type="dxa"/>
        </w:trPr>
        <w:tc>
          <w:tcPr>
            <w:tcW w:w="0" w:type="auto"/>
            <w:shd w:val="clear" w:color="auto" w:fill="C2D69B"/>
            <w:vAlign w:val="center"/>
            <w:hideMark/>
          </w:tcPr>
          <w:p w14:paraId="4D2E721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9DAABD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4FE999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6570AD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44719B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83484CE" w14:textId="77777777" w:rsidTr="00B73FDB">
        <w:trPr>
          <w:tblCellSpacing w:w="15" w:type="dxa"/>
        </w:trPr>
        <w:tc>
          <w:tcPr>
            <w:tcW w:w="0" w:type="auto"/>
            <w:shd w:val="clear" w:color="auto" w:fill="C2D69B"/>
            <w:vAlign w:val="center"/>
            <w:hideMark/>
          </w:tcPr>
          <w:p w14:paraId="7B793CE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5220E0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585 </w:t>
            </w:r>
          </w:p>
        </w:tc>
        <w:tc>
          <w:tcPr>
            <w:tcW w:w="0" w:type="auto"/>
            <w:shd w:val="clear" w:color="auto" w:fill="C2D69B"/>
            <w:noWrap/>
            <w:vAlign w:val="center"/>
            <w:hideMark/>
          </w:tcPr>
          <w:p w14:paraId="3681380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583 </w:t>
            </w:r>
          </w:p>
        </w:tc>
        <w:tc>
          <w:tcPr>
            <w:tcW w:w="0" w:type="auto"/>
            <w:shd w:val="clear" w:color="auto" w:fill="C2D69B"/>
            <w:vAlign w:val="center"/>
            <w:hideMark/>
          </w:tcPr>
          <w:p w14:paraId="164F266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758130A8"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D9A556E" w14:textId="77777777" w:rsidTr="00B73FDB">
        <w:trPr>
          <w:tblCellSpacing w:w="15" w:type="dxa"/>
        </w:trPr>
        <w:tc>
          <w:tcPr>
            <w:tcW w:w="0" w:type="auto"/>
            <w:shd w:val="clear" w:color="auto" w:fill="C2D69B"/>
            <w:vAlign w:val="center"/>
            <w:hideMark/>
          </w:tcPr>
          <w:p w14:paraId="11D7C2B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D55549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67E5C214" w14:textId="77777777" w:rsidTr="00B73FDB">
        <w:trPr>
          <w:tblCellSpacing w:w="15" w:type="dxa"/>
        </w:trPr>
        <w:tc>
          <w:tcPr>
            <w:tcW w:w="0" w:type="auto"/>
            <w:shd w:val="clear" w:color="auto" w:fill="C2D69B"/>
            <w:vAlign w:val="center"/>
            <w:hideMark/>
          </w:tcPr>
          <w:p w14:paraId="54CC487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C0589B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B806AE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891CF5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CCC625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4EEC611" w14:textId="77777777" w:rsidTr="00B73FDB">
        <w:trPr>
          <w:tblCellSpacing w:w="15" w:type="dxa"/>
        </w:trPr>
        <w:tc>
          <w:tcPr>
            <w:tcW w:w="0" w:type="auto"/>
            <w:shd w:val="clear" w:color="auto" w:fill="C2D69B"/>
            <w:vAlign w:val="center"/>
            <w:hideMark/>
          </w:tcPr>
          <w:p w14:paraId="7453599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CA2193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585 </w:t>
            </w:r>
          </w:p>
        </w:tc>
        <w:tc>
          <w:tcPr>
            <w:tcW w:w="0" w:type="auto"/>
            <w:shd w:val="clear" w:color="auto" w:fill="C2D69B"/>
            <w:noWrap/>
            <w:vAlign w:val="center"/>
            <w:hideMark/>
          </w:tcPr>
          <w:p w14:paraId="31AEB8A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581 </w:t>
            </w:r>
          </w:p>
        </w:tc>
        <w:tc>
          <w:tcPr>
            <w:tcW w:w="0" w:type="auto"/>
            <w:shd w:val="clear" w:color="auto" w:fill="C2D69B"/>
            <w:vAlign w:val="center"/>
            <w:hideMark/>
          </w:tcPr>
          <w:p w14:paraId="16EE14A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469A9FBC" w14:textId="77777777" w:rsidR="00B73FDB" w:rsidRPr="00B73FDB" w:rsidRDefault="00B73FDB" w:rsidP="00B73FDB">
            <w:pPr>
              <w:spacing w:after="0" w:line="240" w:lineRule="auto"/>
              <w:jc w:val="center"/>
              <w:rPr>
                <w:rFonts w:cs="Calibri"/>
                <w:sz w:val="18"/>
                <w:szCs w:val="18"/>
                <w:lang w:eastAsia="sk-SK"/>
              </w:rPr>
            </w:pPr>
          </w:p>
        </w:tc>
      </w:tr>
    </w:tbl>
    <w:p w14:paraId="47313AB0"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Poskytuje všeobecné vzdelanie v 4-ročnej a 8-ročnej forme štúdia so zameraním na cudzie jazyky a informatiku. Gymnázium prevádzkuje bazén, na ktorého prevádzku obdržalo príspevok aj z Ministerstva školstva, vedy, výskumu a športu SR.</w:t>
      </w:r>
    </w:p>
    <w:p w14:paraId="46A55AD6"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8.2.11: Gymnázium, Hubeného 23,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28"/>
        <w:gridCol w:w="1214"/>
        <w:gridCol w:w="1214"/>
        <w:gridCol w:w="1087"/>
        <w:gridCol w:w="1192"/>
        <w:gridCol w:w="2426"/>
      </w:tblGrid>
      <w:tr w:rsidR="00B73FDB" w:rsidRPr="00B73FDB" w14:paraId="660EC203" w14:textId="77777777" w:rsidTr="00B73FDB">
        <w:trPr>
          <w:tblCellSpacing w:w="15" w:type="dxa"/>
        </w:trPr>
        <w:tc>
          <w:tcPr>
            <w:tcW w:w="267" w:type="pct"/>
            <w:shd w:val="clear" w:color="auto" w:fill="C6DBF7"/>
            <w:vAlign w:val="center"/>
            <w:hideMark/>
          </w:tcPr>
          <w:p w14:paraId="509AA8F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58511B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3A8B273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076D565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4" w:type="pct"/>
            <w:shd w:val="clear" w:color="auto" w:fill="C6DBF7"/>
            <w:vAlign w:val="center"/>
            <w:hideMark/>
          </w:tcPr>
          <w:p w14:paraId="0895C86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54" w:type="pct"/>
            <w:shd w:val="clear" w:color="auto" w:fill="C6DBF7"/>
            <w:vAlign w:val="center"/>
            <w:hideMark/>
          </w:tcPr>
          <w:p w14:paraId="7536FDB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59B0934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5DD927B" w14:textId="77777777" w:rsidTr="00B73FDB">
        <w:trPr>
          <w:tblCellSpacing w:w="15" w:type="dxa"/>
        </w:trPr>
        <w:tc>
          <w:tcPr>
            <w:tcW w:w="267" w:type="pct"/>
            <w:shd w:val="clear" w:color="auto" w:fill="D9D9D9"/>
            <w:noWrap/>
            <w:vAlign w:val="center"/>
            <w:hideMark/>
          </w:tcPr>
          <w:p w14:paraId="5F35E845"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321C909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0CE3851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819 433,00</w:t>
            </w:r>
            <w:r w:rsidRPr="00B73FDB">
              <w:rPr>
                <w:rFonts w:cs="Calibri"/>
                <w:sz w:val="18"/>
                <w:szCs w:val="18"/>
                <w:lang w:eastAsia="sk-SK"/>
              </w:rPr>
              <w:t xml:space="preserve"> </w:t>
            </w:r>
          </w:p>
        </w:tc>
        <w:tc>
          <w:tcPr>
            <w:tcW w:w="565" w:type="pct"/>
            <w:shd w:val="clear" w:color="auto" w:fill="D9D9D9"/>
            <w:noWrap/>
            <w:vAlign w:val="center"/>
            <w:hideMark/>
          </w:tcPr>
          <w:p w14:paraId="0F75787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821 278,34</w:t>
            </w:r>
            <w:r w:rsidRPr="00B73FDB">
              <w:rPr>
                <w:rFonts w:cs="Calibri"/>
                <w:sz w:val="18"/>
                <w:szCs w:val="18"/>
                <w:lang w:eastAsia="sk-SK"/>
              </w:rPr>
              <w:t xml:space="preserve"> </w:t>
            </w:r>
          </w:p>
        </w:tc>
        <w:tc>
          <w:tcPr>
            <w:tcW w:w="504" w:type="pct"/>
            <w:shd w:val="clear" w:color="auto" w:fill="D9D9D9"/>
            <w:noWrap/>
            <w:vAlign w:val="center"/>
            <w:hideMark/>
          </w:tcPr>
          <w:p w14:paraId="289BD83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780 522,76</w:t>
            </w:r>
            <w:r w:rsidRPr="00B73FDB">
              <w:rPr>
                <w:rFonts w:cs="Calibri"/>
                <w:sz w:val="18"/>
                <w:szCs w:val="18"/>
                <w:lang w:eastAsia="sk-SK"/>
              </w:rPr>
              <w:t xml:space="preserve"> </w:t>
            </w:r>
          </w:p>
        </w:tc>
        <w:tc>
          <w:tcPr>
            <w:tcW w:w="554" w:type="pct"/>
            <w:shd w:val="clear" w:color="auto" w:fill="D9D9D9"/>
            <w:noWrap/>
            <w:vAlign w:val="center"/>
            <w:hideMark/>
          </w:tcPr>
          <w:p w14:paraId="7DC234B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95,04</w:t>
            </w:r>
            <w:r w:rsidRPr="00B73FDB">
              <w:rPr>
                <w:rFonts w:cs="Calibri"/>
                <w:sz w:val="18"/>
                <w:szCs w:val="18"/>
                <w:lang w:eastAsia="sk-SK"/>
              </w:rPr>
              <w:t xml:space="preserve"> </w:t>
            </w:r>
          </w:p>
        </w:tc>
        <w:tc>
          <w:tcPr>
            <w:tcW w:w="1136" w:type="pct"/>
            <w:vMerge w:val="restart"/>
            <w:shd w:val="clear" w:color="auto" w:fill="D9D9D9"/>
            <w:vAlign w:val="center"/>
            <w:hideMark/>
          </w:tcPr>
          <w:p w14:paraId="1E6CDA3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-990,00 EUR</w:t>
            </w:r>
            <w:r w:rsidRPr="00B73FDB">
              <w:rPr>
                <w:rFonts w:cs="Calibri"/>
                <w:sz w:val="18"/>
                <w:szCs w:val="18"/>
                <w:lang w:eastAsia="sk-SK"/>
              </w:rPr>
              <w:t xml:space="preserve"> normatívne finančné prostriedky,</w:t>
            </w:r>
          </w:p>
          <w:p w14:paraId="50FC87D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+427,00 EUR</w:t>
            </w:r>
            <w:r w:rsidRPr="00B73FDB">
              <w:rPr>
                <w:rFonts w:cs="Calibri"/>
                <w:sz w:val="18"/>
                <w:szCs w:val="18"/>
                <w:lang w:eastAsia="sk-SK"/>
              </w:rPr>
              <w:t xml:space="preserve"> normatívne finančné prostriedky na maturity,</w:t>
            </w:r>
          </w:p>
          <w:p w14:paraId="02F4E3E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+1 235,00 EUR </w:t>
            </w:r>
            <w:r w:rsidRPr="00B73FDB">
              <w:rPr>
                <w:rFonts w:cs="Calibri"/>
                <w:sz w:val="18"/>
                <w:szCs w:val="18"/>
                <w:lang w:eastAsia="sk-SK"/>
              </w:rPr>
              <w:t>nenormatívne finančné prostriedky na vzdelávacie poukazy,</w:t>
            </w:r>
          </w:p>
          <w:p w14:paraId="07D70A3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+1 818,00 EUR</w:t>
            </w:r>
            <w:r w:rsidRPr="00B73FDB">
              <w:rPr>
                <w:rFonts w:cs="Calibri"/>
                <w:sz w:val="18"/>
                <w:szCs w:val="18"/>
                <w:lang w:eastAsia="sk-SK"/>
              </w:rPr>
              <w:t xml:space="preserve"> príspevok na učebnice,</w:t>
            </w:r>
          </w:p>
          <w:p w14:paraId="5FB0249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-8 011,00 EUR</w:t>
            </w:r>
            <w:r w:rsidRPr="00B73FDB">
              <w:rPr>
                <w:rFonts w:cs="Calibri"/>
                <w:sz w:val="18"/>
                <w:szCs w:val="18"/>
                <w:lang w:eastAsia="sk-SK"/>
              </w:rPr>
              <w:t xml:space="preserve"> odchodné do dôchodku,</w:t>
            </w:r>
          </w:p>
          <w:p w14:paraId="0378BDA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+1 740,00 EUR</w:t>
            </w:r>
            <w:r w:rsidRPr="00B73FDB">
              <w:rPr>
                <w:rFonts w:cs="Calibri"/>
                <w:sz w:val="18"/>
                <w:szCs w:val="18"/>
                <w:lang w:eastAsia="sk-SK"/>
              </w:rPr>
              <w:t xml:space="preserve"> nenormatívne finančné prostriedky na lyžiarske kurzy,</w:t>
            </w:r>
          </w:p>
          <w:p w14:paraId="4A11073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+3 280,62 EUR</w:t>
            </w:r>
            <w:r w:rsidRPr="00B73FDB">
              <w:rPr>
                <w:rFonts w:cs="Calibri"/>
                <w:sz w:val="18"/>
                <w:szCs w:val="18"/>
                <w:lang w:eastAsia="sk-SK"/>
              </w:rPr>
              <w:t xml:space="preserve"> nevyčerpané finančné prostriedky z r. 2019,</w:t>
            </w:r>
          </w:p>
          <w:p w14:paraId="0A4F78E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+2 345,72 EUR</w:t>
            </w:r>
            <w:r w:rsidRPr="00B73FDB">
              <w:rPr>
                <w:rFonts w:cs="Calibri"/>
                <w:sz w:val="18"/>
                <w:szCs w:val="18"/>
                <w:lang w:eastAsia="sk-SK"/>
              </w:rPr>
              <w:t xml:space="preserve"> príjmy z prenájmov.</w:t>
            </w:r>
          </w:p>
        </w:tc>
      </w:tr>
      <w:tr w:rsidR="00B73FDB" w:rsidRPr="00B73FDB" w14:paraId="75B37F76" w14:textId="77777777" w:rsidTr="00B73FDB">
        <w:trPr>
          <w:tblCellSpacing w:w="15" w:type="dxa"/>
        </w:trPr>
        <w:tc>
          <w:tcPr>
            <w:tcW w:w="267" w:type="pct"/>
            <w:shd w:val="clear" w:color="auto" w:fill="D9D9D9"/>
            <w:noWrap/>
            <w:vAlign w:val="center"/>
            <w:hideMark/>
          </w:tcPr>
          <w:p w14:paraId="40492F6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52AB8D0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1A4D475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819 433,00</w:t>
            </w:r>
            <w:r w:rsidRPr="00B73FDB">
              <w:rPr>
                <w:rFonts w:cs="Calibri"/>
                <w:sz w:val="18"/>
                <w:szCs w:val="18"/>
                <w:lang w:eastAsia="sk-SK"/>
              </w:rPr>
              <w:t xml:space="preserve"> </w:t>
            </w:r>
          </w:p>
        </w:tc>
        <w:tc>
          <w:tcPr>
            <w:tcW w:w="565" w:type="pct"/>
            <w:shd w:val="clear" w:color="auto" w:fill="D9D9D9"/>
            <w:noWrap/>
            <w:vAlign w:val="center"/>
            <w:hideMark/>
          </w:tcPr>
          <w:p w14:paraId="21B7991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821 278,34</w:t>
            </w:r>
            <w:r w:rsidRPr="00B73FDB">
              <w:rPr>
                <w:rFonts w:cs="Calibri"/>
                <w:sz w:val="18"/>
                <w:szCs w:val="18"/>
                <w:lang w:eastAsia="sk-SK"/>
              </w:rPr>
              <w:t xml:space="preserve"> </w:t>
            </w:r>
          </w:p>
        </w:tc>
        <w:tc>
          <w:tcPr>
            <w:tcW w:w="504" w:type="pct"/>
            <w:shd w:val="clear" w:color="auto" w:fill="D9D9D9"/>
            <w:noWrap/>
            <w:vAlign w:val="center"/>
            <w:hideMark/>
          </w:tcPr>
          <w:p w14:paraId="1B7A080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780 522,76</w:t>
            </w:r>
            <w:r w:rsidRPr="00B73FDB">
              <w:rPr>
                <w:rFonts w:cs="Calibri"/>
                <w:sz w:val="18"/>
                <w:szCs w:val="18"/>
                <w:lang w:eastAsia="sk-SK"/>
              </w:rPr>
              <w:t xml:space="preserve"> </w:t>
            </w:r>
          </w:p>
        </w:tc>
        <w:tc>
          <w:tcPr>
            <w:tcW w:w="554" w:type="pct"/>
            <w:shd w:val="clear" w:color="auto" w:fill="D9D9D9"/>
            <w:noWrap/>
            <w:vAlign w:val="center"/>
            <w:hideMark/>
          </w:tcPr>
          <w:p w14:paraId="33932FF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95,04</w:t>
            </w:r>
            <w:r w:rsidRPr="00B73FDB">
              <w:rPr>
                <w:rFonts w:cs="Calibri"/>
                <w:sz w:val="18"/>
                <w:szCs w:val="18"/>
                <w:lang w:eastAsia="sk-SK"/>
              </w:rPr>
              <w:t xml:space="preserve"> </w:t>
            </w:r>
          </w:p>
        </w:tc>
        <w:tc>
          <w:tcPr>
            <w:tcW w:w="1136" w:type="pct"/>
            <w:vMerge/>
            <w:shd w:val="clear" w:color="auto" w:fill="D9D9D9"/>
            <w:vAlign w:val="center"/>
            <w:hideMark/>
          </w:tcPr>
          <w:p w14:paraId="30A2EEE4"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3E236B9F" w14:textId="77777777" w:rsidTr="00B73FDB">
        <w:trPr>
          <w:tblCellSpacing w:w="15" w:type="dxa"/>
        </w:trPr>
        <w:tc>
          <w:tcPr>
            <w:tcW w:w="267" w:type="pct"/>
            <w:shd w:val="clear" w:color="auto" w:fill="EFEFEF"/>
            <w:noWrap/>
            <w:vAlign w:val="center"/>
            <w:hideMark/>
          </w:tcPr>
          <w:p w14:paraId="022DBB8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2F7F954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4C8F05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551 800,00 </w:t>
            </w:r>
          </w:p>
        </w:tc>
        <w:tc>
          <w:tcPr>
            <w:tcW w:w="565" w:type="pct"/>
            <w:shd w:val="clear" w:color="auto" w:fill="EFEFEF"/>
            <w:noWrap/>
            <w:vAlign w:val="center"/>
            <w:hideMark/>
          </w:tcPr>
          <w:p w14:paraId="25D903B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501 996,55 </w:t>
            </w:r>
          </w:p>
        </w:tc>
        <w:tc>
          <w:tcPr>
            <w:tcW w:w="504" w:type="pct"/>
            <w:shd w:val="clear" w:color="auto" w:fill="EFEFEF"/>
            <w:noWrap/>
            <w:vAlign w:val="center"/>
            <w:hideMark/>
          </w:tcPr>
          <w:p w14:paraId="116FEC0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501 996,55 </w:t>
            </w:r>
          </w:p>
        </w:tc>
        <w:tc>
          <w:tcPr>
            <w:tcW w:w="554" w:type="pct"/>
            <w:shd w:val="clear" w:color="auto" w:fill="EFEFEF"/>
            <w:noWrap/>
            <w:vAlign w:val="center"/>
            <w:hideMark/>
          </w:tcPr>
          <w:p w14:paraId="0DBEA80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663FF192" w14:textId="77777777" w:rsidR="00B73FDB" w:rsidRPr="00B73FDB" w:rsidRDefault="00B73FDB" w:rsidP="00B73FDB">
            <w:pPr>
              <w:spacing w:after="0" w:line="240" w:lineRule="auto"/>
              <w:rPr>
                <w:rFonts w:cs="Calibri"/>
                <w:sz w:val="18"/>
                <w:szCs w:val="18"/>
                <w:lang w:eastAsia="sk-SK"/>
              </w:rPr>
            </w:pPr>
          </w:p>
        </w:tc>
      </w:tr>
      <w:tr w:rsidR="00B73FDB" w:rsidRPr="00B73FDB" w14:paraId="6744EE32" w14:textId="77777777" w:rsidTr="00B73FDB">
        <w:trPr>
          <w:tblCellSpacing w:w="15" w:type="dxa"/>
        </w:trPr>
        <w:tc>
          <w:tcPr>
            <w:tcW w:w="267" w:type="pct"/>
            <w:shd w:val="clear" w:color="auto" w:fill="EFEFEF"/>
            <w:noWrap/>
            <w:vAlign w:val="center"/>
            <w:hideMark/>
          </w:tcPr>
          <w:p w14:paraId="6FE476B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2AAB676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0CA9DBD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192 853,00 </w:t>
            </w:r>
          </w:p>
        </w:tc>
        <w:tc>
          <w:tcPr>
            <w:tcW w:w="565" w:type="pct"/>
            <w:shd w:val="clear" w:color="auto" w:fill="EFEFEF"/>
            <w:noWrap/>
            <w:vAlign w:val="center"/>
            <w:hideMark/>
          </w:tcPr>
          <w:p w14:paraId="6B648F2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181 045,37 </w:t>
            </w:r>
          </w:p>
        </w:tc>
        <w:tc>
          <w:tcPr>
            <w:tcW w:w="504" w:type="pct"/>
            <w:shd w:val="clear" w:color="auto" w:fill="EFEFEF"/>
            <w:noWrap/>
            <w:vAlign w:val="center"/>
            <w:hideMark/>
          </w:tcPr>
          <w:p w14:paraId="0BD43A7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181 045,37 </w:t>
            </w:r>
          </w:p>
        </w:tc>
        <w:tc>
          <w:tcPr>
            <w:tcW w:w="554" w:type="pct"/>
            <w:shd w:val="clear" w:color="auto" w:fill="EFEFEF"/>
            <w:noWrap/>
            <w:vAlign w:val="center"/>
            <w:hideMark/>
          </w:tcPr>
          <w:p w14:paraId="67D3875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8FD44CB" w14:textId="77777777" w:rsidR="00B73FDB" w:rsidRPr="00B73FDB" w:rsidRDefault="00B73FDB" w:rsidP="00B73FDB">
            <w:pPr>
              <w:spacing w:after="0" w:line="240" w:lineRule="auto"/>
              <w:rPr>
                <w:rFonts w:cs="Calibri"/>
                <w:sz w:val="18"/>
                <w:szCs w:val="18"/>
                <w:lang w:eastAsia="sk-SK"/>
              </w:rPr>
            </w:pPr>
          </w:p>
        </w:tc>
      </w:tr>
      <w:tr w:rsidR="00B73FDB" w:rsidRPr="00B73FDB" w14:paraId="05C01716" w14:textId="77777777" w:rsidTr="00B73FDB">
        <w:trPr>
          <w:tblCellSpacing w:w="15" w:type="dxa"/>
        </w:trPr>
        <w:tc>
          <w:tcPr>
            <w:tcW w:w="267" w:type="pct"/>
            <w:shd w:val="clear" w:color="auto" w:fill="EFEFEF"/>
            <w:noWrap/>
            <w:vAlign w:val="center"/>
            <w:hideMark/>
          </w:tcPr>
          <w:p w14:paraId="5A72D4D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025B624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06D5ACB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74 780,00 </w:t>
            </w:r>
          </w:p>
        </w:tc>
        <w:tc>
          <w:tcPr>
            <w:tcW w:w="565" w:type="pct"/>
            <w:shd w:val="clear" w:color="auto" w:fill="EFEFEF"/>
            <w:noWrap/>
            <w:vAlign w:val="center"/>
            <w:hideMark/>
          </w:tcPr>
          <w:p w14:paraId="4E4F8C1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132 112,14 </w:t>
            </w:r>
          </w:p>
        </w:tc>
        <w:tc>
          <w:tcPr>
            <w:tcW w:w="504" w:type="pct"/>
            <w:shd w:val="clear" w:color="auto" w:fill="EFEFEF"/>
            <w:noWrap/>
            <w:vAlign w:val="center"/>
            <w:hideMark/>
          </w:tcPr>
          <w:p w14:paraId="5CBD8A1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91 356,56 </w:t>
            </w:r>
          </w:p>
        </w:tc>
        <w:tc>
          <w:tcPr>
            <w:tcW w:w="554" w:type="pct"/>
            <w:shd w:val="clear" w:color="auto" w:fill="EFEFEF"/>
            <w:noWrap/>
            <w:vAlign w:val="center"/>
            <w:hideMark/>
          </w:tcPr>
          <w:p w14:paraId="6E674CB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69,15 </w:t>
            </w:r>
          </w:p>
        </w:tc>
        <w:tc>
          <w:tcPr>
            <w:tcW w:w="1136" w:type="pct"/>
            <w:vMerge/>
            <w:shd w:val="clear" w:color="auto" w:fill="EFEFEF"/>
            <w:vAlign w:val="center"/>
            <w:hideMark/>
          </w:tcPr>
          <w:p w14:paraId="0BF65FA6" w14:textId="77777777" w:rsidR="00B73FDB" w:rsidRPr="00B73FDB" w:rsidRDefault="00B73FDB" w:rsidP="00B73FDB">
            <w:pPr>
              <w:spacing w:after="0" w:line="240" w:lineRule="auto"/>
              <w:rPr>
                <w:rFonts w:cs="Calibri"/>
                <w:sz w:val="18"/>
                <w:szCs w:val="18"/>
                <w:lang w:eastAsia="sk-SK"/>
              </w:rPr>
            </w:pPr>
          </w:p>
        </w:tc>
      </w:tr>
    </w:tbl>
    <w:p w14:paraId="354247D0"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32D4BD75" w14:textId="77777777" w:rsidTr="00B73FDB">
        <w:trPr>
          <w:tblCellSpacing w:w="15" w:type="dxa"/>
        </w:trPr>
        <w:tc>
          <w:tcPr>
            <w:tcW w:w="0" w:type="auto"/>
            <w:shd w:val="clear" w:color="auto" w:fill="C2D69B"/>
            <w:vAlign w:val="center"/>
            <w:hideMark/>
          </w:tcPr>
          <w:p w14:paraId="4AC9BF7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38C32E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31F87781" w14:textId="77777777" w:rsidTr="00B73FDB">
        <w:trPr>
          <w:tblCellSpacing w:w="15" w:type="dxa"/>
        </w:trPr>
        <w:tc>
          <w:tcPr>
            <w:tcW w:w="0" w:type="auto"/>
            <w:shd w:val="clear" w:color="auto" w:fill="C2D69B"/>
            <w:vAlign w:val="center"/>
            <w:hideMark/>
          </w:tcPr>
          <w:p w14:paraId="2674F7C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052C26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2999DEE5" w14:textId="77777777" w:rsidTr="00B73FDB">
        <w:trPr>
          <w:tblCellSpacing w:w="15" w:type="dxa"/>
        </w:trPr>
        <w:tc>
          <w:tcPr>
            <w:tcW w:w="0" w:type="auto"/>
            <w:shd w:val="clear" w:color="auto" w:fill="C2D69B"/>
            <w:vAlign w:val="center"/>
            <w:hideMark/>
          </w:tcPr>
          <w:p w14:paraId="240D6F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277663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32D25743" w14:textId="77777777" w:rsidTr="00B73FDB">
        <w:trPr>
          <w:tblCellSpacing w:w="15" w:type="dxa"/>
        </w:trPr>
        <w:tc>
          <w:tcPr>
            <w:tcW w:w="0" w:type="auto"/>
            <w:shd w:val="clear" w:color="auto" w:fill="C2D69B"/>
            <w:vAlign w:val="center"/>
            <w:hideMark/>
          </w:tcPr>
          <w:p w14:paraId="0F08BB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D0EF6B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21ADD8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BB1A68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94FBB5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15E3774" w14:textId="77777777" w:rsidTr="00B73FDB">
        <w:trPr>
          <w:tblCellSpacing w:w="15" w:type="dxa"/>
        </w:trPr>
        <w:tc>
          <w:tcPr>
            <w:tcW w:w="0" w:type="auto"/>
            <w:shd w:val="clear" w:color="auto" w:fill="C2D69B"/>
            <w:vAlign w:val="center"/>
            <w:hideMark/>
          </w:tcPr>
          <w:p w14:paraId="4A6A85B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397EE2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332 </w:t>
            </w:r>
          </w:p>
        </w:tc>
        <w:tc>
          <w:tcPr>
            <w:tcW w:w="0" w:type="auto"/>
            <w:shd w:val="clear" w:color="auto" w:fill="C2D69B"/>
            <w:noWrap/>
            <w:vAlign w:val="center"/>
            <w:hideMark/>
          </w:tcPr>
          <w:p w14:paraId="26975A7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362 </w:t>
            </w:r>
          </w:p>
        </w:tc>
        <w:tc>
          <w:tcPr>
            <w:tcW w:w="0" w:type="auto"/>
            <w:shd w:val="clear" w:color="auto" w:fill="C2D69B"/>
            <w:vAlign w:val="center"/>
            <w:hideMark/>
          </w:tcPr>
          <w:p w14:paraId="1776E92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7DAD65B"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6E3A8C4" w14:textId="77777777" w:rsidTr="00B73FDB">
        <w:trPr>
          <w:tblCellSpacing w:w="15" w:type="dxa"/>
        </w:trPr>
        <w:tc>
          <w:tcPr>
            <w:tcW w:w="0" w:type="auto"/>
            <w:shd w:val="clear" w:color="auto" w:fill="C2D69B"/>
            <w:vAlign w:val="center"/>
            <w:hideMark/>
          </w:tcPr>
          <w:p w14:paraId="0682212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Merateľný ukazovateľ</w:t>
            </w:r>
          </w:p>
        </w:tc>
        <w:tc>
          <w:tcPr>
            <w:tcW w:w="0" w:type="auto"/>
            <w:gridSpan w:val="4"/>
            <w:shd w:val="clear" w:color="auto" w:fill="C2D69B"/>
            <w:vAlign w:val="center"/>
            <w:hideMark/>
          </w:tcPr>
          <w:p w14:paraId="493F927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4FCE91D" w14:textId="77777777" w:rsidTr="00B73FDB">
        <w:trPr>
          <w:tblCellSpacing w:w="15" w:type="dxa"/>
        </w:trPr>
        <w:tc>
          <w:tcPr>
            <w:tcW w:w="0" w:type="auto"/>
            <w:shd w:val="clear" w:color="auto" w:fill="C2D69B"/>
            <w:vAlign w:val="center"/>
            <w:hideMark/>
          </w:tcPr>
          <w:p w14:paraId="06CE3B8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0CD5E3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1A5219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706E9C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F44945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9A75977" w14:textId="77777777" w:rsidTr="00B73FDB">
        <w:trPr>
          <w:tblCellSpacing w:w="15" w:type="dxa"/>
        </w:trPr>
        <w:tc>
          <w:tcPr>
            <w:tcW w:w="0" w:type="auto"/>
            <w:shd w:val="clear" w:color="auto" w:fill="C2D69B"/>
            <w:vAlign w:val="center"/>
            <w:hideMark/>
          </w:tcPr>
          <w:p w14:paraId="6587C6E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4E5EC0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332 </w:t>
            </w:r>
          </w:p>
        </w:tc>
        <w:tc>
          <w:tcPr>
            <w:tcW w:w="0" w:type="auto"/>
            <w:shd w:val="clear" w:color="auto" w:fill="C2D69B"/>
            <w:noWrap/>
            <w:vAlign w:val="center"/>
            <w:hideMark/>
          </w:tcPr>
          <w:p w14:paraId="239B874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358 </w:t>
            </w:r>
          </w:p>
        </w:tc>
        <w:tc>
          <w:tcPr>
            <w:tcW w:w="0" w:type="auto"/>
            <w:shd w:val="clear" w:color="auto" w:fill="C2D69B"/>
            <w:vAlign w:val="center"/>
            <w:hideMark/>
          </w:tcPr>
          <w:p w14:paraId="20A283D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5A9AEE6" w14:textId="77777777" w:rsidR="00B73FDB" w:rsidRPr="00B73FDB" w:rsidRDefault="00B73FDB" w:rsidP="00B73FDB">
            <w:pPr>
              <w:spacing w:after="0" w:line="240" w:lineRule="auto"/>
              <w:jc w:val="center"/>
              <w:rPr>
                <w:rFonts w:cs="Calibri"/>
                <w:sz w:val="18"/>
                <w:szCs w:val="18"/>
                <w:lang w:eastAsia="sk-SK"/>
              </w:rPr>
            </w:pPr>
          </w:p>
        </w:tc>
      </w:tr>
    </w:tbl>
    <w:p w14:paraId="141FEEA5"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Poskytuje všeobecné vzdelanie v 4-ročnej, 5-ročnej a 8-ročnej forme štúdia so zameraním na cudzie jazyky a telesnú výchovu. </w:t>
      </w:r>
    </w:p>
    <w:p w14:paraId="2812DD33"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8.2.12: Gymnázium I. Horvátha, I. Horvátha 14,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4"/>
        <w:gridCol w:w="2728"/>
        <w:gridCol w:w="1210"/>
        <w:gridCol w:w="1210"/>
        <w:gridCol w:w="1087"/>
        <w:gridCol w:w="1210"/>
        <w:gridCol w:w="2417"/>
      </w:tblGrid>
      <w:tr w:rsidR="00B73FDB" w:rsidRPr="00B73FDB" w14:paraId="2FF86126" w14:textId="77777777" w:rsidTr="00B73FDB">
        <w:trPr>
          <w:tblCellSpacing w:w="15" w:type="dxa"/>
        </w:trPr>
        <w:tc>
          <w:tcPr>
            <w:tcW w:w="266" w:type="pct"/>
            <w:shd w:val="clear" w:color="auto" w:fill="C6DBF7"/>
            <w:vAlign w:val="center"/>
            <w:hideMark/>
          </w:tcPr>
          <w:p w14:paraId="76BCBC4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418FC5F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43AA440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75FFF22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4" w:type="pct"/>
            <w:shd w:val="clear" w:color="auto" w:fill="C6DBF7"/>
            <w:vAlign w:val="center"/>
            <w:hideMark/>
          </w:tcPr>
          <w:p w14:paraId="76FA359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3" w:type="pct"/>
            <w:shd w:val="clear" w:color="auto" w:fill="C6DBF7"/>
            <w:vAlign w:val="center"/>
            <w:hideMark/>
          </w:tcPr>
          <w:p w14:paraId="77E781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2" w:type="pct"/>
            <w:shd w:val="clear" w:color="auto" w:fill="C6DBF7"/>
            <w:vAlign w:val="center"/>
            <w:hideMark/>
          </w:tcPr>
          <w:p w14:paraId="075A584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117E87E6" w14:textId="77777777" w:rsidTr="00B73FDB">
        <w:trPr>
          <w:tblCellSpacing w:w="15" w:type="dxa"/>
        </w:trPr>
        <w:tc>
          <w:tcPr>
            <w:tcW w:w="266" w:type="pct"/>
            <w:shd w:val="clear" w:color="auto" w:fill="D9D9D9"/>
            <w:noWrap/>
            <w:vAlign w:val="center"/>
            <w:hideMark/>
          </w:tcPr>
          <w:p w14:paraId="66B3B6BC"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1776328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2C7D0B8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1 008 439,00</w:t>
            </w:r>
            <w:r w:rsidRPr="00B73FDB">
              <w:rPr>
                <w:rFonts w:cs="Calibri"/>
                <w:sz w:val="18"/>
                <w:szCs w:val="18"/>
                <w:lang w:eastAsia="sk-SK"/>
              </w:rPr>
              <w:t xml:space="preserve"> </w:t>
            </w:r>
          </w:p>
        </w:tc>
        <w:tc>
          <w:tcPr>
            <w:tcW w:w="563" w:type="pct"/>
            <w:shd w:val="clear" w:color="auto" w:fill="D9D9D9"/>
            <w:noWrap/>
            <w:vAlign w:val="center"/>
            <w:hideMark/>
          </w:tcPr>
          <w:p w14:paraId="54312E5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1 015 927,37</w:t>
            </w:r>
            <w:r w:rsidRPr="00B73FDB">
              <w:rPr>
                <w:rFonts w:cs="Calibri"/>
                <w:sz w:val="18"/>
                <w:szCs w:val="18"/>
                <w:lang w:eastAsia="sk-SK"/>
              </w:rPr>
              <w:t xml:space="preserve"> </w:t>
            </w:r>
          </w:p>
        </w:tc>
        <w:tc>
          <w:tcPr>
            <w:tcW w:w="504" w:type="pct"/>
            <w:shd w:val="clear" w:color="auto" w:fill="D9D9D9"/>
            <w:noWrap/>
            <w:vAlign w:val="center"/>
            <w:hideMark/>
          </w:tcPr>
          <w:p w14:paraId="7DCC6F3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1 004 188,51</w:t>
            </w:r>
            <w:r w:rsidRPr="00B73FDB">
              <w:rPr>
                <w:rFonts w:cs="Calibri"/>
                <w:sz w:val="18"/>
                <w:szCs w:val="18"/>
                <w:lang w:eastAsia="sk-SK"/>
              </w:rPr>
              <w:t xml:space="preserve"> </w:t>
            </w:r>
          </w:p>
        </w:tc>
        <w:tc>
          <w:tcPr>
            <w:tcW w:w="563" w:type="pct"/>
            <w:shd w:val="clear" w:color="auto" w:fill="D9D9D9"/>
            <w:noWrap/>
            <w:vAlign w:val="center"/>
            <w:hideMark/>
          </w:tcPr>
          <w:p w14:paraId="26D36B1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98,84</w:t>
            </w:r>
            <w:r w:rsidRPr="00B73FDB">
              <w:rPr>
                <w:rFonts w:cs="Calibri"/>
                <w:sz w:val="18"/>
                <w:szCs w:val="18"/>
                <w:lang w:eastAsia="sk-SK"/>
              </w:rPr>
              <w:t xml:space="preserve"> </w:t>
            </w:r>
          </w:p>
        </w:tc>
        <w:tc>
          <w:tcPr>
            <w:tcW w:w="1132" w:type="pct"/>
            <w:vMerge w:val="restart"/>
            <w:shd w:val="clear" w:color="auto" w:fill="D9D9D9"/>
            <w:vAlign w:val="center"/>
            <w:hideMark/>
          </w:tcPr>
          <w:p w14:paraId="17C14B8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+12 222,00 EUR</w:t>
            </w:r>
            <w:r w:rsidRPr="00B73FDB">
              <w:rPr>
                <w:rFonts w:cs="Calibri"/>
                <w:sz w:val="18"/>
                <w:szCs w:val="18"/>
                <w:lang w:eastAsia="sk-SK"/>
              </w:rPr>
              <w:t xml:space="preserve"> normatívne finančné prostriedky,</w:t>
            </w:r>
          </w:p>
          <w:p w14:paraId="6D7AFD3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+315,00 EUR</w:t>
            </w:r>
            <w:r w:rsidRPr="00B73FDB">
              <w:rPr>
                <w:rFonts w:cs="Calibri"/>
                <w:sz w:val="18"/>
                <w:szCs w:val="18"/>
                <w:lang w:eastAsia="sk-SK"/>
              </w:rPr>
              <w:t xml:space="preserve"> normatívne finančné prostriedky na maturity,</w:t>
            </w:r>
          </w:p>
          <w:p w14:paraId="22500C6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+1 063,00 EUR </w:t>
            </w:r>
            <w:r w:rsidRPr="00B73FDB">
              <w:rPr>
                <w:rFonts w:cs="Calibri"/>
                <w:sz w:val="18"/>
                <w:szCs w:val="18"/>
                <w:lang w:eastAsia="sk-SK"/>
              </w:rPr>
              <w:t>nenormatívne finančné prostriedky na vzdelávacie poukazy,</w:t>
            </w:r>
          </w:p>
          <w:p w14:paraId="73F8AFE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-797,00 EUR</w:t>
            </w:r>
            <w:r w:rsidRPr="00B73FDB">
              <w:rPr>
                <w:rFonts w:cs="Calibri"/>
                <w:sz w:val="18"/>
                <w:szCs w:val="18"/>
                <w:lang w:eastAsia="sk-SK"/>
              </w:rPr>
              <w:t xml:space="preserve"> odchodné do dôchodku,</w:t>
            </w:r>
          </w:p>
          <w:p w14:paraId="2680D44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-6 750,00 EUR</w:t>
            </w:r>
            <w:r w:rsidRPr="00B73FDB">
              <w:rPr>
                <w:rFonts w:cs="Calibri"/>
                <w:sz w:val="18"/>
                <w:szCs w:val="18"/>
                <w:lang w:eastAsia="sk-SK"/>
              </w:rPr>
              <w:t xml:space="preserve"> nenormatívne finančné prostriedky na lyžiarske kurzy,</w:t>
            </w:r>
          </w:p>
          <w:p w14:paraId="375CC42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+1 607,80 EUR</w:t>
            </w:r>
            <w:r w:rsidRPr="00B73FDB">
              <w:rPr>
                <w:rFonts w:cs="Calibri"/>
                <w:sz w:val="18"/>
                <w:szCs w:val="18"/>
                <w:lang w:eastAsia="sk-SK"/>
              </w:rPr>
              <w:t xml:space="preserve"> nevyčerpané finančné prostriedky z r. 2019,</w:t>
            </w:r>
          </w:p>
          <w:p w14:paraId="7CDE82A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-822,43 EUR</w:t>
            </w:r>
            <w:r w:rsidRPr="00B73FDB">
              <w:rPr>
                <w:rFonts w:cs="Calibri"/>
                <w:sz w:val="18"/>
                <w:szCs w:val="18"/>
                <w:lang w:eastAsia="sk-SK"/>
              </w:rPr>
              <w:t xml:space="preserve"> vyúčtovanie projektu Erasmus+,</w:t>
            </w:r>
          </w:p>
          <w:p w14:paraId="7F483DF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+650,00 EUR</w:t>
            </w:r>
            <w:r w:rsidRPr="00B73FDB">
              <w:rPr>
                <w:rFonts w:cs="Calibri"/>
                <w:sz w:val="18"/>
                <w:szCs w:val="18"/>
                <w:lang w:eastAsia="sk-SK"/>
              </w:rPr>
              <w:t xml:space="preserve"> školské súťaže z OÚ.</w:t>
            </w:r>
          </w:p>
        </w:tc>
      </w:tr>
      <w:tr w:rsidR="00B73FDB" w:rsidRPr="00B73FDB" w14:paraId="47FF1A38" w14:textId="77777777" w:rsidTr="00B73FDB">
        <w:trPr>
          <w:tblCellSpacing w:w="15" w:type="dxa"/>
        </w:trPr>
        <w:tc>
          <w:tcPr>
            <w:tcW w:w="266" w:type="pct"/>
            <w:shd w:val="clear" w:color="auto" w:fill="D9D9D9"/>
            <w:noWrap/>
            <w:vAlign w:val="center"/>
            <w:hideMark/>
          </w:tcPr>
          <w:p w14:paraId="3E30419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5C504EA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0FE6945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1 008 439,00</w:t>
            </w:r>
            <w:r w:rsidRPr="00B73FDB">
              <w:rPr>
                <w:rFonts w:cs="Calibri"/>
                <w:sz w:val="18"/>
                <w:szCs w:val="18"/>
                <w:lang w:eastAsia="sk-SK"/>
              </w:rPr>
              <w:t xml:space="preserve"> </w:t>
            </w:r>
          </w:p>
        </w:tc>
        <w:tc>
          <w:tcPr>
            <w:tcW w:w="563" w:type="pct"/>
            <w:shd w:val="clear" w:color="auto" w:fill="D9D9D9"/>
            <w:noWrap/>
            <w:vAlign w:val="center"/>
            <w:hideMark/>
          </w:tcPr>
          <w:p w14:paraId="1BD4C8F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1 015 927,37</w:t>
            </w:r>
            <w:r w:rsidRPr="00B73FDB">
              <w:rPr>
                <w:rFonts w:cs="Calibri"/>
                <w:sz w:val="18"/>
                <w:szCs w:val="18"/>
                <w:lang w:eastAsia="sk-SK"/>
              </w:rPr>
              <w:t xml:space="preserve"> </w:t>
            </w:r>
          </w:p>
        </w:tc>
        <w:tc>
          <w:tcPr>
            <w:tcW w:w="504" w:type="pct"/>
            <w:shd w:val="clear" w:color="auto" w:fill="D9D9D9"/>
            <w:noWrap/>
            <w:vAlign w:val="center"/>
            <w:hideMark/>
          </w:tcPr>
          <w:p w14:paraId="4D2F320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1 004 188,51</w:t>
            </w:r>
            <w:r w:rsidRPr="00B73FDB">
              <w:rPr>
                <w:rFonts w:cs="Calibri"/>
                <w:sz w:val="18"/>
                <w:szCs w:val="18"/>
                <w:lang w:eastAsia="sk-SK"/>
              </w:rPr>
              <w:t xml:space="preserve"> </w:t>
            </w:r>
          </w:p>
        </w:tc>
        <w:tc>
          <w:tcPr>
            <w:tcW w:w="563" w:type="pct"/>
            <w:shd w:val="clear" w:color="auto" w:fill="D9D9D9"/>
            <w:noWrap/>
            <w:vAlign w:val="center"/>
            <w:hideMark/>
          </w:tcPr>
          <w:p w14:paraId="26A01A0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98,84</w:t>
            </w:r>
            <w:r w:rsidRPr="00B73FDB">
              <w:rPr>
                <w:rFonts w:cs="Calibri"/>
                <w:sz w:val="18"/>
                <w:szCs w:val="18"/>
                <w:lang w:eastAsia="sk-SK"/>
              </w:rPr>
              <w:t xml:space="preserve"> </w:t>
            </w:r>
          </w:p>
        </w:tc>
        <w:tc>
          <w:tcPr>
            <w:tcW w:w="1132" w:type="pct"/>
            <w:vMerge/>
            <w:shd w:val="clear" w:color="auto" w:fill="D9D9D9"/>
            <w:vAlign w:val="center"/>
            <w:hideMark/>
          </w:tcPr>
          <w:p w14:paraId="671266D0"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4EA98FCE" w14:textId="77777777" w:rsidTr="00B73FDB">
        <w:trPr>
          <w:tblCellSpacing w:w="15" w:type="dxa"/>
        </w:trPr>
        <w:tc>
          <w:tcPr>
            <w:tcW w:w="266" w:type="pct"/>
            <w:shd w:val="clear" w:color="auto" w:fill="EFEFEF"/>
            <w:noWrap/>
            <w:vAlign w:val="center"/>
            <w:hideMark/>
          </w:tcPr>
          <w:p w14:paraId="209DBC5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5E4E77C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035697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645 598,00 </w:t>
            </w:r>
          </w:p>
        </w:tc>
        <w:tc>
          <w:tcPr>
            <w:tcW w:w="563" w:type="pct"/>
            <w:shd w:val="clear" w:color="auto" w:fill="EFEFEF"/>
            <w:noWrap/>
            <w:vAlign w:val="center"/>
            <w:hideMark/>
          </w:tcPr>
          <w:p w14:paraId="2BEE255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653 691,77 </w:t>
            </w:r>
          </w:p>
        </w:tc>
        <w:tc>
          <w:tcPr>
            <w:tcW w:w="504" w:type="pct"/>
            <w:shd w:val="clear" w:color="auto" w:fill="EFEFEF"/>
            <w:noWrap/>
            <w:vAlign w:val="center"/>
            <w:hideMark/>
          </w:tcPr>
          <w:p w14:paraId="6A1C57D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653 691,77 </w:t>
            </w:r>
          </w:p>
        </w:tc>
        <w:tc>
          <w:tcPr>
            <w:tcW w:w="563" w:type="pct"/>
            <w:shd w:val="clear" w:color="auto" w:fill="EFEFEF"/>
            <w:noWrap/>
            <w:vAlign w:val="center"/>
            <w:hideMark/>
          </w:tcPr>
          <w:p w14:paraId="5C62EB5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2" w:type="pct"/>
            <w:vMerge/>
            <w:shd w:val="clear" w:color="auto" w:fill="EFEFEF"/>
            <w:vAlign w:val="center"/>
            <w:hideMark/>
          </w:tcPr>
          <w:p w14:paraId="59EC05DB" w14:textId="77777777" w:rsidR="00B73FDB" w:rsidRPr="00B73FDB" w:rsidRDefault="00B73FDB" w:rsidP="00B73FDB">
            <w:pPr>
              <w:spacing w:after="0" w:line="240" w:lineRule="auto"/>
              <w:rPr>
                <w:rFonts w:cs="Calibri"/>
                <w:sz w:val="18"/>
                <w:szCs w:val="18"/>
                <w:lang w:eastAsia="sk-SK"/>
              </w:rPr>
            </w:pPr>
          </w:p>
        </w:tc>
      </w:tr>
      <w:tr w:rsidR="00B73FDB" w:rsidRPr="00B73FDB" w14:paraId="2DA32EB1" w14:textId="77777777" w:rsidTr="00B73FDB">
        <w:trPr>
          <w:tblCellSpacing w:w="15" w:type="dxa"/>
        </w:trPr>
        <w:tc>
          <w:tcPr>
            <w:tcW w:w="266" w:type="pct"/>
            <w:shd w:val="clear" w:color="auto" w:fill="EFEFEF"/>
            <w:noWrap/>
            <w:vAlign w:val="center"/>
            <w:hideMark/>
          </w:tcPr>
          <w:p w14:paraId="59FEA53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1915A8A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6EF37E1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228 957,00 </w:t>
            </w:r>
          </w:p>
        </w:tc>
        <w:tc>
          <w:tcPr>
            <w:tcW w:w="563" w:type="pct"/>
            <w:shd w:val="clear" w:color="auto" w:fill="EFEFEF"/>
            <w:noWrap/>
            <w:vAlign w:val="center"/>
            <w:hideMark/>
          </w:tcPr>
          <w:p w14:paraId="0E39CC8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219 973,38 </w:t>
            </w:r>
          </w:p>
        </w:tc>
        <w:tc>
          <w:tcPr>
            <w:tcW w:w="504" w:type="pct"/>
            <w:shd w:val="clear" w:color="auto" w:fill="EFEFEF"/>
            <w:noWrap/>
            <w:vAlign w:val="center"/>
            <w:hideMark/>
          </w:tcPr>
          <w:p w14:paraId="5A68B85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219 973,38 </w:t>
            </w:r>
          </w:p>
        </w:tc>
        <w:tc>
          <w:tcPr>
            <w:tcW w:w="563" w:type="pct"/>
            <w:shd w:val="clear" w:color="auto" w:fill="EFEFEF"/>
            <w:noWrap/>
            <w:vAlign w:val="center"/>
            <w:hideMark/>
          </w:tcPr>
          <w:p w14:paraId="7E7535F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2" w:type="pct"/>
            <w:vMerge/>
            <w:shd w:val="clear" w:color="auto" w:fill="EFEFEF"/>
            <w:vAlign w:val="center"/>
            <w:hideMark/>
          </w:tcPr>
          <w:p w14:paraId="71A3A2A3" w14:textId="77777777" w:rsidR="00B73FDB" w:rsidRPr="00B73FDB" w:rsidRDefault="00B73FDB" w:rsidP="00B73FDB">
            <w:pPr>
              <w:spacing w:after="0" w:line="240" w:lineRule="auto"/>
              <w:rPr>
                <w:rFonts w:cs="Calibri"/>
                <w:sz w:val="18"/>
                <w:szCs w:val="18"/>
                <w:lang w:eastAsia="sk-SK"/>
              </w:rPr>
            </w:pPr>
          </w:p>
        </w:tc>
      </w:tr>
      <w:tr w:rsidR="00B73FDB" w:rsidRPr="00B73FDB" w14:paraId="19232199" w14:textId="77777777" w:rsidTr="00B73FDB">
        <w:trPr>
          <w:tblCellSpacing w:w="15" w:type="dxa"/>
        </w:trPr>
        <w:tc>
          <w:tcPr>
            <w:tcW w:w="266" w:type="pct"/>
            <w:shd w:val="clear" w:color="auto" w:fill="EFEFEF"/>
            <w:noWrap/>
            <w:vAlign w:val="center"/>
            <w:hideMark/>
          </w:tcPr>
          <w:p w14:paraId="6843104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6FD4FED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59413FA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133 884,00 </w:t>
            </w:r>
          </w:p>
        </w:tc>
        <w:tc>
          <w:tcPr>
            <w:tcW w:w="563" w:type="pct"/>
            <w:shd w:val="clear" w:color="auto" w:fill="EFEFEF"/>
            <w:noWrap/>
            <w:vAlign w:val="center"/>
            <w:hideMark/>
          </w:tcPr>
          <w:p w14:paraId="37345A9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138 271,51 </w:t>
            </w:r>
          </w:p>
        </w:tc>
        <w:tc>
          <w:tcPr>
            <w:tcW w:w="504" w:type="pct"/>
            <w:shd w:val="clear" w:color="auto" w:fill="EFEFEF"/>
            <w:noWrap/>
            <w:vAlign w:val="center"/>
            <w:hideMark/>
          </w:tcPr>
          <w:p w14:paraId="6E831F2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126 532,65 </w:t>
            </w:r>
          </w:p>
        </w:tc>
        <w:tc>
          <w:tcPr>
            <w:tcW w:w="563" w:type="pct"/>
            <w:shd w:val="clear" w:color="auto" w:fill="EFEFEF"/>
            <w:noWrap/>
            <w:vAlign w:val="center"/>
            <w:hideMark/>
          </w:tcPr>
          <w:p w14:paraId="374FEB8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91,51 </w:t>
            </w:r>
          </w:p>
        </w:tc>
        <w:tc>
          <w:tcPr>
            <w:tcW w:w="1132" w:type="pct"/>
            <w:vMerge/>
            <w:shd w:val="clear" w:color="auto" w:fill="EFEFEF"/>
            <w:vAlign w:val="center"/>
            <w:hideMark/>
          </w:tcPr>
          <w:p w14:paraId="100B35FF" w14:textId="77777777" w:rsidR="00B73FDB" w:rsidRPr="00B73FDB" w:rsidRDefault="00B73FDB" w:rsidP="00B73FDB">
            <w:pPr>
              <w:spacing w:after="0" w:line="240" w:lineRule="auto"/>
              <w:rPr>
                <w:rFonts w:cs="Calibri"/>
                <w:sz w:val="18"/>
                <w:szCs w:val="18"/>
                <w:lang w:eastAsia="sk-SK"/>
              </w:rPr>
            </w:pPr>
          </w:p>
        </w:tc>
      </w:tr>
    </w:tbl>
    <w:p w14:paraId="73CCB9A1"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2CBE1441" w14:textId="77777777" w:rsidTr="00B73FDB">
        <w:trPr>
          <w:tblCellSpacing w:w="15" w:type="dxa"/>
        </w:trPr>
        <w:tc>
          <w:tcPr>
            <w:tcW w:w="0" w:type="auto"/>
            <w:shd w:val="clear" w:color="auto" w:fill="C2D69B"/>
            <w:vAlign w:val="center"/>
            <w:hideMark/>
          </w:tcPr>
          <w:p w14:paraId="0FFA478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F96F19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81B8F4A" w14:textId="77777777" w:rsidTr="00B73FDB">
        <w:trPr>
          <w:tblCellSpacing w:w="15" w:type="dxa"/>
        </w:trPr>
        <w:tc>
          <w:tcPr>
            <w:tcW w:w="0" w:type="auto"/>
            <w:shd w:val="clear" w:color="auto" w:fill="C2D69B"/>
            <w:vAlign w:val="center"/>
            <w:hideMark/>
          </w:tcPr>
          <w:p w14:paraId="131BCD8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CA81AD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05DAB2CD" w14:textId="77777777" w:rsidTr="00B73FDB">
        <w:trPr>
          <w:tblCellSpacing w:w="15" w:type="dxa"/>
        </w:trPr>
        <w:tc>
          <w:tcPr>
            <w:tcW w:w="0" w:type="auto"/>
            <w:shd w:val="clear" w:color="auto" w:fill="C2D69B"/>
            <w:vAlign w:val="center"/>
            <w:hideMark/>
          </w:tcPr>
          <w:p w14:paraId="6454DF2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701A9C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BC0521A" w14:textId="77777777" w:rsidTr="00B73FDB">
        <w:trPr>
          <w:tblCellSpacing w:w="15" w:type="dxa"/>
        </w:trPr>
        <w:tc>
          <w:tcPr>
            <w:tcW w:w="0" w:type="auto"/>
            <w:shd w:val="clear" w:color="auto" w:fill="C2D69B"/>
            <w:vAlign w:val="center"/>
            <w:hideMark/>
          </w:tcPr>
          <w:p w14:paraId="320A19D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88E563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78EB1F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84ECBE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1F0BE4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1CA3457" w14:textId="77777777" w:rsidTr="00B73FDB">
        <w:trPr>
          <w:tblCellSpacing w:w="15" w:type="dxa"/>
        </w:trPr>
        <w:tc>
          <w:tcPr>
            <w:tcW w:w="0" w:type="auto"/>
            <w:shd w:val="clear" w:color="auto" w:fill="C2D69B"/>
            <w:vAlign w:val="center"/>
            <w:hideMark/>
          </w:tcPr>
          <w:p w14:paraId="4C1AA50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539176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365 </w:t>
            </w:r>
          </w:p>
        </w:tc>
        <w:tc>
          <w:tcPr>
            <w:tcW w:w="0" w:type="auto"/>
            <w:shd w:val="clear" w:color="auto" w:fill="C2D69B"/>
            <w:noWrap/>
            <w:vAlign w:val="center"/>
            <w:hideMark/>
          </w:tcPr>
          <w:p w14:paraId="6A44279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417 </w:t>
            </w:r>
          </w:p>
        </w:tc>
        <w:tc>
          <w:tcPr>
            <w:tcW w:w="0" w:type="auto"/>
            <w:shd w:val="clear" w:color="auto" w:fill="C2D69B"/>
            <w:vAlign w:val="center"/>
            <w:hideMark/>
          </w:tcPr>
          <w:p w14:paraId="53B046F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C9E5907"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41458174" w14:textId="77777777" w:rsidTr="00B73FDB">
        <w:trPr>
          <w:tblCellSpacing w:w="15" w:type="dxa"/>
        </w:trPr>
        <w:tc>
          <w:tcPr>
            <w:tcW w:w="0" w:type="auto"/>
            <w:shd w:val="clear" w:color="auto" w:fill="C2D69B"/>
            <w:vAlign w:val="center"/>
            <w:hideMark/>
          </w:tcPr>
          <w:p w14:paraId="5546BC6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5B7A51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6F206ED6" w14:textId="77777777" w:rsidTr="00B73FDB">
        <w:trPr>
          <w:tblCellSpacing w:w="15" w:type="dxa"/>
        </w:trPr>
        <w:tc>
          <w:tcPr>
            <w:tcW w:w="0" w:type="auto"/>
            <w:shd w:val="clear" w:color="auto" w:fill="C2D69B"/>
            <w:vAlign w:val="center"/>
            <w:hideMark/>
          </w:tcPr>
          <w:p w14:paraId="2284230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240558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91DE64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B18CBA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14A6C1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88DFC29" w14:textId="77777777" w:rsidTr="00B73FDB">
        <w:trPr>
          <w:tblCellSpacing w:w="15" w:type="dxa"/>
        </w:trPr>
        <w:tc>
          <w:tcPr>
            <w:tcW w:w="0" w:type="auto"/>
            <w:shd w:val="clear" w:color="auto" w:fill="C2D69B"/>
            <w:vAlign w:val="center"/>
            <w:hideMark/>
          </w:tcPr>
          <w:p w14:paraId="4A48FD7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D3032C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365 </w:t>
            </w:r>
          </w:p>
        </w:tc>
        <w:tc>
          <w:tcPr>
            <w:tcW w:w="0" w:type="auto"/>
            <w:shd w:val="clear" w:color="auto" w:fill="C2D69B"/>
            <w:noWrap/>
            <w:vAlign w:val="center"/>
            <w:hideMark/>
          </w:tcPr>
          <w:p w14:paraId="6D186B0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412 </w:t>
            </w:r>
          </w:p>
        </w:tc>
        <w:tc>
          <w:tcPr>
            <w:tcW w:w="0" w:type="auto"/>
            <w:shd w:val="clear" w:color="auto" w:fill="C2D69B"/>
            <w:vAlign w:val="center"/>
            <w:hideMark/>
          </w:tcPr>
          <w:p w14:paraId="5CD000F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2C271A1" w14:textId="77777777" w:rsidR="00B73FDB" w:rsidRPr="00B73FDB" w:rsidRDefault="00B73FDB" w:rsidP="00B73FDB">
            <w:pPr>
              <w:spacing w:after="0" w:line="240" w:lineRule="auto"/>
              <w:jc w:val="center"/>
              <w:rPr>
                <w:rFonts w:cs="Calibri"/>
                <w:sz w:val="18"/>
                <w:szCs w:val="18"/>
                <w:lang w:eastAsia="sk-SK"/>
              </w:rPr>
            </w:pPr>
          </w:p>
        </w:tc>
      </w:tr>
    </w:tbl>
    <w:p w14:paraId="2A0FA675"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Poskytuje všeobecné vzdelanie v 4-ročnej forme štúdia so zameraním na cudzie jazyky a prírodné vedy. Od 1. 9. 2015 má zaradené do siete 5-ročné bilingválne gymnázium s vyučovacím jazykom ruským. </w:t>
      </w:r>
    </w:p>
    <w:p w14:paraId="3571B01E"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8.2.13: Stredná športová škola, </w:t>
      </w:r>
      <w:proofErr w:type="spellStart"/>
      <w:r w:rsidRPr="00B73FDB">
        <w:rPr>
          <w:rFonts w:ascii="Calibri" w:hAnsi="Calibri" w:cs="Calibri"/>
          <w:b/>
          <w:color w:val="244061"/>
        </w:rPr>
        <w:t>Ostredkova</w:t>
      </w:r>
      <w:proofErr w:type="spellEnd"/>
      <w:r w:rsidRPr="00B73FDB">
        <w:rPr>
          <w:rFonts w:ascii="Calibri" w:hAnsi="Calibri" w:cs="Calibri"/>
          <w:b/>
          <w:color w:val="244061"/>
        </w:rPr>
        <w:t xml:space="preserve"> 10,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4"/>
        <w:gridCol w:w="1212"/>
        <w:gridCol w:w="1212"/>
        <w:gridCol w:w="1063"/>
        <w:gridCol w:w="1212"/>
        <w:gridCol w:w="2428"/>
      </w:tblGrid>
      <w:tr w:rsidR="00B73FDB" w:rsidRPr="00B73FDB" w14:paraId="24D63A60" w14:textId="77777777" w:rsidTr="00B73FDB">
        <w:trPr>
          <w:tblCellSpacing w:w="15" w:type="dxa"/>
        </w:trPr>
        <w:tc>
          <w:tcPr>
            <w:tcW w:w="267" w:type="pct"/>
            <w:shd w:val="clear" w:color="auto" w:fill="C6DBF7"/>
            <w:vAlign w:val="center"/>
            <w:hideMark/>
          </w:tcPr>
          <w:p w14:paraId="657E520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3A1DBC4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21CD7C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6336286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3" w:type="pct"/>
            <w:shd w:val="clear" w:color="auto" w:fill="C6DBF7"/>
            <w:vAlign w:val="center"/>
            <w:hideMark/>
          </w:tcPr>
          <w:p w14:paraId="2FBA0DC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0FAE806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347FC5D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35965FC" w14:textId="77777777" w:rsidTr="00B73FDB">
        <w:trPr>
          <w:tblCellSpacing w:w="15" w:type="dxa"/>
        </w:trPr>
        <w:tc>
          <w:tcPr>
            <w:tcW w:w="267" w:type="pct"/>
            <w:shd w:val="clear" w:color="auto" w:fill="D9D9D9"/>
            <w:noWrap/>
            <w:vAlign w:val="center"/>
            <w:hideMark/>
          </w:tcPr>
          <w:p w14:paraId="498A4A38"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594E1BE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2491A41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1 304 199,00</w:t>
            </w:r>
            <w:r w:rsidRPr="00B73FDB">
              <w:rPr>
                <w:rFonts w:cs="Calibri"/>
                <w:sz w:val="18"/>
                <w:szCs w:val="18"/>
                <w:lang w:eastAsia="sk-SK"/>
              </w:rPr>
              <w:t xml:space="preserve"> </w:t>
            </w:r>
          </w:p>
        </w:tc>
        <w:tc>
          <w:tcPr>
            <w:tcW w:w="564" w:type="pct"/>
            <w:shd w:val="clear" w:color="auto" w:fill="D9D9D9"/>
            <w:noWrap/>
            <w:vAlign w:val="center"/>
            <w:hideMark/>
          </w:tcPr>
          <w:p w14:paraId="0251F10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858 458,17</w:t>
            </w:r>
            <w:r w:rsidRPr="00B73FDB">
              <w:rPr>
                <w:rFonts w:cs="Calibri"/>
                <w:sz w:val="18"/>
                <w:szCs w:val="18"/>
                <w:lang w:eastAsia="sk-SK"/>
              </w:rPr>
              <w:t xml:space="preserve"> </w:t>
            </w:r>
          </w:p>
        </w:tc>
        <w:tc>
          <w:tcPr>
            <w:tcW w:w="493" w:type="pct"/>
            <w:shd w:val="clear" w:color="auto" w:fill="D9D9D9"/>
            <w:noWrap/>
            <w:vAlign w:val="center"/>
            <w:hideMark/>
          </w:tcPr>
          <w:p w14:paraId="1C97B8F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858 458,17</w:t>
            </w:r>
            <w:r w:rsidRPr="00B73FDB">
              <w:rPr>
                <w:rFonts w:cs="Calibri"/>
                <w:sz w:val="18"/>
                <w:szCs w:val="18"/>
                <w:lang w:eastAsia="sk-SK"/>
              </w:rPr>
              <w:t xml:space="preserve"> </w:t>
            </w:r>
          </w:p>
        </w:tc>
        <w:tc>
          <w:tcPr>
            <w:tcW w:w="564" w:type="pct"/>
            <w:shd w:val="clear" w:color="auto" w:fill="D9D9D9"/>
            <w:noWrap/>
            <w:vAlign w:val="center"/>
            <w:hideMark/>
          </w:tcPr>
          <w:p w14:paraId="039F8A0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1A7F75D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+212 274,00 EUR</w:t>
            </w:r>
            <w:r w:rsidRPr="00B73FDB">
              <w:rPr>
                <w:rFonts w:cs="Calibri"/>
                <w:sz w:val="18"/>
                <w:szCs w:val="18"/>
                <w:lang w:eastAsia="sk-SK"/>
              </w:rPr>
              <w:t xml:space="preserve"> normatívne finančné prostriedky,</w:t>
            </w:r>
          </w:p>
          <w:p w14:paraId="26D90C5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+229,00 EUR</w:t>
            </w:r>
            <w:r w:rsidRPr="00B73FDB">
              <w:rPr>
                <w:rFonts w:cs="Calibri"/>
                <w:sz w:val="18"/>
                <w:szCs w:val="18"/>
                <w:lang w:eastAsia="sk-SK"/>
              </w:rPr>
              <w:t xml:space="preserve"> normatívne finančné prostriedky na maturity,</w:t>
            </w:r>
          </w:p>
          <w:p w14:paraId="6FBACE1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+450,00 EUR</w:t>
            </w:r>
            <w:r w:rsidRPr="00B73FDB">
              <w:rPr>
                <w:rFonts w:cs="Calibri"/>
                <w:sz w:val="18"/>
                <w:szCs w:val="18"/>
                <w:lang w:eastAsia="sk-SK"/>
              </w:rPr>
              <w:t xml:space="preserve"> nenormatívne finančné prostriedky na lyžiarske kurzy,</w:t>
            </w:r>
          </w:p>
          <w:p w14:paraId="6C80ADC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+7 773,74 EUR</w:t>
            </w:r>
            <w:r w:rsidRPr="00B73FDB">
              <w:rPr>
                <w:rFonts w:cs="Calibri"/>
                <w:sz w:val="18"/>
                <w:szCs w:val="18"/>
                <w:lang w:eastAsia="sk-SK"/>
              </w:rPr>
              <w:t xml:space="preserve"> nevyčerpané finančné prostriedky z r. 2019,</w:t>
            </w:r>
          </w:p>
          <w:p w14:paraId="1F96B2E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-666 467,57 EUR</w:t>
            </w:r>
            <w:r w:rsidRPr="00B73FDB">
              <w:rPr>
                <w:rFonts w:cs="Calibri"/>
                <w:sz w:val="18"/>
                <w:szCs w:val="18"/>
                <w:lang w:eastAsia="sk-SK"/>
              </w:rPr>
              <w:t xml:space="preserve"> vysporiadanie rozpočtu na skutočnosť – zrušenie organizácie.</w:t>
            </w:r>
          </w:p>
        </w:tc>
      </w:tr>
      <w:tr w:rsidR="00B73FDB" w:rsidRPr="00B73FDB" w14:paraId="2D14B098" w14:textId="77777777" w:rsidTr="00B73FDB">
        <w:trPr>
          <w:tblCellSpacing w:w="15" w:type="dxa"/>
        </w:trPr>
        <w:tc>
          <w:tcPr>
            <w:tcW w:w="267" w:type="pct"/>
            <w:shd w:val="clear" w:color="auto" w:fill="D9D9D9"/>
            <w:noWrap/>
            <w:vAlign w:val="center"/>
            <w:hideMark/>
          </w:tcPr>
          <w:p w14:paraId="47AA653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6EFAB63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232C584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1 304 199,00</w:t>
            </w:r>
            <w:r w:rsidRPr="00B73FDB">
              <w:rPr>
                <w:rFonts w:cs="Calibri"/>
                <w:sz w:val="18"/>
                <w:szCs w:val="18"/>
                <w:lang w:eastAsia="sk-SK"/>
              </w:rPr>
              <w:t xml:space="preserve"> </w:t>
            </w:r>
          </w:p>
        </w:tc>
        <w:tc>
          <w:tcPr>
            <w:tcW w:w="564" w:type="pct"/>
            <w:shd w:val="clear" w:color="auto" w:fill="D9D9D9"/>
            <w:noWrap/>
            <w:vAlign w:val="center"/>
            <w:hideMark/>
          </w:tcPr>
          <w:p w14:paraId="7742A98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858 458,17</w:t>
            </w:r>
            <w:r w:rsidRPr="00B73FDB">
              <w:rPr>
                <w:rFonts w:cs="Calibri"/>
                <w:sz w:val="18"/>
                <w:szCs w:val="18"/>
                <w:lang w:eastAsia="sk-SK"/>
              </w:rPr>
              <w:t xml:space="preserve"> </w:t>
            </w:r>
          </w:p>
        </w:tc>
        <w:tc>
          <w:tcPr>
            <w:tcW w:w="493" w:type="pct"/>
            <w:shd w:val="clear" w:color="auto" w:fill="D9D9D9"/>
            <w:noWrap/>
            <w:vAlign w:val="center"/>
            <w:hideMark/>
          </w:tcPr>
          <w:p w14:paraId="536E79C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858 458,17</w:t>
            </w:r>
            <w:r w:rsidRPr="00B73FDB">
              <w:rPr>
                <w:rFonts w:cs="Calibri"/>
                <w:sz w:val="18"/>
                <w:szCs w:val="18"/>
                <w:lang w:eastAsia="sk-SK"/>
              </w:rPr>
              <w:t xml:space="preserve"> </w:t>
            </w:r>
          </w:p>
        </w:tc>
        <w:tc>
          <w:tcPr>
            <w:tcW w:w="564" w:type="pct"/>
            <w:shd w:val="clear" w:color="auto" w:fill="D9D9D9"/>
            <w:noWrap/>
            <w:vAlign w:val="center"/>
            <w:hideMark/>
          </w:tcPr>
          <w:p w14:paraId="5043C50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52EB6F2B" w14:textId="77777777" w:rsidR="00B73FDB" w:rsidRPr="00B73FDB" w:rsidRDefault="00B73FDB" w:rsidP="00B73FDB">
            <w:pPr>
              <w:spacing w:after="0" w:line="240" w:lineRule="auto"/>
              <w:rPr>
                <w:rFonts w:cs="Calibri"/>
                <w:sz w:val="18"/>
                <w:szCs w:val="18"/>
                <w:lang w:eastAsia="sk-SK"/>
              </w:rPr>
            </w:pPr>
          </w:p>
        </w:tc>
      </w:tr>
      <w:tr w:rsidR="00B73FDB" w:rsidRPr="00B73FDB" w14:paraId="168D37B6" w14:textId="77777777" w:rsidTr="00B73FDB">
        <w:trPr>
          <w:tblCellSpacing w:w="15" w:type="dxa"/>
        </w:trPr>
        <w:tc>
          <w:tcPr>
            <w:tcW w:w="267" w:type="pct"/>
            <w:shd w:val="clear" w:color="auto" w:fill="EFEFEF"/>
            <w:noWrap/>
            <w:vAlign w:val="center"/>
            <w:hideMark/>
          </w:tcPr>
          <w:p w14:paraId="0DC7873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3A9C2F1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14C654F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737 612,00 </w:t>
            </w:r>
          </w:p>
        </w:tc>
        <w:tc>
          <w:tcPr>
            <w:tcW w:w="564" w:type="pct"/>
            <w:shd w:val="clear" w:color="auto" w:fill="EFEFEF"/>
            <w:noWrap/>
            <w:vAlign w:val="center"/>
            <w:hideMark/>
          </w:tcPr>
          <w:p w14:paraId="17B6BE5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517 333,25 </w:t>
            </w:r>
          </w:p>
        </w:tc>
        <w:tc>
          <w:tcPr>
            <w:tcW w:w="493" w:type="pct"/>
            <w:shd w:val="clear" w:color="auto" w:fill="EFEFEF"/>
            <w:noWrap/>
            <w:vAlign w:val="center"/>
            <w:hideMark/>
          </w:tcPr>
          <w:p w14:paraId="58B08F9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517 333,25 </w:t>
            </w:r>
          </w:p>
        </w:tc>
        <w:tc>
          <w:tcPr>
            <w:tcW w:w="564" w:type="pct"/>
            <w:shd w:val="clear" w:color="auto" w:fill="EFEFEF"/>
            <w:noWrap/>
            <w:vAlign w:val="center"/>
            <w:hideMark/>
          </w:tcPr>
          <w:p w14:paraId="0882072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F590E79" w14:textId="77777777" w:rsidR="00B73FDB" w:rsidRPr="00B73FDB" w:rsidRDefault="00B73FDB" w:rsidP="00B73FDB">
            <w:pPr>
              <w:spacing w:after="0" w:line="240" w:lineRule="auto"/>
              <w:rPr>
                <w:rFonts w:cs="Calibri"/>
                <w:sz w:val="18"/>
                <w:szCs w:val="18"/>
                <w:lang w:eastAsia="sk-SK"/>
              </w:rPr>
            </w:pPr>
          </w:p>
        </w:tc>
      </w:tr>
      <w:tr w:rsidR="00B73FDB" w:rsidRPr="00B73FDB" w14:paraId="0101CFB8" w14:textId="77777777" w:rsidTr="00B73FDB">
        <w:trPr>
          <w:tblCellSpacing w:w="15" w:type="dxa"/>
        </w:trPr>
        <w:tc>
          <w:tcPr>
            <w:tcW w:w="267" w:type="pct"/>
            <w:shd w:val="clear" w:color="auto" w:fill="EFEFEF"/>
            <w:noWrap/>
            <w:vAlign w:val="center"/>
            <w:hideMark/>
          </w:tcPr>
          <w:p w14:paraId="429F0F6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6B1F4E9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2B16E51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276 626,00 </w:t>
            </w:r>
          </w:p>
        </w:tc>
        <w:tc>
          <w:tcPr>
            <w:tcW w:w="564" w:type="pct"/>
            <w:shd w:val="clear" w:color="auto" w:fill="EFEFEF"/>
            <w:noWrap/>
            <w:vAlign w:val="center"/>
            <w:hideMark/>
          </w:tcPr>
          <w:p w14:paraId="285EEB3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176 415,50 </w:t>
            </w:r>
          </w:p>
        </w:tc>
        <w:tc>
          <w:tcPr>
            <w:tcW w:w="493" w:type="pct"/>
            <w:shd w:val="clear" w:color="auto" w:fill="EFEFEF"/>
            <w:noWrap/>
            <w:vAlign w:val="center"/>
            <w:hideMark/>
          </w:tcPr>
          <w:p w14:paraId="5C7334C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176 415,50 </w:t>
            </w:r>
          </w:p>
        </w:tc>
        <w:tc>
          <w:tcPr>
            <w:tcW w:w="564" w:type="pct"/>
            <w:shd w:val="clear" w:color="auto" w:fill="EFEFEF"/>
            <w:noWrap/>
            <w:vAlign w:val="center"/>
            <w:hideMark/>
          </w:tcPr>
          <w:p w14:paraId="4ABC001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95D7297" w14:textId="77777777" w:rsidR="00B73FDB" w:rsidRPr="00B73FDB" w:rsidRDefault="00B73FDB" w:rsidP="00B73FDB">
            <w:pPr>
              <w:spacing w:after="0" w:line="240" w:lineRule="auto"/>
              <w:rPr>
                <w:rFonts w:cs="Calibri"/>
                <w:sz w:val="18"/>
                <w:szCs w:val="18"/>
                <w:lang w:eastAsia="sk-SK"/>
              </w:rPr>
            </w:pPr>
          </w:p>
        </w:tc>
      </w:tr>
      <w:tr w:rsidR="00B73FDB" w:rsidRPr="00B73FDB" w14:paraId="58966DA9" w14:textId="77777777" w:rsidTr="00B73FDB">
        <w:trPr>
          <w:tblCellSpacing w:w="15" w:type="dxa"/>
        </w:trPr>
        <w:tc>
          <w:tcPr>
            <w:tcW w:w="267" w:type="pct"/>
            <w:shd w:val="clear" w:color="auto" w:fill="EFEFEF"/>
            <w:noWrap/>
            <w:vAlign w:val="center"/>
            <w:hideMark/>
          </w:tcPr>
          <w:p w14:paraId="3D8A768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03F2B54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112015C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289 961,00 </w:t>
            </w:r>
          </w:p>
        </w:tc>
        <w:tc>
          <w:tcPr>
            <w:tcW w:w="564" w:type="pct"/>
            <w:shd w:val="clear" w:color="auto" w:fill="EFEFEF"/>
            <w:noWrap/>
            <w:vAlign w:val="center"/>
            <w:hideMark/>
          </w:tcPr>
          <w:p w14:paraId="16EFDEE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164 499,22 </w:t>
            </w:r>
          </w:p>
        </w:tc>
        <w:tc>
          <w:tcPr>
            <w:tcW w:w="493" w:type="pct"/>
            <w:shd w:val="clear" w:color="auto" w:fill="EFEFEF"/>
            <w:noWrap/>
            <w:vAlign w:val="center"/>
            <w:hideMark/>
          </w:tcPr>
          <w:p w14:paraId="0B47814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164 499,22 </w:t>
            </w:r>
          </w:p>
        </w:tc>
        <w:tc>
          <w:tcPr>
            <w:tcW w:w="564" w:type="pct"/>
            <w:shd w:val="clear" w:color="auto" w:fill="EFEFEF"/>
            <w:noWrap/>
            <w:vAlign w:val="center"/>
            <w:hideMark/>
          </w:tcPr>
          <w:p w14:paraId="5136C16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CA672FF" w14:textId="77777777" w:rsidR="00B73FDB" w:rsidRPr="00B73FDB" w:rsidRDefault="00B73FDB" w:rsidP="00B73FDB">
            <w:pPr>
              <w:spacing w:after="0" w:line="240" w:lineRule="auto"/>
              <w:rPr>
                <w:rFonts w:cs="Calibri"/>
                <w:sz w:val="18"/>
                <w:szCs w:val="18"/>
                <w:lang w:eastAsia="sk-SK"/>
              </w:rPr>
            </w:pPr>
          </w:p>
        </w:tc>
      </w:tr>
    </w:tbl>
    <w:p w14:paraId="1DF9E21C"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 xml:space="preserve">Stredná športová škola, </w:t>
      </w:r>
      <w:proofErr w:type="spellStart"/>
      <w:r w:rsidRPr="00B73FDB">
        <w:rPr>
          <w:rFonts w:cs="Calibri"/>
          <w:sz w:val="24"/>
          <w:szCs w:val="24"/>
          <w:lang w:eastAsia="sk-SK"/>
        </w:rPr>
        <w:t>Ostredkova</w:t>
      </w:r>
      <w:proofErr w:type="spellEnd"/>
      <w:r w:rsidRPr="00B73FDB">
        <w:rPr>
          <w:rFonts w:cs="Calibri"/>
          <w:sz w:val="24"/>
          <w:szCs w:val="24"/>
          <w:lang w:eastAsia="sk-SK"/>
        </w:rPr>
        <w:t xml:space="preserve"> 10 sa 3.9.2020 stala súčasťou Spojenej školy, </w:t>
      </w:r>
      <w:proofErr w:type="spellStart"/>
      <w:r w:rsidRPr="00B73FDB">
        <w:rPr>
          <w:rFonts w:cs="Calibri"/>
          <w:sz w:val="24"/>
          <w:szCs w:val="24"/>
          <w:lang w:eastAsia="sk-SK"/>
        </w:rPr>
        <w:t>Ostredkova</w:t>
      </w:r>
      <w:proofErr w:type="spellEnd"/>
      <w:r w:rsidRPr="00B73FDB">
        <w:rPr>
          <w:rFonts w:cs="Calibri"/>
          <w:sz w:val="24"/>
          <w:szCs w:val="24"/>
          <w:lang w:eastAsia="sk-SK"/>
        </w:rPr>
        <w:t xml:space="preserve"> 10 s dvoma organizačnými zložkami základná škola a stredná športová škola. Žiaci sú zohľadnení pod prvkom 8.3.46 (zmena právneho subjektu od 9/2020). Rozpočet uvádzame do 31.8.2020.</w:t>
      </w:r>
    </w:p>
    <w:p w14:paraId="16640D5D"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8.2.14: Gymnázium K. Štúra, Nám. Slobody 5, Modra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4"/>
        <w:gridCol w:w="1212"/>
        <w:gridCol w:w="1212"/>
        <w:gridCol w:w="1063"/>
        <w:gridCol w:w="1212"/>
        <w:gridCol w:w="2428"/>
      </w:tblGrid>
      <w:tr w:rsidR="00B73FDB" w:rsidRPr="00B73FDB" w14:paraId="47C0E0D3" w14:textId="77777777" w:rsidTr="00B73FDB">
        <w:trPr>
          <w:tblCellSpacing w:w="15" w:type="dxa"/>
        </w:trPr>
        <w:tc>
          <w:tcPr>
            <w:tcW w:w="267" w:type="pct"/>
            <w:shd w:val="clear" w:color="auto" w:fill="C6DBF7"/>
            <w:vAlign w:val="center"/>
            <w:hideMark/>
          </w:tcPr>
          <w:p w14:paraId="17615D5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0D45863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3F3A3EF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388DC3C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3" w:type="pct"/>
            <w:shd w:val="clear" w:color="auto" w:fill="C6DBF7"/>
            <w:vAlign w:val="center"/>
            <w:hideMark/>
          </w:tcPr>
          <w:p w14:paraId="319B5D9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30613BB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1D3CFCF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10C99975" w14:textId="77777777" w:rsidTr="00B73FDB">
        <w:trPr>
          <w:tblCellSpacing w:w="15" w:type="dxa"/>
        </w:trPr>
        <w:tc>
          <w:tcPr>
            <w:tcW w:w="267" w:type="pct"/>
            <w:shd w:val="clear" w:color="auto" w:fill="D9D9D9"/>
            <w:noWrap/>
            <w:vAlign w:val="center"/>
            <w:hideMark/>
          </w:tcPr>
          <w:p w14:paraId="4D7DE3BB"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7196580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2FBC996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715 432,00</w:t>
            </w:r>
            <w:r w:rsidRPr="00B73FDB">
              <w:rPr>
                <w:rFonts w:cs="Calibri"/>
                <w:sz w:val="18"/>
                <w:szCs w:val="18"/>
                <w:lang w:eastAsia="sk-SK"/>
              </w:rPr>
              <w:t xml:space="preserve"> </w:t>
            </w:r>
          </w:p>
        </w:tc>
        <w:tc>
          <w:tcPr>
            <w:tcW w:w="564" w:type="pct"/>
            <w:shd w:val="clear" w:color="auto" w:fill="D9D9D9"/>
            <w:noWrap/>
            <w:vAlign w:val="center"/>
            <w:hideMark/>
          </w:tcPr>
          <w:p w14:paraId="7155E48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753 795,61</w:t>
            </w:r>
            <w:r w:rsidRPr="00B73FDB">
              <w:rPr>
                <w:rFonts w:cs="Calibri"/>
                <w:sz w:val="18"/>
                <w:szCs w:val="18"/>
                <w:lang w:eastAsia="sk-SK"/>
              </w:rPr>
              <w:t xml:space="preserve"> </w:t>
            </w:r>
          </w:p>
        </w:tc>
        <w:tc>
          <w:tcPr>
            <w:tcW w:w="493" w:type="pct"/>
            <w:shd w:val="clear" w:color="auto" w:fill="D9D9D9"/>
            <w:noWrap/>
            <w:vAlign w:val="center"/>
            <w:hideMark/>
          </w:tcPr>
          <w:p w14:paraId="072DD0C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699 378,33</w:t>
            </w:r>
            <w:r w:rsidRPr="00B73FDB">
              <w:rPr>
                <w:rFonts w:cs="Calibri"/>
                <w:sz w:val="18"/>
                <w:szCs w:val="18"/>
                <w:lang w:eastAsia="sk-SK"/>
              </w:rPr>
              <w:t xml:space="preserve"> </w:t>
            </w:r>
          </w:p>
        </w:tc>
        <w:tc>
          <w:tcPr>
            <w:tcW w:w="564" w:type="pct"/>
            <w:shd w:val="clear" w:color="auto" w:fill="D9D9D9"/>
            <w:noWrap/>
            <w:vAlign w:val="center"/>
            <w:hideMark/>
          </w:tcPr>
          <w:p w14:paraId="03AF87A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92,78</w:t>
            </w:r>
            <w:r w:rsidRPr="00B73FDB">
              <w:rPr>
                <w:rFonts w:cs="Calibri"/>
                <w:sz w:val="18"/>
                <w:szCs w:val="18"/>
                <w:lang w:eastAsia="sk-SK"/>
              </w:rPr>
              <w:t xml:space="preserve"> </w:t>
            </w:r>
          </w:p>
        </w:tc>
        <w:tc>
          <w:tcPr>
            <w:tcW w:w="1136" w:type="pct"/>
            <w:vMerge w:val="restart"/>
            <w:shd w:val="clear" w:color="auto" w:fill="D9D9D9"/>
            <w:vAlign w:val="center"/>
            <w:hideMark/>
          </w:tcPr>
          <w:p w14:paraId="7FF433A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+7 579,00 EUR</w:t>
            </w:r>
            <w:r w:rsidRPr="00B73FDB">
              <w:rPr>
                <w:rFonts w:cs="Calibri"/>
                <w:sz w:val="18"/>
                <w:szCs w:val="18"/>
                <w:lang w:eastAsia="sk-SK"/>
              </w:rPr>
              <w:t xml:space="preserve"> normatívne finančné prostriedky,</w:t>
            </w:r>
          </w:p>
          <w:p w14:paraId="566ECF5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+153,00 EUR</w:t>
            </w:r>
            <w:r w:rsidRPr="00B73FDB">
              <w:rPr>
                <w:rFonts w:cs="Calibri"/>
                <w:sz w:val="18"/>
                <w:szCs w:val="18"/>
                <w:lang w:eastAsia="sk-SK"/>
              </w:rPr>
              <w:t xml:space="preserve"> normatívne finančné prostriedky na maturity,</w:t>
            </w:r>
          </w:p>
          <w:p w14:paraId="7415C4B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+82,00 EUR </w:t>
            </w:r>
            <w:r w:rsidRPr="00B73FDB">
              <w:rPr>
                <w:rFonts w:cs="Calibri"/>
                <w:sz w:val="18"/>
                <w:szCs w:val="18"/>
                <w:lang w:eastAsia="sk-SK"/>
              </w:rPr>
              <w:t>nenormatívne finančné prostriedky na vzdelávacie poukazy,</w:t>
            </w:r>
          </w:p>
          <w:p w14:paraId="0228F84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+1 824,00 EUR</w:t>
            </w:r>
            <w:r w:rsidRPr="00B73FDB">
              <w:rPr>
                <w:rFonts w:cs="Calibri"/>
                <w:sz w:val="18"/>
                <w:szCs w:val="18"/>
                <w:lang w:eastAsia="sk-SK"/>
              </w:rPr>
              <w:t xml:space="preserve"> príspevok na učebnice,</w:t>
            </w:r>
          </w:p>
          <w:p w14:paraId="78C9741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-6 546,00 EUR</w:t>
            </w:r>
            <w:r w:rsidRPr="00B73FDB">
              <w:rPr>
                <w:rFonts w:cs="Calibri"/>
                <w:sz w:val="18"/>
                <w:szCs w:val="18"/>
                <w:lang w:eastAsia="sk-SK"/>
              </w:rPr>
              <w:t xml:space="preserve"> odchodné do dôchodku,</w:t>
            </w:r>
          </w:p>
          <w:p w14:paraId="6376737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-300,00 EUR</w:t>
            </w:r>
            <w:r w:rsidRPr="00B73FDB">
              <w:rPr>
                <w:rFonts w:cs="Calibri"/>
                <w:sz w:val="18"/>
                <w:szCs w:val="18"/>
                <w:lang w:eastAsia="sk-SK"/>
              </w:rPr>
              <w:t xml:space="preserve"> nenormatívne finančné prostriedky na lyžiarske kurzy,</w:t>
            </w:r>
          </w:p>
          <w:p w14:paraId="52386B2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+24,93 EUR</w:t>
            </w:r>
            <w:r w:rsidRPr="00B73FDB">
              <w:rPr>
                <w:rFonts w:cs="Calibri"/>
                <w:sz w:val="18"/>
                <w:szCs w:val="18"/>
                <w:lang w:eastAsia="sk-SK"/>
              </w:rPr>
              <w:t xml:space="preserve"> nevyčerpané finančné prostriedky z r. 2019,</w:t>
            </w:r>
          </w:p>
          <w:p w14:paraId="5972B51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+7 069,64 EUR</w:t>
            </w:r>
            <w:r w:rsidRPr="00B73FDB">
              <w:rPr>
                <w:rFonts w:cs="Calibri"/>
                <w:sz w:val="18"/>
                <w:szCs w:val="18"/>
                <w:lang w:eastAsia="sk-SK"/>
              </w:rPr>
              <w:t xml:space="preserve"> projekt z MPC,</w:t>
            </w:r>
          </w:p>
          <w:p w14:paraId="209A26F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+21 836,00 EUR</w:t>
            </w:r>
            <w:r w:rsidRPr="00B73FDB">
              <w:rPr>
                <w:rFonts w:cs="Calibri"/>
                <w:sz w:val="18"/>
                <w:szCs w:val="18"/>
                <w:lang w:eastAsia="sk-SK"/>
              </w:rPr>
              <w:t xml:space="preserve"> navýšenie rozpočtu projektového účtu,</w:t>
            </w:r>
          </w:p>
          <w:p w14:paraId="54D5DC5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+3 200,00 EUR</w:t>
            </w:r>
            <w:r w:rsidRPr="00B73FDB">
              <w:rPr>
                <w:rFonts w:cs="Calibri"/>
                <w:sz w:val="18"/>
                <w:szCs w:val="18"/>
                <w:lang w:eastAsia="sk-SK"/>
              </w:rPr>
              <w:t xml:space="preserve"> navýšenie rozpočtu darovacieho účtu,</w:t>
            </w:r>
          </w:p>
          <w:p w14:paraId="2B731D8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+1 040,00 EUR</w:t>
            </w:r>
            <w:r w:rsidRPr="00B73FDB">
              <w:rPr>
                <w:rFonts w:cs="Calibri"/>
                <w:sz w:val="18"/>
                <w:szCs w:val="18"/>
                <w:lang w:eastAsia="sk-SK"/>
              </w:rPr>
              <w:t xml:space="preserve"> školské súťaže z OÚ,</w:t>
            </w:r>
          </w:p>
          <w:p w14:paraId="7A40535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+2 401,04 EUR</w:t>
            </w:r>
            <w:r w:rsidRPr="00B73FDB">
              <w:rPr>
                <w:rFonts w:cs="Calibri"/>
                <w:sz w:val="18"/>
                <w:szCs w:val="18"/>
                <w:lang w:eastAsia="sk-SK"/>
              </w:rPr>
              <w:t xml:space="preserve"> príjmy z prenájmov.</w:t>
            </w:r>
          </w:p>
        </w:tc>
      </w:tr>
      <w:tr w:rsidR="00B73FDB" w:rsidRPr="00B73FDB" w14:paraId="2D638BFE" w14:textId="77777777" w:rsidTr="00B73FDB">
        <w:trPr>
          <w:tblCellSpacing w:w="15" w:type="dxa"/>
        </w:trPr>
        <w:tc>
          <w:tcPr>
            <w:tcW w:w="267" w:type="pct"/>
            <w:shd w:val="clear" w:color="auto" w:fill="D9D9D9"/>
            <w:noWrap/>
            <w:vAlign w:val="center"/>
            <w:hideMark/>
          </w:tcPr>
          <w:p w14:paraId="2110CC3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1C76072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76FC77F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715 432,00</w:t>
            </w:r>
            <w:r w:rsidRPr="00B73FDB">
              <w:rPr>
                <w:rFonts w:cs="Calibri"/>
                <w:sz w:val="18"/>
                <w:szCs w:val="18"/>
                <w:lang w:eastAsia="sk-SK"/>
              </w:rPr>
              <w:t xml:space="preserve"> </w:t>
            </w:r>
          </w:p>
        </w:tc>
        <w:tc>
          <w:tcPr>
            <w:tcW w:w="564" w:type="pct"/>
            <w:shd w:val="clear" w:color="auto" w:fill="D9D9D9"/>
            <w:noWrap/>
            <w:vAlign w:val="center"/>
            <w:hideMark/>
          </w:tcPr>
          <w:p w14:paraId="4E925B8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753 795,61</w:t>
            </w:r>
            <w:r w:rsidRPr="00B73FDB">
              <w:rPr>
                <w:rFonts w:cs="Calibri"/>
                <w:sz w:val="18"/>
                <w:szCs w:val="18"/>
                <w:lang w:eastAsia="sk-SK"/>
              </w:rPr>
              <w:t xml:space="preserve"> </w:t>
            </w:r>
          </w:p>
        </w:tc>
        <w:tc>
          <w:tcPr>
            <w:tcW w:w="493" w:type="pct"/>
            <w:shd w:val="clear" w:color="auto" w:fill="D9D9D9"/>
            <w:noWrap/>
            <w:vAlign w:val="center"/>
            <w:hideMark/>
          </w:tcPr>
          <w:p w14:paraId="5FCE110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699 378,33</w:t>
            </w:r>
            <w:r w:rsidRPr="00B73FDB">
              <w:rPr>
                <w:rFonts w:cs="Calibri"/>
                <w:sz w:val="18"/>
                <w:szCs w:val="18"/>
                <w:lang w:eastAsia="sk-SK"/>
              </w:rPr>
              <w:t xml:space="preserve"> </w:t>
            </w:r>
          </w:p>
        </w:tc>
        <w:tc>
          <w:tcPr>
            <w:tcW w:w="564" w:type="pct"/>
            <w:shd w:val="clear" w:color="auto" w:fill="D9D9D9"/>
            <w:noWrap/>
            <w:vAlign w:val="center"/>
            <w:hideMark/>
          </w:tcPr>
          <w:p w14:paraId="7F6F075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92,78</w:t>
            </w:r>
            <w:r w:rsidRPr="00B73FDB">
              <w:rPr>
                <w:rFonts w:cs="Calibri"/>
                <w:sz w:val="18"/>
                <w:szCs w:val="18"/>
                <w:lang w:eastAsia="sk-SK"/>
              </w:rPr>
              <w:t xml:space="preserve"> </w:t>
            </w:r>
          </w:p>
        </w:tc>
        <w:tc>
          <w:tcPr>
            <w:tcW w:w="1136" w:type="pct"/>
            <w:vMerge/>
            <w:shd w:val="clear" w:color="auto" w:fill="D9D9D9"/>
            <w:vAlign w:val="center"/>
            <w:hideMark/>
          </w:tcPr>
          <w:p w14:paraId="617A56DF"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701782DC" w14:textId="77777777" w:rsidTr="00B73FDB">
        <w:trPr>
          <w:tblCellSpacing w:w="15" w:type="dxa"/>
        </w:trPr>
        <w:tc>
          <w:tcPr>
            <w:tcW w:w="267" w:type="pct"/>
            <w:shd w:val="clear" w:color="auto" w:fill="EFEFEF"/>
            <w:noWrap/>
            <w:vAlign w:val="center"/>
            <w:hideMark/>
          </w:tcPr>
          <w:p w14:paraId="5EFE671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60C5B2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1B65529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482 057,00 </w:t>
            </w:r>
          </w:p>
        </w:tc>
        <w:tc>
          <w:tcPr>
            <w:tcW w:w="564" w:type="pct"/>
            <w:shd w:val="clear" w:color="auto" w:fill="EFEFEF"/>
            <w:noWrap/>
            <w:vAlign w:val="center"/>
            <w:hideMark/>
          </w:tcPr>
          <w:p w14:paraId="191E7BB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456 756,11 </w:t>
            </w:r>
          </w:p>
        </w:tc>
        <w:tc>
          <w:tcPr>
            <w:tcW w:w="493" w:type="pct"/>
            <w:shd w:val="clear" w:color="auto" w:fill="EFEFEF"/>
            <w:noWrap/>
            <w:vAlign w:val="center"/>
            <w:hideMark/>
          </w:tcPr>
          <w:p w14:paraId="417C136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456 756,11 </w:t>
            </w:r>
          </w:p>
        </w:tc>
        <w:tc>
          <w:tcPr>
            <w:tcW w:w="564" w:type="pct"/>
            <w:shd w:val="clear" w:color="auto" w:fill="EFEFEF"/>
            <w:noWrap/>
            <w:vAlign w:val="center"/>
            <w:hideMark/>
          </w:tcPr>
          <w:p w14:paraId="5001826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64F397E8" w14:textId="77777777" w:rsidR="00B73FDB" w:rsidRPr="00B73FDB" w:rsidRDefault="00B73FDB" w:rsidP="00B73FDB">
            <w:pPr>
              <w:spacing w:after="0" w:line="240" w:lineRule="auto"/>
              <w:rPr>
                <w:rFonts w:cs="Calibri"/>
                <w:sz w:val="18"/>
                <w:szCs w:val="18"/>
                <w:lang w:eastAsia="sk-SK"/>
              </w:rPr>
            </w:pPr>
          </w:p>
        </w:tc>
      </w:tr>
      <w:tr w:rsidR="00B73FDB" w:rsidRPr="00B73FDB" w14:paraId="76F3CAA3" w14:textId="77777777" w:rsidTr="00B73FDB">
        <w:trPr>
          <w:tblCellSpacing w:w="15" w:type="dxa"/>
        </w:trPr>
        <w:tc>
          <w:tcPr>
            <w:tcW w:w="267" w:type="pct"/>
            <w:shd w:val="clear" w:color="auto" w:fill="EFEFEF"/>
            <w:noWrap/>
            <w:vAlign w:val="center"/>
            <w:hideMark/>
          </w:tcPr>
          <w:p w14:paraId="51041B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25914F0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52908B9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153 607,00 </w:t>
            </w:r>
          </w:p>
        </w:tc>
        <w:tc>
          <w:tcPr>
            <w:tcW w:w="564" w:type="pct"/>
            <w:shd w:val="clear" w:color="auto" w:fill="EFEFEF"/>
            <w:noWrap/>
            <w:vAlign w:val="center"/>
            <w:hideMark/>
          </w:tcPr>
          <w:p w14:paraId="0E4707F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156 853,66 </w:t>
            </w:r>
          </w:p>
        </w:tc>
        <w:tc>
          <w:tcPr>
            <w:tcW w:w="493" w:type="pct"/>
            <w:shd w:val="clear" w:color="auto" w:fill="EFEFEF"/>
            <w:noWrap/>
            <w:vAlign w:val="center"/>
            <w:hideMark/>
          </w:tcPr>
          <w:p w14:paraId="5609D48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156 853,66 </w:t>
            </w:r>
          </w:p>
        </w:tc>
        <w:tc>
          <w:tcPr>
            <w:tcW w:w="564" w:type="pct"/>
            <w:shd w:val="clear" w:color="auto" w:fill="EFEFEF"/>
            <w:noWrap/>
            <w:vAlign w:val="center"/>
            <w:hideMark/>
          </w:tcPr>
          <w:p w14:paraId="522BA05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6EB37DF3" w14:textId="77777777" w:rsidR="00B73FDB" w:rsidRPr="00B73FDB" w:rsidRDefault="00B73FDB" w:rsidP="00B73FDB">
            <w:pPr>
              <w:spacing w:after="0" w:line="240" w:lineRule="auto"/>
              <w:rPr>
                <w:rFonts w:cs="Calibri"/>
                <w:sz w:val="18"/>
                <w:szCs w:val="18"/>
                <w:lang w:eastAsia="sk-SK"/>
              </w:rPr>
            </w:pPr>
          </w:p>
        </w:tc>
      </w:tr>
      <w:tr w:rsidR="00B73FDB" w:rsidRPr="00B73FDB" w14:paraId="4F10BDE3" w14:textId="77777777" w:rsidTr="00B73FDB">
        <w:trPr>
          <w:tblCellSpacing w:w="15" w:type="dxa"/>
        </w:trPr>
        <w:tc>
          <w:tcPr>
            <w:tcW w:w="267" w:type="pct"/>
            <w:shd w:val="clear" w:color="auto" w:fill="EFEFEF"/>
            <w:noWrap/>
            <w:vAlign w:val="center"/>
            <w:hideMark/>
          </w:tcPr>
          <w:p w14:paraId="01B1B6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19BA784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21A5C6D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79 768,00 </w:t>
            </w:r>
          </w:p>
        </w:tc>
        <w:tc>
          <w:tcPr>
            <w:tcW w:w="564" w:type="pct"/>
            <w:shd w:val="clear" w:color="auto" w:fill="EFEFEF"/>
            <w:noWrap/>
            <w:vAlign w:val="center"/>
            <w:hideMark/>
          </w:tcPr>
          <w:p w14:paraId="6FC9FEA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139 262,82 </w:t>
            </w:r>
          </w:p>
        </w:tc>
        <w:tc>
          <w:tcPr>
            <w:tcW w:w="493" w:type="pct"/>
            <w:shd w:val="clear" w:color="auto" w:fill="EFEFEF"/>
            <w:noWrap/>
            <w:vAlign w:val="center"/>
            <w:hideMark/>
          </w:tcPr>
          <w:p w14:paraId="333BDAC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84 845,54 </w:t>
            </w:r>
          </w:p>
        </w:tc>
        <w:tc>
          <w:tcPr>
            <w:tcW w:w="564" w:type="pct"/>
            <w:shd w:val="clear" w:color="auto" w:fill="EFEFEF"/>
            <w:noWrap/>
            <w:vAlign w:val="center"/>
            <w:hideMark/>
          </w:tcPr>
          <w:p w14:paraId="1A4523D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60,92 </w:t>
            </w:r>
          </w:p>
        </w:tc>
        <w:tc>
          <w:tcPr>
            <w:tcW w:w="1136" w:type="pct"/>
            <w:vMerge/>
            <w:shd w:val="clear" w:color="auto" w:fill="EFEFEF"/>
            <w:vAlign w:val="center"/>
            <w:hideMark/>
          </w:tcPr>
          <w:p w14:paraId="697BD7C0" w14:textId="77777777" w:rsidR="00B73FDB" w:rsidRPr="00B73FDB" w:rsidRDefault="00B73FDB" w:rsidP="00B73FDB">
            <w:pPr>
              <w:spacing w:after="0" w:line="240" w:lineRule="auto"/>
              <w:rPr>
                <w:rFonts w:cs="Calibri"/>
                <w:sz w:val="18"/>
                <w:szCs w:val="18"/>
                <w:lang w:eastAsia="sk-SK"/>
              </w:rPr>
            </w:pPr>
          </w:p>
        </w:tc>
      </w:tr>
    </w:tbl>
    <w:p w14:paraId="50517ED6"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52146936" w14:textId="77777777" w:rsidTr="00B73FDB">
        <w:trPr>
          <w:tblCellSpacing w:w="15" w:type="dxa"/>
        </w:trPr>
        <w:tc>
          <w:tcPr>
            <w:tcW w:w="0" w:type="auto"/>
            <w:shd w:val="clear" w:color="auto" w:fill="C2D69B"/>
            <w:vAlign w:val="center"/>
            <w:hideMark/>
          </w:tcPr>
          <w:p w14:paraId="617BBB9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2D9A17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6115CD7B" w14:textId="77777777" w:rsidTr="00B73FDB">
        <w:trPr>
          <w:tblCellSpacing w:w="15" w:type="dxa"/>
        </w:trPr>
        <w:tc>
          <w:tcPr>
            <w:tcW w:w="0" w:type="auto"/>
            <w:shd w:val="clear" w:color="auto" w:fill="C2D69B"/>
            <w:vAlign w:val="center"/>
            <w:hideMark/>
          </w:tcPr>
          <w:p w14:paraId="741516A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813F7C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2664C43F" w14:textId="77777777" w:rsidTr="00B73FDB">
        <w:trPr>
          <w:tblCellSpacing w:w="15" w:type="dxa"/>
        </w:trPr>
        <w:tc>
          <w:tcPr>
            <w:tcW w:w="0" w:type="auto"/>
            <w:shd w:val="clear" w:color="auto" w:fill="C2D69B"/>
            <w:vAlign w:val="center"/>
            <w:hideMark/>
          </w:tcPr>
          <w:p w14:paraId="1C78E45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4DDA73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3327DD79" w14:textId="77777777" w:rsidTr="00B73FDB">
        <w:trPr>
          <w:tblCellSpacing w:w="15" w:type="dxa"/>
        </w:trPr>
        <w:tc>
          <w:tcPr>
            <w:tcW w:w="0" w:type="auto"/>
            <w:shd w:val="clear" w:color="auto" w:fill="C2D69B"/>
            <w:vAlign w:val="center"/>
            <w:hideMark/>
          </w:tcPr>
          <w:p w14:paraId="02C961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2AE69A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8190D8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429ED2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77BCB0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8D232B9" w14:textId="77777777" w:rsidTr="00B73FDB">
        <w:trPr>
          <w:tblCellSpacing w:w="15" w:type="dxa"/>
        </w:trPr>
        <w:tc>
          <w:tcPr>
            <w:tcW w:w="0" w:type="auto"/>
            <w:shd w:val="clear" w:color="auto" w:fill="C2D69B"/>
            <w:vAlign w:val="center"/>
            <w:hideMark/>
          </w:tcPr>
          <w:p w14:paraId="1B684B5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0B1E2C8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307 </w:t>
            </w:r>
          </w:p>
        </w:tc>
        <w:tc>
          <w:tcPr>
            <w:tcW w:w="0" w:type="auto"/>
            <w:shd w:val="clear" w:color="auto" w:fill="C2D69B"/>
            <w:noWrap/>
            <w:vAlign w:val="center"/>
            <w:hideMark/>
          </w:tcPr>
          <w:p w14:paraId="1F9F298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313 </w:t>
            </w:r>
          </w:p>
        </w:tc>
        <w:tc>
          <w:tcPr>
            <w:tcW w:w="0" w:type="auto"/>
            <w:shd w:val="clear" w:color="auto" w:fill="C2D69B"/>
            <w:vAlign w:val="center"/>
            <w:hideMark/>
          </w:tcPr>
          <w:p w14:paraId="3809353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44BBE59"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B284123" w14:textId="77777777" w:rsidTr="00B73FDB">
        <w:trPr>
          <w:tblCellSpacing w:w="15" w:type="dxa"/>
        </w:trPr>
        <w:tc>
          <w:tcPr>
            <w:tcW w:w="0" w:type="auto"/>
            <w:shd w:val="clear" w:color="auto" w:fill="C2D69B"/>
            <w:vAlign w:val="center"/>
            <w:hideMark/>
          </w:tcPr>
          <w:p w14:paraId="32F0CD9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B0C8A7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C522A4A" w14:textId="77777777" w:rsidTr="00B73FDB">
        <w:trPr>
          <w:tblCellSpacing w:w="15" w:type="dxa"/>
        </w:trPr>
        <w:tc>
          <w:tcPr>
            <w:tcW w:w="0" w:type="auto"/>
            <w:shd w:val="clear" w:color="auto" w:fill="C2D69B"/>
            <w:vAlign w:val="center"/>
            <w:hideMark/>
          </w:tcPr>
          <w:p w14:paraId="225789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348660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B7F8B7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715208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08EAB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91C80D9" w14:textId="77777777" w:rsidTr="00B73FDB">
        <w:trPr>
          <w:tblCellSpacing w:w="15" w:type="dxa"/>
        </w:trPr>
        <w:tc>
          <w:tcPr>
            <w:tcW w:w="0" w:type="auto"/>
            <w:shd w:val="clear" w:color="auto" w:fill="C2D69B"/>
            <w:vAlign w:val="center"/>
            <w:hideMark/>
          </w:tcPr>
          <w:p w14:paraId="072D489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F470F1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307 </w:t>
            </w:r>
          </w:p>
        </w:tc>
        <w:tc>
          <w:tcPr>
            <w:tcW w:w="0" w:type="auto"/>
            <w:shd w:val="clear" w:color="auto" w:fill="C2D69B"/>
            <w:noWrap/>
            <w:vAlign w:val="center"/>
            <w:hideMark/>
          </w:tcPr>
          <w:p w14:paraId="141BBD3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311 </w:t>
            </w:r>
          </w:p>
        </w:tc>
        <w:tc>
          <w:tcPr>
            <w:tcW w:w="0" w:type="auto"/>
            <w:shd w:val="clear" w:color="auto" w:fill="C2D69B"/>
            <w:vAlign w:val="center"/>
            <w:hideMark/>
          </w:tcPr>
          <w:p w14:paraId="07363C8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6BBAE5A" w14:textId="77777777" w:rsidR="00B73FDB" w:rsidRPr="00B73FDB" w:rsidRDefault="00B73FDB" w:rsidP="00B73FDB">
            <w:pPr>
              <w:spacing w:after="0" w:line="240" w:lineRule="auto"/>
              <w:jc w:val="center"/>
              <w:rPr>
                <w:rFonts w:cs="Calibri"/>
                <w:sz w:val="18"/>
                <w:szCs w:val="18"/>
                <w:lang w:eastAsia="sk-SK"/>
              </w:rPr>
            </w:pPr>
          </w:p>
        </w:tc>
      </w:tr>
    </w:tbl>
    <w:p w14:paraId="4587C99E"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Poskytuje všeobecné vzdelanie v 4-ročnej a 8-ročnej forme štúdia so zameraním na cudzie jazyky. </w:t>
      </w:r>
    </w:p>
    <w:p w14:paraId="054E8280"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8.2.15: Gymnázium A. Bernoláka, </w:t>
      </w:r>
      <w:proofErr w:type="spellStart"/>
      <w:r w:rsidRPr="00B73FDB">
        <w:rPr>
          <w:rFonts w:ascii="Calibri" w:hAnsi="Calibri" w:cs="Calibri"/>
          <w:b/>
          <w:color w:val="244061"/>
        </w:rPr>
        <w:t>Lichnerova</w:t>
      </w:r>
      <w:proofErr w:type="spellEnd"/>
      <w:r w:rsidRPr="00B73FDB">
        <w:rPr>
          <w:rFonts w:ascii="Calibri" w:hAnsi="Calibri" w:cs="Calibri"/>
          <w:b/>
          <w:color w:val="244061"/>
        </w:rPr>
        <w:t xml:space="preserve"> 69, Senec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4"/>
        <w:gridCol w:w="2733"/>
        <w:gridCol w:w="1210"/>
        <w:gridCol w:w="1161"/>
        <w:gridCol w:w="1073"/>
        <w:gridCol w:w="1257"/>
        <w:gridCol w:w="2428"/>
      </w:tblGrid>
      <w:tr w:rsidR="00B73FDB" w:rsidRPr="00B73FDB" w14:paraId="4FCCC89C" w14:textId="77777777" w:rsidTr="00B73FDB">
        <w:trPr>
          <w:tblCellSpacing w:w="15" w:type="dxa"/>
        </w:trPr>
        <w:tc>
          <w:tcPr>
            <w:tcW w:w="267" w:type="pct"/>
            <w:shd w:val="clear" w:color="auto" w:fill="C6DBF7"/>
            <w:vAlign w:val="center"/>
            <w:hideMark/>
          </w:tcPr>
          <w:p w14:paraId="2FF122A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50CAEBF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13CBE66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39" w:type="pct"/>
            <w:shd w:val="clear" w:color="auto" w:fill="C6DBF7"/>
            <w:vAlign w:val="center"/>
            <w:hideMark/>
          </w:tcPr>
          <w:p w14:paraId="1053F9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7" w:type="pct"/>
            <w:shd w:val="clear" w:color="auto" w:fill="C6DBF7"/>
            <w:vAlign w:val="center"/>
            <w:hideMark/>
          </w:tcPr>
          <w:p w14:paraId="00989BA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85" w:type="pct"/>
            <w:shd w:val="clear" w:color="auto" w:fill="C6DBF7"/>
            <w:vAlign w:val="center"/>
            <w:hideMark/>
          </w:tcPr>
          <w:p w14:paraId="7997B61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C32B16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D60C053" w14:textId="77777777" w:rsidTr="00B73FDB">
        <w:trPr>
          <w:tblCellSpacing w:w="15" w:type="dxa"/>
        </w:trPr>
        <w:tc>
          <w:tcPr>
            <w:tcW w:w="267" w:type="pct"/>
            <w:shd w:val="clear" w:color="auto" w:fill="D9D9D9"/>
            <w:noWrap/>
            <w:vAlign w:val="center"/>
            <w:hideMark/>
          </w:tcPr>
          <w:p w14:paraId="7E38DCBD"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6679373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5348433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758 436,00</w:t>
            </w:r>
            <w:r w:rsidRPr="00B73FDB">
              <w:rPr>
                <w:rFonts w:cs="Calibri"/>
                <w:sz w:val="18"/>
                <w:szCs w:val="18"/>
                <w:lang w:eastAsia="sk-SK"/>
              </w:rPr>
              <w:t xml:space="preserve"> </w:t>
            </w:r>
          </w:p>
        </w:tc>
        <w:tc>
          <w:tcPr>
            <w:tcW w:w="539" w:type="pct"/>
            <w:shd w:val="clear" w:color="auto" w:fill="D9D9D9"/>
            <w:noWrap/>
            <w:vAlign w:val="center"/>
            <w:hideMark/>
          </w:tcPr>
          <w:p w14:paraId="1647C06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738 829,90</w:t>
            </w:r>
            <w:r w:rsidRPr="00B73FDB">
              <w:rPr>
                <w:rFonts w:cs="Calibri"/>
                <w:sz w:val="18"/>
                <w:szCs w:val="18"/>
                <w:lang w:eastAsia="sk-SK"/>
              </w:rPr>
              <w:t xml:space="preserve"> </w:t>
            </w:r>
          </w:p>
        </w:tc>
        <w:tc>
          <w:tcPr>
            <w:tcW w:w="497" w:type="pct"/>
            <w:shd w:val="clear" w:color="auto" w:fill="D9D9D9"/>
            <w:noWrap/>
            <w:vAlign w:val="center"/>
            <w:hideMark/>
          </w:tcPr>
          <w:p w14:paraId="59AD932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729 430,25</w:t>
            </w:r>
            <w:r w:rsidRPr="00B73FDB">
              <w:rPr>
                <w:rFonts w:cs="Calibri"/>
                <w:sz w:val="18"/>
                <w:szCs w:val="18"/>
                <w:lang w:eastAsia="sk-SK"/>
              </w:rPr>
              <w:t xml:space="preserve"> </w:t>
            </w:r>
          </w:p>
        </w:tc>
        <w:tc>
          <w:tcPr>
            <w:tcW w:w="585" w:type="pct"/>
            <w:shd w:val="clear" w:color="auto" w:fill="D9D9D9"/>
            <w:noWrap/>
            <w:vAlign w:val="center"/>
            <w:hideMark/>
          </w:tcPr>
          <w:p w14:paraId="72F20CB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98,73</w:t>
            </w:r>
            <w:r w:rsidRPr="00B73FDB">
              <w:rPr>
                <w:rFonts w:cs="Calibri"/>
                <w:sz w:val="18"/>
                <w:szCs w:val="18"/>
                <w:lang w:eastAsia="sk-SK"/>
              </w:rPr>
              <w:t xml:space="preserve"> </w:t>
            </w:r>
          </w:p>
        </w:tc>
        <w:tc>
          <w:tcPr>
            <w:tcW w:w="1136" w:type="pct"/>
            <w:vMerge w:val="restart"/>
            <w:shd w:val="clear" w:color="auto" w:fill="D9D9D9"/>
            <w:vAlign w:val="center"/>
            <w:hideMark/>
          </w:tcPr>
          <w:p w14:paraId="4ADDA28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-37 697,00 EUR</w:t>
            </w:r>
            <w:r w:rsidRPr="00B73FDB">
              <w:rPr>
                <w:rFonts w:cs="Calibri"/>
                <w:sz w:val="18"/>
                <w:szCs w:val="18"/>
                <w:lang w:eastAsia="sk-SK"/>
              </w:rPr>
              <w:t xml:space="preserve"> normatívne finančné prostriedky,</w:t>
            </w:r>
          </w:p>
          <w:p w14:paraId="33B06F0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+198,00 EUR</w:t>
            </w:r>
            <w:r w:rsidRPr="00B73FDB">
              <w:rPr>
                <w:rFonts w:cs="Calibri"/>
                <w:sz w:val="18"/>
                <w:szCs w:val="18"/>
                <w:lang w:eastAsia="sk-SK"/>
              </w:rPr>
              <w:t xml:space="preserve"> normatívne finančné prostriedky na maturity,</w:t>
            </w:r>
          </w:p>
          <w:p w14:paraId="12A1426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-1 069,00 EUR </w:t>
            </w:r>
            <w:r w:rsidRPr="00B73FDB">
              <w:rPr>
                <w:rFonts w:cs="Calibri"/>
                <w:sz w:val="18"/>
                <w:szCs w:val="18"/>
                <w:lang w:eastAsia="sk-SK"/>
              </w:rPr>
              <w:t>nenormatívne finančné prostriedky na vzdelávacie poukazy,</w:t>
            </w:r>
          </w:p>
          <w:p w14:paraId="4F7D4CD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+1 792,00 EUR</w:t>
            </w:r>
            <w:r w:rsidRPr="00B73FDB">
              <w:rPr>
                <w:rFonts w:cs="Calibri"/>
                <w:sz w:val="18"/>
                <w:szCs w:val="18"/>
                <w:lang w:eastAsia="sk-SK"/>
              </w:rPr>
              <w:t xml:space="preserve"> príspevok na učebnice,</w:t>
            </w:r>
          </w:p>
          <w:p w14:paraId="14F9FC1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-338,00 EUR</w:t>
            </w:r>
            <w:r w:rsidRPr="00B73FDB">
              <w:rPr>
                <w:rFonts w:cs="Calibri"/>
                <w:sz w:val="18"/>
                <w:szCs w:val="18"/>
                <w:lang w:eastAsia="sk-SK"/>
              </w:rPr>
              <w:t xml:space="preserve"> odchodné do dôchodku,</w:t>
            </w:r>
          </w:p>
          <w:p w14:paraId="554907B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+1 050,00 EUR</w:t>
            </w:r>
            <w:r w:rsidRPr="00B73FDB">
              <w:rPr>
                <w:rFonts w:cs="Calibri"/>
                <w:sz w:val="18"/>
                <w:szCs w:val="18"/>
                <w:lang w:eastAsia="sk-SK"/>
              </w:rPr>
              <w:t xml:space="preserve"> nenormatívne finančné prostriedky na lyžiarske kurzy,</w:t>
            </w:r>
          </w:p>
          <w:p w14:paraId="6DB935D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+3 091,36 EUR</w:t>
            </w:r>
            <w:r w:rsidRPr="00B73FDB">
              <w:rPr>
                <w:rFonts w:cs="Calibri"/>
                <w:sz w:val="18"/>
                <w:szCs w:val="18"/>
                <w:lang w:eastAsia="sk-SK"/>
              </w:rPr>
              <w:t xml:space="preserve"> nevyčerpané finančné prostriedky z r. 2019,</w:t>
            </w:r>
          </w:p>
          <w:p w14:paraId="755374C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-700,00 EUR</w:t>
            </w:r>
            <w:r w:rsidRPr="00B73FDB">
              <w:rPr>
                <w:rFonts w:cs="Calibri"/>
                <w:sz w:val="18"/>
                <w:szCs w:val="18"/>
                <w:lang w:eastAsia="sk-SK"/>
              </w:rPr>
              <w:t xml:space="preserve"> vyúčtovanie projektu Erasmus+,</w:t>
            </w:r>
          </w:p>
          <w:p w14:paraId="1DB5253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+962,34 EUR</w:t>
            </w:r>
            <w:r w:rsidRPr="00B73FDB">
              <w:rPr>
                <w:rFonts w:cs="Calibri"/>
                <w:sz w:val="18"/>
                <w:szCs w:val="18"/>
                <w:lang w:eastAsia="sk-SK"/>
              </w:rPr>
              <w:t xml:space="preserve"> školské súťaže z OÚ,</w:t>
            </w:r>
          </w:p>
          <w:p w14:paraId="49612D6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+8 508,00 EUR</w:t>
            </w:r>
            <w:r w:rsidRPr="00B73FDB">
              <w:rPr>
                <w:rFonts w:cs="Calibri"/>
                <w:sz w:val="18"/>
                <w:szCs w:val="18"/>
                <w:lang w:eastAsia="sk-SK"/>
              </w:rPr>
              <w:t xml:space="preserve"> navýšenie rozpočtu projektového účtu,</w:t>
            </w:r>
          </w:p>
          <w:p w14:paraId="3017CFB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+865,20 EUR</w:t>
            </w:r>
            <w:r w:rsidRPr="00B73FDB">
              <w:rPr>
                <w:rFonts w:cs="Calibri"/>
                <w:sz w:val="18"/>
                <w:szCs w:val="18"/>
                <w:lang w:eastAsia="sk-SK"/>
              </w:rPr>
              <w:t xml:space="preserve"> navýšenie rozpočtu darovacieho účtu,</w:t>
            </w:r>
          </w:p>
          <w:p w14:paraId="1C89612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+3 731,00 EUR</w:t>
            </w:r>
            <w:r w:rsidRPr="00B73FDB">
              <w:rPr>
                <w:rFonts w:cs="Calibri"/>
                <w:sz w:val="18"/>
                <w:szCs w:val="18"/>
                <w:lang w:eastAsia="sk-SK"/>
              </w:rPr>
              <w:t xml:space="preserve"> príjmy z prenájmov.</w:t>
            </w:r>
          </w:p>
        </w:tc>
      </w:tr>
      <w:tr w:rsidR="00B73FDB" w:rsidRPr="00B73FDB" w14:paraId="7D4988A2" w14:textId="77777777" w:rsidTr="00B73FDB">
        <w:trPr>
          <w:tblCellSpacing w:w="15" w:type="dxa"/>
        </w:trPr>
        <w:tc>
          <w:tcPr>
            <w:tcW w:w="267" w:type="pct"/>
            <w:shd w:val="clear" w:color="auto" w:fill="D9D9D9"/>
            <w:noWrap/>
            <w:vAlign w:val="center"/>
            <w:hideMark/>
          </w:tcPr>
          <w:p w14:paraId="63BF21F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3686FD9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73BA485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758 436,00</w:t>
            </w:r>
            <w:r w:rsidRPr="00B73FDB">
              <w:rPr>
                <w:rFonts w:cs="Calibri"/>
                <w:sz w:val="18"/>
                <w:szCs w:val="18"/>
                <w:lang w:eastAsia="sk-SK"/>
              </w:rPr>
              <w:t xml:space="preserve"> </w:t>
            </w:r>
          </w:p>
        </w:tc>
        <w:tc>
          <w:tcPr>
            <w:tcW w:w="539" w:type="pct"/>
            <w:shd w:val="clear" w:color="auto" w:fill="D9D9D9"/>
            <w:noWrap/>
            <w:vAlign w:val="center"/>
            <w:hideMark/>
          </w:tcPr>
          <w:p w14:paraId="4C751E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738 829,90</w:t>
            </w:r>
            <w:r w:rsidRPr="00B73FDB">
              <w:rPr>
                <w:rFonts w:cs="Calibri"/>
                <w:sz w:val="18"/>
                <w:szCs w:val="18"/>
                <w:lang w:eastAsia="sk-SK"/>
              </w:rPr>
              <w:t xml:space="preserve"> </w:t>
            </w:r>
          </w:p>
        </w:tc>
        <w:tc>
          <w:tcPr>
            <w:tcW w:w="497" w:type="pct"/>
            <w:shd w:val="clear" w:color="auto" w:fill="D9D9D9"/>
            <w:noWrap/>
            <w:vAlign w:val="center"/>
            <w:hideMark/>
          </w:tcPr>
          <w:p w14:paraId="441DDF2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729 430,25</w:t>
            </w:r>
            <w:r w:rsidRPr="00B73FDB">
              <w:rPr>
                <w:rFonts w:cs="Calibri"/>
                <w:sz w:val="18"/>
                <w:szCs w:val="18"/>
                <w:lang w:eastAsia="sk-SK"/>
              </w:rPr>
              <w:t xml:space="preserve"> </w:t>
            </w:r>
          </w:p>
        </w:tc>
        <w:tc>
          <w:tcPr>
            <w:tcW w:w="585" w:type="pct"/>
            <w:shd w:val="clear" w:color="auto" w:fill="D9D9D9"/>
            <w:noWrap/>
            <w:vAlign w:val="center"/>
            <w:hideMark/>
          </w:tcPr>
          <w:p w14:paraId="49065F3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98,73</w:t>
            </w:r>
            <w:r w:rsidRPr="00B73FDB">
              <w:rPr>
                <w:rFonts w:cs="Calibri"/>
                <w:sz w:val="18"/>
                <w:szCs w:val="18"/>
                <w:lang w:eastAsia="sk-SK"/>
              </w:rPr>
              <w:t xml:space="preserve"> </w:t>
            </w:r>
          </w:p>
        </w:tc>
        <w:tc>
          <w:tcPr>
            <w:tcW w:w="1136" w:type="pct"/>
            <w:vMerge/>
            <w:shd w:val="clear" w:color="auto" w:fill="D9D9D9"/>
            <w:vAlign w:val="center"/>
            <w:hideMark/>
          </w:tcPr>
          <w:p w14:paraId="147F937B"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3BD016C8" w14:textId="77777777" w:rsidTr="00B73FDB">
        <w:trPr>
          <w:tblCellSpacing w:w="15" w:type="dxa"/>
        </w:trPr>
        <w:tc>
          <w:tcPr>
            <w:tcW w:w="267" w:type="pct"/>
            <w:shd w:val="clear" w:color="auto" w:fill="EFEFEF"/>
            <w:noWrap/>
            <w:vAlign w:val="center"/>
            <w:hideMark/>
          </w:tcPr>
          <w:p w14:paraId="090B9C7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1D7E9DE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1D7C9FD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488 003,00 </w:t>
            </w:r>
          </w:p>
        </w:tc>
        <w:tc>
          <w:tcPr>
            <w:tcW w:w="539" w:type="pct"/>
            <w:shd w:val="clear" w:color="auto" w:fill="EFEFEF"/>
            <w:noWrap/>
            <w:vAlign w:val="center"/>
            <w:hideMark/>
          </w:tcPr>
          <w:p w14:paraId="510D4E7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475 827,03 </w:t>
            </w:r>
          </w:p>
        </w:tc>
        <w:tc>
          <w:tcPr>
            <w:tcW w:w="497" w:type="pct"/>
            <w:shd w:val="clear" w:color="auto" w:fill="EFEFEF"/>
            <w:noWrap/>
            <w:vAlign w:val="center"/>
            <w:hideMark/>
          </w:tcPr>
          <w:p w14:paraId="068887D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475 827,03 </w:t>
            </w:r>
          </w:p>
        </w:tc>
        <w:tc>
          <w:tcPr>
            <w:tcW w:w="585" w:type="pct"/>
            <w:shd w:val="clear" w:color="auto" w:fill="EFEFEF"/>
            <w:noWrap/>
            <w:vAlign w:val="center"/>
            <w:hideMark/>
          </w:tcPr>
          <w:p w14:paraId="3ECF538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2C49D37" w14:textId="77777777" w:rsidR="00B73FDB" w:rsidRPr="00B73FDB" w:rsidRDefault="00B73FDB" w:rsidP="00B73FDB">
            <w:pPr>
              <w:spacing w:after="0" w:line="240" w:lineRule="auto"/>
              <w:rPr>
                <w:rFonts w:cs="Calibri"/>
                <w:sz w:val="18"/>
                <w:szCs w:val="18"/>
                <w:lang w:eastAsia="sk-SK"/>
              </w:rPr>
            </w:pPr>
          </w:p>
        </w:tc>
      </w:tr>
      <w:tr w:rsidR="00B73FDB" w:rsidRPr="00B73FDB" w14:paraId="3E024F96" w14:textId="77777777" w:rsidTr="00B73FDB">
        <w:trPr>
          <w:tblCellSpacing w:w="15" w:type="dxa"/>
        </w:trPr>
        <w:tc>
          <w:tcPr>
            <w:tcW w:w="267" w:type="pct"/>
            <w:shd w:val="clear" w:color="auto" w:fill="EFEFEF"/>
            <w:noWrap/>
            <w:vAlign w:val="center"/>
            <w:hideMark/>
          </w:tcPr>
          <w:p w14:paraId="3906BB4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524BEE6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4605F48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167 661,00 </w:t>
            </w:r>
          </w:p>
        </w:tc>
        <w:tc>
          <w:tcPr>
            <w:tcW w:w="539" w:type="pct"/>
            <w:shd w:val="clear" w:color="auto" w:fill="EFEFEF"/>
            <w:noWrap/>
            <w:vAlign w:val="center"/>
            <w:hideMark/>
          </w:tcPr>
          <w:p w14:paraId="6D82DCB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156 604,63 </w:t>
            </w:r>
          </w:p>
        </w:tc>
        <w:tc>
          <w:tcPr>
            <w:tcW w:w="497" w:type="pct"/>
            <w:shd w:val="clear" w:color="auto" w:fill="EFEFEF"/>
            <w:noWrap/>
            <w:vAlign w:val="center"/>
            <w:hideMark/>
          </w:tcPr>
          <w:p w14:paraId="505989F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156 604,63 </w:t>
            </w:r>
          </w:p>
        </w:tc>
        <w:tc>
          <w:tcPr>
            <w:tcW w:w="585" w:type="pct"/>
            <w:shd w:val="clear" w:color="auto" w:fill="EFEFEF"/>
            <w:noWrap/>
            <w:vAlign w:val="center"/>
            <w:hideMark/>
          </w:tcPr>
          <w:p w14:paraId="160E480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CEF28F0" w14:textId="77777777" w:rsidR="00B73FDB" w:rsidRPr="00B73FDB" w:rsidRDefault="00B73FDB" w:rsidP="00B73FDB">
            <w:pPr>
              <w:spacing w:after="0" w:line="240" w:lineRule="auto"/>
              <w:rPr>
                <w:rFonts w:cs="Calibri"/>
                <w:sz w:val="18"/>
                <w:szCs w:val="18"/>
                <w:lang w:eastAsia="sk-SK"/>
              </w:rPr>
            </w:pPr>
          </w:p>
        </w:tc>
      </w:tr>
      <w:tr w:rsidR="00B73FDB" w:rsidRPr="00B73FDB" w14:paraId="0657729E" w14:textId="77777777" w:rsidTr="00B73FDB">
        <w:trPr>
          <w:tblCellSpacing w:w="15" w:type="dxa"/>
        </w:trPr>
        <w:tc>
          <w:tcPr>
            <w:tcW w:w="267" w:type="pct"/>
            <w:shd w:val="clear" w:color="auto" w:fill="EFEFEF"/>
            <w:noWrap/>
            <w:vAlign w:val="center"/>
            <w:hideMark/>
          </w:tcPr>
          <w:p w14:paraId="79B4038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09F7802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76FBF74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101 672,00 </w:t>
            </w:r>
          </w:p>
        </w:tc>
        <w:tc>
          <w:tcPr>
            <w:tcW w:w="539" w:type="pct"/>
            <w:shd w:val="clear" w:color="auto" w:fill="EFEFEF"/>
            <w:noWrap/>
            <w:vAlign w:val="center"/>
            <w:hideMark/>
          </w:tcPr>
          <w:p w14:paraId="3B49ADC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100 665,75 </w:t>
            </w:r>
          </w:p>
        </w:tc>
        <w:tc>
          <w:tcPr>
            <w:tcW w:w="497" w:type="pct"/>
            <w:shd w:val="clear" w:color="auto" w:fill="EFEFEF"/>
            <w:noWrap/>
            <w:vAlign w:val="center"/>
            <w:hideMark/>
          </w:tcPr>
          <w:p w14:paraId="149D005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91 266,10 </w:t>
            </w:r>
          </w:p>
        </w:tc>
        <w:tc>
          <w:tcPr>
            <w:tcW w:w="585" w:type="pct"/>
            <w:shd w:val="clear" w:color="auto" w:fill="EFEFEF"/>
            <w:noWrap/>
            <w:vAlign w:val="center"/>
            <w:hideMark/>
          </w:tcPr>
          <w:p w14:paraId="6621E66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90,66 </w:t>
            </w:r>
          </w:p>
        </w:tc>
        <w:tc>
          <w:tcPr>
            <w:tcW w:w="1136" w:type="pct"/>
            <w:vMerge/>
            <w:shd w:val="clear" w:color="auto" w:fill="EFEFEF"/>
            <w:vAlign w:val="center"/>
            <w:hideMark/>
          </w:tcPr>
          <w:p w14:paraId="3D9132D2" w14:textId="77777777" w:rsidR="00B73FDB" w:rsidRPr="00B73FDB" w:rsidRDefault="00B73FDB" w:rsidP="00B73FDB">
            <w:pPr>
              <w:spacing w:after="0" w:line="240" w:lineRule="auto"/>
              <w:rPr>
                <w:rFonts w:cs="Calibri"/>
                <w:sz w:val="18"/>
                <w:szCs w:val="18"/>
                <w:lang w:eastAsia="sk-SK"/>
              </w:rPr>
            </w:pPr>
          </w:p>
        </w:tc>
      </w:tr>
      <w:tr w:rsidR="00B73FDB" w:rsidRPr="00B73FDB" w14:paraId="52CF8439" w14:textId="77777777" w:rsidTr="00B73FDB">
        <w:trPr>
          <w:tblCellSpacing w:w="15" w:type="dxa"/>
        </w:trPr>
        <w:tc>
          <w:tcPr>
            <w:tcW w:w="267" w:type="pct"/>
            <w:shd w:val="clear" w:color="auto" w:fill="EFEFEF"/>
            <w:noWrap/>
            <w:vAlign w:val="center"/>
            <w:hideMark/>
          </w:tcPr>
          <w:p w14:paraId="63D4C01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73D9D7A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0733A67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1 100,00 </w:t>
            </w:r>
          </w:p>
        </w:tc>
        <w:tc>
          <w:tcPr>
            <w:tcW w:w="539" w:type="pct"/>
            <w:shd w:val="clear" w:color="auto" w:fill="EFEFEF"/>
            <w:noWrap/>
            <w:vAlign w:val="center"/>
            <w:hideMark/>
          </w:tcPr>
          <w:p w14:paraId="638714D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5 732,49 </w:t>
            </w:r>
          </w:p>
        </w:tc>
        <w:tc>
          <w:tcPr>
            <w:tcW w:w="497" w:type="pct"/>
            <w:shd w:val="clear" w:color="auto" w:fill="EFEFEF"/>
            <w:noWrap/>
            <w:vAlign w:val="center"/>
            <w:hideMark/>
          </w:tcPr>
          <w:p w14:paraId="5037CA4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5 732,49 </w:t>
            </w:r>
          </w:p>
        </w:tc>
        <w:tc>
          <w:tcPr>
            <w:tcW w:w="585" w:type="pct"/>
            <w:shd w:val="clear" w:color="auto" w:fill="EFEFEF"/>
            <w:noWrap/>
            <w:vAlign w:val="center"/>
            <w:hideMark/>
          </w:tcPr>
          <w:p w14:paraId="07590DB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E711214" w14:textId="77777777" w:rsidR="00B73FDB" w:rsidRPr="00B73FDB" w:rsidRDefault="00B73FDB" w:rsidP="00B73FDB">
            <w:pPr>
              <w:spacing w:after="0" w:line="240" w:lineRule="auto"/>
              <w:rPr>
                <w:rFonts w:cs="Calibri"/>
                <w:sz w:val="18"/>
                <w:szCs w:val="18"/>
                <w:lang w:eastAsia="sk-SK"/>
              </w:rPr>
            </w:pPr>
          </w:p>
        </w:tc>
      </w:tr>
    </w:tbl>
    <w:p w14:paraId="7E105B64"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1A643E0B" w14:textId="77777777" w:rsidTr="00B73FDB">
        <w:trPr>
          <w:tblCellSpacing w:w="15" w:type="dxa"/>
        </w:trPr>
        <w:tc>
          <w:tcPr>
            <w:tcW w:w="0" w:type="auto"/>
            <w:shd w:val="clear" w:color="auto" w:fill="C2D69B"/>
            <w:vAlign w:val="center"/>
            <w:hideMark/>
          </w:tcPr>
          <w:p w14:paraId="548EFF9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CF126A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92DF3CA" w14:textId="77777777" w:rsidTr="00B73FDB">
        <w:trPr>
          <w:tblCellSpacing w:w="15" w:type="dxa"/>
        </w:trPr>
        <w:tc>
          <w:tcPr>
            <w:tcW w:w="0" w:type="auto"/>
            <w:shd w:val="clear" w:color="auto" w:fill="C2D69B"/>
            <w:vAlign w:val="center"/>
            <w:hideMark/>
          </w:tcPr>
          <w:p w14:paraId="12ACE50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DDAAD1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26510B1A" w14:textId="77777777" w:rsidTr="00B73FDB">
        <w:trPr>
          <w:tblCellSpacing w:w="15" w:type="dxa"/>
        </w:trPr>
        <w:tc>
          <w:tcPr>
            <w:tcW w:w="0" w:type="auto"/>
            <w:shd w:val="clear" w:color="auto" w:fill="C2D69B"/>
            <w:vAlign w:val="center"/>
            <w:hideMark/>
          </w:tcPr>
          <w:p w14:paraId="12EE4FF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B7EB0C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9438C65" w14:textId="77777777" w:rsidTr="00B73FDB">
        <w:trPr>
          <w:tblCellSpacing w:w="15" w:type="dxa"/>
        </w:trPr>
        <w:tc>
          <w:tcPr>
            <w:tcW w:w="0" w:type="auto"/>
            <w:shd w:val="clear" w:color="auto" w:fill="C2D69B"/>
            <w:vAlign w:val="center"/>
            <w:hideMark/>
          </w:tcPr>
          <w:p w14:paraId="0E23B67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B1CD5A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C3CD48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4B365E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15A88E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BB3E610" w14:textId="77777777" w:rsidTr="00B73FDB">
        <w:trPr>
          <w:tblCellSpacing w:w="15" w:type="dxa"/>
        </w:trPr>
        <w:tc>
          <w:tcPr>
            <w:tcW w:w="0" w:type="auto"/>
            <w:shd w:val="clear" w:color="auto" w:fill="C2D69B"/>
            <w:vAlign w:val="center"/>
            <w:hideMark/>
          </w:tcPr>
          <w:p w14:paraId="1F6DBD2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FFF7A4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302 </w:t>
            </w:r>
          </w:p>
        </w:tc>
        <w:tc>
          <w:tcPr>
            <w:tcW w:w="0" w:type="auto"/>
            <w:shd w:val="clear" w:color="auto" w:fill="C2D69B"/>
            <w:noWrap/>
            <w:vAlign w:val="center"/>
            <w:hideMark/>
          </w:tcPr>
          <w:p w14:paraId="1702FD9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318 </w:t>
            </w:r>
          </w:p>
        </w:tc>
        <w:tc>
          <w:tcPr>
            <w:tcW w:w="0" w:type="auto"/>
            <w:shd w:val="clear" w:color="auto" w:fill="C2D69B"/>
            <w:vAlign w:val="center"/>
            <w:hideMark/>
          </w:tcPr>
          <w:p w14:paraId="68C65C3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CCDBC0C"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3A70DBF" w14:textId="77777777" w:rsidTr="00B73FDB">
        <w:trPr>
          <w:tblCellSpacing w:w="15" w:type="dxa"/>
        </w:trPr>
        <w:tc>
          <w:tcPr>
            <w:tcW w:w="0" w:type="auto"/>
            <w:shd w:val="clear" w:color="auto" w:fill="C2D69B"/>
            <w:vAlign w:val="center"/>
            <w:hideMark/>
          </w:tcPr>
          <w:p w14:paraId="5F8DB52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A6B5BA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5237AA3" w14:textId="77777777" w:rsidTr="00B73FDB">
        <w:trPr>
          <w:tblCellSpacing w:w="15" w:type="dxa"/>
        </w:trPr>
        <w:tc>
          <w:tcPr>
            <w:tcW w:w="0" w:type="auto"/>
            <w:shd w:val="clear" w:color="auto" w:fill="C2D69B"/>
            <w:vAlign w:val="center"/>
            <w:hideMark/>
          </w:tcPr>
          <w:p w14:paraId="1AC7458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9C44B6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A8C863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C055B0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482B34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023B1FD" w14:textId="77777777" w:rsidTr="00B73FDB">
        <w:trPr>
          <w:tblCellSpacing w:w="15" w:type="dxa"/>
        </w:trPr>
        <w:tc>
          <w:tcPr>
            <w:tcW w:w="0" w:type="auto"/>
            <w:shd w:val="clear" w:color="auto" w:fill="C2D69B"/>
            <w:vAlign w:val="center"/>
            <w:hideMark/>
          </w:tcPr>
          <w:p w14:paraId="7D2497A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FD9E23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302 </w:t>
            </w:r>
          </w:p>
        </w:tc>
        <w:tc>
          <w:tcPr>
            <w:tcW w:w="0" w:type="auto"/>
            <w:shd w:val="clear" w:color="auto" w:fill="C2D69B"/>
            <w:noWrap/>
            <w:vAlign w:val="center"/>
            <w:hideMark/>
          </w:tcPr>
          <w:p w14:paraId="64C8330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317 </w:t>
            </w:r>
          </w:p>
        </w:tc>
        <w:tc>
          <w:tcPr>
            <w:tcW w:w="0" w:type="auto"/>
            <w:shd w:val="clear" w:color="auto" w:fill="C2D69B"/>
            <w:vAlign w:val="center"/>
            <w:hideMark/>
          </w:tcPr>
          <w:p w14:paraId="6F5A14F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DE332E0" w14:textId="77777777" w:rsidR="00B73FDB" w:rsidRPr="00B73FDB" w:rsidRDefault="00B73FDB" w:rsidP="00B73FDB">
            <w:pPr>
              <w:spacing w:after="0" w:line="240" w:lineRule="auto"/>
              <w:jc w:val="center"/>
              <w:rPr>
                <w:rFonts w:cs="Calibri"/>
                <w:sz w:val="18"/>
                <w:szCs w:val="18"/>
                <w:lang w:eastAsia="sk-SK"/>
              </w:rPr>
            </w:pPr>
          </w:p>
        </w:tc>
      </w:tr>
    </w:tbl>
    <w:p w14:paraId="346FFF11"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Poskytuje všeobecné vzdelanie v 4-ročnej a 8-ročnej forme štúdia so zameraním na cudzie jazyky. </w:t>
      </w:r>
    </w:p>
    <w:p w14:paraId="479905F1"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8.2.16: Gymnázium, Ul.1. mája 8, Malacky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6"/>
        <w:gridCol w:w="2731"/>
        <w:gridCol w:w="1214"/>
        <w:gridCol w:w="1214"/>
        <w:gridCol w:w="1061"/>
        <w:gridCol w:w="1212"/>
        <w:gridCol w:w="2428"/>
      </w:tblGrid>
      <w:tr w:rsidR="00B73FDB" w:rsidRPr="00B73FDB" w14:paraId="4C68023A" w14:textId="77777777" w:rsidTr="00B73FDB">
        <w:trPr>
          <w:tblCellSpacing w:w="15" w:type="dxa"/>
        </w:trPr>
        <w:tc>
          <w:tcPr>
            <w:tcW w:w="267" w:type="pct"/>
            <w:shd w:val="clear" w:color="auto" w:fill="C6DBF7"/>
            <w:vAlign w:val="center"/>
            <w:hideMark/>
          </w:tcPr>
          <w:p w14:paraId="5485D56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2D599F8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6248B05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19A2C8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14FF868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29D9634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13C374E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818140F" w14:textId="77777777" w:rsidTr="00B73FDB">
        <w:trPr>
          <w:tblCellSpacing w:w="15" w:type="dxa"/>
        </w:trPr>
        <w:tc>
          <w:tcPr>
            <w:tcW w:w="267" w:type="pct"/>
            <w:shd w:val="clear" w:color="auto" w:fill="D9D9D9"/>
            <w:noWrap/>
            <w:vAlign w:val="center"/>
            <w:hideMark/>
          </w:tcPr>
          <w:p w14:paraId="4D2A5C23"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6D1D883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20FFE6E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942 495,00</w:t>
            </w:r>
            <w:r w:rsidRPr="00B73FDB">
              <w:rPr>
                <w:rFonts w:cs="Calibri"/>
                <w:sz w:val="18"/>
                <w:szCs w:val="18"/>
                <w:lang w:eastAsia="sk-SK"/>
              </w:rPr>
              <w:t xml:space="preserve"> </w:t>
            </w:r>
          </w:p>
        </w:tc>
        <w:tc>
          <w:tcPr>
            <w:tcW w:w="565" w:type="pct"/>
            <w:shd w:val="clear" w:color="auto" w:fill="D9D9D9"/>
            <w:noWrap/>
            <w:vAlign w:val="center"/>
            <w:hideMark/>
          </w:tcPr>
          <w:p w14:paraId="144ABB1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1 062 085,35</w:t>
            </w:r>
            <w:r w:rsidRPr="00B73FDB">
              <w:rPr>
                <w:rFonts w:cs="Calibri"/>
                <w:sz w:val="18"/>
                <w:szCs w:val="18"/>
                <w:lang w:eastAsia="sk-SK"/>
              </w:rPr>
              <w:t xml:space="preserve"> </w:t>
            </w:r>
          </w:p>
        </w:tc>
        <w:tc>
          <w:tcPr>
            <w:tcW w:w="492" w:type="pct"/>
            <w:shd w:val="clear" w:color="auto" w:fill="D9D9D9"/>
            <w:noWrap/>
            <w:vAlign w:val="center"/>
            <w:hideMark/>
          </w:tcPr>
          <w:p w14:paraId="11F7FC2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969 094,38</w:t>
            </w:r>
            <w:r w:rsidRPr="00B73FDB">
              <w:rPr>
                <w:rFonts w:cs="Calibri"/>
                <w:sz w:val="18"/>
                <w:szCs w:val="18"/>
                <w:lang w:eastAsia="sk-SK"/>
              </w:rPr>
              <w:t xml:space="preserve"> </w:t>
            </w:r>
          </w:p>
        </w:tc>
        <w:tc>
          <w:tcPr>
            <w:tcW w:w="564" w:type="pct"/>
            <w:shd w:val="clear" w:color="auto" w:fill="D9D9D9"/>
            <w:noWrap/>
            <w:vAlign w:val="center"/>
            <w:hideMark/>
          </w:tcPr>
          <w:p w14:paraId="71924B9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91,24</w:t>
            </w:r>
            <w:r w:rsidRPr="00B73FDB">
              <w:rPr>
                <w:rFonts w:cs="Calibri"/>
                <w:sz w:val="18"/>
                <w:szCs w:val="18"/>
                <w:lang w:eastAsia="sk-SK"/>
              </w:rPr>
              <w:t xml:space="preserve"> </w:t>
            </w:r>
          </w:p>
        </w:tc>
        <w:tc>
          <w:tcPr>
            <w:tcW w:w="1136" w:type="pct"/>
            <w:vMerge w:val="restart"/>
            <w:shd w:val="clear" w:color="auto" w:fill="D9D9D9"/>
            <w:vAlign w:val="center"/>
            <w:hideMark/>
          </w:tcPr>
          <w:p w14:paraId="146B131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+54 597,03 EUR</w:t>
            </w:r>
            <w:r w:rsidRPr="00B73FDB">
              <w:rPr>
                <w:rFonts w:cs="Calibri"/>
                <w:sz w:val="18"/>
                <w:szCs w:val="18"/>
                <w:lang w:eastAsia="sk-SK"/>
              </w:rPr>
              <w:t xml:space="preserve"> normatívne finančné prostriedky,</w:t>
            </w:r>
          </w:p>
          <w:p w14:paraId="6AC7F90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+81,00 EUR</w:t>
            </w:r>
            <w:r w:rsidRPr="00B73FDB">
              <w:rPr>
                <w:rFonts w:cs="Calibri"/>
                <w:sz w:val="18"/>
                <w:szCs w:val="18"/>
                <w:lang w:eastAsia="sk-SK"/>
              </w:rPr>
              <w:t xml:space="preserve"> normatívne finančné prostriedky na maturity,</w:t>
            </w:r>
          </w:p>
          <w:p w14:paraId="14AA3B3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+430,00 EUR </w:t>
            </w:r>
            <w:r w:rsidRPr="00B73FDB">
              <w:rPr>
                <w:rFonts w:cs="Calibri"/>
                <w:sz w:val="18"/>
                <w:szCs w:val="18"/>
                <w:lang w:eastAsia="sk-SK"/>
              </w:rPr>
              <w:t>nenormatívne finančné prostriedky na vzdelávacie poukazy,</w:t>
            </w:r>
          </w:p>
          <w:p w14:paraId="61ADAE2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+2 200,00 EUR</w:t>
            </w:r>
            <w:r w:rsidRPr="00B73FDB">
              <w:rPr>
                <w:rFonts w:cs="Calibri"/>
                <w:sz w:val="18"/>
                <w:szCs w:val="18"/>
                <w:lang w:eastAsia="sk-SK"/>
              </w:rPr>
              <w:t xml:space="preserve"> nenormatívne finančné prostriedky za mimoriadne výsledky žiakov,</w:t>
            </w:r>
          </w:p>
          <w:p w14:paraId="5EFDEDF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+2 256,00 EUR</w:t>
            </w:r>
            <w:r w:rsidRPr="00B73FDB">
              <w:rPr>
                <w:rFonts w:cs="Calibri"/>
                <w:sz w:val="18"/>
                <w:szCs w:val="18"/>
                <w:lang w:eastAsia="sk-SK"/>
              </w:rPr>
              <w:t xml:space="preserve"> príspevok na učebnice,</w:t>
            </w:r>
          </w:p>
          <w:p w14:paraId="4E9F35F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+10 950,00 EUR</w:t>
            </w:r>
            <w:r w:rsidRPr="00B73FDB">
              <w:rPr>
                <w:rFonts w:cs="Calibri"/>
                <w:sz w:val="18"/>
                <w:szCs w:val="18"/>
                <w:lang w:eastAsia="sk-SK"/>
              </w:rPr>
              <w:t xml:space="preserve"> nenormatívne finančné prostriedky na lyžiarske kurzy,</w:t>
            </w:r>
          </w:p>
          <w:p w14:paraId="4CE5E34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+252,32 EUR</w:t>
            </w:r>
            <w:r w:rsidRPr="00B73FDB">
              <w:rPr>
                <w:rFonts w:cs="Calibri"/>
                <w:sz w:val="18"/>
                <w:szCs w:val="18"/>
                <w:lang w:eastAsia="sk-SK"/>
              </w:rPr>
              <w:t xml:space="preserve"> nevyčerpané finančné prostriedky z r. 2019,</w:t>
            </w:r>
          </w:p>
          <w:p w14:paraId="2A4DDF0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+280,00 EUR</w:t>
            </w:r>
            <w:r w:rsidRPr="00B73FDB">
              <w:rPr>
                <w:rFonts w:cs="Calibri"/>
                <w:sz w:val="18"/>
                <w:szCs w:val="18"/>
                <w:lang w:eastAsia="sk-SK"/>
              </w:rPr>
              <w:t xml:space="preserve"> školské súťaže z OÚ,</w:t>
            </w:r>
          </w:p>
          <w:p w14:paraId="087127F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+48 544,00 EUR</w:t>
            </w:r>
            <w:r w:rsidRPr="00B73FDB">
              <w:rPr>
                <w:rFonts w:cs="Calibri"/>
                <w:sz w:val="18"/>
                <w:szCs w:val="18"/>
                <w:lang w:eastAsia="sk-SK"/>
              </w:rPr>
              <w:t xml:space="preserve"> navýšenie rozpočtu projektového účtu.</w:t>
            </w:r>
          </w:p>
        </w:tc>
      </w:tr>
      <w:tr w:rsidR="00B73FDB" w:rsidRPr="00B73FDB" w14:paraId="4C03D25D" w14:textId="77777777" w:rsidTr="00B73FDB">
        <w:trPr>
          <w:tblCellSpacing w:w="15" w:type="dxa"/>
        </w:trPr>
        <w:tc>
          <w:tcPr>
            <w:tcW w:w="267" w:type="pct"/>
            <w:shd w:val="clear" w:color="auto" w:fill="D9D9D9"/>
            <w:noWrap/>
            <w:vAlign w:val="center"/>
            <w:hideMark/>
          </w:tcPr>
          <w:p w14:paraId="4EC68D0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321CBF2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13DEEA5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942 495,00</w:t>
            </w:r>
            <w:r w:rsidRPr="00B73FDB">
              <w:rPr>
                <w:rFonts w:cs="Calibri"/>
                <w:sz w:val="18"/>
                <w:szCs w:val="18"/>
                <w:lang w:eastAsia="sk-SK"/>
              </w:rPr>
              <w:t xml:space="preserve"> </w:t>
            </w:r>
          </w:p>
        </w:tc>
        <w:tc>
          <w:tcPr>
            <w:tcW w:w="565" w:type="pct"/>
            <w:shd w:val="clear" w:color="auto" w:fill="D9D9D9"/>
            <w:noWrap/>
            <w:vAlign w:val="center"/>
            <w:hideMark/>
          </w:tcPr>
          <w:p w14:paraId="69D06F3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1 062 085,35</w:t>
            </w:r>
            <w:r w:rsidRPr="00B73FDB">
              <w:rPr>
                <w:rFonts w:cs="Calibri"/>
                <w:sz w:val="18"/>
                <w:szCs w:val="18"/>
                <w:lang w:eastAsia="sk-SK"/>
              </w:rPr>
              <w:t xml:space="preserve"> </w:t>
            </w:r>
          </w:p>
        </w:tc>
        <w:tc>
          <w:tcPr>
            <w:tcW w:w="492" w:type="pct"/>
            <w:shd w:val="clear" w:color="auto" w:fill="D9D9D9"/>
            <w:noWrap/>
            <w:vAlign w:val="center"/>
            <w:hideMark/>
          </w:tcPr>
          <w:p w14:paraId="7C47242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969 094,38</w:t>
            </w:r>
            <w:r w:rsidRPr="00B73FDB">
              <w:rPr>
                <w:rFonts w:cs="Calibri"/>
                <w:sz w:val="18"/>
                <w:szCs w:val="18"/>
                <w:lang w:eastAsia="sk-SK"/>
              </w:rPr>
              <w:t xml:space="preserve"> </w:t>
            </w:r>
          </w:p>
        </w:tc>
        <w:tc>
          <w:tcPr>
            <w:tcW w:w="564" w:type="pct"/>
            <w:shd w:val="clear" w:color="auto" w:fill="D9D9D9"/>
            <w:noWrap/>
            <w:vAlign w:val="center"/>
            <w:hideMark/>
          </w:tcPr>
          <w:p w14:paraId="504325E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91,24</w:t>
            </w:r>
            <w:r w:rsidRPr="00B73FDB">
              <w:rPr>
                <w:rFonts w:cs="Calibri"/>
                <w:sz w:val="18"/>
                <w:szCs w:val="18"/>
                <w:lang w:eastAsia="sk-SK"/>
              </w:rPr>
              <w:t xml:space="preserve"> </w:t>
            </w:r>
          </w:p>
        </w:tc>
        <w:tc>
          <w:tcPr>
            <w:tcW w:w="1136" w:type="pct"/>
            <w:vMerge/>
            <w:shd w:val="clear" w:color="auto" w:fill="D9D9D9"/>
            <w:vAlign w:val="center"/>
            <w:hideMark/>
          </w:tcPr>
          <w:p w14:paraId="3B1266F0"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4DC33C11" w14:textId="77777777" w:rsidTr="00B73FDB">
        <w:trPr>
          <w:tblCellSpacing w:w="15" w:type="dxa"/>
        </w:trPr>
        <w:tc>
          <w:tcPr>
            <w:tcW w:w="267" w:type="pct"/>
            <w:shd w:val="clear" w:color="auto" w:fill="EFEFEF"/>
            <w:noWrap/>
            <w:vAlign w:val="center"/>
            <w:hideMark/>
          </w:tcPr>
          <w:p w14:paraId="49AA171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1D43ECD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51E21C7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531 650,00 </w:t>
            </w:r>
          </w:p>
        </w:tc>
        <w:tc>
          <w:tcPr>
            <w:tcW w:w="565" w:type="pct"/>
            <w:shd w:val="clear" w:color="auto" w:fill="EFEFEF"/>
            <w:noWrap/>
            <w:vAlign w:val="center"/>
            <w:hideMark/>
          </w:tcPr>
          <w:p w14:paraId="6A6B070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591 789,94 </w:t>
            </w:r>
          </w:p>
        </w:tc>
        <w:tc>
          <w:tcPr>
            <w:tcW w:w="492" w:type="pct"/>
            <w:shd w:val="clear" w:color="auto" w:fill="EFEFEF"/>
            <w:noWrap/>
            <w:vAlign w:val="center"/>
            <w:hideMark/>
          </w:tcPr>
          <w:p w14:paraId="26FA674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591 789,94 </w:t>
            </w:r>
          </w:p>
        </w:tc>
        <w:tc>
          <w:tcPr>
            <w:tcW w:w="564" w:type="pct"/>
            <w:shd w:val="clear" w:color="auto" w:fill="EFEFEF"/>
            <w:noWrap/>
            <w:vAlign w:val="center"/>
            <w:hideMark/>
          </w:tcPr>
          <w:p w14:paraId="6F59A5D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D3B79F9" w14:textId="77777777" w:rsidR="00B73FDB" w:rsidRPr="00B73FDB" w:rsidRDefault="00B73FDB" w:rsidP="00B73FDB">
            <w:pPr>
              <w:spacing w:after="0" w:line="240" w:lineRule="auto"/>
              <w:rPr>
                <w:rFonts w:cs="Calibri"/>
                <w:sz w:val="18"/>
                <w:szCs w:val="18"/>
                <w:lang w:eastAsia="sk-SK"/>
              </w:rPr>
            </w:pPr>
          </w:p>
        </w:tc>
      </w:tr>
      <w:tr w:rsidR="00B73FDB" w:rsidRPr="00B73FDB" w14:paraId="18EE4597" w14:textId="77777777" w:rsidTr="00B73FDB">
        <w:trPr>
          <w:tblCellSpacing w:w="15" w:type="dxa"/>
        </w:trPr>
        <w:tc>
          <w:tcPr>
            <w:tcW w:w="267" w:type="pct"/>
            <w:shd w:val="clear" w:color="auto" w:fill="EFEFEF"/>
            <w:noWrap/>
            <w:vAlign w:val="center"/>
            <w:hideMark/>
          </w:tcPr>
          <w:p w14:paraId="55E4469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3176119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198C85F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196 900,00 </w:t>
            </w:r>
          </w:p>
        </w:tc>
        <w:tc>
          <w:tcPr>
            <w:tcW w:w="565" w:type="pct"/>
            <w:shd w:val="clear" w:color="auto" w:fill="EFEFEF"/>
            <w:noWrap/>
            <w:vAlign w:val="center"/>
            <w:hideMark/>
          </w:tcPr>
          <w:p w14:paraId="3EFB7D7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198 802,10 </w:t>
            </w:r>
          </w:p>
        </w:tc>
        <w:tc>
          <w:tcPr>
            <w:tcW w:w="492" w:type="pct"/>
            <w:shd w:val="clear" w:color="auto" w:fill="EFEFEF"/>
            <w:noWrap/>
            <w:vAlign w:val="center"/>
            <w:hideMark/>
          </w:tcPr>
          <w:p w14:paraId="51081A7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198 802,10 </w:t>
            </w:r>
          </w:p>
        </w:tc>
        <w:tc>
          <w:tcPr>
            <w:tcW w:w="564" w:type="pct"/>
            <w:shd w:val="clear" w:color="auto" w:fill="EFEFEF"/>
            <w:noWrap/>
            <w:vAlign w:val="center"/>
            <w:hideMark/>
          </w:tcPr>
          <w:p w14:paraId="3EEB11F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B1D951C" w14:textId="77777777" w:rsidR="00B73FDB" w:rsidRPr="00B73FDB" w:rsidRDefault="00B73FDB" w:rsidP="00B73FDB">
            <w:pPr>
              <w:spacing w:after="0" w:line="240" w:lineRule="auto"/>
              <w:rPr>
                <w:rFonts w:cs="Calibri"/>
                <w:sz w:val="18"/>
                <w:szCs w:val="18"/>
                <w:lang w:eastAsia="sk-SK"/>
              </w:rPr>
            </w:pPr>
          </w:p>
        </w:tc>
      </w:tr>
      <w:tr w:rsidR="00B73FDB" w:rsidRPr="00B73FDB" w14:paraId="4BE3E8DE" w14:textId="77777777" w:rsidTr="00B73FDB">
        <w:trPr>
          <w:tblCellSpacing w:w="15" w:type="dxa"/>
        </w:trPr>
        <w:tc>
          <w:tcPr>
            <w:tcW w:w="267" w:type="pct"/>
            <w:shd w:val="clear" w:color="auto" w:fill="EFEFEF"/>
            <w:noWrap/>
            <w:vAlign w:val="center"/>
            <w:hideMark/>
          </w:tcPr>
          <w:p w14:paraId="07F0735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2E85C75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5D3E372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213 945,00 </w:t>
            </w:r>
          </w:p>
        </w:tc>
        <w:tc>
          <w:tcPr>
            <w:tcW w:w="565" w:type="pct"/>
            <w:shd w:val="clear" w:color="auto" w:fill="EFEFEF"/>
            <w:noWrap/>
            <w:vAlign w:val="center"/>
            <w:hideMark/>
          </w:tcPr>
          <w:p w14:paraId="36D7342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269 461,85 </w:t>
            </w:r>
          </w:p>
        </w:tc>
        <w:tc>
          <w:tcPr>
            <w:tcW w:w="492" w:type="pct"/>
            <w:shd w:val="clear" w:color="auto" w:fill="EFEFEF"/>
            <w:noWrap/>
            <w:vAlign w:val="center"/>
            <w:hideMark/>
          </w:tcPr>
          <w:p w14:paraId="78F98E1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176 470,88 </w:t>
            </w:r>
          </w:p>
        </w:tc>
        <w:tc>
          <w:tcPr>
            <w:tcW w:w="564" w:type="pct"/>
            <w:shd w:val="clear" w:color="auto" w:fill="EFEFEF"/>
            <w:noWrap/>
            <w:vAlign w:val="center"/>
            <w:hideMark/>
          </w:tcPr>
          <w:p w14:paraId="18CD103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65,49 </w:t>
            </w:r>
          </w:p>
        </w:tc>
        <w:tc>
          <w:tcPr>
            <w:tcW w:w="1136" w:type="pct"/>
            <w:vMerge/>
            <w:shd w:val="clear" w:color="auto" w:fill="EFEFEF"/>
            <w:vAlign w:val="center"/>
            <w:hideMark/>
          </w:tcPr>
          <w:p w14:paraId="0DF35A82" w14:textId="77777777" w:rsidR="00B73FDB" w:rsidRPr="00B73FDB" w:rsidRDefault="00B73FDB" w:rsidP="00B73FDB">
            <w:pPr>
              <w:spacing w:after="0" w:line="240" w:lineRule="auto"/>
              <w:rPr>
                <w:rFonts w:cs="Calibri"/>
                <w:sz w:val="18"/>
                <w:szCs w:val="18"/>
                <w:lang w:eastAsia="sk-SK"/>
              </w:rPr>
            </w:pPr>
          </w:p>
        </w:tc>
      </w:tr>
    </w:tbl>
    <w:p w14:paraId="01697CF8"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79"/>
        <w:gridCol w:w="767"/>
        <w:gridCol w:w="1706"/>
        <w:gridCol w:w="1355"/>
        <w:gridCol w:w="4159"/>
      </w:tblGrid>
      <w:tr w:rsidR="00B73FDB" w:rsidRPr="00B73FDB" w14:paraId="67C2EC55" w14:textId="77777777" w:rsidTr="00B73FDB">
        <w:trPr>
          <w:tblCellSpacing w:w="15" w:type="dxa"/>
        </w:trPr>
        <w:tc>
          <w:tcPr>
            <w:tcW w:w="0" w:type="auto"/>
            <w:shd w:val="clear" w:color="auto" w:fill="C2D69B"/>
            <w:vAlign w:val="center"/>
            <w:hideMark/>
          </w:tcPr>
          <w:p w14:paraId="46EBF44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507653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0241B7D1" w14:textId="77777777" w:rsidTr="00B73FDB">
        <w:trPr>
          <w:tblCellSpacing w:w="15" w:type="dxa"/>
        </w:trPr>
        <w:tc>
          <w:tcPr>
            <w:tcW w:w="0" w:type="auto"/>
            <w:shd w:val="clear" w:color="auto" w:fill="C2D69B"/>
            <w:vAlign w:val="center"/>
            <w:hideMark/>
          </w:tcPr>
          <w:p w14:paraId="3BF174A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91553E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228924F9" w14:textId="77777777" w:rsidTr="00B73FDB">
        <w:trPr>
          <w:tblCellSpacing w:w="15" w:type="dxa"/>
        </w:trPr>
        <w:tc>
          <w:tcPr>
            <w:tcW w:w="0" w:type="auto"/>
            <w:shd w:val="clear" w:color="auto" w:fill="C2D69B"/>
            <w:vAlign w:val="center"/>
            <w:hideMark/>
          </w:tcPr>
          <w:p w14:paraId="2E35850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63DF91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DA98084" w14:textId="77777777" w:rsidTr="00B73FDB">
        <w:trPr>
          <w:tblCellSpacing w:w="15" w:type="dxa"/>
        </w:trPr>
        <w:tc>
          <w:tcPr>
            <w:tcW w:w="0" w:type="auto"/>
            <w:shd w:val="clear" w:color="auto" w:fill="C2D69B"/>
            <w:vAlign w:val="center"/>
            <w:hideMark/>
          </w:tcPr>
          <w:p w14:paraId="025C1A7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270B91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979DAC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2CC29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D5414A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359854C" w14:textId="77777777" w:rsidTr="00B73FDB">
        <w:trPr>
          <w:tblCellSpacing w:w="15" w:type="dxa"/>
        </w:trPr>
        <w:tc>
          <w:tcPr>
            <w:tcW w:w="0" w:type="auto"/>
            <w:shd w:val="clear" w:color="auto" w:fill="C2D69B"/>
            <w:vAlign w:val="center"/>
            <w:hideMark/>
          </w:tcPr>
          <w:p w14:paraId="6AB4421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05822D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424 </w:t>
            </w:r>
          </w:p>
        </w:tc>
        <w:tc>
          <w:tcPr>
            <w:tcW w:w="0" w:type="auto"/>
            <w:shd w:val="clear" w:color="auto" w:fill="C2D69B"/>
            <w:noWrap/>
            <w:vAlign w:val="center"/>
            <w:hideMark/>
          </w:tcPr>
          <w:p w14:paraId="703CFAE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435 </w:t>
            </w:r>
          </w:p>
        </w:tc>
        <w:tc>
          <w:tcPr>
            <w:tcW w:w="0" w:type="auto"/>
            <w:shd w:val="clear" w:color="auto" w:fill="C2D69B"/>
            <w:vAlign w:val="center"/>
            <w:hideMark/>
          </w:tcPr>
          <w:p w14:paraId="6E7157B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D3FCAF3"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EDDB172" w14:textId="77777777" w:rsidTr="00B73FDB">
        <w:trPr>
          <w:tblCellSpacing w:w="15" w:type="dxa"/>
        </w:trPr>
        <w:tc>
          <w:tcPr>
            <w:tcW w:w="0" w:type="auto"/>
            <w:shd w:val="clear" w:color="auto" w:fill="C2D69B"/>
            <w:vAlign w:val="center"/>
            <w:hideMark/>
          </w:tcPr>
          <w:p w14:paraId="7C5B973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0C4F4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0196D7FE" w14:textId="77777777" w:rsidTr="00B73FDB">
        <w:trPr>
          <w:tblCellSpacing w:w="15" w:type="dxa"/>
        </w:trPr>
        <w:tc>
          <w:tcPr>
            <w:tcW w:w="0" w:type="auto"/>
            <w:shd w:val="clear" w:color="auto" w:fill="C2D69B"/>
            <w:vAlign w:val="center"/>
            <w:hideMark/>
          </w:tcPr>
          <w:p w14:paraId="19ED637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30CB7C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9F3ED7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DE9DEB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011452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2FBF5C7" w14:textId="77777777" w:rsidTr="00B73FDB">
        <w:trPr>
          <w:tblCellSpacing w:w="15" w:type="dxa"/>
        </w:trPr>
        <w:tc>
          <w:tcPr>
            <w:tcW w:w="0" w:type="auto"/>
            <w:shd w:val="clear" w:color="auto" w:fill="C2D69B"/>
            <w:vAlign w:val="center"/>
            <w:hideMark/>
          </w:tcPr>
          <w:p w14:paraId="12E8D131"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2020</w:t>
            </w:r>
            <w:r w:rsidRPr="00B73FDB">
              <w:rPr>
                <w:rFonts w:cs="Calibri"/>
                <w:sz w:val="24"/>
                <w:szCs w:val="24"/>
                <w:lang w:eastAsia="sk-SK"/>
              </w:rPr>
              <w:t xml:space="preserve"> </w:t>
            </w:r>
          </w:p>
        </w:tc>
        <w:tc>
          <w:tcPr>
            <w:tcW w:w="0" w:type="auto"/>
            <w:shd w:val="clear" w:color="auto" w:fill="C2D69B"/>
            <w:noWrap/>
            <w:vAlign w:val="center"/>
            <w:hideMark/>
          </w:tcPr>
          <w:p w14:paraId="08ADF4D6"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 424</w:t>
            </w:r>
            <w:r w:rsidRPr="00B73FDB">
              <w:rPr>
                <w:rFonts w:cs="Calibri"/>
                <w:sz w:val="24"/>
                <w:szCs w:val="24"/>
                <w:lang w:eastAsia="sk-SK"/>
              </w:rPr>
              <w:t xml:space="preserve"> </w:t>
            </w:r>
          </w:p>
        </w:tc>
        <w:tc>
          <w:tcPr>
            <w:tcW w:w="0" w:type="auto"/>
            <w:shd w:val="clear" w:color="auto" w:fill="C2D69B"/>
            <w:noWrap/>
            <w:vAlign w:val="center"/>
            <w:hideMark/>
          </w:tcPr>
          <w:p w14:paraId="14965EEB"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 430</w:t>
            </w:r>
            <w:r w:rsidRPr="00B73FDB">
              <w:rPr>
                <w:rFonts w:cs="Calibri"/>
                <w:sz w:val="24"/>
                <w:szCs w:val="24"/>
                <w:lang w:eastAsia="sk-SK"/>
              </w:rPr>
              <w:t xml:space="preserve"> </w:t>
            </w:r>
          </w:p>
        </w:tc>
        <w:tc>
          <w:tcPr>
            <w:tcW w:w="0" w:type="auto"/>
            <w:shd w:val="clear" w:color="auto" w:fill="C2D69B"/>
            <w:vAlign w:val="center"/>
            <w:hideMark/>
          </w:tcPr>
          <w:p w14:paraId="67C41CCC"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Splnené</w:t>
            </w:r>
            <w:r w:rsidRPr="00B73FDB">
              <w:rPr>
                <w:rFonts w:cs="Calibri"/>
                <w:sz w:val="24"/>
                <w:szCs w:val="24"/>
                <w:lang w:eastAsia="sk-SK"/>
              </w:rPr>
              <w:t xml:space="preserve"> </w:t>
            </w:r>
          </w:p>
        </w:tc>
        <w:tc>
          <w:tcPr>
            <w:tcW w:w="0" w:type="auto"/>
            <w:shd w:val="clear" w:color="auto" w:fill="C2D69B"/>
            <w:vAlign w:val="center"/>
            <w:hideMark/>
          </w:tcPr>
          <w:p w14:paraId="6991A1E0" w14:textId="77777777" w:rsidR="00B73FDB" w:rsidRPr="00B73FDB" w:rsidRDefault="00B73FDB" w:rsidP="00B73FDB">
            <w:pPr>
              <w:spacing w:after="0" w:line="240" w:lineRule="auto"/>
              <w:jc w:val="center"/>
              <w:rPr>
                <w:rFonts w:cs="Calibri"/>
                <w:sz w:val="24"/>
                <w:szCs w:val="24"/>
                <w:lang w:eastAsia="sk-SK"/>
              </w:rPr>
            </w:pPr>
          </w:p>
        </w:tc>
      </w:tr>
    </w:tbl>
    <w:p w14:paraId="6710A03E"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 xml:space="preserve">Poskytuje všeobecné vzdelanie v 4-ročnej, 5-ročnej a 8-ročnej forme štúdia so zameraním na cudzie jazyky. </w:t>
      </w:r>
    </w:p>
    <w:p w14:paraId="03E05945"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8.2.17: Gymnázium, Senecká 2, Pezinok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2731"/>
        <w:gridCol w:w="1212"/>
        <w:gridCol w:w="1212"/>
        <w:gridCol w:w="1061"/>
        <w:gridCol w:w="1214"/>
        <w:gridCol w:w="2426"/>
      </w:tblGrid>
      <w:tr w:rsidR="00B73FDB" w:rsidRPr="00B73FDB" w14:paraId="3644D428" w14:textId="77777777" w:rsidTr="00B73FDB">
        <w:trPr>
          <w:tblCellSpacing w:w="15" w:type="dxa"/>
        </w:trPr>
        <w:tc>
          <w:tcPr>
            <w:tcW w:w="269" w:type="pct"/>
            <w:shd w:val="clear" w:color="auto" w:fill="C6DBF7"/>
            <w:vAlign w:val="center"/>
            <w:hideMark/>
          </w:tcPr>
          <w:p w14:paraId="50CD716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74834A6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6BC9A1F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315841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21DB55F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767CFA2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3396ABA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37C59981" w14:textId="77777777" w:rsidTr="00B73FDB">
        <w:trPr>
          <w:tblCellSpacing w:w="15" w:type="dxa"/>
        </w:trPr>
        <w:tc>
          <w:tcPr>
            <w:tcW w:w="269" w:type="pct"/>
            <w:shd w:val="clear" w:color="auto" w:fill="D9D9D9"/>
            <w:noWrap/>
            <w:vAlign w:val="center"/>
            <w:hideMark/>
          </w:tcPr>
          <w:p w14:paraId="098BC0E0"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517309A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4545E89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841 275,00</w:t>
            </w:r>
            <w:r w:rsidRPr="00B73FDB">
              <w:rPr>
                <w:rFonts w:cs="Calibri"/>
                <w:sz w:val="18"/>
                <w:szCs w:val="18"/>
                <w:lang w:eastAsia="sk-SK"/>
              </w:rPr>
              <w:t xml:space="preserve"> </w:t>
            </w:r>
          </w:p>
        </w:tc>
        <w:tc>
          <w:tcPr>
            <w:tcW w:w="564" w:type="pct"/>
            <w:shd w:val="clear" w:color="auto" w:fill="D9D9D9"/>
            <w:noWrap/>
            <w:vAlign w:val="center"/>
            <w:hideMark/>
          </w:tcPr>
          <w:p w14:paraId="25F8C70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876 422,03</w:t>
            </w:r>
            <w:r w:rsidRPr="00B73FDB">
              <w:rPr>
                <w:rFonts w:cs="Calibri"/>
                <w:sz w:val="18"/>
                <w:szCs w:val="18"/>
                <w:lang w:eastAsia="sk-SK"/>
              </w:rPr>
              <w:t xml:space="preserve"> </w:t>
            </w:r>
          </w:p>
        </w:tc>
        <w:tc>
          <w:tcPr>
            <w:tcW w:w="492" w:type="pct"/>
            <w:shd w:val="clear" w:color="auto" w:fill="D9D9D9"/>
            <w:noWrap/>
            <w:vAlign w:val="center"/>
            <w:hideMark/>
          </w:tcPr>
          <w:p w14:paraId="53F8B0D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861 636,63</w:t>
            </w:r>
            <w:r w:rsidRPr="00B73FDB">
              <w:rPr>
                <w:rFonts w:cs="Calibri"/>
                <w:sz w:val="18"/>
                <w:szCs w:val="18"/>
                <w:lang w:eastAsia="sk-SK"/>
              </w:rPr>
              <w:t xml:space="preserve"> </w:t>
            </w:r>
          </w:p>
        </w:tc>
        <w:tc>
          <w:tcPr>
            <w:tcW w:w="565" w:type="pct"/>
            <w:shd w:val="clear" w:color="auto" w:fill="D9D9D9"/>
            <w:noWrap/>
            <w:vAlign w:val="center"/>
            <w:hideMark/>
          </w:tcPr>
          <w:p w14:paraId="06A4D24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98,31</w:t>
            </w:r>
            <w:r w:rsidRPr="00B73FDB">
              <w:rPr>
                <w:rFonts w:cs="Calibri"/>
                <w:sz w:val="18"/>
                <w:szCs w:val="18"/>
                <w:lang w:eastAsia="sk-SK"/>
              </w:rPr>
              <w:t xml:space="preserve"> </w:t>
            </w:r>
          </w:p>
        </w:tc>
        <w:tc>
          <w:tcPr>
            <w:tcW w:w="1136" w:type="pct"/>
            <w:vMerge w:val="restart"/>
            <w:shd w:val="clear" w:color="auto" w:fill="D9D9D9"/>
            <w:vAlign w:val="center"/>
            <w:hideMark/>
          </w:tcPr>
          <w:p w14:paraId="7C2444D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+17 748,00 EUR</w:t>
            </w:r>
            <w:r w:rsidRPr="00B73FDB">
              <w:rPr>
                <w:rFonts w:cs="Calibri"/>
                <w:sz w:val="18"/>
                <w:szCs w:val="18"/>
                <w:lang w:eastAsia="sk-SK"/>
              </w:rPr>
              <w:t xml:space="preserve"> normatívne finančné prostriedky,</w:t>
            </w:r>
          </w:p>
          <w:p w14:paraId="1671AB6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+476,00 EUR</w:t>
            </w:r>
            <w:r w:rsidRPr="00B73FDB">
              <w:rPr>
                <w:rFonts w:cs="Calibri"/>
                <w:sz w:val="18"/>
                <w:szCs w:val="18"/>
                <w:lang w:eastAsia="sk-SK"/>
              </w:rPr>
              <w:t xml:space="preserve"> normatívne finančné prostriedky na maturity,</w:t>
            </w:r>
          </w:p>
          <w:p w14:paraId="21CA147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+615,00 EUR </w:t>
            </w:r>
            <w:r w:rsidRPr="00B73FDB">
              <w:rPr>
                <w:rFonts w:cs="Calibri"/>
                <w:sz w:val="18"/>
                <w:szCs w:val="18"/>
                <w:lang w:eastAsia="sk-SK"/>
              </w:rPr>
              <w:t>nenormatívne finančné prostriedky na vzdelávacie poukazy,</w:t>
            </w:r>
          </w:p>
          <w:p w14:paraId="607F147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+1 808,00 EUR</w:t>
            </w:r>
            <w:r w:rsidRPr="00B73FDB">
              <w:rPr>
                <w:rFonts w:cs="Calibri"/>
                <w:sz w:val="18"/>
                <w:szCs w:val="18"/>
                <w:lang w:eastAsia="sk-SK"/>
              </w:rPr>
              <w:t xml:space="preserve"> príspevok na učebnice,</w:t>
            </w:r>
          </w:p>
          <w:p w14:paraId="0640AB7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+1 957,00 EUR</w:t>
            </w:r>
            <w:r w:rsidRPr="00B73FDB">
              <w:rPr>
                <w:rFonts w:cs="Calibri"/>
                <w:sz w:val="18"/>
                <w:szCs w:val="18"/>
                <w:lang w:eastAsia="sk-SK"/>
              </w:rPr>
              <w:t xml:space="preserve"> odchodné do dôchodku,</w:t>
            </w:r>
          </w:p>
          <w:p w14:paraId="79FDC6D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+4 200,00 EUR</w:t>
            </w:r>
            <w:r w:rsidRPr="00B73FDB">
              <w:rPr>
                <w:rFonts w:cs="Calibri"/>
                <w:sz w:val="18"/>
                <w:szCs w:val="18"/>
                <w:lang w:eastAsia="sk-SK"/>
              </w:rPr>
              <w:t xml:space="preserve"> nenormatívne finančné prostriedky na lyžiarske kurzy,</w:t>
            </w:r>
          </w:p>
          <w:p w14:paraId="17C2408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+8 153,03 EUR</w:t>
            </w:r>
            <w:r w:rsidRPr="00B73FDB">
              <w:rPr>
                <w:rFonts w:cs="Calibri"/>
                <w:sz w:val="18"/>
                <w:szCs w:val="18"/>
                <w:lang w:eastAsia="sk-SK"/>
              </w:rPr>
              <w:t xml:space="preserve"> nevyčerpané finančné prostriedky z r. 2019,</w:t>
            </w:r>
          </w:p>
          <w:p w14:paraId="1232892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+190,00 EUR</w:t>
            </w:r>
            <w:r w:rsidRPr="00B73FDB">
              <w:rPr>
                <w:rFonts w:cs="Calibri"/>
                <w:sz w:val="18"/>
                <w:szCs w:val="18"/>
                <w:lang w:eastAsia="sk-SK"/>
              </w:rPr>
              <w:t xml:space="preserve"> školské súťaže z OÚ.</w:t>
            </w:r>
          </w:p>
        </w:tc>
      </w:tr>
      <w:tr w:rsidR="00B73FDB" w:rsidRPr="00B73FDB" w14:paraId="59997ADD" w14:textId="77777777" w:rsidTr="00B73FDB">
        <w:trPr>
          <w:tblCellSpacing w:w="15" w:type="dxa"/>
        </w:trPr>
        <w:tc>
          <w:tcPr>
            <w:tcW w:w="269" w:type="pct"/>
            <w:shd w:val="clear" w:color="auto" w:fill="D9D9D9"/>
            <w:noWrap/>
            <w:vAlign w:val="center"/>
            <w:hideMark/>
          </w:tcPr>
          <w:p w14:paraId="329EC40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0FD2218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0B5DC0C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841 275,00</w:t>
            </w:r>
            <w:r w:rsidRPr="00B73FDB">
              <w:rPr>
                <w:rFonts w:cs="Calibri"/>
                <w:sz w:val="18"/>
                <w:szCs w:val="18"/>
                <w:lang w:eastAsia="sk-SK"/>
              </w:rPr>
              <w:t xml:space="preserve"> </w:t>
            </w:r>
          </w:p>
        </w:tc>
        <w:tc>
          <w:tcPr>
            <w:tcW w:w="564" w:type="pct"/>
            <w:shd w:val="clear" w:color="auto" w:fill="D9D9D9"/>
            <w:noWrap/>
            <w:vAlign w:val="center"/>
            <w:hideMark/>
          </w:tcPr>
          <w:p w14:paraId="26B8EEE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876 422,03</w:t>
            </w:r>
            <w:r w:rsidRPr="00B73FDB">
              <w:rPr>
                <w:rFonts w:cs="Calibri"/>
                <w:sz w:val="18"/>
                <w:szCs w:val="18"/>
                <w:lang w:eastAsia="sk-SK"/>
              </w:rPr>
              <w:t xml:space="preserve"> </w:t>
            </w:r>
          </w:p>
        </w:tc>
        <w:tc>
          <w:tcPr>
            <w:tcW w:w="492" w:type="pct"/>
            <w:shd w:val="clear" w:color="auto" w:fill="D9D9D9"/>
            <w:noWrap/>
            <w:vAlign w:val="center"/>
            <w:hideMark/>
          </w:tcPr>
          <w:p w14:paraId="1FB2DE2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861 636,63</w:t>
            </w:r>
            <w:r w:rsidRPr="00B73FDB">
              <w:rPr>
                <w:rFonts w:cs="Calibri"/>
                <w:sz w:val="18"/>
                <w:szCs w:val="18"/>
                <w:lang w:eastAsia="sk-SK"/>
              </w:rPr>
              <w:t xml:space="preserve"> </w:t>
            </w:r>
          </w:p>
        </w:tc>
        <w:tc>
          <w:tcPr>
            <w:tcW w:w="565" w:type="pct"/>
            <w:shd w:val="clear" w:color="auto" w:fill="D9D9D9"/>
            <w:noWrap/>
            <w:vAlign w:val="center"/>
            <w:hideMark/>
          </w:tcPr>
          <w:p w14:paraId="2C005E4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98,31</w:t>
            </w:r>
            <w:r w:rsidRPr="00B73FDB">
              <w:rPr>
                <w:rFonts w:cs="Calibri"/>
                <w:sz w:val="18"/>
                <w:szCs w:val="18"/>
                <w:lang w:eastAsia="sk-SK"/>
              </w:rPr>
              <w:t xml:space="preserve"> </w:t>
            </w:r>
          </w:p>
        </w:tc>
        <w:tc>
          <w:tcPr>
            <w:tcW w:w="1136" w:type="pct"/>
            <w:vMerge/>
            <w:shd w:val="clear" w:color="auto" w:fill="D9D9D9"/>
            <w:vAlign w:val="center"/>
            <w:hideMark/>
          </w:tcPr>
          <w:p w14:paraId="252D6572"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735EA926" w14:textId="77777777" w:rsidTr="00B73FDB">
        <w:trPr>
          <w:tblCellSpacing w:w="15" w:type="dxa"/>
        </w:trPr>
        <w:tc>
          <w:tcPr>
            <w:tcW w:w="269" w:type="pct"/>
            <w:shd w:val="clear" w:color="auto" w:fill="EFEFEF"/>
            <w:noWrap/>
            <w:vAlign w:val="center"/>
            <w:hideMark/>
          </w:tcPr>
          <w:p w14:paraId="700B4FD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7D01F57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4F32CFD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561 951,00 </w:t>
            </w:r>
          </w:p>
        </w:tc>
        <w:tc>
          <w:tcPr>
            <w:tcW w:w="564" w:type="pct"/>
            <w:shd w:val="clear" w:color="auto" w:fill="EFEFEF"/>
            <w:noWrap/>
            <w:vAlign w:val="center"/>
            <w:hideMark/>
          </w:tcPr>
          <w:p w14:paraId="6B5C3D7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570 000,89 </w:t>
            </w:r>
          </w:p>
        </w:tc>
        <w:tc>
          <w:tcPr>
            <w:tcW w:w="492" w:type="pct"/>
            <w:shd w:val="clear" w:color="auto" w:fill="EFEFEF"/>
            <w:noWrap/>
            <w:vAlign w:val="center"/>
            <w:hideMark/>
          </w:tcPr>
          <w:p w14:paraId="4CAE56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570 000,89 </w:t>
            </w:r>
          </w:p>
        </w:tc>
        <w:tc>
          <w:tcPr>
            <w:tcW w:w="565" w:type="pct"/>
            <w:shd w:val="clear" w:color="auto" w:fill="EFEFEF"/>
            <w:noWrap/>
            <w:vAlign w:val="center"/>
            <w:hideMark/>
          </w:tcPr>
          <w:p w14:paraId="5739FBF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66840FCA" w14:textId="77777777" w:rsidR="00B73FDB" w:rsidRPr="00B73FDB" w:rsidRDefault="00B73FDB" w:rsidP="00B73FDB">
            <w:pPr>
              <w:spacing w:after="0" w:line="240" w:lineRule="auto"/>
              <w:rPr>
                <w:rFonts w:cs="Calibri"/>
                <w:sz w:val="18"/>
                <w:szCs w:val="18"/>
                <w:lang w:eastAsia="sk-SK"/>
              </w:rPr>
            </w:pPr>
          </w:p>
        </w:tc>
      </w:tr>
      <w:tr w:rsidR="00B73FDB" w:rsidRPr="00B73FDB" w14:paraId="23C08069" w14:textId="77777777" w:rsidTr="00B73FDB">
        <w:trPr>
          <w:tblCellSpacing w:w="15" w:type="dxa"/>
        </w:trPr>
        <w:tc>
          <w:tcPr>
            <w:tcW w:w="269" w:type="pct"/>
            <w:shd w:val="clear" w:color="auto" w:fill="EFEFEF"/>
            <w:noWrap/>
            <w:vAlign w:val="center"/>
            <w:hideMark/>
          </w:tcPr>
          <w:p w14:paraId="118BFEC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42BB032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1B757CC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199 967,00 </w:t>
            </w:r>
          </w:p>
        </w:tc>
        <w:tc>
          <w:tcPr>
            <w:tcW w:w="564" w:type="pct"/>
            <w:shd w:val="clear" w:color="auto" w:fill="EFEFEF"/>
            <w:noWrap/>
            <w:vAlign w:val="center"/>
            <w:hideMark/>
          </w:tcPr>
          <w:p w14:paraId="05400D2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182 265,20 </w:t>
            </w:r>
          </w:p>
        </w:tc>
        <w:tc>
          <w:tcPr>
            <w:tcW w:w="492" w:type="pct"/>
            <w:shd w:val="clear" w:color="auto" w:fill="EFEFEF"/>
            <w:noWrap/>
            <w:vAlign w:val="center"/>
            <w:hideMark/>
          </w:tcPr>
          <w:p w14:paraId="0545292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182 265,20 </w:t>
            </w:r>
          </w:p>
        </w:tc>
        <w:tc>
          <w:tcPr>
            <w:tcW w:w="565" w:type="pct"/>
            <w:shd w:val="clear" w:color="auto" w:fill="EFEFEF"/>
            <w:noWrap/>
            <w:vAlign w:val="center"/>
            <w:hideMark/>
          </w:tcPr>
          <w:p w14:paraId="49484F1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60E758C" w14:textId="77777777" w:rsidR="00B73FDB" w:rsidRPr="00B73FDB" w:rsidRDefault="00B73FDB" w:rsidP="00B73FDB">
            <w:pPr>
              <w:spacing w:after="0" w:line="240" w:lineRule="auto"/>
              <w:rPr>
                <w:rFonts w:cs="Calibri"/>
                <w:sz w:val="18"/>
                <w:szCs w:val="18"/>
                <w:lang w:eastAsia="sk-SK"/>
              </w:rPr>
            </w:pPr>
          </w:p>
        </w:tc>
      </w:tr>
      <w:tr w:rsidR="00B73FDB" w:rsidRPr="00B73FDB" w14:paraId="347207C3" w14:textId="77777777" w:rsidTr="00B73FDB">
        <w:trPr>
          <w:tblCellSpacing w:w="15" w:type="dxa"/>
        </w:trPr>
        <w:tc>
          <w:tcPr>
            <w:tcW w:w="269" w:type="pct"/>
            <w:shd w:val="clear" w:color="auto" w:fill="EFEFEF"/>
            <w:noWrap/>
            <w:vAlign w:val="center"/>
            <w:hideMark/>
          </w:tcPr>
          <w:p w14:paraId="2B0AFC0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5F74A2F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189CBD9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79 357,00 </w:t>
            </w:r>
          </w:p>
        </w:tc>
        <w:tc>
          <w:tcPr>
            <w:tcW w:w="564" w:type="pct"/>
            <w:shd w:val="clear" w:color="auto" w:fill="EFEFEF"/>
            <w:noWrap/>
            <w:vAlign w:val="center"/>
            <w:hideMark/>
          </w:tcPr>
          <w:p w14:paraId="5021235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117 813,13 </w:t>
            </w:r>
          </w:p>
        </w:tc>
        <w:tc>
          <w:tcPr>
            <w:tcW w:w="492" w:type="pct"/>
            <w:shd w:val="clear" w:color="auto" w:fill="EFEFEF"/>
            <w:noWrap/>
            <w:vAlign w:val="center"/>
            <w:hideMark/>
          </w:tcPr>
          <w:p w14:paraId="22568FC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103 027,73 </w:t>
            </w:r>
          </w:p>
        </w:tc>
        <w:tc>
          <w:tcPr>
            <w:tcW w:w="565" w:type="pct"/>
            <w:shd w:val="clear" w:color="auto" w:fill="EFEFEF"/>
            <w:noWrap/>
            <w:vAlign w:val="center"/>
            <w:hideMark/>
          </w:tcPr>
          <w:p w14:paraId="6DD5F1A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87,45 </w:t>
            </w:r>
          </w:p>
        </w:tc>
        <w:tc>
          <w:tcPr>
            <w:tcW w:w="1136" w:type="pct"/>
            <w:vMerge/>
            <w:shd w:val="clear" w:color="auto" w:fill="EFEFEF"/>
            <w:vAlign w:val="center"/>
            <w:hideMark/>
          </w:tcPr>
          <w:p w14:paraId="43A5386A" w14:textId="77777777" w:rsidR="00B73FDB" w:rsidRPr="00B73FDB" w:rsidRDefault="00B73FDB" w:rsidP="00B73FDB">
            <w:pPr>
              <w:spacing w:after="0" w:line="240" w:lineRule="auto"/>
              <w:rPr>
                <w:rFonts w:cs="Calibri"/>
                <w:sz w:val="18"/>
                <w:szCs w:val="18"/>
                <w:lang w:eastAsia="sk-SK"/>
              </w:rPr>
            </w:pPr>
          </w:p>
        </w:tc>
      </w:tr>
    </w:tbl>
    <w:p w14:paraId="15A081BC"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0DB9645F" w14:textId="77777777" w:rsidTr="00B73FDB">
        <w:trPr>
          <w:tblCellSpacing w:w="15" w:type="dxa"/>
        </w:trPr>
        <w:tc>
          <w:tcPr>
            <w:tcW w:w="0" w:type="auto"/>
            <w:shd w:val="clear" w:color="auto" w:fill="C2D69B"/>
            <w:vAlign w:val="center"/>
            <w:hideMark/>
          </w:tcPr>
          <w:p w14:paraId="499DBE1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393874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06C9D4A1" w14:textId="77777777" w:rsidTr="00B73FDB">
        <w:trPr>
          <w:tblCellSpacing w:w="15" w:type="dxa"/>
        </w:trPr>
        <w:tc>
          <w:tcPr>
            <w:tcW w:w="0" w:type="auto"/>
            <w:shd w:val="clear" w:color="auto" w:fill="C2D69B"/>
            <w:vAlign w:val="center"/>
            <w:hideMark/>
          </w:tcPr>
          <w:p w14:paraId="1C4C3F1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41E3AF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22E3B550" w14:textId="77777777" w:rsidTr="00B73FDB">
        <w:trPr>
          <w:tblCellSpacing w:w="15" w:type="dxa"/>
        </w:trPr>
        <w:tc>
          <w:tcPr>
            <w:tcW w:w="0" w:type="auto"/>
            <w:shd w:val="clear" w:color="auto" w:fill="C2D69B"/>
            <w:vAlign w:val="center"/>
            <w:hideMark/>
          </w:tcPr>
          <w:p w14:paraId="07EEDA5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13BEC4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435AFB47" w14:textId="77777777" w:rsidTr="00B73FDB">
        <w:trPr>
          <w:tblCellSpacing w:w="15" w:type="dxa"/>
        </w:trPr>
        <w:tc>
          <w:tcPr>
            <w:tcW w:w="0" w:type="auto"/>
            <w:shd w:val="clear" w:color="auto" w:fill="C2D69B"/>
            <w:vAlign w:val="center"/>
            <w:hideMark/>
          </w:tcPr>
          <w:p w14:paraId="14AF71F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9B4CC0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8040F9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ED624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843929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165025B" w14:textId="77777777" w:rsidTr="00B73FDB">
        <w:trPr>
          <w:tblCellSpacing w:w="15" w:type="dxa"/>
        </w:trPr>
        <w:tc>
          <w:tcPr>
            <w:tcW w:w="0" w:type="auto"/>
            <w:shd w:val="clear" w:color="auto" w:fill="C2D69B"/>
            <w:vAlign w:val="center"/>
            <w:hideMark/>
          </w:tcPr>
          <w:p w14:paraId="14669F8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0028B2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364 </w:t>
            </w:r>
          </w:p>
        </w:tc>
        <w:tc>
          <w:tcPr>
            <w:tcW w:w="0" w:type="auto"/>
            <w:shd w:val="clear" w:color="auto" w:fill="C2D69B"/>
            <w:noWrap/>
            <w:vAlign w:val="center"/>
            <w:hideMark/>
          </w:tcPr>
          <w:p w14:paraId="3CA14F3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392 </w:t>
            </w:r>
          </w:p>
        </w:tc>
        <w:tc>
          <w:tcPr>
            <w:tcW w:w="0" w:type="auto"/>
            <w:shd w:val="clear" w:color="auto" w:fill="C2D69B"/>
            <w:vAlign w:val="center"/>
            <w:hideMark/>
          </w:tcPr>
          <w:p w14:paraId="1368574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4E9336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5F16EFAF" w14:textId="77777777" w:rsidTr="00B73FDB">
        <w:trPr>
          <w:tblCellSpacing w:w="15" w:type="dxa"/>
        </w:trPr>
        <w:tc>
          <w:tcPr>
            <w:tcW w:w="0" w:type="auto"/>
            <w:shd w:val="clear" w:color="auto" w:fill="C2D69B"/>
            <w:vAlign w:val="center"/>
            <w:hideMark/>
          </w:tcPr>
          <w:p w14:paraId="3B18290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8EB1F2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B6B4A8C" w14:textId="77777777" w:rsidTr="00B73FDB">
        <w:trPr>
          <w:tblCellSpacing w:w="15" w:type="dxa"/>
        </w:trPr>
        <w:tc>
          <w:tcPr>
            <w:tcW w:w="0" w:type="auto"/>
            <w:shd w:val="clear" w:color="auto" w:fill="C2D69B"/>
            <w:vAlign w:val="center"/>
            <w:hideMark/>
          </w:tcPr>
          <w:p w14:paraId="0DF6089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2B4073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F85563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94A682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689B18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D2BF780" w14:textId="77777777" w:rsidTr="00B73FDB">
        <w:trPr>
          <w:tblCellSpacing w:w="15" w:type="dxa"/>
        </w:trPr>
        <w:tc>
          <w:tcPr>
            <w:tcW w:w="0" w:type="auto"/>
            <w:shd w:val="clear" w:color="auto" w:fill="C2D69B"/>
            <w:vAlign w:val="center"/>
            <w:hideMark/>
          </w:tcPr>
          <w:p w14:paraId="3E17CEE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26938E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364 </w:t>
            </w:r>
          </w:p>
        </w:tc>
        <w:tc>
          <w:tcPr>
            <w:tcW w:w="0" w:type="auto"/>
            <w:shd w:val="clear" w:color="auto" w:fill="C2D69B"/>
            <w:noWrap/>
            <w:vAlign w:val="center"/>
            <w:hideMark/>
          </w:tcPr>
          <w:p w14:paraId="09B9C11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386 </w:t>
            </w:r>
          </w:p>
        </w:tc>
        <w:tc>
          <w:tcPr>
            <w:tcW w:w="0" w:type="auto"/>
            <w:shd w:val="clear" w:color="auto" w:fill="C2D69B"/>
            <w:vAlign w:val="center"/>
            <w:hideMark/>
          </w:tcPr>
          <w:p w14:paraId="3631D69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1023805" w14:textId="77777777" w:rsidR="00B73FDB" w:rsidRPr="00B73FDB" w:rsidRDefault="00B73FDB" w:rsidP="00B73FDB">
            <w:pPr>
              <w:spacing w:after="0" w:line="240" w:lineRule="auto"/>
              <w:jc w:val="center"/>
              <w:rPr>
                <w:rFonts w:cs="Calibri"/>
                <w:sz w:val="18"/>
                <w:szCs w:val="18"/>
                <w:lang w:eastAsia="sk-SK"/>
              </w:rPr>
            </w:pPr>
          </w:p>
        </w:tc>
      </w:tr>
    </w:tbl>
    <w:p w14:paraId="5AC2C19D"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Poskytuje všeobecné vzdelanie v 4-ročnej, 5-ročnej a 8-ročnej forme štúdia so zameraním na cudzie jazyky. </w:t>
      </w:r>
    </w:p>
    <w:p w14:paraId="7C8A9540"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8.2.18: Spojená škola s vyuč. jazykom maďarským, </w:t>
      </w:r>
      <w:proofErr w:type="spellStart"/>
      <w:r w:rsidRPr="00B73FDB">
        <w:rPr>
          <w:rFonts w:ascii="Calibri" w:hAnsi="Calibri" w:cs="Calibri"/>
          <w:b/>
          <w:color w:val="244061"/>
        </w:rPr>
        <w:t>Lichnerova</w:t>
      </w:r>
      <w:proofErr w:type="spellEnd"/>
      <w:r w:rsidRPr="00B73FDB">
        <w:rPr>
          <w:rFonts w:ascii="Calibri" w:hAnsi="Calibri" w:cs="Calibri"/>
          <w:b/>
          <w:color w:val="244061"/>
        </w:rPr>
        <w:t xml:space="preserve"> 71, Senec - gymnázium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4"/>
        <w:gridCol w:w="2734"/>
        <w:gridCol w:w="1233"/>
        <w:gridCol w:w="1194"/>
        <w:gridCol w:w="1026"/>
        <w:gridCol w:w="1278"/>
        <w:gridCol w:w="2397"/>
      </w:tblGrid>
      <w:tr w:rsidR="00B73FDB" w:rsidRPr="00B73FDB" w14:paraId="6E00C26F" w14:textId="77777777" w:rsidTr="00B73FDB">
        <w:trPr>
          <w:tblCellSpacing w:w="15" w:type="dxa"/>
        </w:trPr>
        <w:tc>
          <w:tcPr>
            <w:tcW w:w="267" w:type="pct"/>
            <w:shd w:val="clear" w:color="auto" w:fill="C6DBF7"/>
            <w:vAlign w:val="center"/>
            <w:hideMark/>
          </w:tcPr>
          <w:p w14:paraId="6B8CA3B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0D70CF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74" w:type="pct"/>
            <w:shd w:val="clear" w:color="auto" w:fill="C6DBF7"/>
            <w:vAlign w:val="center"/>
            <w:hideMark/>
          </w:tcPr>
          <w:p w14:paraId="3BE030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55" w:type="pct"/>
            <w:shd w:val="clear" w:color="auto" w:fill="C6DBF7"/>
            <w:vAlign w:val="center"/>
            <w:hideMark/>
          </w:tcPr>
          <w:p w14:paraId="22A061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75" w:type="pct"/>
            <w:shd w:val="clear" w:color="auto" w:fill="C6DBF7"/>
            <w:vAlign w:val="center"/>
            <w:hideMark/>
          </w:tcPr>
          <w:p w14:paraId="7DC3927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95" w:type="pct"/>
            <w:shd w:val="clear" w:color="auto" w:fill="C6DBF7"/>
            <w:vAlign w:val="center"/>
            <w:hideMark/>
          </w:tcPr>
          <w:p w14:paraId="52D7824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22" w:type="pct"/>
            <w:shd w:val="clear" w:color="auto" w:fill="C6DBF7"/>
            <w:vAlign w:val="center"/>
            <w:hideMark/>
          </w:tcPr>
          <w:p w14:paraId="30ACBD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8C06E1D" w14:textId="77777777" w:rsidTr="00B73FDB">
        <w:trPr>
          <w:tblCellSpacing w:w="15" w:type="dxa"/>
        </w:trPr>
        <w:tc>
          <w:tcPr>
            <w:tcW w:w="267" w:type="pct"/>
            <w:shd w:val="clear" w:color="auto" w:fill="D9D9D9"/>
            <w:noWrap/>
            <w:vAlign w:val="center"/>
            <w:hideMark/>
          </w:tcPr>
          <w:p w14:paraId="2E301962"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064A7E3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74" w:type="pct"/>
            <w:shd w:val="clear" w:color="auto" w:fill="D9D9D9"/>
            <w:noWrap/>
            <w:vAlign w:val="center"/>
            <w:hideMark/>
          </w:tcPr>
          <w:p w14:paraId="72D91E5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30 132,00</w:t>
            </w:r>
            <w:r w:rsidRPr="00B73FDB">
              <w:rPr>
                <w:rFonts w:cs="Calibri"/>
                <w:sz w:val="18"/>
                <w:szCs w:val="18"/>
                <w:lang w:eastAsia="sk-SK"/>
              </w:rPr>
              <w:t xml:space="preserve"> </w:t>
            </w:r>
          </w:p>
        </w:tc>
        <w:tc>
          <w:tcPr>
            <w:tcW w:w="555" w:type="pct"/>
            <w:shd w:val="clear" w:color="auto" w:fill="D9D9D9"/>
            <w:noWrap/>
            <w:vAlign w:val="center"/>
            <w:hideMark/>
          </w:tcPr>
          <w:p w14:paraId="0E6D839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29 471,00</w:t>
            </w:r>
            <w:r w:rsidRPr="00B73FDB">
              <w:rPr>
                <w:rFonts w:cs="Calibri"/>
                <w:sz w:val="18"/>
                <w:szCs w:val="18"/>
                <w:lang w:eastAsia="sk-SK"/>
              </w:rPr>
              <w:t xml:space="preserve"> </w:t>
            </w:r>
          </w:p>
        </w:tc>
        <w:tc>
          <w:tcPr>
            <w:tcW w:w="475" w:type="pct"/>
            <w:shd w:val="clear" w:color="auto" w:fill="D9D9D9"/>
            <w:noWrap/>
            <w:vAlign w:val="center"/>
            <w:hideMark/>
          </w:tcPr>
          <w:p w14:paraId="1A5EE4B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29 471,00</w:t>
            </w:r>
            <w:r w:rsidRPr="00B73FDB">
              <w:rPr>
                <w:rFonts w:cs="Calibri"/>
                <w:sz w:val="18"/>
                <w:szCs w:val="18"/>
                <w:lang w:eastAsia="sk-SK"/>
              </w:rPr>
              <w:t xml:space="preserve"> </w:t>
            </w:r>
          </w:p>
        </w:tc>
        <w:tc>
          <w:tcPr>
            <w:tcW w:w="595" w:type="pct"/>
            <w:shd w:val="clear" w:color="auto" w:fill="D9D9D9"/>
            <w:noWrap/>
            <w:vAlign w:val="center"/>
            <w:hideMark/>
          </w:tcPr>
          <w:p w14:paraId="45783F2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22" w:type="pct"/>
            <w:vMerge w:val="restart"/>
            <w:shd w:val="clear" w:color="auto" w:fill="D9D9D9"/>
            <w:vAlign w:val="center"/>
            <w:hideMark/>
          </w:tcPr>
          <w:p w14:paraId="311BA7B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+2 443,00 EUR</w:t>
            </w:r>
            <w:r w:rsidRPr="00B73FDB">
              <w:rPr>
                <w:rFonts w:cs="Calibri"/>
                <w:sz w:val="18"/>
                <w:szCs w:val="18"/>
                <w:lang w:eastAsia="sk-SK"/>
              </w:rPr>
              <w:t xml:space="preserve"> normatívne finančné prostriedky,</w:t>
            </w:r>
          </w:p>
          <w:p w14:paraId="0CFEDF1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-3 104,00 EUR </w:t>
            </w:r>
            <w:r w:rsidRPr="00B73FDB">
              <w:rPr>
                <w:rFonts w:cs="Calibri"/>
                <w:sz w:val="18"/>
                <w:szCs w:val="18"/>
                <w:lang w:eastAsia="sk-SK"/>
              </w:rPr>
              <w:t>nenormatívne finančné prostriedky na vzdelávacie poukazy.</w:t>
            </w:r>
          </w:p>
        </w:tc>
      </w:tr>
      <w:tr w:rsidR="00B73FDB" w:rsidRPr="00B73FDB" w14:paraId="27253CEB" w14:textId="77777777" w:rsidTr="00B73FDB">
        <w:trPr>
          <w:tblCellSpacing w:w="15" w:type="dxa"/>
        </w:trPr>
        <w:tc>
          <w:tcPr>
            <w:tcW w:w="267" w:type="pct"/>
            <w:shd w:val="clear" w:color="auto" w:fill="D9D9D9"/>
            <w:noWrap/>
            <w:vAlign w:val="center"/>
            <w:hideMark/>
          </w:tcPr>
          <w:p w14:paraId="794D075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1B1F159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74" w:type="pct"/>
            <w:shd w:val="clear" w:color="auto" w:fill="D9D9D9"/>
            <w:noWrap/>
            <w:vAlign w:val="center"/>
            <w:hideMark/>
          </w:tcPr>
          <w:p w14:paraId="128BB68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30 132,00</w:t>
            </w:r>
            <w:r w:rsidRPr="00B73FDB">
              <w:rPr>
                <w:rFonts w:cs="Calibri"/>
                <w:sz w:val="18"/>
                <w:szCs w:val="18"/>
                <w:lang w:eastAsia="sk-SK"/>
              </w:rPr>
              <w:t xml:space="preserve"> </w:t>
            </w:r>
          </w:p>
        </w:tc>
        <w:tc>
          <w:tcPr>
            <w:tcW w:w="555" w:type="pct"/>
            <w:shd w:val="clear" w:color="auto" w:fill="D9D9D9"/>
            <w:noWrap/>
            <w:vAlign w:val="center"/>
            <w:hideMark/>
          </w:tcPr>
          <w:p w14:paraId="14E6BBE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29 471,00</w:t>
            </w:r>
            <w:r w:rsidRPr="00B73FDB">
              <w:rPr>
                <w:rFonts w:cs="Calibri"/>
                <w:sz w:val="18"/>
                <w:szCs w:val="18"/>
                <w:lang w:eastAsia="sk-SK"/>
              </w:rPr>
              <w:t xml:space="preserve"> </w:t>
            </w:r>
          </w:p>
        </w:tc>
        <w:tc>
          <w:tcPr>
            <w:tcW w:w="475" w:type="pct"/>
            <w:shd w:val="clear" w:color="auto" w:fill="D9D9D9"/>
            <w:noWrap/>
            <w:vAlign w:val="center"/>
            <w:hideMark/>
          </w:tcPr>
          <w:p w14:paraId="72C44D3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29 471,00</w:t>
            </w:r>
            <w:r w:rsidRPr="00B73FDB">
              <w:rPr>
                <w:rFonts w:cs="Calibri"/>
                <w:sz w:val="18"/>
                <w:szCs w:val="18"/>
                <w:lang w:eastAsia="sk-SK"/>
              </w:rPr>
              <w:t xml:space="preserve"> </w:t>
            </w:r>
          </w:p>
        </w:tc>
        <w:tc>
          <w:tcPr>
            <w:tcW w:w="595" w:type="pct"/>
            <w:shd w:val="clear" w:color="auto" w:fill="D9D9D9"/>
            <w:noWrap/>
            <w:vAlign w:val="center"/>
            <w:hideMark/>
          </w:tcPr>
          <w:p w14:paraId="6FD3E45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22" w:type="pct"/>
            <w:vMerge/>
            <w:shd w:val="clear" w:color="auto" w:fill="D9D9D9"/>
            <w:vAlign w:val="center"/>
            <w:hideMark/>
          </w:tcPr>
          <w:p w14:paraId="2EEBCD06"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52B860E" w14:textId="77777777" w:rsidTr="00B73FDB">
        <w:trPr>
          <w:tblCellSpacing w:w="15" w:type="dxa"/>
        </w:trPr>
        <w:tc>
          <w:tcPr>
            <w:tcW w:w="267" w:type="pct"/>
            <w:shd w:val="clear" w:color="auto" w:fill="EFEFEF"/>
            <w:noWrap/>
            <w:vAlign w:val="center"/>
            <w:hideMark/>
          </w:tcPr>
          <w:p w14:paraId="5A9EBFC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172F851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74" w:type="pct"/>
            <w:shd w:val="clear" w:color="auto" w:fill="EFEFEF"/>
            <w:noWrap/>
            <w:vAlign w:val="center"/>
            <w:hideMark/>
          </w:tcPr>
          <w:p w14:paraId="15128B3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21 950,00 </w:t>
            </w:r>
          </w:p>
        </w:tc>
        <w:tc>
          <w:tcPr>
            <w:tcW w:w="555" w:type="pct"/>
            <w:shd w:val="clear" w:color="auto" w:fill="EFEFEF"/>
            <w:noWrap/>
            <w:vAlign w:val="center"/>
            <w:hideMark/>
          </w:tcPr>
          <w:p w14:paraId="03749DF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14 903,12 </w:t>
            </w:r>
          </w:p>
        </w:tc>
        <w:tc>
          <w:tcPr>
            <w:tcW w:w="475" w:type="pct"/>
            <w:shd w:val="clear" w:color="auto" w:fill="EFEFEF"/>
            <w:noWrap/>
            <w:vAlign w:val="center"/>
            <w:hideMark/>
          </w:tcPr>
          <w:p w14:paraId="2BDD01C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14 903,12 </w:t>
            </w:r>
          </w:p>
        </w:tc>
        <w:tc>
          <w:tcPr>
            <w:tcW w:w="595" w:type="pct"/>
            <w:shd w:val="clear" w:color="auto" w:fill="EFEFEF"/>
            <w:noWrap/>
            <w:vAlign w:val="center"/>
            <w:hideMark/>
          </w:tcPr>
          <w:p w14:paraId="5899B1C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22" w:type="pct"/>
            <w:vMerge/>
            <w:shd w:val="clear" w:color="auto" w:fill="EFEFEF"/>
            <w:vAlign w:val="center"/>
            <w:hideMark/>
          </w:tcPr>
          <w:p w14:paraId="1B4585D2" w14:textId="77777777" w:rsidR="00B73FDB" w:rsidRPr="00B73FDB" w:rsidRDefault="00B73FDB" w:rsidP="00B73FDB">
            <w:pPr>
              <w:spacing w:after="0" w:line="240" w:lineRule="auto"/>
              <w:rPr>
                <w:rFonts w:cs="Calibri"/>
                <w:sz w:val="18"/>
                <w:szCs w:val="18"/>
                <w:lang w:eastAsia="sk-SK"/>
              </w:rPr>
            </w:pPr>
          </w:p>
        </w:tc>
      </w:tr>
      <w:tr w:rsidR="00B73FDB" w:rsidRPr="00B73FDB" w14:paraId="0BAF30E8" w14:textId="77777777" w:rsidTr="00B73FDB">
        <w:trPr>
          <w:tblCellSpacing w:w="15" w:type="dxa"/>
        </w:trPr>
        <w:tc>
          <w:tcPr>
            <w:tcW w:w="267" w:type="pct"/>
            <w:shd w:val="clear" w:color="auto" w:fill="EFEFEF"/>
            <w:noWrap/>
            <w:vAlign w:val="center"/>
            <w:hideMark/>
          </w:tcPr>
          <w:p w14:paraId="01C2ACD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246D813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74" w:type="pct"/>
            <w:shd w:val="clear" w:color="auto" w:fill="EFEFEF"/>
            <w:noWrap/>
            <w:vAlign w:val="center"/>
            <w:hideMark/>
          </w:tcPr>
          <w:p w14:paraId="1802A4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7 801,00 </w:t>
            </w:r>
          </w:p>
        </w:tc>
        <w:tc>
          <w:tcPr>
            <w:tcW w:w="555" w:type="pct"/>
            <w:shd w:val="clear" w:color="auto" w:fill="EFEFEF"/>
            <w:noWrap/>
            <w:vAlign w:val="center"/>
            <w:hideMark/>
          </w:tcPr>
          <w:p w14:paraId="38706F7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4 014,11 </w:t>
            </w:r>
          </w:p>
        </w:tc>
        <w:tc>
          <w:tcPr>
            <w:tcW w:w="475" w:type="pct"/>
            <w:shd w:val="clear" w:color="auto" w:fill="EFEFEF"/>
            <w:noWrap/>
            <w:vAlign w:val="center"/>
            <w:hideMark/>
          </w:tcPr>
          <w:p w14:paraId="4C71472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4 014,11 </w:t>
            </w:r>
          </w:p>
        </w:tc>
        <w:tc>
          <w:tcPr>
            <w:tcW w:w="595" w:type="pct"/>
            <w:shd w:val="clear" w:color="auto" w:fill="EFEFEF"/>
            <w:noWrap/>
            <w:vAlign w:val="center"/>
            <w:hideMark/>
          </w:tcPr>
          <w:p w14:paraId="30C386F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22" w:type="pct"/>
            <w:vMerge/>
            <w:shd w:val="clear" w:color="auto" w:fill="EFEFEF"/>
            <w:vAlign w:val="center"/>
            <w:hideMark/>
          </w:tcPr>
          <w:p w14:paraId="581DD632" w14:textId="77777777" w:rsidR="00B73FDB" w:rsidRPr="00B73FDB" w:rsidRDefault="00B73FDB" w:rsidP="00B73FDB">
            <w:pPr>
              <w:spacing w:after="0" w:line="240" w:lineRule="auto"/>
              <w:rPr>
                <w:rFonts w:cs="Calibri"/>
                <w:sz w:val="18"/>
                <w:szCs w:val="18"/>
                <w:lang w:eastAsia="sk-SK"/>
              </w:rPr>
            </w:pPr>
          </w:p>
        </w:tc>
      </w:tr>
      <w:tr w:rsidR="00B73FDB" w:rsidRPr="00B73FDB" w14:paraId="7157B479" w14:textId="77777777" w:rsidTr="00B73FDB">
        <w:trPr>
          <w:tblCellSpacing w:w="15" w:type="dxa"/>
        </w:trPr>
        <w:tc>
          <w:tcPr>
            <w:tcW w:w="267" w:type="pct"/>
            <w:shd w:val="clear" w:color="auto" w:fill="EFEFEF"/>
            <w:noWrap/>
            <w:vAlign w:val="center"/>
            <w:hideMark/>
          </w:tcPr>
          <w:p w14:paraId="5AF3E79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5A090F6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74" w:type="pct"/>
            <w:shd w:val="clear" w:color="auto" w:fill="EFEFEF"/>
            <w:noWrap/>
            <w:vAlign w:val="center"/>
            <w:hideMark/>
          </w:tcPr>
          <w:p w14:paraId="28A0EA6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381,00 </w:t>
            </w:r>
          </w:p>
        </w:tc>
        <w:tc>
          <w:tcPr>
            <w:tcW w:w="555" w:type="pct"/>
            <w:shd w:val="clear" w:color="auto" w:fill="EFEFEF"/>
            <w:noWrap/>
            <w:vAlign w:val="center"/>
            <w:hideMark/>
          </w:tcPr>
          <w:p w14:paraId="404DB1F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10 450,58 </w:t>
            </w:r>
          </w:p>
        </w:tc>
        <w:tc>
          <w:tcPr>
            <w:tcW w:w="475" w:type="pct"/>
            <w:shd w:val="clear" w:color="auto" w:fill="EFEFEF"/>
            <w:noWrap/>
            <w:vAlign w:val="center"/>
            <w:hideMark/>
          </w:tcPr>
          <w:p w14:paraId="7FB1E35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10 450,58 </w:t>
            </w:r>
          </w:p>
        </w:tc>
        <w:tc>
          <w:tcPr>
            <w:tcW w:w="595" w:type="pct"/>
            <w:shd w:val="clear" w:color="auto" w:fill="EFEFEF"/>
            <w:noWrap/>
            <w:vAlign w:val="center"/>
            <w:hideMark/>
          </w:tcPr>
          <w:p w14:paraId="666B75C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22" w:type="pct"/>
            <w:vMerge/>
            <w:shd w:val="clear" w:color="auto" w:fill="EFEFEF"/>
            <w:vAlign w:val="center"/>
            <w:hideMark/>
          </w:tcPr>
          <w:p w14:paraId="4392C9E2" w14:textId="77777777" w:rsidR="00B73FDB" w:rsidRPr="00B73FDB" w:rsidRDefault="00B73FDB" w:rsidP="00B73FDB">
            <w:pPr>
              <w:spacing w:after="0" w:line="240" w:lineRule="auto"/>
              <w:rPr>
                <w:rFonts w:cs="Calibri"/>
                <w:sz w:val="18"/>
                <w:szCs w:val="18"/>
                <w:lang w:eastAsia="sk-SK"/>
              </w:rPr>
            </w:pPr>
          </w:p>
        </w:tc>
      </w:tr>
    </w:tbl>
    <w:p w14:paraId="4CB369D6"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56"/>
        <w:gridCol w:w="689"/>
        <w:gridCol w:w="1630"/>
        <w:gridCol w:w="1532"/>
        <w:gridCol w:w="4159"/>
      </w:tblGrid>
      <w:tr w:rsidR="00B73FDB" w:rsidRPr="00B73FDB" w14:paraId="25E1DFA6" w14:textId="77777777" w:rsidTr="00B73FDB">
        <w:trPr>
          <w:tblCellSpacing w:w="15" w:type="dxa"/>
        </w:trPr>
        <w:tc>
          <w:tcPr>
            <w:tcW w:w="0" w:type="auto"/>
            <w:shd w:val="clear" w:color="auto" w:fill="C2D69B"/>
            <w:vAlign w:val="center"/>
            <w:hideMark/>
          </w:tcPr>
          <w:p w14:paraId="19F0158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2A76AD4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716BFAC5" w14:textId="77777777" w:rsidTr="00B73FDB">
        <w:trPr>
          <w:tblCellSpacing w:w="15" w:type="dxa"/>
        </w:trPr>
        <w:tc>
          <w:tcPr>
            <w:tcW w:w="0" w:type="auto"/>
            <w:shd w:val="clear" w:color="auto" w:fill="C2D69B"/>
            <w:vAlign w:val="center"/>
            <w:hideMark/>
          </w:tcPr>
          <w:p w14:paraId="654DA3E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E9551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62C608A8" w14:textId="77777777" w:rsidTr="00B73FDB">
        <w:trPr>
          <w:tblCellSpacing w:w="15" w:type="dxa"/>
        </w:trPr>
        <w:tc>
          <w:tcPr>
            <w:tcW w:w="0" w:type="auto"/>
            <w:shd w:val="clear" w:color="auto" w:fill="C2D69B"/>
            <w:vAlign w:val="center"/>
            <w:hideMark/>
          </w:tcPr>
          <w:p w14:paraId="568040F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14A19A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A11B971" w14:textId="77777777" w:rsidTr="00B73FDB">
        <w:trPr>
          <w:tblCellSpacing w:w="15" w:type="dxa"/>
        </w:trPr>
        <w:tc>
          <w:tcPr>
            <w:tcW w:w="0" w:type="auto"/>
            <w:shd w:val="clear" w:color="auto" w:fill="C2D69B"/>
            <w:vAlign w:val="center"/>
            <w:hideMark/>
          </w:tcPr>
          <w:p w14:paraId="624706B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9D8C98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CB946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AC6BE7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584933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AF59322" w14:textId="77777777" w:rsidTr="00B73FDB">
        <w:trPr>
          <w:tblCellSpacing w:w="15" w:type="dxa"/>
        </w:trPr>
        <w:tc>
          <w:tcPr>
            <w:tcW w:w="0" w:type="auto"/>
            <w:shd w:val="clear" w:color="auto" w:fill="C2D69B"/>
            <w:vAlign w:val="center"/>
            <w:hideMark/>
          </w:tcPr>
          <w:p w14:paraId="750410E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80A04A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 </w:t>
            </w:r>
          </w:p>
        </w:tc>
        <w:tc>
          <w:tcPr>
            <w:tcW w:w="0" w:type="auto"/>
            <w:shd w:val="clear" w:color="auto" w:fill="C2D69B"/>
            <w:noWrap/>
            <w:vAlign w:val="center"/>
            <w:hideMark/>
          </w:tcPr>
          <w:p w14:paraId="7361491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0 </w:t>
            </w:r>
          </w:p>
        </w:tc>
        <w:tc>
          <w:tcPr>
            <w:tcW w:w="0" w:type="auto"/>
            <w:shd w:val="clear" w:color="auto" w:fill="C2D69B"/>
            <w:vAlign w:val="center"/>
            <w:hideMark/>
          </w:tcPr>
          <w:p w14:paraId="763EE48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5D301B6"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0C99026" w14:textId="77777777" w:rsidTr="00B73FDB">
        <w:trPr>
          <w:tblCellSpacing w:w="15" w:type="dxa"/>
        </w:trPr>
        <w:tc>
          <w:tcPr>
            <w:tcW w:w="0" w:type="auto"/>
            <w:shd w:val="clear" w:color="auto" w:fill="C2D69B"/>
            <w:vAlign w:val="center"/>
            <w:hideMark/>
          </w:tcPr>
          <w:p w14:paraId="6A1A6E6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309FA0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254860B" w14:textId="77777777" w:rsidTr="00B73FDB">
        <w:trPr>
          <w:tblCellSpacing w:w="15" w:type="dxa"/>
        </w:trPr>
        <w:tc>
          <w:tcPr>
            <w:tcW w:w="0" w:type="auto"/>
            <w:shd w:val="clear" w:color="auto" w:fill="C2D69B"/>
            <w:vAlign w:val="center"/>
            <w:hideMark/>
          </w:tcPr>
          <w:p w14:paraId="4FABBEB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AC08C8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7DC341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5C74BC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9B2903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4765CB0" w14:textId="77777777" w:rsidTr="00B73FDB">
        <w:trPr>
          <w:tblCellSpacing w:w="15" w:type="dxa"/>
        </w:trPr>
        <w:tc>
          <w:tcPr>
            <w:tcW w:w="0" w:type="auto"/>
            <w:shd w:val="clear" w:color="auto" w:fill="C2D69B"/>
            <w:vAlign w:val="center"/>
            <w:hideMark/>
          </w:tcPr>
          <w:p w14:paraId="0FA7470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F5C10F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 </w:t>
            </w:r>
          </w:p>
        </w:tc>
        <w:tc>
          <w:tcPr>
            <w:tcW w:w="0" w:type="auto"/>
            <w:shd w:val="clear" w:color="auto" w:fill="C2D69B"/>
            <w:noWrap/>
            <w:vAlign w:val="center"/>
            <w:hideMark/>
          </w:tcPr>
          <w:p w14:paraId="2A03832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0 </w:t>
            </w:r>
          </w:p>
        </w:tc>
        <w:tc>
          <w:tcPr>
            <w:tcW w:w="0" w:type="auto"/>
            <w:shd w:val="clear" w:color="auto" w:fill="C2D69B"/>
            <w:vAlign w:val="center"/>
            <w:hideMark/>
          </w:tcPr>
          <w:p w14:paraId="63CB94E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141C8065" w14:textId="77777777" w:rsidR="00B73FDB" w:rsidRPr="00B73FDB" w:rsidRDefault="00B73FDB" w:rsidP="00B73FDB">
            <w:pPr>
              <w:spacing w:after="0" w:line="240" w:lineRule="auto"/>
              <w:jc w:val="center"/>
              <w:rPr>
                <w:rFonts w:cs="Calibri"/>
                <w:sz w:val="18"/>
                <w:szCs w:val="18"/>
                <w:lang w:eastAsia="sk-SK"/>
              </w:rPr>
            </w:pPr>
          </w:p>
        </w:tc>
      </w:tr>
    </w:tbl>
    <w:p w14:paraId="6BCE960A"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Škola v školskom roku 2020/2021 neposkytuje všeobecné vzdelanie v 4-ročnej forme štúdia z dôvodu nízkeho záujmu o tento typ štúdia. Existencia školy má svoje opodstatnenie, nakoľko ide o jedinú odbornú školu v regióne, ktorá poskytuje odborné vzdelávanie v jazyku národnostnej menšiny.</w:t>
      </w:r>
    </w:p>
    <w:p w14:paraId="6F5EF01F"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8.2.19: Spojená škola, Tokajícka 24, BA - gymnázium – príspevková organizácia</w:t>
      </w:r>
    </w:p>
    <w:p w14:paraId="282EC415"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Nakoľko existujúca sieť gymnázií poskytuje dostatočné kapacity pre všeobecné vzdelávanie, činnosť gymnázia bola ukončená k 30.6.2014.</w:t>
      </w:r>
    </w:p>
    <w:p w14:paraId="252525FC"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8.2.20: Spojená škola, Malinovo - základná škola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6"/>
        <w:gridCol w:w="2731"/>
        <w:gridCol w:w="1214"/>
        <w:gridCol w:w="1151"/>
        <w:gridCol w:w="1124"/>
        <w:gridCol w:w="1212"/>
        <w:gridCol w:w="2428"/>
      </w:tblGrid>
      <w:tr w:rsidR="00B73FDB" w:rsidRPr="00B73FDB" w14:paraId="7943CF48" w14:textId="77777777" w:rsidTr="00B73FDB">
        <w:trPr>
          <w:tblCellSpacing w:w="15" w:type="dxa"/>
        </w:trPr>
        <w:tc>
          <w:tcPr>
            <w:tcW w:w="267" w:type="pct"/>
            <w:shd w:val="clear" w:color="auto" w:fill="C6DBF7"/>
            <w:vAlign w:val="center"/>
            <w:hideMark/>
          </w:tcPr>
          <w:p w14:paraId="1D2EEB8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2C0F19C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5A5C987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35" w:type="pct"/>
            <w:shd w:val="clear" w:color="auto" w:fill="C6DBF7"/>
            <w:vAlign w:val="center"/>
            <w:hideMark/>
          </w:tcPr>
          <w:p w14:paraId="2D512D4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22" w:type="pct"/>
            <w:shd w:val="clear" w:color="auto" w:fill="C6DBF7"/>
            <w:vAlign w:val="center"/>
            <w:hideMark/>
          </w:tcPr>
          <w:p w14:paraId="1E41AFF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5907732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0DD9D81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20F0D3A" w14:textId="77777777" w:rsidTr="00B73FDB">
        <w:trPr>
          <w:tblCellSpacing w:w="15" w:type="dxa"/>
        </w:trPr>
        <w:tc>
          <w:tcPr>
            <w:tcW w:w="267" w:type="pct"/>
            <w:shd w:val="clear" w:color="auto" w:fill="D9D9D9"/>
            <w:noWrap/>
            <w:vAlign w:val="center"/>
            <w:hideMark/>
          </w:tcPr>
          <w:p w14:paraId="3973F0B2"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2FE5BA1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1B213E5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507 226,00</w:t>
            </w:r>
            <w:r w:rsidRPr="00B73FDB">
              <w:rPr>
                <w:rFonts w:cs="Calibri"/>
                <w:sz w:val="18"/>
                <w:szCs w:val="18"/>
                <w:lang w:eastAsia="sk-SK"/>
              </w:rPr>
              <w:t xml:space="preserve"> </w:t>
            </w:r>
          </w:p>
        </w:tc>
        <w:tc>
          <w:tcPr>
            <w:tcW w:w="535" w:type="pct"/>
            <w:shd w:val="clear" w:color="auto" w:fill="D9D9D9"/>
            <w:noWrap/>
            <w:vAlign w:val="center"/>
            <w:hideMark/>
          </w:tcPr>
          <w:p w14:paraId="6560EFE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486 515,00</w:t>
            </w:r>
            <w:r w:rsidRPr="00B73FDB">
              <w:rPr>
                <w:rFonts w:cs="Calibri"/>
                <w:sz w:val="18"/>
                <w:szCs w:val="18"/>
                <w:lang w:eastAsia="sk-SK"/>
              </w:rPr>
              <w:t xml:space="preserve"> </w:t>
            </w:r>
          </w:p>
        </w:tc>
        <w:tc>
          <w:tcPr>
            <w:tcW w:w="522" w:type="pct"/>
            <w:shd w:val="clear" w:color="auto" w:fill="D9D9D9"/>
            <w:noWrap/>
            <w:vAlign w:val="center"/>
            <w:hideMark/>
          </w:tcPr>
          <w:p w14:paraId="52E09DD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486 515,00</w:t>
            </w:r>
            <w:r w:rsidRPr="00B73FDB">
              <w:rPr>
                <w:rFonts w:cs="Calibri"/>
                <w:sz w:val="18"/>
                <w:szCs w:val="18"/>
                <w:lang w:eastAsia="sk-SK"/>
              </w:rPr>
              <w:t xml:space="preserve"> </w:t>
            </w:r>
          </w:p>
        </w:tc>
        <w:tc>
          <w:tcPr>
            <w:tcW w:w="564" w:type="pct"/>
            <w:shd w:val="clear" w:color="auto" w:fill="D9D9D9"/>
            <w:noWrap/>
            <w:vAlign w:val="center"/>
            <w:hideMark/>
          </w:tcPr>
          <w:p w14:paraId="0E1496B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val="restart"/>
            <w:shd w:val="clear" w:color="auto" w:fill="D9D9D9"/>
            <w:vAlign w:val="center"/>
            <w:hideMark/>
          </w:tcPr>
          <w:p w14:paraId="46E731F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-44 058,00 EUR</w:t>
            </w:r>
            <w:r w:rsidRPr="00B73FDB">
              <w:rPr>
                <w:rFonts w:cs="Calibri"/>
                <w:sz w:val="18"/>
                <w:szCs w:val="18"/>
                <w:lang w:eastAsia="sk-SK"/>
              </w:rPr>
              <w:t xml:space="preserve"> normatívne finančné prostriedky,</w:t>
            </w:r>
          </w:p>
          <w:p w14:paraId="2E73B242"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+985,00 EUR</w:t>
            </w:r>
            <w:r w:rsidRPr="00B73FDB">
              <w:rPr>
                <w:rFonts w:cs="Calibri"/>
                <w:sz w:val="18"/>
                <w:szCs w:val="18"/>
                <w:lang w:eastAsia="sk-SK"/>
              </w:rPr>
              <w:t xml:space="preserve"> príspevok na rekreáciu zamestnancov,</w:t>
            </w:r>
          </w:p>
          <w:p w14:paraId="278A614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+4 627,00 EUR </w:t>
            </w:r>
            <w:r w:rsidRPr="00B73FDB">
              <w:rPr>
                <w:rFonts w:cs="Calibri"/>
                <w:sz w:val="18"/>
                <w:szCs w:val="18"/>
                <w:lang w:eastAsia="sk-SK"/>
              </w:rPr>
              <w:t>nenormatívne finančné prostriedky na vzdelávacie poukazy,</w:t>
            </w:r>
          </w:p>
          <w:p w14:paraId="02C379D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+9 620,00 EUR</w:t>
            </w:r>
            <w:r w:rsidRPr="00B73FDB">
              <w:rPr>
                <w:rFonts w:cs="Calibri"/>
                <w:sz w:val="18"/>
                <w:szCs w:val="18"/>
                <w:lang w:eastAsia="sk-SK"/>
              </w:rPr>
              <w:t xml:space="preserve"> príspevok na učebnice,</w:t>
            </w:r>
          </w:p>
          <w:p w14:paraId="2026607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+800,00 EUR</w:t>
            </w:r>
            <w:r w:rsidRPr="00B73FDB">
              <w:rPr>
                <w:rFonts w:cs="Calibri"/>
                <w:sz w:val="18"/>
                <w:szCs w:val="18"/>
                <w:lang w:eastAsia="sk-SK"/>
              </w:rPr>
              <w:t xml:space="preserve"> rozvojový projekt,</w:t>
            </w:r>
          </w:p>
          <w:p w14:paraId="7B50490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+7 315,00 EUR</w:t>
            </w:r>
            <w:r w:rsidRPr="00B73FDB">
              <w:rPr>
                <w:rFonts w:cs="Calibri"/>
                <w:sz w:val="18"/>
                <w:szCs w:val="18"/>
                <w:lang w:eastAsia="sk-SK"/>
              </w:rPr>
              <w:t xml:space="preserve"> osobné  náklady asistentov učiteľa pre žiakov so zdravotným znevýhodnením.</w:t>
            </w:r>
          </w:p>
        </w:tc>
      </w:tr>
      <w:tr w:rsidR="00B73FDB" w:rsidRPr="00B73FDB" w14:paraId="41AB954A" w14:textId="77777777" w:rsidTr="00B73FDB">
        <w:trPr>
          <w:tblCellSpacing w:w="15" w:type="dxa"/>
        </w:trPr>
        <w:tc>
          <w:tcPr>
            <w:tcW w:w="267" w:type="pct"/>
            <w:shd w:val="clear" w:color="auto" w:fill="D9D9D9"/>
            <w:noWrap/>
            <w:vAlign w:val="center"/>
            <w:hideMark/>
          </w:tcPr>
          <w:p w14:paraId="267B490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62AC8A8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104B046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507 226,00</w:t>
            </w:r>
            <w:r w:rsidRPr="00B73FDB">
              <w:rPr>
                <w:rFonts w:cs="Calibri"/>
                <w:sz w:val="18"/>
                <w:szCs w:val="18"/>
                <w:lang w:eastAsia="sk-SK"/>
              </w:rPr>
              <w:t xml:space="preserve"> </w:t>
            </w:r>
          </w:p>
        </w:tc>
        <w:tc>
          <w:tcPr>
            <w:tcW w:w="535" w:type="pct"/>
            <w:shd w:val="clear" w:color="auto" w:fill="D9D9D9"/>
            <w:noWrap/>
            <w:vAlign w:val="center"/>
            <w:hideMark/>
          </w:tcPr>
          <w:p w14:paraId="28F3E4F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486 515,00</w:t>
            </w:r>
            <w:r w:rsidRPr="00B73FDB">
              <w:rPr>
                <w:rFonts w:cs="Calibri"/>
                <w:sz w:val="18"/>
                <w:szCs w:val="18"/>
                <w:lang w:eastAsia="sk-SK"/>
              </w:rPr>
              <w:t xml:space="preserve"> </w:t>
            </w:r>
          </w:p>
        </w:tc>
        <w:tc>
          <w:tcPr>
            <w:tcW w:w="522" w:type="pct"/>
            <w:shd w:val="clear" w:color="auto" w:fill="D9D9D9"/>
            <w:noWrap/>
            <w:vAlign w:val="center"/>
            <w:hideMark/>
          </w:tcPr>
          <w:p w14:paraId="2FA2B40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486 515,00</w:t>
            </w:r>
            <w:r w:rsidRPr="00B73FDB">
              <w:rPr>
                <w:rFonts w:cs="Calibri"/>
                <w:sz w:val="18"/>
                <w:szCs w:val="18"/>
                <w:lang w:eastAsia="sk-SK"/>
              </w:rPr>
              <w:t xml:space="preserve"> </w:t>
            </w:r>
          </w:p>
        </w:tc>
        <w:tc>
          <w:tcPr>
            <w:tcW w:w="564" w:type="pct"/>
            <w:shd w:val="clear" w:color="auto" w:fill="D9D9D9"/>
            <w:noWrap/>
            <w:vAlign w:val="center"/>
            <w:hideMark/>
          </w:tcPr>
          <w:p w14:paraId="0FE0B55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shd w:val="clear" w:color="auto" w:fill="D9D9D9"/>
            <w:vAlign w:val="center"/>
            <w:hideMark/>
          </w:tcPr>
          <w:p w14:paraId="3A9A0481" w14:textId="77777777" w:rsidR="00B73FDB" w:rsidRPr="00B73FDB" w:rsidRDefault="00B73FDB" w:rsidP="00B73FDB">
            <w:pPr>
              <w:spacing w:after="0" w:line="240" w:lineRule="auto"/>
              <w:rPr>
                <w:rFonts w:cs="Calibri"/>
                <w:sz w:val="18"/>
                <w:szCs w:val="18"/>
                <w:lang w:eastAsia="sk-SK"/>
              </w:rPr>
            </w:pPr>
          </w:p>
        </w:tc>
      </w:tr>
      <w:tr w:rsidR="00B73FDB" w:rsidRPr="00B73FDB" w14:paraId="7748701B" w14:textId="77777777" w:rsidTr="00B73FDB">
        <w:trPr>
          <w:tblCellSpacing w:w="15" w:type="dxa"/>
        </w:trPr>
        <w:tc>
          <w:tcPr>
            <w:tcW w:w="267" w:type="pct"/>
            <w:shd w:val="clear" w:color="auto" w:fill="EFEFEF"/>
            <w:noWrap/>
            <w:vAlign w:val="center"/>
            <w:hideMark/>
          </w:tcPr>
          <w:p w14:paraId="6E8B1C3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69C625C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71A3F4F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310 230,00 </w:t>
            </w:r>
          </w:p>
        </w:tc>
        <w:tc>
          <w:tcPr>
            <w:tcW w:w="535" w:type="pct"/>
            <w:shd w:val="clear" w:color="auto" w:fill="EFEFEF"/>
            <w:noWrap/>
            <w:vAlign w:val="center"/>
            <w:hideMark/>
          </w:tcPr>
          <w:p w14:paraId="39F9B85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245 058,62 </w:t>
            </w:r>
          </w:p>
        </w:tc>
        <w:tc>
          <w:tcPr>
            <w:tcW w:w="522" w:type="pct"/>
            <w:shd w:val="clear" w:color="auto" w:fill="EFEFEF"/>
            <w:noWrap/>
            <w:vAlign w:val="center"/>
            <w:hideMark/>
          </w:tcPr>
          <w:p w14:paraId="3C21D15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245 058,62 </w:t>
            </w:r>
          </w:p>
        </w:tc>
        <w:tc>
          <w:tcPr>
            <w:tcW w:w="564" w:type="pct"/>
            <w:shd w:val="clear" w:color="auto" w:fill="EFEFEF"/>
            <w:noWrap/>
            <w:vAlign w:val="center"/>
            <w:hideMark/>
          </w:tcPr>
          <w:p w14:paraId="7868305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5012AB74" w14:textId="77777777" w:rsidR="00B73FDB" w:rsidRPr="00B73FDB" w:rsidRDefault="00B73FDB" w:rsidP="00B73FDB">
            <w:pPr>
              <w:spacing w:after="0" w:line="240" w:lineRule="auto"/>
              <w:rPr>
                <w:rFonts w:cs="Calibri"/>
                <w:sz w:val="18"/>
                <w:szCs w:val="18"/>
                <w:lang w:eastAsia="sk-SK"/>
              </w:rPr>
            </w:pPr>
          </w:p>
        </w:tc>
      </w:tr>
      <w:tr w:rsidR="00B73FDB" w:rsidRPr="00B73FDB" w14:paraId="5BE7E76A" w14:textId="77777777" w:rsidTr="00B73FDB">
        <w:trPr>
          <w:tblCellSpacing w:w="15" w:type="dxa"/>
        </w:trPr>
        <w:tc>
          <w:tcPr>
            <w:tcW w:w="267" w:type="pct"/>
            <w:shd w:val="clear" w:color="auto" w:fill="EFEFEF"/>
            <w:noWrap/>
            <w:vAlign w:val="center"/>
            <w:hideMark/>
          </w:tcPr>
          <w:p w14:paraId="3101BC6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2AA4F01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149C73B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111 600,00 </w:t>
            </w:r>
          </w:p>
        </w:tc>
        <w:tc>
          <w:tcPr>
            <w:tcW w:w="535" w:type="pct"/>
            <w:shd w:val="clear" w:color="auto" w:fill="EFEFEF"/>
            <w:noWrap/>
            <w:vAlign w:val="center"/>
            <w:hideMark/>
          </w:tcPr>
          <w:p w14:paraId="510ED0A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109 862,69 </w:t>
            </w:r>
          </w:p>
        </w:tc>
        <w:tc>
          <w:tcPr>
            <w:tcW w:w="522" w:type="pct"/>
            <w:shd w:val="clear" w:color="auto" w:fill="EFEFEF"/>
            <w:noWrap/>
            <w:vAlign w:val="center"/>
            <w:hideMark/>
          </w:tcPr>
          <w:p w14:paraId="406836F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109 862,69 </w:t>
            </w:r>
          </w:p>
        </w:tc>
        <w:tc>
          <w:tcPr>
            <w:tcW w:w="564" w:type="pct"/>
            <w:shd w:val="clear" w:color="auto" w:fill="EFEFEF"/>
            <w:noWrap/>
            <w:vAlign w:val="center"/>
            <w:hideMark/>
          </w:tcPr>
          <w:p w14:paraId="7912865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56B7954F" w14:textId="77777777" w:rsidR="00B73FDB" w:rsidRPr="00B73FDB" w:rsidRDefault="00B73FDB" w:rsidP="00B73FDB">
            <w:pPr>
              <w:spacing w:after="0" w:line="240" w:lineRule="auto"/>
              <w:rPr>
                <w:rFonts w:cs="Calibri"/>
                <w:sz w:val="18"/>
                <w:szCs w:val="18"/>
                <w:lang w:eastAsia="sk-SK"/>
              </w:rPr>
            </w:pPr>
          </w:p>
        </w:tc>
      </w:tr>
      <w:tr w:rsidR="00B73FDB" w:rsidRPr="00B73FDB" w14:paraId="2C92192E" w14:textId="77777777" w:rsidTr="00B73FDB">
        <w:trPr>
          <w:tblCellSpacing w:w="15" w:type="dxa"/>
        </w:trPr>
        <w:tc>
          <w:tcPr>
            <w:tcW w:w="267" w:type="pct"/>
            <w:shd w:val="clear" w:color="auto" w:fill="EFEFEF"/>
            <w:noWrap/>
            <w:vAlign w:val="center"/>
            <w:hideMark/>
          </w:tcPr>
          <w:p w14:paraId="6AA5C70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74D1BC4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2D319E8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85 396,00 </w:t>
            </w:r>
          </w:p>
        </w:tc>
        <w:tc>
          <w:tcPr>
            <w:tcW w:w="535" w:type="pct"/>
            <w:shd w:val="clear" w:color="auto" w:fill="EFEFEF"/>
            <w:noWrap/>
            <w:vAlign w:val="center"/>
            <w:hideMark/>
          </w:tcPr>
          <w:p w14:paraId="639A8E1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131 120,01 </w:t>
            </w:r>
          </w:p>
        </w:tc>
        <w:tc>
          <w:tcPr>
            <w:tcW w:w="522" w:type="pct"/>
            <w:shd w:val="clear" w:color="auto" w:fill="EFEFEF"/>
            <w:noWrap/>
            <w:vAlign w:val="center"/>
            <w:hideMark/>
          </w:tcPr>
          <w:p w14:paraId="3B4A9A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131 120,01 </w:t>
            </w:r>
          </w:p>
        </w:tc>
        <w:tc>
          <w:tcPr>
            <w:tcW w:w="564" w:type="pct"/>
            <w:shd w:val="clear" w:color="auto" w:fill="EFEFEF"/>
            <w:noWrap/>
            <w:vAlign w:val="center"/>
            <w:hideMark/>
          </w:tcPr>
          <w:p w14:paraId="3813CBD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6A7F3145" w14:textId="77777777" w:rsidR="00B73FDB" w:rsidRPr="00B73FDB" w:rsidRDefault="00B73FDB" w:rsidP="00B73FDB">
            <w:pPr>
              <w:spacing w:after="0" w:line="240" w:lineRule="auto"/>
              <w:rPr>
                <w:rFonts w:cs="Calibri"/>
                <w:sz w:val="18"/>
                <w:szCs w:val="18"/>
                <w:lang w:eastAsia="sk-SK"/>
              </w:rPr>
            </w:pPr>
          </w:p>
        </w:tc>
      </w:tr>
    </w:tbl>
    <w:p w14:paraId="7BDCCFE0"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45"/>
        <w:gridCol w:w="781"/>
        <w:gridCol w:w="1851"/>
        <w:gridCol w:w="1330"/>
        <w:gridCol w:w="4159"/>
      </w:tblGrid>
      <w:tr w:rsidR="00B73FDB" w:rsidRPr="00B73FDB" w14:paraId="1E620B4B" w14:textId="77777777" w:rsidTr="00B73FDB">
        <w:trPr>
          <w:tblCellSpacing w:w="15" w:type="dxa"/>
        </w:trPr>
        <w:tc>
          <w:tcPr>
            <w:tcW w:w="0" w:type="auto"/>
            <w:shd w:val="clear" w:color="auto" w:fill="C2D69B"/>
            <w:vAlign w:val="center"/>
            <w:hideMark/>
          </w:tcPr>
          <w:p w14:paraId="611FC03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A1E7B0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6C2F50D0" w14:textId="77777777" w:rsidTr="00B73FDB">
        <w:trPr>
          <w:tblCellSpacing w:w="15" w:type="dxa"/>
        </w:trPr>
        <w:tc>
          <w:tcPr>
            <w:tcW w:w="0" w:type="auto"/>
            <w:shd w:val="clear" w:color="auto" w:fill="C2D69B"/>
            <w:vAlign w:val="center"/>
            <w:hideMark/>
          </w:tcPr>
          <w:p w14:paraId="3257F09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2B6DC5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základnej škole </w:t>
            </w:r>
          </w:p>
        </w:tc>
      </w:tr>
      <w:tr w:rsidR="00B73FDB" w:rsidRPr="00B73FDB" w14:paraId="48A32BFD" w14:textId="77777777" w:rsidTr="00B73FDB">
        <w:trPr>
          <w:tblCellSpacing w:w="15" w:type="dxa"/>
        </w:trPr>
        <w:tc>
          <w:tcPr>
            <w:tcW w:w="0" w:type="auto"/>
            <w:shd w:val="clear" w:color="auto" w:fill="C2D69B"/>
            <w:vAlign w:val="center"/>
            <w:hideMark/>
          </w:tcPr>
          <w:p w14:paraId="6E3C34B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6BF6C1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B88A6A4" w14:textId="77777777" w:rsidTr="00B73FDB">
        <w:trPr>
          <w:tblCellSpacing w:w="15" w:type="dxa"/>
        </w:trPr>
        <w:tc>
          <w:tcPr>
            <w:tcW w:w="0" w:type="auto"/>
            <w:shd w:val="clear" w:color="auto" w:fill="C2D69B"/>
            <w:vAlign w:val="center"/>
            <w:hideMark/>
          </w:tcPr>
          <w:p w14:paraId="36DB5D2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8909B2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E9BCFD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A80AA2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50C14D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8EBA66A" w14:textId="77777777" w:rsidTr="00B73FDB">
        <w:trPr>
          <w:tblCellSpacing w:w="15" w:type="dxa"/>
        </w:trPr>
        <w:tc>
          <w:tcPr>
            <w:tcW w:w="0" w:type="auto"/>
            <w:shd w:val="clear" w:color="auto" w:fill="C2D69B"/>
            <w:vAlign w:val="center"/>
            <w:hideMark/>
          </w:tcPr>
          <w:p w14:paraId="746DCB4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31D2E3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318 </w:t>
            </w:r>
          </w:p>
        </w:tc>
        <w:tc>
          <w:tcPr>
            <w:tcW w:w="0" w:type="auto"/>
            <w:shd w:val="clear" w:color="auto" w:fill="C2D69B"/>
            <w:noWrap/>
            <w:vAlign w:val="center"/>
            <w:hideMark/>
          </w:tcPr>
          <w:p w14:paraId="018243A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318 </w:t>
            </w:r>
          </w:p>
        </w:tc>
        <w:tc>
          <w:tcPr>
            <w:tcW w:w="0" w:type="auto"/>
            <w:shd w:val="clear" w:color="auto" w:fill="C2D69B"/>
            <w:vAlign w:val="center"/>
            <w:hideMark/>
          </w:tcPr>
          <w:p w14:paraId="7D6A316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DF7725F"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3AF09E41" w14:textId="77777777" w:rsidTr="00B73FDB">
        <w:trPr>
          <w:tblCellSpacing w:w="15" w:type="dxa"/>
        </w:trPr>
        <w:tc>
          <w:tcPr>
            <w:tcW w:w="0" w:type="auto"/>
            <w:shd w:val="clear" w:color="auto" w:fill="C2D69B"/>
            <w:vAlign w:val="center"/>
            <w:hideMark/>
          </w:tcPr>
          <w:p w14:paraId="135C0CB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D61C5D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2F3617EE" w14:textId="77777777" w:rsidTr="00B73FDB">
        <w:trPr>
          <w:tblCellSpacing w:w="15" w:type="dxa"/>
        </w:trPr>
        <w:tc>
          <w:tcPr>
            <w:tcW w:w="0" w:type="auto"/>
            <w:shd w:val="clear" w:color="auto" w:fill="C2D69B"/>
            <w:vAlign w:val="center"/>
            <w:hideMark/>
          </w:tcPr>
          <w:p w14:paraId="3BF3FDD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A5D7C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F71426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70D5FE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7241B3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8B2A7B4" w14:textId="77777777" w:rsidTr="00B73FDB">
        <w:trPr>
          <w:tblCellSpacing w:w="15" w:type="dxa"/>
        </w:trPr>
        <w:tc>
          <w:tcPr>
            <w:tcW w:w="0" w:type="auto"/>
            <w:shd w:val="clear" w:color="auto" w:fill="C2D69B"/>
            <w:vAlign w:val="center"/>
            <w:hideMark/>
          </w:tcPr>
          <w:p w14:paraId="4940C95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579248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318 </w:t>
            </w:r>
          </w:p>
        </w:tc>
        <w:tc>
          <w:tcPr>
            <w:tcW w:w="0" w:type="auto"/>
            <w:shd w:val="clear" w:color="auto" w:fill="C2D69B"/>
            <w:noWrap/>
            <w:vAlign w:val="center"/>
            <w:hideMark/>
          </w:tcPr>
          <w:p w14:paraId="237B875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318 </w:t>
            </w:r>
          </w:p>
        </w:tc>
        <w:tc>
          <w:tcPr>
            <w:tcW w:w="0" w:type="auto"/>
            <w:shd w:val="clear" w:color="auto" w:fill="C2D69B"/>
            <w:vAlign w:val="center"/>
            <w:hideMark/>
          </w:tcPr>
          <w:p w14:paraId="5504F4B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A2C1872" w14:textId="77777777" w:rsidR="00B73FDB" w:rsidRPr="00B73FDB" w:rsidRDefault="00B73FDB" w:rsidP="00B73FDB">
            <w:pPr>
              <w:spacing w:after="0" w:line="240" w:lineRule="auto"/>
              <w:jc w:val="center"/>
              <w:rPr>
                <w:rFonts w:cs="Calibri"/>
                <w:sz w:val="18"/>
                <w:szCs w:val="18"/>
                <w:lang w:eastAsia="sk-SK"/>
              </w:rPr>
            </w:pPr>
          </w:p>
        </w:tc>
      </w:tr>
    </w:tbl>
    <w:p w14:paraId="08D87983"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Plno organizovaná základná škola, ktorá poskytuje v šk. roku 2020/21 vzdelanie v 1. – 6. ročníku.</w:t>
      </w:r>
    </w:p>
    <w:p w14:paraId="73BA5740"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 xml:space="preserve">Prvok 8.2.21: Spojená škola, </w:t>
      </w:r>
      <w:proofErr w:type="spellStart"/>
      <w:r w:rsidRPr="00B73FDB">
        <w:rPr>
          <w:rFonts w:ascii="Calibri" w:hAnsi="Calibri" w:cs="Calibri"/>
          <w:b/>
          <w:color w:val="244061"/>
        </w:rPr>
        <w:t>Ostredkova</w:t>
      </w:r>
      <w:proofErr w:type="spellEnd"/>
      <w:r w:rsidRPr="00B73FDB">
        <w:rPr>
          <w:rFonts w:ascii="Calibri" w:hAnsi="Calibri" w:cs="Calibri"/>
          <w:b/>
          <w:color w:val="244061"/>
        </w:rPr>
        <w:t xml:space="preserve"> 10, BA - základná škola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0"/>
        <w:gridCol w:w="1214"/>
        <w:gridCol w:w="1196"/>
        <w:gridCol w:w="1081"/>
        <w:gridCol w:w="1214"/>
        <w:gridCol w:w="2426"/>
      </w:tblGrid>
      <w:tr w:rsidR="00B73FDB" w:rsidRPr="00B73FDB" w14:paraId="69A22DD7" w14:textId="77777777" w:rsidTr="00B73FDB">
        <w:trPr>
          <w:tblCellSpacing w:w="15" w:type="dxa"/>
        </w:trPr>
        <w:tc>
          <w:tcPr>
            <w:tcW w:w="267" w:type="pct"/>
            <w:shd w:val="clear" w:color="auto" w:fill="C6DBF7"/>
            <w:vAlign w:val="center"/>
            <w:hideMark/>
          </w:tcPr>
          <w:p w14:paraId="4EB2291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23DF0E2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3F2DD95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56" w:type="pct"/>
            <w:shd w:val="clear" w:color="auto" w:fill="C6DBF7"/>
            <w:vAlign w:val="center"/>
            <w:hideMark/>
          </w:tcPr>
          <w:p w14:paraId="5CF8824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44ABA2A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078CDD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226E81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A1BD57E" w14:textId="77777777" w:rsidTr="00B73FDB">
        <w:trPr>
          <w:tblCellSpacing w:w="15" w:type="dxa"/>
        </w:trPr>
        <w:tc>
          <w:tcPr>
            <w:tcW w:w="267" w:type="pct"/>
            <w:shd w:val="clear" w:color="auto" w:fill="D9D9D9"/>
            <w:noWrap/>
            <w:vAlign w:val="center"/>
            <w:hideMark/>
          </w:tcPr>
          <w:p w14:paraId="0DC58480"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6D78CB7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4E233B9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56" w:type="pct"/>
            <w:shd w:val="clear" w:color="auto" w:fill="D9D9D9"/>
            <w:noWrap/>
            <w:vAlign w:val="center"/>
            <w:hideMark/>
          </w:tcPr>
          <w:p w14:paraId="38B2379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80 419,00</w:t>
            </w:r>
            <w:r w:rsidRPr="00B73FDB">
              <w:rPr>
                <w:rFonts w:cs="Calibri"/>
                <w:sz w:val="18"/>
                <w:szCs w:val="18"/>
                <w:lang w:eastAsia="sk-SK"/>
              </w:rPr>
              <w:t xml:space="preserve"> </w:t>
            </w:r>
          </w:p>
        </w:tc>
        <w:tc>
          <w:tcPr>
            <w:tcW w:w="501" w:type="pct"/>
            <w:shd w:val="clear" w:color="auto" w:fill="D9D9D9"/>
            <w:noWrap/>
            <w:vAlign w:val="center"/>
            <w:hideMark/>
          </w:tcPr>
          <w:p w14:paraId="280C9CD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80 419,00</w:t>
            </w:r>
            <w:r w:rsidRPr="00B73FDB">
              <w:rPr>
                <w:rFonts w:cs="Calibri"/>
                <w:sz w:val="18"/>
                <w:szCs w:val="18"/>
                <w:lang w:eastAsia="sk-SK"/>
              </w:rPr>
              <w:t xml:space="preserve"> </w:t>
            </w:r>
          </w:p>
        </w:tc>
        <w:tc>
          <w:tcPr>
            <w:tcW w:w="565" w:type="pct"/>
            <w:shd w:val="clear" w:color="auto" w:fill="D9D9D9"/>
            <w:noWrap/>
            <w:vAlign w:val="center"/>
            <w:hideMark/>
          </w:tcPr>
          <w:p w14:paraId="06E9A1E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4BF5AEF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+22 715,00 EUR</w:t>
            </w:r>
            <w:r w:rsidRPr="00B73FDB">
              <w:rPr>
                <w:rFonts w:cs="Calibri"/>
                <w:sz w:val="18"/>
                <w:szCs w:val="18"/>
                <w:lang w:eastAsia="sk-SK"/>
              </w:rPr>
              <w:t xml:space="preserve"> normatívne finančné prostriedky,</w:t>
            </w:r>
          </w:p>
          <w:p w14:paraId="2B45A6C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+57 704,00 EUR</w:t>
            </w:r>
            <w:r w:rsidRPr="00B73FDB">
              <w:rPr>
                <w:rFonts w:cs="Calibri"/>
                <w:sz w:val="18"/>
                <w:szCs w:val="18"/>
                <w:lang w:eastAsia="sk-SK"/>
              </w:rPr>
              <w:t xml:space="preserve"> dopočet rozpočtu – zriadenie novej organizácie.</w:t>
            </w:r>
          </w:p>
        </w:tc>
      </w:tr>
      <w:tr w:rsidR="00B73FDB" w:rsidRPr="00B73FDB" w14:paraId="15A77127" w14:textId="77777777" w:rsidTr="00B73FDB">
        <w:trPr>
          <w:tblCellSpacing w:w="15" w:type="dxa"/>
        </w:trPr>
        <w:tc>
          <w:tcPr>
            <w:tcW w:w="267" w:type="pct"/>
            <w:shd w:val="clear" w:color="auto" w:fill="D9D9D9"/>
            <w:noWrap/>
            <w:vAlign w:val="center"/>
            <w:hideMark/>
          </w:tcPr>
          <w:p w14:paraId="08DA1B4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3254C70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79647B1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56" w:type="pct"/>
            <w:shd w:val="clear" w:color="auto" w:fill="D9D9D9"/>
            <w:noWrap/>
            <w:vAlign w:val="center"/>
            <w:hideMark/>
          </w:tcPr>
          <w:p w14:paraId="1ED3CF0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80 419,00</w:t>
            </w:r>
            <w:r w:rsidRPr="00B73FDB">
              <w:rPr>
                <w:rFonts w:cs="Calibri"/>
                <w:sz w:val="18"/>
                <w:szCs w:val="18"/>
                <w:lang w:eastAsia="sk-SK"/>
              </w:rPr>
              <w:t xml:space="preserve"> </w:t>
            </w:r>
          </w:p>
        </w:tc>
        <w:tc>
          <w:tcPr>
            <w:tcW w:w="501" w:type="pct"/>
            <w:shd w:val="clear" w:color="auto" w:fill="D9D9D9"/>
            <w:noWrap/>
            <w:vAlign w:val="center"/>
            <w:hideMark/>
          </w:tcPr>
          <w:p w14:paraId="3EB9B16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80 419,00</w:t>
            </w:r>
            <w:r w:rsidRPr="00B73FDB">
              <w:rPr>
                <w:rFonts w:cs="Calibri"/>
                <w:sz w:val="18"/>
                <w:szCs w:val="18"/>
                <w:lang w:eastAsia="sk-SK"/>
              </w:rPr>
              <w:t xml:space="preserve"> </w:t>
            </w:r>
          </w:p>
        </w:tc>
        <w:tc>
          <w:tcPr>
            <w:tcW w:w="565" w:type="pct"/>
            <w:shd w:val="clear" w:color="auto" w:fill="D9D9D9"/>
            <w:noWrap/>
            <w:vAlign w:val="center"/>
            <w:hideMark/>
          </w:tcPr>
          <w:p w14:paraId="74D6C9C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6F07B493" w14:textId="77777777" w:rsidR="00B73FDB" w:rsidRPr="00B73FDB" w:rsidRDefault="00B73FDB" w:rsidP="00B73FDB">
            <w:pPr>
              <w:spacing w:after="0" w:line="240" w:lineRule="auto"/>
              <w:rPr>
                <w:rFonts w:cs="Calibri"/>
                <w:sz w:val="18"/>
                <w:szCs w:val="18"/>
                <w:lang w:eastAsia="sk-SK"/>
              </w:rPr>
            </w:pPr>
          </w:p>
        </w:tc>
      </w:tr>
      <w:tr w:rsidR="00B73FDB" w:rsidRPr="00B73FDB" w14:paraId="52ED52DE" w14:textId="77777777" w:rsidTr="00B73FDB">
        <w:trPr>
          <w:tblCellSpacing w:w="15" w:type="dxa"/>
        </w:trPr>
        <w:tc>
          <w:tcPr>
            <w:tcW w:w="267" w:type="pct"/>
            <w:shd w:val="clear" w:color="auto" w:fill="EFEFEF"/>
            <w:noWrap/>
            <w:vAlign w:val="center"/>
            <w:hideMark/>
          </w:tcPr>
          <w:p w14:paraId="53ACA17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20BBF45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659A06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56" w:type="pct"/>
            <w:shd w:val="clear" w:color="auto" w:fill="EFEFEF"/>
            <w:noWrap/>
            <w:vAlign w:val="center"/>
            <w:hideMark/>
          </w:tcPr>
          <w:p w14:paraId="60F916B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32 966,84 </w:t>
            </w:r>
          </w:p>
        </w:tc>
        <w:tc>
          <w:tcPr>
            <w:tcW w:w="501" w:type="pct"/>
            <w:shd w:val="clear" w:color="auto" w:fill="EFEFEF"/>
            <w:noWrap/>
            <w:vAlign w:val="center"/>
            <w:hideMark/>
          </w:tcPr>
          <w:p w14:paraId="4EEA95F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32 966,84 </w:t>
            </w:r>
          </w:p>
        </w:tc>
        <w:tc>
          <w:tcPr>
            <w:tcW w:w="565" w:type="pct"/>
            <w:shd w:val="clear" w:color="auto" w:fill="EFEFEF"/>
            <w:noWrap/>
            <w:vAlign w:val="center"/>
            <w:hideMark/>
          </w:tcPr>
          <w:p w14:paraId="188748B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18FD9296" w14:textId="77777777" w:rsidR="00B73FDB" w:rsidRPr="00B73FDB" w:rsidRDefault="00B73FDB" w:rsidP="00B73FDB">
            <w:pPr>
              <w:spacing w:after="0" w:line="240" w:lineRule="auto"/>
              <w:rPr>
                <w:rFonts w:cs="Calibri"/>
                <w:sz w:val="18"/>
                <w:szCs w:val="18"/>
                <w:lang w:eastAsia="sk-SK"/>
              </w:rPr>
            </w:pPr>
          </w:p>
        </w:tc>
      </w:tr>
      <w:tr w:rsidR="00B73FDB" w:rsidRPr="00B73FDB" w14:paraId="63F278D0" w14:textId="77777777" w:rsidTr="00B73FDB">
        <w:trPr>
          <w:tblCellSpacing w:w="15" w:type="dxa"/>
        </w:trPr>
        <w:tc>
          <w:tcPr>
            <w:tcW w:w="267" w:type="pct"/>
            <w:shd w:val="clear" w:color="auto" w:fill="EFEFEF"/>
            <w:noWrap/>
            <w:vAlign w:val="center"/>
            <w:hideMark/>
          </w:tcPr>
          <w:p w14:paraId="7590E85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532E15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29F58C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56" w:type="pct"/>
            <w:shd w:val="clear" w:color="auto" w:fill="EFEFEF"/>
            <w:noWrap/>
            <w:vAlign w:val="center"/>
            <w:hideMark/>
          </w:tcPr>
          <w:p w14:paraId="4C11CDA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26 550,65 </w:t>
            </w:r>
          </w:p>
        </w:tc>
        <w:tc>
          <w:tcPr>
            <w:tcW w:w="501" w:type="pct"/>
            <w:shd w:val="clear" w:color="auto" w:fill="EFEFEF"/>
            <w:noWrap/>
            <w:vAlign w:val="center"/>
            <w:hideMark/>
          </w:tcPr>
          <w:p w14:paraId="620AB90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26 550,65 </w:t>
            </w:r>
          </w:p>
        </w:tc>
        <w:tc>
          <w:tcPr>
            <w:tcW w:w="565" w:type="pct"/>
            <w:shd w:val="clear" w:color="auto" w:fill="EFEFEF"/>
            <w:noWrap/>
            <w:vAlign w:val="center"/>
            <w:hideMark/>
          </w:tcPr>
          <w:p w14:paraId="506876E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2A6CC25" w14:textId="77777777" w:rsidR="00B73FDB" w:rsidRPr="00B73FDB" w:rsidRDefault="00B73FDB" w:rsidP="00B73FDB">
            <w:pPr>
              <w:spacing w:after="0" w:line="240" w:lineRule="auto"/>
              <w:rPr>
                <w:rFonts w:cs="Calibri"/>
                <w:sz w:val="18"/>
                <w:szCs w:val="18"/>
                <w:lang w:eastAsia="sk-SK"/>
              </w:rPr>
            </w:pPr>
          </w:p>
        </w:tc>
      </w:tr>
      <w:tr w:rsidR="00B73FDB" w:rsidRPr="00B73FDB" w14:paraId="3DEFCD71" w14:textId="77777777" w:rsidTr="00B73FDB">
        <w:trPr>
          <w:tblCellSpacing w:w="15" w:type="dxa"/>
        </w:trPr>
        <w:tc>
          <w:tcPr>
            <w:tcW w:w="267" w:type="pct"/>
            <w:shd w:val="clear" w:color="auto" w:fill="EFEFEF"/>
            <w:noWrap/>
            <w:vAlign w:val="center"/>
            <w:hideMark/>
          </w:tcPr>
          <w:p w14:paraId="6811A77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085178C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38929B1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56" w:type="pct"/>
            <w:shd w:val="clear" w:color="auto" w:fill="EFEFEF"/>
            <w:noWrap/>
            <w:vAlign w:val="center"/>
            <w:hideMark/>
          </w:tcPr>
          <w:p w14:paraId="6B54C1C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20 901,51 </w:t>
            </w:r>
          </w:p>
        </w:tc>
        <w:tc>
          <w:tcPr>
            <w:tcW w:w="501" w:type="pct"/>
            <w:shd w:val="clear" w:color="auto" w:fill="EFEFEF"/>
            <w:noWrap/>
            <w:vAlign w:val="center"/>
            <w:hideMark/>
          </w:tcPr>
          <w:p w14:paraId="2D9AFC3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20 901,51 </w:t>
            </w:r>
          </w:p>
        </w:tc>
        <w:tc>
          <w:tcPr>
            <w:tcW w:w="565" w:type="pct"/>
            <w:shd w:val="clear" w:color="auto" w:fill="EFEFEF"/>
            <w:noWrap/>
            <w:vAlign w:val="center"/>
            <w:hideMark/>
          </w:tcPr>
          <w:p w14:paraId="2DCB56E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6CD18BDF" w14:textId="77777777" w:rsidR="00B73FDB" w:rsidRPr="00B73FDB" w:rsidRDefault="00B73FDB" w:rsidP="00B73FDB">
            <w:pPr>
              <w:spacing w:after="0" w:line="240" w:lineRule="auto"/>
              <w:rPr>
                <w:rFonts w:cs="Calibri"/>
                <w:sz w:val="18"/>
                <w:szCs w:val="18"/>
                <w:lang w:eastAsia="sk-SK"/>
              </w:rPr>
            </w:pPr>
          </w:p>
        </w:tc>
      </w:tr>
    </w:tbl>
    <w:p w14:paraId="33A94364"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45"/>
        <w:gridCol w:w="781"/>
        <w:gridCol w:w="1851"/>
        <w:gridCol w:w="1330"/>
        <w:gridCol w:w="4159"/>
      </w:tblGrid>
      <w:tr w:rsidR="00B73FDB" w:rsidRPr="00B73FDB" w14:paraId="54D7E92F" w14:textId="77777777" w:rsidTr="00B73FDB">
        <w:trPr>
          <w:tblCellSpacing w:w="15" w:type="dxa"/>
        </w:trPr>
        <w:tc>
          <w:tcPr>
            <w:tcW w:w="0" w:type="auto"/>
            <w:shd w:val="clear" w:color="auto" w:fill="C2D69B"/>
            <w:vAlign w:val="center"/>
            <w:hideMark/>
          </w:tcPr>
          <w:p w14:paraId="7F8B16E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5FAE2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9430AE1" w14:textId="77777777" w:rsidTr="00B73FDB">
        <w:trPr>
          <w:tblCellSpacing w:w="15" w:type="dxa"/>
        </w:trPr>
        <w:tc>
          <w:tcPr>
            <w:tcW w:w="0" w:type="auto"/>
            <w:shd w:val="clear" w:color="auto" w:fill="C2D69B"/>
            <w:vAlign w:val="center"/>
            <w:hideMark/>
          </w:tcPr>
          <w:p w14:paraId="7A19891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0AD091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základnej škole </w:t>
            </w:r>
          </w:p>
        </w:tc>
      </w:tr>
      <w:tr w:rsidR="00B73FDB" w:rsidRPr="00B73FDB" w14:paraId="363BEADF" w14:textId="77777777" w:rsidTr="00B73FDB">
        <w:trPr>
          <w:tblCellSpacing w:w="15" w:type="dxa"/>
        </w:trPr>
        <w:tc>
          <w:tcPr>
            <w:tcW w:w="0" w:type="auto"/>
            <w:shd w:val="clear" w:color="auto" w:fill="C2D69B"/>
            <w:vAlign w:val="center"/>
            <w:hideMark/>
          </w:tcPr>
          <w:p w14:paraId="2C052AD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D48359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38D40E28" w14:textId="77777777" w:rsidTr="00B73FDB">
        <w:trPr>
          <w:tblCellSpacing w:w="15" w:type="dxa"/>
        </w:trPr>
        <w:tc>
          <w:tcPr>
            <w:tcW w:w="0" w:type="auto"/>
            <w:shd w:val="clear" w:color="auto" w:fill="C2D69B"/>
            <w:vAlign w:val="center"/>
            <w:hideMark/>
          </w:tcPr>
          <w:p w14:paraId="33AE35C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D5188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BE8D0F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DA57FA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11E0C8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CBE3285" w14:textId="77777777" w:rsidTr="00B73FDB">
        <w:trPr>
          <w:tblCellSpacing w:w="15" w:type="dxa"/>
        </w:trPr>
        <w:tc>
          <w:tcPr>
            <w:tcW w:w="0" w:type="auto"/>
            <w:shd w:val="clear" w:color="auto" w:fill="C2D69B"/>
            <w:vAlign w:val="center"/>
            <w:hideMark/>
          </w:tcPr>
          <w:p w14:paraId="3A2FF05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C2340D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80 </w:t>
            </w:r>
          </w:p>
        </w:tc>
        <w:tc>
          <w:tcPr>
            <w:tcW w:w="0" w:type="auto"/>
            <w:shd w:val="clear" w:color="auto" w:fill="C2D69B"/>
            <w:noWrap/>
            <w:vAlign w:val="center"/>
            <w:hideMark/>
          </w:tcPr>
          <w:p w14:paraId="4F7A999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80 </w:t>
            </w:r>
          </w:p>
        </w:tc>
        <w:tc>
          <w:tcPr>
            <w:tcW w:w="0" w:type="auto"/>
            <w:shd w:val="clear" w:color="auto" w:fill="C2D69B"/>
            <w:vAlign w:val="center"/>
            <w:hideMark/>
          </w:tcPr>
          <w:p w14:paraId="2D6440B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A1402D9"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50C90CC9" w14:textId="77777777" w:rsidTr="00B73FDB">
        <w:trPr>
          <w:tblCellSpacing w:w="15" w:type="dxa"/>
        </w:trPr>
        <w:tc>
          <w:tcPr>
            <w:tcW w:w="0" w:type="auto"/>
            <w:shd w:val="clear" w:color="auto" w:fill="C2D69B"/>
            <w:vAlign w:val="center"/>
            <w:hideMark/>
          </w:tcPr>
          <w:p w14:paraId="57A5038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0859C4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10D436A" w14:textId="77777777" w:rsidTr="00B73FDB">
        <w:trPr>
          <w:tblCellSpacing w:w="15" w:type="dxa"/>
        </w:trPr>
        <w:tc>
          <w:tcPr>
            <w:tcW w:w="0" w:type="auto"/>
            <w:shd w:val="clear" w:color="auto" w:fill="C2D69B"/>
            <w:vAlign w:val="center"/>
            <w:hideMark/>
          </w:tcPr>
          <w:p w14:paraId="4BFC4F7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98156E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1EFD17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844354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BBD87B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0D1D1E55" w14:textId="77777777" w:rsidTr="00B73FDB">
        <w:trPr>
          <w:tblCellSpacing w:w="15" w:type="dxa"/>
        </w:trPr>
        <w:tc>
          <w:tcPr>
            <w:tcW w:w="0" w:type="auto"/>
            <w:shd w:val="clear" w:color="auto" w:fill="C2D69B"/>
            <w:vAlign w:val="center"/>
            <w:hideMark/>
          </w:tcPr>
          <w:p w14:paraId="64E006C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017024B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80 </w:t>
            </w:r>
          </w:p>
        </w:tc>
        <w:tc>
          <w:tcPr>
            <w:tcW w:w="0" w:type="auto"/>
            <w:shd w:val="clear" w:color="auto" w:fill="C2D69B"/>
            <w:noWrap/>
            <w:vAlign w:val="center"/>
            <w:hideMark/>
          </w:tcPr>
          <w:p w14:paraId="463DF51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80 </w:t>
            </w:r>
          </w:p>
        </w:tc>
        <w:tc>
          <w:tcPr>
            <w:tcW w:w="0" w:type="auto"/>
            <w:shd w:val="clear" w:color="auto" w:fill="C2D69B"/>
            <w:vAlign w:val="center"/>
            <w:hideMark/>
          </w:tcPr>
          <w:p w14:paraId="51F1824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91F9ED5" w14:textId="77777777" w:rsidR="00B73FDB" w:rsidRPr="00B73FDB" w:rsidRDefault="00B73FDB" w:rsidP="00B73FDB">
            <w:pPr>
              <w:spacing w:after="0" w:line="240" w:lineRule="auto"/>
              <w:jc w:val="center"/>
              <w:rPr>
                <w:rFonts w:cs="Calibri"/>
                <w:sz w:val="18"/>
                <w:szCs w:val="18"/>
                <w:lang w:eastAsia="sk-SK"/>
              </w:rPr>
            </w:pPr>
          </w:p>
        </w:tc>
      </w:tr>
    </w:tbl>
    <w:p w14:paraId="31216B43"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Neplno organizovaná základná škola, ktorá poskytuje v šk. roku 2020/21 športové vzdelanie v 5. – 7. ročníku. Rozpočet uvádzame od 1.9.2020.</w:t>
      </w:r>
    </w:p>
    <w:p w14:paraId="6A1CAEA5"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8.2.22: Spojená škola, Pankúchova 6, BA - základná škola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96"/>
        <w:gridCol w:w="2749"/>
        <w:gridCol w:w="1214"/>
        <w:gridCol w:w="1153"/>
        <w:gridCol w:w="1116"/>
        <w:gridCol w:w="1212"/>
        <w:gridCol w:w="2426"/>
      </w:tblGrid>
      <w:tr w:rsidR="00B73FDB" w:rsidRPr="00B73FDB" w14:paraId="48605FC0" w14:textId="77777777" w:rsidTr="00B73FDB">
        <w:trPr>
          <w:tblCellSpacing w:w="15" w:type="dxa"/>
        </w:trPr>
        <w:tc>
          <w:tcPr>
            <w:tcW w:w="262" w:type="pct"/>
            <w:shd w:val="clear" w:color="auto" w:fill="C6DBF7"/>
            <w:vAlign w:val="center"/>
            <w:hideMark/>
          </w:tcPr>
          <w:p w14:paraId="6964F0D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97" w:type="pct"/>
            <w:shd w:val="clear" w:color="auto" w:fill="C6DBF7"/>
            <w:vAlign w:val="center"/>
            <w:hideMark/>
          </w:tcPr>
          <w:p w14:paraId="60776BF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607523F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36" w:type="pct"/>
            <w:shd w:val="clear" w:color="auto" w:fill="C6DBF7"/>
            <w:vAlign w:val="center"/>
            <w:hideMark/>
          </w:tcPr>
          <w:p w14:paraId="08F0A62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18" w:type="pct"/>
            <w:shd w:val="clear" w:color="auto" w:fill="C6DBF7"/>
            <w:vAlign w:val="center"/>
            <w:hideMark/>
          </w:tcPr>
          <w:p w14:paraId="1322D23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39E7CD6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0CC04D4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6903965" w14:textId="77777777" w:rsidTr="00B73FDB">
        <w:trPr>
          <w:tblCellSpacing w:w="15" w:type="dxa"/>
        </w:trPr>
        <w:tc>
          <w:tcPr>
            <w:tcW w:w="262" w:type="pct"/>
            <w:shd w:val="clear" w:color="auto" w:fill="D9D9D9"/>
            <w:noWrap/>
            <w:vAlign w:val="center"/>
            <w:hideMark/>
          </w:tcPr>
          <w:p w14:paraId="344617E0" w14:textId="77777777" w:rsidR="00B73FDB" w:rsidRPr="00B73FDB" w:rsidRDefault="00B73FDB" w:rsidP="00B73FDB">
            <w:pPr>
              <w:spacing w:after="0" w:line="240" w:lineRule="auto"/>
              <w:jc w:val="center"/>
              <w:rPr>
                <w:rFonts w:cs="Calibri"/>
                <w:sz w:val="18"/>
                <w:szCs w:val="18"/>
                <w:lang w:eastAsia="sk-SK"/>
              </w:rPr>
            </w:pPr>
          </w:p>
        </w:tc>
        <w:tc>
          <w:tcPr>
            <w:tcW w:w="1297" w:type="pct"/>
            <w:shd w:val="clear" w:color="auto" w:fill="D9D9D9"/>
            <w:vAlign w:val="center"/>
            <w:hideMark/>
          </w:tcPr>
          <w:p w14:paraId="000EBF0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50C30A1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36" w:type="pct"/>
            <w:shd w:val="clear" w:color="auto" w:fill="D9D9D9"/>
            <w:noWrap/>
            <w:vAlign w:val="center"/>
            <w:hideMark/>
          </w:tcPr>
          <w:p w14:paraId="6566138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97 188,00</w:t>
            </w:r>
            <w:r w:rsidRPr="00B73FDB">
              <w:rPr>
                <w:rFonts w:cs="Calibri"/>
                <w:sz w:val="18"/>
                <w:szCs w:val="18"/>
                <w:lang w:eastAsia="sk-SK"/>
              </w:rPr>
              <w:t xml:space="preserve"> </w:t>
            </w:r>
          </w:p>
        </w:tc>
        <w:tc>
          <w:tcPr>
            <w:tcW w:w="518" w:type="pct"/>
            <w:shd w:val="clear" w:color="auto" w:fill="D9D9D9"/>
            <w:noWrap/>
            <w:vAlign w:val="center"/>
            <w:hideMark/>
          </w:tcPr>
          <w:p w14:paraId="18090CD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54 666,66</w:t>
            </w:r>
            <w:r w:rsidRPr="00B73FDB">
              <w:rPr>
                <w:rFonts w:cs="Calibri"/>
                <w:sz w:val="18"/>
                <w:szCs w:val="18"/>
                <w:lang w:eastAsia="sk-SK"/>
              </w:rPr>
              <w:t xml:space="preserve"> </w:t>
            </w:r>
          </w:p>
        </w:tc>
        <w:tc>
          <w:tcPr>
            <w:tcW w:w="564" w:type="pct"/>
            <w:shd w:val="clear" w:color="auto" w:fill="D9D9D9"/>
            <w:noWrap/>
            <w:vAlign w:val="center"/>
            <w:hideMark/>
          </w:tcPr>
          <w:p w14:paraId="2E3EA7A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56,25</w:t>
            </w:r>
            <w:r w:rsidRPr="00B73FDB">
              <w:rPr>
                <w:rFonts w:cs="Calibri"/>
                <w:sz w:val="18"/>
                <w:szCs w:val="18"/>
                <w:lang w:eastAsia="sk-SK"/>
              </w:rPr>
              <w:t xml:space="preserve"> </w:t>
            </w:r>
          </w:p>
        </w:tc>
        <w:tc>
          <w:tcPr>
            <w:tcW w:w="1136" w:type="pct"/>
            <w:vMerge w:val="restart"/>
            <w:shd w:val="clear" w:color="auto" w:fill="D9D9D9"/>
            <w:vAlign w:val="center"/>
            <w:hideMark/>
          </w:tcPr>
          <w:p w14:paraId="34B20B0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+26 242,00 EUR</w:t>
            </w:r>
            <w:r w:rsidRPr="00B73FDB">
              <w:rPr>
                <w:rFonts w:cs="Calibri"/>
                <w:sz w:val="18"/>
                <w:szCs w:val="18"/>
                <w:lang w:eastAsia="sk-SK"/>
              </w:rPr>
              <w:t xml:space="preserve"> normatívne finančné prostriedky,</w:t>
            </w:r>
          </w:p>
          <w:p w14:paraId="2D5D09B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+70 306,00 EUR</w:t>
            </w:r>
            <w:r w:rsidRPr="00B73FDB">
              <w:rPr>
                <w:rFonts w:cs="Calibri"/>
                <w:sz w:val="18"/>
                <w:szCs w:val="18"/>
                <w:lang w:eastAsia="sk-SK"/>
              </w:rPr>
              <w:t xml:space="preserve"> dopočet rozpočtu – zriadenie novej organizácie,</w:t>
            </w:r>
          </w:p>
          <w:p w14:paraId="6549AD7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+640,00 EUR </w:t>
            </w:r>
            <w:r w:rsidRPr="00B73FDB">
              <w:rPr>
                <w:rFonts w:cs="Calibri"/>
                <w:sz w:val="18"/>
                <w:szCs w:val="18"/>
                <w:lang w:eastAsia="sk-SK"/>
              </w:rPr>
              <w:t>nenormatívne finančné prostriedky na vzdelávacie poukazy.</w:t>
            </w:r>
          </w:p>
        </w:tc>
      </w:tr>
      <w:tr w:rsidR="00B73FDB" w:rsidRPr="00B73FDB" w14:paraId="17A7ACD3" w14:textId="77777777" w:rsidTr="00B73FDB">
        <w:trPr>
          <w:tblCellSpacing w:w="15" w:type="dxa"/>
        </w:trPr>
        <w:tc>
          <w:tcPr>
            <w:tcW w:w="262" w:type="pct"/>
            <w:shd w:val="clear" w:color="auto" w:fill="D9D9D9"/>
            <w:noWrap/>
            <w:vAlign w:val="center"/>
            <w:hideMark/>
          </w:tcPr>
          <w:p w14:paraId="75F6B40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97" w:type="pct"/>
            <w:shd w:val="clear" w:color="auto" w:fill="D9D9D9"/>
            <w:vAlign w:val="center"/>
            <w:hideMark/>
          </w:tcPr>
          <w:p w14:paraId="14645BD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6922FF1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36" w:type="pct"/>
            <w:shd w:val="clear" w:color="auto" w:fill="D9D9D9"/>
            <w:noWrap/>
            <w:vAlign w:val="center"/>
            <w:hideMark/>
          </w:tcPr>
          <w:p w14:paraId="7EA229D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97 188,00</w:t>
            </w:r>
            <w:r w:rsidRPr="00B73FDB">
              <w:rPr>
                <w:rFonts w:cs="Calibri"/>
                <w:sz w:val="18"/>
                <w:szCs w:val="18"/>
                <w:lang w:eastAsia="sk-SK"/>
              </w:rPr>
              <w:t xml:space="preserve"> </w:t>
            </w:r>
          </w:p>
        </w:tc>
        <w:tc>
          <w:tcPr>
            <w:tcW w:w="518" w:type="pct"/>
            <w:shd w:val="clear" w:color="auto" w:fill="D9D9D9"/>
            <w:noWrap/>
            <w:vAlign w:val="center"/>
            <w:hideMark/>
          </w:tcPr>
          <w:p w14:paraId="2E2B23C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54 666,66</w:t>
            </w:r>
            <w:r w:rsidRPr="00B73FDB">
              <w:rPr>
                <w:rFonts w:cs="Calibri"/>
                <w:sz w:val="18"/>
                <w:szCs w:val="18"/>
                <w:lang w:eastAsia="sk-SK"/>
              </w:rPr>
              <w:t xml:space="preserve"> </w:t>
            </w:r>
          </w:p>
        </w:tc>
        <w:tc>
          <w:tcPr>
            <w:tcW w:w="564" w:type="pct"/>
            <w:shd w:val="clear" w:color="auto" w:fill="D9D9D9"/>
            <w:noWrap/>
            <w:vAlign w:val="center"/>
            <w:hideMark/>
          </w:tcPr>
          <w:p w14:paraId="4809201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56,25</w:t>
            </w:r>
            <w:r w:rsidRPr="00B73FDB">
              <w:rPr>
                <w:rFonts w:cs="Calibri"/>
                <w:sz w:val="18"/>
                <w:szCs w:val="18"/>
                <w:lang w:eastAsia="sk-SK"/>
              </w:rPr>
              <w:t xml:space="preserve"> </w:t>
            </w:r>
          </w:p>
        </w:tc>
        <w:tc>
          <w:tcPr>
            <w:tcW w:w="1136" w:type="pct"/>
            <w:vMerge/>
            <w:shd w:val="clear" w:color="auto" w:fill="D9D9D9"/>
            <w:vAlign w:val="center"/>
            <w:hideMark/>
          </w:tcPr>
          <w:p w14:paraId="21215ADE" w14:textId="77777777" w:rsidR="00B73FDB" w:rsidRPr="00B73FDB" w:rsidRDefault="00B73FDB" w:rsidP="00B73FDB">
            <w:pPr>
              <w:spacing w:after="0" w:line="240" w:lineRule="auto"/>
              <w:rPr>
                <w:rFonts w:cs="Calibri"/>
                <w:sz w:val="18"/>
                <w:szCs w:val="18"/>
                <w:lang w:eastAsia="sk-SK"/>
              </w:rPr>
            </w:pPr>
          </w:p>
        </w:tc>
      </w:tr>
      <w:tr w:rsidR="00B73FDB" w:rsidRPr="00B73FDB" w14:paraId="3B846379" w14:textId="77777777" w:rsidTr="00B73FDB">
        <w:trPr>
          <w:tblCellSpacing w:w="15" w:type="dxa"/>
        </w:trPr>
        <w:tc>
          <w:tcPr>
            <w:tcW w:w="262" w:type="pct"/>
            <w:shd w:val="clear" w:color="auto" w:fill="EFEFEF"/>
            <w:noWrap/>
            <w:vAlign w:val="center"/>
            <w:hideMark/>
          </w:tcPr>
          <w:p w14:paraId="169DDAA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97" w:type="pct"/>
            <w:shd w:val="clear" w:color="auto" w:fill="EFEFEF"/>
            <w:vAlign w:val="center"/>
            <w:hideMark/>
          </w:tcPr>
          <w:p w14:paraId="40D9A41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7877D58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36" w:type="pct"/>
            <w:shd w:val="clear" w:color="auto" w:fill="EFEFEF"/>
            <w:noWrap/>
            <w:vAlign w:val="center"/>
            <w:hideMark/>
          </w:tcPr>
          <w:p w14:paraId="28475C1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31 303,95 </w:t>
            </w:r>
          </w:p>
        </w:tc>
        <w:tc>
          <w:tcPr>
            <w:tcW w:w="518" w:type="pct"/>
            <w:shd w:val="clear" w:color="auto" w:fill="EFEFEF"/>
            <w:noWrap/>
            <w:vAlign w:val="center"/>
            <w:hideMark/>
          </w:tcPr>
          <w:p w14:paraId="54A55D5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31 303,95 </w:t>
            </w:r>
          </w:p>
        </w:tc>
        <w:tc>
          <w:tcPr>
            <w:tcW w:w="564" w:type="pct"/>
            <w:shd w:val="clear" w:color="auto" w:fill="EFEFEF"/>
            <w:noWrap/>
            <w:vAlign w:val="center"/>
            <w:hideMark/>
          </w:tcPr>
          <w:p w14:paraId="66FA8AC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4ABBD27" w14:textId="77777777" w:rsidR="00B73FDB" w:rsidRPr="00B73FDB" w:rsidRDefault="00B73FDB" w:rsidP="00B73FDB">
            <w:pPr>
              <w:spacing w:after="0" w:line="240" w:lineRule="auto"/>
              <w:rPr>
                <w:rFonts w:cs="Calibri"/>
                <w:sz w:val="18"/>
                <w:szCs w:val="18"/>
                <w:lang w:eastAsia="sk-SK"/>
              </w:rPr>
            </w:pPr>
          </w:p>
        </w:tc>
      </w:tr>
      <w:tr w:rsidR="00B73FDB" w:rsidRPr="00B73FDB" w14:paraId="1A0E699A" w14:textId="77777777" w:rsidTr="00B73FDB">
        <w:trPr>
          <w:tblCellSpacing w:w="15" w:type="dxa"/>
        </w:trPr>
        <w:tc>
          <w:tcPr>
            <w:tcW w:w="262" w:type="pct"/>
            <w:shd w:val="clear" w:color="auto" w:fill="EFEFEF"/>
            <w:noWrap/>
            <w:vAlign w:val="center"/>
            <w:hideMark/>
          </w:tcPr>
          <w:p w14:paraId="60E8FEC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97" w:type="pct"/>
            <w:shd w:val="clear" w:color="auto" w:fill="EFEFEF"/>
            <w:vAlign w:val="center"/>
            <w:hideMark/>
          </w:tcPr>
          <w:p w14:paraId="6583391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7631F98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36" w:type="pct"/>
            <w:shd w:val="clear" w:color="auto" w:fill="EFEFEF"/>
            <w:noWrap/>
            <w:vAlign w:val="center"/>
            <w:hideMark/>
          </w:tcPr>
          <w:p w14:paraId="763F7A0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12 128,54 </w:t>
            </w:r>
          </w:p>
        </w:tc>
        <w:tc>
          <w:tcPr>
            <w:tcW w:w="518" w:type="pct"/>
            <w:shd w:val="clear" w:color="auto" w:fill="EFEFEF"/>
            <w:noWrap/>
            <w:vAlign w:val="center"/>
            <w:hideMark/>
          </w:tcPr>
          <w:p w14:paraId="7C39364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12 128,54 </w:t>
            </w:r>
          </w:p>
        </w:tc>
        <w:tc>
          <w:tcPr>
            <w:tcW w:w="564" w:type="pct"/>
            <w:shd w:val="clear" w:color="auto" w:fill="EFEFEF"/>
            <w:noWrap/>
            <w:vAlign w:val="center"/>
            <w:hideMark/>
          </w:tcPr>
          <w:p w14:paraId="39E45CF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08CF76D4" w14:textId="77777777" w:rsidR="00B73FDB" w:rsidRPr="00B73FDB" w:rsidRDefault="00B73FDB" w:rsidP="00B73FDB">
            <w:pPr>
              <w:spacing w:after="0" w:line="240" w:lineRule="auto"/>
              <w:rPr>
                <w:rFonts w:cs="Calibri"/>
                <w:sz w:val="18"/>
                <w:szCs w:val="18"/>
                <w:lang w:eastAsia="sk-SK"/>
              </w:rPr>
            </w:pPr>
          </w:p>
        </w:tc>
      </w:tr>
      <w:tr w:rsidR="00B73FDB" w:rsidRPr="00B73FDB" w14:paraId="0260601E" w14:textId="77777777" w:rsidTr="00B73FDB">
        <w:trPr>
          <w:tblCellSpacing w:w="15" w:type="dxa"/>
        </w:trPr>
        <w:tc>
          <w:tcPr>
            <w:tcW w:w="262" w:type="pct"/>
            <w:shd w:val="clear" w:color="auto" w:fill="EFEFEF"/>
            <w:noWrap/>
            <w:vAlign w:val="center"/>
            <w:hideMark/>
          </w:tcPr>
          <w:p w14:paraId="35F5F07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97" w:type="pct"/>
            <w:shd w:val="clear" w:color="auto" w:fill="EFEFEF"/>
            <w:vAlign w:val="center"/>
            <w:hideMark/>
          </w:tcPr>
          <w:p w14:paraId="3716F5E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06E53FC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36" w:type="pct"/>
            <w:shd w:val="clear" w:color="auto" w:fill="EFEFEF"/>
            <w:noWrap/>
            <w:vAlign w:val="center"/>
            <w:hideMark/>
          </w:tcPr>
          <w:p w14:paraId="23CC24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53 755,51 </w:t>
            </w:r>
          </w:p>
        </w:tc>
        <w:tc>
          <w:tcPr>
            <w:tcW w:w="518" w:type="pct"/>
            <w:shd w:val="clear" w:color="auto" w:fill="EFEFEF"/>
            <w:noWrap/>
            <w:vAlign w:val="center"/>
            <w:hideMark/>
          </w:tcPr>
          <w:p w14:paraId="69A734C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11 234,17 </w:t>
            </w:r>
          </w:p>
        </w:tc>
        <w:tc>
          <w:tcPr>
            <w:tcW w:w="564" w:type="pct"/>
            <w:shd w:val="clear" w:color="auto" w:fill="EFEFEF"/>
            <w:noWrap/>
            <w:vAlign w:val="center"/>
            <w:hideMark/>
          </w:tcPr>
          <w:p w14:paraId="4EA141F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20,90 </w:t>
            </w:r>
          </w:p>
        </w:tc>
        <w:tc>
          <w:tcPr>
            <w:tcW w:w="1136" w:type="pct"/>
            <w:vMerge/>
            <w:shd w:val="clear" w:color="auto" w:fill="EFEFEF"/>
            <w:vAlign w:val="center"/>
            <w:hideMark/>
          </w:tcPr>
          <w:p w14:paraId="1B6B6723" w14:textId="77777777" w:rsidR="00B73FDB" w:rsidRPr="00B73FDB" w:rsidRDefault="00B73FDB" w:rsidP="00B73FDB">
            <w:pPr>
              <w:spacing w:after="0" w:line="240" w:lineRule="auto"/>
              <w:rPr>
                <w:rFonts w:cs="Calibri"/>
                <w:sz w:val="18"/>
                <w:szCs w:val="18"/>
                <w:lang w:eastAsia="sk-SK"/>
              </w:rPr>
            </w:pPr>
          </w:p>
        </w:tc>
      </w:tr>
    </w:tbl>
    <w:p w14:paraId="46540D6E"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45"/>
        <w:gridCol w:w="781"/>
        <w:gridCol w:w="1851"/>
        <w:gridCol w:w="1330"/>
        <w:gridCol w:w="4159"/>
      </w:tblGrid>
      <w:tr w:rsidR="00B73FDB" w:rsidRPr="00B73FDB" w14:paraId="33126264" w14:textId="77777777" w:rsidTr="00B73FDB">
        <w:trPr>
          <w:tblCellSpacing w:w="15" w:type="dxa"/>
        </w:trPr>
        <w:tc>
          <w:tcPr>
            <w:tcW w:w="0" w:type="auto"/>
            <w:shd w:val="clear" w:color="auto" w:fill="C2D69B"/>
            <w:vAlign w:val="center"/>
            <w:hideMark/>
          </w:tcPr>
          <w:p w14:paraId="2194071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6E0A47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C5F8FB6" w14:textId="77777777" w:rsidTr="00B73FDB">
        <w:trPr>
          <w:tblCellSpacing w:w="15" w:type="dxa"/>
        </w:trPr>
        <w:tc>
          <w:tcPr>
            <w:tcW w:w="0" w:type="auto"/>
            <w:shd w:val="clear" w:color="auto" w:fill="C2D69B"/>
            <w:vAlign w:val="center"/>
            <w:hideMark/>
          </w:tcPr>
          <w:p w14:paraId="6355652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5E16664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základnej škole </w:t>
            </w:r>
          </w:p>
        </w:tc>
      </w:tr>
      <w:tr w:rsidR="00B73FDB" w:rsidRPr="00B73FDB" w14:paraId="2755F591" w14:textId="77777777" w:rsidTr="00B73FDB">
        <w:trPr>
          <w:tblCellSpacing w:w="15" w:type="dxa"/>
        </w:trPr>
        <w:tc>
          <w:tcPr>
            <w:tcW w:w="0" w:type="auto"/>
            <w:shd w:val="clear" w:color="auto" w:fill="C2D69B"/>
            <w:vAlign w:val="center"/>
            <w:hideMark/>
          </w:tcPr>
          <w:p w14:paraId="1918F6A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DBA838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0365BD5" w14:textId="77777777" w:rsidTr="00B73FDB">
        <w:trPr>
          <w:tblCellSpacing w:w="15" w:type="dxa"/>
        </w:trPr>
        <w:tc>
          <w:tcPr>
            <w:tcW w:w="0" w:type="auto"/>
            <w:shd w:val="clear" w:color="auto" w:fill="C2D69B"/>
            <w:vAlign w:val="center"/>
            <w:hideMark/>
          </w:tcPr>
          <w:p w14:paraId="27BA95D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C123A1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24C0D1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A9E87F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ED3D8F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85E6844" w14:textId="77777777" w:rsidTr="00B73FDB">
        <w:trPr>
          <w:tblCellSpacing w:w="15" w:type="dxa"/>
        </w:trPr>
        <w:tc>
          <w:tcPr>
            <w:tcW w:w="0" w:type="auto"/>
            <w:shd w:val="clear" w:color="auto" w:fill="C2D69B"/>
            <w:vAlign w:val="center"/>
            <w:hideMark/>
          </w:tcPr>
          <w:p w14:paraId="706DE2C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2A0E10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103 </w:t>
            </w:r>
          </w:p>
        </w:tc>
        <w:tc>
          <w:tcPr>
            <w:tcW w:w="0" w:type="auto"/>
            <w:shd w:val="clear" w:color="auto" w:fill="C2D69B"/>
            <w:noWrap/>
            <w:vAlign w:val="center"/>
            <w:hideMark/>
          </w:tcPr>
          <w:p w14:paraId="30E4A39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103 </w:t>
            </w:r>
          </w:p>
        </w:tc>
        <w:tc>
          <w:tcPr>
            <w:tcW w:w="0" w:type="auto"/>
            <w:shd w:val="clear" w:color="auto" w:fill="C2D69B"/>
            <w:vAlign w:val="center"/>
            <w:hideMark/>
          </w:tcPr>
          <w:p w14:paraId="4E6431C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4D70818"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6BEC126" w14:textId="77777777" w:rsidTr="00B73FDB">
        <w:trPr>
          <w:tblCellSpacing w:w="15" w:type="dxa"/>
        </w:trPr>
        <w:tc>
          <w:tcPr>
            <w:tcW w:w="0" w:type="auto"/>
            <w:shd w:val="clear" w:color="auto" w:fill="C2D69B"/>
            <w:vAlign w:val="center"/>
            <w:hideMark/>
          </w:tcPr>
          <w:p w14:paraId="58D2FA1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0D1ABF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4E3EF63" w14:textId="77777777" w:rsidTr="00B73FDB">
        <w:trPr>
          <w:tblCellSpacing w:w="15" w:type="dxa"/>
        </w:trPr>
        <w:tc>
          <w:tcPr>
            <w:tcW w:w="0" w:type="auto"/>
            <w:shd w:val="clear" w:color="auto" w:fill="C2D69B"/>
            <w:vAlign w:val="center"/>
            <w:hideMark/>
          </w:tcPr>
          <w:p w14:paraId="0F04C54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510A24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A2EA9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B2A86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96A0F9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6F9A29A" w14:textId="77777777" w:rsidTr="00B73FDB">
        <w:trPr>
          <w:tblCellSpacing w:w="15" w:type="dxa"/>
        </w:trPr>
        <w:tc>
          <w:tcPr>
            <w:tcW w:w="0" w:type="auto"/>
            <w:shd w:val="clear" w:color="auto" w:fill="C2D69B"/>
            <w:vAlign w:val="center"/>
            <w:hideMark/>
          </w:tcPr>
          <w:p w14:paraId="77638E4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155B6B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103 </w:t>
            </w:r>
          </w:p>
        </w:tc>
        <w:tc>
          <w:tcPr>
            <w:tcW w:w="0" w:type="auto"/>
            <w:shd w:val="clear" w:color="auto" w:fill="C2D69B"/>
            <w:noWrap/>
            <w:vAlign w:val="center"/>
            <w:hideMark/>
          </w:tcPr>
          <w:p w14:paraId="104F9FF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103 </w:t>
            </w:r>
          </w:p>
        </w:tc>
        <w:tc>
          <w:tcPr>
            <w:tcW w:w="0" w:type="auto"/>
            <w:shd w:val="clear" w:color="auto" w:fill="C2D69B"/>
            <w:vAlign w:val="center"/>
            <w:hideMark/>
          </w:tcPr>
          <w:p w14:paraId="59B8888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75A1C3A" w14:textId="77777777" w:rsidR="00B73FDB" w:rsidRPr="00B73FDB" w:rsidRDefault="00B73FDB" w:rsidP="00B73FDB">
            <w:pPr>
              <w:spacing w:after="0" w:line="240" w:lineRule="auto"/>
              <w:jc w:val="center"/>
              <w:rPr>
                <w:rFonts w:cs="Calibri"/>
                <w:sz w:val="18"/>
                <w:szCs w:val="18"/>
                <w:lang w:eastAsia="sk-SK"/>
              </w:rPr>
            </w:pPr>
          </w:p>
        </w:tc>
      </w:tr>
    </w:tbl>
    <w:p w14:paraId="61DFDD5D"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Plno organizovaná základná škola, v súčasnosti prebieha v škole certifikácia medzinárodných programov IB v anglickom jazyku, škola ponúka vzdelanie v </w:t>
      </w:r>
      <w:proofErr w:type="spellStart"/>
      <w:r w:rsidRPr="00B73FDB">
        <w:rPr>
          <w:rFonts w:cs="Calibri"/>
          <w:sz w:val="24"/>
          <w:szCs w:val="24"/>
          <w:lang w:eastAsia="sk-SK"/>
        </w:rPr>
        <w:t>Primary</w:t>
      </w:r>
      <w:proofErr w:type="spellEnd"/>
      <w:r w:rsidRPr="00B73FDB">
        <w:rPr>
          <w:rFonts w:cs="Calibri"/>
          <w:sz w:val="24"/>
          <w:szCs w:val="24"/>
          <w:lang w:eastAsia="sk-SK"/>
        </w:rPr>
        <w:t xml:space="preserve"> </w:t>
      </w:r>
      <w:proofErr w:type="spellStart"/>
      <w:r w:rsidRPr="00B73FDB">
        <w:rPr>
          <w:rFonts w:cs="Calibri"/>
          <w:sz w:val="24"/>
          <w:szCs w:val="24"/>
          <w:lang w:eastAsia="sk-SK"/>
        </w:rPr>
        <w:t>Years</w:t>
      </w:r>
      <w:proofErr w:type="spellEnd"/>
      <w:r w:rsidRPr="00B73FDB">
        <w:rPr>
          <w:rFonts w:cs="Calibri"/>
          <w:sz w:val="24"/>
          <w:szCs w:val="24"/>
          <w:lang w:eastAsia="sk-SK"/>
        </w:rPr>
        <w:t xml:space="preserve"> </w:t>
      </w:r>
      <w:proofErr w:type="spellStart"/>
      <w:r w:rsidRPr="00B73FDB">
        <w:rPr>
          <w:rFonts w:cs="Calibri"/>
          <w:sz w:val="24"/>
          <w:szCs w:val="24"/>
          <w:lang w:eastAsia="sk-SK"/>
        </w:rPr>
        <w:t>Programme</w:t>
      </w:r>
      <w:proofErr w:type="spellEnd"/>
      <w:r w:rsidRPr="00B73FDB">
        <w:rPr>
          <w:rFonts w:cs="Calibri"/>
          <w:sz w:val="24"/>
          <w:szCs w:val="24"/>
          <w:lang w:eastAsia="sk-SK"/>
        </w:rPr>
        <w:t xml:space="preserve"> a </w:t>
      </w:r>
      <w:proofErr w:type="spellStart"/>
      <w:r w:rsidRPr="00B73FDB">
        <w:rPr>
          <w:rFonts w:cs="Calibri"/>
          <w:sz w:val="24"/>
          <w:szCs w:val="24"/>
          <w:lang w:eastAsia="sk-SK"/>
        </w:rPr>
        <w:t>Middle</w:t>
      </w:r>
      <w:proofErr w:type="spellEnd"/>
      <w:r w:rsidRPr="00B73FDB">
        <w:rPr>
          <w:rFonts w:cs="Calibri"/>
          <w:sz w:val="24"/>
          <w:szCs w:val="24"/>
          <w:lang w:eastAsia="sk-SK"/>
        </w:rPr>
        <w:t xml:space="preserve"> </w:t>
      </w:r>
      <w:proofErr w:type="spellStart"/>
      <w:r w:rsidRPr="00B73FDB">
        <w:rPr>
          <w:rFonts w:cs="Calibri"/>
          <w:sz w:val="24"/>
          <w:szCs w:val="24"/>
          <w:lang w:eastAsia="sk-SK"/>
        </w:rPr>
        <w:t>Years</w:t>
      </w:r>
      <w:proofErr w:type="spellEnd"/>
      <w:r w:rsidRPr="00B73FDB">
        <w:rPr>
          <w:rFonts w:cs="Calibri"/>
          <w:sz w:val="24"/>
          <w:szCs w:val="24"/>
          <w:lang w:eastAsia="sk-SK"/>
        </w:rPr>
        <w:t xml:space="preserve"> </w:t>
      </w:r>
      <w:proofErr w:type="spellStart"/>
      <w:r w:rsidRPr="00B73FDB">
        <w:rPr>
          <w:rFonts w:cs="Calibri"/>
          <w:sz w:val="24"/>
          <w:szCs w:val="24"/>
          <w:lang w:eastAsia="sk-SK"/>
        </w:rPr>
        <w:t>Programme</w:t>
      </w:r>
      <w:proofErr w:type="spellEnd"/>
      <w:r w:rsidRPr="00B73FDB">
        <w:rPr>
          <w:rFonts w:cs="Calibri"/>
          <w:sz w:val="24"/>
          <w:szCs w:val="24"/>
          <w:lang w:eastAsia="sk-SK"/>
        </w:rPr>
        <w:t>. Rozpočet uvádzame od 1.9.2020.</w:t>
      </w:r>
    </w:p>
    <w:p w14:paraId="643C1685" w14:textId="77777777" w:rsidR="00B73FDB" w:rsidRPr="00B73FDB" w:rsidRDefault="00B73FDB" w:rsidP="00B73FDB">
      <w:pPr>
        <w:pStyle w:val="Normlnywebov"/>
        <w:jc w:val="both"/>
        <w:rPr>
          <w:rFonts w:ascii="Calibri" w:hAnsi="Calibri" w:cs="Calibri"/>
          <w:b/>
          <w:color w:val="244061"/>
        </w:rPr>
      </w:pPr>
      <w:r w:rsidRPr="00B73FDB">
        <w:rPr>
          <w:rFonts w:ascii="Calibri" w:hAnsi="Calibri" w:cs="Calibri"/>
          <w:b/>
          <w:color w:val="244061"/>
        </w:rPr>
        <w:t>Prvok 8.2.23: Spojená škola, Pankúchova 6, BA – gymnázium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0"/>
        <w:gridCol w:w="1271"/>
        <w:gridCol w:w="1124"/>
        <w:gridCol w:w="1094"/>
        <w:gridCol w:w="1214"/>
        <w:gridCol w:w="2428"/>
      </w:tblGrid>
      <w:tr w:rsidR="00B73FDB" w:rsidRPr="00B73FDB" w14:paraId="3C6E6B85" w14:textId="77777777" w:rsidTr="00B73FDB">
        <w:trPr>
          <w:tblCellSpacing w:w="15" w:type="dxa"/>
        </w:trPr>
        <w:tc>
          <w:tcPr>
            <w:tcW w:w="267" w:type="pct"/>
            <w:shd w:val="clear" w:color="auto" w:fill="C6DBF7"/>
            <w:vAlign w:val="center"/>
            <w:hideMark/>
          </w:tcPr>
          <w:p w14:paraId="7038CF1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4E6CCED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92" w:type="pct"/>
            <w:shd w:val="clear" w:color="auto" w:fill="C6DBF7"/>
            <w:vAlign w:val="center"/>
            <w:hideMark/>
          </w:tcPr>
          <w:p w14:paraId="3F46E35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22" w:type="pct"/>
            <w:shd w:val="clear" w:color="auto" w:fill="C6DBF7"/>
            <w:vAlign w:val="center"/>
            <w:hideMark/>
          </w:tcPr>
          <w:p w14:paraId="1D8C826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7" w:type="pct"/>
            <w:shd w:val="clear" w:color="auto" w:fill="C6DBF7"/>
            <w:vAlign w:val="center"/>
            <w:hideMark/>
          </w:tcPr>
          <w:p w14:paraId="3272B42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7576321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526D0BE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9151D97" w14:textId="77777777" w:rsidTr="00B73FDB">
        <w:trPr>
          <w:tblCellSpacing w:w="15" w:type="dxa"/>
        </w:trPr>
        <w:tc>
          <w:tcPr>
            <w:tcW w:w="267" w:type="pct"/>
            <w:shd w:val="clear" w:color="auto" w:fill="D9D9D9"/>
            <w:noWrap/>
            <w:vAlign w:val="center"/>
            <w:hideMark/>
          </w:tcPr>
          <w:p w14:paraId="731F958B"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1DB8F99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92" w:type="pct"/>
            <w:shd w:val="clear" w:color="auto" w:fill="D9D9D9"/>
            <w:noWrap/>
            <w:vAlign w:val="center"/>
            <w:hideMark/>
          </w:tcPr>
          <w:p w14:paraId="5C4C1F0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22" w:type="pct"/>
            <w:shd w:val="clear" w:color="auto" w:fill="D9D9D9"/>
            <w:noWrap/>
            <w:vAlign w:val="center"/>
            <w:hideMark/>
          </w:tcPr>
          <w:p w14:paraId="6F4FFF9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815 846,96</w:t>
            </w:r>
            <w:r w:rsidRPr="00B73FDB">
              <w:rPr>
                <w:rFonts w:cs="Calibri"/>
                <w:sz w:val="18"/>
                <w:szCs w:val="18"/>
                <w:lang w:eastAsia="sk-SK"/>
              </w:rPr>
              <w:t xml:space="preserve"> </w:t>
            </w:r>
          </w:p>
        </w:tc>
        <w:tc>
          <w:tcPr>
            <w:tcW w:w="507" w:type="pct"/>
            <w:shd w:val="clear" w:color="auto" w:fill="D9D9D9"/>
            <w:noWrap/>
            <w:vAlign w:val="center"/>
            <w:hideMark/>
          </w:tcPr>
          <w:p w14:paraId="6B0D948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582 730,15</w:t>
            </w:r>
            <w:r w:rsidRPr="00B73FDB">
              <w:rPr>
                <w:rFonts w:cs="Calibri"/>
                <w:sz w:val="18"/>
                <w:szCs w:val="18"/>
                <w:lang w:eastAsia="sk-SK"/>
              </w:rPr>
              <w:t xml:space="preserve"> </w:t>
            </w:r>
          </w:p>
        </w:tc>
        <w:tc>
          <w:tcPr>
            <w:tcW w:w="565" w:type="pct"/>
            <w:shd w:val="clear" w:color="auto" w:fill="D9D9D9"/>
            <w:noWrap/>
            <w:vAlign w:val="center"/>
            <w:hideMark/>
          </w:tcPr>
          <w:p w14:paraId="0307FA4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71,43</w:t>
            </w:r>
            <w:r w:rsidRPr="00B73FDB">
              <w:rPr>
                <w:rFonts w:cs="Calibri"/>
                <w:sz w:val="18"/>
                <w:szCs w:val="18"/>
                <w:lang w:eastAsia="sk-SK"/>
              </w:rPr>
              <w:t xml:space="preserve"> </w:t>
            </w:r>
          </w:p>
        </w:tc>
        <w:tc>
          <w:tcPr>
            <w:tcW w:w="1136" w:type="pct"/>
            <w:vMerge w:val="restart"/>
            <w:shd w:val="clear" w:color="auto" w:fill="D9D9D9"/>
            <w:vAlign w:val="center"/>
            <w:hideMark/>
          </w:tcPr>
          <w:p w14:paraId="641A2E2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+127 099,62 EUR</w:t>
            </w:r>
            <w:r w:rsidRPr="00B73FDB">
              <w:rPr>
                <w:rFonts w:cs="Calibri"/>
                <w:sz w:val="18"/>
                <w:szCs w:val="18"/>
                <w:lang w:eastAsia="sk-SK"/>
              </w:rPr>
              <w:t xml:space="preserve"> normatívne finančné prostriedky,</w:t>
            </w:r>
          </w:p>
          <w:p w14:paraId="5B6A0B6D"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+1 553,00 EUR</w:t>
            </w:r>
            <w:r w:rsidRPr="00B73FDB">
              <w:rPr>
                <w:rFonts w:cs="Calibri"/>
                <w:sz w:val="18"/>
                <w:szCs w:val="18"/>
                <w:lang w:eastAsia="sk-SK"/>
              </w:rPr>
              <w:t xml:space="preserve"> príspevok na rekreáciu zamestnancov,</w:t>
            </w:r>
          </w:p>
          <w:p w14:paraId="0E45435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+3 930,00 EUR </w:t>
            </w:r>
            <w:r w:rsidRPr="00B73FDB">
              <w:rPr>
                <w:rFonts w:cs="Calibri"/>
                <w:sz w:val="18"/>
                <w:szCs w:val="18"/>
                <w:lang w:eastAsia="sk-SK"/>
              </w:rPr>
              <w:t>nenormatívne finančné prostriedky na vzdelávacie poukazy,</w:t>
            </w:r>
          </w:p>
          <w:p w14:paraId="12354C4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+181 484,00 EUR</w:t>
            </w:r>
            <w:r w:rsidRPr="00B73FDB">
              <w:rPr>
                <w:rFonts w:cs="Calibri"/>
                <w:sz w:val="18"/>
                <w:szCs w:val="18"/>
                <w:lang w:eastAsia="sk-SK"/>
              </w:rPr>
              <w:t xml:space="preserve"> nenormatívne finančné prostriedky na odstránenie havárií,</w:t>
            </w:r>
          </w:p>
          <w:p w14:paraId="21BC1A4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+498 527,63 EUR</w:t>
            </w:r>
            <w:r w:rsidRPr="00B73FDB">
              <w:rPr>
                <w:rFonts w:cs="Calibri"/>
                <w:sz w:val="18"/>
                <w:szCs w:val="18"/>
                <w:lang w:eastAsia="sk-SK"/>
              </w:rPr>
              <w:t xml:space="preserve"> dopočet rozpočtu – zriadenie novej organizácie,</w:t>
            </w:r>
          </w:p>
          <w:p w14:paraId="484A0C5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+3 104,46 EUR</w:t>
            </w:r>
            <w:r w:rsidRPr="00B73FDB">
              <w:rPr>
                <w:rFonts w:cs="Calibri"/>
                <w:sz w:val="18"/>
                <w:szCs w:val="18"/>
                <w:lang w:eastAsia="sk-SK"/>
              </w:rPr>
              <w:t xml:space="preserve"> projekt z MPC,</w:t>
            </w:r>
          </w:p>
          <w:p w14:paraId="5BC9001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+148,25 EUR</w:t>
            </w:r>
            <w:r w:rsidRPr="00B73FDB">
              <w:rPr>
                <w:rFonts w:cs="Calibri"/>
                <w:sz w:val="18"/>
                <w:szCs w:val="18"/>
                <w:lang w:eastAsia="sk-SK"/>
              </w:rPr>
              <w:t xml:space="preserve"> príjmy z prenájmov.</w:t>
            </w:r>
          </w:p>
        </w:tc>
      </w:tr>
      <w:tr w:rsidR="00B73FDB" w:rsidRPr="00B73FDB" w14:paraId="366589C5" w14:textId="77777777" w:rsidTr="00B73FDB">
        <w:trPr>
          <w:tblCellSpacing w:w="15" w:type="dxa"/>
        </w:trPr>
        <w:tc>
          <w:tcPr>
            <w:tcW w:w="267" w:type="pct"/>
            <w:shd w:val="clear" w:color="auto" w:fill="D9D9D9"/>
            <w:noWrap/>
            <w:vAlign w:val="center"/>
            <w:hideMark/>
          </w:tcPr>
          <w:p w14:paraId="4A1CFC4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5507022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92" w:type="pct"/>
            <w:shd w:val="clear" w:color="auto" w:fill="D9D9D9"/>
            <w:noWrap/>
            <w:vAlign w:val="center"/>
            <w:hideMark/>
          </w:tcPr>
          <w:p w14:paraId="08E9EA7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22" w:type="pct"/>
            <w:shd w:val="clear" w:color="auto" w:fill="D9D9D9"/>
            <w:noWrap/>
            <w:vAlign w:val="center"/>
            <w:hideMark/>
          </w:tcPr>
          <w:p w14:paraId="10D45A0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815 846,96</w:t>
            </w:r>
            <w:r w:rsidRPr="00B73FDB">
              <w:rPr>
                <w:rFonts w:cs="Calibri"/>
                <w:sz w:val="18"/>
                <w:szCs w:val="18"/>
                <w:lang w:eastAsia="sk-SK"/>
              </w:rPr>
              <w:t xml:space="preserve"> </w:t>
            </w:r>
          </w:p>
        </w:tc>
        <w:tc>
          <w:tcPr>
            <w:tcW w:w="507" w:type="pct"/>
            <w:shd w:val="clear" w:color="auto" w:fill="D9D9D9"/>
            <w:noWrap/>
            <w:vAlign w:val="center"/>
            <w:hideMark/>
          </w:tcPr>
          <w:p w14:paraId="3D8DA77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582 730,15</w:t>
            </w:r>
            <w:r w:rsidRPr="00B73FDB">
              <w:rPr>
                <w:rFonts w:cs="Calibri"/>
                <w:sz w:val="18"/>
                <w:szCs w:val="18"/>
                <w:lang w:eastAsia="sk-SK"/>
              </w:rPr>
              <w:t xml:space="preserve"> </w:t>
            </w:r>
          </w:p>
        </w:tc>
        <w:tc>
          <w:tcPr>
            <w:tcW w:w="565" w:type="pct"/>
            <w:shd w:val="clear" w:color="auto" w:fill="D9D9D9"/>
            <w:noWrap/>
            <w:vAlign w:val="center"/>
            <w:hideMark/>
          </w:tcPr>
          <w:p w14:paraId="7E5F390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71,43</w:t>
            </w:r>
            <w:r w:rsidRPr="00B73FDB">
              <w:rPr>
                <w:rFonts w:cs="Calibri"/>
                <w:sz w:val="18"/>
                <w:szCs w:val="18"/>
                <w:lang w:eastAsia="sk-SK"/>
              </w:rPr>
              <w:t xml:space="preserve"> </w:t>
            </w:r>
          </w:p>
        </w:tc>
        <w:tc>
          <w:tcPr>
            <w:tcW w:w="1136" w:type="pct"/>
            <w:vMerge/>
            <w:shd w:val="clear" w:color="auto" w:fill="D9D9D9"/>
            <w:vAlign w:val="center"/>
            <w:hideMark/>
          </w:tcPr>
          <w:p w14:paraId="261CB557" w14:textId="77777777" w:rsidR="00B73FDB" w:rsidRPr="00B73FDB" w:rsidRDefault="00B73FDB" w:rsidP="00B73FDB">
            <w:pPr>
              <w:spacing w:after="0" w:line="240" w:lineRule="auto"/>
              <w:rPr>
                <w:rFonts w:cs="Calibri"/>
                <w:sz w:val="18"/>
                <w:szCs w:val="18"/>
                <w:lang w:eastAsia="sk-SK"/>
              </w:rPr>
            </w:pPr>
          </w:p>
        </w:tc>
      </w:tr>
      <w:tr w:rsidR="00B73FDB" w:rsidRPr="00B73FDB" w14:paraId="47901300" w14:textId="77777777" w:rsidTr="00B73FDB">
        <w:trPr>
          <w:tblCellSpacing w:w="15" w:type="dxa"/>
        </w:trPr>
        <w:tc>
          <w:tcPr>
            <w:tcW w:w="267" w:type="pct"/>
            <w:shd w:val="clear" w:color="auto" w:fill="EFEFEF"/>
            <w:noWrap/>
            <w:vAlign w:val="center"/>
            <w:hideMark/>
          </w:tcPr>
          <w:p w14:paraId="7063292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272D934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92" w:type="pct"/>
            <w:shd w:val="clear" w:color="auto" w:fill="EFEFEF"/>
            <w:noWrap/>
            <w:vAlign w:val="center"/>
            <w:hideMark/>
          </w:tcPr>
          <w:p w14:paraId="1A78F9B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22" w:type="pct"/>
            <w:shd w:val="clear" w:color="auto" w:fill="EFEFEF"/>
            <w:noWrap/>
            <w:vAlign w:val="center"/>
            <w:hideMark/>
          </w:tcPr>
          <w:p w14:paraId="2E10CE4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342 964,21 </w:t>
            </w:r>
          </w:p>
        </w:tc>
        <w:tc>
          <w:tcPr>
            <w:tcW w:w="507" w:type="pct"/>
            <w:shd w:val="clear" w:color="auto" w:fill="EFEFEF"/>
            <w:noWrap/>
            <w:vAlign w:val="center"/>
            <w:hideMark/>
          </w:tcPr>
          <w:p w14:paraId="55C649B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342 964,21 </w:t>
            </w:r>
          </w:p>
        </w:tc>
        <w:tc>
          <w:tcPr>
            <w:tcW w:w="565" w:type="pct"/>
            <w:shd w:val="clear" w:color="auto" w:fill="EFEFEF"/>
            <w:noWrap/>
            <w:vAlign w:val="center"/>
            <w:hideMark/>
          </w:tcPr>
          <w:p w14:paraId="3307D09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4DDA3780" w14:textId="77777777" w:rsidR="00B73FDB" w:rsidRPr="00B73FDB" w:rsidRDefault="00B73FDB" w:rsidP="00B73FDB">
            <w:pPr>
              <w:spacing w:after="0" w:line="240" w:lineRule="auto"/>
              <w:rPr>
                <w:rFonts w:cs="Calibri"/>
                <w:sz w:val="18"/>
                <w:szCs w:val="18"/>
                <w:lang w:eastAsia="sk-SK"/>
              </w:rPr>
            </w:pPr>
          </w:p>
        </w:tc>
      </w:tr>
      <w:tr w:rsidR="00B73FDB" w:rsidRPr="00B73FDB" w14:paraId="195167B3" w14:textId="77777777" w:rsidTr="00B73FDB">
        <w:trPr>
          <w:tblCellSpacing w:w="15" w:type="dxa"/>
        </w:trPr>
        <w:tc>
          <w:tcPr>
            <w:tcW w:w="267" w:type="pct"/>
            <w:shd w:val="clear" w:color="auto" w:fill="EFEFEF"/>
            <w:noWrap/>
            <w:vAlign w:val="center"/>
            <w:hideMark/>
          </w:tcPr>
          <w:p w14:paraId="7D35B73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10C3DA5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92" w:type="pct"/>
            <w:shd w:val="clear" w:color="auto" w:fill="EFEFEF"/>
            <w:noWrap/>
            <w:vAlign w:val="center"/>
            <w:hideMark/>
          </w:tcPr>
          <w:p w14:paraId="449BBED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22" w:type="pct"/>
            <w:shd w:val="clear" w:color="auto" w:fill="EFEFEF"/>
            <w:noWrap/>
            <w:vAlign w:val="center"/>
            <w:hideMark/>
          </w:tcPr>
          <w:p w14:paraId="25F49D9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118 365,81 </w:t>
            </w:r>
          </w:p>
        </w:tc>
        <w:tc>
          <w:tcPr>
            <w:tcW w:w="507" w:type="pct"/>
            <w:shd w:val="clear" w:color="auto" w:fill="EFEFEF"/>
            <w:noWrap/>
            <w:vAlign w:val="center"/>
            <w:hideMark/>
          </w:tcPr>
          <w:p w14:paraId="344E63C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118 365,81 </w:t>
            </w:r>
          </w:p>
        </w:tc>
        <w:tc>
          <w:tcPr>
            <w:tcW w:w="565" w:type="pct"/>
            <w:shd w:val="clear" w:color="auto" w:fill="EFEFEF"/>
            <w:noWrap/>
            <w:vAlign w:val="center"/>
            <w:hideMark/>
          </w:tcPr>
          <w:p w14:paraId="3E568C6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19562836" w14:textId="77777777" w:rsidR="00B73FDB" w:rsidRPr="00B73FDB" w:rsidRDefault="00B73FDB" w:rsidP="00B73FDB">
            <w:pPr>
              <w:spacing w:after="0" w:line="240" w:lineRule="auto"/>
              <w:rPr>
                <w:rFonts w:cs="Calibri"/>
                <w:sz w:val="18"/>
                <w:szCs w:val="18"/>
                <w:lang w:eastAsia="sk-SK"/>
              </w:rPr>
            </w:pPr>
          </w:p>
        </w:tc>
      </w:tr>
      <w:tr w:rsidR="00B73FDB" w:rsidRPr="00B73FDB" w14:paraId="6F6F20EB" w14:textId="77777777" w:rsidTr="00B73FDB">
        <w:trPr>
          <w:tblCellSpacing w:w="15" w:type="dxa"/>
        </w:trPr>
        <w:tc>
          <w:tcPr>
            <w:tcW w:w="267" w:type="pct"/>
            <w:shd w:val="clear" w:color="auto" w:fill="EFEFEF"/>
            <w:noWrap/>
            <w:vAlign w:val="center"/>
            <w:hideMark/>
          </w:tcPr>
          <w:p w14:paraId="63040DD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2D9342A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92" w:type="pct"/>
            <w:shd w:val="clear" w:color="auto" w:fill="EFEFEF"/>
            <w:noWrap/>
            <w:vAlign w:val="center"/>
            <w:hideMark/>
          </w:tcPr>
          <w:p w14:paraId="0570C2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22" w:type="pct"/>
            <w:shd w:val="clear" w:color="auto" w:fill="EFEFEF"/>
            <w:noWrap/>
            <w:vAlign w:val="center"/>
            <w:hideMark/>
          </w:tcPr>
          <w:p w14:paraId="51EF27C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353 932,04 </w:t>
            </w:r>
          </w:p>
        </w:tc>
        <w:tc>
          <w:tcPr>
            <w:tcW w:w="507" w:type="pct"/>
            <w:shd w:val="clear" w:color="auto" w:fill="EFEFEF"/>
            <w:noWrap/>
            <w:vAlign w:val="center"/>
            <w:hideMark/>
          </w:tcPr>
          <w:p w14:paraId="5ED5617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120 815,23 </w:t>
            </w:r>
          </w:p>
        </w:tc>
        <w:tc>
          <w:tcPr>
            <w:tcW w:w="565" w:type="pct"/>
            <w:shd w:val="clear" w:color="auto" w:fill="EFEFEF"/>
            <w:noWrap/>
            <w:vAlign w:val="center"/>
            <w:hideMark/>
          </w:tcPr>
          <w:p w14:paraId="3B0A10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34,14 </w:t>
            </w:r>
          </w:p>
        </w:tc>
        <w:tc>
          <w:tcPr>
            <w:tcW w:w="1136" w:type="pct"/>
            <w:vMerge/>
            <w:shd w:val="clear" w:color="auto" w:fill="EFEFEF"/>
            <w:vAlign w:val="center"/>
            <w:hideMark/>
          </w:tcPr>
          <w:p w14:paraId="0C17283B" w14:textId="77777777" w:rsidR="00B73FDB" w:rsidRPr="00B73FDB" w:rsidRDefault="00B73FDB" w:rsidP="00B73FDB">
            <w:pPr>
              <w:spacing w:after="0" w:line="240" w:lineRule="auto"/>
              <w:rPr>
                <w:rFonts w:cs="Calibri"/>
                <w:sz w:val="18"/>
                <w:szCs w:val="18"/>
                <w:lang w:eastAsia="sk-SK"/>
              </w:rPr>
            </w:pPr>
          </w:p>
        </w:tc>
      </w:tr>
    </w:tbl>
    <w:p w14:paraId="154ECE2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9"/>
        <w:gridCol w:w="752"/>
        <w:gridCol w:w="1778"/>
        <w:gridCol w:w="1278"/>
        <w:gridCol w:w="4159"/>
      </w:tblGrid>
      <w:tr w:rsidR="00B73FDB" w:rsidRPr="00B73FDB" w14:paraId="3A0239D0" w14:textId="77777777" w:rsidTr="00B73FDB">
        <w:trPr>
          <w:tblCellSpacing w:w="15" w:type="dxa"/>
        </w:trPr>
        <w:tc>
          <w:tcPr>
            <w:tcW w:w="0" w:type="auto"/>
            <w:shd w:val="clear" w:color="auto" w:fill="C2D69B"/>
            <w:vAlign w:val="center"/>
            <w:hideMark/>
          </w:tcPr>
          <w:p w14:paraId="0B46C47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34EB17F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73C350D" w14:textId="77777777" w:rsidTr="00B73FDB">
        <w:trPr>
          <w:tblCellSpacing w:w="15" w:type="dxa"/>
        </w:trPr>
        <w:tc>
          <w:tcPr>
            <w:tcW w:w="0" w:type="auto"/>
            <w:shd w:val="clear" w:color="auto" w:fill="C2D69B"/>
            <w:vAlign w:val="center"/>
            <w:hideMark/>
          </w:tcPr>
          <w:p w14:paraId="0270C26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ADF654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výchovno-vzdelávací proces v gymnáziu </w:t>
            </w:r>
          </w:p>
        </w:tc>
      </w:tr>
      <w:tr w:rsidR="00B73FDB" w:rsidRPr="00B73FDB" w14:paraId="42CD1DC8" w14:textId="77777777" w:rsidTr="00B73FDB">
        <w:trPr>
          <w:tblCellSpacing w:w="15" w:type="dxa"/>
        </w:trPr>
        <w:tc>
          <w:tcPr>
            <w:tcW w:w="0" w:type="auto"/>
            <w:shd w:val="clear" w:color="auto" w:fill="C2D69B"/>
            <w:vAlign w:val="center"/>
            <w:hideMark/>
          </w:tcPr>
          <w:p w14:paraId="4BCBF44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A686A9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9964A1E" w14:textId="77777777" w:rsidTr="00B73FDB">
        <w:trPr>
          <w:tblCellSpacing w:w="15" w:type="dxa"/>
        </w:trPr>
        <w:tc>
          <w:tcPr>
            <w:tcW w:w="0" w:type="auto"/>
            <w:shd w:val="clear" w:color="auto" w:fill="C2D69B"/>
            <w:vAlign w:val="center"/>
            <w:hideMark/>
          </w:tcPr>
          <w:p w14:paraId="51FC6B1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BA4CDE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C7C2FD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344674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23A172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A5A9BB2" w14:textId="77777777" w:rsidTr="00B73FDB">
        <w:trPr>
          <w:tblCellSpacing w:w="15" w:type="dxa"/>
        </w:trPr>
        <w:tc>
          <w:tcPr>
            <w:tcW w:w="0" w:type="auto"/>
            <w:shd w:val="clear" w:color="auto" w:fill="C2D69B"/>
            <w:vAlign w:val="center"/>
            <w:hideMark/>
          </w:tcPr>
          <w:p w14:paraId="75A647C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071C5FD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577 </w:t>
            </w:r>
          </w:p>
        </w:tc>
        <w:tc>
          <w:tcPr>
            <w:tcW w:w="0" w:type="auto"/>
            <w:shd w:val="clear" w:color="auto" w:fill="C2D69B"/>
            <w:noWrap/>
            <w:vAlign w:val="center"/>
            <w:hideMark/>
          </w:tcPr>
          <w:p w14:paraId="66952D3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577 </w:t>
            </w:r>
          </w:p>
        </w:tc>
        <w:tc>
          <w:tcPr>
            <w:tcW w:w="0" w:type="auto"/>
            <w:shd w:val="clear" w:color="auto" w:fill="C2D69B"/>
            <w:vAlign w:val="center"/>
            <w:hideMark/>
          </w:tcPr>
          <w:p w14:paraId="03F58C9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E1EB033"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B013DFC" w14:textId="77777777" w:rsidTr="00B73FDB">
        <w:trPr>
          <w:tblCellSpacing w:w="15" w:type="dxa"/>
        </w:trPr>
        <w:tc>
          <w:tcPr>
            <w:tcW w:w="0" w:type="auto"/>
            <w:shd w:val="clear" w:color="auto" w:fill="C2D69B"/>
            <w:vAlign w:val="center"/>
            <w:hideMark/>
          </w:tcPr>
          <w:p w14:paraId="0113EF9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4DADA9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275E30B7" w14:textId="77777777" w:rsidTr="00B73FDB">
        <w:trPr>
          <w:tblCellSpacing w:w="15" w:type="dxa"/>
        </w:trPr>
        <w:tc>
          <w:tcPr>
            <w:tcW w:w="0" w:type="auto"/>
            <w:shd w:val="clear" w:color="auto" w:fill="C2D69B"/>
            <w:vAlign w:val="center"/>
            <w:hideMark/>
          </w:tcPr>
          <w:p w14:paraId="49B3AB1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CB844B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430D76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0C469B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A18E03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A618EFD" w14:textId="77777777" w:rsidTr="00B73FDB">
        <w:trPr>
          <w:tblCellSpacing w:w="15" w:type="dxa"/>
        </w:trPr>
        <w:tc>
          <w:tcPr>
            <w:tcW w:w="0" w:type="auto"/>
            <w:shd w:val="clear" w:color="auto" w:fill="C2D69B"/>
            <w:vAlign w:val="center"/>
            <w:hideMark/>
          </w:tcPr>
          <w:p w14:paraId="637F9FD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223E04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577 </w:t>
            </w:r>
          </w:p>
        </w:tc>
        <w:tc>
          <w:tcPr>
            <w:tcW w:w="0" w:type="auto"/>
            <w:shd w:val="clear" w:color="auto" w:fill="C2D69B"/>
            <w:noWrap/>
            <w:vAlign w:val="center"/>
            <w:hideMark/>
          </w:tcPr>
          <w:p w14:paraId="255F260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577 </w:t>
            </w:r>
          </w:p>
        </w:tc>
        <w:tc>
          <w:tcPr>
            <w:tcW w:w="0" w:type="auto"/>
            <w:shd w:val="clear" w:color="auto" w:fill="C2D69B"/>
            <w:vAlign w:val="center"/>
            <w:hideMark/>
          </w:tcPr>
          <w:p w14:paraId="4E43DE5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CB6C2F2" w14:textId="77777777" w:rsidR="00B73FDB" w:rsidRPr="00B73FDB" w:rsidRDefault="00B73FDB" w:rsidP="00B73FDB">
            <w:pPr>
              <w:spacing w:after="0" w:line="240" w:lineRule="auto"/>
              <w:jc w:val="center"/>
              <w:rPr>
                <w:rFonts w:cs="Calibri"/>
                <w:sz w:val="18"/>
                <w:szCs w:val="18"/>
                <w:lang w:eastAsia="sk-SK"/>
              </w:rPr>
            </w:pPr>
          </w:p>
        </w:tc>
      </w:tr>
    </w:tbl>
    <w:p w14:paraId="7BB747EA" w14:textId="129FA9A3" w:rsid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Gymnázium poskytuje všeobecné vzdelanie v 5-ročnej a 8-ročnej forme štúdia a vzdelanie v medzinárodnom programe v anglickom jazyku (v súčasnosti prebieha v škole certifikácia medzinárodných programov IB). Rozpočet uvádzame od 1.9.2020.</w:t>
      </w:r>
    </w:p>
    <w:p w14:paraId="123B914F" w14:textId="77777777" w:rsidR="00B73FDB" w:rsidRPr="00B73FDB" w:rsidRDefault="00B73FDB" w:rsidP="00B73FDB">
      <w:pPr>
        <w:spacing w:before="100" w:beforeAutospacing="1" w:after="100" w:afterAutospacing="1" w:line="240" w:lineRule="auto"/>
        <w:jc w:val="both"/>
        <w:rPr>
          <w:rFonts w:cs="Calibri"/>
          <w:sz w:val="24"/>
          <w:szCs w:val="24"/>
          <w:lang w:eastAsia="sk-SK"/>
        </w:rPr>
      </w:pPr>
    </w:p>
    <w:p w14:paraId="1EA12F8D" w14:textId="77777777" w:rsidR="00B73FDB" w:rsidRPr="00B73FDB" w:rsidRDefault="00B73FDB" w:rsidP="00B73FDB">
      <w:pPr>
        <w:spacing w:before="100" w:beforeAutospacing="1" w:after="100" w:afterAutospacing="1" w:line="240" w:lineRule="auto"/>
        <w:jc w:val="both"/>
        <w:outlineLvl w:val="2"/>
        <w:rPr>
          <w:rFonts w:cs="Calibri"/>
          <w:b/>
          <w:bCs/>
          <w:color w:val="4F6228"/>
          <w:sz w:val="27"/>
          <w:szCs w:val="27"/>
          <w:lang w:eastAsia="sk-SK"/>
        </w:rPr>
      </w:pPr>
      <w:r w:rsidRPr="00B73FDB">
        <w:rPr>
          <w:rFonts w:cs="Calibri"/>
          <w:b/>
          <w:bCs/>
          <w:color w:val="4F6228"/>
          <w:sz w:val="27"/>
          <w:szCs w:val="27"/>
          <w:lang w:eastAsia="sk-SK"/>
        </w:rPr>
        <w:t>Podprogram 8.3: Odborné vzdelávanie</w:t>
      </w:r>
    </w:p>
    <w:p w14:paraId="28AA0512"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Vysokokvalitné služby v odbornom vzdelávaní</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6"/>
        <w:gridCol w:w="2712"/>
        <w:gridCol w:w="1194"/>
        <w:gridCol w:w="1194"/>
        <w:gridCol w:w="1179"/>
        <w:gridCol w:w="1175"/>
        <w:gridCol w:w="2426"/>
      </w:tblGrid>
      <w:tr w:rsidR="00B73FDB" w:rsidRPr="00B73FDB" w14:paraId="416C3887" w14:textId="77777777" w:rsidTr="00B73FDB">
        <w:trPr>
          <w:tblCellSpacing w:w="15" w:type="dxa"/>
        </w:trPr>
        <w:tc>
          <w:tcPr>
            <w:tcW w:w="259" w:type="pct"/>
            <w:shd w:val="clear" w:color="auto" w:fill="C6DBF7"/>
            <w:vAlign w:val="center"/>
            <w:hideMark/>
          </w:tcPr>
          <w:p w14:paraId="1D915D0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0" w:type="pct"/>
            <w:shd w:val="clear" w:color="auto" w:fill="C6DBF7"/>
            <w:vAlign w:val="center"/>
            <w:hideMark/>
          </w:tcPr>
          <w:p w14:paraId="6CA9C48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55" w:type="pct"/>
            <w:shd w:val="clear" w:color="auto" w:fill="C6DBF7"/>
            <w:vAlign w:val="center"/>
            <w:hideMark/>
          </w:tcPr>
          <w:p w14:paraId="47E6699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55" w:type="pct"/>
            <w:shd w:val="clear" w:color="auto" w:fill="C6DBF7"/>
            <w:vAlign w:val="center"/>
            <w:hideMark/>
          </w:tcPr>
          <w:p w14:paraId="6D6D457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48" w:type="pct"/>
            <w:shd w:val="clear" w:color="auto" w:fill="C6DBF7"/>
            <w:vAlign w:val="center"/>
            <w:hideMark/>
          </w:tcPr>
          <w:p w14:paraId="140F5D0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46" w:type="pct"/>
            <w:shd w:val="clear" w:color="auto" w:fill="C6DBF7"/>
            <w:vAlign w:val="center"/>
            <w:hideMark/>
          </w:tcPr>
          <w:p w14:paraId="2C71556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12E6F5B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106CFEA" w14:textId="77777777" w:rsidTr="00B73FDB">
        <w:trPr>
          <w:tblCellSpacing w:w="15" w:type="dxa"/>
        </w:trPr>
        <w:tc>
          <w:tcPr>
            <w:tcW w:w="259" w:type="pct"/>
            <w:shd w:val="clear" w:color="auto" w:fill="D9D9D9"/>
            <w:noWrap/>
            <w:vAlign w:val="center"/>
            <w:hideMark/>
          </w:tcPr>
          <w:p w14:paraId="6FC179D8" w14:textId="77777777" w:rsidR="00B73FDB" w:rsidRPr="00B73FDB" w:rsidRDefault="00B73FDB" w:rsidP="00B73FDB">
            <w:pPr>
              <w:spacing w:after="0" w:line="240" w:lineRule="auto"/>
              <w:jc w:val="center"/>
              <w:rPr>
                <w:rFonts w:cs="Calibri"/>
                <w:sz w:val="18"/>
                <w:szCs w:val="18"/>
                <w:lang w:eastAsia="sk-SK"/>
              </w:rPr>
            </w:pPr>
          </w:p>
        </w:tc>
        <w:tc>
          <w:tcPr>
            <w:tcW w:w="1280" w:type="pct"/>
            <w:shd w:val="clear" w:color="auto" w:fill="D9D9D9"/>
            <w:vAlign w:val="center"/>
            <w:hideMark/>
          </w:tcPr>
          <w:p w14:paraId="6C6C35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55" w:type="pct"/>
            <w:shd w:val="clear" w:color="auto" w:fill="D9D9D9"/>
            <w:noWrap/>
            <w:vAlign w:val="center"/>
            <w:hideMark/>
          </w:tcPr>
          <w:p w14:paraId="0E49737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43 142 713,74</w:t>
            </w:r>
            <w:r w:rsidRPr="00B73FDB">
              <w:rPr>
                <w:rFonts w:cs="Calibri"/>
                <w:sz w:val="18"/>
                <w:szCs w:val="18"/>
                <w:lang w:eastAsia="sk-SK"/>
              </w:rPr>
              <w:t xml:space="preserve"> </w:t>
            </w:r>
          </w:p>
        </w:tc>
        <w:tc>
          <w:tcPr>
            <w:tcW w:w="555" w:type="pct"/>
            <w:shd w:val="clear" w:color="auto" w:fill="D9D9D9"/>
            <w:noWrap/>
            <w:vAlign w:val="center"/>
            <w:hideMark/>
          </w:tcPr>
          <w:p w14:paraId="32DFFF0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47 928 993,77</w:t>
            </w:r>
            <w:r w:rsidRPr="00B73FDB">
              <w:rPr>
                <w:rFonts w:cs="Calibri"/>
                <w:sz w:val="18"/>
                <w:szCs w:val="18"/>
                <w:lang w:eastAsia="sk-SK"/>
              </w:rPr>
              <w:t xml:space="preserve"> </w:t>
            </w:r>
          </w:p>
        </w:tc>
        <w:tc>
          <w:tcPr>
            <w:tcW w:w="548" w:type="pct"/>
            <w:shd w:val="clear" w:color="auto" w:fill="D9D9D9"/>
            <w:noWrap/>
            <w:vAlign w:val="center"/>
            <w:hideMark/>
          </w:tcPr>
          <w:p w14:paraId="5647F5C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45 759 174,78</w:t>
            </w:r>
            <w:r w:rsidRPr="00B73FDB">
              <w:rPr>
                <w:rFonts w:cs="Calibri"/>
                <w:sz w:val="18"/>
                <w:szCs w:val="18"/>
                <w:lang w:eastAsia="sk-SK"/>
              </w:rPr>
              <w:t xml:space="preserve"> </w:t>
            </w:r>
          </w:p>
        </w:tc>
        <w:tc>
          <w:tcPr>
            <w:tcW w:w="546" w:type="pct"/>
            <w:shd w:val="clear" w:color="auto" w:fill="D9D9D9"/>
            <w:noWrap/>
            <w:vAlign w:val="center"/>
            <w:hideMark/>
          </w:tcPr>
          <w:p w14:paraId="21ADAB2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95,47</w:t>
            </w:r>
            <w:r w:rsidRPr="00B73FDB">
              <w:rPr>
                <w:rFonts w:cs="Calibri"/>
                <w:sz w:val="18"/>
                <w:szCs w:val="18"/>
                <w:lang w:eastAsia="sk-SK"/>
              </w:rPr>
              <w:t xml:space="preserve"> </w:t>
            </w:r>
          </w:p>
        </w:tc>
        <w:tc>
          <w:tcPr>
            <w:tcW w:w="1136" w:type="pct"/>
            <w:vMerge w:val="restart"/>
            <w:shd w:val="clear" w:color="auto" w:fill="D9D9D9"/>
            <w:vAlign w:val="center"/>
            <w:hideMark/>
          </w:tcPr>
          <w:p w14:paraId="1E8B4C9C" w14:textId="77777777" w:rsidR="00B73FDB" w:rsidRPr="00B73FDB" w:rsidRDefault="00B73FDB" w:rsidP="00B73FDB">
            <w:pPr>
              <w:spacing w:after="0" w:line="240" w:lineRule="auto"/>
              <w:jc w:val="center"/>
              <w:rPr>
                <w:rFonts w:cs="Calibri"/>
                <w:sz w:val="18"/>
                <w:szCs w:val="18"/>
                <w:lang w:eastAsia="sk-SK"/>
              </w:rPr>
            </w:pPr>
            <w:r w:rsidRPr="00B73FDB">
              <w:rPr>
                <w:rFonts w:cs="Calibri"/>
                <w:b/>
                <w:sz w:val="18"/>
                <w:szCs w:val="18"/>
                <w:lang w:eastAsia="sk-SK"/>
              </w:rPr>
              <w:t>Zmeny rozpočtu sa nachádzajú pri prvkoch.</w:t>
            </w:r>
          </w:p>
        </w:tc>
      </w:tr>
      <w:tr w:rsidR="00B73FDB" w:rsidRPr="00B73FDB" w14:paraId="48F2369A" w14:textId="77777777" w:rsidTr="00B73FDB">
        <w:trPr>
          <w:tblCellSpacing w:w="15" w:type="dxa"/>
        </w:trPr>
        <w:tc>
          <w:tcPr>
            <w:tcW w:w="259" w:type="pct"/>
            <w:shd w:val="clear" w:color="auto" w:fill="D9D9D9"/>
            <w:noWrap/>
            <w:vAlign w:val="center"/>
            <w:hideMark/>
          </w:tcPr>
          <w:p w14:paraId="5D633CA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0" w:type="pct"/>
            <w:shd w:val="clear" w:color="auto" w:fill="D9D9D9"/>
            <w:vAlign w:val="center"/>
            <w:hideMark/>
          </w:tcPr>
          <w:p w14:paraId="431A4A5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55" w:type="pct"/>
            <w:shd w:val="clear" w:color="auto" w:fill="D9D9D9"/>
            <w:noWrap/>
            <w:vAlign w:val="center"/>
            <w:hideMark/>
          </w:tcPr>
          <w:p w14:paraId="62A3325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43 142 713,74</w:t>
            </w:r>
            <w:r w:rsidRPr="00B73FDB">
              <w:rPr>
                <w:rFonts w:cs="Calibri"/>
                <w:sz w:val="18"/>
                <w:szCs w:val="18"/>
                <w:lang w:eastAsia="sk-SK"/>
              </w:rPr>
              <w:t xml:space="preserve"> </w:t>
            </w:r>
          </w:p>
        </w:tc>
        <w:tc>
          <w:tcPr>
            <w:tcW w:w="555" w:type="pct"/>
            <w:shd w:val="clear" w:color="auto" w:fill="D9D9D9"/>
            <w:noWrap/>
            <w:vAlign w:val="center"/>
            <w:hideMark/>
          </w:tcPr>
          <w:p w14:paraId="29CE1C2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47 881 514,73</w:t>
            </w:r>
            <w:r w:rsidRPr="00B73FDB">
              <w:rPr>
                <w:rFonts w:cs="Calibri"/>
                <w:sz w:val="18"/>
                <w:szCs w:val="18"/>
                <w:lang w:eastAsia="sk-SK"/>
              </w:rPr>
              <w:t xml:space="preserve"> </w:t>
            </w:r>
          </w:p>
        </w:tc>
        <w:tc>
          <w:tcPr>
            <w:tcW w:w="548" w:type="pct"/>
            <w:shd w:val="clear" w:color="auto" w:fill="D9D9D9"/>
            <w:noWrap/>
            <w:vAlign w:val="center"/>
            <w:hideMark/>
          </w:tcPr>
          <w:p w14:paraId="631BC08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45 711 695,74</w:t>
            </w:r>
            <w:r w:rsidRPr="00B73FDB">
              <w:rPr>
                <w:rFonts w:cs="Calibri"/>
                <w:sz w:val="18"/>
                <w:szCs w:val="18"/>
                <w:lang w:eastAsia="sk-SK"/>
              </w:rPr>
              <w:t xml:space="preserve"> </w:t>
            </w:r>
          </w:p>
        </w:tc>
        <w:tc>
          <w:tcPr>
            <w:tcW w:w="546" w:type="pct"/>
            <w:shd w:val="clear" w:color="auto" w:fill="D9D9D9"/>
            <w:noWrap/>
            <w:vAlign w:val="center"/>
            <w:hideMark/>
          </w:tcPr>
          <w:p w14:paraId="3AB55D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95,47</w:t>
            </w:r>
            <w:r w:rsidRPr="00B73FDB">
              <w:rPr>
                <w:rFonts w:cs="Calibri"/>
                <w:sz w:val="18"/>
                <w:szCs w:val="18"/>
                <w:lang w:eastAsia="sk-SK"/>
              </w:rPr>
              <w:t xml:space="preserve"> </w:t>
            </w:r>
          </w:p>
        </w:tc>
        <w:tc>
          <w:tcPr>
            <w:tcW w:w="1136" w:type="pct"/>
            <w:vMerge/>
            <w:shd w:val="clear" w:color="auto" w:fill="D9D9D9"/>
            <w:vAlign w:val="center"/>
            <w:hideMark/>
          </w:tcPr>
          <w:p w14:paraId="5ACEC1EB" w14:textId="77777777" w:rsidR="00B73FDB" w:rsidRPr="00B73FDB" w:rsidRDefault="00B73FDB" w:rsidP="00B73FDB">
            <w:pPr>
              <w:spacing w:after="0" w:line="240" w:lineRule="auto"/>
              <w:rPr>
                <w:rFonts w:cs="Calibri"/>
                <w:sz w:val="18"/>
                <w:szCs w:val="18"/>
                <w:lang w:eastAsia="sk-SK"/>
              </w:rPr>
            </w:pPr>
          </w:p>
        </w:tc>
      </w:tr>
      <w:tr w:rsidR="00B73FDB" w:rsidRPr="00B73FDB" w14:paraId="454EC1AC" w14:textId="77777777" w:rsidTr="00B73FDB">
        <w:trPr>
          <w:tblCellSpacing w:w="15" w:type="dxa"/>
        </w:trPr>
        <w:tc>
          <w:tcPr>
            <w:tcW w:w="259" w:type="pct"/>
            <w:shd w:val="clear" w:color="auto" w:fill="EFEFEF"/>
            <w:noWrap/>
            <w:vAlign w:val="center"/>
            <w:hideMark/>
          </w:tcPr>
          <w:p w14:paraId="0F2590C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0" w:type="pct"/>
            <w:shd w:val="clear" w:color="auto" w:fill="EFEFEF"/>
            <w:vAlign w:val="center"/>
            <w:hideMark/>
          </w:tcPr>
          <w:p w14:paraId="2F31070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55" w:type="pct"/>
            <w:shd w:val="clear" w:color="auto" w:fill="EFEFEF"/>
            <w:noWrap/>
            <w:vAlign w:val="center"/>
            <w:hideMark/>
          </w:tcPr>
          <w:p w14:paraId="06E7695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17 453 686,00 </w:t>
            </w:r>
          </w:p>
        </w:tc>
        <w:tc>
          <w:tcPr>
            <w:tcW w:w="555" w:type="pct"/>
            <w:shd w:val="clear" w:color="auto" w:fill="EFEFEF"/>
            <w:noWrap/>
            <w:vAlign w:val="center"/>
            <w:hideMark/>
          </w:tcPr>
          <w:p w14:paraId="76C1FC1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19 112 878,39 </w:t>
            </w:r>
          </w:p>
        </w:tc>
        <w:tc>
          <w:tcPr>
            <w:tcW w:w="548" w:type="pct"/>
            <w:shd w:val="clear" w:color="auto" w:fill="EFEFEF"/>
            <w:noWrap/>
            <w:vAlign w:val="center"/>
            <w:hideMark/>
          </w:tcPr>
          <w:p w14:paraId="0AF1AA8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18 863 782,09 </w:t>
            </w:r>
          </w:p>
        </w:tc>
        <w:tc>
          <w:tcPr>
            <w:tcW w:w="546" w:type="pct"/>
            <w:shd w:val="clear" w:color="auto" w:fill="EFEFEF"/>
            <w:noWrap/>
            <w:vAlign w:val="center"/>
            <w:hideMark/>
          </w:tcPr>
          <w:p w14:paraId="74277CF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98,70 </w:t>
            </w:r>
          </w:p>
        </w:tc>
        <w:tc>
          <w:tcPr>
            <w:tcW w:w="1136" w:type="pct"/>
            <w:vMerge/>
            <w:shd w:val="clear" w:color="auto" w:fill="EFEFEF"/>
            <w:vAlign w:val="center"/>
            <w:hideMark/>
          </w:tcPr>
          <w:p w14:paraId="29F208F7" w14:textId="77777777" w:rsidR="00B73FDB" w:rsidRPr="00B73FDB" w:rsidRDefault="00B73FDB" w:rsidP="00B73FDB">
            <w:pPr>
              <w:spacing w:after="0" w:line="240" w:lineRule="auto"/>
              <w:rPr>
                <w:rFonts w:cs="Calibri"/>
                <w:sz w:val="18"/>
                <w:szCs w:val="18"/>
                <w:lang w:eastAsia="sk-SK"/>
              </w:rPr>
            </w:pPr>
          </w:p>
        </w:tc>
      </w:tr>
      <w:tr w:rsidR="00B73FDB" w:rsidRPr="00B73FDB" w14:paraId="2E978A7B" w14:textId="77777777" w:rsidTr="00B73FDB">
        <w:trPr>
          <w:tblCellSpacing w:w="15" w:type="dxa"/>
        </w:trPr>
        <w:tc>
          <w:tcPr>
            <w:tcW w:w="259" w:type="pct"/>
            <w:shd w:val="clear" w:color="auto" w:fill="EFEFEF"/>
            <w:noWrap/>
            <w:vAlign w:val="center"/>
            <w:hideMark/>
          </w:tcPr>
          <w:p w14:paraId="7968CA6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0" w:type="pct"/>
            <w:shd w:val="clear" w:color="auto" w:fill="EFEFEF"/>
            <w:vAlign w:val="center"/>
            <w:hideMark/>
          </w:tcPr>
          <w:p w14:paraId="442AF43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55" w:type="pct"/>
            <w:shd w:val="clear" w:color="auto" w:fill="EFEFEF"/>
            <w:noWrap/>
            <w:vAlign w:val="center"/>
            <w:hideMark/>
          </w:tcPr>
          <w:p w14:paraId="3EE6DCF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6 279 111,00 </w:t>
            </w:r>
          </w:p>
        </w:tc>
        <w:tc>
          <w:tcPr>
            <w:tcW w:w="555" w:type="pct"/>
            <w:shd w:val="clear" w:color="auto" w:fill="EFEFEF"/>
            <w:noWrap/>
            <w:vAlign w:val="center"/>
            <w:hideMark/>
          </w:tcPr>
          <w:p w14:paraId="39B879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6 614 347,00 </w:t>
            </w:r>
          </w:p>
        </w:tc>
        <w:tc>
          <w:tcPr>
            <w:tcW w:w="548" w:type="pct"/>
            <w:shd w:val="clear" w:color="auto" w:fill="EFEFEF"/>
            <w:noWrap/>
            <w:vAlign w:val="center"/>
            <w:hideMark/>
          </w:tcPr>
          <w:p w14:paraId="751CE7E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6 564 421,17 </w:t>
            </w:r>
          </w:p>
        </w:tc>
        <w:tc>
          <w:tcPr>
            <w:tcW w:w="546" w:type="pct"/>
            <w:shd w:val="clear" w:color="auto" w:fill="EFEFEF"/>
            <w:noWrap/>
            <w:vAlign w:val="center"/>
            <w:hideMark/>
          </w:tcPr>
          <w:p w14:paraId="70FA3BA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99,25 </w:t>
            </w:r>
          </w:p>
        </w:tc>
        <w:tc>
          <w:tcPr>
            <w:tcW w:w="1136" w:type="pct"/>
            <w:vMerge/>
            <w:shd w:val="clear" w:color="auto" w:fill="EFEFEF"/>
            <w:vAlign w:val="center"/>
            <w:hideMark/>
          </w:tcPr>
          <w:p w14:paraId="4AD027E6" w14:textId="77777777" w:rsidR="00B73FDB" w:rsidRPr="00B73FDB" w:rsidRDefault="00B73FDB" w:rsidP="00B73FDB">
            <w:pPr>
              <w:spacing w:after="0" w:line="240" w:lineRule="auto"/>
              <w:rPr>
                <w:rFonts w:cs="Calibri"/>
                <w:sz w:val="18"/>
                <w:szCs w:val="18"/>
                <w:lang w:eastAsia="sk-SK"/>
              </w:rPr>
            </w:pPr>
          </w:p>
        </w:tc>
      </w:tr>
      <w:tr w:rsidR="00B73FDB" w:rsidRPr="00B73FDB" w14:paraId="6A9AF9EF" w14:textId="77777777" w:rsidTr="00B73FDB">
        <w:trPr>
          <w:tblCellSpacing w:w="15" w:type="dxa"/>
        </w:trPr>
        <w:tc>
          <w:tcPr>
            <w:tcW w:w="259" w:type="pct"/>
            <w:shd w:val="clear" w:color="auto" w:fill="EFEFEF"/>
            <w:noWrap/>
            <w:vAlign w:val="center"/>
            <w:hideMark/>
          </w:tcPr>
          <w:p w14:paraId="06A8680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0" w:type="pct"/>
            <w:shd w:val="clear" w:color="auto" w:fill="EFEFEF"/>
            <w:vAlign w:val="center"/>
            <w:hideMark/>
          </w:tcPr>
          <w:p w14:paraId="05AC8CA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55" w:type="pct"/>
            <w:shd w:val="clear" w:color="auto" w:fill="EFEFEF"/>
            <w:noWrap/>
            <w:vAlign w:val="center"/>
            <w:hideMark/>
          </w:tcPr>
          <w:p w14:paraId="479B77B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5 591 273,74 </w:t>
            </w:r>
          </w:p>
        </w:tc>
        <w:tc>
          <w:tcPr>
            <w:tcW w:w="555" w:type="pct"/>
            <w:shd w:val="clear" w:color="auto" w:fill="EFEFEF"/>
            <w:noWrap/>
            <w:vAlign w:val="center"/>
            <w:hideMark/>
          </w:tcPr>
          <w:p w14:paraId="324BA98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7 383 034,08 </w:t>
            </w:r>
          </w:p>
        </w:tc>
        <w:tc>
          <w:tcPr>
            <w:tcW w:w="548" w:type="pct"/>
            <w:shd w:val="clear" w:color="auto" w:fill="EFEFEF"/>
            <w:noWrap/>
            <w:vAlign w:val="center"/>
            <w:hideMark/>
          </w:tcPr>
          <w:p w14:paraId="1BB36CE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5 562 203,97 </w:t>
            </w:r>
          </w:p>
        </w:tc>
        <w:tc>
          <w:tcPr>
            <w:tcW w:w="546" w:type="pct"/>
            <w:shd w:val="clear" w:color="auto" w:fill="EFEFEF"/>
            <w:noWrap/>
            <w:vAlign w:val="center"/>
            <w:hideMark/>
          </w:tcPr>
          <w:p w14:paraId="4D665B2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75,34 </w:t>
            </w:r>
          </w:p>
        </w:tc>
        <w:tc>
          <w:tcPr>
            <w:tcW w:w="1136" w:type="pct"/>
            <w:vMerge/>
            <w:shd w:val="clear" w:color="auto" w:fill="EFEFEF"/>
            <w:vAlign w:val="center"/>
            <w:hideMark/>
          </w:tcPr>
          <w:p w14:paraId="6AC38A3B" w14:textId="77777777" w:rsidR="00B73FDB" w:rsidRPr="00B73FDB" w:rsidRDefault="00B73FDB" w:rsidP="00B73FDB">
            <w:pPr>
              <w:spacing w:after="0" w:line="240" w:lineRule="auto"/>
              <w:rPr>
                <w:rFonts w:cs="Calibri"/>
                <w:sz w:val="18"/>
                <w:szCs w:val="18"/>
                <w:lang w:eastAsia="sk-SK"/>
              </w:rPr>
            </w:pPr>
          </w:p>
        </w:tc>
      </w:tr>
      <w:tr w:rsidR="00B73FDB" w:rsidRPr="00B73FDB" w14:paraId="15D49D3A" w14:textId="77777777" w:rsidTr="00B73FDB">
        <w:trPr>
          <w:tblCellSpacing w:w="15" w:type="dxa"/>
        </w:trPr>
        <w:tc>
          <w:tcPr>
            <w:tcW w:w="259" w:type="pct"/>
            <w:shd w:val="clear" w:color="auto" w:fill="EFEFEF"/>
            <w:noWrap/>
            <w:vAlign w:val="center"/>
            <w:hideMark/>
          </w:tcPr>
          <w:p w14:paraId="5673335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0" w:type="pct"/>
            <w:shd w:val="clear" w:color="auto" w:fill="EFEFEF"/>
            <w:vAlign w:val="center"/>
            <w:hideMark/>
          </w:tcPr>
          <w:p w14:paraId="1C868C6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55" w:type="pct"/>
            <w:shd w:val="clear" w:color="auto" w:fill="EFEFEF"/>
            <w:noWrap/>
            <w:vAlign w:val="center"/>
            <w:hideMark/>
          </w:tcPr>
          <w:p w14:paraId="70C5B49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13 818 643,00 </w:t>
            </w:r>
          </w:p>
        </w:tc>
        <w:tc>
          <w:tcPr>
            <w:tcW w:w="555" w:type="pct"/>
            <w:shd w:val="clear" w:color="auto" w:fill="EFEFEF"/>
            <w:noWrap/>
            <w:vAlign w:val="center"/>
            <w:hideMark/>
          </w:tcPr>
          <w:p w14:paraId="6BAE0F3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14 771 255,26 </w:t>
            </w:r>
          </w:p>
        </w:tc>
        <w:tc>
          <w:tcPr>
            <w:tcW w:w="548" w:type="pct"/>
            <w:shd w:val="clear" w:color="auto" w:fill="EFEFEF"/>
            <w:noWrap/>
            <w:vAlign w:val="center"/>
            <w:hideMark/>
          </w:tcPr>
          <w:p w14:paraId="0F8BD09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14 721 288,51 </w:t>
            </w:r>
          </w:p>
        </w:tc>
        <w:tc>
          <w:tcPr>
            <w:tcW w:w="546" w:type="pct"/>
            <w:shd w:val="clear" w:color="auto" w:fill="EFEFEF"/>
            <w:noWrap/>
            <w:vAlign w:val="center"/>
            <w:hideMark/>
          </w:tcPr>
          <w:p w14:paraId="01CEB9B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99,66 </w:t>
            </w:r>
          </w:p>
        </w:tc>
        <w:tc>
          <w:tcPr>
            <w:tcW w:w="1136" w:type="pct"/>
            <w:vMerge/>
            <w:shd w:val="clear" w:color="auto" w:fill="EFEFEF"/>
            <w:vAlign w:val="center"/>
            <w:hideMark/>
          </w:tcPr>
          <w:p w14:paraId="72B7F23A" w14:textId="77777777" w:rsidR="00B73FDB" w:rsidRPr="00B73FDB" w:rsidRDefault="00B73FDB" w:rsidP="00B73FDB">
            <w:pPr>
              <w:spacing w:after="0" w:line="240" w:lineRule="auto"/>
              <w:rPr>
                <w:rFonts w:cs="Calibri"/>
                <w:sz w:val="18"/>
                <w:szCs w:val="18"/>
                <w:lang w:eastAsia="sk-SK"/>
              </w:rPr>
            </w:pPr>
          </w:p>
        </w:tc>
      </w:tr>
      <w:tr w:rsidR="00B73FDB" w:rsidRPr="00B73FDB" w14:paraId="7E553195" w14:textId="77777777" w:rsidTr="00B73FDB">
        <w:trPr>
          <w:tblCellSpacing w:w="15" w:type="dxa"/>
        </w:trPr>
        <w:tc>
          <w:tcPr>
            <w:tcW w:w="259" w:type="pct"/>
            <w:shd w:val="clear" w:color="auto" w:fill="D9D9D9"/>
            <w:noWrap/>
            <w:vAlign w:val="center"/>
            <w:hideMark/>
          </w:tcPr>
          <w:p w14:paraId="18A071B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700</w:t>
            </w:r>
            <w:r w:rsidRPr="00B73FDB">
              <w:rPr>
                <w:rFonts w:cs="Calibri"/>
                <w:sz w:val="18"/>
                <w:szCs w:val="18"/>
                <w:lang w:eastAsia="sk-SK"/>
              </w:rPr>
              <w:t xml:space="preserve"> </w:t>
            </w:r>
          </w:p>
        </w:tc>
        <w:tc>
          <w:tcPr>
            <w:tcW w:w="1280" w:type="pct"/>
            <w:shd w:val="clear" w:color="auto" w:fill="D9D9D9"/>
            <w:vAlign w:val="center"/>
            <w:hideMark/>
          </w:tcPr>
          <w:p w14:paraId="5E385E4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Kapitálové výdavky</w:t>
            </w:r>
            <w:r w:rsidRPr="00B73FDB">
              <w:rPr>
                <w:rFonts w:cs="Calibri"/>
                <w:sz w:val="18"/>
                <w:szCs w:val="18"/>
                <w:lang w:eastAsia="sk-SK"/>
              </w:rPr>
              <w:t xml:space="preserve"> </w:t>
            </w:r>
          </w:p>
        </w:tc>
        <w:tc>
          <w:tcPr>
            <w:tcW w:w="555" w:type="pct"/>
            <w:shd w:val="clear" w:color="auto" w:fill="D9D9D9"/>
            <w:noWrap/>
            <w:vAlign w:val="center"/>
            <w:hideMark/>
          </w:tcPr>
          <w:p w14:paraId="338615A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55" w:type="pct"/>
            <w:shd w:val="clear" w:color="auto" w:fill="D9D9D9"/>
            <w:noWrap/>
            <w:vAlign w:val="center"/>
            <w:hideMark/>
          </w:tcPr>
          <w:p w14:paraId="39FA4AB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47 479,04</w:t>
            </w:r>
            <w:r w:rsidRPr="00B73FDB">
              <w:rPr>
                <w:rFonts w:cs="Calibri"/>
                <w:sz w:val="18"/>
                <w:szCs w:val="18"/>
                <w:lang w:eastAsia="sk-SK"/>
              </w:rPr>
              <w:t xml:space="preserve"> </w:t>
            </w:r>
          </w:p>
        </w:tc>
        <w:tc>
          <w:tcPr>
            <w:tcW w:w="548" w:type="pct"/>
            <w:shd w:val="clear" w:color="auto" w:fill="D9D9D9"/>
            <w:noWrap/>
            <w:vAlign w:val="center"/>
            <w:hideMark/>
          </w:tcPr>
          <w:p w14:paraId="52102EA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47 479,04</w:t>
            </w:r>
            <w:r w:rsidRPr="00B73FDB">
              <w:rPr>
                <w:rFonts w:cs="Calibri"/>
                <w:sz w:val="18"/>
                <w:szCs w:val="18"/>
                <w:lang w:eastAsia="sk-SK"/>
              </w:rPr>
              <w:t xml:space="preserve"> </w:t>
            </w:r>
          </w:p>
        </w:tc>
        <w:tc>
          <w:tcPr>
            <w:tcW w:w="546" w:type="pct"/>
            <w:shd w:val="clear" w:color="auto" w:fill="D9D9D9"/>
            <w:noWrap/>
            <w:vAlign w:val="center"/>
            <w:hideMark/>
          </w:tcPr>
          <w:p w14:paraId="51DAD26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52C58391" w14:textId="77777777" w:rsidR="00B73FDB" w:rsidRPr="00B73FDB" w:rsidRDefault="00B73FDB" w:rsidP="00B73FDB">
            <w:pPr>
              <w:spacing w:after="0" w:line="240" w:lineRule="auto"/>
              <w:rPr>
                <w:rFonts w:cs="Calibri"/>
                <w:sz w:val="18"/>
                <w:szCs w:val="18"/>
                <w:lang w:eastAsia="sk-SK"/>
              </w:rPr>
            </w:pPr>
          </w:p>
        </w:tc>
      </w:tr>
      <w:tr w:rsidR="00B73FDB" w:rsidRPr="00B73FDB" w14:paraId="0EFC4880" w14:textId="77777777" w:rsidTr="00B73FDB">
        <w:trPr>
          <w:tblCellSpacing w:w="15" w:type="dxa"/>
        </w:trPr>
        <w:tc>
          <w:tcPr>
            <w:tcW w:w="259" w:type="pct"/>
            <w:shd w:val="clear" w:color="auto" w:fill="EFEFEF"/>
            <w:noWrap/>
            <w:vAlign w:val="center"/>
            <w:hideMark/>
          </w:tcPr>
          <w:p w14:paraId="255C0E2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710 </w:t>
            </w:r>
          </w:p>
        </w:tc>
        <w:tc>
          <w:tcPr>
            <w:tcW w:w="1280" w:type="pct"/>
            <w:shd w:val="clear" w:color="auto" w:fill="EFEFEF"/>
            <w:vAlign w:val="center"/>
            <w:hideMark/>
          </w:tcPr>
          <w:p w14:paraId="5797ACB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Obstarávanie kapitálových aktív </w:t>
            </w:r>
          </w:p>
        </w:tc>
        <w:tc>
          <w:tcPr>
            <w:tcW w:w="555" w:type="pct"/>
            <w:shd w:val="clear" w:color="auto" w:fill="EFEFEF"/>
            <w:noWrap/>
            <w:vAlign w:val="center"/>
            <w:hideMark/>
          </w:tcPr>
          <w:p w14:paraId="70CA757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55" w:type="pct"/>
            <w:shd w:val="clear" w:color="auto" w:fill="EFEFEF"/>
            <w:noWrap/>
            <w:vAlign w:val="center"/>
            <w:hideMark/>
          </w:tcPr>
          <w:p w14:paraId="2209803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39 979,04 </w:t>
            </w:r>
          </w:p>
        </w:tc>
        <w:tc>
          <w:tcPr>
            <w:tcW w:w="548" w:type="pct"/>
            <w:shd w:val="clear" w:color="auto" w:fill="EFEFEF"/>
            <w:noWrap/>
            <w:vAlign w:val="center"/>
            <w:hideMark/>
          </w:tcPr>
          <w:p w14:paraId="6189A9E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39 979,04 </w:t>
            </w:r>
          </w:p>
        </w:tc>
        <w:tc>
          <w:tcPr>
            <w:tcW w:w="546" w:type="pct"/>
            <w:shd w:val="clear" w:color="auto" w:fill="EFEFEF"/>
            <w:noWrap/>
            <w:vAlign w:val="center"/>
            <w:hideMark/>
          </w:tcPr>
          <w:p w14:paraId="79480BE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BFCDECD" w14:textId="77777777" w:rsidR="00B73FDB" w:rsidRPr="00B73FDB" w:rsidRDefault="00B73FDB" w:rsidP="00B73FDB">
            <w:pPr>
              <w:spacing w:after="0" w:line="240" w:lineRule="auto"/>
              <w:rPr>
                <w:rFonts w:cs="Calibri"/>
                <w:sz w:val="18"/>
                <w:szCs w:val="18"/>
                <w:lang w:eastAsia="sk-SK"/>
              </w:rPr>
            </w:pPr>
          </w:p>
        </w:tc>
      </w:tr>
      <w:tr w:rsidR="00B73FDB" w:rsidRPr="00B73FDB" w14:paraId="4B66AD58" w14:textId="77777777" w:rsidTr="00B73FDB">
        <w:trPr>
          <w:tblCellSpacing w:w="15" w:type="dxa"/>
        </w:trPr>
        <w:tc>
          <w:tcPr>
            <w:tcW w:w="259" w:type="pct"/>
            <w:shd w:val="clear" w:color="auto" w:fill="EFEFEF"/>
            <w:noWrap/>
            <w:vAlign w:val="center"/>
            <w:hideMark/>
          </w:tcPr>
          <w:p w14:paraId="7F760AC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720 </w:t>
            </w:r>
          </w:p>
        </w:tc>
        <w:tc>
          <w:tcPr>
            <w:tcW w:w="1280" w:type="pct"/>
            <w:shd w:val="clear" w:color="auto" w:fill="EFEFEF"/>
            <w:vAlign w:val="center"/>
            <w:hideMark/>
          </w:tcPr>
          <w:p w14:paraId="6E892C1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Kapitálové transfery </w:t>
            </w:r>
          </w:p>
        </w:tc>
        <w:tc>
          <w:tcPr>
            <w:tcW w:w="555" w:type="pct"/>
            <w:shd w:val="clear" w:color="auto" w:fill="EFEFEF"/>
            <w:noWrap/>
            <w:vAlign w:val="center"/>
            <w:hideMark/>
          </w:tcPr>
          <w:p w14:paraId="1F6C810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55" w:type="pct"/>
            <w:shd w:val="clear" w:color="auto" w:fill="EFEFEF"/>
            <w:noWrap/>
            <w:vAlign w:val="center"/>
            <w:hideMark/>
          </w:tcPr>
          <w:p w14:paraId="209F0F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7 500,00 </w:t>
            </w:r>
          </w:p>
        </w:tc>
        <w:tc>
          <w:tcPr>
            <w:tcW w:w="548" w:type="pct"/>
            <w:shd w:val="clear" w:color="auto" w:fill="EFEFEF"/>
            <w:noWrap/>
            <w:vAlign w:val="center"/>
            <w:hideMark/>
          </w:tcPr>
          <w:p w14:paraId="1128949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7 500,00 </w:t>
            </w:r>
          </w:p>
        </w:tc>
        <w:tc>
          <w:tcPr>
            <w:tcW w:w="546" w:type="pct"/>
            <w:shd w:val="clear" w:color="auto" w:fill="EFEFEF"/>
            <w:noWrap/>
            <w:vAlign w:val="center"/>
            <w:hideMark/>
          </w:tcPr>
          <w:p w14:paraId="5CDA638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41288AEE" w14:textId="77777777" w:rsidR="00B73FDB" w:rsidRPr="00B73FDB" w:rsidRDefault="00B73FDB" w:rsidP="00B73FDB">
            <w:pPr>
              <w:spacing w:after="0" w:line="240" w:lineRule="auto"/>
              <w:rPr>
                <w:rFonts w:cs="Calibri"/>
                <w:sz w:val="18"/>
                <w:szCs w:val="18"/>
                <w:lang w:eastAsia="sk-SK"/>
              </w:rPr>
            </w:pPr>
          </w:p>
        </w:tc>
      </w:tr>
    </w:tbl>
    <w:p w14:paraId="3D14DD7D"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9"/>
        <w:gridCol w:w="1118"/>
        <w:gridCol w:w="1574"/>
        <w:gridCol w:w="1132"/>
        <w:gridCol w:w="4083"/>
      </w:tblGrid>
      <w:tr w:rsidR="00B73FDB" w:rsidRPr="00B73FDB" w14:paraId="133A2340" w14:textId="77777777" w:rsidTr="00B73FDB">
        <w:trPr>
          <w:tblCellSpacing w:w="15" w:type="dxa"/>
        </w:trPr>
        <w:tc>
          <w:tcPr>
            <w:tcW w:w="0" w:type="auto"/>
            <w:shd w:val="clear" w:color="auto" w:fill="C2D69B"/>
            <w:vAlign w:val="center"/>
            <w:hideMark/>
          </w:tcPr>
          <w:p w14:paraId="6481DA0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497162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Odbor školstva, mládeže a športu </w:t>
            </w:r>
          </w:p>
        </w:tc>
      </w:tr>
      <w:tr w:rsidR="00B73FDB" w:rsidRPr="00B73FDB" w14:paraId="41EF137F" w14:textId="77777777" w:rsidTr="00B73FDB">
        <w:trPr>
          <w:tblCellSpacing w:w="15" w:type="dxa"/>
        </w:trPr>
        <w:tc>
          <w:tcPr>
            <w:tcW w:w="0" w:type="auto"/>
            <w:shd w:val="clear" w:color="auto" w:fill="C2D69B"/>
            <w:vAlign w:val="center"/>
            <w:hideMark/>
          </w:tcPr>
          <w:p w14:paraId="3867077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397644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odborný výchovno-vzdelávací proces </w:t>
            </w:r>
          </w:p>
        </w:tc>
      </w:tr>
      <w:tr w:rsidR="00B73FDB" w:rsidRPr="00B73FDB" w14:paraId="672B45FE" w14:textId="77777777" w:rsidTr="00B73FDB">
        <w:trPr>
          <w:tblCellSpacing w:w="15" w:type="dxa"/>
        </w:trPr>
        <w:tc>
          <w:tcPr>
            <w:tcW w:w="0" w:type="auto"/>
            <w:shd w:val="clear" w:color="auto" w:fill="C2D69B"/>
            <w:vAlign w:val="center"/>
            <w:hideMark/>
          </w:tcPr>
          <w:p w14:paraId="0BCBB3D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0BF54F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škôl spolu </w:t>
            </w:r>
          </w:p>
        </w:tc>
      </w:tr>
      <w:tr w:rsidR="00B73FDB" w:rsidRPr="00B73FDB" w14:paraId="46135D23" w14:textId="77777777" w:rsidTr="00B73FDB">
        <w:trPr>
          <w:tblCellSpacing w:w="15" w:type="dxa"/>
        </w:trPr>
        <w:tc>
          <w:tcPr>
            <w:tcW w:w="0" w:type="auto"/>
            <w:shd w:val="clear" w:color="auto" w:fill="C2D69B"/>
            <w:vAlign w:val="center"/>
            <w:hideMark/>
          </w:tcPr>
          <w:p w14:paraId="02291F4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EA2BAB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3E2E8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30B342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1963" w:type="pct"/>
            <w:shd w:val="clear" w:color="auto" w:fill="C2D69B"/>
            <w:vAlign w:val="center"/>
            <w:hideMark/>
          </w:tcPr>
          <w:p w14:paraId="0FDDABC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1C5EC19" w14:textId="77777777" w:rsidTr="00B73FDB">
        <w:trPr>
          <w:tblCellSpacing w:w="15" w:type="dxa"/>
        </w:trPr>
        <w:tc>
          <w:tcPr>
            <w:tcW w:w="0" w:type="auto"/>
            <w:shd w:val="clear" w:color="auto" w:fill="C2D69B"/>
            <w:vAlign w:val="center"/>
            <w:hideMark/>
          </w:tcPr>
          <w:p w14:paraId="6FE8E6D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4EDED1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 </w:t>
            </w:r>
          </w:p>
        </w:tc>
        <w:tc>
          <w:tcPr>
            <w:tcW w:w="0" w:type="auto"/>
            <w:shd w:val="clear" w:color="auto" w:fill="C2D69B"/>
            <w:noWrap/>
            <w:vAlign w:val="center"/>
            <w:hideMark/>
          </w:tcPr>
          <w:p w14:paraId="46ACD9A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41 </w:t>
            </w:r>
          </w:p>
        </w:tc>
        <w:tc>
          <w:tcPr>
            <w:tcW w:w="0" w:type="auto"/>
            <w:shd w:val="clear" w:color="auto" w:fill="C2D69B"/>
            <w:vAlign w:val="center"/>
            <w:hideMark/>
          </w:tcPr>
          <w:p w14:paraId="7027B1A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DD6BAB8"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A58FA7A" w14:textId="77777777" w:rsidTr="00B73FDB">
        <w:trPr>
          <w:tblCellSpacing w:w="15" w:type="dxa"/>
        </w:trPr>
        <w:tc>
          <w:tcPr>
            <w:tcW w:w="0" w:type="auto"/>
            <w:shd w:val="clear" w:color="auto" w:fill="C2D69B"/>
            <w:vAlign w:val="center"/>
            <w:hideMark/>
          </w:tcPr>
          <w:p w14:paraId="50FF715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2AB228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spolu </w:t>
            </w:r>
          </w:p>
        </w:tc>
      </w:tr>
      <w:tr w:rsidR="00B73FDB" w:rsidRPr="00B73FDB" w14:paraId="20C661E2" w14:textId="77777777" w:rsidTr="00B73FDB">
        <w:trPr>
          <w:tblCellSpacing w:w="15" w:type="dxa"/>
        </w:trPr>
        <w:tc>
          <w:tcPr>
            <w:tcW w:w="0" w:type="auto"/>
            <w:shd w:val="clear" w:color="auto" w:fill="C2D69B"/>
            <w:vAlign w:val="center"/>
            <w:hideMark/>
          </w:tcPr>
          <w:p w14:paraId="328DD4F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630D05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9B6738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77BB4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1963" w:type="pct"/>
            <w:shd w:val="clear" w:color="auto" w:fill="C2D69B"/>
            <w:vAlign w:val="center"/>
            <w:hideMark/>
          </w:tcPr>
          <w:p w14:paraId="2FB729A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897DE30" w14:textId="77777777" w:rsidTr="00B73FDB">
        <w:trPr>
          <w:tblCellSpacing w:w="15" w:type="dxa"/>
        </w:trPr>
        <w:tc>
          <w:tcPr>
            <w:tcW w:w="0" w:type="auto"/>
            <w:shd w:val="clear" w:color="auto" w:fill="C2D69B"/>
            <w:vAlign w:val="center"/>
            <w:hideMark/>
          </w:tcPr>
          <w:p w14:paraId="75A5EFF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9F4DBC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12 066 </w:t>
            </w:r>
          </w:p>
        </w:tc>
        <w:tc>
          <w:tcPr>
            <w:tcW w:w="0" w:type="auto"/>
            <w:shd w:val="clear" w:color="auto" w:fill="C2D69B"/>
            <w:noWrap/>
            <w:vAlign w:val="center"/>
            <w:hideMark/>
          </w:tcPr>
          <w:p w14:paraId="419F7E5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12 995 </w:t>
            </w:r>
          </w:p>
        </w:tc>
        <w:tc>
          <w:tcPr>
            <w:tcW w:w="0" w:type="auto"/>
            <w:shd w:val="clear" w:color="auto" w:fill="C2D69B"/>
            <w:vAlign w:val="center"/>
            <w:hideMark/>
          </w:tcPr>
          <w:p w14:paraId="1EBD9F0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B8997F7"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37979622" w14:textId="77777777" w:rsidTr="00B73FDB">
        <w:trPr>
          <w:tblCellSpacing w:w="15" w:type="dxa"/>
        </w:trPr>
        <w:tc>
          <w:tcPr>
            <w:tcW w:w="0" w:type="auto"/>
            <w:shd w:val="clear" w:color="auto" w:fill="C2D69B"/>
            <w:vAlign w:val="center"/>
            <w:hideMark/>
          </w:tcPr>
          <w:p w14:paraId="153389D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53CC67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5564353" w14:textId="77777777" w:rsidTr="00B73FDB">
        <w:trPr>
          <w:tblCellSpacing w:w="15" w:type="dxa"/>
        </w:trPr>
        <w:tc>
          <w:tcPr>
            <w:tcW w:w="0" w:type="auto"/>
            <w:shd w:val="clear" w:color="auto" w:fill="C2D69B"/>
            <w:vAlign w:val="center"/>
            <w:hideMark/>
          </w:tcPr>
          <w:p w14:paraId="4D675F6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1C3F67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5D228D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A7587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1963" w:type="pct"/>
            <w:shd w:val="clear" w:color="auto" w:fill="C2D69B"/>
            <w:vAlign w:val="center"/>
            <w:hideMark/>
          </w:tcPr>
          <w:p w14:paraId="59CE2B0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BF181D5" w14:textId="77777777" w:rsidTr="00B73FDB">
        <w:trPr>
          <w:tblCellSpacing w:w="15" w:type="dxa"/>
        </w:trPr>
        <w:tc>
          <w:tcPr>
            <w:tcW w:w="0" w:type="auto"/>
            <w:shd w:val="clear" w:color="auto" w:fill="C2D69B"/>
            <w:vAlign w:val="center"/>
            <w:hideMark/>
          </w:tcPr>
          <w:p w14:paraId="6961AA6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2D431A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11 618</w:t>
            </w:r>
          </w:p>
        </w:tc>
        <w:tc>
          <w:tcPr>
            <w:tcW w:w="0" w:type="auto"/>
            <w:shd w:val="clear" w:color="auto" w:fill="C2D69B"/>
            <w:noWrap/>
            <w:vAlign w:val="center"/>
            <w:hideMark/>
          </w:tcPr>
          <w:p w14:paraId="0181988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11 958  </w:t>
            </w:r>
          </w:p>
        </w:tc>
        <w:tc>
          <w:tcPr>
            <w:tcW w:w="0" w:type="auto"/>
            <w:shd w:val="clear" w:color="auto" w:fill="C2D69B"/>
            <w:vAlign w:val="center"/>
            <w:hideMark/>
          </w:tcPr>
          <w:p w14:paraId="63C54A1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Splnené</w:t>
            </w:r>
          </w:p>
        </w:tc>
        <w:tc>
          <w:tcPr>
            <w:tcW w:w="0" w:type="auto"/>
            <w:shd w:val="clear" w:color="auto" w:fill="C2D69B"/>
            <w:vAlign w:val="center"/>
            <w:hideMark/>
          </w:tcPr>
          <w:p w14:paraId="22B8F090" w14:textId="77777777" w:rsidR="00B73FDB" w:rsidRPr="00B73FDB" w:rsidRDefault="00B73FDB" w:rsidP="00B73FDB">
            <w:pPr>
              <w:spacing w:after="0" w:line="240" w:lineRule="auto"/>
              <w:jc w:val="center"/>
              <w:rPr>
                <w:rFonts w:cs="Calibri"/>
                <w:sz w:val="18"/>
                <w:szCs w:val="18"/>
                <w:lang w:eastAsia="sk-SK"/>
              </w:rPr>
            </w:pPr>
          </w:p>
        </w:tc>
      </w:tr>
    </w:tbl>
    <w:p w14:paraId="6B0E80B9"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Kome</w:t>
      </w:r>
      <w:r w:rsidRPr="00B73FDB">
        <w:rPr>
          <w:rFonts w:cs="Calibri"/>
          <w:b/>
          <w:bCs/>
          <w:sz w:val="24"/>
          <w:szCs w:val="24"/>
          <w:lang w:eastAsia="sk-SK"/>
        </w:rPr>
        <w:t xml:space="preserve">ntár: </w:t>
      </w:r>
      <w:r w:rsidRPr="00B73FDB">
        <w:rPr>
          <w:rFonts w:cs="Calibri"/>
          <w:sz w:val="24"/>
          <w:szCs w:val="24"/>
          <w:lang w:eastAsia="sk-SK"/>
        </w:rPr>
        <w:t xml:space="preserve">Financovanie v podprograme Odborné vzdelávanie je určené platnou legislatívou pre financovanie stredného školstva. Tento podprogram obsahuje rozpočet pre 34 stredných odborných škôl a škôl umeleckého priemyslu, 5 spojených škôl a 2 konzervatóriá. Plánované hodnoty počtu žiakov stredných odborných škôl vychádzajú z požiadaviek trhu práce, napríklad automobilového, stavebného, chemického a strojárskeho priemyslu. Merateľným ukazovateľom pri prvkoch tohto podprogramu je počet žiakov, ktorý sa upravuje podľa skutočnosti uvedenej v štatistickom výkaze o strednej škole - </w:t>
      </w:r>
      <w:proofErr w:type="spellStart"/>
      <w:r w:rsidRPr="00B73FDB">
        <w:rPr>
          <w:rFonts w:cs="Calibri"/>
          <w:sz w:val="24"/>
          <w:szCs w:val="24"/>
          <w:lang w:eastAsia="sk-SK"/>
        </w:rPr>
        <w:t>Škol</w:t>
      </w:r>
      <w:proofErr w:type="spellEnd"/>
      <w:r w:rsidRPr="00B73FDB">
        <w:rPr>
          <w:rFonts w:cs="Calibri"/>
          <w:sz w:val="24"/>
          <w:szCs w:val="24"/>
          <w:lang w:eastAsia="sk-SK"/>
        </w:rPr>
        <w:t xml:space="preserve"> 2-01 k 15. septembru nového školského roka.</w:t>
      </w:r>
    </w:p>
    <w:p w14:paraId="266D29D3" w14:textId="77777777" w:rsidR="00B73FDB" w:rsidRPr="00B73FDB" w:rsidRDefault="00B73FDB" w:rsidP="00B73FDB">
      <w:pPr>
        <w:spacing w:before="100" w:beforeAutospacing="1" w:after="100" w:afterAutospacing="1" w:line="240" w:lineRule="auto"/>
        <w:jc w:val="both"/>
        <w:rPr>
          <w:rFonts w:cs="Calibri"/>
          <w:b/>
          <w:sz w:val="24"/>
          <w:szCs w:val="24"/>
          <w:lang w:eastAsia="sk-SK"/>
        </w:rPr>
      </w:pPr>
      <w:r w:rsidRPr="00B73FDB">
        <w:rPr>
          <w:rFonts w:cs="Calibri"/>
          <w:b/>
          <w:color w:val="244061"/>
          <w:sz w:val="24"/>
          <w:szCs w:val="24"/>
          <w:lang w:eastAsia="sk-SK"/>
        </w:rPr>
        <w:t xml:space="preserve">Prvok 8.3.1: SPŠ strojnícka, </w:t>
      </w:r>
      <w:proofErr w:type="spellStart"/>
      <w:r w:rsidRPr="00B73FDB">
        <w:rPr>
          <w:rFonts w:cs="Calibri"/>
          <w:b/>
          <w:color w:val="244061"/>
          <w:sz w:val="24"/>
          <w:szCs w:val="24"/>
          <w:lang w:eastAsia="sk-SK"/>
        </w:rPr>
        <w:t>Fajnorovo</w:t>
      </w:r>
      <w:proofErr w:type="spellEnd"/>
      <w:r w:rsidRPr="00B73FDB">
        <w:rPr>
          <w:rFonts w:cs="Calibri"/>
          <w:b/>
          <w:color w:val="244061"/>
          <w:sz w:val="24"/>
          <w:szCs w:val="24"/>
          <w:lang w:eastAsia="sk-SK"/>
        </w:rPr>
        <w:t xml:space="preserve"> nábrežie 5,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3"/>
        <w:gridCol w:w="2786"/>
        <w:gridCol w:w="1214"/>
        <w:gridCol w:w="1214"/>
        <w:gridCol w:w="1059"/>
        <w:gridCol w:w="1214"/>
        <w:gridCol w:w="2426"/>
      </w:tblGrid>
      <w:tr w:rsidR="00B73FDB" w:rsidRPr="00B73FDB" w14:paraId="73E345CD" w14:textId="77777777" w:rsidTr="00B73FDB">
        <w:trPr>
          <w:tblCellSpacing w:w="15" w:type="dxa"/>
        </w:trPr>
        <w:tc>
          <w:tcPr>
            <w:tcW w:w="242" w:type="pct"/>
            <w:shd w:val="clear" w:color="auto" w:fill="C6DBF7"/>
            <w:vAlign w:val="center"/>
            <w:hideMark/>
          </w:tcPr>
          <w:p w14:paraId="44EA5DC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314" w:type="pct"/>
            <w:shd w:val="clear" w:color="auto" w:fill="C6DBF7"/>
            <w:vAlign w:val="center"/>
            <w:hideMark/>
          </w:tcPr>
          <w:p w14:paraId="6E1CFBE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68F9A25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4BD6BFF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1" w:type="pct"/>
            <w:shd w:val="clear" w:color="auto" w:fill="C6DBF7"/>
            <w:vAlign w:val="center"/>
            <w:hideMark/>
          </w:tcPr>
          <w:p w14:paraId="088E91E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608080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5" w:type="pct"/>
            <w:shd w:val="clear" w:color="auto" w:fill="C6DBF7"/>
            <w:vAlign w:val="center"/>
            <w:hideMark/>
          </w:tcPr>
          <w:p w14:paraId="3CC1DA5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096E458" w14:textId="77777777" w:rsidTr="00B73FDB">
        <w:trPr>
          <w:tblCellSpacing w:w="15" w:type="dxa"/>
        </w:trPr>
        <w:tc>
          <w:tcPr>
            <w:tcW w:w="242" w:type="pct"/>
            <w:shd w:val="clear" w:color="auto" w:fill="D9D9D9"/>
            <w:noWrap/>
            <w:vAlign w:val="center"/>
            <w:hideMark/>
          </w:tcPr>
          <w:p w14:paraId="70F9BAC3" w14:textId="77777777" w:rsidR="00B73FDB" w:rsidRPr="00B73FDB" w:rsidRDefault="00B73FDB" w:rsidP="00B73FDB">
            <w:pPr>
              <w:spacing w:after="0" w:line="240" w:lineRule="auto"/>
              <w:jc w:val="center"/>
              <w:rPr>
                <w:rFonts w:cs="Calibri"/>
                <w:sz w:val="18"/>
                <w:szCs w:val="18"/>
                <w:lang w:eastAsia="sk-SK"/>
              </w:rPr>
            </w:pPr>
          </w:p>
        </w:tc>
        <w:tc>
          <w:tcPr>
            <w:tcW w:w="1314" w:type="pct"/>
            <w:shd w:val="clear" w:color="auto" w:fill="D9D9D9"/>
            <w:vAlign w:val="center"/>
            <w:hideMark/>
          </w:tcPr>
          <w:p w14:paraId="377EBD4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142F4E8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844 467,74</w:t>
            </w:r>
            <w:r w:rsidRPr="00B73FDB">
              <w:rPr>
                <w:rFonts w:cs="Calibri"/>
                <w:sz w:val="18"/>
                <w:szCs w:val="18"/>
                <w:lang w:eastAsia="sk-SK"/>
              </w:rPr>
              <w:t xml:space="preserve"> </w:t>
            </w:r>
          </w:p>
        </w:tc>
        <w:tc>
          <w:tcPr>
            <w:tcW w:w="565" w:type="pct"/>
            <w:shd w:val="clear" w:color="auto" w:fill="D9D9D9"/>
            <w:noWrap/>
            <w:vAlign w:val="center"/>
            <w:hideMark/>
          </w:tcPr>
          <w:p w14:paraId="75E4DB7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991 666,20</w:t>
            </w:r>
            <w:r w:rsidRPr="00B73FDB">
              <w:rPr>
                <w:rFonts w:cs="Calibri"/>
                <w:sz w:val="18"/>
                <w:szCs w:val="18"/>
                <w:lang w:eastAsia="sk-SK"/>
              </w:rPr>
              <w:t xml:space="preserve"> </w:t>
            </w:r>
          </w:p>
        </w:tc>
        <w:tc>
          <w:tcPr>
            <w:tcW w:w="491" w:type="pct"/>
            <w:shd w:val="clear" w:color="auto" w:fill="D9D9D9"/>
            <w:noWrap/>
            <w:vAlign w:val="center"/>
            <w:hideMark/>
          </w:tcPr>
          <w:p w14:paraId="67C58F6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847 608,98</w:t>
            </w:r>
            <w:r w:rsidRPr="00B73FDB">
              <w:rPr>
                <w:rFonts w:cs="Calibri"/>
                <w:sz w:val="18"/>
                <w:szCs w:val="18"/>
                <w:lang w:eastAsia="sk-SK"/>
              </w:rPr>
              <w:t xml:space="preserve"> </w:t>
            </w:r>
          </w:p>
        </w:tc>
        <w:tc>
          <w:tcPr>
            <w:tcW w:w="565" w:type="pct"/>
            <w:shd w:val="clear" w:color="auto" w:fill="D9D9D9"/>
            <w:noWrap/>
            <w:vAlign w:val="center"/>
            <w:hideMark/>
          </w:tcPr>
          <w:p w14:paraId="211B041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85,47</w:t>
            </w:r>
            <w:r w:rsidRPr="00B73FDB">
              <w:rPr>
                <w:rFonts w:cs="Calibri"/>
                <w:sz w:val="18"/>
                <w:szCs w:val="18"/>
                <w:lang w:eastAsia="sk-SK"/>
              </w:rPr>
              <w:t xml:space="preserve"> </w:t>
            </w:r>
          </w:p>
        </w:tc>
        <w:tc>
          <w:tcPr>
            <w:tcW w:w="1135" w:type="pct"/>
            <w:vMerge w:val="restart"/>
            <w:shd w:val="clear" w:color="auto" w:fill="D9D9D9"/>
            <w:vAlign w:val="center"/>
            <w:hideMark/>
          </w:tcPr>
          <w:p w14:paraId="2477A2A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+26 084,00 EUR</w:t>
            </w:r>
            <w:r w:rsidRPr="00B73FDB">
              <w:rPr>
                <w:rFonts w:cs="Calibri"/>
                <w:sz w:val="18"/>
                <w:szCs w:val="18"/>
                <w:lang w:eastAsia="sk-SK"/>
              </w:rPr>
              <w:t xml:space="preserve"> normatívne finančné prostriedky,</w:t>
            </w:r>
          </w:p>
          <w:p w14:paraId="1CA75CB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+413,00 EUR</w:t>
            </w:r>
            <w:r w:rsidRPr="00B73FDB">
              <w:rPr>
                <w:rFonts w:cs="Calibri"/>
                <w:sz w:val="18"/>
                <w:szCs w:val="18"/>
                <w:lang w:eastAsia="sk-SK"/>
              </w:rPr>
              <w:t xml:space="preserve"> normatívne finančné prostriedky na maturity,</w:t>
            </w:r>
          </w:p>
          <w:p w14:paraId="5B9C00D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+364,00 EUR </w:t>
            </w:r>
            <w:r w:rsidRPr="00B73FDB">
              <w:rPr>
                <w:rFonts w:cs="Calibri"/>
                <w:sz w:val="18"/>
                <w:szCs w:val="18"/>
                <w:lang w:eastAsia="sk-SK"/>
              </w:rPr>
              <w:t>nenormatívne finančné prostriedky na vzdelávacie poukazy,</w:t>
            </w:r>
          </w:p>
          <w:p w14:paraId="0AD817D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+1 000,00 EUR</w:t>
            </w:r>
            <w:r w:rsidRPr="00B73FDB">
              <w:rPr>
                <w:rFonts w:cs="Calibri"/>
                <w:sz w:val="18"/>
                <w:szCs w:val="18"/>
                <w:lang w:eastAsia="sk-SK"/>
              </w:rPr>
              <w:t xml:space="preserve"> nenormatívne finančné prostriedky za mimoriadne výsledky žiakov,</w:t>
            </w:r>
          </w:p>
          <w:p w14:paraId="1F17324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+1 590,00 EUR</w:t>
            </w:r>
            <w:r w:rsidRPr="00B73FDB">
              <w:rPr>
                <w:rFonts w:cs="Calibri"/>
                <w:sz w:val="18"/>
                <w:szCs w:val="18"/>
                <w:lang w:eastAsia="sk-SK"/>
              </w:rPr>
              <w:t xml:space="preserve"> odchodné do dôchodku,</w:t>
            </w:r>
          </w:p>
          <w:p w14:paraId="57F096D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+600,00 EUR</w:t>
            </w:r>
            <w:r w:rsidRPr="00B73FDB">
              <w:rPr>
                <w:rFonts w:cs="Calibri"/>
                <w:sz w:val="18"/>
                <w:szCs w:val="18"/>
                <w:lang w:eastAsia="sk-SK"/>
              </w:rPr>
              <w:t xml:space="preserve"> nenormatívne finančné prostriedky na lyžiarske kurzy,</w:t>
            </w:r>
          </w:p>
          <w:p w14:paraId="43D7E07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+400,00 EUR</w:t>
            </w:r>
            <w:r w:rsidRPr="00B73FDB">
              <w:rPr>
                <w:rFonts w:cs="Calibri"/>
                <w:sz w:val="18"/>
                <w:szCs w:val="18"/>
                <w:lang w:eastAsia="sk-SK"/>
              </w:rPr>
              <w:t xml:space="preserve"> príspevok na strojársku olympiádu zo STU,</w:t>
            </w:r>
          </w:p>
          <w:p w14:paraId="4BCC1D8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+116 747,46 EUR</w:t>
            </w:r>
            <w:r w:rsidRPr="00B73FDB">
              <w:rPr>
                <w:rFonts w:cs="Calibri"/>
                <w:sz w:val="18"/>
                <w:szCs w:val="18"/>
                <w:lang w:eastAsia="sk-SK"/>
              </w:rPr>
              <w:t xml:space="preserve"> navýšenie rozpočtu projektového účtu.</w:t>
            </w:r>
          </w:p>
        </w:tc>
      </w:tr>
      <w:tr w:rsidR="00B73FDB" w:rsidRPr="00B73FDB" w14:paraId="5B138CDA" w14:textId="77777777" w:rsidTr="00B73FDB">
        <w:trPr>
          <w:tblCellSpacing w:w="15" w:type="dxa"/>
        </w:trPr>
        <w:tc>
          <w:tcPr>
            <w:tcW w:w="242" w:type="pct"/>
            <w:shd w:val="clear" w:color="auto" w:fill="D9D9D9"/>
            <w:noWrap/>
            <w:vAlign w:val="center"/>
            <w:hideMark/>
          </w:tcPr>
          <w:p w14:paraId="67C2E54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314" w:type="pct"/>
            <w:shd w:val="clear" w:color="auto" w:fill="D9D9D9"/>
            <w:vAlign w:val="center"/>
            <w:hideMark/>
          </w:tcPr>
          <w:p w14:paraId="3AE3930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478BC45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844 467,74</w:t>
            </w:r>
            <w:r w:rsidRPr="00B73FDB">
              <w:rPr>
                <w:rFonts w:cs="Calibri"/>
                <w:sz w:val="18"/>
                <w:szCs w:val="18"/>
                <w:lang w:eastAsia="sk-SK"/>
              </w:rPr>
              <w:t xml:space="preserve"> </w:t>
            </w:r>
          </w:p>
        </w:tc>
        <w:tc>
          <w:tcPr>
            <w:tcW w:w="565" w:type="pct"/>
            <w:shd w:val="clear" w:color="auto" w:fill="D9D9D9"/>
            <w:noWrap/>
            <w:vAlign w:val="center"/>
            <w:hideMark/>
          </w:tcPr>
          <w:p w14:paraId="57F806C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991 666,20</w:t>
            </w:r>
            <w:r w:rsidRPr="00B73FDB">
              <w:rPr>
                <w:rFonts w:cs="Calibri"/>
                <w:sz w:val="18"/>
                <w:szCs w:val="18"/>
                <w:lang w:eastAsia="sk-SK"/>
              </w:rPr>
              <w:t xml:space="preserve"> </w:t>
            </w:r>
          </w:p>
        </w:tc>
        <w:tc>
          <w:tcPr>
            <w:tcW w:w="491" w:type="pct"/>
            <w:shd w:val="clear" w:color="auto" w:fill="D9D9D9"/>
            <w:noWrap/>
            <w:vAlign w:val="center"/>
            <w:hideMark/>
          </w:tcPr>
          <w:p w14:paraId="612A1EC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847 608,98</w:t>
            </w:r>
            <w:r w:rsidRPr="00B73FDB">
              <w:rPr>
                <w:rFonts w:cs="Calibri"/>
                <w:sz w:val="18"/>
                <w:szCs w:val="18"/>
                <w:lang w:eastAsia="sk-SK"/>
              </w:rPr>
              <w:t xml:space="preserve"> </w:t>
            </w:r>
          </w:p>
        </w:tc>
        <w:tc>
          <w:tcPr>
            <w:tcW w:w="565" w:type="pct"/>
            <w:shd w:val="clear" w:color="auto" w:fill="D9D9D9"/>
            <w:noWrap/>
            <w:vAlign w:val="center"/>
            <w:hideMark/>
          </w:tcPr>
          <w:p w14:paraId="27EC4BA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85,47</w:t>
            </w:r>
            <w:r w:rsidRPr="00B73FDB">
              <w:rPr>
                <w:rFonts w:cs="Calibri"/>
                <w:sz w:val="18"/>
                <w:szCs w:val="18"/>
                <w:lang w:eastAsia="sk-SK"/>
              </w:rPr>
              <w:t xml:space="preserve"> </w:t>
            </w:r>
          </w:p>
        </w:tc>
        <w:tc>
          <w:tcPr>
            <w:tcW w:w="1135" w:type="pct"/>
            <w:vMerge/>
            <w:shd w:val="clear" w:color="auto" w:fill="D9D9D9"/>
            <w:vAlign w:val="center"/>
            <w:hideMark/>
          </w:tcPr>
          <w:p w14:paraId="2F1F33D0"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0EC95BFE" w14:textId="77777777" w:rsidTr="00B73FDB">
        <w:trPr>
          <w:tblCellSpacing w:w="15" w:type="dxa"/>
        </w:trPr>
        <w:tc>
          <w:tcPr>
            <w:tcW w:w="242" w:type="pct"/>
            <w:shd w:val="clear" w:color="auto" w:fill="EFEFEF"/>
            <w:noWrap/>
            <w:vAlign w:val="center"/>
            <w:hideMark/>
          </w:tcPr>
          <w:p w14:paraId="180F5C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314" w:type="pct"/>
            <w:shd w:val="clear" w:color="auto" w:fill="EFEFEF"/>
            <w:vAlign w:val="center"/>
            <w:hideMark/>
          </w:tcPr>
          <w:p w14:paraId="2055501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03EE52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556 850,00 </w:t>
            </w:r>
          </w:p>
        </w:tc>
        <w:tc>
          <w:tcPr>
            <w:tcW w:w="565" w:type="pct"/>
            <w:shd w:val="clear" w:color="auto" w:fill="EFEFEF"/>
            <w:noWrap/>
            <w:vAlign w:val="center"/>
            <w:hideMark/>
          </w:tcPr>
          <w:p w14:paraId="68EC6C0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558 937,75 </w:t>
            </w:r>
          </w:p>
        </w:tc>
        <w:tc>
          <w:tcPr>
            <w:tcW w:w="491" w:type="pct"/>
            <w:shd w:val="clear" w:color="auto" w:fill="EFEFEF"/>
            <w:noWrap/>
            <w:vAlign w:val="center"/>
            <w:hideMark/>
          </w:tcPr>
          <w:p w14:paraId="50F825C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551 853,55 </w:t>
            </w:r>
          </w:p>
        </w:tc>
        <w:tc>
          <w:tcPr>
            <w:tcW w:w="565" w:type="pct"/>
            <w:shd w:val="clear" w:color="auto" w:fill="EFEFEF"/>
            <w:noWrap/>
            <w:vAlign w:val="center"/>
            <w:hideMark/>
          </w:tcPr>
          <w:p w14:paraId="5ACEEF3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98,73 </w:t>
            </w:r>
          </w:p>
        </w:tc>
        <w:tc>
          <w:tcPr>
            <w:tcW w:w="1135" w:type="pct"/>
            <w:vMerge/>
            <w:shd w:val="clear" w:color="auto" w:fill="EFEFEF"/>
            <w:vAlign w:val="center"/>
            <w:hideMark/>
          </w:tcPr>
          <w:p w14:paraId="4FBC8865" w14:textId="77777777" w:rsidR="00B73FDB" w:rsidRPr="00B73FDB" w:rsidRDefault="00B73FDB" w:rsidP="00B73FDB">
            <w:pPr>
              <w:spacing w:after="0" w:line="240" w:lineRule="auto"/>
              <w:rPr>
                <w:rFonts w:cs="Calibri"/>
                <w:sz w:val="18"/>
                <w:szCs w:val="18"/>
                <w:lang w:eastAsia="sk-SK"/>
              </w:rPr>
            </w:pPr>
          </w:p>
        </w:tc>
      </w:tr>
      <w:tr w:rsidR="00B73FDB" w:rsidRPr="00B73FDB" w14:paraId="396F6901" w14:textId="77777777" w:rsidTr="00B73FDB">
        <w:trPr>
          <w:tblCellSpacing w:w="15" w:type="dxa"/>
        </w:trPr>
        <w:tc>
          <w:tcPr>
            <w:tcW w:w="242" w:type="pct"/>
            <w:shd w:val="clear" w:color="auto" w:fill="EFEFEF"/>
            <w:noWrap/>
            <w:vAlign w:val="center"/>
            <w:hideMark/>
          </w:tcPr>
          <w:p w14:paraId="5DDAD5D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314" w:type="pct"/>
            <w:shd w:val="clear" w:color="auto" w:fill="EFEFEF"/>
            <w:vAlign w:val="center"/>
            <w:hideMark/>
          </w:tcPr>
          <w:p w14:paraId="2F49BC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3AC2BB2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195 350,00 </w:t>
            </w:r>
          </w:p>
        </w:tc>
        <w:tc>
          <w:tcPr>
            <w:tcW w:w="565" w:type="pct"/>
            <w:shd w:val="clear" w:color="auto" w:fill="EFEFEF"/>
            <w:noWrap/>
            <w:vAlign w:val="center"/>
            <w:hideMark/>
          </w:tcPr>
          <w:p w14:paraId="5B9231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196 524,25 </w:t>
            </w:r>
          </w:p>
        </w:tc>
        <w:tc>
          <w:tcPr>
            <w:tcW w:w="491" w:type="pct"/>
            <w:shd w:val="clear" w:color="auto" w:fill="EFEFEF"/>
            <w:noWrap/>
            <w:vAlign w:val="center"/>
            <w:hideMark/>
          </w:tcPr>
          <w:p w14:paraId="12881B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186 795,78 </w:t>
            </w:r>
          </w:p>
        </w:tc>
        <w:tc>
          <w:tcPr>
            <w:tcW w:w="565" w:type="pct"/>
            <w:shd w:val="clear" w:color="auto" w:fill="EFEFEF"/>
            <w:noWrap/>
            <w:vAlign w:val="center"/>
            <w:hideMark/>
          </w:tcPr>
          <w:p w14:paraId="0A96C7E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95,05 </w:t>
            </w:r>
          </w:p>
        </w:tc>
        <w:tc>
          <w:tcPr>
            <w:tcW w:w="1135" w:type="pct"/>
            <w:vMerge/>
            <w:shd w:val="clear" w:color="auto" w:fill="EFEFEF"/>
            <w:vAlign w:val="center"/>
            <w:hideMark/>
          </w:tcPr>
          <w:p w14:paraId="55806354" w14:textId="77777777" w:rsidR="00B73FDB" w:rsidRPr="00B73FDB" w:rsidRDefault="00B73FDB" w:rsidP="00B73FDB">
            <w:pPr>
              <w:spacing w:after="0" w:line="240" w:lineRule="auto"/>
              <w:rPr>
                <w:rFonts w:cs="Calibri"/>
                <w:sz w:val="18"/>
                <w:szCs w:val="18"/>
                <w:lang w:eastAsia="sk-SK"/>
              </w:rPr>
            </w:pPr>
          </w:p>
        </w:tc>
      </w:tr>
      <w:tr w:rsidR="00B73FDB" w:rsidRPr="00B73FDB" w14:paraId="38C5993C" w14:textId="77777777" w:rsidTr="00B73FDB">
        <w:trPr>
          <w:tblCellSpacing w:w="15" w:type="dxa"/>
        </w:trPr>
        <w:tc>
          <w:tcPr>
            <w:tcW w:w="242" w:type="pct"/>
            <w:shd w:val="clear" w:color="auto" w:fill="EFEFEF"/>
            <w:noWrap/>
            <w:vAlign w:val="center"/>
            <w:hideMark/>
          </w:tcPr>
          <w:p w14:paraId="021C1CE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314" w:type="pct"/>
            <w:shd w:val="clear" w:color="auto" w:fill="EFEFEF"/>
            <w:vAlign w:val="center"/>
            <w:hideMark/>
          </w:tcPr>
          <w:p w14:paraId="0B8CFBE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3AA93CD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91 267,74 </w:t>
            </w:r>
          </w:p>
        </w:tc>
        <w:tc>
          <w:tcPr>
            <w:tcW w:w="565" w:type="pct"/>
            <w:shd w:val="clear" w:color="auto" w:fill="EFEFEF"/>
            <w:noWrap/>
            <w:vAlign w:val="center"/>
            <w:hideMark/>
          </w:tcPr>
          <w:p w14:paraId="098FE61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232 990,31 </w:t>
            </w:r>
          </w:p>
        </w:tc>
        <w:tc>
          <w:tcPr>
            <w:tcW w:w="491" w:type="pct"/>
            <w:shd w:val="clear" w:color="auto" w:fill="EFEFEF"/>
            <w:noWrap/>
            <w:vAlign w:val="center"/>
            <w:hideMark/>
          </w:tcPr>
          <w:p w14:paraId="707B547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105 745,76 </w:t>
            </w:r>
          </w:p>
        </w:tc>
        <w:tc>
          <w:tcPr>
            <w:tcW w:w="565" w:type="pct"/>
            <w:shd w:val="clear" w:color="auto" w:fill="EFEFEF"/>
            <w:noWrap/>
            <w:vAlign w:val="center"/>
            <w:hideMark/>
          </w:tcPr>
          <w:p w14:paraId="4664AEC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45,39 </w:t>
            </w:r>
          </w:p>
        </w:tc>
        <w:tc>
          <w:tcPr>
            <w:tcW w:w="1135" w:type="pct"/>
            <w:vMerge/>
            <w:shd w:val="clear" w:color="auto" w:fill="EFEFEF"/>
            <w:vAlign w:val="center"/>
            <w:hideMark/>
          </w:tcPr>
          <w:p w14:paraId="1F91D5D9" w14:textId="77777777" w:rsidR="00B73FDB" w:rsidRPr="00B73FDB" w:rsidRDefault="00B73FDB" w:rsidP="00B73FDB">
            <w:pPr>
              <w:spacing w:after="0" w:line="240" w:lineRule="auto"/>
              <w:rPr>
                <w:rFonts w:cs="Calibri"/>
                <w:sz w:val="18"/>
                <w:szCs w:val="18"/>
                <w:lang w:eastAsia="sk-SK"/>
              </w:rPr>
            </w:pPr>
          </w:p>
        </w:tc>
      </w:tr>
      <w:tr w:rsidR="00B73FDB" w:rsidRPr="00B73FDB" w14:paraId="20C50851" w14:textId="77777777" w:rsidTr="00B73FDB">
        <w:trPr>
          <w:tblCellSpacing w:w="15" w:type="dxa"/>
        </w:trPr>
        <w:tc>
          <w:tcPr>
            <w:tcW w:w="242" w:type="pct"/>
            <w:shd w:val="clear" w:color="auto" w:fill="EFEFEF"/>
            <w:noWrap/>
            <w:vAlign w:val="center"/>
            <w:hideMark/>
          </w:tcPr>
          <w:p w14:paraId="0F945D8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314" w:type="pct"/>
            <w:shd w:val="clear" w:color="auto" w:fill="EFEFEF"/>
            <w:vAlign w:val="center"/>
            <w:hideMark/>
          </w:tcPr>
          <w:p w14:paraId="49D3D50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5E9FA1F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1 000,00 </w:t>
            </w:r>
          </w:p>
        </w:tc>
        <w:tc>
          <w:tcPr>
            <w:tcW w:w="565" w:type="pct"/>
            <w:shd w:val="clear" w:color="auto" w:fill="EFEFEF"/>
            <w:noWrap/>
            <w:vAlign w:val="center"/>
            <w:hideMark/>
          </w:tcPr>
          <w:p w14:paraId="2D1469D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3 213,89 </w:t>
            </w:r>
          </w:p>
        </w:tc>
        <w:tc>
          <w:tcPr>
            <w:tcW w:w="491" w:type="pct"/>
            <w:shd w:val="clear" w:color="auto" w:fill="EFEFEF"/>
            <w:noWrap/>
            <w:vAlign w:val="center"/>
            <w:hideMark/>
          </w:tcPr>
          <w:p w14:paraId="032CA4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3 213,89 </w:t>
            </w:r>
          </w:p>
        </w:tc>
        <w:tc>
          <w:tcPr>
            <w:tcW w:w="565" w:type="pct"/>
            <w:shd w:val="clear" w:color="auto" w:fill="EFEFEF"/>
            <w:noWrap/>
            <w:vAlign w:val="center"/>
            <w:hideMark/>
          </w:tcPr>
          <w:p w14:paraId="62A570C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7FE574F6" w14:textId="77777777" w:rsidR="00B73FDB" w:rsidRPr="00B73FDB" w:rsidRDefault="00B73FDB" w:rsidP="00B73FDB">
            <w:pPr>
              <w:spacing w:after="0" w:line="240" w:lineRule="auto"/>
              <w:rPr>
                <w:rFonts w:cs="Calibri"/>
                <w:sz w:val="18"/>
                <w:szCs w:val="18"/>
                <w:lang w:eastAsia="sk-SK"/>
              </w:rPr>
            </w:pPr>
          </w:p>
        </w:tc>
      </w:tr>
    </w:tbl>
    <w:p w14:paraId="41DCC426"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27E45C4F" w14:textId="77777777" w:rsidTr="00B73FDB">
        <w:trPr>
          <w:tblCellSpacing w:w="15" w:type="dxa"/>
        </w:trPr>
        <w:tc>
          <w:tcPr>
            <w:tcW w:w="0" w:type="auto"/>
            <w:shd w:val="clear" w:color="auto" w:fill="C2D69B"/>
            <w:vAlign w:val="center"/>
            <w:hideMark/>
          </w:tcPr>
          <w:p w14:paraId="4D5DAC8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DB0EF9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5F2CE79D" w14:textId="77777777" w:rsidTr="00B73FDB">
        <w:trPr>
          <w:tblCellSpacing w:w="15" w:type="dxa"/>
        </w:trPr>
        <w:tc>
          <w:tcPr>
            <w:tcW w:w="0" w:type="auto"/>
            <w:shd w:val="clear" w:color="auto" w:fill="C2D69B"/>
            <w:vAlign w:val="center"/>
            <w:hideMark/>
          </w:tcPr>
          <w:p w14:paraId="7EB5FE1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6E2A05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06879CC0" w14:textId="77777777" w:rsidTr="00B73FDB">
        <w:trPr>
          <w:tblCellSpacing w:w="15" w:type="dxa"/>
        </w:trPr>
        <w:tc>
          <w:tcPr>
            <w:tcW w:w="0" w:type="auto"/>
            <w:shd w:val="clear" w:color="auto" w:fill="C2D69B"/>
            <w:vAlign w:val="center"/>
            <w:hideMark/>
          </w:tcPr>
          <w:p w14:paraId="58BE67F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BA7918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EB21A7B" w14:textId="77777777" w:rsidTr="00B73FDB">
        <w:trPr>
          <w:tblCellSpacing w:w="15" w:type="dxa"/>
        </w:trPr>
        <w:tc>
          <w:tcPr>
            <w:tcW w:w="0" w:type="auto"/>
            <w:shd w:val="clear" w:color="auto" w:fill="C2D69B"/>
            <w:vAlign w:val="center"/>
            <w:hideMark/>
          </w:tcPr>
          <w:p w14:paraId="1B95330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5D2DBF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54CB54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AD3EB0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EECD4F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FAE2C7A" w14:textId="77777777" w:rsidTr="00B73FDB">
        <w:trPr>
          <w:tblCellSpacing w:w="15" w:type="dxa"/>
        </w:trPr>
        <w:tc>
          <w:tcPr>
            <w:tcW w:w="0" w:type="auto"/>
            <w:shd w:val="clear" w:color="auto" w:fill="C2D69B"/>
            <w:vAlign w:val="center"/>
            <w:hideMark/>
          </w:tcPr>
          <w:p w14:paraId="11AEE75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DED6B1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229 </w:t>
            </w:r>
          </w:p>
        </w:tc>
        <w:tc>
          <w:tcPr>
            <w:tcW w:w="0" w:type="auto"/>
            <w:shd w:val="clear" w:color="auto" w:fill="C2D69B"/>
            <w:noWrap/>
            <w:vAlign w:val="center"/>
            <w:hideMark/>
          </w:tcPr>
          <w:p w14:paraId="1832289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242 </w:t>
            </w:r>
          </w:p>
        </w:tc>
        <w:tc>
          <w:tcPr>
            <w:tcW w:w="0" w:type="auto"/>
            <w:shd w:val="clear" w:color="auto" w:fill="C2D69B"/>
            <w:vAlign w:val="center"/>
            <w:hideMark/>
          </w:tcPr>
          <w:p w14:paraId="574B535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FC9E6F4"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F3EE47C" w14:textId="77777777" w:rsidTr="00B73FDB">
        <w:trPr>
          <w:tblCellSpacing w:w="15" w:type="dxa"/>
        </w:trPr>
        <w:tc>
          <w:tcPr>
            <w:tcW w:w="0" w:type="auto"/>
            <w:shd w:val="clear" w:color="auto" w:fill="C2D69B"/>
            <w:vAlign w:val="center"/>
            <w:hideMark/>
          </w:tcPr>
          <w:p w14:paraId="57ED3EA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38A648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76B9564" w14:textId="77777777" w:rsidTr="00B73FDB">
        <w:trPr>
          <w:tblCellSpacing w:w="15" w:type="dxa"/>
        </w:trPr>
        <w:tc>
          <w:tcPr>
            <w:tcW w:w="0" w:type="auto"/>
            <w:shd w:val="clear" w:color="auto" w:fill="C2D69B"/>
            <w:vAlign w:val="center"/>
            <w:hideMark/>
          </w:tcPr>
          <w:p w14:paraId="1AD03C4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1A5DB8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2E341B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35D50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DDA368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809333D" w14:textId="77777777" w:rsidTr="00B73FDB">
        <w:trPr>
          <w:tblCellSpacing w:w="15" w:type="dxa"/>
        </w:trPr>
        <w:tc>
          <w:tcPr>
            <w:tcW w:w="0" w:type="auto"/>
            <w:shd w:val="clear" w:color="auto" w:fill="C2D69B"/>
            <w:vAlign w:val="center"/>
            <w:hideMark/>
          </w:tcPr>
          <w:p w14:paraId="554EF2D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0C645C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229 </w:t>
            </w:r>
          </w:p>
        </w:tc>
        <w:tc>
          <w:tcPr>
            <w:tcW w:w="0" w:type="auto"/>
            <w:shd w:val="clear" w:color="auto" w:fill="C2D69B"/>
            <w:noWrap/>
            <w:vAlign w:val="center"/>
            <w:hideMark/>
          </w:tcPr>
          <w:p w14:paraId="61705EF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242 </w:t>
            </w:r>
          </w:p>
        </w:tc>
        <w:tc>
          <w:tcPr>
            <w:tcW w:w="0" w:type="auto"/>
            <w:shd w:val="clear" w:color="auto" w:fill="C2D69B"/>
            <w:vAlign w:val="center"/>
            <w:hideMark/>
          </w:tcPr>
          <w:p w14:paraId="2EF87BA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DAD9A68" w14:textId="77777777" w:rsidR="00B73FDB" w:rsidRPr="00B73FDB" w:rsidRDefault="00B73FDB" w:rsidP="00B73FDB">
            <w:pPr>
              <w:spacing w:after="0" w:line="240" w:lineRule="auto"/>
              <w:jc w:val="center"/>
              <w:rPr>
                <w:rFonts w:cs="Calibri"/>
                <w:sz w:val="18"/>
                <w:szCs w:val="18"/>
                <w:lang w:eastAsia="sk-SK"/>
              </w:rPr>
            </w:pPr>
          </w:p>
        </w:tc>
      </w:tr>
    </w:tbl>
    <w:p w14:paraId="73FF927C"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Zameranie študijných odborov je na strojárske odbory a špeciálne technické odbory. Škola má iba dennú formu štúdia.</w:t>
      </w:r>
    </w:p>
    <w:p w14:paraId="2EA38B6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8.3.2: SPŠ elektrotechnická, Zochova 9,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6"/>
        <w:gridCol w:w="1210"/>
        <w:gridCol w:w="1210"/>
        <w:gridCol w:w="1081"/>
        <w:gridCol w:w="1208"/>
        <w:gridCol w:w="2428"/>
      </w:tblGrid>
      <w:tr w:rsidR="00B73FDB" w:rsidRPr="00B73FDB" w14:paraId="4C856518" w14:textId="77777777" w:rsidTr="00B73FDB">
        <w:trPr>
          <w:tblCellSpacing w:w="15" w:type="dxa"/>
        </w:trPr>
        <w:tc>
          <w:tcPr>
            <w:tcW w:w="266" w:type="pct"/>
            <w:shd w:val="clear" w:color="auto" w:fill="C6DBF7"/>
            <w:vAlign w:val="center"/>
            <w:hideMark/>
          </w:tcPr>
          <w:p w14:paraId="53276E5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2AC0F8D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481725E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3B15C19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4CAFCFC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0FC3326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E707D5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3DA35CA" w14:textId="77777777" w:rsidTr="00B73FDB">
        <w:trPr>
          <w:tblCellSpacing w:w="15" w:type="dxa"/>
        </w:trPr>
        <w:tc>
          <w:tcPr>
            <w:tcW w:w="266" w:type="pct"/>
            <w:shd w:val="clear" w:color="auto" w:fill="D9D9D9"/>
            <w:noWrap/>
            <w:vAlign w:val="center"/>
            <w:hideMark/>
          </w:tcPr>
          <w:p w14:paraId="3484388A"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4F79D26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0F89DC8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1 267 110,00</w:t>
            </w:r>
            <w:r w:rsidRPr="00B73FDB">
              <w:rPr>
                <w:rFonts w:cs="Calibri"/>
                <w:sz w:val="18"/>
                <w:szCs w:val="18"/>
                <w:lang w:eastAsia="sk-SK"/>
              </w:rPr>
              <w:t xml:space="preserve"> </w:t>
            </w:r>
          </w:p>
        </w:tc>
        <w:tc>
          <w:tcPr>
            <w:tcW w:w="563" w:type="pct"/>
            <w:shd w:val="clear" w:color="auto" w:fill="D9D9D9"/>
            <w:noWrap/>
            <w:vAlign w:val="center"/>
            <w:hideMark/>
          </w:tcPr>
          <w:p w14:paraId="36DE5E2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1 212 607,23</w:t>
            </w:r>
            <w:r w:rsidRPr="00B73FDB">
              <w:rPr>
                <w:rFonts w:cs="Calibri"/>
                <w:sz w:val="18"/>
                <w:szCs w:val="18"/>
                <w:lang w:eastAsia="sk-SK"/>
              </w:rPr>
              <w:t xml:space="preserve"> </w:t>
            </w:r>
          </w:p>
        </w:tc>
        <w:tc>
          <w:tcPr>
            <w:tcW w:w="501" w:type="pct"/>
            <w:shd w:val="clear" w:color="auto" w:fill="D9D9D9"/>
            <w:noWrap/>
            <w:vAlign w:val="center"/>
            <w:hideMark/>
          </w:tcPr>
          <w:p w14:paraId="0BCF6EC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1 196 329,48</w:t>
            </w:r>
            <w:r w:rsidRPr="00B73FDB">
              <w:rPr>
                <w:rFonts w:cs="Calibri"/>
                <w:sz w:val="18"/>
                <w:szCs w:val="18"/>
                <w:lang w:eastAsia="sk-SK"/>
              </w:rPr>
              <w:t xml:space="preserve"> </w:t>
            </w:r>
          </w:p>
        </w:tc>
        <w:tc>
          <w:tcPr>
            <w:tcW w:w="562" w:type="pct"/>
            <w:shd w:val="clear" w:color="auto" w:fill="D9D9D9"/>
            <w:noWrap/>
            <w:vAlign w:val="center"/>
            <w:hideMark/>
          </w:tcPr>
          <w:p w14:paraId="2FD9123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98,66</w:t>
            </w:r>
            <w:r w:rsidRPr="00B73FDB">
              <w:rPr>
                <w:rFonts w:cs="Calibri"/>
                <w:sz w:val="18"/>
                <w:szCs w:val="18"/>
                <w:lang w:eastAsia="sk-SK"/>
              </w:rPr>
              <w:t xml:space="preserve"> </w:t>
            </w:r>
          </w:p>
        </w:tc>
        <w:tc>
          <w:tcPr>
            <w:tcW w:w="1136" w:type="pct"/>
            <w:vMerge w:val="restart"/>
            <w:shd w:val="clear" w:color="auto" w:fill="D9D9D9"/>
            <w:vAlign w:val="center"/>
            <w:hideMark/>
          </w:tcPr>
          <w:p w14:paraId="359BDC7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-72 166,00 EUR</w:t>
            </w:r>
            <w:r w:rsidRPr="00B73FDB">
              <w:rPr>
                <w:rFonts w:cs="Calibri"/>
                <w:sz w:val="18"/>
                <w:szCs w:val="18"/>
                <w:lang w:eastAsia="sk-SK"/>
              </w:rPr>
              <w:t xml:space="preserve"> normatívne finančné prostriedky,</w:t>
            </w:r>
          </w:p>
          <w:p w14:paraId="37655B9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+241,00 EUR</w:t>
            </w:r>
            <w:r w:rsidRPr="00B73FDB">
              <w:rPr>
                <w:rFonts w:cs="Calibri"/>
                <w:sz w:val="18"/>
                <w:szCs w:val="18"/>
                <w:lang w:eastAsia="sk-SK"/>
              </w:rPr>
              <w:t xml:space="preserve"> normatívne finančné prostriedky na maturity,</w:t>
            </w:r>
          </w:p>
          <w:p w14:paraId="467820C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+869,00 EUR </w:t>
            </w:r>
            <w:r w:rsidRPr="00B73FDB">
              <w:rPr>
                <w:rFonts w:cs="Calibri"/>
                <w:sz w:val="18"/>
                <w:szCs w:val="18"/>
                <w:lang w:eastAsia="sk-SK"/>
              </w:rPr>
              <w:t>nenormatívne finančné prostriedky na vzdelávacie poukazy,</w:t>
            </w:r>
          </w:p>
          <w:p w14:paraId="098D3E9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+1 639,00 EUR</w:t>
            </w:r>
            <w:r w:rsidRPr="00B73FDB">
              <w:rPr>
                <w:rFonts w:cs="Calibri"/>
                <w:sz w:val="18"/>
                <w:szCs w:val="18"/>
                <w:lang w:eastAsia="sk-SK"/>
              </w:rPr>
              <w:t xml:space="preserve"> odchodné do dôchodku,</w:t>
            </w:r>
          </w:p>
          <w:p w14:paraId="0AA7F73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+5 250,00 EUR</w:t>
            </w:r>
            <w:r w:rsidRPr="00B73FDB">
              <w:rPr>
                <w:rFonts w:cs="Calibri"/>
                <w:sz w:val="18"/>
                <w:szCs w:val="18"/>
                <w:lang w:eastAsia="sk-SK"/>
              </w:rPr>
              <w:t xml:space="preserve"> nenormatívne finančné prostriedky na lyžiarske kurzy,</w:t>
            </w:r>
          </w:p>
          <w:p w14:paraId="68C394D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+4 658,76 EUR</w:t>
            </w:r>
            <w:r w:rsidRPr="00B73FDB">
              <w:rPr>
                <w:rFonts w:cs="Calibri"/>
                <w:sz w:val="18"/>
                <w:szCs w:val="18"/>
                <w:lang w:eastAsia="sk-SK"/>
              </w:rPr>
              <w:t xml:space="preserve"> nevyčerpané finančné prostriedky z r. 2019,</w:t>
            </w:r>
          </w:p>
          <w:p w14:paraId="32325EE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+2 154,72 EUR</w:t>
            </w:r>
            <w:r w:rsidRPr="00B73FDB">
              <w:rPr>
                <w:rFonts w:cs="Calibri"/>
                <w:sz w:val="18"/>
                <w:szCs w:val="18"/>
                <w:lang w:eastAsia="sk-SK"/>
              </w:rPr>
              <w:t xml:space="preserve"> projekt z MPC,</w:t>
            </w:r>
          </w:p>
          <w:p w14:paraId="51700A2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+800,00 EUR</w:t>
            </w:r>
            <w:r w:rsidRPr="00B73FDB">
              <w:rPr>
                <w:rFonts w:cs="Calibri"/>
                <w:sz w:val="18"/>
                <w:szCs w:val="18"/>
                <w:lang w:eastAsia="sk-SK"/>
              </w:rPr>
              <w:t xml:space="preserve"> školské súťaže z OÚ,</w:t>
            </w:r>
          </w:p>
          <w:p w14:paraId="5243520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+700,00 EUR</w:t>
            </w:r>
            <w:r w:rsidRPr="00B73FDB">
              <w:rPr>
                <w:rFonts w:cs="Calibri"/>
                <w:sz w:val="18"/>
                <w:szCs w:val="18"/>
                <w:lang w:eastAsia="sk-SK"/>
              </w:rPr>
              <w:t xml:space="preserve"> navýšenie rozpočtu darovacieho účtu,</w:t>
            </w:r>
          </w:p>
          <w:p w14:paraId="7BAE2BF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+1 350,75 EUR</w:t>
            </w:r>
            <w:r w:rsidRPr="00B73FDB">
              <w:rPr>
                <w:rFonts w:cs="Calibri"/>
                <w:sz w:val="18"/>
                <w:szCs w:val="18"/>
                <w:lang w:eastAsia="sk-SK"/>
              </w:rPr>
              <w:t xml:space="preserve"> príjmy z prenájmov.</w:t>
            </w:r>
          </w:p>
        </w:tc>
      </w:tr>
      <w:tr w:rsidR="00B73FDB" w:rsidRPr="00B73FDB" w14:paraId="4DB71CF9" w14:textId="77777777" w:rsidTr="00B73FDB">
        <w:trPr>
          <w:tblCellSpacing w:w="15" w:type="dxa"/>
        </w:trPr>
        <w:tc>
          <w:tcPr>
            <w:tcW w:w="266" w:type="pct"/>
            <w:shd w:val="clear" w:color="auto" w:fill="D9D9D9"/>
            <w:noWrap/>
            <w:vAlign w:val="center"/>
            <w:hideMark/>
          </w:tcPr>
          <w:p w14:paraId="454E7F1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6F6E871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7E41999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1 267 110,00</w:t>
            </w:r>
            <w:r w:rsidRPr="00B73FDB">
              <w:rPr>
                <w:rFonts w:cs="Calibri"/>
                <w:sz w:val="18"/>
                <w:szCs w:val="18"/>
                <w:lang w:eastAsia="sk-SK"/>
              </w:rPr>
              <w:t xml:space="preserve"> </w:t>
            </w:r>
          </w:p>
        </w:tc>
        <w:tc>
          <w:tcPr>
            <w:tcW w:w="563" w:type="pct"/>
            <w:shd w:val="clear" w:color="auto" w:fill="D9D9D9"/>
            <w:noWrap/>
            <w:vAlign w:val="center"/>
            <w:hideMark/>
          </w:tcPr>
          <w:p w14:paraId="35ADB85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1 212 607,23</w:t>
            </w:r>
            <w:r w:rsidRPr="00B73FDB">
              <w:rPr>
                <w:rFonts w:cs="Calibri"/>
                <w:sz w:val="18"/>
                <w:szCs w:val="18"/>
                <w:lang w:eastAsia="sk-SK"/>
              </w:rPr>
              <w:t xml:space="preserve"> </w:t>
            </w:r>
          </w:p>
        </w:tc>
        <w:tc>
          <w:tcPr>
            <w:tcW w:w="501" w:type="pct"/>
            <w:shd w:val="clear" w:color="auto" w:fill="D9D9D9"/>
            <w:noWrap/>
            <w:vAlign w:val="center"/>
            <w:hideMark/>
          </w:tcPr>
          <w:p w14:paraId="6485483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1 196 329,48</w:t>
            </w:r>
            <w:r w:rsidRPr="00B73FDB">
              <w:rPr>
                <w:rFonts w:cs="Calibri"/>
                <w:sz w:val="18"/>
                <w:szCs w:val="18"/>
                <w:lang w:eastAsia="sk-SK"/>
              </w:rPr>
              <w:t xml:space="preserve"> </w:t>
            </w:r>
          </w:p>
        </w:tc>
        <w:tc>
          <w:tcPr>
            <w:tcW w:w="562" w:type="pct"/>
            <w:shd w:val="clear" w:color="auto" w:fill="D9D9D9"/>
            <w:noWrap/>
            <w:vAlign w:val="center"/>
            <w:hideMark/>
          </w:tcPr>
          <w:p w14:paraId="682FDCF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98,66</w:t>
            </w:r>
            <w:r w:rsidRPr="00B73FDB">
              <w:rPr>
                <w:rFonts w:cs="Calibri"/>
                <w:sz w:val="18"/>
                <w:szCs w:val="18"/>
                <w:lang w:eastAsia="sk-SK"/>
              </w:rPr>
              <w:t xml:space="preserve"> </w:t>
            </w:r>
          </w:p>
        </w:tc>
        <w:tc>
          <w:tcPr>
            <w:tcW w:w="1136" w:type="pct"/>
            <w:vMerge/>
            <w:shd w:val="clear" w:color="auto" w:fill="D9D9D9"/>
            <w:vAlign w:val="center"/>
            <w:hideMark/>
          </w:tcPr>
          <w:p w14:paraId="0F3DB78C"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74BAD745" w14:textId="77777777" w:rsidTr="00B73FDB">
        <w:trPr>
          <w:tblCellSpacing w:w="15" w:type="dxa"/>
        </w:trPr>
        <w:tc>
          <w:tcPr>
            <w:tcW w:w="266" w:type="pct"/>
            <w:shd w:val="clear" w:color="auto" w:fill="EFEFEF"/>
            <w:noWrap/>
            <w:vAlign w:val="center"/>
            <w:hideMark/>
          </w:tcPr>
          <w:p w14:paraId="04DF4F4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6" w:type="pct"/>
            <w:shd w:val="clear" w:color="auto" w:fill="EFEFEF"/>
            <w:vAlign w:val="center"/>
            <w:hideMark/>
          </w:tcPr>
          <w:p w14:paraId="05F03F7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6CBE88D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822 600,00 </w:t>
            </w:r>
          </w:p>
        </w:tc>
        <w:tc>
          <w:tcPr>
            <w:tcW w:w="563" w:type="pct"/>
            <w:shd w:val="clear" w:color="auto" w:fill="EFEFEF"/>
            <w:noWrap/>
            <w:vAlign w:val="center"/>
            <w:hideMark/>
          </w:tcPr>
          <w:p w14:paraId="6493D80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762 315,78 </w:t>
            </w:r>
          </w:p>
        </w:tc>
        <w:tc>
          <w:tcPr>
            <w:tcW w:w="501" w:type="pct"/>
            <w:shd w:val="clear" w:color="auto" w:fill="EFEFEF"/>
            <w:noWrap/>
            <w:vAlign w:val="center"/>
            <w:hideMark/>
          </w:tcPr>
          <w:p w14:paraId="16D3423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762 315,78 </w:t>
            </w:r>
          </w:p>
        </w:tc>
        <w:tc>
          <w:tcPr>
            <w:tcW w:w="562" w:type="pct"/>
            <w:shd w:val="clear" w:color="auto" w:fill="EFEFEF"/>
            <w:noWrap/>
            <w:vAlign w:val="center"/>
            <w:hideMark/>
          </w:tcPr>
          <w:p w14:paraId="419FD7E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C2A7AEE" w14:textId="77777777" w:rsidR="00B73FDB" w:rsidRPr="00B73FDB" w:rsidRDefault="00B73FDB" w:rsidP="00B73FDB">
            <w:pPr>
              <w:spacing w:after="0" w:line="240" w:lineRule="auto"/>
              <w:rPr>
                <w:rFonts w:cs="Calibri"/>
                <w:sz w:val="18"/>
                <w:szCs w:val="18"/>
                <w:lang w:eastAsia="sk-SK"/>
              </w:rPr>
            </w:pPr>
          </w:p>
        </w:tc>
      </w:tr>
      <w:tr w:rsidR="00B73FDB" w:rsidRPr="00B73FDB" w14:paraId="0B3A3E95" w14:textId="77777777" w:rsidTr="00B73FDB">
        <w:trPr>
          <w:tblCellSpacing w:w="15" w:type="dxa"/>
        </w:trPr>
        <w:tc>
          <w:tcPr>
            <w:tcW w:w="266" w:type="pct"/>
            <w:shd w:val="clear" w:color="auto" w:fill="EFEFEF"/>
            <w:noWrap/>
            <w:vAlign w:val="center"/>
            <w:hideMark/>
          </w:tcPr>
          <w:p w14:paraId="3EE177F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6" w:type="pct"/>
            <w:shd w:val="clear" w:color="auto" w:fill="EFEFEF"/>
            <w:vAlign w:val="center"/>
            <w:hideMark/>
          </w:tcPr>
          <w:p w14:paraId="6AC408F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7D99859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287 499,00 </w:t>
            </w:r>
          </w:p>
        </w:tc>
        <w:tc>
          <w:tcPr>
            <w:tcW w:w="563" w:type="pct"/>
            <w:shd w:val="clear" w:color="auto" w:fill="EFEFEF"/>
            <w:noWrap/>
            <w:vAlign w:val="center"/>
            <w:hideMark/>
          </w:tcPr>
          <w:p w14:paraId="05A7984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258 795,84 </w:t>
            </w:r>
          </w:p>
        </w:tc>
        <w:tc>
          <w:tcPr>
            <w:tcW w:w="501" w:type="pct"/>
            <w:shd w:val="clear" w:color="auto" w:fill="EFEFEF"/>
            <w:noWrap/>
            <w:vAlign w:val="center"/>
            <w:hideMark/>
          </w:tcPr>
          <w:p w14:paraId="09889C5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258 795,84 </w:t>
            </w:r>
          </w:p>
        </w:tc>
        <w:tc>
          <w:tcPr>
            <w:tcW w:w="562" w:type="pct"/>
            <w:shd w:val="clear" w:color="auto" w:fill="EFEFEF"/>
            <w:noWrap/>
            <w:vAlign w:val="center"/>
            <w:hideMark/>
          </w:tcPr>
          <w:p w14:paraId="58E2FF0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175DF986" w14:textId="77777777" w:rsidR="00B73FDB" w:rsidRPr="00B73FDB" w:rsidRDefault="00B73FDB" w:rsidP="00B73FDB">
            <w:pPr>
              <w:spacing w:after="0" w:line="240" w:lineRule="auto"/>
              <w:rPr>
                <w:rFonts w:cs="Calibri"/>
                <w:sz w:val="18"/>
                <w:szCs w:val="18"/>
                <w:lang w:eastAsia="sk-SK"/>
              </w:rPr>
            </w:pPr>
          </w:p>
        </w:tc>
      </w:tr>
      <w:tr w:rsidR="00B73FDB" w:rsidRPr="00B73FDB" w14:paraId="0B1208BE" w14:textId="77777777" w:rsidTr="00B73FDB">
        <w:trPr>
          <w:tblCellSpacing w:w="15" w:type="dxa"/>
        </w:trPr>
        <w:tc>
          <w:tcPr>
            <w:tcW w:w="266" w:type="pct"/>
            <w:shd w:val="clear" w:color="auto" w:fill="EFEFEF"/>
            <w:noWrap/>
            <w:vAlign w:val="center"/>
            <w:hideMark/>
          </w:tcPr>
          <w:p w14:paraId="547F96B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6" w:type="pct"/>
            <w:shd w:val="clear" w:color="auto" w:fill="EFEFEF"/>
            <w:vAlign w:val="center"/>
            <w:hideMark/>
          </w:tcPr>
          <w:p w14:paraId="3DC6F53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14B9A1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145 724,00 </w:t>
            </w:r>
          </w:p>
        </w:tc>
        <w:tc>
          <w:tcPr>
            <w:tcW w:w="563" w:type="pct"/>
            <w:shd w:val="clear" w:color="auto" w:fill="EFEFEF"/>
            <w:noWrap/>
            <w:vAlign w:val="center"/>
            <w:hideMark/>
          </w:tcPr>
          <w:p w14:paraId="306B505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181 130,93 </w:t>
            </w:r>
          </w:p>
        </w:tc>
        <w:tc>
          <w:tcPr>
            <w:tcW w:w="501" w:type="pct"/>
            <w:shd w:val="clear" w:color="auto" w:fill="EFEFEF"/>
            <w:noWrap/>
            <w:vAlign w:val="center"/>
            <w:hideMark/>
          </w:tcPr>
          <w:p w14:paraId="1FF6EA4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164 853,18 </w:t>
            </w:r>
          </w:p>
        </w:tc>
        <w:tc>
          <w:tcPr>
            <w:tcW w:w="562" w:type="pct"/>
            <w:shd w:val="clear" w:color="auto" w:fill="EFEFEF"/>
            <w:noWrap/>
            <w:vAlign w:val="center"/>
            <w:hideMark/>
          </w:tcPr>
          <w:p w14:paraId="5E85C41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91,01 </w:t>
            </w:r>
          </w:p>
        </w:tc>
        <w:tc>
          <w:tcPr>
            <w:tcW w:w="1136" w:type="pct"/>
            <w:vMerge/>
            <w:shd w:val="clear" w:color="auto" w:fill="EFEFEF"/>
            <w:vAlign w:val="center"/>
            <w:hideMark/>
          </w:tcPr>
          <w:p w14:paraId="4CC05F3A" w14:textId="77777777" w:rsidR="00B73FDB" w:rsidRPr="00B73FDB" w:rsidRDefault="00B73FDB" w:rsidP="00B73FDB">
            <w:pPr>
              <w:spacing w:after="0" w:line="240" w:lineRule="auto"/>
              <w:rPr>
                <w:rFonts w:cs="Calibri"/>
                <w:sz w:val="18"/>
                <w:szCs w:val="18"/>
                <w:lang w:eastAsia="sk-SK"/>
              </w:rPr>
            </w:pPr>
          </w:p>
        </w:tc>
      </w:tr>
      <w:tr w:rsidR="00B73FDB" w:rsidRPr="00B73FDB" w14:paraId="1C192BE9" w14:textId="77777777" w:rsidTr="00B73FDB">
        <w:trPr>
          <w:tblCellSpacing w:w="15" w:type="dxa"/>
        </w:trPr>
        <w:tc>
          <w:tcPr>
            <w:tcW w:w="266" w:type="pct"/>
            <w:shd w:val="clear" w:color="auto" w:fill="EFEFEF"/>
            <w:noWrap/>
            <w:vAlign w:val="center"/>
            <w:hideMark/>
          </w:tcPr>
          <w:p w14:paraId="4DE61E3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1022F35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27DEEB2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11 287,00 </w:t>
            </w:r>
          </w:p>
        </w:tc>
        <w:tc>
          <w:tcPr>
            <w:tcW w:w="563" w:type="pct"/>
            <w:shd w:val="clear" w:color="auto" w:fill="EFEFEF"/>
            <w:noWrap/>
            <w:vAlign w:val="center"/>
            <w:hideMark/>
          </w:tcPr>
          <w:p w14:paraId="2DF05C7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10 364,68 </w:t>
            </w:r>
          </w:p>
        </w:tc>
        <w:tc>
          <w:tcPr>
            <w:tcW w:w="501" w:type="pct"/>
            <w:shd w:val="clear" w:color="auto" w:fill="EFEFEF"/>
            <w:noWrap/>
            <w:vAlign w:val="center"/>
            <w:hideMark/>
          </w:tcPr>
          <w:p w14:paraId="7917E92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10 364,68 </w:t>
            </w:r>
          </w:p>
        </w:tc>
        <w:tc>
          <w:tcPr>
            <w:tcW w:w="562" w:type="pct"/>
            <w:shd w:val="clear" w:color="auto" w:fill="EFEFEF"/>
            <w:noWrap/>
            <w:vAlign w:val="center"/>
            <w:hideMark/>
          </w:tcPr>
          <w:p w14:paraId="2558E95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EFC9CD3" w14:textId="77777777" w:rsidR="00B73FDB" w:rsidRPr="00B73FDB" w:rsidRDefault="00B73FDB" w:rsidP="00B73FDB">
            <w:pPr>
              <w:spacing w:after="0" w:line="240" w:lineRule="auto"/>
              <w:rPr>
                <w:rFonts w:cs="Calibri"/>
                <w:sz w:val="18"/>
                <w:szCs w:val="18"/>
                <w:lang w:eastAsia="sk-SK"/>
              </w:rPr>
            </w:pPr>
          </w:p>
        </w:tc>
      </w:tr>
    </w:tbl>
    <w:p w14:paraId="0CB65AA5"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5D7D1518" w14:textId="77777777" w:rsidTr="00B73FDB">
        <w:trPr>
          <w:tblCellSpacing w:w="15" w:type="dxa"/>
        </w:trPr>
        <w:tc>
          <w:tcPr>
            <w:tcW w:w="0" w:type="auto"/>
            <w:shd w:val="clear" w:color="auto" w:fill="C2D69B"/>
            <w:vAlign w:val="center"/>
            <w:hideMark/>
          </w:tcPr>
          <w:p w14:paraId="4AC02CF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98A662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5E52ED21" w14:textId="77777777" w:rsidTr="00B73FDB">
        <w:trPr>
          <w:tblCellSpacing w:w="15" w:type="dxa"/>
        </w:trPr>
        <w:tc>
          <w:tcPr>
            <w:tcW w:w="0" w:type="auto"/>
            <w:shd w:val="clear" w:color="auto" w:fill="C2D69B"/>
            <w:vAlign w:val="center"/>
            <w:hideMark/>
          </w:tcPr>
          <w:p w14:paraId="229F256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E6A47D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26424820" w14:textId="77777777" w:rsidTr="00B73FDB">
        <w:trPr>
          <w:tblCellSpacing w:w="15" w:type="dxa"/>
        </w:trPr>
        <w:tc>
          <w:tcPr>
            <w:tcW w:w="0" w:type="auto"/>
            <w:shd w:val="clear" w:color="auto" w:fill="C2D69B"/>
            <w:vAlign w:val="center"/>
            <w:hideMark/>
          </w:tcPr>
          <w:p w14:paraId="2E5FE5A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FFA094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471E6D87" w14:textId="77777777" w:rsidTr="00B73FDB">
        <w:trPr>
          <w:tblCellSpacing w:w="15" w:type="dxa"/>
        </w:trPr>
        <w:tc>
          <w:tcPr>
            <w:tcW w:w="0" w:type="auto"/>
            <w:shd w:val="clear" w:color="auto" w:fill="C2D69B"/>
            <w:vAlign w:val="center"/>
            <w:hideMark/>
          </w:tcPr>
          <w:p w14:paraId="57D5C5F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F18AC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0AB5D3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924E2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717CCF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4B2F330" w14:textId="77777777" w:rsidTr="00B73FDB">
        <w:trPr>
          <w:tblCellSpacing w:w="15" w:type="dxa"/>
        </w:trPr>
        <w:tc>
          <w:tcPr>
            <w:tcW w:w="0" w:type="auto"/>
            <w:shd w:val="clear" w:color="auto" w:fill="C2D69B"/>
            <w:vAlign w:val="center"/>
            <w:hideMark/>
          </w:tcPr>
          <w:p w14:paraId="755CB96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014234D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434 </w:t>
            </w:r>
          </w:p>
        </w:tc>
        <w:tc>
          <w:tcPr>
            <w:tcW w:w="0" w:type="auto"/>
            <w:shd w:val="clear" w:color="auto" w:fill="C2D69B"/>
            <w:noWrap/>
            <w:vAlign w:val="center"/>
            <w:hideMark/>
          </w:tcPr>
          <w:p w14:paraId="63F2A07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406 </w:t>
            </w:r>
          </w:p>
        </w:tc>
        <w:tc>
          <w:tcPr>
            <w:tcW w:w="0" w:type="auto"/>
            <w:shd w:val="clear" w:color="auto" w:fill="C2D69B"/>
            <w:vAlign w:val="center"/>
            <w:hideMark/>
          </w:tcPr>
          <w:p w14:paraId="6E03703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14F5CC7F"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6386448" w14:textId="77777777" w:rsidTr="00B73FDB">
        <w:trPr>
          <w:tblCellSpacing w:w="15" w:type="dxa"/>
        </w:trPr>
        <w:tc>
          <w:tcPr>
            <w:tcW w:w="0" w:type="auto"/>
            <w:shd w:val="clear" w:color="auto" w:fill="C2D69B"/>
            <w:vAlign w:val="center"/>
            <w:hideMark/>
          </w:tcPr>
          <w:p w14:paraId="5028441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3C9F7E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02322D2F" w14:textId="77777777" w:rsidTr="00B73FDB">
        <w:trPr>
          <w:tblCellSpacing w:w="15" w:type="dxa"/>
        </w:trPr>
        <w:tc>
          <w:tcPr>
            <w:tcW w:w="0" w:type="auto"/>
            <w:shd w:val="clear" w:color="auto" w:fill="C2D69B"/>
            <w:vAlign w:val="center"/>
            <w:hideMark/>
          </w:tcPr>
          <w:p w14:paraId="1C6C18A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9FB0AE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EDEDF6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72DE41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6930BA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6EE7D7D" w14:textId="77777777" w:rsidTr="00B73FDB">
        <w:trPr>
          <w:tblCellSpacing w:w="15" w:type="dxa"/>
        </w:trPr>
        <w:tc>
          <w:tcPr>
            <w:tcW w:w="0" w:type="auto"/>
            <w:shd w:val="clear" w:color="auto" w:fill="C2D69B"/>
            <w:vAlign w:val="center"/>
            <w:hideMark/>
          </w:tcPr>
          <w:p w14:paraId="59FC03C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429700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434 </w:t>
            </w:r>
          </w:p>
        </w:tc>
        <w:tc>
          <w:tcPr>
            <w:tcW w:w="0" w:type="auto"/>
            <w:shd w:val="clear" w:color="auto" w:fill="C2D69B"/>
            <w:noWrap/>
            <w:vAlign w:val="center"/>
            <w:hideMark/>
          </w:tcPr>
          <w:p w14:paraId="34BC077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406 </w:t>
            </w:r>
          </w:p>
        </w:tc>
        <w:tc>
          <w:tcPr>
            <w:tcW w:w="0" w:type="auto"/>
            <w:shd w:val="clear" w:color="auto" w:fill="C2D69B"/>
            <w:vAlign w:val="center"/>
            <w:hideMark/>
          </w:tcPr>
          <w:p w14:paraId="2C769C1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5D5026D4" w14:textId="77777777" w:rsidR="00B73FDB" w:rsidRPr="00B73FDB" w:rsidRDefault="00B73FDB" w:rsidP="00B73FDB">
            <w:pPr>
              <w:spacing w:after="0" w:line="240" w:lineRule="auto"/>
              <w:jc w:val="center"/>
              <w:rPr>
                <w:rFonts w:cs="Calibri"/>
                <w:sz w:val="18"/>
                <w:szCs w:val="18"/>
                <w:lang w:eastAsia="sk-SK"/>
              </w:rPr>
            </w:pPr>
          </w:p>
        </w:tc>
      </w:tr>
    </w:tbl>
    <w:p w14:paraId="66510285"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 xml:space="preserve">Zameranie študijných odborov je na elektrotechniku a počítačové systémy. Škola má dennú formu štúdia a poskytuje aj vyššie odborné vzdelanie. </w:t>
      </w:r>
    </w:p>
    <w:p w14:paraId="4CDA878D"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 SPŠ elektrotechnická, K. Adlera 5,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4"/>
        <w:gridCol w:w="2734"/>
        <w:gridCol w:w="1233"/>
        <w:gridCol w:w="1147"/>
        <w:gridCol w:w="1108"/>
        <w:gridCol w:w="1212"/>
        <w:gridCol w:w="2428"/>
      </w:tblGrid>
      <w:tr w:rsidR="00B73FDB" w:rsidRPr="00B73FDB" w14:paraId="5BB743EE" w14:textId="77777777" w:rsidTr="00B73FDB">
        <w:trPr>
          <w:tblCellSpacing w:w="15" w:type="dxa"/>
        </w:trPr>
        <w:tc>
          <w:tcPr>
            <w:tcW w:w="267" w:type="pct"/>
            <w:shd w:val="clear" w:color="auto" w:fill="C6DBF7"/>
            <w:vAlign w:val="center"/>
            <w:hideMark/>
          </w:tcPr>
          <w:p w14:paraId="768F00E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67220E6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74" w:type="pct"/>
            <w:shd w:val="clear" w:color="auto" w:fill="C6DBF7"/>
            <w:vAlign w:val="center"/>
            <w:hideMark/>
          </w:tcPr>
          <w:p w14:paraId="208F950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33" w:type="pct"/>
            <w:shd w:val="clear" w:color="auto" w:fill="C6DBF7"/>
            <w:vAlign w:val="center"/>
            <w:hideMark/>
          </w:tcPr>
          <w:p w14:paraId="3F561BC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14" w:type="pct"/>
            <w:shd w:val="clear" w:color="auto" w:fill="C6DBF7"/>
            <w:vAlign w:val="center"/>
            <w:hideMark/>
          </w:tcPr>
          <w:p w14:paraId="65750F3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56D4997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3510AC8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FD5B57F" w14:textId="77777777" w:rsidTr="00B73FDB">
        <w:trPr>
          <w:tblCellSpacing w:w="15" w:type="dxa"/>
        </w:trPr>
        <w:tc>
          <w:tcPr>
            <w:tcW w:w="267" w:type="pct"/>
            <w:shd w:val="clear" w:color="auto" w:fill="D9D9D9"/>
            <w:noWrap/>
            <w:vAlign w:val="center"/>
            <w:hideMark/>
          </w:tcPr>
          <w:p w14:paraId="20B5E498"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7D0F5A9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74" w:type="pct"/>
            <w:shd w:val="clear" w:color="auto" w:fill="D9D9D9"/>
            <w:noWrap/>
            <w:vAlign w:val="center"/>
            <w:hideMark/>
          </w:tcPr>
          <w:p w14:paraId="5113DFC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1 432 502,00</w:t>
            </w:r>
            <w:r w:rsidRPr="00B73FDB">
              <w:rPr>
                <w:rFonts w:cs="Calibri"/>
                <w:sz w:val="18"/>
                <w:szCs w:val="18"/>
                <w:lang w:eastAsia="sk-SK"/>
              </w:rPr>
              <w:t xml:space="preserve"> </w:t>
            </w:r>
          </w:p>
        </w:tc>
        <w:tc>
          <w:tcPr>
            <w:tcW w:w="533" w:type="pct"/>
            <w:shd w:val="clear" w:color="auto" w:fill="D9D9D9"/>
            <w:noWrap/>
            <w:vAlign w:val="center"/>
            <w:hideMark/>
          </w:tcPr>
          <w:p w14:paraId="027C855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1 454 174,28</w:t>
            </w:r>
            <w:r w:rsidRPr="00B73FDB">
              <w:rPr>
                <w:rFonts w:cs="Calibri"/>
                <w:sz w:val="18"/>
                <w:szCs w:val="18"/>
                <w:lang w:eastAsia="sk-SK"/>
              </w:rPr>
              <w:t xml:space="preserve"> </w:t>
            </w:r>
          </w:p>
        </w:tc>
        <w:tc>
          <w:tcPr>
            <w:tcW w:w="514" w:type="pct"/>
            <w:shd w:val="clear" w:color="auto" w:fill="D9D9D9"/>
            <w:noWrap/>
            <w:vAlign w:val="center"/>
            <w:hideMark/>
          </w:tcPr>
          <w:p w14:paraId="7E13852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1 415 022,75</w:t>
            </w:r>
            <w:r w:rsidRPr="00B73FDB">
              <w:rPr>
                <w:rFonts w:cs="Calibri"/>
                <w:sz w:val="18"/>
                <w:szCs w:val="18"/>
                <w:lang w:eastAsia="sk-SK"/>
              </w:rPr>
              <w:t xml:space="preserve"> </w:t>
            </w:r>
          </w:p>
        </w:tc>
        <w:tc>
          <w:tcPr>
            <w:tcW w:w="564" w:type="pct"/>
            <w:shd w:val="clear" w:color="auto" w:fill="D9D9D9"/>
            <w:noWrap/>
            <w:vAlign w:val="center"/>
            <w:hideMark/>
          </w:tcPr>
          <w:p w14:paraId="4DE9599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97,31</w:t>
            </w:r>
            <w:r w:rsidRPr="00B73FDB">
              <w:rPr>
                <w:rFonts w:cs="Calibri"/>
                <w:sz w:val="18"/>
                <w:szCs w:val="18"/>
                <w:lang w:eastAsia="sk-SK"/>
              </w:rPr>
              <w:t xml:space="preserve"> </w:t>
            </w:r>
          </w:p>
        </w:tc>
        <w:tc>
          <w:tcPr>
            <w:tcW w:w="1136" w:type="pct"/>
            <w:vMerge w:val="restart"/>
            <w:shd w:val="clear" w:color="auto" w:fill="D9D9D9"/>
            <w:vAlign w:val="center"/>
            <w:hideMark/>
          </w:tcPr>
          <w:p w14:paraId="0C1E7D2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-29 784,00 EUR</w:t>
            </w:r>
            <w:r w:rsidRPr="00B73FDB">
              <w:rPr>
                <w:rFonts w:cs="Calibri"/>
                <w:sz w:val="18"/>
                <w:szCs w:val="18"/>
                <w:lang w:eastAsia="sk-SK"/>
              </w:rPr>
              <w:t xml:space="preserve"> normatívne finančné prostriedky,</w:t>
            </w:r>
          </w:p>
          <w:p w14:paraId="08B2FFD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+534,00 EUR</w:t>
            </w:r>
            <w:r w:rsidRPr="00B73FDB">
              <w:rPr>
                <w:rFonts w:cs="Calibri"/>
                <w:sz w:val="18"/>
                <w:szCs w:val="18"/>
                <w:lang w:eastAsia="sk-SK"/>
              </w:rPr>
              <w:t xml:space="preserve"> normatívne finančné prostriedky na maturity,</w:t>
            </w:r>
          </w:p>
          <w:p w14:paraId="560E361F"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+5 809,00 EUR</w:t>
            </w:r>
            <w:r w:rsidRPr="00B73FDB">
              <w:rPr>
                <w:rFonts w:cs="Calibri"/>
                <w:sz w:val="18"/>
                <w:szCs w:val="18"/>
                <w:lang w:eastAsia="sk-SK"/>
              </w:rPr>
              <w:t xml:space="preserve"> príspevok na rekreáciu zamestnancov,</w:t>
            </w:r>
          </w:p>
          <w:p w14:paraId="7A3F1AA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+564,00 EUR </w:t>
            </w:r>
            <w:r w:rsidRPr="00B73FDB">
              <w:rPr>
                <w:rFonts w:cs="Calibri"/>
                <w:sz w:val="18"/>
                <w:szCs w:val="18"/>
                <w:lang w:eastAsia="sk-SK"/>
              </w:rPr>
              <w:t>nenormatívne finančné prostriedky na vzdelávacie poukazy,</w:t>
            </w:r>
          </w:p>
          <w:p w14:paraId="61ED646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+2 000,00 EUR</w:t>
            </w:r>
            <w:r w:rsidRPr="00B73FDB">
              <w:rPr>
                <w:rFonts w:cs="Calibri"/>
                <w:sz w:val="18"/>
                <w:szCs w:val="18"/>
                <w:lang w:eastAsia="sk-SK"/>
              </w:rPr>
              <w:t xml:space="preserve"> nenormatívne finančné prostriedky za mimoriadne výsledky žiakov,</w:t>
            </w:r>
          </w:p>
          <w:p w14:paraId="6B30F1F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+4 691,00 EUR</w:t>
            </w:r>
            <w:r w:rsidRPr="00B73FDB">
              <w:rPr>
                <w:rFonts w:cs="Calibri"/>
                <w:sz w:val="18"/>
                <w:szCs w:val="18"/>
                <w:lang w:eastAsia="sk-SK"/>
              </w:rPr>
              <w:t xml:space="preserve"> odchodné do dôchodku,</w:t>
            </w:r>
          </w:p>
          <w:p w14:paraId="4FBFA64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+150,00 EUR</w:t>
            </w:r>
            <w:r w:rsidRPr="00B73FDB">
              <w:rPr>
                <w:rFonts w:cs="Calibri"/>
                <w:sz w:val="18"/>
                <w:szCs w:val="18"/>
                <w:lang w:eastAsia="sk-SK"/>
              </w:rPr>
              <w:t xml:space="preserve"> nenormatívne finančné prostriedky na lyžiarske kurzy,</w:t>
            </w:r>
          </w:p>
          <w:p w14:paraId="065B2DA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+272,34 EUR</w:t>
            </w:r>
            <w:r w:rsidRPr="00B73FDB">
              <w:rPr>
                <w:rFonts w:cs="Calibri"/>
                <w:sz w:val="18"/>
                <w:szCs w:val="18"/>
                <w:lang w:eastAsia="sk-SK"/>
              </w:rPr>
              <w:t xml:space="preserve"> nevyčerpané finančné prostriedky z r. 2019,</w:t>
            </w:r>
          </w:p>
          <w:p w14:paraId="72F2AE5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+600,00</w:t>
            </w:r>
            <w:r w:rsidRPr="00B73FDB">
              <w:rPr>
                <w:rFonts w:cs="Calibri"/>
                <w:sz w:val="18"/>
                <w:szCs w:val="18"/>
                <w:lang w:eastAsia="sk-SK"/>
              </w:rPr>
              <w:t xml:space="preserve"> príspevok na strojársku olympiádu zo STU,</w:t>
            </w:r>
          </w:p>
          <w:p w14:paraId="6318120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+5 160,00 EUR</w:t>
            </w:r>
            <w:r w:rsidRPr="00B73FDB">
              <w:rPr>
                <w:rFonts w:cs="Calibri"/>
                <w:sz w:val="18"/>
                <w:szCs w:val="18"/>
                <w:lang w:eastAsia="sk-SK"/>
              </w:rPr>
              <w:t xml:space="preserve"> školské súťaže z OÚ,</w:t>
            </w:r>
          </w:p>
          <w:p w14:paraId="2D798F0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+31 325,94 EUR</w:t>
            </w:r>
            <w:r w:rsidRPr="00B73FDB">
              <w:rPr>
                <w:rFonts w:cs="Calibri"/>
                <w:sz w:val="18"/>
                <w:szCs w:val="18"/>
                <w:lang w:eastAsia="sk-SK"/>
              </w:rPr>
              <w:t xml:space="preserve"> navýšenie rozpočtu projektového účtu,</w:t>
            </w:r>
          </w:p>
          <w:p w14:paraId="2B72027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+350,00 EUR</w:t>
            </w:r>
            <w:r w:rsidRPr="00B73FDB">
              <w:rPr>
                <w:rFonts w:cs="Calibri"/>
                <w:sz w:val="18"/>
                <w:szCs w:val="18"/>
                <w:lang w:eastAsia="sk-SK"/>
              </w:rPr>
              <w:t xml:space="preserve"> navýšenie rozpočtu darovacieho účtu.</w:t>
            </w:r>
          </w:p>
        </w:tc>
      </w:tr>
      <w:tr w:rsidR="00B73FDB" w:rsidRPr="00B73FDB" w14:paraId="57DE562E" w14:textId="77777777" w:rsidTr="00B73FDB">
        <w:trPr>
          <w:tblCellSpacing w:w="15" w:type="dxa"/>
        </w:trPr>
        <w:tc>
          <w:tcPr>
            <w:tcW w:w="267" w:type="pct"/>
            <w:shd w:val="clear" w:color="auto" w:fill="D9D9D9"/>
            <w:noWrap/>
            <w:vAlign w:val="center"/>
            <w:hideMark/>
          </w:tcPr>
          <w:p w14:paraId="54A0A54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31F23E7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74" w:type="pct"/>
            <w:shd w:val="clear" w:color="auto" w:fill="D9D9D9"/>
            <w:noWrap/>
            <w:vAlign w:val="center"/>
            <w:hideMark/>
          </w:tcPr>
          <w:p w14:paraId="3553E7C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1 432 502,00</w:t>
            </w:r>
            <w:r w:rsidRPr="00B73FDB">
              <w:rPr>
                <w:rFonts w:cs="Calibri"/>
                <w:sz w:val="18"/>
                <w:szCs w:val="18"/>
                <w:lang w:eastAsia="sk-SK"/>
              </w:rPr>
              <w:t xml:space="preserve"> </w:t>
            </w:r>
          </w:p>
        </w:tc>
        <w:tc>
          <w:tcPr>
            <w:tcW w:w="533" w:type="pct"/>
            <w:shd w:val="clear" w:color="auto" w:fill="D9D9D9"/>
            <w:noWrap/>
            <w:vAlign w:val="center"/>
            <w:hideMark/>
          </w:tcPr>
          <w:p w14:paraId="6EEF70C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1 454 174,28</w:t>
            </w:r>
            <w:r w:rsidRPr="00B73FDB">
              <w:rPr>
                <w:rFonts w:cs="Calibri"/>
                <w:sz w:val="18"/>
                <w:szCs w:val="18"/>
                <w:lang w:eastAsia="sk-SK"/>
              </w:rPr>
              <w:t xml:space="preserve"> </w:t>
            </w:r>
          </w:p>
        </w:tc>
        <w:tc>
          <w:tcPr>
            <w:tcW w:w="514" w:type="pct"/>
            <w:shd w:val="clear" w:color="auto" w:fill="D9D9D9"/>
            <w:noWrap/>
            <w:vAlign w:val="center"/>
            <w:hideMark/>
          </w:tcPr>
          <w:p w14:paraId="72C6073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1 415 022,75</w:t>
            </w:r>
            <w:r w:rsidRPr="00B73FDB">
              <w:rPr>
                <w:rFonts w:cs="Calibri"/>
                <w:sz w:val="18"/>
                <w:szCs w:val="18"/>
                <w:lang w:eastAsia="sk-SK"/>
              </w:rPr>
              <w:t xml:space="preserve"> </w:t>
            </w:r>
          </w:p>
        </w:tc>
        <w:tc>
          <w:tcPr>
            <w:tcW w:w="564" w:type="pct"/>
            <w:shd w:val="clear" w:color="auto" w:fill="D9D9D9"/>
            <w:noWrap/>
            <w:vAlign w:val="center"/>
            <w:hideMark/>
          </w:tcPr>
          <w:p w14:paraId="321088B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97,31</w:t>
            </w:r>
            <w:r w:rsidRPr="00B73FDB">
              <w:rPr>
                <w:rFonts w:cs="Calibri"/>
                <w:sz w:val="18"/>
                <w:szCs w:val="18"/>
                <w:lang w:eastAsia="sk-SK"/>
              </w:rPr>
              <w:t xml:space="preserve"> </w:t>
            </w:r>
          </w:p>
        </w:tc>
        <w:tc>
          <w:tcPr>
            <w:tcW w:w="1136" w:type="pct"/>
            <w:vMerge/>
            <w:shd w:val="clear" w:color="auto" w:fill="D9D9D9"/>
            <w:vAlign w:val="center"/>
            <w:hideMark/>
          </w:tcPr>
          <w:p w14:paraId="3F591744"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7684E449" w14:textId="77777777" w:rsidTr="00B73FDB">
        <w:trPr>
          <w:tblCellSpacing w:w="15" w:type="dxa"/>
        </w:trPr>
        <w:tc>
          <w:tcPr>
            <w:tcW w:w="267" w:type="pct"/>
            <w:shd w:val="clear" w:color="auto" w:fill="EFEFEF"/>
            <w:noWrap/>
            <w:vAlign w:val="center"/>
            <w:hideMark/>
          </w:tcPr>
          <w:p w14:paraId="079D11A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2FBC1A6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74" w:type="pct"/>
            <w:shd w:val="clear" w:color="auto" w:fill="EFEFEF"/>
            <w:noWrap/>
            <w:vAlign w:val="center"/>
            <w:hideMark/>
          </w:tcPr>
          <w:p w14:paraId="5E4E95B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910 176,00 </w:t>
            </w:r>
          </w:p>
        </w:tc>
        <w:tc>
          <w:tcPr>
            <w:tcW w:w="533" w:type="pct"/>
            <w:shd w:val="clear" w:color="auto" w:fill="EFEFEF"/>
            <w:noWrap/>
            <w:vAlign w:val="center"/>
            <w:hideMark/>
          </w:tcPr>
          <w:p w14:paraId="07D3AB8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910 755,14 </w:t>
            </w:r>
          </w:p>
        </w:tc>
        <w:tc>
          <w:tcPr>
            <w:tcW w:w="514" w:type="pct"/>
            <w:shd w:val="clear" w:color="auto" w:fill="EFEFEF"/>
            <w:noWrap/>
            <w:vAlign w:val="center"/>
            <w:hideMark/>
          </w:tcPr>
          <w:p w14:paraId="5E6876D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910 755,14 </w:t>
            </w:r>
          </w:p>
        </w:tc>
        <w:tc>
          <w:tcPr>
            <w:tcW w:w="564" w:type="pct"/>
            <w:shd w:val="clear" w:color="auto" w:fill="EFEFEF"/>
            <w:noWrap/>
            <w:vAlign w:val="center"/>
            <w:hideMark/>
          </w:tcPr>
          <w:p w14:paraId="68A5032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1D76ED93" w14:textId="77777777" w:rsidR="00B73FDB" w:rsidRPr="00B73FDB" w:rsidRDefault="00B73FDB" w:rsidP="00B73FDB">
            <w:pPr>
              <w:spacing w:after="0" w:line="240" w:lineRule="auto"/>
              <w:rPr>
                <w:rFonts w:cs="Calibri"/>
                <w:sz w:val="18"/>
                <w:szCs w:val="18"/>
                <w:lang w:eastAsia="sk-SK"/>
              </w:rPr>
            </w:pPr>
          </w:p>
        </w:tc>
      </w:tr>
      <w:tr w:rsidR="00B73FDB" w:rsidRPr="00B73FDB" w14:paraId="36B2ECE7" w14:textId="77777777" w:rsidTr="00B73FDB">
        <w:trPr>
          <w:tblCellSpacing w:w="15" w:type="dxa"/>
        </w:trPr>
        <w:tc>
          <w:tcPr>
            <w:tcW w:w="267" w:type="pct"/>
            <w:shd w:val="clear" w:color="auto" w:fill="EFEFEF"/>
            <w:noWrap/>
            <w:vAlign w:val="center"/>
            <w:hideMark/>
          </w:tcPr>
          <w:p w14:paraId="6336B41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44A79BA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74" w:type="pct"/>
            <w:shd w:val="clear" w:color="auto" w:fill="EFEFEF"/>
            <w:noWrap/>
            <w:vAlign w:val="center"/>
            <w:hideMark/>
          </w:tcPr>
          <w:p w14:paraId="6D0BA34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323 741,00 </w:t>
            </w:r>
          </w:p>
        </w:tc>
        <w:tc>
          <w:tcPr>
            <w:tcW w:w="533" w:type="pct"/>
            <w:shd w:val="clear" w:color="auto" w:fill="EFEFEF"/>
            <w:noWrap/>
            <w:vAlign w:val="center"/>
            <w:hideMark/>
          </w:tcPr>
          <w:p w14:paraId="7283781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310 282,49 </w:t>
            </w:r>
          </w:p>
        </w:tc>
        <w:tc>
          <w:tcPr>
            <w:tcW w:w="514" w:type="pct"/>
            <w:shd w:val="clear" w:color="auto" w:fill="EFEFEF"/>
            <w:noWrap/>
            <w:vAlign w:val="center"/>
            <w:hideMark/>
          </w:tcPr>
          <w:p w14:paraId="38A2E51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310 282,49 </w:t>
            </w:r>
          </w:p>
        </w:tc>
        <w:tc>
          <w:tcPr>
            <w:tcW w:w="564" w:type="pct"/>
            <w:shd w:val="clear" w:color="auto" w:fill="EFEFEF"/>
            <w:noWrap/>
            <w:vAlign w:val="center"/>
            <w:hideMark/>
          </w:tcPr>
          <w:p w14:paraId="5C3BA25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6D078B0" w14:textId="77777777" w:rsidR="00B73FDB" w:rsidRPr="00B73FDB" w:rsidRDefault="00B73FDB" w:rsidP="00B73FDB">
            <w:pPr>
              <w:spacing w:after="0" w:line="240" w:lineRule="auto"/>
              <w:rPr>
                <w:rFonts w:cs="Calibri"/>
                <w:sz w:val="18"/>
                <w:szCs w:val="18"/>
                <w:lang w:eastAsia="sk-SK"/>
              </w:rPr>
            </w:pPr>
          </w:p>
        </w:tc>
      </w:tr>
      <w:tr w:rsidR="00B73FDB" w:rsidRPr="00B73FDB" w14:paraId="01B4DAB9" w14:textId="77777777" w:rsidTr="00B73FDB">
        <w:trPr>
          <w:tblCellSpacing w:w="15" w:type="dxa"/>
        </w:trPr>
        <w:tc>
          <w:tcPr>
            <w:tcW w:w="267" w:type="pct"/>
            <w:shd w:val="clear" w:color="auto" w:fill="EFEFEF"/>
            <w:noWrap/>
            <w:vAlign w:val="center"/>
            <w:hideMark/>
          </w:tcPr>
          <w:p w14:paraId="0937223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2328C96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74" w:type="pct"/>
            <w:shd w:val="clear" w:color="auto" w:fill="EFEFEF"/>
            <w:noWrap/>
            <w:vAlign w:val="center"/>
            <w:hideMark/>
          </w:tcPr>
          <w:p w14:paraId="6EC39FC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195 685,00 </w:t>
            </w:r>
          </w:p>
        </w:tc>
        <w:tc>
          <w:tcPr>
            <w:tcW w:w="533" w:type="pct"/>
            <w:shd w:val="clear" w:color="auto" w:fill="EFEFEF"/>
            <w:noWrap/>
            <w:vAlign w:val="center"/>
            <w:hideMark/>
          </w:tcPr>
          <w:p w14:paraId="61D57EF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223 735,31 </w:t>
            </w:r>
          </w:p>
        </w:tc>
        <w:tc>
          <w:tcPr>
            <w:tcW w:w="514" w:type="pct"/>
            <w:shd w:val="clear" w:color="auto" w:fill="EFEFEF"/>
            <w:noWrap/>
            <w:vAlign w:val="center"/>
            <w:hideMark/>
          </w:tcPr>
          <w:p w14:paraId="5673C1E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184 583,78 </w:t>
            </w:r>
          </w:p>
        </w:tc>
        <w:tc>
          <w:tcPr>
            <w:tcW w:w="564" w:type="pct"/>
            <w:shd w:val="clear" w:color="auto" w:fill="EFEFEF"/>
            <w:noWrap/>
            <w:vAlign w:val="center"/>
            <w:hideMark/>
          </w:tcPr>
          <w:p w14:paraId="31E1EF3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82,50 </w:t>
            </w:r>
          </w:p>
        </w:tc>
        <w:tc>
          <w:tcPr>
            <w:tcW w:w="1136" w:type="pct"/>
            <w:vMerge/>
            <w:shd w:val="clear" w:color="auto" w:fill="EFEFEF"/>
            <w:vAlign w:val="center"/>
            <w:hideMark/>
          </w:tcPr>
          <w:p w14:paraId="43A3E5D4" w14:textId="77777777" w:rsidR="00B73FDB" w:rsidRPr="00B73FDB" w:rsidRDefault="00B73FDB" w:rsidP="00B73FDB">
            <w:pPr>
              <w:spacing w:after="0" w:line="240" w:lineRule="auto"/>
              <w:rPr>
                <w:rFonts w:cs="Calibri"/>
                <w:sz w:val="18"/>
                <w:szCs w:val="18"/>
                <w:lang w:eastAsia="sk-SK"/>
              </w:rPr>
            </w:pPr>
          </w:p>
        </w:tc>
      </w:tr>
      <w:tr w:rsidR="00B73FDB" w:rsidRPr="00B73FDB" w14:paraId="54127E0C" w14:textId="77777777" w:rsidTr="00B73FDB">
        <w:trPr>
          <w:tblCellSpacing w:w="15" w:type="dxa"/>
        </w:trPr>
        <w:tc>
          <w:tcPr>
            <w:tcW w:w="267" w:type="pct"/>
            <w:shd w:val="clear" w:color="auto" w:fill="EFEFEF"/>
            <w:noWrap/>
            <w:vAlign w:val="center"/>
            <w:hideMark/>
          </w:tcPr>
          <w:p w14:paraId="1237A37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7B8768F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74" w:type="pct"/>
            <w:shd w:val="clear" w:color="auto" w:fill="EFEFEF"/>
            <w:noWrap/>
            <w:vAlign w:val="center"/>
            <w:hideMark/>
          </w:tcPr>
          <w:p w14:paraId="14D2E74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2 900,00 </w:t>
            </w:r>
          </w:p>
        </w:tc>
        <w:tc>
          <w:tcPr>
            <w:tcW w:w="533" w:type="pct"/>
            <w:shd w:val="clear" w:color="auto" w:fill="EFEFEF"/>
            <w:noWrap/>
            <w:vAlign w:val="center"/>
            <w:hideMark/>
          </w:tcPr>
          <w:p w14:paraId="79FF92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9 401,34 </w:t>
            </w:r>
          </w:p>
        </w:tc>
        <w:tc>
          <w:tcPr>
            <w:tcW w:w="514" w:type="pct"/>
            <w:shd w:val="clear" w:color="auto" w:fill="EFEFEF"/>
            <w:noWrap/>
            <w:vAlign w:val="center"/>
            <w:hideMark/>
          </w:tcPr>
          <w:p w14:paraId="5C9C189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9 401,34 </w:t>
            </w:r>
          </w:p>
        </w:tc>
        <w:tc>
          <w:tcPr>
            <w:tcW w:w="564" w:type="pct"/>
            <w:shd w:val="clear" w:color="auto" w:fill="EFEFEF"/>
            <w:noWrap/>
            <w:vAlign w:val="center"/>
            <w:hideMark/>
          </w:tcPr>
          <w:p w14:paraId="6B69496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4132C73E" w14:textId="77777777" w:rsidR="00B73FDB" w:rsidRPr="00B73FDB" w:rsidRDefault="00B73FDB" w:rsidP="00B73FDB">
            <w:pPr>
              <w:spacing w:after="0" w:line="240" w:lineRule="auto"/>
              <w:rPr>
                <w:rFonts w:cs="Calibri"/>
                <w:sz w:val="18"/>
                <w:szCs w:val="18"/>
                <w:lang w:eastAsia="sk-SK"/>
              </w:rPr>
            </w:pPr>
          </w:p>
        </w:tc>
      </w:tr>
    </w:tbl>
    <w:p w14:paraId="647A7B1B"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137488F3" w14:textId="77777777" w:rsidTr="00B73FDB">
        <w:trPr>
          <w:tblCellSpacing w:w="15" w:type="dxa"/>
        </w:trPr>
        <w:tc>
          <w:tcPr>
            <w:tcW w:w="0" w:type="auto"/>
            <w:shd w:val="clear" w:color="auto" w:fill="C2D69B"/>
            <w:vAlign w:val="center"/>
            <w:hideMark/>
          </w:tcPr>
          <w:p w14:paraId="49D1B87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D9E782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7B516809" w14:textId="77777777" w:rsidTr="00B73FDB">
        <w:trPr>
          <w:tblCellSpacing w:w="15" w:type="dxa"/>
        </w:trPr>
        <w:tc>
          <w:tcPr>
            <w:tcW w:w="0" w:type="auto"/>
            <w:shd w:val="clear" w:color="auto" w:fill="C2D69B"/>
            <w:vAlign w:val="center"/>
            <w:hideMark/>
          </w:tcPr>
          <w:p w14:paraId="78B693C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F4F969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78BCB476" w14:textId="77777777" w:rsidTr="00B73FDB">
        <w:trPr>
          <w:tblCellSpacing w:w="15" w:type="dxa"/>
        </w:trPr>
        <w:tc>
          <w:tcPr>
            <w:tcW w:w="0" w:type="auto"/>
            <w:shd w:val="clear" w:color="auto" w:fill="C2D69B"/>
            <w:vAlign w:val="center"/>
            <w:hideMark/>
          </w:tcPr>
          <w:p w14:paraId="7D11162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38BE42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00F73427" w14:textId="77777777" w:rsidTr="00B73FDB">
        <w:trPr>
          <w:tblCellSpacing w:w="15" w:type="dxa"/>
        </w:trPr>
        <w:tc>
          <w:tcPr>
            <w:tcW w:w="0" w:type="auto"/>
            <w:shd w:val="clear" w:color="auto" w:fill="C2D69B"/>
            <w:vAlign w:val="center"/>
            <w:hideMark/>
          </w:tcPr>
          <w:p w14:paraId="7A63FC3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8CFB2C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30B672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781D0C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A32912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CA52611" w14:textId="77777777" w:rsidTr="00B73FDB">
        <w:trPr>
          <w:tblCellSpacing w:w="15" w:type="dxa"/>
        </w:trPr>
        <w:tc>
          <w:tcPr>
            <w:tcW w:w="0" w:type="auto"/>
            <w:shd w:val="clear" w:color="auto" w:fill="C2D69B"/>
            <w:vAlign w:val="center"/>
            <w:hideMark/>
          </w:tcPr>
          <w:p w14:paraId="26986B7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05EE5D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429 </w:t>
            </w:r>
          </w:p>
        </w:tc>
        <w:tc>
          <w:tcPr>
            <w:tcW w:w="0" w:type="auto"/>
            <w:shd w:val="clear" w:color="auto" w:fill="C2D69B"/>
            <w:noWrap/>
            <w:vAlign w:val="center"/>
            <w:hideMark/>
          </w:tcPr>
          <w:p w14:paraId="13A4E80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408 </w:t>
            </w:r>
          </w:p>
        </w:tc>
        <w:tc>
          <w:tcPr>
            <w:tcW w:w="0" w:type="auto"/>
            <w:shd w:val="clear" w:color="auto" w:fill="C2D69B"/>
            <w:vAlign w:val="center"/>
            <w:hideMark/>
          </w:tcPr>
          <w:p w14:paraId="386702A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2DDA8E4"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3A4E278D" w14:textId="77777777" w:rsidTr="00B73FDB">
        <w:trPr>
          <w:tblCellSpacing w:w="15" w:type="dxa"/>
        </w:trPr>
        <w:tc>
          <w:tcPr>
            <w:tcW w:w="0" w:type="auto"/>
            <w:shd w:val="clear" w:color="auto" w:fill="C2D69B"/>
            <w:vAlign w:val="center"/>
            <w:hideMark/>
          </w:tcPr>
          <w:p w14:paraId="16B241F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F98F72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FF37E43" w14:textId="77777777" w:rsidTr="00B73FDB">
        <w:trPr>
          <w:tblCellSpacing w:w="15" w:type="dxa"/>
        </w:trPr>
        <w:tc>
          <w:tcPr>
            <w:tcW w:w="0" w:type="auto"/>
            <w:shd w:val="clear" w:color="auto" w:fill="C2D69B"/>
            <w:vAlign w:val="center"/>
            <w:hideMark/>
          </w:tcPr>
          <w:p w14:paraId="63500F4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1672CC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E2E80A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90B3C4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F14119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A85F34A" w14:textId="77777777" w:rsidTr="00B73FDB">
        <w:trPr>
          <w:tblCellSpacing w:w="15" w:type="dxa"/>
        </w:trPr>
        <w:tc>
          <w:tcPr>
            <w:tcW w:w="0" w:type="auto"/>
            <w:shd w:val="clear" w:color="auto" w:fill="C2D69B"/>
            <w:vAlign w:val="center"/>
            <w:hideMark/>
          </w:tcPr>
          <w:p w14:paraId="5B3F90D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0A4E41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404 </w:t>
            </w:r>
          </w:p>
        </w:tc>
        <w:tc>
          <w:tcPr>
            <w:tcW w:w="0" w:type="auto"/>
            <w:shd w:val="clear" w:color="auto" w:fill="C2D69B"/>
            <w:noWrap/>
            <w:vAlign w:val="center"/>
            <w:hideMark/>
          </w:tcPr>
          <w:p w14:paraId="40CF51F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369 </w:t>
            </w:r>
          </w:p>
        </w:tc>
        <w:tc>
          <w:tcPr>
            <w:tcW w:w="0" w:type="auto"/>
            <w:shd w:val="clear" w:color="auto" w:fill="C2D69B"/>
            <w:vAlign w:val="center"/>
            <w:hideMark/>
          </w:tcPr>
          <w:p w14:paraId="6C8799F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292A6589" w14:textId="77777777" w:rsidR="00B73FDB" w:rsidRPr="00B73FDB" w:rsidRDefault="00B73FDB" w:rsidP="00B73FDB">
            <w:pPr>
              <w:spacing w:after="0" w:line="240" w:lineRule="auto"/>
              <w:jc w:val="center"/>
              <w:rPr>
                <w:rFonts w:cs="Calibri"/>
                <w:sz w:val="18"/>
                <w:szCs w:val="18"/>
                <w:lang w:eastAsia="sk-SK"/>
              </w:rPr>
            </w:pPr>
          </w:p>
        </w:tc>
      </w:tr>
    </w:tbl>
    <w:p w14:paraId="5FD33266"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na elektrotechniku v dennej forme štúdia a pomaturitné štúdium. </w:t>
      </w:r>
    </w:p>
    <w:p w14:paraId="44416F10"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8.3.4: SPŠ elektrotechnická, </w:t>
      </w:r>
      <w:proofErr w:type="spellStart"/>
      <w:r w:rsidRPr="00352CED">
        <w:rPr>
          <w:rFonts w:ascii="Calibri" w:hAnsi="Calibri" w:cs="Calibri"/>
          <w:b/>
          <w:color w:val="244061"/>
        </w:rPr>
        <w:t>Hálova</w:t>
      </w:r>
      <w:proofErr w:type="spellEnd"/>
      <w:r w:rsidRPr="00352CED">
        <w:rPr>
          <w:rFonts w:ascii="Calibri" w:hAnsi="Calibri" w:cs="Calibri"/>
          <w:b/>
          <w:color w:val="244061"/>
        </w:rPr>
        <w:t xml:space="preserve"> 16,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30"/>
        <w:gridCol w:w="1210"/>
        <w:gridCol w:w="1208"/>
        <w:gridCol w:w="1081"/>
        <w:gridCol w:w="1206"/>
        <w:gridCol w:w="2428"/>
      </w:tblGrid>
      <w:tr w:rsidR="00B73FDB" w:rsidRPr="00B73FDB" w14:paraId="2CA08009" w14:textId="77777777" w:rsidTr="00B73FDB">
        <w:trPr>
          <w:tblCellSpacing w:w="15" w:type="dxa"/>
        </w:trPr>
        <w:tc>
          <w:tcPr>
            <w:tcW w:w="266" w:type="pct"/>
            <w:shd w:val="clear" w:color="auto" w:fill="C6DBF7"/>
            <w:vAlign w:val="center"/>
            <w:hideMark/>
          </w:tcPr>
          <w:p w14:paraId="1D4E83E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68269BD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2C34808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2" w:type="pct"/>
            <w:shd w:val="clear" w:color="auto" w:fill="C6DBF7"/>
            <w:vAlign w:val="center"/>
            <w:hideMark/>
          </w:tcPr>
          <w:p w14:paraId="7533D8E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61157E5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1" w:type="pct"/>
            <w:shd w:val="clear" w:color="auto" w:fill="C6DBF7"/>
            <w:vAlign w:val="center"/>
            <w:hideMark/>
          </w:tcPr>
          <w:p w14:paraId="109CE13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6D77EBD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5835ECE" w14:textId="77777777" w:rsidTr="00B73FDB">
        <w:trPr>
          <w:tblCellSpacing w:w="15" w:type="dxa"/>
        </w:trPr>
        <w:tc>
          <w:tcPr>
            <w:tcW w:w="266" w:type="pct"/>
            <w:shd w:val="clear" w:color="auto" w:fill="D9D9D9"/>
            <w:noWrap/>
            <w:vAlign w:val="center"/>
            <w:hideMark/>
          </w:tcPr>
          <w:p w14:paraId="245CB1C3"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131C4D2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3FC967D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1 574 330,00</w:t>
            </w:r>
            <w:r w:rsidRPr="00B73FDB">
              <w:rPr>
                <w:rFonts w:cs="Calibri"/>
                <w:sz w:val="18"/>
                <w:szCs w:val="18"/>
                <w:lang w:eastAsia="sk-SK"/>
              </w:rPr>
              <w:t xml:space="preserve"> </w:t>
            </w:r>
          </w:p>
        </w:tc>
        <w:tc>
          <w:tcPr>
            <w:tcW w:w="562" w:type="pct"/>
            <w:shd w:val="clear" w:color="auto" w:fill="D9D9D9"/>
            <w:noWrap/>
            <w:vAlign w:val="center"/>
            <w:hideMark/>
          </w:tcPr>
          <w:p w14:paraId="2CA0F78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1 873 153,72</w:t>
            </w:r>
            <w:r w:rsidRPr="00B73FDB">
              <w:rPr>
                <w:rFonts w:cs="Calibri"/>
                <w:sz w:val="18"/>
                <w:szCs w:val="18"/>
                <w:lang w:eastAsia="sk-SK"/>
              </w:rPr>
              <w:t xml:space="preserve"> </w:t>
            </w:r>
          </w:p>
        </w:tc>
        <w:tc>
          <w:tcPr>
            <w:tcW w:w="501" w:type="pct"/>
            <w:shd w:val="clear" w:color="auto" w:fill="D9D9D9"/>
            <w:noWrap/>
            <w:vAlign w:val="center"/>
            <w:hideMark/>
          </w:tcPr>
          <w:p w14:paraId="3643A7E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1 769 772,91</w:t>
            </w:r>
            <w:r w:rsidRPr="00B73FDB">
              <w:rPr>
                <w:rFonts w:cs="Calibri"/>
                <w:sz w:val="18"/>
                <w:szCs w:val="18"/>
                <w:lang w:eastAsia="sk-SK"/>
              </w:rPr>
              <w:t xml:space="preserve"> </w:t>
            </w:r>
          </w:p>
        </w:tc>
        <w:tc>
          <w:tcPr>
            <w:tcW w:w="561" w:type="pct"/>
            <w:shd w:val="clear" w:color="auto" w:fill="D9D9D9"/>
            <w:noWrap/>
            <w:vAlign w:val="center"/>
            <w:hideMark/>
          </w:tcPr>
          <w:p w14:paraId="5C8DA19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94,48</w:t>
            </w:r>
            <w:r w:rsidRPr="00B73FDB">
              <w:rPr>
                <w:rFonts w:cs="Calibri"/>
                <w:sz w:val="18"/>
                <w:szCs w:val="18"/>
                <w:lang w:eastAsia="sk-SK"/>
              </w:rPr>
              <w:t xml:space="preserve"> </w:t>
            </w:r>
          </w:p>
        </w:tc>
        <w:tc>
          <w:tcPr>
            <w:tcW w:w="1136" w:type="pct"/>
            <w:vMerge w:val="restart"/>
            <w:shd w:val="clear" w:color="auto" w:fill="D9D9D9"/>
            <w:vAlign w:val="center"/>
            <w:hideMark/>
          </w:tcPr>
          <w:p w14:paraId="407DC33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+177 626,71 EUR</w:t>
            </w:r>
            <w:r w:rsidRPr="00B73FDB">
              <w:rPr>
                <w:rFonts w:cs="Calibri"/>
                <w:sz w:val="18"/>
                <w:szCs w:val="18"/>
                <w:lang w:eastAsia="sk-SK"/>
              </w:rPr>
              <w:t xml:space="preserve"> normatívne finančné prostriedky,</w:t>
            </w:r>
          </w:p>
          <w:p w14:paraId="33B65A1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+222,00 EUR</w:t>
            </w:r>
            <w:r w:rsidRPr="00B73FDB">
              <w:rPr>
                <w:rFonts w:cs="Calibri"/>
                <w:sz w:val="18"/>
                <w:szCs w:val="18"/>
                <w:lang w:eastAsia="sk-SK"/>
              </w:rPr>
              <w:t xml:space="preserve"> normatívne finančné prostriedky na maturity,</w:t>
            </w:r>
          </w:p>
          <w:p w14:paraId="75AAE0A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+448,00 EUR </w:t>
            </w:r>
            <w:r w:rsidRPr="00B73FDB">
              <w:rPr>
                <w:rFonts w:cs="Calibri"/>
                <w:sz w:val="18"/>
                <w:szCs w:val="18"/>
                <w:lang w:eastAsia="sk-SK"/>
              </w:rPr>
              <w:t>nenormatívne finančné prostriedky na vzdelávacie poukazy,</w:t>
            </w:r>
          </w:p>
          <w:p w14:paraId="377A08C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+3 800,00 EUR</w:t>
            </w:r>
            <w:r w:rsidRPr="00B73FDB">
              <w:rPr>
                <w:rFonts w:cs="Calibri"/>
                <w:sz w:val="18"/>
                <w:szCs w:val="18"/>
                <w:lang w:eastAsia="sk-SK"/>
              </w:rPr>
              <w:t xml:space="preserve"> nenormatívne finančné prostriedky za mimoriadne výsledky žiakov,</w:t>
            </w:r>
          </w:p>
          <w:p w14:paraId="5FB0133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+18 241,00 EUR</w:t>
            </w:r>
            <w:r w:rsidRPr="00B73FDB">
              <w:rPr>
                <w:rFonts w:cs="Calibri"/>
                <w:sz w:val="18"/>
                <w:szCs w:val="18"/>
                <w:lang w:eastAsia="sk-SK"/>
              </w:rPr>
              <w:t xml:space="preserve"> odchodné do dôchodku,</w:t>
            </w:r>
          </w:p>
          <w:p w14:paraId="00DDD2B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+3 150,00 EUR</w:t>
            </w:r>
            <w:r w:rsidRPr="00B73FDB">
              <w:rPr>
                <w:rFonts w:cs="Calibri"/>
                <w:sz w:val="18"/>
                <w:szCs w:val="18"/>
                <w:lang w:eastAsia="sk-SK"/>
              </w:rPr>
              <w:t xml:space="preserve"> nenormatívne finančné prostriedky na lyžiarske kurzy,</w:t>
            </w:r>
          </w:p>
          <w:p w14:paraId="58E87C2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+5 223,90 EUR</w:t>
            </w:r>
            <w:r w:rsidRPr="00B73FDB">
              <w:rPr>
                <w:rFonts w:cs="Calibri"/>
                <w:sz w:val="18"/>
                <w:szCs w:val="18"/>
                <w:lang w:eastAsia="sk-SK"/>
              </w:rPr>
              <w:t xml:space="preserve"> nevyčerpané finančné prostriedky z r. 2019,</w:t>
            </w:r>
          </w:p>
          <w:p w14:paraId="69EF082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+21 552,11 EUR</w:t>
            </w:r>
            <w:r w:rsidRPr="00B73FDB">
              <w:rPr>
                <w:rFonts w:cs="Calibri"/>
                <w:sz w:val="18"/>
                <w:szCs w:val="18"/>
                <w:lang w:eastAsia="sk-SK"/>
              </w:rPr>
              <w:t xml:space="preserve"> projekt z MPC,</w:t>
            </w:r>
          </w:p>
          <w:p w14:paraId="1218C9B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+360,00 EUR</w:t>
            </w:r>
            <w:r w:rsidRPr="00B73FDB">
              <w:rPr>
                <w:rFonts w:cs="Calibri"/>
                <w:sz w:val="18"/>
                <w:szCs w:val="18"/>
                <w:lang w:eastAsia="sk-SK"/>
              </w:rPr>
              <w:t xml:space="preserve"> školské súťaže z OÚ,</w:t>
            </w:r>
          </w:p>
          <w:p w14:paraId="5C001E0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+61 600,00 EUR</w:t>
            </w:r>
            <w:r w:rsidRPr="00B73FDB">
              <w:rPr>
                <w:rFonts w:cs="Calibri"/>
                <w:sz w:val="18"/>
                <w:szCs w:val="18"/>
                <w:lang w:eastAsia="sk-SK"/>
              </w:rPr>
              <w:t xml:space="preserve"> navýšenie rozpočtu projektového účtu,</w:t>
            </w:r>
          </w:p>
          <w:p w14:paraId="0B8C6EC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+6 600,00 EUR</w:t>
            </w:r>
            <w:r w:rsidRPr="00B73FDB">
              <w:rPr>
                <w:rFonts w:cs="Calibri"/>
                <w:sz w:val="18"/>
                <w:szCs w:val="18"/>
                <w:lang w:eastAsia="sk-SK"/>
              </w:rPr>
              <w:t xml:space="preserve"> navýšenie rozpočtu darovacieho účtu.</w:t>
            </w:r>
          </w:p>
        </w:tc>
      </w:tr>
      <w:tr w:rsidR="00B73FDB" w:rsidRPr="00B73FDB" w14:paraId="5B9092AF" w14:textId="77777777" w:rsidTr="00B73FDB">
        <w:trPr>
          <w:tblCellSpacing w:w="15" w:type="dxa"/>
        </w:trPr>
        <w:tc>
          <w:tcPr>
            <w:tcW w:w="266" w:type="pct"/>
            <w:shd w:val="clear" w:color="auto" w:fill="D9D9D9"/>
            <w:noWrap/>
            <w:vAlign w:val="center"/>
            <w:hideMark/>
          </w:tcPr>
          <w:p w14:paraId="3BD8BE6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050C7C4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4B07D4D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1 574 330,00</w:t>
            </w:r>
            <w:r w:rsidRPr="00B73FDB">
              <w:rPr>
                <w:rFonts w:cs="Calibri"/>
                <w:sz w:val="18"/>
                <w:szCs w:val="18"/>
                <w:lang w:eastAsia="sk-SK"/>
              </w:rPr>
              <w:t xml:space="preserve"> </w:t>
            </w:r>
          </w:p>
        </w:tc>
        <w:tc>
          <w:tcPr>
            <w:tcW w:w="562" w:type="pct"/>
            <w:shd w:val="clear" w:color="auto" w:fill="D9D9D9"/>
            <w:noWrap/>
            <w:vAlign w:val="center"/>
            <w:hideMark/>
          </w:tcPr>
          <w:p w14:paraId="067CB59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1 873 153,72</w:t>
            </w:r>
            <w:r w:rsidRPr="00B73FDB">
              <w:rPr>
                <w:rFonts w:cs="Calibri"/>
                <w:sz w:val="18"/>
                <w:szCs w:val="18"/>
                <w:lang w:eastAsia="sk-SK"/>
              </w:rPr>
              <w:t xml:space="preserve"> </w:t>
            </w:r>
          </w:p>
        </w:tc>
        <w:tc>
          <w:tcPr>
            <w:tcW w:w="501" w:type="pct"/>
            <w:shd w:val="clear" w:color="auto" w:fill="D9D9D9"/>
            <w:noWrap/>
            <w:vAlign w:val="center"/>
            <w:hideMark/>
          </w:tcPr>
          <w:p w14:paraId="794F1CE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1 769 772,91</w:t>
            </w:r>
            <w:r w:rsidRPr="00B73FDB">
              <w:rPr>
                <w:rFonts w:cs="Calibri"/>
                <w:sz w:val="18"/>
                <w:szCs w:val="18"/>
                <w:lang w:eastAsia="sk-SK"/>
              </w:rPr>
              <w:t xml:space="preserve"> </w:t>
            </w:r>
          </w:p>
        </w:tc>
        <w:tc>
          <w:tcPr>
            <w:tcW w:w="561" w:type="pct"/>
            <w:shd w:val="clear" w:color="auto" w:fill="D9D9D9"/>
            <w:noWrap/>
            <w:vAlign w:val="center"/>
            <w:hideMark/>
          </w:tcPr>
          <w:p w14:paraId="6B14827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94,48</w:t>
            </w:r>
            <w:r w:rsidRPr="00B73FDB">
              <w:rPr>
                <w:rFonts w:cs="Calibri"/>
                <w:sz w:val="18"/>
                <w:szCs w:val="18"/>
                <w:lang w:eastAsia="sk-SK"/>
              </w:rPr>
              <w:t xml:space="preserve"> </w:t>
            </w:r>
          </w:p>
        </w:tc>
        <w:tc>
          <w:tcPr>
            <w:tcW w:w="1136" w:type="pct"/>
            <w:vMerge/>
            <w:shd w:val="clear" w:color="auto" w:fill="D9D9D9"/>
            <w:vAlign w:val="center"/>
            <w:hideMark/>
          </w:tcPr>
          <w:p w14:paraId="0CDED4A6"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07E5EEF5" w14:textId="77777777" w:rsidTr="00B73FDB">
        <w:trPr>
          <w:tblCellSpacing w:w="15" w:type="dxa"/>
        </w:trPr>
        <w:tc>
          <w:tcPr>
            <w:tcW w:w="266" w:type="pct"/>
            <w:shd w:val="clear" w:color="auto" w:fill="EFEFEF"/>
            <w:noWrap/>
            <w:vAlign w:val="center"/>
            <w:hideMark/>
          </w:tcPr>
          <w:p w14:paraId="54582E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55EE40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302724B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864 741,00 </w:t>
            </w:r>
          </w:p>
        </w:tc>
        <w:tc>
          <w:tcPr>
            <w:tcW w:w="562" w:type="pct"/>
            <w:shd w:val="clear" w:color="auto" w:fill="EFEFEF"/>
            <w:noWrap/>
            <w:vAlign w:val="center"/>
            <w:hideMark/>
          </w:tcPr>
          <w:p w14:paraId="68B87BE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956 154,13 </w:t>
            </w:r>
          </w:p>
        </w:tc>
        <w:tc>
          <w:tcPr>
            <w:tcW w:w="501" w:type="pct"/>
            <w:shd w:val="clear" w:color="auto" w:fill="EFEFEF"/>
            <w:noWrap/>
            <w:vAlign w:val="center"/>
            <w:hideMark/>
          </w:tcPr>
          <w:p w14:paraId="0875938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954 301,64 </w:t>
            </w:r>
          </w:p>
        </w:tc>
        <w:tc>
          <w:tcPr>
            <w:tcW w:w="561" w:type="pct"/>
            <w:shd w:val="clear" w:color="auto" w:fill="EFEFEF"/>
            <w:noWrap/>
            <w:vAlign w:val="center"/>
            <w:hideMark/>
          </w:tcPr>
          <w:p w14:paraId="21A9504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99,81 </w:t>
            </w:r>
          </w:p>
        </w:tc>
        <w:tc>
          <w:tcPr>
            <w:tcW w:w="1136" w:type="pct"/>
            <w:vMerge/>
            <w:shd w:val="clear" w:color="auto" w:fill="EFEFEF"/>
            <w:vAlign w:val="center"/>
            <w:hideMark/>
          </w:tcPr>
          <w:p w14:paraId="77796A0A" w14:textId="77777777" w:rsidR="00B73FDB" w:rsidRPr="00B73FDB" w:rsidRDefault="00B73FDB" w:rsidP="00B73FDB">
            <w:pPr>
              <w:spacing w:after="0" w:line="240" w:lineRule="auto"/>
              <w:rPr>
                <w:rFonts w:cs="Calibri"/>
                <w:sz w:val="18"/>
                <w:szCs w:val="18"/>
                <w:lang w:eastAsia="sk-SK"/>
              </w:rPr>
            </w:pPr>
          </w:p>
        </w:tc>
      </w:tr>
      <w:tr w:rsidR="00B73FDB" w:rsidRPr="00B73FDB" w14:paraId="5447B3B2" w14:textId="77777777" w:rsidTr="00B73FDB">
        <w:trPr>
          <w:tblCellSpacing w:w="15" w:type="dxa"/>
        </w:trPr>
        <w:tc>
          <w:tcPr>
            <w:tcW w:w="266" w:type="pct"/>
            <w:shd w:val="clear" w:color="auto" w:fill="EFEFEF"/>
            <w:noWrap/>
            <w:vAlign w:val="center"/>
            <w:hideMark/>
          </w:tcPr>
          <w:p w14:paraId="1B0CE11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58239F5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69A3EB9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323 329,00 </w:t>
            </w:r>
          </w:p>
        </w:tc>
        <w:tc>
          <w:tcPr>
            <w:tcW w:w="562" w:type="pct"/>
            <w:shd w:val="clear" w:color="auto" w:fill="EFEFEF"/>
            <w:noWrap/>
            <w:vAlign w:val="center"/>
            <w:hideMark/>
          </w:tcPr>
          <w:p w14:paraId="509137A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355 228,13 </w:t>
            </w:r>
          </w:p>
        </w:tc>
        <w:tc>
          <w:tcPr>
            <w:tcW w:w="501" w:type="pct"/>
            <w:shd w:val="clear" w:color="auto" w:fill="EFEFEF"/>
            <w:noWrap/>
            <w:vAlign w:val="center"/>
            <w:hideMark/>
          </w:tcPr>
          <w:p w14:paraId="6E0FCB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352 957,53 </w:t>
            </w:r>
          </w:p>
        </w:tc>
        <w:tc>
          <w:tcPr>
            <w:tcW w:w="561" w:type="pct"/>
            <w:shd w:val="clear" w:color="auto" w:fill="EFEFEF"/>
            <w:noWrap/>
            <w:vAlign w:val="center"/>
            <w:hideMark/>
          </w:tcPr>
          <w:p w14:paraId="6EEE322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99,36 </w:t>
            </w:r>
          </w:p>
        </w:tc>
        <w:tc>
          <w:tcPr>
            <w:tcW w:w="1136" w:type="pct"/>
            <w:vMerge/>
            <w:shd w:val="clear" w:color="auto" w:fill="EFEFEF"/>
            <w:vAlign w:val="center"/>
            <w:hideMark/>
          </w:tcPr>
          <w:p w14:paraId="4305E5A5" w14:textId="77777777" w:rsidR="00B73FDB" w:rsidRPr="00B73FDB" w:rsidRDefault="00B73FDB" w:rsidP="00B73FDB">
            <w:pPr>
              <w:spacing w:after="0" w:line="240" w:lineRule="auto"/>
              <w:rPr>
                <w:rFonts w:cs="Calibri"/>
                <w:sz w:val="18"/>
                <w:szCs w:val="18"/>
                <w:lang w:eastAsia="sk-SK"/>
              </w:rPr>
            </w:pPr>
          </w:p>
        </w:tc>
      </w:tr>
      <w:tr w:rsidR="00B73FDB" w:rsidRPr="00B73FDB" w14:paraId="2643B364" w14:textId="77777777" w:rsidTr="00B73FDB">
        <w:trPr>
          <w:tblCellSpacing w:w="15" w:type="dxa"/>
        </w:trPr>
        <w:tc>
          <w:tcPr>
            <w:tcW w:w="266" w:type="pct"/>
            <w:shd w:val="clear" w:color="auto" w:fill="EFEFEF"/>
            <w:noWrap/>
            <w:vAlign w:val="center"/>
            <w:hideMark/>
          </w:tcPr>
          <w:p w14:paraId="5DC59BD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00F766D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2E30E54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296 028,00 </w:t>
            </w:r>
          </w:p>
        </w:tc>
        <w:tc>
          <w:tcPr>
            <w:tcW w:w="562" w:type="pct"/>
            <w:shd w:val="clear" w:color="auto" w:fill="EFEFEF"/>
            <w:noWrap/>
            <w:vAlign w:val="center"/>
            <w:hideMark/>
          </w:tcPr>
          <w:p w14:paraId="24D89DD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476 811,53 </w:t>
            </w:r>
          </w:p>
        </w:tc>
        <w:tc>
          <w:tcPr>
            <w:tcW w:w="501" w:type="pct"/>
            <w:shd w:val="clear" w:color="auto" w:fill="EFEFEF"/>
            <w:noWrap/>
            <w:vAlign w:val="center"/>
            <w:hideMark/>
          </w:tcPr>
          <w:p w14:paraId="252C76F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401 701,19 </w:t>
            </w:r>
          </w:p>
        </w:tc>
        <w:tc>
          <w:tcPr>
            <w:tcW w:w="561" w:type="pct"/>
            <w:shd w:val="clear" w:color="auto" w:fill="EFEFEF"/>
            <w:noWrap/>
            <w:vAlign w:val="center"/>
            <w:hideMark/>
          </w:tcPr>
          <w:p w14:paraId="35DDD8B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84,25 </w:t>
            </w:r>
          </w:p>
        </w:tc>
        <w:tc>
          <w:tcPr>
            <w:tcW w:w="1136" w:type="pct"/>
            <w:vMerge/>
            <w:shd w:val="clear" w:color="auto" w:fill="EFEFEF"/>
            <w:vAlign w:val="center"/>
            <w:hideMark/>
          </w:tcPr>
          <w:p w14:paraId="1ACF8590" w14:textId="77777777" w:rsidR="00B73FDB" w:rsidRPr="00B73FDB" w:rsidRDefault="00B73FDB" w:rsidP="00B73FDB">
            <w:pPr>
              <w:spacing w:after="0" w:line="240" w:lineRule="auto"/>
              <w:rPr>
                <w:rFonts w:cs="Calibri"/>
                <w:sz w:val="18"/>
                <w:szCs w:val="18"/>
                <w:lang w:eastAsia="sk-SK"/>
              </w:rPr>
            </w:pPr>
          </w:p>
        </w:tc>
      </w:tr>
      <w:tr w:rsidR="00B73FDB" w:rsidRPr="00B73FDB" w14:paraId="6484F5B1" w14:textId="77777777" w:rsidTr="00B73FDB">
        <w:trPr>
          <w:tblCellSpacing w:w="15" w:type="dxa"/>
        </w:trPr>
        <w:tc>
          <w:tcPr>
            <w:tcW w:w="266" w:type="pct"/>
            <w:shd w:val="clear" w:color="auto" w:fill="EFEFEF"/>
            <w:noWrap/>
            <w:vAlign w:val="center"/>
            <w:hideMark/>
          </w:tcPr>
          <w:p w14:paraId="0E45C12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250F7CA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5E2E3F8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90 232,00 </w:t>
            </w:r>
          </w:p>
        </w:tc>
        <w:tc>
          <w:tcPr>
            <w:tcW w:w="562" w:type="pct"/>
            <w:shd w:val="clear" w:color="auto" w:fill="EFEFEF"/>
            <w:noWrap/>
            <w:vAlign w:val="center"/>
            <w:hideMark/>
          </w:tcPr>
          <w:p w14:paraId="2F47F99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84 959,93 </w:t>
            </w:r>
          </w:p>
        </w:tc>
        <w:tc>
          <w:tcPr>
            <w:tcW w:w="501" w:type="pct"/>
            <w:shd w:val="clear" w:color="auto" w:fill="EFEFEF"/>
            <w:noWrap/>
            <w:vAlign w:val="center"/>
            <w:hideMark/>
          </w:tcPr>
          <w:p w14:paraId="773F87C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60 812,55 </w:t>
            </w:r>
          </w:p>
        </w:tc>
        <w:tc>
          <w:tcPr>
            <w:tcW w:w="561" w:type="pct"/>
            <w:shd w:val="clear" w:color="auto" w:fill="EFEFEF"/>
            <w:noWrap/>
            <w:vAlign w:val="center"/>
            <w:hideMark/>
          </w:tcPr>
          <w:p w14:paraId="5B498AC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71,58 </w:t>
            </w:r>
          </w:p>
        </w:tc>
        <w:tc>
          <w:tcPr>
            <w:tcW w:w="1136" w:type="pct"/>
            <w:vMerge/>
            <w:shd w:val="clear" w:color="auto" w:fill="EFEFEF"/>
            <w:vAlign w:val="center"/>
            <w:hideMark/>
          </w:tcPr>
          <w:p w14:paraId="2F5ED7AE" w14:textId="77777777" w:rsidR="00B73FDB" w:rsidRPr="00B73FDB" w:rsidRDefault="00B73FDB" w:rsidP="00B73FDB">
            <w:pPr>
              <w:spacing w:after="0" w:line="240" w:lineRule="auto"/>
              <w:rPr>
                <w:rFonts w:cs="Calibri"/>
                <w:sz w:val="18"/>
                <w:szCs w:val="18"/>
                <w:lang w:eastAsia="sk-SK"/>
              </w:rPr>
            </w:pPr>
          </w:p>
        </w:tc>
      </w:tr>
    </w:tbl>
    <w:p w14:paraId="5BD26C14"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1F5EFEE9" w14:textId="77777777" w:rsidTr="00B73FDB">
        <w:trPr>
          <w:tblCellSpacing w:w="15" w:type="dxa"/>
        </w:trPr>
        <w:tc>
          <w:tcPr>
            <w:tcW w:w="0" w:type="auto"/>
            <w:shd w:val="clear" w:color="auto" w:fill="C2D69B"/>
            <w:vAlign w:val="center"/>
            <w:hideMark/>
          </w:tcPr>
          <w:p w14:paraId="328920D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1BECA2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6BD55B4F" w14:textId="77777777" w:rsidTr="00B73FDB">
        <w:trPr>
          <w:tblCellSpacing w:w="15" w:type="dxa"/>
        </w:trPr>
        <w:tc>
          <w:tcPr>
            <w:tcW w:w="0" w:type="auto"/>
            <w:shd w:val="clear" w:color="auto" w:fill="C2D69B"/>
            <w:vAlign w:val="center"/>
            <w:hideMark/>
          </w:tcPr>
          <w:p w14:paraId="1A65ECF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53407BA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6C71807A" w14:textId="77777777" w:rsidTr="00B73FDB">
        <w:trPr>
          <w:tblCellSpacing w:w="15" w:type="dxa"/>
        </w:trPr>
        <w:tc>
          <w:tcPr>
            <w:tcW w:w="0" w:type="auto"/>
            <w:shd w:val="clear" w:color="auto" w:fill="C2D69B"/>
            <w:vAlign w:val="center"/>
            <w:hideMark/>
          </w:tcPr>
          <w:p w14:paraId="731CE02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5CF4AB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605ED01" w14:textId="77777777" w:rsidTr="00B73FDB">
        <w:trPr>
          <w:tblCellSpacing w:w="15" w:type="dxa"/>
        </w:trPr>
        <w:tc>
          <w:tcPr>
            <w:tcW w:w="0" w:type="auto"/>
            <w:shd w:val="clear" w:color="auto" w:fill="C2D69B"/>
            <w:vAlign w:val="center"/>
            <w:hideMark/>
          </w:tcPr>
          <w:p w14:paraId="595AC52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A4A345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BC60EB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83090D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A32B2E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6966766" w14:textId="77777777" w:rsidTr="00B73FDB">
        <w:trPr>
          <w:tblCellSpacing w:w="15" w:type="dxa"/>
        </w:trPr>
        <w:tc>
          <w:tcPr>
            <w:tcW w:w="0" w:type="auto"/>
            <w:shd w:val="clear" w:color="auto" w:fill="C2D69B"/>
            <w:vAlign w:val="center"/>
            <w:hideMark/>
          </w:tcPr>
          <w:p w14:paraId="0C623C3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FAC152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528 </w:t>
            </w:r>
          </w:p>
        </w:tc>
        <w:tc>
          <w:tcPr>
            <w:tcW w:w="0" w:type="auto"/>
            <w:shd w:val="clear" w:color="auto" w:fill="C2D69B"/>
            <w:noWrap/>
            <w:vAlign w:val="center"/>
            <w:hideMark/>
          </w:tcPr>
          <w:p w14:paraId="77B4E5A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568 </w:t>
            </w:r>
          </w:p>
        </w:tc>
        <w:tc>
          <w:tcPr>
            <w:tcW w:w="0" w:type="auto"/>
            <w:shd w:val="clear" w:color="auto" w:fill="C2D69B"/>
            <w:vAlign w:val="center"/>
            <w:hideMark/>
          </w:tcPr>
          <w:p w14:paraId="71DAA84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C77AF8B"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5BF432C" w14:textId="77777777" w:rsidTr="00B73FDB">
        <w:trPr>
          <w:tblCellSpacing w:w="15" w:type="dxa"/>
        </w:trPr>
        <w:tc>
          <w:tcPr>
            <w:tcW w:w="0" w:type="auto"/>
            <w:shd w:val="clear" w:color="auto" w:fill="C2D69B"/>
            <w:vAlign w:val="center"/>
            <w:hideMark/>
          </w:tcPr>
          <w:p w14:paraId="1309904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0F157B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61070D40" w14:textId="77777777" w:rsidTr="00B73FDB">
        <w:trPr>
          <w:tblCellSpacing w:w="15" w:type="dxa"/>
        </w:trPr>
        <w:tc>
          <w:tcPr>
            <w:tcW w:w="0" w:type="auto"/>
            <w:shd w:val="clear" w:color="auto" w:fill="C2D69B"/>
            <w:vAlign w:val="center"/>
            <w:hideMark/>
          </w:tcPr>
          <w:p w14:paraId="4580EFA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E76156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32024C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32FB2A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7E5414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1AFB632" w14:textId="77777777" w:rsidTr="00B73FDB">
        <w:trPr>
          <w:tblCellSpacing w:w="15" w:type="dxa"/>
        </w:trPr>
        <w:tc>
          <w:tcPr>
            <w:tcW w:w="0" w:type="auto"/>
            <w:shd w:val="clear" w:color="auto" w:fill="C2D69B"/>
            <w:vAlign w:val="center"/>
            <w:hideMark/>
          </w:tcPr>
          <w:p w14:paraId="669427C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CC66A0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505 </w:t>
            </w:r>
          </w:p>
        </w:tc>
        <w:tc>
          <w:tcPr>
            <w:tcW w:w="0" w:type="auto"/>
            <w:shd w:val="clear" w:color="auto" w:fill="C2D69B"/>
            <w:noWrap/>
            <w:vAlign w:val="center"/>
            <w:hideMark/>
          </w:tcPr>
          <w:p w14:paraId="42DEC15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555 </w:t>
            </w:r>
          </w:p>
        </w:tc>
        <w:tc>
          <w:tcPr>
            <w:tcW w:w="0" w:type="auto"/>
            <w:shd w:val="clear" w:color="auto" w:fill="C2D69B"/>
            <w:vAlign w:val="center"/>
            <w:hideMark/>
          </w:tcPr>
          <w:p w14:paraId="76AB4FC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51FD80A" w14:textId="77777777" w:rsidR="00B73FDB" w:rsidRPr="00B73FDB" w:rsidRDefault="00B73FDB" w:rsidP="00B73FDB">
            <w:pPr>
              <w:spacing w:after="0" w:line="240" w:lineRule="auto"/>
              <w:jc w:val="center"/>
              <w:rPr>
                <w:rFonts w:cs="Calibri"/>
                <w:sz w:val="18"/>
                <w:szCs w:val="18"/>
                <w:lang w:eastAsia="sk-SK"/>
              </w:rPr>
            </w:pPr>
          </w:p>
        </w:tc>
      </w:tr>
    </w:tbl>
    <w:p w14:paraId="5CED8FB4"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Ko</w:t>
      </w:r>
      <w:r w:rsidRPr="00B73FDB">
        <w:rPr>
          <w:rFonts w:cs="Calibri"/>
          <w:b/>
          <w:bCs/>
          <w:sz w:val="24"/>
          <w:szCs w:val="24"/>
          <w:lang w:eastAsia="sk-SK"/>
        </w:rPr>
        <w:t xml:space="preserve">mentár: </w:t>
      </w:r>
      <w:r w:rsidRPr="00B73FDB">
        <w:rPr>
          <w:rFonts w:cs="Calibri"/>
          <w:sz w:val="24"/>
          <w:szCs w:val="24"/>
          <w:lang w:eastAsia="sk-SK"/>
        </w:rPr>
        <w:t xml:space="preserve">Zameranie študijných odborov je na elektrotechniku v dennej forme štúdia a pomaturitné štúdium. </w:t>
      </w:r>
    </w:p>
    <w:p w14:paraId="20AEC9AE"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8.3.5: SPŠ dopravná, </w:t>
      </w:r>
      <w:proofErr w:type="spellStart"/>
      <w:r w:rsidRPr="00352CED">
        <w:rPr>
          <w:rFonts w:ascii="Calibri" w:hAnsi="Calibri" w:cs="Calibri"/>
          <w:b/>
          <w:color w:val="244061"/>
        </w:rPr>
        <w:t>Kvačalova</w:t>
      </w:r>
      <w:proofErr w:type="spellEnd"/>
      <w:r w:rsidRPr="00352CED">
        <w:rPr>
          <w:rFonts w:ascii="Calibri" w:hAnsi="Calibri" w:cs="Calibri"/>
          <w:b/>
          <w:color w:val="244061"/>
        </w:rPr>
        <w:t xml:space="preserve"> 20,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5"/>
        <w:gridCol w:w="2573"/>
        <w:gridCol w:w="1212"/>
        <w:gridCol w:w="1214"/>
        <w:gridCol w:w="1212"/>
        <w:gridCol w:w="1241"/>
        <w:gridCol w:w="2399"/>
      </w:tblGrid>
      <w:tr w:rsidR="00B73FDB" w:rsidRPr="00B73FDB" w14:paraId="2BD1C536" w14:textId="77777777" w:rsidTr="00B73FDB">
        <w:trPr>
          <w:tblCellSpacing w:w="15" w:type="dxa"/>
        </w:trPr>
        <w:tc>
          <w:tcPr>
            <w:tcW w:w="271" w:type="pct"/>
            <w:shd w:val="clear" w:color="auto" w:fill="C6DBF7"/>
            <w:vAlign w:val="center"/>
            <w:hideMark/>
          </w:tcPr>
          <w:p w14:paraId="6C7BD12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13" w:type="pct"/>
            <w:shd w:val="clear" w:color="auto" w:fill="C6DBF7"/>
            <w:vAlign w:val="center"/>
            <w:hideMark/>
          </w:tcPr>
          <w:p w14:paraId="6513C7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42CC9C2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3E8F74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207D3D3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78" w:type="pct"/>
            <w:shd w:val="clear" w:color="auto" w:fill="C6DBF7"/>
            <w:vAlign w:val="center"/>
            <w:hideMark/>
          </w:tcPr>
          <w:p w14:paraId="7FA22B5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23" w:type="pct"/>
            <w:shd w:val="clear" w:color="auto" w:fill="C6DBF7"/>
            <w:vAlign w:val="center"/>
            <w:hideMark/>
          </w:tcPr>
          <w:p w14:paraId="0B648F1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CEE268B" w14:textId="77777777" w:rsidTr="00B73FDB">
        <w:trPr>
          <w:tblCellSpacing w:w="15" w:type="dxa"/>
        </w:trPr>
        <w:tc>
          <w:tcPr>
            <w:tcW w:w="271" w:type="pct"/>
            <w:shd w:val="clear" w:color="auto" w:fill="D9D9D9"/>
            <w:noWrap/>
            <w:vAlign w:val="center"/>
            <w:hideMark/>
          </w:tcPr>
          <w:p w14:paraId="29878561" w14:textId="77777777" w:rsidR="00B73FDB" w:rsidRPr="00B73FDB" w:rsidRDefault="00B73FDB" w:rsidP="00B73FDB">
            <w:pPr>
              <w:spacing w:after="0" w:line="240" w:lineRule="auto"/>
              <w:jc w:val="center"/>
              <w:rPr>
                <w:rFonts w:cs="Calibri"/>
                <w:sz w:val="18"/>
                <w:szCs w:val="18"/>
                <w:lang w:eastAsia="sk-SK"/>
              </w:rPr>
            </w:pPr>
          </w:p>
        </w:tc>
        <w:tc>
          <w:tcPr>
            <w:tcW w:w="1213" w:type="pct"/>
            <w:shd w:val="clear" w:color="auto" w:fill="D9D9D9"/>
            <w:vAlign w:val="center"/>
            <w:hideMark/>
          </w:tcPr>
          <w:p w14:paraId="4F14AF2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678F7D7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903 112,00</w:t>
            </w:r>
            <w:r w:rsidRPr="00B73FDB">
              <w:rPr>
                <w:rFonts w:cs="Calibri"/>
                <w:sz w:val="18"/>
                <w:szCs w:val="18"/>
                <w:lang w:eastAsia="sk-SK"/>
              </w:rPr>
              <w:t xml:space="preserve"> </w:t>
            </w:r>
          </w:p>
        </w:tc>
        <w:tc>
          <w:tcPr>
            <w:tcW w:w="565" w:type="pct"/>
            <w:shd w:val="clear" w:color="auto" w:fill="D9D9D9"/>
            <w:noWrap/>
            <w:vAlign w:val="center"/>
            <w:hideMark/>
          </w:tcPr>
          <w:p w14:paraId="06CD67C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914 919,16</w:t>
            </w:r>
            <w:r w:rsidRPr="00B73FDB">
              <w:rPr>
                <w:rFonts w:cs="Calibri"/>
                <w:sz w:val="18"/>
                <w:szCs w:val="18"/>
                <w:lang w:eastAsia="sk-SK"/>
              </w:rPr>
              <w:t xml:space="preserve"> </w:t>
            </w:r>
          </w:p>
        </w:tc>
        <w:tc>
          <w:tcPr>
            <w:tcW w:w="564" w:type="pct"/>
            <w:shd w:val="clear" w:color="auto" w:fill="D9D9D9"/>
            <w:noWrap/>
            <w:vAlign w:val="center"/>
            <w:hideMark/>
          </w:tcPr>
          <w:p w14:paraId="1113B29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827 802,78</w:t>
            </w:r>
            <w:r w:rsidRPr="00B73FDB">
              <w:rPr>
                <w:rFonts w:cs="Calibri"/>
                <w:sz w:val="18"/>
                <w:szCs w:val="18"/>
                <w:lang w:eastAsia="sk-SK"/>
              </w:rPr>
              <w:t xml:space="preserve"> </w:t>
            </w:r>
          </w:p>
        </w:tc>
        <w:tc>
          <w:tcPr>
            <w:tcW w:w="578" w:type="pct"/>
            <w:shd w:val="clear" w:color="auto" w:fill="D9D9D9"/>
            <w:noWrap/>
            <w:vAlign w:val="center"/>
            <w:hideMark/>
          </w:tcPr>
          <w:p w14:paraId="3BB7D8A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90,48</w:t>
            </w:r>
            <w:r w:rsidRPr="00B73FDB">
              <w:rPr>
                <w:rFonts w:cs="Calibri"/>
                <w:sz w:val="18"/>
                <w:szCs w:val="18"/>
                <w:lang w:eastAsia="sk-SK"/>
              </w:rPr>
              <w:t xml:space="preserve"> </w:t>
            </w:r>
          </w:p>
        </w:tc>
        <w:tc>
          <w:tcPr>
            <w:tcW w:w="1123" w:type="pct"/>
            <w:vMerge w:val="restart"/>
            <w:shd w:val="clear" w:color="auto" w:fill="D9D9D9"/>
            <w:vAlign w:val="center"/>
            <w:hideMark/>
          </w:tcPr>
          <w:p w14:paraId="17001BB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-41 040,00 EUR</w:t>
            </w:r>
            <w:r w:rsidRPr="00B73FDB">
              <w:rPr>
                <w:rFonts w:cs="Calibri"/>
                <w:sz w:val="18"/>
                <w:szCs w:val="18"/>
                <w:lang w:eastAsia="sk-SK"/>
              </w:rPr>
              <w:t xml:space="preserve"> normatívne finančné prostriedky,</w:t>
            </w:r>
          </w:p>
          <w:p w14:paraId="7A33540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+118,00 EUR</w:t>
            </w:r>
            <w:r w:rsidRPr="00B73FDB">
              <w:rPr>
                <w:rFonts w:cs="Calibri"/>
                <w:sz w:val="18"/>
                <w:szCs w:val="18"/>
                <w:lang w:eastAsia="sk-SK"/>
              </w:rPr>
              <w:t xml:space="preserve"> normatívne finančné prostriedky na maturity,</w:t>
            </w:r>
          </w:p>
          <w:p w14:paraId="1E2A8A2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+513,00 EUR </w:t>
            </w:r>
            <w:r w:rsidRPr="00B73FDB">
              <w:rPr>
                <w:rFonts w:cs="Calibri"/>
                <w:sz w:val="18"/>
                <w:szCs w:val="18"/>
                <w:lang w:eastAsia="sk-SK"/>
              </w:rPr>
              <w:t>nenormatívne finančné prostriedky na vzdelávacie poukazy,</w:t>
            </w:r>
          </w:p>
          <w:p w14:paraId="6101A67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+1 000,00 EUR</w:t>
            </w:r>
            <w:r w:rsidRPr="00B73FDB">
              <w:rPr>
                <w:rFonts w:cs="Calibri"/>
                <w:sz w:val="18"/>
                <w:szCs w:val="18"/>
                <w:lang w:eastAsia="sk-SK"/>
              </w:rPr>
              <w:t xml:space="preserve"> nenormatívne finančné prostriedky za mimoriadne výsledky žiakov,</w:t>
            </w:r>
          </w:p>
          <w:p w14:paraId="175D2AC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+1 796,00 EUR</w:t>
            </w:r>
            <w:r w:rsidRPr="00B73FDB">
              <w:rPr>
                <w:rFonts w:cs="Calibri"/>
                <w:sz w:val="18"/>
                <w:szCs w:val="18"/>
                <w:lang w:eastAsia="sk-SK"/>
              </w:rPr>
              <w:t xml:space="preserve"> odchodné do dôchodku,</w:t>
            </w:r>
          </w:p>
          <w:p w14:paraId="6C40046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-1 200,00 EUR</w:t>
            </w:r>
            <w:r w:rsidRPr="00B73FDB">
              <w:rPr>
                <w:rFonts w:cs="Calibri"/>
                <w:sz w:val="18"/>
                <w:szCs w:val="18"/>
                <w:lang w:eastAsia="sk-SK"/>
              </w:rPr>
              <w:t xml:space="preserve"> nenormatívne finančné prostriedky na lyžiarske kurzy,</w:t>
            </w:r>
          </w:p>
          <w:p w14:paraId="6EF63FB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+7 383,10 EUR</w:t>
            </w:r>
            <w:r w:rsidRPr="00B73FDB">
              <w:rPr>
                <w:rFonts w:cs="Calibri"/>
                <w:sz w:val="18"/>
                <w:szCs w:val="18"/>
                <w:lang w:eastAsia="sk-SK"/>
              </w:rPr>
              <w:t xml:space="preserve"> nevyčerpané finančné prostriedky z r. 2019,</w:t>
            </w:r>
          </w:p>
          <w:p w14:paraId="77F6DD7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+3 305,98 EUR</w:t>
            </w:r>
            <w:r w:rsidRPr="00B73FDB">
              <w:rPr>
                <w:rFonts w:cs="Calibri"/>
                <w:sz w:val="18"/>
                <w:szCs w:val="18"/>
                <w:lang w:eastAsia="sk-SK"/>
              </w:rPr>
              <w:t xml:space="preserve"> projekt z MPC,</w:t>
            </w:r>
          </w:p>
          <w:p w14:paraId="549C036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+10 000,00 EUR</w:t>
            </w:r>
            <w:r w:rsidRPr="00B73FDB">
              <w:rPr>
                <w:rFonts w:cs="Calibri"/>
                <w:sz w:val="18"/>
                <w:szCs w:val="18"/>
                <w:lang w:eastAsia="sk-SK"/>
              </w:rPr>
              <w:t xml:space="preserve"> navýšenie účtu PČ,</w:t>
            </w:r>
          </w:p>
          <w:p w14:paraId="003BCED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+22 591,00 EUR</w:t>
            </w:r>
            <w:r w:rsidRPr="00B73FDB">
              <w:rPr>
                <w:rFonts w:cs="Calibri"/>
                <w:sz w:val="18"/>
                <w:szCs w:val="18"/>
                <w:lang w:eastAsia="sk-SK"/>
              </w:rPr>
              <w:t xml:space="preserve"> navýšenie rozpočtu projektových účtov,</w:t>
            </w:r>
          </w:p>
          <w:p w14:paraId="117B56C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+2 600,00 EUR</w:t>
            </w:r>
            <w:r w:rsidRPr="00B73FDB">
              <w:rPr>
                <w:rFonts w:cs="Calibri"/>
                <w:sz w:val="18"/>
                <w:szCs w:val="18"/>
                <w:lang w:eastAsia="sk-SK"/>
              </w:rPr>
              <w:t xml:space="preserve"> navýšenie rozpočtu darovacieho účtu,</w:t>
            </w:r>
          </w:p>
          <w:p w14:paraId="43BC615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+4 740,08 EUR</w:t>
            </w:r>
            <w:r w:rsidRPr="00B73FDB">
              <w:rPr>
                <w:rFonts w:cs="Calibri"/>
                <w:sz w:val="18"/>
                <w:szCs w:val="18"/>
                <w:lang w:eastAsia="sk-SK"/>
              </w:rPr>
              <w:t xml:space="preserve"> príjmy z prenájmov.</w:t>
            </w:r>
          </w:p>
        </w:tc>
      </w:tr>
      <w:tr w:rsidR="00B73FDB" w:rsidRPr="00B73FDB" w14:paraId="5759DE70" w14:textId="77777777" w:rsidTr="00B73FDB">
        <w:trPr>
          <w:tblCellSpacing w:w="15" w:type="dxa"/>
        </w:trPr>
        <w:tc>
          <w:tcPr>
            <w:tcW w:w="271" w:type="pct"/>
            <w:shd w:val="clear" w:color="auto" w:fill="D9D9D9"/>
            <w:noWrap/>
            <w:vAlign w:val="center"/>
            <w:hideMark/>
          </w:tcPr>
          <w:p w14:paraId="47495E7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13" w:type="pct"/>
            <w:shd w:val="clear" w:color="auto" w:fill="D9D9D9"/>
            <w:vAlign w:val="center"/>
            <w:hideMark/>
          </w:tcPr>
          <w:p w14:paraId="64B8D48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21BDA00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903 112,00</w:t>
            </w:r>
            <w:r w:rsidRPr="00B73FDB">
              <w:rPr>
                <w:rFonts w:cs="Calibri"/>
                <w:sz w:val="18"/>
                <w:szCs w:val="18"/>
                <w:lang w:eastAsia="sk-SK"/>
              </w:rPr>
              <w:t xml:space="preserve"> </w:t>
            </w:r>
          </w:p>
        </w:tc>
        <w:tc>
          <w:tcPr>
            <w:tcW w:w="565" w:type="pct"/>
            <w:shd w:val="clear" w:color="auto" w:fill="D9D9D9"/>
            <w:noWrap/>
            <w:vAlign w:val="center"/>
            <w:hideMark/>
          </w:tcPr>
          <w:p w14:paraId="02B0D86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914 919,16</w:t>
            </w:r>
            <w:r w:rsidRPr="00B73FDB">
              <w:rPr>
                <w:rFonts w:cs="Calibri"/>
                <w:sz w:val="18"/>
                <w:szCs w:val="18"/>
                <w:lang w:eastAsia="sk-SK"/>
              </w:rPr>
              <w:t xml:space="preserve"> </w:t>
            </w:r>
          </w:p>
        </w:tc>
        <w:tc>
          <w:tcPr>
            <w:tcW w:w="564" w:type="pct"/>
            <w:shd w:val="clear" w:color="auto" w:fill="D9D9D9"/>
            <w:noWrap/>
            <w:vAlign w:val="center"/>
            <w:hideMark/>
          </w:tcPr>
          <w:p w14:paraId="5569BEA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827 802,78</w:t>
            </w:r>
            <w:r w:rsidRPr="00B73FDB">
              <w:rPr>
                <w:rFonts w:cs="Calibri"/>
                <w:sz w:val="18"/>
                <w:szCs w:val="18"/>
                <w:lang w:eastAsia="sk-SK"/>
              </w:rPr>
              <w:t xml:space="preserve"> </w:t>
            </w:r>
          </w:p>
        </w:tc>
        <w:tc>
          <w:tcPr>
            <w:tcW w:w="578" w:type="pct"/>
            <w:shd w:val="clear" w:color="auto" w:fill="D9D9D9"/>
            <w:noWrap/>
            <w:vAlign w:val="center"/>
            <w:hideMark/>
          </w:tcPr>
          <w:p w14:paraId="54C4F0F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90,48</w:t>
            </w:r>
            <w:r w:rsidRPr="00B73FDB">
              <w:rPr>
                <w:rFonts w:cs="Calibri"/>
                <w:sz w:val="18"/>
                <w:szCs w:val="18"/>
                <w:lang w:eastAsia="sk-SK"/>
              </w:rPr>
              <w:t xml:space="preserve"> </w:t>
            </w:r>
          </w:p>
        </w:tc>
        <w:tc>
          <w:tcPr>
            <w:tcW w:w="1123" w:type="pct"/>
            <w:vMerge/>
            <w:shd w:val="clear" w:color="auto" w:fill="D9D9D9"/>
            <w:vAlign w:val="center"/>
            <w:hideMark/>
          </w:tcPr>
          <w:p w14:paraId="225CA605"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192909A5" w14:textId="77777777" w:rsidTr="00B73FDB">
        <w:trPr>
          <w:tblCellSpacing w:w="15" w:type="dxa"/>
        </w:trPr>
        <w:tc>
          <w:tcPr>
            <w:tcW w:w="271" w:type="pct"/>
            <w:shd w:val="clear" w:color="auto" w:fill="EFEFEF"/>
            <w:noWrap/>
            <w:vAlign w:val="center"/>
            <w:hideMark/>
          </w:tcPr>
          <w:p w14:paraId="2DB7599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13" w:type="pct"/>
            <w:shd w:val="clear" w:color="auto" w:fill="EFEFEF"/>
            <w:vAlign w:val="center"/>
            <w:hideMark/>
          </w:tcPr>
          <w:p w14:paraId="6DF5973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01B778F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516 457,00 </w:t>
            </w:r>
          </w:p>
        </w:tc>
        <w:tc>
          <w:tcPr>
            <w:tcW w:w="565" w:type="pct"/>
            <w:shd w:val="clear" w:color="auto" w:fill="EFEFEF"/>
            <w:noWrap/>
            <w:vAlign w:val="center"/>
            <w:hideMark/>
          </w:tcPr>
          <w:p w14:paraId="76A78C8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516 837,85 </w:t>
            </w:r>
          </w:p>
        </w:tc>
        <w:tc>
          <w:tcPr>
            <w:tcW w:w="564" w:type="pct"/>
            <w:shd w:val="clear" w:color="auto" w:fill="EFEFEF"/>
            <w:noWrap/>
            <w:vAlign w:val="center"/>
            <w:hideMark/>
          </w:tcPr>
          <w:p w14:paraId="14C785E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516 794,15 </w:t>
            </w:r>
          </w:p>
        </w:tc>
        <w:tc>
          <w:tcPr>
            <w:tcW w:w="578" w:type="pct"/>
            <w:shd w:val="clear" w:color="auto" w:fill="EFEFEF"/>
            <w:noWrap/>
            <w:vAlign w:val="center"/>
            <w:hideMark/>
          </w:tcPr>
          <w:p w14:paraId="4569559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99,99 </w:t>
            </w:r>
          </w:p>
        </w:tc>
        <w:tc>
          <w:tcPr>
            <w:tcW w:w="1123" w:type="pct"/>
            <w:vMerge/>
            <w:shd w:val="clear" w:color="auto" w:fill="EFEFEF"/>
            <w:vAlign w:val="center"/>
            <w:hideMark/>
          </w:tcPr>
          <w:p w14:paraId="75069903" w14:textId="77777777" w:rsidR="00B73FDB" w:rsidRPr="00B73FDB" w:rsidRDefault="00B73FDB" w:rsidP="00B73FDB">
            <w:pPr>
              <w:spacing w:after="0" w:line="240" w:lineRule="auto"/>
              <w:rPr>
                <w:rFonts w:cs="Calibri"/>
                <w:sz w:val="18"/>
                <w:szCs w:val="18"/>
                <w:lang w:eastAsia="sk-SK"/>
              </w:rPr>
            </w:pPr>
          </w:p>
        </w:tc>
      </w:tr>
      <w:tr w:rsidR="00B73FDB" w:rsidRPr="00B73FDB" w14:paraId="588318F3" w14:textId="77777777" w:rsidTr="00B73FDB">
        <w:trPr>
          <w:tblCellSpacing w:w="15" w:type="dxa"/>
        </w:trPr>
        <w:tc>
          <w:tcPr>
            <w:tcW w:w="271" w:type="pct"/>
            <w:shd w:val="clear" w:color="auto" w:fill="EFEFEF"/>
            <w:noWrap/>
            <w:vAlign w:val="center"/>
            <w:hideMark/>
          </w:tcPr>
          <w:p w14:paraId="5663B4A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13" w:type="pct"/>
            <w:shd w:val="clear" w:color="auto" w:fill="EFEFEF"/>
            <w:vAlign w:val="center"/>
            <w:hideMark/>
          </w:tcPr>
          <w:p w14:paraId="4A16C0A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65EA0A9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181 565,00 </w:t>
            </w:r>
          </w:p>
        </w:tc>
        <w:tc>
          <w:tcPr>
            <w:tcW w:w="565" w:type="pct"/>
            <w:shd w:val="clear" w:color="auto" w:fill="EFEFEF"/>
            <w:noWrap/>
            <w:vAlign w:val="center"/>
            <w:hideMark/>
          </w:tcPr>
          <w:p w14:paraId="5EA5B5C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186 122,47 </w:t>
            </w:r>
          </w:p>
        </w:tc>
        <w:tc>
          <w:tcPr>
            <w:tcW w:w="564" w:type="pct"/>
            <w:shd w:val="clear" w:color="auto" w:fill="EFEFEF"/>
            <w:noWrap/>
            <w:vAlign w:val="center"/>
            <w:hideMark/>
          </w:tcPr>
          <w:p w14:paraId="163B422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182 446,95 </w:t>
            </w:r>
          </w:p>
        </w:tc>
        <w:tc>
          <w:tcPr>
            <w:tcW w:w="578" w:type="pct"/>
            <w:shd w:val="clear" w:color="auto" w:fill="EFEFEF"/>
            <w:noWrap/>
            <w:vAlign w:val="center"/>
            <w:hideMark/>
          </w:tcPr>
          <w:p w14:paraId="7A648D4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98,03 </w:t>
            </w:r>
          </w:p>
        </w:tc>
        <w:tc>
          <w:tcPr>
            <w:tcW w:w="1123" w:type="pct"/>
            <w:vMerge/>
            <w:shd w:val="clear" w:color="auto" w:fill="EFEFEF"/>
            <w:vAlign w:val="center"/>
            <w:hideMark/>
          </w:tcPr>
          <w:p w14:paraId="7E8BE953" w14:textId="77777777" w:rsidR="00B73FDB" w:rsidRPr="00B73FDB" w:rsidRDefault="00B73FDB" w:rsidP="00B73FDB">
            <w:pPr>
              <w:spacing w:after="0" w:line="240" w:lineRule="auto"/>
              <w:rPr>
                <w:rFonts w:cs="Calibri"/>
                <w:sz w:val="18"/>
                <w:szCs w:val="18"/>
                <w:lang w:eastAsia="sk-SK"/>
              </w:rPr>
            </w:pPr>
          </w:p>
        </w:tc>
      </w:tr>
      <w:tr w:rsidR="00B73FDB" w:rsidRPr="00B73FDB" w14:paraId="073E953F" w14:textId="77777777" w:rsidTr="00B73FDB">
        <w:trPr>
          <w:tblCellSpacing w:w="15" w:type="dxa"/>
        </w:trPr>
        <w:tc>
          <w:tcPr>
            <w:tcW w:w="271" w:type="pct"/>
            <w:shd w:val="clear" w:color="auto" w:fill="EFEFEF"/>
            <w:noWrap/>
            <w:vAlign w:val="center"/>
            <w:hideMark/>
          </w:tcPr>
          <w:p w14:paraId="38610F9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13" w:type="pct"/>
            <w:shd w:val="clear" w:color="auto" w:fill="EFEFEF"/>
            <w:vAlign w:val="center"/>
            <w:hideMark/>
          </w:tcPr>
          <w:p w14:paraId="7EA03AF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6402320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205 090,00 </w:t>
            </w:r>
          </w:p>
        </w:tc>
        <w:tc>
          <w:tcPr>
            <w:tcW w:w="565" w:type="pct"/>
            <w:shd w:val="clear" w:color="auto" w:fill="EFEFEF"/>
            <w:noWrap/>
            <w:vAlign w:val="center"/>
            <w:hideMark/>
          </w:tcPr>
          <w:p w14:paraId="43450CF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205 193,32 </w:t>
            </w:r>
          </w:p>
        </w:tc>
        <w:tc>
          <w:tcPr>
            <w:tcW w:w="564" w:type="pct"/>
            <w:shd w:val="clear" w:color="auto" w:fill="EFEFEF"/>
            <w:noWrap/>
            <w:vAlign w:val="center"/>
            <w:hideMark/>
          </w:tcPr>
          <w:p w14:paraId="4B0FD10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121 796,16 </w:t>
            </w:r>
          </w:p>
        </w:tc>
        <w:tc>
          <w:tcPr>
            <w:tcW w:w="578" w:type="pct"/>
            <w:shd w:val="clear" w:color="auto" w:fill="EFEFEF"/>
            <w:noWrap/>
            <w:vAlign w:val="center"/>
            <w:hideMark/>
          </w:tcPr>
          <w:p w14:paraId="38D1C25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59,36 </w:t>
            </w:r>
          </w:p>
        </w:tc>
        <w:tc>
          <w:tcPr>
            <w:tcW w:w="1123" w:type="pct"/>
            <w:vMerge/>
            <w:shd w:val="clear" w:color="auto" w:fill="EFEFEF"/>
            <w:vAlign w:val="center"/>
            <w:hideMark/>
          </w:tcPr>
          <w:p w14:paraId="62197F89" w14:textId="77777777" w:rsidR="00B73FDB" w:rsidRPr="00B73FDB" w:rsidRDefault="00B73FDB" w:rsidP="00B73FDB">
            <w:pPr>
              <w:spacing w:after="0" w:line="240" w:lineRule="auto"/>
              <w:rPr>
                <w:rFonts w:cs="Calibri"/>
                <w:sz w:val="18"/>
                <w:szCs w:val="18"/>
                <w:lang w:eastAsia="sk-SK"/>
              </w:rPr>
            </w:pPr>
          </w:p>
        </w:tc>
      </w:tr>
    </w:tbl>
    <w:p w14:paraId="06F049A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72B419F9" w14:textId="77777777" w:rsidTr="00B73FDB">
        <w:trPr>
          <w:tblCellSpacing w:w="15" w:type="dxa"/>
        </w:trPr>
        <w:tc>
          <w:tcPr>
            <w:tcW w:w="0" w:type="auto"/>
            <w:shd w:val="clear" w:color="auto" w:fill="C2D69B"/>
            <w:vAlign w:val="center"/>
            <w:hideMark/>
          </w:tcPr>
          <w:p w14:paraId="4B45AB1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AC13FA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E952723" w14:textId="77777777" w:rsidTr="00B73FDB">
        <w:trPr>
          <w:tblCellSpacing w:w="15" w:type="dxa"/>
        </w:trPr>
        <w:tc>
          <w:tcPr>
            <w:tcW w:w="0" w:type="auto"/>
            <w:shd w:val="clear" w:color="auto" w:fill="C2D69B"/>
            <w:vAlign w:val="center"/>
            <w:hideMark/>
          </w:tcPr>
          <w:p w14:paraId="02554EA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1DB75DC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2ABFEE9F" w14:textId="77777777" w:rsidTr="00B73FDB">
        <w:trPr>
          <w:tblCellSpacing w:w="15" w:type="dxa"/>
        </w:trPr>
        <w:tc>
          <w:tcPr>
            <w:tcW w:w="0" w:type="auto"/>
            <w:shd w:val="clear" w:color="auto" w:fill="C2D69B"/>
            <w:vAlign w:val="center"/>
            <w:hideMark/>
          </w:tcPr>
          <w:p w14:paraId="5B0B28A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6237EA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3537CF4F" w14:textId="77777777" w:rsidTr="00B73FDB">
        <w:trPr>
          <w:tblCellSpacing w:w="15" w:type="dxa"/>
        </w:trPr>
        <w:tc>
          <w:tcPr>
            <w:tcW w:w="0" w:type="auto"/>
            <w:shd w:val="clear" w:color="auto" w:fill="C2D69B"/>
            <w:vAlign w:val="center"/>
            <w:hideMark/>
          </w:tcPr>
          <w:p w14:paraId="2032049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lastRenderedPageBreak/>
              <w:t>Rok</w:t>
            </w:r>
          </w:p>
        </w:tc>
        <w:tc>
          <w:tcPr>
            <w:tcW w:w="0" w:type="auto"/>
            <w:shd w:val="clear" w:color="auto" w:fill="C2D69B"/>
            <w:vAlign w:val="center"/>
            <w:hideMark/>
          </w:tcPr>
          <w:p w14:paraId="39E6922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D81F40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D7C89A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DBA0AA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BE7C543" w14:textId="77777777" w:rsidTr="00B73FDB">
        <w:trPr>
          <w:tblCellSpacing w:w="15" w:type="dxa"/>
        </w:trPr>
        <w:tc>
          <w:tcPr>
            <w:tcW w:w="0" w:type="auto"/>
            <w:shd w:val="clear" w:color="auto" w:fill="C2D69B"/>
            <w:vAlign w:val="center"/>
            <w:hideMark/>
          </w:tcPr>
          <w:p w14:paraId="3918E25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0AAFF8E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243 </w:t>
            </w:r>
          </w:p>
        </w:tc>
        <w:tc>
          <w:tcPr>
            <w:tcW w:w="0" w:type="auto"/>
            <w:shd w:val="clear" w:color="auto" w:fill="C2D69B"/>
            <w:noWrap/>
            <w:vAlign w:val="center"/>
            <w:hideMark/>
          </w:tcPr>
          <w:p w14:paraId="1BEB77F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257 </w:t>
            </w:r>
          </w:p>
        </w:tc>
        <w:tc>
          <w:tcPr>
            <w:tcW w:w="0" w:type="auto"/>
            <w:shd w:val="clear" w:color="auto" w:fill="C2D69B"/>
            <w:vAlign w:val="center"/>
            <w:hideMark/>
          </w:tcPr>
          <w:p w14:paraId="33667A0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D652274"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E66C560" w14:textId="77777777" w:rsidTr="00B73FDB">
        <w:trPr>
          <w:tblCellSpacing w:w="15" w:type="dxa"/>
        </w:trPr>
        <w:tc>
          <w:tcPr>
            <w:tcW w:w="0" w:type="auto"/>
            <w:shd w:val="clear" w:color="auto" w:fill="C2D69B"/>
            <w:vAlign w:val="center"/>
            <w:hideMark/>
          </w:tcPr>
          <w:p w14:paraId="75875E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53D5E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073292DD" w14:textId="77777777" w:rsidTr="00B73FDB">
        <w:trPr>
          <w:tblCellSpacing w:w="15" w:type="dxa"/>
        </w:trPr>
        <w:tc>
          <w:tcPr>
            <w:tcW w:w="0" w:type="auto"/>
            <w:shd w:val="clear" w:color="auto" w:fill="C2D69B"/>
            <w:vAlign w:val="center"/>
            <w:hideMark/>
          </w:tcPr>
          <w:p w14:paraId="47AEF79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E5D8F0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644252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F532D4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4FDC9C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19F9608" w14:textId="77777777" w:rsidTr="00B73FDB">
        <w:trPr>
          <w:tblCellSpacing w:w="15" w:type="dxa"/>
        </w:trPr>
        <w:tc>
          <w:tcPr>
            <w:tcW w:w="0" w:type="auto"/>
            <w:shd w:val="clear" w:color="auto" w:fill="C2D69B"/>
            <w:vAlign w:val="center"/>
            <w:hideMark/>
          </w:tcPr>
          <w:p w14:paraId="3A38EB4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4A69EB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243 </w:t>
            </w:r>
          </w:p>
        </w:tc>
        <w:tc>
          <w:tcPr>
            <w:tcW w:w="0" w:type="auto"/>
            <w:shd w:val="clear" w:color="auto" w:fill="C2D69B"/>
            <w:noWrap/>
            <w:vAlign w:val="center"/>
            <w:hideMark/>
          </w:tcPr>
          <w:p w14:paraId="7724AF5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257 </w:t>
            </w:r>
          </w:p>
        </w:tc>
        <w:tc>
          <w:tcPr>
            <w:tcW w:w="0" w:type="auto"/>
            <w:shd w:val="clear" w:color="auto" w:fill="C2D69B"/>
            <w:vAlign w:val="center"/>
            <w:hideMark/>
          </w:tcPr>
          <w:p w14:paraId="5567B86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719535C" w14:textId="77777777" w:rsidR="00B73FDB" w:rsidRPr="00B73FDB" w:rsidRDefault="00B73FDB" w:rsidP="00B73FDB">
            <w:pPr>
              <w:spacing w:after="0" w:line="240" w:lineRule="auto"/>
              <w:jc w:val="center"/>
              <w:rPr>
                <w:rFonts w:cs="Calibri"/>
                <w:sz w:val="18"/>
                <w:szCs w:val="18"/>
                <w:lang w:eastAsia="sk-SK"/>
              </w:rPr>
            </w:pPr>
          </w:p>
        </w:tc>
      </w:tr>
    </w:tbl>
    <w:p w14:paraId="124BB828"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Komentár:</w:t>
      </w:r>
      <w:r w:rsidRPr="00B73FDB">
        <w:rPr>
          <w:rFonts w:cs="Calibri"/>
          <w:b/>
          <w:bCs/>
          <w:sz w:val="24"/>
          <w:szCs w:val="24"/>
          <w:lang w:eastAsia="sk-SK"/>
        </w:rPr>
        <w:t xml:space="preserve"> </w:t>
      </w:r>
      <w:r w:rsidRPr="00B73FDB">
        <w:rPr>
          <w:rFonts w:cs="Calibri"/>
          <w:sz w:val="24"/>
          <w:szCs w:val="24"/>
          <w:lang w:eastAsia="sk-SK"/>
        </w:rPr>
        <w:t xml:space="preserve">Zameranie študijných odborov je na dopravu, ekonomiku, techniku a prevádzku dopravy. Forma štúdia je denná. </w:t>
      </w:r>
    </w:p>
    <w:p w14:paraId="7DE484C2"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8.3.6: SPŠ stavebná a geodetická, Drieňová 35,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31"/>
        <w:gridCol w:w="1214"/>
        <w:gridCol w:w="1214"/>
        <w:gridCol w:w="1059"/>
        <w:gridCol w:w="1214"/>
        <w:gridCol w:w="2426"/>
      </w:tblGrid>
      <w:tr w:rsidR="00B73FDB" w:rsidRPr="00B73FDB" w14:paraId="7E8269D5" w14:textId="77777777" w:rsidTr="00B73FDB">
        <w:trPr>
          <w:tblCellSpacing w:w="15" w:type="dxa"/>
        </w:trPr>
        <w:tc>
          <w:tcPr>
            <w:tcW w:w="268" w:type="pct"/>
            <w:shd w:val="clear" w:color="auto" w:fill="C6DBF7"/>
            <w:vAlign w:val="center"/>
            <w:hideMark/>
          </w:tcPr>
          <w:p w14:paraId="42C6097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42656E1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483D8F7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7CB4E47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1" w:type="pct"/>
            <w:shd w:val="clear" w:color="auto" w:fill="C6DBF7"/>
            <w:vAlign w:val="center"/>
            <w:hideMark/>
          </w:tcPr>
          <w:p w14:paraId="42AEE56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4AA397A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5" w:type="pct"/>
            <w:shd w:val="clear" w:color="auto" w:fill="C6DBF7"/>
            <w:vAlign w:val="center"/>
            <w:hideMark/>
          </w:tcPr>
          <w:p w14:paraId="00FCD4F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45932A5" w14:textId="77777777" w:rsidTr="00B73FDB">
        <w:trPr>
          <w:tblCellSpacing w:w="15" w:type="dxa"/>
        </w:trPr>
        <w:tc>
          <w:tcPr>
            <w:tcW w:w="268" w:type="pct"/>
            <w:shd w:val="clear" w:color="auto" w:fill="D9D9D9"/>
            <w:noWrap/>
            <w:vAlign w:val="center"/>
            <w:hideMark/>
          </w:tcPr>
          <w:p w14:paraId="6C22FE5F"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158580C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3DA9BB9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1 127 499,00</w:t>
            </w:r>
            <w:r w:rsidRPr="00B73FDB">
              <w:rPr>
                <w:rFonts w:cs="Calibri"/>
                <w:sz w:val="18"/>
                <w:szCs w:val="18"/>
                <w:lang w:eastAsia="sk-SK"/>
              </w:rPr>
              <w:t xml:space="preserve"> </w:t>
            </w:r>
          </w:p>
        </w:tc>
        <w:tc>
          <w:tcPr>
            <w:tcW w:w="565" w:type="pct"/>
            <w:shd w:val="clear" w:color="auto" w:fill="D9D9D9"/>
            <w:noWrap/>
            <w:vAlign w:val="center"/>
            <w:hideMark/>
          </w:tcPr>
          <w:p w14:paraId="338E684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1 115 206,59</w:t>
            </w:r>
            <w:r w:rsidRPr="00B73FDB">
              <w:rPr>
                <w:rFonts w:cs="Calibri"/>
                <w:sz w:val="18"/>
                <w:szCs w:val="18"/>
                <w:lang w:eastAsia="sk-SK"/>
              </w:rPr>
              <w:t xml:space="preserve"> </w:t>
            </w:r>
          </w:p>
        </w:tc>
        <w:tc>
          <w:tcPr>
            <w:tcW w:w="491" w:type="pct"/>
            <w:shd w:val="clear" w:color="auto" w:fill="D9D9D9"/>
            <w:noWrap/>
            <w:vAlign w:val="center"/>
            <w:hideMark/>
          </w:tcPr>
          <w:p w14:paraId="794305C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1 017 978,68</w:t>
            </w:r>
            <w:r w:rsidRPr="00B73FDB">
              <w:rPr>
                <w:rFonts w:cs="Calibri"/>
                <w:sz w:val="18"/>
                <w:szCs w:val="18"/>
                <w:lang w:eastAsia="sk-SK"/>
              </w:rPr>
              <w:t xml:space="preserve"> </w:t>
            </w:r>
          </w:p>
        </w:tc>
        <w:tc>
          <w:tcPr>
            <w:tcW w:w="565" w:type="pct"/>
            <w:shd w:val="clear" w:color="auto" w:fill="D9D9D9"/>
            <w:noWrap/>
            <w:vAlign w:val="center"/>
            <w:hideMark/>
          </w:tcPr>
          <w:p w14:paraId="1B4217B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91,28</w:t>
            </w:r>
            <w:r w:rsidRPr="00B73FDB">
              <w:rPr>
                <w:rFonts w:cs="Calibri"/>
                <w:sz w:val="18"/>
                <w:szCs w:val="18"/>
                <w:lang w:eastAsia="sk-SK"/>
              </w:rPr>
              <w:t xml:space="preserve"> </w:t>
            </w:r>
          </w:p>
        </w:tc>
        <w:tc>
          <w:tcPr>
            <w:tcW w:w="1135" w:type="pct"/>
            <w:vMerge w:val="restart"/>
            <w:shd w:val="clear" w:color="auto" w:fill="D9D9D9"/>
            <w:vAlign w:val="center"/>
            <w:hideMark/>
          </w:tcPr>
          <w:p w14:paraId="5194686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-101 729,00 EUR</w:t>
            </w:r>
            <w:r w:rsidRPr="00B73FDB">
              <w:rPr>
                <w:rFonts w:cs="Calibri"/>
                <w:sz w:val="18"/>
                <w:szCs w:val="18"/>
                <w:lang w:eastAsia="sk-SK"/>
              </w:rPr>
              <w:t xml:space="preserve"> normatívne finančné prostriedky,</w:t>
            </w:r>
          </w:p>
          <w:p w14:paraId="4574FAC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+20 000,00 EUR</w:t>
            </w:r>
            <w:r w:rsidRPr="00B73FDB">
              <w:rPr>
                <w:rFonts w:cs="Calibri"/>
                <w:sz w:val="18"/>
                <w:szCs w:val="18"/>
                <w:lang w:eastAsia="sk-SK"/>
              </w:rPr>
              <w:t xml:space="preserve"> dofinancovanie prevádzky školského bazéna,</w:t>
            </w:r>
          </w:p>
          <w:p w14:paraId="33C4635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+274,00 EUR</w:t>
            </w:r>
            <w:r w:rsidRPr="00B73FDB">
              <w:rPr>
                <w:rFonts w:cs="Calibri"/>
                <w:sz w:val="18"/>
                <w:szCs w:val="18"/>
                <w:lang w:eastAsia="sk-SK"/>
              </w:rPr>
              <w:t xml:space="preserve"> normatívne finančné prostriedky na maturity,</w:t>
            </w:r>
          </w:p>
          <w:p w14:paraId="1024581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-295,00 EUR </w:t>
            </w:r>
            <w:r w:rsidRPr="00B73FDB">
              <w:rPr>
                <w:rFonts w:cs="Calibri"/>
                <w:sz w:val="18"/>
                <w:szCs w:val="18"/>
                <w:lang w:eastAsia="sk-SK"/>
              </w:rPr>
              <w:t>nenormatívne finančné prostriedky na vzdelávacie poukazy,</w:t>
            </w:r>
          </w:p>
          <w:p w14:paraId="5D54A03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-1 288,00 EUR</w:t>
            </w:r>
            <w:r w:rsidRPr="00B73FDB">
              <w:rPr>
                <w:rFonts w:cs="Calibri"/>
                <w:sz w:val="18"/>
                <w:szCs w:val="18"/>
                <w:lang w:eastAsia="sk-SK"/>
              </w:rPr>
              <w:t xml:space="preserve"> odchodné do dôchodku,</w:t>
            </w:r>
          </w:p>
          <w:p w14:paraId="1292E50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+220,00 EUR</w:t>
            </w:r>
            <w:r w:rsidRPr="00B73FDB">
              <w:rPr>
                <w:rFonts w:cs="Calibri"/>
                <w:sz w:val="18"/>
                <w:szCs w:val="18"/>
                <w:lang w:eastAsia="sk-SK"/>
              </w:rPr>
              <w:t xml:space="preserve"> nenormatívne finančné prostriedky na lyžiarske kurzy,</w:t>
            </w:r>
          </w:p>
          <w:p w14:paraId="2868F3D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+5 699,59 EUR</w:t>
            </w:r>
            <w:r w:rsidRPr="00B73FDB">
              <w:rPr>
                <w:rFonts w:cs="Calibri"/>
                <w:sz w:val="18"/>
                <w:szCs w:val="18"/>
                <w:lang w:eastAsia="sk-SK"/>
              </w:rPr>
              <w:t xml:space="preserve"> nevyčerpané finančné prostriedky z r. 2019,</w:t>
            </w:r>
          </w:p>
          <w:p w14:paraId="5D60599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+64 826,00 EUR</w:t>
            </w:r>
            <w:r w:rsidRPr="00B73FDB">
              <w:rPr>
                <w:rFonts w:cs="Calibri"/>
                <w:sz w:val="18"/>
                <w:szCs w:val="18"/>
                <w:lang w:eastAsia="sk-SK"/>
              </w:rPr>
              <w:t xml:space="preserve"> navýšenie rozpočtu projektového účtu.</w:t>
            </w:r>
          </w:p>
        </w:tc>
      </w:tr>
      <w:tr w:rsidR="00B73FDB" w:rsidRPr="00B73FDB" w14:paraId="5B171544" w14:textId="77777777" w:rsidTr="00B73FDB">
        <w:trPr>
          <w:tblCellSpacing w:w="15" w:type="dxa"/>
        </w:trPr>
        <w:tc>
          <w:tcPr>
            <w:tcW w:w="268" w:type="pct"/>
            <w:shd w:val="clear" w:color="auto" w:fill="D9D9D9"/>
            <w:noWrap/>
            <w:vAlign w:val="center"/>
            <w:hideMark/>
          </w:tcPr>
          <w:p w14:paraId="7CF8C0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6DFA0EC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2D16B12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1 127 499,00</w:t>
            </w:r>
            <w:r w:rsidRPr="00B73FDB">
              <w:rPr>
                <w:rFonts w:cs="Calibri"/>
                <w:sz w:val="18"/>
                <w:szCs w:val="18"/>
                <w:lang w:eastAsia="sk-SK"/>
              </w:rPr>
              <w:t xml:space="preserve"> </w:t>
            </w:r>
          </w:p>
        </w:tc>
        <w:tc>
          <w:tcPr>
            <w:tcW w:w="565" w:type="pct"/>
            <w:shd w:val="clear" w:color="auto" w:fill="D9D9D9"/>
            <w:noWrap/>
            <w:vAlign w:val="center"/>
            <w:hideMark/>
          </w:tcPr>
          <w:p w14:paraId="5A97078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1 115 206,59</w:t>
            </w:r>
            <w:r w:rsidRPr="00B73FDB">
              <w:rPr>
                <w:rFonts w:cs="Calibri"/>
                <w:sz w:val="18"/>
                <w:szCs w:val="18"/>
                <w:lang w:eastAsia="sk-SK"/>
              </w:rPr>
              <w:t xml:space="preserve"> </w:t>
            </w:r>
          </w:p>
        </w:tc>
        <w:tc>
          <w:tcPr>
            <w:tcW w:w="491" w:type="pct"/>
            <w:shd w:val="clear" w:color="auto" w:fill="D9D9D9"/>
            <w:noWrap/>
            <w:vAlign w:val="center"/>
            <w:hideMark/>
          </w:tcPr>
          <w:p w14:paraId="6F0972A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1 017 978,68</w:t>
            </w:r>
            <w:r w:rsidRPr="00B73FDB">
              <w:rPr>
                <w:rFonts w:cs="Calibri"/>
                <w:sz w:val="18"/>
                <w:szCs w:val="18"/>
                <w:lang w:eastAsia="sk-SK"/>
              </w:rPr>
              <w:t xml:space="preserve"> </w:t>
            </w:r>
          </w:p>
        </w:tc>
        <w:tc>
          <w:tcPr>
            <w:tcW w:w="565" w:type="pct"/>
            <w:shd w:val="clear" w:color="auto" w:fill="D9D9D9"/>
            <w:noWrap/>
            <w:vAlign w:val="center"/>
            <w:hideMark/>
          </w:tcPr>
          <w:p w14:paraId="588066F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91,28</w:t>
            </w:r>
            <w:r w:rsidRPr="00B73FDB">
              <w:rPr>
                <w:rFonts w:cs="Calibri"/>
                <w:sz w:val="18"/>
                <w:szCs w:val="18"/>
                <w:lang w:eastAsia="sk-SK"/>
              </w:rPr>
              <w:t xml:space="preserve"> </w:t>
            </w:r>
          </w:p>
        </w:tc>
        <w:tc>
          <w:tcPr>
            <w:tcW w:w="1135" w:type="pct"/>
            <w:vMerge/>
            <w:shd w:val="clear" w:color="auto" w:fill="D9D9D9"/>
            <w:vAlign w:val="center"/>
            <w:hideMark/>
          </w:tcPr>
          <w:p w14:paraId="50FB7DD4"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6F3F2B0A" w14:textId="77777777" w:rsidTr="00B73FDB">
        <w:trPr>
          <w:tblCellSpacing w:w="15" w:type="dxa"/>
        </w:trPr>
        <w:tc>
          <w:tcPr>
            <w:tcW w:w="268" w:type="pct"/>
            <w:shd w:val="clear" w:color="auto" w:fill="EFEFEF"/>
            <w:noWrap/>
            <w:vAlign w:val="center"/>
            <w:hideMark/>
          </w:tcPr>
          <w:p w14:paraId="1F97B71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1A57714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27A08F2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617 748,00 </w:t>
            </w:r>
          </w:p>
        </w:tc>
        <w:tc>
          <w:tcPr>
            <w:tcW w:w="565" w:type="pct"/>
            <w:shd w:val="clear" w:color="auto" w:fill="EFEFEF"/>
            <w:noWrap/>
            <w:vAlign w:val="center"/>
            <w:hideMark/>
          </w:tcPr>
          <w:p w14:paraId="55A16C8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617 427,32 </w:t>
            </w:r>
          </w:p>
        </w:tc>
        <w:tc>
          <w:tcPr>
            <w:tcW w:w="491" w:type="pct"/>
            <w:shd w:val="clear" w:color="auto" w:fill="EFEFEF"/>
            <w:noWrap/>
            <w:vAlign w:val="center"/>
            <w:hideMark/>
          </w:tcPr>
          <w:p w14:paraId="2CCDD70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617 427,32 </w:t>
            </w:r>
          </w:p>
        </w:tc>
        <w:tc>
          <w:tcPr>
            <w:tcW w:w="565" w:type="pct"/>
            <w:shd w:val="clear" w:color="auto" w:fill="EFEFEF"/>
            <w:noWrap/>
            <w:vAlign w:val="center"/>
            <w:hideMark/>
          </w:tcPr>
          <w:p w14:paraId="6FBE184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6AB6509B" w14:textId="77777777" w:rsidR="00B73FDB" w:rsidRPr="00B73FDB" w:rsidRDefault="00B73FDB" w:rsidP="00B73FDB">
            <w:pPr>
              <w:spacing w:after="0" w:line="240" w:lineRule="auto"/>
              <w:rPr>
                <w:rFonts w:cs="Calibri"/>
                <w:sz w:val="18"/>
                <w:szCs w:val="18"/>
                <w:lang w:eastAsia="sk-SK"/>
              </w:rPr>
            </w:pPr>
          </w:p>
        </w:tc>
      </w:tr>
      <w:tr w:rsidR="00B73FDB" w:rsidRPr="00B73FDB" w14:paraId="0E0585E8" w14:textId="77777777" w:rsidTr="00B73FDB">
        <w:trPr>
          <w:tblCellSpacing w:w="15" w:type="dxa"/>
        </w:trPr>
        <w:tc>
          <w:tcPr>
            <w:tcW w:w="268" w:type="pct"/>
            <w:shd w:val="clear" w:color="auto" w:fill="EFEFEF"/>
            <w:noWrap/>
            <w:vAlign w:val="center"/>
            <w:hideMark/>
          </w:tcPr>
          <w:p w14:paraId="65630B9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23C00AC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196B32B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206 281,00 </w:t>
            </w:r>
          </w:p>
        </w:tc>
        <w:tc>
          <w:tcPr>
            <w:tcW w:w="565" w:type="pct"/>
            <w:shd w:val="clear" w:color="auto" w:fill="EFEFEF"/>
            <w:noWrap/>
            <w:vAlign w:val="center"/>
            <w:hideMark/>
          </w:tcPr>
          <w:p w14:paraId="4086557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225 883,29 </w:t>
            </w:r>
          </w:p>
        </w:tc>
        <w:tc>
          <w:tcPr>
            <w:tcW w:w="491" w:type="pct"/>
            <w:shd w:val="clear" w:color="auto" w:fill="EFEFEF"/>
            <w:noWrap/>
            <w:vAlign w:val="center"/>
            <w:hideMark/>
          </w:tcPr>
          <w:p w14:paraId="7C88FFF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225 883,29 </w:t>
            </w:r>
          </w:p>
        </w:tc>
        <w:tc>
          <w:tcPr>
            <w:tcW w:w="565" w:type="pct"/>
            <w:shd w:val="clear" w:color="auto" w:fill="EFEFEF"/>
            <w:noWrap/>
            <w:vAlign w:val="center"/>
            <w:hideMark/>
          </w:tcPr>
          <w:p w14:paraId="2ED12CE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29B48957" w14:textId="77777777" w:rsidR="00B73FDB" w:rsidRPr="00B73FDB" w:rsidRDefault="00B73FDB" w:rsidP="00B73FDB">
            <w:pPr>
              <w:spacing w:after="0" w:line="240" w:lineRule="auto"/>
              <w:rPr>
                <w:rFonts w:cs="Calibri"/>
                <w:sz w:val="18"/>
                <w:szCs w:val="18"/>
                <w:lang w:eastAsia="sk-SK"/>
              </w:rPr>
            </w:pPr>
          </w:p>
        </w:tc>
      </w:tr>
      <w:tr w:rsidR="00B73FDB" w:rsidRPr="00B73FDB" w14:paraId="04121353" w14:textId="77777777" w:rsidTr="00B73FDB">
        <w:trPr>
          <w:tblCellSpacing w:w="15" w:type="dxa"/>
        </w:trPr>
        <w:tc>
          <w:tcPr>
            <w:tcW w:w="268" w:type="pct"/>
            <w:shd w:val="clear" w:color="auto" w:fill="EFEFEF"/>
            <w:noWrap/>
            <w:vAlign w:val="center"/>
            <w:hideMark/>
          </w:tcPr>
          <w:p w14:paraId="04EECAB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57E348C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456C285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292 813,00 </w:t>
            </w:r>
          </w:p>
        </w:tc>
        <w:tc>
          <w:tcPr>
            <w:tcW w:w="565" w:type="pct"/>
            <w:shd w:val="clear" w:color="auto" w:fill="EFEFEF"/>
            <w:noWrap/>
            <w:vAlign w:val="center"/>
            <w:hideMark/>
          </w:tcPr>
          <w:p w14:paraId="6154DC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270 370,46 </w:t>
            </w:r>
          </w:p>
        </w:tc>
        <w:tc>
          <w:tcPr>
            <w:tcW w:w="491" w:type="pct"/>
            <w:shd w:val="clear" w:color="auto" w:fill="EFEFEF"/>
            <w:noWrap/>
            <w:vAlign w:val="center"/>
            <w:hideMark/>
          </w:tcPr>
          <w:p w14:paraId="0FA222A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173 142,55 </w:t>
            </w:r>
          </w:p>
        </w:tc>
        <w:tc>
          <w:tcPr>
            <w:tcW w:w="565" w:type="pct"/>
            <w:shd w:val="clear" w:color="auto" w:fill="EFEFEF"/>
            <w:noWrap/>
            <w:vAlign w:val="center"/>
            <w:hideMark/>
          </w:tcPr>
          <w:p w14:paraId="5A19142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64,04 </w:t>
            </w:r>
          </w:p>
        </w:tc>
        <w:tc>
          <w:tcPr>
            <w:tcW w:w="1135" w:type="pct"/>
            <w:vMerge/>
            <w:shd w:val="clear" w:color="auto" w:fill="EFEFEF"/>
            <w:vAlign w:val="center"/>
            <w:hideMark/>
          </w:tcPr>
          <w:p w14:paraId="0F27C736" w14:textId="77777777" w:rsidR="00B73FDB" w:rsidRPr="00B73FDB" w:rsidRDefault="00B73FDB" w:rsidP="00B73FDB">
            <w:pPr>
              <w:spacing w:after="0" w:line="240" w:lineRule="auto"/>
              <w:rPr>
                <w:rFonts w:cs="Calibri"/>
                <w:sz w:val="18"/>
                <w:szCs w:val="18"/>
                <w:lang w:eastAsia="sk-SK"/>
              </w:rPr>
            </w:pPr>
          </w:p>
        </w:tc>
      </w:tr>
      <w:tr w:rsidR="00B73FDB" w:rsidRPr="00B73FDB" w14:paraId="50F9B2FF" w14:textId="77777777" w:rsidTr="00B73FDB">
        <w:trPr>
          <w:tblCellSpacing w:w="15" w:type="dxa"/>
        </w:trPr>
        <w:tc>
          <w:tcPr>
            <w:tcW w:w="268" w:type="pct"/>
            <w:shd w:val="clear" w:color="auto" w:fill="EFEFEF"/>
            <w:noWrap/>
            <w:vAlign w:val="center"/>
            <w:hideMark/>
          </w:tcPr>
          <w:p w14:paraId="447C0D2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66124FC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678AD29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10 657,00 </w:t>
            </w:r>
          </w:p>
        </w:tc>
        <w:tc>
          <w:tcPr>
            <w:tcW w:w="565" w:type="pct"/>
            <w:shd w:val="clear" w:color="auto" w:fill="EFEFEF"/>
            <w:noWrap/>
            <w:vAlign w:val="center"/>
            <w:hideMark/>
          </w:tcPr>
          <w:p w14:paraId="53BCDFA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1 525,52 </w:t>
            </w:r>
          </w:p>
        </w:tc>
        <w:tc>
          <w:tcPr>
            <w:tcW w:w="491" w:type="pct"/>
            <w:shd w:val="clear" w:color="auto" w:fill="EFEFEF"/>
            <w:noWrap/>
            <w:vAlign w:val="center"/>
            <w:hideMark/>
          </w:tcPr>
          <w:p w14:paraId="0FDC5DB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1 525,52 </w:t>
            </w:r>
          </w:p>
        </w:tc>
        <w:tc>
          <w:tcPr>
            <w:tcW w:w="565" w:type="pct"/>
            <w:shd w:val="clear" w:color="auto" w:fill="EFEFEF"/>
            <w:noWrap/>
            <w:vAlign w:val="center"/>
            <w:hideMark/>
          </w:tcPr>
          <w:p w14:paraId="1402EAE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4EF96738" w14:textId="77777777" w:rsidR="00B73FDB" w:rsidRPr="00B73FDB" w:rsidRDefault="00B73FDB" w:rsidP="00B73FDB">
            <w:pPr>
              <w:spacing w:after="0" w:line="240" w:lineRule="auto"/>
              <w:rPr>
                <w:rFonts w:cs="Calibri"/>
                <w:sz w:val="18"/>
                <w:szCs w:val="18"/>
                <w:lang w:eastAsia="sk-SK"/>
              </w:rPr>
            </w:pPr>
          </w:p>
        </w:tc>
      </w:tr>
    </w:tbl>
    <w:p w14:paraId="1654D0CF"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38E78C68" w14:textId="77777777" w:rsidTr="00B73FDB">
        <w:trPr>
          <w:tblCellSpacing w:w="15" w:type="dxa"/>
        </w:trPr>
        <w:tc>
          <w:tcPr>
            <w:tcW w:w="0" w:type="auto"/>
            <w:shd w:val="clear" w:color="auto" w:fill="C2D69B"/>
            <w:vAlign w:val="center"/>
            <w:hideMark/>
          </w:tcPr>
          <w:p w14:paraId="4EDB457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D044C1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1260C31" w14:textId="77777777" w:rsidTr="00B73FDB">
        <w:trPr>
          <w:tblCellSpacing w:w="15" w:type="dxa"/>
        </w:trPr>
        <w:tc>
          <w:tcPr>
            <w:tcW w:w="0" w:type="auto"/>
            <w:shd w:val="clear" w:color="auto" w:fill="C2D69B"/>
            <w:vAlign w:val="center"/>
            <w:hideMark/>
          </w:tcPr>
          <w:p w14:paraId="2602564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2B4121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2ACFD7FF" w14:textId="77777777" w:rsidTr="00B73FDB">
        <w:trPr>
          <w:tblCellSpacing w:w="15" w:type="dxa"/>
        </w:trPr>
        <w:tc>
          <w:tcPr>
            <w:tcW w:w="0" w:type="auto"/>
            <w:shd w:val="clear" w:color="auto" w:fill="C2D69B"/>
            <w:vAlign w:val="center"/>
            <w:hideMark/>
          </w:tcPr>
          <w:p w14:paraId="7BAE6A7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D387AE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A4957B0" w14:textId="77777777" w:rsidTr="00B73FDB">
        <w:trPr>
          <w:tblCellSpacing w:w="15" w:type="dxa"/>
        </w:trPr>
        <w:tc>
          <w:tcPr>
            <w:tcW w:w="0" w:type="auto"/>
            <w:shd w:val="clear" w:color="auto" w:fill="C2D69B"/>
            <w:vAlign w:val="center"/>
            <w:hideMark/>
          </w:tcPr>
          <w:p w14:paraId="029E10A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4F1A74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5ABACC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611536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1B8D17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C0A68C3" w14:textId="77777777" w:rsidTr="00B73FDB">
        <w:trPr>
          <w:tblCellSpacing w:w="15" w:type="dxa"/>
        </w:trPr>
        <w:tc>
          <w:tcPr>
            <w:tcW w:w="0" w:type="auto"/>
            <w:shd w:val="clear" w:color="auto" w:fill="C2D69B"/>
            <w:vAlign w:val="center"/>
            <w:hideMark/>
          </w:tcPr>
          <w:p w14:paraId="1AB5EC6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03A1F3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280 </w:t>
            </w:r>
          </w:p>
        </w:tc>
        <w:tc>
          <w:tcPr>
            <w:tcW w:w="0" w:type="auto"/>
            <w:shd w:val="clear" w:color="auto" w:fill="C2D69B"/>
            <w:noWrap/>
            <w:vAlign w:val="center"/>
            <w:hideMark/>
          </w:tcPr>
          <w:p w14:paraId="60CCD3A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308 </w:t>
            </w:r>
          </w:p>
        </w:tc>
        <w:tc>
          <w:tcPr>
            <w:tcW w:w="0" w:type="auto"/>
            <w:shd w:val="clear" w:color="auto" w:fill="C2D69B"/>
            <w:vAlign w:val="center"/>
            <w:hideMark/>
          </w:tcPr>
          <w:p w14:paraId="2CE18B5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3AC1765"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326B3FE5" w14:textId="77777777" w:rsidTr="00B73FDB">
        <w:trPr>
          <w:tblCellSpacing w:w="15" w:type="dxa"/>
        </w:trPr>
        <w:tc>
          <w:tcPr>
            <w:tcW w:w="0" w:type="auto"/>
            <w:shd w:val="clear" w:color="auto" w:fill="C2D69B"/>
            <w:vAlign w:val="center"/>
            <w:hideMark/>
          </w:tcPr>
          <w:p w14:paraId="1661F05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64DD18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dennej formy </w:t>
            </w:r>
          </w:p>
        </w:tc>
      </w:tr>
      <w:tr w:rsidR="00B73FDB" w:rsidRPr="00B73FDB" w14:paraId="2B7B472B" w14:textId="77777777" w:rsidTr="00B73FDB">
        <w:trPr>
          <w:tblCellSpacing w:w="15" w:type="dxa"/>
        </w:trPr>
        <w:tc>
          <w:tcPr>
            <w:tcW w:w="0" w:type="auto"/>
            <w:shd w:val="clear" w:color="auto" w:fill="C2D69B"/>
            <w:vAlign w:val="center"/>
            <w:hideMark/>
          </w:tcPr>
          <w:p w14:paraId="577EFB9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D86FA6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E40B80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3E1AFE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425069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B0E1232" w14:textId="77777777" w:rsidTr="00B73FDB">
        <w:trPr>
          <w:tblCellSpacing w:w="15" w:type="dxa"/>
        </w:trPr>
        <w:tc>
          <w:tcPr>
            <w:tcW w:w="0" w:type="auto"/>
            <w:shd w:val="clear" w:color="auto" w:fill="C2D69B"/>
            <w:vAlign w:val="center"/>
            <w:hideMark/>
          </w:tcPr>
          <w:p w14:paraId="336614D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E39416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280 </w:t>
            </w:r>
          </w:p>
        </w:tc>
        <w:tc>
          <w:tcPr>
            <w:tcW w:w="0" w:type="auto"/>
            <w:shd w:val="clear" w:color="auto" w:fill="C2D69B"/>
            <w:noWrap/>
            <w:vAlign w:val="center"/>
            <w:hideMark/>
          </w:tcPr>
          <w:p w14:paraId="258E33E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296 </w:t>
            </w:r>
          </w:p>
        </w:tc>
        <w:tc>
          <w:tcPr>
            <w:tcW w:w="0" w:type="auto"/>
            <w:shd w:val="clear" w:color="auto" w:fill="C2D69B"/>
            <w:vAlign w:val="center"/>
            <w:hideMark/>
          </w:tcPr>
          <w:p w14:paraId="5B6AF78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1A67CCA" w14:textId="77777777" w:rsidR="00B73FDB" w:rsidRPr="00B73FDB" w:rsidRDefault="00B73FDB" w:rsidP="00B73FDB">
            <w:pPr>
              <w:spacing w:after="0" w:line="240" w:lineRule="auto"/>
              <w:jc w:val="center"/>
              <w:rPr>
                <w:rFonts w:cs="Calibri"/>
                <w:sz w:val="18"/>
                <w:szCs w:val="18"/>
                <w:lang w:eastAsia="sk-SK"/>
              </w:rPr>
            </w:pPr>
          </w:p>
        </w:tc>
      </w:tr>
    </w:tbl>
    <w:p w14:paraId="45DCE693"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Zameranie školy je na staviteľstvo a technické a informatické služby v stavebníctve, geodéziu, kartografiu a kataster. Forma štúdia je denná a pomaturitná. Škola prevádzkuje bazén, na ktorého fungovanie mali pridelenú dotáciu aj z Ministerstva školstva, vedy, výskumu a športu SR.</w:t>
      </w:r>
    </w:p>
    <w:p w14:paraId="46866A2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8.3.7: Stredná odborná škola geodetická, </w:t>
      </w:r>
      <w:proofErr w:type="spellStart"/>
      <w:r w:rsidRPr="00352CED">
        <w:rPr>
          <w:rFonts w:ascii="Calibri" w:hAnsi="Calibri" w:cs="Calibri"/>
          <w:b/>
          <w:color w:val="244061"/>
        </w:rPr>
        <w:t>Vazovova</w:t>
      </w:r>
      <w:proofErr w:type="spellEnd"/>
      <w:r w:rsidRPr="00352CED">
        <w:rPr>
          <w:rFonts w:ascii="Calibri" w:hAnsi="Calibri" w:cs="Calibri"/>
          <w:b/>
          <w:color w:val="244061"/>
        </w:rPr>
        <w:t xml:space="preserve"> 14, BA – rozpočtová organizácia</w:t>
      </w:r>
    </w:p>
    <w:p w14:paraId="601089FD" w14:textId="5FB29386" w:rsidR="00B73FDB" w:rsidRPr="00352CED" w:rsidRDefault="00B73FDB" w:rsidP="00352CED">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Škola bola zlúčená od 1.7.2011 so SPŠ stavebnou, Drieňová 35 v Bratislave a vznikla nová organizácia SPŠ stavebná a geodetická, Drieňová 35, Bratislava (Prvok 8.3.6).</w:t>
      </w:r>
    </w:p>
    <w:p w14:paraId="758A8A05" w14:textId="77777777" w:rsidR="00B73FDB" w:rsidRPr="00B73FDB" w:rsidRDefault="00B73FDB" w:rsidP="00B73FDB">
      <w:pPr>
        <w:keepNext/>
        <w:keepLines/>
        <w:spacing w:before="40" w:after="0" w:line="259" w:lineRule="auto"/>
        <w:jc w:val="both"/>
        <w:outlineLvl w:val="3"/>
        <w:rPr>
          <w:rFonts w:cs="Calibri"/>
          <w:i/>
          <w:iCs/>
          <w:color w:val="244061"/>
        </w:rPr>
      </w:pPr>
    </w:p>
    <w:p w14:paraId="5EDDDD39"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8.3.8: SOŠ dopravná, </w:t>
      </w:r>
      <w:proofErr w:type="spellStart"/>
      <w:r w:rsidRPr="00352CED">
        <w:rPr>
          <w:rFonts w:ascii="Calibri" w:hAnsi="Calibri" w:cs="Calibri"/>
          <w:b/>
          <w:color w:val="244061"/>
        </w:rPr>
        <w:t>Kvačalova</w:t>
      </w:r>
      <w:proofErr w:type="spellEnd"/>
      <w:r w:rsidRPr="00352CED">
        <w:rPr>
          <w:rFonts w:ascii="Calibri" w:hAnsi="Calibri" w:cs="Calibri"/>
          <w:b/>
          <w:color w:val="244061"/>
        </w:rPr>
        <w:t xml:space="preserve"> 20,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31"/>
        <w:gridCol w:w="1212"/>
        <w:gridCol w:w="1214"/>
        <w:gridCol w:w="1061"/>
        <w:gridCol w:w="1212"/>
        <w:gridCol w:w="2428"/>
      </w:tblGrid>
      <w:tr w:rsidR="00B73FDB" w:rsidRPr="00B73FDB" w14:paraId="2700F2C2" w14:textId="77777777" w:rsidTr="00B73FDB">
        <w:trPr>
          <w:tblCellSpacing w:w="15" w:type="dxa"/>
        </w:trPr>
        <w:tc>
          <w:tcPr>
            <w:tcW w:w="268" w:type="pct"/>
            <w:shd w:val="clear" w:color="auto" w:fill="C6DBF7"/>
            <w:vAlign w:val="center"/>
            <w:hideMark/>
          </w:tcPr>
          <w:p w14:paraId="007CB3D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4B0C1AA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2A67EA9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6FA05BD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75EFC93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0B06AD0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1A28B6F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6E15C70" w14:textId="77777777" w:rsidTr="00B73FDB">
        <w:trPr>
          <w:tblCellSpacing w:w="15" w:type="dxa"/>
        </w:trPr>
        <w:tc>
          <w:tcPr>
            <w:tcW w:w="268" w:type="pct"/>
            <w:shd w:val="clear" w:color="auto" w:fill="D9D9D9"/>
            <w:noWrap/>
            <w:vAlign w:val="center"/>
            <w:hideMark/>
          </w:tcPr>
          <w:p w14:paraId="6A6DD710"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12E071C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477AC26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811 929,00</w:t>
            </w:r>
            <w:r w:rsidRPr="00B73FDB">
              <w:rPr>
                <w:rFonts w:cs="Calibri"/>
                <w:sz w:val="18"/>
                <w:szCs w:val="18"/>
                <w:lang w:eastAsia="sk-SK"/>
              </w:rPr>
              <w:t xml:space="preserve"> </w:t>
            </w:r>
          </w:p>
        </w:tc>
        <w:tc>
          <w:tcPr>
            <w:tcW w:w="565" w:type="pct"/>
            <w:shd w:val="clear" w:color="auto" w:fill="D9D9D9"/>
            <w:noWrap/>
            <w:vAlign w:val="center"/>
            <w:hideMark/>
          </w:tcPr>
          <w:p w14:paraId="4B7FD53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1 032 132,26</w:t>
            </w:r>
            <w:r w:rsidRPr="00B73FDB">
              <w:rPr>
                <w:rFonts w:cs="Calibri"/>
                <w:sz w:val="18"/>
                <w:szCs w:val="18"/>
                <w:lang w:eastAsia="sk-SK"/>
              </w:rPr>
              <w:t xml:space="preserve"> </w:t>
            </w:r>
          </w:p>
        </w:tc>
        <w:tc>
          <w:tcPr>
            <w:tcW w:w="492" w:type="pct"/>
            <w:shd w:val="clear" w:color="auto" w:fill="D9D9D9"/>
            <w:noWrap/>
            <w:vAlign w:val="center"/>
            <w:hideMark/>
          </w:tcPr>
          <w:p w14:paraId="0223478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919 754,33</w:t>
            </w:r>
            <w:r w:rsidRPr="00B73FDB">
              <w:rPr>
                <w:rFonts w:cs="Calibri"/>
                <w:sz w:val="18"/>
                <w:szCs w:val="18"/>
                <w:lang w:eastAsia="sk-SK"/>
              </w:rPr>
              <w:t xml:space="preserve"> </w:t>
            </w:r>
          </w:p>
        </w:tc>
        <w:tc>
          <w:tcPr>
            <w:tcW w:w="564" w:type="pct"/>
            <w:shd w:val="clear" w:color="auto" w:fill="D9D9D9"/>
            <w:noWrap/>
            <w:vAlign w:val="center"/>
            <w:hideMark/>
          </w:tcPr>
          <w:p w14:paraId="1E7B770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89,11</w:t>
            </w:r>
            <w:r w:rsidRPr="00B73FDB">
              <w:rPr>
                <w:rFonts w:cs="Calibri"/>
                <w:sz w:val="18"/>
                <w:szCs w:val="18"/>
                <w:lang w:eastAsia="sk-SK"/>
              </w:rPr>
              <w:t xml:space="preserve"> </w:t>
            </w:r>
          </w:p>
        </w:tc>
        <w:tc>
          <w:tcPr>
            <w:tcW w:w="1137" w:type="pct"/>
            <w:vMerge w:val="restart"/>
            <w:shd w:val="clear" w:color="auto" w:fill="D9D9D9"/>
            <w:vAlign w:val="center"/>
            <w:hideMark/>
          </w:tcPr>
          <w:p w14:paraId="019347B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+197 846,00 EUR</w:t>
            </w:r>
            <w:r w:rsidRPr="00B73FDB">
              <w:rPr>
                <w:rFonts w:cs="Calibri"/>
                <w:sz w:val="18"/>
                <w:szCs w:val="18"/>
                <w:lang w:eastAsia="sk-SK"/>
              </w:rPr>
              <w:t xml:space="preserve"> normatívne finančné prostriedky,</w:t>
            </w:r>
          </w:p>
          <w:p w14:paraId="0A32994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+345,00 EUR</w:t>
            </w:r>
            <w:r w:rsidRPr="00B73FDB">
              <w:rPr>
                <w:rFonts w:cs="Calibri"/>
                <w:sz w:val="18"/>
                <w:szCs w:val="18"/>
                <w:lang w:eastAsia="sk-SK"/>
              </w:rPr>
              <w:t xml:space="preserve"> normatívne finančné prostriedky na maturity,</w:t>
            </w:r>
          </w:p>
          <w:p w14:paraId="522F57A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+301,00 EUR </w:t>
            </w:r>
            <w:r w:rsidRPr="00B73FDB">
              <w:rPr>
                <w:rFonts w:cs="Calibri"/>
                <w:sz w:val="18"/>
                <w:szCs w:val="18"/>
                <w:lang w:eastAsia="sk-SK"/>
              </w:rPr>
              <w:t>nenormatívne finančné prostriedky na vzdelávacie poukazy,</w:t>
            </w:r>
          </w:p>
          <w:p w14:paraId="7D4216E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+3 929,00 EUR</w:t>
            </w:r>
            <w:r w:rsidRPr="00B73FDB">
              <w:rPr>
                <w:rFonts w:cs="Calibri"/>
                <w:sz w:val="18"/>
                <w:szCs w:val="18"/>
                <w:lang w:eastAsia="sk-SK"/>
              </w:rPr>
              <w:t xml:space="preserve"> odchodné do dôchodku,</w:t>
            </w:r>
          </w:p>
          <w:p w14:paraId="6B75F98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+3 896,36 EUR</w:t>
            </w:r>
            <w:r w:rsidRPr="00B73FDB">
              <w:rPr>
                <w:rFonts w:cs="Calibri"/>
                <w:sz w:val="18"/>
                <w:szCs w:val="18"/>
                <w:lang w:eastAsia="sk-SK"/>
              </w:rPr>
              <w:t xml:space="preserve"> nevyčerpané finančné prostriedky z r. 2019,</w:t>
            </w:r>
          </w:p>
          <w:p w14:paraId="27F3A1D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-2 000,00 EUR</w:t>
            </w:r>
            <w:r w:rsidRPr="00B73FDB">
              <w:rPr>
                <w:rFonts w:cs="Calibri"/>
                <w:sz w:val="18"/>
                <w:szCs w:val="18"/>
                <w:lang w:eastAsia="sk-SK"/>
              </w:rPr>
              <w:t xml:space="preserve"> rozvojový projekt,</w:t>
            </w:r>
          </w:p>
          <w:p w14:paraId="489391B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+2 259,90 EUR</w:t>
            </w:r>
            <w:r w:rsidRPr="00B73FDB">
              <w:rPr>
                <w:rFonts w:cs="Calibri"/>
                <w:sz w:val="18"/>
                <w:szCs w:val="18"/>
                <w:lang w:eastAsia="sk-SK"/>
              </w:rPr>
              <w:t xml:space="preserve"> projekt z MPC,</w:t>
            </w:r>
          </w:p>
          <w:p w14:paraId="6048E0B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+13 626,00 EUR</w:t>
            </w:r>
            <w:r w:rsidRPr="00B73FDB">
              <w:rPr>
                <w:rFonts w:cs="Calibri"/>
                <w:sz w:val="18"/>
                <w:szCs w:val="18"/>
                <w:lang w:eastAsia="sk-SK"/>
              </w:rPr>
              <w:t xml:space="preserve"> navýšenie rozpočtu projektového účtu.</w:t>
            </w:r>
          </w:p>
        </w:tc>
      </w:tr>
      <w:tr w:rsidR="00B73FDB" w:rsidRPr="00B73FDB" w14:paraId="3964BC3E" w14:textId="77777777" w:rsidTr="00B73FDB">
        <w:trPr>
          <w:tblCellSpacing w:w="15" w:type="dxa"/>
        </w:trPr>
        <w:tc>
          <w:tcPr>
            <w:tcW w:w="268" w:type="pct"/>
            <w:shd w:val="clear" w:color="auto" w:fill="D9D9D9"/>
            <w:noWrap/>
            <w:vAlign w:val="center"/>
            <w:hideMark/>
          </w:tcPr>
          <w:p w14:paraId="6EA428F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2AC4D51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5C2EA35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811 929,00</w:t>
            </w:r>
            <w:r w:rsidRPr="00B73FDB">
              <w:rPr>
                <w:rFonts w:cs="Calibri"/>
                <w:sz w:val="18"/>
                <w:szCs w:val="18"/>
                <w:lang w:eastAsia="sk-SK"/>
              </w:rPr>
              <w:t xml:space="preserve"> </w:t>
            </w:r>
          </w:p>
        </w:tc>
        <w:tc>
          <w:tcPr>
            <w:tcW w:w="565" w:type="pct"/>
            <w:shd w:val="clear" w:color="auto" w:fill="D9D9D9"/>
            <w:noWrap/>
            <w:vAlign w:val="center"/>
            <w:hideMark/>
          </w:tcPr>
          <w:p w14:paraId="043D73B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1 032 132,26</w:t>
            </w:r>
            <w:r w:rsidRPr="00B73FDB">
              <w:rPr>
                <w:rFonts w:cs="Calibri"/>
                <w:sz w:val="18"/>
                <w:szCs w:val="18"/>
                <w:lang w:eastAsia="sk-SK"/>
              </w:rPr>
              <w:t xml:space="preserve"> </w:t>
            </w:r>
          </w:p>
        </w:tc>
        <w:tc>
          <w:tcPr>
            <w:tcW w:w="492" w:type="pct"/>
            <w:shd w:val="clear" w:color="auto" w:fill="D9D9D9"/>
            <w:noWrap/>
            <w:vAlign w:val="center"/>
            <w:hideMark/>
          </w:tcPr>
          <w:p w14:paraId="448BDF0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919 754,33</w:t>
            </w:r>
            <w:r w:rsidRPr="00B73FDB">
              <w:rPr>
                <w:rFonts w:cs="Calibri"/>
                <w:sz w:val="18"/>
                <w:szCs w:val="18"/>
                <w:lang w:eastAsia="sk-SK"/>
              </w:rPr>
              <w:t xml:space="preserve"> </w:t>
            </w:r>
          </w:p>
        </w:tc>
        <w:tc>
          <w:tcPr>
            <w:tcW w:w="564" w:type="pct"/>
            <w:shd w:val="clear" w:color="auto" w:fill="D9D9D9"/>
            <w:noWrap/>
            <w:vAlign w:val="center"/>
            <w:hideMark/>
          </w:tcPr>
          <w:p w14:paraId="44F91E2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89,11</w:t>
            </w:r>
            <w:r w:rsidRPr="00B73FDB">
              <w:rPr>
                <w:rFonts w:cs="Calibri"/>
                <w:sz w:val="18"/>
                <w:szCs w:val="18"/>
                <w:lang w:eastAsia="sk-SK"/>
              </w:rPr>
              <w:t xml:space="preserve"> </w:t>
            </w:r>
          </w:p>
        </w:tc>
        <w:tc>
          <w:tcPr>
            <w:tcW w:w="1137" w:type="pct"/>
            <w:vMerge/>
            <w:shd w:val="clear" w:color="auto" w:fill="D9D9D9"/>
            <w:vAlign w:val="center"/>
            <w:hideMark/>
          </w:tcPr>
          <w:p w14:paraId="2406F153"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05CB7F7F" w14:textId="77777777" w:rsidTr="00B73FDB">
        <w:trPr>
          <w:tblCellSpacing w:w="15" w:type="dxa"/>
        </w:trPr>
        <w:tc>
          <w:tcPr>
            <w:tcW w:w="268" w:type="pct"/>
            <w:shd w:val="clear" w:color="auto" w:fill="EFEFEF"/>
            <w:noWrap/>
            <w:vAlign w:val="center"/>
            <w:hideMark/>
          </w:tcPr>
          <w:p w14:paraId="68966E1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lastRenderedPageBreak/>
              <w:t xml:space="preserve">610 </w:t>
            </w:r>
          </w:p>
        </w:tc>
        <w:tc>
          <w:tcPr>
            <w:tcW w:w="1288" w:type="pct"/>
            <w:shd w:val="clear" w:color="auto" w:fill="EFEFEF"/>
            <w:vAlign w:val="center"/>
            <w:hideMark/>
          </w:tcPr>
          <w:p w14:paraId="6E0B355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3F0A062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456 144,00 </w:t>
            </w:r>
          </w:p>
        </w:tc>
        <w:tc>
          <w:tcPr>
            <w:tcW w:w="565" w:type="pct"/>
            <w:shd w:val="clear" w:color="auto" w:fill="EFEFEF"/>
            <w:noWrap/>
            <w:vAlign w:val="center"/>
            <w:hideMark/>
          </w:tcPr>
          <w:p w14:paraId="7E9BAF6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521 849,64 </w:t>
            </w:r>
          </w:p>
        </w:tc>
        <w:tc>
          <w:tcPr>
            <w:tcW w:w="492" w:type="pct"/>
            <w:shd w:val="clear" w:color="auto" w:fill="EFEFEF"/>
            <w:noWrap/>
            <w:vAlign w:val="center"/>
            <w:hideMark/>
          </w:tcPr>
          <w:p w14:paraId="35A5186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521 849,64 </w:t>
            </w:r>
          </w:p>
        </w:tc>
        <w:tc>
          <w:tcPr>
            <w:tcW w:w="564" w:type="pct"/>
            <w:shd w:val="clear" w:color="auto" w:fill="EFEFEF"/>
            <w:noWrap/>
            <w:vAlign w:val="center"/>
            <w:hideMark/>
          </w:tcPr>
          <w:p w14:paraId="19A6D9F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31041CA4" w14:textId="77777777" w:rsidR="00B73FDB" w:rsidRPr="00B73FDB" w:rsidRDefault="00B73FDB" w:rsidP="00B73FDB">
            <w:pPr>
              <w:spacing w:after="0" w:line="240" w:lineRule="auto"/>
              <w:rPr>
                <w:rFonts w:cs="Calibri"/>
                <w:sz w:val="18"/>
                <w:szCs w:val="18"/>
                <w:lang w:eastAsia="sk-SK"/>
              </w:rPr>
            </w:pPr>
          </w:p>
        </w:tc>
      </w:tr>
      <w:tr w:rsidR="00B73FDB" w:rsidRPr="00B73FDB" w14:paraId="02933594" w14:textId="77777777" w:rsidTr="00B73FDB">
        <w:trPr>
          <w:tblCellSpacing w:w="15" w:type="dxa"/>
        </w:trPr>
        <w:tc>
          <w:tcPr>
            <w:tcW w:w="268" w:type="pct"/>
            <w:shd w:val="clear" w:color="auto" w:fill="EFEFEF"/>
            <w:noWrap/>
            <w:vAlign w:val="center"/>
            <w:hideMark/>
          </w:tcPr>
          <w:p w14:paraId="6AE6DC4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359DE2B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050F6C9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177 455,00 </w:t>
            </w:r>
          </w:p>
        </w:tc>
        <w:tc>
          <w:tcPr>
            <w:tcW w:w="565" w:type="pct"/>
            <w:shd w:val="clear" w:color="auto" w:fill="EFEFEF"/>
            <w:noWrap/>
            <w:vAlign w:val="center"/>
            <w:hideMark/>
          </w:tcPr>
          <w:p w14:paraId="3BC6664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185 112,65 </w:t>
            </w:r>
          </w:p>
        </w:tc>
        <w:tc>
          <w:tcPr>
            <w:tcW w:w="492" w:type="pct"/>
            <w:shd w:val="clear" w:color="auto" w:fill="EFEFEF"/>
            <w:noWrap/>
            <w:vAlign w:val="center"/>
            <w:hideMark/>
          </w:tcPr>
          <w:p w14:paraId="454D8D5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185 112,65 </w:t>
            </w:r>
          </w:p>
        </w:tc>
        <w:tc>
          <w:tcPr>
            <w:tcW w:w="564" w:type="pct"/>
            <w:shd w:val="clear" w:color="auto" w:fill="EFEFEF"/>
            <w:noWrap/>
            <w:vAlign w:val="center"/>
            <w:hideMark/>
          </w:tcPr>
          <w:p w14:paraId="4B338E7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13ECE829" w14:textId="77777777" w:rsidR="00B73FDB" w:rsidRPr="00B73FDB" w:rsidRDefault="00B73FDB" w:rsidP="00B73FDB">
            <w:pPr>
              <w:spacing w:after="0" w:line="240" w:lineRule="auto"/>
              <w:rPr>
                <w:rFonts w:cs="Calibri"/>
                <w:sz w:val="18"/>
                <w:szCs w:val="18"/>
                <w:lang w:eastAsia="sk-SK"/>
              </w:rPr>
            </w:pPr>
          </w:p>
        </w:tc>
      </w:tr>
      <w:tr w:rsidR="00B73FDB" w:rsidRPr="00B73FDB" w14:paraId="333D8D3C" w14:textId="77777777" w:rsidTr="00B73FDB">
        <w:trPr>
          <w:tblCellSpacing w:w="15" w:type="dxa"/>
        </w:trPr>
        <w:tc>
          <w:tcPr>
            <w:tcW w:w="268" w:type="pct"/>
            <w:shd w:val="clear" w:color="auto" w:fill="EFEFEF"/>
            <w:noWrap/>
            <w:vAlign w:val="center"/>
            <w:hideMark/>
          </w:tcPr>
          <w:p w14:paraId="647B299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63F7298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1C00D5D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178 330,00 </w:t>
            </w:r>
          </w:p>
        </w:tc>
        <w:tc>
          <w:tcPr>
            <w:tcW w:w="565" w:type="pct"/>
            <w:shd w:val="clear" w:color="auto" w:fill="EFEFEF"/>
            <w:noWrap/>
            <w:vAlign w:val="center"/>
            <w:hideMark/>
          </w:tcPr>
          <w:p w14:paraId="671882F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312 905,50 </w:t>
            </w:r>
          </w:p>
        </w:tc>
        <w:tc>
          <w:tcPr>
            <w:tcW w:w="492" w:type="pct"/>
            <w:shd w:val="clear" w:color="auto" w:fill="EFEFEF"/>
            <w:noWrap/>
            <w:vAlign w:val="center"/>
            <w:hideMark/>
          </w:tcPr>
          <w:p w14:paraId="3265A3E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200 527,57 </w:t>
            </w:r>
          </w:p>
        </w:tc>
        <w:tc>
          <w:tcPr>
            <w:tcW w:w="564" w:type="pct"/>
            <w:shd w:val="clear" w:color="auto" w:fill="EFEFEF"/>
            <w:noWrap/>
            <w:vAlign w:val="center"/>
            <w:hideMark/>
          </w:tcPr>
          <w:p w14:paraId="004DFB7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64,09 </w:t>
            </w:r>
          </w:p>
        </w:tc>
        <w:tc>
          <w:tcPr>
            <w:tcW w:w="1137" w:type="pct"/>
            <w:vMerge/>
            <w:shd w:val="clear" w:color="auto" w:fill="EFEFEF"/>
            <w:vAlign w:val="center"/>
            <w:hideMark/>
          </w:tcPr>
          <w:p w14:paraId="4AB595B8" w14:textId="77777777" w:rsidR="00B73FDB" w:rsidRPr="00B73FDB" w:rsidRDefault="00B73FDB" w:rsidP="00B73FDB">
            <w:pPr>
              <w:spacing w:after="0" w:line="240" w:lineRule="auto"/>
              <w:rPr>
                <w:rFonts w:cs="Calibri"/>
                <w:sz w:val="18"/>
                <w:szCs w:val="18"/>
                <w:lang w:eastAsia="sk-SK"/>
              </w:rPr>
            </w:pPr>
          </w:p>
        </w:tc>
      </w:tr>
    </w:tbl>
    <w:p w14:paraId="5B601368"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006D7E4A" w14:textId="77777777" w:rsidTr="00B73FDB">
        <w:trPr>
          <w:tblCellSpacing w:w="15" w:type="dxa"/>
        </w:trPr>
        <w:tc>
          <w:tcPr>
            <w:tcW w:w="0" w:type="auto"/>
            <w:shd w:val="clear" w:color="auto" w:fill="C2D69B"/>
            <w:vAlign w:val="center"/>
            <w:hideMark/>
          </w:tcPr>
          <w:p w14:paraId="0FD56A1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95441D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7867E95F" w14:textId="77777777" w:rsidTr="00B73FDB">
        <w:trPr>
          <w:tblCellSpacing w:w="15" w:type="dxa"/>
        </w:trPr>
        <w:tc>
          <w:tcPr>
            <w:tcW w:w="0" w:type="auto"/>
            <w:shd w:val="clear" w:color="auto" w:fill="C2D69B"/>
            <w:vAlign w:val="center"/>
            <w:hideMark/>
          </w:tcPr>
          <w:p w14:paraId="0392996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A14BB7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3E5137EB" w14:textId="77777777" w:rsidTr="00B73FDB">
        <w:trPr>
          <w:tblCellSpacing w:w="15" w:type="dxa"/>
        </w:trPr>
        <w:tc>
          <w:tcPr>
            <w:tcW w:w="0" w:type="auto"/>
            <w:shd w:val="clear" w:color="auto" w:fill="C2D69B"/>
            <w:vAlign w:val="center"/>
            <w:hideMark/>
          </w:tcPr>
          <w:p w14:paraId="4570E41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6EA873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A1FEA88" w14:textId="77777777" w:rsidTr="00B73FDB">
        <w:trPr>
          <w:tblCellSpacing w:w="15" w:type="dxa"/>
        </w:trPr>
        <w:tc>
          <w:tcPr>
            <w:tcW w:w="0" w:type="auto"/>
            <w:shd w:val="clear" w:color="auto" w:fill="C2D69B"/>
            <w:vAlign w:val="center"/>
            <w:hideMark/>
          </w:tcPr>
          <w:p w14:paraId="4CDB196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C6A2E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087CE0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4F7CC5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16711B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06282100" w14:textId="77777777" w:rsidTr="00B73FDB">
        <w:trPr>
          <w:tblCellSpacing w:w="15" w:type="dxa"/>
        </w:trPr>
        <w:tc>
          <w:tcPr>
            <w:tcW w:w="0" w:type="auto"/>
            <w:shd w:val="clear" w:color="auto" w:fill="C2D69B"/>
            <w:vAlign w:val="center"/>
            <w:hideMark/>
          </w:tcPr>
          <w:p w14:paraId="257534B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C73BA4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275 </w:t>
            </w:r>
          </w:p>
        </w:tc>
        <w:tc>
          <w:tcPr>
            <w:tcW w:w="0" w:type="auto"/>
            <w:shd w:val="clear" w:color="auto" w:fill="C2D69B"/>
            <w:noWrap/>
            <w:vAlign w:val="center"/>
            <w:hideMark/>
          </w:tcPr>
          <w:p w14:paraId="1EBEFEC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321 </w:t>
            </w:r>
          </w:p>
        </w:tc>
        <w:tc>
          <w:tcPr>
            <w:tcW w:w="0" w:type="auto"/>
            <w:shd w:val="clear" w:color="auto" w:fill="C2D69B"/>
            <w:vAlign w:val="center"/>
            <w:hideMark/>
          </w:tcPr>
          <w:p w14:paraId="2041EEB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C6FC01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AFC1C17" w14:textId="77777777" w:rsidTr="00B73FDB">
        <w:trPr>
          <w:tblCellSpacing w:w="15" w:type="dxa"/>
        </w:trPr>
        <w:tc>
          <w:tcPr>
            <w:tcW w:w="0" w:type="auto"/>
            <w:shd w:val="clear" w:color="auto" w:fill="C2D69B"/>
            <w:vAlign w:val="center"/>
            <w:hideMark/>
          </w:tcPr>
          <w:p w14:paraId="4C86A1C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3F9A3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097D9490" w14:textId="77777777" w:rsidTr="00B73FDB">
        <w:trPr>
          <w:tblCellSpacing w:w="15" w:type="dxa"/>
        </w:trPr>
        <w:tc>
          <w:tcPr>
            <w:tcW w:w="0" w:type="auto"/>
            <w:shd w:val="clear" w:color="auto" w:fill="C2D69B"/>
            <w:vAlign w:val="center"/>
            <w:hideMark/>
          </w:tcPr>
          <w:p w14:paraId="34CE963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46693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E47B44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FDC460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077A83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CBEA759" w14:textId="77777777" w:rsidTr="00B73FDB">
        <w:trPr>
          <w:tblCellSpacing w:w="15" w:type="dxa"/>
        </w:trPr>
        <w:tc>
          <w:tcPr>
            <w:tcW w:w="0" w:type="auto"/>
            <w:shd w:val="clear" w:color="auto" w:fill="C2D69B"/>
            <w:vAlign w:val="center"/>
            <w:hideMark/>
          </w:tcPr>
          <w:p w14:paraId="31B9037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1C70FE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268 </w:t>
            </w:r>
          </w:p>
        </w:tc>
        <w:tc>
          <w:tcPr>
            <w:tcW w:w="0" w:type="auto"/>
            <w:shd w:val="clear" w:color="auto" w:fill="C2D69B"/>
            <w:noWrap/>
            <w:vAlign w:val="center"/>
            <w:hideMark/>
          </w:tcPr>
          <w:p w14:paraId="6CBA42C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300 </w:t>
            </w:r>
          </w:p>
        </w:tc>
        <w:tc>
          <w:tcPr>
            <w:tcW w:w="0" w:type="auto"/>
            <w:shd w:val="clear" w:color="auto" w:fill="C2D69B"/>
            <w:vAlign w:val="center"/>
            <w:hideMark/>
          </w:tcPr>
          <w:p w14:paraId="409FFE4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4E9E9E4" w14:textId="77777777" w:rsidR="00B73FDB" w:rsidRPr="00B73FDB" w:rsidRDefault="00B73FDB" w:rsidP="00B73FDB">
            <w:pPr>
              <w:spacing w:after="0" w:line="240" w:lineRule="auto"/>
              <w:jc w:val="center"/>
              <w:rPr>
                <w:rFonts w:cs="Calibri"/>
                <w:sz w:val="18"/>
                <w:szCs w:val="18"/>
                <w:lang w:eastAsia="sk-SK"/>
              </w:rPr>
            </w:pPr>
          </w:p>
        </w:tc>
      </w:tr>
    </w:tbl>
    <w:p w14:paraId="2926BACE"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dopravný priemysel a prevádzku, najmä na učebný odbor </w:t>
      </w:r>
      <w:proofErr w:type="spellStart"/>
      <w:r w:rsidRPr="00B73FDB">
        <w:rPr>
          <w:rFonts w:cs="Calibri"/>
          <w:sz w:val="24"/>
          <w:szCs w:val="24"/>
          <w:lang w:eastAsia="sk-SK"/>
        </w:rPr>
        <w:t>autoopravár</w:t>
      </w:r>
      <w:proofErr w:type="spellEnd"/>
      <w:r w:rsidRPr="00B73FDB">
        <w:rPr>
          <w:rFonts w:cs="Calibri"/>
          <w:sz w:val="24"/>
          <w:szCs w:val="24"/>
          <w:lang w:eastAsia="sk-SK"/>
        </w:rPr>
        <w:t xml:space="preserve">. Ide o dennú formu štúdia a nadstavbové štúdium. </w:t>
      </w:r>
    </w:p>
    <w:p w14:paraId="4DD93086"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8.3.9: SOŠ drevárska, </w:t>
      </w:r>
      <w:proofErr w:type="spellStart"/>
      <w:r w:rsidRPr="00352CED">
        <w:rPr>
          <w:rFonts w:ascii="Calibri" w:hAnsi="Calibri" w:cs="Calibri"/>
          <w:b/>
          <w:color w:val="244061"/>
        </w:rPr>
        <w:t>Pavlovičova</w:t>
      </w:r>
      <w:proofErr w:type="spellEnd"/>
      <w:r w:rsidRPr="00352CED">
        <w:rPr>
          <w:rFonts w:ascii="Calibri" w:hAnsi="Calibri" w:cs="Calibri"/>
          <w:b/>
          <w:color w:val="244061"/>
        </w:rPr>
        <w:t xml:space="preserve"> 3, BA – príspevková organizácia</w:t>
      </w:r>
    </w:p>
    <w:p w14:paraId="20276DA8"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Od 1. 7. 2013 bola škola zlúčená so Spojenou školou, Tokajícka 24 v Bratislave (Prvok 8.3.21).</w:t>
      </w:r>
    </w:p>
    <w:p w14:paraId="23A68BDE"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8.3.10: SOŠ polygrafická, Račianska 190,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6"/>
        <w:gridCol w:w="1210"/>
        <w:gridCol w:w="1210"/>
        <w:gridCol w:w="1081"/>
        <w:gridCol w:w="1208"/>
        <w:gridCol w:w="2428"/>
      </w:tblGrid>
      <w:tr w:rsidR="00B73FDB" w:rsidRPr="00B73FDB" w14:paraId="274A0A3A" w14:textId="77777777" w:rsidTr="00B73FDB">
        <w:trPr>
          <w:tblCellSpacing w:w="15" w:type="dxa"/>
        </w:trPr>
        <w:tc>
          <w:tcPr>
            <w:tcW w:w="266" w:type="pct"/>
            <w:shd w:val="clear" w:color="auto" w:fill="C6DBF7"/>
            <w:vAlign w:val="center"/>
            <w:hideMark/>
          </w:tcPr>
          <w:p w14:paraId="4750823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76A0452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7D89ECD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2F4EED5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2" w:type="pct"/>
            <w:shd w:val="clear" w:color="auto" w:fill="C6DBF7"/>
            <w:vAlign w:val="center"/>
            <w:hideMark/>
          </w:tcPr>
          <w:p w14:paraId="01F2D26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5B7DB58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00AA7B5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5162C0C" w14:textId="77777777" w:rsidTr="00B73FDB">
        <w:trPr>
          <w:tblCellSpacing w:w="15" w:type="dxa"/>
        </w:trPr>
        <w:tc>
          <w:tcPr>
            <w:tcW w:w="266" w:type="pct"/>
            <w:shd w:val="clear" w:color="auto" w:fill="D9D9D9"/>
            <w:noWrap/>
            <w:vAlign w:val="center"/>
            <w:hideMark/>
          </w:tcPr>
          <w:p w14:paraId="5E771C33"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1A81C0A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7EC8D36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1 216 790,00</w:t>
            </w:r>
            <w:r w:rsidRPr="00B73FDB">
              <w:rPr>
                <w:rFonts w:cs="Calibri"/>
                <w:sz w:val="18"/>
                <w:szCs w:val="18"/>
                <w:lang w:eastAsia="sk-SK"/>
              </w:rPr>
              <w:t xml:space="preserve"> </w:t>
            </w:r>
          </w:p>
        </w:tc>
        <w:tc>
          <w:tcPr>
            <w:tcW w:w="563" w:type="pct"/>
            <w:shd w:val="clear" w:color="auto" w:fill="D9D9D9"/>
            <w:noWrap/>
            <w:vAlign w:val="center"/>
            <w:hideMark/>
          </w:tcPr>
          <w:p w14:paraId="7962351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1 314 138,48</w:t>
            </w:r>
            <w:r w:rsidRPr="00B73FDB">
              <w:rPr>
                <w:rFonts w:cs="Calibri"/>
                <w:sz w:val="18"/>
                <w:szCs w:val="18"/>
                <w:lang w:eastAsia="sk-SK"/>
              </w:rPr>
              <w:t xml:space="preserve"> </w:t>
            </w:r>
          </w:p>
        </w:tc>
        <w:tc>
          <w:tcPr>
            <w:tcW w:w="502" w:type="pct"/>
            <w:shd w:val="clear" w:color="auto" w:fill="D9D9D9"/>
            <w:noWrap/>
            <w:vAlign w:val="center"/>
            <w:hideMark/>
          </w:tcPr>
          <w:p w14:paraId="479B68C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1 314 138,48</w:t>
            </w:r>
            <w:r w:rsidRPr="00B73FDB">
              <w:rPr>
                <w:rFonts w:cs="Calibri"/>
                <w:sz w:val="18"/>
                <w:szCs w:val="18"/>
                <w:lang w:eastAsia="sk-SK"/>
              </w:rPr>
              <w:t xml:space="preserve"> </w:t>
            </w:r>
          </w:p>
        </w:tc>
        <w:tc>
          <w:tcPr>
            <w:tcW w:w="562" w:type="pct"/>
            <w:shd w:val="clear" w:color="auto" w:fill="D9D9D9"/>
            <w:noWrap/>
            <w:vAlign w:val="center"/>
            <w:hideMark/>
          </w:tcPr>
          <w:p w14:paraId="300F87C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val="restart"/>
            <w:shd w:val="clear" w:color="auto" w:fill="D9D9D9"/>
            <w:vAlign w:val="center"/>
            <w:hideMark/>
          </w:tcPr>
          <w:p w14:paraId="5ED82C2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+93 664,48 EUR</w:t>
            </w:r>
            <w:r w:rsidRPr="00B73FDB">
              <w:rPr>
                <w:rFonts w:cs="Calibri"/>
                <w:sz w:val="18"/>
                <w:szCs w:val="18"/>
                <w:lang w:eastAsia="sk-SK"/>
              </w:rPr>
              <w:t xml:space="preserve"> normatívne finančné prostriedky,</w:t>
            </w:r>
          </w:p>
          <w:p w14:paraId="262234E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+226,00 EUR</w:t>
            </w:r>
            <w:r w:rsidRPr="00B73FDB">
              <w:rPr>
                <w:rFonts w:cs="Calibri"/>
                <w:sz w:val="18"/>
                <w:szCs w:val="18"/>
                <w:lang w:eastAsia="sk-SK"/>
              </w:rPr>
              <w:t xml:space="preserve"> normatívne finančné prostriedky na maturity,</w:t>
            </w:r>
          </w:p>
          <w:p w14:paraId="09552565"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+3 384,00 EUR</w:t>
            </w:r>
            <w:r w:rsidRPr="00B73FDB">
              <w:rPr>
                <w:rFonts w:cs="Calibri"/>
                <w:sz w:val="18"/>
                <w:szCs w:val="18"/>
                <w:lang w:eastAsia="sk-SK"/>
              </w:rPr>
              <w:t xml:space="preserve"> príspevok na rekreáciu zamestnancov,</w:t>
            </w:r>
          </w:p>
          <w:p w14:paraId="2288372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-376,00 EUR </w:t>
            </w:r>
            <w:r w:rsidRPr="00B73FDB">
              <w:rPr>
                <w:rFonts w:cs="Calibri"/>
                <w:sz w:val="18"/>
                <w:szCs w:val="18"/>
                <w:lang w:eastAsia="sk-SK"/>
              </w:rPr>
              <w:t>nenormatívne finančné prostriedky na vzdelávacie poukazy,</w:t>
            </w:r>
          </w:p>
          <w:p w14:paraId="5EB7E9F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+1 200,00 EUR</w:t>
            </w:r>
            <w:r w:rsidRPr="00B73FDB">
              <w:rPr>
                <w:rFonts w:cs="Calibri"/>
                <w:sz w:val="18"/>
                <w:szCs w:val="18"/>
                <w:lang w:eastAsia="sk-SK"/>
              </w:rPr>
              <w:t xml:space="preserve"> nenormatívne finančné prostriedky za mimoriadne výsledky žiakov,</w:t>
            </w:r>
          </w:p>
          <w:p w14:paraId="5097A80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-750,00 EUR</w:t>
            </w:r>
            <w:r w:rsidRPr="00B73FDB">
              <w:rPr>
                <w:rFonts w:cs="Calibri"/>
                <w:sz w:val="18"/>
                <w:szCs w:val="18"/>
                <w:lang w:eastAsia="sk-SK"/>
              </w:rPr>
              <w:t xml:space="preserve"> nenormatívne finančné prostriedky na lyžiarske kurzy.</w:t>
            </w:r>
          </w:p>
        </w:tc>
      </w:tr>
      <w:tr w:rsidR="00B73FDB" w:rsidRPr="00B73FDB" w14:paraId="00F78D91" w14:textId="77777777" w:rsidTr="00B73FDB">
        <w:trPr>
          <w:tblCellSpacing w:w="15" w:type="dxa"/>
        </w:trPr>
        <w:tc>
          <w:tcPr>
            <w:tcW w:w="266" w:type="pct"/>
            <w:shd w:val="clear" w:color="auto" w:fill="D9D9D9"/>
            <w:noWrap/>
            <w:vAlign w:val="center"/>
            <w:hideMark/>
          </w:tcPr>
          <w:p w14:paraId="1EA4ACD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2E877DD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1EF34A6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1 216 790,00</w:t>
            </w:r>
            <w:r w:rsidRPr="00B73FDB">
              <w:rPr>
                <w:rFonts w:cs="Calibri"/>
                <w:sz w:val="18"/>
                <w:szCs w:val="18"/>
                <w:lang w:eastAsia="sk-SK"/>
              </w:rPr>
              <w:t xml:space="preserve"> </w:t>
            </w:r>
          </w:p>
        </w:tc>
        <w:tc>
          <w:tcPr>
            <w:tcW w:w="563" w:type="pct"/>
            <w:shd w:val="clear" w:color="auto" w:fill="D9D9D9"/>
            <w:noWrap/>
            <w:vAlign w:val="center"/>
            <w:hideMark/>
          </w:tcPr>
          <w:p w14:paraId="7679BB6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1 314 138,48</w:t>
            </w:r>
            <w:r w:rsidRPr="00B73FDB">
              <w:rPr>
                <w:rFonts w:cs="Calibri"/>
                <w:sz w:val="18"/>
                <w:szCs w:val="18"/>
                <w:lang w:eastAsia="sk-SK"/>
              </w:rPr>
              <w:t xml:space="preserve"> </w:t>
            </w:r>
          </w:p>
        </w:tc>
        <w:tc>
          <w:tcPr>
            <w:tcW w:w="502" w:type="pct"/>
            <w:shd w:val="clear" w:color="auto" w:fill="D9D9D9"/>
            <w:noWrap/>
            <w:vAlign w:val="center"/>
            <w:hideMark/>
          </w:tcPr>
          <w:p w14:paraId="3716B5B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1 314 138,48</w:t>
            </w:r>
            <w:r w:rsidRPr="00B73FDB">
              <w:rPr>
                <w:rFonts w:cs="Calibri"/>
                <w:sz w:val="18"/>
                <w:szCs w:val="18"/>
                <w:lang w:eastAsia="sk-SK"/>
              </w:rPr>
              <w:t xml:space="preserve"> </w:t>
            </w:r>
          </w:p>
        </w:tc>
        <w:tc>
          <w:tcPr>
            <w:tcW w:w="562" w:type="pct"/>
            <w:shd w:val="clear" w:color="auto" w:fill="D9D9D9"/>
            <w:noWrap/>
            <w:vAlign w:val="center"/>
            <w:hideMark/>
          </w:tcPr>
          <w:p w14:paraId="7D46AF0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shd w:val="clear" w:color="auto" w:fill="D9D9D9"/>
            <w:vAlign w:val="center"/>
            <w:hideMark/>
          </w:tcPr>
          <w:p w14:paraId="1BB4C508"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3BC2F9F7" w14:textId="77777777" w:rsidTr="00B73FDB">
        <w:trPr>
          <w:tblCellSpacing w:w="15" w:type="dxa"/>
        </w:trPr>
        <w:tc>
          <w:tcPr>
            <w:tcW w:w="266" w:type="pct"/>
            <w:shd w:val="clear" w:color="auto" w:fill="EFEFEF"/>
            <w:noWrap/>
            <w:vAlign w:val="center"/>
            <w:hideMark/>
          </w:tcPr>
          <w:p w14:paraId="33FE95F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48CD127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7E49E80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1 216 790,00 </w:t>
            </w:r>
          </w:p>
        </w:tc>
        <w:tc>
          <w:tcPr>
            <w:tcW w:w="563" w:type="pct"/>
            <w:shd w:val="clear" w:color="auto" w:fill="EFEFEF"/>
            <w:noWrap/>
            <w:vAlign w:val="center"/>
            <w:hideMark/>
          </w:tcPr>
          <w:p w14:paraId="7457750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1 314 138,48 </w:t>
            </w:r>
          </w:p>
        </w:tc>
        <w:tc>
          <w:tcPr>
            <w:tcW w:w="502" w:type="pct"/>
            <w:shd w:val="clear" w:color="auto" w:fill="EFEFEF"/>
            <w:noWrap/>
            <w:vAlign w:val="center"/>
            <w:hideMark/>
          </w:tcPr>
          <w:p w14:paraId="5A31DD7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1 314 138,48 </w:t>
            </w:r>
          </w:p>
        </w:tc>
        <w:tc>
          <w:tcPr>
            <w:tcW w:w="562" w:type="pct"/>
            <w:shd w:val="clear" w:color="auto" w:fill="EFEFEF"/>
            <w:noWrap/>
            <w:vAlign w:val="center"/>
            <w:hideMark/>
          </w:tcPr>
          <w:p w14:paraId="460A208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0D8ED661" w14:textId="77777777" w:rsidR="00B73FDB" w:rsidRPr="00B73FDB" w:rsidRDefault="00B73FDB" w:rsidP="00B73FDB">
            <w:pPr>
              <w:spacing w:after="0" w:line="240" w:lineRule="auto"/>
              <w:rPr>
                <w:rFonts w:cs="Calibri"/>
                <w:sz w:val="18"/>
                <w:szCs w:val="18"/>
                <w:lang w:eastAsia="sk-SK"/>
              </w:rPr>
            </w:pPr>
          </w:p>
        </w:tc>
      </w:tr>
    </w:tbl>
    <w:p w14:paraId="41FC5172"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757A3568" w14:textId="77777777" w:rsidTr="00B73FDB">
        <w:trPr>
          <w:tblCellSpacing w:w="15" w:type="dxa"/>
        </w:trPr>
        <w:tc>
          <w:tcPr>
            <w:tcW w:w="0" w:type="auto"/>
            <w:shd w:val="clear" w:color="auto" w:fill="C2D69B"/>
            <w:vAlign w:val="center"/>
            <w:hideMark/>
          </w:tcPr>
          <w:p w14:paraId="07CD5EA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CB4F72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679C007" w14:textId="77777777" w:rsidTr="00B73FDB">
        <w:trPr>
          <w:tblCellSpacing w:w="15" w:type="dxa"/>
        </w:trPr>
        <w:tc>
          <w:tcPr>
            <w:tcW w:w="0" w:type="auto"/>
            <w:shd w:val="clear" w:color="auto" w:fill="C2D69B"/>
            <w:vAlign w:val="center"/>
            <w:hideMark/>
          </w:tcPr>
          <w:p w14:paraId="6C5FD76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3D8928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6B91C54F" w14:textId="77777777" w:rsidTr="00B73FDB">
        <w:trPr>
          <w:tblCellSpacing w:w="15" w:type="dxa"/>
        </w:trPr>
        <w:tc>
          <w:tcPr>
            <w:tcW w:w="0" w:type="auto"/>
            <w:shd w:val="clear" w:color="auto" w:fill="C2D69B"/>
            <w:vAlign w:val="center"/>
            <w:hideMark/>
          </w:tcPr>
          <w:p w14:paraId="57C8798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0E9FCB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AF33E87" w14:textId="77777777" w:rsidTr="00B73FDB">
        <w:trPr>
          <w:tblCellSpacing w:w="15" w:type="dxa"/>
        </w:trPr>
        <w:tc>
          <w:tcPr>
            <w:tcW w:w="0" w:type="auto"/>
            <w:shd w:val="clear" w:color="auto" w:fill="C2D69B"/>
            <w:vAlign w:val="center"/>
            <w:hideMark/>
          </w:tcPr>
          <w:p w14:paraId="524B62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0FDA4C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DA648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F3DB53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D5CC4B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77472C7" w14:textId="77777777" w:rsidTr="00B73FDB">
        <w:trPr>
          <w:tblCellSpacing w:w="15" w:type="dxa"/>
        </w:trPr>
        <w:tc>
          <w:tcPr>
            <w:tcW w:w="0" w:type="auto"/>
            <w:shd w:val="clear" w:color="auto" w:fill="C2D69B"/>
            <w:vAlign w:val="center"/>
            <w:hideMark/>
          </w:tcPr>
          <w:p w14:paraId="50B294A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DFE0C8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385 </w:t>
            </w:r>
          </w:p>
        </w:tc>
        <w:tc>
          <w:tcPr>
            <w:tcW w:w="0" w:type="auto"/>
            <w:shd w:val="clear" w:color="auto" w:fill="C2D69B"/>
            <w:noWrap/>
            <w:vAlign w:val="center"/>
            <w:hideMark/>
          </w:tcPr>
          <w:p w14:paraId="4632AD6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386 </w:t>
            </w:r>
          </w:p>
        </w:tc>
        <w:tc>
          <w:tcPr>
            <w:tcW w:w="0" w:type="auto"/>
            <w:shd w:val="clear" w:color="auto" w:fill="C2D69B"/>
            <w:vAlign w:val="center"/>
            <w:hideMark/>
          </w:tcPr>
          <w:p w14:paraId="2132D15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5959B5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424CE127" w14:textId="77777777" w:rsidTr="00B73FDB">
        <w:trPr>
          <w:tblCellSpacing w:w="15" w:type="dxa"/>
        </w:trPr>
        <w:tc>
          <w:tcPr>
            <w:tcW w:w="0" w:type="auto"/>
            <w:shd w:val="clear" w:color="auto" w:fill="C2D69B"/>
            <w:vAlign w:val="center"/>
            <w:hideMark/>
          </w:tcPr>
          <w:p w14:paraId="59641BE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08F3E1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D39040D" w14:textId="77777777" w:rsidTr="00B73FDB">
        <w:trPr>
          <w:tblCellSpacing w:w="15" w:type="dxa"/>
        </w:trPr>
        <w:tc>
          <w:tcPr>
            <w:tcW w:w="0" w:type="auto"/>
            <w:shd w:val="clear" w:color="auto" w:fill="C2D69B"/>
            <w:vAlign w:val="center"/>
            <w:hideMark/>
          </w:tcPr>
          <w:p w14:paraId="1A665A0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398959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FB05E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C153DD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5F32E0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CA2F3CD" w14:textId="77777777" w:rsidTr="00B73FDB">
        <w:trPr>
          <w:tblCellSpacing w:w="15" w:type="dxa"/>
        </w:trPr>
        <w:tc>
          <w:tcPr>
            <w:tcW w:w="0" w:type="auto"/>
            <w:shd w:val="clear" w:color="auto" w:fill="C2D69B"/>
            <w:vAlign w:val="center"/>
            <w:hideMark/>
          </w:tcPr>
          <w:p w14:paraId="1F5D543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A73C41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385 </w:t>
            </w:r>
          </w:p>
        </w:tc>
        <w:tc>
          <w:tcPr>
            <w:tcW w:w="0" w:type="auto"/>
            <w:shd w:val="clear" w:color="auto" w:fill="C2D69B"/>
            <w:noWrap/>
            <w:vAlign w:val="center"/>
            <w:hideMark/>
          </w:tcPr>
          <w:p w14:paraId="2636ED4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384 </w:t>
            </w:r>
          </w:p>
        </w:tc>
        <w:tc>
          <w:tcPr>
            <w:tcW w:w="0" w:type="auto"/>
            <w:shd w:val="clear" w:color="auto" w:fill="C2D69B"/>
            <w:vAlign w:val="center"/>
            <w:hideMark/>
          </w:tcPr>
          <w:p w14:paraId="243A138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30C5EEF" w14:textId="77777777" w:rsidR="00B73FDB" w:rsidRPr="00B73FDB" w:rsidRDefault="00B73FDB" w:rsidP="00B73FDB">
            <w:pPr>
              <w:spacing w:after="0" w:line="240" w:lineRule="auto"/>
              <w:jc w:val="center"/>
              <w:rPr>
                <w:rFonts w:cs="Calibri"/>
                <w:sz w:val="18"/>
                <w:szCs w:val="18"/>
                <w:lang w:eastAsia="sk-SK"/>
              </w:rPr>
            </w:pPr>
          </w:p>
        </w:tc>
      </w:tr>
    </w:tbl>
    <w:p w14:paraId="426FFEC7"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Zameranie učebných a študijných odborov je na polygrafickú technológiu, digitálne a tlačiarenské média. Štúdium prebieha v dennej forme a pomaturitnej forme štúdia. Od 1. 7. 2015 škola pôsobí ako Centrum odborného vzdelávania a prípravy pre oblasť polygrafie a médií.</w:t>
      </w:r>
    </w:p>
    <w:p w14:paraId="5D8DE32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8.3.11: SOŠ automobilová a podnikania, Kysucká 14, Senec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2731"/>
        <w:gridCol w:w="1212"/>
        <w:gridCol w:w="1212"/>
        <w:gridCol w:w="1061"/>
        <w:gridCol w:w="1214"/>
        <w:gridCol w:w="2426"/>
      </w:tblGrid>
      <w:tr w:rsidR="00B73FDB" w:rsidRPr="00B73FDB" w14:paraId="28680806" w14:textId="77777777" w:rsidTr="00B73FDB">
        <w:trPr>
          <w:tblCellSpacing w:w="15" w:type="dxa"/>
        </w:trPr>
        <w:tc>
          <w:tcPr>
            <w:tcW w:w="269" w:type="pct"/>
            <w:shd w:val="clear" w:color="auto" w:fill="C6DBF7"/>
            <w:vAlign w:val="center"/>
            <w:hideMark/>
          </w:tcPr>
          <w:p w14:paraId="274FEDE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4066097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2584DD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753A68A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5CCDD1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5EDF2ED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33142F5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1537C443" w14:textId="77777777" w:rsidTr="00B73FDB">
        <w:trPr>
          <w:tblCellSpacing w:w="15" w:type="dxa"/>
        </w:trPr>
        <w:tc>
          <w:tcPr>
            <w:tcW w:w="269" w:type="pct"/>
            <w:shd w:val="clear" w:color="auto" w:fill="D9D9D9"/>
            <w:noWrap/>
            <w:vAlign w:val="center"/>
            <w:hideMark/>
          </w:tcPr>
          <w:p w14:paraId="3A08A09A"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7806064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1A2C36A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608 640,00</w:t>
            </w:r>
            <w:r w:rsidRPr="00B73FDB">
              <w:rPr>
                <w:rFonts w:cs="Calibri"/>
                <w:sz w:val="18"/>
                <w:szCs w:val="18"/>
                <w:lang w:eastAsia="sk-SK"/>
              </w:rPr>
              <w:t xml:space="preserve"> </w:t>
            </w:r>
          </w:p>
        </w:tc>
        <w:tc>
          <w:tcPr>
            <w:tcW w:w="564" w:type="pct"/>
            <w:shd w:val="clear" w:color="auto" w:fill="D9D9D9"/>
            <w:noWrap/>
            <w:vAlign w:val="center"/>
            <w:hideMark/>
          </w:tcPr>
          <w:p w14:paraId="2D3867C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584 034,13</w:t>
            </w:r>
            <w:r w:rsidRPr="00B73FDB">
              <w:rPr>
                <w:rFonts w:cs="Calibri"/>
                <w:sz w:val="18"/>
                <w:szCs w:val="18"/>
                <w:lang w:eastAsia="sk-SK"/>
              </w:rPr>
              <w:t xml:space="preserve"> </w:t>
            </w:r>
          </w:p>
        </w:tc>
        <w:tc>
          <w:tcPr>
            <w:tcW w:w="492" w:type="pct"/>
            <w:shd w:val="clear" w:color="auto" w:fill="D9D9D9"/>
            <w:noWrap/>
            <w:vAlign w:val="center"/>
            <w:hideMark/>
          </w:tcPr>
          <w:p w14:paraId="67F1F3F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584 034,13</w:t>
            </w:r>
            <w:r w:rsidRPr="00B73FDB">
              <w:rPr>
                <w:rFonts w:cs="Calibri"/>
                <w:sz w:val="18"/>
                <w:szCs w:val="18"/>
                <w:lang w:eastAsia="sk-SK"/>
              </w:rPr>
              <w:t xml:space="preserve"> </w:t>
            </w:r>
          </w:p>
        </w:tc>
        <w:tc>
          <w:tcPr>
            <w:tcW w:w="565" w:type="pct"/>
            <w:shd w:val="clear" w:color="auto" w:fill="D9D9D9"/>
            <w:noWrap/>
            <w:vAlign w:val="center"/>
            <w:hideMark/>
          </w:tcPr>
          <w:p w14:paraId="482A21A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135AD1D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-26 498,87 EUR</w:t>
            </w:r>
            <w:r w:rsidRPr="00B73FDB">
              <w:rPr>
                <w:rFonts w:cs="Calibri"/>
                <w:sz w:val="18"/>
                <w:szCs w:val="18"/>
                <w:lang w:eastAsia="sk-SK"/>
              </w:rPr>
              <w:t xml:space="preserve"> normatívne finančné prostriedky,</w:t>
            </w:r>
          </w:p>
          <w:p w14:paraId="1E31502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+380,00 EUR</w:t>
            </w:r>
            <w:r w:rsidRPr="00B73FDB">
              <w:rPr>
                <w:rFonts w:cs="Calibri"/>
                <w:sz w:val="18"/>
                <w:szCs w:val="18"/>
                <w:lang w:eastAsia="sk-SK"/>
              </w:rPr>
              <w:t xml:space="preserve"> normatívne finančné prostriedky na maturity,</w:t>
            </w:r>
          </w:p>
          <w:p w14:paraId="64DD4F6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+231,00 EUR </w:t>
            </w:r>
            <w:r w:rsidRPr="00B73FDB">
              <w:rPr>
                <w:rFonts w:cs="Calibri"/>
                <w:sz w:val="18"/>
                <w:szCs w:val="18"/>
                <w:lang w:eastAsia="sk-SK"/>
              </w:rPr>
              <w:t>nenormatívne finančné prostriedky na vzdelávacie poukazy,</w:t>
            </w:r>
          </w:p>
          <w:p w14:paraId="193BC45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+1 439,00 EUR</w:t>
            </w:r>
            <w:r w:rsidRPr="00B73FDB">
              <w:rPr>
                <w:rFonts w:cs="Calibri"/>
                <w:sz w:val="18"/>
                <w:szCs w:val="18"/>
                <w:lang w:eastAsia="sk-SK"/>
              </w:rPr>
              <w:t xml:space="preserve"> odchodné do dôchodku,</w:t>
            </w:r>
          </w:p>
          <w:p w14:paraId="24E8E22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-157,00 EUR</w:t>
            </w:r>
            <w:r w:rsidRPr="00B73FDB">
              <w:rPr>
                <w:rFonts w:cs="Calibri"/>
                <w:sz w:val="18"/>
                <w:szCs w:val="18"/>
                <w:lang w:eastAsia="sk-SK"/>
              </w:rPr>
              <w:t xml:space="preserve"> nenormatívne finančné prostriedky na lyžiarske kurzy.</w:t>
            </w:r>
          </w:p>
        </w:tc>
      </w:tr>
      <w:tr w:rsidR="00B73FDB" w:rsidRPr="00B73FDB" w14:paraId="603F0953" w14:textId="77777777" w:rsidTr="00B73FDB">
        <w:trPr>
          <w:tblCellSpacing w:w="15" w:type="dxa"/>
        </w:trPr>
        <w:tc>
          <w:tcPr>
            <w:tcW w:w="269" w:type="pct"/>
            <w:shd w:val="clear" w:color="auto" w:fill="D9D9D9"/>
            <w:noWrap/>
            <w:vAlign w:val="center"/>
            <w:hideMark/>
          </w:tcPr>
          <w:p w14:paraId="177101A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6558354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0401FDE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608 640,00</w:t>
            </w:r>
            <w:r w:rsidRPr="00B73FDB">
              <w:rPr>
                <w:rFonts w:cs="Calibri"/>
                <w:sz w:val="18"/>
                <w:szCs w:val="18"/>
                <w:lang w:eastAsia="sk-SK"/>
              </w:rPr>
              <w:t xml:space="preserve"> </w:t>
            </w:r>
          </w:p>
        </w:tc>
        <w:tc>
          <w:tcPr>
            <w:tcW w:w="564" w:type="pct"/>
            <w:shd w:val="clear" w:color="auto" w:fill="D9D9D9"/>
            <w:noWrap/>
            <w:vAlign w:val="center"/>
            <w:hideMark/>
          </w:tcPr>
          <w:p w14:paraId="5B76577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584 034,13</w:t>
            </w:r>
            <w:r w:rsidRPr="00B73FDB">
              <w:rPr>
                <w:rFonts w:cs="Calibri"/>
                <w:sz w:val="18"/>
                <w:szCs w:val="18"/>
                <w:lang w:eastAsia="sk-SK"/>
              </w:rPr>
              <w:t xml:space="preserve"> </w:t>
            </w:r>
          </w:p>
        </w:tc>
        <w:tc>
          <w:tcPr>
            <w:tcW w:w="492" w:type="pct"/>
            <w:shd w:val="clear" w:color="auto" w:fill="D9D9D9"/>
            <w:noWrap/>
            <w:vAlign w:val="center"/>
            <w:hideMark/>
          </w:tcPr>
          <w:p w14:paraId="6606542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584 034,13</w:t>
            </w:r>
            <w:r w:rsidRPr="00B73FDB">
              <w:rPr>
                <w:rFonts w:cs="Calibri"/>
                <w:sz w:val="18"/>
                <w:szCs w:val="18"/>
                <w:lang w:eastAsia="sk-SK"/>
              </w:rPr>
              <w:t xml:space="preserve"> </w:t>
            </w:r>
          </w:p>
        </w:tc>
        <w:tc>
          <w:tcPr>
            <w:tcW w:w="565" w:type="pct"/>
            <w:shd w:val="clear" w:color="auto" w:fill="D9D9D9"/>
            <w:noWrap/>
            <w:vAlign w:val="center"/>
            <w:hideMark/>
          </w:tcPr>
          <w:p w14:paraId="1BD874C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5A03D63F"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3F03A2B1" w14:textId="77777777" w:rsidTr="00B73FDB">
        <w:trPr>
          <w:tblCellSpacing w:w="15" w:type="dxa"/>
        </w:trPr>
        <w:tc>
          <w:tcPr>
            <w:tcW w:w="269" w:type="pct"/>
            <w:shd w:val="clear" w:color="auto" w:fill="EFEFEF"/>
            <w:noWrap/>
            <w:vAlign w:val="center"/>
            <w:hideMark/>
          </w:tcPr>
          <w:p w14:paraId="6D55983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07BD080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79EA38E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608 640,00 </w:t>
            </w:r>
          </w:p>
        </w:tc>
        <w:tc>
          <w:tcPr>
            <w:tcW w:w="564" w:type="pct"/>
            <w:shd w:val="clear" w:color="auto" w:fill="EFEFEF"/>
            <w:noWrap/>
            <w:vAlign w:val="center"/>
            <w:hideMark/>
          </w:tcPr>
          <w:p w14:paraId="2996DF6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584 034,13 </w:t>
            </w:r>
          </w:p>
        </w:tc>
        <w:tc>
          <w:tcPr>
            <w:tcW w:w="492" w:type="pct"/>
            <w:shd w:val="clear" w:color="auto" w:fill="EFEFEF"/>
            <w:noWrap/>
            <w:vAlign w:val="center"/>
            <w:hideMark/>
          </w:tcPr>
          <w:p w14:paraId="1C04225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584 034,13 </w:t>
            </w:r>
          </w:p>
        </w:tc>
        <w:tc>
          <w:tcPr>
            <w:tcW w:w="565" w:type="pct"/>
            <w:shd w:val="clear" w:color="auto" w:fill="EFEFEF"/>
            <w:noWrap/>
            <w:vAlign w:val="center"/>
            <w:hideMark/>
          </w:tcPr>
          <w:p w14:paraId="65A653D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8EB896B" w14:textId="77777777" w:rsidR="00B73FDB" w:rsidRPr="00B73FDB" w:rsidRDefault="00B73FDB" w:rsidP="00B73FDB">
            <w:pPr>
              <w:spacing w:after="0" w:line="240" w:lineRule="auto"/>
              <w:rPr>
                <w:rFonts w:cs="Calibri"/>
                <w:sz w:val="18"/>
                <w:szCs w:val="18"/>
                <w:lang w:eastAsia="sk-SK"/>
              </w:rPr>
            </w:pPr>
          </w:p>
        </w:tc>
      </w:tr>
    </w:tbl>
    <w:p w14:paraId="09852B75"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30721690" w14:textId="77777777" w:rsidTr="00B73FDB">
        <w:trPr>
          <w:tblCellSpacing w:w="15" w:type="dxa"/>
        </w:trPr>
        <w:tc>
          <w:tcPr>
            <w:tcW w:w="0" w:type="auto"/>
            <w:shd w:val="clear" w:color="auto" w:fill="C2D69B"/>
            <w:vAlign w:val="center"/>
            <w:hideMark/>
          </w:tcPr>
          <w:p w14:paraId="54E0E21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24EB49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01E3D77E" w14:textId="77777777" w:rsidTr="00B73FDB">
        <w:trPr>
          <w:tblCellSpacing w:w="15" w:type="dxa"/>
        </w:trPr>
        <w:tc>
          <w:tcPr>
            <w:tcW w:w="0" w:type="auto"/>
            <w:shd w:val="clear" w:color="auto" w:fill="C2D69B"/>
            <w:vAlign w:val="center"/>
            <w:hideMark/>
          </w:tcPr>
          <w:p w14:paraId="23D85DC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E91FEA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18F4A214" w14:textId="77777777" w:rsidTr="00B73FDB">
        <w:trPr>
          <w:tblCellSpacing w:w="15" w:type="dxa"/>
        </w:trPr>
        <w:tc>
          <w:tcPr>
            <w:tcW w:w="0" w:type="auto"/>
            <w:shd w:val="clear" w:color="auto" w:fill="C2D69B"/>
            <w:vAlign w:val="center"/>
            <w:hideMark/>
          </w:tcPr>
          <w:p w14:paraId="1CCEA96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F46C4B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B26ACB1" w14:textId="77777777" w:rsidTr="00B73FDB">
        <w:trPr>
          <w:tblCellSpacing w:w="15" w:type="dxa"/>
        </w:trPr>
        <w:tc>
          <w:tcPr>
            <w:tcW w:w="0" w:type="auto"/>
            <w:shd w:val="clear" w:color="auto" w:fill="C2D69B"/>
            <w:vAlign w:val="center"/>
            <w:hideMark/>
          </w:tcPr>
          <w:p w14:paraId="7BFAA2B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94060C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5CE861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EFB16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19E90D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E875A9D" w14:textId="77777777" w:rsidTr="00B73FDB">
        <w:trPr>
          <w:tblCellSpacing w:w="15" w:type="dxa"/>
        </w:trPr>
        <w:tc>
          <w:tcPr>
            <w:tcW w:w="0" w:type="auto"/>
            <w:shd w:val="clear" w:color="auto" w:fill="C2D69B"/>
            <w:vAlign w:val="center"/>
            <w:hideMark/>
          </w:tcPr>
          <w:p w14:paraId="45BBEB6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543887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117 </w:t>
            </w:r>
          </w:p>
        </w:tc>
        <w:tc>
          <w:tcPr>
            <w:tcW w:w="0" w:type="auto"/>
            <w:shd w:val="clear" w:color="auto" w:fill="C2D69B"/>
            <w:noWrap/>
            <w:vAlign w:val="center"/>
            <w:hideMark/>
          </w:tcPr>
          <w:p w14:paraId="1AD63AB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110 </w:t>
            </w:r>
          </w:p>
        </w:tc>
        <w:tc>
          <w:tcPr>
            <w:tcW w:w="0" w:type="auto"/>
            <w:shd w:val="clear" w:color="auto" w:fill="C2D69B"/>
            <w:vAlign w:val="center"/>
            <w:hideMark/>
          </w:tcPr>
          <w:p w14:paraId="2796FB8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63D7390"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48962BE" w14:textId="77777777" w:rsidTr="00B73FDB">
        <w:trPr>
          <w:tblCellSpacing w:w="15" w:type="dxa"/>
        </w:trPr>
        <w:tc>
          <w:tcPr>
            <w:tcW w:w="0" w:type="auto"/>
            <w:shd w:val="clear" w:color="auto" w:fill="C2D69B"/>
            <w:vAlign w:val="center"/>
            <w:hideMark/>
          </w:tcPr>
          <w:p w14:paraId="09AC2A2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CDAE4D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7BEACE6C" w14:textId="77777777" w:rsidTr="00B73FDB">
        <w:trPr>
          <w:tblCellSpacing w:w="15" w:type="dxa"/>
        </w:trPr>
        <w:tc>
          <w:tcPr>
            <w:tcW w:w="0" w:type="auto"/>
            <w:shd w:val="clear" w:color="auto" w:fill="C2D69B"/>
            <w:vAlign w:val="center"/>
            <w:hideMark/>
          </w:tcPr>
          <w:p w14:paraId="059E090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ACD7B5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801364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18C502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EEBECD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8193D28" w14:textId="77777777" w:rsidTr="00B73FDB">
        <w:trPr>
          <w:tblCellSpacing w:w="15" w:type="dxa"/>
        </w:trPr>
        <w:tc>
          <w:tcPr>
            <w:tcW w:w="0" w:type="auto"/>
            <w:shd w:val="clear" w:color="auto" w:fill="C2D69B"/>
            <w:vAlign w:val="center"/>
            <w:hideMark/>
          </w:tcPr>
          <w:p w14:paraId="79FDF3E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E82C9B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117 </w:t>
            </w:r>
          </w:p>
        </w:tc>
        <w:tc>
          <w:tcPr>
            <w:tcW w:w="0" w:type="auto"/>
            <w:shd w:val="clear" w:color="auto" w:fill="C2D69B"/>
            <w:noWrap/>
            <w:vAlign w:val="center"/>
            <w:hideMark/>
          </w:tcPr>
          <w:p w14:paraId="1A80975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110 </w:t>
            </w:r>
          </w:p>
        </w:tc>
        <w:tc>
          <w:tcPr>
            <w:tcW w:w="0" w:type="auto"/>
            <w:shd w:val="clear" w:color="auto" w:fill="C2D69B"/>
            <w:vAlign w:val="center"/>
            <w:hideMark/>
          </w:tcPr>
          <w:p w14:paraId="523AD11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3574ACE2" w14:textId="77777777" w:rsidR="00B73FDB" w:rsidRPr="00B73FDB" w:rsidRDefault="00B73FDB" w:rsidP="00B73FDB">
            <w:pPr>
              <w:spacing w:after="0" w:line="240" w:lineRule="auto"/>
              <w:jc w:val="center"/>
              <w:rPr>
                <w:rFonts w:cs="Calibri"/>
                <w:sz w:val="18"/>
                <w:szCs w:val="18"/>
                <w:lang w:eastAsia="sk-SK"/>
              </w:rPr>
            </w:pPr>
          </w:p>
        </w:tc>
      </w:tr>
    </w:tbl>
    <w:p w14:paraId="5B4C0650"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strojárstvo, dopravný priemysel a prevádzku, najmä na učebný odbor </w:t>
      </w:r>
      <w:proofErr w:type="spellStart"/>
      <w:r w:rsidRPr="00B73FDB">
        <w:rPr>
          <w:rFonts w:cs="Calibri"/>
          <w:sz w:val="24"/>
          <w:szCs w:val="24"/>
          <w:lang w:eastAsia="sk-SK"/>
        </w:rPr>
        <w:t>autoopravár</w:t>
      </w:r>
      <w:proofErr w:type="spellEnd"/>
      <w:r w:rsidRPr="00B73FDB">
        <w:rPr>
          <w:rFonts w:cs="Calibri"/>
          <w:sz w:val="24"/>
          <w:szCs w:val="24"/>
          <w:lang w:eastAsia="sk-SK"/>
        </w:rPr>
        <w:t xml:space="preserve">. Ide o dennú formu štúdia a nadstavbové štúdium. </w:t>
      </w:r>
    </w:p>
    <w:p w14:paraId="0E9B22A7"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8.3.12: Hotelová akadémia, </w:t>
      </w:r>
      <w:proofErr w:type="spellStart"/>
      <w:r w:rsidRPr="00352CED">
        <w:rPr>
          <w:rFonts w:ascii="Calibri" w:hAnsi="Calibri" w:cs="Calibri"/>
          <w:b/>
          <w:color w:val="244061"/>
        </w:rPr>
        <w:t>Mikovíniho</w:t>
      </w:r>
      <w:proofErr w:type="spellEnd"/>
      <w:r w:rsidRPr="00352CED">
        <w:rPr>
          <w:rFonts w:ascii="Calibri" w:hAnsi="Calibri" w:cs="Calibri"/>
          <w:b/>
          <w:color w:val="244061"/>
        </w:rPr>
        <w:t xml:space="preserve"> 1,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4"/>
        <w:gridCol w:w="2721"/>
        <w:gridCol w:w="1212"/>
        <w:gridCol w:w="1212"/>
        <w:gridCol w:w="1081"/>
        <w:gridCol w:w="1208"/>
        <w:gridCol w:w="2428"/>
      </w:tblGrid>
      <w:tr w:rsidR="00B73FDB" w:rsidRPr="00B73FDB" w14:paraId="53055067" w14:textId="77777777" w:rsidTr="00B73FDB">
        <w:trPr>
          <w:tblCellSpacing w:w="15" w:type="dxa"/>
        </w:trPr>
        <w:tc>
          <w:tcPr>
            <w:tcW w:w="266" w:type="pct"/>
            <w:shd w:val="clear" w:color="auto" w:fill="C6DBF7"/>
            <w:vAlign w:val="center"/>
            <w:hideMark/>
          </w:tcPr>
          <w:p w14:paraId="708D103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4" w:type="pct"/>
            <w:shd w:val="clear" w:color="auto" w:fill="C6DBF7"/>
            <w:vAlign w:val="center"/>
            <w:hideMark/>
          </w:tcPr>
          <w:p w14:paraId="6EB527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36C62CC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6BAFFD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59A0985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01023A9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D8DC6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13EB7B58" w14:textId="77777777" w:rsidTr="00B73FDB">
        <w:trPr>
          <w:tblCellSpacing w:w="15" w:type="dxa"/>
        </w:trPr>
        <w:tc>
          <w:tcPr>
            <w:tcW w:w="266" w:type="pct"/>
            <w:shd w:val="clear" w:color="auto" w:fill="D9D9D9"/>
            <w:noWrap/>
            <w:vAlign w:val="center"/>
            <w:hideMark/>
          </w:tcPr>
          <w:p w14:paraId="0DEA694C" w14:textId="77777777" w:rsidR="00B73FDB" w:rsidRPr="00B73FDB" w:rsidRDefault="00B73FDB" w:rsidP="00B73FDB">
            <w:pPr>
              <w:spacing w:after="0" w:line="240" w:lineRule="auto"/>
              <w:jc w:val="center"/>
              <w:rPr>
                <w:rFonts w:cs="Calibri"/>
                <w:sz w:val="18"/>
                <w:szCs w:val="18"/>
                <w:lang w:eastAsia="sk-SK"/>
              </w:rPr>
            </w:pPr>
          </w:p>
        </w:tc>
        <w:tc>
          <w:tcPr>
            <w:tcW w:w="1284" w:type="pct"/>
            <w:shd w:val="clear" w:color="auto" w:fill="D9D9D9"/>
            <w:vAlign w:val="center"/>
            <w:hideMark/>
          </w:tcPr>
          <w:p w14:paraId="74D62EF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57D4E04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1 761 734,00</w:t>
            </w:r>
            <w:r w:rsidRPr="00B73FDB">
              <w:rPr>
                <w:rFonts w:cs="Calibri"/>
                <w:sz w:val="18"/>
                <w:szCs w:val="18"/>
                <w:lang w:eastAsia="sk-SK"/>
              </w:rPr>
              <w:t xml:space="preserve"> </w:t>
            </w:r>
          </w:p>
        </w:tc>
        <w:tc>
          <w:tcPr>
            <w:tcW w:w="564" w:type="pct"/>
            <w:shd w:val="clear" w:color="auto" w:fill="D9D9D9"/>
            <w:noWrap/>
            <w:vAlign w:val="center"/>
            <w:hideMark/>
          </w:tcPr>
          <w:p w14:paraId="1CAD955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1 789 510,00</w:t>
            </w:r>
            <w:r w:rsidRPr="00B73FDB">
              <w:rPr>
                <w:rFonts w:cs="Calibri"/>
                <w:sz w:val="18"/>
                <w:szCs w:val="18"/>
                <w:lang w:eastAsia="sk-SK"/>
              </w:rPr>
              <w:t xml:space="preserve"> </w:t>
            </w:r>
          </w:p>
        </w:tc>
        <w:tc>
          <w:tcPr>
            <w:tcW w:w="501" w:type="pct"/>
            <w:shd w:val="clear" w:color="auto" w:fill="D9D9D9"/>
            <w:noWrap/>
            <w:vAlign w:val="center"/>
            <w:hideMark/>
          </w:tcPr>
          <w:p w14:paraId="4A47A46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1 789 510,00</w:t>
            </w:r>
            <w:r w:rsidRPr="00B73FDB">
              <w:rPr>
                <w:rFonts w:cs="Calibri"/>
                <w:sz w:val="18"/>
                <w:szCs w:val="18"/>
                <w:lang w:eastAsia="sk-SK"/>
              </w:rPr>
              <w:t xml:space="preserve"> </w:t>
            </w:r>
          </w:p>
        </w:tc>
        <w:tc>
          <w:tcPr>
            <w:tcW w:w="562" w:type="pct"/>
            <w:shd w:val="clear" w:color="auto" w:fill="D9D9D9"/>
            <w:noWrap/>
            <w:vAlign w:val="center"/>
            <w:hideMark/>
          </w:tcPr>
          <w:p w14:paraId="397B66F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4E2A50F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+6 767,00 EUR</w:t>
            </w:r>
            <w:r w:rsidRPr="00B73FDB">
              <w:rPr>
                <w:rFonts w:cs="Calibri"/>
                <w:sz w:val="18"/>
                <w:szCs w:val="18"/>
                <w:lang w:eastAsia="sk-SK"/>
              </w:rPr>
              <w:t xml:space="preserve"> normatívne finančné prostriedky,</w:t>
            </w:r>
          </w:p>
          <w:p w14:paraId="487042B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+65,00 EUR</w:t>
            </w:r>
            <w:r w:rsidRPr="00B73FDB">
              <w:rPr>
                <w:rFonts w:cs="Calibri"/>
                <w:sz w:val="18"/>
                <w:szCs w:val="18"/>
                <w:lang w:eastAsia="sk-SK"/>
              </w:rPr>
              <w:t xml:space="preserve"> normatívne finančné prostriedky na maturity,</w:t>
            </w:r>
          </w:p>
          <w:p w14:paraId="15BCF294"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+3 854,00 EUR</w:t>
            </w:r>
            <w:r w:rsidRPr="00B73FDB">
              <w:rPr>
                <w:rFonts w:cs="Calibri"/>
                <w:sz w:val="18"/>
                <w:szCs w:val="18"/>
                <w:lang w:eastAsia="sk-SK"/>
              </w:rPr>
              <w:t xml:space="preserve"> príspevok na rekreáciu zamestnancov,</w:t>
            </w:r>
          </w:p>
          <w:p w14:paraId="0CB2C7C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-698,00 EUR </w:t>
            </w:r>
            <w:r w:rsidRPr="00B73FDB">
              <w:rPr>
                <w:rFonts w:cs="Calibri"/>
                <w:sz w:val="18"/>
                <w:szCs w:val="18"/>
                <w:lang w:eastAsia="sk-SK"/>
              </w:rPr>
              <w:t>nenormatívne finančné prostriedky na vzdelávacie poukazy,</w:t>
            </w:r>
          </w:p>
          <w:p w14:paraId="41A7A12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+400,00 EUR</w:t>
            </w:r>
            <w:r w:rsidRPr="00B73FDB">
              <w:rPr>
                <w:rFonts w:cs="Calibri"/>
                <w:sz w:val="18"/>
                <w:szCs w:val="18"/>
                <w:lang w:eastAsia="sk-SK"/>
              </w:rPr>
              <w:t xml:space="preserve"> nenormatívne finančné prostriedky za mimoriadne výsledky žiakov,</w:t>
            </w:r>
          </w:p>
          <w:p w14:paraId="56DDDF9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+20 238,00 EUR</w:t>
            </w:r>
            <w:r w:rsidRPr="00B73FDB">
              <w:rPr>
                <w:rFonts w:cs="Calibri"/>
                <w:sz w:val="18"/>
                <w:szCs w:val="18"/>
                <w:lang w:eastAsia="sk-SK"/>
              </w:rPr>
              <w:t xml:space="preserve"> odchodné do dôchodku,</w:t>
            </w:r>
          </w:p>
          <w:p w14:paraId="18D73A7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-2 850,00 EUR</w:t>
            </w:r>
            <w:r w:rsidRPr="00B73FDB">
              <w:rPr>
                <w:rFonts w:cs="Calibri"/>
                <w:sz w:val="18"/>
                <w:szCs w:val="18"/>
                <w:lang w:eastAsia="sk-SK"/>
              </w:rPr>
              <w:t xml:space="preserve"> nenormatívne finančné prostriedky na lyžiarske kurzy.</w:t>
            </w:r>
          </w:p>
        </w:tc>
      </w:tr>
      <w:tr w:rsidR="00B73FDB" w:rsidRPr="00B73FDB" w14:paraId="6AF6EE25" w14:textId="77777777" w:rsidTr="00B73FDB">
        <w:trPr>
          <w:tblCellSpacing w:w="15" w:type="dxa"/>
        </w:trPr>
        <w:tc>
          <w:tcPr>
            <w:tcW w:w="266" w:type="pct"/>
            <w:shd w:val="clear" w:color="auto" w:fill="D9D9D9"/>
            <w:noWrap/>
            <w:vAlign w:val="center"/>
            <w:hideMark/>
          </w:tcPr>
          <w:p w14:paraId="4BE79FB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4" w:type="pct"/>
            <w:shd w:val="clear" w:color="auto" w:fill="D9D9D9"/>
            <w:vAlign w:val="center"/>
            <w:hideMark/>
          </w:tcPr>
          <w:p w14:paraId="0FE6BA3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2181E90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1 761 734,00</w:t>
            </w:r>
            <w:r w:rsidRPr="00B73FDB">
              <w:rPr>
                <w:rFonts w:cs="Calibri"/>
                <w:sz w:val="18"/>
                <w:szCs w:val="18"/>
                <w:lang w:eastAsia="sk-SK"/>
              </w:rPr>
              <w:t xml:space="preserve"> </w:t>
            </w:r>
          </w:p>
        </w:tc>
        <w:tc>
          <w:tcPr>
            <w:tcW w:w="564" w:type="pct"/>
            <w:shd w:val="clear" w:color="auto" w:fill="D9D9D9"/>
            <w:noWrap/>
            <w:vAlign w:val="center"/>
            <w:hideMark/>
          </w:tcPr>
          <w:p w14:paraId="0FD59BB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1 789 510,00</w:t>
            </w:r>
            <w:r w:rsidRPr="00B73FDB">
              <w:rPr>
                <w:rFonts w:cs="Calibri"/>
                <w:sz w:val="18"/>
                <w:szCs w:val="18"/>
                <w:lang w:eastAsia="sk-SK"/>
              </w:rPr>
              <w:t xml:space="preserve"> </w:t>
            </w:r>
          </w:p>
        </w:tc>
        <w:tc>
          <w:tcPr>
            <w:tcW w:w="501" w:type="pct"/>
            <w:shd w:val="clear" w:color="auto" w:fill="D9D9D9"/>
            <w:noWrap/>
            <w:vAlign w:val="center"/>
            <w:hideMark/>
          </w:tcPr>
          <w:p w14:paraId="10C3A41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1 789 510,00</w:t>
            </w:r>
            <w:r w:rsidRPr="00B73FDB">
              <w:rPr>
                <w:rFonts w:cs="Calibri"/>
                <w:sz w:val="18"/>
                <w:szCs w:val="18"/>
                <w:lang w:eastAsia="sk-SK"/>
              </w:rPr>
              <w:t xml:space="preserve"> </w:t>
            </w:r>
          </w:p>
        </w:tc>
        <w:tc>
          <w:tcPr>
            <w:tcW w:w="562" w:type="pct"/>
            <w:shd w:val="clear" w:color="auto" w:fill="D9D9D9"/>
            <w:noWrap/>
            <w:vAlign w:val="center"/>
            <w:hideMark/>
          </w:tcPr>
          <w:p w14:paraId="3C7A82F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42FFD0B8"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2C0431B5" w14:textId="77777777" w:rsidTr="00B73FDB">
        <w:trPr>
          <w:tblCellSpacing w:w="15" w:type="dxa"/>
        </w:trPr>
        <w:tc>
          <w:tcPr>
            <w:tcW w:w="266" w:type="pct"/>
            <w:shd w:val="clear" w:color="auto" w:fill="EFEFEF"/>
            <w:noWrap/>
            <w:vAlign w:val="center"/>
            <w:hideMark/>
          </w:tcPr>
          <w:p w14:paraId="1E1AF05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4" w:type="pct"/>
            <w:shd w:val="clear" w:color="auto" w:fill="EFEFEF"/>
            <w:vAlign w:val="center"/>
            <w:hideMark/>
          </w:tcPr>
          <w:p w14:paraId="0A82E67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5AD11BA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1 761 734,00 </w:t>
            </w:r>
          </w:p>
        </w:tc>
        <w:tc>
          <w:tcPr>
            <w:tcW w:w="564" w:type="pct"/>
            <w:shd w:val="clear" w:color="auto" w:fill="EFEFEF"/>
            <w:noWrap/>
            <w:vAlign w:val="center"/>
            <w:hideMark/>
          </w:tcPr>
          <w:p w14:paraId="231FCCF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1 789 510,00 </w:t>
            </w:r>
          </w:p>
        </w:tc>
        <w:tc>
          <w:tcPr>
            <w:tcW w:w="501" w:type="pct"/>
            <w:shd w:val="clear" w:color="auto" w:fill="EFEFEF"/>
            <w:noWrap/>
            <w:vAlign w:val="center"/>
            <w:hideMark/>
          </w:tcPr>
          <w:p w14:paraId="1607B32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1 789 510,00 </w:t>
            </w:r>
          </w:p>
        </w:tc>
        <w:tc>
          <w:tcPr>
            <w:tcW w:w="562" w:type="pct"/>
            <w:shd w:val="clear" w:color="auto" w:fill="EFEFEF"/>
            <w:noWrap/>
            <w:vAlign w:val="center"/>
            <w:hideMark/>
          </w:tcPr>
          <w:p w14:paraId="4071475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4CBDDAE" w14:textId="77777777" w:rsidR="00B73FDB" w:rsidRPr="00B73FDB" w:rsidRDefault="00B73FDB" w:rsidP="00B73FDB">
            <w:pPr>
              <w:spacing w:after="0" w:line="240" w:lineRule="auto"/>
              <w:rPr>
                <w:rFonts w:cs="Calibri"/>
                <w:sz w:val="18"/>
                <w:szCs w:val="18"/>
                <w:lang w:eastAsia="sk-SK"/>
              </w:rPr>
            </w:pPr>
          </w:p>
        </w:tc>
      </w:tr>
    </w:tbl>
    <w:p w14:paraId="37F3A9E5"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4132DEE9" w14:textId="77777777" w:rsidTr="00B73FDB">
        <w:trPr>
          <w:tblCellSpacing w:w="15" w:type="dxa"/>
        </w:trPr>
        <w:tc>
          <w:tcPr>
            <w:tcW w:w="0" w:type="auto"/>
            <w:shd w:val="clear" w:color="auto" w:fill="C2D69B"/>
            <w:vAlign w:val="center"/>
            <w:hideMark/>
          </w:tcPr>
          <w:p w14:paraId="19C9986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5E9461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5CE971EE" w14:textId="77777777" w:rsidTr="00B73FDB">
        <w:trPr>
          <w:tblCellSpacing w:w="15" w:type="dxa"/>
        </w:trPr>
        <w:tc>
          <w:tcPr>
            <w:tcW w:w="0" w:type="auto"/>
            <w:shd w:val="clear" w:color="auto" w:fill="C2D69B"/>
            <w:vAlign w:val="center"/>
            <w:hideMark/>
          </w:tcPr>
          <w:p w14:paraId="579E627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234568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474E7699" w14:textId="77777777" w:rsidTr="00B73FDB">
        <w:trPr>
          <w:tblCellSpacing w:w="15" w:type="dxa"/>
        </w:trPr>
        <w:tc>
          <w:tcPr>
            <w:tcW w:w="0" w:type="auto"/>
            <w:shd w:val="clear" w:color="auto" w:fill="C2D69B"/>
            <w:vAlign w:val="center"/>
            <w:hideMark/>
          </w:tcPr>
          <w:p w14:paraId="02C4AA7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DCCDD3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997F646" w14:textId="77777777" w:rsidTr="00B73FDB">
        <w:trPr>
          <w:tblCellSpacing w:w="15" w:type="dxa"/>
        </w:trPr>
        <w:tc>
          <w:tcPr>
            <w:tcW w:w="0" w:type="auto"/>
            <w:shd w:val="clear" w:color="auto" w:fill="C2D69B"/>
            <w:vAlign w:val="center"/>
            <w:hideMark/>
          </w:tcPr>
          <w:p w14:paraId="2828953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7F20DD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C09D24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FD52AE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FDC182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4852395" w14:textId="77777777" w:rsidTr="00B73FDB">
        <w:trPr>
          <w:tblCellSpacing w:w="15" w:type="dxa"/>
        </w:trPr>
        <w:tc>
          <w:tcPr>
            <w:tcW w:w="0" w:type="auto"/>
            <w:shd w:val="clear" w:color="auto" w:fill="C2D69B"/>
            <w:vAlign w:val="center"/>
            <w:hideMark/>
          </w:tcPr>
          <w:p w14:paraId="45CFAE4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B5E95C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562 </w:t>
            </w:r>
          </w:p>
        </w:tc>
        <w:tc>
          <w:tcPr>
            <w:tcW w:w="0" w:type="auto"/>
            <w:shd w:val="clear" w:color="auto" w:fill="C2D69B"/>
            <w:noWrap/>
            <w:vAlign w:val="center"/>
            <w:hideMark/>
          </w:tcPr>
          <w:p w14:paraId="06A4593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542 </w:t>
            </w:r>
          </w:p>
        </w:tc>
        <w:tc>
          <w:tcPr>
            <w:tcW w:w="0" w:type="auto"/>
            <w:shd w:val="clear" w:color="auto" w:fill="C2D69B"/>
            <w:vAlign w:val="center"/>
            <w:hideMark/>
          </w:tcPr>
          <w:p w14:paraId="69FF8B1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0B87D1B7"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1CDB81A0" w14:textId="77777777" w:rsidTr="00B73FDB">
        <w:trPr>
          <w:tblCellSpacing w:w="15" w:type="dxa"/>
        </w:trPr>
        <w:tc>
          <w:tcPr>
            <w:tcW w:w="0" w:type="auto"/>
            <w:shd w:val="clear" w:color="auto" w:fill="C2D69B"/>
            <w:vAlign w:val="center"/>
            <w:hideMark/>
          </w:tcPr>
          <w:p w14:paraId="32B2FD9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Merateľný ukazovateľ</w:t>
            </w:r>
          </w:p>
        </w:tc>
        <w:tc>
          <w:tcPr>
            <w:tcW w:w="0" w:type="auto"/>
            <w:gridSpan w:val="4"/>
            <w:shd w:val="clear" w:color="auto" w:fill="C2D69B"/>
            <w:vAlign w:val="center"/>
            <w:hideMark/>
          </w:tcPr>
          <w:p w14:paraId="17B8853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35957E1" w14:textId="77777777" w:rsidTr="00B73FDB">
        <w:trPr>
          <w:tblCellSpacing w:w="15" w:type="dxa"/>
        </w:trPr>
        <w:tc>
          <w:tcPr>
            <w:tcW w:w="0" w:type="auto"/>
            <w:shd w:val="clear" w:color="auto" w:fill="C2D69B"/>
            <w:vAlign w:val="center"/>
            <w:hideMark/>
          </w:tcPr>
          <w:p w14:paraId="2C08872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E35CD9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11C0AD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BD7D74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26AB97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019A8D05" w14:textId="77777777" w:rsidTr="00B73FDB">
        <w:trPr>
          <w:tblCellSpacing w:w="15" w:type="dxa"/>
        </w:trPr>
        <w:tc>
          <w:tcPr>
            <w:tcW w:w="0" w:type="auto"/>
            <w:shd w:val="clear" w:color="auto" w:fill="C2D69B"/>
            <w:vAlign w:val="center"/>
            <w:hideMark/>
          </w:tcPr>
          <w:p w14:paraId="058D2A2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397FF9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562 </w:t>
            </w:r>
          </w:p>
        </w:tc>
        <w:tc>
          <w:tcPr>
            <w:tcW w:w="0" w:type="auto"/>
            <w:shd w:val="clear" w:color="auto" w:fill="C2D69B"/>
            <w:noWrap/>
            <w:vAlign w:val="center"/>
            <w:hideMark/>
          </w:tcPr>
          <w:p w14:paraId="4934949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542 </w:t>
            </w:r>
          </w:p>
        </w:tc>
        <w:tc>
          <w:tcPr>
            <w:tcW w:w="0" w:type="auto"/>
            <w:shd w:val="clear" w:color="auto" w:fill="C2D69B"/>
            <w:vAlign w:val="center"/>
            <w:hideMark/>
          </w:tcPr>
          <w:p w14:paraId="0134B40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5DEA53B7" w14:textId="77777777" w:rsidR="00B73FDB" w:rsidRPr="00B73FDB" w:rsidRDefault="00B73FDB" w:rsidP="00B73FDB">
            <w:pPr>
              <w:spacing w:after="0" w:line="240" w:lineRule="auto"/>
              <w:jc w:val="center"/>
              <w:rPr>
                <w:rFonts w:cs="Calibri"/>
                <w:sz w:val="18"/>
                <w:szCs w:val="18"/>
                <w:lang w:eastAsia="sk-SK"/>
              </w:rPr>
            </w:pPr>
          </w:p>
        </w:tc>
      </w:tr>
    </w:tbl>
    <w:p w14:paraId="2120A939"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hotelierstvo, spoločné stravovanie, podnikanie v remeslách a službách, marketing. Škola je zameraná hlavne na študijný odbor hotelová akadémia v dennej forme štúdia a poskytuje taktiež nadstavbové štúdium. </w:t>
      </w:r>
    </w:p>
    <w:p w14:paraId="7D08B038"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8.3.13: SOŠ gastronómie a hotelových služieb, Farského 9,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4"/>
        <w:gridCol w:w="2726"/>
        <w:gridCol w:w="1210"/>
        <w:gridCol w:w="1210"/>
        <w:gridCol w:w="1081"/>
        <w:gridCol w:w="1271"/>
        <w:gridCol w:w="2364"/>
      </w:tblGrid>
      <w:tr w:rsidR="00B73FDB" w:rsidRPr="00B73FDB" w14:paraId="4998FBD4" w14:textId="77777777" w:rsidTr="00B73FDB">
        <w:trPr>
          <w:tblCellSpacing w:w="15" w:type="dxa"/>
        </w:trPr>
        <w:tc>
          <w:tcPr>
            <w:tcW w:w="266" w:type="pct"/>
            <w:shd w:val="clear" w:color="auto" w:fill="C6DBF7"/>
            <w:vAlign w:val="center"/>
            <w:hideMark/>
          </w:tcPr>
          <w:p w14:paraId="515D48B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02BC94F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17AA94F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06211F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3FBC677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92" w:type="pct"/>
            <w:shd w:val="clear" w:color="auto" w:fill="C6DBF7"/>
            <w:vAlign w:val="center"/>
            <w:hideMark/>
          </w:tcPr>
          <w:p w14:paraId="39DAC4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06" w:type="pct"/>
            <w:shd w:val="clear" w:color="auto" w:fill="C6DBF7"/>
            <w:vAlign w:val="center"/>
            <w:hideMark/>
          </w:tcPr>
          <w:p w14:paraId="18BDEF7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D61BFE3" w14:textId="77777777" w:rsidTr="00B73FDB">
        <w:trPr>
          <w:tblCellSpacing w:w="15" w:type="dxa"/>
        </w:trPr>
        <w:tc>
          <w:tcPr>
            <w:tcW w:w="266" w:type="pct"/>
            <w:shd w:val="clear" w:color="auto" w:fill="D9D9D9"/>
            <w:noWrap/>
            <w:vAlign w:val="center"/>
            <w:hideMark/>
          </w:tcPr>
          <w:p w14:paraId="0D01CC0F"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18FE1F5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6804EF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1 396 212,00</w:t>
            </w:r>
            <w:r w:rsidRPr="00B73FDB">
              <w:rPr>
                <w:rFonts w:cs="Calibri"/>
                <w:sz w:val="18"/>
                <w:szCs w:val="18"/>
                <w:lang w:eastAsia="sk-SK"/>
              </w:rPr>
              <w:t xml:space="preserve"> </w:t>
            </w:r>
          </w:p>
        </w:tc>
        <w:tc>
          <w:tcPr>
            <w:tcW w:w="563" w:type="pct"/>
            <w:shd w:val="clear" w:color="auto" w:fill="D9D9D9"/>
            <w:noWrap/>
            <w:vAlign w:val="center"/>
            <w:hideMark/>
          </w:tcPr>
          <w:p w14:paraId="2062D40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1 358 484,00</w:t>
            </w:r>
            <w:r w:rsidRPr="00B73FDB">
              <w:rPr>
                <w:rFonts w:cs="Calibri"/>
                <w:sz w:val="18"/>
                <w:szCs w:val="18"/>
                <w:lang w:eastAsia="sk-SK"/>
              </w:rPr>
              <w:t xml:space="preserve"> </w:t>
            </w:r>
          </w:p>
        </w:tc>
        <w:tc>
          <w:tcPr>
            <w:tcW w:w="501" w:type="pct"/>
            <w:shd w:val="clear" w:color="auto" w:fill="D9D9D9"/>
            <w:noWrap/>
            <w:vAlign w:val="center"/>
            <w:hideMark/>
          </w:tcPr>
          <w:p w14:paraId="0A6C4AA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1 358 484,00</w:t>
            </w:r>
            <w:r w:rsidRPr="00B73FDB">
              <w:rPr>
                <w:rFonts w:cs="Calibri"/>
                <w:sz w:val="18"/>
                <w:szCs w:val="18"/>
                <w:lang w:eastAsia="sk-SK"/>
              </w:rPr>
              <w:t xml:space="preserve"> </w:t>
            </w:r>
          </w:p>
        </w:tc>
        <w:tc>
          <w:tcPr>
            <w:tcW w:w="592" w:type="pct"/>
            <w:shd w:val="clear" w:color="auto" w:fill="D9D9D9"/>
            <w:noWrap/>
            <w:vAlign w:val="center"/>
            <w:hideMark/>
          </w:tcPr>
          <w:p w14:paraId="777816F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06" w:type="pct"/>
            <w:vMerge w:val="restart"/>
            <w:shd w:val="clear" w:color="auto" w:fill="D9D9D9"/>
            <w:vAlign w:val="center"/>
            <w:hideMark/>
          </w:tcPr>
          <w:p w14:paraId="55170EE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-47 917,00 EUR</w:t>
            </w:r>
            <w:r w:rsidRPr="00B73FDB">
              <w:rPr>
                <w:rFonts w:cs="Calibri"/>
                <w:sz w:val="18"/>
                <w:szCs w:val="18"/>
                <w:lang w:eastAsia="sk-SK"/>
              </w:rPr>
              <w:t xml:space="preserve"> normatívne finančné prostriedky,</w:t>
            </w:r>
          </w:p>
          <w:p w14:paraId="70A46F4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+493,00 EUR</w:t>
            </w:r>
            <w:r w:rsidRPr="00B73FDB">
              <w:rPr>
                <w:rFonts w:cs="Calibri"/>
                <w:sz w:val="18"/>
                <w:szCs w:val="18"/>
                <w:lang w:eastAsia="sk-SK"/>
              </w:rPr>
              <w:t xml:space="preserve"> normatívne finančné prostriedky na maturity,</w:t>
            </w:r>
          </w:p>
          <w:p w14:paraId="6F4E57E0"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+2 705,00 EUR</w:t>
            </w:r>
            <w:r w:rsidRPr="00B73FDB">
              <w:rPr>
                <w:rFonts w:cs="Calibri"/>
                <w:sz w:val="18"/>
                <w:szCs w:val="18"/>
                <w:lang w:eastAsia="sk-SK"/>
              </w:rPr>
              <w:t xml:space="preserve"> príspevok na rekreáciu zamestnancov,</w:t>
            </w:r>
          </w:p>
          <w:p w14:paraId="2B8E1F1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-800,00 EUR </w:t>
            </w:r>
            <w:r w:rsidRPr="00B73FDB">
              <w:rPr>
                <w:rFonts w:cs="Calibri"/>
                <w:sz w:val="18"/>
                <w:szCs w:val="18"/>
                <w:lang w:eastAsia="sk-SK"/>
              </w:rPr>
              <w:t>nenormatívne finančné prostriedky na vzdelávacie poukazy,</w:t>
            </w:r>
          </w:p>
          <w:p w14:paraId="064B92C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+6 591,00 EUR</w:t>
            </w:r>
            <w:r w:rsidRPr="00B73FDB">
              <w:rPr>
                <w:rFonts w:cs="Calibri"/>
                <w:sz w:val="18"/>
                <w:szCs w:val="18"/>
                <w:lang w:eastAsia="sk-SK"/>
              </w:rPr>
              <w:t xml:space="preserve"> odchodné do dôchodku,</w:t>
            </w:r>
          </w:p>
          <w:p w14:paraId="1C4B3CA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+1 200,00 EUR</w:t>
            </w:r>
            <w:r w:rsidRPr="00B73FDB">
              <w:rPr>
                <w:rFonts w:cs="Calibri"/>
                <w:sz w:val="18"/>
                <w:szCs w:val="18"/>
                <w:lang w:eastAsia="sk-SK"/>
              </w:rPr>
              <w:t xml:space="preserve"> nenormatívne finančné prostriedky na lyžiarske kurzy.</w:t>
            </w:r>
          </w:p>
        </w:tc>
      </w:tr>
      <w:tr w:rsidR="00B73FDB" w:rsidRPr="00B73FDB" w14:paraId="7E8AD96F" w14:textId="77777777" w:rsidTr="00B73FDB">
        <w:trPr>
          <w:tblCellSpacing w:w="15" w:type="dxa"/>
        </w:trPr>
        <w:tc>
          <w:tcPr>
            <w:tcW w:w="266" w:type="pct"/>
            <w:shd w:val="clear" w:color="auto" w:fill="D9D9D9"/>
            <w:noWrap/>
            <w:vAlign w:val="center"/>
            <w:hideMark/>
          </w:tcPr>
          <w:p w14:paraId="7A0B214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1809B63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47A0C9E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1 396 212,00</w:t>
            </w:r>
            <w:r w:rsidRPr="00B73FDB">
              <w:rPr>
                <w:rFonts w:cs="Calibri"/>
                <w:sz w:val="18"/>
                <w:szCs w:val="18"/>
                <w:lang w:eastAsia="sk-SK"/>
              </w:rPr>
              <w:t xml:space="preserve"> </w:t>
            </w:r>
          </w:p>
        </w:tc>
        <w:tc>
          <w:tcPr>
            <w:tcW w:w="563" w:type="pct"/>
            <w:shd w:val="clear" w:color="auto" w:fill="D9D9D9"/>
            <w:noWrap/>
            <w:vAlign w:val="center"/>
            <w:hideMark/>
          </w:tcPr>
          <w:p w14:paraId="7E6D8B6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1 358 484,00</w:t>
            </w:r>
            <w:r w:rsidRPr="00B73FDB">
              <w:rPr>
                <w:rFonts w:cs="Calibri"/>
                <w:sz w:val="18"/>
                <w:szCs w:val="18"/>
                <w:lang w:eastAsia="sk-SK"/>
              </w:rPr>
              <w:t xml:space="preserve"> </w:t>
            </w:r>
          </w:p>
        </w:tc>
        <w:tc>
          <w:tcPr>
            <w:tcW w:w="501" w:type="pct"/>
            <w:shd w:val="clear" w:color="auto" w:fill="D9D9D9"/>
            <w:noWrap/>
            <w:vAlign w:val="center"/>
            <w:hideMark/>
          </w:tcPr>
          <w:p w14:paraId="4B8A30B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1 358 484,00</w:t>
            </w:r>
            <w:r w:rsidRPr="00B73FDB">
              <w:rPr>
                <w:rFonts w:cs="Calibri"/>
                <w:sz w:val="18"/>
                <w:szCs w:val="18"/>
                <w:lang w:eastAsia="sk-SK"/>
              </w:rPr>
              <w:t xml:space="preserve"> </w:t>
            </w:r>
          </w:p>
        </w:tc>
        <w:tc>
          <w:tcPr>
            <w:tcW w:w="592" w:type="pct"/>
            <w:shd w:val="clear" w:color="auto" w:fill="D9D9D9"/>
            <w:noWrap/>
            <w:vAlign w:val="center"/>
            <w:hideMark/>
          </w:tcPr>
          <w:p w14:paraId="0F7B69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06" w:type="pct"/>
            <w:vMerge/>
            <w:shd w:val="clear" w:color="auto" w:fill="D9D9D9"/>
            <w:vAlign w:val="center"/>
            <w:hideMark/>
          </w:tcPr>
          <w:p w14:paraId="0C88FE27"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D7FB07A" w14:textId="77777777" w:rsidTr="00B73FDB">
        <w:trPr>
          <w:tblCellSpacing w:w="15" w:type="dxa"/>
        </w:trPr>
        <w:tc>
          <w:tcPr>
            <w:tcW w:w="266" w:type="pct"/>
            <w:shd w:val="clear" w:color="auto" w:fill="EFEFEF"/>
            <w:noWrap/>
            <w:vAlign w:val="center"/>
            <w:hideMark/>
          </w:tcPr>
          <w:p w14:paraId="2FC46B2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1D4FFD3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20B190A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1 396 212,00 </w:t>
            </w:r>
          </w:p>
        </w:tc>
        <w:tc>
          <w:tcPr>
            <w:tcW w:w="563" w:type="pct"/>
            <w:shd w:val="clear" w:color="auto" w:fill="EFEFEF"/>
            <w:noWrap/>
            <w:vAlign w:val="center"/>
            <w:hideMark/>
          </w:tcPr>
          <w:p w14:paraId="57072B9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1 358 484,00 </w:t>
            </w:r>
          </w:p>
        </w:tc>
        <w:tc>
          <w:tcPr>
            <w:tcW w:w="501" w:type="pct"/>
            <w:shd w:val="clear" w:color="auto" w:fill="EFEFEF"/>
            <w:noWrap/>
            <w:vAlign w:val="center"/>
            <w:hideMark/>
          </w:tcPr>
          <w:p w14:paraId="491F056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1 358 484,00 </w:t>
            </w:r>
          </w:p>
        </w:tc>
        <w:tc>
          <w:tcPr>
            <w:tcW w:w="592" w:type="pct"/>
            <w:shd w:val="clear" w:color="auto" w:fill="EFEFEF"/>
            <w:noWrap/>
            <w:vAlign w:val="center"/>
            <w:hideMark/>
          </w:tcPr>
          <w:p w14:paraId="4620502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06" w:type="pct"/>
            <w:vMerge/>
            <w:shd w:val="clear" w:color="auto" w:fill="EFEFEF"/>
            <w:vAlign w:val="center"/>
            <w:hideMark/>
          </w:tcPr>
          <w:p w14:paraId="60B010C1" w14:textId="77777777" w:rsidR="00B73FDB" w:rsidRPr="00B73FDB" w:rsidRDefault="00B73FDB" w:rsidP="00B73FDB">
            <w:pPr>
              <w:spacing w:after="0" w:line="240" w:lineRule="auto"/>
              <w:rPr>
                <w:rFonts w:cs="Calibri"/>
                <w:sz w:val="18"/>
                <w:szCs w:val="18"/>
                <w:lang w:eastAsia="sk-SK"/>
              </w:rPr>
            </w:pPr>
          </w:p>
        </w:tc>
      </w:tr>
    </w:tbl>
    <w:p w14:paraId="06A21589"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0DBCB787" w14:textId="77777777" w:rsidTr="00B73FDB">
        <w:trPr>
          <w:tblCellSpacing w:w="15" w:type="dxa"/>
        </w:trPr>
        <w:tc>
          <w:tcPr>
            <w:tcW w:w="0" w:type="auto"/>
            <w:shd w:val="clear" w:color="auto" w:fill="C2D69B"/>
            <w:vAlign w:val="center"/>
            <w:hideMark/>
          </w:tcPr>
          <w:p w14:paraId="1320DAC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E74B12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CA14F18" w14:textId="77777777" w:rsidTr="00B73FDB">
        <w:trPr>
          <w:tblCellSpacing w:w="15" w:type="dxa"/>
        </w:trPr>
        <w:tc>
          <w:tcPr>
            <w:tcW w:w="0" w:type="auto"/>
            <w:shd w:val="clear" w:color="auto" w:fill="C2D69B"/>
            <w:vAlign w:val="center"/>
            <w:hideMark/>
          </w:tcPr>
          <w:p w14:paraId="1BD97CD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19783A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454EFB2E" w14:textId="77777777" w:rsidTr="00B73FDB">
        <w:trPr>
          <w:tblCellSpacing w:w="15" w:type="dxa"/>
        </w:trPr>
        <w:tc>
          <w:tcPr>
            <w:tcW w:w="0" w:type="auto"/>
            <w:shd w:val="clear" w:color="auto" w:fill="C2D69B"/>
            <w:vAlign w:val="center"/>
            <w:hideMark/>
          </w:tcPr>
          <w:p w14:paraId="4364078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F810FF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43CE8282" w14:textId="77777777" w:rsidTr="00B73FDB">
        <w:trPr>
          <w:tblCellSpacing w:w="15" w:type="dxa"/>
        </w:trPr>
        <w:tc>
          <w:tcPr>
            <w:tcW w:w="0" w:type="auto"/>
            <w:shd w:val="clear" w:color="auto" w:fill="C2D69B"/>
            <w:vAlign w:val="center"/>
            <w:hideMark/>
          </w:tcPr>
          <w:p w14:paraId="0206FC3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107728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5C23C2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78A861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847568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3AEBCA9" w14:textId="77777777" w:rsidTr="00B73FDB">
        <w:trPr>
          <w:tblCellSpacing w:w="15" w:type="dxa"/>
        </w:trPr>
        <w:tc>
          <w:tcPr>
            <w:tcW w:w="0" w:type="auto"/>
            <w:shd w:val="clear" w:color="auto" w:fill="C2D69B"/>
            <w:vAlign w:val="center"/>
            <w:hideMark/>
          </w:tcPr>
          <w:p w14:paraId="6471816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17F286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391 </w:t>
            </w:r>
          </w:p>
        </w:tc>
        <w:tc>
          <w:tcPr>
            <w:tcW w:w="0" w:type="auto"/>
            <w:shd w:val="clear" w:color="auto" w:fill="C2D69B"/>
            <w:noWrap/>
            <w:vAlign w:val="center"/>
            <w:hideMark/>
          </w:tcPr>
          <w:p w14:paraId="363D261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409 </w:t>
            </w:r>
          </w:p>
        </w:tc>
        <w:tc>
          <w:tcPr>
            <w:tcW w:w="0" w:type="auto"/>
            <w:shd w:val="clear" w:color="auto" w:fill="C2D69B"/>
            <w:vAlign w:val="center"/>
            <w:hideMark/>
          </w:tcPr>
          <w:p w14:paraId="62EC4A1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DE3B54B"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C6FF9D2" w14:textId="77777777" w:rsidTr="00B73FDB">
        <w:trPr>
          <w:tblCellSpacing w:w="15" w:type="dxa"/>
        </w:trPr>
        <w:tc>
          <w:tcPr>
            <w:tcW w:w="0" w:type="auto"/>
            <w:shd w:val="clear" w:color="auto" w:fill="C2D69B"/>
            <w:vAlign w:val="center"/>
            <w:hideMark/>
          </w:tcPr>
          <w:p w14:paraId="2188850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D63102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05FE916C" w14:textId="77777777" w:rsidTr="00B73FDB">
        <w:trPr>
          <w:tblCellSpacing w:w="15" w:type="dxa"/>
        </w:trPr>
        <w:tc>
          <w:tcPr>
            <w:tcW w:w="0" w:type="auto"/>
            <w:shd w:val="clear" w:color="auto" w:fill="C2D69B"/>
            <w:vAlign w:val="center"/>
            <w:hideMark/>
          </w:tcPr>
          <w:p w14:paraId="5ECFA99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FAA819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B3B49D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C8D77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A28B04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0C8571E" w14:textId="77777777" w:rsidTr="00B73FDB">
        <w:trPr>
          <w:tblCellSpacing w:w="15" w:type="dxa"/>
        </w:trPr>
        <w:tc>
          <w:tcPr>
            <w:tcW w:w="0" w:type="auto"/>
            <w:shd w:val="clear" w:color="auto" w:fill="C2D69B"/>
            <w:vAlign w:val="center"/>
            <w:hideMark/>
          </w:tcPr>
          <w:p w14:paraId="121D8D9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2CE8E6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391 </w:t>
            </w:r>
          </w:p>
        </w:tc>
        <w:tc>
          <w:tcPr>
            <w:tcW w:w="0" w:type="auto"/>
            <w:shd w:val="clear" w:color="auto" w:fill="C2D69B"/>
            <w:noWrap/>
            <w:vAlign w:val="center"/>
            <w:hideMark/>
          </w:tcPr>
          <w:p w14:paraId="193A2BD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405 </w:t>
            </w:r>
          </w:p>
        </w:tc>
        <w:tc>
          <w:tcPr>
            <w:tcW w:w="0" w:type="auto"/>
            <w:shd w:val="clear" w:color="auto" w:fill="C2D69B"/>
            <w:vAlign w:val="center"/>
            <w:hideMark/>
          </w:tcPr>
          <w:p w14:paraId="67B0747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7714DF3" w14:textId="77777777" w:rsidR="00B73FDB" w:rsidRPr="00B73FDB" w:rsidRDefault="00B73FDB" w:rsidP="00B73FDB">
            <w:pPr>
              <w:spacing w:after="0" w:line="240" w:lineRule="auto"/>
              <w:jc w:val="center"/>
              <w:rPr>
                <w:rFonts w:cs="Calibri"/>
                <w:sz w:val="18"/>
                <w:szCs w:val="18"/>
                <w:lang w:eastAsia="sk-SK"/>
              </w:rPr>
            </w:pPr>
          </w:p>
        </w:tc>
      </w:tr>
    </w:tbl>
    <w:p w14:paraId="768D6753" w14:textId="52174658" w:rsidR="00B73FDB" w:rsidRPr="00352CED" w:rsidRDefault="00B73FDB" w:rsidP="00352CED">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Zameranie učebných a študijných odborov je na potravinárstvo, gastronómiu a hotelové služby, obchod a služby v dennej forme štúdia a škola poskytuje aj nadstavbové štúdium. Od 1.5.2013 škola pôsobí ako Centrum odborného vzdelávania a prípravy pre oblasť potravinárstva.</w:t>
      </w:r>
    </w:p>
    <w:p w14:paraId="29C1D3A4"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8.3.14: SOŠ technológií a remesiel, </w:t>
      </w:r>
      <w:proofErr w:type="spellStart"/>
      <w:r w:rsidRPr="00352CED">
        <w:rPr>
          <w:rFonts w:ascii="Calibri" w:hAnsi="Calibri" w:cs="Calibri"/>
          <w:b/>
          <w:color w:val="244061"/>
        </w:rPr>
        <w:t>Ivanská</w:t>
      </w:r>
      <w:proofErr w:type="spellEnd"/>
      <w:r w:rsidRPr="00352CED">
        <w:rPr>
          <w:rFonts w:ascii="Calibri" w:hAnsi="Calibri" w:cs="Calibri"/>
          <w:b/>
          <w:color w:val="244061"/>
        </w:rPr>
        <w:t xml:space="preserve"> cesta 21, BA – príspevková organizácia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6"/>
        <w:gridCol w:w="1210"/>
        <w:gridCol w:w="1210"/>
        <w:gridCol w:w="1081"/>
        <w:gridCol w:w="1208"/>
        <w:gridCol w:w="2428"/>
      </w:tblGrid>
      <w:tr w:rsidR="00B73FDB" w:rsidRPr="00B73FDB" w14:paraId="3C52CB38" w14:textId="77777777" w:rsidTr="00B73FDB">
        <w:trPr>
          <w:tblCellSpacing w:w="15" w:type="dxa"/>
        </w:trPr>
        <w:tc>
          <w:tcPr>
            <w:tcW w:w="266" w:type="pct"/>
            <w:shd w:val="clear" w:color="auto" w:fill="C6DBF7"/>
            <w:vAlign w:val="center"/>
            <w:hideMark/>
          </w:tcPr>
          <w:p w14:paraId="0BE0F1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4F8C5B9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56A2577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2D0359F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749FF0E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36E9143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26B9ADF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7A698A3" w14:textId="77777777" w:rsidTr="00B73FDB">
        <w:trPr>
          <w:tblCellSpacing w:w="15" w:type="dxa"/>
        </w:trPr>
        <w:tc>
          <w:tcPr>
            <w:tcW w:w="266" w:type="pct"/>
            <w:shd w:val="clear" w:color="auto" w:fill="D9D9D9"/>
            <w:noWrap/>
            <w:vAlign w:val="center"/>
            <w:hideMark/>
          </w:tcPr>
          <w:p w14:paraId="4F4B06EC"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0C5574F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4573CF9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1 221 600,00</w:t>
            </w:r>
            <w:r w:rsidRPr="00B73FDB">
              <w:rPr>
                <w:rFonts w:cs="Calibri"/>
                <w:sz w:val="18"/>
                <w:szCs w:val="18"/>
                <w:lang w:eastAsia="sk-SK"/>
              </w:rPr>
              <w:t xml:space="preserve"> </w:t>
            </w:r>
          </w:p>
        </w:tc>
        <w:tc>
          <w:tcPr>
            <w:tcW w:w="563" w:type="pct"/>
            <w:shd w:val="clear" w:color="auto" w:fill="D9D9D9"/>
            <w:noWrap/>
            <w:vAlign w:val="center"/>
            <w:hideMark/>
          </w:tcPr>
          <w:p w14:paraId="06EE9FE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1 420 451,90</w:t>
            </w:r>
            <w:r w:rsidRPr="00B73FDB">
              <w:rPr>
                <w:rFonts w:cs="Calibri"/>
                <w:sz w:val="18"/>
                <w:szCs w:val="18"/>
                <w:lang w:eastAsia="sk-SK"/>
              </w:rPr>
              <w:t xml:space="preserve"> </w:t>
            </w:r>
          </w:p>
        </w:tc>
        <w:tc>
          <w:tcPr>
            <w:tcW w:w="501" w:type="pct"/>
            <w:shd w:val="clear" w:color="auto" w:fill="D9D9D9"/>
            <w:noWrap/>
            <w:vAlign w:val="center"/>
            <w:hideMark/>
          </w:tcPr>
          <w:p w14:paraId="0B78490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1 420 451,90</w:t>
            </w:r>
            <w:r w:rsidRPr="00B73FDB">
              <w:rPr>
                <w:rFonts w:cs="Calibri"/>
                <w:sz w:val="18"/>
                <w:szCs w:val="18"/>
                <w:lang w:eastAsia="sk-SK"/>
              </w:rPr>
              <w:t xml:space="preserve"> </w:t>
            </w:r>
          </w:p>
        </w:tc>
        <w:tc>
          <w:tcPr>
            <w:tcW w:w="562" w:type="pct"/>
            <w:shd w:val="clear" w:color="auto" w:fill="D9D9D9"/>
            <w:noWrap/>
            <w:vAlign w:val="center"/>
            <w:hideMark/>
          </w:tcPr>
          <w:p w14:paraId="2096D75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55D085E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+173 601,00 EUR</w:t>
            </w:r>
            <w:r w:rsidRPr="00B73FDB">
              <w:rPr>
                <w:rFonts w:cs="Calibri"/>
                <w:sz w:val="18"/>
                <w:szCs w:val="18"/>
                <w:lang w:eastAsia="sk-SK"/>
              </w:rPr>
              <w:t xml:space="preserve"> normatívne finančné prostriedky,</w:t>
            </w:r>
          </w:p>
          <w:p w14:paraId="3BAE434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+328,00 EUR</w:t>
            </w:r>
            <w:r w:rsidRPr="00B73FDB">
              <w:rPr>
                <w:rFonts w:cs="Calibri"/>
                <w:sz w:val="18"/>
                <w:szCs w:val="18"/>
                <w:lang w:eastAsia="sk-SK"/>
              </w:rPr>
              <w:t xml:space="preserve"> normatívne finančné prostriedky na maturity,</w:t>
            </w:r>
          </w:p>
          <w:p w14:paraId="275758B4"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+14 130,00 EUR</w:t>
            </w:r>
            <w:r w:rsidRPr="00B73FDB">
              <w:rPr>
                <w:rFonts w:cs="Calibri"/>
                <w:sz w:val="18"/>
                <w:szCs w:val="18"/>
                <w:lang w:eastAsia="sk-SK"/>
              </w:rPr>
              <w:t xml:space="preserve"> príspevok na rekreáciu zamestnancov,</w:t>
            </w:r>
          </w:p>
          <w:p w14:paraId="5CF2B26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+1 722,00 EUR </w:t>
            </w:r>
            <w:r w:rsidRPr="00B73FDB">
              <w:rPr>
                <w:rFonts w:cs="Calibri"/>
                <w:sz w:val="18"/>
                <w:szCs w:val="18"/>
                <w:lang w:eastAsia="sk-SK"/>
              </w:rPr>
              <w:t>nenormatívne finančné prostriedky na vzdelávacie poukazy,</w:t>
            </w:r>
          </w:p>
          <w:p w14:paraId="65B3F2E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+750,00 EUR</w:t>
            </w:r>
            <w:r w:rsidRPr="00B73FDB">
              <w:rPr>
                <w:rFonts w:cs="Calibri"/>
                <w:sz w:val="18"/>
                <w:szCs w:val="18"/>
                <w:lang w:eastAsia="sk-SK"/>
              </w:rPr>
              <w:t xml:space="preserve"> nenormatívne finančné prostriedky na lyžiarske kurzy,</w:t>
            </w:r>
          </w:p>
          <w:p w14:paraId="437AC36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+8 320,90 EUR</w:t>
            </w:r>
            <w:r w:rsidRPr="00B73FDB">
              <w:rPr>
                <w:rFonts w:cs="Calibri"/>
                <w:sz w:val="18"/>
                <w:szCs w:val="18"/>
                <w:lang w:eastAsia="sk-SK"/>
              </w:rPr>
              <w:t xml:space="preserve"> projekt z MPC.</w:t>
            </w:r>
          </w:p>
        </w:tc>
      </w:tr>
      <w:tr w:rsidR="00B73FDB" w:rsidRPr="00B73FDB" w14:paraId="08CB5012" w14:textId="77777777" w:rsidTr="00B73FDB">
        <w:trPr>
          <w:tblCellSpacing w:w="15" w:type="dxa"/>
        </w:trPr>
        <w:tc>
          <w:tcPr>
            <w:tcW w:w="266" w:type="pct"/>
            <w:shd w:val="clear" w:color="auto" w:fill="D9D9D9"/>
            <w:noWrap/>
            <w:vAlign w:val="center"/>
            <w:hideMark/>
          </w:tcPr>
          <w:p w14:paraId="2D3A7FB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3842EC9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7A7B5DE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1 221 600,00</w:t>
            </w:r>
            <w:r w:rsidRPr="00B73FDB">
              <w:rPr>
                <w:rFonts w:cs="Calibri"/>
                <w:sz w:val="18"/>
                <w:szCs w:val="18"/>
                <w:lang w:eastAsia="sk-SK"/>
              </w:rPr>
              <w:t xml:space="preserve"> </w:t>
            </w:r>
          </w:p>
        </w:tc>
        <w:tc>
          <w:tcPr>
            <w:tcW w:w="563" w:type="pct"/>
            <w:shd w:val="clear" w:color="auto" w:fill="D9D9D9"/>
            <w:noWrap/>
            <w:vAlign w:val="center"/>
            <w:hideMark/>
          </w:tcPr>
          <w:p w14:paraId="69CD78B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1 420 451,90</w:t>
            </w:r>
            <w:r w:rsidRPr="00B73FDB">
              <w:rPr>
                <w:rFonts w:cs="Calibri"/>
                <w:sz w:val="18"/>
                <w:szCs w:val="18"/>
                <w:lang w:eastAsia="sk-SK"/>
              </w:rPr>
              <w:t xml:space="preserve"> </w:t>
            </w:r>
          </w:p>
        </w:tc>
        <w:tc>
          <w:tcPr>
            <w:tcW w:w="501" w:type="pct"/>
            <w:shd w:val="clear" w:color="auto" w:fill="D9D9D9"/>
            <w:noWrap/>
            <w:vAlign w:val="center"/>
            <w:hideMark/>
          </w:tcPr>
          <w:p w14:paraId="0A9C3D8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1 420 451,90</w:t>
            </w:r>
            <w:r w:rsidRPr="00B73FDB">
              <w:rPr>
                <w:rFonts w:cs="Calibri"/>
                <w:sz w:val="18"/>
                <w:szCs w:val="18"/>
                <w:lang w:eastAsia="sk-SK"/>
              </w:rPr>
              <w:t xml:space="preserve"> </w:t>
            </w:r>
          </w:p>
        </w:tc>
        <w:tc>
          <w:tcPr>
            <w:tcW w:w="562" w:type="pct"/>
            <w:shd w:val="clear" w:color="auto" w:fill="D9D9D9"/>
            <w:noWrap/>
            <w:vAlign w:val="center"/>
            <w:hideMark/>
          </w:tcPr>
          <w:p w14:paraId="26F116F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0A0BFBE6"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2669C06C" w14:textId="77777777" w:rsidTr="00B73FDB">
        <w:trPr>
          <w:tblCellSpacing w:w="15" w:type="dxa"/>
        </w:trPr>
        <w:tc>
          <w:tcPr>
            <w:tcW w:w="266" w:type="pct"/>
            <w:shd w:val="clear" w:color="auto" w:fill="EFEFEF"/>
            <w:noWrap/>
            <w:vAlign w:val="center"/>
            <w:hideMark/>
          </w:tcPr>
          <w:p w14:paraId="7ACB67C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685921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3E6E92C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1 221 600,00 </w:t>
            </w:r>
          </w:p>
        </w:tc>
        <w:tc>
          <w:tcPr>
            <w:tcW w:w="563" w:type="pct"/>
            <w:shd w:val="clear" w:color="auto" w:fill="EFEFEF"/>
            <w:noWrap/>
            <w:vAlign w:val="center"/>
            <w:hideMark/>
          </w:tcPr>
          <w:p w14:paraId="3302232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1 420 451,90 </w:t>
            </w:r>
          </w:p>
        </w:tc>
        <w:tc>
          <w:tcPr>
            <w:tcW w:w="501" w:type="pct"/>
            <w:shd w:val="clear" w:color="auto" w:fill="EFEFEF"/>
            <w:noWrap/>
            <w:vAlign w:val="center"/>
            <w:hideMark/>
          </w:tcPr>
          <w:p w14:paraId="740B6BD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1 420 451,90 </w:t>
            </w:r>
          </w:p>
        </w:tc>
        <w:tc>
          <w:tcPr>
            <w:tcW w:w="562" w:type="pct"/>
            <w:shd w:val="clear" w:color="auto" w:fill="EFEFEF"/>
            <w:noWrap/>
            <w:vAlign w:val="center"/>
            <w:hideMark/>
          </w:tcPr>
          <w:p w14:paraId="75357E7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042314B" w14:textId="77777777" w:rsidR="00B73FDB" w:rsidRPr="00B73FDB" w:rsidRDefault="00B73FDB" w:rsidP="00B73FDB">
            <w:pPr>
              <w:spacing w:after="0" w:line="240" w:lineRule="auto"/>
              <w:rPr>
                <w:rFonts w:cs="Calibri"/>
                <w:sz w:val="18"/>
                <w:szCs w:val="18"/>
                <w:lang w:eastAsia="sk-SK"/>
              </w:rPr>
            </w:pPr>
          </w:p>
        </w:tc>
      </w:tr>
    </w:tbl>
    <w:p w14:paraId="4207AF39"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623BEB04" w14:textId="77777777" w:rsidTr="00B73FDB">
        <w:trPr>
          <w:tblCellSpacing w:w="15" w:type="dxa"/>
        </w:trPr>
        <w:tc>
          <w:tcPr>
            <w:tcW w:w="0" w:type="auto"/>
            <w:shd w:val="clear" w:color="auto" w:fill="C2D69B"/>
            <w:vAlign w:val="center"/>
            <w:hideMark/>
          </w:tcPr>
          <w:p w14:paraId="3BD9FC3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34ACBF8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DDD25D1" w14:textId="77777777" w:rsidTr="00B73FDB">
        <w:trPr>
          <w:tblCellSpacing w:w="15" w:type="dxa"/>
        </w:trPr>
        <w:tc>
          <w:tcPr>
            <w:tcW w:w="0" w:type="auto"/>
            <w:shd w:val="clear" w:color="auto" w:fill="C2D69B"/>
            <w:vAlign w:val="center"/>
            <w:hideMark/>
          </w:tcPr>
          <w:p w14:paraId="2FB3DDE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Cieľ</w:t>
            </w:r>
          </w:p>
        </w:tc>
        <w:tc>
          <w:tcPr>
            <w:tcW w:w="0" w:type="auto"/>
            <w:gridSpan w:val="4"/>
            <w:shd w:val="clear" w:color="auto" w:fill="C2D69B"/>
            <w:vAlign w:val="center"/>
            <w:hideMark/>
          </w:tcPr>
          <w:p w14:paraId="2254E4E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65293AEF" w14:textId="77777777" w:rsidTr="00B73FDB">
        <w:trPr>
          <w:tblCellSpacing w:w="15" w:type="dxa"/>
        </w:trPr>
        <w:tc>
          <w:tcPr>
            <w:tcW w:w="0" w:type="auto"/>
            <w:shd w:val="clear" w:color="auto" w:fill="C2D69B"/>
            <w:vAlign w:val="center"/>
            <w:hideMark/>
          </w:tcPr>
          <w:p w14:paraId="18007E7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60191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7886592" w14:textId="77777777" w:rsidTr="00B73FDB">
        <w:trPr>
          <w:tblCellSpacing w:w="15" w:type="dxa"/>
        </w:trPr>
        <w:tc>
          <w:tcPr>
            <w:tcW w:w="0" w:type="auto"/>
            <w:shd w:val="clear" w:color="auto" w:fill="C2D69B"/>
            <w:vAlign w:val="center"/>
            <w:hideMark/>
          </w:tcPr>
          <w:p w14:paraId="79C6D9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C9345A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8E3705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85938D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1E70A7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4B16D8C" w14:textId="77777777" w:rsidTr="00B73FDB">
        <w:trPr>
          <w:tblCellSpacing w:w="15" w:type="dxa"/>
        </w:trPr>
        <w:tc>
          <w:tcPr>
            <w:tcW w:w="0" w:type="auto"/>
            <w:shd w:val="clear" w:color="auto" w:fill="C2D69B"/>
            <w:vAlign w:val="center"/>
            <w:hideMark/>
          </w:tcPr>
          <w:p w14:paraId="26AD67A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56F6FA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418 </w:t>
            </w:r>
          </w:p>
        </w:tc>
        <w:tc>
          <w:tcPr>
            <w:tcW w:w="0" w:type="auto"/>
            <w:shd w:val="clear" w:color="auto" w:fill="C2D69B"/>
            <w:noWrap/>
            <w:vAlign w:val="center"/>
            <w:hideMark/>
          </w:tcPr>
          <w:p w14:paraId="7F1B33A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469 </w:t>
            </w:r>
          </w:p>
        </w:tc>
        <w:tc>
          <w:tcPr>
            <w:tcW w:w="0" w:type="auto"/>
            <w:shd w:val="clear" w:color="auto" w:fill="C2D69B"/>
            <w:vAlign w:val="center"/>
            <w:hideMark/>
          </w:tcPr>
          <w:p w14:paraId="519993A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BC1CBBB"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0083041" w14:textId="77777777" w:rsidTr="00B73FDB">
        <w:trPr>
          <w:tblCellSpacing w:w="15" w:type="dxa"/>
        </w:trPr>
        <w:tc>
          <w:tcPr>
            <w:tcW w:w="0" w:type="auto"/>
            <w:shd w:val="clear" w:color="auto" w:fill="C2D69B"/>
            <w:vAlign w:val="center"/>
            <w:hideMark/>
          </w:tcPr>
          <w:p w14:paraId="45C4589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886A22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D4C8BC9" w14:textId="77777777" w:rsidTr="00B73FDB">
        <w:trPr>
          <w:tblCellSpacing w:w="15" w:type="dxa"/>
        </w:trPr>
        <w:tc>
          <w:tcPr>
            <w:tcW w:w="0" w:type="auto"/>
            <w:shd w:val="clear" w:color="auto" w:fill="C2D69B"/>
            <w:vAlign w:val="center"/>
            <w:hideMark/>
          </w:tcPr>
          <w:p w14:paraId="552FDEE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887A4C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6C951B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451ABA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C3235F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F4135EC" w14:textId="77777777" w:rsidTr="00B73FDB">
        <w:trPr>
          <w:tblCellSpacing w:w="15" w:type="dxa"/>
        </w:trPr>
        <w:tc>
          <w:tcPr>
            <w:tcW w:w="0" w:type="auto"/>
            <w:shd w:val="clear" w:color="auto" w:fill="C2D69B"/>
            <w:vAlign w:val="center"/>
            <w:hideMark/>
          </w:tcPr>
          <w:p w14:paraId="5C9B760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30D07B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358 </w:t>
            </w:r>
          </w:p>
        </w:tc>
        <w:tc>
          <w:tcPr>
            <w:tcW w:w="0" w:type="auto"/>
            <w:shd w:val="clear" w:color="auto" w:fill="C2D69B"/>
            <w:noWrap/>
            <w:vAlign w:val="center"/>
            <w:hideMark/>
          </w:tcPr>
          <w:p w14:paraId="35ED273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371 </w:t>
            </w:r>
          </w:p>
        </w:tc>
        <w:tc>
          <w:tcPr>
            <w:tcW w:w="0" w:type="auto"/>
            <w:shd w:val="clear" w:color="auto" w:fill="C2D69B"/>
            <w:vAlign w:val="center"/>
            <w:hideMark/>
          </w:tcPr>
          <w:p w14:paraId="6606EE0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2E67C74" w14:textId="77777777" w:rsidR="00B73FDB" w:rsidRPr="00B73FDB" w:rsidRDefault="00B73FDB" w:rsidP="00B73FDB">
            <w:pPr>
              <w:spacing w:after="0" w:line="240" w:lineRule="auto"/>
              <w:jc w:val="center"/>
              <w:rPr>
                <w:rFonts w:cs="Calibri"/>
                <w:sz w:val="18"/>
                <w:szCs w:val="18"/>
                <w:lang w:eastAsia="sk-SK"/>
              </w:rPr>
            </w:pPr>
          </w:p>
        </w:tc>
      </w:tr>
    </w:tbl>
    <w:p w14:paraId="13BE7907"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Koment</w:t>
      </w:r>
      <w:r w:rsidRPr="00B73FDB">
        <w:rPr>
          <w:rFonts w:cs="Calibri"/>
          <w:b/>
          <w:bCs/>
          <w:sz w:val="24"/>
          <w:szCs w:val="24"/>
          <w:lang w:eastAsia="sk-SK"/>
        </w:rPr>
        <w:t xml:space="preserve">ár: </w:t>
      </w:r>
      <w:r w:rsidRPr="00B73FDB">
        <w:rPr>
          <w:rFonts w:cs="Calibri"/>
          <w:sz w:val="24"/>
          <w:szCs w:val="24"/>
          <w:lang w:eastAsia="sk-SK"/>
        </w:rPr>
        <w:t>Zameranie učebných a študijných odborov je najmä na oblasť stavebníctva. Ďalšie odbory sú širokospektrálne zamerané - elektrotechnika, strojárstvo, spracovanie dreva a 2-ročné odborné vzdelanie. Ide o dennú formu štúdia, nadstavbové štúdium a externú formu štúdia. Od 1. 1. 2015 škola pôsobí ako Centrum odborného vzdelávania a prípravy pre oblasť stavebníctva.</w:t>
      </w:r>
    </w:p>
    <w:p w14:paraId="0D35B04D"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8.3.15: SOŠ elektrotechnická, Rybničná 59,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2731"/>
        <w:gridCol w:w="1212"/>
        <w:gridCol w:w="1212"/>
        <w:gridCol w:w="1061"/>
        <w:gridCol w:w="1214"/>
        <w:gridCol w:w="2426"/>
      </w:tblGrid>
      <w:tr w:rsidR="00B73FDB" w:rsidRPr="00B73FDB" w14:paraId="06B4B133" w14:textId="77777777" w:rsidTr="00B73FDB">
        <w:trPr>
          <w:tblCellSpacing w:w="15" w:type="dxa"/>
        </w:trPr>
        <w:tc>
          <w:tcPr>
            <w:tcW w:w="269" w:type="pct"/>
            <w:shd w:val="clear" w:color="auto" w:fill="C6DBF7"/>
            <w:vAlign w:val="center"/>
            <w:hideMark/>
          </w:tcPr>
          <w:p w14:paraId="5FB93AA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600B4FB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2CFCEFE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7E8D1A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063FBF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56A37C1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58DBE3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D7FE710" w14:textId="77777777" w:rsidTr="00B73FDB">
        <w:trPr>
          <w:tblCellSpacing w:w="15" w:type="dxa"/>
        </w:trPr>
        <w:tc>
          <w:tcPr>
            <w:tcW w:w="269" w:type="pct"/>
            <w:shd w:val="clear" w:color="auto" w:fill="D9D9D9"/>
            <w:noWrap/>
            <w:vAlign w:val="center"/>
            <w:hideMark/>
          </w:tcPr>
          <w:p w14:paraId="5CFEAE5E"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317438D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52B68BF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549 203,00</w:t>
            </w:r>
            <w:r w:rsidRPr="00B73FDB">
              <w:rPr>
                <w:rFonts w:cs="Calibri"/>
                <w:sz w:val="18"/>
                <w:szCs w:val="18"/>
                <w:lang w:eastAsia="sk-SK"/>
              </w:rPr>
              <w:t xml:space="preserve"> </w:t>
            </w:r>
          </w:p>
        </w:tc>
        <w:tc>
          <w:tcPr>
            <w:tcW w:w="564" w:type="pct"/>
            <w:shd w:val="clear" w:color="auto" w:fill="D9D9D9"/>
            <w:noWrap/>
            <w:vAlign w:val="center"/>
            <w:hideMark/>
          </w:tcPr>
          <w:p w14:paraId="402565F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659 570,65</w:t>
            </w:r>
            <w:r w:rsidRPr="00B73FDB">
              <w:rPr>
                <w:rFonts w:cs="Calibri"/>
                <w:sz w:val="18"/>
                <w:szCs w:val="18"/>
                <w:lang w:eastAsia="sk-SK"/>
              </w:rPr>
              <w:t xml:space="preserve"> </w:t>
            </w:r>
          </w:p>
        </w:tc>
        <w:tc>
          <w:tcPr>
            <w:tcW w:w="492" w:type="pct"/>
            <w:shd w:val="clear" w:color="auto" w:fill="D9D9D9"/>
            <w:noWrap/>
            <w:vAlign w:val="center"/>
            <w:hideMark/>
          </w:tcPr>
          <w:p w14:paraId="75C594A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659 305,03</w:t>
            </w:r>
            <w:r w:rsidRPr="00B73FDB">
              <w:rPr>
                <w:rFonts w:cs="Calibri"/>
                <w:sz w:val="18"/>
                <w:szCs w:val="18"/>
                <w:lang w:eastAsia="sk-SK"/>
              </w:rPr>
              <w:t xml:space="preserve"> </w:t>
            </w:r>
          </w:p>
        </w:tc>
        <w:tc>
          <w:tcPr>
            <w:tcW w:w="565" w:type="pct"/>
            <w:shd w:val="clear" w:color="auto" w:fill="D9D9D9"/>
            <w:noWrap/>
            <w:vAlign w:val="center"/>
            <w:hideMark/>
          </w:tcPr>
          <w:p w14:paraId="37E41E3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99,96</w:t>
            </w:r>
            <w:r w:rsidRPr="00B73FDB">
              <w:rPr>
                <w:rFonts w:cs="Calibri"/>
                <w:sz w:val="18"/>
                <w:szCs w:val="18"/>
                <w:lang w:eastAsia="sk-SK"/>
              </w:rPr>
              <w:t xml:space="preserve"> </w:t>
            </w:r>
          </w:p>
        </w:tc>
        <w:tc>
          <w:tcPr>
            <w:tcW w:w="1136" w:type="pct"/>
            <w:vMerge w:val="restart"/>
            <w:shd w:val="clear" w:color="auto" w:fill="D9D9D9"/>
            <w:vAlign w:val="center"/>
            <w:hideMark/>
          </w:tcPr>
          <w:p w14:paraId="4568C8B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+54 785,00 EUR</w:t>
            </w:r>
            <w:r w:rsidRPr="00B73FDB">
              <w:rPr>
                <w:rFonts w:cs="Calibri"/>
                <w:sz w:val="18"/>
                <w:szCs w:val="18"/>
                <w:lang w:eastAsia="sk-SK"/>
              </w:rPr>
              <w:t xml:space="preserve"> normatívne finančné prostriedky,</w:t>
            </w:r>
          </w:p>
          <w:p w14:paraId="5FE954B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+64,00 EUR </w:t>
            </w:r>
            <w:r w:rsidRPr="00B73FDB">
              <w:rPr>
                <w:rFonts w:cs="Calibri"/>
                <w:sz w:val="18"/>
                <w:szCs w:val="18"/>
                <w:lang w:eastAsia="sk-SK"/>
              </w:rPr>
              <w:t>nenormatívne finančné prostriedky na vzdelávacie poukazy,</w:t>
            </w:r>
          </w:p>
          <w:p w14:paraId="156500A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+150,00 EUR</w:t>
            </w:r>
            <w:r w:rsidRPr="00B73FDB">
              <w:rPr>
                <w:rFonts w:cs="Calibri"/>
                <w:sz w:val="18"/>
                <w:szCs w:val="18"/>
                <w:lang w:eastAsia="sk-SK"/>
              </w:rPr>
              <w:t xml:space="preserve"> nenormatívne finančné prostriedky na lyžiarske kurzy,</w:t>
            </w:r>
          </w:p>
          <w:p w14:paraId="5ED7A5C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+55 268,65 EUR</w:t>
            </w:r>
            <w:r w:rsidRPr="00B73FDB">
              <w:rPr>
                <w:rFonts w:cs="Calibri"/>
                <w:sz w:val="18"/>
                <w:szCs w:val="18"/>
                <w:lang w:eastAsia="sk-SK"/>
              </w:rPr>
              <w:t xml:space="preserve"> príjmy z prenájmov,</w:t>
            </w:r>
          </w:p>
          <w:p w14:paraId="1200386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+100,00 EUR</w:t>
            </w:r>
            <w:r w:rsidRPr="00B73FDB">
              <w:rPr>
                <w:rFonts w:cs="Calibri"/>
                <w:sz w:val="18"/>
                <w:szCs w:val="18"/>
                <w:lang w:eastAsia="sk-SK"/>
              </w:rPr>
              <w:t xml:space="preserve"> navýšenie rozpočtu darovacieho účtu.</w:t>
            </w:r>
          </w:p>
        </w:tc>
      </w:tr>
      <w:tr w:rsidR="00B73FDB" w:rsidRPr="00B73FDB" w14:paraId="242F3754" w14:textId="77777777" w:rsidTr="00B73FDB">
        <w:trPr>
          <w:tblCellSpacing w:w="15" w:type="dxa"/>
        </w:trPr>
        <w:tc>
          <w:tcPr>
            <w:tcW w:w="269" w:type="pct"/>
            <w:shd w:val="clear" w:color="auto" w:fill="D9D9D9"/>
            <w:noWrap/>
            <w:vAlign w:val="center"/>
            <w:hideMark/>
          </w:tcPr>
          <w:p w14:paraId="1ED0140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2F9D01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354B6A0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549 203,00</w:t>
            </w:r>
            <w:r w:rsidRPr="00B73FDB">
              <w:rPr>
                <w:rFonts w:cs="Calibri"/>
                <w:sz w:val="18"/>
                <w:szCs w:val="18"/>
                <w:lang w:eastAsia="sk-SK"/>
              </w:rPr>
              <w:t xml:space="preserve"> </w:t>
            </w:r>
          </w:p>
        </w:tc>
        <w:tc>
          <w:tcPr>
            <w:tcW w:w="564" w:type="pct"/>
            <w:shd w:val="clear" w:color="auto" w:fill="D9D9D9"/>
            <w:noWrap/>
            <w:vAlign w:val="center"/>
            <w:hideMark/>
          </w:tcPr>
          <w:p w14:paraId="292EEBA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659 570,65</w:t>
            </w:r>
            <w:r w:rsidRPr="00B73FDB">
              <w:rPr>
                <w:rFonts w:cs="Calibri"/>
                <w:sz w:val="18"/>
                <w:szCs w:val="18"/>
                <w:lang w:eastAsia="sk-SK"/>
              </w:rPr>
              <w:t xml:space="preserve"> </w:t>
            </w:r>
          </w:p>
        </w:tc>
        <w:tc>
          <w:tcPr>
            <w:tcW w:w="492" w:type="pct"/>
            <w:shd w:val="clear" w:color="auto" w:fill="D9D9D9"/>
            <w:noWrap/>
            <w:vAlign w:val="center"/>
            <w:hideMark/>
          </w:tcPr>
          <w:p w14:paraId="0812409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659 305,03</w:t>
            </w:r>
            <w:r w:rsidRPr="00B73FDB">
              <w:rPr>
                <w:rFonts w:cs="Calibri"/>
                <w:sz w:val="18"/>
                <w:szCs w:val="18"/>
                <w:lang w:eastAsia="sk-SK"/>
              </w:rPr>
              <w:t xml:space="preserve"> </w:t>
            </w:r>
          </w:p>
        </w:tc>
        <w:tc>
          <w:tcPr>
            <w:tcW w:w="565" w:type="pct"/>
            <w:shd w:val="clear" w:color="auto" w:fill="D9D9D9"/>
            <w:noWrap/>
            <w:vAlign w:val="center"/>
            <w:hideMark/>
          </w:tcPr>
          <w:p w14:paraId="3F4527D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99,96</w:t>
            </w:r>
            <w:r w:rsidRPr="00B73FDB">
              <w:rPr>
                <w:rFonts w:cs="Calibri"/>
                <w:sz w:val="18"/>
                <w:szCs w:val="18"/>
                <w:lang w:eastAsia="sk-SK"/>
              </w:rPr>
              <w:t xml:space="preserve"> </w:t>
            </w:r>
          </w:p>
        </w:tc>
        <w:tc>
          <w:tcPr>
            <w:tcW w:w="1136" w:type="pct"/>
            <w:vMerge/>
            <w:shd w:val="clear" w:color="auto" w:fill="D9D9D9"/>
            <w:vAlign w:val="center"/>
            <w:hideMark/>
          </w:tcPr>
          <w:p w14:paraId="5B1733E8"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3FF865CB" w14:textId="77777777" w:rsidTr="00B73FDB">
        <w:trPr>
          <w:tblCellSpacing w:w="15" w:type="dxa"/>
        </w:trPr>
        <w:tc>
          <w:tcPr>
            <w:tcW w:w="269" w:type="pct"/>
            <w:shd w:val="clear" w:color="auto" w:fill="EFEFEF"/>
            <w:noWrap/>
            <w:vAlign w:val="center"/>
            <w:hideMark/>
          </w:tcPr>
          <w:p w14:paraId="426A688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073818A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0E164E7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272 453,00 </w:t>
            </w:r>
          </w:p>
        </w:tc>
        <w:tc>
          <w:tcPr>
            <w:tcW w:w="564" w:type="pct"/>
            <w:shd w:val="clear" w:color="auto" w:fill="EFEFEF"/>
            <w:noWrap/>
            <w:vAlign w:val="center"/>
            <w:hideMark/>
          </w:tcPr>
          <w:p w14:paraId="08CD84A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350 640,15 </w:t>
            </w:r>
          </w:p>
        </w:tc>
        <w:tc>
          <w:tcPr>
            <w:tcW w:w="492" w:type="pct"/>
            <w:shd w:val="clear" w:color="auto" w:fill="EFEFEF"/>
            <w:noWrap/>
            <w:vAlign w:val="center"/>
            <w:hideMark/>
          </w:tcPr>
          <w:p w14:paraId="4F6798F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350 640,15 </w:t>
            </w:r>
          </w:p>
        </w:tc>
        <w:tc>
          <w:tcPr>
            <w:tcW w:w="565" w:type="pct"/>
            <w:shd w:val="clear" w:color="auto" w:fill="EFEFEF"/>
            <w:noWrap/>
            <w:vAlign w:val="center"/>
            <w:hideMark/>
          </w:tcPr>
          <w:p w14:paraId="54643DC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4A3EE44" w14:textId="77777777" w:rsidR="00B73FDB" w:rsidRPr="00B73FDB" w:rsidRDefault="00B73FDB" w:rsidP="00B73FDB">
            <w:pPr>
              <w:spacing w:after="0" w:line="240" w:lineRule="auto"/>
              <w:rPr>
                <w:rFonts w:cs="Calibri"/>
                <w:sz w:val="18"/>
                <w:szCs w:val="18"/>
                <w:lang w:eastAsia="sk-SK"/>
              </w:rPr>
            </w:pPr>
          </w:p>
        </w:tc>
      </w:tr>
      <w:tr w:rsidR="00B73FDB" w:rsidRPr="00B73FDB" w14:paraId="4FD5D7E8" w14:textId="77777777" w:rsidTr="00B73FDB">
        <w:trPr>
          <w:tblCellSpacing w:w="15" w:type="dxa"/>
        </w:trPr>
        <w:tc>
          <w:tcPr>
            <w:tcW w:w="269" w:type="pct"/>
            <w:shd w:val="clear" w:color="auto" w:fill="EFEFEF"/>
            <w:noWrap/>
            <w:vAlign w:val="center"/>
            <w:hideMark/>
          </w:tcPr>
          <w:p w14:paraId="3765F4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5D5B6E0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17997DE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105 300,00 </w:t>
            </w:r>
          </w:p>
        </w:tc>
        <w:tc>
          <w:tcPr>
            <w:tcW w:w="564" w:type="pct"/>
            <w:shd w:val="clear" w:color="auto" w:fill="EFEFEF"/>
            <w:noWrap/>
            <w:vAlign w:val="center"/>
            <w:hideMark/>
          </w:tcPr>
          <w:p w14:paraId="7680D6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123 091,42 </w:t>
            </w:r>
          </w:p>
        </w:tc>
        <w:tc>
          <w:tcPr>
            <w:tcW w:w="492" w:type="pct"/>
            <w:shd w:val="clear" w:color="auto" w:fill="EFEFEF"/>
            <w:noWrap/>
            <w:vAlign w:val="center"/>
            <w:hideMark/>
          </w:tcPr>
          <w:p w14:paraId="47AFBC1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123 091,42 </w:t>
            </w:r>
          </w:p>
        </w:tc>
        <w:tc>
          <w:tcPr>
            <w:tcW w:w="565" w:type="pct"/>
            <w:shd w:val="clear" w:color="auto" w:fill="EFEFEF"/>
            <w:noWrap/>
            <w:vAlign w:val="center"/>
            <w:hideMark/>
          </w:tcPr>
          <w:p w14:paraId="3BCF8EC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4A45822" w14:textId="77777777" w:rsidR="00B73FDB" w:rsidRPr="00B73FDB" w:rsidRDefault="00B73FDB" w:rsidP="00B73FDB">
            <w:pPr>
              <w:spacing w:after="0" w:line="240" w:lineRule="auto"/>
              <w:rPr>
                <w:rFonts w:cs="Calibri"/>
                <w:sz w:val="18"/>
                <w:szCs w:val="18"/>
                <w:lang w:eastAsia="sk-SK"/>
              </w:rPr>
            </w:pPr>
          </w:p>
        </w:tc>
      </w:tr>
      <w:tr w:rsidR="00B73FDB" w:rsidRPr="00B73FDB" w14:paraId="42AD3E71" w14:textId="77777777" w:rsidTr="00B73FDB">
        <w:trPr>
          <w:tblCellSpacing w:w="15" w:type="dxa"/>
        </w:trPr>
        <w:tc>
          <w:tcPr>
            <w:tcW w:w="269" w:type="pct"/>
            <w:shd w:val="clear" w:color="auto" w:fill="EFEFEF"/>
            <w:noWrap/>
            <w:vAlign w:val="center"/>
            <w:hideMark/>
          </w:tcPr>
          <w:p w14:paraId="59C8CB0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0721AD0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31F7A51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170 500,00 </w:t>
            </w:r>
          </w:p>
        </w:tc>
        <w:tc>
          <w:tcPr>
            <w:tcW w:w="564" w:type="pct"/>
            <w:shd w:val="clear" w:color="auto" w:fill="EFEFEF"/>
            <w:noWrap/>
            <w:vAlign w:val="center"/>
            <w:hideMark/>
          </w:tcPr>
          <w:p w14:paraId="0484F1A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185 147,44 </w:t>
            </w:r>
          </w:p>
        </w:tc>
        <w:tc>
          <w:tcPr>
            <w:tcW w:w="492" w:type="pct"/>
            <w:shd w:val="clear" w:color="auto" w:fill="EFEFEF"/>
            <w:noWrap/>
            <w:vAlign w:val="center"/>
            <w:hideMark/>
          </w:tcPr>
          <w:p w14:paraId="7B37FB3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184 881,82 </w:t>
            </w:r>
          </w:p>
        </w:tc>
        <w:tc>
          <w:tcPr>
            <w:tcW w:w="565" w:type="pct"/>
            <w:shd w:val="clear" w:color="auto" w:fill="EFEFEF"/>
            <w:noWrap/>
            <w:vAlign w:val="center"/>
            <w:hideMark/>
          </w:tcPr>
          <w:p w14:paraId="2DAC915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99,86 </w:t>
            </w:r>
          </w:p>
        </w:tc>
        <w:tc>
          <w:tcPr>
            <w:tcW w:w="1136" w:type="pct"/>
            <w:vMerge/>
            <w:shd w:val="clear" w:color="auto" w:fill="EFEFEF"/>
            <w:vAlign w:val="center"/>
            <w:hideMark/>
          </w:tcPr>
          <w:p w14:paraId="5050B143" w14:textId="77777777" w:rsidR="00B73FDB" w:rsidRPr="00B73FDB" w:rsidRDefault="00B73FDB" w:rsidP="00B73FDB">
            <w:pPr>
              <w:spacing w:after="0" w:line="240" w:lineRule="auto"/>
              <w:rPr>
                <w:rFonts w:cs="Calibri"/>
                <w:sz w:val="18"/>
                <w:szCs w:val="18"/>
                <w:lang w:eastAsia="sk-SK"/>
              </w:rPr>
            </w:pPr>
          </w:p>
        </w:tc>
      </w:tr>
      <w:tr w:rsidR="00B73FDB" w:rsidRPr="00B73FDB" w14:paraId="01B42451" w14:textId="77777777" w:rsidTr="00B73FDB">
        <w:trPr>
          <w:tblCellSpacing w:w="15" w:type="dxa"/>
        </w:trPr>
        <w:tc>
          <w:tcPr>
            <w:tcW w:w="269" w:type="pct"/>
            <w:shd w:val="clear" w:color="auto" w:fill="EFEFEF"/>
            <w:noWrap/>
            <w:vAlign w:val="center"/>
            <w:hideMark/>
          </w:tcPr>
          <w:p w14:paraId="0B414C7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632056A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6AA8956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950,00 </w:t>
            </w:r>
          </w:p>
        </w:tc>
        <w:tc>
          <w:tcPr>
            <w:tcW w:w="564" w:type="pct"/>
            <w:shd w:val="clear" w:color="auto" w:fill="EFEFEF"/>
            <w:noWrap/>
            <w:vAlign w:val="center"/>
            <w:hideMark/>
          </w:tcPr>
          <w:p w14:paraId="6077DF9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691,64 </w:t>
            </w:r>
          </w:p>
        </w:tc>
        <w:tc>
          <w:tcPr>
            <w:tcW w:w="492" w:type="pct"/>
            <w:shd w:val="clear" w:color="auto" w:fill="EFEFEF"/>
            <w:noWrap/>
            <w:vAlign w:val="center"/>
            <w:hideMark/>
          </w:tcPr>
          <w:p w14:paraId="71C8870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691,64 </w:t>
            </w:r>
          </w:p>
        </w:tc>
        <w:tc>
          <w:tcPr>
            <w:tcW w:w="565" w:type="pct"/>
            <w:shd w:val="clear" w:color="auto" w:fill="EFEFEF"/>
            <w:noWrap/>
            <w:vAlign w:val="center"/>
            <w:hideMark/>
          </w:tcPr>
          <w:p w14:paraId="34F1111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1F28F7B9" w14:textId="77777777" w:rsidR="00B73FDB" w:rsidRPr="00B73FDB" w:rsidRDefault="00B73FDB" w:rsidP="00B73FDB">
            <w:pPr>
              <w:spacing w:after="0" w:line="240" w:lineRule="auto"/>
              <w:rPr>
                <w:rFonts w:cs="Calibri"/>
                <w:sz w:val="18"/>
                <w:szCs w:val="18"/>
                <w:lang w:eastAsia="sk-SK"/>
              </w:rPr>
            </w:pPr>
          </w:p>
        </w:tc>
      </w:tr>
    </w:tbl>
    <w:p w14:paraId="76E1DC10"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0EEF9A23" w14:textId="77777777" w:rsidTr="00B73FDB">
        <w:trPr>
          <w:tblCellSpacing w:w="15" w:type="dxa"/>
        </w:trPr>
        <w:tc>
          <w:tcPr>
            <w:tcW w:w="0" w:type="auto"/>
            <w:shd w:val="clear" w:color="auto" w:fill="C2D69B"/>
            <w:vAlign w:val="center"/>
            <w:hideMark/>
          </w:tcPr>
          <w:p w14:paraId="51C44B3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7285B7F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8C4FBA8" w14:textId="77777777" w:rsidTr="00B73FDB">
        <w:trPr>
          <w:tblCellSpacing w:w="15" w:type="dxa"/>
        </w:trPr>
        <w:tc>
          <w:tcPr>
            <w:tcW w:w="0" w:type="auto"/>
            <w:shd w:val="clear" w:color="auto" w:fill="C2D69B"/>
            <w:vAlign w:val="center"/>
            <w:hideMark/>
          </w:tcPr>
          <w:p w14:paraId="18F8D9B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1DC48F9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35BC9B78" w14:textId="77777777" w:rsidTr="00B73FDB">
        <w:trPr>
          <w:tblCellSpacing w:w="15" w:type="dxa"/>
        </w:trPr>
        <w:tc>
          <w:tcPr>
            <w:tcW w:w="0" w:type="auto"/>
            <w:shd w:val="clear" w:color="auto" w:fill="C2D69B"/>
            <w:vAlign w:val="center"/>
            <w:hideMark/>
          </w:tcPr>
          <w:p w14:paraId="57F71C2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E008A0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D06E903" w14:textId="77777777" w:rsidTr="00B73FDB">
        <w:trPr>
          <w:tblCellSpacing w:w="15" w:type="dxa"/>
        </w:trPr>
        <w:tc>
          <w:tcPr>
            <w:tcW w:w="0" w:type="auto"/>
            <w:shd w:val="clear" w:color="auto" w:fill="C2D69B"/>
            <w:vAlign w:val="center"/>
            <w:hideMark/>
          </w:tcPr>
          <w:p w14:paraId="1FA50B6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9B3733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456F38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6CA060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F56B91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B115786" w14:textId="77777777" w:rsidTr="00B73FDB">
        <w:trPr>
          <w:tblCellSpacing w:w="15" w:type="dxa"/>
        </w:trPr>
        <w:tc>
          <w:tcPr>
            <w:tcW w:w="0" w:type="auto"/>
            <w:shd w:val="clear" w:color="auto" w:fill="C2D69B"/>
            <w:vAlign w:val="center"/>
            <w:hideMark/>
          </w:tcPr>
          <w:p w14:paraId="3D26137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8C6CF4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98 </w:t>
            </w:r>
          </w:p>
        </w:tc>
        <w:tc>
          <w:tcPr>
            <w:tcW w:w="0" w:type="auto"/>
            <w:shd w:val="clear" w:color="auto" w:fill="C2D69B"/>
            <w:noWrap/>
            <w:vAlign w:val="center"/>
            <w:hideMark/>
          </w:tcPr>
          <w:p w14:paraId="7E0A65A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92 </w:t>
            </w:r>
          </w:p>
        </w:tc>
        <w:tc>
          <w:tcPr>
            <w:tcW w:w="0" w:type="auto"/>
            <w:shd w:val="clear" w:color="auto" w:fill="C2D69B"/>
            <w:vAlign w:val="center"/>
            <w:hideMark/>
          </w:tcPr>
          <w:p w14:paraId="6FE9AA2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72308954"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4B68A4E1" w14:textId="77777777" w:rsidTr="00B73FDB">
        <w:trPr>
          <w:tblCellSpacing w:w="15" w:type="dxa"/>
        </w:trPr>
        <w:tc>
          <w:tcPr>
            <w:tcW w:w="0" w:type="auto"/>
            <w:shd w:val="clear" w:color="auto" w:fill="C2D69B"/>
            <w:vAlign w:val="center"/>
            <w:hideMark/>
          </w:tcPr>
          <w:p w14:paraId="73577AD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E101E5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5CD4BE9" w14:textId="77777777" w:rsidTr="00B73FDB">
        <w:trPr>
          <w:tblCellSpacing w:w="15" w:type="dxa"/>
        </w:trPr>
        <w:tc>
          <w:tcPr>
            <w:tcW w:w="0" w:type="auto"/>
            <w:shd w:val="clear" w:color="auto" w:fill="C2D69B"/>
            <w:vAlign w:val="center"/>
            <w:hideMark/>
          </w:tcPr>
          <w:p w14:paraId="088A2B4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7AAE69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25DC1C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1DF66E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27B789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4013BEA" w14:textId="77777777" w:rsidTr="00B73FDB">
        <w:trPr>
          <w:tblCellSpacing w:w="15" w:type="dxa"/>
        </w:trPr>
        <w:tc>
          <w:tcPr>
            <w:tcW w:w="0" w:type="auto"/>
            <w:shd w:val="clear" w:color="auto" w:fill="C2D69B"/>
            <w:vAlign w:val="center"/>
            <w:hideMark/>
          </w:tcPr>
          <w:p w14:paraId="3FE5FF7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5855BB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98 </w:t>
            </w:r>
          </w:p>
        </w:tc>
        <w:tc>
          <w:tcPr>
            <w:tcW w:w="0" w:type="auto"/>
            <w:shd w:val="clear" w:color="auto" w:fill="C2D69B"/>
            <w:noWrap/>
            <w:vAlign w:val="center"/>
            <w:hideMark/>
          </w:tcPr>
          <w:p w14:paraId="181BF77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92 </w:t>
            </w:r>
          </w:p>
        </w:tc>
        <w:tc>
          <w:tcPr>
            <w:tcW w:w="0" w:type="auto"/>
            <w:shd w:val="clear" w:color="auto" w:fill="C2D69B"/>
            <w:vAlign w:val="center"/>
            <w:hideMark/>
          </w:tcPr>
          <w:p w14:paraId="03F03EA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32A08B00" w14:textId="77777777" w:rsidR="00B73FDB" w:rsidRPr="00B73FDB" w:rsidRDefault="00B73FDB" w:rsidP="00B73FDB">
            <w:pPr>
              <w:spacing w:after="0" w:line="240" w:lineRule="auto"/>
              <w:jc w:val="center"/>
              <w:rPr>
                <w:rFonts w:cs="Calibri"/>
                <w:sz w:val="18"/>
                <w:szCs w:val="18"/>
                <w:lang w:eastAsia="sk-SK"/>
              </w:rPr>
            </w:pPr>
          </w:p>
        </w:tc>
      </w:tr>
    </w:tbl>
    <w:p w14:paraId="4E6473B2"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elektrotechniku a počítačové systémy v dennej forme štúdia a nadstavbovej forme štúdia. </w:t>
      </w:r>
    </w:p>
    <w:p w14:paraId="7EB75EE2"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8.3.16: SOŠ hotelových služieb a obchodu, Na pántoch 9,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7"/>
        <w:gridCol w:w="2726"/>
        <w:gridCol w:w="1208"/>
        <w:gridCol w:w="1208"/>
        <w:gridCol w:w="1081"/>
        <w:gridCol w:w="1208"/>
        <w:gridCol w:w="2428"/>
      </w:tblGrid>
      <w:tr w:rsidR="00B73FDB" w:rsidRPr="00B73FDB" w14:paraId="74781AF9" w14:textId="77777777" w:rsidTr="00B73FDB">
        <w:trPr>
          <w:tblCellSpacing w:w="15" w:type="dxa"/>
        </w:trPr>
        <w:tc>
          <w:tcPr>
            <w:tcW w:w="268" w:type="pct"/>
            <w:shd w:val="clear" w:color="auto" w:fill="C6DBF7"/>
            <w:vAlign w:val="center"/>
            <w:hideMark/>
          </w:tcPr>
          <w:p w14:paraId="5BC001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70079AF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2" w:type="pct"/>
            <w:shd w:val="clear" w:color="auto" w:fill="C6DBF7"/>
            <w:vAlign w:val="center"/>
            <w:hideMark/>
          </w:tcPr>
          <w:p w14:paraId="6ECFF5E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2" w:type="pct"/>
            <w:shd w:val="clear" w:color="auto" w:fill="C6DBF7"/>
            <w:vAlign w:val="center"/>
            <w:hideMark/>
          </w:tcPr>
          <w:p w14:paraId="3B197D8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5BF273F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7F56F01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5449E4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BADFA3B" w14:textId="77777777" w:rsidTr="00B73FDB">
        <w:trPr>
          <w:tblCellSpacing w:w="15" w:type="dxa"/>
        </w:trPr>
        <w:tc>
          <w:tcPr>
            <w:tcW w:w="268" w:type="pct"/>
            <w:shd w:val="clear" w:color="auto" w:fill="D9D9D9"/>
            <w:noWrap/>
            <w:vAlign w:val="center"/>
            <w:hideMark/>
          </w:tcPr>
          <w:p w14:paraId="3EAFA9DC"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741429D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2" w:type="pct"/>
            <w:shd w:val="clear" w:color="auto" w:fill="D9D9D9"/>
            <w:noWrap/>
            <w:vAlign w:val="center"/>
            <w:hideMark/>
          </w:tcPr>
          <w:p w14:paraId="44973EC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929 182,00</w:t>
            </w:r>
            <w:r w:rsidRPr="00B73FDB">
              <w:rPr>
                <w:rFonts w:cs="Calibri"/>
                <w:sz w:val="18"/>
                <w:szCs w:val="18"/>
                <w:lang w:eastAsia="sk-SK"/>
              </w:rPr>
              <w:t xml:space="preserve"> </w:t>
            </w:r>
          </w:p>
        </w:tc>
        <w:tc>
          <w:tcPr>
            <w:tcW w:w="562" w:type="pct"/>
            <w:shd w:val="clear" w:color="auto" w:fill="D9D9D9"/>
            <w:noWrap/>
            <w:vAlign w:val="center"/>
            <w:hideMark/>
          </w:tcPr>
          <w:p w14:paraId="794F5DE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1 028 538,00</w:t>
            </w:r>
            <w:r w:rsidRPr="00B73FDB">
              <w:rPr>
                <w:rFonts w:cs="Calibri"/>
                <w:sz w:val="18"/>
                <w:szCs w:val="18"/>
                <w:lang w:eastAsia="sk-SK"/>
              </w:rPr>
              <w:t xml:space="preserve"> </w:t>
            </w:r>
          </w:p>
        </w:tc>
        <w:tc>
          <w:tcPr>
            <w:tcW w:w="501" w:type="pct"/>
            <w:shd w:val="clear" w:color="auto" w:fill="D9D9D9"/>
            <w:noWrap/>
            <w:vAlign w:val="center"/>
            <w:hideMark/>
          </w:tcPr>
          <w:p w14:paraId="74D3824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1 028 538,00</w:t>
            </w:r>
            <w:r w:rsidRPr="00B73FDB">
              <w:rPr>
                <w:rFonts w:cs="Calibri"/>
                <w:sz w:val="18"/>
                <w:szCs w:val="18"/>
                <w:lang w:eastAsia="sk-SK"/>
              </w:rPr>
              <w:t xml:space="preserve"> </w:t>
            </w:r>
          </w:p>
        </w:tc>
        <w:tc>
          <w:tcPr>
            <w:tcW w:w="562" w:type="pct"/>
            <w:shd w:val="clear" w:color="auto" w:fill="D9D9D9"/>
            <w:noWrap/>
            <w:vAlign w:val="center"/>
            <w:hideMark/>
          </w:tcPr>
          <w:p w14:paraId="7139995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49BD47D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+87 746,00</w:t>
            </w:r>
            <w:r w:rsidRPr="00B73FDB">
              <w:rPr>
                <w:rFonts w:cs="Calibri"/>
                <w:sz w:val="18"/>
                <w:szCs w:val="18"/>
                <w:lang w:eastAsia="sk-SK"/>
              </w:rPr>
              <w:t xml:space="preserve"> normatívne finančné prostriedky,</w:t>
            </w:r>
          </w:p>
          <w:p w14:paraId="7D7A192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+20 000,00 EUR </w:t>
            </w:r>
            <w:r w:rsidRPr="00B73FDB">
              <w:rPr>
                <w:rFonts w:cs="Calibri"/>
                <w:sz w:val="18"/>
                <w:szCs w:val="18"/>
                <w:lang w:eastAsia="sk-SK"/>
              </w:rPr>
              <w:t>dofinancovanie prevádzky školského bazéna,</w:t>
            </w:r>
          </w:p>
          <w:p w14:paraId="5025199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+49,00 EUR</w:t>
            </w:r>
            <w:r w:rsidRPr="00B73FDB">
              <w:rPr>
                <w:rFonts w:cs="Calibri"/>
                <w:sz w:val="18"/>
                <w:szCs w:val="18"/>
                <w:lang w:eastAsia="sk-SK"/>
              </w:rPr>
              <w:t xml:space="preserve"> normatívne finančné prostriedky na maturity,</w:t>
            </w:r>
          </w:p>
          <w:p w14:paraId="3A544120"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+2 568,00 EUR</w:t>
            </w:r>
            <w:r w:rsidRPr="00B73FDB">
              <w:rPr>
                <w:rFonts w:cs="Calibri"/>
                <w:sz w:val="18"/>
                <w:szCs w:val="18"/>
                <w:lang w:eastAsia="sk-SK"/>
              </w:rPr>
              <w:t xml:space="preserve"> príspevok na rekreáciu zamestnancov,</w:t>
            </w:r>
          </w:p>
          <w:p w14:paraId="4D533F1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-8 307,00 EUR</w:t>
            </w:r>
            <w:r w:rsidRPr="00B73FDB">
              <w:rPr>
                <w:rFonts w:cs="Calibri"/>
                <w:sz w:val="18"/>
                <w:szCs w:val="18"/>
                <w:lang w:eastAsia="sk-SK"/>
              </w:rPr>
              <w:t xml:space="preserve"> odchodné do dôchodku,</w:t>
            </w:r>
          </w:p>
          <w:p w14:paraId="0DA846B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-2 700,00 EUR</w:t>
            </w:r>
            <w:r w:rsidRPr="00B73FDB">
              <w:rPr>
                <w:rFonts w:cs="Calibri"/>
                <w:sz w:val="18"/>
                <w:szCs w:val="18"/>
                <w:lang w:eastAsia="sk-SK"/>
              </w:rPr>
              <w:t xml:space="preserve"> nenormatívne finančné prostriedky na lyžiarske kurzy.</w:t>
            </w:r>
          </w:p>
        </w:tc>
      </w:tr>
      <w:tr w:rsidR="00B73FDB" w:rsidRPr="00B73FDB" w14:paraId="3F879D1C" w14:textId="77777777" w:rsidTr="00B73FDB">
        <w:trPr>
          <w:tblCellSpacing w:w="15" w:type="dxa"/>
        </w:trPr>
        <w:tc>
          <w:tcPr>
            <w:tcW w:w="268" w:type="pct"/>
            <w:shd w:val="clear" w:color="auto" w:fill="D9D9D9"/>
            <w:noWrap/>
            <w:vAlign w:val="center"/>
            <w:hideMark/>
          </w:tcPr>
          <w:p w14:paraId="2C6566C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4925973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2" w:type="pct"/>
            <w:shd w:val="clear" w:color="auto" w:fill="D9D9D9"/>
            <w:noWrap/>
            <w:vAlign w:val="center"/>
            <w:hideMark/>
          </w:tcPr>
          <w:p w14:paraId="42281E6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929 182,00</w:t>
            </w:r>
            <w:r w:rsidRPr="00B73FDB">
              <w:rPr>
                <w:rFonts w:cs="Calibri"/>
                <w:sz w:val="18"/>
                <w:szCs w:val="18"/>
                <w:lang w:eastAsia="sk-SK"/>
              </w:rPr>
              <w:t xml:space="preserve"> </w:t>
            </w:r>
          </w:p>
        </w:tc>
        <w:tc>
          <w:tcPr>
            <w:tcW w:w="562" w:type="pct"/>
            <w:shd w:val="clear" w:color="auto" w:fill="D9D9D9"/>
            <w:noWrap/>
            <w:vAlign w:val="center"/>
            <w:hideMark/>
          </w:tcPr>
          <w:p w14:paraId="18226EE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1 028 538,00</w:t>
            </w:r>
            <w:r w:rsidRPr="00B73FDB">
              <w:rPr>
                <w:rFonts w:cs="Calibri"/>
                <w:sz w:val="18"/>
                <w:szCs w:val="18"/>
                <w:lang w:eastAsia="sk-SK"/>
              </w:rPr>
              <w:t xml:space="preserve"> </w:t>
            </w:r>
          </w:p>
        </w:tc>
        <w:tc>
          <w:tcPr>
            <w:tcW w:w="501" w:type="pct"/>
            <w:shd w:val="clear" w:color="auto" w:fill="D9D9D9"/>
            <w:noWrap/>
            <w:vAlign w:val="center"/>
            <w:hideMark/>
          </w:tcPr>
          <w:p w14:paraId="7C05F4A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1 028 538,00</w:t>
            </w:r>
            <w:r w:rsidRPr="00B73FDB">
              <w:rPr>
                <w:rFonts w:cs="Calibri"/>
                <w:sz w:val="18"/>
                <w:szCs w:val="18"/>
                <w:lang w:eastAsia="sk-SK"/>
              </w:rPr>
              <w:t xml:space="preserve"> </w:t>
            </w:r>
          </w:p>
        </w:tc>
        <w:tc>
          <w:tcPr>
            <w:tcW w:w="562" w:type="pct"/>
            <w:shd w:val="clear" w:color="auto" w:fill="D9D9D9"/>
            <w:noWrap/>
            <w:vAlign w:val="center"/>
            <w:hideMark/>
          </w:tcPr>
          <w:p w14:paraId="0B86945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44F67F8A"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45579C2F" w14:textId="77777777" w:rsidTr="00B73FDB">
        <w:trPr>
          <w:tblCellSpacing w:w="15" w:type="dxa"/>
        </w:trPr>
        <w:tc>
          <w:tcPr>
            <w:tcW w:w="268" w:type="pct"/>
            <w:shd w:val="clear" w:color="auto" w:fill="EFEFEF"/>
            <w:noWrap/>
            <w:vAlign w:val="center"/>
            <w:hideMark/>
          </w:tcPr>
          <w:p w14:paraId="50A31C0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1C78199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2" w:type="pct"/>
            <w:shd w:val="clear" w:color="auto" w:fill="EFEFEF"/>
            <w:noWrap/>
            <w:vAlign w:val="center"/>
            <w:hideMark/>
          </w:tcPr>
          <w:p w14:paraId="467B24F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929 182,00 </w:t>
            </w:r>
          </w:p>
        </w:tc>
        <w:tc>
          <w:tcPr>
            <w:tcW w:w="562" w:type="pct"/>
            <w:shd w:val="clear" w:color="auto" w:fill="EFEFEF"/>
            <w:noWrap/>
            <w:vAlign w:val="center"/>
            <w:hideMark/>
          </w:tcPr>
          <w:p w14:paraId="7D456FB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1 028 538,00 </w:t>
            </w:r>
          </w:p>
        </w:tc>
        <w:tc>
          <w:tcPr>
            <w:tcW w:w="501" w:type="pct"/>
            <w:shd w:val="clear" w:color="auto" w:fill="EFEFEF"/>
            <w:noWrap/>
            <w:vAlign w:val="center"/>
            <w:hideMark/>
          </w:tcPr>
          <w:p w14:paraId="6BDBBF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1 028 538,00 </w:t>
            </w:r>
          </w:p>
        </w:tc>
        <w:tc>
          <w:tcPr>
            <w:tcW w:w="562" w:type="pct"/>
            <w:shd w:val="clear" w:color="auto" w:fill="EFEFEF"/>
            <w:noWrap/>
            <w:vAlign w:val="center"/>
            <w:hideMark/>
          </w:tcPr>
          <w:p w14:paraId="685B2E0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0D02F402" w14:textId="77777777" w:rsidR="00B73FDB" w:rsidRPr="00B73FDB" w:rsidRDefault="00B73FDB" w:rsidP="00B73FDB">
            <w:pPr>
              <w:spacing w:after="0" w:line="240" w:lineRule="auto"/>
              <w:rPr>
                <w:rFonts w:cs="Calibri"/>
                <w:sz w:val="18"/>
                <w:szCs w:val="18"/>
                <w:lang w:eastAsia="sk-SK"/>
              </w:rPr>
            </w:pPr>
          </w:p>
        </w:tc>
      </w:tr>
    </w:tbl>
    <w:p w14:paraId="4D0F9E66"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3B3844BE" w14:textId="77777777" w:rsidTr="00B73FDB">
        <w:trPr>
          <w:tblCellSpacing w:w="15" w:type="dxa"/>
        </w:trPr>
        <w:tc>
          <w:tcPr>
            <w:tcW w:w="0" w:type="auto"/>
            <w:shd w:val="clear" w:color="auto" w:fill="C2D69B"/>
            <w:vAlign w:val="center"/>
            <w:hideMark/>
          </w:tcPr>
          <w:p w14:paraId="6B3C9B6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F228AE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78BBB2E" w14:textId="77777777" w:rsidTr="00B73FDB">
        <w:trPr>
          <w:tblCellSpacing w:w="15" w:type="dxa"/>
        </w:trPr>
        <w:tc>
          <w:tcPr>
            <w:tcW w:w="0" w:type="auto"/>
            <w:shd w:val="clear" w:color="auto" w:fill="C2D69B"/>
            <w:vAlign w:val="center"/>
            <w:hideMark/>
          </w:tcPr>
          <w:p w14:paraId="78B2120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26A6AB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453DDCDD" w14:textId="77777777" w:rsidTr="00B73FDB">
        <w:trPr>
          <w:tblCellSpacing w:w="15" w:type="dxa"/>
        </w:trPr>
        <w:tc>
          <w:tcPr>
            <w:tcW w:w="0" w:type="auto"/>
            <w:shd w:val="clear" w:color="auto" w:fill="C2D69B"/>
            <w:vAlign w:val="center"/>
            <w:hideMark/>
          </w:tcPr>
          <w:p w14:paraId="3698940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67297F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00A4D357" w14:textId="77777777" w:rsidTr="00B73FDB">
        <w:trPr>
          <w:tblCellSpacing w:w="15" w:type="dxa"/>
        </w:trPr>
        <w:tc>
          <w:tcPr>
            <w:tcW w:w="0" w:type="auto"/>
            <w:shd w:val="clear" w:color="auto" w:fill="C2D69B"/>
            <w:vAlign w:val="center"/>
            <w:hideMark/>
          </w:tcPr>
          <w:p w14:paraId="714EF23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CAED8F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AC70D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161562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E3349D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6355165" w14:textId="77777777" w:rsidTr="00B73FDB">
        <w:trPr>
          <w:tblCellSpacing w:w="15" w:type="dxa"/>
        </w:trPr>
        <w:tc>
          <w:tcPr>
            <w:tcW w:w="0" w:type="auto"/>
            <w:shd w:val="clear" w:color="auto" w:fill="C2D69B"/>
            <w:vAlign w:val="center"/>
            <w:hideMark/>
          </w:tcPr>
          <w:p w14:paraId="4E4C6B5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4BF1EC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257 </w:t>
            </w:r>
          </w:p>
        </w:tc>
        <w:tc>
          <w:tcPr>
            <w:tcW w:w="0" w:type="auto"/>
            <w:shd w:val="clear" w:color="auto" w:fill="C2D69B"/>
            <w:noWrap/>
            <w:vAlign w:val="center"/>
            <w:hideMark/>
          </w:tcPr>
          <w:p w14:paraId="130BCD3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293 </w:t>
            </w:r>
          </w:p>
        </w:tc>
        <w:tc>
          <w:tcPr>
            <w:tcW w:w="0" w:type="auto"/>
            <w:shd w:val="clear" w:color="auto" w:fill="C2D69B"/>
            <w:vAlign w:val="center"/>
            <w:hideMark/>
          </w:tcPr>
          <w:p w14:paraId="46CCC7E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91D5AE8"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416E57A7" w14:textId="77777777" w:rsidTr="00B73FDB">
        <w:trPr>
          <w:tblCellSpacing w:w="15" w:type="dxa"/>
        </w:trPr>
        <w:tc>
          <w:tcPr>
            <w:tcW w:w="0" w:type="auto"/>
            <w:shd w:val="clear" w:color="auto" w:fill="C2D69B"/>
            <w:vAlign w:val="center"/>
            <w:hideMark/>
          </w:tcPr>
          <w:p w14:paraId="368064B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6A5605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674CB2CD" w14:textId="77777777" w:rsidTr="00B73FDB">
        <w:trPr>
          <w:tblCellSpacing w:w="15" w:type="dxa"/>
        </w:trPr>
        <w:tc>
          <w:tcPr>
            <w:tcW w:w="0" w:type="auto"/>
            <w:shd w:val="clear" w:color="auto" w:fill="C2D69B"/>
            <w:vAlign w:val="center"/>
            <w:hideMark/>
          </w:tcPr>
          <w:p w14:paraId="41257E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66D36F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6E337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5E01CD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1BF69D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DE62F16" w14:textId="77777777" w:rsidTr="00B73FDB">
        <w:trPr>
          <w:tblCellSpacing w:w="15" w:type="dxa"/>
        </w:trPr>
        <w:tc>
          <w:tcPr>
            <w:tcW w:w="0" w:type="auto"/>
            <w:shd w:val="clear" w:color="auto" w:fill="C2D69B"/>
            <w:vAlign w:val="center"/>
            <w:hideMark/>
          </w:tcPr>
          <w:p w14:paraId="04743DD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A74182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243 </w:t>
            </w:r>
          </w:p>
        </w:tc>
        <w:tc>
          <w:tcPr>
            <w:tcW w:w="0" w:type="auto"/>
            <w:shd w:val="clear" w:color="auto" w:fill="C2D69B"/>
            <w:noWrap/>
            <w:vAlign w:val="center"/>
            <w:hideMark/>
          </w:tcPr>
          <w:p w14:paraId="52CF3D8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262 </w:t>
            </w:r>
          </w:p>
        </w:tc>
        <w:tc>
          <w:tcPr>
            <w:tcW w:w="0" w:type="auto"/>
            <w:shd w:val="clear" w:color="auto" w:fill="C2D69B"/>
            <w:vAlign w:val="center"/>
            <w:hideMark/>
          </w:tcPr>
          <w:p w14:paraId="73772D4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E116F43" w14:textId="77777777" w:rsidR="00B73FDB" w:rsidRPr="00B73FDB" w:rsidRDefault="00B73FDB" w:rsidP="00B73FDB">
            <w:pPr>
              <w:spacing w:after="0" w:line="240" w:lineRule="auto"/>
              <w:jc w:val="center"/>
              <w:rPr>
                <w:rFonts w:cs="Calibri"/>
                <w:sz w:val="18"/>
                <w:szCs w:val="18"/>
                <w:lang w:eastAsia="sk-SK"/>
              </w:rPr>
            </w:pPr>
          </w:p>
        </w:tc>
      </w:tr>
    </w:tbl>
    <w:p w14:paraId="42A93F5A"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Zameranie učebných a študijných odborov je na služby, gastronómiu a hotelové služby. Ide o dennú formu štúdia, nadstavbové štúdium a externé štúdium.</w:t>
      </w:r>
    </w:p>
    <w:p w14:paraId="71F029CC"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8.3.17: SOŠ informačných technológií, </w:t>
      </w:r>
      <w:proofErr w:type="spellStart"/>
      <w:r w:rsidRPr="00352CED">
        <w:rPr>
          <w:rFonts w:ascii="Calibri" w:hAnsi="Calibri" w:cs="Calibri"/>
          <w:b/>
          <w:color w:val="244061"/>
        </w:rPr>
        <w:t>Hlinícka</w:t>
      </w:r>
      <w:proofErr w:type="spellEnd"/>
      <w:r w:rsidRPr="00352CED">
        <w:rPr>
          <w:rFonts w:ascii="Calibri" w:hAnsi="Calibri" w:cs="Calibri"/>
          <w:b/>
          <w:color w:val="244061"/>
        </w:rPr>
        <w:t xml:space="preserve"> 1,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31"/>
        <w:gridCol w:w="1214"/>
        <w:gridCol w:w="1212"/>
        <w:gridCol w:w="1061"/>
        <w:gridCol w:w="1212"/>
        <w:gridCol w:w="2428"/>
      </w:tblGrid>
      <w:tr w:rsidR="00B73FDB" w:rsidRPr="00B73FDB" w14:paraId="62170A0A" w14:textId="77777777" w:rsidTr="00B73FDB">
        <w:trPr>
          <w:tblCellSpacing w:w="15" w:type="dxa"/>
        </w:trPr>
        <w:tc>
          <w:tcPr>
            <w:tcW w:w="268" w:type="pct"/>
            <w:shd w:val="clear" w:color="auto" w:fill="C6DBF7"/>
            <w:vAlign w:val="center"/>
            <w:hideMark/>
          </w:tcPr>
          <w:p w14:paraId="2580699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4A60016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602298B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2A48BB0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433CF27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142F56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770A52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381B5626" w14:textId="77777777" w:rsidTr="00B73FDB">
        <w:trPr>
          <w:tblCellSpacing w:w="15" w:type="dxa"/>
        </w:trPr>
        <w:tc>
          <w:tcPr>
            <w:tcW w:w="268" w:type="pct"/>
            <w:shd w:val="clear" w:color="auto" w:fill="D9D9D9"/>
            <w:noWrap/>
            <w:vAlign w:val="center"/>
            <w:hideMark/>
          </w:tcPr>
          <w:p w14:paraId="28E908D0"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0F03CB9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1FA6F46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751 327,00</w:t>
            </w:r>
            <w:r w:rsidRPr="00B73FDB">
              <w:rPr>
                <w:rFonts w:cs="Calibri"/>
                <w:sz w:val="18"/>
                <w:szCs w:val="18"/>
                <w:lang w:eastAsia="sk-SK"/>
              </w:rPr>
              <w:t xml:space="preserve"> </w:t>
            </w:r>
          </w:p>
        </w:tc>
        <w:tc>
          <w:tcPr>
            <w:tcW w:w="564" w:type="pct"/>
            <w:shd w:val="clear" w:color="auto" w:fill="D9D9D9"/>
            <w:noWrap/>
            <w:vAlign w:val="center"/>
            <w:hideMark/>
          </w:tcPr>
          <w:p w14:paraId="62FB710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839 424,00</w:t>
            </w:r>
            <w:r w:rsidRPr="00B73FDB">
              <w:rPr>
                <w:rFonts w:cs="Calibri"/>
                <w:sz w:val="18"/>
                <w:szCs w:val="18"/>
                <w:lang w:eastAsia="sk-SK"/>
              </w:rPr>
              <w:t xml:space="preserve"> </w:t>
            </w:r>
          </w:p>
        </w:tc>
        <w:tc>
          <w:tcPr>
            <w:tcW w:w="492" w:type="pct"/>
            <w:shd w:val="clear" w:color="auto" w:fill="D9D9D9"/>
            <w:noWrap/>
            <w:vAlign w:val="center"/>
            <w:hideMark/>
          </w:tcPr>
          <w:p w14:paraId="632D0B2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839 424,00</w:t>
            </w:r>
            <w:r w:rsidRPr="00B73FDB">
              <w:rPr>
                <w:rFonts w:cs="Calibri"/>
                <w:sz w:val="18"/>
                <w:szCs w:val="18"/>
                <w:lang w:eastAsia="sk-SK"/>
              </w:rPr>
              <w:t xml:space="preserve"> </w:t>
            </w:r>
          </w:p>
        </w:tc>
        <w:tc>
          <w:tcPr>
            <w:tcW w:w="564" w:type="pct"/>
            <w:shd w:val="clear" w:color="auto" w:fill="D9D9D9"/>
            <w:noWrap/>
            <w:vAlign w:val="center"/>
            <w:hideMark/>
          </w:tcPr>
          <w:p w14:paraId="5212255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1D30828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+21 780,00 EUR</w:t>
            </w:r>
            <w:r w:rsidRPr="00B73FDB">
              <w:rPr>
                <w:rFonts w:cs="Calibri"/>
                <w:sz w:val="18"/>
                <w:szCs w:val="18"/>
                <w:lang w:eastAsia="sk-SK"/>
              </w:rPr>
              <w:t xml:space="preserve"> normatívne finančné prostriedky,</w:t>
            </w:r>
          </w:p>
          <w:p w14:paraId="690D61A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+483,00 EUR</w:t>
            </w:r>
            <w:r w:rsidRPr="00B73FDB">
              <w:rPr>
                <w:rFonts w:cs="Calibri"/>
                <w:sz w:val="18"/>
                <w:szCs w:val="18"/>
                <w:lang w:eastAsia="sk-SK"/>
              </w:rPr>
              <w:t xml:space="preserve"> normatívne finančné prostriedky na maturity,</w:t>
            </w:r>
          </w:p>
          <w:p w14:paraId="4167CB8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+276,00 EUR </w:t>
            </w:r>
            <w:r w:rsidRPr="00B73FDB">
              <w:rPr>
                <w:rFonts w:cs="Calibri"/>
                <w:sz w:val="18"/>
                <w:szCs w:val="18"/>
                <w:lang w:eastAsia="sk-SK"/>
              </w:rPr>
              <w:t>nenormatívne finančné prostriedky na vzdelávacie poukazy,</w:t>
            </w:r>
          </w:p>
          <w:p w14:paraId="45F8236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+1 000,00 EUR</w:t>
            </w:r>
            <w:r w:rsidRPr="00B73FDB">
              <w:rPr>
                <w:rFonts w:cs="Calibri"/>
                <w:sz w:val="18"/>
                <w:szCs w:val="18"/>
                <w:lang w:eastAsia="sk-SK"/>
              </w:rPr>
              <w:t xml:space="preserve"> nenormatívne finančné prostriedky za mimoriadne výsledky žiakov,</w:t>
            </w:r>
          </w:p>
          <w:p w14:paraId="5B722D8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-3 900,00 EUR</w:t>
            </w:r>
            <w:r w:rsidRPr="00B73FDB">
              <w:rPr>
                <w:rFonts w:cs="Calibri"/>
                <w:sz w:val="18"/>
                <w:szCs w:val="18"/>
                <w:lang w:eastAsia="sk-SK"/>
              </w:rPr>
              <w:t xml:space="preserve"> nenormatívne finančné prostriedky na lyžiarske kurzy,</w:t>
            </w:r>
          </w:p>
          <w:p w14:paraId="464AA15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+68 458,00 EUR</w:t>
            </w:r>
            <w:r w:rsidRPr="00B73FDB">
              <w:rPr>
                <w:rFonts w:cs="Calibri"/>
                <w:sz w:val="18"/>
                <w:szCs w:val="18"/>
                <w:lang w:eastAsia="sk-SK"/>
              </w:rPr>
              <w:t xml:space="preserve"> nenormatívne finančné prostriedky na odstránenie havárií.</w:t>
            </w:r>
          </w:p>
        </w:tc>
      </w:tr>
      <w:tr w:rsidR="00B73FDB" w:rsidRPr="00B73FDB" w14:paraId="45375EC9" w14:textId="77777777" w:rsidTr="00B73FDB">
        <w:trPr>
          <w:tblCellSpacing w:w="15" w:type="dxa"/>
        </w:trPr>
        <w:tc>
          <w:tcPr>
            <w:tcW w:w="268" w:type="pct"/>
            <w:shd w:val="clear" w:color="auto" w:fill="D9D9D9"/>
            <w:noWrap/>
            <w:vAlign w:val="center"/>
            <w:hideMark/>
          </w:tcPr>
          <w:p w14:paraId="0BC4D2B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18D460F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2698BD3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751 327,00</w:t>
            </w:r>
            <w:r w:rsidRPr="00B73FDB">
              <w:rPr>
                <w:rFonts w:cs="Calibri"/>
                <w:sz w:val="18"/>
                <w:szCs w:val="18"/>
                <w:lang w:eastAsia="sk-SK"/>
              </w:rPr>
              <w:t xml:space="preserve"> </w:t>
            </w:r>
          </w:p>
        </w:tc>
        <w:tc>
          <w:tcPr>
            <w:tcW w:w="564" w:type="pct"/>
            <w:shd w:val="clear" w:color="auto" w:fill="D9D9D9"/>
            <w:noWrap/>
            <w:vAlign w:val="center"/>
            <w:hideMark/>
          </w:tcPr>
          <w:p w14:paraId="4C9EFC5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839 424,00</w:t>
            </w:r>
            <w:r w:rsidRPr="00B73FDB">
              <w:rPr>
                <w:rFonts w:cs="Calibri"/>
                <w:sz w:val="18"/>
                <w:szCs w:val="18"/>
                <w:lang w:eastAsia="sk-SK"/>
              </w:rPr>
              <w:t xml:space="preserve"> </w:t>
            </w:r>
          </w:p>
        </w:tc>
        <w:tc>
          <w:tcPr>
            <w:tcW w:w="492" w:type="pct"/>
            <w:shd w:val="clear" w:color="auto" w:fill="D9D9D9"/>
            <w:noWrap/>
            <w:vAlign w:val="center"/>
            <w:hideMark/>
          </w:tcPr>
          <w:p w14:paraId="0A441D0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839 424,00</w:t>
            </w:r>
            <w:r w:rsidRPr="00B73FDB">
              <w:rPr>
                <w:rFonts w:cs="Calibri"/>
                <w:sz w:val="18"/>
                <w:szCs w:val="18"/>
                <w:lang w:eastAsia="sk-SK"/>
              </w:rPr>
              <w:t xml:space="preserve"> </w:t>
            </w:r>
          </w:p>
        </w:tc>
        <w:tc>
          <w:tcPr>
            <w:tcW w:w="564" w:type="pct"/>
            <w:shd w:val="clear" w:color="auto" w:fill="D9D9D9"/>
            <w:noWrap/>
            <w:vAlign w:val="center"/>
            <w:hideMark/>
          </w:tcPr>
          <w:p w14:paraId="721B6E6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21689C0D"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29488F72" w14:textId="77777777" w:rsidTr="00B73FDB">
        <w:trPr>
          <w:tblCellSpacing w:w="15" w:type="dxa"/>
        </w:trPr>
        <w:tc>
          <w:tcPr>
            <w:tcW w:w="268" w:type="pct"/>
            <w:shd w:val="clear" w:color="auto" w:fill="EFEFEF"/>
            <w:noWrap/>
            <w:vAlign w:val="center"/>
            <w:hideMark/>
          </w:tcPr>
          <w:p w14:paraId="783C2A7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37363B8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369750B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751 327,00 </w:t>
            </w:r>
          </w:p>
        </w:tc>
        <w:tc>
          <w:tcPr>
            <w:tcW w:w="564" w:type="pct"/>
            <w:shd w:val="clear" w:color="auto" w:fill="EFEFEF"/>
            <w:noWrap/>
            <w:vAlign w:val="center"/>
            <w:hideMark/>
          </w:tcPr>
          <w:p w14:paraId="6601253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839 424,00 </w:t>
            </w:r>
          </w:p>
        </w:tc>
        <w:tc>
          <w:tcPr>
            <w:tcW w:w="492" w:type="pct"/>
            <w:shd w:val="clear" w:color="auto" w:fill="EFEFEF"/>
            <w:noWrap/>
            <w:vAlign w:val="center"/>
            <w:hideMark/>
          </w:tcPr>
          <w:p w14:paraId="54FCD46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839 424,00 </w:t>
            </w:r>
          </w:p>
        </w:tc>
        <w:tc>
          <w:tcPr>
            <w:tcW w:w="564" w:type="pct"/>
            <w:shd w:val="clear" w:color="auto" w:fill="EFEFEF"/>
            <w:noWrap/>
            <w:vAlign w:val="center"/>
            <w:hideMark/>
          </w:tcPr>
          <w:p w14:paraId="026CE96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741FB0B" w14:textId="77777777" w:rsidR="00B73FDB" w:rsidRPr="00B73FDB" w:rsidRDefault="00B73FDB" w:rsidP="00B73FDB">
            <w:pPr>
              <w:spacing w:after="0" w:line="240" w:lineRule="auto"/>
              <w:rPr>
                <w:rFonts w:cs="Calibri"/>
                <w:sz w:val="18"/>
                <w:szCs w:val="18"/>
                <w:lang w:eastAsia="sk-SK"/>
              </w:rPr>
            </w:pPr>
          </w:p>
        </w:tc>
      </w:tr>
    </w:tbl>
    <w:p w14:paraId="5FB3C69A"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0406D40E" w14:textId="77777777" w:rsidTr="00B73FDB">
        <w:trPr>
          <w:tblCellSpacing w:w="15" w:type="dxa"/>
        </w:trPr>
        <w:tc>
          <w:tcPr>
            <w:tcW w:w="0" w:type="auto"/>
            <w:shd w:val="clear" w:color="auto" w:fill="C2D69B"/>
            <w:vAlign w:val="center"/>
            <w:hideMark/>
          </w:tcPr>
          <w:p w14:paraId="0ED6F90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81B8D4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B14F79A" w14:textId="77777777" w:rsidTr="00B73FDB">
        <w:trPr>
          <w:tblCellSpacing w:w="15" w:type="dxa"/>
        </w:trPr>
        <w:tc>
          <w:tcPr>
            <w:tcW w:w="0" w:type="auto"/>
            <w:shd w:val="clear" w:color="auto" w:fill="C2D69B"/>
            <w:vAlign w:val="center"/>
            <w:hideMark/>
          </w:tcPr>
          <w:p w14:paraId="1501BD9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ED3B6B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6A03AAFC" w14:textId="77777777" w:rsidTr="00B73FDB">
        <w:trPr>
          <w:tblCellSpacing w:w="15" w:type="dxa"/>
        </w:trPr>
        <w:tc>
          <w:tcPr>
            <w:tcW w:w="0" w:type="auto"/>
            <w:shd w:val="clear" w:color="auto" w:fill="C2D69B"/>
            <w:vAlign w:val="center"/>
            <w:hideMark/>
          </w:tcPr>
          <w:p w14:paraId="0E6B8B1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EC4ABE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B570AE5" w14:textId="77777777" w:rsidTr="00B73FDB">
        <w:trPr>
          <w:tblCellSpacing w:w="15" w:type="dxa"/>
        </w:trPr>
        <w:tc>
          <w:tcPr>
            <w:tcW w:w="0" w:type="auto"/>
            <w:shd w:val="clear" w:color="auto" w:fill="C2D69B"/>
            <w:vAlign w:val="center"/>
            <w:hideMark/>
          </w:tcPr>
          <w:p w14:paraId="29C37F3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BF4D3A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A6954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5CD96B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B1B8F5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3820580" w14:textId="77777777" w:rsidTr="00B73FDB">
        <w:trPr>
          <w:tblCellSpacing w:w="15" w:type="dxa"/>
        </w:trPr>
        <w:tc>
          <w:tcPr>
            <w:tcW w:w="0" w:type="auto"/>
            <w:shd w:val="clear" w:color="auto" w:fill="C2D69B"/>
            <w:vAlign w:val="center"/>
            <w:hideMark/>
          </w:tcPr>
          <w:p w14:paraId="4549CA8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AECA1D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223 </w:t>
            </w:r>
          </w:p>
        </w:tc>
        <w:tc>
          <w:tcPr>
            <w:tcW w:w="0" w:type="auto"/>
            <w:shd w:val="clear" w:color="auto" w:fill="C2D69B"/>
            <w:noWrap/>
            <w:vAlign w:val="center"/>
            <w:hideMark/>
          </w:tcPr>
          <w:p w14:paraId="2309C9C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218 </w:t>
            </w:r>
          </w:p>
        </w:tc>
        <w:tc>
          <w:tcPr>
            <w:tcW w:w="0" w:type="auto"/>
            <w:shd w:val="clear" w:color="auto" w:fill="C2D69B"/>
            <w:vAlign w:val="center"/>
            <w:hideMark/>
          </w:tcPr>
          <w:p w14:paraId="498E261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D57270D"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50884104" w14:textId="77777777" w:rsidTr="00B73FDB">
        <w:trPr>
          <w:tblCellSpacing w:w="15" w:type="dxa"/>
        </w:trPr>
        <w:tc>
          <w:tcPr>
            <w:tcW w:w="0" w:type="auto"/>
            <w:shd w:val="clear" w:color="auto" w:fill="C2D69B"/>
            <w:vAlign w:val="center"/>
            <w:hideMark/>
          </w:tcPr>
          <w:p w14:paraId="6E19C90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E410C7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D376F1F" w14:textId="77777777" w:rsidTr="00B73FDB">
        <w:trPr>
          <w:tblCellSpacing w:w="15" w:type="dxa"/>
        </w:trPr>
        <w:tc>
          <w:tcPr>
            <w:tcW w:w="0" w:type="auto"/>
            <w:shd w:val="clear" w:color="auto" w:fill="C2D69B"/>
            <w:vAlign w:val="center"/>
            <w:hideMark/>
          </w:tcPr>
          <w:p w14:paraId="1633262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34C392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E397E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EC3A04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1E870A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0ECE6D5" w14:textId="77777777" w:rsidTr="00B73FDB">
        <w:trPr>
          <w:tblCellSpacing w:w="15" w:type="dxa"/>
        </w:trPr>
        <w:tc>
          <w:tcPr>
            <w:tcW w:w="0" w:type="auto"/>
            <w:shd w:val="clear" w:color="auto" w:fill="C2D69B"/>
            <w:vAlign w:val="center"/>
            <w:hideMark/>
          </w:tcPr>
          <w:p w14:paraId="72AEBCA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488E61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223 </w:t>
            </w:r>
          </w:p>
        </w:tc>
        <w:tc>
          <w:tcPr>
            <w:tcW w:w="0" w:type="auto"/>
            <w:shd w:val="clear" w:color="auto" w:fill="C2D69B"/>
            <w:noWrap/>
            <w:vAlign w:val="center"/>
            <w:hideMark/>
          </w:tcPr>
          <w:p w14:paraId="02F0689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218 </w:t>
            </w:r>
          </w:p>
        </w:tc>
        <w:tc>
          <w:tcPr>
            <w:tcW w:w="0" w:type="auto"/>
            <w:shd w:val="clear" w:color="auto" w:fill="C2D69B"/>
            <w:vAlign w:val="center"/>
            <w:hideMark/>
          </w:tcPr>
          <w:p w14:paraId="5BE80C1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7025B064" w14:textId="77777777" w:rsidR="00B73FDB" w:rsidRPr="00B73FDB" w:rsidRDefault="00B73FDB" w:rsidP="00B73FDB">
            <w:pPr>
              <w:spacing w:after="0" w:line="240" w:lineRule="auto"/>
              <w:jc w:val="center"/>
              <w:rPr>
                <w:rFonts w:cs="Calibri"/>
                <w:sz w:val="18"/>
                <w:szCs w:val="18"/>
                <w:lang w:eastAsia="sk-SK"/>
              </w:rPr>
            </w:pPr>
          </w:p>
        </w:tc>
      </w:tr>
    </w:tbl>
    <w:p w14:paraId="4B6078FB"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elektrotechniku, informačné a telekomunikačné technológie a poštu v dennej forme štúdia a v nadstavbovom štúdiu. Škola pôsobí od 1.9.2012 ako Centrum odborného vzdelávania a prípravy pre oblasť elektrotechniky a informačných technológií. </w:t>
      </w:r>
    </w:p>
    <w:p w14:paraId="4F0E1BE9"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8.3.18: SOŠ technická, Vranovská 4,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4"/>
        <w:gridCol w:w="2733"/>
        <w:gridCol w:w="1212"/>
        <w:gridCol w:w="1175"/>
        <w:gridCol w:w="1102"/>
        <w:gridCol w:w="1212"/>
        <w:gridCol w:w="2428"/>
      </w:tblGrid>
      <w:tr w:rsidR="00B73FDB" w:rsidRPr="00B73FDB" w14:paraId="1C75EF55" w14:textId="77777777" w:rsidTr="00B73FDB">
        <w:trPr>
          <w:tblCellSpacing w:w="15" w:type="dxa"/>
        </w:trPr>
        <w:tc>
          <w:tcPr>
            <w:tcW w:w="267" w:type="pct"/>
            <w:shd w:val="clear" w:color="auto" w:fill="C6DBF7"/>
            <w:vAlign w:val="center"/>
            <w:hideMark/>
          </w:tcPr>
          <w:p w14:paraId="6B51949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33BEEBC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3E6819A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46" w:type="pct"/>
            <w:shd w:val="clear" w:color="auto" w:fill="C6DBF7"/>
            <w:vAlign w:val="center"/>
            <w:hideMark/>
          </w:tcPr>
          <w:p w14:paraId="3AAD8FE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11" w:type="pct"/>
            <w:shd w:val="clear" w:color="auto" w:fill="C6DBF7"/>
            <w:vAlign w:val="center"/>
            <w:hideMark/>
          </w:tcPr>
          <w:p w14:paraId="2F77A35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1BC2CA9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1AE3490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E20F0CC" w14:textId="77777777" w:rsidTr="00B73FDB">
        <w:trPr>
          <w:tblCellSpacing w:w="15" w:type="dxa"/>
        </w:trPr>
        <w:tc>
          <w:tcPr>
            <w:tcW w:w="267" w:type="pct"/>
            <w:shd w:val="clear" w:color="auto" w:fill="D9D9D9"/>
            <w:noWrap/>
            <w:vAlign w:val="center"/>
            <w:hideMark/>
          </w:tcPr>
          <w:p w14:paraId="736B5C87"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78C9A04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6A1699B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517 250,00</w:t>
            </w:r>
            <w:r w:rsidRPr="00B73FDB">
              <w:rPr>
                <w:rFonts w:cs="Calibri"/>
                <w:sz w:val="18"/>
                <w:szCs w:val="18"/>
                <w:lang w:eastAsia="sk-SK"/>
              </w:rPr>
              <w:t xml:space="preserve"> </w:t>
            </w:r>
          </w:p>
        </w:tc>
        <w:tc>
          <w:tcPr>
            <w:tcW w:w="546" w:type="pct"/>
            <w:shd w:val="clear" w:color="auto" w:fill="D9D9D9"/>
            <w:noWrap/>
            <w:vAlign w:val="center"/>
            <w:hideMark/>
          </w:tcPr>
          <w:p w14:paraId="0014A85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640 138,76</w:t>
            </w:r>
            <w:r w:rsidRPr="00B73FDB">
              <w:rPr>
                <w:rFonts w:cs="Calibri"/>
                <w:sz w:val="18"/>
                <w:szCs w:val="18"/>
                <w:lang w:eastAsia="sk-SK"/>
              </w:rPr>
              <w:t xml:space="preserve"> </w:t>
            </w:r>
          </w:p>
        </w:tc>
        <w:tc>
          <w:tcPr>
            <w:tcW w:w="511" w:type="pct"/>
            <w:shd w:val="clear" w:color="auto" w:fill="D9D9D9"/>
            <w:noWrap/>
            <w:vAlign w:val="center"/>
            <w:hideMark/>
          </w:tcPr>
          <w:p w14:paraId="338A48A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483 744,71</w:t>
            </w:r>
            <w:r w:rsidRPr="00B73FDB">
              <w:rPr>
                <w:rFonts w:cs="Calibri"/>
                <w:sz w:val="18"/>
                <w:szCs w:val="18"/>
                <w:lang w:eastAsia="sk-SK"/>
              </w:rPr>
              <w:t xml:space="preserve"> </w:t>
            </w:r>
          </w:p>
        </w:tc>
        <w:tc>
          <w:tcPr>
            <w:tcW w:w="564" w:type="pct"/>
            <w:shd w:val="clear" w:color="auto" w:fill="D9D9D9"/>
            <w:noWrap/>
            <w:vAlign w:val="center"/>
            <w:hideMark/>
          </w:tcPr>
          <w:p w14:paraId="5B10FF1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75,57</w:t>
            </w:r>
            <w:r w:rsidRPr="00B73FDB">
              <w:rPr>
                <w:rFonts w:cs="Calibri"/>
                <w:sz w:val="18"/>
                <w:szCs w:val="18"/>
                <w:lang w:eastAsia="sk-SK"/>
              </w:rPr>
              <w:t xml:space="preserve"> </w:t>
            </w:r>
          </w:p>
        </w:tc>
        <w:tc>
          <w:tcPr>
            <w:tcW w:w="1136" w:type="pct"/>
            <w:vMerge w:val="restart"/>
            <w:shd w:val="clear" w:color="auto" w:fill="D9D9D9"/>
            <w:vAlign w:val="center"/>
            <w:hideMark/>
          </w:tcPr>
          <w:p w14:paraId="3617CC9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+94 086,95 EUR</w:t>
            </w:r>
            <w:r w:rsidRPr="00B73FDB">
              <w:rPr>
                <w:rFonts w:cs="Calibri"/>
                <w:sz w:val="18"/>
                <w:szCs w:val="18"/>
                <w:lang w:eastAsia="sk-SK"/>
              </w:rPr>
              <w:t xml:space="preserve"> normatívne finančné prostriedky,</w:t>
            </w:r>
          </w:p>
          <w:p w14:paraId="4A1144AD"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+758,00 EUR</w:t>
            </w:r>
            <w:r w:rsidRPr="00B73FDB">
              <w:rPr>
                <w:rFonts w:cs="Calibri"/>
                <w:sz w:val="18"/>
                <w:szCs w:val="18"/>
                <w:lang w:eastAsia="sk-SK"/>
              </w:rPr>
              <w:t xml:space="preserve"> príspevok na rekreáciu zamestnancov,</w:t>
            </w:r>
          </w:p>
          <w:p w14:paraId="1384900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 xml:space="preserve">+377,00 EUR </w:t>
            </w:r>
            <w:r w:rsidRPr="00B73FDB">
              <w:rPr>
                <w:rFonts w:cs="Calibri"/>
                <w:sz w:val="18"/>
                <w:szCs w:val="18"/>
                <w:lang w:eastAsia="sk-SK"/>
              </w:rPr>
              <w:t>nenormatívne finančné prostriedky na vzdelávacie poukazy,</w:t>
            </w:r>
          </w:p>
          <w:p w14:paraId="5F96BEC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-6 427,00 EUR</w:t>
            </w:r>
            <w:r w:rsidRPr="00B73FDB">
              <w:rPr>
                <w:rFonts w:cs="Calibri"/>
                <w:sz w:val="18"/>
                <w:szCs w:val="18"/>
                <w:lang w:eastAsia="sk-SK"/>
              </w:rPr>
              <w:t xml:space="preserve"> odchodné do dôchodku,</w:t>
            </w:r>
          </w:p>
          <w:p w14:paraId="3520B3E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+1 650,00 EUR</w:t>
            </w:r>
            <w:r w:rsidRPr="00B73FDB">
              <w:rPr>
                <w:rFonts w:cs="Calibri"/>
                <w:sz w:val="18"/>
                <w:szCs w:val="18"/>
                <w:lang w:eastAsia="sk-SK"/>
              </w:rPr>
              <w:t xml:space="preserve"> nenormatívne finančné prostriedky na lyžiarske kurzy,</w:t>
            </w:r>
          </w:p>
          <w:p w14:paraId="42A26AD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+119,71 EUR</w:t>
            </w:r>
            <w:r w:rsidRPr="00B73FDB">
              <w:rPr>
                <w:rFonts w:cs="Calibri"/>
                <w:sz w:val="18"/>
                <w:szCs w:val="18"/>
                <w:lang w:eastAsia="sk-SK"/>
              </w:rPr>
              <w:t xml:space="preserve"> nevyčerpané finančné prostriedky z r. 2019,</w:t>
            </w:r>
          </w:p>
          <w:p w14:paraId="6BE90C8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+280,00 EUR</w:t>
            </w:r>
            <w:r w:rsidRPr="00B73FDB">
              <w:rPr>
                <w:rFonts w:cs="Calibri"/>
                <w:sz w:val="18"/>
                <w:szCs w:val="18"/>
                <w:lang w:eastAsia="sk-SK"/>
              </w:rPr>
              <w:t xml:space="preserve"> školské súťaže z OÚ,</w:t>
            </w:r>
          </w:p>
          <w:p w14:paraId="6693464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+6 185,10 EUR</w:t>
            </w:r>
            <w:r w:rsidRPr="00B73FDB">
              <w:rPr>
                <w:rFonts w:cs="Calibri"/>
                <w:sz w:val="18"/>
                <w:szCs w:val="18"/>
                <w:lang w:eastAsia="sk-SK"/>
              </w:rPr>
              <w:t xml:space="preserve"> projekt z MPC,</w:t>
            </w:r>
          </w:p>
          <w:p w14:paraId="3AFBEF8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+25 859,00 EUR</w:t>
            </w:r>
            <w:r w:rsidRPr="00B73FDB">
              <w:rPr>
                <w:rFonts w:cs="Calibri"/>
                <w:sz w:val="18"/>
                <w:szCs w:val="18"/>
                <w:lang w:eastAsia="sk-SK"/>
              </w:rPr>
              <w:t xml:space="preserve"> navýšenie rozpočtu projektového účtu.</w:t>
            </w:r>
          </w:p>
        </w:tc>
      </w:tr>
      <w:tr w:rsidR="00B73FDB" w:rsidRPr="00B73FDB" w14:paraId="3459931C" w14:textId="77777777" w:rsidTr="00B73FDB">
        <w:trPr>
          <w:tblCellSpacing w:w="15" w:type="dxa"/>
        </w:trPr>
        <w:tc>
          <w:tcPr>
            <w:tcW w:w="267" w:type="pct"/>
            <w:shd w:val="clear" w:color="auto" w:fill="D9D9D9"/>
            <w:noWrap/>
            <w:vAlign w:val="center"/>
            <w:hideMark/>
          </w:tcPr>
          <w:p w14:paraId="00C2AB6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4735B06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71BC7B0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517 250,00</w:t>
            </w:r>
            <w:r w:rsidRPr="00B73FDB">
              <w:rPr>
                <w:rFonts w:cs="Calibri"/>
                <w:sz w:val="18"/>
                <w:szCs w:val="18"/>
                <w:lang w:eastAsia="sk-SK"/>
              </w:rPr>
              <w:t xml:space="preserve"> </w:t>
            </w:r>
          </w:p>
        </w:tc>
        <w:tc>
          <w:tcPr>
            <w:tcW w:w="546" w:type="pct"/>
            <w:shd w:val="clear" w:color="auto" w:fill="D9D9D9"/>
            <w:noWrap/>
            <w:vAlign w:val="center"/>
            <w:hideMark/>
          </w:tcPr>
          <w:p w14:paraId="66C81E7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640 138,76</w:t>
            </w:r>
            <w:r w:rsidRPr="00B73FDB">
              <w:rPr>
                <w:rFonts w:cs="Calibri"/>
                <w:sz w:val="18"/>
                <w:szCs w:val="18"/>
                <w:lang w:eastAsia="sk-SK"/>
              </w:rPr>
              <w:t xml:space="preserve"> </w:t>
            </w:r>
          </w:p>
        </w:tc>
        <w:tc>
          <w:tcPr>
            <w:tcW w:w="511" w:type="pct"/>
            <w:shd w:val="clear" w:color="auto" w:fill="D9D9D9"/>
            <w:noWrap/>
            <w:vAlign w:val="center"/>
            <w:hideMark/>
          </w:tcPr>
          <w:p w14:paraId="2645CF8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483 744,71</w:t>
            </w:r>
            <w:r w:rsidRPr="00B73FDB">
              <w:rPr>
                <w:rFonts w:cs="Calibri"/>
                <w:sz w:val="18"/>
                <w:szCs w:val="18"/>
                <w:lang w:eastAsia="sk-SK"/>
              </w:rPr>
              <w:t xml:space="preserve"> </w:t>
            </w:r>
          </w:p>
        </w:tc>
        <w:tc>
          <w:tcPr>
            <w:tcW w:w="564" w:type="pct"/>
            <w:shd w:val="clear" w:color="auto" w:fill="D9D9D9"/>
            <w:noWrap/>
            <w:vAlign w:val="center"/>
            <w:hideMark/>
          </w:tcPr>
          <w:p w14:paraId="5F36C05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75,57</w:t>
            </w:r>
            <w:r w:rsidRPr="00B73FDB">
              <w:rPr>
                <w:rFonts w:cs="Calibri"/>
                <w:sz w:val="18"/>
                <w:szCs w:val="18"/>
                <w:lang w:eastAsia="sk-SK"/>
              </w:rPr>
              <w:t xml:space="preserve"> </w:t>
            </w:r>
          </w:p>
        </w:tc>
        <w:tc>
          <w:tcPr>
            <w:tcW w:w="1136" w:type="pct"/>
            <w:vMerge/>
            <w:shd w:val="clear" w:color="auto" w:fill="D9D9D9"/>
            <w:vAlign w:val="center"/>
            <w:hideMark/>
          </w:tcPr>
          <w:p w14:paraId="527D84B9"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2EAFDE3C" w14:textId="77777777" w:rsidTr="00B73FDB">
        <w:trPr>
          <w:tblCellSpacing w:w="15" w:type="dxa"/>
        </w:trPr>
        <w:tc>
          <w:tcPr>
            <w:tcW w:w="267" w:type="pct"/>
            <w:shd w:val="clear" w:color="auto" w:fill="EFEFEF"/>
            <w:noWrap/>
            <w:vAlign w:val="center"/>
            <w:hideMark/>
          </w:tcPr>
          <w:p w14:paraId="6B6D743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611009B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3F50AFA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212 000,00 </w:t>
            </w:r>
          </w:p>
        </w:tc>
        <w:tc>
          <w:tcPr>
            <w:tcW w:w="546" w:type="pct"/>
            <w:shd w:val="clear" w:color="auto" w:fill="EFEFEF"/>
            <w:noWrap/>
            <w:vAlign w:val="center"/>
            <w:hideMark/>
          </w:tcPr>
          <w:p w14:paraId="156E95A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266 138,99 </w:t>
            </w:r>
          </w:p>
        </w:tc>
        <w:tc>
          <w:tcPr>
            <w:tcW w:w="511" w:type="pct"/>
            <w:shd w:val="clear" w:color="auto" w:fill="EFEFEF"/>
            <w:noWrap/>
            <w:vAlign w:val="center"/>
            <w:hideMark/>
          </w:tcPr>
          <w:p w14:paraId="4E6FB2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266 135,99 </w:t>
            </w:r>
          </w:p>
        </w:tc>
        <w:tc>
          <w:tcPr>
            <w:tcW w:w="564" w:type="pct"/>
            <w:shd w:val="clear" w:color="auto" w:fill="EFEFEF"/>
            <w:noWrap/>
            <w:vAlign w:val="center"/>
            <w:hideMark/>
          </w:tcPr>
          <w:p w14:paraId="2E2C71B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A1264BF" w14:textId="77777777" w:rsidR="00B73FDB" w:rsidRPr="00B73FDB" w:rsidRDefault="00B73FDB" w:rsidP="00B73FDB">
            <w:pPr>
              <w:spacing w:after="0" w:line="240" w:lineRule="auto"/>
              <w:rPr>
                <w:rFonts w:cs="Calibri"/>
                <w:sz w:val="18"/>
                <w:szCs w:val="18"/>
                <w:lang w:eastAsia="sk-SK"/>
              </w:rPr>
            </w:pPr>
          </w:p>
        </w:tc>
      </w:tr>
      <w:tr w:rsidR="00B73FDB" w:rsidRPr="00B73FDB" w14:paraId="2F6CE3DB" w14:textId="77777777" w:rsidTr="00B73FDB">
        <w:trPr>
          <w:tblCellSpacing w:w="15" w:type="dxa"/>
        </w:trPr>
        <w:tc>
          <w:tcPr>
            <w:tcW w:w="267" w:type="pct"/>
            <w:shd w:val="clear" w:color="auto" w:fill="EFEFEF"/>
            <w:noWrap/>
            <w:vAlign w:val="center"/>
            <w:hideMark/>
          </w:tcPr>
          <w:p w14:paraId="2BED7E8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511C265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3FF77F8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83 950,00 </w:t>
            </w:r>
          </w:p>
        </w:tc>
        <w:tc>
          <w:tcPr>
            <w:tcW w:w="546" w:type="pct"/>
            <w:shd w:val="clear" w:color="auto" w:fill="EFEFEF"/>
            <w:noWrap/>
            <w:vAlign w:val="center"/>
            <w:hideMark/>
          </w:tcPr>
          <w:p w14:paraId="14E4CA3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110 840,20 </w:t>
            </w:r>
          </w:p>
        </w:tc>
        <w:tc>
          <w:tcPr>
            <w:tcW w:w="511" w:type="pct"/>
            <w:shd w:val="clear" w:color="auto" w:fill="EFEFEF"/>
            <w:noWrap/>
            <w:vAlign w:val="center"/>
            <w:hideMark/>
          </w:tcPr>
          <w:p w14:paraId="282E8E3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101 250,20 </w:t>
            </w:r>
          </w:p>
        </w:tc>
        <w:tc>
          <w:tcPr>
            <w:tcW w:w="564" w:type="pct"/>
            <w:shd w:val="clear" w:color="auto" w:fill="EFEFEF"/>
            <w:noWrap/>
            <w:vAlign w:val="center"/>
            <w:hideMark/>
          </w:tcPr>
          <w:p w14:paraId="1D121BC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91,35 </w:t>
            </w:r>
          </w:p>
        </w:tc>
        <w:tc>
          <w:tcPr>
            <w:tcW w:w="1136" w:type="pct"/>
            <w:vMerge/>
            <w:shd w:val="clear" w:color="auto" w:fill="EFEFEF"/>
            <w:vAlign w:val="center"/>
            <w:hideMark/>
          </w:tcPr>
          <w:p w14:paraId="5AC0BF04" w14:textId="77777777" w:rsidR="00B73FDB" w:rsidRPr="00B73FDB" w:rsidRDefault="00B73FDB" w:rsidP="00B73FDB">
            <w:pPr>
              <w:spacing w:after="0" w:line="240" w:lineRule="auto"/>
              <w:rPr>
                <w:rFonts w:cs="Calibri"/>
                <w:sz w:val="18"/>
                <w:szCs w:val="18"/>
                <w:lang w:eastAsia="sk-SK"/>
              </w:rPr>
            </w:pPr>
          </w:p>
        </w:tc>
      </w:tr>
      <w:tr w:rsidR="00B73FDB" w:rsidRPr="00B73FDB" w14:paraId="75DAD0CF" w14:textId="77777777" w:rsidTr="00B73FDB">
        <w:trPr>
          <w:tblCellSpacing w:w="15" w:type="dxa"/>
        </w:trPr>
        <w:tc>
          <w:tcPr>
            <w:tcW w:w="267" w:type="pct"/>
            <w:shd w:val="clear" w:color="auto" w:fill="EFEFEF"/>
            <w:noWrap/>
            <w:vAlign w:val="center"/>
            <w:hideMark/>
          </w:tcPr>
          <w:p w14:paraId="7F6E158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lastRenderedPageBreak/>
              <w:t xml:space="preserve">630 </w:t>
            </w:r>
          </w:p>
        </w:tc>
        <w:tc>
          <w:tcPr>
            <w:tcW w:w="1289" w:type="pct"/>
            <w:shd w:val="clear" w:color="auto" w:fill="EFEFEF"/>
            <w:vAlign w:val="center"/>
            <w:hideMark/>
          </w:tcPr>
          <w:p w14:paraId="3D3C0AF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437DB7E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214 300,00 </w:t>
            </w:r>
          </w:p>
        </w:tc>
        <w:tc>
          <w:tcPr>
            <w:tcW w:w="546" w:type="pct"/>
            <w:shd w:val="clear" w:color="auto" w:fill="EFEFEF"/>
            <w:noWrap/>
            <w:vAlign w:val="center"/>
            <w:hideMark/>
          </w:tcPr>
          <w:p w14:paraId="4905747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255 197,92 </w:t>
            </w:r>
          </w:p>
        </w:tc>
        <w:tc>
          <w:tcPr>
            <w:tcW w:w="511" w:type="pct"/>
            <w:shd w:val="clear" w:color="auto" w:fill="EFEFEF"/>
            <w:noWrap/>
            <w:vAlign w:val="center"/>
            <w:hideMark/>
          </w:tcPr>
          <w:p w14:paraId="71518E4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110 396,87 </w:t>
            </w:r>
          </w:p>
        </w:tc>
        <w:tc>
          <w:tcPr>
            <w:tcW w:w="564" w:type="pct"/>
            <w:shd w:val="clear" w:color="auto" w:fill="EFEFEF"/>
            <w:noWrap/>
            <w:vAlign w:val="center"/>
            <w:hideMark/>
          </w:tcPr>
          <w:p w14:paraId="60CC61E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43,26 </w:t>
            </w:r>
          </w:p>
        </w:tc>
        <w:tc>
          <w:tcPr>
            <w:tcW w:w="1136" w:type="pct"/>
            <w:vMerge/>
            <w:shd w:val="clear" w:color="auto" w:fill="EFEFEF"/>
            <w:vAlign w:val="center"/>
            <w:hideMark/>
          </w:tcPr>
          <w:p w14:paraId="1BD5D861" w14:textId="77777777" w:rsidR="00B73FDB" w:rsidRPr="00B73FDB" w:rsidRDefault="00B73FDB" w:rsidP="00B73FDB">
            <w:pPr>
              <w:spacing w:after="0" w:line="240" w:lineRule="auto"/>
              <w:rPr>
                <w:rFonts w:cs="Calibri"/>
                <w:sz w:val="18"/>
                <w:szCs w:val="18"/>
                <w:lang w:eastAsia="sk-SK"/>
              </w:rPr>
            </w:pPr>
          </w:p>
        </w:tc>
      </w:tr>
      <w:tr w:rsidR="00B73FDB" w:rsidRPr="00B73FDB" w14:paraId="3CDC11BA" w14:textId="77777777" w:rsidTr="00B73FDB">
        <w:trPr>
          <w:tblCellSpacing w:w="15" w:type="dxa"/>
        </w:trPr>
        <w:tc>
          <w:tcPr>
            <w:tcW w:w="267" w:type="pct"/>
            <w:shd w:val="clear" w:color="auto" w:fill="EFEFEF"/>
            <w:noWrap/>
            <w:vAlign w:val="center"/>
            <w:hideMark/>
          </w:tcPr>
          <w:p w14:paraId="668991A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46A5A8A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5C43171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7 000,00 </w:t>
            </w:r>
          </w:p>
        </w:tc>
        <w:tc>
          <w:tcPr>
            <w:tcW w:w="546" w:type="pct"/>
            <w:shd w:val="clear" w:color="auto" w:fill="EFEFEF"/>
            <w:noWrap/>
            <w:vAlign w:val="center"/>
            <w:hideMark/>
          </w:tcPr>
          <w:p w14:paraId="14D95E5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7 961,65 </w:t>
            </w:r>
          </w:p>
        </w:tc>
        <w:tc>
          <w:tcPr>
            <w:tcW w:w="511" w:type="pct"/>
            <w:shd w:val="clear" w:color="auto" w:fill="EFEFEF"/>
            <w:noWrap/>
            <w:vAlign w:val="center"/>
            <w:hideMark/>
          </w:tcPr>
          <w:p w14:paraId="7205F88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5 961,65 </w:t>
            </w:r>
          </w:p>
        </w:tc>
        <w:tc>
          <w:tcPr>
            <w:tcW w:w="564" w:type="pct"/>
            <w:shd w:val="clear" w:color="auto" w:fill="EFEFEF"/>
            <w:noWrap/>
            <w:vAlign w:val="center"/>
            <w:hideMark/>
          </w:tcPr>
          <w:p w14:paraId="6A1CAF6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74,88 </w:t>
            </w:r>
          </w:p>
        </w:tc>
        <w:tc>
          <w:tcPr>
            <w:tcW w:w="1136" w:type="pct"/>
            <w:vMerge/>
            <w:shd w:val="clear" w:color="auto" w:fill="EFEFEF"/>
            <w:vAlign w:val="center"/>
            <w:hideMark/>
          </w:tcPr>
          <w:p w14:paraId="69820A8F" w14:textId="77777777" w:rsidR="00B73FDB" w:rsidRPr="00B73FDB" w:rsidRDefault="00B73FDB" w:rsidP="00B73FDB">
            <w:pPr>
              <w:spacing w:after="0" w:line="240" w:lineRule="auto"/>
              <w:rPr>
                <w:rFonts w:cs="Calibri"/>
                <w:sz w:val="18"/>
                <w:szCs w:val="18"/>
                <w:lang w:eastAsia="sk-SK"/>
              </w:rPr>
            </w:pPr>
          </w:p>
        </w:tc>
      </w:tr>
    </w:tbl>
    <w:p w14:paraId="61A0D71F"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260EDA5D" w14:textId="77777777" w:rsidTr="00B73FDB">
        <w:trPr>
          <w:tblCellSpacing w:w="15" w:type="dxa"/>
        </w:trPr>
        <w:tc>
          <w:tcPr>
            <w:tcW w:w="0" w:type="auto"/>
            <w:shd w:val="clear" w:color="auto" w:fill="C2D69B"/>
            <w:vAlign w:val="center"/>
            <w:hideMark/>
          </w:tcPr>
          <w:p w14:paraId="7269B63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C7F989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3F0F0932" w14:textId="77777777" w:rsidTr="00B73FDB">
        <w:trPr>
          <w:tblCellSpacing w:w="15" w:type="dxa"/>
        </w:trPr>
        <w:tc>
          <w:tcPr>
            <w:tcW w:w="0" w:type="auto"/>
            <w:shd w:val="clear" w:color="auto" w:fill="C2D69B"/>
            <w:vAlign w:val="center"/>
            <w:hideMark/>
          </w:tcPr>
          <w:p w14:paraId="22DBEA0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9AD793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60ADFD1D" w14:textId="77777777" w:rsidTr="00B73FDB">
        <w:trPr>
          <w:tblCellSpacing w:w="15" w:type="dxa"/>
        </w:trPr>
        <w:tc>
          <w:tcPr>
            <w:tcW w:w="0" w:type="auto"/>
            <w:shd w:val="clear" w:color="auto" w:fill="C2D69B"/>
            <w:vAlign w:val="center"/>
            <w:hideMark/>
          </w:tcPr>
          <w:p w14:paraId="3EE0861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684689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13178BCB" w14:textId="77777777" w:rsidTr="00B73FDB">
        <w:trPr>
          <w:tblCellSpacing w:w="15" w:type="dxa"/>
        </w:trPr>
        <w:tc>
          <w:tcPr>
            <w:tcW w:w="0" w:type="auto"/>
            <w:shd w:val="clear" w:color="auto" w:fill="C2D69B"/>
            <w:vAlign w:val="center"/>
            <w:hideMark/>
          </w:tcPr>
          <w:p w14:paraId="0DD4369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13E749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40C118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E0A7E1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393AB1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BB80D36" w14:textId="77777777" w:rsidTr="00B73FDB">
        <w:trPr>
          <w:tblCellSpacing w:w="15" w:type="dxa"/>
        </w:trPr>
        <w:tc>
          <w:tcPr>
            <w:tcW w:w="0" w:type="auto"/>
            <w:shd w:val="clear" w:color="auto" w:fill="C2D69B"/>
            <w:vAlign w:val="center"/>
            <w:hideMark/>
          </w:tcPr>
          <w:p w14:paraId="095A969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34F8F9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133 </w:t>
            </w:r>
          </w:p>
        </w:tc>
        <w:tc>
          <w:tcPr>
            <w:tcW w:w="0" w:type="auto"/>
            <w:shd w:val="clear" w:color="auto" w:fill="C2D69B"/>
            <w:noWrap/>
            <w:vAlign w:val="center"/>
            <w:hideMark/>
          </w:tcPr>
          <w:p w14:paraId="4E43ABC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149 </w:t>
            </w:r>
          </w:p>
        </w:tc>
        <w:tc>
          <w:tcPr>
            <w:tcW w:w="0" w:type="auto"/>
            <w:shd w:val="clear" w:color="auto" w:fill="C2D69B"/>
            <w:vAlign w:val="center"/>
            <w:hideMark/>
          </w:tcPr>
          <w:p w14:paraId="1521E61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0857A77"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41BC11CD" w14:textId="77777777" w:rsidTr="00B73FDB">
        <w:trPr>
          <w:tblCellSpacing w:w="15" w:type="dxa"/>
        </w:trPr>
        <w:tc>
          <w:tcPr>
            <w:tcW w:w="0" w:type="auto"/>
            <w:shd w:val="clear" w:color="auto" w:fill="C2D69B"/>
            <w:vAlign w:val="center"/>
            <w:hideMark/>
          </w:tcPr>
          <w:p w14:paraId="4EDF8C4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114B04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64C3754B" w14:textId="77777777" w:rsidTr="00B73FDB">
        <w:trPr>
          <w:tblCellSpacing w:w="15" w:type="dxa"/>
        </w:trPr>
        <w:tc>
          <w:tcPr>
            <w:tcW w:w="0" w:type="auto"/>
            <w:shd w:val="clear" w:color="auto" w:fill="C2D69B"/>
            <w:vAlign w:val="center"/>
            <w:hideMark/>
          </w:tcPr>
          <w:p w14:paraId="6703B65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476414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7B22FC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9E0DF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2F7BAB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C074BD7" w14:textId="77777777" w:rsidTr="00B73FDB">
        <w:trPr>
          <w:tblCellSpacing w:w="15" w:type="dxa"/>
        </w:trPr>
        <w:tc>
          <w:tcPr>
            <w:tcW w:w="0" w:type="auto"/>
            <w:shd w:val="clear" w:color="auto" w:fill="C2D69B"/>
            <w:vAlign w:val="center"/>
            <w:hideMark/>
          </w:tcPr>
          <w:p w14:paraId="3977A48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DEF803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75 </w:t>
            </w:r>
          </w:p>
        </w:tc>
        <w:tc>
          <w:tcPr>
            <w:tcW w:w="0" w:type="auto"/>
            <w:shd w:val="clear" w:color="auto" w:fill="C2D69B"/>
            <w:noWrap/>
            <w:vAlign w:val="center"/>
            <w:hideMark/>
          </w:tcPr>
          <w:p w14:paraId="2815DE0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85 </w:t>
            </w:r>
          </w:p>
        </w:tc>
        <w:tc>
          <w:tcPr>
            <w:tcW w:w="0" w:type="auto"/>
            <w:shd w:val="clear" w:color="auto" w:fill="C2D69B"/>
            <w:vAlign w:val="center"/>
            <w:hideMark/>
          </w:tcPr>
          <w:p w14:paraId="69F265B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333F9EA" w14:textId="77777777" w:rsidR="00B73FDB" w:rsidRPr="00B73FDB" w:rsidRDefault="00B73FDB" w:rsidP="00B73FDB">
            <w:pPr>
              <w:spacing w:after="0" w:line="240" w:lineRule="auto"/>
              <w:jc w:val="center"/>
              <w:rPr>
                <w:rFonts w:cs="Calibri"/>
                <w:sz w:val="18"/>
                <w:szCs w:val="18"/>
                <w:lang w:eastAsia="sk-SK"/>
              </w:rPr>
            </w:pPr>
          </w:p>
        </w:tc>
      </w:tr>
    </w:tbl>
    <w:p w14:paraId="4EF55C09"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strojárstvo a kovospracúvaciu výrobu, umeleckoremeselnú tvorbu. Ide o dennú formu štúdia, nadstavbovú formu štúdia a 2-ročné odborné vzdelanie. </w:t>
      </w:r>
    </w:p>
    <w:p w14:paraId="35D89272"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8.3.19: SOŠ automobilová, J. Jonáša 5, BA – príspevková organizácia</w:t>
      </w:r>
    </w:p>
    <w:p w14:paraId="5076FCB3"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Od 1.9.2016 nastala zmena zriaďovateľa z Bratislavského samosprávneho kraja na zriaďovateľa Duálna akadémia </w:t>
      </w:r>
      <w:proofErr w:type="spellStart"/>
      <w:r w:rsidRPr="00B73FDB">
        <w:rPr>
          <w:rFonts w:cs="Calibri"/>
          <w:sz w:val="24"/>
          <w:szCs w:val="24"/>
          <w:lang w:eastAsia="sk-SK"/>
        </w:rPr>
        <w:t>z.z.p.o</w:t>
      </w:r>
      <w:proofErr w:type="spellEnd"/>
      <w:r w:rsidRPr="00B73FDB">
        <w:rPr>
          <w:rFonts w:cs="Calibri"/>
          <w:sz w:val="24"/>
          <w:szCs w:val="24"/>
          <w:lang w:eastAsia="sk-SK"/>
        </w:rPr>
        <w:t>., Jána Jonáša 5, Bratislava – právnická osoba.</w:t>
      </w:r>
    </w:p>
    <w:p w14:paraId="7FC93E5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8.3.20: Stredná odborná škola, </w:t>
      </w:r>
      <w:proofErr w:type="spellStart"/>
      <w:r w:rsidRPr="00352CED">
        <w:rPr>
          <w:rFonts w:ascii="Calibri" w:hAnsi="Calibri" w:cs="Calibri"/>
          <w:b/>
          <w:color w:val="244061"/>
        </w:rPr>
        <w:t>Harmincova</w:t>
      </w:r>
      <w:proofErr w:type="spellEnd"/>
      <w:r w:rsidRPr="00352CED">
        <w:rPr>
          <w:rFonts w:ascii="Calibri" w:hAnsi="Calibri" w:cs="Calibri"/>
          <w:b/>
          <w:color w:val="244061"/>
        </w:rPr>
        <w:t xml:space="preserve"> 1, BA – príspevková organizácia</w:t>
      </w:r>
    </w:p>
    <w:p w14:paraId="666944E1"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Škola bola k 31.12.2008 zrušená a nástupnickou organizáciou sa stala SOŠ gastronómie a hotelových služieb, Farského 9, Bratislava (Prvok 8.3.13)</w:t>
      </w:r>
    </w:p>
    <w:p w14:paraId="6F844B4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8.3.21 Spojená škola, Tokajícka 24, BA – Škola umeleckého priemyslu, SOŠ drevárska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6"/>
        <w:gridCol w:w="1208"/>
        <w:gridCol w:w="1212"/>
        <w:gridCol w:w="1081"/>
        <w:gridCol w:w="1208"/>
        <w:gridCol w:w="2428"/>
      </w:tblGrid>
      <w:tr w:rsidR="00B73FDB" w:rsidRPr="00B73FDB" w14:paraId="79211F71" w14:textId="77777777" w:rsidTr="00B73FDB">
        <w:trPr>
          <w:tblCellSpacing w:w="15" w:type="dxa"/>
        </w:trPr>
        <w:tc>
          <w:tcPr>
            <w:tcW w:w="266" w:type="pct"/>
            <w:shd w:val="clear" w:color="auto" w:fill="C6DBF7"/>
            <w:vAlign w:val="center"/>
            <w:hideMark/>
          </w:tcPr>
          <w:p w14:paraId="4148869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1660E1E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2" w:type="pct"/>
            <w:shd w:val="clear" w:color="auto" w:fill="C6DBF7"/>
            <w:vAlign w:val="center"/>
            <w:hideMark/>
          </w:tcPr>
          <w:p w14:paraId="1DC7C6A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141C6C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21758C5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3594CE2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28B66A8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E95DA73" w14:textId="77777777" w:rsidTr="00B73FDB">
        <w:trPr>
          <w:tblCellSpacing w:w="15" w:type="dxa"/>
        </w:trPr>
        <w:tc>
          <w:tcPr>
            <w:tcW w:w="266" w:type="pct"/>
            <w:shd w:val="clear" w:color="auto" w:fill="D9D9D9"/>
            <w:noWrap/>
            <w:vAlign w:val="center"/>
            <w:hideMark/>
          </w:tcPr>
          <w:p w14:paraId="06C03BEC"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17C7889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2" w:type="pct"/>
            <w:shd w:val="clear" w:color="auto" w:fill="D9D9D9"/>
            <w:noWrap/>
            <w:vAlign w:val="center"/>
            <w:hideMark/>
          </w:tcPr>
          <w:p w14:paraId="5CD05AC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970 000,00</w:t>
            </w:r>
            <w:r w:rsidRPr="00B73FDB">
              <w:rPr>
                <w:rFonts w:cs="Calibri"/>
                <w:sz w:val="18"/>
                <w:szCs w:val="18"/>
                <w:lang w:eastAsia="sk-SK"/>
              </w:rPr>
              <w:t xml:space="preserve"> </w:t>
            </w:r>
          </w:p>
        </w:tc>
        <w:tc>
          <w:tcPr>
            <w:tcW w:w="564" w:type="pct"/>
            <w:shd w:val="clear" w:color="auto" w:fill="D9D9D9"/>
            <w:noWrap/>
            <w:vAlign w:val="center"/>
            <w:hideMark/>
          </w:tcPr>
          <w:p w14:paraId="4038690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1 122 381,00</w:t>
            </w:r>
            <w:r w:rsidRPr="00B73FDB">
              <w:rPr>
                <w:rFonts w:cs="Calibri"/>
                <w:sz w:val="18"/>
                <w:szCs w:val="18"/>
                <w:lang w:eastAsia="sk-SK"/>
              </w:rPr>
              <w:t xml:space="preserve"> </w:t>
            </w:r>
          </w:p>
        </w:tc>
        <w:tc>
          <w:tcPr>
            <w:tcW w:w="501" w:type="pct"/>
            <w:shd w:val="clear" w:color="auto" w:fill="D9D9D9"/>
            <w:noWrap/>
            <w:vAlign w:val="center"/>
            <w:hideMark/>
          </w:tcPr>
          <w:p w14:paraId="4F22035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1 122 381,00</w:t>
            </w:r>
            <w:r w:rsidRPr="00B73FDB">
              <w:rPr>
                <w:rFonts w:cs="Calibri"/>
                <w:sz w:val="18"/>
                <w:szCs w:val="18"/>
                <w:lang w:eastAsia="sk-SK"/>
              </w:rPr>
              <w:t xml:space="preserve"> </w:t>
            </w:r>
          </w:p>
        </w:tc>
        <w:tc>
          <w:tcPr>
            <w:tcW w:w="562" w:type="pct"/>
            <w:shd w:val="clear" w:color="auto" w:fill="D9D9D9"/>
            <w:noWrap/>
            <w:vAlign w:val="center"/>
            <w:hideMark/>
          </w:tcPr>
          <w:p w14:paraId="66E7EE1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6AA6948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+149 877,00 EUR</w:t>
            </w:r>
            <w:r w:rsidRPr="00B73FDB">
              <w:rPr>
                <w:rFonts w:cs="Calibri"/>
                <w:sz w:val="18"/>
                <w:szCs w:val="18"/>
                <w:lang w:eastAsia="sk-SK"/>
              </w:rPr>
              <w:t xml:space="preserve"> normatívne finančné prostriedky,</w:t>
            </w:r>
          </w:p>
          <w:p w14:paraId="139C7ED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+114,00 EUR</w:t>
            </w:r>
            <w:r w:rsidRPr="00B73FDB">
              <w:rPr>
                <w:rFonts w:cs="Calibri"/>
                <w:sz w:val="18"/>
                <w:szCs w:val="18"/>
                <w:lang w:eastAsia="sk-SK"/>
              </w:rPr>
              <w:t xml:space="preserve"> normatívne finančné prostriedky na maturity,</w:t>
            </w:r>
          </w:p>
          <w:p w14:paraId="75BA033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+129,00 EUR </w:t>
            </w:r>
            <w:r w:rsidRPr="00B73FDB">
              <w:rPr>
                <w:rFonts w:cs="Calibri"/>
                <w:sz w:val="18"/>
                <w:szCs w:val="18"/>
                <w:lang w:eastAsia="sk-SK"/>
              </w:rPr>
              <w:t>nenormatívne finančné prostriedky na vzdelávacie poukazy,</w:t>
            </w:r>
          </w:p>
          <w:p w14:paraId="7C1A7FB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+1 000,00 EUR</w:t>
            </w:r>
            <w:r w:rsidRPr="00B73FDB">
              <w:rPr>
                <w:rFonts w:cs="Calibri"/>
                <w:sz w:val="18"/>
                <w:szCs w:val="18"/>
                <w:lang w:eastAsia="sk-SK"/>
              </w:rPr>
              <w:t xml:space="preserve"> nenormatívne finančné prostriedky za mimoriadne výsledky žiakov,</w:t>
            </w:r>
          </w:p>
          <w:p w14:paraId="1FA3745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+661,00 EUR</w:t>
            </w:r>
            <w:r w:rsidRPr="00B73FDB">
              <w:rPr>
                <w:rFonts w:cs="Calibri"/>
                <w:sz w:val="18"/>
                <w:szCs w:val="18"/>
                <w:lang w:eastAsia="sk-SK"/>
              </w:rPr>
              <w:t xml:space="preserve"> odchodné do dôchodku,</w:t>
            </w:r>
          </w:p>
          <w:p w14:paraId="5CB3F39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+600,00 EUR</w:t>
            </w:r>
            <w:r w:rsidRPr="00B73FDB">
              <w:rPr>
                <w:rFonts w:cs="Calibri"/>
                <w:sz w:val="18"/>
                <w:szCs w:val="18"/>
                <w:lang w:eastAsia="sk-SK"/>
              </w:rPr>
              <w:t xml:space="preserve"> nenormatívne finančné prostriedky na lyžiarske kurzy.</w:t>
            </w:r>
          </w:p>
        </w:tc>
      </w:tr>
      <w:tr w:rsidR="00B73FDB" w:rsidRPr="00B73FDB" w14:paraId="04B501FE" w14:textId="77777777" w:rsidTr="00B73FDB">
        <w:trPr>
          <w:tblCellSpacing w:w="15" w:type="dxa"/>
        </w:trPr>
        <w:tc>
          <w:tcPr>
            <w:tcW w:w="266" w:type="pct"/>
            <w:shd w:val="clear" w:color="auto" w:fill="D9D9D9"/>
            <w:noWrap/>
            <w:vAlign w:val="center"/>
            <w:hideMark/>
          </w:tcPr>
          <w:p w14:paraId="55EA56C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1A0EF00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2" w:type="pct"/>
            <w:shd w:val="clear" w:color="auto" w:fill="D9D9D9"/>
            <w:noWrap/>
            <w:vAlign w:val="center"/>
            <w:hideMark/>
          </w:tcPr>
          <w:p w14:paraId="4A1ADBB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970 000,00</w:t>
            </w:r>
            <w:r w:rsidRPr="00B73FDB">
              <w:rPr>
                <w:rFonts w:cs="Calibri"/>
                <w:sz w:val="18"/>
                <w:szCs w:val="18"/>
                <w:lang w:eastAsia="sk-SK"/>
              </w:rPr>
              <w:t xml:space="preserve"> </w:t>
            </w:r>
          </w:p>
        </w:tc>
        <w:tc>
          <w:tcPr>
            <w:tcW w:w="564" w:type="pct"/>
            <w:shd w:val="clear" w:color="auto" w:fill="D9D9D9"/>
            <w:noWrap/>
            <w:vAlign w:val="center"/>
            <w:hideMark/>
          </w:tcPr>
          <w:p w14:paraId="036BC48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1 122 381,00</w:t>
            </w:r>
            <w:r w:rsidRPr="00B73FDB">
              <w:rPr>
                <w:rFonts w:cs="Calibri"/>
                <w:sz w:val="18"/>
                <w:szCs w:val="18"/>
                <w:lang w:eastAsia="sk-SK"/>
              </w:rPr>
              <w:t xml:space="preserve"> </w:t>
            </w:r>
          </w:p>
        </w:tc>
        <w:tc>
          <w:tcPr>
            <w:tcW w:w="501" w:type="pct"/>
            <w:shd w:val="clear" w:color="auto" w:fill="D9D9D9"/>
            <w:noWrap/>
            <w:vAlign w:val="center"/>
            <w:hideMark/>
          </w:tcPr>
          <w:p w14:paraId="585F996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1 122 381,00</w:t>
            </w:r>
            <w:r w:rsidRPr="00B73FDB">
              <w:rPr>
                <w:rFonts w:cs="Calibri"/>
                <w:sz w:val="18"/>
                <w:szCs w:val="18"/>
                <w:lang w:eastAsia="sk-SK"/>
              </w:rPr>
              <w:t xml:space="preserve"> </w:t>
            </w:r>
          </w:p>
        </w:tc>
        <w:tc>
          <w:tcPr>
            <w:tcW w:w="562" w:type="pct"/>
            <w:shd w:val="clear" w:color="auto" w:fill="D9D9D9"/>
            <w:noWrap/>
            <w:vAlign w:val="center"/>
            <w:hideMark/>
          </w:tcPr>
          <w:p w14:paraId="668DECB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6DC048C8"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DBDA6BE" w14:textId="77777777" w:rsidTr="00B73FDB">
        <w:trPr>
          <w:tblCellSpacing w:w="15" w:type="dxa"/>
        </w:trPr>
        <w:tc>
          <w:tcPr>
            <w:tcW w:w="266" w:type="pct"/>
            <w:shd w:val="clear" w:color="auto" w:fill="EFEFEF"/>
            <w:noWrap/>
            <w:vAlign w:val="center"/>
            <w:hideMark/>
          </w:tcPr>
          <w:p w14:paraId="2F1A1EF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18223A8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2" w:type="pct"/>
            <w:shd w:val="clear" w:color="auto" w:fill="EFEFEF"/>
            <w:noWrap/>
            <w:vAlign w:val="center"/>
            <w:hideMark/>
          </w:tcPr>
          <w:p w14:paraId="742C163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970 000,00 </w:t>
            </w:r>
          </w:p>
        </w:tc>
        <w:tc>
          <w:tcPr>
            <w:tcW w:w="564" w:type="pct"/>
            <w:shd w:val="clear" w:color="auto" w:fill="EFEFEF"/>
            <w:noWrap/>
            <w:vAlign w:val="center"/>
            <w:hideMark/>
          </w:tcPr>
          <w:p w14:paraId="5A5E5A7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1 122 381,00 </w:t>
            </w:r>
          </w:p>
        </w:tc>
        <w:tc>
          <w:tcPr>
            <w:tcW w:w="501" w:type="pct"/>
            <w:shd w:val="clear" w:color="auto" w:fill="EFEFEF"/>
            <w:noWrap/>
            <w:vAlign w:val="center"/>
            <w:hideMark/>
          </w:tcPr>
          <w:p w14:paraId="70C21A9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1 122 381,00 </w:t>
            </w:r>
          </w:p>
        </w:tc>
        <w:tc>
          <w:tcPr>
            <w:tcW w:w="562" w:type="pct"/>
            <w:shd w:val="clear" w:color="auto" w:fill="EFEFEF"/>
            <w:noWrap/>
            <w:vAlign w:val="center"/>
            <w:hideMark/>
          </w:tcPr>
          <w:p w14:paraId="6183010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9CA376F" w14:textId="77777777" w:rsidR="00B73FDB" w:rsidRPr="00B73FDB" w:rsidRDefault="00B73FDB" w:rsidP="00B73FDB">
            <w:pPr>
              <w:spacing w:after="0" w:line="240" w:lineRule="auto"/>
              <w:rPr>
                <w:rFonts w:cs="Calibri"/>
                <w:sz w:val="18"/>
                <w:szCs w:val="18"/>
                <w:lang w:eastAsia="sk-SK"/>
              </w:rPr>
            </w:pPr>
          </w:p>
        </w:tc>
      </w:tr>
    </w:tbl>
    <w:p w14:paraId="4FB2A5F5"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44C355B4" w14:textId="77777777" w:rsidTr="00B73FDB">
        <w:trPr>
          <w:tblCellSpacing w:w="15" w:type="dxa"/>
        </w:trPr>
        <w:tc>
          <w:tcPr>
            <w:tcW w:w="0" w:type="auto"/>
            <w:shd w:val="clear" w:color="auto" w:fill="C2D69B"/>
            <w:vAlign w:val="center"/>
            <w:hideMark/>
          </w:tcPr>
          <w:p w14:paraId="1395872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Zodpovednosť</w:t>
            </w:r>
          </w:p>
        </w:tc>
        <w:tc>
          <w:tcPr>
            <w:tcW w:w="0" w:type="auto"/>
            <w:gridSpan w:val="4"/>
            <w:shd w:val="clear" w:color="auto" w:fill="C2D69B"/>
            <w:vAlign w:val="center"/>
            <w:hideMark/>
          </w:tcPr>
          <w:p w14:paraId="6A6F23F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774C5854" w14:textId="77777777" w:rsidTr="00B73FDB">
        <w:trPr>
          <w:tblCellSpacing w:w="15" w:type="dxa"/>
        </w:trPr>
        <w:tc>
          <w:tcPr>
            <w:tcW w:w="0" w:type="auto"/>
            <w:shd w:val="clear" w:color="auto" w:fill="C2D69B"/>
            <w:vAlign w:val="center"/>
            <w:hideMark/>
          </w:tcPr>
          <w:p w14:paraId="14BBC33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23CF33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75F0C114" w14:textId="77777777" w:rsidTr="00B73FDB">
        <w:trPr>
          <w:tblCellSpacing w:w="15" w:type="dxa"/>
        </w:trPr>
        <w:tc>
          <w:tcPr>
            <w:tcW w:w="0" w:type="auto"/>
            <w:shd w:val="clear" w:color="auto" w:fill="C2D69B"/>
            <w:vAlign w:val="center"/>
            <w:hideMark/>
          </w:tcPr>
          <w:p w14:paraId="46E5814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D9E88B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82181D4" w14:textId="77777777" w:rsidTr="00B73FDB">
        <w:trPr>
          <w:tblCellSpacing w:w="15" w:type="dxa"/>
        </w:trPr>
        <w:tc>
          <w:tcPr>
            <w:tcW w:w="0" w:type="auto"/>
            <w:shd w:val="clear" w:color="auto" w:fill="C2D69B"/>
            <w:vAlign w:val="center"/>
            <w:hideMark/>
          </w:tcPr>
          <w:p w14:paraId="302C176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689822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4523E6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230A60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F5EEFC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1003266" w14:textId="77777777" w:rsidTr="00B73FDB">
        <w:trPr>
          <w:tblCellSpacing w:w="15" w:type="dxa"/>
        </w:trPr>
        <w:tc>
          <w:tcPr>
            <w:tcW w:w="0" w:type="auto"/>
            <w:shd w:val="clear" w:color="auto" w:fill="C2D69B"/>
            <w:vAlign w:val="center"/>
            <w:hideMark/>
          </w:tcPr>
          <w:p w14:paraId="387E887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9453C9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289 </w:t>
            </w:r>
          </w:p>
        </w:tc>
        <w:tc>
          <w:tcPr>
            <w:tcW w:w="0" w:type="auto"/>
            <w:shd w:val="clear" w:color="auto" w:fill="C2D69B"/>
            <w:noWrap/>
            <w:vAlign w:val="center"/>
            <w:hideMark/>
          </w:tcPr>
          <w:p w14:paraId="2031D85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307 </w:t>
            </w:r>
          </w:p>
        </w:tc>
        <w:tc>
          <w:tcPr>
            <w:tcW w:w="0" w:type="auto"/>
            <w:shd w:val="clear" w:color="auto" w:fill="C2D69B"/>
            <w:vAlign w:val="center"/>
            <w:hideMark/>
          </w:tcPr>
          <w:p w14:paraId="3344CAD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1262FAF"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8875600" w14:textId="77777777" w:rsidTr="00B73FDB">
        <w:trPr>
          <w:tblCellSpacing w:w="15" w:type="dxa"/>
        </w:trPr>
        <w:tc>
          <w:tcPr>
            <w:tcW w:w="0" w:type="auto"/>
            <w:shd w:val="clear" w:color="auto" w:fill="C2D69B"/>
            <w:vAlign w:val="center"/>
            <w:hideMark/>
          </w:tcPr>
          <w:p w14:paraId="5F9A6D9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26A067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7170893" w14:textId="77777777" w:rsidTr="00B73FDB">
        <w:trPr>
          <w:tblCellSpacing w:w="15" w:type="dxa"/>
        </w:trPr>
        <w:tc>
          <w:tcPr>
            <w:tcW w:w="0" w:type="auto"/>
            <w:shd w:val="clear" w:color="auto" w:fill="C2D69B"/>
            <w:vAlign w:val="center"/>
            <w:hideMark/>
          </w:tcPr>
          <w:p w14:paraId="7AFB3C7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34C058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67D444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EB1BDD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3CC138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6B8CB11" w14:textId="77777777" w:rsidTr="00B73FDB">
        <w:trPr>
          <w:tblCellSpacing w:w="15" w:type="dxa"/>
        </w:trPr>
        <w:tc>
          <w:tcPr>
            <w:tcW w:w="0" w:type="auto"/>
            <w:shd w:val="clear" w:color="auto" w:fill="C2D69B"/>
            <w:vAlign w:val="center"/>
            <w:hideMark/>
          </w:tcPr>
          <w:p w14:paraId="09B0CF0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F02773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289 </w:t>
            </w:r>
          </w:p>
        </w:tc>
        <w:tc>
          <w:tcPr>
            <w:tcW w:w="0" w:type="auto"/>
            <w:shd w:val="clear" w:color="auto" w:fill="C2D69B"/>
            <w:noWrap/>
            <w:vAlign w:val="center"/>
            <w:hideMark/>
          </w:tcPr>
          <w:p w14:paraId="7CA52E2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307 </w:t>
            </w:r>
          </w:p>
        </w:tc>
        <w:tc>
          <w:tcPr>
            <w:tcW w:w="0" w:type="auto"/>
            <w:shd w:val="clear" w:color="auto" w:fill="C2D69B"/>
            <w:vAlign w:val="center"/>
            <w:hideMark/>
          </w:tcPr>
          <w:p w14:paraId="67E7B96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FC153CE" w14:textId="77777777" w:rsidR="00B73FDB" w:rsidRPr="00B73FDB" w:rsidRDefault="00B73FDB" w:rsidP="00B73FDB">
            <w:pPr>
              <w:spacing w:after="0" w:line="240" w:lineRule="auto"/>
              <w:jc w:val="center"/>
              <w:rPr>
                <w:rFonts w:cs="Calibri"/>
                <w:sz w:val="18"/>
                <w:szCs w:val="18"/>
                <w:lang w:eastAsia="sk-SK"/>
              </w:rPr>
            </w:pPr>
          </w:p>
        </w:tc>
      </w:tr>
    </w:tbl>
    <w:p w14:paraId="2A534516"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organizačnej zložky SOŠ je hlavne na umeleckoremeselnú tvorbu, textil a odevníctvo - denná forma štúdia, denné nadstavbové štúdium a pomaturitné štúdium. Od 1. 7. 2013 sa škola zlúčila so SOŠ drevárskou, </w:t>
      </w:r>
      <w:proofErr w:type="spellStart"/>
      <w:r w:rsidRPr="00B73FDB">
        <w:rPr>
          <w:rFonts w:cs="Calibri"/>
          <w:sz w:val="24"/>
          <w:szCs w:val="24"/>
          <w:lang w:eastAsia="sk-SK"/>
        </w:rPr>
        <w:t>Pavlovičova</w:t>
      </w:r>
      <w:proofErr w:type="spellEnd"/>
      <w:r w:rsidRPr="00B73FDB">
        <w:rPr>
          <w:rFonts w:cs="Calibri"/>
          <w:sz w:val="24"/>
          <w:szCs w:val="24"/>
          <w:lang w:eastAsia="sk-SK"/>
        </w:rPr>
        <w:t xml:space="preserve"> 3 v Bratislave (Prvok 8.3.9), ktorá sa stala jej organizačnou zložkou so zameraním učebných a študijných odborov na spracúvanie dreva a umeleckoremeselnú tvorbu.</w:t>
      </w:r>
    </w:p>
    <w:p w14:paraId="578E24D9"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8.3.22: SOŠ chemická, Vlčie Hrdlo 50,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26"/>
        <w:gridCol w:w="1210"/>
        <w:gridCol w:w="1208"/>
        <w:gridCol w:w="1081"/>
        <w:gridCol w:w="1208"/>
        <w:gridCol w:w="2428"/>
      </w:tblGrid>
      <w:tr w:rsidR="00B73FDB" w:rsidRPr="00B73FDB" w14:paraId="7396CF2E" w14:textId="77777777" w:rsidTr="00B73FDB">
        <w:trPr>
          <w:tblCellSpacing w:w="15" w:type="dxa"/>
        </w:trPr>
        <w:tc>
          <w:tcPr>
            <w:tcW w:w="267" w:type="pct"/>
            <w:shd w:val="clear" w:color="auto" w:fill="C6DBF7"/>
            <w:vAlign w:val="center"/>
            <w:hideMark/>
          </w:tcPr>
          <w:p w14:paraId="03287A1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42E095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3CCE851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2" w:type="pct"/>
            <w:shd w:val="clear" w:color="auto" w:fill="C6DBF7"/>
            <w:vAlign w:val="center"/>
            <w:hideMark/>
          </w:tcPr>
          <w:p w14:paraId="59D4F40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59A2E2F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58E94A6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08D8789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19A9460E" w14:textId="77777777" w:rsidTr="00B73FDB">
        <w:trPr>
          <w:tblCellSpacing w:w="15" w:type="dxa"/>
        </w:trPr>
        <w:tc>
          <w:tcPr>
            <w:tcW w:w="267" w:type="pct"/>
            <w:shd w:val="clear" w:color="auto" w:fill="D9D9D9"/>
            <w:noWrap/>
            <w:vAlign w:val="center"/>
            <w:hideMark/>
          </w:tcPr>
          <w:p w14:paraId="7B971CDB"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6F3AF53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43DE425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952 391,00</w:t>
            </w:r>
            <w:r w:rsidRPr="00B73FDB">
              <w:rPr>
                <w:rFonts w:cs="Calibri"/>
                <w:sz w:val="18"/>
                <w:szCs w:val="18"/>
                <w:lang w:eastAsia="sk-SK"/>
              </w:rPr>
              <w:t xml:space="preserve"> </w:t>
            </w:r>
          </w:p>
        </w:tc>
        <w:tc>
          <w:tcPr>
            <w:tcW w:w="562" w:type="pct"/>
            <w:shd w:val="clear" w:color="auto" w:fill="D9D9D9"/>
            <w:noWrap/>
            <w:vAlign w:val="center"/>
            <w:hideMark/>
          </w:tcPr>
          <w:p w14:paraId="40A37A6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1 295 489,71</w:t>
            </w:r>
            <w:r w:rsidRPr="00B73FDB">
              <w:rPr>
                <w:rFonts w:cs="Calibri"/>
                <w:sz w:val="18"/>
                <w:szCs w:val="18"/>
                <w:lang w:eastAsia="sk-SK"/>
              </w:rPr>
              <w:t xml:space="preserve"> </w:t>
            </w:r>
          </w:p>
        </w:tc>
        <w:tc>
          <w:tcPr>
            <w:tcW w:w="501" w:type="pct"/>
            <w:shd w:val="clear" w:color="auto" w:fill="D9D9D9"/>
            <w:noWrap/>
            <w:vAlign w:val="center"/>
            <w:hideMark/>
          </w:tcPr>
          <w:p w14:paraId="5A9B1B0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1 167 071,94</w:t>
            </w:r>
            <w:r w:rsidRPr="00B73FDB">
              <w:rPr>
                <w:rFonts w:cs="Calibri"/>
                <w:sz w:val="18"/>
                <w:szCs w:val="18"/>
                <w:lang w:eastAsia="sk-SK"/>
              </w:rPr>
              <w:t xml:space="preserve"> </w:t>
            </w:r>
          </w:p>
        </w:tc>
        <w:tc>
          <w:tcPr>
            <w:tcW w:w="562" w:type="pct"/>
            <w:shd w:val="clear" w:color="auto" w:fill="D9D9D9"/>
            <w:noWrap/>
            <w:vAlign w:val="center"/>
            <w:hideMark/>
          </w:tcPr>
          <w:p w14:paraId="0B69C1E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90,09</w:t>
            </w:r>
            <w:r w:rsidRPr="00B73FDB">
              <w:rPr>
                <w:rFonts w:cs="Calibri"/>
                <w:sz w:val="18"/>
                <w:szCs w:val="18"/>
                <w:lang w:eastAsia="sk-SK"/>
              </w:rPr>
              <w:t xml:space="preserve"> </w:t>
            </w:r>
          </w:p>
        </w:tc>
        <w:tc>
          <w:tcPr>
            <w:tcW w:w="1136" w:type="pct"/>
            <w:vMerge w:val="restart"/>
            <w:shd w:val="clear" w:color="auto" w:fill="D9D9D9"/>
            <w:vAlign w:val="center"/>
            <w:hideMark/>
          </w:tcPr>
          <w:p w14:paraId="734172C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+190 982,06 EUR</w:t>
            </w:r>
            <w:r w:rsidRPr="00B73FDB">
              <w:rPr>
                <w:rFonts w:cs="Calibri"/>
                <w:sz w:val="18"/>
                <w:szCs w:val="18"/>
                <w:lang w:eastAsia="sk-SK"/>
              </w:rPr>
              <w:t xml:space="preserve"> normatívne finančné prostriedky,</w:t>
            </w:r>
          </w:p>
          <w:p w14:paraId="30DCC8F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+318,00 EUR</w:t>
            </w:r>
            <w:r w:rsidRPr="00B73FDB">
              <w:rPr>
                <w:rFonts w:cs="Calibri"/>
                <w:sz w:val="18"/>
                <w:szCs w:val="18"/>
                <w:lang w:eastAsia="sk-SK"/>
              </w:rPr>
              <w:t xml:space="preserve"> normatívne finančné prostriedky na maturity,</w:t>
            </w:r>
          </w:p>
          <w:p w14:paraId="21162D4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+595,00 EUR </w:t>
            </w:r>
            <w:r w:rsidRPr="00B73FDB">
              <w:rPr>
                <w:rFonts w:cs="Calibri"/>
                <w:sz w:val="18"/>
                <w:szCs w:val="18"/>
                <w:lang w:eastAsia="sk-SK"/>
              </w:rPr>
              <w:t>nenormatívne finančné prostriedky na vzdelávacie poukazy,</w:t>
            </w:r>
          </w:p>
          <w:p w14:paraId="6AD4DC0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+1 000,00 EUR</w:t>
            </w:r>
            <w:r w:rsidRPr="00B73FDB">
              <w:rPr>
                <w:rFonts w:cs="Calibri"/>
                <w:sz w:val="18"/>
                <w:szCs w:val="18"/>
                <w:lang w:eastAsia="sk-SK"/>
              </w:rPr>
              <w:t xml:space="preserve"> nenormatívne finančné prostriedky za mimoriadne výsledky žiakov,</w:t>
            </w:r>
          </w:p>
          <w:p w14:paraId="030AF34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-1 050,00 EUR</w:t>
            </w:r>
            <w:r w:rsidRPr="00B73FDB">
              <w:rPr>
                <w:rFonts w:cs="Calibri"/>
                <w:sz w:val="18"/>
                <w:szCs w:val="18"/>
                <w:lang w:eastAsia="sk-SK"/>
              </w:rPr>
              <w:t xml:space="preserve"> nenormatívne finančné prostriedky na lyžiarske kurzy,</w:t>
            </w:r>
          </w:p>
          <w:p w14:paraId="5624D8A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+3 000,00 EUR</w:t>
            </w:r>
            <w:r w:rsidRPr="00B73FDB">
              <w:rPr>
                <w:rFonts w:cs="Calibri"/>
                <w:sz w:val="18"/>
                <w:szCs w:val="18"/>
                <w:lang w:eastAsia="sk-SK"/>
              </w:rPr>
              <w:t xml:space="preserve"> aktivity, zamerané na šírenie hodnôt UNESCO,</w:t>
            </w:r>
          </w:p>
          <w:p w14:paraId="5E98F01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+148 223,96 EUR</w:t>
            </w:r>
            <w:r w:rsidRPr="00B73FDB">
              <w:rPr>
                <w:rFonts w:cs="Calibri"/>
                <w:sz w:val="18"/>
                <w:szCs w:val="18"/>
                <w:lang w:eastAsia="sk-SK"/>
              </w:rPr>
              <w:t xml:space="preserve"> navýšenie rozpočtu projektových účtov,</w:t>
            </w:r>
          </w:p>
          <w:p w14:paraId="2C3F764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+29,69 EUR</w:t>
            </w:r>
            <w:r w:rsidRPr="00B73FDB">
              <w:rPr>
                <w:rFonts w:cs="Calibri"/>
                <w:sz w:val="18"/>
                <w:szCs w:val="18"/>
                <w:lang w:eastAsia="sk-SK"/>
              </w:rPr>
              <w:t xml:space="preserve"> navýšenie rozpočtu darovacieho účtu.</w:t>
            </w:r>
          </w:p>
        </w:tc>
      </w:tr>
      <w:tr w:rsidR="00B73FDB" w:rsidRPr="00B73FDB" w14:paraId="07B06F68" w14:textId="77777777" w:rsidTr="00B73FDB">
        <w:trPr>
          <w:tblCellSpacing w:w="15" w:type="dxa"/>
        </w:trPr>
        <w:tc>
          <w:tcPr>
            <w:tcW w:w="267" w:type="pct"/>
            <w:shd w:val="clear" w:color="auto" w:fill="D9D9D9"/>
            <w:noWrap/>
            <w:vAlign w:val="center"/>
            <w:hideMark/>
          </w:tcPr>
          <w:p w14:paraId="0DF14CC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7D1AF88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0EBE5B5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952 391,00</w:t>
            </w:r>
            <w:r w:rsidRPr="00B73FDB">
              <w:rPr>
                <w:rFonts w:cs="Calibri"/>
                <w:sz w:val="18"/>
                <w:szCs w:val="18"/>
                <w:lang w:eastAsia="sk-SK"/>
              </w:rPr>
              <w:t xml:space="preserve"> </w:t>
            </w:r>
          </w:p>
        </w:tc>
        <w:tc>
          <w:tcPr>
            <w:tcW w:w="562" w:type="pct"/>
            <w:shd w:val="clear" w:color="auto" w:fill="D9D9D9"/>
            <w:noWrap/>
            <w:vAlign w:val="center"/>
            <w:hideMark/>
          </w:tcPr>
          <w:p w14:paraId="37C401B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1 295 489,71</w:t>
            </w:r>
            <w:r w:rsidRPr="00B73FDB">
              <w:rPr>
                <w:rFonts w:cs="Calibri"/>
                <w:sz w:val="18"/>
                <w:szCs w:val="18"/>
                <w:lang w:eastAsia="sk-SK"/>
              </w:rPr>
              <w:t xml:space="preserve"> </w:t>
            </w:r>
          </w:p>
        </w:tc>
        <w:tc>
          <w:tcPr>
            <w:tcW w:w="501" w:type="pct"/>
            <w:shd w:val="clear" w:color="auto" w:fill="D9D9D9"/>
            <w:noWrap/>
            <w:vAlign w:val="center"/>
            <w:hideMark/>
          </w:tcPr>
          <w:p w14:paraId="75817CE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1 167 071,94</w:t>
            </w:r>
            <w:r w:rsidRPr="00B73FDB">
              <w:rPr>
                <w:rFonts w:cs="Calibri"/>
                <w:sz w:val="18"/>
                <w:szCs w:val="18"/>
                <w:lang w:eastAsia="sk-SK"/>
              </w:rPr>
              <w:t xml:space="preserve"> </w:t>
            </w:r>
          </w:p>
        </w:tc>
        <w:tc>
          <w:tcPr>
            <w:tcW w:w="562" w:type="pct"/>
            <w:shd w:val="clear" w:color="auto" w:fill="D9D9D9"/>
            <w:noWrap/>
            <w:vAlign w:val="center"/>
            <w:hideMark/>
          </w:tcPr>
          <w:p w14:paraId="03A26E9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90,09</w:t>
            </w:r>
            <w:r w:rsidRPr="00B73FDB">
              <w:rPr>
                <w:rFonts w:cs="Calibri"/>
                <w:sz w:val="18"/>
                <w:szCs w:val="18"/>
                <w:lang w:eastAsia="sk-SK"/>
              </w:rPr>
              <w:t xml:space="preserve"> </w:t>
            </w:r>
          </w:p>
        </w:tc>
        <w:tc>
          <w:tcPr>
            <w:tcW w:w="1136" w:type="pct"/>
            <w:vMerge/>
            <w:shd w:val="clear" w:color="auto" w:fill="D9D9D9"/>
            <w:vAlign w:val="center"/>
            <w:hideMark/>
          </w:tcPr>
          <w:p w14:paraId="097925EB"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05B03268" w14:textId="77777777" w:rsidTr="00B73FDB">
        <w:trPr>
          <w:tblCellSpacing w:w="15" w:type="dxa"/>
        </w:trPr>
        <w:tc>
          <w:tcPr>
            <w:tcW w:w="267" w:type="pct"/>
            <w:shd w:val="clear" w:color="auto" w:fill="EFEFEF"/>
            <w:noWrap/>
            <w:vAlign w:val="center"/>
            <w:hideMark/>
          </w:tcPr>
          <w:p w14:paraId="16AEA3C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6" w:type="pct"/>
            <w:shd w:val="clear" w:color="auto" w:fill="EFEFEF"/>
            <w:vAlign w:val="center"/>
            <w:hideMark/>
          </w:tcPr>
          <w:p w14:paraId="44CCD4B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010953C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592 404,00 </w:t>
            </w:r>
          </w:p>
        </w:tc>
        <w:tc>
          <w:tcPr>
            <w:tcW w:w="562" w:type="pct"/>
            <w:shd w:val="clear" w:color="auto" w:fill="EFEFEF"/>
            <w:noWrap/>
            <w:vAlign w:val="center"/>
            <w:hideMark/>
          </w:tcPr>
          <w:p w14:paraId="5DDF2D2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587 554,53 </w:t>
            </w:r>
          </w:p>
        </w:tc>
        <w:tc>
          <w:tcPr>
            <w:tcW w:w="501" w:type="pct"/>
            <w:shd w:val="clear" w:color="auto" w:fill="EFEFEF"/>
            <w:noWrap/>
            <w:vAlign w:val="center"/>
            <w:hideMark/>
          </w:tcPr>
          <w:p w14:paraId="55D48F7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587 554,53 </w:t>
            </w:r>
          </w:p>
        </w:tc>
        <w:tc>
          <w:tcPr>
            <w:tcW w:w="562" w:type="pct"/>
            <w:shd w:val="clear" w:color="auto" w:fill="EFEFEF"/>
            <w:noWrap/>
            <w:vAlign w:val="center"/>
            <w:hideMark/>
          </w:tcPr>
          <w:p w14:paraId="5691443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1DF2C65A" w14:textId="77777777" w:rsidR="00B73FDB" w:rsidRPr="00B73FDB" w:rsidRDefault="00B73FDB" w:rsidP="00B73FDB">
            <w:pPr>
              <w:spacing w:after="0" w:line="240" w:lineRule="auto"/>
              <w:rPr>
                <w:rFonts w:cs="Calibri"/>
                <w:sz w:val="18"/>
                <w:szCs w:val="18"/>
                <w:lang w:eastAsia="sk-SK"/>
              </w:rPr>
            </w:pPr>
          </w:p>
        </w:tc>
      </w:tr>
      <w:tr w:rsidR="00B73FDB" w:rsidRPr="00B73FDB" w14:paraId="1DBDD668" w14:textId="77777777" w:rsidTr="00B73FDB">
        <w:trPr>
          <w:tblCellSpacing w:w="15" w:type="dxa"/>
        </w:trPr>
        <w:tc>
          <w:tcPr>
            <w:tcW w:w="267" w:type="pct"/>
            <w:shd w:val="clear" w:color="auto" w:fill="EFEFEF"/>
            <w:noWrap/>
            <w:vAlign w:val="center"/>
            <w:hideMark/>
          </w:tcPr>
          <w:p w14:paraId="538A6CB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6" w:type="pct"/>
            <w:shd w:val="clear" w:color="auto" w:fill="EFEFEF"/>
            <w:vAlign w:val="center"/>
            <w:hideMark/>
          </w:tcPr>
          <w:p w14:paraId="007A67E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72F0C93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204 950,00 </w:t>
            </w:r>
          </w:p>
        </w:tc>
        <w:tc>
          <w:tcPr>
            <w:tcW w:w="562" w:type="pct"/>
            <w:shd w:val="clear" w:color="auto" w:fill="EFEFEF"/>
            <w:noWrap/>
            <w:vAlign w:val="center"/>
            <w:hideMark/>
          </w:tcPr>
          <w:p w14:paraId="1A63CA4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189 920,56 </w:t>
            </w:r>
          </w:p>
        </w:tc>
        <w:tc>
          <w:tcPr>
            <w:tcW w:w="501" w:type="pct"/>
            <w:shd w:val="clear" w:color="auto" w:fill="EFEFEF"/>
            <w:noWrap/>
            <w:vAlign w:val="center"/>
            <w:hideMark/>
          </w:tcPr>
          <w:p w14:paraId="0152D01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189 920,56 </w:t>
            </w:r>
          </w:p>
        </w:tc>
        <w:tc>
          <w:tcPr>
            <w:tcW w:w="562" w:type="pct"/>
            <w:shd w:val="clear" w:color="auto" w:fill="EFEFEF"/>
            <w:noWrap/>
            <w:vAlign w:val="center"/>
            <w:hideMark/>
          </w:tcPr>
          <w:p w14:paraId="6105F03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BDCB94F" w14:textId="77777777" w:rsidR="00B73FDB" w:rsidRPr="00B73FDB" w:rsidRDefault="00B73FDB" w:rsidP="00B73FDB">
            <w:pPr>
              <w:spacing w:after="0" w:line="240" w:lineRule="auto"/>
              <w:rPr>
                <w:rFonts w:cs="Calibri"/>
                <w:sz w:val="18"/>
                <w:szCs w:val="18"/>
                <w:lang w:eastAsia="sk-SK"/>
              </w:rPr>
            </w:pPr>
          </w:p>
        </w:tc>
      </w:tr>
      <w:tr w:rsidR="00B73FDB" w:rsidRPr="00B73FDB" w14:paraId="25D13D34" w14:textId="77777777" w:rsidTr="00B73FDB">
        <w:trPr>
          <w:tblCellSpacing w:w="15" w:type="dxa"/>
        </w:trPr>
        <w:tc>
          <w:tcPr>
            <w:tcW w:w="267" w:type="pct"/>
            <w:shd w:val="clear" w:color="auto" w:fill="EFEFEF"/>
            <w:noWrap/>
            <w:vAlign w:val="center"/>
            <w:hideMark/>
          </w:tcPr>
          <w:p w14:paraId="16D70AE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6" w:type="pct"/>
            <w:shd w:val="clear" w:color="auto" w:fill="EFEFEF"/>
            <w:vAlign w:val="center"/>
            <w:hideMark/>
          </w:tcPr>
          <w:p w14:paraId="52CB1A5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54BD3E5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153 737,00 </w:t>
            </w:r>
          </w:p>
        </w:tc>
        <w:tc>
          <w:tcPr>
            <w:tcW w:w="562" w:type="pct"/>
            <w:shd w:val="clear" w:color="auto" w:fill="EFEFEF"/>
            <w:noWrap/>
            <w:vAlign w:val="center"/>
            <w:hideMark/>
          </w:tcPr>
          <w:p w14:paraId="7B0D49D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508 656,26 </w:t>
            </w:r>
          </w:p>
        </w:tc>
        <w:tc>
          <w:tcPr>
            <w:tcW w:w="501" w:type="pct"/>
            <w:shd w:val="clear" w:color="auto" w:fill="EFEFEF"/>
            <w:noWrap/>
            <w:vAlign w:val="center"/>
            <w:hideMark/>
          </w:tcPr>
          <w:p w14:paraId="47D602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380 238,49 </w:t>
            </w:r>
          </w:p>
        </w:tc>
        <w:tc>
          <w:tcPr>
            <w:tcW w:w="562" w:type="pct"/>
            <w:shd w:val="clear" w:color="auto" w:fill="EFEFEF"/>
            <w:noWrap/>
            <w:vAlign w:val="center"/>
            <w:hideMark/>
          </w:tcPr>
          <w:p w14:paraId="7830F3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74,75 </w:t>
            </w:r>
          </w:p>
        </w:tc>
        <w:tc>
          <w:tcPr>
            <w:tcW w:w="1136" w:type="pct"/>
            <w:vMerge/>
            <w:shd w:val="clear" w:color="auto" w:fill="EFEFEF"/>
            <w:vAlign w:val="center"/>
            <w:hideMark/>
          </w:tcPr>
          <w:p w14:paraId="08FB2543" w14:textId="77777777" w:rsidR="00B73FDB" w:rsidRPr="00B73FDB" w:rsidRDefault="00B73FDB" w:rsidP="00B73FDB">
            <w:pPr>
              <w:spacing w:after="0" w:line="240" w:lineRule="auto"/>
              <w:rPr>
                <w:rFonts w:cs="Calibri"/>
                <w:sz w:val="18"/>
                <w:szCs w:val="18"/>
                <w:lang w:eastAsia="sk-SK"/>
              </w:rPr>
            </w:pPr>
          </w:p>
        </w:tc>
      </w:tr>
      <w:tr w:rsidR="00B73FDB" w:rsidRPr="00B73FDB" w14:paraId="6DFBBAD4" w14:textId="77777777" w:rsidTr="00B73FDB">
        <w:trPr>
          <w:tblCellSpacing w:w="15" w:type="dxa"/>
        </w:trPr>
        <w:tc>
          <w:tcPr>
            <w:tcW w:w="267" w:type="pct"/>
            <w:shd w:val="clear" w:color="auto" w:fill="EFEFEF"/>
            <w:noWrap/>
            <w:vAlign w:val="center"/>
            <w:hideMark/>
          </w:tcPr>
          <w:p w14:paraId="6725C0C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6" w:type="pct"/>
            <w:shd w:val="clear" w:color="auto" w:fill="EFEFEF"/>
            <w:vAlign w:val="center"/>
            <w:hideMark/>
          </w:tcPr>
          <w:p w14:paraId="2E6106F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5B55949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1 300,00 </w:t>
            </w:r>
          </w:p>
        </w:tc>
        <w:tc>
          <w:tcPr>
            <w:tcW w:w="562" w:type="pct"/>
            <w:shd w:val="clear" w:color="auto" w:fill="EFEFEF"/>
            <w:noWrap/>
            <w:vAlign w:val="center"/>
            <w:hideMark/>
          </w:tcPr>
          <w:p w14:paraId="7D33252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9 358,36 </w:t>
            </w:r>
          </w:p>
        </w:tc>
        <w:tc>
          <w:tcPr>
            <w:tcW w:w="501" w:type="pct"/>
            <w:shd w:val="clear" w:color="auto" w:fill="EFEFEF"/>
            <w:noWrap/>
            <w:vAlign w:val="center"/>
            <w:hideMark/>
          </w:tcPr>
          <w:p w14:paraId="2E25F68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9 358,36 </w:t>
            </w:r>
          </w:p>
        </w:tc>
        <w:tc>
          <w:tcPr>
            <w:tcW w:w="562" w:type="pct"/>
            <w:shd w:val="clear" w:color="auto" w:fill="EFEFEF"/>
            <w:noWrap/>
            <w:vAlign w:val="center"/>
            <w:hideMark/>
          </w:tcPr>
          <w:p w14:paraId="016F887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ED2F487" w14:textId="77777777" w:rsidR="00B73FDB" w:rsidRPr="00B73FDB" w:rsidRDefault="00B73FDB" w:rsidP="00B73FDB">
            <w:pPr>
              <w:spacing w:after="0" w:line="240" w:lineRule="auto"/>
              <w:rPr>
                <w:rFonts w:cs="Calibri"/>
                <w:sz w:val="18"/>
                <w:szCs w:val="18"/>
                <w:lang w:eastAsia="sk-SK"/>
              </w:rPr>
            </w:pPr>
          </w:p>
        </w:tc>
      </w:tr>
    </w:tbl>
    <w:p w14:paraId="6D3B4FE9"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79"/>
        <w:gridCol w:w="728"/>
        <w:gridCol w:w="1616"/>
        <w:gridCol w:w="1284"/>
        <w:gridCol w:w="4159"/>
      </w:tblGrid>
      <w:tr w:rsidR="00B73FDB" w:rsidRPr="00B73FDB" w14:paraId="0D3738BE" w14:textId="77777777" w:rsidTr="00B73FDB">
        <w:trPr>
          <w:tblCellSpacing w:w="15" w:type="dxa"/>
        </w:trPr>
        <w:tc>
          <w:tcPr>
            <w:tcW w:w="0" w:type="auto"/>
            <w:shd w:val="clear" w:color="auto" w:fill="C2D69B"/>
            <w:vAlign w:val="center"/>
            <w:hideMark/>
          </w:tcPr>
          <w:p w14:paraId="17758DA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3C87B8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Riaditeľ zariadenia</w:t>
            </w:r>
            <w:r w:rsidRPr="00B73FDB">
              <w:rPr>
                <w:rFonts w:cs="Calibri"/>
                <w:sz w:val="18"/>
                <w:szCs w:val="18"/>
                <w:lang w:eastAsia="sk-SK"/>
              </w:rPr>
              <w:br/>
            </w:r>
          </w:p>
        </w:tc>
      </w:tr>
      <w:tr w:rsidR="00B73FDB" w:rsidRPr="00B73FDB" w14:paraId="4800D67A" w14:textId="77777777" w:rsidTr="00B73FDB">
        <w:trPr>
          <w:tblCellSpacing w:w="15" w:type="dxa"/>
        </w:trPr>
        <w:tc>
          <w:tcPr>
            <w:tcW w:w="0" w:type="auto"/>
            <w:shd w:val="clear" w:color="auto" w:fill="C2D69B"/>
            <w:vAlign w:val="center"/>
            <w:hideMark/>
          </w:tcPr>
          <w:p w14:paraId="1A8896E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513145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5050EA7D" w14:textId="77777777" w:rsidTr="00B73FDB">
        <w:trPr>
          <w:tblCellSpacing w:w="15" w:type="dxa"/>
        </w:trPr>
        <w:tc>
          <w:tcPr>
            <w:tcW w:w="0" w:type="auto"/>
            <w:shd w:val="clear" w:color="auto" w:fill="C2D69B"/>
            <w:vAlign w:val="center"/>
            <w:hideMark/>
          </w:tcPr>
          <w:p w14:paraId="6330E3F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5A6EFF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spolu </w:t>
            </w:r>
          </w:p>
        </w:tc>
      </w:tr>
      <w:tr w:rsidR="00B73FDB" w:rsidRPr="00B73FDB" w14:paraId="4CAD1DE6" w14:textId="77777777" w:rsidTr="00B73FDB">
        <w:trPr>
          <w:tblCellSpacing w:w="15" w:type="dxa"/>
        </w:trPr>
        <w:tc>
          <w:tcPr>
            <w:tcW w:w="0" w:type="auto"/>
            <w:shd w:val="clear" w:color="auto" w:fill="C2D69B"/>
            <w:vAlign w:val="center"/>
            <w:hideMark/>
          </w:tcPr>
          <w:p w14:paraId="4B409EB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916B6F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776EB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829842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BBEAAD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2A33368" w14:textId="77777777" w:rsidTr="00B73FDB">
        <w:trPr>
          <w:tblCellSpacing w:w="15" w:type="dxa"/>
        </w:trPr>
        <w:tc>
          <w:tcPr>
            <w:tcW w:w="0" w:type="auto"/>
            <w:shd w:val="clear" w:color="auto" w:fill="C2D69B"/>
            <w:vAlign w:val="center"/>
            <w:hideMark/>
          </w:tcPr>
          <w:p w14:paraId="2860DCF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708E1F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231 </w:t>
            </w:r>
          </w:p>
        </w:tc>
        <w:tc>
          <w:tcPr>
            <w:tcW w:w="0" w:type="auto"/>
            <w:shd w:val="clear" w:color="auto" w:fill="C2D69B"/>
            <w:noWrap/>
            <w:vAlign w:val="center"/>
            <w:hideMark/>
          </w:tcPr>
          <w:p w14:paraId="1AD1A77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254 </w:t>
            </w:r>
          </w:p>
        </w:tc>
        <w:tc>
          <w:tcPr>
            <w:tcW w:w="0" w:type="auto"/>
            <w:shd w:val="clear" w:color="auto" w:fill="C2D69B"/>
            <w:vAlign w:val="center"/>
            <w:hideMark/>
          </w:tcPr>
          <w:p w14:paraId="78120E7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7C1D8B3"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2F92B45" w14:textId="77777777" w:rsidTr="00B73FDB">
        <w:trPr>
          <w:tblCellSpacing w:w="15" w:type="dxa"/>
        </w:trPr>
        <w:tc>
          <w:tcPr>
            <w:tcW w:w="0" w:type="auto"/>
            <w:shd w:val="clear" w:color="auto" w:fill="C2D69B"/>
            <w:vAlign w:val="center"/>
            <w:hideMark/>
          </w:tcPr>
          <w:p w14:paraId="19F7D13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322A3F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02E6F0AD" w14:textId="77777777" w:rsidTr="00B73FDB">
        <w:trPr>
          <w:tblCellSpacing w:w="15" w:type="dxa"/>
        </w:trPr>
        <w:tc>
          <w:tcPr>
            <w:tcW w:w="0" w:type="auto"/>
            <w:shd w:val="clear" w:color="auto" w:fill="C2D69B"/>
            <w:vAlign w:val="center"/>
            <w:hideMark/>
          </w:tcPr>
          <w:p w14:paraId="5BFDEF8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7DAD27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0C87FC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6DA2A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AA0B90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0913E22" w14:textId="77777777" w:rsidTr="00B73FDB">
        <w:trPr>
          <w:tblCellSpacing w:w="15" w:type="dxa"/>
        </w:trPr>
        <w:tc>
          <w:tcPr>
            <w:tcW w:w="0" w:type="auto"/>
            <w:shd w:val="clear" w:color="auto" w:fill="C2D69B"/>
            <w:vAlign w:val="center"/>
            <w:hideMark/>
          </w:tcPr>
          <w:p w14:paraId="70ABDA10"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2020</w:t>
            </w:r>
            <w:r w:rsidRPr="00B73FDB">
              <w:rPr>
                <w:rFonts w:cs="Calibri"/>
                <w:sz w:val="24"/>
                <w:szCs w:val="24"/>
                <w:lang w:eastAsia="sk-SK"/>
              </w:rPr>
              <w:t xml:space="preserve"> </w:t>
            </w:r>
          </w:p>
        </w:tc>
        <w:tc>
          <w:tcPr>
            <w:tcW w:w="0" w:type="auto"/>
            <w:shd w:val="clear" w:color="auto" w:fill="C2D69B"/>
            <w:noWrap/>
            <w:vAlign w:val="center"/>
            <w:hideMark/>
          </w:tcPr>
          <w:p w14:paraId="0BD98105"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 223</w:t>
            </w:r>
            <w:r w:rsidRPr="00B73FDB">
              <w:rPr>
                <w:rFonts w:cs="Calibri"/>
                <w:sz w:val="24"/>
                <w:szCs w:val="24"/>
                <w:lang w:eastAsia="sk-SK"/>
              </w:rPr>
              <w:t xml:space="preserve"> </w:t>
            </w:r>
          </w:p>
        </w:tc>
        <w:tc>
          <w:tcPr>
            <w:tcW w:w="0" w:type="auto"/>
            <w:shd w:val="clear" w:color="auto" w:fill="C2D69B"/>
            <w:noWrap/>
            <w:vAlign w:val="center"/>
            <w:hideMark/>
          </w:tcPr>
          <w:p w14:paraId="323741E8"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 248</w:t>
            </w:r>
            <w:r w:rsidRPr="00B73FDB">
              <w:rPr>
                <w:rFonts w:cs="Calibri"/>
                <w:sz w:val="24"/>
                <w:szCs w:val="24"/>
                <w:lang w:eastAsia="sk-SK"/>
              </w:rPr>
              <w:t xml:space="preserve"> </w:t>
            </w:r>
          </w:p>
        </w:tc>
        <w:tc>
          <w:tcPr>
            <w:tcW w:w="0" w:type="auto"/>
            <w:shd w:val="clear" w:color="auto" w:fill="C2D69B"/>
            <w:vAlign w:val="center"/>
            <w:hideMark/>
          </w:tcPr>
          <w:p w14:paraId="0CE837C0" w14:textId="77777777" w:rsidR="00B73FDB" w:rsidRPr="00B73FDB" w:rsidRDefault="00B73FDB" w:rsidP="00B73FDB">
            <w:pPr>
              <w:spacing w:after="0" w:line="240" w:lineRule="auto"/>
              <w:jc w:val="center"/>
              <w:rPr>
                <w:rFonts w:cs="Calibri"/>
                <w:sz w:val="24"/>
                <w:szCs w:val="24"/>
                <w:lang w:eastAsia="sk-SK"/>
              </w:rPr>
            </w:pPr>
            <w:r w:rsidRPr="00B73FDB">
              <w:rPr>
                <w:rFonts w:cs="Calibri"/>
                <w:sz w:val="20"/>
                <w:szCs w:val="20"/>
                <w:lang w:eastAsia="sk-SK"/>
              </w:rPr>
              <w:t>Splnené</w:t>
            </w:r>
            <w:r w:rsidRPr="00B73FDB">
              <w:rPr>
                <w:rFonts w:cs="Calibri"/>
                <w:sz w:val="24"/>
                <w:szCs w:val="24"/>
                <w:lang w:eastAsia="sk-SK"/>
              </w:rPr>
              <w:t xml:space="preserve"> </w:t>
            </w:r>
          </w:p>
        </w:tc>
        <w:tc>
          <w:tcPr>
            <w:tcW w:w="0" w:type="auto"/>
            <w:shd w:val="clear" w:color="auto" w:fill="C2D69B"/>
            <w:vAlign w:val="center"/>
            <w:hideMark/>
          </w:tcPr>
          <w:p w14:paraId="43AF8BC1" w14:textId="77777777" w:rsidR="00B73FDB" w:rsidRPr="00B73FDB" w:rsidRDefault="00B73FDB" w:rsidP="00B73FDB">
            <w:pPr>
              <w:spacing w:after="0" w:line="240" w:lineRule="auto"/>
              <w:jc w:val="center"/>
              <w:rPr>
                <w:rFonts w:cs="Calibri"/>
                <w:sz w:val="24"/>
                <w:szCs w:val="24"/>
                <w:lang w:eastAsia="sk-SK"/>
              </w:rPr>
            </w:pPr>
          </w:p>
        </w:tc>
      </w:tr>
    </w:tbl>
    <w:p w14:paraId="1F098215" w14:textId="77777777" w:rsidR="00B73FDB" w:rsidRPr="00B73FDB" w:rsidRDefault="00B73FDB" w:rsidP="00B73FDB">
      <w:pPr>
        <w:spacing w:before="100" w:beforeAutospacing="1" w:after="100" w:afterAutospacing="1" w:line="240" w:lineRule="auto"/>
        <w:jc w:val="both"/>
        <w:rPr>
          <w:rFonts w:cs="Calibri"/>
          <w:lang w:eastAsia="sk-SK"/>
        </w:rPr>
      </w:pPr>
      <w:r w:rsidRPr="00B73FDB">
        <w:rPr>
          <w:rFonts w:cs="Calibri"/>
          <w:b/>
          <w:bCs/>
          <w:sz w:val="24"/>
          <w:szCs w:val="24"/>
          <w:lang w:eastAsia="sk-SK"/>
        </w:rPr>
        <w:t xml:space="preserve">Komentár: </w:t>
      </w:r>
      <w:r w:rsidRPr="00B73FDB">
        <w:rPr>
          <w:rFonts w:cs="Calibri"/>
          <w:sz w:val="24"/>
          <w:szCs w:val="24"/>
          <w:lang w:eastAsia="sk-SK"/>
        </w:rPr>
        <w:t>Zameranie učebných a študijných odborov je na technickú a aplikovanú chémiu v dennej, nadstavbovej a pomaturitnej forme štúdia. Poskytuje aj vyššie odborné vzdelanie. Od 1. 9. 2016 škola pôsobí ako Centrum odborného vzdelávania a prípravy pre oblasť technickej a aplikovanej chémie</w:t>
      </w:r>
      <w:r w:rsidRPr="00B73FDB">
        <w:rPr>
          <w:rFonts w:cs="Calibri"/>
          <w:lang w:eastAsia="sk-SK"/>
        </w:rPr>
        <w:t>.</w:t>
      </w:r>
    </w:p>
    <w:p w14:paraId="4AD03067"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8.3.23: Obchodná akadémia, Nevädzová 3,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0"/>
        <w:gridCol w:w="1251"/>
        <w:gridCol w:w="1138"/>
        <w:gridCol w:w="1102"/>
        <w:gridCol w:w="1214"/>
        <w:gridCol w:w="2426"/>
      </w:tblGrid>
      <w:tr w:rsidR="00B73FDB" w:rsidRPr="00B73FDB" w14:paraId="2A4B8B6F" w14:textId="77777777" w:rsidTr="00B73FDB">
        <w:trPr>
          <w:tblCellSpacing w:w="15" w:type="dxa"/>
        </w:trPr>
        <w:tc>
          <w:tcPr>
            <w:tcW w:w="267" w:type="pct"/>
            <w:shd w:val="clear" w:color="auto" w:fill="C6DBF7"/>
            <w:vAlign w:val="center"/>
            <w:hideMark/>
          </w:tcPr>
          <w:p w14:paraId="2FDDB1E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66FF375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82" w:type="pct"/>
            <w:shd w:val="clear" w:color="auto" w:fill="C6DBF7"/>
            <w:vAlign w:val="center"/>
            <w:hideMark/>
          </w:tcPr>
          <w:p w14:paraId="67FA326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29" w:type="pct"/>
            <w:shd w:val="clear" w:color="auto" w:fill="C6DBF7"/>
            <w:vAlign w:val="center"/>
            <w:hideMark/>
          </w:tcPr>
          <w:p w14:paraId="046CB60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11" w:type="pct"/>
            <w:shd w:val="clear" w:color="auto" w:fill="C6DBF7"/>
            <w:vAlign w:val="center"/>
            <w:hideMark/>
          </w:tcPr>
          <w:p w14:paraId="598FA96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7763524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5" w:type="pct"/>
            <w:shd w:val="clear" w:color="auto" w:fill="C6DBF7"/>
            <w:vAlign w:val="center"/>
            <w:hideMark/>
          </w:tcPr>
          <w:p w14:paraId="3858308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69C6C28" w14:textId="77777777" w:rsidTr="00B73FDB">
        <w:trPr>
          <w:tblCellSpacing w:w="15" w:type="dxa"/>
        </w:trPr>
        <w:tc>
          <w:tcPr>
            <w:tcW w:w="267" w:type="pct"/>
            <w:shd w:val="clear" w:color="auto" w:fill="D9D9D9"/>
            <w:noWrap/>
            <w:vAlign w:val="center"/>
            <w:hideMark/>
          </w:tcPr>
          <w:p w14:paraId="2F30DE9E"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00D91D3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82" w:type="pct"/>
            <w:shd w:val="clear" w:color="auto" w:fill="D9D9D9"/>
            <w:noWrap/>
            <w:vAlign w:val="center"/>
            <w:hideMark/>
          </w:tcPr>
          <w:p w14:paraId="24422A8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891 113,00</w:t>
            </w:r>
            <w:r w:rsidRPr="00B73FDB">
              <w:rPr>
                <w:rFonts w:cs="Calibri"/>
                <w:sz w:val="18"/>
                <w:szCs w:val="18"/>
                <w:lang w:eastAsia="sk-SK"/>
              </w:rPr>
              <w:t xml:space="preserve"> </w:t>
            </w:r>
          </w:p>
        </w:tc>
        <w:tc>
          <w:tcPr>
            <w:tcW w:w="529" w:type="pct"/>
            <w:shd w:val="clear" w:color="auto" w:fill="D9D9D9"/>
            <w:noWrap/>
            <w:vAlign w:val="center"/>
            <w:hideMark/>
          </w:tcPr>
          <w:p w14:paraId="1965962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900 247,48</w:t>
            </w:r>
            <w:r w:rsidRPr="00B73FDB">
              <w:rPr>
                <w:rFonts w:cs="Calibri"/>
                <w:sz w:val="18"/>
                <w:szCs w:val="18"/>
                <w:lang w:eastAsia="sk-SK"/>
              </w:rPr>
              <w:t xml:space="preserve"> </w:t>
            </w:r>
          </w:p>
        </w:tc>
        <w:tc>
          <w:tcPr>
            <w:tcW w:w="511" w:type="pct"/>
            <w:shd w:val="clear" w:color="auto" w:fill="D9D9D9"/>
            <w:noWrap/>
            <w:vAlign w:val="center"/>
            <w:hideMark/>
          </w:tcPr>
          <w:p w14:paraId="693EC5E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883 907,17</w:t>
            </w:r>
            <w:r w:rsidRPr="00B73FDB">
              <w:rPr>
                <w:rFonts w:cs="Calibri"/>
                <w:sz w:val="18"/>
                <w:szCs w:val="18"/>
                <w:lang w:eastAsia="sk-SK"/>
              </w:rPr>
              <w:t xml:space="preserve"> </w:t>
            </w:r>
          </w:p>
        </w:tc>
        <w:tc>
          <w:tcPr>
            <w:tcW w:w="565" w:type="pct"/>
            <w:shd w:val="clear" w:color="auto" w:fill="D9D9D9"/>
            <w:noWrap/>
            <w:vAlign w:val="center"/>
            <w:hideMark/>
          </w:tcPr>
          <w:p w14:paraId="283AFBA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98,18</w:t>
            </w:r>
            <w:r w:rsidRPr="00B73FDB">
              <w:rPr>
                <w:rFonts w:cs="Calibri"/>
                <w:sz w:val="18"/>
                <w:szCs w:val="18"/>
                <w:lang w:eastAsia="sk-SK"/>
              </w:rPr>
              <w:t xml:space="preserve"> </w:t>
            </w:r>
          </w:p>
        </w:tc>
        <w:tc>
          <w:tcPr>
            <w:tcW w:w="1135" w:type="pct"/>
            <w:vMerge w:val="restart"/>
            <w:shd w:val="clear" w:color="auto" w:fill="D9D9D9"/>
            <w:vAlign w:val="center"/>
            <w:hideMark/>
          </w:tcPr>
          <w:p w14:paraId="79D632C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+11 133,00 EUR</w:t>
            </w:r>
            <w:r w:rsidRPr="00B73FDB">
              <w:rPr>
                <w:rFonts w:cs="Calibri"/>
                <w:sz w:val="18"/>
                <w:szCs w:val="18"/>
                <w:lang w:eastAsia="sk-SK"/>
              </w:rPr>
              <w:t xml:space="preserve"> normatívne finančné prostriedky,</w:t>
            </w:r>
          </w:p>
          <w:p w14:paraId="2965E93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+239,00 EUR</w:t>
            </w:r>
            <w:r w:rsidRPr="00B73FDB">
              <w:rPr>
                <w:rFonts w:cs="Calibri"/>
                <w:sz w:val="18"/>
                <w:szCs w:val="18"/>
                <w:lang w:eastAsia="sk-SK"/>
              </w:rPr>
              <w:t xml:space="preserve"> normatívne finančné prostriedky na maturity,</w:t>
            </w:r>
          </w:p>
          <w:p w14:paraId="45B0810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-7,00 EUR </w:t>
            </w:r>
            <w:r w:rsidRPr="00B73FDB">
              <w:rPr>
                <w:rFonts w:cs="Calibri"/>
                <w:sz w:val="18"/>
                <w:szCs w:val="18"/>
                <w:lang w:eastAsia="sk-SK"/>
              </w:rPr>
              <w:t>nenormatívne finančné prostriedky na vzdelávacie poukazy,</w:t>
            </w:r>
          </w:p>
          <w:p w14:paraId="1F52BD2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-9 453,00 EUR</w:t>
            </w:r>
            <w:r w:rsidRPr="00B73FDB">
              <w:rPr>
                <w:rFonts w:cs="Calibri"/>
                <w:sz w:val="18"/>
                <w:szCs w:val="18"/>
                <w:lang w:eastAsia="sk-SK"/>
              </w:rPr>
              <w:t xml:space="preserve"> odchodné do dôchodku,</w:t>
            </w:r>
          </w:p>
          <w:p w14:paraId="442FC30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-3 300,00 EUR</w:t>
            </w:r>
            <w:r w:rsidRPr="00B73FDB">
              <w:rPr>
                <w:rFonts w:cs="Calibri"/>
                <w:sz w:val="18"/>
                <w:szCs w:val="18"/>
                <w:lang w:eastAsia="sk-SK"/>
              </w:rPr>
              <w:t xml:space="preserve"> nenormatívne finančné prostriedky na lyžiarske kurzy,</w:t>
            </w:r>
          </w:p>
          <w:p w14:paraId="7758F9E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+7 783,60 EUR</w:t>
            </w:r>
            <w:r w:rsidRPr="00B73FDB">
              <w:rPr>
                <w:rFonts w:cs="Calibri"/>
                <w:sz w:val="18"/>
                <w:szCs w:val="18"/>
                <w:lang w:eastAsia="sk-SK"/>
              </w:rPr>
              <w:t xml:space="preserve"> nevyčerpané finančné prostriedky z r. 2019,</w:t>
            </w:r>
          </w:p>
          <w:p w14:paraId="2B779BB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+2 738,88 EUR</w:t>
            </w:r>
            <w:r w:rsidRPr="00B73FDB">
              <w:rPr>
                <w:rFonts w:cs="Calibri"/>
                <w:sz w:val="18"/>
                <w:szCs w:val="18"/>
                <w:lang w:eastAsia="sk-SK"/>
              </w:rPr>
              <w:t xml:space="preserve"> príjmy z prenájmov.</w:t>
            </w:r>
          </w:p>
        </w:tc>
      </w:tr>
      <w:tr w:rsidR="00B73FDB" w:rsidRPr="00B73FDB" w14:paraId="1574CACF" w14:textId="77777777" w:rsidTr="00B73FDB">
        <w:trPr>
          <w:tblCellSpacing w:w="15" w:type="dxa"/>
        </w:trPr>
        <w:tc>
          <w:tcPr>
            <w:tcW w:w="267" w:type="pct"/>
            <w:shd w:val="clear" w:color="auto" w:fill="D9D9D9"/>
            <w:noWrap/>
            <w:vAlign w:val="center"/>
            <w:hideMark/>
          </w:tcPr>
          <w:p w14:paraId="59EDFD5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1A1DD9E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82" w:type="pct"/>
            <w:shd w:val="clear" w:color="auto" w:fill="D9D9D9"/>
            <w:noWrap/>
            <w:vAlign w:val="center"/>
            <w:hideMark/>
          </w:tcPr>
          <w:p w14:paraId="063CB20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891 113,00</w:t>
            </w:r>
            <w:r w:rsidRPr="00B73FDB">
              <w:rPr>
                <w:rFonts w:cs="Calibri"/>
                <w:sz w:val="18"/>
                <w:szCs w:val="18"/>
                <w:lang w:eastAsia="sk-SK"/>
              </w:rPr>
              <w:t xml:space="preserve"> </w:t>
            </w:r>
          </w:p>
        </w:tc>
        <w:tc>
          <w:tcPr>
            <w:tcW w:w="529" w:type="pct"/>
            <w:shd w:val="clear" w:color="auto" w:fill="D9D9D9"/>
            <w:noWrap/>
            <w:vAlign w:val="center"/>
            <w:hideMark/>
          </w:tcPr>
          <w:p w14:paraId="6186AB3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900 247,48</w:t>
            </w:r>
            <w:r w:rsidRPr="00B73FDB">
              <w:rPr>
                <w:rFonts w:cs="Calibri"/>
                <w:sz w:val="18"/>
                <w:szCs w:val="18"/>
                <w:lang w:eastAsia="sk-SK"/>
              </w:rPr>
              <w:t xml:space="preserve"> </w:t>
            </w:r>
          </w:p>
        </w:tc>
        <w:tc>
          <w:tcPr>
            <w:tcW w:w="511" w:type="pct"/>
            <w:shd w:val="clear" w:color="auto" w:fill="D9D9D9"/>
            <w:noWrap/>
            <w:vAlign w:val="center"/>
            <w:hideMark/>
          </w:tcPr>
          <w:p w14:paraId="0662E2F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883 907,17</w:t>
            </w:r>
            <w:r w:rsidRPr="00B73FDB">
              <w:rPr>
                <w:rFonts w:cs="Calibri"/>
                <w:sz w:val="18"/>
                <w:szCs w:val="18"/>
                <w:lang w:eastAsia="sk-SK"/>
              </w:rPr>
              <w:t xml:space="preserve"> </w:t>
            </w:r>
          </w:p>
        </w:tc>
        <w:tc>
          <w:tcPr>
            <w:tcW w:w="565" w:type="pct"/>
            <w:shd w:val="clear" w:color="auto" w:fill="D9D9D9"/>
            <w:noWrap/>
            <w:vAlign w:val="center"/>
            <w:hideMark/>
          </w:tcPr>
          <w:p w14:paraId="1AAA58A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98,18</w:t>
            </w:r>
            <w:r w:rsidRPr="00B73FDB">
              <w:rPr>
                <w:rFonts w:cs="Calibri"/>
                <w:sz w:val="18"/>
                <w:szCs w:val="18"/>
                <w:lang w:eastAsia="sk-SK"/>
              </w:rPr>
              <w:t xml:space="preserve"> </w:t>
            </w:r>
          </w:p>
        </w:tc>
        <w:tc>
          <w:tcPr>
            <w:tcW w:w="1135" w:type="pct"/>
            <w:vMerge/>
            <w:shd w:val="clear" w:color="auto" w:fill="D9D9D9"/>
            <w:vAlign w:val="center"/>
            <w:hideMark/>
          </w:tcPr>
          <w:p w14:paraId="1418C61C"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72FC03AD" w14:textId="77777777" w:rsidTr="00B73FDB">
        <w:trPr>
          <w:tblCellSpacing w:w="15" w:type="dxa"/>
        </w:trPr>
        <w:tc>
          <w:tcPr>
            <w:tcW w:w="267" w:type="pct"/>
            <w:shd w:val="clear" w:color="auto" w:fill="EFEFEF"/>
            <w:noWrap/>
            <w:vAlign w:val="center"/>
            <w:hideMark/>
          </w:tcPr>
          <w:p w14:paraId="3C95283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lastRenderedPageBreak/>
              <w:t xml:space="preserve">610 </w:t>
            </w:r>
          </w:p>
        </w:tc>
        <w:tc>
          <w:tcPr>
            <w:tcW w:w="1288" w:type="pct"/>
            <w:shd w:val="clear" w:color="auto" w:fill="EFEFEF"/>
            <w:vAlign w:val="center"/>
            <w:hideMark/>
          </w:tcPr>
          <w:p w14:paraId="4135791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82" w:type="pct"/>
            <w:shd w:val="clear" w:color="auto" w:fill="EFEFEF"/>
            <w:noWrap/>
            <w:vAlign w:val="center"/>
            <w:hideMark/>
          </w:tcPr>
          <w:p w14:paraId="3B7415E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576 000,00 </w:t>
            </w:r>
          </w:p>
        </w:tc>
        <w:tc>
          <w:tcPr>
            <w:tcW w:w="529" w:type="pct"/>
            <w:shd w:val="clear" w:color="auto" w:fill="EFEFEF"/>
            <w:noWrap/>
            <w:vAlign w:val="center"/>
            <w:hideMark/>
          </w:tcPr>
          <w:p w14:paraId="6F799DA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578 290,36 </w:t>
            </w:r>
          </w:p>
        </w:tc>
        <w:tc>
          <w:tcPr>
            <w:tcW w:w="511" w:type="pct"/>
            <w:shd w:val="clear" w:color="auto" w:fill="EFEFEF"/>
            <w:noWrap/>
            <w:vAlign w:val="center"/>
            <w:hideMark/>
          </w:tcPr>
          <w:p w14:paraId="27A2F6B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575 430,60 </w:t>
            </w:r>
          </w:p>
        </w:tc>
        <w:tc>
          <w:tcPr>
            <w:tcW w:w="565" w:type="pct"/>
            <w:shd w:val="clear" w:color="auto" w:fill="EFEFEF"/>
            <w:noWrap/>
            <w:vAlign w:val="center"/>
            <w:hideMark/>
          </w:tcPr>
          <w:p w14:paraId="31E0013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99,51 </w:t>
            </w:r>
          </w:p>
        </w:tc>
        <w:tc>
          <w:tcPr>
            <w:tcW w:w="1135" w:type="pct"/>
            <w:vMerge/>
            <w:shd w:val="clear" w:color="auto" w:fill="EFEFEF"/>
            <w:vAlign w:val="center"/>
            <w:hideMark/>
          </w:tcPr>
          <w:p w14:paraId="799C0F18" w14:textId="77777777" w:rsidR="00B73FDB" w:rsidRPr="00B73FDB" w:rsidRDefault="00B73FDB" w:rsidP="00B73FDB">
            <w:pPr>
              <w:spacing w:after="0" w:line="240" w:lineRule="auto"/>
              <w:rPr>
                <w:rFonts w:cs="Calibri"/>
                <w:sz w:val="18"/>
                <w:szCs w:val="18"/>
                <w:lang w:eastAsia="sk-SK"/>
              </w:rPr>
            </w:pPr>
          </w:p>
        </w:tc>
      </w:tr>
      <w:tr w:rsidR="00B73FDB" w:rsidRPr="00B73FDB" w14:paraId="6FE31329" w14:textId="77777777" w:rsidTr="00B73FDB">
        <w:trPr>
          <w:tblCellSpacing w:w="15" w:type="dxa"/>
        </w:trPr>
        <w:tc>
          <w:tcPr>
            <w:tcW w:w="267" w:type="pct"/>
            <w:shd w:val="clear" w:color="auto" w:fill="EFEFEF"/>
            <w:noWrap/>
            <w:vAlign w:val="center"/>
            <w:hideMark/>
          </w:tcPr>
          <w:p w14:paraId="4925FC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515C852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82" w:type="pct"/>
            <w:shd w:val="clear" w:color="auto" w:fill="EFEFEF"/>
            <w:noWrap/>
            <w:vAlign w:val="center"/>
            <w:hideMark/>
          </w:tcPr>
          <w:p w14:paraId="656CAA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201 312,00 </w:t>
            </w:r>
          </w:p>
        </w:tc>
        <w:tc>
          <w:tcPr>
            <w:tcW w:w="529" w:type="pct"/>
            <w:shd w:val="clear" w:color="auto" w:fill="EFEFEF"/>
            <w:noWrap/>
            <w:vAlign w:val="center"/>
            <w:hideMark/>
          </w:tcPr>
          <w:p w14:paraId="14DC2DE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195 769,94 </w:t>
            </w:r>
          </w:p>
        </w:tc>
        <w:tc>
          <w:tcPr>
            <w:tcW w:w="511" w:type="pct"/>
            <w:shd w:val="clear" w:color="auto" w:fill="EFEFEF"/>
            <w:noWrap/>
            <w:vAlign w:val="center"/>
            <w:hideMark/>
          </w:tcPr>
          <w:p w14:paraId="5DD8B65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195 769,94 </w:t>
            </w:r>
          </w:p>
        </w:tc>
        <w:tc>
          <w:tcPr>
            <w:tcW w:w="565" w:type="pct"/>
            <w:shd w:val="clear" w:color="auto" w:fill="EFEFEF"/>
            <w:noWrap/>
            <w:vAlign w:val="center"/>
            <w:hideMark/>
          </w:tcPr>
          <w:p w14:paraId="5DD87B9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5509B149" w14:textId="77777777" w:rsidR="00B73FDB" w:rsidRPr="00B73FDB" w:rsidRDefault="00B73FDB" w:rsidP="00B73FDB">
            <w:pPr>
              <w:spacing w:after="0" w:line="240" w:lineRule="auto"/>
              <w:rPr>
                <w:rFonts w:cs="Calibri"/>
                <w:sz w:val="18"/>
                <w:szCs w:val="18"/>
                <w:lang w:eastAsia="sk-SK"/>
              </w:rPr>
            </w:pPr>
          </w:p>
        </w:tc>
      </w:tr>
      <w:tr w:rsidR="00B73FDB" w:rsidRPr="00B73FDB" w14:paraId="77F93EF8" w14:textId="77777777" w:rsidTr="00B73FDB">
        <w:trPr>
          <w:tblCellSpacing w:w="15" w:type="dxa"/>
        </w:trPr>
        <w:tc>
          <w:tcPr>
            <w:tcW w:w="267" w:type="pct"/>
            <w:shd w:val="clear" w:color="auto" w:fill="EFEFEF"/>
            <w:noWrap/>
            <w:vAlign w:val="center"/>
            <w:hideMark/>
          </w:tcPr>
          <w:p w14:paraId="7562FD5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719DA66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82" w:type="pct"/>
            <w:shd w:val="clear" w:color="auto" w:fill="EFEFEF"/>
            <w:noWrap/>
            <w:vAlign w:val="center"/>
            <w:hideMark/>
          </w:tcPr>
          <w:p w14:paraId="4804C4D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113 801,00 </w:t>
            </w:r>
          </w:p>
        </w:tc>
        <w:tc>
          <w:tcPr>
            <w:tcW w:w="529" w:type="pct"/>
            <w:shd w:val="clear" w:color="auto" w:fill="EFEFEF"/>
            <w:noWrap/>
            <w:vAlign w:val="center"/>
            <w:hideMark/>
          </w:tcPr>
          <w:p w14:paraId="7A00FBD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125 052,81 </w:t>
            </w:r>
          </w:p>
        </w:tc>
        <w:tc>
          <w:tcPr>
            <w:tcW w:w="511" w:type="pct"/>
            <w:shd w:val="clear" w:color="auto" w:fill="EFEFEF"/>
            <w:noWrap/>
            <w:vAlign w:val="center"/>
            <w:hideMark/>
          </w:tcPr>
          <w:p w14:paraId="12CB6C9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111 572,26 </w:t>
            </w:r>
          </w:p>
        </w:tc>
        <w:tc>
          <w:tcPr>
            <w:tcW w:w="565" w:type="pct"/>
            <w:shd w:val="clear" w:color="auto" w:fill="EFEFEF"/>
            <w:noWrap/>
            <w:vAlign w:val="center"/>
            <w:hideMark/>
          </w:tcPr>
          <w:p w14:paraId="2111709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89,22 </w:t>
            </w:r>
          </w:p>
        </w:tc>
        <w:tc>
          <w:tcPr>
            <w:tcW w:w="1135" w:type="pct"/>
            <w:vMerge/>
            <w:shd w:val="clear" w:color="auto" w:fill="EFEFEF"/>
            <w:vAlign w:val="center"/>
            <w:hideMark/>
          </w:tcPr>
          <w:p w14:paraId="35181563" w14:textId="77777777" w:rsidR="00B73FDB" w:rsidRPr="00B73FDB" w:rsidRDefault="00B73FDB" w:rsidP="00B73FDB">
            <w:pPr>
              <w:spacing w:after="0" w:line="240" w:lineRule="auto"/>
              <w:rPr>
                <w:rFonts w:cs="Calibri"/>
                <w:sz w:val="18"/>
                <w:szCs w:val="18"/>
                <w:lang w:eastAsia="sk-SK"/>
              </w:rPr>
            </w:pPr>
          </w:p>
        </w:tc>
      </w:tr>
    </w:tbl>
    <w:p w14:paraId="2FF19F4A"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9"/>
        <w:gridCol w:w="706"/>
        <w:gridCol w:w="1670"/>
        <w:gridCol w:w="1202"/>
        <w:gridCol w:w="4159"/>
      </w:tblGrid>
      <w:tr w:rsidR="00B73FDB" w:rsidRPr="00B73FDB" w14:paraId="0999EF0F" w14:textId="77777777" w:rsidTr="00B73FDB">
        <w:trPr>
          <w:tblCellSpacing w:w="15" w:type="dxa"/>
        </w:trPr>
        <w:tc>
          <w:tcPr>
            <w:tcW w:w="0" w:type="auto"/>
            <w:shd w:val="clear" w:color="auto" w:fill="C2D69B"/>
            <w:vAlign w:val="center"/>
            <w:hideMark/>
          </w:tcPr>
          <w:p w14:paraId="6378A2A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26042F5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3DC09CAE" w14:textId="77777777" w:rsidTr="00B73FDB">
        <w:trPr>
          <w:tblCellSpacing w:w="15" w:type="dxa"/>
        </w:trPr>
        <w:tc>
          <w:tcPr>
            <w:tcW w:w="0" w:type="auto"/>
            <w:shd w:val="clear" w:color="auto" w:fill="C2D69B"/>
            <w:vAlign w:val="center"/>
            <w:hideMark/>
          </w:tcPr>
          <w:p w14:paraId="7174D7F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A8EA79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OA </w:t>
            </w:r>
          </w:p>
        </w:tc>
      </w:tr>
      <w:tr w:rsidR="00B73FDB" w:rsidRPr="00B73FDB" w14:paraId="07788A13" w14:textId="77777777" w:rsidTr="00B73FDB">
        <w:trPr>
          <w:tblCellSpacing w:w="15" w:type="dxa"/>
        </w:trPr>
        <w:tc>
          <w:tcPr>
            <w:tcW w:w="0" w:type="auto"/>
            <w:shd w:val="clear" w:color="auto" w:fill="C2D69B"/>
            <w:vAlign w:val="center"/>
            <w:hideMark/>
          </w:tcPr>
          <w:p w14:paraId="2147A1F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41D6A0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0E8CF8A" w14:textId="77777777" w:rsidTr="00B73FDB">
        <w:trPr>
          <w:tblCellSpacing w:w="15" w:type="dxa"/>
        </w:trPr>
        <w:tc>
          <w:tcPr>
            <w:tcW w:w="0" w:type="auto"/>
            <w:shd w:val="clear" w:color="auto" w:fill="C2D69B"/>
            <w:vAlign w:val="center"/>
            <w:hideMark/>
          </w:tcPr>
          <w:p w14:paraId="3655A8F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F409A3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C694BE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E91DCE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CD4205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2094B87" w14:textId="77777777" w:rsidTr="00B73FDB">
        <w:trPr>
          <w:tblCellSpacing w:w="15" w:type="dxa"/>
        </w:trPr>
        <w:tc>
          <w:tcPr>
            <w:tcW w:w="0" w:type="auto"/>
            <w:shd w:val="clear" w:color="auto" w:fill="C2D69B"/>
            <w:vAlign w:val="center"/>
            <w:hideMark/>
          </w:tcPr>
          <w:p w14:paraId="5E6ED49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CDEC7E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329 </w:t>
            </w:r>
          </w:p>
        </w:tc>
        <w:tc>
          <w:tcPr>
            <w:tcW w:w="0" w:type="auto"/>
            <w:shd w:val="clear" w:color="auto" w:fill="C2D69B"/>
            <w:noWrap/>
            <w:vAlign w:val="center"/>
            <w:hideMark/>
          </w:tcPr>
          <w:p w14:paraId="69A7A5F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329 </w:t>
            </w:r>
          </w:p>
        </w:tc>
        <w:tc>
          <w:tcPr>
            <w:tcW w:w="0" w:type="auto"/>
            <w:shd w:val="clear" w:color="auto" w:fill="C2D69B"/>
            <w:vAlign w:val="center"/>
            <w:hideMark/>
          </w:tcPr>
          <w:p w14:paraId="5F978FC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474DB2E"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31C71E0" w14:textId="77777777" w:rsidTr="00B73FDB">
        <w:trPr>
          <w:tblCellSpacing w:w="15" w:type="dxa"/>
        </w:trPr>
        <w:tc>
          <w:tcPr>
            <w:tcW w:w="0" w:type="auto"/>
            <w:shd w:val="clear" w:color="auto" w:fill="C2D69B"/>
            <w:vAlign w:val="center"/>
            <w:hideMark/>
          </w:tcPr>
          <w:p w14:paraId="59A34F6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9295E8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6E5559AF" w14:textId="77777777" w:rsidTr="00B73FDB">
        <w:trPr>
          <w:tblCellSpacing w:w="15" w:type="dxa"/>
        </w:trPr>
        <w:tc>
          <w:tcPr>
            <w:tcW w:w="0" w:type="auto"/>
            <w:shd w:val="clear" w:color="auto" w:fill="C2D69B"/>
            <w:vAlign w:val="center"/>
            <w:hideMark/>
          </w:tcPr>
          <w:p w14:paraId="2549A2D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4F93E1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8CEE6D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47AD00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68C459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57C646F" w14:textId="77777777" w:rsidTr="00B73FDB">
        <w:trPr>
          <w:tblCellSpacing w:w="15" w:type="dxa"/>
        </w:trPr>
        <w:tc>
          <w:tcPr>
            <w:tcW w:w="0" w:type="auto"/>
            <w:shd w:val="clear" w:color="auto" w:fill="C2D69B"/>
            <w:vAlign w:val="center"/>
            <w:hideMark/>
          </w:tcPr>
          <w:p w14:paraId="5B5E8D8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5675C5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329 </w:t>
            </w:r>
          </w:p>
        </w:tc>
        <w:tc>
          <w:tcPr>
            <w:tcW w:w="0" w:type="auto"/>
            <w:shd w:val="clear" w:color="auto" w:fill="C2D69B"/>
            <w:noWrap/>
            <w:vAlign w:val="center"/>
            <w:hideMark/>
          </w:tcPr>
          <w:p w14:paraId="794D49B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329 </w:t>
            </w:r>
          </w:p>
        </w:tc>
        <w:tc>
          <w:tcPr>
            <w:tcW w:w="0" w:type="auto"/>
            <w:shd w:val="clear" w:color="auto" w:fill="C2D69B"/>
            <w:vAlign w:val="center"/>
            <w:hideMark/>
          </w:tcPr>
          <w:p w14:paraId="2511FDD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E43435F" w14:textId="77777777" w:rsidR="00B73FDB" w:rsidRPr="00B73FDB" w:rsidRDefault="00B73FDB" w:rsidP="00B73FDB">
            <w:pPr>
              <w:spacing w:after="0" w:line="240" w:lineRule="auto"/>
              <w:jc w:val="center"/>
              <w:rPr>
                <w:rFonts w:cs="Calibri"/>
                <w:sz w:val="18"/>
                <w:szCs w:val="18"/>
                <w:lang w:eastAsia="sk-SK"/>
              </w:rPr>
            </w:pPr>
          </w:p>
        </w:tc>
      </w:tr>
    </w:tbl>
    <w:p w14:paraId="46ACA18D" w14:textId="41E0A9A0" w:rsidR="00B73FDB" w:rsidRPr="00352CED" w:rsidRDefault="00B73FDB" w:rsidP="00352CED">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hlavne na ekonomiku a organizáciu v dennej forme štúdia a externej forme štúdia. </w:t>
      </w:r>
    </w:p>
    <w:p w14:paraId="67BE663A"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8.3.24: Obchodná akadémia, Račianska 107,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4"/>
        <w:gridCol w:w="1212"/>
        <w:gridCol w:w="1214"/>
        <w:gridCol w:w="1061"/>
        <w:gridCol w:w="1212"/>
        <w:gridCol w:w="2428"/>
      </w:tblGrid>
      <w:tr w:rsidR="00B73FDB" w:rsidRPr="00B73FDB" w14:paraId="3515D3D7" w14:textId="77777777" w:rsidTr="00B73FDB">
        <w:trPr>
          <w:tblCellSpacing w:w="15" w:type="dxa"/>
        </w:trPr>
        <w:tc>
          <w:tcPr>
            <w:tcW w:w="267" w:type="pct"/>
            <w:shd w:val="clear" w:color="auto" w:fill="C6DBF7"/>
            <w:vAlign w:val="center"/>
            <w:hideMark/>
          </w:tcPr>
          <w:p w14:paraId="0E64BCA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49A616A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03BEEEA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4ED6B0D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1D4C2EE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0EB14B1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29A50A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8BAB468" w14:textId="77777777" w:rsidTr="00B73FDB">
        <w:trPr>
          <w:tblCellSpacing w:w="15" w:type="dxa"/>
        </w:trPr>
        <w:tc>
          <w:tcPr>
            <w:tcW w:w="267" w:type="pct"/>
            <w:shd w:val="clear" w:color="auto" w:fill="D9D9D9"/>
            <w:noWrap/>
            <w:vAlign w:val="center"/>
            <w:hideMark/>
          </w:tcPr>
          <w:p w14:paraId="216CB487"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6256553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2510055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894 849,00</w:t>
            </w:r>
            <w:r w:rsidRPr="00B73FDB">
              <w:rPr>
                <w:rFonts w:cs="Calibri"/>
                <w:sz w:val="18"/>
                <w:szCs w:val="18"/>
                <w:lang w:eastAsia="sk-SK"/>
              </w:rPr>
              <w:t xml:space="preserve"> </w:t>
            </w:r>
          </w:p>
        </w:tc>
        <w:tc>
          <w:tcPr>
            <w:tcW w:w="565" w:type="pct"/>
            <w:shd w:val="clear" w:color="auto" w:fill="D9D9D9"/>
            <w:noWrap/>
            <w:vAlign w:val="center"/>
            <w:hideMark/>
          </w:tcPr>
          <w:p w14:paraId="72A96C5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939 480,56</w:t>
            </w:r>
            <w:r w:rsidRPr="00B73FDB">
              <w:rPr>
                <w:rFonts w:cs="Calibri"/>
                <w:sz w:val="18"/>
                <w:szCs w:val="18"/>
                <w:lang w:eastAsia="sk-SK"/>
              </w:rPr>
              <w:t xml:space="preserve"> </w:t>
            </w:r>
          </w:p>
        </w:tc>
        <w:tc>
          <w:tcPr>
            <w:tcW w:w="492" w:type="pct"/>
            <w:shd w:val="clear" w:color="auto" w:fill="D9D9D9"/>
            <w:noWrap/>
            <w:vAlign w:val="center"/>
            <w:hideMark/>
          </w:tcPr>
          <w:p w14:paraId="68AF077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888 615,84</w:t>
            </w:r>
            <w:r w:rsidRPr="00B73FDB">
              <w:rPr>
                <w:rFonts w:cs="Calibri"/>
                <w:sz w:val="18"/>
                <w:szCs w:val="18"/>
                <w:lang w:eastAsia="sk-SK"/>
              </w:rPr>
              <w:t xml:space="preserve"> </w:t>
            </w:r>
          </w:p>
        </w:tc>
        <w:tc>
          <w:tcPr>
            <w:tcW w:w="564" w:type="pct"/>
            <w:shd w:val="clear" w:color="auto" w:fill="D9D9D9"/>
            <w:noWrap/>
            <w:vAlign w:val="center"/>
            <w:hideMark/>
          </w:tcPr>
          <w:p w14:paraId="1DBF799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94,59</w:t>
            </w:r>
            <w:r w:rsidRPr="00B73FDB">
              <w:rPr>
                <w:rFonts w:cs="Calibri"/>
                <w:sz w:val="18"/>
                <w:szCs w:val="18"/>
                <w:lang w:eastAsia="sk-SK"/>
              </w:rPr>
              <w:t xml:space="preserve"> </w:t>
            </w:r>
          </w:p>
        </w:tc>
        <w:tc>
          <w:tcPr>
            <w:tcW w:w="1136" w:type="pct"/>
            <w:vMerge w:val="restart"/>
            <w:shd w:val="clear" w:color="auto" w:fill="D9D9D9"/>
            <w:vAlign w:val="center"/>
            <w:hideMark/>
          </w:tcPr>
          <w:p w14:paraId="55A76EC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+36 713,00 EUR</w:t>
            </w:r>
            <w:r w:rsidRPr="00B73FDB">
              <w:rPr>
                <w:rFonts w:cs="Calibri"/>
                <w:sz w:val="18"/>
                <w:szCs w:val="18"/>
                <w:lang w:eastAsia="sk-SK"/>
              </w:rPr>
              <w:t xml:space="preserve"> normatívne finančné prostriedky,</w:t>
            </w:r>
          </w:p>
          <w:p w14:paraId="13512CC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+249,00 EUR</w:t>
            </w:r>
            <w:r w:rsidRPr="00B73FDB">
              <w:rPr>
                <w:rFonts w:cs="Calibri"/>
                <w:sz w:val="18"/>
                <w:szCs w:val="18"/>
                <w:lang w:eastAsia="sk-SK"/>
              </w:rPr>
              <w:t xml:space="preserve"> normatívne finančné prostriedky na maturity,</w:t>
            </w:r>
          </w:p>
          <w:p w14:paraId="2C304E8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+596,00 EUR </w:t>
            </w:r>
            <w:r w:rsidRPr="00B73FDB">
              <w:rPr>
                <w:rFonts w:cs="Calibri"/>
                <w:sz w:val="18"/>
                <w:szCs w:val="18"/>
                <w:lang w:eastAsia="sk-SK"/>
              </w:rPr>
              <w:t>nenormatívne finančné prostriedky na vzdelávacie poukazy,</w:t>
            </w:r>
          </w:p>
          <w:p w14:paraId="544232C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+1 600,00 EUR</w:t>
            </w:r>
            <w:r w:rsidRPr="00B73FDB">
              <w:rPr>
                <w:rFonts w:cs="Calibri"/>
                <w:sz w:val="18"/>
                <w:szCs w:val="18"/>
                <w:lang w:eastAsia="sk-SK"/>
              </w:rPr>
              <w:t xml:space="preserve"> nenormatívne finančné prostriedky za mimoriadne výsledky žiakov,</w:t>
            </w:r>
          </w:p>
          <w:p w14:paraId="0AA358B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+275,00 EUR</w:t>
            </w:r>
            <w:r w:rsidRPr="00B73FDB">
              <w:rPr>
                <w:rFonts w:cs="Calibri"/>
                <w:sz w:val="18"/>
                <w:szCs w:val="18"/>
                <w:lang w:eastAsia="sk-SK"/>
              </w:rPr>
              <w:t xml:space="preserve"> odchodné do dôchodku,</w:t>
            </w:r>
          </w:p>
          <w:p w14:paraId="378FE69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+3 900,00 EUR</w:t>
            </w:r>
            <w:r w:rsidRPr="00B73FDB">
              <w:rPr>
                <w:rFonts w:cs="Calibri"/>
                <w:sz w:val="18"/>
                <w:szCs w:val="18"/>
                <w:lang w:eastAsia="sk-SK"/>
              </w:rPr>
              <w:t xml:space="preserve"> nenormatívne finančné prostriedky na lyžiarske kurzy,</w:t>
            </w:r>
          </w:p>
          <w:p w14:paraId="268EBEF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+0,51 EUR</w:t>
            </w:r>
            <w:r w:rsidRPr="00B73FDB">
              <w:rPr>
                <w:rFonts w:cs="Calibri"/>
                <w:sz w:val="18"/>
                <w:szCs w:val="18"/>
                <w:lang w:eastAsia="sk-SK"/>
              </w:rPr>
              <w:t xml:space="preserve"> nevyčerpané finančné prostriedky z r. 2019,</w:t>
            </w:r>
          </w:p>
          <w:p w14:paraId="4D420BB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+700,00 EUR</w:t>
            </w:r>
            <w:r w:rsidRPr="00B73FDB">
              <w:rPr>
                <w:rFonts w:cs="Calibri"/>
                <w:sz w:val="18"/>
                <w:szCs w:val="18"/>
                <w:lang w:eastAsia="sk-SK"/>
              </w:rPr>
              <w:t xml:space="preserve"> školské súťaže z OÚ,</w:t>
            </w:r>
          </w:p>
          <w:p w14:paraId="79C72A9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+598,05 EUR </w:t>
            </w:r>
            <w:r w:rsidRPr="00B73FDB">
              <w:rPr>
                <w:rFonts w:cs="Calibri"/>
                <w:sz w:val="18"/>
                <w:szCs w:val="18"/>
                <w:lang w:eastAsia="sk-SK"/>
              </w:rPr>
              <w:t>projekt z MPC.</w:t>
            </w:r>
          </w:p>
        </w:tc>
      </w:tr>
      <w:tr w:rsidR="00B73FDB" w:rsidRPr="00B73FDB" w14:paraId="14B1ECFE" w14:textId="77777777" w:rsidTr="00B73FDB">
        <w:trPr>
          <w:tblCellSpacing w:w="15" w:type="dxa"/>
        </w:trPr>
        <w:tc>
          <w:tcPr>
            <w:tcW w:w="267" w:type="pct"/>
            <w:shd w:val="clear" w:color="auto" w:fill="D9D9D9"/>
            <w:noWrap/>
            <w:vAlign w:val="center"/>
            <w:hideMark/>
          </w:tcPr>
          <w:p w14:paraId="5DA7DED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0C1D790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61B9235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894 849,00</w:t>
            </w:r>
            <w:r w:rsidRPr="00B73FDB">
              <w:rPr>
                <w:rFonts w:cs="Calibri"/>
                <w:sz w:val="18"/>
                <w:szCs w:val="18"/>
                <w:lang w:eastAsia="sk-SK"/>
              </w:rPr>
              <w:t xml:space="preserve"> </w:t>
            </w:r>
          </w:p>
        </w:tc>
        <w:tc>
          <w:tcPr>
            <w:tcW w:w="565" w:type="pct"/>
            <w:shd w:val="clear" w:color="auto" w:fill="D9D9D9"/>
            <w:noWrap/>
            <w:vAlign w:val="center"/>
            <w:hideMark/>
          </w:tcPr>
          <w:p w14:paraId="168C942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939 480,56</w:t>
            </w:r>
            <w:r w:rsidRPr="00B73FDB">
              <w:rPr>
                <w:rFonts w:cs="Calibri"/>
                <w:sz w:val="18"/>
                <w:szCs w:val="18"/>
                <w:lang w:eastAsia="sk-SK"/>
              </w:rPr>
              <w:t xml:space="preserve"> </w:t>
            </w:r>
          </w:p>
        </w:tc>
        <w:tc>
          <w:tcPr>
            <w:tcW w:w="492" w:type="pct"/>
            <w:shd w:val="clear" w:color="auto" w:fill="D9D9D9"/>
            <w:noWrap/>
            <w:vAlign w:val="center"/>
            <w:hideMark/>
          </w:tcPr>
          <w:p w14:paraId="2A1B3DD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888 615,84</w:t>
            </w:r>
            <w:r w:rsidRPr="00B73FDB">
              <w:rPr>
                <w:rFonts w:cs="Calibri"/>
                <w:sz w:val="18"/>
                <w:szCs w:val="18"/>
                <w:lang w:eastAsia="sk-SK"/>
              </w:rPr>
              <w:t xml:space="preserve"> </w:t>
            </w:r>
          </w:p>
        </w:tc>
        <w:tc>
          <w:tcPr>
            <w:tcW w:w="564" w:type="pct"/>
            <w:shd w:val="clear" w:color="auto" w:fill="D9D9D9"/>
            <w:noWrap/>
            <w:vAlign w:val="center"/>
            <w:hideMark/>
          </w:tcPr>
          <w:p w14:paraId="7220D72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94,59</w:t>
            </w:r>
            <w:r w:rsidRPr="00B73FDB">
              <w:rPr>
                <w:rFonts w:cs="Calibri"/>
                <w:sz w:val="18"/>
                <w:szCs w:val="18"/>
                <w:lang w:eastAsia="sk-SK"/>
              </w:rPr>
              <w:t xml:space="preserve"> </w:t>
            </w:r>
          </w:p>
        </w:tc>
        <w:tc>
          <w:tcPr>
            <w:tcW w:w="1136" w:type="pct"/>
            <w:vMerge/>
            <w:shd w:val="clear" w:color="auto" w:fill="D9D9D9"/>
            <w:vAlign w:val="center"/>
            <w:hideMark/>
          </w:tcPr>
          <w:p w14:paraId="70EB79F0"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8661483" w14:textId="77777777" w:rsidTr="00B73FDB">
        <w:trPr>
          <w:tblCellSpacing w:w="15" w:type="dxa"/>
        </w:trPr>
        <w:tc>
          <w:tcPr>
            <w:tcW w:w="267" w:type="pct"/>
            <w:shd w:val="clear" w:color="auto" w:fill="EFEFEF"/>
            <w:noWrap/>
            <w:vAlign w:val="center"/>
            <w:hideMark/>
          </w:tcPr>
          <w:p w14:paraId="08DD890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35DF2A6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4D69E5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546 662,00 </w:t>
            </w:r>
          </w:p>
        </w:tc>
        <w:tc>
          <w:tcPr>
            <w:tcW w:w="565" w:type="pct"/>
            <w:shd w:val="clear" w:color="auto" w:fill="EFEFEF"/>
            <w:noWrap/>
            <w:vAlign w:val="center"/>
            <w:hideMark/>
          </w:tcPr>
          <w:p w14:paraId="7285937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573 015,89 </w:t>
            </w:r>
          </w:p>
        </w:tc>
        <w:tc>
          <w:tcPr>
            <w:tcW w:w="492" w:type="pct"/>
            <w:shd w:val="clear" w:color="auto" w:fill="EFEFEF"/>
            <w:noWrap/>
            <w:vAlign w:val="center"/>
            <w:hideMark/>
          </w:tcPr>
          <w:p w14:paraId="09782C3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572 458,89 </w:t>
            </w:r>
          </w:p>
        </w:tc>
        <w:tc>
          <w:tcPr>
            <w:tcW w:w="564" w:type="pct"/>
            <w:shd w:val="clear" w:color="auto" w:fill="EFEFEF"/>
            <w:noWrap/>
            <w:vAlign w:val="center"/>
            <w:hideMark/>
          </w:tcPr>
          <w:p w14:paraId="6244A23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99,90 </w:t>
            </w:r>
          </w:p>
        </w:tc>
        <w:tc>
          <w:tcPr>
            <w:tcW w:w="1136" w:type="pct"/>
            <w:vMerge/>
            <w:shd w:val="clear" w:color="auto" w:fill="EFEFEF"/>
            <w:vAlign w:val="center"/>
            <w:hideMark/>
          </w:tcPr>
          <w:p w14:paraId="7E107504" w14:textId="77777777" w:rsidR="00B73FDB" w:rsidRPr="00B73FDB" w:rsidRDefault="00B73FDB" w:rsidP="00B73FDB">
            <w:pPr>
              <w:spacing w:after="0" w:line="240" w:lineRule="auto"/>
              <w:rPr>
                <w:rFonts w:cs="Calibri"/>
                <w:sz w:val="18"/>
                <w:szCs w:val="18"/>
                <w:lang w:eastAsia="sk-SK"/>
              </w:rPr>
            </w:pPr>
          </w:p>
        </w:tc>
      </w:tr>
      <w:tr w:rsidR="00B73FDB" w:rsidRPr="00B73FDB" w14:paraId="4D1630F3" w14:textId="77777777" w:rsidTr="00B73FDB">
        <w:trPr>
          <w:tblCellSpacing w:w="15" w:type="dxa"/>
        </w:trPr>
        <w:tc>
          <w:tcPr>
            <w:tcW w:w="267" w:type="pct"/>
            <w:shd w:val="clear" w:color="auto" w:fill="EFEFEF"/>
            <w:noWrap/>
            <w:vAlign w:val="center"/>
            <w:hideMark/>
          </w:tcPr>
          <w:p w14:paraId="5F2DBB6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787A779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0D4BBA2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193 665,00 </w:t>
            </w:r>
          </w:p>
        </w:tc>
        <w:tc>
          <w:tcPr>
            <w:tcW w:w="565" w:type="pct"/>
            <w:shd w:val="clear" w:color="auto" w:fill="EFEFEF"/>
            <w:noWrap/>
            <w:vAlign w:val="center"/>
            <w:hideMark/>
          </w:tcPr>
          <w:p w14:paraId="2D30FDE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192 672,81 </w:t>
            </w:r>
          </w:p>
        </w:tc>
        <w:tc>
          <w:tcPr>
            <w:tcW w:w="492" w:type="pct"/>
            <w:shd w:val="clear" w:color="auto" w:fill="EFEFEF"/>
            <w:noWrap/>
            <w:vAlign w:val="center"/>
            <w:hideMark/>
          </w:tcPr>
          <w:p w14:paraId="4B884B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192 415,95 </w:t>
            </w:r>
          </w:p>
        </w:tc>
        <w:tc>
          <w:tcPr>
            <w:tcW w:w="564" w:type="pct"/>
            <w:shd w:val="clear" w:color="auto" w:fill="EFEFEF"/>
            <w:noWrap/>
            <w:vAlign w:val="center"/>
            <w:hideMark/>
          </w:tcPr>
          <w:p w14:paraId="46C342C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99,87 </w:t>
            </w:r>
          </w:p>
        </w:tc>
        <w:tc>
          <w:tcPr>
            <w:tcW w:w="1136" w:type="pct"/>
            <w:vMerge/>
            <w:shd w:val="clear" w:color="auto" w:fill="EFEFEF"/>
            <w:vAlign w:val="center"/>
            <w:hideMark/>
          </w:tcPr>
          <w:p w14:paraId="4BE5E1D9" w14:textId="77777777" w:rsidR="00B73FDB" w:rsidRPr="00B73FDB" w:rsidRDefault="00B73FDB" w:rsidP="00B73FDB">
            <w:pPr>
              <w:spacing w:after="0" w:line="240" w:lineRule="auto"/>
              <w:rPr>
                <w:rFonts w:cs="Calibri"/>
                <w:sz w:val="18"/>
                <w:szCs w:val="18"/>
                <w:lang w:eastAsia="sk-SK"/>
              </w:rPr>
            </w:pPr>
          </w:p>
        </w:tc>
      </w:tr>
      <w:tr w:rsidR="00B73FDB" w:rsidRPr="00B73FDB" w14:paraId="0A263A2F" w14:textId="77777777" w:rsidTr="00B73FDB">
        <w:trPr>
          <w:tblCellSpacing w:w="15" w:type="dxa"/>
        </w:trPr>
        <w:tc>
          <w:tcPr>
            <w:tcW w:w="267" w:type="pct"/>
            <w:shd w:val="clear" w:color="auto" w:fill="EFEFEF"/>
            <w:noWrap/>
            <w:vAlign w:val="center"/>
            <w:hideMark/>
          </w:tcPr>
          <w:p w14:paraId="6760C26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060FBBD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24A71F8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129 674,00 </w:t>
            </w:r>
          </w:p>
        </w:tc>
        <w:tc>
          <w:tcPr>
            <w:tcW w:w="565" w:type="pct"/>
            <w:shd w:val="clear" w:color="auto" w:fill="EFEFEF"/>
            <w:noWrap/>
            <w:vAlign w:val="center"/>
            <w:hideMark/>
          </w:tcPr>
          <w:p w14:paraId="3A7206E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145 296,47 </w:t>
            </w:r>
          </w:p>
        </w:tc>
        <w:tc>
          <w:tcPr>
            <w:tcW w:w="492" w:type="pct"/>
            <w:shd w:val="clear" w:color="auto" w:fill="EFEFEF"/>
            <w:noWrap/>
            <w:vAlign w:val="center"/>
            <w:hideMark/>
          </w:tcPr>
          <w:p w14:paraId="43801CA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116 648,61 </w:t>
            </w:r>
          </w:p>
        </w:tc>
        <w:tc>
          <w:tcPr>
            <w:tcW w:w="564" w:type="pct"/>
            <w:shd w:val="clear" w:color="auto" w:fill="EFEFEF"/>
            <w:noWrap/>
            <w:vAlign w:val="center"/>
            <w:hideMark/>
          </w:tcPr>
          <w:p w14:paraId="24D8A7E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80,28 </w:t>
            </w:r>
          </w:p>
        </w:tc>
        <w:tc>
          <w:tcPr>
            <w:tcW w:w="1136" w:type="pct"/>
            <w:vMerge/>
            <w:shd w:val="clear" w:color="auto" w:fill="EFEFEF"/>
            <w:vAlign w:val="center"/>
            <w:hideMark/>
          </w:tcPr>
          <w:p w14:paraId="26AE5CAE" w14:textId="77777777" w:rsidR="00B73FDB" w:rsidRPr="00B73FDB" w:rsidRDefault="00B73FDB" w:rsidP="00B73FDB">
            <w:pPr>
              <w:spacing w:after="0" w:line="240" w:lineRule="auto"/>
              <w:rPr>
                <w:rFonts w:cs="Calibri"/>
                <w:sz w:val="18"/>
                <w:szCs w:val="18"/>
                <w:lang w:eastAsia="sk-SK"/>
              </w:rPr>
            </w:pPr>
          </w:p>
        </w:tc>
      </w:tr>
      <w:tr w:rsidR="00B73FDB" w:rsidRPr="00B73FDB" w14:paraId="46B52BCD" w14:textId="77777777" w:rsidTr="00B73FDB">
        <w:trPr>
          <w:tblCellSpacing w:w="15" w:type="dxa"/>
        </w:trPr>
        <w:tc>
          <w:tcPr>
            <w:tcW w:w="267" w:type="pct"/>
            <w:shd w:val="clear" w:color="auto" w:fill="EFEFEF"/>
            <w:noWrap/>
            <w:vAlign w:val="center"/>
            <w:hideMark/>
          </w:tcPr>
          <w:p w14:paraId="7792CEA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560FA62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31650D6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24 848,00 </w:t>
            </w:r>
          </w:p>
        </w:tc>
        <w:tc>
          <w:tcPr>
            <w:tcW w:w="565" w:type="pct"/>
            <w:shd w:val="clear" w:color="auto" w:fill="EFEFEF"/>
            <w:noWrap/>
            <w:vAlign w:val="center"/>
            <w:hideMark/>
          </w:tcPr>
          <w:p w14:paraId="0CBF812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28 495,39 </w:t>
            </w:r>
          </w:p>
        </w:tc>
        <w:tc>
          <w:tcPr>
            <w:tcW w:w="492" w:type="pct"/>
            <w:shd w:val="clear" w:color="auto" w:fill="EFEFEF"/>
            <w:noWrap/>
            <w:vAlign w:val="center"/>
            <w:hideMark/>
          </w:tcPr>
          <w:p w14:paraId="29CAAE7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7 092,39 </w:t>
            </w:r>
          </w:p>
        </w:tc>
        <w:tc>
          <w:tcPr>
            <w:tcW w:w="564" w:type="pct"/>
            <w:shd w:val="clear" w:color="auto" w:fill="EFEFEF"/>
            <w:noWrap/>
            <w:vAlign w:val="center"/>
            <w:hideMark/>
          </w:tcPr>
          <w:p w14:paraId="5F945B1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24,89 </w:t>
            </w:r>
          </w:p>
        </w:tc>
        <w:tc>
          <w:tcPr>
            <w:tcW w:w="1136" w:type="pct"/>
            <w:vMerge/>
            <w:shd w:val="clear" w:color="auto" w:fill="EFEFEF"/>
            <w:vAlign w:val="center"/>
            <w:hideMark/>
          </w:tcPr>
          <w:p w14:paraId="59770985" w14:textId="77777777" w:rsidR="00B73FDB" w:rsidRPr="00B73FDB" w:rsidRDefault="00B73FDB" w:rsidP="00B73FDB">
            <w:pPr>
              <w:spacing w:after="0" w:line="240" w:lineRule="auto"/>
              <w:rPr>
                <w:rFonts w:cs="Calibri"/>
                <w:sz w:val="18"/>
                <w:szCs w:val="18"/>
                <w:lang w:eastAsia="sk-SK"/>
              </w:rPr>
            </w:pPr>
          </w:p>
        </w:tc>
      </w:tr>
    </w:tbl>
    <w:p w14:paraId="2F5E344F"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9"/>
        <w:gridCol w:w="706"/>
        <w:gridCol w:w="1670"/>
        <w:gridCol w:w="1202"/>
        <w:gridCol w:w="4159"/>
      </w:tblGrid>
      <w:tr w:rsidR="00B73FDB" w:rsidRPr="00B73FDB" w14:paraId="42673A46" w14:textId="77777777" w:rsidTr="00B73FDB">
        <w:trPr>
          <w:tblCellSpacing w:w="15" w:type="dxa"/>
        </w:trPr>
        <w:tc>
          <w:tcPr>
            <w:tcW w:w="0" w:type="auto"/>
            <w:shd w:val="clear" w:color="auto" w:fill="C2D69B"/>
            <w:vAlign w:val="center"/>
            <w:hideMark/>
          </w:tcPr>
          <w:p w14:paraId="4C09969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26E1E0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6DE4DF3C" w14:textId="77777777" w:rsidTr="00B73FDB">
        <w:trPr>
          <w:tblCellSpacing w:w="15" w:type="dxa"/>
        </w:trPr>
        <w:tc>
          <w:tcPr>
            <w:tcW w:w="0" w:type="auto"/>
            <w:shd w:val="clear" w:color="auto" w:fill="C2D69B"/>
            <w:vAlign w:val="center"/>
            <w:hideMark/>
          </w:tcPr>
          <w:p w14:paraId="0D3367C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820D05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OA </w:t>
            </w:r>
          </w:p>
        </w:tc>
      </w:tr>
      <w:tr w:rsidR="00B73FDB" w:rsidRPr="00B73FDB" w14:paraId="412BDBC2" w14:textId="77777777" w:rsidTr="00B73FDB">
        <w:trPr>
          <w:tblCellSpacing w:w="15" w:type="dxa"/>
        </w:trPr>
        <w:tc>
          <w:tcPr>
            <w:tcW w:w="0" w:type="auto"/>
            <w:shd w:val="clear" w:color="auto" w:fill="C2D69B"/>
            <w:vAlign w:val="center"/>
            <w:hideMark/>
          </w:tcPr>
          <w:p w14:paraId="0054EDE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5372FA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3D81AD04" w14:textId="77777777" w:rsidTr="00B73FDB">
        <w:trPr>
          <w:tblCellSpacing w:w="15" w:type="dxa"/>
        </w:trPr>
        <w:tc>
          <w:tcPr>
            <w:tcW w:w="0" w:type="auto"/>
            <w:shd w:val="clear" w:color="auto" w:fill="C2D69B"/>
            <w:vAlign w:val="center"/>
            <w:hideMark/>
          </w:tcPr>
          <w:p w14:paraId="4A9A6B4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1127FC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DBCA7D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980E0C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03C89D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A5B3629" w14:textId="77777777" w:rsidTr="00B73FDB">
        <w:trPr>
          <w:tblCellSpacing w:w="15" w:type="dxa"/>
        </w:trPr>
        <w:tc>
          <w:tcPr>
            <w:tcW w:w="0" w:type="auto"/>
            <w:shd w:val="clear" w:color="auto" w:fill="C2D69B"/>
            <w:vAlign w:val="center"/>
            <w:hideMark/>
          </w:tcPr>
          <w:p w14:paraId="32D7421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070FBC8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316 </w:t>
            </w:r>
          </w:p>
        </w:tc>
        <w:tc>
          <w:tcPr>
            <w:tcW w:w="0" w:type="auto"/>
            <w:shd w:val="clear" w:color="auto" w:fill="C2D69B"/>
            <w:noWrap/>
            <w:vAlign w:val="center"/>
            <w:hideMark/>
          </w:tcPr>
          <w:p w14:paraId="01BF91A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333 </w:t>
            </w:r>
          </w:p>
        </w:tc>
        <w:tc>
          <w:tcPr>
            <w:tcW w:w="0" w:type="auto"/>
            <w:shd w:val="clear" w:color="auto" w:fill="C2D69B"/>
            <w:vAlign w:val="center"/>
            <w:hideMark/>
          </w:tcPr>
          <w:p w14:paraId="2D42B57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3395ABF"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1C576B1A" w14:textId="77777777" w:rsidTr="00B73FDB">
        <w:trPr>
          <w:tblCellSpacing w:w="15" w:type="dxa"/>
        </w:trPr>
        <w:tc>
          <w:tcPr>
            <w:tcW w:w="0" w:type="auto"/>
            <w:shd w:val="clear" w:color="auto" w:fill="C2D69B"/>
            <w:vAlign w:val="center"/>
            <w:hideMark/>
          </w:tcPr>
          <w:p w14:paraId="1839CEF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CC4936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6121034" w14:textId="77777777" w:rsidTr="00B73FDB">
        <w:trPr>
          <w:tblCellSpacing w:w="15" w:type="dxa"/>
        </w:trPr>
        <w:tc>
          <w:tcPr>
            <w:tcW w:w="0" w:type="auto"/>
            <w:shd w:val="clear" w:color="auto" w:fill="C2D69B"/>
            <w:vAlign w:val="center"/>
            <w:hideMark/>
          </w:tcPr>
          <w:p w14:paraId="60B47D0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72CE19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FD811B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F2D40F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6235F7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6FF4631" w14:textId="77777777" w:rsidTr="00B73FDB">
        <w:trPr>
          <w:tblCellSpacing w:w="15" w:type="dxa"/>
        </w:trPr>
        <w:tc>
          <w:tcPr>
            <w:tcW w:w="0" w:type="auto"/>
            <w:shd w:val="clear" w:color="auto" w:fill="C2D69B"/>
            <w:vAlign w:val="center"/>
            <w:hideMark/>
          </w:tcPr>
          <w:p w14:paraId="4E0468A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A30306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316 </w:t>
            </w:r>
          </w:p>
        </w:tc>
        <w:tc>
          <w:tcPr>
            <w:tcW w:w="0" w:type="auto"/>
            <w:shd w:val="clear" w:color="auto" w:fill="C2D69B"/>
            <w:noWrap/>
            <w:vAlign w:val="center"/>
            <w:hideMark/>
          </w:tcPr>
          <w:p w14:paraId="45BEAA4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333 </w:t>
            </w:r>
          </w:p>
        </w:tc>
        <w:tc>
          <w:tcPr>
            <w:tcW w:w="0" w:type="auto"/>
            <w:shd w:val="clear" w:color="auto" w:fill="C2D69B"/>
            <w:vAlign w:val="center"/>
            <w:hideMark/>
          </w:tcPr>
          <w:p w14:paraId="3E982A9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EA765F4" w14:textId="77777777" w:rsidR="00B73FDB" w:rsidRPr="00B73FDB" w:rsidRDefault="00B73FDB" w:rsidP="00B73FDB">
            <w:pPr>
              <w:spacing w:after="0" w:line="240" w:lineRule="auto"/>
              <w:jc w:val="center"/>
              <w:rPr>
                <w:rFonts w:cs="Calibri"/>
                <w:sz w:val="18"/>
                <w:szCs w:val="18"/>
                <w:lang w:eastAsia="sk-SK"/>
              </w:rPr>
            </w:pPr>
          </w:p>
        </w:tc>
      </w:tr>
    </w:tbl>
    <w:p w14:paraId="2A3485B7"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 xml:space="preserve">Zameranie študijných odborov je hlavne na ekonomiku a organizáciu v dennej a externej forme štúdia. </w:t>
      </w:r>
    </w:p>
    <w:p w14:paraId="3BFA94FF"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8.3.25: Obchodná akadémia, </w:t>
      </w:r>
      <w:proofErr w:type="spellStart"/>
      <w:r w:rsidRPr="00352CED">
        <w:rPr>
          <w:rFonts w:ascii="Calibri" w:hAnsi="Calibri" w:cs="Calibri"/>
          <w:b/>
          <w:color w:val="244061"/>
        </w:rPr>
        <w:t>Dudova</w:t>
      </w:r>
      <w:proofErr w:type="spellEnd"/>
      <w:r w:rsidRPr="00352CED">
        <w:rPr>
          <w:rFonts w:ascii="Calibri" w:hAnsi="Calibri" w:cs="Calibri"/>
          <w:b/>
          <w:color w:val="244061"/>
        </w:rPr>
        <w:t xml:space="preserve"> 4,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6"/>
        <w:gridCol w:w="2733"/>
        <w:gridCol w:w="1212"/>
        <w:gridCol w:w="1165"/>
        <w:gridCol w:w="1110"/>
        <w:gridCol w:w="1212"/>
        <w:gridCol w:w="2428"/>
      </w:tblGrid>
      <w:tr w:rsidR="00B73FDB" w:rsidRPr="00B73FDB" w14:paraId="2C934B43" w14:textId="77777777" w:rsidTr="00B73FDB">
        <w:trPr>
          <w:tblCellSpacing w:w="15" w:type="dxa"/>
        </w:trPr>
        <w:tc>
          <w:tcPr>
            <w:tcW w:w="268" w:type="pct"/>
            <w:shd w:val="clear" w:color="auto" w:fill="C6DBF7"/>
            <w:vAlign w:val="center"/>
            <w:hideMark/>
          </w:tcPr>
          <w:p w14:paraId="1732DA7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14F413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72A289E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41" w:type="pct"/>
            <w:shd w:val="clear" w:color="auto" w:fill="C6DBF7"/>
            <w:vAlign w:val="center"/>
            <w:hideMark/>
          </w:tcPr>
          <w:p w14:paraId="6091C23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15" w:type="pct"/>
            <w:shd w:val="clear" w:color="auto" w:fill="C6DBF7"/>
            <w:vAlign w:val="center"/>
            <w:hideMark/>
          </w:tcPr>
          <w:p w14:paraId="52D429D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30552A7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E4AF48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68C1959" w14:textId="77777777" w:rsidTr="00B73FDB">
        <w:trPr>
          <w:tblCellSpacing w:w="15" w:type="dxa"/>
        </w:trPr>
        <w:tc>
          <w:tcPr>
            <w:tcW w:w="268" w:type="pct"/>
            <w:shd w:val="clear" w:color="auto" w:fill="D9D9D9"/>
            <w:noWrap/>
            <w:vAlign w:val="center"/>
            <w:hideMark/>
          </w:tcPr>
          <w:p w14:paraId="29BB24FB"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0B866A4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3EA80F5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867 704,00</w:t>
            </w:r>
            <w:r w:rsidRPr="00B73FDB">
              <w:rPr>
                <w:rFonts w:cs="Calibri"/>
                <w:sz w:val="18"/>
                <w:szCs w:val="18"/>
                <w:lang w:eastAsia="sk-SK"/>
              </w:rPr>
              <w:t xml:space="preserve"> </w:t>
            </w:r>
          </w:p>
        </w:tc>
        <w:tc>
          <w:tcPr>
            <w:tcW w:w="541" w:type="pct"/>
            <w:shd w:val="clear" w:color="auto" w:fill="D9D9D9"/>
            <w:noWrap/>
            <w:vAlign w:val="center"/>
            <w:hideMark/>
          </w:tcPr>
          <w:p w14:paraId="5062605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894 757,85</w:t>
            </w:r>
            <w:r w:rsidRPr="00B73FDB">
              <w:rPr>
                <w:rFonts w:cs="Calibri"/>
                <w:sz w:val="18"/>
                <w:szCs w:val="18"/>
                <w:lang w:eastAsia="sk-SK"/>
              </w:rPr>
              <w:t xml:space="preserve"> </w:t>
            </w:r>
          </w:p>
        </w:tc>
        <w:tc>
          <w:tcPr>
            <w:tcW w:w="515" w:type="pct"/>
            <w:shd w:val="clear" w:color="auto" w:fill="D9D9D9"/>
            <w:noWrap/>
            <w:vAlign w:val="center"/>
            <w:hideMark/>
          </w:tcPr>
          <w:p w14:paraId="6917BA1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850 175,28</w:t>
            </w:r>
            <w:r w:rsidRPr="00B73FDB">
              <w:rPr>
                <w:rFonts w:cs="Calibri"/>
                <w:sz w:val="18"/>
                <w:szCs w:val="18"/>
                <w:lang w:eastAsia="sk-SK"/>
              </w:rPr>
              <w:t xml:space="preserve"> </w:t>
            </w:r>
          </w:p>
        </w:tc>
        <w:tc>
          <w:tcPr>
            <w:tcW w:w="564" w:type="pct"/>
            <w:shd w:val="clear" w:color="auto" w:fill="D9D9D9"/>
            <w:noWrap/>
            <w:vAlign w:val="center"/>
            <w:hideMark/>
          </w:tcPr>
          <w:p w14:paraId="4E4B945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95,02</w:t>
            </w:r>
            <w:r w:rsidRPr="00B73FDB">
              <w:rPr>
                <w:rFonts w:cs="Calibri"/>
                <w:sz w:val="18"/>
                <w:szCs w:val="18"/>
                <w:lang w:eastAsia="sk-SK"/>
              </w:rPr>
              <w:t xml:space="preserve"> </w:t>
            </w:r>
          </w:p>
        </w:tc>
        <w:tc>
          <w:tcPr>
            <w:tcW w:w="1136" w:type="pct"/>
            <w:vMerge w:val="restart"/>
            <w:shd w:val="clear" w:color="auto" w:fill="D9D9D9"/>
            <w:vAlign w:val="center"/>
            <w:hideMark/>
          </w:tcPr>
          <w:p w14:paraId="4486DB7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+23 025,00 EUR</w:t>
            </w:r>
            <w:r w:rsidRPr="00B73FDB">
              <w:rPr>
                <w:rFonts w:cs="Calibri"/>
                <w:sz w:val="18"/>
                <w:szCs w:val="18"/>
                <w:lang w:eastAsia="sk-SK"/>
              </w:rPr>
              <w:t xml:space="preserve"> normatívne finančné prostriedky,</w:t>
            </w:r>
          </w:p>
          <w:p w14:paraId="049D785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+642,00 EUR</w:t>
            </w:r>
            <w:r w:rsidRPr="00B73FDB">
              <w:rPr>
                <w:rFonts w:cs="Calibri"/>
                <w:sz w:val="18"/>
                <w:szCs w:val="18"/>
                <w:lang w:eastAsia="sk-SK"/>
              </w:rPr>
              <w:t xml:space="preserve"> normatívne finančné prostriedky na maturity,</w:t>
            </w:r>
          </w:p>
          <w:p w14:paraId="281E3F8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+896,00 EUR </w:t>
            </w:r>
            <w:r w:rsidRPr="00B73FDB">
              <w:rPr>
                <w:rFonts w:cs="Calibri"/>
                <w:sz w:val="18"/>
                <w:szCs w:val="18"/>
                <w:lang w:eastAsia="sk-SK"/>
              </w:rPr>
              <w:t>nenormatívne finančné prostriedky na vzdelávacie poukazy,</w:t>
            </w:r>
          </w:p>
          <w:p w14:paraId="2B76FD8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+1 000,00 EUR</w:t>
            </w:r>
            <w:r w:rsidRPr="00B73FDB">
              <w:rPr>
                <w:rFonts w:cs="Calibri"/>
                <w:sz w:val="18"/>
                <w:szCs w:val="18"/>
                <w:lang w:eastAsia="sk-SK"/>
              </w:rPr>
              <w:t xml:space="preserve"> nenormatívne finančné prostriedky za mimoriadne výsledky žiakov,</w:t>
            </w:r>
          </w:p>
          <w:p w14:paraId="0EE9BAD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-9 936,00 EUR</w:t>
            </w:r>
            <w:r w:rsidRPr="00B73FDB">
              <w:rPr>
                <w:rFonts w:cs="Calibri"/>
                <w:sz w:val="18"/>
                <w:szCs w:val="18"/>
                <w:lang w:eastAsia="sk-SK"/>
              </w:rPr>
              <w:t xml:space="preserve"> odchodné do dôchodku,</w:t>
            </w:r>
          </w:p>
          <w:p w14:paraId="37B2129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-450,00 EUR</w:t>
            </w:r>
            <w:r w:rsidRPr="00B73FDB">
              <w:rPr>
                <w:rFonts w:cs="Calibri"/>
                <w:sz w:val="18"/>
                <w:szCs w:val="18"/>
                <w:lang w:eastAsia="sk-SK"/>
              </w:rPr>
              <w:t xml:space="preserve"> nenormatívne finančné prostriedky na lyžiarske kurzy,</w:t>
            </w:r>
          </w:p>
          <w:p w14:paraId="4580ED9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+8 672,76 EUR</w:t>
            </w:r>
            <w:r w:rsidRPr="00B73FDB">
              <w:rPr>
                <w:rFonts w:cs="Calibri"/>
                <w:sz w:val="18"/>
                <w:szCs w:val="18"/>
                <w:lang w:eastAsia="sk-SK"/>
              </w:rPr>
              <w:t xml:space="preserve"> nevyčerpané finančné prostriedky z r. 2019,</w:t>
            </w:r>
          </w:p>
          <w:p w14:paraId="7E26E06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+550,00 EUR</w:t>
            </w:r>
            <w:r w:rsidRPr="00B73FDB">
              <w:rPr>
                <w:rFonts w:cs="Calibri"/>
                <w:sz w:val="18"/>
                <w:szCs w:val="18"/>
                <w:lang w:eastAsia="sk-SK"/>
              </w:rPr>
              <w:t xml:space="preserve"> školské súťaže z OÚ,</w:t>
            </w:r>
          </w:p>
          <w:p w14:paraId="347B3AD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+2 654,09 EUR </w:t>
            </w:r>
            <w:r w:rsidRPr="00B73FDB">
              <w:rPr>
                <w:rFonts w:cs="Calibri"/>
                <w:sz w:val="18"/>
                <w:szCs w:val="18"/>
                <w:lang w:eastAsia="sk-SK"/>
              </w:rPr>
              <w:t>projekt z MPC.</w:t>
            </w:r>
          </w:p>
        </w:tc>
      </w:tr>
      <w:tr w:rsidR="00B73FDB" w:rsidRPr="00B73FDB" w14:paraId="08493A5F" w14:textId="77777777" w:rsidTr="00B73FDB">
        <w:trPr>
          <w:tblCellSpacing w:w="15" w:type="dxa"/>
        </w:trPr>
        <w:tc>
          <w:tcPr>
            <w:tcW w:w="268" w:type="pct"/>
            <w:shd w:val="clear" w:color="auto" w:fill="D9D9D9"/>
            <w:noWrap/>
            <w:vAlign w:val="center"/>
            <w:hideMark/>
          </w:tcPr>
          <w:p w14:paraId="77B558B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0319B8E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0CD74DF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867 704,00</w:t>
            </w:r>
            <w:r w:rsidRPr="00B73FDB">
              <w:rPr>
                <w:rFonts w:cs="Calibri"/>
                <w:sz w:val="18"/>
                <w:szCs w:val="18"/>
                <w:lang w:eastAsia="sk-SK"/>
              </w:rPr>
              <w:t xml:space="preserve"> </w:t>
            </w:r>
          </w:p>
        </w:tc>
        <w:tc>
          <w:tcPr>
            <w:tcW w:w="541" w:type="pct"/>
            <w:shd w:val="clear" w:color="auto" w:fill="D9D9D9"/>
            <w:noWrap/>
            <w:vAlign w:val="center"/>
            <w:hideMark/>
          </w:tcPr>
          <w:p w14:paraId="3AD69A4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894 757,85</w:t>
            </w:r>
            <w:r w:rsidRPr="00B73FDB">
              <w:rPr>
                <w:rFonts w:cs="Calibri"/>
                <w:sz w:val="18"/>
                <w:szCs w:val="18"/>
                <w:lang w:eastAsia="sk-SK"/>
              </w:rPr>
              <w:t xml:space="preserve"> </w:t>
            </w:r>
          </w:p>
        </w:tc>
        <w:tc>
          <w:tcPr>
            <w:tcW w:w="515" w:type="pct"/>
            <w:shd w:val="clear" w:color="auto" w:fill="D9D9D9"/>
            <w:noWrap/>
            <w:vAlign w:val="center"/>
            <w:hideMark/>
          </w:tcPr>
          <w:p w14:paraId="55E88FD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850 175,28</w:t>
            </w:r>
            <w:r w:rsidRPr="00B73FDB">
              <w:rPr>
                <w:rFonts w:cs="Calibri"/>
                <w:sz w:val="18"/>
                <w:szCs w:val="18"/>
                <w:lang w:eastAsia="sk-SK"/>
              </w:rPr>
              <w:t xml:space="preserve"> </w:t>
            </w:r>
          </w:p>
        </w:tc>
        <w:tc>
          <w:tcPr>
            <w:tcW w:w="564" w:type="pct"/>
            <w:shd w:val="clear" w:color="auto" w:fill="D9D9D9"/>
            <w:noWrap/>
            <w:vAlign w:val="center"/>
            <w:hideMark/>
          </w:tcPr>
          <w:p w14:paraId="55E1F1C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95,02</w:t>
            </w:r>
            <w:r w:rsidRPr="00B73FDB">
              <w:rPr>
                <w:rFonts w:cs="Calibri"/>
                <w:sz w:val="18"/>
                <w:szCs w:val="18"/>
                <w:lang w:eastAsia="sk-SK"/>
              </w:rPr>
              <w:t xml:space="preserve"> </w:t>
            </w:r>
          </w:p>
        </w:tc>
        <w:tc>
          <w:tcPr>
            <w:tcW w:w="1136" w:type="pct"/>
            <w:vMerge/>
            <w:shd w:val="clear" w:color="auto" w:fill="D9D9D9"/>
            <w:vAlign w:val="center"/>
            <w:hideMark/>
          </w:tcPr>
          <w:p w14:paraId="58066478" w14:textId="77777777" w:rsidR="00B73FDB" w:rsidRPr="00B73FDB" w:rsidRDefault="00B73FDB" w:rsidP="00B73FDB">
            <w:pPr>
              <w:spacing w:after="0" w:line="240" w:lineRule="auto"/>
              <w:rPr>
                <w:rFonts w:cs="Calibri"/>
                <w:sz w:val="18"/>
                <w:szCs w:val="18"/>
                <w:lang w:eastAsia="sk-SK"/>
              </w:rPr>
            </w:pPr>
          </w:p>
        </w:tc>
      </w:tr>
      <w:tr w:rsidR="00B73FDB" w:rsidRPr="00B73FDB" w14:paraId="76E5869D" w14:textId="77777777" w:rsidTr="00B73FDB">
        <w:trPr>
          <w:tblCellSpacing w:w="15" w:type="dxa"/>
        </w:trPr>
        <w:tc>
          <w:tcPr>
            <w:tcW w:w="268" w:type="pct"/>
            <w:shd w:val="clear" w:color="auto" w:fill="EFEFEF"/>
            <w:noWrap/>
            <w:vAlign w:val="center"/>
            <w:hideMark/>
          </w:tcPr>
          <w:p w14:paraId="7C50FBC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49D783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6BD590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504 652,00 </w:t>
            </w:r>
          </w:p>
        </w:tc>
        <w:tc>
          <w:tcPr>
            <w:tcW w:w="541" w:type="pct"/>
            <w:shd w:val="clear" w:color="auto" w:fill="EFEFEF"/>
            <w:noWrap/>
            <w:vAlign w:val="center"/>
            <w:hideMark/>
          </w:tcPr>
          <w:p w14:paraId="7B1BCC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529 372,10 </w:t>
            </w:r>
          </w:p>
        </w:tc>
        <w:tc>
          <w:tcPr>
            <w:tcW w:w="515" w:type="pct"/>
            <w:shd w:val="clear" w:color="auto" w:fill="EFEFEF"/>
            <w:noWrap/>
            <w:vAlign w:val="center"/>
            <w:hideMark/>
          </w:tcPr>
          <w:p w14:paraId="74844F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529 372,10 </w:t>
            </w:r>
          </w:p>
        </w:tc>
        <w:tc>
          <w:tcPr>
            <w:tcW w:w="564" w:type="pct"/>
            <w:shd w:val="clear" w:color="auto" w:fill="EFEFEF"/>
            <w:noWrap/>
            <w:vAlign w:val="center"/>
            <w:hideMark/>
          </w:tcPr>
          <w:p w14:paraId="12F0F70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4141083B" w14:textId="77777777" w:rsidR="00B73FDB" w:rsidRPr="00B73FDB" w:rsidRDefault="00B73FDB" w:rsidP="00B73FDB">
            <w:pPr>
              <w:spacing w:after="0" w:line="240" w:lineRule="auto"/>
              <w:rPr>
                <w:rFonts w:cs="Calibri"/>
                <w:sz w:val="18"/>
                <w:szCs w:val="18"/>
                <w:lang w:eastAsia="sk-SK"/>
              </w:rPr>
            </w:pPr>
          </w:p>
        </w:tc>
      </w:tr>
      <w:tr w:rsidR="00B73FDB" w:rsidRPr="00B73FDB" w14:paraId="7D1EC624" w14:textId="77777777" w:rsidTr="00B73FDB">
        <w:trPr>
          <w:tblCellSpacing w:w="15" w:type="dxa"/>
        </w:trPr>
        <w:tc>
          <w:tcPr>
            <w:tcW w:w="268" w:type="pct"/>
            <w:shd w:val="clear" w:color="auto" w:fill="EFEFEF"/>
            <w:noWrap/>
            <w:vAlign w:val="center"/>
            <w:hideMark/>
          </w:tcPr>
          <w:p w14:paraId="5E6A244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28FF942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6FE2C75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176 376,00 </w:t>
            </w:r>
          </w:p>
        </w:tc>
        <w:tc>
          <w:tcPr>
            <w:tcW w:w="541" w:type="pct"/>
            <w:shd w:val="clear" w:color="auto" w:fill="EFEFEF"/>
            <w:noWrap/>
            <w:vAlign w:val="center"/>
            <w:hideMark/>
          </w:tcPr>
          <w:p w14:paraId="6A0689D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181 005,33 </w:t>
            </w:r>
          </w:p>
        </w:tc>
        <w:tc>
          <w:tcPr>
            <w:tcW w:w="515" w:type="pct"/>
            <w:shd w:val="clear" w:color="auto" w:fill="EFEFEF"/>
            <w:noWrap/>
            <w:vAlign w:val="center"/>
            <w:hideMark/>
          </w:tcPr>
          <w:p w14:paraId="17E37F6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181 005,33 </w:t>
            </w:r>
          </w:p>
        </w:tc>
        <w:tc>
          <w:tcPr>
            <w:tcW w:w="564" w:type="pct"/>
            <w:shd w:val="clear" w:color="auto" w:fill="EFEFEF"/>
            <w:noWrap/>
            <w:vAlign w:val="center"/>
            <w:hideMark/>
          </w:tcPr>
          <w:p w14:paraId="0D9AB0D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027FD519" w14:textId="77777777" w:rsidR="00B73FDB" w:rsidRPr="00B73FDB" w:rsidRDefault="00B73FDB" w:rsidP="00B73FDB">
            <w:pPr>
              <w:spacing w:after="0" w:line="240" w:lineRule="auto"/>
              <w:rPr>
                <w:rFonts w:cs="Calibri"/>
                <w:sz w:val="18"/>
                <w:szCs w:val="18"/>
                <w:lang w:eastAsia="sk-SK"/>
              </w:rPr>
            </w:pPr>
          </w:p>
        </w:tc>
      </w:tr>
      <w:tr w:rsidR="00B73FDB" w:rsidRPr="00B73FDB" w14:paraId="6C200EBE" w14:textId="77777777" w:rsidTr="00B73FDB">
        <w:trPr>
          <w:tblCellSpacing w:w="15" w:type="dxa"/>
        </w:trPr>
        <w:tc>
          <w:tcPr>
            <w:tcW w:w="268" w:type="pct"/>
            <w:shd w:val="clear" w:color="auto" w:fill="EFEFEF"/>
            <w:noWrap/>
            <w:vAlign w:val="center"/>
            <w:hideMark/>
          </w:tcPr>
          <w:p w14:paraId="20A45DC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5CAE47B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2502796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160 380,00 </w:t>
            </w:r>
          </w:p>
        </w:tc>
        <w:tc>
          <w:tcPr>
            <w:tcW w:w="541" w:type="pct"/>
            <w:shd w:val="clear" w:color="auto" w:fill="EFEFEF"/>
            <w:noWrap/>
            <w:vAlign w:val="center"/>
            <w:hideMark/>
          </w:tcPr>
          <w:p w14:paraId="6AF7F4D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182 762,22 </w:t>
            </w:r>
          </w:p>
        </w:tc>
        <w:tc>
          <w:tcPr>
            <w:tcW w:w="515" w:type="pct"/>
            <w:shd w:val="clear" w:color="auto" w:fill="EFEFEF"/>
            <w:noWrap/>
            <w:vAlign w:val="center"/>
            <w:hideMark/>
          </w:tcPr>
          <w:p w14:paraId="45783A6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138 179,65 </w:t>
            </w:r>
          </w:p>
        </w:tc>
        <w:tc>
          <w:tcPr>
            <w:tcW w:w="564" w:type="pct"/>
            <w:shd w:val="clear" w:color="auto" w:fill="EFEFEF"/>
            <w:noWrap/>
            <w:vAlign w:val="center"/>
            <w:hideMark/>
          </w:tcPr>
          <w:p w14:paraId="3064CBF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75,61 </w:t>
            </w:r>
          </w:p>
        </w:tc>
        <w:tc>
          <w:tcPr>
            <w:tcW w:w="1136" w:type="pct"/>
            <w:vMerge/>
            <w:shd w:val="clear" w:color="auto" w:fill="EFEFEF"/>
            <w:vAlign w:val="center"/>
            <w:hideMark/>
          </w:tcPr>
          <w:p w14:paraId="25F2BBEC" w14:textId="77777777" w:rsidR="00B73FDB" w:rsidRPr="00B73FDB" w:rsidRDefault="00B73FDB" w:rsidP="00B73FDB">
            <w:pPr>
              <w:spacing w:after="0" w:line="240" w:lineRule="auto"/>
              <w:rPr>
                <w:rFonts w:cs="Calibri"/>
                <w:sz w:val="18"/>
                <w:szCs w:val="18"/>
                <w:lang w:eastAsia="sk-SK"/>
              </w:rPr>
            </w:pPr>
          </w:p>
        </w:tc>
      </w:tr>
      <w:tr w:rsidR="00B73FDB" w:rsidRPr="00B73FDB" w14:paraId="01849B2B" w14:textId="77777777" w:rsidTr="00B73FDB">
        <w:trPr>
          <w:tblCellSpacing w:w="15" w:type="dxa"/>
        </w:trPr>
        <w:tc>
          <w:tcPr>
            <w:tcW w:w="268" w:type="pct"/>
            <w:shd w:val="clear" w:color="auto" w:fill="EFEFEF"/>
            <w:noWrap/>
            <w:vAlign w:val="center"/>
            <w:hideMark/>
          </w:tcPr>
          <w:p w14:paraId="24E2903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22C2D41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274E33F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26 296,00 </w:t>
            </w:r>
          </w:p>
        </w:tc>
        <w:tc>
          <w:tcPr>
            <w:tcW w:w="541" w:type="pct"/>
            <w:shd w:val="clear" w:color="auto" w:fill="EFEFEF"/>
            <w:noWrap/>
            <w:vAlign w:val="center"/>
            <w:hideMark/>
          </w:tcPr>
          <w:p w14:paraId="7E2D6A5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1 618,20 </w:t>
            </w:r>
          </w:p>
        </w:tc>
        <w:tc>
          <w:tcPr>
            <w:tcW w:w="515" w:type="pct"/>
            <w:shd w:val="clear" w:color="auto" w:fill="EFEFEF"/>
            <w:noWrap/>
            <w:vAlign w:val="center"/>
            <w:hideMark/>
          </w:tcPr>
          <w:p w14:paraId="2F5682D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1 618,20 </w:t>
            </w:r>
          </w:p>
        </w:tc>
        <w:tc>
          <w:tcPr>
            <w:tcW w:w="564" w:type="pct"/>
            <w:shd w:val="clear" w:color="auto" w:fill="EFEFEF"/>
            <w:noWrap/>
            <w:vAlign w:val="center"/>
            <w:hideMark/>
          </w:tcPr>
          <w:p w14:paraId="24E68B7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B81E6EB" w14:textId="77777777" w:rsidR="00B73FDB" w:rsidRPr="00B73FDB" w:rsidRDefault="00B73FDB" w:rsidP="00B73FDB">
            <w:pPr>
              <w:spacing w:after="0" w:line="240" w:lineRule="auto"/>
              <w:rPr>
                <w:rFonts w:cs="Calibri"/>
                <w:sz w:val="18"/>
                <w:szCs w:val="18"/>
                <w:lang w:eastAsia="sk-SK"/>
              </w:rPr>
            </w:pPr>
          </w:p>
        </w:tc>
      </w:tr>
    </w:tbl>
    <w:p w14:paraId="57417346"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9"/>
        <w:gridCol w:w="706"/>
        <w:gridCol w:w="1670"/>
        <w:gridCol w:w="1202"/>
        <w:gridCol w:w="4159"/>
      </w:tblGrid>
      <w:tr w:rsidR="00B73FDB" w:rsidRPr="00B73FDB" w14:paraId="67336212" w14:textId="77777777" w:rsidTr="00B73FDB">
        <w:trPr>
          <w:tblCellSpacing w:w="15" w:type="dxa"/>
        </w:trPr>
        <w:tc>
          <w:tcPr>
            <w:tcW w:w="0" w:type="auto"/>
            <w:shd w:val="clear" w:color="auto" w:fill="C2D69B"/>
            <w:vAlign w:val="center"/>
            <w:hideMark/>
          </w:tcPr>
          <w:p w14:paraId="04F0162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98FA82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8C52472" w14:textId="77777777" w:rsidTr="00B73FDB">
        <w:trPr>
          <w:tblCellSpacing w:w="15" w:type="dxa"/>
        </w:trPr>
        <w:tc>
          <w:tcPr>
            <w:tcW w:w="0" w:type="auto"/>
            <w:shd w:val="clear" w:color="auto" w:fill="C2D69B"/>
            <w:vAlign w:val="center"/>
            <w:hideMark/>
          </w:tcPr>
          <w:p w14:paraId="39462E5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546BDB3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OA </w:t>
            </w:r>
          </w:p>
        </w:tc>
      </w:tr>
      <w:tr w:rsidR="00B73FDB" w:rsidRPr="00B73FDB" w14:paraId="18C26CE4" w14:textId="77777777" w:rsidTr="00B73FDB">
        <w:trPr>
          <w:tblCellSpacing w:w="15" w:type="dxa"/>
        </w:trPr>
        <w:tc>
          <w:tcPr>
            <w:tcW w:w="0" w:type="auto"/>
            <w:shd w:val="clear" w:color="auto" w:fill="C2D69B"/>
            <w:vAlign w:val="center"/>
            <w:hideMark/>
          </w:tcPr>
          <w:p w14:paraId="4E13F8F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F43D80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A921A9E" w14:textId="77777777" w:rsidTr="00B73FDB">
        <w:trPr>
          <w:tblCellSpacing w:w="15" w:type="dxa"/>
        </w:trPr>
        <w:tc>
          <w:tcPr>
            <w:tcW w:w="0" w:type="auto"/>
            <w:shd w:val="clear" w:color="auto" w:fill="C2D69B"/>
            <w:vAlign w:val="center"/>
            <w:hideMark/>
          </w:tcPr>
          <w:p w14:paraId="75D8281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086DC3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0BAE62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D1C142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93ED58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008EBA0" w14:textId="77777777" w:rsidTr="00B73FDB">
        <w:trPr>
          <w:tblCellSpacing w:w="15" w:type="dxa"/>
        </w:trPr>
        <w:tc>
          <w:tcPr>
            <w:tcW w:w="0" w:type="auto"/>
            <w:shd w:val="clear" w:color="auto" w:fill="C2D69B"/>
            <w:vAlign w:val="center"/>
            <w:hideMark/>
          </w:tcPr>
          <w:p w14:paraId="02140E4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675267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258 </w:t>
            </w:r>
          </w:p>
        </w:tc>
        <w:tc>
          <w:tcPr>
            <w:tcW w:w="0" w:type="auto"/>
            <w:shd w:val="clear" w:color="auto" w:fill="C2D69B"/>
            <w:noWrap/>
            <w:vAlign w:val="center"/>
            <w:hideMark/>
          </w:tcPr>
          <w:p w14:paraId="6752820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289 </w:t>
            </w:r>
          </w:p>
        </w:tc>
        <w:tc>
          <w:tcPr>
            <w:tcW w:w="0" w:type="auto"/>
            <w:shd w:val="clear" w:color="auto" w:fill="C2D69B"/>
            <w:vAlign w:val="center"/>
            <w:hideMark/>
          </w:tcPr>
          <w:p w14:paraId="6353E1C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409337C"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30B57542" w14:textId="77777777" w:rsidTr="00B73FDB">
        <w:trPr>
          <w:tblCellSpacing w:w="15" w:type="dxa"/>
        </w:trPr>
        <w:tc>
          <w:tcPr>
            <w:tcW w:w="0" w:type="auto"/>
            <w:shd w:val="clear" w:color="auto" w:fill="C2D69B"/>
            <w:vAlign w:val="center"/>
            <w:hideMark/>
          </w:tcPr>
          <w:p w14:paraId="414408D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A14881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29DDBF63" w14:textId="77777777" w:rsidTr="00B73FDB">
        <w:trPr>
          <w:tblCellSpacing w:w="15" w:type="dxa"/>
        </w:trPr>
        <w:tc>
          <w:tcPr>
            <w:tcW w:w="0" w:type="auto"/>
            <w:shd w:val="clear" w:color="auto" w:fill="C2D69B"/>
            <w:vAlign w:val="center"/>
            <w:hideMark/>
          </w:tcPr>
          <w:p w14:paraId="3C60207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ECA7D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94FA64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FA9DB9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258F5E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5CDBB58" w14:textId="77777777" w:rsidTr="00B73FDB">
        <w:trPr>
          <w:tblCellSpacing w:w="15" w:type="dxa"/>
        </w:trPr>
        <w:tc>
          <w:tcPr>
            <w:tcW w:w="0" w:type="auto"/>
            <w:shd w:val="clear" w:color="auto" w:fill="C2D69B"/>
            <w:vAlign w:val="center"/>
            <w:hideMark/>
          </w:tcPr>
          <w:p w14:paraId="3B03FC1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2EB58B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236 </w:t>
            </w:r>
          </w:p>
        </w:tc>
        <w:tc>
          <w:tcPr>
            <w:tcW w:w="0" w:type="auto"/>
            <w:shd w:val="clear" w:color="auto" w:fill="C2D69B"/>
            <w:noWrap/>
            <w:vAlign w:val="center"/>
            <w:hideMark/>
          </w:tcPr>
          <w:p w14:paraId="39B68A0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278 </w:t>
            </w:r>
          </w:p>
        </w:tc>
        <w:tc>
          <w:tcPr>
            <w:tcW w:w="0" w:type="auto"/>
            <w:shd w:val="clear" w:color="auto" w:fill="C2D69B"/>
            <w:vAlign w:val="center"/>
            <w:hideMark/>
          </w:tcPr>
          <w:p w14:paraId="2ADA989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F1DD053" w14:textId="77777777" w:rsidR="00B73FDB" w:rsidRPr="00B73FDB" w:rsidRDefault="00B73FDB" w:rsidP="00B73FDB">
            <w:pPr>
              <w:spacing w:after="0" w:line="240" w:lineRule="auto"/>
              <w:jc w:val="center"/>
              <w:rPr>
                <w:rFonts w:cs="Calibri"/>
                <w:sz w:val="18"/>
                <w:szCs w:val="18"/>
                <w:lang w:eastAsia="sk-SK"/>
              </w:rPr>
            </w:pPr>
          </w:p>
        </w:tc>
      </w:tr>
    </w:tbl>
    <w:p w14:paraId="50990BD7"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Ko</w:t>
      </w:r>
      <w:r w:rsidRPr="00B73FDB">
        <w:rPr>
          <w:rFonts w:cs="Calibri"/>
          <w:b/>
          <w:bCs/>
          <w:sz w:val="24"/>
          <w:szCs w:val="24"/>
          <w:lang w:eastAsia="sk-SK"/>
        </w:rPr>
        <w:t xml:space="preserve">mentár: </w:t>
      </w:r>
      <w:r w:rsidRPr="00B73FDB">
        <w:rPr>
          <w:rFonts w:cs="Calibri"/>
          <w:sz w:val="24"/>
          <w:szCs w:val="24"/>
          <w:lang w:eastAsia="sk-SK"/>
        </w:rPr>
        <w:t>Zameranie študijných odborov je hlavne na ekonomiku a organizáciu, cestovný ruch, financie a medzinárodné podnikanie v dennej forme štúdia. Obchodná akadémia poskytuje aj vyššie pomaturitné špecializačné štúdium. Od školského roku 2020/2021 sa štúdium na škole rozšírilo o 5-ročný študijný odbor Obchodná akadémia - bilingválne štúdium slovensko-anglické. Štúdium v tomto odbore je zamerané na rozšírenú výuku anglického jazyka.</w:t>
      </w:r>
    </w:p>
    <w:p w14:paraId="1A680E06"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8.3.26: SOŠ podnikania, </w:t>
      </w:r>
      <w:proofErr w:type="spellStart"/>
      <w:r w:rsidRPr="00352CED">
        <w:rPr>
          <w:rFonts w:ascii="Calibri" w:hAnsi="Calibri" w:cs="Calibri"/>
          <w:b/>
          <w:color w:val="244061"/>
        </w:rPr>
        <w:t>Strečnianska</w:t>
      </w:r>
      <w:proofErr w:type="spellEnd"/>
      <w:r w:rsidRPr="00352CED">
        <w:rPr>
          <w:rFonts w:ascii="Calibri" w:hAnsi="Calibri" w:cs="Calibri"/>
          <w:b/>
          <w:color w:val="244061"/>
        </w:rPr>
        <w:t xml:space="preserve"> 20,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1"/>
        <w:gridCol w:w="2730"/>
        <w:gridCol w:w="1210"/>
        <w:gridCol w:w="1212"/>
        <w:gridCol w:w="1061"/>
        <w:gridCol w:w="1251"/>
        <w:gridCol w:w="2391"/>
      </w:tblGrid>
      <w:tr w:rsidR="00B73FDB" w:rsidRPr="00B73FDB" w14:paraId="5DB1C213" w14:textId="77777777" w:rsidTr="00B73FDB">
        <w:trPr>
          <w:tblCellSpacing w:w="15" w:type="dxa"/>
        </w:trPr>
        <w:tc>
          <w:tcPr>
            <w:tcW w:w="270" w:type="pct"/>
            <w:shd w:val="clear" w:color="auto" w:fill="C6DBF7"/>
            <w:vAlign w:val="center"/>
            <w:hideMark/>
          </w:tcPr>
          <w:p w14:paraId="24EECAA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77E0632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7648686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52DAB2F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2B100BA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82" w:type="pct"/>
            <w:shd w:val="clear" w:color="auto" w:fill="C6DBF7"/>
            <w:vAlign w:val="center"/>
            <w:hideMark/>
          </w:tcPr>
          <w:p w14:paraId="219B539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19" w:type="pct"/>
            <w:shd w:val="clear" w:color="auto" w:fill="C6DBF7"/>
            <w:vAlign w:val="center"/>
            <w:hideMark/>
          </w:tcPr>
          <w:p w14:paraId="5EE3A15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2687509" w14:textId="77777777" w:rsidTr="00B73FDB">
        <w:trPr>
          <w:tblCellSpacing w:w="15" w:type="dxa"/>
        </w:trPr>
        <w:tc>
          <w:tcPr>
            <w:tcW w:w="270" w:type="pct"/>
            <w:shd w:val="clear" w:color="auto" w:fill="D9D9D9"/>
            <w:noWrap/>
            <w:vAlign w:val="center"/>
            <w:hideMark/>
          </w:tcPr>
          <w:p w14:paraId="076F3E94"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51C067E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5D5F660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513 583,00</w:t>
            </w:r>
            <w:r w:rsidRPr="00B73FDB">
              <w:rPr>
                <w:rFonts w:cs="Calibri"/>
                <w:sz w:val="18"/>
                <w:szCs w:val="18"/>
                <w:lang w:eastAsia="sk-SK"/>
              </w:rPr>
              <w:t xml:space="preserve"> </w:t>
            </w:r>
          </w:p>
        </w:tc>
        <w:tc>
          <w:tcPr>
            <w:tcW w:w="564" w:type="pct"/>
            <w:shd w:val="clear" w:color="auto" w:fill="D9D9D9"/>
            <w:noWrap/>
            <w:vAlign w:val="center"/>
            <w:hideMark/>
          </w:tcPr>
          <w:p w14:paraId="2FDA1B9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484 020,82</w:t>
            </w:r>
            <w:r w:rsidRPr="00B73FDB">
              <w:rPr>
                <w:rFonts w:cs="Calibri"/>
                <w:sz w:val="18"/>
                <w:szCs w:val="18"/>
                <w:lang w:eastAsia="sk-SK"/>
              </w:rPr>
              <w:t xml:space="preserve"> </w:t>
            </w:r>
          </w:p>
        </w:tc>
        <w:tc>
          <w:tcPr>
            <w:tcW w:w="492" w:type="pct"/>
            <w:shd w:val="clear" w:color="auto" w:fill="D9D9D9"/>
            <w:noWrap/>
            <w:vAlign w:val="center"/>
            <w:hideMark/>
          </w:tcPr>
          <w:p w14:paraId="5D6081A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484 008,79</w:t>
            </w:r>
            <w:r w:rsidRPr="00B73FDB">
              <w:rPr>
                <w:rFonts w:cs="Calibri"/>
                <w:sz w:val="18"/>
                <w:szCs w:val="18"/>
                <w:lang w:eastAsia="sk-SK"/>
              </w:rPr>
              <w:t xml:space="preserve"> </w:t>
            </w:r>
          </w:p>
        </w:tc>
        <w:tc>
          <w:tcPr>
            <w:tcW w:w="582" w:type="pct"/>
            <w:shd w:val="clear" w:color="auto" w:fill="D9D9D9"/>
            <w:noWrap/>
            <w:vAlign w:val="center"/>
            <w:hideMark/>
          </w:tcPr>
          <w:p w14:paraId="5A5A1CA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19" w:type="pct"/>
            <w:vMerge w:val="restart"/>
            <w:shd w:val="clear" w:color="auto" w:fill="D9D9D9"/>
            <w:vAlign w:val="center"/>
            <w:hideMark/>
          </w:tcPr>
          <w:p w14:paraId="4E096B8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-45 939,00 EUR</w:t>
            </w:r>
            <w:r w:rsidRPr="00B73FDB">
              <w:rPr>
                <w:rFonts w:cs="Calibri"/>
                <w:sz w:val="18"/>
                <w:szCs w:val="18"/>
                <w:lang w:eastAsia="sk-SK"/>
              </w:rPr>
              <w:t xml:space="preserve"> normatívne finančné prostriedky,</w:t>
            </w:r>
          </w:p>
          <w:p w14:paraId="5A703EB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+247,00 EUR</w:t>
            </w:r>
            <w:r w:rsidRPr="00B73FDB">
              <w:rPr>
                <w:rFonts w:cs="Calibri"/>
                <w:sz w:val="18"/>
                <w:szCs w:val="18"/>
                <w:lang w:eastAsia="sk-SK"/>
              </w:rPr>
              <w:t xml:space="preserve"> normatívne finančné prostriedky na maturity,</w:t>
            </w:r>
          </w:p>
          <w:p w14:paraId="1F21DBC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+165,00 EUR </w:t>
            </w:r>
            <w:r w:rsidRPr="00B73FDB">
              <w:rPr>
                <w:rFonts w:cs="Calibri"/>
                <w:sz w:val="18"/>
                <w:szCs w:val="18"/>
                <w:lang w:eastAsia="sk-SK"/>
              </w:rPr>
              <w:t>nenormatívne finančné prostriedky na vzdelávacie poukazy,</w:t>
            </w:r>
          </w:p>
          <w:p w14:paraId="70FA169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+28,92 EUR</w:t>
            </w:r>
            <w:r w:rsidRPr="00B73FDB">
              <w:rPr>
                <w:rFonts w:cs="Calibri"/>
                <w:sz w:val="18"/>
                <w:szCs w:val="18"/>
                <w:lang w:eastAsia="sk-SK"/>
              </w:rPr>
              <w:t xml:space="preserve"> nevyčerpané finančné prostriedky z r. 2019,</w:t>
            </w:r>
          </w:p>
          <w:p w14:paraId="4541BE3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+30,00 EUR</w:t>
            </w:r>
            <w:r w:rsidRPr="00B73FDB">
              <w:rPr>
                <w:rFonts w:cs="Calibri"/>
                <w:sz w:val="18"/>
                <w:szCs w:val="18"/>
                <w:lang w:eastAsia="sk-SK"/>
              </w:rPr>
              <w:t xml:space="preserve"> školské súťaže z OÚ,</w:t>
            </w:r>
          </w:p>
          <w:p w14:paraId="062B9E6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+15 905,90 EUR </w:t>
            </w:r>
            <w:r w:rsidRPr="00B73FDB">
              <w:rPr>
                <w:rFonts w:cs="Calibri"/>
                <w:sz w:val="18"/>
                <w:szCs w:val="18"/>
                <w:lang w:eastAsia="sk-SK"/>
              </w:rPr>
              <w:t>vlastné príjmy.</w:t>
            </w:r>
          </w:p>
        </w:tc>
      </w:tr>
      <w:tr w:rsidR="00B73FDB" w:rsidRPr="00B73FDB" w14:paraId="0FBD3406" w14:textId="77777777" w:rsidTr="00B73FDB">
        <w:trPr>
          <w:tblCellSpacing w:w="15" w:type="dxa"/>
        </w:trPr>
        <w:tc>
          <w:tcPr>
            <w:tcW w:w="270" w:type="pct"/>
            <w:shd w:val="clear" w:color="auto" w:fill="D9D9D9"/>
            <w:noWrap/>
            <w:vAlign w:val="center"/>
            <w:hideMark/>
          </w:tcPr>
          <w:p w14:paraId="0C5ECD2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2BF07CA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43EACA5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513 583,00</w:t>
            </w:r>
            <w:r w:rsidRPr="00B73FDB">
              <w:rPr>
                <w:rFonts w:cs="Calibri"/>
                <w:sz w:val="18"/>
                <w:szCs w:val="18"/>
                <w:lang w:eastAsia="sk-SK"/>
              </w:rPr>
              <w:t xml:space="preserve"> </w:t>
            </w:r>
          </w:p>
        </w:tc>
        <w:tc>
          <w:tcPr>
            <w:tcW w:w="564" w:type="pct"/>
            <w:shd w:val="clear" w:color="auto" w:fill="D9D9D9"/>
            <w:noWrap/>
            <w:vAlign w:val="center"/>
            <w:hideMark/>
          </w:tcPr>
          <w:p w14:paraId="216143E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484 020,82</w:t>
            </w:r>
            <w:r w:rsidRPr="00B73FDB">
              <w:rPr>
                <w:rFonts w:cs="Calibri"/>
                <w:sz w:val="18"/>
                <w:szCs w:val="18"/>
                <w:lang w:eastAsia="sk-SK"/>
              </w:rPr>
              <w:t xml:space="preserve"> </w:t>
            </w:r>
          </w:p>
        </w:tc>
        <w:tc>
          <w:tcPr>
            <w:tcW w:w="492" w:type="pct"/>
            <w:shd w:val="clear" w:color="auto" w:fill="D9D9D9"/>
            <w:noWrap/>
            <w:vAlign w:val="center"/>
            <w:hideMark/>
          </w:tcPr>
          <w:p w14:paraId="2B759AC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484 008,79</w:t>
            </w:r>
            <w:r w:rsidRPr="00B73FDB">
              <w:rPr>
                <w:rFonts w:cs="Calibri"/>
                <w:sz w:val="18"/>
                <w:szCs w:val="18"/>
                <w:lang w:eastAsia="sk-SK"/>
              </w:rPr>
              <w:t xml:space="preserve"> </w:t>
            </w:r>
          </w:p>
        </w:tc>
        <w:tc>
          <w:tcPr>
            <w:tcW w:w="582" w:type="pct"/>
            <w:shd w:val="clear" w:color="auto" w:fill="D9D9D9"/>
            <w:noWrap/>
            <w:vAlign w:val="center"/>
            <w:hideMark/>
          </w:tcPr>
          <w:p w14:paraId="59C08DA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19" w:type="pct"/>
            <w:vMerge/>
            <w:shd w:val="clear" w:color="auto" w:fill="D9D9D9"/>
            <w:vAlign w:val="center"/>
            <w:hideMark/>
          </w:tcPr>
          <w:p w14:paraId="4B081291" w14:textId="77777777" w:rsidR="00B73FDB" w:rsidRPr="00B73FDB" w:rsidRDefault="00B73FDB" w:rsidP="00B73FDB">
            <w:pPr>
              <w:spacing w:after="0" w:line="240" w:lineRule="auto"/>
              <w:rPr>
                <w:rFonts w:cs="Calibri"/>
                <w:sz w:val="18"/>
                <w:szCs w:val="18"/>
                <w:lang w:eastAsia="sk-SK"/>
              </w:rPr>
            </w:pPr>
          </w:p>
        </w:tc>
      </w:tr>
      <w:tr w:rsidR="00B73FDB" w:rsidRPr="00B73FDB" w14:paraId="42A2FFB7" w14:textId="77777777" w:rsidTr="00B73FDB">
        <w:trPr>
          <w:tblCellSpacing w:w="15" w:type="dxa"/>
        </w:trPr>
        <w:tc>
          <w:tcPr>
            <w:tcW w:w="270" w:type="pct"/>
            <w:shd w:val="clear" w:color="auto" w:fill="EFEFEF"/>
            <w:noWrap/>
            <w:vAlign w:val="center"/>
            <w:hideMark/>
          </w:tcPr>
          <w:p w14:paraId="68817A8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4A45AD2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6E0FDE5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256 730,00 </w:t>
            </w:r>
          </w:p>
        </w:tc>
        <w:tc>
          <w:tcPr>
            <w:tcW w:w="564" w:type="pct"/>
            <w:shd w:val="clear" w:color="auto" w:fill="EFEFEF"/>
            <w:noWrap/>
            <w:vAlign w:val="center"/>
            <w:hideMark/>
          </w:tcPr>
          <w:p w14:paraId="71D2C75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249 146,80 </w:t>
            </w:r>
          </w:p>
        </w:tc>
        <w:tc>
          <w:tcPr>
            <w:tcW w:w="492" w:type="pct"/>
            <w:shd w:val="clear" w:color="auto" w:fill="EFEFEF"/>
            <w:noWrap/>
            <w:vAlign w:val="center"/>
            <w:hideMark/>
          </w:tcPr>
          <w:p w14:paraId="3E37278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249 146,80 </w:t>
            </w:r>
          </w:p>
        </w:tc>
        <w:tc>
          <w:tcPr>
            <w:tcW w:w="582" w:type="pct"/>
            <w:shd w:val="clear" w:color="auto" w:fill="EFEFEF"/>
            <w:noWrap/>
            <w:vAlign w:val="center"/>
            <w:hideMark/>
          </w:tcPr>
          <w:p w14:paraId="64F36F4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9" w:type="pct"/>
            <w:vMerge/>
            <w:shd w:val="clear" w:color="auto" w:fill="EFEFEF"/>
            <w:vAlign w:val="center"/>
            <w:hideMark/>
          </w:tcPr>
          <w:p w14:paraId="6A00FAD0" w14:textId="77777777" w:rsidR="00B73FDB" w:rsidRPr="00B73FDB" w:rsidRDefault="00B73FDB" w:rsidP="00B73FDB">
            <w:pPr>
              <w:spacing w:after="0" w:line="240" w:lineRule="auto"/>
              <w:rPr>
                <w:rFonts w:cs="Calibri"/>
                <w:sz w:val="18"/>
                <w:szCs w:val="18"/>
                <w:lang w:eastAsia="sk-SK"/>
              </w:rPr>
            </w:pPr>
          </w:p>
        </w:tc>
      </w:tr>
      <w:tr w:rsidR="00B73FDB" w:rsidRPr="00B73FDB" w14:paraId="3E1F59B7" w14:textId="77777777" w:rsidTr="00B73FDB">
        <w:trPr>
          <w:tblCellSpacing w:w="15" w:type="dxa"/>
        </w:trPr>
        <w:tc>
          <w:tcPr>
            <w:tcW w:w="270" w:type="pct"/>
            <w:shd w:val="clear" w:color="auto" w:fill="EFEFEF"/>
            <w:noWrap/>
            <w:vAlign w:val="center"/>
            <w:hideMark/>
          </w:tcPr>
          <w:p w14:paraId="0238D68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598A40E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27E975B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89 727,00 </w:t>
            </w:r>
          </w:p>
        </w:tc>
        <w:tc>
          <w:tcPr>
            <w:tcW w:w="564" w:type="pct"/>
            <w:shd w:val="clear" w:color="auto" w:fill="EFEFEF"/>
            <w:noWrap/>
            <w:vAlign w:val="center"/>
            <w:hideMark/>
          </w:tcPr>
          <w:p w14:paraId="42554E4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91 116,53 </w:t>
            </w:r>
          </w:p>
        </w:tc>
        <w:tc>
          <w:tcPr>
            <w:tcW w:w="492" w:type="pct"/>
            <w:shd w:val="clear" w:color="auto" w:fill="EFEFEF"/>
            <w:noWrap/>
            <w:vAlign w:val="center"/>
            <w:hideMark/>
          </w:tcPr>
          <w:p w14:paraId="5DAA175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91 116,53 </w:t>
            </w:r>
          </w:p>
        </w:tc>
        <w:tc>
          <w:tcPr>
            <w:tcW w:w="582" w:type="pct"/>
            <w:shd w:val="clear" w:color="auto" w:fill="EFEFEF"/>
            <w:noWrap/>
            <w:vAlign w:val="center"/>
            <w:hideMark/>
          </w:tcPr>
          <w:p w14:paraId="614D90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9" w:type="pct"/>
            <w:vMerge/>
            <w:shd w:val="clear" w:color="auto" w:fill="EFEFEF"/>
            <w:vAlign w:val="center"/>
            <w:hideMark/>
          </w:tcPr>
          <w:p w14:paraId="77BA38BB" w14:textId="77777777" w:rsidR="00B73FDB" w:rsidRPr="00B73FDB" w:rsidRDefault="00B73FDB" w:rsidP="00B73FDB">
            <w:pPr>
              <w:spacing w:after="0" w:line="240" w:lineRule="auto"/>
              <w:rPr>
                <w:rFonts w:cs="Calibri"/>
                <w:sz w:val="18"/>
                <w:szCs w:val="18"/>
                <w:lang w:eastAsia="sk-SK"/>
              </w:rPr>
            </w:pPr>
          </w:p>
        </w:tc>
      </w:tr>
      <w:tr w:rsidR="00B73FDB" w:rsidRPr="00B73FDB" w14:paraId="50F48A5D" w14:textId="77777777" w:rsidTr="00B73FDB">
        <w:trPr>
          <w:tblCellSpacing w:w="15" w:type="dxa"/>
        </w:trPr>
        <w:tc>
          <w:tcPr>
            <w:tcW w:w="270" w:type="pct"/>
            <w:shd w:val="clear" w:color="auto" w:fill="EFEFEF"/>
            <w:noWrap/>
            <w:vAlign w:val="center"/>
            <w:hideMark/>
          </w:tcPr>
          <w:p w14:paraId="53C19E0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45D7E5C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0697EE5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167 126,00 </w:t>
            </w:r>
          </w:p>
        </w:tc>
        <w:tc>
          <w:tcPr>
            <w:tcW w:w="564" w:type="pct"/>
            <w:shd w:val="clear" w:color="auto" w:fill="EFEFEF"/>
            <w:noWrap/>
            <w:vAlign w:val="center"/>
            <w:hideMark/>
          </w:tcPr>
          <w:p w14:paraId="0D9E9B8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143 203,00 </w:t>
            </w:r>
          </w:p>
        </w:tc>
        <w:tc>
          <w:tcPr>
            <w:tcW w:w="492" w:type="pct"/>
            <w:shd w:val="clear" w:color="auto" w:fill="EFEFEF"/>
            <w:noWrap/>
            <w:vAlign w:val="center"/>
            <w:hideMark/>
          </w:tcPr>
          <w:p w14:paraId="18C063E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143 190,97 </w:t>
            </w:r>
          </w:p>
        </w:tc>
        <w:tc>
          <w:tcPr>
            <w:tcW w:w="582" w:type="pct"/>
            <w:shd w:val="clear" w:color="auto" w:fill="EFEFEF"/>
            <w:noWrap/>
            <w:vAlign w:val="center"/>
            <w:hideMark/>
          </w:tcPr>
          <w:p w14:paraId="27C6608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99,99 </w:t>
            </w:r>
          </w:p>
        </w:tc>
        <w:tc>
          <w:tcPr>
            <w:tcW w:w="1119" w:type="pct"/>
            <w:vMerge/>
            <w:shd w:val="clear" w:color="auto" w:fill="EFEFEF"/>
            <w:vAlign w:val="center"/>
            <w:hideMark/>
          </w:tcPr>
          <w:p w14:paraId="0072D8D1" w14:textId="77777777" w:rsidR="00B73FDB" w:rsidRPr="00B73FDB" w:rsidRDefault="00B73FDB" w:rsidP="00B73FDB">
            <w:pPr>
              <w:spacing w:after="0" w:line="240" w:lineRule="auto"/>
              <w:rPr>
                <w:rFonts w:cs="Calibri"/>
                <w:sz w:val="18"/>
                <w:szCs w:val="18"/>
                <w:lang w:eastAsia="sk-SK"/>
              </w:rPr>
            </w:pPr>
          </w:p>
        </w:tc>
      </w:tr>
    </w:tbl>
    <w:p w14:paraId="506CF3B8"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0189F50D" w14:textId="77777777" w:rsidTr="00B73FDB">
        <w:trPr>
          <w:tblCellSpacing w:w="15" w:type="dxa"/>
        </w:trPr>
        <w:tc>
          <w:tcPr>
            <w:tcW w:w="0" w:type="auto"/>
            <w:shd w:val="clear" w:color="auto" w:fill="C2D69B"/>
            <w:vAlign w:val="center"/>
            <w:hideMark/>
          </w:tcPr>
          <w:p w14:paraId="7ECEA84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Zodpovednosť</w:t>
            </w:r>
          </w:p>
        </w:tc>
        <w:tc>
          <w:tcPr>
            <w:tcW w:w="0" w:type="auto"/>
            <w:gridSpan w:val="4"/>
            <w:shd w:val="clear" w:color="auto" w:fill="C2D69B"/>
            <w:vAlign w:val="center"/>
            <w:hideMark/>
          </w:tcPr>
          <w:p w14:paraId="591B25E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87FC425" w14:textId="77777777" w:rsidTr="00B73FDB">
        <w:trPr>
          <w:tblCellSpacing w:w="15" w:type="dxa"/>
        </w:trPr>
        <w:tc>
          <w:tcPr>
            <w:tcW w:w="0" w:type="auto"/>
            <w:shd w:val="clear" w:color="auto" w:fill="C2D69B"/>
            <w:vAlign w:val="center"/>
            <w:hideMark/>
          </w:tcPr>
          <w:p w14:paraId="248A96F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3CD5D4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2EE2C898" w14:textId="77777777" w:rsidTr="00B73FDB">
        <w:trPr>
          <w:tblCellSpacing w:w="15" w:type="dxa"/>
        </w:trPr>
        <w:tc>
          <w:tcPr>
            <w:tcW w:w="0" w:type="auto"/>
            <w:shd w:val="clear" w:color="auto" w:fill="C2D69B"/>
            <w:vAlign w:val="center"/>
            <w:hideMark/>
          </w:tcPr>
          <w:p w14:paraId="489497C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78FB36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0F9CD69F" w14:textId="77777777" w:rsidTr="00B73FDB">
        <w:trPr>
          <w:tblCellSpacing w:w="15" w:type="dxa"/>
        </w:trPr>
        <w:tc>
          <w:tcPr>
            <w:tcW w:w="0" w:type="auto"/>
            <w:shd w:val="clear" w:color="auto" w:fill="C2D69B"/>
            <w:vAlign w:val="center"/>
            <w:hideMark/>
          </w:tcPr>
          <w:p w14:paraId="4D3635F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3C0971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E71828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3A97D3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83475E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BF87C9D" w14:textId="77777777" w:rsidTr="00B73FDB">
        <w:trPr>
          <w:tblCellSpacing w:w="15" w:type="dxa"/>
        </w:trPr>
        <w:tc>
          <w:tcPr>
            <w:tcW w:w="0" w:type="auto"/>
            <w:shd w:val="clear" w:color="auto" w:fill="C2D69B"/>
            <w:vAlign w:val="center"/>
            <w:hideMark/>
          </w:tcPr>
          <w:p w14:paraId="0EE25D3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D1EDD7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111 </w:t>
            </w:r>
          </w:p>
        </w:tc>
        <w:tc>
          <w:tcPr>
            <w:tcW w:w="0" w:type="auto"/>
            <w:shd w:val="clear" w:color="auto" w:fill="C2D69B"/>
            <w:noWrap/>
            <w:vAlign w:val="center"/>
            <w:hideMark/>
          </w:tcPr>
          <w:p w14:paraId="44224FC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115 </w:t>
            </w:r>
          </w:p>
        </w:tc>
        <w:tc>
          <w:tcPr>
            <w:tcW w:w="0" w:type="auto"/>
            <w:shd w:val="clear" w:color="auto" w:fill="C2D69B"/>
            <w:vAlign w:val="center"/>
            <w:hideMark/>
          </w:tcPr>
          <w:p w14:paraId="735B7EA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8179694"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164574C" w14:textId="77777777" w:rsidTr="00B73FDB">
        <w:trPr>
          <w:tblCellSpacing w:w="15" w:type="dxa"/>
        </w:trPr>
        <w:tc>
          <w:tcPr>
            <w:tcW w:w="0" w:type="auto"/>
            <w:shd w:val="clear" w:color="auto" w:fill="C2D69B"/>
            <w:vAlign w:val="center"/>
            <w:hideMark/>
          </w:tcPr>
          <w:p w14:paraId="66D16C7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B3C3FB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BACC04F" w14:textId="77777777" w:rsidTr="00B73FDB">
        <w:trPr>
          <w:tblCellSpacing w:w="15" w:type="dxa"/>
        </w:trPr>
        <w:tc>
          <w:tcPr>
            <w:tcW w:w="0" w:type="auto"/>
            <w:shd w:val="clear" w:color="auto" w:fill="C2D69B"/>
            <w:vAlign w:val="center"/>
            <w:hideMark/>
          </w:tcPr>
          <w:p w14:paraId="2175CAF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EF81CB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F72F1D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7B4E9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268DB2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D3E079B" w14:textId="77777777" w:rsidTr="00B73FDB">
        <w:trPr>
          <w:tblCellSpacing w:w="15" w:type="dxa"/>
        </w:trPr>
        <w:tc>
          <w:tcPr>
            <w:tcW w:w="0" w:type="auto"/>
            <w:shd w:val="clear" w:color="auto" w:fill="C2D69B"/>
            <w:vAlign w:val="center"/>
            <w:hideMark/>
          </w:tcPr>
          <w:p w14:paraId="3D5A7FA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3E0D5A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111 </w:t>
            </w:r>
          </w:p>
        </w:tc>
        <w:tc>
          <w:tcPr>
            <w:tcW w:w="0" w:type="auto"/>
            <w:shd w:val="clear" w:color="auto" w:fill="C2D69B"/>
            <w:noWrap/>
            <w:vAlign w:val="center"/>
            <w:hideMark/>
          </w:tcPr>
          <w:p w14:paraId="7372592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114 </w:t>
            </w:r>
          </w:p>
        </w:tc>
        <w:tc>
          <w:tcPr>
            <w:tcW w:w="0" w:type="auto"/>
            <w:shd w:val="clear" w:color="auto" w:fill="C2D69B"/>
            <w:vAlign w:val="center"/>
            <w:hideMark/>
          </w:tcPr>
          <w:p w14:paraId="04D2874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B9BA60D" w14:textId="77777777" w:rsidR="00B73FDB" w:rsidRPr="00B73FDB" w:rsidRDefault="00B73FDB" w:rsidP="00B73FDB">
            <w:pPr>
              <w:spacing w:after="0" w:line="240" w:lineRule="auto"/>
              <w:jc w:val="center"/>
              <w:rPr>
                <w:rFonts w:cs="Calibri"/>
                <w:sz w:val="18"/>
                <w:szCs w:val="18"/>
                <w:lang w:eastAsia="sk-SK"/>
              </w:rPr>
            </w:pPr>
          </w:p>
        </w:tc>
      </w:tr>
    </w:tbl>
    <w:p w14:paraId="0FB698B5"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hlavne na ekonomiku a organizáciu v dennej forme štúdia a externej forme štúdia. </w:t>
      </w:r>
    </w:p>
    <w:p w14:paraId="6B0D1199"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8.3.27: Obchodná akadémia, </w:t>
      </w:r>
      <w:proofErr w:type="spellStart"/>
      <w:r w:rsidRPr="00352CED">
        <w:rPr>
          <w:rFonts w:ascii="Calibri" w:hAnsi="Calibri" w:cs="Calibri"/>
          <w:b/>
          <w:color w:val="244061"/>
        </w:rPr>
        <w:t>Myslenická</w:t>
      </w:r>
      <w:proofErr w:type="spellEnd"/>
      <w:r w:rsidRPr="00352CED">
        <w:rPr>
          <w:rFonts w:ascii="Calibri" w:hAnsi="Calibri" w:cs="Calibri"/>
          <w:b/>
          <w:color w:val="244061"/>
        </w:rPr>
        <w:t xml:space="preserve"> 1, Pezinok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7"/>
        <w:gridCol w:w="2734"/>
        <w:gridCol w:w="1212"/>
        <w:gridCol w:w="1212"/>
        <w:gridCol w:w="1034"/>
        <w:gridCol w:w="1278"/>
        <w:gridCol w:w="2389"/>
      </w:tblGrid>
      <w:tr w:rsidR="00B73FDB" w:rsidRPr="00B73FDB" w14:paraId="17D5564D" w14:textId="77777777" w:rsidTr="00B73FDB">
        <w:trPr>
          <w:tblCellSpacing w:w="15" w:type="dxa"/>
        </w:trPr>
        <w:tc>
          <w:tcPr>
            <w:tcW w:w="268" w:type="pct"/>
            <w:shd w:val="clear" w:color="auto" w:fill="C6DBF7"/>
            <w:vAlign w:val="center"/>
            <w:hideMark/>
          </w:tcPr>
          <w:p w14:paraId="6F68FD1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29C315F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3C2F0CE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741002F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79" w:type="pct"/>
            <w:shd w:val="clear" w:color="auto" w:fill="C6DBF7"/>
            <w:vAlign w:val="center"/>
            <w:hideMark/>
          </w:tcPr>
          <w:p w14:paraId="254F9FC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95" w:type="pct"/>
            <w:shd w:val="clear" w:color="auto" w:fill="C6DBF7"/>
            <w:vAlign w:val="center"/>
            <w:hideMark/>
          </w:tcPr>
          <w:p w14:paraId="7AB105C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18" w:type="pct"/>
            <w:shd w:val="clear" w:color="auto" w:fill="C6DBF7"/>
            <w:vAlign w:val="center"/>
            <w:hideMark/>
          </w:tcPr>
          <w:p w14:paraId="7437B2D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6A4A2AB" w14:textId="77777777" w:rsidTr="00B73FDB">
        <w:trPr>
          <w:tblCellSpacing w:w="15" w:type="dxa"/>
        </w:trPr>
        <w:tc>
          <w:tcPr>
            <w:tcW w:w="268" w:type="pct"/>
            <w:shd w:val="clear" w:color="auto" w:fill="D9D9D9"/>
            <w:noWrap/>
            <w:vAlign w:val="center"/>
            <w:hideMark/>
          </w:tcPr>
          <w:p w14:paraId="6E5C7A3F"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6CCABE8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38FBC31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565 703,00</w:t>
            </w:r>
            <w:r w:rsidRPr="00B73FDB">
              <w:rPr>
                <w:rFonts w:cs="Calibri"/>
                <w:sz w:val="18"/>
                <w:szCs w:val="18"/>
                <w:lang w:eastAsia="sk-SK"/>
              </w:rPr>
              <w:t xml:space="preserve"> </w:t>
            </w:r>
          </w:p>
        </w:tc>
        <w:tc>
          <w:tcPr>
            <w:tcW w:w="564" w:type="pct"/>
            <w:shd w:val="clear" w:color="auto" w:fill="D9D9D9"/>
            <w:noWrap/>
            <w:vAlign w:val="center"/>
            <w:hideMark/>
          </w:tcPr>
          <w:p w14:paraId="2D77396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612 655,21</w:t>
            </w:r>
            <w:r w:rsidRPr="00B73FDB">
              <w:rPr>
                <w:rFonts w:cs="Calibri"/>
                <w:sz w:val="18"/>
                <w:szCs w:val="18"/>
                <w:lang w:eastAsia="sk-SK"/>
              </w:rPr>
              <w:t xml:space="preserve"> </w:t>
            </w:r>
          </w:p>
        </w:tc>
        <w:tc>
          <w:tcPr>
            <w:tcW w:w="479" w:type="pct"/>
            <w:shd w:val="clear" w:color="auto" w:fill="D9D9D9"/>
            <w:noWrap/>
            <w:vAlign w:val="center"/>
            <w:hideMark/>
          </w:tcPr>
          <w:p w14:paraId="51E29A5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602 187,78</w:t>
            </w:r>
            <w:r w:rsidRPr="00B73FDB">
              <w:rPr>
                <w:rFonts w:cs="Calibri"/>
                <w:sz w:val="18"/>
                <w:szCs w:val="18"/>
                <w:lang w:eastAsia="sk-SK"/>
              </w:rPr>
              <w:t xml:space="preserve"> </w:t>
            </w:r>
          </w:p>
        </w:tc>
        <w:tc>
          <w:tcPr>
            <w:tcW w:w="595" w:type="pct"/>
            <w:shd w:val="clear" w:color="auto" w:fill="D9D9D9"/>
            <w:noWrap/>
            <w:vAlign w:val="center"/>
            <w:hideMark/>
          </w:tcPr>
          <w:p w14:paraId="7D478E4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98,29</w:t>
            </w:r>
            <w:r w:rsidRPr="00B73FDB">
              <w:rPr>
                <w:rFonts w:cs="Calibri"/>
                <w:sz w:val="18"/>
                <w:szCs w:val="18"/>
                <w:lang w:eastAsia="sk-SK"/>
              </w:rPr>
              <w:t xml:space="preserve"> </w:t>
            </w:r>
          </w:p>
        </w:tc>
        <w:tc>
          <w:tcPr>
            <w:tcW w:w="1118" w:type="pct"/>
            <w:vMerge w:val="restart"/>
            <w:shd w:val="clear" w:color="auto" w:fill="D9D9D9"/>
            <w:vAlign w:val="center"/>
            <w:hideMark/>
          </w:tcPr>
          <w:p w14:paraId="3D2982F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+39 876,00 EUR</w:t>
            </w:r>
            <w:r w:rsidRPr="00B73FDB">
              <w:rPr>
                <w:rFonts w:cs="Calibri"/>
                <w:sz w:val="18"/>
                <w:szCs w:val="18"/>
                <w:lang w:eastAsia="sk-SK"/>
              </w:rPr>
              <w:t xml:space="preserve"> normatívne finančné prostriedky,</w:t>
            </w:r>
          </w:p>
          <w:p w14:paraId="7C91594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+251,00 EUR</w:t>
            </w:r>
            <w:r w:rsidRPr="00B73FDB">
              <w:rPr>
                <w:rFonts w:cs="Calibri"/>
                <w:sz w:val="18"/>
                <w:szCs w:val="18"/>
                <w:lang w:eastAsia="sk-SK"/>
              </w:rPr>
              <w:t xml:space="preserve"> normatívne finančné prostriedky na maturity,</w:t>
            </w:r>
          </w:p>
          <w:p w14:paraId="6F19D63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+38,00 EUR </w:t>
            </w:r>
            <w:r w:rsidRPr="00B73FDB">
              <w:rPr>
                <w:rFonts w:cs="Calibri"/>
                <w:sz w:val="18"/>
                <w:szCs w:val="18"/>
                <w:lang w:eastAsia="sk-SK"/>
              </w:rPr>
              <w:t>nenormatívne finančné prostriedky na vzdelávacie poukazy,</w:t>
            </w:r>
          </w:p>
          <w:p w14:paraId="4D3B365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-1 507,00 EUR</w:t>
            </w:r>
            <w:r w:rsidRPr="00B73FDB">
              <w:rPr>
                <w:rFonts w:cs="Calibri"/>
                <w:sz w:val="18"/>
                <w:szCs w:val="18"/>
                <w:lang w:eastAsia="sk-SK"/>
              </w:rPr>
              <w:t xml:space="preserve"> odchodné do dôchodku,</w:t>
            </w:r>
          </w:p>
          <w:p w14:paraId="73A1BE3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-1 305,00 EUR</w:t>
            </w:r>
            <w:r w:rsidRPr="00B73FDB">
              <w:rPr>
                <w:rFonts w:cs="Calibri"/>
                <w:sz w:val="18"/>
                <w:szCs w:val="18"/>
                <w:lang w:eastAsia="sk-SK"/>
              </w:rPr>
              <w:t xml:space="preserve"> nenormatívne finančné prostriedky na lyžiarske kurzy,</w:t>
            </w:r>
          </w:p>
          <w:p w14:paraId="1F0C214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+5 840,16 EUR</w:t>
            </w:r>
            <w:r w:rsidRPr="00B73FDB">
              <w:rPr>
                <w:rFonts w:cs="Calibri"/>
                <w:sz w:val="18"/>
                <w:szCs w:val="18"/>
                <w:lang w:eastAsia="sk-SK"/>
              </w:rPr>
              <w:t xml:space="preserve"> nevyčerpané finančné prostriedky z r. 2019,</w:t>
            </w:r>
          </w:p>
          <w:p w14:paraId="2F66334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+1 861,35 EUR</w:t>
            </w:r>
            <w:r w:rsidRPr="00B73FDB">
              <w:rPr>
                <w:rFonts w:cs="Calibri"/>
                <w:sz w:val="18"/>
                <w:szCs w:val="18"/>
                <w:lang w:eastAsia="sk-SK"/>
              </w:rPr>
              <w:t xml:space="preserve"> projekt z MPC,</w:t>
            </w:r>
          </w:p>
          <w:p w14:paraId="7EC92BD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+1 897,70 EUR </w:t>
            </w:r>
            <w:r w:rsidRPr="00B73FDB">
              <w:rPr>
                <w:rFonts w:cs="Calibri"/>
                <w:sz w:val="18"/>
                <w:szCs w:val="18"/>
                <w:lang w:eastAsia="sk-SK"/>
              </w:rPr>
              <w:t xml:space="preserve">príjmy z prenájmov. </w:t>
            </w:r>
          </w:p>
        </w:tc>
      </w:tr>
      <w:tr w:rsidR="00B73FDB" w:rsidRPr="00B73FDB" w14:paraId="5822B956" w14:textId="77777777" w:rsidTr="00B73FDB">
        <w:trPr>
          <w:tblCellSpacing w:w="15" w:type="dxa"/>
        </w:trPr>
        <w:tc>
          <w:tcPr>
            <w:tcW w:w="268" w:type="pct"/>
            <w:shd w:val="clear" w:color="auto" w:fill="D9D9D9"/>
            <w:noWrap/>
            <w:vAlign w:val="center"/>
            <w:hideMark/>
          </w:tcPr>
          <w:p w14:paraId="7501247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47E0680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0703D85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565 703,00</w:t>
            </w:r>
            <w:r w:rsidRPr="00B73FDB">
              <w:rPr>
                <w:rFonts w:cs="Calibri"/>
                <w:sz w:val="18"/>
                <w:szCs w:val="18"/>
                <w:lang w:eastAsia="sk-SK"/>
              </w:rPr>
              <w:t xml:space="preserve"> </w:t>
            </w:r>
          </w:p>
        </w:tc>
        <w:tc>
          <w:tcPr>
            <w:tcW w:w="564" w:type="pct"/>
            <w:shd w:val="clear" w:color="auto" w:fill="D9D9D9"/>
            <w:noWrap/>
            <w:vAlign w:val="center"/>
            <w:hideMark/>
          </w:tcPr>
          <w:p w14:paraId="398F6ED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612 655,21</w:t>
            </w:r>
            <w:r w:rsidRPr="00B73FDB">
              <w:rPr>
                <w:rFonts w:cs="Calibri"/>
                <w:sz w:val="18"/>
                <w:szCs w:val="18"/>
                <w:lang w:eastAsia="sk-SK"/>
              </w:rPr>
              <w:t xml:space="preserve"> </w:t>
            </w:r>
          </w:p>
        </w:tc>
        <w:tc>
          <w:tcPr>
            <w:tcW w:w="479" w:type="pct"/>
            <w:shd w:val="clear" w:color="auto" w:fill="D9D9D9"/>
            <w:noWrap/>
            <w:vAlign w:val="center"/>
            <w:hideMark/>
          </w:tcPr>
          <w:p w14:paraId="4E9C749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602 187,78</w:t>
            </w:r>
            <w:r w:rsidRPr="00B73FDB">
              <w:rPr>
                <w:rFonts w:cs="Calibri"/>
                <w:sz w:val="18"/>
                <w:szCs w:val="18"/>
                <w:lang w:eastAsia="sk-SK"/>
              </w:rPr>
              <w:t xml:space="preserve"> </w:t>
            </w:r>
          </w:p>
        </w:tc>
        <w:tc>
          <w:tcPr>
            <w:tcW w:w="595" w:type="pct"/>
            <w:shd w:val="clear" w:color="auto" w:fill="D9D9D9"/>
            <w:noWrap/>
            <w:vAlign w:val="center"/>
            <w:hideMark/>
          </w:tcPr>
          <w:p w14:paraId="6331A51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98,29</w:t>
            </w:r>
            <w:r w:rsidRPr="00B73FDB">
              <w:rPr>
                <w:rFonts w:cs="Calibri"/>
                <w:sz w:val="18"/>
                <w:szCs w:val="18"/>
                <w:lang w:eastAsia="sk-SK"/>
              </w:rPr>
              <w:t xml:space="preserve"> </w:t>
            </w:r>
          </w:p>
        </w:tc>
        <w:tc>
          <w:tcPr>
            <w:tcW w:w="1118" w:type="pct"/>
            <w:vMerge/>
            <w:shd w:val="clear" w:color="auto" w:fill="D9D9D9"/>
            <w:vAlign w:val="center"/>
            <w:hideMark/>
          </w:tcPr>
          <w:p w14:paraId="02963959" w14:textId="77777777" w:rsidR="00B73FDB" w:rsidRPr="00B73FDB" w:rsidRDefault="00B73FDB" w:rsidP="00B73FDB">
            <w:pPr>
              <w:spacing w:after="0" w:line="240" w:lineRule="auto"/>
              <w:rPr>
                <w:rFonts w:cs="Calibri"/>
                <w:sz w:val="18"/>
                <w:szCs w:val="18"/>
                <w:lang w:eastAsia="sk-SK"/>
              </w:rPr>
            </w:pPr>
          </w:p>
        </w:tc>
      </w:tr>
      <w:tr w:rsidR="00B73FDB" w:rsidRPr="00B73FDB" w14:paraId="3B3F54EF" w14:textId="77777777" w:rsidTr="00B73FDB">
        <w:trPr>
          <w:tblCellSpacing w:w="15" w:type="dxa"/>
        </w:trPr>
        <w:tc>
          <w:tcPr>
            <w:tcW w:w="268" w:type="pct"/>
            <w:shd w:val="clear" w:color="auto" w:fill="EFEFEF"/>
            <w:noWrap/>
            <w:vAlign w:val="center"/>
            <w:hideMark/>
          </w:tcPr>
          <w:p w14:paraId="472D065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2558156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3F39472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377 535,00 </w:t>
            </w:r>
          </w:p>
        </w:tc>
        <w:tc>
          <w:tcPr>
            <w:tcW w:w="564" w:type="pct"/>
            <w:shd w:val="clear" w:color="auto" w:fill="EFEFEF"/>
            <w:noWrap/>
            <w:vAlign w:val="center"/>
            <w:hideMark/>
          </w:tcPr>
          <w:p w14:paraId="136AF13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374 355,71 </w:t>
            </w:r>
          </w:p>
        </w:tc>
        <w:tc>
          <w:tcPr>
            <w:tcW w:w="479" w:type="pct"/>
            <w:shd w:val="clear" w:color="auto" w:fill="EFEFEF"/>
            <w:noWrap/>
            <w:vAlign w:val="center"/>
            <w:hideMark/>
          </w:tcPr>
          <w:p w14:paraId="08B3B8B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374 355,71 </w:t>
            </w:r>
          </w:p>
        </w:tc>
        <w:tc>
          <w:tcPr>
            <w:tcW w:w="595" w:type="pct"/>
            <w:shd w:val="clear" w:color="auto" w:fill="EFEFEF"/>
            <w:noWrap/>
            <w:vAlign w:val="center"/>
            <w:hideMark/>
          </w:tcPr>
          <w:p w14:paraId="71C2557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8" w:type="pct"/>
            <w:vMerge/>
            <w:shd w:val="clear" w:color="auto" w:fill="EFEFEF"/>
            <w:vAlign w:val="center"/>
            <w:hideMark/>
          </w:tcPr>
          <w:p w14:paraId="4755A247" w14:textId="77777777" w:rsidR="00B73FDB" w:rsidRPr="00B73FDB" w:rsidRDefault="00B73FDB" w:rsidP="00B73FDB">
            <w:pPr>
              <w:spacing w:after="0" w:line="240" w:lineRule="auto"/>
              <w:rPr>
                <w:rFonts w:cs="Calibri"/>
                <w:sz w:val="18"/>
                <w:szCs w:val="18"/>
                <w:lang w:eastAsia="sk-SK"/>
              </w:rPr>
            </w:pPr>
          </w:p>
        </w:tc>
      </w:tr>
      <w:tr w:rsidR="00B73FDB" w:rsidRPr="00B73FDB" w14:paraId="4E85B8E2" w14:textId="77777777" w:rsidTr="00B73FDB">
        <w:trPr>
          <w:tblCellSpacing w:w="15" w:type="dxa"/>
        </w:trPr>
        <w:tc>
          <w:tcPr>
            <w:tcW w:w="268" w:type="pct"/>
            <w:shd w:val="clear" w:color="auto" w:fill="EFEFEF"/>
            <w:noWrap/>
            <w:vAlign w:val="center"/>
            <w:hideMark/>
          </w:tcPr>
          <w:p w14:paraId="07AA382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283A110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56AB3A7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131 948,00 </w:t>
            </w:r>
          </w:p>
        </w:tc>
        <w:tc>
          <w:tcPr>
            <w:tcW w:w="564" w:type="pct"/>
            <w:shd w:val="clear" w:color="auto" w:fill="EFEFEF"/>
            <w:noWrap/>
            <w:vAlign w:val="center"/>
            <w:hideMark/>
          </w:tcPr>
          <w:p w14:paraId="01EEBEA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128 668,48 </w:t>
            </w:r>
          </w:p>
        </w:tc>
        <w:tc>
          <w:tcPr>
            <w:tcW w:w="479" w:type="pct"/>
            <w:shd w:val="clear" w:color="auto" w:fill="EFEFEF"/>
            <w:noWrap/>
            <w:vAlign w:val="center"/>
            <w:hideMark/>
          </w:tcPr>
          <w:p w14:paraId="3F15A55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128 668,48 </w:t>
            </w:r>
          </w:p>
        </w:tc>
        <w:tc>
          <w:tcPr>
            <w:tcW w:w="595" w:type="pct"/>
            <w:shd w:val="clear" w:color="auto" w:fill="EFEFEF"/>
            <w:noWrap/>
            <w:vAlign w:val="center"/>
            <w:hideMark/>
          </w:tcPr>
          <w:p w14:paraId="3C75318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8" w:type="pct"/>
            <w:vMerge/>
            <w:shd w:val="clear" w:color="auto" w:fill="EFEFEF"/>
            <w:vAlign w:val="center"/>
            <w:hideMark/>
          </w:tcPr>
          <w:p w14:paraId="76F92177" w14:textId="77777777" w:rsidR="00B73FDB" w:rsidRPr="00B73FDB" w:rsidRDefault="00B73FDB" w:rsidP="00B73FDB">
            <w:pPr>
              <w:spacing w:after="0" w:line="240" w:lineRule="auto"/>
              <w:rPr>
                <w:rFonts w:cs="Calibri"/>
                <w:sz w:val="18"/>
                <w:szCs w:val="18"/>
                <w:lang w:eastAsia="sk-SK"/>
              </w:rPr>
            </w:pPr>
          </w:p>
        </w:tc>
      </w:tr>
      <w:tr w:rsidR="00B73FDB" w:rsidRPr="00B73FDB" w14:paraId="06868AE9" w14:textId="77777777" w:rsidTr="00B73FDB">
        <w:trPr>
          <w:tblCellSpacing w:w="15" w:type="dxa"/>
        </w:trPr>
        <w:tc>
          <w:tcPr>
            <w:tcW w:w="268" w:type="pct"/>
            <w:shd w:val="clear" w:color="auto" w:fill="EFEFEF"/>
            <w:noWrap/>
            <w:vAlign w:val="center"/>
            <w:hideMark/>
          </w:tcPr>
          <w:p w14:paraId="7B128A3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114E6C0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08940E8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56 220,00 </w:t>
            </w:r>
          </w:p>
        </w:tc>
        <w:tc>
          <w:tcPr>
            <w:tcW w:w="564" w:type="pct"/>
            <w:shd w:val="clear" w:color="auto" w:fill="EFEFEF"/>
            <w:noWrap/>
            <w:vAlign w:val="center"/>
            <w:hideMark/>
          </w:tcPr>
          <w:p w14:paraId="32FF43A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105 084,19 </w:t>
            </w:r>
          </w:p>
        </w:tc>
        <w:tc>
          <w:tcPr>
            <w:tcW w:w="479" w:type="pct"/>
            <w:shd w:val="clear" w:color="auto" w:fill="EFEFEF"/>
            <w:noWrap/>
            <w:vAlign w:val="center"/>
            <w:hideMark/>
          </w:tcPr>
          <w:p w14:paraId="05D2AD3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94 616,76 </w:t>
            </w:r>
          </w:p>
        </w:tc>
        <w:tc>
          <w:tcPr>
            <w:tcW w:w="595" w:type="pct"/>
            <w:shd w:val="clear" w:color="auto" w:fill="EFEFEF"/>
            <w:noWrap/>
            <w:vAlign w:val="center"/>
            <w:hideMark/>
          </w:tcPr>
          <w:p w14:paraId="7E4AF6A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90,04 </w:t>
            </w:r>
          </w:p>
        </w:tc>
        <w:tc>
          <w:tcPr>
            <w:tcW w:w="1118" w:type="pct"/>
            <w:vMerge/>
            <w:shd w:val="clear" w:color="auto" w:fill="EFEFEF"/>
            <w:vAlign w:val="center"/>
            <w:hideMark/>
          </w:tcPr>
          <w:p w14:paraId="1CE489C8" w14:textId="77777777" w:rsidR="00B73FDB" w:rsidRPr="00B73FDB" w:rsidRDefault="00B73FDB" w:rsidP="00B73FDB">
            <w:pPr>
              <w:spacing w:after="0" w:line="240" w:lineRule="auto"/>
              <w:rPr>
                <w:rFonts w:cs="Calibri"/>
                <w:sz w:val="18"/>
                <w:szCs w:val="18"/>
                <w:lang w:eastAsia="sk-SK"/>
              </w:rPr>
            </w:pPr>
          </w:p>
        </w:tc>
      </w:tr>
    </w:tbl>
    <w:p w14:paraId="728BCA88"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9"/>
        <w:gridCol w:w="706"/>
        <w:gridCol w:w="1670"/>
        <w:gridCol w:w="1202"/>
        <w:gridCol w:w="4159"/>
      </w:tblGrid>
      <w:tr w:rsidR="00B73FDB" w:rsidRPr="00B73FDB" w14:paraId="58FFA056" w14:textId="77777777" w:rsidTr="00B73FDB">
        <w:trPr>
          <w:tblCellSpacing w:w="15" w:type="dxa"/>
        </w:trPr>
        <w:tc>
          <w:tcPr>
            <w:tcW w:w="0" w:type="auto"/>
            <w:shd w:val="clear" w:color="auto" w:fill="C2D69B"/>
            <w:vAlign w:val="center"/>
            <w:hideMark/>
          </w:tcPr>
          <w:p w14:paraId="77E5C4F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4C1C71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9DE7850" w14:textId="77777777" w:rsidTr="00B73FDB">
        <w:trPr>
          <w:tblCellSpacing w:w="15" w:type="dxa"/>
        </w:trPr>
        <w:tc>
          <w:tcPr>
            <w:tcW w:w="0" w:type="auto"/>
            <w:shd w:val="clear" w:color="auto" w:fill="C2D69B"/>
            <w:vAlign w:val="center"/>
            <w:hideMark/>
          </w:tcPr>
          <w:p w14:paraId="61B6DB0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EFEA3C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OA </w:t>
            </w:r>
          </w:p>
        </w:tc>
      </w:tr>
      <w:tr w:rsidR="00B73FDB" w:rsidRPr="00B73FDB" w14:paraId="147EFEFA" w14:textId="77777777" w:rsidTr="00B73FDB">
        <w:trPr>
          <w:tblCellSpacing w:w="15" w:type="dxa"/>
        </w:trPr>
        <w:tc>
          <w:tcPr>
            <w:tcW w:w="0" w:type="auto"/>
            <w:shd w:val="clear" w:color="auto" w:fill="C2D69B"/>
            <w:vAlign w:val="center"/>
            <w:hideMark/>
          </w:tcPr>
          <w:p w14:paraId="76BA7F8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BBB88E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721F5BA" w14:textId="77777777" w:rsidTr="00B73FDB">
        <w:trPr>
          <w:tblCellSpacing w:w="15" w:type="dxa"/>
        </w:trPr>
        <w:tc>
          <w:tcPr>
            <w:tcW w:w="0" w:type="auto"/>
            <w:shd w:val="clear" w:color="auto" w:fill="C2D69B"/>
            <w:vAlign w:val="center"/>
            <w:hideMark/>
          </w:tcPr>
          <w:p w14:paraId="67086B3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9056E1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05CB3F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F717F4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02D5BA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F0158D6" w14:textId="77777777" w:rsidTr="00B73FDB">
        <w:trPr>
          <w:tblCellSpacing w:w="15" w:type="dxa"/>
        </w:trPr>
        <w:tc>
          <w:tcPr>
            <w:tcW w:w="0" w:type="auto"/>
            <w:shd w:val="clear" w:color="auto" w:fill="C2D69B"/>
            <w:vAlign w:val="center"/>
            <w:hideMark/>
          </w:tcPr>
          <w:p w14:paraId="4CDCB52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A1EE8D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150 </w:t>
            </w:r>
          </w:p>
        </w:tc>
        <w:tc>
          <w:tcPr>
            <w:tcW w:w="0" w:type="auto"/>
            <w:shd w:val="clear" w:color="auto" w:fill="C2D69B"/>
            <w:noWrap/>
            <w:vAlign w:val="center"/>
            <w:hideMark/>
          </w:tcPr>
          <w:p w14:paraId="1ED879F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155 </w:t>
            </w:r>
          </w:p>
        </w:tc>
        <w:tc>
          <w:tcPr>
            <w:tcW w:w="0" w:type="auto"/>
            <w:shd w:val="clear" w:color="auto" w:fill="C2D69B"/>
            <w:vAlign w:val="center"/>
            <w:hideMark/>
          </w:tcPr>
          <w:p w14:paraId="71CBF97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92DD997"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18B12D0" w14:textId="77777777" w:rsidTr="00B73FDB">
        <w:trPr>
          <w:tblCellSpacing w:w="15" w:type="dxa"/>
        </w:trPr>
        <w:tc>
          <w:tcPr>
            <w:tcW w:w="0" w:type="auto"/>
            <w:shd w:val="clear" w:color="auto" w:fill="C2D69B"/>
            <w:vAlign w:val="center"/>
            <w:hideMark/>
          </w:tcPr>
          <w:p w14:paraId="61B9E18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30F004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53F96097" w14:textId="77777777" w:rsidTr="00B73FDB">
        <w:trPr>
          <w:tblCellSpacing w:w="15" w:type="dxa"/>
        </w:trPr>
        <w:tc>
          <w:tcPr>
            <w:tcW w:w="0" w:type="auto"/>
            <w:shd w:val="clear" w:color="auto" w:fill="C2D69B"/>
            <w:vAlign w:val="center"/>
            <w:hideMark/>
          </w:tcPr>
          <w:p w14:paraId="2F5DA00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5D1576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B12037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D1C0DA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84396B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870C6AC" w14:textId="77777777" w:rsidTr="00B73FDB">
        <w:trPr>
          <w:tblCellSpacing w:w="15" w:type="dxa"/>
        </w:trPr>
        <w:tc>
          <w:tcPr>
            <w:tcW w:w="0" w:type="auto"/>
            <w:shd w:val="clear" w:color="auto" w:fill="C2D69B"/>
            <w:vAlign w:val="center"/>
            <w:hideMark/>
          </w:tcPr>
          <w:p w14:paraId="20FB5B9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5F5AEC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150 </w:t>
            </w:r>
          </w:p>
        </w:tc>
        <w:tc>
          <w:tcPr>
            <w:tcW w:w="0" w:type="auto"/>
            <w:shd w:val="clear" w:color="auto" w:fill="C2D69B"/>
            <w:noWrap/>
            <w:vAlign w:val="center"/>
            <w:hideMark/>
          </w:tcPr>
          <w:p w14:paraId="1D3F235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155 </w:t>
            </w:r>
          </w:p>
        </w:tc>
        <w:tc>
          <w:tcPr>
            <w:tcW w:w="0" w:type="auto"/>
            <w:shd w:val="clear" w:color="auto" w:fill="C2D69B"/>
            <w:vAlign w:val="center"/>
            <w:hideMark/>
          </w:tcPr>
          <w:p w14:paraId="1A3AD38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DD11072" w14:textId="77777777" w:rsidR="00B73FDB" w:rsidRPr="00B73FDB" w:rsidRDefault="00B73FDB" w:rsidP="00B73FDB">
            <w:pPr>
              <w:spacing w:after="0" w:line="240" w:lineRule="auto"/>
              <w:jc w:val="center"/>
              <w:rPr>
                <w:rFonts w:cs="Calibri"/>
                <w:sz w:val="18"/>
                <w:szCs w:val="18"/>
                <w:lang w:eastAsia="sk-SK"/>
              </w:rPr>
            </w:pPr>
          </w:p>
        </w:tc>
      </w:tr>
    </w:tbl>
    <w:p w14:paraId="5982857B"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w:t>
      </w:r>
      <w:r w:rsidRPr="00B73FDB">
        <w:rPr>
          <w:rFonts w:cs="Calibri"/>
          <w:b/>
          <w:bCs/>
          <w:sz w:val="24"/>
          <w:szCs w:val="24"/>
          <w:lang w:eastAsia="sk-SK"/>
        </w:rPr>
        <w:t xml:space="preserve">omentár: </w:t>
      </w:r>
      <w:r w:rsidRPr="00B73FDB">
        <w:rPr>
          <w:rFonts w:cs="Calibri"/>
          <w:sz w:val="24"/>
          <w:szCs w:val="24"/>
          <w:lang w:eastAsia="sk-SK"/>
        </w:rPr>
        <w:t>Zameranie študijných odborov je na ekonomiku a organizáciu, manažment regionálneho cestovného ruchu v dennej forme štúdia.</w:t>
      </w:r>
    </w:p>
    <w:p w14:paraId="7F47A71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8.3.28: Konzervatórium, Tolstého 11,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9"/>
        <w:gridCol w:w="2728"/>
        <w:gridCol w:w="1208"/>
        <w:gridCol w:w="1206"/>
        <w:gridCol w:w="1081"/>
        <w:gridCol w:w="1206"/>
        <w:gridCol w:w="2428"/>
      </w:tblGrid>
      <w:tr w:rsidR="00B73FDB" w:rsidRPr="00B73FDB" w14:paraId="68A1480E" w14:textId="77777777" w:rsidTr="00B73FDB">
        <w:trPr>
          <w:tblCellSpacing w:w="15" w:type="dxa"/>
        </w:trPr>
        <w:tc>
          <w:tcPr>
            <w:tcW w:w="269" w:type="pct"/>
            <w:shd w:val="clear" w:color="auto" w:fill="C6DBF7"/>
            <w:vAlign w:val="center"/>
            <w:hideMark/>
          </w:tcPr>
          <w:p w14:paraId="7AE1C3F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4226E35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2" w:type="pct"/>
            <w:shd w:val="clear" w:color="auto" w:fill="C6DBF7"/>
            <w:vAlign w:val="center"/>
            <w:hideMark/>
          </w:tcPr>
          <w:p w14:paraId="68ED7FD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1" w:type="pct"/>
            <w:shd w:val="clear" w:color="auto" w:fill="C6DBF7"/>
            <w:vAlign w:val="center"/>
            <w:hideMark/>
          </w:tcPr>
          <w:p w14:paraId="7A4F1EA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4857863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1" w:type="pct"/>
            <w:shd w:val="clear" w:color="auto" w:fill="C6DBF7"/>
            <w:vAlign w:val="center"/>
            <w:hideMark/>
          </w:tcPr>
          <w:p w14:paraId="60C4E9E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7D4F5C9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CCCBE4C" w14:textId="77777777" w:rsidTr="00B73FDB">
        <w:trPr>
          <w:tblCellSpacing w:w="15" w:type="dxa"/>
        </w:trPr>
        <w:tc>
          <w:tcPr>
            <w:tcW w:w="269" w:type="pct"/>
            <w:shd w:val="clear" w:color="auto" w:fill="D9D9D9"/>
            <w:noWrap/>
            <w:vAlign w:val="center"/>
            <w:hideMark/>
          </w:tcPr>
          <w:p w14:paraId="0E562A83"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1AA9ACD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2" w:type="pct"/>
            <w:shd w:val="clear" w:color="auto" w:fill="D9D9D9"/>
            <w:noWrap/>
            <w:vAlign w:val="center"/>
            <w:hideMark/>
          </w:tcPr>
          <w:p w14:paraId="7A59B33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3 987 976,00</w:t>
            </w:r>
            <w:r w:rsidRPr="00B73FDB">
              <w:rPr>
                <w:rFonts w:cs="Calibri"/>
                <w:sz w:val="18"/>
                <w:szCs w:val="18"/>
                <w:lang w:eastAsia="sk-SK"/>
              </w:rPr>
              <w:t xml:space="preserve"> </w:t>
            </w:r>
          </w:p>
        </w:tc>
        <w:tc>
          <w:tcPr>
            <w:tcW w:w="561" w:type="pct"/>
            <w:shd w:val="clear" w:color="auto" w:fill="D9D9D9"/>
            <w:noWrap/>
            <w:vAlign w:val="center"/>
            <w:hideMark/>
          </w:tcPr>
          <w:p w14:paraId="5E3D146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3 996 903,92</w:t>
            </w:r>
            <w:r w:rsidRPr="00B73FDB">
              <w:rPr>
                <w:rFonts w:cs="Calibri"/>
                <w:sz w:val="18"/>
                <w:szCs w:val="18"/>
                <w:lang w:eastAsia="sk-SK"/>
              </w:rPr>
              <w:t xml:space="preserve"> </w:t>
            </w:r>
          </w:p>
        </w:tc>
        <w:tc>
          <w:tcPr>
            <w:tcW w:w="501" w:type="pct"/>
            <w:shd w:val="clear" w:color="auto" w:fill="D9D9D9"/>
            <w:noWrap/>
            <w:vAlign w:val="center"/>
            <w:hideMark/>
          </w:tcPr>
          <w:p w14:paraId="6844A1E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3 852 435,36</w:t>
            </w:r>
            <w:r w:rsidRPr="00B73FDB">
              <w:rPr>
                <w:rFonts w:cs="Calibri"/>
                <w:sz w:val="18"/>
                <w:szCs w:val="18"/>
                <w:lang w:eastAsia="sk-SK"/>
              </w:rPr>
              <w:t xml:space="preserve"> </w:t>
            </w:r>
          </w:p>
        </w:tc>
        <w:tc>
          <w:tcPr>
            <w:tcW w:w="561" w:type="pct"/>
            <w:shd w:val="clear" w:color="auto" w:fill="D9D9D9"/>
            <w:noWrap/>
            <w:vAlign w:val="center"/>
            <w:hideMark/>
          </w:tcPr>
          <w:p w14:paraId="2C054AF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96,39</w:t>
            </w:r>
            <w:r w:rsidRPr="00B73FDB">
              <w:rPr>
                <w:rFonts w:cs="Calibri"/>
                <w:sz w:val="18"/>
                <w:szCs w:val="18"/>
                <w:lang w:eastAsia="sk-SK"/>
              </w:rPr>
              <w:t xml:space="preserve"> </w:t>
            </w:r>
          </w:p>
        </w:tc>
        <w:tc>
          <w:tcPr>
            <w:tcW w:w="1136" w:type="pct"/>
            <w:vMerge w:val="restart"/>
            <w:shd w:val="clear" w:color="auto" w:fill="D9D9D9"/>
            <w:vAlign w:val="center"/>
            <w:hideMark/>
          </w:tcPr>
          <w:p w14:paraId="6219598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-9 693,23 EUR</w:t>
            </w:r>
            <w:r w:rsidRPr="00B73FDB">
              <w:rPr>
                <w:rFonts w:cs="Calibri"/>
                <w:sz w:val="18"/>
                <w:szCs w:val="18"/>
                <w:lang w:eastAsia="sk-SK"/>
              </w:rPr>
              <w:t xml:space="preserve"> normatívne finančné prostriedky,</w:t>
            </w:r>
          </w:p>
          <w:p w14:paraId="018C05D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+416,00 EUR</w:t>
            </w:r>
            <w:r w:rsidRPr="00B73FDB">
              <w:rPr>
                <w:rFonts w:cs="Calibri"/>
                <w:sz w:val="18"/>
                <w:szCs w:val="18"/>
                <w:lang w:eastAsia="sk-SK"/>
              </w:rPr>
              <w:t xml:space="preserve"> normatívne finančné prostriedky na maturity,</w:t>
            </w:r>
          </w:p>
          <w:p w14:paraId="73C9616C"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+6 802,00 EUR</w:t>
            </w:r>
            <w:r w:rsidRPr="00B73FDB">
              <w:rPr>
                <w:rFonts w:cs="Calibri"/>
                <w:sz w:val="18"/>
                <w:szCs w:val="18"/>
                <w:lang w:eastAsia="sk-SK"/>
              </w:rPr>
              <w:t xml:space="preserve"> príspevok na rekreáciu zamestnancov,</w:t>
            </w:r>
          </w:p>
          <w:p w14:paraId="0FAB554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 xml:space="preserve">+4 058,00 EUR </w:t>
            </w:r>
            <w:r w:rsidRPr="00B73FDB">
              <w:rPr>
                <w:rFonts w:cs="Calibri"/>
                <w:sz w:val="18"/>
                <w:szCs w:val="18"/>
                <w:lang w:eastAsia="sk-SK"/>
              </w:rPr>
              <w:t>nenormatívne finančné prostriedky na vzdelávacie poukazy,</w:t>
            </w:r>
          </w:p>
          <w:p w14:paraId="3AF3A9D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+6 900,00 EUR</w:t>
            </w:r>
            <w:r w:rsidRPr="00B73FDB">
              <w:rPr>
                <w:rFonts w:cs="Calibri"/>
                <w:sz w:val="18"/>
                <w:szCs w:val="18"/>
                <w:lang w:eastAsia="sk-SK"/>
              </w:rPr>
              <w:t xml:space="preserve"> nenormatívne finančné prostriedky na lyžiarske kurzy,</w:t>
            </w:r>
          </w:p>
          <w:p w14:paraId="30C83CA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+445,15 EUR</w:t>
            </w:r>
            <w:r w:rsidRPr="00B73FDB">
              <w:rPr>
                <w:rFonts w:cs="Calibri"/>
                <w:sz w:val="18"/>
                <w:szCs w:val="18"/>
                <w:lang w:eastAsia="sk-SK"/>
              </w:rPr>
              <w:t xml:space="preserve"> nevyčerpané finančné prostriedky z r. 2019.</w:t>
            </w:r>
          </w:p>
        </w:tc>
      </w:tr>
      <w:tr w:rsidR="00B73FDB" w:rsidRPr="00B73FDB" w14:paraId="3CD4A0E0" w14:textId="77777777" w:rsidTr="00B73FDB">
        <w:trPr>
          <w:tblCellSpacing w:w="15" w:type="dxa"/>
        </w:trPr>
        <w:tc>
          <w:tcPr>
            <w:tcW w:w="269" w:type="pct"/>
            <w:shd w:val="clear" w:color="auto" w:fill="D9D9D9"/>
            <w:noWrap/>
            <w:vAlign w:val="center"/>
            <w:hideMark/>
          </w:tcPr>
          <w:p w14:paraId="25AD305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0024656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2" w:type="pct"/>
            <w:shd w:val="clear" w:color="auto" w:fill="D9D9D9"/>
            <w:noWrap/>
            <w:vAlign w:val="center"/>
            <w:hideMark/>
          </w:tcPr>
          <w:p w14:paraId="0F53EF0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3 987 976,00</w:t>
            </w:r>
            <w:r w:rsidRPr="00B73FDB">
              <w:rPr>
                <w:rFonts w:cs="Calibri"/>
                <w:sz w:val="18"/>
                <w:szCs w:val="18"/>
                <w:lang w:eastAsia="sk-SK"/>
              </w:rPr>
              <w:t xml:space="preserve"> </w:t>
            </w:r>
          </w:p>
        </w:tc>
        <w:tc>
          <w:tcPr>
            <w:tcW w:w="561" w:type="pct"/>
            <w:shd w:val="clear" w:color="auto" w:fill="D9D9D9"/>
            <w:noWrap/>
            <w:vAlign w:val="center"/>
            <w:hideMark/>
          </w:tcPr>
          <w:p w14:paraId="2206812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3 996 903,92</w:t>
            </w:r>
            <w:r w:rsidRPr="00B73FDB">
              <w:rPr>
                <w:rFonts w:cs="Calibri"/>
                <w:sz w:val="18"/>
                <w:szCs w:val="18"/>
                <w:lang w:eastAsia="sk-SK"/>
              </w:rPr>
              <w:t xml:space="preserve"> </w:t>
            </w:r>
          </w:p>
        </w:tc>
        <w:tc>
          <w:tcPr>
            <w:tcW w:w="501" w:type="pct"/>
            <w:shd w:val="clear" w:color="auto" w:fill="D9D9D9"/>
            <w:noWrap/>
            <w:vAlign w:val="center"/>
            <w:hideMark/>
          </w:tcPr>
          <w:p w14:paraId="6E952BD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3 852 435,36</w:t>
            </w:r>
            <w:r w:rsidRPr="00B73FDB">
              <w:rPr>
                <w:rFonts w:cs="Calibri"/>
                <w:sz w:val="18"/>
                <w:szCs w:val="18"/>
                <w:lang w:eastAsia="sk-SK"/>
              </w:rPr>
              <w:t xml:space="preserve"> </w:t>
            </w:r>
          </w:p>
        </w:tc>
        <w:tc>
          <w:tcPr>
            <w:tcW w:w="561" w:type="pct"/>
            <w:shd w:val="clear" w:color="auto" w:fill="D9D9D9"/>
            <w:noWrap/>
            <w:vAlign w:val="center"/>
            <w:hideMark/>
          </w:tcPr>
          <w:p w14:paraId="6BC0648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96,39</w:t>
            </w:r>
            <w:r w:rsidRPr="00B73FDB">
              <w:rPr>
                <w:rFonts w:cs="Calibri"/>
                <w:sz w:val="18"/>
                <w:szCs w:val="18"/>
                <w:lang w:eastAsia="sk-SK"/>
              </w:rPr>
              <w:t xml:space="preserve"> </w:t>
            </w:r>
          </w:p>
        </w:tc>
        <w:tc>
          <w:tcPr>
            <w:tcW w:w="1136" w:type="pct"/>
            <w:vMerge/>
            <w:shd w:val="clear" w:color="auto" w:fill="D9D9D9"/>
            <w:vAlign w:val="center"/>
            <w:hideMark/>
          </w:tcPr>
          <w:p w14:paraId="4EDE2F97" w14:textId="77777777" w:rsidR="00B73FDB" w:rsidRPr="00B73FDB" w:rsidRDefault="00B73FDB" w:rsidP="00B73FDB">
            <w:pPr>
              <w:spacing w:after="0" w:line="240" w:lineRule="auto"/>
              <w:rPr>
                <w:rFonts w:cs="Calibri"/>
                <w:sz w:val="18"/>
                <w:szCs w:val="18"/>
                <w:lang w:eastAsia="sk-SK"/>
              </w:rPr>
            </w:pPr>
          </w:p>
        </w:tc>
      </w:tr>
      <w:tr w:rsidR="00B73FDB" w:rsidRPr="00B73FDB" w14:paraId="737EDA0B" w14:textId="77777777" w:rsidTr="00B73FDB">
        <w:trPr>
          <w:tblCellSpacing w:w="15" w:type="dxa"/>
        </w:trPr>
        <w:tc>
          <w:tcPr>
            <w:tcW w:w="269" w:type="pct"/>
            <w:shd w:val="clear" w:color="auto" w:fill="EFEFEF"/>
            <w:noWrap/>
            <w:vAlign w:val="center"/>
            <w:hideMark/>
          </w:tcPr>
          <w:p w14:paraId="442C963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7D8C1BA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2" w:type="pct"/>
            <w:shd w:val="clear" w:color="auto" w:fill="EFEFEF"/>
            <w:noWrap/>
            <w:vAlign w:val="center"/>
            <w:hideMark/>
          </w:tcPr>
          <w:p w14:paraId="030D43F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2 711 629,00 </w:t>
            </w:r>
          </w:p>
        </w:tc>
        <w:tc>
          <w:tcPr>
            <w:tcW w:w="561" w:type="pct"/>
            <w:shd w:val="clear" w:color="auto" w:fill="EFEFEF"/>
            <w:noWrap/>
            <w:vAlign w:val="center"/>
            <w:hideMark/>
          </w:tcPr>
          <w:p w14:paraId="2EF5F97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2 797 695,98 </w:t>
            </w:r>
          </w:p>
        </w:tc>
        <w:tc>
          <w:tcPr>
            <w:tcW w:w="501" w:type="pct"/>
            <w:shd w:val="clear" w:color="auto" w:fill="EFEFEF"/>
            <w:noWrap/>
            <w:vAlign w:val="center"/>
            <w:hideMark/>
          </w:tcPr>
          <w:p w14:paraId="2D70C2D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2 655 387,18 </w:t>
            </w:r>
          </w:p>
        </w:tc>
        <w:tc>
          <w:tcPr>
            <w:tcW w:w="561" w:type="pct"/>
            <w:shd w:val="clear" w:color="auto" w:fill="EFEFEF"/>
            <w:noWrap/>
            <w:vAlign w:val="center"/>
            <w:hideMark/>
          </w:tcPr>
          <w:p w14:paraId="59EFBD2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94,91 </w:t>
            </w:r>
          </w:p>
        </w:tc>
        <w:tc>
          <w:tcPr>
            <w:tcW w:w="1136" w:type="pct"/>
            <w:vMerge/>
            <w:shd w:val="clear" w:color="auto" w:fill="EFEFEF"/>
            <w:vAlign w:val="center"/>
            <w:hideMark/>
          </w:tcPr>
          <w:p w14:paraId="5D391F9E" w14:textId="77777777" w:rsidR="00B73FDB" w:rsidRPr="00B73FDB" w:rsidRDefault="00B73FDB" w:rsidP="00B73FDB">
            <w:pPr>
              <w:spacing w:after="0" w:line="240" w:lineRule="auto"/>
              <w:rPr>
                <w:rFonts w:cs="Calibri"/>
                <w:sz w:val="18"/>
                <w:szCs w:val="18"/>
                <w:lang w:eastAsia="sk-SK"/>
              </w:rPr>
            </w:pPr>
          </w:p>
        </w:tc>
      </w:tr>
      <w:tr w:rsidR="00B73FDB" w:rsidRPr="00B73FDB" w14:paraId="29D36811" w14:textId="77777777" w:rsidTr="00B73FDB">
        <w:trPr>
          <w:tblCellSpacing w:w="15" w:type="dxa"/>
        </w:trPr>
        <w:tc>
          <w:tcPr>
            <w:tcW w:w="269" w:type="pct"/>
            <w:shd w:val="clear" w:color="auto" w:fill="EFEFEF"/>
            <w:noWrap/>
            <w:vAlign w:val="center"/>
            <w:hideMark/>
          </w:tcPr>
          <w:p w14:paraId="647FDC8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183CA6C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2" w:type="pct"/>
            <w:shd w:val="clear" w:color="auto" w:fill="EFEFEF"/>
            <w:noWrap/>
            <w:vAlign w:val="center"/>
            <w:hideMark/>
          </w:tcPr>
          <w:p w14:paraId="69D6D1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902 703,00 </w:t>
            </w:r>
          </w:p>
        </w:tc>
        <w:tc>
          <w:tcPr>
            <w:tcW w:w="561" w:type="pct"/>
            <w:shd w:val="clear" w:color="auto" w:fill="EFEFEF"/>
            <w:noWrap/>
            <w:vAlign w:val="center"/>
            <w:hideMark/>
          </w:tcPr>
          <w:p w14:paraId="712DE23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872 443,89 </w:t>
            </w:r>
          </w:p>
        </w:tc>
        <w:tc>
          <w:tcPr>
            <w:tcW w:w="501" w:type="pct"/>
            <w:shd w:val="clear" w:color="auto" w:fill="EFEFEF"/>
            <w:noWrap/>
            <w:vAlign w:val="center"/>
            <w:hideMark/>
          </w:tcPr>
          <w:p w14:paraId="084D70F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872 443,89 </w:t>
            </w:r>
          </w:p>
        </w:tc>
        <w:tc>
          <w:tcPr>
            <w:tcW w:w="561" w:type="pct"/>
            <w:shd w:val="clear" w:color="auto" w:fill="EFEFEF"/>
            <w:noWrap/>
            <w:vAlign w:val="center"/>
            <w:hideMark/>
          </w:tcPr>
          <w:p w14:paraId="1DF2905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7D9720D4" w14:textId="77777777" w:rsidR="00B73FDB" w:rsidRPr="00B73FDB" w:rsidRDefault="00B73FDB" w:rsidP="00B73FDB">
            <w:pPr>
              <w:spacing w:after="0" w:line="240" w:lineRule="auto"/>
              <w:rPr>
                <w:rFonts w:cs="Calibri"/>
                <w:sz w:val="18"/>
                <w:szCs w:val="18"/>
                <w:lang w:eastAsia="sk-SK"/>
              </w:rPr>
            </w:pPr>
          </w:p>
        </w:tc>
      </w:tr>
      <w:tr w:rsidR="00B73FDB" w:rsidRPr="00B73FDB" w14:paraId="7AB675E1" w14:textId="77777777" w:rsidTr="00B73FDB">
        <w:trPr>
          <w:tblCellSpacing w:w="15" w:type="dxa"/>
        </w:trPr>
        <w:tc>
          <w:tcPr>
            <w:tcW w:w="269" w:type="pct"/>
            <w:shd w:val="clear" w:color="auto" w:fill="EFEFEF"/>
            <w:noWrap/>
            <w:vAlign w:val="center"/>
            <w:hideMark/>
          </w:tcPr>
          <w:p w14:paraId="2E4C222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39C7F58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2" w:type="pct"/>
            <w:shd w:val="clear" w:color="auto" w:fill="EFEFEF"/>
            <w:noWrap/>
            <w:vAlign w:val="center"/>
            <w:hideMark/>
          </w:tcPr>
          <w:p w14:paraId="472447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367 560,00 </w:t>
            </w:r>
          </w:p>
        </w:tc>
        <w:tc>
          <w:tcPr>
            <w:tcW w:w="561" w:type="pct"/>
            <w:shd w:val="clear" w:color="auto" w:fill="EFEFEF"/>
            <w:noWrap/>
            <w:vAlign w:val="center"/>
            <w:hideMark/>
          </w:tcPr>
          <w:p w14:paraId="55CFC1A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324 588,10 </w:t>
            </w:r>
          </w:p>
        </w:tc>
        <w:tc>
          <w:tcPr>
            <w:tcW w:w="501" w:type="pct"/>
            <w:shd w:val="clear" w:color="auto" w:fill="EFEFEF"/>
            <w:noWrap/>
            <w:vAlign w:val="center"/>
            <w:hideMark/>
          </w:tcPr>
          <w:p w14:paraId="1E448F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322 428,34 </w:t>
            </w:r>
          </w:p>
        </w:tc>
        <w:tc>
          <w:tcPr>
            <w:tcW w:w="561" w:type="pct"/>
            <w:shd w:val="clear" w:color="auto" w:fill="EFEFEF"/>
            <w:noWrap/>
            <w:vAlign w:val="center"/>
            <w:hideMark/>
          </w:tcPr>
          <w:p w14:paraId="4748337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99,33 </w:t>
            </w:r>
          </w:p>
        </w:tc>
        <w:tc>
          <w:tcPr>
            <w:tcW w:w="1136" w:type="pct"/>
            <w:vMerge/>
            <w:shd w:val="clear" w:color="auto" w:fill="EFEFEF"/>
            <w:vAlign w:val="center"/>
            <w:hideMark/>
          </w:tcPr>
          <w:p w14:paraId="37EC2E3C" w14:textId="77777777" w:rsidR="00B73FDB" w:rsidRPr="00B73FDB" w:rsidRDefault="00B73FDB" w:rsidP="00B73FDB">
            <w:pPr>
              <w:spacing w:after="0" w:line="240" w:lineRule="auto"/>
              <w:rPr>
                <w:rFonts w:cs="Calibri"/>
                <w:sz w:val="18"/>
                <w:szCs w:val="18"/>
                <w:lang w:eastAsia="sk-SK"/>
              </w:rPr>
            </w:pPr>
          </w:p>
        </w:tc>
      </w:tr>
      <w:tr w:rsidR="00B73FDB" w:rsidRPr="00B73FDB" w14:paraId="6D12922D" w14:textId="77777777" w:rsidTr="00B73FDB">
        <w:trPr>
          <w:tblCellSpacing w:w="15" w:type="dxa"/>
        </w:trPr>
        <w:tc>
          <w:tcPr>
            <w:tcW w:w="269" w:type="pct"/>
            <w:shd w:val="clear" w:color="auto" w:fill="EFEFEF"/>
            <w:noWrap/>
            <w:vAlign w:val="center"/>
            <w:hideMark/>
          </w:tcPr>
          <w:p w14:paraId="44D540E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7" w:type="pct"/>
            <w:shd w:val="clear" w:color="auto" w:fill="EFEFEF"/>
            <w:vAlign w:val="center"/>
            <w:hideMark/>
          </w:tcPr>
          <w:p w14:paraId="4426F99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2" w:type="pct"/>
            <w:shd w:val="clear" w:color="auto" w:fill="EFEFEF"/>
            <w:noWrap/>
            <w:vAlign w:val="center"/>
            <w:hideMark/>
          </w:tcPr>
          <w:p w14:paraId="2641E76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6 084,00 </w:t>
            </w:r>
          </w:p>
        </w:tc>
        <w:tc>
          <w:tcPr>
            <w:tcW w:w="561" w:type="pct"/>
            <w:shd w:val="clear" w:color="auto" w:fill="EFEFEF"/>
            <w:noWrap/>
            <w:vAlign w:val="center"/>
            <w:hideMark/>
          </w:tcPr>
          <w:p w14:paraId="49563FB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2 175,95 </w:t>
            </w:r>
          </w:p>
        </w:tc>
        <w:tc>
          <w:tcPr>
            <w:tcW w:w="501" w:type="pct"/>
            <w:shd w:val="clear" w:color="auto" w:fill="EFEFEF"/>
            <w:noWrap/>
            <w:vAlign w:val="center"/>
            <w:hideMark/>
          </w:tcPr>
          <w:p w14:paraId="0CD63FC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2 175,95 </w:t>
            </w:r>
          </w:p>
        </w:tc>
        <w:tc>
          <w:tcPr>
            <w:tcW w:w="561" w:type="pct"/>
            <w:shd w:val="clear" w:color="auto" w:fill="EFEFEF"/>
            <w:noWrap/>
            <w:vAlign w:val="center"/>
            <w:hideMark/>
          </w:tcPr>
          <w:p w14:paraId="1259339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031C3B10" w14:textId="77777777" w:rsidR="00B73FDB" w:rsidRPr="00B73FDB" w:rsidRDefault="00B73FDB" w:rsidP="00B73FDB">
            <w:pPr>
              <w:spacing w:after="0" w:line="240" w:lineRule="auto"/>
              <w:rPr>
                <w:rFonts w:cs="Calibri"/>
                <w:sz w:val="18"/>
                <w:szCs w:val="18"/>
                <w:lang w:eastAsia="sk-SK"/>
              </w:rPr>
            </w:pPr>
          </w:p>
        </w:tc>
      </w:tr>
    </w:tbl>
    <w:p w14:paraId="7C7EBF7C"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48"/>
        <w:gridCol w:w="708"/>
        <w:gridCol w:w="1676"/>
        <w:gridCol w:w="1575"/>
        <w:gridCol w:w="4159"/>
      </w:tblGrid>
      <w:tr w:rsidR="00B73FDB" w:rsidRPr="00B73FDB" w14:paraId="5734AC03" w14:textId="77777777" w:rsidTr="00B73FDB">
        <w:trPr>
          <w:tblCellSpacing w:w="15" w:type="dxa"/>
        </w:trPr>
        <w:tc>
          <w:tcPr>
            <w:tcW w:w="0" w:type="auto"/>
            <w:shd w:val="clear" w:color="auto" w:fill="C2D69B"/>
            <w:vAlign w:val="center"/>
            <w:hideMark/>
          </w:tcPr>
          <w:p w14:paraId="2584E19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75D0680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5942B1E1" w14:textId="77777777" w:rsidTr="00B73FDB">
        <w:trPr>
          <w:tblCellSpacing w:w="15" w:type="dxa"/>
        </w:trPr>
        <w:tc>
          <w:tcPr>
            <w:tcW w:w="0" w:type="auto"/>
            <w:shd w:val="clear" w:color="auto" w:fill="C2D69B"/>
            <w:vAlign w:val="center"/>
            <w:hideMark/>
          </w:tcPr>
          <w:p w14:paraId="1AB7E18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1B52F9B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Konzervatóriu </w:t>
            </w:r>
          </w:p>
        </w:tc>
      </w:tr>
      <w:tr w:rsidR="00B73FDB" w:rsidRPr="00B73FDB" w14:paraId="53D97ABA" w14:textId="77777777" w:rsidTr="00B73FDB">
        <w:trPr>
          <w:tblCellSpacing w:w="15" w:type="dxa"/>
        </w:trPr>
        <w:tc>
          <w:tcPr>
            <w:tcW w:w="0" w:type="auto"/>
            <w:shd w:val="clear" w:color="auto" w:fill="C2D69B"/>
            <w:vAlign w:val="center"/>
            <w:hideMark/>
          </w:tcPr>
          <w:p w14:paraId="6EAEDAC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50B0C0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03D897F9" w14:textId="77777777" w:rsidTr="00B73FDB">
        <w:trPr>
          <w:tblCellSpacing w:w="15" w:type="dxa"/>
        </w:trPr>
        <w:tc>
          <w:tcPr>
            <w:tcW w:w="0" w:type="auto"/>
            <w:shd w:val="clear" w:color="auto" w:fill="C2D69B"/>
            <w:vAlign w:val="center"/>
            <w:hideMark/>
          </w:tcPr>
          <w:p w14:paraId="59461A0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16113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439AFF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42194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73EEB6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711392E" w14:textId="77777777" w:rsidTr="00B73FDB">
        <w:trPr>
          <w:tblCellSpacing w:w="15" w:type="dxa"/>
        </w:trPr>
        <w:tc>
          <w:tcPr>
            <w:tcW w:w="0" w:type="auto"/>
            <w:shd w:val="clear" w:color="auto" w:fill="C2D69B"/>
            <w:vAlign w:val="center"/>
            <w:hideMark/>
          </w:tcPr>
          <w:p w14:paraId="274AD39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CA53C0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616 </w:t>
            </w:r>
          </w:p>
        </w:tc>
        <w:tc>
          <w:tcPr>
            <w:tcW w:w="0" w:type="auto"/>
            <w:shd w:val="clear" w:color="auto" w:fill="C2D69B"/>
            <w:noWrap/>
            <w:vAlign w:val="center"/>
            <w:hideMark/>
          </w:tcPr>
          <w:p w14:paraId="69FC940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622 </w:t>
            </w:r>
          </w:p>
        </w:tc>
        <w:tc>
          <w:tcPr>
            <w:tcW w:w="0" w:type="auto"/>
            <w:shd w:val="clear" w:color="auto" w:fill="C2D69B"/>
            <w:vAlign w:val="center"/>
            <w:hideMark/>
          </w:tcPr>
          <w:p w14:paraId="19C7FFC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8AD2FD8"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4529B12" w14:textId="77777777" w:rsidTr="00B73FDB">
        <w:trPr>
          <w:tblCellSpacing w:w="15" w:type="dxa"/>
        </w:trPr>
        <w:tc>
          <w:tcPr>
            <w:tcW w:w="0" w:type="auto"/>
            <w:shd w:val="clear" w:color="auto" w:fill="C2D69B"/>
            <w:vAlign w:val="center"/>
            <w:hideMark/>
          </w:tcPr>
          <w:p w14:paraId="0ACB46A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362E75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25C58E92" w14:textId="77777777" w:rsidTr="00B73FDB">
        <w:trPr>
          <w:tblCellSpacing w:w="15" w:type="dxa"/>
        </w:trPr>
        <w:tc>
          <w:tcPr>
            <w:tcW w:w="0" w:type="auto"/>
            <w:shd w:val="clear" w:color="auto" w:fill="C2D69B"/>
            <w:vAlign w:val="center"/>
            <w:hideMark/>
          </w:tcPr>
          <w:p w14:paraId="2013FBE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9B371D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423CD7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C8DAE6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267DE3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4343FF2" w14:textId="77777777" w:rsidTr="00B73FDB">
        <w:trPr>
          <w:tblCellSpacing w:w="15" w:type="dxa"/>
        </w:trPr>
        <w:tc>
          <w:tcPr>
            <w:tcW w:w="0" w:type="auto"/>
            <w:shd w:val="clear" w:color="auto" w:fill="C2D69B"/>
            <w:vAlign w:val="center"/>
            <w:hideMark/>
          </w:tcPr>
          <w:p w14:paraId="26FB4AA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16C042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594 </w:t>
            </w:r>
          </w:p>
        </w:tc>
        <w:tc>
          <w:tcPr>
            <w:tcW w:w="0" w:type="auto"/>
            <w:shd w:val="clear" w:color="auto" w:fill="C2D69B"/>
            <w:noWrap/>
            <w:vAlign w:val="center"/>
            <w:hideMark/>
          </w:tcPr>
          <w:p w14:paraId="77E7D59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499 </w:t>
            </w:r>
          </w:p>
        </w:tc>
        <w:tc>
          <w:tcPr>
            <w:tcW w:w="0" w:type="auto"/>
            <w:shd w:val="clear" w:color="auto" w:fill="C2D69B"/>
            <w:vAlign w:val="center"/>
            <w:hideMark/>
          </w:tcPr>
          <w:p w14:paraId="13FA972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0F8609D7" w14:textId="77777777" w:rsidR="00B73FDB" w:rsidRPr="00B73FDB" w:rsidRDefault="00B73FDB" w:rsidP="00B73FDB">
            <w:pPr>
              <w:spacing w:after="0" w:line="240" w:lineRule="auto"/>
              <w:jc w:val="center"/>
              <w:rPr>
                <w:rFonts w:cs="Calibri"/>
                <w:sz w:val="18"/>
                <w:szCs w:val="18"/>
                <w:lang w:eastAsia="sk-SK"/>
              </w:rPr>
            </w:pPr>
          </w:p>
        </w:tc>
      </w:tr>
    </w:tbl>
    <w:p w14:paraId="0385DB4B"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Komen</w:t>
      </w:r>
      <w:r w:rsidRPr="00B73FDB">
        <w:rPr>
          <w:rFonts w:cs="Calibri"/>
          <w:b/>
          <w:bCs/>
          <w:sz w:val="24"/>
          <w:szCs w:val="24"/>
          <w:lang w:eastAsia="sk-SK"/>
        </w:rPr>
        <w:t xml:space="preserve">tár: </w:t>
      </w:r>
      <w:r w:rsidRPr="00B73FDB">
        <w:rPr>
          <w:rFonts w:cs="Calibri"/>
          <w:sz w:val="24"/>
          <w:szCs w:val="24"/>
          <w:lang w:eastAsia="sk-SK"/>
        </w:rPr>
        <w:t>Zameranie študijných odborov je na umenie a umeleckoremeselnú tvorbu (hudba, spev a </w:t>
      </w:r>
      <w:proofErr w:type="spellStart"/>
      <w:r w:rsidRPr="00B73FDB">
        <w:rPr>
          <w:rFonts w:cs="Calibri"/>
          <w:sz w:val="24"/>
          <w:szCs w:val="24"/>
          <w:lang w:eastAsia="sk-SK"/>
        </w:rPr>
        <w:t>hudobno</w:t>
      </w:r>
      <w:proofErr w:type="spellEnd"/>
      <w:r w:rsidRPr="00B73FDB">
        <w:rPr>
          <w:rFonts w:cs="Calibri"/>
          <w:sz w:val="24"/>
          <w:szCs w:val="24"/>
          <w:lang w:eastAsia="sk-SK"/>
        </w:rPr>
        <w:t xml:space="preserve"> - dramatické umenie) v dennej forme štúdia (6-ročné). Konzervatórium zabezpečuje aj vyššie pomaturitné špecializačné štúdium. </w:t>
      </w:r>
    </w:p>
    <w:p w14:paraId="413A7E73"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8.3.29: Tanečné konzervatórium E. </w:t>
      </w:r>
      <w:proofErr w:type="spellStart"/>
      <w:r w:rsidRPr="00352CED">
        <w:rPr>
          <w:rFonts w:ascii="Calibri" w:hAnsi="Calibri" w:cs="Calibri"/>
          <w:b/>
          <w:color w:val="244061"/>
        </w:rPr>
        <w:t>Jaczovej</w:t>
      </w:r>
      <w:proofErr w:type="spellEnd"/>
      <w:r w:rsidRPr="00352CED">
        <w:rPr>
          <w:rFonts w:ascii="Calibri" w:hAnsi="Calibri" w:cs="Calibri"/>
          <w:b/>
          <w:color w:val="244061"/>
        </w:rPr>
        <w:t>, Gorazdova 20,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0"/>
        <w:gridCol w:w="1208"/>
        <w:gridCol w:w="1208"/>
        <w:gridCol w:w="1081"/>
        <w:gridCol w:w="1206"/>
        <w:gridCol w:w="2428"/>
      </w:tblGrid>
      <w:tr w:rsidR="00B73FDB" w:rsidRPr="00B73FDB" w14:paraId="7FBEED35" w14:textId="77777777" w:rsidTr="00B73FDB">
        <w:trPr>
          <w:tblCellSpacing w:w="15" w:type="dxa"/>
        </w:trPr>
        <w:tc>
          <w:tcPr>
            <w:tcW w:w="267" w:type="pct"/>
            <w:shd w:val="clear" w:color="auto" w:fill="C6DBF7"/>
            <w:vAlign w:val="center"/>
            <w:hideMark/>
          </w:tcPr>
          <w:p w14:paraId="7C11D01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526861F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2" w:type="pct"/>
            <w:shd w:val="clear" w:color="auto" w:fill="C6DBF7"/>
            <w:vAlign w:val="center"/>
            <w:hideMark/>
          </w:tcPr>
          <w:p w14:paraId="0983EEC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2" w:type="pct"/>
            <w:shd w:val="clear" w:color="auto" w:fill="C6DBF7"/>
            <w:vAlign w:val="center"/>
            <w:hideMark/>
          </w:tcPr>
          <w:p w14:paraId="256BB67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30439DD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1" w:type="pct"/>
            <w:shd w:val="clear" w:color="auto" w:fill="C6DBF7"/>
            <w:vAlign w:val="center"/>
            <w:hideMark/>
          </w:tcPr>
          <w:p w14:paraId="2D0C0EB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429C42E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141CCA6" w14:textId="77777777" w:rsidTr="00B73FDB">
        <w:trPr>
          <w:tblCellSpacing w:w="15" w:type="dxa"/>
        </w:trPr>
        <w:tc>
          <w:tcPr>
            <w:tcW w:w="267" w:type="pct"/>
            <w:shd w:val="clear" w:color="auto" w:fill="D9D9D9"/>
            <w:noWrap/>
            <w:vAlign w:val="center"/>
            <w:hideMark/>
          </w:tcPr>
          <w:p w14:paraId="5A9EF5ED"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1F4D5FB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2" w:type="pct"/>
            <w:shd w:val="clear" w:color="auto" w:fill="D9D9D9"/>
            <w:noWrap/>
            <w:vAlign w:val="center"/>
            <w:hideMark/>
          </w:tcPr>
          <w:p w14:paraId="765CAD9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810 150,00</w:t>
            </w:r>
            <w:r w:rsidRPr="00B73FDB">
              <w:rPr>
                <w:rFonts w:cs="Calibri"/>
                <w:sz w:val="18"/>
                <w:szCs w:val="18"/>
                <w:lang w:eastAsia="sk-SK"/>
              </w:rPr>
              <w:t xml:space="preserve"> </w:t>
            </w:r>
          </w:p>
        </w:tc>
        <w:tc>
          <w:tcPr>
            <w:tcW w:w="562" w:type="pct"/>
            <w:shd w:val="clear" w:color="auto" w:fill="D9D9D9"/>
            <w:noWrap/>
            <w:vAlign w:val="center"/>
            <w:hideMark/>
          </w:tcPr>
          <w:p w14:paraId="5C7B6A3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1 197 393,94</w:t>
            </w:r>
            <w:r w:rsidRPr="00B73FDB">
              <w:rPr>
                <w:rFonts w:cs="Calibri"/>
                <w:sz w:val="18"/>
                <w:szCs w:val="18"/>
                <w:lang w:eastAsia="sk-SK"/>
              </w:rPr>
              <w:t xml:space="preserve"> </w:t>
            </w:r>
          </w:p>
        </w:tc>
        <w:tc>
          <w:tcPr>
            <w:tcW w:w="501" w:type="pct"/>
            <w:shd w:val="clear" w:color="auto" w:fill="D9D9D9"/>
            <w:noWrap/>
            <w:vAlign w:val="center"/>
            <w:hideMark/>
          </w:tcPr>
          <w:p w14:paraId="05A6B86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1 059 211,53</w:t>
            </w:r>
            <w:r w:rsidRPr="00B73FDB">
              <w:rPr>
                <w:rFonts w:cs="Calibri"/>
                <w:sz w:val="18"/>
                <w:szCs w:val="18"/>
                <w:lang w:eastAsia="sk-SK"/>
              </w:rPr>
              <w:t xml:space="preserve"> </w:t>
            </w:r>
          </w:p>
        </w:tc>
        <w:tc>
          <w:tcPr>
            <w:tcW w:w="561" w:type="pct"/>
            <w:shd w:val="clear" w:color="auto" w:fill="D9D9D9"/>
            <w:noWrap/>
            <w:vAlign w:val="center"/>
            <w:hideMark/>
          </w:tcPr>
          <w:p w14:paraId="67FCAA3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88,46</w:t>
            </w:r>
            <w:r w:rsidRPr="00B73FDB">
              <w:rPr>
                <w:rFonts w:cs="Calibri"/>
                <w:sz w:val="18"/>
                <w:szCs w:val="18"/>
                <w:lang w:eastAsia="sk-SK"/>
              </w:rPr>
              <w:t xml:space="preserve"> </w:t>
            </w:r>
          </w:p>
        </w:tc>
        <w:tc>
          <w:tcPr>
            <w:tcW w:w="1136" w:type="pct"/>
            <w:vMerge w:val="restart"/>
            <w:shd w:val="clear" w:color="auto" w:fill="D9D9D9"/>
            <w:vAlign w:val="center"/>
            <w:hideMark/>
          </w:tcPr>
          <w:p w14:paraId="631A202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+270 972,00 EUR</w:t>
            </w:r>
            <w:r w:rsidRPr="00B73FDB">
              <w:rPr>
                <w:rFonts w:cs="Calibri"/>
                <w:sz w:val="18"/>
                <w:szCs w:val="18"/>
                <w:lang w:eastAsia="sk-SK"/>
              </w:rPr>
              <w:t xml:space="preserve"> normatívne finančné prostriedky,</w:t>
            </w:r>
          </w:p>
          <w:p w14:paraId="7C501F6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+203,00 EUR</w:t>
            </w:r>
            <w:r w:rsidRPr="00B73FDB">
              <w:rPr>
                <w:rFonts w:cs="Calibri"/>
                <w:sz w:val="18"/>
                <w:szCs w:val="18"/>
                <w:lang w:eastAsia="sk-SK"/>
              </w:rPr>
              <w:t xml:space="preserve"> normatívne finančné prostriedky na maturity,</w:t>
            </w:r>
          </w:p>
          <w:p w14:paraId="28D29FB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+774,00 EUR </w:t>
            </w:r>
            <w:r w:rsidRPr="00B73FDB">
              <w:rPr>
                <w:rFonts w:cs="Calibri"/>
                <w:sz w:val="18"/>
                <w:szCs w:val="18"/>
                <w:lang w:eastAsia="sk-SK"/>
              </w:rPr>
              <w:t>nenormatívne finančné prostriedky na vzdelávacie poukazy,</w:t>
            </w:r>
          </w:p>
          <w:p w14:paraId="3345365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+115 294,94 EUR</w:t>
            </w:r>
            <w:r w:rsidRPr="00B73FDB">
              <w:rPr>
                <w:rFonts w:cs="Calibri"/>
                <w:sz w:val="18"/>
                <w:szCs w:val="18"/>
                <w:lang w:eastAsia="sk-SK"/>
              </w:rPr>
              <w:t xml:space="preserve"> nevyčerpané finančné prostriedky z r. 2019.</w:t>
            </w:r>
          </w:p>
        </w:tc>
      </w:tr>
      <w:tr w:rsidR="00B73FDB" w:rsidRPr="00B73FDB" w14:paraId="463453A5" w14:textId="77777777" w:rsidTr="00B73FDB">
        <w:trPr>
          <w:tblCellSpacing w:w="15" w:type="dxa"/>
        </w:trPr>
        <w:tc>
          <w:tcPr>
            <w:tcW w:w="267" w:type="pct"/>
            <w:shd w:val="clear" w:color="auto" w:fill="D9D9D9"/>
            <w:noWrap/>
            <w:vAlign w:val="center"/>
            <w:hideMark/>
          </w:tcPr>
          <w:p w14:paraId="54549C2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4CF73F3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2" w:type="pct"/>
            <w:shd w:val="clear" w:color="auto" w:fill="D9D9D9"/>
            <w:noWrap/>
            <w:vAlign w:val="center"/>
            <w:hideMark/>
          </w:tcPr>
          <w:p w14:paraId="4440E50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810 150,00</w:t>
            </w:r>
            <w:r w:rsidRPr="00B73FDB">
              <w:rPr>
                <w:rFonts w:cs="Calibri"/>
                <w:sz w:val="18"/>
                <w:szCs w:val="18"/>
                <w:lang w:eastAsia="sk-SK"/>
              </w:rPr>
              <w:t xml:space="preserve"> </w:t>
            </w:r>
          </w:p>
        </w:tc>
        <w:tc>
          <w:tcPr>
            <w:tcW w:w="562" w:type="pct"/>
            <w:shd w:val="clear" w:color="auto" w:fill="D9D9D9"/>
            <w:noWrap/>
            <w:vAlign w:val="center"/>
            <w:hideMark/>
          </w:tcPr>
          <w:p w14:paraId="089EA19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1 197 393,94</w:t>
            </w:r>
            <w:r w:rsidRPr="00B73FDB">
              <w:rPr>
                <w:rFonts w:cs="Calibri"/>
                <w:sz w:val="18"/>
                <w:szCs w:val="18"/>
                <w:lang w:eastAsia="sk-SK"/>
              </w:rPr>
              <w:t xml:space="preserve"> </w:t>
            </w:r>
          </w:p>
        </w:tc>
        <w:tc>
          <w:tcPr>
            <w:tcW w:w="501" w:type="pct"/>
            <w:shd w:val="clear" w:color="auto" w:fill="D9D9D9"/>
            <w:noWrap/>
            <w:vAlign w:val="center"/>
            <w:hideMark/>
          </w:tcPr>
          <w:p w14:paraId="48AA279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1 059 211,53</w:t>
            </w:r>
            <w:r w:rsidRPr="00B73FDB">
              <w:rPr>
                <w:rFonts w:cs="Calibri"/>
                <w:sz w:val="18"/>
                <w:szCs w:val="18"/>
                <w:lang w:eastAsia="sk-SK"/>
              </w:rPr>
              <w:t xml:space="preserve"> </w:t>
            </w:r>
          </w:p>
        </w:tc>
        <w:tc>
          <w:tcPr>
            <w:tcW w:w="561" w:type="pct"/>
            <w:shd w:val="clear" w:color="auto" w:fill="D9D9D9"/>
            <w:noWrap/>
            <w:vAlign w:val="center"/>
            <w:hideMark/>
          </w:tcPr>
          <w:p w14:paraId="42BD06B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88,46</w:t>
            </w:r>
            <w:r w:rsidRPr="00B73FDB">
              <w:rPr>
                <w:rFonts w:cs="Calibri"/>
                <w:sz w:val="18"/>
                <w:szCs w:val="18"/>
                <w:lang w:eastAsia="sk-SK"/>
              </w:rPr>
              <w:t xml:space="preserve"> </w:t>
            </w:r>
          </w:p>
        </w:tc>
        <w:tc>
          <w:tcPr>
            <w:tcW w:w="1136" w:type="pct"/>
            <w:vMerge/>
            <w:shd w:val="clear" w:color="auto" w:fill="D9D9D9"/>
            <w:vAlign w:val="center"/>
            <w:hideMark/>
          </w:tcPr>
          <w:p w14:paraId="68B6C1C3" w14:textId="77777777" w:rsidR="00B73FDB" w:rsidRPr="00B73FDB" w:rsidRDefault="00B73FDB" w:rsidP="00B73FDB">
            <w:pPr>
              <w:spacing w:after="0" w:line="240" w:lineRule="auto"/>
              <w:rPr>
                <w:rFonts w:cs="Calibri"/>
                <w:sz w:val="18"/>
                <w:szCs w:val="18"/>
                <w:lang w:eastAsia="sk-SK"/>
              </w:rPr>
            </w:pPr>
          </w:p>
        </w:tc>
      </w:tr>
      <w:tr w:rsidR="00B73FDB" w:rsidRPr="00B73FDB" w14:paraId="4D514398" w14:textId="77777777" w:rsidTr="00B73FDB">
        <w:trPr>
          <w:tblCellSpacing w:w="15" w:type="dxa"/>
        </w:trPr>
        <w:tc>
          <w:tcPr>
            <w:tcW w:w="267" w:type="pct"/>
            <w:shd w:val="clear" w:color="auto" w:fill="EFEFEF"/>
            <w:noWrap/>
            <w:vAlign w:val="center"/>
            <w:hideMark/>
          </w:tcPr>
          <w:p w14:paraId="6079B9C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38D9FE0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2" w:type="pct"/>
            <w:shd w:val="clear" w:color="auto" w:fill="EFEFEF"/>
            <w:noWrap/>
            <w:vAlign w:val="center"/>
            <w:hideMark/>
          </w:tcPr>
          <w:p w14:paraId="1DF27B5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452 000,00 </w:t>
            </w:r>
          </w:p>
        </w:tc>
        <w:tc>
          <w:tcPr>
            <w:tcW w:w="562" w:type="pct"/>
            <w:shd w:val="clear" w:color="auto" w:fill="EFEFEF"/>
            <w:noWrap/>
            <w:vAlign w:val="center"/>
            <w:hideMark/>
          </w:tcPr>
          <w:p w14:paraId="7A720ED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655 591,54 </w:t>
            </w:r>
          </w:p>
        </w:tc>
        <w:tc>
          <w:tcPr>
            <w:tcW w:w="501" w:type="pct"/>
            <w:shd w:val="clear" w:color="auto" w:fill="EFEFEF"/>
            <w:noWrap/>
            <w:vAlign w:val="center"/>
            <w:hideMark/>
          </w:tcPr>
          <w:p w14:paraId="04B1543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651 286,30 </w:t>
            </w:r>
          </w:p>
        </w:tc>
        <w:tc>
          <w:tcPr>
            <w:tcW w:w="561" w:type="pct"/>
            <w:shd w:val="clear" w:color="auto" w:fill="EFEFEF"/>
            <w:noWrap/>
            <w:vAlign w:val="center"/>
            <w:hideMark/>
          </w:tcPr>
          <w:p w14:paraId="21F75A8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99,34 </w:t>
            </w:r>
          </w:p>
        </w:tc>
        <w:tc>
          <w:tcPr>
            <w:tcW w:w="1136" w:type="pct"/>
            <w:vMerge/>
            <w:shd w:val="clear" w:color="auto" w:fill="EFEFEF"/>
            <w:vAlign w:val="center"/>
            <w:hideMark/>
          </w:tcPr>
          <w:p w14:paraId="2958C383" w14:textId="77777777" w:rsidR="00B73FDB" w:rsidRPr="00B73FDB" w:rsidRDefault="00B73FDB" w:rsidP="00B73FDB">
            <w:pPr>
              <w:spacing w:after="0" w:line="240" w:lineRule="auto"/>
              <w:rPr>
                <w:rFonts w:cs="Calibri"/>
                <w:sz w:val="18"/>
                <w:szCs w:val="18"/>
                <w:lang w:eastAsia="sk-SK"/>
              </w:rPr>
            </w:pPr>
          </w:p>
        </w:tc>
      </w:tr>
      <w:tr w:rsidR="00B73FDB" w:rsidRPr="00B73FDB" w14:paraId="5EAEAEA6" w14:textId="77777777" w:rsidTr="00B73FDB">
        <w:trPr>
          <w:tblCellSpacing w:w="15" w:type="dxa"/>
        </w:trPr>
        <w:tc>
          <w:tcPr>
            <w:tcW w:w="267" w:type="pct"/>
            <w:shd w:val="clear" w:color="auto" w:fill="EFEFEF"/>
            <w:noWrap/>
            <w:vAlign w:val="center"/>
            <w:hideMark/>
          </w:tcPr>
          <w:p w14:paraId="419AF13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702594E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2" w:type="pct"/>
            <w:shd w:val="clear" w:color="auto" w:fill="EFEFEF"/>
            <w:noWrap/>
            <w:vAlign w:val="center"/>
            <w:hideMark/>
          </w:tcPr>
          <w:p w14:paraId="6CCDBF9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182 700,00 </w:t>
            </w:r>
          </w:p>
        </w:tc>
        <w:tc>
          <w:tcPr>
            <w:tcW w:w="562" w:type="pct"/>
            <w:shd w:val="clear" w:color="auto" w:fill="EFEFEF"/>
            <w:noWrap/>
            <w:vAlign w:val="center"/>
            <w:hideMark/>
          </w:tcPr>
          <w:p w14:paraId="2C3C499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222 761,03 </w:t>
            </w:r>
          </w:p>
        </w:tc>
        <w:tc>
          <w:tcPr>
            <w:tcW w:w="501" w:type="pct"/>
            <w:shd w:val="clear" w:color="auto" w:fill="EFEFEF"/>
            <w:noWrap/>
            <w:vAlign w:val="center"/>
            <w:hideMark/>
          </w:tcPr>
          <w:p w14:paraId="1FE00D2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222 761,03 </w:t>
            </w:r>
          </w:p>
        </w:tc>
        <w:tc>
          <w:tcPr>
            <w:tcW w:w="561" w:type="pct"/>
            <w:shd w:val="clear" w:color="auto" w:fill="EFEFEF"/>
            <w:noWrap/>
            <w:vAlign w:val="center"/>
            <w:hideMark/>
          </w:tcPr>
          <w:p w14:paraId="71668A0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05CB2DF4" w14:textId="77777777" w:rsidR="00B73FDB" w:rsidRPr="00B73FDB" w:rsidRDefault="00B73FDB" w:rsidP="00B73FDB">
            <w:pPr>
              <w:spacing w:after="0" w:line="240" w:lineRule="auto"/>
              <w:rPr>
                <w:rFonts w:cs="Calibri"/>
                <w:sz w:val="18"/>
                <w:szCs w:val="18"/>
                <w:lang w:eastAsia="sk-SK"/>
              </w:rPr>
            </w:pPr>
          </w:p>
        </w:tc>
      </w:tr>
      <w:tr w:rsidR="00B73FDB" w:rsidRPr="00B73FDB" w14:paraId="1D2B33E4" w14:textId="77777777" w:rsidTr="00B73FDB">
        <w:trPr>
          <w:tblCellSpacing w:w="15" w:type="dxa"/>
        </w:trPr>
        <w:tc>
          <w:tcPr>
            <w:tcW w:w="267" w:type="pct"/>
            <w:shd w:val="clear" w:color="auto" w:fill="EFEFEF"/>
            <w:noWrap/>
            <w:vAlign w:val="center"/>
            <w:hideMark/>
          </w:tcPr>
          <w:p w14:paraId="6E6EFB4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32ABD9D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2" w:type="pct"/>
            <w:shd w:val="clear" w:color="auto" w:fill="EFEFEF"/>
            <w:noWrap/>
            <w:vAlign w:val="center"/>
            <w:hideMark/>
          </w:tcPr>
          <w:p w14:paraId="05D10CB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175 450,00 </w:t>
            </w:r>
          </w:p>
        </w:tc>
        <w:tc>
          <w:tcPr>
            <w:tcW w:w="562" w:type="pct"/>
            <w:shd w:val="clear" w:color="auto" w:fill="EFEFEF"/>
            <w:noWrap/>
            <w:vAlign w:val="center"/>
            <w:hideMark/>
          </w:tcPr>
          <w:p w14:paraId="3FE1626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318 437,47 </w:t>
            </w:r>
          </w:p>
        </w:tc>
        <w:tc>
          <w:tcPr>
            <w:tcW w:w="501" w:type="pct"/>
            <w:shd w:val="clear" w:color="auto" w:fill="EFEFEF"/>
            <w:noWrap/>
            <w:vAlign w:val="center"/>
            <w:hideMark/>
          </w:tcPr>
          <w:p w14:paraId="448903C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184 560,30 </w:t>
            </w:r>
          </w:p>
        </w:tc>
        <w:tc>
          <w:tcPr>
            <w:tcW w:w="561" w:type="pct"/>
            <w:shd w:val="clear" w:color="auto" w:fill="EFEFEF"/>
            <w:noWrap/>
            <w:vAlign w:val="center"/>
            <w:hideMark/>
          </w:tcPr>
          <w:p w14:paraId="5762B4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57,96 </w:t>
            </w:r>
          </w:p>
        </w:tc>
        <w:tc>
          <w:tcPr>
            <w:tcW w:w="1136" w:type="pct"/>
            <w:vMerge/>
            <w:shd w:val="clear" w:color="auto" w:fill="EFEFEF"/>
            <w:vAlign w:val="center"/>
            <w:hideMark/>
          </w:tcPr>
          <w:p w14:paraId="00B43A3F" w14:textId="77777777" w:rsidR="00B73FDB" w:rsidRPr="00B73FDB" w:rsidRDefault="00B73FDB" w:rsidP="00B73FDB">
            <w:pPr>
              <w:spacing w:after="0" w:line="240" w:lineRule="auto"/>
              <w:rPr>
                <w:rFonts w:cs="Calibri"/>
                <w:sz w:val="18"/>
                <w:szCs w:val="18"/>
                <w:lang w:eastAsia="sk-SK"/>
              </w:rPr>
            </w:pPr>
          </w:p>
        </w:tc>
      </w:tr>
    </w:tbl>
    <w:p w14:paraId="1D7283BA"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90"/>
        <w:gridCol w:w="772"/>
        <w:gridCol w:w="1830"/>
        <w:gridCol w:w="1315"/>
        <w:gridCol w:w="4159"/>
      </w:tblGrid>
      <w:tr w:rsidR="00B73FDB" w:rsidRPr="00B73FDB" w14:paraId="4A17D6B3" w14:textId="77777777" w:rsidTr="00B73FDB">
        <w:trPr>
          <w:tblCellSpacing w:w="15" w:type="dxa"/>
        </w:trPr>
        <w:tc>
          <w:tcPr>
            <w:tcW w:w="0" w:type="auto"/>
            <w:shd w:val="clear" w:color="auto" w:fill="C2D69B"/>
            <w:vAlign w:val="center"/>
            <w:hideMark/>
          </w:tcPr>
          <w:p w14:paraId="4D344A0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A07D8D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5B451D0" w14:textId="77777777" w:rsidTr="00B73FDB">
        <w:trPr>
          <w:tblCellSpacing w:w="15" w:type="dxa"/>
        </w:trPr>
        <w:tc>
          <w:tcPr>
            <w:tcW w:w="0" w:type="auto"/>
            <w:shd w:val="clear" w:color="auto" w:fill="C2D69B"/>
            <w:vAlign w:val="center"/>
            <w:hideMark/>
          </w:tcPr>
          <w:p w14:paraId="0F947C4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E6F7A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Konzervatóriu </w:t>
            </w:r>
          </w:p>
        </w:tc>
      </w:tr>
      <w:tr w:rsidR="00B73FDB" w:rsidRPr="00B73FDB" w14:paraId="65CE8ED2" w14:textId="77777777" w:rsidTr="00B73FDB">
        <w:trPr>
          <w:tblCellSpacing w:w="15" w:type="dxa"/>
        </w:trPr>
        <w:tc>
          <w:tcPr>
            <w:tcW w:w="0" w:type="auto"/>
            <w:shd w:val="clear" w:color="auto" w:fill="C2D69B"/>
            <w:vAlign w:val="center"/>
            <w:hideMark/>
          </w:tcPr>
          <w:p w14:paraId="11B370F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C020D8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69CFAEF" w14:textId="77777777" w:rsidTr="00B73FDB">
        <w:trPr>
          <w:tblCellSpacing w:w="15" w:type="dxa"/>
        </w:trPr>
        <w:tc>
          <w:tcPr>
            <w:tcW w:w="0" w:type="auto"/>
            <w:shd w:val="clear" w:color="auto" w:fill="C2D69B"/>
            <w:vAlign w:val="center"/>
            <w:hideMark/>
          </w:tcPr>
          <w:p w14:paraId="4049FBC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14C29C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1EB8B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445A17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E4F633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7F3620B" w14:textId="77777777" w:rsidTr="00B73FDB">
        <w:trPr>
          <w:tblCellSpacing w:w="15" w:type="dxa"/>
        </w:trPr>
        <w:tc>
          <w:tcPr>
            <w:tcW w:w="0" w:type="auto"/>
            <w:shd w:val="clear" w:color="auto" w:fill="C2D69B"/>
            <w:vAlign w:val="center"/>
            <w:hideMark/>
          </w:tcPr>
          <w:p w14:paraId="5F537C2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0CE385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147 </w:t>
            </w:r>
          </w:p>
        </w:tc>
        <w:tc>
          <w:tcPr>
            <w:tcW w:w="0" w:type="auto"/>
            <w:shd w:val="clear" w:color="auto" w:fill="C2D69B"/>
            <w:noWrap/>
            <w:vAlign w:val="center"/>
            <w:hideMark/>
          </w:tcPr>
          <w:p w14:paraId="22540B1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160 </w:t>
            </w:r>
          </w:p>
        </w:tc>
        <w:tc>
          <w:tcPr>
            <w:tcW w:w="0" w:type="auto"/>
            <w:shd w:val="clear" w:color="auto" w:fill="C2D69B"/>
            <w:vAlign w:val="center"/>
            <w:hideMark/>
          </w:tcPr>
          <w:p w14:paraId="0D3B498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67F97E8"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154B52C2" w14:textId="77777777" w:rsidTr="00B73FDB">
        <w:trPr>
          <w:tblCellSpacing w:w="15" w:type="dxa"/>
        </w:trPr>
        <w:tc>
          <w:tcPr>
            <w:tcW w:w="0" w:type="auto"/>
            <w:shd w:val="clear" w:color="auto" w:fill="C2D69B"/>
            <w:vAlign w:val="center"/>
            <w:hideMark/>
          </w:tcPr>
          <w:p w14:paraId="2F0513C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0D422E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7E0DDE75" w14:textId="77777777" w:rsidTr="00B73FDB">
        <w:trPr>
          <w:tblCellSpacing w:w="15" w:type="dxa"/>
        </w:trPr>
        <w:tc>
          <w:tcPr>
            <w:tcW w:w="0" w:type="auto"/>
            <w:shd w:val="clear" w:color="auto" w:fill="C2D69B"/>
            <w:vAlign w:val="center"/>
            <w:hideMark/>
          </w:tcPr>
          <w:p w14:paraId="05B28C5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DBF5B8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126DCB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AEDA1A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95E9F3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BB8FD7B" w14:textId="77777777" w:rsidTr="00B73FDB">
        <w:trPr>
          <w:tblCellSpacing w:w="15" w:type="dxa"/>
        </w:trPr>
        <w:tc>
          <w:tcPr>
            <w:tcW w:w="0" w:type="auto"/>
            <w:shd w:val="clear" w:color="auto" w:fill="C2D69B"/>
            <w:vAlign w:val="center"/>
            <w:hideMark/>
          </w:tcPr>
          <w:p w14:paraId="751C2F8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558462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147 </w:t>
            </w:r>
          </w:p>
        </w:tc>
        <w:tc>
          <w:tcPr>
            <w:tcW w:w="0" w:type="auto"/>
            <w:shd w:val="clear" w:color="auto" w:fill="C2D69B"/>
            <w:noWrap/>
            <w:vAlign w:val="center"/>
            <w:hideMark/>
          </w:tcPr>
          <w:p w14:paraId="3688269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160 </w:t>
            </w:r>
          </w:p>
        </w:tc>
        <w:tc>
          <w:tcPr>
            <w:tcW w:w="0" w:type="auto"/>
            <w:shd w:val="clear" w:color="auto" w:fill="C2D69B"/>
            <w:vAlign w:val="center"/>
            <w:hideMark/>
          </w:tcPr>
          <w:p w14:paraId="203DB30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A098ED2" w14:textId="77777777" w:rsidR="00B73FDB" w:rsidRPr="00B73FDB" w:rsidRDefault="00B73FDB" w:rsidP="00B73FDB">
            <w:pPr>
              <w:spacing w:after="0" w:line="240" w:lineRule="auto"/>
              <w:jc w:val="center"/>
              <w:rPr>
                <w:rFonts w:cs="Calibri"/>
                <w:sz w:val="18"/>
                <w:szCs w:val="18"/>
                <w:lang w:eastAsia="sk-SK"/>
              </w:rPr>
            </w:pPr>
          </w:p>
        </w:tc>
      </w:tr>
    </w:tbl>
    <w:p w14:paraId="62E146CD"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w:t>
      </w:r>
      <w:r w:rsidRPr="00B73FDB">
        <w:rPr>
          <w:rFonts w:cs="Calibri"/>
          <w:b/>
          <w:bCs/>
          <w:sz w:val="24"/>
          <w:szCs w:val="24"/>
          <w:lang w:eastAsia="sk-SK"/>
        </w:rPr>
        <w:t xml:space="preserve">omentár: </w:t>
      </w:r>
      <w:r w:rsidRPr="00B73FDB">
        <w:rPr>
          <w:rFonts w:cs="Calibri"/>
          <w:sz w:val="24"/>
          <w:szCs w:val="24"/>
          <w:lang w:eastAsia="sk-SK"/>
        </w:rPr>
        <w:t xml:space="preserve">Zameranie študijných odborov je na umenie a umeleckoremeselnú tvorbu (tanec - klasický, ľudový a moderný) v dennej forme štúdia (8-ročné). </w:t>
      </w:r>
    </w:p>
    <w:p w14:paraId="77660E9F"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8.3.30: SOŠ masmediálnych a informačných štúdií, Kadnárova 7,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4"/>
        <w:gridCol w:w="1214"/>
        <w:gridCol w:w="1212"/>
        <w:gridCol w:w="1061"/>
        <w:gridCol w:w="1212"/>
        <w:gridCol w:w="2428"/>
      </w:tblGrid>
      <w:tr w:rsidR="00B73FDB" w:rsidRPr="00B73FDB" w14:paraId="09A8AA48" w14:textId="77777777" w:rsidTr="00B73FDB">
        <w:trPr>
          <w:tblCellSpacing w:w="15" w:type="dxa"/>
        </w:trPr>
        <w:tc>
          <w:tcPr>
            <w:tcW w:w="267" w:type="pct"/>
            <w:shd w:val="clear" w:color="auto" w:fill="C6DBF7"/>
            <w:vAlign w:val="center"/>
            <w:hideMark/>
          </w:tcPr>
          <w:p w14:paraId="214BD60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755EDCE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534C73C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3701D96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5CFD3A6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79B644E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607F2B3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FA3B4A0" w14:textId="77777777" w:rsidTr="00B73FDB">
        <w:trPr>
          <w:tblCellSpacing w:w="15" w:type="dxa"/>
        </w:trPr>
        <w:tc>
          <w:tcPr>
            <w:tcW w:w="267" w:type="pct"/>
            <w:shd w:val="clear" w:color="auto" w:fill="D9D9D9"/>
            <w:noWrap/>
            <w:vAlign w:val="center"/>
            <w:hideMark/>
          </w:tcPr>
          <w:p w14:paraId="26993777"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5EF1A99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780506F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837 850,00</w:t>
            </w:r>
            <w:r w:rsidRPr="00B73FDB">
              <w:rPr>
                <w:rFonts w:cs="Calibri"/>
                <w:sz w:val="18"/>
                <w:szCs w:val="18"/>
                <w:lang w:eastAsia="sk-SK"/>
              </w:rPr>
              <w:t xml:space="preserve"> </w:t>
            </w:r>
          </w:p>
        </w:tc>
        <w:tc>
          <w:tcPr>
            <w:tcW w:w="564" w:type="pct"/>
            <w:shd w:val="clear" w:color="auto" w:fill="D9D9D9"/>
            <w:noWrap/>
            <w:vAlign w:val="center"/>
            <w:hideMark/>
          </w:tcPr>
          <w:p w14:paraId="73E9E3A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883 323,18</w:t>
            </w:r>
            <w:r w:rsidRPr="00B73FDB">
              <w:rPr>
                <w:rFonts w:cs="Calibri"/>
                <w:sz w:val="18"/>
                <w:szCs w:val="18"/>
                <w:lang w:eastAsia="sk-SK"/>
              </w:rPr>
              <w:t xml:space="preserve"> </w:t>
            </w:r>
          </w:p>
        </w:tc>
        <w:tc>
          <w:tcPr>
            <w:tcW w:w="492" w:type="pct"/>
            <w:shd w:val="clear" w:color="auto" w:fill="D9D9D9"/>
            <w:noWrap/>
            <w:vAlign w:val="center"/>
            <w:hideMark/>
          </w:tcPr>
          <w:p w14:paraId="6ECFBCC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874 978,45</w:t>
            </w:r>
            <w:r w:rsidRPr="00B73FDB">
              <w:rPr>
                <w:rFonts w:cs="Calibri"/>
                <w:sz w:val="18"/>
                <w:szCs w:val="18"/>
                <w:lang w:eastAsia="sk-SK"/>
              </w:rPr>
              <w:t xml:space="preserve"> </w:t>
            </w:r>
          </w:p>
        </w:tc>
        <w:tc>
          <w:tcPr>
            <w:tcW w:w="564" w:type="pct"/>
            <w:shd w:val="clear" w:color="auto" w:fill="D9D9D9"/>
            <w:noWrap/>
            <w:vAlign w:val="center"/>
            <w:hideMark/>
          </w:tcPr>
          <w:p w14:paraId="328B392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99,06</w:t>
            </w:r>
            <w:r w:rsidRPr="00B73FDB">
              <w:rPr>
                <w:rFonts w:cs="Calibri"/>
                <w:sz w:val="18"/>
                <w:szCs w:val="18"/>
                <w:lang w:eastAsia="sk-SK"/>
              </w:rPr>
              <w:t xml:space="preserve"> </w:t>
            </w:r>
          </w:p>
        </w:tc>
        <w:tc>
          <w:tcPr>
            <w:tcW w:w="1136" w:type="pct"/>
            <w:vMerge w:val="restart"/>
            <w:shd w:val="clear" w:color="auto" w:fill="D9D9D9"/>
            <w:vAlign w:val="center"/>
            <w:hideMark/>
          </w:tcPr>
          <w:p w14:paraId="221B581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+40 985,00 EUR</w:t>
            </w:r>
            <w:r w:rsidRPr="00B73FDB">
              <w:rPr>
                <w:rFonts w:cs="Calibri"/>
                <w:sz w:val="18"/>
                <w:szCs w:val="18"/>
                <w:lang w:eastAsia="sk-SK"/>
              </w:rPr>
              <w:t xml:space="preserve"> normatívne finančné prostriedky,</w:t>
            </w:r>
          </w:p>
          <w:p w14:paraId="0E0E5D0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+303,00 EUR</w:t>
            </w:r>
            <w:r w:rsidRPr="00B73FDB">
              <w:rPr>
                <w:rFonts w:cs="Calibri"/>
                <w:sz w:val="18"/>
                <w:szCs w:val="18"/>
                <w:lang w:eastAsia="sk-SK"/>
              </w:rPr>
              <w:t xml:space="preserve"> normatívne finančné prostriedky na maturity,</w:t>
            </w:r>
          </w:p>
          <w:p w14:paraId="581432C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 xml:space="preserve">+800,00 EUR </w:t>
            </w:r>
            <w:r w:rsidRPr="00B73FDB">
              <w:rPr>
                <w:rFonts w:cs="Calibri"/>
                <w:sz w:val="18"/>
                <w:szCs w:val="18"/>
                <w:lang w:eastAsia="sk-SK"/>
              </w:rPr>
              <w:t>nenormatívne finančné prostriedky na vzdelávacie poukazy,</w:t>
            </w:r>
          </w:p>
          <w:p w14:paraId="19EDF17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-300,00 EUR</w:t>
            </w:r>
            <w:r w:rsidRPr="00B73FDB">
              <w:rPr>
                <w:rFonts w:cs="Calibri"/>
                <w:sz w:val="18"/>
                <w:szCs w:val="18"/>
                <w:lang w:eastAsia="sk-SK"/>
              </w:rPr>
              <w:t xml:space="preserve"> nenormatívne finančné prostriedky na lyžiarske kurzy,</w:t>
            </w:r>
          </w:p>
          <w:p w14:paraId="58541F0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+29,74 EUR</w:t>
            </w:r>
            <w:r w:rsidRPr="00B73FDB">
              <w:rPr>
                <w:rFonts w:cs="Calibri"/>
                <w:sz w:val="18"/>
                <w:szCs w:val="18"/>
                <w:lang w:eastAsia="sk-SK"/>
              </w:rPr>
              <w:t xml:space="preserve"> nevyčerpané finančné prostriedky z r. 2019,</w:t>
            </w:r>
          </w:p>
          <w:p w14:paraId="2E37BC2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+980,00 EUR</w:t>
            </w:r>
            <w:r w:rsidRPr="00B73FDB">
              <w:rPr>
                <w:rFonts w:cs="Calibri"/>
                <w:sz w:val="18"/>
                <w:szCs w:val="18"/>
                <w:lang w:eastAsia="sk-SK"/>
              </w:rPr>
              <w:t xml:space="preserve"> školské súťaže z OÚ,</w:t>
            </w:r>
          </w:p>
          <w:p w14:paraId="2B3A88E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+2 675,44 EUR </w:t>
            </w:r>
            <w:r w:rsidRPr="00B73FDB">
              <w:rPr>
                <w:rFonts w:cs="Calibri"/>
                <w:sz w:val="18"/>
                <w:szCs w:val="18"/>
                <w:lang w:eastAsia="sk-SK"/>
              </w:rPr>
              <w:t>príjmy z prenájmov.</w:t>
            </w:r>
          </w:p>
        </w:tc>
      </w:tr>
      <w:tr w:rsidR="00B73FDB" w:rsidRPr="00B73FDB" w14:paraId="42C10517" w14:textId="77777777" w:rsidTr="00B73FDB">
        <w:trPr>
          <w:tblCellSpacing w:w="15" w:type="dxa"/>
        </w:trPr>
        <w:tc>
          <w:tcPr>
            <w:tcW w:w="267" w:type="pct"/>
            <w:shd w:val="clear" w:color="auto" w:fill="D9D9D9"/>
            <w:noWrap/>
            <w:vAlign w:val="center"/>
            <w:hideMark/>
          </w:tcPr>
          <w:p w14:paraId="465557B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531399A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31FA1A5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837 850,00</w:t>
            </w:r>
            <w:r w:rsidRPr="00B73FDB">
              <w:rPr>
                <w:rFonts w:cs="Calibri"/>
                <w:sz w:val="18"/>
                <w:szCs w:val="18"/>
                <w:lang w:eastAsia="sk-SK"/>
              </w:rPr>
              <w:t xml:space="preserve"> </w:t>
            </w:r>
          </w:p>
        </w:tc>
        <w:tc>
          <w:tcPr>
            <w:tcW w:w="564" w:type="pct"/>
            <w:shd w:val="clear" w:color="auto" w:fill="D9D9D9"/>
            <w:noWrap/>
            <w:vAlign w:val="center"/>
            <w:hideMark/>
          </w:tcPr>
          <w:p w14:paraId="62D08B4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883 323,18</w:t>
            </w:r>
            <w:r w:rsidRPr="00B73FDB">
              <w:rPr>
                <w:rFonts w:cs="Calibri"/>
                <w:sz w:val="18"/>
                <w:szCs w:val="18"/>
                <w:lang w:eastAsia="sk-SK"/>
              </w:rPr>
              <w:t xml:space="preserve"> </w:t>
            </w:r>
          </w:p>
        </w:tc>
        <w:tc>
          <w:tcPr>
            <w:tcW w:w="492" w:type="pct"/>
            <w:shd w:val="clear" w:color="auto" w:fill="D9D9D9"/>
            <w:noWrap/>
            <w:vAlign w:val="center"/>
            <w:hideMark/>
          </w:tcPr>
          <w:p w14:paraId="757C650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874 978,45</w:t>
            </w:r>
            <w:r w:rsidRPr="00B73FDB">
              <w:rPr>
                <w:rFonts w:cs="Calibri"/>
                <w:sz w:val="18"/>
                <w:szCs w:val="18"/>
                <w:lang w:eastAsia="sk-SK"/>
              </w:rPr>
              <w:t xml:space="preserve"> </w:t>
            </w:r>
          </w:p>
        </w:tc>
        <w:tc>
          <w:tcPr>
            <w:tcW w:w="564" w:type="pct"/>
            <w:shd w:val="clear" w:color="auto" w:fill="D9D9D9"/>
            <w:noWrap/>
            <w:vAlign w:val="center"/>
            <w:hideMark/>
          </w:tcPr>
          <w:p w14:paraId="403BD05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99,06</w:t>
            </w:r>
            <w:r w:rsidRPr="00B73FDB">
              <w:rPr>
                <w:rFonts w:cs="Calibri"/>
                <w:sz w:val="18"/>
                <w:szCs w:val="18"/>
                <w:lang w:eastAsia="sk-SK"/>
              </w:rPr>
              <w:t xml:space="preserve"> </w:t>
            </w:r>
          </w:p>
        </w:tc>
        <w:tc>
          <w:tcPr>
            <w:tcW w:w="1136" w:type="pct"/>
            <w:vMerge/>
            <w:shd w:val="clear" w:color="auto" w:fill="D9D9D9"/>
            <w:vAlign w:val="center"/>
            <w:hideMark/>
          </w:tcPr>
          <w:p w14:paraId="51B5B3D6" w14:textId="77777777" w:rsidR="00B73FDB" w:rsidRPr="00B73FDB" w:rsidRDefault="00B73FDB" w:rsidP="00B73FDB">
            <w:pPr>
              <w:spacing w:after="0" w:line="240" w:lineRule="auto"/>
              <w:rPr>
                <w:rFonts w:cs="Calibri"/>
                <w:sz w:val="18"/>
                <w:szCs w:val="18"/>
                <w:lang w:eastAsia="sk-SK"/>
              </w:rPr>
            </w:pPr>
          </w:p>
        </w:tc>
      </w:tr>
      <w:tr w:rsidR="00B73FDB" w:rsidRPr="00B73FDB" w14:paraId="0EAE5AAF" w14:textId="77777777" w:rsidTr="00B73FDB">
        <w:trPr>
          <w:tblCellSpacing w:w="15" w:type="dxa"/>
        </w:trPr>
        <w:tc>
          <w:tcPr>
            <w:tcW w:w="267" w:type="pct"/>
            <w:shd w:val="clear" w:color="auto" w:fill="EFEFEF"/>
            <w:noWrap/>
            <w:vAlign w:val="center"/>
            <w:hideMark/>
          </w:tcPr>
          <w:p w14:paraId="01ED0FD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7E862FD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7CE6C29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445 000,00 </w:t>
            </w:r>
          </w:p>
        </w:tc>
        <w:tc>
          <w:tcPr>
            <w:tcW w:w="564" w:type="pct"/>
            <w:shd w:val="clear" w:color="auto" w:fill="EFEFEF"/>
            <w:noWrap/>
            <w:vAlign w:val="center"/>
            <w:hideMark/>
          </w:tcPr>
          <w:p w14:paraId="3BC4307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514 785,24 </w:t>
            </w:r>
          </w:p>
        </w:tc>
        <w:tc>
          <w:tcPr>
            <w:tcW w:w="492" w:type="pct"/>
            <w:shd w:val="clear" w:color="auto" w:fill="EFEFEF"/>
            <w:noWrap/>
            <w:vAlign w:val="center"/>
            <w:hideMark/>
          </w:tcPr>
          <w:p w14:paraId="7084FB3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514 785,24 </w:t>
            </w:r>
          </w:p>
        </w:tc>
        <w:tc>
          <w:tcPr>
            <w:tcW w:w="564" w:type="pct"/>
            <w:shd w:val="clear" w:color="auto" w:fill="EFEFEF"/>
            <w:noWrap/>
            <w:vAlign w:val="center"/>
            <w:hideMark/>
          </w:tcPr>
          <w:p w14:paraId="38A60B4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50A7EC6" w14:textId="77777777" w:rsidR="00B73FDB" w:rsidRPr="00B73FDB" w:rsidRDefault="00B73FDB" w:rsidP="00B73FDB">
            <w:pPr>
              <w:spacing w:after="0" w:line="240" w:lineRule="auto"/>
              <w:rPr>
                <w:rFonts w:cs="Calibri"/>
                <w:sz w:val="18"/>
                <w:szCs w:val="18"/>
                <w:lang w:eastAsia="sk-SK"/>
              </w:rPr>
            </w:pPr>
          </w:p>
        </w:tc>
      </w:tr>
      <w:tr w:rsidR="00B73FDB" w:rsidRPr="00B73FDB" w14:paraId="5C4A4516" w14:textId="77777777" w:rsidTr="00B73FDB">
        <w:trPr>
          <w:tblCellSpacing w:w="15" w:type="dxa"/>
        </w:trPr>
        <w:tc>
          <w:tcPr>
            <w:tcW w:w="267" w:type="pct"/>
            <w:shd w:val="clear" w:color="auto" w:fill="EFEFEF"/>
            <w:noWrap/>
            <w:vAlign w:val="center"/>
            <w:hideMark/>
          </w:tcPr>
          <w:p w14:paraId="51D99C8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2455CBC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0A77F6C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159 000,00 </w:t>
            </w:r>
          </w:p>
        </w:tc>
        <w:tc>
          <w:tcPr>
            <w:tcW w:w="564" w:type="pct"/>
            <w:shd w:val="clear" w:color="auto" w:fill="EFEFEF"/>
            <w:noWrap/>
            <w:vAlign w:val="center"/>
            <w:hideMark/>
          </w:tcPr>
          <w:p w14:paraId="3743D7F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185 591,99 </w:t>
            </w:r>
          </w:p>
        </w:tc>
        <w:tc>
          <w:tcPr>
            <w:tcW w:w="492" w:type="pct"/>
            <w:shd w:val="clear" w:color="auto" w:fill="EFEFEF"/>
            <w:noWrap/>
            <w:vAlign w:val="center"/>
            <w:hideMark/>
          </w:tcPr>
          <w:p w14:paraId="40C0C8C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185 591,99 </w:t>
            </w:r>
          </w:p>
        </w:tc>
        <w:tc>
          <w:tcPr>
            <w:tcW w:w="564" w:type="pct"/>
            <w:shd w:val="clear" w:color="auto" w:fill="EFEFEF"/>
            <w:noWrap/>
            <w:vAlign w:val="center"/>
            <w:hideMark/>
          </w:tcPr>
          <w:p w14:paraId="3EE2DD3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04D9B44" w14:textId="77777777" w:rsidR="00B73FDB" w:rsidRPr="00B73FDB" w:rsidRDefault="00B73FDB" w:rsidP="00B73FDB">
            <w:pPr>
              <w:spacing w:after="0" w:line="240" w:lineRule="auto"/>
              <w:rPr>
                <w:rFonts w:cs="Calibri"/>
                <w:sz w:val="18"/>
                <w:szCs w:val="18"/>
                <w:lang w:eastAsia="sk-SK"/>
              </w:rPr>
            </w:pPr>
          </w:p>
        </w:tc>
      </w:tr>
      <w:tr w:rsidR="00B73FDB" w:rsidRPr="00B73FDB" w14:paraId="2F9C4E09" w14:textId="77777777" w:rsidTr="00B73FDB">
        <w:trPr>
          <w:tblCellSpacing w:w="15" w:type="dxa"/>
        </w:trPr>
        <w:tc>
          <w:tcPr>
            <w:tcW w:w="267" w:type="pct"/>
            <w:shd w:val="clear" w:color="auto" w:fill="EFEFEF"/>
            <w:noWrap/>
            <w:vAlign w:val="center"/>
            <w:hideMark/>
          </w:tcPr>
          <w:p w14:paraId="28493E7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1CEE8DD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06C50BF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233 850,00 </w:t>
            </w:r>
          </w:p>
        </w:tc>
        <w:tc>
          <w:tcPr>
            <w:tcW w:w="564" w:type="pct"/>
            <w:shd w:val="clear" w:color="auto" w:fill="EFEFEF"/>
            <w:noWrap/>
            <w:vAlign w:val="center"/>
            <w:hideMark/>
          </w:tcPr>
          <w:p w14:paraId="5068AA7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182 594,03 </w:t>
            </w:r>
          </w:p>
        </w:tc>
        <w:tc>
          <w:tcPr>
            <w:tcW w:w="492" w:type="pct"/>
            <w:shd w:val="clear" w:color="auto" w:fill="EFEFEF"/>
            <w:noWrap/>
            <w:vAlign w:val="center"/>
            <w:hideMark/>
          </w:tcPr>
          <w:p w14:paraId="5A5F953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174 249,30 </w:t>
            </w:r>
          </w:p>
        </w:tc>
        <w:tc>
          <w:tcPr>
            <w:tcW w:w="564" w:type="pct"/>
            <w:shd w:val="clear" w:color="auto" w:fill="EFEFEF"/>
            <w:noWrap/>
            <w:vAlign w:val="center"/>
            <w:hideMark/>
          </w:tcPr>
          <w:p w14:paraId="1FECCCA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95,43 </w:t>
            </w:r>
          </w:p>
        </w:tc>
        <w:tc>
          <w:tcPr>
            <w:tcW w:w="1136" w:type="pct"/>
            <w:vMerge/>
            <w:shd w:val="clear" w:color="auto" w:fill="EFEFEF"/>
            <w:vAlign w:val="center"/>
            <w:hideMark/>
          </w:tcPr>
          <w:p w14:paraId="5A7402CD" w14:textId="77777777" w:rsidR="00B73FDB" w:rsidRPr="00B73FDB" w:rsidRDefault="00B73FDB" w:rsidP="00B73FDB">
            <w:pPr>
              <w:spacing w:after="0" w:line="240" w:lineRule="auto"/>
              <w:rPr>
                <w:rFonts w:cs="Calibri"/>
                <w:sz w:val="18"/>
                <w:szCs w:val="18"/>
                <w:lang w:eastAsia="sk-SK"/>
              </w:rPr>
            </w:pPr>
          </w:p>
        </w:tc>
      </w:tr>
    </w:tbl>
    <w:p w14:paraId="1A6A87C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2C162580" w14:textId="77777777" w:rsidTr="00B73FDB">
        <w:trPr>
          <w:tblCellSpacing w:w="15" w:type="dxa"/>
        </w:trPr>
        <w:tc>
          <w:tcPr>
            <w:tcW w:w="0" w:type="auto"/>
            <w:shd w:val="clear" w:color="auto" w:fill="C2D69B"/>
            <w:vAlign w:val="center"/>
            <w:hideMark/>
          </w:tcPr>
          <w:p w14:paraId="03E70B2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1A46DD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33B7A933" w14:textId="77777777" w:rsidTr="00B73FDB">
        <w:trPr>
          <w:tblCellSpacing w:w="15" w:type="dxa"/>
        </w:trPr>
        <w:tc>
          <w:tcPr>
            <w:tcW w:w="0" w:type="auto"/>
            <w:shd w:val="clear" w:color="auto" w:fill="C2D69B"/>
            <w:vAlign w:val="center"/>
            <w:hideMark/>
          </w:tcPr>
          <w:p w14:paraId="68A95DE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484BF9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454B86CA" w14:textId="77777777" w:rsidTr="00B73FDB">
        <w:trPr>
          <w:tblCellSpacing w:w="15" w:type="dxa"/>
        </w:trPr>
        <w:tc>
          <w:tcPr>
            <w:tcW w:w="0" w:type="auto"/>
            <w:shd w:val="clear" w:color="auto" w:fill="C2D69B"/>
            <w:vAlign w:val="center"/>
            <w:hideMark/>
          </w:tcPr>
          <w:p w14:paraId="27E2E81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6EE76A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6B64035" w14:textId="77777777" w:rsidTr="00B73FDB">
        <w:trPr>
          <w:tblCellSpacing w:w="15" w:type="dxa"/>
        </w:trPr>
        <w:tc>
          <w:tcPr>
            <w:tcW w:w="0" w:type="auto"/>
            <w:shd w:val="clear" w:color="auto" w:fill="C2D69B"/>
            <w:vAlign w:val="center"/>
            <w:hideMark/>
          </w:tcPr>
          <w:p w14:paraId="7D7ED93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65FC0B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26FF24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BAEA5E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61F380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DE99D99" w14:textId="77777777" w:rsidTr="00B73FDB">
        <w:trPr>
          <w:tblCellSpacing w:w="15" w:type="dxa"/>
        </w:trPr>
        <w:tc>
          <w:tcPr>
            <w:tcW w:w="0" w:type="auto"/>
            <w:shd w:val="clear" w:color="auto" w:fill="C2D69B"/>
            <w:vAlign w:val="center"/>
            <w:hideMark/>
          </w:tcPr>
          <w:p w14:paraId="78CA2A4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EC4339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316 </w:t>
            </w:r>
          </w:p>
        </w:tc>
        <w:tc>
          <w:tcPr>
            <w:tcW w:w="0" w:type="auto"/>
            <w:shd w:val="clear" w:color="auto" w:fill="C2D69B"/>
            <w:noWrap/>
            <w:vAlign w:val="center"/>
            <w:hideMark/>
          </w:tcPr>
          <w:p w14:paraId="47FC0D6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325 </w:t>
            </w:r>
          </w:p>
        </w:tc>
        <w:tc>
          <w:tcPr>
            <w:tcW w:w="0" w:type="auto"/>
            <w:shd w:val="clear" w:color="auto" w:fill="C2D69B"/>
            <w:vAlign w:val="center"/>
            <w:hideMark/>
          </w:tcPr>
          <w:p w14:paraId="2B9A473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8ABB27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7552DA1" w14:textId="77777777" w:rsidTr="00B73FDB">
        <w:trPr>
          <w:tblCellSpacing w:w="15" w:type="dxa"/>
        </w:trPr>
        <w:tc>
          <w:tcPr>
            <w:tcW w:w="0" w:type="auto"/>
            <w:shd w:val="clear" w:color="auto" w:fill="C2D69B"/>
            <w:vAlign w:val="center"/>
            <w:hideMark/>
          </w:tcPr>
          <w:p w14:paraId="164FDCC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0D5DB9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224EC5C" w14:textId="77777777" w:rsidTr="00B73FDB">
        <w:trPr>
          <w:tblCellSpacing w:w="15" w:type="dxa"/>
        </w:trPr>
        <w:tc>
          <w:tcPr>
            <w:tcW w:w="0" w:type="auto"/>
            <w:shd w:val="clear" w:color="auto" w:fill="C2D69B"/>
            <w:vAlign w:val="center"/>
            <w:hideMark/>
          </w:tcPr>
          <w:p w14:paraId="19C45F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D83BA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1A3386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DB866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6345EC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2BCB768" w14:textId="77777777" w:rsidTr="00B73FDB">
        <w:trPr>
          <w:tblCellSpacing w:w="15" w:type="dxa"/>
        </w:trPr>
        <w:tc>
          <w:tcPr>
            <w:tcW w:w="0" w:type="auto"/>
            <w:shd w:val="clear" w:color="auto" w:fill="C2D69B"/>
            <w:vAlign w:val="center"/>
            <w:hideMark/>
          </w:tcPr>
          <w:p w14:paraId="2D8C46C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983694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316 </w:t>
            </w:r>
          </w:p>
        </w:tc>
        <w:tc>
          <w:tcPr>
            <w:tcW w:w="0" w:type="auto"/>
            <w:shd w:val="clear" w:color="auto" w:fill="C2D69B"/>
            <w:noWrap/>
            <w:vAlign w:val="center"/>
            <w:hideMark/>
          </w:tcPr>
          <w:p w14:paraId="416B8D3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322 </w:t>
            </w:r>
          </w:p>
        </w:tc>
        <w:tc>
          <w:tcPr>
            <w:tcW w:w="0" w:type="auto"/>
            <w:shd w:val="clear" w:color="auto" w:fill="C2D69B"/>
            <w:vAlign w:val="center"/>
            <w:hideMark/>
          </w:tcPr>
          <w:p w14:paraId="5615FDC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4B4AF7B" w14:textId="77777777" w:rsidR="00B73FDB" w:rsidRPr="00B73FDB" w:rsidRDefault="00B73FDB" w:rsidP="00B73FDB">
            <w:pPr>
              <w:spacing w:after="0" w:line="240" w:lineRule="auto"/>
              <w:jc w:val="center"/>
              <w:rPr>
                <w:rFonts w:cs="Calibri"/>
                <w:sz w:val="18"/>
                <w:szCs w:val="18"/>
                <w:lang w:eastAsia="sk-SK"/>
              </w:rPr>
            </w:pPr>
          </w:p>
        </w:tc>
      </w:tr>
    </w:tbl>
    <w:p w14:paraId="5CD4F3AF"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Zameranie študijných odborov je na publicistiku, knihovníctvo a vedecké informácie, informačné systémy a služby v dennej forme štúdia a v pomaturitnom štúdiu. Ide o špecifickú školu s celoslovenskou pôsobnosťou.</w:t>
      </w:r>
    </w:p>
    <w:p w14:paraId="709577C8"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8.3.31: SOŠ pedagogická, Bullova 2,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3"/>
        <w:gridCol w:w="2730"/>
        <w:gridCol w:w="1212"/>
        <w:gridCol w:w="1210"/>
        <w:gridCol w:w="1061"/>
        <w:gridCol w:w="1212"/>
        <w:gridCol w:w="2428"/>
      </w:tblGrid>
      <w:tr w:rsidR="00B73FDB" w:rsidRPr="00B73FDB" w14:paraId="4985724C" w14:textId="77777777" w:rsidTr="00B73FDB">
        <w:trPr>
          <w:tblCellSpacing w:w="15" w:type="dxa"/>
        </w:trPr>
        <w:tc>
          <w:tcPr>
            <w:tcW w:w="270" w:type="pct"/>
            <w:shd w:val="clear" w:color="auto" w:fill="C6DBF7"/>
            <w:vAlign w:val="center"/>
            <w:hideMark/>
          </w:tcPr>
          <w:p w14:paraId="3121337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61C0F16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41F95EE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16BA61A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074194D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79F8E7E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5CE49DC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A76A6C3" w14:textId="77777777" w:rsidTr="00B73FDB">
        <w:trPr>
          <w:tblCellSpacing w:w="15" w:type="dxa"/>
        </w:trPr>
        <w:tc>
          <w:tcPr>
            <w:tcW w:w="270" w:type="pct"/>
            <w:shd w:val="clear" w:color="auto" w:fill="D9D9D9"/>
            <w:noWrap/>
            <w:vAlign w:val="center"/>
            <w:hideMark/>
          </w:tcPr>
          <w:p w14:paraId="1F7E9E62"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578EE81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206AE06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751 440,00</w:t>
            </w:r>
            <w:r w:rsidRPr="00B73FDB">
              <w:rPr>
                <w:rFonts w:cs="Calibri"/>
                <w:sz w:val="18"/>
                <w:szCs w:val="18"/>
                <w:lang w:eastAsia="sk-SK"/>
              </w:rPr>
              <w:t xml:space="preserve"> </w:t>
            </w:r>
          </w:p>
        </w:tc>
        <w:tc>
          <w:tcPr>
            <w:tcW w:w="563" w:type="pct"/>
            <w:shd w:val="clear" w:color="auto" w:fill="D9D9D9"/>
            <w:noWrap/>
            <w:vAlign w:val="center"/>
            <w:hideMark/>
          </w:tcPr>
          <w:p w14:paraId="3F2F705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819 936,83</w:t>
            </w:r>
            <w:r w:rsidRPr="00B73FDB">
              <w:rPr>
                <w:rFonts w:cs="Calibri"/>
                <w:sz w:val="18"/>
                <w:szCs w:val="18"/>
                <w:lang w:eastAsia="sk-SK"/>
              </w:rPr>
              <w:t xml:space="preserve"> </w:t>
            </w:r>
          </w:p>
        </w:tc>
        <w:tc>
          <w:tcPr>
            <w:tcW w:w="492" w:type="pct"/>
            <w:shd w:val="clear" w:color="auto" w:fill="D9D9D9"/>
            <w:noWrap/>
            <w:vAlign w:val="center"/>
            <w:hideMark/>
          </w:tcPr>
          <w:p w14:paraId="19F47CF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819 928,09</w:t>
            </w:r>
            <w:r w:rsidRPr="00B73FDB">
              <w:rPr>
                <w:rFonts w:cs="Calibri"/>
                <w:sz w:val="18"/>
                <w:szCs w:val="18"/>
                <w:lang w:eastAsia="sk-SK"/>
              </w:rPr>
              <w:t xml:space="preserve"> </w:t>
            </w:r>
          </w:p>
        </w:tc>
        <w:tc>
          <w:tcPr>
            <w:tcW w:w="564" w:type="pct"/>
            <w:shd w:val="clear" w:color="auto" w:fill="D9D9D9"/>
            <w:noWrap/>
            <w:vAlign w:val="center"/>
            <w:hideMark/>
          </w:tcPr>
          <w:p w14:paraId="5369CEC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1D2EFFC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+47 639,92 EUR</w:t>
            </w:r>
            <w:r w:rsidRPr="00B73FDB">
              <w:rPr>
                <w:rFonts w:cs="Calibri"/>
                <w:sz w:val="18"/>
                <w:szCs w:val="18"/>
                <w:lang w:eastAsia="sk-SK"/>
              </w:rPr>
              <w:t xml:space="preserve"> normatívne finančné prostriedky,</w:t>
            </w:r>
          </w:p>
          <w:p w14:paraId="2F17AB2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+354,00 EUR</w:t>
            </w:r>
            <w:r w:rsidRPr="00B73FDB">
              <w:rPr>
                <w:rFonts w:cs="Calibri"/>
                <w:sz w:val="18"/>
                <w:szCs w:val="18"/>
                <w:lang w:eastAsia="sk-SK"/>
              </w:rPr>
              <w:t xml:space="preserve"> normatívne finančné prostriedky na maturity,</w:t>
            </w:r>
          </w:p>
          <w:p w14:paraId="3A0D7E3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-1 453,00 EUR </w:t>
            </w:r>
            <w:r w:rsidRPr="00B73FDB">
              <w:rPr>
                <w:rFonts w:cs="Calibri"/>
                <w:sz w:val="18"/>
                <w:szCs w:val="18"/>
                <w:lang w:eastAsia="sk-SK"/>
              </w:rPr>
              <w:t>nenormatívne finančné prostriedky na vzdelávacie poukazy,</w:t>
            </w:r>
          </w:p>
          <w:p w14:paraId="32AFBA4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+3 022,00 EUR</w:t>
            </w:r>
            <w:r w:rsidRPr="00B73FDB">
              <w:rPr>
                <w:rFonts w:cs="Calibri"/>
                <w:sz w:val="18"/>
                <w:szCs w:val="18"/>
                <w:lang w:eastAsia="sk-SK"/>
              </w:rPr>
              <w:t xml:space="preserve"> odchodné do dôchodku,</w:t>
            </w:r>
          </w:p>
          <w:p w14:paraId="1A8B104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-150,00 EUR</w:t>
            </w:r>
            <w:r w:rsidRPr="00B73FDB">
              <w:rPr>
                <w:rFonts w:cs="Calibri"/>
                <w:sz w:val="18"/>
                <w:szCs w:val="18"/>
                <w:lang w:eastAsia="sk-SK"/>
              </w:rPr>
              <w:t xml:space="preserve"> nenormatívne finančné prostriedky na lyžiarske kurzy,</w:t>
            </w:r>
          </w:p>
          <w:p w14:paraId="63FBB09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+23,83 EUR</w:t>
            </w:r>
            <w:r w:rsidRPr="00B73FDB">
              <w:rPr>
                <w:rFonts w:cs="Calibri"/>
                <w:sz w:val="18"/>
                <w:szCs w:val="18"/>
                <w:lang w:eastAsia="sk-SK"/>
              </w:rPr>
              <w:t xml:space="preserve"> nevyčerpané finančné prostriedky z r. 2019,</w:t>
            </w:r>
          </w:p>
          <w:p w14:paraId="49B2209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+13 591,33 EUR </w:t>
            </w:r>
            <w:r w:rsidRPr="00B73FDB">
              <w:rPr>
                <w:rFonts w:cs="Calibri"/>
                <w:sz w:val="18"/>
                <w:szCs w:val="18"/>
                <w:lang w:eastAsia="sk-SK"/>
              </w:rPr>
              <w:t>projekt z MPC,</w:t>
            </w:r>
          </w:p>
          <w:p w14:paraId="5199203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+5 468,75 EUR </w:t>
            </w:r>
            <w:r w:rsidRPr="00B73FDB">
              <w:rPr>
                <w:rFonts w:cs="Calibri"/>
                <w:sz w:val="18"/>
                <w:szCs w:val="18"/>
                <w:lang w:eastAsia="sk-SK"/>
              </w:rPr>
              <w:t>príjmy z prenájmov.</w:t>
            </w:r>
          </w:p>
        </w:tc>
      </w:tr>
      <w:tr w:rsidR="00B73FDB" w:rsidRPr="00B73FDB" w14:paraId="137DE8EE" w14:textId="77777777" w:rsidTr="00B73FDB">
        <w:trPr>
          <w:tblCellSpacing w:w="15" w:type="dxa"/>
        </w:trPr>
        <w:tc>
          <w:tcPr>
            <w:tcW w:w="270" w:type="pct"/>
            <w:shd w:val="clear" w:color="auto" w:fill="D9D9D9"/>
            <w:noWrap/>
            <w:vAlign w:val="center"/>
            <w:hideMark/>
          </w:tcPr>
          <w:p w14:paraId="34E8888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57CB002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21D1D93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751 440,00</w:t>
            </w:r>
            <w:r w:rsidRPr="00B73FDB">
              <w:rPr>
                <w:rFonts w:cs="Calibri"/>
                <w:sz w:val="18"/>
                <w:szCs w:val="18"/>
                <w:lang w:eastAsia="sk-SK"/>
              </w:rPr>
              <w:t xml:space="preserve"> </w:t>
            </w:r>
          </w:p>
        </w:tc>
        <w:tc>
          <w:tcPr>
            <w:tcW w:w="563" w:type="pct"/>
            <w:shd w:val="clear" w:color="auto" w:fill="D9D9D9"/>
            <w:noWrap/>
            <w:vAlign w:val="center"/>
            <w:hideMark/>
          </w:tcPr>
          <w:p w14:paraId="0A8624C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819 936,83</w:t>
            </w:r>
            <w:r w:rsidRPr="00B73FDB">
              <w:rPr>
                <w:rFonts w:cs="Calibri"/>
                <w:sz w:val="18"/>
                <w:szCs w:val="18"/>
                <w:lang w:eastAsia="sk-SK"/>
              </w:rPr>
              <w:t xml:space="preserve"> </w:t>
            </w:r>
          </w:p>
        </w:tc>
        <w:tc>
          <w:tcPr>
            <w:tcW w:w="492" w:type="pct"/>
            <w:shd w:val="clear" w:color="auto" w:fill="D9D9D9"/>
            <w:noWrap/>
            <w:vAlign w:val="center"/>
            <w:hideMark/>
          </w:tcPr>
          <w:p w14:paraId="573D1F4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819 928,09</w:t>
            </w:r>
            <w:r w:rsidRPr="00B73FDB">
              <w:rPr>
                <w:rFonts w:cs="Calibri"/>
                <w:sz w:val="18"/>
                <w:szCs w:val="18"/>
                <w:lang w:eastAsia="sk-SK"/>
              </w:rPr>
              <w:t xml:space="preserve"> </w:t>
            </w:r>
          </w:p>
        </w:tc>
        <w:tc>
          <w:tcPr>
            <w:tcW w:w="564" w:type="pct"/>
            <w:shd w:val="clear" w:color="auto" w:fill="D9D9D9"/>
            <w:noWrap/>
            <w:vAlign w:val="center"/>
            <w:hideMark/>
          </w:tcPr>
          <w:p w14:paraId="5EE51FA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16FD6E51" w14:textId="77777777" w:rsidR="00B73FDB" w:rsidRPr="00B73FDB" w:rsidRDefault="00B73FDB" w:rsidP="00B73FDB">
            <w:pPr>
              <w:spacing w:after="0" w:line="240" w:lineRule="auto"/>
              <w:rPr>
                <w:rFonts w:cs="Calibri"/>
                <w:sz w:val="18"/>
                <w:szCs w:val="18"/>
                <w:lang w:eastAsia="sk-SK"/>
              </w:rPr>
            </w:pPr>
          </w:p>
        </w:tc>
      </w:tr>
      <w:tr w:rsidR="00B73FDB" w:rsidRPr="00B73FDB" w14:paraId="53FA035B" w14:textId="77777777" w:rsidTr="00B73FDB">
        <w:trPr>
          <w:tblCellSpacing w:w="15" w:type="dxa"/>
        </w:trPr>
        <w:tc>
          <w:tcPr>
            <w:tcW w:w="270" w:type="pct"/>
            <w:shd w:val="clear" w:color="auto" w:fill="EFEFEF"/>
            <w:noWrap/>
            <w:vAlign w:val="center"/>
            <w:hideMark/>
          </w:tcPr>
          <w:p w14:paraId="605D9B3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0218AC5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0798DFF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456 880,00 </w:t>
            </w:r>
          </w:p>
        </w:tc>
        <w:tc>
          <w:tcPr>
            <w:tcW w:w="563" w:type="pct"/>
            <w:shd w:val="clear" w:color="auto" w:fill="EFEFEF"/>
            <w:noWrap/>
            <w:vAlign w:val="center"/>
            <w:hideMark/>
          </w:tcPr>
          <w:p w14:paraId="0ED42C4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491 057,88 </w:t>
            </w:r>
          </w:p>
        </w:tc>
        <w:tc>
          <w:tcPr>
            <w:tcW w:w="492" w:type="pct"/>
            <w:shd w:val="clear" w:color="auto" w:fill="EFEFEF"/>
            <w:noWrap/>
            <w:vAlign w:val="center"/>
            <w:hideMark/>
          </w:tcPr>
          <w:p w14:paraId="7CB420D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491 057,88 </w:t>
            </w:r>
          </w:p>
        </w:tc>
        <w:tc>
          <w:tcPr>
            <w:tcW w:w="564" w:type="pct"/>
            <w:shd w:val="clear" w:color="auto" w:fill="EFEFEF"/>
            <w:noWrap/>
            <w:vAlign w:val="center"/>
            <w:hideMark/>
          </w:tcPr>
          <w:p w14:paraId="255D90E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118C71E4" w14:textId="77777777" w:rsidR="00B73FDB" w:rsidRPr="00B73FDB" w:rsidRDefault="00B73FDB" w:rsidP="00B73FDB">
            <w:pPr>
              <w:spacing w:after="0" w:line="240" w:lineRule="auto"/>
              <w:rPr>
                <w:rFonts w:cs="Calibri"/>
                <w:sz w:val="18"/>
                <w:szCs w:val="18"/>
                <w:lang w:eastAsia="sk-SK"/>
              </w:rPr>
            </w:pPr>
          </w:p>
        </w:tc>
      </w:tr>
      <w:tr w:rsidR="00B73FDB" w:rsidRPr="00B73FDB" w14:paraId="57A21F79" w14:textId="77777777" w:rsidTr="00B73FDB">
        <w:trPr>
          <w:tblCellSpacing w:w="15" w:type="dxa"/>
        </w:trPr>
        <w:tc>
          <w:tcPr>
            <w:tcW w:w="270" w:type="pct"/>
            <w:shd w:val="clear" w:color="auto" w:fill="EFEFEF"/>
            <w:noWrap/>
            <w:vAlign w:val="center"/>
            <w:hideMark/>
          </w:tcPr>
          <w:p w14:paraId="395F977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2343AA0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75DE553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166 500,00 </w:t>
            </w:r>
          </w:p>
        </w:tc>
        <w:tc>
          <w:tcPr>
            <w:tcW w:w="563" w:type="pct"/>
            <w:shd w:val="clear" w:color="auto" w:fill="EFEFEF"/>
            <w:noWrap/>
            <w:vAlign w:val="center"/>
            <w:hideMark/>
          </w:tcPr>
          <w:p w14:paraId="6D77D8D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174 373,49 </w:t>
            </w:r>
          </w:p>
        </w:tc>
        <w:tc>
          <w:tcPr>
            <w:tcW w:w="492" w:type="pct"/>
            <w:shd w:val="clear" w:color="auto" w:fill="EFEFEF"/>
            <w:noWrap/>
            <w:vAlign w:val="center"/>
            <w:hideMark/>
          </w:tcPr>
          <w:p w14:paraId="29C5F92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174 373,49 </w:t>
            </w:r>
          </w:p>
        </w:tc>
        <w:tc>
          <w:tcPr>
            <w:tcW w:w="564" w:type="pct"/>
            <w:shd w:val="clear" w:color="auto" w:fill="EFEFEF"/>
            <w:noWrap/>
            <w:vAlign w:val="center"/>
            <w:hideMark/>
          </w:tcPr>
          <w:p w14:paraId="2AF554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0B840FE" w14:textId="77777777" w:rsidR="00B73FDB" w:rsidRPr="00B73FDB" w:rsidRDefault="00B73FDB" w:rsidP="00B73FDB">
            <w:pPr>
              <w:spacing w:after="0" w:line="240" w:lineRule="auto"/>
              <w:rPr>
                <w:rFonts w:cs="Calibri"/>
                <w:sz w:val="18"/>
                <w:szCs w:val="18"/>
                <w:lang w:eastAsia="sk-SK"/>
              </w:rPr>
            </w:pPr>
          </w:p>
        </w:tc>
      </w:tr>
      <w:tr w:rsidR="00B73FDB" w:rsidRPr="00B73FDB" w14:paraId="4080DCD1" w14:textId="77777777" w:rsidTr="00B73FDB">
        <w:trPr>
          <w:tblCellSpacing w:w="15" w:type="dxa"/>
        </w:trPr>
        <w:tc>
          <w:tcPr>
            <w:tcW w:w="270" w:type="pct"/>
            <w:shd w:val="clear" w:color="auto" w:fill="EFEFEF"/>
            <w:noWrap/>
            <w:vAlign w:val="center"/>
            <w:hideMark/>
          </w:tcPr>
          <w:p w14:paraId="019E3E9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2ED34A2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7AD1395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128 060,00 </w:t>
            </w:r>
          </w:p>
        </w:tc>
        <w:tc>
          <w:tcPr>
            <w:tcW w:w="563" w:type="pct"/>
            <w:shd w:val="clear" w:color="auto" w:fill="EFEFEF"/>
            <w:noWrap/>
            <w:vAlign w:val="center"/>
            <w:hideMark/>
          </w:tcPr>
          <w:p w14:paraId="4792F07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150 392,09 </w:t>
            </w:r>
          </w:p>
        </w:tc>
        <w:tc>
          <w:tcPr>
            <w:tcW w:w="492" w:type="pct"/>
            <w:shd w:val="clear" w:color="auto" w:fill="EFEFEF"/>
            <w:noWrap/>
            <w:vAlign w:val="center"/>
            <w:hideMark/>
          </w:tcPr>
          <w:p w14:paraId="6B205D6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150 383,35 </w:t>
            </w:r>
          </w:p>
        </w:tc>
        <w:tc>
          <w:tcPr>
            <w:tcW w:w="564" w:type="pct"/>
            <w:shd w:val="clear" w:color="auto" w:fill="EFEFEF"/>
            <w:noWrap/>
            <w:vAlign w:val="center"/>
            <w:hideMark/>
          </w:tcPr>
          <w:p w14:paraId="53ABED2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99,99 </w:t>
            </w:r>
          </w:p>
        </w:tc>
        <w:tc>
          <w:tcPr>
            <w:tcW w:w="1136" w:type="pct"/>
            <w:vMerge/>
            <w:shd w:val="clear" w:color="auto" w:fill="EFEFEF"/>
            <w:vAlign w:val="center"/>
            <w:hideMark/>
          </w:tcPr>
          <w:p w14:paraId="05B65FAB" w14:textId="77777777" w:rsidR="00B73FDB" w:rsidRPr="00B73FDB" w:rsidRDefault="00B73FDB" w:rsidP="00B73FDB">
            <w:pPr>
              <w:spacing w:after="0" w:line="240" w:lineRule="auto"/>
              <w:rPr>
                <w:rFonts w:cs="Calibri"/>
                <w:sz w:val="18"/>
                <w:szCs w:val="18"/>
                <w:lang w:eastAsia="sk-SK"/>
              </w:rPr>
            </w:pPr>
          </w:p>
        </w:tc>
      </w:tr>
    </w:tbl>
    <w:p w14:paraId="2AA41285"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3DA0E44F" w14:textId="77777777" w:rsidTr="00B73FDB">
        <w:trPr>
          <w:tblCellSpacing w:w="15" w:type="dxa"/>
        </w:trPr>
        <w:tc>
          <w:tcPr>
            <w:tcW w:w="0" w:type="auto"/>
            <w:shd w:val="clear" w:color="auto" w:fill="C2D69B"/>
            <w:vAlign w:val="center"/>
            <w:hideMark/>
          </w:tcPr>
          <w:p w14:paraId="736754E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E31F56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0D9C5FC8" w14:textId="77777777" w:rsidTr="00B73FDB">
        <w:trPr>
          <w:tblCellSpacing w:w="15" w:type="dxa"/>
        </w:trPr>
        <w:tc>
          <w:tcPr>
            <w:tcW w:w="0" w:type="auto"/>
            <w:shd w:val="clear" w:color="auto" w:fill="C2D69B"/>
            <w:vAlign w:val="center"/>
            <w:hideMark/>
          </w:tcPr>
          <w:p w14:paraId="60638DC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64203E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17C12642" w14:textId="77777777" w:rsidTr="00B73FDB">
        <w:trPr>
          <w:tblCellSpacing w:w="15" w:type="dxa"/>
        </w:trPr>
        <w:tc>
          <w:tcPr>
            <w:tcW w:w="0" w:type="auto"/>
            <w:shd w:val="clear" w:color="auto" w:fill="C2D69B"/>
            <w:vAlign w:val="center"/>
            <w:hideMark/>
          </w:tcPr>
          <w:p w14:paraId="43132B3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16E83B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AD38252" w14:textId="77777777" w:rsidTr="00B73FDB">
        <w:trPr>
          <w:tblCellSpacing w:w="15" w:type="dxa"/>
        </w:trPr>
        <w:tc>
          <w:tcPr>
            <w:tcW w:w="0" w:type="auto"/>
            <w:shd w:val="clear" w:color="auto" w:fill="C2D69B"/>
            <w:vAlign w:val="center"/>
            <w:hideMark/>
          </w:tcPr>
          <w:p w14:paraId="67E56CB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788B84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0311F8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3713A8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9DF693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0515863" w14:textId="77777777" w:rsidTr="00B73FDB">
        <w:trPr>
          <w:tblCellSpacing w:w="15" w:type="dxa"/>
        </w:trPr>
        <w:tc>
          <w:tcPr>
            <w:tcW w:w="0" w:type="auto"/>
            <w:shd w:val="clear" w:color="auto" w:fill="C2D69B"/>
            <w:vAlign w:val="center"/>
            <w:hideMark/>
          </w:tcPr>
          <w:p w14:paraId="7F3B77D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771CDE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472 </w:t>
            </w:r>
          </w:p>
        </w:tc>
        <w:tc>
          <w:tcPr>
            <w:tcW w:w="0" w:type="auto"/>
            <w:shd w:val="clear" w:color="auto" w:fill="C2D69B"/>
            <w:noWrap/>
            <w:vAlign w:val="center"/>
            <w:hideMark/>
          </w:tcPr>
          <w:p w14:paraId="53F4B30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458 </w:t>
            </w:r>
          </w:p>
        </w:tc>
        <w:tc>
          <w:tcPr>
            <w:tcW w:w="0" w:type="auto"/>
            <w:shd w:val="clear" w:color="auto" w:fill="C2D69B"/>
            <w:vAlign w:val="center"/>
            <w:hideMark/>
          </w:tcPr>
          <w:p w14:paraId="6D847EB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0EFDF94B"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7A7FC1E" w14:textId="77777777" w:rsidTr="00B73FDB">
        <w:trPr>
          <w:tblCellSpacing w:w="15" w:type="dxa"/>
        </w:trPr>
        <w:tc>
          <w:tcPr>
            <w:tcW w:w="0" w:type="auto"/>
            <w:shd w:val="clear" w:color="auto" w:fill="C2D69B"/>
            <w:vAlign w:val="center"/>
            <w:hideMark/>
          </w:tcPr>
          <w:p w14:paraId="0BB892E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2E85F9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4681547" w14:textId="77777777" w:rsidTr="00B73FDB">
        <w:trPr>
          <w:tblCellSpacing w:w="15" w:type="dxa"/>
        </w:trPr>
        <w:tc>
          <w:tcPr>
            <w:tcW w:w="0" w:type="auto"/>
            <w:shd w:val="clear" w:color="auto" w:fill="C2D69B"/>
            <w:vAlign w:val="center"/>
            <w:hideMark/>
          </w:tcPr>
          <w:p w14:paraId="32800A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50E77E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71BABD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B9B605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2CBEDA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6470AF76" w14:textId="77777777" w:rsidTr="00B73FDB">
        <w:trPr>
          <w:tblCellSpacing w:w="15" w:type="dxa"/>
        </w:trPr>
        <w:tc>
          <w:tcPr>
            <w:tcW w:w="0" w:type="auto"/>
            <w:shd w:val="clear" w:color="auto" w:fill="C2D69B"/>
            <w:vAlign w:val="center"/>
            <w:hideMark/>
          </w:tcPr>
          <w:p w14:paraId="68050BD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4A37EF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247 </w:t>
            </w:r>
          </w:p>
        </w:tc>
        <w:tc>
          <w:tcPr>
            <w:tcW w:w="0" w:type="auto"/>
            <w:shd w:val="clear" w:color="auto" w:fill="C2D69B"/>
            <w:noWrap/>
            <w:vAlign w:val="center"/>
            <w:hideMark/>
          </w:tcPr>
          <w:p w14:paraId="2F4B618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260 </w:t>
            </w:r>
          </w:p>
        </w:tc>
        <w:tc>
          <w:tcPr>
            <w:tcW w:w="0" w:type="auto"/>
            <w:shd w:val="clear" w:color="auto" w:fill="C2D69B"/>
            <w:vAlign w:val="center"/>
            <w:hideMark/>
          </w:tcPr>
          <w:p w14:paraId="79E8C1D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1625556" w14:textId="77777777" w:rsidR="00B73FDB" w:rsidRPr="00B73FDB" w:rsidRDefault="00B73FDB" w:rsidP="00B73FDB">
            <w:pPr>
              <w:spacing w:after="0" w:line="240" w:lineRule="auto"/>
              <w:jc w:val="center"/>
              <w:rPr>
                <w:rFonts w:cs="Calibri"/>
                <w:sz w:val="18"/>
                <w:szCs w:val="18"/>
                <w:lang w:eastAsia="sk-SK"/>
              </w:rPr>
            </w:pPr>
          </w:p>
        </w:tc>
      </w:tr>
    </w:tbl>
    <w:p w14:paraId="52083F5F"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na učiteľstvo pre materské školy a vychovávateľstvo, animátor voľného času a pedagogické lýceum v dennej forme štúdia a v pomaturitnom kvalifikačnom štúdiu. </w:t>
      </w:r>
    </w:p>
    <w:p w14:paraId="217402DE"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lastRenderedPageBreak/>
        <w:t>Prvok 8.3.32: SOŠ pedagogická, Sokolská 6, Modra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27"/>
        <w:gridCol w:w="1236"/>
        <w:gridCol w:w="1192"/>
        <w:gridCol w:w="1034"/>
        <w:gridCol w:w="1243"/>
        <w:gridCol w:w="2426"/>
      </w:tblGrid>
      <w:tr w:rsidR="00B73FDB" w:rsidRPr="00B73FDB" w14:paraId="055726D6" w14:textId="77777777" w:rsidTr="00B73FDB">
        <w:trPr>
          <w:tblCellSpacing w:w="15" w:type="dxa"/>
        </w:trPr>
        <w:tc>
          <w:tcPr>
            <w:tcW w:w="269" w:type="pct"/>
            <w:shd w:val="clear" w:color="auto" w:fill="C6DBF7"/>
            <w:vAlign w:val="center"/>
            <w:hideMark/>
          </w:tcPr>
          <w:p w14:paraId="7A9ED2F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3A0F4EA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75" w:type="pct"/>
            <w:shd w:val="clear" w:color="auto" w:fill="C6DBF7"/>
            <w:vAlign w:val="center"/>
            <w:hideMark/>
          </w:tcPr>
          <w:p w14:paraId="7849341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54" w:type="pct"/>
            <w:shd w:val="clear" w:color="auto" w:fill="C6DBF7"/>
            <w:vAlign w:val="center"/>
            <w:hideMark/>
          </w:tcPr>
          <w:p w14:paraId="2B60EF0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79" w:type="pct"/>
            <w:shd w:val="clear" w:color="auto" w:fill="C6DBF7"/>
            <w:vAlign w:val="center"/>
            <w:hideMark/>
          </w:tcPr>
          <w:p w14:paraId="40BF16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78" w:type="pct"/>
            <w:shd w:val="clear" w:color="auto" w:fill="C6DBF7"/>
            <w:vAlign w:val="center"/>
            <w:hideMark/>
          </w:tcPr>
          <w:p w14:paraId="7DD2956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5" w:type="pct"/>
            <w:shd w:val="clear" w:color="auto" w:fill="C6DBF7"/>
            <w:vAlign w:val="center"/>
            <w:hideMark/>
          </w:tcPr>
          <w:p w14:paraId="12BA04C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8D1B613" w14:textId="77777777" w:rsidTr="00B73FDB">
        <w:trPr>
          <w:tblCellSpacing w:w="15" w:type="dxa"/>
        </w:trPr>
        <w:tc>
          <w:tcPr>
            <w:tcW w:w="269" w:type="pct"/>
            <w:shd w:val="clear" w:color="auto" w:fill="D9D9D9"/>
            <w:noWrap/>
            <w:vAlign w:val="center"/>
            <w:hideMark/>
          </w:tcPr>
          <w:p w14:paraId="7B79849B"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7FE1163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75" w:type="pct"/>
            <w:shd w:val="clear" w:color="auto" w:fill="D9D9D9"/>
            <w:noWrap/>
            <w:vAlign w:val="center"/>
            <w:hideMark/>
          </w:tcPr>
          <w:p w14:paraId="791ED33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733 563,00</w:t>
            </w:r>
            <w:r w:rsidRPr="00B73FDB">
              <w:rPr>
                <w:rFonts w:cs="Calibri"/>
                <w:sz w:val="18"/>
                <w:szCs w:val="18"/>
                <w:lang w:eastAsia="sk-SK"/>
              </w:rPr>
              <w:t xml:space="preserve"> </w:t>
            </w:r>
          </w:p>
        </w:tc>
        <w:tc>
          <w:tcPr>
            <w:tcW w:w="554" w:type="pct"/>
            <w:shd w:val="clear" w:color="auto" w:fill="D9D9D9"/>
            <w:noWrap/>
            <w:vAlign w:val="center"/>
            <w:hideMark/>
          </w:tcPr>
          <w:p w14:paraId="2E9AA41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731 203,71</w:t>
            </w:r>
            <w:r w:rsidRPr="00B73FDB">
              <w:rPr>
                <w:rFonts w:cs="Calibri"/>
                <w:sz w:val="18"/>
                <w:szCs w:val="18"/>
                <w:lang w:eastAsia="sk-SK"/>
              </w:rPr>
              <w:t xml:space="preserve"> </w:t>
            </w:r>
          </w:p>
        </w:tc>
        <w:tc>
          <w:tcPr>
            <w:tcW w:w="479" w:type="pct"/>
            <w:shd w:val="clear" w:color="auto" w:fill="D9D9D9"/>
            <w:noWrap/>
            <w:vAlign w:val="center"/>
            <w:hideMark/>
          </w:tcPr>
          <w:p w14:paraId="7D96444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723 612,92</w:t>
            </w:r>
            <w:r w:rsidRPr="00B73FDB">
              <w:rPr>
                <w:rFonts w:cs="Calibri"/>
                <w:sz w:val="18"/>
                <w:szCs w:val="18"/>
                <w:lang w:eastAsia="sk-SK"/>
              </w:rPr>
              <w:t xml:space="preserve"> </w:t>
            </w:r>
          </w:p>
        </w:tc>
        <w:tc>
          <w:tcPr>
            <w:tcW w:w="578" w:type="pct"/>
            <w:shd w:val="clear" w:color="auto" w:fill="D9D9D9"/>
            <w:noWrap/>
            <w:vAlign w:val="center"/>
            <w:hideMark/>
          </w:tcPr>
          <w:p w14:paraId="08C7030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98,96</w:t>
            </w:r>
            <w:r w:rsidRPr="00B73FDB">
              <w:rPr>
                <w:rFonts w:cs="Calibri"/>
                <w:sz w:val="18"/>
                <w:szCs w:val="18"/>
                <w:lang w:eastAsia="sk-SK"/>
              </w:rPr>
              <w:t xml:space="preserve"> </w:t>
            </w:r>
          </w:p>
        </w:tc>
        <w:tc>
          <w:tcPr>
            <w:tcW w:w="1135" w:type="pct"/>
            <w:vMerge w:val="restart"/>
            <w:shd w:val="clear" w:color="auto" w:fill="D9D9D9"/>
            <w:vAlign w:val="center"/>
            <w:hideMark/>
          </w:tcPr>
          <w:p w14:paraId="55CD1C3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-20 166,00 EUR</w:t>
            </w:r>
            <w:r w:rsidRPr="00B73FDB">
              <w:rPr>
                <w:rFonts w:cs="Calibri"/>
                <w:sz w:val="18"/>
                <w:szCs w:val="18"/>
                <w:lang w:eastAsia="sk-SK"/>
              </w:rPr>
              <w:t xml:space="preserve"> normatívne finančné prostriedky,</w:t>
            </w:r>
          </w:p>
          <w:p w14:paraId="38BFFB3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+677,00 EUR</w:t>
            </w:r>
            <w:r w:rsidRPr="00B73FDB">
              <w:rPr>
                <w:rFonts w:cs="Calibri"/>
                <w:sz w:val="18"/>
                <w:szCs w:val="18"/>
                <w:lang w:eastAsia="sk-SK"/>
              </w:rPr>
              <w:t xml:space="preserve"> normatívne finančné prostriedky na maturity,</w:t>
            </w:r>
          </w:p>
          <w:p w14:paraId="38153E4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+71,00 EUR </w:t>
            </w:r>
            <w:r w:rsidRPr="00B73FDB">
              <w:rPr>
                <w:rFonts w:cs="Calibri"/>
                <w:sz w:val="18"/>
                <w:szCs w:val="18"/>
                <w:lang w:eastAsia="sk-SK"/>
              </w:rPr>
              <w:t>nenormatívne finančné prostriedky na vzdelávacie poukazy,</w:t>
            </w:r>
          </w:p>
          <w:p w14:paraId="220306B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+2 250,00 EUR</w:t>
            </w:r>
            <w:r w:rsidRPr="00B73FDB">
              <w:rPr>
                <w:rFonts w:cs="Calibri"/>
                <w:sz w:val="18"/>
                <w:szCs w:val="18"/>
                <w:lang w:eastAsia="sk-SK"/>
              </w:rPr>
              <w:t xml:space="preserve"> nenormatívne finančné prostriedky na lyžiarske kurzy,</w:t>
            </w:r>
          </w:p>
          <w:p w14:paraId="69250A3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+14 628,71 EUR</w:t>
            </w:r>
            <w:r w:rsidRPr="00B73FDB">
              <w:rPr>
                <w:rFonts w:cs="Calibri"/>
                <w:sz w:val="18"/>
                <w:szCs w:val="18"/>
                <w:lang w:eastAsia="sk-SK"/>
              </w:rPr>
              <w:t xml:space="preserve"> nevyčerpané finančné prostriedky z r. 2019,</w:t>
            </w:r>
          </w:p>
          <w:p w14:paraId="4D05F69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+180,00 EUR</w:t>
            </w:r>
            <w:r w:rsidRPr="00B73FDB">
              <w:rPr>
                <w:rFonts w:cs="Calibri"/>
                <w:sz w:val="18"/>
                <w:szCs w:val="18"/>
                <w:lang w:eastAsia="sk-SK"/>
              </w:rPr>
              <w:t xml:space="preserve"> školské súťaže z OÚ.</w:t>
            </w:r>
          </w:p>
        </w:tc>
      </w:tr>
      <w:tr w:rsidR="00B73FDB" w:rsidRPr="00B73FDB" w14:paraId="651585C5" w14:textId="77777777" w:rsidTr="00B73FDB">
        <w:trPr>
          <w:tblCellSpacing w:w="15" w:type="dxa"/>
        </w:trPr>
        <w:tc>
          <w:tcPr>
            <w:tcW w:w="269" w:type="pct"/>
            <w:shd w:val="clear" w:color="auto" w:fill="D9D9D9"/>
            <w:noWrap/>
            <w:vAlign w:val="center"/>
            <w:hideMark/>
          </w:tcPr>
          <w:p w14:paraId="2042F21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434E012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75" w:type="pct"/>
            <w:shd w:val="clear" w:color="auto" w:fill="D9D9D9"/>
            <w:noWrap/>
            <w:vAlign w:val="center"/>
            <w:hideMark/>
          </w:tcPr>
          <w:p w14:paraId="228EC96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733 563,00</w:t>
            </w:r>
            <w:r w:rsidRPr="00B73FDB">
              <w:rPr>
                <w:rFonts w:cs="Calibri"/>
                <w:sz w:val="18"/>
                <w:szCs w:val="18"/>
                <w:lang w:eastAsia="sk-SK"/>
              </w:rPr>
              <w:t xml:space="preserve"> </w:t>
            </w:r>
          </w:p>
        </w:tc>
        <w:tc>
          <w:tcPr>
            <w:tcW w:w="554" w:type="pct"/>
            <w:shd w:val="clear" w:color="auto" w:fill="D9D9D9"/>
            <w:noWrap/>
            <w:vAlign w:val="center"/>
            <w:hideMark/>
          </w:tcPr>
          <w:p w14:paraId="5AD1298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731 203,71</w:t>
            </w:r>
            <w:r w:rsidRPr="00B73FDB">
              <w:rPr>
                <w:rFonts w:cs="Calibri"/>
                <w:sz w:val="18"/>
                <w:szCs w:val="18"/>
                <w:lang w:eastAsia="sk-SK"/>
              </w:rPr>
              <w:t xml:space="preserve"> </w:t>
            </w:r>
          </w:p>
        </w:tc>
        <w:tc>
          <w:tcPr>
            <w:tcW w:w="479" w:type="pct"/>
            <w:shd w:val="clear" w:color="auto" w:fill="D9D9D9"/>
            <w:noWrap/>
            <w:vAlign w:val="center"/>
            <w:hideMark/>
          </w:tcPr>
          <w:p w14:paraId="25338B0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723 612,92</w:t>
            </w:r>
            <w:r w:rsidRPr="00B73FDB">
              <w:rPr>
                <w:rFonts w:cs="Calibri"/>
                <w:sz w:val="18"/>
                <w:szCs w:val="18"/>
                <w:lang w:eastAsia="sk-SK"/>
              </w:rPr>
              <w:t xml:space="preserve"> </w:t>
            </w:r>
          </w:p>
        </w:tc>
        <w:tc>
          <w:tcPr>
            <w:tcW w:w="578" w:type="pct"/>
            <w:shd w:val="clear" w:color="auto" w:fill="D9D9D9"/>
            <w:noWrap/>
            <w:vAlign w:val="center"/>
            <w:hideMark/>
          </w:tcPr>
          <w:p w14:paraId="45690A4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98,96</w:t>
            </w:r>
            <w:r w:rsidRPr="00B73FDB">
              <w:rPr>
                <w:rFonts w:cs="Calibri"/>
                <w:sz w:val="18"/>
                <w:szCs w:val="18"/>
                <w:lang w:eastAsia="sk-SK"/>
              </w:rPr>
              <w:t xml:space="preserve"> </w:t>
            </w:r>
          </w:p>
        </w:tc>
        <w:tc>
          <w:tcPr>
            <w:tcW w:w="1135" w:type="pct"/>
            <w:vMerge/>
            <w:shd w:val="clear" w:color="auto" w:fill="D9D9D9"/>
            <w:vAlign w:val="center"/>
            <w:hideMark/>
          </w:tcPr>
          <w:p w14:paraId="69BBCF88" w14:textId="77777777" w:rsidR="00B73FDB" w:rsidRPr="00B73FDB" w:rsidRDefault="00B73FDB" w:rsidP="00B73FDB">
            <w:pPr>
              <w:spacing w:after="0" w:line="240" w:lineRule="auto"/>
              <w:rPr>
                <w:rFonts w:cs="Calibri"/>
                <w:sz w:val="18"/>
                <w:szCs w:val="18"/>
                <w:lang w:eastAsia="sk-SK"/>
              </w:rPr>
            </w:pPr>
          </w:p>
        </w:tc>
      </w:tr>
      <w:tr w:rsidR="00B73FDB" w:rsidRPr="00B73FDB" w14:paraId="6FAF6EC4" w14:textId="77777777" w:rsidTr="00B73FDB">
        <w:trPr>
          <w:tblCellSpacing w:w="15" w:type="dxa"/>
        </w:trPr>
        <w:tc>
          <w:tcPr>
            <w:tcW w:w="269" w:type="pct"/>
            <w:shd w:val="clear" w:color="auto" w:fill="EFEFEF"/>
            <w:noWrap/>
            <w:vAlign w:val="center"/>
            <w:hideMark/>
          </w:tcPr>
          <w:p w14:paraId="05B9CFF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446B810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75" w:type="pct"/>
            <w:shd w:val="clear" w:color="auto" w:fill="EFEFEF"/>
            <w:noWrap/>
            <w:vAlign w:val="center"/>
            <w:hideMark/>
          </w:tcPr>
          <w:p w14:paraId="6B40FA7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479 394,00 </w:t>
            </w:r>
          </w:p>
        </w:tc>
        <w:tc>
          <w:tcPr>
            <w:tcW w:w="554" w:type="pct"/>
            <w:shd w:val="clear" w:color="auto" w:fill="EFEFEF"/>
            <w:noWrap/>
            <w:vAlign w:val="center"/>
            <w:hideMark/>
          </w:tcPr>
          <w:p w14:paraId="36D6D2F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483 485,55 </w:t>
            </w:r>
          </w:p>
        </w:tc>
        <w:tc>
          <w:tcPr>
            <w:tcW w:w="479" w:type="pct"/>
            <w:shd w:val="clear" w:color="auto" w:fill="EFEFEF"/>
            <w:noWrap/>
            <w:vAlign w:val="center"/>
            <w:hideMark/>
          </w:tcPr>
          <w:p w14:paraId="6A695A0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483 485,55 </w:t>
            </w:r>
          </w:p>
        </w:tc>
        <w:tc>
          <w:tcPr>
            <w:tcW w:w="578" w:type="pct"/>
            <w:shd w:val="clear" w:color="auto" w:fill="EFEFEF"/>
            <w:noWrap/>
            <w:vAlign w:val="center"/>
            <w:hideMark/>
          </w:tcPr>
          <w:p w14:paraId="66AF8CC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77B82D51" w14:textId="77777777" w:rsidR="00B73FDB" w:rsidRPr="00B73FDB" w:rsidRDefault="00B73FDB" w:rsidP="00B73FDB">
            <w:pPr>
              <w:spacing w:after="0" w:line="240" w:lineRule="auto"/>
              <w:rPr>
                <w:rFonts w:cs="Calibri"/>
                <w:sz w:val="18"/>
                <w:szCs w:val="18"/>
                <w:lang w:eastAsia="sk-SK"/>
              </w:rPr>
            </w:pPr>
          </w:p>
        </w:tc>
      </w:tr>
      <w:tr w:rsidR="00B73FDB" w:rsidRPr="00B73FDB" w14:paraId="059DE6F5" w14:textId="77777777" w:rsidTr="00B73FDB">
        <w:trPr>
          <w:tblCellSpacing w:w="15" w:type="dxa"/>
        </w:trPr>
        <w:tc>
          <w:tcPr>
            <w:tcW w:w="269" w:type="pct"/>
            <w:shd w:val="clear" w:color="auto" w:fill="EFEFEF"/>
            <w:noWrap/>
            <w:vAlign w:val="center"/>
            <w:hideMark/>
          </w:tcPr>
          <w:p w14:paraId="3839363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05E27E5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75" w:type="pct"/>
            <w:shd w:val="clear" w:color="auto" w:fill="EFEFEF"/>
            <w:noWrap/>
            <w:vAlign w:val="center"/>
            <w:hideMark/>
          </w:tcPr>
          <w:p w14:paraId="5D1530E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172 028,00 </w:t>
            </w:r>
          </w:p>
        </w:tc>
        <w:tc>
          <w:tcPr>
            <w:tcW w:w="554" w:type="pct"/>
            <w:shd w:val="clear" w:color="auto" w:fill="EFEFEF"/>
            <w:noWrap/>
            <w:vAlign w:val="center"/>
            <w:hideMark/>
          </w:tcPr>
          <w:p w14:paraId="11013C2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162 413,18 </w:t>
            </w:r>
          </w:p>
        </w:tc>
        <w:tc>
          <w:tcPr>
            <w:tcW w:w="479" w:type="pct"/>
            <w:shd w:val="clear" w:color="auto" w:fill="EFEFEF"/>
            <w:noWrap/>
            <w:vAlign w:val="center"/>
            <w:hideMark/>
          </w:tcPr>
          <w:p w14:paraId="776E374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162 413,18 </w:t>
            </w:r>
          </w:p>
        </w:tc>
        <w:tc>
          <w:tcPr>
            <w:tcW w:w="578" w:type="pct"/>
            <w:shd w:val="clear" w:color="auto" w:fill="EFEFEF"/>
            <w:noWrap/>
            <w:vAlign w:val="center"/>
            <w:hideMark/>
          </w:tcPr>
          <w:p w14:paraId="5A4C849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5" w:type="pct"/>
            <w:vMerge/>
            <w:shd w:val="clear" w:color="auto" w:fill="EFEFEF"/>
            <w:vAlign w:val="center"/>
            <w:hideMark/>
          </w:tcPr>
          <w:p w14:paraId="4486E221" w14:textId="77777777" w:rsidR="00B73FDB" w:rsidRPr="00B73FDB" w:rsidRDefault="00B73FDB" w:rsidP="00B73FDB">
            <w:pPr>
              <w:spacing w:after="0" w:line="240" w:lineRule="auto"/>
              <w:rPr>
                <w:rFonts w:cs="Calibri"/>
                <w:sz w:val="18"/>
                <w:szCs w:val="18"/>
                <w:lang w:eastAsia="sk-SK"/>
              </w:rPr>
            </w:pPr>
          </w:p>
        </w:tc>
      </w:tr>
      <w:tr w:rsidR="00B73FDB" w:rsidRPr="00B73FDB" w14:paraId="3068A5B9" w14:textId="77777777" w:rsidTr="00B73FDB">
        <w:trPr>
          <w:tblCellSpacing w:w="15" w:type="dxa"/>
        </w:trPr>
        <w:tc>
          <w:tcPr>
            <w:tcW w:w="269" w:type="pct"/>
            <w:shd w:val="clear" w:color="auto" w:fill="EFEFEF"/>
            <w:noWrap/>
            <w:vAlign w:val="center"/>
            <w:hideMark/>
          </w:tcPr>
          <w:p w14:paraId="15B1E5C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64C7B8A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75" w:type="pct"/>
            <w:shd w:val="clear" w:color="auto" w:fill="EFEFEF"/>
            <w:noWrap/>
            <w:vAlign w:val="center"/>
            <w:hideMark/>
          </w:tcPr>
          <w:p w14:paraId="5D050BC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82 141,00 </w:t>
            </w:r>
          </w:p>
        </w:tc>
        <w:tc>
          <w:tcPr>
            <w:tcW w:w="554" w:type="pct"/>
            <w:shd w:val="clear" w:color="auto" w:fill="EFEFEF"/>
            <w:noWrap/>
            <w:vAlign w:val="center"/>
            <w:hideMark/>
          </w:tcPr>
          <w:p w14:paraId="25A1DB5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84 857,74 </w:t>
            </w:r>
          </w:p>
        </w:tc>
        <w:tc>
          <w:tcPr>
            <w:tcW w:w="479" w:type="pct"/>
            <w:shd w:val="clear" w:color="auto" w:fill="EFEFEF"/>
            <w:noWrap/>
            <w:vAlign w:val="center"/>
            <w:hideMark/>
          </w:tcPr>
          <w:p w14:paraId="4D6755D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77 266,95 </w:t>
            </w:r>
          </w:p>
        </w:tc>
        <w:tc>
          <w:tcPr>
            <w:tcW w:w="578" w:type="pct"/>
            <w:shd w:val="clear" w:color="auto" w:fill="EFEFEF"/>
            <w:noWrap/>
            <w:vAlign w:val="center"/>
            <w:hideMark/>
          </w:tcPr>
          <w:p w14:paraId="1055FC4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91,05 </w:t>
            </w:r>
          </w:p>
        </w:tc>
        <w:tc>
          <w:tcPr>
            <w:tcW w:w="1135" w:type="pct"/>
            <w:vMerge/>
            <w:shd w:val="clear" w:color="auto" w:fill="EFEFEF"/>
            <w:vAlign w:val="center"/>
            <w:hideMark/>
          </w:tcPr>
          <w:p w14:paraId="4DBB95A4" w14:textId="77777777" w:rsidR="00B73FDB" w:rsidRPr="00B73FDB" w:rsidRDefault="00B73FDB" w:rsidP="00B73FDB">
            <w:pPr>
              <w:spacing w:after="0" w:line="240" w:lineRule="auto"/>
              <w:rPr>
                <w:rFonts w:cs="Calibri"/>
                <w:sz w:val="18"/>
                <w:szCs w:val="18"/>
                <w:lang w:eastAsia="sk-SK"/>
              </w:rPr>
            </w:pPr>
          </w:p>
        </w:tc>
      </w:tr>
    </w:tbl>
    <w:p w14:paraId="39AA6853"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4F4344CF" w14:textId="77777777" w:rsidTr="00B73FDB">
        <w:trPr>
          <w:tblCellSpacing w:w="15" w:type="dxa"/>
        </w:trPr>
        <w:tc>
          <w:tcPr>
            <w:tcW w:w="0" w:type="auto"/>
            <w:shd w:val="clear" w:color="auto" w:fill="C2D69B"/>
            <w:vAlign w:val="center"/>
            <w:hideMark/>
          </w:tcPr>
          <w:p w14:paraId="597101E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F620AC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F01F445" w14:textId="77777777" w:rsidTr="00B73FDB">
        <w:trPr>
          <w:tblCellSpacing w:w="15" w:type="dxa"/>
        </w:trPr>
        <w:tc>
          <w:tcPr>
            <w:tcW w:w="0" w:type="auto"/>
            <w:shd w:val="clear" w:color="auto" w:fill="C2D69B"/>
            <w:vAlign w:val="center"/>
            <w:hideMark/>
          </w:tcPr>
          <w:p w14:paraId="62B3A9F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18C50B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229E66A3" w14:textId="77777777" w:rsidTr="00B73FDB">
        <w:trPr>
          <w:tblCellSpacing w:w="15" w:type="dxa"/>
        </w:trPr>
        <w:tc>
          <w:tcPr>
            <w:tcW w:w="0" w:type="auto"/>
            <w:shd w:val="clear" w:color="auto" w:fill="C2D69B"/>
            <w:vAlign w:val="center"/>
            <w:hideMark/>
          </w:tcPr>
          <w:p w14:paraId="2904C8D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799CEC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17F3E4E2" w14:textId="77777777" w:rsidTr="00B73FDB">
        <w:trPr>
          <w:tblCellSpacing w:w="15" w:type="dxa"/>
        </w:trPr>
        <w:tc>
          <w:tcPr>
            <w:tcW w:w="0" w:type="auto"/>
            <w:shd w:val="clear" w:color="auto" w:fill="C2D69B"/>
            <w:vAlign w:val="center"/>
            <w:hideMark/>
          </w:tcPr>
          <w:p w14:paraId="31D4337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4C805B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88F5BD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EC37A0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C2D7BD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298F6AC" w14:textId="77777777" w:rsidTr="00B73FDB">
        <w:trPr>
          <w:tblCellSpacing w:w="15" w:type="dxa"/>
        </w:trPr>
        <w:tc>
          <w:tcPr>
            <w:tcW w:w="0" w:type="auto"/>
            <w:shd w:val="clear" w:color="auto" w:fill="C2D69B"/>
            <w:vAlign w:val="center"/>
            <w:hideMark/>
          </w:tcPr>
          <w:p w14:paraId="02A0716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02BDC0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354 </w:t>
            </w:r>
          </w:p>
        </w:tc>
        <w:tc>
          <w:tcPr>
            <w:tcW w:w="0" w:type="auto"/>
            <w:shd w:val="clear" w:color="auto" w:fill="C2D69B"/>
            <w:noWrap/>
            <w:vAlign w:val="center"/>
            <w:hideMark/>
          </w:tcPr>
          <w:p w14:paraId="0DA3ECC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343 </w:t>
            </w:r>
          </w:p>
        </w:tc>
        <w:tc>
          <w:tcPr>
            <w:tcW w:w="0" w:type="auto"/>
            <w:shd w:val="clear" w:color="auto" w:fill="C2D69B"/>
            <w:vAlign w:val="center"/>
            <w:hideMark/>
          </w:tcPr>
          <w:p w14:paraId="64C06E8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455D2D20"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30B96D7" w14:textId="77777777" w:rsidTr="00B73FDB">
        <w:trPr>
          <w:tblCellSpacing w:w="15" w:type="dxa"/>
        </w:trPr>
        <w:tc>
          <w:tcPr>
            <w:tcW w:w="0" w:type="auto"/>
            <w:shd w:val="clear" w:color="auto" w:fill="C2D69B"/>
            <w:vAlign w:val="center"/>
            <w:hideMark/>
          </w:tcPr>
          <w:p w14:paraId="613BFA5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5002EA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B3E2217" w14:textId="77777777" w:rsidTr="00B73FDB">
        <w:trPr>
          <w:tblCellSpacing w:w="15" w:type="dxa"/>
        </w:trPr>
        <w:tc>
          <w:tcPr>
            <w:tcW w:w="0" w:type="auto"/>
            <w:shd w:val="clear" w:color="auto" w:fill="C2D69B"/>
            <w:vAlign w:val="center"/>
            <w:hideMark/>
          </w:tcPr>
          <w:p w14:paraId="6EA6707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235BEE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2E998E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69ADE5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E50579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6EA1CD6" w14:textId="77777777" w:rsidTr="00B73FDB">
        <w:trPr>
          <w:tblCellSpacing w:w="15" w:type="dxa"/>
        </w:trPr>
        <w:tc>
          <w:tcPr>
            <w:tcW w:w="0" w:type="auto"/>
            <w:shd w:val="clear" w:color="auto" w:fill="C2D69B"/>
            <w:vAlign w:val="center"/>
            <w:hideMark/>
          </w:tcPr>
          <w:p w14:paraId="39AE902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8DD83D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254 </w:t>
            </w:r>
          </w:p>
        </w:tc>
        <w:tc>
          <w:tcPr>
            <w:tcW w:w="0" w:type="auto"/>
            <w:shd w:val="clear" w:color="auto" w:fill="C2D69B"/>
            <w:noWrap/>
            <w:vAlign w:val="center"/>
            <w:hideMark/>
          </w:tcPr>
          <w:p w14:paraId="6518584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247 </w:t>
            </w:r>
          </w:p>
        </w:tc>
        <w:tc>
          <w:tcPr>
            <w:tcW w:w="0" w:type="auto"/>
            <w:shd w:val="clear" w:color="auto" w:fill="C2D69B"/>
            <w:vAlign w:val="center"/>
            <w:hideMark/>
          </w:tcPr>
          <w:p w14:paraId="71FF6F0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F53A4E7" w14:textId="77777777" w:rsidR="00B73FDB" w:rsidRPr="00B73FDB" w:rsidRDefault="00B73FDB" w:rsidP="00B73FDB">
            <w:pPr>
              <w:spacing w:after="0" w:line="240" w:lineRule="auto"/>
              <w:jc w:val="center"/>
              <w:rPr>
                <w:rFonts w:cs="Calibri"/>
                <w:sz w:val="18"/>
                <w:szCs w:val="18"/>
                <w:lang w:eastAsia="sk-SK"/>
              </w:rPr>
            </w:pPr>
          </w:p>
        </w:tc>
      </w:tr>
    </w:tbl>
    <w:p w14:paraId="0E6145BE"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na učiteľstvo pre materské školy a vychovávateľstvo, </w:t>
      </w:r>
      <w:proofErr w:type="spellStart"/>
      <w:r w:rsidRPr="00B73FDB">
        <w:rPr>
          <w:rFonts w:cs="Calibri"/>
          <w:sz w:val="24"/>
          <w:szCs w:val="24"/>
          <w:lang w:eastAsia="sk-SK"/>
        </w:rPr>
        <w:t>vychovávateľsko</w:t>
      </w:r>
      <w:proofErr w:type="spellEnd"/>
      <w:r w:rsidRPr="00B73FDB">
        <w:rPr>
          <w:rFonts w:cs="Calibri"/>
          <w:sz w:val="24"/>
          <w:szCs w:val="24"/>
          <w:lang w:eastAsia="sk-SK"/>
        </w:rPr>
        <w:t xml:space="preserve"> - opatrovateľskú činnosť, animátor voľného času v dennej forme štúdia a v pomaturitnom  kvalifikačnom štúdiu. </w:t>
      </w:r>
    </w:p>
    <w:p w14:paraId="44BD3136"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8.3.33: Škola umeleckého priemyslu Jozefa Vydru, Dúbravská cesta 11,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8"/>
        <w:gridCol w:w="1210"/>
        <w:gridCol w:w="1210"/>
        <w:gridCol w:w="1081"/>
        <w:gridCol w:w="1206"/>
        <w:gridCol w:w="2428"/>
      </w:tblGrid>
      <w:tr w:rsidR="00B73FDB" w:rsidRPr="00B73FDB" w14:paraId="1AEF3B15" w14:textId="77777777" w:rsidTr="00B73FDB">
        <w:trPr>
          <w:tblCellSpacing w:w="15" w:type="dxa"/>
        </w:trPr>
        <w:tc>
          <w:tcPr>
            <w:tcW w:w="266" w:type="pct"/>
            <w:shd w:val="clear" w:color="auto" w:fill="C6DBF7"/>
            <w:vAlign w:val="center"/>
            <w:hideMark/>
          </w:tcPr>
          <w:p w14:paraId="2915BE6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4235804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19880DD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3" w:type="pct"/>
            <w:shd w:val="clear" w:color="auto" w:fill="C6DBF7"/>
            <w:vAlign w:val="center"/>
            <w:hideMark/>
          </w:tcPr>
          <w:p w14:paraId="13880BB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653507D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1" w:type="pct"/>
            <w:shd w:val="clear" w:color="auto" w:fill="C6DBF7"/>
            <w:vAlign w:val="center"/>
            <w:hideMark/>
          </w:tcPr>
          <w:p w14:paraId="3E7AF06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0D65F18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5F10F99" w14:textId="77777777" w:rsidTr="00B73FDB">
        <w:trPr>
          <w:tblCellSpacing w:w="15" w:type="dxa"/>
        </w:trPr>
        <w:tc>
          <w:tcPr>
            <w:tcW w:w="266" w:type="pct"/>
            <w:shd w:val="clear" w:color="auto" w:fill="D9D9D9"/>
            <w:noWrap/>
            <w:vAlign w:val="center"/>
            <w:hideMark/>
          </w:tcPr>
          <w:p w14:paraId="66BA5E35"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16BCFF5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6B9C1ED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1 343 722,00</w:t>
            </w:r>
            <w:r w:rsidRPr="00B73FDB">
              <w:rPr>
                <w:rFonts w:cs="Calibri"/>
                <w:sz w:val="18"/>
                <w:szCs w:val="18"/>
                <w:lang w:eastAsia="sk-SK"/>
              </w:rPr>
              <w:t xml:space="preserve"> </w:t>
            </w:r>
          </w:p>
        </w:tc>
        <w:tc>
          <w:tcPr>
            <w:tcW w:w="563" w:type="pct"/>
            <w:shd w:val="clear" w:color="auto" w:fill="D9D9D9"/>
            <w:noWrap/>
            <w:vAlign w:val="center"/>
            <w:hideMark/>
          </w:tcPr>
          <w:p w14:paraId="5F5727F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1 436 394,07</w:t>
            </w:r>
            <w:r w:rsidRPr="00B73FDB">
              <w:rPr>
                <w:rFonts w:cs="Calibri"/>
                <w:sz w:val="18"/>
                <w:szCs w:val="18"/>
                <w:lang w:eastAsia="sk-SK"/>
              </w:rPr>
              <w:t xml:space="preserve"> </w:t>
            </w:r>
          </w:p>
        </w:tc>
        <w:tc>
          <w:tcPr>
            <w:tcW w:w="501" w:type="pct"/>
            <w:shd w:val="clear" w:color="auto" w:fill="D9D9D9"/>
            <w:noWrap/>
            <w:vAlign w:val="center"/>
            <w:hideMark/>
          </w:tcPr>
          <w:p w14:paraId="2DA437A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1 431 390,91</w:t>
            </w:r>
            <w:r w:rsidRPr="00B73FDB">
              <w:rPr>
                <w:rFonts w:cs="Calibri"/>
                <w:sz w:val="18"/>
                <w:szCs w:val="18"/>
                <w:lang w:eastAsia="sk-SK"/>
              </w:rPr>
              <w:t xml:space="preserve"> </w:t>
            </w:r>
          </w:p>
        </w:tc>
        <w:tc>
          <w:tcPr>
            <w:tcW w:w="561" w:type="pct"/>
            <w:shd w:val="clear" w:color="auto" w:fill="D9D9D9"/>
            <w:noWrap/>
            <w:vAlign w:val="center"/>
            <w:hideMark/>
          </w:tcPr>
          <w:p w14:paraId="0FF8834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99,65</w:t>
            </w:r>
            <w:r w:rsidRPr="00B73FDB">
              <w:rPr>
                <w:rFonts w:cs="Calibri"/>
                <w:sz w:val="18"/>
                <w:szCs w:val="18"/>
                <w:lang w:eastAsia="sk-SK"/>
              </w:rPr>
              <w:t xml:space="preserve"> </w:t>
            </w:r>
          </w:p>
        </w:tc>
        <w:tc>
          <w:tcPr>
            <w:tcW w:w="1136" w:type="pct"/>
            <w:vMerge w:val="restart"/>
            <w:shd w:val="clear" w:color="auto" w:fill="D9D9D9"/>
            <w:vAlign w:val="center"/>
            <w:hideMark/>
          </w:tcPr>
          <w:p w14:paraId="4BD0DA5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+79 385,93 EUR</w:t>
            </w:r>
            <w:r w:rsidRPr="00B73FDB">
              <w:rPr>
                <w:rFonts w:cs="Calibri"/>
                <w:sz w:val="18"/>
                <w:szCs w:val="18"/>
                <w:lang w:eastAsia="sk-SK"/>
              </w:rPr>
              <w:t xml:space="preserve"> normatívne finančné prostriedky,</w:t>
            </w:r>
          </w:p>
          <w:p w14:paraId="2655012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+115,00 EUR</w:t>
            </w:r>
            <w:r w:rsidRPr="00B73FDB">
              <w:rPr>
                <w:rFonts w:cs="Calibri"/>
                <w:sz w:val="18"/>
                <w:szCs w:val="18"/>
                <w:lang w:eastAsia="sk-SK"/>
              </w:rPr>
              <w:t xml:space="preserve"> normatívne finančné prostriedky na maturity,</w:t>
            </w:r>
          </w:p>
          <w:p w14:paraId="26198B23"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+1 807,00 EUR</w:t>
            </w:r>
            <w:r w:rsidRPr="00B73FDB">
              <w:rPr>
                <w:rFonts w:cs="Calibri"/>
                <w:sz w:val="18"/>
                <w:szCs w:val="18"/>
                <w:lang w:eastAsia="sk-SK"/>
              </w:rPr>
              <w:t xml:space="preserve"> príspevok na rekreáciu zamestnancov,</w:t>
            </w:r>
          </w:p>
          <w:p w14:paraId="3CFB750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+889,00 EUR </w:t>
            </w:r>
            <w:r w:rsidRPr="00B73FDB">
              <w:rPr>
                <w:rFonts w:cs="Calibri"/>
                <w:sz w:val="18"/>
                <w:szCs w:val="18"/>
                <w:lang w:eastAsia="sk-SK"/>
              </w:rPr>
              <w:t>nenormatívne finančné prostriedky na vzdelávacie poukazy,</w:t>
            </w:r>
          </w:p>
          <w:p w14:paraId="15C4CFE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+1 496,00 EUR</w:t>
            </w:r>
            <w:r w:rsidRPr="00B73FDB">
              <w:rPr>
                <w:rFonts w:cs="Calibri"/>
                <w:sz w:val="18"/>
                <w:szCs w:val="18"/>
                <w:lang w:eastAsia="sk-SK"/>
              </w:rPr>
              <w:t xml:space="preserve"> odchodné do dôchodku,</w:t>
            </w:r>
          </w:p>
          <w:p w14:paraId="3A67B1C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-600,00 EUR</w:t>
            </w:r>
            <w:r w:rsidRPr="00B73FDB">
              <w:rPr>
                <w:rFonts w:cs="Calibri"/>
                <w:sz w:val="18"/>
                <w:szCs w:val="18"/>
                <w:lang w:eastAsia="sk-SK"/>
              </w:rPr>
              <w:t xml:space="preserve"> nenormatívne finančné prostriedky na lyžiarske kurzy,</w:t>
            </w:r>
          </w:p>
          <w:p w14:paraId="371BB3E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+8 908,34 EUR</w:t>
            </w:r>
            <w:r w:rsidRPr="00B73FDB">
              <w:rPr>
                <w:rFonts w:cs="Calibri"/>
                <w:sz w:val="18"/>
                <w:szCs w:val="18"/>
                <w:lang w:eastAsia="sk-SK"/>
              </w:rPr>
              <w:t xml:space="preserve"> nevyčerpané finančné prostriedky z r. 2019,</w:t>
            </w:r>
          </w:p>
          <w:p w14:paraId="3CD1568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+670,80 EUR</w:t>
            </w:r>
            <w:r w:rsidRPr="00B73FDB">
              <w:rPr>
                <w:rFonts w:cs="Calibri"/>
                <w:sz w:val="18"/>
                <w:szCs w:val="18"/>
                <w:lang w:eastAsia="sk-SK"/>
              </w:rPr>
              <w:t xml:space="preserve"> príjmy z prenájmov.</w:t>
            </w:r>
          </w:p>
        </w:tc>
      </w:tr>
      <w:tr w:rsidR="00B73FDB" w:rsidRPr="00B73FDB" w14:paraId="41727E42" w14:textId="77777777" w:rsidTr="00B73FDB">
        <w:trPr>
          <w:tblCellSpacing w:w="15" w:type="dxa"/>
        </w:trPr>
        <w:tc>
          <w:tcPr>
            <w:tcW w:w="266" w:type="pct"/>
            <w:shd w:val="clear" w:color="auto" w:fill="D9D9D9"/>
            <w:noWrap/>
            <w:vAlign w:val="center"/>
            <w:hideMark/>
          </w:tcPr>
          <w:p w14:paraId="4BF02DE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581E088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133913E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1 343 722,00</w:t>
            </w:r>
            <w:r w:rsidRPr="00B73FDB">
              <w:rPr>
                <w:rFonts w:cs="Calibri"/>
                <w:sz w:val="18"/>
                <w:szCs w:val="18"/>
                <w:lang w:eastAsia="sk-SK"/>
              </w:rPr>
              <w:t xml:space="preserve"> </w:t>
            </w:r>
          </w:p>
        </w:tc>
        <w:tc>
          <w:tcPr>
            <w:tcW w:w="563" w:type="pct"/>
            <w:shd w:val="clear" w:color="auto" w:fill="D9D9D9"/>
            <w:noWrap/>
            <w:vAlign w:val="center"/>
            <w:hideMark/>
          </w:tcPr>
          <w:p w14:paraId="0FBE6DD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1 436 394,07</w:t>
            </w:r>
            <w:r w:rsidRPr="00B73FDB">
              <w:rPr>
                <w:rFonts w:cs="Calibri"/>
                <w:sz w:val="18"/>
                <w:szCs w:val="18"/>
                <w:lang w:eastAsia="sk-SK"/>
              </w:rPr>
              <w:t xml:space="preserve"> </w:t>
            </w:r>
          </w:p>
        </w:tc>
        <w:tc>
          <w:tcPr>
            <w:tcW w:w="501" w:type="pct"/>
            <w:shd w:val="clear" w:color="auto" w:fill="D9D9D9"/>
            <w:noWrap/>
            <w:vAlign w:val="center"/>
            <w:hideMark/>
          </w:tcPr>
          <w:p w14:paraId="1788F64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1 431 390,91</w:t>
            </w:r>
            <w:r w:rsidRPr="00B73FDB">
              <w:rPr>
                <w:rFonts w:cs="Calibri"/>
                <w:sz w:val="18"/>
                <w:szCs w:val="18"/>
                <w:lang w:eastAsia="sk-SK"/>
              </w:rPr>
              <w:t xml:space="preserve"> </w:t>
            </w:r>
          </w:p>
        </w:tc>
        <w:tc>
          <w:tcPr>
            <w:tcW w:w="561" w:type="pct"/>
            <w:shd w:val="clear" w:color="auto" w:fill="D9D9D9"/>
            <w:noWrap/>
            <w:vAlign w:val="center"/>
            <w:hideMark/>
          </w:tcPr>
          <w:p w14:paraId="7C5BB59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99,65</w:t>
            </w:r>
            <w:r w:rsidRPr="00B73FDB">
              <w:rPr>
                <w:rFonts w:cs="Calibri"/>
                <w:sz w:val="18"/>
                <w:szCs w:val="18"/>
                <w:lang w:eastAsia="sk-SK"/>
              </w:rPr>
              <w:t xml:space="preserve"> </w:t>
            </w:r>
          </w:p>
        </w:tc>
        <w:tc>
          <w:tcPr>
            <w:tcW w:w="1136" w:type="pct"/>
            <w:vMerge/>
            <w:shd w:val="clear" w:color="auto" w:fill="D9D9D9"/>
            <w:vAlign w:val="center"/>
            <w:hideMark/>
          </w:tcPr>
          <w:p w14:paraId="655322FF" w14:textId="77777777" w:rsidR="00B73FDB" w:rsidRPr="00B73FDB" w:rsidRDefault="00B73FDB" w:rsidP="00B73FDB">
            <w:pPr>
              <w:spacing w:after="0" w:line="240" w:lineRule="auto"/>
              <w:rPr>
                <w:rFonts w:cs="Calibri"/>
                <w:sz w:val="18"/>
                <w:szCs w:val="18"/>
                <w:lang w:eastAsia="sk-SK"/>
              </w:rPr>
            </w:pPr>
          </w:p>
        </w:tc>
      </w:tr>
      <w:tr w:rsidR="00B73FDB" w:rsidRPr="00B73FDB" w14:paraId="0B1085BA" w14:textId="77777777" w:rsidTr="00B73FDB">
        <w:trPr>
          <w:tblCellSpacing w:w="15" w:type="dxa"/>
        </w:trPr>
        <w:tc>
          <w:tcPr>
            <w:tcW w:w="266" w:type="pct"/>
            <w:shd w:val="clear" w:color="auto" w:fill="EFEFEF"/>
            <w:noWrap/>
            <w:vAlign w:val="center"/>
            <w:hideMark/>
          </w:tcPr>
          <w:p w14:paraId="606279D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6" w:type="pct"/>
            <w:shd w:val="clear" w:color="auto" w:fill="EFEFEF"/>
            <w:vAlign w:val="center"/>
            <w:hideMark/>
          </w:tcPr>
          <w:p w14:paraId="3CE96BC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61D9558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874 595,00 </w:t>
            </w:r>
          </w:p>
        </w:tc>
        <w:tc>
          <w:tcPr>
            <w:tcW w:w="563" w:type="pct"/>
            <w:shd w:val="clear" w:color="auto" w:fill="EFEFEF"/>
            <w:noWrap/>
            <w:vAlign w:val="center"/>
            <w:hideMark/>
          </w:tcPr>
          <w:p w14:paraId="69B26BB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932 007,26 </w:t>
            </w:r>
          </w:p>
        </w:tc>
        <w:tc>
          <w:tcPr>
            <w:tcW w:w="501" w:type="pct"/>
            <w:shd w:val="clear" w:color="auto" w:fill="EFEFEF"/>
            <w:noWrap/>
            <w:vAlign w:val="center"/>
            <w:hideMark/>
          </w:tcPr>
          <w:p w14:paraId="7CDB1F3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931 899,86 </w:t>
            </w:r>
          </w:p>
        </w:tc>
        <w:tc>
          <w:tcPr>
            <w:tcW w:w="561" w:type="pct"/>
            <w:shd w:val="clear" w:color="auto" w:fill="EFEFEF"/>
            <w:noWrap/>
            <w:vAlign w:val="center"/>
            <w:hideMark/>
          </w:tcPr>
          <w:p w14:paraId="7D4AB6E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99,99 </w:t>
            </w:r>
          </w:p>
        </w:tc>
        <w:tc>
          <w:tcPr>
            <w:tcW w:w="1136" w:type="pct"/>
            <w:vMerge/>
            <w:shd w:val="clear" w:color="auto" w:fill="EFEFEF"/>
            <w:vAlign w:val="center"/>
            <w:hideMark/>
          </w:tcPr>
          <w:p w14:paraId="3658E330" w14:textId="77777777" w:rsidR="00B73FDB" w:rsidRPr="00B73FDB" w:rsidRDefault="00B73FDB" w:rsidP="00B73FDB">
            <w:pPr>
              <w:spacing w:after="0" w:line="240" w:lineRule="auto"/>
              <w:rPr>
                <w:rFonts w:cs="Calibri"/>
                <w:sz w:val="18"/>
                <w:szCs w:val="18"/>
                <w:lang w:eastAsia="sk-SK"/>
              </w:rPr>
            </w:pPr>
          </w:p>
        </w:tc>
      </w:tr>
      <w:tr w:rsidR="00B73FDB" w:rsidRPr="00B73FDB" w14:paraId="15B8E5C8" w14:textId="77777777" w:rsidTr="00B73FDB">
        <w:trPr>
          <w:tblCellSpacing w:w="15" w:type="dxa"/>
        </w:trPr>
        <w:tc>
          <w:tcPr>
            <w:tcW w:w="266" w:type="pct"/>
            <w:shd w:val="clear" w:color="auto" w:fill="EFEFEF"/>
            <w:noWrap/>
            <w:vAlign w:val="center"/>
            <w:hideMark/>
          </w:tcPr>
          <w:p w14:paraId="13E6E98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6" w:type="pct"/>
            <w:shd w:val="clear" w:color="auto" w:fill="EFEFEF"/>
            <w:vAlign w:val="center"/>
            <w:hideMark/>
          </w:tcPr>
          <w:p w14:paraId="1C99489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3F82A85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305 686,00 </w:t>
            </w:r>
          </w:p>
        </w:tc>
        <w:tc>
          <w:tcPr>
            <w:tcW w:w="563" w:type="pct"/>
            <w:shd w:val="clear" w:color="auto" w:fill="EFEFEF"/>
            <w:noWrap/>
            <w:vAlign w:val="center"/>
            <w:hideMark/>
          </w:tcPr>
          <w:p w14:paraId="127FEEA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306 347,56 </w:t>
            </w:r>
          </w:p>
        </w:tc>
        <w:tc>
          <w:tcPr>
            <w:tcW w:w="501" w:type="pct"/>
            <w:shd w:val="clear" w:color="auto" w:fill="EFEFEF"/>
            <w:noWrap/>
            <w:vAlign w:val="center"/>
            <w:hideMark/>
          </w:tcPr>
          <w:p w14:paraId="50F2BA6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306 347,56 </w:t>
            </w:r>
          </w:p>
        </w:tc>
        <w:tc>
          <w:tcPr>
            <w:tcW w:w="561" w:type="pct"/>
            <w:shd w:val="clear" w:color="auto" w:fill="EFEFEF"/>
            <w:noWrap/>
            <w:vAlign w:val="center"/>
            <w:hideMark/>
          </w:tcPr>
          <w:p w14:paraId="0AE6F8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9CFD8B1" w14:textId="77777777" w:rsidR="00B73FDB" w:rsidRPr="00B73FDB" w:rsidRDefault="00B73FDB" w:rsidP="00B73FDB">
            <w:pPr>
              <w:spacing w:after="0" w:line="240" w:lineRule="auto"/>
              <w:rPr>
                <w:rFonts w:cs="Calibri"/>
                <w:sz w:val="18"/>
                <w:szCs w:val="18"/>
                <w:lang w:eastAsia="sk-SK"/>
              </w:rPr>
            </w:pPr>
          </w:p>
        </w:tc>
      </w:tr>
      <w:tr w:rsidR="00B73FDB" w:rsidRPr="00B73FDB" w14:paraId="289EB541" w14:textId="77777777" w:rsidTr="00B73FDB">
        <w:trPr>
          <w:tblCellSpacing w:w="15" w:type="dxa"/>
        </w:trPr>
        <w:tc>
          <w:tcPr>
            <w:tcW w:w="266" w:type="pct"/>
            <w:shd w:val="clear" w:color="auto" w:fill="EFEFEF"/>
            <w:noWrap/>
            <w:vAlign w:val="center"/>
            <w:hideMark/>
          </w:tcPr>
          <w:p w14:paraId="7153D73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6" w:type="pct"/>
            <w:shd w:val="clear" w:color="auto" w:fill="EFEFEF"/>
            <w:vAlign w:val="center"/>
            <w:hideMark/>
          </w:tcPr>
          <w:p w14:paraId="38741D3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5992994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163 441,00 </w:t>
            </w:r>
          </w:p>
        </w:tc>
        <w:tc>
          <w:tcPr>
            <w:tcW w:w="563" w:type="pct"/>
            <w:shd w:val="clear" w:color="auto" w:fill="EFEFEF"/>
            <w:noWrap/>
            <w:vAlign w:val="center"/>
            <w:hideMark/>
          </w:tcPr>
          <w:p w14:paraId="680F3D1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191 445,10 </w:t>
            </w:r>
          </w:p>
        </w:tc>
        <w:tc>
          <w:tcPr>
            <w:tcW w:w="501" w:type="pct"/>
            <w:shd w:val="clear" w:color="auto" w:fill="EFEFEF"/>
            <w:noWrap/>
            <w:vAlign w:val="center"/>
            <w:hideMark/>
          </w:tcPr>
          <w:p w14:paraId="2BA8793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186 549,34 </w:t>
            </w:r>
          </w:p>
        </w:tc>
        <w:tc>
          <w:tcPr>
            <w:tcW w:w="561" w:type="pct"/>
            <w:shd w:val="clear" w:color="auto" w:fill="EFEFEF"/>
            <w:noWrap/>
            <w:vAlign w:val="center"/>
            <w:hideMark/>
          </w:tcPr>
          <w:p w14:paraId="793E501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97,44 </w:t>
            </w:r>
          </w:p>
        </w:tc>
        <w:tc>
          <w:tcPr>
            <w:tcW w:w="1136" w:type="pct"/>
            <w:vMerge/>
            <w:shd w:val="clear" w:color="auto" w:fill="EFEFEF"/>
            <w:vAlign w:val="center"/>
            <w:hideMark/>
          </w:tcPr>
          <w:p w14:paraId="6692CBBB" w14:textId="77777777" w:rsidR="00B73FDB" w:rsidRPr="00B73FDB" w:rsidRDefault="00B73FDB" w:rsidP="00B73FDB">
            <w:pPr>
              <w:spacing w:after="0" w:line="240" w:lineRule="auto"/>
              <w:rPr>
                <w:rFonts w:cs="Calibri"/>
                <w:sz w:val="18"/>
                <w:szCs w:val="18"/>
                <w:lang w:eastAsia="sk-SK"/>
              </w:rPr>
            </w:pPr>
          </w:p>
        </w:tc>
      </w:tr>
    </w:tbl>
    <w:p w14:paraId="6B9C3CCD"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2BF4DAEB" w14:textId="77777777" w:rsidTr="00B73FDB">
        <w:trPr>
          <w:tblCellSpacing w:w="15" w:type="dxa"/>
        </w:trPr>
        <w:tc>
          <w:tcPr>
            <w:tcW w:w="0" w:type="auto"/>
            <w:shd w:val="clear" w:color="auto" w:fill="C2D69B"/>
            <w:vAlign w:val="center"/>
            <w:hideMark/>
          </w:tcPr>
          <w:p w14:paraId="63D57B8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FF1026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37F1CA19" w14:textId="77777777" w:rsidTr="00B73FDB">
        <w:trPr>
          <w:tblCellSpacing w:w="15" w:type="dxa"/>
        </w:trPr>
        <w:tc>
          <w:tcPr>
            <w:tcW w:w="0" w:type="auto"/>
            <w:shd w:val="clear" w:color="auto" w:fill="C2D69B"/>
            <w:vAlign w:val="center"/>
            <w:hideMark/>
          </w:tcPr>
          <w:p w14:paraId="6B7F2C2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8CCE82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27CCF738" w14:textId="77777777" w:rsidTr="00B73FDB">
        <w:trPr>
          <w:tblCellSpacing w:w="15" w:type="dxa"/>
        </w:trPr>
        <w:tc>
          <w:tcPr>
            <w:tcW w:w="0" w:type="auto"/>
            <w:shd w:val="clear" w:color="auto" w:fill="C2D69B"/>
            <w:vAlign w:val="center"/>
            <w:hideMark/>
          </w:tcPr>
          <w:p w14:paraId="51E2FCF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C0E9DE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483BD9A1" w14:textId="77777777" w:rsidTr="00B73FDB">
        <w:trPr>
          <w:tblCellSpacing w:w="15" w:type="dxa"/>
        </w:trPr>
        <w:tc>
          <w:tcPr>
            <w:tcW w:w="0" w:type="auto"/>
            <w:shd w:val="clear" w:color="auto" w:fill="C2D69B"/>
            <w:vAlign w:val="center"/>
            <w:hideMark/>
          </w:tcPr>
          <w:p w14:paraId="7D34F7A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40ED45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7F4A01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EAF4D4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634876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8A5F5A1" w14:textId="77777777" w:rsidTr="00B73FDB">
        <w:trPr>
          <w:tblCellSpacing w:w="15" w:type="dxa"/>
        </w:trPr>
        <w:tc>
          <w:tcPr>
            <w:tcW w:w="0" w:type="auto"/>
            <w:shd w:val="clear" w:color="auto" w:fill="C2D69B"/>
            <w:vAlign w:val="center"/>
            <w:hideMark/>
          </w:tcPr>
          <w:p w14:paraId="3B18D37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274B41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311 </w:t>
            </w:r>
          </w:p>
        </w:tc>
        <w:tc>
          <w:tcPr>
            <w:tcW w:w="0" w:type="auto"/>
            <w:shd w:val="clear" w:color="auto" w:fill="C2D69B"/>
            <w:noWrap/>
            <w:vAlign w:val="center"/>
            <w:hideMark/>
          </w:tcPr>
          <w:p w14:paraId="122D19D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329 </w:t>
            </w:r>
          </w:p>
        </w:tc>
        <w:tc>
          <w:tcPr>
            <w:tcW w:w="0" w:type="auto"/>
            <w:shd w:val="clear" w:color="auto" w:fill="C2D69B"/>
            <w:vAlign w:val="center"/>
            <w:hideMark/>
          </w:tcPr>
          <w:p w14:paraId="6744236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C0EA39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3BD6723" w14:textId="77777777" w:rsidTr="00B73FDB">
        <w:trPr>
          <w:tblCellSpacing w:w="15" w:type="dxa"/>
        </w:trPr>
        <w:tc>
          <w:tcPr>
            <w:tcW w:w="0" w:type="auto"/>
            <w:shd w:val="clear" w:color="auto" w:fill="C2D69B"/>
            <w:vAlign w:val="center"/>
            <w:hideMark/>
          </w:tcPr>
          <w:p w14:paraId="31CCCFF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Merateľný ukazovateľ</w:t>
            </w:r>
          </w:p>
        </w:tc>
        <w:tc>
          <w:tcPr>
            <w:tcW w:w="0" w:type="auto"/>
            <w:gridSpan w:val="4"/>
            <w:shd w:val="clear" w:color="auto" w:fill="C2D69B"/>
            <w:vAlign w:val="center"/>
            <w:hideMark/>
          </w:tcPr>
          <w:p w14:paraId="1952421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261BF750" w14:textId="77777777" w:rsidTr="00B73FDB">
        <w:trPr>
          <w:tblCellSpacing w:w="15" w:type="dxa"/>
        </w:trPr>
        <w:tc>
          <w:tcPr>
            <w:tcW w:w="0" w:type="auto"/>
            <w:shd w:val="clear" w:color="auto" w:fill="C2D69B"/>
            <w:vAlign w:val="center"/>
            <w:hideMark/>
          </w:tcPr>
          <w:p w14:paraId="142A5ED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8852FA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880FEF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7C13A0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ADB9CD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414C54E" w14:textId="77777777" w:rsidTr="00B73FDB">
        <w:trPr>
          <w:tblCellSpacing w:w="15" w:type="dxa"/>
        </w:trPr>
        <w:tc>
          <w:tcPr>
            <w:tcW w:w="0" w:type="auto"/>
            <w:shd w:val="clear" w:color="auto" w:fill="C2D69B"/>
            <w:vAlign w:val="center"/>
            <w:hideMark/>
          </w:tcPr>
          <w:p w14:paraId="19EB756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904CDB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311 </w:t>
            </w:r>
          </w:p>
        </w:tc>
        <w:tc>
          <w:tcPr>
            <w:tcW w:w="0" w:type="auto"/>
            <w:shd w:val="clear" w:color="auto" w:fill="C2D69B"/>
            <w:noWrap/>
            <w:vAlign w:val="center"/>
            <w:hideMark/>
          </w:tcPr>
          <w:p w14:paraId="485577C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329 </w:t>
            </w:r>
          </w:p>
        </w:tc>
        <w:tc>
          <w:tcPr>
            <w:tcW w:w="0" w:type="auto"/>
            <w:shd w:val="clear" w:color="auto" w:fill="C2D69B"/>
            <w:vAlign w:val="center"/>
            <w:hideMark/>
          </w:tcPr>
          <w:p w14:paraId="11E1802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2FD8CF1" w14:textId="77777777" w:rsidR="00B73FDB" w:rsidRPr="00B73FDB" w:rsidRDefault="00B73FDB" w:rsidP="00B73FDB">
            <w:pPr>
              <w:spacing w:after="0" w:line="240" w:lineRule="auto"/>
              <w:jc w:val="center"/>
              <w:rPr>
                <w:rFonts w:cs="Calibri"/>
                <w:sz w:val="18"/>
                <w:szCs w:val="18"/>
                <w:lang w:eastAsia="sk-SK"/>
              </w:rPr>
            </w:pPr>
          </w:p>
        </w:tc>
      </w:tr>
    </w:tbl>
    <w:p w14:paraId="4BE20D50"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na umenie a umeleckoremeselnú tvorbu. Ide o dennú formu štúdia. </w:t>
      </w:r>
    </w:p>
    <w:p w14:paraId="3A2596F2"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8.3.34: Stredná zdravotnícka škola, Záhradnícka 44,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29"/>
        <w:gridCol w:w="1214"/>
        <w:gridCol w:w="1214"/>
        <w:gridCol w:w="1061"/>
        <w:gridCol w:w="1255"/>
        <w:gridCol w:w="2385"/>
      </w:tblGrid>
      <w:tr w:rsidR="00B73FDB" w:rsidRPr="00B73FDB" w14:paraId="26CCDDE7" w14:textId="77777777" w:rsidTr="00B73FDB">
        <w:trPr>
          <w:tblCellSpacing w:w="15" w:type="dxa"/>
        </w:trPr>
        <w:tc>
          <w:tcPr>
            <w:tcW w:w="268" w:type="pct"/>
            <w:shd w:val="clear" w:color="auto" w:fill="C6DBF7"/>
            <w:vAlign w:val="center"/>
            <w:hideMark/>
          </w:tcPr>
          <w:p w14:paraId="4F1C966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16C3F5F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76BFF62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3D53CF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535E63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84" w:type="pct"/>
            <w:shd w:val="clear" w:color="auto" w:fill="C6DBF7"/>
            <w:vAlign w:val="center"/>
            <w:hideMark/>
          </w:tcPr>
          <w:p w14:paraId="670E34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16" w:type="pct"/>
            <w:shd w:val="clear" w:color="auto" w:fill="C6DBF7"/>
            <w:vAlign w:val="center"/>
            <w:hideMark/>
          </w:tcPr>
          <w:p w14:paraId="26F52D0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58C9ACB" w14:textId="77777777" w:rsidTr="00B73FDB">
        <w:trPr>
          <w:tblCellSpacing w:w="15" w:type="dxa"/>
        </w:trPr>
        <w:tc>
          <w:tcPr>
            <w:tcW w:w="268" w:type="pct"/>
            <w:shd w:val="clear" w:color="auto" w:fill="D9D9D9"/>
            <w:noWrap/>
            <w:vAlign w:val="center"/>
            <w:hideMark/>
          </w:tcPr>
          <w:p w14:paraId="1C69AC87"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1D0C871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04A670B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1 779 614,00</w:t>
            </w:r>
            <w:r w:rsidRPr="00B73FDB">
              <w:rPr>
                <w:rFonts w:cs="Calibri"/>
                <w:sz w:val="18"/>
                <w:szCs w:val="18"/>
                <w:lang w:eastAsia="sk-SK"/>
              </w:rPr>
              <w:t xml:space="preserve"> </w:t>
            </w:r>
          </w:p>
        </w:tc>
        <w:tc>
          <w:tcPr>
            <w:tcW w:w="565" w:type="pct"/>
            <w:shd w:val="clear" w:color="auto" w:fill="D9D9D9"/>
            <w:noWrap/>
            <w:vAlign w:val="center"/>
            <w:hideMark/>
          </w:tcPr>
          <w:p w14:paraId="003EF8A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2 358 797,19</w:t>
            </w:r>
            <w:r w:rsidRPr="00B73FDB">
              <w:rPr>
                <w:rFonts w:cs="Calibri"/>
                <w:sz w:val="18"/>
                <w:szCs w:val="18"/>
                <w:lang w:eastAsia="sk-SK"/>
              </w:rPr>
              <w:t xml:space="preserve"> </w:t>
            </w:r>
          </w:p>
        </w:tc>
        <w:tc>
          <w:tcPr>
            <w:tcW w:w="492" w:type="pct"/>
            <w:shd w:val="clear" w:color="auto" w:fill="D9D9D9"/>
            <w:noWrap/>
            <w:vAlign w:val="center"/>
            <w:hideMark/>
          </w:tcPr>
          <w:p w14:paraId="0AD5957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1 964 277,61</w:t>
            </w:r>
            <w:r w:rsidRPr="00B73FDB">
              <w:rPr>
                <w:rFonts w:cs="Calibri"/>
                <w:sz w:val="18"/>
                <w:szCs w:val="18"/>
                <w:lang w:eastAsia="sk-SK"/>
              </w:rPr>
              <w:t xml:space="preserve"> </w:t>
            </w:r>
          </w:p>
        </w:tc>
        <w:tc>
          <w:tcPr>
            <w:tcW w:w="584" w:type="pct"/>
            <w:shd w:val="clear" w:color="auto" w:fill="D9D9D9"/>
            <w:noWrap/>
            <w:vAlign w:val="center"/>
            <w:hideMark/>
          </w:tcPr>
          <w:p w14:paraId="3ED34FD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83,27</w:t>
            </w:r>
            <w:r w:rsidRPr="00B73FDB">
              <w:rPr>
                <w:rFonts w:cs="Calibri"/>
                <w:sz w:val="18"/>
                <w:szCs w:val="18"/>
                <w:lang w:eastAsia="sk-SK"/>
              </w:rPr>
              <w:t xml:space="preserve"> </w:t>
            </w:r>
          </w:p>
        </w:tc>
        <w:tc>
          <w:tcPr>
            <w:tcW w:w="1116" w:type="pct"/>
            <w:vMerge w:val="restart"/>
            <w:shd w:val="clear" w:color="auto" w:fill="D9D9D9"/>
            <w:vAlign w:val="center"/>
            <w:hideMark/>
          </w:tcPr>
          <w:p w14:paraId="4BABDFD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+423 942,00 EUR</w:t>
            </w:r>
            <w:r w:rsidRPr="00B73FDB">
              <w:rPr>
                <w:rFonts w:cs="Calibri"/>
                <w:sz w:val="18"/>
                <w:szCs w:val="18"/>
                <w:lang w:eastAsia="sk-SK"/>
              </w:rPr>
              <w:t xml:space="preserve"> normatívne finančné prostriedky,</w:t>
            </w:r>
          </w:p>
          <w:p w14:paraId="1BB8053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+289,00 EUR</w:t>
            </w:r>
            <w:r w:rsidRPr="00B73FDB">
              <w:rPr>
                <w:rFonts w:cs="Calibri"/>
                <w:sz w:val="18"/>
                <w:szCs w:val="18"/>
                <w:lang w:eastAsia="sk-SK"/>
              </w:rPr>
              <w:t xml:space="preserve"> normatívne finančné prostriedky na maturity,</w:t>
            </w:r>
          </w:p>
          <w:p w14:paraId="7DADDAD6"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+2 962,00 EUR</w:t>
            </w:r>
            <w:r w:rsidRPr="00B73FDB">
              <w:rPr>
                <w:rFonts w:cs="Calibri"/>
                <w:sz w:val="18"/>
                <w:szCs w:val="18"/>
                <w:lang w:eastAsia="sk-SK"/>
              </w:rPr>
              <w:t xml:space="preserve"> príspevok na rekreáciu zamestnancov,</w:t>
            </w:r>
          </w:p>
          <w:p w14:paraId="11B1303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-415,00 EUR </w:t>
            </w:r>
            <w:r w:rsidRPr="00B73FDB">
              <w:rPr>
                <w:rFonts w:cs="Calibri"/>
                <w:sz w:val="18"/>
                <w:szCs w:val="18"/>
                <w:lang w:eastAsia="sk-SK"/>
              </w:rPr>
              <w:t>nenormatívne finančné prostriedky na vzdelávacie poukazy,</w:t>
            </w:r>
          </w:p>
          <w:p w14:paraId="55946E9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+42 371,00 EUR</w:t>
            </w:r>
            <w:r w:rsidRPr="00B73FDB">
              <w:rPr>
                <w:rFonts w:cs="Calibri"/>
                <w:sz w:val="18"/>
                <w:szCs w:val="18"/>
                <w:lang w:eastAsia="sk-SK"/>
              </w:rPr>
              <w:t xml:space="preserve"> nenormatívne finančné prostriedky na odstránenie havárií,</w:t>
            </w:r>
          </w:p>
          <w:p w14:paraId="3A63C6A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+1 000,00 EUR</w:t>
            </w:r>
            <w:r w:rsidRPr="00B73FDB">
              <w:rPr>
                <w:rFonts w:cs="Calibri"/>
                <w:sz w:val="18"/>
                <w:szCs w:val="18"/>
                <w:lang w:eastAsia="sk-SK"/>
              </w:rPr>
              <w:t xml:space="preserve"> nenormatívne finančné prostriedky za mimoriadne výsledky žiakov,</w:t>
            </w:r>
          </w:p>
          <w:p w14:paraId="20C83A0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+7 850,00 EUR</w:t>
            </w:r>
            <w:r w:rsidRPr="00B73FDB">
              <w:rPr>
                <w:rFonts w:cs="Calibri"/>
                <w:sz w:val="18"/>
                <w:szCs w:val="18"/>
                <w:lang w:eastAsia="sk-SK"/>
              </w:rPr>
              <w:t xml:space="preserve"> odchodné do dôchodku,</w:t>
            </w:r>
          </w:p>
          <w:p w14:paraId="3C65E33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-3 327,00 EUR</w:t>
            </w:r>
            <w:r w:rsidRPr="00B73FDB">
              <w:rPr>
                <w:rFonts w:cs="Calibri"/>
                <w:sz w:val="18"/>
                <w:szCs w:val="18"/>
                <w:lang w:eastAsia="sk-SK"/>
              </w:rPr>
              <w:t xml:space="preserve"> nenormatívne finančné prostriedky na lyžiarske kurzy,</w:t>
            </w:r>
          </w:p>
          <w:p w14:paraId="2BCAD7A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+76 039,82 EUR</w:t>
            </w:r>
            <w:r w:rsidRPr="00B73FDB">
              <w:rPr>
                <w:rFonts w:cs="Calibri"/>
                <w:sz w:val="18"/>
                <w:szCs w:val="18"/>
                <w:lang w:eastAsia="sk-SK"/>
              </w:rPr>
              <w:t xml:space="preserve"> nevyčerpané finančné prostriedky z r. 2019,</w:t>
            </w:r>
          </w:p>
          <w:p w14:paraId="1FBFE24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+7 972,42 EUR</w:t>
            </w:r>
            <w:r w:rsidRPr="00B73FDB">
              <w:rPr>
                <w:rFonts w:cs="Calibri"/>
                <w:sz w:val="18"/>
                <w:szCs w:val="18"/>
                <w:lang w:eastAsia="sk-SK"/>
              </w:rPr>
              <w:t xml:space="preserve"> navýšenie rozpočtu projektového účtu,</w:t>
            </w:r>
          </w:p>
          <w:p w14:paraId="1F57C77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+20 498,95 EUR</w:t>
            </w:r>
            <w:r w:rsidRPr="00B73FDB">
              <w:rPr>
                <w:rFonts w:cs="Calibri"/>
                <w:sz w:val="18"/>
                <w:szCs w:val="18"/>
                <w:lang w:eastAsia="sk-SK"/>
              </w:rPr>
              <w:t xml:space="preserve"> vlastné príjmy.</w:t>
            </w:r>
          </w:p>
        </w:tc>
      </w:tr>
      <w:tr w:rsidR="00B73FDB" w:rsidRPr="00B73FDB" w14:paraId="3AAFDF33" w14:textId="77777777" w:rsidTr="00B73FDB">
        <w:trPr>
          <w:tblCellSpacing w:w="15" w:type="dxa"/>
        </w:trPr>
        <w:tc>
          <w:tcPr>
            <w:tcW w:w="268" w:type="pct"/>
            <w:shd w:val="clear" w:color="auto" w:fill="D9D9D9"/>
            <w:noWrap/>
            <w:vAlign w:val="center"/>
            <w:hideMark/>
          </w:tcPr>
          <w:p w14:paraId="7E1B20C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71C66E7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6489310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1 779 614,00</w:t>
            </w:r>
            <w:r w:rsidRPr="00B73FDB">
              <w:rPr>
                <w:rFonts w:cs="Calibri"/>
                <w:sz w:val="18"/>
                <w:szCs w:val="18"/>
                <w:lang w:eastAsia="sk-SK"/>
              </w:rPr>
              <w:t xml:space="preserve"> </w:t>
            </w:r>
          </w:p>
        </w:tc>
        <w:tc>
          <w:tcPr>
            <w:tcW w:w="565" w:type="pct"/>
            <w:shd w:val="clear" w:color="auto" w:fill="D9D9D9"/>
            <w:noWrap/>
            <w:vAlign w:val="center"/>
            <w:hideMark/>
          </w:tcPr>
          <w:p w14:paraId="7E2B03B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2 358 797,19</w:t>
            </w:r>
            <w:r w:rsidRPr="00B73FDB">
              <w:rPr>
                <w:rFonts w:cs="Calibri"/>
                <w:sz w:val="18"/>
                <w:szCs w:val="18"/>
                <w:lang w:eastAsia="sk-SK"/>
              </w:rPr>
              <w:t xml:space="preserve"> </w:t>
            </w:r>
          </w:p>
        </w:tc>
        <w:tc>
          <w:tcPr>
            <w:tcW w:w="492" w:type="pct"/>
            <w:shd w:val="clear" w:color="auto" w:fill="D9D9D9"/>
            <w:noWrap/>
            <w:vAlign w:val="center"/>
            <w:hideMark/>
          </w:tcPr>
          <w:p w14:paraId="5339FDA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1 964 277,61</w:t>
            </w:r>
            <w:r w:rsidRPr="00B73FDB">
              <w:rPr>
                <w:rFonts w:cs="Calibri"/>
                <w:sz w:val="18"/>
                <w:szCs w:val="18"/>
                <w:lang w:eastAsia="sk-SK"/>
              </w:rPr>
              <w:t xml:space="preserve"> </w:t>
            </w:r>
          </w:p>
        </w:tc>
        <w:tc>
          <w:tcPr>
            <w:tcW w:w="584" w:type="pct"/>
            <w:shd w:val="clear" w:color="auto" w:fill="D9D9D9"/>
            <w:noWrap/>
            <w:vAlign w:val="center"/>
            <w:hideMark/>
          </w:tcPr>
          <w:p w14:paraId="72C429C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83,27</w:t>
            </w:r>
            <w:r w:rsidRPr="00B73FDB">
              <w:rPr>
                <w:rFonts w:cs="Calibri"/>
                <w:sz w:val="18"/>
                <w:szCs w:val="18"/>
                <w:lang w:eastAsia="sk-SK"/>
              </w:rPr>
              <w:t xml:space="preserve"> </w:t>
            </w:r>
          </w:p>
        </w:tc>
        <w:tc>
          <w:tcPr>
            <w:tcW w:w="1116" w:type="pct"/>
            <w:vMerge/>
            <w:shd w:val="clear" w:color="auto" w:fill="D9D9D9"/>
            <w:vAlign w:val="center"/>
            <w:hideMark/>
          </w:tcPr>
          <w:p w14:paraId="6A82E59E" w14:textId="77777777" w:rsidR="00B73FDB" w:rsidRPr="00B73FDB" w:rsidRDefault="00B73FDB" w:rsidP="00B73FDB">
            <w:pPr>
              <w:spacing w:after="0" w:line="240" w:lineRule="auto"/>
              <w:rPr>
                <w:rFonts w:cs="Calibri"/>
                <w:sz w:val="18"/>
                <w:szCs w:val="18"/>
                <w:lang w:eastAsia="sk-SK"/>
              </w:rPr>
            </w:pPr>
          </w:p>
        </w:tc>
      </w:tr>
      <w:tr w:rsidR="00B73FDB" w:rsidRPr="00B73FDB" w14:paraId="06E8E1AA" w14:textId="77777777" w:rsidTr="00B73FDB">
        <w:trPr>
          <w:tblCellSpacing w:w="15" w:type="dxa"/>
        </w:trPr>
        <w:tc>
          <w:tcPr>
            <w:tcW w:w="268" w:type="pct"/>
            <w:shd w:val="clear" w:color="auto" w:fill="EFEFEF"/>
            <w:noWrap/>
            <w:vAlign w:val="center"/>
            <w:hideMark/>
          </w:tcPr>
          <w:p w14:paraId="08128A9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4A5B54E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2CD5663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1 003 000,00 </w:t>
            </w:r>
          </w:p>
        </w:tc>
        <w:tc>
          <w:tcPr>
            <w:tcW w:w="565" w:type="pct"/>
            <w:shd w:val="clear" w:color="auto" w:fill="EFEFEF"/>
            <w:noWrap/>
            <w:vAlign w:val="center"/>
            <w:hideMark/>
          </w:tcPr>
          <w:p w14:paraId="11BFBB6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1 131 857,64 </w:t>
            </w:r>
          </w:p>
        </w:tc>
        <w:tc>
          <w:tcPr>
            <w:tcW w:w="492" w:type="pct"/>
            <w:shd w:val="clear" w:color="auto" w:fill="EFEFEF"/>
            <w:noWrap/>
            <w:vAlign w:val="center"/>
            <w:hideMark/>
          </w:tcPr>
          <w:p w14:paraId="038438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1 131 857,64 </w:t>
            </w:r>
          </w:p>
        </w:tc>
        <w:tc>
          <w:tcPr>
            <w:tcW w:w="584" w:type="pct"/>
            <w:shd w:val="clear" w:color="auto" w:fill="EFEFEF"/>
            <w:noWrap/>
            <w:vAlign w:val="center"/>
            <w:hideMark/>
          </w:tcPr>
          <w:p w14:paraId="0284E68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6" w:type="pct"/>
            <w:vMerge/>
            <w:shd w:val="clear" w:color="auto" w:fill="EFEFEF"/>
            <w:vAlign w:val="center"/>
            <w:hideMark/>
          </w:tcPr>
          <w:p w14:paraId="3F8C5D6C" w14:textId="77777777" w:rsidR="00B73FDB" w:rsidRPr="00B73FDB" w:rsidRDefault="00B73FDB" w:rsidP="00B73FDB">
            <w:pPr>
              <w:spacing w:after="0" w:line="240" w:lineRule="auto"/>
              <w:rPr>
                <w:rFonts w:cs="Calibri"/>
                <w:sz w:val="18"/>
                <w:szCs w:val="18"/>
                <w:lang w:eastAsia="sk-SK"/>
              </w:rPr>
            </w:pPr>
          </w:p>
        </w:tc>
      </w:tr>
      <w:tr w:rsidR="00B73FDB" w:rsidRPr="00B73FDB" w14:paraId="5C98FFB7" w14:textId="77777777" w:rsidTr="00B73FDB">
        <w:trPr>
          <w:tblCellSpacing w:w="15" w:type="dxa"/>
        </w:trPr>
        <w:tc>
          <w:tcPr>
            <w:tcW w:w="268" w:type="pct"/>
            <w:shd w:val="clear" w:color="auto" w:fill="EFEFEF"/>
            <w:noWrap/>
            <w:vAlign w:val="center"/>
            <w:hideMark/>
          </w:tcPr>
          <w:p w14:paraId="2F25F0A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5D8F065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52F354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361 049,00 </w:t>
            </w:r>
          </w:p>
        </w:tc>
        <w:tc>
          <w:tcPr>
            <w:tcW w:w="565" w:type="pct"/>
            <w:shd w:val="clear" w:color="auto" w:fill="EFEFEF"/>
            <w:noWrap/>
            <w:vAlign w:val="center"/>
            <w:hideMark/>
          </w:tcPr>
          <w:p w14:paraId="5C00A03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423 585,27 </w:t>
            </w:r>
          </w:p>
        </w:tc>
        <w:tc>
          <w:tcPr>
            <w:tcW w:w="492" w:type="pct"/>
            <w:shd w:val="clear" w:color="auto" w:fill="EFEFEF"/>
            <w:noWrap/>
            <w:vAlign w:val="center"/>
            <w:hideMark/>
          </w:tcPr>
          <w:p w14:paraId="1F0F076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423 585,27 </w:t>
            </w:r>
          </w:p>
        </w:tc>
        <w:tc>
          <w:tcPr>
            <w:tcW w:w="584" w:type="pct"/>
            <w:shd w:val="clear" w:color="auto" w:fill="EFEFEF"/>
            <w:noWrap/>
            <w:vAlign w:val="center"/>
            <w:hideMark/>
          </w:tcPr>
          <w:p w14:paraId="1E9C588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6" w:type="pct"/>
            <w:vMerge/>
            <w:shd w:val="clear" w:color="auto" w:fill="EFEFEF"/>
            <w:vAlign w:val="center"/>
            <w:hideMark/>
          </w:tcPr>
          <w:p w14:paraId="6EFC3563" w14:textId="77777777" w:rsidR="00B73FDB" w:rsidRPr="00B73FDB" w:rsidRDefault="00B73FDB" w:rsidP="00B73FDB">
            <w:pPr>
              <w:spacing w:after="0" w:line="240" w:lineRule="auto"/>
              <w:rPr>
                <w:rFonts w:cs="Calibri"/>
                <w:sz w:val="18"/>
                <w:szCs w:val="18"/>
                <w:lang w:eastAsia="sk-SK"/>
              </w:rPr>
            </w:pPr>
          </w:p>
        </w:tc>
      </w:tr>
      <w:tr w:rsidR="00B73FDB" w:rsidRPr="00B73FDB" w14:paraId="76288768" w14:textId="77777777" w:rsidTr="00B73FDB">
        <w:trPr>
          <w:tblCellSpacing w:w="15" w:type="dxa"/>
        </w:trPr>
        <w:tc>
          <w:tcPr>
            <w:tcW w:w="268" w:type="pct"/>
            <w:shd w:val="clear" w:color="auto" w:fill="EFEFEF"/>
            <w:noWrap/>
            <w:vAlign w:val="center"/>
            <w:hideMark/>
          </w:tcPr>
          <w:p w14:paraId="7496E6E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5C25C49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2FF40BE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415 565,00 </w:t>
            </w:r>
          </w:p>
        </w:tc>
        <w:tc>
          <w:tcPr>
            <w:tcW w:w="565" w:type="pct"/>
            <w:shd w:val="clear" w:color="auto" w:fill="EFEFEF"/>
            <w:noWrap/>
            <w:vAlign w:val="center"/>
            <w:hideMark/>
          </w:tcPr>
          <w:p w14:paraId="4079937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790 190,98 </w:t>
            </w:r>
          </w:p>
        </w:tc>
        <w:tc>
          <w:tcPr>
            <w:tcW w:w="492" w:type="pct"/>
            <w:shd w:val="clear" w:color="auto" w:fill="EFEFEF"/>
            <w:noWrap/>
            <w:vAlign w:val="center"/>
            <w:hideMark/>
          </w:tcPr>
          <w:p w14:paraId="131AB09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395 671,40 </w:t>
            </w:r>
          </w:p>
        </w:tc>
        <w:tc>
          <w:tcPr>
            <w:tcW w:w="584" w:type="pct"/>
            <w:shd w:val="clear" w:color="auto" w:fill="EFEFEF"/>
            <w:noWrap/>
            <w:vAlign w:val="center"/>
            <w:hideMark/>
          </w:tcPr>
          <w:p w14:paraId="01F6715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50,07 </w:t>
            </w:r>
          </w:p>
        </w:tc>
        <w:tc>
          <w:tcPr>
            <w:tcW w:w="1116" w:type="pct"/>
            <w:vMerge/>
            <w:shd w:val="clear" w:color="auto" w:fill="EFEFEF"/>
            <w:vAlign w:val="center"/>
            <w:hideMark/>
          </w:tcPr>
          <w:p w14:paraId="66661B0C" w14:textId="77777777" w:rsidR="00B73FDB" w:rsidRPr="00B73FDB" w:rsidRDefault="00B73FDB" w:rsidP="00B73FDB">
            <w:pPr>
              <w:spacing w:after="0" w:line="240" w:lineRule="auto"/>
              <w:rPr>
                <w:rFonts w:cs="Calibri"/>
                <w:sz w:val="18"/>
                <w:szCs w:val="18"/>
                <w:lang w:eastAsia="sk-SK"/>
              </w:rPr>
            </w:pPr>
          </w:p>
        </w:tc>
      </w:tr>
    </w:tbl>
    <w:p w14:paraId="0BDF8EC8"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25941F40" w14:textId="77777777" w:rsidTr="00B73FDB">
        <w:trPr>
          <w:tblCellSpacing w:w="15" w:type="dxa"/>
        </w:trPr>
        <w:tc>
          <w:tcPr>
            <w:tcW w:w="0" w:type="auto"/>
            <w:shd w:val="clear" w:color="auto" w:fill="C2D69B"/>
            <w:vAlign w:val="center"/>
            <w:hideMark/>
          </w:tcPr>
          <w:p w14:paraId="1A7534A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D717B4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5B01B53" w14:textId="77777777" w:rsidTr="00B73FDB">
        <w:trPr>
          <w:tblCellSpacing w:w="15" w:type="dxa"/>
        </w:trPr>
        <w:tc>
          <w:tcPr>
            <w:tcW w:w="0" w:type="auto"/>
            <w:shd w:val="clear" w:color="auto" w:fill="C2D69B"/>
            <w:vAlign w:val="center"/>
            <w:hideMark/>
          </w:tcPr>
          <w:p w14:paraId="3E7FB1C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3D38C0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7C167832" w14:textId="77777777" w:rsidTr="00B73FDB">
        <w:trPr>
          <w:tblCellSpacing w:w="15" w:type="dxa"/>
        </w:trPr>
        <w:tc>
          <w:tcPr>
            <w:tcW w:w="0" w:type="auto"/>
            <w:shd w:val="clear" w:color="auto" w:fill="C2D69B"/>
            <w:vAlign w:val="center"/>
            <w:hideMark/>
          </w:tcPr>
          <w:p w14:paraId="701501C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0F1820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93CA11D" w14:textId="77777777" w:rsidTr="00B73FDB">
        <w:trPr>
          <w:tblCellSpacing w:w="15" w:type="dxa"/>
        </w:trPr>
        <w:tc>
          <w:tcPr>
            <w:tcW w:w="0" w:type="auto"/>
            <w:shd w:val="clear" w:color="auto" w:fill="C2D69B"/>
            <w:vAlign w:val="center"/>
            <w:hideMark/>
          </w:tcPr>
          <w:p w14:paraId="050E09C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699FBA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C56E4E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C98E34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0535DA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933B341" w14:textId="77777777" w:rsidTr="00B73FDB">
        <w:trPr>
          <w:tblCellSpacing w:w="15" w:type="dxa"/>
        </w:trPr>
        <w:tc>
          <w:tcPr>
            <w:tcW w:w="0" w:type="auto"/>
            <w:shd w:val="clear" w:color="auto" w:fill="C2D69B"/>
            <w:vAlign w:val="center"/>
            <w:hideMark/>
          </w:tcPr>
          <w:p w14:paraId="25FDC06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2CA4A5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584 </w:t>
            </w:r>
          </w:p>
        </w:tc>
        <w:tc>
          <w:tcPr>
            <w:tcW w:w="0" w:type="auto"/>
            <w:shd w:val="clear" w:color="auto" w:fill="C2D69B"/>
            <w:noWrap/>
            <w:vAlign w:val="center"/>
            <w:hideMark/>
          </w:tcPr>
          <w:p w14:paraId="7592C42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602 </w:t>
            </w:r>
          </w:p>
        </w:tc>
        <w:tc>
          <w:tcPr>
            <w:tcW w:w="0" w:type="auto"/>
            <w:shd w:val="clear" w:color="auto" w:fill="C2D69B"/>
            <w:vAlign w:val="center"/>
            <w:hideMark/>
          </w:tcPr>
          <w:p w14:paraId="1A7C9A4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937B551"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E0F051F" w14:textId="77777777" w:rsidTr="00B73FDB">
        <w:trPr>
          <w:tblCellSpacing w:w="15" w:type="dxa"/>
        </w:trPr>
        <w:tc>
          <w:tcPr>
            <w:tcW w:w="0" w:type="auto"/>
            <w:shd w:val="clear" w:color="auto" w:fill="C2D69B"/>
            <w:vAlign w:val="center"/>
            <w:hideMark/>
          </w:tcPr>
          <w:p w14:paraId="3F707B6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93A565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721031FE" w14:textId="77777777" w:rsidTr="00B73FDB">
        <w:trPr>
          <w:tblCellSpacing w:w="15" w:type="dxa"/>
        </w:trPr>
        <w:tc>
          <w:tcPr>
            <w:tcW w:w="0" w:type="auto"/>
            <w:shd w:val="clear" w:color="auto" w:fill="C2D69B"/>
            <w:vAlign w:val="center"/>
            <w:hideMark/>
          </w:tcPr>
          <w:p w14:paraId="114454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57C9EB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8E1862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EE5794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46AD8E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E2E99BE" w14:textId="77777777" w:rsidTr="00B73FDB">
        <w:trPr>
          <w:tblCellSpacing w:w="15" w:type="dxa"/>
        </w:trPr>
        <w:tc>
          <w:tcPr>
            <w:tcW w:w="0" w:type="auto"/>
            <w:shd w:val="clear" w:color="auto" w:fill="C2D69B"/>
            <w:vAlign w:val="center"/>
            <w:hideMark/>
          </w:tcPr>
          <w:p w14:paraId="725AC4D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F3DADB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576 </w:t>
            </w:r>
          </w:p>
        </w:tc>
        <w:tc>
          <w:tcPr>
            <w:tcW w:w="0" w:type="auto"/>
            <w:shd w:val="clear" w:color="auto" w:fill="C2D69B"/>
            <w:noWrap/>
            <w:vAlign w:val="center"/>
            <w:hideMark/>
          </w:tcPr>
          <w:p w14:paraId="1C3D2D7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590 </w:t>
            </w:r>
          </w:p>
        </w:tc>
        <w:tc>
          <w:tcPr>
            <w:tcW w:w="0" w:type="auto"/>
            <w:shd w:val="clear" w:color="auto" w:fill="C2D69B"/>
            <w:vAlign w:val="center"/>
            <w:hideMark/>
          </w:tcPr>
          <w:p w14:paraId="72057FE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8097732" w14:textId="77777777" w:rsidR="00B73FDB" w:rsidRPr="00B73FDB" w:rsidRDefault="00B73FDB" w:rsidP="00B73FDB">
            <w:pPr>
              <w:spacing w:after="0" w:line="240" w:lineRule="auto"/>
              <w:jc w:val="center"/>
              <w:rPr>
                <w:rFonts w:cs="Calibri"/>
                <w:sz w:val="18"/>
                <w:szCs w:val="18"/>
                <w:lang w:eastAsia="sk-SK"/>
              </w:rPr>
            </w:pPr>
          </w:p>
        </w:tc>
      </w:tr>
    </w:tbl>
    <w:p w14:paraId="5CCD1365"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na zdravotnícke odbory vzdelávania (technické) v dennej forme štúdia, vo vyššom pomaturitnom špecializačnom štúdiu, nadstavbovom a externom štúdiu. </w:t>
      </w:r>
    </w:p>
    <w:p w14:paraId="426DEFD2"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8.3.35: Stredná zdravotnícka škola, </w:t>
      </w:r>
      <w:proofErr w:type="spellStart"/>
      <w:r w:rsidRPr="00352CED">
        <w:rPr>
          <w:rFonts w:ascii="Calibri" w:hAnsi="Calibri" w:cs="Calibri"/>
          <w:b/>
          <w:color w:val="244061"/>
        </w:rPr>
        <w:t>Strečnianska</w:t>
      </w:r>
      <w:proofErr w:type="spellEnd"/>
      <w:r w:rsidRPr="00352CED">
        <w:rPr>
          <w:rFonts w:ascii="Calibri" w:hAnsi="Calibri" w:cs="Calibri"/>
          <w:b/>
          <w:color w:val="244061"/>
        </w:rPr>
        <w:t xml:space="preserve"> 20, BA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28"/>
        <w:gridCol w:w="1216"/>
        <w:gridCol w:w="1212"/>
        <w:gridCol w:w="1085"/>
        <w:gridCol w:w="1194"/>
        <w:gridCol w:w="2426"/>
      </w:tblGrid>
      <w:tr w:rsidR="00B73FDB" w:rsidRPr="00B73FDB" w14:paraId="595DD03B" w14:textId="77777777" w:rsidTr="00B73FDB">
        <w:trPr>
          <w:tblCellSpacing w:w="15" w:type="dxa"/>
        </w:trPr>
        <w:tc>
          <w:tcPr>
            <w:tcW w:w="267" w:type="pct"/>
            <w:shd w:val="clear" w:color="auto" w:fill="C6DBF7"/>
            <w:vAlign w:val="center"/>
            <w:hideMark/>
          </w:tcPr>
          <w:p w14:paraId="0E9614D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2EAB70B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6" w:type="pct"/>
            <w:shd w:val="clear" w:color="auto" w:fill="C6DBF7"/>
            <w:vAlign w:val="center"/>
            <w:hideMark/>
          </w:tcPr>
          <w:p w14:paraId="02104E8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46A0C13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3" w:type="pct"/>
            <w:shd w:val="clear" w:color="auto" w:fill="C6DBF7"/>
            <w:vAlign w:val="center"/>
            <w:hideMark/>
          </w:tcPr>
          <w:p w14:paraId="2022569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55" w:type="pct"/>
            <w:shd w:val="clear" w:color="auto" w:fill="C6DBF7"/>
            <w:vAlign w:val="center"/>
            <w:hideMark/>
          </w:tcPr>
          <w:p w14:paraId="605FF0D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5BA80F3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56100E7B" w14:textId="77777777" w:rsidTr="00B73FDB">
        <w:trPr>
          <w:tblCellSpacing w:w="15" w:type="dxa"/>
        </w:trPr>
        <w:tc>
          <w:tcPr>
            <w:tcW w:w="267" w:type="pct"/>
            <w:shd w:val="clear" w:color="auto" w:fill="D9D9D9"/>
            <w:noWrap/>
            <w:vAlign w:val="center"/>
            <w:hideMark/>
          </w:tcPr>
          <w:p w14:paraId="7F0A5A4C"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4B3700E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6" w:type="pct"/>
            <w:shd w:val="clear" w:color="auto" w:fill="D9D9D9"/>
            <w:noWrap/>
            <w:vAlign w:val="center"/>
            <w:hideMark/>
          </w:tcPr>
          <w:p w14:paraId="182AA25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910 628,00</w:t>
            </w:r>
            <w:r w:rsidRPr="00B73FDB">
              <w:rPr>
                <w:rFonts w:cs="Calibri"/>
                <w:sz w:val="18"/>
                <w:szCs w:val="18"/>
                <w:lang w:eastAsia="sk-SK"/>
              </w:rPr>
              <w:t xml:space="preserve"> </w:t>
            </w:r>
          </w:p>
        </w:tc>
        <w:tc>
          <w:tcPr>
            <w:tcW w:w="564" w:type="pct"/>
            <w:shd w:val="clear" w:color="auto" w:fill="D9D9D9"/>
            <w:noWrap/>
            <w:vAlign w:val="center"/>
            <w:hideMark/>
          </w:tcPr>
          <w:p w14:paraId="36A1D5B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1 097 177,78</w:t>
            </w:r>
            <w:r w:rsidRPr="00B73FDB">
              <w:rPr>
                <w:rFonts w:cs="Calibri"/>
                <w:sz w:val="18"/>
                <w:szCs w:val="18"/>
                <w:lang w:eastAsia="sk-SK"/>
              </w:rPr>
              <w:t xml:space="preserve"> </w:t>
            </w:r>
          </w:p>
        </w:tc>
        <w:tc>
          <w:tcPr>
            <w:tcW w:w="503" w:type="pct"/>
            <w:shd w:val="clear" w:color="auto" w:fill="D9D9D9"/>
            <w:noWrap/>
            <w:vAlign w:val="center"/>
            <w:hideMark/>
          </w:tcPr>
          <w:p w14:paraId="798FC01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1 053 515,35</w:t>
            </w:r>
            <w:r w:rsidRPr="00B73FDB">
              <w:rPr>
                <w:rFonts w:cs="Calibri"/>
                <w:sz w:val="18"/>
                <w:szCs w:val="18"/>
                <w:lang w:eastAsia="sk-SK"/>
              </w:rPr>
              <w:t xml:space="preserve"> </w:t>
            </w:r>
          </w:p>
        </w:tc>
        <w:tc>
          <w:tcPr>
            <w:tcW w:w="555" w:type="pct"/>
            <w:shd w:val="clear" w:color="auto" w:fill="D9D9D9"/>
            <w:noWrap/>
            <w:vAlign w:val="center"/>
            <w:hideMark/>
          </w:tcPr>
          <w:p w14:paraId="1AC9159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96,02</w:t>
            </w:r>
            <w:r w:rsidRPr="00B73FDB">
              <w:rPr>
                <w:rFonts w:cs="Calibri"/>
                <w:sz w:val="18"/>
                <w:szCs w:val="18"/>
                <w:lang w:eastAsia="sk-SK"/>
              </w:rPr>
              <w:t xml:space="preserve"> </w:t>
            </w:r>
          </w:p>
        </w:tc>
        <w:tc>
          <w:tcPr>
            <w:tcW w:w="1136" w:type="pct"/>
            <w:vMerge w:val="restart"/>
            <w:shd w:val="clear" w:color="auto" w:fill="D9D9D9"/>
            <w:vAlign w:val="center"/>
            <w:hideMark/>
          </w:tcPr>
          <w:p w14:paraId="2F4CFBA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+126 196,00 EUR</w:t>
            </w:r>
            <w:r w:rsidRPr="00B73FDB">
              <w:rPr>
                <w:rFonts w:cs="Calibri"/>
                <w:sz w:val="18"/>
                <w:szCs w:val="18"/>
                <w:lang w:eastAsia="sk-SK"/>
              </w:rPr>
              <w:t xml:space="preserve"> normatívne finančné prostriedky,</w:t>
            </w:r>
          </w:p>
          <w:p w14:paraId="375FBE7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+469,00 EUR</w:t>
            </w:r>
            <w:r w:rsidRPr="00B73FDB">
              <w:rPr>
                <w:rFonts w:cs="Calibri"/>
                <w:sz w:val="18"/>
                <w:szCs w:val="18"/>
                <w:lang w:eastAsia="sk-SK"/>
              </w:rPr>
              <w:t xml:space="preserve"> normatívne finančné prostriedky na maturity,</w:t>
            </w:r>
          </w:p>
          <w:p w14:paraId="6F1AB1E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+1 000,00 EUR</w:t>
            </w:r>
            <w:r w:rsidRPr="00B73FDB">
              <w:rPr>
                <w:rFonts w:cs="Calibri"/>
                <w:sz w:val="18"/>
                <w:szCs w:val="18"/>
                <w:lang w:eastAsia="sk-SK"/>
              </w:rPr>
              <w:t xml:space="preserve"> nenormatívne finančné prostriedky za mimoriadne výsledky žiakov,</w:t>
            </w:r>
          </w:p>
          <w:p w14:paraId="6E288AA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+2 639,00 EUR</w:t>
            </w:r>
            <w:r w:rsidRPr="00B73FDB">
              <w:rPr>
                <w:rFonts w:cs="Calibri"/>
                <w:sz w:val="18"/>
                <w:szCs w:val="18"/>
                <w:lang w:eastAsia="sk-SK"/>
              </w:rPr>
              <w:t xml:space="preserve"> odchodné do dôchodku,</w:t>
            </w:r>
          </w:p>
          <w:p w14:paraId="245BA29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+4 500,00 EUR</w:t>
            </w:r>
            <w:r w:rsidRPr="00B73FDB">
              <w:rPr>
                <w:rFonts w:cs="Calibri"/>
                <w:sz w:val="18"/>
                <w:szCs w:val="18"/>
                <w:lang w:eastAsia="sk-SK"/>
              </w:rPr>
              <w:t xml:space="preserve"> nenormatívne finančné prostriedky na lyžiarske kurzy,</w:t>
            </w:r>
          </w:p>
          <w:p w14:paraId="6A79AC8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+31 898,65 EUR</w:t>
            </w:r>
            <w:r w:rsidRPr="00B73FDB">
              <w:rPr>
                <w:rFonts w:cs="Calibri"/>
                <w:sz w:val="18"/>
                <w:szCs w:val="18"/>
                <w:lang w:eastAsia="sk-SK"/>
              </w:rPr>
              <w:t xml:space="preserve"> nevyčerpané finančné prostriedky z r. 2019,</w:t>
            </w:r>
          </w:p>
          <w:p w14:paraId="58DBEAC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-2 000,00</w:t>
            </w:r>
            <w:r w:rsidRPr="00B73FDB">
              <w:rPr>
                <w:rFonts w:cs="Calibri"/>
                <w:sz w:val="18"/>
                <w:szCs w:val="18"/>
                <w:lang w:eastAsia="sk-SK"/>
              </w:rPr>
              <w:t xml:space="preserve"> </w:t>
            </w:r>
            <w:r w:rsidRPr="00B73FDB">
              <w:rPr>
                <w:rFonts w:cs="Calibri"/>
                <w:b/>
                <w:sz w:val="18"/>
                <w:szCs w:val="18"/>
                <w:lang w:eastAsia="sk-SK"/>
              </w:rPr>
              <w:t>EUR</w:t>
            </w:r>
            <w:r w:rsidRPr="00B73FDB">
              <w:rPr>
                <w:rFonts w:cs="Calibri"/>
                <w:sz w:val="18"/>
                <w:szCs w:val="18"/>
                <w:lang w:eastAsia="sk-SK"/>
              </w:rPr>
              <w:t xml:space="preserve"> rozvojový projekt,</w:t>
            </w:r>
          </w:p>
          <w:p w14:paraId="07CA3E7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+10 120,00 EUR</w:t>
            </w:r>
            <w:r w:rsidRPr="00B73FDB">
              <w:rPr>
                <w:rFonts w:cs="Calibri"/>
                <w:sz w:val="18"/>
                <w:szCs w:val="18"/>
                <w:lang w:eastAsia="sk-SK"/>
              </w:rPr>
              <w:t xml:space="preserve"> navýšenie rozpočtu projektového účtu,</w:t>
            </w:r>
          </w:p>
          <w:p w14:paraId="74CC20B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+11 727,13 EUR</w:t>
            </w:r>
            <w:r w:rsidRPr="00B73FDB">
              <w:rPr>
                <w:rFonts w:cs="Calibri"/>
                <w:sz w:val="18"/>
                <w:szCs w:val="18"/>
                <w:lang w:eastAsia="sk-SK"/>
              </w:rPr>
              <w:t xml:space="preserve"> príjmy z prenájmov.</w:t>
            </w:r>
          </w:p>
        </w:tc>
      </w:tr>
      <w:tr w:rsidR="00B73FDB" w:rsidRPr="00B73FDB" w14:paraId="505FC620" w14:textId="77777777" w:rsidTr="00B73FDB">
        <w:trPr>
          <w:tblCellSpacing w:w="15" w:type="dxa"/>
        </w:trPr>
        <w:tc>
          <w:tcPr>
            <w:tcW w:w="267" w:type="pct"/>
            <w:shd w:val="clear" w:color="auto" w:fill="D9D9D9"/>
            <w:noWrap/>
            <w:vAlign w:val="center"/>
            <w:hideMark/>
          </w:tcPr>
          <w:p w14:paraId="4108643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79F9828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6" w:type="pct"/>
            <w:shd w:val="clear" w:color="auto" w:fill="D9D9D9"/>
            <w:noWrap/>
            <w:vAlign w:val="center"/>
            <w:hideMark/>
          </w:tcPr>
          <w:p w14:paraId="741121C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910 628,00</w:t>
            </w:r>
            <w:r w:rsidRPr="00B73FDB">
              <w:rPr>
                <w:rFonts w:cs="Calibri"/>
                <w:sz w:val="18"/>
                <w:szCs w:val="18"/>
                <w:lang w:eastAsia="sk-SK"/>
              </w:rPr>
              <w:t xml:space="preserve"> </w:t>
            </w:r>
          </w:p>
        </w:tc>
        <w:tc>
          <w:tcPr>
            <w:tcW w:w="564" w:type="pct"/>
            <w:shd w:val="clear" w:color="auto" w:fill="D9D9D9"/>
            <w:noWrap/>
            <w:vAlign w:val="center"/>
            <w:hideMark/>
          </w:tcPr>
          <w:p w14:paraId="504993B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1 097 177,78</w:t>
            </w:r>
            <w:r w:rsidRPr="00B73FDB">
              <w:rPr>
                <w:rFonts w:cs="Calibri"/>
                <w:sz w:val="18"/>
                <w:szCs w:val="18"/>
                <w:lang w:eastAsia="sk-SK"/>
              </w:rPr>
              <w:t xml:space="preserve"> </w:t>
            </w:r>
          </w:p>
        </w:tc>
        <w:tc>
          <w:tcPr>
            <w:tcW w:w="503" w:type="pct"/>
            <w:shd w:val="clear" w:color="auto" w:fill="D9D9D9"/>
            <w:noWrap/>
            <w:vAlign w:val="center"/>
            <w:hideMark/>
          </w:tcPr>
          <w:p w14:paraId="31B4341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1 053 515,35</w:t>
            </w:r>
            <w:r w:rsidRPr="00B73FDB">
              <w:rPr>
                <w:rFonts w:cs="Calibri"/>
                <w:sz w:val="18"/>
                <w:szCs w:val="18"/>
                <w:lang w:eastAsia="sk-SK"/>
              </w:rPr>
              <w:t xml:space="preserve"> </w:t>
            </w:r>
          </w:p>
        </w:tc>
        <w:tc>
          <w:tcPr>
            <w:tcW w:w="555" w:type="pct"/>
            <w:shd w:val="clear" w:color="auto" w:fill="D9D9D9"/>
            <w:noWrap/>
            <w:vAlign w:val="center"/>
            <w:hideMark/>
          </w:tcPr>
          <w:p w14:paraId="693F05B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96,02</w:t>
            </w:r>
            <w:r w:rsidRPr="00B73FDB">
              <w:rPr>
                <w:rFonts w:cs="Calibri"/>
                <w:sz w:val="18"/>
                <w:szCs w:val="18"/>
                <w:lang w:eastAsia="sk-SK"/>
              </w:rPr>
              <w:t xml:space="preserve"> </w:t>
            </w:r>
          </w:p>
        </w:tc>
        <w:tc>
          <w:tcPr>
            <w:tcW w:w="1136" w:type="pct"/>
            <w:vMerge/>
            <w:shd w:val="clear" w:color="auto" w:fill="D9D9D9"/>
            <w:vAlign w:val="center"/>
            <w:hideMark/>
          </w:tcPr>
          <w:p w14:paraId="31CAE92A" w14:textId="77777777" w:rsidR="00B73FDB" w:rsidRPr="00B73FDB" w:rsidRDefault="00B73FDB" w:rsidP="00B73FDB">
            <w:pPr>
              <w:spacing w:after="0" w:line="240" w:lineRule="auto"/>
              <w:rPr>
                <w:rFonts w:cs="Calibri"/>
                <w:sz w:val="18"/>
                <w:szCs w:val="18"/>
                <w:lang w:eastAsia="sk-SK"/>
              </w:rPr>
            </w:pPr>
          </w:p>
        </w:tc>
      </w:tr>
      <w:tr w:rsidR="00B73FDB" w:rsidRPr="00B73FDB" w14:paraId="0B4362DE" w14:textId="77777777" w:rsidTr="00B73FDB">
        <w:trPr>
          <w:tblCellSpacing w:w="15" w:type="dxa"/>
        </w:trPr>
        <w:tc>
          <w:tcPr>
            <w:tcW w:w="267" w:type="pct"/>
            <w:shd w:val="clear" w:color="auto" w:fill="EFEFEF"/>
            <w:noWrap/>
            <w:vAlign w:val="center"/>
            <w:hideMark/>
          </w:tcPr>
          <w:p w14:paraId="0540999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1A51C34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6" w:type="pct"/>
            <w:shd w:val="clear" w:color="auto" w:fill="EFEFEF"/>
            <w:noWrap/>
            <w:vAlign w:val="center"/>
            <w:hideMark/>
          </w:tcPr>
          <w:p w14:paraId="4DBE1B5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571 164,00 </w:t>
            </w:r>
          </w:p>
        </w:tc>
        <w:tc>
          <w:tcPr>
            <w:tcW w:w="564" w:type="pct"/>
            <w:shd w:val="clear" w:color="auto" w:fill="EFEFEF"/>
            <w:noWrap/>
            <w:vAlign w:val="center"/>
            <w:hideMark/>
          </w:tcPr>
          <w:p w14:paraId="112BC58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688 138,11 </w:t>
            </w:r>
          </w:p>
        </w:tc>
        <w:tc>
          <w:tcPr>
            <w:tcW w:w="503" w:type="pct"/>
            <w:shd w:val="clear" w:color="auto" w:fill="EFEFEF"/>
            <w:noWrap/>
            <w:vAlign w:val="center"/>
            <w:hideMark/>
          </w:tcPr>
          <w:p w14:paraId="5746901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656 802,90 </w:t>
            </w:r>
          </w:p>
        </w:tc>
        <w:tc>
          <w:tcPr>
            <w:tcW w:w="555" w:type="pct"/>
            <w:shd w:val="clear" w:color="auto" w:fill="EFEFEF"/>
            <w:noWrap/>
            <w:vAlign w:val="center"/>
            <w:hideMark/>
          </w:tcPr>
          <w:p w14:paraId="49134C8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95,45 </w:t>
            </w:r>
          </w:p>
        </w:tc>
        <w:tc>
          <w:tcPr>
            <w:tcW w:w="1136" w:type="pct"/>
            <w:vMerge/>
            <w:shd w:val="clear" w:color="auto" w:fill="EFEFEF"/>
            <w:vAlign w:val="center"/>
            <w:hideMark/>
          </w:tcPr>
          <w:p w14:paraId="046AAB89" w14:textId="77777777" w:rsidR="00B73FDB" w:rsidRPr="00B73FDB" w:rsidRDefault="00B73FDB" w:rsidP="00B73FDB">
            <w:pPr>
              <w:spacing w:after="0" w:line="240" w:lineRule="auto"/>
              <w:rPr>
                <w:rFonts w:cs="Calibri"/>
                <w:sz w:val="18"/>
                <w:szCs w:val="18"/>
                <w:lang w:eastAsia="sk-SK"/>
              </w:rPr>
            </w:pPr>
          </w:p>
        </w:tc>
      </w:tr>
      <w:tr w:rsidR="00B73FDB" w:rsidRPr="00B73FDB" w14:paraId="46162806" w14:textId="77777777" w:rsidTr="00B73FDB">
        <w:trPr>
          <w:tblCellSpacing w:w="15" w:type="dxa"/>
        </w:trPr>
        <w:tc>
          <w:tcPr>
            <w:tcW w:w="267" w:type="pct"/>
            <w:shd w:val="clear" w:color="auto" w:fill="EFEFEF"/>
            <w:noWrap/>
            <w:vAlign w:val="center"/>
            <w:hideMark/>
          </w:tcPr>
          <w:p w14:paraId="333485B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00F97CC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6" w:type="pct"/>
            <w:shd w:val="clear" w:color="auto" w:fill="EFEFEF"/>
            <w:noWrap/>
            <w:vAlign w:val="center"/>
            <w:hideMark/>
          </w:tcPr>
          <w:p w14:paraId="7E343E2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201 049,00 </w:t>
            </w:r>
          </w:p>
        </w:tc>
        <w:tc>
          <w:tcPr>
            <w:tcW w:w="564" w:type="pct"/>
            <w:shd w:val="clear" w:color="auto" w:fill="EFEFEF"/>
            <w:noWrap/>
            <w:vAlign w:val="center"/>
            <w:hideMark/>
          </w:tcPr>
          <w:p w14:paraId="3541149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237 299,35 </w:t>
            </w:r>
          </w:p>
        </w:tc>
        <w:tc>
          <w:tcPr>
            <w:tcW w:w="503" w:type="pct"/>
            <w:shd w:val="clear" w:color="auto" w:fill="EFEFEF"/>
            <w:noWrap/>
            <w:vAlign w:val="center"/>
            <w:hideMark/>
          </w:tcPr>
          <w:p w14:paraId="1CBEDF1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237 235,21 </w:t>
            </w:r>
          </w:p>
        </w:tc>
        <w:tc>
          <w:tcPr>
            <w:tcW w:w="555" w:type="pct"/>
            <w:shd w:val="clear" w:color="auto" w:fill="EFEFEF"/>
            <w:noWrap/>
            <w:vAlign w:val="center"/>
            <w:hideMark/>
          </w:tcPr>
          <w:p w14:paraId="6182063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99,97 </w:t>
            </w:r>
          </w:p>
        </w:tc>
        <w:tc>
          <w:tcPr>
            <w:tcW w:w="1136" w:type="pct"/>
            <w:vMerge/>
            <w:shd w:val="clear" w:color="auto" w:fill="EFEFEF"/>
            <w:vAlign w:val="center"/>
            <w:hideMark/>
          </w:tcPr>
          <w:p w14:paraId="543666E4" w14:textId="77777777" w:rsidR="00B73FDB" w:rsidRPr="00B73FDB" w:rsidRDefault="00B73FDB" w:rsidP="00B73FDB">
            <w:pPr>
              <w:spacing w:after="0" w:line="240" w:lineRule="auto"/>
              <w:rPr>
                <w:rFonts w:cs="Calibri"/>
                <w:sz w:val="18"/>
                <w:szCs w:val="18"/>
                <w:lang w:eastAsia="sk-SK"/>
              </w:rPr>
            </w:pPr>
          </w:p>
        </w:tc>
      </w:tr>
      <w:tr w:rsidR="00B73FDB" w:rsidRPr="00B73FDB" w14:paraId="738B9E6C" w14:textId="77777777" w:rsidTr="00B73FDB">
        <w:trPr>
          <w:tblCellSpacing w:w="15" w:type="dxa"/>
        </w:trPr>
        <w:tc>
          <w:tcPr>
            <w:tcW w:w="267" w:type="pct"/>
            <w:shd w:val="clear" w:color="auto" w:fill="EFEFEF"/>
            <w:noWrap/>
            <w:vAlign w:val="center"/>
            <w:hideMark/>
          </w:tcPr>
          <w:p w14:paraId="5B0A36E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31EA56F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6" w:type="pct"/>
            <w:shd w:val="clear" w:color="auto" w:fill="EFEFEF"/>
            <w:noWrap/>
            <w:vAlign w:val="center"/>
            <w:hideMark/>
          </w:tcPr>
          <w:p w14:paraId="06177AB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138 415,00 </w:t>
            </w:r>
          </w:p>
        </w:tc>
        <w:tc>
          <w:tcPr>
            <w:tcW w:w="564" w:type="pct"/>
            <w:shd w:val="clear" w:color="auto" w:fill="EFEFEF"/>
            <w:noWrap/>
            <w:vAlign w:val="center"/>
            <w:hideMark/>
          </w:tcPr>
          <w:p w14:paraId="4DCC1D7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165 011,52 </w:t>
            </w:r>
          </w:p>
        </w:tc>
        <w:tc>
          <w:tcPr>
            <w:tcW w:w="503" w:type="pct"/>
            <w:shd w:val="clear" w:color="auto" w:fill="EFEFEF"/>
            <w:noWrap/>
            <w:vAlign w:val="center"/>
            <w:hideMark/>
          </w:tcPr>
          <w:p w14:paraId="2A934DA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154 607,14 </w:t>
            </w:r>
          </w:p>
        </w:tc>
        <w:tc>
          <w:tcPr>
            <w:tcW w:w="555" w:type="pct"/>
            <w:shd w:val="clear" w:color="auto" w:fill="EFEFEF"/>
            <w:noWrap/>
            <w:vAlign w:val="center"/>
            <w:hideMark/>
          </w:tcPr>
          <w:p w14:paraId="7016B6F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93,69 </w:t>
            </w:r>
          </w:p>
        </w:tc>
        <w:tc>
          <w:tcPr>
            <w:tcW w:w="1136" w:type="pct"/>
            <w:vMerge/>
            <w:shd w:val="clear" w:color="auto" w:fill="EFEFEF"/>
            <w:vAlign w:val="center"/>
            <w:hideMark/>
          </w:tcPr>
          <w:p w14:paraId="3275FD85" w14:textId="77777777" w:rsidR="00B73FDB" w:rsidRPr="00B73FDB" w:rsidRDefault="00B73FDB" w:rsidP="00B73FDB">
            <w:pPr>
              <w:spacing w:after="0" w:line="240" w:lineRule="auto"/>
              <w:rPr>
                <w:rFonts w:cs="Calibri"/>
                <w:sz w:val="18"/>
                <w:szCs w:val="18"/>
                <w:lang w:eastAsia="sk-SK"/>
              </w:rPr>
            </w:pPr>
          </w:p>
        </w:tc>
      </w:tr>
    </w:tbl>
    <w:p w14:paraId="4E497D89"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2994B642" w14:textId="77777777" w:rsidTr="00B73FDB">
        <w:trPr>
          <w:tblCellSpacing w:w="15" w:type="dxa"/>
        </w:trPr>
        <w:tc>
          <w:tcPr>
            <w:tcW w:w="0" w:type="auto"/>
            <w:shd w:val="clear" w:color="auto" w:fill="C2D69B"/>
            <w:vAlign w:val="center"/>
            <w:hideMark/>
          </w:tcPr>
          <w:p w14:paraId="7461C49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5C09EB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55ACF52" w14:textId="77777777" w:rsidTr="00B73FDB">
        <w:trPr>
          <w:tblCellSpacing w:w="15" w:type="dxa"/>
        </w:trPr>
        <w:tc>
          <w:tcPr>
            <w:tcW w:w="0" w:type="auto"/>
            <w:shd w:val="clear" w:color="auto" w:fill="C2D69B"/>
            <w:vAlign w:val="center"/>
            <w:hideMark/>
          </w:tcPr>
          <w:p w14:paraId="4920C02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0879025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4FDC8104" w14:textId="77777777" w:rsidTr="00B73FDB">
        <w:trPr>
          <w:tblCellSpacing w:w="15" w:type="dxa"/>
        </w:trPr>
        <w:tc>
          <w:tcPr>
            <w:tcW w:w="0" w:type="auto"/>
            <w:shd w:val="clear" w:color="auto" w:fill="C2D69B"/>
            <w:vAlign w:val="center"/>
            <w:hideMark/>
          </w:tcPr>
          <w:p w14:paraId="27D033D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9626C2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7E27D863" w14:textId="77777777" w:rsidTr="00B73FDB">
        <w:trPr>
          <w:tblCellSpacing w:w="15" w:type="dxa"/>
        </w:trPr>
        <w:tc>
          <w:tcPr>
            <w:tcW w:w="0" w:type="auto"/>
            <w:shd w:val="clear" w:color="auto" w:fill="C2D69B"/>
            <w:vAlign w:val="center"/>
            <w:hideMark/>
          </w:tcPr>
          <w:p w14:paraId="594E56B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D6253C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035895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0E356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C7A62A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1F2F7D8" w14:textId="77777777" w:rsidTr="00B73FDB">
        <w:trPr>
          <w:tblCellSpacing w:w="15" w:type="dxa"/>
        </w:trPr>
        <w:tc>
          <w:tcPr>
            <w:tcW w:w="0" w:type="auto"/>
            <w:shd w:val="clear" w:color="auto" w:fill="C2D69B"/>
            <w:vAlign w:val="center"/>
            <w:hideMark/>
          </w:tcPr>
          <w:p w14:paraId="59A55CD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7E8000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327 </w:t>
            </w:r>
          </w:p>
        </w:tc>
        <w:tc>
          <w:tcPr>
            <w:tcW w:w="0" w:type="auto"/>
            <w:shd w:val="clear" w:color="auto" w:fill="C2D69B"/>
            <w:noWrap/>
            <w:vAlign w:val="center"/>
            <w:hideMark/>
          </w:tcPr>
          <w:p w14:paraId="5A559E1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390 </w:t>
            </w:r>
          </w:p>
        </w:tc>
        <w:tc>
          <w:tcPr>
            <w:tcW w:w="0" w:type="auto"/>
            <w:shd w:val="clear" w:color="auto" w:fill="C2D69B"/>
            <w:vAlign w:val="center"/>
            <w:hideMark/>
          </w:tcPr>
          <w:p w14:paraId="219E2C1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C0DA154"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1D17D2C4" w14:textId="77777777" w:rsidTr="00B73FDB">
        <w:trPr>
          <w:tblCellSpacing w:w="15" w:type="dxa"/>
        </w:trPr>
        <w:tc>
          <w:tcPr>
            <w:tcW w:w="0" w:type="auto"/>
            <w:shd w:val="clear" w:color="auto" w:fill="C2D69B"/>
            <w:vAlign w:val="center"/>
            <w:hideMark/>
          </w:tcPr>
          <w:p w14:paraId="211AFBA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334010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50714AB" w14:textId="77777777" w:rsidTr="00B73FDB">
        <w:trPr>
          <w:tblCellSpacing w:w="15" w:type="dxa"/>
        </w:trPr>
        <w:tc>
          <w:tcPr>
            <w:tcW w:w="0" w:type="auto"/>
            <w:shd w:val="clear" w:color="auto" w:fill="C2D69B"/>
            <w:vAlign w:val="center"/>
            <w:hideMark/>
          </w:tcPr>
          <w:p w14:paraId="35FD7AA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8571D2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1063BC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72F4C1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C877E5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2A4BB4D" w14:textId="77777777" w:rsidTr="00B73FDB">
        <w:trPr>
          <w:tblCellSpacing w:w="15" w:type="dxa"/>
        </w:trPr>
        <w:tc>
          <w:tcPr>
            <w:tcW w:w="0" w:type="auto"/>
            <w:shd w:val="clear" w:color="auto" w:fill="C2D69B"/>
            <w:vAlign w:val="center"/>
            <w:hideMark/>
          </w:tcPr>
          <w:p w14:paraId="6BB0B30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4D0AAE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198 </w:t>
            </w:r>
          </w:p>
        </w:tc>
        <w:tc>
          <w:tcPr>
            <w:tcW w:w="0" w:type="auto"/>
            <w:shd w:val="clear" w:color="auto" w:fill="C2D69B"/>
            <w:noWrap/>
            <w:vAlign w:val="center"/>
            <w:hideMark/>
          </w:tcPr>
          <w:p w14:paraId="0439ECF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243 </w:t>
            </w:r>
          </w:p>
        </w:tc>
        <w:tc>
          <w:tcPr>
            <w:tcW w:w="0" w:type="auto"/>
            <w:shd w:val="clear" w:color="auto" w:fill="C2D69B"/>
            <w:vAlign w:val="center"/>
            <w:hideMark/>
          </w:tcPr>
          <w:p w14:paraId="3D4563E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A156A88" w14:textId="77777777" w:rsidR="00B73FDB" w:rsidRPr="00B73FDB" w:rsidRDefault="00B73FDB" w:rsidP="00B73FDB">
            <w:pPr>
              <w:spacing w:after="0" w:line="240" w:lineRule="auto"/>
              <w:jc w:val="center"/>
              <w:rPr>
                <w:rFonts w:cs="Calibri"/>
                <w:sz w:val="18"/>
                <w:szCs w:val="18"/>
                <w:lang w:eastAsia="sk-SK"/>
              </w:rPr>
            </w:pPr>
          </w:p>
        </w:tc>
      </w:tr>
    </w:tbl>
    <w:p w14:paraId="54B22EEC"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na zdravotnícke odbory vzdelávania v dennej forme štúdia, vo vyššom pomaturitnom kvalifikačnom štúdiu a v externom nadstavbovom štúdiu. </w:t>
      </w:r>
    </w:p>
    <w:p w14:paraId="52BEE52E"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8.3.36: SOŠ vinársko-ovocinárska, Kostolná 3, Modra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2731"/>
        <w:gridCol w:w="1212"/>
        <w:gridCol w:w="1212"/>
        <w:gridCol w:w="1059"/>
        <w:gridCol w:w="1212"/>
        <w:gridCol w:w="2430"/>
      </w:tblGrid>
      <w:tr w:rsidR="00B73FDB" w:rsidRPr="00B73FDB" w14:paraId="081FF7C3" w14:textId="77777777" w:rsidTr="00B73FDB">
        <w:trPr>
          <w:tblCellSpacing w:w="15" w:type="dxa"/>
        </w:trPr>
        <w:tc>
          <w:tcPr>
            <w:tcW w:w="269" w:type="pct"/>
            <w:shd w:val="clear" w:color="auto" w:fill="C6DBF7"/>
            <w:vAlign w:val="center"/>
            <w:hideMark/>
          </w:tcPr>
          <w:p w14:paraId="006B009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2401488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6048A0C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5D4C3AE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1" w:type="pct"/>
            <w:shd w:val="clear" w:color="auto" w:fill="C6DBF7"/>
            <w:vAlign w:val="center"/>
            <w:hideMark/>
          </w:tcPr>
          <w:p w14:paraId="507BD0C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3904887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8" w:type="pct"/>
            <w:shd w:val="clear" w:color="auto" w:fill="C6DBF7"/>
            <w:vAlign w:val="center"/>
            <w:hideMark/>
          </w:tcPr>
          <w:p w14:paraId="7DF3AC2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8D8E9AF" w14:textId="77777777" w:rsidTr="00B73FDB">
        <w:trPr>
          <w:tblCellSpacing w:w="15" w:type="dxa"/>
        </w:trPr>
        <w:tc>
          <w:tcPr>
            <w:tcW w:w="269" w:type="pct"/>
            <w:shd w:val="clear" w:color="auto" w:fill="D9D9D9"/>
            <w:noWrap/>
            <w:vAlign w:val="center"/>
            <w:hideMark/>
          </w:tcPr>
          <w:p w14:paraId="4D70B21B"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776D8D7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40D948B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653 498,00</w:t>
            </w:r>
            <w:r w:rsidRPr="00B73FDB">
              <w:rPr>
                <w:rFonts w:cs="Calibri"/>
                <w:sz w:val="18"/>
                <w:szCs w:val="18"/>
                <w:lang w:eastAsia="sk-SK"/>
              </w:rPr>
              <w:t xml:space="preserve"> </w:t>
            </w:r>
          </w:p>
        </w:tc>
        <w:tc>
          <w:tcPr>
            <w:tcW w:w="564" w:type="pct"/>
            <w:shd w:val="clear" w:color="auto" w:fill="D9D9D9"/>
            <w:noWrap/>
            <w:vAlign w:val="center"/>
            <w:hideMark/>
          </w:tcPr>
          <w:p w14:paraId="6AC7E57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718 536,38</w:t>
            </w:r>
            <w:r w:rsidRPr="00B73FDB">
              <w:rPr>
                <w:rFonts w:cs="Calibri"/>
                <w:sz w:val="18"/>
                <w:szCs w:val="18"/>
                <w:lang w:eastAsia="sk-SK"/>
              </w:rPr>
              <w:t xml:space="preserve"> </w:t>
            </w:r>
          </w:p>
        </w:tc>
        <w:tc>
          <w:tcPr>
            <w:tcW w:w="491" w:type="pct"/>
            <w:shd w:val="clear" w:color="auto" w:fill="D9D9D9"/>
            <w:noWrap/>
            <w:vAlign w:val="center"/>
            <w:hideMark/>
          </w:tcPr>
          <w:p w14:paraId="11BA83D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652 946,66</w:t>
            </w:r>
            <w:r w:rsidRPr="00B73FDB">
              <w:rPr>
                <w:rFonts w:cs="Calibri"/>
                <w:sz w:val="18"/>
                <w:szCs w:val="18"/>
                <w:lang w:eastAsia="sk-SK"/>
              </w:rPr>
              <w:t xml:space="preserve"> </w:t>
            </w:r>
          </w:p>
        </w:tc>
        <w:tc>
          <w:tcPr>
            <w:tcW w:w="564" w:type="pct"/>
            <w:shd w:val="clear" w:color="auto" w:fill="D9D9D9"/>
            <w:noWrap/>
            <w:vAlign w:val="center"/>
            <w:hideMark/>
          </w:tcPr>
          <w:p w14:paraId="3B60636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90,87</w:t>
            </w:r>
            <w:r w:rsidRPr="00B73FDB">
              <w:rPr>
                <w:rFonts w:cs="Calibri"/>
                <w:sz w:val="18"/>
                <w:szCs w:val="18"/>
                <w:lang w:eastAsia="sk-SK"/>
              </w:rPr>
              <w:t xml:space="preserve"> </w:t>
            </w:r>
          </w:p>
        </w:tc>
        <w:tc>
          <w:tcPr>
            <w:tcW w:w="1138" w:type="pct"/>
            <w:vMerge w:val="restart"/>
            <w:shd w:val="clear" w:color="auto" w:fill="D9D9D9"/>
            <w:vAlign w:val="center"/>
            <w:hideMark/>
          </w:tcPr>
          <w:p w14:paraId="7BD2959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+41 223,00 EUR</w:t>
            </w:r>
            <w:r w:rsidRPr="00B73FDB">
              <w:rPr>
                <w:rFonts w:cs="Calibri"/>
                <w:sz w:val="18"/>
                <w:szCs w:val="18"/>
                <w:lang w:eastAsia="sk-SK"/>
              </w:rPr>
              <w:t xml:space="preserve"> normatívne finančné prostriedky,</w:t>
            </w:r>
          </w:p>
          <w:p w14:paraId="58C20258"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+1 215,00 EUR</w:t>
            </w:r>
            <w:r w:rsidRPr="00B73FDB">
              <w:rPr>
                <w:rFonts w:cs="Calibri"/>
                <w:sz w:val="18"/>
                <w:szCs w:val="18"/>
                <w:lang w:eastAsia="sk-SK"/>
              </w:rPr>
              <w:t xml:space="preserve"> príspevok na rekreáciu zamestnancov,</w:t>
            </w:r>
          </w:p>
          <w:p w14:paraId="25E0DC3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+517,00 EUR </w:t>
            </w:r>
            <w:r w:rsidRPr="00B73FDB">
              <w:rPr>
                <w:rFonts w:cs="Calibri"/>
                <w:sz w:val="18"/>
                <w:szCs w:val="18"/>
                <w:lang w:eastAsia="sk-SK"/>
              </w:rPr>
              <w:t>nenormatívne finančné prostriedky na vzdelávacie poukazy,</w:t>
            </w:r>
          </w:p>
          <w:p w14:paraId="3E6DC3B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-1 687,00 EUR</w:t>
            </w:r>
            <w:r w:rsidRPr="00B73FDB">
              <w:rPr>
                <w:rFonts w:cs="Calibri"/>
                <w:sz w:val="18"/>
                <w:szCs w:val="18"/>
                <w:lang w:eastAsia="sk-SK"/>
              </w:rPr>
              <w:t xml:space="preserve"> odchodné do dôchodku,</w:t>
            </w:r>
          </w:p>
          <w:p w14:paraId="13F9F5C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+150,00 EUR</w:t>
            </w:r>
            <w:r w:rsidRPr="00B73FDB">
              <w:rPr>
                <w:rFonts w:cs="Calibri"/>
                <w:sz w:val="18"/>
                <w:szCs w:val="18"/>
                <w:lang w:eastAsia="sk-SK"/>
              </w:rPr>
              <w:t xml:space="preserve"> nenormatívne finančné prostriedky na lyžiarske kurzy,</w:t>
            </w:r>
          </w:p>
          <w:p w14:paraId="7755E8B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+10 577,79 EUR</w:t>
            </w:r>
            <w:r w:rsidRPr="00B73FDB">
              <w:rPr>
                <w:rFonts w:cs="Calibri"/>
                <w:sz w:val="18"/>
                <w:szCs w:val="18"/>
                <w:lang w:eastAsia="sk-SK"/>
              </w:rPr>
              <w:t xml:space="preserve"> nevyčerpané finančné prostriedky z r. 2019</w:t>
            </w:r>
          </w:p>
          <w:p w14:paraId="35CEB5F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+8 042,59</w:t>
            </w:r>
            <w:r w:rsidRPr="00B73FDB">
              <w:rPr>
                <w:rFonts w:cs="Calibri"/>
                <w:sz w:val="18"/>
                <w:szCs w:val="18"/>
                <w:lang w:eastAsia="sk-SK"/>
              </w:rPr>
              <w:t xml:space="preserve"> podpora rozvoja zamestnanosti z ÚPSVaR,</w:t>
            </w:r>
          </w:p>
          <w:p w14:paraId="5628733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+3 020,96 EUR</w:t>
            </w:r>
            <w:r w:rsidRPr="00B73FDB">
              <w:rPr>
                <w:rFonts w:cs="Calibri"/>
                <w:sz w:val="18"/>
                <w:szCs w:val="18"/>
                <w:lang w:eastAsia="sk-SK"/>
              </w:rPr>
              <w:t xml:space="preserve"> navýšenie rozpočtu darovacieho účtu.</w:t>
            </w:r>
          </w:p>
        </w:tc>
      </w:tr>
      <w:tr w:rsidR="00B73FDB" w:rsidRPr="00B73FDB" w14:paraId="0C15FF00" w14:textId="77777777" w:rsidTr="00B73FDB">
        <w:trPr>
          <w:tblCellSpacing w:w="15" w:type="dxa"/>
        </w:trPr>
        <w:tc>
          <w:tcPr>
            <w:tcW w:w="269" w:type="pct"/>
            <w:shd w:val="clear" w:color="auto" w:fill="D9D9D9"/>
            <w:noWrap/>
            <w:vAlign w:val="center"/>
            <w:hideMark/>
          </w:tcPr>
          <w:p w14:paraId="6489BD3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132C83E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2DCD131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653 498,00</w:t>
            </w:r>
            <w:r w:rsidRPr="00B73FDB">
              <w:rPr>
                <w:rFonts w:cs="Calibri"/>
                <w:sz w:val="18"/>
                <w:szCs w:val="18"/>
                <w:lang w:eastAsia="sk-SK"/>
              </w:rPr>
              <w:t xml:space="preserve"> </w:t>
            </w:r>
          </w:p>
        </w:tc>
        <w:tc>
          <w:tcPr>
            <w:tcW w:w="564" w:type="pct"/>
            <w:shd w:val="clear" w:color="auto" w:fill="D9D9D9"/>
            <w:noWrap/>
            <w:vAlign w:val="center"/>
            <w:hideMark/>
          </w:tcPr>
          <w:p w14:paraId="2F62B2A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716 557,34</w:t>
            </w:r>
            <w:r w:rsidRPr="00B73FDB">
              <w:rPr>
                <w:rFonts w:cs="Calibri"/>
                <w:sz w:val="18"/>
                <w:szCs w:val="18"/>
                <w:lang w:eastAsia="sk-SK"/>
              </w:rPr>
              <w:t xml:space="preserve"> </w:t>
            </w:r>
          </w:p>
        </w:tc>
        <w:tc>
          <w:tcPr>
            <w:tcW w:w="491" w:type="pct"/>
            <w:shd w:val="clear" w:color="auto" w:fill="D9D9D9"/>
            <w:noWrap/>
            <w:vAlign w:val="center"/>
            <w:hideMark/>
          </w:tcPr>
          <w:p w14:paraId="786C5AD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650 967,62</w:t>
            </w:r>
            <w:r w:rsidRPr="00B73FDB">
              <w:rPr>
                <w:rFonts w:cs="Calibri"/>
                <w:sz w:val="18"/>
                <w:szCs w:val="18"/>
                <w:lang w:eastAsia="sk-SK"/>
              </w:rPr>
              <w:t xml:space="preserve"> </w:t>
            </w:r>
          </w:p>
        </w:tc>
        <w:tc>
          <w:tcPr>
            <w:tcW w:w="564" w:type="pct"/>
            <w:shd w:val="clear" w:color="auto" w:fill="D9D9D9"/>
            <w:noWrap/>
            <w:vAlign w:val="center"/>
            <w:hideMark/>
          </w:tcPr>
          <w:p w14:paraId="6FE6412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90,85</w:t>
            </w:r>
            <w:r w:rsidRPr="00B73FDB">
              <w:rPr>
                <w:rFonts w:cs="Calibri"/>
                <w:sz w:val="18"/>
                <w:szCs w:val="18"/>
                <w:lang w:eastAsia="sk-SK"/>
              </w:rPr>
              <w:t xml:space="preserve"> </w:t>
            </w:r>
          </w:p>
        </w:tc>
        <w:tc>
          <w:tcPr>
            <w:tcW w:w="1138" w:type="pct"/>
            <w:vMerge/>
            <w:shd w:val="clear" w:color="auto" w:fill="D9D9D9"/>
            <w:vAlign w:val="center"/>
            <w:hideMark/>
          </w:tcPr>
          <w:p w14:paraId="6F5E34A1" w14:textId="77777777" w:rsidR="00B73FDB" w:rsidRPr="00B73FDB" w:rsidRDefault="00B73FDB" w:rsidP="00B73FDB">
            <w:pPr>
              <w:spacing w:after="0" w:line="240" w:lineRule="auto"/>
              <w:rPr>
                <w:rFonts w:cs="Calibri"/>
                <w:sz w:val="18"/>
                <w:szCs w:val="18"/>
                <w:lang w:eastAsia="sk-SK"/>
              </w:rPr>
            </w:pPr>
          </w:p>
        </w:tc>
      </w:tr>
      <w:tr w:rsidR="00B73FDB" w:rsidRPr="00B73FDB" w14:paraId="2A23EE12" w14:textId="77777777" w:rsidTr="00B73FDB">
        <w:trPr>
          <w:tblCellSpacing w:w="15" w:type="dxa"/>
        </w:trPr>
        <w:tc>
          <w:tcPr>
            <w:tcW w:w="269" w:type="pct"/>
            <w:shd w:val="clear" w:color="auto" w:fill="EFEFEF"/>
            <w:noWrap/>
            <w:vAlign w:val="center"/>
            <w:hideMark/>
          </w:tcPr>
          <w:p w14:paraId="42E455E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4CBF590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63C7358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341 963,00 </w:t>
            </w:r>
          </w:p>
        </w:tc>
        <w:tc>
          <w:tcPr>
            <w:tcW w:w="564" w:type="pct"/>
            <w:shd w:val="clear" w:color="auto" w:fill="EFEFEF"/>
            <w:noWrap/>
            <w:vAlign w:val="center"/>
            <w:hideMark/>
          </w:tcPr>
          <w:p w14:paraId="6C5DBA5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355 507,99 </w:t>
            </w:r>
          </w:p>
        </w:tc>
        <w:tc>
          <w:tcPr>
            <w:tcW w:w="491" w:type="pct"/>
            <w:shd w:val="clear" w:color="auto" w:fill="EFEFEF"/>
            <w:noWrap/>
            <w:vAlign w:val="center"/>
            <w:hideMark/>
          </w:tcPr>
          <w:p w14:paraId="62C3435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352 573,43 </w:t>
            </w:r>
          </w:p>
        </w:tc>
        <w:tc>
          <w:tcPr>
            <w:tcW w:w="564" w:type="pct"/>
            <w:shd w:val="clear" w:color="auto" w:fill="EFEFEF"/>
            <w:noWrap/>
            <w:vAlign w:val="center"/>
            <w:hideMark/>
          </w:tcPr>
          <w:p w14:paraId="77FB84C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99,17 </w:t>
            </w:r>
          </w:p>
        </w:tc>
        <w:tc>
          <w:tcPr>
            <w:tcW w:w="1138" w:type="pct"/>
            <w:vMerge/>
            <w:shd w:val="clear" w:color="auto" w:fill="EFEFEF"/>
            <w:vAlign w:val="center"/>
            <w:hideMark/>
          </w:tcPr>
          <w:p w14:paraId="072178CC" w14:textId="77777777" w:rsidR="00B73FDB" w:rsidRPr="00B73FDB" w:rsidRDefault="00B73FDB" w:rsidP="00B73FDB">
            <w:pPr>
              <w:spacing w:after="0" w:line="240" w:lineRule="auto"/>
              <w:rPr>
                <w:rFonts w:cs="Calibri"/>
                <w:sz w:val="18"/>
                <w:szCs w:val="18"/>
                <w:lang w:eastAsia="sk-SK"/>
              </w:rPr>
            </w:pPr>
          </w:p>
        </w:tc>
      </w:tr>
      <w:tr w:rsidR="00B73FDB" w:rsidRPr="00B73FDB" w14:paraId="548B2B48" w14:textId="77777777" w:rsidTr="00B73FDB">
        <w:trPr>
          <w:tblCellSpacing w:w="15" w:type="dxa"/>
        </w:trPr>
        <w:tc>
          <w:tcPr>
            <w:tcW w:w="269" w:type="pct"/>
            <w:shd w:val="clear" w:color="auto" w:fill="EFEFEF"/>
            <w:noWrap/>
            <w:vAlign w:val="center"/>
            <w:hideMark/>
          </w:tcPr>
          <w:p w14:paraId="3F70F8B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6C02459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2E34AC2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123 000,00 </w:t>
            </w:r>
          </w:p>
        </w:tc>
        <w:tc>
          <w:tcPr>
            <w:tcW w:w="564" w:type="pct"/>
            <w:shd w:val="clear" w:color="auto" w:fill="EFEFEF"/>
            <w:noWrap/>
            <w:vAlign w:val="center"/>
            <w:hideMark/>
          </w:tcPr>
          <w:p w14:paraId="35BCA55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122 607,98 </w:t>
            </w:r>
          </w:p>
        </w:tc>
        <w:tc>
          <w:tcPr>
            <w:tcW w:w="491" w:type="pct"/>
            <w:shd w:val="clear" w:color="auto" w:fill="EFEFEF"/>
            <w:noWrap/>
            <w:vAlign w:val="center"/>
            <w:hideMark/>
          </w:tcPr>
          <w:p w14:paraId="211FC0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118 564,18 </w:t>
            </w:r>
          </w:p>
        </w:tc>
        <w:tc>
          <w:tcPr>
            <w:tcW w:w="564" w:type="pct"/>
            <w:shd w:val="clear" w:color="auto" w:fill="EFEFEF"/>
            <w:noWrap/>
            <w:vAlign w:val="center"/>
            <w:hideMark/>
          </w:tcPr>
          <w:p w14:paraId="5A20ADE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96,70 </w:t>
            </w:r>
          </w:p>
        </w:tc>
        <w:tc>
          <w:tcPr>
            <w:tcW w:w="1138" w:type="pct"/>
            <w:vMerge/>
            <w:shd w:val="clear" w:color="auto" w:fill="EFEFEF"/>
            <w:vAlign w:val="center"/>
            <w:hideMark/>
          </w:tcPr>
          <w:p w14:paraId="32BB3FCB" w14:textId="77777777" w:rsidR="00B73FDB" w:rsidRPr="00B73FDB" w:rsidRDefault="00B73FDB" w:rsidP="00B73FDB">
            <w:pPr>
              <w:spacing w:after="0" w:line="240" w:lineRule="auto"/>
              <w:rPr>
                <w:rFonts w:cs="Calibri"/>
                <w:sz w:val="18"/>
                <w:szCs w:val="18"/>
                <w:lang w:eastAsia="sk-SK"/>
              </w:rPr>
            </w:pPr>
          </w:p>
        </w:tc>
      </w:tr>
      <w:tr w:rsidR="00B73FDB" w:rsidRPr="00B73FDB" w14:paraId="6DB0D86D" w14:textId="77777777" w:rsidTr="00B73FDB">
        <w:trPr>
          <w:tblCellSpacing w:w="15" w:type="dxa"/>
        </w:trPr>
        <w:tc>
          <w:tcPr>
            <w:tcW w:w="269" w:type="pct"/>
            <w:shd w:val="clear" w:color="auto" w:fill="EFEFEF"/>
            <w:noWrap/>
            <w:vAlign w:val="center"/>
            <w:hideMark/>
          </w:tcPr>
          <w:p w14:paraId="7A084F8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2BDF0CB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26F77DE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188 535,00 </w:t>
            </w:r>
          </w:p>
        </w:tc>
        <w:tc>
          <w:tcPr>
            <w:tcW w:w="564" w:type="pct"/>
            <w:shd w:val="clear" w:color="auto" w:fill="EFEFEF"/>
            <w:noWrap/>
            <w:vAlign w:val="center"/>
            <w:hideMark/>
          </w:tcPr>
          <w:p w14:paraId="7FA5F44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233 554,37 </w:t>
            </w:r>
          </w:p>
        </w:tc>
        <w:tc>
          <w:tcPr>
            <w:tcW w:w="491" w:type="pct"/>
            <w:shd w:val="clear" w:color="auto" w:fill="EFEFEF"/>
            <w:noWrap/>
            <w:vAlign w:val="center"/>
            <w:hideMark/>
          </w:tcPr>
          <w:p w14:paraId="1C9A826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174 943,01 </w:t>
            </w:r>
          </w:p>
        </w:tc>
        <w:tc>
          <w:tcPr>
            <w:tcW w:w="564" w:type="pct"/>
            <w:shd w:val="clear" w:color="auto" w:fill="EFEFEF"/>
            <w:noWrap/>
            <w:vAlign w:val="center"/>
            <w:hideMark/>
          </w:tcPr>
          <w:p w14:paraId="6E8934B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74,90 </w:t>
            </w:r>
          </w:p>
        </w:tc>
        <w:tc>
          <w:tcPr>
            <w:tcW w:w="1138" w:type="pct"/>
            <w:vMerge/>
            <w:shd w:val="clear" w:color="auto" w:fill="EFEFEF"/>
            <w:vAlign w:val="center"/>
            <w:hideMark/>
          </w:tcPr>
          <w:p w14:paraId="20B8D42F" w14:textId="77777777" w:rsidR="00B73FDB" w:rsidRPr="00B73FDB" w:rsidRDefault="00B73FDB" w:rsidP="00B73FDB">
            <w:pPr>
              <w:spacing w:after="0" w:line="240" w:lineRule="auto"/>
              <w:rPr>
                <w:rFonts w:cs="Calibri"/>
                <w:sz w:val="18"/>
                <w:szCs w:val="18"/>
                <w:lang w:eastAsia="sk-SK"/>
              </w:rPr>
            </w:pPr>
          </w:p>
        </w:tc>
      </w:tr>
      <w:tr w:rsidR="00B73FDB" w:rsidRPr="00B73FDB" w14:paraId="0480B461" w14:textId="77777777" w:rsidTr="00B73FDB">
        <w:trPr>
          <w:tblCellSpacing w:w="15" w:type="dxa"/>
        </w:trPr>
        <w:tc>
          <w:tcPr>
            <w:tcW w:w="269" w:type="pct"/>
            <w:shd w:val="clear" w:color="auto" w:fill="D9D9D9"/>
            <w:noWrap/>
            <w:vAlign w:val="center"/>
          </w:tcPr>
          <w:p w14:paraId="346BC722"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700</w:t>
            </w:r>
          </w:p>
        </w:tc>
        <w:tc>
          <w:tcPr>
            <w:tcW w:w="1288" w:type="pct"/>
            <w:shd w:val="clear" w:color="auto" w:fill="D9D9D9"/>
            <w:vAlign w:val="center"/>
          </w:tcPr>
          <w:p w14:paraId="25C32ECE"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Kapitálové výdavky</w:t>
            </w:r>
          </w:p>
        </w:tc>
        <w:tc>
          <w:tcPr>
            <w:tcW w:w="564" w:type="pct"/>
            <w:shd w:val="clear" w:color="auto" w:fill="D9D9D9"/>
            <w:noWrap/>
            <w:vAlign w:val="center"/>
          </w:tcPr>
          <w:p w14:paraId="4BE76B4E"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564" w:type="pct"/>
            <w:shd w:val="clear" w:color="auto" w:fill="D9D9D9"/>
            <w:noWrap/>
            <w:vAlign w:val="center"/>
          </w:tcPr>
          <w:p w14:paraId="080C5A58"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1 979,04</w:t>
            </w:r>
          </w:p>
        </w:tc>
        <w:tc>
          <w:tcPr>
            <w:tcW w:w="491" w:type="pct"/>
            <w:shd w:val="clear" w:color="auto" w:fill="D9D9D9"/>
            <w:noWrap/>
            <w:vAlign w:val="center"/>
          </w:tcPr>
          <w:p w14:paraId="5CF28EA0"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1 979,04</w:t>
            </w:r>
          </w:p>
        </w:tc>
        <w:tc>
          <w:tcPr>
            <w:tcW w:w="564" w:type="pct"/>
            <w:shd w:val="clear" w:color="auto" w:fill="D9D9D9"/>
            <w:noWrap/>
            <w:vAlign w:val="center"/>
          </w:tcPr>
          <w:p w14:paraId="605673DA"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100,00</w:t>
            </w:r>
          </w:p>
        </w:tc>
        <w:tc>
          <w:tcPr>
            <w:tcW w:w="1138" w:type="pct"/>
            <w:vMerge w:val="restart"/>
            <w:shd w:val="clear" w:color="auto" w:fill="D9D9D9"/>
            <w:vAlign w:val="center"/>
          </w:tcPr>
          <w:p w14:paraId="6FA7695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+1 979,04 EUR</w:t>
            </w:r>
            <w:r w:rsidRPr="00B73FDB">
              <w:rPr>
                <w:rFonts w:cs="Calibri"/>
                <w:sz w:val="18"/>
                <w:szCs w:val="18"/>
                <w:lang w:eastAsia="sk-SK"/>
              </w:rPr>
              <w:t xml:space="preserve"> navýšenie rozpočtu darovacieho účtu.</w:t>
            </w:r>
          </w:p>
        </w:tc>
      </w:tr>
      <w:tr w:rsidR="00B73FDB" w:rsidRPr="00B73FDB" w14:paraId="224CC451" w14:textId="77777777" w:rsidTr="00B73FDB">
        <w:trPr>
          <w:tblCellSpacing w:w="15" w:type="dxa"/>
        </w:trPr>
        <w:tc>
          <w:tcPr>
            <w:tcW w:w="269" w:type="pct"/>
            <w:shd w:val="clear" w:color="auto" w:fill="EFEFEF"/>
            <w:noWrap/>
            <w:vAlign w:val="center"/>
          </w:tcPr>
          <w:p w14:paraId="5894A04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710</w:t>
            </w:r>
          </w:p>
        </w:tc>
        <w:tc>
          <w:tcPr>
            <w:tcW w:w="1288" w:type="pct"/>
            <w:shd w:val="clear" w:color="auto" w:fill="EFEFEF"/>
            <w:vAlign w:val="center"/>
          </w:tcPr>
          <w:p w14:paraId="58D51EE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Obstarávanie kapitálových aktív</w:t>
            </w:r>
          </w:p>
        </w:tc>
        <w:tc>
          <w:tcPr>
            <w:tcW w:w="564" w:type="pct"/>
            <w:shd w:val="clear" w:color="auto" w:fill="EFEFEF"/>
            <w:noWrap/>
            <w:vAlign w:val="center"/>
          </w:tcPr>
          <w:p w14:paraId="03105C3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64" w:type="pct"/>
            <w:shd w:val="clear" w:color="auto" w:fill="EFEFEF"/>
            <w:noWrap/>
            <w:vAlign w:val="center"/>
          </w:tcPr>
          <w:p w14:paraId="25AE75F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1 979,04</w:t>
            </w:r>
          </w:p>
        </w:tc>
        <w:tc>
          <w:tcPr>
            <w:tcW w:w="491" w:type="pct"/>
            <w:shd w:val="clear" w:color="auto" w:fill="EFEFEF"/>
            <w:noWrap/>
            <w:vAlign w:val="center"/>
          </w:tcPr>
          <w:p w14:paraId="30F018E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1 979,04</w:t>
            </w:r>
          </w:p>
        </w:tc>
        <w:tc>
          <w:tcPr>
            <w:tcW w:w="564" w:type="pct"/>
            <w:shd w:val="clear" w:color="auto" w:fill="EFEFEF"/>
            <w:noWrap/>
            <w:vAlign w:val="center"/>
          </w:tcPr>
          <w:p w14:paraId="05F7A7F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100,00</w:t>
            </w:r>
          </w:p>
        </w:tc>
        <w:tc>
          <w:tcPr>
            <w:tcW w:w="1138" w:type="pct"/>
            <w:vMerge/>
            <w:shd w:val="clear" w:color="auto" w:fill="EFEFEF"/>
            <w:vAlign w:val="center"/>
          </w:tcPr>
          <w:p w14:paraId="08F4617E" w14:textId="77777777" w:rsidR="00B73FDB" w:rsidRPr="00B73FDB" w:rsidRDefault="00B73FDB" w:rsidP="00B73FDB">
            <w:pPr>
              <w:spacing w:after="0" w:line="240" w:lineRule="auto"/>
              <w:rPr>
                <w:rFonts w:cs="Calibri"/>
                <w:sz w:val="18"/>
                <w:szCs w:val="18"/>
                <w:lang w:eastAsia="sk-SK"/>
              </w:rPr>
            </w:pPr>
          </w:p>
        </w:tc>
      </w:tr>
    </w:tbl>
    <w:p w14:paraId="76140AF9"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20CA1A43" w14:textId="77777777" w:rsidTr="00B73FDB">
        <w:trPr>
          <w:tblCellSpacing w:w="15" w:type="dxa"/>
        </w:trPr>
        <w:tc>
          <w:tcPr>
            <w:tcW w:w="0" w:type="auto"/>
            <w:shd w:val="clear" w:color="auto" w:fill="C2D69B"/>
            <w:vAlign w:val="center"/>
            <w:hideMark/>
          </w:tcPr>
          <w:p w14:paraId="79F5F17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B3D113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DEF1A6C" w14:textId="77777777" w:rsidTr="00B73FDB">
        <w:trPr>
          <w:tblCellSpacing w:w="15" w:type="dxa"/>
        </w:trPr>
        <w:tc>
          <w:tcPr>
            <w:tcW w:w="0" w:type="auto"/>
            <w:shd w:val="clear" w:color="auto" w:fill="C2D69B"/>
            <w:vAlign w:val="center"/>
            <w:hideMark/>
          </w:tcPr>
          <w:p w14:paraId="045E477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FE98DB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02F44BEF" w14:textId="77777777" w:rsidTr="00B73FDB">
        <w:trPr>
          <w:tblCellSpacing w:w="15" w:type="dxa"/>
        </w:trPr>
        <w:tc>
          <w:tcPr>
            <w:tcW w:w="0" w:type="auto"/>
            <w:shd w:val="clear" w:color="auto" w:fill="C2D69B"/>
            <w:vAlign w:val="center"/>
            <w:hideMark/>
          </w:tcPr>
          <w:p w14:paraId="48D572C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FA047E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5A490E57" w14:textId="77777777" w:rsidTr="00B73FDB">
        <w:trPr>
          <w:tblCellSpacing w:w="15" w:type="dxa"/>
        </w:trPr>
        <w:tc>
          <w:tcPr>
            <w:tcW w:w="0" w:type="auto"/>
            <w:shd w:val="clear" w:color="auto" w:fill="C2D69B"/>
            <w:vAlign w:val="center"/>
            <w:hideMark/>
          </w:tcPr>
          <w:p w14:paraId="7111B47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F450C4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6F3EE0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700841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9D98ED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208609E" w14:textId="77777777" w:rsidTr="00B73FDB">
        <w:trPr>
          <w:tblCellSpacing w:w="15" w:type="dxa"/>
        </w:trPr>
        <w:tc>
          <w:tcPr>
            <w:tcW w:w="0" w:type="auto"/>
            <w:shd w:val="clear" w:color="auto" w:fill="C2D69B"/>
            <w:vAlign w:val="center"/>
            <w:hideMark/>
          </w:tcPr>
          <w:p w14:paraId="3FB809B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259200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107 </w:t>
            </w:r>
          </w:p>
        </w:tc>
        <w:tc>
          <w:tcPr>
            <w:tcW w:w="0" w:type="auto"/>
            <w:shd w:val="clear" w:color="auto" w:fill="C2D69B"/>
            <w:noWrap/>
            <w:vAlign w:val="center"/>
            <w:hideMark/>
          </w:tcPr>
          <w:p w14:paraId="002E53A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119 </w:t>
            </w:r>
          </w:p>
        </w:tc>
        <w:tc>
          <w:tcPr>
            <w:tcW w:w="0" w:type="auto"/>
            <w:shd w:val="clear" w:color="auto" w:fill="C2D69B"/>
            <w:vAlign w:val="center"/>
            <w:hideMark/>
          </w:tcPr>
          <w:p w14:paraId="0C4C26D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07A61D7"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80FD471" w14:textId="77777777" w:rsidTr="00B73FDB">
        <w:trPr>
          <w:tblCellSpacing w:w="15" w:type="dxa"/>
        </w:trPr>
        <w:tc>
          <w:tcPr>
            <w:tcW w:w="0" w:type="auto"/>
            <w:shd w:val="clear" w:color="auto" w:fill="C2D69B"/>
            <w:vAlign w:val="center"/>
            <w:hideMark/>
          </w:tcPr>
          <w:p w14:paraId="266F710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C50EFE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63E0B10" w14:textId="77777777" w:rsidTr="00B73FDB">
        <w:trPr>
          <w:tblCellSpacing w:w="15" w:type="dxa"/>
        </w:trPr>
        <w:tc>
          <w:tcPr>
            <w:tcW w:w="0" w:type="auto"/>
            <w:shd w:val="clear" w:color="auto" w:fill="C2D69B"/>
            <w:vAlign w:val="center"/>
            <w:hideMark/>
          </w:tcPr>
          <w:p w14:paraId="4255F2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63F57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719913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AE5018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E77D54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9FC81A9" w14:textId="77777777" w:rsidTr="00B73FDB">
        <w:trPr>
          <w:tblCellSpacing w:w="15" w:type="dxa"/>
        </w:trPr>
        <w:tc>
          <w:tcPr>
            <w:tcW w:w="0" w:type="auto"/>
            <w:shd w:val="clear" w:color="auto" w:fill="C2D69B"/>
            <w:vAlign w:val="center"/>
            <w:hideMark/>
          </w:tcPr>
          <w:p w14:paraId="553B51D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FBF3D3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107 </w:t>
            </w:r>
          </w:p>
        </w:tc>
        <w:tc>
          <w:tcPr>
            <w:tcW w:w="0" w:type="auto"/>
            <w:shd w:val="clear" w:color="auto" w:fill="C2D69B"/>
            <w:noWrap/>
            <w:vAlign w:val="center"/>
            <w:hideMark/>
          </w:tcPr>
          <w:p w14:paraId="469CED0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119 </w:t>
            </w:r>
          </w:p>
        </w:tc>
        <w:tc>
          <w:tcPr>
            <w:tcW w:w="0" w:type="auto"/>
            <w:shd w:val="clear" w:color="auto" w:fill="C2D69B"/>
            <w:vAlign w:val="center"/>
            <w:hideMark/>
          </w:tcPr>
          <w:p w14:paraId="0D3D20C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D1F047F" w14:textId="77777777" w:rsidR="00B73FDB" w:rsidRPr="00B73FDB" w:rsidRDefault="00B73FDB" w:rsidP="00B73FDB">
            <w:pPr>
              <w:spacing w:after="0" w:line="240" w:lineRule="auto"/>
              <w:jc w:val="center"/>
              <w:rPr>
                <w:rFonts w:cs="Calibri"/>
                <w:sz w:val="18"/>
                <w:szCs w:val="18"/>
                <w:lang w:eastAsia="sk-SK"/>
              </w:rPr>
            </w:pPr>
          </w:p>
        </w:tc>
      </w:tr>
    </w:tbl>
    <w:p w14:paraId="5706FE3E"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 xml:space="preserve">Zameranie študijných odborov je na vinárstvo a ovocinárstvo - podnikanie vo vinohradníctve a ovocinárstve, agroturistika a </w:t>
      </w:r>
      <w:proofErr w:type="spellStart"/>
      <w:r w:rsidRPr="00B73FDB">
        <w:rPr>
          <w:rFonts w:cs="Calibri"/>
          <w:sz w:val="24"/>
          <w:szCs w:val="24"/>
          <w:lang w:eastAsia="sk-SK"/>
        </w:rPr>
        <w:t>someliérstvo</w:t>
      </w:r>
      <w:proofErr w:type="spellEnd"/>
      <w:r w:rsidRPr="00B73FDB">
        <w:rPr>
          <w:rFonts w:cs="Calibri"/>
          <w:sz w:val="24"/>
          <w:szCs w:val="24"/>
          <w:lang w:eastAsia="sk-SK"/>
        </w:rPr>
        <w:t xml:space="preserve"> v dennej forme štúdia. SOŠ vinársko-ovocinárska je špecifická škola s celoslovenskou pôsobnosťou. </w:t>
      </w:r>
    </w:p>
    <w:p w14:paraId="42548629"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8.3.37: Škola umeleckého priemyslu, Sklenárova 7,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3"/>
        <w:gridCol w:w="2724"/>
        <w:gridCol w:w="1210"/>
        <w:gridCol w:w="1212"/>
        <w:gridCol w:w="1081"/>
        <w:gridCol w:w="1208"/>
        <w:gridCol w:w="2428"/>
      </w:tblGrid>
      <w:tr w:rsidR="00B73FDB" w:rsidRPr="00B73FDB" w14:paraId="6AD627FB" w14:textId="77777777" w:rsidTr="00B73FDB">
        <w:trPr>
          <w:tblCellSpacing w:w="15" w:type="dxa"/>
        </w:trPr>
        <w:tc>
          <w:tcPr>
            <w:tcW w:w="266" w:type="pct"/>
            <w:shd w:val="clear" w:color="auto" w:fill="C6DBF7"/>
            <w:vAlign w:val="center"/>
            <w:hideMark/>
          </w:tcPr>
          <w:p w14:paraId="3FABB37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5" w:type="pct"/>
            <w:shd w:val="clear" w:color="auto" w:fill="C6DBF7"/>
            <w:vAlign w:val="center"/>
            <w:hideMark/>
          </w:tcPr>
          <w:p w14:paraId="39112E5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632B32A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0B42AD8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2" w:type="pct"/>
            <w:shd w:val="clear" w:color="auto" w:fill="C6DBF7"/>
            <w:vAlign w:val="center"/>
            <w:hideMark/>
          </w:tcPr>
          <w:p w14:paraId="1807AF6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2" w:type="pct"/>
            <w:shd w:val="clear" w:color="auto" w:fill="C6DBF7"/>
            <w:vAlign w:val="center"/>
            <w:hideMark/>
          </w:tcPr>
          <w:p w14:paraId="79E074A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32E734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39E4D951" w14:textId="77777777" w:rsidTr="00B73FDB">
        <w:trPr>
          <w:tblCellSpacing w:w="15" w:type="dxa"/>
        </w:trPr>
        <w:tc>
          <w:tcPr>
            <w:tcW w:w="266" w:type="pct"/>
            <w:shd w:val="clear" w:color="auto" w:fill="D9D9D9"/>
            <w:noWrap/>
            <w:vAlign w:val="center"/>
            <w:hideMark/>
          </w:tcPr>
          <w:p w14:paraId="34C8B056" w14:textId="77777777" w:rsidR="00B73FDB" w:rsidRPr="00B73FDB" w:rsidRDefault="00B73FDB" w:rsidP="00B73FDB">
            <w:pPr>
              <w:spacing w:after="0" w:line="240" w:lineRule="auto"/>
              <w:jc w:val="center"/>
              <w:rPr>
                <w:rFonts w:cs="Calibri"/>
                <w:sz w:val="18"/>
                <w:szCs w:val="18"/>
                <w:lang w:eastAsia="sk-SK"/>
              </w:rPr>
            </w:pPr>
          </w:p>
        </w:tc>
        <w:tc>
          <w:tcPr>
            <w:tcW w:w="1285" w:type="pct"/>
            <w:shd w:val="clear" w:color="auto" w:fill="D9D9D9"/>
            <w:vAlign w:val="center"/>
            <w:hideMark/>
          </w:tcPr>
          <w:p w14:paraId="1221994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2E02F2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1 760 188,00</w:t>
            </w:r>
            <w:r w:rsidRPr="00B73FDB">
              <w:rPr>
                <w:rFonts w:cs="Calibri"/>
                <w:sz w:val="18"/>
                <w:szCs w:val="18"/>
                <w:lang w:eastAsia="sk-SK"/>
              </w:rPr>
              <w:t xml:space="preserve"> </w:t>
            </w:r>
          </w:p>
        </w:tc>
        <w:tc>
          <w:tcPr>
            <w:tcW w:w="564" w:type="pct"/>
            <w:shd w:val="clear" w:color="auto" w:fill="D9D9D9"/>
            <w:noWrap/>
            <w:vAlign w:val="center"/>
            <w:hideMark/>
          </w:tcPr>
          <w:p w14:paraId="421BC03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1 780 876,00</w:t>
            </w:r>
            <w:r w:rsidRPr="00B73FDB">
              <w:rPr>
                <w:rFonts w:cs="Calibri"/>
                <w:sz w:val="18"/>
                <w:szCs w:val="18"/>
                <w:lang w:eastAsia="sk-SK"/>
              </w:rPr>
              <w:t xml:space="preserve"> </w:t>
            </w:r>
          </w:p>
        </w:tc>
        <w:tc>
          <w:tcPr>
            <w:tcW w:w="502" w:type="pct"/>
            <w:shd w:val="clear" w:color="auto" w:fill="D9D9D9"/>
            <w:noWrap/>
            <w:vAlign w:val="center"/>
            <w:hideMark/>
          </w:tcPr>
          <w:p w14:paraId="3DAA4F7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1 780 876,00</w:t>
            </w:r>
            <w:r w:rsidRPr="00B73FDB">
              <w:rPr>
                <w:rFonts w:cs="Calibri"/>
                <w:sz w:val="18"/>
                <w:szCs w:val="18"/>
                <w:lang w:eastAsia="sk-SK"/>
              </w:rPr>
              <w:t xml:space="preserve"> </w:t>
            </w:r>
          </w:p>
        </w:tc>
        <w:tc>
          <w:tcPr>
            <w:tcW w:w="562" w:type="pct"/>
            <w:shd w:val="clear" w:color="auto" w:fill="D9D9D9"/>
            <w:noWrap/>
            <w:vAlign w:val="center"/>
            <w:hideMark/>
          </w:tcPr>
          <w:p w14:paraId="49B7F66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val="restart"/>
            <w:shd w:val="clear" w:color="auto" w:fill="D9D9D9"/>
            <w:vAlign w:val="center"/>
            <w:hideMark/>
          </w:tcPr>
          <w:p w14:paraId="31759E2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+10 313,00 EUR</w:t>
            </w:r>
            <w:r w:rsidRPr="00B73FDB">
              <w:rPr>
                <w:rFonts w:cs="Calibri"/>
                <w:sz w:val="18"/>
                <w:szCs w:val="18"/>
                <w:lang w:eastAsia="sk-SK"/>
              </w:rPr>
              <w:t xml:space="preserve"> normatívne finančné prostriedky,</w:t>
            </w:r>
          </w:p>
          <w:p w14:paraId="0840D68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+134,00 EUR</w:t>
            </w:r>
            <w:r w:rsidRPr="00B73FDB">
              <w:rPr>
                <w:rFonts w:cs="Calibri"/>
                <w:sz w:val="18"/>
                <w:szCs w:val="18"/>
                <w:lang w:eastAsia="sk-SK"/>
              </w:rPr>
              <w:t xml:space="preserve"> normatívne finančné prostriedky na maturity,</w:t>
            </w:r>
          </w:p>
          <w:p w14:paraId="3A72876E"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+1 530,00 EUR</w:t>
            </w:r>
            <w:r w:rsidRPr="00B73FDB">
              <w:rPr>
                <w:rFonts w:cs="Calibri"/>
                <w:sz w:val="18"/>
                <w:szCs w:val="18"/>
                <w:lang w:eastAsia="sk-SK"/>
              </w:rPr>
              <w:t xml:space="preserve"> príspevok na rekreáciu zamestnancov,</w:t>
            </w:r>
          </w:p>
          <w:p w14:paraId="56C25C0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+621,00 EUR </w:t>
            </w:r>
            <w:r w:rsidRPr="00B73FDB">
              <w:rPr>
                <w:rFonts w:cs="Calibri"/>
                <w:sz w:val="18"/>
                <w:szCs w:val="18"/>
                <w:lang w:eastAsia="sk-SK"/>
              </w:rPr>
              <w:t>nenormatívne finančné prostriedky na vzdelávacie poukazy,</w:t>
            </w:r>
          </w:p>
          <w:p w14:paraId="7950726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+3 000,00 EUR</w:t>
            </w:r>
            <w:r w:rsidRPr="00B73FDB">
              <w:rPr>
                <w:rFonts w:cs="Calibri"/>
                <w:sz w:val="18"/>
                <w:szCs w:val="18"/>
                <w:lang w:eastAsia="sk-SK"/>
              </w:rPr>
              <w:t xml:space="preserve"> nenormatívne finančné prostriedky za mimoriadne výsledky žiakov,</w:t>
            </w:r>
          </w:p>
          <w:p w14:paraId="1E426DD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-2 260,00 EUR</w:t>
            </w:r>
            <w:r w:rsidRPr="00B73FDB">
              <w:rPr>
                <w:rFonts w:cs="Calibri"/>
                <w:sz w:val="18"/>
                <w:szCs w:val="18"/>
                <w:lang w:eastAsia="sk-SK"/>
              </w:rPr>
              <w:t xml:space="preserve"> odchodné do dôchodku,</w:t>
            </w:r>
          </w:p>
          <w:p w14:paraId="757C3AB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-150,00 EUR</w:t>
            </w:r>
            <w:r w:rsidRPr="00B73FDB">
              <w:rPr>
                <w:rFonts w:cs="Calibri"/>
                <w:sz w:val="18"/>
                <w:szCs w:val="18"/>
                <w:lang w:eastAsia="sk-SK"/>
              </w:rPr>
              <w:t xml:space="preserve"> nenormatívne finančné prostriedky na lyžiarske kurzy.</w:t>
            </w:r>
          </w:p>
        </w:tc>
      </w:tr>
      <w:tr w:rsidR="00B73FDB" w:rsidRPr="00B73FDB" w14:paraId="3726243F" w14:textId="77777777" w:rsidTr="00B73FDB">
        <w:trPr>
          <w:tblCellSpacing w:w="15" w:type="dxa"/>
        </w:trPr>
        <w:tc>
          <w:tcPr>
            <w:tcW w:w="266" w:type="pct"/>
            <w:shd w:val="clear" w:color="auto" w:fill="D9D9D9"/>
            <w:noWrap/>
            <w:vAlign w:val="center"/>
            <w:hideMark/>
          </w:tcPr>
          <w:p w14:paraId="1B71CEA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5" w:type="pct"/>
            <w:shd w:val="clear" w:color="auto" w:fill="D9D9D9"/>
            <w:vAlign w:val="center"/>
            <w:hideMark/>
          </w:tcPr>
          <w:p w14:paraId="7812529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71F6FD8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1 760 188,00</w:t>
            </w:r>
            <w:r w:rsidRPr="00B73FDB">
              <w:rPr>
                <w:rFonts w:cs="Calibri"/>
                <w:sz w:val="18"/>
                <w:szCs w:val="18"/>
                <w:lang w:eastAsia="sk-SK"/>
              </w:rPr>
              <w:t xml:space="preserve"> </w:t>
            </w:r>
          </w:p>
        </w:tc>
        <w:tc>
          <w:tcPr>
            <w:tcW w:w="564" w:type="pct"/>
            <w:shd w:val="clear" w:color="auto" w:fill="D9D9D9"/>
            <w:noWrap/>
            <w:vAlign w:val="center"/>
            <w:hideMark/>
          </w:tcPr>
          <w:p w14:paraId="2B686D4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1 773 376,00</w:t>
            </w:r>
            <w:r w:rsidRPr="00B73FDB">
              <w:rPr>
                <w:rFonts w:cs="Calibri"/>
                <w:sz w:val="18"/>
                <w:szCs w:val="18"/>
                <w:lang w:eastAsia="sk-SK"/>
              </w:rPr>
              <w:t xml:space="preserve"> </w:t>
            </w:r>
          </w:p>
        </w:tc>
        <w:tc>
          <w:tcPr>
            <w:tcW w:w="502" w:type="pct"/>
            <w:shd w:val="clear" w:color="auto" w:fill="D9D9D9"/>
            <w:noWrap/>
            <w:vAlign w:val="center"/>
            <w:hideMark/>
          </w:tcPr>
          <w:p w14:paraId="6034D2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1 773 376,00</w:t>
            </w:r>
            <w:r w:rsidRPr="00B73FDB">
              <w:rPr>
                <w:rFonts w:cs="Calibri"/>
                <w:sz w:val="18"/>
                <w:szCs w:val="18"/>
                <w:lang w:eastAsia="sk-SK"/>
              </w:rPr>
              <w:t xml:space="preserve"> </w:t>
            </w:r>
          </w:p>
        </w:tc>
        <w:tc>
          <w:tcPr>
            <w:tcW w:w="562" w:type="pct"/>
            <w:shd w:val="clear" w:color="auto" w:fill="D9D9D9"/>
            <w:noWrap/>
            <w:vAlign w:val="center"/>
            <w:hideMark/>
          </w:tcPr>
          <w:p w14:paraId="657A4C3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shd w:val="clear" w:color="auto" w:fill="D9D9D9"/>
            <w:vAlign w:val="center"/>
            <w:hideMark/>
          </w:tcPr>
          <w:p w14:paraId="1FCA8391" w14:textId="77777777" w:rsidR="00B73FDB" w:rsidRPr="00B73FDB" w:rsidRDefault="00B73FDB" w:rsidP="00B73FDB">
            <w:pPr>
              <w:spacing w:after="0" w:line="240" w:lineRule="auto"/>
              <w:rPr>
                <w:rFonts w:cs="Calibri"/>
                <w:sz w:val="18"/>
                <w:szCs w:val="18"/>
                <w:lang w:eastAsia="sk-SK"/>
              </w:rPr>
            </w:pPr>
          </w:p>
        </w:tc>
      </w:tr>
      <w:tr w:rsidR="00B73FDB" w:rsidRPr="00B73FDB" w14:paraId="3374700D" w14:textId="77777777" w:rsidTr="00B73FDB">
        <w:trPr>
          <w:tblCellSpacing w:w="15" w:type="dxa"/>
        </w:trPr>
        <w:tc>
          <w:tcPr>
            <w:tcW w:w="266" w:type="pct"/>
            <w:shd w:val="clear" w:color="auto" w:fill="EFEFEF"/>
            <w:noWrap/>
            <w:vAlign w:val="center"/>
            <w:hideMark/>
          </w:tcPr>
          <w:p w14:paraId="4D49652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5" w:type="pct"/>
            <w:shd w:val="clear" w:color="auto" w:fill="EFEFEF"/>
            <w:vAlign w:val="center"/>
            <w:hideMark/>
          </w:tcPr>
          <w:p w14:paraId="13BB0C2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09CCD18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1 760 188,00 </w:t>
            </w:r>
          </w:p>
        </w:tc>
        <w:tc>
          <w:tcPr>
            <w:tcW w:w="564" w:type="pct"/>
            <w:shd w:val="clear" w:color="auto" w:fill="EFEFEF"/>
            <w:noWrap/>
            <w:vAlign w:val="center"/>
            <w:hideMark/>
          </w:tcPr>
          <w:p w14:paraId="118E56A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1 773 376,00 </w:t>
            </w:r>
          </w:p>
        </w:tc>
        <w:tc>
          <w:tcPr>
            <w:tcW w:w="502" w:type="pct"/>
            <w:shd w:val="clear" w:color="auto" w:fill="EFEFEF"/>
            <w:noWrap/>
            <w:vAlign w:val="center"/>
            <w:hideMark/>
          </w:tcPr>
          <w:p w14:paraId="1C9FD44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1 773 376,00 </w:t>
            </w:r>
          </w:p>
        </w:tc>
        <w:tc>
          <w:tcPr>
            <w:tcW w:w="562" w:type="pct"/>
            <w:shd w:val="clear" w:color="auto" w:fill="EFEFEF"/>
            <w:noWrap/>
            <w:vAlign w:val="center"/>
            <w:hideMark/>
          </w:tcPr>
          <w:p w14:paraId="3A9FB92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1C8EF5B2" w14:textId="77777777" w:rsidR="00B73FDB" w:rsidRPr="00B73FDB" w:rsidRDefault="00B73FDB" w:rsidP="00B73FDB">
            <w:pPr>
              <w:spacing w:after="0" w:line="240" w:lineRule="auto"/>
              <w:rPr>
                <w:rFonts w:cs="Calibri"/>
                <w:sz w:val="18"/>
                <w:szCs w:val="18"/>
                <w:lang w:eastAsia="sk-SK"/>
              </w:rPr>
            </w:pPr>
          </w:p>
        </w:tc>
      </w:tr>
      <w:tr w:rsidR="00B73FDB" w:rsidRPr="00B73FDB" w14:paraId="0DECDDD6" w14:textId="77777777" w:rsidTr="00B73FDB">
        <w:trPr>
          <w:tblCellSpacing w:w="15" w:type="dxa"/>
        </w:trPr>
        <w:tc>
          <w:tcPr>
            <w:tcW w:w="266" w:type="pct"/>
            <w:shd w:val="clear" w:color="auto" w:fill="D9D9D9"/>
            <w:noWrap/>
            <w:vAlign w:val="center"/>
          </w:tcPr>
          <w:p w14:paraId="14FB7A04"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700</w:t>
            </w:r>
          </w:p>
        </w:tc>
        <w:tc>
          <w:tcPr>
            <w:tcW w:w="1285" w:type="pct"/>
            <w:shd w:val="clear" w:color="auto" w:fill="D9D9D9"/>
            <w:vAlign w:val="center"/>
          </w:tcPr>
          <w:p w14:paraId="0E84B662"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Kapitálové výdavky</w:t>
            </w:r>
          </w:p>
        </w:tc>
        <w:tc>
          <w:tcPr>
            <w:tcW w:w="563" w:type="pct"/>
            <w:shd w:val="clear" w:color="auto" w:fill="D9D9D9"/>
            <w:noWrap/>
            <w:vAlign w:val="center"/>
          </w:tcPr>
          <w:p w14:paraId="145599A8"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564" w:type="pct"/>
            <w:shd w:val="clear" w:color="auto" w:fill="D9D9D9"/>
            <w:noWrap/>
            <w:vAlign w:val="center"/>
          </w:tcPr>
          <w:p w14:paraId="32F48385"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7 500,00</w:t>
            </w:r>
          </w:p>
        </w:tc>
        <w:tc>
          <w:tcPr>
            <w:tcW w:w="502" w:type="pct"/>
            <w:shd w:val="clear" w:color="auto" w:fill="D9D9D9"/>
            <w:noWrap/>
            <w:vAlign w:val="center"/>
          </w:tcPr>
          <w:p w14:paraId="696655B6"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7 500,00</w:t>
            </w:r>
          </w:p>
        </w:tc>
        <w:tc>
          <w:tcPr>
            <w:tcW w:w="562" w:type="pct"/>
            <w:shd w:val="clear" w:color="auto" w:fill="D9D9D9"/>
            <w:noWrap/>
            <w:vAlign w:val="center"/>
          </w:tcPr>
          <w:p w14:paraId="15F32380"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100,00</w:t>
            </w:r>
          </w:p>
        </w:tc>
        <w:tc>
          <w:tcPr>
            <w:tcW w:w="1137" w:type="pct"/>
            <w:vMerge w:val="restart"/>
            <w:shd w:val="clear" w:color="auto" w:fill="D9D9D9"/>
            <w:vAlign w:val="center"/>
          </w:tcPr>
          <w:p w14:paraId="2BA5AD0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+7 500,00 EUR</w:t>
            </w:r>
            <w:r w:rsidRPr="00B73FDB">
              <w:rPr>
                <w:rFonts w:cs="Calibri"/>
                <w:sz w:val="18"/>
                <w:szCs w:val="18"/>
                <w:lang w:eastAsia="sk-SK"/>
              </w:rPr>
              <w:t xml:space="preserve"> účelová dotácia – nákup </w:t>
            </w:r>
            <w:proofErr w:type="spellStart"/>
            <w:r w:rsidRPr="00B73FDB">
              <w:rPr>
                <w:rFonts w:cs="Calibri"/>
                <w:sz w:val="18"/>
                <w:szCs w:val="18"/>
                <w:lang w:eastAsia="sk-SK"/>
              </w:rPr>
              <w:t>termokamery</w:t>
            </w:r>
            <w:proofErr w:type="spellEnd"/>
            <w:r w:rsidRPr="00B73FDB">
              <w:rPr>
                <w:rFonts w:cs="Calibri"/>
                <w:sz w:val="18"/>
                <w:szCs w:val="18"/>
                <w:lang w:eastAsia="sk-SK"/>
              </w:rPr>
              <w:t>.</w:t>
            </w:r>
          </w:p>
        </w:tc>
      </w:tr>
      <w:tr w:rsidR="00B73FDB" w:rsidRPr="00B73FDB" w14:paraId="53268628" w14:textId="77777777" w:rsidTr="00B73FDB">
        <w:trPr>
          <w:tblCellSpacing w:w="15" w:type="dxa"/>
        </w:trPr>
        <w:tc>
          <w:tcPr>
            <w:tcW w:w="266" w:type="pct"/>
            <w:shd w:val="clear" w:color="auto" w:fill="EFEFEF"/>
            <w:noWrap/>
            <w:vAlign w:val="center"/>
          </w:tcPr>
          <w:p w14:paraId="530715D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720</w:t>
            </w:r>
          </w:p>
        </w:tc>
        <w:tc>
          <w:tcPr>
            <w:tcW w:w="1285" w:type="pct"/>
            <w:shd w:val="clear" w:color="auto" w:fill="EFEFEF"/>
            <w:vAlign w:val="center"/>
          </w:tcPr>
          <w:p w14:paraId="51DE7ED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Kapitálové transfery</w:t>
            </w:r>
          </w:p>
        </w:tc>
        <w:tc>
          <w:tcPr>
            <w:tcW w:w="563" w:type="pct"/>
            <w:shd w:val="clear" w:color="auto" w:fill="EFEFEF"/>
            <w:noWrap/>
            <w:vAlign w:val="center"/>
          </w:tcPr>
          <w:p w14:paraId="5FB43FB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64" w:type="pct"/>
            <w:shd w:val="clear" w:color="auto" w:fill="EFEFEF"/>
            <w:noWrap/>
            <w:vAlign w:val="center"/>
          </w:tcPr>
          <w:p w14:paraId="20FC376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7 500,00</w:t>
            </w:r>
          </w:p>
        </w:tc>
        <w:tc>
          <w:tcPr>
            <w:tcW w:w="502" w:type="pct"/>
            <w:shd w:val="clear" w:color="auto" w:fill="EFEFEF"/>
            <w:noWrap/>
            <w:vAlign w:val="center"/>
          </w:tcPr>
          <w:p w14:paraId="06E5420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7 500,00</w:t>
            </w:r>
          </w:p>
        </w:tc>
        <w:tc>
          <w:tcPr>
            <w:tcW w:w="562" w:type="pct"/>
            <w:shd w:val="clear" w:color="auto" w:fill="EFEFEF"/>
            <w:noWrap/>
            <w:vAlign w:val="center"/>
          </w:tcPr>
          <w:p w14:paraId="2423E74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100,00</w:t>
            </w:r>
          </w:p>
        </w:tc>
        <w:tc>
          <w:tcPr>
            <w:tcW w:w="1137" w:type="pct"/>
            <w:vMerge/>
            <w:shd w:val="clear" w:color="auto" w:fill="EFEFEF"/>
            <w:vAlign w:val="center"/>
          </w:tcPr>
          <w:p w14:paraId="106D7B79" w14:textId="77777777" w:rsidR="00B73FDB" w:rsidRPr="00B73FDB" w:rsidRDefault="00B73FDB" w:rsidP="00B73FDB">
            <w:pPr>
              <w:spacing w:after="0" w:line="240" w:lineRule="auto"/>
              <w:rPr>
                <w:rFonts w:cs="Calibri"/>
                <w:sz w:val="18"/>
                <w:szCs w:val="18"/>
                <w:lang w:eastAsia="sk-SK"/>
              </w:rPr>
            </w:pPr>
          </w:p>
        </w:tc>
      </w:tr>
    </w:tbl>
    <w:p w14:paraId="07F58506"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47E26FE1" w14:textId="77777777" w:rsidTr="00B73FDB">
        <w:trPr>
          <w:tblCellSpacing w:w="15" w:type="dxa"/>
        </w:trPr>
        <w:tc>
          <w:tcPr>
            <w:tcW w:w="0" w:type="auto"/>
            <w:shd w:val="clear" w:color="auto" w:fill="C2D69B"/>
            <w:vAlign w:val="center"/>
            <w:hideMark/>
          </w:tcPr>
          <w:p w14:paraId="70FCFE8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34BCBE6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F2C24F2" w14:textId="77777777" w:rsidTr="00B73FDB">
        <w:trPr>
          <w:tblCellSpacing w:w="15" w:type="dxa"/>
        </w:trPr>
        <w:tc>
          <w:tcPr>
            <w:tcW w:w="0" w:type="auto"/>
            <w:shd w:val="clear" w:color="auto" w:fill="C2D69B"/>
            <w:vAlign w:val="center"/>
            <w:hideMark/>
          </w:tcPr>
          <w:p w14:paraId="54EAF67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54FED48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02BEB8D0" w14:textId="77777777" w:rsidTr="00B73FDB">
        <w:trPr>
          <w:tblCellSpacing w:w="15" w:type="dxa"/>
        </w:trPr>
        <w:tc>
          <w:tcPr>
            <w:tcW w:w="0" w:type="auto"/>
            <w:shd w:val="clear" w:color="auto" w:fill="C2D69B"/>
            <w:vAlign w:val="center"/>
            <w:hideMark/>
          </w:tcPr>
          <w:p w14:paraId="6B9232F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2B988B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0A8BF221" w14:textId="77777777" w:rsidTr="00B73FDB">
        <w:trPr>
          <w:tblCellSpacing w:w="15" w:type="dxa"/>
        </w:trPr>
        <w:tc>
          <w:tcPr>
            <w:tcW w:w="0" w:type="auto"/>
            <w:shd w:val="clear" w:color="auto" w:fill="C2D69B"/>
            <w:vAlign w:val="center"/>
            <w:hideMark/>
          </w:tcPr>
          <w:p w14:paraId="69C4BF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3BEDDDF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F68A6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CCBDD9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401224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CAA9DF7" w14:textId="77777777" w:rsidTr="00B73FDB">
        <w:trPr>
          <w:tblCellSpacing w:w="15" w:type="dxa"/>
        </w:trPr>
        <w:tc>
          <w:tcPr>
            <w:tcW w:w="0" w:type="auto"/>
            <w:shd w:val="clear" w:color="auto" w:fill="C2D69B"/>
            <w:vAlign w:val="center"/>
            <w:hideMark/>
          </w:tcPr>
          <w:p w14:paraId="35D49FA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8FD7DF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349 </w:t>
            </w:r>
          </w:p>
        </w:tc>
        <w:tc>
          <w:tcPr>
            <w:tcW w:w="0" w:type="auto"/>
            <w:shd w:val="clear" w:color="auto" w:fill="C2D69B"/>
            <w:noWrap/>
            <w:vAlign w:val="center"/>
            <w:hideMark/>
          </w:tcPr>
          <w:p w14:paraId="6FD664B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383 </w:t>
            </w:r>
          </w:p>
        </w:tc>
        <w:tc>
          <w:tcPr>
            <w:tcW w:w="0" w:type="auto"/>
            <w:shd w:val="clear" w:color="auto" w:fill="C2D69B"/>
            <w:vAlign w:val="center"/>
            <w:hideMark/>
          </w:tcPr>
          <w:p w14:paraId="0EE1ACB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2AC078F"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7CF8C2E4" w14:textId="77777777" w:rsidTr="00B73FDB">
        <w:trPr>
          <w:tblCellSpacing w:w="15" w:type="dxa"/>
        </w:trPr>
        <w:tc>
          <w:tcPr>
            <w:tcW w:w="0" w:type="auto"/>
            <w:shd w:val="clear" w:color="auto" w:fill="C2D69B"/>
            <w:vAlign w:val="center"/>
            <w:hideMark/>
          </w:tcPr>
          <w:p w14:paraId="587ADC3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C5FA98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075B8CD1" w14:textId="77777777" w:rsidTr="00B73FDB">
        <w:trPr>
          <w:tblCellSpacing w:w="15" w:type="dxa"/>
        </w:trPr>
        <w:tc>
          <w:tcPr>
            <w:tcW w:w="0" w:type="auto"/>
            <w:shd w:val="clear" w:color="auto" w:fill="C2D69B"/>
            <w:vAlign w:val="center"/>
            <w:hideMark/>
          </w:tcPr>
          <w:p w14:paraId="6E598D0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7C851F0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A048B1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B58BDB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672A61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D652B43" w14:textId="77777777" w:rsidTr="00B73FDB">
        <w:trPr>
          <w:tblCellSpacing w:w="15" w:type="dxa"/>
        </w:trPr>
        <w:tc>
          <w:tcPr>
            <w:tcW w:w="0" w:type="auto"/>
            <w:shd w:val="clear" w:color="auto" w:fill="C2D69B"/>
            <w:vAlign w:val="center"/>
            <w:hideMark/>
          </w:tcPr>
          <w:p w14:paraId="5E35DF1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3BBE21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349 </w:t>
            </w:r>
          </w:p>
        </w:tc>
        <w:tc>
          <w:tcPr>
            <w:tcW w:w="0" w:type="auto"/>
            <w:shd w:val="clear" w:color="auto" w:fill="C2D69B"/>
            <w:noWrap/>
            <w:vAlign w:val="center"/>
            <w:hideMark/>
          </w:tcPr>
          <w:p w14:paraId="69DDBF2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383 </w:t>
            </w:r>
          </w:p>
        </w:tc>
        <w:tc>
          <w:tcPr>
            <w:tcW w:w="0" w:type="auto"/>
            <w:shd w:val="clear" w:color="auto" w:fill="C2D69B"/>
            <w:vAlign w:val="center"/>
            <w:hideMark/>
          </w:tcPr>
          <w:p w14:paraId="7AFA645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2E7B059" w14:textId="77777777" w:rsidR="00B73FDB" w:rsidRPr="00B73FDB" w:rsidRDefault="00B73FDB" w:rsidP="00B73FDB">
            <w:pPr>
              <w:spacing w:after="0" w:line="240" w:lineRule="auto"/>
              <w:jc w:val="center"/>
              <w:rPr>
                <w:rFonts w:cs="Calibri"/>
                <w:sz w:val="18"/>
                <w:szCs w:val="18"/>
                <w:lang w:eastAsia="sk-SK"/>
              </w:rPr>
            </w:pPr>
          </w:p>
        </w:tc>
      </w:tr>
    </w:tbl>
    <w:p w14:paraId="6D397697"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študijných odborov je na umenie a umeleckoremeselnú tvorbu, scénické výtvarníctvo. Ide o dennú formu štúdia. Škola je zaradená medzi umeleckými školami. </w:t>
      </w:r>
    </w:p>
    <w:p w14:paraId="5087631C"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8.3.38: SOŠ </w:t>
      </w:r>
      <w:proofErr w:type="spellStart"/>
      <w:r w:rsidRPr="00352CED">
        <w:rPr>
          <w:rFonts w:ascii="Calibri" w:hAnsi="Calibri" w:cs="Calibri"/>
          <w:b/>
          <w:color w:val="244061"/>
        </w:rPr>
        <w:t>beauty</w:t>
      </w:r>
      <w:proofErr w:type="spellEnd"/>
      <w:r w:rsidRPr="00352CED">
        <w:rPr>
          <w:rFonts w:ascii="Calibri" w:hAnsi="Calibri" w:cs="Calibri"/>
          <w:b/>
          <w:color w:val="244061"/>
        </w:rPr>
        <w:t xml:space="preserve"> služieb, Račianska 105,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35"/>
        <w:gridCol w:w="1212"/>
        <w:gridCol w:w="1212"/>
        <w:gridCol w:w="1061"/>
        <w:gridCol w:w="1212"/>
        <w:gridCol w:w="2426"/>
      </w:tblGrid>
      <w:tr w:rsidR="00B73FDB" w:rsidRPr="00B73FDB" w14:paraId="0B3E61EE" w14:textId="77777777" w:rsidTr="00B73FDB">
        <w:trPr>
          <w:tblCellSpacing w:w="15" w:type="dxa"/>
        </w:trPr>
        <w:tc>
          <w:tcPr>
            <w:tcW w:w="268" w:type="pct"/>
            <w:shd w:val="clear" w:color="auto" w:fill="C6DBF7"/>
            <w:vAlign w:val="center"/>
            <w:hideMark/>
          </w:tcPr>
          <w:p w14:paraId="74F2048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90" w:type="pct"/>
            <w:shd w:val="clear" w:color="auto" w:fill="C6DBF7"/>
            <w:vAlign w:val="center"/>
            <w:hideMark/>
          </w:tcPr>
          <w:p w14:paraId="03A3D92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3FCF673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12B6A67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041CA05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593ECD5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5957755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A7FBF06" w14:textId="77777777" w:rsidTr="00B73FDB">
        <w:trPr>
          <w:tblCellSpacing w:w="15" w:type="dxa"/>
        </w:trPr>
        <w:tc>
          <w:tcPr>
            <w:tcW w:w="268" w:type="pct"/>
            <w:shd w:val="clear" w:color="auto" w:fill="D9D9D9"/>
            <w:noWrap/>
            <w:vAlign w:val="center"/>
            <w:hideMark/>
          </w:tcPr>
          <w:p w14:paraId="733FA593" w14:textId="77777777" w:rsidR="00B73FDB" w:rsidRPr="00B73FDB" w:rsidRDefault="00B73FDB" w:rsidP="00B73FDB">
            <w:pPr>
              <w:spacing w:after="0" w:line="240" w:lineRule="auto"/>
              <w:jc w:val="center"/>
              <w:rPr>
                <w:rFonts w:cs="Calibri"/>
                <w:sz w:val="18"/>
                <w:szCs w:val="18"/>
                <w:lang w:eastAsia="sk-SK"/>
              </w:rPr>
            </w:pPr>
          </w:p>
        </w:tc>
        <w:tc>
          <w:tcPr>
            <w:tcW w:w="1290" w:type="pct"/>
            <w:shd w:val="clear" w:color="auto" w:fill="D9D9D9"/>
            <w:vAlign w:val="center"/>
            <w:hideMark/>
          </w:tcPr>
          <w:p w14:paraId="6BBFE87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3C471FC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885 700,00</w:t>
            </w:r>
            <w:r w:rsidRPr="00B73FDB">
              <w:rPr>
                <w:rFonts w:cs="Calibri"/>
                <w:sz w:val="18"/>
                <w:szCs w:val="18"/>
                <w:lang w:eastAsia="sk-SK"/>
              </w:rPr>
              <w:t xml:space="preserve"> </w:t>
            </w:r>
          </w:p>
        </w:tc>
        <w:tc>
          <w:tcPr>
            <w:tcW w:w="564" w:type="pct"/>
            <w:shd w:val="clear" w:color="auto" w:fill="D9D9D9"/>
            <w:noWrap/>
            <w:vAlign w:val="center"/>
            <w:hideMark/>
          </w:tcPr>
          <w:p w14:paraId="0F9B3F2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923 643,00</w:t>
            </w:r>
            <w:r w:rsidRPr="00B73FDB">
              <w:rPr>
                <w:rFonts w:cs="Calibri"/>
                <w:sz w:val="18"/>
                <w:szCs w:val="18"/>
                <w:lang w:eastAsia="sk-SK"/>
              </w:rPr>
              <w:t xml:space="preserve"> </w:t>
            </w:r>
          </w:p>
        </w:tc>
        <w:tc>
          <w:tcPr>
            <w:tcW w:w="492" w:type="pct"/>
            <w:shd w:val="clear" w:color="auto" w:fill="D9D9D9"/>
            <w:noWrap/>
            <w:vAlign w:val="center"/>
            <w:hideMark/>
          </w:tcPr>
          <w:p w14:paraId="51D2B2E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923 643,00</w:t>
            </w:r>
            <w:r w:rsidRPr="00B73FDB">
              <w:rPr>
                <w:rFonts w:cs="Calibri"/>
                <w:sz w:val="18"/>
                <w:szCs w:val="18"/>
                <w:lang w:eastAsia="sk-SK"/>
              </w:rPr>
              <w:t xml:space="preserve"> </w:t>
            </w:r>
          </w:p>
        </w:tc>
        <w:tc>
          <w:tcPr>
            <w:tcW w:w="564" w:type="pct"/>
            <w:shd w:val="clear" w:color="auto" w:fill="D9D9D9"/>
            <w:noWrap/>
            <w:vAlign w:val="center"/>
            <w:hideMark/>
          </w:tcPr>
          <w:p w14:paraId="1B262BC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226B0FD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+34 776,00 EUR</w:t>
            </w:r>
            <w:r w:rsidRPr="00B73FDB">
              <w:rPr>
                <w:rFonts w:cs="Calibri"/>
                <w:sz w:val="18"/>
                <w:szCs w:val="18"/>
                <w:lang w:eastAsia="sk-SK"/>
              </w:rPr>
              <w:t xml:space="preserve"> normatívne finančné prostriedky,</w:t>
            </w:r>
          </w:p>
          <w:p w14:paraId="004AB58C"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+47,00 EUR</w:t>
            </w:r>
            <w:r w:rsidRPr="00B73FDB">
              <w:rPr>
                <w:rFonts w:cs="Calibri"/>
                <w:sz w:val="18"/>
                <w:szCs w:val="18"/>
                <w:lang w:eastAsia="sk-SK"/>
              </w:rPr>
              <w:t xml:space="preserve"> normatívne finančné prostriedky na maturity,</w:t>
            </w:r>
          </w:p>
          <w:p w14:paraId="4D236F8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-1 326,00 EUR </w:t>
            </w:r>
            <w:r w:rsidRPr="00B73FDB">
              <w:rPr>
                <w:rFonts w:cs="Calibri"/>
                <w:sz w:val="18"/>
                <w:szCs w:val="18"/>
                <w:lang w:eastAsia="sk-SK"/>
              </w:rPr>
              <w:t>nenormatívne finančné prostriedky na vzdelávacie poukazy,</w:t>
            </w:r>
          </w:p>
          <w:p w14:paraId="637BA78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+1 000,00 EUR</w:t>
            </w:r>
            <w:r w:rsidRPr="00B73FDB">
              <w:rPr>
                <w:rFonts w:cs="Calibri"/>
                <w:sz w:val="18"/>
                <w:szCs w:val="18"/>
                <w:lang w:eastAsia="sk-SK"/>
              </w:rPr>
              <w:t xml:space="preserve"> nenormatívne finančné prostriedky za mimoriadne výsledky žiakov,</w:t>
            </w:r>
          </w:p>
          <w:p w14:paraId="19D6C17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+4 796,00 EUR</w:t>
            </w:r>
            <w:r w:rsidRPr="00B73FDB">
              <w:rPr>
                <w:rFonts w:cs="Calibri"/>
                <w:sz w:val="18"/>
                <w:szCs w:val="18"/>
                <w:lang w:eastAsia="sk-SK"/>
              </w:rPr>
              <w:t xml:space="preserve"> odchodné do dôchodku,</w:t>
            </w:r>
          </w:p>
          <w:p w14:paraId="5EC8700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-1 350,00 EUR</w:t>
            </w:r>
            <w:r w:rsidRPr="00B73FDB">
              <w:rPr>
                <w:rFonts w:cs="Calibri"/>
                <w:sz w:val="18"/>
                <w:szCs w:val="18"/>
                <w:lang w:eastAsia="sk-SK"/>
              </w:rPr>
              <w:t xml:space="preserve"> nenormatívne finančné prostriedky na lyžiarske kurzy.</w:t>
            </w:r>
          </w:p>
        </w:tc>
      </w:tr>
      <w:tr w:rsidR="00B73FDB" w:rsidRPr="00B73FDB" w14:paraId="0141D1BD" w14:textId="77777777" w:rsidTr="00B73FDB">
        <w:trPr>
          <w:tblCellSpacing w:w="15" w:type="dxa"/>
        </w:trPr>
        <w:tc>
          <w:tcPr>
            <w:tcW w:w="268" w:type="pct"/>
            <w:shd w:val="clear" w:color="auto" w:fill="D9D9D9"/>
            <w:noWrap/>
            <w:vAlign w:val="center"/>
            <w:hideMark/>
          </w:tcPr>
          <w:p w14:paraId="21D01F4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90" w:type="pct"/>
            <w:shd w:val="clear" w:color="auto" w:fill="D9D9D9"/>
            <w:vAlign w:val="center"/>
            <w:hideMark/>
          </w:tcPr>
          <w:p w14:paraId="484C8EF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3C150E4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885 700,00</w:t>
            </w:r>
            <w:r w:rsidRPr="00B73FDB">
              <w:rPr>
                <w:rFonts w:cs="Calibri"/>
                <w:sz w:val="18"/>
                <w:szCs w:val="18"/>
                <w:lang w:eastAsia="sk-SK"/>
              </w:rPr>
              <w:t xml:space="preserve"> </w:t>
            </w:r>
          </w:p>
        </w:tc>
        <w:tc>
          <w:tcPr>
            <w:tcW w:w="564" w:type="pct"/>
            <w:shd w:val="clear" w:color="auto" w:fill="D9D9D9"/>
            <w:noWrap/>
            <w:vAlign w:val="center"/>
            <w:hideMark/>
          </w:tcPr>
          <w:p w14:paraId="0ED1289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923 643,00</w:t>
            </w:r>
            <w:r w:rsidRPr="00B73FDB">
              <w:rPr>
                <w:rFonts w:cs="Calibri"/>
                <w:sz w:val="18"/>
                <w:szCs w:val="18"/>
                <w:lang w:eastAsia="sk-SK"/>
              </w:rPr>
              <w:t xml:space="preserve"> </w:t>
            </w:r>
          </w:p>
        </w:tc>
        <w:tc>
          <w:tcPr>
            <w:tcW w:w="492" w:type="pct"/>
            <w:shd w:val="clear" w:color="auto" w:fill="D9D9D9"/>
            <w:noWrap/>
            <w:vAlign w:val="center"/>
            <w:hideMark/>
          </w:tcPr>
          <w:p w14:paraId="090DD85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923 643,00</w:t>
            </w:r>
            <w:r w:rsidRPr="00B73FDB">
              <w:rPr>
                <w:rFonts w:cs="Calibri"/>
                <w:sz w:val="18"/>
                <w:szCs w:val="18"/>
                <w:lang w:eastAsia="sk-SK"/>
              </w:rPr>
              <w:t xml:space="preserve"> </w:t>
            </w:r>
          </w:p>
        </w:tc>
        <w:tc>
          <w:tcPr>
            <w:tcW w:w="564" w:type="pct"/>
            <w:shd w:val="clear" w:color="auto" w:fill="D9D9D9"/>
            <w:noWrap/>
            <w:vAlign w:val="center"/>
            <w:hideMark/>
          </w:tcPr>
          <w:p w14:paraId="7330FB4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3925FC03" w14:textId="77777777" w:rsidR="00B73FDB" w:rsidRPr="00B73FDB" w:rsidRDefault="00B73FDB" w:rsidP="00B73FDB">
            <w:pPr>
              <w:spacing w:after="0" w:line="240" w:lineRule="auto"/>
              <w:rPr>
                <w:rFonts w:cs="Calibri"/>
                <w:sz w:val="18"/>
                <w:szCs w:val="18"/>
                <w:lang w:eastAsia="sk-SK"/>
              </w:rPr>
            </w:pPr>
          </w:p>
        </w:tc>
      </w:tr>
      <w:tr w:rsidR="00B73FDB" w:rsidRPr="00B73FDB" w14:paraId="2682D246" w14:textId="77777777" w:rsidTr="00B73FDB">
        <w:trPr>
          <w:tblCellSpacing w:w="15" w:type="dxa"/>
        </w:trPr>
        <w:tc>
          <w:tcPr>
            <w:tcW w:w="268" w:type="pct"/>
            <w:shd w:val="clear" w:color="auto" w:fill="EFEFEF"/>
            <w:noWrap/>
            <w:vAlign w:val="center"/>
            <w:hideMark/>
          </w:tcPr>
          <w:p w14:paraId="5518008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90" w:type="pct"/>
            <w:shd w:val="clear" w:color="auto" w:fill="EFEFEF"/>
            <w:vAlign w:val="center"/>
            <w:hideMark/>
          </w:tcPr>
          <w:p w14:paraId="14D9E03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057C604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885 700,00 </w:t>
            </w:r>
          </w:p>
        </w:tc>
        <w:tc>
          <w:tcPr>
            <w:tcW w:w="564" w:type="pct"/>
            <w:shd w:val="clear" w:color="auto" w:fill="EFEFEF"/>
            <w:noWrap/>
            <w:vAlign w:val="center"/>
            <w:hideMark/>
          </w:tcPr>
          <w:p w14:paraId="0F8533C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923 643,00 </w:t>
            </w:r>
          </w:p>
        </w:tc>
        <w:tc>
          <w:tcPr>
            <w:tcW w:w="492" w:type="pct"/>
            <w:shd w:val="clear" w:color="auto" w:fill="EFEFEF"/>
            <w:noWrap/>
            <w:vAlign w:val="center"/>
            <w:hideMark/>
          </w:tcPr>
          <w:p w14:paraId="0420C39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923 643,00 </w:t>
            </w:r>
          </w:p>
        </w:tc>
        <w:tc>
          <w:tcPr>
            <w:tcW w:w="564" w:type="pct"/>
            <w:shd w:val="clear" w:color="auto" w:fill="EFEFEF"/>
            <w:noWrap/>
            <w:vAlign w:val="center"/>
            <w:hideMark/>
          </w:tcPr>
          <w:p w14:paraId="77FC77A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B8849C5" w14:textId="77777777" w:rsidR="00B73FDB" w:rsidRPr="00B73FDB" w:rsidRDefault="00B73FDB" w:rsidP="00B73FDB">
            <w:pPr>
              <w:spacing w:after="0" w:line="240" w:lineRule="auto"/>
              <w:rPr>
                <w:rFonts w:cs="Calibri"/>
                <w:sz w:val="18"/>
                <w:szCs w:val="18"/>
                <w:lang w:eastAsia="sk-SK"/>
              </w:rPr>
            </w:pPr>
          </w:p>
        </w:tc>
      </w:tr>
    </w:tbl>
    <w:p w14:paraId="03C99AC1"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780B084E" w14:textId="77777777" w:rsidTr="00B73FDB">
        <w:trPr>
          <w:tblCellSpacing w:w="15" w:type="dxa"/>
        </w:trPr>
        <w:tc>
          <w:tcPr>
            <w:tcW w:w="0" w:type="auto"/>
            <w:shd w:val="clear" w:color="auto" w:fill="C2D69B"/>
            <w:vAlign w:val="center"/>
            <w:hideMark/>
          </w:tcPr>
          <w:p w14:paraId="684290F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Zodpovednosť</w:t>
            </w:r>
          </w:p>
        </w:tc>
        <w:tc>
          <w:tcPr>
            <w:tcW w:w="0" w:type="auto"/>
            <w:gridSpan w:val="4"/>
            <w:shd w:val="clear" w:color="auto" w:fill="C2D69B"/>
            <w:vAlign w:val="center"/>
            <w:hideMark/>
          </w:tcPr>
          <w:p w14:paraId="5CC1208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E578A8C" w14:textId="77777777" w:rsidTr="00B73FDB">
        <w:trPr>
          <w:tblCellSpacing w:w="15" w:type="dxa"/>
        </w:trPr>
        <w:tc>
          <w:tcPr>
            <w:tcW w:w="0" w:type="auto"/>
            <w:shd w:val="clear" w:color="auto" w:fill="C2D69B"/>
            <w:vAlign w:val="center"/>
            <w:hideMark/>
          </w:tcPr>
          <w:p w14:paraId="5A4A89E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89A310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2AE461CA" w14:textId="77777777" w:rsidTr="00B73FDB">
        <w:trPr>
          <w:tblCellSpacing w:w="15" w:type="dxa"/>
        </w:trPr>
        <w:tc>
          <w:tcPr>
            <w:tcW w:w="0" w:type="auto"/>
            <w:shd w:val="clear" w:color="auto" w:fill="C2D69B"/>
            <w:vAlign w:val="center"/>
            <w:hideMark/>
          </w:tcPr>
          <w:p w14:paraId="0F6AEEE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45C102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6BF49806" w14:textId="77777777" w:rsidTr="00B73FDB">
        <w:trPr>
          <w:tblCellSpacing w:w="15" w:type="dxa"/>
        </w:trPr>
        <w:tc>
          <w:tcPr>
            <w:tcW w:w="0" w:type="auto"/>
            <w:shd w:val="clear" w:color="auto" w:fill="C2D69B"/>
            <w:vAlign w:val="center"/>
            <w:hideMark/>
          </w:tcPr>
          <w:p w14:paraId="1688500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6723D7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7AC9E7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4477FA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5F9671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C14FA9D" w14:textId="77777777" w:rsidTr="00B73FDB">
        <w:trPr>
          <w:tblCellSpacing w:w="15" w:type="dxa"/>
        </w:trPr>
        <w:tc>
          <w:tcPr>
            <w:tcW w:w="0" w:type="auto"/>
            <w:shd w:val="clear" w:color="auto" w:fill="C2D69B"/>
            <w:vAlign w:val="center"/>
            <w:hideMark/>
          </w:tcPr>
          <w:p w14:paraId="217900A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A1A3AC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270 </w:t>
            </w:r>
          </w:p>
        </w:tc>
        <w:tc>
          <w:tcPr>
            <w:tcW w:w="0" w:type="auto"/>
            <w:shd w:val="clear" w:color="auto" w:fill="C2D69B"/>
            <w:noWrap/>
            <w:vAlign w:val="center"/>
            <w:hideMark/>
          </w:tcPr>
          <w:p w14:paraId="1B4D4AF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269 </w:t>
            </w:r>
          </w:p>
        </w:tc>
        <w:tc>
          <w:tcPr>
            <w:tcW w:w="0" w:type="auto"/>
            <w:shd w:val="clear" w:color="auto" w:fill="C2D69B"/>
            <w:vAlign w:val="center"/>
            <w:hideMark/>
          </w:tcPr>
          <w:p w14:paraId="7F41D6C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1BDA2D9F"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8FA8C3D" w14:textId="77777777" w:rsidTr="00B73FDB">
        <w:trPr>
          <w:tblCellSpacing w:w="15" w:type="dxa"/>
        </w:trPr>
        <w:tc>
          <w:tcPr>
            <w:tcW w:w="0" w:type="auto"/>
            <w:shd w:val="clear" w:color="auto" w:fill="C2D69B"/>
            <w:vAlign w:val="center"/>
            <w:hideMark/>
          </w:tcPr>
          <w:p w14:paraId="6BDF284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B1A3F4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408734DE" w14:textId="77777777" w:rsidTr="00B73FDB">
        <w:trPr>
          <w:tblCellSpacing w:w="15" w:type="dxa"/>
        </w:trPr>
        <w:tc>
          <w:tcPr>
            <w:tcW w:w="0" w:type="auto"/>
            <w:shd w:val="clear" w:color="auto" w:fill="C2D69B"/>
            <w:vAlign w:val="center"/>
            <w:hideMark/>
          </w:tcPr>
          <w:p w14:paraId="6EE2ED5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2B7A24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9DA6EA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BD451E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B5755E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A1EC934" w14:textId="77777777" w:rsidTr="00B73FDB">
        <w:trPr>
          <w:tblCellSpacing w:w="15" w:type="dxa"/>
        </w:trPr>
        <w:tc>
          <w:tcPr>
            <w:tcW w:w="0" w:type="auto"/>
            <w:shd w:val="clear" w:color="auto" w:fill="C2D69B"/>
            <w:vAlign w:val="center"/>
            <w:hideMark/>
          </w:tcPr>
          <w:p w14:paraId="1E03FA1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99E559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270 </w:t>
            </w:r>
          </w:p>
        </w:tc>
        <w:tc>
          <w:tcPr>
            <w:tcW w:w="0" w:type="auto"/>
            <w:shd w:val="clear" w:color="auto" w:fill="C2D69B"/>
            <w:noWrap/>
            <w:vAlign w:val="center"/>
            <w:hideMark/>
          </w:tcPr>
          <w:p w14:paraId="6A45764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269 </w:t>
            </w:r>
          </w:p>
        </w:tc>
        <w:tc>
          <w:tcPr>
            <w:tcW w:w="0" w:type="auto"/>
            <w:shd w:val="clear" w:color="auto" w:fill="C2D69B"/>
            <w:vAlign w:val="center"/>
            <w:hideMark/>
          </w:tcPr>
          <w:p w14:paraId="05D6D95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1E5C686C" w14:textId="77777777" w:rsidR="00B73FDB" w:rsidRPr="00B73FDB" w:rsidRDefault="00B73FDB" w:rsidP="00B73FDB">
            <w:pPr>
              <w:spacing w:after="0" w:line="240" w:lineRule="auto"/>
              <w:jc w:val="center"/>
              <w:rPr>
                <w:rFonts w:cs="Calibri"/>
                <w:sz w:val="18"/>
                <w:szCs w:val="18"/>
                <w:lang w:eastAsia="sk-SK"/>
              </w:rPr>
            </w:pPr>
          </w:p>
        </w:tc>
      </w:tr>
    </w:tbl>
    <w:p w14:paraId="6A19C527"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Zameranie učebných a študijných odborov je na podnikanie v remeslách a službách (kozmetička, kaderníčka, vizážistka, fotograf...) v dennej, nadstavbovej a externej forme štúdia. Od 1. 3. 2016 škola pôsobí ako Centrum odborného vzdelávania a prípravy pre oblasť osobných služieb.</w:t>
      </w:r>
    </w:p>
    <w:p w14:paraId="79AD4D4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Prvok 8.3.39: SOŠ záhradnícka, Malinovo – rozpočtová organizácia</w:t>
      </w:r>
    </w:p>
    <w:p w14:paraId="087A43AF" w14:textId="77777777" w:rsidR="00B73FDB" w:rsidRPr="00B73FDB" w:rsidRDefault="00B73FDB" w:rsidP="00B73FDB">
      <w:pPr>
        <w:spacing w:after="0" w:line="240" w:lineRule="auto"/>
        <w:rPr>
          <w:rFonts w:cs="Calibri"/>
          <w:vanish/>
          <w:sz w:val="24"/>
          <w:szCs w:val="24"/>
          <w:lang w:eastAsia="sk-SK"/>
        </w:rPr>
      </w:pPr>
    </w:p>
    <w:p w14:paraId="55834E8A"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Od 1. septembra 2019 Spojená škola v </w:t>
      </w:r>
      <w:proofErr w:type="spellStart"/>
      <w:r w:rsidRPr="00B73FDB">
        <w:rPr>
          <w:rFonts w:cs="Calibri"/>
          <w:sz w:val="24"/>
          <w:szCs w:val="24"/>
          <w:lang w:eastAsia="sk-SK"/>
        </w:rPr>
        <w:t>Malinove</w:t>
      </w:r>
      <w:proofErr w:type="spellEnd"/>
      <w:r w:rsidRPr="00B73FDB">
        <w:rPr>
          <w:rFonts w:cs="Calibri"/>
          <w:sz w:val="24"/>
          <w:szCs w:val="24"/>
          <w:lang w:eastAsia="sk-SK"/>
        </w:rPr>
        <w:t xml:space="preserve"> – organizačná zložka SOŠ záhradnícka a Základná škola. Zmena : nový prvok 8.3.45. </w:t>
      </w:r>
    </w:p>
    <w:p w14:paraId="2968E64A"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8.3.40: SOŠ kaderníctva a </w:t>
      </w:r>
      <w:proofErr w:type="spellStart"/>
      <w:r w:rsidRPr="00352CED">
        <w:rPr>
          <w:rFonts w:ascii="Calibri" w:hAnsi="Calibri" w:cs="Calibri"/>
          <w:b/>
          <w:color w:val="244061"/>
        </w:rPr>
        <w:t>vizážistiky</w:t>
      </w:r>
      <w:proofErr w:type="spellEnd"/>
      <w:r w:rsidRPr="00352CED">
        <w:rPr>
          <w:rFonts w:ascii="Calibri" w:hAnsi="Calibri" w:cs="Calibri"/>
          <w:b/>
          <w:color w:val="244061"/>
        </w:rPr>
        <w:t>, Svätoplukova 2,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0"/>
        <w:gridCol w:w="1208"/>
        <w:gridCol w:w="1208"/>
        <w:gridCol w:w="1081"/>
        <w:gridCol w:w="1206"/>
        <w:gridCol w:w="2428"/>
      </w:tblGrid>
      <w:tr w:rsidR="00B73FDB" w:rsidRPr="00B73FDB" w14:paraId="57211994" w14:textId="77777777" w:rsidTr="00B73FDB">
        <w:trPr>
          <w:tblCellSpacing w:w="15" w:type="dxa"/>
        </w:trPr>
        <w:tc>
          <w:tcPr>
            <w:tcW w:w="267" w:type="pct"/>
            <w:shd w:val="clear" w:color="auto" w:fill="C6DBF7"/>
            <w:vAlign w:val="center"/>
            <w:hideMark/>
          </w:tcPr>
          <w:p w14:paraId="38577CC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0F5A943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2" w:type="pct"/>
            <w:shd w:val="clear" w:color="auto" w:fill="C6DBF7"/>
            <w:vAlign w:val="center"/>
            <w:hideMark/>
          </w:tcPr>
          <w:p w14:paraId="20F5DF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2" w:type="pct"/>
            <w:shd w:val="clear" w:color="auto" w:fill="C6DBF7"/>
            <w:vAlign w:val="center"/>
            <w:hideMark/>
          </w:tcPr>
          <w:p w14:paraId="139E17F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1" w:type="pct"/>
            <w:shd w:val="clear" w:color="auto" w:fill="C6DBF7"/>
            <w:vAlign w:val="center"/>
            <w:hideMark/>
          </w:tcPr>
          <w:p w14:paraId="330953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1" w:type="pct"/>
            <w:shd w:val="clear" w:color="auto" w:fill="C6DBF7"/>
            <w:vAlign w:val="center"/>
            <w:hideMark/>
          </w:tcPr>
          <w:p w14:paraId="07C756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0556344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00AAEFD" w14:textId="77777777" w:rsidTr="00B73FDB">
        <w:trPr>
          <w:tblCellSpacing w:w="15" w:type="dxa"/>
        </w:trPr>
        <w:tc>
          <w:tcPr>
            <w:tcW w:w="267" w:type="pct"/>
            <w:shd w:val="clear" w:color="auto" w:fill="D9D9D9"/>
            <w:noWrap/>
            <w:vAlign w:val="center"/>
            <w:hideMark/>
          </w:tcPr>
          <w:p w14:paraId="2BDF3808"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2D7548A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2" w:type="pct"/>
            <w:shd w:val="clear" w:color="auto" w:fill="D9D9D9"/>
            <w:noWrap/>
            <w:vAlign w:val="center"/>
            <w:hideMark/>
          </w:tcPr>
          <w:p w14:paraId="0770D58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1 374 243,00</w:t>
            </w:r>
            <w:r w:rsidRPr="00B73FDB">
              <w:rPr>
                <w:rFonts w:cs="Calibri"/>
                <w:sz w:val="18"/>
                <w:szCs w:val="18"/>
                <w:lang w:eastAsia="sk-SK"/>
              </w:rPr>
              <w:t xml:space="preserve"> </w:t>
            </w:r>
          </w:p>
        </w:tc>
        <w:tc>
          <w:tcPr>
            <w:tcW w:w="562" w:type="pct"/>
            <w:shd w:val="clear" w:color="auto" w:fill="D9D9D9"/>
            <w:noWrap/>
            <w:vAlign w:val="center"/>
            <w:hideMark/>
          </w:tcPr>
          <w:p w14:paraId="0EBD8CD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1 547 397,00</w:t>
            </w:r>
            <w:r w:rsidRPr="00B73FDB">
              <w:rPr>
                <w:rFonts w:cs="Calibri"/>
                <w:sz w:val="18"/>
                <w:szCs w:val="18"/>
                <w:lang w:eastAsia="sk-SK"/>
              </w:rPr>
              <w:t xml:space="preserve"> </w:t>
            </w:r>
          </w:p>
        </w:tc>
        <w:tc>
          <w:tcPr>
            <w:tcW w:w="501" w:type="pct"/>
            <w:shd w:val="clear" w:color="auto" w:fill="D9D9D9"/>
            <w:noWrap/>
            <w:vAlign w:val="center"/>
            <w:hideMark/>
          </w:tcPr>
          <w:p w14:paraId="18D0EF4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1 547 397,00</w:t>
            </w:r>
            <w:r w:rsidRPr="00B73FDB">
              <w:rPr>
                <w:rFonts w:cs="Calibri"/>
                <w:sz w:val="18"/>
                <w:szCs w:val="18"/>
                <w:lang w:eastAsia="sk-SK"/>
              </w:rPr>
              <w:t xml:space="preserve"> </w:t>
            </w:r>
          </w:p>
        </w:tc>
        <w:tc>
          <w:tcPr>
            <w:tcW w:w="561" w:type="pct"/>
            <w:shd w:val="clear" w:color="auto" w:fill="D9D9D9"/>
            <w:noWrap/>
            <w:vAlign w:val="center"/>
            <w:hideMark/>
          </w:tcPr>
          <w:p w14:paraId="2278EC4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140C7BE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+173 531,00 EUR</w:t>
            </w:r>
            <w:r w:rsidRPr="00B73FDB">
              <w:rPr>
                <w:rFonts w:cs="Calibri"/>
                <w:sz w:val="18"/>
                <w:szCs w:val="18"/>
                <w:lang w:eastAsia="sk-SK"/>
              </w:rPr>
              <w:t xml:space="preserve"> normatívne finančné prostriedky,</w:t>
            </w:r>
          </w:p>
          <w:p w14:paraId="3DFA94F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+444,00 EUR</w:t>
            </w:r>
            <w:r w:rsidRPr="00B73FDB">
              <w:rPr>
                <w:rFonts w:cs="Calibri"/>
                <w:sz w:val="18"/>
                <w:szCs w:val="18"/>
                <w:lang w:eastAsia="sk-SK"/>
              </w:rPr>
              <w:t xml:space="preserve"> normatívne finančné prostriedky na maturity,</w:t>
            </w:r>
          </w:p>
          <w:p w14:paraId="513213E9"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+2 334,00 EUR</w:t>
            </w:r>
            <w:r w:rsidRPr="00B73FDB">
              <w:rPr>
                <w:rFonts w:cs="Calibri"/>
                <w:sz w:val="18"/>
                <w:szCs w:val="18"/>
                <w:lang w:eastAsia="sk-SK"/>
              </w:rPr>
              <w:t xml:space="preserve"> príspevok na rekreáciu zamestnancov,</w:t>
            </w:r>
          </w:p>
          <w:p w14:paraId="0932AA5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+712,00 EUR </w:t>
            </w:r>
            <w:r w:rsidRPr="00B73FDB">
              <w:rPr>
                <w:rFonts w:cs="Calibri"/>
                <w:sz w:val="18"/>
                <w:szCs w:val="18"/>
                <w:lang w:eastAsia="sk-SK"/>
              </w:rPr>
              <w:t>nenormatívne finančné prostriedky na vzdelávacie poukazy,</w:t>
            </w:r>
          </w:p>
          <w:p w14:paraId="77BE67A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+2 800,00 EUR</w:t>
            </w:r>
            <w:r w:rsidRPr="00B73FDB">
              <w:rPr>
                <w:rFonts w:cs="Calibri"/>
                <w:sz w:val="18"/>
                <w:szCs w:val="18"/>
                <w:lang w:eastAsia="sk-SK"/>
              </w:rPr>
              <w:t xml:space="preserve"> nenormatívne finančné prostriedky za mimoriadne výsledky žiakov,</w:t>
            </w:r>
          </w:p>
          <w:p w14:paraId="5E9B88D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-2 267,00 EUR</w:t>
            </w:r>
            <w:r w:rsidRPr="00B73FDB">
              <w:rPr>
                <w:rFonts w:cs="Calibri"/>
                <w:sz w:val="18"/>
                <w:szCs w:val="18"/>
                <w:lang w:eastAsia="sk-SK"/>
              </w:rPr>
              <w:t xml:space="preserve"> odchodné do dôchodku,</w:t>
            </w:r>
          </w:p>
          <w:p w14:paraId="0FDEC22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-2 400,00 EUR</w:t>
            </w:r>
            <w:r w:rsidRPr="00B73FDB">
              <w:rPr>
                <w:rFonts w:cs="Calibri"/>
                <w:sz w:val="18"/>
                <w:szCs w:val="18"/>
                <w:lang w:eastAsia="sk-SK"/>
              </w:rPr>
              <w:t xml:space="preserve"> nenormatívne finančné prostriedky na lyžiarske kurzy,</w:t>
            </w:r>
          </w:p>
          <w:p w14:paraId="6FCA542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-2 000,00 EUR </w:t>
            </w:r>
            <w:r w:rsidRPr="00B73FDB">
              <w:rPr>
                <w:rFonts w:cs="Calibri"/>
                <w:sz w:val="18"/>
                <w:szCs w:val="18"/>
                <w:lang w:eastAsia="sk-SK"/>
              </w:rPr>
              <w:t>rozvojový projekt.</w:t>
            </w:r>
          </w:p>
        </w:tc>
      </w:tr>
      <w:tr w:rsidR="00B73FDB" w:rsidRPr="00B73FDB" w14:paraId="03226BCA" w14:textId="77777777" w:rsidTr="00B73FDB">
        <w:trPr>
          <w:tblCellSpacing w:w="15" w:type="dxa"/>
        </w:trPr>
        <w:tc>
          <w:tcPr>
            <w:tcW w:w="267" w:type="pct"/>
            <w:shd w:val="clear" w:color="auto" w:fill="D9D9D9"/>
            <w:noWrap/>
            <w:vAlign w:val="center"/>
            <w:hideMark/>
          </w:tcPr>
          <w:p w14:paraId="74E7E58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7F5CEF5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2" w:type="pct"/>
            <w:shd w:val="clear" w:color="auto" w:fill="D9D9D9"/>
            <w:noWrap/>
            <w:vAlign w:val="center"/>
            <w:hideMark/>
          </w:tcPr>
          <w:p w14:paraId="2B56B62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1 374 243,00</w:t>
            </w:r>
            <w:r w:rsidRPr="00B73FDB">
              <w:rPr>
                <w:rFonts w:cs="Calibri"/>
                <w:sz w:val="18"/>
                <w:szCs w:val="18"/>
                <w:lang w:eastAsia="sk-SK"/>
              </w:rPr>
              <w:t xml:space="preserve"> </w:t>
            </w:r>
          </w:p>
        </w:tc>
        <w:tc>
          <w:tcPr>
            <w:tcW w:w="562" w:type="pct"/>
            <w:shd w:val="clear" w:color="auto" w:fill="D9D9D9"/>
            <w:noWrap/>
            <w:vAlign w:val="center"/>
            <w:hideMark/>
          </w:tcPr>
          <w:p w14:paraId="389685A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1 547 397,00</w:t>
            </w:r>
            <w:r w:rsidRPr="00B73FDB">
              <w:rPr>
                <w:rFonts w:cs="Calibri"/>
                <w:sz w:val="18"/>
                <w:szCs w:val="18"/>
                <w:lang w:eastAsia="sk-SK"/>
              </w:rPr>
              <w:t xml:space="preserve"> </w:t>
            </w:r>
          </w:p>
        </w:tc>
        <w:tc>
          <w:tcPr>
            <w:tcW w:w="501" w:type="pct"/>
            <w:shd w:val="clear" w:color="auto" w:fill="D9D9D9"/>
            <w:noWrap/>
            <w:vAlign w:val="center"/>
            <w:hideMark/>
          </w:tcPr>
          <w:p w14:paraId="01932EB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1 547 397,00</w:t>
            </w:r>
            <w:r w:rsidRPr="00B73FDB">
              <w:rPr>
                <w:rFonts w:cs="Calibri"/>
                <w:sz w:val="18"/>
                <w:szCs w:val="18"/>
                <w:lang w:eastAsia="sk-SK"/>
              </w:rPr>
              <w:t xml:space="preserve"> </w:t>
            </w:r>
          </w:p>
        </w:tc>
        <w:tc>
          <w:tcPr>
            <w:tcW w:w="561" w:type="pct"/>
            <w:shd w:val="clear" w:color="auto" w:fill="D9D9D9"/>
            <w:noWrap/>
            <w:vAlign w:val="center"/>
            <w:hideMark/>
          </w:tcPr>
          <w:p w14:paraId="067304E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05901280" w14:textId="77777777" w:rsidR="00B73FDB" w:rsidRPr="00B73FDB" w:rsidRDefault="00B73FDB" w:rsidP="00B73FDB">
            <w:pPr>
              <w:spacing w:after="0" w:line="240" w:lineRule="auto"/>
              <w:rPr>
                <w:rFonts w:cs="Calibri"/>
                <w:sz w:val="18"/>
                <w:szCs w:val="18"/>
                <w:lang w:eastAsia="sk-SK"/>
              </w:rPr>
            </w:pPr>
          </w:p>
        </w:tc>
      </w:tr>
      <w:tr w:rsidR="00B73FDB" w:rsidRPr="00B73FDB" w14:paraId="08569F88" w14:textId="77777777" w:rsidTr="00B73FDB">
        <w:trPr>
          <w:tblCellSpacing w:w="15" w:type="dxa"/>
        </w:trPr>
        <w:tc>
          <w:tcPr>
            <w:tcW w:w="267" w:type="pct"/>
            <w:shd w:val="clear" w:color="auto" w:fill="EFEFEF"/>
            <w:noWrap/>
            <w:vAlign w:val="center"/>
            <w:hideMark/>
          </w:tcPr>
          <w:p w14:paraId="5A8DC9D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0C8476D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2" w:type="pct"/>
            <w:shd w:val="clear" w:color="auto" w:fill="EFEFEF"/>
            <w:noWrap/>
            <w:vAlign w:val="center"/>
            <w:hideMark/>
          </w:tcPr>
          <w:p w14:paraId="50CF30F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1 374 243,00 </w:t>
            </w:r>
          </w:p>
        </w:tc>
        <w:tc>
          <w:tcPr>
            <w:tcW w:w="562" w:type="pct"/>
            <w:shd w:val="clear" w:color="auto" w:fill="EFEFEF"/>
            <w:noWrap/>
            <w:vAlign w:val="center"/>
            <w:hideMark/>
          </w:tcPr>
          <w:p w14:paraId="3795D2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1 547 397,00 </w:t>
            </w:r>
          </w:p>
        </w:tc>
        <w:tc>
          <w:tcPr>
            <w:tcW w:w="501" w:type="pct"/>
            <w:shd w:val="clear" w:color="auto" w:fill="EFEFEF"/>
            <w:noWrap/>
            <w:vAlign w:val="center"/>
            <w:hideMark/>
          </w:tcPr>
          <w:p w14:paraId="09AF409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1 547 397,00 </w:t>
            </w:r>
          </w:p>
        </w:tc>
        <w:tc>
          <w:tcPr>
            <w:tcW w:w="561" w:type="pct"/>
            <w:shd w:val="clear" w:color="auto" w:fill="EFEFEF"/>
            <w:noWrap/>
            <w:vAlign w:val="center"/>
            <w:hideMark/>
          </w:tcPr>
          <w:p w14:paraId="234D667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6B6121B2" w14:textId="77777777" w:rsidR="00B73FDB" w:rsidRPr="00B73FDB" w:rsidRDefault="00B73FDB" w:rsidP="00B73FDB">
            <w:pPr>
              <w:spacing w:after="0" w:line="240" w:lineRule="auto"/>
              <w:rPr>
                <w:rFonts w:cs="Calibri"/>
                <w:sz w:val="18"/>
                <w:szCs w:val="18"/>
                <w:lang w:eastAsia="sk-SK"/>
              </w:rPr>
            </w:pPr>
          </w:p>
        </w:tc>
      </w:tr>
    </w:tbl>
    <w:p w14:paraId="7E32CD3D"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38C5864C" w14:textId="77777777" w:rsidTr="00B73FDB">
        <w:trPr>
          <w:tblCellSpacing w:w="15" w:type="dxa"/>
        </w:trPr>
        <w:tc>
          <w:tcPr>
            <w:tcW w:w="0" w:type="auto"/>
            <w:shd w:val="clear" w:color="auto" w:fill="C2D69B"/>
            <w:vAlign w:val="center"/>
            <w:hideMark/>
          </w:tcPr>
          <w:p w14:paraId="7DF89D2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5B12AD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C657796" w14:textId="77777777" w:rsidTr="00B73FDB">
        <w:trPr>
          <w:tblCellSpacing w:w="15" w:type="dxa"/>
        </w:trPr>
        <w:tc>
          <w:tcPr>
            <w:tcW w:w="0" w:type="auto"/>
            <w:shd w:val="clear" w:color="auto" w:fill="C2D69B"/>
            <w:vAlign w:val="center"/>
            <w:hideMark/>
          </w:tcPr>
          <w:p w14:paraId="0CBDE5A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C21166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167F42D4" w14:textId="77777777" w:rsidTr="00B73FDB">
        <w:trPr>
          <w:tblCellSpacing w:w="15" w:type="dxa"/>
        </w:trPr>
        <w:tc>
          <w:tcPr>
            <w:tcW w:w="0" w:type="auto"/>
            <w:shd w:val="clear" w:color="auto" w:fill="C2D69B"/>
            <w:vAlign w:val="center"/>
            <w:hideMark/>
          </w:tcPr>
          <w:p w14:paraId="6BA98D3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29C052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02AFEDA" w14:textId="77777777" w:rsidTr="00B73FDB">
        <w:trPr>
          <w:tblCellSpacing w:w="15" w:type="dxa"/>
        </w:trPr>
        <w:tc>
          <w:tcPr>
            <w:tcW w:w="0" w:type="auto"/>
            <w:shd w:val="clear" w:color="auto" w:fill="C2D69B"/>
            <w:vAlign w:val="center"/>
            <w:hideMark/>
          </w:tcPr>
          <w:p w14:paraId="2B336A5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E82CB8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AC761B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DFCC1F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4A9C65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D86F9FB" w14:textId="77777777" w:rsidTr="00B73FDB">
        <w:trPr>
          <w:tblCellSpacing w:w="15" w:type="dxa"/>
        </w:trPr>
        <w:tc>
          <w:tcPr>
            <w:tcW w:w="0" w:type="auto"/>
            <w:shd w:val="clear" w:color="auto" w:fill="C2D69B"/>
            <w:vAlign w:val="center"/>
            <w:hideMark/>
          </w:tcPr>
          <w:p w14:paraId="2C7FC5B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CD0D32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443 </w:t>
            </w:r>
          </w:p>
        </w:tc>
        <w:tc>
          <w:tcPr>
            <w:tcW w:w="0" w:type="auto"/>
            <w:shd w:val="clear" w:color="auto" w:fill="C2D69B"/>
            <w:noWrap/>
            <w:vAlign w:val="center"/>
            <w:hideMark/>
          </w:tcPr>
          <w:p w14:paraId="32403DB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474 </w:t>
            </w:r>
          </w:p>
        </w:tc>
        <w:tc>
          <w:tcPr>
            <w:tcW w:w="0" w:type="auto"/>
            <w:shd w:val="clear" w:color="auto" w:fill="C2D69B"/>
            <w:vAlign w:val="center"/>
            <w:hideMark/>
          </w:tcPr>
          <w:p w14:paraId="658BFC6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65DF4D9"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9165171" w14:textId="77777777" w:rsidTr="00B73FDB">
        <w:trPr>
          <w:tblCellSpacing w:w="15" w:type="dxa"/>
        </w:trPr>
        <w:tc>
          <w:tcPr>
            <w:tcW w:w="0" w:type="auto"/>
            <w:shd w:val="clear" w:color="auto" w:fill="C2D69B"/>
            <w:vAlign w:val="center"/>
            <w:hideMark/>
          </w:tcPr>
          <w:p w14:paraId="5E30E12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43AA69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6D6C1B83" w14:textId="77777777" w:rsidTr="00B73FDB">
        <w:trPr>
          <w:tblCellSpacing w:w="15" w:type="dxa"/>
        </w:trPr>
        <w:tc>
          <w:tcPr>
            <w:tcW w:w="0" w:type="auto"/>
            <w:shd w:val="clear" w:color="auto" w:fill="C2D69B"/>
            <w:vAlign w:val="center"/>
            <w:hideMark/>
          </w:tcPr>
          <w:p w14:paraId="583F1A5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7E16D1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E22F91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EBC1E6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1E8720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6E73BEB" w14:textId="77777777" w:rsidTr="00B73FDB">
        <w:trPr>
          <w:tblCellSpacing w:w="15" w:type="dxa"/>
        </w:trPr>
        <w:tc>
          <w:tcPr>
            <w:tcW w:w="0" w:type="auto"/>
            <w:shd w:val="clear" w:color="auto" w:fill="C2D69B"/>
            <w:vAlign w:val="center"/>
            <w:hideMark/>
          </w:tcPr>
          <w:p w14:paraId="676852A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838617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406 </w:t>
            </w:r>
          </w:p>
        </w:tc>
        <w:tc>
          <w:tcPr>
            <w:tcW w:w="0" w:type="auto"/>
            <w:shd w:val="clear" w:color="auto" w:fill="C2D69B"/>
            <w:noWrap/>
            <w:vAlign w:val="center"/>
            <w:hideMark/>
          </w:tcPr>
          <w:p w14:paraId="1600931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430 </w:t>
            </w:r>
          </w:p>
        </w:tc>
        <w:tc>
          <w:tcPr>
            <w:tcW w:w="0" w:type="auto"/>
            <w:shd w:val="clear" w:color="auto" w:fill="C2D69B"/>
            <w:vAlign w:val="center"/>
            <w:hideMark/>
          </w:tcPr>
          <w:p w14:paraId="2F177FF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3942F4C" w14:textId="77777777" w:rsidR="00B73FDB" w:rsidRPr="00B73FDB" w:rsidRDefault="00B73FDB" w:rsidP="00B73FDB">
            <w:pPr>
              <w:spacing w:after="0" w:line="240" w:lineRule="auto"/>
              <w:jc w:val="center"/>
              <w:rPr>
                <w:rFonts w:cs="Calibri"/>
                <w:sz w:val="18"/>
                <w:szCs w:val="18"/>
                <w:lang w:eastAsia="sk-SK"/>
              </w:rPr>
            </w:pPr>
          </w:p>
        </w:tc>
      </w:tr>
    </w:tbl>
    <w:p w14:paraId="7FF280E2"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podnikanie v remeslách a službách (kozmetička, kaderníčka, vizážistka, ...) v dennej a externej forme štúdia a v pomaturitnom kvalifikačnom štúdiu. </w:t>
      </w:r>
    </w:p>
    <w:p w14:paraId="2DAB6EBF" w14:textId="77777777" w:rsidR="00352CED" w:rsidRDefault="00352CED" w:rsidP="00352CED">
      <w:pPr>
        <w:pStyle w:val="Normlnywebov"/>
        <w:jc w:val="both"/>
        <w:rPr>
          <w:rFonts w:ascii="Calibri" w:hAnsi="Calibri" w:cs="Calibri"/>
          <w:b/>
          <w:color w:val="244061"/>
        </w:rPr>
      </w:pPr>
    </w:p>
    <w:p w14:paraId="1C485FA3" w14:textId="77777777" w:rsidR="00352CED" w:rsidRDefault="00352CED" w:rsidP="00352CED">
      <w:pPr>
        <w:pStyle w:val="Normlnywebov"/>
        <w:jc w:val="both"/>
        <w:rPr>
          <w:rFonts w:ascii="Calibri" w:hAnsi="Calibri" w:cs="Calibri"/>
          <w:b/>
          <w:color w:val="244061"/>
        </w:rPr>
      </w:pPr>
    </w:p>
    <w:p w14:paraId="15474821" w14:textId="24C45D9F"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lastRenderedPageBreak/>
        <w:t>Prvok 8.3.41: SOŠ obchodu a služieb S. Jurkoviča, Sklenárova 1, BA – príspevková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7"/>
        <w:gridCol w:w="2734"/>
        <w:gridCol w:w="1212"/>
        <w:gridCol w:w="1212"/>
        <w:gridCol w:w="1061"/>
        <w:gridCol w:w="1212"/>
        <w:gridCol w:w="2428"/>
      </w:tblGrid>
      <w:tr w:rsidR="00B73FDB" w:rsidRPr="00B73FDB" w14:paraId="20B3D8AE" w14:textId="77777777" w:rsidTr="00B73FDB">
        <w:trPr>
          <w:tblCellSpacing w:w="15" w:type="dxa"/>
        </w:trPr>
        <w:tc>
          <w:tcPr>
            <w:tcW w:w="268" w:type="pct"/>
            <w:shd w:val="clear" w:color="auto" w:fill="C6DBF7"/>
            <w:vAlign w:val="center"/>
            <w:hideMark/>
          </w:tcPr>
          <w:p w14:paraId="6AA6CE5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1C479E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0292B10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509CF95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3117064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5B58CA0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784C430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B26B266" w14:textId="77777777" w:rsidTr="00B73FDB">
        <w:trPr>
          <w:tblCellSpacing w:w="15" w:type="dxa"/>
        </w:trPr>
        <w:tc>
          <w:tcPr>
            <w:tcW w:w="268" w:type="pct"/>
            <w:shd w:val="clear" w:color="auto" w:fill="D9D9D9"/>
            <w:noWrap/>
            <w:vAlign w:val="center"/>
            <w:hideMark/>
          </w:tcPr>
          <w:p w14:paraId="2E8C582A"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591F0BA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170E57E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752 283,00</w:t>
            </w:r>
            <w:r w:rsidRPr="00B73FDB">
              <w:rPr>
                <w:rFonts w:cs="Calibri"/>
                <w:sz w:val="18"/>
                <w:szCs w:val="18"/>
                <w:lang w:eastAsia="sk-SK"/>
              </w:rPr>
              <w:t xml:space="preserve"> </w:t>
            </w:r>
          </w:p>
        </w:tc>
        <w:tc>
          <w:tcPr>
            <w:tcW w:w="564" w:type="pct"/>
            <w:shd w:val="clear" w:color="auto" w:fill="D9D9D9"/>
            <w:noWrap/>
            <w:vAlign w:val="center"/>
            <w:hideMark/>
          </w:tcPr>
          <w:p w14:paraId="1C4E79F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821 099,09</w:t>
            </w:r>
            <w:r w:rsidRPr="00B73FDB">
              <w:rPr>
                <w:rFonts w:cs="Calibri"/>
                <w:sz w:val="18"/>
                <w:szCs w:val="18"/>
                <w:lang w:eastAsia="sk-SK"/>
              </w:rPr>
              <w:t xml:space="preserve"> </w:t>
            </w:r>
          </w:p>
        </w:tc>
        <w:tc>
          <w:tcPr>
            <w:tcW w:w="492" w:type="pct"/>
            <w:shd w:val="clear" w:color="auto" w:fill="D9D9D9"/>
            <w:noWrap/>
            <w:vAlign w:val="center"/>
            <w:hideMark/>
          </w:tcPr>
          <w:p w14:paraId="09AA55D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821 099,09</w:t>
            </w:r>
            <w:r w:rsidRPr="00B73FDB">
              <w:rPr>
                <w:rFonts w:cs="Calibri"/>
                <w:sz w:val="18"/>
                <w:szCs w:val="18"/>
                <w:lang w:eastAsia="sk-SK"/>
              </w:rPr>
              <w:t xml:space="preserve"> </w:t>
            </w:r>
          </w:p>
        </w:tc>
        <w:tc>
          <w:tcPr>
            <w:tcW w:w="564" w:type="pct"/>
            <w:shd w:val="clear" w:color="auto" w:fill="D9D9D9"/>
            <w:noWrap/>
            <w:vAlign w:val="center"/>
            <w:hideMark/>
          </w:tcPr>
          <w:p w14:paraId="66AC1A2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val="restart"/>
            <w:shd w:val="clear" w:color="auto" w:fill="D9D9D9"/>
            <w:vAlign w:val="center"/>
            <w:hideMark/>
          </w:tcPr>
          <w:p w14:paraId="73735BF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+57 795,00 EUR</w:t>
            </w:r>
            <w:r w:rsidRPr="00B73FDB">
              <w:rPr>
                <w:rFonts w:cs="Calibri"/>
                <w:sz w:val="18"/>
                <w:szCs w:val="18"/>
                <w:lang w:eastAsia="sk-SK"/>
              </w:rPr>
              <w:t xml:space="preserve"> normatívne finančné prostriedky,</w:t>
            </w:r>
          </w:p>
          <w:p w14:paraId="2B9B4BB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+206,00 EUR</w:t>
            </w:r>
            <w:r w:rsidRPr="00B73FDB">
              <w:rPr>
                <w:rFonts w:cs="Calibri"/>
                <w:sz w:val="18"/>
                <w:szCs w:val="18"/>
                <w:lang w:eastAsia="sk-SK"/>
              </w:rPr>
              <w:t xml:space="preserve"> normatívne finančné prostriedky na maturity,</w:t>
            </w:r>
          </w:p>
          <w:p w14:paraId="7FB3E45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+236,00 EUR </w:t>
            </w:r>
            <w:r w:rsidRPr="00B73FDB">
              <w:rPr>
                <w:rFonts w:cs="Calibri"/>
                <w:sz w:val="18"/>
                <w:szCs w:val="18"/>
                <w:lang w:eastAsia="sk-SK"/>
              </w:rPr>
              <w:t>nenormatívne finančné prostriedky na vzdelávacie poukazy,</w:t>
            </w:r>
          </w:p>
          <w:p w14:paraId="334D024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-600,00 EUR</w:t>
            </w:r>
            <w:r w:rsidRPr="00B73FDB">
              <w:rPr>
                <w:rFonts w:cs="Calibri"/>
                <w:sz w:val="18"/>
                <w:szCs w:val="18"/>
                <w:lang w:eastAsia="sk-SK"/>
              </w:rPr>
              <w:t xml:space="preserve"> nenormatívne finančné prostriedky na lyžiarske kurzy,</w:t>
            </w:r>
          </w:p>
          <w:p w14:paraId="2C5C474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+11 179,09 EUR</w:t>
            </w:r>
            <w:r w:rsidRPr="00B73FDB">
              <w:rPr>
                <w:rFonts w:cs="Calibri"/>
                <w:sz w:val="18"/>
                <w:szCs w:val="18"/>
                <w:lang w:eastAsia="sk-SK"/>
              </w:rPr>
              <w:t xml:space="preserve"> projekt z MPC.</w:t>
            </w:r>
          </w:p>
        </w:tc>
      </w:tr>
      <w:tr w:rsidR="00B73FDB" w:rsidRPr="00B73FDB" w14:paraId="00DB19D2" w14:textId="77777777" w:rsidTr="00B73FDB">
        <w:trPr>
          <w:tblCellSpacing w:w="15" w:type="dxa"/>
        </w:trPr>
        <w:tc>
          <w:tcPr>
            <w:tcW w:w="268" w:type="pct"/>
            <w:shd w:val="clear" w:color="auto" w:fill="D9D9D9"/>
            <w:noWrap/>
            <w:vAlign w:val="center"/>
            <w:hideMark/>
          </w:tcPr>
          <w:p w14:paraId="4696E3D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25AED75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3F88F01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752 283,00</w:t>
            </w:r>
            <w:r w:rsidRPr="00B73FDB">
              <w:rPr>
                <w:rFonts w:cs="Calibri"/>
                <w:sz w:val="18"/>
                <w:szCs w:val="18"/>
                <w:lang w:eastAsia="sk-SK"/>
              </w:rPr>
              <w:t xml:space="preserve"> </w:t>
            </w:r>
          </w:p>
        </w:tc>
        <w:tc>
          <w:tcPr>
            <w:tcW w:w="564" w:type="pct"/>
            <w:shd w:val="clear" w:color="auto" w:fill="D9D9D9"/>
            <w:noWrap/>
            <w:vAlign w:val="center"/>
            <w:hideMark/>
          </w:tcPr>
          <w:p w14:paraId="036F6C0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821 099,09</w:t>
            </w:r>
            <w:r w:rsidRPr="00B73FDB">
              <w:rPr>
                <w:rFonts w:cs="Calibri"/>
                <w:sz w:val="18"/>
                <w:szCs w:val="18"/>
                <w:lang w:eastAsia="sk-SK"/>
              </w:rPr>
              <w:t xml:space="preserve"> </w:t>
            </w:r>
          </w:p>
        </w:tc>
        <w:tc>
          <w:tcPr>
            <w:tcW w:w="492" w:type="pct"/>
            <w:shd w:val="clear" w:color="auto" w:fill="D9D9D9"/>
            <w:noWrap/>
            <w:vAlign w:val="center"/>
            <w:hideMark/>
          </w:tcPr>
          <w:p w14:paraId="648F77C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821 099,09</w:t>
            </w:r>
            <w:r w:rsidRPr="00B73FDB">
              <w:rPr>
                <w:rFonts w:cs="Calibri"/>
                <w:sz w:val="18"/>
                <w:szCs w:val="18"/>
                <w:lang w:eastAsia="sk-SK"/>
              </w:rPr>
              <w:t xml:space="preserve"> </w:t>
            </w:r>
          </w:p>
        </w:tc>
        <w:tc>
          <w:tcPr>
            <w:tcW w:w="564" w:type="pct"/>
            <w:shd w:val="clear" w:color="auto" w:fill="D9D9D9"/>
            <w:noWrap/>
            <w:vAlign w:val="center"/>
            <w:hideMark/>
          </w:tcPr>
          <w:p w14:paraId="6EF2A1B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6" w:type="pct"/>
            <w:vMerge/>
            <w:shd w:val="clear" w:color="auto" w:fill="D9D9D9"/>
            <w:vAlign w:val="center"/>
            <w:hideMark/>
          </w:tcPr>
          <w:p w14:paraId="6D340CC7" w14:textId="77777777" w:rsidR="00B73FDB" w:rsidRPr="00B73FDB" w:rsidRDefault="00B73FDB" w:rsidP="00B73FDB">
            <w:pPr>
              <w:spacing w:after="0" w:line="240" w:lineRule="auto"/>
              <w:rPr>
                <w:rFonts w:cs="Calibri"/>
                <w:sz w:val="18"/>
                <w:szCs w:val="18"/>
                <w:lang w:eastAsia="sk-SK"/>
              </w:rPr>
            </w:pPr>
          </w:p>
        </w:tc>
      </w:tr>
      <w:tr w:rsidR="00B73FDB" w:rsidRPr="00B73FDB" w14:paraId="06B1569D" w14:textId="77777777" w:rsidTr="00B73FDB">
        <w:trPr>
          <w:tblCellSpacing w:w="15" w:type="dxa"/>
        </w:trPr>
        <w:tc>
          <w:tcPr>
            <w:tcW w:w="268" w:type="pct"/>
            <w:shd w:val="clear" w:color="auto" w:fill="EFEFEF"/>
            <w:noWrap/>
            <w:vAlign w:val="center"/>
            <w:hideMark/>
          </w:tcPr>
          <w:p w14:paraId="707A339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9" w:type="pct"/>
            <w:shd w:val="clear" w:color="auto" w:fill="EFEFEF"/>
            <w:vAlign w:val="center"/>
            <w:hideMark/>
          </w:tcPr>
          <w:p w14:paraId="1B1987A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3D75598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752 283,00 </w:t>
            </w:r>
          </w:p>
        </w:tc>
        <w:tc>
          <w:tcPr>
            <w:tcW w:w="564" w:type="pct"/>
            <w:shd w:val="clear" w:color="auto" w:fill="EFEFEF"/>
            <w:noWrap/>
            <w:vAlign w:val="center"/>
            <w:hideMark/>
          </w:tcPr>
          <w:p w14:paraId="59F927D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821 099,09 </w:t>
            </w:r>
          </w:p>
        </w:tc>
        <w:tc>
          <w:tcPr>
            <w:tcW w:w="492" w:type="pct"/>
            <w:shd w:val="clear" w:color="auto" w:fill="EFEFEF"/>
            <w:noWrap/>
            <w:vAlign w:val="center"/>
            <w:hideMark/>
          </w:tcPr>
          <w:p w14:paraId="4679ACE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821 099,09 </w:t>
            </w:r>
          </w:p>
        </w:tc>
        <w:tc>
          <w:tcPr>
            <w:tcW w:w="564" w:type="pct"/>
            <w:shd w:val="clear" w:color="auto" w:fill="EFEFEF"/>
            <w:noWrap/>
            <w:vAlign w:val="center"/>
            <w:hideMark/>
          </w:tcPr>
          <w:p w14:paraId="44EC1A2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0B40F07" w14:textId="77777777" w:rsidR="00B73FDB" w:rsidRPr="00B73FDB" w:rsidRDefault="00B73FDB" w:rsidP="00B73FDB">
            <w:pPr>
              <w:spacing w:after="0" w:line="240" w:lineRule="auto"/>
              <w:rPr>
                <w:rFonts w:cs="Calibri"/>
                <w:sz w:val="18"/>
                <w:szCs w:val="18"/>
                <w:lang w:eastAsia="sk-SK"/>
              </w:rPr>
            </w:pPr>
          </w:p>
        </w:tc>
      </w:tr>
    </w:tbl>
    <w:p w14:paraId="5C547B0F"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55"/>
        <w:gridCol w:w="655"/>
        <w:gridCol w:w="1545"/>
        <w:gridCol w:w="1452"/>
        <w:gridCol w:w="4159"/>
      </w:tblGrid>
      <w:tr w:rsidR="00B73FDB" w:rsidRPr="00B73FDB" w14:paraId="0A15950E" w14:textId="77777777" w:rsidTr="00B73FDB">
        <w:trPr>
          <w:tblCellSpacing w:w="15" w:type="dxa"/>
        </w:trPr>
        <w:tc>
          <w:tcPr>
            <w:tcW w:w="0" w:type="auto"/>
            <w:shd w:val="clear" w:color="auto" w:fill="C2D69B"/>
            <w:vAlign w:val="center"/>
            <w:hideMark/>
          </w:tcPr>
          <w:p w14:paraId="3001C6D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F36F30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ACDC24B" w14:textId="77777777" w:rsidTr="00B73FDB">
        <w:trPr>
          <w:tblCellSpacing w:w="15" w:type="dxa"/>
        </w:trPr>
        <w:tc>
          <w:tcPr>
            <w:tcW w:w="0" w:type="auto"/>
            <w:shd w:val="clear" w:color="auto" w:fill="C2D69B"/>
            <w:vAlign w:val="center"/>
            <w:hideMark/>
          </w:tcPr>
          <w:p w14:paraId="7904013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9AE9D1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68FD1CCD" w14:textId="77777777" w:rsidTr="00B73FDB">
        <w:trPr>
          <w:tblCellSpacing w:w="15" w:type="dxa"/>
        </w:trPr>
        <w:tc>
          <w:tcPr>
            <w:tcW w:w="0" w:type="auto"/>
            <w:shd w:val="clear" w:color="auto" w:fill="C2D69B"/>
            <w:vAlign w:val="center"/>
            <w:hideMark/>
          </w:tcPr>
          <w:p w14:paraId="32A3748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3BA9BF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1B7924A" w14:textId="77777777" w:rsidTr="00B73FDB">
        <w:trPr>
          <w:tblCellSpacing w:w="15" w:type="dxa"/>
        </w:trPr>
        <w:tc>
          <w:tcPr>
            <w:tcW w:w="0" w:type="auto"/>
            <w:shd w:val="clear" w:color="auto" w:fill="C2D69B"/>
            <w:vAlign w:val="center"/>
            <w:hideMark/>
          </w:tcPr>
          <w:p w14:paraId="5146E3C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79D141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017DB0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E3A188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5CC828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5958171" w14:textId="77777777" w:rsidTr="00B73FDB">
        <w:trPr>
          <w:tblCellSpacing w:w="15" w:type="dxa"/>
        </w:trPr>
        <w:tc>
          <w:tcPr>
            <w:tcW w:w="0" w:type="auto"/>
            <w:shd w:val="clear" w:color="auto" w:fill="C2D69B"/>
            <w:vAlign w:val="center"/>
            <w:hideMark/>
          </w:tcPr>
          <w:p w14:paraId="1A73EB4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C16378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233 </w:t>
            </w:r>
          </w:p>
        </w:tc>
        <w:tc>
          <w:tcPr>
            <w:tcW w:w="0" w:type="auto"/>
            <w:shd w:val="clear" w:color="auto" w:fill="C2D69B"/>
            <w:noWrap/>
            <w:vAlign w:val="center"/>
            <w:hideMark/>
          </w:tcPr>
          <w:p w14:paraId="2B5CC7A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219 </w:t>
            </w:r>
          </w:p>
        </w:tc>
        <w:tc>
          <w:tcPr>
            <w:tcW w:w="0" w:type="auto"/>
            <w:shd w:val="clear" w:color="auto" w:fill="C2D69B"/>
            <w:vAlign w:val="center"/>
            <w:hideMark/>
          </w:tcPr>
          <w:p w14:paraId="21641F8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191A0098"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B7DE354" w14:textId="77777777" w:rsidTr="00B73FDB">
        <w:trPr>
          <w:tblCellSpacing w:w="15" w:type="dxa"/>
        </w:trPr>
        <w:tc>
          <w:tcPr>
            <w:tcW w:w="0" w:type="auto"/>
            <w:shd w:val="clear" w:color="auto" w:fill="C2D69B"/>
            <w:vAlign w:val="center"/>
            <w:hideMark/>
          </w:tcPr>
          <w:p w14:paraId="239384B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6D5686C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22D5631" w14:textId="77777777" w:rsidTr="00B73FDB">
        <w:trPr>
          <w:tblCellSpacing w:w="15" w:type="dxa"/>
        </w:trPr>
        <w:tc>
          <w:tcPr>
            <w:tcW w:w="0" w:type="auto"/>
            <w:shd w:val="clear" w:color="auto" w:fill="C2D69B"/>
            <w:vAlign w:val="center"/>
            <w:hideMark/>
          </w:tcPr>
          <w:p w14:paraId="1786CF6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9CE891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36F054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52B977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45F96E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C65D533" w14:textId="77777777" w:rsidTr="00B73FDB">
        <w:trPr>
          <w:tblCellSpacing w:w="15" w:type="dxa"/>
        </w:trPr>
        <w:tc>
          <w:tcPr>
            <w:tcW w:w="0" w:type="auto"/>
            <w:shd w:val="clear" w:color="auto" w:fill="C2D69B"/>
            <w:vAlign w:val="center"/>
            <w:hideMark/>
          </w:tcPr>
          <w:p w14:paraId="70505ED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653D53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225 </w:t>
            </w:r>
          </w:p>
        </w:tc>
        <w:tc>
          <w:tcPr>
            <w:tcW w:w="0" w:type="auto"/>
            <w:shd w:val="clear" w:color="auto" w:fill="C2D69B"/>
            <w:noWrap/>
            <w:vAlign w:val="center"/>
            <w:hideMark/>
          </w:tcPr>
          <w:p w14:paraId="6927A14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217 </w:t>
            </w:r>
          </w:p>
        </w:tc>
        <w:tc>
          <w:tcPr>
            <w:tcW w:w="0" w:type="auto"/>
            <w:shd w:val="clear" w:color="auto" w:fill="C2D69B"/>
            <w:vAlign w:val="center"/>
            <w:hideMark/>
          </w:tcPr>
          <w:p w14:paraId="30631C2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653AD0B6" w14:textId="77777777" w:rsidR="00B73FDB" w:rsidRPr="00B73FDB" w:rsidRDefault="00B73FDB" w:rsidP="00B73FDB">
            <w:pPr>
              <w:spacing w:after="0" w:line="240" w:lineRule="auto"/>
              <w:jc w:val="center"/>
              <w:rPr>
                <w:rFonts w:cs="Calibri"/>
                <w:sz w:val="18"/>
                <w:szCs w:val="18"/>
                <w:lang w:eastAsia="sk-SK"/>
              </w:rPr>
            </w:pPr>
          </w:p>
        </w:tc>
      </w:tr>
    </w:tbl>
    <w:p w14:paraId="09B0BB68"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Zameranie učebných a študijných odborov je na podnikanie a prevádzku v obchode a službách v dennej a externej forme štúdia. Od 1. 9. 2016 škola pôsobí ako Centrum odborného vzdelávania a prípravy pre oblasť obchodu a služieb s ním spojených.</w:t>
      </w:r>
    </w:p>
    <w:p w14:paraId="5C1228E5"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t xml:space="preserve">Prvok 8.3.42: SOŠ podnikania a služieb, </w:t>
      </w:r>
      <w:proofErr w:type="spellStart"/>
      <w:r w:rsidRPr="00352CED">
        <w:rPr>
          <w:rFonts w:ascii="Calibri" w:hAnsi="Calibri" w:cs="Calibri"/>
          <w:b/>
          <w:color w:val="244061"/>
        </w:rPr>
        <w:t>Myslenická</w:t>
      </w:r>
      <w:proofErr w:type="spellEnd"/>
      <w:r w:rsidRPr="00352CED">
        <w:rPr>
          <w:rFonts w:ascii="Calibri" w:hAnsi="Calibri" w:cs="Calibri"/>
          <w:b/>
          <w:color w:val="244061"/>
        </w:rPr>
        <w:t xml:space="preserve"> 1, Pezinok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
        <w:gridCol w:w="2734"/>
        <w:gridCol w:w="1214"/>
        <w:gridCol w:w="1212"/>
        <w:gridCol w:w="1061"/>
        <w:gridCol w:w="1212"/>
        <w:gridCol w:w="2428"/>
      </w:tblGrid>
      <w:tr w:rsidR="00B73FDB" w:rsidRPr="00B73FDB" w14:paraId="3F85DCD7" w14:textId="77777777" w:rsidTr="00B73FDB">
        <w:trPr>
          <w:tblCellSpacing w:w="15" w:type="dxa"/>
        </w:trPr>
        <w:tc>
          <w:tcPr>
            <w:tcW w:w="267" w:type="pct"/>
            <w:shd w:val="clear" w:color="auto" w:fill="C6DBF7"/>
            <w:vAlign w:val="center"/>
            <w:hideMark/>
          </w:tcPr>
          <w:p w14:paraId="3FB7C82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9" w:type="pct"/>
            <w:shd w:val="clear" w:color="auto" w:fill="C6DBF7"/>
            <w:vAlign w:val="center"/>
            <w:hideMark/>
          </w:tcPr>
          <w:p w14:paraId="0886A71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30C5AB5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2A4A53F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2" w:type="pct"/>
            <w:shd w:val="clear" w:color="auto" w:fill="C6DBF7"/>
            <w:vAlign w:val="center"/>
            <w:hideMark/>
          </w:tcPr>
          <w:p w14:paraId="0082EE4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39FC470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1E3DAF9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342C1E42" w14:textId="77777777" w:rsidTr="00B73FDB">
        <w:trPr>
          <w:tblCellSpacing w:w="15" w:type="dxa"/>
        </w:trPr>
        <w:tc>
          <w:tcPr>
            <w:tcW w:w="267" w:type="pct"/>
            <w:shd w:val="clear" w:color="auto" w:fill="D9D9D9"/>
            <w:noWrap/>
            <w:vAlign w:val="center"/>
            <w:hideMark/>
          </w:tcPr>
          <w:p w14:paraId="0D760BA9" w14:textId="77777777" w:rsidR="00B73FDB" w:rsidRPr="00B73FDB" w:rsidRDefault="00B73FDB" w:rsidP="00B73FDB">
            <w:pPr>
              <w:spacing w:after="0" w:line="240" w:lineRule="auto"/>
              <w:jc w:val="center"/>
              <w:rPr>
                <w:rFonts w:cs="Calibri"/>
                <w:sz w:val="18"/>
                <w:szCs w:val="18"/>
                <w:lang w:eastAsia="sk-SK"/>
              </w:rPr>
            </w:pPr>
          </w:p>
        </w:tc>
        <w:tc>
          <w:tcPr>
            <w:tcW w:w="1289" w:type="pct"/>
            <w:shd w:val="clear" w:color="auto" w:fill="D9D9D9"/>
            <w:vAlign w:val="center"/>
            <w:hideMark/>
          </w:tcPr>
          <w:p w14:paraId="04AA06E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09D84BE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432 260,00</w:t>
            </w:r>
            <w:r w:rsidRPr="00B73FDB">
              <w:rPr>
                <w:rFonts w:cs="Calibri"/>
                <w:sz w:val="18"/>
                <w:szCs w:val="18"/>
                <w:lang w:eastAsia="sk-SK"/>
              </w:rPr>
              <w:t xml:space="preserve"> </w:t>
            </w:r>
          </w:p>
        </w:tc>
        <w:tc>
          <w:tcPr>
            <w:tcW w:w="564" w:type="pct"/>
            <w:shd w:val="clear" w:color="auto" w:fill="D9D9D9"/>
            <w:noWrap/>
            <w:vAlign w:val="center"/>
            <w:hideMark/>
          </w:tcPr>
          <w:p w14:paraId="49E3966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592 649,08</w:t>
            </w:r>
            <w:r w:rsidRPr="00B73FDB">
              <w:rPr>
                <w:rFonts w:cs="Calibri"/>
                <w:sz w:val="18"/>
                <w:szCs w:val="18"/>
                <w:lang w:eastAsia="sk-SK"/>
              </w:rPr>
              <w:t xml:space="preserve"> </w:t>
            </w:r>
          </w:p>
        </w:tc>
        <w:tc>
          <w:tcPr>
            <w:tcW w:w="492" w:type="pct"/>
            <w:shd w:val="clear" w:color="auto" w:fill="D9D9D9"/>
            <w:noWrap/>
            <w:vAlign w:val="center"/>
            <w:hideMark/>
          </w:tcPr>
          <w:p w14:paraId="3B0EF3C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587 086,67</w:t>
            </w:r>
            <w:r w:rsidRPr="00B73FDB">
              <w:rPr>
                <w:rFonts w:cs="Calibri"/>
                <w:sz w:val="18"/>
                <w:szCs w:val="18"/>
                <w:lang w:eastAsia="sk-SK"/>
              </w:rPr>
              <w:t xml:space="preserve"> </w:t>
            </w:r>
          </w:p>
        </w:tc>
        <w:tc>
          <w:tcPr>
            <w:tcW w:w="564" w:type="pct"/>
            <w:shd w:val="clear" w:color="auto" w:fill="D9D9D9"/>
            <w:noWrap/>
            <w:vAlign w:val="center"/>
            <w:hideMark/>
          </w:tcPr>
          <w:p w14:paraId="47AB99E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99,06</w:t>
            </w:r>
            <w:r w:rsidRPr="00B73FDB">
              <w:rPr>
                <w:rFonts w:cs="Calibri"/>
                <w:sz w:val="18"/>
                <w:szCs w:val="18"/>
                <w:lang w:eastAsia="sk-SK"/>
              </w:rPr>
              <w:t xml:space="preserve"> </w:t>
            </w:r>
          </w:p>
        </w:tc>
        <w:tc>
          <w:tcPr>
            <w:tcW w:w="1136" w:type="pct"/>
            <w:vMerge w:val="restart"/>
            <w:shd w:val="clear" w:color="auto" w:fill="D9D9D9"/>
            <w:vAlign w:val="center"/>
            <w:hideMark/>
          </w:tcPr>
          <w:p w14:paraId="1D3CD12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+142 319,77 EUR</w:t>
            </w:r>
            <w:r w:rsidRPr="00B73FDB">
              <w:rPr>
                <w:rFonts w:cs="Calibri"/>
                <w:sz w:val="18"/>
                <w:szCs w:val="18"/>
                <w:lang w:eastAsia="sk-SK"/>
              </w:rPr>
              <w:t xml:space="preserve"> normatívne finančné prostriedky,</w:t>
            </w:r>
          </w:p>
          <w:p w14:paraId="41304D3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+127,00 EUR</w:t>
            </w:r>
            <w:r w:rsidRPr="00B73FDB">
              <w:rPr>
                <w:rFonts w:cs="Calibri"/>
                <w:sz w:val="18"/>
                <w:szCs w:val="18"/>
                <w:lang w:eastAsia="sk-SK"/>
              </w:rPr>
              <w:t xml:space="preserve"> normatívne finančné prostriedky na maturity,</w:t>
            </w:r>
          </w:p>
          <w:p w14:paraId="750DEE9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+122,00 EUR </w:t>
            </w:r>
            <w:r w:rsidRPr="00B73FDB">
              <w:rPr>
                <w:rFonts w:cs="Calibri"/>
                <w:sz w:val="18"/>
                <w:szCs w:val="18"/>
                <w:lang w:eastAsia="sk-SK"/>
              </w:rPr>
              <w:t>nenormatívne finančné prostriedky na vzdelávacie poukazy,</w:t>
            </w:r>
          </w:p>
          <w:p w14:paraId="32882ED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+2 624,00 EUR</w:t>
            </w:r>
            <w:r w:rsidRPr="00B73FDB">
              <w:rPr>
                <w:rFonts w:cs="Calibri"/>
                <w:sz w:val="18"/>
                <w:szCs w:val="18"/>
                <w:lang w:eastAsia="sk-SK"/>
              </w:rPr>
              <w:t xml:space="preserve"> odchodné do dôchodku,</w:t>
            </w:r>
          </w:p>
          <w:p w14:paraId="2D79C94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+15 196,31 EUR</w:t>
            </w:r>
            <w:r w:rsidRPr="00B73FDB">
              <w:rPr>
                <w:rFonts w:cs="Calibri"/>
                <w:sz w:val="18"/>
                <w:szCs w:val="18"/>
                <w:lang w:eastAsia="sk-SK"/>
              </w:rPr>
              <w:t xml:space="preserve"> navýšenie rozpočtu účtu PČ.</w:t>
            </w:r>
          </w:p>
        </w:tc>
      </w:tr>
      <w:tr w:rsidR="00B73FDB" w:rsidRPr="00B73FDB" w14:paraId="25ACC624" w14:textId="77777777" w:rsidTr="00B73FDB">
        <w:trPr>
          <w:tblCellSpacing w:w="15" w:type="dxa"/>
        </w:trPr>
        <w:tc>
          <w:tcPr>
            <w:tcW w:w="267" w:type="pct"/>
            <w:shd w:val="clear" w:color="auto" w:fill="D9D9D9"/>
            <w:noWrap/>
            <w:vAlign w:val="center"/>
            <w:hideMark/>
          </w:tcPr>
          <w:p w14:paraId="1B91A5E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9" w:type="pct"/>
            <w:shd w:val="clear" w:color="auto" w:fill="D9D9D9"/>
            <w:vAlign w:val="center"/>
            <w:hideMark/>
          </w:tcPr>
          <w:p w14:paraId="3D96D6F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5EC20DE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432 260,00</w:t>
            </w:r>
            <w:r w:rsidRPr="00B73FDB">
              <w:rPr>
                <w:rFonts w:cs="Calibri"/>
                <w:sz w:val="18"/>
                <w:szCs w:val="18"/>
                <w:lang w:eastAsia="sk-SK"/>
              </w:rPr>
              <w:t xml:space="preserve"> </w:t>
            </w:r>
          </w:p>
        </w:tc>
        <w:tc>
          <w:tcPr>
            <w:tcW w:w="564" w:type="pct"/>
            <w:shd w:val="clear" w:color="auto" w:fill="D9D9D9"/>
            <w:noWrap/>
            <w:vAlign w:val="center"/>
            <w:hideMark/>
          </w:tcPr>
          <w:p w14:paraId="559C7C5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592 649,08</w:t>
            </w:r>
            <w:r w:rsidRPr="00B73FDB">
              <w:rPr>
                <w:rFonts w:cs="Calibri"/>
                <w:sz w:val="18"/>
                <w:szCs w:val="18"/>
                <w:lang w:eastAsia="sk-SK"/>
              </w:rPr>
              <w:t xml:space="preserve"> </w:t>
            </w:r>
          </w:p>
        </w:tc>
        <w:tc>
          <w:tcPr>
            <w:tcW w:w="492" w:type="pct"/>
            <w:shd w:val="clear" w:color="auto" w:fill="D9D9D9"/>
            <w:noWrap/>
            <w:vAlign w:val="center"/>
            <w:hideMark/>
          </w:tcPr>
          <w:p w14:paraId="6F5BB1A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587 086,67</w:t>
            </w:r>
            <w:r w:rsidRPr="00B73FDB">
              <w:rPr>
                <w:rFonts w:cs="Calibri"/>
                <w:sz w:val="18"/>
                <w:szCs w:val="18"/>
                <w:lang w:eastAsia="sk-SK"/>
              </w:rPr>
              <w:t xml:space="preserve"> </w:t>
            </w:r>
          </w:p>
        </w:tc>
        <w:tc>
          <w:tcPr>
            <w:tcW w:w="564" w:type="pct"/>
            <w:shd w:val="clear" w:color="auto" w:fill="D9D9D9"/>
            <w:noWrap/>
            <w:vAlign w:val="center"/>
            <w:hideMark/>
          </w:tcPr>
          <w:p w14:paraId="2BBB6AE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99,06</w:t>
            </w:r>
            <w:r w:rsidRPr="00B73FDB">
              <w:rPr>
                <w:rFonts w:cs="Calibri"/>
                <w:sz w:val="18"/>
                <w:szCs w:val="18"/>
                <w:lang w:eastAsia="sk-SK"/>
              </w:rPr>
              <w:t xml:space="preserve"> </w:t>
            </w:r>
          </w:p>
        </w:tc>
        <w:tc>
          <w:tcPr>
            <w:tcW w:w="1136" w:type="pct"/>
            <w:vMerge/>
            <w:shd w:val="clear" w:color="auto" w:fill="D9D9D9"/>
            <w:vAlign w:val="center"/>
            <w:hideMark/>
          </w:tcPr>
          <w:p w14:paraId="4FFFDC21" w14:textId="77777777" w:rsidR="00B73FDB" w:rsidRPr="00B73FDB" w:rsidRDefault="00B73FDB" w:rsidP="00B73FDB">
            <w:pPr>
              <w:spacing w:after="0" w:line="240" w:lineRule="auto"/>
              <w:rPr>
                <w:rFonts w:cs="Calibri"/>
                <w:sz w:val="18"/>
                <w:szCs w:val="18"/>
                <w:lang w:eastAsia="sk-SK"/>
              </w:rPr>
            </w:pPr>
          </w:p>
        </w:tc>
      </w:tr>
      <w:tr w:rsidR="00B73FDB" w:rsidRPr="00B73FDB" w14:paraId="26B5DBB6" w14:textId="77777777" w:rsidTr="00B73FDB">
        <w:trPr>
          <w:tblCellSpacing w:w="15" w:type="dxa"/>
        </w:trPr>
        <w:tc>
          <w:tcPr>
            <w:tcW w:w="267" w:type="pct"/>
            <w:shd w:val="clear" w:color="auto" w:fill="EFEFEF"/>
            <w:noWrap/>
            <w:vAlign w:val="center"/>
            <w:hideMark/>
          </w:tcPr>
          <w:p w14:paraId="703A18F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9" w:type="pct"/>
            <w:shd w:val="clear" w:color="auto" w:fill="EFEFEF"/>
            <w:vAlign w:val="center"/>
            <w:hideMark/>
          </w:tcPr>
          <w:p w14:paraId="7FDD677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6BD6497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228 000,00 </w:t>
            </w:r>
          </w:p>
        </w:tc>
        <w:tc>
          <w:tcPr>
            <w:tcW w:w="564" w:type="pct"/>
            <w:shd w:val="clear" w:color="auto" w:fill="EFEFEF"/>
            <w:noWrap/>
            <w:vAlign w:val="center"/>
            <w:hideMark/>
          </w:tcPr>
          <w:p w14:paraId="16CD5E5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263 629,87 </w:t>
            </w:r>
          </w:p>
        </w:tc>
        <w:tc>
          <w:tcPr>
            <w:tcW w:w="492" w:type="pct"/>
            <w:shd w:val="clear" w:color="auto" w:fill="EFEFEF"/>
            <w:noWrap/>
            <w:vAlign w:val="center"/>
            <w:hideMark/>
          </w:tcPr>
          <w:p w14:paraId="5FA89F5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263 629,87 </w:t>
            </w:r>
          </w:p>
        </w:tc>
        <w:tc>
          <w:tcPr>
            <w:tcW w:w="564" w:type="pct"/>
            <w:shd w:val="clear" w:color="auto" w:fill="EFEFEF"/>
            <w:noWrap/>
            <w:vAlign w:val="center"/>
            <w:hideMark/>
          </w:tcPr>
          <w:p w14:paraId="62F5E33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0E1A6C35" w14:textId="77777777" w:rsidR="00B73FDB" w:rsidRPr="00B73FDB" w:rsidRDefault="00B73FDB" w:rsidP="00B73FDB">
            <w:pPr>
              <w:spacing w:after="0" w:line="240" w:lineRule="auto"/>
              <w:rPr>
                <w:rFonts w:cs="Calibri"/>
                <w:sz w:val="18"/>
                <w:szCs w:val="18"/>
                <w:lang w:eastAsia="sk-SK"/>
              </w:rPr>
            </w:pPr>
          </w:p>
        </w:tc>
      </w:tr>
      <w:tr w:rsidR="00B73FDB" w:rsidRPr="00B73FDB" w14:paraId="285E94F2" w14:textId="77777777" w:rsidTr="00B73FDB">
        <w:trPr>
          <w:tblCellSpacing w:w="15" w:type="dxa"/>
        </w:trPr>
        <w:tc>
          <w:tcPr>
            <w:tcW w:w="267" w:type="pct"/>
            <w:shd w:val="clear" w:color="auto" w:fill="EFEFEF"/>
            <w:noWrap/>
            <w:vAlign w:val="center"/>
            <w:hideMark/>
          </w:tcPr>
          <w:p w14:paraId="29BAA04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9" w:type="pct"/>
            <w:shd w:val="clear" w:color="auto" w:fill="EFEFEF"/>
            <w:vAlign w:val="center"/>
            <w:hideMark/>
          </w:tcPr>
          <w:p w14:paraId="77A3580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5074B9A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79 680,00 </w:t>
            </w:r>
          </w:p>
        </w:tc>
        <w:tc>
          <w:tcPr>
            <w:tcW w:w="564" w:type="pct"/>
            <w:shd w:val="clear" w:color="auto" w:fill="EFEFEF"/>
            <w:noWrap/>
            <w:vAlign w:val="center"/>
            <w:hideMark/>
          </w:tcPr>
          <w:p w14:paraId="2903A6B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88 517,24 </w:t>
            </w:r>
          </w:p>
        </w:tc>
        <w:tc>
          <w:tcPr>
            <w:tcW w:w="492" w:type="pct"/>
            <w:shd w:val="clear" w:color="auto" w:fill="EFEFEF"/>
            <w:noWrap/>
            <w:vAlign w:val="center"/>
            <w:hideMark/>
          </w:tcPr>
          <w:p w14:paraId="0C1FB34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88 517,24 </w:t>
            </w:r>
          </w:p>
        </w:tc>
        <w:tc>
          <w:tcPr>
            <w:tcW w:w="564" w:type="pct"/>
            <w:shd w:val="clear" w:color="auto" w:fill="EFEFEF"/>
            <w:noWrap/>
            <w:vAlign w:val="center"/>
            <w:hideMark/>
          </w:tcPr>
          <w:p w14:paraId="372D0A0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55E76019" w14:textId="77777777" w:rsidR="00B73FDB" w:rsidRPr="00B73FDB" w:rsidRDefault="00B73FDB" w:rsidP="00B73FDB">
            <w:pPr>
              <w:spacing w:after="0" w:line="240" w:lineRule="auto"/>
              <w:rPr>
                <w:rFonts w:cs="Calibri"/>
                <w:sz w:val="18"/>
                <w:szCs w:val="18"/>
                <w:lang w:eastAsia="sk-SK"/>
              </w:rPr>
            </w:pPr>
          </w:p>
        </w:tc>
      </w:tr>
      <w:tr w:rsidR="00B73FDB" w:rsidRPr="00B73FDB" w14:paraId="2ED54333" w14:textId="77777777" w:rsidTr="00B73FDB">
        <w:trPr>
          <w:tblCellSpacing w:w="15" w:type="dxa"/>
        </w:trPr>
        <w:tc>
          <w:tcPr>
            <w:tcW w:w="267" w:type="pct"/>
            <w:shd w:val="clear" w:color="auto" w:fill="EFEFEF"/>
            <w:noWrap/>
            <w:vAlign w:val="center"/>
            <w:hideMark/>
          </w:tcPr>
          <w:p w14:paraId="4F84D70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9" w:type="pct"/>
            <w:shd w:val="clear" w:color="auto" w:fill="EFEFEF"/>
            <w:vAlign w:val="center"/>
            <w:hideMark/>
          </w:tcPr>
          <w:p w14:paraId="363A6D4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7A7F240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124 580,00 </w:t>
            </w:r>
          </w:p>
        </w:tc>
        <w:tc>
          <w:tcPr>
            <w:tcW w:w="564" w:type="pct"/>
            <w:shd w:val="clear" w:color="auto" w:fill="EFEFEF"/>
            <w:noWrap/>
            <w:vAlign w:val="center"/>
            <w:hideMark/>
          </w:tcPr>
          <w:p w14:paraId="7A969F5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237 877,97 </w:t>
            </w:r>
          </w:p>
        </w:tc>
        <w:tc>
          <w:tcPr>
            <w:tcW w:w="492" w:type="pct"/>
            <w:shd w:val="clear" w:color="auto" w:fill="EFEFEF"/>
            <w:noWrap/>
            <w:vAlign w:val="center"/>
            <w:hideMark/>
          </w:tcPr>
          <w:p w14:paraId="7F6CF69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232 315,56 </w:t>
            </w:r>
          </w:p>
        </w:tc>
        <w:tc>
          <w:tcPr>
            <w:tcW w:w="564" w:type="pct"/>
            <w:shd w:val="clear" w:color="auto" w:fill="EFEFEF"/>
            <w:noWrap/>
            <w:vAlign w:val="center"/>
            <w:hideMark/>
          </w:tcPr>
          <w:p w14:paraId="123C310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97,66 </w:t>
            </w:r>
          </w:p>
        </w:tc>
        <w:tc>
          <w:tcPr>
            <w:tcW w:w="1136" w:type="pct"/>
            <w:vMerge/>
            <w:shd w:val="clear" w:color="auto" w:fill="EFEFEF"/>
            <w:vAlign w:val="center"/>
            <w:hideMark/>
          </w:tcPr>
          <w:p w14:paraId="2A30D7D8" w14:textId="77777777" w:rsidR="00B73FDB" w:rsidRPr="00B73FDB" w:rsidRDefault="00B73FDB" w:rsidP="00B73FDB">
            <w:pPr>
              <w:spacing w:after="0" w:line="240" w:lineRule="auto"/>
              <w:rPr>
                <w:rFonts w:cs="Calibri"/>
                <w:sz w:val="18"/>
                <w:szCs w:val="18"/>
                <w:lang w:eastAsia="sk-SK"/>
              </w:rPr>
            </w:pPr>
          </w:p>
        </w:tc>
      </w:tr>
    </w:tbl>
    <w:p w14:paraId="467FCB2D"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01"/>
        <w:gridCol w:w="711"/>
        <w:gridCol w:w="1684"/>
        <w:gridCol w:w="1211"/>
        <w:gridCol w:w="4159"/>
      </w:tblGrid>
      <w:tr w:rsidR="00B73FDB" w:rsidRPr="00B73FDB" w14:paraId="194D3ADD" w14:textId="77777777" w:rsidTr="00B73FDB">
        <w:trPr>
          <w:tblCellSpacing w:w="15" w:type="dxa"/>
        </w:trPr>
        <w:tc>
          <w:tcPr>
            <w:tcW w:w="0" w:type="auto"/>
            <w:shd w:val="clear" w:color="auto" w:fill="C2D69B"/>
            <w:vAlign w:val="center"/>
            <w:hideMark/>
          </w:tcPr>
          <w:p w14:paraId="2FA25A6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273388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4DEDA1B7" w14:textId="77777777" w:rsidTr="00B73FDB">
        <w:trPr>
          <w:tblCellSpacing w:w="15" w:type="dxa"/>
        </w:trPr>
        <w:tc>
          <w:tcPr>
            <w:tcW w:w="0" w:type="auto"/>
            <w:shd w:val="clear" w:color="auto" w:fill="C2D69B"/>
            <w:vAlign w:val="center"/>
            <w:hideMark/>
          </w:tcPr>
          <w:p w14:paraId="42D7E84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FF610C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SOŠ </w:t>
            </w:r>
          </w:p>
        </w:tc>
      </w:tr>
      <w:tr w:rsidR="00B73FDB" w:rsidRPr="00B73FDB" w14:paraId="06E0F934" w14:textId="77777777" w:rsidTr="00B73FDB">
        <w:trPr>
          <w:tblCellSpacing w:w="15" w:type="dxa"/>
        </w:trPr>
        <w:tc>
          <w:tcPr>
            <w:tcW w:w="0" w:type="auto"/>
            <w:shd w:val="clear" w:color="auto" w:fill="C2D69B"/>
            <w:vAlign w:val="center"/>
            <w:hideMark/>
          </w:tcPr>
          <w:p w14:paraId="3061CF0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34F5E4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09BE23AA" w14:textId="77777777" w:rsidTr="00B73FDB">
        <w:trPr>
          <w:tblCellSpacing w:w="15" w:type="dxa"/>
        </w:trPr>
        <w:tc>
          <w:tcPr>
            <w:tcW w:w="0" w:type="auto"/>
            <w:shd w:val="clear" w:color="auto" w:fill="C2D69B"/>
            <w:vAlign w:val="center"/>
            <w:hideMark/>
          </w:tcPr>
          <w:p w14:paraId="7FC4FBD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2FE003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55AC56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653B33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40F4B0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2D10B44" w14:textId="77777777" w:rsidTr="00B73FDB">
        <w:trPr>
          <w:tblCellSpacing w:w="15" w:type="dxa"/>
        </w:trPr>
        <w:tc>
          <w:tcPr>
            <w:tcW w:w="0" w:type="auto"/>
            <w:shd w:val="clear" w:color="auto" w:fill="C2D69B"/>
            <w:vAlign w:val="center"/>
            <w:hideMark/>
          </w:tcPr>
          <w:p w14:paraId="5E6AD53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383BD5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42 </w:t>
            </w:r>
          </w:p>
        </w:tc>
        <w:tc>
          <w:tcPr>
            <w:tcW w:w="0" w:type="auto"/>
            <w:shd w:val="clear" w:color="auto" w:fill="C2D69B"/>
            <w:noWrap/>
            <w:vAlign w:val="center"/>
            <w:hideMark/>
          </w:tcPr>
          <w:p w14:paraId="300351D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48 </w:t>
            </w:r>
          </w:p>
        </w:tc>
        <w:tc>
          <w:tcPr>
            <w:tcW w:w="0" w:type="auto"/>
            <w:shd w:val="clear" w:color="auto" w:fill="C2D69B"/>
            <w:vAlign w:val="center"/>
            <w:hideMark/>
          </w:tcPr>
          <w:p w14:paraId="0A67E83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F4485E2"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141F6699" w14:textId="77777777" w:rsidTr="00B73FDB">
        <w:trPr>
          <w:tblCellSpacing w:w="15" w:type="dxa"/>
        </w:trPr>
        <w:tc>
          <w:tcPr>
            <w:tcW w:w="0" w:type="auto"/>
            <w:shd w:val="clear" w:color="auto" w:fill="C2D69B"/>
            <w:vAlign w:val="center"/>
            <w:hideMark/>
          </w:tcPr>
          <w:p w14:paraId="78A9F33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2AE451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33A6CF7" w14:textId="77777777" w:rsidTr="00B73FDB">
        <w:trPr>
          <w:tblCellSpacing w:w="15" w:type="dxa"/>
        </w:trPr>
        <w:tc>
          <w:tcPr>
            <w:tcW w:w="0" w:type="auto"/>
            <w:shd w:val="clear" w:color="auto" w:fill="C2D69B"/>
            <w:vAlign w:val="center"/>
            <w:hideMark/>
          </w:tcPr>
          <w:p w14:paraId="13AFA6E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54A2523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238FC9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0F3E38C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1158FC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A131ADC" w14:textId="77777777" w:rsidTr="00B73FDB">
        <w:trPr>
          <w:tblCellSpacing w:w="15" w:type="dxa"/>
        </w:trPr>
        <w:tc>
          <w:tcPr>
            <w:tcW w:w="0" w:type="auto"/>
            <w:shd w:val="clear" w:color="auto" w:fill="C2D69B"/>
            <w:vAlign w:val="center"/>
            <w:hideMark/>
          </w:tcPr>
          <w:p w14:paraId="4372E9C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A7EDA3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42 </w:t>
            </w:r>
          </w:p>
        </w:tc>
        <w:tc>
          <w:tcPr>
            <w:tcW w:w="0" w:type="auto"/>
            <w:shd w:val="clear" w:color="auto" w:fill="C2D69B"/>
            <w:noWrap/>
            <w:vAlign w:val="center"/>
            <w:hideMark/>
          </w:tcPr>
          <w:p w14:paraId="5F86844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48 </w:t>
            </w:r>
          </w:p>
        </w:tc>
        <w:tc>
          <w:tcPr>
            <w:tcW w:w="0" w:type="auto"/>
            <w:shd w:val="clear" w:color="auto" w:fill="C2D69B"/>
            <w:vAlign w:val="center"/>
            <w:hideMark/>
          </w:tcPr>
          <w:p w14:paraId="468CEA1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26FD2F7A" w14:textId="77777777" w:rsidR="00B73FDB" w:rsidRPr="00B73FDB" w:rsidRDefault="00B73FDB" w:rsidP="00B73FDB">
            <w:pPr>
              <w:spacing w:after="0" w:line="240" w:lineRule="auto"/>
              <w:jc w:val="center"/>
              <w:rPr>
                <w:rFonts w:cs="Calibri"/>
                <w:sz w:val="18"/>
                <w:szCs w:val="18"/>
                <w:lang w:eastAsia="sk-SK"/>
              </w:rPr>
            </w:pPr>
          </w:p>
        </w:tc>
      </w:tr>
    </w:tbl>
    <w:p w14:paraId="29FA44F6"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obchod a služby. Na tejto škole sa vyučujú učebné a študijné odbory a má regionálny záber. Ide o dennú formu štúdia, externú formu štúdia a nadstavbové štúdium. </w:t>
      </w:r>
    </w:p>
    <w:p w14:paraId="01345F72" w14:textId="77777777" w:rsidR="00B73FDB" w:rsidRPr="00352CED" w:rsidRDefault="00B73FDB" w:rsidP="00352CED">
      <w:pPr>
        <w:pStyle w:val="Normlnywebov"/>
        <w:jc w:val="both"/>
        <w:rPr>
          <w:rFonts w:ascii="Calibri" w:hAnsi="Calibri" w:cs="Calibri"/>
          <w:b/>
          <w:color w:val="244061"/>
        </w:rPr>
      </w:pPr>
      <w:r w:rsidRPr="00352CED">
        <w:rPr>
          <w:rFonts w:ascii="Calibri" w:hAnsi="Calibri" w:cs="Calibri"/>
          <w:b/>
          <w:color w:val="244061"/>
        </w:rPr>
        <w:lastRenderedPageBreak/>
        <w:t>Prvok 8.3.43: Spojená škola, SNP 30, Ivanka pri Dunaji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9"/>
        <w:gridCol w:w="2728"/>
        <w:gridCol w:w="1208"/>
        <w:gridCol w:w="1206"/>
        <w:gridCol w:w="1081"/>
        <w:gridCol w:w="1206"/>
        <w:gridCol w:w="2428"/>
      </w:tblGrid>
      <w:tr w:rsidR="00B73FDB" w:rsidRPr="00B73FDB" w14:paraId="6F08F72E" w14:textId="77777777" w:rsidTr="00B73FDB">
        <w:trPr>
          <w:tblCellSpacing w:w="15" w:type="dxa"/>
        </w:trPr>
        <w:tc>
          <w:tcPr>
            <w:tcW w:w="269" w:type="pct"/>
            <w:shd w:val="clear" w:color="auto" w:fill="C6DBF7"/>
            <w:vAlign w:val="center"/>
            <w:hideMark/>
          </w:tcPr>
          <w:p w14:paraId="513E563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7" w:type="pct"/>
            <w:shd w:val="clear" w:color="auto" w:fill="C6DBF7"/>
            <w:vAlign w:val="center"/>
            <w:hideMark/>
          </w:tcPr>
          <w:p w14:paraId="5F7EE9A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2" w:type="pct"/>
            <w:shd w:val="clear" w:color="auto" w:fill="C6DBF7"/>
            <w:vAlign w:val="center"/>
            <w:hideMark/>
          </w:tcPr>
          <w:p w14:paraId="22D6974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1" w:type="pct"/>
            <w:shd w:val="clear" w:color="auto" w:fill="C6DBF7"/>
            <w:vAlign w:val="center"/>
            <w:hideMark/>
          </w:tcPr>
          <w:p w14:paraId="1D75DF4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2" w:type="pct"/>
            <w:shd w:val="clear" w:color="auto" w:fill="C6DBF7"/>
            <w:vAlign w:val="center"/>
            <w:hideMark/>
          </w:tcPr>
          <w:p w14:paraId="4E02620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1" w:type="pct"/>
            <w:shd w:val="clear" w:color="auto" w:fill="C6DBF7"/>
            <w:vAlign w:val="center"/>
            <w:hideMark/>
          </w:tcPr>
          <w:p w14:paraId="4C77A73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2555FE4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15A9CCE3" w14:textId="77777777" w:rsidTr="00B73FDB">
        <w:trPr>
          <w:tblCellSpacing w:w="15" w:type="dxa"/>
        </w:trPr>
        <w:tc>
          <w:tcPr>
            <w:tcW w:w="269" w:type="pct"/>
            <w:shd w:val="clear" w:color="auto" w:fill="D9D9D9"/>
            <w:noWrap/>
            <w:vAlign w:val="center"/>
            <w:hideMark/>
          </w:tcPr>
          <w:p w14:paraId="45FF968C" w14:textId="77777777" w:rsidR="00B73FDB" w:rsidRPr="00B73FDB" w:rsidRDefault="00B73FDB" w:rsidP="00B73FDB">
            <w:pPr>
              <w:spacing w:after="0" w:line="240" w:lineRule="auto"/>
              <w:jc w:val="center"/>
              <w:rPr>
                <w:rFonts w:cs="Calibri"/>
                <w:sz w:val="18"/>
                <w:szCs w:val="18"/>
                <w:lang w:eastAsia="sk-SK"/>
              </w:rPr>
            </w:pPr>
          </w:p>
        </w:tc>
        <w:tc>
          <w:tcPr>
            <w:tcW w:w="1287" w:type="pct"/>
            <w:shd w:val="clear" w:color="auto" w:fill="D9D9D9"/>
            <w:vAlign w:val="center"/>
            <w:hideMark/>
          </w:tcPr>
          <w:p w14:paraId="793F55F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2" w:type="pct"/>
            <w:shd w:val="clear" w:color="auto" w:fill="D9D9D9"/>
            <w:noWrap/>
            <w:vAlign w:val="center"/>
            <w:hideMark/>
          </w:tcPr>
          <w:p w14:paraId="0DD2E90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2 866 496,00</w:t>
            </w:r>
            <w:r w:rsidRPr="00B73FDB">
              <w:rPr>
                <w:rFonts w:cs="Calibri"/>
                <w:sz w:val="18"/>
                <w:szCs w:val="18"/>
                <w:lang w:eastAsia="sk-SK"/>
              </w:rPr>
              <w:t xml:space="preserve"> </w:t>
            </w:r>
          </w:p>
        </w:tc>
        <w:tc>
          <w:tcPr>
            <w:tcW w:w="561" w:type="pct"/>
            <w:shd w:val="clear" w:color="auto" w:fill="D9D9D9"/>
            <w:noWrap/>
            <w:vAlign w:val="center"/>
            <w:hideMark/>
          </w:tcPr>
          <w:p w14:paraId="6F41D5C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2 942 547,64</w:t>
            </w:r>
            <w:r w:rsidRPr="00B73FDB">
              <w:rPr>
                <w:rFonts w:cs="Calibri"/>
                <w:sz w:val="18"/>
                <w:szCs w:val="18"/>
                <w:lang w:eastAsia="sk-SK"/>
              </w:rPr>
              <w:t xml:space="preserve"> </w:t>
            </w:r>
          </w:p>
        </w:tc>
        <w:tc>
          <w:tcPr>
            <w:tcW w:w="502" w:type="pct"/>
            <w:shd w:val="clear" w:color="auto" w:fill="D9D9D9"/>
            <w:noWrap/>
            <w:vAlign w:val="center"/>
            <w:hideMark/>
          </w:tcPr>
          <w:p w14:paraId="4BB239C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2 651 471,43</w:t>
            </w:r>
            <w:r w:rsidRPr="00B73FDB">
              <w:rPr>
                <w:rFonts w:cs="Calibri"/>
                <w:sz w:val="18"/>
                <w:szCs w:val="18"/>
                <w:lang w:eastAsia="sk-SK"/>
              </w:rPr>
              <w:t xml:space="preserve"> </w:t>
            </w:r>
          </w:p>
        </w:tc>
        <w:tc>
          <w:tcPr>
            <w:tcW w:w="561" w:type="pct"/>
            <w:shd w:val="clear" w:color="auto" w:fill="D9D9D9"/>
            <w:noWrap/>
            <w:vAlign w:val="center"/>
            <w:hideMark/>
          </w:tcPr>
          <w:p w14:paraId="0F5EB00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90,11</w:t>
            </w:r>
            <w:r w:rsidRPr="00B73FDB">
              <w:rPr>
                <w:rFonts w:cs="Calibri"/>
                <w:sz w:val="18"/>
                <w:szCs w:val="18"/>
                <w:lang w:eastAsia="sk-SK"/>
              </w:rPr>
              <w:t xml:space="preserve"> </w:t>
            </w:r>
          </w:p>
        </w:tc>
        <w:tc>
          <w:tcPr>
            <w:tcW w:w="1137" w:type="pct"/>
            <w:vMerge w:val="restart"/>
            <w:shd w:val="clear" w:color="auto" w:fill="D9D9D9"/>
            <w:vAlign w:val="center"/>
            <w:hideMark/>
          </w:tcPr>
          <w:p w14:paraId="3E92D8C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-17 413,00 EUR</w:t>
            </w:r>
            <w:r w:rsidRPr="00B73FDB">
              <w:rPr>
                <w:rFonts w:cs="Calibri"/>
                <w:sz w:val="18"/>
                <w:szCs w:val="18"/>
                <w:lang w:eastAsia="sk-SK"/>
              </w:rPr>
              <w:t xml:space="preserve"> normatívne finančné prostriedky,</w:t>
            </w:r>
          </w:p>
          <w:p w14:paraId="2292150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+254,00 EUR</w:t>
            </w:r>
            <w:r w:rsidRPr="00B73FDB">
              <w:rPr>
                <w:rFonts w:cs="Calibri"/>
                <w:sz w:val="18"/>
                <w:szCs w:val="18"/>
                <w:lang w:eastAsia="sk-SK"/>
              </w:rPr>
              <w:t xml:space="preserve"> normatívne finančné prostriedky na maturity,</w:t>
            </w:r>
          </w:p>
          <w:p w14:paraId="593E11EC"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+5 338,00 EUR</w:t>
            </w:r>
            <w:r w:rsidRPr="00B73FDB">
              <w:rPr>
                <w:rFonts w:cs="Calibri"/>
                <w:sz w:val="18"/>
                <w:szCs w:val="18"/>
                <w:lang w:eastAsia="sk-SK"/>
              </w:rPr>
              <w:t xml:space="preserve"> príspevok na rekreáciu zamestnancov,</w:t>
            </w:r>
          </w:p>
          <w:p w14:paraId="3D427D2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+761,00 EUR </w:t>
            </w:r>
            <w:r w:rsidRPr="00B73FDB">
              <w:rPr>
                <w:rFonts w:cs="Calibri"/>
                <w:sz w:val="18"/>
                <w:szCs w:val="18"/>
                <w:lang w:eastAsia="sk-SK"/>
              </w:rPr>
              <w:t>nenormatívne finančné prostriedky na vzdelávacie poukazy,</w:t>
            </w:r>
          </w:p>
          <w:p w14:paraId="3AC802A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+3 000,00 EUR</w:t>
            </w:r>
            <w:r w:rsidRPr="00B73FDB">
              <w:rPr>
                <w:rFonts w:cs="Calibri"/>
                <w:sz w:val="18"/>
                <w:szCs w:val="18"/>
                <w:lang w:eastAsia="sk-SK"/>
              </w:rPr>
              <w:t xml:space="preserve"> aktivity, zamerané na šírenie hodnôt UNESCO,</w:t>
            </w:r>
          </w:p>
          <w:p w14:paraId="261AB76E"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+3 968,00 EUR</w:t>
            </w:r>
            <w:r w:rsidRPr="00B73FDB">
              <w:rPr>
                <w:rFonts w:cs="Calibri"/>
                <w:sz w:val="18"/>
                <w:szCs w:val="18"/>
                <w:lang w:eastAsia="sk-SK"/>
              </w:rPr>
              <w:t xml:space="preserve"> odchodné do dôchodku,</w:t>
            </w:r>
          </w:p>
          <w:p w14:paraId="69FBCCF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+2 548,00 EUR</w:t>
            </w:r>
            <w:r w:rsidRPr="00B73FDB">
              <w:rPr>
                <w:rFonts w:cs="Calibri"/>
                <w:sz w:val="18"/>
                <w:szCs w:val="18"/>
                <w:lang w:eastAsia="sk-SK"/>
              </w:rPr>
              <w:t xml:space="preserve"> osobné  náklady asistentov učiteľa pre žiakov so zdravotným znevýhodnením,</w:t>
            </w:r>
          </w:p>
          <w:p w14:paraId="7BF380B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+3 600,00 EUR</w:t>
            </w:r>
            <w:r w:rsidRPr="00B73FDB">
              <w:rPr>
                <w:rFonts w:cs="Calibri"/>
                <w:sz w:val="18"/>
                <w:szCs w:val="18"/>
                <w:lang w:eastAsia="sk-SK"/>
              </w:rPr>
              <w:t xml:space="preserve"> nenormatívne finančné prostriedky na lyžiarske kurzy,</w:t>
            </w:r>
          </w:p>
          <w:p w14:paraId="479EBE6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+5 105,21 EUR</w:t>
            </w:r>
            <w:r w:rsidRPr="00B73FDB">
              <w:rPr>
                <w:rFonts w:cs="Calibri"/>
                <w:sz w:val="18"/>
                <w:szCs w:val="18"/>
                <w:lang w:eastAsia="sk-SK"/>
              </w:rPr>
              <w:t xml:space="preserve"> nevyčerpané finančné prostriedky z r. 2019</w:t>
            </w:r>
          </w:p>
          <w:p w14:paraId="2FFB7D6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+2 000,00</w:t>
            </w:r>
            <w:r w:rsidRPr="00B73FDB">
              <w:rPr>
                <w:rFonts w:cs="Calibri"/>
                <w:sz w:val="18"/>
                <w:szCs w:val="18"/>
                <w:lang w:eastAsia="sk-SK"/>
              </w:rPr>
              <w:t xml:space="preserve"> rozvojový projekt,</w:t>
            </w:r>
          </w:p>
          <w:p w14:paraId="5E0718F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+380,00 EUR</w:t>
            </w:r>
            <w:r w:rsidRPr="00B73FDB">
              <w:rPr>
                <w:rFonts w:cs="Calibri"/>
                <w:sz w:val="18"/>
                <w:szCs w:val="18"/>
                <w:lang w:eastAsia="sk-SK"/>
              </w:rPr>
              <w:t xml:space="preserve"> školské súťaže z OÚ,</w:t>
            </w:r>
          </w:p>
          <w:p w14:paraId="51564E58"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+21 057,60 EUR</w:t>
            </w:r>
            <w:r w:rsidRPr="00B73FDB">
              <w:rPr>
                <w:rFonts w:cs="Calibri"/>
                <w:sz w:val="18"/>
                <w:szCs w:val="18"/>
                <w:lang w:eastAsia="sk-SK"/>
              </w:rPr>
              <w:t xml:space="preserve"> navýšenie rozpočtu projektového účtu,</w:t>
            </w:r>
          </w:p>
          <w:p w14:paraId="770854CA"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+7 452,83 EUR</w:t>
            </w:r>
            <w:r w:rsidRPr="00B73FDB">
              <w:rPr>
                <w:rFonts w:cs="Calibri"/>
                <w:sz w:val="18"/>
                <w:szCs w:val="18"/>
                <w:lang w:eastAsia="sk-SK"/>
              </w:rPr>
              <w:t xml:space="preserve"> príjmy z prenájmov.</w:t>
            </w:r>
          </w:p>
        </w:tc>
      </w:tr>
      <w:tr w:rsidR="00B73FDB" w:rsidRPr="00B73FDB" w14:paraId="10B71F29" w14:textId="77777777" w:rsidTr="00B73FDB">
        <w:trPr>
          <w:tblCellSpacing w:w="15" w:type="dxa"/>
        </w:trPr>
        <w:tc>
          <w:tcPr>
            <w:tcW w:w="269" w:type="pct"/>
            <w:shd w:val="clear" w:color="auto" w:fill="D9D9D9"/>
            <w:noWrap/>
            <w:vAlign w:val="center"/>
            <w:hideMark/>
          </w:tcPr>
          <w:p w14:paraId="2E25CB8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7" w:type="pct"/>
            <w:shd w:val="clear" w:color="auto" w:fill="D9D9D9"/>
            <w:vAlign w:val="center"/>
            <w:hideMark/>
          </w:tcPr>
          <w:p w14:paraId="7AFEA4B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2" w:type="pct"/>
            <w:shd w:val="clear" w:color="auto" w:fill="D9D9D9"/>
            <w:noWrap/>
            <w:vAlign w:val="center"/>
            <w:hideMark/>
          </w:tcPr>
          <w:p w14:paraId="16018E5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2 866 496,00</w:t>
            </w:r>
            <w:r w:rsidRPr="00B73FDB">
              <w:rPr>
                <w:rFonts w:cs="Calibri"/>
                <w:sz w:val="18"/>
                <w:szCs w:val="18"/>
                <w:lang w:eastAsia="sk-SK"/>
              </w:rPr>
              <w:t xml:space="preserve"> </w:t>
            </w:r>
          </w:p>
        </w:tc>
        <w:tc>
          <w:tcPr>
            <w:tcW w:w="561" w:type="pct"/>
            <w:shd w:val="clear" w:color="auto" w:fill="D9D9D9"/>
            <w:noWrap/>
            <w:vAlign w:val="center"/>
            <w:hideMark/>
          </w:tcPr>
          <w:p w14:paraId="54BE90A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2 904 547,64</w:t>
            </w:r>
            <w:r w:rsidRPr="00B73FDB">
              <w:rPr>
                <w:rFonts w:cs="Calibri"/>
                <w:sz w:val="18"/>
                <w:szCs w:val="18"/>
                <w:lang w:eastAsia="sk-SK"/>
              </w:rPr>
              <w:t xml:space="preserve"> </w:t>
            </w:r>
          </w:p>
        </w:tc>
        <w:tc>
          <w:tcPr>
            <w:tcW w:w="502" w:type="pct"/>
            <w:shd w:val="clear" w:color="auto" w:fill="D9D9D9"/>
            <w:noWrap/>
            <w:vAlign w:val="center"/>
            <w:hideMark/>
          </w:tcPr>
          <w:p w14:paraId="2DC0F3F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2 613 471,43</w:t>
            </w:r>
            <w:r w:rsidRPr="00B73FDB">
              <w:rPr>
                <w:rFonts w:cs="Calibri"/>
                <w:sz w:val="18"/>
                <w:szCs w:val="18"/>
                <w:lang w:eastAsia="sk-SK"/>
              </w:rPr>
              <w:t xml:space="preserve"> </w:t>
            </w:r>
          </w:p>
        </w:tc>
        <w:tc>
          <w:tcPr>
            <w:tcW w:w="561" w:type="pct"/>
            <w:shd w:val="clear" w:color="auto" w:fill="D9D9D9"/>
            <w:noWrap/>
            <w:vAlign w:val="center"/>
            <w:hideMark/>
          </w:tcPr>
          <w:p w14:paraId="5E5D4B7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89,98</w:t>
            </w:r>
            <w:r w:rsidRPr="00B73FDB">
              <w:rPr>
                <w:rFonts w:cs="Calibri"/>
                <w:sz w:val="18"/>
                <w:szCs w:val="18"/>
                <w:lang w:eastAsia="sk-SK"/>
              </w:rPr>
              <w:t xml:space="preserve"> </w:t>
            </w:r>
          </w:p>
        </w:tc>
        <w:tc>
          <w:tcPr>
            <w:tcW w:w="1137" w:type="pct"/>
            <w:vMerge/>
            <w:shd w:val="clear" w:color="auto" w:fill="D9D9D9"/>
            <w:vAlign w:val="center"/>
            <w:hideMark/>
          </w:tcPr>
          <w:p w14:paraId="3C25C9AF" w14:textId="77777777" w:rsidR="00B73FDB" w:rsidRPr="00B73FDB" w:rsidRDefault="00B73FDB" w:rsidP="00B73FDB">
            <w:pPr>
              <w:spacing w:after="0" w:line="240" w:lineRule="auto"/>
              <w:rPr>
                <w:rFonts w:cs="Calibri"/>
                <w:sz w:val="18"/>
                <w:szCs w:val="18"/>
                <w:lang w:eastAsia="sk-SK"/>
              </w:rPr>
            </w:pPr>
          </w:p>
        </w:tc>
      </w:tr>
      <w:tr w:rsidR="00B73FDB" w:rsidRPr="00B73FDB" w14:paraId="42E012FD" w14:textId="77777777" w:rsidTr="00B73FDB">
        <w:trPr>
          <w:tblCellSpacing w:w="15" w:type="dxa"/>
        </w:trPr>
        <w:tc>
          <w:tcPr>
            <w:tcW w:w="269" w:type="pct"/>
            <w:shd w:val="clear" w:color="auto" w:fill="EFEFEF"/>
            <w:noWrap/>
            <w:vAlign w:val="center"/>
            <w:hideMark/>
          </w:tcPr>
          <w:p w14:paraId="5C33208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7" w:type="pct"/>
            <w:shd w:val="clear" w:color="auto" w:fill="EFEFEF"/>
            <w:vAlign w:val="center"/>
            <w:hideMark/>
          </w:tcPr>
          <w:p w14:paraId="3074344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2" w:type="pct"/>
            <w:shd w:val="clear" w:color="auto" w:fill="EFEFEF"/>
            <w:noWrap/>
            <w:vAlign w:val="center"/>
            <w:hideMark/>
          </w:tcPr>
          <w:p w14:paraId="7505B7E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1 564 520,00 </w:t>
            </w:r>
          </w:p>
        </w:tc>
        <w:tc>
          <w:tcPr>
            <w:tcW w:w="561" w:type="pct"/>
            <w:shd w:val="clear" w:color="auto" w:fill="EFEFEF"/>
            <w:noWrap/>
            <w:vAlign w:val="center"/>
            <w:hideMark/>
          </w:tcPr>
          <w:p w14:paraId="776D9A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1 627 209,18 </w:t>
            </w:r>
          </w:p>
        </w:tc>
        <w:tc>
          <w:tcPr>
            <w:tcW w:w="502" w:type="pct"/>
            <w:shd w:val="clear" w:color="auto" w:fill="EFEFEF"/>
            <w:noWrap/>
            <w:vAlign w:val="center"/>
            <w:hideMark/>
          </w:tcPr>
          <w:p w14:paraId="42CAECC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1 571 504,24 </w:t>
            </w:r>
          </w:p>
        </w:tc>
        <w:tc>
          <w:tcPr>
            <w:tcW w:w="561" w:type="pct"/>
            <w:shd w:val="clear" w:color="auto" w:fill="EFEFEF"/>
            <w:noWrap/>
            <w:vAlign w:val="center"/>
            <w:hideMark/>
          </w:tcPr>
          <w:p w14:paraId="7DEAF87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96,58 </w:t>
            </w:r>
          </w:p>
        </w:tc>
        <w:tc>
          <w:tcPr>
            <w:tcW w:w="1137" w:type="pct"/>
            <w:vMerge/>
            <w:shd w:val="clear" w:color="auto" w:fill="EFEFEF"/>
            <w:vAlign w:val="center"/>
            <w:hideMark/>
          </w:tcPr>
          <w:p w14:paraId="3A49F8F1" w14:textId="77777777" w:rsidR="00B73FDB" w:rsidRPr="00B73FDB" w:rsidRDefault="00B73FDB" w:rsidP="00B73FDB">
            <w:pPr>
              <w:spacing w:after="0" w:line="240" w:lineRule="auto"/>
              <w:rPr>
                <w:rFonts w:cs="Calibri"/>
                <w:sz w:val="18"/>
                <w:szCs w:val="18"/>
                <w:lang w:eastAsia="sk-SK"/>
              </w:rPr>
            </w:pPr>
          </w:p>
        </w:tc>
      </w:tr>
      <w:tr w:rsidR="00B73FDB" w:rsidRPr="00B73FDB" w14:paraId="111FE89E" w14:textId="77777777" w:rsidTr="00B73FDB">
        <w:trPr>
          <w:tblCellSpacing w:w="15" w:type="dxa"/>
        </w:trPr>
        <w:tc>
          <w:tcPr>
            <w:tcW w:w="269" w:type="pct"/>
            <w:shd w:val="clear" w:color="auto" w:fill="EFEFEF"/>
            <w:noWrap/>
            <w:vAlign w:val="center"/>
            <w:hideMark/>
          </w:tcPr>
          <w:p w14:paraId="29453AC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7" w:type="pct"/>
            <w:shd w:val="clear" w:color="auto" w:fill="EFEFEF"/>
            <w:vAlign w:val="center"/>
            <w:hideMark/>
          </w:tcPr>
          <w:p w14:paraId="5FED512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2" w:type="pct"/>
            <w:shd w:val="clear" w:color="auto" w:fill="EFEFEF"/>
            <w:noWrap/>
            <w:vAlign w:val="center"/>
            <w:hideMark/>
          </w:tcPr>
          <w:p w14:paraId="2E4EB2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546 800,00 </w:t>
            </w:r>
          </w:p>
        </w:tc>
        <w:tc>
          <w:tcPr>
            <w:tcW w:w="561" w:type="pct"/>
            <w:shd w:val="clear" w:color="auto" w:fill="EFEFEF"/>
            <w:noWrap/>
            <w:vAlign w:val="center"/>
            <w:hideMark/>
          </w:tcPr>
          <w:p w14:paraId="1C1A7D0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539 148,74 </w:t>
            </w:r>
          </w:p>
        </w:tc>
        <w:tc>
          <w:tcPr>
            <w:tcW w:w="502" w:type="pct"/>
            <w:shd w:val="clear" w:color="auto" w:fill="EFEFEF"/>
            <w:noWrap/>
            <w:vAlign w:val="center"/>
            <w:hideMark/>
          </w:tcPr>
          <w:p w14:paraId="3F3C301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518 852,30 </w:t>
            </w:r>
          </w:p>
        </w:tc>
        <w:tc>
          <w:tcPr>
            <w:tcW w:w="561" w:type="pct"/>
            <w:shd w:val="clear" w:color="auto" w:fill="EFEFEF"/>
            <w:noWrap/>
            <w:vAlign w:val="center"/>
            <w:hideMark/>
          </w:tcPr>
          <w:p w14:paraId="030DD06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96,24 </w:t>
            </w:r>
          </w:p>
        </w:tc>
        <w:tc>
          <w:tcPr>
            <w:tcW w:w="1137" w:type="pct"/>
            <w:vMerge/>
            <w:shd w:val="clear" w:color="auto" w:fill="EFEFEF"/>
            <w:vAlign w:val="center"/>
            <w:hideMark/>
          </w:tcPr>
          <w:p w14:paraId="4401B8EB" w14:textId="77777777" w:rsidR="00B73FDB" w:rsidRPr="00B73FDB" w:rsidRDefault="00B73FDB" w:rsidP="00B73FDB">
            <w:pPr>
              <w:spacing w:after="0" w:line="240" w:lineRule="auto"/>
              <w:rPr>
                <w:rFonts w:cs="Calibri"/>
                <w:sz w:val="18"/>
                <w:szCs w:val="18"/>
                <w:lang w:eastAsia="sk-SK"/>
              </w:rPr>
            </w:pPr>
          </w:p>
        </w:tc>
      </w:tr>
      <w:tr w:rsidR="00B73FDB" w:rsidRPr="00B73FDB" w14:paraId="087A57F9" w14:textId="77777777" w:rsidTr="00B73FDB">
        <w:trPr>
          <w:tblCellSpacing w:w="15" w:type="dxa"/>
        </w:trPr>
        <w:tc>
          <w:tcPr>
            <w:tcW w:w="269" w:type="pct"/>
            <w:shd w:val="clear" w:color="auto" w:fill="EFEFEF"/>
            <w:noWrap/>
            <w:vAlign w:val="center"/>
            <w:hideMark/>
          </w:tcPr>
          <w:p w14:paraId="102BA65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7" w:type="pct"/>
            <w:shd w:val="clear" w:color="auto" w:fill="EFEFEF"/>
            <w:vAlign w:val="center"/>
            <w:hideMark/>
          </w:tcPr>
          <w:p w14:paraId="7598AF7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2" w:type="pct"/>
            <w:shd w:val="clear" w:color="auto" w:fill="EFEFEF"/>
            <w:noWrap/>
            <w:vAlign w:val="center"/>
            <w:hideMark/>
          </w:tcPr>
          <w:p w14:paraId="7D8F747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749 676,00 </w:t>
            </w:r>
          </w:p>
        </w:tc>
        <w:tc>
          <w:tcPr>
            <w:tcW w:w="561" w:type="pct"/>
            <w:shd w:val="clear" w:color="auto" w:fill="EFEFEF"/>
            <w:noWrap/>
            <w:vAlign w:val="center"/>
            <w:hideMark/>
          </w:tcPr>
          <w:p w14:paraId="0373E12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726 866,01 </w:t>
            </w:r>
          </w:p>
        </w:tc>
        <w:tc>
          <w:tcPr>
            <w:tcW w:w="502" w:type="pct"/>
            <w:shd w:val="clear" w:color="auto" w:fill="EFEFEF"/>
            <w:noWrap/>
            <w:vAlign w:val="center"/>
            <w:hideMark/>
          </w:tcPr>
          <w:p w14:paraId="0F9192F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512 348,85 </w:t>
            </w:r>
          </w:p>
        </w:tc>
        <w:tc>
          <w:tcPr>
            <w:tcW w:w="561" w:type="pct"/>
            <w:shd w:val="clear" w:color="auto" w:fill="EFEFEF"/>
            <w:noWrap/>
            <w:vAlign w:val="center"/>
            <w:hideMark/>
          </w:tcPr>
          <w:p w14:paraId="5EC0335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70,49 </w:t>
            </w:r>
          </w:p>
        </w:tc>
        <w:tc>
          <w:tcPr>
            <w:tcW w:w="1137" w:type="pct"/>
            <w:vMerge/>
            <w:shd w:val="clear" w:color="auto" w:fill="EFEFEF"/>
            <w:vAlign w:val="center"/>
            <w:hideMark/>
          </w:tcPr>
          <w:p w14:paraId="0E7DBAF7" w14:textId="77777777" w:rsidR="00B73FDB" w:rsidRPr="00B73FDB" w:rsidRDefault="00B73FDB" w:rsidP="00B73FDB">
            <w:pPr>
              <w:spacing w:after="0" w:line="240" w:lineRule="auto"/>
              <w:rPr>
                <w:rFonts w:cs="Calibri"/>
                <w:sz w:val="18"/>
                <w:szCs w:val="18"/>
                <w:lang w:eastAsia="sk-SK"/>
              </w:rPr>
            </w:pPr>
          </w:p>
        </w:tc>
      </w:tr>
      <w:tr w:rsidR="00B73FDB" w:rsidRPr="00B73FDB" w14:paraId="0EA71CAC" w14:textId="77777777" w:rsidTr="00B73FDB">
        <w:trPr>
          <w:tblCellSpacing w:w="15" w:type="dxa"/>
        </w:trPr>
        <w:tc>
          <w:tcPr>
            <w:tcW w:w="269" w:type="pct"/>
            <w:shd w:val="clear" w:color="auto" w:fill="EFEFEF"/>
            <w:noWrap/>
            <w:vAlign w:val="center"/>
            <w:hideMark/>
          </w:tcPr>
          <w:p w14:paraId="588D8E7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7" w:type="pct"/>
            <w:shd w:val="clear" w:color="auto" w:fill="EFEFEF"/>
            <w:vAlign w:val="center"/>
            <w:hideMark/>
          </w:tcPr>
          <w:p w14:paraId="499EA4F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2" w:type="pct"/>
            <w:shd w:val="clear" w:color="auto" w:fill="EFEFEF"/>
            <w:noWrap/>
            <w:vAlign w:val="center"/>
            <w:hideMark/>
          </w:tcPr>
          <w:p w14:paraId="662AC9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5 500,00 </w:t>
            </w:r>
          </w:p>
        </w:tc>
        <w:tc>
          <w:tcPr>
            <w:tcW w:w="561" w:type="pct"/>
            <w:shd w:val="clear" w:color="auto" w:fill="EFEFEF"/>
            <w:noWrap/>
            <w:vAlign w:val="center"/>
            <w:hideMark/>
          </w:tcPr>
          <w:p w14:paraId="128421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11 323,71 </w:t>
            </w:r>
          </w:p>
        </w:tc>
        <w:tc>
          <w:tcPr>
            <w:tcW w:w="502" w:type="pct"/>
            <w:shd w:val="clear" w:color="auto" w:fill="EFEFEF"/>
            <w:noWrap/>
            <w:vAlign w:val="center"/>
            <w:hideMark/>
          </w:tcPr>
          <w:p w14:paraId="720C23A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10 766,04 </w:t>
            </w:r>
          </w:p>
        </w:tc>
        <w:tc>
          <w:tcPr>
            <w:tcW w:w="561" w:type="pct"/>
            <w:shd w:val="clear" w:color="auto" w:fill="EFEFEF"/>
            <w:noWrap/>
            <w:vAlign w:val="center"/>
            <w:hideMark/>
          </w:tcPr>
          <w:p w14:paraId="56C01CD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95,08 </w:t>
            </w:r>
          </w:p>
        </w:tc>
        <w:tc>
          <w:tcPr>
            <w:tcW w:w="1137" w:type="pct"/>
            <w:vMerge/>
            <w:shd w:val="clear" w:color="auto" w:fill="EFEFEF"/>
            <w:vAlign w:val="center"/>
            <w:hideMark/>
          </w:tcPr>
          <w:p w14:paraId="231F9BC2" w14:textId="77777777" w:rsidR="00B73FDB" w:rsidRPr="00B73FDB" w:rsidRDefault="00B73FDB" w:rsidP="00B73FDB">
            <w:pPr>
              <w:spacing w:after="0" w:line="240" w:lineRule="auto"/>
              <w:rPr>
                <w:rFonts w:cs="Calibri"/>
                <w:sz w:val="18"/>
                <w:szCs w:val="18"/>
                <w:lang w:eastAsia="sk-SK"/>
              </w:rPr>
            </w:pPr>
          </w:p>
        </w:tc>
      </w:tr>
      <w:tr w:rsidR="00B73FDB" w:rsidRPr="00B73FDB" w14:paraId="2431D214" w14:textId="77777777" w:rsidTr="00B73FDB">
        <w:trPr>
          <w:tblCellSpacing w:w="15" w:type="dxa"/>
        </w:trPr>
        <w:tc>
          <w:tcPr>
            <w:tcW w:w="269" w:type="pct"/>
            <w:shd w:val="clear" w:color="auto" w:fill="D9D9D9"/>
            <w:noWrap/>
            <w:vAlign w:val="center"/>
          </w:tcPr>
          <w:p w14:paraId="3C03B8FE"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700</w:t>
            </w:r>
          </w:p>
        </w:tc>
        <w:tc>
          <w:tcPr>
            <w:tcW w:w="1287" w:type="pct"/>
            <w:shd w:val="clear" w:color="auto" w:fill="D9D9D9"/>
            <w:vAlign w:val="center"/>
          </w:tcPr>
          <w:p w14:paraId="75DCBF30"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Kapitálové výdavky</w:t>
            </w:r>
          </w:p>
        </w:tc>
        <w:tc>
          <w:tcPr>
            <w:tcW w:w="562" w:type="pct"/>
            <w:shd w:val="clear" w:color="auto" w:fill="D9D9D9"/>
            <w:noWrap/>
            <w:vAlign w:val="center"/>
          </w:tcPr>
          <w:p w14:paraId="309F8941"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561" w:type="pct"/>
            <w:shd w:val="clear" w:color="auto" w:fill="D9D9D9"/>
            <w:noWrap/>
            <w:vAlign w:val="center"/>
          </w:tcPr>
          <w:p w14:paraId="73613CFB"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38 000,00</w:t>
            </w:r>
          </w:p>
        </w:tc>
        <w:tc>
          <w:tcPr>
            <w:tcW w:w="502" w:type="pct"/>
            <w:shd w:val="clear" w:color="auto" w:fill="D9D9D9"/>
            <w:noWrap/>
            <w:vAlign w:val="center"/>
          </w:tcPr>
          <w:p w14:paraId="746D5620"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38 000,00</w:t>
            </w:r>
          </w:p>
        </w:tc>
        <w:tc>
          <w:tcPr>
            <w:tcW w:w="561" w:type="pct"/>
            <w:shd w:val="clear" w:color="auto" w:fill="D9D9D9"/>
            <w:noWrap/>
            <w:vAlign w:val="center"/>
          </w:tcPr>
          <w:p w14:paraId="218E0E07"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100,00</w:t>
            </w:r>
          </w:p>
        </w:tc>
        <w:tc>
          <w:tcPr>
            <w:tcW w:w="1137" w:type="pct"/>
            <w:vMerge w:val="restart"/>
            <w:shd w:val="clear" w:color="auto" w:fill="D9D9D9"/>
            <w:vAlign w:val="center"/>
          </w:tcPr>
          <w:p w14:paraId="61BCD485"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+38 000,00 EUR</w:t>
            </w:r>
            <w:r w:rsidRPr="00B73FDB">
              <w:rPr>
                <w:rFonts w:cs="Calibri"/>
                <w:sz w:val="18"/>
                <w:szCs w:val="18"/>
                <w:lang w:eastAsia="sk-SK"/>
              </w:rPr>
              <w:t xml:space="preserve"> dotácia z Úradu vlády SR.</w:t>
            </w:r>
          </w:p>
        </w:tc>
      </w:tr>
      <w:tr w:rsidR="00B73FDB" w:rsidRPr="00B73FDB" w14:paraId="0C30D39D" w14:textId="77777777" w:rsidTr="00B73FDB">
        <w:trPr>
          <w:tblCellSpacing w:w="15" w:type="dxa"/>
        </w:trPr>
        <w:tc>
          <w:tcPr>
            <w:tcW w:w="269" w:type="pct"/>
            <w:shd w:val="clear" w:color="auto" w:fill="EFEFEF"/>
            <w:noWrap/>
            <w:vAlign w:val="center"/>
          </w:tcPr>
          <w:p w14:paraId="265501F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710</w:t>
            </w:r>
          </w:p>
        </w:tc>
        <w:tc>
          <w:tcPr>
            <w:tcW w:w="1287" w:type="pct"/>
            <w:shd w:val="clear" w:color="auto" w:fill="EFEFEF"/>
            <w:vAlign w:val="center"/>
          </w:tcPr>
          <w:p w14:paraId="263A0DA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Obstarávanie kapitálových aktív</w:t>
            </w:r>
          </w:p>
        </w:tc>
        <w:tc>
          <w:tcPr>
            <w:tcW w:w="562" w:type="pct"/>
            <w:shd w:val="clear" w:color="auto" w:fill="EFEFEF"/>
            <w:noWrap/>
            <w:vAlign w:val="center"/>
          </w:tcPr>
          <w:p w14:paraId="1C2A386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61" w:type="pct"/>
            <w:shd w:val="clear" w:color="auto" w:fill="EFEFEF"/>
            <w:noWrap/>
            <w:vAlign w:val="center"/>
          </w:tcPr>
          <w:p w14:paraId="1AC2898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38 000,00</w:t>
            </w:r>
          </w:p>
        </w:tc>
        <w:tc>
          <w:tcPr>
            <w:tcW w:w="502" w:type="pct"/>
            <w:shd w:val="clear" w:color="auto" w:fill="EFEFEF"/>
            <w:noWrap/>
            <w:vAlign w:val="center"/>
          </w:tcPr>
          <w:p w14:paraId="3421FBA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38 000,00</w:t>
            </w:r>
          </w:p>
        </w:tc>
        <w:tc>
          <w:tcPr>
            <w:tcW w:w="561" w:type="pct"/>
            <w:shd w:val="clear" w:color="auto" w:fill="EFEFEF"/>
            <w:noWrap/>
            <w:vAlign w:val="center"/>
          </w:tcPr>
          <w:p w14:paraId="16BFC45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100,00</w:t>
            </w:r>
          </w:p>
        </w:tc>
        <w:tc>
          <w:tcPr>
            <w:tcW w:w="1137" w:type="pct"/>
            <w:vMerge/>
            <w:shd w:val="clear" w:color="auto" w:fill="EFEFEF"/>
            <w:vAlign w:val="center"/>
          </w:tcPr>
          <w:p w14:paraId="55DCA19C" w14:textId="77777777" w:rsidR="00B73FDB" w:rsidRPr="00B73FDB" w:rsidRDefault="00B73FDB" w:rsidP="00B73FDB">
            <w:pPr>
              <w:spacing w:after="0" w:line="240" w:lineRule="auto"/>
              <w:rPr>
                <w:rFonts w:cs="Calibri"/>
                <w:sz w:val="18"/>
                <w:szCs w:val="18"/>
                <w:lang w:eastAsia="sk-SK"/>
              </w:rPr>
            </w:pPr>
          </w:p>
        </w:tc>
      </w:tr>
    </w:tbl>
    <w:p w14:paraId="4832DDC4"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1"/>
        <w:gridCol w:w="774"/>
        <w:gridCol w:w="1834"/>
        <w:gridCol w:w="1318"/>
        <w:gridCol w:w="4159"/>
      </w:tblGrid>
      <w:tr w:rsidR="00B73FDB" w:rsidRPr="00B73FDB" w14:paraId="5D6B5105" w14:textId="77777777" w:rsidTr="00B73FDB">
        <w:trPr>
          <w:tblCellSpacing w:w="15" w:type="dxa"/>
        </w:trPr>
        <w:tc>
          <w:tcPr>
            <w:tcW w:w="0" w:type="auto"/>
            <w:shd w:val="clear" w:color="auto" w:fill="C2D69B"/>
            <w:vAlign w:val="center"/>
            <w:hideMark/>
          </w:tcPr>
          <w:p w14:paraId="627276B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C41A53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1306F652" w14:textId="77777777" w:rsidTr="00B73FDB">
        <w:trPr>
          <w:tblCellSpacing w:w="15" w:type="dxa"/>
        </w:trPr>
        <w:tc>
          <w:tcPr>
            <w:tcW w:w="0" w:type="auto"/>
            <w:shd w:val="clear" w:color="auto" w:fill="C2D69B"/>
            <w:vAlign w:val="center"/>
            <w:hideMark/>
          </w:tcPr>
          <w:p w14:paraId="79100F3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823DDF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Spojenej škole </w:t>
            </w:r>
          </w:p>
        </w:tc>
      </w:tr>
      <w:tr w:rsidR="00B73FDB" w:rsidRPr="00B73FDB" w14:paraId="1015B3C4" w14:textId="77777777" w:rsidTr="00B73FDB">
        <w:trPr>
          <w:tblCellSpacing w:w="15" w:type="dxa"/>
        </w:trPr>
        <w:tc>
          <w:tcPr>
            <w:tcW w:w="0" w:type="auto"/>
            <w:shd w:val="clear" w:color="auto" w:fill="C2D69B"/>
            <w:vAlign w:val="center"/>
            <w:hideMark/>
          </w:tcPr>
          <w:p w14:paraId="0D24541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5BA1DC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32B75D99" w14:textId="77777777" w:rsidTr="00B73FDB">
        <w:trPr>
          <w:tblCellSpacing w:w="15" w:type="dxa"/>
        </w:trPr>
        <w:tc>
          <w:tcPr>
            <w:tcW w:w="0" w:type="auto"/>
            <w:shd w:val="clear" w:color="auto" w:fill="C2D69B"/>
            <w:vAlign w:val="center"/>
            <w:hideMark/>
          </w:tcPr>
          <w:p w14:paraId="2B9E107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9EA69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0E94BF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113230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634CD5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828C17A" w14:textId="77777777" w:rsidTr="00B73FDB">
        <w:trPr>
          <w:tblCellSpacing w:w="15" w:type="dxa"/>
        </w:trPr>
        <w:tc>
          <w:tcPr>
            <w:tcW w:w="0" w:type="auto"/>
            <w:shd w:val="clear" w:color="auto" w:fill="C2D69B"/>
            <w:vAlign w:val="center"/>
            <w:hideMark/>
          </w:tcPr>
          <w:p w14:paraId="3F8E973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C4CE52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625 </w:t>
            </w:r>
          </w:p>
        </w:tc>
        <w:tc>
          <w:tcPr>
            <w:tcW w:w="0" w:type="auto"/>
            <w:shd w:val="clear" w:color="auto" w:fill="C2D69B"/>
            <w:noWrap/>
            <w:vAlign w:val="center"/>
            <w:hideMark/>
          </w:tcPr>
          <w:p w14:paraId="0CFF51B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707 </w:t>
            </w:r>
          </w:p>
        </w:tc>
        <w:tc>
          <w:tcPr>
            <w:tcW w:w="0" w:type="auto"/>
            <w:shd w:val="clear" w:color="auto" w:fill="C2D69B"/>
            <w:vAlign w:val="center"/>
            <w:hideMark/>
          </w:tcPr>
          <w:p w14:paraId="39EEF02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E803973"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32067F3" w14:textId="77777777" w:rsidTr="00B73FDB">
        <w:trPr>
          <w:tblCellSpacing w:w="15" w:type="dxa"/>
        </w:trPr>
        <w:tc>
          <w:tcPr>
            <w:tcW w:w="0" w:type="auto"/>
            <w:shd w:val="clear" w:color="auto" w:fill="C2D69B"/>
            <w:vAlign w:val="center"/>
            <w:hideMark/>
          </w:tcPr>
          <w:p w14:paraId="0E9330D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FC5D24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14E1A1D4" w14:textId="77777777" w:rsidTr="00B73FDB">
        <w:trPr>
          <w:tblCellSpacing w:w="15" w:type="dxa"/>
        </w:trPr>
        <w:tc>
          <w:tcPr>
            <w:tcW w:w="0" w:type="auto"/>
            <w:shd w:val="clear" w:color="auto" w:fill="C2D69B"/>
            <w:vAlign w:val="center"/>
            <w:hideMark/>
          </w:tcPr>
          <w:p w14:paraId="2D40A8A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493AEB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0A19E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35725B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14FFE7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04EAB67" w14:textId="77777777" w:rsidTr="00B73FDB">
        <w:trPr>
          <w:tblCellSpacing w:w="15" w:type="dxa"/>
        </w:trPr>
        <w:tc>
          <w:tcPr>
            <w:tcW w:w="0" w:type="auto"/>
            <w:shd w:val="clear" w:color="auto" w:fill="C2D69B"/>
            <w:vAlign w:val="center"/>
            <w:hideMark/>
          </w:tcPr>
          <w:p w14:paraId="2F09F4E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C04B57B"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582 </w:t>
            </w:r>
          </w:p>
        </w:tc>
        <w:tc>
          <w:tcPr>
            <w:tcW w:w="0" w:type="auto"/>
            <w:shd w:val="clear" w:color="auto" w:fill="C2D69B"/>
            <w:noWrap/>
            <w:vAlign w:val="center"/>
            <w:hideMark/>
          </w:tcPr>
          <w:p w14:paraId="4BB303A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666 </w:t>
            </w:r>
          </w:p>
        </w:tc>
        <w:tc>
          <w:tcPr>
            <w:tcW w:w="0" w:type="auto"/>
            <w:shd w:val="clear" w:color="auto" w:fill="C2D69B"/>
            <w:vAlign w:val="center"/>
            <w:hideMark/>
          </w:tcPr>
          <w:p w14:paraId="2DA0F57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2F4B19E" w14:textId="77777777" w:rsidR="00B73FDB" w:rsidRPr="00B73FDB" w:rsidRDefault="00B73FDB" w:rsidP="00B73FDB">
            <w:pPr>
              <w:spacing w:after="0" w:line="240" w:lineRule="auto"/>
              <w:jc w:val="center"/>
              <w:rPr>
                <w:rFonts w:cs="Calibri"/>
                <w:sz w:val="18"/>
                <w:szCs w:val="18"/>
                <w:lang w:eastAsia="sk-SK"/>
              </w:rPr>
            </w:pPr>
          </w:p>
        </w:tc>
      </w:tr>
    </w:tbl>
    <w:p w14:paraId="75126050"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Zameranie učebných a študijných odborov je na </w:t>
      </w:r>
      <w:proofErr w:type="spellStart"/>
      <w:r w:rsidRPr="00B73FDB">
        <w:rPr>
          <w:rFonts w:cs="Calibri"/>
          <w:sz w:val="24"/>
          <w:szCs w:val="24"/>
          <w:lang w:eastAsia="sk-SK"/>
        </w:rPr>
        <w:t>agropodnikanie</w:t>
      </w:r>
      <w:proofErr w:type="spellEnd"/>
      <w:r w:rsidRPr="00B73FDB">
        <w:rPr>
          <w:rFonts w:cs="Calibri"/>
          <w:sz w:val="24"/>
          <w:szCs w:val="24"/>
          <w:lang w:eastAsia="sk-SK"/>
        </w:rPr>
        <w:t>, poľnohospodárstvo, lesné hospodárstvo, rozvoj vidieka a služby v cestovnom ruchu, veterinárne zdravotníctvo a hygiena - drobnochov v dennej forme štúdia, nadstavbovom, externom a pomaturitnom štúdiu. Od 1. 9. 2012 škola pôsobí ako Centrum odborného vzdelávania a prípravy pre oblasť poľnohospodárstva a rozvoja vidieka.</w:t>
      </w:r>
    </w:p>
    <w:p w14:paraId="5D05CB5B" w14:textId="77777777" w:rsidR="00B73FDB" w:rsidRPr="00352CED" w:rsidRDefault="00B73FDB" w:rsidP="00B73FDB">
      <w:pPr>
        <w:keepNext/>
        <w:keepLines/>
        <w:spacing w:before="40" w:after="0" w:line="259" w:lineRule="auto"/>
        <w:jc w:val="both"/>
        <w:outlineLvl w:val="3"/>
        <w:rPr>
          <w:rFonts w:cs="Calibri"/>
          <w:b/>
          <w:color w:val="244061"/>
          <w:sz w:val="24"/>
          <w:szCs w:val="24"/>
          <w:lang w:eastAsia="sk-SK"/>
        </w:rPr>
      </w:pPr>
      <w:r w:rsidRPr="00352CED">
        <w:rPr>
          <w:rFonts w:cs="Calibri"/>
          <w:b/>
          <w:color w:val="244061"/>
          <w:sz w:val="24"/>
          <w:szCs w:val="24"/>
          <w:lang w:eastAsia="sk-SK"/>
        </w:rPr>
        <w:t>Prvok 8.3.44 Spojená škola s vyučovacím jazykom maďarským, Senec - SOŠ ekonomická a pedagogická – rozpočtová</w:t>
      </w:r>
      <w:r w:rsidRPr="00B73FDB">
        <w:rPr>
          <w:rFonts w:cs="Calibri"/>
          <w:i/>
          <w:iCs/>
          <w:color w:val="244061"/>
        </w:rPr>
        <w:t xml:space="preserve"> </w:t>
      </w:r>
      <w:r w:rsidRPr="00352CED">
        <w:rPr>
          <w:rFonts w:cs="Calibri"/>
          <w:b/>
          <w:color w:val="244061"/>
          <w:sz w:val="24"/>
          <w:szCs w:val="24"/>
          <w:lang w:eastAsia="sk-SK"/>
        </w:rPr>
        <w:t xml:space="preserve">organizácia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9"/>
        <w:gridCol w:w="2726"/>
        <w:gridCol w:w="1214"/>
        <w:gridCol w:w="1165"/>
        <w:gridCol w:w="1110"/>
        <w:gridCol w:w="1251"/>
        <w:gridCol w:w="2391"/>
      </w:tblGrid>
      <w:tr w:rsidR="00B73FDB" w:rsidRPr="00B73FDB" w14:paraId="4B55C282" w14:textId="77777777" w:rsidTr="00B73FDB">
        <w:trPr>
          <w:tblCellSpacing w:w="15" w:type="dxa"/>
        </w:trPr>
        <w:tc>
          <w:tcPr>
            <w:tcW w:w="269" w:type="pct"/>
            <w:shd w:val="clear" w:color="auto" w:fill="C6DBF7"/>
            <w:vAlign w:val="center"/>
            <w:hideMark/>
          </w:tcPr>
          <w:p w14:paraId="42574A4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6" w:type="pct"/>
            <w:shd w:val="clear" w:color="auto" w:fill="C6DBF7"/>
            <w:vAlign w:val="center"/>
            <w:hideMark/>
          </w:tcPr>
          <w:p w14:paraId="29C99F6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36F4CD7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41" w:type="pct"/>
            <w:shd w:val="clear" w:color="auto" w:fill="C6DBF7"/>
            <w:vAlign w:val="center"/>
            <w:hideMark/>
          </w:tcPr>
          <w:p w14:paraId="687B3E0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15" w:type="pct"/>
            <w:shd w:val="clear" w:color="auto" w:fill="C6DBF7"/>
            <w:vAlign w:val="center"/>
            <w:hideMark/>
          </w:tcPr>
          <w:p w14:paraId="5B07465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82" w:type="pct"/>
            <w:shd w:val="clear" w:color="auto" w:fill="C6DBF7"/>
            <w:vAlign w:val="center"/>
            <w:hideMark/>
          </w:tcPr>
          <w:p w14:paraId="41217EF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19" w:type="pct"/>
            <w:shd w:val="clear" w:color="auto" w:fill="C6DBF7"/>
            <w:vAlign w:val="center"/>
            <w:hideMark/>
          </w:tcPr>
          <w:p w14:paraId="3D10DF5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FA90CC0" w14:textId="77777777" w:rsidTr="00B73FDB">
        <w:trPr>
          <w:tblCellSpacing w:w="15" w:type="dxa"/>
        </w:trPr>
        <w:tc>
          <w:tcPr>
            <w:tcW w:w="269" w:type="pct"/>
            <w:shd w:val="clear" w:color="auto" w:fill="D9D9D9"/>
            <w:noWrap/>
            <w:vAlign w:val="center"/>
            <w:hideMark/>
          </w:tcPr>
          <w:p w14:paraId="3413D942" w14:textId="77777777" w:rsidR="00B73FDB" w:rsidRPr="00B73FDB" w:rsidRDefault="00B73FDB" w:rsidP="00B73FDB">
            <w:pPr>
              <w:spacing w:after="0" w:line="240" w:lineRule="auto"/>
              <w:jc w:val="center"/>
              <w:rPr>
                <w:rFonts w:cs="Calibri"/>
                <w:sz w:val="18"/>
                <w:szCs w:val="18"/>
                <w:lang w:eastAsia="sk-SK"/>
              </w:rPr>
            </w:pPr>
          </w:p>
        </w:tc>
        <w:tc>
          <w:tcPr>
            <w:tcW w:w="1286" w:type="pct"/>
            <w:shd w:val="clear" w:color="auto" w:fill="D9D9D9"/>
            <w:vAlign w:val="center"/>
            <w:hideMark/>
          </w:tcPr>
          <w:p w14:paraId="78827F4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4158EF5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365 978,00</w:t>
            </w:r>
            <w:r w:rsidRPr="00B73FDB">
              <w:rPr>
                <w:rFonts w:cs="Calibri"/>
                <w:sz w:val="18"/>
                <w:szCs w:val="18"/>
                <w:lang w:eastAsia="sk-SK"/>
              </w:rPr>
              <w:t xml:space="preserve"> </w:t>
            </w:r>
          </w:p>
        </w:tc>
        <w:tc>
          <w:tcPr>
            <w:tcW w:w="541" w:type="pct"/>
            <w:shd w:val="clear" w:color="auto" w:fill="D9D9D9"/>
            <w:noWrap/>
            <w:vAlign w:val="center"/>
            <w:hideMark/>
          </w:tcPr>
          <w:p w14:paraId="0BE32A9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390 297,00</w:t>
            </w:r>
            <w:r w:rsidRPr="00B73FDB">
              <w:rPr>
                <w:rFonts w:cs="Calibri"/>
                <w:sz w:val="18"/>
                <w:szCs w:val="18"/>
                <w:lang w:eastAsia="sk-SK"/>
              </w:rPr>
              <w:t xml:space="preserve"> </w:t>
            </w:r>
          </w:p>
        </w:tc>
        <w:tc>
          <w:tcPr>
            <w:tcW w:w="515" w:type="pct"/>
            <w:shd w:val="clear" w:color="auto" w:fill="D9D9D9"/>
            <w:noWrap/>
            <w:vAlign w:val="center"/>
            <w:hideMark/>
          </w:tcPr>
          <w:p w14:paraId="24E57CA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390 297,00</w:t>
            </w:r>
            <w:r w:rsidRPr="00B73FDB">
              <w:rPr>
                <w:rFonts w:cs="Calibri"/>
                <w:sz w:val="18"/>
                <w:szCs w:val="18"/>
                <w:lang w:eastAsia="sk-SK"/>
              </w:rPr>
              <w:t xml:space="preserve"> </w:t>
            </w:r>
          </w:p>
        </w:tc>
        <w:tc>
          <w:tcPr>
            <w:tcW w:w="582" w:type="pct"/>
            <w:shd w:val="clear" w:color="auto" w:fill="D9D9D9"/>
            <w:noWrap/>
            <w:vAlign w:val="center"/>
            <w:hideMark/>
          </w:tcPr>
          <w:p w14:paraId="12EB18E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19" w:type="pct"/>
            <w:vMerge w:val="restart"/>
            <w:shd w:val="clear" w:color="auto" w:fill="D9D9D9"/>
            <w:vAlign w:val="center"/>
            <w:hideMark/>
          </w:tcPr>
          <w:p w14:paraId="6027761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+18 832,00 EUR</w:t>
            </w:r>
            <w:r w:rsidRPr="00B73FDB">
              <w:rPr>
                <w:rFonts w:cs="Calibri"/>
                <w:sz w:val="18"/>
                <w:szCs w:val="18"/>
                <w:lang w:eastAsia="sk-SK"/>
              </w:rPr>
              <w:t xml:space="preserve"> normatívne finančné prostriedky,</w:t>
            </w:r>
          </w:p>
          <w:p w14:paraId="64EB1DB6"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+272,00 EUR</w:t>
            </w:r>
            <w:r w:rsidRPr="00B73FDB">
              <w:rPr>
                <w:rFonts w:cs="Calibri"/>
                <w:sz w:val="18"/>
                <w:szCs w:val="18"/>
                <w:lang w:eastAsia="sk-SK"/>
              </w:rPr>
              <w:t xml:space="preserve"> normatívne finančné prostriedky na maturity,</w:t>
            </w:r>
          </w:p>
          <w:p w14:paraId="2ADFAD87"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lastRenderedPageBreak/>
              <w:t xml:space="preserve">+2 918,00 EUR </w:t>
            </w:r>
            <w:r w:rsidRPr="00B73FDB">
              <w:rPr>
                <w:rFonts w:cs="Calibri"/>
                <w:sz w:val="18"/>
                <w:szCs w:val="18"/>
                <w:lang w:eastAsia="sk-SK"/>
              </w:rPr>
              <w:t>nenormatívne finančné prostriedky na vzdelávacie poukazy,</w:t>
            </w:r>
          </w:p>
          <w:p w14:paraId="6210E8C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+1 847,00 EUR</w:t>
            </w:r>
            <w:r w:rsidRPr="00B73FDB">
              <w:rPr>
                <w:rFonts w:cs="Calibri"/>
                <w:sz w:val="18"/>
                <w:szCs w:val="18"/>
                <w:lang w:eastAsia="sk-SK"/>
              </w:rPr>
              <w:t xml:space="preserve"> odchodné do dôchodku,</w:t>
            </w:r>
          </w:p>
          <w:p w14:paraId="3DBF519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+450,00 EUR</w:t>
            </w:r>
            <w:r w:rsidRPr="00B73FDB">
              <w:rPr>
                <w:rFonts w:cs="Calibri"/>
                <w:sz w:val="18"/>
                <w:szCs w:val="18"/>
                <w:lang w:eastAsia="sk-SK"/>
              </w:rPr>
              <w:t xml:space="preserve"> nenormatívne finančné prostriedky na lyžiarske kurzy.</w:t>
            </w:r>
          </w:p>
        </w:tc>
      </w:tr>
      <w:tr w:rsidR="00B73FDB" w:rsidRPr="00B73FDB" w14:paraId="7B817834" w14:textId="77777777" w:rsidTr="00B73FDB">
        <w:trPr>
          <w:tblCellSpacing w:w="15" w:type="dxa"/>
        </w:trPr>
        <w:tc>
          <w:tcPr>
            <w:tcW w:w="269" w:type="pct"/>
            <w:shd w:val="clear" w:color="auto" w:fill="D9D9D9"/>
            <w:noWrap/>
            <w:vAlign w:val="center"/>
            <w:hideMark/>
          </w:tcPr>
          <w:p w14:paraId="435B233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6" w:type="pct"/>
            <w:shd w:val="clear" w:color="auto" w:fill="D9D9D9"/>
            <w:vAlign w:val="center"/>
            <w:hideMark/>
          </w:tcPr>
          <w:p w14:paraId="1A633D1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6C2C619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365 978,00</w:t>
            </w:r>
            <w:r w:rsidRPr="00B73FDB">
              <w:rPr>
                <w:rFonts w:cs="Calibri"/>
                <w:sz w:val="18"/>
                <w:szCs w:val="18"/>
                <w:lang w:eastAsia="sk-SK"/>
              </w:rPr>
              <w:t xml:space="preserve"> </w:t>
            </w:r>
          </w:p>
        </w:tc>
        <w:tc>
          <w:tcPr>
            <w:tcW w:w="541" w:type="pct"/>
            <w:shd w:val="clear" w:color="auto" w:fill="D9D9D9"/>
            <w:noWrap/>
            <w:vAlign w:val="center"/>
            <w:hideMark/>
          </w:tcPr>
          <w:p w14:paraId="7DA8D8C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390 297,00</w:t>
            </w:r>
            <w:r w:rsidRPr="00B73FDB">
              <w:rPr>
                <w:rFonts w:cs="Calibri"/>
                <w:sz w:val="18"/>
                <w:szCs w:val="18"/>
                <w:lang w:eastAsia="sk-SK"/>
              </w:rPr>
              <w:t xml:space="preserve"> </w:t>
            </w:r>
          </w:p>
        </w:tc>
        <w:tc>
          <w:tcPr>
            <w:tcW w:w="515" w:type="pct"/>
            <w:shd w:val="clear" w:color="auto" w:fill="D9D9D9"/>
            <w:noWrap/>
            <w:vAlign w:val="center"/>
            <w:hideMark/>
          </w:tcPr>
          <w:p w14:paraId="5192804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390 297,00</w:t>
            </w:r>
            <w:r w:rsidRPr="00B73FDB">
              <w:rPr>
                <w:rFonts w:cs="Calibri"/>
                <w:sz w:val="18"/>
                <w:szCs w:val="18"/>
                <w:lang w:eastAsia="sk-SK"/>
              </w:rPr>
              <w:t xml:space="preserve"> </w:t>
            </w:r>
          </w:p>
        </w:tc>
        <w:tc>
          <w:tcPr>
            <w:tcW w:w="582" w:type="pct"/>
            <w:shd w:val="clear" w:color="auto" w:fill="D9D9D9"/>
            <w:noWrap/>
            <w:vAlign w:val="center"/>
            <w:hideMark/>
          </w:tcPr>
          <w:p w14:paraId="7C4EE53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19" w:type="pct"/>
            <w:vMerge/>
            <w:shd w:val="clear" w:color="auto" w:fill="D9D9D9"/>
            <w:vAlign w:val="center"/>
            <w:hideMark/>
          </w:tcPr>
          <w:p w14:paraId="79BDA575" w14:textId="77777777" w:rsidR="00B73FDB" w:rsidRPr="00B73FDB" w:rsidRDefault="00B73FDB" w:rsidP="00B73FDB">
            <w:pPr>
              <w:spacing w:after="0" w:line="240" w:lineRule="auto"/>
              <w:rPr>
                <w:rFonts w:cs="Calibri"/>
                <w:sz w:val="18"/>
                <w:szCs w:val="18"/>
                <w:lang w:eastAsia="sk-SK"/>
              </w:rPr>
            </w:pPr>
          </w:p>
        </w:tc>
      </w:tr>
      <w:tr w:rsidR="00B73FDB" w:rsidRPr="00B73FDB" w14:paraId="766AF8AC" w14:textId="77777777" w:rsidTr="00B73FDB">
        <w:trPr>
          <w:tblCellSpacing w:w="15" w:type="dxa"/>
        </w:trPr>
        <w:tc>
          <w:tcPr>
            <w:tcW w:w="269" w:type="pct"/>
            <w:shd w:val="clear" w:color="auto" w:fill="EFEFEF"/>
            <w:noWrap/>
            <w:vAlign w:val="center"/>
            <w:hideMark/>
          </w:tcPr>
          <w:p w14:paraId="30ED691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6" w:type="pct"/>
            <w:shd w:val="clear" w:color="auto" w:fill="EFEFEF"/>
            <w:vAlign w:val="center"/>
            <w:hideMark/>
          </w:tcPr>
          <w:p w14:paraId="1EE557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5F4C09D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242 389,00 </w:t>
            </w:r>
          </w:p>
        </w:tc>
        <w:tc>
          <w:tcPr>
            <w:tcW w:w="541" w:type="pct"/>
            <w:shd w:val="clear" w:color="auto" w:fill="EFEFEF"/>
            <w:noWrap/>
            <w:vAlign w:val="center"/>
            <w:hideMark/>
          </w:tcPr>
          <w:p w14:paraId="0322652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264 173,89 </w:t>
            </w:r>
          </w:p>
        </w:tc>
        <w:tc>
          <w:tcPr>
            <w:tcW w:w="515" w:type="pct"/>
            <w:shd w:val="clear" w:color="auto" w:fill="EFEFEF"/>
            <w:noWrap/>
            <w:vAlign w:val="center"/>
            <w:hideMark/>
          </w:tcPr>
          <w:p w14:paraId="59907B0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264 173,89 </w:t>
            </w:r>
          </w:p>
        </w:tc>
        <w:tc>
          <w:tcPr>
            <w:tcW w:w="582" w:type="pct"/>
            <w:shd w:val="clear" w:color="auto" w:fill="EFEFEF"/>
            <w:noWrap/>
            <w:vAlign w:val="center"/>
            <w:hideMark/>
          </w:tcPr>
          <w:p w14:paraId="16CC121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9" w:type="pct"/>
            <w:vMerge/>
            <w:shd w:val="clear" w:color="auto" w:fill="EFEFEF"/>
            <w:vAlign w:val="center"/>
            <w:hideMark/>
          </w:tcPr>
          <w:p w14:paraId="2DDF9BDB" w14:textId="77777777" w:rsidR="00B73FDB" w:rsidRPr="00B73FDB" w:rsidRDefault="00B73FDB" w:rsidP="00B73FDB">
            <w:pPr>
              <w:spacing w:after="0" w:line="240" w:lineRule="auto"/>
              <w:rPr>
                <w:rFonts w:cs="Calibri"/>
                <w:sz w:val="18"/>
                <w:szCs w:val="18"/>
                <w:lang w:eastAsia="sk-SK"/>
              </w:rPr>
            </w:pPr>
          </w:p>
        </w:tc>
      </w:tr>
      <w:tr w:rsidR="00B73FDB" w:rsidRPr="00B73FDB" w14:paraId="1F185793" w14:textId="77777777" w:rsidTr="00B73FDB">
        <w:trPr>
          <w:tblCellSpacing w:w="15" w:type="dxa"/>
        </w:trPr>
        <w:tc>
          <w:tcPr>
            <w:tcW w:w="269" w:type="pct"/>
            <w:shd w:val="clear" w:color="auto" w:fill="EFEFEF"/>
            <w:noWrap/>
            <w:vAlign w:val="center"/>
            <w:hideMark/>
          </w:tcPr>
          <w:p w14:paraId="00D2CF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6" w:type="pct"/>
            <w:shd w:val="clear" w:color="auto" w:fill="EFEFEF"/>
            <w:vAlign w:val="center"/>
            <w:hideMark/>
          </w:tcPr>
          <w:p w14:paraId="3276F18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181D7AC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84 724,00 </w:t>
            </w:r>
          </w:p>
        </w:tc>
        <w:tc>
          <w:tcPr>
            <w:tcW w:w="541" w:type="pct"/>
            <w:shd w:val="clear" w:color="auto" w:fill="EFEFEF"/>
            <w:noWrap/>
            <w:vAlign w:val="center"/>
            <w:hideMark/>
          </w:tcPr>
          <w:p w14:paraId="3DFCE1E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88 443,02 </w:t>
            </w:r>
          </w:p>
        </w:tc>
        <w:tc>
          <w:tcPr>
            <w:tcW w:w="515" w:type="pct"/>
            <w:shd w:val="clear" w:color="auto" w:fill="EFEFEF"/>
            <w:noWrap/>
            <w:vAlign w:val="center"/>
            <w:hideMark/>
          </w:tcPr>
          <w:p w14:paraId="297236F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88 443,02 </w:t>
            </w:r>
          </w:p>
        </w:tc>
        <w:tc>
          <w:tcPr>
            <w:tcW w:w="582" w:type="pct"/>
            <w:shd w:val="clear" w:color="auto" w:fill="EFEFEF"/>
            <w:noWrap/>
            <w:vAlign w:val="center"/>
            <w:hideMark/>
          </w:tcPr>
          <w:p w14:paraId="1DB26E3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9" w:type="pct"/>
            <w:vMerge/>
            <w:shd w:val="clear" w:color="auto" w:fill="EFEFEF"/>
            <w:vAlign w:val="center"/>
            <w:hideMark/>
          </w:tcPr>
          <w:p w14:paraId="613A92A3" w14:textId="77777777" w:rsidR="00B73FDB" w:rsidRPr="00B73FDB" w:rsidRDefault="00B73FDB" w:rsidP="00B73FDB">
            <w:pPr>
              <w:spacing w:after="0" w:line="240" w:lineRule="auto"/>
              <w:rPr>
                <w:rFonts w:cs="Calibri"/>
                <w:sz w:val="18"/>
                <w:szCs w:val="18"/>
                <w:lang w:eastAsia="sk-SK"/>
              </w:rPr>
            </w:pPr>
          </w:p>
        </w:tc>
      </w:tr>
      <w:tr w:rsidR="00B73FDB" w:rsidRPr="00B73FDB" w14:paraId="2ECA7E03" w14:textId="77777777" w:rsidTr="00B73FDB">
        <w:trPr>
          <w:tblCellSpacing w:w="15" w:type="dxa"/>
        </w:trPr>
        <w:tc>
          <w:tcPr>
            <w:tcW w:w="269" w:type="pct"/>
            <w:shd w:val="clear" w:color="auto" w:fill="EFEFEF"/>
            <w:noWrap/>
            <w:vAlign w:val="center"/>
            <w:hideMark/>
          </w:tcPr>
          <w:p w14:paraId="03E46C8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6" w:type="pct"/>
            <w:shd w:val="clear" w:color="auto" w:fill="EFEFEF"/>
            <w:vAlign w:val="center"/>
            <w:hideMark/>
          </w:tcPr>
          <w:p w14:paraId="6D23835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067302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38 365,00 </w:t>
            </w:r>
          </w:p>
        </w:tc>
        <w:tc>
          <w:tcPr>
            <w:tcW w:w="541" w:type="pct"/>
            <w:shd w:val="clear" w:color="auto" w:fill="EFEFEF"/>
            <w:noWrap/>
            <w:vAlign w:val="center"/>
            <w:hideMark/>
          </w:tcPr>
          <w:p w14:paraId="05344E4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35 317,03 </w:t>
            </w:r>
          </w:p>
        </w:tc>
        <w:tc>
          <w:tcPr>
            <w:tcW w:w="515" w:type="pct"/>
            <w:shd w:val="clear" w:color="auto" w:fill="EFEFEF"/>
            <w:noWrap/>
            <w:vAlign w:val="center"/>
            <w:hideMark/>
          </w:tcPr>
          <w:p w14:paraId="42ACE3B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35 317,03 </w:t>
            </w:r>
          </w:p>
        </w:tc>
        <w:tc>
          <w:tcPr>
            <w:tcW w:w="582" w:type="pct"/>
            <w:shd w:val="clear" w:color="auto" w:fill="EFEFEF"/>
            <w:noWrap/>
            <w:vAlign w:val="center"/>
            <w:hideMark/>
          </w:tcPr>
          <w:p w14:paraId="7DA809F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9" w:type="pct"/>
            <w:vMerge/>
            <w:shd w:val="clear" w:color="auto" w:fill="EFEFEF"/>
            <w:vAlign w:val="center"/>
            <w:hideMark/>
          </w:tcPr>
          <w:p w14:paraId="32923A11" w14:textId="77777777" w:rsidR="00B73FDB" w:rsidRPr="00B73FDB" w:rsidRDefault="00B73FDB" w:rsidP="00B73FDB">
            <w:pPr>
              <w:spacing w:after="0" w:line="240" w:lineRule="auto"/>
              <w:rPr>
                <w:rFonts w:cs="Calibri"/>
                <w:sz w:val="18"/>
                <w:szCs w:val="18"/>
                <w:lang w:eastAsia="sk-SK"/>
              </w:rPr>
            </w:pPr>
          </w:p>
        </w:tc>
      </w:tr>
      <w:tr w:rsidR="00B73FDB" w:rsidRPr="00B73FDB" w14:paraId="030F6EC5" w14:textId="77777777" w:rsidTr="00B73FDB">
        <w:trPr>
          <w:tblCellSpacing w:w="15" w:type="dxa"/>
        </w:trPr>
        <w:tc>
          <w:tcPr>
            <w:tcW w:w="269" w:type="pct"/>
            <w:shd w:val="clear" w:color="auto" w:fill="EFEFEF"/>
            <w:noWrap/>
            <w:vAlign w:val="center"/>
            <w:hideMark/>
          </w:tcPr>
          <w:p w14:paraId="2950F8C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lastRenderedPageBreak/>
              <w:t xml:space="preserve">640 </w:t>
            </w:r>
          </w:p>
        </w:tc>
        <w:tc>
          <w:tcPr>
            <w:tcW w:w="1286" w:type="pct"/>
            <w:shd w:val="clear" w:color="auto" w:fill="EFEFEF"/>
            <w:vAlign w:val="center"/>
            <w:hideMark/>
          </w:tcPr>
          <w:p w14:paraId="2264D34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1109C3E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500,00 </w:t>
            </w:r>
          </w:p>
        </w:tc>
        <w:tc>
          <w:tcPr>
            <w:tcW w:w="541" w:type="pct"/>
            <w:shd w:val="clear" w:color="auto" w:fill="EFEFEF"/>
            <w:noWrap/>
            <w:vAlign w:val="center"/>
            <w:hideMark/>
          </w:tcPr>
          <w:p w14:paraId="3EAD337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2 363,06 </w:t>
            </w:r>
          </w:p>
        </w:tc>
        <w:tc>
          <w:tcPr>
            <w:tcW w:w="515" w:type="pct"/>
            <w:shd w:val="clear" w:color="auto" w:fill="EFEFEF"/>
            <w:noWrap/>
            <w:vAlign w:val="center"/>
            <w:hideMark/>
          </w:tcPr>
          <w:p w14:paraId="159CE93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2 363,06 </w:t>
            </w:r>
          </w:p>
        </w:tc>
        <w:tc>
          <w:tcPr>
            <w:tcW w:w="582" w:type="pct"/>
            <w:shd w:val="clear" w:color="auto" w:fill="EFEFEF"/>
            <w:noWrap/>
            <w:vAlign w:val="center"/>
            <w:hideMark/>
          </w:tcPr>
          <w:p w14:paraId="3FAC0CF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19" w:type="pct"/>
            <w:vMerge/>
            <w:shd w:val="clear" w:color="auto" w:fill="EFEFEF"/>
            <w:vAlign w:val="center"/>
            <w:hideMark/>
          </w:tcPr>
          <w:p w14:paraId="467B4B95" w14:textId="77777777" w:rsidR="00B73FDB" w:rsidRPr="00B73FDB" w:rsidRDefault="00B73FDB" w:rsidP="00B73FDB">
            <w:pPr>
              <w:spacing w:after="0" w:line="240" w:lineRule="auto"/>
              <w:rPr>
                <w:rFonts w:cs="Calibri"/>
                <w:sz w:val="18"/>
                <w:szCs w:val="18"/>
                <w:lang w:eastAsia="sk-SK"/>
              </w:rPr>
            </w:pPr>
          </w:p>
        </w:tc>
      </w:tr>
    </w:tbl>
    <w:p w14:paraId="021934AA"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1"/>
        <w:gridCol w:w="774"/>
        <w:gridCol w:w="1834"/>
        <w:gridCol w:w="1318"/>
        <w:gridCol w:w="4159"/>
      </w:tblGrid>
      <w:tr w:rsidR="00B73FDB" w:rsidRPr="00B73FDB" w14:paraId="524A8850" w14:textId="77777777" w:rsidTr="00B73FDB">
        <w:trPr>
          <w:tblCellSpacing w:w="15" w:type="dxa"/>
        </w:trPr>
        <w:tc>
          <w:tcPr>
            <w:tcW w:w="0" w:type="auto"/>
            <w:shd w:val="clear" w:color="auto" w:fill="C2D69B"/>
            <w:vAlign w:val="center"/>
            <w:hideMark/>
          </w:tcPr>
          <w:p w14:paraId="1C0620F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322BB84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426C5B0" w14:textId="77777777" w:rsidTr="00B73FDB">
        <w:trPr>
          <w:tblCellSpacing w:w="15" w:type="dxa"/>
        </w:trPr>
        <w:tc>
          <w:tcPr>
            <w:tcW w:w="0" w:type="auto"/>
            <w:shd w:val="clear" w:color="auto" w:fill="C2D69B"/>
            <w:vAlign w:val="center"/>
            <w:hideMark/>
          </w:tcPr>
          <w:p w14:paraId="105C483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F4A658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Spojenej škole </w:t>
            </w:r>
          </w:p>
        </w:tc>
      </w:tr>
      <w:tr w:rsidR="00B73FDB" w:rsidRPr="00B73FDB" w14:paraId="3A7E3D56" w14:textId="77777777" w:rsidTr="00B73FDB">
        <w:trPr>
          <w:tblCellSpacing w:w="15" w:type="dxa"/>
        </w:trPr>
        <w:tc>
          <w:tcPr>
            <w:tcW w:w="0" w:type="auto"/>
            <w:shd w:val="clear" w:color="auto" w:fill="C2D69B"/>
            <w:vAlign w:val="center"/>
            <w:hideMark/>
          </w:tcPr>
          <w:p w14:paraId="7E7AC74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73AEC0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2E91C33C" w14:textId="77777777" w:rsidTr="00B73FDB">
        <w:trPr>
          <w:tblCellSpacing w:w="15" w:type="dxa"/>
        </w:trPr>
        <w:tc>
          <w:tcPr>
            <w:tcW w:w="0" w:type="auto"/>
            <w:shd w:val="clear" w:color="auto" w:fill="C2D69B"/>
            <w:vAlign w:val="center"/>
            <w:hideMark/>
          </w:tcPr>
          <w:p w14:paraId="1803CFD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548CBB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4BBDAD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5C715C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19BBC4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F49BC29" w14:textId="77777777" w:rsidTr="00B73FDB">
        <w:trPr>
          <w:tblCellSpacing w:w="15" w:type="dxa"/>
        </w:trPr>
        <w:tc>
          <w:tcPr>
            <w:tcW w:w="0" w:type="auto"/>
            <w:shd w:val="clear" w:color="auto" w:fill="C2D69B"/>
            <w:vAlign w:val="center"/>
            <w:hideMark/>
          </w:tcPr>
          <w:p w14:paraId="28FBA26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892E9F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116 </w:t>
            </w:r>
          </w:p>
        </w:tc>
        <w:tc>
          <w:tcPr>
            <w:tcW w:w="0" w:type="auto"/>
            <w:shd w:val="clear" w:color="auto" w:fill="C2D69B"/>
            <w:noWrap/>
            <w:vAlign w:val="center"/>
            <w:hideMark/>
          </w:tcPr>
          <w:p w14:paraId="172695A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177 </w:t>
            </w:r>
          </w:p>
        </w:tc>
        <w:tc>
          <w:tcPr>
            <w:tcW w:w="0" w:type="auto"/>
            <w:shd w:val="clear" w:color="auto" w:fill="C2D69B"/>
            <w:vAlign w:val="center"/>
            <w:hideMark/>
          </w:tcPr>
          <w:p w14:paraId="3E48EBB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E8855A1"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031CFF8" w14:textId="77777777" w:rsidTr="00B73FDB">
        <w:trPr>
          <w:tblCellSpacing w:w="15" w:type="dxa"/>
        </w:trPr>
        <w:tc>
          <w:tcPr>
            <w:tcW w:w="0" w:type="auto"/>
            <w:shd w:val="clear" w:color="auto" w:fill="C2D69B"/>
            <w:vAlign w:val="center"/>
            <w:hideMark/>
          </w:tcPr>
          <w:p w14:paraId="6AC42CF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2FEB35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337EA98B" w14:textId="77777777" w:rsidTr="00B73FDB">
        <w:trPr>
          <w:tblCellSpacing w:w="15" w:type="dxa"/>
        </w:trPr>
        <w:tc>
          <w:tcPr>
            <w:tcW w:w="0" w:type="auto"/>
            <w:shd w:val="clear" w:color="auto" w:fill="C2D69B"/>
            <w:vAlign w:val="center"/>
            <w:hideMark/>
          </w:tcPr>
          <w:p w14:paraId="120410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0FF799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23E8051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717695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8320F3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0FBA2E1" w14:textId="77777777" w:rsidTr="00B73FDB">
        <w:trPr>
          <w:tblCellSpacing w:w="15" w:type="dxa"/>
        </w:trPr>
        <w:tc>
          <w:tcPr>
            <w:tcW w:w="0" w:type="auto"/>
            <w:shd w:val="clear" w:color="auto" w:fill="C2D69B"/>
            <w:vAlign w:val="center"/>
            <w:hideMark/>
          </w:tcPr>
          <w:p w14:paraId="1D3AF70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A230CC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116 </w:t>
            </w:r>
          </w:p>
        </w:tc>
        <w:tc>
          <w:tcPr>
            <w:tcW w:w="0" w:type="auto"/>
            <w:shd w:val="clear" w:color="auto" w:fill="C2D69B"/>
            <w:noWrap/>
            <w:vAlign w:val="center"/>
            <w:hideMark/>
          </w:tcPr>
          <w:p w14:paraId="2DAEDEB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127 </w:t>
            </w:r>
          </w:p>
        </w:tc>
        <w:tc>
          <w:tcPr>
            <w:tcW w:w="0" w:type="auto"/>
            <w:shd w:val="clear" w:color="auto" w:fill="C2D69B"/>
            <w:vAlign w:val="center"/>
            <w:hideMark/>
          </w:tcPr>
          <w:p w14:paraId="28A35FB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1E9B904D" w14:textId="77777777" w:rsidR="00B73FDB" w:rsidRPr="00B73FDB" w:rsidRDefault="00B73FDB" w:rsidP="00B73FDB">
            <w:pPr>
              <w:spacing w:after="0" w:line="240" w:lineRule="auto"/>
              <w:jc w:val="center"/>
              <w:rPr>
                <w:rFonts w:cs="Calibri"/>
                <w:sz w:val="18"/>
                <w:szCs w:val="18"/>
                <w:lang w:eastAsia="sk-SK"/>
              </w:rPr>
            </w:pPr>
          </w:p>
        </w:tc>
      </w:tr>
    </w:tbl>
    <w:p w14:paraId="60A46176"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w:t>
      </w:r>
      <w:r w:rsidRPr="00B73FDB">
        <w:rPr>
          <w:rFonts w:cs="Calibri"/>
          <w:b/>
          <w:bCs/>
          <w:sz w:val="24"/>
          <w:szCs w:val="24"/>
          <w:lang w:eastAsia="sk-SK"/>
        </w:rPr>
        <w:t xml:space="preserve">omentár: </w:t>
      </w:r>
      <w:r w:rsidRPr="00B73FDB">
        <w:rPr>
          <w:rFonts w:cs="Calibri"/>
          <w:sz w:val="24"/>
          <w:szCs w:val="24"/>
          <w:lang w:eastAsia="sk-SK"/>
        </w:rPr>
        <w:t xml:space="preserve">Spojená škola poskytuje odborné vzdelanie v 4-ročnej forme štúdia v maďarskom vyučovacom jazyku. Organizačná zložka SOŠ bola posilnená zaradením odborov učiteľstvo a vychovávateľstvo v materskej škole, manažment regionálneho cestovného ruchu, pracovník marketingu a </w:t>
      </w:r>
      <w:proofErr w:type="spellStart"/>
      <w:r w:rsidRPr="00B73FDB">
        <w:rPr>
          <w:rFonts w:cs="Calibri"/>
          <w:sz w:val="24"/>
          <w:szCs w:val="24"/>
          <w:lang w:eastAsia="sk-SK"/>
        </w:rPr>
        <w:t>vychovávateľsko</w:t>
      </w:r>
      <w:proofErr w:type="spellEnd"/>
      <w:r w:rsidRPr="00B73FDB">
        <w:rPr>
          <w:rFonts w:cs="Calibri"/>
          <w:sz w:val="24"/>
          <w:szCs w:val="24"/>
          <w:lang w:eastAsia="sk-SK"/>
        </w:rPr>
        <w:t xml:space="preserve"> - opatrovateľská činnosť. Existencia školy má svoje opodstatnenie, nakoľko ide o jedinú odbornú školu v regióne, ktorá poskytuje vzdelávanie v jazyku národnostnej menšiny. </w:t>
      </w:r>
    </w:p>
    <w:p w14:paraId="1D3BCFE6" w14:textId="77777777" w:rsidR="00B73FDB" w:rsidRPr="00352CED" w:rsidRDefault="00B73FDB" w:rsidP="00B73FDB">
      <w:pPr>
        <w:keepNext/>
        <w:keepLines/>
        <w:spacing w:before="40" w:after="0" w:line="259" w:lineRule="auto"/>
        <w:jc w:val="both"/>
        <w:outlineLvl w:val="3"/>
        <w:rPr>
          <w:rFonts w:cs="Calibri"/>
          <w:b/>
          <w:color w:val="244061"/>
          <w:sz w:val="24"/>
          <w:szCs w:val="24"/>
          <w:lang w:eastAsia="sk-SK"/>
        </w:rPr>
      </w:pPr>
      <w:r w:rsidRPr="00352CED">
        <w:rPr>
          <w:rFonts w:cs="Calibri"/>
          <w:b/>
          <w:color w:val="244061"/>
          <w:sz w:val="24"/>
          <w:szCs w:val="24"/>
          <w:lang w:eastAsia="sk-SK"/>
        </w:rPr>
        <w:t>Prvok 8.3.45: Spojená škola Malinovo, SOŠ záhradnícka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
        <w:gridCol w:w="2731"/>
        <w:gridCol w:w="1212"/>
        <w:gridCol w:w="1212"/>
        <w:gridCol w:w="1063"/>
        <w:gridCol w:w="1212"/>
        <w:gridCol w:w="2428"/>
      </w:tblGrid>
      <w:tr w:rsidR="00B73FDB" w:rsidRPr="00B73FDB" w14:paraId="57B9E7C3" w14:textId="77777777" w:rsidTr="00B73FDB">
        <w:trPr>
          <w:tblCellSpacing w:w="15" w:type="dxa"/>
        </w:trPr>
        <w:tc>
          <w:tcPr>
            <w:tcW w:w="268" w:type="pct"/>
            <w:shd w:val="clear" w:color="auto" w:fill="C6DBF7"/>
            <w:vAlign w:val="center"/>
            <w:hideMark/>
          </w:tcPr>
          <w:p w14:paraId="1AA370D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0B2CAA1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4B871B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193EF4A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93" w:type="pct"/>
            <w:shd w:val="clear" w:color="auto" w:fill="C6DBF7"/>
            <w:vAlign w:val="center"/>
            <w:hideMark/>
          </w:tcPr>
          <w:p w14:paraId="1F3C74D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6D5B7BE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6" w:type="pct"/>
            <w:shd w:val="clear" w:color="auto" w:fill="C6DBF7"/>
            <w:vAlign w:val="center"/>
            <w:hideMark/>
          </w:tcPr>
          <w:p w14:paraId="69AE1DC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A19FF3D" w14:textId="77777777" w:rsidTr="00B73FDB">
        <w:trPr>
          <w:tblCellSpacing w:w="15" w:type="dxa"/>
        </w:trPr>
        <w:tc>
          <w:tcPr>
            <w:tcW w:w="268" w:type="pct"/>
            <w:shd w:val="clear" w:color="auto" w:fill="D9D9D9"/>
            <w:noWrap/>
            <w:vAlign w:val="center"/>
            <w:hideMark/>
          </w:tcPr>
          <w:p w14:paraId="11FCF6B7"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309179E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57FEB8A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328 894,00</w:t>
            </w:r>
            <w:r w:rsidRPr="00B73FDB">
              <w:rPr>
                <w:rFonts w:cs="Calibri"/>
                <w:sz w:val="18"/>
                <w:szCs w:val="18"/>
                <w:lang w:eastAsia="sk-SK"/>
              </w:rPr>
              <w:t xml:space="preserve"> </w:t>
            </w:r>
          </w:p>
        </w:tc>
        <w:tc>
          <w:tcPr>
            <w:tcW w:w="564" w:type="pct"/>
            <w:shd w:val="clear" w:color="auto" w:fill="D9D9D9"/>
            <w:noWrap/>
            <w:vAlign w:val="center"/>
            <w:hideMark/>
          </w:tcPr>
          <w:p w14:paraId="61FEFD2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544 097,40</w:t>
            </w:r>
            <w:r w:rsidRPr="00B73FDB">
              <w:rPr>
                <w:rFonts w:cs="Calibri"/>
                <w:sz w:val="18"/>
                <w:szCs w:val="18"/>
                <w:lang w:eastAsia="sk-SK"/>
              </w:rPr>
              <w:t xml:space="preserve"> </w:t>
            </w:r>
          </w:p>
        </w:tc>
        <w:tc>
          <w:tcPr>
            <w:tcW w:w="493" w:type="pct"/>
            <w:shd w:val="clear" w:color="auto" w:fill="D9D9D9"/>
            <w:noWrap/>
            <w:vAlign w:val="center"/>
            <w:hideMark/>
          </w:tcPr>
          <w:p w14:paraId="0E422E7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542 594,40</w:t>
            </w:r>
            <w:r w:rsidRPr="00B73FDB">
              <w:rPr>
                <w:rFonts w:cs="Calibri"/>
                <w:sz w:val="18"/>
                <w:szCs w:val="18"/>
                <w:lang w:eastAsia="sk-SK"/>
              </w:rPr>
              <w:t xml:space="preserve"> </w:t>
            </w:r>
          </w:p>
        </w:tc>
        <w:tc>
          <w:tcPr>
            <w:tcW w:w="564" w:type="pct"/>
            <w:shd w:val="clear" w:color="auto" w:fill="D9D9D9"/>
            <w:noWrap/>
            <w:vAlign w:val="center"/>
            <w:hideMark/>
          </w:tcPr>
          <w:p w14:paraId="1BFC48C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99,72</w:t>
            </w:r>
            <w:r w:rsidRPr="00B73FDB">
              <w:rPr>
                <w:rFonts w:cs="Calibri"/>
                <w:sz w:val="18"/>
                <w:szCs w:val="18"/>
                <w:lang w:eastAsia="sk-SK"/>
              </w:rPr>
              <w:t xml:space="preserve"> </w:t>
            </w:r>
          </w:p>
        </w:tc>
        <w:tc>
          <w:tcPr>
            <w:tcW w:w="1136" w:type="pct"/>
            <w:vMerge w:val="restart"/>
            <w:shd w:val="clear" w:color="auto" w:fill="D9D9D9"/>
            <w:vAlign w:val="center"/>
            <w:hideMark/>
          </w:tcPr>
          <w:p w14:paraId="38815FE0"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+180 439,00 EUR</w:t>
            </w:r>
            <w:r w:rsidRPr="00B73FDB">
              <w:rPr>
                <w:rFonts w:cs="Calibri"/>
                <w:sz w:val="18"/>
                <w:szCs w:val="18"/>
                <w:lang w:eastAsia="sk-SK"/>
              </w:rPr>
              <w:t xml:space="preserve"> normatívne finančné prostriedky,</w:t>
            </w:r>
          </w:p>
          <w:p w14:paraId="5647DCD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+172,00 EUR</w:t>
            </w:r>
            <w:r w:rsidRPr="00B73FDB">
              <w:rPr>
                <w:rFonts w:cs="Calibri"/>
                <w:sz w:val="18"/>
                <w:szCs w:val="18"/>
                <w:lang w:eastAsia="sk-SK"/>
              </w:rPr>
              <w:t xml:space="preserve"> normatívne finančné prostriedky na maturity,</w:t>
            </w:r>
          </w:p>
          <w:p w14:paraId="1DEFA3A9" w14:textId="77777777" w:rsidR="00B73FDB" w:rsidRPr="00B73FDB" w:rsidRDefault="00B73FDB" w:rsidP="00B73FDB">
            <w:pPr>
              <w:spacing w:after="0" w:line="240" w:lineRule="auto"/>
              <w:rPr>
                <w:rFonts w:eastAsia="Calibri" w:cs="Calibri"/>
                <w:sz w:val="18"/>
                <w:szCs w:val="18"/>
                <w:lang w:eastAsia="sk-SK"/>
              </w:rPr>
            </w:pPr>
            <w:r w:rsidRPr="00B73FDB">
              <w:rPr>
                <w:rFonts w:cs="Calibri"/>
                <w:b/>
                <w:sz w:val="18"/>
                <w:szCs w:val="18"/>
                <w:lang w:eastAsia="sk-SK"/>
              </w:rPr>
              <w:t>+532,00 EUR</w:t>
            </w:r>
            <w:r w:rsidRPr="00B73FDB">
              <w:rPr>
                <w:rFonts w:cs="Calibri"/>
                <w:sz w:val="18"/>
                <w:szCs w:val="18"/>
                <w:lang w:eastAsia="sk-SK"/>
              </w:rPr>
              <w:t xml:space="preserve"> príspevok na rekreáciu zamestnancov,</w:t>
            </w:r>
          </w:p>
          <w:p w14:paraId="0D663A6D"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 xml:space="preserve">-38,00 EUR </w:t>
            </w:r>
            <w:r w:rsidRPr="00B73FDB">
              <w:rPr>
                <w:rFonts w:cs="Calibri"/>
                <w:sz w:val="18"/>
                <w:szCs w:val="18"/>
                <w:lang w:eastAsia="sk-SK"/>
              </w:rPr>
              <w:t>nenormatívne finančné prostriedky na vzdelávacie poukazy,</w:t>
            </w:r>
          </w:p>
          <w:p w14:paraId="25DC2BA2"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+600,00 EUR</w:t>
            </w:r>
            <w:r w:rsidRPr="00B73FDB">
              <w:rPr>
                <w:rFonts w:cs="Calibri"/>
                <w:sz w:val="18"/>
                <w:szCs w:val="18"/>
                <w:lang w:eastAsia="sk-SK"/>
              </w:rPr>
              <w:t xml:space="preserve"> nenormatívne finančné prostriedky za mimoriadne výsledky žiakov,</w:t>
            </w:r>
          </w:p>
          <w:p w14:paraId="0A82BCFF"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+2 636,00 EUR</w:t>
            </w:r>
            <w:r w:rsidRPr="00B73FDB">
              <w:rPr>
                <w:rFonts w:cs="Calibri"/>
                <w:sz w:val="18"/>
                <w:szCs w:val="18"/>
                <w:lang w:eastAsia="sk-SK"/>
              </w:rPr>
              <w:t xml:space="preserve"> odchodné do dôchodku,</w:t>
            </w:r>
          </w:p>
          <w:p w14:paraId="54993FA1"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-558,00 EUR</w:t>
            </w:r>
            <w:r w:rsidRPr="00B73FDB">
              <w:rPr>
                <w:rFonts w:cs="Calibri"/>
                <w:sz w:val="18"/>
                <w:szCs w:val="18"/>
                <w:lang w:eastAsia="sk-SK"/>
              </w:rPr>
              <w:t xml:space="preserve"> nenormatívne finančné prostriedky na lyžiarske kurzy,</w:t>
            </w:r>
          </w:p>
          <w:p w14:paraId="162AD7C9"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+2 746,26 EUR</w:t>
            </w:r>
            <w:r w:rsidRPr="00B73FDB">
              <w:rPr>
                <w:rFonts w:cs="Calibri"/>
                <w:sz w:val="18"/>
                <w:szCs w:val="18"/>
                <w:lang w:eastAsia="sk-SK"/>
              </w:rPr>
              <w:t xml:space="preserve"> nevyčerpané finančné prostriedky z r. 2019</w:t>
            </w:r>
          </w:p>
          <w:p w14:paraId="04A4FAC3"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+4 250,28 EUR</w:t>
            </w:r>
            <w:r w:rsidRPr="00B73FDB">
              <w:rPr>
                <w:rFonts w:cs="Calibri"/>
                <w:sz w:val="18"/>
                <w:szCs w:val="18"/>
                <w:lang w:eastAsia="sk-SK"/>
              </w:rPr>
              <w:t xml:space="preserve"> navýšenie rozpočtu darovacieho účtu,</w:t>
            </w:r>
          </w:p>
          <w:p w14:paraId="4834BBE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+24 423,86 EUR</w:t>
            </w:r>
            <w:r w:rsidRPr="00B73FDB">
              <w:rPr>
                <w:rFonts w:cs="Calibri"/>
                <w:sz w:val="18"/>
                <w:szCs w:val="18"/>
                <w:lang w:eastAsia="sk-SK"/>
              </w:rPr>
              <w:t xml:space="preserve"> vlastné príjmy.</w:t>
            </w:r>
          </w:p>
        </w:tc>
      </w:tr>
      <w:tr w:rsidR="00B73FDB" w:rsidRPr="00B73FDB" w14:paraId="7711C772" w14:textId="77777777" w:rsidTr="00B73FDB">
        <w:trPr>
          <w:tblCellSpacing w:w="15" w:type="dxa"/>
        </w:trPr>
        <w:tc>
          <w:tcPr>
            <w:tcW w:w="268" w:type="pct"/>
            <w:shd w:val="clear" w:color="auto" w:fill="D9D9D9"/>
            <w:noWrap/>
            <w:vAlign w:val="center"/>
            <w:hideMark/>
          </w:tcPr>
          <w:p w14:paraId="42618AF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331D34B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027B5A0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328 894,00</w:t>
            </w:r>
            <w:r w:rsidRPr="00B73FDB">
              <w:rPr>
                <w:rFonts w:cs="Calibri"/>
                <w:sz w:val="18"/>
                <w:szCs w:val="18"/>
                <w:lang w:eastAsia="sk-SK"/>
              </w:rPr>
              <w:t xml:space="preserve"> </w:t>
            </w:r>
          </w:p>
        </w:tc>
        <w:tc>
          <w:tcPr>
            <w:tcW w:w="564" w:type="pct"/>
            <w:shd w:val="clear" w:color="auto" w:fill="D9D9D9"/>
            <w:noWrap/>
            <w:vAlign w:val="center"/>
            <w:hideMark/>
          </w:tcPr>
          <w:p w14:paraId="513944F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544 097,40</w:t>
            </w:r>
            <w:r w:rsidRPr="00B73FDB">
              <w:rPr>
                <w:rFonts w:cs="Calibri"/>
                <w:sz w:val="18"/>
                <w:szCs w:val="18"/>
                <w:lang w:eastAsia="sk-SK"/>
              </w:rPr>
              <w:t xml:space="preserve"> </w:t>
            </w:r>
          </w:p>
        </w:tc>
        <w:tc>
          <w:tcPr>
            <w:tcW w:w="493" w:type="pct"/>
            <w:shd w:val="clear" w:color="auto" w:fill="D9D9D9"/>
            <w:noWrap/>
            <w:vAlign w:val="center"/>
            <w:hideMark/>
          </w:tcPr>
          <w:p w14:paraId="1D18693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542 594,40</w:t>
            </w:r>
            <w:r w:rsidRPr="00B73FDB">
              <w:rPr>
                <w:rFonts w:cs="Calibri"/>
                <w:sz w:val="18"/>
                <w:szCs w:val="18"/>
                <w:lang w:eastAsia="sk-SK"/>
              </w:rPr>
              <w:t xml:space="preserve"> </w:t>
            </w:r>
          </w:p>
        </w:tc>
        <w:tc>
          <w:tcPr>
            <w:tcW w:w="564" w:type="pct"/>
            <w:shd w:val="clear" w:color="auto" w:fill="D9D9D9"/>
            <w:noWrap/>
            <w:vAlign w:val="center"/>
            <w:hideMark/>
          </w:tcPr>
          <w:p w14:paraId="4C89428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99,72</w:t>
            </w:r>
            <w:r w:rsidRPr="00B73FDB">
              <w:rPr>
                <w:rFonts w:cs="Calibri"/>
                <w:sz w:val="18"/>
                <w:szCs w:val="18"/>
                <w:lang w:eastAsia="sk-SK"/>
              </w:rPr>
              <w:t xml:space="preserve"> </w:t>
            </w:r>
          </w:p>
        </w:tc>
        <w:tc>
          <w:tcPr>
            <w:tcW w:w="1136" w:type="pct"/>
            <w:vMerge/>
            <w:shd w:val="clear" w:color="auto" w:fill="D9D9D9"/>
            <w:vAlign w:val="center"/>
            <w:hideMark/>
          </w:tcPr>
          <w:p w14:paraId="48C98C22" w14:textId="77777777" w:rsidR="00B73FDB" w:rsidRPr="00B73FDB" w:rsidRDefault="00B73FDB" w:rsidP="00B73FDB">
            <w:pPr>
              <w:spacing w:after="0" w:line="240" w:lineRule="auto"/>
              <w:rPr>
                <w:rFonts w:cs="Calibri"/>
                <w:sz w:val="18"/>
                <w:szCs w:val="18"/>
                <w:lang w:eastAsia="sk-SK"/>
              </w:rPr>
            </w:pPr>
          </w:p>
        </w:tc>
      </w:tr>
      <w:tr w:rsidR="00B73FDB" w:rsidRPr="00B73FDB" w14:paraId="5C388648" w14:textId="77777777" w:rsidTr="00B73FDB">
        <w:trPr>
          <w:tblCellSpacing w:w="15" w:type="dxa"/>
        </w:trPr>
        <w:tc>
          <w:tcPr>
            <w:tcW w:w="268" w:type="pct"/>
            <w:shd w:val="clear" w:color="auto" w:fill="EFEFEF"/>
            <w:noWrap/>
            <w:vAlign w:val="center"/>
            <w:hideMark/>
          </w:tcPr>
          <w:p w14:paraId="001D4B1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7ED7642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282B585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21E7B2E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196 155,58 </w:t>
            </w:r>
          </w:p>
        </w:tc>
        <w:tc>
          <w:tcPr>
            <w:tcW w:w="493" w:type="pct"/>
            <w:shd w:val="clear" w:color="auto" w:fill="EFEFEF"/>
            <w:noWrap/>
            <w:vAlign w:val="center"/>
            <w:hideMark/>
          </w:tcPr>
          <w:p w14:paraId="50C635F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196 155,58 </w:t>
            </w:r>
          </w:p>
        </w:tc>
        <w:tc>
          <w:tcPr>
            <w:tcW w:w="564" w:type="pct"/>
            <w:shd w:val="clear" w:color="auto" w:fill="EFEFEF"/>
            <w:noWrap/>
            <w:vAlign w:val="center"/>
            <w:hideMark/>
          </w:tcPr>
          <w:p w14:paraId="5F10D82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24409247" w14:textId="77777777" w:rsidR="00B73FDB" w:rsidRPr="00B73FDB" w:rsidRDefault="00B73FDB" w:rsidP="00B73FDB">
            <w:pPr>
              <w:spacing w:after="0" w:line="240" w:lineRule="auto"/>
              <w:rPr>
                <w:rFonts w:cs="Calibri"/>
                <w:sz w:val="18"/>
                <w:szCs w:val="18"/>
                <w:lang w:eastAsia="sk-SK"/>
              </w:rPr>
            </w:pPr>
          </w:p>
        </w:tc>
      </w:tr>
      <w:tr w:rsidR="00B73FDB" w:rsidRPr="00B73FDB" w14:paraId="7DD17C41" w14:textId="77777777" w:rsidTr="00B73FDB">
        <w:trPr>
          <w:tblCellSpacing w:w="15" w:type="dxa"/>
        </w:trPr>
        <w:tc>
          <w:tcPr>
            <w:tcW w:w="268" w:type="pct"/>
            <w:shd w:val="clear" w:color="auto" w:fill="EFEFEF"/>
            <w:noWrap/>
            <w:vAlign w:val="center"/>
            <w:hideMark/>
          </w:tcPr>
          <w:p w14:paraId="7F8465D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1544330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7466CE3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111 744,00 </w:t>
            </w:r>
          </w:p>
        </w:tc>
        <w:tc>
          <w:tcPr>
            <w:tcW w:w="564" w:type="pct"/>
            <w:shd w:val="clear" w:color="auto" w:fill="EFEFEF"/>
            <w:noWrap/>
            <w:vAlign w:val="center"/>
            <w:hideMark/>
          </w:tcPr>
          <w:p w14:paraId="2700F33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147 885,71 </w:t>
            </w:r>
          </w:p>
        </w:tc>
        <w:tc>
          <w:tcPr>
            <w:tcW w:w="493" w:type="pct"/>
            <w:shd w:val="clear" w:color="auto" w:fill="EFEFEF"/>
            <w:noWrap/>
            <w:vAlign w:val="center"/>
            <w:hideMark/>
          </w:tcPr>
          <w:p w14:paraId="6A7E33B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147 885,71 </w:t>
            </w:r>
          </w:p>
        </w:tc>
        <w:tc>
          <w:tcPr>
            <w:tcW w:w="564" w:type="pct"/>
            <w:shd w:val="clear" w:color="auto" w:fill="EFEFEF"/>
            <w:noWrap/>
            <w:vAlign w:val="center"/>
            <w:hideMark/>
          </w:tcPr>
          <w:p w14:paraId="0692743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B81CE3B" w14:textId="77777777" w:rsidR="00B73FDB" w:rsidRPr="00B73FDB" w:rsidRDefault="00B73FDB" w:rsidP="00B73FDB">
            <w:pPr>
              <w:spacing w:after="0" w:line="240" w:lineRule="auto"/>
              <w:rPr>
                <w:rFonts w:cs="Calibri"/>
                <w:sz w:val="18"/>
                <w:szCs w:val="18"/>
                <w:lang w:eastAsia="sk-SK"/>
              </w:rPr>
            </w:pPr>
          </w:p>
        </w:tc>
      </w:tr>
      <w:tr w:rsidR="00B73FDB" w:rsidRPr="00B73FDB" w14:paraId="5806B352" w14:textId="77777777" w:rsidTr="00B73FDB">
        <w:trPr>
          <w:tblCellSpacing w:w="15" w:type="dxa"/>
        </w:trPr>
        <w:tc>
          <w:tcPr>
            <w:tcW w:w="268" w:type="pct"/>
            <w:shd w:val="clear" w:color="auto" w:fill="EFEFEF"/>
            <w:noWrap/>
            <w:vAlign w:val="center"/>
            <w:hideMark/>
          </w:tcPr>
          <w:p w14:paraId="6898CD1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4901A2F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5ED6620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214 960,00 </w:t>
            </w:r>
          </w:p>
        </w:tc>
        <w:tc>
          <w:tcPr>
            <w:tcW w:w="564" w:type="pct"/>
            <w:shd w:val="clear" w:color="auto" w:fill="EFEFEF"/>
            <w:noWrap/>
            <w:vAlign w:val="center"/>
            <w:hideMark/>
          </w:tcPr>
          <w:p w14:paraId="617BA77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189 510,13 </w:t>
            </w:r>
          </w:p>
        </w:tc>
        <w:tc>
          <w:tcPr>
            <w:tcW w:w="493" w:type="pct"/>
            <w:shd w:val="clear" w:color="auto" w:fill="EFEFEF"/>
            <w:noWrap/>
            <w:vAlign w:val="center"/>
            <w:hideMark/>
          </w:tcPr>
          <w:p w14:paraId="5FD57DC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188 007,13 </w:t>
            </w:r>
          </w:p>
        </w:tc>
        <w:tc>
          <w:tcPr>
            <w:tcW w:w="564" w:type="pct"/>
            <w:shd w:val="clear" w:color="auto" w:fill="EFEFEF"/>
            <w:noWrap/>
            <w:vAlign w:val="center"/>
            <w:hideMark/>
          </w:tcPr>
          <w:p w14:paraId="1C469EB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99,21 </w:t>
            </w:r>
          </w:p>
        </w:tc>
        <w:tc>
          <w:tcPr>
            <w:tcW w:w="1136" w:type="pct"/>
            <w:vMerge/>
            <w:shd w:val="clear" w:color="auto" w:fill="EFEFEF"/>
            <w:vAlign w:val="center"/>
            <w:hideMark/>
          </w:tcPr>
          <w:p w14:paraId="5C44D75B" w14:textId="77777777" w:rsidR="00B73FDB" w:rsidRPr="00B73FDB" w:rsidRDefault="00B73FDB" w:rsidP="00B73FDB">
            <w:pPr>
              <w:spacing w:after="0" w:line="240" w:lineRule="auto"/>
              <w:rPr>
                <w:rFonts w:cs="Calibri"/>
                <w:sz w:val="18"/>
                <w:szCs w:val="18"/>
                <w:lang w:eastAsia="sk-SK"/>
              </w:rPr>
            </w:pPr>
          </w:p>
        </w:tc>
      </w:tr>
      <w:tr w:rsidR="00B73FDB" w:rsidRPr="00B73FDB" w14:paraId="5820E614" w14:textId="77777777" w:rsidTr="00B73FDB">
        <w:trPr>
          <w:tblCellSpacing w:w="15" w:type="dxa"/>
        </w:trPr>
        <w:tc>
          <w:tcPr>
            <w:tcW w:w="268" w:type="pct"/>
            <w:shd w:val="clear" w:color="auto" w:fill="EFEFEF"/>
            <w:noWrap/>
            <w:vAlign w:val="center"/>
            <w:hideMark/>
          </w:tcPr>
          <w:p w14:paraId="141A34E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88" w:type="pct"/>
            <w:shd w:val="clear" w:color="auto" w:fill="EFEFEF"/>
            <w:vAlign w:val="center"/>
            <w:hideMark/>
          </w:tcPr>
          <w:p w14:paraId="4C6C027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66A68D4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2 190,00 </w:t>
            </w:r>
          </w:p>
        </w:tc>
        <w:tc>
          <w:tcPr>
            <w:tcW w:w="564" w:type="pct"/>
            <w:shd w:val="clear" w:color="auto" w:fill="EFEFEF"/>
            <w:noWrap/>
            <w:vAlign w:val="center"/>
            <w:hideMark/>
          </w:tcPr>
          <w:p w14:paraId="1E87C48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10 545,98 </w:t>
            </w:r>
          </w:p>
        </w:tc>
        <w:tc>
          <w:tcPr>
            <w:tcW w:w="493" w:type="pct"/>
            <w:shd w:val="clear" w:color="auto" w:fill="EFEFEF"/>
            <w:noWrap/>
            <w:vAlign w:val="center"/>
            <w:hideMark/>
          </w:tcPr>
          <w:p w14:paraId="598B24B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10 545,98 </w:t>
            </w:r>
          </w:p>
        </w:tc>
        <w:tc>
          <w:tcPr>
            <w:tcW w:w="564" w:type="pct"/>
            <w:shd w:val="clear" w:color="auto" w:fill="EFEFEF"/>
            <w:noWrap/>
            <w:vAlign w:val="center"/>
            <w:hideMark/>
          </w:tcPr>
          <w:p w14:paraId="4A0B76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6" w:type="pct"/>
            <w:vMerge/>
            <w:shd w:val="clear" w:color="auto" w:fill="EFEFEF"/>
            <w:vAlign w:val="center"/>
            <w:hideMark/>
          </w:tcPr>
          <w:p w14:paraId="34C3D721" w14:textId="77777777" w:rsidR="00B73FDB" w:rsidRPr="00B73FDB" w:rsidRDefault="00B73FDB" w:rsidP="00B73FDB">
            <w:pPr>
              <w:spacing w:after="0" w:line="240" w:lineRule="auto"/>
              <w:rPr>
                <w:rFonts w:cs="Calibri"/>
                <w:sz w:val="18"/>
                <w:szCs w:val="18"/>
                <w:lang w:eastAsia="sk-SK"/>
              </w:rPr>
            </w:pPr>
          </w:p>
        </w:tc>
      </w:tr>
    </w:tbl>
    <w:p w14:paraId="012765FC"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1"/>
        <w:gridCol w:w="774"/>
        <w:gridCol w:w="1834"/>
        <w:gridCol w:w="1318"/>
        <w:gridCol w:w="4159"/>
      </w:tblGrid>
      <w:tr w:rsidR="00B73FDB" w:rsidRPr="00B73FDB" w14:paraId="3247AF8D" w14:textId="77777777" w:rsidTr="00B73FDB">
        <w:trPr>
          <w:tblCellSpacing w:w="15" w:type="dxa"/>
        </w:trPr>
        <w:tc>
          <w:tcPr>
            <w:tcW w:w="0" w:type="auto"/>
            <w:shd w:val="clear" w:color="auto" w:fill="C2D69B"/>
            <w:vAlign w:val="center"/>
            <w:hideMark/>
          </w:tcPr>
          <w:p w14:paraId="5F802A6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2E83BB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23DDB698" w14:textId="77777777" w:rsidTr="00B73FDB">
        <w:trPr>
          <w:tblCellSpacing w:w="15" w:type="dxa"/>
        </w:trPr>
        <w:tc>
          <w:tcPr>
            <w:tcW w:w="0" w:type="auto"/>
            <w:shd w:val="clear" w:color="auto" w:fill="C2D69B"/>
            <w:vAlign w:val="center"/>
            <w:hideMark/>
          </w:tcPr>
          <w:p w14:paraId="0326866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7FF9AA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Spojenej škole </w:t>
            </w:r>
          </w:p>
        </w:tc>
      </w:tr>
      <w:tr w:rsidR="00B73FDB" w:rsidRPr="00B73FDB" w14:paraId="1CF38DCC" w14:textId="77777777" w:rsidTr="00B73FDB">
        <w:trPr>
          <w:tblCellSpacing w:w="15" w:type="dxa"/>
        </w:trPr>
        <w:tc>
          <w:tcPr>
            <w:tcW w:w="0" w:type="auto"/>
            <w:shd w:val="clear" w:color="auto" w:fill="C2D69B"/>
            <w:vAlign w:val="center"/>
            <w:hideMark/>
          </w:tcPr>
          <w:p w14:paraId="0BB2A43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F53626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45F7393C" w14:textId="77777777" w:rsidTr="00B73FDB">
        <w:trPr>
          <w:tblCellSpacing w:w="15" w:type="dxa"/>
        </w:trPr>
        <w:tc>
          <w:tcPr>
            <w:tcW w:w="0" w:type="auto"/>
            <w:shd w:val="clear" w:color="auto" w:fill="C2D69B"/>
            <w:vAlign w:val="center"/>
            <w:hideMark/>
          </w:tcPr>
          <w:p w14:paraId="4693864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49424D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256496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34A296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6F23A82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B1F9BB0" w14:textId="77777777" w:rsidTr="00B73FDB">
        <w:trPr>
          <w:tblCellSpacing w:w="15" w:type="dxa"/>
        </w:trPr>
        <w:tc>
          <w:tcPr>
            <w:tcW w:w="0" w:type="auto"/>
            <w:shd w:val="clear" w:color="auto" w:fill="C2D69B"/>
            <w:vAlign w:val="center"/>
            <w:hideMark/>
          </w:tcPr>
          <w:p w14:paraId="385B94E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C6B4CA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75 </w:t>
            </w:r>
          </w:p>
        </w:tc>
        <w:tc>
          <w:tcPr>
            <w:tcW w:w="0" w:type="auto"/>
            <w:shd w:val="clear" w:color="auto" w:fill="C2D69B"/>
            <w:noWrap/>
            <w:vAlign w:val="center"/>
            <w:hideMark/>
          </w:tcPr>
          <w:p w14:paraId="2B68CFD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75 </w:t>
            </w:r>
          </w:p>
        </w:tc>
        <w:tc>
          <w:tcPr>
            <w:tcW w:w="0" w:type="auto"/>
            <w:shd w:val="clear" w:color="auto" w:fill="C2D69B"/>
            <w:vAlign w:val="center"/>
            <w:hideMark/>
          </w:tcPr>
          <w:p w14:paraId="6EF9C91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FA43F5C"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297036CB" w14:textId="77777777" w:rsidTr="00B73FDB">
        <w:trPr>
          <w:tblCellSpacing w:w="15" w:type="dxa"/>
        </w:trPr>
        <w:tc>
          <w:tcPr>
            <w:tcW w:w="0" w:type="auto"/>
            <w:shd w:val="clear" w:color="auto" w:fill="C2D69B"/>
            <w:vAlign w:val="center"/>
            <w:hideMark/>
          </w:tcPr>
          <w:p w14:paraId="66A4A51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55E9B1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forma </w:t>
            </w:r>
          </w:p>
        </w:tc>
      </w:tr>
      <w:tr w:rsidR="00B73FDB" w:rsidRPr="00B73FDB" w14:paraId="6E470127" w14:textId="77777777" w:rsidTr="00B73FDB">
        <w:trPr>
          <w:tblCellSpacing w:w="15" w:type="dxa"/>
        </w:trPr>
        <w:tc>
          <w:tcPr>
            <w:tcW w:w="0" w:type="auto"/>
            <w:shd w:val="clear" w:color="auto" w:fill="C2D69B"/>
            <w:vAlign w:val="center"/>
            <w:hideMark/>
          </w:tcPr>
          <w:p w14:paraId="50F2CC2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D8E0BA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D6183D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10CCE1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34A23A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F32A1A8" w14:textId="77777777" w:rsidTr="00B73FDB">
        <w:trPr>
          <w:tblCellSpacing w:w="15" w:type="dxa"/>
        </w:trPr>
        <w:tc>
          <w:tcPr>
            <w:tcW w:w="0" w:type="auto"/>
            <w:shd w:val="clear" w:color="auto" w:fill="C2D69B"/>
            <w:vAlign w:val="center"/>
            <w:hideMark/>
          </w:tcPr>
          <w:p w14:paraId="3504318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CEDB5C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56 </w:t>
            </w:r>
          </w:p>
        </w:tc>
        <w:tc>
          <w:tcPr>
            <w:tcW w:w="0" w:type="auto"/>
            <w:shd w:val="clear" w:color="auto" w:fill="C2D69B"/>
            <w:noWrap/>
            <w:vAlign w:val="center"/>
            <w:hideMark/>
          </w:tcPr>
          <w:p w14:paraId="46637F0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56 </w:t>
            </w:r>
          </w:p>
        </w:tc>
        <w:tc>
          <w:tcPr>
            <w:tcW w:w="0" w:type="auto"/>
            <w:shd w:val="clear" w:color="auto" w:fill="C2D69B"/>
            <w:vAlign w:val="center"/>
            <w:hideMark/>
          </w:tcPr>
          <w:p w14:paraId="720D844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0B97F22F" w14:textId="77777777" w:rsidR="00B73FDB" w:rsidRPr="00B73FDB" w:rsidRDefault="00B73FDB" w:rsidP="00B73FDB">
            <w:pPr>
              <w:spacing w:after="0" w:line="240" w:lineRule="auto"/>
              <w:jc w:val="center"/>
              <w:rPr>
                <w:rFonts w:cs="Calibri"/>
                <w:sz w:val="18"/>
                <w:szCs w:val="18"/>
                <w:lang w:eastAsia="sk-SK"/>
              </w:rPr>
            </w:pPr>
          </w:p>
        </w:tc>
      </w:tr>
    </w:tbl>
    <w:p w14:paraId="347086CB"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lastRenderedPageBreak/>
        <w:t>Kom</w:t>
      </w:r>
      <w:r w:rsidRPr="00B73FDB">
        <w:rPr>
          <w:rFonts w:cs="Calibri"/>
          <w:b/>
          <w:bCs/>
          <w:sz w:val="24"/>
          <w:szCs w:val="24"/>
          <w:lang w:eastAsia="sk-SK"/>
        </w:rPr>
        <w:t xml:space="preserve">entár: </w:t>
      </w:r>
      <w:r w:rsidRPr="00B73FDB">
        <w:rPr>
          <w:rFonts w:cs="Calibri"/>
          <w:sz w:val="24"/>
          <w:szCs w:val="24"/>
          <w:lang w:eastAsia="sk-SK"/>
        </w:rPr>
        <w:t xml:space="preserve">SOŠ záhradnícka v rámci spojenej školy poskytuje vzdelanie v dennej a externej forme štúdia v záhradníckych odboroch. </w:t>
      </w:r>
    </w:p>
    <w:p w14:paraId="5BEFEEA3" w14:textId="77777777" w:rsidR="00B73FDB" w:rsidRPr="00352CED" w:rsidRDefault="00B73FDB" w:rsidP="00B73FDB">
      <w:pPr>
        <w:keepNext/>
        <w:keepLines/>
        <w:spacing w:before="40" w:after="0" w:line="259" w:lineRule="auto"/>
        <w:jc w:val="both"/>
        <w:outlineLvl w:val="3"/>
        <w:rPr>
          <w:rFonts w:cs="Calibri"/>
          <w:b/>
          <w:color w:val="244061"/>
          <w:sz w:val="24"/>
          <w:szCs w:val="24"/>
          <w:lang w:eastAsia="sk-SK"/>
        </w:rPr>
      </w:pPr>
      <w:r w:rsidRPr="00352CED">
        <w:rPr>
          <w:rFonts w:cs="Calibri"/>
          <w:b/>
          <w:color w:val="244061"/>
          <w:sz w:val="24"/>
          <w:szCs w:val="24"/>
          <w:lang w:eastAsia="sk-SK"/>
        </w:rPr>
        <w:t xml:space="preserve">Prvok 8.3.46: Spojená škola, </w:t>
      </w:r>
      <w:proofErr w:type="spellStart"/>
      <w:r w:rsidRPr="00352CED">
        <w:rPr>
          <w:rFonts w:cs="Calibri"/>
          <w:b/>
          <w:color w:val="244061"/>
          <w:sz w:val="24"/>
          <w:szCs w:val="24"/>
          <w:lang w:eastAsia="sk-SK"/>
        </w:rPr>
        <w:t>Ostredkova</w:t>
      </w:r>
      <w:proofErr w:type="spellEnd"/>
      <w:r w:rsidRPr="00352CED">
        <w:rPr>
          <w:rFonts w:cs="Calibri"/>
          <w:b/>
          <w:color w:val="244061"/>
          <w:sz w:val="24"/>
          <w:szCs w:val="24"/>
          <w:lang w:eastAsia="sk-SK"/>
        </w:rPr>
        <w:t xml:space="preserve"> 10, BA - Stredná športová škola – rozpočtová organizácia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2731"/>
        <w:gridCol w:w="1212"/>
        <w:gridCol w:w="1212"/>
        <w:gridCol w:w="1026"/>
        <w:gridCol w:w="1280"/>
        <w:gridCol w:w="2395"/>
      </w:tblGrid>
      <w:tr w:rsidR="00B73FDB" w:rsidRPr="00B73FDB" w14:paraId="46AC4741" w14:textId="77777777" w:rsidTr="00B73FDB">
        <w:trPr>
          <w:tblCellSpacing w:w="15" w:type="dxa"/>
        </w:trPr>
        <w:tc>
          <w:tcPr>
            <w:tcW w:w="269" w:type="pct"/>
            <w:shd w:val="clear" w:color="auto" w:fill="C6DBF7"/>
            <w:vAlign w:val="center"/>
            <w:hideMark/>
          </w:tcPr>
          <w:p w14:paraId="1EA2DBB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88" w:type="pct"/>
            <w:shd w:val="clear" w:color="auto" w:fill="C6DBF7"/>
            <w:vAlign w:val="center"/>
            <w:hideMark/>
          </w:tcPr>
          <w:p w14:paraId="68D33ED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0B1F802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5283FFC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475" w:type="pct"/>
            <w:shd w:val="clear" w:color="auto" w:fill="C6DBF7"/>
            <w:vAlign w:val="center"/>
            <w:hideMark/>
          </w:tcPr>
          <w:p w14:paraId="2CF95F0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96" w:type="pct"/>
            <w:shd w:val="clear" w:color="auto" w:fill="C6DBF7"/>
            <w:vAlign w:val="center"/>
            <w:hideMark/>
          </w:tcPr>
          <w:p w14:paraId="75C027B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21" w:type="pct"/>
            <w:shd w:val="clear" w:color="auto" w:fill="C6DBF7"/>
            <w:vAlign w:val="center"/>
            <w:hideMark/>
          </w:tcPr>
          <w:p w14:paraId="67BFDDC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40DF2A83" w14:textId="77777777" w:rsidTr="00B73FDB">
        <w:trPr>
          <w:tblCellSpacing w:w="15" w:type="dxa"/>
        </w:trPr>
        <w:tc>
          <w:tcPr>
            <w:tcW w:w="269" w:type="pct"/>
            <w:shd w:val="clear" w:color="auto" w:fill="D9D9D9"/>
            <w:noWrap/>
            <w:vAlign w:val="center"/>
            <w:hideMark/>
          </w:tcPr>
          <w:p w14:paraId="5A365D48" w14:textId="77777777" w:rsidR="00B73FDB" w:rsidRPr="00B73FDB" w:rsidRDefault="00B73FDB" w:rsidP="00B73FDB">
            <w:pPr>
              <w:spacing w:after="0" w:line="240" w:lineRule="auto"/>
              <w:jc w:val="center"/>
              <w:rPr>
                <w:rFonts w:cs="Calibri"/>
                <w:sz w:val="18"/>
                <w:szCs w:val="18"/>
                <w:lang w:eastAsia="sk-SK"/>
              </w:rPr>
            </w:pPr>
          </w:p>
        </w:tc>
        <w:tc>
          <w:tcPr>
            <w:tcW w:w="1288" w:type="pct"/>
            <w:shd w:val="clear" w:color="auto" w:fill="D9D9D9"/>
            <w:vAlign w:val="center"/>
            <w:hideMark/>
          </w:tcPr>
          <w:p w14:paraId="72A576B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50C8F37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64" w:type="pct"/>
            <w:shd w:val="clear" w:color="auto" w:fill="D9D9D9"/>
            <w:noWrap/>
            <w:vAlign w:val="center"/>
            <w:hideMark/>
          </w:tcPr>
          <w:p w14:paraId="483229E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669 538,57</w:t>
            </w:r>
            <w:r w:rsidRPr="00B73FDB">
              <w:rPr>
                <w:rFonts w:cs="Calibri"/>
                <w:sz w:val="18"/>
                <w:szCs w:val="18"/>
                <w:lang w:eastAsia="sk-SK"/>
              </w:rPr>
              <w:t xml:space="preserve"> </w:t>
            </w:r>
          </w:p>
        </w:tc>
        <w:tc>
          <w:tcPr>
            <w:tcW w:w="475" w:type="pct"/>
            <w:shd w:val="clear" w:color="auto" w:fill="D9D9D9"/>
            <w:noWrap/>
            <w:vAlign w:val="center"/>
            <w:hideMark/>
          </w:tcPr>
          <w:p w14:paraId="477D4EF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612 165,35</w:t>
            </w:r>
            <w:r w:rsidRPr="00B73FDB">
              <w:rPr>
                <w:rFonts w:cs="Calibri"/>
                <w:sz w:val="18"/>
                <w:szCs w:val="18"/>
                <w:lang w:eastAsia="sk-SK"/>
              </w:rPr>
              <w:t xml:space="preserve"> </w:t>
            </w:r>
          </w:p>
        </w:tc>
        <w:tc>
          <w:tcPr>
            <w:tcW w:w="596" w:type="pct"/>
            <w:shd w:val="clear" w:color="auto" w:fill="D9D9D9"/>
            <w:noWrap/>
            <w:vAlign w:val="center"/>
            <w:hideMark/>
          </w:tcPr>
          <w:p w14:paraId="2D4A41D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91,43</w:t>
            </w:r>
            <w:r w:rsidRPr="00B73FDB">
              <w:rPr>
                <w:rFonts w:cs="Calibri"/>
                <w:sz w:val="18"/>
                <w:szCs w:val="18"/>
                <w:lang w:eastAsia="sk-SK"/>
              </w:rPr>
              <w:t xml:space="preserve"> </w:t>
            </w:r>
          </w:p>
        </w:tc>
        <w:tc>
          <w:tcPr>
            <w:tcW w:w="1121" w:type="pct"/>
            <w:vMerge w:val="restart"/>
            <w:shd w:val="clear" w:color="auto" w:fill="D9D9D9"/>
            <w:vAlign w:val="center"/>
            <w:hideMark/>
          </w:tcPr>
          <w:p w14:paraId="14CD1AE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+6 488,00 EUR</w:t>
            </w:r>
            <w:r w:rsidRPr="00B73FDB">
              <w:rPr>
                <w:rFonts w:cs="Calibri"/>
                <w:sz w:val="18"/>
                <w:szCs w:val="18"/>
                <w:lang w:eastAsia="sk-SK"/>
              </w:rPr>
              <w:t xml:space="preserve"> normatívne finančné prostriedky,</w:t>
            </w:r>
          </w:p>
          <w:p w14:paraId="1B8E713B"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+662 467,57 EUR</w:t>
            </w:r>
            <w:r w:rsidRPr="00B73FDB">
              <w:rPr>
                <w:rFonts w:cs="Calibri"/>
                <w:sz w:val="18"/>
                <w:szCs w:val="18"/>
                <w:lang w:eastAsia="sk-SK"/>
              </w:rPr>
              <w:t xml:space="preserve"> dopočet rozpočtu – zriadenie novej organizácie,</w:t>
            </w:r>
          </w:p>
          <w:p w14:paraId="429A9F54" w14:textId="77777777" w:rsidR="00B73FDB" w:rsidRPr="00B73FDB" w:rsidRDefault="00B73FDB" w:rsidP="00B73FDB">
            <w:pPr>
              <w:spacing w:after="0" w:line="240" w:lineRule="auto"/>
              <w:rPr>
                <w:rFonts w:cs="Calibri"/>
                <w:sz w:val="18"/>
                <w:szCs w:val="18"/>
                <w:lang w:eastAsia="sk-SK"/>
              </w:rPr>
            </w:pPr>
            <w:r w:rsidRPr="00B73FDB">
              <w:rPr>
                <w:rFonts w:cs="Calibri"/>
                <w:b/>
                <w:sz w:val="18"/>
                <w:szCs w:val="18"/>
                <w:lang w:eastAsia="sk-SK"/>
              </w:rPr>
              <w:t>+583,00 EUR</w:t>
            </w:r>
            <w:r w:rsidRPr="00B73FDB">
              <w:rPr>
                <w:rFonts w:cs="Calibri"/>
                <w:sz w:val="18"/>
                <w:szCs w:val="18"/>
                <w:lang w:eastAsia="sk-SK"/>
              </w:rPr>
              <w:t xml:space="preserve"> príspevok na rekreáciu zamestnancov.</w:t>
            </w:r>
          </w:p>
        </w:tc>
      </w:tr>
      <w:tr w:rsidR="00B73FDB" w:rsidRPr="00B73FDB" w14:paraId="3292CC62" w14:textId="77777777" w:rsidTr="00B73FDB">
        <w:trPr>
          <w:tblCellSpacing w:w="15" w:type="dxa"/>
        </w:trPr>
        <w:tc>
          <w:tcPr>
            <w:tcW w:w="269" w:type="pct"/>
            <w:shd w:val="clear" w:color="auto" w:fill="D9D9D9"/>
            <w:noWrap/>
            <w:vAlign w:val="center"/>
            <w:hideMark/>
          </w:tcPr>
          <w:p w14:paraId="4C6ECAF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88" w:type="pct"/>
            <w:shd w:val="clear" w:color="auto" w:fill="D9D9D9"/>
            <w:vAlign w:val="center"/>
            <w:hideMark/>
          </w:tcPr>
          <w:p w14:paraId="516E3F3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0D7C5C7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64" w:type="pct"/>
            <w:shd w:val="clear" w:color="auto" w:fill="D9D9D9"/>
            <w:noWrap/>
            <w:vAlign w:val="center"/>
            <w:hideMark/>
          </w:tcPr>
          <w:p w14:paraId="76F3937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669 538,57</w:t>
            </w:r>
            <w:r w:rsidRPr="00B73FDB">
              <w:rPr>
                <w:rFonts w:cs="Calibri"/>
                <w:sz w:val="18"/>
                <w:szCs w:val="18"/>
                <w:lang w:eastAsia="sk-SK"/>
              </w:rPr>
              <w:t xml:space="preserve"> </w:t>
            </w:r>
          </w:p>
        </w:tc>
        <w:tc>
          <w:tcPr>
            <w:tcW w:w="475" w:type="pct"/>
            <w:shd w:val="clear" w:color="auto" w:fill="D9D9D9"/>
            <w:noWrap/>
            <w:vAlign w:val="center"/>
            <w:hideMark/>
          </w:tcPr>
          <w:p w14:paraId="796C7D4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612 165,35</w:t>
            </w:r>
            <w:r w:rsidRPr="00B73FDB">
              <w:rPr>
                <w:rFonts w:cs="Calibri"/>
                <w:sz w:val="18"/>
                <w:szCs w:val="18"/>
                <w:lang w:eastAsia="sk-SK"/>
              </w:rPr>
              <w:t xml:space="preserve"> </w:t>
            </w:r>
          </w:p>
        </w:tc>
        <w:tc>
          <w:tcPr>
            <w:tcW w:w="596" w:type="pct"/>
            <w:shd w:val="clear" w:color="auto" w:fill="D9D9D9"/>
            <w:noWrap/>
            <w:vAlign w:val="center"/>
            <w:hideMark/>
          </w:tcPr>
          <w:p w14:paraId="520F69E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91,43</w:t>
            </w:r>
            <w:r w:rsidRPr="00B73FDB">
              <w:rPr>
                <w:rFonts w:cs="Calibri"/>
                <w:sz w:val="18"/>
                <w:szCs w:val="18"/>
                <w:lang w:eastAsia="sk-SK"/>
              </w:rPr>
              <w:t xml:space="preserve"> </w:t>
            </w:r>
          </w:p>
        </w:tc>
        <w:tc>
          <w:tcPr>
            <w:tcW w:w="1121" w:type="pct"/>
            <w:vMerge/>
            <w:shd w:val="clear" w:color="auto" w:fill="D9D9D9"/>
            <w:vAlign w:val="center"/>
            <w:hideMark/>
          </w:tcPr>
          <w:p w14:paraId="345EC405" w14:textId="77777777" w:rsidR="00B73FDB" w:rsidRPr="00B73FDB" w:rsidRDefault="00B73FDB" w:rsidP="00B73FDB">
            <w:pPr>
              <w:spacing w:after="0" w:line="240" w:lineRule="auto"/>
              <w:rPr>
                <w:rFonts w:cs="Calibri"/>
                <w:sz w:val="18"/>
                <w:szCs w:val="18"/>
                <w:lang w:eastAsia="sk-SK"/>
              </w:rPr>
            </w:pPr>
          </w:p>
        </w:tc>
      </w:tr>
      <w:tr w:rsidR="00B73FDB" w:rsidRPr="00B73FDB" w14:paraId="53209897" w14:textId="77777777" w:rsidTr="00B73FDB">
        <w:trPr>
          <w:tblCellSpacing w:w="15" w:type="dxa"/>
        </w:trPr>
        <w:tc>
          <w:tcPr>
            <w:tcW w:w="269" w:type="pct"/>
            <w:shd w:val="clear" w:color="auto" w:fill="EFEFEF"/>
            <w:noWrap/>
            <w:vAlign w:val="center"/>
            <w:hideMark/>
          </w:tcPr>
          <w:p w14:paraId="44B799E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88" w:type="pct"/>
            <w:shd w:val="clear" w:color="auto" w:fill="EFEFEF"/>
            <w:vAlign w:val="center"/>
            <w:hideMark/>
          </w:tcPr>
          <w:p w14:paraId="529805A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2D1D2C7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533E7F9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358 790,54 </w:t>
            </w:r>
          </w:p>
        </w:tc>
        <w:tc>
          <w:tcPr>
            <w:tcW w:w="475" w:type="pct"/>
            <w:shd w:val="clear" w:color="auto" w:fill="EFEFEF"/>
            <w:noWrap/>
            <w:vAlign w:val="center"/>
            <w:hideMark/>
          </w:tcPr>
          <w:p w14:paraId="1FB1482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358 790,54 </w:t>
            </w:r>
          </w:p>
        </w:tc>
        <w:tc>
          <w:tcPr>
            <w:tcW w:w="596" w:type="pct"/>
            <w:shd w:val="clear" w:color="auto" w:fill="EFEFEF"/>
            <w:noWrap/>
            <w:vAlign w:val="center"/>
            <w:hideMark/>
          </w:tcPr>
          <w:p w14:paraId="6F28DB0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21" w:type="pct"/>
            <w:vMerge/>
            <w:shd w:val="clear" w:color="auto" w:fill="EFEFEF"/>
            <w:vAlign w:val="center"/>
            <w:hideMark/>
          </w:tcPr>
          <w:p w14:paraId="0D67687F" w14:textId="77777777" w:rsidR="00B73FDB" w:rsidRPr="00B73FDB" w:rsidRDefault="00B73FDB" w:rsidP="00B73FDB">
            <w:pPr>
              <w:spacing w:after="0" w:line="240" w:lineRule="auto"/>
              <w:rPr>
                <w:rFonts w:cs="Calibri"/>
                <w:sz w:val="18"/>
                <w:szCs w:val="18"/>
                <w:lang w:eastAsia="sk-SK"/>
              </w:rPr>
            </w:pPr>
          </w:p>
        </w:tc>
      </w:tr>
      <w:tr w:rsidR="00B73FDB" w:rsidRPr="00B73FDB" w14:paraId="0EBA598F" w14:textId="77777777" w:rsidTr="00B73FDB">
        <w:trPr>
          <w:tblCellSpacing w:w="15" w:type="dxa"/>
        </w:trPr>
        <w:tc>
          <w:tcPr>
            <w:tcW w:w="269" w:type="pct"/>
            <w:shd w:val="clear" w:color="auto" w:fill="EFEFEF"/>
            <w:noWrap/>
            <w:vAlign w:val="center"/>
            <w:hideMark/>
          </w:tcPr>
          <w:p w14:paraId="248ACB7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88" w:type="pct"/>
            <w:shd w:val="clear" w:color="auto" w:fill="EFEFEF"/>
            <w:vAlign w:val="center"/>
            <w:hideMark/>
          </w:tcPr>
          <w:p w14:paraId="7BAD9D8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4E812E7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4CDF7C3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111 894,16 </w:t>
            </w:r>
          </w:p>
        </w:tc>
        <w:tc>
          <w:tcPr>
            <w:tcW w:w="475" w:type="pct"/>
            <w:shd w:val="clear" w:color="auto" w:fill="EFEFEF"/>
            <w:noWrap/>
            <w:vAlign w:val="center"/>
            <w:hideMark/>
          </w:tcPr>
          <w:p w14:paraId="34AC472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111 894,16 </w:t>
            </w:r>
          </w:p>
        </w:tc>
        <w:tc>
          <w:tcPr>
            <w:tcW w:w="596" w:type="pct"/>
            <w:shd w:val="clear" w:color="auto" w:fill="EFEFEF"/>
            <w:noWrap/>
            <w:vAlign w:val="center"/>
            <w:hideMark/>
          </w:tcPr>
          <w:p w14:paraId="50329DD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21" w:type="pct"/>
            <w:vMerge/>
            <w:shd w:val="clear" w:color="auto" w:fill="EFEFEF"/>
            <w:vAlign w:val="center"/>
            <w:hideMark/>
          </w:tcPr>
          <w:p w14:paraId="40DD8EC1" w14:textId="77777777" w:rsidR="00B73FDB" w:rsidRPr="00B73FDB" w:rsidRDefault="00B73FDB" w:rsidP="00B73FDB">
            <w:pPr>
              <w:spacing w:after="0" w:line="240" w:lineRule="auto"/>
              <w:rPr>
                <w:rFonts w:cs="Calibri"/>
                <w:sz w:val="18"/>
                <w:szCs w:val="18"/>
                <w:lang w:eastAsia="sk-SK"/>
              </w:rPr>
            </w:pPr>
          </w:p>
        </w:tc>
      </w:tr>
      <w:tr w:rsidR="00B73FDB" w:rsidRPr="00B73FDB" w14:paraId="670BBF58" w14:textId="77777777" w:rsidTr="00B73FDB">
        <w:trPr>
          <w:tblCellSpacing w:w="15" w:type="dxa"/>
        </w:trPr>
        <w:tc>
          <w:tcPr>
            <w:tcW w:w="269" w:type="pct"/>
            <w:shd w:val="clear" w:color="auto" w:fill="EFEFEF"/>
            <w:noWrap/>
            <w:vAlign w:val="center"/>
            <w:hideMark/>
          </w:tcPr>
          <w:p w14:paraId="1E0A757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88" w:type="pct"/>
            <w:shd w:val="clear" w:color="auto" w:fill="EFEFEF"/>
            <w:vAlign w:val="center"/>
            <w:hideMark/>
          </w:tcPr>
          <w:p w14:paraId="1248A6F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0839A0E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25DDA11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198 853,87 </w:t>
            </w:r>
          </w:p>
        </w:tc>
        <w:tc>
          <w:tcPr>
            <w:tcW w:w="475" w:type="pct"/>
            <w:shd w:val="clear" w:color="auto" w:fill="EFEFEF"/>
            <w:noWrap/>
            <w:vAlign w:val="center"/>
            <w:hideMark/>
          </w:tcPr>
          <w:p w14:paraId="4279E8E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141 480,65 </w:t>
            </w:r>
          </w:p>
        </w:tc>
        <w:tc>
          <w:tcPr>
            <w:tcW w:w="596" w:type="pct"/>
            <w:shd w:val="clear" w:color="auto" w:fill="EFEFEF"/>
            <w:noWrap/>
            <w:vAlign w:val="center"/>
            <w:hideMark/>
          </w:tcPr>
          <w:p w14:paraId="59E83E2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71,15 </w:t>
            </w:r>
          </w:p>
        </w:tc>
        <w:tc>
          <w:tcPr>
            <w:tcW w:w="1121" w:type="pct"/>
            <w:vMerge/>
            <w:shd w:val="clear" w:color="auto" w:fill="EFEFEF"/>
            <w:vAlign w:val="center"/>
            <w:hideMark/>
          </w:tcPr>
          <w:p w14:paraId="3DA466E2" w14:textId="77777777" w:rsidR="00B73FDB" w:rsidRPr="00B73FDB" w:rsidRDefault="00B73FDB" w:rsidP="00B73FDB">
            <w:pPr>
              <w:spacing w:after="0" w:line="240" w:lineRule="auto"/>
              <w:rPr>
                <w:rFonts w:cs="Calibri"/>
                <w:sz w:val="18"/>
                <w:szCs w:val="18"/>
                <w:lang w:eastAsia="sk-SK"/>
              </w:rPr>
            </w:pPr>
          </w:p>
        </w:tc>
      </w:tr>
    </w:tbl>
    <w:p w14:paraId="48B88B9A"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38"/>
        <w:gridCol w:w="710"/>
        <w:gridCol w:w="1680"/>
        <w:gridCol w:w="1579"/>
        <w:gridCol w:w="4159"/>
      </w:tblGrid>
      <w:tr w:rsidR="00B73FDB" w:rsidRPr="00B73FDB" w14:paraId="04EAD6FC" w14:textId="77777777" w:rsidTr="00B73FDB">
        <w:trPr>
          <w:tblCellSpacing w:w="15" w:type="dxa"/>
        </w:trPr>
        <w:tc>
          <w:tcPr>
            <w:tcW w:w="0" w:type="auto"/>
            <w:shd w:val="clear" w:color="auto" w:fill="C2D69B"/>
            <w:vAlign w:val="center"/>
            <w:hideMark/>
          </w:tcPr>
          <w:p w14:paraId="6AD07DB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5B73CF7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zariadenia </w:t>
            </w:r>
          </w:p>
        </w:tc>
      </w:tr>
      <w:tr w:rsidR="00B73FDB" w:rsidRPr="00B73FDB" w14:paraId="341957F1" w14:textId="77777777" w:rsidTr="00B73FDB">
        <w:trPr>
          <w:tblCellSpacing w:w="15" w:type="dxa"/>
        </w:trPr>
        <w:tc>
          <w:tcPr>
            <w:tcW w:w="0" w:type="auto"/>
            <w:shd w:val="clear" w:color="auto" w:fill="C2D69B"/>
            <w:vAlign w:val="center"/>
            <w:hideMark/>
          </w:tcPr>
          <w:p w14:paraId="4046315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5FE01F3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kvalitný vzdelávací proces na Spojenej škole </w:t>
            </w:r>
          </w:p>
        </w:tc>
      </w:tr>
      <w:tr w:rsidR="00B73FDB" w:rsidRPr="00B73FDB" w14:paraId="21CCA525" w14:textId="77777777" w:rsidTr="00B73FDB">
        <w:trPr>
          <w:tblCellSpacing w:w="15" w:type="dxa"/>
        </w:trPr>
        <w:tc>
          <w:tcPr>
            <w:tcW w:w="0" w:type="auto"/>
            <w:shd w:val="clear" w:color="auto" w:fill="C2D69B"/>
            <w:vAlign w:val="center"/>
            <w:hideMark/>
          </w:tcPr>
          <w:p w14:paraId="4B4F9AC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7F1C98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celkom </w:t>
            </w:r>
          </w:p>
        </w:tc>
      </w:tr>
      <w:tr w:rsidR="00B73FDB" w:rsidRPr="00B73FDB" w14:paraId="1802BEAD" w14:textId="77777777" w:rsidTr="00B73FDB">
        <w:trPr>
          <w:tblCellSpacing w:w="15" w:type="dxa"/>
        </w:trPr>
        <w:tc>
          <w:tcPr>
            <w:tcW w:w="0" w:type="auto"/>
            <w:shd w:val="clear" w:color="auto" w:fill="C2D69B"/>
            <w:vAlign w:val="center"/>
            <w:hideMark/>
          </w:tcPr>
          <w:p w14:paraId="42E84E4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50F47A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63D311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4491A54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27FB30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18666CF" w14:textId="77777777" w:rsidTr="00B73FDB">
        <w:trPr>
          <w:tblCellSpacing w:w="15" w:type="dxa"/>
        </w:trPr>
        <w:tc>
          <w:tcPr>
            <w:tcW w:w="0" w:type="auto"/>
            <w:shd w:val="clear" w:color="auto" w:fill="C2D69B"/>
            <w:vAlign w:val="center"/>
            <w:hideMark/>
          </w:tcPr>
          <w:p w14:paraId="3C59A4C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612328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353 </w:t>
            </w:r>
          </w:p>
        </w:tc>
        <w:tc>
          <w:tcPr>
            <w:tcW w:w="0" w:type="auto"/>
            <w:shd w:val="clear" w:color="auto" w:fill="C2D69B"/>
            <w:noWrap/>
            <w:vAlign w:val="center"/>
            <w:hideMark/>
          </w:tcPr>
          <w:p w14:paraId="1329BB5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335 </w:t>
            </w:r>
          </w:p>
        </w:tc>
        <w:tc>
          <w:tcPr>
            <w:tcW w:w="0" w:type="auto"/>
            <w:shd w:val="clear" w:color="auto" w:fill="C2D69B"/>
            <w:vAlign w:val="center"/>
            <w:hideMark/>
          </w:tcPr>
          <w:p w14:paraId="4304BEF7"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281ED2B6"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66FE8CDE" w14:textId="77777777" w:rsidTr="00B73FDB">
        <w:trPr>
          <w:tblCellSpacing w:w="15" w:type="dxa"/>
        </w:trPr>
        <w:tc>
          <w:tcPr>
            <w:tcW w:w="0" w:type="auto"/>
            <w:shd w:val="clear" w:color="auto" w:fill="C2D69B"/>
            <w:vAlign w:val="center"/>
            <w:hideMark/>
          </w:tcPr>
          <w:p w14:paraId="5C22F31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3D53FD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dennej forme </w:t>
            </w:r>
          </w:p>
        </w:tc>
      </w:tr>
      <w:tr w:rsidR="00B73FDB" w:rsidRPr="00B73FDB" w14:paraId="2BE0FD57" w14:textId="77777777" w:rsidTr="00B73FDB">
        <w:trPr>
          <w:tblCellSpacing w:w="15" w:type="dxa"/>
        </w:trPr>
        <w:tc>
          <w:tcPr>
            <w:tcW w:w="0" w:type="auto"/>
            <w:shd w:val="clear" w:color="auto" w:fill="C2D69B"/>
            <w:vAlign w:val="center"/>
            <w:hideMark/>
          </w:tcPr>
          <w:p w14:paraId="4E6F0D3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55AFEC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EEBEAA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1B971AB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EE96C0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2570824" w14:textId="77777777" w:rsidTr="00B73FDB">
        <w:trPr>
          <w:tblCellSpacing w:w="15" w:type="dxa"/>
        </w:trPr>
        <w:tc>
          <w:tcPr>
            <w:tcW w:w="0" w:type="auto"/>
            <w:shd w:val="clear" w:color="auto" w:fill="C2D69B"/>
            <w:vAlign w:val="center"/>
            <w:hideMark/>
          </w:tcPr>
          <w:p w14:paraId="7163B51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19262B7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353 </w:t>
            </w:r>
          </w:p>
        </w:tc>
        <w:tc>
          <w:tcPr>
            <w:tcW w:w="0" w:type="auto"/>
            <w:shd w:val="clear" w:color="auto" w:fill="C2D69B"/>
            <w:noWrap/>
            <w:vAlign w:val="center"/>
            <w:hideMark/>
          </w:tcPr>
          <w:p w14:paraId="685D2EA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335 </w:t>
            </w:r>
          </w:p>
        </w:tc>
        <w:tc>
          <w:tcPr>
            <w:tcW w:w="0" w:type="auto"/>
            <w:shd w:val="clear" w:color="auto" w:fill="C2D69B"/>
            <w:vAlign w:val="center"/>
            <w:hideMark/>
          </w:tcPr>
          <w:p w14:paraId="59D34A4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19D66E6D" w14:textId="77777777" w:rsidR="00B73FDB" w:rsidRPr="00B73FDB" w:rsidRDefault="00B73FDB" w:rsidP="00B73FDB">
            <w:pPr>
              <w:spacing w:after="0" w:line="240" w:lineRule="auto"/>
              <w:jc w:val="center"/>
              <w:rPr>
                <w:rFonts w:cs="Calibri"/>
                <w:sz w:val="18"/>
                <w:szCs w:val="18"/>
                <w:lang w:eastAsia="sk-SK"/>
              </w:rPr>
            </w:pPr>
          </w:p>
        </w:tc>
      </w:tr>
    </w:tbl>
    <w:p w14:paraId="6FE01DEC"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18"/>
          <w:szCs w:val="18"/>
          <w:lang w:eastAsia="sk-SK"/>
        </w:rPr>
        <w:t>Komen</w:t>
      </w:r>
      <w:r w:rsidRPr="00B73FDB">
        <w:rPr>
          <w:rFonts w:cs="Calibri"/>
          <w:b/>
          <w:bCs/>
          <w:sz w:val="24"/>
          <w:szCs w:val="24"/>
          <w:lang w:eastAsia="sk-SK"/>
        </w:rPr>
        <w:t xml:space="preserve">tár: </w:t>
      </w:r>
      <w:r w:rsidRPr="00B73FDB">
        <w:rPr>
          <w:rFonts w:cs="Calibri"/>
          <w:sz w:val="24"/>
          <w:szCs w:val="24"/>
          <w:lang w:eastAsia="sk-SK"/>
        </w:rPr>
        <w:t xml:space="preserve">Spojená škola vznikla v 9/2020 spojením strednej športovej školy a novozriadenej základnej školy. Stredná športová škola v rámci spojenej školy poskytuje vzdelanie v odboroch športové gymnázium a športový manažment. </w:t>
      </w:r>
    </w:p>
    <w:p w14:paraId="6D08EEE6" w14:textId="77777777" w:rsidR="00B73FDB" w:rsidRPr="00B73FDB" w:rsidRDefault="00B73FDB" w:rsidP="00B73FDB">
      <w:pPr>
        <w:spacing w:before="100" w:beforeAutospacing="1" w:after="100" w:afterAutospacing="1" w:line="240" w:lineRule="auto"/>
        <w:jc w:val="both"/>
        <w:outlineLvl w:val="2"/>
        <w:rPr>
          <w:rFonts w:cs="Calibri"/>
          <w:b/>
          <w:bCs/>
          <w:color w:val="4F6228"/>
          <w:sz w:val="27"/>
          <w:szCs w:val="27"/>
          <w:lang w:eastAsia="sk-SK"/>
        </w:rPr>
      </w:pPr>
      <w:r w:rsidRPr="00B73FDB">
        <w:rPr>
          <w:rFonts w:cs="Calibri"/>
          <w:b/>
          <w:bCs/>
          <w:color w:val="4F6228"/>
          <w:sz w:val="27"/>
          <w:szCs w:val="27"/>
          <w:lang w:eastAsia="sk-SK"/>
        </w:rPr>
        <w:t>Podprogram 8.4: Školské stravovanie</w:t>
      </w:r>
    </w:p>
    <w:p w14:paraId="0AC1D526"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Financovanie v podprograme Školské stravovanie sa riadi Všeobecne záväzným nariadením BSK č. 1/2019 a Nariadením vlády Slovenskej republiky č. 630/2008 Z. z., ktorým sa ustanovujú podrobnosti rozpisu finančných prostriedkov zo ŠR pre základné školy, stredné školy, strediská praktického vyučovania, základné umelecké školy a školské zariadenia v znení neskorších predpisov.</w:t>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518"/>
        <w:gridCol w:w="2821"/>
        <w:gridCol w:w="1214"/>
        <w:gridCol w:w="1212"/>
        <w:gridCol w:w="1157"/>
        <w:gridCol w:w="1241"/>
        <w:gridCol w:w="2303"/>
      </w:tblGrid>
      <w:tr w:rsidR="00B73FDB" w:rsidRPr="00B73FDB" w14:paraId="54B8081F" w14:textId="77777777" w:rsidTr="00B73FDB">
        <w:trPr>
          <w:tblCellSpacing w:w="15" w:type="dxa"/>
        </w:trPr>
        <w:tc>
          <w:tcPr>
            <w:tcW w:w="225" w:type="pct"/>
            <w:shd w:val="clear" w:color="auto" w:fill="C6DBF7"/>
            <w:vAlign w:val="center"/>
            <w:hideMark/>
          </w:tcPr>
          <w:p w14:paraId="491AB7B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331" w:type="pct"/>
            <w:shd w:val="clear" w:color="auto" w:fill="C6DBF7"/>
            <w:vAlign w:val="center"/>
            <w:hideMark/>
          </w:tcPr>
          <w:p w14:paraId="2107E2E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4699249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7C1E93A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38" w:type="pct"/>
            <w:shd w:val="clear" w:color="auto" w:fill="C6DBF7"/>
            <w:vAlign w:val="center"/>
            <w:hideMark/>
          </w:tcPr>
          <w:p w14:paraId="3C13F1E5"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78" w:type="pct"/>
            <w:shd w:val="clear" w:color="auto" w:fill="C6DBF7"/>
            <w:vAlign w:val="center"/>
            <w:hideMark/>
          </w:tcPr>
          <w:p w14:paraId="6433B1E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77" w:type="pct"/>
            <w:shd w:val="clear" w:color="auto" w:fill="C6DBF7"/>
            <w:vAlign w:val="center"/>
            <w:hideMark/>
          </w:tcPr>
          <w:p w14:paraId="2E3C272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BD6DB9C" w14:textId="77777777" w:rsidTr="00B73FDB">
        <w:trPr>
          <w:tblCellSpacing w:w="15" w:type="dxa"/>
        </w:trPr>
        <w:tc>
          <w:tcPr>
            <w:tcW w:w="225" w:type="pct"/>
            <w:shd w:val="clear" w:color="auto" w:fill="D9D9D9"/>
            <w:noWrap/>
            <w:vAlign w:val="center"/>
            <w:hideMark/>
          </w:tcPr>
          <w:p w14:paraId="331C6321" w14:textId="77777777" w:rsidR="00B73FDB" w:rsidRPr="00B73FDB" w:rsidRDefault="00B73FDB" w:rsidP="00B73FDB">
            <w:pPr>
              <w:spacing w:after="0" w:line="240" w:lineRule="auto"/>
              <w:jc w:val="center"/>
              <w:rPr>
                <w:rFonts w:cs="Calibri"/>
                <w:sz w:val="18"/>
                <w:szCs w:val="18"/>
                <w:lang w:eastAsia="sk-SK"/>
              </w:rPr>
            </w:pPr>
          </w:p>
        </w:tc>
        <w:tc>
          <w:tcPr>
            <w:tcW w:w="1331" w:type="pct"/>
            <w:shd w:val="clear" w:color="auto" w:fill="D9D9D9"/>
            <w:vAlign w:val="center"/>
            <w:hideMark/>
          </w:tcPr>
          <w:p w14:paraId="6313C8F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0911C61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3 279 441,00</w:t>
            </w:r>
            <w:r w:rsidRPr="00B73FDB">
              <w:rPr>
                <w:rFonts w:cs="Calibri"/>
                <w:sz w:val="18"/>
                <w:szCs w:val="18"/>
                <w:lang w:eastAsia="sk-SK"/>
              </w:rPr>
              <w:t xml:space="preserve"> </w:t>
            </w:r>
          </w:p>
        </w:tc>
        <w:tc>
          <w:tcPr>
            <w:tcW w:w="564" w:type="pct"/>
            <w:shd w:val="clear" w:color="auto" w:fill="D9D9D9"/>
            <w:noWrap/>
            <w:vAlign w:val="center"/>
            <w:hideMark/>
          </w:tcPr>
          <w:p w14:paraId="09E8F45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3 592 960,43</w:t>
            </w:r>
            <w:r w:rsidRPr="00B73FDB">
              <w:rPr>
                <w:rFonts w:cs="Calibri"/>
                <w:sz w:val="18"/>
                <w:szCs w:val="18"/>
                <w:lang w:eastAsia="sk-SK"/>
              </w:rPr>
              <w:t xml:space="preserve"> </w:t>
            </w:r>
          </w:p>
        </w:tc>
        <w:tc>
          <w:tcPr>
            <w:tcW w:w="538" w:type="pct"/>
            <w:shd w:val="clear" w:color="auto" w:fill="D9D9D9"/>
            <w:noWrap/>
            <w:vAlign w:val="center"/>
            <w:hideMark/>
          </w:tcPr>
          <w:p w14:paraId="48F35A5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2 694 024,66</w:t>
            </w:r>
            <w:r w:rsidRPr="00B73FDB">
              <w:rPr>
                <w:rFonts w:cs="Calibri"/>
                <w:sz w:val="18"/>
                <w:szCs w:val="18"/>
                <w:lang w:eastAsia="sk-SK"/>
              </w:rPr>
              <w:t xml:space="preserve"> </w:t>
            </w:r>
          </w:p>
        </w:tc>
        <w:tc>
          <w:tcPr>
            <w:tcW w:w="578" w:type="pct"/>
            <w:shd w:val="clear" w:color="auto" w:fill="D9D9D9"/>
            <w:noWrap/>
            <w:vAlign w:val="center"/>
            <w:hideMark/>
          </w:tcPr>
          <w:p w14:paraId="3ADEA60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74,98</w:t>
            </w:r>
            <w:r w:rsidRPr="00B73FDB">
              <w:rPr>
                <w:rFonts w:cs="Calibri"/>
                <w:sz w:val="18"/>
                <w:szCs w:val="18"/>
                <w:lang w:eastAsia="sk-SK"/>
              </w:rPr>
              <w:t xml:space="preserve"> </w:t>
            </w:r>
          </w:p>
        </w:tc>
        <w:tc>
          <w:tcPr>
            <w:tcW w:w="1077" w:type="pct"/>
            <w:vMerge w:val="restart"/>
            <w:shd w:val="clear" w:color="auto" w:fill="D9D9D9"/>
            <w:vAlign w:val="center"/>
            <w:hideMark/>
          </w:tcPr>
          <w:p w14:paraId="0A94719A"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68EC0CA2" w14:textId="77777777" w:rsidTr="00B73FDB">
        <w:trPr>
          <w:tblCellSpacing w:w="15" w:type="dxa"/>
        </w:trPr>
        <w:tc>
          <w:tcPr>
            <w:tcW w:w="225" w:type="pct"/>
            <w:shd w:val="clear" w:color="auto" w:fill="D9D9D9"/>
            <w:noWrap/>
            <w:vAlign w:val="center"/>
            <w:hideMark/>
          </w:tcPr>
          <w:p w14:paraId="7CB3F87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331" w:type="pct"/>
            <w:shd w:val="clear" w:color="auto" w:fill="D9D9D9"/>
            <w:vAlign w:val="center"/>
            <w:hideMark/>
          </w:tcPr>
          <w:p w14:paraId="1F50C75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78FB94F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3 279 441,00</w:t>
            </w:r>
            <w:r w:rsidRPr="00B73FDB">
              <w:rPr>
                <w:rFonts w:cs="Calibri"/>
                <w:sz w:val="18"/>
                <w:szCs w:val="18"/>
                <w:lang w:eastAsia="sk-SK"/>
              </w:rPr>
              <w:t xml:space="preserve"> </w:t>
            </w:r>
          </w:p>
        </w:tc>
        <w:tc>
          <w:tcPr>
            <w:tcW w:w="564" w:type="pct"/>
            <w:shd w:val="clear" w:color="auto" w:fill="D9D9D9"/>
            <w:noWrap/>
            <w:vAlign w:val="center"/>
            <w:hideMark/>
          </w:tcPr>
          <w:p w14:paraId="668FA5F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3 536 614,43</w:t>
            </w:r>
            <w:r w:rsidRPr="00B73FDB">
              <w:rPr>
                <w:rFonts w:cs="Calibri"/>
                <w:sz w:val="18"/>
                <w:szCs w:val="18"/>
                <w:lang w:eastAsia="sk-SK"/>
              </w:rPr>
              <w:t xml:space="preserve"> </w:t>
            </w:r>
          </w:p>
        </w:tc>
        <w:tc>
          <w:tcPr>
            <w:tcW w:w="538" w:type="pct"/>
            <w:shd w:val="clear" w:color="auto" w:fill="D9D9D9"/>
            <w:noWrap/>
            <w:vAlign w:val="center"/>
            <w:hideMark/>
          </w:tcPr>
          <w:p w14:paraId="2FDE0E7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2 675 555,66</w:t>
            </w:r>
            <w:r w:rsidRPr="00B73FDB">
              <w:rPr>
                <w:rFonts w:cs="Calibri"/>
                <w:sz w:val="18"/>
                <w:szCs w:val="18"/>
                <w:lang w:eastAsia="sk-SK"/>
              </w:rPr>
              <w:t xml:space="preserve"> </w:t>
            </w:r>
          </w:p>
        </w:tc>
        <w:tc>
          <w:tcPr>
            <w:tcW w:w="578" w:type="pct"/>
            <w:shd w:val="clear" w:color="auto" w:fill="D9D9D9"/>
            <w:noWrap/>
            <w:vAlign w:val="center"/>
            <w:hideMark/>
          </w:tcPr>
          <w:p w14:paraId="74DD544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75,65</w:t>
            </w:r>
            <w:r w:rsidRPr="00B73FDB">
              <w:rPr>
                <w:rFonts w:cs="Calibri"/>
                <w:sz w:val="18"/>
                <w:szCs w:val="18"/>
                <w:lang w:eastAsia="sk-SK"/>
              </w:rPr>
              <w:t xml:space="preserve"> </w:t>
            </w:r>
          </w:p>
        </w:tc>
        <w:tc>
          <w:tcPr>
            <w:tcW w:w="1077" w:type="pct"/>
            <w:vMerge/>
            <w:shd w:val="clear" w:color="auto" w:fill="D9D9D9"/>
            <w:vAlign w:val="center"/>
            <w:hideMark/>
          </w:tcPr>
          <w:p w14:paraId="69F7F7D8" w14:textId="77777777" w:rsidR="00B73FDB" w:rsidRPr="00B73FDB" w:rsidRDefault="00B73FDB" w:rsidP="00B73FDB">
            <w:pPr>
              <w:spacing w:after="0" w:line="240" w:lineRule="auto"/>
              <w:rPr>
                <w:rFonts w:cs="Calibri"/>
                <w:sz w:val="18"/>
                <w:szCs w:val="18"/>
                <w:lang w:eastAsia="sk-SK"/>
              </w:rPr>
            </w:pPr>
          </w:p>
        </w:tc>
      </w:tr>
      <w:tr w:rsidR="00B73FDB" w:rsidRPr="00B73FDB" w14:paraId="51D7D8EC" w14:textId="77777777" w:rsidTr="00B73FDB">
        <w:trPr>
          <w:tblCellSpacing w:w="15" w:type="dxa"/>
        </w:trPr>
        <w:tc>
          <w:tcPr>
            <w:tcW w:w="225" w:type="pct"/>
            <w:shd w:val="clear" w:color="auto" w:fill="EFEFEF"/>
            <w:noWrap/>
            <w:vAlign w:val="center"/>
            <w:hideMark/>
          </w:tcPr>
          <w:p w14:paraId="42AD83A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331" w:type="pct"/>
            <w:shd w:val="clear" w:color="auto" w:fill="EFEFEF"/>
            <w:vAlign w:val="center"/>
            <w:hideMark/>
          </w:tcPr>
          <w:p w14:paraId="15A0B7F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51BD98A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941 670,00 </w:t>
            </w:r>
          </w:p>
        </w:tc>
        <w:tc>
          <w:tcPr>
            <w:tcW w:w="564" w:type="pct"/>
            <w:shd w:val="clear" w:color="auto" w:fill="EFEFEF"/>
            <w:noWrap/>
            <w:vAlign w:val="center"/>
            <w:hideMark/>
          </w:tcPr>
          <w:p w14:paraId="719715E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982 006,62 </w:t>
            </w:r>
          </w:p>
        </w:tc>
        <w:tc>
          <w:tcPr>
            <w:tcW w:w="538" w:type="pct"/>
            <w:shd w:val="clear" w:color="auto" w:fill="EFEFEF"/>
            <w:noWrap/>
            <w:vAlign w:val="center"/>
            <w:hideMark/>
          </w:tcPr>
          <w:p w14:paraId="4C308F8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980 225,07 </w:t>
            </w:r>
          </w:p>
        </w:tc>
        <w:tc>
          <w:tcPr>
            <w:tcW w:w="578" w:type="pct"/>
            <w:shd w:val="clear" w:color="auto" w:fill="EFEFEF"/>
            <w:noWrap/>
            <w:vAlign w:val="center"/>
            <w:hideMark/>
          </w:tcPr>
          <w:p w14:paraId="7DFEAF2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99,82 </w:t>
            </w:r>
          </w:p>
        </w:tc>
        <w:tc>
          <w:tcPr>
            <w:tcW w:w="1077" w:type="pct"/>
            <w:vMerge/>
            <w:shd w:val="clear" w:color="auto" w:fill="EFEFEF"/>
            <w:vAlign w:val="center"/>
            <w:hideMark/>
          </w:tcPr>
          <w:p w14:paraId="2E92D3E6" w14:textId="77777777" w:rsidR="00B73FDB" w:rsidRPr="00B73FDB" w:rsidRDefault="00B73FDB" w:rsidP="00B73FDB">
            <w:pPr>
              <w:spacing w:after="0" w:line="240" w:lineRule="auto"/>
              <w:rPr>
                <w:rFonts w:cs="Calibri"/>
                <w:sz w:val="18"/>
                <w:szCs w:val="18"/>
                <w:lang w:eastAsia="sk-SK"/>
              </w:rPr>
            </w:pPr>
          </w:p>
        </w:tc>
      </w:tr>
      <w:tr w:rsidR="00B73FDB" w:rsidRPr="00B73FDB" w14:paraId="3E2A10BA" w14:textId="77777777" w:rsidTr="00B73FDB">
        <w:trPr>
          <w:tblCellSpacing w:w="15" w:type="dxa"/>
        </w:trPr>
        <w:tc>
          <w:tcPr>
            <w:tcW w:w="225" w:type="pct"/>
            <w:shd w:val="clear" w:color="auto" w:fill="EFEFEF"/>
            <w:noWrap/>
            <w:vAlign w:val="center"/>
            <w:hideMark/>
          </w:tcPr>
          <w:p w14:paraId="60A9C2A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331" w:type="pct"/>
            <w:shd w:val="clear" w:color="auto" w:fill="EFEFEF"/>
            <w:vAlign w:val="center"/>
            <w:hideMark/>
          </w:tcPr>
          <w:p w14:paraId="6B9E6B1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377F686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323 148,00 </w:t>
            </w:r>
          </w:p>
        </w:tc>
        <w:tc>
          <w:tcPr>
            <w:tcW w:w="564" w:type="pct"/>
            <w:shd w:val="clear" w:color="auto" w:fill="EFEFEF"/>
            <w:noWrap/>
            <w:vAlign w:val="center"/>
            <w:hideMark/>
          </w:tcPr>
          <w:p w14:paraId="2DD5652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329 991,70 </w:t>
            </w:r>
          </w:p>
        </w:tc>
        <w:tc>
          <w:tcPr>
            <w:tcW w:w="538" w:type="pct"/>
            <w:shd w:val="clear" w:color="auto" w:fill="EFEFEF"/>
            <w:noWrap/>
            <w:vAlign w:val="center"/>
            <w:hideMark/>
          </w:tcPr>
          <w:p w14:paraId="6E9751C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329 351,05 </w:t>
            </w:r>
          </w:p>
        </w:tc>
        <w:tc>
          <w:tcPr>
            <w:tcW w:w="578" w:type="pct"/>
            <w:shd w:val="clear" w:color="auto" w:fill="EFEFEF"/>
            <w:noWrap/>
            <w:vAlign w:val="center"/>
            <w:hideMark/>
          </w:tcPr>
          <w:p w14:paraId="3E2A193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99,81 </w:t>
            </w:r>
          </w:p>
        </w:tc>
        <w:tc>
          <w:tcPr>
            <w:tcW w:w="1077" w:type="pct"/>
            <w:vMerge/>
            <w:shd w:val="clear" w:color="auto" w:fill="EFEFEF"/>
            <w:vAlign w:val="center"/>
            <w:hideMark/>
          </w:tcPr>
          <w:p w14:paraId="7017050F" w14:textId="77777777" w:rsidR="00B73FDB" w:rsidRPr="00B73FDB" w:rsidRDefault="00B73FDB" w:rsidP="00B73FDB">
            <w:pPr>
              <w:spacing w:after="0" w:line="240" w:lineRule="auto"/>
              <w:rPr>
                <w:rFonts w:cs="Calibri"/>
                <w:sz w:val="18"/>
                <w:szCs w:val="18"/>
                <w:lang w:eastAsia="sk-SK"/>
              </w:rPr>
            </w:pPr>
          </w:p>
        </w:tc>
      </w:tr>
      <w:tr w:rsidR="00B73FDB" w:rsidRPr="00B73FDB" w14:paraId="375D3178" w14:textId="77777777" w:rsidTr="00B73FDB">
        <w:trPr>
          <w:tblCellSpacing w:w="15" w:type="dxa"/>
        </w:trPr>
        <w:tc>
          <w:tcPr>
            <w:tcW w:w="225" w:type="pct"/>
            <w:shd w:val="clear" w:color="auto" w:fill="EFEFEF"/>
            <w:noWrap/>
            <w:vAlign w:val="center"/>
            <w:hideMark/>
          </w:tcPr>
          <w:p w14:paraId="6ED0883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331" w:type="pct"/>
            <w:shd w:val="clear" w:color="auto" w:fill="EFEFEF"/>
            <w:vAlign w:val="center"/>
            <w:hideMark/>
          </w:tcPr>
          <w:p w14:paraId="510654E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7AF3573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1 595 369,00 </w:t>
            </w:r>
          </w:p>
        </w:tc>
        <w:tc>
          <w:tcPr>
            <w:tcW w:w="564" w:type="pct"/>
            <w:shd w:val="clear" w:color="auto" w:fill="EFEFEF"/>
            <w:noWrap/>
            <w:vAlign w:val="center"/>
            <w:hideMark/>
          </w:tcPr>
          <w:p w14:paraId="6465AF2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1 944 912,94 </w:t>
            </w:r>
          </w:p>
        </w:tc>
        <w:tc>
          <w:tcPr>
            <w:tcW w:w="538" w:type="pct"/>
            <w:shd w:val="clear" w:color="auto" w:fill="EFEFEF"/>
            <w:noWrap/>
            <w:vAlign w:val="center"/>
            <w:hideMark/>
          </w:tcPr>
          <w:p w14:paraId="2BFD1A7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1 086 276,37 </w:t>
            </w:r>
          </w:p>
        </w:tc>
        <w:tc>
          <w:tcPr>
            <w:tcW w:w="578" w:type="pct"/>
            <w:shd w:val="clear" w:color="auto" w:fill="EFEFEF"/>
            <w:noWrap/>
            <w:vAlign w:val="center"/>
            <w:hideMark/>
          </w:tcPr>
          <w:p w14:paraId="27EC78D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55,85 </w:t>
            </w:r>
          </w:p>
        </w:tc>
        <w:tc>
          <w:tcPr>
            <w:tcW w:w="1077" w:type="pct"/>
            <w:vMerge/>
            <w:shd w:val="clear" w:color="auto" w:fill="EFEFEF"/>
            <w:vAlign w:val="center"/>
            <w:hideMark/>
          </w:tcPr>
          <w:p w14:paraId="35E5438C" w14:textId="77777777" w:rsidR="00B73FDB" w:rsidRPr="00B73FDB" w:rsidRDefault="00B73FDB" w:rsidP="00B73FDB">
            <w:pPr>
              <w:spacing w:after="0" w:line="240" w:lineRule="auto"/>
              <w:rPr>
                <w:rFonts w:cs="Calibri"/>
                <w:sz w:val="18"/>
                <w:szCs w:val="18"/>
                <w:lang w:eastAsia="sk-SK"/>
              </w:rPr>
            </w:pPr>
          </w:p>
        </w:tc>
      </w:tr>
      <w:tr w:rsidR="00B73FDB" w:rsidRPr="00B73FDB" w14:paraId="0EB4262D" w14:textId="77777777" w:rsidTr="00B73FDB">
        <w:trPr>
          <w:tblCellSpacing w:w="15" w:type="dxa"/>
        </w:trPr>
        <w:tc>
          <w:tcPr>
            <w:tcW w:w="225" w:type="pct"/>
            <w:shd w:val="clear" w:color="auto" w:fill="EFEFEF"/>
            <w:noWrap/>
            <w:vAlign w:val="center"/>
            <w:hideMark/>
          </w:tcPr>
          <w:p w14:paraId="0D3F99B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331" w:type="pct"/>
            <w:shd w:val="clear" w:color="auto" w:fill="EFEFEF"/>
            <w:vAlign w:val="center"/>
            <w:hideMark/>
          </w:tcPr>
          <w:p w14:paraId="5BF9DCF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1BA00DB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419 254,00 </w:t>
            </w:r>
          </w:p>
        </w:tc>
        <w:tc>
          <w:tcPr>
            <w:tcW w:w="564" w:type="pct"/>
            <w:shd w:val="clear" w:color="auto" w:fill="EFEFEF"/>
            <w:noWrap/>
            <w:vAlign w:val="center"/>
            <w:hideMark/>
          </w:tcPr>
          <w:p w14:paraId="663AC83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279 703,17 </w:t>
            </w:r>
          </w:p>
        </w:tc>
        <w:tc>
          <w:tcPr>
            <w:tcW w:w="538" w:type="pct"/>
            <w:shd w:val="clear" w:color="auto" w:fill="EFEFEF"/>
            <w:noWrap/>
            <w:vAlign w:val="center"/>
            <w:hideMark/>
          </w:tcPr>
          <w:p w14:paraId="7820FD8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279 703,17 </w:t>
            </w:r>
          </w:p>
        </w:tc>
        <w:tc>
          <w:tcPr>
            <w:tcW w:w="578" w:type="pct"/>
            <w:shd w:val="clear" w:color="auto" w:fill="EFEFEF"/>
            <w:noWrap/>
            <w:vAlign w:val="center"/>
            <w:hideMark/>
          </w:tcPr>
          <w:p w14:paraId="24AA889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77" w:type="pct"/>
            <w:vMerge/>
            <w:shd w:val="clear" w:color="auto" w:fill="EFEFEF"/>
            <w:vAlign w:val="center"/>
            <w:hideMark/>
          </w:tcPr>
          <w:p w14:paraId="3D480352" w14:textId="77777777" w:rsidR="00B73FDB" w:rsidRPr="00B73FDB" w:rsidRDefault="00B73FDB" w:rsidP="00B73FDB">
            <w:pPr>
              <w:spacing w:after="0" w:line="240" w:lineRule="auto"/>
              <w:rPr>
                <w:rFonts w:cs="Calibri"/>
                <w:sz w:val="18"/>
                <w:szCs w:val="18"/>
                <w:lang w:eastAsia="sk-SK"/>
              </w:rPr>
            </w:pPr>
          </w:p>
        </w:tc>
      </w:tr>
      <w:tr w:rsidR="00B73FDB" w:rsidRPr="00B73FDB" w14:paraId="24C36CDF" w14:textId="77777777" w:rsidTr="00B73FDB">
        <w:trPr>
          <w:tblCellSpacing w:w="15" w:type="dxa"/>
        </w:trPr>
        <w:tc>
          <w:tcPr>
            <w:tcW w:w="225" w:type="pct"/>
            <w:shd w:val="clear" w:color="auto" w:fill="D9D9D9"/>
            <w:noWrap/>
            <w:vAlign w:val="center"/>
            <w:hideMark/>
          </w:tcPr>
          <w:p w14:paraId="3029477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700</w:t>
            </w:r>
            <w:r w:rsidRPr="00B73FDB">
              <w:rPr>
                <w:rFonts w:cs="Calibri"/>
                <w:sz w:val="18"/>
                <w:szCs w:val="18"/>
                <w:lang w:eastAsia="sk-SK"/>
              </w:rPr>
              <w:t xml:space="preserve"> </w:t>
            </w:r>
          </w:p>
        </w:tc>
        <w:tc>
          <w:tcPr>
            <w:tcW w:w="1331" w:type="pct"/>
            <w:shd w:val="clear" w:color="auto" w:fill="D9D9D9"/>
            <w:vAlign w:val="center"/>
            <w:hideMark/>
          </w:tcPr>
          <w:p w14:paraId="3AA7862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Kapitálové výdavky</w:t>
            </w:r>
            <w:r w:rsidRPr="00B73FDB">
              <w:rPr>
                <w:rFonts w:cs="Calibri"/>
                <w:sz w:val="18"/>
                <w:szCs w:val="18"/>
                <w:lang w:eastAsia="sk-SK"/>
              </w:rPr>
              <w:t xml:space="preserve"> </w:t>
            </w:r>
          </w:p>
        </w:tc>
        <w:tc>
          <w:tcPr>
            <w:tcW w:w="565" w:type="pct"/>
            <w:shd w:val="clear" w:color="auto" w:fill="D9D9D9"/>
            <w:noWrap/>
            <w:vAlign w:val="center"/>
            <w:hideMark/>
          </w:tcPr>
          <w:p w14:paraId="47D1A16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64" w:type="pct"/>
            <w:shd w:val="clear" w:color="auto" w:fill="D9D9D9"/>
            <w:noWrap/>
            <w:vAlign w:val="center"/>
            <w:hideMark/>
          </w:tcPr>
          <w:p w14:paraId="5029476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56 346,00</w:t>
            </w:r>
            <w:r w:rsidRPr="00B73FDB">
              <w:rPr>
                <w:rFonts w:cs="Calibri"/>
                <w:sz w:val="18"/>
                <w:szCs w:val="18"/>
                <w:lang w:eastAsia="sk-SK"/>
              </w:rPr>
              <w:t xml:space="preserve"> </w:t>
            </w:r>
          </w:p>
        </w:tc>
        <w:tc>
          <w:tcPr>
            <w:tcW w:w="538" w:type="pct"/>
            <w:shd w:val="clear" w:color="auto" w:fill="D9D9D9"/>
            <w:noWrap/>
            <w:vAlign w:val="center"/>
            <w:hideMark/>
          </w:tcPr>
          <w:p w14:paraId="5AA51E9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18 469,00</w:t>
            </w:r>
            <w:r w:rsidRPr="00B73FDB">
              <w:rPr>
                <w:rFonts w:cs="Calibri"/>
                <w:sz w:val="18"/>
                <w:szCs w:val="18"/>
                <w:lang w:eastAsia="sk-SK"/>
              </w:rPr>
              <w:t xml:space="preserve"> </w:t>
            </w:r>
          </w:p>
        </w:tc>
        <w:tc>
          <w:tcPr>
            <w:tcW w:w="578" w:type="pct"/>
            <w:shd w:val="clear" w:color="auto" w:fill="D9D9D9"/>
            <w:noWrap/>
            <w:vAlign w:val="center"/>
            <w:hideMark/>
          </w:tcPr>
          <w:p w14:paraId="0B93A7C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32,78</w:t>
            </w:r>
            <w:r w:rsidRPr="00B73FDB">
              <w:rPr>
                <w:rFonts w:cs="Calibri"/>
                <w:sz w:val="18"/>
                <w:szCs w:val="18"/>
                <w:lang w:eastAsia="sk-SK"/>
              </w:rPr>
              <w:t xml:space="preserve"> </w:t>
            </w:r>
          </w:p>
        </w:tc>
        <w:tc>
          <w:tcPr>
            <w:tcW w:w="1077" w:type="pct"/>
            <w:vMerge/>
            <w:shd w:val="clear" w:color="auto" w:fill="D9D9D9"/>
            <w:vAlign w:val="center"/>
            <w:hideMark/>
          </w:tcPr>
          <w:p w14:paraId="3A99439B" w14:textId="77777777" w:rsidR="00B73FDB" w:rsidRPr="00B73FDB" w:rsidRDefault="00B73FDB" w:rsidP="00B73FDB">
            <w:pPr>
              <w:spacing w:after="0" w:line="240" w:lineRule="auto"/>
              <w:rPr>
                <w:rFonts w:cs="Calibri"/>
                <w:sz w:val="18"/>
                <w:szCs w:val="18"/>
                <w:lang w:eastAsia="sk-SK"/>
              </w:rPr>
            </w:pPr>
          </w:p>
        </w:tc>
      </w:tr>
      <w:tr w:rsidR="00B73FDB" w:rsidRPr="00B73FDB" w14:paraId="79E7DCAB" w14:textId="77777777" w:rsidTr="00B73FDB">
        <w:trPr>
          <w:tblCellSpacing w:w="15" w:type="dxa"/>
        </w:trPr>
        <w:tc>
          <w:tcPr>
            <w:tcW w:w="225" w:type="pct"/>
            <w:shd w:val="clear" w:color="auto" w:fill="EFEFEF"/>
            <w:noWrap/>
            <w:vAlign w:val="center"/>
            <w:hideMark/>
          </w:tcPr>
          <w:p w14:paraId="78347F8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710 </w:t>
            </w:r>
          </w:p>
        </w:tc>
        <w:tc>
          <w:tcPr>
            <w:tcW w:w="1331" w:type="pct"/>
            <w:shd w:val="clear" w:color="auto" w:fill="EFEFEF"/>
            <w:vAlign w:val="center"/>
            <w:hideMark/>
          </w:tcPr>
          <w:p w14:paraId="110C3F3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Obstarávanie kapitálových aktív </w:t>
            </w:r>
          </w:p>
        </w:tc>
        <w:tc>
          <w:tcPr>
            <w:tcW w:w="565" w:type="pct"/>
            <w:shd w:val="clear" w:color="auto" w:fill="EFEFEF"/>
            <w:noWrap/>
            <w:vAlign w:val="center"/>
            <w:hideMark/>
          </w:tcPr>
          <w:p w14:paraId="1DE1380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642E6C3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37 877,00 </w:t>
            </w:r>
          </w:p>
        </w:tc>
        <w:tc>
          <w:tcPr>
            <w:tcW w:w="538" w:type="pct"/>
            <w:shd w:val="clear" w:color="auto" w:fill="EFEFEF"/>
            <w:noWrap/>
            <w:vAlign w:val="center"/>
            <w:hideMark/>
          </w:tcPr>
          <w:p w14:paraId="63FA120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78" w:type="pct"/>
            <w:shd w:val="clear" w:color="auto" w:fill="EFEFEF"/>
            <w:noWrap/>
            <w:vAlign w:val="center"/>
            <w:hideMark/>
          </w:tcPr>
          <w:p w14:paraId="0B92A28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1077" w:type="pct"/>
            <w:vMerge/>
            <w:shd w:val="clear" w:color="auto" w:fill="EFEFEF"/>
            <w:vAlign w:val="center"/>
            <w:hideMark/>
          </w:tcPr>
          <w:p w14:paraId="13713AC2" w14:textId="77777777" w:rsidR="00B73FDB" w:rsidRPr="00B73FDB" w:rsidRDefault="00B73FDB" w:rsidP="00B73FDB">
            <w:pPr>
              <w:spacing w:after="0" w:line="240" w:lineRule="auto"/>
              <w:rPr>
                <w:rFonts w:cs="Calibri"/>
                <w:sz w:val="18"/>
                <w:szCs w:val="18"/>
                <w:lang w:eastAsia="sk-SK"/>
              </w:rPr>
            </w:pPr>
          </w:p>
        </w:tc>
      </w:tr>
      <w:tr w:rsidR="00B73FDB" w:rsidRPr="00B73FDB" w14:paraId="50D4C24B" w14:textId="77777777" w:rsidTr="00B73FDB">
        <w:trPr>
          <w:tblCellSpacing w:w="15" w:type="dxa"/>
        </w:trPr>
        <w:tc>
          <w:tcPr>
            <w:tcW w:w="225" w:type="pct"/>
            <w:shd w:val="clear" w:color="auto" w:fill="EFEFEF"/>
            <w:noWrap/>
            <w:vAlign w:val="center"/>
            <w:hideMark/>
          </w:tcPr>
          <w:p w14:paraId="4F09952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720 </w:t>
            </w:r>
          </w:p>
        </w:tc>
        <w:tc>
          <w:tcPr>
            <w:tcW w:w="1331" w:type="pct"/>
            <w:shd w:val="clear" w:color="auto" w:fill="EFEFEF"/>
            <w:vAlign w:val="center"/>
            <w:hideMark/>
          </w:tcPr>
          <w:p w14:paraId="3DAC4EA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Kapitálové transfery </w:t>
            </w:r>
          </w:p>
        </w:tc>
        <w:tc>
          <w:tcPr>
            <w:tcW w:w="565" w:type="pct"/>
            <w:shd w:val="clear" w:color="auto" w:fill="EFEFEF"/>
            <w:noWrap/>
            <w:vAlign w:val="center"/>
            <w:hideMark/>
          </w:tcPr>
          <w:p w14:paraId="1651B00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56DA330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18 469,00 </w:t>
            </w:r>
          </w:p>
        </w:tc>
        <w:tc>
          <w:tcPr>
            <w:tcW w:w="538" w:type="pct"/>
            <w:shd w:val="clear" w:color="auto" w:fill="EFEFEF"/>
            <w:noWrap/>
            <w:vAlign w:val="center"/>
            <w:hideMark/>
          </w:tcPr>
          <w:p w14:paraId="0BE4D93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18 469,00 </w:t>
            </w:r>
          </w:p>
        </w:tc>
        <w:tc>
          <w:tcPr>
            <w:tcW w:w="578" w:type="pct"/>
            <w:shd w:val="clear" w:color="auto" w:fill="EFEFEF"/>
            <w:noWrap/>
            <w:vAlign w:val="center"/>
            <w:hideMark/>
          </w:tcPr>
          <w:p w14:paraId="656D802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77" w:type="pct"/>
            <w:vMerge/>
            <w:shd w:val="clear" w:color="auto" w:fill="EFEFEF"/>
            <w:vAlign w:val="center"/>
            <w:hideMark/>
          </w:tcPr>
          <w:p w14:paraId="34DB017C" w14:textId="77777777" w:rsidR="00B73FDB" w:rsidRPr="00B73FDB" w:rsidRDefault="00B73FDB" w:rsidP="00B73FDB">
            <w:pPr>
              <w:spacing w:after="0" w:line="240" w:lineRule="auto"/>
              <w:rPr>
                <w:rFonts w:cs="Calibri"/>
                <w:sz w:val="18"/>
                <w:szCs w:val="18"/>
                <w:lang w:eastAsia="sk-SK"/>
              </w:rPr>
            </w:pPr>
          </w:p>
        </w:tc>
      </w:tr>
    </w:tbl>
    <w:p w14:paraId="0D2EA5B2"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44"/>
        <w:gridCol w:w="621"/>
        <w:gridCol w:w="1465"/>
        <w:gridCol w:w="1377"/>
        <w:gridCol w:w="4159"/>
      </w:tblGrid>
      <w:tr w:rsidR="00B73FDB" w:rsidRPr="00B73FDB" w14:paraId="218B68CB" w14:textId="77777777" w:rsidTr="00B73FDB">
        <w:trPr>
          <w:tblCellSpacing w:w="15" w:type="dxa"/>
        </w:trPr>
        <w:tc>
          <w:tcPr>
            <w:tcW w:w="0" w:type="auto"/>
            <w:shd w:val="clear" w:color="auto" w:fill="C2D69B"/>
            <w:vAlign w:val="center"/>
            <w:hideMark/>
          </w:tcPr>
          <w:p w14:paraId="5197471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338F751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Odbor školstva, mládeže a športu </w:t>
            </w:r>
          </w:p>
        </w:tc>
      </w:tr>
      <w:tr w:rsidR="00B73FDB" w:rsidRPr="00B73FDB" w14:paraId="6AF97DF1" w14:textId="77777777" w:rsidTr="00B73FDB">
        <w:trPr>
          <w:tblCellSpacing w:w="15" w:type="dxa"/>
        </w:trPr>
        <w:tc>
          <w:tcPr>
            <w:tcW w:w="0" w:type="auto"/>
            <w:shd w:val="clear" w:color="auto" w:fill="C2D69B"/>
            <w:vAlign w:val="center"/>
            <w:hideMark/>
          </w:tcPr>
          <w:p w14:paraId="7C3FF62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CD24DA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stravovacie služby pre žiakov základných a stredných škôl </w:t>
            </w:r>
          </w:p>
        </w:tc>
      </w:tr>
      <w:tr w:rsidR="00B73FDB" w:rsidRPr="00B73FDB" w14:paraId="3EDB335C" w14:textId="77777777" w:rsidTr="00B73FDB">
        <w:trPr>
          <w:tblCellSpacing w:w="15" w:type="dxa"/>
        </w:trPr>
        <w:tc>
          <w:tcPr>
            <w:tcW w:w="0" w:type="auto"/>
            <w:shd w:val="clear" w:color="auto" w:fill="C2D69B"/>
            <w:vAlign w:val="center"/>
            <w:hideMark/>
          </w:tcPr>
          <w:p w14:paraId="00617FF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775D78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školských stravovacích zariadení spolu za rok </w:t>
            </w:r>
          </w:p>
        </w:tc>
      </w:tr>
      <w:tr w:rsidR="00B73FDB" w:rsidRPr="00B73FDB" w14:paraId="50D8DA50" w14:textId="77777777" w:rsidTr="00B73FDB">
        <w:trPr>
          <w:tblCellSpacing w:w="15" w:type="dxa"/>
        </w:trPr>
        <w:tc>
          <w:tcPr>
            <w:tcW w:w="0" w:type="auto"/>
            <w:shd w:val="clear" w:color="auto" w:fill="C2D69B"/>
            <w:vAlign w:val="center"/>
            <w:hideMark/>
          </w:tcPr>
          <w:p w14:paraId="7A4E314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24C651D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673F143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9F6D9F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0E14D91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404BD403" w14:textId="77777777" w:rsidTr="00B73FDB">
        <w:trPr>
          <w:tblCellSpacing w:w="15" w:type="dxa"/>
        </w:trPr>
        <w:tc>
          <w:tcPr>
            <w:tcW w:w="0" w:type="auto"/>
            <w:shd w:val="clear" w:color="auto" w:fill="C2D69B"/>
            <w:vAlign w:val="center"/>
            <w:hideMark/>
          </w:tcPr>
          <w:p w14:paraId="2A3C072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BEC3A9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 </w:t>
            </w:r>
          </w:p>
        </w:tc>
        <w:tc>
          <w:tcPr>
            <w:tcW w:w="0" w:type="auto"/>
            <w:shd w:val="clear" w:color="auto" w:fill="C2D69B"/>
            <w:noWrap/>
            <w:vAlign w:val="center"/>
            <w:hideMark/>
          </w:tcPr>
          <w:p w14:paraId="108F91C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22 </w:t>
            </w:r>
          </w:p>
        </w:tc>
        <w:tc>
          <w:tcPr>
            <w:tcW w:w="0" w:type="auto"/>
            <w:shd w:val="clear" w:color="auto" w:fill="C2D69B"/>
            <w:vAlign w:val="center"/>
            <w:hideMark/>
          </w:tcPr>
          <w:p w14:paraId="6ED7AB72"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62D92ACD" w14:textId="77777777" w:rsidR="00B73FDB" w:rsidRPr="00B73FDB" w:rsidRDefault="00B73FDB" w:rsidP="00B73FDB">
            <w:pPr>
              <w:spacing w:after="0" w:line="240" w:lineRule="auto"/>
              <w:jc w:val="center"/>
              <w:rPr>
                <w:rFonts w:cs="Calibri"/>
                <w:sz w:val="18"/>
                <w:szCs w:val="18"/>
                <w:lang w:eastAsia="sk-SK"/>
              </w:rPr>
            </w:pPr>
          </w:p>
        </w:tc>
      </w:tr>
      <w:tr w:rsidR="00B73FDB" w:rsidRPr="00B73FDB" w14:paraId="0645A05B" w14:textId="77777777" w:rsidTr="00B73FDB">
        <w:trPr>
          <w:tblCellSpacing w:w="15" w:type="dxa"/>
        </w:trPr>
        <w:tc>
          <w:tcPr>
            <w:tcW w:w="0" w:type="auto"/>
            <w:shd w:val="clear" w:color="auto" w:fill="C2D69B"/>
            <w:vAlign w:val="center"/>
            <w:hideMark/>
          </w:tcPr>
          <w:p w14:paraId="3811534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0BB3A82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vydaných jedál (v tis. ks) spolu za rok </w:t>
            </w:r>
          </w:p>
        </w:tc>
      </w:tr>
      <w:tr w:rsidR="00B73FDB" w:rsidRPr="00B73FDB" w14:paraId="35354DD6" w14:textId="77777777" w:rsidTr="00B73FDB">
        <w:trPr>
          <w:tblCellSpacing w:w="15" w:type="dxa"/>
        </w:trPr>
        <w:tc>
          <w:tcPr>
            <w:tcW w:w="0" w:type="auto"/>
            <w:shd w:val="clear" w:color="auto" w:fill="C2D69B"/>
            <w:vAlign w:val="center"/>
            <w:hideMark/>
          </w:tcPr>
          <w:p w14:paraId="3825768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041377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30F8C37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26E944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773B338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F572CF8" w14:textId="77777777" w:rsidTr="00B73FDB">
        <w:trPr>
          <w:tblCellSpacing w:w="15" w:type="dxa"/>
        </w:trPr>
        <w:tc>
          <w:tcPr>
            <w:tcW w:w="0" w:type="auto"/>
            <w:shd w:val="clear" w:color="auto" w:fill="C2D69B"/>
            <w:vAlign w:val="center"/>
            <w:hideMark/>
          </w:tcPr>
          <w:p w14:paraId="58F7EBC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3A1CED6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761 </w:t>
            </w:r>
          </w:p>
        </w:tc>
        <w:tc>
          <w:tcPr>
            <w:tcW w:w="0" w:type="auto"/>
            <w:shd w:val="clear" w:color="auto" w:fill="C2D69B"/>
            <w:noWrap/>
            <w:vAlign w:val="center"/>
            <w:hideMark/>
          </w:tcPr>
          <w:p w14:paraId="02CBBC5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362 </w:t>
            </w:r>
          </w:p>
        </w:tc>
        <w:tc>
          <w:tcPr>
            <w:tcW w:w="0" w:type="auto"/>
            <w:shd w:val="clear" w:color="auto" w:fill="C2D69B"/>
            <w:vAlign w:val="center"/>
            <w:hideMark/>
          </w:tcPr>
          <w:p w14:paraId="5D062DF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511EA2C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Počas roka 2020 prebiehalo okrem prezenčnej formy vzdelávania tiež dištančné vzdelávanie z dôvodu pandémie </w:t>
            </w:r>
            <w:proofErr w:type="spellStart"/>
            <w:r w:rsidRPr="00B73FDB">
              <w:rPr>
                <w:rFonts w:cs="Calibri"/>
                <w:sz w:val="18"/>
                <w:szCs w:val="18"/>
                <w:lang w:eastAsia="sk-SK"/>
              </w:rPr>
              <w:t>covid</w:t>
            </w:r>
            <w:proofErr w:type="spellEnd"/>
            <w:r w:rsidRPr="00B73FDB">
              <w:rPr>
                <w:rFonts w:cs="Calibri"/>
                <w:sz w:val="18"/>
                <w:szCs w:val="18"/>
                <w:lang w:eastAsia="sk-SK"/>
              </w:rPr>
              <w:t xml:space="preserve"> - 19. </w:t>
            </w:r>
          </w:p>
        </w:tc>
      </w:tr>
    </w:tbl>
    <w:p w14:paraId="6E64F1EB"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lastRenderedPageBreak/>
        <w:t xml:space="preserve">Komentár: </w:t>
      </w:r>
      <w:r w:rsidRPr="00B73FDB">
        <w:rPr>
          <w:rFonts w:cs="Calibri"/>
          <w:sz w:val="24"/>
          <w:szCs w:val="24"/>
          <w:lang w:eastAsia="sk-SK"/>
        </w:rPr>
        <w:t>Vzdelávacie aktivity a samotné vyučovanie žiakov prebieha v školách a školské jedálne sú ich súčasťou (bez právnej subjektivity). Prostredníctvom týchto zariadení BSK zabezpečuje stravovanie pre žiakov škôl. V tomto prvku je rozpočtovaných 22 školských jedálni. Pri financovaní zariadení školského stravovania sme postupovali podľa výpočtu na počet vydaných jedál.</w:t>
      </w:r>
    </w:p>
    <w:p w14:paraId="31A1BDAE" w14:textId="77777777" w:rsidR="00B73FDB" w:rsidRPr="00B73FDB" w:rsidRDefault="00B73FDB" w:rsidP="00B73FDB">
      <w:pPr>
        <w:spacing w:before="100" w:beforeAutospacing="1" w:after="0" w:line="240" w:lineRule="auto"/>
        <w:jc w:val="both"/>
        <w:rPr>
          <w:rFonts w:cs="Calibri"/>
          <w:sz w:val="24"/>
          <w:szCs w:val="24"/>
          <w:lang w:eastAsia="sk-SK"/>
        </w:rPr>
      </w:pPr>
      <w:r w:rsidRPr="00B73FDB">
        <w:rPr>
          <w:rFonts w:cs="Calibri"/>
          <w:sz w:val="24"/>
          <w:szCs w:val="24"/>
          <w:lang w:eastAsia="sk-SK"/>
        </w:rPr>
        <w:t>Nasledujúca tabuľka sumarizuje bežné výdavky v zariadeniach školského stravovania za posledné 4 finančné roky:</w:t>
      </w:r>
    </w:p>
    <w:tbl>
      <w:tblPr>
        <w:tblW w:w="5000" w:type="pct"/>
        <w:tblLayout w:type="fixed"/>
        <w:tblCellMar>
          <w:left w:w="70" w:type="dxa"/>
          <w:right w:w="70" w:type="dxa"/>
        </w:tblCellMar>
        <w:tblLook w:val="04A0" w:firstRow="1" w:lastRow="0" w:firstColumn="1" w:lastColumn="0" w:noHBand="0" w:noVBand="1"/>
      </w:tblPr>
      <w:tblGrid>
        <w:gridCol w:w="5816"/>
        <w:gridCol w:w="1126"/>
        <w:gridCol w:w="1132"/>
        <w:gridCol w:w="1132"/>
        <w:gridCol w:w="1260"/>
      </w:tblGrid>
      <w:tr w:rsidR="00B73FDB" w:rsidRPr="00B73FDB" w14:paraId="57EB81B5" w14:textId="77777777" w:rsidTr="00B73FDB">
        <w:trPr>
          <w:trHeight w:hRule="exact" w:val="300"/>
        </w:trPr>
        <w:tc>
          <w:tcPr>
            <w:tcW w:w="2778" w:type="pct"/>
            <w:vMerge w:val="restart"/>
            <w:tcBorders>
              <w:top w:val="nil"/>
              <w:left w:val="nil"/>
              <w:bottom w:val="single" w:sz="8" w:space="0" w:color="DCE6F1"/>
              <w:right w:val="nil"/>
            </w:tcBorders>
            <w:shd w:val="clear" w:color="auto" w:fill="D2F6FE"/>
            <w:noWrap/>
            <w:vAlign w:val="center"/>
            <w:hideMark/>
          </w:tcPr>
          <w:p w14:paraId="24F6990D" w14:textId="77777777" w:rsidR="00B73FDB" w:rsidRPr="00B73FDB" w:rsidRDefault="00B73FDB" w:rsidP="00B73FDB">
            <w:pPr>
              <w:spacing w:before="100" w:beforeAutospacing="1" w:after="100" w:afterAutospacing="1" w:line="240" w:lineRule="auto"/>
              <w:rPr>
                <w:rFonts w:cs="Calibri"/>
                <w:b/>
                <w:bCs/>
                <w:color w:val="000000"/>
                <w:sz w:val="20"/>
                <w:szCs w:val="20"/>
                <w:lang w:eastAsia="sk-SK"/>
              </w:rPr>
            </w:pPr>
            <w:r w:rsidRPr="00B73FDB">
              <w:rPr>
                <w:rFonts w:cs="Calibri"/>
                <w:b/>
                <w:bCs/>
                <w:color w:val="000000"/>
                <w:sz w:val="20"/>
                <w:szCs w:val="20"/>
                <w:lang w:eastAsia="sk-SK"/>
              </w:rPr>
              <w:t>Podprogram 8.4 - Školské stravovanie</w:t>
            </w:r>
          </w:p>
        </w:tc>
        <w:tc>
          <w:tcPr>
            <w:tcW w:w="2222" w:type="pct"/>
            <w:gridSpan w:val="4"/>
            <w:vMerge w:val="restart"/>
            <w:tcBorders>
              <w:top w:val="nil"/>
              <w:left w:val="nil"/>
              <w:bottom w:val="nil"/>
              <w:right w:val="nil"/>
            </w:tcBorders>
            <w:shd w:val="clear" w:color="auto" w:fill="D2F6FE"/>
            <w:vAlign w:val="center"/>
            <w:hideMark/>
          </w:tcPr>
          <w:p w14:paraId="235A3D39" w14:textId="77777777" w:rsidR="00B73FDB" w:rsidRPr="00B73FDB" w:rsidRDefault="00B73FDB" w:rsidP="00B73FDB">
            <w:pPr>
              <w:spacing w:after="0" w:line="240" w:lineRule="auto"/>
              <w:jc w:val="center"/>
              <w:rPr>
                <w:rFonts w:cs="Calibri"/>
                <w:b/>
                <w:bCs/>
                <w:color w:val="000000"/>
                <w:sz w:val="20"/>
                <w:szCs w:val="20"/>
                <w:lang w:eastAsia="sk-SK"/>
              </w:rPr>
            </w:pPr>
            <w:r w:rsidRPr="00B73FDB">
              <w:rPr>
                <w:rFonts w:cs="Calibri"/>
                <w:b/>
                <w:bCs/>
                <w:color w:val="000000"/>
                <w:sz w:val="20"/>
                <w:szCs w:val="20"/>
                <w:lang w:eastAsia="sk-SK"/>
              </w:rPr>
              <w:t>Čerpanie celkom v EUR</w:t>
            </w:r>
          </w:p>
        </w:tc>
      </w:tr>
      <w:tr w:rsidR="00B73FDB" w:rsidRPr="00B73FDB" w14:paraId="45A6DF4C" w14:textId="77777777" w:rsidTr="00352CED">
        <w:trPr>
          <w:trHeight w:val="276"/>
        </w:trPr>
        <w:tc>
          <w:tcPr>
            <w:tcW w:w="2778" w:type="pct"/>
            <w:vMerge/>
            <w:tcBorders>
              <w:top w:val="nil"/>
              <w:left w:val="nil"/>
              <w:bottom w:val="single" w:sz="8" w:space="0" w:color="DCE6F1"/>
              <w:right w:val="nil"/>
            </w:tcBorders>
            <w:shd w:val="clear" w:color="auto" w:fill="D2F6FE"/>
            <w:vAlign w:val="center"/>
            <w:hideMark/>
          </w:tcPr>
          <w:p w14:paraId="00DBD9F8" w14:textId="77777777" w:rsidR="00B73FDB" w:rsidRPr="00B73FDB" w:rsidRDefault="00B73FDB" w:rsidP="00B73FDB">
            <w:pPr>
              <w:spacing w:after="0" w:line="240" w:lineRule="auto"/>
              <w:rPr>
                <w:rFonts w:cs="Calibri"/>
                <w:b/>
                <w:bCs/>
                <w:color w:val="000000"/>
                <w:sz w:val="20"/>
                <w:szCs w:val="20"/>
                <w:lang w:eastAsia="sk-SK"/>
              </w:rPr>
            </w:pPr>
          </w:p>
        </w:tc>
        <w:tc>
          <w:tcPr>
            <w:tcW w:w="2222" w:type="pct"/>
            <w:gridSpan w:val="4"/>
            <w:vMerge/>
            <w:tcBorders>
              <w:top w:val="nil"/>
              <w:left w:val="nil"/>
              <w:bottom w:val="nil"/>
              <w:right w:val="nil"/>
            </w:tcBorders>
            <w:shd w:val="clear" w:color="auto" w:fill="D2F6FE"/>
            <w:vAlign w:val="center"/>
            <w:hideMark/>
          </w:tcPr>
          <w:p w14:paraId="0D45B113" w14:textId="77777777" w:rsidR="00B73FDB" w:rsidRPr="00B73FDB" w:rsidRDefault="00B73FDB" w:rsidP="00B73FDB">
            <w:pPr>
              <w:spacing w:after="0" w:line="240" w:lineRule="auto"/>
              <w:rPr>
                <w:rFonts w:cs="Calibri"/>
                <w:b/>
                <w:bCs/>
                <w:color w:val="000000"/>
                <w:sz w:val="20"/>
                <w:szCs w:val="20"/>
                <w:lang w:eastAsia="sk-SK"/>
              </w:rPr>
            </w:pPr>
          </w:p>
        </w:tc>
      </w:tr>
      <w:tr w:rsidR="00B73FDB" w:rsidRPr="00B73FDB" w14:paraId="2D2AE8BF" w14:textId="77777777" w:rsidTr="00B73FDB">
        <w:trPr>
          <w:trHeight w:hRule="exact" w:val="330"/>
        </w:trPr>
        <w:tc>
          <w:tcPr>
            <w:tcW w:w="2778" w:type="pct"/>
            <w:tcBorders>
              <w:top w:val="nil"/>
              <w:left w:val="nil"/>
              <w:bottom w:val="single" w:sz="8" w:space="0" w:color="DCE6F1"/>
              <w:right w:val="nil"/>
            </w:tcBorders>
            <w:shd w:val="clear" w:color="auto" w:fill="D2F6FE"/>
            <w:noWrap/>
            <w:vAlign w:val="center"/>
            <w:hideMark/>
          </w:tcPr>
          <w:p w14:paraId="2DD15132"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Školské zariadenie</w:t>
            </w:r>
          </w:p>
        </w:tc>
        <w:tc>
          <w:tcPr>
            <w:tcW w:w="538" w:type="pct"/>
            <w:tcBorders>
              <w:top w:val="nil"/>
              <w:left w:val="nil"/>
              <w:bottom w:val="single" w:sz="8" w:space="0" w:color="DCE6F1"/>
              <w:right w:val="nil"/>
            </w:tcBorders>
            <w:shd w:val="clear" w:color="auto" w:fill="D2F6FE"/>
            <w:vAlign w:val="center"/>
            <w:hideMark/>
          </w:tcPr>
          <w:p w14:paraId="5224C095"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2017</w:t>
            </w:r>
          </w:p>
        </w:tc>
        <w:tc>
          <w:tcPr>
            <w:tcW w:w="541" w:type="pct"/>
            <w:tcBorders>
              <w:top w:val="nil"/>
              <w:left w:val="nil"/>
              <w:bottom w:val="single" w:sz="8" w:space="0" w:color="DCE6F1"/>
              <w:right w:val="nil"/>
            </w:tcBorders>
            <w:shd w:val="clear" w:color="auto" w:fill="D2F6FE"/>
            <w:vAlign w:val="center"/>
            <w:hideMark/>
          </w:tcPr>
          <w:p w14:paraId="66FCF0AA"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2018</w:t>
            </w:r>
          </w:p>
        </w:tc>
        <w:tc>
          <w:tcPr>
            <w:tcW w:w="541" w:type="pct"/>
            <w:tcBorders>
              <w:top w:val="nil"/>
              <w:left w:val="nil"/>
              <w:bottom w:val="single" w:sz="8" w:space="0" w:color="DCE6F1"/>
              <w:right w:val="nil"/>
            </w:tcBorders>
            <w:shd w:val="clear" w:color="auto" w:fill="D2F6FE"/>
            <w:vAlign w:val="center"/>
            <w:hideMark/>
          </w:tcPr>
          <w:p w14:paraId="10A9901D"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2019</w:t>
            </w:r>
          </w:p>
        </w:tc>
        <w:tc>
          <w:tcPr>
            <w:tcW w:w="602" w:type="pct"/>
            <w:tcBorders>
              <w:top w:val="nil"/>
              <w:left w:val="nil"/>
              <w:bottom w:val="single" w:sz="8" w:space="0" w:color="DCE6F1"/>
              <w:right w:val="nil"/>
            </w:tcBorders>
            <w:shd w:val="clear" w:color="auto" w:fill="D2F6FE"/>
            <w:vAlign w:val="center"/>
            <w:hideMark/>
          </w:tcPr>
          <w:p w14:paraId="540A60A8"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2020</w:t>
            </w:r>
          </w:p>
        </w:tc>
      </w:tr>
      <w:tr w:rsidR="00B73FDB" w:rsidRPr="00B73FDB" w14:paraId="1B7A87E3"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622FA773"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 ŠJ pri Gymnáziu s VJM, Dunajská 13, BA</w:t>
            </w:r>
          </w:p>
        </w:tc>
        <w:tc>
          <w:tcPr>
            <w:tcW w:w="538" w:type="pct"/>
            <w:tcBorders>
              <w:top w:val="nil"/>
              <w:left w:val="nil"/>
              <w:bottom w:val="single" w:sz="8" w:space="0" w:color="DCE6F1"/>
              <w:right w:val="nil"/>
            </w:tcBorders>
            <w:shd w:val="clear" w:color="auto" w:fill="auto"/>
            <w:vAlign w:val="center"/>
            <w:hideMark/>
          </w:tcPr>
          <w:p w14:paraId="5937CC3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148 871</w:t>
            </w:r>
          </w:p>
        </w:tc>
        <w:tc>
          <w:tcPr>
            <w:tcW w:w="541" w:type="pct"/>
            <w:tcBorders>
              <w:top w:val="nil"/>
              <w:left w:val="nil"/>
              <w:bottom w:val="single" w:sz="8" w:space="0" w:color="DCE6F1"/>
              <w:right w:val="nil"/>
            </w:tcBorders>
            <w:shd w:val="clear" w:color="auto" w:fill="auto"/>
            <w:vAlign w:val="center"/>
            <w:hideMark/>
          </w:tcPr>
          <w:p w14:paraId="4CA2CB0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239 825</w:t>
            </w:r>
          </w:p>
        </w:tc>
        <w:tc>
          <w:tcPr>
            <w:tcW w:w="541" w:type="pct"/>
            <w:tcBorders>
              <w:top w:val="nil"/>
              <w:left w:val="nil"/>
              <w:bottom w:val="single" w:sz="8" w:space="0" w:color="DCE6F1"/>
              <w:right w:val="nil"/>
            </w:tcBorders>
            <w:shd w:val="clear" w:color="auto" w:fill="auto"/>
            <w:vAlign w:val="center"/>
            <w:hideMark/>
          </w:tcPr>
          <w:p w14:paraId="1C538BF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330 691</w:t>
            </w:r>
          </w:p>
        </w:tc>
        <w:tc>
          <w:tcPr>
            <w:tcW w:w="602" w:type="pct"/>
            <w:tcBorders>
              <w:top w:val="nil"/>
              <w:left w:val="nil"/>
              <w:bottom w:val="single" w:sz="8" w:space="0" w:color="DCE6F1"/>
              <w:right w:val="nil"/>
            </w:tcBorders>
            <w:shd w:val="clear" w:color="auto" w:fill="auto"/>
            <w:vAlign w:val="center"/>
            <w:hideMark/>
          </w:tcPr>
          <w:p w14:paraId="4C2DFE1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265 934</w:t>
            </w:r>
          </w:p>
        </w:tc>
      </w:tr>
      <w:tr w:rsidR="00B73FDB" w:rsidRPr="00B73FDB" w14:paraId="6C43E968"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46BBD1C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 ŠJ pri Gymnáziu A. Einsteina, Einsteinova 35, BA</w:t>
            </w:r>
          </w:p>
        </w:tc>
        <w:tc>
          <w:tcPr>
            <w:tcW w:w="538" w:type="pct"/>
            <w:tcBorders>
              <w:top w:val="nil"/>
              <w:left w:val="nil"/>
              <w:bottom w:val="single" w:sz="8" w:space="0" w:color="DCE6F1"/>
              <w:right w:val="nil"/>
            </w:tcBorders>
            <w:shd w:val="clear" w:color="auto" w:fill="auto"/>
            <w:vAlign w:val="center"/>
            <w:hideMark/>
          </w:tcPr>
          <w:p w14:paraId="2E6B8F9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30 218</w:t>
            </w:r>
          </w:p>
        </w:tc>
        <w:tc>
          <w:tcPr>
            <w:tcW w:w="541" w:type="pct"/>
            <w:tcBorders>
              <w:top w:val="nil"/>
              <w:left w:val="nil"/>
              <w:bottom w:val="single" w:sz="8" w:space="0" w:color="DCE6F1"/>
              <w:right w:val="nil"/>
            </w:tcBorders>
            <w:shd w:val="clear" w:color="auto" w:fill="auto"/>
            <w:vAlign w:val="center"/>
            <w:hideMark/>
          </w:tcPr>
          <w:p w14:paraId="6F716F7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68 419</w:t>
            </w:r>
          </w:p>
        </w:tc>
        <w:tc>
          <w:tcPr>
            <w:tcW w:w="541" w:type="pct"/>
            <w:tcBorders>
              <w:top w:val="nil"/>
              <w:left w:val="nil"/>
              <w:bottom w:val="single" w:sz="8" w:space="0" w:color="DCE6F1"/>
              <w:right w:val="nil"/>
            </w:tcBorders>
            <w:shd w:val="clear" w:color="auto" w:fill="auto"/>
            <w:vAlign w:val="center"/>
            <w:hideMark/>
          </w:tcPr>
          <w:p w14:paraId="6DCD5A7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78 719</w:t>
            </w:r>
          </w:p>
        </w:tc>
        <w:tc>
          <w:tcPr>
            <w:tcW w:w="602" w:type="pct"/>
            <w:tcBorders>
              <w:top w:val="nil"/>
              <w:left w:val="nil"/>
              <w:bottom w:val="single" w:sz="8" w:space="0" w:color="DCE6F1"/>
              <w:right w:val="nil"/>
            </w:tcBorders>
            <w:shd w:val="clear" w:color="auto" w:fill="auto"/>
            <w:vAlign w:val="center"/>
            <w:hideMark/>
          </w:tcPr>
          <w:p w14:paraId="7A13FFA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60 366</w:t>
            </w:r>
          </w:p>
        </w:tc>
      </w:tr>
      <w:tr w:rsidR="00B73FDB" w:rsidRPr="00B73FDB" w14:paraId="31126C47"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045E3418"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8.4.3: ŠJ pri Gymnáziu J. </w:t>
            </w:r>
            <w:proofErr w:type="spellStart"/>
            <w:r w:rsidRPr="00B73FDB">
              <w:rPr>
                <w:rFonts w:cs="Calibri"/>
                <w:color w:val="000000"/>
                <w:sz w:val="20"/>
                <w:szCs w:val="20"/>
                <w:lang w:eastAsia="sk-SK"/>
              </w:rPr>
              <w:t>Papánka</w:t>
            </w:r>
            <w:proofErr w:type="spellEnd"/>
            <w:r w:rsidRPr="00B73FDB">
              <w:rPr>
                <w:rFonts w:cs="Calibri"/>
                <w:color w:val="000000"/>
                <w:sz w:val="20"/>
                <w:szCs w:val="20"/>
                <w:lang w:eastAsia="sk-SK"/>
              </w:rPr>
              <w:t xml:space="preserve">, </w:t>
            </w:r>
            <w:proofErr w:type="spellStart"/>
            <w:r w:rsidRPr="00B73FDB">
              <w:rPr>
                <w:rFonts w:cs="Calibri"/>
                <w:color w:val="000000"/>
                <w:sz w:val="20"/>
                <w:szCs w:val="20"/>
                <w:lang w:eastAsia="sk-SK"/>
              </w:rPr>
              <w:t>Vazovova</w:t>
            </w:r>
            <w:proofErr w:type="spellEnd"/>
            <w:r w:rsidRPr="00B73FDB">
              <w:rPr>
                <w:rFonts w:cs="Calibri"/>
                <w:color w:val="000000"/>
                <w:sz w:val="20"/>
                <w:szCs w:val="20"/>
                <w:lang w:eastAsia="sk-SK"/>
              </w:rPr>
              <w:t xml:space="preserve"> 6, BA </w:t>
            </w:r>
          </w:p>
        </w:tc>
        <w:tc>
          <w:tcPr>
            <w:tcW w:w="538" w:type="pct"/>
            <w:tcBorders>
              <w:top w:val="nil"/>
              <w:left w:val="nil"/>
              <w:bottom w:val="single" w:sz="8" w:space="0" w:color="DCE6F1"/>
              <w:right w:val="nil"/>
            </w:tcBorders>
            <w:shd w:val="clear" w:color="auto" w:fill="auto"/>
            <w:vAlign w:val="center"/>
            <w:hideMark/>
          </w:tcPr>
          <w:p w14:paraId="2D01333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36 627</w:t>
            </w:r>
          </w:p>
        </w:tc>
        <w:tc>
          <w:tcPr>
            <w:tcW w:w="541" w:type="pct"/>
            <w:tcBorders>
              <w:top w:val="nil"/>
              <w:left w:val="nil"/>
              <w:bottom w:val="single" w:sz="8" w:space="0" w:color="DCE6F1"/>
              <w:right w:val="nil"/>
            </w:tcBorders>
            <w:shd w:val="clear" w:color="auto" w:fill="auto"/>
            <w:vAlign w:val="center"/>
            <w:hideMark/>
          </w:tcPr>
          <w:p w14:paraId="2215BAA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130 530</w:t>
            </w:r>
          </w:p>
        </w:tc>
        <w:tc>
          <w:tcPr>
            <w:tcW w:w="541" w:type="pct"/>
            <w:tcBorders>
              <w:top w:val="nil"/>
              <w:left w:val="nil"/>
              <w:bottom w:val="single" w:sz="8" w:space="0" w:color="DCE6F1"/>
              <w:right w:val="nil"/>
            </w:tcBorders>
            <w:shd w:val="clear" w:color="auto" w:fill="auto"/>
            <w:vAlign w:val="center"/>
            <w:hideMark/>
          </w:tcPr>
          <w:p w14:paraId="36A6D9C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165 115</w:t>
            </w:r>
          </w:p>
        </w:tc>
        <w:tc>
          <w:tcPr>
            <w:tcW w:w="602" w:type="pct"/>
            <w:tcBorders>
              <w:top w:val="nil"/>
              <w:left w:val="nil"/>
              <w:bottom w:val="single" w:sz="8" w:space="0" w:color="DCE6F1"/>
              <w:right w:val="nil"/>
            </w:tcBorders>
            <w:shd w:val="clear" w:color="auto" w:fill="auto"/>
            <w:vAlign w:val="center"/>
            <w:hideMark/>
          </w:tcPr>
          <w:p w14:paraId="39FCC4B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138 946</w:t>
            </w:r>
          </w:p>
        </w:tc>
      </w:tr>
      <w:tr w:rsidR="00B73FDB" w:rsidRPr="00B73FDB" w14:paraId="6E956D96"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2AD0BF8E"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8.4.4: ŠJ pri Gymnáziu, Hubeného 23, BA</w:t>
            </w:r>
          </w:p>
        </w:tc>
        <w:tc>
          <w:tcPr>
            <w:tcW w:w="538" w:type="pct"/>
            <w:tcBorders>
              <w:top w:val="nil"/>
              <w:left w:val="nil"/>
              <w:bottom w:val="single" w:sz="8" w:space="0" w:color="DCE6F1"/>
              <w:right w:val="nil"/>
            </w:tcBorders>
            <w:shd w:val="clear" w:color="auto" w:fill="auto"/>
            <w:vAlign w:val="center"/>
            <w:hideMark/>
          </w:tcPr>
          <w:p w14:paraId="2551634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70 188</w:t>
            </w:r>
          </w:p>
        </w:tc>
        <w:tc>
          <w:tcPr>
            <w:tcW w:w="541" w:type="pct"/>
            <w:tcBorders>
              <w:top w:val="nil"/>
              <w:left w:val="nil"/>
              <w:bottom w:val="single" w:sz="8" w:space="0" w:color="DCE6F1"/>
              <w:right w:val="nil"/>
            </w:tcBorders>
            <w:shd w:val="clear" w:color="auto" w:fill="auto"/>
            <w:vAlign w:val="center"/>
            <w:hideMark/>
          </w:tcPr>
          <w:p w14:paraId="3E5B946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142 027</w:t>
            </w:r>
          </w:p>
        </w:tc>
        <w:tc>
          <w:tcPr>
            <w:tcW w:w="541" w:type="pct"/>
            <w:tcBorders>
              <w:top w:val="nil"/>
              <w:left w:val="nil"/>
              <w:bottom w:val="single" w:sz="8" w:space="0" w:color="DCE6F1"/>
              <w:right w:val="nil"/>
            </w:tcBorders>
            <w:shd w:val="clear" w:color="auto" w:fill="auto"/>
            <w:vAlign w:val="center"/>
            <w:hideMark/>
          </w:tcPr>
          <w:p w14:paraId="5A5A2BC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149 414</w:t>
            </w:r>
          </w:p>
        </w:tc>
        <w:tc>
          <w:tcPr>
            <w:tcW w:w="602" w:type="pct"/>
            <w:tcBorders>
              <w:top w:val="nil"/>
              <w:left w:val="nil"/>
              <w:bottom w:val="single" w:sz="8" w:space="0" w:color="DCE6F1"/>
              <w:right w:val="nil"/>
            </w:tcBorders>
            <w:shd w:val="clear" w:color="auto" w:fill="auto"/>
            <w:vAlign w:val="center"/>
            <w:hideMark/>
          </w:tcPr>
          <w:p w14:paraId="504E801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122 240</w:t>
            </w:r>
          </w:p>
        </w:tc>
      </w:tr>
      <w:tr w:rsidR="00B73FDB" w:rsidRPr="00B73FDB" w14:paraId="6C22B608"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759A1544"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8.4.5: ŠJ pri Gymnáziu A. Bernoláka, </w:t>
            </w:r>
            <w:proofErr w:type="spellStart"/>
            <w:r w:rsidRPr="00B73FDB">
              <w:rPr>
                <w:rFonts w:cs="Calibri"/>
                <w:color w:val="000000"/>
                <w:sz w:val="20"/>
                <w:szCs w:val="20"/>
                <w:lang w:eastAsia="sk-SK"/>
              </w:rPr>
              <w:t>Lichnerova</w:t>
            </w:r>
            <w:proofErr w:type="spellEnd"/>
            <w:r w:rsidRPr="00B73FDB">
              <w:rPr>
                <w:rFonts w:cs="Calibri"/>
                <w:color w:val="000000"/>
                <w:sz w:val="20"/>
                <w:szCs w:val="20"/>
                <w:lang w:eastAsia="sk-SK"/>
              </w:rPr>
              <w:t xml:space="preserve"> 69, Senec </w:t>
            </w:r>
          </w:p>
        </w:tc>
        <w:tc>
          <w:tcPr>
            <w:tcW w:w="538" w:type="pct"/>
            <w:tcBorders>
              <w:top w:val="nil"/>
              <w:left w:val="nil"/>
              <w:bottom w:val="single" w:sz="8" w:space="0" w:color="DCE6F1"/>
              <w:right w:val="nil"/>
            </w:tcBorders>
            <w:shd w:val="clear" w:color="auto" w:fill="auto"/>
            <w:vAlign w:val="center"/>
            <w:hideMark/>
          </w:tcPr>
          <w:p w14:paraId="332EC29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43 438</w:t>
            </w:r>
          </w:p>
        </w:tc>
        <w:tc>
          <w:tcPr>
            <w:tcW w:w="541" w:type="pct"/>
            <w:tcBorders>
              <w:top w:val="nil"/>
              <w:left w:val="nil"/>
              <w:bottom w:val="single" w:sz="8" w:space="0" w:color="DCE6F1"/>
              <w:right w:val="nil"/>
            </w:tcBorders>
            <w:shd w:val="clear" w:color="auto" w:fill="auto"/>
            <w:vAlign w:val="center"/>
            <w:hideMark/>
          </w:tcPr>
          <w:p w14:paraId="23ED1D6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118 513</w:t>
            </w:r>
          </w:p>
        </w:tc>
        <w:tc>
          <w:tcPr>
            <w:tcW w:w="541" w:type="pct"/>
            <w:tcBorders>
              <w:top w:val="nil"/>
              <w:left w:val="nil"/>
              <w:bottom w:val="single" w:sz="8" w:space="0" w:color="DCE6F1"/>
              <w:right w:val="nil"/>
            </w:tcBorders>
            <w:shd w:val="clear" w:color="auto" w:fill="auto"/>
            <w:vAlign w:val="center"/>
            <w:hideMark/>
          </w:tcPr>
          <w:p w14:paraId="5A8E223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140 483</w:t>
            </w:r>
          </w:p>
        </w:tc>
        <w:tc>
          <w:tcPr>
            <w:tcW w:w="602" w:type="pct"/>
            <w:tcBorders>
              <w:top w:val="nil"/>
              <w:left w:val="nil"/>
              <w:bottom w:val="single" w:sz="8" w:space="0" w:color="DCE6F1"/>
              <w:right w:val="nil"/>
            </w:tcBorders>
            <w:shd w:val="clear" w:color="auto" w:fill="auto"/>
            <w:vAlign w:val="center"/>
            <w:hideMark/>
          </w:tcPr>
          <w:p w14:paraId="19C315A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110 287</w:t>
            </w:r>
          </w:p>
        </w:tc>
      </w:tr>
      <w:tr w:rsidR="00B73FDB" w:rsidRPr="00B73FDB" w14:paraId="33685196"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0AAE2F3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8.4.6: ŠJ pri Obchodnej akadémii, Nevädzová 3, BA </w:t>
            </w:r>
          </w:p>
        </w:tc>
        <w:tc>
          <w:tcPr>
            <w:tcW w:w="538" w:type="pct"/>
            <w:tcBorders>
              <w:top w:val="nil"/>
              <w:left w:val="nil"/>
              <w:bottom w:val="single" w:sz="8" w:space="0" w:color="DCE6F1"/>
              <w:right w:val="nil"/>
            </w:tcBorders>
            <w:shd w:val="clear" w:color="auto" w:fill="auto"/>
            <w:vAlign w:val="center"/>
            <w:hideMark/>
          </w:tcPr>
          <w:p w14:paraId="57572B5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21 464</w:t>
            </w:r>
          </w:p>
        </w:tc>
        <w:tc>
          <w:tcPr>
            <w:tcW w:w="541" w:type="pct"/>
            <w:tcBorders>
              <w:top w:val="nil"/>
              <w:left w:val="nil"/>
              <w:bottom w:val="single" w:sz="8" w:space="0" w:color="DCE6F1"/>
              <w:right w:val="nil"/>
            </w:tcBorders>
            <w:shd w:val="clear" w:color="auto" w:fill="auto"/>
            <w:vAlign w:val="center"/>
            <w:hideMark/>
          </w:tcPr>
          <w:p w14:paraId="4627D12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78 336</w:t>
            </w:r>
          </w:p>
        </w:tc>
        <w:tc>
          <w:tcPr>
            <w:tcW w:w="541" w:type="pct"/>
            <w:tcBorders>
              <w:top w:val="nil"/>
              <w:left w:val="nil"/>
              <w:bottom w:val="single" w:sz="8" w:space="0" w:color="DCE6F1"/>
              <w:right w:val="nil"/>
            </w:tcBorders>
            <w:shd w:val="clear" w:color="auto" w:fill="auto"/>
            <w:vAlign w:val="center"/>
            <w:hideMark/>
          </w:tcPr>
          <w:p w14:paraId="008F7F6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100 429</w:t>
            </w:r>
          </w:p>
        </w:tc>
        <w:tc>
          <w:tcPr>
            <w:tcW w:w="602" w:type="pct"/>
            <w:tcBorders>
              <w:top w:val="nil"/>
              <w:left w:val="nil"/>
              <w:bottom w:val="single" w:sz="8" w:space="0" w:color="DCE6F1"/>
              <w:right w:val="nil"/>
            </w:tcBorders>
            <w:shd w:val="clear" w:color="auto" w:fill="auto"/>
            <w:vAlign w:val="center"/>
            <w:hideMark/>
          </w:tcPr>
          <w:p w14:paraId="1C16D7F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104 236</w:t>
            </w:r>
          </w:p>
        </w:tc>
      </w:tr>
      <w:tr w:rsidR="00B73FDB" w:rsidRPr="00B73FDB" w14:paraId="7E0DEC3C"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440EBC93"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8.4.7: ŠJ pri Strednej športovej škole, </w:t>
            </w:r>
            <w:proofErr w:type="spellStart"/>
            <w:r w:rsidRPr="00B73FDB">
              <w:rPr>
                <w:rFonts w:cs="Calibri"/>
                <w:color w:val="000000"/>
                <w:sz w:val="20"/>
                <w:szCs w:val="20"/>
                <w:lang w:eastAsia="sk-SK"/>
              </w:rPr>
              <w:t>Ostredkova</w:t>
            </w:r>
            <w:proofErr w:type="spellEnd"/>
            <w:r w:rsidRPr="00B73FDB">
              <w:rPr>
                <w:rFonts w:cs="Calibri"/>
                <w:color w:val="000000"/>
                <w:sz w:val="20"/>
                <w:szCs w:val="20"/>
                <w:lang w:eastAsia="sk-SK"/>
              </w:rPr>
              <w:t xml:space="preserve"> 10, BA </w:t>
            </w:r>
          </w:p>
        </w:tc>
        <w:tc>
          <w:tcPr>
            <w:tcW w:w="538" w:type="pct"/>
            <w:tcBorders>
              <w:top w:val="nil"/>
              <w:left w:val="nil"/>
              <w:bottom w:val="single" w:sz="8" w:space="0" w:color="DCE6F1"/>
              <w:right w:val="nil"/>
            </w:tcBorders>
            <w:shd w:val="clear" w:color="auto" w:fill="auto"/>
            <w:vAlign w:val="center"/>
            <w:hideMark/>
          </w:tcPr>
          <w:p w14:paraId="046523C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90 082</w:t>
            </w:r>
          </w:p>
        </w:tc>
        <w:tc>
          <w:tcPr>
            <w:tcW w:w="541" w:type="pct"/>
            <w:tcBorders>
              <w:top w:val="nil"/>
              <w:left w:val="nil"/>
              <w:bottom w:val="single" w:sz="8" w:space="0" w:color="DCE6F1"/>
              <w:right w:val="nil"/>
            </w:tcBorders>
            <w:shd w:val="clear" w:color="auto" w:fill="auto"/>
            <w:vAlign w:val="center"/>
            <w:hideMark/>
          </w:tcPr>
          <w:p w14:paraId="3719D59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200 524</w:t>
            </w:r>
          </w:p>
        </w:tc>
        <w:tc>
          <w:tcPr>
            <w:tcW w:w="541" w:type="pct"/>
            <w:tcBorders>
              <w:top w:val="nil"/>
              <w:left w:val="nil"/>
              <w:bottom w:val="single" w:sz="8" w:space="0" w:color="DCE6F1"/>
              <w:right w:val="nil"/>
            </w:tcBorders>
            <w:shd w:val="clear" w:color="auto" w:fill="auto"/>
            <w:vAlign w:val="center"/>
            <w:hideMark/>
          </w:tcPr>
          <w:p w14:paraId="7523F55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228 364</w:t>
            </w:r>
          </w:p>
        </w:tc>
        <w:tc>
          <w:tcPr>
            <w:tcW w:w="602" w:type="pct"/>
            <w:tcBorders>
              <w:top w:val="nil"/>
              <w:left w:val="nil"/>
              <w:bottom w:val="single" w:sz="8" w:space="0" w:color="DCE6F1"/>
              <w:right w:val="nil"/>
            </w:tcBorders>
            <w:shd w:val="clear" w:color="auto" w:fill="auto"/>
            <w:vAlign w:val="center"/>
            <w:hideMark/>
          </w:tcPr>
          <w:p w14:paraId="7F87211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118 872</w:t>
            </w:r>
          </w:p>
        </w:tc>
      </w:tr>
      <w:tr w:rsidR="00B73FDB" w:rsidRPr="00B73FDB" w14:paraId="284688B5"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772CBB7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8.4.8: ŠJ pri Gymnáziu, Pankúchova 6, BA</w:t>
            </w:r>
          </w:p>
        </w:tc>
        <w:tc>
          <w:tcPr>
            <w:tcW w:w="538" w:type="pct"/>
            <w:tcBorders>
              <w:top w:val="nil"/>
              <w:left w:val="nil"/>
              <w:bottom w:val="single" w:sz="8" w:space="0" w:color="DCE6F1"/>
              <w:right w:val="nil"/>
            </w:tcBorders>
            <w:shd w:val="clear" w:color="auto" w:fill="auto"/>
            <w:vAlign w:val="center"/>
            <w:hideMark/>
          </w:tcPr>
          <w:p w14:paraId="0A21E12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124 373</w:t>
            </w:r>
          </w:p>
        </w:tc>
        <w:tc>
          <w:tcPr>
            <w:tcW w:w="541" w:type="pct"/>
            <w:tcBorders>
              <w:top w:val="nil"/>
              <w:left w:val="nil"/>
              <w:bottom w:val="single" w:sz="8" w:space="0" w:color="DCE6F1"/>
              <w:right w:val="nil"/>
            </w:tcBorders>
            <w:shd w:val="clear" w:color="auto" w:fill="auto"/>
            <w:vAlign w:val="center"/>
            <w:hideMark/>
          </w:tcPr>
          <w:p w14:paraId="50C7BCA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194 961</w:t>
            </w:r>
          </w:p>
        </w:tc>
        <w:tc>
          <w:tcPr>
            <w:tcW w:w="541" w:type="pct"/>
            <w:tcBorders>
              <w:top w:val="nil"/>
              <w:left w:val="nil"/>
              <w:bottom w:val="single" w:sz="8" w:space="0" w:color="DCE6F1"/>
              <w:right w:val="nil"/>
            </w:tcBorders>
            <w:shd w:val="clear" w:color="auto" w:fill="auto"/>
            <w:vAlign w:val="center"/>
            <w:hideMark/>
          </w:tcPr>
          <w:p w14:paraId="199C6B6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184 416</w:t>
            </w:r>
          </w:p>
        </w:tc>
        <w:tc>
          <w:tcPr>
            <w:tcW w:w="602" w:type="pct"/>
            <w:tcBorders>
              <w:top w:val="nil"/>
              <w:left w:val="nil"/>
              <w:bottom w:val="single" w:sz="8" w:space="0" w:color="DCE6F1"/>
              <w:right w:val="nil"/>
            </w:tcBorders>
            <w:shd w:val="clear" w:color="auto" w:fill="auto"/>
            <w:vAlign w:val="center"/>
            <w:hideMark/>
          </w:tcPr>
          <w:p w14:paraId="20D1B62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83 175</w:t>
            </w:r>
          </w:p>
        </w:tc>
      </w:tr>
      <w:tr w:rsidR="00B73FDB" w:rsidRPr="00B73FDB" w14:paraId="1F7E352E"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34F74F9C"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8.4.9: ŠJ pri Gymnáziu, Ul.1. mája 8, Malacky </w:t>
            </w:r>
          </w:p>
        </w:tc>
        <w:tc>
          <w:tcPr>
            <w:tcW w:w="538" w:type="pct"/>
            <w:tcBorders>
              <w:top w:val="nil"/>
              <w:left w:val="nil"/>
              <w:bottom w:val="single" w:sz="8" w:space="0" w:color="DCE6F1"/>
              <w:right w:val="nil"/>
            </w:tcBorders>
            <w:shd w:val="clear" w:color="auto" w:fill="auto"/>
            <w:vAlign w:val="center"/>
            <w:hideMark/>
          </w:tcPr>
          <w:p w14:paraId="0EB5F4E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56 652</w:t>
            </w:r>
          </w:p>
        </w:tc>
        <w:tc>
          <w:tcPr>
            <w:tcW w:w="541" w:type="pct"/>
            <w:tcBorders>
              <w:top w:val="nil"/>
              <w:left w:val="nil"/>
              <w:bottom w:val="single" w:sz="8" w:space="0" w:color="DCE6F1"/>
              <w:right w:val="nil"/>
            </w:tcBorders>
            <w:shd w:val="clear" w:color="auto" w:fill="auto"/>
            <w:vAlign w:val="center"/>
            <w:hideMark/>
          </w:tcPr>
          <w:p w14:paraId="75821F7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136 969</w:t>
            </w:r>
          </w:p>
        </w:tc>
        <w:tc>
          <w:tcPr>
            <w:tcW w:w="541" w:type="pct"/>
            <w:tcBorders>
              <w:top w:val="nil"/>
              <w:left w:val="nil"/>
              <w:bottom w:val="single" w:sz="8" w:space="0" w:color="DCE6F1"/>
              <w:right w:val="nil"/>
            </w:tcBorders>
            <w:shd w:val="clear" w:color="auto" w:fill="auto"/>
            <w:vAlign w:val="center"/>
            <w:hideMark/>
          </w:tcPr>
          <w:p w14:paraId="1BFDB2E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157 933</w:t>
            </w:r>
          </w:p>
        </w:tc>
        <w:tc>
          <w:tcPr>
            <w:tcW w:w="602" w:type="pct"/>
            <w:tcBorders>
              <w:top w:val="nil"/>
              <w:left w:val="nil"/>
              <w:bottom w:val="single" w:sz="8" w:space="0" w:color="DCE6F1"/>
              <w:right w:val="nil"/>
            </w:tcBorders>
            <w:shd w:val="clear" w:color="auto" w:fill="auto"/>
            <w:vAlign w:val="center"/>
            <w:hideMark/>
          </w:tcPr>
          <w:p w14:paraId="6EC53B3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123 639</w:t>
            </w:r>
          </w:p>
        </w:tc>
      </w:tr>
      <w:tr w:rsidR="00B73FDB" w:rsidRPr="00B73FDB" w14:paraId="7A24FFFC"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47CAEB2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8.4.10: ŠJ pri Škole pre MND, Teplická 7, BA</w:t>
            </w:r>
          </w:p>
        </w:tc>
        <w:tc>
          <w:tcPr>
            <w:tcW w:w="538" w:type="pct"/>
            <w:tcBorders>
              <w:top w:val="nil"/>
              <w:left w:val="nil"/>
              <w:bottom w:val="single" w:sz="8" w:space="0" w:color="DCE6F1"/>
              <w:right w:val="nil"/>
            </w:tcBorders>
            <w:shd w:val="clear" w:color="auto" w:fill="auto"/>
            <w:vAlign w:val="center"/>
            <w:hideMark/>
          </w:tcPr>
          <w:p w14:paraId="4EACB91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51 161</w:t>
            </w:r>
          </w:p>
        </w:tc>
        <w:tc>
          <w:tcPr>
            <w:tcW w:w="541" w:type="pct"/>
            <w:tcBorders>
              <w:top w:val="nil"/>
              <w:left w:val="nil"/>
              <w:bottom w:val="single" w:sz="8" w:space="0" w:color="DCE6F1"/>
              <w:right w:val="nil"/>
            </w:tcBorders>
            <w:shd w:val="clear" w:color="auto" w:fill="auto"/>
            <w:vAlign w:val="center"/>
            <w:hideMark/>
          </w:tcPr>
          <w:p w14:paraId="5344C95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111 387</w:t>
            </w:r>
          </w:p>
        </w:tc>
        <w:tc>
          <w:tcPr>
            <w:tcW w:w="541" w:type="pct"/>
            <w:tcBorders>
              <w:top w:val="nil"/>
              <w:left w:val="nil"/>
              <w:bottom w:val="single" w:sz="8" w:space="0" w:color="DCE6F1"/>
              <w:right w:val="nil"/>
            </w:tcBorders>
            <w:shd w:val="clear" w:color="auto" w:fill="auto"/>
            <w:vAlign w:val="center"/>
            <w:hideMark/>
          </w:tcPr>
          <w:p w14:paraId="10EC2A3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142 575</w:t>
            </w:r>
          </w:p>
        </w:tc>
        <w:tc>
          <w:tcPr>
            <w:tcW w:w="602" w:type="pct"/>
            <w:tcBorders>
              <w:top w:val="nil"/>
              <w:left w:val="nil"/>
              <w:bottom w:val="single" w:sz="8" w:space="0" w:color="DCE6F1"/>
              <w:right w:val="nil"/>
            </w:tcBorders>
            <w:shd w:val="clear" w:color="auto" w:fill="auto"/>
            <w:vAlign w:val="center"/>
            <w:hideMark/>
          </w:tcPr>
          <w:p w14:paraId="4F1BD77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138 001</w:t>
            </w:r>
          </w:p>
        </w:tc>
      </w:tr>
      <w:tr w:rsidR="00B73FDB" w:rsidRPr="00B73FDB" w14:paraId="6BA394E5"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787D630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8.4.11: ŠJ pri Tanečnom konzervatóriu, Gorazdova 20, BA</w:t>
            </w:r>
          </w:p>
        </w:tc>
        <w:tc>
          <w:tcPr>
            <w:tcW w:w="538" w:type="pct"/>
            <w:tcBorders>
              <w:top w:val="nil"/>
              <w:left w:val="nil"/>
              <w:bottom w:val="single" w:sz="8" w:space="0" w:color="DCE6F1"/>
              <w:right w:val="nil"/>
            </w:tcBorders>
            <w:shd w:val="clear" w:color="auto" w:fill="auto"/>
            <w:vAlign w:val="center"/>
            <w:hideMark/>
          </w:tcPr>
          <w:p w14:paraId="7D4BEBF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53 410</w:t>
            </w:r>
          </w:p>
        </w:tc>
        <w:tc>
          <w:tcPr>
            <w:tcW w:w="541" w:type="pct"/>
            <w:tcBorders>
              <w:top w:val="nil"/>
              <w:left w:val="nil"/>
              <w:bottom w:val="single" w:sz="8" w:space="0" w:color="DCE6F1"/>
              <w:right w:val="nil"/>
            </w:tcBorders>
            <w:shd w:val="clear" w:color="auto" w:fill="auto"/>
            <w:vAlign w:val="center"/>
            <w:hideMark/>
          </w:tcPr>
          <w:p w14:paraId="64A82B0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94 209</w:t>
            </w:r>
          </w:p>
        </w:tc>
        <w:tc>
          <w:tcPr>
            <w:tcW w:w="541" w:type="pct"/>
            <w:tcBorders>
              <w:top w:val="nil"/>
              <w:left w:val="nil"/>
              <w:bottom w:val="single" w:sz="8" w:space="0" w:color="DCE6F1"/>
              <w:right w:val="nil"/>
            </w:tcBorders>
            <w:shd w:val="clear" w:color="auto" w:fill="auto"/>
            <w:vAlign w:val="center"/>
            <w:hideMark/>
          </w:tcPr>
          <w:p w14:paraId="2287DD0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109 656</w:t>
            </w:r>
          </w:p>
        </w:tc>
        <w:tc>
          <w:tcPr>
            <w:tcW w:w="602" w:type="pct"/>
            <w:tcBorders>
              <w:top w:val="nil"/>
              <w:left w:val="nil"/>
              <w:bottom w:val="single" w:sz="8" w:space="0" w:color="DCE6F1"/>
              <w:right w:val="nil"/>
            </w:tcBorders>
            <w:shd w:val="clear" w:color="auto" w:fill="auto"/>
            <w:vAlign w:val="center"/>
            <w:hideMark/>
          </w:tcPr>
          <w:p w14:paraId="5137FAF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97 035</w:t>
            </w:r>
          </w:p>
        </w:tc>
      </w:tr>
      <w:tr w:rsidR="00B73FDB" w:rsidRPr="00B73FDB" w14:paraId="24029589"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7D93F3B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8.4.12: ŠJ pri Spojenej škole, SNP 30, Ivanka pri Dunaji </w:t>
            </w:r>
          </w:p>
        </w:tc>
        <w:tc>
          <w:tcPr>
            <w:tcW w:w="538" w:type="pct"/>
            <w:tcBorders>
              <w:top w:val="nil"/>
              <w:left w:val="nil"/>
              <w:bottom w:val="single" w:sz="8" w:space="0" w:color="DCE6F1"/>
              <w:right w:val="nil"/>
            </w:tcBorders>
            <w:shd w:val="clear" w:color="auto" w:fill="auto"/>
            <w:vAlign w:val="center"/>
            <w:hideMark/>
          </w:tcPr>
          <w:p w14:paraId="2FFAEF9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66 858</w:t>
            </w:r>
          </w:p>
        </w:tc>
        <w:tc>
          <w:tcPr>
            <w:tcW w:w="541" w:type="pct"/>
            <w:tcBorders>
              <w:top w:val="nil"/>
              <w:left w:val="nil"/>
              <w:bottom w:val="single" w:sz="8" w:space="0" w:color="DCE6F1"/>
              <w:right w:val="nil"/>
            </w:tcBorders>
            <w:shd w:val="clear" w:color="auto" w:fill="auto"/>
            <w:vAlign w:val="center"/>
            <w:hideMark/>
          </w:tcPr>
          <w:p w14:paraId="48C5F11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152 961</w:t>
            </w:r>
          </w:p>
        </w:tc>
        <w:tc>
          <w:tcPr>
            <w:tcW w:w="541" w:type="pct"/>
            <w:tcBorders>
              <w:top w:val="nil"/>
              <w:left w:val="nil"/>
              <w:bottom w:val="single" w:sz="8" w:space="0" w:color="DCE6F1"/>
              <w:right w:val="nil"/>
            </w:tcBorders>
            <w:shd w:val="clear" w:color="auto" w:fill="auto"/>
            <w:vAlign w:val="center"/>
            <w:hideMark/>
          </w:tcPr>
          <w:p w14:paraId="6CBE972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259 534</w:t>
            </w:r>
          </w:p>
        </w:tc>
        <w:tc>
          <w:tcPr>
            <w:tcW w:w="602" w:type="pct"/>
            <w:tcBorders>
              <w:top w:val="nil"/>
              <w:left w:val="nil"/>
              <w:bottom w:val="single" w:sz="8" w:space="0" w:color="DCE6F1"/>
              <w:right w:val="nil"/>
            </w:tcBorders>
            <w:shd w:val="clear" w:color="auto" w:fill="auto"/>
            <w:vAlign w:val="center"/>
            <w:hideMark/>
          </w:tcPr>
          <w:p w14:paraId="66BAB6C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226 518</w:t>
            </w:r>
          </w:p>
        </w:tc>
      </w:tr>
      <w:tr w:rsidR="00B73FDB" w:rsidRPr="00B73FDB" w14:paraId="0D177924"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122F66D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8.4.13: ŠJ pri SOŠ záhradníckej, Malinovo </w:t>
            </w:r>
          </w:p>
        </w:tc>
        <w:tc>
          <w:tcPr>
            <w:tcW w:w="538" w:type="pct"/>
            <w:tcBorders>
              <w:top w:val="nil"/>
              <w:left w:val="nil"/>
              <w:bottom w:val="single" w:sz="8" w:space="0" w:color="DCE6F1"/>
              <w:right w:val="nil"/>
            </w:tcBorders>
            <w:shd w:val="clear" w:color="auto" w:fill="auto"/>
            <w:vAlign w:val="center"/>
            <w:hideMark/>
          </w:tcPr>
          <w:p w14:paraId="3F87FC5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12 987</w:t>
            </w:r>
          </w:p>
        </w:tc>
        <w:tc>
          <w:tcPr>
            <w:tcW w:w="541" w:type="pct"/>
            <w:tcBorders>
              <w:top w:val="nil"/>
              <w:left w:val="nil"/>
              <w:bottom w:val="single" w:sz="8" w:space="0" w:color="DCE6F1"/>
              <w:right w:val="nil"/>
            </w:tcBorders>
            <w:shd w:val="clear" w:color="auto" w:fill="auto"/>
            <w:vAlign w:val="center"/>
            <w:hideMark/>
          </w:tcPr>
          <w:p w14:paraId="5EE7CFE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64 161</w:t>
            </w:r>
          </w:p>
        </w:tc>
        <w:tc>
          <w:tcPr>
            <w:tcW w:w="541" w:type="pct"/>
            <w:tcBorders>
              <w:top w:val="nil"/>
              <w:left w:val="nil"/>
              <w:bottom w:val="single" w:sz="8" w:space="0" w:color="DCE6F1"/>
              <w:right w:val="nil"/>
            </w:tcBorders>
            <w:shd w:val="clear" w:color="auto" w:fill="auto"/>
            <w:vAlign w:val="center"/>
            <w:hideMark/>
          </w:tcPr>
          <w:p w14:paraId="7E206D6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52 641</w:t>
            </w:r>
          </w:p>
        </w:tc>
        <w:tc>
          <w:tcPr>
            <w:tcW w:w="602" w:type="pct"/>
            <w:tcBorders>
              <w:top w:val="nil"/>
              <w:left w:val="nil"/>
              <w:bottom w:val="single" w:sz="8" w:space="0" w:color="DCE6F1"/>
              <w:right w:val="nil"/>
            </w:tcBorders>
            <w:shd w:val="clear" w:color="auto" w:fill="auto"/>
            <w:vAlign w:val="center"/>
            <w:hideMark/>
          </w:tcPr>
          <w:p w14:paraId="3D12962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r>
      <w:tr w:rsidR="00B73FDB" w:rsidRPr="00B73FDB" w14:paraId="1241CF11"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588F102D"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8.4.14: ŠJ pri SOŠ vinársko-ovocinárskej, Kostolná 3, Modra </w:t>
            </w:r>
          </w:p>
        </w:tc>
        <w:tc>
          <w:tcPr>
            <w:tcW w:w="538" w:type="pct"/>
            <w:tcBorders>
              <w:top w:val="nil"/>
              <w:left w:val="nil"/>
              <w:bottom w:val="single" w:sz="8" w:space="0" w:color="DCE6F1"/>
              <w:right w:val="nil"/>
            </w:tcBorders>
            <w:shd w:val="clear" w:color="auto" w:fill="auto"/>
            <w:vAlign w:val="center"/>
            <w:hideMark/>
          </w:tcPr>
          <w:p w14:paraId="036C6DB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101 932</w:t>
            </w:r>
          </w:p>
        </w:tc>
        <w:tc>
          <w:tcPr>
            <w:tcW w:w="541" w:type="pct"/>
            <w:tcBorders>
              <w:top w:val="nil"/>
              <w:left w:val="nil"/>
              <w:bottom w:val="single" w:sz="8" w:space="0" w:color="DCE6F1"/>
              <w:right w:val="nil"/>
            </w:tcBorders>
            <w:shd w:val="clear" w:color="auto" w:fill="auto"/>
            <w:vAlign w:val="center"/>
            <w:hideMark/>
          </w:tcPr>
          <w:p w14:paraId="71BA818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228 430</w:t>
            </w:r>
          </w:p>
        </w:tc>
        <w:tc>
          <w:tcPr>
            <w:tcW w:w="541" w:type="pct"/>
            <w:tcBorders>
              <w:top w:val="nil"/>
              <w:left w:val="nil"/>
              <w:bottom w:val="single" w:sz="8" w:space="0" w:color="DCE6F1"/>
              <w:right w:val="nil"/>
            </w:tcBorders>
            <w:shd w:val="clear" w:color="auto" w:fill="auto"/>
            <w:vAlign w:val="center"/>
            <w:hideMark/>
          </w:tcPr>
          <w:p w14:paraId="1B08667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269 828</w:t>
            </w:r>
          </w:p>
        </w:tc>
        <w:tc>
          <w:tcPr>
            <w:tcW w:w="602" w:type="pct"/>
            <w:tcBorders>
              <w:top w:val="nil"/>
              <w:left w:val="nil"/>
              <w:bottom w:val="single" w:sz="8" w:space="0" w:color="DCE6F1"/>
              <w:right w:val="nil"/>
            </w:tcBorders>
            <w:shd w:val="clear" w:color="auto" w:fill="auto"/>
            <w:vAlign w:val="center"/>
            <w:hideMark/>
          </w:tcPr>
          <w:p w14:paraId="2C4FF39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216 000</w:t>
            </w:r>
          </w:p>
        </w:tc>
      </w:tr>
      <w:tr w:rsidR="00B73FDB" w:rsidRPr="00B73FDB" w14:paraId="35D7FA56"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01B16A6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8.4.15: ŠJ pri SOŠ informačných technológií, Hlinická 1, BA </w:t>
            </w:r>
          </w:p>
        </w:tc>
        <w:tc>
          <w:tcPr>
            <w:tcW w:w="538" w:type="pct"/>
            <w:tcBorders>
              <w:top w:val="nil"/>
              <w:left w:val="nil"/>
              <w:bottom w:val="single" w:sz="8" w:space="0" w:color="DCE6F1"/>
              <w:right w:val="nil"/>
            </w:tcBorders>
            <w:shd w:val="clear" w:color="auto" w:fill="auto"/>
            <w:vAlign w:val="center"/>
            <w:hideMark/>
          </w:tcPr>
          <w:p w14:paraId="0E4C109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33 823</w:t>
            </w:r>
          </w:p>
        </w:tc>
        <w:tc>
          <w:tcPr>
            <w:tcW w:w="541" w:type="pct"/>
            <w:tcBorders>
              <w:top w:val="nil"/>
              <w:left w:val="nil"/>
              <w:bottom w:val="single" w:sz="8" w:space="0" w:color="DCE6F1"/>
              <w:right w:val="nil"/>
            </w:tcBorders>
            <w:shd w:val="clear" w:color="auto" w:fill="auto"/>
            <w:vAlign w:val="center"/>
            <w:hideMark/>
          </w:tcPr>
          <w:p w14:paraId="17245D0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25 671</w:t>
            </w:r>
          </w:p>
        </w:tc>
        <w:tc>
          <w:tcPr>
            <w:tcW w:w="541" w:type="pct"/>
            <w:tcBorders>
              <w:top w:val="nil"/>
              <w:left w:val="nil"/>
              <w:bottom w:val="single" w:sz="8" w:space="0" w:color="DCE6F1"/>
              <w:right w:val="nil"/>
            </w:tcBorders>
            <w:shd w:val="clear" w:color="auto" w:fill="auto"/>
            <w:vAlign w:val="center"/>
            <w:hideMark/>
          </w:tcPr>
          <w:p w14:paraId="6911918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27 362</w:t>
            </w:r>
          </w:p>
        </w:tc>
        <w:tc>
          <w:tcPr>
            <w:tcW w:w="602" w:type="pct"/>
            <w:tcBorders>
              <w:top w:val="nil"/>
              <w:left w:val="nil"/>
              <w:bottom w:val="single" w:sz="8" w:space="0" w:color="DCE6F1"/>
              <w:right w:val="nil"/>
            </w:tcBorders>
            <w:shd w:val="clear" w:color="auto" w:fill="auto"/>
            <w:vAlign w:val="center"/>
            <w:hideMark/>
          </w:tcPr>
          <w:p w14:paraId="620A07B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35 206</w:t>
            </w:r>
          </w:p>
        </w:tc>
      </w:tr>
      <w:tr w:rsidR="00B73FDB" w:rsidRPr="00B73FDB" w14:paraId="64C97D85"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39AB87D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8.4.16: ŠJ pri SOŠ hotelových služieb a obchodu, Na Pántoch 9, BA </w:t>
            </w:r>
          </w:p>
        </w:tc>
        <w:tc>
          <w:tcPr>
            <w:tcW w:w="538" w:type="pct"/>
            <w:tcBorders>
              <w:top w:val="nil"/>
              <w:left w:val="nil"/>
              <w:bottom w:val="single" w:sz="8" w:space="0" w:color="DCE6F1"/>
              <w:right w:val="nil"/>
            </w:tcBorders>
            <w:shd w:val="clear" w:color="auto" w:fill="auto"/>
            <w:vAlign w:val="center"/>
            <w:hideMark/>
          </w:tcPr>
          <w:p w14:paraId="048616D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39 700</w:t>
            </w:r>
          </w:p>
        </w:tc>
        <w:tc>
          <w:tcPr>
            <w:tcW w:w="541" w:type="pct"/>
            <w:tcBorders>
              <w:top w:val="nil"/>
              <w:left w:val="nil"/>
              <w:bottom w:val="single" w:sz="8" w:space="0" w:color="DCE6F1"/>
              <w:right w:val="nil"/>
            </w:tcBorders>
            <w:shd w:val="clear" w:color="auto" w:fill="auto"/>
            <w:vAlign w:val="center"/>
            <w:hideMark/>
          </w:tcPr>
          <w:p w14:paraId="272745F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43 520</w:t>
            </w:r>
          </w:p>
        </w:tc>
        <w:tc>
          <w:tcPr>
            <w:tcW w:w="541" w:type="pct"/>
            <w:tcBorders>
              <w:top w:val="nil"/>
              <w:left w:val="nil"/>
              <w:bottom w:val="single" w:sz="8" w:space="0" w:color="DCE6F1"/>
              <w:right w:val="nil"/>
            </w:tcBorders>
            <w:shd w:val="clear" w:color="auto" w:fill="auto"/>
            <w:vAlign w:val="center"/>
            <w:hideMark/>
          </w:tcPr>
          <w:p w14:paraId="28B40B5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48 883</w:t>
            </w:r>
          </w:p>
        </w:tc>
        <w:tc>
          <w:tcPr>
            <w:tcW w:w="602" w:type="pct"/>
            <w:tcBorders>
              <w:top w:val="nil"/>
              <w:left w:val="nil"/>
              <w:bottom w:val="single" w:sz="8" w:space="0" w:color="DCE6F1"/>
              <w:right w:val="nil"/>
            </w:tcBorders>
            <w:shd w:val="clear" w:color="auto" w:fill="auto"/>
            <w:vAlign w:val="center"/>
            <w:hideMark/>
          </w:tcPr>
          <w:p w14:paraId="1E23F70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54 029</w:t>
            </w:r>
          </w:p>
        </w:tc>
      </w:tr>
      <w:tr w:rsidR="00B73FDB" w:rsidRPr="00B73FDB" w14:paraId="5F269B65"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20E1425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8.4.17: ŠJ pri SOŠ, </w:t>
            </w:r>
            <w:proofErr w:type="spellStart"/>
            <w:r w:rsidRPr="00B73FDB">
              <w:rPr>
                <w:rFonts w:cs="Calibri"/>
                <w:color w:val="000000"/>
                <w:sz w:val="20"/>
                <w:szCs w:val="20"/>
                <w:lang w:eastAsia="sk-SK"/>
              </w:rPr>
              <w:t>Myslenická</w:t>
            </w:r>
            <w:proofErr w:type="spellEnd"/>
            <w:r w:rsidRPr="00B73FDB">
              <w:rPr>
                <w:rFonts w:cs="Calibri"/>
                <w:color w:val="000000"/>
                <w:sz w:val="20"/>
                <w:szCs w:val="20"/>
                <w:lang w:eastAsia="sk-SK"/>
              </w:rPr>
              <w:t xml:space="preserve"> 1, Pezinok </w:t>
            </w:r>
          </w:p>
        </w:tc>
        <w:tc>
          <w:tcPr>
            <w:tcW w:w="538" w:type="pct"/>
            <w:tcBorders>
              <w:top w:val="nil"/>
              <w:left w:val="nil"/>
              <w:bottom w:val="single" w:sz="8" w:space="0" w:color="DCE6F1"/>
              <w:right w:val="nil"/>
            </w:tcBorders>
            <w:shd w:val="clear" w:color="auto" w:fill="auto"/>
            <w:vAlign w:val="center"/>
            <w:hideMark/>
          </w:tcPr>
          <w:p w14:paraId="7CB9DF9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41 470</w:t>
            </w:r>
          </w:p>
        </w:tc>
        <w:tc>
          <w:tcPr>
            <w:tcW w:w="541" w:type="pct"/>
            <w:tcBorders>
              <w:top w:val="nil"/>
              <w:left w:val="nil"/>
              <w:bottom w:val="single" w:sz="8" w:space="0" w:color="DCE6F1"/>
              <w:right w:val="nil"/>
            </w:tcBorders>
            <w:shd w:val="clear" w:color="auto" w:fill="auto"/>
            <w:vAlign w:val="center"/>
            <w:hideMark/>
          </w:tcPr>
          <w:p w14:paraId="01C3663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130 661</w:t>
            </w:r>
          </w:p>
        </w:tc>
        <w:tc>
          <w:tcPr>
            <w:tcW w:w="541" w:type="pct"/>
            <w:tcBorders>
              <w:top w:val="nil"/>
              <w:left w:val="nil"/>
              <w:bottom w:val="single" w:sz="8" w:space="0" w:color="DCE6F1"/>
              <w:right w:val="nil"/>
            </w:tcBorders>
            <w:shd w:val="clear" w:color="auto" w:fill="auto"/>
            <w:vAlign w:val="center"/>
            <w:hideMark/>
          </w:tcPr>
          <w:p w14:paraId="40362FF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144 208</w:t>
            </w:r>
          </w:p>
        </w:tc>
        <w:tc>
          <w:tcPr>
            <w:tcW w:w="602" w:type="pct"/>
            <w:tcBorders>
              <w:top w:val="nil"/>
              <w:left w:val="nil"/>
              <w:bottom w:val="single" w:sz="8" w:space="0" w:color="DCE6F1"/>
              <w:right w:val="nil"/>
            </w:tcBorders>
            <w:shd w:val="clear" w:color="auto" w:fill="auto"/>
            <w:vAlign w:val="center"/>
            <w:hideMark/>
          </w:tcPr>
          <w:p w14:paraId="79DAEF9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135 288</w:t>
            </w:r>
          </w:p>
        </w:tc>
      </w:tr>
      <w:tr w:rsidR="00B73FDB" w:rsidRPr="00B73FDB" w14:paraId="4C8008B1"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6724513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8.4.18: ŠJ pri SOŠ, Račianska 105, BA </w:t>
            </w:r>
          </w:p>
        </w:tc>
        <w:tc>
          <w:tcPr>
            <w:tcW w:w="538" w:type="pct"/>
            <w:tcBorders>
              <w:top w:val="nil"/>
              <w:left w:val="nil"/>
              <w:bottom w:val="single" w:sz="8" w:space="0" w:color="DCE6F1"/>
              <w:right w:val="nil"/>
            </w:tcBorders>
            <w:shd w:val="clear" w:color="auto" w:fill="auto"/>
            <w:vAlign w:val="center"/>
            <w:hideMark/>
          </w:tcPr>
          <w:p w14:paraId="774CE83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29 780</w:t>
            </w:r>
          </w:p>
        </w:tc>
        <w:tc>
          <w:tcPr>
            <w:tcW w:w="541" w:type="pct"/>
            <w:tcBorders>
              <w:top w:val="nil"/>
              <w:left w:val="nil"/>
              <w:bottom w:val="single" w:sz="8" w:space="0" w:color="DCE6F1"/>
              <w:right w:val="nil"/>
            </w:tcBorders>
            <w:shd w:val="clear" w:color="auto" w:fill="auto"/>
            <w:vAlign w:val="center"/>
            <w:hideMark/>
          </w:tcPr>
          <w:p w14:paraId="5C76B25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27 953</w:t>
            </w:r>
          </w:p>
        </w:tc>
        <w:tc>
          <w:tcPr>
            <w:tcW w:w="541" w:type="pct"/>
            <w:tcBorders>
              <w:top w:val="nil"/>
              <w:left w:val="nil"/>
              <w:bottom w:val="single" w:sz="8" w:space="0" w:color="DCE6F1"/>
              <w:right w:val="nil"/>
            </w:tcBorders>
            <w:shd w:val="clear" w:color="auto" w:fill="auto"/>
            <w:vAlign w:val="center"/>
            <w:hideMark/>
          </w:tcPr>
          <w:p w14:paraId="50A4C4B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47 960</w:t>
            </w:r>
          </w:p>
        </w:tc>
        <w:tc>
          <w:tcPr>
            <w:tcW w:w="602" w:type="pct"/>
            <w:tcBorders>
              <w:top w:val="nil"/>
              <w:left w:val="nil"/>
              <w:bottom w:val="single" w:sz="8" w:space="0" w:color="DCE6F1"/>
              <w:right w:val="nil"/>
            </w:tcBorders>
            <w:shd w:val="clear" w:color="auto" w:fill="auto"/>
            <w:vAlign w:val="center"/>
            <w:hideMark/>
          </w:tcPr>
          <w:p w14:paraId="5C1C80A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46 650</w:t>
            </w:r>
          </w:p>
        </w:tc>
      </w:tr>
      <w:tr w:rsidR="00B73FDB" w:rsidRPr="00B73FDB" w14:paraId="33505FEB"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66DA447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8.4.19: ŠJ pri Hotelovej akadémii, </w:t>
            </w:r>
            <w:proofErr w:type="spellStart"/>
            <w:r w:rsidRPr="00B73FDB">
              <w:rPr>
                <w:rFonts w:cs="Calibri"/>
                <w:color w:val="000000"/>
                <w:sz w:val="20"/>
                <w:szCs w:val="20"/>
                <w:lang w:eastAsia="sk-SK"/>
              </w:rPr>
              <w:t>Mikovíniho</w:t>
            </w:r>
            <w:proofErr w:type="spellEnd"/>
            <w:r w:rsidRPr="00B73FDB">
              <w:rPr>
                <w:rFonts w:cs="Calibri"/>
                <w:color w:val="000000"/>
                <w:sz w:val="20"/>
                <w:szCs w:val="20"/>
                <w:lang w:eastAsia="sk-SK"/>
              </w:rPr>
              <w:t xml:space="preserve"> 1, BA </w:t>
            </w:r>
          </w:p>
        </w:tc>
        <w:tc>
          <w:tcPr>
            <w:tcW w:w="538" w:type="pct"/>
            <w:tcBorders>
              <w:top w:val="nil"/>
              <w:left w:val="nil"/>
              <w:bottom w:val="single" w:sz="8" w:space="0" w:color="DCE6F1"/>
              <w:right w:val="nil"/>
            </w:tcBorders>
            <w:shd w:val="clear" w:color="auto" w:fill="auto"/>
            <w:vAlign w:val="center"/>
            <w:hideMark/>
          </w:tcPr>
          <w:p w14:paraId="5E81851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9 660</w:t>
            </w:r>
          </w:p>
        </w:tc>
        <w:tc>
          <w:tcPr>
            <w:tcW w:w="541" w:type="pct"/>
            <w:tcBorders>
              <w:top w:val="nil"/>
              <w:left w:val="nil"/>
              <w:bottom w:val="single" w:sz="8" w:space="0" w:color="DCE6F1"/>
              <w:right w:val="nil"/>
            </w:tcBorders>
            <w:shd w:val="clear" w:color="auto" w:fill="auto"/>
            <w:vAlign w:val="center"/>
            <w:hideMark/>
          </w:tcPr>
          <w:p w14:paraId="29DB808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9 589</w:t>
            </w:r>
          </w:p>
        </w:tc>
        <w:tc>
          <w:tcPr>
            <w:tcW w:w="541" w:type="pct"/>
            <w:tcBorders>
              <w:top w:val="nil"/>
              <w:left w:val="nil"/>
              <w:bottom w:val="single" w:sz="8" w:space="0" w:color="DCE6F1"/>
              <w:right w:val="nil"/>
            </w:tcBorders>
            <w:shd w:val="clear" w:color="auto" w:fill="auto"/>
            <w:vAlign w:val="center"/>
            <w:hideMark/>
          </w:tcPr>
          <w:p w14:paraId="64DD6A5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36 622</w:t>
            </w:r>
          </w:p>
        </w:tc>
        <w:tc>
          <w:tcPr>
            <w:tcW w:w="602" w:type="pct"/>
            <w:tcBorders>
              <w:top w:val="nil"/>
              <w:left w:val="nil"/>
              <w:bottom w:val="single" w:sz="8" w:space="0" w:color="DCE6F1"/>
              <w:right w:val="nil"/>
            </w:tcBorders>
            <w:shd w:val="clear" w:color="auto" w:fill="auto"/>
            <w:vAlign w:val="center"/>
            <w:hideMark/>
          </w:tcPr>
          <w:p w14:paraId="1D46770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42 825</w:t>
            </w:r>
          </w:p>
        </w:tc>
      </w:tr>
      <w:tr w:rsidR="00B73FDB" w:rsidRPr="00B73FDB" w14:paraId="267EDC02"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2D7C8C32"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8.4.20: ŠJ pri SOŠ polygrafickej, Račianska 190, BA</w:t>
            </w:r>
          </w:p>
        </w:tc>
        <w:tc>
          <w:tcPr>
            <w:tcW w:w="538" w:type="pct"/>
            <w:tcBorders>
              <w:top w:val="nil"/>
              <w:left w:val="nil"/>
              <w:bottom w:val="single" w:sz="8" w:space="0" w:color="DCE6F1"/>
              <w:right w:val="nil"/>
            </w:tcBorders>
            <w:shd w:val="clear" w:color="auto" w:fill="auto"/>
            <w:vAlign w:val="center"/>
            <w:hideMark/>
          </w:tcPr>
          <w:p w14:paraId="1E1B1B2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43 050</w:t>
            </w:r>
          </w:p>
        </w:tc>
        <w:tc>
          <w:tcPr>
            <w:tcW w:w="541" w:type="pct"/>
            <w:tcBorders>
              <w:top w:val="nil"/>
              <w:left w:val="nil"/>
              <w:bottom w:val="single" w:sz="8" w:space="0" w:color="DCE6F1"/>
              <w:right w:val="nil"/>
            </w:tcBorders>
            <w:shd w:val="clear" w:color="auto" w:fill="auto"/>
            <w:vAlign w:val="center"/>
            <w:hideMark/>
          </w:tcPr>
          <w:p w14:paraId="10EC86F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52 269</w:t>
            </w:r>
          </w:p>
        </w:tc>
        <w:tc>
          <w:tcPr>
            <w:tcW w:w="541" w:type="pct"/>
            <w:tcBorders>
              <w:top w:val="nil"/>
              <w:left w:val="nil"/>
              <w:bottom w:val="single" w:sz="8" w:space="0" w:color="DCE6F1"/>
              <w:right w:val="nil"/>
            </w:tcBorders>
            <w:shd w:val="clear" w:color="auto" w:fill="auto"/>
            <w:vAlign w:val="center"/>
            <w:hideMark/>
          </w:tcPr>
          <w:p w14:paraId="5D02CAF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61 609</w:t>
            </w:r>
          </w:p>
        </w:tc>
        <w:tc>
          <w:tcPr>
            <w:tcW w:w="602" w:type="pct"/>
            <w:tcBorders>
              <w:top w:val="nil"/>
              <w:left w:val="nil"/>
              <w:bottom w:val="single" w:sz="8" w:space="0" w:color="DCE6F1"/>
              <w:right w:val="nil"/>
            </w:tcBorders>
            <w:shd w:val="clear" w:color="auto" w:fill="auto"/>
            <w:vAlign w:val="center"/>
            <w:hideMark/>
          </w:tcPr>
          <w:p w14:paraId="4F31044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83 100</w:t>
            </w:r>
          </w:p>
        </w:tc>
      </w:tr>
      <w:tr w:rsidR="00B73FDB" w:rsidRPr="00B73FDB" w14:paraId="4C75747C" w14:textId="77777777" w:rsidTr="00B73FDB">
        <w:trPr>
          <w:trHeight w:hRule="exact" w:val="315"/>
        </w:trPr>
        <w:tc>
          <w:tcPr>
            <w:tcW w:w="2778" w:type="pct"/>
            <w:tcBorders>
              <w:top w:val="nil"/>
              <w:left w:val="nil"/>
              <w:bottom w:val="single" w:sz="8" w:space="0" w:color="DCE6F1"/>
              <w:right w:val="nil"/>
            </w:tcBorders>
            <w:shd w:val="clear" w:color="auto" w:fill="auto"/>
            <w:noWrap/>
            <w:vAlign w:val="center"/>
            <w:hideMark/>
          </w:tcPr>
          <w:p w14:paraId="6BCB10FD"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8.4.21: ŠJ pri SOŠ, Kysucká 14, Senec </w:t>
            </w:r>
          </w:p>
        </w:tc>
        <w:tc>
          <w:tcPr>
            <w:tcW w:w="538" w:type="pct"/>
            <w:tcBorders>
              <w:top w:val="nil"/>
              <w:left w:val="nil"/>
              <w:bottom w:val="single" w:sz="8" w:space="0" w:color="DCE6F1"/>
              <w:right w:val="nil"/>
            </w:tcBorders>
            <w:shd w:val="clear" w:color="auto" w:fill="auto"/>
            <w:vAlign w:val="center"/>
            <w:hideMark/>
          </w:tcPr>
          <w:p w14:paraId="6857B91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8 343</w:t>
            </w:r>
          </w:p>
        </w:tc>
        <w:tc>
          <w:tcPr>
            <w:tcW w:w="541" w:type="pct"/>
            <w:tcBorders>
              <w:top w:val="nil"/>
              <w:left w:val="nil"/>
              <w:bottom w:val="single" w:sz="8" w:space="0" w:color="DCE6F1"/>
              <w:right w:val="nil"/>
            </w:tcBorders>
            <w:shd w:val="clear" w:color="auto" w:fill="auto"/>
            <w:vAlign w:val="center"/>
            <w:hideMark/>
          </w:tcPr>
          <w:p w14:paraId="08637E1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8 823</w:t>
            </w:r>
          </w:p>
        </w:tc>
        <w:tc>
          <w:tcPr>
            <w:tcW w:w="541" w:type="pct"/>
            <w:tcBorders>
              <w:top w:val="nil"/>
              <w:left w:val="nil"/>
              <w:bottom w:val="single" w:sz="8" w:space="0" w:color="DCE6F1"/>
              <w:right w:val="nil"/>
            </w:tcBorders>
            <w:shd w:val="clear" w:color="auto" w:fill="auto"/>
            <w:vAlign w:val="center"/>
            <w:hideMark/>
          </w:tcPr>
          <w:p w14:paraId="6BE92C0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10 535</w:t>
            </w:r>
          </w:p>
        </w:tc>
        <w:tc>
          <w:tcPr>
            <w:tcW w:w="602" w:type="pct"/>
            <w:tcBorders>
              <w:top w:val="nil"/>
              <w:left w:val="nil"/>
              <w:bottom w:val="single" w:sz="8" w:space="0" w:color="DCE6F1"/>
              <w:right w:val="nil"/>
            </w:tcBorders>
            <w:shd w:val="clear" w:color="auto" w:fill="auto"/>
            <w:vAlign w:val="center"/>
            <w:hideMark/>
          </w:tcPr>
          <w:p w14:paraId="6B4B8D3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13 972</w:t>
            </w:r>
          </w:p>
        </w:tc>
      </w:tr>
      <w:tr w:rsidR="00B73FDB" w:rsidRPr="00B73FDB" w14:paraId="5B4E8E89" w14:textId="77777777" w:rsidTr="00B73FDB">
        <w:trPr>
          <w:trHeight w:val="300"/>
        </w:trPr>
        <w:tc>
          <w:tcPr>
            <w:tcW w:w="2778" w:type="pct"/>
            <w:tcBorders>
              <w:top w:val="single" w:sz="8" w:space="0" w:color="DCE6F1"/>
              <w:left w:val="nil"/>
              <w:bottom w:val="single" w:sz="8" w:space="0" w:color="DCE6F1"/>
              <w:right w:val="nil"/>
            </w:tcBorders>
            <w:shd w:val="clear" w:color="auto" w:fill="auto"/>
            <w:noWrap/>
            <w:vAlign w:val="center"/>
            <w:hideMark/>
          </w:tcPr>
          <w:p w14:paraId="51029C7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8.4.22: ŠJ pri Gymnáziu, </w:t>
            </w:r>
            <w:proofErr w:type="spellStart"/>
            <w:r w:rsidRPr="00B73FDB">
              <w:rPr>
                <w:rFonts w:cs="Calibri"/>
                <w:color w:val="000000"/>
                <w:sz w:val="20"/>
                <w:szCs w:val="20"/>
                <w:lang w:eastAsia="sk-SK"/>
              </w:rPr>
              <w:t>Grosslingova</w:t>
            </w:r>
            <w:proofErr w:type="spellEnd"/>
            <w:r w:rsidRPr="00B73FDB">
              <w:rPr>
                <w:rFonts w:cs="Calibri"/>
                <w:color w:val="000000"/>
                <w:sz w:val="20"/>
                <w:szCs w:val="20"/>
                <w:lang w:eastAsia="sk-SK"/>
              </w:rPr>
              <w:t xml:space="preserve"> 18, BA</w:t>
            </w:r>
          </w:p>
        </w:tc>
        <w:tc>
          <w:tcPr>
            <w:tcW w:w="538" w:type="pct"/>
            <w:tcBorders>
              <w:top w:val="single" w:sz="8" w:space="0" w:color="DCE6F1"/>
              <w:left w:val="nil"/>
              <w:bottom w:val="single" w:sz="8" w:space="0" w:color="DCE6F1"/>
              <w:right w:val="nil"/>
            </w:tcBorders>
            <w:shd w:val="clear" w:color="auto" w:fill="auto"/>
            <w:vAlign w:val="center"/>
            <w:hideMark/>
          </w:tcPr>
          <w:p w14:paraId="6C39CF9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41" w:type="pct"/>
            <w:tcBorders>
              <w:top w:val="single" w:sz="8" w:space="0" w:color="DCE6F1"/>
              <w:left w:val="nil"/>
              <w:bottom w:val="single" w:sz="8" w:space="0" w:color="DCE6F1"/>
              <w:right w:val="nil"/>
            </w:tcBorders>
            <w:shd w:val="clear" w:color="auto" w:fill="auto"/>
            <w:vAlign w:val="center"/>
            <w:hideMark/>
          </w:tcPr>
          <w:p w14:paraId="00DD6A1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87 132</w:t>
            </w:r>
          </w:p>
        </w:tc>
        <w:tc>
          <w:tcPr>
            <w:tcW w:w="541" w:type="pct"/>
            <w:tcBorders>
              <w:top w:val="single" w:sz="8" w:space="0" w:color="DCE6F1"/>
              <w:left w:val="nil"/>
              <w:bottom w:val="single" w:sz="8" w:space="0" w:color="DCE6F1"/>
              <w:right w:val="nil"/>
            </w:tcBorders>
            <w:shd w:val="clear" w:color="auto" w:fill="auto"/>
            <w:vAlign w:val="center"/>
            <w:hideMark/>
          </w:tcPr>
          <w:p w14:paraId="493C8C1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211 511</w:t>
            </w:r>
          </w:p>
        </w:tc>
        <w:tc>
          <w:tcPr>
            <w:tcW w:w="602" w:type="pct"/>
            <w:tcBorders>
              <w:top w:val="single" w:sz="8" w:space="0" w:color="DCE6F1"/>
              <w:left w:val="nil"/>
              <w:bottom w:val="single" w:sz="8" w:space="0" w:color="DCE6F1"/>
              <w:right w:val="nil"/>
            </w:tcBorders>
            <w:shd w:val="clear" w:color="auto" w:fill="auto"/>
            <w:vAlign w:val="center"/>
            <w:hideMark/>
          </w:tcPr>
          <w:p w14:paraId="32D61E2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155 072</w:t>
            </w:r>
          </w:p>
        </w:tc>
      </w:tr>
      <w:tr w:rsidR="00B73FDB" w:rsidRPr="00B73FDB" w14:paraId="6D8DBD9A" w14:textId="77777777" w:rsidTr="00B73FDB">
        <w:trPr>
          <w:trHeight w:val="300"/>
        </w:trPr>
        <w:tc>
          <w:tcPr>
            <w:tcW w:w="2778" w:type="pct"/>
            <w:tcBorders>
              <w:top w:val="single" w:sz="8" w:space="0" w:color="DCE6F1"/>
              <w:left w:val="nil"/>
              <w:bottom w:val="single" w:sz="8" w:space="0" w:color="DCE6F1"/>
              <w:right w:val="nil"/>
            </w:tcBorders>
            <w:shd w:val="clear" w:color="auto" w:fill="auto"/>
            <w:noWrap/>
            <w:vAlign w:val="center"/>
          </w:tcPr>
          <w:p w14:paraId="6FBF009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8.4.23: ŠJ pri Spojenej škole, Malinovo</w:t>
            </w:r>
          </w:p>
        </w:tc>
        <w:tc>
          <w:tcPr>
            <w:tcW w:w="538" w:type="pct"/>
            <w:tcBorders>
              <w:top w:val="single" w:sz="8" w:space="0" w:color="DCE6F1"/>
              <w:left w:val="nil"/>
              <w:bottom w:val="single" w:sz="8" w:space="0" w:color="DCE6F1"/>
              <w:right w:val="nil"/>
            </w:tcBorders>
            <w:shd w:val="clear" w:color="auto" w:fill="auto"/>
            <w:vAlign w:val="center"/>
          </w:tcPr>
          <w:p w14:paraId="0D86DDD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41" w:type="pct"/>
            <w:tcBorders>
              <w:top w:val="single" w:sz="8" w:space="0" w:color="DCE6F1"/>
              <w:left w:val="nil"/>
              <w:bottom w:val="single" w:sz="8" w:space="0" w:color="DCE6F1"/>
              <w:right w:val="nil"/>
            </w:tcBorders>
            <w:shd w:val="clear" w:color="auto" w:fill="auto"/>
            <w:vAlign w:val="center"/>
          </w:tcPr>
          <w:p w14:paraId="09F8C56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41" w:type="pct"/>
            <w:tcBorders>
              <w:top w:val="single" w:sz="8" w:space="0" w:color="DCE6F1"/>
              <w:left w:val="nil"/>
              <w:bottom w:val="single" w:sz="8" w:space="0" w:color="DCE6F1"/>
              <w:right w:val="nil"/>
            </w:tcBorders>
            <w:shd w:val="clear" w:color="auto" w:fill="auto"/>
            <w:vAlign w:val="center"/>
          </w:tcPr>
          <w:p w14:paraId="27B949B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56 896</w:t>
            </w:r>
          </w:p>
        </w:tc>
        <w:tc>
          <w:tcPr>
            <w:tcW w:w="602" w:type="pct"/>
            <w:tcBorders>
              <w:top w:val="single" w:sz="8" w:space="0" w:color="DCE6F1"/>
              <w:left w:val="nil"/>
              <w:bottom w:val="single" w:sz="8" w:space="0" w:color="DCE6F1"/>
              <w:right w:val="nil"/>
            </w:tcBorders>
            <w:shd w:val="clear" w:color="auto" w:fill="auto"/>
            <w:vAlign w:val="center"/>
          </w:tcPr>
          <w:p w14:paraId="0A4E011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152 840</w:t>
            </w:r>
          </w:p>
        </w:tc>
      </w:tr>
      <w:tr w:rsidR="00B73FDB" w:rsidRPr="00B73FDB" w14:paraId="7D3AB961" w14:textId="77777777" w:rsidTr="00B73FDB">
        <w:trPr>
          <w:trHeight w:val="300"/>
        </w:trPr>
        <w:tc>
          <w:tcPr>
            <w:tcW w:w="2778" w:type="pct"/>
            <w:tcBorders>
              <w:top w:val="single" w:sz="8" w:space="0" w:color="DCE6F1"/>
              <w:left w:val="nil"/>
              <w:bottom w:val="nil"/>
              <w:right w:val="nil"/>
            </w:tcBorders>
            <w:shd w:val="clear" w:color="auto" w:fill="auto"/>
            <w:noWrap/>
            <w:vAlign w:val="center"/>
          </w:tcPr>
          <w:p w14:paraId="71AFB7C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8.4.24: ŠJ pri Spojenej škole, </w:t>
            </w:r>
            <w:proofErr w:type="spellStart"/>
            <w:r w:rsidRPr="00B73FDB">
              <w:rPr>
                <w:rFonts w:cs="Calibri"/>
                <w:color w:val="000000"/>
                <w:sz w:val="20"/>
                <w:szCs w:val="20"/>
                <w:lang w:eastAsia="sk-SK"/>
              </w:rPr>
              <w:t>Ostredkova</w:t>
            </w:r>
            <w:proofErr w:type="spellEnd"/>
            <w:r w:rsidRPr="00B73FDB">
              <w:rPr>
                <w:rFonts w:cs="Calibri"/>
                <w:color w:val="000000"/>
                <w:sz w:val="20"/>
                <w:szCs w:val="20"/>
                <w:lang w:eastAsia="sk-SK"/>
              </w:rPr>
              <w:t xml:space="preserve"> 10, BA</w:t>
            </w:r>
          </w:p>
        </w:tc>
        <w:tc>
          <w:tcPr>
            <w:tcW w:w="538" w:type="pct"/>
            <w:tcBorders>
              <w:top w:val="single" w:sz="8" w:space="0" w:color="DCE6F1"/>
              <w:left w:val="nil"/>
              <w:bottom w:val="nil"/>
              <w:right w:val="nil"/>
            </w:tcBorders>
            <w:shd w:val="clear" w:color="auto" w:fill="auto"/>
            <w:vAlign w:val="center"/>
          </w:tcPr>
          <w:p w14:paraId="7D2935D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41" w:type="pct"/>
            <w:tcBorders>
              <w:top w:val="single" w:sz="8" w:space="0" w:color="DCE6F1"/>
              <w:left w:val="nil"/>
              <w:bottom w:val="nil"/>
              <w:right w:val="nil"/>
            </w:tcBorders>
            <w:shd w:val="clear" w:color="auto" w:fill="auto"/>
            <w:vAlign w:val="center"/>
          </w:tcPr>
          <w:p w14:paraId="3104358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41" w:type="pct"/>
            <w:tcBorders>
              <w:top w:val="single" w:sz="8" w:space="0" w:color="DCE6F1"/>
              <w:left w:val="nil"/>
              <w:bottom w:val="nil"/>
              <w:right w:val="nil"/>
            </w:tcBorders>
            <w:shd w:val="clear" w:color="auto" w:fill="auto"/>
            <w:vAlign w:val="center"/>
          </w:tcPr>
          <w:p w14:paraId="0986589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602" w:type="pct"/>
            <w:tcBorders>
              <w:top w:val="single" w:sz="8" w:space="0" w:color="DCE6F1"/>
              <w:left w:val="nil"/>
              <w:bottom w:val="nil"/>
              <w:right w:val="nil"/>
            </w:tcBorders>
            <w:shd w:val="clear" w:color="auto" w:fill="auto"/>
            <w:vAlign w:val="center"/>
          </w:tcPr>
          <w:p w14:paraId="02010C1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73 358</w:t>
            </w:r>
          </w:p>
        </w:tc>
      </w:tr>
      <w:tr w:rsidR="00B73FDB" w:rsidRPr="00B73FDB" w14:paraId="6422E5ED" w14:textId="77777777" w:rsidTr="00B73FDB">
        <w:trPr>
          <w:trHeight w:val="300"/>
        </w:trPr>
        <w:tc>
          <w:tcPr>
            <w:tcW w:w="2778" w:type="pct"/>
            <w:tcBorders>
              <w:top w:val="single" w:sz="8" w:space="0" w:color="DCE6F1"/>
              <w:left w:val="nil"/>
              <w:bottom w:val="nil"/>
              <w:right w:val="nil"/>
            </w:tcBorders>
            <w:shd w:val="clear" w:color="auto" w:fill="auto"/>
            <w:noWrap/>
            <w:vAlign w:val="center"/>
          </w:tcPr>
          <w:p w14:paraId="50E6C05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8.4.25: ŠJ pri Spojenej škole, Pankúchova 6, BA</w:t>
            </w:r>
          </w:p>
        </w:tc>
        <w:tc>
          <w:tcPr>
            <w:tcW w:w="538" w:type="pct"/>
            <w:tcBorders>
              <w:top w:val="single" w:sz="8" w:space="0" w:color="DCE6F1"/>
              <w:left w:val="nil"/>
              <w:bottom w:val="nil"/>
              <w:right w:val="nil"/>
            </w:tcBorders>
            <w:shd w:val="clear" w:color="auto" w:fill="auto"/>
            <w:vAlign w:val="center"/>
          </w:tcPr>
          <w:p w14:paraId="3F6CBA9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41" w:type="pct"/>
            <w:tcBorders>
              <w:top w:val="single" w:sz="8" w:space="0" w:color="DCE6F1"/>
              <w:left w:val="nil"/>
              <w:bottom w:val="nil"/>
              <w:right w:val="nil"/>
            </w:tcBorders>
            <w:shd w:val="clear" w:color="auto" w:fill="auto"/>
            <w:vAlign w:val="center"/>
          </w:tcPr>
          <w:p w14:paraId="493E300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41" w:type="pct"/>
            <w:tcBorders>
              <w:top w:val="single" w:sz="8" w:space="0" w:color="DCE6F1"/>
              <w:left w:val="nil"/>
              <w:bottom w:val="nil"/>
              <w:right w:val="nil"/>
            </w:tcBorders>
            <w:shd w:val="clear" w:color="auto" w:fill="auto"/>
            <w:vAlign w:val="center"/>
          </w:tcPr>
          <w:p w14:paraId="71C5773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602" w:type="pct"/>
            <w:tcBorders>
              <w:top w:val="single" w:sz="8" w:space="0" w:color="DCE6F1"/>
              <w:left w:val="nil"/>
              <w:bottom w:val="nil"/>
              <w:right w:val="nil"/>
            </w:tcBorders>
            <w:shd w:val="clear" w:color="auto" w:fill="auto"/>
            <w:vAlign w:val="center"/>
          </w:tcPr>
          <w:p w14:paraId="3F7AC6A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77 966</w:t>
            </w:r>
          </w:p>
        </w:tc>
      </w:tr>
      <w:tr w:rsidR="00B73FDB" w:rsidRPr="00B73FDB" w14:paraId="110BF382" w14:textId="77777777" w:rsidTr="00B73FDB">
        <w:trPr>
          <w:trHeight w:hRule="exact" w:val="330"/>
        </w:trPr>
        <w:tc>
          <w:tcPr>
            <w:tcW w:w="2778" w:type="pct"/>
            <w:tcBorders>
              <w:top w:val="nil"/>
              <w:left w:val="nil"/>
              <w:bottom w:val="single" w:sz="8" w:space="0" w:color="4F81BD"/>
              <w:right w:val="nil"/>
            </w:tcBorders>
            <w:shd w:val="clear" w:color="000000" w:fill="DCE6F1"/>
            <w:noWrap/>
            <w:vAlign w:val="center"/>
            <w:hideMark/>
          </w:tcPr>
          <w:p w14:paraId="29DBB454"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Celkom</w:t>
            </w:r>
          </w:p>
        </w:tc>
        <w:tc>
          <w:tcPr>
            <w:tcW w:w="538" w:type="pct"/>
            <w:tcBorders>
              <w:top w:val="nil"/>
              <w:left w:val="nil"/>
              <w:bottom w:val="single" w:sz="8" w:space="0" w:color="4F81BD"/>
              <w:right w:val="nil"/>
            </w:tcBorders>
            <w:shd w:val="clear" w:color="000000" w:fill="DCE6F1"/>
            <w:vAlign w:val="center"/>
            <w:hideMark/>
          </w:tcPr>
          <w:p w14:paraId="6CA1BE53"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1 114 087</w:t>
            </w:r>
          </w:p>
        </w:tc>
        <w:tc>
          <w:tcPr>
            <w:tcW w:w="541" w:type="pct"/>
            <w:tcBorders>
              <w:top w:val="nil"/>
              <w:left w:val="nil"/>
              <w:bottom w:val="single" w:sz="8" w:space="0" w:color="4F81BD"/>
              <w:right w:val="nil"/>
            </w:tcBorders>
            <w:shd w:val="clear" w:color="000000" w:fill="DCE6F1"/>
            <w:vAlign w:val="center"/>
            <w:hideMark/>
          </w:tcPr>
          <w:p w14:paraId="140F5EC1"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2 346 871</w:t>
            </w:r>
          </w:p>
        </w:tc>
        <w:tc>
          <w:tcPr>
            <w:tcW w:w="541" w:type="pct"/>
            <w:tcBorders>
              <w:top w:val="nil"/>
              <w:left w:val="nil"/>
              <w:bottom w:val="single" w:sz="8" w:space="0" w:color="4F81BD"/>
              <w:right w:val="nil"/>
            </w:tcBorders>
            <w:shd w:val="clear" w:color="000000" w:fill="DCE6F1"/>
            <w:vAlign w:val="center"/>
            <w:hideMark/>
          </w:tcPr>
          <w:p w14:paraId="2CB2DB78"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3  015 385</w:t>
            </w:r>
          </w:p>
        </w:tc>
        <w:tc>
          <w:tcPr>
            <w:tcW w:w="602" w:type="pct"/>
            <w:tcBorders>
              <w:top w:val="nil"/>
              <w:left w:val="nil"/>
              <w:bottom w:val="single" w:sz="8" w:space="0" w:color="4F81BD"/>
              <w:right w:val="nil"/>
            </w:tcBorders>
            <w:shd w:val="clear" w:color="000000" w:fill="DCE6F1"/>
            <w:vAlign w:val="center"/>
            <w:hideMark/>
          </w:tcPr>
          <w:p w14:paraId="649A5DC3"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2 675 555</w:t>
            </w:r>
          </w:p>
        </w:tc>
      </w:tr>
    </w:tbl>
    <w:p w14:paraId="12898AC3" w14:textId="77777777" w:rsidR="00B73FDB" w:rsidRPr="00B73FDB" w:rsidRDefault="00B73FDB" w:rsidP="00B73FDB">
      <w:pPr>
        <w:spacing w:before="100" w:beforeAutospacing="1" w:after="0" w:line="240" w:lineRule="auto"/>
        <w:jc w:val="both"/>
        <w:rPr>
          <w:rFonts w:cs="Calibri"/>
          <w:sz w:val="24"/>
          <w:szCs w:val="24"/>
          <w:lang w:eastAsia="sk-SK"/>
        </w:rPr>
      </w:pPr>
    </w:p>
    <w:p w14:paraId="419D07B9" w14:textId="77777777" w:rsidR="00B73FDB" w:rsidRPr="00B73FDB" w:rsidRDefault="00B73FDB" w:rsidP="00B73FDB">
      <w:pPr>
        <w:spacing w:before="100" w:beforeAutospacing="1" w:after="0" w:line="240" w:lineRule="auto"/>
        <w:jc w:val="both"/>
        <w:rPr>
          <w:rFonts w:cs="Calibri"/>
          <w:sz w:val="24"/>
          <w:szCs w:val="24"/>
          <w:lang w:eastAsia="sk-SK"/>
        </w:rPr>
      </w:pPr>
      <w:r w:rsidRPr="00B73FDB">
        <w:rPr>
          <w:rFonts w:cs="Calibri"/>
          <w:sz w:val="24"/>
          <w:szCs w:val="24"/>
          <w:lang w:eastAsia="sk-SK"/>
        </w:rPr>
        <w:t>Nasledujúca tabuľka sumarizuje počet vydaných jedál (v tis. ks) v zariadeniach školského stravovania za posledné 4 finančné roky:</w:t>
      </w:r>
    </w:p>
    <w:tbl>
      <w:tblPr>
        <w:tblW w:w="5000" w:type="pct"/>
        <w:tblCellMar>
          <w:left w:w="70" w:type="dxa"/>
          <w:right w:w="70" w:type="dxa"/>
        </w:tblCellMar>
        <w:tblLook w:val="04A0" w:firstRow="1" w:lastRow="0" w:firstColumn="1" w:lastColumn="0" w:noHBand="0" w:noVBand="1"/>
      </w:tblPr>
      <w:tblGrid>
        <w:gridCol w:w="6759"/>
        <w:gridCol w:w="1057"/>
        <w:gridCol w:w="781"/>
        <w:gridCol w:w="852"/>
        <w:gridCol w:w="1017"/>
      </w:tblGrid>
      <w:tr w:rsidR="00B73FDB" w:rsidRPr="00B73FDB" w14:paraId="47F53957" w14:textId="77777777" w:rsidTr="00B73FDB">
        <w:trPr>
          <w:trHeight w:hRule="exact" w:val="315"/>
        </w:trPr>
        <w:tc>
          <w:tcPr>
            <w:tcW w:w="3229" w:type="pct"/>
            <w:vMerge w:val="restart"/>
            <w:tcBorders>
              <w:top w:val="nil"/>
              <w:left w:val="nil"/>
              <w:bottom w:val="single" w:sz="8" w:space="0" w:color="DCE6F1"/>
              <w:right w:val="nil"/>
            </w:tcBorders>
            <w:shd w:val="clear" w:color="auto" w:fill="D2F6FE"/>
            <w:noWrap/>
            <w:vAlign w:val="center"/>
            <w:hideMark/>
          </w:tcPr>
          <w:p w14:paraId="403E167B"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Podprogram 8.4 - Školské stravovanie</w:t>
            </w:r>
          </w:p>
        </w:tc>
        <w:tc>
          <w:tcPr>
            <w:tcW w:w="1771" w:type="pct"/>
            <w:gridSpan w:val="4"/>
            <w:vMerge w:val="restart"/>
            <w:tcBorders>
              <w:top w:val="nil"/>
              <w:left w:val="nil"/>
              <w:bottom w:val="nil"/>
              <w:right w:val="nil"/>
            </w:tcBorders>
            <w:shd w:val="clear" w:color="auto" w:fill="D2F6FE"/>
            <w:vAlign w:val="center"/>
            <w:hideMark/>
          </w:tcPr>
          <w:p w14:paraId="28F13118" w14:textId="77777777" w:rsidR="00B73FDB" w:rsidRPr="00B73FDB" w:rsidRDefault="00B73FDB" w:rsidP="00B73FDB">
            <w:pPr>
              <w:spacing w:after="0" w:line="240" w:lineRule="auto"/>
              <w:jc w:val="center"/>
              <w:rPr>
                <w:rFonts w:cs="Calibri"/>
                <w:b/>
                <w:bCs/>
                <w:color w:val="000000"/>
                <w:sz w:val="20"/>
                <w:szCs w:val="20"/>
                <w:lang w:eastAsia="sk-SK"/>
              </w:rPr>
            </w:pPr>
            <w:r w:rsidRPr="00B73FDB">
              <w:rPr>
                <w:rFonts w:cs="Calibri"/>
                <w:b/>
                <w:bCs/>
                <w:color w:val="000000"/>
                <w:sz w:val="20"/>
                <w:szCs w:val="20"/>
                <w:lang w:eastAsia="sk-SK"/>
              </w:rPr>
              <w:t>Počet vydaných jedál (v tis. ks)</w:t>
            </w:r>
          </w:p>
        </w:tc>
      </w:tr>
      <w:tr w:rsidR="00B73FDB" w:rsidRPr="00B73FDB" w14:paraId="5CBE3090" w14:textId="77777777" w:rsidTr="00352CED">
        <w:trPr>
          <w:trHeight w:val="276"/>
        </w:trPr>
        <w:tc>
          <w:tcPr>
            <w:tcW w:w="3229" w:type="pct"/>
            <w:vMerge/>
            <w:tcBorders>
              <w:top w:val="nil"/>
              <w:left w:val="nil"/>
              <w:bottom w:val="single" w:sz="8" w:space="0" w:color="DCE6F1"/>
              <w:right w:val="nil"/>
            </w:tcBorders>
            <w:shd w:val="clear" w:color="auto" w:fill="D2F6FE"/>
            <w:vAlign w:val="center"/>
            <w:hideMark/>
          </w:tcPr>
          <w:p w14:paraId="25A58D5B" w14:textId="77777777" w:rsidR="00B73FDB" w:rsidRPr="00B73FDB" w:rsidRDefault="00B73FDB" w:rsidP="00B73FDB">
            <w:pPr>
              <w:spacing w:after="0" w:line="240" w:lineRule="auto"/>
              <w:rPr>
                <w:rFonts w:cs="Calibri"/>
                <w:b/>
                <w:bCs/>
                <w:color w:val="000000"/>
                <w:sz w:val="20"/>
                <w:szCs w:val="20"/>
                <w:lang w:eastAsia="sk-SK"/>
              </w:rPr>
            </w:pPr>
          </w:p>
        </w:tc>
        <w:tc>
          <w:tcPr>
            <w:tcW w:w="1771" w:type="pct"/>
            <w:gridSpan w:val="4"/>
            <w:vMerge/>
            <w:tcBorders>
              <w:top w:val="nil"/>
              <w:left w:val="nil"/>
              <w:bottom w:val="nil"/>
              <w:right w:val="nil"/>
            </w:tcBorders>
            <w:shd w:val="clear" w:color="auto" w:fill="D2F6FE"/>
            <w:vAlign w:val="center"/>
            <w:hideMark/>
          </w:tcPr>
          <w:p w14:paraId="5B2CB23A" w14:textId="77777777" w:rsidR="00B73FDB" w:rsidRPr="00B73FDB" w:rsidRDefault="00B73FDB" w:rsidP="00B73FDB">
            <w:pPr>
              <w:spacing w:after="0" w:line="240" w:lineRule="auto"/>
              <w:rPr>
                <w:rFonts w:cs="Calibri"/>
                <w:b/>
                <w:bCs/>
                <w:color w:val="000000"/>
                <w:sz w:val="20"/>
                <w:szCs w:val="20"/>
                <w:lang w:eastAsia="sk-SK"/>
              </w:rPr>
            </w:pPr>
          </w:p>
        </w:tc>
      </w:tr>
      <w:tr w:rsidR="00B73FDB" w:rsidRPr="00B73FDB" w14:paraId="0BBCFA0B" w14:textId="77777777" w:rsidTr="00B73FDB">
        <w:trPr>
          <w:trHeight w:hRule="exact" w:val="330"/>
        </w:trPr>
        <w:tc>
          <w:tcPr>
            <w:tcW w:w="3229" w:type="pct"/>
            <w:tcBorders>
              <w:top w:val="nil"/>
              <w:left w:val="nil"/>
              <w:bottom w:val="single" w:sz="8" w:space="0" w:color="DCE6F1"/>
              <w:right w:val="nil"/>
            </w:tcBorders>
            <w:shd w:val="clear" w:color="auto" w:fill="D2F6FE"/>
            <w:noWrap/>
            <w:vAlign w:val="center"/>
            <w:hideMark/>
          </w:tcPr>
          <w:p w14:paraId="0759E7D2"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Školské zariadenie</w:t>
            </w:r>
          </w:p>
        </w:tc>
        <w:tc>
          <w:tcPr>
            <w:tcW w:w="505" w:type="pct"/>
            <w:tcBorders>
              <w:top w:val="nil"/>
              <w:left w:val="nil"/>
              <w:bottom w:val="single" w:sz="8" w:space="0" w:color="DCE6F1"/>
              <w:right w:val="nil"/>
            </w:tcBorders>
            <w:shd w:val="clear" w:color="auto" w:fill="D2F6FE"/>
            <w:vAlign w:val="center"/>
            <w:hideMark/>
          </w:tcPr>
          <w:p w14:paraId="1F1F1F29"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2017</w:t>
            </w:r>
          </w:p>
        </w:tc>
        <w:tc>
          <w:tcPr>
            <w:tcW w:w="373" w:type="pct"/>
            <w:tcBorders>
              <w:top w:val="nil"/>
              <w:left w:val="nil"/>
              <w:bottom w:val="single" w:sz="8" w:space="0" w:color="DCE6F1"/>
              <w:right w:val="nil"/>
            </w:tcBorders>
            <w:shd w:val="clear" w:color="auto" w:fill="D2F6FE"/>
            <w:vAlign w:val="center"/>
            <w:hideMark/>
          </w:tcPr>
          <w:p w14:paraId="07FB2065"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2018</w:t>
            </w:r>
          </w:p>
        </w:tc>
        <w:tc>
          <w:tcPr>
            <w:tcW w:w="407" w:type="pct"/>
            <w:tcBorders>
              <w:top w:val="nil"/>
              <w:left w:val="nil"/>
              <w:bottom w:val="single" w:sz="8" w:space="0" w:color="DCE6F1"/>
              <w:right w:val="nil"/>
            </w:tcBorders>
            <w:shd w:val="clear" w:color="auto" w:fill="D2F6FE"/>
            <w:vAlign w:val="center"/>
            <w:hideMark/>
          </w:tcPr>
          <w:p w14:paraId="48167485"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2019</w:t>
            </w:r>
          </w:p>
        </w:tc>
        <w:tc>
          <w:tcPr>
            <w:tcW w:w="486" w:type="pct"/>
            <w:tcBorders>
              <w:top w:val="nil"/>
              <w:left w:val="nil"/>
              <w:bottom w:val="single" w:sz="8" w:space="0" w:color="DCE6F1"/>
              <w:right w:val="nil"/>
            </w:tcBorders>
            <w:shd w:val="clear" w:color="auto" w:fill="D2F6FE"/>
            <w:vAlign w:val="center"/>
            <w:hideMark/>
          </w:tcPr>
          <w:p w14:paraId="2080E424"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2020</w:t>
            </w:r>
          </w:p>
        </w:tc>
      </w:tr>
      <w:tr w:rsidR="00B73FDB" w:rsidRPr="00B73FDB" w14:paraId="6D22EE1E"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6BD13DF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 ŠJ pri Gymnáziu s VJM, Dunajská 13, BA</w:t>
            </w:r>
          </w:p>
        </w:tc>
        <w:tc>
          <w:tcPr>
            <w:tcW w:w="505" w:type="pct"/>
            <w:tcBorders>
              <w:top w:val="nil"/>
              <w:left w:val="nil"/>
              <w:bottom w:val="single" w:sz="8" w:space="0" w:color="DCE6F1"/>
              <w:right w:val="nil"/>
            </w:tcBorders>
            <w:shd w:val="clear" w:color="auto" w:fill="auto"/>
            <w:vAlign w:val="center"/>
            <w:hideMark/>
          </w:tcPr>
          <w:p w14:paraId="554392A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82</w:t>
            </w:r>
          </w:p>
        </w:tc>
        <w:tc>
          <w:tcPr>
            <w:tcW w:w="373" w:type="pct"/>
            <w:tcBorders>
              <w:top w:val="nil"/>
              <w:left w:val="nil"/>
              <w:bottom w:val="single" w:sz="8" w:space="0" w:color="DCE6F1"/>
              <w:right w:val="nil"/>
            </w:tcBorders>
            <w:shd w:val="clear" w:color="auto" w:fill="auto"/>
            <w:vAlign w:val="center"/>
            <w:hideMark/>
          </w:tcPr>
          <w:p w14:paraId="1C5F2EF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62</w:t>
            </w:r>
          </w:p>
        </w:tc>
        <w:tc>
          <w:tcPr>
            <w:tcW w:w="407" w:type="pct"/>
            <w:tcBorders>
              <w:top w:val="nil"/>
              <w:left w:val="nil"/>
              <w:bottom w:val="single" w:sz="8" w:space="0" w:color="DCE6F1"/>
              <w:right w:val="nil"/>
            </w:tcBorders>
            <w:shd w:val="clear" w:color="auto" w:fill="auto"/>
            <w:vAlign w:val="center"/>
            <w:hideMark/>
          </w:tcPr>
          <w:p w14:paraId="0A98DEE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111</w:t>
            </w:r>
          </w:p>
        </w:tc>
        <w:tc>
          <w:tcPr>
            <w:tcW w:w="486" w:type="pct"/>
            <w:tcBorders>
              <w:top w:val="nil"/>
              <w:left w:val="nil"/>
              <w:bottom w:val="single" w:sz="8" w:space="0" w:color="DCE6F1"/>
              <w:right w:val="nil"/>
            </w:tcBorders>
            <w:shd w:val="clear" w:color="auto" w:fill="auto"/>
            <w:vAlign w:val="center"/>
            <w:hideMark/>
          </w:tcPr>
          <w:p w14:paraId="25ACB18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39</w:t>
            </w:r>
          </w:p>
        </w:tc>
      </w:tr>
      <w:tr w:rsidR="00B73FDB" w:rsidRPr="00B73FDB" w14:paraId="3FEAB040"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7015D494"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 ŠJ pri Gymnáziu A. Einsteina, Einsteinova 35, BA</w:t>
            </w:r>
          </w:p>
        </w:tc>
        <w:tc>
          <w:tcPr>
            <w:tcW w:w="505" w:type="pct"/>
            <w:tcBorders>
              <w:top w:val="nil"/>
              <w:left w:val="nil"/>
              <w:bottom w:val="single" w:sz="8" w:space="0" w:color="DCE6F1"/>
              <w:right w:val="nil"/>
            </w:tcBorders>
            <w:shd w:val="clear" w:color="auto" w:fill="auto"/>
            <w:vAlign w:val="center"/>
            <w:hideMark/>
          </w:tcPr>
          <w:p w14:paraId="1089305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w:t>
            </w:r>
          </w:p>
        </w:tc>
        <w:tc>
          <w:tcPr>
            <w:tcW w:w="373" w:type="pct"/>
            <w:tcBorders>
              <w:top w:val="nil"/>
              <w:left w:val="nil"/>
              <w:bottom w:val="single" w:sz="8" w:space="0" w:color="DCE6F1"/>
              <w:right w:val="nil"/>
            </w:tcBorders>
            <w:shd w:val="clear" w:color="auto" w:fill="auto"/>
            <w:vAlign w:val="center"/>
            <w:hideMark/>
          </w:tcPr>
          <w:p w14:paraId="7A0F8BA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w:t>
            </w:r>
          </w:p>
        </w:tc>
        <w:tc>
          <w:tcPr>
            <w:tcW w:w="407" w:type="pct"/>
            <w:tcBorders>
              <w:top w:val="nil"/>
              <w:left w:val="nil"/>
              <w:bottom w:val="single" w:sz="8" w:space="0" w:color="DCE6F1"/>
              <w:right w:val="nil"/>
            </w:tcBorders>
            <w:shd w:val="clear" w:color="auto" w:fill="auto"/>
            <w:vAlign w:val="center"/>
            <w:hideMark/>
          </w:tcPr>
          <w:p w14:paraId="416EA6D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31</w:t>
            </w:r>
          </w:p>
        </w:tc>
        <w:tc>
          <w:tcPr>
            <w:tcW w:w="486" w:type="pct"/>
            <w:tcBorders>
              <w:top w:val="nil"/>
              <w:left w:val="nil"/>
              <w:bottom w:val="single" w:sz="8" w:space="0" w:color="DCE6F1"/>
              <w:right w:val="nil"/>
            </w:tcBorders>
            <w:shd w:val="clear" w:color="auto" w:fill="auto"/>
            <w:vAlign w:val="center"/>
            <w:hideMark/>
          </w:tcPr>
          <w:p w14:paraId="4D047AE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w:t>
            </w:r>
          </w:p>
        </w:tc>
      </w:tr>
      <w:tr w:rsidR="00B73FDB" w:rsidRPr="00B73FDB" w14:paraId="180957E6"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29786F0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8.4.3: ŠJ pri Gymnáziu J. </w:t>
            </w:r>
            <w:proofErr w:type="spellStart"/>
            <w:r w:rsidRPr="00B73FDB">
              <w:rPr>
                <w:rFonts w:cs="Calibri"/>
                <w:color w:val="000000"/>
                <w:sz w:val="20"/>
                <w:szCs w:val="20"/>
                <w:lang w:eastAsia="sk-SK"/>
              </w:rPr>
              <w:t>Papánka</w:t>
            </w:r>
            <w:proofErr w:type="spellEnd"/>
            <w:r w:rsidRPr="00B73FDB">
              <w:rPr>
                <w:rFonts w:cs="Calibri"/>
                <w:color w:val="000000"/>
                <w:sz w:val="20"/>
                <w:szCs w:val="20"/>
                <w:lang w:eastAsia="sk-SK"/>
              </w:rPr>
              <w:t xml:space="preserve">, </w:t>
            </w:r>
            <w:proofErr w:type="spellStart"/>
            <w:r w:rsidRPr="00B73FDB">
              <w:rPr>
                <w:rFonts w:cs="Calibri"/>
                <w:color w:val="000000"/>
                <w:sz w:val="20"/>
                <w:szCs w:val="20"/>
                <w:lang w:eastAsia="sk-SK"/>
              </w:rPr>
              <w:t>Vazovova</w:t>
            </w:r>
            <w:proofErr w:type="spellEnd"/>
            <w:r w:rsidRPr="00B73FDB">
              <w:rPr>
                <w:rFonts w:cs="Calibri"/>
                <w:color w:val="000000"/>
                <w:sz w:val="20"/>
                <w:szCs w:val="20"/>
                <w:lang w:eastAsia="sk-SK"/>
              </w:rPr>
              <w:t xml:space="preserve"> 6, BA </w:t>
            </w:r>
          </w:p>
        </w:tc>
        <w:tc>
          <w:tcPr>
            <w:tcW w:w="505" w:type="pct"/>
            <w:tcBorders>
              <w:top w:val="nil"/>
              <w:left w:val="nil"/>
              <w:bottom w:val="single" w:sz="8" w:space="0" w:color="DCE6F1"/>
              <w:right w:val="nil"/>
            </w:tcBorders>
            <w:shd w:val="clear" w:color="auto" w:fill="auto"/>
            <w:vAlign w:val="center"/>
            <w:hideMark/>
          </w:tcPr>
          <w:p w14:paraId="0C4828F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33</w:t>
            </w:r>
          </w:p>
        </w:tc>
        <w:tc>
          <w:tcPr>
            <w:tcW w:w="373" w:type="pct"/>
            <w:tcBorders>
              <w:top w:val="nil"/>
              <w:left w:val="nil"/>
              <w:bottom w:val="single" w:sz="8" w:space="0" w:color="DCE6F1"/>
              <w:right w:val="nil"/>
            </w:tcBorders>
            <w:shd w:val="clear" w:color="auto" w:fill="auto"/>
            <w:vAlign w:val="center"/>
            <w:hideMark/>
          </w:tcPr>
          <w:p w14:paraId="4758B29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45</w:t>
            </w:r>
          </w:p>
        </w:tc>
        <w:tc>
          <w:tcPr>
            <w:tcW w:w="407" w:type="pct"/>
            <w:tcBorders>
              <w:top w:val="nil"/>
              <w:left w:val="nil"/>
              <w:bottom w:val="single" w:sz="8" w:space="0" w:color="DCE6F1"/>
              <w:right w:val="nil"/>
            </w:tcBorders>
            <w:shd w:val="clear" w:color="auto" w:fill="auto"/>
            <w:vAlign w:val="center"/>
            <w:hideMark/>
          </w:tcPr>
          <w:p w14:paraId="30C85EC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75</w:t>
            </w:r>
          </w:p>
        </w:tc>
        <w:tc>
          <w:tcPr>
            <w:tcW w:w="486" w:type="pct"/>
            <w:tcBorders>
              <w:top w:val="nil"/>
              <w:left w:val="nil"/>
              <w:bottom w:val="single" w:sz="8" w:space="0" w:color="DCE6F1"/>
              <w:right w:val="nil"/>
            </w:tcBorders>
            <w:shd w:val="clear" w:color="auto" w:fill="auto"/>
            <w:vAlign w:val="center"/>
            <w:hideMark/>
          </w:tcPr>
          <w:p w14:paraId="11E84E1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w:t>
            </w:r>
          </w:p>
        </w:tc>
      </w:tr>
      <w:tr w:rsidR="00B73FDB" w:rsidRPr="00B73FDB" w14:paraId="0BFDB5B1"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397DD03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8.4.4: ŠJ pri Gymnáziu, Hubeného 23, BA</w:t>
            </w:r>
          </w:p>
        </w:tc>
        <w:tc>
          <w:tcPr>
            <w:tcW w:w="505" w:type="pct"/>
            <w:tcBorders>
              <w:top w:val="nil"/>
              <w:left w:val="nil"/>
              <w:bottom w:val="single" w:sz="8" w:space="0" w:color="DCE6F1"/>
              <w:right w:val="nil"/>
            </w:tcBorders>
            <w:shd w:val="clear" w:color="auto" w:fill="auto"/>
            <w:vAlign w:val="center"/>
            <w:hideMark/>
          </w:tcPr>
          <w:p w14:paraId="2AA9E0F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49</w:t>
            </w:r>
          </w:p>
        </w:tc>
        <w:tc>
          <w:tcPr>
            <w:tcW w:w="373" w:type="pct"/>
            <w:tcBorders>
              <w:top w:val="nil"/>
              <w:left w:val="nil"/>
              <w:bottom w:val="single" w:sz="8" w:space="0" w:color="DCE6F1"/>
              <w:right w:val="nil"/>
            </w:tcBorders>
            <w:shd w:val="clear" w:color="auto" w:fill="auto"/>
            <w:vAlign w:val="center"/>
            <w:hideMark/>
          </w:tcPr>
          <w:p w14:paraId="5229324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42</w:t>
            </w:r>
          </w:p>
        </w:tc>
        <w:tc>
          <w:tcPr>
            <w:tcW w:w="407" w:type="pct"/>
            <w:tcBorders>
              <w:top w:val="nil"/>
              <w:left w:val="nil"/>
              <w:bottom w:val="single" w:sz="8" w:space="0" w:color="DCE6F1"/>
              <w:right w:val="nil"/>
            </w:tcBorders>
            <w:shd w:val="clear" w:color="auto" w:fill="auto"/>
            <w:vAlign w:val="center"/>
            <w:hideMark/>
          </w:tcPr>
          <w:p w14:paraId="117AF55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64</w:t>
            </w:r>
          </w:p>
        </w:tc>
        <w:tc>
          <w:tcPr>
            <w:tcW w:w="486" w:type="pct"/>
            <w:tcBorders>
              <w:top w:val="nil"/>
              <w:left w:val="nil"/>
              <w:bottom w:val="single" w:sz="8" w:space="0" w:color="DCE6F1"/>
              <w:right w:val="nil"/>
            </w:tcBorders>
            <w:shd w:val="clear" w:color="auto" w:fill="auto"/>
            <w:vAlign w:val="center"/>
            <w:hideMark/>
          </w:tcPr>
          <w:p w14:paraId="35229D6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18</w:t>
            </w:r>
          </w:p>
        </w:tc>
      </w:tr>
      <w:tr w:rsidR="00B73FDB" w:rsidRPr="00B73FDB" w14:paraId="7F457D65"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1F2FF40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8.4.5: ŠJ pri Gymnáziu A. Bernoláka, </w:t>
            </w:r>
            <w:proofErr w:type="spellStart"/>
            <w:r w:rsidRPr="00B73FDB">
              <w:rPr>
                <w:rFonts w:cs="Calibri"/>
                <w:color w:val="000000"/>
                <w:sz w:val="20"/>
                <w:szCs w:val="20"/>
                <w:lang w:eastAsia="sk-SK"/>
              </w:rPr>
              <w:t>Lichnerova</w:t>
            </w:r>
            <w:proofErr w:type="spellEnd"/>
            <w:r w:rsidRPr="00B73FDB">
              <w:rPr>
                <w:rFonts w:cs="Calibri"/>
                <w:color w:val="000000"/>
                <w:sz w:val="20"/>
                <w:szCs w:val="20"/>
                <w:lang w:eastAsia="sk-SK"/>
              </w:rPr>
              <w:t xml:space="preserve"> 69, Senec </w:t>
            </w:r>
          </w:p>
        </w:tc>
        <w:tc>
          <w:tcPr>
            <w:tcW w:w="505" w:type="pct"/>
            <w:tcBorders>
              <w:top w:val="nil"/>
              <w:left w:val="nil"/>
              <w:bottom w:val="single" w:sz="8" w:space="0" w:color="DCE6F1"/>
              <w:right w:val="nil"/>
            </w:tcBorders>
            <w:shd w:val="clear" w:color="auto" w:fill="auto"/>
            <w:vAlign w:val="center"/>
            <w:hideMark/>
          </w:tcPr>
          <w:p w14:paraId="0DB1C19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32</w:t>
            </w:r>
          </w:p>
        </w:tc>
        <w:tc>
          <w:tcPr>
            <w:tcW w:w="373" w:type="pct"/>
            <w:tcBorders>
              <w:top w:val="nil"/>
              <w:left w:val="nil"/>
              <w:bottom w:val="single" w:sz="8" w:space="0" w:color="DCE6F1"/>
              <w:right w:val="nil"/>
            </w:tcBorders>
            <w:shd w:val="clear" w:color="auto" w:fill="auto"/>
            <w:vAlign w:val="center"/>
            <w:hideMark/>
          </w:tcPr>
          <w:p w14:paraId="775D23F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37</w:t>
            </w:r>
          </w:p>
        </w:tc>
        <w:tc>
          <w:tcPr>
            <w:tcW w:w="407" w:type="pct"/>
            <w:tcBorders>
              <w:top w:val="nil"/>
              <w:left w:val="nil"/>
              <w:bottom w:val="single" w:sz="8" w:space="0" w:color="DCE6F1"/>
              <w:right w:val="nil"/>
            </w:tcBorders>
            <w:shd w:val="clear" w:color="auto" w:fill="auto"/>
            <w:vAlign w:val="center"/>
            <w:hideMark/>
          </w:tcPr>
          <w:p w14:paraId="4B39673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56</w:t>
            </w:r>
          </w:p>
        </w:tc>
        <w:tc>
          <w:tcPr>
            <w:tcW w:w="486" w:type="pct"/>
            <w:tcBorders>
              <w:top w:val="nil"/>
              <w:left w:val="nil"/>
              <w:bottom w:val="single" w:sz="8" w:space="0" w:color="DCE6F1"/>
              <w:right w:val="nil"/>
            </w:tcBorders>
            <w:shd w:val="clear" w:color="auto" w:fill="auto"/>
            <w:vAlign w:val="center"/>
            <w:hideMark/>
          </w:tcPr>
          <w:p w14:paraId="743A651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16</w:t>
            </w:r>
          </w:p>
        </w:tc>
      </w:tr>
      <w:tr w:rsidR="00B73FDB" w:rsidRPr="00B73FDB" w14:paraId="41600796"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27E87BB6"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lastRenderedPageBreak/>
              <w:t xml:space="preserve">Prvok 8.4.6: ŠJ pri Obchodnej akadémii, Nevädzová 3, BA </w:t>
            </w:r>
          </w:p>
        </w:tc>
        <w:tc>
          <w:tcPr>
            <w:tcW w:w="505" w:type="pct"/>
            <w:tcBorders>
              <w:top w:val="nil"/>
              <w:left w:val="nil"/>
              <w:bottom w:val="single" w:sz="8" w:space="0" w:color="DCE6F1"/>
              <w:right w:val="nil"/>
            </w:tcBorders>
            <w:shd w:val="clear" w:color="auto" w:fill="auto"/>
            <w:vAlign w:val="center"/>
            <w:hideMark/>
          </w:tcPr>
          <w:p w14:paraId="1CDEBDE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19</w:t>
            </w:r>
          </w:p>
        </w:tc>
        <w:tc>
          <w:tcPr>
            <w:tcW w:w="373" w:type="pct"/>
            <w:tcBorders>
              <w:top w:val="nil"/>
              <w:left w:val="nil"/>
              <w:bottom w:val="single" w:sz="8" w:space="0" w:color="DCE6F1"/>
              <w:right w:val="nil"/>
            </w:tcBorders>
            <w:shd w:val="clear" w:color="auto" w:fill="auto"/>
            <w:vAlign w:val="center"/>
            <w:hideMark/>
          </w:tcPr>
          <w:p w14:paraId="2826FC2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w:t>
            </w:r>
          </w:p>
        </w:tc>
        <w:tc>
          <w:tcPr>
            <w:tcW w:w="407" w:type="pct"/>
            <w:tcBorders>
              <w:top w:val="nil"/>
              <w:left w:val="nil"/>
              <w:bottom w:val="single" w:sz="8" w:space="0" w:color="DCE6F1"/>
              <w:right w:val="nil"/>
            </w:tcBorders>
            <w:shd w:val="clear" w:color="auto" w:fill="auto"/>
            <w:vAlign w:val="center"/>
            <w:hideMark/>
          </w:tcPr>
          <w:p w14:paraId="7AA49D2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33</w:t>
            </w:r>
          </w:p>
        </w:tc>
        <w:tc>
          <w:tcPr>
            <w:tcW w:w="486" w:type="pct"/>
            <w:tcBorders>
              <w:top w:val="nil"/>
              <w:left w:val="nil"/>
              <w:bottom w:val="single" w:sz="8" w:space="0" w:color="DCE6F1"/>
              <w:right w:val="nil"/>
            </w:tcBorders>
            <w:shd w:val="clear" w:color="auto" w:fill="auto"/>
            <w:vAlign w:val="center"/>
            <w:hideMark/>
          </w:tcPr>
          <w:p w14:paraId="182E402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w:t>
            </w:r>
          </w:p>
        </w:tc>
      </w:tr>
      <w:tr w:rsidR="00B73FDB" w:rsidRPr="00B73FDB" w14:paraId="4D3576ED"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1C0FE328"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8.4.7: ŠJ pri Strednej športovej škole, </w:t>
            </w:r>
            <w:proofErr w:type="spellStart"/>
            <w:r w:rsidRPr="00B73FDB">
              <w:rPr>
                <w:rFonts w:cs="Calibri"/>
                <w:color w:val="000000"/>
                <w:sz w:val="20"/>
                <w:szCs w:val="20"/>
                <w:lang w:eastAsia="sk-SK"/>
              </w:rPr>
              <w:t>Ostredkova</w:t>
            </w:r>
            <w:proofErr w:type="spellEnd"/>
            <w:r w:rsidRPr="00B73FDB">
              <w:rPr>
                <w:rFonts w:cs="Calibri"/>
                <w:color w:val="000000"/>
                <w:sz w:val="20"/>
                <w:szCs w:val="20"/>
                <w:lang w:eastAsia="sk-SK"/>
              </w:rPr>
              <w:t xml:space="preserve"> 10, BA </w:t>
            </w:r>
          </w:p>
        </w:tc>
        <w:tc>
          <w:tcPr>
            <w:tcW w:w="505" w:type="pct"/>
            <w:tcBorders>
              <w:top w:val="nil"/>
              <w:left w:val="nil"/>
              <w:bottom w:val="single" w:sz="8" w:space="0" w:color="DCE6F1"/>
              <w:right w:val="nil"/>
            </w:tcBorders>
            <w:shd w:val="clear" w:color="auto" w:fill="auto"/>
            <w:vAlign w:val="center"/>
            <w:hideMark/>
          </w:tcPr>
          <w:p w14:paraId="288A2AF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41</w:t>
            </w:r>
          </w:p>
        </w:tc>
        <w:tc>
          <w:tcPr>
            <w:tcW w:w="373" w:type="pct"/>
            <w:tcBorders>
              <w:top w:val="nil"/>
              <w:left w:val="nil"/>
              <w:bottom w:val="single" w:sz="8" w:space="0" w:color="DCE6F1"/>
              <w:right w:val="nil"/>
            </w:tcBorders>
            <w:shd w:val="clear" w:color="auto" w:fill="auto"/>
            <w:vAlign w:val="center"/>
            <w:hideMark/>
          </w:tcPr>
          <w:p w14:paraId="579EC00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38</w:t>
            </w:r>
          </w:p>
        </w:tc>
        <w:tc>
          <w:tcPr>
            <w:tcW w:w="407" w:type="pct"/>
            <w:tcBorders>
              <w:top w:val="nil"/>
              <w:left w:val="nil"/>
              <w:bottom w:val="single" w:sz="8" w:space="0" w:color="DCE6F1"/>
              <w:right w:val="nil"/>
            </w:tcBorders>
            <w:shd w:val="clear" w:color="auto" w:fill="auto"/>
            <w:vAlign w:val="center"/>
            <w:hideMark/>
          </w:tcPr>
          <w:p w14:paraId="0039FA9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82</w:t>
            </w:r>
          </w:p>
        </w:tc>
        <w:tc>
          <w:tcPr>
            <w:tcW w:w="486" w:type="pct"/>
            <w:tcBorders>
              <w:top w:val="nil"/>
              <w:left w:val="nil"/>
              <w:bottom w:val="single" w:sz="8" w:space="0" w:color="DCE6F1"/>
              <w:right w:val="nil"/>
            </w:tcBorders>
            <w:shd w:val="clear" w:color="auto" w:fill="auto"/>
            <w:vAlign w:val="center"/>
            <w:hideMark/>
          </w:tcPr>
          <w:p w14:paraId="4B4FBDE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w:t>
            </w:r>
          </w:p>
        </w:tc>
      </w:tr>
      <w:tr w:rsidR="00B73FDB" w:rsidRPr="00B73FDB" w14:paraId="31571ACD"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17203DD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8.4.8: ŠJ pri Gymnáziu, Pankúchova 6, BA</w:t>
            </w:r>
          </w:p>
        </w:tc>
        <w:tc>
          <w:tcPr>
            <w:tcW w:w="505" w:type="pct"/>
            <w:tcBorders>
              <w:top w:val="nil"/>
              <w:left w:val="nil"/>
              <w:bottom w:val="single" w:sz="8" w:space="0" w:color="DCE6F1"/>
              <w:right w:val="nil"/>
            </w:tcBorders>
            <w:shd w:val="clear" w:color="auto" w:fill="auto"/>
            <w:vAlign w:val="center"/>
            <w:hideMark/>
          </w:tcPr>
          <w:p w14:paraId="4AF014A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93</w:t>
            </w:r>
          </w:p>
        </w:tc>
        <w:tc>
          <w:tcPr>
            <w:tcW w:w="373" w:type="pct"/>
            <w:tcBorders>
              <w:top w:val="nil"/>
              <w:left w:val="nil"/>
              <w:bottom w:val="single" w:sz="8" w:space="0" w:color="DCE6F1"/>
              <w:right w:val="nil"/>
            </w:tcBorders>
            <w:shd w:val="clear" w:color="auto" w:fill="auto"/>
            <w:vAlign w:val="center"/>
            <w:hideMark/>
          </w:tcPr>
          <w:p w14:paraId="7754239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66</w:t>
            </w:r>
          </w:p>
        </w:tc>
        <w:tc>
          <w:tcPr>
            <w:tcW w:w="407" w:type="pct"/>
            <w:tcBorders>
              <w:top w:val="nil"/>
              <w:left w:val="nil"/>
              <w:bottom w:val="single" w:sz="8" w:space="0" w:color="DCE6F1"/>
              <w:right w:val="nil"/>
            </w:tcBorders>
            <w:shd w:val="clear" w:color="auto" w:fill="auto"/>
            <w:vAlign w:val="center"/>
            <w:hideMark/>
          </w:tcPr>
          <w:p w14:paraId="71E5BC5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77</w:t>
            </w:r>
          </w:p>
        </w:tc>
        <w:tc>
          <w:tcPr>
            <w:tcW w:w="486" w:type="pct"/>
            <w:tcBorders>
              <w:top w:val="nil"/>
              <w:left w:val="nil"/>
              <w:bottom w:val="single" w:sz="8" w:space="0" w:color="DCE6F1"/>
              <w:right w:val="nil"/>
            </w:tcBorders>
            <w:shd w:val="clear" w:color="auto" w:fill="auto"/>
            <w:vAlign w:val="center"/>
            <w:hideMark/>
          </w:tcPr>
          <w:p w14:paraId="1577D5F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w:t>
            </w:r>
          </w:p>
        </w:tc>
      </w:tr>
      <w:tr w:rsidR="00B73FDB" w:rsidRPr="00B73FDB" w14:paraId="5FD0FAFD"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75ABF04E"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8.4.9: ŠJ pri Gymnáziu, Ul.1. mája 8, Malacky </w:t>
            </w:r>
          </w:p>
        </w:tc>
        <w:tc>
          <w:tcPr>
            <w:tcW w:w="505" w:type="pct"/>
            <w:tcBorders>
              <w:top w:val="nil"/>
              <w:left w:val="nil"/>
              <w:bottom w:val="single" w:sz="8" w:space="0" w:color="DCE6F1"/>
              <w:right w:val="nil"/>
            </w:tcBorders>
            <w:shd w:val="clear" w:color="auto" w:fill="auto"/>
            <w:vAlign w:val="center"/>
            <w:hideMark/>
          </w:tcPr>
          <w:p w14:paraId="602EC54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48</w:t>
            </w:r>
          </w:p>
        </w:tc>
        <w:tc>
          <w:tcPr>
            <w:tcW w:w="373" w:type="pct"/>
            <w:tcBorders>
              <w:top w:val="nil"/>
              <w:left w:val="nil"/>
              <w:bottom w:val="single" w:sz="8" w:space="0" w:color="DCE6F1"/>
              <w:right w:val="nil"/>
            </w:tcBorders>
            <w:shd w:val="clear" w:color="auto" w:fill="auto"/>
            <w:vAlign w:val="center"/>
            <w:hideMark/>
          </w:tcPr>
          <w:p w14:paraId="7D528EF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51</w:t>
            </w:r>
          </w:p>
        </w:tc>
        <w:tc>
          <w:tcPr>
            <w:tcW w:w="407" w:type="pct"/>
            <w:tcBorders>
              <w:top w:val="nil"/>
              <w:left w:val="nil"/>
              <w:bottom w:val="single" w:sz="8" w:space="0" w:color="DCE6F1"/>
              <w:right w:val="nil"/>
            </w:tcBorders>
            <w:shd w:val="clear" w:color="auto" w:fill="auto"/>
            <w:vAlign w:val="center"/>
            <w:hideMark/>
          </w:tcPr>
          <w:p w14:paraId="63430AE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69</w:t>
            </w:r>
          </w:p>
        </w:tc>
        <w:tc>
          <w:tcPr>
            <w:tcW w:w="486" w:type="pct"/>
            <w:tcBorders>
              <w:top w:val="nil"/>
              <w:left w:val="nil"/>
              <w:bottom w:val="single" w:sz="8" w:space="0" w:color="DCE6F1"/>
              <w:right w:val="nil"/>
            </w:tcBorders>
            <w:shd w:val="clear" w:color="auto" w:fill="auto"/>
            <w:vAlign w:val="center"/>
            <w:hideMark/>
          </w:tcPr>
          <w:p w14:paraId="1E05CE8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18</w:t>
            </w:r>
          </w:p>
        </w:tc>
      </w:tr>
      <w:tr w:rsidR="00B73FDB" w:rsidRPr="00B73FDB" w14:paraId="43E8F999"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6F39B5F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8.4.10: ŠJ pri Škole pre MND, Teplická 7, BA</w:t>
            </w:r>
          </w:p>
        </w:tc>
        <w:tc>
          <w:tcPr>
            <w:tcW w:w="505" w:type="pct"/>
            <w:tcBorders>
              <w:top w:val="nil"/>
              <w:left w:val="nil"/>
              <w:bottom w:val="single" w:sz="8" w:space="0" w:color="DCE6F1"/>
              <w:right w:val="nil"/>
            </w:tcBorders>
            <w:shd w:val="clear" w:color="auto" w:fill="auto"/>
            <w:vAlign w:val="center"/>
            <w:hideMark/>
          </w:tcPr>
          <w:p w14:paraId="1406C0D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42</w:t>
            </w:r>
          </w:p>
        </w:tc>
        <w:tc>
          <w:tcPr>
            <w:tcW w:w="373" w:type="pct"/>
            <w:tcBorders>
              <w:top w:val="nil"/>
              <w:left w:val="nil"/>
              <w:bottom w:val="single" w:sz="8" w:space="0" w:color="DCE6F1"/>
              <w:right w:val="nil"/>
            </w:tcBorders>
            <w:shd w:val="clear" w:color="auto" w:fill="auto"/>
            <w:vAlign w:val="center"/>
            <w:hideMark/>
          </w:tcPr>
          <w:p w14:paraId="621FBD9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40</w:t>
            </w:r>
          </w:p>
        </w:tc>
        <w:tc>
          <w:tcPr>
            <w:tcW w:w="407" w:type="pct"/>
            <w:tcBorders>
              <w:top w:val="nil"/>
              <w:left w:val="nil"/>
              <w:bottom w:val="single" w:sz="8" w:space="0" w:color="DCE6F1"/>
              <w:right w:val="nil"/>
            </w:tcBorders>
            <w:shd w:val="clear" w:color="auto" w:fill="auto"/>
            <w:vAlign w:val="center"/>
            <w:hideMark/>
          </w:tcPr>
          <w:p w14:paraId="76B9DF8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56</w:t>
            </w:r>
          </w:p>
        </w:tc>
        <w:tc>
          <w:tcPr>
            <w:tcW w:w="486" w:type="pct"/>
            <w:tcBorders>
              <w:top w:val="nil"/>
              <w:left w:val="nil"/>
              <w:bottom w:val="single" w:sz="8" w:space="0" w:color="DCE6F1"/>
              <w:right w:val="nil"/>
            </w:tcBorders>
            <w:shd w:val="clear" w:color="auto" w:fill="auto"/>
            <w:vAlign w:val="center"/>
            <w:hideMark/>
          </w:tcPr>
          <w:p w14:paraId="53C1911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w:t>
            </w:r>
          </w:p>
        </w:tc>
      </w:tr>
      <w:tr w:rsidR="00B73FDB" w:rsidRPr="00B73FDB" w14:paraId="564D8EAE"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5BBC4A48"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8.4.11: ŠJ pri Tanečnom konzervatóriu, Gorazdova 20, BA</w:t>
            </w:r>
          </w:p>
        </w:tc>
        <w:tc>
          <w:tcPr>
            <w:tcW w:w="505" w:type="pct"/>
            <w:tcBorders>
              <w:top w:val="nil"/>
              <w:left w:val="nil"/>
              <w:bottom w:val="single" w:sz="8" w:space="0" w:color="DCE6F1"/>
              <w:right w:val="nil"/>
            </w:tcBorders>
            <w:shd w:val="clear" w:color="auto" w:fill="auto"/>
            <w:vAlign w:val="center"/>
            <w:hideMark/>
          </w:tcPr>
          <w:p w14:paraId="617A94F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w:t>
            </w:r>
          </w:p>
        </w:tc>
        <w:tc>
          <w:tcPr>
            <w:tcW w:w="373" w:type="pct"/>
            <w:tcBorders>
              <w:top w:val="nil"/>
              <w:left w:val="nil"/>
              <w:bottom w:val="single" w:sz="8" w:space="0" w:color="DCE6F1"/>
              <w:right w:val="nil"/>
            </w:tcBorders>
            <w:shd w:val="clear" w:color="auto" w:fill="auto"/>
            <w:vAlign w:val="center"/>
            <w:hideMark/>
          </w:tcPr>
          <w:p w14:paraId="36B23F7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w:t>
            </w:r>
          </w:p>
        </w:tc>
        <w:tc>
          <w:tcPr>
            <w:tcW w:w="407" w:type="pct"/>
            <w:tcBorders>
              <w:top w:val="nil"/>
              <w:left w:val="nil"/>
              <w:bottom w:val="single" w:sz="8" w:space="0" w:color="DCE6F1"/>
              <w:right w:val="nil"/>
            </w:tcBorders>
            <w:shd w:val="clear" w:color="auto" w:fill="auto"/>
            <w:vAlign w:val="center"/>
            <w:hideMark/>
          </w:tcPr>
          <w:p w14:paraId="6F38BF3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46</w:t>
            </w:r>
          </w:p>
        </w:tc>
        <w:tc>
          <w:tcPr>
            <w:tcW w:w="486" w:type="pct"/>
            <w:tcBorders>
              <w:top w:val="nil"/>
              <w:left w:val="nil"/>
              <w:bottom w:val="single" w:sz="8" w:space="0" w:color="DCE6F1"/>
              <w:right w:val="nil"/>
            </w:tcBorders>
            <w:shd w:val="clear" w:color="auto" w:fill="auto"/>
            <w:vAlign w:val="center"/>
            <w:hideMark/>
          </w:tcPr>
          <w:p w14:paraId="6F0CBA2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w:t>
            </w:r>
          </w:p>
        </w:tc>
      </w:tr>
      <w:tr w:rsidR="00B73FDB" w:rsidRPr="00B73FDB" w14:paraId="6C99B9F7"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78678B7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8.4.12: ŠJ pri Spojenej škole, SNP 30, Ivanka pri Dunaji </w:t>
            </w:r>
          </w:p>
        </w:tc>
        <w:tc>
          <w:tcPr>
            <w:tcW w:w="505" w:type="pct"/>
            <w:tcBorders>
              <w:top w:val="nil"/>
              <w:left w:val="nil"/>
              <w:bottom w:val="single" w:sz="8" w:space="0" w:color="DCE6F1"/>
              <w:right w:val="nil"/>
            </w:tcBorders>
            <w:shd w:val="clear" w:color="auto" w:fill="auto"/>
            <w:vAlign w:val="center"/>
            <w:hideMark/>
          </w:tcPr>
          <w:p w14:paraId="375D4CE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44</w:t>
            </w:r>
          </w:p>
        </w:tc>
        <w:tc>
          <w:tcPr>
            <w:tcW w:w="373" w:type="pct"/>
            <w:tcBorders>
              <w:top w:val="nil"/>
              <w:left w:val="nil"/>
              <w:bottom w:val="single" w:sz="8" w:space="0" w:color="DCE6F1"/>
              <w:right w:val="nil"/>
            </w:tcBorders>
            <w:shd w:val="clear" w:color="auto" w:fill="auto"/>
            <w:vAlign w:val="center"/>
            <w:hideMark/>
          </w:tcPr>
          <w:p w14:paraId="115C5EF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42</w:t>
            </w:r>
          </w:p>
        </w:tc>
        <w:tc>
          <w:tcPr>
            <w:tcW w:w="407" w:type="pct"/>
            <w:tcBorders>
              <w:top w:val="nil"/>
              <w:left w:val="nil"/>
              <w:bottom w:val="single" w:sz="8" w:space="0" w:color="DCE6F1"/>
              <w:right w:val="nil"/>
            </w:tcBorders>
            <w:shd w:val="clear" w:color="auto" w:fill="auto"/>
            <w:vAlign w:val="center"/>
            <w:hideMark/>
          </w:tcPr>
          <w:p w14:paraId="1FB4C94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81</w:t>
            </w:r>
          </w:p>
        </w:tc>
        <w:tc>
          <w:tcPr>
            <w:tcW w:w="486" w:type="pct"/>
            <w:tcBorders>
              <w:top w:val="nil"/>
              <w:left w:val="nil"/>
              <w:bottom w:val="single" w:sz="8" w:space="0" w:color="DCE6F1"/>
              <w:right w:val="nil"/>
            </w:tcBorders>
            <w:shd w:val="clear" w:color="auto" w:fill="auto"/>
            <w:vAlign w:val="center"/>
            <w:hideMark/>
          </w:tcPr>
          <w:p w14:paraId="759B946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20</w:t>
            </w:r>
          </w:p>
        </w:tc>
      </w:tr>
      <w:tr w:rsidR="00B73FDB" w:rsidRPr="00B73FDB" w14:paraId="594BEF15"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6080248D"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8.4.13: ŠJ pri SOŠ záhradníckej, Malinovo </w:t>
            </w:r>
          </w:p>
        </w:tc>
        <w:tc>
          <w:tcPr>
            <w:tcW w:w="505" w:type="pct"/>
            <w:tcBorders>
              <w:top w:val="nil"/>
              <w:left w:val="nil"/>
              <w:bottom w:val="single" w:sz="8" w:space="0" w:color="DCE6F1"/>
              <w:right w:val="nil"/>
            </w:tcBorders>
            <w:shd w:val="clear" w:color="auto" w:fill="auto"/>
            <w:vAlign w:val="center"/>
            <w:hideMark/>
          </w:tcPr>
          <w:p w14:paraId="2F071DC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w:t>
            </w:r>
          </w:p>
        </w:tc>
        <w:tc>
          <w:tcPr>
            <w:tcW w:w="373" w:type="pct"/>
            <w:tcBorders>
              <w:top w:val="nil"/>
              <w:left w:val="nil"/>
              <w:bottom w:val="single" w:sz="8" w:space="0" w:color="DCE6F1"/>
              <w:right w:val="nil"/>
            </w:tcBorders>
            <w:shd w:val="clear" w:color="auto" w:fill="auto"/>
            <w:vAlign w:val="center"/>
            <w:hideMark/>
          </w:tcPr>
          <w:p w14:paraId="3F0D112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w:t>
            </w:r>
          </w:p>
        </w:tc>
        <w:tc>
          <w:tcPr>
            <w:tcW w:w="407" w:type="pct"/>
            <w:tcBorders>
              <w:top w:val="nil"/>
              <w:left w:val="nil"/>
              <w:bottom w:val="single" w:sz="8" w:space="0" w:color="DCE6F1"/>
              <w:right w:val="nil"/>
            </w:tcBorders>
            <w:shd w:val="clear" w:color="auto" w:fill="auto"/>
            <w:vAlign w:val="center"/>
            <w:hideMark/>
          </w:tcPr>
          <w:p w14:paraId="7357430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w:t>
            </w:r>
          </w:p>
        </w:tc>
        <w:tc>
          <w:tcPr>
            <w:tcW w:w="486" w:type="pct"/>
            <w:tcBorders>
              <w:top w:val="nil"/>
              <w:left w:val="nil"/>
              <w:bottom w:val="single" w:sz="8" w:space="0" w:color="DCE6F1"/>
              <w:right w:val="nil"/>
            </w:tcBorders>
            <w:shd w:val="clear" w:color="auto" w:fill="auto"/>
            <w:vAlign w:val="center"/>
            <w:hideMark/>
          </w:tcPr>
          <w:p w14:paraId="75B26EA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r>
      <w:tr w:rsidR="00B73FDB" w:rsidRPr="00B73FDB" w14:paraId="070B1083"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511FE08E"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8.4.14: ŠJ pri SOŠ vinársko-ovocinárskej, Kostolná 3, Modra </w:t>
            </w:r>
          </w:p>
        </w:tc>
        <w:tc>
          <w:tcPr>
            <w:tcW w:w="505" w:type="pct"/>
            <w:tcBorders>
              <w:top w:val="nil"/>
              <w:left w:val="nil"/>
              <w:bottom w:val="single" w:sz="8" w:space="0" w:color="DCE6F1"/>
              <w:right w:val="nil"/>
            </w:tcBorders>
            <w:shd w:val="clear" w:color="auto" w:fill="auto"/>
            <w:vAlign w:val="center"/>
            <w:hideMark/>
          </w:tcPr>
          <w:p w14:paraId="4EF67EF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67</w:t>
            </w:r>
          </w:p>
        </w:tc>
        <w:tc>
          <w:tcPr>
            <w:tcW w:w="373" w:type="pct"/>
            <w:tcBorders>
              <w:top w:val="nil"/>
              <w:left w:val="nil"/>
              <w:bottom w:val="single" w:sz="8" w:space="0" w:color="DCE6F1"/>
              <w:right w:val="nil"/>
            </w:tcBorders>
            <w:shd w:val="clear" w:color="auto" w:fill="auto"/>
            <w:vAlign w:val="center"/>
            <w:hideMark/>
          </w:tcPr>
          <w:p w14:paraId="6171288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72</w:t>
            </w:r>
          </w:p>
        </w:tc>
        <w:tc>
          <w:tcPr>
            <w:tcW w:w="407" w:type="pct"/>
            <w:tcBorders>
              <w:top w:val="nil"/>
              <w:left w:val="nil"/>
              <w:bottom w:val="single" w:sz="8" w:space="0" w:color="DCE6F1"/>
              <w:right w:val="nil"/>
            </w:tcBorders>
            <w:shd w:val="clear" w:color="auto" w:fill="auto"/>
            <w:vAlign w:val="center"/>
            <w:hideMark/>
          </w:tcPr>
          <w:p w14:paraId="4D2CFE1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116</w:t>
            </w:r>
          </w:p>
        </w:tc>
        <w:tc>
          <w:tcPr>
            <w:tcW w:w="486" w:type="pct"/>
            <w:tcBorders>
              <w:top w:val="nil"/>
              <w:left w:val="nil"/>
              <w:bottom w:val="single" w:sz="8" w:space="0" w:color="DCE6F1"/>
              <w:right w:val="nil"/>
            </w:tcBorders>
            <w:shd w:val="clear" w:color="auto" w:fill="auto"/>
            <w:vAlign w:val="center"/>
            <w:hideMark/>
          </w:tcPr>
          <w:p w14:paraId="521B940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29</w:t>
            </w:r>
          </w:p>
        </w:tc>
      </w:tr>
      <w:tr w:rsidR="00B73FDB" w:rsidRPr="00B73FDB" w14:paraId="72B25E57"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4E85330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8.4.15: ŠJ pri SOŠ informačných technológií, Hlinická 1, BA </w:t>
            </w:r>
          </w:p>
        </w:tc>
        <w:tc>
          <w:tcPr>
            <w:tcW w:w="505" w:type="pct"/>
            <w:tcBorders>
              <w:top w:val="nil"/>
              <w:left w:val="nil"/>
              <w:bottom w:val="single" w:sz="8" w:space="0" w:color="DCE6F1"/>
              <w:right w:val="nil"/>
            </w:tcBorders>
            <w:shd w:val="clear" w:color="auto" w:fill="auto"/>
            <w:vAlign w:val="center"/>
            <w:hideMark/>
          </w:tcPr>
          <w:p w14:paraId="670276C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16</w:t>
            </w:r>
          </w:p>
        </w:tc>
        <w:tc>
          <w:tcPr>
            <w:tcW w:w="373" w:type="pct"/>
            <w:tcBorders>
              <w:top w:val="nil"/>
              <w:left w:val="nil"/>
              <w:bottom w:val="single" w:sz="8" w:space="0" w:color="DCE6F1"/>
              <w:right w:val="nil"/>
            </w:tcBorders>
            <w:shd w:val="clear" w:color="auto" w:fill="auto"/>
            <w:vAlign w:val="center"/>
            <w:hideMark/>
          </w:tcPr>
          <w:p w14:paraId="649423E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w:t>
            </w:r>
          </w:p>
        </w:tc>
        <w:tc>
          <w:tcPr>
            <w:tcW w:w="407" w:type="pct"/>
            <w:tcBorders>
              <w:top w:val="nil"/>
              <w:left w:val="nil"/>
              <w:bottom w:val="single" w:sz="8" w:space="0" w:color="DCE6F1"/>
              <w:right w:val="nil"/>
            </w:tcBorders>
            <w:shd w:val="clear" w:color="auto" w:fill="auto"/>
            <w:vAlign w:val="center"/>
            <w:hideMark/>
          </w:tcPr>
          <w:p w14:paraId="223182A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19</w:t>
            </w:r>
          </w:p>
        </w:tc>
        <w:tc>
          <w:tcPr>
            <w:tcW w:w="486" w:type="pct"/>
            <w:tcBorders>
              <w:top w:val="nil"/>
              <w:left w:val="nil"/>
              <w:bottom w:val="single" w:sz="8" w:space="0" w:color="DCE6F1"/>
              <w:right w:val="nil"/>
            </w:tcBorders>
            <w:shd w:val="clear" w:color="auto" w:fill="auto"/>
            <w:vAlign w:val="center"/>
            <w:hideMark/>
          </w:tcPr>
          <w:p w14:paraId="606DE33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w:t>
            </w:r>
          </w:p>
        </w:tc>
      </w:tr>
      <w:tr w:rsidR="00B73FDB" w:rsidRPr="00B73FDB" w14:paraId="7396CE30"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3FDA13A3"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8.4.16: ŠJ pri SOŠ hotelových služieb a obchodu, Na Pántoch 9, BA </w:t>
            </w:r>
          </w:p>
        </w:tc>
        <w:tc>
          <w:tcPr>
            <w:tcW w:w="505" w:type="pct"/>
            <w:tcBorders>
              <w:top w:val="nil"/>
              <w:left w:val="nil"/>
              <w:bottom w:val="single" w:sz="8" w:space="0" w:color="DCE6F1"/>
              <w:right w:val="nil"/>
            </w:tcBorders>
            <w:shd w:val="clear" w:color="auto" w:fill="auto"/>
            <w:vAlign w:val="center"/>
            <w:hideMark/>
          </w:tcPr>
          <w:p w14:paraId="2C301A9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28</w:t>
            </w:r>
          </w:p>
        </w:tc>
        <w:tc>
          <w:tcPr>
            <w:tcW w:w="373" w:type="pct"/>
            <w:tcBorders>
              <w:top w:val="nil"/>
              <w:left w:val="nil"/>
              <w:bottom w:val="single" w:sz="8" w:space="0" w:color="DCE6F1"/>
              <w:right w:val="nil"/>
            </w:tcBorders>
            <w:shd w:val="clear" w:color="auto" w:fill="auto"/>
            <w:vAlign w:val="center"/>
            <w:hideMark/>
          </w:tcPr>
          <w:p w14:paraId="4C78426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30</w:t>
            </w:r>
          </w:p>
        </w:tc>
        <w:tc>
          <w:tcPr>
            <w:tcW w:w="407" w:type="pct"/>
            <w:tcBorders>
              <w:top w:val="nil"/>
              <w:left w:val="nil"/>
              <w:bottom w:val="single" w:sz="8" w:space="0" w:color="DCE6F1"/>
              <w:right w:val="nil"/>
            </w:tcBorders>
            <w:shd w:val="clear" w:color="auto" w:fill="auto"/>
            <w:vAlign w:val="center"/>
            <w:hideMark/>
          </w:tcPr>
          <w:p w14:paraId="3C97804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44</w:t>
            </w:r>
          </w:p>
        </w:tc>
        <w:tc>
          <w:tcPr>
            <w:tcW w:w="486" w:type="pct"/>
            <w:tcBorders>
              <w:top w:val="nil"/>
              <w:left w:val="nil"/>
              <w:bottom w:val="single" w:sz="8" w:space="0" w:color="DCE6F1"/>
              <w:right w:val="nil"/>
            </w:tcBorders>
            <w:shd w:val="clear" w:color="auto" w:fill="auto"/>
            <w:vAlign w:val="center"/>
            <w:hideMark/>
          </w:tcPr>
          <w:p w14:paraId="1B219D2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17</w:t>
            </w:r>
          </w:p>
        </w:tc>
      </w:tr>
      <w:tr w:rsidR="00B73FDB" w:rsidRPr="00B73FDB" w14:paraId="52D511EC"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7B70EC4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8.4.17: ŠJ pri SOŠ, </w:t>
            </w:r>
            <w:proofErr w:type="spellStart"/>
            <w:r w:rsidRPr="00B73FDB">
              <w:rPr>
                <w:rFonts w:cs="Calibri"/>
                <w:color w:val="000000"/>
                <w:sz w:val="20"/>
                <w:szCs w:val="20"/>
                <w:lang w:eastAsia="sk-SK"/>
              </w:rPr>
              <w:t>Myslenická</w:t>
            </w:r>
            <w:proofErr w:type="spellEnd"/>
            <w:r w:rsidRPr="00B73FDB">
              <w:rPr>
                <w:rFonts w:cs="Calibri"/>
                <w:color w:val="000000"/>
                <w:sz w:val="20"/>
                <w:szCs w:val="20"/>
                <w:lang w:eastAsia="sk-SK"/>
              </w:rPr>
              <w:t xml:space="preserve"> 1, Pezinok </w:t>
            </w:r>
          </w:p>
        </w:tc>
        <w:tc>
          <w:tcPr>
            <w:tcW w:w="505" w:type="pct"/>
            <w:tcBorders>
              <w:top w:val="nil"/>
              <w:left w:val="nil"/>
              <w:bottom w:val="single" w:sz="8" w:space="0" w:color="DCE6F1"/>
              <w:right w:val="nil"/>
            </w:tcBorders>
            <w:shd w:val="clear" w:color="auto" w:fill="auto"/>
            <w:vAlign w:val="center"/>
            <w:hideMark/>
          </w:tcPr>
          <w:p w14:paraId="3625BF9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w:t>
            </w:r>
          </w:p>
        </w:tc>
        <w:tc>
          <w:tcPr>
            <w:tcW w:w="373" w:type="pct"/>
            <w:tcBorders>
              <w:top w:val="nil"/>
              <w:left w:val="nil"/>
              <w:bottom w:val="single" w:sz="8" w:space="0" w:color="DCE6F1"/>
              <w:right w:val="nil"/>
            </w:tcBorders>
            <w:shd w:val="clear" w:color="auto" w:fill="auto"/>
            <w:vAlign w:val="center"/>
            <w:hideMark/>
          </w:tcPr>
          <w:p w14:paraId="6134665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w:t>
            </w:r>
          </w:p>
        </w:tc>
        <w:tc>
          <w:tcPr>
            <w:tcW w:w="407" w:type="pct"/>
            <w:tcBorders>
              <w:top w:val="nil"/>
              <w:left w:val="nil"/>
              <w:bottom w:val="single" w:sz="8" w:space="0" w:color="DCE6F1"/>
              <w:right w:val="nil"/>
            </w:tcBorders>
            <w:shd w:val="clear" w:color="auto" w:fill="auto"/>
            <w:vAlign w:val="center"/>
            <w:hideMark/>
          </w:tcPr>
          <w:p w14:paraId="3247DB7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17</w:t>
            </w:r>
          </w:p>
        </w:tc>
        <w:tc>
          <w:tcPr>
            <w:tcW w:w="486" w:type="pct"/>
            <w:tcBorders>
              <w:top w:val="nil"/>
              <w:left w:val="nil"/>
              <w:bottom w:val="single" w:sz="8" w:space="0" w:color="DCE6F1"/>
              <w:right w:val="nil"/>
            </w:tcBorders>
            <w:shd w:val="clear" w:color="auto" w:fill="auto"/>
            <w:vAlign w:val="center"/>
            <w:hideMark/>
          </w:tcPr>
          <w:p w14:paraId="09BA803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w:t>
            </w:r>
          </w:p>
        </w:tc>
      </w:tr>
      <w:tr w:rsidR="00B73FDB" w:rsidRPr="00B73FDB" w14:paraId="5C4A27D0"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531D6C1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8.4.18: ŠJ pri SOŠ, Račianska 105, BA </w:t>
            </w:r>
          </w:p>
        </w:tc>
        <w:tc>
          <w:tcPr>
            <w:tcW w:w="505" w:type="pct"/>
            <w:tcBorders>
              <w:top w:val="nil"/>
              <w:left w:val="nil"/>
              <w:bottom w:val="single" w:sz="8" w:space="0" w:color="DCE6F1"/>
              <w:right w:val="nil"/>
            </w:tcBorders>
            <w:shd w:val="clear" w:color="auto" w:fill="auto"/>
            <w:vAlign w:val="center"/>
            <w:hideMark/>
          </w:tcPr>
          <w:p w14:paraId="2AC7A02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w:t>
            </w:r>
          </w:p>
        </w:tc>
        <w:tc>
          <w:tcPr>
            <w:tcW w:w="373" w:type="pct"/>
            <w:tcBorders>
              <w:top w:val="nil"/>
              <w:left w:val="nil"/>
              <w:bottom w:val="single" w:sz="8" w:space="0" w:color="DCE6F1"/>
              <w:right w:val="nil"/>
            </w:tcBorders>
            <w:shd w:val="clear" w:color="auto" w:fill="auto"/>
            <w:vAlign w:val="center"/>
            <w:hideMark/>
          </w:tcPr>
          <w:p w14:paraId="4757685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w:t>
            </w:r>
          </w:p>
        </w:tc>
        <w:tc>
          <w:tcPr>
            <w:tcW w:w="407" w:type="pct"/>
            <w:tcBorders>
              <w:top w:val="nil"/>
              <w:left w:val="nil"/>
              <w:bottom w:val="single" w:sz="8" w:space="0" w:color="DCE6F1"/>
              <w:right w:val="nil"/>
            </w:tcBorders>
            <w:shd w:val="clear" w:color="auto" w:fill="auto"/>
            <w:vAlign w:val="center"/>
            <w:hideMark/>
          </w:tcPr>
          <w:p w14:paraId="7F4B5EB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34</w:t>
            </w:r>
          </w:p>
        </w:tc>
        <w:tc>
          <w:tcPr>
            <w:tcW w:w="486" w:type="pct"/>
            <w:tcBorders>
              <w:top w:val="nil"/>
              <w:left w:val="nil"/>
              <w:bottom w:val="single" w:sz="8" w:space="0" w:color="DCE6F1"/>
              <w:right w:val="nil"/>
            </w:tcBorders>
            <w:shd w:val="clear" w:color="auto" w:fill="auto"/>
            <w:vAlign w:val="center"/>
            <w:hideMark/>
          </w:tcPr>
          <w:p w14:paraId="097EB09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w:t>
            </w:r>
          </w:p>
        </w:tc>
      </w:tr>
      <w:tr w:rsidR="00B73FDB" w:rsidRPr="00B73FDB" w14:paraId="1CBF997B"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23E639E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8.4.19: ŠJ pri Hotelovej akadémii, </w:t>
            </w:r>
            <w:proofErr w:type="spellStart"/>
            <w:r w:rsidRPr="00B73FDB">
              <w:rPr>
                <w:rFonts w:cs="Calibri"/>
                <w:color w:val="000000"/>
                <w:sz w:val="20"/>
                <w:szCs w:val="20"/>
                <w:lang w:eastAsia="sk-SK"/>
              </w:rPr>
              <w:t>Mikovíniho</w:t>
            </w:r>
            <w:proofErr w:type="spellEnd"/>
            <w:r w:rsidRPr="00B73FDB">
              <w:rPr>
                <w:rFonts w:cs="Calibri"/>
                <w:color w:val="000000"/>
                <w:sz w:val="20"/>
                <w:szCs w:val="20"/>
                <w:lang w:eastAsia="sk-SK"/>
              </w:rPr>
              <w:t xml:space="preserve"> 1, BA </w:t>
            </w:r>
          </w:p>
        </w:tc>
        <w:tc>
          <w:tcPr>
            <w:tcW w:w="505" w:type="pct"/>
            <w:tcBorders>
              <w:top w:val="nil"/>
              <w:left w:val="nil"/>
              <w:bottom w:val="single" w:sz="8" w:space="0" w:color="DCE6F1"/>
              <w:right w:val="nil"/>
            </w:tcBorders>
            <w:shd w:val="clear" w:color="auto" w:fill="auto"/>
            <w:vAlign w:val="center"/>
            <w:hideMark/>
          </w:tcPr>
          <w:p w14:paraId="5248C0A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w:t>
            </w:r>
          </w:p>
        </w:tc>
        <w:tc>
          <w:tcPr>
            <w:tcW w:w="373" w:type="pct"/>
            <w:tcBorders>
              <w:top w:val="nil"/>
              <w:left w:val="nil"/>
              <w:bottom w:val="single" w:sz="8" w:space="0" w:color="DCE6F1"/>
              <w:right w:val="nil"/>
            </w:tcBorders>
            <w:shd w:val="clear" w:color="auto" w:fill="auto"/>
            <w:vAlign w:val="center"/>
            <w:hideMark/>
          </w:tcPr>
          <w:p w14:paraId="4C1420D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w:t>
            </w:r>
          </w:p>
        </w:tc>
        <w:tc>
          <w:tcPr>
            <w:tcW w:w="407" w:type="pct"/>
            <w:tcBorders>
              <w:top w:val="nil"/>
              <w:left w:val="nil"/>
              <w:bottom w:val="single" w:sz="8" w:space="0" w:color="DCE6F1"/>
              <w:right w:val="nil"/>
            </w:tcBorders>
            <w:shd w:val="clear" w:color="auto" w:fill="auto"/>
            <w:vAlign w:val="center"/>
            <w:hideMark/>
          </w:tcPr>
          <w:p w14:paraId="3B3D6F5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w:t>
            </w:r>
          </w:p>
        </w:tc>
        <w:tc>
          <w:tcPr>
            <w:tcW w:w="486" w:type="pct"/>
            <w:tcBorders>
              <w:top w:val="nil"/>
              <w:left w:val="nil"/>
              <w:bottom w:val="single" w:sz="8" w:space="0" w:color="DCE6F1"/>
              <w:right w:val="nil"/>
            </w:tcBorders>
            <w:shd w:val="clear" w:color="auto" w:fill="auto"/>
            <w:vAlign w:val="center"/>
            <w:hideMark/>
          </w:tcPr>
          <w:p w14:paraId="3EE61BA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w:t>
            </w:r>
          </w:p>
        </w:tc>
      </w:tr>
      <w:tr w:rsidR="00B73FDB" w:rsidRPr="00B73FDB" w14:paraId="29266ECF"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7D6FC5E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8.4.20: ŠJ pri SOŠ polygrafickej, Račianska 190, BA</w:t>
            </w:r>
          </w:p>
        </w:tc>
        <w:tc>
          <w:tcPr>
            <w:tcW w:w="505" w:type="pct"/>
            <w:tcBorders>
              <w:top w:val="nil"/>
              <w:left w:val="nil"/>
              <w:bottom w:val="single" w:sz="8" w:space="0" w:color="DCE6F1"/>
              <w:right w:val="nil"/>
            </w:tcBorders>
            <w:shd w:val="clear" w:color="auto" w:fill="auto"/>
            <w:vAlign w:val="center"/>
            <w:hideMark/>
          </w:tcPr>
          <w:p w14:paraId="4408B81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w:t>
            </w:r>
          </w:p>
        </w:tc>
        <w:tc>
          <w:tcPr>
            <w:tcW w:w="373" w:type="pct"/>
            <w:tcBorders>
              <w:top w:val="nil"/>
              <w:left w:val="nil"/>
              <w:bottom w:val="single" w:sz="8" w:space="0" w:color="DCE6F1"/>
              <w:right w:val="nil"/>
            </w:tcBorders>
            <w:shd w:val="clear" w:color="auto" w:fill="auto"/>
            <w:vAlign w:val="center"/>
            <w:hideMark/>
          </w:tcPr>
          <w:p w14:paraId="1D8B1D9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33</w:t>
            </w:r>
          </w:p>
        </w:tc>
        <w:tc>
          <w:tcPr>
            <w:tcW w:w="407" w:type="pct"/>
            <w:tcBorders>
              <w:top w:val="nil"/>
              <w:left w:val="nil"/>
              <w:bottom w:val="single" w:sz="8" w:space="0" w:color="DCE6F1"/>
              <w:right w:val="nil"/>
            </w:tcBorders>
            <w:shd w:val="clear" w:color="auto" w:fill="auto"/>
            <w:vAlign w:val="center"/>
            <w:hideMark/>
          </w:tcPr>
          <w:p w14:paraId="7CFB6F3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58</w:t>
            </w:r>
          </w:p>
        </w:tc>
        <w:tc>
          <w:tcPr>
            <w:tcW w:w="486" w:type="pct"/>
            <w:tcBorders>
              <w:top w:val="nil"/>
              <w:left w:val="nil"/>
              <w:bottom w:val="single" w:sz="8" w:space="0" w:color="DCE6F1"/>
              <w:right w:val="nil"/>
            </w:tcBorders>
            <w:shd w:val="clear" w:color="auto" w:fill="auto"/>
            <w:vAlign w:val="center"/>
            <w:hideMark/>
          </w:tcPr>
          <w:p w14:paraId="54E67BC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w:t>
            </w:r>
          </w:p>
        </w:tc>
      </w:tr>
      <w:tr w:rsidR="00B73FDB" w:rsidRPr="00B73FDB" w14:paraId="35BC0748"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4275D0E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8.4.21: ŠJ pri SOŠ, Kysucká 14, Senec </w:t>
            </w:r>
          </w:p>
        </w:tc>
        <w:tc>
          <w:tcPr>
            <w:tcW w:w="505" w:type="pct"/>
            <w:tcBorders>
              <w:top w:val="nil"/>
              <w:left w:val="nil"/>
              <w:bottom w:val="single" w:sz="8" w:space="0" w:color="DCE6F1"/>
              <w:right w:val="nil"/>
            </w:tcBorders>
            <w:shd w:val="clear" w:color="auto" w:fill="auto"/>
            <w:vAlign w:val="center"/>
            <w:hideMark/>
          </w:tcPr>
          <w:p w14:paraId="3CDC996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w:t>
            </w:r>
          </w:p>
        </w:tc>
        <w:tc>
          <w:tcPr>
            <w:tcW w:w="373" w:type="pct"/>
            <w:tcBorders>
              <w:top w:val="nil"/>
              <w:left w:val="nil"/>
              <w:bottom w:val="single" w:sz="8" w:space="0" w:color="DCE6F1"/>
              <w:right w:val="nil"/>
            </w:tcBorders>
            <w:shd w:val="clear" w:color="auto" w:fill="auto"/>
            <w:vAlign w:val="center"/>
            <w:hideMark/>
          </w:tcPr>
          <w:p w14:paraId="75F673B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w:t>
            </w:r>
          </w:p>
        </w:tc>
        <w:tc>
          <w:tcPr>
            <w:tcW w:w="407" w:type="pct"/>
            <w:tcBorders>
              <w:top w:val="nil"/>
              <w:left w:val="nil"/>
              <w:bottom w:val="single" w:sz="8" w:space="0" w:color="DCE6F1"/>
              <w:right w:val="nil"/>
            </w:tcBorders>
            <w:shd w:val="clear" w:color="auto" w:fill="auto"/>
            <w:vAlign w:val="center"/>
            <w:hideMark/>
          </w:tcPr>
          <w:p w14:paraId="0AC2F9A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w:t>
            </w:r>
          </w:p>
        </w:tc>
        <w:tc>
          <w:tcPr>
            <w:tcW w:w="486" w:type="pct"/>
            <w:tcBorders>
              <w:top w:val="nil"/>
              <w:left w:val="nil"/>
              <w:bottom w:val="single" w:sz="8" w:space="0" w:color="DCE6F1"/>
              <w:right w:val="nil"/>
            </w:tcBorders>
            <w:shd w:val="clear" w:color="auto" w:fill="auto"/>
            <w:vAlign w:val="center"/>
            <w:hideMark/>
          </w:tcPr>
          <w:p w14:paraId="74EFFCA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w:t>
            </w:r>
          </w:p>
        </w:tc>
      </w:tr>
      <w:tr w:rsidR="00B73FDB" w:rsidRPr="00B73FDB" w14:paraId="706B3044" w14:textId="77777777" w:rsidTr="00B73FDB">
        <w:trPr>
          <w:trHeight w:val="300"/>
        </w:trPr>
        <w:tc>
          <w:tcPr>
            <w:tcW w:w="3229" w:type="pct"/>
            <w:tcBorders>
              <w:top w:val="single" w:sz="8" w:space="0" w:color="DCE6F1"/>
              <w:left w:val="nil"/>
              <w:bottom w:val="single" w:sz="8" w:space="0" w:color="DCE6F1"/>
              <w:right w:val="nil"/>
            </w:tcBorders>
            <w:shd w:val="clear" w:color="auto" w:fill="auto"/>
            <w:noWrap/>
            <w:vAlign w:val="center"/>
            <w:hideMark/>
          </w:tcPr>
          <w:p w14:paraId="0970179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8.4.22: ŠJ pri Gymnáziu, </w:t>
            </w:r>
            <w:proofErr w:type="spellStart"/>
            <w:r w:rsidRPr="00B73FDB">
              <w:rPr>
                <w:rFonts w:cs="Calibri"/>
                <w:color w:val="000000"/>
                <w:sz w:val="20"/>
                <w:szCs w:val="20"/>
                <w:lang w:eastAsia="sk-SK"/>
              </w:rPr>
              <w:t>Grosslingova</w:t>
            </w:r>
            <w:proofErr w:type="spellEnd"/>
            <w:r w:rsidRPr="00B73FDB">
              <w:rPr>
                <w:rFonts w:cs="Calibri"/>
                <w:color w:val="000000"/>
                <w:sz w:val="20"/>
                <w:szCs w:val="20"/>
                <w:lang w:eastAsia="sk-SK"/>
              </w:rPr>
              <w:t xml:space="preserve"> 18, BA</w:t>
            </w:r>
          </w:p>
        </w:tc>
        <w:tc>
          <w:tcPr>
            <w:tcW w:w="505" w:type="pct"/>
            <w:tcBorders>
              <w:top w:val="single" w:sz="8" w:space="0" w:color="DCE6F1"/>
              <w:left w:val="nil"/>
              <w:bottom w:val="single" w:sz="8" w:space="0" w:color="DCE6F1"/>
              <w:right w:val="nil"/>
            </w:tcBorders>
            <w:shd w:val="clear" w:color="auto" w:fill="auto"/>
            <w:vAlign w:val="center"/>
            <w:hideMark/>
          </w:tcPr>
          <w:p w14:paraId="2C46E6A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373" w:type="pct"/>
            <w:tcBorders>
              <w:top w:val="single" w:sz="8" w:space="0" w:color="DCE6F1"/>
              <w:left w:val="nil"/>
              <w:bottom w:val="single" w:sz="8" w:space="0" w:color="DCE6F1"/>
              <w:right w:val="nil"/>
            </w:tcBorders>
            <w:shd w:val="clear" w:color="auto" w:fill="auto"/>
            <w:vAlign w:val="center"/>
            <w:hideMark/>
          </w:tcPr>
          <w:p w14:paraId="370BA83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31</w:t>
            </w:r>
          </w:p>
        </w:tc>
        <w:tc>
          <w:tcPr>
            <w:tcW w:w="407" w:type="pct"/>
            <w:tcBorders>
              <w:top w:val="single" w:sz="8" w:space="0" w:color="DCE6F1"/>
              <w:left w:val="nil"/>
              <w:bottom w:val="single" w:sz="8" w:space="0" w:color="DCE6F1"/>
              <w:right w:val="nil"/>
            </w:tcBorders>
            <w:shd w:val="clear" w:color="auto" w:fill="auto"/>
            <w:vAlign w:val="center"/>
            <w:hideMark/>
          </w:tcPr>
          <w:p w14:paraId="55409F5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98</w:t>
            </w:r>
          </w:p>
        </w:tc>
        <w:tc>
          <w:tcPr>
            <w:tcW w:w="486" w:type="pct"/>
            <w:tcBorders>
              <w:top w:val="single" w:sz="8" w:space="0" w:color="DCE6F1"/>
              <w:left w:val="nil"/>
              <w:bottom w:val="single" w:sz="8" w:space="0" w:color="DCE6F1"/>
              <w:right w:val="nil"/>
            </w:tcBorders>
            <w:shd w:val="clear" w:color="auto" w:fill="auto"/>
            <w:vAlign w:val="center"/>
            <w:hideMark/>
          </w:tcPr>
          <w:p w14:paraId="2B2CCAC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28</w:t>
            </w:r>
          </w:p>
        </w:tc>
      </w:tr>
      <w:tr w:rsidR="00B73FDB" w:rsidRPr="00B73FDB" w14:paraId="4D245796" w14:textId="77777777" w:rsidTr="00B73FDB">
        <w:trPr>
          <w:trHeight w:val="300"/>
        </w:trPr>
        <w:tc>
          <w:tcPr>
            <w:tcW w:w="3229" w:type="pct"/>
            <w:tcBorders>
              <w:top w:val="single" w:sz="8" w:space="0" w:color="DCE6F1"/>
              <w:left w:val="nil"/>
              <w:bottom w:val="single" w:sz="8" w:space="0" w:color="DCE6F1"/>
              <w:right w:val="nil"/>
            </w:tcBorders>
            <w:shd w:val="clear" w:color="auto" w:fill="auto"/>
            <w:noWrap/>
            <w:vAlign w:val="center"/>
          </w:tcPr>
          <w:p w14:paraId="5B279EF5"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8.4.23: ŠJ pri Spojenej škole, Malinovo</w:t>
            </w:r>
          </w:p>
        </w:tc>
        <w:tc>
          <w:tcPr>
            <w:tcW w:w="505" w:type="pct"/>
            <w:tcBorders>
              <w:top w:val="single" w:sz="8" w:space="0" w:color="DCE6F1"/>
              <w:left w:val="nil"/>
              <w:bottom w:val="single" w:sz="8" w:space="0" w:color="DCE6F1"/>
              <w:right w:val="nil"/>
            </w:tcBorders>
            <w:shd w:val="clear" w:color="auto" w:fill="auto"/>
            <w:vAlign w:val="center"/>
          </w:tcPr>
          <w:p w14:paraId="1A09F96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373" w:type="pct"/>
            <w:tcBorders>
              <w:top w:val="single" w:sz="8" w:space="0" w:color="DCE6F1"/>
              <w:left w:val="nil"/>
              <w:bottom w:val="single" w:sz="8" w:space="0" w:color="DCE6F1"/>
              <w:right w:val="nil"/>
            </w:tcBorders>
            <w:shd w:val="clear" w:color="auto" w:fill="auto"/>
            <w:vAlign w:val="center"/>
          </w:tcPr>
          <w:p w14:paraId="0BB149B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07" w:type="pct"/>
            <w:tcBorders>
              <w:top w:val="single" w:sz="8" w:space="0" w:color="DCE6F1"/>
              <w:left w:val="nil"/>
              <w:bottom w:val="single" w:sz="8" w:space="0" w:color="DCE6F1"/>
              <w:right w:val="nil"/>
            </w:tcBorders>
            <w:shd w:val="clear" w:color="auto" w:fill="auto"/>
            <w:vAlign w:val="center"/>
          </w:tcPr>
          <w:p w14:paraId="2B66E4C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20</w:t>
            </w:r>
          </w:p>
        </w:tc>
        <w:tc>
          <w:tcPr>
            <w:tcW w:w="486" w:type="pct"/>
            <w:tcBorders>
              <w:top w:val="single" w:sz="8" w:space="0" w:color="DCE6F1"/>
              <w:left w:val="nil"/>
              <w:bottom w:val="single" w:sz="8" w:space="0" w:color="DCE6F1"/>
              <w:right w:val="nil"/>
            </w:tcBorders>
            <w:shd w:val="clear" w:color="auto" w:fill="auto"/>
            <w:vAlign w:val="center"/>
          </w:tcPr>
          <w:p w14:paraId="256274B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31</w:t>
            </w:r>
          </w:p>
        </w:tc>
      </w:tr>
      <w:tr w:rsidR="00B73FDB" w:rsidRPr="00B73FDB" w14:paraId="2D1A63A4" w14:textId="77777777" w:rsidTr="00B73FDB">
        <w:trPr>
          <w:trHeight w:val="300"/>
        </w:trPr>
        <w:tc>
          <w:tcPr>
            <w:tcW w:w="3229" w:type="pct"/>
            <w:tcBorders>
              <w:top w:val="single" w:sz="8" w:space="0" w:color="DCE6F1"/>
              <w:left w:val="nil"/>
              <w:bottom w:val="single" w:sz="8" w:space="0" w:color="DCE6F1"/>
              <w:right w:val="nil"/>
            </w:tcBorders>
            <w:shd w:val="clear" w:color="auto" w:fill="auto"/>
            <w:noWrap/>
            <w:vAlign w:val="center"/>
          </w:tcPr>
          <w:p w14:paraId="0640FDCC"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8.4.24: ŠJ pri Spojenej škole, </w:t>
            </w:r>
            <w:proofErr w:type="spellStart"/>
            <w:r w:rsidRPr="00B73FDB">
              <w:rPr>
                <w:rFonts w:cs="Calibri"/>
                <w:color w:val="000000"/>
                <w:sz w:val="20"/>
                <w:szCs w:val="20"/>
                <w:lang w:eastAsia="sk-SK"/>
              </w:rPr>
              <w:t>Ostredkova</w:t>
            </w:r>
            <w:proofErr w:type="spellEnd"/>
            <w:r w:rsidRPr="00B73FDB">
              <w:rPr>
                <w:rFonts w:cs="Calibri"/>
                <w:color w:val="000000"/>
                <w:sz w:val="20"/>
                <w:szCs w:val="20"/>
                <w:lang w:eastAsia="sk-SK"/>
              </w:rPr>
              <w:t xml:space="preserve"> 10, BA</w:t>
            </w:r>
          </w:p>
        </w:tc>
        <w:tc>
          <w:tcPr>
            <w:tcW w:w="505" w:type="pct"/>
            <w:tcBorders>
              <w:top w:val="single" w:sz="8" w:space="0" w:color="DCE6F1"/>
              <w:left w:val="nil"/>
              <w:bottom w:val="single" w:sz="8" w:space="0" w:color="DCE6F1"/>
              <w:right w:val="nil"/>
            </w:tcBorders>
            <w:shd w:val="clear" w:color="auto" w:fill="auto"/>
            <w:vAlign w:val="center"/>
          </w:tcPr>
          <w:p w14:paraId="0655289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373" w:type="pct"/>
            <w:tcBorders>
              <w:top w:val="single" w:sz="8" w:space="0" w:color="DCE6F1"/>
              <w:left w:val="nil"/>
              <w:bottom w:val="single" w:sz="8" w:space="0" w:color="DCE6F1"/>
              <w:right w:val="nil"/>
            </w:tcBorders>
            <w:shd w:val="clear" w:color="auto" w:fill="auto"/>
            <w:vAlign w:val="center"/>
          </w:tcPr>
          <w:p w14:paraId="0C030C8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07" w:type="pct"/>
            <w:tcBorders>
              <w:top w:val="single" w:sz="8" w:space="0" w:color="DCE6F1"/>
              <w:left w:val="nil"/>
              <w:bottom w:val="single" w:sz="8" w:space="0" w:color="DCE6F1"/>
              <w:right w:val="nil"/>
            </w:tcBorders>
            <w:shd w:val="clear" w:color="auto" w:fill="auto"/>
            <w:vAlign w:val="center"/>
          </w:tcPr>
          <w:p w14:paraId="6C03C76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86" w:type="pct"/>
            <w:tcBorders>
              <w:top w:val="single" w:sz="8" w:space="0" w:color="DCE6F1"/>
              <w:left w:val="nil"/>
              <w:bottom w:val="single" w:sz="8" w:space="0" w:color="DCE6F1"/>
              <w:right w:val="nil"/>
            </w:tcBorders>
            <w:shd w:val="clear" w:color="auto" w:fill="auto"/>
            <w:vAlign w:val="center"/>
          </w:tcPr>
          <w:p w14:paraId="6805444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w:t>
            </w:r>
          </w:p>
        </w:tc>
      </w:tr>
      <w:tr w:rsidR="00B73FDB" w:rsidRPr="00B73FDB" w14:paraId="73CFF7DE" w14:textId="77777777" w:rsidTr="00B73FDB">
        <w:trPr>
          <w:trHeight w:val="300"/>
        </w:trPr>
        <w:tc>
          <w:tcPr>
            <w:tcW w:w="3229" w:type="pct"/>
            <w:tcBorders>
              <w:top w:val="single" w:sz="8" w:space="0" w:color="DCE6F1"/>
              <w:left w:val="nil"/>
              <w:bottom w:val="nil"/>
              <w:right w:val="nil"/>
            </w:tcBorders>
            <w:shd w:val="clear" w:color="auto" w:fill="auto"/>
            <w:noWrap/>
            <w:vAlign w:val="center"/>
          </w:tcPr>
          <w:p w14:paraId="686D555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8.4.25: ŠJ pri Spojenej škole, Pankúchova 6, BA</w:t>
            </w:r>
          </w:p>
        </w:tc>
        <w:tc>
          <w:tcPr>
            <w:tcW w:w="505" w:type="pct"/>
            <w:tcBorders>
              <w:top w:val="single" w:sz="8" w:space="0" w:color="DCE6F1"/>
              <w:left w:val="nil"/>
              <w:bottom w:val="nil"/>
              <w:right w:val="nil"/>
            </w:tcBorders>
            <w:shd w:val="clear" w:color="auto" w:fill="auto"/>
            <w:vAlign w:val="center"/>
          </w:tcPr>
          <w:p w14:paraId="4570688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373" w:type="pct"/>
            <w:tcBorders>
              <w:top w:val="single" w:sz="8" w:space="0" w:color="DCE6F1"/>
              <w:left w:val="nil"/>
              <w:bottom w:val="nil"/>
              <w:right w:val="nil"/>
            </w:tcBorders>
            <w:shd w:val="clear" w:color="auto" w:fill="auto"/>
            <w:vAlign w:val="center"/>
          </w:tcPr>
          <w:p w14:paraId="04673FD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07" w:type="pct"/>
            <w:tcBorders>
              <w:top w:val="single" w:sz="8" w:space="0" w:color="DCE6F1"/>
              <w:left w:val="nil"/>
              <w:bottom w:val="nil"/>
              <w:right w:val="nil"/>
            </w:tcBorders>
            <w:shd w:val="clear" w:color="auto" w:fill="auto"/>
            <w:vAlign w:val="center"/>
          </w:tcPr>
          <w:p w14:paraId="0809D0F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86" w:type="pct"/>
            <w:tcBorders>
              <w:top w:val="single" w:sz="8" w:space="0" w:color="DCE6F1"/>
              <w:left w:val="nil"/>
              <w:bottom w:val="nil"/>
              <w:right w:val="nil"/>
            </w:tcBorders>
            <w:shd w:val="clear" w:color="auto" w:fill="auto"/>
            <w:vAlign w:val="center"/>
          </w:tcPr>
          <w:p w14:paraId="7BA13DE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w:t>
            </w:r>
          </w:p>
        </w:tc>
      </w:tr>
      <w:tr w:rsidR="00B73FDB" w:rsidRPr="00B73FDB" w14:paraId="38ED9952" w14:textId="77777777" w:rsidTr="00B73FDB">
        <w:trPr>
          <w:trHeight w:hRule="exact" w:val="330"/>
        </w:trPr>
        <w:tc>
          <w:tcPr>
            <w:tcW w:w="3229" w:type="pct"/>
            <w:tcBorders>
              <w:top w:val="nil"/>
              <w:left w:val="nil"/>
              <w:bottom w:val="single" w:sz="8" w:space="0" w:color="4F81BD"/>
              <w:right w:val="nil"/>
            </w:tcBorders>
            <w:shd w:val="clear" w:color="000000" w:fill="DCE6F1"/>
            <w:noWrap/>
            <w:vAlign w:val="center"/>
            <w:hideMark/>
          </w:tcPr>
          <w:p w14:paraId="0C64E7BA"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Celkom</w:t>
            </w:r>
          </w:p>
        </w:tc>
        <w:tc>
          <w:tcPr>
            <w:tcW w:w="505" w:type="pct"/>
            <w:tcBorders>
              <w:top w:val="nil"/>
              <w:left w:val="nil"/>
              <w:bottom w:val="single" w:sz="8" w:space="0" w:color="4F81BD"/>
              <w:right w:val="nil"/>
            </w:tcBorders>
            <w:shd w:val="clear" w:color="000000" w:fill="DCE6F1"/>
            <w:vAlign w:val="center"/>
            <w:hideMark/>
          </w:tcPr>
          <w:p w14:paraId="161A8997"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725</w:t>
            </w:r>
          </w:p>
        </w:tc>
        <w:tc>
          <w:tcPr>
            <w:tcW w:w="373" w:type="pct"/>
            <w:tcBorders>
              <w:top w:val="nil"/>
              <w:left w:val="nil"/>
              <w:bottom w:val="single" w:sz="8" w:space="0" w:color="4F81BD"/>
              <w:right w:val="nil"/>
            </w:tcBorders>
            <w:shd w:val="clear" w:color="000000" w:fill="DCE6F1"/>
            <w:vAlign w:val="center"/>
            <w:hideMark/>
          </w:tcPr>
          <w:p w14:paraId="131D101E"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730</w:t>
            </w:r>
          </w:p>
        </w:tc>
        <w:tc>
          <w:tcPr>
            <w:tcW w:w="407" w:type="pct"/>
            <w:tcBorders>
              <w:top w:val="nil"/>
              <w:left w:val="nil"/>
              <w:bottom w:val="single" w:sz="8" w:space="0" w:color="4F81BD"/>
              <w:right w:val="nil"/>
            </w:tcBorders>
            <w:shd w:val="clear" w:color="000000" w:fill="DCE6F1"/>
            <w:vAlign w:val="center"/>
            <w:hideMark/>
          </w:tcPr>
          <w:p w14:paraId="5D001375"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1 219</w:t>
            </w:r>
          </w:p>
        </w:tc>
        <w:tc>
          <w:tcPr>
            <w:tcW w:w="486" w:type="pct"/>
            <w:tcBorders>
              <w:top w:val="nil"/>
              <w:left w:val="nil"/>
              <w:bottom w:val="single" w:sz="8" w:space="0" w:color="4F81BD"/>
              <w:right w:val="nil"/>
            </w:tcBorders>
            <w:shd w:val="clear" w:color="000000" w:fill="DCE6F1"/>
            <w:vAlign w:val="center"/>
            <w:hideMark/>
          </w:tcPr>
          <w:p w14:paraId="66F7510F"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362</w:t>
            </w:r>
          </w:p>
        </w:tc>
      </w:tr>
    </w:tbl>
    <w:p w14:paraId="0E1FB5B6" w14:textId="77777777" w:rsidR="00B73FDB" w:rsidRPr="00B73FDB" w:rsidRDefault="00B73FDB" w:rsidP="00B73FDB">
      <w:pPr>
        <w:spacing w:before="100" w:beforeAutospacing="1" w:after="0" w:line="240" w:lineRule="auto"/>
        <w:jc w:val="both"/>
        <w:rPr>
          <w:rFonts w:cs="Calibri"/>
          <w:sz w:val="24"/>
          <w:szCs w:val="24"/>
          <w:lang w:eastAsia="sk-SK"/>
        </w:rPr>
      </w:pPr>
      <w:r w:rsidRPr="00B73FDB">
        <w:rPr>
          <w:rFonts w:cs="Calibri"/>
          <w:sz w:val="24"/>
          <w:szCs w:val="24"/>
          <w:lang w:eastAsia="sk-SK"/>
        </w:rPr>
        <w:t>Nasledujúca tabuľka sumarizuje jednotkové výdavky na skutočne vydané jedlo:</w:t>
      </w:r>
    </w:p>
    <w:tbl>
      <w:tblPr>
        <w:tblW w:w="5000" w:type="pct"/>
        <w:tblCellMar>
          <w:left w:w="70" w:type="dxa"/>
          <w:right w:w="70" w:type="dxa"/>
        </w:tblCellMar>
        <w:tblLook w:val="04A0" w:firstRow="1" w:lastRow="0" w:firstColumn="1" w:lastColumn="0" w:noHBand="0" w:noVBand="1"/>
      </w:tblPr>
      <w:tblGrid>
        <w:gridCol w:w="6759"/>
        <w:gridCol w:w="938"/>
        <w:gridCol w:w="875"/>
        <w:gridCol w:w="875"/>
        <w:gridCol w:w="1019"/>
      </w:tblGrid>
      <w:tr w:rsidR="00B73FDB" w:rsidRPr="00B73FDB" w14:paraId="1D1C66FD" w14:textId="77777777" w:rsidTr="00B73FDB">
        <w:trPr>
          <w:trHeight w:hRule="exact" w:val="315"/>
        </w:trPr>
        <w:tc>
          <w:tcPr>
            <w:tcW w:w="3229" w:type="pct"/>
            <w:vMerge w:val="restart"/>
            <w:tcBorders>
              <w:top w:val="nil"/>
              <w:left w:val="nil"/>
              <w:bottom w:val="single" w:sz="8" w:space="0" w:color="DCE6F1"/>
              <w:right w:val="nil"/>
            </w:tcBorders>
            <w:shd w:val="clear" w:color="auto" w:fill="D2F6FE"/>
            <w:noWrap/>
            <w:vAlign w:val="center"/>
            <w:hideMark/>
          </w:tcPr>
          <w:p w14:paraId="718AAF33"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Podprogram 8.4 - Školské stravovanie</w:t>
            </w:r>
          </w:p>
        </w:tc>
        <w:tc>
          <w:tcPr>
            <w:tcW w:w="1771" w:type="pct"/>
            <w:gridSpan w:val="4"/>
            <w:vMerge w:val="restart"/>
            <w:tcBorders>
              <w:top w:val="nil"/>
              <w:left w:val="nil"/>
              <w:bottom w:val="nil"/>
              <w:right w:val="nil"/>
            </w:tcBorders>
            <w:shd w:val="clear" w:color="auto" w:fill="D2F6FE"/>
            <w:vAlign w:val="center"/>
            <w:hideMark/>
          </w:tcPr>
          <w:p w14:paraId="70703E8C" w14:textId="77777777" w:rsidR="00B73FDB" w:rsidRPr="00B73FDB" w:rsidRDefault="00B73FDB" w:rsidP="00B73FDB">
            <w:pPr>
              <w:spacing w:after="0" w:line="240" w:lineRule="auto"/>
              <w:jc w:val="center"/>
              <w:rPr>
                <w:rFonts w:cs="Calibri"/>
                <w:b/>
                <w:bCs/>
                <w:color w:val="000000"/>
                <w:sz w:val="20"/>
                <w:szCs w:val="20"/>
                <w:lang w:eastAsia="sk-SK"/>
              </w:rPr>
            </w:pPr>
            <w:r w:rsidRPr="00B73FDB">
              <w:rPr>
                <w:rFonts w:cs="Calibri"/>
                <w:b/>
                <w:bCs/>
                <w:color w:val="000000"/>
                <w:sz w:val="20"/>
                <w:szCs w:val="20"/>
                <w:lang w:eastAsia="sk-SK"/>
              </w:rPr>
              <w:t>Náklad na 1 vydané jedlo (€/ks)</w:t>
            </w:r>
          </w:p>
        </w:tc>
      </w:tr>
      <w:tr w:rsidR="00B73FDB" w:rsidRPr="00B73FDB" w14:paraId="3F49A43E" w14:textId="77777777" w:rsidTr="00352CED">
        <w:trPr>
          <w:trHeight w:val="276"/>
        </w:trPr>
        <w:tc>
          <w:tcPr>
            <w:tcW w:w="3229" w:type="pct"/>
            <w:vMerge/>
            <w:tcBorders>
              <w:top w:val="nil"/>
              <w:left w:val="nil"/>
              <w:bottom w:val="single" w:sz="8" w:space="0" w:color="DCE6F1"/>
              <w:right w:val="nil"/>
            </w:tcBorders>
            <w:shd w:val="clear" w:color="auto" w:fill="D2F6FE"/>
            <w:vAlign w:val="center"/>
            <w:hideMark/>
          </w:tcPr>
          <w:p w14:paraId="65A7C190" w14:textId="77777777" w:rsidR="00B73FDB" w:rsidRPr="00B73FDB" w:rsidRDefault="00B73FDB" w:rsidP="00B73FDB">
            <w:pPr>
              <w:spacing w:after="0" w:line="240" w:lineRule="auto"/>
              <w:rPr>
                <w:rFonts w:cs="Calibri"/>
                <w:b/>
                <w:bCs/>
                <w:color w:val="000000"/>
                <w:sz w:val="20"/>
                <w:szCs w:val="20"/>
                <w:lang w:eastAsia="sk-SK"/>
              </w:rPr>
            </w:pPr>
          </w:p>
        </w:tc>
        <w:tc>
          <w:tcPr>
            <w:tcW w:w="1771" w:type="pct"/>
            <w:gridSpan w:val="4"/>
            <w:vMerge/>
            <w:tcBorders>
              <w:top w:val="nil"/>
              <w:left w:val="nil"/>
              <w:bottom w:val="nil"/>
              <w:right w:val="nil"/>
            </w:tcBorders>
            <w:shd w:val="clear" w:color="auto" w:fill="D2F6FE"/>
            <w:vAlign w:val="center"/>
            <w:hideMark/>
          </w:tcPr>
          <w:p w14:paraId="6FB9A05B" w14:textId="77777777" w:rsidR="00B73FDB" w:rsidRPr="00B73FDB" w:rsidRDefault="00B73FDB" w:rsidP="00B73FDB">
            <w:pPr>
              <w:spacing w:after="0" w:line="240" w:lineRule="auto"/>
              <w:rPr>
                <w:rFonts w:cs="Calibri"/>
                <w:b/>
                <w:bCs/>
                <w:color w:val="000000"/>
                <w:sz w:val="20"/>
                <w:szCs w:val="20"/>
                <w:lang w:eastAsia="sk-SK"/>
              </w:rPr>
            </w:pPr>
          </w:p>
        </w:tc>
      </w:tr>
      <w:tr w:rsidR="00B73FDB" w:rsidRPr="00B73FDB" w14:paraId="5B540CC0" w14:textId="77777777" w:rsidTr="00B73FDB">
        <w:trPr>
          <w:trHeight w:hRule="exact" w:val="330"/>
        </w:trPr>
        <w:tc>
          <w:tcPr>
            <w:tcW w:w="3229" w:type="pct"/>
            <w:tcBorders>
              <w:top w:val="nil"/>
              <w:left w:val="nil"/>
              <w:bottom w:val="single" w:sz="8" w:space="0" w:color="DCE6F1"/>
              <w:right w:val="nil"/>
            </w:tcBorders>
            <w:shd w:val="clear" w:color="auto" w:fill="D2F6FE"/>
            <w:noWrap/>
            <w:vAlign w:val="center"/>
            <w:hideMark/>
          </w:tcPr>
          <w:p w14:paraId="072EA8A2"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Školské zariadenie</w:t>
            </w:r>
          </w:p>
        </w:tc>
        <w:tc>
          <w:tcPr>
            <w:tcW w:w="448" w:type="pct"/>
            <w:tcBorders>
              <w:top w:val="nil"/>
              <w:left w:val="nil"/>
              <w:bottom w:val="single" w:sz="8" w:space="0" w:color="DCE6F1"/>
              <w:right w:val="nil"/>
            </w:tcBorders>
            <w:shd w:val="clear" w:color="auto" w:fill="D2F6FE"/>
            <w:vAlign w:val="center"/>
            <w:hideMark/>
          </w:tcPr>
          <w:p w14:paraId="2407F49E"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2017</w:t>
            </w:r>
          </w:p>
        </w:tc>
        <w:tc>
          <w:tcPr>
            <w:tcW w:w="418" w:type="pct"/>
            <w:tcBorders>
              <w:top w:val="nil"/>
              <w:left w:val="nil"/>
              <w:bottom w:val="single" w:sz="8" w:space="0" w:color="DCE6F1"/>
              <w:right w:val="nil"/>
            </w:tcBorders>
            <w:shd w:val="clear" w:color="auto" w:fill="D2F6FE"/>
            <w:vAlign w:val="center"/>
            <w:hideMark/>
          </w:tcPr>
          <w:p w14:paraId="604019DA"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2018</w:t>
            </w:r>
          </w:p>
        </w:tc>
        <w:tc>
          <w:tcPr>
            <w:tcW w:w="418" w:type="pct"/>
            <w:tcBorders>
              <w:top w:val="nil"/>
              <w:left w:val="nil"/>
              <w:bottom w:val="single" w:sz="8" w:space="0" w:color="DCE6F1"/>
              <w:right w:val="nil"/>
            </w:tcBorders>
            <w:shd w:val="clear" w:color="auto" w:fill="D2F6FE"/>
            <w:vAlign w:val="center"/>
            <w:hideMark/>
          </w:tcPr>
          <w:p w14:paraId="162CB2D7"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2019</w:t>
            </w:r>
          </w:p>
        </w:tc>
        <w:tc>
          <w:tcPr>
            <w:tcW w:w="487" w:type="pct"/>
            <w:tcBorders>
              <w:top w:val="nil"/>
              <w:left w:val="nil"/>
              <w:bottom w:val="single" w:sz="8" w:space="0" w:color="DCE6F1"/>
              <w:right w:val="nil"/>
            </w:tcBorders>
            <w:shd w:val="clear" w:color="auto" w:fill="D2F6FE"/>
            <w:vAlign w:val="center"/>
            <w:hideMark/>
          </w:tcPr>
          <w:p w14:paraId="4BD59222"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2020</w:t>
            </w:r>
          </w:p>
        </w:tc>
      </w:tr>
      <w:tr w:rsidR="00B73FDB" w:rsidRPr="00B73FDB" w14:paraId="264D5B2B"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4279F8E4"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 ŠJ pri Gymnáziu s VJM, Dunajská 13, BA</w:t>
            </w:r>
          </w:p>
        </w:tc>
        <w:tc>
          <w:tcPr>
            <w:tcW w:w="448" w:type="pct"/>
            <w:tcBorders>
              <w:top w:val="nil"/>
              <w:left w:val="nil"/>
              <w:bottom w:val="single" w:sz="8" w:space="0" w:color="DCE6F1"/>
              <w:right w:val="nil"/>
            </w:tcBorders>
            <w:shd w:val="clear" w:color="auto" w:fill="auto"/>
            <w:vAlign w:val="center"/>
            <w:hideMark/>
          </w:tcPr>
          <w:p w14:paraId="5C4E262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1,82 €</w:t>
            </w:r>
          </w:p>
        </w:tc>
        <w:tc>
          <w:tcPr>
            <w:tcW w:w="418" w:type="pct"/>
            <w:tcBorders>
              <w:top w:val="nil"/>
              <w:left w:val="nil"/>
              <w:bottom w:val="single" w:sz="8" w:space="0" w:color="DCE6F1"/>
              <w:right w:val="nil"/>
            </w:tcBorders>
            <w:shd w:val="clear" w:color="auto" w:fill="auto"/>
            <w:vAlign w:val="center"/>
            <w:hideMark/>
          </w:tcPr>
          <w:p w14:paraId="3D1BAD5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3,87 €</w:t>
            </w:r>
          </w:p>
        </w:tc>
        <w:tc>
          <w:tcPr>
            <w:tcW w:w="418" w:type="pct"/>
            <w:tcBorders>
              <w:top w:val="nil"/>
              <w:left w:val="nil"/>
              <w:bottom w:val="single" w:sz="8" w:space="0" w:color="DCE6F1"/>
              <w:right w:val="nil"/>
            </w:tcBorders>
            <w:shd w:val="clear" w:color="auto" w:fill="auto"/>
            <w:vAlign w:val="center"/>
            <w:hideMark/>
          </w:tcPr>
          <w:p w14:paraId="69D6D63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2,97 €</w:t>
            </w:r>
          </w:p>
        </w:tc>
        <w:tc>
          <w:tcPr>
            <w:tcW w:w="487" w:type="pct"/>
            <w:tcBorders>
              <w:top w:val="nil"/>
              <w:left w:val="nil"/>
              <w:bottom w:val="single" w:sz="8" w:space="0" w:color="DCE6F1"/>
              <w:right w:val="nil"/>
            </w:tcBorders>
            <w:shd w:val="clear" w:color="auto" w:fill="auto"/>
            <w:vAlign w:val="center"/>
            <w:hideMark/>
          </w:tcPr>
          <w:p w14:paraId="71E62CB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6,82 €</w:t>
            </w:r>
          </w:p>
        </w:tc>
      </w:tr>
      <w:tr w:rsidR="00B73FDB" w:rsidRPr="00B73FDB" w14:paraId="0BC654D7"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00AF4496"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 ŠJ pri Gymnáziu A. Einsteina, Einsteinova 35, BA</w:t>
            </w:r>
          </w:p>
        </w:tc>
        <w:tc>
          <w:tcPr>
            <w:tcW w:w="448" w:type="pct"/>
            <w:tcBorders>
              <w:top w:val="nil"/>
              <w:left w:val="nil"/>
              <w:bottom w:val="single" w:sz="8" w:space="0" w:color="DCE6F1"/>
              <w:right w:val="nil"/>
            </w:tcBorders>
            <w:shd w:val="clear" w:color="auto" w:fill="auto"/>
            <w:vAlign w:val="center"/>
            <w:hideMark/>
          </w:tcPr>
          <w:p w14:paraId="5EE6D84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1,16 €</w:t>
            </w:r>
          </w:p>
        </w:tc>
        <w:tc>
          <w:tcPr>
            <w:tcW w:w="418" w:type="pct"/>
            <w:tcBorders>
              <w:top w:val="nil"/>
              <w:left w:val="nil"/>
              <w:bottom w:val="single" w:sz="8" w:space="0" w:color="DCE6F1"/>
              <w:right w:val="nil"/>
            </w:tcBorders>
            <w:shd w:val="clear" w:color="auto" w:fill="auto"/>
            <w:vAlign w:val="center"/>
            <w:hideMark/>
          </w:tcPr>
          <w:p w14:paraId="5904E97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2,74 €</w:t>
            </w:r>
          </w:p>
        </w:tc>
        <w:tc>
          <w:tcPr>
            <w:tcW w:w="418" w:type="pct"/>
            <w:tcBorders>
              <w:top w:val="nil"/>
              <w:left w:val="nil"/>
              <w:bottom w:val="single" w:sz="8" w:space="0" w:color="DCE6F1"/>
              <w:right w:val="nil"/>
            </w:tcBorders>
            <w:shd w:val="clear" w:color="auto" w:fill="auto"/>
            <w:vAlign w:val="center"/>
            <w:hideMark/>
          </w:tcPr>
          <w:p w14:paraId="2C7CC02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2,54 €</w:t>
            </w:r>
          </w:p>
        </w:tc>
        <w:tc>
          <w:tcPr>
            <w:tcW w:w="487" w:type="pct"/>
            <w:tcBorders>
              <w:top w:val="nil"/>
              <w:left w:val="nil"/>
              <w:bottom w:val="single" w:sz="8" w:space="0" w:color="DCE6F1"/>
              <w:right w:val="nil"/>
            </w:tcBorders>
            <w:shd w:val="clear" w:color="auto" w:fill="auto"/>
            <w:vAlign w:val="center"/>
            <w:hideMark/>
          </w:tcPr>
          <w:p w14:paraId="48E4C78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10,06 €</w:t>
            </w:r>
          </w:p>
        </w:tc>
      </w:tr>
      <w:tr w:rsidR="00B73FDB" w:rsidRPr="00B73FDB" w14:paraId="33B9DED5"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52B17FB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8.4.3: ŠJ pri Gymnáziu J. </w:t>
            </w:r>
            <w:proofErr w:type="spellStart"/>
            <w:r w:rsidRPr="00B73FDB">
              <w:rPr>
                <w:rFonts w:cs="Calibri"/>
                <w:color w:val="000000"/>
                <w:sz w:val="20"/>
                <w:szCs w:val="20"/>
                <w:lang w:eastAsia="sk-SK"/>
              </w:rPr>
              <w:t>Papánka</w:t>
            </w:r>
            <w:proofErr w:type="spellEnd"/>
            <w:r w:rsidRPr="00B73FDB">
              <w:rPr>
                <w:rFonts w:cs="Calibri"/>
                <w:color w:val="000000"/>
                <w:sz w:val="20"/>
                <w:szCs w:val="20"/>
                <w:lang w:eastAsia="sk-SK"/>
              </w:rPr>
              <w:t xml:space="preserve">, </w:t>
            </w:r>
            <w:proofErr w:type="spellStart"/>
            <w:r w:rsidRPr="00B73FDB">
              <w:rPr>
                <w:rFonts w:cs="Calibri"/>
                <w:color w:val="000000"/>
                <w:sz w:val="20"/>
                <w:szCs w:val="20"/>
                <w:lang w:eastAsia="sk-SK"/>
              </w:rPr>
              <w:t>Vazovova</w:t>
            </w:r>
            <w:proofErr w:type="spellEnd"/>
            <w:r w:rsidRPr="00B73FDB">
              <w:rPr>
                <w:rFonts w:cs="Calibri"/>
                <w:color w:val="000000"/>
                <w:sz w:val="20"/>
                <w:szCs w:val="20"/>
                <w:lang w:eastAsia="sk-SK"/>
              </w:rPr>
              <w:t xml:space="preserve"> 6, BA </w:t>
            </w:r>
          </w:p>
        </w:tc>
        <w:tc>
          <w:tcPr>
            <w:tcW w:w="448" w:type="pct"/>
            <w:tcBorders>
              <w:top w:val="nil"/>
              <w:left w:val="nil"/>
              <w:bottom w:val="single" w:sz="8" w:space="0" w:color="DCE6F1"/>
              <w:right w:val="nil"/>
            </w:tcBorders>
            <w:shd w:val="clear" w:color="auto" w:fill="auto"/>
            <w:vAlign w:val="center"/>
            <w:hideMark/>
          </w:tcPr>
          <w:p w14:paraId="7E7C7CF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1,11 €</w:t>
            </w:r>
          </w:p>
        </w:tc>
        <w:tc>
          <w:tcPr>
            <w:tcW w:w="418" w:type="pct"/>
            <w:tcBorders>
              <w:top w:val="nil"/>
              <w:left w:val="nil"/>
              <w:bottom w:val="single" w:sz="8" w:space="0" w:color="DCE6F1"/>
              <w:right w:val="nil"/>
            </w:tcBorders>
            <w:shd w:val="clear" w:color="auto" w:fill="auto"/>
            <w:vAlign w:val="center"/>
            <w:hideMark/>
          </w:tcPr>
          <w:p w14:paraId="08D4185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2,90 €</w:t>
            </w:r>
          </w:p>
        </w:tc>
        <w:tc>
          <w:tcPr>
            <w:tcW w:w="418" w:type="pct"/>
            <w:tcBorders>
              <w:top w:val="nil"/>
              <w:left w:val="nil"/>
              <w:bottom w:val="single" w:sz="8" w:space="0" w:color="DCE6F1"/>
              <w:right w:val="nil"/>
            </w:tcBorders>
            <w:shd w:val="clear" w:color="auto" w:fill="auto"/>
            <w:vAlign w:val="center"/>
            <w:hideMark/>
          </w:tcPr>
          <w:p w14:paraId="4BB72D1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2,20 €</w:t>
            </w:r>
          </w:p>
        </w:tc>
        <w:tc>
          <w:tcPr>
            <w:tcW w:w="487" w:type="pct"/>
            <w:tcBorders>
              <w:top w:val="nil"/>
              <w:left w:val="nil"/>
              <w:bottom w:val="single" w:sz="8" w:space="0" w:color="DCE6F1"/>
              <w:right w:val="nil"/>
            </w:tcBorders>
            <w:shd w:val="clear" w:color="auto" w:fill="auto"/>
            <w:vAlign w:val="center"/>
            <w:hideMark/>
          </w:tcPr>
          <w:p w14:paraId="4D4A3AA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6,04 €</w:t>
            </w:r>
          </w:p>
        </w:tc>
      </w:tr>
      <w:tr w:rsidR="00B73FDB" w:rsidRPr="00B73FDB" w14:paraId="7C6FCE0A"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7CA65F0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8.4.4: ŠJ pri Gymnáziu, Hubeného 23, BA</w:t>
            </w:r>
          </w:p>
        </w:tc>
        <w:tc>
          <w:tcPr>
            <w:tcW w:w="448" w:type="pct"/>
            <w:tcBorders>
              <w:top w:val="nil"/>
              <w:left w:val="nil"/>
              <w:bottom w:val="single" w:sz="8" w:space="0" w:color="DCE6F1"/>
              <w:right w:val="nil"/>
            </w:tcBorders>
            <w:shd w:val="clear" w:color="auto" w:fill="auto"/>
            <w:vAlign w:val="center"/>
            <w:hideMark/>
          </w:tcPr>
          <w:p w14:paraId="15978A1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1,43 €</w:t>
            </w:r>
          </w:p>
        </w:tc>
        <w:tc>
          <w:tcPr>
            <w:tcW w:w="418" w:type="pct"/>
            <w:tcBorders>
              <w:top w:val="nil"/>
              <w:left w:val="nil"/>
              <w:bottom w:val="single" w:sz="8" w:space="0" w:color="DCE6F1"/>
              <w:right w:val="nil"/>
            </w:tcBorders>
            <w:shd w:val="clear" w:color="auto" w:fill="auto"/>
            <w:vAlign w:val="center"/>
            <w:hideMark/>
          </w:tcPr>
          <w:p w14:paraId="7199A7B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3,39 €</w:t>
            </w:r>
          </w:p>
        </w:tc>
        <w:tc>
          <w:tcPr>
            <w:tcW w:w="418" w:type="pct"/>
            <w:tcBorders>
              <w:top w:val="nil"/>
              <w:left w:val="nil"/>
              <w:bottom w:val="single" w:sz="8" w:space="0" w:color="DCE6F1"/>
              <w:right w:val="nil"/>
            </w:tcBorders>
            <w:shd w:val="clear" w:color="auto" w:fill="auto"/>
            <w:vAlign w:val="center"/>
            <w:hideMark/>
          </w:tcPr>
          <w:p w14:paraId="2EC4E28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2,33 €</w:t>
            </w:r>
          </w:p>
        </w:tc>
        <w:tc>
          <w:tcPr>
            <w:tcW w:w="487" w:type="pct"/>
            <w:tcBorders>
              <w:top w:val="nil"/>
              <w:left w:val="nil"/>
              <w:bottom w:val="single" w:sz="8" w:space="0" w:color="DCE6F1"/>
              <w:right w:val="nil"/>
            </w:tcBorders>
            <w:shd w:val="clear" w:color="auto" w:fill="auto"/>
            <w:vAlign w:val="center"/>
            <w:hideMark/>
          </w:tcPr>
          <w:p w14:paraId="5232A84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6,79 €</w:t>
            </w:r>
          </w:p>
        </w:tc>
      </w:tr>
      <w:tr w:rsidR="00B73FDB" w:rsidRPr="00B73FDB" w14:paraId="7342716B"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684052B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8.4.5: ŠJ pri Gymnáziu A. Bernoláka, </w:t>
            </w:r>
            <w:proofErr w:type="spellStart"/>
            <w:r w:rsidRPr="00B73FDB">
              <w:rPr>
                <w:rFonts w:cs="Calibri"/>
                <w:color w:val="000000"/>
                <w:sz w:val="20"/>
                <w:szCs w:val="20"/>
                <w:lang w:eastAsia="sk-SK"/>
              </w:rPr>
              <w:t>Lichnerova</w:t>
            </w:r>
            <w:proofErr w:type="spellEnd"/>
            <w:r w:rsidRPr="00B73FDB">
              <w:rPr>
                <w:rFonts w:cs="Calibri"/>
                <w:color w:val="000000"/>
                <w:sz w:val="20"/>
                <w:szCs w:val="20"/>
                <w:lang w:eastAsia="sk-SK"/>
              </w:rPr>
              <w:t xml:space="preserve"> 69, Senec </w:t>
            </w:r>
          </w:p>
        </w:tc>
        <w:tc>
          <w:tcPr>
            <w:tcW w:w="448" w:type="pct"/>
            <w:tcBorders>
              <w:top w:val="nil"/>
              <w:left w:val="nil"/>
              <w:bottom w:val="single" w:sz="8" w:space="0" w:color="DCE6F1"/>
              <w:right w:val="nil"/>
            </w:tcBorders>
            <w:shd w:val="clear" w:color="auto" w:fill="auto"/>
            <w:vAlign w:val="center"/>
            <w:hideMark/>
          </w:tcPr>
          <w:p w14:paraId="06B109E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1,36 €</w:t>
            </w:r>
          </w:p>
        </w:tc>
        <w:tc>
          <w:tcPr>
            <w:tcW w:w="418" w:type="pct"/>
            <w:tcBorders>
              <w:top w:val="nil"/>
              <w:left w:val="nil"/>
              <w:bottom w:val="single" w:sz="8" w:space="0" w:color="DCE6F1"/>
              <w:right w:val="nil"/>
            </w:tcBorders>
            <w:shd w:val="clear" w:color="auto" w:fill="auto"/>
            <w:vAlign w:val="center"/>
            <w:hideMark/>
          </w:tcPr>
          <w:p w14:paraId="50D6705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3,20 €</w:t>
            </w:r>
          </w:p>
        </w:tc>
        <w:tc>
          <w:tcPr>
            <w:tcW w:w="418" w:type="pct"/>
            <w:tcBorders>
              <w:top w:val="nil"/>
              <w:left w:val="nil"/>
              <w:bottom w:val="single" w:sz="8" w:space="0" w:color="DCE6F1"/>
              <w:right w:val="nil"/>
            </w:tcBorders>
            <w:shd w:val="clear" w:color="auto" w:fill="auto"/>
            <w:vAlign w:val="center"/>
            <w:hideMark/>
          </w:tcPr>
          <w:p w14:paraId="4DA15A2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2,51 €</w:t>
            </w:r>
          </w:p>
        </w:tc>
        <w:tc>
          <w:tcPr>
            <w:tcW w:w="487" w:type="pct"/>
            <w:tcBorders>
              <w:top w:val="nil"/>
              <w:left w:val="nil"/>
              <w:bottom w:val="single" w:sz="8" w:space="0" w:color="DCE6F1"/>
              <w:right w:val="nil"/>
            </w:tcBorders>
            <w:shd w:val="clear" w:color="auto" w:fill="auto"/>
            <w:vAlign w:val="center"/>
            <w:hideMark/>
          </w:tcPr>
          <w:p w14:paraId="420C771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6,89 €</w:t>
            </w:r>
          </w:p>
        </w:tc>
      </w:tr>
      <w:tr w:rsidR="00B73FDB" w:rsidRPr="00B73FDB" w14:paraId="2F6E3EF6"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5706069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8.4.6: ŠJ pri Obchodnej akadémii, Nevädzová 3, BA </w:t>
            </w:r>
          </w:p>
        </w:tc>
        <w:tc>
          <w:tcPr>
            <w:tcW w:w="448" w:type="pct"/>
            <w:tcBorders>
              <w:top w:val="nil"/>
              <w:left w:val="nil"/>
              <w:bottom w:val="single" w:sz="8" w:space="0" w:color="DCE6F1"/>
              <w:right w:val="nil"/>
            </w:tcBorders>
            <w:shd w:val="clear" w:color="auto" w:fill="auto"/>
            <w:vAlign w:val="center"/>
            <w:hideMark/>
          </w:tcPr>
          <w:p w14:paraId="1D36A35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1,13 €</w:t>
            </w:r>
          </w:p>
        </w:tc>
        <w:tc>
          <w:tcPr>
            <w:tcW w:w="418" w:type="pct"/>
            <w:tcBorders>
              <w:top w:val="nil"/>
              <w:left w:val="nil"/>
              <w:bottom w:val="single" w:sz="8" w:space="0" w:color="DCE6F1"/>
              <w:right w:val="nil"/>
            </w:tcBorders>
            <w:shd w:val="clear" w:color="auto" w:fill="auto"/>
            <w:vAlign w:val="center"/>
            <w:hideMark/>
          </w:tcPr>
          <w:p w14:paraId="5425496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3,13 €</w:t>
            </w:r>
          </w:p>
        </w:tc>
        <w:tc>
          <w:tcPr>
            <w:tcW w:w="418" w:type="pct"/>
            <w:tcBorders>
              <w:top w:val="nil"/>
              <w:left w:val="nil"/>
              <w:bottom w:val="single" w:sz="8" w:space="0" w:color="DCE6F1"/>
              <w:right w:val="nil"/>
            </w:tcBorders>
            <w:shd w:val="clear" w:color="auto" w:fill="auto"/>
            <w:vAlign w:val="center"/>
            <w:hideMark/>
          </w:tcPr>
          <w:p w14:paraId="357EA80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3,04 €</w:t>
            </w:r>
          </w:p>
        </w:tc>
        <w:tc>
          <w:tcPr>
            <w:tcW w:w="487" w:type="pct"/>
            <w:tcBorders>
              <w:top w:val="nil"/>
              <w:left w:val="nil"/>
              <w:bottom w:val="single" w:sz="8" w:space="0" w:color="DCE6F1"/>
              <w:right w:val="nil"/>
            </w:tcBorders>
            <w:shd w:val="clear" w:color="auto" w:fill="auto"/>
            <w:vAlign w:val="center"/>
            <w:hideMark/>
          </w:tcPr>
          <w:p w14:paraId="56FFD3D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11,58 €</w:t>
            </w:r>
          </w:p>
        </w:tc>
      </w:tr>
      <w:tr w:rsidR="00B73FDB" w:rsidRPr="00B73FDB" w14:paraId="79ABBC6B"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3372402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8.4.7: ŠJ pri Strednej športovej škole, </w:t>
            </w:r>
            <w:proofErr w:type="spellStart"/>
            <w:r w:rsidRPr="00B73FDB">
              <w:rPr>
                <w:rFonts w:cs="Calibri"/>
                <w:color w:val="000000"/>
                <w:sz w:val="20"/>
                <w:szCs w:val="20"/>
                <w:lang w:eastAsia="sk-SK"/>
              </w:rPr>
              <w:t>Ostredkova</w:t>
            </w:r>
            <w:proofErr w:type="spellEnd"/>
            <w:r w:rsidRPr="00B73FDB">
              <w:rPr>
                <w:rFonts w:cs="Calibri"/>
                <w:color w:val="000000"/>
                <w:sz w:val="20"/>
                <w:szCs w:val="20"/>
                <w:lang w:eastAsia="sk-SK"/>
              </w:rPr>
              <w:t xml:space="preserve"> 10, BA </w:t>
            </w:r>
          </w:p>
        </w:tc>
        <w:tc>
          <w:tcPr>
            <w:tcW w:w="448" w:type="pct"/>
            <w:tcBorders>
              <w:top w:val="nil"/>
              <w:left w:val="nil"/>
              <w:bottom w:val="single" w:sz="8" w:space="0" w:color="DCE6F1"/>
              <w:right w:val="nil"/>
            </w:tcBorders>
            <w:shd w:val="clear" w:color="auto" w:fill="auto"/>
            <w:vAlign w:val="center"/>
            <w:hideMark/>
          </w:tcPr>
          <w:p w14:paraId="411306E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2,20 €</w:t>
            </w:r>
          </w:p>
        </w:tc>
        <w:tc>
          <w:tcPr>
            <w:tcW w:w="418" w:type="pct"/>
            <w:tcBorders>
              <w:top w:val="nil"/>
              <w:left w:val="nil"/>
              <w:bottom w:val="single" w:sz="8" w:space="0" w:color="DCE6F1"/>
              <w:right w:val="nil"/>
            </w:tcBorders>
            <w:shd w:val="clear" w:color="auto" w:fill="auto"/>
            <w:vAlign w:val="center"/>
            <w:hideMark/>
          </w:tcPr>
          <w:p w14:paraId="11FBDE3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5,28 €</w:t>
            </w:r>
          </w:p>
        </w:tc>
        <w:tc>
          <w:tcPr>
            <w:tcW w:w="418" w:type="pct"/>
            <w:tcBorders>
              <w:top w:val="nil"/>
              <w:left w:val="nil"/>
              <w:bottom w:val="single" w:sz="8" w:space="0" w:color="DCE6F1"/>
              <w:right w:val="nil"/>
            </w:tcBorders>
            <w:shd w:val="clear" w:color="auto" w:fill="auto"/>
            <w:vAlign w:val="center"/>
            <w:hideMark/>
          </w:tcPr>
          <w:p w14:paraId="06890D8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2,78 €</w:t>
            </w:r>
          </w:p>
        </w:tc>
        <w:tc>
          <w:tcPr>
            <w:tcW w:w="487" w:type="pct"/>
            <w:tcBorders>
              <w:top w:val="nil"/>
              <w:left w:val="nil"/>
              <w:bottom w:val="single" w:sz="8" w:space="0" w:color="DCE6F1"/>
              <w:right w:val="nil"/>
            </w:tcBorders>
            <w:shd w:val="clear" w:color="auto" w:fill="auto"/>
            <w:vAlign w:val="center"/>
            <w:hideMark/>
          </w:tcPr>
          <w:p w14:paraId="52D9695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16,98 €</w:t>
            </w:r>
          </w:p>
        </w:tc>
      </w:tr>
      <w:tr w:rsidR="00B73FDB" w:rsidRPr="00B73FDB" w14:paraId="18506E63"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4C685872"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8.4.8: ŠJ pri Gymnáziu, Pankúchova 6, BA</w:t>
            </w:r>
          </w:p>
        </w:tc>
        <w:tc>
          <w:tcPr>
            <w:tcW w:w="448" w:type="pct"/>
            <w:tcBorders>
              <w:top w:val="nil"/>
              <w:left w:val="nil"/>
              <w:bottom w:val="single" w:sz="8" w:space="0" w:color="DCE6F1"/>
              <w:right w:val="nil"/>
            </w:tcBorders>
            <w:shd w:val="clear" w:color="auto" w:fill="auto"/>
            <w:vAlign w:val="center"/>
            <w:hideMark/>
          </w:tcPr>
          <w:p w14:paraId="5A15E5C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1,34 €</w:t>
            </w:r>
          </w:p>
        </w:tc>
        <w:tc>
          <w:tcPr>
            <w:tcW w:w="418" w:type="pct"/>
            <w:tcBorders>
              <w:top w:val="nil"/>
              <w:left w:val="nil"/>
              <w:bottom w:val="single" w:sz="8" w:space="0" w:color="DCE6F1"/>
              <w:right w:val="nil"/>
            </w:tcBorders>
            <w:shd w:val="clear" w:color="auto" w:fill="auto"/>
            <w:vAlign w:val="center"/>
            <w:hideMark/>
          </w:tcPr>
          <w:p w14:paraId="151BFCE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2,95 €</w:t>
            </w:r>
          </w:p>
        </w:tc>
        <w:tc>
          <w:tcPr>
            <w:tcW w:w="418" w:type="pct"/>
            <w:tcBorders>
              <w:top w:val="nil"/>
              <w:left w:val="nil"/>
              <w:bottom w:val="single" w:sz="8" w:space="0" w:color="DCE6F1"/>
              <w:right w:val="nil"/>
            </w:tcBorders>
            <w:shd w:val="clear" w:color="auto" w:fill="auto"/>
            <w:vAlign w:val="center"/>
            <w:hideMark/>
          </w:tcPr>
          <w:p w14:paraId="6DC0D61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2,40 €</w:t>
            </w:r>
          </w:p>
        </w:tc>
        <w:tc>
          <w:tcPr>
            <w:tcW w:w="487" w:type="pct"/>
            <w:tcBorders>
              <w:top w:val="nil"/>
              <w:left w:val="nil"/>
              <w:bottom w:val="single" w:sz="8" w:space="0" w:color="DCE6F1"/>
              <w:right w:val="nil"/>
            </w:tcBorders>
            <w:shd w:val="clear" w:color="auto" w:fill="auto"/>
            <w:vAlign w:val="center"/>
            <w:hideMark/>
          </w:tcPr>
          <w:p w14:paraId="19E243D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7,56 €</w:t>
            </w:r>
          </w:p>
        </w:tc>
      </w:tr>
      <w:tr w:rsidR="00B73FDB" w:rsidRPr="00B73FDB" w14:paraId="4FB6E386"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60A78E0D"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8.4.9: ŠJ pri Gymnáziu, Ul.1. mája 8, Malacky </w:t>
            </w:r>
          </w:p>
        </w:tc>
        <w:tc>
          <w:tcPr>
            <w:tcW w:w="448" w:type="pct"/>
            <w:tcBorders>
              <w:top w:val="nil"/>
              <w:left w:val="nil"/>
              <w:bottom w:val="single" w:sz="8" w:space="0" w:color="DCE6F1"/>
              <w:right w:val="nil"/>
            </w:tcBorders>
            <w:shd w:val="clear" w:color="auto" w:fill="auto"/>
            <w:vAlign w:val="center"/>
            <w:hideMark/>
          </w:tcPr>
          <w:p w14:paraId="17016A8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1,18 €</w:t>
            </w:r>
          </w:p>
        </w:tc>
        <w:tc>
          <w:tcPr>
            <w:tcW w:w="418" w:type="pct"/>
            <w:tcBorders>
              <w:top w:val="nil"/>
              <w:left w:val="nil"/>
              <w:bottom w:val="single" w:sz="8" w:space="0" w:color="DCE6F1"/>
              <w:right w:val="nil"/>
            </w:tcBorders>
            <w:shd w:val="clear" w:color="auto" w:fill="auto"/>
            <w:vAlign w:val="center"/>
            <w:hideMark/>
          </w:tcPr>
          <w:p w14:paraId="2C5FB24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2,68 €</w:t>
            </w:r>
          </w:p>
        </w:tc>
        <w:tc>
          <w:tcPr>
            <w:tcW w:w="418" w:type="pct"/>
            <w:tcBorders>
              <w:top w:val="nil"/>
              <w:left w:val="nil"/>
              <w:bottom w:val="single" w:sz="8" w:space="0" w:color="DCE6F1"/>
              <w:right w:val="nil"/>
            </w:tcBorders>
            <w:shd w:val="clear" w:color="auto" w:fill="auto"/>
            <w:vAlign w:val="center"/>
            <w:hideMark/>
          </w:tcPr>
          <w:p w14:paraId="6E47185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2,29 €</w:t>
            </w:r>
          </w:p>
        </w:tc>
        <w:tc>
          <w:tcPr>
            <w:tcW w:w="487" w:type="pct"/>
            <w:tcBorders>
              <w:top w:val="nil"/>
              <w:left w:val="nil"/>
              <w:bottom w:val="single" w:sz="8" w:space="0" w:color="DCE6F1"/>
              <w:right w:val="nil"/>
            </w:tcBorders>
            <w:shd w:val="clear" w:color="auto" w:fill="auto"/>
            <w:vAlign w:val="center"/>
            <w:hideMark/>
          </w:tcPr>
          <w:p w14:paraId="387DDDE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6,87 €</w:t>
            </w:r>
          </w:p>
        </w:tc>
      </w:tr>
      <w:tr w:rsidR="00B73FDB" w:rsidRPr="00B73FDB" w14:paraId="43AFC2DC"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36436824"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8.4.10: ŠJ pri Škole pre MND, Teplická 7, BA</w:t>
            </w:r>
          </w:p>
        </w:tc>
        <w:tc>
          <w:tcPr>
            <w:tcW w:w="448" w:type="pct"/>
            <w:tcBorders>
              <w:top w:val="nil"/>
              <w:left w:val="nil"/>
              <w:bottom w:val="single" w:sz="8" w:space="0" w:color="DCE6F1"/>
              <w:right w:val="nil"/>
            </w:tcBorders>
            <w:shd w:val="clear" w:color="auto" w:fill="auto"/>
            <w:vAlign w:val="center"/>
            <w:hideMark/>
          </w:tcPr>
          <w:p w14:paraId="52FF0C7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1,22 €</w:t>
            </w:r>
          </w:p>
        </w:tc>
        <w:tc>
          <w:tcPr>
            <w:tcW w:w="418" w:type="pct"/>
            <w:tcBorders>
              <w:top w:val="nil"/>
              <w:left w:val="nil"/>
              <w:bottom w:val="single" w:sz="8" w:space="0" w:color="DCE6F1"/>
              <w:right w:val="nil"/>
            </w:tcBorders>
            <w:shd w:val="clear" w:color="auto" w:fill="auto"/>
            <w:vAlign w:val="center"/>
            <w:hideMark/>
          </w:tcPr>
          <w:p w14:paraId="1D8DED7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2,78 €</w:t>
            </w:r>
          </w:p>
        </w:tc>
        <w:tc>
          <w:tcPr>
            <w:tcW w:w="418" w:type="pct"/>
            <w:tcBorders>
              <w:top w:val="nil"/>
              <w:left w:val="nil"/>
              <w:bottom w:val="single" w:sz="8" w:space="0" w:color="DCE6F1"/>
              <w:right w:val="nil"/>
            </w:tcBorders>
            <w:shd w:val="clear" w:color="auto" w:fill="auto"/>
            <w:vAlign w:val="center"/>
            <w:hideMark/>
          </w:tcPr>
          <w:p w14:paraId="68DC164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2,55 €</w:t>
            </w:r>
          </w:p>
        </w:tc>
        <w:tc>
          <w:tcPr>
            <w:tcW w:w="487" w:type="pct"/>
            <w:tcBorders>
              <w:top w:val="nil"/>
              <w:left w:val="nil"/>
              <w:bottom w:val="single" w:sz="8" w:space="0" w:color="DCE6F1"/>
              <w:right w:val="nil"/>
            </w:tcBorders>
            <w:shd w:val="clear" w:color="auto" w:fill="auto"/>
            <w:vAlign w:val="center"/>
            <w:hideMark/>
          </w:tcPr>
          <w:p w14:paraId="5E50253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6,00 €</w:t>
            </w:r>
          </w:p>
        </w:tc>
      </w:tr>
      <w:tr w:rsidR="00B73FDB" w:rsidRPr="00B73FDB" w14:paraId="44BAC076"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48D347A4"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8.4.11: ŠJ pri Tanečnom konzervatóriu, Gorazdova 20, BA</w:t>
            </w:r>
          </w:p>
        </w:tc>
        <w:tc>
          <w:tcPr>
            <w:tcW w:w="448" w:type="pct"/>
            <w:tcBorders>
              <w:top w:val="nil"/>
              <w:left w:val="nil"/>
              <w:bottom w:val="single" w:sz="8" w:space="0" w:color="DCE6F1"/>
              <w:right w:val="nil"/>
            </w:tcBorders>
            <w:shd w:val="clear" w:color="auto" w:fill="auto"/>
            <w:vAlign w:val="center"/>
            <w:hideMark/>
          </w:tcPr>
          <w:p w14:paraId="6C70309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2,32 €</w:t>
            </w:r>
          </w:p>
        </w:tc>
        <w:tc>
          <w:tcPr>
            <w:tcW w:w="418" w:type="pct"/>
            <w:tcBorders>
              <w:top w:val="nil"/>
              <w:left w:val="nil"/>
              <w:bottom w:val="single" w:sz="8" w:space="0" w:color="DCE6F1"/>
              <w:right w:val="nil"/>
            </w:tcBorders>
            <w:shd w:val="clear" w:color="auto" w:fill="auto"/>
            <w:vAlign w:val="center"/>
            <w:hideMark/>
          </w:tcPr>
          <w:p w14:paraId="27063FF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3,62 €</w:t>
            </w:r>
          </w:p>
        </w:tc>
        <w:tc>
          <w:tcPr>
            <w:tcW w:w="418" w:type="pct"/>
            <w:tcBorders>
              <w:top w:val="nil"/>
              <w:left w:val="nil"/>
              <w:bottom w:val="single" w:sz="8" w:space="0" w:color="DCE6F1"/>
              <w:right w:val="nil"/>
            </w:tcBorders>
            <w:shd w:val="clear" w:color="auto" w:fill="auto"/>
            <w:vAlign w:val="center"/>
            <w:hideMark/>
          </w:tcPr>
          <w:p w14:paraId="35D1D36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2,38 €</w:t>
            </w:r>
          </w:p>
        </w:tc>
        <w:tc>
          <w:tcPr>
            <w:tcW w:w="487" w:type="pct"/>
            <w:tcBorders>
              <w:top w:val="nil"/>
              <w:left w:val="nil"/>
              <w:bottom w:val="single" w:sz="8" w:space="0" w:color="DCE6F1"/>
              <w:right w:val="nil"/>
            </w:tcBorders>
            <w:shd w:val="clear" w:color="auto" w:fill="auto"/>
            <w:vAlign w:val="center"/>
            <w:hideMark/>
          </w:tcPr>
          <w:p w14:paraId="4DA8185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10,78 €</w:t>
            </w:r>
          </w:p>
        </w:tc>
      </w:tr>
      <w:tr w:rsidR="00B73FDB" w:rsidRPr="00B73FDB" w14:paraId="1C9DA2AF"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4B763633"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8.4.12: ŠJ pri Spojenej škole, SNP 30, Ivanka pri Dunaji </w:t>
            </w:r>
          </w:p>
        </w:tc>
        <w:tc>
          <w:tcPr>
            <w:tcW w:w="448" w:type="pct"/>
            <w:tcBorders>
              <w:top w:val="nil"/>
              <w:left w:val="nil"/>
              <w:bottom w:val="single" w:sz="8" w:space="0" w:color="DCE6F1"/>
              <w:right w:val="nil"/>
            </w:tcBorders>
            <w:shd w:val="clear" w:color="auto" w:fill="auto"/>
            <w:vAlign w:val="center"/>
            <w:hideMark/>
          </w:tcPr>
          <w:p w14:paraId="110A195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1,52 €</w:t>
            </w:r>
          </w:p>
        </w:tc>
        <w:tc>
          <w:tcPr>
            <w:tcW w:w="418" w:type="pct"/>
            <w:tcBorders>
              <w:top w:val="nil"/>
              <w:left w:val="nil"/>
              <w:bottom w:val="single" w:sz="8" w:space="0" w:color="DCE6F1"/>
              <w:right w:val="nil"/>
            </w:tcBorders>
            <w:shd w:val="clear" w:color="auto" w:fill="auto"/>
            <w:vAlign w:val="center"/>
            <w:hideMark/>
          </w:tcPr>
          <w:p w14:paraId="4B7C18F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3,64 €</w:t>
            </w:r>
          </w:p>
        </w:tc>
        <w:tc>
          <w:tcPr>
            <w:tcW w:w="418" w:type="pct"/>
            <w:tcBorders>
              <w:top w:val="nil"/>
              <w:left w:val="nil"/>
              <w:bottom w:val="single" w:sz="8" w:space="0" w:color="DCE6F1"/>
              <w:right w:val="nil"/>
            </w:tcBorders>
            <w:shd w:val="clear" w:color="auto" w:fill="auto"/>
            <w:vAlign w:val="center"/>
            <w:hideMark/>
          </w:tcPr>
          <w:p w14:paraId="72D7AD0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3,20 €</w:t>
            </w:r>
          </w:p>
        </w:tc>
        <w:tc>
          <w:tcPr>
            <w:tcW w:w="487" w:type="pct"/>
            <w:tcBorders>
              <w:top w:val="nil"/>
              <w:left w:val="nil"/>
              <w:bottom w:val="single" w:sz="8" w:space="0" w:color="DCE6F1"/>
              <w:right w:val="nil"/>
            </w:tcBorders>
            <w:shd w:val="clear" w:color="auto" w:fill="auto"/>
            <w:vAlign w:val="center"/>
            <w:hideMark/>
          </w:tcPr>
          <w:p w14:paraId="5716B15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11,33 €</w:t>
            </w:r>
          </w:p>
        </w:tc>
      </w:tr>
      <w:tr w:rsidR="00B73FDB" w:rsidRPr="00B73FDB" w14:paraId="7F1855FF"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3F03523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8.4.13: ŠJ pri SOŠ záhradníckej, Malinovo </w:t>
            </w:r>
          </w:p>
        </w:tc>
        <w:tc>
          <w:tcPr>
            <w:tcW w:w="448" w:type="pct"/>
            <w:tcBorders>
              <w:top w:val="nil"/>
              <w:left w:val="nil"/>
              <w:bottom w:val="single" w:sz="8" w:space="0" w:color="DCE6F1"/>
              <w:right w:val="nil"/>
            </w:tcBorders>
            <w:shd w:val="clear" w:color="auto" w:fill="auto"/>
            <w:vAlign w:val="center"/>
            <w:hideMark/>
          </w:tcPr>
          <w:p w14:paraId="7D7712A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1,44 €</w:t>
            </w:r>
          </w:p>
        </w:tc>
        <w:tc>
          <w:tcPr>
            <w:tcW w:w="418" w:type="pct"/>
            <w:tcBorders>
              <w:top w:val="nil"/>
              <w:left w:val="nil"/>
              <w:bottom w:val="single" w:sz="8" w:space="0" w:color="DCE6F1"/>
              <w:right w:val="nil"/>
            </w:tcBorders>
            <w:shd w:val="clear" w:color="auto" w:fill="auto"/>
            <w:vAlign w:val="center"/>
            <w:hideMark/>
          </w:tcPr>
          <w:p w14:paraId="5C1278D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8,02 €</w:t>
            </w:r>
          </w:p>
        </w:tc>
        <w:tc>
          <w:tcPr>
            <w:tcW w:w="418" w:type="pct"/>
            <w:tcBorders>
              <w:top w:val="nil"/>
              <w:left w:val="nil"/>
              <w:bottom w:val="single" w:sz="8" w:space="0" w:color="DCE6F1"/>
              <w:right w:val="nil"/>
            </w:tcBorders>
            <w:shd w:val="clear" w:color="auto" w:fill="auto"/>
            <w:vAlign w:val="center"/>
            <w:hideMark/>
          </w:tcPr>
          <w:p w14:paraId="4BB3902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4,38 €</w:t>
            </w:r>
          </w:p>
        </w:tc>
        <w:tc>
          <w:tcPr>
            <w:tcW w:w="487" w:type="pct"/>
            <w:tcBorders>
              <w:top w:val="nil"/>
              <w:left w:val="nil"/>
              <w:bottom w:val="single" w:sz="8" w:space="0" w:color="DCE6F1"/>
              <w:right w:val="nil"/>
            </w:tcBorders>
            <w:shd w:val="clear" w:color="auto" w:fill="auto"/>
            <w:vAlign w:val="center"/>
            <w:hideMark/>
          </w:tcPr>
          <w:p w14:paraId="42ACED4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r>
      <w:tr w:rsidR="00B73FDB" w:rsidRPr="00B73FDB" w14:paraId="06B3688E"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63A80C3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8.4.14: ŠJ pri SOŠ vinársko-ovocinárskej, Kostolná 3, Modra </w:t>
            </w:r>
          </w:p>
        </w:tc>
        <w:tc>
          <w:tcPr>
            <w:tcW w:w="448" w:type="pct"/>
            <w:tcBorders>
              <w:top w:val="nil"/>
              <w:left w:val="nil"/>
              <w:bottom w:val="single" w:sz="8" w:space="0" w:color="DCE6F1"/>
              <w:right w:val="nil"/>
            </w:tcBorders>
            <w:shd w:val="clear" w:color="auto" w:fill="auto"/>
            <w:vAlign w:val="center"/>
            <w:hideMark/>
          </w:tcPr>
          <w:p w14:paraId="40E9D8D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1,52 €</w:t>
            </w:r>
          </w:p>
        </w:tc>
        <w:tc>
          <w:tcPr>
            <w:tcW w:w="418" w:type="pct"/>
            <w:tcBorders>
              <w:top w:val="nil"/>
              <w:left w:val="nil"/>
              <w:bottom w:val="single" w:sz="8" w:space="0" w:color="DCE6F1"/>
              <w:right w:val="nil"/>
            </w:tcBorders>
            <w:shd w:val="clear" w:color="auto" w:fill="auto"/>
            <w:vAlign w:val="center"/>
            <w:hideMark/>
          </w:tcPr>
          <w:p w14:paraId="662FE2A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3,17 €</w:t>
            </w:r>
          </w:p>
        </w:tc>
        <w:tc>
          <w:tcPr>
            <w:tcW w:w="418" w:type="pct"/>
            <w:tcBorders>
              <w:top w:val="nil"/>
              <w:left w:val="nil"/>
              <w:bottom w:val="single" w:sz="8" w:space="0" w:color="DCE6F1"/>
              <w:right w:val="nil"/>
            </w:tcBorders>
            <w:shd w:val="clear" w:color="auto" w:fill="auto"/>
            <w:vAlign w:val="center"/>
            <w:hideMark/>
          </w:tcPr>
          <w:p w14:paraId="56161B5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2,33 €</w:t>
            </w:r>
          </w:p>
        </w:tc>
        <w:tc>
          <w:tcPr>
            <w:tcW w:w="487" w:type="pct"/>
            <w:tcBorders>
              <w:top w:val="nil"/>
              <w:left w:val="nil"/>
              <w:bottom w:val="single" w:sz="8" w:space="0" w:color="DCE6F1"/>
              <w:right w:val="nil"/>
            </w:tcBorders>
            <w:shd w:val="clear" w:color="auto" w:fill="auto"/>
            <w:vAlign w:val="center"/>
            <w:hideMark/>
          </w:tcPr>
          <w:p w14:paraId="2924E00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7,45 €</w:t>
            </w:r>
          </w:p>
        </w:tc>
      </w:tr>
      <w:tr w:rsidR="00B73FDB" w:rsidRPr="00B73FDB" w14:paraId="6264D9B6"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2BBEB44D"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8.4.15: ŠJ pri SOŠ informačných technológií, Hlinická 1, BA </w:t>
            </w:r>
          </w:p>
        </w:tc>
        <w:tc>
          <w:tcPr>
            <w:tcW w:w="448" w:type="pct"/>
            <w:tcBorders>
              <w:top w:val="nil"/>
              <w:left w:val="nil"/>
              <w:bottom w:val="single" w:sz="8" w:space="0" w:color="DCE6F1"/>
              <w:right w:val="nil"/>
            </w:tcBorders>
            <w:shd w:val="clear" w:color="auto" w:fill="auto"/>
            <w:vAlign w:val="center"/>
            <w:hideMark/>
          </w:tcPr>
          <w:p w14:paraId="4E17C7F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2,11 €</w:t>
            </w:r>
          </w:p>
        </w:tc>
        <w:tc>
          <w:tcPr>
            <w:tcW w:w="418" w:type="pct"/>
            <w:tcBorders>
              <w:top w:val="nil"/>
              <w:left w:val="nil"/>
              <w:bottom w:val="single" w:sz="8" w:space="0" w:color="DCE6F1"/>
              <w:right w:val="nil"/>
            </w:tcBorders>
            <w:shd w:val="clear" w:color="auto" w:fill="auto"/>
            <w:vAlign w:val="center"/>
            <w:hideMark/>
          </w:tcPr>
          <w:p w14:paraId="015F07F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1,97 €</w:t>
            </w:r>
          </w:p>
        </w:tc>
        <w:tc>
          <w:tcPr>
            <w:tcW w:w="418" w:type="pct"/>
            <w:tcBorders>
              <w:top w:val="nil"/>
              <w:left w:val="nil"/>
              <w:bottom w:val="single" w:sz="8" w:space="0" w:color="DCE6F1"/>
              <w:right w:val="nil"/>
            </w:tcBorders>
            <w:shd w:val="clear" w:color="auto" w:fill="auto"/>
            <w:vAlign w:val="center"/>
            <w:hideMark/>
          </w:tcPr>
          <w:p w14:paraId="35C1D2F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1,44 €</w:t>
            </w:r>
          </w:p>
        </w:tc>
        <w:tc>
          <w:tcPr>
            <w:tcW w:w="487" w:type="pct"/>
            <w:tcBorders>
              <w:top w:val="nil"/>
              <w:left w:val="nil"/>
              <w:bottom w:val="single" w:sz="8" w:space="0" w:color="DCE6F1"/>
              <w:right w:val="nil"/>
            </w:tcBorders>
            <w:shd w:val="clear" w:color="auto" w:fill="auto"/>
            <w:vAlign w:val="center"/>
            <w:hideMark/>
          </w:tcPr>
          <w:p w14:paraId="67C7431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7,04 €</w:t>
            </w:r>
          </w:p>
        </w:tc>
      </w:tr>
      <w:tr w:rsidR="00B73FDB" w:rsidRPr="00B73FDB" w14:paraId="285C38CC"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52010298"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8.4.16: ŠJ pri SOŠ hotelových služieb a obchodu, Na Pántoch 9, BA </w:t>
            </w:r>
          </w:p>
        </w:tc>
        <w:tc>
          <w:tcPr>
            <w:tcW w:w="448" w:type="pct"/>
            <w:tcBorders>
              <w:top w:val="nil"/>
              <w:left w:val="nil"/>
              <w:bottom w:val="single" w:sz="8" w:space="0" w:color="DCE6F1"/>
              <w:right w:val="nil"/>
            </w:tcBorders>
            <w:shd w:val="clear" w:color="auto" w:fill="auto"/>
            <w:vAlign w:val="center"/>
            <w:hideMark/>
          </w:tcPr>
          <w:p w14:paraId="0BCD552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1,42 €</w:t>
            </w:r>
          </w:p>
        </w:tc>
        <w:tc>
          <w:tcPr>
            <w:tcW w:w="418" w:type="pct"/>
            <w:tcBorders>
              <w:top w:val="nil"/>
              <w:left w:val="nil"/>
              <w:bottom w:val="single" w:sz="8" w:space="0" w:color="DCE6F1"/>
              <w:right w:val="nil"/>
            </w:tcBorders>
            <w:shd w:val="clear" w:color="auto" w:fill="auto"/>
            <w:vAlign w:val="center"/>
            <w:hideMark/>
          </w:tcPr>
          <w:p w14:paraId="5F480A5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1,45 €</w:t>
            </w:r>
          </w:p>
        </w:tc>
        <w:tc>
          <w:tcPr>
            <w:tcW w:w="418" w:type="pct"/>
            <w:tcBorders>
              <w:top w:val="nil"/>
              <w:left w:val="nil"/>
              <w:bottom w:val="single" w:sz="8" w:space="0" w:color="DCE6F1"/>
              <w:right w:val="nil"/>
            </w:tcBorders>
            <w:shd w:val="clear" w:color="auto" w:fill="auto"/>
            <w:vAlign w:val="center"/>
            <w:hideMark/>
          </w:tcPr>
          <w:p w14:paraId="69C1714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1,11 €</w:t>
            </w:r>
          </w:p>
        </w:tc>
        <w:tc>
          <w:tcPr>
            <w:tcW w:w="487" w:type="pct"/>
            <w:tcBorders>
              <w:top w:val="nil"/>
              <w:left w:val="nil"/>
              <w:bottom w:val="single" w:sz="8" w:space="0" w:color="DCE6F1"/>
              <w:right w:val="nil"/>
            </w:tcBorders>
            <w:shd w:val="clear" w:color="auto" w:fill="auto"/>
            <w:vAlign w:val="center"/>
            <w:hideMark/>
          </w:tcPr>
          <w:p w14:paraId="3D23FAE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3,18 €</w:t>
            </w:r>
          </w:p>
        </w:tc>
      </w:tr>
      <w:tr w:rsidR="00B73FDB" w:rsidRPr="00B73FDB" w14:paraId="473E53AC"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74FBA048"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8.4.17: ŠJ pri SOŠ, </w:t>
            </w:r>
            <w:proofErr w:type="spellStart"/>
            <w:r w:rsidRPr="00B73FDB">
              <w:rPr>
                <w:rFonts w:cs="Calibri"/>
                <w:color w:val="000000"/>
                <w:sz w:val="20"/>
                <w:szCs w:val="20"/>
                <w:lang w:eastAsia="sk-SK"/>
              </w:rPr>
              <w:t>Myslenická</w:t>
            </w:r>
            <w:proofErr w:type="spellEnd"/>
            <w:r w:rsidRPr="00B73FDB">
              <w:rPr>
                <w:rFonts w:cs="Calibri"/>
                <w:color w:val="000000"/>
                <w:sz w:val="20"/>
                <w:szCs w:val="20"/>
                <w:lang w:eastAsia="sk-SK"/>
              </w:rPr>
              <w:t xml:space="preserve"> 1, Pezinok </w:t>
            </w:r>
          </w:p>
        </w:tc>
        <w:tc>
          <w:tcPr>
            <w:tcW w:w="448" w:type="pct"/>
            <w:tcBorders>
              <w:top w:val="nil"/>
              <w:left w:val="nil"/>
              <w:bottom w:val="single" w:sz="8" w:space="0" w:color="DCE6F1"/>
              <w:right w:val="nil"/>
            </w:tcBorders>
            <w:shd w:val="clear" w:color="auto" w:fill="auto"/>
            <w:vAlign w:val="center"/>
            <w:hideMark/>
          </w:tcPr>
          <w:p w14:paraId="7440D08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3,19 €</w:t>
            </w:r>
          </w:p>
        </w:tc>
        <w:tc>
          <w:tcPr>
            <w:tcW w:w="418" w:type="pct"/>
            <w:tcBorders>
              <w:top w:val="nil"/>
              <w:left w:val="nil"/>
              <w:bottom w:val="single" w:sz="8" w:space="0" w:color="DCE6F1"/>
              <w:right w:val="nil"/>
            </w:tcBorders>
            <w:shd w:val="clear" w:color="auto" w:fill="auto"/>
            <w:vAlign w:val="center"/>
            <w:hideMark/>
          </w:tcPr>
          <w:p w14:paraId="758BE9D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10,89 €</w:t>
            </w:r>
          </w:p>
        </w:tc>
        <w:tc>
          <w:tcPr>
            <w:tcW w:w="418" w:type="pct"/>
            <w:tcBorders>
              <w:top w:val="nil"/>
              <w:left w:val="nil"/>
              <w:bottom w:val="single" w:sz="8" w:space="0" w:color="DCE6F1"/>
              <w:right w:val="nil"/>
            </w:tcBorders>
            <w:shd w:val="clear" w:color="auto" w:fill="auto"/>
            <w:vAlign w:val="center"/>
            <w:hideMark/>
          </w:tcPr>
          <w:p w14:paraId="139786A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8,48 €</w:t>
            </w:r>
          </w:p>
        </w:tc>
        <w:tc>
          <w:tcPr>
            <w:tcW w:w="487" w:type="pct"/>
            <w:tcBorders>
              <w:top w:val="nil"/>
              <w:left w:val="nil"/>
              <w:bottom w:val="single" w:sz="8" w:space="0" w:color="DCE6F1"/>
              <w:right w:val="nil"/>
            </w:tcBorders>
            <w:shd w:val="clear" w:color="auto" w:fill="auto"/>
            <w:vAlign w:val="center"/>
            <w:hideMark/>
          </w:tcPr>
          <w:p w14:paraId="37154D2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27,06 €</w:t>
            </w:r>
          </w:p>
        </w:tc>
      </w:tr>
      <w:tr w:rsidR="00B73FDB" w:rsidRPr="00B73FDB" w14:paraId="6B4FB6F0"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3D1CBA4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8.4.18: ŠJ pri SOŠ, Račianska 105, BA </w:t>
            </w:r>
          </w:p>
        </w:tc>
        <w:tc>
          <w:tcPr>
            <w:tcW w:w="448" w:type="pct"/>
            <w:tcBorders>
              <w:top w:val="nil"/>
              <w:left w:val="nil"/>
              <w:bottom w:val="single" w:sz="8" w:space="0" w:color="DCE6F1"/>
              <w:right w:val="nil"/>
            </w:tcBorders>
            <w:shd w:val="clear" w:color="auto" w:fill="auto"/>
            <w:vAlign w:val="center"/>
            <w:hideMark/>
          </w:tcPr>
          <w:p w14:paraId="1223635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1,29 €</w:t>
            </w:r>
          </w:p>
        </w:tc>
        <w:tc>
          <w:tcPr>
            <w:tcW w:w="418" w:type="pct"/>
            <w:tcBorders>
              <w:top w:val="nil"/>
              <w:left w:val="nil"/>
              <w:bottom w:val="single" w:sz="8" w:space="0" w:color="DCE6F1"/>
              <w:right w:val="nil"/>
            </w:tcBorders>
            <w:shd w:val="clear" w:color="auto" w:fill="auto"/>
            <w:vAlign w:val="center"/>
            <w:hideMark/>
          </w:tcPr>
          <w:p w14:paraId="72A65B1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1,27 €</w:t>
            </w:r>
          </w:p>
        </w:tc>
        <w:tc>
          <w:tcPr>
            <w:tcW w:w="418" w:type="pct"/>
            <w:tcBorders>
              <w:top w:val="nil"/>
              <w:left w:val="nil"/>
              <w:bottom w:val="single" w:sz="8" w:space="0" w:color="DCE6F1"/>
              <w:right w:val="nil"/>
            </w:tcBorders>
            <w:shd w:val="clear" w:color="auto" w:fill="auto"/>
            <w:vAlign w:val="center"/>
            <w:hideMark/>
          </w:tcPr>
          <w:p w14:paraId="730074F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1,41 €</w:t>
            </w:r>
          </w:p>
        </w:tc>
        <w:tc>
          <w:tcPr>
            <w:tcW w:w="487" w:type="pct"/>
            <w:tcBorders>
              <w:top w:val="nil"/>
              <w:left w:val="nil"/>
              <w:bottom w:val="single" w:sz="8" w:space="0" w:color="DCE6F1"/>
              <w:right w:val="nil"/>
            </w:tcBorders>
            <w:shd w:val="clear" w:color="auto" w:fill="auto"/>
            <w:vAlign w:val="center"/>
            <w:hideMark/>
          </w:tcPr>
          <w:p w14:paraId="73930C6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4,67 €</w:t>
            </w:r>
          </w:p>
        </w:tc>
      </w:tr>
      <w:tr w:rsidR="00B73FDB" w:rsidRPr="00B73FDB" w14:paraId="19A41A5D"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6C2A0833"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8.4.19: ŠJ pri Hotelovej akadémii, </w:t>
            </w:r>
            <w:proofErr w:type="spellStart"/>
            <w:r w:rsidRPr="00B73FDB">
              <w:rPr>
                <w:rFonts w:cs="Calibri"/>
                <w:color w:val="000000"/>
                <w:sz w:val="20"/>
                <w:szCs w:val="20"/>
                <w:lang w:eastAsia="sk-SK"/>
              </w:rPr>
              <w:t>Mikovíniho</w:t>
            </w:r>
            <w:proofErr w:type="spellEnd"/>
            <w:r w:rsidRPr="00B73FDB">
              <w:rPr>
                <w:rFonts w:cs="Calibri"/>
                <w:color w:val="000000"/>
                <w:sz w:val="20"/>
                <w:szCs w:val="20"/>
                <w:lang w:eastAsia="sk-SK"/>
              </w:rPr>
              <w:t xml:space="preserve"> 1, BA </w:t>
            </w:r>
          </w:p>
        </w:tc>
        <w:tc>
          <w:tcPr>
            <w:tcW w:w="448" w:type="pct"/>
            <w:tcBorders>
              <w:top w:val="nil"/>
              <w:left w:val="nil"/>
              <w:bottom w:val="single" w:sz="8" w:space="0" w:color="DCE6F1"/>
              <w:right w:val="nil"/>
            </w:tcBorders>
            <w:shd w:val="clear" w:color="auto" w:fill="auto"/>
            <w:vAlign w:val="center"/>
            <w:hideMark/>
          </w:tcPr>
          <w:p w14:paraId="238985D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1,21 €</w:t>
            </w:r>
          </w:p>
        </w:tc>
        <w:tc>
          <w:tcPr>
            <w:tcW w:w="418" w:type="pct"/>
            <w:tcBorders>
              <w:top w:val="nil"/>
              <w:left w:val="nil"/>
              <w:bottom w:val="single" w:sz="8" w:space="0" w:color="DCE6F1"/>
              <w:right w:val="nil"/>
            </w:tcBorders>
            <w:shd w:val="clear" w:color="auto" w:fill="auto"/>
            <w:vAlign w:val="center"/>
            <w:hideMark/>
          </w:tcPr>
          <w:p w14:paraId="6DE03F9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1,20 €</w:t>
            </w:r>
          </w:p>
        </w:tc>
        <w:tc>
          <w:tcPr>
            <w:tcW w:w="418" w:type="pct"/>
            <w:tcBorders>
              <w:top w:val="nil"/>
              <w:left w:val="nil"/>
              <w:bottom w:val="single" w:sz="8" w:space="0" w:color="DCE6F1"/>
              <w:right w:val="nil"/>
            </w:tcBorders>
            <w:shd w:val="clear" w:color="auto" w:fill="auto"/>
            <w:vAlign w:val="center"/>
            <w:hideMark/>
          </w:tcPr>
          <w:p w14:paraId="4EF3ECA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3,05 €</w:t>
            </w:r>
          </w:p>
        </w:tc>
        <w:tc>
          <w:tcPr>
            <w:tcW w:w="487" w:type="pct"/>
            <w:tcBorders>
              <w:top w:val="nil"/>
              <w:left w:val="nil"/>
              <w:bottom w:val="single" w:sz="8" w:space="0" w:color="DCE6F1"/>
              <w:right w:val="nil"/>
            </w:tcBorders>
            <w:shd w:val="clear" w:color="auto" w:fill="auto"/>
            <w:vAlign w:val="center"/>
            <w:hideMark/>
          </w:tcPr>
          <w:p w14:paraId="7EC9AAA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21,41 €</w:t>
            </w:r>
          </w:p>
        </w:tc>
      </w:tr>
      <w:tr w:rsidR="00B73FDB" w:rsidRPr="00B73FDB" w14:paraId="70FF341A" w14:textId="77777777" w:rsidTr="00B73FDB">
        <w:trPr>
          <w:trHeight w:hRule="exact" w:val="315"/>
        </w:trPr>
        <w:tc>
          <w:tcPr>
            <w:tcW w:w="3229" w:type="pct"/>
            <w:tcBorders>
              <w:top w:val="nil"/>
              <w:left w:val="nil"/>
              <w:bottom w:val="single" w:sz="8" w:space="0" w:color="DCE6F1"/>
              <w:right w:val="nil"/>
            </w:tcBorders>
            <w:shd w:val="clear" w:color="auto" w:fill="auto"/>
            <w:noWrap/>
            <w:vAlign w:val="center"/>
            <w:hideMark/>
          </w:tcPr>
          <w:p w14:paraId="4794320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8.4.20: ŠJ pri SOŠ polygrafickej, Račianska 190, BA</w:t>
            </w:r>
          </w:p>
        </w:tc>
        <w:tc>
          <w:tcPr>
            <w:tcW w:w="448" w:type="pct"/>
            <w:tcBorders>
              <w:top w:val="nil"/>
              <w:left w:val="nil"/>
              <w:bottom w:val="single" w:sz="8" w:space="0" w:color="DCE6F1"/>
              <w:right w:val="nil"/>
            </w:tcBorders>
            <w:shd w:val="clear" w:color="auto" w:fill="auto"/>
            <w:vAlign w:val="center"/>
            <w:hideMark/>
          </w:tcPr>
          <w:p w14:paraId="1B504B5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1,59 €</w:t>
            </w:r>
          </w:p>
        </w:tc>
        <w:tc>
          <w:tcPr>
            <w:tcW w:w="418" w:type="pct"/>
            <w:tcBorders>
              <w:top w:val="nil"/>
              <w:left w:val="nil"/>
              <w:bottom w:val="single" w:sz="8" w:space="0" w:color="DCE6F1"/>
              <w:right w:val="nil"/>
            </w:tcBorders>
            <w:shd w:val="clear" w:color="auto" w:fill="auto"/>
            <w:vAlign w:val="center"/>
            <w:hideMark/>
          </w:tcPr>
          <w:p w14:paraId="72678B7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1,58 €</w:t>
            </w:r>
          </w:p>
        </w:tc>
        <w:tc>
          <w:tcPr>
            <w:tcW w:w="418" w:type="pct"/>
            <w:tcBorders>
              <w:top w:val="nil"/>
              <w:left w:val="nil"/>
              <w:bottom w:val="single" w:sz="8" w:space="0" w:color="DCE6F1"/>
              <w:right w:val="nil"/>
            </w:tcBorders>
            <w:shd w:val="clear" w:color="auto" w:fill="auto"/>
            <w:vAlign w:val="center"/>
            <w:hideMark/>
          </w:tcPr>
          <w:p w14:paraId="095F4BC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1,06 €</w:t>
            </w:r>
          </w:p>
        </w:tc>
        <w:tc>
          <w:tcPr>
            <w:tcW w:w="487" w:type="pct"/>
            <w:tcBorders>
              <w:top w:val="nil"/>
              <w:left w:val="nil"/>
              <w:bottom w:val="single" w:sz="8" w:space="0" w:color="DCE6F1"/>
              <w:right w:val="nil"/>
            </w:tcBorders>
            <w:shd w:val="clear" w:color="auto" w:fill="auto"/>
            <w:vAlign w:val="center"/>
            <w:hideMark/>
          </w:tcPr>
          <w:p w14:paraId="27EAAD1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7,55 €</w:t>
            </w:r>
          </w:p>
        </w:tc>
      </w:tr>
      <w:tr w:rsidR="00B73FDB" w:rsidRPr="00B73FDB" w14:paraId="61B5601A" w14:textId="77777777" w:rsidTr="00B73FDB">
        <w:trPr>
          <w:trHeight w:hRule="exact" w:val="315"/>
        </w:trPr>
        <w:tc>
          <w:tcPr>
            <w:tcW w:w="3229" w:type="pct"/>
            <w:tcBorders>
              <w:top w:val="single" w:sz="8" w:space="0" w:color="DCE6F1"/>
              <w:left w:val="nil"/>
              <w:bottom w:val="single" w:sz="8" w:space="0" w:color="DCE6F1"/>
              <w:right w:val="nil"/>
            </w:tcBorders>
            <w:shd w:val="clear" w:color="auto" w:fill="auto"/>
            <w:noWrap/>
            <w:vAlign w:val="center"/>
            <w:hideMark/>
          </w:tcPr>
          <w:p w14:paraId="097EC71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8.4.21: ŠJ pri SOŠ, Kysucká 14, Senec </w:t>
            </w:r>
          </w:p>
        </w:tc>
        <w:tc>
          <w:tcPr>
            <w:tcW w:w="448" w:type="pct"/>
            <w:tcBorders>
              <w:top w:val="nil"/>
              <w:left w:val="nil"/>
              <w:bottom w:val="single" w:sz="8" w:space="0" w:color="DCE6F1"/>
              <w:right w:val="nil"/>
            </w:tcBorders>
            <w:shd w:val="clear" w:color="auto" w:fill="auto"/>
            <w:vAlign w:val="center"/>
            <w:hideMark/>
          </w:tcPr>
          <w:p w14:paraId="5FA8FB7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4,17 €</w:t>
            </w:r>
          </w:p>
        </w:tc>
        <w:tc>
          <w:tcPr>
            <w:tcW w:w="418" w:type="pct"/>
            <w:tcBorders>
              <w:top w:val="nil"/>
              <w:left w:val="nil"/>
              <w:bottom w:val="single" w:sz="8" w:space="0" w:color="DCE6F1"/>
              <w:right w:val="nil"/>
            </w:tcBorders>
            <w:shd w:val="clear" w:color="auto" w:fill="auto"/>
            <w:vAlign w:val="center"/>
            <w:hideMark/>
          </w:tcPr>
          <w:p w14:paraId="70C33DC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4,41 €</w:t>
            </w:r>
          </w:p>
        </w:tc>
        <w:tc>
          <w:tcPr>
            <w:tcW w:w="418" w:type="pct"/>
            <w:tcBorders>
              <w:top w:val="nil"/>
              <w:left w:val="nil"/>
              <w:bottom w:val="single" w:sz="8" w:space="0" w:color="DCE6F1"/>
              <w:right w:val="nil"/>
            </w:tcBorders>
            <w:shd w:val="clear" w:color="auto" w:fill="auto"/>
            <w:vAlign w:val="center"/>
            <w:hideMark/>
          </w:tcPr>
          <w:p w14:paraId="0D269ED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1,76 €</w:t>
            </w:r>
          </w:p>
        </w:tc>
        <w:tc>
          <w:tcPr>
            <w:tcW w:w="487" w:type="pct"/>
            <w:tcBorders>
              <w:top w:val="nil"/>
              <w:left w:val="nil"/>
              <w:bottom w:val="single" w:sz="8" w:space="0" w:color="DCE6F1"/>
              <w:right w:val="nil"/>
            </w:tcBorders>
            <w:shd w:val="clear" w:color="auto" w:fill="auto"/>
            <w:vAlign w:val="center"/>
            <w:hideMark/>
          </w:tcPr>
          <w:p w14:paraId="1DA86EF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6,99 €</w:t>
            </w:r>
          </w:p>
        </w:tc>
      </w:tr>
      <w:tr w:rsidR="00B73FDB" w:rsidRPr="00B73FDB" w14:paraId="516CA37C" w14:textId="77777777" w:rsidTr="00B73FDB">
        <w:trPr>
          <w:trHeight w:val="315"/>
        </w:trPr>
        <w:tc>
          <w:tcPr>
            <w:tcW w:w="3229" w:type="pct"/>
            <w:tcBorders>
              <w:top w:val="single" w:sz="8" w:space="0" w:color="DCE6F1"/>
              <w:left w:val="nil"/>
              <w:bottom w:val="single" w:sz="8" w:space="0" w:color="DCE6F1"/>
              <w:right w:val="nil"/>
            </w:tcBorders>
            <w:shd w:val="clear" w:color="auto" w:fill="auto"/>
            <w:noWrap/>
            <w:vAlign w:val="center"/>
            <w:hideMark/>
          </w:tcPr>
          <w:p w14:paraId="0634C102"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8.4.22: ŠJ pri Gymnáziu, </w:t>
            </w:r>
            <w:proofErr w:type="spellStart"/>
            <w:r w:rsidRPr="00B73FDB">
              <w:rPr>
                <w:rFonts w:cs="Calibri"/>
                <w:color w:val="000000"/>
                <w:sz w:val="20"/>
                <w:szCs w:val="20"/>
                <w:lang w:eastAsia="sk-SK"/>
              </w:rPr>
              <w:t>Grosslingova</w:t>
            </w:r>
            <w:proofErr w:type="spellEnd"/>
            <w:r w:rsidRPr="00B73FDB">
              <w:rPr>
                <w:rFonts w:cs="Calibri"/>
                <w:color w:val="000000"/>
                <w:sz w:val="20"/>
                <w:szCs w:val="20"/>
                <w:lang w:eastAsia="sk-SK"/>
              </w:rPr>
              <w:t xml:space="preserve"> 18, BA</w:t>
            </w:r>
          </w:p>
        </w:tc>
        <w:tc>
          <w:tcPr>
            <w:tcW w:w="448" w:type="pct"/>
            <w:tcBorders>
              <w:top w:val="nil"/>
              <w:left w:val="nil"/>
              <w:bottom w:val="single" w:sz="8" w:space="0" w:color="DCE6F1"/>
              <w:right w:val="nil"/>
            </w:tcBorders>
            <w:shd w:val="clear" w:color="auto" w:fill="auto"/>
            <w:vAlign w:val="center"/>
            <w:hideMark/>
          </w:tcPr>
          <w:p w14:paraId="30DD0AF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0,00 €</w:t>
            </w:r>
          </w:p>
        </w:tc>
        <w:tc>
          <w:tcPr>
            <w:tcW w:w="418" w:type="pct"/>
            <w:tcBorders>
              <w:top w:val="nil"/>
              <w:left w:val="nil"/>
              <w:bottom w:val="single" w:sz="8" w:space="0" w:color="DCE6F1"/>
              <w:right w:val="nil"/>
            </w:tcBorders>
            <w:shd w:val="clear" w:color="auto" w:fill="auto"/>
            <w:vAlign w:val="center"/>
            <w:hideMark/>
          </w:tcPr>
          <w:p w14:paraId="2AFBA4F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2,81 €</w:t>
            </w:r>
          </w:p>
        </w:tc>
        <w:tc>
          <w:tcPr>
            <w:tcW w:w="418" w:type="pct"/>
            <w:tcBorders>
              <w:top w:val="nil"/>
              <w:left w:val="nil"/>
              <w:bottom w:val="single" w:sz="8" w:space="0" w:color="DCE6F1"/>
              <w:right w:val="nil"/>
            </w:tcBorders>
            <w:shd w:val="clear" w:color="auto" w:fill="auto"/>
            <w:vAlign w:val="center"/>
            <w:hideMark/>
          </w:tcPr>
          <w:p w14:paraId="12F55B4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2,16 €</w:t>
            </w:r>
          </w:p>
        </w:tc>
        <w:tc>
          <w:tcPr>
            <w:tcW w:w="487" w:type="pct"/>
            <w:tcBorders>
              <w:top w:val="nil"/>
              <w:left w:val="nil"/>
              <w:bottom w:val="single" w:sz="8" w:space="0" w:color="DCE6F1"/>
              <w:right w:val="nil"/>
            </w:tcBorders>
            <w:shd w:val="clear" w:color="auto" w:fill="auto"/>
            <w:vAlign w:val="center"/>
            <w:hideMark/>
          </w:tcPr>
          <w:p w14:paraId="69BB4C5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5,54 €</w:t>
            </w:r>
          </w:p>
        </w:tc>
      </w:tr>
      <w:tr w:rsidR="00B73FDB" w:rsidRPr="00B73FDB" w14:paraId="172F24AD" w14:textId="77777777" w:rsidTr="00B73FDB">
        <w:trPr>
          <w:trHeight w:val="315"/>
        </w:trPr>
        <w:tc>
          <w:tcPr>
            <w:tcW w:w="3229" w:type="pct"/>
            <w:tcBorders>
              <w:top w:val="single" w:sz="8" w:space="0" w:color="DCE6F1"/>
              <w:left w:val="nil"/>
              <w:bottom w:val="single" w:sz="8" w:space="0" w:color="DCE6F1"/>
              <w:right w:val="nil"/>
            </w:tcBorders>
            <w:shd w:val="clear" w:color="auto" w:fill="auto"/>
            <w:noWrap/>
            <w:vAlign w:val="center"/>
          </w:tcPr>
          <w:p w14:paraId="4FC8ABE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lastRenderedPageBreak/>
              <w:t>Prvok 8.4.23: ŠJ pri Spojenej škole, Malinovo</w:t>
            </w:r>
          </w:p>
        </w:tc>
        <w:tc>
          <w:tcPr>
            <w:tcW w:w="448" w:type="pct"/>
            <w:tcBorders>
              <w:top w:val="nil"/>
              <w:left w:val="nil"/>
              <w:bottom w:val="single" w:sz="8" w:space="0" w:color="DCE6F1"/>
              <w:right w:val="nil"/>
            </w:tcBorders>
            <w:shd w:val="clear" w:color="auto" w:fill="auto"/>
            <w:vAlign w:val="center"/>
          </w:tcPr>
          <w:p w14:paraId="6076BCC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18" w:type="pct"/>
            <w:tcBorders>
              <w:top w:val="nil"/>
              <w:left w:val="nil"/>
              <w:bottom w:val="single" w:sz="8" w:space="0" w:color="DCE6F1"/>
              <w:right w:val="nil"/>
            </w:tcBorders>
            <w:shd w:val="clear" w:color="auto" w:fill="auto"/>
            <w:vAlign w:val="center"/>
          </w:tcPr>
          <w:p w14:paraId="46357A5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18" w:type="pct"/>
            <w:tcBorders>
              <w:top w:val="nil"/>
              <w:left w:val="nil"/>
              <w:bottom w:val="single" w:sz="8" w:space="0" w:color="DCE6F1"/>
              <w:right w:val="nil"/>
            </w:tcBorders>
            <w:shd w:val="clear" w:color="auto" w:fill="auto"/>
            <w:vAlign w:val="center"/>
          </w:tcPr>
          <w:p w14:paraId="0CA3E14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2,85 €</w:t>
            </w:r>
          </w:p>
        </w:tc>
        <w:tc>
          <w:tcPr>
            <w:tcW w:w="487" w:type="pct"/>
            <w:tcBorders>
              <w:top w:val="nil"/>
              <w:left w:val="nil"/>
              <w:bottom w:val="single" w:sz="8" w:space="0" w:color="DCE6F1"/>
              <w:right w:val="nil"/>
            </w:tcBorders>
            <w:shd w:val="clear" w:color="auto" w:fill="auto"/>
            <w:vAlign w:val="center"/>
          </w:tcPr>
          <w:p w14:paraId="06055F8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4,93 €</w:t>
            </w:r>
          </w:p>
        </w:tc>
      </w:tr>
      <w:tr w:rsidR="00B73FDB" w:rsidRPr="00B73FDB" w14:paraId="307FDF8B" w14:textId="77777777" w:rsidTr="00B73FDB">
        <w:trPr>
          <w:trHeight w:val="315"/>
        </w:trPr>
        <w:tc>
          <w:tcPr>
            <w:tcW w:w="3229" w:type="pct"/>
            <w:tcBorders>
              <w:top w:val="single" w:sz="8" w:space="0" w:color="DCE6F1"/>
              <w:left w:val="nil"/>
              <w:bottom w:val="single" w:sz="8" w:space="0" w:color="DCE6F1"/>
              <w:right w:val="nil"/>
            </w:tcBorders>
            <w:shd w:val="clear" w:color="auto" w:fill="auto"/>
            <w:noWrap/>
            <w:vAlign w:val="center"/>
          </w:tcPr>
          <w:p w14:paraId="069EB7C6"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8.4.24: ŠJ pri Spojenej škole, </w:t>
            </w:r>
            <w:proofErr w:type="spellStart"/>
            <w:r w:rsidRPr="00B73FDB">
              <w:rPr>
                <w:rFonts w:cs="Calibri"/>
                <w:color w:val="000000"/>
                <w:sz w:val="20"/>
                <w:szCs w:val="20"/>
                <w:lang w:eastAsia="sk-SK"/>
              </w:rPr>
              <w:t>Ostredkova</w:t>
            </w:r>
            <w:proofErr w:type="spellEnd"/>
            <w:r w:rsidRPr="00B73FDB">
              <w:rPr>
                <w:rFonts w:cs="Calibri"/>
                <w:color w:val="000000"/>
                <w:sz w:val="20"/>
                <w:szCs w:val="20"/>
                <w:lang w:eastAsia="sk-SK"/>
              </w:rPr>
              <w:t xml:space="preserve"> 10, BA</w:t>
            </w:r>
          </w:p>
        </w:tc>
        <w:tc>
          <w:tcPr>
            <w:tcW w:w="448" w:type="pct"/>
            <w:tcBorders>
              <w:top w:val="nil"/>
              <w:left w:val="nil"/>
              <w:bottom w:val="single" w:sz="8" w:space="0" w:color="DCE6F1"/>
              <w:right w:val="nil"/>
            </w:tcBorders>
            <w:shd w:val="clear" w:color="auto" w:fill="auto"/>
            <w:vAlign w:val="center"/>
          </w:tcPr>
          <w:p w14:paraId="11FCDFE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18" w:type="pct"/>
            <w:tcBorders>
              <w:top w:val="nil"/>
              <w:left w:val="nil"/>
              <w:bottom w:val="single" w:sz="8" w:space="0" w:color="DCE6F1"/>
              <w:right w:val="nil"/>
            </w:tcBorders>
            <w:shd w:val="clear" w:color="auto" w:fill="auto"/>
            <w:vAlign w:val="center"/>
          </w:tcPr>
          <w:p w14:paraId="2D25700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18" w:type="pct"/>
            <w:tcBorders>
              <w:top w:val="nil"/>
              <w:left w:val="nil"/>
              <w:bottom w:val="single" w:sz="8" w:space="0" w:color="DCE6F1"/>
              <w:right w:val="nil"/>
            </w:tcBorders>
            <w:shd w:val="clear" w:color="auto" w:fill="auto"/>
            <w:vAlign w:val="center"/>
          </w:tcPr>
          <w:p w14:paraId="1047028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87" w:type="pct"/>
            <w:tcBorders>
              <w:top w:val="nil"/>
              <w:left w:val="nil"/>
              <w:bottom w:val="single" w:sz="8" w:space="0" w:color="DCE6F1"/>
              <w:right w:val="nil"/>
            </w:tcBorders>
            <w:shd w:val="clear" w:color="auto" w:fill="auto"/>
            <w:vAlign w:val="center"/>
          </w:tcPr>
          <w:p w14:paraId="0F399E7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9,17 €</w:t>
            </w:r>
          </w:p>
        </w:tc>
      </w:tr>
      <w:tr w:rsidR="00B73FDB" w:rsidRPr="00B73FDB" w14:paraId="740DF8F0" w14:textId="77777777" w:rsidTr="00B73FDB">
        <w:trPr>
          <w:trHeight w:val="315"/>
        </w:trPr>
        <w:tc>
          <w:tcPr>
            <w:tcW w:w="3229" w:type="pct"/>
            <w:tcBorders>
              <w:top w:val="single" w:sz="8" w:space="0" w:color="DCE6F1"/>
              <w:left w:val="nil"/>
              <w:bottom w:val="single" w:sz="8" w:space="0" w:color="DCE6F1"/>
              <w:right w:val="nil"/>
            </w:tcBorders>
            <w:shd w:val="clear" w:color="auto" w:fill="auto"/>
            <w:noWrap/>
            <w:vAlign w:val="center"/>
          </w:tcPr>
          <w:p w14:paraId="34AF9B75"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8.4.25: ŠJ pri Spojenej škole, Pankúchova 6, BA</w:t>
            </w:r>
          </w:p>
        </w:tc>
        <w:tc>
          <w:tcPr>
            <w:tcW w:w="448" w:type="pct"/>
            <w:tcBorders>
              <w:top w:val="nil"/>
              <w:left w:val="nil"/>
              <w:bottom w:val="single" w:sz="8" w:space="0" w:color="DCE6F1"/>
              <w:right w:val="nil"/>
            </w:tcBorders>
            <w:shd w:val="clear" w:color="auto" w:fill="auto"/>
            <w:vAlign w:val="center"/>
          </w:tcPr>
          <w:p w14:paraId="4FEBA7A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18" w:type="pct"/>
            <w:tcBorders>
              <w:top w:val="nil"/>
              <w:left w:val="nil"/>
              <w:bottom w:val="single" w:sz="8" w:space="0" w:color="DCE6F1"/>
              <w:right w:val="nil"/>
            </w:tcBorders>
            <w:shd w:val="clear" w:color="auto" w:fill="auto"/>
            <w:vAlign w:val="center"/>
          </w:tcPr>
          <w:p w14:paraId="1E8C7F5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18" w:type="pct"/>
            <w:tcBorders>
              <w:top w:val="nil"/>
              <w:left w:val="nil"/>
              <w:bottom w:val="single" w:sz="8" w:space="0" w:color="DCE6F1"/>
              <w:right w:val="nil"/>
            </w:tcBorders>
            <w:shd w:val="clear" w:color="auto" w:fill="auto"/>
            <w:vAlign w:val="center"/>
          </w:tcPr>
          <w:p w14:paraId="0EFD671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87" w:type="pct"/>
            <w:tcBorders>
              <w:top w:val="nil"/>
              <w:left w:val="nil"/>
              <w:bottom w:val="single" w:sz="8" w:space="0" w:color="DCE6F1"/>
              <w:right w:val="nil"/>
            </w:tcBorders>
            <w:shd w:val="clear" w:color="auto" w:fill="auto"/>
            <w:vAlign w:val="center"/>
          </w:tcPr>
          <w:p w14:paraId="2A68082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5,20 €</w:t>
            </w:r>
          </w:p>
        </w:tc>
      </w:tr>
      <w:tr w:rsidR="00B73FDB" w:rsidRPr="00B73FDB" w14:paraId="57A68D82" w14:textId="77777777" w:rsidTr="00B73FDB">
        <w:trPr>
          <w:trHeight w:hRule="exact" w:val="330"/>
        </w:trPr>
        <w:tc>
          <w:tcPr>
            <w:tcW w:w="3229" w:type="pct"/>
            <w:tcBorders>
              <w:top w:val="single" w:sz="8" w:space="0" w:color="DCE6F1"/>
              <w:left w:val="nil"/>
              <w:bottom w:val="single" w:sz="8" w:space="0" w:color="4F81BD"/>
              <w:right w:val="nil"/>
            </w:tcBorders>
            <w:shd w:val="clear" w:color="000000" w:fill="DCE6F1"/>
            <w:noWrap/>
            <w:vAlign w:val="center"/>
            <w:hideMark/>
          </w:tcPr>
          <w:p w14:paraId="57140C8B"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Celkom</w:t>
            </w:r>
          </w:p>
        </w:tc>
        <w:tc>
          <w:tcPr>
            <w:tcW w:w="448" w:type="pct"/>
            <w:tcBorders>
              <w:top w:val="nil"/>
              <w:left w:val="nil"/>
              <w:bottom w:val="single" w:sz="8" w:space="0" w:color="4F81BD"/>
              <w:right w:val="nil"/>
            </w:tcBorders>
            <w:shd w:val="clear" w:color="000000" w:fill="DCE6F1"/>
            <w:vAlign w:val="center"/>
            <w:hideMark/>
          </w:tcPr>
          <w:p w14:paraId="373205FD"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1,65 €</w:t>
            </w:r>
          </w:p>
        </w:tc>
        <w:tc>
          <w:tcPr>
            <w:tcW w:w="418" w:type="pct"/>
            <w:tcBorders>
              <w:top w:val="nil"/>
              <w:left w:val="nil"/>
              <w:bottom w:val="single" w:sz="8" w:space="0" w:color="4F81BD"/>
              <w:right w:val="nil"/>
            </w:tcBorders>
            <w:shd w:val="clear" w:color="000000" w:fill="DCE6F1"/>
            <w:vAlign w:val="center"/>
            <w:hideMark/>
          </w:tcPr>
          <w:p w14:paraId="151C9E6B"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3,48 €</w:t>
            </w:r>
          </w:p>
        </w:tc>
        <w:tc>
          <w:tcPr>
            <w:tcW w:w="418" w:type="pct"/>
            <w:tcBorders>
              <w:top w:val="nil"/>
              <w:left w:val="nil"/>
              <w:bottom w:val="single" w:sz="8" w:space="0" w:color="4F81BD"/>
              <w:right w:val="nil"/>
            </w:tcBorders>
            <w:shd w:val="clear" w:color="000000" w:fill="DCE6F1"/>
            <w:vAlign w:val="center"/>
            <w:hideMark/>
          </w:tcPr>
          <w:p w14:paraId="05F62ABE"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2,47 €</w:t>
            </w:r>
          </w:p>
        </w:tc>
        <w:tc>
          <w:tcPr>
            <w:tcW w:w="487" w:type="pct"/>
            <w:tcBorders>
              <w:top w:val="nil"/>
              <w:left w:val="nil"/>
              <w:bottom w:val="single" w:sz="8" w:space="0" w:color="4F81BD"/>
              <w:right w:val="nil"/>
            </w:tcBorders>
            <w:shd w:val="clear" w:color="000000" w:fill="DCE6F1"/>
            <w:vAlign w:val="center"/>
            <w:hideMark/>
          </w:tcPr>
          <w:p w14:paraId="4FD27385"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7,39 €</w:t>
            </w:r>
          </w:p>
        </w:tc>
      </w:tr>
    </w:tbl>
    <w:p w14:paraId="2B8F860D" w14:textId="77777777" w:rsidR="00B73FDB" w:rsidRPr="00B73FDB" w:rsidRDefault="00B73FDB" w:rsidP="00B73FDB">
      <w:pPr>
        <w:spacing w:before="100" w:beforeAutospacing="1" w:after="100" w:afterAutospacing="1" w:line="240" w:lineRule="auto"/>
        <w:outlineLvl w:val="2"/>
        <w:rPr>
          <w:rFonts w:cs="Calibri"/>
          <w:b/>
          <w:bCs/>
          <w:color w:val="4F6228"/>
          <w:sz w:val="27"/>
          <w:szCs w:val="27"/>
          <w:lang w:eastAsia="sk-SK"/>
        </w:rPr>
      </w:pPr>
      <w:r w:rsidRPr="00B73FDB">
        <w:rPr>
          <w:rFonts w:cs="Calibri"/>
          <w:b/>
          <w:bCs/>
          <w:color w:val="4F6228"/>
          <w:sz w:val="27"/>
          <w:szCs w:val="27"/>
          <w:lang w:eastAsia="sk-SK"/>
        </w:rPr>
        <w:t>Podprogram 8.5: Školské ubytovanie</w:t>
      </w:r>
    </w:p>
    <w:p w14:paraId="3C1661B0"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 xml:space="preserve">Financovanie v podprograme Školské ubytovanie sa riadi Všeobecne záväzným nariadením Bratislavského samosprávneho kraja č. 1/2019 a Nariadením vlády Slovenskej republiky č. 630/2008 Z. z., ktorým sa ustanovujú podrobnosti rozpisu finančných prostriedkov zo ŠR pre základné školy, stredné školy, strediská praktického vyučovania, základné umelecké školy a školské zariadenia v znení neskorších predpisov.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6"/>
        <w:gridCol w:w="2853"/>
        <w:gridCol w:w="1215"/>
        <w:gridCol w:w="1212"/>
        <w:gridCol w:w="1214"/>
        <w:gridCol w:w="1212"/>
        <w:gridCol w:w="2274"/>
      </w:tblGrid>
      <w:tr w:rsidR="00B73FDB" w:rsidRPr="00B73FDB" w14:paraId="233033FB" w14:textId="77777777" w:rsidTr="00B73FDB">
        <w:trPr>
          <w:tblCellSpacing w:w="15" w:type="dxa"/>
        </w:trPr>
        <w:tc>
          <w:tcPr>
            <w:tcW w:w="210" w:type="pct"/>
            <w:shd w:val="clear" w:color="auto" w:fill="C6DBF7"/>
            <w:vAlign w:val="center"/>
            <w:hideMark/>
          </w:tcPr>
          <w:p w14:paraId="41AE62E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346" w:type="pct"/>
            <w:shd w:val="clear" w:color="auto" w:fill="C6DBF7"/>
            <w:vAlign w:val="center"/>
            <w:hideMark/>
          </w:tcPr>
          <w:p w14:paraId="5A15C43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5" w:type="pct"/>
            <w:shd w:val="clear" w:color="auto" w:fill="C6DBF7"/>
            <w:vAlign w:val="center"/>
            <w:hideMark/>
          </w:tcPr>
          <w:p w14:paraId="10161D1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3B66FFC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65" w:type="pct"/>
            <w:shd w:val="clear" w:color="auto" w:fill="C6DBF7"/>
            <w:vAlign w:val="center"/>
            <w:hideMark/>
          </w:tcPr>
          <w:p w14:paraId="796E676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4" w:type="pct"/>
            <w:shd w:val="clear" w:color="auto" w:fill="C6DBF7"/>
            <w:vAlign w:val="center"/>
            <w:hideMark/>
          </w:tcPr>
          <w:p w14:paraId="1B80CD0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63" w:type="pct"/>
            <w:shd w:val="clear" w:color="auto" w:fill="C6DBF7"/>
            <w:vAlign w:val="center"/>
            <w:hideMark/>
          </w:tcPr>
          <w:p w14:paraId="374668D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F077B40" w14:textId="77777777" w:rsidTr="00B73FDB">
        <w:trPr>
          <w:tblCellSpacing w:w="15" w:type="dxa"/>
        </w:trPr>
        <w:tc>
          <w:tcPr>
            <w:tcW w:w="210" w:type="pct"/>
            <w:shd w:val="clear" w:color="auto" w:fill="D9D9D9"/>
            <w:noWrap/>
            <w:vAlign w:val="center"/>
            <w:hideMark/>
          </w:tcPr>
          <w:p w14:paraId="0B46E90C" w14:textId="77777777" w:rsidR="00B73FDB" w:rsidRPr="00B73FDB" w:rsidRDefault="00B73FDB" w:rsidP="00B73FDB">
            <w:pPr>
              <w:spacing w:after="0" w:line="240" w:lineRule="auto"/>
              <w:jc w:val="center"/>
              <w:rPr>
                <w:rFonts w:cs="Calibri"/>
                <w:sz w:val="18"/>
                <w:szCs w:val="18"/>
                <w:lang w:eastAsia="sk-SK"/>
              </w:rPr>
            </w:pPr>
          </w:p>
        </w:tc>
        <w:tc>
          <w:tcPr>
            <w:tcW w:w="1346" w:type="pct"/>
            <w:shd w:val="clear" w:color="auto" w:fill="D9D9D9"/>
            <w:vAlign w:val="center"/>
            <w:hideMark/>
          </w:tcPr>
          <w:p w14:paraId="3A67221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5" w:type="pct"/>
            <w:shd w:val="clear" w:color="auto" w:fill="D9D9D9"/>
            <w:noWrap/>
            <w:vAlign w:val="center"/>
            <w:hideMark/>
          </w:tcPr>
          <w:p w14:paraId="21929C3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3 693 768,00</w:t>
            </w:r>
            <w:r w:rsidRPr="00B73FDB">
              <w:rPr>
                <w:rFonts w:cs="Calibri"/>
                <w:sz w:val="18"/>
                <w:szCs w:val="18"/>
                <w:lang w:eastAsia="sk-SK"/>
              </w:rPr>
              <w:t xml:space="preserve"> </w:t>
            </w:r>
          </w:p>
        </w:tc>
        <w:tc>
          <w:tcPr>
            <w:tcW w:w="564" w:type="pct"/>
            <w:shd w:val="clear" w:color="auto" w:fill="D9D9D9"/>
            <w:noWrap/>
            <w:vAlign w:val="center"/>
            <w:hideMark/>
          </w:tcPr>
          <w:p w14:paraId="107F28F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3 760 350,83</w:t>
            </w:r>
            <w:r w:rsidRPr="00B73FDB">
              <w:rPr>
                <w:rFonts w:cs="Calibri"/>
                <w:sz w:val="18"/>
                <w:szCs w:val="18"/>
                <w:lang w:eastAsia="sk-SK"/>
              </w:rPr>
              <w:t xml:space="preserve"> </w:t>
            </w:r>
          </w:p>
        </w:tc>
        <w:tc>
          <w:tcPr>
            <w:tcW w:w="565" w:type="pct"/>
            <w:shd w:val="clear" w:color="auto" w:fill="D9D9D9"/>
            <w:noWrap/>
            <w:vAlign w:val="center"/>
            <w:hideMark/>
          </w:tcPr>
          <w:p w14:paraId="79528C4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3 522 009,64</w:t>
            </w:r>
            <w:r w:rsidRPr="00B73FDB">
              <w:rPr>
                <w:rFonts w:cs="Calibri"/>
                <w:sz w:val="18"/>
                <w:szCs w:val="18"/>
                <w:lang w:eastAsia="sk-SK"/>
              </w:rPr>
              <w:t xml:space="preserve"> </w:t>
            </w:r>
          </w:p>
        </w:tc>
        <w:tc>
          <w:tcPr>
            <w:tcW w:w="564" w:type="pct"/>
            <w:shd w:val="clear" w:color="auto" w:fill="D9D9D9"/>
            <w:noWrap/>
            <w:vAlign w:val="center"/>
            <w:hideMark/>
          </w:tcPr>
          <w:p w14:paraId="6EDC5AC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93,66</w:t>
            </w:r>
            <w:r w:rsidRPr="00B73FDB">
              <w:rPr>
                <w:rFonts w:cs="Calibri"/>
                <w:sz w:val="18"/>
                <w:szCs w:val="18"/>
                <w:lang w:eastAsia="sk-SK"/>
              </w:rPr>
              <w:t xml:space="preserve"> </w:t>
            </w:r>
          </w:p>
        </w:tc>
        <w:tc>
          <w:tcPr>
            <w:tcW w:w="1063" w:type="pct"/>
            <w:vMerge w:val="restart"/>
            <w:shd w:val="clear" w:color="auto" w:fill="D9D9D9"/>
            <w:vAlign w:val="center"/>
            <w:hideMark/>
          </w:tcPr>
          <w:p w14:paraId="16928BBC" w14:textId="77777777" w:rsidR="00B73FDB" w:rsidRPr="00B73FDB" w:rsidRDefault="00B73FDB" w:rsidP="00B73FDB">
            <w:pPr>
              <w:spacing w:after="0" w:line="240" w:lineRule="auto"/>
              <w:rPr>
                <w:rFonts w:cs="Calibri"/>
                <w:sz w:val="18"/>
                <w:szCs w:val="18"/>
                <w:lang w:eastAsia="sk-SK"/>
              </w:rPr>
            </w:pPr>
          </w:p>
        </w:tc>
      </w:tr>
      <w:tr w:rsidR="00B73FDB" w:rsidRPr="00B73FDB" w14:paraId="0CEC5DE8" w14:textId="77777777" w:rsidTr="00B73FDB">
        <w:trPr>
          <w:tblCellSpacing w:w="15" w:type="dxa"/>
        </w:trPr>
        <w:tc>
          <w:tcPr>
            <w:tcW w:w="210" w:type="pct"/>
            <w:shd w:val="clear" w:color="auto" w:fill="D9D9D9"/>
            <w:noWrap/>
            <w:vAlign w:val="center"/>
            <w:hideMark/>
          </w:tcPr>
          <w:p w14:paraId="2D0FF27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346" w:type="pct"/>
            <w:shd w:val="clear" w:color="auto" w:fill="D9D9D9"/>
            <w:vAlign w:val="center"/>
            <w:hideMark/>
          </w:tcPr>
          <w:p w14:paraId="57D552C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5" w:type="pct"/>
            <w:shd w:val="clear" w:color="auto" w:fill="D9D9D9"/>
            <w:noWrap/>
            <w:vAlign w:val="center"/>
            <w:hideMark/>
          </w:tcPr>
          <w:p w14:paraId="2DD5D28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3 693 768,00</w:t>
            </w:r>
            <w:r w:rsidRPr="00B73FDB">
              <w:rPr>
                <w:rFonts w:cs="Calibri"/>
                <w:sz w:val="18"/>
                <w:szCs w:val="18"/>
                <w:lang w:eastAsia="sk-SK"/>
              </w:rPr>
              <w:t xml:space="preserve"> </w:t>
            </w:r>
          </w:p>
        </w:tc>
        <w:tc>
          <w:tcPr>
            <w:tcW w:w="564" w:type="pct"/>
            <w:shd w:val="clear" w:color="auto" w:fill="D9D9D9"/>
            <w:noWrap/>
            <w:vAlign w:val="center"/>
            <w:hideMark/>
          </w:tcPr>
          <w:p w14:paraId="7EFA089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3 760 350,83</w:t>
            </w:r>
            <w:r w:rsidRPr="00B73FDB">
              <w:rPr>
                <w:rFonts w:cs="Calibri"/>
                <w:sz w:val="18"/>
                <w:szCs w:val="18"/>
                <w:lang w:eastAsia="sk-SK"/>
              </w:rPr>
              <w:t xml:space="preserve"> </w:t>
            </w:r>
          </w:p>
        </w:tc>
        <w:tc>
          <w:tcPr>
            <w:tcW w:w="565" w:type="pct"/>
            <w:shd w:val="clear" w:color="auto" w:fill="D9D9D9"/>
            <w:noWrap/>
            <w:vAlign w:val="center"/>
            <w:hideMark/>
          </w:tcPr>
          <w:p w14:paraId="59276AC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3 522 009,64</w:t>
            </w:r>
            <w:r w:rsidRPr="00B73FDB">
              <w:rPr>
                <w:rFonts w:cs="Calibri"/>
                <w:sz w:val="18"/>
                <w:szCs w:val="18"/>
                <w:lang w:eastAsia="sk-SK"/>
              </w:rPr>
              <w:t xml:space="preserve"> </w:t>
            </w:r>
          </w:p>
        </w:tc>
        <w:tc>
          <w:tcPr>
            <w:tcW w:w="564" w:type="pct"/>
            <w:shd w:val="clear" w:color="auto" w:fill="D9D9D9"/>
            <w:noWrap/>
            <w:vAlign w:val="center"/>
            <w:hideMark/>
          </w:tcPr>
          <w:p w14:paraId="5837646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93,66</w:t>
            </w:r>
            <w:r w:rsidRPr="00B73FDB">
              <w:rPr>
                <w:rFonts w:cs="Calibri"/>
                <w:sz w:val="18"/>
                <w:szCs w:val="18"/>
                <w:lang w:eastAsia="sk-SK"/>
              </w:rPr>
              <w:t xml:space="preserve"> </w:t>
            </w:r>
          </w:p>
        </w:tc>
        <w:tc>
          <w:tcPr>
            <w:tcW w:w="1063" w:type="pct"/>
            <w:vMerge/>
            <w:shd w:val="clear" w:color="auto" w:fill="D9D9D9"/>
            <w:vAlign w:val="center"/>
            <w:hideMark/>
          </w:tcPr>
          <w:p w14:paraId="60147C2B"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D00D873" w14:textId="77777777" w:rsidTr="00B73FDB">
        <w:trPr>
          <w:tblCellSpacing w:w="15" w:type="dxa"/>
        </w:trPr>
        <w:tc>
          <w:tcPr>
            <w:tcW w:w="210" w:type="pct"/>
            <w:shd w:val="clear" w:color="auto" w:fill="EFEFEF"/>
            <w:noWrap/>
            <w:vAlign w:val="center"/>
            <w:hideMark/>
          </w:tcPr>
          <w:p w14:paraId="62DB506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346" w:type="pct"/>
            <w:shd w:val="clear" w:color="auto" w:fill="EFEFEF"/>
            <w:vAlign w:val="center"/>
            <w:hideMark/>
          </w:tcPr>
          <w:p w14:paraId="12A8E91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5" w:type="pct"/>
            <w:shd w:val="clear" w:color="auto" w:fill="EFEFEF"/>
            <w:noWrap/>
            <w:vAlign w:val="center"/>
            <w:hideMark/>
          </w:tcPr>
          <w:p w14:paraId="7504125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1 230 744,00 </w:t>
            </w:r>
          </w:p>
        </w:tc>
        <w:tc>
          <w:tcPr>
            <w:tcW w:w="564" w:type="pct"/>
            <w:shd w:val="clear" w:color="auto" w:fill="EFEFEF"/>
            <w:noWrap/>
            <w:vAlign w:val="center"/>
            <w:hideMark/>
          </w:tcPr>
          <w:p w14:paraId="384089C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1 311 720,20 </w:t>
            </w:r>
          </w:p>
        </w:tc>
        <w:tc>
          <w:tcPr>
            <w:tcW w:w="565" w:type="pct"/>
            <w:shd w:val="clear" w:color="auto" w:fill="EFEFEF"/>
            <w:noWrap/>
            <w:vAlign w:val="center"/>
            <w:hideMark/>
          </w:tcPr>
          <w:p w14:paraId="1EF20F4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1 291 633,56 </w:t>
            </w:r>
          </w:p>
        </w:tc>
        <w:tc>
          <w:tcPr>
            <w:tcW w:w="564" w:type="pct"/>
            <w:shd w:val="clear" w:color="auto" w:fill="EFEFEF"/>
            <w:noWrap/>
            <w:vAlign w:val="center"/>
            <w:hideMark/>
          </w:tcPr>
          <w:p w14:paraId="4740DFE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98,47 </w:t>
            </w:r>
          </w:p>
        </w:tc>
        <w:tc>
          <w:tcPr>
            <w:tcW w:w="1063" w:type="pct"/>
            <w:vMerge/>
            <w:shd w:val="clear" w:color="auto" w:fill="EFEFEF"/>
            <w:vAlign w:val="center"/>
            <w:hideMark/>
          </w:tcPr>
          <w:p w14:paraId="1EDB455E" w14:textId="77777777" w:rsidR="00B73FDB" w:rsidRPr="00B73FDB" w:rsidRDefault="00B73FDB" w:rsidP="00B73FDB">
            <w:pPr>
              <w:spacing w:after="0" w:line="240" w:lineRule="auto"/>
              <w:rPr>
                <w:rFonts w:cs="Calibri"/>
                <w:sz w:val="18"/>
                <w:szCs w:val="18"/>
                <w:lang w:eastAsia="sk-SK"/>
              </w:rPr>
            </w:pPr>
          </w:p>
        </w:tc>
      </w:tr>
      <w:tr w:rsidR="00B73FDB" w:rsidRPr="00B73FDB" w14:paraId="43253AEA" w14:textId="77777777" w:rsidTr="00B73FDB">
        <w:trPr>
          <w:tblCellSpacing w:w="15" w:type="dxa"/>
        </w:trPr>
        <w:tc>
          <w:tcPr>
            <w:tcW w:w="210" w:type="pct"/>
            <w:shd w:val="clear" w:color="auto" w:fill="EFEFEF"/>
            <w:noWrap/>
            <w:vAlign w:val="center"/>
            <w:hideMark/>
          </w:tcPr>
          <w:p w14:paraId="047CA18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346" w:type="pct"/>
            <w:shd w:val="clear" w:color="auto" w:fill="EFEFEF"/>
            <w:vAlign w:val="center"/>
            <w:hideMark/>
          </w:tcPr>
          <w:p w14:paraId="3C4E55A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5" w:type="pct"/>
            <w:shd w:val="clear" w:color="auto" w:fill="EFEFEF"/>
            <w:noWrap/>
            <w:vAlign w:val="center"/>
            <w:hideMark/>
          </w:tcPr>
          <w:p w14:paraId="24396AD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447 364,00 </w:t>
            </w:r>
          </w:p>
        </w:tc>
        <w:tc>
          <w:tcPr>
            <w:tcW w:w="564" w:type="pct"/>
            <w:shd w:val="clear" w:color="auto" w:fill="EFEFEF"/>
            <w:noWrap/>
            <w:vAlign w:val="center"/>
            <w:hideMark/>
          </w:tcPr>
          <w:p w14:paraId="49C4C59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455 445,96 </w:t>
            </w:r>
          </w:p>
        </w:tc>
        <w:tc>
          <w:tcPr>
            <w:tcW w:w="565" w:type="pct"/>
            <w:shd w:val="clear" w:color="auto" w:fill="EFEFEF"/>
            <w:noWrap/>
            <w:vAlign w:val="center"/>
            <w:hideMark/>
          </w:tcPr>
          <w:p w14:paraId="1CDE46D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436 461,15 </w:t>
            </w:r>
          </w:p>
        </w:tc>
        <w:tc>
          <w:tcPr>
            <w:tcW w:w="564" w:type="pct"/>
            <w:shd w:val="clear" w:color="auto" w:fill="EFEFEF"/>
            <w:noWrap/>
            <w:vAlign w:val="center"/>
            <w:hideMark/>
          </w:tcPr>
          <w:p w14:paraId="16509D6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95,83 </w:t>
            </w:r>
          </w:p>
        </w:tc>
        <w:tc>
          <w:tcPr>
            <w:tcW w:w="1063" w:type="pct"/>
            <w:vMerge/>
            <w:shd w:val="clear" w:color="auto" w:fill="EFEFEF"/>
            <w:vAlign w:val="center"/>
            <w:hideMark/>
          </w:tcPr>
          <w:p w14:paraId="2DB2E5C3" w14:textId="77777777" w:rsidR="00B73FDB" w:rsidRPr="00B73FDB" w:rsidRDefault="00B73FDB" w:rsidP="00B73FDB">
            <w:pPr>
              <w:spacing w:after="0" w:line="240" w:lineRule="auto"/>
              <w:rPr>
                <w:rFonts w:cs="Calibri"/>
                <w:sz w:val="18"/>
                <w:szCs w:val="18"/>
                <w:lang w:eastAsia="sk-SK"/>
              </w:rPr>
            </w:pPr>
          </w:p>
        </w:tc>
      </w:tr>
      <w:tr w:rsidR="00B73FDB" w:rsidRPr="00B73FDB" w14:paraId="109E1E83" w14:textId="77777777" w:rsidTr="00B73FDB">
        <w:trPr>
          <w:tblCellSpacing w:w="15" w:type="dxa"/>
        </w:trPr>
        <w:tc>
          <w:tcPr>
            <w:tcW w:w="210" w:type="pct"/>
            <w:shd w:val="clear" w:color="auto" w:fill="EFEFEF"/>
            <w:noWrap/>
            <w:vAlign w:val="center"/>
            <w:hideMark/>
          </w:tcPr>
          <w:p w14:paraId="0651EB0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346" w:type="pct"/>
            <w:shd w:val="clear" w:color="auto" w:fill="EFEFEF"/>
            <w:vAlign w:val="center"/>
            <w:hideMark/>
          </w:tcPr>
          <w:p w14:paraId="0FB1C14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5" w:type="pct"/>
            <w:shd w:val="clear" w:color="auto" w:fill="EFEFEF"/>
            <w:noWrap/>
            <w:vAlign w:val="center"/>
            <w:hideMark/>
          </w:tcPr>
          <w:p w14:paraId="3150D64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973 836,00 </w:t>
            </w:r>
          </w:p>
        </w:tc>
        <w:tc>
          <w:tcPr>
            <w:tcW w:w="564" w:type="pct"/>
            <w:shd w:val="clear" w:color="auto" w:fill="EFEFEF"/>
            <w:noWrap/>
            <w:vAlign w:val="center"/>
            <w:hideMark/>
          </w:tcPr>
          <w:p w14:paraId="0539239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888 556,41 </w:t>
            </w:r>
          </w:p>
        </w:tc>
        <w:tc>
          <w:tcPr>
            <w:tcW w:w="565" w:type="pct"/>
            <w:shd w:val="clear" w:color="auto" w:fill="EFEFEF"/>
            <w:noWrap/>
            <w:vAlign w:val="center"/>
            <w:hideMark/>
          </w:tcPr>
          <w:p w14:paraId="7C16D10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689 309,14 </w:t>
            </w:r>
          </w:p>
        </w:tc>
        <w:tc>
          <w:tcPr>
            <w:tcW w:w="564" w:type="pct"/>
            <w:shd w:val="clear" w:color="auto" w:fill="EFEFEF"/>
            <w:noWrap/>
            <w:vAlign w:val="center"/>
            <w:hideMark/>
          </w:tcPr>
          <w:p w14:paraId="125E322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77,58 </w:t>
            </w:r>
          </w:p>
        </w:tc>
        <w:tc>
          <w:tcPr>
            <w:tcW w:w="1063" w:type="pct"/>
            <w:vMerge/>
            <w:shd w:val="clear" w:color="auto" w:fill="EFEFEF"/>
            <w:vAlign w:val="center"/>
            <w:hideMark/>
          </w:tcPr>
          <w:p w14:paraId="42B764AD" w14:textId="77777777" w:rsidR="00B73FDB" w:rsidRPr="00B73FDB" w:rsidRDefault="00B73FDB" w:rsidP="00B73FDB">
            <w:pPr>
              <w:spacing w:after="0" w:line="240" w:lineRule="auto"/>
              <w:rPr>
                <w:rFonts w:cs="Calibri"/>
                <w:sz w:val="18"/>
                <w:szCs w:val="18"/>
                <w:lang w:eastAsia="sk-SK"/>
              </w:rPr>
            </w:pPr>
          </w:p>
        </w:tc>
      </w:tr>
      <w:tr w:rsidR="00B73FDB" w:rsidRPr="00B73FDB" w14:paraId="4050AC2C" w14:textId="77777777" w:rsidTr="00B73FDB">
        <w:trPr>
          <w:tblCellSpacing w:w="15" w:type="dxa"/>
        </w:trPr>
        <w:tc>
          <w:tcPr>
            <w:tcW w:w="210" w:type="pct"/>
            <w:shd w:val="clear" w:color="auto" w:fill="EFEFEF"/>
            <w:noWrap/>
            <w:vAlign w:val="center"/>
            <w:hideMark/>
          </w:tcPr>
          <w:p w14:paraId="1D053D0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346" w:type="pct"/>
            <w:shd w:val="clear" w:color="auto" w:fill="EFEFEF"/>
            <w:vAlign w:val="center"/>
            <w:hideMark/>
          </w:tcPr>
          <w:p w14:paraId="6D02897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5" w:type="pct"/>
            <w:shd w:val="clear" w:color="auto" w:fill="EFEFEF"/>
            <w:noWrap/>
            <w:vAlign w:val="center"/>
            <w:hideMark/>
          </w:tcPr>
          <w:p w14:paraId="15613B6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1 041 824,00 </w:t>
            </w:r>
          </w:p>
        </w:tc>
        <w:tc>
          <w:tcPr>
            <w:tcW w:w="564" w:type="pct"/>
            <w:shd w:val="clear" w:color="auto" w:fill="EFEFEF"/>
            <w:noWrap/>
            <w:vAlign w:val="center"/>
            <w:hideMark/>
          </w:tcPr>
          <w:p w14:paraId="4E2FD04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1 104 628,26 </w:t>
            </w:r>
          </w:p>
        </w:tc>
        <w:tc>
          <w:tcPr>
            <w:tcW w:w="565" w:type="pct"/>
            <w:shd w:val="clear" w:color="auto" w:fill="EFEFEF"/>
            <w:noWrap/>
            <w:vAlign w:val="center"/>
            <w:hideMark/>
          </w:tcPr>
          <w:p w14:paraId="1B561E0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1 104 605,79 </w:t>
            </w:r>
          </w:p>
        </w:tc>
        <w:tc>
          <w:tcPr>
            <w:tcW w:w="564" w:type="pct"/>
            <w:shd w:val="clear" w:color="auto" w:fill="EFEFEF"/>
            <w:noWrap/>
            <w:vAlign w:val="center"/>
            <w:hideMark/>
          </w:tcPr>
          <w:p w14:paraId="51CB553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3" w:type="pct"/>
            <w:vMerge/>
            <w:shd w:val="clear" w:color="auto" w:fill="EFEFEF"/>
            <w:vAlign w:val="center"/>
            <w:hideMark/>
          </w:tcPr>
          <w:p w14:paraId="00907121" w14:textId="77777777" w:rsidR="00B73FDB" w:rsidRPr="00B73FDB" w:rsidRDefault="00B73FDB" w:rsidP="00B73FDB">
            <w:pPr>
              <w:spacing w:after="0" w:line="240" w:lineRule="auto"/>
              <w:rPr>
                <w:rFonts w:cs="Calibri"/>
                <w:sz w:val="18"/>
                <w:szCs w:val="18"/>
                <w:lang w:eastAsia="sk-SK"/>
              </w:rPr>
            </w:pPr>
          </w:p>
        </w:tc>
      </w:tr>
    </w:tbl>
    <w:p w14:paraId="71E9DBC4"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54"/>
        <w:gridCol w:w="1044"/>
        <w:gridCol w:w="1867"/>
        <w:gridCol w:w="1342"/>
        <w:gridCol w:w="4159"/>
      </w:tblGrid>
      <w:tr w:rsidR="00B73FDB" w:rsidRPr="00B73FDB" w14:paraId="07B840DF" w14:textId="77777777" w:rsidTr="00B73FDB">
        <w:trPr>
          <w:tblCellSpacing w:w="15" w:type="dxa"/>
        </w:trPr>
        <w:tc>
          <w:tcPr>
            <w:tcW w:w="0" w:type="auto"/>
            <w:shd w:val="clear" w:color="auto" w:fill="C2D69B"/>
            <w:vAlign w:val="center"/>
            <w:hideMark/>
          </w:tcPr>
          <w:p w14:paraId="33A0D3F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3BF02B4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Odbor školstva, mládeže a športu </w:t>
            </w:r>
          </w:p>
        </w:tc>
      </w:tr>
      <w:tr w:rsidR="00B73FDB" w:rsidRPr="00B73FDB" w14:paraId="035C780E" w14:textId="77777777" w:rsidTr="00B73FDB">
        <w:trPr>
          <w:tblCellSpacing w:w="15" w:type="dxa"/>
        </w:trPr>
        <w:tc>
          <w:tcPr>
            <w:tcW w:w="0" w:type="auto"/>
            <w:shd w:val="clear" w:color="auto" w:fill="C2D69B"/>
            <w:vAlign w:val="center"/>
            <w:hideMark/>
          </w:tcPr>
          <w:p w14:paraId="429D5FD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2A7270C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ubytovacie služby pre žiakov základných a stredných škôl </w:t>
            </w:r>
          </w:p>
        </w:tc>
      </w:tr>
      <w:tr w:rsidR="00B73FDB" w:rsidRPr="00B73FDB" w14:paraId="2796EF0C" w14:textId="77777777" w:rsidTr="00B73FDB">
        <w:trPr>
          <w:tblCellSpacing w:w="15" w:type="dxa"/>
        </w:trPr>
        <w:tc>
          <w:tcPr>
            <w:tcW w:w="0" w:type="auto"/>
            <w:shd w:val="clear" w:color="auto" w:fill="C2D69B"/>
            <w:vAlign w:val="center"/>
            <w:hideMark/>
          </w:tcPr>
          <w:p w14:paraId="0D765FB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1141E26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ubytovaných žiakov v školských internátoch spolu za rok </w:t>
            </w:r>
          </w:p>
        </w:tc>
      </w:tr>
      <w:tr w:rsidR="00B73FDB" w:rsidRPr="00B73FDB" w14:paraId="6F199404" w14:textId="77777777" w:rsidTr="00B73FDB">
        <w:trPr>
          <w:tblCellSpacing w:w="15" w:type="dxa"/>
        </w:trPr>
        <w:tc>
          <w:tcPr>
            <w:tcW w:w="0" w:type="auto"/>
            <w:shd w:val="clear" w:color="auto" w:fill="C2D69B"/>
            <w:vAlign w:val="center"/>
            <w:hideMark/>
          </w:tcPr>
          <w:p w14:paraId="645D553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B9BA94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DB9D16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6CA3105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46B6D51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1399E0C1" w14:textId="77777777" w:rsidTr="00B73FDB">
        <w:trPr>
          <w:tblCellSpacing w:w="15" w:type="dxa"/>
        </w:trPr>
        <w:tc>
          <w:tcPr>
            <w:tcW w:w="0" w:type="auto"/>
            <w:shd w:val="clear" w:color="auto" w:fill="C2D69B"/>
            <w:vAlign w:val="center"/>
            <w:hideMark/>
          </w:tcPr>
          <w:p w14:paraId="4350544A"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BBE7804"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2 017 </w:t>
            </w:r>
          </w:p>
        </w:tc>
        <w:tc>
          <w:tcPr>
            <w:tcW w:w="0" w:type="auto"/>
            <w:shd w:val="clear" w:color="auto" w:fill="C2D69B"/>
            <w:noWrap/>
            <w:vAlign w:val="center"/>
            <w:hideMark/>
          </w:tcPr>
          <w:p w14:paraId="550F293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2 068 </w:t>
            </w:r>
          </w:p>
        </w:tc>
        <w:tc>
          <w:tcPr>
            <w:tcW w:w="0" w:type="auto"/>
            <w:shd w:val="clear" w:color="auto" w:fill="C2D69B"/>
            <w:vAlign w:val="center"/>
            <w:hideMark/>
          </w:tcPr>
          <w:p w14:paraId="41ABFA7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7DB493E0" w14:textId="77777777" w:rsidR="00B73FDB" w:rsidRPr="00B73FDB" w:rsidRDefault="00B73FDB" w:rsidP="00B73FDB">
            <w:pPr>
              <w:spacing w:after="0" w:line="240" w:lineRule="auto"/>
              <w:jc w:val="center"/>
              <w:rPr>
                <w:rFonts w:cs="Calibri"/>
                <w:sz w:val="18"/>
                <w:szCs w:val="18"/>
                <w:lang w:eastAsia="sk-SK"/>
              </w:rPr>
            </w:pPr>
          </w:p>
        </w:tc>
      </w:tr>
    </w:tbl>
    <w:p w14:paraId="273D75A1" w14:textId="77777777" w:rsidR="00352CED" w:rsidRDefault="00B73FDB" w:rsidP="00352CED">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Študenti umiestnení v školách v zriaďovateľskej pôsobnosti Bratislavského samosprávneho kraja sú nielen z okolia Bratislavy, ale aj z ostatných krajov Slovenska, preto je nutné pre ich ubytovanie zabezpečiť a financovať takýto druh zariadení. Úlohou školských internátov je aj zabezpečenie mimo vyučovacích aktivít pre žiakov. V tomto prvku sú rozpočtované finančné prostriedky pre 14 školských internátov. Merateľným ukazovateľom všetkých prvkov tohto podprogramu je počet ubytovaných žiakov v školských internátoch. Upravuje sa podľa skutočnosti uvedenej v štatistickom výkaze o školskom internáte - </w:t>
      </w:r>
      <w:proofErr w:type="spellStart"/>
      <w:r w:rsidRPr="00B73FDB">
        <w:rPr>
          <w:rFonts w:cs="Calibri"/>
          <w:sz w:val="24"/>
          <w:szCs w:val="24"/>
          <w:lang w:eastAsia="sk-SK"/>
        </w:rPr>
        <w:t>Škol</w:t>
      </w:r>
      <w:proofErr w:type="spellEnd"/>
      <w:r w:rsidRPr="00B73FDB">
        <w:rPr>
          <w:rFonts w:cs="Calibri"/>
          <w:sz w:val="24"/>
          <w:szCs w:val="24"/>
          <w:lang w:eastAsia="sk-SK"/>
        </w:rPr>
        <w:t xml:space="preserve"> 19-01 k 15. septembru nového školského roka.</w:t>
      </w:r>
    </w:p>
    <w:p w14:paraId="29D97FE7" w14:textId="45213D67" w:rsidR="00B73FDB" w:rsidRPr="00B73FDB" w:rsidRDefault="00B73FDB" w:rsidP="00352CED">
      <w:pPr>
        <w:spacing w:before="100" w:beforeAutospacing="1" w:after="100" w:afterAutospacing="1" w:line="240" w:lineRule="auto"/>
        <w:jc w:val="both"/>
        <w:rPr>
          <w:rFonts w:cs="Calibri"/>
          <w:sz w:val="24"/>
          <w:szCs w:val="24"/>
          <w:lang w:eastAsia="sk-SK"/>
        </w:rPr>
      </w:pPr>
      <w:r w:rsidRPr="00B73FDB">
        <w:rPr>
          <w:rFonts w:cs="Calibri"/>
          <w:sz w:val="24"/>
          <w:szCs w:val="24"/>
          <w:lang w:eastAsia="sk-SK"/>
        </w:rPr>
        <w:t>Nasledujúca tabuľka sumarizuje bežné výdavky v zariadeniach školského ubytovania za posledné 4 finančné roky:</w:t>
      </w:r>
    </w:p>
    <w:tbl>
      <w:tblPr>
        <w:tblW w:w="5000" w:type="pct"/>
        <w:tblCellMar>
          <w:left w:w="70" w:type="dxa"/>
          <w:right w:w="70" w:type="dxa"/>
        </w:tblCellMar>
        <w:tblLook w:val="04A0" w:firstRow="1" w:lastRow="0" w:firstColumn="1" w:lastColumn="0" w:noHBand="0" w:noVBand="1"/>
      </w:tblPr>
      <w:tblGrid>
        <w:gridCol w:w="6207"/>
        <w:gridCol w:w="1063"/>
        <w:gridCol w:w="1063"/>
        <w:gridCol w:w="1063"/>
        <w:gridCol w:w="1070"/>
      </w:tblGrid>
      <w:tr w:rsidR="00B73FDB" w:rsidRPr="00B73FDB" w14:paraId="2958207D" w14:textId="77777777" w:rsidTr="00B73FDB">
        <w:trPr>
          <w:trHeight w:hRule="exact" w:val="301"/>
        </w:trPr>
        <w:tc>
          <w:tcPr>
            <w:tcW w:w="2965" w:type="pct"/>
            <w:vMerge w:val="restart"/>
            <w:tcBorders>
              <w:top w:val="nil"/>
              <w:left w:val="nil"/>
              <w:bottom w:val="single" w:sz="8" w:space="0" w:color="DCE6F1"/>
              <w:right w:val="nil"/>
            </w:tcBorders>
            <w:shd w:val="clear" w:color="auto" w:fill="D2F6FE"/>
            <w:noWrap/>
            <w:vAlign w:val="center"/>
            <w:hideMark/>
          </w:tcPr>
          <w:p w14:paraId="180C9464"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Podprogram 8.5 - Školské ubytovanie</w:t>
            </w:r>
          </w:p>
        </w:tc>
        <w:tc>
          <w:tcPr>
            <w:tcW w:w="2035" w:type="pct"/>
            <w:gridSpan w:val="4"/>
            <w:vMerge w:val="restart"/>
            <w:tcBorders>
              <w:top w:val="nil"/>
              <w:left w:val="nil"/>
              <w:bottom w:val="nil"/>
              <w:right w:val="nil"/>
            </w:tcBorders>
            <w:shd w:val="clear" w:color="auto" w:fill="D2F6FE"/>
            <w:vAlign w:val="center"/>
            <w:hideMark/>
          </w:tcPr>
          <w:p w14:paraId="35A58124" w14:textId="77777777" w:rsidR="00B73FDB" w:rsidRPr="00B73FDB" w:rsidRDefault="00B73FDB" w:rsidP="00B73FDB">
            <w:pPr>
              <w:spacing w:after="0" w:line="240" w:lineRule="auto"/>
              <w:jc w:val="center"/>
              <w:rPr>
                <w:rFonts w:cs="Calibri"/>
                <w:b/>
                <w:bCs/>
                <w:color w:val="000000"/>
                <w:sz w:val="20"/>
                <w:szCs w:val="20"/>
                <w:lang w:eastAsia="sk-SK"/>
              </w:rPr>
            </w:pPr>
            <w:r w:rsidRPr="00B73FDB">
              <w:rPr>
                <w:rFonts w:cs="Calibri"/>
                <w:b/>
                <w:bCs/>
                <w:color w:val="000000"/>
                <w:sz w:val="20"/>
                <w:szCs w:val="20"/>
                <w:lang w:eastAsia="sk-SK"/>
              </w:rPr>
              <w:t>Čerpanie celkom v EUR</w:t>
            </w:r>
          </w:p>
        </w:tc>
      </w:tr>
      <w:tr w:rsidR="00B73FDB" w:rsidRPr="00B73FDB" w14:paraId="4A957B8F" w14:textId="77777777" w:rsidTr="00352CED">
        <w:trPr>
          <w:trHeight w:val="276"/>
        </w:trPr>
        <w:tc>
          <w:tcPr>
            <w:tcW w:w="2965" w:type="pct"/>
            <w:vMerge/>
            <w:tcBorders>
              <w:top w:val="nil"/>
              <w:left w:val="nil"/>
              <w:bottom w:val="single" w:sz="8" w:space="0" w:color="DCE6F1"/>
              <w:right w:val="nil"/>
            </w:tcBorders>
            <w:shd w:val="clear" w:color="auto" w:fill="D2F6FE"/>
            <w:vAlign w:val="center"/>
            <w:hideMark/>
          </w:tcPr>
          <w:p w14:paraId="34E33028" w14:textId="77777777" w:rsidR="00B73FDB" w:rsidRPr="00B73FDB" w:rsidRDefault="00B73FDB" w:rsidP="00B73FDB">
            <w:pPr>
              <w:spacing w:after="0" w:line="240" w:lineRule="auto"/>
              <w:rPr>
                <w:rFonts w:cs="Calibri"/>
                <w:b/>
                <w:bCs/>
                <w:color w:val="000000"/>
                <w:sz w:val="20"/>
                <w:szCs w:val="20"/>
                <w:lang w:eastAsia="sk-SK"/>
              </w:rPr>
            </w:pPr>
          </w:p>
        </w:tc>
        <w:tc>
          <w:tcPr>
            <w:tcW w:w="2035" w:type="pct"/>
            <w:gridSpan w:val="4"/>
            <w:vMerge/>
            <w:tcBorders>
              <w:top w:val="nil"/>
              <w:left w:val="nil"/>
              <w:bottom w:val="nil"/>
              <w:right w:val="nil"/>
            </w:tcBorders>
            <w:shd w:val="clear" w:color="auto" w:fill="D2F6FE"/>
            <w:vAlign w:val="center"/>
            <w:hideMark/>
          </w:tcPr>
          <w:p w14:paraId="0ABB32B8" w14:textId="77777777" w:rsidR="00B73FDB" w:rsidRPr="00B73FDB" w:rsidRDefault="00B73FDB" w:rsidP="00B73FDB">
            <w:pPr>
              <w:spacing w:after="0" w:line="240" w:lineRule="auto"/>
              <w:rPr>
                <w:rFonts w:cs="Calibri"/>
                <w:b/>
                <w:bCs/>
                <w:color w:val="000000"/>
                <w:sz w:val="20"/>
                <w:szCs w:val="20"/>
                <w:lang w:eastAsia="sk-SK"/>
              </w:rPr>
            </w:pPr>
          </w:p>
        </w:tc>
      </w:tr>
      <w:tr w:rsidR="00B73FDB" w:rsidRPr="00B73FDB" w14:paraId="3070376C" w14:textId="77777777" w:rsidTr="00B73FDB">
        <w:trPr>
          <w:trHeight w:hRule="exact" w:val="331"/>
        </w:trPr>
        <w:tc>
          <w:tcPr>
            <w:tcW w:w="2965" w:type="pct"/>
            <w:tcBorders>
              <w:top w:val="nil"/>
              <w:left w:val="nil"/>
              <w:bottom w:val="single" w:sz="8" w:space="0" w:color="DCE6F1"/>
              <w:right w:val="nil"/>
            </w:tcBorders>
            <w:shd w:val="clear" w:color="auto" w:fill="D2F6FE"/>
            <w:noWrap/>
            <w:vAlign w:val="center"/>
            <w:hideMark/>
          </w:tcPr>
          <w:p w14:paraId="63B1F80F"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Školské zariadenie</w:t>
            </w:r>
          </w:p>
        </w:tc>
        <w:tc>
          <w:tcPr>
            <w:tcW w:w="508" w:type="pct"/>
            <w:tcBorders>
              <w:top w:val="nil"/>
              <w:left w:val="nil"/>
              <w:bottom w:val="single" w:sz="8" w:space="0" w:color="DCE6F1"/>
              <w:right w:val="nil"/>
            </w:tcBorders>
            <w:shd w:val="clear" w:color="auto" w:fill="D2F6FE"/>
            <w:vAlign w:val="center"/>
            <w:hideMark/>
          </w:tcPr>
          <w:p w14:paraId="3D8652DB"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2017</w:t>
            </w:r>
          </w:p>
        </w:tc>
        <w:tc>
          <w:tcPr>
            <w:tcW w:w="508" w:type="pct"/>
            <w:tcBorders>
              <w:top w:val="nil"/>
              <w:left w:val="nil"/>
              <w:bottom w:val="single" w:sz="8" w:space="0" w:color="DCE6F1"/>
              <w:right w:val="nil"/>
            </w:tcBorders>
            <w:shd w:val="clear" w:color="auto" w:fill="D2F6FE"/>
            <w:vAlign w:val="center"/>
            <w:hideMark/>
          </w:tcPr>
          <w:p w14:paraId="65257B9D"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2018</w:t>
            </w:r>
          </w:p>
        </w:tc>
        <w:tc>
          <w:tcPr>
            <w:tcW w:w="508" w:type="pct"/>
            <w:tcBorders>
              <w:top w:val="nil"/>
              <w:left w:val="nil"/>
              <w:bottom w:val="single" w:sz="8" w:space="0" w:color="DCE6F1"/>
              <w:right w:val="nil"/>
            </w:tcBorders>
            <w:shd w:val="clear" w:color="auto" w:fill="D2F6FE"/>
            <w:vAlign w:val="center"/>
            <w:hideMark/>
          </w:tcPr>
          <w:p w14:paraId="6A0430FE"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2019</w:t>
            </w:r>
          </w:p>
        </w:tc>
        <w:tc>
          <w:tcPr>
            <w:tcW w:w="511" w:type="pct"/>
            <w:tcBorders>
              <w:top w:val="nil"/>
              <w:left w:val="nil"/>
              <w:bottom w:val="single" w:sz="8" w:space="0" w:color="DCE6F1"/>
              <w:right w:val="nil"/>
            </w:tcBorders>
            <w:shd w:val="clear" w:color="auto" w:fill="D2F6FE"/>
            <w:vAlign w:val="center"/>
            <w:hideMark/>
          </w:tcPr>
          <w:p w14:paraId="3DD85CE3"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2020</w:t>
            </w:r>
          </w:p>
        </w:tc>
      </w:tr>
      <w:tr w:rsidR="00B73FDB" w:rsidRPr="00B73FDB" w14:paraId="3D4282F1"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5C0B049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 ŠI pri Tanečnom konzervatóriu, Gorazdova 20, BA </w:t>
            </w:r>
          </w:p>
        </w:tc>
        <w:tc>
          <w:tcPr>
            <w:tcW w:w="508" w:type="pct"/>
            <w:tcBorders>
              <w:top w:val="nil"/>
              <w:left w:val="nil"/>
              <w:bottom w:val="single" w:sz="8" w:space="0" w:color="DCE6F1"/>
              <w:right w:val="nil"/>
            </w:tcBorders>
            <w:shd w:val="clear" w:color="auto" w:fill="auto"/>
            <w:vAlign w:val="center"/>
            <w:hideMark/>
          </w:tcPr>
          <w:p w14:paraId="2DBC3DA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65 306</w:t>
            </w:r>
          </w:p>
        </w:tc>
        <w:tc>
          <w:tcPr>
            <w:tcW w:w="508" w:type="pct"/>
            <w:tcBorders>
              <w:top w:val="nil"/>
              <w:left w:val="nil"/>
              <w:bottom w:val="single" w:sz="8" w:space="0" w:color="DCE6F1"/>
              <w:right w:val="nil"/>
            </w:tcBorders>
            <w:shd w:val="clear" w:color="auto" w:fill="auto"/>
            <w:vAlign w:val="center"/>
            <w:hideMark/>
          </w:tcPr>
          <w:p w14:paraId="2996AC0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50 054</w:t>
            </w:r>
          </w:p>
        </w:tc>
        <w:tc>
          <w:tcPr>
            <w:tcW w:w="508" w:type="pct"/>
            <w:tcBorders>
              <w:top w:val="nil"/>
              <w:left w:val="nil"/>
              <w:bottom w:val="single" w:sz="8" w:space="0" w:color="DCE6F1"/>
              <w:right w:val="nil"/>
            </w:tcBorders>
            <w:shd w:val="clear" w:color="auto" w:fill="auto"/>
            <w:vAlign w:val="center"/>
            <w:hideMark/>
          </w:tcPr>
          <w:p w14:paraId="1452596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84 322</w:t>
            </w:r>
          </w:p>
        </w:tc>
        <w:tc>
          <w:tcPr>
            <w:tcW w:w="511" w:type="pct"/>
            <w:tcBorders>
              <w:top w:val="nil"/>
              <w:left w:val="nil"/>
              <w:bottom w:val="single" w:sz="8" w:space="0" w:color="DCE6F1"/>
              <w:right w:val="nil"/>
            </w:tcBorders>
            <w:shd w:val="clear" w:color="auto" w:fill="auto"/>
            <w:vAlign w:val="center"/>
            <w:hideMark/>
          </w:tcPr>
          <w:p w14:paraId="363C2AC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76 599</w:t>
            </w:r>
          </w:p>
        </w:tc>
      </w:tr>
      <w:tr w:rsidR="00B73FDB" w:rsidRPr="00B73FDB" w14:paraId="3BF34FF8"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3BA61F2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8.5.4: ŠI, Trnavská 2, BA </w:t>
            </w:r>
          </w:p>
        </w:tc>
        <w:tc>
          <w:tcPr>
            <w:tcW w:w="508" w:type="pct"/>
            <w:tcBorders>
              <w:top w:val="nil"/>
              <w:left w:val="nil"/>
              <w:bottom w:val="single" w:sz="8" w:space="0" w:color="DCE6F1"/>
              <w:right w:val="nil"/>
            </w:tcBorders>
            <w:shd w:val="clear" w:color="auto" w:fill="auto"/>
            <w:vAlign w:val="center"/>
            <w:hideMark/>
          </w:tcPr>
          <w:p w14:paraId="6F071A6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607 457</w:t>
            </w:r>
          </w:p>
        </w:tc>
        <w:tc>
          <w:tcPr>
            <w:tcW w:w="508" w:type="pct"/>
            <w:tcBorders>
              <w:top w:val="nil"/>
              <w:left w:val="nil"/>
              <w:bottom w:val="single" w:sz="8" w:space="0" w:color="DCE6F1"/>
              <w:right w:val="nil"/>
            </w:tcBorders>
            <w:shd w:val="clear" w:color="auto" w:fill="auto"/>
            <w:vAlign w:val="center"/>
            <w:hideMark/>
          </w:tcPr>
          <w:p w14:paraId="7E8DA4F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812 185</w:t>
            </w:r>
          </w:p>
        </w:tc>
        <w:tc>
          <w:tcPr>
            <w:tcW w:w="508" w:type="pct"/>
            <w:tcBorders>
              <w:top w:val="nil"/>
              <w:left w:val="nil"/>
              <w:bottom w:val="single" w:sz="8" w:space="0" w:color="DCE6F1"/>
              <w:right w:val="nil"/>
            </w:tcBorders>
            <w:shd w:val="clear" w:color="auto" w:fill="auto"/>
            <w:vAlign w:val="center"/>
            <w:hideMark/>
          </w:tcPr>
          <w:p w14:paraId="1AFE316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1 043 681</w:t>
            </w:r>
          </w:p>
        </w:tc>
        <w:tc>
          <w:tcPr>
            <w:tcW w:w="511" w:type="pct"/>
            <w:tcBorders>
              <w:top w:val="nil"/>
              <w:left w:val="nil"/>
              <w:bottom w:val="single" w:sz="8" w:space="0" w:color="DCE6F1"/>
              <w:right w:val="nil"/>
            </w:tcBorders>
            <w:shd w:val="clear" w:color="auto" w:fill="auto"/>
            <w:vAlign w:val="center"/>
            <w:hideMark/>
          </w:tcPr>
          <w:p w14:paraId="24BB2E7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1 008 830</w:t>
            </w:r>
          </w:p>
        </w:tc>
      </w:tr>
      <w:tr w:rsidR="00B73FDB" w:rsidRPr="00B73FDB" w14:paraId="2F5333BB"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004FBFC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8.5.5: ŠI pri Spojenej škole, SNP 30, Ivanka pri Dunaji </w:t>
            </w:r>
          </w:p>
        </w:tc>
        <w:tc>
          <w:tcPr>
            <w:tcW w:w="508" w:type="pct"/>
            <w:tcBorders>
              <w:top w:val="nil"/>
              <w:left w:val="nil"/>
              <w:bottom w:val="single" w:sz="8" w:space="0" w:color="DCE6F1"/>
              <w:right w:val="nil"/>
            </w:tcBorders>
            <w:shd w:val="clear" w:color="auto" w:fill="auto"/>
            <w:vAlign w:val="center"/>
            <w:hideMark/>
          </w:tcPr>
          <w:p w14:paraId="0E7CF13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202 183</w:t>
            </w:r>
          </w:p>
        </w:tc>
        <w:tc>
          <w:tcPr>
            <w:tcW w:w="508" w:type="pct"/>
            <w:tcBorders>
              <w:top w:val="nil"/>
              <w:left w:val="nil"/>
              <w:bottom w:val="single" w:sz="8" w:space="0" w:color="DCE6F1"/>
              <w:right w:val="nil"/>
            </w:tcBorders>
            <w:shd w:val="clear" w:color="auto" w:fill="auto"/>
            <w:vAlign w:val="center"/>
            <w:hideMark/>
          </w:tcPr>
          <w:p w14:paraId="6A3F70A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221 067</w:t>
            </w:r>
          </w:p>
        </w:tc>
        <w:tc>
          <w:tcPr>
            <w:tcW w:w="508" w:type="pct"/>
            <w:tcBorders>
              <w:top w:val="nil"/>
              <w:left w:val="nil"/>
              <w:bottom w:val="single" w:sz="8" w:space="0" w:color="DCE6F1"/>
              <w:right w:val="nil"/>
            </w:tcBorders>
            <w:shd w:val="clear" w:color="auto" w:fill="auto"/>
            <w:vAlign w:val="center"/>
            <w:hideMark/>
          </w:tcPr>
          <w:p w14:paraId="1ED08C9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264 221</w:t>
            </w:r>
          </w:p>
        </w:tc>
        <w:tc>
          <w:tcPr>
            <w:tcW w:w="511" w:type="pct"/>
            <w:tcBorders>
              <w:top w:val="nil"/>
              <w:left w:val="nil"/>
              <w:bottom w:val="single" w:sz="8" w:space="0" w:color="DCE6F1"/>
              <w:right w:val="nil"/>
            </w:tcBorders>
            <w:shd w:val="clear" w:color="auto" w:fill="auto"/>
            <w:vAlign w:val="center"/>
            <w:hideMark/>
          </w:tcPr>
          <w:p w14:paraId="41AD459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276 212</w:t>
            </w:r>
          </w:p>
        </w:tc>
      </w:tr>
      <w:tr w:rsidR="00B73FDB" w:rsidRPr="00B73FDB" w14:paraId="26CD174C"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25F4552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8.5.6: ŠI pri SOŠ záhradníckej, Bratislavská 44, Malinovo </w:t>
            </w:r>
          </w:p>
        </w:tc>
        <w:tc>
          <w:tcPr>
            <w:tcW w:w="508" w:type="pct"/>
            <w:tcBorders>
              <w:top w:val="nil"/>
              <w:left w:val="nil"/>
              <w:bottom w:val="single" w:sz="8" w:space="0" w:color="DCE6F1"/>
              <w:right w:val="nil"/>
            </w:tcBorders>
            <w:shd w:val="clear" w:color="auto" w:fill="auto"/>
            <w:vAlign w:val="center"/>
            <w:hideMark/>
          </w:tcPr>
          <w:p w14:paraId="297409F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27 450</w:t>
            </w:r>
          </w:p>
        </w:tc>
        <w:tc>
          <w:tcPr>
            <w:tcW w:w="508" w:type="pct"/>
            <w:tcBorders>
              <w:top w:val="nil"/>
              <w:left w:val="nil"/>
              <w:bottom w:val="single" w:sz="8" w:space="0" w:color="DCE6F1"/>
              <w:right w:val="nil"/>
            </w:tcBorders>
            <w:shd w:val="clear" w:color="auto" w:fill="auto"/>
            <w:vAlign w:val="center"/>
            <w:hideMark/>
          </w:tcPr>
          <w:p w14:paraId="63B0380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27 605</w:t>
            </w:r>
          </w:p>
        </w:tc>
        <w:tc>
          <w:tcPr>
            <w:tcW w:w="508" w:type="pct"/>
            <w:tcBorders>
              <w:top w:val="nil"/>
              <w:left w:val="nil"/>
              <w:bottom w:val="single" w:sz="8" w:space="0" w:color="DCE6F1"/>
              <w:right w:val="nil"/>
            </w:tcBorders>
            <w:shd w:val="clear" w:color="auto" w:fill="auto"/>
            <w:vAlign w:val="center"/>
            <w:hideMark/>
          </w:tcPr>
          <w:p w14:paraId="7A624DD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29 048</w:t>
            </w:r>
          </w:p>
        </w:tc>
        <w:tc>
          <w:tcPr>
            <w:tcW w:w="511" w:type="pct"/>
            <w:tcBorders>
              <w:top w:val="nil"/>
              <w:left w:val="nil"/>
              <w:bottom w:val="single" w:sz="8" w:space="0" w:color="DCE6F1"/>
              <w:right w:val="nil"/>
            </w:tcBorders>
            <w:shd w:val="clear" w:color="auto" w:fill="auto"/>
            <w:vAlign w:val="center"/>
            <w:hideMark/>
          </w:tcPr>
          <w:p w14:paraId="28502CA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r>
      <w:tr w:rsidR="00B73FDB" w:rsidRPr="00B73FDB" w14:paraId="73499A8F"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25038D49"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8.5.7: ŠI pri SOŠ vinársko-ovocinárskej, Kostolná 3, Modra </w:t>
            </w:r>
          </w:p>
        </w:tc>
        <w:tc>
          <w:tcPr>
            <w:tcW w:w="508" w:type="pct"/>
            <w:tcBorders>
              <w:top w:val="nil"/>
              <w:left w:val="nil"/>
              <w:bottom w:val="single" w:sz="8" w:space="0" w:color="DCE6F1"/>
              <w:right w:val="nil"/>
            </w:tcBorders>
            <w:shd w:val="clear" w:color="auto" w:fill="auto"/>
            <w:vAlign w:val="center"/>
            <w:hideMark/>
          </w:tcPr>
          <w:p w14:paraId="144FF8B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231 662</w:t>
            </w:r>
          </w:p>
        </w:tc>
        <w:tc>
          <w:tcPr>
            <w:tcW w:w="508" w:type="pct"/>
            <w:tcBorders>
              <w:top w:val="nil"/>
              <w:left w:val="nil"/>
              <w:bottom w:val="single" w:sz="8" w:space="0" w:color="DCE6F1"/>
              <w:right w:val="nil"/>
            </w:tcBorders>
            <w:shd w:val="clear" w:color="auto" w:fill="auto"/>
            <w:vAlign w:val="center"/>
            <w:hideMark/>
          </w:tcPr>
          <w:p w14:paraId="5B05847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224 444</w:t>
            </w:r>
          </w:p>
        </w:tc>
        <w:tc>
          <w:tcPr>
            <w:tcW w:w="508" w:type="pct"/>
            <w:tcBorders>
              <w:top w:val="nil"/>
              <w:left w:val="nil"/>
              <w:bottom w:val="single" w:sz="8" w:space="0" w:color="DCE6F1"/>
              <w:right w:val="nil"/>
            </w:tcBorders>
            <w:shd w:val="clear" w:color="auto" w:fill="auto"/>
            <w:vAlign w:val="center"/>
            <w:hideMark/>
          </w:tcPr>
          <w:p w14:paraId="7DB75FA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281 159</w:t>
            </w:r>
          </w:p>
        </w:tc>
        <w:tc>
          <w:tcPr>
            <w:tcW w:w="511" w:type="pct"/>
            <w:tcBorders>
              <w:top w:val="nil"/>
              <w:left w:val="nil"/>
              <w:bottom w:val="single" w:sz="8" w:space="0" w:color="DCE6F1"/>
              <w:right w:val="nil"/>
            </w:tcBorders>
            <w:shd w:val="clear" w:color="auto" w:fill="auto"/>
            <w:vAlign w:val="center"/>
            <w:hideMark/>
          </w:tcPr>
          <w:p w14:paraId="7EDCAF9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273 872</w:t>
            </w:r>
          </w:p>
        </w:tc>
      </w:tr>
      <w:tr w:rsidR="00B73FDB" w:rsidRPr="00B73FDB" w14:paraId="6DFD1B27"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69BB444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8.5.8: ŠI pri SOŠ informačných technológií, Hlinická 1, BA </w:t>
            </w:r>
          </w:p>
        </w:tc>
        <w:tc>
          <w:tcPr>
            <w:tcW w:w="508" w:type="pct"/>
            <w:tcBorders>
              <w:top w:val="nil"/>
              <w:left w:val="nil"/>
              <w:bottom w:val="single" w:sz="8" w:space="0" w:color="DCE6F1"/>
              <w:right w:val="nil"/>
            </w:tcBorders>
            <w:shd w:val="clear" w:color="auto" w:fill="auto"/>
            <w:vAlign w:val="center"/>
            <w:hideMark/>
          </w:tcPr>
          <w:p w14:paraId="50373A0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74 734</w:t>
            </w:r>
          </w:p>
        </w:tc>
        <w:tc>
          <w:tcPr>
            <w:tcW w:w="508" w:type="pct"/>
            <w:tcBorders>
              <w:top w:val="nil"/>
              <w:left w:val="nil"/>
              <w:bottom w:val="single" w:sz="8" w:space="0" w:color="DCE6F1"/>
              <w:right w:val="nil"/>
            </w:tcBorders>
            <w:shd w:val="clear" w:color="auto" w:fill="auto"/>
            <w:vAlign w:val="center"/>
            <w:hideMark/>
          </w:tcPr>
          <w:p w14:paraId="71B9D70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73 910</w:t>
            </w:r>
          </w:p>
        </w:tc>
        <w:tc>
          <w:tcPr>
            <w:tcW w:w="508" w:type="pct"/>
            <w:tcBorders>
              <w:top w:val="nil"/>
              <w:left w:val="nil"/>
              <w:bottom w:val="single" w:sz="8" w:space="0" w:color="DCE6F1"/>
              <w:right w:val="nil"/>
            </w:tcBorders>
            <w:shd w:val="clear" w:color="auto" w:fill="auto"/>
            <w:vAlign w:val="center"/>
            <w:hideMark/>
          </w:tcPr>
          <w:p w14:paraId="017B72D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80 596</w:t>
            </w:r>
          </w:p>
        </w:tc>
        <w:tc>
          <w:tcPr>
            <w:tcW w:w="511" w:type="pct"/>
            <w:tcBorders>
              <w:top w:val="nil"/>
              <w:left w:val="nil"/>
              <w:bottom w:val="single" w:sz="8" w:space="0" w:color="DCE6F1"/>
              <w:right w:val="nil"/>
            </w:tcBorders>
            <w:shd w:val="clear" w:color="auto" w:fill="auto"/>
            <w:vAlign w:val="center"/>
            <w:hideMark/>
          </w:tcPr>
          <w:p w14:paraId="77F0DA8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85 842</w:t>
            </w:r>
          </w:p>
        </w:tc>
      </w:tr>
      <w:tr w:rsidR="00B73FDB" w:rsidRPr="00B73FDB" w14:paraId="734200B9"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22079AE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8.5.9: ŠI pri SOŠ kaderníctva a </w:t>
            </w:r>
            <w:proofErr w:type="spellStart"/>
            <w:r w:rsidRPr="00B73FDB">
              <w:rPr>
                <w:rFonts w:cs="Calibri"/>
                <w:color w:val="000000"/>
                <w:sz w:val="20"/>
                <w:szCs w:val="20"/>
                <w:lang w:eastAsia="sk-SK"/>
              </w:rPr>
              <w:t>vizážistiky</w:t>
            </w:r>
            <w:proofErr w:type="spellEnd"/>
            <w:r w:rsidRPr="00B73FDB">
              <w:rPr>
                <w:rFonts w:cs="Calibri"/>
                <w:color w:val="000000"/>
                <w:sz w:val="20"/>
                <w:szCs w:val="20"/>
                <w:lang w:eastAsia="sk-SK"/>
              </w:rPr>
              <w:t>, Svätoplukova 2</w:t>
            </w:r>
          </w:p>
        </w:tc>
        <w:tc>
          <w:tcPr>
            <w:tcW w:w="508" w:type="pct"/>
            <w:tcBorders>
              <w:top w:val="nil"/>
              <w:left w:val="nil"/>
              <w:bottom w:val="single" w:sz="8" w:space="0" w:color="DCE6F1"/>
              <w:right w:val="nil"/>
            </w:tcBorders>
            <w:shd w:val="clear" w:color="auto" w:fill="auto"/>
            <w:vAlign w:val="center"/>
            <w:hideMark/>
          </w:tcPr>
          <w:p w14:paraId="18CF8EB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113 469</w:t>
            </w:r>
          </w:p>
        </w:tc>
        <w:tc>
          <w:tcPr>
            <w:tcW w:w="508" w:type="pct"/>
            <w:tcBorders>
              <w:top w:val="nil"/>
              <w:left w:val="nil"/>
              <w:bottom w:val="single" w:sz="8" w:space="0" w:color="DCE6F1"/>
              <w:right w:val="nil"/>
            </w:tcBorders>
            <w:shd w:val="clear" w:color="auto" w:fill="auto"/>
            <w:vAlign w:val="center"/>
            <w:hideMark/>
          </w:tcPr>
          <w:p w14:paraId="6DA34F7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118 900</w:t>
            </w:r>
          </w:p>
        </w:tc>
        <w:tc>
          <w:tcPr>
            <w:tcW w:w="508" w:type="pct"/>
            <w:tcBorders>
              <w:top w:val="nil"/>
              <w:left w:val="nil"/>
              <w:bottom w:val="single" w:sz="8" w:space="0" w:color="DCE6F1"/>
              <w:right w:val="nil"/>
            </w:tcBorders>
            <w:shd w:val="clear" w:color="auto" w:fill="auto"/>
            <w:vAlign w:val="center"/>
            <w:hideMark/>
          </w:tcPr>
          <w:p w14:paraId="2D2D20B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146 835</w:t>
            </w:r>
          </w:p>
        </w:tc>
        <w:tc>
          <w:tcPr>
            <w:tcW w:w="511" w:type="pct"/>
            <w:tcBorders>
              <w:top w:val="nil"/>
              <w:left w:val="nil"/>
              <w:bottom w:val="single" w:sz="8" w:space="0" w:color="DCE6F1"/>
              <w:right w:val="nil"/>
            </w:tcBorders>
            <w:shd w:val="clear" w:color="auto" w:fill="auto"/>
            <w:vAlign w:val="center"/>
            <w:hideMark/>
          </w:tcPr>
          <w:p w14:paraId="374BD54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161 519</w:t>
            </w:r>
          </w:p>
        </w:tc>
      </w:tr>
      <w:tr w:rsidR="00B73FDB" w:rsidRPr="00B73FDB" w14:paraId="7CD1CF2C"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4622A3AE"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8.5.10: ŠI pri SOŠ hotelových služieb a obchodu, Na Pántoch </w:t>
            </w:r>
          </w:p>
        </w:tc>
        <w:tc>
          <w:tcPr>
            <w:tcW w:w="508" w:type="pct"/>
            <w:tcBorders>
              <w:top w:val="nil"/>
              <w:left w:val="nil"/>
              <w:bottom w:val="single" w:sz="8" w:space="0" w:color="DCE6F1"/>
              <w:right w:val="nil"/>
            </w:tcBorders>
            <w:shd w:val="clear" w:color="auto" w:fill="auto"/>
            <w:vAlign w:val="center"/>
            <w:hideMark/>
          </w:tcPr>
          <w:p w14:paraId="39EE286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119 323</w:t>
            </w:r>
          </w:p>
        </w:tc>
        <w:tc>
          <w:tcPr>
            <w:tcW w:w="508" w:type="pct"/>
            <w:tcBorders>
              <w:top w:val="nil"/>
              <w:left w:val="nil"/>
              <w:bottom w:val="single" w:sz="8" w:space="0" w:color="DCE6F1"/>
              <w:right w:val="nil"/>
            </w:tcBorders>
            <w:shd w:val="clear" w:color="auto" w:fill="auto"/>
            <w:vAlign w:val="center"/>
            <w:hideMark/>
          </w:tcPr>
          <w:p w14:paraId="009090E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126 125</w:t>
            </w:r>
          </w:p>
        </w:tc>
        <w:tc>
          <w:tcPr>
            <w:tcW w:w="508" w:type="pct"/>
            <w:tcBorders>
              <w:top w:val="nil"/>
              <w:left w:val="nil"/>
              <w:bottom w:val="single" w:sz="8" w:space="0" w:color="DCE6F1"/>
              <w:right w:val="nil"/>
            </w:tcBorders>
            <w:shd w:val="clear" w:color="auto" w:fill="auto"/>
            <w:vAlign w:val="center"/>
            <w:hideMark/>
          </w:tcPr>
          <w:p w14:paraId="451371B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166 111</w:t>
            </w:r>
          </w:p>
        </w:tc>
        <w:tc>
          <w:tcPr>
            <w:tcW w:w="511" w:type="pct"/>
            <w:tcBorders>
              <w:top w:val="nil"/>
              <w:left w:val="nil"/>
              <w:bottom w:val="single" w:sz="8" w:space="0" w:color="DCE6F1"/>
              <w:right w:val="nil"/>
            </w:tcBorders>
            <w:shd w:val="clear" w:color="auto" w:fill="auto"/>
            <w:vAlign w:val="center"/>
            <w:hideMark/>
          </w:tcPr>
          <w:p w14:paraId="15FF439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172 194</w:t>
            </w:r>
          </w:p>
        </w:tc>
      </w:tr>
      <w:tr w:rsidR="00B73FDB" w:rsidRPr="00B73FDB" w14:paraId="55EA4486"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1805D5D4"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8.5.12: ŠI pri SOŠ technickej, Vranovská 4, BA </w:t>
            </w:r>
          </w:p>
        </w:tc>
        <w:tc>
          <w:tcPr>
            <w:tcW w:w="508" w:type="pct"/>
            <w:tcBorders>
              <w:top w:val="nil"/>
              <w:left w:val="nil"/>
              <w:bottom w:val="single" w:sz="8" w:space="0" w:color="DCE6F1"/>
              <w:right w:val="nil"/>
            </w:tcBorders>
            <w:shd w:val="clear" w:color="auto" w:fill="auto"/>
            <w:vAlign w:val="center"/>
            <w:hideMark/>
          </w:tcPr>
          <w:p w14:paraId="32E8EFD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721 273</w:t>
            </w:r>
          </w:p>
        </w:tc>
        <w:tc>
          <w:tcPr>
            <w:tcW w:w="508" w:type="pct"/>
            <w:tcBorders>
              <w:top w:val="nil"/>
              <w:left w:val="nil"/>
              <w:bottom w:val="single" w:sz="8" w:space="0" w:color="DCE6F1"/>
              <w:right w:val="nil"/>
            </w:tcBorders>
            <w:shd w:val="clear" w:color="auto" w:fill="auto"/>
            <w:vAlign w:val="center"/>
            <w:hideMark/>
          </w:tcPr>
          <w:p w14:paraId="2D4521E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726 704</w:t>
            </w:r>
          </w:p>
        </w:tc>
        <w:tc>
          <w:tcPr>
            <w:tcW w:w="508" w:type="pct"/>
            <w:tcBorders>
              <w:top w:val="nil"/>
              <w:left w:val="nil"/>
              <w:bottom w:val="single" w:sz="8" w:space="0" w:color="DCE6F1"/>
              <w:right w:val="nil"/>
            </w:tcBorders>
            <w:shd w:val="clear" w:color="auto" w:fill="auto"/>
            <w:vAlign w:val="center"/>
            <w:hideMark/>
          </w:tcPr>
          <w:p w14:paraId="50329A3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803 011</w:t>
            </w:r>
          </w:p>
        </w:tc>
        <w:tc>
          <w:tcPr>
            <w:tcW w:w="511" w:type="pct"/>
            <w:tcBorders>
              <w:top w:val="nil"/>
              <w:left w:val="nil"/>
              <w:bottom w:val="single" w:sz="8" w:space="0" w:color="DCE6F1"/>
              <w:right w:val="nil"/>
            </w:tcBorders>
            <w:shd w:val="clear" w:color="auto" w:fill="auto"/>
            <w:vAlign w:val="center"/>
            <w:hideMark/>
          </w:tcPr>
          <w:p w14:paraId="4053477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753 385</w:t>
            </w:r>
          </w:p>
        </w:tc>
      </w:tr>
      <w:tr w:rsidR="00B73FDB" w:rsidRPr="00B73FDB" w14:paraId="1E9F2DA5"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1753B8C6"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lastRenderedPageBreak/>
              <w:t xml:space="preserve">Prvok 8.5.13: ŠI pri SOŠ technológií a remesiel, </w:t>
            </w:r>
            <w:proofErr w:type="spellStart"/>
            <w:r w:rsidRPr="00B73FDB">
              <w:rPr>
                <w:rFonts w:cs="Calibri"/>
                <w:color w:val="000000"/>
                <w:sz w:val="20"/>
                <w:szCs w:val="20"/>
                <w:lang w:eastAsia="sk-SK"/>
              </w:rPr>
              <w:t>Ivanská</w:t>
            </w:r>
            <w:proofErr w:type="spellEnd"/>
            <w:r w:rsidRPr="00B73FDB">
              <w:rPr>
                <w:rFonts w:cs="Calibri"/>
                <w:color w:val="000000"/>
                <w:sz w:val="20"/>
                <w:szCs w:val="20"/>
                <w:lang w:eastAsia="sk-SK"/>
              </w:rPr>
              <w:t xml:space="preserve"> cesta 21, BA </w:t>
            </w:r>
          </w:p>
        </w:tc>
        <w:tc>
          <w:tcPr>
            <w:tcW w:w="508" w:type="pct"/>
            <w:tcBorders>
              <w:top w:val="nil"/>
              <w:left w:val="nil"/>
              <w:bottom w:val="single" w:sz="8" w:space="0" w:color="DCE6F1"/>
              <w:right w:val="nil"/>
            </w:tcBorders>
            <w:shd w:val="clear" w:color="auto" w:fill="auto"/>
            <w:vAlign w:val="center"/>
            <w:hideMark/>
          </w:tcPr>
          <w:p w14:paraId="01E4539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440 213</w:t>
            </w:r>
          </w:p>
        </w:tc>
        <w:tc>
          <w:tcPr>
            <w:tcW w:w="508" w:type="pct"/>
            <w:tcBorders>
              <w:top w:val="nil"/>
              <w:left w:val="nil"/>
              <w:bottom w:val="single" w:sz="8" w:space="0" w:color="DCE6F1"/>
              <w:right w:val="nil"/>
            </w:tcBorders>
            <w:shd w:val="clear" w:color="auto" w:fill="auto"/>
            <w:vAlign w:val="center"/>
            <w:hideMark/>
          </w:tcPr>
          <w:p w14:paraId="2F6731D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422 515</w:t>
            </w:r>
          </w:p>
        </w:tc>
        <w:tc>
          <w:tcPr>
            <w:tcW w:w="508" w:type="pct"/>
            <w:tcBorders>
              <w:top w:val="nil"/>
              <w:left w:val="nil"/>
              <w:bottom w:val="single" w:sz="8" w:space="0" w:color="DCE6F1"/>
              <w:right w:val="nil"/>
            </w:tcBorders>
            <w:shd w:val="clear" w:color="auto" w:fill="auto"/>
            <w:vAlign w:val="center"/>
            <w:hideMark/>
          </w:tcPr>
          <w:p w14:paraId="24EF5C6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442 780</w:t>
            </w:r>
          </w:p>
        </w:tc>
        <w:tc>
          <w:tcPr>
            <w:tcW w:w="511" w:type="pct"/>
            <w:tcBorders>
              <w:top w:val="nil"/>
              <w:left w:val="nil"/>
              <w:bottom w:val="single" w:sz="8" w:space="0" w:color="DCE6F1"/>
              <w:right w:val="nil"/>
            </w:tcBorders>
            <w:shd w:val="clear" w:color="auto" w:fill="auto"/>
            <w:vAlign w:val="center"/>
            <w:hideMark/>
          </w:tcPr>
          <w:p w14:paraId="0DB973E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487 058</w:t>
            </w:r>
          </w:p>
        </w:tc>
      </w:tr>
      <w:tr w:rsidR="00B73FDB" w:rsidRPr="00B73FDB" w14:paraId="18D295F0"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5BA6E18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8.5.16: ŠI pri SOŠ polygrafickej, Račianska 190, BA </w:t>
            </w:r>
          </w:p>
        </w:tc>
        <w:tc>
          <w:tcPr>
            <w:tcW w:w="508" w:type="pct"/>
            <w:tcBorders>
              <w:top w:val="nil"/>
              <w:left w:val="nil"/>
              <w:bottom w:val="single" w:sz="8" w:space="0" w:color="DCE6F1"/>
              <w:right w:val="nil"/>
            </w:tcBorders>
            <w:shd w:val="clear" w:color="auto" w:fill="auto"/>
            <w:vAlign w:val="center"/>
            <w:hideMark/>
          </w:tcPr>
          <w:p w14:paraId="2C2759B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95 462</w:t>
            </w:r>
          </w:p>
        </w:tc>
        <w:tc>
          <w:tcPr>
            <w:tcW w:w="508" w:type="pct"/>
            <w:tcBorders>
              <w:top w:val="nil"/>
              <w:left w:val="nil"/>
              <w:bottom w:val="single" w:sz="8" w:space="0" w:color="DCE6F1"/>
              <w:right w:val="nil"/>
            </w:tcBorders>
            <w:shd w:val="clear" w:color="auto" w:fill="auto"/>
            <w:vAlign w:val="center"/>
            <w:hideMark/>
          </w:tcPr>
          <w:p w14:paraId="7CAA124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91 180</w:t>
            </w:r>
          </w:p>
        </w:tc>
        <w:tc>
          <w:tcPr>
            <w:tcW w:w="508" w:type="pct"/>
            <w:tcBorders>
              <w:top w:val="nil"/>
              <w:left w:val="nil"/>
              <w:bottom w:val="single" w:sz="8" w:space="0" w:color="DCE6F1"/>
              <w:right w:val="nil"/>
            </w:tcBorders>
            <w:shd w:val="clear" w:color="auto" w:fill="auto"/>
            <w:vAlign w:val="center"/>
            <w:hideMark/>
          </w:tcPr>
          <w:p w14:paraId="238D1D1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97 890</w:t>
            </w:r>
          </w:p>
        </w:tc>
        <w:tc>
          <w:tcPr>
            <w:tcW w:w="511" w:type="pct"/>
            <w:tcBorders>
              <w:top w:val="nil"/>
              <w:left w:val="nil"/>
              <w:bottom w:val="single" w:sz="8" w:space="0" w:color="DCE6F1"/>
              <w:right w:val="nil"/>
            </w:tcBorders>
            <w:shd w:val="clear" w:color="auto" w:fill="auto"/>
            <w:vAlign w:val="center"/>
            <w:hideMark/>
          </w:tcPr>
          <w:p w14:paraId="77A1E4C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100 380</w:t>
            </w:r>
          </w:p>
        </w:tc>
      </w:tr>
      <w:tr w:rsidR="00B73FDB" w:rsidRPr="00B73FDB" w14:paraId="438A1E53"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hideMark/>
          </w:tcPr>
          <w:p w14:paraId="61CEE48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8.5.17: ŠI pri SOŠ, Kysucká 14, Senec </w:t>
            </w:r>
          </w:p>
        </w:tc>
        <w:tc>
          <w:tcPr>
            <w:tcW w:w="508" w:type="pct"/>
            <w:tcBorders>
              <w:top w:val="nil"/>
              <w:left w:val="nil"/>
              <w:bottom w:val="single" w:sz="8" w:space="0" w:color="DCE6F1"/>
              <w:right w:val="nil"/>
            </w:tcBorders>
            <w:shd w:val="clear" w:color="auto" w:fill="auto"/>
            <w:vAlign w:val="center"/>
            <w:hideMark/>
          </w:tcPr>
          <w:p w14:paraId="59225F7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48 108</w:t>
            </w:r>
          </w:p>
        </w:tc>
        <w:tc>
          <w:tcPr>
            <w:tcW w:w="508" w:type="pct"/>
            <w:tcBorders>
              <w:top w:val="nil"/>
              <w:left w:val="nil"/>
              <w:bottom w:val="single" w:sz="8" w:space="0" w:color="DCE6F1"/>
              <w:right w:val="nil"/>
            </w:tcBorders>
            <w:shd w:val="clear" w:color="auto" w:fill="auto"/>
            <w:vAlign w:val="center"/>
            <w:hideMark/>
          </w:tcPr>
          <w:p w14:paraId="16B64B0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52 245</w:t>
            </w:r>
          </w:p>
        </w:tc>
        <w:tc>
          <w:tcPr>
            <w:tcW w:w="508" w:type="pct"/>
            <w:tcBorders>
              <w:top w:val="nil"/>
              <w:left w:val="nil"/>
              <w:bottom w:val="single" w:sz="8" w:space="0" w:color="DCE6F1"/>
              <w:right w:val="nil"/>
            </w:tcBorders>
            <w:shd w:val="clear" w:color="auto" w:fill="auto"/>
            <w:vAlign w:val="center"/>
            <w:hideMark/>
          </w:tcPr>
          <w:p w14:paraId="6A6A093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69 025</w:t>
            </w:r>
          </w:p>
        </w:tc>
        <w:tc>
          <w:tcPr>
            <w:tcW w:w="511" w:type="pct"/>
            <w:tcBorders>
              <w:top w:val="nil"/>
              <w:left w:val="nil"/>
              <w:bottom w:val="single" w:sz="8" w:space="0" w:color="DCE6F1"/>
              <w:right w:val="nil"/>
            </w:tcBorders>
            <w:shd w:val="clear" w:color="auto" w:fill="auto"/>
            <w:vAlign w:val="center"/>
            <w:hideMark/>
          </w:tcPr>
          <w:p w14:paraId="00F148F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75 500</w:t>
            </w:r>
          </w:p>
        </w:tc>
      </w:tr>
      <w:tr w:rsidR="00B73FDB" w:rsidRPr="00B73FDB" w14:paraId="4C714DA8" w14:textId="77777777" w:rsidTr="00B73FDB">
        <w:trPr>
          <w:trHeight w:hRule="exact" w:val="316"/>
        </w:trPr>
        <w:tc>
          <w:tcPr>
            <w:tcW w:w="2965" w:type="pct"/>
            <w:tcBorders>
              <w:top w:val="nil"/>
              <w:left w:val="nil"/>
              <w:bottom w:val="single" w:sz="8" w:space="0" w:color="DCE6F1"/>
              <w:right w:val="nil"/>
            </w:tcBorders>
            <w:shd w:val="clear" w:color="auto" w:fill="auto"/>
            <w:noWrap/>
            <w:vAlign w:val="center"/>
          </w:tcPr>
          <w:p w14:paraId="24BA3F2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8.5.18: ŠI pri Spojenej škole, Malinovo</w:t>
            </w:r>
          </w:p>
        </w:tc>
        <w:tc>
          <w:tcPr>
            <w:tcW w:w="508" w:type="pct"/>
            <w:tcBorders>
              <w:top w:val="nil"/>
              <w:left w:val="nil"/>
              <w:bottom w:val="single" w:sz="8" w:space="0" w:color="DCE6F1"/>
              <w:right w:val="nil"/>
            </w:tcBorders>
            <w:shd w:val="clear" w:color="auto" w:fill="auto"/>
            <w:vAlign w:val="center"/>
          </w:tcPr>
          <w:p w14:paraId="1814A64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08" w:type="pct"/>
            <w:tcBorders>
              <w:top w:val="nil"/>
              <w:left w:val="nil"/>
              <w:bottom w:val="single" w:sz="8" w:space="0" w:color="DCE6F1"/>
              <w:right w:val="nil"/>
            </w:tcBorders>
            <w:shd w:val="clear" w:color="auto" w:fill="auto"/>
            <w:vAlign w:val="center"/>
          </w:tcPr>
          <w:p w14:paraId="6B3C1B6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08" w:type="pct"/>
            <w:tcBorders>
              <w:top w:val="nil"/>
              <w:left w:val="nil"/>
              <w:bottom w:val="single" w:sz="8" w:space="0" w:color="DCE6F1"/>
              <w:right w:val="nil"/>
            </w:tcBorders>
            <w:shd w:val="clear" w:color="auto" w:fill="auto"/>
            <w:vAlign w:val="center"/>
          </w:tcPr>
          <w:p w14:paraId="7BF52DC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511" w:type="pct"/>
            <w:tcBorders>
              <w:top w:val="nil"/>
              <w:left w:val="nil"/>
              <w:bottom w:val="single" w:sz="8" w:space="0" w:color="DCE6F1"/>
              <w:right w:val="nil"/>
            </w:tcBorders>
            <w:shd w:val="clear" w:color="auto" w:fill="auto"/>
            <w:vAlign w:val="center"/>
          </w:tcPr>
          <w:p w14:paraId="07EA8EB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50 618</w:t>
            </w:r>
          </w:p>
        </w:tc>
      </w:tr>
      <w:tr w:rsidR="00B73FDB" w:rsidRPr="00B73FDB" w14:paraId="0A390652" w14:textId="77777777" w:rsidTr="00B73FDB">
        <w:trPr>
          <w:trHeight w:hRule="exact" w:val="331"/>
        </w:trPr>
        <w:tc>
          <w:tcPr>
            <w:tcW w:w="2965" w:type="pct"/>
            <w:tcBorders>
              <w:top w:val="nil"/>
              <w:left w:val="nil"/>
              <w:bottom w:val="single" w:sz="8" w:space="0" w:color="4F81BD"/>
              <w:right w:val="nil"/>
            </w:tcBorders>
            <w:shd w:val="clear" w:color="000000" w:fill="DCE6F1"/>
            <w:noWrap/>
            <w:vAlign w:val="center"/>
            <w:hideMark/>
          </w:tcPr>
          <w:p w14:paraId="31BCFDB3"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Celkom</w:t>
            </w:r>
          </w:p>
        </w:tc>
        <w:tc>
          <w:tcPr>
            <w:tcW w:w="508" w:type="pct"/>
            <w:tcBorders>
              <w:top w:val="nil"/>
              <w:left w:val="nil"/>
              <w:bottom w:val="single" w:sz="8" w:space="0" w:color="4F81BD"/>
              <w:right w:val="nil"/>
            </w:tcBorders>
            <w:shd w:val="clear" w:color="000000" w:fill="DCE6F1"/>
            <w:vAlign w:val="center"/>
            <w:hideMark/>
          </w:tcPr>
          <w:p w14:paraId="3A5D836F"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2 746 640</w:t>
            </w:r>
          </w:p>
        </w:tc>
        <w:tc>
          <w:tcPr>
            <w:tcW w:w="508" w:type="pct"/>
            <w:tcBorders>
              <w:top w:val="nil"/>
              <w:left w:val="nil"/>
              <w:bottom w:val="single" w:sz="8" w:space="0" w:color="4F81BD"/>
              <w:right w:val="nil"/>
            </w:tcBorders>
            <w:shd w:val="clear" w:color="000000" w:fill="DCE6F1"/>
            <w:vAlign w:val="center"/>
            <w:hideMark/>
          </w:tcPr>
          <w:p w14:paraId="30881723"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2 946 933</w:t>
            </w:r>
          </w:p>
        </w:tc>
        <w:tc>
          <w:tcPr>
            <w:tcW w:w="508" w:type="pct"/>
            <w:tcBorders>
              <w:top w:val="nil"/>
              <w:left w:val="nil"/>
              <w:bottom w:val="single" w:sz="8" w:space="0" w:color="4F81BD"/>
              <w:right w:val="nil"/>
            </w:tcBorders>
            <w:shd w:val="clear" w:color="000000" w:fill="DCE6F1"/>
            <w:vAlign w:val="center"/>
            <w:hideMark/>
          </w:tcPr>
          <w:p w14:paraId="6FEC5D13"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3 523 740</w:t>
            </w:r>
          </w:p>
        </w:tc>
        <w:tc>
          <w:tcPr>
            <w:tcW w:w="511" w:type="pct"/>
            <w:tcBorders>
              <w:top w:val="nil"/>
              <w:left w:val="nil"/>
              <w:bottom w:val="single" w:sz="8" w:space="0" w:color="4F81BD"/>
              <w:right w:val="nil"/>
            </w:tcBorders>
            <w:shd w:val="clear" w:color="000000" w:fill="DCE6F1"/>
            <w:vAlign w:val="center"/>
            <w:hideMark/>
          </w:tcPr>
          <w:p w14:paraId="59BB870E"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3 522 010</w:t>
            </w:r>
          </w:p>
        </w:tc>
      </w:tr>
    </w:tbl>
    <w:p w14:paraId="48B43049" w14:textId="77777777" w:rsidR="00B73FDB" w:rsidRPr="00B73FDB" w:rsidRDefault="00B73FDB" w:rsidP="00B73FDB">
      <w:pPr>
        <w:spacing w:before="100" w:beforeAutospacing="1" w:after="0" w:line="240" w:lineRule="auto"/>
        <w:jc w:val="both"/>
        <w:rPr>
          <w:rFonts w:cs="Calibri"/>
          <w:sz w:val="24"/>
          <w:szCs w:val="24"/>
          <w:lang w:eastAsia="sk-SK"/>
        </w:rPr>
      </w:pPr>
      <w:r w:rsidRPr="00B73FDB">
        <w:rPr>
          <w:rFonts w:cs="Calibri"/>
          <w:sz w:val="24"/>
          <w:szCs w:val="24"/>
          <w:lang w:eastAsia="sk-SK"/>
        </w:rPr>
        <w:t>Nasledujúca tabuľka sumarizuje celkový počet ubytovaných študentov - žiakov za posledné 4 finančné roky:</w:t>
      </w:r>
    </w:p>
    <w:tbl>
      <w:tblPr>
        <w:tblW w:w="5000" w:type="pct"/>
        <w:tblCellMar>
          <w:left w:w="70" w:type="dxa"/>
          <w:right w:w="70" w:type="dxa"/>
        </w:tblCellMar>
        <w:tblLook w:val="04A0" w:firstRow="1" w:lastRow="0" w:firstColumn="1" w:lastColumn="0" w:noHBand="0" w:noVBand="1"/>
      </w:tblPr>
      <w:tblGrid>
        <w:gridCol w:w="6778"/>
        <w:gridCol w:w="860"/>
        <w:gridCol w:w="848"/>
        <w:gridCol w:w="835"/>
        <w:gridCol w:w="1145"/>
      </w:tblGrid>
      <w:tr w:rsidR="00B73FDB" w:rsidRPr="00B73FDB" w14:paraId="39843184" w14:textId="77777777" w:rsidTr="00B73FDB">
        <w:trPr>
          <w:trHeight w:hRule="exact" w:val="315"/>
        </w:trPr>
        <w:tc>
          <w:tcPr>
            <w:tcW w:w="3238" w:type="pct"/>
            <w:vMerge w:val="restart"/>
            <w:tcBorders>
              <w:top w:val="nil"/>
              <w:left w:val="nil"/>
              <w:bottom w:val="single" w:sz="8" w:space="0" w:color="DCE6F1"/>
              <w:right w:val="nil"/>
            </w:tcBorders>
            <w:shd w:val="clear" w:color="auto" w:fill="D2F6FE"/>
            <w:noWrap/>
            <w:vAlign w:val="center"/>
            <w:hideMark/>
          </w:tcPr>
          <w:p w14:paraId="43AD38B6"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Podprogram 8.5 - Školské ubytovanie</w:t>
            </w:r>
          </w:p>
        </w:tc>
        <w:tc>
          <w:tcPr>
            <w:tcW w:w="1762" w:type="pct"/>
            <w:gridSpan w:val="4"/>
            <w:vMerge w:val="restart"/>
            <w:tcBorders>
              <w:top w:val="nil"/>
              <w:left w:val="nil"/>
              <w:bottom w:val="nil"/>
              <w:right w:val="nil"/>
            </w:tcBorders>
            <w:shd w:val="clear" w:color="auto" w:fill="D2F6FE"/>
            <w:vAlign w:val="center"/>
            <w:hideMark/>
          </w:tcPr>
          <w:p w14:paraId="67656FF0" w14:textId="77777777" w:rsidR="00B73FDB" w:rsidRPr="00B73FDB" w:rsidRDefault="00B73FDB" w:rsidP="00B73FDB">
            <w:pPr>
              <w:spacing w:after="0" w:line="240" w:lineRule="auto"/>
              <w:jc w:val="center"/>
              <w:rPr>
                <w:rFonts w:cs="Calibri"/>
                <w:b/>
                <w:bCs/>
                <w:color w:val="000000"/>
                <w:sz w:val="20"/>
                <w:szCs w:val="20"/>
                <w:lang w:eastAsia="sk-SK"/>
              </w:rPr>
            </w:pPr>
            <w:r w:rsidRPr="00B73FDB">
              <w:rPr>
                <w:rFonts w:cs="Calibri"/>
                <w:b/>
                <w:bCs/>
                <w:color w:val="000000"/>
                <w:sz w:val="20"/>
                <w:szCs w:val="20"/>
                <w:lang w:eastAsia="sk-SK"/>
              </w:rPr>
              <w:t xml:space="preserve">         Počet ubytovaných žiakov</w:t>
            </w:r>
          </w:p>
        </w:tc>
      </w:tr>
      <w:tr w:rsidR="00B73FDB" w:rsidRPr="00B73FDB" w14:paraId="0954CC3D" w14:textId="77777777" w:rsidTr="00B73FDB">
        <w:trPr>
          <w:trHeight w:val="458"/>
        </w:trPr>
        <w:tc>
          <w:tcPr>
            <w:tcW w:w="3238" w:type="pct"/>
            <w:vMerge/>
            <w:tcBorders>
              <w:top w:val="nil"/>
              <w:left w:val="nil"/>
              <w:bottom w:val="single" w:sz="8" w:space="0" w:color="DCE6F1"/>
              <w:right w:val="nil"/>
            </w:tcBorders>
            <w:shd w:val="clear" w:color="auto" w:fill="D2F6FE"/>
            <w:vAlign w:val="center"/>
            <w:hideMark/>
          </w:tcPr>
          <w:p w14:paraId="1F6C5AF0" w14:textId="77777777" w:rsidR="00B73FDB" w:rsidRPr="00B73FDB" w:rsidRDefault="00B73FDB" w:rsidP="00B73FDB">
            <w:pPr>
              <w:spacing w:after="0" w:line="240" w:lineRule="auto"/>
              <w:rPr>
                <w:rFonts w:cs="Calibri"/>
                <w:b/>
                <w:bCs/>
                <w:color w:val="000000"/>
                <w:sz w:val="20"/>
                <w:szCs w:val="20"/>
                <w:lang w:eastAsia="sk-SK"/>
              </w:rPr>
            </w:pPr>
          </w:p>
        </w:tc>
        <w:tc>
          <w:tcPr>
            <w:tcW w:w="1762" w:type="pct"/>
            <w:gridSpan w:val="4"/>
            <w:vMerge/>
            <w:tcBorders>
              <w:top w:val="nil"/>
              <w:left w:val="nil"/>
              <w:bottom w:val="nil"/>
              <w:right w:val="nil"/>
            </w:tcBorders>
            <w:shd w:val="clear" w:color="auto" w:fill="D2F6FE"/>
            <w:vAlign w:val="center"/>
            <w:hideMark/>
          </w:tcPr>
          <w:p w14:paraId="1AE975B1" w14:textId="77777777" w:rsidR="00B73FDB" w:rsidRPr="00B73FDB" w:rsidRDefault="00B73FDB" w:rsidP="00B73FDB">
            <w:pPr>
              <w:spacing w:after="0" w:line="240" w:lineRule="auto"/>
              <w:rPr>
                <w:rFonts w:cs="Calibri"/>
                <w:b/>
                <w:bCs/>
                <w:color w:val="000000"/>
                <w:sz w:val="20"/>
                <w:szCs w:val="20"/>
                <w:lang w:eastAsia="sk-SK"/>
              </w:rPr>
            </w:pPr>
          </w:p>
        </w:tc>
      </w:tr>
      <w:tr w:rsidR="00B73FDB" w:rsidRPr="00B73FDB" w14:paraId="1020D9AC" w14:textId="77777777" w:rsidTr="00B73FDB">
        <w:trPr>
          <w:trHeight w:hRule="exact" w:val="330"/>
        </w:trPr>
        <w:tc>
          <w:tcPr>
            <w:tcW w:w="3238" w:type="pct"/>
            <w:tcBorders>
              <w:top w:val="nil"/>
              <w:left w:val="nil"/>
              <w:bottom w:val="single" w:sz="8" w:space="0" w:color="DCE6F1"/>
              <w:right w:val="nil"/>
            </w:tcBorders>
            <w:shd w:val="clear" w:color="auto" w:fill="D2F6FE"/>
            <w:noWrap/>
            <w:vAlign w:val="center"/>
            <w:hideMark/>
          </w:tcPr>
          <w:p w14:paraId="152BF7D6"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Školské zariadenie</w:t>
            </w:r>
          </w:p>
        </w:tc>
        <w:tc>
          <w:tcPr>
            <w:tcW w:w="411" w:type="pct"/>
            <w:tcBorders>
              <w:top w:val="nil"/>
              <w:left w:val="nil"/>
              <w:bottom w:val="single" w:sz="8" w:space="0" w:color="DCE6F1"/>
              <w:right w:val="nil"/>
            </w:tcBorders>
            <w:shd w:val="clear" w:color="auto" w:fill="D2F6FE"/>
            <w:vAlign w:val="center"/>
            <w:hideMark/>
          </w:tcPr>
          <w:p w14:paraId="52CF7EA5"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2017</w:t>
            </w:r>
          </w:p>
        </w:tc>
        <w:tc>
          <w:tcPr>
            <w:tcW w:w="405" w:type="pct"/>
            <w:tcBorders>
              <w:top w:val="nil"/>
              <w:left w:val="nil"/>
              <w:bottom w:val="single" w:sz="8" w:space="0" w:color="DCE6F1"/>
              <w:right w:val="nil"/>
            </w:tcBorders>
            <w:shd w:val="clear" w:color="auto" w:fill="D2F6FE"/>
            <w:vAlign w:val="center"/>
            <w:hideMark/>
          </w:tcPr>
          <w:p w14:paraId="7D3A58BA"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2018</w:t>
            </w:r>
          </w:p>
        </w:tc>
        <w:tc>
          <w:tcPr>
            <w:tcW w:w="399" w:type="pct"/>
            <w:tcBorders>
              <w:top w:val="nil"/>
              <w:left w:val="nil"/>
              <w:bottom w:val="single" w:sz="8" w:space="0" w:color="DCE6F1"/>
              <w:right w:val="nil"/>
            </w:tcBorders>
            <w:shd w:val="clear" w:color="auto" w:fill="D2F6FE"/>
            <w:vAlign w:val="center"/>
            <w:hideMark/>
          </w:tcPr>
          <w:p w14:paraId="426AE124"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2019</w:t>
            </w:r>
          </w:p>
        </w:tc>
        <w:tc>
          <w:tcPr>
            <w:tcW w:w="547" w:type="pct"/>
            <w:tcBorders>
              <w:top w:val="nil"/>
              <w:left w:val="nil"/>
              <w:bottom w:val="single" w:sz="8" w:space="0" w:color="DCE6F1"/>
              <w:right w:val="nil"/>
            </w:tcBorders>
            <w:shd w:val="clear" w:color="auto" w:fill="D2F6FE"/>
            <w:vAlign w:val="center"/>
            <w:hideMark/>
          </w:tcPr>
          <w:p w14:paraId="194BE870"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2020</w:t>
            </w:r>
          </w:p>
        </w:tc>
      </w:tr>
      <w:tr w:rsidR="00B73FDB" w:rsidRPr="00B73FDB" w14:paraId="2AC426B8"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574B4BD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 ŠI pri Tanečnom konzervatóriu, Gorazdova 20, BA </w:t>
            </w:r>
          </w:p>
        </w:tc>
        <w:tc>
          <w:tcPr>
            <w:tcW w:w="411" w:type="pct"/>
            <w:tcBorders>
              <w:top w:val="nil"/>
              <w:left w:val="nil"/>
              <w:bottom w:val="single" w:sz="8" w:space="0" w:color="DCE6F1"/>
              <w:right w:val="nil"/>
            </w:tcBorders>
            <w:shd w:val="clear" w:color="auto" w:fill="auto"/>
            <w:vAlign w:val="center"/>
            <w:hideMark/>
          </w:tcPr>
          <w:p w14:paraId="7EA84A7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35</w:t>
            </w:r>
          </w:p>
        </w:tc>
        <w:tc>
          <w:tcPr>
            <w:tcW w:w="405" w:type="pct"/>
            <w:tcBorders>
              <w:top w:val="nil"/>
              <w:left w:val="nil"/>
              <w:bottom w:val="single" w:sz="8" w:space="0" w:color="DCE6F1"/>
              <w:right w:val="nil"/>
            </w:tcBorders>
            <w:shd w:val="clear" w:color="auto" w:fill="auto"/>
            <w:vAlign w:val="center"/>
            <w:hideMark/>
          </w:tcPr>
          <w:p w14:paraId="193DCA9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w:t>
            </w:r>
          </w:p>
        </w:tc>
        <w:tc>
          <w:tcPr>
            <w:tcW w:w="399" w:type="pct"/>
            <w:tcBorders>
              <w:top w:val="nil"/>
              <w:left w:val="nil"/>
              <w:bottom w:val="single" w:sz="8" w:space="0" w:color="DCE6F1"/>
              <w:right w:val="nil"/>
            </w:tcBorders>
            <w:shd w:val="clear" w:color="auto" w:fill="auto"/>
            <w:vAlign w:val="center"/>
            <w:hideMark/>
          </w:tcPr>
          <w:p w14:paraId="7292CDF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25</w:t>
            </w:r>
          </w:p>
        </w:tc>
        <w:tc>
          <w:tcPr>
            <w:tcW w:w="547" w:type="pct"/>
            <w:tcBorders>
              <w:top w:val="nil"/>
              <w:left w:val="nil"/>
              <w:bottom w:val="single" w:sz="8" w:space="0" w:color="DCE6F1"/>
              <w:right w:val="nil"/>
            </w:tcBorders>
            <w:shd w:val="clear" w:color="auto" w:fill="auto"/>
            <w:vAlign w:val="center"/>
            <w:hideMark/>
          </w:tcPr>
          <w:p w14:paraId="04F449E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w:t>
            </w:r>
          </w:p>
        </w:tc>
      </w:tr>
      <w:tr w:rsidR="00B73FDB" w:rsidRPr="00B73FDB" w14:paraId="3C858D8F"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420E27B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8.5.4: ŠI, Trnavská 2, BA </w:t>
            </w:r>
          </w:p>
        </w:tc>
        <w:tc>
          <w:tcPr>
            <w:tcW w:w="411" w:type="pct"/>
            <w:tcBorders>
              <w:top w:val="nil"/>
              <w:left w:val="nil"/>
              <w:bottom w:val="single" w:sz="8" w:space="0" w:color="DCE6F1"/>
              <w:right w:val="nil"/>
            </w:tcBorders>
            <w:shd w:val="clear" w:color="auto" w:fill="auto"/>
            <w:vAlign w:val="center"/>
            <w:hideMark/>
          </w:tcPr>
          <w:p w14:paraId="3416DDF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369</w:t>
            </w:r>
          </w:p>
        </w:tc>
        <w:tc>
          <w:tcPr>
            <w:tcW w:w="405" w:type="pct"/>
            <w:tcBorders>
              <w:top w:val="nil"/>
              <w:left w:val="nil"/>
              <w:bottom w:val="single" w:sz="8" w:space="0" w:color="DCE6F1"/>
              <w:right w:val="nil"/>
            </w:tcBorders>
            <w:shd w:val="clear" w:color="auto" w:fill="auto"/>
            <w:vAlign w:val="center"/>
            <w:hideMark/>
          </w:tcPr>
          <w:p w14:paraId="6C4E2CF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441</w:t>
            </w:r>
          </w:p>
        </w:tc>
        <w:tc>
          <w:tcPr>
            <w:tcW w:w="399" w:type="pct"/>
            <w:tcBorders>
              <w:top w:val="nil"/>
              <w:left w:val="nil"/>
              <w:bottom w:val="single" w:sz="8" w:space="0" w:color="DCE6F1"/>
              <w:right w:val="nil"/>
            </w:tcBorders>
            <w:shd w:val="clear" w:color="auto" w:fill="auto"/>
            <w:vAlign w:val="center"/>
            <w:hideMark/>
          </w:tcPr>
          <w:p w14:paraId="0E1ED5B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510</w:t>
            </w:r>
          </w:p>
        </w:tc>
        <w:tc>
          <w:tcPr>
            <w:tcW w:w="547" w:type="pct"/>
            <w:tcBorders>
              <w:top w:val="nil"/>
              <w:left w:val="nil"/>
              <w:bottom w:val="single" w:sz="8" w:space="0" w:color="DCE6F1"/>
              <w:right w:val="nil"/>
            </w:tcBorders>
            <w:shd w:val="clear" w:color="auto" w:fill="auto"/>
            <w:vAlign w:val="center"/>
            <w:hideMark/>
          </w:tcPr>
          <w:p w14:paraId="4FF9C84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510</w:t>
            </w:r>
          </w:p>
        </w:tc>
      </w:tr>
      <w:tr w:rsidR="00B73FDB" w:rsidRPr="00B73FDB" w14:paraId="41FE6B4C"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6A947625"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8.5.5: ŠI pri Spojenej škole, SNP 30, Ivanka pri Dunaji </w:t>
            </w:r>
          </w:p>
        </w:tc>
        <w:tc>
          <w:tcPr>
            <w:tcW w:w="411" w:type="pct"/>
            <w:tcBorders>
              <w:top w:val="nil"/>
              <w:left w:val="nil"/>
              <w:bottom w:val="single" w:sz="8" w:space="0" w:color="DCE6F1"/>
              <w:right w:val="nil"/>
            </w:tcBorders>
            <w:shd w:val="clear" w:color="auto" w:fill="auto"/>
            <w:vAlign w:val="center"/>
            <w:hideMark/>
          </w:tcPr>
          <w:p w14:paraId="5C85696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146</w:t>
            </w:r>
          </w:p>
        </w:tc>
        <w:tc>
          <w:tcPr>
            <w:tcW w:w="405" w:type="pct"/>
            <w:tcBorders>
              <w:top w:val="nil"/>
              <w:left w:val="nil"/>
              <w:bottom w:val="single" w:sz="8" w:space="0" w:color="DCE6F1"/>
              <w:right w:val="nil"/>
            </w:tcBorders>
            <w:shd w:val="clear" w:color="auto" w:fill="auto"/>
            <w:vAlign w:val="center"/>
            <w:hideMark/>
          </w:tcPr>
          <w:p w14:paraId="052A110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141</w:t>
            </w:r>
          </w:p>
        </w:tc>
        <w:tc>
          <w:tcPr>
            <w:tcW w:w="399" w:type="pct"/>
            <w:tcBorders>
              <w:top w:val="nil"/>
              <w:left w:val="nil"/>
              <w:bottom w:val="single" w:sz="8" w:space="0" w:color="DCE6F1"/>
              <w:right w:val="nil"/>
            </w:tcBorders>
            <w:shd w:val="clear" w:color="auto" w:fill="auto"/>
            <w:vAlign w:val="center"/>
            <w:hideMark/>
          </w:tcPr>
          <w:p w14:paraId="39DB12C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153</w:t>
            </w:r>
          </w:p>
        </w:tc>
        <w:tc>
          <w:tcPr>
            <w:tcW w:w="547" w:type="pct"/>
            <w:tcBorders>
              <w:top w:val="nil"/>
              <w:left w:val="nil"/>
              <w:bottom w:val="single" w:sz="8" w:space="0" w:color="DCE6F1"/>
              <w:right w:val="nil"/>
            </w:tcBorders>
            <w:shd w:val="clear" w:color="auto" w:fill="auto"/>
            <w:vAlign w:val="center"/>
            <w:hideMark/>
          </w:tcPr>
          <w:p w14:paraId="246B433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153</w:t>
            </w:r>
          </w:p>
        </w:tc>
      </w:tr>
      <w:tr w:rsidR="00B73FDB" w:rsidRPr="00B73FDB" w14:paraId="2A01337F"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5867260A"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8.5.6: ŠI pri SOŠ záhradníckej, Bratislavská 44, Malinovo </w:t>
            </w:r>
          </w:p>
        </w:tc>
        <w:tc>
          <w:tcPr>
            <w:tcW w:w="411" w:type="pct"/>
            <w:tcBorders>
              <w:top w:val="nil"/>
              <w:left w:val="nil"/>
              <w:bottom w:val="single" w:sz="8" w:space="0" w:color="DCE6F1"/>
              <w:right w:val="nil"/>
            </w:tcBorders>
            <w:shd w:val="clear" w:color="auto" w:fill="auto"/>
            <w:vAlign w:val="center"/>
            <w:hideMark/>
          </w:tcPr>
          <w:p w14:paraId="082B28E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22</w:t>
            </w:r>
          </w:p>
        </w:tc>
        <w:tc>
          <w:tcPr>
            <w:tcW w:w="405" w:type="pct"/>
            <w:tcBorders>
              <w:top w:val="nil"/>
              <w:left w:val="nil"/>
              <w:bottom w:val="single" w:sz="8" w:space="0" w:color="DCE6F1"/>
              <w:right w:val="nil"/>
            </w:tcBorders>
            <w:shd w:val="clear" w:color="auto" w:fill="auto"/>
            <w:vAlign w:val="center"/>
            <w:hideMark/>
          </w:tcPr>
          <w:p w14:paraId="7ACCBC2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w:t>
            </w:r>
          </w:p>
        </w:tc>
        <w:tc>
          <w:tcPr>
            <w:tcW w:w="399" w:type="pct"/>
            <w:tcBorders>
              <w:top w:val="nil"/>
              <w:left w:val="nil"/>
              <w:bottom w:val="single" w:sz="8" w:space="0" w:color="DCE6F1"/>
              <w:right w:val="nil"/>
            </w:tcBorders>
            <w:shd w:val="clear" w:color="auto" w:fill="auto"/>
            <w:vAlign w:val="center"/>
            <w:hideMark/>
          </w:tcPr>
          <w:p w14:paraId="1B5BBBC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26</w:t>
            </w:r>
          </w:p>
        </w:tc>
        <w:tc>
          <w:tcPr>
            <w:tcW w:w="547" w:type="pct"/>
            <w:tcBorders>
              <w:top w:val="nil"/>
              <w:left w:val="nil"/>
              <w:bottom w:val="single" w:sz="8" w:space="0" w:color="DCE6F1"/>
              <w:right w:val="nil"/>
            </w:tcBorders>
            <w:shd w:val="clear" w:color="auto" w:fill="auto"/>
            <w:vAlign w:val="center"/>
            <w:hideMark/>
          </w:tcPr>
          <w:p w14:paraId="29407CD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r>
      <w:tr w:rsidR="00B73FDB" w:rsidRPr="00B73FDB" w14:paraId="0475F196" w14:textId="77777777" w:rsidTr="00B73FDB">
        <w:trPr>
          <w:trHeight w:hRule="exact" w:val="330"/>
        </w:trPr>
        <w:tc>
          <w:tcPr>
            <w:tcW w:w="3238" w:type="pct"/>
            <w:tcBorders>
              <w:top w:val="nil"/>
              <w:left w:val="nil"/>
              <w:bottom w:val="single" w:sz="8" w:space="0" w:color="DCE6F1"/>
              <w:right w:val="nil"/>
            </w:tcBorders>
            <w:shd w:val="clear" w:color="auto" w:fill="auto"/>
            <w:noWrap/>
            <w:vAlign w:val="center"/>
            <w:hideMark/>
          </w:tcPr>
          <w:p w14:paraId="0B215340"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8.5.7: ŠI pri SOŠ vinársko-ovocinárskej, Kostolná 3, Modra </w:t>
            </w:r>
          </w:p>
        </w:tc>
        <w:tc>
          <w:tcPr>
            <w:tcW w:w="411" w:type="pct"/>
            <w:tcBorders>
              <w:top w:val="nil"/>
              <w:left w:val="nil"/>
              <w:bottom w:val="single" w:sz="8" w:space="0" w:color="DCE6F1"/>
              <w:right w:val="nil"/>
            </w:tcBorders>
            <w:shd w:val="clear" w:color="auto" w:fill="auto"/>
            <w:vAlign w:val="center"/>
            <w:hideMark/>
          </w:tcPr>
          <w:p w14:paraId="1883760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142</w:t>
            </w:r>
          </w:p>
        </w:tc>
        <w:tc>
          <w:tcPr>
            <w:tcW w:w="405" w:type="pct"/>
            <w:tcBorders>
              <w:top w:val="nil"/>
              <w:left w:val="nil"/>
              <w:bottom w:val="single" w:sz="8" w:space="0" w:color="DCE6F1"/>
              <w:right w:val="nil"/>
            </w:tcBorders>
            <w:shd w:val="clear" w:color="auto" w:fill="auto"/>
            <w:vAlign w:val="center"/>
            <w:hideMark/>
          </w:tcPr>
          <w:p w14:paraId="065296E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152</w:t>
            </w:r>
          </w:p>
        </w:tc>
        <w:tc>
          <w:tcPr>
            <w:tcW w:w="399" w:type="pct"/>
            <w:tcBorders>
              <w:top w:val="nil"/>
              <w:left w:val="nil"/>
              <w:bottom w:val="single" w:sz="8" w:space="0" w:color="DCE6F1"/>
              <w:right w:val="nil"/>
            </w:tcBorders>
            <w:shd w:val="clear" w:color="auto" w:fill="auto"/>
            <w:vAlign w:val="center"/>
            <w:hideMark/>
          </w:tcPr>
          <w:p w14:paraId="2972BDA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157</w:t>
            </w:r>
          </w:p>
        </w:tc>
        <w:tc>
          <w:tcPr>
            <w:tcW w:w="547" w:type="pct"/>
            <w:tcBorders>
              <w:top w:val="nil"/>
              <w:left w:val="nil"/>
              <w:bottom w:val="single" w:sz="8" w:space="0" w:color="DCE6F1"/>
              <w:right w:val="nil"/>
            </w:tcBorders>
            <w:shd w:val="clear" w:color="auto" w:fill="auto"/>
            <w:vAlign w:val="center"/>
            <w:hideMark/>
          </w:tcPr>
          <w:p w14:paraId="31E39FC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153</w:t>
            </w:r>
          </w:p>
        </w:tc>
      </w:tr>
      <w:tr w:rsidR="00B73FDB" w:rsidRPr="00B73FDB" w14:paraId="665F4F79"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3BC1BBDE"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8.5.8: ŠI pri SOŠ informačných technológií, Hlinická 1, BA </w:t>
            </w:r>
          </w:p>
        </w:tc>
        <w:tc>
          <w:tcPr>
            <w:tcW w:w="411" w:type="pct"/>
            <w:tcBorders>
              <w:top w:val="nil"/>
              <w:left w:val="nil"/>
              <w:bottom w:val="single" w:sz="8" w:space="0" w:color="DCE6F1"/>
              <w:right w:val="nil"/>
            </w:tcBorders>
            <w:shd w:val="clear" w:color="auto" w:fill="auto"/>
            <w:vAlign w:val="center"/>
            <w:hideMark/>
          </w:tcPr>
          <w:p w14:paraId="12510C3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60</w:t>
            </w:r>
          </w:p>
        </w:tc>
        <w:tc>
          <w:tcPr>
            <w:tcW w:w="405" w:type="pct"/>
            <w:tcBorders>
              <w:top w:val="nil"/>
              <w:left w:val="nil"/>
              <w:bottom w:val="single" w:sz="8" w:space="0" w:color="DCE6F1"/>
              <w:right w:val="nil"/>
            </w:tcBorders>
            <w:shd w:val="clear" w:color="auto" w:fill="auto"/>
            <w:vAlign w:val="center"/>
            <w:hideMark/>
          </w:tcPr>
          <w:p w14:paraId="4A4E684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64</w:t>
            </w:r>
          </w:p>
        </w:tc>
        <w:tc>
          <w:tcPr>
            <w:tcW w:w="399" w:type="pct"/>
            <w:tcBorders>
              <w:top w:val="nil"/>
              <w:left w:val="nil"/>
              <w:bottom w:val="single" w:sz="8" w:space="0" w:color="DCE6F1"/>
              <w:right w:val="nil"/>
            </w:tcBorders>
            <w:shd w:val="clear" w:color="auto" w:fill="auto"/>
            <w:vAlign w:val="center"/>
            <w:hideMark/>
          </w:tcPr>
          <w:p w14:paraId="3D0364E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58</w:t>
            </w:r>
          </w:p>
        </w:tc>
        <w:tc>
          <w:tcPr>
            <w:tcW w:w="547" w:type="pct"/>
            <w:tcBorders>
              <w:top w:val="nil"/>
              <w:left w:val="nil"/>
              <w:bottom w:val="single" w:sz="8" w:space="0" w:color="DCE6F1"/>
              <w:right w:val="nil"/>
            </w:tcBorders>
            <w:shd w:val="clear" w:color="auto" w:fill="auto"/>
            <w:vAlign w:val="center"/>
            <w:hideMark/>
          </w:tcPr>
          <w:p w14:paraId="4641D39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51</w:t>
            </w:r>
          </w:p>
        </w:tc>
      </w:tr>
      <w:tr w:rsidR="00B73FDB" w:rsidRPr="00B73FDB" w14:paraId="127E9101"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7178CC51"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8.5.9: ŠI pri SOŠ kaderníctva a </w:t>
            </w:r>
            <w:proofErr w:type="spellStart"/>
            <w:r w:rsidRPr="00B73FDB">
              <w:rPr>
                <w:rFonts w:cs="Calibri"/>
                <w:color w:val="000000"/>
                <w:sz w:val="20"/>
                <w:szCs w:val="20"/>
                <w:lang w:eastAsia="sk-SK"/>
              </w:rPr>
              <w:t>vizážistiky</w:t>
            </w:r>
            <w:proofErr w:type="spellEnd"/>
            <w:r w:rsidRPr="00B73FDB">
              <w:rPr>
                <w:rFonts w:cs="Calibri"/>
                <w:color w:val="000000"/>
                <w:sz w:val="20"/>
                <w:szCs w:val="20"/>
                <w:lang w:eastAsia="sk-SK"/>
              </w:rPr>
              <w:t>, Svätoplukova 2, BA</w:t>
            </w:r>
          </w:p>
        </w:tc>
        <w:tc>
          <w:tcPr>
            <w:tcW w:w="411" w:type="pct"/>
            <w:tcBorders>
              <w:top w:val="nil"/>
              <w:left w:val="nil"/>
              <w:bottom w:val="single" w:sz="8" w:space="0" w:color="DCE6F1"/>
              <w:right w:val="nil"/>
            </w:tcBorders>
            <w:shd w:val="clear" w:color="auto" w:fill="auto"/>
            <w:vAlign w:val="center"/>
            <w:hideMark/>
          </w:tcPr>
          <w:p w14:paraId="424326D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92</w:t>
            </w:r>
          </w:p>
        </w:tc>
        <w:tc>
          <w:tcPr>
            <w:tcW w:w="405" w:type="pct"/>
            <w:tcBorders>
              <w:top w:val="nil"/>
              <w:left w:val="nil"/>
              <w:bottom w:val="single" w:sz="8" w:space="0" w:color="DCE6F1"/>
              <w:right w:val="nil"/>
            </w:tcBorders>
            <w:shd w:val="clear" w:color="auto" w:fill="auto"/>
            <w:vAlign w:val="center"/>
            <w:hideMark/>
          </w:tcPr>
          <w:p w14:paraId="25355FF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117</w:t>
            </w:r>
          </w:p>
        </w:tc>
        <w:tc>
          <w:tcPr>
            <w:tcW w:w="399" w:type="pct"/>
            <w:tcBorders>
              <w:top w:val="nil"/>
              <w:left w:val="nil"/>
              <w:bottom w:val="single" w:sz="8" w:space="0" w:color="DCE6F1"/>
              <w:right w:val="nil"/>
            </w:tcBorders>
            <w:shd w:val="clear" w:color="auto" w:fill="auto"/>
            <w:vAlign w:val="center"/>
            <w:hideMark/>
          </w:tcPr>
          <w:p w14:paraId="0BAF757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110</w:t>
            </w:r>
          </w:p>
        </w:tc>
        <w:tc>
          <w:tcPr>
            <w:tcW w:w="547" w:type="pct"/>
            <w:tcBorders>
              <w:top w:val="nil"/>
              <w:left w:val="nil"/>
              <w:bottom w:val="single" w:sz="8" w:space="0" w:color="DCE6F1"/>
              <w:right w:val="nil"/>
            </w:tcBorders>
            <w:shd w:val="clear" w:color="auto" w:fill="auto"/>
            <w:vAlign w:val="center"/>
            <w:hideMark/>
          </w:tcPr>
          <w:p w14:paraId="653A8EA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100</w:t>
            </w:r>
          </w:p>
        </w:tc>
      </w:tr>
      <w:tr w:rsidR="00B73FDB" w:rsidRPr="00B73FDB" w14:paraId="7D188BBA"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1C8D970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8.5.10: ŠI pri SOŠ hotelových služieb a obchodu, Na Pántoch 9 </w:t>
            </w:r>
          </w:p>
        </w:tc>
        <w:tc>
          <w:tcPr>
            <w:tcW w:w="411" w:type="pct"/>
            <w:tcBorders>
              <w:top w:val="nil"/>
              <w:left w:val="nil"/>
              <w:bottom w:val="single" w:sz="8" w:space="0" w:color="DCE6F1"/>
              <w:right w:val="nil"/>
            </w:tcBorders>
            <w:shd w:val="clear" w:color="auto" w:fill="auto"/>
            <w:vAlign w:val="center"/>
            <w:hideMark/>
          </w:tcPr>
          <w:p w14:paraId="7EE79BD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96</w:t>
            </w:r>
          </w:p>
        </w:tc>
        <w:tc>
          <w:tcPr>
            <w:tcW w:w="405" w:type="pct"/>
            <w:tcBorders>
              <w:top w:val="nil"/>
              <w:left w:val="nil"/>
              <w:bottom w:val="single" w:sz="8" w:space="0" w:color="DCE6F1"/>
              <w:right w:val="nil"/>
            </w:tcBorders>
            <w:shd w:val="clear" w:color="auto" w:fill="auto"/>
            <w:vAlign w:val="center"/>
            <w:hideMark/>
          </w:tcPr>
          <w:p w14:paraId="16527F1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127</w:t>
            </w:r>
          </w:p>
        </w:tc>
        <w:tc>
          <w:tcPr>
            <w:tcW w:w="399" w:type="pct"/>
            <w:tcBorders>
              <w:top w:val="nil"/>
              <w:left w:val="nil"/>
              <w:bottom w:val="single" w:sz="8" w:space="0" w:color="DCE6F1"/>
              <w:right w:val="nil"/>
            </w:tcBorders>
            <w:shd w:val="clear" w:color="auto" w:fill="auto"/>
            <w:vAlign w:val="center"/>
            <w:hideMark/>
          </w:tcPr>
          <w:p w14:paraId="75E181A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120</w:t>
            </w:r>
          </w:p>
        </w:tc>
        <w:tc>
          <w:tcPr>
            <w:tcW w:w="547" w:type="pct"/>
            <w:tcBorders>
              <w:top w:val="nil"/>
              <w:left w:val="nil"/>
              <w:bottom w:val="single" w:sz="8" w:space="0" w:color="DCE6F1"/>
              <w:right w:val="nil"/>
            </w:tcBorders>
            <w:shd w:val="clear" w:color="auto" w:fill="auto"/>
            <w:vAlign w:val="center"/>
            <w:hideMark/>
          </w:tcPr>
          <w:p w14:paraId="67387CC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148</w:t>
            </w:r>
          </w:p>
        </w:tc>
      </w:tr>
      <w:tr w:rsidR="00B73FDB" w:rsidRPr="00B73FDB" w14:paraId="3493067E"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31B554CF"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8.5.12: ŠI pri SOŠ technickej, Vranovská 4, BA </w:t>
            </w:r>
          </w:p>
        </w:tc>
        <w:tc>
          <w:tcPr>
            <w:tcW w:w="411" w:type="pct"/>
            <w:tcBorders>
              <w:top w:val="nil"/>
              <w:left w:val="nil"/>
              <w:bottom w:val="single" w:sz="8" w:space="0" w:color="DCE6F1"/>
              <w:right w:val="nil"/>
            </w:tcBorders>
            <w:shd w:val="clear" w:color="auto" w:fill="auto"/>
            <w:vAlign w:val="center"/>
            <w:hideMark/>
          </w:tcPr>
          <w:p w14:paraId="148354F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393</w:t>
            </w:r>
          </w:p>
        </w:tc>
        <w:tc>
          <w:tcPr>
            <w:tcW w:w="405" w:type="pct"/>
            <w:tcBorders>
              <w:top w:val="nil"/>
              <w:left w:val="nil"/>
              <w:bottom w:val="single" w:sz="8" w:space="0" w:color="DCE6F1"/>
              <w:right w:val="nil"/>
            </w:tcBorders>
            <w:shd w:val="clear" w:color="auto" w:fill="auto"/>
            <w:vAlign w:val="center"/>
            <w:hideMark/>
          </w:tcPr>
          <w:p w14:paraId="0D5EE09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391</w:t>
            </w:r>
          </w:p>
        </w:tc>
        <w:tc>
          <w:tcPr>
            <w:tcW w:w="399" w:type="pct"/>
            <w:tcBorders>
              <w:top w:val="nil"/>
              <w:left w:val="nil"/>
              <w:bottom w:val="single" w:sz="8" w:space="0" w:color="DCE6F1"/>
              <w:right w:val="nil"/>
            </w:tcBorders>
            <w:shd w:val="clear" w:color="auto" w:fill="auto"/>
            <w:vAlign w:val="center"/>
            <w:hideMark/>
          </w:tcPr>
          <w:p w14:paraId="0BDBEE4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392</w:t>
            </w:r>
          </w:p>
        </w:tc>
        <w:tc>
          <w:tcPr>
            <w:tcW w:w="547" w:type="pct"/>
            <w:tcBorders>
              <w:top w:val="nil"/>
              <w:left w:val="nil"/>
              <w:bottom w:val="single" w:sz="8" w:space="0" w:color="DCE6F1"/>
              <w:right w:val="nil"/>
            </w:tcBorders>
            <w:shd w:val="clear" w:color="auto" w:fill="auto"/>
            <w:vAlign w:val="center"/>
            <w:hideMark/>
          </w:tcPr>
          <w:p w14:paraId="0F5114A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398</w:t>
            </w:r>
          </w:p>
        </w:tc>
      </w:tr>
      <w:tr w:rsidR="00B73FDB" w:rsidRPr="00B73FDB" w14:paraId="27C40AEF"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076CDAD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8.5.13: ŠI pri SOŠ technológií a remesiel, </w:t>
            </w:r>
            <w:proofErr w:type="spellStart"/>
            <w:r w:rsidRPr="00B73FDB">
              <w:rPr>
                <w:rFonts w:cs="Calibri"/>
                <w:color w:val="000000"/>
                <w:sz w:val="20"/>
                <w:szCs w:val="20"/>
                <w:lang w:eastAsia="sk-SK"/>
              </w:rPr>
              <w:t>Ivanská</w:t>
            </w:r>
            <w:proofErr w:type="spellEnd"/>
            <w:r w:rsidRPr="00B73FDB">
              <w:rPr>
                <w:rFonts w:cs="Calibri"/>
                <w:color w:val="000000"/>
                <w:sz w:val="20"/>
                <w:szCs w:val="20"/>
                <w:lang w:eastAsia="sk-SK"/>
              </w:rPr>
              <w:t xml:space="preserve"> cesta 21, BA </w:t>
            </w:r>
          </w:p>
        </w:tc>
        <w:tc>
          <w:tcPr>
            <w:tcW w:w="411" w:type="pct"/>
            <w:tcBorders>
              <w:top w:val="nil"/>
              <w:left w:val="nil"/>
              <w:bottom w:val="single" w:sz="8" w:space="0" w:color="DCE6F1"/>
              <w:right w:val="nil"/>
            </w:tcBorders>
            <w:shd w:val="clear" w:color="auto" w:fill="auto"/>
            <w:vAlign w:val="center"/>
            <w:hideMark/>
          </w:tcPr>
          <w:p w14:paraId="7614B72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357</w:t>
            </w:r>
          </w:p>
        </w:tc>
        <w:tc>
          <w:tcPr>
            <w:tcW w:w="405" w:type="pct"/>
            <w:tcBorders>
              <w:top w:val="nil"/>
              <w:left w:val="nil"/>
              <w:bottom w:val="single" w:sz="8" w:space="0" w:color="DCE6F1"/>
              <w:right w:val="nil"/>
            </w:tcBorders>
            <w:shd w:val="clear" w:color="auto" w:fill="auto"/>
            <w:vAlign w:val="center"/>
            <w:hideMark/>
          </w:tcPr>
          <w:p w14:paraId="13C465B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346</w:t>
            </w:r>
          </w:p>
        </w:tc>
        <w:tc>
          <w:tcPr>
            <w:tcW w:w="399" w:type="pct"/>
            <w:tcBorders>
              <w:top w:val="nil"/>
              <w:left w:val="nil"/>
              <w:bottom w:val="single" w:sz="8" w:space="0" w:color="DCE6F1"/>
              <w:right w:val="nil"/>
            </w:tcBorders>
            <w:shd w:val="clear" w:color="auto" w:fill="auto"/>
            <w:vAlign w:val="center"/>
            <w:hideMark/>
          </w:tcPr>
          <w:p w14:paraId="707DBBB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326</w:t>
            </w:r>
          </w:p>
        </w:tc>
        <w:tc>
          <w:tcPr>
            <w:tcW w:w="547" w:type="pct"/>
            <w:tcBorders>
              <w:top w:val="nil"/>
              <w:left w:val="nil"/>
              <w:bottom w:val="single" w:sz="8" w:space="0" w:color="DCE6F1"/>
              <w:right w:val="nil"/>
            </w:tcBorders>
            <w:shd w:val="clear" w:color="auto" w:fill="auto"/>
            <w:vAlign w:val="center"/>
            <w:hideMark/>
          </w:tcPr>
          <w:p w14:paraId="2297772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344</w:t>
            </w:r>
          </w:p>
        </w:tc>
      </w:tr>
      <w:tr w:rsidR="00B73FDB" w:rsidRPr="00B73FDB" w14:paraId="55C8293C"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26E449E5"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8.5.16: ŠI pri SOŠ polygrafickej, Račianska 190, BA </w:t>
            </w:r>
          </w:p>
        </w:tc>
        <w:tc>
          <w:tcPr>
            <w:tcW w:w="411" w:type="pct"/>
            <w:tcBorders>
              <w:top w:val="nil"/>
              <w:left w:val="nil"/>
              <w:bottom w:val="single" w:sz="8" w:space="0" w:color="DCE6F1"/>
              <w:right w:val="nil"/>
            </w:tcBorders>
            <w:shd w:val="clear" w:color="auto" w:fill="auto"/>
            <w:vAlign w:val="center"/>
            <w:hideMark/>
          </w:tcPr>
          <w:p w14:paraId="1EF38C3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77</w:t>
            </w:r>
          </w:p>
        </w:tc>
        <w:tc>
          <w:tcPr>
            <w:tcW w:w="405" w:type="pct"/>
            <w:tcBorders>
              <w:top w:val="nil"/>
              <w:left w:val="nil"/>
              <w:bottom w:val="single" w:sz="8" w:space="0" w:color="DCE6F1"/>
              <w:right w:val="nil"/>
            </w:tcBorders>
            <w:shd w:val="clear" w:color="auto" w:fill="auto"/>
            <w:vAlign w:val="center"/>
            <w:hideMark/>
          </w:tcPr>
          <w:p w14:paraId="0056F26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78</w:t>
            </w:r>
          </w:p>
        </w:tc>
        <w:tc>
          <w:tcPr>
            <w:tcW w:w="399" w:type="pct"/>
            <w:tcBorders>
              <w:top w:val="nil"/>
              <w:left w:val="nil"/>
              <w:bottom w:val="single" w:sz="8" w:space="0" w:color="DCE6F1"/>
              <w:right w:val="nil"/>
            </w:tcBorders>
            <w:shd w:val="clear" w:color="auto" w:fill="auto"/>
            <w:vAlign w:val="center"/>
            <w:hideMark/>
          </w:tcPr>
          <w:p w14:paraId="229DF36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73</w:t>
            </w:r>
          </w:p>
        </w:tc>
        <w:tc>
          <w:tcPr>
            <w:tcW w:w="547" w:type="pct"/>
            <w:tcBorders>
              <w:top w:val="nil"/>
              <w:left w:val="nil"/>
              <w:bottom w:val="single" w:sz="8" w:space="0" w:color="DCE6F1"/>
              <w:right w:val="nil"/>
            </w:tcBorders>
            <w:shd w:val="clear" w:color="auto" w:fill="auto"/>
            <w:vAlign w:val="center"/>
            <w:hideMark/>
          </w:tcPr>
          <w:p w14:paraId="20902AD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74</w:t>
            </w:r>
          </w:p>
        </w:tc>
      </w:tr>
      <w:tr w:rsidR="00B73FDB" w:rsidRPr="00B73FDB" w14:paraId="3C6A530B"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hideMark/>
          </w:tcPr>
          <w:p w14:paraId="7AE2C64C"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8.5.17: ŠI pri SOŠ, Kysucká 14, Senec </w:t>
            </w:r>
          </w:p>
        </w:tc>
        <w:tc>
          <w:tcPr>
            <w:tcW w:w="411" w:type="pct"/>
            <w:tcBorders>
              <w:top w:val="nil"/>
              <w:left w:val="nil"/>
              <w:bottom w:val="single" w:sz="8" w:space="0" w:color="DCE6F1"/>
              <w:right w:val="nil"/>
            </w:tcBorders>
            <w:shd w:val="clear" w:color="auto" w:fill="auto"/>
            <w:vAlign w:val="center"/>
            <w:hideMark/>
          </w:tcPr>
          <w:p w14:paraId="68DE5A3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39</w:t>
            </w:r>
          </w:p>
        </w:tc>
        <w:tc>
          <w:tcPr>
            <w:tcW w:w="405" w:type="pct"/>
            <w:tcBorders>
              <w:top w:val="nil"/>
              <w:left w:val="nil"/>
              <w:bottom w:val="single" w:sz="8" w:space="0" w:color="DCE6F1"/>
              <w:right w:val="nil"/>
            </w:tcBorders>
            <w:shd w:val="clear" w:color="auto" w:fill="auto"/>
            <w:vAlign w:val="center"/>
            <w:hideMark/>
          </w:tcPr>
          <w:p w14:paraId="35375BD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54</w:t>
            </w:r>
          </w:p>
        </w:tc>
        <w:tc>
          <w:tcPr>
            <w:tcW w:w="399" w:type="pct"/>
            <w:tcBorders>
              <w:top w:val="nil"/>
              <w:left w:val="nil"/>
              <w:bottom w:val="single" w:sz="8" w:space="0" w:color="DCE6F1"/>
              <w:right w:val="nil"/>
            </w:tcBorders>
            <w:shd w:val="clear" w:color="auto" w:fill="auto"/>
            <w:vAlign w:val="center"/>
            <w:hideMark/>
          </w:tcPr>
          <w:p w14:paraId="27CA8CD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57</w:t>
            </w:r>
          </w:p>
        </w:tc>
        <w:tc>
          <w:tcPr>
            <w:tcW w:w="547" w:type="pct"/>
            <w:tcBorders>
              <w:top w:val="nil"/>
              <w:left w:val="nil"/>
              <w:bottom w:val="single" w:sz="8" w:space="0" w:color="DCE6F1"/>
              <w:right w:val="nil"/>
            </w:tcBorders>
            <w:shd w:val="clear" w:color="auto" w:fill="auto"/>
            <w:vAlign w:val="center"/>
            <w:hideMark/>
          </w:tcPr>
          <w:p w14:paraId="2088D54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64</w:t>
            </w:r>
          </w:p>
        </w:tc>
      </w:tr>
      <w:tr w:rsidR="00B73FDB" w:rsidRPr="00B73FDB" w14:paraId="63947033" w14:textId="77777777" w:rsidTr="00B73FDB">
        <w:trPr>
          <w:trHeight w:hRule="exact" w:val="315"/>
        </w:trPr>
        <w:tc>
          <w:tcPr>
            <w:tcW w:w="3238" w:type="pct"/>
            <w:tcBorders>
              <w:top w:val="nil"/>
              <w:left w:val="nil"/>
              <w:bottom w:val="single" w:sz="8" w:space="0" w:color="DCE6F1"/>
              <w:right w:val="nil"/>
            </w:tcBorders>
            <w:shd w:val="clear" w:color="auto" w:fill="auto"/>
            <w:noWrap/>
            <w:vAlign w:val="center"/>
          </w:tcPr>
          <w:p w14:paraId="56008F75"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8.5.18: ŠI pri Spojenej škole, Malinovo</w:t>
            </w:r>
          </w:p>
        </w:tc>
        <w:tc>
          <w:tcPr>
            <w:tcW w:w="411" w:type="pct"/>
            <w:tcBorders>
              <w:top w:val="nil"/>
              <w:left w:val="nil"/>
              <w:bottom w:val="single" w:sz="8" w:space="0" w:color="DCE6F1"/>
              <w:right w:val="nil"/>
            </w:tcBorders>
            <w:shd w:val="clear" w:color="auto" w:fill="auto"/>
            <w:vAlign w:val="center"/>
          </w:tcPr>
          <w:p w14:paraId="6E8C59C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05" w:type="pct"/>
            <w:tcBorders>
              <w:top w:val="nil"/>
              <w:left w:val="nil"/>
              <w:bottom w:val="single" w:sz="8" w:space="0" w:color="DCE6F1"/>
              <w:right w:val="nil"/>
            </w:tcBorders>
            <w:shd w:val="clear" w:color="auto" w:fill="auto"/>
            <w:vAlign w:val="center"/>
          </w:tcPr>
          <w:p w14:paraId="195C7B0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399" w:type="pct"/>
            <w:tcBorders>
              <w:top w:val="nil"/>
              <w:left w:val="nil"/>
              <w:bottom w:val="single" w:sz="8" w:space="0" w:color="DCE6F1"/>
              <w:right w:val="nil"/>
            </w:tcBorders>
            <w:shd w:val="clear" w:color="auto" w:fill="auto"/>
            <w:vAlign w:val="center"/>
          </w:tcPr>
          <w:p w14:paraId="0BE7EE9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10</w:t>
            </w:r>
          </w:p>
        </w:tc>
        <w:tc>
          <w:tcPr>
            <w:tcW w:w="547" w:type="pct"/>
            <w:tcBorders>
              <w:top w:val="nil"/>
              <w:left w:val="nil"/>
              <w:bottom w:val="single" w:sz="8" w:space="0" w:color="DCE6F1"/>
              <w:right w:val="nil"/>
            </w:tcBorders>
            <w:shd w:val="clear" w:color="auto" w:fill="auto"/>
            <w:vAlign w:val="center"/>
          </w:tcPr>
          <w:p w14:paraId="5BB9022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47</w:t>
            </w:r>
          </w:p>
        </w:tc>
      </w:tr>
      <w:tr w:rsidR="00B73FDB" w:rsidRPr="00B73FDB" w14:paraId="1EA73D18" w14:textId="77777777" w:rsidTr="00B73FDB">
        <w:trPr>
          <w:trHeight w:hRule="exact" w:val="330"/>
        </w:trPr>
        <w:tc>
          <w:tcPr>
            <w:tcW w:w="3238" w:type="pct"/>
            <w:tcBorders>
              <w:top w:val="nil"/>
              <w:left w:val="nil"/>
              <w:bottom w:val="single" w:sz="8" w:space="0" w:color="4F81BD"/>
              <w:right w:val="nil"/>
            </w:tcBorders>
            <w:shd w:val="clear" w:color="000000" w:fill="DCE6F1"/>
            <w:noWrap/>
            <w:vAlign w:val="center"/>
            <w:hideMark/>
          </w:tcPr>
          <w:p w14:paraId="50A15328"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Celkom</w:t>
            </w:r>
          </w:p>
        </w:tc>
        <w:tc>
          <w:tcPr>
            <w:tcW w:w="411" w:type="pct"/>
            <w:tcBorders>
              <w:top w:val="nil"/>
              <w:left w:val="nil"/>
              <w:bottom w:val="single" w:sz="8" w:space="0" w:color="4F81BD"/>
              <w:right w:val="nil"/>
            </w:tcBorders>
            <w:shd w:val="clear" w:color="000000" w:fill="DCE6F1"/>
            <w:vAlign w:val="center"/>
            <w:hideMark/>
          </w:tcPr>
          <w:p w14:paraId="57FFFE52"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1 828</w:t>
            </w:r>
          </w:p>
        </w:tc>
        <w:tc>
          <w:tcPr>
            <w:tcW w:w="405" w:type="pct"/>
            <w:tcBorders>
              <w:top w:val="nil"/>
              <w:left w:val="nil"/>
              <w:bottom w:val="single" w:sz="8" w:space="0" w:color="4F81BD"/>
              <w:right w:val="nil"/>
            </w:tcBorders>
            <w:shd w:val="clear" w:color="000000" w:fill="DCE6F1"/>
            <w:vAlign w:val="center"/>
            <w:hideMark/>
          </w:tcPr>
          <w:p w14:paraId="12CC72FF"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1 962</w:t>
            </w:r>
          </w:p>
        </w:tc>
        <w:tc>
          <w:tcPr>
            <w:tcW w:w="399" w:type="pct"/>
            <w:tcBorders>
              <w:top w:val="nil"/>
              <w:left w:val="nil"/>
              <w:bottom w:val="single" w:sz="8" w:space="0" w:color="4F81BD"/>
              <w:right w:val="nil"/>
            </w:tcBorders>
            <w:shd w:val="clear" w:color="000000" w:fill="DCE6F1"/>
            <w:vAlign w:val="center"/>
            <w:hideMark/>
          </w:tcPr>
          <w:p w14:paraId="486466FF"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2 017</w:t>
            </w:r>
          </w:p>
        </w:tc>
        <w:tc>
          <w:tcPr>
            <w:tcW w:w="547" w:type="pct"/>
            <w:tcBorders>
              <w:top w:val="nil"/>
              <w:left w:val="nil"/>
              <w:bottom w:val="single" w:sz="8" w:space="0" w:color="4F81BD"/>
              <w:right w:val="nil"/>
            </w:tcBorders>
            <w:shd w:val="clear" w:color="000000" w:fill="DCE6F1"/>
            <w:vAlign w:val="center"/>
            <w:hideMark/>
          </w:tcPr>
          <w:p w14:paraId="4ED00D9E"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2 068</w:t>
            </w:r>
          </w:p>
        </w:tc>
      </w:tr>
    </w:tbl>
    <w:p w14:paraId="10DF7B44" w14:textId="77777777" w:rsidR="00B73FDB" w:rsidRPr="00B73FDB" w:rsidRDefault="00B73FDB" w:rsidP="00B73FDB">
      <w:pPr>
        <w:spacing w:before="100" w:beforeAutospacing="1" w:after="0" w:line="240" w:lineRule="auto"/>
        <w:jc w:val="both"/>
        <w:rPr>
          <w:rFonts w:cs="Calibri"/>
          <w:sz w:val="24"/>
          <w:szCs w:val="24"/>
          <w:lang w:eastAsia="sk-SK"/>
        </w:rPr>
      </w:pPr>
      <w:r w:rsidRPr="00B73FDB">
        <w:rPr>
          <w:rFonts w:cs="Calibri"/>
          <w:sz w:val="24"/>
          <w:szCs w:val="24"/>
          <w:lang w:eastAsia="sk-SK"/>
        </w:rPr>
        <w:t>Nasledujúca tabuľka sumarizuje náklad na 1 ubytovaného študenta na 1 rok za posledné 4 finančné roky:</w:t>
      </w:r>
    </w:p>
    <w:tbl>
      <w:tblPr>
        <w:tblW w:w="5000" w:type="pct"/>
        <w:tblCellMar>
          <w:left w:w="70" w:type="dxa"/>
          <w:right w:w="70" w:type="dxa"/>
        </w:tblCellMar>
        <w:tblLook w:val="04A0" w:firstRow="1" w:lastRow="0" w:firstColumn="1" w:lastColumn="0" w:noHBand="0" w:noVBand="1"/>
      </w:tblPr>
      <w:tblGrid>
        <w:gridCol w:w="6495"/>
        <w:gridCol w:w="984"/>
        <w:gridCol w:w="984"/>
        <w:gridCol w:w="984"/>
        <w:gridCol w:w="1019"/>
      </w:tblGrid>
      <w:tr w:rsidR="00B73FDB" w:rsidRPr="00B73FDB" w14:paraId="3974F600" w14:textId="77777777" w:rsidTr="00B73FDB">
        <w:trPr>
          <w:trHeight w:val="458"/>
        </w:trPr>
        <w:tc>
          <w:tcPr>
            <w:tcW w:w="3103" w:type="pct"/>
            <w:vMerge w:val="restart"/>
            <w:tcBorders>
              <w:top w:val="nil"/>
              <w:left w:val="nil"/>
              <w:bottom w:val="single" w:sz="8" w:space="0" w:color="DCE6F1"/>
              <w:right w:val="nil"/>
            </w:tcBorders>
            <w:shd w:val="clear" w:color="auto" w:fill="D2F6FE"/>
            <w:noWrap/>
            <w:vAlign w:val="center"/>
            <w:hideMark/>
          </w:tcPr>
          <w:p w14:paraId="6888A65C"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Podprogram 8.5 - Školské ubytovanie</w:t>
            </w:r>
          </w:p>
        </w:tc>
        <w:tc>
          <w:tcPr>
            <w:tcW w:w="1897" w:type="pct"/>
            <w:gridSpan w:val="4"/>
            <w:vMerge w:val="restart"/>
            <w:tcBorders>
              <w:top w:val="nil"/>
              <w:left w:val="nil"/>
              <w:bottom w:val="nil"/>
              <w:right w:val="nil"/>
            </w:tcBorders>
            <w:shd w:val="clear" w:color="auto" w:fill="D2F6FE"/>
            <w:vAlign w:val="center"/>
            <w:hideMark/>
          </w:tcPr>
          <w:p w14:paraId="5D62FC46" w14:textId="77777777" w:rsidR="00B73FDB" w:rsidRPr="00B73FDB" w:rsidRDefault="00B73FDB" w:rsidP="00B73FDB">
            <w:pPr>
              <w:spacing w:after="0" w:line="240" w:lineRule="auto"/>
              <w:jc w:val="center"/>
              <w:rPr>
                <w:rFonts w:cs="Calibri"/>
                <w:b/>
                <w:bCs/>
                <w:color w:val="000000"/>
                <w:sz w:val="20"/>
                <w:szCs w:val="20"/>
                <w:lang w:eastAsia="sk-SK"/>
              </w:rPr>
            </w:pPr>
            <w:r w:rsidRPr="00B73FDB">
              <w:rPr>
                <w:rFonts w:cs="Calibri"/>
                <w:b/>
                <w:bCs/>
                <w:color w:val="000000"/>
                <w:sz w:val="20"/>
                <w:szCs w:val="20"/>
                <w:lang w:eastAsia="sk-SK"/>
              </w:rPr>
              <w:t>Náklad na 1 ubytovaného študenta (€/osoba)</w:t>
            </w:r>
          </w:p>
        </w:tc>
      </w:tr>
      <w:tr w:rsidR="00B73FDB" w:rsidRPr="00B73FDB" w14:paraId="0D68E6A5" w14:textId="77777777" w:rsidTr="00B73FDB">
        <w:trPr>
          <w:trHeight w:val="458"/>
        </w:trPr>
        <w:tc>
          <w:tcPr>
            <w:tcW w:w="3103" w:type="pct"/>
            <w:vMerge/>
            <w:tcBorders>
              <w:top w:val="nil"/>
              <w:left w:val="nil"/>
              <w:bottom w:val="single" w:sz="8" w:space="0" w:color="DCE6F1"/>
              <w:right w:val="nil"/>
            </w:tcBorders>
            <w:shd w:val="clear" w:color="auto" w:fill="D2F6FE"/>
            <w:vAlign w:val="center"/>
            <w:hideMark/>
          </w:tcPr>
          <w:p w14:paraId="570E3F68" w14:textId="77777777" w:rsidR="00B73FDB" w:rsidRPr="00B73FDB" w:rsidRDefault="00B73FDB" w:rsidP="00B73FDB">
            <w:pPr>
              <w:spacing w:after="0" w:line="240" w:lineRule="auto"/>
              <w:rPr>
                <w:rFonts w:cs="Calibri"/>
                <w:b/>
                <w:bCs/>
                <w:color w:val="000000"/>
                <w:sz w:val="20"/>
                <w:szCs w:val="20"/>
                <w:lang w:eastAsia="sk-SK"/>
              </w:rPr>
            </w:pPr>
          </w:p>
        </w:tc>
        <w:tc>
          <w:tcPr>
            <w:tcW w:w="1897" w:type="pct"/>
            <w:gridSpan w:val="4"/>
            <w:vMerge/>
            <w:tcBorders>
              <w:top w:val="nil"/>
              <w:left w:val="nil"/>
              <w:bottom w:val="nil"/>
              <w:right w:val="nil"/>
            </w:tcBorders>
            <w:shd w:val="clear" w:color="auto" w:fill="D2F6FE"/>
            <w:vAlign w:val="center"/>
            <w:hideMark/>
          </w:tcPr>
          <w:p w14:paraId="58A357B7" w14:textId="77777777" w:rsidR="00B73FDB" w:rsidRPr="00B73FDB" w:rsidRDefault="00B73FDB" w:rsidP="00B73FDB">
            <w:pPr>
              <w:spacing w:after="0" w:line="240" w:lineRule="auto"/>
              <w:rPr>
                <w:rFonts w:cs="Calibri"/>
                <w:b/>
                <w:bCs/>
                <w:color w:val="000000"/>
                <w:sz w:val="20"/>
                <w:szCs w:val="20"/>
                <w:lang w:eastAsia="sk-SK"/>
              </w:rPr>
            </w:pPr>
          </w:p>
        </w:tc>
      </w:tr>
      <w:tr w:rsidR="00B73FDB" w:rsidRPr="00B73FDB" w14:paraId="3C7F0B39" w14:textId="77777777" w:rsidTr="00B73FDB">
        <w:trPr>
          <w:trHeight w:hRule="exact" w:val="330"/>
        </w:trPr>
        <w:tc>
          <w:tcPr>
            <w:tcW w:w="3103" w:type="pct"/>
            <w:tcBorders>
              <w:top w:val="nil"/>
              <w:left w:val="nil"/>
              <w:bottom w:val="single" w:sz="8" w:space="0" w:color="DCE6F1"/>
              <w:right w:val="nil"/>
            </w:tcBorders>
            <w:shd w:val="clear" w:color="auto" w:fill="D2F6FE"/>
            <w:noWrap/>
            <w:vAlign w:val="center"/>
            <w:hideMark/>
          </w:tcPr>
          <w:p w14:paraId="0C64EF48"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Školské zariadenie</w:t>
            </w:r>
          </w:p>
        </w:tc>
        <w:tc>
          <w:tcPr>
            <w:tcW w:w="470" w:type="pct"/>
            <w:tcBorders>
              <w:top w:val="nil"/>
              <w:left w:val="nil"/>
              <w:bottom w:val="single" w:sz="8" w:space="0" w:color="DCE6F1"/>
              <w:right w:val="nil"/>
            </w:tcBorders>
            <w:shd w:val="clear" w:color="auto" w:fill="D2F6FE"/>
            <w:vAlign w:val="center"/>
            <w:hideMark/>
          </w:tcPr>
          <w:p w14:paraId="173C5E7F"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2017</w:t>
            </w:r>
          </w:p>
        </w:tc>
        <w:tc>
          <w:tcPr>
            <w:tcW w:w="470" w:type="pct"/>
            <w:tcBorders>
              <w:top w:val="nil"/>
              <w:left w:val="nil"/>
              <w:bottom w:val="single" w:sz="8" w:space="0" w:color="DCE6F1"/>
              <w:right w:val="nil"/>
            </w:tcBorders>
            <w:shd w:val="clear" w:color="auto" w:fill="D2F6FE"/>
            <w:vAlign w:val="center"/>
            <w:hideMark/>
          </w:tcPr>
          <w:p w14:paraId="0201F09A"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2018</w:t>
            </w:r>
          </w:p>
        </w:tc>
        <w:tc>
          <w:tcPr>
            <w:tcW w:w="470" w:type="pct"/>
            <w:tcBorders>
              <w:top w:val="nil"/>
              <w:left w:val="nil"/>
              <w:bottom w:val="single" w:sz="8" w:space="0" w:color="DCE6F1"/>
              <w:right w:val="nil"/>
            </w:tcBorders>
            <w:shd w:val="clear" w:color="auto" w:fill="D2F6FE"/>
            <w:vAlign w:val="center"/>
            <w:hideMark/>
          </w:tcPr>
          <w:p w14:paraId="1F77FBD8"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2019</w:t>
            </w:r>
          </w:p>
        </w:tc>
        <w:tc>
          <w:tcPr>
            <w:tcW w:w="487" w:type="pct"/>
            <w:tcBorders>
              <w:top w:val="nil"/>
              <w:left w:val="nil"/>
              <w:bottom w:val="single" w:sz="8" w:space="0" w:color="DCE6F1"/>
              <w:right w:val="nil"/>
            </w:tcBorders>
            <w:shd w:val="clear" w:color="auto" w:fill="D2F6FE"/>
            <w:vAlign w:val="center"/>
            <w:hideMark/>
          </w:tcPr>
          <w:p w14:paraId="59055447"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2020</w:t>
            </w:r>
          </w:p>
        </w:tc>
      </w:tr>
      <w:tr w:rsidR="00B73FDB" w:rsidRPr="00B73FDB" w14:paraId="4464350A"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70DE64F8"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 ŠI pri Tanečnom konzervatóriu, Gorazdova 20, BA </w:t>
            </w:r>
          </w:p>
        </w:tc>
        <w:tc>
          <w:tcPr>
            <w:tcW w:w="470" w:type="pct"/>
            <w:tcBorders>
              <w:top w:val="nil"/>
              <w:left w:val="nil"/>
              <w:bottom w:val="single" w:sz="8" w:space="0" w:color="DCE6F1"/>
              <w:right w:val="nil"/>
            </w:tcBorders>
            <w:shd w:val="clear" w:color="auto" w:fill="auto"/>
            <w:vAlign w:val="center"/>
            <w:hideMark/>
          </w:tcPr>
          <w:p w14:paraId="1ED4611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1 866 €</w:t>
            </w:r>
          </w:p>
        </w:tc>
        <w:tc>
          <w:tcPr>
            <w:tcW w:w="470" w:type="pct"/>
            <w:tcBorders>
              <w:top w:val="nil"/>
              <w:left w:val="nil"/>
              <w:bottom w:val="single" w:sz="8" w:space="0" w:color="DCE6F1"/>
              <w:right w:val="nil"/>
            </w:tcBorders>
            <w:shd w:val="clear" w:color="auto" w:fill="auto"/>
            <w:vAlign w:val="bottom"/>
            <w:hideMark/>
          </w:tcPr>
          <w:p w14:paraId="549CEDC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2 002 €</w:t>
            </w:r>
          </w:p>
        </w:tc>
        <w:tc>
          <w:tcPr>
            <w:tcW w:w="470" w:type="pct"/>
            <w:tcBorders>
              <w:top w:val="nil"/>
              <w:left w:val="nil"/>
              <w:bottom w:val="single" w:sz="8" w:space="0" w:color="DCE6F1"/>
              <w:right w:val="nil"/>
            </w:tcBorders>
            <w:shd w:val="clear" w:color="auto" w:fill="auto"/>
            <w:vAlign w:val="bottom"/>
            <w:hideMark/>
          </w:tcPr>
          <w:p w14:paraId="235B610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3 373 €</w:t>
            </w:r>
          </w:p>
        </w:tc>
        <w:tc>
          <w:tcPr>
            <w:tcW w:w="487" w:type="pct"/>
            <w:tcBorders>
              <w:top w:val="nil"/>
              <w:left w:val="nil"/>
              <w:bottom w:val="nil"/>
              <w:right w:val="nil"/>
            </w:tcBorders>
            <w:shd w:val="clear" w:color="auto" w:fill="auto"/>
            <w:noWrap/>
            <w:vAlign w:val="bottom"/>
            <w:hideMark/>
          </w:tcPr>
          <w:p w14:paraId="03A74DE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2 946 €</w:t>
            </w:r>
          </w:p>
        </w:tc>
      </w:tr>
      <w:tr w:rsidR="00B73FDB" w:rsidRPr="00B73FDB" w14:paraId="726F7016"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53539B38"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8.5.4: ŠI, Trnavská 2, BA </w:t>
            </w:r>
          </w:p>
        </w:tc>
        <w:tc>
          <w:tcPr>
            <w:tcW w:w="470" w:type="pct"/>
            <w:tcBorders>
              <w:top w:val="nil"/>
              <w:left w:val="nil"/>
              <w:bottom w:val="single" w:sz="8" w:space="0" w:color="DCE6F1"/>
              <w:right w:val="nil"/>
            </w:tcBorders>
            <w:shd w:val="clear" w:color="auto" w:fill="auto"/>
            <w:vAlign w:val="center"/>
            <w:hideMark/>
          </w:tcPr>
          <w:p w14:paraId="4976A45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1 646 €</w:t>
            </w:r>
          </w:p>
        </w:tc>
        <w:tc>
          <w:tcPr>
            <w:tcW w:w="470" w:type="pct"/>
            <w:tcBorders>
              <w:top w:val="nil"/>
              <w:left w:val="nil"/>
              <w:bottom w:val="single" w:sz="8" w:space="0" w:color="DCE6F1"/>
              <w:right w:val="nil"/>
            </w:tcBorders>
            <w:shd w:val="clear" w:color="auto" w:fill="auto"/>
            <w:vAlign w:val="bottom"/>
            <w:hideMark/>
          </w:tcPr>
          <w:p w14:paraId="678B4DC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1 842 €</w:t>
            </w:r>
          </w:p>
        </w:tc>
        <w:tc>
          <w:tcPr>
            <w:tcW w:w="470" w:type="pct"/>
            <w:tcBorders>
              <w:top w:val="nil"/>
              <w:left w:val="nil"/>
              <w:bottom w:val="single" w:sz="8" w:space="0" w:color="DCE6F1"/>
              <w:right w:val="nil"/>
            </w:tcBorders>
            <w:shd w:val="clear" w:color="auto" w:fill="auto"/>
            <w:vAlign w:val="bottom"/>
            <w:hideMark/>
          </w:tcPr>
          <w:p w14:paraId="6633E9F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2 046 €</w:t>
            </w:r>
          </w:p>
        </w:tc>
        <w:tc>
          <w:tcPr>
            <w:tcW w:w="487" w:type="pct"/>
            <w:tcBorders>
              <w:top w:val="nil"/>
              <w:left w:val="nil"/>
              <w:bottom w:val="nil"/>
              <w:right w:val="nil"/>
            </w:tcBorders>
            <w:shd w:val="clear" w:color="auto" w:fill="auto"/>
            <w:noWrap/>
            <w:vAlign w:val="bottom"/>
            <w:hideMark/>
          </w:tcPr>
          <w:p w14:paraId="70A4842C"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1 978 €</w:t>
            </w:r>
          </w:p>
        </w:tc>
      </w:tr>
      <w:tr w:rsidR="00B73FDB" w:rsidRPr="00B73FDB" w14:paraId="4ACA1661"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382BEF9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8.5.5: ŠI pri Spojenej škole, SNP 30, Ivanka pri Dunaji </w:t>
            </w:r>
          </w:p>
        </w:tc>
        <w:tc>
          <w:tcPr>
            <w:tcW w:w="470" w:type="pct"/>
            <w:tcBorders>
              <w:top w:val="nil"/>
              <w:left w:val="nil"/>
              <w:bottom w:val="single" w:sz="8" w:space="0" w:color="DCE6F1"/>
              <w:right w:val="nil"/>
            </w:tcBorders>
            <w:shd w:val="clear" w:color="auto" w:fill="auto"/>
            <w:vAlign w:val="center"/>
            <w:hideMark/>
          </w:tcPr>
          <w:p w14:paraId="0893F1A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1 385 €</w:t>
            </w:r>
          </w:p>
        </w:tc>
        <w:tc>
          <w:tcPr>
            <w:tcW w:w="470" w:type="pct"/>
            <w:tcBorders>
              <w:top w:val="nil"/>
              <w:left w:val="nil"/>
              <w:bottom w:val="single" w:sz="8" w:space="0" w:color="DCE6F1"/>
              <w:right w:val="nil"/>
            </w:tcBorders>
            <w:shd w:val="clear" w:color="auto" w:fill="auto"/>
            <w:vAlign w:val="bottom"/>
            <w:hideMark/>
          </w:tcPr>
          <w:p w14:paraId="2EA9DC5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1 568 €</w:t>
            </w:r>
          </w:p>
        </w:tc>
        <w:tc>
          <w:tcPr>
            <w:tcW w:w="470" w:type="pct"/>
            <w:tcBorders>
              <w:top w:val="nil"/>
              <w:left w:val="nil"/>
              <w:bottom w:val="single" w:sz="8" w:space="0" w:color="DCE6F1"/>
              <w:right w:val="nil"/>
            </w:tcBorders>
            <w:shd w:val="clear" w:color="auto" w:fill="auto"/>
            <w:vAlign w:val="bottom"/>
            <w:hideMark/>
          </w:tcPr>
          <w:p w14:paraId="4578006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1 727 €</w:t>
            </w:r>
          </w:p>
        </w:tc>
        <w:tc>
          <w:tcPr>
            <w:tcW w:w="487" w:type="pct"/>
            <w:tcBorders>
              <w:top w:val="nil"/>
              <w:left w:val="nil"/>
              <w:bottom w:val="nil"/>
              <w:right w:val="nil"/>
            </w:tcBorders>
            <w:shd w:val="clear" w:color="auto" w:fill="auto"/>
            <w:noWrap/>
            <w:vAlign w:val="bottom"/>
            <w:hideMark/>
          </w:tcPr>
          <w:p w14:paraId="27B44BB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1 805 €</w:t>
            </w:r>
          </w:p>
        </w:tc>
      </w:tr>
      <w:tr w:rsidR="00B73FDB" w:rsidRPr="00B73FDB" w14:paraId="1E5AD849"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45C97216"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8.5.6: ŠI pri SOŠ záhradníckej, Bratislavská 44, Malinovo </w:t>
            </w:r>
          </w:p>
        </w:tc>
        <w:tc>
          <w:tcPr>
            <w:tcW w:w="470" w:type="pct"/>
            <w:tcBorders>
              <w:top w:val="nil"/>
              <w:left w:val="nil"/>
              <w:bottom w:val="single" w:sz="8" w:space="0" w:color="DCE6F1"/>
              <w:right w:val="nil"/>
            </w:tcBorders>
            <w:shd w:val="clear" w:color="auto" w:fill="auto"/>
            <w:vAlign w:val="center"/>
            <w:hideMark/>
          </w:tcPr>
          <w:p w14:paraId="5C2A909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1 248 €</w:t>
            </w:r>
          </w:p>
        </w:tc>
        <w:tc>
          <w:tcPr>
            <w:tcW w:w="470" w:type="pct"/>
            <w:tcBorders>
              <w:top w:val="nil"/>
              <w:left w:val="nil"/>
              <w:bottom w:val="single" w:sz="8" w:space="0" w:color="DCE6F1"/>
              <w:right w:val="nil"/>
            </w:tcBorders>
            <w:shd w:val="clear" w:color="auto" w:fill="auto"/>
            <w:vAlign w:val="bottom"/>
            <w:hideMark/>
          </w:tcPr>
          <w:p w14:paraId="67F96EC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1 062 €</w:t>
            </w:r>
          </w:p>
        </w:tc>
        <w:tc>
          <w:tcPr>
            <w:tcW w:w="470" w:type="pct"/>
            <w:tcBorders>
              <w:top w:val="nil"/>
              <w:left w:val="nil"/>
              <w:bottom w:val="single" w:sz="8" w:space="0" w:color="DCE6F1"/>
              <w:right w:val="nil"/>
            </w:tcBorders>
            <w:shd w:val="clear" w:color="auto" w:fill="auto"/>
            <w:vAlign w:val="bottom"/>
            <w:hideMark/>
          </w:tcPr>
          <w:p w14:paraId="671ADF0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1 117 €</w:t>
            </w:r>
          </w:p>
        </w:tc>
        <w:tc>
          <w:tcPr>
            <w:tcW w:w="487" w:type="pct"/>
            <w:tcBorders>
              <w:top w:val="nil"/>
              <w:left w:val="nil"/>
              <w:bottom w:val="nil"/>
              <w:right w:val="nil"/>
            </w:tcBorders>
            <w:shd w:val="clear" w:color="auto" w:fill="auto"/>
            <w:noWrap/>
            <w:vAlign w:val="bottom"/>
            <w:hideMark/>
          </w:tcPr>
          <w:p w14:paraId="0CEA94C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r>
      <w:tr w:rsidR="00B73FDB" w:rsidRPr="00B73FDB" w14:paraId="42190944"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1E282643"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8.5.7: ŠI pri SOŠ vinársko-ovocinárskej, Kostolná 3, Modra </w:t>
            </w:r>
          </w:p>
        </w:tc>
        <w:tc>
          <w:tcPr>
            <w:tcW w:w="470" w:type="pct"/>
            <w:tcBorders>
              <w:top w:val="nil"/>
              <w:left w:val="nil"/>
              <w:bottom w:val="single" w:sz="8" w:space="0" w:color="DCE6F1"/>
              <w:right w:val="nil"/>
            </w:tcBorders>
            <w:shd w:val="clear" w:color="auto" w:fill="auto"/>
            <w:vAlign w:val="center"/>
            <w:hideMark/>
          </w:tcPr>
          <w:p w14:paraId="0550A59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1 631 €</w:t>
            </w:r>
          </w:p>
        </w:tc>
        <w:tc>
          <w:tcPr>
            <w:tcW w:w="470" w:type="pct"/>
            <w:tcBorders>
              <w:top w:val="nil"/>
              <w:left w:val="nil"/>
              <w:bottom w:val="single" w:sz="8" w:space="0" w:color="DCE6F1"/>
              <w:right w:val="nil"/>
            </w:tcBorders>
            <w:shd w:val="clear" w:color="auto" w:fill="auto"/>
            <w:vAlign w:val="bottom"/>
            <w:hideMark/>
          </w:tcPr>
          <w:p w14:paraId="01ED761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1 477 €</w:t>
            </w:r>
          </w:p>
        </w:tc>
        <w:tc>
          <w:tcPr>
            <w:tcW w:w="470" w:type="pct"/>
            <w:tcBorders>
              <w:top w:val="nil"/>
              <w:left w:val="nil"/>
              <w:bottom w:val="single" w:sz="8" w:space="0" w:color="DCE6F1"/>
              <w:right w:val="nil"/>
            </w:tcBorders>
            <w:shd w:val="clear" w:color="auto" w:fill="auto"/>
            <w:vAlign w:val="bottom"/>
            <w:hideMark/>
          </w:tcPr>
          <w:p w14:paraId="0DD8EB5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1 791 €</w:t>
            </w:r>
          </w:p>
        </w:tc>
        <w:tc>
          <w:tcPr>
            <w:tcW w:w="487" w:type="pct"/>
            <w:tcBorders>
              <w:top w:val="nil"/>
              <w:left w:val="nil"/>
              <w:bottom w:val="nil"/>
              <w:right w:val="nil"/>
            </w:tcBorders>
            <w:shd w:val="clear" w:color="auto" w:fill="auto"/>
            <w:noWrap/>
            <w:vAlign w:val="bottom"/>
            <w:hideMark/>
          </w:tcPr>
          <w:p w14:paraId="55CA046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1 790 €</w:t>
            </w:r>
          </w:p>
        </w:tc>
      </w:tr>
      <w:tr w:rsidR="00B73FDB" w:rsidRPr="00B73FDB" w14:paraId="1FA479FC"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5585419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8.5.8: ŠI pri SOŠ informačných technológií, Hlinická 1, BA </w:t>
            </w:r>
          </w:p>
        </w:tc>
        <w:tc>
          <w:tcPr>
            <w:tcW w:w="470" w:type="pct"/>
            <w:tcBorders>
              <w:top w:val="nil"/>
              <w:left w:val="nil"/>
              <w:bottom w:val="single" w:sz="8" w:space="0" w:color="DCE6F1"/>
              <w:right w:val="nil"/>
            </w:tcBorders>
            <w:shd w:val="clear" w:color="auto" w:fill="auto"/>
            <w:vAlign w:val="center"/>
            <w:hideMark/>
          </w:tcPr>
          <w:p w14:paraId="7432B13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1 246 €</w:t>
            </w:r>
          </w:p>
        </w:tc>
        <w:tc>
          <w:tcPr>
            <w:tcW w:w="470" w:type="pct"/>
            <w:tcBorders>
              <w:top w:val="nil"/>
              <w:left w:val="nil"/>
              <w:bottom w:val="single" w:sz="8" w:space="0" w:color="DCE6F1"/>
              <w:right w:val="nil"/>
            </w:tcBorders>
            <w:shd w:val="clear" w:color="auto" w:fill="auto"/>
            <w:vAlign w:val="bottom"/>
            <w:hideMark/>
          </w:tcPr>
          <w:p w14:paraId="57C5B05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1 155 €</w:t>
            </w:r>
          </w:p>
        </w:tc>
        <w:tc>
          <w:tcPr>
            <w:tcW w:w="470" w:type="pct"/>
            <w:tcBorders>
              <w:top w:val="nil"/>
              <w:left w:val="nil"/>
              <w:bottom w:val="single" w:sz="8" w:space="0" w:color="DCE6F1"/>
              <w:right w:val="nil"/>
            </w:tcBorders>
            <w:shd w:val="clear" w:color="auto" w:fill="auto"/>
            <w:vAlign w:val="bottom"/>
            <w:hideMark/>
          </w:tcPr>
          <w:p w14:paraId="560B1BA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1 390 €</w:t>
            </w:r>
          </w:p>
        </w:tc>
        <w:tc>
          <w:tcPr>
            <w:tcW w:w="487" w:type="pct"/>
            <w:tcBorders>
              <w:top w:val="nil"/>
              <w:left w:val="nil"/>
              <w:bottom w:val="nil"/>
              <w:right w:val="nil"/>
            </w:tcBorders>
            <w:shd w:val="clear" w:color="auto" w:fill="auto"/>
            <w:noWrap/>
            <w:vAlign w:val="bottom"/>
            <w:hideMark/>
          </w:tcPr>
          <w:p w14:paraId="0331916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1 683 €</w:t>
            </w:r>
          </w:p>
        </w:tc>
      </w:tr>
      <w:tr w:rsidR="00B73FDB" w:rsidRPr="00B73FDB" w14:paraId="2E978A82" w14:textId="77777777" w:rsidTr="00B73FDB">
        <w:trPr>
          <w:trHeight w:hRule="exact" w:val="330"/>
        </w:trPr>
        <w:tc>
          <w:tcPr>
            <w:tcW w:w="3103" w:type="pct"/>
            <w:tcBorders>
              <w:top w:val="nil"/>
              <w:left w:val="nil"/>
              <w:bottom w:val="single" w:sz="8" w:space="0" w:color="DCE6F1"/>
              <w:right w:val="nil"/>
            </w:tcBorders>
            <w:shd w:val="clear" w:color="auto" w:fill="auto"/>
            <w:noWrap/>
            <w:vAlign w:val="center"/>
            <w:hideMark/>
          </w:tcPr>
          <w:p w14:paraId="03E8704D"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8.5.9: ŠI pri SOŠ kaderníctva a </w:t>
            </w:r>
            <w:proofErr w:type="spellStart"/>
            <w:r w:rsidRPr="00B73FDB">
              <w:rPr>
                <w:rFonts w:cs="Calibri"/>
                <w:color w:val="000000"/>
                <w:sz w:val="20"/>
                <w:szCs w:val="20"/>
                <w:lang w:eastAsia="sk-SK"/>
              </w:rPr>
              <w:t>vizážistiky</w:t>
            </w:r>
            <w:proofErr w:type="spellEnd"/>
            <w:r w:rsidRPr="00B73FDB">
              <w:rPr>
                <w:rFonts w:cs="Calibri"/>
                <w:color w:val="000000"/>
                <w:sz w:val="20"/>
                <w:szCs w:val="20"/>
                <w:lang w:eastAsia="sk-SK"/>
              </w:rPr>
              <w:t>, Svätoplukova 2</w:t>
            </w:r>
          </w:p>
        </w:tc>
        <w:tc>
          <w:tcPr>
            <w:tcW w:w="470" w:type="pct"/>
            <w:tcBorders>
              <w:top w:val="nil"/>
              <w:left w:val="nil"/>
              <w:bottom w:val="single" w:sz="8" w:space="0" w:color="DCE6F1"/>
              <w:right w:val="nil"/>
            </w:tcBorders>
            <w:shd w:val="clear" w:color="auto" w:fill="auto"/>
            <w:vAlign w:val="center"/>
            <w:hideMark/>
          </w:tcPr>
          <w:p w14:paraId="0728E37D"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1 233 €</w:t>
            </w:r>
          </w:p>
        </w:tc>
        <w:tc>
          <w:tcPr>
            <w:tcW w:w="470" w:type="pct"/>
            <w:tcBorders>
              <w:top w:val="nil"/>
              <w:left w:val="nil"/>
              <w:bottom w:val="single" w:sz="8" w:space="0" w:color="DCE6F1"/>
              <w:right w:val="nil"/>
            </w:tcBorders>
            <w:shd w:val="clear" w:color="auto" w:fill="auto"/>
            <w:vAlign w:val="bottom"/>
            <w:hideMark/>
          </w:tcPr>
          <w:p w14:paraId="46ABD7A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1 016 €</w:t>
            </w:r>
          </w:p>
        </w:tc>
        <w:tc>
          <w:tcPr>
            <w:tcW w:w="470" w:type="pct"/>
            <w:tcBorders>
              <w:top w:val="nil"/>
              <w:left w:val="nil"/>
              <w:bottom w:val="single" w:sz="8" w:space="0" w:color="DCE6F1"/>
              <w:right w:val="nil"/>
            </w:tcBorders>
            <w:shd w:val="clear" w:color="auto" w:fill="auto"/>
            <w:vAlign w:val="bottom"/>
            <w:hideMark/>
          </w:tcPr>
          <w:p w14:paraId="497CDFB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1 335 €</w:t>
            </w:r>
          </w:p>
        </w:tc>
        <w:tc>
          <w:tcPr>
            <w:tcW w:w="487" w:type="pct"/>
            <w:tcBorders>
              <w:top w:val="nil"/>
              <w:left w:val="nil"/>
              <w:bottom w:val="nil"/>
              <w:right w:val="nil"/>
            </w:tcBorders>
            <w:shd w:val="clear" w:color="auto" w:fill="auto"/>
            <w:noWrap/>
            <w:vAlign w:val="bottom"/>
            <w:hideMark/>
          </w:tcPr>
          <w:p w14:paraId="569F0BE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1 615 €</w:t>
            </w:r>
          </w:p>
        </w:tc>
      </w:tr>
      <w:tr w:rsidR="00B73FDB" w:rsidRPr="00B73FDB" w14:paraId="796B9A2F"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06A979EB"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8.5.10: ŠI pri SOŠ hotelových služieb a obchodu, Na Pántoch 9 </w:t>
            </w:r>
          </w:p>
        </w:tc>
        <w:tc>
          <w:tcPr>
            <w:tcW w:w="470" w:type="pct"/>
            <w:tcBorders>
              <w:top w:val="nil"/>
              <w:left w:val="nil"/>
              <w:bottom w:val="single" w:sz="8" w:space="0" w:color="DCE6F1"/>
              <w:right w:val="nil"/>
            </w:tcBorders>
            <w:shd w:val="clear" w:color="auto" w:fill="auto"/>
            <w:vAlign w:val="center"/>
            <w:hideMark/>
          </w:tcPr>
          <w:p w14:paraId="2EB6D3E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1 243 €</w:t>
            </w:r>
          </w:p>
        </w:tc>
        <w:tc>
          <w:tcPr>
            <w:tcW w:w="470" w:type="pct"/>
            <w:tcBorders>
              <w:top w:val="nil"/>
              <w:left w:val="nil"/>
              <w:bottom w:val="single" w:sz="8" w:space="0" w:color="DCE6F1"/>
              <w:right w:val="nil"/>
            </w:tcBorders>
            <w:shd w:val="clear" w:color="auto" w:fill="auto"/>
            <w:vAlign w:val="bottom"/>
            <w:hideMark/>
          </w:tcPr>
          <w:p w14:paraId="36ED4E1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993 €</w:t>
            </w:r>
          </w:p>
        </w:tc>
        <w:tc>
          <w:tcPr>
            <w:tcW w:w="470" w:type="pct"/>
            <w:tcBorders>
              <w:top w:val="nil"/>
              <w:left w:val="nil"/>
              <w:bottom w:val="single" w:sz="8" w:space="0" w:color="DCE6F1"/>
              <w:right w:val="nil"/>
            </w:tcBorders>
            <w:shd w:val="clear" w:color="auto" w:fill="auto"/>
            <w:vAlign w:val="bottom"/>
            <w:hideMark/>
          </w:tcPr>
          <w:p w14:paraId="48D8BEA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1 384 €</w:t>
            </w:r>
          </w:p>
        </w:tc>
        <w:tc>
          <w:tcPr>
            <w:tcW w:w="487" w:type="pct"/>
            <w:tcBorders>
              <w:top w:val="nil"/>
              <w:left w:val="nil"/>
              <w:bottom w:val="nil"/>
              <w:right w:val="nil"/>
            </w:tcBorders>
            <w:shd w:val="clear" w:color="auto" w:fill="auto"/>
            <w:noWrap/>
            <w:vAlign w:val="bottom"/>
            <w:hideMark/>
          </w:tcPr>
          <w:p w14:paraId="3E165299"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1 163 €</w:t>
            </w:r>
          </w:p>
        </w:tc>
      </w:tr>
      <w:tr w:rsidR="00B73FDB" w:rsidRPr="00B73FDB" w14:paraId="51B4A53C"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3006FEC7"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8.5.12: ŠI pri SOŠ technickej, Vranovská 4, BA </w:t>
            </w:r>
          </w:p>
        </w:tc>
        <w:tc>
          <w:tcPr>
            <w:tcW w:w="470" w:type="pct"/>
            <w:tcBorders>
              <w:top w:val="nil"/>
              <w:left w:val="nil"/>
              <w:bottom w:val="single" w:sz="8" w:space="0" w:color="DCE6F1"/>
              <w:right w:val="nil"/>
            </w:tcBorders>
            <w:shd w:val="clear" w:color="auto" w:fill="auto"/>
            <w:vAlign w:val="center"/>
            <w:hideMark/>
          </w:tcPr>
          <w:p w14:paraId="1768DBF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1 835 €</w:t>
            </w:r>
          </w:p>
        </w:tc>
        <w:tc>
          <w:tcPr>
            <w:tcW w:w="470" w:type="pct"/>
            <w:tcBorders>
              <w:top w:val="nil"/>
              <w:left w:val="nil"/>
              <w:bottom w:val="single" w:sz="8" w:space="0" w:color="DCE6F1"/>
              <w:right w:val="nil"/>
            </w:tcBorders>
            <w:shd w:val="clear" w:color="auto" w:fill="auto"/>
            <w:vAlign w:val="bottom"/>
            <w:hideMark/>
          </w:tcPr>
          <w:p w14:paraId="2CCAFA4E"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1 859 €</w:t>
            </w:r>
          </w:p>
        </w:tc>
        <w:tc>
          <w:tcPr>
            <w:tcW w:w="470" w:type="pct"/>
            <w:tcBorders>
              <w:top w:val="nil"/>
              <w:left w:val="nil"/>
              <w:bottom w:val="single" w:sz="8" w:space="0" w:color="DCE6F1"/>
              <w:right w:val="nil"/>
            </w:tcBorders>
            <w:shd w:val="clear" w:color="auto" w:fill="auto"/>
            <w:vAlign w:val="bottom"/>
            <w:hideMark/>
          </w:tcPr>
          <w:p w14:paraId="01F153F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2 048 €</w:t>
            </w:r>
          </w:p>
        </w:tc>
        <w:tc>
          <w:tcPr>
            <w:tcW w:w="487" w:type="pct"/>
            <w:tcBorders>
              <w:top w:val="nil"/>
              <w:left w:val="nil"/>
              <w:bottom w:val="nil"/>
              <w:right w:val="nil"/>
            </w:tcBorders>
            <w:shd w:val="clear" w:color="auto" w:fill="auto"/>
            <w:noWrap/>
            <w:vAlign w:val="bottom"/>
            <w:hideMark/>
          </w:tcPr>
          <w:p w14:paraId="222DCA3F"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1 893 €</w:t>
            </w:r>
          </w:p>
        </w:tc>
      </w:tr>
      <w:tr w:rsidR="00B73FDB" w:rsidRPr="00B73FDB" w14:paraId="25F8333E" w14:textId="77777777" w:rsidTr="00B73FDB">
        <w:trPr>
          <w:trHeight w:hRule="exact" w:val="330"/>
        </w:trPr>
        <w:tc>
          <w:tcPr>
            <w:tcW w:w="3103" w:type="pct"/>
            <w:tcBorders>
              <w:top w:val="nil"/>
              <w:left w:val="nil"/>
              <w:bottom w:val="single" w:sz="8" w:space="0" w:color="DCE6F1"/>
              <w:right w:val="nil"/>
            </w:tcBorders>
            <w:shd w:val="clear" w:color="auto" w:fill="auto"/>
            <w:noWrap/>
            <w:vAlign w:val="center"/>
            <w:hideMark/>
          </w:tcPr>
          <w:p w14:paraId="1A33D12E"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8.5.13: ŠI pri Strednej odbornej škole, </w:t>
            </w:r>
            <w:proofErr w:type="spellStart"/>
            <w:r w:rsidRPr="00B73FDB">
              <w:rPr>
                <w:rFonts w:cs="Calibri"/>
                <w:color w:val="000000"/>
                <w:sz w:val="20"/>
                <w:szCs w:val="20"/>
                <w:lang w:eastAsia="sk-SK"/>
              </w:rPr>
              <w:t>Ivanská</w:t>
            </w:r>
            <w:proofErr w:type="spellEnd"/>
            <w:r w:rsidRPr="00B73FDB">
              <w:rPr>
                <w:rFonts w:cs="Calibri"/>
                <w:color w:val="000000"/>
                <w:sz w:val="20"/>
                <w:szCs w:val="20"/>
                <w:lang w:eastAsia="sk-SK"/>
              </w:rPr>
              <w:t xml:space="preserve"> cesta 21, BA </w:t>
            </w:r>
          </w:p>
        </w:tc>
        <w:tc>
          <w:tcPr>
            <w:tcW w:w="470" w:type="pct"/>
            <w:tcBorders>
              <w:top w:val="nil"/>
              <w:left w:val="nil"/>
              <w:bottom w:val="single" w:sz="8" w:space="0" w:color="DCE6F1"/>
              <w:right w:val="nil"/>
            </w:tcBorders>
            <w:shd w:val="clear" w:color="auto" w:fill="auto"/>
            <w:vAlign w:val="center"/>
            <w:hideMark/>
          </w:tcPr>
          <w:p w14:paraId="50EC9825"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1 233 €</w:t>
            </w:r>
          </w:p>
        </w:tc>
        <w:tc>
          <w:tcPr>
            <w:tcW w:w="470" w:type="pct"/>
            <w:tcBorders>
              <w:top w:val="nil"/>
              <w:left w:val="nil"/>
              <w:bottom w:val="single" w:sz="8" w:space="0" w:color="DCE6F1"/>
              <w:right w:val="nil"/>
            </w:tcBorders>
            <w:shd w:val="clear" w:color="auto" w:fill="auto"/>
            <w:vAlign w:val="bottom"/>
            <w:hideMark/>
          </w:tcPr>
          <w:p w14:paraId="1F95936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1 221 €</w:t>
            </w:r>
          </w:p>
        </w:tc>
        <w:tc>
          <w:tcPr>
            <w:tcW w:w="470" w:type="pct"/>
            <w:tcBorders>
              <w:top w:val="nil"/>
              <w:left w:val="nil"/>
              <w:bottom w:val="single" w:sz="8" w:space="0" w:color="DCE6F1"/>
              <w:right w:val="nil"/>
            </w:tcBorders>
            <w:shd w:val="clear" w:color="auto" w:fill="auto"/>
            <w:vAlign w:val="bottom"/>
            <w:hideMark/>
          </w:tcPr>
          <w:p w14:paraId="484435E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1 358 €</w:t>
            </w:r>
          </w:p>
        </w:tc>
        <w:tc>
          <w:tcPr>
            <w:tcW w:w="487" w:type="pct"/>
            <w:tcBorders>
              <w:top w:val="nil"/>
              <w:left w:val="nil"/>
              <w:bottom w:val="nil"/>
              <w:right w:val="nil"/>
            </w:tcBorders>
            <w:shd w:val="clear" w:color="auto" w:fill="auto"/>
            <w:noWrap/>
            <w:vAlign w:val="bottom"/>
            <w:hideMark/>
          </w:tcPr>
          <w:p w14:paraId="7BD498D6"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1 416 €</w:t>
            </w:r>
          </w:p>
        </w:tc>
      </w:tr>
      <w:tr w:rsidR="00B73FDB" w:rsidRPr="00B73FDB" w14:paraId="32517214"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3DD2A1C6"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8.5.16: ŠI pri SOŠ polygrafickej, Račianska 190, BA </w:t>
            </w:r>
          </w:p>
        </w:tc>
        <w:tc>
          <w:tcPr>
            <w:tcW w:w="470" w:type="pct"/>
            <w:tcBorders>
              <w:top w:val="nil"/>
              <w:left w:val="nil"/>
              <w:bottom w:val="single" w:sz="8" w:space="0" w:color="DCE6F1"/>
              <w:right w:val="nil"/>
            </w:tcBorders>
            <w:shd w:val="clear" w:color="auto" w:fill="auto"/>
            <w:vAlign w:val="center"/>
            <w:hideMark/>
          </w:tcPr>
          <w:p w14:paraId="5494F10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1 240 €</w:t>
            </w:r>
          </w:p>
        </w:tc>
        <w:tc>
          <w:tcPr>
            <w:tcW w:w="470" w:type="pct"/>
            <w:tcBorders>
              <w:top w:val="nil"/>
              <w:left w:val="nil"/>
              <w:bottom w:val="single" w:sz="8" w:space="0" w:color="DCE6F1"/>
              <w:right w:val="nil"/>
            </w:tcBorders>
            <w:shd w:val="clear" w:color="auto" w:fill="auto"/>
            <w:vAlign w:val="bottom"/>
            <w:hideMark/>
          </w:tcPr>
          <w:p w14:paraId="70EECFE3"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1 169 €</w:t>
            </w:r>
          </w:p>
        </w:tc>
        <w:tc>
          <w:tcPr>
            <w:tcW w:w="470" w:type="pct"/>
            <w:tcBorders>
              <w:top w:val="nil"/>
              <w:left w:val="nil"/>
              <w:bottom w:val="single" w:sz="8" w:space="0" w:color="DCE6F1"/>
              <w:right w:val="nil"/>
            </w:tcBorders>
            <w:shd w:val="clear" w:color="auto" w:fill="auto"/>
            <w:vAlign w:val="bottom"/>
            <w:hideMark/>
          </w:tcPr>
          <w:p w14:paraId="14AA2277"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1 341 €</w:t>
            </w:r>
          </w:p>
        </w:tc>
        <w:tc>
          <w:tcPr>
            <w:tcW w:w="487" w:type="pct"/>
            <w:tcBorders>
              <w:top w:val="nil"/>
              <w:left w:val="nil"/>
              <w:bottom w:val="nil"/>
              <w:right w:val="nil"/>
            </w:tcBorders>
            <w:shd w:val="clear" w:color="auto" w:fill="auto"/>
            <w:noWrap/>
            <w:vAlign w:val="bottom"/>
            <w:hideMark/>
          </w:tcPr>
          <w:p w14:paraId="5DF8F164"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1 356 €</w:t>
            </w:r>
          </w:p>
        </w:tc>
      </w:tr>
      <w:tr w:rsidR="00B73FDB" w:rsidRPr="00B73FDB" w14:paraId="1B177013"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hideMark/>
          </w:tcPr>
          <w:p w14:paraId="7992408E"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 xml:space="preserve">Prvok 8.5.17: ŠI pri Strednej odbornej škole, Kysucká 14, Senec </w:t>
            </w:r>
          </w:p>
        </w:tc>
        <w:tc>
          <w:tcPr>
            <w:tcW w:w="470" w:type="pct"/>
            <w:tcBorders>
              <w:top w:val="nil"/>
              <w:left w:val="nil"/>
              <w:bottom w:val="single" w:sz="8" w:space="0" w:color="DCE6F1"/>
              <w:right w:val="nil"/>
            </w:tcBorders>
            <w:shd w:val="clear" w:color="auto" w:fill="auto"/>
            <w:vAlign w:val="center"/>
            <w:hideMark/>
          </w:tcPr>
          <w:p w14:paraId="7AC378E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1 234 €</w:t>
            </w:r>
          </w:p>
        </w:tc>
        <w:tc>
          <w:tcPr>
            <w:tcW w:w="470" w:type="pct"/>
            <w:tcBorders>
              <w:top w:val="nil"/>
              <w:left w:val="nil"/>
              <w:bottom w:val="single" w:sz="8" w:space="0" w:color="DCE6F1"/>
              <w:right w:val="nil"/>
            </w:tcBorders>
            <w:shd w:val="clear" w:color="auto" w:fill="auto"/>
            <w:vAlign w:val="bottom"/>
            <w:hideMark/>
          </w:tcPr>
          <w:p w14:paraId="38011BC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968 €</w:t>
            </w:r>
          </w:p>
        </w:tc>
        <w:tc>
          <w:tcPr>
            <w:tcW w:w="470" w:type="pct"/>
            <w:tcBorders>
              <w:top w:val="nil"/>
              <w:left w:val="nil"/>
              <w:bottom w:val="single" w:sz="8" w:space="0" w:color="DCE6F1"/>
              <w:right w:val="nil"/>
            </w:tcBorders>
            <w:shd w:val="clear" w:color="auto" w:fill="auto"/>
            <w:vAlign w:val="bottom"/>
            <w:hideMark/>
          </w:tcPr>
          <w:p w14:paraId="1D93FC50"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1 211 €</w:t>
            </w:r>
          </w:p>
        </w:tc>
        <w:tc>
          <w:tcPr>
            <w:tcW w:w="487" w:type="pct"/>
            <w:tcBorders>
              <w:top w:val="nil"/>
              <w:left w:val="nil"/>
              <w:bottom w:val="nil"/>
              <w:right w:val="nil"/>
            </w:tcBorders>
            <w:shd w:val="clear" w:color="auto" w:fill="auto"/>
            <w:noWrap/>
            <w:vAlign w:val="bottom"/>
            <w:hideMark/>
          </w:tcPr>
          <w:p w14:paraId="51433A11"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1 180 €</w:t>
            </w:r>
          </w:p>
        </w:tc>
      </w:tr>
      <w:tr w:rsidR="00B73FDB" w:rsidRPr="00B73FDB" w14:paraId="796F8034" w14:textId="77777777" w:rsidTr="00B73FDB">
        <w:trPr>
          <w:trHeight w:hRule="exact" w:val="315"/>
        </w:trPr>
        <w:tc>
          <w:tcPr>
            <w:tcW w:w="3103" w:type="pct"/>
            <w:tcBorders>
              <w:top w:val="nil"/>
              <w:left w:val="nil"/>
              <w:bottom w:val="single" w:sz="8" w:space="0" w:color="DCE6F1"/>
              <w:right w:val="nil"/>
            </w:tcBorders>
            <w:shd w:val="clear" w:color="auto" w:fill="auto"/>
            <w:noWrap/>
            <w:vAlign w:val="center"/>
          </w:tcPr>
          <w:p w14:paraId="6D3350D5" w14:textId="77777777" w:rsidR="00B73FDB" w:rsidRPr="00B73FDB" w:rsidRDefault="00B73FDB" w:rsidP="00B73FDB">
            <w:pPr>
              <w:spacing w:after="0" w:line="240" w:lineRule="auto"/>
              <w:rPr>
                <w:rFonts w:cs="Calibri"/>
                <w:color w:val="000000"/>
                <w:sz w:val="20"/>
                <w:szCs w:val="20"/>
                <w:lang w:eastAsia="sk-SK"/>
              </w:rPr>
            </w:pPr>
            <w:r w:rsidRPr="00B73FDB">
              <w:rPr>
                <w:rFonts w:cs="Calibri"/>
                <w:color w:val="000000"/>
                <w:sz w:val="20"/>
                <w:szCs w:val="20"/>
                <w:lang w:eastAsia="sk-SK"/>
              </w:rPr>
              <w:t>Prvok 8.5.18: ŠI pri Spojenej škole, Malinovo</w:t>
            </w:r>
          </w:p>
        </w:tc>
        <w:tc>
          <w:tcPr>
            <w:tcW w:w="470" w:type="pct"/>
            <w:tcBorders>
              <w:top w:val="nil"/>
              <w:left w:val="nil"/>
              <w:bottom w:val="single" w:sz="8" w:space="0" w:color="DCE6F1"/>
              <w:right w:val="nil"/>
            </w:tcBorders>
            <w:shd w:val="clear" w:color="auto" w:fill="auto"/>
            <w:vAlign w:val="center"/>
          </w:tcPr>
          <w:p w14:paraId="64B0E39A"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70" w:type="pct"/>
            <w:tcBorders>
              <w:top w:val="nil"/>
              <w:left w:val="nil"/>
              <w:bottom w:val="single" w:sz="8" w:space="0" w:color="DCE6F1"/>
              <w:right w:val="nil"/>
            </w:tcBorders>
            <w:shd w:val="clear" w:color="auto" w:fill="auto"/>
            <w:vAlign w:val="bottom"/>
          </w:tcPr>
          <w:p w14:paraId="71187E42"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0</w:t>
            </w:r>
          </w:p>
        </w:tc>
        <w:tc>
          <w:tcPr>
            <w:tcW w:w="470" w:type="pct"/>
            <w:tcBorders>
              <w:top w:val="nil"/>
              <w:left w:val="nil"/>
              <w:bottom w:val="single" w:sz="8" w:space="0" w:color="DCE6F1"/>
              <w:right w:val="nil"/>
            </w:tcBorders>
            <w:shd w:val="clear" w:color="auto" w:fill="auto"/>
            <w:vAlign w:val="bottom"/>
          </w:tcPr>
          <w:p w14:paraId="53B098B8"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1 506 €</w:t>
            </w:r>
          </w:p>
        </w:tc>
        <w:tc>
          <w:tcPr>
            <w:tcW w:w="487" w:type="pct"/>
            <w:tcBorders>
              <w:top w:val="nil"/>
              <w:left w:val="nil"/>
              <w:bottom w:val="nil"/>
              <w:right w:val="nil"/>
            </w:tcBorders>
            <w:shd w:val="clear" w:color="auto" w:fill="auto"/>
            <w:noWrap/>
            <w:vAlign w:val="bottom"/>
          </w:tcPr>
          <w:p w14:paraId="38DFB6AB" w14:textId="77777777" w:rsidR="00B73FDB" w:rsidRPr="00B73FDB" w:rsidRDefault="00B73FDB" w:rsidP="00B73FDB">
            <w:pPr>
              <w:spacing w:after="0" w:line="240" w:lineRule="auto"/>
              <w:jc w:val="right"/>
              <w:rPr>
                <w:rFonts w:cs="Calibri"/>
                <w:color w:val="000000"/>
                <w:sz w:val="20"/>
                <w:szCs w:val="20"/>
                <w:lang w:eastAsia="sk-SK"/>
              </w:rPr>
            </w:pPr>
            <w:r w:rsidRPr="00B73FDB">
              <w:rPr>
                <w:rFonts w:cs="Calibri"/>
                <w:color w:val="000000"/>
                <w:sz w:val="20"/>
                <w:szCs w:val="20"/>
                <w:lang w:eastAsia="sk-SK"/>
              </w:rPr>
              <w:t>1 077 €</w:t>
            </w:r>
          </w:p>
        </w:tc>
      </w:tr>
      <w:tr w:rsidR="00B73FDB" w:rsidRPr="00B73FDB" w14:paraId="4BEDA5D3" w14:textId="77777777" w:rsidTr="00B73FDB">
        <w:trPr>
          <w:trHeight w:hRule="exact" w:val="330"/>
        </w:trPr>
        <w:tc>
          <w:tcPr>
            <w:tcW w:w="3103" w:type="pct"/>
            <w:tcBorders>
              <w:top w:val="nil"/>
              <w:left w:val="nil"/>
              <w:bottom w:val="single" w:sz="8" w:space="0" w:color="4F81BD"/>
              <w:right w:val="nil"/>
            </w:tcBorders>
            <w:shd w:val="clear" w:color="000000" w:fill="DCE6F1"/>
            <w:noWrap/>
            <w:vAlign w:val="center"/>
            <w:hideMark/>
          </w:tcPr>
          <w:p w14:paraId="45965309" w14:textId="77777777" w:rsidR="00B73FDB" w:rsidRPr="00B73FDB" w:rsidRDefault="00B73FDB" w:rsidP="00B73FDB">
            <w:pPr>
              <w:spacing w:after="0" w:line="240" w:lineRule="auto"/>
              <w:rPr>
                <w:rFonts w:cs="Calibri"/>
                <w:b/>
                <w:bCs/>
                <w:color w:val="000000"/>
                <w:sz w:val="20"/>
                <w:szCs w:val="20"/>
                <w:lang w:eastAsia="sk-SK"/>
              </w:rPr>
            </w:pPr>
            <w:r w:rsidRPr="00B73FDB">
              <w:rPr>
                <w:rFonts w:cs="Calibri"/>
                <w:b/>
                <w:bCs/>
                <w:color w:val="000000"/>
                <w:sz w:val="20"/>
                <w:szCs w:val="20"/>
                <w:lang w:eastAsia="sk-SK"/>
              </w:rPr>
              <w:t>Celkom</w:t>
            </w:r>
          </w:p>
        </w:tc>
        <w:tc>
          <w:tcPr>
            <w:tcW w:w="470" w:type="pct"/>
            <w:tcBorders>
              <w:top w:val="nil"/>
              <w:left w:val="nil"/>
              <w:bottom w:val="single" w:sz="8" w:space="0" w:color="4F81BD"/>
              <w:right w:val="nil"/>
            </w:tcBorders>
            <w:shd w:val="clear" w:color="000000" w:fill="DCE6F1"/>
            <w:vAlign w:val="center"/>
            <w:hideMark/>
          </w:tcPr>
          <w:p w14:paraId="32FC5BC2"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1 503 €</w:t>
            </w:r>
          </w:p>
        </w:tc>
        <w:tc>
          <w:tcPr>
            <w:tcW w:w="470" w:type="pct"/>
            <w:tcBorders>
              <w:top w:val="nil"/>
              <w:left w:val="nil"/>
              <w:bottom w:val="single" w:sz="8" w:space="0" w:color="4F81BD"/>
              <w:right w:val="nil"/>
            </w:tcBorders>
            <w:shd w:val="clear" w:color="000000" w:fill="DCE6F1"/>
            <w:vAlign w:val="center"/>
            <w:hideMark/>
          </w:tcPr>
          <w:p w14:paraId="1658F300"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1 502 €</w:t>
            </w:r>
          </w:p>
        </w:tc>
        <w:tc>
          <w:tcPr>
            <w:tcW w:w="470" w:type="pct"/>
            <w:tcBorders>
              <w:top w:val="nil"/>
              <w:left w:val="nil"/>
              <w:bottom w:val="single" w:sz="8" w:space="0" w:color="4F81BD"/>
              <w:right w:val="nil"/>
            </w:tcBorders>
            <w:shd w:val="clear" w:color="000000" w:fill="DCE6F1"/>
            <w:vAlign w:val="center"/>
            <w:hideMark/>
          </w:tcPr>
          <w:p w14:paraId="6D6F1273"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1 747 €</w:t>
            </w:r>
          </w:p>
        </w:tc>
        <w:tc>
          <w:tcPr>
            <w:tcW w:w="487" w:type="pct"/>
            <w:tcBorders>
              <w:top w:val="single" w:sz="8" w:space="0" w:color="DCE6F1"/>
              <w:left w:val="nil"/>
              <w:bottom w:val="single" w:sz="8" w:space="0" w:color="4F81BD"/>
              <w:right w:val="nil"/>
            </w:tcBorders>
            <w:shd w:val="clear" w:color="000000" w:fill="DCE6F1"/>
            <w:vAlign w:val="center"/>
            <w:hideMark/>
          </w:tcPr>
          <w:p w14:paraId="5923C29B" w14:textId="77777777" w:rsidR="00B73FDB" w:rsidRPr="00B73FDB" w:rsidRDefault="00B73FDB" w:rsidP="00B73FDB">
            <w:pPr>
              <w:spacing w:after="0" w:line="240" w:lineRule="auto"/>
              <w:jc w:val="right"/>
              <w:rPr>
                <w:rFonts w:cs="Calibri"/>
                <w:b/>
                <w:bCs/>
                <w:color w:val="000000"/>
                <w:sz w:val="20"/>
                <w:szCs w:val="20"/>
                <w:lang w:eastAsia="sk-SK"/>
              </w:rPr>
            </w:pPr>
            <w:r w:rsidRPr="00B73FDB">
              <w:rPr>
                <w:rFonts w:cs="Calibri"/>
                <w:b/>
                <w:bCs/>
                <w:color w:val="000000"/>
                <w:sz w:val="20"/>
                <w:szCs w:val="20"/>
                <w:lang w:eastAsia="sk-SK"/>
              </w:rPr>
              <w:t>1 703 €</w:t>
            </w:r>
          </w:p>
        </w:tc>
      </w:tr>
    </w:tbl>
    <w:p w14:paraId="115C3A57" w14:textId="77777777" w:rsidR="00352CED" w:rsidRDefault="00352CED" w:rsidP="00B73FDB">
      <w:pPr>
        <w:spacing w:before="100" w:beforeAutospacing="1" w:after="100" w:afterAutospacing="1" w:line="240" w:lineRule="auto"/>
        <w:outlineLvl w:val="2"/>
        <w:rPr>
          <w:rFonts w:cs="Calibri"/>
          <w:b/>
          <w:bCs/>
          <w:color w:val="4F6228"/>
          <w:sz w:val="27"/>
          <w:szCs w:val="27"/>
          <w:lang w:eastAsia="sk-SK"/>
        </w:rPr>
      </w:pPr>
    </w:p>
    <w:p w14:paraId="76FF709B" w14:textId="3E3EFC27" w:rsidR="00B73FDB" w:rsidRPr="00B73FDB" w:rsidRDefault="00B73FDB" w:rsidP="00B73FDB">
      <w:pPr>
        <w:spacing w:before="100" w:beforeAutospacing="1" w:after="100" w:afterAutospacing="1" w:line="240" w:lineRule="auto"/>
        <w:outlineLvl w:val="2"/>
        <w:rPr>
          <w:rFonts w:cs="Calibri"/>
          <w:b/>
          <w:bCs/>
          <w:color w:val="4F6228"/>
          <w:sz w:val="27"/>
          <w:szCs w:val="27"/>
          <w:lang w:eastAsia="sk-SK"/>
        </w:rPr>
      </w:pPr>
      <w:r w:rsidRPr="00B73FDB">
        <w:rPr>
          <w:rFonts w:cs="Calibri"/>
          <w:b/>
          <w:bCs/>
          <w:color w:val="4F6228"/>
          <w:sz w:val="27"/>
          <w:szCs w:val="27"/>
          <w:lang w:eastAsia="sk-SK"/>
        </w:rPr>
        <w:lastRenderedPageBreak/>
        <w:t>Podprogram 8.6: Voľno-časové aktivity</w:t>
      </w:r>
    </w:p>
    <w:p w14:paraId="408FEC29"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Financovanie zmysluplného využitia voľného času v podprograme Voľnočasové aktivity sa riadi Všeobecne záväzným nariadením BSK č. 1/2019 a Nariadením vlády Slovenskej republiky č. 630/2008 Z. z., ktorým sa ustanovujú podrobnosti rozpisu finančných prostriedkov zo ŠR pre základné školy, stredné školy, strediská praktického vyučovania, základné umelecké školy a školské zariadenia v znení neskorších predpisov.</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8"/>
        <w:gridCol w:w="2516"/>
        <w:gridCol w:w="1300"/>
        <w:gridCol w:w="1290"/>
        <w:gridCol w:w="1247"/>
        <w:gridCol w:w="1321"/>
        <w:gridCol w:w="2274"/>
      </w:tblGrid>
      <w:tr w:rsidR="00B73FDB" w:rsidRPr="00B73FDB" w14:paraId="3E02355D" w14:textId="77777777" w:rsidTr="00B73FDB">
        <w:trPr>
          <w:trHeight w:val="530"/>
          <w:tblCellSpacing w:w="15" w:type="dxa"/>
        </w:trPr>
        <w:tc>
          <w:tcPr>
            <w:tcW w:w="226" w:type="pct"/>
            <w:shd w:val="clear" w:color="auto" w:fill="C6DBF7"/>
            <w:vAlign w:val="center"/>
            <w:hideMark/>
          </w:tcPr>
          <w:p w14:paraId="6C63B27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186" w:type="pct"/>
            <w:shd w:val="clear" w:color="auto" w:fill="C6DBF7"/>
            <w:vAlign w:val="center"/>
            <w:hideMark/>
          </w:tcPr>
          <w:p w14:paraId="47C35E3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606" w:type="pct"/>
            <w:shd w:val="clear" w:color="auto" w:fill="C6DBF7"/>
            <w:vAlign w:val="center"/>
            <w:hideMark/>
          </w:tcPr>
          <w:p w14:paraId="2D01768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601" w:type="pct"/>
            <w:shd w:val="clear" w:color="auto" w:fill="C6DBF7"/>
            <w:vAlign w:val="center"/>
            <w:hideMark/>
          </w:tcPr>
          <w:p w14:paraId="2C2C4AF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80" w:type="pct"/>
            <w:shd w:val="clear" w:color="auto" w:fill="C6DBF7"/>
            <w:vAlign w:val="center"/>
            <w:hideMark/>
          </w:tcPr>
          <w:p w14:paraId="3A44DB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615" w:type="pct"/>
            <w:shd w:val="clear" w:color="auto" w:fill="C6DBF7"/>
            <w:vAlign w:val="center"/>
            <w:hideMark/>
          </w:tcPr>
          <w:p w14:paraId="7EA9255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63" w:type="pct"/>
            <w:shd w:val="clear" w:color="auto" w:fill="C6DBF7"/>
            <w:vAlign w:val="center"/>
            <w:hideMark/>
          </w:tcPr>
          <w:p w14:paraId="3A0A739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25A2AED1" w14:textId="77777777" w:rsidTr="00B73FDB">
        <w:trPr>
          <w:tblCellSpacing w:w="15" w:type="dxa"/>
        </w:trPr>
        <w:tc>
          <w:tcPr>
            <w:tcW w:w="226" w:type="pct"/>
            <w:shd w:val="clear" w:color="auto" w:fill="D9D9D9"/>
            <w:noWrap/>
            <w:vAlign w:val="center"/>
            <w:hideMark/>
          </w:tcPr>
          <w:p w14:paraId="75C5F6C4" w14:textId="77777777" w:rsidR="00B73FDB" w:rsidRPr="00B73FDB" w:rsidRDefault="00B73FDB" w:rsidP="00B73FDB">
            <w:pPr>
              <w:spacing w:after="0" w:line="240" w:lineRule="auto"/>
              <w:jc w:val="center"/>
              <w:rPr>
                <w:rFonts w:cs="Calibri"/>
                <w:sz w:val="18"/>
                <w:szCs w:val="18"/>
                <w:lang w:eastAsia="sk-SK"/>
              </w:rPr>
            </w:pPr>
          </w:p>
        </w:tc>
        <w:tc>
          <w:tcPr>
            <w:tcW w:w="1186" w:type="pct"/>
            <w:shd w:val="clear" w:color="auto" w:fill="D9D9D9"/>
            <w:vAlign w:val="center"/>
            <w:hideMark/>
          </w:tcPr>
          <w:p w14:paraId="4698B01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606" w:type="pct"/>
            <w:shd w:val="clear" w:color="auto" w:fill="D9D9D9"/>
            <w:noWrap/>
            <w:vAlign w:val="center"/>
            <w:hideMark/>
          </w:tcPr>
          <w:p w14:paraId="6AA7678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2 308 124,00</w:t>
            </w:r>
            <w:r w:rsidRPr="00B73FDB">
              <w:rPr>
                <w:rFonts w:cs="Calibri"/>
                <w:sz w:val="18"/>
                <w:szCs w:val="18"/>
                <w:lang w:eastAsia="sk-SK"/>
              </w:rPr>
              <w:t xml:space="preserve"> </w:t>
            </w:r>
          </w:p>
        </w:tc>
        <w:tc>
          <w:tcPr>
            <w:tcW w:w="601" w:type="pct"/>
            <w:shd w:val="clear" w:color="auto" w:fill="D9D9D9"/>
            <w:noWrap/>
            <w:vAlign w:val="center"/>
            <w:hideMark/>
          </w:tcPr>
          <w:p w14:paraId="333C4AD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1 945 616,00</w:t>
            </w:r>
            <w:r w:rsidRPr="00B73FDB">
              <w:rPr>
                <w:rFonts w:cs="Calibri"/>
                <w:sz w:val="18"/>
                <w:szCs w:val="18"/>
                <w:lang w:eastAsia="sk-SK"/>
              </w:rPr>
              <w:t xml:space="preserve"> </w:t>
            </w:r>
          </w:p>
        </w:tc>
        <w:tc>
          <w:tcPr>
            <w:tcW w:w="580" w:type="pct"/>
            <w:shd w:val="clear" w:color="auto" w:fill="D9D9D9"/>
            <w:noWrap/>
            <w:vAlign w:val="center"/>
            <w:hideMark/>
          </w:tcPr>
          <w:p w14:paraId="2B10D46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1 922 149,62</w:t>
            </w:r>
            <w:r w:rsidRPr="00B73FDB">
              <w:rPr>
                <w:rFonts w:cs="Calibri"/>
                <w:sz w:val="18"/>
                <w:szCs w:val="18"/>
                <w:lang w:eastAsia="sk-SK"/>
              </w:rPr>
              <w:t xml:space="preserve"> </w:t>
            </w:r>
          </w:p>
        </w:tc>
        <w:tc>
          <w:tcPr>
            <w:tcW w:w="615" w:type="pct"/>
            <w:shd w:val="clear" w:color="auto" w:fill="D9D9D9"/>
            <w:noWrap/>
            <w:vAlign w:val="center"/>
            <w:hideMark/>
          </w:tcPr>
          <w:p w14:paraId="3FB2592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98,79</w:t>
            </w:r>
            <w:r w:rsidRPr="00B73FDB">
              <w:rPr>
                <w:rFonts w:cs="Calibri"/>
                <w:sz w:val="18"/>
                <w:szCs w:val="18"/>
                <w:lang w:eastAsia="sk-SK"/>
              </w:rPr>
              <w:t xml:space="preserve"> </w:t>
            </w:r>
          </w:p>
        </w:tc>
        <w:tc>
          <w:tcPr>
            <w:tcW w:w="1063" w:type="pct"/>
            <w:vMerge w:val="restart"/>
            <w:shd w:val="clear" w:color="auto" w:fill="D9D9D9"/>
            <w:vAlign w:val="center"/>
            <w:hideMark/>
          </w:tcPr>
          <w:p w14:paraId="3812004F" w14:textId="77777777" w:rsidR="00B73FDB" w:rsidRPr="00B73FDB" w:rsidRDefault="00B73FDB" w:rsidP="00B73FDB">
            <w:pPr>
              <w:spacing w:after="0" w:line="240" w:lineRule="auto"/>
              <w:rPr>
                <w:rFonts w:cs="Calibri"/>
                <w:sz w:val="18"/>
                <w:szCs w:val="18"/>
                <w:lang w:eastAsia="sk-SK"/>
              </w:rPr>
            </w:pPr>
          </w:p>
        </w:tc>
      </w:tr>
      <w:tr w:rsidR="00B73FDB" w:rsidRPr="00B73FDB" w14:paraId="37EBC6D4" w14:textId="77777777" w:rsidTr="00B73FDB">
        <w:trPr>
          <w:tblCellSpacing w:w="15" w:type="dxa"/>
        </w:trPr>
        <w:tc>
          <w:tcPr>
            <w:tcW w:w="226" w:type="pct"/>
            <w:shd w:val="clear" w:color="auto" w:fill="D9D9D9"/>
            <w:noWrap/>
            <w:vAlign w:val="center"/>
            <w:hideMark/>
          </w:tcPr>
          <w:p w14:paraId="6D1952C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186" w:type="pct"/>
            <w:shd w:val="clear" w:color="auto" w:fill="D9D9D9"/>
            <w:vAlign w:val="center"/>
            <w:hideMark/>
          </w:tcPr>
          <w:p w14:paraId="7F8987B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606" w:type="pct"/>
            <w:shd w:val="clear" w:color="auto" w:fill="D9D9D9"/>
            <w:noWrap/>
            <w:vAlign w:val="center"/>
            <w:hideMark/>
          </w:tcPr>
          <w:p w14:paraId="5A2949C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2 308 124,00</w:t>
            </w:r>
            <w:r w:rsidRPr="00B73FDB">
              <w:rPr>
                <w:rFonts w:cs="Calibri"/>
                <w:sz w:val="18"/>
                <w:szCs w:val="18"/>
                <w:lang w:eastAsia="sk-SK"/>
              </w:rPr>
              <w:t xml:space="preserve"> </w:t>
            </w:r>
          </w:p>
        </w:tc>
        <w:tc>
          <w:tcPr>
            <w:tcW w:w="601" w:type="pct"/>
            <w:shd w:val="clear" w:color="auto" w:fill="D9D9D9"/>
            <w:noWrap/>
            <w:vAlign w:val="center"/>
            <w:hideMark/>
          </w:tcPr>
          <w:p w14:paraId="7D005BB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1 945 616,00</w:t>
            </w:r>
            <w:r w:rsidRPr="00B73FDB">
              <w:rPr>
                <w:rFonts w:cs="Calibri"/>
                <w:sz w:val="18"/>
                <w:szCs w:val="18"/>
                <w:lang w:eastAsia="sk-SK"/>
              </w:rPr>
              <w:t xml:space="preserve"> </w:t>
            </w:r>
          </w:p>
        </w:tc>
        <w:tc>
          <w:tcPr>
            <w:tcW w:w="580" w:type="pct"/>
            <w:shd w:val="clear" w:color="auto" w:fill="D9D9D9"/>
            <w:noWrap/>
            <w:vAlign w:val="center"/>
            <w:hideMark/>
          </w:tcPr>
          <w:p w14:paraId="11CA6D9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1 922 149,62</w:t>
            </w:r>
            <w:r w:rsidRPr="00B73FDB">
              <w:rPr>
                <w:rFonts w:cs="Calibri"/>
                <w:sz w:val="18"/>
                <w:szCs w:val="18"/>
                <w:lang w:eastAsia="sk-SK"/>
              </w:rPr>
              <w:t xml:space="preserve"> </w:t>
            </w:r>
          </w:p>
        </w:tc>
        <w:tc>
          <w:tcPr>
            <w:tcW w:w="615" w:type="pct"/>
            <w:shd w:val="clear" w:color="auto" w:fill="D9D9D9"/>
            <w:noWrap/>
            <w:vAlign w:val="center"/>
            <w:hideMark/>
          </w:tcPr>
          <w:p w14:paraId="1DDA2C9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98,79</w:t>
            </w:r>
            <w:r w:rsidRPr="00B73FDB">
              <w:rPr>
                <w:rFonts w:cs="Calibri"/>
                <w:sz w:val="18"/>
                <w:szCs w:val="18"/>
                <w:lang w:eastAsia="sk-SK"/>
              </w:rPr>
              <w:t xml:space="preserve"> </w:t>
            </w:r>
          </w:p>
        </w:tc>
        <w:tc>
          <w:tcPr>
            <w:tcW w:w="1063" w:type="pct"/>
            <w:vMerge/>
            <w:shd w:val="clear" w:color="auto" w:fill="D9D9D9"/>
            <w:vAlign w:val="center"/>
            <w:hideMark/>
          </w:tcPr>
          <w:p w14:paraId="55EE742D"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76FBA2A5" w14:textId="77777777" w:rsidTr="00B73FDB">
        <w:trPr>
          <w:tblCellSpacing w:w="15" w:type="dxa"/>
        </w:trPr>
        <w:tc>
          <w:tcPr>
            <w:tcW w:w="226" w:type="pct"/>
            <w:shd w:val="clear" w:color="auto" w:fill="EFEFEF"/>
            <w:noWrap/>
            <w:vAlign w:val="center"/>
            <w:hideMark/>
          </w:tcPr>
          <w:p w14:paraId="6B377CB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186" w:type="pct"/>
            <w:shd w:val="clear" w:color="auto" w:fill="EFEFEF"/>
            <w:vAlign w:val="center"/>
            <w:hideMark/>
          </w:tcPr>
          <w:p w14:paraId="4AB97B0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606" w:type="pct"/>
            <w:shd w:val="clear" w:color="auto" w:fill="EFEFEF"/>
            <w:noWrap/>
            <w:vAlign w:val="center"/>
            <w:hideMark/>
          </w:tcPr>
          <w:p w14:paraId="48B1E56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434 321,00 </w:t>
            </w:r>
          </w:p>
        </w:tc>
        <w:tc>
          <w:tcPr>
            <w:tcW w:w="601" w:type="pct"/>
            <w:shd w:val="clear" w:color="auto" w:fill="EFEFEF"/>
            <w:noWrap/>
            <w:vAlign w:val="center"/>
            <w:hideMark/>
          </w:tcPr>
          <w:p w14:paraId="6BBA982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366 915,39 </w:t>
            </w:r>
          </w:p>
        </w:tc>
        <w:tc>
          <w:tcPr>
            <w:tcW w:w="580" w:type="pct"/>
            <w:shd w:val="clear" w:color="auto" w:fill="EFEFEF"/>
            <w:noWrap/>
            <w:vAlign w:val="center"/>
            <w:hideMark/>
          </w:tcPr>
          <w:p w14:paraId="706BF40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351 810,44 </w:t>
            </w:r>
          </w:p>
        </w:tc>
        <w:tc>
          <w:tcPr>
            <w:tcW w:w="615" w:type="pct"/>
            <w:shd w:val="clear" w:color="auto" w:fill="EFEFEF"/>
            <w:noWrap/>
            <w:vAlign w:val="center"/>
            <w:hideMark/>
          </w:tcPr>
          <w:p w14:paraId="787E4F2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95,88 </w:t>
            </w:r>
          </w:p>
        </w:tc>
        <w:tc>
          <w:tcPr>
            <w:tcW w:w="1063" w:type="pct"/>
            <w:vMerge/>
            <w:shd w:val="clear" w:color="auto" w:fill="EFEFEF"/>
            <w:vAlign w:val="center"/>
            <w:hideMark/>
          </w:tcPr>
          <w:p w14:paraId="20AF0FBE" w14:textId="77777777" w:rsidR="00B73FDB" w:rsidRPr="00B73FDB" w:rsidRDefault="00B73FDB" w:rsidP="00B73FDB">
            <w:pPr>
              <w:spacing w:after="0" w:line="240" w:lineRule="auto"/>
              <w:rPr>
                <w:rFonts w:cs="Calibri"/>
                <w:sz w:val="18"/>
                <w:szCs w:val="18"/>
                <w:lang w:eastAsia="sk-SK"/>
              </w:rPr>
            </w:pPr>
          </w:p>
        </w:tc>
      </w:tr>
      <w:tr w:rsidR="00B73FDB" w:rsidRPr="00B73FDB" w14:paraId="039BC770" w14:textId="77777777" w:rsidTr="00B73FDB">
        <w:trPr>
          <w:tblCellSpacing w:w="15" w:type="dxa"/>
        </w:trPr>
        <w:tc>
          <w:tcPr>
            <w:tcW w:w="226" w:type="pct"/>
            <w:shd w:val="clear" w:color="auto" w:fill="EFEFEF"/>
            <w:noWrap/>
            <w:vAlign w:val="center"/>
            <w:hideMark/>
          </w:tcPr>
          <w:p w14:paraId="2E9B7DB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186" w:type="pct"/>
            <w:shd w:val="clear" w:color="auto" w:fill="EFEFEF"/>
            <w:vAlign w:val="center"/>
            <w:hideMark/>
          </w:tcPr>
          <w:p w14:paraId="1E33A7C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606" w:type="pct"/>
            <w:shd w:val="clear" w:color="auto" w:fill="EFEFEF"/>
            <w:noWrap/>
            <w:vAlign w:val="center"/>
            <w:hideMark/>
          </w:tcPr>
          <w:p w14:paraId="3EB8819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151 861,00 </w:t>
            </w:r>
          </w:p>
        </w:tc>
        <w:tc>
          <w:tcPr>
            <w:tcW w:w="601" w:type="pct"/>
            <w:shd w:val="clear" w:color="auto" w:fill="EFEFEF"/>
            <w:noWrap/>
            <w:vAlign w:val="center"/>
            <w:hideMark/>
          </w:tcPr>
          <w:p w14:paraId="47515BB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154 007,41 </w:t>
            </w:r>
          </w:p>
        </w:tc>
        <w:tc>
          <w:tcPr>
            <w:tcW w:w="580" w:type="pct"/>
            <w:shd w:val="clear" w:color="auto" w:fill="EFEFEF"/>
            <w:noWrap/>
            <w:vAlign w:val="center"/>
            <w:hideMark/>
          </w:tcPr>
          <w:p w14:paraId="173798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151 847,94 </w:t>
            </w:r>
          </w:p>
        </w:tc>
        <w:tc>
          <w:tcPr>
            <w:tcW w:w="615" w:type="pct"/>
            <w:shd w:val="clear" w:color="auto" w:fill="EFEFEF"/>
            <w:noWrap/>
            <w:vAlign w:val="center"/>
            <w:hideMark/>
          </w:tcPr>
          <w:p w14:paraId="4AE5223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98,60 </w:t>
            </w:r>
          </w:p>
        </w:tc>
        <w:tc>
          <w:tcPr>
            <w:tcW w:w="1063" w:type="pct"/>
            <w:vMerge/>
            <w:shd w:val="clear" w:color="auto" w:fill="EFEFEF"/>
            <w:vAlign w:val="center"/>
            <w:hideMark/>
          </w:tcPr>
          <w:p w14:paraId="535F21AD" w14:textId="77777777" w:rsidR="00B73FDB" w:rsidRPr="00B73FDB" w:rsidRDefault="00B73FDB" w:rsidP="00B73FDB">
            <w:pPr>
              <w:spacing w:after="0" w:line="240" w:lineRule="auto"/>
              <w:rPr>
                <w:rFonts w:cs="Calibri"/>
                <w:sz w:val="18"/>
                <w:szCs w:val="18"/>
                <w:lang w:eastAsia="sk-SK"/>
              </w:rPr>
            </w:pPr>
          </w:p>
        </w:tc>
      </w:tr>
      <w:tr w:rsidR="00B73FDB" w:rsidRPr="00B73FDB" w14:paraId="3A7517E0" w14:textId="77777777" w:rsidTr="00B73FDB">
        <w:trPr>
          <w:tblCellSpacing w:w="15" w:type="dxa"/>
        </w:trPr>
        <w:tc>
          <w:tcPr>
            <w:tcW w:w="226" w:type="pct"/>
            <w:shd w:val="clear" w:color="auto" w:fill="EFEFEF"/>
            <w:noWrap/>
            <w:vAlign w:val="center"/>
            <w:hideMark/>
          </w:tcPr>
          <w:p w14:paraId="0A3EC22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186" w:type="pct"/>
            <w:shd w:val="clear" w:color="auto" w:fill="EFEFEF"/>
            <w:vAlign w:val="center"/>
            <w:hideMark/>
          </w:tcPr>
          <w:p w14:paraId="24AAD09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606" w:type="pct"/>
            <w:shd w:val="clear" w:color="auto" w:fill="EFEFEF"/>
            <w:noWrap/>
            <w:vAlign w:val="center"/>
            <w:hideMark/>
          </w:tcPr>
          <w:p w14:paraId="4811382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116 002,00 </w:t>
            </w:r>
          </w:p>
        </w:tc>
        <w:tc>
          <w:tcPr>
            <w:tcW w:w="601" w:type="pct"/>
            <w:shd w:val="clear" w:color="auto" w:fill="EFEFEF"/>
            <w:noWrap/>
            <w:vAlign w:val="center"/>
            <w:hideMark/>
          </w:tcPr>
          <w:p w14:paraId="57A4F1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50 799,93 </w:t>
            </w:r>
          </w:p>
        </w:tc>
        <w:tc>
          <w:tcPr>
            <w:tcW w:w="580" w:type="pct"/>
            <w:shd w:val="clear" w:color="auto" w:fill="EFEFEF"/>
            <w:noWrap/>
            <w:vAlign w:val="center"/>
            <w:hideMark/>
          </w:tcPr>
          <w:p w14:paraId="6DDE704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44 597,97 </w:t>
            </w:r>
          </w:p>
        </w:tc>
        <w:tc>
          <w:tcPr>
            <w:tcW w:w="615" w:type="pct"/>
            <w:shd w:val="clear" w:color="auto" w:fill="EFEFEF"/>
            <w:noWrap/>
            <w:vAlign w:val="center"/>
            <w:hideMark/>
          </w:tcPr>
          <w:p w14:paraId="0985AC2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87,79 </w:t>
            </w:r>
          </w:p>
        </w:tc>
        <w:tc>
          <w:tcPr>
            <w:tcW w:w="1063" w:type="pct"/>
            <w:vMerge/>
            <w:shd w:val="clear" w:color="auto" w:fill="EFEFEF"/>
            <w:vAlign w:val="center"/>
            <w:hideMark/>
          </w:tcPr>
          <w:p w14:paraId="682A5112" w14:textId="77777777" w:rsidR="00B73FDB" w:rsidRPr="00B73FDB" w:rsidRDefault="00B73FDB" w:rsidP="00B73FDB">
            <w:pPr>
              <w:spacing w:after="0" w:line="240" w:lineRule="auto"/>
              <w:rPr>
                <w:rFonts w:cs="Calibri"/>
                <w:sz w:val="18"/>
                <w:szCs w:val="18"/>
                <w:lang w:eastAsia="sk-SK"/>
              </w:rPr>
            </w:pPr>
          </w:p>
        </w:tc>
      </w:tr>
      <w:tr w:rsidR="00B73FDB" w:rsidRPr="00B73FDB" w14:paraId="116FCA39" w14:textId="77777777" w:rsidTr="00B73FDB">
        <w:trPr>
          <w:tblCellSpacing w:w="15" w:type="dxa"/>
        </w:trPr>
        <w:tc>
          <w:tcPr>
            <w:tcW w:w="226" w:type="pct"/>
            <w:shd w:val="clear" w:color="auto" w:fill="EFEFEF"/>
            <w:noWrap/>
            <w:vAlign w:val="center"/>
            <w:hideMark/>
          </w:tcPr>
          <w:p w14:paraId="3921BB4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186" w:type="pct"/>
            <w:shd w:val="clear" w:color="auto" w:fill="EFEFEF"/>
            <w:vAlign w:val="center"/>
            <w:hideMark/>
          </w:tcPr>
          <w:p w14:paraId="5E1A508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606" w:type="pct"/>
            <w:shd w:val="clear" w:color="auto" w:fill="EFEFEF"/>
            <w:noWrap/>
            <w:vAlign w:val="center"/>
            <w:hideMark/>
          </w:tcPr>
          <w:p w14:paraId="3290650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1 605 940,00 </w:t>
            </w:r>
          </w:p>
        </w:tc>
        <w:tc>
          <w:tcPr>
            <w:tcW w:w="601" w:type="pct"/>
            <w:shd w:val="clear" w:color="auto" w:fill="EFEFEF"/>
            <w:noWrap/>
            <w:vAlign w:val="center"/>
            <w:hideMark/>
          </w:tcPr>
          <w:p w14:paraId="6880551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1 373 893,27 </w:t>
            </w:r>
          </w:p>
        </w:tc>
        <w:tc>
          <w:tcPr>
            <w:tcW w:w="580" w:type="pct"/>
            <w:shd w:val="clear" w:color="auto" w:fill="EFEFEF"/>
            <w:noWrap/>
            <w:vAlign w:val="center"/>
            <w:hideMark/>
          </w:tcPr>
          <w:p w14:paraId="1E4C6EB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1 373 893,27 </w:t>
            </w:r>
          </w:p>
        </w:tc>
        <w:tc>
          <w:tcPr>
            <w:tcW w:w="615" w:type="pct"/>
            <w:shd w:val="clear" w:color="auto" w:fill="EFEFEF"/>
            <w:noWrap/>
            <w:vAlign w:val="center"/>
            <w:hideMark/>
          </w:tcPr>
          <w:p w14:paraId="7540B1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3" w:type="pct"/>
            <w:vMerge/>
            <w:shd w:val="clear" w:color="auto" w:fill="EFEFEF"/>
            <w:vAlign w:val="center"/>
            <w:hideMark/>
          </w:tcPr>
          <w:p w14:paraId="4DE97D11" w14:textId="77777777" w:rsidR="00B73FDB" w:rsidRPr="00B73FDB" w:rsidRDefault="00B73FDB" w:rsidP="00B73FDB">
            <w:pPr>
              <w:spacing w:after="0" w:line="240" w:lineRule="auto"/>
              <w:rPr>
                <w:rFonts w:cs="Calibri"/>
                <w:sz w:val="18"/>
                <w:szCs w:val="18"/>
                <w:lang w:eastAsia="sk-SK"/>
              </w:rPr>
            </w:pPr>
          </w:p>
        </w:tc>
      </w:tr>
    </w:tbl>
    <w:p w14:paraId="08ADA668" w14:textId="77777777" w:rsidR="00B73FDB" w:rsidRPr="00B73FDB" w:rsidRDefault="00B73FDB" w:rsidP="00B73FDB">
      <w:pPr>
        <w:spacing w:after="0" w:line="240" w:lineRule="auto"/>
        <w:rPr>
          <w:rFonts w:cs="Calibri"/>
          <w:vanish/>
          <w:sz w:val="18"/>
          <w:szCs w:val="18"/>
          <w:lang w:eastAsia="sk-SK"/>
        </w:rPr>
      </w:pPr>
    </w:p>
    <w:tbl>
      <w:tblPr>
        <w:tblW w:w="4992" w:type="pct"/>
        <w:tblCellSpacing w:w="15" w:type="dxa"/>
        <w:tblCellMar>
          <w:top w:w="15" w:type="dxa"/>
          <w:left w:w="15" w:type="dxa"/>
          <w:bottom w:w="15" w:type="dxa"/>
          <w:right w:w="15" w:type="dxa"/>
        </w:tblCellMar>
        <w:tblLook w:val="04A0" w:firstRow="1" w:lastRow="0" w:firstColumn="1" w:lastColumn="0" w:noHBand="0" w:noVBand="1"/>
      </w:tblPr>
      <w:tblGrid>
        <w:gridCol w:w="1151"/>
        <w:gridCol w:w="9298"/>
      </w:tblGrid>
      <w:tr w:rsidR="00B73FDB" w:rsidRPr="00B73FDB" w14:paraId="73311558" w14:textId="77777777" w:rsidTr="00B73FDB">
        <w:trPr>
          <w:trHeight w:val="427"/>
          <w:tblCellSpacing w:w="15" w:type="dxa"/>
        </w:trPr>
        <w:tc>
          <w:tcPr>
            <w:tcW w:w="0" w:type="auto"/>
            <w:shd w:val="clear" w:color="auto" w:fill="C2D69B"/>
            <w:vAlign w:val="center"/>
            <w:hideMark/>
          </w:tcPr>
          <w:p w14:paraId="08D5920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shd w:val="clear" w:color="auto" w:fill="C2D69B"/>
            <w:vAlign w:val="center"/>
            <w:hideMark/>
          </w:tcPr>
          <w:p w14:paraId="044F59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Odbor školstva, mládeže a športu</w:t>
            </w:r>
          </w:p>
        </w:tc>
      </w:tr>
      <w:tr w:rsidR="00B73FDB" w:rsidRPr="00B73FDB" w14:paraId="2B18E966" w14:textId="77777777" w:rsidTr="00B73FDB">
        <w:trPr>
          <w:trHeight w:val="442"/>
          <w:tblCellSpacing w:w="15" w:type="dxa"/>
        </w:trPr>
        <w:tc>
          <w:tcPr>
            <w:tcW w:w="0" w:type="auto"/>
            <w:shd w:val="clear" w:color="auto" w:fill="C2D69B"/>
            <w:vAlign w:val="center"/>
            <w:hideMark/>
          </w:tcPr>
          <w:p w14:paraId="3D0CD1B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shd w:val="clear" w:color="auto" w:fill="C2D69B"/>
            <w:vAlign w:val="center"/>
            <w:hideMark/>
          </w:tcPr>
          <w:p w14:paraId="2FD575E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možnosti voľno-časových aktivít pre deti, podporu jazykového vzdelávania a zabezpečiť možnosť voľno-časových aktivít v centre voľného času </w:t>
            </w:r>
          </w:p>
        </w:tc>
      </w:tr>
    </w:tbl>
    <w:tbl>
      <w:tblPr>
        <w:tblpPr w:leftFromText="141" w:rightFromText="141" w:vertAnchor="text" w:tblpY="1"/>
        <w:tblOverlap w:val="never"/>
        <w:tblW w:w="5000" w:type="pct"/>
        <w:tblCellSpacing w:w="15" w:type="dxa"/>
        <w:tblCellMar>
          <w:top w:w="15" w:type="dxa"/>
          <w:left w:w="15" w:type="dxa"/>
          <w:bottom w:w="15" w:type="dxa"/>
          <w:right w:w="15" w:type="dxa"/>
        </w:tblCellMar>
        <w:tblLook w:val="04A0" w:firstRow="1" w:lastRow="0" w:firstColumn="1" w:lastColumn="0" w:noHBand="0" w:noVBand="1"/>
      </w:tblPr>
      <w:tblGrid>
        <w:gridCol w:w="2350"/>
        <w:gridCol w:w="1280"/>
        <w:gridCol w:w="1462"/>
        <w:gridCol w:w="5374"/>
      </w:tblGrid>
      <w:tr w:rsidR="00B73FDB" w:rsidRPr="00B73FDB" w14:paraId="2BCB6DD3" w14:textId="77777777" w:rsidTr="00B73FDB">
        <w:trPr>
          <w:trHeight w:val="442"/>
          <w:tblCellSpacing w:w="15" w:type="dxa"/>
        </w:trPr>
        <w:tc>
          <w:tcPr>
            <w:tcW w:w="0" w:type="auto"/>
            <w:shd w:val="clear" w:color="auto" w:fill="C2D69B"/>
            <w:vAlign w:val="center"/>
            <w:hideMark/>
          </w:tcPr>
          <w:p w14:paraId="75BEB6A8" w14:textId="77777777" w:rsidR="00B73FDB" w:rsidRPr="00B73FDB" w:rsidRDefault="00B73FDB" w:rsidP="00B73FDB">
            <w:pPr>
              <w:spacing w:after="0" w:line="240" w:lineRule="auto"/>
              <w:rPr>
                <w:rFonts w:cs="Calibri"/>
                <w:b/>
                <w:bCs/>
                <w:sz w:val="18"/>
                <w:szCs w:val="18"/>
                <w:lang w:eastAsia="sk-SK"/>
              </w:rPr>
            </w:pPr>
            <w:r w:rsidRPr="00B73FDB">
              <w:rPr>
                <w:rFonts w:cs="Calibri"/>
                <w:b/>
                <w:bCs/>
                <w:sz w:val="18"/>
                <w:szCs w:val="18"/>
                <w:lang w:eastAsia="sk-SK"/>
              </w:rPr>
              <w:t>Merateľný ukazovateľ</w:t>
            </w:r>
          </w:p>
        </w:tc>
        <w:tc>
          <w:tcPr>
            <w:tcW w:w="3847" w:type="pct"/>
            <w:gridSpan w:val="3"/>
            <w:shd w:val="clear" w:color="auto" w:fill="C2D69B"/>
            <w:vAlign w:val="center"/>
            <w:hideMark/>
          </w:tcPr>
          <w:p w14:paraId="30724B9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Počet žiakov, využívajúcich voľno-časové aktivity spolu za rok</w:t>
            </w:r>
          </w:p>
        </w:tc>
      </w:tr>
      <w:tr w:rsidR="00B73FDB" w:rsidRPr="00B73FDB" w14:paraId="11B0E1F5" w14:textId="77777777" w:rsidTr="00B73FDB">
        <w:trPr>
          <w:tblCellSpacing w:w="15" w:type="dxa"/>
        </w:trPr>
        <w:tc>
          <w:tcPr>
            <w:tcW w:w="1107" w:type="pct"/>
            <w:shd w:val="clear" w:color="auto" w:fill="C2D69B"/>
            <w:vAlign w:val="center"/>
            <w:hideMark/>
          </w:tcPr>
          <w:p w14:paraId="3640FC7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600" w:type="pct"/>
            <w:shd w:val="clear" w:color="auto" w:fill="C2D69B"/>
            <w:vAlign w:val="center"/>
            <w:hideMark/>
          </w:tcPr>
          <w:p w14:paraId="762124C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688" w:type="pct"/>
            <w:shd w:val="clear" w:color="auto" w:fill="C2D69B"/>
            <w:vAlign w:val="center"/>
            <w:hideMark/>
          </w:tcPr>
          <w:p w14:paraId="708D138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2528" w:type="pct"/>
            <w:shd w:val="clear" w:color="auto" w:fill="C2D69B"/>
            <w:vAlign w:val="center"/>
            <w:hideMark/>
          </w:tcPr>
          <w:p w14:paraId="6F32FA1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2DF457E3" w14:textId="77777777" w:rsidTr="00B73FDB">
        <w:trPr>
          <w:tblCellSpacing w:w="15" w:type="dxa"/>
        </w:trPr>
        <w:tc>
          <w:tcPr>
            <w:tcW w:w="1107" w:type="pct"/>
            <w:shd w:val="clear" w:color="auto" w:fill="C2D69B"/>
            <w:vAlign w:val="center"/>
            <w:hideMark/>
          </w:tcPr>
          <w:p w14:paraId="49D91DE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600" w:type="pct"/>
            <w:shd w:val="clear" w:color="auto" w:fill="C2D69B"/>
            <w:noWrap/>
            <w:vAlign w:val="center"/>
            <w:hideMark/>
          </w:tcPr>
          <w:p w14:paraId="295C7BE9"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3 356  </w:t>
            </w:r>
          </w:p>
        </w:tc>
        <w:tc>
          <w:tcPr>
            <w:tcW w:w="688" w:type="pct"/>
            <w:shd w:val="clear" w:color="auto" w:fill="C2D69B"/>
            <w:noWrap/>
            <w:vAlign w:val="center"/>
            <w:hideMark/>
          </w:tcPr>
          <w:p w14:paraId="5C0A6971"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3 950</w:t>
            </w:r>
          </w:p>
        </w:tc>
        <w:tc>
          <w:tcPr>
            <w:tcW w:w="2528" w:type="pct"/>
            <w:shd w:val="clear" w:color="auto" w:fill="C2D69B"/>
            <w:vAlign w:val="center"/>
            <w:hideMark/>
          </w:tcPr>
          <w:p w14:paraId="167BFF0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Splnené</w:t>
            </w:r>
          </w:p>
        </w:tc>
      </w:tr>
    </w:tbl>
    <w:p w14:paraId="11DC61DB"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br w:type="textWrapping" w:clear="all"/>
        <w:t xml:space="preserve">Komentár: </w:t>
      </w:r>
      <w:r w:rsidRPr="00B73FDB">
        <w:rPr>
          <w:rFonts w:cs="Calibri"/>
          <w:sz w:val="24"/>
          <w:szCs w:val="24"/>
          <w:lang w:eastAsia="sk-SK"/>
        </w:rPr>
        <w:t xml:space="preserve">Zabezpečenie výchovno-vzdelávacieho procesu v kraji nemožno obmedziť len na poskytovanie vzdelávania, ale je nevyhnutné poskytnúť aj voľno-časové aktivity, ktoré podporujú všestranný vývoj detí a mládeže. Účelom a zámerom tohto podprogramu je zabezpečiť práve tieto dôležité úlohy a vytvoriť podmienky pre zvyšovanie úrovne služieb poskytovaných v príslušných školských zariadeniach. V tomto prvku sú rozpočtované finančné prostriedky pre štyri školské kluby detí, dve jazykové školy a jedno centrum voľného času. Pri školských kluboch detí sa vychádza z merateľného ukazovateľa - počet detí využívajúcich služby ŠKD. Ukazovateľ je upravovaný podľa skutočnosti uvedenej v štatistickom výkaze o ŠKD - </w:t>
      </w:r>
      <w:proofErr w:type="spellStart"/>
      <w:r w:rsidRPr="00B73FDB">
        <w:rPr>
          <w:rFonts w:cs="Calibri"/>
          <w:sz w:val="24"/>
          <w:szCs w:val="24"/>
          <w:lang w:eastAsia="sk-SK"/>
        </w:rPr>
        <w:t>Škol</w:t>
      </w:r>
      <w:proofErr w:type="spellEnd"/>
      <w:r w:rsidRPr="00B73FDB">
        <w:rPr>
          <w:rFonts w:cs="Calibri"/>
          <w:sz w:val="24"/>
          <w:szCs w:val="24"/>
          <w:lang w:eastAsia="sk-SK"/>
        </w:rPr>
        <w:t xml:space="preserve"> 2-01 k 15. septembru nového školského roka. Merateľný ukazovateľ pri jazykových školách - počet študentov jazykových škôl, je upravovaný podľa skutočnosti, uvedenej v štatistickom výkaze o JŠ - </w:t>
      </w:r>
      <w:proofErr w:type="spellStart"/>
      <w:r w:rsidRPr="00B73FDB">
        <w:rPr>
          <w:rFonts w:cs="Calibri"/>
          <w:sz w:val="24"/>
          <w:szCs w:val="24"/>
          <w:lang w:eastAsia="sk-SK"/>
        </w:rPr>
        <w:t>Škol</w:t>
      </w:r>
      <w:proofErr w:type="spellEnd"/>
      <w:r w:rsidRPr="00B73FDB">
        <w:rPr>
          <w:rFonts w:cs="Calibri"/>
          <w:sz w:val="24"/>
          <w:szCs w:val="24"/>
          <w:lang w:eastAsia="sk-SK"/>
        </w:rPr>
        <w:t xml:space="preserve"> 18-01 k 15. septembru nového školského roka. Pri centre voľného času je merateľný ukazovateľ počet žiakov využívajúcich služby CVČ upravovaný podľa skutočnosti uvedenej v štatistickom výkaze o strednej škole - </w:t>
      </w:r>
      <w:proofErr w:type="spellStart"/>
      <w:r w:rsidRPr="00B73FDB">
        <w:rPr>
          <w:rFonts w:cs="Calibri"/>
          <w:sz w:val="24"/>
          <w:szCs w:val="24"/>
          <w:lang w:eastAsia="sk-SK"/>
        </w:rPr>
        <w:t>Škol</w:t>
      </w:r>
      <w:proofErr w:type="spellEnd"/>
      <w:r w:rsidRPr="00B73FDB">
        <w:rPr>
          <w:rFonts w:cs="Calibri"/>
          <w:sz w:val="24"/>
          <w:szCs w:val="24"/>
          <w:lang w:eastAsia="sk-SK"/>
        </w:rPr>
        <w:t xml:space="preserve"> 15-01 k 15. septembru nového školského roka.</w:t>
      </w:r>
    </w:p>
    <w:p w14:paraId="4EA2BF7C" w14:textId="77777777" w:rsidR="00B73FDB" w:rsidRPr="00B73FDB" w:rsidRDefault="00B73FDB" w:rsidP="00B73FDB">
      <w:pPr>
        <w:spacing w:before="100" w:beforeAutospacing="1" w:after="100" w:afterAutospacing="1" w:line="240" w:lineRule="auto"/>
        <w:outlineLvl w:val="2"/>
        <w:rPr>
          <w:rFonts w:cs="Calibri"/>
          <w:b/>
          <w:bCs/>
          <w:color w:val="4F6228"/>
          <w:sz w:val="27"/>
          <w:szCs w:val="27"/>
          <w:lang w:eastAsia="sk-SK"/>
        </w:rPr>
      </w:pPr>
      <w:r w:rsidRPr="00B73FDB">
        <w:rPr>
          <w:rFonts w:cs="Calibri"/>
          <w:b/>
          <w:bCs/>
          <w:color w:val="4F6228"/>
          <w:sz w:val="27"/>
          <w:szCs w:val="27"/>
          <w:lang w:eastAsia="sk-SK"/>
        </w:rPr>
        <w:t>Podprogram 8.7: Neštátni zriaďovatelia ZUŠ a školských zariadení</w:t>
      </w:r>
    </w:p>
    <w:p w14:paraId="5498E956"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Financovanie v podprograme Neštátni zriaďovatelia ZUŠ a školských zariadení sa riadi Všeobecne záväzným nariadením BSK č. 1/2019 a Nariadením vlády Slovenskej republiky č. 630/2008 Z. z., ktorým sa ustanovujú podrobnosti rozpisu finančných prostriedkov zo ŠR pre základné školy, stredné školy, strediská praktického vyučovania, základné umelecké školy a školské zariadenia v znení neskorších predpisov.</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45"/>
        <w:gridCol w:w="2790"/>
        <w:gridCol w:w="1212"/>
        <w:gridCol w:w="1257"/>
        <w:gridCol w:w="1253"/>
        <w:gridCol w:w="1241"/>
        <w:gridCol w:w="2168"/>
      </w:tblGrid>
      <w:tr w:rsidR="00B73FDB" w:rsidRPr="00B73FDB" w14:paraId="585F1A6D" w14:textId="77777777" w:rsidTr="00B73FDB">
        <w:trPr>
          <w:tblCellSpacing w:w="15" w:type="dxa"/>
        </w:trPr>
        <w:tc>
          <w:tcPr>
            <w:tcW w:w="239" w:type="pct"/>
            <w:shd w:val="clear" w:color="auto" w:fill="C6DBF7"/>
            <w:vAlign w:val="center"/>
            <w:hideMark/>
          </w:tcPr>
          <w:p w14:paraId="093C7AA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317" w:type="pct"/>
            <w:shd w:val="clear" w:color="auto" w:fill="C6DBF7"/>
            <w:vAlign w:val="center"/>
            <w:hideMark/>
          </w:tcPr>
          <w:p w14:paraId="703A66E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0B89BC8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85" w:type="pct"/>
            <w:shd w:val="clear" w:color="auto" w:fill="C6DBF7"/>
            <w:vAlign w:val="center"/>
            <w:hideMark/>
          </w:tcPr>
          <w:p w14:paraId="3E11509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83" w:type="pct"/>
            <w:shd w:val="clear" w:color="auto" w:fill="C6DBF7"/>
            <w:vAlign w:val="center"/>
            <w:hideMark/>
          </w:tcPr>
          <w:p w14:paraId="394DA5B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77" w:type="pct"/>
            <w:shd w:val="clear" w:color="auto" w:fill="C6DBF7"/>
            <w:vAlign w:val="center"/>
            <w:hideMark/>
          </w:tcPr>
          <w:p w14:paraId="72DC51A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12" w:type="pct"/>
            <w:shd w:val="clear" w:color="auto" w:fill="C6DBF7"/>
            <w:vAlign w:val="center"/>
            <w:hideMark/>
          </w:tcPr>
          <w:p w14:paraId="09352F2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313FAC35" w14:textId="77777777" w:rsidTr="00B73FDB">
        <w:trPr>
          <w:tblCellSpacing w:w="15" w:type="dxa"/>
        </w:trPr>
        <w:tc>
          <w:tcPr>
            <w:tcW w:w="239" w:type="pct"/>
            <w:shd w:val="clear" w:color="auto" w:fill="D9D9D9"/>
            <w:noWrap/>
            <w:vAlign w:val="center"/>
            <w:hideMark/>
          </w:tcPr>
          <w:p w14:paraId="53859BF7" w14:textId="77777777" w:rsidR="00B73FDB" w:rsidRPr="00B73FDB" w:rsidRDefault="00B73FDB" w:rsidP="00B73FDB">
            <w:pPr>
              <w:spacing w:after="0" w:line="240" w:lineRule="auto"/>
              <w:jc w:val="center"/>
              <w:rPr>
                <w:rFonts w:cs="Calibri"/>
                <w:sz w:val="18"/>
                <w:szCs w:val="18"/>
                <w:lang w:eastAsia="sk-SK"/>
              </w:rPr>
            </w:pPr>
          </w:p>
        </w:tc>
        <w:tc>
          <w:tcPr>
            <w:tcW w:w="1317" w:type="pct"/>
            <w:shd w:val="clear" w:color="auto" w:fill="D9D9D9"/>
            <w:vAlign w:val="center"/>
            <w:hideMark/>
          </w:tcPr>
          <w:p w14:paraId="47BD40C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426BCBC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2 673 447,00</w:t>
            </w:r>
            <w:r w:rsidRPr="00B73FDB">
              <w:rPr>
                <w:rFonts w:cs="Calibri"/>
                <w:sz w:val="18"/>
                <w:szCs w:val="18"/>
                <w:lang w:eastAsia="sk-SK"/>
              </w:rPr>
              <w:t xml:space="preserve"> </w:t>
            </w:r>
          </w:p>
        </w:tc>
        <w:tc>
          <w:tcPr>
            <w:tcW w:w="585" w:type="pct"/>
            <w:shd w:val="clear" w:color="auto" w:fill="D9D9D9"/>
            <w:noWrap/>
            <w:vAlign w:val="center"/>
            <w:hideMark/>
          </w:tcPr>
          <w:p w14:paraId="3C7603F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2 673 447,00</w:t>
            </w:r>
            <w:r w:rsidRPr="00B73FDB">
              <w:rPr>
                <w:rFonts w:cs="Calibri"/>
                <w:sz w:val="18"/>
                <w:szCs w:val="18"/>
                <w:lang w:eastAsia="sk-SK"/>
              </w:rPr>
              <w:t xml:space="preserve"> </w:t>
            </w:r>
          </w:p>
        </w:tc>
        <w:tc>
          <w:tcPr>
            <w:tcW w:w="583" w:type="pct"/>
            <w:shd w:val="clear" w:color="auto" w:fill="D9D9D9"/>
            <w:noWrap/>
            <w:vAlign w:val="center"/>
            <w:hideMark/>
          </w:tcPr>
          <w:p w14:paraId="1683C13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2 117 420,45</w:t>
            </w:r>
            <w:r w:rsidRPr="00B73FDB">
              <w:rPr>
                <w:rFonts w:cs="Calibri"/>
                <w:sz w:val="18"/>
                <w:szCs w:val="18"/>
                <w:lang w:eastAsia="sk-SK"/>
              </w:rPr>
              <w:t xml:space="preserve"> </w:t>
            </w:r>
          </w:p>
        </w:tc>
        <w:tc>
          <w:tcPr>
            <w:tcW w:w="577" w:type="pct"/>
            <w:shd w:val="clear" w:color="auto" w:fill="D9D9D9"/>
            <w:noWrap/>
            <w:vAlign w:val="center"/>
            <w:hideMark/>
          </w:tcPr>
          <w:p w14:paraId="5797958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79,20</w:t>
            </w:r>
            <w:r w:rsidRPr="00B73FDB">
              <w:rPr>
                <w:rFonts w:cs="Calibri"/>
                <w:sz w:val="18"/>
                <w:szCs w:val="18"/>
                <w:lang w:eastAsia="sk-SK"/>
              </w:rPr>
              <w:t xml:space="preserve"> </w:t>
            </w:r>
          </w:p>
        </w:tc>
        <w:tc>
          <w:tcPr>
            <w:tcW w:w="1012" w:type="pct"/>
            <w:vMerge w:val="restart"/>
            <w:shd w:val="clear" w:color="auto" w:fill="D9D9D9"/>
            <w:vAlign w:val="center"/>
            <w:hideMark/>
          </w:tcPr>
          <w:p w14:paraId="6D5000E8" w14:textId="77777777" w:rsidR="00B73FDB" w:rsidRPr="00B73FDB" w:rsidRDefault="00B73FDB" w:rsidP="00B73FDB">
            <w:pPr>
              <w:spacing w:after="0" w:line="240" w:lineRule="auto"/>
              <w:rPr>
                <w:rFonts w:cs="Calibri"/>
                <w:sz w:val="18"/>
                <w:szCs w:val="18"/>
                <w:lang w:eastAsia="sk-SK"/>
              </w:rPr>
            </w:pPr>
          </w:p>
        </w:tc>
      </w:tr>
      <w:tr w:rsidR="00B73FDB" w:rsidRPr="00B73FDB" w14:paraId="0E5352A7" w14:textId="77777777" w:rsidTr="00B73FDB">
        <w:trPr>
          <w:tblCellSpacing w:w="15" w:type="dxa"/>
        </w:trPr>
        <w:tc>
          <w:tcPr>
            <w:tcW w:w="239" w:type="pct"/>
            <w:shd w:val="clear" w:color="auto" w:fill="D9D9D9"/>
            <w:noWrap/>
            <w:vAlign w:val="center"/>
            <w:hideMark/>
          </w:tcPr>
          <w:p w14:paraId="72BE44B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317" w:type="pct"/>
            <w:shd w:val="clear" w:color="auto" w:fill="D9D9D9"/>
            <w:vAlign w:val="center"/>
            <w:hideMark/>
          </w:tcPr>
          <w:p w14:paraId="085E398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21D1DA5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2 673 447,00</w:t>
            </w:r>
            <w:r w:rsidRPr="00B73FDB">
              <w:rPr>
                <w:rFonts w:cs="Calibri"/>
                <w:sz w:val="18"/>
                <w:szCs w:val="18"/>
                <w:lang w:eastAsia="sk-SK"/>
              </w:rPr>
              <w:t xml:space="preserve"> </w:t>
            </w:r>
          </w:p>
        </w:tc>
        <w:tc>
          <w:tcPr>
            <w:tcW w:w="585" w:type="pct"/>
            <w:shd w:val="clear" w:color="auto" w:fill="D9D9D9"/>
            <w:noWrap/>
            <w:vAlign w:val="center"/>
            <w:hideMark/>
          </w:tcPr>
          <w:p w14:paraId="0AB3185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2 673 447,00</w:t>
            </w:r>
            <w:r w:rsidRPr="00B73FDB">
              <w:rPr>
                <w:rFonts w:cs="Calibri"/>
                <w:sz w:val="18"/>
                <w:szCs w:val="18"/>
                <w:lang w:eastAsia="sk-SK"/>
              </w:rPr>
              <w:t xml:space="preserve"> </w:t>
            </w:r>
          </w:p>
        </w:tc>
        <w:tc>
          <w:tcPr>
            <w:tcW w:w="583" w:type="pct"/>
            <w:shd w:val="clear" w:color="auto" w:fill="D9D9D9"/>
            <w:noWrap/>
            <w:vAlign w:val="center"/>
            <w:hideMark/>
          </w:tcPr>
          <w:p w14:paraId="13B8E94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2 117 420,45</w:t>
            </w:r>
            <w:r w:rsidRPr="00B73FDB">
              <w:rPr>
                <w:rFonts w:cs="Calibri"/>
                <w:sz w:val="18"/>
                <w:szCs w:val="18"/>
                <w:lang w:eastAsia="sk-SK"/>
              </w:rPr>
              <w:t xml:space="preserve"> </w:t>
            </w:r>
          </w:p>
        </w:tc>
        <w:tc>
          <w:tcPr>
            <w:tcW w:w="577" w:type="pct"/>
            <w:shd w:val="clear" w:color="auto" w:fill="D9D9D9"/>
            <w:noWrap/>
            <w:vAlign w:val="center"/>
            <w:hideMark/>
          </w:tcPr>
          <w:p w14:paraId="37D9A9A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79,20</w:t>
            </w:r>
            <w:r w:rsidRPr="00B73FDB">
              <w:rPr>
                <w:rFonts w:cs="Calibri"/>
                <w:sz w:val="18"/>
                <w:szCs w:val="18"/>
                <w:lang w:eastAsia="sk-SK"/>
              </w:rPr>
              <w:t xml:space="preserve"> </w:t>
            </w:r>
          </w:p>
        </w:tc>
        <w:tc>
          <w:tcPr>
            <w:tcW w:w="1012" w:type="pct"/>
            <w:vMerge/>
            <w:shd w:val="clear" w:color="auto" w:fill="D9D9D9"/>
            <w:vAlign w:val="center"/>
            <w:hideMark/>
          </w:tcPr>
          <w:p w14:paraId="344D2363"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9C3D27B" w14:textId="77777777" w:rsidTr="00B73FDB">
        <w:trPr>
          <w:tblCellSpacing w:w="15" w:type="dxa"/>
        </w:trPr>
        <w:tc>
          <w:tcPr>
            <w:tcW w:w="239" w:type="pct"/>
            <w:shd w:val="clear" w:color="auto" w:fill="EFEFEF"/>
            <w:noWrap/>
            <w:vAlign w:val="center"/>
            <w:hideMark/>
          </w:tcPr>
          <w:p w14:paraId="2D96814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317" w:type="pct"/>
            <w:shd w:val="clear" w:color="auto" w:fill="EFEFEF"/>
            <w:vAlign w:val="center"/>
            <w:hideMark/>
          </w:tcPr>
          <w:p w14:paraId="01EB160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4" w:type="pct"/>
            <w:shd w:val="clear" w:color="auto" w:fill="EFEFEF"/>
            <w:noWrap/>
            <w:vAlign w:val="center"/>
            <w:hideMark/>
          </w:tcPr>
          <w:p w14:paraId="32B8E71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2 673 447,00 </w:t>
            </w:r>
          </w:p>
        </w:tc>
        <w:tc>
          <w:tcPr>
            <w:tcW w:w="585" w:type="pct"/>
            <w:shd w:val="clear" w:color="auto" w:fill="EFEFEF"/>
            <w:noWrap/>
            <w:vAlign w:val="center"/>
            <w:hideMark/>
          </w:tcPr>
          <w:p w14:paraId="7A85D09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2 673 447,00 </w:t>
            </w:r>
          </w:p>
        </w:tc>
        <w:tc>
          <w:tcPr>
            <w:tcW w:w="583" w:type="pct"/>
            <w:shd w:val="clear" w:color="auto" w:fill="EFEFEF"/>
            <w:noWrap/>
            <w:vAlign w:val="center"/>
            <w:hideMark/>
          </w:tcPr>
          <w:p w14:paraId="7AA132E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2 117 420,45 </w:t>
            </w:r>
          </w:p>
        </w:tc>
        <w:tc>
          <w:tcPr>
            <w:tcW w:w="577" w:type="pct"/>
            <w:shd w:val="clear" w:color="auto" w:fill="EFEFEF"/>
            <w:noWrap/>
            <w:vAlign w:val="center"/>
            <w:hideMark/>
          </w:tcPr>
          <w:p w14:paraId="152A011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79,20 </w:t>
            </w:r>
          </w:p>
        </w:tc>
        <w:tc>
          <w:tcPr>
            <w:tcW w:w="1012" w:type="pct"/>
            <w:vMerge/>
            <w:shd w:val="clear" w:color="auto" w:fill="EFEFEF"/>
            <w:vAlign w:val="center"/>
            <w:hideMark/>
          </w:tcPr>
          <w:p w14:paraId="07797680" w14:textId="77777777" w:rsidR="00B73FDB" w:rsidRPr="00B73FDB" w:rsidRDefault="00B73FDB" w:rsidP="00B73FDB">
            <w:pPr>
              <w:spacing w:after="0" w:line="240" w:lineRule="auto"/>
              <w:rPr>
                <w:rFonts w:cs="Calibri"/>
                <w:sz w:val="18"/>
                <w:szCs w:val="18"/>
                <w:lang w:eastAsia="sk-SK"/>
              </w:rPr>
            </w:pPr>
          </w:p>
        </w:tc>
      </w:tr>
    </w:tbl>
    <w:p w14:paraId="486EAB8C"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44"/>
        <w:gridCol w:w="977"/>
        <w:gridCol w:w="1746"/>
        <w:gridCol w:w="1640"/>
        <w:gridCol w:w="4159"/>
      </w:tblGrid>
      <w:tr w:rsidR="00B73FDB" w:rsidRPr="00B73FDB" w14:paraId="7CD16BF0" w14:textId="77777777" w:rsidTr="00B73FDB">
        <w:trPr>
          <w:tblCellSpacing w:w="15" w:type="dxa"/>
        </w:trPr>
        <w:tc>
          <w:tcPr>
            <w:tcW w:w="0" w:type="auto"/>
            <w:shd w:val="clear" w:color="auto" w:fill="C2D69B"/>
            <w:vAlign w:val="center"/>
            <w:hideMark/>
          </w:tcPr>
          <w:p w14:paraId="58B8052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26AAAD9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Odbor školstva, mládeže a športu</w:t>
            </w:r>
            <w:r w:rsidRPr="00B73FDB">
              <w:rPr>
                <w:rFonts w:cs="Calibri"/>
                <w:sz w:val="18"/>
                <w:szCs w:val="18"/>
                <w:lang w:eastAsia="sk-SK"/>
              </w:rPr>
              <w:br/>
            </w:r>
          </w:p>
        </w:tc>
      </w:tr>
      <w:tr w:rsidR="00B73FDB" w:rsidRPr="00B73FDB" w14:paraId="125FCACB" w14:textId="77777777" w:rsidTr="00B73FDB">
        <w:trPr>
          <w:tblCellSpacing w:w="15" w:type="dxa"/>
        </w:trPr>
        <w:tc>
          <w:tcPr>
            <w:tcW w:w="0" w:type="auto"/>
            <w:shd w:val="clear" w:color="auto" w:fill="C2D69B"/>
            <w:vAlign w:val="center"/>
            <w:hideMark/>
          </w:tcPr>
          <w:p w14:paraId="0926D55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31D34DE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Zabezpečiť činnosť neštátnych zriaďovateľov ZUŠ a školských zariadení </w:t>
            </w:r>
          </w:p>
        </w:tc>
      </w:tr>
      <w:tr w:rsidR="00B73FDB" w:rsidRPr="00B73FDB" w14:paraId="08C30E6A" w14:textId="77777777" w:rsidTr="00B73FDB">
        <w:trPr>
          <w:tblCellSpacing w:w="15" w:type="dxa"/>
        </w:trPr>
        <w:tc>
          <w:tcPr>
            <w:tcW w:w="0" w:type="auto"/>
            <w:shd w:val="clear" w:color="auto" w:fill="C2D69B"/>
            <w:vAlign w:val="center"/>
            <w:hideMark/>
          </w:tcPr>
          <w:p w14:paraId="7FF3929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lastRenderedPageBreak/>
              <w:t>Merateľný ukazovateľ</w:t>
            </w:r>
          </w:p>
        </w:tc>
        <w:tc>
          <w:tcPr>
            <w:tcW w:w="0" w:type="auto"/>
            <w:gridSpan w:val="4"/>
            <w:shd w:val="clear" w:color="auto" w:fill="C2D69B"/>
            <w:vAlign w:val="center"/>
            <w:hideMark/>
          </w:tcPr>
          <w:p w14:paraId="3E4C1B6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využívajúcich služby neštátnych zriaďovateľov spolu za rok </w:t>
            </w:r>
          </w:p>
        </w:tc>
      </w:tr>
      <w:tr w:rsidR="00B73FDB" w:rsidRPr="00B73FDB" w14:paraId="3961E2AE" w14:textId="77777777" w:rsidTr="00B73FDB">
        <w:trPr>
          <w:tblCellSpacing w:w="15" w:type="dxa"/>
        </w:trPr>
        <w:tc>
          <w:tcPr>
            <w:tcW w:w="0" w:type="auto"/>
            <w:shd w:val="clear" w:color="auto" w:fill="C2D69B"/>
            <w:vAlign w:val="center"/>
            <w:hideMark/>
          </w:tcPr>
          <w:p w14:paraId="3E0CB87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090EBEA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15B3B57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2A45C963"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24B9A0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261BEF6" w14:textId="77777777" w:rsidTr="00B73FDB">
        <w:trPr>
          <w:tblCellSpacing w:w="15" w:type="dxa"/>
        </w:trPr>
        <w:tc>
          <w:tcPr>
            <w:tcW w:w="0" w:type="auto"/>
            <w:shd w:val="clear" w:color="auto" w:fill="C2D69B"/>
            <w:vAlign w:val="center"/>
            <w:hideMark/>
          </w:tcPr>
          <w:p w14:paraId="7B41EDA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2B46DB3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3 310 </w:t>
            </w:r>
          </w:p>
        </w:tc>
        <w:tc>
          <w:tcPr>
            <w:tcW w:w="0" w:type="auto"/>
            <w:shd w:val="clear" w:color="auto" w:fill="C2D69B"/>
            <w:noWrap/>
            <w:vAlign w:val="center"/>
            <w:hideMark/>
          </w:tcPr>
          <w:p w14:paraId="5855763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2 559 </w:t>
            </w:r>
          </w:p>
        </w:tc>
        <w:tc>
          <w:tcPr>
            <w:tcW w:w="0" w:type="auto"/>
            <w:shd w:val="clear" w:color="auto" w:fill="C2D69B"/>
            <w:vAlign w:val="center"/>
            <w:hideMark/>
          </w:tcPr>
          <w:p w14:paraId="61A531F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Nesplnené </w:t>
            </w:r>
          </w:p>
        </w:tc>
        <w:tc>
          <w:tcPr>
            <w:tcW w:w="0" w:type="auto"/>
            <w:shd w:val="clear" w:color="auto" w:fill="C2D69B"/>
            <w:vAlign w:val="center"/>
            <w:hideMark/>
          </w:tcPr>
          <w:p w14:paraId="197B831D" w14:textId="77777777" w:rsidR="00B73FDB" w:rsidRPr="00B73FDB" w:rsidRDefault="00B73FDB" w:rsidP="00B73FDB">
            <w:pPr>
              <w:spacing w:after="0" w:line="240" w:lineRule="auto"/>
              <w:jc w:val="center"/>
              <w:rPr>
                <w:rFonts w:cs="Calibri"/>
                <w:sz w:val="18"/>
                <w:szCs w:val="18"/>
                <w:lang w:eastAsia="sk-SK"/>
              </w:rPr>
            </w:pPr>
          </w:p>
        </w:tc>
      </w:tr>
    </w:tbl>
    <w:p w14:paraId="6AE7AB85" w14:textId="77777777" w:rsidR="00B73FDB" w:rsidRPr="00B73FDB" w:rsidRDefault="00B73FDB" w:rsidP="00B73FDB">
      <w:pPr>
        <w:spacing w:before="100" w:beforeAutospacing="1" w:after="100" w:afterAutospacing="1" w:line="240" w:lineRule="auto"/>
        <w:jc w:val="both"/>
        <w:rPr>
          <w:rFonts w:cs="Calibri"/>
          <w:lang w:eastAsia="sk-SK"/>
        </w:rPr>
      </w:pPr>
      <w:r w:rsidRPr="00B73FDB">
        <w:rPr>
          <w:rFonts w:cs="Calibri"/>
          <w:b/>
          <w:bCs/>
          <w:sz w:val="24"/>
          <w:szCs w:val="24"/>
          <w:lang w:eastAsia="sk-SK"/>
        </w:rPr>
        <w:t xml:space="preserve">Komentár: </w:t>
      </w:r>
      <w:r w:rsidRPr="00B73FDB">
        <w:rPr>
          <w:rFonts w:cs="Calibri"/>
          <w:sz w:val="24"/>
          <w:szCs w:val="24"/>
          <w:lang w:eastAsia="sk-SK"/>
        </w:rPr>
        <w:t>Zabezpečovanie vzdelávania v kraji je dôležitá úloha, ktorú nemožno obmedziť len na poskytovanie možnosti vzdelávania, ale aj ostatných činností podporujúcich vývoj detí a mládeže. Účelom a zámerom tohto podprogramu je zabezpečiť práve tieto dôležité úlohy a zabezpečovať objem pridelených finančných prostriedkov za predpokladu zvyšovania úrovne služieb. V podprograme  sú napočítané aj rozpočty pre zriaďovateľov neštátnych škôl a školských zariadení v tomto členení</w:t>
      </w:r>
      <w:r w:rsidRPr="00B73FDB">
        <w:rPr>
          <w:rFonts w:cs="Calibri"/>
          <w:lang w:eastAsia="sk-SK"/>
        </w:rPr>
        <w:t xml:space="preserve">: </w:t>
      </w:r>
    </w:p>
    <w:p w14:paraId="54AC0A72" w14:textId="77777777" w:rsidR="00B73FDB" w:rsidRPr="00352CED" w:rsidRDefault="00B73FDB" w:rsidP="00B73FDB">
      <w:pPr>
        <w:spacing w:after="0" w:line="240" w:lineRule="auto"/>
        <w:jc w:val="both"/>
        <w:rPr>
          <w:rFonts w:cs="Calibri"/>
          <w:u w:val="single"/>
          <w:lang w:eastAsia="sk-SK"/>
        </w:rPr>
      </w:pPr>
      <w:r w:rsidRPr="00352CED">
        <w:rPr>
          <w:rFonts w:cs="Calibri"/>
          <w:u w:val="single"/>
          <w:lang w:eastAsia="sk-SK"/>
        </w:rPr>
        <w:t>18 základných umeleckých škôl:</w:t>
      </w:r>
    </w:p>
    <w:p w14:paraId="67199E70" w14:textId="430C71CD" w:rsidR="00B73FDB" w:rsidRPr="00B73FDB" w:rsidRDefault="00B73FDB" w:rsidP="00B73FDB">
      <w:pPr>
        <w:spacing w:after="0" w:line="240" w:lineRule="auto"/>
        <w:rPr>
          <w:rFonts w:cs="Calibri"/>
          <w:lang w:eastAsia="sk-SK"/>
        </w:rPr>
      </w:pPr>
      <w:r w:rsidRPr="00B73FDB">
        <w:rPr>
          <w:rFonts w:cs="Calibri"/>
          <w:lang w:eastAsia="sk-SK"/>
        </w:rPr>
        <w:t xml:space="preserve"> ZUŠ - sv. Cecílie - Rímskokatolícka cirkev Bratislavská arcidiecéza</w:t>
      </w:r>
      <w:r w:rsidRPr="00B73FDB">
        <w:rPr>
          <w:rFonts w:cs="Calibri"/>
          <w:lang w:eastAsia="sk-SK"/>
        </w:rPr>
        <w:br/>
        <w:t xml:space="preserve">ZUŠ - Mgr. Renáta </w:t>
      </w:r>
      <w:proofErr w:type="spellStart"/>
      <w:r w:rsidRPr="00B73FDB">
        <w:rPr>
          <w:rFonts w:cs="Calibri"/>
          <w:lang w:eastAsia="sk-SK"/>
        </w:rPr>
        <w:t>Rovňáková</w:t>
      </w:r>
      <w:proofErr w:type="spellEnd"/>
      <w:r w:rsidRPr="00B73FDB">
        <w:rPr>
          <w:rFonts w:cs="Calibri"/>
          <w:lang w:eastAsia="sk-SK"/>
        </w:rPr>
        <w:t xml:space="preserve"> </w:t>
      </w:r>
      <w:proofErr w:type="spellStart"/>
      <w:r w:rsidRPr="00B73FDB">
        <w:rPr>
          <w:rFonts w:cs="Calibri"/>
          <w:lang w:eastAsia="sk-SK"/>
        </w:rPr>
        <w:t>Madarászová</w:t>
      </w:r>
      <w:proofErr w:type="spellEnd"/>
      <w:r w:rsidRPr="00B73FDB">
        <w:rPr>
          <w:rFonts w:cs="Calibri"/>
          <w:lang w:eastAsia="sk-SK"/>
        </w:rPr>
        <w:br/>
        <w:t>ZUŠ – Mgr. art. Peter Kuba</w:t>
      </w:r>
      <w:r w:rsidRPr="00B73FDB">
        <w:rPr>
          <w:rFonts w:cs="Calibri"/>
          <w:lang w:eastAsia="sk-SK"/>
        </w:rPr>
        <w:br/>
        <w:t xml:space="preserve">ZUŠ - Gabriel </w:t>
      </w:r>
      <w:proofErr w:type="spellStart"/>
      <w:r w:rsidRPr="00B73FDB">
        <w:rPr>
          <w:rFonts w:cs="Calibri"/>
          <w:lang w:eastAsia="sk-SK"/>
        </w:rPr>
        <w:t>Rovňák</w:t>
      </w:r>
      <w:proofErr w:type="spellEnd"/>
      <w:r w:rsidRPr="00B73FDB">
        <w:rPr>
          <w:rFonts w:cs="Calibri"/>
          <w:lang w:eastAsia="sk-SK"/>
        </w:rPr>
        <w:t xml:space="preserve"> </w:t>
      </w:r>
      <w:r w:rsidRPr="00B73FDB">
        <w:rPr>
          <w:rFonts w:cs="Calibri"/>
          <w:lang w:eastAsia="sk-SK"/>
        </w:rPr>
        <w:br/>
        <w:t xml:space="preserve">ZUŠ - Bratislavský chlapčenský zbor - Mgr. art. Magdaléna </w:t>
      </w:r>
      <w:proofErr w:type="spellStart"/>
      <w:r w:rsidRPr="00B73FDB">
        <w:rPr>
          <w:rFonts w:cs="Calibri"/>
          <w:lang w:eastAsia="sk-SK"/>
        </w:rPr>
        <w:t>Rovňáková</w:t>
      </w:r>
      <w:proofErr w:type="spellEnd"/>
      <w:r w:rsidRPr="00B73FDB">
        <w:rPr>
          <w:rFonts w:cs="Calibri"/>
          <w:lang w:eastAsia="sk-SK"/>
        </w:rPr>
        <w:t>, Art. D.,</w:t>
      </w:r>
      <w:r w:rsidRPr="00B73FDB">
        <w:rPr>
          <w:rFonts w:cs="Calibri"/>
          <w:lang w:eastAsia="sk-SK"/>
        </w:rPr>
        <w:br/>
        <w:t xml:space="preserve">ZUŠ - Mgr. art. Zdena </w:t>
      </w:r>
      <w:proofErr w:type="spellStart"/>
      <w:r w:rsidRPr="00B73FDB">
        <w:rPr>
          <w:rFonts w:cs="Calibri"/>
          <w:lang w:eastAsia="sk-SK"/>
        </w:rPr>
        <w:t>Némethyová</w:t>
      </w:r>
      <w:proofErr w:type="spellEnd"/>
      <w:r w:rsidRPr="00B73FDB">
        <w:rPr>
          <w:rFonts w:cs="Calibri"/>
          <w:lang w:eastAsia="sk-SK"/>
        </w:rPr>
        <w:br/>
        <w:t xml:space="preserve">ZUŠ - ALKANA - Alena </w:t>
      </w:r>
      <w:proofErr w:type="spellStart"/>
      <w:r w:rsidRPr="00B73FDB">
        <w:rPr>
          <w:rFonts w:cs="Calibri"/>
          <w:lang w:eastAsia="sk-SK"/>
        </w:rPr>
        <w:t>Kaňuková</w:t>
      </w:r>
      <w:proofErr w:type="spellEnd"/>
      <w:r w:rsidRPr="00B73FDB">
        <w:rPr>
          <w:rFonts w:cs="Calibri"/>
          <w:lang w:eastAsia="sk-SK"/>
        </w:rPr>
        <w:t xml:space="preserve"> </w:t>
      </w:r>
      <w:r w:rsidRPr="00B73FDB">
        <w:rPr>
          <w:rFonts w:cs="Calibri"/>
          <w:lang w:eastAsia="sk-SK"/>
        </w:rPr>
        <w:br/>
        <w:t xml:space="preserve">ZUŠ - ART PEGAS o. z. - Viktória Lacová </w:t>
      </w:r>
      <w:r w:rsidRPr="00B73FDB">
        <w:rPr>
          <w:rFonts w:cs="Calibri"/>
          <w:lang w:eastAsia="sk-SK"/>
        </w:rPr>
        <w:br/>
        <w:t xml:space="preserve">ZUŠ - Mgr. art. Zuzana </w:t>
      </w:r>
      <w:proofErr w:type="spellStart"/>
      <w:r w:rsidRPr="00B73FDB">
        <w:rPr>
          <w:rFonts w:cs="Calibri"/>
          <w:lang w:eastAsia="sk-SK"/>
        </w:rPr>
        <w:t>Gabrišová</w:t>
      </w:r>
      <w:proofErr w:type="spellEnd"/>
      <w:r w:rsidRPr="00B73FDB">
        <w:rPr>
          <w:rFonts w:cs="Calibri"/>
          <w:lang w:eastAsia="sk-SK"/>
        </w:rPr>
        <w:br/>
        <w:t>ZUŠ - BAMASTAV s. r. o. - Ing. arch. Jozef Baláž</w:t>
      </w:r>
      <w:r w:rsidRPr="00B73FDB">
        <w:rPr>
          <w:rFonts w:cs="Calibri"/>
          <w:lang w:eastAsia="sk-SK"/>
        </w:rPr>
        <w:br/>
        <w:t xml:space="preserve">ZUŠ - Mgr. Ján </w:t>
      </w:r>
      <w:proofErr w:type="spellStart"/>
      <w:r w:rsidRPr="00B73FDB">
        <w:rPr>
          <w:rFonts w:cs="Calibri"/>
          <w:lang w:eastAsia="sk-SK"/>
        </w:rPr>
        <w:t>Sirotka</w:t>
      </w:r>
      <w:proofErr w:type="spellEnd"/>
      <w:r w:rsidRPr="00B73FDB">
        <w:rPr>
          <w:rFonts w:cs="Calibri"/>
          <w:lang w:eastAsia="sk-SK"/>
        </w:rPr>
        <w:t xml:space="preserve"> </w:t>
      </w:r>
      <w:r w:rsidRPr="00B73FDB">
        <w:rPr>
          <w:rFonts w:cs="Calibri"/>
          <w:lang w:eastAsia="sk-SK"/>
        </w:rPr>
        <w:br/>
        <w:t xml:space="preserve">ZUŠ - Mgr. Klaudia </w:t>
      </w:r>
      <w:proofErr w:type="spellStart"/>
      <w:r w:rsidRPr="00B73FDB">
        <w:rPr>
          <w:rFonts w:cs="Calibri"/>
          <w:lang w:eastAsia="sk-SK"/>
        </w:rPr>
        <w:t>Gájerová</w:t>
      </w:r>
      <w:proofErr w:type="spellEnd"/>
      <w:r w:rsidRPr="00B73FDB">
        <w:rPr>
          <w:rFonts w:cs="Calibri"/>
          <w:lang w:eastAsia="sk-SK"/>
        </w:rPr>
        <w:t xml:space="preserve"> </w:t>
      </w:r>
      <w:r w:rsidRPr="00B73FDB">
        <w:rPr>
          <w:rFonts w:cs="Calibri"/>
          <w:lang w:eastAsia="sk-SK"/>
        </w:rPr>
        <w:br/>
        <w:t xml:space="preserve">ZUŠ - Mgr. Peter </w:t>
      </w:r>
      <w:proofErr w:type="spellStart"/>
      <w:r w:rsidRPr="00B73FDB">
        <w:rPr>
          <w:rFonts w:cs="Calibri"/>
          <w:lang w:eastAsia="sk-SK"/>
        </w:rPr>
        <w:t>Vrbinčík</w:t>
      </w:r>
      <w:proofErr w:type="spellEnd"/>
      <w:r w:rsidRPr="00B73FDB">
        <w:rPr>
          <w:rFonts w:cs="Calibri"/>
          <w:lang w:eastAsia="sk-SK"/>
        </w:rPr>
        <w:t xml:space="preserve"> Art. D</w:t>
      </w:r>
      <w:r w:rsidRPr="00B73FDB">
        <w:rPr>
          <w:rFonts w:cs="Calibri"/>
          <w:lang w:eastAsia="sk-SK"/>
        </w:rPr>
        <w:br/>
        <w:t xml:space="preserve">ZUŠ – Ateliér – </w:t>
      </w:r>
      <w:proofErr w:type="spellStart"/>
      <w:r w:rsidRPr="00B73FDB">
        <w:rPr>
          <w:rFonts w:cs="Calibri"/>
          <w:lang w:eastAsia="sk-SK"/>
        </w:rPr>
        <w:t>Akadem</w:t>
      </w:r>
      <w:proofErr w:type="spellEnd"/>
      <w:r w:rsidRPr="00B73FDB">
        <w:rPr>
          <w:rFonts w:cs="Calibri"/>
          <w:lang w:eastAsia="sk-SK"/>
        </w:rPr>
        <w:t xml:space="preserve">. maliar. Jitka </w:t>
      </w:r>
      <w:proofErr w:type="spellStart"/>
      <w:r w:rsidRPr="00B73FDB">
        <w:rPr>
          <w:rFonts w:cs="Calibri"/>
          <w:lang w:eastAsia="sk-SK"/>
        </w:rPr>
        <w:t>Bezúrová</w:t>
      </w:r>
      <w:proofErr w:type="spellEnd"/>
      <w:r w:rsidRPr="00B73FDB">
        <w:rPr>
          <w:rFonts w:cs="Calibri"/>
          <w:lang w:eastAsia="sk-SK"/>
        </w:rPr>
        <w:t xml:space="preserve"> </w:t>
      </w:r>
      <w:r w:rsidRPr="00B73FDB">
        <w:rPr>
          <w:rFonts w:cs="Calibri"/>
          <w:lang w:eastAsia="sk-SK"/>
        </w:rPr>
        <w:br/>
        <w:t xml:space="preserve">ZUŠ - Mgr. Dominik </w:t>
      </w:r>
      <w:proofErr w:type="spellStart"/>
      <w:r w:rsidRPr="00B73FDB">
        <w:rPr>
          <w:rFonts w:cs="Calibri"/>
          <w:lang w:eastAsia="sk-SK"/>
        </w:rPr>
        <w:t>Gajdošech</w:t>
      </w:r>
      <w:proofErr w:type="spellEnd"/>
      <w:r w:rsidRPr="00B73FDB">
        <w:rPr>
          <w:rFonts w:cs="Calibri"/>
          <w:lang w:eastAsia="sk-SK"/>
        </w:rPr>
        <w:br/>
        <w:t xml:space="preserve">ZUŠ – Výtvarný ateliér LADON - Alexandra </w:t>
      </w:r>
      <w:proofErr w:type="spellStart"/>
      <w:r w:rsidRPr="00B73FDB">
        <w:rPr>
          <w:rFonts w:cs="Calibri"/>
          <w:lang w:eastAsia="sk-SK"/>
        </w:rPr>
        <w:t>Puchovská</w:t>
      </w:r>
      <w:proofErr w:type="spellEnd"/>
      <w:r w:rsidRPr="00B73FDB">
        <w:rPr>
          <w:rFonts w:cs="Calibri"/>
          <w:lang w:eastAsia="sk-SK"/>
        </w:rPr>
        <w:br/>
        <w:t>ZUŠ – Mgr. art. Jana Némethová</w:t>
      </w:r>
      <w:r w:rsidRPr="00B73FDB">
        <w:rPr>
          <w:rFonts w:cs="Calibri"/>
          <w:lang w:eastAsia="sk-SK"/>
        </w:rPr>
        <w:br/>
        <w:t xml:space="preserve">ZUŠ – Prof. Boris </w:t>
      </w:r>
      <w:proofErr w:type="spellStart"/>
      <w:r w:rsidRPr="00B73FDB">
        <w:rPr>
          <w:rFonts w:cs="Calibri"/>
          <w:lang w:eastAsia="sk-SK"/>
        </w:rPr>
        <w:t>Lenko</w:t>
      </w:r>
      <w:proofErr w:type="spellEnd"/>
      <w:r w:rsidRPr="00B73FDB">
        <w:rPr>
          <w:rFonts w:cs="Calibri"/>
          <w:lang w:eastAsia="sk-SK"/>
        </w:rPr>
        <w:t xml:space="preserve">, </w:t>
      </w:r>
      <w:proofErr w:type="spellStart"/>
      <w:r w:rsidRPr="00B73FDB">
        <w:rPr>
          <w:rFonts w:cs="Calibri"/>
          <w:lang w:eastAsia="sk-SK"/>
        </w:rPr>
        <w:t>Art.D</w:t>
      </w:r>
      <w:proofErr w:type="spellEnd"/>
      <w:r w:rsidRPr="00B73FDB">
        <w:rPr>
          <w:rFonts w:cs="Calibri"/>
          <w:lang w:eastAsia="sk-SK"/>
        </w:rPr>
        <w:t>.</w:t>
      </w:r>
      <w:r w:rsidRPr="00B73FDB">
        <w:rPr>
          <w:rFonts w:cs="Calibri"/>
          <w:lang w:eastAsia="sk-SK"/>
        </w:rPr>
        <w:br/>
      </w:r>
      <w:r w:rsidRPr="00B73FDB">
        <w:rPr>
          <w:rFonts w:cs="Calibri"/>
          <w:lang w:eastAsia="sk-SK"/>
        </w:rPr>
        <w:br/>
      </w:r>
      <w:r w:rsidRPr="00352CED">
        <w:rPr>
          <w:rFonts w:cs="Calibri"/>
          <w:u w:val="single"/>
          <w:lang w:eastAsia="sk-SK"/>
        </w:rPr>
        <w:t>6 centier voľného času:</w:t>
      </w:r>
      <w:r w:rsidRPr="00352CED">
        <w:rPr>
          <w:rFonts w:cs="Calibri"/>
          <w:u w:val="single"/>
          <w:lang w:eastAsia="sk-SK"/>
        </w:rPr>
        <w:br/>
      </w:r>
      <w:r w:rsidRPr="00B73FDB">
        <w:rPr>
          <w:rFonts w:cs="Calibri"/>
          <w:lang w:eastAsia="sk-SK"/>
        </w:rPr>
        <w:t>CVČ – Výchovno-vzdelávacie združenie Bajkalská 20, Bratislava</w:t>
      </w:r>
      <w:r w:rsidRPr="00B73FDB">
        <w:rPr>
          <w:rFonts w:cs="Calibri"/>
          <w:lang w:eastAsia="sk-SK"/>
        </w:rPr>
        <w:br/>
        <w:t xml:space="preserve">CVČ - Tomáš </w:t>
      </w:r>
      <w:proofErr w:type="spellStart"/>
      <w:r w:rsidRPr="00B73FDB">
        <w:rPr>
          <w:rFonts w:cs="Calibri"/>
          <w:lang w:eastAsia="sk-SK"/>
        </w:rPr>
        <w:t>Chadim</w:t>
      </w:r>
      <w:proofErr w:type="spellEnd"/>
      <w:r w:rsidRPr="00B73FDB">
        <w:rPr>
          <w:rFonts w:cs="Calibri"/>
          <w:lang w:eastAsia="sk-SK"/>
        </w:rPr>
        <w:br/>
        <w:t xml:space="preserve">CVČ - Mgr. Viera </w:t>
      </w:r>
      <w:proofErr w:type="spellStart"/>
      <w:r w:rsidRPr="00B73FDB">
        <w:rPr>
          <w:rFonts w:cs="Calibri"/>
          <w:lang w:eastAsia="sk-SK"/>
        </w:rPr>
        <w:t>Zavarčíková</w:t>
      </w:r>
      <w:proofErr w:type="spellEnd"/>
      <w:r w:rsidRPr="00B73FDB">
        <w:rPr>
          <w:rFonts w:cs="Calibri"/>
          <w:lang w:eastAsia="sk-SK"/>
        </w:rPr>
        <w:br/>
        <w:t xml:space="preserve">CVČ - SABUŽ, o. z., pobočka Modra </w:t>
      </w:r>
      <w:r w:rsidRPr="00B73FDB">
        <w:rPr>
          <w:rFonts w:cs="Calibri"/>
          <w:lang w:eastAsia="sk-SK"/>
        </w:rPr>
        <w:br/>
        <w:t xml:space="preserve">CVČ - ASSOS </w:t>
      </w:r>
      <w:proofErr w:type="spellStart"/>
      <w:r w:rsidRPr="00B73FDB">
        <w:rPr>
          <w:rFonts w:cs="Calibri"/>
          <w:lang w:eastAsia="sk-SK"/>
        </w:rPr>
        <w:t>Nelux</w:t>
      </w:r>
      <w:proofErr w:type="spellEnd"/>
      <w:r w:rsidRPr="00B73FDB">
        <w:rPr>
          <w:rFonts w:cs="Calibri"/>
          <w:lang w:eastAsia="sk-SK"/>
        </w:rPr>
        <w:t xml:space="preserve"> Bratislava </w:t>
      </w:r>
      <w:r w:rsidRPr="00B73FDB">
        <w:rPr>
          <w:rFonts w:cs="Calibri"/>
          <w:lang w:eastAsia="sk-SK"/>
        </w:rPr>
        <w:br/>
        <w:t xml:space="preserve">CVČ - AKTIV, o. z. </w:t>
      </w:r>
      <w:r w:rsidRPr="00B73FDB">
        <w:rPr>
          <w:rFonts w:cs="Calibri"/>
          <w:lang w:eastAsia="sk-SK"/>
        </w:rPr>
        <w:br/>
      </w:r>
      <w:r w:rsidRPr="00B73FDB">
        <w:rPr>
          <w:rFonts w:cs="Calibri"/>
          <w:lang w:eastAsia="sk-SK"/>
        </w:rPr>
        <w:br/>
      </w:r>
      <w:r w:rsidRPr="00352CED">
        <w:rPr>
          <w:rFonts w:cs="Calibri"/>
          <w:u w:val="single"/>
          <w:lang w:eastAsia="sk-SK"/>
        </w:rPr>
        <w:t>1 jazyková škola:</w:t>
      </w:r>
      <w:r w:rsidRPr="00352CED">
        <w:rPr>
          <w:rFonts w:cs="Calibri"/>
          <w:u w:val="single"/>
          <w:lang w:eastAsia="sk-SK"/>
        </w:rPr>
        <w:br/>
      </w:r>
      <w:r w:rsidRPr="00B73FDB">
        <w:rPr>
          <w:rFonts w:cs="Calibri"/>
          <w:lang w:eastAsia="sk-SK"/>
        </w:rPr>
        <w:t xml:space="preserve">JŠ - </w:t>
      </w:r>
      <w:proofErr w:type="spellStart"/>
      <w:r w:rsidRPr="00B73FDB">
        <w:rPr>
          <w:rFonts w:cs="Calibri"/>
          <w:lang w:eastAsia="sk-SK"/>
        </w:rPr>
        <w:t>iCan</w:t>
      </w:r>
      <w:proofErr w:type="spellEnd"/>
      <w:r w:rsidRPr="00B73FDB">
        <w:rPr>
          <w:rFonts w:cs="Calibri"/>
          <w:lang w:eastAsia="sk-SK"/>
        </w:rPr>
        <w:t xml:space="preserve"> s. r. o., Špitálska 53, 811 01 Bratislava</w:t>
      </w:r>
      <w:r w:rsidRPr="00B73FDB">
        <w:rPr>
          <w:rFonts w:cs="Calibri"/>
          <w:lang w:eastAsia="sk-SK"/>
        </w:rPr>
        <w:br/>
      </w:r>
      <w:r w:rsidRPr="00B73FDB">
        <w:rPr>
          <w:rFonts w:cs="Calibri"/>
          <w:lang w:eastAsia="sk-SK"/>
        </w:rPr>
        <w:br/>
      </w:r>
      <w:r w:rsidRPr="00352CED">
        <w:rPr>
          <w:rFonts w:cs="Calibri"/>
          <w:u w:val="single"/>
          <w:lang w:eastAsia="sk-SK"/>
        </w:rPr>
        <w:t xml:space="preserve">35 zariadení školského stravovania (školské jedálne a výdajné školské jedálne): </w:t>
      </w:r>
      <w:r w:rsidRPr="00352CED">
        <w:rPr>
          <w:rFonts w:cs="Calibri"/>
          <w:u w:val="single"/>
          <w:lang w:eastAsia="sk-SK"/>
        </w:rPr>
        <w:br/>
      </w:r>
      <w:r w:rsidRPr="00B73FDB">
        <w:rPr>
          <w:rFonts w:cs="Calibri"/>
          <w:lang w:eastAsia="sk-SK"/>
        </w:rPr>
        <w:t>ŠJ - SŠ sv. Vincenta de Paul - Bratislavská arcidiecéza</w:t>
      </w:r>
      <w:r w:rsidRPr="00B73FDB">
        <w:rPr>
          <w:rFonts w:cs="Calibri"/>
          <w:lang w:eastAsia="sk-SK"/>
        </w:rPr>
        <w:br/>
        <w:t>ŠJ – SŠ sv. Františka Assiského - Bratislavská arcidiecéza</w:t>
      </w:r>
      <w:r w:rsidRPr="00B73FDB">
        <w:rPr>
          <w:rFonts w:cs="Calibri"/>
          <w:lang w:eastAsia="sk-SK"/>
        </w:rPr>
        <w:br/>
        <w:t xml:space="preserve">ŠJ - GY Matky </w:t>
      </w:r>
      <w:proofErr w:type="spellStart"/>
      <w:r w:rsidRPr="00B73FDB">
        <w:rPr>
          <w:rFonts w:cs="Calibri"/>
          <w:lang w:eastAsia="sk-SK"/>
        </w:rPr>
        <w:t>Alexie</w:t>
      </w:r>
      <w:proofErr w:type="spellEnd"/>
      <w:r w:rsidRPr="00B73FDB">
        <w:rPr>
          <w:rFonts w:cs="Calibri"/>
          <w:lang w:eastAsia="sk-SK"/>
        </w:rPr>
        <w:t xml:space="preserve"> - </w:t>
      </w:r>
      <w:proofErr w:type="spellStart"/>
      <w:r w:rsidRPr="00B73FDB">
        <w:rPr>
          <w:rFonts w:cs="Calibri"/>
          <w:lang w:eastAsia="sk-SK"/>
        </w:rPr>
        <w:t>Kanonistky</w:t>
      </w:r>
      <w:proofErr w:type="spellEnd"/>
      <w:r w:rsidRPr="00B73FDB">
        <w:rPr>
          <w:rFonts w:cs="Calibri"/>
          <w:lang w:eastAsia="sk-SK"/>
        </w:rPr>
        <w:t xml:space="preserve"> sv. Augustína</w:t>
      </w:r>
      <w:r w:rsidRPr="00B73FDB">
        <w:rPr>
          <w:rFonts w:cs="Calibri"/>
          <w:lang w:eastAsia="sk-SK"/>
        </w:rPr>
        <w:br/>
        <w:t xml:space="preserve">VŠJ - SŠ de La </w:t>
      </w:r>
      <w:proofErr w:type="spellStart"/>
      <w:r w:rsidRPr="00B73FDB">
        <w:rPr>
          <w:rFonts w:cs="Calibri"/>
          <w:lang w:eastAsia="sk-SK"/>
        </w:rPr>
        <w:t>Salle</w:t>
      </w:r>
      <w:proofErr w:type="spellEnd"/>
      <w:r w:rsidRPr="00B73FDB">
        <w:rPr>
          <w:rFonts w:cs="Calibri"/>
          <w:lang w:eastAsia="sk-SK"/>
        </w:rPr>
        <w:t xml:space="preserve"> - Inštitút školských bratov</w:t>
      </w:r>
      <w:r w:rsidRPr="00B73FDB">
        <w:rPr>
          <w:rFonts w:cs="Calibri"/>
          <w:lang w:eastAsia="sk-SK"/>
        </w:rPr>
        <w:br/>
        <w:t>ŠJ - ZŠ sv. Uršule - Rímska únia Rádu sv. Uršule</w:t>
      </w:r>
      <w:r w:rsidRPr="00B73FDB">
        <w:rPr>
          <w:rFonts w:cs="Calibri"/>
          <w:lang w:eastAsia="sk-SK"/>
        </w:rPr>
        <w:br/>
        <w:t>ŠJ - Výchovno-vzdelávacie združenie, Bajkalská 20, BA</w:t>
      </w:r>
      <w:r w:rsidRPr="00B73FDB">
        <w:rPr>
          <w:rFonts w:cs="Calibri"/>
          <w:lang w:eastAsia="sk-SK"/>
        </w:rPr>
        <w:br/>
        <w:t xml:space="preserve">ŠJ - Ing. Jozef </w:t>
      </w:r>
      <w:proofErr w:type="spellStart"/>
      <w:r w:rsidRPr="00B73FDB">
        <w:rPr>
          <w:rFonts w:cs="Calibri"/>
          <w:lang w:eastAsia="sk-SK"/>
        </w:rPr>
        <w:t>Biznár</w:t>
      </w:r>
      <w:proofErr w:type="spellEnd"/>
      <w:r w:rsidRPr="00B73FDB">
        <w:rPr>
          <w:rFonts w:cs="Calibri"/>
          <w:lang w:eastAsia="sk-SK"/>
        </w:rPr>
        <w:br/>
        <w:t>ŠJ - PINO s. r. o. - Tomáš Meszároš</w:t>
      </w:r>
      <w:r w:rsidRPr="00B73FDB">
        <w:rPr>
          <w:rFonts w:cs="Calibri"/>
          <w:lang w:eastAsia="sk-SK"/>
        </w:rPr>
        <w:br/>
        <w:t xml:space="preserve">ŠJ - Závodná jedáleň - </w:t>
      </w:r>
      <w:proofErr w:type="spellStart"/>
      <w:r w:rsidRPr="00B73FDB">
        <w:rPr>
          <w:rFonts w:cs="Calibri"/>
          <w:lang w:eastAsia="sk-SK"/>
        </w:rPr>
        <w:t>Olšovská</w:t>
      </w:r>
      <w:proofErr w:type="spellEnd"/>
      <w:r w:rsidRPr="00B73FDB">
        <w:rPr>
          <w:rFonts w:cs="Calibri"/>
          <w:lang w:eastAsia="sk-SK"/>
        </w:rPr>
        <w:t xml:space="preserve"> - Anna </w:t>
      </w:r>
      <w:proofErr w:type="spellStart"/>
      <w:r w:rsidRPr="00B73FDB">
        <w:rPr>
          <w:rFonts w:cs="Calibri"/>
          <w:lang w:eastAsia="sk-SK"/>
        </w:rPr>
        <w:t>Maríková</w:t>
      </w:r>
      <w:proofErr w:type="spellEnd"/>
      <w:r w:rsidRPr="00B73FDB">
        <w:rPr>
          <w:rFonts w:cs="Calibri"/>
          <w:lang w:eastAsia="sk-SK"/>
        </w:rPr>
        <w:t xml:space="preserve"> </w:t>
      </w:r>
      <w:r w:rsidRPr="00B73FDB">
        <w:rPr>
          <w:rFonts w:cs="Calibri"/>
          <w:lang w:eastAsia="sk-SK"/>
        </w:rPr>
        <w:br/>
        <w:t xml:space="preserve">ŠJ - I. E. G. stravovacie služby - Igor </w:t>
      </w:r>
      <w:proofErr w:type="spellStart"/>
      <w:r w:rsidRPr="00B73FDB">
        <w:rPr>
          <w:rFonts w:cs="Calibri"/>
          <w:lang w:eastAsia="sk-SK"/>
        </w:rPr>
        <w:t>Goruša</w:t>
      </w:r>
      <w:proofErr w:type="spellEnd"/>
      <w:r w:rsidRPr="00B73FDB">
        <w:rPr>
          <w:rFonts w:cs="Calibri"/>
          <w:lang w:eastAsia="sk-SK"/>
        </w:rPr>
        <w:t xml:space="preserve"> </w:t>
      </w:r>
      <w:r w:rsidRPr="00B73FDB">
        <w:rPr>
          <w:rFonts w:cs="Calibri"/>
          <w:lang w:eastAsia="sk-SK"/>
        </w:rPr>
        <w:br/>
        <w:t xml:space="preserve">ŠJ - GY MERCURY - Helena </w:t>
      </w:r>
      <w:proofErr w:type="spellStart"/>
      <w:r w:rsidRPr="00B73FDB">
        <w:rPr>
          <w:rFonts w:cs="Calibri"/>
          <w:lang w:eastAsia="sk-SK"/>
        </w:rPr>
        <w:t>Barnová</w:t>
      </w:r>
      <w:proofErr w:type="spellEnd"/>
      <w:r w:rsidRPr="00B73FDB">
        <w:rPr>
          <w:rFonts w:cs="Calibri"/>
          <w:lang w:eastAsia="sk-SK"/>
        </w:rPr>
        <w:br/>
        <w:t xml:space="preserve">ŠJ - </w:t>
      </w:r>
      <w:proofErr w:type="spellStart"/>
      <w:r w:rsidRPr="00B73FDB">
        <w:rPr>
          <w:rFonts w:cs="Calibri"/>
          <w:lang w:eastAsia="sk-SK"/>
        </w:rPr>
        <w:t>Súkr</w:t>
      </w:r>
      <w:proofErr w:type="spellEnd"/>
      <w:r w:rsidRPr="00B73FDB">
        <w:rPr>
          <w:rFonts w:cs="Calibri"/>
          <w:lang w:eastAsia="sk-SK"/>
        </w:rPr>
        <w:t xml:space="preserve">. ŠJ H. B. - Helena Blahová </w:t>
      </w:r>
      <w:r w:rsidRPr="00B73FDB">
        <w:rPr>
          <w:rFonts w:cs="Calibri"/>
          <w:lang w:eastAsia="sk-SK"/>
        </w:rPr>
        <w:br/>
        <w:t xml:space="preserve">ŠJ - Gizela </w:t>
      </w:r>
      <w:proofErr w:type="spellStart"/>
      <w:r w:rsidRPr="00B73FDB">
        <w:rPr>
          <w:rFonts w:cs="Calibri"/>
          <w:lang w:eastAsia="sk-SK"/>
        </w:rPr>
        <w:t>Zelisková</w:t>
      </w:r>
      <w:proofErr w:type="spellEnd"/>
      <w:r w:rsidRPr="00B73FDB">
        <w:rPr>
          <w:rFonts w:cs="Calibri"/>
          <w:lang w:eastAsia="sk-SK"/>
        </w:rPr>
        <w:br/>
        <w:t xml:space="preserve">ŠJ - </w:t>
      </w:r>
      <w:proofErr w:type="spellStart"/>
      <w:r w:rsidRPr="00B73FDB">
        <w:rPr>
          <w:rFonts w:cs="Calibri"/>
          <w:lang w:eastAsia="sk-SK"/>
        </w:rPr>
        <w:t>Baracuda</w:t>
      </w:r>
      <w:proofErr w:type="spellEnd"/>
      <w:r w:rsidRPr="00B73FDB">
        <w:rPr>
          <w:rFonts w:cs="Calibri"/>
          <w:lang w:eastAsia="sk-SK"/>
        </w:rPr>
        <w:t xml:space="preserve"> s.r.o. - Henrich </w:t>
      </w:r>
      <w:proofErr w:type="spellStart"/>
      <w:r w:rsidRPr="00B73FDB">
        <w:rPr>
          <w:rFonts w:cs="Calibri"/>
          <w:lang w:eastAsia="sk-SK"/>
        </w:rPr>
        <w:t>Dolinský</w:t>
      </w:r>
      <w:proofErr w:type="spellEnd"/>
      <w:r w:rsidRPr="00B73FDB">
        <w:rPr>
          <w:rFonts w:cs="Calibri"/>
          <w:lang w:eastAsia="sk-SK"/>
        </w:rPr>
        <w:br/>
      </w:r>
      <w:r w:rsidRPr="00B73FDB">
        <w:rPr>
          <w:rFonts w:cs="Calibri"/>
          <w:lang w:eastAsia="sk-SK"/>
        </w:rPr>
        <w:lastRenderedPageBreak/>
        <w:t xml:space="preserve">ŠJ - Galileo </w:t>
      </w:r>
      <w:proofErr w:type="spellStart"/>
      <w:r w:rsidRPr="00B73FDB">
        <w:rPr>
          <w:rFonts w:cs="Calibri"/>
          <w:lang w:eastAsia="sk-SK"/>
        </w:rPr>
        <w:t>School</w:t>
      </w:r>
      <w:proofErr w:type="spellEnd"/>
      <w:r w:rsidRPr="00B73FDB">
        <w:rPr>
          <w:rFonts w:cs="Calibri"/>
          <w:lang w:eastAsia="sk-SK"/>
        </w:rPr>
        <w:t xml:space="preserve"> - Galileo </w:t>
      </w:r>
      <w:proofErr w:type="spellStart"/>
      <w:r w:rsidRPr="00B73FDB">
        <w:rPr>
          <w:rFonts w:cs="Calibri"/>
          <w:lang w:eastAsia="sk-SK"/>
        </w:rPr>
        <w:t>School</w:t>
      </w:r>
      <w:proofErr w:type="spellEnd"/>
      <w:r w:rsidRPr="00B73FDB">
        <w:rPr>
          <w:rFonts w:cs="Calibri"/>
          <w:lang w:eastAsia="sk-SK"/>
        </w:rPr>
        <w:t xml:space="preserve"> s. r. o.</w:t>
      </w:r>
      <w:r w:rsidRPr="00B73FDB">
        <w:rPr>
          <w:rFonts w:cs="Calibri"/>
          <w:lang w:eastAsia="sk-SK"/>
        </w:rPr>
        <w:br/>
        <w:t xml:space="preserve">VŠJ - </w:t>
      </w:r>
      <w:proofErr w:type="spellStart"/>
      <w:r w:rsidRPr="00B73FDB">
        <w:rPr>
          <w:rFonts w:cs="Calibri"/>
          <w:lang w:eastAsia="sk-SK"/>
        </w:rPr>
        <w:t>Zdr</w:t>
      </w:r>
      <w:proofErr w:type="spellEnd"/>
      <w:r w:rsidRPr="00B73FDB">
        <w:rPr>
          <w:rFonts w:cs="Calibri"/>
          <w:lang w:eastAsia="sk-SK"/>
        </w:rPr>
        <w:t>. rodičov Spol. nemecko-slovenskej školy v Bratislave</w:t>
      </w:r>
      <w:r w:rsidRPr="00B73FDB">
        <w:rPr>
          <w:rFonts w:cs="Calibri"/>
          <w:lang w:eastAsia="sk-SK"/>
        </w:rPr>
        <w:br/>
        <w:t xml:space="preserve">ŠJ - Ingrid Šperková </w:t>
      </w:r>
      <w:r w:rsidRPr="00B73FDB">
        <w:rPr>
          <w:rFonts w:cs="Calibri"/>
          <w:lang w:eastAsia="sk-SK"/>
        </w:rPr>
        <w:br/>
        <w:t xml:space="preserve">ŠJ – </w:t>
      </w:r>
      <w:proofErr w:type="spellStart"/>
      <w:r w:rsidRPr="00B73FDB">
        <w:rPr>
          <w:rFonts w:cs="Calibri"/>
          <w:lang w:eastAsia="sk-SK"/>
        </w:rPr>
        <w:t>Global</w:t>
      </w:r>
      <w:proofErr w:type="spellEnd"/>
      <w:r w:rsidRPr="00B73FDB">
        <w:rPr>
          <w:rFonts w:cs="Calibri"/>
          <w:lang w:eastAsia="sk-SK"/>
        </w:rPr>
        <w:t xml:space="preserve"> </w:t>
      </w:r>
      <w:proofErr w:type="spellStart"/>
      <w:r w:rsidRPr="00B73FDB">
        <w:rPr>
          <w:rFonts w:cs="Calibri"/>
          <w:lang w:eastAsia="sk-SK"/>
        </w:rPr>
        <w:t>Gastro</w:t>
      </w:r>
      <w:proofErr w:type="spellEnd"/>
      <w:r w:rsidRPr="00B73FDB">
        <w:rPr>
          <w:rFonts w:cs="Calibri"/>
          <w:lang w:eastAsia="sk-SK"/>
        </w:rPr>
        <w:t>, s.r.o.</w:t>
      </w:r>
      <w:r w:rsidRPr="00B73FDB">
        <w:rPr>
          <w:rFonts w:cs="Calibri"/>
          <w:lang w:eastAsia="sk-SK"/>
        </w:rPr>
        <w:br/>
        <w:t>ŠJ - ako súčasť ŠI, Telocvičná11, Bratislava</w:t>
      </w:r>
      <w:r w:rsidRPr="00B73FDB">
        <w:rPr>
          <w:rFonts w:cs="Calibri"/>
          <w:lang w:eastAsia="sk-SK"/>
        </w:rPr>
        <w:br/>
        <w:t>ŠJ - CITY GASTRO s. r. o.</w:t>
      </w:r>
      <w:r w:rsidRPr="00B73FDB">
        <w:rPr>
          <w:rFonts w:cs="Calibri"/>
          <w:lang w:eastAsia="sk-SK"/>
        </w:rPr>
        <w:br/>
        <w:t>ŠJ – FIBI TSM, s.r.o.</w:t>
      </w:r>
      <w:r w:rsidRPr="00B73FDB">
        <w:rPr>
          <w:rFonts w:cs="Calibri"/>
          <w:lang w:eastAsia="sk-SK"/>
        </w:rPr>
        <w:br/>
        <w:t xml:space="preserve">ŠJ – </w:t>
      </w:r>
      <w:proofErr w:type="spellStart"/>
      <w:r w:rsidRPr="00B73FDB">
        <w:rPr>
          <w:rFonts w:cs="Calibri"/>
          <w:lang w:eastAsia="sk-SK"/>
        </w:rPr>
        <w:t>Smart</w:t>
      </w:r>
      <w:proofErr w:type="spellEnd"/>
      <w:r w:rsidRPr="00B73FDB">
        <w:rPr>
          <w:rFonts w:cs="Calibri"/>
          <w:lang w:eastAsia="sk-SK"/>
        </w:rPr>
        <w:t xml:space="preserve"> Business Solutions, s.r.o.</w:t>
      </w:r>
      <w:r w:rsidRPr="00B73FDB">
        <w:rPr>
          <w:rFonts w:cs="Calibri"/>
          <w:lang w:eastAsia="sk-SK"/>
        </w:rPr>
        <w:br/>
        <w:t xml:space="preserve">ŠJ – Vlasta </w:t>
      </w:r>
      <w:proofErr w:type="spellStart"/>
      <w:r w:rsidRPr="00B73FDB">
        <w:rPr>
          <w:rFonts w:cs="Calibri"/>
          <w:lang w:eastAsia="sk-SK"/>
        </w:rPr>
        <w:t>Čechovičová</w:t>
      </w:r>
      <w:proofErr w:type="spellEnd"/>
      <w:r w:rsidRPr="00B73FDB">
        <w:rPr>
          <w:rFonts w:cs="Calibri"/>
          <w:lang w:eastAsia="sk-SK"/>
        </w:rPr>
        <w:br/>
        <w:t>ŠJ - ZŠ Ružová dolina 29</w:t>
      </w:r>
      <w:r w:rsidRPr="00B73FDB">
        <w:rPr>
          <w:rFonts w:cs="Calibri"/>
          <w:lang w:eastAsia="sk-SK"/>
        </w:rPr>
        <w:br/>
        <w:t xml:space="preserve">ŠJ - pri ZŠ </w:t>
      </w:r>
      <w:proofErr w:type="spellStart"/>
      <w:r w:rsidRPr="00B73FDB">
        <w:rPr>
          <w:rFonts w:cs="Calibri"/>
          <w:lang w:eastAsia="sk-SK"/>
        </w:rPr>
        <w:t>Kuliškova</w:t>
      </w:r>
      <w:proofErr w:type="spellEnd"/>
      <w:r w:rsidRPr="00B73FDB">
        <w:rPr>
          <w:rFonts w:cs="Calibri"/>
          <w:lang w:eastAsia="sk-SK"/>
        </w:rPr>
        <w:t xml:space="preserve"> 8 </w:t>
      </w:r>
      <w:r w:rsidRPr="00B73FDB">
        <w:rPr>
          <w:rFonts w:cs="Calibri"/>
          <w:lang w:eastAsia="sk-SK"/>
        </w:rPr>
        <w:br/>
        <w:t>ŠJ - pri ZŠ Biskupická 21</w:t>
      </w:r>
      <w:r w:rsidRPr="00B73FDB">
        <w:rPr>
          <w:rFonts w:cs="Calibri"/>
          <w:lang w:eastAsia="sk-SK"/>
        </w:rPr>
        <w:br/>
        <w:t>ŠJ - pri ZŠ Vlastenecké nám. 1</w:t>
      </w:r>
      <w:r w:rsidRPr="00B73FDB">
        <w:rPr>
          <w:rFonts w:cs="Calibri"/>
          <w:lang w:eastAsia="sk-SK"/>
        </w:rPr>
        <w:br/>
        <w:t xml:space="preserve">ŠJ - pri SOŠ </w:t>
      </w:r>
      <w:proofErr w:type="spellStart"/>
      <w:r w:rsidRPr="00B73FDB">
        <w:rPr>
          <w:rFonts w:cs="Calibri"/>
          <w:lang w:eastAsia="sk-SK"/>
        </w:rPr>
        <w:t>Koceľova</w:t>
      </w:r>
      <w:proofErr w:type="spellEnd"/>
      <w:r w:rsidRPr="00B73FDB">
        <w:rPr>
          <w:rFonts w:cs="Calibri"/>
          <w:lang w:eastAsia="sk-SK"/>
        </w:rPr>
        <w:t xml:space="preserve"> 26</w:t>
      </w:r>
      <w:r w:rsidRPr="00B73FDB">
        <w:rPr>
          <w:rFonts w:cs="Calibri"/>
          <w:lang w:eastAsia="sk-SK"/>
        </w:rPr>
        <w:br/>
        <w:t xml:space="preserve">VŠJ - pri OU Dúbravská cesta 1 </w:t>
      </w:r>
      <w:r w:rsidRPr="00B73FDB">
        <w:rPr>
          <w:rFonts w:cs="Calibri"/>
          <w:lang w:eastAsia="sk-SK"/>
        </w:rPr>
        <w:br/>
        <w:t xml:space="preserve">ŠJ - pri ZŠ a MŠ Riazanská 75 </w:t>
      </w:r>
      <w:r w:rsidRPr="00B73FDB">
        <w:rPr>
          <w:rFonts w:cs="Calibri"/>
          <w:lang w:eastAsia="sk-SK"/>
        </w:rPr>
        <w:br/>
        <w:t>ŠJ - ZŠ Beňovského 1</w:t>
      </w:r>
      <w:r w:rsidRPr="00B73FDB">
        <w:rPr>
          <w:rFonts w:cs="Calibri"/>
          <w:lang w:eastAsia="sk-SK"/>
        </w:rPr>
        <w:br/>
        <w:t xml:space="preserve">ŠJ - pri ZŠ A. Dubčeka, </w:t>
      </w:r>
      <w:proofErr w:type="spellStart"/>
      <w:r w:rsidRPr="00B73FDB">
        <w:rPr>
          <w:rFonts w:cs="Calibri"/>
          <w:lang w:eastAsia="sk-SK"/>
        </w:rPr>
        <w:t>Majerníkova</w:t>
      </w:r>
      <w:proofErr w:type="spellEnd"/>
      <w:r w:rsidRPr="00B73FDB">
        <w:rPr>
          <w:rFonts w:cs="Calibri"/>
          <w:lang w:eastAsia="sk-SK"/>
        </w:rPr>
        <w:t xml:space="preserve"> 62</w:t>
      </w:r>
      <w:r w:rsidRPr="00B73FDB">
        <w:rPr>
          <w:rFonts w:cs="Calibri"/>
          <w:lang w:eastAsia="sk-SK"/>
        </w:rPr>
        <w:br/>
        <w:t>ŠJ - ZŠ Žitavská 1 – v r. 2020 ukončila činnosť</w:t>
      </w:r>
      <w:r w:rsidRPr="00B73FDB">
        <w:rPr>
          <w:rFonts w:cs="Calibri"/>
          <w:lang w:eastAsia="sk-SK"/>
        </w:rPr>
        <w:br/>
        <w:t>ŠJ - MARI KIRI, s.r.o. - v r. 2020 ukončila činnosť</w:t>
      </w:r>
      <w:r w:rsidRPr="00B73FDB">
        <w:rPr>
          <w:rFonts w:cs="Calibri"/>
          <w:lang w:eastAsia="sk-SK"/>
        </w:rPr>
        <w:br/>
        <w:t xml:space="preserve">ŠJ – Slávka </w:t>
      </w:r>
      <w:proofErr w:type="spellStart"/>
      <w:r w:rsidRPr="00B73FDB">
        <w:rPr>
          <w:rFonts w:cs="Calibri"/>
          <w:lang w:eastAsia="sk-SK"/>
        </w:rPr>
        <w:t>Habdáková</w:t>
      </w:r>
      <w:proofErr w:type="spellEnd"/>
      <w:r w:rsidRPr="00B73FDB">
        <w:rPr>
          <w:rFonts w:cs="Calibri"/>
          <w:lang w:eastAsia="sk-SK"/>
        </w:rPr>
        <w:t>, Stravovacie služby - v r. 2020 ukončila činnosť</w:t>
      </w:r>
      <w:r w:rsidRPr="00B73FDB">
        <w:rPr>
          <w:rFonts w:cs="Calibri"/>
          <w:lang w:eastAsia="sk-SK"/>
        </w:rPr>
        <w:br/>
      </w:r>
      <w:r w:rsidRPr="00B73FDB">
        <w:rPr>
          <w:rFonts w:cs="Calibri"/>
          <w:lang w:eastAsia="sk-SK"/>
        </w:rPr>
        <w:br/>
      </w:r>
      <w:r w:rsidRPr="00352CED">
        <w:rPr>
          <w:rFonts w:cs="Calibri"/>
          <w:u w:val="single"/>
          <w:lang w:eastAsia="sk-SK"/>
        </w:rPr>
        <w:t xml:space="preserve">2 školské internáty: </w:t>
      </w:r>
      <w:r w:rsidRPr="00352CED">
        <w:rPr>
          <w:rFonts w:cs="Calibri"/>
          <w:u w:val="single"/>
          <w:lang w:eastAsia="sk-SK"/>
        </w:rPr>
        <w:br/>
      </w:r>
      <w:r w:rsidRPr="00B73FDB">
        <w:rPr>
          <w:rFonts w:cs="Calibri"/>
          <w:lang w:eastAsia="sk-SK"/>
        </w:rPr>
        <w:t xml:space="preserve">ŠI - Ing. Vladimír </w:t>
      </w:r>
      <w:proofErr w:type="spellStart"/>
      <w:r w:rsidRPr="00B73FDB">
        <w:rPr>
          <w:rFonts w:cs="Calibri"/>
          <w:lang w:eastAsia="sk-SK"/>
        </w:rPr>
        <w:t>Krupa</w:t>
      </w:r>
      <w:proofErr w:type="spellEnd"/>
      <w:r w:rsidRPr="00B73FDB">
        <w:rPr>
          <w:rFonts w:cs="Calibri"/>
          <w:lang w:eastAsia="sk-SK"/>
        </w:rPr>
        <w:t xml:space="preserve">, Pekná cesta 4, Bratislava </w:t>
      </w:r>
      <w:r w:rsidRPr="00B73FDB">
        <w:rPr>
          <w:rFonts w:cs="Calibri"/>
          <w:lang w:eastAsia="sk-SK"/>
        </w:rPr>
        <w:br/>
        <w:t>ŠI - Futbalová akadémia ŠK SLOVAN, Sasinkova 5, 811 08 Bratislava</w:t>
      </w:r>
      <w:r w:rsidRPr="00B73FDB">
        <w:rPr>
          <w:rFonts w:cs="Calibri"/>
          <w:lang w:eastAsia="sk-SK"/>
        </w:rPr>
        <w:br/>
      </w:r>
      <w:r w:rsidRPr="00B73FDB">
        <w:rPr>
          <w:rFonts w:cs="Calibri"/>
          <w:lang w:eastAsia="sk-SK"/>
        </w:rPr>
        <w:br/>
      </w:r>
      <w:r w:rsidRPr="00352CED">
        <w:rPr>
          <w:rFonts w:cs="Calibri"/>
          <w:u w:val="single"/>
          <w:lang w:eastAsia="sk-SK"/>
        </w:rPr>
        <w:t xml:space="preserve">1 stredisko odbornej praxe: </w:t>
      </w:r>
      <w:r w:rsidRPr="00352CED">
        <w:rPr>
          <w:rFonts w:cs="Calibri"/>
          <w:u w:val="single"/>
          <w:lang w:eastAsia="sk-SK"/>
        </w:rPr>
        <w:br/>
      </w:r>
      <w:r w:rsidRPr="00B73FDB">
        <w:rPr>
          <w:rFonts w:cs="Calibri"/>
          <w:lang w:eastAsia="sk-SK"/>
        </w:rPr>
        <w:t xml:space="preserve">SOP - </w:t>
      </w:r>
      <w:proofErr w:type="spellStart"/>
      <w:r w:rsidRPr="00B73FDB">
        <w:rPr>
          <w:rFonts w:cs="Calibri"/>
          <w:lang w:eastAsia="sk-SK"/>
        </w:rPr>
        <w:t>Mgr.Viera</w:t>
      </w:r>
      <w:proofErr w:type="spellEnd"/>
      <w:r w:rsidRPr="00B73FDB">
        <w:rPr>
          <w:rFonts w:cs="Calibri"/>
          <w:lang w:eastAsia="sk-SK"/>
        </w:rPr>
        <w:t xml:space="preserve"> </w:t>
      </w:r>
      <w:proofErr w:type="spellStart"/>
      <w:r w:rsidRPr="00B73FDB">
        <w:rPr>
          <w:rFonts w:cs="Calibri"/>
          <w:lang w:eastAsia="sk-SK"/>
        </w:rPr>
        <w:t>Zavarčíková</w:t>
      </w:r>
      <w:proofErr w:type="spellEnd"/>
      <w:r w:rsidRPr="00B73FDB">
        <w:rPr>
          <w:rFonts w:cs="Calibri"/>
          <w:lang w:eastAsia="sk-SK"/>
        </w:rPr>
        <w:br/>
      </w:r>
      <w:r w:rsidRPr="00B73FDB">
        <w:rPr>
          <w:rFonts w:cs="Calibri"/>
          <w:lang w:eastAsia="sk-SK"/>
        </w:rPr>
        <w:br/>
      </w:r>
      <w:r w:rsidRPr="00352CED">
        <w:rPr>
          <w:rFonts w:cs="Calibri"/>
          <w:u w:val="single"/>
          <w:lang w:eastAsia="sk-SK"/>
        </w:rPr>
        <w:t xml:space="preserve">4 centrá špeciálno-pedagogického poradenstva: </w:t>
      </w:r>
      <w:r w:rsidRPr="00352CED">
        <w:rPr>
          <w:rFonts w:cs="Calibri"/>
          <w:u w:val="single"/>
          <w:lang w:eastAsia="sk-SK"/>
        </w:rPr>
        <w:br/>
      </w:r>
      <w:r w:rsidRPr="00B73FDB">
        <w:rPr>
          <w:rFonts w:cs="Calibri"/>
          <w:lang w:eastAsia="sk-SK"/>
        </w:rPr>
        <w:t>CŠPP - PaedDr. Margita Macková</w:t>
      </w:r>
      <w:r w:rsidRPr="00B73FDB">
        <w:rPr>
          <w:rFonts w:cs="Calibri"/>
          <w:lang w:eastAsia="sk-SK"/>
        </w:rPr>
        <w:br/>
        <w:t xml:space="preserve">CŠPP – Mgr. Miroslava </w:t>
      </w:r>
      <w:proofErr w:type="spellStart"/>
      <w:r w:rsidRPr="00B73FDB">
        <w:rPr>
          <w:rFonts w:cs="Calibri"/>
          <w:lang w:eastAsia="sk-SK"/>
        </w:rPr>
        <w:t>Robinson</w:t>
      </w:r>
      <w:proofErr w:type="spellEnd"/>
      <w:r w:rsidRPr="00B73FDB">
        <w:rPr>
          <w:rFonts w:cs="Calibri"/>
          <w:lang w:eastAsia="sk-SK"/>
        </w:rPr>
        <w:br/>
        <w:t xml:space="preserve">CŠPP - Autistické centrum </w:t>
      </w:r>
      <w:proofErr w:type="spellStart"/>
      <w:r w:rsidRPr="00B73FDB">
        <w:rPr>
          <w:rFonts w:cs="Calibri"/>
          <w:lang w:eastAsia="sk-SK"/>
        </w:rPr>
        <w:t>Andreas</w:t>
      </w:r>
      <w:proofErr w:type="spellEnd"/>
      <w:r w:rsidRPr="00B73FDB">
        <w:rPr>
          <w:rFonts w:cs="Calibri"/>
          <w:lang w:eastAsia="sk-SK"/>
        </w:rPr>
        <w:t xml:space="preserve">, </w:t>
      </w:r>
      <w:proofErr w:type="spellStart"/>
      <w:r w:rsidRPr="00B73FDB">
        <w:rPr>
          <w:rFonts w:cs="Calibri"/>
          <w:lang w:eastAsia="sk-SK"/>
        </w:rPr>
        <w:t>n.o</w:t>
      </w:r>
      <w:proofErr w:type="spellEnd"/>
      <w:r w:rsidRPr="00B73FDB">
        <w:rPr>
          <w:rFonts w:cs="Calibri"/>
          <w:lang w:eastAsia="sk-SK"/>
        </w:rPr>
        <w:t xml:space="preserve">. - Ing. </w:t>
      </w:r>
      <w:proofErr w:type="spellStart"/>
      <w:r w:rsidRPr="00B73FDB">
        <w:rPr>
          <w:rFonts w:cs="Calibri"/>
          <w:lang w:eastAsia="sk-SK"/>
        </w:rPr>
        <w:t>Kateřina</w:t>
      </w:r>
      <w:proofErr w:type="spellEnd"/>
      <w:r w:rsidRPr="00B73FDB">
        <w:rPr>
          <w:rFonts w:cs="Calibri"/>
          <w:lang w:eastAsia="sk-SK"/>
        </w:rPr>
        <w:t xml:space="preserve"> </w:t>
      </w:r>
      <w:proofErr w:type="spellStart"/>
      <w:r w:rsidRPr="00B73FDB">
        <w:rPr>
          <w:rFonts w:cs="Calibri"/>
          <w:lang w:eastAsia="sk-SK"/>
        </w:rPr>
        <w:t>Nakládalová</w:t>
      </w:r>
      <w:proofErr w:type="spellEnd"/>
      <w:r w:rsidRPr="00B73FDB">
        <w:rPr>
          <w:rFonts w:cs="Calibri"/>
          <w:lang w:eastAsia="sk-SK"/>
        </w:rPr>
        <w:br/>
        <w:t xml:space="preserve">CŠPP - TREA, </w:t>
      </w:r>
      <w:proofErr w:type="spellStart"/>
      <w:r w:rsidRPr="00B73FDB">
        <w:rPr>
          <w:rFonts w:cs="Calibri"/>
          <w:lang w:eastAsia="sk-SK"/>
        </w:rPr>
        <w:t>spol.s</w:t>
      </w:r>
      <w:proofErr w:type="spellEnd"/>
      <w:r w:rsidRPr="00B73FDB">
        <w:rPr>
          <w:rFonts w:cs="Calibri"/>
          <w:lang w:eastAsia="sk-SK"/>
        </w:rPr>
        <w:t xml:space="preserve"> </w:t>
      </w:r>
      <w:proofErr w:type="spellStart"/>
      <w:r w:rsidRPr="00B73FDB">
        <w:rPr>
          <w:rFonts w:cs="Calibri"/>
          <w:lang w:eastAsia="sk-SK"/>
        </w:rPr>
        <w:t>r.o</w:t>
      </w:r>
      <w:proofErr w:type="spellEnd"/>
      <w:r w:rsidRPr="00B73FDB">
        <w:rPr>
          <w:rFonts w:cs="Calibri"/>
          <w:lang w:eastAsia="sk-SK"/>
        </w:rPr>
        <w:t xml:space="preserve">. - Mgr. František </w:t>
      </w:r>
      <w:proofErr w:type="spellStart"/>
      <w:r w:rsidRPr="00B73FDB">
        <w:rPr>
          <w:rFonts w:cs="Calibri"/>
          <w:lang w:eastAsia="sk-SK"/>
        </w:rPr>
        <w:t>Valúch</w:t>
      </w:r>
      <w:proofErr w:type="spellEnd"/>
      <w:r w:rsidRPr="00B73FDB">
        <w:rPr>
          <w:rFonts w:cs="Calibri"/>
          <w:lang w:eastAsia="sk-SK"/>
        </w:rPr>
        <w:t xml:space="preserve">, </w:t>
      </w:r>
      <w:r w:rsidRPr="00B73FDB">
        <w:rPr>
          <w:rFonts w:cs="Calibri"/>
          <w:lang w:eastAsia="sk-SK"/>
        </w:rPr>
        <w:br/>
      </w:r>
      <w:r w:rsidRPr="00B73FDB">
        <w:rPr>
          <w:rFonts w:cs="Calibri"/>
          <w:lang w:eastAsia="sk-SK"/>
        </w:rPr>
        <w:br/>
      </w:r>
      <w:r w:rsidRPr="00352CED">
        <w:rPr>
          <w:rFonts w:cs="Calibri"/>
          <w:u w:val="single"/>
          <w:lang w:eastAsia="sk-SK"/>
        </w:rPr>
        <w:t>1 centrum pedagogicko-psychologického poradenstva a prevencie:</w:t>
      </w:r>
      <w:r w:rsidRPr="00352CED">
        <w:rPr>
          <w:rFonts w:cs="Calibri"/>
          <w:u w:val="single"/>
          <w:lang w:eastAsia="sk-SK"/>
        </w:rPr>
        <w:br/>
      </w:r>
      <w:proofErr w:type="spellStart"/>
      <w:r w:rsidRPr="00B73FDB">
        <w:rPr>
          <w:rFonts w:cs="Calibri"/>
          <w:lang w:eastAsia="sk-SK"/>
        </w:rPr>
        <w:t>CPPPaP</w:t>
      </w:r>
      <w:proofErr w:type="spellEnd"/>
      <w:r w:rsidRPr="00B73FDB">
        <w:rPr>
          <w:rFonts w:cs="Calibri"/>
          <w:lang w:eastAsia="sk-SK"/>
        </w:rPr>
        <w:t xml:space="preserve"> - KORY, s. r. o. - Mgr. Dáša </w:t>
      </w:r>
      <w:proofErr w:type="spellStart"/>
      <w:r w:rsidRPr="00B73FDB">
        <w:rPr>
          <w:rFonts w:cs="Calibri"/>
          <w:lang w:eastAsia="sk-SK"/>
        </w:rPr>
        <w:t>Oravkinová</w:t>
      </w:r>
      <w:proofErr w:type="spellEnd"/>
      <w:r w:rsidRPr="00B73FDB">
        <w:rPr>
          <w:rFonts w:cs="Calibri"/>
          <w:lang w:eastAsia="sk-SK"/>
        </w:rPr>
        <w:t xml:space="preserve"> </w:t>
      </w:r>
      <w:r w:rsidRPr="00B73FDB">
        <w:rPr>
          <w:rFonts w:cs="Calibri"/>
          <w:lang w:eastAsia="sk-SK"/>
        </w:rPr>
        <w:br/>
      </w:r>
      <w:r w:rsidRPr="00B73FDB">
        <w:rPr>
          <w:rFonts w:cs="Calibri"/>
          <w:lang w:eastAsia="sk-SK"/>
        </w:rPr>
        <w:br/>
      </w:r>
      <w:r w:rsidRPr="00352CED">
        <w:rPr>
          <w:rFonts w:cs="Calibri"/>
          <w:u w:val="single"/>
          <w:lang w:eastAsia="sk-SK"/>
        </w:rPr>
        <w:t xml:space="preserve">1 liečebno-výchovné sanatórium: </w:t>
      </w:r>
      <w:r w:rsidRPr="00352CED">
        <w:rPr>
          <w:rFonts w:cs="Calibri"/>
          <w:u w:val="single"/>
          <w:lang w:eastAsia="sk-SK"/>
        </w:rPr>
        <w:br/>
      </w:r>
      <w:r w:rsidRPr="00B73FDB">
        <w:rPr>
          <w:rFonts w:cs="Calibri"/>
          <w:lang w:eastAsia="sk-SK"/>
        </w:rPr>
        <w:t xml:space="preserve">LVS – Diaľničná 1, Senec - PaedDr. Andrej </w:t>
      </w:r>
      <w:proofErr w:type="spellStart"/>
      <w:r w:rsidRPr="00B73FDB">
        <w:rPr>
          <w:rFonts w:cs="Calibri"/>
          <w:lang w:eastAsia="sk-SK"/>
        </w:rPr>
        <w:t>Argaláš</w:t>
      </w:r>
      <w:proofErr w:type="spellEnd"/>
      <w:r w:rsidRPr="00B73FDB">
        <w:rPr>
          <w:rFonts w:cs="Calibri"/>
          <w:lang w:eastAsia="sk-SK"/>
        </w:rPr>
        <w:br/>
      </w:r>
    </w:p>
    <w:p w14:paraId="5CE02586" w14:textId="77777777" w:rsidR="00B73FDB" w:rsidRPr="00B73FDB" w:rsidRDefault="00B73FDB" w:rsidP="00B73FDB">
      <w:pPr>
        <w:spacing w:before="100" w:beforeAutospacing="1" w:after="100" w:afterAutospacing="1" w:line="240" w:lineRule="auto"/>
        <w:outlineLvl w:val="2"/>
        <w:rPr>
          <w:rFonts w:cs="Calibri"/>
          <w:b/>
          <w:bCs/>
          <w:color w:val="4F6228"/>
          <w:sz w:val="27"/>
          <w:szCs w:val="27"/>
          <w:lang w:eastAsia="sk-SK"/>
        </w:rPr>
      </w:pPr>
      <w:r w:rsidRPr="00B73FDB">
        <w:rPr>
          <w:rFonts w:cs="Calibri"/>
          <w:b/>
          <w:bCs/>
          <w:color w:val="4F6228"/>
          <w:sz w:val="27"/>
          <w:szCs w:val="27"/>
          <w:lang w:eastAsia="sk-SK"/>
        </w:rPr>
        <w:t>Podprogram 8.8: Strediská odbornej praxe</w:t>
      </w:r>
    </w:p>
    <w:p w14:paraId="1E0C62AB"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Zámer: </w:t>
      </w:r>
      <w:r w:rsidRPr="00B73FDB">
        <w:rPr>
          <w:rFonts w:cs="Calibri"/>
          <w:sz w:val="24"/>
          <w:szCs w:val="24"/>
          <w:lang w:eastAsia="sk-SK"/>
        </w:rPr>
        <w:t>Financovanie v Podprograme 8.8: Strediská odbornej praxe sa riadi Všeobecne záväzným nariadením BSK č. 1/2019 a Nariadením vlády Slovenskej republiky č. 630/2008 Z. z.., ktorým sa ustanovujú podrobnosti rozpisu finančných prostriedkov zo ŠR pre základné školy, stredné školy, strediská praktického vyučovania, základné umelecké školy a školské zariadenia v znení neskorších predpisov.</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35"/>
        <w:gridCol w:w="2657"/>
        <w:gridCol w:w="1211"/>
        <w:gridCol w:w="1212"/>
        <w:gridCol w:w="1204"/>
        <w:gridCol w:w="1228"/>
        <w:gridCol w:w="2419"/>
      </w:tblGrid>
      <w:tr w:rsidR="00B73FDB" w:rsidRPr="00B73FDB" w14:paraId="13E5C2BB" w14:textId="77777777" w:rsidTr="00B73FDB">
        <w:trPr>
          <w:tblCellSpacing w:w="15" w:type="dxa"/>
        </w:trPr>
        <w:tc>
          <w:tcPr>
            <w:tcW w:w="233" w:type="pct"/>
            <w:shd w:val="clear" w:color="auto" w:fill="C6DBF7"/>
            <w:vAlign w:val="center"/>
            <w:hideMark/>
          </w:tcPr>
          <w:p w14:paraId="5C31FD8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53" w:type="pct"/>
            <w:shd w:val="clear" w:color="auto" w:fill="C6DBF7"/>
            <w:vAlign w:val="center"/>
            <w:hideMark/>
          </w:tcPr>
          <w:p w14:paraId="04D91CB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3" w:type="pct"/>
            <w:shd w:val="clear" w:color="auto" w:fill="C6DBF7"/>
            <w:vAlign w:val="center"/>
            <w:hideMark/>
          </w:tcPr>
          <w:p w14:paraId="182F29B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646022C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60" w:type="pct"/>
            <w:shd w:val="clear" w:color="auto" w:fill="C6DBF7"/>
            <w:vAlign w:val="center"/>
            <w:hideMark/>
          </w:tcPr>
          <w:p w14:paraId="5723093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72" w:type="pct"/>
            <w:shd w:val="clear" w:color="auto" w:fill="C6DBF7"/>
            <w:vAlign w:val="center"/>
            <w:hideMark/>
          </w:tcPr>
          <w:p w14:paraId="7624F2B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3" w:type="pct"/>
            <w:shd w:val="clear" w:color="auto" w:fill="C6DBF7"/>
            <w:vAlign w:val="center"/>
            <w:hideMark/>
          </w:tcPr>
          <w:p w14:paraId="02806D1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EE0AB67" w14:textId="77777777" w:rsidTr="00B73FDB">
        <w:trPr>
          <w:tblCellSpacing w:w="15" w:type="dxa"/>
        </w:trPr>
        <w:tc>
          <w:tcPr>
            <w:tcW w:w="233" w:type="pct"/>
            <w:shd w:val="clear" w:color="auto" w:fill="D9D9D9"/>
            <w:noWrap/>
            <w:vAlign w:val="center"/>
            <w:hideMark/>
          </w:tcPr>
          <w:p w14:paraId="706C3C53" w14:textId="77777777" w:rsidR="00B73FDB" w:rsidRPr="00B73FDB" w:rsidRDefault="00B73FDB" w:rsidP="00B73FDB">
            <w:pPr>
              <w:spacing w:after="0" w:line="240" w:lineRule="auto"/>
              <w:jc w:val="center"/>
              <w:rPr>
                <w:rFonts w:cs="Calibri"/>
                <w:sz w:val="18"/>
                <w:szCs w:val="18"/>
                <w:lang w:eastAsia="sk-SK"/>
              </w:rPr>
            </w:pPr>
          </w:p>
        </w:tc>
        <w:tc>
          <w:tcPr>
            <w:tcW w:w="1253" w:type="pct"/>
            <w:shd w:val="clear" w:color="auto" w:fill="D9D9D9"/>
            <w:vAlign w:val="center"/>
            <w:hideMark/>
          </w:tcPr>
          <w:p w14:paraId="03533C6F"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3" w:type="pct"/>
            <w:shd w:val="clear" w:color="auto" w:fill="D9D9D9"/>
            <w:noWrap/>
            <w:vAlign w:val="center"/>
            <w:hideMark/>
          </w:tcPr>
          <w:p w14:paraId="2B42209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678 378,00</w:t>
            </w:r>
            <w:r w:rsidRPr="00B73FDB">
              <w:rPr>
                <w:rFonts w:cs="Calibri"/>
                <w:sz w:val="18"/>
                <w:szCs w:val="18"/>
                <w:lang w:eastAsia="sk-SK"/>
              </w:rPr>
              <w:t xml:space="preserve"> </w:t>
            </w:r>
          </w:p>
        </w:tc>
        <w:tc>
          <w:tcPr>
            <w:tcW w:w="564" w:type="pct"/>
            <w:shd w:val="clear" w:color="auto" w:fill="D9D9D9"/>
            <w:noWrap/>
            <w:vAlign w:val="center"/>
            <w:hideMark/>
          </w:tcPr>
          <w:p w14:paraId="22E9893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684 938,00</w:t>
            </w:r>
            <w:r w:rsidRPr="00B73FDB">
              <w:rPr>
                <w:rFonts w:cs="Calibri"/>
                <w:sz w:val="18"/>
                <w:szCs w:val="18"/>
                <w:lang w:eastAsia="sk-SK"/>
              </w:rPr>
              <w:t xml:space="preserve"> </w:t>
            </w:r>
          </w:p>
        </w:tc>
        <w:tc>
          <w:tcPr>
            <w:tcW w:w="560" w:type="pct"/>
            <w:shd w:val="clear" w:color="auto" w:fill="D9D9D9"/>
            <w:noWrap/>
            <w:vAlign w:val="center"/>
            <w:hideMark/>
          </w:tcPr>
          <w:p w14:paraId="7441E89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684 938,00</w:t>
            </w:r>
            <w:r w:rsidRPr="00B73FDB">
              <w:rPr>
                <w:rFonts w:cs="Calibri"/>
                <w:sz w:val="18"/>
                <w:szCs w:val="18"/>
                <w:lang w:eastAsia="sk-SK"/>
              </w:rPr>
              <w:t xml:space="preserve"> </w:t>
            </w:r>
          </w:p>
        </w:tc>
        <w:tc>
          <w:tcPr>
            <w:tcW w:w="572" w:type="pct"/>
            <w:shd w:val="clear" w:color="auto" w:fill="D9D9D9"/>
            <w:noWrap/>
            <w:vAlign w:val="center"/>
            <w:hideMark/>
          </w:tcPr>
          <w:p w14:paraId="1F8481A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3" w:type="pct"/>
            <w:vMerge w:val="restart"/>
            <w:shd w:val="clear" w:color="auto" w:fill="D9D9D9"/>
            <w:vAlign w:val="center"/>
            <w:hideMark/>
          </w:tcPr>
          <w:p w14:paraId="396EE8AB"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5D24AB5B" w14:textId="77777777" w:rsidTr="00B73FDB">
        <w:trPr>
          <w:tblCellSpacing w:w="15" w:type="dxa"/>
        </w:trPr>
        <w:tc>
          <w:tcPr>
            <w:tcW w:w="233" w:type="pct"/>
            <w:shd w:val="clear" w:color="auto" w:fill="D9D9D9"/>
            <w:noWrap/>
            <w:vAlign w:val="center"/>
            <w:hideMark/>
          </w:tcPr>
          <w:p w14:paraId="3C1C92F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53" w:type="pct"/>
            <w:shd w:val="clear" w:color="auto" w:fill="D9D9D9"/>
            <w:vAlign w:val="center"/>
            <w:hideMark/>
          </w:tcPr>
          <w:p w14:paraId="2F3EF40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3" w:type="pct"/>
            <w:shd w:val="clear" w:color="auto" w:fill="D9D9D9"/>
            <w:noWrap/>
            <w:vAlign w:val="center"/>
            <w:hideMark/>
          </w:tcPr>
          <w:p w14:paraId="1D23C83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678 378,00</w:t>
            </w:r>
            <w:r w:rsidRPr="00B73FDB">
              <w:rPr>
                <w:rFonts w:cs="Calibri"/>
                <w:sz w:val="18"/>
                <w:szCs w:val="18"/>
                <w:lang w:eastAsia="sk-SK"/>
              </w:rPr>
              <w:t xml:space="preserve"> </w:t>
            </w:r>
          </w:p>
        </w:tc>
        <w:tc>
          <w:tcPr>
            <w:tcW w:w="564" w:type="pct"/>
            <w:shd w:val="clear" w:color="auto" w:fill="D9D9D9"/>
            <w:noWrap/>
            <w:vAlign w:val="center"/>
            <w:hideMark/>
          </w:tcPr>
          <w:p w14:paraId="00C5D25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673 938,00</w:t>
            </w:r>
            <w:r w:rsidRPr="00B73FDB">
              <w:rPr>
                <w:rFonts w:cs="Calibri"/>
                <w:sz w:val="18"/>
                <w:szCs w:val="18"/>
                <w:lang w:eastAsia="sk-SK"/>
              </w:rPr>
              <w:t xml:space="preserve"> </w:t>
            </w:r>
          </w:p>
        </w:tc>
        <w:tc>
          <w:tcPr>
            <w:tcW w:w="560" w:type="pct"/>
            <w:shd w:val="clear" w:color="auto" w:fill="D9D9D9"/>
            <w:noWrap/>
            <w:vAlign w:val="center"/>
            <w:hideMark/>
          </w:tcPr>
          <w:p w14:paraId="4023D31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673 938,00</w:t>
            </w:r>
            <w:r w:rsidRPr="00B73FDB">
              <w:rPr>
                <w:rFonts w:cs="Calibri"/>
                <w:sz w:val="18"/>
                <w:szCs w:val="18"/>
                <w:lang w:eastAsia="sk-SK"/>
              </w:rPr>
              <w:t xml:space="preserve"> </w:t>
            </w:r>
          </w:p>
        </w:tc>
        <w:tc>
          <w:tcPr>
            <w:tcW w:w="572" w:type="pct"/>
            <w:shd w:val="clear" w:color="auto" w:fill="D9D9D9"/>
            <w:noWrap/>
            <w:vAlign w:val="center"/>
            <w:hideMark/>
          </w:tcPr>
          <w:p w14:paraId="3966C226"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3" w:type="pct"/>
            <w:vMerge/>
            <w:shd w:val="clear" w:color="auto" w:fill="D9D9D9"/>
            <w:vAlign w:val="center"/>
            <w:hideMark/>
          </w:tcPr>
          <w:p w14:paraId="3632FD1A" w14:textId="77777777" w:rsidR="00B73FDB" w:rsidRPr="00B73FDB" w:rsidRDefault="00B73FDB" w:rsidP="00B73FDB">
            <w:pPr>
              <w:spacing w:after="0" w:line="240" w:lineRule="auto"/>
              <w:rPr>
                <w:rFonts w:cs="Calibri"/>
                <w:sz w:val="18"/>
                <w:szCs w:val="18"/>
                <w:lang w:eastAsia="sk-SK"/>
              </w:rPr>
            </w:pPr>
          </w:p>
        </w:tc>
      </w:tr>
      <w:tr w:rsidR="00B73FDB" w:rsidRPr="00B73FDB" w14:paraId="317F8B34" w14:textId="77777777" w:rsidTr="00B73FDB">
        <w:trPr>
          <w:tblCellSpacing w:w="15" w:type="dxa"/>
        </w:trPr>
        <w:tc>
          <w:tcPr>
            <w:tcW w:w="233" w:type="pct"/>
            <w:shd w:val="clear" w:color="auto" w:fill="EFEFEF"/>
            <w:noWrap/>
            <w:vAlign w:val="center"/>
            <w:hideMark/>
          </w:tcPr>
          <w:p w14:paraId="62CEA4E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53" w:type="pct"/>
            <w:shd w:val="clear" w:color="auto" w:fill="EFEFEF"/>
            <w:vAlign w:val="center"/>
            <w:hideMark/>
          </w:tcPr>
          <w:p w14:paraId="2C9888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3" w:type="pct"/>
            <w:shd w:val="clear" w:color="auto" w:fill="EFEFEF"/>
            <w:noWrap/>
            <w:vAlign w:val="center"/>
            <w:hideMark/>
          </w:tcPr>
          <w:p w14:paraId="72C1655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365 279,00 </w:t>
            </w:r>
          </w:p>
        </w:tc>
        <w:tc>
          <w:tcPr>
            <w:tcW w:w="564" w:type="pct"/>
            <w:shd w:val="clear" w:color="auto" w:fill="EFEFEF"/>
            <w:noWrap/>
            <w:vAlign w:val="center"/>
            <w:hideMark/>
          </w:tcPr>
          <w:p w14:paraId="00598F6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305 825,25 </w:t>
            </w:r>
          </w:p>
        </w:tc>
        <w:tc>
          <w:tcPr>
            <w:tcW w:w="560" w:type="pct"/>
            <w:shd w:val="clear" w:color="auto" w:fill="EFEFEF"/>
            <w:noWrap/>
            <w:vAlign w:val="center"/>
            <w:hideMark/>
          </w:tcPr>
          <w:p w14:paraId="06E013C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305 825,25 </w:t>
            </w:r>
          </w:p>
        </w:tc>
        <w:tc>
          <w:tcPr>
            <w:tcW w:w="572" w:type="pct"/>
            <w:shd w:val="clear" w:color="auto" w:fill="EFEFEF"/>
            <w:noWrap/>
            <w:vAlign w:val="center"/>
            <w:hideMark/>
          </w:tcPr>
          <w:p w14:paraId="5D628DB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3" w:type="pct"/>
            <w:vMerge/>
            <w:shd w:val="clear" w:color="auto" w:fill="EFEFEF"/>
            <w:vAlign w:val="center"/>
            <w:hideMark/>
          </w:tcPr>
          <w:p w14:paraId="28E3429F" w14:textId="77777777" w:rsidR="00B73FDB" w:rsidRPr="00B73FDB" w:rsidRDefault="00B73FDB" w:rsidP="00B73FDB">
            <w:pPr>
              <w:spacing w:after="0" w:line="240" w:lineRule="auto"/>
              <w:rPr>
                <w:rFonts w:cs="Calibri"/>
                <w:sz w:val="18"/>
                <w:szCs w:val="18"/>
                <w:lang w:eastAsia="sk-SK"/>
              </w:rPr>
            </w:pPr>
          </w:p>
        </w:tc>
      </w:tr>
      <w:tr w:rsidR="00B73FDB" w:rsidRPr="00B73FDB" w14:paraId="5C2FE355" w14:textId="77777777" w:rsidTr="00B73FDB">
        <w:trPr>
          <w:tblCellSpacing w:w="15" w:type="dxa"/>
        </w:trPr>
        <w:tc>
          <w:tcPr>
            <w:tcW w:w="233" w:type="pct"/>
            <w:shd w:val="clear" w:color="auto" w:fill="EFEFEF"/>
            <w:noWrap/>
            <w:vAlign w:val="center"/>
            <w:hideMark/>
          </w:tcPr>
          <w:p w14:paraId="050C21A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53" w:type="pct"/>
            <w:shd w:val="clear" w:color="auto" w:fill="EFEFEF"/>
            <w:vAlign w:val="center"/>
            <w:hideMark/>
          </w:tcPr>
          <w:p w14:paraId="3D73123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3" w:type="pct"/>
            <w:shd w:val="clear" w:color="auto" w:fill="EFEFEF"/>
            <w:noWrap/>
            <w:vAlign w:val="center"/>
            <w:hideMark/>
          </w:tcPr>
          <w:p w14:paraId="028F14C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127 665,00 </w:t>
            </w:r>
          </w:p>
        </w:tc>
        <w:tc>
          <w:tcPr>
            <w:tcW w:w="564" w:type="pct"/>
            <w:shd w:val="clear" w:color="auto" w:fill="EFEFEF"/>
            <w:noWrap/>
            <w:vAlign w:val="center"/>
            <w:hideMark/>
          </w:tcPr>
          <w:p w14:paraId="461C409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102 213,56 </w:t>
            </w:r>
          </w:p>
        </w:tc>
        <w:tc>
          <w:tcPr>
            <w:tcW w:w="560" w:type="pct"/>
            <w:shd w:val="clear" w:color="auto" w:fill="EFEFEF"/>
            <w:noWrap/>
            <w:vAlign w:val="center"/>
            <w:hideMark/>
          </w:tcPr>
          <w:p w14:paraId="44E6290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102 213,56 </w:t>
            </w:r>
          </w:p>
        </w:tc>
        <w:tc>
          <w:tcPr>
            <w:tcW w:w="572" w:type="pct"/>
            <w:shd w:val="clear" w:color="auto" w:fill="EFEFEF"/>
            <w:noWrap/>
            <w:vAlign w:val="center"/>
            <w:hideMark/>
          </w:tcPr>
          <w:p w14:paraId="4CC122B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3" w:type="pct"/>
            <w:vMerge/>
            <w:shd w:val="clear" w:color="auto" w:fill="EFEFEF"/>
            <w:vAlign w:val="center"/>
            <w:hideMark/>
          </w:tcPr>
          <w:p w14:paraId="285EE97B" w14:textId="77777777" w:rsidR="00B73FDB" w:rsidRPr="00B73FDB" w:rsidRDefault="00B73FDB" w:rsidP="00B73FDB">
            <w:pPr>
              <w:spacing w:after="0" w:line="240" w:lineRule="auto"/>
              <w:rPr>
                <w:rFonts w:cs="Calibri"/>
                <w:sz w:val="18"/>
                <w:szCs w:val="18"/>
                <w:lang w:eastAsia="sk-SK"/>
              </w:rPr>
            </w:pPr>
          </w:p>
        </w:tc>
      </w:tr>
      <w:tr w:rsidR="00B73FDB" w:rsidRPr="00B73FDB" w14:paraId="34D42132" w14:textId="77777777" w:rsidTr="00B73FDB">
        <w:trPr>
          <w:tblCellSpacing w:w="15" w:type="dxa"/>
        </w:trPr>
        <w:tc>
          <w:tcPr>
            <w:tcW w:w="233" w:type="pct"/>
            <w:shd w:val="clear" w:color="auto" w:fill="EFEFEF"/>
            <w:noWrap/>
            <w:vAlign w:val="center"/>
            <w:hideMark/>
          </w:tcPr>
          <w:p w14:paraId="343110F1"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lastRenderedPageBreak/>
              <w:t xml:space="preserve">630 </w:t>
            </w:r>
          </w:p>
        </w:tc>
        <w:tc>
          <w:tcPr>
            <w:tcW w:w="1253" w:type="pct"/>
            <w:shd w:val="clear" w:color="auto" w:fill="EFEFEF"/>
            <w:vAlign w:val="center"/>
            <w:hideMark/>
          </w:tcPr>
          <w:p w14:paraId="5963B7F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3" w:type="pct"/>
            <w:shd w:val="clear" w:color="auto" w:fill="EFEFEF"/>
            <w:noWrap/>
            <w:vAlign w:val="center"/>
            <w:hideMark/>
          </w:tcPr>
          <w:p w14:paraId="6194F3A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183 534,00 </w:t>
            </w:r>
          </w:p>
        </w:tc>
        <w:tc>
          <w:tcPr>
            <w:tcW w:w="564" w:type="pct"/>
            <w:shd w:val="clear" w:color="auto" w:fill="EFEFEF"/>
            <w:noWrap/>
            <w:vAlign w:val="center"/>
            <w:hideMark/>
          </w:tcPr>
          <w:p w14:paraId="2A53B8E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265 380,55 </w:t>
            </w:r>
          </w:p>
        </w:tc>
        <w:tc>
          <w:tcPr>
            <w:tcW w:w="560" w:type="pct"/>
            <w:shd w:val="clear" w:color="auto" w:fill="EFEFEF"/>
            <w:noWrap/>
            <w:vAlign w:val="center"/>
            <w:hideMark/>
          </w:tcPr>
          <w:p w14:paraId="68E9B6C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265 380,55 </w:t>
            </w:r>
          </w:p>
        </w:tc>
        <w:tc>
          <w:tcPr>
            <w:tcW w:w="572" w:type="pct"/>
            <w:shd w:val="clear" w:color="auto" w:fill="EFEFEF"/>
            <w:noWrap/>
            <w:vAlign w:val="center"/>
            <w:hideMark/>
          </w:tcPr>
          <w:p w14:paraId="6916055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3" w:type="pct"/>
            <w:vMerge/>
            <w:shd w:val="clear" w:color="auto" w:fill="EFEFEF"/>
            <w:vAlign w:val="center"/>
            <w:hideMark/>
          </w:tcPr>
          <w:p w14:paraId="0CD725DC" w14:textId="77777777" w:rsidR="00B73FDB" w:rsidRPr="00B73FDB" w:rsidRDefault="00B73FDB" w:rsidP="00B73FDB">
            <w:pPr>
              <w:spacing w:after="0" w:line="240" w:lineRule="auto"/>
              <w:rPr>
                <w:rFonts w:cs="Calibri"/>
                <w:sz w:val="18"/>
                <w:szCs w:val="18"/>
                <w:lang w:eastAsia="sk-SK"/>
              </w:rPr>
            </w:pPr>
          </w:p>
        </w:tc>
      </w:tr>
      <w:tr w:rsidR="00B73FDB" w:rsidRPr="00B73FDB" w14:paraId="701623A2" w14:textId="77777777" w:rsidTr="00B73FDB">
        <w:trPr>
          <w:tblCellSpacing w:w="15" w:type="dxa"/>
        </w:trPr>
        <w:tc>
          <w:tcPr>
            <w:tcW w:w="233" w:type="pct"/>
            <w:shd w:val="clear" w:color="auto" w:fill="EFEFEF"/>
            <w:noWrap/>
            <w:vAlign w:val="center"/>
            <w:hideMark/>
          </w:tcPr>
          <w:p w14:paraId="490A3E7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53" w:type="pct"/>
            <w:shd w:val="clear" w:color="auto" w:fill="EFEFEF"/>
            <w:vAlign w:val="center"/>
            <w:hideMark/>
          </w:tcPr>
          <w:p w14:paraId="290A9FF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63" w:type="pct"/>
            <w:shd w:val="clear" w:color="auto" w:fill="EFEFEF"/>
            <w:noWrap/>
            <w:vAlign w:val="center"/>
            <w:hideMark/>
          </w:tcPr>
          <w:p w14:paraId="17A7869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1 900,00 </w:t>
            </w:r>
          </w:p>
        </w:tc>
        <w:tc>
          <w:tcPr>
            <w:tcW w:w="564" w:type="pct"/>
            <w:shd w:val="clear" w:color="auto" w:fill="EFEFEF"/>
            <w:noWrap/>
            <w:vAlign w:val="center"/>
            <w:hideMark/>
          </w:tcPr>
          <w:p w14:paraId="10E25F9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518,64 </w:t>
            </w:r>
          </w:p>
        </w:tc>
        <w:tc>
          <w:tcPr>
            <w:tcW w:w="560" w:type="pct"/>
            <w:shd w:val="clear" w:color="auto" w:fill="EFEFEF"/>
            <w:noWrap/>
            <w:vAlign w:val="center"/>
            <w:hideMark/>
          </w:tcPr>
          <w:p w14:paraId="5779E17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518,64 </w:t>
            </w:r>
          </w:p>
        </w:tc>
        <w:tc>
          <w:tcPr>
            <w:tcW w:w="572" w:type="pct"/>
            <w:shd w:val="clear" w:color="auto" w:fill="EFEFEF"/>
            <w:noWrap/>
            <w:vAlign w:val="center"/>
            <w:hideMark/>
          </w:tcPr>
          <w:p w14:paraId="79CAB81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3" w:type="pct"/>
            <w:vMerge/>
            <w:shd w:val="clear" w:color="auto" w:fill="EFEFEF"/>
            <w:vAlign w:val="center"/>
            <w:hideMark/>
          </w:tcPr>
          <w:p w14:paraId="710536D9" w14:textId="77777777" w:rsidR="00B73FDB" w:rsidRPr="00B73FDB" w:rsidRDefault="00B73FDB" w:rsidP="00B73FDB">
            <w:pPr>
              <w:spacing w:after="0" w:line="240" w:lineRule="auto"/>
              <w:rPr>
                <w:rFonts w:cs="Calibri"/>
                <w:sz w:val="18"/>
                <w:szCs w:val="18"/>
                <w:lang w:eastAsia="sk-SK"/>
              </w:rPr>
            </w:pPr>
          </w:p>
        </w:tc>
      </w:tr>
      <w:tr w:rsidR="00B73FDB" w:rsidRPr="00B73FDB" w14:paraId="51818337" w14:textId="77777777" w:rsidTr="00B73FDB">
        <w:trPr>
          <w:tblCellSpacing w:w="15" w:type="dxa"/>
        </w:trPr>
        <w:tc>
          <w:tcPr>
            <w:tcW w:w="233" w:type="pct"/>
            <w:shd w:val="clear" w:color="auto" w:fill="D9D9D9"/>
            <w:noWrap/>
            <w:vAlign w:val="center"/>
            <w:hideMark/>
          </w:tcPr>
          <w:p w14:paraId="1C61E0FC"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700</w:t>
            </w:r>
            <w:r w:rsidRPr="00B73FDB">
              <w:rPr>
                <w:rFonts w:cs="Calibri"/>
                <w:sz w:val="18"/>
                <w:szCs w:val="18"/>
                <w:lang w:eastAsia="sk-SK"/>
              </w:rPr>
              <w:t xml:space="preserve"> </w:t>
            </w:r>
          </w:p>
        </w:tc>
        <w:tc>
          <w:tcPr>
            <w:tcW w:w="1253" w:type="pct"/>
            <w:shd w:val="clear" w:color="auto" w:fill="D9D9D9"/>
            <w:vAlign w:val="center"/>
            <w:hideMark/>
          </w:tcPr>
          <w:p w14:paraId="7200E302"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Kapitálové výdavky</w:t>
            </w:r>
            <w:r w:rsidRPr="00B73FDB">
              <w:rPr>
                <w:rFonts w:cs="Calibri"/>
                <w:sz w:val="18"/>
                <w:szCs w:val="18"/>
                <w:lang w:eastAsia="sk-SK"/>
              </w:rPr>
              <w:t xml:space="preserve"> </w:t>
            </w:r>
          </w:p>
        </w:tc>
        <w:tc>
          <w:tcPr>
            <w:tcW w:w="563" w:type="pct"/>
            <w:shd w:val="clear" w:color="auto" w:fill="D9D9D9"/>
            <w:noWrap/>
            <w:vAlign w:val="center"/>
            <w:hideMark/>
          </w:tcPr>
          <w:p w14:paraId="2711BE2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64" w:type="pct"/>
            <w:shd w:val="clear" w:color="auto" w:fill="D9D9D9"/>
            <w:noWrap/>
            <w:vAlign w:val="center"/>
            <w:hideMark/>
          </w:tcPr>
          <w:p w14:paraId="6EB8FD3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11 000,00</w:t>
            </w:r>
            <w:r w:rsidRPr="00B73FDB">
              <w:rPr>
                <w:rFonts w:cs="Calibri"/>
                <w:sz w:val="18"/>
                <w:szCs w:val="18"/>
                <w:lang w:eastAsia="sk-SK"/>
              </w:rPr>
              <w:t xml:space="preserve"> </w:t>
            </w:r>
          </w:p>
        </w:tc>
        <w:tc>
          <w:tcPr>
            <w:tcW w:w="560" w:type="pct"/>
            <w:shd w:val="clear" w:color="auto" w:fill="D9D9D9"/>
            <w:noWrap/>
            <w:vAlign w:val="center"/>
            <w:hideMark/>
          </w:tcPr>
          <w:p w14:paraId="49D7FEE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11 000,00</w:t>
            </w:r>
            <w:r w:rsidRPr="00B73FDB">
              <w:rPr>
                <w:rFonts w:cs="Calibri"/>
                <w:sz w:val="18"/>
                <w:szCs w:val="18"/>
                <w:lang w:eastAsia="sk-SK"/>
              </w:rPr>
              <w:t xml:space="preserve"> </w:t>
            </w:r>
          </w:p>
        </w:tc>
        <w:tc>
          <w:tcPr>
            <w:tcW w:w="572" w:type="pct"/>
            <w:shd w:val="clear" w:color="auto" w:fill="D9D9D9"/>
            <w:noWrap/>
            <w:vAlign w:val="center"/>
            <w:hideMark/>
          </w:tcPr>
          <w:p w14:paraId="7E5AB39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3" w:type="pct"/>
            <w:vMerge/>
            <w:shd w:val="clear" w:color="auto" w:fill="D9D9D9"/>
            <w:vAlign w:val="center"/>
            <w:hideMark/>
          </w:tcPr>
          <w:p w14:paraId="78A79EBC" w14:textId="77777777" w:rsidR="00B73FDB" w:rsidRPr="00B73FDB" w:rsidRDefault="00B73FDB" w:rsidP="00B73FDB">
            <w:pPr>
              <w:spacing w:after="0" w:line="240" w:lineRule="auto"/>
              <w:rPr>
                <w:rFonts w:cs="Calibri"/>
                <w:sz w:val="18"/>
                <w:szCs w:val="18"/>
                <w:lang w:eastAsia="sk-SK"/>
              </w:rPr>
            </w:pPr>
          </w:p>
        </w:tc>
      </w:tr>
      <w:tr w:rsidR="00B73FDB" w:rsidRPr="00B73FDB" w14:paraId="6B19D245" w14:textId="77777777" w:rsidTr="00B73FDB">
        <w:trPr>
          <w:tblCellSpacing w:w="15" w:type="dxa"/>
        </w:trPr>
        <w:tc>
          <w:tcPr>
            <w:tcW w:w="233" w:type="pct"/>
            <w:shd w:val="clear" w:color="auto" w:fill="EFEFEF"/>
            <w:noWrap/>
            <w:vAlign w:val="center"/>
            <w:hideMark/>
          </w:tcPr>
          <w:p w14:paraId="7093A4A0"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710 </w:t>
            </w:r>
          </w:p>
        </w:tc>
        <w:tc>
          <w:tcPr>
            <w:tcW w:w="1253" w:type="pct"/>
            <w:shd w:val="clear" w:color="auto" w:fill="EFEFEF"/>
            <w:vAlign w:val="center"/>
            <w:hideMark/>
          </w:tcPr>
          <w:p w14:paraId="6B1F918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Obstarávanie kapitálových aktív </w:t>
            </w:r>
          </w:p>
        </w:tc>
        <w:tc>
          <w:tcPr>
            <w:tcW w:w="563" w:type="pct"/>
            <w:shd w:val="clear" w:color="auto" w:fill="EFEFEF"/>
            <w:noWrap/>
            <w:vAlign w:val="center"/>
            <w:hideMark/>
          </w:tcPr>
          <w:p w14:paraId="351F98C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1834D9F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11 000,00 </w:t>
            </w:r>
          </w:p>
        </w:tc>
        <w:tc>
          <w:tcPr>
            <w:tcW w:w="560" w:type="pct"/>
            <w:shd w:val="clear" w:color="auto" w:fill="EFEFEF"/>
            <w:noWrap/>
            <w:vAlign w:val="center"/>
            <w:hideMark/>
          </w:tcPr>
          <w:p w14:paraId="3E99CF9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11 000,00 </w:t>
            </w:r>
          </w:p>
        </w:tc>
        <w:tc>
          <w:tcPr>
            <w:tcW w:w="572" w:type="pct"/>
            <w:shd w:val="clear" w:color="auto" w:fill="EFEFEF"/>
            <w:noWrap/>
            <w:vAlign w:val="center"/>
            <w:hideMark/>
          </w:tcPr>
          <w:p w14:paraId="2DBE847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3" w:type="pct"/>
            <w:vMerge/>
            <w:shd w:val="clear" w:color="auto" w:fill="EFEFEF"/>
            <w:vAlign w:val="center"/>
            <w:hideMark/>
          </w:tcPr>
          <w:p w14:paraId="00EBA4B1" w14:textId="77777777" w:rsidR="00B73FDB" w:rsidRPr="00B73FDB" w:rsidRDefault="00B73FDB" w:rsidP="00B73FDB">
            <w:pPr>
              <w:spacing w:after="0" w:line="240" w:lineRule="auto"/>
              <w:rPr>
                <w:rFonts w:cs="Calibri"/>
                <w:sz w:val="18"/>
                <w:szCs w:val="18"/>
                <w:lang w:eastAsia="sk-SK"/>
              </w:rPr>
            </w:pPr>
          </w:p>
        </w:tc>
      </w:tr>
    </w:tbl>
    <w:p w14:paraId="58A49535"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01"/>
        <w:gridCol w:w="770"/>
        <w:gridCol w:w="1825"/>
        <w:gridCol w:w="1311"/>
        <w:gridCol w:w="4159"/>
      </w:tblGrid>
      <w:tr w:rsidR="00B73FDB" w:rsidRPr="00B73FDB" w14:paraId="1A9E8C78" w14:textId="77777777" w:rsidTr="00B73FDB">
        <w:trPr>
          <w:tblCellSpacing w:w="15" w:type="dxa"/>
        </w:trPr>
        <w:tc>
          <w:tcPr>
            <w:tcW w:w="0" w:type="auto"/>
            <w:shd w:val="clear" w:color="auto" w:fill="C2D69B"/>
            <w:vAlign w:val="center"/>
            <w:hideMark/>
          </w:tcPr>
          <w:p w14:paraId="3CFCE61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4D1430B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Odbor školstva, mládeže a športu</w:t>
            </w:r>
            <w:r w:rsidRPr="00B73FDB">
              <w:rPr>
                <w:rFonts w:cs="Calibri"/>
                <w:sz w:val="18"/>
                <w:szCs w:val="18"/>
                <w:lang w:eastAsia="sk-SK"/>
              </w:rPr>
              <w:br/>
            </w:r>
          </w:p>
        </w:tc>
      </w:tr>
      <w:tr w:rsidR="00B73FDB" w:rsidRPr="00B73FDB" w14:paraId="013F3EB6" w14:textId="77777777" w:rsidTr="00B73FDB">
        <w:trPr>
          <w:tblCellSpacing w:w="15" w:type="dxa"/>
        </w:trPr>
        <w:tc>
          <w:tcPr>
            <w:tcW w:w="0" w:type="auto"/>
            <w:shd w:val="clear" w:color="auto" w:fill="C2D69B"/>
            <w:vAlign w:val="center"/>
            <w:hideMark/>
          </w:tcPr>
          <w:p w14:paraId="4F7F87D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6A8B68C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Zvýšiť kvalitu </w:t>
            </w:r>
            <w:proofErr w:type="spellStart"/>
            <w:r w:rsidRPr="00B73FDB">
              <w:rPr>
                <w:rFonts w:cs="Calibri"/>
                <w:sz w:val="18"/>
                <w:szCs w:val="18"/>
                <w:lang w:eastAsia="sk-SK"/>
              </w:rPr>
              <w:t>výchovno</w:t>
            </w:r>
            <w:proofErr w:type="spellEnd"/>
            <w:r w:rsidRPr="00B73FDB">
              <w:rPr>
                <w:rFonts w:cs="Calibri"/>
                <w:sz w:val="18"/>
                <w:szCs w:val="18"/>
                <w:lang w:eastAsia="sk-SK"/>
              </w:rPr>
              <w:t xml:space="preserve"> - vzdelávacieho procesu v SOP </w:t>
            </w:r>
          </w:p>
        </w:tc>
      </w:tr>
      <w:tr w:rsidR="00B73FDB" w:rsidRPr="00B73FDB" w14:paraId="0F9FBB3C" w14:textId="77777777" w:rsidTr="00B73FDB">
        <w:trPr>
          <w:tblCellSpacing w:w="15" w:type="dxa"/>
        </w:trPr>
        <w:tc>
          <w:tcPr>
            <w:tcW w:w="0" w:type="auto"/>
            <w:shd w:val="clear" w:color="auto" w:fill="C2D69B"/>
            <w:vAlign w:val="center"/>
            <w:hideMark/>
          </w:tcPr>
          <w:p w14:paraId="72558A3B"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56A4E98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žiakov v strediskách odbornej praxe spolu za rok </w:t>
            </w:r>
          </w:p>
        </w:tc>
      </w:tr>
      <w:tr w:rsidR="00B73FDB" w:rsidRPr="00B73FDB" w14:paraId="4EA5621D" w14:textId="77777777" w:rsidTr="00B73FDB">
        <w:trPr>
          <w:tblCellSpacing w:w="15" w:type="dxa"/>
        </w:trPr>
        <w:tc>
          <w:tcPr>
            <w:tcW w:w="0" w:type="auto"/>
            <w:shd w:val="clear" w:color="auto" w:fill="C2D69B"/>
            <w:vAlign w:val="center"/>
            <w:hideMark/>
          </w:tcPr>
          <w:p w14:paraId="7DDEA27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610ACB5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62810B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7A1702B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5FD0219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5B610C17" w14:textId="77777777" w:rsidTr="00B73FDB">
        <w:trPr>
          <w:tblCellSpacing w:w="15" w:type="dxa"/>
        </w:trPr>
        <w:tc>
          <w:tcPr>
            <w:tcW w:w="0" w:type="auto"/>
            <w:shd w:val="clear" w:color="auto" w:fill="C2D69B"/>
            <w:vAlign w:val="center"/>
            <w:hideMark/>
          </w:tcPr>
          <w:p w14:paraId="39B1DE9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77B4D11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723 </w:t>
            </w:r>
          </w:p>
        </w:tc>
        <w:tc>
          <w:tcPr>
            <w:tcW w:w="0" w:type="auto"/>
            <w:shd w:val="clear" w:color="auto" w:fill="C2D69B"/>
            <w:noWrap/>
            <w:vAlign w:val="center"/>
            <w:hideMark/>
          </w:tcPr>
          <w:p w14:paraId="6EC767A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757 </w:t>
            </w:r>
          </w:p>
        </w:tc>
        <w:tc>
          <w:tcPr>
            <w:tcW w:w="0" w:type="auto"/>
            <w:shd w:val="clear" w:color="auto" w:fill="C2D69B"/>
            <w:vAlign w:val="center"/>
            <w:hideMark/>
          </w:tcPr>
          <w:p w14:paraId="72E15ABF"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4A6337D0" w14:textId="77777777" w:rsidR="00B73FDB" w:rsidRPr="00B73FDB" w:rsidRDefault="00B73FDB" w:rsidP="00B73FDB">
            <w:pPr>
              <w:spacing w:after="0" w:line="240" w:lineRule="auto"/>
              <w:jc w:val="center"/>
              <w:rPr>
                <w:rFonts w:cs="Calibri"/>
                <w:sz w:val="18"/>
                <w:szCs w:val="18"/>
                <w:lang w:eastAsia="sk-SK"/>
              </w:rPr>
            </w:pPr>
          </w:p>
        </w:tc>
      </w:tr>
    </w:tbl>
    <w:p w14:paraId="3519ACEA" w14:textId="77777777" w:rsidR="00B73FDB" w:rsidRPr="00B73FDB" w:rsidRDefault="00B73FDB" w:rsidP="00B73FDB">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V strediskách odbornej praxe si žiaci overujú získané teoretické vedomosti v praxi. Merateľný ukazovateľ u všetkých prvkov tohto podprogramu - počet žiakov v strediskách odbornej praxe je upravovaný každoročne podľa skutočnosti uvedenej v štatistickom výkaze o strednej škole - </w:t>
      </w:r>
      <w:proofErr w:type="spellStart"/>
      <w:r w:rsidRPr="00B73FDB">
        <w:rPr>
          <w:rFonts w:cs="Calibri"/>
          <w:sz w:val="24"/>
          <w:szCs w:val="24"/>
          <w:lang w:eastAsia="sk-SK"/>
        </w:rPr>
        <w:t>Škol</w:t>
      </w:r>
      <w:proofErr w:type="spellEnd"/>
      <w:r w:rsidRPr="00B73FDB">
        <w:rPr>
          <w:rFonts w:cs="Calibri"/>
          <w:sz w:val="24"/>
          <w:szCs w:val="24"/>
          <w:lang w:eastAsia="sk-SK"/>
        </w:rPr>
        <w:t xml:space="preserve"> 27-01 k 30. septembru nového školského roka.</w:t>
      </w:r>
    </w:p>
    <w:p w14:paraId="350B6FB0" w14:textId="77777777" w:rsidR="00B73FDB" w:rsidRPr="00B73FDB" w:rsidRDefault="00B73FDB" w:rsidP="00B73FDB">
      <w:pPr>
        <w:spacing w:before="100" w:beforeAutospacing="1" w:after="100" w:afterAutospacing="1" w:line="240" w:lineRule="auto"/>
        <w:outlineLvl w:val="2"/>
        <w:rPr>
          <w:rFonts w:cs="Calibri"/>
          <w:b/>
          <w:bCs/>
          <w:color w:val="4F6228"/>
          <w:sz w:val="27"/>
          <w:szCs w:val="27"/>
          <w:lang w:eastAsia="sk-SK"/>
        </w:rPr>
      </w:pPr>
      <w:r w:rsidRPr="00B73FDB">
        <w:rPr>
          <w:rFonts w:cs="Calibri"/>
          <w:b/>
          <w:bCs/>
          <w:color w:val="4F6228"/>
          <w:sz w:val="27"/>
          <w:szCs w:val="27"/>
          <w:lang w:eastAsia="sk-SK"/>
        </w:rPr>
        <w:t>Podprogram 8.9: Ostatné výdavky na školstvo</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47"/>
        <w:gridCol w:w="2638"/>
        <w:gridCol w:w="1231"/>
        <w:gridCol w:w="1308"/>
        <w:gridCol w:w="1098"/>
        <w:gridCol w:w="1214"/>
        <w:gridCol w:w="2430"/>
      </w:tblGrid>
      <w:tr w:rsidR="00B73FDB" w:rsidRPr="00B73FDB" w14:paraId="2C40770B" w14:textId="77777777" w:rsidTr="00B73FDB">
        <w:trPr>
          <w:tblCellSpacing w:w="15" w:type="dxa"/>
        </w:trPr>
        <w:tc>
          <w:tcPr>
            <w:tcW w:w="239" w:type="pct"/>
            <w:shd w:val="clear" w:color="auto" w:fill="C6DBF7"/>
            <w:vAlign w:val="center"/>
            <w:hideMark/>
          </w:tcPr>
          <w:p w14:paraId="12C8953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244" w:type="pct"/>
            <w:shd w:val="clear" w:color="auto" w:fill="C6DBF7"/>
            <w:vAlign w:val="center"/>
            <w:hideMark/>
          </w:tcPr>
          <w:p w14:paraId="3412515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73" w:type="pct"/>
            <w:shd w:val="clear" w:color="auto" w:fill="C6DBF7"/>
            <w:vAlign w:val="center"/>
            <w:hideMark/>
          </w:tcPr>
          <w:p w14:paraId="3DC7BDC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610" w:type="pct"/>
            <w:shd w:val="clear" w:color="auto" w:fill="C6DBF7"/>
            <w:vAlign w:val="center"/>
            <w:hideMark/>
          </w:tcPr>
          <w:p w14:paraId="32C7DA6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09" w:type="pct"/>
            <w:shd w:val="clear" w:color="auto" w:fill="C6DBF7"/>
            <w:vAlign w:val="center"/>
            <w:hideMark/>
          </w:tcPr>
          <w:p w14:paraId="38125ED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65" w:type="pct"/>
            <w:shd w:val="clear" w:color="auto" w:fill="C6DBF7"/>
            <w:vAlign w:val="center"/>
            <w:hideMark/>
          </w:tcPr>
          <w:p w14:paraId="33CDF5AA"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137" w:type="pct"/>
            <w:shd w:val="clear" w:color="auto" w:fill="C6DBF7"/>
            <w:vAlign w:val="center"/>
            <w:hideMark/>
          </w:tcPr>
          <w:p w14:paraId="7F56492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089B3CD8" w14:textId="77777777" w:rsidTr="00B73FDB">
        <w:trPr>
          <w:trHeight w:val="50"/>
          <w:tblCellSpacing w:w="15" w:type="dxa"/>
        </w:trPr>
        <w:tc>
          <w:tcPr>
            <w:tcW w:w="239" w:type="pct"/>
            <w:shd w:val="clear" w:color="auto" w:fill="D9D9D9"/>
            <w:noWrap/>
            <w:vAlign w:val="center"/>
            <w:hideMark/>
          </w:tcPr>
          <w:p w14:paraId="4023A4CE" w14:textId="77777777" w:rsidR="00B73FDB" w:rsidRPr="00B73FDB" w:rsidRDefault="00B73FDB" w:rsidP="00B73FDB">
            <w:pPr>
              <w:spacing w:after="0" w:line="240" w:lineRule="auto"/>
              <w:jc w:val="center"/>
              <w:rPr>
                <w:rFonts w:cs="Calibri"/>
                <w:sz w:val="18"/>
                <w:szCs w:val="18"/>
                <w:lang w:eastAsia="sk-SK"/>
              </w:rPr>
            </w:pPr>
          </w:p>
        </w:tc>
        <w:tc>
          <w:tcPr>
            <w:tcW w:w="1244" w:type="pct"/>
            <w:shd w:val="clear" w:color="auto" w:fill="D9D9D9"/>
            <w:vAlign w:val="center"/>
            <w:hideMark/>
          </w:tcPr>
          <w:p w14:paraId="32765B7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73" w:type="pct"/>
            <w:shd w:val="clear" w:color="auto" w:fill="D9D9D9"/>
            <w:noWrap/>
            <w:vAlign w:val="center"/>
            <w:hideMark/>
          </w:tcPr>
          <w:p w14:paraId="019EA10C"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2 800 000,00</w:t>
            </w:r>
            <w:r w:rsidRPr="00B73FDB">
              <w:rPr>
                <w:rFonts w:cs="Calibri"/>
                <w:sz w:val="18"/>
                <w:szCs w:val="18"/>
                <w:lang w:eastAsia="sk-SK"/>
              </w:rPr>
              <w:t xml:space="preserve"> </w:t>
            </w:r>
          </w:p>
        </w:tc>
        <w:tc>
          <w:tcPr>
            <w:tcW w:w="610" w:type="pct"/>
            <w:shd w:val="clear" w:color="auto" w:fill="D9D9D9"/>
            <w:noWrap/>
            <w:vAlign w:val="center"/>
            <w:hideMark/>
          </w:tcPr>
          <w:p w14:paraId="3D94F62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2 668 919,92</w:t>
            </w:r>
            <w:r w:rsidRPr="00B73FDB">
              <w:rPr>
                <w:rFonts w:cs="Calibri"/>
                <w:sz w:val="18"/>
                <w:szCs w:val="18"/>
                <w:lang w:eastAsia="sk-SK"/>
              </w:rPr>
              <w:t xml:space="preserve"> </w:t>
            </w:r>
          </w:p>
        </w:tc>
        <w:tc>
          <w:tcPr>
            <w:tcW w:w="509" w:type="pct"/>
            <w:shd w:val="clear" w:color="auto" w:fill="D9D9D9"/>
            <w:noWrap/>
            <w:vAlign w:val="center"/>
            <w:hideMark/>
          </w:tcPr>
          <w:p w14:paraId="16B49AE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2 153 616,99</w:t>
            </w:r>
            <w:r w:rsidRPr="00B73FDB">
              <w:rPr>
                <w:rFonts w:cs="Calibri"/>
                <w:sz w:val="18"/>
                <w:szCs w:val="18"/>
                <w:lang w:eastAsia="sk-SK"/>
              </w:rPr>
              <w:t xml:space="preserve"> </w:t>
            </w:r>
          </w:p>
        </w:tc>
        <w:tc>
          <w:tcPr>
            <w:tcW w:w="565" w:type="pct"/>
            <w:shd w:val="clear" w:color="auto" w:fill="D9D9D9"/>
            <w:noWrap/>
            <w:vAlign w:val="center"/>
            <w:hideMark/>
          </w:tcPr>
          <w:p w14:paraId="29A84A18"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80,69</w:t>
            </w:r>
            <w:r w:rsidRPr="00B73FDB">
              <w:rPr>
                <w:rFonts w:cs="Calibri"/>
                <w:sz w:val="18"/>
                <w:szCs w:val="18"/>
                <w:lang w:eastAsia="sk-SK"/>
              </w:rPr>
              <w:t xml:space="preserve"> </w:t>
            </w:r>
          </w:p>
        </w:tc>
        <w:tc>
          <w:tcPr>
            <w:tcW w:w="1137" w:type="pct"/>
            <w:vMerge w:val="restart"/>
            <w:shd w:val="clear" w:color="auto" w:fill="D9D9D9"/>
            <w:vAlign w:val="center"/>
            <w:hideMark/>
          </w:tcPr>
          <w:p w14:paraId="382F45F3"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4B67C5CB" w14:textId="77777777" w:rsidTr="00B73FDB">
        <w:trPr>
          <w:tblCellSpacing w:w="15" w:type="dxa"/>
        </w:trPr>
        <w:tc>
          <w:tcPr>
            <w:tcW w:w="239" w:type="pct"/>
            <w:shd w:val="clear" w:color="auto" w:fill="D9D9D9"/>
            <w:noWrap/>
            <w:vAlign w:val="center"/>
            <w:hideMark/>
          </w:tcPr>
          <w:p w14:paraId="4679DB7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244" w:type="pct"/>
            <w:shd w:val="clear" w:color="auto" w:fill="D9D9D9"/>
            <w:vAlign w:val="center"/>
            <w:hideMark/>
          </w:tcPr>
          <w:p w14:paraId="4BE582D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73" w:type="pct"/>
            <w:shd w:val="clear" w:color="auto" w:fill="D9D9D9"/>
            <w:noWrap/>
            <w:vAlign w:val="center"/>
            <w:hideMark/>
          </w:tcPr>
          <w:p w14:paraId="3ED9D37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2 800 000,00</w:t>
            </w:r>
            <w:r w:rsidRPr="00B73FDB">
              <w:rPr>
                <w:rFonts w:cs="Calibri"/>
                <w:sz w:val="18"/>
                <w:szCs w:val="18"/>
                <w:lang w:eastAsia="sk-SK"/>
              </w:rPr>
              <w:t xml:space="preserve"> </w:t>
            </w:r>
          </w:p>
        </w:tc>
        <w:tc>
          <w:tcPr>
            <w:tcW w:w="610" w:type="pct"/>
            <w:shd w:val="clear" w:color="auto" w:fill="D9D9D9"/>
            <w:noWrap/>
            <w:vAlign w:val="center"/>
            <w:hideMark/>
          </w:tcPr>
          <w:p w14:paraId="45934AA3"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2 663 919,92</w:t>
            </w:r>
            <w:r w:rsidRPr="00B73FDB">
              <w:rPr>
                <w:rFonts w:cs="Calibri"/>
                <w:sz w:val="18"/>
                <w:szCs w:val="18"/>
                <w:lang w:eastAsia="sk-SK"/>
              </w:rPr>
              <w:t xml:space="preserve"> </w:t>
            </w:r>
          </w:p>
        </w:tc>
        <w:tc>
          <w:tcPr>
            <w:tcW w:w="509" w:type="pct"/>
            <w:shd w:val="clear" w:color="auto" w:fill="D9D9D9"/>
            <w:noWrap/>
            <w:vAlign w:val="center"/>
            <w:hideMark/>
          </w:tcPr>
          <w:p w14:paraId="3EA31C1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2 148 616,99</w:t>
            </w:r>
            <w:r w:rsidRPr="00B73FDB">
              <w:rPr>
                <w:rFonts w:cs="Calibri"/>
                <w:sz w:val="18"/>
                <w:szCs w:val="18"/>
                <w:lang w:eastAsia="sk-SK"/>
              </w:rPr>
              <w:t xml:space="preserve"> </w:t>
            </w:r>
          </w:p>
        </w:tc>
        <w:tc>
          <w:tcPr>
            <w:tcW w:w="565" w:type="pct"/>
            <w:shd w:val="clear" w:color="auto" w:fill="D9D9D9"/>
            <w:noWrap/>
            <w:vAlign w:val="center"/>
            <w:hideMark/>
          </w:tcPr>
          <w:p w14:paraId="12798622"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80,66</w:t>
            </w:r>
            <w:r w:rsidRPr="00B73FDB">
              <w:rPr>
                <w:rFonts w:cs="Calibri"/>
                <w:sz w:val="18"/>
                <w:szCs w:val="18"/>
                <w:lang w:eastAsia="sk-SK"/>
              </w:rPr>
              <w:t xml:space="preserve"> </w:t>
            </w:r>
          </w:p>
        </w:tc>
        <w:tc>
          <w:tcPr>
            <w:tcW w:w="1137" w:type="pct"/>
            <w:vMerge/>
            <w:shd w:val="clear" w:color="auto" w:fill="D9D9D9"/>
            <w:vAlign w:val="center"/>
            <w:hideMark/>
          </w:tcPr>
          <w:p w14:paraId="5B1B8FC8" w14:textId="77777777" w:rsidR="00B73FDB" w:rsidRPr="00B73FDB" w:rsidRDefault="00B73FDB" w:rsidP="00B73FDB">
            <w:pPr>
              <w:spacing w:after="0" w:line="240" w:lineRule="auto"/>
              <w:rPr>
                <w:rFonts w:cs="Calibri"/>
                <w:sz w:val="18"/>
                <w:szCs w:val="18"/>
                <w:lang w:eastAsia="sk-SK"/>
              </w:rPr>
            </w:pPr>
          </w:p>
        </w:tc>
      </w:tr>
      <w:tr w:rsidR="00B73FDB" w:rsidRPr="00B73FDB" w14:paraId="548E985B" w14:textId="77777777" w:rsidTr="00B73FDB">
        <w:trPr>
          <w:tblCellSpacing w:w="15" w:type="dxa"/>
        </w:trPr>
        <w:tc>
          <w:tcPr>
            <w:tcW w:w="239" w:type="pct"/>
            <w:shd w:val="clear" w:color="auto" w:fill="EFEFEF"/>
            <w:noWrap/>
            <w:vAlign w:val="center"/>
            <w:hideMark/>
          </w:tcPr>
          <w:p w14:paraId="671BEA4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244" w:type="pct"/>
            <w:shd w:val="clear" w:color="auto" w:fill="EFEFEF"/>
            <w:vAlign w:val="center"/>
            <w:hideMark/>
          </w:tcPr>
          <w:p w14:paraId="34F8082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73" w:type="pct"/>
            <w:shd w:val="clear" w:color="auto" w:fill="EFEFEF"/>
            <w:noWrap/>
            <w:vAlign w:val="center"/>
            <w:hideMark/>
          </w:tcPr>
          <w:p w14:paraId="2A5D8FE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610" w:type="pct"/>
            <w:shd w:val="clear" w:color="auto" w:fill="EFEFEF"/>
            <w:noWrap/>
            <w:vAlign w:val="center"/>
            <w:hideMark/>
          </w:tcPr>
          <w:p w14:paraId="626601D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906 887,15 </w:t>
            </w:r>
          </w:p>
        </w:tc>
        <w:tc>
          <w:tcPr>
            <w:tcW w:w="509" w:type="pct"/>
            <w:shd w:val="clear" w:color="auto" w:fill="EFEFEF"/>
            <w:noWrap/>
            <w:vAlign w:val="center"/>
            <w:hideMark/>
          </w:tcPr>
          <w:p w14:paraId="7E621B3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906 887,15 </w:t>
            </w:r>
          </w:p>
        </w:tc>
        <w:tc>
          <w:tcPr>
            <w:tcW w:w="565" w:type="pct"/>
            <w:shd w:val="clear" w:color="auto" w:fill="EFEFEF"/>
            <w:noWrap/>
            <w:vAlign w:val="center"/>
            <w:hideMark/>
          </w:tcPr>
          <w:p w14:paraId="14BA824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52244597" w14:textId="77777777" w:rsidR="00B73FDB" w:rsidRPr="00B73FDB" w:rsidRDefault="00B73FDB" w:rsidP="00B73FDB">
            <w:pPr>
              <w:spacing w:after="0" w:line="240" w:lineRule="auto"/>
              <w:rPr>
                <w:rFonts w:cs="Calibri"/>
                <w:sz w:val="18"/>
                <w:szCs w:val="18"/>
                <w:lang w:eastAsia="sk-SK"/>
              </w:rPr>
            </w:pPr>
          </w:p>
        </w:tc>
      </w:tr>
      <w:tr w:rsidR="00B73FDB" w:rsidRPr="00B73FDB" w14:paraId="6BA2DCD1" w14:textId="77777777" w:rsidTr="00B73FDB">
        <w:trPr>
          <w:tblCellSpacing w:w="15" w:type="dxa"/>
        </w:trPr>
        <w:tc>
          <w:tcPr>
            <w:tcW w:w="239" w:type="pct"/>
            <w:shd w:val="clear" w:color="auto" w:fill="EFEFEF"/>
            <w:noWrap/>
            <w:vAlign w:val="center"/>
            <w:hideMark/>
          </w:tcPr>
          <w:p w14:paraId="7D77C77A"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244" w:type="pct"/>
            <w:shd w:val="clear" w:color="auto" w:fill="EFEFEF"/>
            <w:vAlign w:val="center"/>
            <w:hideMark/>
          </w:tcPr>
          <w:p w14:paraId="772C8D2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73" w:type="pct"/>
            <w:shd w:val="clear" w:color="auto" w:fill="EFEFEF"/>
            <w:noWrap/>
            <w:vAlign w:val="center"/>
            <w:hideMark/>
          </w:tcPr>
          <w:p w14:paraId="032FF88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610" w:type="pct"/>
            <w:shd w:val="clear" w:color="auto" w:fill="EFEFEF"/>
            <w:noWrap/>
            <w:vAlign w:val="center"/>
            <w:hideMark/>
          </w:tcPr>
          <w:p w14:paraId="625CE63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191 515,09 </w:t>
            </w:r>
          </w:p>
        </w:tc>
        <w:tc>
          <w:tcPr>
            <w:tcW w:w="509" w:type="pct"/>
            <w:shd w:val="clear" w:color="auto" w:fill="EFEFEF"/>
            <w:noWrap/>
            <w:vAlign w:val="center"/>
            <w:hideMark/>
          </w:tcPr>
          <w:p w14:paraId="20F7DFA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191 515,09 </w:t>
            </w:r>
          </w:p>
        </w:tc>
        <w:tc>
          <w:tcPr>
            <w:tcW w:w="565" w:type="pct"/>
            <w:shd w:val="clear" w:color="auto" w:fill="EFEFEF"/>
            <w:noWrap/>
            <w:vAlign w:val="center"/>
            <w:hideMark/>
          </w:tcPr>
          <w:p w14:paraId="604B480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43173040" w14:textId="77777777" w:rsidR="00B73FDB" w:rsidRPr="00B73FDB" w:rsidRDefault="00B73FDB" w:rsidP="00B73FDB">
            <w:pPr>
              <w:spacing w:after="0" w:line="240" w:lineRule="auto"/>
              <w:rPr>
                <w:rFonts w:cs="Calibri"/>
                <w:sz w:val="18"/>
                <w:szCs w:val="18"/>
                <w:lang w:eastAsia="sk-SK"/>
              </w:rPr>
            </w:pPr>
          </w:p>
        </w:tc>
      </w:tr>
      <w:tr w:rsidR="00B73FDB" w:rsidRPr="00B73FDB" w14:paraId="25CA5192" w14:textId="77777777" w:rsidTr="00B73FDB">
        <w:trPr>
          <w:tblCellSpacing w:w="15" w:type="dxa"/>
        </w:trPr>
        <w:tc>
          <w:tcPr>
            <w:tcW w:w="239" w:type="pct"/>
            <w:shd w:val="clear" w:color="auto" w:fill="EFEFEF"/>
            <w:noWrap/>
            <w:vAlign w:val="center"/>
            <w:hideMark/>
          </w:tcPr>
          <w:p w14:paraId="61FE286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244" w:type="pct"/>
            <w:shd w:val="clear" w:color="auto" w:fill="EFEFEF"/>
            <w:vAlign w:val="center"/>
            <w:hideMark/>
          </w:tcPr>
          <w:p w14:paraId="6E60AF3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73" w:type="pct"/>
            <w:shd w:val="clear" w:color="auto" w:fill="EFEFEF"/>
            <w:noWrap/>
            <w:vAlign w:val="center"/>
            <w:hideMark/>
          </w:tcPr>
          <w:p w14:paraId="0E2F9D5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610" w:type="pct"/>
            <w:shd w:val="clear" w:color="auto" w:fill="EFEFEF"/>
            <w:noWrap/>
            <w:vAlign w:val="center"/>
            <w:hideMark/>
          </w:tcPr>
          <w:p w14:paraId="53B4C95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520 774,30 </w:t>
            </w:r>
          </w:p>
        </w:tc>
        <w:tc>
          <w:tcPr>
            <w:tcW w:w="509" w:type="pct"/>
            <w:shd w:val="clear" w:color="auto" w:fill="EFEFEF"/>
            <w:noWrap/>
            <w:vAlign w:val="center"/>
            <w:hideMark/>
          </w:tcPr>
          <w:p w14:paraId="599CA5D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517 478,32 </w:t>
            </w:r>
          </w:p>
        </w:tc>
        <w:tc>
          <w:tcPr>
            <w:tcW w:w="565" w:type="pct"/>
            <w:shd w:val="clear" w:color="auto" w:fill="EFEFEF"/>
            <w:noWrap/>
            <w:vAlign w:val="center"/>
            <w:hideMark/>
          </w:tcPr>
          <w:p w14:paraId="6992C20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99,37 </w:t>
            </w:r>
          </w:p>
        </w:tc>
        <w:tc>
          <w:tcPr>
            <w:tcW w:w="1137" w:type="pct"/>
            <w:vMerge/>
            <w:shd w:val="clear" w:color="auto" w:fill="EFEFEF"/>
            <w:vAlign w:val="center"/>
            <w:hideMark/>
          </w:tcPr>
          <w:p w14:paraId="3E2B7F95" w14:textId="77777777" w:rsidR="00B73FDB" w:rsidRPr="00B73FDB" w:rsidRDefault="00B73FDB" w:rsidP="00B73FDB">
            <w:pPr>
              <w:spacing w:after="0" w:line="240" w:lineRule="auto"/>
              <w:rPr>
                <w:rFonts w:cs="Calibri"/>
                <w:sz w:val="18"/>
                <w:szCs w:val="18"/>
                <w:lang w:eastAsia="sk-SK"/>
              </w:rPr>
            </w:pPr>
          </w:p>
        </w:tc>
      </w:tr>
      <w:tr w:rsidR="00B73FDB" w:rsidRPr="00B73FDB" w14:paraId="3444F28F" w14:textId="77777777" w:rsidTr="00B73FDB">
        <w:trPr>
          <w:tblCellSpacing w:w="15" w:type="dxa"/>
        </w:trPr>
        <w:tc>
          <w:tcPr>
            <w:tcW w:w="239" w:type="pct"/>
            <w:shd w:val="clear" w:color="auto" w:fill="EFEFEF"/>
            <w:noWrap/>
            <w:vAlign w:val="center"/>
            <w:hideMark/>
          </w:tcPr>
          <w:p w14:paraId="5DA80AB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244" w:type="pct"/>
            <w:shd w:val="clear" w:color="auto" w:fill="EFEFEF"/>
            <w:vAlign w:val="center"/>
            <w:hideMark/>
          </w:tcPr>
          <w:p w14:paraId="12B086B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73" w:type="pct"/>
            <w:shd w:val="clear" w:color="auto" w:fill="EFEFEF"/>
            <w:noWrap/>
            <w:vAlign w:val="center"/>
            <w:hideMark/>
          </w:tcPr>
          <w:p w14:paraId="192D121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2 800 000,00 </w:t>
            </w:r>
          </w:p>
        </w:tc>
        <w:tc>
          <w:tcPr>
            <w:tcW w:w="610" w:type="pct"/>
            <w:shd w:val="clear" w:color="auto" w:fill="EFEFEF"/>
            <w:noWrap/>
            <w:vAlign w:val="center"/>
            <w:hideMark/>
          </w:tcPr>
          <w:p w14:paraId="711AEC1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1 044 743,38 </w:t>
            </w:r>
          </w:p>
        </w:tc>
        <w:tc>
          <w:tcPr>
            <w:tcW w:w="509" w:type="pct"/>
            <w:shd w:val="clear" w:color="auto" w:fill="EFEFEF"/>
            <w:noWrap/>
            <w:vAlign w:val="center"/>
            <w:hideMark/>
          </w:tcPr>
          <w:p w14:paraId="30E121D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532 736,43 </w:t>
            </w:r>
          </w:p>
        </w:tc>
        <w:tc>
          <w:tcPr>
            <w:tcW w:w="565" w:type="pct"/>
            <w:shd w:val="clear" w:color="auto" w:fill="EFEFEF"/>
            <w:noWrap/>
            <w:vAlign w:val="center"/>
            <w:hideMark/>
          </w:tcPr>
          <w:p w14:paraId="47DC71D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50,99 </w:t>
            </w:r>
          </w:p>
        </w:tc>
        <w:tc>
          <w:tcPr>
            <w:tcW w:w="1137" w:type="pct"/>
            <w:vMerge/>
            <w:shd w:val="clear" w:color="auto" w:fill="EFEFEF"/>
            <w:vAlign w:val="center"/>
            <w:hideMark/>
          </w:tcPr>
          <w:p w14:paraId="6F0880E0" w14:textId="77777777" w:rsidR="00B73FDB" w:rsidRPr="00B73FDB" w:rsidRDefault="00B73FDB" w:rsidP="00B73FDB">
            <w:pPr>
              <w:spacing w:after="0" w:line="240" w:lineRule="auto"/>
              <w:rPr>
                <w:rFonts w:cs="Calibri"/>
                <w:sz w:val="18"/>
                <w:szCs w:val="18"/>
                <w:lang w:eastAsia="sk-SK"/>
              </w:rPr>
            </w:pPr>
          </w:p>
        </w:tc>
      </w:tr>
      <w:tr w:rsidR="00B73FDB" w:rsidRPr="00B73FDB" w14:paraId="0197BF21" w14:textId="77777777" w:rsidTr="00B73FDB">
        <w:trPr>
          <w:tblCellSpacing w:w="15" w:type="dxa"/>
        </w:trPr>
        <w:tc>
          <w:tcPr>
            <w:tcW w:w="239" w:type="pct"/>
            <w:shd w:val="clear" w:color="auto" w:fill="D9D9D9"/>
            <w:noWrap/>
            <w:vAlign w:val="center"/>
            <w:hideMark/>
          </w:tcPr>
          <w:p w14:paraId="541A220D"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700</w:t>
            </w:r>
            <w:r w:rsidRPr="00B73FDB">
              <w:rPr>
                <w:rFonts w:cs="Calibri"/>
                <w:sz w:val="18"/>
                <w:szCs w:val="18"/>
                <w:lang w:eastAsia="sk-SK"/>
              </w:rPr>
              <w:t xml:space="preserve"> </w:t>
            </w:r>
          </w:p>
        </w:tc>
        <w:tc>
          <w:tcPr>
            <w:tcW w:w="1244" w:type="pct"/>
            <w:shd w:val="clear" w:color="auto" w:fill="D9D9D9"/>
            <w:vAlign w:val="center"/>
            <w:hideMark/>
          </w:tcPr>
          <w:p w14:paraId="09993F3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Kapitálové výdavky</w:t>
            </w:r>
            <w:r w:rsidRPr="00B73FDB">
              <w:rPr>
                <w:rFonts w:cs="Calibri"/>
                <w:sz w:val="18"/>
                <w:szCs w:val="18"/>
                <w:lang w:eastAsia="sk-SK"/>
              </w:rPr>
              <w:t xml:space="preserve"> </w:t>
            </w:r>
          </w:p>
        </w:tc>
        <w:tc>
          <w:tcPr>
            <w:tcW w:w="573" w:type="pct"/>
            <w:shd w:val="clear" w:color="auto" w:fill="D9D9D9"/>
            <w:noWrap/>
            <w:vAlign w:val="center"/>
            <w:hideMark/>
          </w:tcPr>
          <w:p w14:paraId="571AE96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610" w:type="pct"/>
            <w:shd w:val="clear" w:color="auto" w:fill="D9D9D9"/>
            <w:noWrap/>
            <w:vAlign w:val="center"/>
            <w:hideMark/>
          </w:tcPr>
          <w:p w14:paraId="3E7A39F7"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5 000,00</w:t>
            </w:r>
            <w:r w:rsidRPr="00B73FDB">
              <w:rPr>
                <w:rFonts w:cs="Calibri"/>
                <w:sz w:val="18"/>
                <w:szCs w:val="18"/>
                <w:lang w:eastAsia="sk-SK"/>
              </w:rPr>
              <w:t xml:space="preserve"> </w:t>
            </w:r>
          </w:p>
        </w:tc>
        <w:tc>
          <w:tcPr>
            <w:tcW w:w="509" w:type="pct"/>
            <w:shd w:val="clear" w:color="auto" w:fill="D9D9D9"/>
            <w:noWrap/>
            <w:vAlign w:val="center"/>
            <w:hideMark/>
          </w:tcPr>
          <w:p w14:paraId="720E8F1F"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5 000,00</w:t>
            </w:r>
            <w:r w:rsidRPr="00B73FDB">
              <w:rPr>
                <w:rFonts w:cs="Calibri"/>
                <w:sz w:val="18"/>
                <w:szCs w:val="18"/>
                <w:lang w:eastAsia="sk-SK"/>
              </w:rPr>
              <w:t xml:space="preserve"> </w:t>
            </w:r>
          </w:p>
        </w:tc>
        <w:tc>
          <w:tcPr>
            <w:tcW w:w="565" w:type="pct"/>
            <w:shd w:val="clear" w:color="auto" w:fill="D9D9D9"/>
            <w:noWrap/>
            <w:vAlign w:val="center"/>
            <w:hideMark/>
          </w:tcPr>
          <w:p w14:paraId="339582A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100,00</w:t>
            </w:r>
            <w:r w:rsidRPr="00B73FDB">
              <w:rPr>
                <w:rFonts w:cs="Calibri"/>
                <w:sz w:val="18"/>
                <w:szCs w:val="18"/>
                <w:lang w:eastAsia="sk-SK"/>
              </w:rPr>
              <w:t xml:space="preserve"> </w:t>
            </w:r>
          </w:p>
        </w:tc>
        <w:tc>
          <w:tcPr>
            <w:tcW w:w="1137" w:type="pct"/>
            <w:vMerge/>
            <w:shd w:val="clear" w:color="auto" w:fill="D9D9D9"/>
            <w:vAlign w:val="center"/>
            <w:hideMark/>
          </w:tcPr>
          <w:p w14:paraId="09C2648A" w14:textId="77777777" w:rsidR="00B73FDB" w:rsidRPr="00B73FDB" w:rsidRDefault="00B73FDB" w:rsidP="00B73FDB">
            <w:pPr>
              <w:spacing w:after="0" w:line="240" w:lineRule="auto"/>
              <w:rPr>
                <w:rFonts w:cs="Calibri"/>
                <w:sz w:val="18"/>
                <w:szCs w:val="18"/>
                <w:lang w:eastAsia="sk-SK"/>
              </w:rPr>
            </w:pPr>
          </w:p>
        </w:tc>
      </w:tr>
      <w:tr w:rsidR="00B73FDB" w:rsidRPr="00B73FDB" w14:paraId="521F988B" w14:textId="77777777" w:rsidTr="00B73FDB">
        <w:trPr>
          <w:tblCellSpacing w:w="15" w:type="dxa"/>
        </w:trPr>
        <w:tc>
          <w:tcPr>
            <w:tcW w:w="239" w:type="pct"/>
            <w:shd w:val="clear" w:color="auto" w:fill="EFEFEF"/>
            <w:noWrap/>
            <w:vAlign w:val="center"/>
            <w:hideMark/>
          </w:tcPr>
          <w:p w14:paraId="358C02EC"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710 </w:t>
            </w:r>
          </w:p>
        </w:tc>
        <w:tc>
          <w:tcPr>
            <w:tcW w:w="1244" w:type="pct"/>
            <w:shd w:val="clear" w:color="auto" w:fill="EFEFEF"/>
            <w:vAlign w:val="center"/>
            <w:hideMark/>
          </w:tcPr>
          <w:p w14:paraId="5758D87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Obstarávanie kapitálových aktív </w:t>
            </w:r>
          </w:p>
        </w:tc>
        <w:tc>
          <w:tcPr>
            <w:tcW w:w="573" w:type="pct"/>
            <w:shd w:val="clear" w:color="auto" w:fill="EFEFEF"/>
            <w:noWrap/>
            <w:vAlign w:val="center"/>
            <w:hideMark/>
          </w:tcPr>
          <w:p w14:paraId="06757CD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610" w:type="pct"/>
            <w:shd w:val="clear" w:color="auto" w:fill="EFEFEF"/>
            <w:noWrap/>
            <w:vAlign w:val="center"/>
            <w:hideMark/>
          </w:tcPr>
          <w:p w14:paraId="6443FB2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5 000,00 </w:t>
            </w:r>
          </w:p>
        </w:tc>
        <w:tc>
          <w:tcPr>
            <w:tcW w:w="509" w:type="pct"/>
            <w:shd w:val="clear" w:color="auto" w:fill="EFEFEF"/>
            <w:noWrap/>
            <w:vAlign w:val="center"/>
            <w:hideMark/>
          </w:tcPr>
          <w:p w14:paraId="1F0620D1"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5 000,00 </w:t>
            </w:r>
          </w:p>
        </w:tc>
        <w:tc>
          <w:tcPr>
            <w:tcW w:w="565" w:type="pct"/>
            <w:shd w:val="clear" w:color="auto" w:fill="EFEFEF"/>
            <w:noWrap/>
            <w:vAlign w:val="center"/>
            <w:hideMark/>
          </w:tcPr>
          <w:p w14:paraId="4925C71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137" w:type="pct"/>
            <w:vMerge/>
            <w:shd w:val="clear" w:color="auto" w:fill="EFEFEF"/>
            <w:vAlign w:val="center"/>
            <w:hideMark/>
          </w:tcPr>
          <w:p w14:paraId="4954B7E5" w14:textId="77777777" w:rsidR="00B73FDB" w:rsidRPr="00B73FDB" w:rsidRDefault="00B73FDB" w:rsidP="00B73FDB">
            <w:pPr>
              <w:spacing w:after="0" w:line="240" w:lineRule="auto"/>
              <w:rPr>
                <w:rFonts w:cs="Calibri"/>
                <w:sz w:val="18"/>
                <w:szCs w:val="18"/>
                <w:lang w:eastAsia="sk-SK"/>
              </w:rPr>
            </w:pPr>
          </w:p>
        </w:tc>
      </w:tr>
    </w:tbl>
    <w:p w14:paraId="212BE9DC"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729"/>
        <w:gridCol w:w="900"/>
        <w:gridCol w:w="2141"/>
        <w:gridCol w:w="1537"/>
        <w:gridCol w:w="4159"/>
      </w:tblGrid>
      <w:tr w:rsidR="00B73FDB" w:rsidRPr="00B73FDB" w14:paraId="43E0A4CF" w14:textId="77777777" w:rsidTr="00B73FDB">
        <w:trPr>
          <w:tblCellSpacing w:w="15" w:type="dxa"/>
        </w:trPr>
        <w:tc>
          <w:tcPr>
            <w:tcW w:w="0" w:type="auto"/>
            <w:shd w:val="clear" w:color="auto" w:fill="C2D69B"/>
            <w:vAlign w:val="center"/>
            <w:hideMark/>
          </w:tcPr>
          <w:p w14:paraId="2CB75CD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1171554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Odbor školstva, mládeže a športu</w:t>
            </w:r>
            <w:r w:rsidRPr="00B73FDB">
              <w:rPr>
                <w:rFonts w:cs="Calibri"/>
                <w:sz w:val="18"/>
                <w:szCs w:val="18"/>
                <w:lang w:eastAsia="sk-SK"/>
              </w:rPr>
              <w:br/>
            </w:r>
          </w:p>
        </w:tc>
      </w:tr>
      <w:tr w:rsidR="00B73FDB" w:rsidRPr="00B73FDB" w14:paraId="5FBFADE7" w14:textId="77777777" w:rsidTr="00B73FDB">
        <w:trPr>
          <w:tblCellSpacing w:w="15" w:type="dxa"/>
        </w:trPr>
        <w:tc>
          <w:tcPr>
            <w:tcW w:w="0" w:type="auto"/>
            <w:shd w:val="clear" w:color="auto" w:fill="C2D69B"/>
            <w:vAlign w:val="center"/>
            <w:hideMark/>
          </w:tcPr>
          <w:p w14:paraId="1C1F7F4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7F61A33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Efektívne a transparentné prerozdeľovanie finančných prostriedkov pre školy a školské zariadenia </w:t>
            </w:r>
          </w:p>
        </w:tc>
      </w:tr>
      <w:tr w:rsidR="00B73FDB" w:rsidRPr="00B73FDB" w14:paraId="52DD6703" w14:textId="77777777" w:rsidTr="00B73FDB">
        <w:trPr>
          <w:tblCellSpacing w:w="15" w:type="dxa"/>
        </w:trPr>
        <w:tc>
          <w:tcPr>
            <w:tcW w:w="0" w:type="auto"/>
            <w:shd w:val="clear" w:color="auto" w:fill="C2D69B"/>
            <w:vAlign w:val="center"/>
            <w:hideMark/>
          </w:tcPr>
          <w:p w14:paraId="577F5BD8"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4BF36102"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škôl spolu za rok a počet škôl a školských zariadení, ktoré sú v zriaďovateľskej pôsobnosti BSK a počet škôl a školských zariadení cirkevných a neštátnych zriaďovateľov spolu za rok </w:t>
            </w:r>
          </w:p>
        </w:tc>
      </w:tr>
      <w:tr w:rsidR="00B73FDB" w:rsidRPr="00B73FDB" w14:paraId="08671884" w14:textId="77777777" w:rsidTr="00B73FDB">
        <w:trPr>
          <w:tblCellSpacing w:w="15" w:type="dxa"/>
        </w:trPr>
        <w:tc>
          <w:tcPr>
            <w:tcW w:w="0" w:type="auto"/>
            <w:shd w:val="clear" w:color="auto" w:fill="C2D69B"/>
            <w:vAlign w:val="center"/>
            <w:hideMark/>
          </w:tcPr>
          <w:p w14:paraId="12C5BD6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46FFCDB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5E82DEC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DA8A20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295DA3F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3D2CF31D" w14:textId="77777777" w:rsidTr="00B73FDB">
        <w:trPr>
          <w:tblCellSpacing w:w="15" w:type="dxa"/>
        </w:trPr>
        <w:tc>
          <w:tcPr>
            <w:tcW w:w="0" w:type="auto"/>
            <w:shd w:val="clear" w:color="auto" w:fill="C2D69B"/>
            <w:vAlign w:val="center"/>
            <w:hideMark/>
          </w:tcPr>
          <w:p w14:paraId="762429C3"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6463055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168 </w:t>
            </w:r>
          </w:p>
        </w:tc>
        <w:tc>
          <w:tcPr>
            <w:tcW w:w="0" w:type="auto"/>
            <w:shd w:val="clear" w:color="auto" w:fill="C2D69B"/>
            <w:noWrap/>
            <w:vAlign w:val="center"/>
            <w:hideMark/>
          </w:tcPr>
          <w:p w14:paraId="45CFC86C"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171 </w:t>
            </w:r>
          </w:p>
        </w:tc>
        <w:tc>
          <w:tcPr>
            <w:tcW w:w="0" w:type="auto"/>
            <w:shd w:val="clear" w:color="auto" w:fill="C2D69B"/>
            <w:vAlign w:val="center"/>
            <w:hideMark/>
          </w:tcPr>
          <w:p w14:paraId="4F48A276"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08D70CB" w14:textId="77777777" w:rsidR="00B73FDB" w:rsidRPr="00B73FDB" w:rsidRDefault="00B73FDB" w:rsidP="00B73FDB">
            <w:pPr>
              <w:spacing w:after="0" w:line="240" w:lineRule="auto"/>
              <w:jc w:val="center"/>
              <w:rPr>
                <w:rFonts w:cs="Calibri"/>
                <w:sz w:val="18"/>
                <w:szCs w:val="18"/>
                <w:lang w:eastAsia="sk-SK"/>
              </w:rPr>
            </w:pPr>
          </w:p>
        </w:tc>
      </w:tr>
    </w:tbl>
    <w:p w14:paraId="1047EEE0" w14:textId="50497796" w:rsidR="00352CED" w:rsidRDefault="00B73FDB" w:rsidP="00352CED">
      <w:pPr>
        <w:spacing w:before="100" w:beforeAutospacing="1" w:after="100" w:afterAutospacing="1" w:line="240" w:lineRule="auto"/>
        <w:jc w:val="both"/>
        <w:rPr>
          <w:rFonts w:cs="Calibri"/>
          <w:sz w:val="24"/>
          <w:szCs w:val="24"/>
          <w:lang w:eastAsia="sk-SK"/>
        </w:rPr>
      </w:pPr>
      <w:r w:rsidRPr="00B73FDB">
        <w:rPr>
          <w:rFonts w:cs="Calibri"/>
          <w:b/>
          <w:bCs/>
          <w:sz w:val="24"/>
          <w:szCs w:val="24"/>
          <w:lang w:eastAsia="sk-SK"/>
        </w:rPr>
        <w:t xml:space="preserve">Komentár: </w:t>
      </w:r>
      <w:r w:rsidRPr="00B73FDB">
        <w:rPr>
          <w:rFonts w:cs="Calibri"/>
          <w:sz w:val="24"/>
          <w:szCs w:val="24"/>
          <w:lang w:eastAsia="sk-SK"/>
        </w:rPr>
        <w:t xml:space="preserve">Podprogram Ostatné výdavky na školstvo zahŕňal finančné prostriedky na prenesené kompetencie a originálne kompetencie. Pri prenesených kompetenciách boli vyčlenené ostatné výdavky na pokrytie potrieb, ktoré vznikli zmenou počtu žiakov v novom školskom roku. Zostatok finančných prostriedkov predstavuje </w:t>
      </w:r>
      <w:proofErr w:type="spellStart"/>
      <w:r w:rsidRPr="00B73FDB">
        <w:rPr>
          <w:rFonts w:cs="Calibri"/>
          <w:sz w:val="24"/>
          <w:szCs w:val="24"/>
          <w:lang w:eastAsia="sk-SK"/>
        </w:rPr>
        <w:t>vratky</w:t>
      </w:r>
      <w:proofErr w:type="spellEnd"/>
      <w:r w:rsidRPr="00B73FDB">
        <w:rPr>
          <w:rFonts w:cs="Calibri"/>
          <w:sz w:val="24"/>
          <w:szCs w:val="24"/>
          <w:lang w:eastAsia="sk-SK"/>
        </w:rPr>
        <w:t xml:space="preserve"> do štátneho rozpočtu v nasledujúcom rozpočtovom roku. Originálne kompetencie zahŕňali finančné prostriedky, ktoré boli použité na spolufinancovanie projektov, nákladov v súvislosti s optimalizáciou siete škôl a školských zariadení, výročia škôl, nových výkonov, dane z nehnuteľností a revízie, vybavenia škôl a školských zariadení, novo zaradených neštátnych škôl a školských zariadení v zmysle platného všeobecne záväzného nariadenia a výdavky, ktoré predstavovali medziročné zvýšenie miezd vrátane odvodov pre pedagogických aj nepedagogických zamestnancov škôl.  Súčasťou Ostatných výdavkov na originálne kompetencie je plnenie ďalšej priority Bratislavského samosprávneho kraja v oblasti vzdelávania, a to motivačného systému odmeňovania pedagogických a nepedagogických zamestnancov, ako aj financovanie iných aktivít súvisiacich s výchovou a vzdelávaním – TFS TEACH FOR SLOVAKIA, Medzinárodná cena vojvodu z </w:t>
      </w:r>
      <w:proofErr w:type="spellStart"/>
      <w:r w:rsidRPr="00B73FDB">
        <w:rPr>
          <w:rFonts w:cs="Calibri"/>
          <w:sz w:val="24"/>
          <w:szCs w:val="24"/>
          <w:lang w:eastAsia="sk-SK"/>
        </w:rPr>
        <w:t>Edinburghu</w:t>
      </w:r>
      <w:proofErr w:type="spellEnd"/>
      <w:r w:rsidRPr="00B73FDB">
        <w:rPr>
          <w:rFonts w:cs="Calibri"/>
          <w:sz w:val="24"/>
          <w:szCs w:val="24"/>
          <w:lang w:eastAsia="sk-SK"/>
        </w:rPr>
        <w:t>, reprezentácia škôl v zahraničí a pod. ...</w:t>
      </w:r>
    </w:p>
    <w:p w14:paraId="2D7DA85C" w14:textId="77777777" w:rsidR="00352CED" w:rsidRPr="00352CED" w:rsidRDefault="00352CED" w:rsidP="00352CED">
      <w:pPr>
        <w:spacing w:before="100" w:beforeAutospacing="1" w:after="100" w:afterAutospacing="1" w:line="240" w:lineRule="auto"/>
        <w:jc w:val="both"/>
        <w:rPr>
          <w:rFonts w:cs="Calibri"/>
          <w:sz w:val="24"/>
          <w:szCs w:val="24"/>
          <w:lang w:eastAsia="sk-SK"/>
        </w:rPr>
      </w:pPr>
    </w:p>
    <w:p w14:paraId="01477742" w14:textId="4F76A7B4" w:rsidR="00B73FDB" w:rsidRPr="00352CED" w:rsidRDefault="00B73FDB" w:rsidP="00352CED">
      <w:pPr>
        <w:keepNext/>
        <w:keepLines/>
        <w:spacing w:before="40" w:after="0" w:line="259" w:lineRule="auto"/>
        <w:jc w:val="both"/>
        <w:outlineLvl w:val="3"/>
        <w:rPr>
          <w:rFonts w:cs="Calibri"/>
          <w:b/>
          <w:color w:val="244061"/>
          <w:sz w:val="24"/>
          <w:szCs w:val="24"/>
          <w:lang w:eastAsia="sk-SK"/>
        </w:rPr>
      </w:pPr>
      <w:r w:rsidRPr="00352CED">
        <w:rPr>
          <w:rFonts w:cs="Calibri"/>
          <w:b/>
          <w:color w:val="244061"/>
          <w:sz w:val="24"/>
          <w:szCs w:val="24"/>
          <w:lang w:eastAsia="sk-SK"/>
        </w:rPr>
        <w:lastRenderedPageBreak/>
        <w:t xml:space="preserve">Prvok 8.9.1: Ostatné výdavky na prenesené kompetencie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8"/>
        <w:gridCol w:w="2772"/>
        <w:gridCol w:w="1212"/>
        <w:gridCol w:w="1179"/>
        <w:gridCol w:w="1151"/>
        <w:gridCol w:w="1273"/>
        <w:gridCol w:w="2311"/>
      </w:tblGrid>
      <w:tr w:rsidR="00B73FDB" w:rsidRPr="00B73FDB" w14:paraId="15A17DE8" w14:textId="77777777" w:rsidTr="00B73FDB">
        <w:trPr>
          <w:tblCellSpacing w:w="15" w:type="dxa"/>
        </w:trPr>
        <w:tc>
          <w:tcPr>
            <w:tcW w:w="249" w:type="pct"/>
            <w:shd w:val="clear" w:color="auto" w:fill="C6DBF7"/>
            <w:vAlign w:val="center"/>
            <w:hideMark/>
          </w:tcPr>
          <w:p w14:paraId="2DB6E0D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307" w:type="pct"/>
            <w:shd w:val="clear" w:color="auto" w:fill="C6DBF7"/>
            <w:vAlign w:val="center"/>
            <w:hideMark/>
          </w:tcPr>
          <w:p w14:paraId="5BDC707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64" w:type="pct"/>
            <w:shd w:val="clear" w:color="auto" w:fill="C6DBF7"/>
            <w:vAlign w:val="center"/>
            <w:hideMark/>
          </w:tcPr>
          <w:p w14:paraId="32D3FE1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48" w:type="pct"/>
            <w:shd w:val="clear" w:color="auto" w:fill="C6DBF7"/>
            <w:vAlign w:val="center"/>
            <w:hideMark/>
          </w:tcPr>
          <w:p w14:paraId="09C824A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35" w:type="pct"/>
            <w:shd w:val="clear" w:color="auto" w:fill="C6DBF7"/>
            <w:vAlign w:val="center"/>
            <w:hideMark/>
          </w:tcPr>
          <w:p w14:paraId="5E33FD0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593" w:type="pct"/>
            <w:shd w:val="clear" w:color="auto" w:fill="C6DBF7"/>
            <w:vAlign w:val="center"/>
            <w:hideMark/>
          </w:tcPr>
          <w:p w14:paraId="0B7DE862"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81" w:type="pct"/>
            <w:shd w:val="clear" w:color="auto" w:fill="C6DBF7"/>
            <w:vAlign w:val="center"/>
            <w:hideMark/>
          </w:tcPr>
          <w:p w14:paraId="7848A2FB"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64D79059" w14:textId="77777777" w:rsidTr="00B73FDB">
        <w:trPr>
          <w:tblCellSpacing w:w="15" w:type="dxa"/>
        </w:trPr>
        <w:tc>
          <w:tcPr>
            <w:tcW w:w="249" w:type="pct"/>
            <w:shd w:val="clear" w:color="auto" w:fill="D9D9D9"/>
            <w:noWrap/>
            <w:vAlign w:val="center"/>
            <w:hideMark/>
          </w:tcPr>
          <w:p w14:paraId="6F67F788" w14:textId="77777777" w:rsidR="00B73FDB" w:rsidRPr="00B73FDB" w:rsidRDefault="00B73FDB" w:rsidP="00B73FDB">
            <w:pPr>
              <w:spacing w:after="0" w:line="240" w:lineRule="auto"/>
              <w:jc w:val="center"/>
              <w:rPr>
                <w:rFonts w:cs="Calibri"/>
                <w:sz w:val="18"/>
                <w:szCs w:val="18"/>
                <w:lang w:eastAsia="sk-SK"/>
              </w:rPr>
            </w:pPr>
          </w:p>
        </w:tc>
        <w:tc>
          <w:tcPr>
            <w:tcW w:w="1307" w:type="pct"/>
            <w:shd w:val="clear" w:color="auto" w:fill="D9D9D9"/>
            <w:vAlign w:val="center"/>
            <w:hideMark/>
          </w:tcPr>
          <w:p w14:paraId="02901CD6"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64" w:type="pct"/>
            <w:shd w:val="clear" w:color="auto" w:fill="D9D9D9"/>
            <w:noWrap/>
            <w:vAlign w:val="center"/>
            <w:hideMark/>
          </w:tcPr>
          <w:p w14:paraId="6DAEFE1A"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48" w:type="pct"/>
            <w:shd w:val="clear" w:color="auto" w:fill="D9D9D9"/>
            <w:noWrap/>
            <w:vAlign w:val="center"/>
            <w:hideMark/>
          </w:tcPr>
          <w:p w14:paraId="6D572CC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40 544,95</w:t>
            </w:r>
            <w:r w:rsidRPr="00B73FDB">
              <w:rPr>
                <w:rFonts w:cs="Calibri"/>
                <w:sz w:val="18"/>
                <w:szCs w:val="18"/>
                <w:lang w:eastAsia="sk-SK"/>
              </w:rPr>
              <w:t xml:space="preserve"> </w:t>
            </w:r>
          </w:p>
        </w:tc>
        <w:tc>
          <w:tcPr>
            <w:tcW w:w="535" w:type="pct"/>
            <w:shd w:val="clear" w:color="auto" w:fill="D9D9D9"/>
            <w:noWrap/>
            <w:vAlign w:val="center"/>
            <w:hideMark/>
          </w:tcPr>
          <w:p w14:paraId="445D861D"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39 923,95</w:t>
            </w:r>
            <w:r w:rsidRPr="00B73FDB">
              <w:rPr>
                <w:rFonts w:cs="Calibri"/>
                <w:sz w:val="18"/>
                <w:szCs w:val="18"/>
                <w:lang w:eastAsia="sk-SK"/>
              </w:rPr>
              <w:t xml:space="preserve"> </w:t>
            </w:r>
          </w:p>
        </w:tc>
        <w:tc>
          <w:tcPr>
            <w:tcW w:w="593" w:type="pct"/>
            <w:shd w:val="clear" w:color="auto" w:fill="D9D9D9"/>
            <w:noWrap/>
            <w:vAlign w:val="center"/>
            <w:hideMark/>
          </w:tcPr>
          <w:p w14:paraId="52EEECD0"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98,47</w:t>
            </w:r>
            <w:r w:rsidRPr="00B73FDB">
              <w:rPr>
                <w:rFonts w:cs="Calibri"/>
                <w:sz w:val="18"/>
                <w:szCs w:val="18"/>
                <w:lang w:eastAsia="sk-SK"/>
              </w:rPr>
              <w:t xml:space="preserve"> </w:t>
            </w:r>
          </w:p>
        </w:tc>
        <w:tc>
          <w:tcPr>
            <w:tcW w:w="1081" w:type="pct"/>
            <w:vMerge w:val="restart"/>
            <w:shd w:val="clear" w:color="auto" w:fill="D9D9D9"/>
            <w:vAlign w:val="center"/>
            <w:hideMark/>
          </w:tcPr>
          <w:p w14:paraId="32FFBF14" w14:textId="77777777" w:rsidR="00B73FDB" w:rsidRPr="00B73FDB" w:rsidRDefault="00B73FDB" w:rsidP="00B73FDB">
            <w:pPr>
              <w:spacing w:after="0" w:line="240" w:lineRule="auto"/>
              <w:rPr>
                <w:rFonts w:cs="Calibri"/>
                <w:sz w:val="18"/>
                <w:szCs w:val="18"/>
                <w:lang w:eastAsia="sk-SK"/>
              </w:rPr>
            </w:pPr>
          </w:p>
          <w:p w14:paraId="1852421A" w14:textId="77777777" w:rsidR="00B73FDB" w:rsidRPr="00B73FDB" w:rsidRDefault="00B73FDB" w:rsidP="00B73FDB">
            <w:pPr>
              <w:spacing w:after="0" w:line="240" w:lineRule="auto"/>
              <w:rPr>
                <w:rFonts w:cs="Calibri"/>
                <w:sz w:val="18"/>
                <w:szCs w:val="18"/>
                <w:lang w:eastAsia="sk-SK"/>
              </w:rPr>
            </w:pPr>
          </w:p>
          <w:p w14:paraId="26BE9F23" w14:textId="77777777" w:rsidR="00B73FDB" w:rsidRPr="00B73FDB" w:rsidRDefault="00B73FDB" w:rsidP="00B73FDB">
            <w:pPr>
              <w:spacing w:after="0" w:line="240" w:lineRule="auto"/>
              <w:rPr>
                <w:rFonts w:cs="Calibri"/>
                <w:sz w:val="18"/>
                <w:szCs w:val="18"/>
                <w:lang w:eastAsia="sk-SK"/>
              </w:rPr>
            </w:pPr>
          </w:p>
          <w:p w14:paraId="79EBC453" w14:textId="77777777" w:rsidR="00B73FDB" w:rsidRPr="00B73FDB" w:rsidRDefault="00B73FDB" w:rsidP="00B73FDB">
            <w:pPr>
              <w:spacing w:after="0" w:line="240" w:lineRule="auto"/>
              <w:rPr>
                <w:rFonts w:cs="Calibri"/>
                <w:sz w:val="18"/>
                <w:szCs w:val="18"/>
                <w:lang w:eastAsia="sk-SK"/>
              </w:rPr>
            </w:pPr>
          </w:p>
        </w:tc>
      </w:tr>
      <w:tr w:rsidR="00B73FDB" w:rsidRPr="00B73FDB" w14:paraId="0C153DA3" w14:textId="77777777" w:rsidTr="00B73FDB">
        <w:trPr>
          <w:tblCellSpacing w:w="15" w:type="dxa"/>
        </w:trPr>
        <w:tc>
          <w:tcPr>
            <w:tcW w:w="249" w:type="pct"/>
            <w:shd w:val="clear" w:color="auto" w:fill="D9D9D9"/>
            <w:noWrap/>
            <w:vAlign w:val="center"/>
            <w:hideMark/>
          </w:tcPr>
          <w:p w14:paraId="3CC98B43"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307" w:type="pct"/>
            <w:shd w:val="clear" w:color="auto" w:fill="D9D9D9"/>
            <w:vAlign w:val="center"/>
            <w:hideMark/>
          </w:tcPr>
          <w:p w14:paraId="1AF0568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64" w:type="pct"/>
            <w:shd w:val="clear" w:color="auto" w:fill="D9D9D9"/>
            <w:noWrap/>
            <w:vAlign w:val="center"/>
            <w:hideMark/>
          </w:tcPr>
          <w:p w14:paraId="1133E33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0,00</w:t>
            </w:r>
            <w:r w:rsidRPr="00B73FDB">
              <w:rPr>
                <w:rFonts w:cs="Calibri"/>
                <w:sz w:val="18"/>
                <w:szCs w:val="18"/>
                <w:lang w:eastAsia="sk-SK"/>
              </w:rPr>
              <w:t xml:space="preserve"> </w:t>
            </w:r>
          </w:p>
        </w:tc>
        <w:tc>
          <w:tcPr>
            <w:tcW w:w="548" w:type="pct"/>
            <w:shd w:val="clear" w:color="auto" w:fill="D9D9D9"/>
            <w:noWrap/>
            <w:vAlign w:val="center"/>
            <w:hideMark/>
          </w:tcPr>
          <w:p w14:paraId="0EA17A7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40 544,95</w:t>
            </w:r>
            <w:r w:rsidRPr="00B73FDB">
              <w:rPr>
                <w:rFonts w:cs="Calibri"/>
                <w:sz w:val="18"/>
                <w:szCs w:val="18"/>
                <w:lang w:eastAsia="sk-SK"/>
              </w:rPr>
              <w:t xml:space="preserve"> </w:t>
            </w:r>
          </w:p>
        </w:tc>
        <w:tc>
          <w:tcPr>
            <w:tcW w:w="535" w:type="pct"/>
            <w:shd w:val="clear" w:color="auto" w:fill="D9D9D9"/>
            <w:noWrap/>
            <w:vAlign w:val="center"/>
            <w:hideMark/>
          </w:tcPr>
          <w:p w14:paraId="63E4293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39 923,95</w:t>
            </w:r>
            <w:r w:rsidRPr="00B73FDB">
              <w:rPr>
                <w:rFonts w:cs="Calibri"/>
                <w:sz w:val="18"/>
                <w:szCs w:val="18"/>
                <w:lang w:eastAsia="sk-SK"/>
              </w:rPr>
              <w:t xml:space="preserve"> </w:t>
            </w:r>
          </w:p>
        </w:tc>
        <w:tc>
          <w:tcPr>
            <w:tcW w:w="593" w:type="pct"/>
            <w:shd w:val="clear" w:color="auto" w:fill="D9D9D9"/>
            <w:noWrap/>
            <w:vAlign w:val="center"/>
            <w:hideMark/>
          </w:tcPr>
          <w:p w14:paraId="430E9BE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98,47</w:t>
            </w:r>
            <w:r w:rsidRPr="00B73FDB">
              <w:rPr>
                <w:rFonts w:cs="Calibri"/>
                <w:sz w:val="18"/>
                <w:szCs w:val="18"/>
                <w:lang w:eastAsia="sk-SK"/>
              </w:rPr>
              <w:t xml:space="preserve"> </w:t>
            </w:r>
          </w:p>
        </w:tc>
        <w:tc>
          <w:tcPr>
            <w:tcW w:w="1081" w:type="pct"/>
            <w:vMerge/>
            <w:shd w:val="clear" w:color="auto" w:fill="D9D9D9"/>
            <w:vAlign w:val="center"/>
            <w:hideMark/>
          </w:tcPr>
          <w:p w14:paraId="227F6367"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6424DCE6" w14:textId="77777777" w:rsidTr="00B73FDB">
        <w:trPr>
          <w:tblCellSpacing w:w="15" w:type="dxa"/>
        </w:trPr>
        <w:tc>
          <w:tcPr>
            <w:tcW w:w="249" w:type="pct"/>
            <w:shd w:val="clear" w:color="auto" w:fill="EFEFEF"/>
            <w:noWrap/>
            <w:vAlign w:val="center"/>
            <w:hideMark/>
          </w:tcPr>
          <w:p w14:paraId="25EA5A2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307" w:type="pct"/>
            <w:shd w:val="clear" w:color="auto" w:fill="EFEFEF"/>
            <w:vAlign w:val="center"/>
            <w:hideMark/>
          </w:tcPr>
          <w:p w14:paraId="2A92408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64" w:type="pct"/>
            <w:shd w:val="clear" w:color="auto" w:fill="EFEFEF"/>
            <w:noWrap/>
            <w:vAlign w:val="center"/>
            <w:hideMark/>
          </w:tcPr>
          <w:p w14:paraId="47C215CB" w14:textId="77777777" w:rsidR="00B73FDB" w:rsidRPr="00B73FDB" w:rsidRDefault="00B73FDB" w:rsidP="00B73FDB">
            <w:pPr>
              <w:spacing w:after="0" w:line="240" w:lineRule="auto"/>
              <w:rPr>
                <w:rFonts w:cs="Calibri"/>
                <w:sz w:val="18"/>
                <w:szCs w:val="18"/>
                <w:lang w:eastAsia="sk-SK"/>
              </w:rPr>
            </w:pPr>
          </w:p>
        </w:tc>
        <w:tc>
          <w:tcPr>
            <w:tcW w:w="548" w:type="pct"/>
            <w:shd w:val="clear" w:color="auto" w:fill="EFEFEF"/>
            <w:noWrap/>
            <w:vAlign w:val="center"/>
            <w:hideMark/>
          </w:tcPr>
          <w:p w14:paraId="7BCAE0AA" w14:textId="77777777" w:rsidR="00B73FDB" w:rsidRPr="00B73FDB" w:rsidRDefault="00B73FDB" w:rsidP="00B73FDB">
            <w:pPr>
              <w:spacing w:after="0" w:line="240" w:lineRule="auto"/>
              <w:jc w:val="right"/>
              <w:rPr>
                <w:rFonts w:cs="Calibri"/>
                <w:sz w:val="18"/>
                <w:szCs w:val="18"/>
                <w:lang w:eastAsia="sk-SK"/>
              </w:rPr>
            </w:pPr>
          </w:p>
        </w:tc>
        <w:tc>
          <w:tcPr>
            <w:tcW w:w="535" w:type="pct"/>
            <w:shd w:val="clear" w:color="auto" w:fill="EFEFEF"/>
            <w:noWrap/>
            <w:vAlign w:val="center"/>
            <w:hideMark/>
          </w:tcPr>
          <w:p w14:paraId="3119C462" w14:textId="77777777" w:rsidR="00B73FDB" w:rsidRPr="00B73FDB" w:rsidRDefault="00B73FDB" w:rsidP="00B73FDB">
            <w:pPr>
              <w:spacing w:after="0" w:line="240" w:lineRule="auto"/>
              <w:jc w:val="right"/>
              <w:rPr>
                <w:rFonts w:cs="Calibri"/>
                <w:sz w:val="18"/>
                <w:szCs w:val="18"/>
                <w:lang w:eastAsia="sk-SK"/>
              </w:rPr>
            </w:pPr>
          </w:p>
        </w:tc>
        <w:tc>
          <w:tcPr>
            <w:tcW w:w="593" w:type="pct"/>
            <w:shd w:val="clear" w:color="auto" w:fill="EFEFEF"/>
            <w:noWrap/>
            <w:vAlign w:val="center"/>
            <w:hideMark/>
          </w:tcPr>
          <w:p w14:paraId="448FA95C" w14:textId="77777777" w:rsidR="00B73FDB" w:rsidRPr="00B73FDB" w:rsidRDefault="00B73FDB" w:rsidP="00B73FDB">
            <w:pPr>
              <w:spacing w:after="0" w:line="240" w:lineRule="auto"/>
              <w:jc w:val="right"/>
              <w:rPr>
                <w:rFonts w:cs="Calibri"/>
                <w:sz w:val="18"/>
                <w:szCs w:val="18"/>
                <w:lang w:eastAsia="sk-SK"/>
              </w:rPr>
            </w:pPr>
          </w:p>
        </w:tc>
        <w:tc>
          <w:tcPr>
            <w:tcW w:w="1081" w:type="pct"/>
            <w:vMerge/>
            <w:shd w:val="clear" w:color="auto" w:fill="EFEFEF"/>
            <w:vAlign w:val="center"/>
            <w:hideMark/>
          </w:tcPr>
          <w:p w14:paraId="56610C62" w14:textId="77777777" w:rsidR="00B73FDB" w:rsidRPr="00B73FDB" w:rsidRDefault="00B73FDB" w:rsidP="00B73FDB">
            <w:pPr>
              <w:spacing w:after="0" w:line="240" w:lineRule="auto"/>
              <w:rPr>
                <w:rFonts w:cs="Calibri"/>
                <w:sz w:val="18"/>
                <w:szCs w:val="18"/>
                <w:lang w:eastAsia="sk-SK"/>
              </w:rPr>
            </w:pPr>
          </w:p>
        </w:tc>
      </w:tr>
      <w:tr w:rsidR="00B73FDB" w:rsidRPr="00B73FDB" w14:paraId="73C83946" w14:textId="77777777" w:rsidTr="00B73FDB">
        <w:trPr>
          <w:tblCellSpacing w:w="15" w:type="dxa"/>
        </w:trPr>
        <w:tc>
          <w:tcPr>
            <w:tcW w:w="249" w:type="pct"/>
            <w:shd w:val="clear" w:color="auto" w:fill="EFEFEF"/>
            <w:noWrap/>
            <w:vAlign w:val="center"/>
            <w:hideMark/>
          </w:tcPr>
          <w:p w14:paraId="753B407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307" w:type="pct"/>
            <w:shd w:val="clear" w:color="auto" w:fill="EFEFEF"/>
            <w:vAlign w:val="center"/>
            <w:hideMark/>
          </w:tcPr>
          <w:p w14:paraId="7D24F80F"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64" w:type="pct"/>
            <w:shd w:val="clear" w:color="auto" w:fill="EFEFEF"/>
            <w:noWrap/>
            <w:vAlign w:val="center"/>
            <w:hideMark/>
          </w:tcPr>
          <w:p w14:paraId="0E4D47C5" w14:textId="77777777" w:rsidR="00B73FDB" w:rsidRPr="00B73FDB" w:rsidRDefault="00B73FDB" w:rsidP="00B73FDB">
            <w:pPr>
              <w:spacing w:after="0" w:line="240" w:lineRule="auto"/>
              <w:rPr>
                <w:rFonts w:cs="Calibri"/>
                <w:sz w:val="18"/>
                <w:szCs w:val="18"/>
                <w:lang w:eastAsia="sk-SK"/>
              </w:rPr>
            </w:pPr>
          </w:p>
        </w:tc>
        <w:tc>
          <w:tcPr>
            <w:tcW w:w="548" w:type="pct"/>
            <w:shd w:val="clear" w:color="auto" w:fill="EFEFEF"/>
            <w:noWrap/>
            <w:vAlign w:val="center"/>
            <w:hideMark/>
          </w:tcPr>
          <w:p w14:paraId="45C70ED5" w14:textId="77777777" w:rsidR="00B73FDB" w:rsidRPr="00B73FDB" w:rsidRDefault="00B73FDB" w:rsidP="00B73FDB">
            <w:pPr>
              <w:spacing w:after="0" w:line="240" w:lineRule="auto"/>
              <w:jc w:val="right"/>
              <w:rPr>
                <w:rFonts w:cs="Calibri"/>
                <w:sz w:val="18"/>
                <w:szCs w:val="18"/>
                <w:lang w:eastAsia="sk-SK"/>
              </w:rPr>
            </w:pPr>
          </w:p>
        </w:tc>
        <w:tc>
          <w:tcPr>
            <w:tcW w:w="535" w:type="pct"/>
            <w:shd w:val="clear" w:color="auto" w:fill="EFEFEF"/>
            <w:noWrap/>
            <w:vAlign w:val="center"/>
            <w:hideMark/>
          </w:tcPr>
          <w:p w14:paraId="0090D90D" w14:textId="77777777" w:rsidR="00B73FDB" w:rsidRPr="00B73FDB" w:rsidRDefault="00B73FDB" w:rsidP="00B73FDB">
            <w:pPr>
              <w:spacing w:after="0" w:line="240" w:lineRule="auto"/>
              <w:jc w:val="right"/>
              <w:rPr>
                <w:rFonts w:cs="Calibri"/>
                <w:sz w:val="18"/>
                <w:szCs w:val="18"/>
                <w:lang w:eastAsia="sk-SK"/>
              </w:rPr>
            </w:pPr>
          </w:p>
        </w:tc>
        <w:tc>
          <w:tcPr>
            <w:tcW w:w="593" w:type="pct"/>
            <w:shd w:val="clear" w:color="auto" w:fill="EFEFEF"/>
            <w:noWrap/>
            <w:vAlign w:val="center"/>
            <w:hideMark/>
          </w:tcPr>
          <w:p w14:paraId="4FE368C4" w14:textId="77777777" w:rsidR="00B73FDB" w:rsidRPr="00B73FDB" w:rsidRDefault="00B73FDB" w:rsidP="00B73FDB">
            <w:pPr>
              <w:spacing w:after="0" w:line="240" w:lineRule="auto"/>
              <w:jc w:val="right"/>
              <w:rPr>
                <w:rFonts w:cs="Calibri"/>
                <w:sz w:val="18"/>
                <w:szCs w:val="18"/>
                <w:lang w:eastAsia="sk-SK"/>
              </w:rPr>
            </w:pPr>
          </w:p>
        </w:tc>
        <w:tc>
          <w:tcPr>
            <w:tcW w:w="1081" w:type="pct"/>
            <w:vMerge/>
            <w:shd w:val="clear" w:color="auto" w:fill="EFEFEF"/>
            <w:vAlign w:val="center"/>
            <w:hideMark/>
          </w:tcPr>
          <w:p w14:paraId="62370503" w14:textId="77777777" w:rsidR="00B73FDB" w:rsidRPr="00B73FDB" w:rsidRDefault="00B73FDB" w:rsidP="00B73FDB">
            <w:pPr>
              <w:spacing w:after="0" w:line="240" w:lineRule="auto"/>
              <w:rPr>
                <w:rFonts w:cs="Calibri"/>
                <w:sz w:val="18"/>
                <w:szCs w:val="18"/>
                <w:lang w:eastAsia="sk-SK"/>
              </w:rPr>
            </w:pPr>
          </w:p>
        </w:tc>
      </w:tr>
      <w:tr w:rsidR="00B73FDB" w:rsidRPr="00B73FDB" w14:paraId="0CB91BAC" w14:textId="77777777" w:rsidTr="00B73FDB">
        <w:trPr>
          <w:tblCellSpacing w:w="15" w:type="dxa"/>
        </w:trPr>
        <w:tc>
          <w:tcPr>
            <w:tcW w:w="249" w:type="pct"/>
            <w:shd w:val="clear" w:color="auto" w:fill="EFEFEF"/>
            <w:noWrap/>
            <w:vAlign w:val="center"/>
            <w:hideMark/>
          </w:tcPr>
          <w:p w14:paraId="634A35E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307" w:type="pct"/>
            <w:shd w:val="clear" w:color="auto" w:fill="EFEFEF"/>
            <w:vAlign w:val="center"/>
            <w:hideMark/>
          </w:tcPr>
          <w:p w14:paraId="3103BCE9"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64" w:type="pct"/>
            <w:shd w:val="clear" w:color="auto" w:fill="EFEFEF"/>
            <w:noWrap/>
            <w:vAlign w:val="center"/>
            <w:hideMark/>
          </w:tcPr>
          <w:p w14:paraId="7772FB2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48" w:type="pct"/>
            <w:shd w:val="clear" w:color="auto" w:fill="EFEFEF"/>
            <w:noWrap/>
            <w:vAlign w:val="center"/>
            <w:hideMark/>
          </w:tcPr>
          <w:p w14:paraId="1118FB94"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39 923,95 </w:t>
            </w:r>
          </w:p>
        </w:tc>
        <w:tc>
          <w:tcPr>
            <w:tcW w:w="535" w:type="pct"/>
            <w:shd w:val="clear" w:color="auto" w:fill="EFEFEF"/>
            <w:noWrap/>
            <w:vAlign w:val="center"/>
            <w:hideMark/>
          </w:tcPr>
          <w:p w14:paraId="0678277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39 923,95 </w:t>
            </w:r>
          </w:p>
        </w:tc>
        <w:tc>
          <w:tcPr>
            <w:tcW w:w="593" w:type="pct"/>
            <w:shd w:val="clear" w:color="auto" w:fill="EFEFEF"/>
            <w:noWrap/>
            <w:vAlign w:val="center"/>
            <w:hideMark/>
          </w:tcPr>
          <w:p w14:paraId="4A8F041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81" w:type="pct"/>
            <w:vMerge/>
            <w:shd w:val="clear" w:color="auto" w:fill="EFEFEF"/>
            <w:vAlign w:val="center"/>
            <w:hideMark/>
          </w:tcPr>
          <w:p w14:paraId="6B9D4DA8" w14:textId="77777777" w:rsidR="00B73FDB" w:rsidRPr="00B73FDB" w:rsidRDefault="00B73FDB" w:rsidP="00B73FDB">
            <w:pPr>
              <w:spacing w:after="0" w:line="240" w:lineRule="auto"/>
              <w:rPr>
                <w:rFonts w:cs="Calibri"/>
                <w:sz w:val="18"/>
                <w:szCs w:val="18"/>
                <w:lang w:eastAsia="sk-SK"/>
              </w:rPr>
            </w:pPr>
          </w:p>
        </w:tc>
      </w:tr>
      <w:tr w:rsidR="00B73FDB" w:rsidRPr="00B73FDB" w14:paraId="673026E2" w14:textId="77777777" w:rsidTr="00B73FDB">
        <w:trPr>
          <w:tblCellSpacing w:w="15" w:type="dxa"/>
        </w:trPr>
        <w:tc>
          <w:tcPr>
            <w:tcW w:w="249" w:type="pct"/>
            <w:shd w:val="clear" w:color="auto" w:fill="EFEFEF"/>
            <w:noWrap/>
            <w:vAlign w:val="center"/>
          </w:tcPr>
          <w:p w14:paraId="34674FD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640</w:t>
            </w:r>
          </w:p>
        </w:tc>
        <w:tc>
          <w:tcPr>
            <w:tcW w:w="1307" w:type="pct"/>
            <w:shd w:val="clear" w:color="auto" w:fill="EFEFEF"/>
            <w:vAlign w:val="center"/>
          </w:tcPr>
          <w:p w14:paraId="7A6F4B2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Bežné transfery</w:t>
            </w:r>
          </w:p>
        </w:tc>
        <w:tc>
          <w:tcPr>
            <w:tcW w:w="564" w:type="pct"/>
            <w:shd w:val="clear" w:color="auto" w:fill="EFEFEF"/>
            <w:noWrap/>
            <w:vAlign w:val="center"/>
          </w:tcPr>
          <w:p w14:paraId="1AA281F7"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48" w:type="pct"/>
            <w:shd w:val="clear" w:color="auto" w:fill="EFEFEF"/>
            <w:noWrap/>
            <w:vAlign w:val="center"/>
          </w:tcPr>
          <w:p w14:paraId="6760AB22"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621,00</w:t>
            </w:r>
          </w:p>
        </w:tc>
        <w:tc>
          <w:tcPr>
            <w:tcW w:w="535" w:type="pct"/>
            <w:shd w:val="clear" w:color="auto" w:fill="EFEFEF"/>
            <w:noWrap/>
            <w:vAlign w:val="center"/>
          </w:tcPr>
          <w:p w14:paraId="02921F5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93" w:type="pct"/>
            <w:shd w:val="clear" w:color="auto" w:fill="EFEFEF"/>
            <w:noWrap/>
            <w:vAlign w:val="center"/>
          </w:tcPr>
          <w:p w14:paraId="3AC99E0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1081" w:type="pct"/>
            <w:vMerge/>
            <w:shd w:val="clear" w:color="auto" w:fill="EFEFEF"/>
            <w:vAlign w:val="center"/>
          </w:tcPr>
          <w:p w14:paraId="63C066AF" w14:textId="77777777" w:rsidR="00B73FDB" w:rsidRPr="00B73FDB" w:rsidRDefault="00B73FDB" w:rsidP="00B73FDB">
            <w:pPr>
              <w:spacing w:after="0" w:line="240" w:lineRule="auto"/>
              <w:rPr>
                <w:rFonts w:cs="Calibri"/>
                <w:sz w:val="18"/>
                <w:szCs w:val="18"/>
                <w:lang w:eastAsia="sk-SK"/>
              </w:rPr>
            </w:pPr>
          </w:p>
        </w:tc>
      </w:tr>
    </w:tbl>
    <w:p w14:paraId="3D5087BD"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729"/>
        <w:gridCol w:w="899"/>
        <w:gridCol w:w="2142"/>
        <w:gridCol w:w="1537"/>
        <w:gridCol w:w="4159"/>
      </w:tblGrid>
      <w:tr w:rsidR="00B73FDB" w:rsidRPr="00B73FDB" w14:paraId="722EA62C" w14:textId="77777777" w:rsidTr="00B73FDB">
        <w:trPr>
          <w:tblCellSpacing w:w="15" w:type="dxa"/>
        </w:trPr>
        <w:tc>
          <w:tcPr>
            <w:tcW w:w="0" w:type="auto"/>
            <w:shd w:val="clear" w:color="auto" w:fill="C2D69B"/>
            <w:vAlign w:val="center"/>
            <w:hideMark/>
          </w:tcPr>
          <w:p w14:paraId="55743D1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6759917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odboru školstva, mládeže a športu </w:t>
            </w:r>
          </w:p>
        </w:tc>
      </w:tr>
      <w:tr w:rsidR="00B73FDB" w:rsidRPr="00B73FDB" w14:paraId="41ADD05C" w14:textId="77777777" w:rsidTr="00B73FDB">
        <w:trPr>
          <w:tblCellSpacing w:w="15" w:type="dxa"/>
        </w:trPr>
        <w:tc>
          <w:tcPr>
            <w:tcW w:w="0" w:type="auto"/>
            <w:shd w:val="clear" w:color="auto" w:fill="C2D69B"/>
            <w:vAlign w:val="center"/>
            <w:hideMark/>
          </w:tcPr>
          <w:p w14:paraId="02A9D050"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7A936F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Efektívne a transparentné prerozdeľovanie finančných prostriedkov na prenesený výkon štátnej správy v školstve </w:t>
            </w:r>
          </w:p>
        </w:tc>
      </w:tr>
      <w:tr w:rsidR="00B73FDB" w:rsidRPr="00B73FDB" w14:paraId="6EBED290" w14:textId="77777777" w:rsidTr="00B73FDB">
        <w:trPr>
          <w:tblCellSpacing w:w="15" w:type="dxa"/>
        </w:trPr>
        <w:tc>
          <w:tcPr>
            <w:tcW w:w="0" w:type="auto"/>
            <w:shd w:val="clear" w:color="auto" w:fill="C2D69B"/>
            <w:vAlign w:val="center"/>
            <w:hideMark/>
          </w:tcPr>
          <w:p w14:paraId="441F4039"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7DEFACA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škôl spolu za rok </w:t>
            </w:r>
          </w:p>
        </w:tc>
      </w:tr>
      <w:tr w:rsidR="00B73FDB" w:rsidRPr="00B73FDB" w14:paraId="166D11A4" w14:textId="77777777" w:rsidTr="00B73FDB">
        <w:trPr>
          <w:tblCellSpacing w:w="15" w:type="dxa"/>
        </w:trPr>
        <w:tc>
          <w:tcPr>
            <w:tcW w:w="0" w:type="auto"/>
            <w:shd w:val="clear" w:color="auto" w:fill="C2D69B"/>
            <w:vAlign w:val="center"/>
            <w:hideMark/>
          </w:tcPr>
          <w:p w14:paraId="29A0C7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804680D"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7C18887F"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54395ECE"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37F6E99E"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00F113C8" w14:textId="77777777" w:rsidTr="00B73FDB">
        <w:trPr>
          <w:tblCellSpacing w:w="15" w:type="dxa"/>
        </w:trPr>
        <w:tc>
          <w:tcPr>
            <w:tcW w:w="0" w:type="auto"/>
            <w:shd w:val="clear" w:color="auto" w:fill="C2D69B"/>
            <w:vAlign w:val="center"/>
            <w:hideMark/>
          </w:tcPr>
          <w:p w14:paraId="714A7FBD"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52137A9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58 </w:t>
            </w:r>
          </w:p>
        </w:tc>
        <w:tc>
          <w:tcPr>
            <w:tcW w:w="0" w:type="auto"/>
            <w:shd w:val="clear" w:color="auto" w:fill="C2D69B"/>
            <w:noWrap/>
            <w:vAlign w:val="center"/>
            <w:hideMark/>
          </w:tcPr>
          <w:p w14:paraId="505288F5"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59 </w:t>
            </w:r>
          </w:p>
        </w:tc>
        <w:tc>
          <w:tcPr>
            <w:tcW w:w="0" w:type="auto"/>
            <w:shd w:val="clear" w:color="auto" w:fill="C2D69B"/>
            <w:vAlign w:val="center"/>
            <w:hideMark/>
          </w:tcPr>
          <w:p w14:paraId="095D0F4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521EC179" w14:textId="77777777" w:rsidR="00B73FDB" w:rsidRPr="00B73FDB" w:rsidRDefault="00B73FDB" w:rsidP="00B73FDB">
            <w:pPr>
              <w:spacing w:after="0" w:line="240" w:lineRule="auto"/>
              <w:jc w:val="center"/>
              <w:rPr>
                <w:rFonts w:cs="Calibri"/>
                <w:sz w:val="18"/>
                <w:szCs w:val="18"/>
                <w:lang w:eastAsia="sk-SK"/>
              </w:rPr>
            </w:pPr>
          </w:p>
        </w:tc>
      </w:tr>
    </w:tbl>
    <w:p w14:paraId="08F85411" w14:textId="77777777" w:rsidR="00352CED" w:rsidRDefault="00352CED" w:rsidP="00352CED">
      <w:pPr>
        <w:keepNext/>
        <w:keepLines/>
        <w:spacing w:before="40" w:after="0" w:line="259" w:lineRule="auto"/>
        <w:jc w:val="both"/>
        <w:outlineLvl w:val="3"/>
        <w:rPr>
          <w:rFonts w:cs="Calibri"/>
          <w:b/>
          <w:color w:val="244061"/>
          <w:sz w:val="24"/>
          <w:szCs w:val="24"/>
          <w:lang w:eastAsia="sk-SK"/>
        </w:rPr>
      </w:pPr>
    </w:p>
    <w:p w14:paraId="3B908472" w14:textId="7299950F" w:rsidR="00B73FDB" w:rsidRPr="00352CED" w:rsidRDefault="00B73FDB" w:rsidP="00352CED">
      <w:pPr>
        <w:keepNext/>
        <w:keepLines/>
        <w:spacing w:before="40" w:after="0" w:line="259" w:lineRule="auto"/>
        <w:jc w:val="both"/>
        <w:outlineLvl w:val="3"/>
        <w:rPr>
          <w:rFonts w:cs="Calibri"/>
          <w:b/>
          <w:color w:val="244061"/>
          <w:sz w:val="24"/>
          <w:szCs w:val="24"/>
          <w:lang w:eastAsia="sk-SK"/>
        </w:rPr>
      </w:pPr>
      <w:r w:rsidRPr="00352CED">
        <w:rPr>
          <w:rFonts w:cs="Calibri"/>
          <w:b/>
          <w:color w:val="244061"/>
          <w:sz w:val="24"/>
          <w:szCs w:val="24"/>
          <w:lang w:eastAsia="sk-SK"/>
        </w:rPr>
        <w:t>Prvok 8.9.2: Ostatné výdavky na originálne kompetencie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4"/>
        <w:gridCol w:w="2764"/>
        <w:gridCol w:w="1276"/>
        <w:gridCol w:w="1212"/>
        <w:gridCol w:w="1116"/>
        <w:gridCol w:w="1314"/>
        <w:gridCol w:w="2270"/>
      </w:tblGrid>
      <w:tr w:rsidR="00B73FDB" w:rsidRPr="00B73FDB" w14:paraId="0D34E411" w14:textId="77777777" w:rsidTr="00B73FDB">
        <w:trPr>
          <w:tblCellSpacing w:w="15" w:type="dxa"/>
        </w:trPr>
        <w:tc>
          <w:tcPr>
            <w:tcW w:w="223" w:type="pct"/>
            <w:shd w:val="clear" w:color="auto" w:fill="C6DBF7"/>
            <w:vAlign w:val="center"/>
            <w:hideMark/>
          </w:tcPr>
          <w:p w14:paraId="3235EA6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Kód EK</w:t>
            </w:r>
          </w:p>
        </w:tc>
        <w:tc>
          <w:tcPr>
            <w:tcW w:w="1304" w:type="pct"/>
            <w:shd w:val="clear" w:color="auto" w:fill="C6DBF7"/>
            <w:vAlign w:val="center"/>
            <w:hideMark/>
          </w:tcPr>
          <w:p w14:paraId="596D2576"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Ekonomická klasifikácia</w:t>
            </w:r>
          </w:p>
        </w:tc>
        <w:tc>
          <w:tcPr>
            <w:tcW w:w="594" w:type="pct"/>
            <w:shd w:val="clear" w:color="auto" w:fill="C6DBF7"/>
            <w:vAlign w:val="center"/>
            <w:hideMark/>
          </w:tcPr>
          <w:p w14:paraId="4B430FBC"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Schválený</w:t>
            </w:r>
            <w:r w:rsidRPr="00B73FDB">
              <w:rPr>
                <w:rFonts w:cs="Calibri"/>
                <w:b/>
                <w:bCs/>
                <w:sz w:val="18"/>
                <w:szCs w:val="18"/>
                <w:lang w:eastAsia="sk-SK"/>
              </w:rPr>
              <w:br/>
              <w:t>rozpočet</w:t>
            </w:r>
            <w:r w:rsidRPr="00B73FDB">
              <w:rPr>
                <w:rFonts w:cs="Calibri"/>
                <w:b/>
                <w:bCs/>
                <w:sz w:val="18"/>
                <w:szCs w:val="18"/>
                <w:lang w:eastAsia="sk-SK"/>
              </w:rPr>
              <w:br/>
              <w:t>v EUR</w:t>
            </w:r>
          </w:p>
        </w:tc>
        <w:tc>
          <w:tcPr>
            <w:tcW w:w="564" w:type="pct"/>
            <w:shd w:val="clear" w:color="auto" w:fill="C6DBF7"/>
            <w:vAlign w:val="center"/>
            <w:hideMark/>
          </w:tcPr>
          <w:p w14:paraId="66BF806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Zmenený</w:t>
            </w:r>
            <w:r w:rsidRPr="00B73FDB">
              <w:rPr>
                <w:rFonts w:cs="Calibri"/>
                <w:b/>
                <w:bCs/>
                <w:sz w:val="18"/>
                <w:szCs w:val="18"/>
                <w:lang w:eastAsia="sk-SK"/>
              </w:rPr>
              <w:br/>
              <w:t>rozpočet</w:t>
            </w:r>
            <w:r w:rsidRPr="00B73FDB">
              <w:rPr>
                <w:rFonts w:cs="Calibri"/>
                <w:b/>
                <w:bCs/>
                <w:sz w:val="18"/>
                <w:szCs w:val="18"/>
                <w:lang w:eastAsia="sk-SK"/>
              </w:rPr>
              <w:br/>
              <w:t>v EUR</w:t>
            </w:r>
          </w:p>
        </w:tc>
        <w:tc>
          <w:tcPr>
            <w:tcW w:w="518" w:type="pct"/>
            <w:shd w:val="clear" w:color="auto" w:fill="C6DBF7"/>
            <w:vAlign w:val="center"/>
            <w:hideMark/>
          </w:tcPr>
          <w:p w14:paraId="5BADD8D7"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v EUR</w:t>
            </w:r>
          </w:p>
        </w:tc>
        <w:tc>
          <w:tcPr>
            <w:tcW w:w="612" w:type="pct"/>
            <w:shd w:val="clear" w:color="auto" w:fill="C6DBF7"/>
            <w:vAlign w:val="center"/>
            <w:hideMark/>
          </w:tcPr>
          <w:p w14:paraId="37649FC0"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Čerpanie</w:t>
            </w:r>
            <w:r w:rsidRPr="00B73FDB">
              <w:rPr>
                <w:rFonts w:cs="Calibri"/>
                <w:b/>
                <w:bCs/>
                <w:sz w:val="18"/>
                <w:szCs w:val="18"/>
                <w:lang w:eastAsia="sk-SK"/>
              </w:rPr>
              <w:br/>
              <w:t xml:space="preserve">k </w:t>
            </w:r>
            <w:proofErr w:type="spellStart"/>
            <w:r w:rsidRPr="00B73FDB">
              <w:rPr>
                <w:rFonts w:cs="Calibri"/>
                <w:b/>
                <w:bCs/>
                <w:sz w:val="18"/>
                <w:szCs w:val="18"/>
                <w:lang w:eastAsia="sk-SK"/>
              </w:rPr>
              <w:t>zmen</w:t>
            </w:r>
            <w:proofErr w:type="spellEnd"/>
            <w:r w:rsidRPr="00B73FDB">
              <w:rPr>
                <w:rFonts w:cs="Calibri"/>
                <w:b/>
                <w:bCs/>
                <w:sz w:val="18"/>
                <w:szCs w:val="18"/>
                <w:lang w:eastAsia="sk-SK"/>
              </w:rPr>
              <w:t xml:space="preserve">. </w:t>
            </w:r>
            <w:proofErr w:type="spellStart"/>
            <w:r w:rsidRPr="00B73FDB">
              <w:rPr>
                <w:rFonts w:cs="Calibri"/>
                <w:b/>
                <w:bCs/>
                <w:sz w:val="18"/>
                <w:szCs w:val="18"/>
                <w:lang w:eastAsia="sk-SK"/>
              </w:rPr>
              <w:t>rozp</w:t>
            </w:r>
            <w:proofErr w:type="spellEnd"/>
            <w:r w:rsidRPr="00B73FDB">
              <w:rPr>
                <w:rFonts w:cs="Calibri"/>
                <w:b/>
                <w:bCs/>
                <w:sz w:val="18"/>
                <w:szCs w:val="18"/>
                <w:lang w:eastAsia="sk-SK"/>
              </w:rPr>
              <w:t>.</w:t>
            </w:r>
            <w:r w:rsidRPr="00B73FDB">
              <w:rPr>
                <w:rFonts w:cs="Calibri"/>
                <w:b/>
                <w:bCs/>
                <w:sz w:val="18"/>
                <w:szCs w:val="18"/>
                <w:lang w:eastAsia="sk-SK"/>
              </w:rPr>
              <w:br/>
              <w:t>v %</w:t>
            </w:r>
          </w:p>
        </w:tc>
        <w:tc>
          <w:tcPr>
            <w:tcW w:w="1061" w:type="pct"/>
            <w:shd w:val="clear" w:color="auto" w:fill="C6DBF7"/>
            <w:vAlign w:val="center"/>
            <w:hideMark/>
          </w:tcPr>
          <w:p w14:paraId="2A5154F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Zmeny rozpočtu</w:t>
            </w:r>
          </w:p>
        </w:tc>
      </w:tr>
      <w:tr w:rsidR="00B73FDB" w:rsidRPr="00B73FDB" w14:paraId="78E4819F" w14:textId="77777777" w:rsidTr="00B73FDB">
        <w:trPr>
          <w:tblCellSpacing w:w="15" w:type="dxa"/>
        </w:trPr>
        <w:tc>
          <w:tcPr>
            <w:tcW w:w="223" w:type="pct"/>
            <w:shd w:val="clear" w:color="auto" w:fill="D9D9D9"/>
            <w:noWrap/>
            <w:vAlign w:val="center"/>
            <w:hideMark/>
          </w:tcPr>
          <w:p w14:paraId="411E2855" w14:textId="77777777" w:rsidR="00B73FDB" w:rsidRPr="00B73FDB" w:rsidRDefault="00B73FDB" w:rsidP="00B73FDB">
            <w:pPr>
              <w:spacing w:after="0" w:line="240" w:lineRule="auto"/>
              <w:jc w:val="center"/>
              <w:rPr>
                <w:rFonts w:cs="Calibri"/>
                <w:sz w:val="18"/>
                <w:szCs w:val="18"/>
                <w:lang w:eastAsia="sk-SK"/>
              </w:rPr>
            </w:pPr>
          </w:p>
        </w:tc>
        <w:tc>
          <w:tcPr>
            <w:tcW w:w="1304" w:type="pct"/>
            <w:shd w:val="clear" w:color="auto" w:fill="D9D9D9"/>
            <w:vAlign w:val="center"/>
            <w:hideMark/>
          </w:tcPr>
          <w:p w14:paraId="3CFE1BA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Výdavky celkom</w:t>
            </w:r>
            <w:r w:rsidRPr="00B73FDB">
              <w:rPr>
                <w:rFonts w:cs="Calibri"/>
                <w:sz w:val="18"/>
                <w:szCs w:val="18"/>
                <w:lang w:eastAsia="sk-SK"/>
              </w:rPr>
              <w:t xml:space="preserve"> </w:t>
            </w:r>
          </w:p>
        </w:tc>
        <w:tc>
          <w:tcPr>
            <w:tcW w:w="594" w:type="pct"/>
            <w:shd w:val="clear" w:color="auto" w:fill="D9D9D9"/>
            <w:noWrap/>
            <w:vAlign w:val="center"/>
            <w:hideMark/>
          </w:tcPr>
          <w:p w14:paraId="7B776FD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2 800 000,00</w:t>
            </w:r>
            <w:r w:rsidRPr="00B73FDB">
              <w:rPr>
                <w:rFonts w:cs="Calibri"/>
                <w:sz w:val="18"/>
                <w:szCs w:val="18"/>
                <w:lang w:eastAsia="sk-SK"/>
              </w:rPr>
              <w:t xml:space="preserve"> </w:t>
            </w:r>
          </w:p>
        </w:tc>
        <w:tc>
          <w:tcPr>
            <w:tcW w:w="564" w:type="pct"/>
            <w:shd w:val="clear" w:color="auto" w:fill="D9D9D9"/>
            <w:noWrap/>
            <w:vAlign w:val="center"/>
            <w:hideMark/>
          </w:tcPr>
          <w:p w14:paraId="30098DD4"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2 628 374,97</w:t>
            </w:r>
            <w:r w:rsidRPr="00B73FDB">
              <w:rPr>
                <w:rFonts w:cs="Calibri"/>
                <w:sz w:val="18"/>
                <w:szCs w:val="18"/>
                <w:lang w:eastAsia="sk-SK"/>
              </w:rPr>
              <w:t xml:space="preserve"> </w:t>
            </w:r>
          </w:p>
        </w:tc>
        <w:tc>
          <w:tcPr>
            <w:tcW w:w="518" w:type="pct"/>
            <w:shd w:val="clear" w:color="auto" w:fill="D9D9D9"/>
            <w:noWrap/>
            <w:vAlign w:val="center"/>
            <w:hideMark/>
          </w:tcPr>
          <w:p w14:paraId="7992BCE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2 113 693,04</w:t>
            </w:r>
            <w:r w:rsidRPr="00B73FDB">
              <w:rPr>
                <w:rFonts w:cs="Calibri"/>
                <w:sz w:val="18"/>
                <w:szCs w:val="18"/>
                <w:lang w:eastAsia="sk-SK"/>
              </w:rPr>
              <w:t xml:space="preserve"> </w:t>
            </w:r>
          </w:p>
        </w:tc>
        <w:tc>
          <w:tcPr>
            <w:tcW w:w="612" w:type="pct"/>
            <w:shd w:val="clear" w:color="auto" w:fill="D9D9D9"/>
            <w:noWrap/>
            <w:vAlign w:val="center"/>
            <w:hideMark/>
          </w:tcPr>
          <w:p w14:paraId="0D64ECCB"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80,42</w:t>
            </w:r>
            <w:r w:rsidRPr="00B73FDB">
              <w:rPr>
                <w:rFonts w:cs="Calibri"/>
                <w:sz w:val="18"/>
                <w:szCs w:val="18"/>
                <w:lang w:eastAsia="sk-SK"/>
              </w:rPr>
              <w:t xml:space="preserve"> </w:t>
            </w:r>
          </w:p>
        </w:tc>
        <w:tc>
          <w:tcPr>
            <w:tcW w:w="1061" w:type="pct"/>
            <w:vMerge w:val="restart"/>
            <w:shd w:val="clear" w:color="auto" w:fill="D9D9D9"/>
            <w:vAlign w:val="center"/>
            <w:hideMark/>
          </w:tcPr>
          <w:p w14:paraId="73DCCE55" w14:textId="77777777" w:rsidR="00B73FDB" w:rsidRPr="00B73FDB" w:rsidRDefault="00B73FDB" w:rsidP="00B73FDB">
            <w:pPr>
              <w:spacing w:after="0" w:line="240" w:lineRule="auto"/>
              <w:rPr>
                <w:rFonts w:cs="Calibri"/>
                <w:sz w:val="18"/>
                <w:szCs w:val="18"/>
                <w:lang w:eastAsia="sk-SK"/>
              </w:rPr>
            </w:pPr>
          </w:p>
        </w:tc>
      </w:tr>
      <w:tr w:rsidR="00B73FDB" w:rsidRPr="00B73FDB" w14:paraId="2C3F32B9" w14:textId="77777777" w:rsidTr="00B73FDB">
        <w:trPr>
          <w:tblCellSpacing w:w="15" w:type="dxa"/>
        </w:trPr>
        <w:tc>
          <w:tcPr>
            <w:tcW w:w="223" w:type="pct"/>
            <w:shd w:val="clear" w:color="auto" w:fill="D9D9D9"/>
            <w:noWrap/>
            <w:vAlign w:val="center"/>
            <w:hideMark/>
          </w:tcPr>
          <w:p w14:paraId="714D9C9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600</w:t>
            </w:r>
            <w:r w:rsidRPr="00B73FDB">
              <w:rPr>
                <w:rFonts w:cs="Calibri"/>
                <w:sz w:val="18"/>
                <w:szCs w:val="18"/>
                <w:lang w:eastAsia="sk-SK"/>
              </w:rPr>
              <w:t xml:space="preserve"> </w:t>
            </w:r>
          </w:p>
        </w:tc>
        <w:tc>
          <w:tcPr>
            <w:tcW w:w="1304" w:type="pct"/>
            <w:shd w:val="clear" w:color="auto" w:fill="D9D9D9"/>
            <w:vAlign w:val="center"/>
            <w:hideMark/>
          </w:tcPr>
          <w:p w14:paraId="497CE8A7"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Bežné výdavky</w:t>
            </w:r>
            <w:r w:rsidRPr="00B73FDB">
              <w:rPr>
                <w:rFonts w:cs="Calibri"/>
                <w:sz w:val="18"/>
                <w:szCs w:val="18"/>
                <w:lang w:eastAsia="sk-SK"/>
              </w:rPr>
              <w:t xml:space="preserve"> </w:t>
            </w:r>
          </w:p>
        </w:tc>
        <w:tc>
          <w:tcPr>
            <w:tcW w:w="594" w:type="pct"/>
            <w:shd w:val="clear" w:color="auto" w:fill="D9D9D9"/>
            <w:noWrap/>
            <w:vAlign w:val="center"/>
            <w:hideMark/>
          </w:tcPr>
          <w:p w14:paraId="57F6377E"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2 800 000,00</w:t>
            </w:r>
            <w:r w:rsidRPr="00B73FDB">
              <w:rPr>
                <w:rFonts w:cs="Calibri"/>
                <w:sz w:val="18"/>
                <w:szCs w:val="18"/>
                <w:lang w:eastAsia="sk-SK"/>
              </w:rPr>
              <w:t xml:space="preserve"> </w:t>
            </w:r>
          </w:p>
        </w:tc>
        <w:tc>
          <w:tcPr>
            <w:tcW w:w="564" w:type="pct"/>
            <w:shd w:val="clear" w:color="auto" w:fill="D9D9D9"/>
            <w:noWrap/>
            <w:vAlign w:val="center"/>
            <w:hideMark/>
          </w:tcPr>
          <w:p w14:paraId="1BBBBB09"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2 623 374,97</w:t>
            </w:r>
            <w:r w:rsidRPr="00B73FDB">
              <w:rPr>
                <w:rFonts w:cs="Calibri"/>
                <w:sz w:val="18"/>
                <w:szCs w:val="18"/>
                <w:lang w:eastAsia="sk-SK"/>
              </w:rPr>
              <w:t xml:space="preserve"> </w:t>
            </w:r>
          </w:p>
        </w:tc>
        <w:tc>
          <w:tcPr>
            <w:tcW w:w="518" w:type="pct"/>
            <w:shd w:val="clear" w:color="auto" w:fill="D9D9D9"/>
            <w:noWrap/>
            <w:vAlign w:val="center"/>
            <w:hideMark/>
          </w:tcPr>
          <w:p w14:paraId="0C030F15"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2 108 693,04</w:t>
            </w:r>
            <w:r w:rsidRPr="00B73FDB">
              <w:rPr>
                <w:rFonts w:cs="Calibri"/>
                <w:sz w:val="18"/>
                <w:szCs w:val="18"/>
                <w:lang w:eastAsia="sk-SK"/>
              </w:rPr>
              <w:t xml:space="preserve"> </w:t>
            </w:r>
          </w:p>
        </w:tc>
        <w:tc>
          <w:tcPr>
            <w:tcW w:w="612" w:type="pct"/>
            <w:shd w:val="clear" w:color="auto" w:fill="D9D9D9"/>
            <w:noWrap/>
            <w:vAlign w:val="center"/>
            <w:hideMark/>
          </w:tcPr>
          <w:p w14:paraId="6C663EB1" w14:textId="77777777" w:rsidR="00B73FDB" w:rsidRPr="00B73FDB" w:rsidRDefault="00B73FDB" w:rsidP="00B73FDB">
            <w:pPr>
              <w:spacing w:after="0" w:line="240" w:lineRule="auto"/>
              <w:jc w:val="right"/>
              <w:rPr>
                <w:rFonts w:cs="Calibri"/>
                <w:sz w:val="18"/>
                <w:szCs w:val="18"/>
                <w:lang w:eastAsia="sk-SK"/>
              </w:rPr>
            </w:pPr>
            <w:r w:rsidRPr="00B73FDB">
              <w:rPr>
                <w:rFonts w:cs="Calibri"/>
                <w:b/>
                <w:bCs/>
                <w:sz w:val="18"/>
                <w:szCs w:val="18"/>
                <w:lang w:eastAsia="sk-SK"/>
              </w:rPr>
              <w:t>80,38</w:t>
            </w:r>
            <w:r w:rsidRPr="00B73FDB">
              <w:rPr>
                <w:rFonts w:cs="Calibri"/>
                <w:sz w:val="18"/>
                <w:szCs w:val="18"/>
                <w:lang w:eastAsia="sk-SK"/>
              </w:rPr>
              <w:t xml:space="preserve"> </w:t>
            </w:r>
          </w:p>
        </w:tc>
        <w:tc>
          <w:tcPr>
            <w:tcW w:w="1061" w:type="pct"/>
            <w:vMerge/>
            <w:shd w:val="clear" w:color="auto" w:fill="D9D9D9"/>
            <w:vAlign w:val="center"/>
            <w:hideMark/>
          </w:tcPr>
          <w:p w14:paraId="297FF0A2" w14:textId="77777777" w:rsidR="00B73FDB" w:rsidRPr="00B73FDB" w:rsidRDefault="00B73FDB" w:rsidP="00B73FDB">
            <w:pPr>
              <w:spacing w:after="0" w:line="240" w:lineRule="auto"/>
              <w:jc w:val="right"/>
              <w:rPr>
                <w:rFonts w:cs="Calibri"/>
                <w:sz w:val="18"/>
                <w:szCs w:val="18"/>
                <w:lang w:eastAsia="sk-SK"/>
              </w:rPr>
            </w:pPr>
          </w:p>
        </w:tc>
      </w:tr>
      <w:tr w:rsidR="00B73FDB" w:rsidRPr="00B73FDB" w14:paraId="1956AC7C" w14:textId="77777777" w:rsidTr="00B73FDB">
        <w:trPr>
          <w:tblCellSpacing w:w="15" w:type="dxa"/>
        </w:trPr>
        <w:tc>
          <w:tcPr>
            <w:tcW w:w="223" w:type="pct"/>
            <w:shd w:val="clear" w:color="auto" w:fill="EFEFEF"/>
            <w:noWrap/>
            <w:vAlign w:val="center"/>
            <w:hideMark/>
          </w:tcPr>
          <w:p w14:paraId="0F899B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610 </w:t>
            </w:r>
          </w:p>
        </w:tc>
        <w:tc>
          <w:tcPr>
            <w:tcW w:w="1304" w:type="pct"/>
            <w:shd w:val="clear" w:color="auto" w:fill="EFEFEF"/>
            <w:vAlign w:val="center"/>
            <w:hideMark/>
          </w:tcPr>
          <w:p w14:paraId="2D27209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Mzdy, platy, ... </w:t>
            </w:r>
          </w:p>
        </w:tc>
        <w:tc>
          <w:tcPr>
            <w:tcW w:w="594" w:type="pct"/>
            <w:shd w:val="clear" w:color="auto" w:fill="EFEFEF"/>
            <w:noWrap/>
            <w:vAlign w:val="center"/>
            <w:hideMark/>
          </w:tcPr>
          <w:p w14:paraId="5119C5F3"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64CBE29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906 887,15 </w:t>
            </w:r>
          </w:p>
        </w:tc>
        <w:tc>
          <w:tcPr>
            <w:tcW w:w="518" w:type="pct"/>
            <w:shd w:val="clear" w:color="auto" w:fill="EFEFEF"/>
            <w:noWrap/>
            <w:vAlign w:val="center"/>
            <w:hideMark/>
          </w:tcPr>
          <w:p w14:paraId="7CC11A4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906 887,15 </w:t>
            </w:r>
          </w:p>
        </w:tc>
        <w:tc>
          <w:tcPr>
            <w:tcW w:w="612" w:type="pct"/>
            <w:shd w:val="clear" w:color="auto" w:fill="EFEFEF"/>
            <w:noWrap/>
            <w:vAlign w:val="center"/>
            <w:hideMark/>
          </w:tcPr>
          <w:p w14:paraId="171A7BC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1" w:type="pct"/>
            <w:vMerge/>
            <w:shd w:val="clear" w:color="auto" w:fill="EFEFEF"/>
            <w:vAlign w:val="center"/>
            <w:hideMark/>
          </w:tcPr>
          <w:p w14:paraId="6E0A39C2" w14:textId="77777777" w:rsidR="00B73FDB" w:rsidRPr="00B73FDB" w:rsidRDefault="00B73FDB" w:rsidP="00B73FDB">
            <w:pPr>
              <w:spacing w:after="0" w:line="240" w:lineRule="auto"/>
              <w:rPr>
                <w:rFonts w:cs="Calibri"/>
                <w:sz w:val="18"/>
                <w:szCs w:val="18"/>
                <w:lang w:eastAsia="sk-SK"/>
              </w:rPr>
            </w:pPr>
          </w:p>
        </w:tc>
      </w:tr>
      <w:tr w:rsidR="00B73FDB" w:rsidRPr="00B73FDB" w14:paraId="7623BA21" w14:textId="77777777" w:rsidTr="00B73FDB">
        <w:trPr>
          <w:tblCellSpacing w:w="15" w:type="dxa"/>
        </w:trPr>
        <w:tc>
          <w:tcPr>
            <w:tcW w:w="223" w:type="pct"/>
            <w:shd w:val="clear" w:color="auto" w:fill="EFEFEF"/>
            <w:noWrap/>
            <w:vAlign w:val="center"/>
            <w:hideMark/>
          </w:tcPr>
          <w:p w14:paraId="2D23BED4"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620 </w:t>
            </w:r>
          </w:p>
        </w:tc>
        <w:tc>
          <w:tcPr>
            <w:tcW w:w="1304" w:type="pct"/>
            <w:shd w:val="clear" w:color="auto" w:fill="EFEFEF"/>
            <w:vAlign w:val="center"/>
            <w:hideMark/>
          </w:tcPr>
          <w:p w14:paraId="4F5CA42E"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Poistné do poisťovní </w:t>
            </w:r>
          </w:p>
        </w:tc>
        <w:tc>
          <w:tcPr>
            <w:tcW w:w="594" w:type="pct"/>
            <w:shd w:val="clear" w:color="auto" w:fill="EFEFEF"/>
            <w:noWrap/>
            <w:vAlign w:val="center"/>
            <w:hideMark/>
          </w:tcPr>
          <w:p w14:paraId="3013586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7132F2CE"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191 515,09 </w:t>
            </w:r>
          </w:p>
        </w:tc>
        <w:tc>
          <w:tcPr>
            <w:tcW w:w="518" w:type="pct"/>
            <w:shd w:val="clear" w:color="auto" w:fill="EFEFEF"/>
            <w:noWrap/>
            <w:vAlign w:val="center"/>
            <w:hideMark/>
          </w:tcPr>
          <w:p w14:paraId="4A99BA0D"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191 515,09 </w:t>
            </w:r>
          </w:p>
        </w:tc>
        <w:tc>
          <w:tcPr>
            <w:tcW w:w="612" w:type="pct"/>
            <w:shd w:val="clear" w:color="auto" w:fill="EFEFEF"/>
            <w:noWrap/>
            <w:vAlign w:val="center"/>
            <w:hideMark/>
          </w:tcPr>
          <w:p w14:paraId="0683704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100,00 </w:t>
            </w:r>
          </w:p>
        </w:tc>
        <w:tc>
          <w:tcPr>
            <w:tcW w:w="1061" w:type="pct"/>
            <w:vMerge/>
            <w:shd w:val="clear" w:color="auto" w:fill="EFEFEF"/>
            <w:vAlign w:val="center"/>
            <w:hideMark/>
          </w:tcPr>
          <w:p w14:paraId="7B75ED76" w14:textId="77777777" w:rsidR="00B73FDB" w:rsidRPr="00B73FDB" w:rsidRDefault="00B73FDB" w:rsidP="00B73FDB">
            <w:pPr>
              <w:spacing w:after="0" w:line="240" w:lineRule="auto"/>
              <w:rPr>
                <w:rFonts w:cs="Calibri"/>
                <w:sz w:val="18"/>
                <w:szCs w:val="18"/>
                <w:lang w:eastAsia="sk-SK"/>
              </w:rPr>
            </w:pPr>
          </w:p>
        </w:tc>
      </w:tr>
      <w:tr w:rsidR="00B73FDB" w:rsidRPr="00B73FDB" w14:paraId="2EC6784A" w14:textId="77777777" w:rsidTr="00B73FDB">
        <w:trPr>
          <w:tblCellSpacing w:w="15" w:type="dxa"/>
        </w:trPr>
        <w:tc>
          <w:tcPr>
            <w:tcW w:w="223" w:type="pct"/>
            <w:shd w:val="clear" w:color="auto" w:fill="EFEFEF"/>
            <w:noWrap/>
            <w:vAlign w:val="center"/>
            <w:hideMark/>
          </w:tcPr>
          <w:p w14:paraId="53A88457"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630 </w:t>
            </w:r>
          </w:p>
        </w:tc>
        <w:tc>
          <w:tcPr>
            <w:tcW w:w="1304" w:type="pct"/>
            <w:shd w:val="clear" w:color="auto" w:fill="EFEFEF"/>
            <w:vAlign w:val="center"/>
            <w:hideMark/>
          </w:tcPr>
          <w:p w14:paraId="02E9DD4B"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Tovary a služby </w:t>
            </w:r>
          </w:p>
        </w:tc>
        <w:tc>
          <w:tcPr>
            <w:tcW w:w="594" w:type="pct"/>
            <w:shd w:val="clear" w:color="auto" w:fill="EFEFEF"/>
            <w:noWrap/>
            <w:vAlign w:val="center"/>
            <w:hideMark/>
          </w:tcPr>
          <w:p w14:paraId="60DB37F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0,00 </w:t>
            </w:r>
          </w:p>
        </w:tc>
        <w:tc>
          <w:tcPr>
            <w:tcW w:w="564" w:type="pct"/>
            <w:shd w:val="clear" w:color="auto" w:fill="EFEFEF"/>
            <w:noWrap/>
            <w:vAlign w:val="center"/>
            <w:hideMark/>
          </w:tcPr>
          <w:p w14:paraId="550022DB"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480 850,35 </w:t>
            </w:r>
          </w:p>
        </w:tc>
        <w:tc>
          <w:tcPr>
            <w:tcW w:w="518" w:type="pct"/>
            <w:shd w:val="clear" w:color="auto" w:fill="EFEFEF"/>
            <w:noWrap/>
            <w:vAlign w:val="center"/>
            <w:hideMark/>
          </w:tcPr>
          <w:p w14:paraId="014607A6"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477 554,37 </w:t>
            </w:r>
          </w:p>
        </w:tc>
        <w:tc>
          <w:tcPr>
            <w:tcW w:w="612" w:type="pct"/>
            <w:shd w:val="clear" w:color="auto" w:fill="EFEFEF"/>
            <w:noWrap/>
            <w:vAlign w:val="center"/>
            <w:hideMark/>
          </w:tcPr>
          <w:p w14:paraId="76A027D8"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99,31 </w:t>
            </w:r>
          </w:p>
        </w:tc>
        <w:tc>
          <w:tcPr>
            <w:tcW w:w="1061" w:type="pct"/>
            <w:vMerge/>
            <w:shd w:val="clear" w:color="auto" w:fill="EFEFEF"/>
            <w:vAlign w:val="center"/>
            <w:hideMark/>
          </w:tcPr>
          <w:p w14:paraId="792580AD" w14:textId="77777777" w:rsidR="00B73FDB" w:rsidRPr="00B73FDB" w:rsidRDefault="00B73FDB" w:rsidP="00B73FDB">
            <w:pPr>
              <w:spacing w:after="0" w:line="240" w:lineRule="auto"/>
              <w:rPr>
                <w:rFonts w:cs="Calibri"/>
                <w:sz w:val="18"/>
                <w:szCs w:val="18"/>
                <w:lang w:eastAsia="sk-SK"/>
              </w:rPr>
            </w:pPr>
          </w:p>
        </w:tc>
      </w:tr>
      <w:tr w:rsidR="00B73FDB" w:rsidRPr="00B73FDB" w14:paraId="41220E17" w14:textId="77777777" w:rsidTr="00B73FDB">
        <w:trPr>
          <w:tblCellSpacing w:w="15" w:type="dxa"/>
        </w:trPr>
        <w:tc>
          <w:tcPr>
            <w:tcW w:w="223" w:type="pct"/>
            <w:shd w:val="clear" w:color="auto" w:fill="EFEFEF"/>
            <w:noWrap/>
            <w:vAlign w:val="center"/>
            <w:hideMark/>
          </w:tcPr>
          <w:p w14:paraId="0F018A13"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640 </w:t>
            </w:r>
          </w:p>
        </w:tc>
        <w:tc>
          <w:tcPr>
            <w:tcW w:w="1304" w:type="pct"/>
            <w:shd w:val="clear" w:color="auto" w:fill="EFEFEF"/>
            <w:vAlign w:val="center"/>
            <w:hideMark/>
          </w:tcPr>
          <w:p w14:paraId="491AB08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Bežné transfery </w:t>
            </w:r>
          </w:p>
        </w:tc>
        <w:tc>
          <w:tcPr>
            <w:tcW w:w="594" w:type="pct"/>
            <w:shd w:val="clear" w:color="auto" w:fill="EFEFEF"/>
            <w:noWrap/>
            <w:vAlign w:val="center"/>
            <w:hideMark/>
          </w:tcPr>
          <w:p w14:paraId="1FF3ED2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2 800 000,00 </w:t>
            </w:r>
          </w:p>
        </w:tc>
        <w:tc>
          <w:tcPr>
            <w:tcW w:w="564" w:type="pct"/>
            <w:shd w:val="clear" w:color="auto" w:fill="EFEFEF"/>
            <w:noWrap/>
            <w:vAlign w:val="center"/>
            <w:hideMark/>
          </w:tcPr>
          <w:p w14:paraId="6BDE12DC"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1 044 122,38 </w:t>
            </w:r>
          </w:p>
        </w:tc>
        <w:tc>
          <w:tcPr>
            <w:tcW w:w="518" w:type="pct"/>
            <w:shd w:val="clear" w:color="auto" w:fill="EFEFEF"/>
            <w:noWrap/>
            <w:vAlign w:val="center"/>
            <w:hideMark/>
          </w:tcPr>
          <w:p w14:paraId="41868160"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532 736,43 </w:t>
            </w:r>
          </w:p>
        </w:tc>
        <w:tc>
          <w:tcPr>
            <w:tcW w:w="612" w:type="pct"/>
            <w:shd w:val="clear" w:color="auto" w:fill="EFEFEF"/>
            <w:noWrap/>
            <w:vAlign w:val="center"/>
            <w:hideMark/>
          </w:tcPr>
          <w:p w14:paraId="601E18AA"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 xml:space="preserve">51,02 </w:t>
            </w:r>
          </w:p>
        </w:tc>
        <w:tc>
          <w:tcPr>
            <w:tcW w:w="1061" w:type="pct"/>
            <w:vMerge/>
            <w:shd w:val="clear" w:color="auto" w:fill="EFEFEF"/>
            <w:vAlign w:val="center"/>
            <w:hideMark/>
          </w:tcPr>
          <w:p w14:paraId="7DA514F6" w14:textId="77777777" w:rsidR="00B73FDB" w:rsidRPr="00B73FDB" w:rsidRDefault="00B73FDB" w:rsidP="00B73FDB">
            <w:pPr>
              <w:spacing w:after="0" w:line="240" w:lineRule="auto"/>
              <w:rPr>
                <w:rFonts w:cs="Calibri"/>
                <w:sz w:val="18"/>
                <w:szCs w:val="18"/>
                <w:lang w:eastAsia="sk-SK"/>
              </w:rPr>
            </w:pPr>
          </w:p>
        </w:tc>
      </w:tr>
      <w:tr w:rsidR="00B73FDB" w:rsidRPr="00B73FDB" w14:paraId="0593C4A0" w14:textId="77777777" w:rsidTr="00B73FDB">
        <w:trPr>
          <w:tblCellSpacing w:w="15" w:type="dxa"/>
        </w:trPr>
        <w:tc>
          <w:tcPr>
            <w:tcW w:w="223" w:type="pct"/>
            <w:shd w:val="clear" w:color="auto" w:fill="D9D9D9"/>
            <w:noWrap/>
            <w:vAlign w:val="center"/>
          </w:tcPr>
          <w:p w14:paraId="52835169"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700</w:t>
            </w:r>
          </w:p>
        </w:tc>
        <w:tc>
          <w:tcPr>
            <w:tcW w:w="1304" w:type="pct"/>
            <w:shd w:val="clear" w:color="auto" w:fill="D9D9D9"/>
            <w:vAlign w:val="center"/>
          </w:tcPr>
          <w:p w14:paraId="12D706CF" w14:textId="77777777" w:rsidR="00B73FDB" w:rsidRPr="00B73FDB" w:rsidRDefault="00B73FDB" w:rsidP="00B73FDB">
            <w:pPr>
              <w:spacing w:after="0" w:line="240" w:lineRule="auto"/>
              <w:rPr>
                <w:rFonts w:cs="Calibri"/>
                <w:b/>
                <w:sz w:val="18"/>
                <w:szCs w:val="18"/>
                <w:lang w:eastAsia="sk-SK"/>
              </w:rPr>
            </w:pPr>
            <w:r w:rsidRPr="00B73FDB">
              <w:rPr>
                <w:rFonts w:cs="Calibri"/>
                <w:b/>
                <w:sz w:val="18"/>
                <w:szCs w:val="18"/>
                <w:lang w:eastAsia="sk-SK"/>
              </w:rPr>
              <w:t>Kapitálové výdavky</w:t>
            </w:r>
          </w:p>
        </w:tc>
        <w:tc>
          <w:tcPr>
            <w:tcW w:w="594" w:type="pct"/>
            <w:shd w:val="clear" w:color="auto" w:fill="D9D9D9"/>
            <w:noWrap/>
            <w:vAlign w:val="center"/>
          </w:tcPr>
          <w:p w14:paraId="5E2CE89F"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0,00</w:t>
            </w:r>
          </w:p>
        </w:tc>
        <w:tc>
          <w:tcPr>
            <w:tcW w:w="564" w:type="pct"/>
            <w:shd w:val="clear" w:color="auto" w:fill="D9D9D9"/>
            <w:noWrap/>
            <w:vAlign w:val="center"/>
          </w:tcPr>
          <w:p w14:paraId="7BE50927"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5 000,00</w:t>
            </w:r>
          </w:p>
        </w:tc>
        <w:tc>
          <w:tcPr>
            <w:tcW w:w="518" w:type="pct"/>
            <w:shd w:val="clear" w:color="auto" w:fill="D9D9D9"/>
            <w:noWrap/>
            <w:vAlign w:val="center"/>
          </w:tcPr>
          <w:p w14:paraId="1C9D24DE"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5 000,00</w:t>
            </w:r>
          </w:p>
        </w:tc>
        <w:tc>
          <w:tcPr>
            <w:tcW w:w="612" w:type="pct"/>
            <w:shd w:val="clear" w:color="auto" w:fill="D9D9D9"/>
            <w:noWrap/>
            <w:vAlign w:val="center"/>
          </w:tcPr>
          <w:p w14:paraId="539C0A53" w14:textId="77777777" w:rsidR="00B73FDB" w:rsidRPr="00B73FDB" w:rsidRDefault="00B73FDB" w:rsidP="00B73FDB">
            <w:pPr>
              <w:spacing w:after="0" w:line="240" w:lineRule="auto"/>
              <w:jc w:val="right"/>
              <w:rPr>
                <w:rFonts w:cs="Calibri"/>
                <w:b/>
                <w:sz w:val="18"/>
                <w:szCs w:val="18"/>
                <w:lang w:eastAsia="sk-SK"/>
              </w:rPr>
            </w:pPr>
            <w:r w:rsidRPr="00B73FDB">
              <w:rPr>
                <w:rFonts w:cs="Calibri"/>
                <w:b/>
                <w:sz w:val="18"/>
                <w:szCs w:val="18"/>
                <w:lang w:eastAsia="sk-SK"/>
              </w:rPr>
              <w:t>100,00</w:t>
            </w:r>
          </w:p>
        </w:tc>
        <w:tc>
          <w:tcPr>
            <w:tcW w:w="1061" w:type="pct"/>
            <w:vMerge w:val="restart"/>
            <w:shd w:val="clear" w:color="auto" w:fill="D9D9D9"/>
            <w:vAlign w:val="center"/>
          </w:tcPr>
          <w:p w14:paraId="2444FC67" w14:textId="77777777" w:rsidR="00B73FDB" w:rsidRPr="00B73FDB" w:rsidRDefault="00B73FDB" w:rsidP="00B73FDB">
            <w:pPr>
              <w:spacing w:after="0" w:line="240" w:lineRule="auto"/>
              <w:rPr>
                <w:rFonts w:cs="Calibri"/>
                <w:sz w:val="18"/>
                <w:szCs w:val="18"/>
                <w:lang w:eastAsia="sk-SK"/>
              </w:rPr>
            </w:pPr>
          </w:p>
        </w:tc>
      </w:tr>
      <w:tr w:rsidR="00B73FDB" w:rsidRPr="00B73FDB" w14:paraId="30A29C18" w14:textId="77777777" w:rsidTr="00B73FDB">
        <w:trPr>
          <w:tblCellSpacing w:w="15" w:type="dxa"/>
        </w:trPr>
        <w:tc>
          <w:tcPr>
            <w:tcW w:w="223" w:type="pct"/>
            <w:shd w:val="clear" w:color="auto" w:fill="EFEFEF"/>
            <w:noWrap/>
            <w:vAlign w:val="center"/>
          </w:tcPr>
          <w:p w14:paraId="10EAF35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710</w:t>
            </w:r>
          </w:p>
        </w:tc>
        <w:tc>
          <w:tcPr>
            <w:tcW w:w="1304" w:type="pct"/>
            <w:shd w:val="clear" w:color="auto" w:fill="EFEFEF"/>
            <w:vAlign w:val="center"/>
          </w:tcPr>
          <w:p w14:paraId="2086E3F8"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Obstarávanie kapitálových aktív</w:t>
            </w:r>
          </w:p>
        </w:tc>
        <w:tc>
          <w:tcPr>
            <w:tcW w:w="594" w:type="pct"/>
            <w:shd w:val="clear" w:color="auto" w:fill="EFEFEF"/>
            <w:noWrap/>
            <w:vAlign w:val="center"/>
          </w:tcPr>
          <w:p w14:paraId="71E468DF"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0,00</w:t>
            </w:r>
          </w:p>
        </w:tc>
        <w:tc>
          <w:tcPr>
            <w:tcW w:w="564" w:type="pct"/>
            <w:shd w:val="clear" w:color="auto" w:fill="EFEFEF"/>
            <w:noWrap/>
            <w:vAlign w:val="center"/>
          </w:tcPr>
          <w:p w14:paraId="629833A9"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5 000,00</w:t>
            </w:r>
          </w:p>
        </w:tc>
        <w:tc>
          <w:tcPr>
            <w:tcW w:w="518" w:type="pct"/>
            <w:shd w:val="clear" w:color="auto" w:fill="EFEFEF"/>
            <w:noWrap/>
            <w:vAlign w:val="center"/>
          </w:tcPr>
          <w:p w14:paraId="0402D5F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5 000,00</w:t>
            </w:r>
          </w:p>
        </w:tc>
        <w:tc>
          <w:tcPr>
            <w:tcW w:w="612" w:type="pct"/>
            <w:shd w:val="clear" w:color="auto" w:fill="EFEFEF"/>
            <w:noWrap/>
            <w:vAlign w:val="center"/>
          </w:tcPr>
          <w:p w14:paraId="7BD6B945" w14:textId="77777777" w:rsidR="00B73FDB" w:rsidRPr="00B73FDB" w:rsidRDefault="00B73FDB" w:rsidP="00B73FDB">
            <w:pPr>
              <w:spacing w:after="0" w:line="240" w:lineRule="auto"/>
              <w:jc w:val="right"/>
              <w:rPr>
                <w:rFonts w:cs="Calibri"/>
                <w:sz w:val="18"/>
                <w:szCs w:val="18"/>
                <w:lang w:eastAsia="sk-SK"/>
              </w:rPr>
            </w:pPr>
            <w:r w:rsidRPr="00B73FDB">
              <w:rPr>
                <w:rFonts w:cs="Calibri"/>
                <w:sz w:val="18"/>
                <w:szCs w:val="18"/>
                <w:lang w:eastAsia="sk-SK"/>
              </w:rPr>
              <w:t>100,00</w:t>
            </w:r>
          </w:p>
        </w:tc>
        <w:tc>
          <w:tcPr>
            <w:tcW w:w="1061" w:type="pct"/>
            <w:vMerge/>
            <w:shd w:val="clear" w:color="auto" w:fill="EFEFEF"/>
            <w:vAlign w:val="center"/>
          </w:tcPr>
          <w:p w14:paraId="778E7EC7" w14:textId="77777777" w:rsidR="00B73FDB" w:rsidRPr="00B73FDB" w:rsidRDefault="00B73FDB" w:rsidP="00B73FDB">
            <w:pPr>
              <w:spacing w:after="0" w:line="240" w:lineRule="auto"/>
              <w:rPr>
                <w:rFonts w:cs="Calibri"/>
                <w:sz w:val="18"/>
                <w:szCs w:val="18"/>
                <w:lang w:eastAsia="sk-SK"/>
              </w:rPr>
            </w:pPr>
          </w:p>
        </w:tc>
      </w:tr>
    </w:tbl>
    <w:p w14:paraId="694B0BAC" w14:textId="77777777" w:rsidR="00B73FDB" w:rsidRPr="00B73FDB" w:rsidRDefault="00B73FDB" w:rsidP="00B73FDB">
      <w:pPr>
        <w:spacing w:after="0" w:line="240" w:lineRule="auto"/>
        <w:rPr>
          <w:rFonts w:cs="Calibri"/>
          <w:vanish/>
          <w:sz w:val="18"/>
          <w:szCs w:val="18"/>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730"/>
        <w:gridCol w:w="899"/>
        <w:gridCol w:w="2141"/>
        <w:gridCol w:w="1537"/>
        <w:gridCol w:w="4159"/>
      </w:tblGrid>
      <w:tr w:rsidR="00B73FDB" w:rsidRPr="00B73FDB" w14:paraId="3942995F" w14:textId="77777777" w:rsidTr="00B73FDB">
        <w:trPr>
          <w:tblCellSpacing w:w="15" w:type="dxa"/>
        </w:trPr>
        <w:tc>
          <w:tcPr>
            <w:tcW w:w="0" w:type="auto"/>
            <w:shd w:val="clear" w:color="auto" w:fill="C2D69B"/>
            <w:vAlign w:val="center"/>
            <w:hideMark/>
          </w:tcPr>
          <w:p w14:paraId="7F0BC635"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Zodpovednosť</w:t>
            </w:r>
          </w:p>
        </w:tc>
        <w:tc>
          <w:tcPr>
            <w:tcW w:w="0" w:type="auto"/>
            <w:gridSpan w:val="4"/>
            <w:shd w:val="clear" w:color="auto" w:fill="C2D69B"/>
            <w:vAlign w:val="center"/>
            <w:hideMark/>
          </w:tcPr>
          <w:p w14:paraId="01BFE1B5"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Riaditeľ odboru školstva, mládeže a športu </w:t>
            </w:r>
          </w:p>
        </w:tc>
      </w:tr>
      <w:tr w:rsidR="00B73FDB" w:rsidRPr="00B73FDB" w14:paraId="2F99D5CA" w14:textId="77777777" w:rsidTr="00B73FDB">
        <w:trPr>
          <w:tblCellSpacing w:w="15" w:type="dxa"/>
        </w:trPr>
        <w:tc>
          <w:tcPr>
            <w:tcW w:w="0" w:type="auto"/>
            <w:shd w:val="clear" w:color="auto" w:fill="C2D69B"/>
            <w:vAlign w:val="center"/>
            <w:hideMark/>
          </w:tcPr>
          <w:p w14:paraId="4B02A954"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Cieľ</w:t>
            </w:r>
          </w:p>
        </w:tc>
        <w:tc>
          <w:tcPr>
            <w:tcW w:w="0" w:type="auto"/>
            <w:gridSpan w:val="4"/>
            <w:shd w:val="clear" w:color="auto" w:fill="C2D69B"/>
            <w:vAlign w:val="center"/>
            <w:hideMark/>
          </w:tcPr>
          <w:p w14:paraId="4026E7DD"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Financovanie benefitov pre zamestnancov škôl a školských zariadení, spolufinancovanie projektov, školských súťaží, podujatí pre zamestnancov škôl a školských zariadení, financovanie skvalitňovania výchovno-vzdelávacieho procesu na školách. </w:t>
            </w:r>
          </w:p>
        </w:tc>
      </w:tr>
      <w:tr w:rsidR="00B73FDB" w:rsidRPr="00B73FDB" w14:paraId="65EFE721" w14:textId="77777777" w:rsidTr="00B73FDB">
        <w:trPr>
          <w:tblCellSpacing w:w="15" w:type="dxa"/>
        </w:trPr>
        <w:tc>
          <w:tcPr>
            <w:tcW w:w="0" w:type="auto"/>
            <w:shd w:val="clear" w:color="auto" w:fill="C2D69B"/>
            <w:vAlign w:val="center"/>
            <w:hideMark/>
          </w:tcPr>
          <w:p w14:paraId="3BAB6B51"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Merateľný ukazovateľ</w:t>
            </w:r>
          </w:p>
        </w:tc>
        <w:tc>
          <w:tcPr>
            <w:tcW w:w="0" w:type="auto"/>
            <w:gridSpan w:val="4"/>
            <w:shd w:val="clear" w:color="auto" w:fill="C2D69B"/>
            <w:vAlign w:val="center"/>
            <w:hideMark/>
          </w:tcPr>
          <w:p w14:paraId="3A40E076" w14:textId="77777777" w:rsidR="00B73FDB" w:rsidRPr="00B73FDB" w:rsidRDefault="00B73FDB" w:rsidP="00B73FDB">
            <w:pPr>
              <w:spacing w:after="0" w:line="240" w:lineRule="auto"/>
              <w:rPr>
                <w:rFonts w:cs="Calibri"/>
                <w:sz w:val="18"/>
                <w:szCs w:val="18"/>
                <w:lang w:eastAsia="sk-SK"/>
              </w:rPr>
            </w:pPr>
            <w:r w:rsidRPr="00B73FDB">
              <w:rPr>
                <w:rFonts w:cs="Calibri"/>
                <w:sz w:val="18"/>
                <w:szCs w:val="18"/>
                <w:lang w:eastAsia="sk-SK"/>
              </w:rPr>
              <w:t xml:space="preserve">Počet škôl a školských zariadení, kt. sú v zriaďovateľskej pôsobnosti BSK a počet škôl a školských zariadení cirkevných a neštátnych zriaďovateľov spolu za rok </w:t>
            </w:r>
          </w:p>
        </w:tc>
      </w:tr>
      <w:tr w:rsidR="00B73FDB" w:rsidRPr="00B73FDB" w14:paraId="16A90EAE" w14:textId="77777777" w:rsidTr="00B73FDB">
        <w:trPr>
          <w:tblCellSpacing w:w="15" w:type="dxa"/>
        </w:trPr>
        <w:tc>
          <w:tcPr>
            <w:tcW w:w="0" w:type="auto"/>
            <w:shd w:val="clear" w:color="auto" w:fill="C2D69B"/>
            <w:vAlign w:val="center"/>
            <w:hideMark/>
          </w:tcPr>
          <w:p w14:paraId="3F82DC24"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Rok</w:t>
            </w:r>
          </w:p>
        </w:tc>
        <w:tc>
          <w:tcPr>
            <w:tcW w:w="0" w:type="auto"/>
            <w:shd w:val="clear" w:color="auto" w:fill="C2D69B"/>
            <w:vAlign w:val="center"/>
            <w:hideMark/>
          </w:tcPr>
          <w:p w14:paraId="1A443449"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Plán</w:t>
            </w:r>
          </w:p>
        </w:tc>
        <w:tc>
          <w:tcPr>
            <w:tcW w:w="0" w:type="auto"/>
            <w:shd w:val="clear" w:color="auto" w:fill="C2D69B"/>
            <w:vAlign w:val="center"/>
            <w:hideMark/>
          </w:tcPr>
          <w:p w14:paraId="45969AE1"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Skutočnosť</w:t>
            </w:r>
          </w:p>
        </w:tc>
        <w:tc>
          <w:tcPr>
            <w:tcW w:w="0" w:type="auto"/>
            <w:shd w:val="clear" w:color="auto" w:fill="C2D69B"/>
            <w:vAlign w:val="center"/>
            <w:hideMark/>
          </w:tcPr>
          <w:p w14:paraId="3DC072B8" w14:textId="77777777" w:rsidR="00B73FDB" w:rsidRPr="00B73FDB" w:rsidRDefault="00B73FDB" w:rsidP="00B73FDB">
            <w:pPr>
              <w:spacing w:after="0" w:line="240" w:lineRule="auto"/>
              <w:jc w:val="center"/>
              <w:rPr>
                <w:rFonts w:cs="Calibri"/>
                <w:sz w:val="18"/>
                <w:szCs w:val="18"/>
                <w:lang w:eastAsia="sk-SK"/>
              </w:rPr>
            </w:pPr>
            <w:r w:rsidRPr="00B73FDB">
              <w:rPr>
                <w:rFonts w:cs="Calibri"/>
                <w:b/>
                <w:bCs/>
                <w:sz w:val="18"/>
                <w:szCs w:val="18"/>
                <w:lang w:eastAsia="sk-SK"/>
              </w:rPr>
              <w:t>Plnenie</w:t>
            </w:r>
          </w:p>
        </w:tc>
        <w:tc>
          <w:tcPr>
            <w:tcW w:w="2000" w:type="pct"/>
            <w:shd w:val="clear" w:color="auto" w:fill="C2D69B"/>
            <w:vAlign w:val="center"/>
            <w:hideMark/>
          </w:tcPr>
          <w:p w14:paraId="1AFDD38A" w14:textId="77777777" w:rsidR="00B73FDB" w:rsidRPr="00B73FDB" w:rsidRDefault="00B73FDB" w:rsidP="00B73FDB">
            <w:pPr>
              <w:spacing w:after="0" w:line="240" w:lineRule="auto"/>
              <w:rPr>
                <w:rFonts w:cs="Calibri"/>
                <w:sz w:val="18"/>
                <w:szCs w:val="18"/>
                <w:lang w:eastAsia="sk-SK"/>
              </w:rPr>
            </w:pPr>
            <w:r w:rsidRPr="00B73FDB">
              <w:rPr>
                <w:rFonts w:cs="Calibri"/>
                <w:b/>
                <w:bCs/>
                <w:sz w:val="18"/>
                <w:szCs w:val="18"/>
                <w:lang w:eastAsia="sk-SK"/>
              </w:rPr>
              <w:t>Poznámka</w:t>
            </w:r>
          </w:p>
        </w:tc>
      </w:tr>
      <w:tr w:rsidR="00B73FDB" w:rsidRPr="00B73FDB" w14:paraId="7A890C65" w14:textId="77777777" w:rsidTr="00B73FDB">
        <w:trPr>
          <w:tblCellSpacing w:w="15" w:type="dxa"/>
        </w:trPr>
        <w:tc>
          <w:tcPr>
            <w:tcW w:w="0" w:type="auto"/>
            <w:shd w:val="clear" w:color="auto" w:fill="C2D69B"/>
            <w:vAlign w:val="center"/>
            <w:hideMark/>
          </w:tcPr>
          <w:p w14:paraId="6EA4EFDE"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2020 </w:t>
            </w:r>
          </w:p>
        </w:tc>
        <w:tc>
          <w:tcPr>
            <w:tcW w:w="0" w:type="auto"/>
            <w:shd w:val="clear" w:color="auto" w:fill="C2D69B"/>
            <w:noWrap/>
            <w:vAlign w:val="center"/>
            <w:hideMark/>
          </w:tcPr>
          <w:p w14:paraId="4892FC8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110 </w:t>
            </w:r>
          </w:p>
        </w:tc>
        <w:tc>
          <w:tcPr>
            <w:tcW w:w="0" w:type="auto"/>
            <w:shd w:val="clear" w:color="auto" w:fill="C2D69B"/>
            <w:noWrap/>
            <w:vAlign w:val="center"/>
            <w:hideMark/>
          </w:tcPr>
          <w:p w14:paraId="49EDA738"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 112 </w:t>
            </w:r>
          </w:p>
        </w:tc>
        <w:tc>
          <w:tcPr>
            <w:tcW w:w="0" w:type="auto"/>
            <w:shd w:val="clear" w:color="auto" w:fill="C2D69B"/>
            <w:vAlign w:val="center"/>
            <w:hideMark/>
          </w:tcPr>
          <w:p w14:paraId="3D34FEB0" w14:textId="77777777" w:rsidR="00B73FDB" w:rsidRPr="00B73FDB" w:rsidRDefault="00B73FDB" w:rsidP="00B73FDB">
            <w:pPr>
              <w:spacing w:after="0" w:line="240" w:lineRule="auto"/>
              <w:jc w:val="center"/>
              <w:rPr>
                <w:rFonts w:cs="Calibri"/>
                <w:sz w:val="18"/>
                <w:szCs w:val="18"/>
                <w:lang w:eastAsia="sk-SK"/>
              </w:rPr>
            </w:pPr>
            <w:r w:rsidRPr="00B73FDB">
              <w:rPr>
                <w:rFonts w:cs="Calibri"/>
                <w:sz w:val="18"/>
                <w:szCs w:val="18"/>
                <w:lang w:eastAsia="sk-SK"/>
              </w:rPr>
              <w:t xml:space="preserve">Splnené </w:t>
            </w:r>
          </w:p>
        </w:tc>
        <w:tc>
          <w:tcPr>
            <w:tcW w:w="0" w:type="auto"/>
            <w:shd w:val="clear" w:color="auto" w:fill="C2D69B"/>
            <w:vAlign w:val="center"/>
            <w:hideMark/>
          </w:tcPr>
          <w:p w14:paraId="351B7CA1" w14:textId="77777777" w:rsidR="00B73FDB" w:rsidRPr="00B73FDB" w:rsidRDefault="00B73FDB" w:rsidP="00B73FDB">
            <w:pPr>
              <w:spacing w:after="0" w:line="240" w:lineRule="auto"/>
              <w:jc w:val="center"/>
              <w:rPr>
                <w:rFonts w:cs="Calibri"/>
                <w:sz w:val="18"/>
                <w:szCs w:val="18"/>
                <w:lang w:eastAsia="sk-SK"/>
              </w:rPr>
            </w:pPr>
          </w:p>
        </w:tc>
      </w:tr>
    </w:tbl>
    <w:p w14:paraId="76AD6BB6" w14:textId="77777777" w:rsidR="00B73FDB" w:rsidRPr="00B73FDB" w:rsidRDefault="00B73FDB" w:rsidP="00B73FDB">
      <w:pPr>
        <w:keepNext/>
        <w:keepLines/>
        <w:spacing w:before="40" w:after="0" w:line="259" w:lineRule="auto"/>
        <w:outlineLvl w:val="1"/>
        <w:rPr>
          <w:rFonts w:cs="Calibri"/>
          <w:color w:val="2F5496"/>
        </w:rPr>
      </w:pPr>
    </w:p>
    <w:p w14:paraId="0EFFFFF3" w14:textId="48B0965B" w:rsidR="005C05BC" w:rsidRDefault="005C05BC" w:rsidP="00AA5029">
      <w:pPr>
        <w:pStyle w:val="Normlnywebov"/>
        <w:spacing w:after="0"/>
        <w:rPr>
          <w:rFonts w:ascii="Calibri" w:hAnsi="Calibri" w:cs="Calibri"/>
          <w:sz w:val="18"/>
          <w:szCs w:val="18"/>
        </w:rPr>
      </w:pPr>
    </w:p>
    <w:p w14:paraId="3984FF18" w14:textId="3E3B13FC" w:rsidR="00352CED" w:rsidRDefault="00352CED" w:rsidP="00AA5029">
      <w:pPr>
        <w:pStyle w:val="Normlnywebov"/>
        <w:spacing w:after="0"/>
        <w:rPr>
          <w:rFonts w:ascii="Calibri" w:hAnsi="Calibri" w:cs="Calibri"/>
          <w:sz w:val="18"/>
          <w:szCs w:val="18"/>
        </w:rPr>
      </w:pPr>
    </w:p>
    <w:p w14:paraId="7B7A8355" w14:textId="260D5D73" w:rsidR="00352CED" w:rsidRDefault="00352CED" w:rsidP="00AA5029">
      <w:pPr>
        <w:pStyle w:val="Normlnywebov"/>
        <w:spacing w:after="0"/>
        <w:rPr>
          <w:rFonts w:ascii="Calibri" w:hAnsi="Calibri" w:cs="Calibri"/>
          <w:sz w:val="18"/>
          <w:szCs w:val="18"/>
        </w:rPr>
      </w:pPr>
    </w:p>
    <w:p w14:paraId="69C6CB22" w14:textId="0A6BC6B3" w:rsidR="00352CED" w:rsidRDefault="00352CED" w:rsidP="00AA5029">
      <w:pPr>
        <w:pStyle w:val="Normlnywebov"/>
        <w:spacing w:after="0"/>
        <w:rPr>
          <w:rFonts w:ascii="Calibri" w:hAnsi="Calibri" w:cs="Calibri"/>
          <w:sz w:val="18"/>
          <w:szCs w:val="18"/>
        </w:rPr>
      </w:pPr>
    </w:p>
    <w:p w14:paraId="63B2715B" w14:textId="4FB38FF7" w:rsidR="00352CED" w:rsidRDefault="00352CED" w:rsidP="00AA5029">
      <w:pPr>
        <w:pStyle w:val="Normlnywebov"/>
        <w:spacing w:after="0"/>
        <w:rPr>
          <w:rFonts w:ascii="Calibri" w:hAnsi="Calibri" w:cs="Calibri"/>
          <w:sz w:val="18"/>
          <w:szCs w:val="18"/>
        </w:rPr>
      </w:pPr>
    </w:p>
    <w:p w14:paraId="36A6E3C1" w14:textId="3B7C219B" w:rsidR="00352CED" w:rsidRDefault="00352CED" w:rsidP="00AA5029">
      <w:pPr>
        <w:pStyle w:val="Normlnywebov"/>
        <w:spacing w:after="0"/>
        <w:rPr>
          <w:rFonts w:ascii="Calibri" w:hAnsi="Calibri" w:cs="Calibri"/>
          <w:sz w:val="18"/>
          <w:szCs w:val="18"/>
        </w:rPr>
      </w:pPr>
    </w:p>
    <w:p w14:paraId="2421FD85" w14:textId="4707925C" w:rsidR="00352CED" w:rsidRDefault="00352CED" w:rsidP="00AA5029">
      <w:pPr>
        <w:pStyle w:val="Normlnywebov"/>
        <w:spacing w:after="0"/>
        <w:rPr>
          <w:rFonts w:ascii="Calibri" w:hAnsi="Calibri" w:cs="Calibri"/>
          <w:sz w:val="18"/>
          <w:szCs w:val="18"/>
        </w:rPr>
      </w:pPr>
    </w:p>
    <w:p w14:paraId="0886B25C" w14:textId="32752C38" w:rsidR="00352CED" w:rsidRDefault="00352CED" w:rsidP="00AA5029">
      <w:pPr>
        <w:pStyle w:val="Normlnywebov"/>
        <w:spacing w:after="0"/>
        <w:rPr>
          <w:rFonts w:ascii="Calibri" w:hAnsi="Calibri" w:cs="Calibri"/>
          <w:sz w:val="18"/>
          <w:szCs w:val="18"/>
        </w:rPr>
      </w:pPr>
    </w:p>
    <w:p w14:paraId="542E2E0B" w14:textId="0AA943B3" w:rsidR="00352CED" w:rsidRDefault="00352CED" w:rsidP="00AA5029">
      <w:pPr>
        <w:pStyle w:val="Normlnywebov"/>
        <w:spacing w:after="0"/>
        <w:rPr>
          <w:rFonts w:ascii="Calibri" w:hAnsi="Calibri" w:cs="Calibri"/>
          <w:sz w:val="18"/>
          <w:szCs w:val="18"/>
        </w:rPr>
      </w:pPr>
    </w:p>
    <w:p w14:paraId="1A96EC7E" w14:textId="2AFB55AC" w:rsidR="00352CED" w:rsidRDefault="00352CED" w:rsidP="00AA5029">
      <w:pPr>
        <w:pStyle w:val="Normlnywebov"/>
        <w:spacing w:after="0"/>
        <w:rPr>
          <w:rFonts w:ascii="Calibri" w:hAnsi="Calibri" w:cs="Calibri"/>
          <w:sz w:val="18"/>
          <w:szCs w:val="18"/>
        </w:rPr>
      </w:pPr>
    </w:p>
    <w:p w14:paraId="07126E4C" w14:textId="691DFFAC" w:rsidR="00352CED" w:rsidRDefault="00352CED" w:rsidP="00AA5029">
      <w:pPr>
        <w:pStyle w:val="Normlnywebov"/>
        <w:spacing w:after="0"/>
        <w:rPr>
          <w:rFonts w:ascii="Calibri" w:hAnsi="Calibri" w:cs="Calibri"/>
          <w:sz w:val="18"/>
          <w:szCs w:val="18"/>
        </w:rPr>
      </w:pPr>
    </w:p>
    <w:p w14:paraId="3EE64DD0" w14:textId="244406B8" w:rsidR="00352CED" w:rsidRDefault="00352CED" w:rsidP="00AA5029">
      <w:pPr>
        <w:pStyle w:val="Normlnywebov"/>
        <w:spacing w:after="0"/>
        <w:rPr>
          <w:rFonts w:ascii="Calibri" w:hAnsi="Calibri" w:cs="Calibri"/>
          <w:sz w:val="18"/>
          <w:szCs w:val="18"/>
        </w:rPr>
      </w:pPr>
    </w:p>
    <w:p w14:paraId="60C298BC" w14:textId="246A409C" w:rsidR="00352CED" w:rsidRDefault="00352CED" w:rsidP="00AA5029">
      <w:pPr>
        <w:pStyle w:val="Normlnywebov"/>
        <w:spacing w:after="0"/>
        <w:rPr>
          <w:rFonts w:ascii="Calibri" w:hAnsi="Calibri" w:cs="Calibri"/>
          <w:sz w:val="18"/>
          <w:szCs w:val="18"/>
        </w:rPr>
      </w:pPr>
    </w:p>
    <w:p w14:paraId="1B3D721F" w14:textId="1F4FD3C0" w:rsidR="00352CED" w:rsidRDefault="00352CED" w:rsidP="00AA5029">
      <w:pPr>
        <w:pStyle w:val="Normlnywebov"/>
        <w:spacing w:after="0"/>
        <w:rPr>
          <w:rFonts w:ascii="Calibri" w:hAnsi="Calibri" w:cs="Calibri"/>
          <w:sz w:val="18"/>
          <w:szCs w:val="18"/>
        </w:rPr>
      </w:pPr>
    </w:p>
    <w:p w14:paraId="547B20F9" w14:textId="12ACE174" w:rsidR="00352CED" w:rsidRDefault="00352CED" w:rsidP="00AA5029">
      <w:pPr>
        <w:pStyle w:val="Normlnywebov"/>
        <w:spacing w:after="0"/>
        <w:rPr>
          <w:rFonts w:ascii="Calibri" w:hAnsi="Calibri" w:cs="Calibri"/>
          <w:sz w:val="18"/>
          <w:szCs w:val="18"/>
        </w:rPr>
      </w:pPr>
    </w:p>
    <w:p w14:paraId="0D51CF53" w14:textId="168B4EC3" w:rsidR="00352CED" w:rsidRDefault="00352CED" w:rsidP="00AA5029">
      <w:pPr>
        <w:pStyle w:val="Normlnywebov"/>
        <w:spacing w:after="0"/>
        <w:rPr>
          <w:rFonts w:ascii="Calibri" w:hAnsi="Calibri" w:cs="Calibri"/>
          <w:sz w:val="18"/>
          <w:szCs w:val="18"/>
        </w:rPr>
      </w:pPr>
    </w:p>
    <w:p w14:paraId="79595DBC" w14:textId="746DFFC3" w:rsidR="00352CED" w:rsidRDefault="00352CED" w:rsidP="00AA5029">
      <w:pPr>
        <w:pStyle w:val="Normlnywebov"/>
        <w:spacing w:after="0"/>
        <w:rPr>
          <w:rFonts w:ascii="Calibri" w:hAnsi="Calibri" w:cs="Calibri"/>
          <w:sz w:val="18"/>
          <w:szCs w:val="18"/>
        </w:rPr>
      </w:pPr>
    </w:p>
    <w:p w14:paraId="3AF9CF74" w14:textId="1C987979" w:rsidR="00352CED" w:rsidRDefault="00352CED" w:rsidP="00AA5029">
      <w:pPr>
        <w:pStyle w:val="Normlnywebov"/>
        <w:spacing w:after="0"/>
        <w:rPr>
          <w:rFonts w:ascii="Calibri" w:hAnsi="Calibri" w:cs="Calibri"/>
          <w:sz w:val="18"/>
          <w:szCs w:val="18"/>
        </w:rPr>
      </w:pPr>
    </w:p>
    <w:p w14:paraId="2078D2C1" w14:textId="5639E7A4" w:rsidR="00352CED" w:rsidRDefault="00352CED" w:rsidP="00AA5029">
      <w:pPr>
        <w:pStyle w:val="Normlnywebov"/>
        <w:spacing w:after="0"/>
        <w:rPr>
          <w:rFonts w:ascii="Calibri" w:hAnsi="Calibri" w:cs="Calibri"/>
          <w:sz w:val="18"/>
          <w:szCs w:val="18"/>
        </w:rPr>
      </w:pPr>
    </w:p>
    <w:p w14:paraId="06785AE5" w14:textId="5243AE46" w:rsidR="00352CED" w:rsidRDefault="00352CED" w:rsidP="00AA5029">
      <w:pPr>
        <w:pStyle w:val="Normlnywebov"/>
        <w:spacing w:after="0"/>
        <w:rPr>
          <w:rFonts w:ascii="Calibri" w:hAnsi="Calibri" w:cs="Calibri"/>
          <w:sz w:val="18"/>
          <w:szCs w:val="18"/>
        </w:rPr>
      </w:pPr>
    </w:p>
    <w:p w14:paraId="09819E48" w14:textId="77777777" w:rsidR="00352CED" w:rsidRPr="00C402F4" w:rsidRDefault="00352CED" w:rsidP="00AA5029">
      <w:pPr>
        <w:pStyle w:val="Normlnywebov"/>
        <w:spacing w:after="0"/>
        <w:rPr>
          <w:rFonts w:ascii="Calibri" w:hAnsi="Calibri" w:cs="Calibri"/>
          <w:vanish/>
          <w:sz w:val="18"/>
          <w:szCs w:val="18"/>
        </w:rPr>
      </w:pPr>
    </w:p>
    <w:p w14:paraId="29EF2E0D" w14:textId="77777777" w:rsidR="00AA5029" w:rsidRPr="001E0A8D" w:rsidRDefault="00AA5029" w:rsidP="00182F35">
      <w:pPr>
        <w:spacing w:after="0" w:line="240" w:lineRule="auto"/>
        <w:rPr>
          <w:rFonts w:cstheme="minorHAnsi"/>
          <w:vanish/>
          <w:sz w:val="24"/>
          <w:szCs w:val="24"/>
          <w:lang w:eastAsia="sk-SK"/>
        </w:rPr>
      </w:pPr>
    </w:p>
    <w:p w14:paraId="2CEAFCB5" w14:textId="77777777" w:rsidR="002B343F" w:rsidRPr="003D564D" w:rsidRDefault="002B343F" w:rsidP="002B343F">
      <w:pPr>
        <w:spacing w:before="100" w:beforeAutospacing="1" w:after="100" w:afterAutospacing="1" w:line="240" w:lineRule="auto"/>
        <w:outlineLvl w:val="1"/>
        <w:rPr>
          <w:rFonts w:cstheme="minorHAnsi"/>
          <w:b/>
          <w:bCs/>
          <w:color w:val="880000"/>
          <w:sz w:val="36"/>
          <w:szCs w:val="36"/>
          <w:lang w:eastAsia="sk-SK"/>
        </w:rPr>
      </w:pPr>
      <w:r w:rsidRPr="003D564D">
        <w:rPr>
          <w:rFonts w:cstheme="minorHAnsi"/>
          <w:b/>
          <w:bCs/>
          <w:color w:val="880000"/>
          <w:sz w:val="36"/>
          <w:szCs w:val="36"/>
          <w:lang w:eastAsia="sk-SK"/>
        </w:rPr>
        <w:t>Program 9: Šport a mládežnícke aktivity</w:t>
      </w:r>
    </w:p>
    <w:p w14:paraId="4DED7E2D" w14:textId="77777777" w:rsidR="002B343F" w:rsidRPr="003D564D" w:rsidRDefault="002B343F" w:rsidP="002B343F">
      <w:pPr>
        <w:pStyle w:val="Normlnywebov"/>
        <w:rPr>
          <w:rFonts w:asciiTheme="minorHAnsi" w:hAnsiTheme="minorHAnsi" w:cstheme="minorHAnsi"/>
        </w:rPr>
      </w:pPr>
      <w:r w:rsidRPr="003D564D">
        <w:rPr>
          <w:rFonts w:asciiTheme="minorHAnsi" w:hAnsiTheme="minorHAnsi" w:cstheme="minorHAnsi"/>
          <w:b/>
          <w:bCs/>
        </w:rPr>
        <w:t xml:space="preserve">Zámer: </w:t>
      </w:r>
      <w:r w:rsidRPr="003D564D">
        <w:rPr>
          <w:rFonts w:asciiTheme="minorHAnsi" w:hAnsiTheme="minorHAnsi" w:cstheme="minorHAnsi"/>
        </w:rPr>
        <w:t xml:space="preserve">Bratislavský samosprávny kraj - kraj športu 21. storočia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5"/>
        <w:gridCol w:w="2023"/>
        <w:gridCol w:w="1240"/>
        <w:gridCol w:w="1709"/>
        <w:gridCol w:w="1737"/>
        <w:gridCol w:w="1252"/>
        <w:gridCol w:w="1680"/>
      </w:tblGrid>
      <w:tr w:rsidR="002B343F" w14:paraId="355594ED" w14:textId="77777777" w:rsidTr="002B343F">
        <w:trPr>
          <w:trHeight w:hRule="exact" w:val="870"/>
          <w:tblCellSpacing w:w="15" w:type="dxa"/>
        </w:trPr>
        <w:tc>
          <w:tcPr>
            <w:tcW w:w="0" w:type="auto"/>
            <w:shd w:val="clear" w:color="auto" w:fill="C6DBF7"/>
            <w:vAlign w:val="center"/>
            <w:hideMark/>
          </w:tcPr>
          <w:p w14:paraId="2B0E56B2" w14:textId="77777777" w:rsidR="002B343F" w:rsidRDefault="002B343F" w:rsidP="002B343F">
            <w:pPr>
              <w:jc w:val="center"/>
            </w:pPr>
            <w:r>
              <w:rPr>
                <w:b/>
                <w:bCs/>
                <w:sz w:val="20"/>
                <w:szCs w:val="20"/>
              </w:rPr>
              <w:t>Kód EK</w:t>
            </w:r>
          </w:p>
        </w:tc>
        <w:tc>
          <w:tcPr>
            <w:tcW w:w="952" w:type="pct"/>
            <w:shd w:val="clear" w:color="auto" w:fill="C6DBF7"/>
            <w:vAlign w:val="center"/>
            <w:hideMark/>
          </w:tcPr>
          <w:p w14:paraId="6020B60A" w14:textId="77777777" w:rsidR="002B343F" w:rsidRDefault="002B343F" w:rsidP="002B343F">
            <w:pPr>
              <w:jc w:val="center"/>
            </w:pPr>
            <w:r>
              <w:rPr>
                <w:b/>
                <w:bCs/>
                <w:sz w:val="20"/>
                <w:szCs w:val="20"/>
              </w:rPr>
              <w:t>Ekonomická klasifikácia</w:t>
            </w:r>
          </w:p>
        </w:tc>
        <w:tc>
          <w:tcPr>
            <w:tcW w:w="0" w:type="auto"/>
            <w:shd w:val="clear" w:color="auto" w:fill="C6DBF7"/>
            <w:vAlign w:val="center"/>
            <w:hideMark/>
          </w:tcPr>
          <w:p w14:paraId="61F4937E" w14:textId="77777777" w:rsidR="002B343F" w:rsidRDefault="002B343F" w:rsidP="002B343F">
            <w:pPr>
              <w:jc w:val="center"/>
            </w:pPr>
            <w:r>
              <w:rPr>
                <w:b/>
                <w:bCs/>
                <w:sz w:val="20"/>
                <w:szCs w:val="20"/>
              </w:rPr>
              <w:t>Schválený</w:t>
            </w:r>
            <w:r>
              <w:rPr>
                <w:b/>
                <w:bCs/>
                <w:sz w:val="20"/>
                <w:szCs w:val="20"/>
              </w:rPr>
              <w:br/>
              <w:t>rozpočet</w:t>
            </w:r>
            <w:r>
              <w:rPr>
                <w:b/>
                <w:bCs/>
                <w:sz w:val="20"/>
                <w:szCs w:val="20"/>
              </w:rPr>
              <w:br/>
              <w:t>v EUR</w:t>
            </w:r>
          </w:p>
        </w:tc>
        <w:tc>
          <w:tcPr>
            <w:tcW w:w="825" w:type="pct"/>
            <w:shd w:val="clear" w:color="auto" w:fill="C6DBF7"/>
            <w:vAlign w:val="center"/>
            <w:hideMark/>
          </w:tcPr>
          <w:p w14:paraId="7ECB3E42" w14:textId="77777777" w:rsidR="002B343F" w:rsidRDefault="002B343F" w:rsidP="002B343F">
            <w:pPr>
              <w:jc w:val="center"/>
            </w:pPr>
            <w:r>
              <w:rPr>
                <w:b/>
                <w:bCs/>
                <w:sz w:val="20"/>
                <w:szCs w:val="20"/>
              </w:rPr>
              <w:t>Zmenený</w:t>
            </w:r>
            <w:r>
              <w:rPr>
                <w:b/>
                <w:bCs/>
                <w:sz w:val="20"/>
                <w:szCs w:val="20"/>
              </w:rPr>
              <w:br/>
              <w:t>rozpočet</w:t>
            </w:r>
            <w:r>
              <w:rPr>
                <w:b/>
                <w:bCs/>
                <w:sz w:val="20"/>
                <w:szCs w:val="20"/>
              </w:rPr>
              <w:br/>
              <w:t>v EUR</w:t>
            </w:r>
          </w:p>
        </w:tc>
        <w:tc>
          <w:tcPr>
            <w:tcW w:w="838" w:type="pct"/>
            <w:shd w:val="clear" w:color="auto" w:fill="C6DBF7"/>
            <w:vAlign w:val="center"/>
            <w:hideMark/>
          </w:tcPr>
          <w:p w14:paraId="562062FC" w14:textId="77777777" w:rsidR="002B343F" w:rsidRDefault="002B343F" w:rsidP="002B343F">
            <w:pPr>
              <w:jc w:val="center"/>
            </w:pPr>
            <w:r>
              <w:rPr>
                <w:b/>
                <w:bCs/>
                <w:sz w:val="20"/>
                <w:szCs w:val="20"/>
              </w:rPr>
              <w:t>Čerpanie</w:t>
            </w:r>
            <w:r>
              <w:rPr>
                <w:b/>
                <w:bCs/>
                <w:sz w:val="20"/>
                <w:szCs w:val="20"/>
              </w:rPr>
              <w:br/>
              <w:t>v EUR</w:t>
            </w:r>
          </w:p>
        </w:tc>
        <w:tc>
          <w:tcPr>
            <w:tcW w:w="601" w:type="pct"/>
            <w:shd w:val="clear" w:color="auto" w:fill="C6DBF7"/>
            <w:vAlign w:val="center"/>
            <w:hideMark/>
          </w:tcPr>
          <w:p w14:paraId="338244E0" w14:textId="77777777" w:rsidR="002B343F" w:rsidRDefault="002B343F" w:rsidP="002B343F">
            <w:pPr>
              <w:jc w:val="center"/>
            </w:pPr>
            <w:r>
              <w:rPr>
                <w:b/>
                <w:bCs/>
                <w:sz w:val="20"/>
                <w:szCs w:val="20"/>
              </w:rPr>
              <w:t>Čerpanie</w:t>
            </w:r>
            <w:r>
              <w:rPr>
                <w:b/>
                <w:bCs/>
                <w:sz w:val="20"/>
                <w:szCs w:val="20"/>
              </w:rPr>
              <w:br/>
              <w:t xml:space="preserve">k </w:t>
            </w:r>
            <w:proofErr w:type="spellStart"/>
            <w:r>
              <w:rPr>
                <w:b/>
                <w:bCs/>
                <w:sz w:val="20"/>
                <w:szCs w:val="20"/>
              </w:rPr>
              <w:t>zmen</w:t>
            </w:r>
            <w:proofErr w:type="spellEnd"/>
            <w:r>
              <w:rPr>
                <w:b/>
                <w:bCs/>
                <w:sz w:val="20"/>
                <w:szCs w:val="20"/>
              </w:rPr>
              <w:t xml:space="preserve">. </w:t>
            </w:r>
            <w:proofErr w:type="spellStart"/>
            <w:r>
              <w:rPr>
                <w:b/>
                <w:bCs/>
                <w:sz w:val="20"/>
                <w:szCs w:val="20"/>
              </w:rPr>
              <w:t>rozp</w:t>
            </w:r>
            <w:proofErr w:type="spellEnd"/>
            <w:r>
              <w:rPr>
                <w:b/>
                <w:bCs/>
                <w:sz w:val="20"/>
                <w:szCs w:val="20"/>
              </w:rPr>
              <w:t>.</w:t>
            </w:r>
            <w:r>
              <w:rPr>
                <w:b/>
                <w:bCs/>
                <w:sz w:val="20"/>
                <w:szCs w:val="20"/>
              </w:rPr>
              <w:br/>
              <w:t>v %</w:t>
            </w:r>
          </w:p>
        </w:tc>
        <w:tc>
          <w:tcPr>
            <w:tcW w:w="803" w:type="pct"/>
            <w:shd w:val="clear" w:color="auto" w:fill="C6DBF7"/>
            <w:vAlign w:val="center"/>
            <w:hideMark/>
          </w:tcPr>
          <w:p w14:paraId="27990B5C" w14:textId="77777777" w:rsidR="002B343F" w:rsidRDefault="002B343F" w:rsidP="002B343F">
            <w:pPr>
              <w:jc w:val="center"/>
            </w:pPr>
            <w:r>
              <w:rPr>
                <w:b/>
                <w:bCs/>
                <w:sz w:val="20"/>
                <w:szCs w:val="20"/>
              </w:rPr>
              <w:t>Zmeny rozpočtu</w:t>
            </w:r>
          </w:p>
        </w:tc>
      </w:tr>
      <w:tr w:rsidR="002B343F" w14:paraId="4F81908C" w14:textId="77777777" w:rsidTr="002B343F">
        <w:trPr>
          <w:trHeight w:hRule="exact" w:val="284"/>
          <w:tblCellSpacing w:w="15" w:type="dxa"/>
        </w:trPr>
        <w:tc>
          <w:tcPr>
            <w:tcW w:w="0" w:type="auto"/>
            <w:shd w:val="clear" w:color="auto" w:fill="D9D9D9"/>
            <w:noWrap/>
            <w:vAlign w:val="center"/>
            <w:hideMark/>
          </w:tcPr>
          <w:p w14:paraId="2F3F0D08" w14:textId="77777777" w:rsidR="002B343F" w:rsidRDefault="002B343F" w:rsidP="002B343F">
            <w:pPr>
              <w:jc w:val="center"/>
            </w:pPr>
          </w:p>
        </w:tc>
        <w:tc>
          <w:tcPr>
            <w:tcW w:w="0" w:type="auto"/>
            <w:shd w:val="clear" w:color="auto" w:fill="D9D9D9"/>
            <w:vAlign w:val="center"/>
            <w:hideMark/>
          </w:tcPr>
          <w:p w14:paraId="20E3C9F2" w14:textId="77777777" w:rsidR="002B343F" w:rsidRDefault="002B343F" w:rsidP="002B343F">
            <w:pPr>
              <w:rPr>
                <w:sz w:val="24"/>
                <w:szCs w:val="24"/>
              </w:rPr>
            </w:pPr>
            <w:r>
              <w:rPr>
                <w:b/>
                <w:bCs/>
                <w:sz w:val="20"/>
                <w:szCs w:val="20"/>
              </w:rPr>
              <w:t>Výdavky celkom</w:t>
            </w:r>
            <w:r>
              <w:t xml:space="preserve"> </w:t>
            </w:r>
          </w:p>
        </w:tc>
        <w:tc>
          <w:tcPr>
            <w:tcW w:w="0" w:type="auto"/>
            <w:shd w:val="clear" w:color="auto" w:fill="D9D9D9"/>
            <w:noWrap/>
            <w:vAlign w:val="center"/>
            <w:hideMark/>
          </w:tcPr>
          <w:p w14:paraId="5DC6FAD1" w14:textId="77777777" w:rsidR="002B343F" w:rsidRDefault="002B343F" w:rsidP="002B343F">
            <w:pPr>
              <w:jc w:val="right"/>
            </w:pPr>
            <w:r>
              <w:rPr>
                <w:b/>
                <w:bCs/>
                <w:sz w:val="20"/>
                <w:szCs w:val="20"/>
              </w:rPr>
              <w:t>461 000,00</w:t>
            </w:r>
            <w:r>
              <w:t xml:space="preserve"> </w:t>
            </w:r>
          </w:p>
        </w:tc>
        <w:tc>
          <w:tcPr>
            <w:tcW w:w="825" w:type="pct"/>
            <w:shd w:val="clear" w:color="auto" w:fill="D9D9D9"/>
            <w:noWrap/>
            <w:vAlign w:val="center"/>
            <w:hideMark/>
          </w:tcPr>
          <w:p w14:paraId="3590FCB7" w14:textId="77777777" w:rsidR="002B343F" w:rsidRDefault="002B343F" w:rsidP="002B343F">
            <w:pPr>
              <w:jc w:val="right"/>
            </w:pPr>
            <w:r>
              <w:rPr>
                <w:b/>
                <w:bCs/>
                <w:sz w:val="20"/>
                <w:szCs w:val="20"/>
              </w:rPr>
              <w:t>369 000,00</w:t>
            </w:r>
            <w:r>
              <w:t xml:space="preserve"> </w:t>
            </w:r>
          </w:p>
        </w:tc>
        <w:tc>
          <w:tcPr>
            <w:tcW w:w="838" w:type="pct"/>
            <w:shd w:val="clear" w:color="auto" w:fill="D9D9D9"/>
            <w:noWrap/>
            <w:vAlign w:val="center"/>
            <w:hideMark/>
          </w:tcPr>
          <w:p w14:paraId="163BDBB0" w14:textId="77777777" w:rsidR="002B343F" w:rsidRDefault="002B343F" w:rsidP="002B343F">
            <w:pPr>
              <w:jc w:val="right"/>
            </w:pPr>
            <w:r>
              <w:rPr>
                <w:b/>
                <w:bCs/>
                <w:sz w:val="20"/>
                <w:szCs w:val="20"/>
              </w:rPr>
              <w:t>356 967,42</w:t>
            </w:r>
            <w:r>
              <w:t xml:space="preserve"> </w:t>
            </w:r>
          </w:p>
        </w:tc>
        <w:tc>
          <w:tcPr>
            <w:tcW w:w="601" w:type="pct"/>
            <w:shd w:val="clear" w:color="auto" w:fill="D9D9D9"/>
            <w:noWrap/>
            <w:vAlign w:val="center"/>
            <w:hideMark/>
          </w:tcPr>
          <w:p w14:paraId="1167B54C" w14:textId="77777777" w:rsidR="002B343F" w:rsidRDefault="002B343F" w:rsidP="002B343F">
            <w:pPr>
              <w:jc w:val="right"/>
            </w:pPr>
            <w:r>
              <w:rPr>
                <w:b/>
                <w:bCs/>
                <w:sz w:val="20"/>
                <w:szCs w:val="20"/>
              </w:rPr>
              <w:t>96,74</w:t>
            </w:r>
            <w:r>
              <w:t xml:space="preserve"> </w:t>
            </w:r>
          </w:p>
        </w:tc>
        <w:tc>
          <w:tcPr>
            <w:tcW w:w="803" w:type="pct"/>
            <w:vMerge w:val="restart"/>
            <w:shd w:val="clear" w:color="auto" w:fill="D9D9D9"/>
            <w:vAlign w:val="center"/>
            <w:hideMark/>
          </w:tcPr>
          <w:p w14:paraId="52A2ED97" w14:textId="687C6524" w:rsidR="002B343F" w:rsidRDefault="002B343F" w:rsidP="002B343F">
            <w:r w:rsidRPr="008131BC">
              <w:rPr>
                <w:b/>
                <w:bCs/>
                <w:sz w:val="20"/>
                <w:szCs w:val="20"/>
              </w:rPr>
              <w:t>-92 000,00 EU</w:t>
            </w:r>
            <w:r>
              <w:rPr>
                <w:b/>
                <w:bCs/>
                <w:sz w:val="20"/>
                <w:szCs w:val="20"/>
              </w:rPr>
              <w:t xml:space="preserve">R </w:t>
            </w:r>
            <w:r w:rsidRPr="008131BC">
              <w:rPr>
                <w:sz w:val="20"/>
                <w:szCs w:val="20"/>
              </w:rPr>
              <w:t>presun na PK  008.09.02</w:t>
            </w:r>
          </w:p>
        </w:tc>
      </w:tr>
      <w:tr w:rsidR="002B343F" w14:paraId="650EAAEB" w14:textId="77777777" w:rsidTr="002B343F">
        <w:trPr>
          <w:trHeight w:hRule="exact" w:val="284"/>
          <w:tblCellSpacing w:w="15" w:type="dxa"/>
        </w:trPr>
        <w:tc>
          <w:tcPr>
            <w:tcW w:w="0" w:type="auto"/>
            <w:shd w:val="clear" w:color="auto" w:fill="D9D9D9"/>
            <w:noWrap/>
            <w:vAlign w:val="center"/>
            <w:hideMark/>
          </w:tcPr>
          <w:p w14:paraId="38932AC5" w14:textId="77777777" w:rsidR="002B343F" w:rsidRDefault="002B343F" w:rsidP="002B343F">
            <w:pPr>
              <w:rPr>
                <w:sz w:val="24"/>
                <w:szCs w:val="24"/>
              </w:rPr>
            </w:pPr>
            <w:r>
              <w:rPr>
                <w:b/>
                <w:bCs/>
                <w:sz w:val="20"/>
                <w:szCs w:val="20"/>
              </w:rPr>
              <w:t>600</w:t>
            </w:r>
            <w:r>
              <w:t xml:space="preserve"> </w:t>
            </w:r>
          </w:p>
        </w:tc>
        <w:tc>
          <w:tcPr>
            <w:tcW w:w="0" w:type="auto"/>
            <w:shd w:val="clear" w:color="auto" w:fill="D9D9D9"/>
            <w:vAlign w:val="center"/>
            <w:hideMark/>
          </w:tcPr>
          <w:p w14:paraId="00DC8E3A" w14:textId="77777777" w:rsidR="002B343F" w:rsidRDefault="002B343F" w:rsidP="002B343F">
            <w:r>
              <w:rPr>
                <w:b/>
                <w:bCs/>
                <w:sz w:val="20"/>
                <w:szCs w:val="20"/>
              </w:rPr>
              <w:t>Bežné výdavky</w:t>
            </w:r>
            <w:r>
              <w:t xml:space="preserve"> </w:t>
            </w:r>
          </w:p>
        </w:tc>
        <w:tc>
          <w:tcPr>
            <w:tcW w:w="0" w:type="auto"/>
            <w:shd w:val="clear" w:color="auto" w:fill="D9D9D9"/>
            <w:noWrap/>
            <w:vAlign w:val="center"/>
            <w:hideMark/>
          </w:tcPr>
          <w:p w14:paraId="28490590" w14:textId="77777777" w:rsidR="002B343F" w:rsidRDefault="002B343F" w:rsidP="002B343F">
            <w:pPr>
              <w:jc w:val="right"/>
            </w:pPr>
            <w:r>
              <w:rPr>
                <w:b/>
                <w:bCs/>
                <w:sz w:val="20"/>
                <w:szCs w:val="20"/>
              </w:rPr>
              <w:t>461 000,00</w:t>
            </w:r>
            <w:r>
              <w:t xml:space="preserve"> </w:t>
            </w:r>
          </w:p>
        </w:tc>
        <w:tc>
          <w:tcPr>
            <w:tcW w:w="825" w:type="pct"/>
            <w:shd w:val="clear" w:color="auto" w:fill="D9D9D9"/>
            <w:noWrap/>
            <w:vAlign w:val="center"/>
            <w:hideMark/>
          </w:tcPr>
          <w:p w14:paraId="14672B86" w14:textId="77777777" w:rsidR="002B343F" w:rsidRDefault="002B343F" w:rsidP="002B343F">
            <w:pPr>
              <w:jc w:val="right"/>
            </w:pPr>
            <w:r>
              <w:rPr>
                <w:b/>
                <w:bCs/>
                <w:sz w:val="20"/>
                <w:szCs w:val="20"/>
              </w:rPr>
              <w:t>358 474,11</w:t>
            </w:r>
            <w:r>
              <w:t xml:space="preserve"> </w:t>
            </w:r>
          </w:p>
        </w:tc>
        <w:tc>
          <w:tcPr>
            <w:tcW w:w="838" w:type="pct"/>
            <w:shd w:val="clear" w:color="auto" w:fill="D9D9D9"/>
            <w:noWrap/>
            <w:vAlign w:val="center"/>
            <w:hideMark/>
          </w:tcPr>
          <w:p w14:paraId="54FD7A39" w14:textId="77777777" w:rsidR="002B343F" w:rsidRDefault="002B343F" w:rsidP="002B343F">
            <w:pPr>
              <w:jc w:val="right"/>
            </w:pPr>
            <w:r>
              <w:rPr>
                <w:b/>
                <w:bCs/>
                <w:sz w:val="20"/>
                <w:szCs w:val="20"/>
              </w:rPr>
              <w:t>346 441,53</w:t>
            </w:r>
            <w:r>
              <w:t xml:space="preserve"> </w:t>
            </w:r>
          </w:p>
        </w:tc>
        <w:tc>
          <w:tcPr>
            <w:tcW w:w="601" w:type="pct"/>
            <w:shd w:val="clear" w:color="auto" w:fill="D9D9D9"/>
            <w:noWrap/>
            <w:vAlign w:val="center"/>
            <w:hideMark/>
          </w:tcPr>
          <w:p w14:paraId="1B46CA4B" w14:textId="77777777" w:rsidR="002B343F" w:rsidRDefault="002B343F" w:rsidP="002B343F">
            <w:pPr>
              <w:jc w:val="right"/>
            </w:pPr>
            <w:r>
              <w:rPr>
                <w:b/>
                <w:bCs/>
                <w:sz w:val="20"/>
                <w:szCs w:val="20"/>
              </w:rPr>
              <w:t>96,64</w:t>
            </w:r>
            <w:r>
              <w:t xml:space="preserve"> </w:t>
            </w:r>
          </w:p>
        </w:tc>
        <w:tc>
          <w:tcPr>
            <w:tcW w:w="803" w:type="pct"/>
            <w:vMerge/>
            <w:shd w:val="clear" w:color="auto" w:fill="D9D9D9"/>
            <w:vAlign w:val="center"/>
            <w:hideMark/>
          </w:tcPr>
          <w:p w14:paraId="05CB587F" w14:textId="77777777" w:rsidR="002B343F" w:rsidRDefault="002B343F" w:rsidP="002B343F">
            <w:pPr>
              <w:rPr>
                <w:sz w:val="24"/>
                <w:szCs w:val="24"/>
              </w:rPr>
            </w:pPr>
          </w:p>
        </w:tc>
      </w:tr>
      <w:tr w:rsidR="002B343F" w14:paraId="16B95486" w14:textId="77777777" w:rsidTr="002B343F">
        <w:trPr>
          <w:trHeight w:hRule="exact" w:val="284"/>
          <w:tblCellSpacing w:w="15" w:type="dxa"/>
        </w:trPr>
        <w:tc>
          <w:tcPr>
            <w:tcW w:w="0" w:type="auto"/>
            <w:shd w:val="clear" w:color="auto" w:fill="EFEFEF"/>
            <w:noWrap/>
            <w:vAlign w:val="center"/>
            <w:hideMark/>
          </w:tcPr>
          <w:p w14:paraId="7EBFEEB5" w14:textId="77777777" w:rsidR="002B343F" w:rsidRDefault="002B343F" w:rsidP="002B343F">
            <w:r>
              <w:rPr>
                <w:sz w:val="20"/>
                <w:szCs w:val="20"/>
              </w:rPr>
              <w:t>610</w:t>
            </w:r>
            <w:r>
              <w:t xml:space="preserve"> </w:t>
            </w:r>
          </w:p>
        </w:tc>
        <w:tc>
          <w:tcPr>
            <w:tcW w:w="0" w:type="auto"/>
            <w:shd w:val="clear" w:color="auto" w:fill="EFEFEF"/>
            <w:vAlign w:val="center"/>
            <w:hideMark/>
          </w:tcPr>
          <w:p w14:paraId="243580D4" w14:textId="77777777" w:rsidR="002B343F" w:rsidRDefault="002B343F" w:rsidP="002B343F">
            <w:r>
              <w:rPr>
                <w:sz w:val="20"/>
                <w:szCs w:val="20"/>
              </w:rPr>
              <w:t>Mzdy, platy, ...</w:t>
            </w:r>
            <w:r>
              <w:t xml:space="preserve"> </w:t>
            </w:r>
          </w:p>
        </w:tc>
        <w:tc>
          <w:tcPr>
            <w:tcW w:w="0" w:type="auto"/>
            <w:shd w:val="clear" w:color="auto" w:fill="EFEFEF"/>
            <w:noWrap/>
            <w:vAlign w:val="center"/>
            <w:hideMark/>
          </w:tcPr>
          <w:p w14:paraId="339C0E39" w14:textId="77777777" w:rsidR="002B343F" w:rsidRDefault="002B343F" w:rsidP="002B343F">
            <w:pPr>
              <w:jc w:val="right"/>
            </w:pPr>
            <w:r>
              <w:rPr>
                <w:sz w:val="20"/>
                <w:szCs w:val="20"/>
              </w:rPr>
              <w:t>0,00</w:t>
            </w:r>
            <w:r>
              <w:t xml:space="preserve"> </w:t>
            </w:r>
          </w:p>
        </w:tc>
        <w:tc>
          <w:tcPr>
            <w:tcW w:w="825" w:type="pct"/>
            <w:shd w:val="clear" w:color="auto" w:fill="EFEFEF"/>
            <w:noWrap/>
            <w:vAlign w:val="center"/>
            <w:hideMark/>
          </w:tcPr>
          <w:p w14:paraId="04DA65F2" w14:textId="77777777" w:rsidR="002B343F" w:rsidRDefault="002B343F" w:rsidP="002B343F">
            <w:pPr>
              <w:jc w:val="right"/>
            </w:pPr>
            <w:r>
              <w:rPr>
                <w:sz w:val="20"/>
                <w:szCs w:val="20"/>
              </w:rPr>
              <w:t>74 394,75</w:t>
            </w:r>
            <w:r>
              <w:t xml:space="preserve"> </w:t>
            </w:r>
          </w:p>
        </w:tc>
        <w:tc>
          <w:tcPr>
            <w:tcW w:w="838" w:type="pct"/>
            <w:shd w:val="clear" w:color="auto" w:fill="EFEFEF"/>
            <w:noWrap/>
            <w:vAlign w:val="center"/>
            <w:hideMark/>
          </w:tcPr>
          <w:p w14:paraId="4985A218" w14:textId="77777777" w:rsidR="002B343F" w:rsidRDefault="002B343F" w:rsidP="002B343F">
            <w:pPr>
              <w:jc w:val="right"/>
            </w:pPr>
            <w:r>
              <w:rPr>
                <w:sz w:val="20"/>
                <w:szCs w:val="20"/>
              </w:rPr>
              <w:t>74 391,36</w:t>
            </w:r>
            <w:r>
              <w:t xml:space="preserve"> </w:t>
            </w:r>
          </w:p>
        </w:tc>
        <w:tc>
          <w:tcPr>
            <w:tcW w:w="601" w:type="pct"/>
            <w:shd w:val="clear" w:color="auto" w:fill="EFEFEF"/>
            <w:noWrap/>
            <w:vAlign w:val="center"/>
            <w:hideMark/>
          </w:tcPr>
          <w:p w14:paraId="26A860DD" w14:textId="77777777" w:rsidR="002B343F" w:rsidRDefault="002B343F" w:rsidP="002B343F">
            <w:pPr>
              <w:jc w:val="right"/>
            </w:pPr>
            <w:r>
              <w:rPr>
                <w:sz w:val="20"/>
                <w:szCs w:val="20"/>
              </w:rPr>
              <w:t>100,00</w:t>
            </w:r>
            <w:r>
              <w:t xml:space="preserve"> </w:t>
            </w:r>
          </w:p>
        </w:tc>
        <w:tc>
          <w:tcPr>
            <w:tcW w:w="803" w:type="pct"/>
            <w:vMerge/>
            <w:shd w:val="clear" w:color="auto" w:fill="EFEFEF"/>
            <w:vAlign w:val="center"/>
            <w:hideMark/>
          </w:tcPr>
          <w:p w14:paraId="2498D893" w14:textId="77777777" w:rsidR="002B343F" w:rsidRDefault="002B343F" w:rsidP="002B343F">
            <w:pPr>
              <w:rPr>
                <w:sz w:val="24"/>
                <w:szCs w:val="24"/>
              </w:rPr>
            </w:pPr>
          </w:p>
        </w:tc>
      </w:tr>
      <w:tr w:rsidR="002B343F" w14:paraId="2599A73B" w14:textId="77777777" w:rsidTr="002B343F">
        <w:trPr>
          <w:trHeight w:hRule="exact" w:val="284"/>
          <w:tblCellSpacing w:w="15" w:type="dxa"/>
        </w:trPr>
        <w:tc>
          <w:tcPr>
            <w:tcW w:w="0" w:type="auto"/>
            <w:shd w:val="clear" w:color="auto" w:fill="EFEFEF"/>
            <w:noWrap/>
            <w:vAlign w:val="center"/>
            <w:hideMark/>
          </w:tcPr>
          <w:p w14:paraId="5EEC5957" w14:textId="77777777" w:rsidR="002B343F" w:rsidRDefault="002B343F" w:rsidP="002B343F">
            <w:r>
              <w:rPr>
                <w:sz w:val="20"/>
                <w:szCs w:val="20"/>
              </w:rPr>
              <w:t>620</w:t>
            </w:r>
            <w:r>
              <w:t xml:space="preserve"> </w:t>
            </w:r>
          </w:p>
        </w:tc>
        <w:tc>
          <w:tcPr>
            <w:tcW w:w="0" w:type="auto"/>
            <w:shd w:val="clear" w:color="auto" w:fill="EFEFEF"/>
            <w:vAlign w:val="center"/>
            <w:hideMark/>
          </w:tcPr>
          <w:p w14:paraId="2C2C5571" w14:textId="77777777" w:rsidR="002B343F" w:rsidRDefault="002B343F" w:rsidP="002B343F">
            <w:r>
              <w:rPr>
                <w:sz w:val="20"/>
                <w:szCs w:val="20"/>
              </w:rPr>
              <w:t>Poistné do poisťovní</w:t>
            </w:r>
            <w:r>
              <w:t xml:space="preserve"> </w:t>
            </w:r>
          </w:p>
        </w:tc>
        <w:tc>
          <w:tcPr>
            <w:tcW w:w="0" w:type="auto"/>
            <w:shd w:val="clear" w:color="auto" w:fill="EFEFEF"/>
            <w:noWrap/>
            <w:vAlign w:val="center"/>
            <w:hideMark/>
          </w:tcPr>
          <w:p w14:paraId="3BD6AD0A" w14:textId="77777777" w:rsidR="002B343F" w:rsidRDefault="002B343F" w:rsidP="002B343F">
            <w:pPr>
              <w:jc w:val="right"/>
            </w:pPr>
            <w:r>
              <w:rPr>
                <w:sz w:val="20"/>
                <w:szCs w:val="20"/>
              </w:rPr>
              <w:t>0,00</w:t>
            </w:r>
            <w:r>
              <w:t xml:space="preserve"> </w:t>
            </w:r>
          </w:p>
        </w:tc>
        <w:tc>
          <w:tcPr>
            <w:tcW w:w="825" w:type="pct"/>
            <w:shd w:val="clear" w:color="auto" w:fill="EFEFEF"/>
            <w:noWrap/>
            <w:vAlign w:val="center"/>
            <w:hideMark/>
          </w:tcPr>
          <w:p w14:paraId="35B91C12" w14:textId="77777777" w:rsidR="002B343F" w:rsidRDefault="002B343F" w:rsidP="002B343F">
            <w:pPr>
              <w:jc w:val="right"/>
            </w:pPr>
            <w:r>
              <w:rPr>
                <w:sz w:val="20"/>
                <w:szCs w:val="20"/>
              </w:rPr>
              <w:t>18 689,87</w:t>
            </w:r>
            <w:r>
              <w:t xml:space="preserve"> </w:t>
            </w:r>
          </w:p>
        </w:tc>
        <w:tc>
          <w:tcPr>
            <w:tcW w:w="838" w:type="pct"/>
            <w:shd w:val="clear" w:color="auto" w:fill="EFEFEF"/>
            <w:noWrap/>
            <w:vAlign w:val="center"/>
            <w:hideMark/>
          </w:tcPr>
          <w:p w14:paraId="1976A44D" w14:textId="77777777" w:rsidR="002B343F" w:rsidRDefault="002B343F" w:rsidP="002B343F">
            <w:pPr>
              <w:jc w:val="right"/>
            </w:pPr>
            <w:r>
              <w:rPr>
                <w:sz w:val="20"/>
                <w:szCs w:val="20"/>
              </w:rPr>
              <w:t>18 689,87</w:t>
            </w:r>
            <w:r>
              <w:t xml:space="preserve"> </w:t>
            </w:r>
          </w:p>
        </w:tc>
        <w:tc>
          <w:tcPr>
            <w:tcW w:w="601" w:type="pct"/>
            <w:shd w:val="clear" w:color="auto" w:fill="EFEFEF"/>
            <w:noWrap/>
            <w:vAlign w:val="center"/>
            <w:hideMark/>
          </w:tcPr>
          <w:p w14:paraId="7789D591" w14:textId="77777777" w:rsidR="002B343F" w:rsidRDefault="002B343F" w:rsidP="002B343F">
            <w:pPr>
              <w:jc w:val="right"/>
            </w:pPr>
            <w:r>
              <w:rPr>
                <w:sz w:val="20"/>
                <w:szCs w:val="20"/>
              </w:rPr>
              <w:t>100,00</w:t>
            </w:r>
            <w:r>
              <w:t xml:space="preserve"> </w:t>
            </w:r>
          </w:p>
        </w:tc>
        <w:tc>
          <w:tcPr>
            <w:tcW w:w="803" w:type="pct"/>
            <w:vMerge/>
            <w:shd w:val="clear" w:color="auto" w:fill="EFEFEF"/>
            <w:vAlign w:val="center"/>
            <w:hideMark/>
          </w:tcPr>
          <w:p w14:paraId="7DD31355" w14:textId="77777777" w:rsidR="002B343F" w:rsidRDefault="002B343F" w:rsidP="002B343F">
            <w:pPr>
              <w:rPr>
                <w:sz w:val="24"/>
                <w:szCs w:val="24"/>
              </w:rPr>
            </w:pPr>
          </w:p>
        </w:tc>
      </w:tr>
      <w:tr w:rsidR="002B343F" w14:paraId="16B70E11" w14:textId="77777777" w:rsidTr="002B343F">
        <w:trPr>
          <w:trHeight w:hRule="exact" w:val="284"/>
          <w:tblCellSpacing w:w="15" w:type="dxa"/>
        </w:trPr>
        <w:tc>
          <w:tcPr>
            <w:tcW w:w="0" w:type="auto"/>
            <w:shd w:val="clear" w:color="auto" w:fill="EFEFEF"/>
            <w:noWrap/>
            <w:vAlign w:val="center"/>
            <w:hideMark/>
          </w:tcPr>
          <w:p w14:paraId="12B145F2" w14:textId="77777777" w:rsidR="002B343F" w:rsidRDefault="002B343F" w:rsidP="002B343F">
            <w:r>
              <w:rPr>
                <w:sz w:val="20"/>
                <w:szCs w:val="20"/>
              </w:rPr>
              <w:t>630</w:t>
            </w:r>
            <w:r>
              <w:t xml:space="preserve"> </w:t>
            </w:r>
          </w:p>
        </w:tc>
        <w:tc>
          <w:tcPr>
            <w:tcW w:w="0" w:type="auto"/>
            <w:shd w:val="clear" w:color="auto" w:fill="EFEFEF"/>
            <w:vAlign w:val="center"/>
            <w:hideMark/>
          </w:tcPr>
          <w:p w14:paraId="35D521A4" w14:textId="77777777" w:rsidR="002B343F" w:rsidRDefault="002B343F" w:rsidP="002B343F">
            <w:r>
              <w:rPr>
                <w:sz w:val="20"/>
                <w:szCs w:val="20"/>
              </w:rPr>
              <w:t>Tovary a služby</w:t>
            </w:r>
            <w:r>
              <w:t xml:space="preserve"> </w:t>
            </w:r>
          </w:p>
        </w:tc>
        <w:tc>
          <w:tcPr>
            <w:tcW w:w="0" w:type="auto"/>
            <w:shd w:val="clear" w:color="auto" w:fill="EFEFEF"/>
            <w:noWrap/>
            <w:vAlign w:val="center"/>
            <w:hideMark/>
          </w:tcPr>
          <w:p w14:paraId="4C786A6B" w14:textId="77777777" w:rsidR="002B343F" w:rsidRDefault="002B343F" w:rsidP="002B343F">
            <w:pPr>
              <w:jc w:val="right"/>
            </w:pPr>
            <w:r>
              <w:rPr>
                <w:sz w:val="20"/>
                <w:szCs w:val="20"/>
              </w:rPr>
              <w:t>195 000,00</w:t>
            </w:r>
            <w:r>
              <w:t xml:space="preserve"> </w:t>
            </w:r>
          </w:p>
        </w:tc>
        <w:tc>
          <w:tcPr>
            <w:tcW w:w="825" w:type="pct"/>
            <w:shd w:val="clear" w:color="auto" w:fill="EFEFEF"/>
            <w:noWrap/>
            <w:vAlign w:val="center"/>
            <w:hideMark/>
          </w:tcPr>
          <w:p w14:paraId="42975C8B" w14:textId="77777777" w:rsidR="002B343F" w:rsidRDefault="002B343F" w:rsidP="002B343F">
            <w:pPr>
              <w:jc w:val="right"/>
            </w:pPr>
            <w:r>
              <w:rPr>
                <w:sz w:val="20"/>
                <w:szCs w:val="20"/>
              </w:rPr>
              <w:t>187 910,59</w:t>
            </w:r>
            <w:r>
              <w:t xml:space="preserve"> </w:t>
            </w:r>
          </w:p>
        </w:tc>
        <w:tc>
          <w:tcPr>
            <w:tcW w:w="838" w:type="pct"/>
            <w:shd w:val="clear" w:color="auto" w:fill="EFEFEF"/>
            <w:noWrap/>
            <w:vAlign w:val="center"/>
            <w:hideMark/>
          </w:tcPr>
          <w:p w14:paraId="43C619E3" w14:textId="77777777" w:rsidR="002B343F" w:rsidRDefault="002B343F" w:rsidP="002B343F">
            <w:pPr>
              <w:jc w:val="right"/>
            </w:pPr>
            <w:r>
              <w:rPr>
                <w:sz w:val="20"/>
                <w:szCs w:val="20"/>
              </w:rPr>
              <w:t>183 938,11</w:t>
            </w:r>
            <w:r>
              <w:t xml:space="preserve"> </w:t>
            </w:r>
          </w:p>
        </w:tc>
        <w:tc>
          <w:tcPr>
            <w:tcW w:w="601" w:type="pct"/>
            <w:shd w:val="clear" w:color="auto" w:fill="EFEFEF"/>
            <w:noWrap/>
            <w:vAlign w:val="center"/>
            <w:hideMark/>
          </w:tcPr>
          <w:p w14:paraId="21DBE7B1" w14:textId="77777777" w:rsidR="002B343F" w:rsidRDefault="002B343F" w:rsidP="002B343F">
            <w:pPr>
              <w:jc w:val="right"/>
            </w:pPr>
            <w:r>
              <w:rPr>
                <w:sz w:val="20"/>
                <w:szCs w:val="20"/>
              </w:rPr>
              <w:t>97,89</w:t>
            </w:r>
            <w:r>
              <w:t xml:space="preserve"> </w:t>
            </w:r>
          </w:p>
        </w:tc>
        <w:tc>
          <w:tcPr>
            <w:tcW w:w="803" w:type="pct"/>
            <w:vMerge/>
            <w:shd w:val="clear" w:color="auto" w:fill="EFEFEF"/>
            <w:vAlign w:val="center"/>
            <w:hideMark/>
          </w:tcPr>
          <w:p w14:paraId="0C543D0F" w14:textId="77777777" w:rsidR="002B343F" w:rsidRDefault="002B343F" w:rsidP="002B343F">
            <w:pPr>
              <w:rPr>
                <w:sz w:val="24"/>
                <w:szCs w:val="24"/>
              </w:rPr>
            </w:pPr>
          </w:p>
        </w:tc>
      </w:tr>
      <w:tr w:rsidR="002B343F" w14:paraId="04063BE1" w14:textId="77777777" w:rsidTr="002B343F">
        <w:trPr>
          <w:trHeight w:hRule="exact" w:val="284"/>
          <w:tblCellSpacing w:w="15" w:type="dxa"/>
        </w:trPr>
        <w:tc>
          <w:tcPr>
            <w:tcW w:w="0" w:type="auto"/>
            <w:shd w:val="clear" w:color="auto" w:fill="EFEFEF"/>
            <w:noWrap/>
            <w:vAlign w:val="center"/>
            <w:hideMark/>
          </w:tcPr>
          <w:p w14:paraId="07A35CB3" w14:textId="77777777" w:rsidR="002B343F" w:rsidRDefault="002B343F" w:rsidP="002B343F">
            <w:r>
              <w:rPr>
                <w:sz w:val="20"/>
                <w:szCs w:val="20"/>
              </w:rPr>
              <w:t>640</w:t>
            </w:r>
            <w:r>
              <w:t xml:space="preserve"> </w:t>
            </w:r>
          </w:p>
        </w:tc>
        <w:tc>
          <w:tcPr>
            <w:tcW w:w="0" w:type="auto"/>
            <w:shd w:val="clear" w:color="auto" w:fill="EFEFEF"/>
            <w:vAlign w:val="center"/>
            <w:hideMark/>
          </w:tcPr>
          <w:p w14:paraId="2127ED2F" w14:textId="77777777" w:rsidR="002B343F" w:rsidRDefault="002B343F" w:rsidP="002B343F">
            <w:r>
              <w:rPr>
                <w:sz w:val="20"/>
                <w:szCs w:val="20"/>
              </w:rPr>
              <w:t>Bežné transfery</w:t>
            </w:r>
            <w:r>
              <w:t xml:space="preserve"> </w:t>
            </w:r>
          </w:p>
        </w:tc>
        <w:tc>
          <w:tcPr>
            <w:tcW w:w="0" w:type="auto"/>
            <w:shd w:val="clear" w:color="auto" w:fill="EFEFEF"/>
            <w:noWrap/>
            <w:vAlign w:val="center"/>
            <w:hideMark/>
          </w:tcPr>
          <w:p w14:paraId="13C2F9B8" w14:textId="77777777" w:rsidR="002B343F" w:rsidRDefault="002B343F" w:rsidP="002B343F">
            <w:pPr>
              <w:jc w:val="right"/>
            </w:pPr>
            <w:r>
              <w:rPr>
                <w:sz w:val="20"/>
                <w:szCs w:val="20"/>
              </w:rPr>
              <w:t>266 000,00</w:t>
            </w:r>
            <w:r>
              <w:t xml:space="preserve"> </w:t>
            </w:r>
          </w:p>
        </w:tc>
        <w:tc>
          <w:tcPr>
            <w:tcW w:w="825" w:type="pct"/>
            <w:shd w:val="clear" w:color="auto" w:fill="EFEFEF"/>
            <w:noWrap/>
            <w:vAlign w:val="center"/>
            <w:hideMark/>
          </w:tcPr>
          <w:p w14:paraId="39F2D2EC" w14:textId="77777777" w:rsidR="002B343F" w:rsidRDefault="002B343F" w:rsidP="002B343F">
            <w:pPr>
              <w:jc w:val="right"/>
            </w:pPr>
            <w:r>
              <w:rPr>
                <w:sz w:val="20"/>
                <w:szCs w:val="20"/>
              </w:rPr>
              <w:t>77 478,90</w:t>
            </w:r>
            <w:r>
              <w:t xml:space="preserve"> </w:t>
            </w:r>
          </w:p>
        </w:tc>
        <w:tc>
          <w:tcPr>
            <w:tcW w:w="838" w:type="pct"/>
            <w:shd w:val="clear" w:color="auto" w:fill="EFEFEF"/>
            <w:noWrap/>
            <w:vAlign w:val="center"/>
            <w:hideMark/>
          </w:tcPr>
          <w:p w14:paraId="339281B9" w14:textId="77777777" w:rsidR="002B343F" w:rsidRDefault="002B343F" w:rsidP="002B343F">
            <w:pPr>
              <w:jc w:val="right"/>
            </w:pPr>
            <w:r>
              <w:rPr>
                <w:sz w:val="20"/>
                <w:szCs w:val="20"/>
              </w:rPr>
              <w:t>69 422,19</w:t>
            </w:r>
            <w:r>
              <w:t xml:space="preserve"> </w:t>
            </w:r>
          </w:p>
        </w:tc>
        <w:tc>
          <w:tcPr>
            <w:tcW w:w="601" w:type="pct"/>
            <w:shd w:val="clear" w:color="auto" w:fill="EFEFEF"/>
            <w:noWrap/>
            <w:vAlign w:val="center"/>
            <w:hideMark/>
          </w:tcPr>
          <w:p w14:paraId="168775D2" w14:textId="77777777" w:rsidR="002B343F" w:rsidRDefault="002B343F" w:rsidP="002B343F">
            <w:pPr>
              <w:jc w:val="right"/>
            </w:pPr>
            <w:r>
              <w:rPr>
                <w:sz w:val="20"/>
                <w:szCs w:val="20"/>
              </w:rPr>
              <w:t>89,60</w:t>
            </w:r>
            <w:r>
              <w:t xml:space="preserve"> </w:t>
            </w:r>
          </w:p>
        </w:tc>
        <w:tc>
          <w:tcPr>
            <w:tcW w:w="803" w:type="pct"/>
            <w:vMerge/>
            <w:shd w:val="clear" w:color="auto" w:fill="EFEFEF"/>
            <w:vAlign w:val="center"/>
            <w:hideMark/>
          </w:tcPr>
          <w:p w14:paraId="65BFA412" w14:textId="77777777" w:rsidR="002B343F" w:rsidRDefault="002B343F" w:rsidP="002B343F">
            <w:pPr>
              <w:rPr>
                <w:sz w:val="24"/>
                <w:szCs w:val="24"/>
              </w:rPr>
            </w:pPr>
          </w:p>
        </w:tc>
      </w:tr>
      <w:tr w:rsidR="002B343F" w14:paraId="0F1D693C" w14:textId="77777777" w:rsidTr="002B343F">
        <w:trPr>
          <w:trHeight w:hRule="exact" w:val="284"/>
          <w:tblCellSpacing w:w="15" w:type="dxa"/>
        </w:trPr>
        <w:tc>
          <w:tcPr>
            <w:tcW w:w="0" w:type="auto"/>
            <w:shd w:val="clear" w:color="auto" w:fill="D9D9D9"/>
            <w:noWrap/>
            <w:vAlign w:val="center"/>
            <w:hideMark/>
          </w:tcPr>
          <w:p w14:paraId="7E33EB72" w14:textId="77777777" w:rsidR="002B343F" w:rsidRDefault="002B343F" w:rsidP="002B343F">
            <w:r>
              <w:rPr>
                <w:b/>
                <w:bCs/>
                <w:sz w:val="20"/>
                <w:szCs w:val="20"/>
              </w:rPr>
              <w:t>700</w:t>
            </w:r>
            <w:r>
              <w:t xml:space="preserve"> </w:t>
            </w:r>
          </w:p>
        </w:tc>
        <w:tc>
          <w:tcPr>
            <w:tcW w:w="0" w:type="auto"/>
            <w:shd w:val="clear" w:color="auto" w:fill="D9D9D9"/>
            <w:vAlign w:val="center"/>
            <w:hideMark/>
          </w:tcPr>
          <w:p w14:paraId="28DC63E9" w14:textId="77777777" w:rsidR="002B343F" w:rsidRDefault="002B343F" w:rsidP="002B343F">
            <w:r>
              <w:rPr>
                <w:b/>
                <w:bCs/>
                <w:sz w:val="20"/>
                <w:szCs w:val="20"/>
              </w:rPr>
              <w:t>Kapitálové výdavky</w:t>
            </w:r>
            <w:r>
              <w:t xml:space="preserve"> </w:t>
            </w:r>
          </w:p>
        </w:tc>
        <w:tc>
          <w:tcPr>
            <w:tcW w:w="0" w:type="auto"/>
            <w:shd w:val="clear" w:color="auto" w:fill="D9D9D9"/>
            <w:noWrap/>
            <w:vAlign w:val="center"/>
            <w:hideMark/>
          </w:tcPr>
          <w:p w14:paraId="29F19FE9" w14:textId="77777777" w:rsidR="002B343F" w:rsidRDefault="002B343F" w:rsidP="002B343F">
            <w:pPr>
              <w:jc w:val="right"/>
            </w:pPr>
            <w:r>
              <w:rPr>
                <w:b/>
                <w:bCs/>
                <w:sz w:val="20"/>
                <w:szCs w:val="20"/>
              </w:rPr>
              <w:t>0,00</w:t>
            </w:r>
            <w:r>
              <w:t xml:space="preserve"> </w:t>
            </w:r>
          </w:p>
        </w:tc>
        <w:tc>
          <w:tcPr>
            <w:tcW w:w="825" w:type="pct"/>
            <w:shd w:val="clear" w:color="auto" w:fill="D9D9D9"/>
            <w:noWrap/>
            <w:vAlign w:val="center"/>
            <w:hideMark/>
          </w:tcPr>
          <w:p w14:paraId="35908550" w14:textId="77777777" w:rsidR="002B343F" w:rsidRDefault="002B343F" w:rsidP="002B343F">
            <w:pPr>
              <w:jc w:val="right"/>
            </w:pPr>
            <w:r>
              <w:rPr>
                <w:b/>
                <w:bCs/>
                <w:sz w:val="20"/>
                <w:szCs w:val="20"/>
              </w:rPr>
              <w:t>10 525,89</w:t>
            </w:r>
            <w:r>
              <w:t xml:space="preserve"> </w:t>
            </w:r>
          </w:p>
        </w:tc>
        <w:tc>
          <w:tcPr>
            <w:tcW w:w="838" w:type="pct"/>
            <w:shd w:val="clear" w:color="auto" w:fill="D9D9D9"/>
            <w:noWrap/>
            <w:vAlign w:val="center"/>
            <w:hideMark/>
          </w:tcPr>
          <w:p w14:paraId="04571579" w14:textId="77777777" w:rsidR="002B343F" w:rsidRDefault="002B343F" w:rsidP="002B343F">
            <w:pPr>
              <w:jc w:val="right"/>
            </w:pPr>
            <w:r>
              <w:rPr>
                <w:b/>
                <w:bCs/>
                <w:sz w:val="20"/>
                <w:szCs w:val="20"/>
              </w:rPr>
              <w:t>10 525,89</w:t>
            </w:r>
            <w:r>
              <w:t xml:space="preserve"> </w:t>
            </w:r>
          </w:p>
        </w:tc>
        <w:tc>
          <w:tcPr>
            <w:tcW w:w="601" w:type="pct"/>
            <w:shd w:val="clear" w:color="auto" w:fill="D9D9D9"/>
            <w:noWrap/>
            <w:vAlign w:val="center"/>
            <w:hideMark/>
          </w:tcPr>
          <w:p w14:paraId="1BDF7A68" w14:textId="77777777" w:rsidR="002B343F" w:rsidRDefault="002B343F" w:rsidP="002B343F">
            <w:pPr>
              <w:jc w:val="right"/>
            </w:pPr>
            <w:r>
              <w:rPr>
                <w:b/>
                <w:bCs/>
                <w:sz w:val="20"/>
                <w:szCs w:val="20"/>
              </w:rPr>
              <w:t>100,00</w:t>
            </w:r>
            <w:r>
              <w:t xml:space="preserve"> </w:t>
            </w:r>
          </w:p>
        </w:tc>
        <w:tc>
          <w:tcPr>
            <w:tcW w:w="803" w:type="pct"/>
            <w:vMerge/>
            <w:shd w:val="clear" w:color="auto" w:fill="D9D9D9"/>
            <w:vAlign w:val="center"/>
            <w:hideMark/>
          </w:tcPr>
          <w:p w14:paraId="6767AB24" w14:textId="77777777" w:rsidR="002B343F" w:rsidRDefault="002B343F" w:rsidP="002B343F">
            <w:pPr>
              <w:rPr>
                <w:sz w:val="24"/>
                <w:szCs w:val="24"/>
              </w:rPr>
            </w:pPr>
          </w:p>
        </w:tc>
      </w:tr>
      <w:tr w:rsidR="002B343F" w14:paraId="261EB2FD" w14:textId="77777777" w:rsidTr="002B343F">
        <w:trPr>
          <w:trHeight w:hRule="exact" w:val="284"/>
          <w:tblCellSpacing w:w="15" w:type="dxa"/>
        </w:trPr>
        <w:tc>
          <w:tcPr>
            <w:tcW w:w="0" w:type="auto"/>
            <w:shd w:val="clear" w:color="auto" w:fill="EFEFEF"/>
            <w:noWrap/>
            <w:vAlign w:val="center"/>
            <w:hideMark/>
          </w:tcPr>
          <w:p w14:paraId="765ADE83" w14:textId="77777777" w:rsidR="002B343F" w:rsidRDefault="002B343F" w:rsidP="002B343F">
            <w:r>
              <w:rPr>
                <w:sz w:val="20"/>
                <w:szCs w:val="20"/>
              </w:rPr>
              <w:t>710</w:t>
            </w:r>
            <w:r>
              <w:t xml:space="preserve"> </w:t>
            </w:r>
          </w:p>
        </w:tc>
        <w:tc>
          <w:tcPr>
            <w:tcW w:w="0" w:type="auto"/>
            <w:shd w:val="clear" w:color="auto" w:fill="EFEFEF"/>
            <w:vAlign w:val="center"/>
            <w:hideMark/>
          </w:tcPr>
          <w:p w14:paraId="17173EE1" w14:textId="77777777" w:rsidR="002B343F" w:rsidRDefault="002B343F" w:rsidP="002B343F">
            <w:proofErr w:type="spellStart"/>
            <w:r>
              <w:rPr>
                <w:sz w:val="20"/>
                <w:szCs w:val="20"/>
              </w:rPr>
              <w:t>Obst</w:t>
            </w:r>
            <w:proofErr w:type="spellEnd"/>
            <w:r>
              <w:rPr>
                <w:sz w:val="20"/>
                <w:szCs w:val="20"/>
              </w:rPr>
              <w:t xml:space="preserve">. </w:t>
            </w:r>
            <w:proofErr w:type="spellStart"/>
            <w:r>
              <w:rPr>
                <w:sz w:val="20"/>
                <w:szCs w:val="20"/>
              </w:rPr>
              <w:t>kapit</w:t>
            </w:r>
            <w:proofErr w:type="spellEnd"/>
            <w:r>
              <w:rPr>
                <w:sz w:val="20"/>
                <w:szCs w:val="20"/>
              </w:rPr>
              <w:t>. aktív</w:t>
            </w:r>
            <w:r>
              <w:t xml:space="preserve"> </w:t>
            </w:r>
          </w:p>
        </w:tc>
        <w:tc>
          <w:tcPr>
            <w:tcW w:w="0" w:type="auto"/>
            <w:shd w:val="clear" w:color="auto" w:fill="EFEFEF"/>
            <w:noWrap/>
            <w:vAlign w:val="center"/>
            <w:hideMark/>
          </w:tcPr>
          <w:p w14:paraId="71D3F7CE" w14:textId="77777777" w:rsidR="002B343F" w:rsidRDefault="002B343F" w:rsidP="002B343F">
            <w:pPr>
              <w:jc w:val="right"/>
            </w:pPr>
            <w:r>
              <w:rPr>
                <w:sz w:val="20"/>
                <w:szCs w:val="20"/>
              </w:rPr>
              <w:t>0,00</w:t>
            </w:r>
            <w:r>
              <w:t xml:space="preserve"> </w:t>
            </w:r>
          </w:p>
        </w:tc>
        <w:tc>
          <w:tcPr>
            <w:tcW w:w="825" w:type="pct"/>
            <w:shd w:val="clear" w:color="auto" w:fill="EFEFEF"/>
            <w:noWrap/>
            <w:vAlign w:val="center"/>
            <w:hideMark/>
          </w:tcPr>
          <w:p w14:paraId="6BD69145" w14:textId="77777777" w:rsidR="002B343F" w:rsidRDefault="002B343F" w:rsidP="002B343F">
            <w:pPr>
              <w:jc w:val="right"/>
            </w:pPr>
            <w:r>
              <w:rPr>
                <w:sz w:val="20"/>
                <w:szCs w:val="20"/>
              </w:rPr>
              <w:t>8 025,89</w:t>
            </w:r>
            <w:r>
              <w:t xml:space="preserve"> </w:t>
            </w:r>
          </w:p>
        </w:tc>
        <w:tc>
          <w:tcPr>
            <w:tcW w:w="838" w:type="pct"/>
            <w:shd w:val="clear" w:color="auto" w:fill="EFEFEF"/>
            <w:noWrap/>
            <w:vAlign w:val="center"/>
            <w:hideMark/>
          </w:tcPr>
          <w:p w14:paraId="218FF296" w14:textId="77777777" w:rsidR="002B343F" w:rsidRDefault="002B343F" w:rsidP="002B343F">
            <w:pPr>
              <w:jc w:val="right"/>
            </w:pPr>
            <w:r>
              <w:rPr>
                <w:sz w:val="20"/>
                <w:szCs w:val="20"/>
              </w:rPr>
              <w:t>8 025,89</w:t>
            </w:r>
            <w:r>
              <w:t xml:space="preserve"> </w:t>
            </w:r>
          </w:p>
        </w:tc>
        <w:tc>
          <w:tcPr>
            <w:tcW w:w="601" w:type="pct"/>
            <w:shd w:val="clear" w:color="auto" w:fill="EFEFEF"/>
            <w:noWrap/>
            <w:vAlign w:val="center"/>
            <w:hideMark/>
          </w:tcPr>
          <w:p w14:paraId="2A5A3B56" w14:textId="77777777" w:rsidR="002B343F" w:rsidRDefault="002B343F" w:rsidP="002B343F">
            <w:pPr>
              <w:jc w:val="right"/>
            </w:pPr>
            <w:r>
              <w:rPr>
                <w:sz w:val="20"/>
                <w:szCs w:val="20"/>
              </w:rPr>
              <w:t>100,00</w:t>
            </w:r>
            <w:r>
              <w:t xml:space="preserve"> </w:t>
            </w:r>
          </w:p>
        </w:tc>
        <w:tc>
          <w:tcPr>
            <w:tcW w:w="803" w:type="pct"/>
            <w:vMerge/>
            <w:shd w:val="clear" w:color="auto" w:fill="EFEFEF"/>
            <w:vAlign w:val="center"/>
            <w:hideMark/>
          </w:tcPr>
          <w:p w14:paraId="62A319B9" w14:textId="77777777" w:rsidR="002B343F" w:rsidRDefault="002B343F" w:rsidP="002B343F">
            <w:pPr>
              <w:rPr>
                <w:sz w:val="24"/>
                <w:szCs w:val="24"/>
              </w:rPr>
            </w:pPr>
          </w:p>
        </w:tc>
      </w:tr>
      <w:tr w:rsidR="002B343F" w14:paraId="7D25E8BB" w14:textId="77777777" w:rsidTr="002B343F">
        <w:trPr>
          <w:trHeight w:hRule="exact" w:val="284"/>
          <w:tblCellSpacing w:w="15" w:type="dxa"/>
        </w:trPr>
        <w:tc>
          <w:tcPr>
            <w:tcW w:w="0" w:type="auto"/>
            <w:shd w:val="clear" w:color="auto" w:fill="EFEFEF"/>
            <w:noWrap/>
            <w:vAlign w:val="center"/>
            <w:hideMark/>
          </w:tcPr>
          <w:p w14:paraId="02C55327" w14:textId="77777777" w:rsidR="002B343F" w:rsidRDefault="002B343F" w:rsidP="002B343F">
            <w:r>
              <w:rPr>
                <w:sz w:val="20"/>
                <w:szCs w:val="20"/>
              </w:rPr>
              <w:t>720</w:t>
            </w:r>
            <w:r>
              <w:t xml:space="preserve"> </w:t>
            </w:r>
          </w:p>
        </w:tc>
        <w:tc>
          <w:tcPr>
            <w:tcW w:w="0" w:type="auto"/>
            <w:shd w:val="clear" w:color="auto" w:fill="EFEFEF"/>
            <w:vAlign w:val="center"/>
            <w:hideMark/>
          </w:tcPr>
          <w:p w14:paraId="6713BE55" w14:textId="77777777" w:rsidR="002B343F" w:rsidRDefault="002B343F" w:rsidP="002B343F">
            <w:r>
              <w:rPr>
                <w:sz w:val="20"/>
                <w:szCs w:val="20"/>
              </w:rPr>
              <w:t>Kapitálové transfery</w:t>
            </w:r>
            <w:r>
              <w:t xml:space="preserve"> </w:t>
            </w:r>
          </w:p>
        </w:tc>
        <w:tc>
          <w:tcPr>
            <w:tcW w:w="0" w:type="auto"/>
            <w:shd w:val="clear" w:color="auto" w:fill="EFEFEF"/>
            <w:noWrap/>
            <w:vAlign w:val="center"/>
            <w:hideMark/>
          </w:tcPr>
          <w:p w14:paraId="7B79A170" w14:textId="77777777" w:rsidR="002B343F" w:rsidRDefault="002B343F" w:rsidP="002B343F">
            <w:pPr>
              <w:jc w:val="right"/>
            </w:pPr>
            <w:r>
              <w:rPr>
                <w:sz w:val="20"/>
                <w:szCs w:val="20"/>
              </w:rPr>
              <w:t>0,00</w:t>
            </w:r>
            <w:r>
              <w:t xml:space="preserve"> </w:t>
            </w:r>
          </w:p>
        </w:tc>
        <w:tc>
          <w:tcPr>
            <w:tcW w:w="825" w:type="pct"/>
            <w:shd w:val="clear" w:color="auto" w:fill="EFEFEF"/>
            <w:noWrap/>
            <w:vAlign w:val="center"/>
            <w:hideMark/>
          </w:tcPr>
          <w:p w14:paraId="04333F60" w14:textId="77777777" w:rsidR="002B343F" w:rsidRDefault="002B343F" w:rsidP="002B343F">
            <w:pPr>
              <w:jc w:val="right"/>
            </w:pPr>
            <w:r>
              <w:rPr>
                <w:sz w:val="20"/>
                <w:szCs w:val="20"/>
              </w:rPr>
              <w:t>2 500,00</w:t>
            </w:r>
            <w:r>
              <w:t xml:space="preserve"> </w:t>
            </w:r>
          </w:p>
        </w:tc>
        <w:tc>
          <w:tcPr>
            <w:tcW w:w="838" w:type="pct"/>
            <w:shd w:val="clear" w:color="auto" w:fill="EFEFEF"/>
            <w:noWrap/>
            <w:vAlign w:val="center"/>
            <w:hideMark/>
          </w:tcPr>
          <w:p w14:paraId="3D12F8C0" w14:textId="77777777" w:rsidR="002B343F" w:rsidRDefault="002B343F" w:rsidP="002B343F">
            <w:pPr>
              <w:jc w:val="right"/>
            </w:pPr>
            <w:r>
              <w:rPr>
                <w:sz w:val="20"/>
                <w:szCs w:val="20"/>
              </w:rPr>
              <w:t>2 500,00</w:t>
            </w:r>
            <w:r>
              <w:t xml:space="preserve"> </w:t>
            </w:r>
          </w:p>
        </w:tc>
        <w:tc>
          <w:tcPr>
            <w:tcW w:w="601" w:type="pct"/>
            <w:shd w:val="clear" w:color="auto" w:fill="EFEFEF"/>
            <w:noWrap/>
            <w:vAlign w:val="center"/>
            <w:hideMark/>
          </w:tcPr>
          <w:p w14:paraId="1BDDC467" w14:textId="77777777" w:rsidR="002B343F" w:rsidRDefault="002B343F" w:rsidP="002B343F">
            <w:pPr>
              <w:jc w:val="right"/>
            </w:pPr>
            <w:r>
              <w:rPr>
                <w:sz w:val="20"/>
                <w:szCs w:val="20"/>
              </w:rPr>
              <w:t>100,00</w:t>
            </w:r>
            <w:r>
              <w:t xml:space="preserve"> </w:t>
            </w:r>
          </w:p>
        </w:tc>
        <w:tc>
          <w:tcPr>
            <w:tcW w:w="803" w:type="pct"/>
            <w:vMerge/>
            <w:shd w:val="clear" w:color="auto" w:fill="EFEFEF"/>
            <w:vAlign w:val="center"/>
            <w:hideMark/>
          </w:tcPr>
          <w:p w14:paraId="25C4776A" w14:textId="77777777" w:rsidR="002B343F" w:rsidRDefault="002B343F" w:rsidP="002B343F">
            <w:pPr>
              <w:rPr>
                <w:sz w:val="24"/>
                <w:szCs w:val="24"/>
              </w:rPr>
            </w:pPr>
          </w:p>
        </w:tc>
      </w:tr>
    </w:tbl>
    <w:p w14:paraId="325E5C39" w14:textId="77777777" w:rsidR="002B343F" w:rsidRDefault="002B343F" w:rsidP="002B343F">
      <w:pPr>
        <w:pStyle w:val="Normlnywebov"/>
        <w:spacing w:after="0"/>
        <w:rPr>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86"/>
        <w:gridCol w:w="646"/>
        <w:gridCol w:w="1534"/>
        <w:gridCol w:w="1441"/>
        <w:gridCol w:w="4159"/>
      </w:tblGrid>
      <w:tr w:rsidR="002B343F" w14:paraId="643A6A4B" w14:textId="77777777" w:rsidTr="002B343F">
        <w:trPr>
          <w:trHeight w:hRule="exact" w:val="284"/>
          <w:tblCellSpacing w:w="15" w:type="dxa"/>
        </w:trPr>
        <w:tc>
          <w:tcPr>
            <w:tcW w:w="0" w:type="auto"/>
            <w:shd w:val="clear" w:color="auto" w:fill="C2D69B"/>
            <w:vAlign w:val="center"/>
            <w:hideMark/>
          </w:tcPr>
          <w:p w14:paraId="6904CE25" w14:textId="77777777" w:rsidR="002B343F" w:rsidRDefault="002B343F" w:rsidP="002B343F">
            <w:r>
              <w:rPr>
                <w:b/>
                <w:bCs/>
                <w:sz w:val="20"/>
                <w:szCs w:val="20"/>
              </w:rPr>
              <w:t>Zodpovednosť</w:t>
            </w:r>
          </w:p>
        </w:tc>
        <w:tc>
          <w:tcPr>
            <w:tcW w:w="0" w:type="auto"/>
            <w:gridSpan w:val="4"/>
            <w:shd w:val="clear" w:color="auto" w:fill="C2D69B"/>
            <w:vAlign w:val="center"/>
            <w:hideMark/>
          </w:tcPr>
          <w:p w14:paraId="786560AB" w14:textId="77777777" w:rsidR="002B343F" w:rsidRDefault="002B343F" w:rsidP="002B343F">
            <w:r>
              <w:rPr>
                <w:sz w:val="20"/>
                <w:szCs w:val="20"/>
              </w:rPr>
              <w:t>Odbor školstva, mládeže a športu</w:t>
            </w:r>
            <w:r>
              <w:t xml:space="preserve"> </w:t>
            </w:r>
          </w:p>
        </w:tc>
      </w:tr>
      <w:tr w:rsidR="002B343F" w14:paraId="4C9DE380" w14:textId="77777777" w:rsidTr="002B343F">
        <w:trPr>
          <w:trHeight w:hRule="exact" w:val="284"/>
          <w:tblCellSpacing w:w="15" w:type="dxa"/>
        </w:trPr>
        <w:tc>
          <w:tcPr>
            <w:tcW w:w="0" w:type="auto"/>
            <w:shd w:val="clear" w:color="auto" w:fill="C2D69B"/>
            <w:vAlign w:val="center"/>
            <w:hideMark/>
          </w:tcPr>
          <w:p w14:paraId="300CA7EC" w14:textId="77777777" w:rsidR="002B343F" w:rsidRDefault="002B343F" w:rsidP="002B343F">
            <w:r>
              <w:rPr>
                <w:b/>
                <w:bCs/>
                <w:sz w:val="20"/>
                <w:szCs w:val="20"/>
              </w:rPr>
              <w:t>Cieľ</w:t>
            </w:r>
          </w:p>
        </w:tc>
        <w:tc>
          <w:tcPr>
            <w:tcW w:w="0" w:type="auto"/>
            <w:gridSpan w:val="4"/>
            <w:shd w:val="clear" w:color="auto" w:fill="C2D69B"/>
            <w:vAlign w:val="center"/>
            <w:hideMark/>
          </w:tcPr>
          <w:p w14:paraId="7092D90E" w14:textId="77777777" w:rsidR="002B343F" w:rsidRDefault="002B343F" w:rsidP="002B343F">
            <w:r>
              <w:rPr>
                <w:sz w:val="20"/>
                <w:szCs w:val="20"/>
              </w:rPr>
              <w:t>Zabezpečiť podporu rôznorodých športových aktivít na území BSK</w:t>
            </w:r>
            <w:r>
              <w:t xml:space="preserve"> </w:t>
            </w:r>
          </w:p>
        </w:tc>
      </w:tr>
      <w:tr w:rsidR="002B343F" w14:paraId="29C3FFBD" w14:textId="77777777" w:rsidTr="002B343F">
        <w:trPr>
          <w:trHeight w:hRule="exact" w:val="284"/>
          <w:tblCellSpacing w:w="15" w:type="dxa"/>
        </w:trPr>
        <w:tc>
          <w:tcPr>
            <w:tcW w:w="0" w:type="auto"/>
            <w:shd w:val="clear" w:color="auto" w:fill="C2D69B"/>
            <w:vAlign w:val="center"/>
            <w:hideMark/>
          </w:tcPr>
          <w:p w14:paraId="602D7140" w14:textId="77777777" w:rsidR="002B343F" w:rsidRDefault="002B343F" w:rsidP="002B343F">
            <w:r>
              <w:rPr>
                <w:b/>
                <w:bCs/>
                <w:sz w:val="20"/>
                <w:szCs w:val="20"/>
              </w:rPr>
              <w:t>Merateľný ukazovateľ</w:t>
            </w:r>
          </w:p>
        </w:tc>
        <w:tc>
          <w:tcPr>
            <w:tcW w:w="0" w:type="auto"/>
            <w:gridSpan w:val="4"/>
            <w:shd w:val="clear" w:color="auto" w:fill="C2D69B"/>
            <w:vAlign w:val="center"/>
            <w:hideMark/>
          </w:tcPr>
          <w:p w14:paraId="4A5E9697" w14:textId="77777777" w:rsidR="002B343F" w:rsidRDefault="002B343F" w:rsidP="002B343F">
            <w:r>
              <w:rPr>
                <w:sz w:val="20"/>
                <w:szCs w:val="20"/>
              </w:rPr>
              <w:t>Počet podporených športových aktivít organizovaných školami</w:t>
            </w:r>
            <w:r>
              <w:t xml:space="preserve"> </w:t>
            </w:r>
          </w:p>
        </w:tc>
      </w:tr>
      <w:tr w:rsidR="002B343F" w14:paraId="381F8026" w14:textId="77777777" w:rsidTr="002B343F">
        <w:trPr>
          <w:trHeight w:hRule="exact" w:val="284"/>
          <w:tblCellSpacing w:w="15" w:type="dxa"/>
        </w:trPr>
        <w:tc>
          <w:tcPr>
            <w:tcW w:w="0" w:type="auto"/>
            <w:shd w:val="clear" w:color="auto" w:fill="C2D69B"/>
            <w:vAlign w:val="center"/>
            <w:hideMark/>
          </w:tcPr>
          <w:p w14:paraId="5F36CA2D" w14:textId="77777777" w:rsidR="002B343F" w:rsidRDefault="002B343F" w:rsidP="002B343F">
            <w:pPr>
              <w:jc w:val="center"/>
            </w:pPr>
            <w:r>
              <w:rPr>
                <w:b/>
                <w:bCs/>
                <w:sz w:val="20"/>
                <w:szCs w:val="20"/>
              </w:rPr>
              <w:t>Rok</w:t>
            </w:r>
          </w:p>
        </w:tc>
        <w:tc>
          <w:tcPr>
            <w:tcW w:w="0" w:type="auto"/>
            <w:shd w:val="clear" w:color="auto" w:fill="C2D69B"/>
            <w:vAlign w:val="center"/>
            <w:hideMark/>
          </w:tcPr>
          <w:p w14:paraId="53F71C5A" w14:textId="77777777" w:rsidR="002B343F" w:rsidRDefault="002B343F" w:rsidP="002B343F">
            <w:pPr>
              <w:jc w:val="center"/>
            </w:pPr>
            <w:r>
              <w:rPr>
                <w:b/>
                <w:bCs/>
                <w:sz w:val="20"/>
                <w:szCs w:val="20"/>
              </w:rPr>
              <w:t>Plán</w:t>
            </w:r>
          </w:p>
        </w:tc>
        <w:tc>
          <w:tcPr>
            <w:tcW w:w="0" w:type="auto"/>
            <w:shd w:val="clear" w:color="auto" w:fill="C2D69B"/>
            <w:vAlign w:val="center"/>
            <w:hideMark/>
          </w:tcPr>
          <w:p w14:paraId="4A079A23" w14:textId="77777777" w:rsidR="002B343F" w:rsidRDefault="002B343F" w:rsidP="002B343F">
            <w:pPr>
              <w:jc w:val="center"/>
            </w:pPr>
            <w:r>
              <w:rPr>
                <w:b/>
                <w:bCs/>
                <w:sz w:val="20"/>
                <w:szCs w:val="20"/>
              </w:rPr>
              <w:t>Skutočnosť</w:t>
            </w:r>
          </w:p>
        </w:tc>
        <w:tc>
          <w:tcPr>
            <w:tcW w:w="0" w:type="auto"/>
            <w:shd w:val="clear" w:color="auto" w:fill="C2D69B"/>
            <w:vAlign w:val="center"/>
            <w:hideMark/>
          </w:tcPr>
          <w:p w14:paraId="20B10AB5" w14:textId="77777777" w:rsidR="002B343F" w:rsidRDefault="002B343F" w:rsidP="002B343F">
            <w:pPr>
              <w:jc w:val="center"/>
            </w:pPr>
            <w:r>
              <w:rPr>
                <w:b/>
                <w:bCs/>
                <w:sz w:val="20"/>
                <w:szCs w:val="20"/>
              </w:rPr>
              <w:t>Plnenie</w:t>
            </w:r>
          </w:p>
        </w:tc>
        <w:tc>
          <w:tcPr>
            <w:tcW w:w="2000" w:type="pct"/>
            <w:shd w:val="clear" w:color="auto" w:fill="C2D69B"/>
            <w:vAlign w:val="center"/>
            <w:hideMark/>
          </w:tcPr>
          <w:p w14:paraId="42F47B00" w14:textId="77777777" w:rsidR="002B343F" w:rsidRDefault="002B343F" w:rsidP="002B343F">
            <w:r>
              <w:rPr>
                <w:b/>
                <w:bCs/>
                <w:sz w:val="20"/>
                <w:szCs w:val="20"/>
              </w:rPr>
              <w:t>Poznámka</w:t>
            </w:r>
          </w:p>
        </w:tc>
      </w:tr>
      <w:tr w:rsidR="002B343F" w14:paraId="6FD47B9E" w14:textId="77777777" w:rsidTr="002B343F">
        <w:trPr>
          <w:trHeight w:hRule="exact" w:val="284"/>
          <w:tblCellSpacing w:w="15" w:type="dxa"/>
        </w:trPr>
        <w:tc>
          <w:tcPr>
            <w:tcW w:w="0" w:type="auto"/>
            <w:shd w:val="clear" w:color="auto" w:fill="C2D69B"/>
            <w:vAlign w:val="center"/>
            <w:hideMark/>
          </w:tcPr>
          <w:p w14:paraId="2B8400C8" w14:textId="77777777" w:rsidR="002B343F" w:rsidRDefault="002B343F" w:rsidP="002B343F">
            <w:pPr>
              <w:jc w:val="center"/>
            </w:pPr>
            <w:r>
              <w:rPr>
                <w:sz w:val="20"/>
                <w:szCs w:val="20"/>
              </w:rPr>
              <w:t>2020</w:t>
            </w:r>
            <w:r>
              <w:t xml:space="preserve"> </w:t>
            </w:r>
          </w:p>
        </w:tc>
        <w:tc>
          <w:tcPr>
            <w:tcW w:w="0" w:type="auto"/>
            <w:shd w:val="clear" w:color="auto" w:fill="C2D69B"/>
            <w:noWrap/>
            <w:vAlign w:val="center"/>
            <w:hideMark/>
          </w:tcPr>
          <w:p w14:paraId="021EBD5F" w14:textId="77777777" w:rsidR="002B343F" w:rsidRDefault="002B343F" w:rsidP="002B343F">
            <w:pPr>
              <w:jc w:val="center"/>
            </w:pPr>
            <w:r>
              <w:rPr>
                <w:sz w:val="20"/>
                <w:szCs w:val="20"/>
              </w:rPr>
              <w:t> 150</w:t>
            </w:r>
            <w:r>
              <w:t xml:space="preserve"> </w:t>
            </w:r>
          </w:p>
        </w:tc>
        <w:tc>
          <w:tcPr>
            <w:tcW w:w="0" w:type="auto"/>
            <w:shd w:val="clear" w:color="auto" w:fill="C2D69B"/>
            <w:noWrap/>
            <w:vAlign w:val="center"/>
            <w:hideMark/>
          </w:tcPr>
          <w:p w14:paraId="70538847" w14:textId="77777777" w:rsidR="002B343F" w:rsidRDefault="002B343F" w:rsidP="002B343F">
            <w:pPr>
              <w:jc w:val="center"/>
            </w:pPr>
            <w:r>
              <w:rPr>
                <w:sz w:val="20"/>
                <w:szCs w:val="20"/>
              </w:rPr>
              <w:t>119</w:t>
            </w:r>
            <w:r>
              <w:t xml:space="preserve"> </w:t>
            </w:r>
          </w:p>
        </w:tc>
        <w:tc>
          <w:tcPr>
            <w:tcW w:w="0" w:type="auto"/>
            <w:shd w:val="clear" w:color="auto" w:fill="C2D69B"/>
            <w:vAlign w:val="center"/>
            <w:hideMark/>
          </w:tcPr>
          <w:p w14:paraId="4F9FF06C" w14:textId="77777777" w:rsidR="002B343F" w:rsidRDefault="002B343F" w:rsidP="002B343F">
            <w:pPr>
              <w:jc w:val="center"/>
            </w:pPr>
            <w:r>
              <w:rPr>
                <w:sz w:val="20"/>
                <w:szCs w:val="20"/>
              </w:rPr>
              <w:t>Nesplnené</w:t>
            </w:r>
          </w:p>
        </w:tc>
        <w:tc>
          <w:tcPr>
            <w:tcW w:w="0" w:type="auto"/>
            <w:shd w:val="clear" w:color="auto" w:fill="C2D69B"/>
            <w:vAlign w:val="center"/>
            <w:hideMark/>
          </w:tcPr>
          <w:p w14:paraId="45D74DE7" w14:textId="77777777" w:rsidR="002B343F" w:rsidRDefault="002B343F" w:rsidP="002B343F">
            <w:r>
              <w:rPr>
                <w:sz w:val="20"/>
                <w:szCs w:val="20"/>
              </w:rPr>
              <w:t>Z dôvodu pandémie COVID-19</w:t>
            </w:r>
          </w:p>
        </w:tc>
      </w:tr>
      <w:tr w:rsidR="002B343F" w14:paraId="638D4CA9" w14:textId="77777777" w:rsidTr="002B343F">
        <w:trPr>
          <w:trHeight w:hRule="exact" w:val="284"/>
          <w:tblCellSpacing w:w="15" w:type="dxa"/>
        </w:trPr>
        <w:tc>
          <w:tcPr>
            <w:tcW w:w="0" w:type="auto"/>
            <w:shd w:val="clear" w:color="auto" w:fill="C2D69B"/>
            <w:vAlign w:val="center"/>
            <w:hideMark/>
          </w:tcPr>
          <w:p w14:paraId="45976165" w14:textId="77777777" w:rsidR="002B343F" w:rsidRDefault="002B343F" w:rsidP="002B343F">
            <w:pPr>
              <w:rPr>
                <w:sz w:val="24"/>
                <w:szCs w:val="24"/>
              </w:rPr>
            </w:pPr>
            <w:r>
              <w:rPr>
                <w:b/>
                <w:bCs/>
                <w:sz w:val="20"/>
                <w:szCs w:val="20"/>
              </w:rPr>
              <w:t>Merateľný ukazovateľ</w:t>
            </w:r>
          </w:p>
        </w:tc>
        <w:tc>
          <w:tcPr>
            <w:tcW w:w="0" w:type="auto"/>
            <w:gridSpan w:val="4"/>
            <w:shd w:val="clear" w:color="auto" w:fill="C2D69B"/>
            <w:vAlign w:val="center"/>
            <w:hideMark/>
          </w:tcPr>
          <w:p w14:paraId="5B80496A" w14:textId="77777777" w:rsidR="002B343F" w:rsidRDefault="002B343F" w:rsidP="002B343F">
            <w:r>
              <w:rPr>
                <w:sz w:val="20"/>
                <w:szCs w:val="20"/>
              </w:rPr>
              <w:t>Počet podporených ostatných aktivít</w:t>
            </w:r>
            <w:r>
              <w:t xml:space="preserve"> </w:t>
            </w:r>
          </w:p>
        </w:tc>
      </w:tr>
      <w:tr w:rsidR="002B343F" w14:paraId="22311143" w14:textId="77777777" w:rsidTr="002B343F">
        <w:trPr>
          <w:trHeight w:hRule="exact" w:val="284"/>
          <w:tblCellSpacing w:w="15" w:type="dxa"/>
        </w:trPr>
        <w:tc>
          <w:tcPr>
            <w:tcW w:w="0" w:type="auto"/>
            <w:shd w:val="clear" w:color="auto" w:fill="C2D69B"/>
            <w:vAlign w:val="center"/>
            <w:hideMark/>
          </w:tcPr>
          <w:p w14:paraId="3EC2D17A" w14:textId="77777777" w:rsidR="002B343F" w:rsidRDefault="002B343F" w:rsidP="002B343F">
            <w:pPr>
              <w:jc w:val="center"/>
            </w:pPr>
            <w:r>
              <w:rPr>
                <w:b/>
                <w:bCs/>
                <w:sz w:val="20"/>
                <w:szCs w:val="20"/>
              </w:rPr>
              <w:t>Rok</w:t>
            </w:r>
          </w:p>
        </w:tc>
        <w:tc>
          <w:tcPr>
            <w:tcW w:w="0" w:type="auto"/>
            <w:shd w:val="clear" w:color="auto" w:fill="C2D69B"/>
            <w:vAlign w:val="center"/>
            <w:hideMark/>
          </w:tcPr>
          <w:p w14:paraId="52EB063E" w14:textId="77777777" w:rsidR="002B343F" w:rsidRDefault="002B343F" w:rsidP="002B343F">
            <w:pPr>
              <w:jc w:val="center"/>
            </w:pPr>
            <w:r>
              <w:rPr>
                <w:b/>
                <w:bCs/>
                <w:sz w:val="20"/>
                <w:szCs w:val="20"/>
              </w:rPr>
              <w:t>Plán</w:t>
            </w:r>
          </w:p>
        </w:tc>
        <w:tc>
          <w:tcPr>
            <w:tcW w:w="0" w:type="auto"/>
            <w:shd w:val="clear" w:color="auto" w:fill="C2D69B"/>
            <w:vAlign w:val="center"/>
            <w:hideMark/>
          </w:tcPr>
          <w:p w14:paraId="1D5B58F5" w14:textId="77777777" w:rsidR="002B343F" w:rsidRDefault="002B343F" w:rsidP="002B343F">
            <w:pPr>
              <w:jc w:val="center"/>
            </w:pPr>
            <w:r>
              <w:rPr>
                <w:b/>
                <w:bCs/>
                <w:sz w:val="20"/>
                <w:szCs w:val="20"/>
              </w:rPr>
              <w:t>Skutočnosť</w:t>
            </w:r>
          </w:p>
        </w:tc>
        <w:tc>
          <w:tcPr>
            <w:tcW w:w="0" w:type="auto"/>
            <w:shd w:val="clear" w:color="auto" w:fill="C2D69B"/>
            <w:vAlign w:val="center"/>
            <w:hideMark/>
          </w:tcPr>
          <w:p w14:paraId="54708013" w14:textId="77777777" w:rsidR="002B343F" w:rsidRDefault="002B343F" w:rsidP="002B343F">
            <w:pPr>
              <w:jc w:val="center"/>
            </w:pPr>
            <w:r>
              <w:rPr>
                <w:b/>
                <w:bCs/>
                <w:sz w:val="20"/>
                <w:szCs w:val="20"/>
              </w:rPr>
              <w:t>Plnenie</w:t>
            </w:r>
          </w:p>
        </w:tc>
        <w:tc>
          <w:tcPr>
            <w:tcW w:w="2000" w:type="pct"/>
            <w:shd w:val="clear" w:color="auto" w:fill="C2D69B"/>
            <w:vAlign w:val="center"/>
            <w:hideMark/>
          </w:tcPr>
          <w:p w14:paraId="7AEE4745" w14:textId="77777777" w:rsidR="002B343F" w:rsidRDefault="002B343F" w:rsidP="002B343F">
            <w:r>
              <w:rPr>
                <w:b/>
                <w:bCs/>
                <w:sz w:val="20"/>
                <w:szCs w:val="20"/>
              </w:rPr>
              <w:t>Poznámka</w:t>
            </w:r>
          </w:p>
        </w:tc>
      </w:tr>
      <w:tr w:rsidR="002B343F" w14:paraId="14EA0DED" w14:textId="77777777" w:rsidTr="002B343F">
        <w:trPr>
          <w:trHeight w:hRule="exact" w:val="284"/>
          <w:tblCellSpacing w:w="15" w:type="dxa"/>
        </w:trPr>
        <w:tc>
          <w:tcPr>
            <w:tcW w:w="0" w:type="auto"/>
            <w:shd w:val="clear" w:color="auto" w:fill="C2D69B"/>
            <w:vAlign w:val="center"/>
            <w:hideMark/>
          </w:tcPr>
          <w:p w14:paraId="4F700018" w14:textId="77777777" w:rsidR="002B343F" w:rsidRDefault="002B343F" w:rsidP="002B343F">
            <w:pPr>
              <w:jc w:val="center"/>
            </w:pPr>
            <w:r>
              <w:rPr>
                <w:sz w:val="20"/>
                <w:szCs w:val="20"/>
              </w:rPr>
              <w:t>2020</w:t>
            </w:r>
            <w:r>
              <w:t xml:space="preserve"> </w:t>
            </w:r>
          </w:p>
        </w:tc>
        <w:tc>
          <w:tcPr>
            <w:tcW w:w="0" w:type="auto"/>
            <w:shd w:val="clear" w:color="auto" w:fill="C2D69B"/>
            <w:noWrap/>
            <w:vAlign w:val="center"/>
            <w:hideMark/>
          </w:tcPr>
          <w:p w14:paraId="16C080DF" w14:textId="77777777" w:rsidR="002B343F" w:rsidRDefault="002B343F" w:rsidP="002B343F">
            <w:pPr>
              <w:jc w:val="center"/>
            </w:pPr>
            <w:r>
              <w:rPr>
                <w:sz w:val="20"/>
                <w:szCs w:val="20"/>
              </w:rPr>
              <w:t> 17</w:t>
            </w:r>
            <w:r>
              <w:t xml:space="preserve"> </w:t>
            </w:r>
          </w:p>
        </w:tc>
        <w:tc>
          <w:tcPr>
            <w:tcW w:w="0" w:type="auto"/>
            <w:shd w:val="clear" w:color="auto" w:fill="C2D69B"/>
            <w:noWrap/>
            <w:vAlign w:val="center"/>
            <w:hideMark/>
          </w:tcPr>
          <w:p w14:paraId="721CB0EB" w14:textId="77777777" w:rsidR="002B343F" w:rsidRDefault="002B343F" w:rsidP="002B343F">
            <w:pPr>
              <w:jc w:val="center"/>
            </w:pPr>
            <w:r>
              <w:rPr>
                <w:sz w:val="20"/>
                <w:szCs w:val="20"/>
              </w:rPr>
              <w:t> 11</w:t>
            </w:r>
            <w:r>
              <w:t xml:space="preserve"> </w:t>
            </w:r>
          </w:p>
        </w:tc>
        <w:tc>
          <w:tcPr>
            <w:tcW w:w="0" w:type="auto"/>
            <w:shd w:val="clear" w:color="auto" w:fill="C2D69B"/>
            <w:vAlign w:val="center"/>
            <w:hideMark/>
          </w:tcPr>
          <w:p w14:paraId="51BC1344" w14:textId="77777777" w:rsidR="002B343F" w:rsidRDefault="002B343F" w:rsidP="002B343F">
            <w:pPr>
              <w:jc w:val="center"/>
            </w:pPr>
            <w:r>
              <w:rPr>
                <w:sz w:val="20"/>
                <w:szCs w:val="20"/>
              </w:rPr>
              <w:t>Nesplnené</w:t>
            </w:r>
            <w:r>
              <w:t xml:space="preserve"> </w:t>
            </w:r>
          </w:p>
        </w:tc>
        <w:tc>
          <w:tcPr>
            <w:tcW w:w="0" w:type="auto"/>
            <w:shd w:val="clear" w:color="auto" w:fill="C2D69B"/>
            <w:vAlign w:val="center"/>
            <w:hideMark/>
          </w:tcPr>
          <w:p w14:paraId="373C071F" w14:textId="77777777" w:rsidR="002B343F" w:rsidRDefault="002B343F" w:rsidP="002B343F">
            <w:r>
              <w:rPr>
                <w:sz w:val="20"/>
                <w:szCs w:val="20"/>
              </w:rPr>
              <w:t>Z dôvodu pandémie COVID-19</w:t>
            </w:r>
          </w:p>
        </w:tc>
      </w:tr>
    </w:tbl>
    <w:p w14:paraId="7224F285" w14:textId="36AC8D55" w:rsidR="002B343F" w:rsidRDefault="002B343F" w:rsidP="002B343F">
      <w:pPr>
        <w:pStyle w:val="Normlnywebov"/>
        <w:jc w:val="both"/>
        <w:rPr>
          <w:rFonts w:asciiTheme="minorHAnsi" w:hAnsiTheme="minorHAnsi" w:cstheme="minorHAnsi"/>
          <w:sz w:val="22"/>
          <w:szCs w:val="22"/>
        </w:rPr>
      </w:pPr>
      <w:r w:rsidRPr="003D564D">
        <w:rPr>
          <w:rFonts w:asciiTheme="minorHAnsi" w:hAnsiTheme="minorHAnsi" w:cstheme="minorHAnsi"/>
          <w:b/>
          <w:bCs/>
          <w:sz w:val="22"/>
          <w:szCs w:val="22"/>
        </w:rPr>
        <w:t xml:space="preserve">Komentár: </w:t>
      </w:r>
      <w:r w:rsidRPr="00337A61">
        <w:rPr>
          <w:rFonts w:asciiTheme="minorHAnsi" w:hAnsiTheme="minorHAnsi" w:cstheme="minorHAnsi"/>
          <w:sz w:val="22"/>
          <w:szCs w:val="22"/>
        </w:rPr>
        <w:t xml:space="preserve">Z programu boli čerpané finančné prostriedky na náklady spojené so športovými </w:t>
      </w:r>
      <w:proofErr w:type="spellStart"/>
      <w:r w:rsidRPr="00337A61">
        <w:rPr>
          <w:rFonts w:asciiTheme="minorHAnsi" w:hAnsiTheme="minorHAnsi" w:cstheme="minorHAnsi"/>
          <w:sz w:val="22"/>
          <w:szCs w:val="22"/>
        </w:rPr>
        <w:t>mimovyučovacími</w:t>
      </w:r>
      <w:proofErr w:type="spellEnd"/>
      <w:r w:rsidRPr="00337A61">
        <w:rPr>
          <w:rFonts w:asciiTheme="minorHAnsi" w:hAnsiTheme="minorHAnsi" w:cstheme="minorHAnsi"/>
          <w:sz w:val="22"/>
          <w:szCs w:val="22"/>
        </w:rPr>
        <w:t xml:space="preserve"> aktivitami na školách. Realizoval sa projekt Otvorená škola, z ktorého bol financovaný nákup športového náradia a náčinia, športového materiálu, bežná údržba športových zariadení a športového náradia, organizácia celoškolských aktivít, nákup dresov, vybavenie krajských centier športu a sprístupnenie vonkajších areálov verejnosti. Školské súťaže sa realizovali len do mesiaca marec.</w:t>
      </w:r>
    </w:p>
    <w:p w14:paraId="0E78C5B7" w14:textId="77777777" w:rsidR="002B343F" w:rsidRDefault="002B343F" w:rsidP="002B343F">
      <w:pPr>
        <w:pStyle w:val="Normlnywebov"/>
        <w:jc w:val="both"/>
        <w:rPr>
          <w:rFonts w:asciiTheme="minorHAnsi" w:hAnsiTheme="minorHAnsi" w:cstheme="minorHAnsi"/>
          <w:sz w:val="22"/>
          <w:szCs w:val="22"/>
        </w:rPr>
      </w:pPr>
      <w:r w:rsidRPr="00337A61">
        <w:rPr>
          <w:rFonts w:asciiTheme="minorHAnsi" w:hAnsiTheme="minorHAnsi" w:cstheme="minorHAnsi"/>
          <w:sz w:val="22"/>
          <w:szCs w:val="22"/>
        </w:rPr>
        <w:t xml:space="preserve">V rámci podpory mládeže boli finančné prostriedky čerpané na projekt Škola škole, ktorého cieľom je vzájomná spolupráca medzi školami a školskými zariadeniami, za účelom vzájomného prospechu zo spoločných aktivít. Podporené boli školy, ktoré sa zapojili do programov na rozvoj zručností a vedomostí učiteľov a žiakov. Jedným z takých programov je Junior </w:t>
      </w:r>
      <w:proofErr w:type="spellStart"/>
      <w:r w:rsidRPr="00337A61">
        <w:rPr>
          <w:rFonts w:asciiTheme="minorHAnsi" w:hAnsiTheme="minorHAnsi" w:cstheme="minorHAnsi"/>
          <w:sz w:val="22"/>
          <w:szCs w:val="22"/>
        </w:rPr>
        <w:t>Achievement</w:t>
      </w:r>
      <w:proofErr w:type="spellEnd"/>
      <w:r w:rsidRPr="00337A61">
        <w:rPr>
          <w:rFonts w:asciiTheme="minorHAnsi" w:hAnsiTheme="minorHAnsi" w:cstheme="minorHAnsi"/>
          <w:sz w:val="22"/>
          <w:szCs w:val="22"/>
        </w:rPr>
        <w:t xml:space="preserve"> (JA) Slovensko, ktorý pomáha učiteľom rozvíjať u žiakov stredných škôl podnikavosť, ekonomické myslenie a finančnú gramotnosť. Programy podporujú podnikateľské a ekonomické myslenie a ponúkajú preventívne riešenia pre zamestnanosť mládeže. Finančné prostriedky boli čerpané na úhradu poplatkov za vzdelávanie učiteľov a za zapojenie sa školy do programu. V roku 2020 BSK zakúpilo licencie na program, ktorý mal uľahčovať zavádzanie </w:t>
      </w:r>
      <w:proofErr w:type="spellStart"/>
      <w:r w:rsidRPr="00337A61">
        <w:rPr>
          <w:rFonts w:asciiTheme="minorHAnsi" w:hAnsiTheme="minorHAnsi" w:cstheme="minorHAnsi"/>
          <w:sz w:val="22"/>
          <w:szCs w:val="22"/>
        </w:rPr>
        <w:t>participatívnych</w:t>
      </w:r>
      <w:proofErr w:type="spellEnd"/>
      <w:r w:rsidRPr="00337A61">
        <w:rPr>
          <w:rFonts w:asciiTheme="minorHAnsi" w:hAnsiTheme="minorHAnsi" w:cstheme="minorHAnsi"/>
          <w:sz w:val="22"/>
          <w:szCs w:val="22"/>
        </w:rPr>
        <w:t xml:space="preserve"> rozpočtov na vybraných stredných školách (výzva BSK v spolupráci s Úradom splnomocnenca vlády SR pre rozvoj občianskej spoločnosti). Zámerom BSK bolo touto výzvou podporiť aktívne občianstvo mladých ľudí - žiakov stredných škôl v zriaďovateľskej pôsobnosti kraja. Z dôvodu opatrení súvisiacich s pandémiou boli tieto aktivity preložené na rok 2021.</w:t>
      </w:r>
    </w:p>
    <w:p w14:paraId="4A45B873" w14:textId="77777777" w:rsidR="002B343F" w:rsidRPr="00337A61" w:rsidRDefault="002B343F" w:rsidP="002B343F">
      <w:pPr>
        <w:pStyle w:val="Normlnywebov"/>
        <w:jc w:val="both"/>
        <w:rPr>
          <w:rFonts w:asciiTheme="minorHAnsi" w:hAnsiTheme="minorHAnsi" w:cstheme="minorHAnsi"/>
          <w:sz w:val="22"/>
          <w:szCs w:val="22"/>
        </w:rPr>
      </w:pPr>
      <w:r w:rsidRPr="00337A61">
        <w:rPr>
          <w:rFonts w:asciiTheme="minorHAnsi" w:hAnsiTheme="minorHAnsi" w:cstheme="minorHAnsi"/>
          <w:sz w:val="22"/>
          <w:szCs w:val="22"/>
        </w:rPr>
        <w:t>Z dôvodu pandémie COVID-19 boli všetky aktivity so zameraním na šport ako aj mládež realizované v menšom rozsahu ako bolo plánované. Finančné prostriedky, ktoré nemohli byť použité na plánované aktivity, boli použité na podporu vzdelávacích aktivít mládeže, technické vybavenie záujmovej činnosti a časť bola presunutá na program 8.9.2 Ostatné výdavky na originálne kompetencie.</w:t>
      </w:r>
    </w:p>
    <w:tbl>
      <w:tblPr>
        <w:tblW w:w="4980" w:type="pct"/>
        <w:tblCellMar>
          <w:left w:w="70" w:type="dxa"/>
          <w:right w:w="70" w:type="dxa"/>
        </w:tblCellMar>
        <w:tblLook w:val="04A0" w:firstRow="1" w:lastRow="0" w:firstColumn="1" w:lastColumn="0" w:noHBand="0" w:noVBand="1"/>
      </w:tblPr>
      <w:tblGrid>
        <w:gridCol w:w="4372"/>
        <w:gridCol w:w="3530"/>
        <w:gridCol w:w="2512"/>
      </w:tblGrid>
      <w:tr w:rsidR="002B343F" w:rsidRPr="006D7F1F" w14:paraId="75635A8F" w14:textId="77777777" w:rsidTr="00B912B9">
        <w:trPr>
          <w:trHeight w:val="4"/>
        </w:trPr>
        <w:tc>
          <w:tcPr>
            <w:tcW w:w="2099" w:type="pct"/>
            <w:tcBorders>
              <w:top w:val="single" w:sz="4" w:space="0" w:color="auto"/>
              <w:left w:val="single" w:sz="4" w:space="0" w:color="auto"/>
              <w:bottom w:val="single" w:sz="4" w:space="0" w:color="auto"/>
              <w:right w:val="single" w:sz="4" w:space="0" w:color="auto"/>
            </w:tcBorders>
            <w:shd w:val="clear" w:color="000000" w:fill="F0F0F0"/>
            <w:noWrap/>
            <w:vAlign w:val="center"/>
            <w:hideMark/>
          </w:tcPr>
          <w:p w14:paraId="6FC1EBBE" w14:textId="77777777" w:rsidR="002B343F" w:rsidRPr="006D7F1F" w:rsidRDefault="002B343F" w:rsidP="002B343F">
            <w:pPr>
              <w:spacing w:after="0" w:line="240" w:lineRule="auto"/>
              <w:rPr>
                <w:rFonts w:ascii="Segoe UI" w:hAnsi="Segoe UI" w:cs="Segoe UI"/>
                <w:color w:val="000000"/>
                <w:sz w:val="18"/>
                <w:szCs w:val="18"/>
                <w:lang w:eastAsia="sk-SK"/>
              </w:rPr>
            </w:pPr>
            <w:r w:rsidRPr="006D7F1F">
              <w:rPr>
                <w:rFonts w:ascii="Segoe UI" w:hAnsi="Segoe UI" w:cs="Segoe UI"/>
                <w:color w:val="000000"/>
                <w:sz w:val="18"/>
                <w:szCs w:val="18"/>
                <w:lang w:eastAsia="sk-SK"/>
              </w:rPr>
              <w:t>Názov organizácie</w:t>
            </w:r>
          </w:p>
        </w:tc>
        <w:tc>
          <w:tcPr>
            <w:tcW w:w="1695" w:type="pct"/>
            <w:tcBorders>
              <w:top w:val="single" w:sz="4" w:space="0" w:color="auto"/>
              <w:left w:val="nil"/>
              <w:bottom w:val="single" w:sz="4" w:space="0" w:color="auto"/>
              <w:right w:val="single" w:sz="4" w:space="0" w:color="auto"/>
            </w:tcBorders>
            <w:shd w:val="clear" w:color="000000" w:fill="F0F0F0"/>
            <w:noWrap/>
            <w:vAlign w:val="center"/>
            <w:hideMark/>
          </w:tcPr>
          <w:p w14:paraId="7D7DBB4D" w14:textId="77777777" w:rsidR="002B343F" w:rsidRPr="006D7F1F" w:rsidRDefault="002B343F" w:rsidP="002B343F">
            <w:pPr>
              <w:spacing w:after="0" w:line="240" w:lineRule="auto"/>
              <w:rPr>
                <w:rFonts w:ascii="Segoe UI" w:hAnsi="Segoe UI" w:cs="Segoe UI"/>
                <w:color w:val="000000"/>
                <w:sz w:val="18"/>
                <w:szCs w:val="18"/>
                <w:lang w:eastAsia="sk-SK"/>
              </w:rPr>
            </w:pPr>
            <w:r w:rsidRPr="006D7F1F">
              <w:rPr>
                <w:rFonts w:ascii="Segoe UI" w:hAnsi="Segoe UI" w:cs="Segoe UI"/>
                <w:color w:val="000000"/>
                <w:sz w:val="18"/>
                <w:szCs w:val="18"/>
                <w:lang w:eastAsia="sk-SK"/>
              </w:rPr>
              <w:t>účel kapit</w:t>
            </w:r>
            <w:r>
              <w:rPr>
                <w:rFonts w:ascii="Segoe UI" w:hAnsi="Segoe UI" w:cs="Segoe UI"/>
                <w:color w:val="000000"/>
                <w:sz w:val="18"/>
                <w:szCs w:val="18"/>
                <w:lang w:eastAsia="sk-SK"/>
              </w:rPr>
              <w:t>ál</w:t>
            </w:r>
            <w:r w:rsidRPr="006D7F1F">
              <w:rPr>
                <w:rFonts w:ascii="Segoe UI" w:hAnsi="Segoe UI" w:cs="Segoe UI"/>
                <w:color w:val="000000"/>
                <w:sz w:val="18"/>
                <w:szCs w:val="18"/>
                <w:lang w:eastAsia="sk-SK"/>
              </w:rPr>
              <w:t xml:space="preserve">ovej dotácie </w:t>
            </w:r>
            <w:r>
              <w:rPr>
                <w:rFonts w:ascii="Segoe UI" w:hAnsi="Segoe UI" w:cs="Segoe UI"/>
                <w:color w:val="000000"/>
                <w:sz w:val="18"/>
                <w:szCs w:val="18"/>
                <w:lang w:eastAsia="sk-SK"/>
              </w:rPr>
              <w:t xml:space="preserve">z </w:t>
            </w:r>
            <w:r w:rsidRPr="006D7F1F">
              <w:rPr>
                <w:rFonts w:ascii="Segoe UI" w:hAnsi="Segoe UI" w:cs="Segoe UI"/>
                <w:color w:val="000000"/>
                <w:sz w:val="18"/>
                <w:szCs w:val="18"/>
                <w:lang w:eastAsia="sk-SK"/>
              </w:rPr>
              <w:t>BSK</w:t>
            </w:r>
          </w:p>
        </w:tc>
        <w:tc>
          <w:tcPr>
            <w:tcW w:w="1206" w:type="pct"/>
            <w:tcBorders>
              <w:top w:val="single" w:sz="4" w:space="0" w:color="auto"/>
              <w:left w:val="nil"/>
              <w:bottom w:val="single" w:sz="4" w:space="0" w:color="auto"/>
              <w:right w:val="single" w:sz="4" w:space="0" w:color="auto"/>
            </w:tcBorders>
            <w:shd w:val="clear" w:color="000000" w:fill="F0F0F0"/>
            <w:noWrap/>
            <w:vAlign w:val="center"/>
            <w:hideMark/>
          </w:tcPr>
          <w:p w14:paraId="5B876CBC" w14:textId="77777777" w:rsidR="002B343F" w:rsidRPr="006D7F1F" w:rsidRDefault="002B343F" w:rsidP="002B343F">
            <w:pPr>
              <w:spacing w:after="0" w:line="240" w:lineRule="auto"/>
              <w:jc w:val="right"/>
              <w:rPr>
                <w:rFonts w:ascii="Segoe UI" w:hAnsi="Segoe UI" w:cs="Segoe UI"/>
                <w:color w:val="000000"/>
                <w:sz w:val="18"/>
                <w:szCs w:val="18"/>
                <w:lang w:eastAsia="sk-SK"/>
              </w:rPr>
            </w:pPr>
            <w:r w:rsidRPr="006D7F1F">
              <w:rPr>
                <w:rFonts w:ascii="Segoe UI" w:hAnsi="Segoe UI" w:cs="Segoe UI"/>
                <w:color w:val="000000"/>
                <w:sz w:val="18"/>
                <w:szCs w:val="18"/>
                <w:lang w:eastAsia="sk-SK"/>
              </w:rPr>
              <w:t>Suma</w:t>
            </w:r>
            <w:r>
              <w:rPr>
                <w:rFonts w:ascii="Segoe UI" w:hAnsi="Segoe UI" w:cs="Segoe UI"/>
                <w:color w:val="000000"/>
                <w:sz w:val="18"/>
                <w:szCs w:val="18"/>
                <w:lang w:eastAsia="sk-SK"/>
              </w:rPr>
              <w:t xml:space="preserve"> v EUR</w:t>
            </w:r>
          </w:p>
        </w:tc>
      </w:tr>
      <w:tr w:rsidR="002B343F" w:rsidRPr="006D7F1F" w14:paraId="74AE846F" w14:textId="77777777" w:rsidTr="00B912B9">
        <w:trPr>
          <w:trHeight w:val="3"/>
        </w:trPr>
        <w:tc>
          <w:tcPr>
            <w:tcW w:w="2099" w:type="pct"/>
            <w:tcBorders>
              <w:top w:val="nil"/>
              <w:left w:val="single" w:sz="4" w:space="0" w:color="auto"/>
              <w:bottom w:val="single" w:sz="4" w:space="0" w:color="auto"/>
              <w:right w:val="single" w:sz="4" w:space="0" w:color="auto"/>
            </w:tcBorders>
            <w:shd w:val="clear" w:color="auto" w:fill="auto"/>
            <w:noWrap/>
            <w:vAlign w:val="bottom"/>
            <w:hideMark/>
          </w:tcPr>
          <w:p w14:paraId="7F962039" w14:textId="77777777" w:rsidR="002B343F" w:rsidRPr="006D7F1F" w:rsidRDefault="002B343F" w:rsidP="002B343F">
            <w:pPr>
              <w:spacing w:after="0" w:line="240" w:lineRule="auto"/>
              <w:rPr>
                <w:rFonts w:cs="Calibri"/>
                <w:color w:val="000000"/>
                <w:lang w:eastAsia="sk-SK"/>
              </w:rPr>
            </w:pPr>
            <w:r w:rsidRPr="006D7F1F">
              <w:rPr>
                <w:rFonts w:cs="Calibri"/>
                <w:color w:val="000000"/>
                <w:lang w:eastAsia="sk-SK"/>
              </w:rPr>
              <w:t> </w:t>
            </w:r>
          </w:p>
        </w:tc>
        <w:tc>
          <w:tcPr>
            <w:tcW w:w="1695" w:type="pct"/>
            <w:tcBorders>
              <w:top w:val="nil"/>
              <w:left w:val="nil"/>
              <w:bottom w:val="single" w:sz="4" w:space="0" w:color="auto"/>
              <w:right w:val="single" w:sz="4" w:space="0" w:color="auto"/>
            </w:tcBorders>
            <w:shd w:val="clear" w:color="auto" w:fill="auto"/>
            <w:noWrap/>
            <w:vAlign w:val="bottom"/>
            <w:hideMark/>
          </w:tcPr>
          <w:p w14:paraId="3D5F29B6" w14:textId="77777777" w:rsidR="002B343F" w:rsidRPr="006D7F1F" w:rsidRDefault="002B343F" w:rsidP="002B343F">
            <w:pPr>
              <w:spacing w:after="0" w:line="240" w:lineRule="auto"/>
              <w:rPr>
                <w:rFonts w:cs="Calibri"/>
                <w:color w:val="000000"/>
                <w:lang w:eastAsia="sk-SK"/>
              </w:rPr>
            </w:pPr>
            <w:r w:rsidRPr="006D7F1F">
              <w:rPr>
                <w:rFonts w:cs="Calibri"/>
                <w:color w:val="000000"/>
                <w:lang w:eastAsia="sk-SK"/>
              </w:rPr>
              <w:t> </w:t>
            </w:r>
          </w:p>
        </w:tc>
        <w:tc>
          <w:tcPr>
            <w:tcW w:w="1206" w:type="pct"/>
            <w:tcBorders>
              <w:top w:val="nil"/>
              <w:left w:val="nil"/>
              <w:bottom w:val="single" w:sz="4" w:space="0" w:color="auto"/>
              <w:right w:val="single" w:sz="4" w:space="0" w:color="auto"/>
            </w:tcBorders>
            <w:shd w:val="clear" w:color="000000" w:fill="D7D7D7"/>
            <w:noWrap/>
            <w:hideMark/>
          </w:tcPr>
          <w:p w14:paraId="06D00077" w14:textId="77777777" w:rsidR="002B343F" w:rsidRPr="006D7F1F" w:rsidRDefault="002B343F" w:rsidP="002B343F">
            <w:pPr>
              <w:spacing w:after="0" w:line="240" w:lineRule="auto"/>
              <w:jc w:val="right"/>
              <w:rPr>
                <w:rFonts w:ascii="Segoe UI" w:hAnsi="Segoe UI" w:cs="Segoe UI"/>
                <w:b/>
                <w:bCs/>
                <w:sz w:val="18"/>
                <w:szCs w:val="18"/>
                <w:lang w:eastAsia="sk-SK"/>
              </w:rPr>
            </w:pPr>
            <w:r>
              <w:rPr>
                <w:rFonts w:ascii="Segoe UI" w:hAnsi="Segoe UI" w:cs="Segoe UI"/>
                <w:b/>
                <w:bCs/>
                <w:sz w:val="18"/>
                <w:szCs w:val="18"/>
                <w:lang w:eastAsia="sk-SK"/>
              </w:rPr>
              <w:t>1</w:t>
            </w:r>
            <w:r w:rsidRPr="006D7F1F">
              <w:rPr>
                <w:rFonts w:ascii="Segoe UI" w:hAnsi="Segoe UI" w:cs="Segoe UI"/>
                <w:b/>
                <w:bCs/>
                <w:sz w:val="18"/>
                <w:szCs w:val="18"/>
                <w:lang w:eastAsia="sk-SK"/>
              </w:rPr>
              <w:t xml:space="preserve">0 525,89 </w:t>
            </w:r>
          </w:p>
        </w:tc>
      </w:tr>
      <w:tr w:rsidR="002B343F" w:rsidRPr="006D7F1F" w14:paraId="79693352" w14:textId="77777777" w:rsidTr="00B912B9">
        <w:trPr>
          <w:trHeight w:val="3"/>
        </w:trPr>
        <w:tc>
          <w:tcPr>
            <w:tcW w:w="2099" w:type="pct"/>
            <w:tcBorders>
              <w:top w:val="nil"/>
              <w:left w:val="single" w:sz="4" w:space="0" w:color="auto"/>
              <w:bottom w:val="single" w:sz="4" w:space="0" w:color="auto"/>
              <w:right w:val="single" w:sz="4" w:space="0" w:color="auto"/>
            </w:tcBorders>
            <w:shd w:val="clear" w:color="auto" w:fill="auto"/>
            <w:hideMark/>
          </w:tcPr>
          <w:p w14:paraId="661B80CC" w14:textId="77777777"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 xml:space="preserve">Gymnázium J. </w:t>
            </w:r>
            <w:proofErr w:type="spellStart"/>
            <w:r w:rsidRPr="006D7F1F">
              <w:rPr>
                <w:rFonts w:ascii="Segoe UI" w:hAnsi="Segoe UI" w:cs="Segoe UI"/>
                <w:sz w:val="18"/>
                <w:szCs w:val="18"/>
                <w:lang w:eastAsia="sk-SK"/>
              </w:rPr>
              <w:t>Papánka</w:t>
            </w:r>
            <w:proofErr w:type="spellEnd"/>
            <w:r w:rsidRPr="006D7F1F">
              <w:rPr>
                <w:rFonts w:ascii="Segoe UI" w:hAnsi="Segoe UI" w:cs="Segoe UI"/>
                <w:sz w:val="18"/>
                <w:szCs w:val="18"/>
                <w:lang w:eastAsia="sk-SK"/>
              </w:rPr>
              <w:t xml:space="preserve">, </w:t>
            </w:r>
            <w:proofErr w:type="spellStart"/>
            <w:r w:rsidRPr="006D7F1F">
              <w:rPr>
                <w:rFonts w:ascii="Segoe UI" w:hAnsi="Segoe UI" w:cs="Segoe UI"/>
                <w:sz w:val="18"/>
                <w:szCs w:val="18"/>
                <w:lang w:eastAsia="sk-SK"/>
              </w:rPr>
              <w:t>Vazovova</w:t>
            </w:r>
            <w:proofErr w:type="spellEnd"/>
            <w:r w:rsidRPr="006D7F1F">
              <w:rPr>
                <w:rFonts w:ascii="Segoe UI" w:hAnsi="Segoe UI" w:cs="Segoe UI"/>
                <w:sz w:val="18"/>
                <w:szCs w:val="18"/>
                <w:lang w:eastAsia="sk-SK"/>
              </w:rPr>
              <w:t xml:space="preserve"> 6, Ba</w:t>
            </w:r>
          </w:p>
        </w:tc>
        <w:tc>
          <w:tcPr>
            <w:tcW w:w="1695" w:type="pct"/>
            <w:tcBorders>
              <w:top w:val="nil"/>
              <w:left w:val="nil"/>
              <w:bottom w:val="single" w:sz="4" w:space="0" w:color="auto"/>
              <w:right w:val="single" w:sz="4" w:space="0" w:color="auto"/>
            </w:tcBorders>
            <w:shd w:val="clear" w:color="auto" w:fill="auto"/>
            <w:hideMark/>
          </w:tcPr>
          <w:p w14:paraId="4828F04B" w14:textId="5EFAE169"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nákup farebného laserového zariadenia</w:t>
            </w:r>
          </w:p>
        </w:tc>
        <w:tc>
          <w:tcPr>
            <w:tcW w:w="1206" w:type="pct"/>
            <w:tcBorders>
              <w:top w:val="nil"/>
              <w:left w:val="nil"/>
              <w:bottom w:val="single" w:sz="4" w:space="0" w:color="auto"/>
              <w:right w:val="single" w:sz="4" w:space="0" w:color="auto"/>
            </w:tcBorders>
            <w:shd w:val="clear" w:color="auto" w:fill="auto"/>
            <w:hideMark/>
          </w:tcPr>
          <w:p w14:paraId="65975372" w14:textId="77777777" w:rsidR="002B343F" w:rsidRPr="006D7F1F" w:rsidRDefault="002B343F" w:rsidP="002B343F">
            <w:pPr>
              <w:spacing w:after="0" w:line="240" w:lineRule="auto"/>
              <w:jc w:val="right"/>
              <w:rPr>
                <w:rFonts w:ascii="Segoe UI" w:hAnsi="Segoe UI" w:cs="Segoe UI"/>
                <w:sz w:val="18"/>
                <w:szCs w:val="18"/>
                <w:lang w:eastAsia="sk-SK"/>
              </w:rPr>
            </w:pPr>
            <w:r w:rsidRPr="006D7F1F">
              <w:rPr>
                <w:rFonts w:ascii="Segoe UI" w:hAnsi="Segoe UI" w:cs="Segoe UI"/>
                <w:sz w:val="18"/>
                <w:szCs w:val="18"/>
                <w:lang w:eastAsia="sk-SK"/>
              </w:rPr>
              <w:t xml:space="preserve">    196,38 </w:t>
            </w:r>
          </w:p>
        </w:tc>
      </w:tr>
      <w:tr w:rsidR="002B343F" w:rsidRPr="006D7F1F" w14:paraId="7006DFB7" w14:textId="77777777" w:rsidTr="00B912B9">
        <w:trPr>
          <w:trHeight w:val="3"/>
        </w:trPr>
        <w:tc>
          <w:tcPr>
            <w:tcW w:w="2099" w:type="pct"/>
            <w:tcBorders>
              <w:top w:val="nil"/>
              <w:left w:val="single" w:sz="4" w:space="0" w:color="auto"/>
              <w:bottom w:val="single" w:sz="4" w:space="0" w:color="auto"/>
              <w:right w:val="single" w:sz="4" w:space="0" w:color="auto"/>
            </w:tcBorders>
            <w:shd w:val="clear" w:color="auto" w:fill="auto"/>
            <w:hideMark/>
          </w:tcPr>
          <w:p w14:paraId="53E2DB1B" w14:textId="77777777"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SOŠ hotelových služieb a obchodu, Na Pántoch 9, Ba</w:t>
            </w:r>
          </w:p>
        </w:tc>
        <w:tc>
          <w:tcPr>
            <w:tcW w:w="1695" w:type="pct"/>
            <w:tcBorders>
              <w:top w:val="nil"/>
              <w:left w:val="nil"/>
              <w:bottom w:val="single" w:sz="4" w:space="0" w:color="auto"/>
              <w:right w:val="single" w:sz="4" w:space="0" w:color="auto"/>
            </w:tcBorders>
            <w:shd w:val="clear" w:color="auto" w:fill="auto"/>
            <w:hideMark/>
          </w:tcPr>
          <w:p w14:paraId="40FC80A3" w14:textId="77777777"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 xml:space="preserve">otvorenie školského areálu </w:t>
            </w:r>
          </w:p>
        </w:tc>
        <w:tc>
          <w:tcPr>
            <w:tcW w:w="1206" w:type="pct"/>
            <w:tcBorders>
              <w:top w:val="nil"/>
              <w:left w:val="nil"/>
              <w:bottom w:val="single" w:sz="4" w:space="0" w:color="auto"/>
              <w:right w:val="single" w:sz="4" w:space="0" w:color="auto"/>
            </w:tcBorders>
            <w:shd w:val="clear" w:color="auto" w:fill="auto"/>
            <w:hideMark/>
          </w:tcPr>
          <w:p w14:paraId="31DFC149" w14:textId="77777777" w:rsidR="002B343F" w:rsidRPr="006D7F1F" w:rsidRDefault="002B343F" w:rsidP="002B343F">
            <w:pPr>
              <w:spacing w:after="0" w:line="240" w:lineRule="auto"/>
              <w:jc w:val="right"/>
              <w:rPr>
                <w:rFonts w:ascii="Segoe UI" w:hAnsi="Segoe UI" w:cs="Segoe UI"/>
                <w:sz w:val="18"/>
                <w:szCs w:val="18"/>
                <w:lang w:eastAsia="sk-SK"/>
              </w:rPr>
            </w:pPr>
            <w:r w:rsidRPr="006D7F1F">
              <w:rPr>
                <w:rFonts w:ascii="Segoe UI" w:hAnsi="Segoe UI" w:cs="Segoe UI"/>
                <w:sz w:val="18"/>
                <w:szCs w:val="18"/>
                <w:lang w:eastAsia="sk-SK"/>
              </w:rPr>
              <w:t xml:space="preserve">   2 500,00 </w:t>
            </w:r>
          </w:p>
        </w:tc>
      </w:tr>
      <w:tr w:rsidR="002B343F" w:rsidRPr="006D7F1F" w14:paraId="7277652B" w14:textId="77777777" w:rsidTr="00B912B9">
        <w:trPr>
          <w:trHeight w:val="3"/>
        </w:trPr>
        <w:tc>
          <w:tcPr>
            <w:tcW w:w="2099" w:type="pct"/>
            <w:tcBorders>
              <w:top w:val="nil"/>
              <w:left w:val="single" w:sz="4" w:space="0" w:color="auto"/>
              <w:bottom w:val="single" w:sz="4" w:space="0" w:color="auto"/>
              <w:right w:val="single" w:sz="4" w:space="0" w:color="auto"/>
            </w:tcBorders>
            <w:shd w:val="clear" w:color="auto" w:fill="auto"/>
            <w:hideMark/>
          </w:tcPr>
          <w:p w14:paraId="52C15349" w14:textId="77777777"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SPŠ elektrotechnická, K. Adlera 5, Ba</w:t>
            </w:r>
          </w:p>
        </w:tc>
        <w:tc>
          <w:tcPr>
            <w:tcW w:w="1695" w:type="pct"/>
            <w:tcBorders>
              <w:top w:val="nil"/>
              <w:left w:val="nil"/>
              <w:bottom w:val="single" w:sz="4" w:space="0" w:color="auto"/>
              <w:right w:val="single" w:sz="4" w:space="0" w:color="auto"/>
            </w:tcBorders>
            <w:shd w:val="clear" w:color="auto" w:fill="auto"/>
            <w:hideMark/>
          </w:tcPr>
          <w:p w14:paraId="5DA4EF42" w14:textId="77777777"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obstaranie novej traktorovej kosačky</w:t>
            </w:r>
          </w:p>
        </w:tc>
        <w:tc>
          <w:tcPr>
            <w:tcW w:w="1206" w:type="pct"/>
            <w:tcBorders>
              <w:top w:val="nil"/>
              <w:left w:val="nil"/>
              <w:bottom w:val="single" w:sz="4" w:space="0" w:color="auto"/>
              <w:right w:val="single" w:sz="4" w:space="0" w:color="auto"/>
            </w:tcBorders>
            <w:shd w:val="clear" w:color="auto" w:fill="auto"/>
            <w:hideMark/>
          </w:tcPr>
          <w:p w14:paraId="1B7BABB8" w14:textId="77777777" w:rsidR="002B343F" w:rsidRPr="006D7F1F" w:rsidRDefault="002B343F" w:rsidP="002B343F">
            <w:pPr>
              <w:spacing w:after="0" w:line="240" w:lineRule="auto"/>
              <w:jc w:val="right"/>
              <w:rPr>
                <w:rFonts w:ascii="Segoe UI" w:hAnsi="Segoe UI" w:cs="Segoe UI"/>
                <w:sz w:val="18"/>
                <w:szCs w:val="18"/>
                <w:lang w:eastAsia="sk-SK"/>
              </w:rPr>
            </w:pPr>
            <w:r w:rsidRPr="006D7F1F">
              <w:rPr>
                <w:rFonts w:ascii="Segoe UI" w:hAnsi="Segoe UI" w:cs="Segoe UI"/>
                <w:sz w:val="18"/>
                <w:szCs w:val="18"/>
                <w:lang w:eastAsia="sk-SK"/>
              </w:rPr>
              <w:t xml:space="preserve">   1 882,80 </w:t>
            </w:r>
          </w:p>
        </w:tc>
      </w:tr>
      <w:tr w:rsidR="002B343F" w:rsidRPr="006D7F1F" w14:paraId="139055E8" w14:textId="77777777" w:rsidTr="00B912B9">
        <w:trPr>
          <w:trHeight w:val="3"/>
        </w:trPr>
        <w:tc>
          <w:tcPr>
            <w:tcW w:w="2099" w:type="pct"/>
            <w:tcBorders>
              <w:top w:val="nil"/>
              <w:left w:val="single" w:sz="4" w:space="0" w:color="auto"/>
              <w:bottom w:val="single" w:sz="4" w:space="0" w:color="auto"/>
              <w:right w:val="single" w:sz="4" w:space="0" w:color="auto"/>
            </w:tcBorders>
            <w:shd w:val="clear" w:color="auto" w:fill="auto"/>
            <w:hideMark/>
          </w:tcPr>
          <w:p w14:paraId="69710CB8" w14:textId="77777777"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 xml:space="preserve">Spojená </w:t>
            </w:r>
            <w:proofErr w:type="spellStart"/>
            <w:r w:rsidRPr="006D7F1F">
              <w:rPr>
                <w:rFonts w:ascii="Segoe UI" w:hAnsi="Segoe UI" w:cs="Segoe UI"/>
                <w:sz w:val="18"/>
                <w:szCs w:val="18"/>
                <w:lang w:eastAsia="sk-SK"/>
              </w:rPr>
              <w:t>ola</w:t>
            </w:r>
            <w:proofErr w:type="spellEnd"/>
            <w:r w:rsidRPr="006D7F1F">
              <w:rPr>
                <w:rFonts w:ascii="Segoe UI" w:hAnsi="Segoe UI" w:cs="Segoe UI"/>
                <w:sz w:val="18"/>
                <w:szCs w:val="18"/>
                <w:lang w:eastAsia="sk-SK"/>
              </w:rPr>
              <w:t>, SNP 30, Ivanka pri Dunaji</w:t>
            </w:r>
          </w:p>
        </w:tc>
        <w:tc>
          <w:tcPr>
            <w:tcW w:w="1695" w:type="pct"/>
            <w:tcBorders>
              <w:top w:val="nil"/>
              <w:left w:val="nil"/>
              <w:bottom w:val="single" w:sz="4" w:space="0" w:color="auto"/>
              <w:right w:val="single" w:sz="4" w:space="0" w:color="auto"/>
            </w:tcBorders>
            <w:shd w:val="clear" w:color="auto" w:fill="auto"/>
            <w:hideMark/>
          </w:tcPr>
          <w:p w14:paraId="3101D07A" w14:textId="77777777" w:rsidR="002B343F" w:rsidRPr="006D7F1F" w:rsidRDefault="002B343F" w:rsidP="002B343F">
            <w:pPr>
              <w:spacing w:after="0" w:line="240" w:lineRule="auto"/>
              <w:rPr>
                <w:rFonts w:ascii="Segoe UI" w:hAnsi="Segoe UI" w:cs="Segoe UI"/>
                <w:sz w:val="18"/>
                <w:szCs w:val="18"/>
                <w:lang w:eastAsia="sk-SK"/>
              </w:rPr>
            </w:pPr>
            <w:r w:rsidRPr="006D7F1F">
              <w:rPr>
                <w:rFonts w:ascii="Segoe UI" w:hAnsi="Segoe UI" w:cs="Segoe UI"/>
                <w:sz w:val="18"/>
                <w:szCs w:val="18"/>
                <w:lang w:eastAsia="sk-SK"/>
              </w:rPr>
              <w:t>terénne úpravy pri novovybudovanom športovom multifunkčnom ihrisku</w:t>
            </w:r>
          </w:p>
        </w:tc>
        <w:tc>
          <w:tcPr>
            <w:tcW w:w="1206" w:type="pct"/>
            <w:tcBorders>
              <w:top w:val="nil"/>
              <w:left w:val="nil"/>
              <w:bottom w:val="single" w:sz="4" w:space="0" w:color="auto"/>
              <w:right w:val="single" w:sz="4" w:space="0" w:color="auto"/>
            </w:tcBorders>
            <w:shd w:val="clear" w:color="auto" w:fill="auto"/>
            <w:hideMark/>
          </w:tcPr>
          <w:p w14:paraId="2DA7A5CC" w14:textId="77777777" w:rsidR="002B343F" w:rsidRPr="006D7F1F" w:rsidRDefault="002B343F" w:rsidP="002B343F">
            <w:pPr>
              <w:spacing w:after="0" w:line="240" w:lineRule="auto"/>
              <w:jc w:val="right"/>
              <w:rPr>
                <w:rFonts w:ascii="Segoe UI" w:hAnsi="Segoe UI" w:cs="Segoe UI"/>
                <w:sz w:val="18"/>
                <w:szCs w:val="18"/>
                <w:lang w:eastAsia="sk-SK"/>
              </w:rPr>
            </w:pPr>
            <w:r w:rsidRPr="006D7F1F">
              <w:rPr>
                <w:rFonts w:ascii="Segoe UI" w:hAnsi="Segoe UI" w:cs="Segoe UI"/>
                <w:sz w:val="18"/>
                <w:szCs w:val="18"/>
                <w:lang w:eastAsia="sk-SK"/>
              </w:rPr>
              <w:t xml:space="preserve">   5 946,71 </w:t>
            </w:r>
          </w:p>
        </w:tc>
      </w:tr>
    </w:tbl>
    <w:p w14:paraId="397CD732" w14:textId="023534FC" w:rsidR="00314060" w:rsidRPr="003C74B7" w:rsidRDefault="00314060" w:rsidP="00314060">
      <w:pPr>
        <w:spacing w:before="100" w:beforeAutospacing="1" w:after="100" w:afterAutospacing="1" w:line="240" w:lineRule="auto"/>
        <w:outlineLvl w:val="1"/>
        <w:rPr>
          <w:rFonts w:asciiTheme="minorHAnsi" w:hAnsiTheme="minorHAnsi" w:cstheme="minorHAnsi"/>
          <w:b/>
          <w:bCs/>
          <w:color w:val="880000"/>
          <w:sz w:val="36"/>
          <w:szCs w:val="36"/>
          <w:lang w:eastAsia="sk-SK"/>
        </w:rPr>
      </w:pPr>
      <w:r w:rsidRPr="003C74B7">
        <w:rPr>
          <w:rFonts w:asciiTheme="minorHAnsi" w:hAnsiTheme="minorHAnsi" w:cstheme="minorHAnsi"/>
          <w:b/>
          <w:bCs/>
          <w:color w:val="880000"/>
          <w:sz w:val="36"/>
          <w:szCs w:val="36"/>
          <w:lang w:eastAsia="sk-SK"/>
        </w:rPr>
        <w:lastRenderedPageBreak/>
        <w:t xml:space="preserve">Program 10: Kultúra </w:t>
      </w:r>
    </w:p>
    <w:p w14:paraId="05587781" w14:textId="77777777" w:rsidR="00314060" w:rsidRPr="00314060"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sz w:val="24"/>
          <w:szCs w:val="24"/>
          <w:lang w:eastAsia="sk-SK"/>
        </w:rPr>
        <w:t xml:space="preserve">Zámer: </w:t>
      </w:r>
      <w:r w:rsidRPr="00314060">
        <w:rPr>
          <w:rFonts w:asciiTheme="minorHAnsi" w:hAnsiTheme="minorHAnsi" w:cstheme="minorHAnsi"/>
          <w:lang w:eastAsia="sk-SK"/>
        </w:rPr>
        <w:t>Zabezpečenie výkonu originálnych a prenesených kompetencií v oblasti kultúry, Ochrana a prezentácia kultúrneho dedičstva, Vytváranie podmienok pre kultúrne aktivity a umeleckú tvorbu, Vytváranie kultúrneho priestoru dostupného všetkým obyvateľom a návštevníkom Bratislavského samosprávneho kraja.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45"/>
        <w:gridCol w:w="2023"/>
        <w:gridCol w:w="1290"/>
        <w:gridCol w:w="1469"/>
        <w:gridCol w:w="1317"/>
        <w:gridCol w:w="1251"/>
        <w:gridCol w:w="2371"/>
      </w:tblGrid>
      <w:tr w:rsidR="00314060" w:rsidRPr="003C74B7" w14:paraId="7614E315" w14:textId="77777777" w:rsidTr="00314060">
        <w:trPr>
          <w:tblCellSpacing w:w="15" w:type="dxa"/>
        </w:trPr>
        <w:tc>
          <w:tcPr>
            <w:tcW w:w="0" w:type="auto"/>
            <w:shd w:val="clear" w:color="auto" w:fill="C6DBF7"/>
            <w:vAlign w:val="center"/>
            <w:hideMark/>
          </w:tcPr>
          <w:p w14:paraId="2DED374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944" w:type="pct"/>
            <w:shd w:val="clear" w:color="auto" w:fill="C6DBF7"/>
            <w:vAlign w:val="center"/>
            <w:hideMark/>
          </w:tcPr>
          <w:p w14:paraId="006E671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26760EC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709" w:type="pct"/>
            <w:shd w:val="clear" w:color="auto" w:fill="C6DBF7"/>
            <w:vAlign w:val="center"/>
            <w:hideMark/>
          </w:tcPr>
          <w:p w14:paraId="1A2213A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34" w:type="pct"/>
            <w:shd w:val="clear" w:color="auto" w:fill="C6DBF7"/>
            <w:vAlign w:val="center"/>
            <w:hideMark/>
          </w:tcPr>
          <w:p w14:paraId="2858E2D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602" w:type="pct"/>
            <w:shd w:val="clear" w:color="auto" w:fill="C6DBF7"/>
            <w:vAlign w:val="center"/>
            <w:hideMark/>
          </w:tcPr>
          <w:p w14:paraId="750258C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1142" w:type="pct"/>
            <w:shd w:val="clear" w:color="auto" w:fill="C6DBF7"/>
            <w:vAlign w:val="center"/>
            <w:hideMark/>
          </w:tcPr>
          <w:p w14:paraId="7613F11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3222C777" w14:textId="77777777" w:rsidTr="00314060">
        <w:trPr>
          <w:tblCellSpacing w:w="15" w:type="dxa"/>
        </w:trPr>
        <w:tc>
          <w:tcPr>
            <w:tcW w:w="0" w:type="auto"/>
            <w:shd w:val="clear" w:color="auto" w:fill="D9D9D9"/>
            <w:noWrap/>
            <w:vAlign w:val="center"/>
            <w:hideMark/>
          </w:tcPr>
          <w:p w14:paraId="1A5893D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532C78A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6C1D2E1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4 779 435,00</w:t>
            </w:r>
            <w:r w:rsidRPr="003C74B7">
              <w:rPr>
                <w:rFonts w:asciiTheme="minorHAnsi" w:hAnsiTheme="minorHAnsi" w:cstheme="minorHAnsi"/>
                <w:sz w:val="24"/>
                <w:szCs w:val="24"/>
                <w:lang w:eastAsia="sk-SK"/>
              </w:rPr>
              <w:t xml:space="preserve"> </w:t>
            </w:r>
          </w:p>
        </w:tc>
        <w:tc>
          <w:tcPr>
            <w:tcW w:w="709" w:type="pct"/>
            <w:shd w:val="clear" w:color="auto" w:fill="D9D9D9"/>
            <w:noWrap/>
            <w:vAlign w:val="center"/>
            <w:hideMark/>
          </w:tcPr>
          <w:p w14:paraId="367E855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4 519 935,00</w:t>
            </w:r>
            <w:r w:rsidRPr="003C74B7">
              <w:rPr>
                <w:rFonts w:asciiTheme="minorHAnsi" w:hAnsiTheme="minorHAnsi" w:cstheme="minorHAnsi"/>
                <w:sz w:val="24"/>
                <w:szCs w:val="24"/>
                <w:lang w:eastAsia="sk-SK"/>
              </w:rPr>
              <w:t xml:space="preserve"> </w:t>
            </w:r>
          </w:p>
        </w:tc>
        <w:tc>
          <w:tcPr>
            <w:tcW w:w="634" w:type="pct"/>
            <w:shd w:val="clear" w:color="auto" w:fill="D9D9D9"/>
            <w:noWrap/>
            <w:vAlign w:val="center"/>
            <w:hideMark/>
          </w:tcPr>
          <w:p w14:paraId="2ECD6798"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4 397 698,35</w:t>
            </w:r>
            <w:r w:rsidRPr="003C74B7">
              <w:rPr>
                <w:rFonts w:asciiTheme="minorHAnsi" w:hAnsiTheme="minorHAnsi" w:cstheme="minorHAnsi"/>
                <w:sz w:val="24"/>
                <w:szCs w:val="24"/>
                <w:lang w:eastAsia="sk-SK"/>
              </w:rPr>
              <w:t xml:space="preserve"> </w:t>
            </w:r>
          </w:p>
        </w:tc>
        <w:tc>
          <w:tcPr>
            <w:tcW w:w="602" w:type="pct"/>
            <w:shd w:val="clear" w:color="auto" w:fill="D9D9D9"/>
            <w:noWrap/>
            <w:vAlign w:val="center"/>
            <w:hideMark/>
          </w:tcPr>
          <w:p w14:paraId="190BECA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97,30</w:t>
            </w:r>
            <w:r w:rsidRPr="003C74B7">
              <w:rPr>
                <w:rFonts w:asciiTheme="minorHAnsi" w:hAnsiTheme="minorHAnsi" w:cstheme="minorHAnsi"/>
                <w:sz w:val="24"/>
                <w:szCs w:val="24"/>
                <w:lang w:eastAsia="sk-SK"/>
              </w:rPr>
              <w:t xml:space="preserve"> </w:t>
            </w:r>
          </w:p>
        </w:tc>
        <w:tc>
          <w:tcPr>
            <w:tcW w:w="1142" w:type="pct"/>
            <w:vMerge w:val="restart"/>
            <w:shd w:val="clear" w:color="auto" w:fill="D9D9D9"/>
            <w:vAlign w:val="center"/>
            <w:hideMark/>
          </w:tcPr>
          <w:p w14:paraId="7983034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sz w:val="20"/>
                <w:szCs w:val="20"/>
                <w:lang w:eastAsia="sk-SK"/>
              </w:rPr>
              <w:t>Zmeny rozpočtu sa nachádzajú pri podprogramoch a prvkoch</w:t>
            </w:r>
          </w:p>
        </w:tc>
      </w:tr>
      <w:tr w:rsidR="00314060" w:rsidRPr="003C74B7" w14:paraId="71CFAC12" w14:textId="77777777" w:rsidTr="00314060">
        <w:trPr>
          <w:tblCellSpacing w:w="15" w:type="dxa"/>
        </w:trPr>
        <w:tc>
          <w:tcPr>
            <w:tcW w:w="0" w:type="auto"/>
            <w:shd w:val="clear" w:color="auto" w:fill="D9D9D9"/>
            <w:noWrap/>
            <w:vAlign w:val="center"/>
            <w:hideMark/>
          </w:tcPr>
          <w:p w14:paraId="7B4AEB1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04297014"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44BD750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4 779 435,00</w:t>
            </w:r>
            <w:r w:rsidRPr="003C74B7">
              <w:rPr>
                <w:rFonts w:asciiTheme="minorHAnsi" w:hAnsiTheme="minorHAnsi" w:cstheme="minorHAnsi"/>
                <w:sz w:val="24"/>
                <w:szCs w:val="24"/>
                <w:lang w:eastAsia="sk-SK"/>
              </w:rPr>
              <w:t xml:space="preserve"> </w:t>
            </w:r>
          </w:p>
        </w:tc>
        <w:tc>
          <w:tcPr>
            <w:tcW w:w="709" w:type="pct"/>
            <w:shd w:val="clear" w:color="auto" w:fill="D9D9D9"/>
            <w:noWrap/>
            <w:vAlign w:val="center"/>
            <w:hideMark/>
          </w:tcPr>
          <w:p w14:paraId="333F452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4 452 654,53</w:t>
            </w:r>
            <w:r w:rsidRPr="003C74B7">
              <w:rPr>
                <w:rFonts w:asciiTheme="minorHAnsi" w:hAnsiTheme="minorHAnsi" w:cstheme="minorHAnsi"/>
                <w:sz w:val="24"/>
                <w:szCs w:val="24"/>
                <w:lang w:eastAsia="sk-SK"/>
              </w:rPr>
              <w:t xml:space="preserve"> </w:t>
            </w:r>
          </w:p>
        </w:tc>
        <w:tc>
          <w:tcPr>
            <w:tcW w:w="634" w:type="pct"/>
            <w:shd w:val="clear" w:color="auto" w:fill="D9D9D9"/>
            <w:noWrap/>
            <w:vAlign w:val="center"/>
            <w:hideMark/>
          </w:tcPr>
          <w:p w14:paraId="1D4C476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4 361 545,29</w:t>
            </w:r>
            <w:r w:rsidRPr="003C74B7">
              <w:rPr>
                <w:rFonts w:asciiTheme="minorHAnsi" w:hAnsiTheme="minorHAnsi" w:cstheme="minorHAnsi"/>
                <w:sz w:val="24"/>
                <w:szCs w:val="24"/>
                <w:lang w:eastAsia="sk-SK"/>
              </w:rPr>
              <w:t xml:space="preserve"> </w:t>
            </w:r>
          </w:p>
        </w:tc>
        <w:tc>
          <w:tcPr>
            <w:tcW w:w="602" w:type="pct"/>
            <w:shd w:val="clear" w:color="auto" w:fill="D9D9D9"/>
            <w:noWrap/>
            <w:vAlign w:val="center"/>
            <w:hideMark/>
          </w:tcPr>
          <w:p w14:paraId="125B0AC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97,95</w:t>
            </w:r>
            <w:r w:rsidRPr="003C74B7">
              <w:rPr>
                <w:rFonts w:asciiTheme="minorHAnsi" w:hAnsiTheme="minorHAnsi" w:cstheme="minorHAnsi"/>
                <w:sz w:val="24"/>
                <w:szCs w:val="24"/>
                <w:lang w:eastAsia="sk-SK"/>
              </w:rPr>
              <w:t xml:space="preserve"> </w:t>
            </w:r>
          </w:p>
        </w:tc>
        <w:tc>
          <w:tcPr>
            <w:tcW w:w="1142" w:type="pct"/>
            <w:vMerge/>
            <w:shd w:val="clear" w:color="auto" w:fill="D9D9D9"/>
            <w:vAlign w:val="center"/>
            <w:hideMark/>
          </w:tcPr>
          <w:p w14:paraId="49B9A3DA"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32B327BC" w14:textId="77777777" w:rsidTr="00314060">
        <w:trPr>
          <w:tblCellSpacing w:w="15" w:type="dxa"/>
        </w:trPr>
        <w:tc>
          <w:tcPr>
            <w:tcW w:w="0" w:type="auto"/>
            <w:shd w:val="clear" w:color="auto" w:fill="EFEFEF"/>
            <w:noWrap/>
            <w:vAlign w:val="center"/>
            <w:hideMark/>
          </w:tcPr>
          <w:p w14:paraId="4709327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630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46E2BA4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Tovary a služby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0312147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323 060,00</w:t>
            </w:r>
            <w:r w:rsidRPr="003C74B7">
              <w:rPr>
                <w:rFonts w:asciiTheme="minorHAnsi" w:hAnsiTheme="minorHAnsi" w:cstheme="minorHAnsi"/>
                <w:sz w:val="24"/>
                <w:szCs w:val="24"/>
                <w:lang w:eastAsia="sk-SK"/>
              </w:rPr>
              <w:t xml:space="preserve"> </w:t>
            </w:r>
          </w:p>
        </w:tc>
        <w:tc>
          <w:tcPr>
            <w:tcW w:w="709" w:type="pct"/>
            <w:shd w:val="clear" w:color="auto" w:fill="EFEFEF"/>
            <w:noWrap/>
            <w:vAlign w:val="center"/>
            <w:hideMark/>
          </w:tcPr>
          <w:p w14:paraId="67A7A957"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134 799,31</w:t>
            </w:r>
            <w:r w:rsidRPr="003C74B7">
              <w:rPr>
                <w:rFonts w:asciiTheme="minorHAnsi" w:hAnsiTheme="minorHAnsi" w:cstheme="minorHAnsi"/>
                <w:sz w:val="24"/>
                <w:szCs w:val="24"/>
                <w:lang w:eastAsia="sk-SK"/>
              </w:rPr>
              <w:t xml:space="preserve"> </w:t>
            </w:r>
          </w:p>
        </w:tc>
        <w:tc>
          <w:tcPr>
            <w:tcW w:w="634" w:type="pct"/>
            <w:shd w:val="clear" w:color="auto" w:fill="EFEFEF"/>
            <w:noWrap/>
            <w:vAlign w:val="center"/>
            <w:hideMark/>
          </w:tcPr>
          <w:p w14:paraId="26184A79"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43 690,07</w:t>
            </w:r>
            <w:r w:rsidRPr="003C74B7">
              <w:rPr>
                <w:rFonts w:asciiTheme="minorHAnsi" w:hAnsiTheme="minorHAnsi" w:cstheme="minorHAnsi"/>
                <w:sz w:val="24"/>
                <w:szCs w:val="24"/>
                <w:lang w:eastAsia="sk-SK"/>
              </w:rPr>
              <w:t xml:space="preserve"> </w:t>
            </w:r>
          </w:p>
        </w:tc>
        <w:tc>
          <w:tcPr>
            <w:tcW w:w="602" w:type="pct"/>
            <w:shd w:val="clear" w:color="auto" w:fill="EFEFEF"/>
            <w:noWrap/>
            <w:vAlign w:val="center"/>
            <w:hideMark/>
          </w:tcPr>
          <w:p w14:paraId="0CEDC29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32,41</w:t>
            </w:r>
            <w:r w:rsidRPr="003C74B7">
              <w:rPr>
                <w:rFonts w:asciiTheme="minorHAnsi" w:hAnsiTheme="minorHAnsi" w:cstheme="minorHAnsi"/>
                <w:sz w:val="24"/>
                <w:szCs w:val="24"/>
                <w:lang w:eastAsia="sk-SK"/>
              </w:rPr>
              <w:t xml:space="preserve"> </w:t>
            </w:r>
          </w:p>
        </w:tc>
        <w:tc>
          <w:tcPr>
            <w:tcW w:w="1142" w:type="pct"/>
            <w:vMerge/>
            <w:shd w:val="clear" w:color="auto" w:fill="EFEFEF"/>
            <w:vAlign w:val="center"/>
            <w:hideMark/>
          </w:tcPr>
          <w:p w14:paraId="184F3BBB"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5155FC0A" w14:textId="77777777" w:rsidTr="00314060">
        <w:trPr>
          <w:tblCellSpacing w:w="15" w:type="dxa"/>
        </w:trPr>
        <w:tc>
          <w:tcPr>
            <w:tcW w:w="0" w:type="auto"/>
            <w:shd w:val="clear" w:color="auto" w:fill="EFEFEF"/>
            <w:noWrap/>
            <w:vAlign w:val="center"/>
            <w:hideMark/>
          </w:tcPr>
          <w:p w14:paraId="1E0836F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3C32134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681B3BD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4 456 375,00</w:t>
            </w:r>
            <w:r w:rsidRPr="003C74B7">
              <w:rPr>
                <w:rFonts w:asciiTheme="minorHAnsi" w:hAnsiTheme="minorHAnsi" w:cstheme="minorHAnsi"/>
                <w:sz w:val="24"/>
                <w:szCs w:val="24"/>
                <w:lang w:eastAsia="sk-SK"/>
              </w:rPr>
              <w:t xml:space="preserve"> </w:t>
            </w:r>
          </w:p>
        </w:tc>
        <w:tc>
          <w:tcPr>
            <w:tcW w:w="709" w:type="pct"/>
            <w:shd w:val="clear" w:color="auto" w:fill="EFEFEF"/>
            <w:noWrap/>
            <w:vAlign w:val="center"/>
            <w:hideMark/>
          </w:tcPr>
          <w:p w14:paraId="77D2F919"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4 317 855,22</w:t>
            </w:r>
            <w:r w:rsidRPr="003C74B7">
              <w:rPr>
                <w:rFonts w:asciiTheme="minorHAnsi" w:hAnsiTheme="minorHAnsi" w:cstheme="minorHAnsi"/>
                <w:sz w:val="24"/>
                <w:szCs w:val="24"/>
                <w:lang w:eastAsia="sk-SK"/>
              </w:rPr>
              <w:t xml:space="preserve"> </w:t>
            </w:r>
          </w:p>
        </w:tc>
        <w:tc>
          <w:tcPr>
            <w:tcW w:w="634" w:type="pct"/>
            <w:shd w:val="clear" w:color="auto" w:fill="EFEFEF"/>
            <w:noWrap/>
            <w:vAlign w:val="center"/>
            <w:hideMark/>
          </w:tcPr>
          <w:p w14:paraId="73AB200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4 317 855,22</w:t>
            </w:r>
            <w:r w:rsidRPr="003C74B7">
              <w:rPr>
                <w:rFonts w:asciiTheme="minorHAnsi" w:hAnsiTheme="minorHAnsi" w:cstheme="minorHAnsi"/>
                <w:sz w:val="24"/>
                <w:szCs w:val="24"/>
                <w:lang w:eastAsia="sk-SK"/>
              </w:rPr>
              <w:t xml:space="preserve"> </w:t>
            </w:r>
          </w:p>
        </w:tc>
        <w:tc>
          <w:tcPr>
            <w:tcW w:w="602" w:type="pct"/>
            <w:shd w:val="clear" w:color="auto" w:fill="EFEFEF"/>
            <w:noWrap/>
            <w:vAlign w:val="center"/>
            <w:hideMark/>
          </w:tcPr>
          <w:p w14:paraId="06F9893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1142" w:type="pct"/>
            <w:vMerge/>
            <w:shd w:val="clear" w:color="auto" w:fill="EFEFEF"/>
            <w:vAlign w:val="center"/>
            <w:hideMark/>
          </w:tcPr>
          <w:p w14:paraId="2E10B0A9"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0998F618" w14:textId="77777777" w:rsidTr="00314060">
        <w:trPr>
          <w:tblCellSpacing w:w="15" w:type="dxa"/>
        </w:trPr>
        <w:tc>
          <w:tcPr>
            <w:tcW w:w="0" w:type="auto"/>
            <w:shd w:val="clear" w:color="auto" w:fill="D9D9D9"/>
            <w:noWrap/>
            <w:vAlign w:val="center"/>
            <w:hideMark/>
          </w:tcPr>
          <w:p w14:paraId="6AB2F1C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700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6DF18F6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Kapitálové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6717E3F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0,00</w:t>
            </w:r>
            <w:r w:rsidRPr="003C74B7">
              <w:rPr>
                <w:rFonts w:asciiTheme="minorHAnsi" w:hAnsiTheme="minorHAnsi" w:cstheme="minorHAnsi"/>
                <w:sz w:val="24"/>
                <w:szCs w:val="24"/>
                <w:lang w:eastAsia="sk-SK"/>
              </w:rPr>
              <w:t xml:space="preserve"> </w:t>
            </w:r>
          </w:p>
        </w:tc>
        <w:tc>
          <w:tcPr>
            <w:tcW w:w="709" w:type="pct"/>
            <w:shd w:val="clear" w:color="auto" w:fill="D9D9D9"/>
            <w:noWrap/>
            <w:vAlign w:val="center"/>
            <w:hideMark/>
          </w:tcPr>
          <w:p w14:paraId="1A90A04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67 280,47</w:t>
            </w:r>
            <w:r w:rsidRPr="003C74B7">
              <w:rPr>
                <w:rFonts w:asciiTheme="minorHAnsi" w:hAnsiTheme="minorHAnsi" w:cstheme="minorHAnsi"/>
                <w:sz w:val="24"/>
                <w:szCs w:val="24"/>
                <w:lang w:eastAsia="sk-SK"/>
              </w:rPr>
              <w:t xml:space="preserve"> </w:t>
            </w:r>
          </w:p>
        </w:tc>
        <w:tc>
          <w:tcPr>
            <w:tcW w:w="634" w:type="pct"/>
            <w:shd w:val="clear" w:color="auto" w:fill="D9D9D9"/>
            <w:noWrap/>
            <w:vAlign w:val="center"/>
            <w:hideMark/>
          </w:tcPr>
          <w:p w14:paraId="39622DD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36 153,06</w:t>
            </w:r>
            <w:r w:rsidRPr="003C74B7">
              <w:rPr>
                <w:rFonts w:asciiTheme="minorHAnsi" w:hAnsiTheme="minorHAnsi" w:cstheme="minorHAnsi"/>
                <w:sz w:val="24"/>
                <w:szCs w:val="24"/>
                <w:lang w:eastAsia="sk-SK"/>
              </w:rPr>
              <w:t xml:space="preserve"> </w:t>
            </w:r>
          </w:p>
        </w:tc>
        <w:tc>
          <w:tcPr>
            <w:tcW w:w="602" w:type="pct"/>
            <w:shd w:val="clear" w:color="auto" w:fill="D9D9D9"/>
            <w:noWrap/>
            <w:vAlign w:val="center"/>
            <w:hideMark/>
          </w:tcPr>
          <w:p w14:paraId="0686889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53,73</w:t>
            </w:r>
            <w:r w:rsidRPr="003C74B7">
              <w:rPr>
                <w:rFonts w:asciiTheme="minorHAnsi" w:hAnsiTheme="minorHAnsi" w:cstheme="minorHAnsi"/>
                <w:sz w:val="24"/>
                <w:szCs w:val="24"/>
                <w:lang w:eastAsia="sk-SK"/>
              </w:rPr>
              <w:t xml:space="preserve"> </w:t>
            </w:r>
          </w:p>
        </w:tc>
        <w:tc>
          <w:tcPr>
            <w:tcW w:w="1142" w:type="pct"/>
            <w:vMerge/>
            <w:shd w:val="clear" w:color="auto" w:fill="D9D9D9"/>
            <w:vAlign w:val="center"/>
            <w:hideMark/>
          </w:tcPr>
          <w:p w14:paraId="72322A98"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2F38E66E" w14:textId="77777777" w:rsidTr="00314060">
        <w:trPr>
          <w:tblCellSpacing w:w="15" w:type="dxa"/>
        </w:trPr>
        <w:tc>
          <w:tcPr>
            <w:tcW w:w="0" w:type="auto"/>
            <w:shd w:val="clear" w:color="auto" w:fill="EFEFEF"/>
            <w:noWrap/>
            <w:vAlign w:val="center"/>
            <w:hideMark/>
          </w:tcPr>
          <w:p w14:paraId="4C25A75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710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5B91D6C0" w14:textId="77777777" w:rsidR="00314060" w:rsidRPr="003C74B7" w:rsidRDefault="00314060" w:rsidP="00314060">
            <w:pPr>
              <w:spacing w:after="0" w:line="240" w:lineRule="auto"/>
              <w:rPr>
                <w:rFonts w:asciiTheme="minorHAnsi" w:hAnsiTheme="minorHAnsi" w:cstheme="minorHAnsi"/>
                <w:sz w:val="24"/>
                <w:szCs w:val="24"/>
                <w:lang w:eastAsia="sk-SK"/>
              </w:rPr>
            </w:pPr>
            <w:proofErr w:type="spellStart"/>
            <w:r w:rsidRPr="003C74B7">
              <w:rPr>
                <w:rFonts w:asciiTheme="minorHAnsi" w:hAnsiTheme="minorHAnsi" w:cstheme="minorHAnsi"/>
                <w:sz w:val="20"/>
                <w:szCs w:val="20"/>
                <w:lang w:eastAsia="sk-SK"/>
              </w:rPr>
              <w:t>Obst</w:t>
            </w:r>
            <w:proofErr w:type="spellEnd"/>
            <w:r w:rsidRPr="003C74B7">
              <w:rPr>
                <w:rFonts w:asciiTheme="minorHAnsi" w:hAnsiTheme="minorHAnsi" w:cstheme="minorHAnsi"/>
                <w:sz w:val="20"/>
                <w:szCs w:val="20"/>
                <w:lang w:eastAsia="sk-SK"/>
              </w:rPr>
              <w:t xml:space="preserve">. </w:t>
            </w:r>
            <w:proofErr w:type="spellStart"/>
            <w:r w:rsidRPr="003C74B7">
              <w:rPr>
                <w:rFonts w:asciiTheme="minorHAnsi" w:hAnsiTheme="minorHAnsi" w:cstheme="minorHAnsi"/>
                <w:sz w:val="20"/>
                <w:szCs w:val="20"/>
                <w:lang w:eastAsia="sk-SK"/>
              </w:rPr>
              <w:t>kapit</w:t>
            </w:r>
            <w:proofErr w:type="spellEnd"/>
            <w:r w:rsidRPr="003C74B7">
              <w:rPr>
                <w:rFonts w:asciiTheme="minorHAnsi" w:hAnsiTheme="minorHAnsi" w:cstheme="minorHAnsi"/>
                <w:sz w:val="20"/>
                <w:szCs w:val="20"/>
                <w:lang w:eastAsia="sk-SK"/>
              </w:rPr>
              <w:t>. aktív</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04E8604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0,00</w:t>
            </w:r>
            <w:r w:rsidRPr="003C74B7">
              <w:rPr>
                <w:rFonts w:asciiTheme="minorHAnsi" w:hAnsiTheme="minorHAnsi" w:cstheme="minorHAnsi"/>
                <w:sz w:val="24"/>
                <w:szCs w:val="24"/>
                <w:lang w:eastAsia="sk-SK"/>
              </w:rPr>
              <w:t xml:space="preserve"> </w:t>
            </w:r>
          </w:p>
        </w:tc>
        <w:tc>
          <w:tcPr>
            <w:tcW w:w="709" w:type="pct"/>
            <w:shd w:val="clear" w:color="auto" w:fill="EFEFEF"/>
            <w:noWrap/>
            <w:vAlign w:val="center"/>
            <w:hideMark/>
          </w:tcPr>
          <w:p w14:paraId="61C2B6D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67 013,11</w:t>
            </w:r>
            <w:r w:rsidRPr="003C74B7">
              <w:rPr>
                <w:rFonts w:asciiTheme="minorHAnsi" w:hAnsiTheme="minorHAnsi" w:cstheme="minorHAnsi"/>
                <w:sz w:val="24"/>
                <w:szCs w:val="24"/>
                <w:lang w:eastAsia="sk-SK"/>
              </w:rPr>
              <w:t xml:space="preserve"> </w:t>
            </w:r>
          </w:p>
        </w:tc>
        <w:tc>
          <w:tcPr>
            <w:tcW w:w="634" w:type="pct"/>
            <w:shd w:val="clear" w:color="auto" w:fill="EFEFEF"/>
            <w:noWrap/>
            <w:vAlign w:val="center"/>
            <w:hideMark/>
          </w:tcPr>
          <w:p w14:paraId="05EE678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35 885,70</w:t>
            </w:r>
            <w:r w:rsidRPr="003C74B7">
              <w:rPr>
                <w:rFonts w:asciiTheme="minorHAnsi" w:hAnsiTheme="minorHAnsi" w:cstheme="minorHAnsi"/>
                <w:sz w:val="24"/>
                <w:szCs w:val="24"/>
                <w:lang w:eastAsia="sk-SK"/>
              </w:rPr>
              <w:t xml:space="preserve"> </w:t>
            </w:r>
          </w:p>
        </w:tc>
        <w:tc>
          <w:tcPr>
            <w:tcW w:w="602" w:type="pct"/>
            <w:shd w:val="clear" w:color="auto" w:fill="EFEFEF"/>
            <w:noWrap/>
            <w:vAlign w:val="center"/>
            <w:hideMark/>
          </w:tcPr>
          <w:p w14:paraId="26054ED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53,55</w:t>
            </w:r>
            <w:r w:rsidRPr="003C74B7">
              <w:rPr>
                <w:rFonts w:asciiTheme="minorHAnsi" w:hAnsiTheme="minorHAnsi" w:cstheme="minorHAnsi"/>
                <w:sz w:val="24"/>
                <w:szCs w:val="24"/>
                <w:lang w:eastAsia="sk-SK"/>
              </w:rPr>
              <w:t xml:space="preserve"> </w:t>
            </w:r>
          </w:p>
        </w:tc>
        <w:tc>
          <w:tcPr>
            <w:tcW w:w="1142" w:type="pct"/>
            <w:vMerge/>
            <w:shd w:val="clear" w:color="auto" w:fill="EFEFEF"/>
            <w:vAlign w:val="center"/>
            <w:hideMark/>
          </w:tcPr>
          <w:p w14:paraId="34AEC143"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1E85678D" w14:textId="77777777" w:rsidTr="00314060">
        <w:trPr>
          <w:tblCellSpacing w:w="15" w:type="dxa"/>
        </w:trPr>
        <w:tc>
          <w:tcPr>
            <w:tcW w:w="0" w:type="auto"/>
            <w:shd w:val="clear" w:color="auto" w:fill="EFEFEF"/>
            <w:noWrap/>
            <w:vAlign w:val="center"/>
            <w:hideMark/>
          </w:tcPr>
          <w:p w14:paraId="34ECE18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720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7E95C50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Kapitálové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52B4591C"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0,00</w:t>
            </w:r>
            <w:r w:rsidRPr="003C74B7">
              <w:rPr>
                <w:rFonts w:asciiTheme="minorHAnsi" w:hAnsiTheme="minorHAnsi" w:cstheme="minorHAnsi"/>
                <w:sz w:val="24"/>
                <w:szCs w:val="24"/>
                <w:lang w:eastAsia="sk-SK"/>
              </w:rPr>
              <w:t xml:space="preserve"> </w:t>
            </w:r>
          </w:p>
        </w:tc>
        <w:tc>
          <w:tcPr>
            <w:tcW w:w="709" w:type="pct"/>
            <w:shd w:val="clear" w:color="auto" w:fill="EFEFEF"/>
            <w:noWrap/>
            <w:vAlign w:val="center"/>
            <w:hideMark/>
          </w:tcPr>
          <w:p w14:paraId="6BCB7098"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267,36</w:t>
            </w:r>
            <w:r w:rsidRPr="003C74B7">
              <w:rPr>
                <w:rFonts w:asciiTheme="minorHAnsi" w:hAnsiTheme="minorHAnsi" w:cstheme="minorHAnsi"/>
                <w:sz w:val="24"/>
                <w:szCs w:val="24"/>
                <w:lang w:eastAsia="sk-SK"/>
              </w:rPr>
              <w:t xml:space="preserve"> </w:t>
            </w:r>
          </w:p>
        </w:tc>
        <w:tc>
          <w:tcPr>
            <w:tcW w:w="634" w:type="pct"/>
            <w:shd w:val="clear" w:color="auto" w:fill="EFEFEF"/>
            <w:noWrap/>
            <w:vAlign w:val="center"/>
            <w:hideMark/>
          </w:tcPr>
          <w:p w14:paraId="76AB66DC"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267,36</w:t>
            </w:r>
            <w:r w:rsidRPr="003C74B7">
              <w:rPr>
                <w:rFonts w:asciiTheme="minorHAnsi" w:hAnsiTheme="minorHAnsi" w:cstheme="minorHAnsi"/>
                <w:sz w:val="24"/>
                <w:szCs w:val="24"/>
                <w:lang w:eastAsia="sk-SK"/>
              </w:rPr>
              <w:t xml:space="preserve"> </w:t>
            </w:r>
          </w:p>
        </w:tc>
        <w:tc>
          <w:tcPr>
            <w:tcW w:w="602" w:type="pct"/>
            <w:shd w:val="clear" w:color="auto" w:fill="EFEFEF"/>
            <w:noWrap/>
            <w:vAlign w:val="center"/>
            <w:hideMark/>
          </w:tcPr>
          <w:p w14:paraId="2895F8A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1142" w:type="pct"/>
            <w:vMerge/>
            <w:shd w:val="clear" w:color="auto" w:fill="EFEFEF"/>
            <w:vAlign w:val="center"/>
            <w:hideMark/>
          </w:tcPr>
          <w:p w14:paraId="1C7062A7"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7EE25F9D" w14:textId="77777777"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lang w:eastAsia="sk-SK"/>
        </w:rPr>
        <w:t>Úlohou BSK je zabezpečiť podmienky rozvoja kultúry v bratislavskom kraji. V záujme naplnenia tejto úlohy vyvíja vlastné aktivity, pričom činnosť vykonáva prostredníctvom kultúrnych zariadení vo svojej zriaďovateľskej pôsobnosti, a tiež v spolupráci s kultúrnymi zariadeniami miest a obcí. BSK zároveň spolupracuje s národnými inštitúciami a neziskovými organizáciami, občianskymi a profesijnými združeniami a zahraničnými partnermi.</w:t>
      </w:r>
    </w:p>
    <w:p w14:paraId="4D7B109B" w14:textId="77777777" w:rsidR="00314060" w:rsidRPr="003C74B7" w:rsidRDefault="00314060"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r w:rsidRPr="003C74B7">
        <w:rPr>
          <w:rFonts w:asciiTheme="minorHAnsi" w:hAnsiTheme="minorHAnsi" w:cstheme="minorHAnsi"/>
          <w:b/>
          <w:bCs/>
          <w:color w:val="4F6228"/>
          <w:sz w:val="27"/>
          <w:szCs w:val="27"/>
          <w:lang w:eastAsia="sk-SK"/>
        </w:rPr>
        <w:t>Podprogram 10.1: Organizácia a podpora kultúrnych aktivít, tradičných a regionálnych podujatí</w:t>
      </w:r>
    </w:p>
    <w:p w14:paraId="0538ECD8"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Zlepšenie podmienok pre rozvoj kultúry v regióne BSK.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80"/>
        <w:gridCol w:w="2023"/>
        <w:gridCol w:w="1173"/>
        <w:gridCol w:w="1552"/>
        <w:gridCol w:w="1319"/>
        <w:gridCol w:w="1120"/>
        <w:gridCol w:w="2499"/>
      </w:tblGrid>
      <w:tr w:rsidR="00314060" w:rsidRPr="003C74B7" w14:paraId="634FFD8A" w14:textId="77777777" w:rsidTr="00314060">
        <w:trPr>
          <w:tblCellSpacing w:w="15" w:type="dxa"/>
        </w:trPr>
        <w:tc>
          <w:tcPr>
            <w:tcW w:w="0" w:type="auto"/>
            <w:shd w:val="clear" w:color="auto" w:fill="C6DBF7"/>
            <w:vAlign w:val="center"/>
            <w:hideMark/>
          </w:tcPr>
          <w:p w14:paraId="73E2C87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944" w:type="pct"/>
            <w:shd w:val="clear" w:color="auto" w:fill="C6DBF7"/>
            <w:vAlign w:val="center"/>
            <w:hideMark/>
          </w:tcPr>
          <w:p w14:paraId="5E31B80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346DB7F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749" w:type="pct"/>
            <w:shd w:val="clear" w:color="auto" w:fill="C6DBF7"/>
            <w:vAlign w:val="center"/>
            <w:hideMark/>
          </w:tcPr>
          <w:p w14:paraId="7036526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35" w:type="pct"/>
            <w:shd w:val="clear" w:color="auto" w:fill="C6DBF7"/>
            <w:vAlign w:val="center"/>
            <w:hideMark/>
          </w:tcPr>
          <w:p w14:paraId="6F03CF3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538" w:type="pct"/>
            <w:shd w:val="clear" w:color="auto" w:fill="C6DBF7"/>
            <w:vAlign w:val="center"/>
            <w:hideMark/>
          </w:tcPr>
          <w:p w14:paraId="0031922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1205" w:type="pct"/>
            <w:shd w:val="clear" w:color="auto" w:fill="C6DBF7"/>
            <w:vAlign w:val="center"/>
            <w:hideMark/>
          </w:tcPr>
          <w:p w14:paraId="08C0B0E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056E0491" w14:textId="77777777" w:rsidTr="00314060">
        <w:trPr>
          <w:tblCellSpacing w:w="15" w:type="dxa"/>
        </w:trPr>
        <w:tc>
          <w:tcPr>
            <w:tcW w:w="0" w:type="auto"/>
            <w:shd w:val="clear" w:color="auto" w:fill="D9D9D9"/>
            <w:noWrap/>
            <w:vAlign w:val="center"/>
            <w:hideMark/>
          </w:tcPr>
          <w:p w14:paraId="0EBE7B0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3C81A4CA"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549BA18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323 060,00</w:t>
            </w:r>
            <w:r w:rsidRPr="003C74B7">
              <w:rPr>
                <w:rFonts w:asciiTheme="minorHAnsi" w:hAnsiTheme="minorHAnsi" w:cstheme="minorHAnsi"/>
                <w:sz w:val="24"/>
                <w:szCs w:val="24"/>
                <w:lang w:eastAsia="sk-SK"/>
              </w:rPr>
              <w:t xml:space="preserve"> </w:t>
            </w:r>
          </w:p>
        </w:tc>
        <w:tc>
          <w:tcPr>
            <w:tcW w:w="749" w:type="pct"/>
            <w:shd w:val="clear" w:color="auto" w:fill="D9D9D9"/>
            <w:noWrap/>
            <w:vAlign w:val="center"/>
            <w:hideMark/>
          </w:tcPr>
          <w:p w14:paraId="719101E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344 319,16</w:t>
            </w:r>
            <w:r w:rsidRPr="003C74B7">
              <w:rPr>
                <w:rFonts w:asciiTheme="minorHAnsi" w:hAnsiTheme="minorHAnsi" w:cstheme="minorHAnsi"/>
                <w:sz w:val="24"/>
                <w:szCs w:val="24"/>
                <w:lang w:eastAsia="sk-SK"/>
              </w:rPr>
              <w:t xml:space="preserve"> </w:t>
            </w:r>
          </w:p>
        </w:tc>
        <w:tc>
          <w:tcPr>
            <w:tcW w:w="635" w:type="pct"/>
            <w:shd w:val="clear" w:color="auto" w:fill="D9D9D9"/>
            <w:noWrap/>
            <w:vAlign w:val="center"/>
            <w:hideMark/>
          </w:tcPr>
          <w:p w14:paraId="6302BB6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222 082,51</w:t>
            </w:r>
            <w:r w:rsidRPr="003C74B7">
              <w:rPr>
                <w:rFonts w:asciiTheme="minorHAnsi" w:hAnsiTheme="minorHAnsi" w:cstheme="minorHAnsi"/>
                <w:sz w:val="24"/>
                <w:szCs w:val="24"/>
                <w:lang w:eastAsia="sk-SK"/>
              </w:rPr>
              <w:t xml:space="preserve"> </w:t>
            </w:r>
          </w:p>
        </w:tc>
        <w:tc>
          <w:tcPr>
            <w:tcW w:w="538" w:type="pct"/>
            <w:shd w:val="clear" w:color="auto" w:fill="D9D9D9"/>
            <w:noWrap/>
            <w:vAlign w:val="center"/>
            <w:hideMark/>
          </w:tcPr>
          <w:p w14:paraId="7ADD53E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64,50</w:t>
            </w:r>
            <w:r w:rsidRPr="003C74B7">
              <w:rPr>
                <w:rFonts w:asciiTheme="minorHAnsi" w:hAnsiTheme="minorHAnsi" w:cstheme="minorHAnsi"/>
                <w:sz w:val="24"/>
                <w:szCs w:val="24"/>
                <w:lang w:eastAsia="sk-SK"/>
              </w:rPr>
              <w:t xml:space="preserve"> </w:t>
            </w:r>
          </w:p>
        </w:tc>
        <w:tc>
          <w:tcPr>
            <w:tcW w:w="1205" w:type="pct"/>
            <w:vMerge w:val="restart"/>
            <w:shd w:val="clear" w:color="auto" w:fill="D9D9D9"/>
            <w:vAlign w:val="center"/>
            <w:hideMark/>
          </w:tcPr>
          <w:p w14:paraId="17E9E406" w14:textId="77777777"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+ 21 259,16 EUR</w:t>
            </w:r>
            <w:r w:rsidRPr="003C74B7">
              <w:rPr>
                <w:rFonts w:asciiTheme="minorHAnsi" w:hAnsiTheme="minorHAnsi" w:cstheme="minorHAnsi"/>
                <w:sz w:val="20"/>
                <w:szCs w:val="20"/>
                <w:lang w:eastAsia="sk-SK"/>
              </w:rPr>
              <w:t xml:space="preserve"> presun z podprogramu 10.5</w:t>
            </w:r>
          </w:p>
          <w:p w14:paraId="02DD78C0"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73FC5460" w14:textId="77777777" w:rsidTr="00314060">
        <w:trPr>
          <w:tblCellSpacing w:w="15" w:type="dxa"/>
        </w:trPr>
        <w:tc>
          <w:tcPr>
            <w:tcW w:w="0" w:type="auto"/>
            <w:shd w:val="clear" w:color="auto" w:fill="D9D9D9"/>
            <w:noWrap/>
            <w:vAlign w:val="center"/>
            <w:hideMark/>
          </w:tcPr>
          <w:p w14:paraId="68B1E59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0BC214E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2FA80BC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323 060,00</w:t>
            </w:r>
            <w:r w:rsidRPr="003C74B7">
              <w:rPr>
                <w:rFonts w:asciiTheme="minorHAnsi" w:hAnsiTheme="minorHAnsi" w:cstheme="minorHAnsi"/>
                <w:sz w:val="24"/>
                <w:szCs w:val="24"/>
                <w:lang w:eastAsia="sk-SK"/>
              </w:rPr>
              <w:t xml:space="preserve"> </w:t>
            </w:r>
          </w:p>
        </w:tc>
        <w:tc>
          <w:tcPr>
            <w:tcW w:w="749" w:type="pct"/>
            <w:shd w:val="clear" w:color="auto" w:fill="D9D9D9"/>
            <w:noWrap/>
            <w:vAlign w:val="center"/>
            <w:hideMark/>
          </w:tcPr>
          <w:p w14:paraId="5CD7A2E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277 306,05</w:t>
            </w:r>
            <w:r w:rsidRPr="003C74B7">
              <w:rPr>
                <w:rFonts w:asciiTheme="minorHAnsi" w:hAnsiTheme="minorHAnsi" w:cstheme="minorHAnsi"/>
                <w:sz w:val="24"/>
                <w:szCs w:val="24"/>
                <w:lang w:eastAsia="sk-SK"/>
              </w:rPr>
              <w:t xml:space="preserve"> </w:t>
            </w:r>
          </w:p>
        </w:tc>
        <w:tc>
          <w:tcPr>
            <w:tcW w:w="635" w:type="pct"/>
            <w:shd w:val="clear" w:color="auto" w:fill="D9D9D9"/>
            <w:noWrap/>
            <w:vAlign w:val="center"/>
            <w:hideMark/>
          </w:tcPr>
          <w:p w14:paraId="5792910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186 196,81</w:t>
            </w:r>
            <w:r w:rsidRPr="003C74B7">
              <w:rPr>
                <w:rFonts w:asciiTheme="minorHAnsi" w:hAnsiTheme="minorHAnsi" w:cstheme="minorHAnsi"/>
                <w:sz w:val="24"/>
                <w:szCs w:val="24"/>
                <w:lang w:eastAsia="sk-SK"/>
              </w:rPr>
              <w:t xml:space="preserve"> </w:t>
            </w:r>
          </w:p>
        </w:tc>
        <w:tc>
          <w:tcPr>
            <w:tcW w:w="538" w:type="pct"/>
            <w:shd w:val="clear" w:color="auto" w:fill="D9D9D9"/>
            <w:noWrap/>
            <w:vAlign w:val="center"/>
            <w:hideMark/>
          </w:tcPr>
          <w:p w14:paraId="2CD28A18"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67,14</w:t>
            </w:r>
            <w:r w:rsidRPr="003C74B7">
              <w:rPr>
                <w:rFonts w:asciiTheme="minorHAnsi" w:hAnsiTheme="minorHAnsi" w:cstheme="minorHAnsi"/>
                <w:sz w:val="24"/>
                <w:szCs w:val="24"/>
                <w:lang w:eastAsia="sk-SK"/>
              </w:rPr>
              <w:t xml:space="preserve"> </w:t>
            </w:r>
          </w:p>
        </w:tc>
        <w:tc>
          <w:tcPr>
            <w:tcW w:w="1205" w:type="pct"/>
            <w:vMerge/>
            <w:shd w:val="clear" w:color="auto" w:fill="D9D9D9"/>
            <w:vAlign w:val="center"/>
            <w:hideMark/>
          </w:tcPr>
          <w:p w14:paraId="24087850"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3784F779" w14:textId="77777777" w:rsidTr="00314060">
        <w:trPr>
          <w:tblCellSpacing w:w="15" w:type="dxa"/>
        </w:trPr>
        <w:tc>
          <w:tcPr>
            <w:tcW w:w="0" w:type="auto"/>
            <w:shd w:val="clear" w:color="auto" w:fill="EFEFEF"/>
            <w:noWrap/>
            <w:vAlign w:val="center"/>
            <w:hideMark/>
          </w:tcPr>
          <w:p w14:paraId="323DD35F"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630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08E2BDF4"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Tovary a služby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7D9DF65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323 060,00</w:t>
            </w:r>
            <w:r w:rsidRPr="003C74B7">
              <w:rPr>
                <w:rFonts w:asciiTheme="minorHAnsi" w:hAnsiTheme="minorHAnsi" w:cstheme="minorHAnsi"/>
                <w:sz w:val="24"/>
                <w:szCs w:val="24"/>
                <w:lang w:eastAsia="sk-SK"/>
              </w:rPr>
              <w:t xml:space="preserve"> </w:t>
            </w:r>
          </w:p>
        </w:tc>
        <w:tc>
          <w:tcPr>
            <w:tcW w:w="749" w:type="pct"/>
            <w:shd w:val="clear" w:color="auto" w:fill="EFEFEF"/>
            <w:noWrap/>
            <w:vAlign w:val="center"/>
            <w:hideMark/>
          </w:tcPr>
          <w:p w14:paraId="2FFFF9A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134 799,31</w:t>
            </w:r>
            <w:r w:rsidRPr="003C74B7">
              <w:rPr>
                <w:rFonts w:asciiTheme="minorHAnsi" w:hAnsiTheme="minorHAnsi" w:cstheme="minorHAnsi"/>
                <w:sz w:val="24"/>
                <w:szCs w:val="24"/>
                <w:lang w:eastAsia="sk-SK"/>
              </w:rPr>
              <w:t xml:space="preserve"> </w:t>
            </w:r>
          </w:p>
        </w:tc>
        <w:tc>
          <w:tcPr>
            <w:tcW w:w="635" w:type="pct"/>
            <w:shd w:val="clear" w:color="auto" w:fill="EFEFEF"/>
            <w:noWrap/>
            <w:vAlign w:val="center"/>
            <w:hideMark/>
          </w:tcPr>
          <w:p w14:paraId="0A19C00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43 690,07</w:t>
            </w:r>
            <w:r w:rsidRPr="003C74B7">
              <w:rPr>
                <w:rFonts w:asciiTheme="minorHAnsi" w:hAnsiTheme="minorHAnsi" w:cstheme="minorHAnsi"/>
                <w:sz w:val="24"/>
                <w:szCs w:val="24"/>
                <w:lang w:eastAsia="sk-SK"/>
              </w:rPr>
              <w:t xml:space="preserve"> </w:t>
            </w:r>
          </w:p>
        </w:tc>
        <w:tc>
          <w:tcPr>
            <w:tcW w:w="538" w:type="pct"/>
            <w:shd w:val="clear" w:color="auto" w:fill="EFEFEF"/>
            <w:noWrap/>
            <w:vAlign w:val="center"/>
            <w:hideMark/>
          </w:tcPr>
          <w:p w14:paraId="18E9B60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32,41</w:t>
            </w:r>
            <w:r w:rsidRPr="003C74B7">
              <w:rPr>
                <w:rFonts w:asciiTheme="minorHAnsi" w:hAnsiTheme="minorHAnsi" w:cstheme="minorHAnsi"/>
                <w:sz w:val="24"/>
                <w:szCs w:val="24"/>
                <w:lang w:eastAsia="sk-SK"/>
              </w:rPr>
              <w:t xml:space="preserve"> </w:t>
            </w:r>
          </w:p>
        </w:tc>
        <w:tc>
          <w:tcPr>
            <w:tcW w:w="1205" w:type="pct"/>
            <w:vMerge/>
            <w:shd w:val="clear" w:color="auto" w:fill="EFEFEF"/>
            <w:vAlign w:val="center"/>
            <w:hideMark/>
          </w:tcPr>
          <w:p w14:paraId="58F7DA77"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4E747CC7" w14:textId="77777777" w:rsidTr="00314060">
        <w:trPr>
          <w:tblCellSpacing w:w="15" w:type="dxa"/>
        </w:trPr>
        <w:tc>
          <w:tcPr>
            <w:tcW w:w="0" w:type="auto"/>
            <w:shd w:val="clear" w:color="auto" w:fill="EFEFEF"/>
            <w:noWrap/>
            <w:vAlign w:val="center"/>
            <w:hideMark/>
          </w:tcPr>
          <w:p w14:paraId="0316BA8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19FF3B5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6F935D9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0,00</w:t>
            </w:r>
            <w:r w:rsidRPr="003C74B7">
              <w:rPr>
                <w:rFonts w:asciiTheme="minorHAnsi" w:hAnsiTheme="minorHAnsi" w:cstheme="minorHAnsi"/>
                <w:sz w:val="24"/>
                <w:szCs w:val="24"/>
                <w:lang w:eastAsia="sk-SK"/>
              </w:rPr>
              <w:t xml:space="preserve"> </w:t>
            </w:r>
          </w:p>
        </w:tc>
        <w:tc>
          <w:tcPr>
            <w:tcW w:w="749" w:type="pct"/>
            <w:shd w:val="clear" w:color="auto" w:fill="EFEFEF"/>
            <w:noWrap/>
            <w:vAlign w:val="center"/>
            <w:hideMark/>
          </w:tcPr>
          <w:p w14:paraId="0379EEB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142 506,74</w:t>
            </w:r>
            <w:r w:rsidRPr="003C74B7">
              <w:rPr>
                <w:rFonts w:asciiTheme="minorHAnsi" w:hAnsiTheme="minorHAnsi" w:cstheme="minorHAnsi"/>
                <w:sz w:val="24"/>
                <w:szCs w:val="24"/>
                <w:lang w:eastAsia="sk-SK"/>
              </w:rPr>
              <w:t xml:space="preserve"> </w:t>
            </w:r>
          </w:p>
        </w:tc>
        <w:tc>
          <w:tcPr>
            <w:tcW w:w="635" w:type="pct"/>
            <w:shd w:val="clear" w:color="auto" w:fill="EFEFEF"/>
            <w:noWrap/>
            <w:vAlign w:val="center"/>
            <w:hideMark/>
          </w:tcPr>
          <w:p w14:paraId="77C8281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142 506,74</w:t>
            </w:r>
            <w:r w:rsidRPr="003C74B7">
              <w:rPr>
                <w:rFonts w:asciiTheme="minorHAnsi" w:hAnsiTheme="minorHAnsi" w:cstheme="minorHAnsi"/>
                <w:sz w:val="24"/>
                <w:szCs w:val="24"/>
                <w:lang w:eastAsia="sk-SK"/>
              </w:rPr>
              <w:t xml:space="preserve"> </w:t>
            </w:r>
          </w:p>
        </w:tc>
        <w:tc>
          <w:tcPr>
            <w:tcW w:w="538" w:type="pct"/>
            <w:shd w:val="clear" w:color="auto" w:fill="EFEFEF"/>
            <w:noWrap/>
            <w:vAlign w:val="center"/>
            <w:hideMark/>
          </w:tcPr>
          <w:p w14:paraId="54B5ED7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1205" w:type="pct"/>
            <w:vMerge/>
            <w:shd w:val="clear" w:color="auto" w:fill="EFEFEF"/>
            <w:vAlign w:val="center"/>
            <w:hideMark/>
          </w:tcPr>
          <w:p w14:paraId="6264C207"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6EC91ECD" w14:textId="77777777" w:rsidTr="00314060">
        <w:trPr>
          <w:tblCellSpacing w:w="15" w:type="dxa"/>
        </w:trPr>
        <w:tc>
          <w:tcPr>
            <w:tcW w:w="0" w:type="auto"/>
            <w:shd w:val="clear" w:color="auto" w:fill="D9D9D9"/>
            <w:noWrap/>
            <w:vAlign w:val="center"/>
            <w:hideMark/>
          </w:tcPr>
          <w:p w14:paraId="65E3D04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700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6FB9586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Kapitálové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34806A5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0,00</w:t>
            </w:r>
            <w:r w:rsidRPr="003C74B7">
              <w:rPr>
                <w:rFonts w:asciiTheme="minorHAnsi" w:hAnsiTheme="minorHAnsi" w:cstheme="minorHAnsi"/>
                <w:sz w:val="24"/>
                <w:szCs w:val="24"/>
                <w:lang w:eastAsia="sk-SK"/>
              </w:rPr>
              <w:t xml:space="preserve"> </w:t>
            </w:r>
          </w:p>
        </w:tc>
        <w:tc>
          <w:tcPr>
            <w:tcW w:w="749" w:type="pct"/>
            <w:shd w:val="clear" w:color="auto" w:fill="D9D9D9"/>
            <w:noWrap/>
            <w:vAlign w:val="center"/>
            <w:hideMark/>
          </w:tcPr>
          <w:p w14:paraId="3D7D45A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67 013,11</w:t>
            </w:r>
            <w:r w:rsidRPr="003C74B7">
              <w:rPr>
                <w:rFonts w:asciiTheme="minorHAnsi" w:hAnsiTheme="minorHAnsi" w:cstheme="minorHAnsi"/>
                <w:sz w:val="24"/>
                <w:szCs w:val="24"/>
                <w:lang w:eastAsia="sk-SK"/>
              </w:rPr>
              <w:t xml:space="preserve"> </w:t>
            </w:r>
          </w:p>
        </w:tc>
        <w:tc>
          <w:tcPr>
            <w:tcW w:w="635" w:type="pct"/>
            <w:shd w:val="clear" w:color="auto" w:fill="D9D9D9"/>
            <w:noWrap/>
            <w:vAlign w:val="center"/>
            <w:hideMark/>
          </w:tcPr>
          <w:p w14:paraId="09E5152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35 885,70</w:t>
            </w:r>
            <w:r w:rsidRPr="003C74B7">
              <w:rPr>
                <w:rFonts w:asciiTheme="minorHAnsi" w:hAnsiTheme="minorHAnsi" w:cstheme="minorHAnsi"/>
                <w:sz w:val="24"/>
                <w:szCs w:val="24"/>
                <w:lang w:eastAsia="sk-SK"/>
              </w:rPr>
              <w:t xml:space="preserve"> </w:t>
            </w:r>
          </w:p>
        </w:tc>
        <w:tc>
          <w:tcPr>
            <w:tcW w:w="538" w:type="pct"/>
            <w:shd w:val="clear" w:color="auto" w:fill="D9D9D9"/>
            <w:noWrap/>
            <w:vAlign w:val="center"/>
            <w:hideMark/>
          </w:tcPr>
          <w:p w14:paraId="3468F63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53,55</w:t>
            </w:r>
            <w:r w:rsidRPr="003C74B7">
              <w:rPr>
                <w:rFonts w:asciiTheme="minorHAnsi" w:hAnsiTheme="minorHAnsi" w:cstheme="minorHAnsi"/>
                <w:sz w:val="24"/>
                <w:szCs w:val="24"/>
                <w:lang w:eastAsia="sk-SK"/>
              </w:rPr>
              <w:t xml:space="preserve"> </w:t>
            </w:r>
          </w:p>
        </w:tc>
        <w:tc>
          <w:tcPr>
            <w:tcW w:w="1205" w:type="pct"/>
            <w:vMerge/>
            <w:shd w:val="clear" w:color="auto" w:fill="D9D9D9"/>
            <w:vAlign w:val="center"/>
            <w:hideMark/>
          </w:tcPr>
          <w:p w14:paraId="39BBA581"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70AA665D" w14:textId="77777777" w:rsidTr="00314060">
        <w:trPr>
          <w:tblCellSpacing w:w="15" w:type="dxa"/>
        </w:trPr>
        <w:tc>
          <w:tcPr>
            <w:tcW w:w="0" w:type="auto"/>
            <w:shd w:val="clear" w:color="auto" w:fill="EFEFEF"/>
            <w:noWrap/>
            <w:vAlign w:val="center"/>
            <w:hideMark/>
          </w:tcPr>
          <w:p w14:paraId="34AF8F9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710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4E255EAA" w14:textId="77777777" w:rsidR="00314060" w:rsidRPr="003C74B7" w:rsidRDefault="00314060" w:rsidP="00314060">
            <w:pPr>
              <w:spacing w:after="0" w:line="240" w:lineRule="auto"/>
              <w:rPr>
                <w:rFonts w:asciiTheme="minorHAnsi" w:hAnsiTheme="minorHAnsi" w:cstheme="minorHAnsi"/>
                <w:sz w:val="24"/>
                <w:szCs w:val="24"/>
                <w:lang w:eastAsia="sk-SK"/>
              </w:rPr>
            </w:pPr>
            <w:proofErr w:type="spellStart"/>
            <w:r w:rsidRPr="003C74B7">
              <w:rPr>
                <w:rFonts w:asciiTheme="minorHAnsi" w:hAnsiTheme="minorHAnsi" w:cstheme="minorHAnsi"/>
                <w:sz w:val="20"/>
                <w:szCs w:val="20"/>
                <w:lang w:eastAsia="sk-SK"/>
              </w:rPr>
              <w:t>Obst</w:t>
            </w:r>
            <w:proofErr w:type="spellEnd"/>
            <w:r w:rsidRPr="003C74B7">
              <w:rPr>
                <w:rFonts w:asciiTheme="minorHAnsi" w:hAnsiTheme="minorHAnsi" w:cstheme="minorHAnsi"/>
                <w:sz w:val="20"/>
                <w:szCs w:val="20"/>
                <w:lang w:eastAsia="sk-SK"/>
              </w:rPr>
              <w:t xml:space="preserve">. </w:t>
            </w:r>
            <w:proofErr w:type="spellStart"/>
            <w:r w:rsidRPr="003C74B7">
              <w:rPr>
                <w:rFonts w:asciiTheme="minorHAnsi" w:hAnsiTheme="minorHAnsi" w:cstheme="minorHAnsi"/>
                <w:sz w:val="20"/>
                <w:szCs w:val="20"/>
                <w:lang w:eastAsia="sk-SK"/>
              </w:rPr>
              <w:t>kapit</w:t>
            </w:r>
            <w:proofErr w:type="spellEnd"/>
            <w:r w:rsidRPr="003C74B7">
              <w:rPr>
                <w:rFonts w:asciiTheme="minorHAnsi" w:hAnsiTheme="minorHAnsi" w:cstheme="minorHAnsi"/>
                <w:sz w:val="20"/>
                <w:szCs w:val="20"/>
                <w:lang w:eastAsia="sk-SK"/>
              </w:rPr>
              <w:t>. aktív</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0AAD776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0,00</w:t>
            </w:r>
            <w:r w:rsidRPr="003C74B7">
              <w:rPr>
                <w:rFonts w:asciiTheme="minorHAnsi" w:hAnsiTheme="minorHAnsi" w:cstheme="minorHAnsi"/>
                <w:sz w:val="24"/>
                <w:szCs w:val="24"/>
                <w:lang w:eastAsia="sk-SK"/>
              </w:rPr>
              <w:t xml:space="preserve"> </w:t>
            </w:r>
          </w:p>
        </w:tc>
        <w:tc>
          <w:tcPr>
            <w:tcW w:w="749" w:type="pct"/>
            <w:shd w:val="clear" w:color="auto" w:fill="EFEFEF"/>
            <w:noWrap/>
            <w:vAlign w:val="center"/>
            <w:hideMark/>
          </w:tcPr>
          <w:p w14:paraId="3BCB580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67 013,11</w:t>
            </w:r>
            <w:r w:rsidRPr="003C74B7">
              <w:rPr>
                <w:rFonts w:asciiTheme="minorHAnsi" w:hAnsiTheme="minorHAnsi" w:cstheme="minorHAnsi"/>
                <w:sz w:val="24"/>
                <w:szCs w:val="24"/>
                <w:lang w:eastAsia="sk-SK"/>
              </w:rPr>
              <w:t xml:space="preserve"> </w:t>
            </w:r>
          </w:p>
        </w:tc>
        <w:tc>
          <w:tcPr>
            <w:tcW w:w="635" w:type="pct"/>
            <w:shd w:val="clear" w:color="auto" w:fill="EFEFEF"/>
            <w:noWrap/>
            <w:vAlign w:val="center"/>
            <w:hideMark/>
          </w:tcPr>
          <w:p w14:paraId="02FBFC2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35 885,70</w:t>
            </w:r>
            <w:r w:rsidRPr="003C74B7">
              <w:rPr>
                <w:rFonts w:asciiTheme="minorHAnsi" w:hAnsiTheme="minorHAnsi" w:cstheme="minorHAnsi"/>
                <w:sz w:val="24"/>
                <w:szCs w:val="24"/>
                <w:lang w:eastAsia="sk-SK"/>
              </w:rPr>
              <w:t xml:space="preserve"> </w:t>
            </w:r>
          </w:p>
        </w:tc>
        <w:tc>
          <w:tcPr>
            <w:tcW w:w="538" w:type="pct"/>
            <w:shd w:val="clear" w:color="auto" w:fill="EFEFEF"/>
            <w:noWrap/>
            <w:vAlign w:val="center"/>
            <w:hideMark/>
          </w:tcPr>
          <w:p w14:paraId="18060DB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53,55</w:t>
            </w:r>
            <w:r w:rsidRPr="003C74B7">
              <w:rPr>
                <w:rFonts w:asciiTheme="minorHAnsi" w:hAnsiTheme="minorHAnsi" w:cstheme="minorHAnsi"/>
                <w:sz w:val="24"/>
                <w:szCs w:val="24"/>
                <w:lang w:eastAsia="sk-SK"/>
              </w:rPr>
              <w:t xml:space="preserve"> </w:t>
            </w:r>
          </w:p>
        </w:tc>
        <w:tc>
          <w:tcPr>
            <w:tcW w:w="1205" w:type="pct"/>
            <w:vMerge/>
            <w:shd w:val="clear" w:color="auto" w:fill="EFEFEF"/>
            <w:vAlign w:val="center"/>
            <w:hideMark/>
          </w:tcPr>
          <w:p w14:paraId="3B48BDE9"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5425EC01"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002"/>
        <w:gridCol w:w="651"/>
        <w:gridCol w:w="1543"/>
        <w:gridCol w:w="1111"/>
        <w:gridCol w:w="4159"/>
      </w:tblGrid>
      <w:tr w:rsidR="00314060" w:rsidRPr="003C74B7" w14:paraId="339B12C5" w14:textId="77777777" w:rsidTr="00314060">
        <w:trPr>
          <w:tblCellSpacing w:w="15" w:type="dxa"/>
        </w:trPr>
        <w:tc>
          <w:tcPr>
            <w:tcW w:w="0" w:type="auto"/>
            <w:shd w:val="clear" w:color="auto" w:fill="C2D69B"/>
            <w:vAlign w:val="center"/>
            <w:hideMark/>
          </w:tcPr>
          <w:p w14:paraId="4DDBC3B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02EF5BA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Spracovanie odborných materiálov, organizovanie a podpora kultúrnych aktivít a podujatí</w:t>
            </w:r>
            <w:r w:rsidRPr="003C74B7">
              <w:rPr>
                <w:rFonts w:asciiTheme="minorHAnsi" w:hAnsiTheme="minorHAnsi" w:cstheme="minorHAnsi"/>
                <w:sz w:val="24"/>
                <w:szCs w:val="24"/>
                <w:lang w:eastAsia="sk-SK"/>
              </w:rPr>
              <w:t xml:space="preserve"> </w:t>
            </w:r>
          </w:p>
        </w:tc>
      </w:tr>
      <w:tr w:rsidR="00314060" w:rsidRPr="003C74B7" w14:paraId="3ABBFC16" w14:textId="77777777" w:rsidTr="00314060">
        <w:trPr>
          <w:tblCellSpacing w:w="15" w:type="dxa"/>
        </w:trPr>
        <w:tc>
          <w:tcPr>
            <w:tcW w:w="0" w:type="auto"/>
            <w:shd w:val="clear" w:color="auto" w:fill="C2D69B"/>
            <w:vAlign w:val="center"/>
            <w:hideMark/>
          </w:tcPr>
          <w:p w14:paraId="5F2BDCE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30C6190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materiálov, aktivít a podujatí</w:t>
            </w:r>
            <w:r w:rsidRPr="003C74B7">
              <w:rPr>
                <w:rFonts w:asciiTheme="minorHAnsi" w:hAnsiTheme="minorHAnsi" w:cstheme="minorHAnsi"/>
                <w:sz w:val="24"/>
                <w:szCs w:val="24"/>
                <w:lang w:eastAsia="sk-SK"/>
              </w:rPr>
              <w:t xml:space="preserve"> </w:t>
            </w:r>
          </w:p>
        </w:tc>
      </w:tr>
      <w:tr w:rsidR="00314060" w:rsidRPr="003C74B7" w14:paraId="31F5A5DC" w14:textId="77777777" w:rsidTr="00314060">
        <w:trPr>
          <w:tblCellSpacing w:w="15" w:type="dxa"/>
        </w:trPr>
        <w:tc>
          <w:tcPr>
            <w:tcW w:w="0" w:type="auto"/>
            <w:shd w:val="clear" w:color="auto" w:fill="C2D69B"/>
            <w:vAlign w:val="center"/>
            <w:hideMark/>
          </w:tcPr>
          <w:p w14:paraId="58C2B53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40AE643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7D480B3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4FE235E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343A0C4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2C198819" w14:textId="77777777" w:rsidTr="00314060">
        <w:trPr>
          <w:tblCellSpacing w:w="15" w:type="dxa"/>
        </w:trPr>
        <w:tc>
          <w:tcPr>
            <w:tcW w:w="0" w:type="auto"/>
            <w:shd w:val="clear" w:color="auto" w:fill="C2D69B"/>
            <w:vAlign w:val="center"/>
            <w:hideMark/>
          </w:tcPr>
          <w:p w14:paraId="37E8A6E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7357349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12</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738A8FA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12</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25B5D60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Splnené</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4BE1AF93"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V priebehu sledovaného obdobia prebiehali plánované práce a aktivity na projekte rekonštrukcie MOS Modra, v súvislosti s rekonštrukciou Synagógy v Senci začali práce na príprave novej expozície, príprava prezentácie archeologických nálezov a vybavenie interiéru a Infocentra. Osobitná pozornosť bola venovaná projektom ochrany pamiatok Múzea </w:t>
            </w:r>
            <w:proofErr w:type="spellStart"/>
            <w:r w:rsidRPr="003C74B7">
              <w:rPr>
                <w:rFonts w:asciiTheme="minorHAnsi" w:hAnsiTheme="minorHAnsi" w:cstheme="minorHAnsi"/>
                <w:sz w:val="20"/>
                <w:szCs w:val="20"/>
                <w:lang w:eastAsia="sk-SK"/>
              </w:rPr>
              <w:t>Ferdiša</w:t>
            </w:r>
            <w:proofErr w:type="spellEnd"/>
            <w:r w:rsidRPr="003C74B7">
              <w:rPr>
                <w:rFonts w:asciiTheme="minorHAnsi" w:hAnsiTheme="minorHAnsi" w:cstheme="minorHAnsi"/>
                <w:sz w:val="20"/>
                <w:szCs w:val="20"/>
                <w:lang w:eastAsia="sk-SK"/>
              </w:rPr>
              <w:t xml:space="preserve"> Kostku v Stupave, kde pokračovali práce na rekonštrukcii sanácie vlhkých murív, vybudovaniu nových depozitných priestorov Malokarpatského múzea v Pezinku, bolo zabezpečené dobudovanie zázemia v novom divadelnom priestore Štúdia A2  v Divadle ASTORKA KORZO´90, v ktorom sa </w:t>
            </w:r>
            <w:r w:rsidRPr="003C74B7">
              <w:rPr>
                <w:rFonts w:asciiTheme="minorHAnsi" w:hAnsiTheme="minorHAnsi" w:cstheme="minorHAnsi"/>
                <w:sz w:val="20"/>
                <w:szCs w:val="20"/>
                <w:lang w:eastAsia="sk-SK"/>
              </w:rPr>
              <w:lastRenderedPageBreak/>
              <w:t xml:space="preserve">doplnilo osvetlenie, ozvučenie a vzduchotechnika. Ďalej pokračoval projekt Nová Cvernovka a rekonštrukcia objektu telocvične, pokračovala koordinácia výstupov k Stratégii kultúry na území BSK na roky 2021-2030 a príprava konečného dokumentu, podporilo sa kultúrno-kreatívne centrum v Novej Cvernovke. Boli zrealizované dve konferencie, v rámci projektu rekonštrukcie MOS Modra to bola konferencia Tradičné remeslá včera a dnes a 11. ročník konferencie BSK Dejiny školstva v Bratislavskej župe, ktorá bola realizovaná v online prostredí. Oddelenie kultúry predložilo do Z BSK v sledovanom období štyri materiály. Pokračoval ďalší ročník projektu BRDS a v závere roka oddelenie realizovalo projekt Víkend zatvorených hraníc so sprievodnými aktivitami tiež v online prostredí. </w:t>
            </w:r>
          </w:p>
        </w:tc>
      </w:tr>
    </w:tbl>
    <w:p w14:paraId="1CE87705" w14:textId="77777777" w:rsidR="005529E8" w:rsidRDefault="005529E8" w:rsidP="00314060">
      <w:pPr>
        <w:shd w:val="clear" w:color="auto" w:fill="FFFFFF"/>
        <w:spacing w:after="0" w:line="240" w:lineRule="auto"/>
        <w:jc w:val="both"/>
        <w:rPr>
          <w:rFonts w:asciiTheme="minorHAnsi" w:hAnsiTheme="minorHAnsi" w:cstheme="minorHAnsi"/>
          <w:b/>
          <w:bCs/>
          <w:lang w:eastAsia="sk-SK"/>
        </w:rPr>
      </w:pPr>
    </w:p>
    <w:p w14:paraId="0DC2D300" w14:textId="77777777" w:rsidR="005529E8" w:rsidRDefault="00314060" w:rsidP="00314060">
      <w:pPr>
        <w:shd w:val="clear" w:color="auto" w:fill="FFFFFF"/>
        <w:spacing w:after="0"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lang w:eastAsia="sk-SK"/>
        </w:rPr>
        <w:t xml:space="preserve">Všetky aktivity BSK vykonáva na základe platných legislatívnych noriem, a to predovšetkým na základe zákona NR SR č. 302/2001 </w:t>
      </w:r>
      <w:proofErr w:type="spellStart"/>
      <w:r w:rsidRPr="003C74B7">
        <w:rPr>
          <w:rFonts w:asciiTheme="minorHAnsi" w:hAnsiTheme="minorHAnsi" w:cstheme="minorHAnsi"/>
          <w:lang w:eastAsia="sk-SK"/>
        </w:rPr>
        <w:t>Z.z</w:t>
      </w:r>
      <w:proofErr w:type="spellEnd"/>
      <w:r w:rsidRPr="003C74B7">
        <w:rPr>
          <w:rFonts w:asciiTheme="minorHAnsi" w:hAnsiTheme="minorHAnsi" w:cstheme="minorHAnsi"/>
          <w:lang w:eastAsia="sk-SK"/>
        </w:rPr>
        <w:t xml:space="preserve">. o samosprávnych krajoch a zákona NR SR č. 416/2001 </w:t>
      </w:r>
      <w:proofErr w:type="spellStart"/>
      <w:r w:rsidRPr="003C74B7">
        <w:rPr>
          <w:rFonts w:asciiTheme="minorHAnsi" w:hAnsiTheme="minorHAnsi" w:cstheme="minorHAnsi"/>
          <w:lang w:eastAsia="sk-SK"/>
        </w:rPr>
        <w:t>Z.z</w:t>
      </w:r>
      <w:proofErr w:type="spellEnd"/>
      <w:r w:rsidRPr="003C74B7">
        <w:rPr>
          <w:rFonts w:asciiTheme="minorHAnsi" w:hAnsiTheme="minorHAnsi" w:cstheme="minorHAnsi"/>
          <w:lang w:eastAsia="sk-SK"/>
        </w:rPr>
        <w:t xml:space="preserve">. o prechode niektorých pôsobností z orgánov štátnej správy na obce a vyššie územné celky. Samosprávny kraj má v oblasti kultúry originálne kompetencie. </w:t>
      </w:r>
    </w:p>
    <w:p w14:paraId="405C5AE0" w14:textId="3217278E" w:rsidR="005529E8" w:rsidRDefault="00314060" w:rsidP="00314060">
      <w:pPr>
        <w:shd w:val="clear" w:color="auto" w:fill="FFFFFF"/>
        <w:spacing w:after="0" w:line="240" w:lineRule="auto"/>
        <w:jc w:val="both"/>
        <w:rPr>
          <w:rFonts w:asciiTheme="minorHAnsi" w:hAnsiTheme="minorHAnsi" w:cstheme="minorHAnsi"/>
          <w:lang w:eastAsia="sk-SK"/>
        </w:rPr>
      </w:pPr>
      <w:r w:rsidRPr="003C74B7">
        <w:rPr>
          <w:rFonts w:asciiTheme="minorHAnsi" w:hAnsiTheme="minorHAnsi" w:cstheme="minorHAnsi"/>
          <w:lang w:eastAsia="sk-SK"/>
        </w:rPr>
        <w:t xml:space="preserve">V priebehu sledovaného obdobia oddelenie kultúry pracovalo priebežne na všetkých plánovaných projektoch </w:t>
      </w:r>
      <w:r w:rsidR="005529E8">
        <w:rPr>
          <w:rFonts w:asciiTheme="minorHAnsi" w:hAnsiTheme="minorHAnsi" w:cstheme="minorHAnsi"/>
          <w:lang w:eastAsia="sk-SK"/>
        </w:rPr>
        <w:br/>
      </w:r>
      <w:r w:rsidRPr="003C74B7">
        <w:rPr>
          <w:rFonts w:asciiTheme="minorHAnsi" w:hAnsiTheme="minorHAnsi" w:cstheme="minorHAnsi"/>
          <w:lang w:eastAsia="sk-SK"/>
        </w:rPr>
        <w:t xml:space="preserve">a strategických materiáloch. Pokračoval projekt rekonštrukcie Synagógy v Senci, práce na projekte rekonštrukcie kaštieľa MOS v Modre, podporilo sa kultúrno-kreatívne centrum v Novej Cvernovke a osobitná pozornosť bola venovaná projektom ochrany pamiatok Múzea </w:t>
      </w:r>
      <w:proofErr w:type="spellStart"/>
      <w:r w:rsidRPr="003C74B7">
        <w:rPr>
          <w:rFonts w:asciiTheme="minorHAnsi" w:hAnsiTheme="minorHAnsi" w:cstheme="minorHAnsi"/>
          <w:lang w:eastAsia="sk-SK"/>
        </w:rPr>
        <w:t>Ferdiša</w:t>
      </w:r>
      <w:proofErr w:type="spellEnd"/>
      <w:r w:rsidRPr="003C74B7">
        <w:rPr>
          <w:rFonts w:asciiTheme="minorHAnsi" w:hAnsiTheme="minorHAnsi" w:cstheme="minorHAnsi"/>
          <w:lang w:eastAsia="sk-SK"/>
        </w:rPr>
        <w:t xml:space="preserve"> Kostku v Stupave, vybudovaniu nových depozitných priestorov Malokarpatského múzea v Pezinku. Pokračovali práce na príprave Stratégie rozvoja kultúry na roky 2021-2030. </w:t>
      </w:r>
      <w:r w:rsidR="005529E8">
        <w:rPr>
          <w:rFonts w:asciiTheme="minorHAnsi" w:hAnsiTheme="minorHAnsi" w:cstheme="minorHAnsi"/>
          <w:lang w:eastAsia="sk-SK"/>
        </w:rPr>
        <w:br/>
      </w:r>
      <w:r w:rsidRPr="003C74B7">
        <w:rPr>
          <w:rFonts w:asciiTheme="minorHAnsi" w:hAnsiTheme="minorHAnsi" w:cstheme="minorHAnsi"/>
          <w:lang w:eastAsia="sk-SK"/>
        </w:rPr>
        <w:t xml:space="preserve">Boli zrealizované dve konferencie, v rámci projektu rekonštrukcie MOS Modra to bola konferencia Tradičné remeslá včera a dnes a 11. ročník konferencie BSK Dejiny školstva v Bratislavskej župe realizovaný v online prostredí. Pokračoval projekt BRDS a v závere roka oddelenie zrealizovalo projekt Víkend zatvorených hraníc so sprievodnými aktivitami tiež v online prostredí. </w:t>
      </w:r>
    </w:p>
    <w:p w14:paraId="14495C9D" w14:textId="4EEC01A8" w:rsidR="00314060" w:rsidRPr="005529E8" w:rsidRDefault="00314060" w:rsidP="005529E8">
      <w:pPr>
        <w:shd w:val="clear" w:color="auto" w:fill="FFFFFF"/>
        <w:spacing w:after="0" w:line="240" w:lineRule="auto"/>
        <w:jc w:val="both"/>
        <w:rPr>
          <w:rFonts w:asciiTheme="minorHAnsi" w:hAnsiTheme="minorHAnsi" w:cstheme="minorHAnsi"/>
          <w:color w:val="201F1E"/>
          <w:lang w:eastAsia="sk-SK"/>
        </w:rPr>
      </w:pPr>
      <w:r w:rsidRPr="003C74B7">
        <w:rPr>
          <w:rFonts w:asciiTheme="minorHAnsi" w:hAnsiTheme="minorHAnsi" w:cstheme="minorHAnsi"/>
          <w:lang w:eastAsia="sk-SK"/>
        </w:rPr>
        <w:t xml:space="preserve">Oddelenie kultúry predložilo do Z BSK v sledovanom období štyri materiály: </w:t>
      </w:r>
      <w:r w:rsidRPr="003C74B7">
        <w:rPr>
          <w:rFonts w:asciiTheme="minorHAnsi" w:hAnsiTheme="minorHAnsi" w:cstheme="minorHAnsi"/>
          <w:color w:val="201F1E"/>
          <w:bdr w:val="none" w:sz="0" w:space="0" w:color="auto" w:frame="1"/>
          <w:lang w:eastAsia="sk-SK"/>
        </w:rPr>
        <w:t xml:space="preserve">Návrh na zrušenie Uznesenia Zastupiteľstva BSK č. 148/2019 zo dňa 14.06.2019 a zmenu časti Uznesenia Zastupiteľstva BSK č. 51/2016 a 65/2017 </w:t>
      </w:r>
      <w:r w:rsidR="005529E8">
        <w:rPr>
          <w:rFonts w:asciiTheme="minorHAnsi" w:hAnsiTheme="minorHAnsi" w:cstheme="minorHAnsi"/>
          <w:color w:val="201F1E"/>
          <w:bdr w:val="none" w:sz="0" w:space="0" w:color="auto" w:frame="1"/>
          <w:lang w:eastAsia="sk-SK"/>
        </w:rPr>
        <w:br/>
      </w:r>
      <w:r w:rsidRPr="003C74B7">
        <w:rPr>
          <w:rFonts w:asciiTheme="minorHAnsi" w:hAnsiTheme="minorHAnsi" w:cstheme="minorHAnsi"/>
          <w:color w:val="201F1E"/>
          <w:bdr w:val="none" w:sz="0" w:space="0" w:color="auto" w:frame="1"/>
          <w:lang w:eastAsia="sk-SK"/>
        </w:rPr>
        <w:t xml:space="preserve">z dôvodu hodného osobitného zreteľa, ktorým je rozšírenie projektu </w:t>
      </w:r>
      <w:proofErr w:type="spellStart"/>
      <w:r w:rsidRPr="003C74B7">
        <w:rPr>
          <w:rFonts w:asciiTheme="minorHAnsi" w:hAnsiTheme="minorHAnsi" w:cstheme="minorHAnsi"/>
          <w:color w:val="201F1E"/>
          <w:bdr w:val="none" w:sz="0" w:space="0" w:color="auto" w:frame="1"/>
          <w:lang w:eastAsia="sk-SK"/>
        </w:rPr>
        <w:t>TELOcvične</w:t>
      </w:r>
      <w:proofErr w:type="spellEnd"/>
      <w:r w:rsidRPr="003C74B7">
        <w:rPr>
          <w:rFonts w:asciiTheme="minorHAnsi" w:hAnsiTheme="minorHAnsi" w:cstheme="minorHAnsi"/>
          <w:color w:val="201F1E"/>
          <w:bdr w:val="none" w:sz="0" w:space="0" w:color="auto" w:frame="1"/>
          <w:lang w:eastAsia="sk-SK"/>
        </w:rPr>
        <w:t xml:space="preserve"> - Centra súčasného tanca </w:t>
      </w:r>
      <w:r w:rsidR="005529E8">
        <w:rPr>
          <w:rFonts w:asciiTheme="minorHAnsi" w:hAnsiTheme="minorHAnsi" w:cstheme="minorHAnsi"/>
          <w:color w:val="201F1E"/>
          <w:bdr w:val="none" w:sz="0" w:space="0" w:color="auto" w:frame="1"/>
          <w:lang w:eastAsia="sk-SK"/>
        </w:rPr>
        <w:br/>
      </w:r>
      <w:r w:rsidRPr="003C74B7">
        <w:rPr>
          <w:rFonts w:asciiTheme="minorHAnsi" w:hAnsiTheme="minorHAnsi" w:cstheme="minorHAnsi"/>
          <w:color w:val="201F1E"/>
          <w:bdr w:val="none" w:sz="0" w:space="0" w:color="auto" w:frame="1"/>
          <w:lang w:eastAsia="sk-SK"/>
        </w:rPr>
        <w:t xml:space="preserve">a </w:t>
      </w:r>
      <w:proofErr w:type="spellStart"/>
      <w:r w:rsidRPr="003C74B7">
        <w:rPr>
          <w:rFonts w:asciiTheme="minorHAnsi" w:hAnsiTheme="minorHAnsi" w:cstheme="minorHAnsi"/>
          <w:color w:val="201F1E"/>
          <w:bdr w:val="none" w:sz="0" w:space="0" w:color="auto" w:frame="1"/>
          <w:lang w:eastAsia="sk-SK"/>
        </w:rPr>
        <w:t>performatívnych</w:t>
      </w:r>
      <w:proofErr w:type="spellEnd"/>
      <w:r w:rsidRPr="003C74B7">
        <w:rPr>
          <w:rFonts w:asciiTheme="minorHAnsi" w:hAnsiTheme="minorHAnsi" w:cstheme="minorHAnsi"/>
          <w:color w:val="201F1E"/>
          <w:bdr w:val="none" w:sz="0" w:space="0" w:color="auto" w:frame="1"/>
          <w:lang w:eastAsia="sk-SK"/>
        </w:rPr>
        <w:t xml:space="preserve"> umení s cieľom vybudovania adekvátneho rezidenčného a skúšobného zázemia pre umeleckú komunitu súčasného tanca a </w:t>
      </w:r>
      <w:proofErr w:type="spellStart"/>
      <w:r w:rsidRPr="003C74B7">
        <w:rPr>
          <w:rFonts w:asciiTheme="minorHAnsi" w:hAnsiTheme="minorHAnsi" w:cstheme="minorHAnsi"/>
          <w:color w:val="201F1E"/>
          <w:bdr w:val="none" w:sz="0" w:space="0" w:color="auto" w:frame="1"/>
          <w:lang w:eastAsia="sk-SK"/>
        </w:rPr>
        <w:t>performatívnych</w:t>
      </w:r>
      <w:proofErr w:type="spellEnd"/>
      <w:r w:rsidRPr="003C74B7">
        <w:rPr>
          <w:rFonts w:asciiTheme="minorHAnsi" w:hAnsiTheme="minorHAnsi" w:cstheme="minorHAnsi"/>
          <w:color w:val="201F1E"/>
          <w:bdr w:val="none" w:sz="0" w:space="0" w:color="auto" w:frame="1"/>
          <w:lang w:eastAsia="sk-SK"/>
        </w:rPr>
        <w:t xml:space="preserve"> umení, Správu o činnosti kultúrnych zariadení v zriaďovateľskej pôsobnosti Bratislavského samosprávneho kraja za rok 2019, Návrh Výzvy na predkladanie žiadostí o poskytnutie dotácií Bratislavskej regionálnej dotačnej schémy na podporu kultúry na rok 2021 a materiál Návrh na vymenovanie členov Odbornej hodnotiacej komisie Bratislavskej regionálnej dotačnej schémy na podporu kultúry na roky 2021 – 2022.</w:t>
      </w:r>
    </w:p>
    <w:p w14:paraId="5D72AB3B" w14:textId="77777777" w:rsidR="00314060" w:rsidRPr="003C74B7" w:rsidRDefault="00314060"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r w:rsidRPr="003C74B7">
        <w:rPr>
          <w:rFonts w:asciiTheme="minorHAnsi" w:hAnsiTheme="minorHAnsi" w:cstheme="minorHAnsi"/>
          <w:b/>
          <w:bCs/>
          <w:color w:val="4F6228"/>
          <w:sz w:val="27"/>
          <w:szCs w:val="27"/>
          <w:lang w:eastAsia="sk-SK"/>
        </w:rPr>
        <w:t>Podprogram 10.3: Divadlá</w:t>
      </w:r>
    </w:p>
    <w:p w14:paraId="131FD91E"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Zabezpečenie kvalitnej a programovo bohatej ponuky divadiel.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73"/>
        <w:gridCol w:w="2276"/>
        <w:gridCol w:w="1331"/>
        <w:gridCol w:w="1398"/>
        <w:gridCol w:w="1460"/>
        <w:gridCol w:w="999"/>
        <w:gridCol w:w="2229"/>
      </w:tblGrid>
      <w:tr w:rsidR="00314060" w:rsidRPr="003C74B7" w14:paraId="77316B54" w14:textId="77777777" w:rsidTr="005529E8">
        <w:trPr>
          <w:tblCellSpacing w:w="15" w:type="dxa"/>
        </w:trPr>
        <w:tc>
          <w:tcPr>
            <w:tcW w:w="0" w:type="auto"/>
            <w:shd w:val="clear" w:color="auto" w:fill="C6DBF7"/>
            <w:vAlign w:val="center"/>
            <w:hideMark/>
          </w:tcPr>
          <w:p w14:paraId="47D90FD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1098" w:type="pct"/>
            <w:shd w:val="clear" w:color="auto" w:fill="C6DBF7"/>
            <w:vAlign w:val="center"/>
            <w:hideMark/>
          </w:tcPr>
          <w:p w14:paraId="6D4190E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0761F4E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69" w:type="pct"/>
            <w:shd w:val="clear" w:color="auto" w:fill="C6DBF7"/>
            <w:vAlign w:val="center"/>
            <w:hideMark/>
          </w:tcPr>
          <w:p w14:paraId="53FCC78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99" w:type="pct"/>
            <w:shd w:val="clear" w:color="auto" w:fill="C6DBF7"/>
            <w:vAlign w:val="center"/>
            <w:hideMark/>
          </w:tcPr>
          <w:p w14:paraId="237FC48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474" w:type="pct"/>
            <w:shd w:val="clear" w:color="auto" w:fill="C6DBF7"/>
            <w:vAlign w:val="center"/>
            <w:hideMark/>
          </w:tcPr>
          <w:p w14:paraId="77A2A51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1068" w:type="pct"/>
            <w:shd w:val="clear" w:color="auto" w:fill="C6DBF7"/>
            <w:vAlign w:val="center"/>
            <w:hideMark/>
          </w:tcPr>
          <w:p w14:paraId="35A4327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07377C51" w14:textId="77777777" w:rsidTr="005529E8">
        <w:trPr>
          <w:tblCellSpacing w:w="15" w:type="dxa"/>
        </w:trPr>
        <w:tc>
          <w:tcPr>
            <w:tcW w:w="0" w:type="auto"/>
            <w:shd w:val="clear" w:color="auto" w:fill="D9D9D9"/>
            <w:noWrap/>
            <w:vAlign w:val="center"/>
            <w:hideMark/>
          </w:tcPr>
          <w:p w14:paraId="3DEF5CC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22C6B0B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3B76D47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3 201 747,00</w:t>
            </w:r>
            <w:r w:rsidRPr="003C74B7">
              <w:rPr>
                <w:rFonts w:asciiTheme="minorHAnsi" w:hAnsiTheme="minorHAnsi" w:cstheme="minorHAnsi"/>
                <w:sz w:val="24"/>
                <w:szCs w:val="24"/>
                <w:lang w:eastAsia="sk-SK"/>
              </w:rPr>
              <w:t xml:space="preserve"> </w:t>
            </w:r>
          </w:p>
        </w:tc>
        <w:tc>
          <w:tcPr>
            <w:tcW w:w="669" w:type="pct"/>
            <w:shd w:val="clear" w:color="auto" w:fill="D9D9D9"/>
            <w:noWrap/>
            <w:vAlign w:val="center"/>
            <w:hideMark/>
          </w:tcPr>
          <w:p w14:paraId="58C2C87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3 093 751,00</w:t>
            </w:r>
            <w:r w:rsidRPr="003C74B7">
              <w:rPr>
                <w:rFonts w:asciiTheme="minorHAnsi" w:hAnsiTheme="minorHAnsi" w:cstheme="minorHAnsi"/>
                <w:sz w:val="24"/>
                <w:szCs w:val="24"/>
                <w:lang w:eastAsia="sk-SK"/>
              </w:rPr>
              <w:t xml:space="preserve"> </w:t>
            </w:r>
          </w:p>
        </w:tc>
        <w:tc>
          <w:tcPr>
            <w:tcW w:w="699" w:type="pct"/>
            <w:shd w:val="clear" w:color="auto" w:fill="D9D9D9"/>
            <w:noWrap/>
            <w:vAlign w:val="center"/>
            <w:hideMark/>
          </w:tcPr>
          <w:p w14:paraId="4390EC7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3 093 751,00</w:t>
            </w:r>
            <w:r w:rsidRPr="003C74B7">
              <w:rPr>
                <w:rFonts w:asciiTheme="minorHAnsi" w:hAnsiTheme="minorHAnsi" w:cstheme="minorHAnsi"/>
                <w:sz w:val="24"/>
                <w:szCs w:val="24"/>
                <w:lang w:eastAsia="sk-SK"/>
              </w:rPr>
              <w:t xml:space="preserve"> </w:t>
            </w:r>
          </w:p>
        </w:tc>
        <w:tc>
          <w:tcPr>
            <w:tcW w:w="474" w:type="pct"/>
            <w:shd w:val="clear" w:color="auto" w:fill="D9D9D9"/>
            <w:noWrap/>
            <w:vAlign w:val="center"/>
            <w:hideMark/>
          </w:tcPr>
          <w:p w14:paraId="29CBB73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1068" w:type="pct"/>
            <w:vMerge w:val="restart"/>
            <w:shd w:val="clear" w:color="auto" w:fill="D9D9D9"/>
            <w:vAlign w:val="center"/>
            <w:hideMark/>
          </w:tcPr>
          <w:p w14:paraId="07419999" w14:textId="77777777" w:rsidR="00314060" w:rsidRPr="003C74B7" w:rsidRDefault="00314060" w:rsidP="005529E8">
            <w:pPr>
              <w:spacing w:after="0" w:line="240" w:lineRule="auto"/>
              <w:jc w:val="center"/>
              <w:rPr>
                <w:rFonts w:asciiTheme="minorHAnsi" w:hAnsiTheme="minorHAnsi" w:cstheme="minorHAnsi"/>
                <w:b/>
                <w:sz w:val="20"/>
                <w:szCs w:val="20"/>
                <w:lang w:eastAsia="sk-SK"/>
              </w:rPr>
            </w:pPr>
            <w:r w:rsidRPr="003C74B7">
              <w:rPr>
                <w:rFonts w:asciiTheme="minorHAnsi" w:hAnsiTheme="minorHAnsi" w:cstheme="minorHAnsi"/>
                <w:b/>
                <w:sz w:val="20"/>
                <w:szCs w:val="20"/>
                <w:lang w:eastAsia="sk-SK"/>
              </w:rPr>
              <w:t>Zmeny rozpočtu sa nachádzajú pri prvkoch</w:t>
            </w:r>
          </w:p>
          <w:p w14:paraId="7AAE2E69"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07FE4FBB" w14:textId="77777777" w:rsidTr="005529E8">
        <w:trPr>
          <w:tblCellSpacing w:w="15" w:type="dxa"/>
        </w:trPr>
        <w:tc>
          <w:tcPr>
            <w:tcW w:w="0" w:type="auto"/>
            <w:shd w:val="clear" w:color="auto" w:fill="D9D9D9"/>
            <w:noWrap/>
            <w:vAlign w:val="center"/>
            <w:hideMark/>
          </w:tcPr>
          <w:p w14:paraId="76A8E0C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47C50D3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6D98AA7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3 201 747,00</w:t>
            </w:r>
            <w:r w:rsidRPr="003C74B7">
              <w:rPr>
                <w:rFonts w:asciiTheme="minorHAnsi" w:hAnsiTheme="minorHAnsi" w:cstheme="minorHAnsi"/>
                <w:sz w:val="24"/>
                <w:szCs w:val="24"/>
                <w:lang w:eastAsia="sk-SK"/>
              </w:rPr>
              <w:t xml:space="preserve"> </w:t>
            </w:r>
          </w:p>
        </w:tc>
        <w:tc>
          <w:tcPr>
            <w:tcW w:w="669" w:type="pct"/>
            <w:shd w:val="clear" w:color="auto" w:fill="D9D9D9"/>
            <w:noWrap/>
            <w:vAlign w:val="center"/>
            <w:hideMark/>
          </w:tcPr>
          <w:p w14:paraId="14D01C2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3 093 751,00</w:t>
            </w:r>
            <w:r w:rsidRPr="003C74B7">
              <w:rPr>
                <w:rFonts w:asciiTheme="minorHAnsi" w:hAnsiTheme="minorHAnsi" w:cstheme="minorHAnsi"/>
                <w:sz w:val="24"/>
                <w:szCs w:val="24"/>
                <w:lang w:eastAsia="sk-SK"/>
              </w:rPr>
              <w:t xml:space="preserve"> </w:t>
            </w:r>
          </w:p>
        </w:tc>
        <w:tc>
          <w:tcPr>
            <w:tcW w:w="699" w:type="pct"/>
            <w:shd w:val="clear" w:color="auto" w:fill="D9D9D9"/>
            <w:noWrap/>
            <w:vAlign w:val="center"/>
            <w:hideMark/>
          </w:tcPr>
          <w:p w14:paraId="0ED5C3E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3 093 751,00</w:t>
            </w:r>
            <w:r w:rsidRPr="003C74B7">
              <w:rPr>
                <w:rFonts w:asciiTheme="minorHAnsi" w:hAnsiTheme="minorHAnsi" w:cstheme="minorHAnsi"/>
                <w:sz w:val="24"/>
                <w:szCs w:val="24"/>
                <w:lang w:eastAsia="sk-SK"/>
              </w:rPr>
              <w:t xml:space="preserve"> </w:t>
            </w:r>
          </w:p>
        </w:tc>
        <w:tc>
          <w:tcPr>
            <w:tcW w:w="474" w:type="pct"/>
            <w:shd w:val="clear" w:color="auto" w:fill="D9D9D9"/>
            <w:noWrap/>
            <w:vAlign w:val="center"/>
            <w:hideMark/>
          </w:tcPr>
          <w:p w14:paraId="39C8B7A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1068" w:type="pct"/>
            <w:vMerge/>
            <w:shd w:val="clear" w:color="auto" w:fill="D9D9D9"/>
            <w:vAlign w:val="center"/>
            <w:hideMark/>
          </w:tcPr>
          <w:p w14:paraId="64395EFF"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4237508A" w14:textId="77777777" w:rsidTr="005529E8">
        <w:trPr>
          <w:tblCellSpacing w:w="15" w:type="dxa"/>
        </w:trPr>
        <w:tc>
          <w:tcPr>
            <w:tcW w:w="0" w:type="auto"/>
            <w:shd w:val="clear" w:color="auto" w:fill="EFEFEF"/>
            <w:noWrap/>
            <w:vAlign w:val="center"/>
            <w:hideMark/>
          </w:tcPr>
          <w:p w14:paraId="42456C6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7C5CC9D0"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0EB7305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3 201 747,00</w:t>
            </w:r>
            <w:r w:rsidRPr="003C74B7">
              <w:rPr>
                <w:rFonts w:asciiTheme="minorHAnsi" w:hAnsiTheme="minorHAnsi" w:cstheme="minorHAnsi"/>
                <w:sz w:val="24"/>
                <w:szCs w:val="24"/>
                <w:lang w:eastAsia="sk-SK"/>
              </w:rPr>
              <w:t xml:space="preserve"> </w:t>
            </w:r>
          </w:p>
        </w:tc>
        <w:tc>
          <w:tcPr>
            <w:tcW w:w="669" w:type="pct"/>
            <w:shd w:val="clear" w:color="auto" w:fill="EFEFEF"/>
            <w:noWrap/>
            <w:vAlign w:val="center"/>
            <w:hideMark/>
          </w:tcPr>
          <w:p w14:paraId="24C561B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3 093 751,00</w:t>
            </w:r>
            <w:r w:rsidRPr="003C74B7">
              <w:rPr>
                <w:rFonts w:asciiTheme="minorHAnsi" w:hAnsiTheme="minorHAnsi" w:cstheme="minorHAnsi"/>
                <w:sz w:val="24"/>
                <w:szCs w:val="24"/>
                <w:lang w:eastAsia="sk-SK"/>
              </w:rPr>
              <w:t xml:space="preserve"> </w:t>
            </w:r>
          </w:p>
        </w:tc>
        <w:tc>
          <w:tcPr>
            <w:tcW w:w="699" w:type="pct"/>
            <w:shd w:val="clear" w:color="auto" w:fill="EFEFEF"/>
            <w:noWrap/>
            <w:vAlign w:val="center"/>
            <w:hideMark/>
          </w:tcPr>
          <w:p w14:paraId="4342EF4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3 093 751,00</w:t>
            </w:r>
            <w:r w:rsidRPr="003C74B7">
              <w:rPr>
                <w:rFonts w:asciiTheme="minorHAnsi" w:hAnsiTheme="minorHAnsi" w:cstheme="minorHAnsi"/>
                <w:sz w:val="24"/>
                <w:szCs w:val="24"/>
                <w:lang w:eastAsia="sk-SK"/>
              </w:rPr>
              <w:t xml:space="preserve"> </w:t>
            </w:r>
          </w:p>
        </w:tc>
        <w:tc>
          <w:tcPr>
            <w:tcW w:w="474" w:type="pct"/>
            <w:shd w:val="clear" w:color="auto" w:fill="EFEFEF"/>
            <w:noWrap/>
            <w:vAlign w:val="center"/>
            <w:hideMark/>
          </w:tcPr>
          <w:p w14:paraId="79E2D819"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1068" w:type="pct"/>
            <w:vMerge/>
            <w:shd w:val="clear" w:color="auto" w:fill="EFEFEF"/>
            <w:vAlign w:val="center"/>
            <w:hideMark/>
          </w:tcPr>
          <w:p w14:paraId="0E893EB5"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5F198D1B" w14:textId="6EB18911"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lang w:eastAsia="sk-SK"/>
        </w:rPr>
        <w:t xml:space="preserve">Bratislavský samosprávny kraj má vo svojej pôsobnosti 4 divadlá. Divadlo Aréna sídli vo vlastných priestoroch. Divadlo ASTORKA KORZO´90 pôsobí v priestoroch prenajatých MK SR, Bratislavské bábkové divadlo </w:t>
      </w:r>
      <w:r w:rsidR="005529E8">
        <w:rPr>
          <w:rFonts w:asciiTheme="minorHAnsi" w:hAnsiTheme="minorHAnsi" w:cstheme="minorHAnsi"/>
          <w:lang w:eastAsia="sk-SK"/>
        </w:rPr>
        <w:br/>
      </w:r>
      <w:r w:rsidRPr="003C74B7">
        <w:rPr>
          <w:rFonts w:asciiTheme="minorHAnsi" w:hAnsiTheme="minorHAnsi" w:cstheme="minorHAnsi"/>
          <w:lang w:eastAsia="sk-SK"/>
        </w:rPr>
        <w:t xml:space="preserve">a Divadlo LUDUS svoje aktivity vyvíjajú tiež v prenajatých priestoroch. Trvalou snahou BSK je stabilizácia fyzickej </w:t>
      </w:r>
      <w:r w:rsidRPr="003C74B7">
        <w:rPr>
          <w:rFonts w:asciiTheme="minorHAnsi" w:hAnsiTheme="minorHAnsi" w:cstheme="minorHAnsi"/>
          <w:lang w:eastAsia="sk-SK"/>
        </w:rPr>
        <w:lastRenderedPageBreak/>
        <w:t xml:space="preserve">infraštruktúry kultúrnych objektov, z uvedeného dôvodu sú pripravené rekonštrukcie Bratislavského bábkového divadla a Divadla ARÉNA.  </w:t>
      </w:r>
    </w:p>
    <w:p w14:paraId="72472FE1" w14:textId="77777777" w:rsidR="00314060" w:rsidRPr="003C74B7" w:rsidRDefault="00314060" w:rsidP="00314060">
      <w:pPr>
        <w:spacing w:before="100" w:beforeAutospacing="1" w:after="100" w:afterAutospacing="1" w:line="240" w:lineRule="auto"/>
        <w:jc w:val="both"/>
        <w:outlineLvl w:val="3"/>
        <w:rPr>
          <w:rFonts w:asciiTheme="minorHAnsi" w:hAnsiTheme="minorHAnsi" w:cstheme="minorHAnsi"/>
          <w:b/>
          <w:bCs/>
          <w:color w:val="244061"/>
          <w:sz w:val="24"/>
          <w:szCs w:val="24"/>
          <w:lang w:eastAsia="sk-SK"/>
        </w:rPr>
      </w:pPr>
      <w:r w:rsidRPr="003C74B7">
        <w:rPr>
          <w:rFonts w:asciiTheme="minorHAnsi" w:hAnsiTheme="minorHAnsi" w:cstheme="minorHAnsi"/>
          <w:b/>
          <w:bCs/>
          <w:color w:val="244061"/>
          <w:sz w:val="24"/>
          <w:szCs w:val="24"/>
          <w:lang w:eastAsia="sk-SK"/>
        </w:rPr>
        <w:t>Prvok 10.3.1: Divadlo ARÉNA</w:t>
      </w:r>
    </w:p>
    <w:p w14:paraId="3004BA3C"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Zabezpečiť divadelnú programovú ponuku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81"/>
        <w:gridCol w:w="2023"/>
        <w:gridCol w:w="1172"/>
        <w:gridCol w:w="1685"/>
        <w:gridCol w:w="1333"/>
        <w:gridCol w:w="992"/>
        <w:gridCol w:w="2480"/>
      </w:tblGrid>
      <w:tr w:rsidR="00314060" w:rsidRPr="003C74B7" w14:paraId="30269114" w14:textId="77777777" w:rsidTr="005529E8">
        <w:trPr>
          <w:tblCellSpacing w:w="15" w:type="dxa"/>
        </w:trPr>
        <w:tc>
          <w:tcPr>
            <w:tcW w:w="0" w:type="auto"/>
            <w:shd w:val="clear" w:color="auto" w:fill="C6DBF7"/>
            <w:vAlign w:val="center"/>
            <w:hideMark/>
          </w:tcPr>
          <w:p w14:paraId="40694E1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952" w:type="pct"/>
            <w:shd w:val="clear" w:color="auto" w:fill="C6DBF7"/>
            <w:vAlign w:val="center"/>
            <w:hideMark/>
          </w:tcPr>
          <w:p w14:paraId="22E4937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35FA9D1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813" w:type="pct"/>
            <w:shd w:val="clear" w:color="auto" w:fill="C6DBF7"/>
            <w:vAlign w:val="center"/>
            <w:hideMark/>
          </w:tcPr>
          <w:p w14:paraId="6A69592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41" w:type="pct"/>
            <w:shd w:val="clear" w:color="auto" w:fill="C6DBF7"/>
            <w:vAlign w:val="center"/>
            <w:hideMark/>
          </w:tcPr>
          <w:p w14:paraId="668E89F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474" w:type="pct"/>
            <w:shd w:val="clear" w:color="auto" w:fill="C6DBF7"/>
            <w:vAlign w:val="center"/>
            <w:hideMark/>
          </w:tcPr>
          <w:p w14:paraId="0550475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1194" w:type="pct"/>
            <w:shd w:val="clear" w:color="auto" w:fill="C6DBF7"/>
            <w:vAlign w:val="center"/>
            <w:hideMark/>
          </w:tcPr>
          <w:p w14:paraId="73CD905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6BC6B94E" w14:textId="77777777" w:rsidTr="005529E8">
        <w:trPr>
          <w:tblCellSpacing w:w="15" w:type="dxa"/>
        </w:trPr>
        <w:tc>
          <w:tcPr>
            <w:tcW w:w="0" w:type="auto"/>
            <w:shd w:val="clear" w:color="auto" w:fill="D9D9D9"/>
            <w:noWrap/>
            <w:vAlign w:val="center"/>
            <w:hideMark/>
          </w:tcPr>
          <w:p w14:paraId="5298665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3B9AC25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3B1D656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881 874,00</w:t>
            </w:r>
            <w:r w:rsidRPr="003C74B7">
              <w:rPr>
                <w:rFonts w:asciiTheme="minorHAnsi" w:hAnsiTheme="minorHAnsi" w:cstheme="minorHAnsi"/>
                <w:sz w:val="24"/>
                <w:szCs w:val="24"/>
                <w:lang w:eastAsia="sk-SK"/>
              </w:rPr>
              <w:t xml:space="preserve"> </w:t>
            </w:r>
          </w:p>
        </w:tc>
        <w:tc>
          <w:tcPr>
            <w:tcW w:w="813" w:type="pct"/>
            <w:shd w:val="clear" w:color="auto" w:fill="D9D9D9"/>
            <w:noWrap/>
            <w:vAlign w:val="center"/>
            <w:hideMark/>
          </w:tcPr>
          <w:p w14:paraId="71C91C27"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947 874,00</w:t>
            </w:r>
            <w:r w:rsidRPr="003C74B7">
              <w:rPr>
                <w:rFonts w:asciiTheme="minorHAnsi" w:hAnsiTheme="minorHAnsi" w:cstheme="minorHAnsi"/>
                <w:sz w:val="24"/>
                <w:szCs w:val="24"/>
                <w:lang w:eastAsia="sk-SK"/>
              </w:rPr>
              <w:t xml:space="preserve"> </w:t>
            </w:r>
          </w:p>
        </w:tc>
        <w:tc>
          <w:tcPr>
            <w:tcW w:w="641" w:type="pct"/>
            <w:shd w:val="clear" w:color="auto" w:fill="D9D9D9"/>
            <w:noWrap/>
            <w:vAlign w:val="center"/>
            <w:hideMark/>
          </w:tcPr>
          <w:p w14:paraId="4B49F349"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947 874,00</w:t>
            </w:r>
            <w:r w:rsidRPr="003C74B7">
              <w:rPr>
                <w:rFonts w:asciiTheme="minorHAnsi" w:hAnsiTheme="minorHAnsi" w:cstheme="minorHAnsi"/>
                <w:sz w:val="24"/>
                <w:szCs w:val="24"/>
                <w:lang w:eastAsia="sk-SK"/>
              </w:rPr>
              <w:t xml:space="preserve"> </w:t>
            </w:r>
          </w:p>
        </w:tc>
        <w:tc>
          <w:tcPr>
            <w:tcW w:w="474" w:type="pct"/>
            <w:shd w:val="clear" w:color="auto" w:fill="D9D9D9"/>
            <w:noWrap/>
            <w:vAlign w:val="center"/>
            <w:hideMark/>
          </w:tcPr>
          <w:p w14:paraId="6F071FB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1194" w:type="pct"/>
            <w:vMerge w:val="restart"/>
            <w:shd w:val="clear" w:color="auto" w:fill="D9D9D9"/>
            <w:vAlign w:val="center"/>
            <w:hideMark/>
          </w:tcPr>
          <w:p w14:paraId="7F59AF42" w14:textId="77777777"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+15 000 EUR</w:t>
            </w:r>
            <w:r w:rsidRPr="003C74B7">
              <w:rPr>
                <w:rFonts w:asciiTheme="minorHAnsi" w:hAnsiTheme="minorHAnsi" w:cstheme="minorHAnsi"/>
                <w:sz w:val="20"/>
                <w:szCs w:val="20"/>
                <w:lang w:eastAsia="sk-SK"/>
              </w:rPr>
              <w:t xml:space="preserve"> dotácia BSK na hru Jánošík</w:t>
            </w:r>
          </w:p>
          <w:p w14:paraId="2EA58544" w14:textId="77777777"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+51 000 EUR</w:t>
            </w:r>
            <w:r w:rsidRPr="003C74B7">
              <w:rPr>
                <w:rFonts w:asciiTheme="minorHAnsi" w:hAnsiTheme="minorHAnsi" w:cstheme="minorHAnsi"/>
                <w:sz w:val="20"/>
                <w:szCs w:val="20"/>
                <w:lang w:eastAsia="sk-SK"/>
              </w:rPr>
              <w:t xml:space="preserve"> dotácia BSK  dofinancovanie miezd </w:t>
            </w:r>
          </w:p>
          <w:p w14:paraId="1EF65926"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1FE410B1" w14:textId="77777777" w:rsidTr="005529E8">
        <w:trPr>
          <w:tblCellSpacing w:w="15" w:type="dxa"/>
        </w:trPr>
        <w:tc>
          <w:tcPr>
            <w:tcW w:w="0" w:type="auto"/>
            <w:shd w:val="clear" w:color="auto" w:fill="D9D9D9"/>
            <w:noWrap/>
            <w:vAlign w:val="center"/>
            <w:hideMark/>
          </w:tcPr>
          <w:p w14:paraId="41BFCF8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768896E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7111EC3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881 874,00</w:t>
            </w:r>
            <w:r w:rsidRPr="003C74B7">
              <w:rPr>
                <w:rFonts w:asciiTheme="minorHAnsi" w:hAnsiTheme="minorHAnsi" w:cstheme="minorHAnsi"/>
                <w:sz w:val="24"/>
                <w:szCs w:val="24"/>
                <w:lang w:eastAsia="sk-SK"/>
              </w:rPr>
              <w:t xml:space="preserve"> </w:t>
            </w:r>
          </w:p>
        </w:tc>
        <w:tc>
          <w:tcPr>
            <w:tcW w:w="813" w:type="pct"/>
            <w:shd w:val="clear" w:color="auto" w:fill="D9D9D9"/>
            <w:noWrap/>
            <w:vAlign w:val="center"/>
            <w:hideMark/>
          </w:tcPr>
          <w:p w14:paraId="57A0D59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947 874,00</w:t>
            </w:r>
            <w:r w:rsidRPr="003C74B7">
              <w:rPr>
                <w:rFonts w:asciiTheme="minorHAnsi" w:hAnsiTheme="minorHAnsi" w:cstheme="minorHAnsi"/>
                <w:sz w:val="24"/>
                <w:szCs w:val="24"/>
                <w:lang w:eastAsia="sk-SK"/>
              </w:rPr>
              <w:t xml:space="preserve"> </w:t>
            </w:r>
          </w:p>
        </w:tc>
        <w:tc>
          <w:tcPr>
            <w:tcW w:w="641" w:type="pct"/>
            <w:shd w:val="clear" w:color="auto" w:fill="D9D9D9"/>
            <w:noWrap/>
            <w:vAlign w:val="center"/>
            <w:hideMark/>
          </w:tcPr>
          <w:p w14:paraId="502E3427"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947 874,00</w:t>
            </w:r>
            <w:r w:rsidRPr="003C74B7">
              <w:rPr>
                <w:rFonts w:asciiTheme="minorHAnsi" w:hAnsiTheme="minorHAnsi" w:cstheme="minorHAnsi"/>
                <w:sz w:val="24"/>
                <w:szCs w:val="24"/>
                <w:lang w:eastAsia="sk-SK"/>
              </w:rPr>
              <w:t xml:space="preserve"> </w:t>
            </w:r>
          </w:p>
        </w:tc>
        <w:tc>
          <w:tcPr>
            <w:tcW w:w="474" w:type="pct"/>
            <w:shd w:val="clear" w:color="auto" w:fill="D9D9D9"/>
            <w:noWrap/>
            <w:vAlign w:val="center"/>
            <w:hideMark/>
          </w:tcPr>
          <w:p w14:paraId="1793AE8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1194" w:type="pct"/>
            <w:vMerge/>
            <w:shd w:val="clear" w:color="auto" w:fill="D9D9D9"/>
            <w:vAlign w:val="center"/>
            <w:hideMark/>
          </w:tcPr>
          <w:p w14:paraId="179A921D"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315668AB" w14:textId="77777777" w:rsidTr="005529E8">
        <w:trPr>
          <w:tblCellSpacing w:w="15" w:type="dxa"/>
        </w:trPr>
        <w:tc>
          <w:tcPr>
            <w:tcW w:w="0" w:type="auto"/>
            <w:shd w:val="clear" w:color="auto" w:fill="EFEFEF"/>
            <w:noWrap/>
            <w:vAlign w:val="center"/>
            <w:hideMark/>
          </w:tcPr>
          <w:p w14:paraId="0B612BF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29DFADF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0522C34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881 874,00</w:t>
            </w:r>
            <w:r w:rsidRPr="003C74B7">
              <w:rPr>
                <w:rFonts w:asciiTheme="minorHAnsi" w:hAnsiTheme="minorHAnsi" w:cstheme="minorHAnsi"/>
                <w:sz w:val="24"/>
                <w:szCs w:val="24"/>
                <w:lang w:eastAsia="sk-SK"/>
              </w:rPr>
              <w:t xml:space="preserve"> </w:t>
            </w:r>
          </w:p>
        </w:tc>
        <w:tc>
          <w:tcPr>
            <w:tcW w:w="813" w:type="pct"/>
            <w:shd w:val="clear" w:color="auto" w:fill="EFEFEF"/>
            <w:noWrap/>
            <w:vAlign w:val="center"/>
            <w:hideMark/>
          </w:tcPr>
          <w:p w14:paraId="21A9C0F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947 874,00</w:t>
            </w:r>
            <w:r w:rsidRPr="003C74B7">
              <w:rPr>
                <w:rFonts w:asciiTheme="minorHAnsi" w:hAnsiTheme="minorHAnsi" w:cstheme="minorHAnsi"/>
                <w:sz w:val="24"/>
                <w:szCs w:val="24"/>
                <w:lang w:eastAsia="sk-SK"/>
              </w:rPr>
              <w:t xml:space="preserve"> </w:t>
            </w:r>
          </w:p>
        </w:tc>
        <w:tc>
          <w:tcPr>
            <w:tcW w:w="641" w:type="pct"/>
            <w:shd w:val="clear" w:color="auto" w:fill="EFEFEF"/>
            <w:noWrap/>
            <w:vAlign w:val="center"/>
            <w:hideMark/>
          </w:tcPr>
          <w:p w14:paraId="085BFB6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947 874,00</w:t>
            </w:r>
            <w:r w:rsidRPr="003C74B7">
              <w:rPr>
                <w:rFonts w:asciiTheme="minorHAnsi" w:hAnsiTheme="minorHAnsi" w:cstheme="minorHAnsi"/>
                <w:sz w:val="24"/>
                <w:szCs w:val="24"/>
                <w:lang w:eastAsia="sk-SK"/>
              </w:rPr>
              <w:t xml:space="preserve"> </w:t>
            </w:r>
          </w:p>
        </w:tc>
        <w:tc>
          <w:tcPr>
            <w:tcW w:w="474" w:type="pct"/>
            <w:shd w:val="clear" w:color="auto" w:fill="EFEFEF"/>
            <w:noWrap/>
            <w:vAlign w:val="center"/>
            <w:hideMark/>
          </w:tcPr>
          <w:p w14:paraId="4BC9539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1194" w:type="pct"/>
            <w:vMerge/>
            <w:shd w:val="clear" w:color="auto" w:fill="EFEFEF"/>
            <w:vAlign w:val="center"/>
            <w:hideMark/>
          </w:tcPr>
          <w:p w14:paraId="0597F31E"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5AFA2663"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43"/>
        <w:gridCol w:w="938"/>
        <w:gridCol w:w="1412"/>
        <w:gridCol w:w="1214"/>
        <w:gridCol w:w="4159"/>
      </w:tblGrid>
      <w:tr w:rsidR="00314060" w:rsidRPr="003C74B7" w14:paraId="48A76AC9" w14:textId="77777777" w:rsidTr="00314060">
        <w:trPr>
          <w:tblCellSpacing w:w="15" w:type="dxa"/>
        </w:trPr>
        <w:tc>
          <w:tcPr>
            <w:tcW w:w="0" w:type="auto"/>
            <w:shd w:val="clear" w:color="auto" w:fill="C2D69B"/>
            <w:vAlign w:val="center"/>
            <w:hideMark/>
          </w:tcPr>
          <w:p w14:paraId="499F7BA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Zodpovednosť</w:t>
            </w:r>
          </w:p>
        </w:tc>
        <w:tc>
          <w:tcPr>
            <w:tcW w:w="0" w:type="auto"/>
            <w:gridSpan w:val="4"/>
            <w:shd w:val="clear" w:color="auto" w:fill="C2D69B"/>
            <w:vAlign w:val="center"/>
            <w:hideMark/>
          </w:tcPr>
          <w:p w14:paraId="0656BD4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Riaditeľ zariadenia</w:t>
            </w:r>
            <w:r w:rsidRPr="003C74B7">
              <w:rPr>
                <w:rFonts w:asciiTheme="minorHAnsi" w:hAnsiTheme="minorHAnsi" w:cstheme="minorHAnsi"/>
                <w:sz w:val="24"/>
                <w:szCs w:val="24"/>
                <w:lang w:eastAsia="sk-SK"/>
              </w:rPr>
              <w:t xml:space="preserve"> </w:t>
            </w:r>
          </w:p>
        </w:tc>
      </w:tr>
      <w:tr w:rsidR="00314060" w:rsidRPr="003C74B7" w14:paraId="42D5206E" w14:textId="77777777" w:rsidTr="00314060">
        <w:trPr>
          <w:tblCellSpacing w:w="15" w:type="dxa"/>
        </w:trPr>
        <w:tc>
          <w:tcPr>
            <w:tcW w:w="0" w:type="auto"/>
            <w:shd w:val="clear" w:color="auto" w:fill="C2D69B"/>
            <w:vAlign w:val="center"/>
            <w:hideMark/>
          </w:tcPr>
          <w:p w14:paraId="59B88AB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17AF802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Zabezpečiť divadelnú programovú ponuku</w:t>
            </w:r>
            <w:r w:rsidRPr="003C74B7">
              <w:rPr>
                <w:rFonts w:asciiTheme="minorHAnsi" w:hAnsiTheme="minorHAnsi" w:cstheme="minorHAnsi"/>
                <w:sz w:val="24"/>
                <w:szCs w:val="24"/>
                <w:lang w:eastAsia="sk-SK"/>
              </w:rPr>
              <w:t xml:space="preserve"> </w:t>
            </w:r>
          </w:p>
        </w:tc>
      </w:tr>
      <w:tr w:rsidR="00314060" w:rsidRPr="003C74B7" w14:paraId="3996AAD8" w14:textId="77777777" w:rsidTr="00314060">
        <w:trPr>
          <w:tblCellSpacing w:w="15" w:type="dxa"/>
        </w:trPr>
        <w:tc>
          <w:tcPr>
            <w:tcW w:w="0" w:type="auto"/>
            <w:shd w:val="clear" w:color="auto" w:fill="C2D69B"/>
            <w:vAlign w:val="center"/>
            <w:hideMark/>
          </w:tcPr>
          <w:p w14:paraId="0549ECE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00117A8A"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zrealizovaných nových titulov spolu za rok</w:t>
            </w:r>
            <w:r w:rsidRPr="003C74B7">
              <w:rPr>
                <w:rFonts w:asciiTheme="minorHAnsi" w:hAnsiTheme="minorHAnsi" w:cstheme="minorHAnsi"/>
                <w:sz w:val="24"/>
                <w:szCs w:val="24"/>
                <w:lang w:eastAsia="sk-SK"/>
              </w:rPr>
              <w:t xml:space="preserve"> </w:t>
            </w:r>
          </w:p>
        </w:tc>
      </w:tr>
      <w:tr w:rsidR="00314060" w:rsidRPr="003C74B7" w14:paraId="41A90775" w14:textId="77777777" w:rsidTr="00314060">
        <w:trPr>
          <w:tblCellSpacing w:w="15" w:type="dxa"/>
        </w:trPr>
        <w:tc>
          <w:tcPr>
            <w:tcW w:w="0" w:type="auto"/>
            <w:shd w:val="clear" w:color="auto" w:fill="C2D69B"/>
            <w:vAlign w:val="center"/>
            <w:hideMark/>
          </w:tcPr>
          <w:p w14:paraId="6424E87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76F766C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0C2F1E6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06AD8F1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4B561D2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0D91012E" w14:textId="77777777" w:rsidTr="00314060">
        <w:trPr>
          <w:tblCellSpacing w:w="15" w:type="dxa"/>
        </w:trPr>
        <w:tc>
          <w:tcPr>
            <w:tcW w:w="0" w:type="auto"/>
            <w:shd w:val="clear" w:color="auto" w:fill="C2D69B"/>
            <w:vAlign w:val="center"/>
            <w:hideMark/>
          </w:tcPr>
          <w:p w14:paraId="0C8FE66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0785C6A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2</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3223672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2</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13387B7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Splnené</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78E53E39"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Dňa 24. 2. 2020 divadlo uviedlo premiéru inscenácie HOLOKAUST v réžii Rastislava </w:t>
            </w:r>
            <w:proofErr w:type="spellStart"/>
            <w:r w:rsidRPr="003C74B7">
              <w:rPr>
                <w:rFonts w:asciiTheme="minorHAnsi" w:hAnsiTheme="minorHAnsi" w:cstheme="minorHAnsi"/>
                <w:sz w:val="20"/>
                <w:szCs w:val="20"/>
                <w:lang w:eastAsia="sk-SK"/>
              </w:rPr>
              <w:t>Balleka</w:t>
            </w:r>
            <w:proofErr w:type="spellEnd"/>
            <w:r w:rsidRPr="003C74B7">
              <w:rPr>
                <w:rFonts w:asciiTheme="minorHAnsi" w:hAnsiTheme="minorHAnsi" w:cstheme="minorHAnsi"/>
                <w:sz w:val="20"/>
                <w:szCs w:val="20"/>
                <w:lang w:eastAsia="sk-SK"/>
              </w:rPr>
              <w:t>. Počas pandémie bolo divadlo pre verejnosť uzatvorené, uvádzali online divadelné predstavenia, premietanie filmov a 18. ročník DUK pripravili tiež online. Premiéru hry Jánošík, ktorá vznikla na objednávku divadla uviedli v závere roka  7. decembra.</w:t>
            </w:r>
            <w:r w:rsidRPr="003C74B7">
              <w:rPr>
                <w:rFonts w:asciiTheme="minorHAnsi" w:hAnsiTheme="minorHAnsi" w:cstheme="minorHAnsi"/>
                <w:sz w:val="24"/>
                <w:szCs w:val="24"/>
                <w:lang w:eastAsia="sk-SK"/>
              </w:rPr>
              <w:t xml:space="preserve"> </w:t>
            </w:r>
          </w:p>
        </w:tc>
      </w:tr>
      <w:tr w:rsidR="00314060" w:rsidRPr="003C74B7" w14:paraId="04F03777" w14:textId="77777777" w:rsidTr="00314060">
        <w:trPr>
          <w:tblCellSpacing w:w="15" w:type="dxa"/>
        </w:trPr>
        <w:tc>
          <w:tcPr>
            <w:tcW w:w="0" w:type="auto"/>
            <w:shd w:val="clear" w:color="auto" w:fill="C2D69B"/>
            <w:vAlign w:val="center"/>
            <w:hideMark/>
          </w:tcPr>
          <w:p w14:paraId="0EE6E78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4B4DDBA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návštevníkov všetkých podujatí</w:t>
            </w:r>
            <w:r w:rsidRPr="003C74B7">
              <w:rPr>
                <w:rFonts w:asciiTheme="minorHAnsi" w:hAnsiTheme="minorHAnsi" w:cstheme="minorHAnsi"/>
                <w:sz w:val="24"/>
                <w:szCs w:val="24"/>
                <w:lang w:eastAsia="sk-SK"/>
              </w:rPr>
              <w:t xml:space="preserve"> </w:t>
            </w:r>
          </w:p>
        </w:tc>
      </w:tr>
      <w:tr w:rsidR="00314060" w:rsidRPr="003C74B7" w14:paraId="67D01868" w14:textId="77777777" w:rsidTr="00314060">
        <w:trPr>
          <w:tblCellSpacing w:w="15" w:type="dxa"/>
        </w:trPr>
        <w:tc>
          <w:tcPr>
            <w:tcW w:w="0" w:type="auto"/>
            <w:shd w:val="clear" w:color="auto" w:fill="C2D69B"/>
            <w:vAlign w:val="center"/>
            <w:hideMark/>
          </w:tcPr>
          <w:p w14:paraId="0E8C80A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3F2FADB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2328A17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68C75DD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43672A57"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11B59560" w14:textId="77777777" w:rsidTr="00314060">
        <w:trPr>
          <w:tblCellSpacing w:w="15" w:type="dxa"/>
        </w:trPr>
        <w:tc>
          <w:tcPr>
            <w:tcW w:w="0" w:type="auto"/>
            <w:shd w:val="clear" w:color="auto" w:fill="C2D69B"/>
            <w:vAlign w:val="center"/>
            <w:hideMark/>
          </w:tcPr>
          <w:p w14:paraId="35452E9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3A19246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27 205</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7196838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7 905</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36415C9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0488DDE7"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Počas pandémie ochorenia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z dôvodu prijatých opatrení bolo divadlo pre verejnosť veľkú časť roka uzatvorené. V tomto období pre divákov uverejňovali bezplatne na kanáli </w:t>
            </w:r>
            <w:proofErr w:type="spellStart"/>
            <w:r w:rsidRPr="003C74B7">
              <w:rPr>
                <w:rFonts w:asciiTheme="minorHAnsi" w:hAnsiTheme="minorHAnsi" w:cstheme="minorHAnsi"/>
                <w:sz w:val="20"/>
                <w:szCs w:val="20"/>
                <w:lang w:eastAsia="sk-SK"/>
              </w:rPr>
              <w:t>Youtube</w:t>
            </w:r>
            <w:proofErr w:type="spellEnd"/>
            <w:r w:rsidRPr="003C74B7">
              <w:rPr>
                <w:rFonts w:asciiTheme="minorHAnsi" w:hAnsiTheme="minorHAnsi" w:cstheme="minorHAnsi"/>
                <w:sz w:val="20"/>
                <w:szCs w:val="20"/>
                <w:lang w:eastAsia="sk-SK"/>
              </w:rPr>
              <w:t xml:space="preserve"> záznamy inscenácií, zároveň realizovali </w:t>
            </w:r>
            <w:proofErr w:type="spellStart"/>
            <w:r w:rsidRPr="003C74B7">
              <w:rPr>
                <w:rFonts w:asciiTheme="minorHAnsi" w:hAnsiTheme="minorHAnsi" w:cstheme="minorHAnsi"/>
                <w:sz w:val="20"/>
                <w:szCs w:val="20"/>
                <w:lang w:eastAsia="sk-SK"/>
              </w:rPr>
              <w:t>live</w:t>
            </w:r>
            <w:proofErr w:type="spellEnd"/>
            <w:r w:rsidRPr="003C74B7">
              <w:rPr>
                <w:rFonts w:asciiTheme="minorHAnsi" w:hAnsiTheme="minorHAnsi" w:cstheme="minorHAnsi"/>
                <w:sz w:val="20"/>
                <w:szCs w:val="20"/>
                <w:lang w:eastAsia="sk-SK"/>
              </w:rPr>
              <w:t xml:space="preserve"> streamy jazzových koncertov, projekt DUK uviedli tiež v online prostredí. </w:t>
            </w:r>
          </w:p>
        </w:tc>
      </w:tr>
    </w:tbl>
    <w:p w14:paraId="7E304F06" w14:textId="77777777"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lang w:eastAsia="sk-SK"/>
        </w:rPr>
        <w:t xml:space="preserve">Divadlo Aréna je profilované ako </w:t>
      </w:r>
      <w:proofErr w:type="spellStart"/>
      <w:r w:rsidRPr="003C74B7">
        <w:rPr>
          <w:rFonts w:asciiTheme="minorHAnsi" w:hAnsiTheme="minorHAnsi" w:cstheme="minorHAnsi"/>
          <w:lang w:eastAsia="sk-SK"/>
        </w:rPr>
        <w:t>multižánrové</w:t>
      </w:r>
      <w:proofErr w:type="spellEnd"/>
      <w:r w:rsidRPr="003C74B7">
        <w:rPr>
          <w:rFonts w:asciiTheme="minorHAnsi" w:hAnsiTheme="minorHAnsi" w:cstheme="minorHAnsi"/>
          <w:lang w:eastAsia="sk-SK"/>
        </w:rPr>
        <w:t xml:space="preserve"> divadlo, kde svoj priestor nachádza súčasná i klasická činohra, prenesené operné predstavenia z Metropolitnej opery v NY (USA), či rockové a jazzové koncerty. BSK pripravuje rekonštrukciu budovy divadla, v závere júna bolo vydané právoplatné stavebné povolenie a pripravené VO na zhotoviteľa stavby. Rekonštrukcia prinesie rozšírenie vnútorných priestorov divadelného zázemia, modernizáciu divadelných technológii s cieľom skvalitnenia procesu umeleckej tvorby. Plánovanou rozsiahlou rekonštrukciou vznikne nový, kvalitný a moderný divadelný priestor pre ďalší rozvoj divadelného umenia, ktorý doplní a rozšíri súčasnú multifunkčnú ponuku. Z dôvodu prijatých </w:t>
      </w:r>
      <w:proofErr w:type="spellStart"/>
      <w:r w:rsidRPr="003C74B7">
        <w:rPr>
          <w:rFonts w:asciiTheme="minorHAnsi" w:hAnsiTheme="minorHAnsi" w:cstheme="minorHAnsi"/>
          <w:lang w:eastAsia="sk-SK"/>
        </w:rPr>
        <w:t>protipandemických</w:t>
      </w:r>
      <w:proofErr w:type="spellEnd"/>
      <w:r w:rsidRPr="003C74B7">
        <w:rPr>
          <w:rFonts w:asciiTheme="minorHAnsi" w:hAnsiTheme="minorHAnsi" w:cstheme="minorHAnsi"/>
          <w:lang w:eastAsia="sk-SK"/>
        </w:rPr>
        <w:t xml:space="preserve"> opatrení bola činnosť divadla v priebehu roka obmedzená.</w:t>
      </w:r>
    </w:p>
    <w:p w14:paraId="1E54A081" w14:textId="77777777" w:rsidR="00314060" w:rsidRPr="003C74B7" w:rsidRDefault="00314060" w:rsidP="00314060">
      <w:pPr>
        <w:spacing w:before="100" w:beforeAutospacing="1" w:after="100" w:afterAutospacing="1" w:line="240" w:lineRule="auto"/>
        <w:jc w:val="both"/>
        <w:outlineLvl w:val="3"/>
        <w:rPr>
          <w:rFonts w:asciiTheme="minorHAnsi" w:hAnsiTheme="minorHAnsi" w:cstheme="minorHAnsi"/>
          <w:b/>
          <w:bCs/>
          <w:color w:val="244061"/>
          <w:sz w:val="24"/>
          <w:szCs w:val="24"/>
          <w:lang w:eastAsia="sk-SK"/>
        </w:rPr>
      </w:pPr>
      <w:r w:rsidRPr="003C74B7">
        <w:rPr>
          <w:rFonts w:asciiTheme="minorHAnsi" w:hAnsiTheme="minorHAnsi" w:cstheme="minorHAnsi"/>
          <w:b/>
          <w:bCs/>
          <w:color w:val="244061"/>
          <w:sz w:val="24"/>
          <w:szCs w:val="24"/>
          <w:lang w:eastAsia="sk-SK"/>
        </w:rPr>
        <w:t>Prvok 10.3.2: Divadlo ASTORKA KORZO 90</w:t>
      </w:r>
    </w:p>
    <w:p w14:paraId="2F9E2A23"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Zabezpečiť divadelnú programovú ponuku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1"/>
        <w:gridCol w:w="2023"/>
        <w:gridCol w:w="1249"/>
        <w:gridCol w:w="1697"/>
        <w:gridCol w:w="1466"/>
        <w:gridCol w:w="1256"/>
        <w:gridCol w:w="1944"/>
      </w:tblGrid>
      <w:tr w:rsidR="00314060" w:rsidRPr="003C74B7" w14:paraId="2DCC667E" w14:textId="77777777" w:rsidTr="005529E8">
        <w:trPr>
          <w:tblCellSpacing w:w="15" w:type="dxa"/>
        </w:trPr>
        <w:tc>
          <w:tcPr>
            <w:tcW w:w="0" w:type="auto"/>
            <w:shd w:val="clear" w:color="auto" w:fill="C6DBF7"/>
            <w:vAlign w:val="center"/>
            <w:hideMark/>
          </w:tcPr>
          <w:p w14:paraId="61C3602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952" w:type="pct"/>
            <w:shd w:val="clear" w:color="auto" w:fill="C6DBF7"/>
            <w:vAlign w:val="center"/>
            <w:hideMark/>
          </w:tcPr>
          <w:p w14:paraId="1F4D619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76A4822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819" w:type="pct"/>
            <w:shd w:val="clear" w:color="auto" w:fill="C6DBF7"/>
            <w:vAlign w:val="center"/>
            <w:hideMark/>
          </w:tcPr>
          <w:p w14:paraId="20226F9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706" w:type="pct"/>
            <w:shd w:val="clear" w:color="auto" w:fill="C6DBF7"/>
            <w:vAlign w:val="center"/>
            <w:hideMark/>
          </w:tcPr>
          <w:p w14:paraId="641F776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603" w:type="pct"/>
            <w:shd w:val="clear" w:color="auto" w:fill="C6DBF7"/>
            <w:vAlign w:val="center"/>
            <w:hideMark/>
          </w:tcPr>
          <w:p w14:paraId="26338C5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932" w:type="pct"/>
            <w:shd w:val="clear" w:color="auto" w:fill="C6DBF7"/>
            <w:vAlign w:val="center"/>
            <w:hideMark/>
          </w:tcPr>
          <w:p w14:paraId="229AF59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0BDFB041" w14:textId="77777777" w:rsidTr="005529E8">
        <w:trPr>
          <w:tblCellSpacing w:w="15" w:type="dxa"/>
        </w:trPr>
        <w:tc>
          <w:tcPr>
            <w:tcW w:w="0" w:type="auto"/>
            <w:shd w:val="clear" w:color="auto" w:fill="D9D9D9"/>
            <w:noWrap/>
            <w:vAlign w:val="center"/>
            <w:hideMark/>
          </w:tcPr>
          <w:p w14:paraId="1584B1F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1EAB0694"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22280CB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978 607,00</w:t>
            </w:r>
            <w:r w:rsidRPr="003C74B7">
              <w:rPr>
                <w:rFonts w:asciiTheme="minorHAnsi" w:hAnsiTheme="minorHAnsi" w:cstheme="minorHAnsi"/>
                <w:sz w:val="24"/>
                <w:szCs w:val="24"/>
                <w:lang w:eastAsia="sk-SK"/>
              </w:rPr>
              <w:t xml:space="preserve"> </w:t>
            </w:r>
          </w:p>
        </w:tc>
        <w:tc>
          <w:tcPr>
            <w:tcW w:w="819" w:type="pct"/>
            <w:shd w:val="clear" w:color="auto" w:fill="D9D9D9"/>
            <w:noWrap/>
            <w:vAlign w:val="center"/>
            <w:hideMark/>
          </w:tcPr>
          <w:p w14:paraId="757BD397"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905 211,00</w:t>
            </w:r>
            <w:r w:rsidRPr="003C74B7">
              <w:rPr>
                <w:rFonts w:asciiTheme="minorHAnsi" w:hAnsiTheme="minorHAnsi" w:cstheme="minorHAnsi"/>
                <w:sz w:val="24"/>
                <w:szCs w:val="24"/>
                <w:lang w:eastAsia="sk-SK"/>
              </w:rPr>
              <w:t xml:space="preserve"> </w:t>
            </w:r>
          </w:p>
        </w:tc>
        <w:tc>
          <w:tcPr>
            <w:tcW w:w="706" w:type="pct"/>
            <w:shd w:val="clear" w:color="auto" w:fill="D9D9D9"/>
            <w:noWrap/>
            <w:vAlign w:val="center"/>
            <w:hideMark/>
          </w:tcPr>
          <w:p w14:paraId="2A713A4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905 211,00</w:t>
            </w:r>
            <w:r w:rsidRPr="003C74B7">
              <w:rPr>
                <w:rFonts w:asciiTheme="minorHAnsi" w:hAnsiTheme="minorHAnsi" w:cstheme="minorHAnsi"/>
                <w:sz w:val="24"/>
                <w:szCs w:val="24"/>
                <w:lang w:eastAsia="sk-SK"/>
              </w:rPr>
              <w:t xml:space="preserve"> </w:t>
            </w:r>
          </w:p>
        </w:tc>
        <w:tc>
          <w:tcPr>
            <w:tcW w:w="603" w:type="pct"/>
            <w:shd w:val="clear" w:color="auto" w:fill="D9D9D9"/>
            <w:noWrap/>
            <w:vAlign w:val="center"/>
            <w:hideMark/>
          </w:tcPr>
          <w:p w14:paraId="54D550F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932" w:type="pct"/>
            <w:vMerge w:val="restart"/>
            <w:shd w:val="clear" w:color="auto" w:fill="D9D9D9"/>
            <w:vAlign w:val="center"/>
            <w:hideMark/>
          </w:tcPr>
          <w:p w14:paraId="1690F7A5" w14:textId="25432087"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-73 396 EUR</w:t>
            </w:r>
            <w:r w:rsidRPr="003C74B7">
              <w:rPr>
                <w:rFonts w:asciiTheme="minorHAnsi" w:hAnsiTheme="minorHAnsi" w:cstheme="minorHAnsi"/>
                <w:sz w:val="20"/>
                <w:szCs w:val="20"/>
                <w:lang w:eastAsia="sk-SK"/>
              </w:rPr>
              <w:t xml:space="preserve"> U</w:t>
            </w:r>
            <w:r w:rsidR="005529E8">
              <w:rPr>
                <w:rFonts w:asciiTheme="minorHAnsi" w:hAnsiTheme="minorHAnsi" w:cstheme="minorHAnsi"/>
                <w:sz w:val="20"/>
                <w:szCs w:val="20"/>
                <w:lang w:eastAsia="sk-SK"/>
              </w:rPr>
              <w:t>ZN</w:t>
            </w:r>
            <w:r w:rsidRPr="003C74B7">
              <w:rPr>
                <w:rFonts w:asciiTheme="minorHAnsi" w:hAnsiTheme="minorHAnsi" w:cstheme="minorHAnsi"/>
                <w:sz w:val="20"/>
                <w:szCs w:val="20"/>
                <w:lang w:eastAsia="sk-SK"/>
              </w:rPr>
              <w:t xml:space="preserve"> BSK č.</w:t>
            </w:r>
            <w:r w:rsidR="005529E8">
              <w:rPr>
                <w:rFonts w:asciiTheme="minorHAnsi" w:hAnsiTheme="minorHAnsi" w:cstheme="minorHAnsi"/>
                <w:sz w:val="20"/>
                <w:szCs w:val="20"/>
                <w:lang w:eastAsia="sk-SK"/>
              </w:rPr>
              <w:t xml:space="preserve"> </w:t>
            </w:r>
            <w:r w:rsidRPr="003C74B7">
              <w:rPr>
                <w:rFonts w:asciiTheme="minorHAnsi" w:hAnsiTheme="minorHAnsi" w:cstheme="minorHAnsi"/>
                <w:sz w:val="20"/>
                <w:szCs w:val="20"/>
                <w:lang w:eastAsia="sk-SK"/>
              </w:rPr>
              <w:t>247/2020</w:t>
            </w:r>
          </w:p>
          <w:p w14:paraId="52792079"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6A22AE44" w14:textId="77777777" w:rsidTr="005529E8">
        <w:trPr>
          <w:tblCellSpacing w:w="15" w:type="dxa"/>
        </w:trPr>
        <w:tc>
          <w:tcPr>
            <w:tcW w:w="0" w:type="auto"/>
            <w:shd w:val="clear" w:color="auto" w:fill="D9D9D9"/>
            <w:noWrap/>
            <w:vAlign w:val="center"/>
            <w:hideMark/>
          </w:tcPr>
          <w:p w14:paraId="1F796F7A"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10B6683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40C82DF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978 607,00</w:t>
            </w:r>
            <w:r w:rsidRPr="003C74B7">
              <w:rPr>
                <w:rFonts w:asciiTheme="minorHAnsi" w:hAnsiTheme="minorHAnsi" w:cstheme="minorHAnsi"/>
                <w:sz w:val="24"/>
                <w:szCs w:val="24"/>
                <w:lang w:eastAsia="sk-SK"/>
              </w:rPr>
              <w:t xml:space="preserve"> </w:t>
            </w:r>
          </w:p>
        </w:tc>
        <w:tc>
          <w:tcPr>
            <w:tcW w:w="819" w:type="pct"/>
            <w:shd w:val="clear" w:color="auto" w:fill="D9D9D9"/>
            <w:noWrap/>
            <w:vAlign w:val="center"/>
            <w:hideMark/>
          </w:tcPr>
          <w:p w14:paraId="5A973FF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905 211,00</w:t>
            </w:r>
            <w:r w:rsidRPr="003C74B7">
              <w:rPr>
                <w:rFonts w:asciiTheme="minorHAnsi" w:hAnsiTheme="minorHAnsi" w:cstheme="minorHAnsi"/>
                <w:sz w:val="24"/>
                <w:szCs w:val="24"/>
                <w:lang w:eastAsia="sk-SK"/>
              </w:rPr>
              <w:t xml:space="preserve"> </w:t>
            </w:r>
          </w:p>
        </w:tc>
        <w:tc>
          <w:tcPr>
            <w:tcW w:w="706" w:type="pct"/>
            <w:shd w:val="clear" w:color="auto" w:fill="D9D9D9"/>
            <w:noWrap/>
            <w:vAlign w:val="center"/>
            <w:hideMark/>
          </w:tcPr>
          <w:p w14:paraId="777E5A5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905 211,00</w:t>
            </w:r>
            <w:r w:rsidRPr="003C74B7">
              <w:rPr>
                <w:rFonts w:asciiTheme="minorHAnsi" w:hAnsiTheme="minorHAnsi" w:cstheme="minorHAnsi"/>
                <w:sz w:val="24"/>
                <w:szCs w:val="24"/>
                <w:lang w:eastAsia="sk-SK"/>
              </w:rPr>
              <w:t xml:space="preserve"> </w:t>
            </w:r>
          </w:p>
        </w:tc>
        <w:tc>
          <w:tcPr>
            <w:tcW w:w="603" w:type="pct"/>
            <w:shd w:val="clear" w:color="auto" w:fill="D9D9D9"/>
            <w:noWrap/>
            <w:vAlign w:val="center"/>
            <w:hideMark/>
          </w:tcPr>
          <w:p w14:paraId="455BE95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932" w:type="pct"/>
            <w:vMerge/>
            <w:shd w:val="clear" w:color="auto" w:fill="D9D9D9"/>
            <w:vAlign w:val="center"/>
            <w:hideMark/>
          </w:tcPr>
          <w:p w14:paraId="7213514B"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0D45205D" w14:textId="77777777" w:rsidTr="005529E8">
        <w:trPr>
          <w:tblCellSpacing w:w="15" w:type="dxa"/>
        </w:trPr>
        <w:tc>
          <w:tcPr>
            <w:tcW w:w="0" w:type="auto"/>
            <w:shd w:val="clear" w:color="auto" w:fill="EFEFEF"/>
            <w:noWrap/>
            <w:vAlign w:val="center"/>
            <w:hideMark/>
          </w:tcPr>
          <w:p w14:paraId="4F84690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lastRenderedPageBreak/>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25BD205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638E35F8"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978 607,00</w:t>
            </w:r>
            <w:r w:rsidRPr="003C74B7">
              <w:rPr>
                <w:rFonts w:asciiTheme="minorHAnsi" w:hAnsiTheme="minorHAnsi" w:cstheme="minorHAnsi"/>
                <w:sz w:val="24"/>
                <w:szCs w:val="24"/>
                <w:lang w:eastAsia="sk-SK"/>
              </w:rPr>
              <w:t xml:space="preserve"> </w:t>
            </w:r>
          </w:p>
        </w:tc>
        <w:tc>
          <w:tcPr>
            <w:tcW w:w="819" w:type="pct"/>
            <w:shd w:val="clear" w:color="auto" w:fill="EFEFEF"/>
            <w:noWrap/>
            <w:vAlign w:val="center"/>
            <w:hideMark/>
          </w:tcPr>
          <w:p w14:paraId="61B943C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905 211,00</w:t>
            </w:r>
            <w:r w:rsidRPr="003C74B7">
              <w:rPr>
                <w:rFonts w:asciiTheme="minorHAnsi" w:hAnsiTheme="minorHAnsi" w:cstheme="minorHAnsi"/>
                <w:sz w:val="24"/>
                <w:szCs w:val="24"/>
                <w:lang w:eastAsia="sk-SK"/>
              </w:rPr>
              <w:t xml:space="preserve"> </w:t>
            </w:r>
          </w:p>
        </w:tc>
        <w:tc>
          <w:tcPr>
            <w:tcW w:w="706" w:type="pct"/>
            <w:shd w:val="clear" w:color="auto" w:fill="EFEFEF"/>
            <w:noWrap/>
            <w:vAlign w:val="center"/>
            <w:hideMark/>
          </w:tcPr>
          <w:p w14:paraId="1B6B387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905 211,00</w:t>
            </w:r>
            <w:r w:rsidRPr="003C74B7">
              <w:rPr>
                <w:rFonts w:asciiTheme="minorHAnsi" w:hAnsiTheme="minorHAnsi" w:cstheme="minorHAnsi"/>
                <w:sz w:val="24"/>
                <w:szCs w:val="24"/>
                <w:lang w:eastAsia="sk-SK"/>
              </w:rPr>
              <w:t xml:space="preserve"> </w:t>
            </w:r>
          </w:p>
        </w:tc>
        <w:tc>
          <w:tcPr>
            <w:tcW w:w="603" w:type="pct"/>
            <w:shd w:val="clear" w:color="auto" w:fill="EFEFEF"/>
            <w:noWrap/>
            <w:vAlign w:val="center"/>
            <w:hideMark/>
          </w:tcPr>
          <w:p w14:paraId="7B60EB2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932" w:type="pct"/>
            <w:vMerge/>
            <w:shd w:val="clear" w:color="auto" w:fill="EFEFEF"/>
            <w:vAlign w:val="center"/>
            <w:hideMark/>
          </w:tcPr>
          <w:p w14:paraId="502A993A"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2FF73E8B"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43"/>
        <w:gridCol w:w="938"/>
        <w:gridCol w:w="1412"/>
        <w:gridCol w:w="1214"/>
        <w:gridCol w:w="4159"/>
      </w:tblGrid>
      <w:tr w:rsidR="00314060" w:rsidRPr="003C74B7" w14:paraId="36FF2723" w14:textId="77777777" w:rsidTr="00314060">
        <w:trPr>
          <w:tblCellSpacing w:w="15" w:type="dxa"/>
        </w:trPr>
        <w:tc>
          <w:tcPr>
            <w:tcW w:w="0" w:type="auto"/>
            <w:shd w:val="clear" w:color="auto" w:fill="C2D69B"/>
            <w:vAlign w:val="center"/>
            <w:hideMark/>
          </w:tcPr>
          <w:p w14:paraId="3B271B2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Zodpovednosť</w:t>
            </w:r>
          </w:p>
        </w:tc>
        <w:tc>
          <w:tcPr>
            <w:tcW w:w="0" w:type="auto"/>
            <w:gridSpan w:val="4"/>
            <w:shd w:val="clear" w:color="auto" w:fill="C2D69B"/>
            <w:vAlign w:val="center"/>
            <w:hideMark/>
          </w:tcPr>
          <w:p w14:paraId="6649C45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Riaditeľ zariadenia</w:t>
            </w:r>
            <w:r w:rsidRPr="003C74B7">
              <w:rPr>
                <w:rFonts w:asciiTheme="minorHAnsi" w:hAnsiTheme="minorHAnsi" w:cstheme="minorHAnsi"/>
                <w:sz w:val="24"/>
                <w:szCs w:val="24"/>
                <w:lang w:eastAsia="sk-SK"/>
              </w:rPr>
              <w:t xml:space="preserve"> </w:t>
            </w:r>
          </w:p>
        </w:tc>
      </w:tr>
      <w:tr w:rsidR="00314060" w:rsidRPr="003C74B7" w14:paraId="4D52C022" w14:textId="77777777" w:rsidTr="00314060">
        <w:trPr>
          <w:tblCellSpacing w:w="15" w:type="dxa"/>
        </w:trPr>
        <w:tc>
          <w:tcPr>
            <w:tcW w:w="0" w:type="auto"/>
            <w:shd w:val="clear" w:color="auto" w:fill="C2D69B"/>
            <w:vAlign w:val="center"/>
            <w:hideMark/>
          </w:tcPr>
          <w:p w14:paraId="758D2D2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4409F6E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Zabezpečiť divadelnú programovú ponuku</w:t>
            </w:r>
            <w:r w:rsidRPr="003C74B7">
              <w:rPr>
                <w:rFonts w:asciiTheme="minorHAnsi" w:hAnsiTheme="minorHAnsi" w:cstheme="minorHAnsi"/>
                <w:sz w:val="24"/>
                <w:szCs w:val="24"/>
                <w:lang w:eastAsia="sk-SK"/>
              </w:rPr>
              <w:t xml:space="preserve"> </w:t>
            </w:r>
          </w:p>
        </w:tc>
      </w:tr>
      <w:tr w:rsidR="00314060" w:rsidRPr="003C74B7" w14:paraId="5B1FF2B7" w14:textId="77777777" w:rsidTr="00314060">
        <w:trPr>
          <w:tblCellSpacing w:w="15" w:type="dxa"/>
        </w:trPr>
        <w:tc>
          <w:tcPr>
            <w:tcW w:w="0" w:type="auto"/>
            <w:shd w:val="clear" w:color="auto" w:fill="C2D69B"/>
            <w:vAlign w:val="center"/>
            <w:hideMark/>
          </w:tcPr>
          <w:p w14:paraId="7AA1B09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2801763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zrealizovaných nových titulov spolu za rok</w:t>
            </w:r>
            <w:r w:rsidRPr="003C74B7">
              <w:rPr>
                <w:rFonts w:asciiTheme="minorHAnsi" w:hAnsiTheme="minorHAnsi" w:cstheme="minorHAnsi"/>
                <w:sz w:val="24"/>
                <w:szCs w:val="24"/>
                <w:lang w:eastAsia="sk-SK"/>
              </w:rPr>
              <w:t xml:space="preserve"> </w:t>
            </w:r>
          </w:p>
        </w:tc>
      </w:tr>
      <w:tr w:rsidR="00314060" w:rsidRPr="003C74B7" w14:paraId="5CE063D8" w14:textId="77777777" w:rsidTr="00314060">
        <w:trPr>
          <w:tblCellSpacing w:w="15" w:type="dxa"/>
        </w:trPr>
        <w:tc>
          <w:tcPr>
            <w:tcW w:w="0" w:type="auto"/>
            <w:shd w:val="clear" w:color="auto" w:fill="C2D69B"/>
            <w:vAlign w:val="center"/>
            <w:hideMark/>
          </w:tcPr>
          <w:p w14:paraId="73AF4A2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26BD3ED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4520BB9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13CA330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4F1467D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54D66822" w14:textId="77777777" w:rsidTr="00314060">
        <w:trPr>
          <w:tblCellSpacing w:w="15" w:type="dxa"/>
        </w:trPr>
        <w:tc>
          <w:tcPr>
            <w:tcW w:w="0" w:type="auto"/>
            <w:shd w:val="clear" w:color="auto" w:fill="C2D69B"/>
            <w:vAlign w:val="center"/>
            <w:hideMark/>
          </w:tcPr>
          <w:p w14:paraId="27632CE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22BEBF8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0AC5C86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60A5D9A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559BCB63"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Divadelný festival ASTORKA´20 pripravený k 30. výročiu vzniku divadla muselo divadlo zrušiť. Plánovanú premiéru inscenácie Pohľad z mosta divadlo uviedlo16. 9. 2020. Počas pandémie divadlo bolo pre verejnosť uzatvorené, uvádzali online divadelné predstavenia, zaujímavé dokumenty z príprav inscenácii a rozhovory s hlavnými predstaviteľmi.</w:t>
            </w:r>
            <w:r w:rsidRPr="003C74B7">
              <w:rPr>
                <w:rFonts w:asciiTheme="minorHAnsi" w:hAnsiTheme="minorHAnsi" w:cstheme="minorHAnsi"/>
                <w:sz w:val="24"/>
                <w:szCs w:val="24"/>
                <w:lang w:eastAsia="sk-SK"/>
              </w:rPr>
              <w:t xml:space="preserve"> </w:t>
            </w:r>
          </w:p>
        </w:tc>
      </w:tr>
      <w:tr w:rsidR="00314060" w:rsidRPr="003C74B7" w14:paraId="5B307393" w14:textId="77777777" w:rsidTr="00314060">
        <w:trPr>
          <w:tblCellSpacing w:w="15" w:type="dxa"/>
        </w:trPr>
        <w:tc>
          <w:tcPr>
            <w:tcW w:w="0" w:type="auto"/>
            <w:shd w:val="clear" w:color="auto" w:fill="C2D69B"/>
            <w:vAlign w:val="center"/>
            <w:hideMark/>
          </w:tcPr>
          <w:p w14:paraId="4065D20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1D36D25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návštevníkov všetkých podujatí</w:t>
            </w:r>
            <w:r w:rsidRPr="003C74B7">
              <w:rPr>
                <w:rFonts w:asciiTheme="minorHAnsi" w:hAnsiTheme="minorHAnsi" w:cstheme="minorHAnsi"/>
                <w:sz w:val="24"/>
                <w:szCs w:val="24"/>
                <w:lang w:eastAsia="sk-SK"/>
              </w:rPr>
              <w:t xml:space="preserve"> </w:t>
            </w:r>
          </w:p>
        </w:tc>
      </w:tr>
      <w:tr w:rsidR="00314060" w:rsidRPr="003C74B7" w14:paraId="33D8F927" w14:textId="77777777" w:rsidTr="00314060">
        <w:trPr>
          <w:tblCellSpacing w:w="15" w:type="dxa"/>
        </w:trPr>
        <w:tc>
          <w:tcPr>
            <w:tcW w:w="0" w:type="auto"/>
            <w:shd w:val="clear" w:color="auto" w:fill="C2D69B"/>
            <w:vAlign w:val="center"/>
            <w:hideMark/>
          </w:tcPr>
          <w:p w14:paraId="6CCEC70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53B68F0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1D9A6CB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4848980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23FCC9D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1001F830" w14:textId="77777777" w:rsidTr="00314060">
        <w:trPr>
          <w:tblCellSpacing w:w="15" w:type="dxa"/>
        </w:trPr>
        <w:tc>
          <w:tcPr>
            <w:tcW w:w="0" w:type="auto"/>
            <w:shd w:val="clear" w:color="auto" w:fill="C2D69B"/>
            <w:vAlign w:val="center"/>
            <w:hideMark/>
          </w:tcPr>
          <w:p w14:paraId="25DB2D2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645FFEC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30 600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51BE927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9 045</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17063F4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65B5F196"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Väčšiu časť sledovaného obdobia z dôvodu pandémie bolo divadlo pre verejnosť uzatvorené, uvádzali online prenosy divadelných predstavení, zaujímavé dokumenty z príprav inscenácii a rozhovory s tvorcami a hlavnými predstaviteľmi, v závere roka pripravili projekt divadelných novín </w:t>
            </w:r>
            <w:proofErr w:type="spellStart"/>
            <w:r w:rsidRPr="003C74B7">
              <w:rPr>
                <w:rFonts w:asciiTheme="minorHAnsi" w:hAnsiTheme="minorHAnsi" w:cstheme="minorHAnsi"/>
                <w:sz w:val="20"/>
                <w:szCs w:val="20"/>
                <w:lang w:eastAsia="sk-SK"/>
              </w:rPr>
              <w:t>Astorkoviny</w:t>
            </w:r>
            <w:proofErr w:type="spellEnd"/>
            <w:r w:rsidRPr="003C74B7">
              <w:rPr>
                <w:rFonts w:asciiTheme="minorHAnsi" w:hAnsiTheme="minorHAnsi" w:cstheme="minorHAnsi"/>
                <w:sz w:val="20"/>
                <w:szCs w:val="20"/>
                <w:lang w:eastAsia="sk-SK"/>
              </w:rPr>
              <w:t>.</w:t>
            </w:r>
            <w:r w:rsidRPr="003C74B7">
              <w:rPr>
                <w:rFonts w:asciiTheme="minorHAnsi" w:hAnsiTheme="minorHAnsi" w:cstheme="minorHAnsi"/>
                <w:sz w:val="24"/>
                <w:szCs w:val="24"/>
                <w:lang w:eastAsia="sk-SK"/>
              </w:rPr>
              <w:t xml:space="preserve"> </w:t>
            </w:r>
          </w:p>
        </w:tc>
      </w:tr>
    </w:tbl>
    <w:p w14:paraId="369B041B" w14:textId="77777777"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lang w:eastAsia="sk-SK"/>
        </w:rPr>
        <w:t xml:space="preserve">Divadlo </w:t>
      </w:r>
      <w:proofErr w:type="spellStart"/>
      <w:r w:rsidRPr="003C74B7">
        <w:rPr>
          <w:rFonts w:asciiTheme="minorHAnsi" w:hAnsiTheme="minorHAnsi" w:cstheme="minorHAnsi"/>
          <w:lang w:eastAsia="sk-SK"/>
        </w:rPr>
        <w:t>Astorka</w:t>
      </w:r>
      <w:proofErr w:type="spellEnd"/>
      <w:r w:rsidRPr="003C74B7">
        <w:rPr>
          <w:rFonts w:asciiTheme="minorHAnsi" w:hAnsiTheme="minorHAnsi" w:cstheme="minorHAnsi"/>
          <w:lang w:eastAsia="sk-SK"/>
        </w:rPr>
        <w:t xml:space="preserve"> Korzo´90 ponúka vyvážený a kvalitný repertoár, ktorého súčasťou sú diela svetovej klasiky, ale aj inscenácie súčasnej svetovej drámy či drámy slovenských autorov. Divadlo vo februári 2020 rozšírilo svoje aktivity v novom priestore na </w:t>
      </w:r>
      <w:proofErr w:type="spellStart"/>
      <w:r w:rsidRPr="003C74B7">
        <w:rPr>
          <w:rFonts w:asciiTheme="minorHAnsi" w:hAnsiTheme="minorHAnsi" w:cstheme="minorHAnsi"/>
          <w:lang w:eastAsia="sk-SK"/>
        </w:rPr>
        <w:t>Mickiewiczovej</w:t>
      </w:r>
      <w:proofErr w:type="spellEnd"/>
      <w:r w:rsidRPr="003C74B7">
        <w:rPr>
          <w:rFonts w:asciiTheme="minorHAnsi" w:hAnsiTheme="minorHAnsi" w:cstheme="minorHAnsi"/>
          <w:lang w:eastAsia="sk-SK"/>
        </w:rPr>
        <w:t xml:space="preserve"> ulici v Bratislave v novom župnom divadle Štúdio A2. Novovzniknutý divadelný priestor vznikol z vnútornej potreby divadla a bude slúžiť pre aktivity, ktoré sa svojím charakterom viac hodia do menšieho divadelného priestoru ako je súčasné javisko divadla v budove MK SR na Námestí SNP v Bratislave.</w:t>
      </w:r>
    </w:p>
    <w:p w14:paraId="73F96243" w14:textId="42C6D92D" w:rsidR="00314060" w:rsidRPr="003C74B7" w:rsidRDefault="00314060" w:rsidP="00314060">
      <w:pPr>
        <w:spacing w:before="100" w:beforeAutospacing="1" w:after="100" w:afterAutospacing="1" w:line="240" w:lineRule="auto"/>
        <w:jc w:val="both"/>
        <w:outlineLvl w:val="3"/>
        <w:rPr>
          <w:rFonts w:asciiTheme="minorHAnsi" w:hAnsiTheme="minorHAnsi" w:cstheme="minorHAnsi"/>
          <w:b/>
          <w:bCs/>
          <w:color w:val="244061"/>
          <w:sz w:val="24"/>
          <w:szCs w:val="24"/>
          <w:lang w:eastAsia="sk-SK"/>
        </w:rPr>
      </w:pPr>
      <w:r w:rsidRPr="003C74B7">
        <w:rPr>
          <w:rFonts w:asciiTheme="minorHAnsi" w:hAnsiTheme="minorHAnsi" w:cstheme="minorHAnsi"/>
          <w:b/>
          <w:bCs/>
          <w:color w:val="244061"/>
          <w:sz w:val="24"/>
          <w:szCs w:val="24"/>
          <w:lang w:eastAsia="sk-SK"/>
        </w:rPr>
        <w:t>Prvok 10.3.3: Bratislavské bábkové divadlo</w:t>
      </w:r>
    </w:p>
    <w:p w14:paraId="413B981B"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 xml:space="preserve">Zabezpečiť divadelnú programovú ponuku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0"/>
        <w:gridCol w:w="2023"/>
        <w:gridCol w:w="1279"/>
        <w:gridCol w:w="1648"/>
        <w:gridCol w:w="1601"/>
        <w:gridCol w:w="1248"/>
        <w:gridCol w:w="1817"/>
      </w:tblGrid>
      <w:tr w:rsidR="00314060" w:rsidRPr="003C74B7" w14:paraId="3DCE9C38" w14:textId="77777777" w:rsidTr="005529E8">
        <w:trPr>
          <w:tblCellSpacing w:w="15" w:type="dxa"/>
        </w:trPr>
        <w:tc>
          <w:tcPr>
            <w:tcW w:w="0" w:type="auto"/>
            <w:shd w:val="clear" w:color="auto" w:fill="C6DBF7"/>
            <w:vAlign w:val="center"/>
            <w:hideMark/>
          </w:tcPr>
          <w:p w14:paraId="26470FB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952" w:type="pct"/>
            <w:shd w:val="clear" w:color="auto" w:fill="C6DBF7"/>
            <w:vAlign w:val="center"/>
            <w:hideMark/>
          </w:tcPr>
          <w:p w14:paraId="0F32930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223F728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795" w:type="pct"/>
            <w:shd w:val="clear" w:color="auto" w:fill="C6DBF7"/>
            <w:vAlign w:val="center"/>
            <w:hideMark/>
          </w:tcPr>
          <w:p w14:paraId="771A3A2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772" w:type="pct"/>
            <w:shd w:val="clear" w:color="auto" w:fill="C6DBF7"/>
            <w:vAlign w:val="center"/>
            <w:hideMark/>
          </w:tcPr>
          <w:p w14:paraId="4434D29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599" w:type="pct"/>
            <w:shd w:val="clear" w:color="auto" w:fill="C6DBF7"/>
            <w:vAlign w:val="center"/>
            <w:hideMark/>
          </w:tcPr>
          <w:p w14:paraId="397FB32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870" w:type="pct"/>
            <w:shd w:val="clear" w:color="auto" w:fill="C6DBF7"/>
            <w:vAlign w:val="center"/>
            <w:hideMark/>
          </w:tcPr>
          <w:p w14:paraId="7309109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33DA68A3" w14:textId="77777777" w:rsidTr="005529E8">
        <w:trPr>
          <w:tblCellSpacing w:w="15" w:type="dxa"/>
        </w:trPr>
        <w:tc>
          <w:tcPr>
            <w:tcW w:w="0" w:type="auto"/>
            <w:shd w:val="clear" w:color="auto" w:fill="D9D9D9"/>
            <w:noWrap/>
            <w:vAlign w:val="center"/>
            <w:hideMark/>
          </w:tcPr>
          <w:p w14:paraId="3A4BD3B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0A05858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10E10795"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861 110,00</w:t>
            </w:r>
            <w:r w:rsidRPr="003C74B7">
              <w:rPr>
                <w:rFonts w:asciiTheme="minorHAnsi" w:hAnsiTheme="minorHAnsi" w:cstheme="minorHAnsi"/>
                <w:sz w:val="24"/>
                <w:szCs w:val="24"/>
                <w:lang w:eastAsia="sk-SK"/>
              </w:rPr>
              <w:t xml:space="preserve"> </w:t>
            </w:r>
          </w:p>
        </w:tc>
        <w:tc>
          <w:tcPr>
            <w:tcW w:w="795" w:type="pct"/>
            <w:shd w:val="clear" w:color="auto" w:fill="D9D9D9"/>
            <w:noWrap/>
            <w:vAlign w:val="center"/>
            <w:hideMark/>
          </w:tcPr>
          <w:p w14:paraId="23EC89B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796 510,00</w:t>
            </w:r>
            <w:r w:rsidRPr="003C74B7">
              <w:rPr>
                <w:rFonts w:asciiTheme="minorHAnsi" w:hAnsiTheme="minorHAnsi" w:cstheme="minorHAnsi"/>
                <w:sz w:val="24"/>
                <w:szCs w:val="24"/>
                <w:lang w:eastAsia="sk-SK"/>
              </w:rPr>
              <w:t xml:space="preserve"> </w:t>
            </w:r>
          </w:p>
        </w:tc>
        <w:tc>
          <w:tcPr>
            <w:tcW w:w="772" w:type="pct"/>
            <w:shd w:val="clear" w:color="auto" w:fill="D9D9D9"/>
            <w:noWrap/>
            <w:vAlign w:val="center"/>
            <w:hideMark/>
          </w:tcPr>
          <w:p w14:paraId="446B055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796 510,00</w:t>
            </w:r>
            <w:r w:rsidRPr="003C74B7">
              <w:rPr>
                <w:rFonts w:asciiTheme="minorHAnsi" w:hAnsiTheme="minorHAnsi" w:cstheme="minorHAnsi"/>
                <w:sz w:val="24"/>
                <w:szCs w:val="24"/>
                <w:lang w:eastAsia="sk-SK"/>
              </w:rPr>
              <w:t xml:space="preserve"> </w:t>
            </w:r>
          </w:p>
        </w:tc>
        <w:tc>
          <w:tcPr>
            <w:tcW w:w="599" w:type="pct"/>
            <w:shd w:val="clear" w:color="auto" w:fill="D9D9D9"/>
            <w:noWrap/>
            <w:vAlign w:val="center"/>
            <w:hideMark/>
          </w:tcPr>
          <w:p w14:paraId="58B9DE95"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0" w:type="pct"/>
            <w:vMerge w:val="restart"/>
            <w:shd w:val="clear" w:color="auto" w:fill="D9D9D9"/>
            <w:vAlign w:val="center"/>
            <w:hideMark/>
          </w:tcPr>
          <w:p w14:paraId="6D9CE87F" w14:textId="17C91E4B"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-64 600 EUR</w:t>
            </w:r>
            <w:r w:rsidRPr="003C74B7">
              <w:rPr>
                <w:rFonts w:asciiTheme="minorHAnsi" w:hAnsiTheme="minorHAnsi" w:cstheme="minorHAnsi"/>
                <w:sz w:val="20"/>
                <w:szCs w:val="20"/>
                <w:lang w:eastAsia="sk-SK"/>
              </w:rPr>
              <w:t xml:space="preserve"> U</w:t>
            </w:r>
            <w:r w:rsidR="005529E8">
              <w:rPr>
                <w:rFonts w:asciiTheme="minorHAnsi" w:hAnsiTheme="minorHAnsi" w:cstheme="minorHAnsi"/>
                <w:sz w:val="20"/>
                <w:szCs w:val="20"/>
                <w:lang w:eastAsia="sk-SK"/>
              </w:rPr>
              <w:t>ZN</w:t>
            </w:r>
            <w:r w:rsidRPr="003C74B7">
              <w:rPr>
                <w:rFonts w:asciiTheme="minorHAnsi" w:hAnsiTheme="minorHAnsi" w:cstheme="minorHAnsi"/>
                <w:sz w:val="20"/>
                <w:szCs w:val="20"/>
                <w:lang w:eastAsia="sk-SK"/>
              </w:rPr>
              <w:t xml:space="preserve"> BSK č. 247/2020</w:t>
            </w:r>
          </w:p>
          <w:p w14:paraId="37903F55"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475FE73D" w14:textId="77777777" w:rsidTr="005529E8">
        <w:trPr>
          <w:tblCellSpacing w:w="15" w:type="dxa"/>
        </w:trPr>
        <w:tc>
          <w:tcPr>
            <w:tcW w:w="0" w:type="auto"/>
            <w:shd w:val="clear" w:color="auto" w:fill="D9D9D9"/>
            <w:noWrap/>
            <w:vAlign w:val="center"/>
            <w:hideMark/>
          </w:tcPr>
          <w:p w14:paraId="5CECF700"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09CCA74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0B39EDF7"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861 110,00</w:t>
            </w:r>
            <w:r w:rsidRPr="003C74B7">
              <w:rPr>
                <w:rFonts w:asciiTheme="minorHAnsi" w:hAnsiTheme="minorHAnsi" w:cstheme="minorHAnsi"/>
                <w:sz w:val="24"/>
                <w:szCs w:val="24"/>
                <w:lang w:eastAsia="sk-SK"/>
              </w:rPr>
              <w:t xml:space="preserve"> </w:t>
            </w:r>
          </w:p>
        </w:tc>
        <w:tc>
          <w:tcPr>
            <w:tcW w:w="795" w:type="pct"/>
            <w:shd w:val="clear" w:color="auto" w:fill="D9D9D9"/>
            <w:noWrap/>
            <w:vAlign w:val="center"/>
            <w:hideMark/>
          </w:tcPr>
          <w:p w14:paraId="486AE5C9"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796 510,00</w:t>
            </w:r>
            <w:r w:rsidRPr="003C74B7">
              <w:rPr>
                <w:rFonts w:asciiTheme="minorHAnsi" w:hAnsiTheme="minorHAnsi" w:cstheme="minorHAnsi"/>
                <w:sz w:val="24"/>
                <w:szCs w:val="24"/>
                <w:lang w:eastAsia="sk-SK"/>
              </w:rPr>
              <w:t xml:space="preserve"> </w:t>
            </w:r>
          </w:p>
        </w:tc>
        <w:tc>
          <w:tcPr>
            <w:tcW w:w="772" w:type="pct"/>
            <w:shd w:val="clear" w:color="auto" w:fill="D9D9D9"/>
            <w:noWrap/>
            <w:vAlign w:val="center"/>
            <w:hideMark/>
          </w:tcPr>
          <w:p w14:paraId="47FE2DA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796 510,00</w:t>
            </w:r>
            <w:r w:rsidRPr="003C74B7">
              <w:rPr>
                <w:rFonts w:asciiTheme="minorHAnsi" w:hAnsiTheme="minorHAnsi" w:cstheme="minorHAnsi"/>
                <w:sz w:val="24"/>
                <w:szCs w:val="24"/>
                <w:lang w:eastAsia="sk-SK"/>
              </w:rPr>
              <w:t xml:space="preserve"> </w:t>
            </w:r>
          </w:p>
        </w:tc>
        <w:tc>
          <w:tcPr>
            <w:tcW w:w="599" w:type="pct"/>
            <w:shd w:val="clear" w:color="auto" w:fill="D9D9D9"/>
            <w:noWrap/>
            <w:vAlign w:val="center"/>
            <w:hideMark/>
          </w:tcPr>
          <w:p w14:paraId="7D2B47F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0" w:type="pct"/>
            <w:vMerge/>
            <w:shd w:val="clear" w:color="auto" w:fill="D9D9D9"/>
            <w:vAlign w:val="center"/>
            <w:hideMark/>
          </w:tcPr>
          <w:p w14:paraId="0075EF09"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34373EF6" w14:textId="77777777" w:rsidTr="005529E8">
        <w:trPr>
          <w:tblCellSpacing w:w="15" w:type="dxa"/>
        </w:trPr>
        <w:tc>
          <w:tcPr>
            <w:tcW w:w="0" w:type="auto"/>
            <w:shd w:val="clear" w:color="auto" w:fill="EFEFEF"/>
            <w:noWrap/>
            <w:vAlign w:val="center"/>
            <w:hideMark/>
          </w:tcPr>
          <w:p w14:paraId="4536E72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664DA55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4BCDF2D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861 110,00</w:t>
            </w:r>
            <w:r w:rsidRPr="003C74B7">
              <w:rPr>
                <w:rFonts w:asciiTheme="minorHAnsi" w:hAnsiTheme="minorHAnsi" w:cstheme="minorHAnsi"/>
                <w:sz w:val="24"/>
                <w:szCs w:val="24"/>
                <w:lang w:eastAsia="sk-SK"/>
              </w:rPr>
              <w:t xml:space="preserve"> </w:t>
            </w:r>
          </w:p>
        </w:tc>
        <w:tc>
          <w:tcPr>
            <w:tcW w:w="795" w:type="pct"/>
            <w:shd w:val="clear" w:color="auto" w:fill="EFEFEF"/>
            <w:noWrap/>
            <w:vAlign w:val="center"/>
            <w:hideMark/>
          </w:tcPr>
          <w:p w14:paraId="36E93CC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796 510,00</w:t>
            </w:r>
            <w:r w:rsidRPr="003C74B7">
              <w:rPr>
                <w:rFonts w:asciiTheme="minorHAnsi" w:hAnsiTheme="minorHAnsi" w:cstheme="minorHAnsi"/>
                <w:sz w:val="24"/>
                <w:szCs w:val="24"/>
                <w:lang w:eastAsia="sk-SK"/>
              </w:rPr>
              <w:t xml:space="preserve"> </w:t>
            </w:r>
          </w:p>
        </w:tc>
        <w:tc>
          <w:tcPr>
            <w:tcW w:w="772" w:type="pct"/>
            <w:shd w:val="clear" w:color="auto" w:fill="EFEFEF"/>
            <w:noWrap/>
            <w:vAlign w:val="center"/>
            <w:hideMark/>
          </w:tcPr>
          <w:p w14:paraId="2CCE6E7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796 510,00</w:t>
            </w:r>
            <w:r w:rsidRPr="003C74B7">
              <w:rPr>
                <w:rFonts w:asciiTheme="minorHAnsi" w:hAnsiTheme="minorHAnsi" w:cstheme="minorHAnsi"/>
                <w:sz w:val="24"/>
                <w:szCs w:val="24"/>
                <w:lang w:eastAsia="sk-SK"/>
              </w:rPr>
              <w:t xml:space="preserve"> </w:t>
            </w:r>
          </w:p>
        </w:tc>
        <w:tc>
          <w:tcPr>
            <w:tcW w:w="599" w:type="pct"/>
            <w:shd w:val="clear" w:color="auto" w:fill="EFEFEF"/>
            <w:noWrap/>
            <w:vAlign w:val="center"/>
            <w:hideMark/>
          </w:tcPr>
          <w:p w14:paraId="0671D8C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870" w:type="pct"/>
            <w:vMerge/>
            <w:shd w:val="clear" w:color="auto" w:fill="EFEFEF"/>
            <w:vAlign w:val="center"/>
            <w:hideMark/>
          </w:tcPr>
          <w:p w14:paraId="58970212"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467735B7"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43"/>
        <w:gridCol w:w="938"/>
        <w:gridCol w:w="1412"/>
        <w:gridCol w:w="1214"/>
        <w:gridCol w:w="4159"/>
      </w:tblGrid>
      <w:tr w:rsidR="00314060" w:rsidRPr="003C74B7" w14:paraId="0332815D" w14:textId="77777777" w:rsidTr="00314060">
        <w:trPr>
          <w:tblCellSpacing w:w="15" w:type="dxa"/>
        </w:trPr>
        <w:tc>
          <w:tcPr>
            <w:tcW w:w="0" w:type="auto"/>
            <w:shd w:val="clear" w:color="auto" w:fill="C2D69B"/>
            <w:vAlign w:val="center"/>
            <w:hideMark/>
          </w:tcPr>
          <w:p w14:paraId="665478D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Zodpovednosť</w:t>
            </w:r>
          </w:p>
        </w:tc>
        <w:tc>
          <w:tcPr>
            <w:tcW w:w="0" w:type="auto"/>
            <w:gridSpan w:val="4"/>
            <w:shd w:val="clear" w:color="auto" w:fill="C2D69B"/>
            <w:vAlign w:val="center"/>
            <w:hideMark/>
          </w:tcPr>
          <w:p w14:paraId="51AD5F6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Riaditeľ zariadenia</w:t>
            </w:r>
            <w:r w:rsidRPr="003C74B7">
              <w:rPr>
                <w:rFonts w:asciiTheme="minorHAnsi" w:hAnsiTheme="minorHAnsi" w:cstheme="minorHAnsi"/>
                <w:sz w:val="24"/>
                <w:szCs w:val="24"/>
                <w:lang w:eastAsia="sk-SK"/>
              </w:rPr>
              <w:t xml:space="preserve"> </w:t>
            </w:r>
          </w:p>
        </w:tc>
      </w:tr>
      <w:tr w:rsidR="00314060" w:rsidRPr="003C74B7" w14:paraId="63A119FA" w14:textId="77777777" w:rsidTr="00314060">
        <w:trPr>
          <w:tblCellSpacing w:w="15" w:type="dxa"/>
        </w:trPr>
        <w:tc>
          <w:tcPr>
            <w:tcW w:w="0" w:type="auto"/>
            <w:shd w:val="clear" w:color="auto" w:fill="C2D69B"/>
            <w:vAlign w:val="center"/>
            <w:hideMark/>
          </w:tcPr>
          <w:p w14:paraId="4399791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71C6686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Zabezpečiť divadelnú programovú ponuku</w:t>
            </w:r>
            <w:r w:rsidRPr="003C74B7">
              <w:rPr>
                <w:rFonts w:asciiTheme="minorHAnsi" w:hAnsiTheme="minorHAnsi" w:cstheme="minorHAnsi"/>
                <w:sz w:val="24"/>
                <w:szCs w:val="24"/>
                <w:lang w:eastAsia="sk-SK"/>
              </w:rPr>
              <w:t xml:space="preserve"> </w:t>
            </w:r>
          </w:p>
        </w:tc>
      </w:tr>
      <w:tr w:rsidR="00314060" w:rsidRPr="003C74B7" w14:paraId="2B5DFE44" w14:textId="77777777" w:rsidTr="00314060">
        <w:trPr>
          <w:tblCellSpacing w:w="15" w:type="dxa"/>
        </w:trPr>
        <w:tc>
          <w:tcPr>
            <w:tcW w:w="0" w:type="auto"/>
            <w:shd w:val="clear" w:color="auto" w:fill="C2D69B"/>
            <w:vAlign w:val="center"/>
            <w:hideMark/>
          </w:tcPr>
          <w:p w14:paraId="366E79B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47413368"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zrealizovaných nových titulov spolu za rok</w:t>
            </w:r>
            <w:r w:rsidRPr="003C74B7">
              <w:rPr>
                <w:rFonts w:asciiTheme="minorHAnsi" w:hAnsiTheme="minorHAnsi" w:cstheme="minorHAnsi"/>
                <w:sz w:val="24"/>
                <w:szCs w:val="24"/>
                <w:lang w:eastAsia="sk-SK"/>
              </w:rPr>
              <w:t xml:space="preserve"> </w:t>
            </w:r>
          </w:p>
        </w:tc>
      </w:tr>
      <w:tr w:rsidR="00314060" w:rsidRPr="003C74B7" w14:paraId="1F40DD88" w14:textId="77777777" w:rsidTr="00314060">
        <w:trPr>
          <w:tblCellSpacing w:w="15" w:type="dxa"/>
        </w:trPr>
        <w:tc>
          <w:tcPr>
            <w:tcW w:w="0" w:type="auto"/>
            <w:shd w:val="clear" w:color="auto" w:fill="C2D69B"/>
            <w:vAlign w:val="center"/>
            <w:hideMark/>
          </w:tcPr>
          <w:p w14:paraId="4FF0363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4D5DC39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2124396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05BA6F2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5C46B2A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6D03DA14" w14:textId="77777777" w:rsidTr="00314060">
        <w:trPr>
          <w:tblCellSpacing w:w="15" w:type="dxa"/>
        </w:trPr>
        <w:tc>
          <w:tcPr>
            <w:tcW w:w="0" w:type="auto"/>
            <w:shd w:val="clear" w:color="auto" w:fill="C2D69B"/>
            <w:vAlign w:val="center"/>
            <w:hideMark/>
          </w:tcPr>
          <w:p w14:paraId="167F5F9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2F8395C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2</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6616A0C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4</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0D23D5A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Splnené</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32C93BB2"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Bábkové divadlo 28. 2 predstavilo novú inscenáciu M, </w:t>
            </w:r>
            <w:proofErr w:type="spellStart"/>
            <w:r w:rsidRPr="003C74B7">
              <w:rPr>
                <w:rFonts w:asciiTheme="minorHAnsi" w:hAnsiTheme="minorHAnsi" w:cstheme="minorHAnsi"/>
                <w:sz w:val="20"/>
                <w:szCs w:val="20"/>
                <w:lang w:eastAsia="sk-SK"/>
              </w:rPr>
              <w:t>Geišberga</w:t>
            </w:r>
            <w:proofErr w:type="spellEnd"/>
            <w:r w:rsidRPr="003C74B7">
              <w:rPr>
                <w:rFonts w:asciiTheme="minorHAnsi" w:hAnsiTheme="minorHAnsi" w:cstheme="minorHAnsi"/>
                <w:sz w:val="20"/>
                <w:szCs w:val="20"/>
                <w:lang w:eastAsia="sk-SK"/>
              </w:rPr>
              <w:t xml:space="preserve"> NUNA, pripravili 46 dielny online cyklus Rozprávky spod rúška, v júni pokračovali premiérou hry Rozprávky o malej tučnej víle, v letných mesiacoch organizovali 2. ročník letného festivalu LETODIVY a 18. 9. pripravili ďalšiu premiéru inscenácie INÝ, ktorá vznikla na objednávku BBD v dielni mladých poľských tvorcov L. </w:t>
            </w:r>
            <w:proofErr w:type="spellStart"/>
            <w:r w:rsidRPr="003C74B7">
              <w:rPr>
                <w:rFonts w:asciiTheme="minorHAnsi" w:hAnsiTheme="minorHAnsi" w:cstheme="minorHAnsi"/>
                <w:sz w:val="20"/>
                <w:szCs w:val="20"/>
                <w:lang w:eastAsia="sk-SK"/>
              </w:rPr>
              <w:t>Frankiewicza</w:t>
            </w:r>
            <w:proofErr w:type="spellEnd"/>
            <w:r w:rsidRPr="003C74B7">
              <w:rPr>
                <w:rFonts w:asciiTheme="minorHAnsi" w:hAnsiTheme="minorHAnsi" w:cstheme="minorHAnsi"/>
                <w:sz w:val="20"/>
                <w:szCs w:val="20"/>
                <w:lang w:eastAsia="sk-SK"/>
              </w:rPr>
              <w:t xml:space="preserve">, T. </w:t>
            </w:r>
            <w:proofErr w:type="spellStart"/>
            <w:r w:rsidRPr="003C74B7">
              <w:rPr>
                <w:rFonts w:asciiTheme="minorHAnsi" w:hAnsiTheme="minorHAnsi" w:cstheme="minorHAnsi"/>
                <w:sz w:val="20"/>
                <w:szCs w:val="20"/>
                <w:lang w:eastAsia="sk-SK"/>
              </w:rPr>
              <w:t>Maśląkowského</w:t>
            </w:r>
            <w:proofErr w:type="spellEnd"/>
            <w:r w:rsidRPr="003C74B7">
              <w:rPr>
                <w:rFonts w:asciiTheme="minorHAnsi" w:hAnsiTheme="minorHAnsi" w:cstheme="minorHAnsi"/>
                <w:sz w:val="20"/>
                <w:szCs w:val="20"/>
                <w:lang w:eastAsia="sk-SK"/>
              </w:rPr>
              <w:t xml:space="preserve"> a M. </w:t>
            </w:r>
            <w:proofErr w:type="spellStart"/>
            <w:r w:rsidRPr="003C74B7">
              <w:rPr>
                <w:rFonts w:asciiTheme="minorHAnsi" w:hAnsiTheme="minorHAnsi" w:cstheme="minorHAnsi"/>
                <w:sz w:val="20"/>
                <w:szCs w:val="20"/>
                <w:lang w:eastAsia="sk-SK"/>
              </w:rPr>
              <w:t>Dracza</w:t>
            </w:r>
            <w:proofErr w:type="spellEnd"/>
            <w:r w:rsidRPr="003C74B7">
              <w:rPr>
                <w:rFonts w:asciiTheme="minorHAnsi" w:hAnsiTheme="minorHAnsi" w:cstheme="minorHAnsi"/>
                <w:sz w:val="20"/>
                <w:szCs w:val="20"/>
                <w:lang w:eastAsia="sk-SK"/>
              </w:rPr>
              <w:t xml:space="preserve">. V závere roka bolo divadlo pripravené zúčastniť sa viacerých divadelných festivalov, vo </w:t>
            </w:r>
            <w:proofErr w:type="spellStart"/>
            <w:r w:rsidRPr="003C74B7">
              <w:rPr>
                <w:rFonts w:asciiTheme="minorHAnsi" w:hAnsiTheme="minorHAnsi" w:cstheme="minorHAnsi"/>
                <w:sz w:val="20"/>
                <w:szCs w:val="20"/>
                <w:lang w:eastAsia="sk-SK"/>
              </w:rPr>
              <w:t>Waršave</w:t>
            </w:r>
            <w:proofErr w:type="spellEnd"/>
            <w:r w:rsidRPr="003C74B7">
              <w:rPr>
                <w:rFonts w:asciiTheme="minorHAnsi" w:hAnsiTheme="minorHAnsi" w:cstheme="minorHAnsi"/>
                <w:sz w:val="20"/>
                <w:szCs w:val="20"/>
                <w:lang w:eastAsia="sk-SK"/>
              </w:rPr>
              <w:t xml:space="preserve"> (PL), na </w:t>
            </w:r>
            <w:proofErr w:type="spellStart"/>
            <w:r w:rsidRPr="003C74B7">
              <w:rPr>
                <w:rFonts w:asciiTheme="minorHAnsi" w:hAnsiTheme="minorHAnsi" w:cstheme="minorHAnsi"/>
                <w:sz w:val="20"/>
                <w:szCs w:val="20"/>
                <w:lang w:eastAsia="sk-SK"/>
              </w:rPr>
              <w:t>Skupovej</w:t>
            </w:r>
            <w:proofErr w:type="spellEnd"/>
            <w:r w:rsidRPr="003C74B7">
              <w:rPr>
                <w:rFonts w:asciiTheme="minorHAnsi" w:hAnsiTheme="minorHAnsi" w:cstheme="minorHAnsi"/>
                <w:sz w:val="20"/>
                <w:szCs w:val="20"/>
                <w:lang w:eastAsia="sk-SK"/>
              </w:rPr>
              <w:t xml:space="preserve"> Plzne (CZ) aj na festivaloch Dotyky a </w:t>
            </w:r>
            <w:r w:rsidRPr="003C74B7">
              <w:rPr>
                <w:rFonts w:asciiTheme="minorHAnsi" w:hAnsiTheme="minorHAnsi" w:cstheme="minorHAnsi"/>
                <w:sz w:val="20"/>
                <w:szCs w:val="20"/>
                <w:lang w:eastAsia="sk-SK"/>
              </w:rPr>
              <w:lastRenderedPageBreak/>
              <w:t>spojenia v Martine a Bábkarskej Bystrice., všetky boli pre pandémiu zrušené.</w:t>
            </w:r>
          </w:p>
        </w:tc>
      </w:tr>
      <w:tr w:rsidR="00314060" w:rsidRPr="003C74B7" w14:paraId="3D4624E8" w14:textId="77777777" w:rsidTr="00314060">
        <w:trPr>
          <w:tblCellSpacing w:w="15" w:type="dxa"/>
        </w:trPr>
        <w:tc>
          <w:tcPr>
            <w:tcW w:w="0" w:type="auto"/>
            <w:shd w:val="clear" w:color="auto" w:fill="C2D69B"/>
            <w:vAlign w:val="center"/>
            <w:hideMark/>
          </w:tcPr>
          <w:p w14:paraId="47D216D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lastRenderedPageBreak/>
              <w:t>Merateľný ukazovateľ</w:t>
            </w:r>
          </w:p>
        </w:tc>
        <w:tc>
          <w:tcPr>
            <w:tcW w:w="0" w:type="auto"/>
            <w:gridSpan w:val="4"/>
            <w:shd w:val="clear" w:color="auto" w:fill="C2D69B"/>
            <w:vAlign w:val="center"/>
            <w:hideMark/>
          </w:tcPr>
          <w:p w14:paraId="61C4282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návštevníkov všetkých podujatí</w:t>
            </w:r>
            <w:r w:rsidRPr="003C74B7">
              <w:rPr>
                <w:rFonts w:asciiTheme="minorHAnsi" w:hAnsiTheme="minorHAnsi" w:cstheme="minorHAnsi"/>
                <w:sz w:val="24"/>
                <w:szCs w:val="24"/>
                <w:lang w:eastAsia="sk-SK"/>
              </w:rPr>
              <w:t xml:space="preserve"> </w:t>
            </w:r>
          </w:p>
        </w:tc>
      </w:tr>
      <w:tr w:rsidR="00314060" w:rsidRPr="003C74B7" w14:paraId="64DE76A9" w14:textId="77777777" w:rsidTr="00314060">
        <w:trPr>
          <w:tblCellSpacing w:w="15" w:type="dxa"/>
        </w:trPr>
        <w:tc>
          <w:tcPr>
            <w:tcW w:w="0" w:type="auto"/>
            <w:shd w:val="clear" w:color="auto" w:fill="C2D69B"/>
            <w:vAlign w:val="center"/>
            <w:hideMark/>
          </w:tcPr>
          <w:p w14:paraId="4702BAF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4ECB51A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6909194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1D1CE62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78B5788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4CA3EA45" w14:textId="77777777" w:rsidTr="00314060">
        <w:trPr>
          <w:tblCellSpacing w:w="15" w:type="dxa"/>
        </w:trPr>
        <w:tc>
          <w:tcPr>
            <w:tcW w:w="0" w:type="auto"/>
            <w:shd w:val="clear" w:color="auto" w:fill="C2D69B"/>
            <w:vAlign w:val="center"/>
            <w:hideMark/>
          </w:tcPr>
          <w:p w14:paraId="457B2F8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21DA0FE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30 000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459FDE1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7 616</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2116F5E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08E4CD48"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Počas pandémie súvisiacej s ochorením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divadlo bolo pre verejnosť takmer celú dobu uzatvorené, postupne uvádzali online divadelné predstavenia a cyklus online Rozprávky spod rúška, čítania na pokračovanie. Počas letných mesiacov odohrali v rámci letného projektu </w:t>
            </w:r>
            <w:proofErr w:type="spellStart"/>
            <w:r w:rsidRPr="003C74B7">
              <w:rPr>
                <w:rFonts w:asciiTheme="minorHAnsi" w:hAnsiTheme="minorHAnsi" w:cstheme="minorHAnsi"/>
                <w:sz w:val="20"/>
                <w:szCs w:val="20"/>
                <w:lang w:eastAsia="sk-SK"/>
              </w:rPr>
              <w:t>Letodivy</w:t>
            </w:r>
            <w:proofErr w:type="spellEnd"/>
            <w:r w:rsidRPr="003C74B7">
              <w:rPr>
                <w:rFonts w:asciiTheme="minorHAnsi" w:hAnsiTheme="minorHAnsi" w:cstheme="minorHAnsi"/>
                <w:sz w:val="20"/>
                <w:szCs w:val="20"/>
                <w:lang w:eastAsia="sk-SK"/>
              </w:rPr>
              <w:t xml:space="preserve"> pár predstavení v exteriéri.</w:t>
            </w:r>
            <w:r w:rsidRPr="003C74B7">
              <w:rPr>
                <w:rFonts w:asciiTheme="minorHAnsi" w:hAnsiTheme="minorHAnsi" w:cstheme="minorHAnsi"/>
                <w:sz w:val="24"/>
                <w:szCs w:val="24"/>
                <w:lang w:eastAsia="sk-SK"/>
              </w:rPr>
              <w:t xml:space="preserve"> </w:t>
            </w:r>
          </w:p>
        </w:tc>
      </w:tr>
    </w:tbl>
    <w:p w14:paraId="475F2BDD" w14:textId="77777777"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lang w:eastAsia="sk-SK"/>
        </w:rPr>
        <w:t>Bratislavské bábkové divadlo je vďaka vysokej umeleckej kvalite divadelných projektov vnímané ako popredná umelecká scéna. BBD sídli v priestoroch na Dunajskej ulici, ktoré sa momentálne rekonštruujú. Z dôvodu zdĺhavého procesu rekonštrukcie sídelnej budovy na Dunajskej ulici divadelné predstavenia hrajú v náhradných priestoroch na Škultétyho ulici č. 5 v Bratislave, čo predstavuje zvýšenie prevádzkových nákladov.</w:t>
      </w:r>
    </w:p>
    <w:p w14:paraId="29228C1D" w14:textId="200F438A" w:rsidR="00314060" w:rsidRPr="003C74B7" w:rsidRDefault="00314060" w:rsidP="00314060">
      <w:pPr>
        <w:spacing w:before="100" w:beforeAutospacing="1" w:after="100" w:afterAutospacing="1" w:line="240" w:lineRule="auto"/>
        <w:jc w:val="both"/>
        <w:outlineLvl w:val="3"/>
        <w:rPr>
          <w:rFonts w:asciiTheme="minorHAnsi" w:hAnsiTheme="minorHAnsi" w:cstheme="minorHAnsi"/>
          <w:b/>
          <w:bCs/>
          <w:color w:val="244061"/>
          <w:sz w:val="24"/>
          <w:szCs w:val="24"/>
          <w:lang w:eastAsia="sk-SK"/>
        </w:rPr>
      </w:pPr>
      <w:r w:rsidRPr="003C74B7">
        <w:rPr>
          <w:rFonts w:asciiTheme="minorHAnsi" w:hAnsiTheme="minorHAnsi" w:cstheme="minorHAnsi"/>
          <w:b/>
          <w:bCs/>
          <w:color w:val="244061"/>
          <w:sz w:val="24"/>
          <w:szCs w:val="24"/>
          <w:lang w:eastAsia="sk-SK"/>
        </w:rPr>
        <w:t>Prvok 10.3.4: Divadlo LUDUS</w:t>
      </w:r>
    </w:p>
    <w:p w14:paraId="2D65EB4F"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Zabezpečiť divadelnú programovú ponuku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56"/>
        <w:gridCol w:w="2202"/>
        <w:gridCol w:w="1550"/>
        <w:gridCol w:w="1347"/>
        <w:gridCol w:w="1288"/>
        <w:gridCol w:w="1233"/>
        <w:gridCol w:w="1790"/>
      </w:tblGrid>
      <w:tr w:rsidR="00314060" w:rsidRPr="003C74B7" w14:paraId="2CE6B56B" w14:textId="77777777" w:rsidTr="005529E8">
        <w:trPr>
          <w:tblCellSpacing w:w="15" w:type="dxa"/>
        </w:trPr>
        <w:tc>
          <w:tcPr>
            <w:tcW w:w="0" w:type="auto"/>
            <w:shd w:val="clear" w:color="auto" w:fill="C6DBF7"/>
            <w:vAlign w:val="center"/>
            <w:hideMark/>
          </w:tcPr>
          <w:p w14:paraId="3A01071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1062" w:type="pct"/>
            <w:shd w:val="clear" w:color="auto" w:fill="C6DBF7"/>
            <w:vAlign w:val="center"/>
            <w:hideMark/>
          </w:tcPr>
          <w:p w14:paraId="5479216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743" w:type="pct"/>
            <w:shd w:val="clear" w:color="auto" w:fill="C6DBF7"/>
            <w:vAlign w:val="center"/>
            <w:hideMark/>
          </w:tcPr>
          <w:p w14:paraId="4603E49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44" w:type="pct"/>
            <w:shd w:val="clear" w:color="auto" w:fill="C6DBF7"/>
            <w:vAlign w:val="center"/>
            <w:hideMark/>
          </w:tcPr>
          <w:p w14:paraId="1E64F26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15" w:type="pct"/>
            <w:shd w:val="clear" w:color="auto" w:fill="C6DBF7"/>
            <w:vAlign w:val="center"/>
            <w:hideMark/>
          </w:tcPr>
          <w:p w14:paraId="21B373A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588" w:type="pct"/>
            <w:shd w:val="clear" w:color="auto" w:fill="C6DBF7"/>
            <w:vAlign w:val="center"/>
            <w:hideMark/>
          </w:tcPr>
          <w:p w14:paraId="7C69275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853" w:type="pct"/>
            <w:shd w:val="clear" w:color="auto" w:fill="C6DBF7"/>
            <w:vAlign w:val="center"/>
            <w:hideMark/>
          </w:tcPr>
          <w:p w14:paraId="6916DB4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557FF666" w14:textId="77777777" w:rsidTr="005529E8">
        <w:trPr>
          <w:tblCellSpacing w:w="15" w:type="dxa"/>
        </w:trPr>
        <w:tc>
          <w:tcPr>
            <w:tcW w:w="0" w:type="auto"/>
            <w:shd w:val="clear" w:color="auto" w:fill="D9D9D9"/>
            <w:noWrap/>
            <w:vAlign w:val="center"/>
            <w:hideMark/>
          </w:tcPr>
          <w:p w14:paraId="29CA8B0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5A45995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743" w:type="pct"/>
            <w:shd w:val="clear" w:color="auto" w:fill="D9D9D9"/>
            <w:noWrap/>
            <w:vAlign w:val="center"/>
            <w:hideMark/>
          </w:tcPr>
          <w:p w14:paraId="3B185EB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480 156,00</w:t>
            </w:r>
            <w:r w:rsidRPr="003C74B7">
              <w:rPr>
                <w:rFonts w:asciiTheme="minorHAnsi" w:hAnsiTheme="minorHAnsi" w:cstheme="minorHAnsi"/>
                <w:sz w:val="24"/>
                <w:szCs w:val="24"/>
                <w:lang w:eastAsia="sk-SK"/>
              </w:rPr>
              <w:t xml:space="preserve"> </w:t>
            </w:r>
          </w:p>
        </w:tc>
        <w:tc>
          <w:tcPr>
            <w:tcW w:w="644" w:type="pct"/>
            <w:shd w:val="clear" w:color="auto" w:fill="D9D9D9"/>
            <w:noWrap/>
            <w:vAlign w:val="center"/>
            <w:hideMark/>
          </w:tcPr>
          <w:p w14:paraId="30F78B7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444 156,00</w:t>
            </w:r>
            <w:r w:rsidRPr="003C74B7">
              <w:rPr>
                <w:rFonts w:asciiTheme="minorHAnsi" w:hAnsiTheme="minorHAnsi" w:cstheme="minorHAnsi"/>
                <w:sz w:val="24"/>
                <w:szCs w:val="24"/>
                <w:lang w:eastAsia="sk-SK"/>
              </w:rPr>
              <w:t xml:space="preserve"> </w:t>
            </w:r>
          </w:p>
        </w:tc>
        <w:tc>
          <w:tcPr>
            <w:tcW w:w="615" w:type="pct"/>
            <w:shd w:val="clear" w:color="auto" w:fill="D9D9D9"/>
            <w:noWrap/>
            <w:vAlign w:val="center"/>
            <w:hideMark/>
          </w:tcPr>
          <w:p w14:paraId="23AD67E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444 156,00</w:t>
            </w:r>
            <w:r w:rsidRPr="003C74B7">
              <w:rPr>
                <w:rFonts w:asciiTheme="minorHAnsi" w:hAnsiTheme="minorHAnsi" w:cstheme="minorHAnsi"/>
                <w:sz w:val="24"/>
                <w:szCs w:val="24"/>
                <w:lang w:eastAsia="sk-SK"/>
              </w:rPr>
              <w:t xml:space="preserve"> </w:t>
            </w:r>
          </w:p>
        </w:tc>
        <w:tc>
          <w:tcPr>
            <w:tcW w:w="588" w:type="pct"/>
            <w:shd w:val="clear" w:color="auto" w:fill="D9D9D9"/>
            <w:noWrap/>
            <w:vAlign w:val="center"/>
            <w:hideMark/>
          </w:tcPr>
          <w:p w14:paraId="4E773047"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53" w:type="pct"/>
            <w:vMerge w:val="restart"/>
            <w:shd w:val="clear" w:color="auto" w:fill="D9D9D9"/>
            <w:vAlign w:val="center"/>
            <w:hideMark/>
          </w:tcPr>
          <w:p w14:paraId="4D83F234" w14:textId="7D0CB24D"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-36 000 EUR</w:t>
            </w:r>
            <w:r w:rsidRPr="003C74B7">
              <w:rPr>
                <w:rFonts w:asciiTheme="minorHAnsi" w:hAnsiTheme="minorHAnsi" w:cstheme="minorHAnsi"/>
                <w:sz w:val="20"/>
                <w:szCs w:val="20"/>
                <w:lang w:eastAsia="sk-SK"/>
              </w:rPr>
              <w:t xml:space="preserve"> U</w:t>
            </w:r>
            <w:r w:rsidR="005529E8">
              <w:rPr>
                <w:rFonts w:asciiTheme="minorHAnsi" w:hAnsiTheme="minorHAnsi" w:cstheme="minorHAnsi"/>
                <w:sz w:val="20"/>
                <w:szCs w:val="20"/>
                <w:lang w:eastAsia="sk-SK"/>
              </w:rPr>
              <w:t>ZN</w:t>
            </w:r>
            <w:r w:rsidRPr="003C74B7">
              <w:rPr>
                <w:rFonts w:asciiTheme="minorHAnsi" w:hAnsiTheme="minorHAnsi" w:cstheme="minorHAnsi"/>
                <w:sz w:val="20"/>
                <w:szCs w:val="20"/>
                <w:lang w:eastAsia="sk-SK"/>
              </w:rPr>
              <w:t xml:space="preserve"> BSK č. 247/2020</w:t>
            </w:r>
          </w:p>
          <w:p w14:paraId="59EF89A2"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1FBCBDA9" w14:textId="77777777" w:rsidTr="005529E8">
        <w:trPr>
          <w:tblCellSpacing w:w="15" w:type="dxa"/>
        </w:trPr>
        <w:tc>
          <w:tcPr>
            <w:tcW w:w="0" w:type="auto"/>
            <w:shd w:val="clear" w:color="auto" w:fill="D9D9D9"/>
            <w:noWrap/>
            <w:vAlign w:val="center"/>
            <w:hideMark/>
          </w:tcPr>
          <w:p w14:paraId="291C8C2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4738CF77"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743" w:type="pct"/>
            <w:shd w:val="clear" w:color="auto" w:fill="D9D9D9"/>
            <w:noWrap/>
            <w:vAlign w:val="center"/>
            <w:hideMark/>
          </w:tcPr>
          <w:p w14:paraId="697BDD4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480 156,00</w:t>
            </w:r>
            <w:r w:rsidRPr="003C74B7">
              <w:rPr>
                <w:rFonts w:asciiTheme="minorHAnsi" w:hAnsiTheme="minorHAnsi" w:cstheme="minorHAnsi"/>
                <w:sz w:val="24"/>
                <w:szCs w:val="24"/>
                <w:lang w:eastAsia="sk-SK"/>
              </w:rPr>
              <w:t xml:space="preserve"> </w:t>
            </w:r>
          </w:p>
        </w:tc>
        <w:tc>
          <w:tcPr>
            <w:tcW w:w="644" w:type="pct"/>
            <w:shd w:val="clear" w:color="auto" w:fill="D9D9D9"/>
            <w:noWrap/>
            <w:vAlign w:val="center"/>
            <w:hideMark/>
          </w:tcPr>
          <w:p w14:paraId="4FE4A67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444 156,00</w:t>
            </w:r>
            <w:r w:rsidRPr="003C74B7">
              <w:rPr>
                <w:rFonts w:asciiTheme="minorHAnsi" w:hAnsiTheme="minorHAnsi" w:cstheme="minorHAnsi"/>
                <w:sz w:val="24"/>
                <w:szCs w:val="24"/>
                <w:lang w:eastAsia="sk-SK"/>
              </w:rPr>
              <w:t xml:space="preserve"> </w:t>
            </w:r>
          </w:p>
        </w:tc>
        <w:tc>
          <w:tcPr>
            <w:tcW w:w="615" w:type="pct"/>
            <w:shd w:val="clear" w:color="auto" w:fill="D9D9D9"/>
            <w:noWrap/>
            <w:vAlign w:val="center"/>
            <w:hideMark/>
          </w:tcPr>
          <w:p w14:paraId="11D3DE0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444 156,00</w:t>
            </w:r>
            <w:r w:rsidRPr="003C74B7">
              <w:rPr>
                <w:rFonts w:asciiTheme="minorHAnsi" w:hAnsiTheme="minorHAnsi" w:cstheme="minorHAnsi"/>
                <w:sz w:val="24"/>
                <w:szCs w:val="24"/>
                <w:lang w:eastAsia="sk-SK"/>
              </w:rPr>
              <w:t xml:space="preserve"> </w:t>
            </w:r>
          </w:p>
        </w:tc>
        <w:tc>
          <w:tcPr>
            <w:tcW w:w="588" w:type="pct"/>
            <w:shd w:val="clear" w:color="auto" w:fill="D9D9D9"/>
            <w:noWrap/>
            <w:vAlign w:val="center"/>
            <w:hideMark/>
          </w:tcPr>
          <w:p w14:paraId="07F8A8F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53" w:type="pct"/>
            <w:vMerge/>
            <w:shd w:val="clear" w:color="auto" w:fill="D9D9D9"/>
            <w:vAlign w:val="center"/>
            <w:hideMark/>
          </w:tcPr>
          <w:p w14:paraId="697745C6"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33474FCC" w14:textId="77777777" w:rsidTr="005529E8">
        <w:trPr>
          <w:tblCellSpacing w:w="15" w:type="dxa"/>
        </w:trPr>
        <w:tc>
          <w:tcPr>
            <w:tcW w:w="0" w:type="auto"/>
            <w:shd w:val="clear" w:color="auto" w:fill="EFEFEF"/>
            <w:noWrap/>
            <w:vAlign w:val="center"/>
            <w:hideMark/>
          </w:tcPr>
          <w:p w14:paraId="26C4B21F"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62F20BC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743" w:type="pct"/>
            <w:shd w:val="clear" w:color="auto" w:fill="EFEFEF"/>
            <w:noWrap/>
            <w:vAlign w:val="center"/>
            <w:hideMark/>
          </w:tcPr>
          <w:p w14:paraId="7ABBAEAE"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480 156,00</w:t>
            </w:r>
            <w:r w:rsidRPr="003C74B7">
              <w:rPr>
                <w:rFonts w:asciiTheme="minorHAnsi" w:hAnsiTheme="minorHAnsi" w:cstheme="minorHAnsi"/>
                <w:sz w:val="24"/>
                <w:szCs w:val="24"/>
                <w:lang w:eastAsia="sk-SK"/>
              </w:rPr>
              <w:t xml:space="preserve"> </w:t>
            </w:r>
          </w:p>
        </w:tc>
        <w:tc>
          <w:tcPr>
            <w:tcW w:w="644" w:type="pct"/>
            <w:shd w:val="clear" w:color="auto" w:fill="EFEFEF"/>
            <w:noWrap/>
            <w:vAlign w:val="center"/>
            <w:hideMark/>
          </w:tcPr>
          <w:p w14:paraId="0D29490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444 156,00</w:t>
            </w:r>
            <w:r w:rsidRPr="003C74B7">
              <w:rPr>
                <w:rFonts w:asciiTheme="minorHAnsi" w:hAnsiTheme="minorHAnsi" w:cstheme="minorHAnsi"/>
                <w:sz w:val="24"/>
                <w:szCs w:val="24"/>
                <w:lang w:eastAsia="sk-SK"/>
              </w:rPr>
              <w:t xml:space="preserve"> </w:t>
            </w:r>
          </w:p>
        </w:tc>
        <w:tc>
          <w:tcPr>
            <w:tcW w:w="615" w:type="pct"/>
            <w:shd w:val="clear" w:color="auto" w:fill="EFEFEF"/>
            <w:noWrap/>
            <w:vAlign w:val="center"/>
            <w:hideMark/>
          </w:tcPr>
          <w:p w14:paraId="03E3D9F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444 156,00</w:t>
            </w:r>
            <w:r w:rsidRPr="003C74B7">
              <w:rPr>
                <w:rFonts w:asciiTheme="minorHAnsi" w:hAnsiTheme="minorHAnsi" w:cstheme="minorHAnsi"/>
                <w:sz w:val="24"/>
                <w:szCs w:val="24"/>
                <w:lang w:eastAsia="sk-SK"/>
              </w:rPr>
              <w:t xml:space="preserve"> </w:t>
            </w:r>
          </w:p>
        </w:tc>
        <w:tc>
          <w:tcPr>
            <w:tcW w:w="588" w:type="pct"/>
            <w:shd w:val="clear" w:color="auto" w:fill="EFEFEF"/>
            <w:noWrap/>
            <w:vAlign w:val="center"/>
            <w:hideMark/>
          </w:tcPr>
          <w:p w14:paraId="572E216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853" w:type="pct"/>
            <w:vMerge/>
            <w:shd w:val="clear" w:color="auto" w:fill="EFEFEF"/>
            <w:vAlign w:val="center"/>
            <w:hideMark/>
          </w:tcPr>
          <w:p w14:paraId="1FC3BD71"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51CD2458"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11"/>
        <w:gridCol w:w="809"/>
        <w:gridCol w:w="1445"/>
        <w:gridCol w:w="1242"/>
        <w:gridCol w:w="4159"/>
      </w:tblGrid>
      <w:tr w:rsidR="00314060" w:rsidRPr="003C74B7" w14:paraId="031C3CF3" w14:textId="77777777" w:rsidTr="00314060">
        <w:trPr>
          <w:tblCellSpacing w:w="15" w:type="dxa"/>
        </w:trPr>
        <w:tc>
          <w:tcPr>
            <w:tcW w:w="0" w:type="auto"/>
            <w:shd w:val="clear" w:color="auto" w:fill="C2D69B"/>
            <w:vAlign w:val="center"/>
            <w:hideMark/>
          </w:tcPr>
          <w:p w14:paraId="45F818A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Zodpovednosť</w:t>
            </w:r>
          </w:p>
        </w:tc>
        <w:tc>
          <w:tcPr>
            <w:tcW w:w="0" w:type="auto"/>
            <w:gridSpan w:val="4"/>
            <w:shd w:val="clear" w:color="auto" w:fill="C2D69B"/>
            <w:vAlign w:val="center"/>
            <w:hideMark/>
          </w:tcPr>
          <w:p w14:paraId="59D608C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Riaditeľ zariadenia</w:t>
            </w:r>
            <w:r w:rsidRPr="003C74B7">
              <w:rPr>
                <w:rFonts w:asciiTheme="minorHAnsi" w:hAnsiTheme="minorHAnsi" w:cstheme="minorHAnsi"/>
                <w:sz w:val="24"/>
                <w:szCs w:val="24"/>
                <w:lang w:eastAsia="sk-SK"/>
              </w:rPr>
              <w:t xml:space="preserve"> </w:t>
            </w:r>
          </w:p>
        </w:tc>
      </w:tr>
      <w:tr w:rsidR="00314060" w:rsidRPr="003C74B7" w14:paraId="2815A02D" w14:textId="77777777" w:rsidTr="00314060">
        <w:trPr>
          <w:tblCellSpacing w:w="15" w:type="dxa"/>
        </w:trPr>
        <w:tc>
          <w:tcPr>
            <w:tcW w:w="0" w:type="auto"/>
            <w:shd w:val="clear" w:color="auto" w:fill="C2D69B"/>
            <w:vAlign w:val="center"/>
            <w:hideMark/>
          </w:tcPr>
          <w:p w14:paraId="6D5AEAA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53E8E13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Zabezpečiť divadelnú programovú ponuku</w:t>
            </w:r>
            <w:r w:rsidRPr="003C74B7">
              <w:rPr>
                <w:rFonts w:asciiTheme="minorHAnsi" w:hAnsiTheme="minorHAnsi" w:cstheme="minorHAnsi"/>
                <w:sz w:val="24"/>
                <w:szCs w:val="24"/>
                <w:lang w:eastAsia="sk-SK"/>
              </w:rPr>
              <w:t xml:space="preserve"> </w:t>
            </w:r>
          </w:p>
        </w:tc>
      </w:tr>
      <w:tr w:rsidR="00314060" w:rsidRPr="003C74B7" w14:paraId="1CF9BA03" w14:textId="77777777" w:rsidTr="00314060">
        <w:trPr>
          <w:tblCellSpacing w:w="15" w:type="dxa"/>
        </w:trPr>
        <w:tc>
          <w:tcPr>
            <w:tcW w:w="0" w:type="auto"/>
            <w:shd w:val="clear" w:color="auto" w:fill="C2D69B"/>
            <w:vAlign w:val="center"/>
            <w:hideMark/>
          </w:tcPr>
          <w:p w14:paraId="60AEAEF8"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287B4B0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zrealizovaných nových titulov spolu za rok</w:t>
            </w:r>
            <w:r w:rsidRPr="003C74B7">
              <w:rPr>
                <w:rFonts w:asciiTheme="minorHAnsi" w:hAnsiTheme="minorHAnsi" w:cstheme="minorHAnsi"/>
                <w:sz w:val="24"/>
                <w:szCs w:val="24"/>
                <w:lang w:eastAsia="sk-SK"/>
              </w:rPr>
              <w:t xml:space="preserve"> </w:t>
            </w:r>
          </w:p>
        </w:tc>
      </w:tr>
      <w:tr w:rsidR="00314060" w:rsidRPr="003C74B7" w14:paraId="4B62B17A" w14:textId="77777777" w:rsidTr="00314060">
        <w:trPr>
          <w:tblCellSpacing w:w="15" w:type="dxa"/>
        </w:trPr>
        <w:tc>
          <w:tcPr>
            <w:tcW w:w="0" w:type="auto"/>
            <w:shd w:val="clear" w:color="auto" w:fill="C2D69B"/>
            <w:vAlign w:val="center"/>
            <w:hideMark/>
          </w:tcPr>
          <w:p w14:paraId="3361CB9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49CC838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45DD93F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6081B1E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6A9403C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506C61E5" w14:textId="77777777" w:rsidTr="00314060">
        <w:trPr>
          <w:tblCellSpacing w:w="15" w:type="dxa"/>
        </w:trPr>
        <w:tc>
          <w:tcPr>
            <w:tcW w:w="0" w:type="auto"/>
            <w:shd w:val="clear" w:color="auto" w:fill="C2D69B"/>
            <w:vAlign w:val="center"/>
            <w:hideMark/>
          </w:tcPr>
          <w:p w14:paraId="243F85A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33F6A2C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4</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17CF304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027B6C3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53F3F0DE"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Divadlo uviedlo 12.3.2020 obnovenú premiéru divadelnej hry </w:t>
            </w:r>
            <w:proofErr w:type="spellStart"/>
            <w:r w:rsidRPr="003C74B7">
              <w:rPr>
                <w:rFonts w:asciiTheme="minorHAnsi" w:hAnsiTheme="minorHAnsi" w:cstheme="minorHAnsi"/>
                <w:sz w:val="20"/>
                <w:szCs w:val="20"/>
                <w:lang w:eastAsia="sk-SK"/>
              </w:rPr>
              <w:t>Acta</w:t>
            </w:r>
            <w:proofErr w:type="spellEnd"/>
            <w:r w:rsidRPr="003C74B7">
              <w:rPr>
                <w:rFonts w:asciiTheme="minorHAnsi" w:hAnsiTheme="minorHAnsi" w:cstheme="minorHAnsi"/>
                <w:sz w:val="20"/>
                <w:szCs w:val="20"/>
                <w:lang w:eastAsia="sk-SK"/>
              </w:rPr>
              <w:t xml:space="preserve"> psychopata. Počas pandémie súvisiacej s ochorením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divadlo bolo pre verejnosť uzatvorené, postupne uvádzali online divadelné predstavenia a čítania na pokračovanie, prenášali online filmové dokumenty o práci v divadle, rozhovory s tvorcami. Ďalšiu premiéru prezentovali na verejnej generálke pod názvom  Na západe nič nové a v závere roka 15.12- 2020 pripravili generálku inscenácie </w:t>
            </w:r>
            <w:proofErr w:type="spellStart"/>
            <w:r w:rsidRPr="003C74B7">
              <w:rPr>
                <w:rFonts w:asciiTheme="minorHAnsi" w:hAnsiTheme="minorHAnsi" w:cstheme="minorHAnsi"/>
                <w:sz w:val="20"/>
                <w:szCs w:val="20"/>
                <w:lang w:eastAsia="sk-SK"/>
              </w:rPr>
              <w:t>Konvália</w:t>
            </w:r>
            <w:proofErr w:type="spellEnd"/>
            <w:r w:rsidRPr="003C74B7">
              <w:rPr>
                <w:rFonts w:asciiTheme="minorHAnsi" w:hAnsiTheme="minorHAnsi" w:cstheme="minorHAnsi"/>
                <w:sz w:val="20"/>
                <w:szCs w:val="20"/>
                <w:lang w:eastAsia="sk-SK"/>
              </w:rPr>
              <w:t>.</w:t>
            </w:r>
            <w:r w:rsidRPr="003C74B7">
              <w:rPr>
                <w:rFonts w:asciiTheme="minorHAnsi" w:hAnsiTheme="minorHAnsi" w:cstheme="minorHAnsi"/>
                <w:sz w:val="24"/>
                <w:szCs w:val="24"/>
                <w:lang w:eastAsia="sk-SK"/>
              </w:rPr>
              <w:t xml:space="preserve"> </w:t>
            </w:r>
          </w:p>
        </w:tc>
      </w:tr>
      <w:tr w:rsidR="00314060" w:rsidRPr="003C74B7" w14:paraId="27498CFE" w14:textId="77777777" w:rsidTr="00314060">
        <w:trPr>
          <w:tblCellSpacing w:w="15" w:type="dxa"/>
        </w:trPr>
        <w:tc>
          <w:tcPr>
            <w:tcW w:w="0" w:type="auto"/>
            <w:shd w:val="clear" w:color="auto" w:fill="C2D69B"/>
            <w:vAlign w:val="center"/>
            <w:hideMark/>
          </w:tcPr>
          <w:p w14:paraId="68F4789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05C31000"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návštevníkov všetkých podujatí</w:t>
            </w:r>
            <w:r w:rsidRPr="003C74B7">
              <w:rPr>
                <w:rFonts w:asciiTheme="minorHAnsi" w:hAnsiTheme="minorHAnsi" w:cstheme="minorHAnsi"/>
                <w:sz w:val="24"/>
                <w:szCs w:val="24"/>
                <w:lang w:eastAsia="sk-SK"/>
              </w:rPr>
              <w:t xml:space="preserve"> </w:t>
            </w:r>
          </w:p>
        </w:tc>
      </w:tr>
      <w:tr w:rsidR="00314060" w:rsidRPr="003C74B7" w14:paraId="528152C6" w14:textId="77777777" w:rsidTr="00314060">
        <w:trPr>
          <w:tblCellSpacing w:w="15" w:type="dxa"/>
        </w:trPr>
        <w:tc>
          <w:tcPr>
            <w:tcW w:w="0" w:type="auto"/>
            <w:shd w:val="clear" w:color="auto" w:fill="C2D69B"/>
            <w:vAlign w:val="center"/>
            <w:hideMark/>
          </w:tcPr>
          <w:p w14:paraId="4BB2C09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239261C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41BDE6B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2D49932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7A9F761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7EC1CB23" w14:textId="77777777" w:rsidTr="00314060">
        <w:trPr>
          <w:tblCellSpacing w:w="15" w:type="dxa"/>
        </w:trPr>
        <w:tc>
          <w:tcPr>
            <w:tcW w:w="0" w:type="auto"/>
            <w:shd w:val="clear" w:color="auto" w:fill="C2D69B"/>
            <w:vAlign w:val="center"/>
            <w:hideMark/>
          </w:tcPr>
          <w:p w14:paraId="465165A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3BB5647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9 670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38DC67A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640</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7A802DA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22645947"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Počas pandémie súvisiacej s ochorením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divadlo bolo pre verejnosť uzatvorené, postupne uvádzali online divadelné predstavenia a čítania na pokračovanie, prenášali online filmové dokumenty o práci v divadle, rozhovory s tvorcami a zaujímavé reportáže z vystúpení na filmových festivaloch.</w:t>
            </w:r>
            <w:r w:rsidRPr="003C74B7">
              <w:rPr>
                <w:rFonts w:asciiTheme="minorHAnsi" w:hAnsiTheme="minorHAnsi" w:cstheme="minorHAnsi"/>
                <w:sz w:val="24"/>
                <w:szCs w:val="24"/>
                <w:lang w:eastAsia="sk-SK"/>
              </w:rPr>
              <w:t xml:space="preserve"> </w:t>
            </w:r>
          </w:p>
        </w:tc>
      </w:tr>
    </w:tbl>
    <w:p w14:paraId="6B9AEF74" w14:textId="77777777"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lang w:eastAsia="sk-SK"/>
        </w:rPr>
        <w:t xml:space="preserve">Divadlo LUDUS sa orientuje na mladé publikum s ambíciou formovať divadelného diváka prostredníctvom kvalitných umeleckých produkcií. Divadlo sídli v prenajatých priestoroch a svoje predstavenia hrá v Štúdiu L &amp; S na Námestí 1. mája v Bratislave. Počas prvého polroka 2020 vedenie </w:t>
      </w:r>
      <w:proofErr w:type="spellStart"/>
      <w:r w:rsidRPr="003C74B7">
        <w:rPr>
          <w:rFonts w:asciiTheme="minorHAnsi" w:hAnsiTheme="minorHAnsi" w:cstheme="minorHAnsi"/>
          <w:lang w:eastAsia="sk-SK"/>
        </w:rPr>
        <w:t>OCRaK</w:t>
      </w:r>
      <w:proofErr w:type="spellEnd"/>
      <w:r w:rsidRPr="003C74B7">
        <w:rPr>
          <w:rFonts w:asciiTheme="minorHAnsi" w:hAnsiTheme="minorHAnsi" w:cstheme="minorHAnsi"/>
          <w:lang w:eastAsia="sk-SK"/>
        </w:rPr>
        <w:t xml:space="preserve"> intenzívne pokračovalo v hľadaní stáleho sídla pre Divadlo LUDUS, priestory Malej scény vlastníka STU sa napriek prísľubom nepodarilo zabezpečiť, nakoľko uprednostnili iného záujemcu. V druhom polroku sa záujem sústredil na možnú spoluprácu s SD Nivy v MČ Ružinov, napriek enormnej snahe sa ani tento proces nepodarilo uzavrieť. Do budúcna tak ostáva naďalej otvorená otázka </w:t>
      </w:r>
      <w:r w:rsidRPr="003C74B7">
        <w:rPr>
          <w:rFonts w:asciiTheme="minorHAnsi" w:hAnsiTheme="minorHAnsi" w:cstheme="minorHAnsi"/>
          <w:lang w:eastAsia="sk-SK"/>
        </w:rPr>
        <w:lastRenderedPageBreak/>
        <w:t>stáleho sídla Divadla LUDUS. Divadlo deklarovalo, že je napriek tomu schopné predložiť projekt „kočovného“ fungovania divadla bez potreby vlastnej scény, založenom na hraní v priestoroch oslovujúcich špecifického diváka a v školách, kde sa koncentruje primárna cieľová skupina divadla.</w:t>
      </w:r>
    </w:p>
    <w:p w14:paraId="31E12B27" w14:textId="77777777" w:rsidR="00314060" w:rsidRPr="003C74B7" w:rsidRDefault="00314060"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r w:rsidRPr="003C74B7">
        <w:rPr>
          <w:rFonts w:asciiTheme="minorHAnsi" w:hAnsiTheme="minorHAnsi" w:cstheme="minorHAnsi"/>
          <w:b/>
          <w:bCs/>
          <w:color w:val="4F6228"/>
          <w:sz w:val="27"/>
          <w:szCs w:val="27"/>
          <w:lang w:eastAsia="sk-SK"/>
        </w:rPr>
        <w:t>Podprogram 10.4: Malokarpatské múzeum v Pezinku</w:t>
      </w:r>
    </w:p>
    <w:p w14:paraId="2641544E"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Nadobúdať, ochraňovať a sprístupňovať predmety kultúrneho dedičstva v Bratislavskom samosprávnom kraji.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9"/>
        <w:gridCol w:w="2253"/>
        <w:gridCol w:w="1256"/>
        <w:gridCol w:w="1709"/>
        <w:gridCol w:w="1318"/>
        <w:gridCol w:w="1261"/>
        <w:gridCol w:w="1830"/>
      </w:tblGrid>
      <w:tr w:rsidR="00314060" w:rsidRPr="003C74B7" w14:paraId="3121E5CA" w14:textId="77777777" w:rsidTr="005529E8">
        <w:trPr>
          <w:tblCellSpacing w:w="15" w:type="dxa"/>
        </w:trPr>
        <w:tc>
          <w:tcPr>
            <w:tcW w:w="0" w:type="auto"/>
            <w:shd w:val="clear" w:color="auto" w:fill="C6DBF7"/>
            <w:vAlign w:val="center"/>
            <w:hideMark/>
          </w:tcPr>
          <w:p w14:paraId="334C05B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1087" w:type="pct"/>
            <w:shd w:val="clear" w:color="auto" w:fill="C6DBF7"/>
            <w:vAlign w:val="center"/>
            <w:hideMark/>
          </w:tcPr>
          <w:p w14:paraId="0683D4A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0A81299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821" w:type="pct"/>
            <w:shd w:val="clear" w:color="auto" w:fill="C6DBF7"/>
            <w:vAlign w:val="center"/>
            <w:hideMark/>
          </w:tcPr>
          <w:p w14:paraId="1824439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30" w:type="pct"/>
            <w:shd w:val="clear" w:color="auto" w:fill="C6DBF7"/>
            <w:vAlign w:val="center"/>
            <w:hideMark/>
          </w:tcPr>
          <w:p w14:paraId="4240EBB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602" w:type="pct"/>
            <w:shd w:val="clear" w:color="auto" w:fill="C6DBF7"/>
            <w:vAlign w:val="center"/>
            <w:hideMark/>
          </w:tcPr>
          <w:p w14:paraId="4FA0983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873" w:type="pct"/>
            <w:shd w:val="clear" w:color="auto" w:fill="C6DBF7"/>
            <w:vAlign w:val="center"/>
            <w:hideMark/>
          </w:tcPr>
          <w:p w14:paraId="5EFD292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651590B8" w14:textId="77777777" w:rsidTr="005529E8">
        <w:trPr>
          <w:tblCellSpacing w:w="15" w:type="dxa"/>
        </w:trPr>
        <w:tc>
          <w:tcPr>
            <w:tcW w:w="0" w:type="auto"/>
            <w:shd w:val="clear" w:color="auto" w:fill="D9D9D9"/>
            <w:noWrap/>
            <w:vAlign w:val="center"/>
            <w:hideMark/>
          </w:tcPr>
          <w:p w14:paraId="7C79379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5155B6E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605788AC"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412 294,00</w:t>
            </w:r>
            <w:r w:rsidRPr="003C74B7">
              <w:rPr>
                <w:rFonts w:asciiTheme="minorHAnsi" w:hAnsiTheme="minorHAnsi" w:cstheme="minorHAnsi"/>
                <w:sz w:val="24"/>
                <w:szCs w:val="24"/>
                <w:lang w:eastAsia="sk-SK"/>
              </w:rPr>
              <w:t xml:space="preserve"> </w:t>
            </w:r>
          </w:p>
        </w:tc>
        <w:tc>
          <w:tcPr>
            <w:tcW w:w="821" w:type="pct"/>
            <w:shd w:val="clear" w:color="auto" w:fill="D9D9D9"/>
            <w:noWrap/>
            <w:vAlign w:val="center"/>
            <w:hideMark/>
          </w:tcPr>
          <w:p w14:paraId="192321E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382 862,00</w:t>
            </w:r>
            <w:r w:rsidRPr="003C74B7">
              <w:rPr>
                <w:rFonts w:asciiTheme="minorHAnsi" w:hAnsiTheme="minorHAnsi" w:cstheme="minorHAnsi"/>
                <w:sz w:val="24"/>
                <w:szCs w:val="24"/>
                <w:lang w:eastAsia="sk-SK"/>
              </w:rPr>
              <w:t xml:space="preserve"> </w:t>
            </w:r>
          </w:p>
        </w:tc>
        <w:tc>
          <w:tcPr>
            <w:tcW w:w="630" w:type="pct"/>
            <w:shd w:val="clear" w:color="auto" w:fill="D9D9D9"/>
            <w:noWrap/>
            <w:vAlign w:val="center"/>
            <w:hideMark/>
          </w:tcPr>
          <w:p w14:paraId="73D75DB9"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382 862,00</w:t>
            </w:r>
            <w:r w:rsidRPr="003C74B7">
              <w:rPr>
                <w:rFonts w:asciiTheme="minorHAnsi" w:hAnsiTheme="minorHAnsi" w:cstheme="minorHAnsi"/>
                <w:sz w:val="24"/>
                <w:szCs w:val="24"/>
                <w:lang w:eastAsia="sk-SK"/>
              </w:rPr>
              <w:t xml:space="preserve"> </w:t>
            </w:r>
          </w:p>
        </w:tc>
        <w:tc>
          <w:tcPr>
            <w:tcW w:w="602" w:type="pct"/>
            <w:shd w:val="clear" w:color="auto" w:fill="D9D9D9"/>
            <w:noWrap/>
            <w:vAlign w:val="center"/>
            <w:hideMark/>
          </w:tcPr>
          <w:p w14:paraId="283369C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val="restart"/>
            <w:shd w:val="clear" w:color="auto" w:fill="D9D9D9"/>
            <w:vAlign w:val="center"/>
            <w:hideMark/>
          </w:tcPr>
          <w:p w14:paraId="576D1283" w14:textId="7EA52A88"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-29 432 EUR</w:t>
            </w:r>
            <w:r w:rsidRPr="003C74B7">
              <w:rPr>
                <w:rFonts w:asciiTheme="minorHAnsi" w:hAnsiTheme="minorHAnsi" w:cstheme="minorHAnsi"/>
                <w:sz w:val="20"/>
                <w:szCs w:val="20"/>
                <w:lang w:eastAsia="sk-SK"/>
              </w:rPr>
              <w:t xml:space="preserve"> U</w:t>
            </w:r>
            <w:r w:rsidR="005529E8">
              <w:rPr>
                <w:rFonts w:asciiTheme="minorHAnsi" w:hAnsiTheme="minorHAnsi" w:cstheme="minorHAnsi"/>
                <w:sz w:val="20"/>
                <w:szCs w:val="20"/>
                <w:lang w:eastAsia="sk-SK"/>
              </w:rPr>
              <w:t>ZN</w:t>
            </w:r>
            <w:r w:rsidRPr="003C74B7">
              <w:rPr>
                <w:rFonts w:asciiTheme="minorHAnsi" w:hAnsiTheme="minorHAnsi" w:cstheme="minorHAnsi"/>
                <w:sz w:val="20"/>
                <w:szCs w:val="20"/>
                <w:lang w:eastAsia="sk-SK"/>
              </w:rPr>
              <w:t xml:space="preserve"> BSK č. 247/2020</w:t>
            </w:r>
          </w:p>
          <w:p w14:paraId="0E6C2008"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621CE39F" w14:textId="77777777" w:rsidTr="005529E8">
        <w:trPr>
          <w:tblCellSpacing w:w="15" w:type="dxa"/>
        </w:trPr>
        <w:tc>
          <w:tcPr>
            <w:tcW w:w="0" w:type="auto"/>
            <w:shd w:val="clear" w:color="auto" w:fill="D9D9D9"/>
            <w:noWrap/>
            <w:vAlign w:val="center"/>
            <w:hideMark/>
          </w:tcPr>
          <w:p w14:paraId="075DDD6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37047EB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427EA77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412 294,00</w:t>
            </w:r>
            <w:r w:rsidRPr="003C74B7">
              <w:rPr>
                <w:rFonts w:asciiTheme="minorHAnsi" w:hAnsiTheme="minorHAnsi" w:cstheme="minorHAnsi"/>
                <w:sz w:val="24"/>
                <w:szCs w:val="24"/>
                <w:lang w:eastAsia="sk-SK"/>
              </w:rPr>
              <w:t xml:space="preserve"> </w:t>
            </w:r>
          </w:p>
        </w:tc>
        <w:tc>
          <w:tcPr>
            <w:tcW w:w="821" w:type="pct"/>
            <w:shd w:val="clear" w:color="auto" w:fill="D9D9D9"/>
            <w:noWrap/>
            <w:vAlign w:val="center"/>
            <w:hideMark/>
          </w:tcPr>
          <w:p w14:paraId="0FEC8BA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382 862,00</w:t>
            </w:r>
            <w:r w:rsidRPr="003C74B7">
              <w:rPr>
                <w:rFonts w:asciiTheme="minorHAnsi" w:hAnsiTheme="minorHAnsi" w:cstheme="minorHAnsi"/>
                <w:sz w:val="24"/>
                <w:szCs w:val="24"/>
                <w:lang w:eastAsia="sk-SK"/>
              </w:rPr>
              <w:t xml:space="preserve"> </w:t>
            </w:r>
          </w:p>
        </w:tc>
        <w:tc>
          <w:tcPr>
            <w:tcW w:w="630" w:type="pct"/>
            <w:shd w:val="clear" w:color="auto" w:fill="D9D9D9"/>
            <w:noWrap/>
            <w:vAlign w:val="center"/>
            <w:hideMark/>
          </w:tcPr>
          <w:p w14:paraId="00B566D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382 862,00</w:t>
            </w:r>
            <w:r w:rsidRPr="003C74B7">
              <w:rPr>
                <w:rFonts w:asciiTheme="minorHAnsi" w:hAnsiTheme="minorHAnsi" w:cstheme="minorHAnsi"/>
                <w:sz w:val="24"/>
                <w:szCs w:val="24"/>
                <w:lang w:eastAsia="sk-SK"/>
              </w:rPr>
              <w:t xml:space="preserve"> </w:t>
            </w:r>
          </w:p>
        </w:tc>
        <w:tc>
          <w:tcPr>
            <w:tcW w:w="602" w:type="pct"/>
            <w:shd w:val="clear" w:color="auto" w:fill="D9D9D9"/>
            <w:noWrap/>
            <w:vAlign w:val="center"/>
            <w:hideMark/>
          </w:tcPr>
          <w:p w14:paraId="4A365D21"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D9D9D9"/>
            <w:vAlign w:val="center"/>
            <w:hideMark/>
          </w:tcPr>
          <w:p w14:paraId="229FA8D6"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04477A33" w14:textId="77777777" w:rsidTr="005529E8">
        <w:trPr>
          <w:tblCellSpacing w:w="15" w:type="dxa"/>
        </w:trPr>
        <w:tc>
          <w:tcPr>
            <w:tcW w:w="0" w:type="auto"/>
            <w:shd w:val="clear" w:color="auto" w:fill="EFEFEF"/>
            <w:noWrap/>
            <w:vAlign w:val="center"/>
            <w:hideMark/>
          </w:tcPr>
          <w:p w14:paraId="0955285A"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22F9B327"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605AAA5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412 294,00</w:t>
            </w:r>
            <w:r w:rsidRPr="003C74B7">
              <w:rPr>
                <w:rFonts w:asciiTheme="minorHAnsi" w:hAnsiTheme="minorHAnsi" w:cstheme="minorHAnsi"/>
                <w:sz w:val="24"/>
                <w:szCs w:val="24"/>
                <w:lang w:eastAsia="sk-SK"/>
              </w:rPr>
              <w:t xml:space="preserve"> </w:t>
            </w:r>
          </w:p>
        </w:tc>
        <w:tc>
          <w:tcPr>
            <w:tcW w:w="821" w:type="pct"/>
            <w:shd w:val="clear" w:color="auto" w:fill="EFEFEF"/>
            <w:noWrap/>
            <w:vAlign w:val="center"/>
            <w:hideMark/>
          </w:tcPr>
          <w:p w14:paraId="1144ECC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382 862,00</w:t>
            </w:r>
            <w:r w:rsidRPr="003C74B7">
              <w:rPr>
                <w:rFonts w:asciiTheme="minorHAnsi" w:hAnsiTheme="minorHAnsi" w:cstheme="minorHAnsi"/>
                <w:sz w:val="24"/>
                <w:szCs w:val="24"/>
                <w:lang w:eastAsia="sk-SK"/>
              </w:rPr>
              <w:t xml:space="preserve"> </w:t>
            </w:r>
          </w:p>
        </w:tc>
        <w:tc>
          <w:tcPr>
            <w:tcW w:w="630" w:type="pct"/>
            <w:shd w:val="clear" w:color="auto" w:fill="EFEFEF"/>
            <w:noWrap/>
            <w:vAlign w:val="center"/>
            <w:hideMark/>
          </w:tcPr>
          <w:p w14:paraId="1C3B36E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382 862,00</w:t>
            </w:r>
            <w:r w:rsidRPr="003C74B7">
              <w:rPr>
                <w:rFonts w:asciiTheme="minorHAnsi" w:hAnsiTheme="minorHAnsi" w:cstheme="minorHAnsi"/>
                <w:sz w:val="24"/>
                <w:szCs w:val="24"/>
                <w:lang w:eastAsia="sk-SK"/>
              </w:rPr>
              <w:t xml:space="preserve"> </w:t>
            </w:r>
          </w:p>
        </w:tc>
        <w:tc>
          <w:tcPr>
            <w:tcW w:w="602" w:type="pct"/>
            <w:shd w:val="clear" w:color="auto" w:fill="EFEFEF"/>
            <w:noWrap/>
            <w:vAlign w:val="center"/>
            <w:hideMark/>
          </w:tcPr>
          <w:p w14:paraId="26B500E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EFEFEF"/>
            <w:vAlign w:val="center"/>
            <w:hideMark/>
          </w:tcPr>
          <w:p w14:paraId="08F04303"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45279B2B"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11"/>
        <w:gridCol w:w="809"/>
        <w:gridCol w:w="1445"/>
        <w:gridCol w:w="1242"/>
        <w:gridCol w:w="4159"/>
      </w:tblGrid>
      <w:tr w:rsidR="00314060" w:rsidRPr="003C74B7" w14:paraId="4A914D79" w14:textId="77777777" w:rsidTr="00314060">
        <w:trPr>
          <w:tblCellSpacing w:w="15" w:type="dxa"/>
        </w:trPr>
        <w:tc>
          <w:tcPr>
            <w:tcW w:w="0" w:type="auto"/>
            <w:shd w:val="clear" w:color="auto" w:fill="C2D69B"/>
            <w:vAlign w:val="center"/>
            <w:hideMark/>
          </w:tcPr>
          <w:p w14:paraId="1B7893A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Zodpovednosť</w:t>
            </w:r>
          </w:p>
        </w:tc>
        <w:tc>
          <w:tcPr>
            <w:tcW w:w="0" w:type="auto"/>
            <w:gridSpan w:val="4"/>
            <w:shd w:val="clear" w:color="auto" w:fill="C2D69B"/>
            <w:vAlign w:val="center"/>
            <w:hideMark/>
          </w:tcPr>
          <w:p w14:paraId="7BC4DE4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Riaditeľ zariadenia</w:t>
            </w:r>
            <w:r w:rsidRPr="003C74B7">
              <w:rPr>
                <w:rFonts w:asciiTheme="minorHAnsi" w:hAnsiTheme="minorHAnsi" w:cstheme="minorHAnsi"/>
                <w:sz w:val="24"/>
                <w:szCs w:val="24"/>
                <w:lang w:eastAsia="sk-SK"/>
              </w:rPr>
              <w:t xml:space="preserve"> </w:t>
            </w:r>
          </w:p>
        </w:tc>
      </w:tr>
      <w:tr w:rsidR="00314060" w:rsidRPr="003C74B7" w14:paraId="6FD8A78A" w14:textId="77777777" w:rsidTr="00314060">
        <w:trPr>
          <w:tblCellSpacing w:w="15" w:type="dxa"/>
        </w:trPr>
        <w:tc>
          <w:tcPr>
            <w:tcW w:w="0" w:type="auto"/>
            <w:shd w:val="clear" w:color="auto" w:fill="C2D69B"/>
            <w:vAlign w:val="center"/>
            <w:hideMark/>
          </w:tcPr>
          <w:p w14:paraId="4355ED9A"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5289143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Zabezpečiť ochranu kultúrneho dedičstva v BSK a sprístupniť verejnosti kultúrne hodnoty vytvorené na území regiónu.</w:t>
            </w:r>
            <w:r w:rsidRPr="003C74B7">
              <w:rPr>
                <w:rFonts w:asciiTheme="minorHAnsi" w:hAnsiTheme="minorHAnsi" w:cstheme="minorHAnsi"/>
                <w:sz w:val="24"/>
                <w:szCs w:val="24"/>
                <w:lang w:eastAsia="sk-SK"/>
              </w:rPr>
              <w:t xml:space="preserve"> </w:t>
            </w:r>
          </w:p>
        </w:tc>
      </w:tr>
      <w:tr w:rsidR="00314060" w:rsidRPr="003C74B7" w14:paraId="5C044ED8" w14:textId="77777777" w:rsidTr="00314060">
        <w:trPr>
          <w:tblCellSpacing w:w="15" w:type="dxa"/>
        </w:trPr>
        <w:tc>
          <w:tcPr>
            <w:tcW w:w="0" w:type="auto"/>
            <w:shd w:val="clear" w:color="auto" w:fill="C2D69B"/>
            <w:vAlign w:val="center"/>
            <w:hideMark/>
          </w:tcPr>
          <w:p w14:paraId="65A0501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522E79D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odborne ošetrených zbierkových predmetov (konzervovanie, reštaurovanie)</w:t>
            </w:r>
            <w:r w:rsidRPr="003C74B7">
              <w:rPr>
                <w:rFonts w:asciiTheme="minorHAnsi" w:hAnsiTheme="minorHAnsi" w:cstheme="minorHAnsi"/>
                <w:sz w:val="24"/>
                <w:szCs w:val="24"/>
                <w:lang w:eastAsia="sk-SK"/>
              </w:rPr>
              <w:t xml:space="preserve"> </w:t>
            </w:r>
          </w:p>
        </w:tc>
      </w:tr>
      <w:tr w:rsidR="00314060" w:rsidRPr="003C74B7" w14:paraId="678CDA1E" w14:textId="77777777" w:rsidTr="00314060">
        <w:trPr>
          <w:tblCellSpacing w:w="15" w:type="dxa"/>
        </w:trPr>
        <w:tc>
          <w:tcPr>
            <w:tcW w:w="0" w:type="auto"/>
            <w:shd w:val="clear" w:color="auto" w:fill="C2D69B"/>
            <w:vAlign w:val="center"/>
            <w:hideMark/>
          </w:tcPr>
          <w:p w14:paraId="2C51A15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52A75D8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79BBAC2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2FC74EA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0C20F61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71194417" w14:textId="77777777" w:rsidTr="00314060">
        <w:trPr>
          <w:tblCellSpacing w:w="15" w:type="dxa"/>
        </w:trPr>
        <w:tc>
          <w:tcPr>
            <w:tcW w:w="0" w:type="auto"/>
            <w:shd w:val="clear" w:color="auto" w:fill="C2D69B"/>
            <w:vAlign w:val="center"/>
            <w:hideMark/>
          </w:tcPr>
          <w:p w14:paraId="219898F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76316DC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614C9B7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32</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52F61FE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Splnené</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473255FA"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Múzeum v sledovanom období nadobudlo 162 zbierkových predmetov, v prvostupňovej evidencii zaznamenali 98 prírastkových čísiel, v druhostupňovej evidencii to bolo 185 prírastkových čísiel, zakonzervovali spolu 132 predmetov, zreštaurovali 2 zbierkové predmety, počet zdigitalizovaných predmetov počas sledovaného obdobia bol 136. Konzervovanie a reštaurovanie zbierkových predmetov sa uskutočnilo v rámci spolupráce s </w:t>
            </w:r>
            <w:proofErr w:type="spellStart"/>
            <w:r w:rsidRPr="003C74B7">
              <w:rPr>
                <w:rFonts w:asciiTheme="minorHAnsi" w:hAnsiTheme="minorHAnsi" w:cstheme="minorHAnsi"/>
                <w:sz w:val="20"/>
                <w:szCs w:val="20"/>
                <w:lang w:eastAsia="sk-SK"/>
              </w:rPr>
              <w:t>Digitalizačným</w:t>
            </w:r>
            <w:proofErr w:type="spellEnd"/>
            <w:r w:rsidRPr="003C74B7">
              <w:rPr>
                <w:rFonts w:asciiTheme="minorHAnsi" w:hAnsiTheme="minorHAnsi" w:cstheme="minorHAnsi"/>
                <w:sz w:val="20"/>
                <w:szCs w:val="20"/>
                <w:lang w:eastAsia="sk-SK"/>
              </w:rPr>
              <w:t xml:space="preserve"> centrom pri Múzeu SNP v Banskej Bystrici. </w:t>
            </w:r>
          </w:p>
        </w:tc>
      </w:tr>
      <w:tr w:rsidR="00314060" w:rsidRPr="003C74B7" w14:paraId="40174DDB" w14:textId="77777777" w:rsidTr="00314060">
        <w:trPr>
          <w:tblCellSpacing w:w="15" w:type="dxa"/>
        </w:trPr>
        <w:tc>
          <w:tcPr>
            <w:tcW w:w="0" w:type="auto"/>
            <w:shd w:val="clear" w:color="auto" w:fill="C2D69B"/>
            <w:vAlign w:val="center"/>
            <w:hideMark/>
          </w:tcPr>
          <w:p w14:paraId="71561240"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0E0710A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návštevníkov expozícií múzea spolu za rok</w:t>
            </w:r>
            <w:r w:rsidRPr="003C74B7">
              <w:rPr>
                <w:rFonts w:asciiTheme="minorHAnsi" w:hAnsiTheme="minorHAnsi" w:cstheme="minorHAnsi"/>
                <w:sz w:val="24"/>
                <w:szCs w:val="24"/>
                <w:lang w:eastAsia="sk-SK"/>
              </w:rPr>
              <w:t xml:space="preserve"> </w:t>
            </w:r>
          </w:p>
        </w:tc>
      </w:tr>
      <w:tr w:rsidR="00314060" w:rsidRPr="003C74B7" w14:paraId="4F39093F" w14:textId="77777777" w:rsidTr="00314060">
        <w:trPr>
          <w:tblCellSpacing w:w="15" w:type="dxa"/>
        </w:trPr>
        <w:tc>
          <w:tcPr>
            <w:tcW w:w="0" w:type="auto"/>
            <w:shd w:val="clear" w:color="auto" w:fill="C2D69B"/>
            <w:vAlign w:val="center"/>
            <w:hideMark/>
          </w:tcPr>
          <w:p w14:paraId="5912AD5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3C8FBF5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71AC27F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748569B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3D35ACF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7B28C1EC" w14:textId="77777777" w:rsidTr="00314060">
        <w:trPr>
          <w:tblCellSpacing w:w="15" w:type="dxa"/>
        </w:trPr>
        <w:tc>
          <w:tcPr>
            <w:tcW w:w="0" w:type="auto"/>
            <w:shd w:val="clear" w:color="auto" w:fill="C2D69B"/>
            <w:vAlign w:val="center"/>
            <w:hideMark/>
          </w:tcPr>
          <w:p w14:paraId="5A24925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480F3FB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7 500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0C0C321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2 624</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4AEA515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1A3EED78"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Počas pandémie súvisiacej s ochorením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bolo múzeum pre verejnosť uzatvorené, verejnosť informovali na </w:t>
            </w:r>
            <w:proofErr w:type="spellStart"/>
            <w:r w:rsidRPr="003C74B7">
              <w:rPr>
                <w:rFonts w:asciiTheme="minorHAnsi" w:hAnsiTheme="minorHAnsi" w:cstheme="minorHAnsi"/>
                <w:sz w:val="20"/>
                <w:szCs w:val="20"/>
                <w:lang w:eastAsia="sk-SK"/>
              </w:rPr>
              <w:t>Youtube</w:t>
            </w:r>
            <w:proofErr w:type="spellEnd"/>
            <w:r w:rsidRPr="003C74B7">
              <w:rPr>
                <w:rFonts w:asciiTheme="minorHAnsi" w:hAnsiTheme="minorHAnsi" w:cstheme="minorHAnsi"/>
                <w:sz w:val="20"/>
                <w:szCs w:val="20"/>
                <w:lang w:eastAsia="sk-SK"/>
              </w:rPr>
              <w:t>, Instagrame a Facebooku krátkymi videami o prebiehajúcej rekonštrukcii a videami od najstarších dejín múzea po dnes, ako aj online prehliadkou svojich expozícií.</w:t>
            </w:r>
            <w:r w:rsidRPr="003C74B7">
              <w:rPr>
                <w:rFonts w:asciiTheme="minorHAnsi" w:hAnsiTheme="minorHAnsi" w:cstheme="minorHAnsi"/>
                <w:sz w:val="24"/>
                <w:szCs w:val="24"/>
                <w:lang w:eastAsia="sk-SK"/>
              </w:rPr>
              <w:t xml:space="preserve"> </w:t>
            </w:r>
          </w:p>
        </w:tc>
      </w:tr>
    </w:tbl>
    <w:p w14:paraId="65A476D0" w14:textId="77777777"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t xml:space="preserve">Komentár: </w:t>
      </w:r>
      <w:r w:rsidRPr="003C74B7">
        <w:rPr>
          <w:rFonts w:asciiTheme="minorHAnsi" w:hAnsiTheme="minorHAnsi" w:cstheme="minorHAnsi"/>
          <w:bCs/>
          <w:lang w:eastAsia="sk-SK"/>
        </w:rPr>
        <w:t xml:space="preserve">Hlavnými úlohami </w:t>
      </w:r>
      <w:r w:rsidRPr="003C74B7">
        <w:rPr>
          <w:rFonts w:asciiTheme="minorHAnsi" w:hAnsiTheme="minorHAnsi" w:cstheme="minorHAnsi"/>
          <w:lang w:eastAsia="sk-SK"/>
        </w:rPr>
        <w:t xml:space="preserve">Malokarpatského múzea v sú nadobúdanie, odborné spravovanie a prezentovanie predmetov muzeálnej hodnoty. Múzeum mapuje malokarpatskú vinohradnícku tradíciu a prevádzkuje dve detašované pracoviská, jedno Literárne a vlastivedné múzeum vo Svätom Jure a druhé Múzeum </w:t>
      </w:r>
      <w:proofErr w:type="spellStart"/>
      <w:r w:rsidRPr="003C74B7">
        <w:rPr>
          <w:rFonts w:asciiTheme="minorHAnsi" w:hAnsiTheme="minorHAnsi" w:cstheme="minorHAnsi"/>
          <w:lang w:eastAsia="sk-SK"/>
        </w:rPr>
        <w:t>Ferdiša</w:t>
      </w:r>
      <w:proofErr w:type="spellEnd"/>
      <w:r w:rsidRPr="003C74B7">
        <w:rPr>
          <w:rFonts w:asciiTheme="minorHAnsi" w:hAnsiTheme="minorHAnsi" w:cstheme="minorHAnsi"/>
          <w:lang w:eastAsia="sk-SK"/>
        </w:rPr>
        <w:t xml:space="preserve"> Kostku v Stupave. Počas prvého polroka začali stavebné práce na rekonštrukcii podkrovných priestorov za účelom vybudovania a rozšírenia múzejného depozitu a vybudovania nového prístupového výťahového priestoru. Rekonštrukcia pokračovala v priebehu druhého polroka a múzeum bolo pripravené na prevzatie rekonštrukcie v závere roka, z dôvodu </w:t>
      </w:r>
      <w:proofErr w:type="spellStart"/>
      <w:r w:rsidRPr="003C74B7">
        <w:rPr>
          <w:rFonts w:asciiTheme="minorHAnsi" w:hAnsiTheme="minorHAnsi" w:cstheme="minorHAnsi"/>
          <w:lang w:eastAsia="sk-SK"/>
        </w:rPr>
        <w:t>protipandemických</w:t>
      </w:r>
      <w:proofErr w:type="spellEnd"/>
      <w:r w:rsidRPr="003C74B7">
        <w:rPr>
          <w:rFonts w:asciiTheme="minorHAnsi" w:hAnsiTheme="minorHAnsi" w:cstheme="minorHAnsi"/>
          <w:lang w:eastAsia="sk-SK"/>
        </w:rPr>
        <w:t xml:space="preserve"> opatrení sa kolaudačné konanie prenieslo do I. kvartálu 2021. V rámci rekonštrukcie vznikli priestory pre depozitár archeológie, archeologické laboratórium s technickou miestnosťou, administratívu, registratúrne stredisko, priestor pre správcu budovy a prednášková miestnosť. </w:t>
      </w:r>
    </w:p>
    <w:p w14:paraId="79C34E3A" w14:textId="77777777" w:rsidR="00352CED" w:rsidRDefault="00352CED"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p>
    <w:p w14:paraId="26AE5FDE" w14:textId="77777777" w:rsidR="00352CED" w:rsidRDefault="00352CED"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p>
    <w:p w14:paraId="4EC7B0F0" w14:textId="77777777" w:rsidR="00352CED" w:rsidRDefault="00352CED"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p>
    <w:p w14:paraId="716F01F8" w14:textId="0AA09D85" w:rsidR="00314060" w:rsidRPr="003C74B7" w:rsidRDefault="00314060"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r w:rsidRPr="003C74B7">
        <w:rPr>
          <w:rFonts w:asciiTheme="minorHAnsi" w:hAnsiTheme="minorHAnsi" w:cstheme="minorHAnsi"/>
          <w:b/>
          <w:bCs/>
          <w:color w:val="4F6228"/>
          <w:sz w:val="27"/>
          <w:szCs w:val="27"/>
          <w:lang w:eastAsia="sk-SK"/>
        </w:rPr>
        <w:lastRenderedPageBreak/>
        <w:t>Podprogram 10.5: Malokarpatské osvetové stredisko v Modre</w:t>
      </w:r>
    </w:p>
    <w:p w14:paraId="4AAB8353"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Široké spektrum kultúrno-osvetovej a záujmovo-umeleckej činnosti.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71"/>
        <w:gridCol w:w="2253"/>
        <w:gridCol w:w="1150"/>
        <w:gridCol w:w="2022"/>
        <w:gridCol w:w="1314"/>
        <w:gridCol w:w="1126"/>
        <w:gridCol w:w="1830"/>
      </w:tblGrid>
      <w:tr w:rsidR="00314060" w:rsidRPr="003C74B7" w14:paraId="54A92BAC" w14:textId="77777777" w:rsidTr="005529E8">
        <w:trPr>
          <w:tblCellSpacing w:w="15" w:type="dxa"/>
        </w:trPr>
        <w:tc>
          <w:tcPr>
            <w:tcW w:w="0" w:type="auto"/>
            <w:shd w:val="clear" w:color="auto" w:fill="C6DBF7"/>
            <w:vAlign w:val="center"/>
            <w:hideMark/>
          </w:tcPr>
          <w:p w14:paraId="30D9E74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1087" w:type="pct"/>
            <w:shd w:val="clear" w:color="auto" w:fill="C6DBF7"/>
            <w:vAlign w:val="center"/>
            <w:hideMark/>
          </w:tcPr>
          <w:p w14:paraId="328AB71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0E9E791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974" w:type="pct"/>
            <w:shd w:val="clear" w:color="auto" w:fill="C6DBF7"/>
            <w:vAlign w:val="center"/>
            <w:hideMark/>
          </w:tcPr>
          <w:p w14:paraId="7099619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28" w:type="pct"/>
            <w:shd w:val="clear" w:color="auto" w:fill="C6DBF7"/>
            <w:vAlign w:val="center"/>
            <w:hideMark/>
          </w:tcPr>
          <w:p w14:paraId="4741DB0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536" w:type="pct"/>
            <w:shd w:val="clear" w:color="auto" w:fill="C6DBF7"/>
            <w:vAlign w:val="center"/>
            <w:hideMark/>
          </w:tcPr>
          <w:p w14:paraId="447DBC5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873" w:type="pct"/>
            <w:shd w:val="clear" w:color="auto" w:fill="C6DBF7"/>
            <w:vAlign w:val="center"/>
            <w:hideMark/>
          </w:tcPr>
          <w:p w14:paraId="26B04DE6"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297BCDAB" w14:textId="77777777" w:rsidTr="005529E8">
        <w:trPr>
          <w:tblCellSpacing w:w="15" w:type="dxa"/>
        </w:trPr>
        <w:tc>
          <w:tcPr>
            <w:tcW w:w="0" w:type="auto"/>
            <w:shd w:val="clear" w:color="auto" w:fill="D9D9D9"/>
            <w:noWrap/>
            <w:vAlign w:val="center"/>
            <w:hideMark/>
          </w:tcPr>
          <w:p w14:paraId="78FD4B6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2841F00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04A1248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460 926,00</w:t>
            </w:r>
            <w:r w:rsidRPr="003C74B7">
              <w:rPr>
                <w:rFonts w:asciiTheme="minorHAnsi" w:hAnsiTheme="minorHAnsi" w:cstheme="minorHAnsi"/>
                <w:sz w:val="24"/>
                <w:szCs w:val="24"/>
                <w:lang w:eastAsia="sk-SK"/>
              </w:rPr>
              <w:t xml:space="preserve"> </w:t>
            </w:r>
          </w:p>
        </w:tc>
        <w:tc>
          <w:tcPr>
            <w:tcW w:w="974" w:type="pct"/>
            <w:shd w:val="clear" w:color="auto" w:fill="D9D9D9"/>
            <w:noWrap/>
            <w:vAlign w:val="center"/>
            <w:hideMark/>
          </w:tcPr>
          <w:p w14:paraId="3502A0B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341 426,84</w:t>
            </w:r>
            <w:r w:rsidRPr="003C74B7">
              <w:rPr>
                <w:rFonts w:asciiTheme="minorHAnsi" w:hAnsiTheme="minorHAnsi" w:cstheme="minorHAnsi"/>
                <w:sz w:val="24"/>
                <w:szCs w:val="24"/>
                <w:lang w:eastAsia="sk-SK"/>
              </w:rPr>
              <w:t xml:space="preserve"> </w:t>
            </w:r>
          </w:p>
        </w:tc>
        <w:tc>
          <w:tcPr>
            <w:tcW w:w="628" w:type="pct"/>
            <w:shd w:val="clear" w:color="auto" w:fill="D9D9D9"/>
            <w:noWrap/>
            <w:vAlign w:val="center"/>
            <w:hideMark/>
          </w:tcPr>
          <w:p w14:paraId="40DD42C2"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341 426,84</w:t>
            </w:r>
            <w:r w:rsidRPr="003C74B7">
              <w:rPr>
                <w:rFonts w:asciiTheme="minorHAnsi" w:hAnsiTheme="minorHAnsi" w:cstheme="minorHAnsi"/>
                <w:sz w:val="24"/>
                <w:szCs w:val="24"/>
                <w:lang w:eastAsia="sk-SK"/>
              </w:rPr>
              <w:t xml:space="preserve"> </w:t>
            </w:r>
          </w:p>
        </w:tc>
        <w:tc>
          <w:tcPr>
            <w:tcW w:w="536" w:type="pct"/>
            <w:shd w:val="clear" w:color="auto" w:fill="D9D9D9"/>
            <w:noWrap/>
            <w:vAlign w:val="center"/>
            <w:hideMark/>
          </w:tcPr>
          <w:p w14:paraId="0356ECFD"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val="restart"/>
            <w:shd w:val="clear" w:color="auto" w:fill="D9D9D9"/>
            <w:vAlign w:val="center"/>
            <w:hideMark/>
          </w:tcPr>
          <w:p w14:paraId="38CE5797" w14:textId="1D1CBDF3"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-20 700 EUR</w:t>
            </w:r>
            <w:r w:rsidRPr="003C74B7">
              <w:rPr>
                <w:rFonts w:asciiTheme="minorHAnsi" w:hAnsiTheme="minorHAnsi" w:cstheme="minorHAnsi"/>
                <w:sz w:val="20"/>
                <w:szCs w:val="20"/>
                <w:lang w:eastAsia="sk-SK"/>
              </w:rPr>
              <w:t xml:space="preserve"> U</w:t>
            </w:r>
            <w:r w:rsidR="005529E8">
              <w:rPr>
                <w:rFonts w:asciiTheme="minorHAnsi" w:hAnsiTheme="minorHAnsi" w:cstheme="minorHAnsi"/>
                <w:sz w:val="20"/>
                <w:szCs w:val="20"/>
                <w:lang w:eastAsia="sk-SK"/>
              </w:rPr>
              <w:t>ZN</w:t>
            </w:r>
            <w:r w:rsidRPr="003C74B7">
              <w:rPr>
                <w:rFonts w:asciiTheme="minorHAnsi" w:hAnsiTheme="minorHAnsi" w:cstheme="minorHAnsi"/>
                <w:sz w:val="20"/>
                <w:szCs w:val="20"/>
                <w:lang w:eastAsia="sk-SK"/>
              </w:rPr>
              <w:t xml:space="preserve"> BSK č. 247/2020</w:t>
            </w:r>
          </w:p>
          <w:p w14:paraId="5F02FFBD" w14:textId="77777777"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-98 799,16 EUR</w:t>
            </w:r>
            <w:r w:rsidRPr="003C74B7">
              <w:rPr>
                <w:rFonts w:asciiTheme="minorHAnsi" w:hAnsiTheme="minorHAnsi" w:cstheme="minorHAnsi"/>
                <w:sz w:val="20"/>
                <w:szCs w:val="20"/>
                <w:lang w:eastAsia="sk-SK"/>
              </w:rPr>
              <w:t xml:space="preserve"> Zúčtovanie </w:t>
            </w:r>
            <w:proofErr w:type="spellStart"/>
            <w:r w:rsidRPr="003C74B7">
              <w:rPr>
                <w:rFonts w:asciiTheme="minorHAnsi" w:hAnsiTheme="minorHAnsi" w:cstheme="minorHAnsi"/>
                <w:sz w:val="20"/>
                <w:szCs w:val="20"/>
                <w:lang w:eastAsia="sk-SK"/>
              </w:rPr>
              <w:t>predfinancovania</w:t>
            </w:r>
            <w:proofErr w:type="spellEnd"/>
            <w:r w:rsidRPr="003C74B7">
              <w:rPr>
                <w:rFonts w:asciiTheme="minorHAnsi" w:hAnsiTheme="minorHAnsi" w:cstheme="minorHAnsi"/>
                <w:sz w:val="20"/>
                <w:szCs w:val="20"/>
                <w:lang w:eastAsia="sk-SK"/>
              </w:rPr>
              <w:t xml:space="preserve"> z BSK na projekt </w:t>
            </w:r>
            <w:proofErr w:type="spellStart"/>
            <w:r w:rsidRPr="003C74B7">
              <w:rPr>
                <w:rFonts w:asciiTheme="minorHAnsi" w:hAnsiTheme="minorHAnsi" w:cstheme="minorHAnsi"/>
                <w:sz w:val="20"/>
                <w:szCs w:val="20"/>
                <w:lang w:eastAsia="sk-SK"/>
              </w:rPr>
              <w:t>Heritage</w:t>
            </w:r>
            <w:proofErr w:type="spellEnd"/>
            <w:r w:rsidRPr="003C74B7">
              <w:rPr>
                <w:rFonts w:asciiTheme="minorHAnsi" w:hAnsiTheme="minorHAnsi" w:cstheme="minorHAnsi"/>
                <w:sz w:val="20"/>
                <w:szCs w:val="20"/>
                <w:lang w:eastAsia="sk-SK"/>
              </w:rPr>
              <w:t xml:space="preserve"> SK – AT, presun na podprogram 10.1</w:t>
            </w:r>
          </w:p>
          <w:p w14:paraId="1119E53B"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046A4820" w14:textId="77777777" w:rsidTr="005529E8">
        <w:trPr>
          <w:tblCellSpacing w:w="15" w:type="dxa"/>
        </w:trPr>
        <w:tc>
          <w:tcPr>
            <w:tcW w:w="0" w:type="auto"/>
            <w:shd w:val="clear" w:color="auto" w:fill="D9D9D9"/>
            <w:noWrap/>
            <w:vAlign w:val="center"/>
            <w:hideMark/>
          </w:tcPr>
          <w:p w14:paraId="0D8DECA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18BD23E8"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2B172F35"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460 926,00</w:t>
            </w:r>
            <w:r w:rsidRPr="003C74B7">
              <w:rPr>
                <w:rFonts w:asciiTheme="minorHAnsi" w:hAnsiTheme="minorHAnsi" w:cstheme="minorHAnsi"/>
                <w:sz w:val="24"/>
                <w:szCs w:val="24"/>
                <w:lang w:eastAsia="sk-SK"/>
              </w:rPr>
              <w:t xml:space="preserve"> </w:t>
            </w:r>
          </w:p>
        </w:tc>
        <w:tc>
          <w:tcPr>
            <w:tcW w:w="974" w:type="pct"/>
            <w:shd w:val="clear" w:color="auto" w:fill="D9D9D9"/>
            <w:noWrap/>
            <w:vAlign w:val="center"/>
            <w:hideMark/>
          </w:tcPr>
          <w:p w14:paraId="337AD96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341 159,48</w:t>
            </w:r>
            <w:r w:rsidRPr="003C74B7">
              <w:rPr>
                <w:rFonts w:asciiTheme="minorHAnsi" w:hAnsiTheme="minorHAnsi" w:cstheme="minorHAnsi"/>
                <w:sz w:val="24"/>
                <w:szCs w:val="24"/>
                <w:lang w:eastAsia="sk-SK"/>
              </w:rPr>
              <w:t xml:space="preserve"> </w:t>
            </w:r>
          </w:p>
        </w:tc>
        <w:tc>
          <w:tcPr>
            <w:tcW w:w="628" w:type="pct"/>
            <w:shd w:val="clear" w:color="auto" w:fill="D9D9D9"/>
            <w:noWrap/>
            <w:vAlign w:val="center"/>
            <w:hideMark/>
          </w:tcPr>
          <w:p w14:paraId="0AF1F88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341 159,48</w:t>
            </w:r>
            <w:r w:rsidRPr="003C74B7">
              <w:rPr>
                <w:rFonts w:asciiTheme="minorHAnsi" w:hAnsiTheme="minorHAnsi" w:cstheme="minorHAnsi"/>
                <w:sz w:val="24"/>
                <w:szCs w:val="24"/>
                <w:lang w:eastAsia="sk-SK"/>
              </w:rPr>
              <w:t xml:space="preserve"> </w:t>
            </w:r>
          </w:p>
        </w:tc>
        <w:tc>
          <w:tcPr>
            <w:tcW w:w="536" w:type="pct"/>
            <w:shd w:val="clear" w:color="auto" w:fill="D9D9D9"/>
            <w:noWrap/>
            <w:vAlign w:val="center"/>
            <w:hideMark/>
          </w:tcPr>
          <w:p w14:paraId="7FD8969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D9D9D9"/>
            <w:vAlign w:val="center"/>
            <w:hideMark/>
          </w:tcPr>
          <w:p w14:paraId="3316954C"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2A779662" w14:textId="77777777" w:rsidTr="005529E8">
        <w:trPr>
          <w:tblCellSpacing w:w="15" w:type="dxa"/>
        </w:trPr>
        <w:tc>
          <w:tcPr>
            <w:tcW w:w="0" w:type="auto"/>
            <w:shd w:val="clear" w:color="auto" w:fill="EFEFEF"/>
            <w:noWrap/>
            <w:vAlign w:val="center"/>
            <w:hideMark/>
          </w:tcPr>
          <w:p w14:paraId="7C5D99F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2DE958C0"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6BFE8F7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460 926,00</w:t>
            </w:r>
            <w:r w:rsidRPr="003C74B7">
              <w:rPr>
                <w:rFonts w:asciiTheme="minorHAnsi" w:hAnsiTheme="minorHAnsi" w:cstheme="minorHAnsi"/>
                <w:sz w:val="24"/>
                <w:szCs w:val="24"/>
                <w:lang w:eastAsia="sk-SK"/>
              </w:rPr>
              <w:t xml:space="preserve"> </w:t>
            </w:r>
          </w:p>
        </w:tc>
        <w:tc>
          <w:tcPr>
            <w:tcW w:w="974" w:type="pct"/>
            <w:shd w:val="clear" w:color="auto" w:fill="EFEFEF"/>
            <w:noWrap/>
            <w:vAlign w:val="center"/>
            <w:hideMark/>
          </w:tcPr>
          <w:p w14:paraId="1FD3DB7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341 159,48</w:t>
            </w:r>
            <w:r w:rsidRPr="003C74B7">
              <w:rPr>
                <w:rFonts w:asciiTheme="minorHAnsi" w:hAnsiTheme="minorHAnsi" w:cstheme="minorHAnsi"/>
                <w:sz w:val="24"/>
                <w:szCs w:val="24"/>
                <w:lang w:eastAsia="sk-SK"/>
              </w:rPr>
              <w:t xml:space="preserve"> </w:t>
            </w:r>
          </w:p>
        </w:tc>
        <w:tc>
          <w:tcPr>
            <w:tcW w:w="628" w:type="pct"/>
            <w:shd w:val="clear" w:color="auto" w:fill="EFEFEF"/>
            <w:noWrap/>
            <w:vAlign w:val="center"/>
            <w:hideMark/>
          </w:tcPr>
          <w:p w14:paraId="1D986165"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341 159,48</w:t>
            </w:r>
            <w:r w:rsidRPr="003C74B7">
              <w:rPr>
                <w:rFonts w:asciiTheme="minorHAnsi" w:hAnsiTheme="minorHAnsi" w:cstheme="minorHAnsi"/>
                <w:sz w:val="24"/>
                <w:szCs w:val="24"/>
                <w:lang w:eastAsia="sk-SK"/>
              </w:rPr>
              <w:t xml:space="preserve"> </w:t>
            </w:r>
          </w:p>
        </w:tc>
        <w:tc>
          <w:tcPr>
            <w:tcW w:w="536" w:type="pct"/>
            <w:shd w:val="clear" w:color="auto" w:fill="EFEFEF"/>
            <w:noWrap/>
            <w:vAlign w:val="center"/>
            <w:hideMark/>
          </w:tcPr>
          <w:p w14:paraId="79DD136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EFEFEF"/>
            <w:vAlign w:val="center"/>
            <w:hideMark/>
          </w:tcPr>
          <w:p w14:paraId="313DC9E8"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5E00E94A" w14:textId="77777777" w:rsidTr="005529E8">
        <w:trPr>
          <w:tblCellSpacing w:w="15" w:type="dxa"/>
        </w:trPr>
        <w:tc>
          <w:tcPr>
            <w:tcW w:w="0" w:type="auto"/>
            <w:shd w:val="clear" w:color="auto" w:fill="D9D9D9"/>
            <w:noWrap/>
            <w:vAlign w:val="center"/>
            <w:hideMark/>
          </w:tcPr>
          <w:p w14:paraId="48D103E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700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159031C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Kapitálové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57D360BC"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0,00</w:t>
            </w:r>
            <w:r w:rsidRPr="003C74B7">
              <w:rPr>
                <w:rFonts w:asciiTheme="minorHAnsi" w:hAnsiTheme="minorHAnsi" w:cstheme="minorHAnsi"/>
                <w:sz w:val="24"/>
                <w:szCs w:val="24"/>
                <w:lang w:eastAsia="sk-SK"/>
              </w:rPr>
              <w:t xml:space="preserve"> </w:t>
            </w:r>
          </w:p>
        </w:tc>
        <w:tc>
          <w:tcPr>
            <w:tcW w:w="974" w:type="pct"/>
            <w:shd w:val="clear" w:color="auto" w:fill="D9D9D9"/>
            <w:noWrap/>
            <w:vAlign w:val="center"/>
            <w:hideMark/>
          </w:tcPr>
          <w:p w14:paraId="6332EF46"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267,36</w:t>
            </w:r>
            <w:r w:rsidRPr="003C74B7">
              <w:rPr>
                <w:rFonts w:asciiTheme="minorHAnsi" w:hAnsiTheme="minorHAnsi" w:cstheme="minorHAnsi"/>
                <w:sz w:val="24"/>
                <w:szCs w:val="24"/>
                <w:lang w:eastAsia="sk-SK"/>
              </w:rPr>
              <w:t xml:space="preserve"> </w:t>
            </w:r>
          </w:p>
        </w:tc>
        <w:tc>
          <w:tcPr>
            <w:tcW w:w="628" w:type="pct"/>
            <w:shd w:val="clear" w:color="auto" w:fill="D9D9D9"/>
            <w:noWrap/>
            <w:vAlign w:val="center"/>
            <w:hideMark/>
          </w:tcPr>
          <w:p w14:paraId="34124E9C"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267,36</w:t>
            </w:r>
            <w:r w:rsidRPr="003C74B7">
              <w:rPr>
                <w:rFonts w:asciiTheme="minorHAnsi" w:hAnsiTheme="minorHAnsi" w:cstheme="minorHAnsi"/>
                <w:sz w:val="24"/>
                <w:szCs w:val="24"/>
                <w:lang w:eastAsia="sk-SK"/>
              </w:rPr>
              <w:t xml:space="preserve"> </w:t>
            </w:r>
          </w:p>
        </w:tc>
        <w:tc>
          <w:tcPr>
            <w:tcW w:w="536" w:type="pct"/>
            <w:shd w:val="clear" w:color="auto" w:fill="D9D9D9"/>
            <w:noWrap/>
            <w:vAlign w:val="center"/>
            <w:hideMark/>
          </w:tcPr>
          <w:p w14:paraId="3D5E8C04"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D9D9D9"/>
            <w:vAlign w:val="center"/>
            <w:hideMark/>
          </w:tcPr>
          <w:p w14:paraId="6F2E4B05"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5967BA32" w14:textId="77777777" w:rsidTr="005529E8">
        <w:trPr>
          <w:tblCellSpacing w:w="15" w:type="dxa"/>
        </w:trPr>
        <w:tc>
          <w:tcPr>
            <w:tcW w:w="0" w:type="auto"/>
            <w:shd w:val="clear" w:color="auto" w:fill="EFEFEF"/>
            <w:noWrap/>
            <w:vAlign w:val="center"/>
            <w:hideMark/>
          </w:tcPr>
          <w:p w14:paraId="64029A1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720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52DD6461"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Kapitálové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1260ADC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0,00</w:t>
            </w:r>
            <w:r w:rsidRPr="003C74B7">
              <w:rPr>
                <w:rFonts w:asciiTheme="minorHAnsi" w:hAnsiTheme="minorHAnsi" w:cstheme="minorHAnsi"/>
                <w:sz w:val="24"/>
                <w:szCs w:val="24"/>
                <w:lang w:eastAsia="sk-SK"/>
              </w:rPr>
              <w:t xml:space="preserve"> </w:t>
            </w:r>
          </w:p>
        </w:tc>
        <w:tc>
          <w:tcPr>
            <w:tcW w:w="974" w:type="pct"/>
            <w:shd w:val="clear" w:color="auto" w:fill="EFEFEF"/>
            <w:noWrap/>
            <w:vAlign w:val="center"/>
            <w:hideMark/>
          </w:tcPr>
          <w:p w14:paraId="21F7DBF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267,36</w:t>
            </w:r>
            <w:r w:rsidRPr="003C74B7">
              <w:rPr>
                <w:rFonts w:asciiTheme="minorHAnsi" w:hAnsiTheme="minorHAnsi" w:cstheme="minorHAnsi"/>
                <w:sz w:val="24"/>
                <w:szCs w:val="24"/>
                <w:lang w:eastAsia="sk-SK"/>
              </w:rPr>
              <w:t xml:space="preserve"> </w:t>
            </w:r>
          </w:p>
        </w:tc>
        <w:tc>
          <w:tcPr>
            <w:tcW w:w="628" w:type="pct"/>
            <w:shd w:val="clear" w:color="auto" w:fill="EFEFEF"/>
            <w:noWrap/>
            <w:vAlign w:val="center"/>
            <w:hideMark/>
          </w:tcPr>
          <w:p w14:paraId="3CBEC52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267,36</w:t>
            </w:r>
            <w:r w:rsidRPr="003C74B7">
              <w:rPr>
                <w:rFonts w:asciiTheme="minorHAnsi" w:hAnsiTheme="minorHAnsi" w:cstheme="minorHAnsi"/>
                <w:sz w:val="24"/>
                <w:szCs w:val="24"/>
                <w:lang w:eastAsia="sk-SK"/>
              </w:rPr>
              <w:t xml:space="preserve"> </w:t>
            </w:r>
          </w:p>
        </w:tc>
        <w:tc>
          <w:tcPr>
            <w:tcW w:w="536" w:type="pct"/>
            <w:shd w:val="clear" w:color="auto" w:fill="EFEFEF"/>
            <w:noWrap/>
            <w:vAlign w:val="center"/>
            <w:hideMark/>
          </w:tcPr>
          <w:p w14:paraId="7D9D95D8"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EFEFEF"/>
            <w:vAlign w:val="center"/>
            <w:hideMark/>
          </w:tcPr>
          <w:p w14:paraId="218A8046"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7B5EF5EA"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43"/>
        <w:gridCol w:w="938"/>
        <w:gridCol w:w="1412"/>
        <w:gridCol w:w="1214"/>
        <w:gridCol w:w="4159"/>
      </w:tblGrid>
      <w:tr w:rsidR="00314060" w:rsidRPr="003C74B7" w14:paraId="5D1445BB" w14:textId="77777777" w:rsidTr="00314060">
        <w:trPr>
          <w:tblCellSpacing w:w="15" w:type="dxa"/>
        </w:trPr>
        <w:tc>
          <w:tcPr>
            <w:tcW w:w="0" w:type="auto"/>
            <w:shd w:val="clear" w:color="auto" w:fill="C2D69B"/>
            <w:vAlign w:val="center"/>
            <w:hideMark/>
          </w:tcPr>
          <w:p w14:paraId="050D057A"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Zodpovednosť</w:t>
            </w:r>
          </w:p>
        </w:tc>
        <w:tc>
          <w:tcPr>
            <w:tcW w:w="0" w:type="auto"/>
            <w:gridSpan w:val="4"/>
            <w:shd w:val="clear" w:color="auto" w:fill="C2D69B"/>
            <w:vAlign w:val="center"/>
            <w:hideMark/>
          </w:tcPr>
          <w:p w14:paraId="5F97C95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Riaditeľ zariadenia</w:t>
            </w:r>
            <w:r w:rsidRPr="003C74B7">
              <w:rPr>
                <w:rFonts w:asciiTheme="minorHAnsi" w:hAnsiTheme="minorHAnsi" w:cstheme="minorHAnsi"/>
                <w:sz w:val="24"/>
                <w:szCs w:val="24"/>
                <w:lang w:eastAsia="sk-SK"/>
              </w:rPr>
              <w:t xml:space="preserve"> </w:t>
            </w:r>
          </w:p>
        </w:tc>
      </w:tr>
      <w:tr w:rsidR="00314060" w:rsidRPr="003C74B7" w14:paraId="2D41E26C" w14:textId="77777777" w:rsidTr="00314060">
        <w:trPr>
          <w:tblCellSpacing w:w="15" w:type="dxa"/>
        </w:trPr>
        <w:tc>
          <w:tcPr>
            <w:tcW w:w="0" w:type="auto"/>
            <w:shd w:val="clear" w:color="auto" w:fill="C2D69B"/>
            <w:vAlign w:val="center"/>
            <w:hideMark/>
          </w:tcPr>
          <w:p w14:paraId="6DC3EE1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1091324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Zabezpečiť cielenú kultúrno-osvetovú a záujmovo-umeleckú činnosť v BSK</w:t>
            </w:r>
            <w:r w:rsidRPr="003C74B7">
              <w:rPr>
                <w:rFonts w:asciiTheme="minorHAnsi" w:hAnsiTheme="minorHAnsi" w:cstheme="minorHAnsi"/>
                <w:sz w:val="24"/>
                <w:szCs w:val="24"/>
                <w:lang w:eastAsia="sk-SK"/>
              </w:rPr>
              <w:t xml:space="preserve"> </w:t>
            </w:r>
          </w:p>
        </w:tc>
      </w:tr>
      <w:tr w:rsidR="00314060" w:rsidRPr="003C74B7" w14:paraId="255E7C16" w14:textId="77777777" w:rsidTr="00314060">
        <w:trPr>
          <w:tblCellSpacing w:w="15" w:type="dxa"/>
        </w:trPr>
        <w:tc>
          <w:tcPr>
            <w:tcW w:w="0" w:type="auto"/>
            <w:shd w:val="clear" w:color="auto" w:fill="C2D69B"/>
            <w:vAlign w:val="center"/>
            <w:hideMark/>
          </w:tcPr>
          <w:p w14:paraId="539817E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0CDA14D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Počet zrealizovaných prehliadok a súťaží za rok </w:t>
            </w:r>
          </w:p>
        </w:tc>
      </w:tr>
      <w:tr w:rsidR="00314060" w:rsidRPr="003C74B7" w14:paraId="1D2090E4" w14:textId="77777777" w:rsidTr="00314060">
        <w:trPr>
          <w:tblCellSpacing w:w="15" w:type="dxa"/>
        </w:trPr>
        <w:tc>
          <w:tcPr>
            <w:tcW w:w="0" w:type="auto"/>
            <w:shd w:val="clear" w:color="auto" w:fill="C2D69B"/>
            <w:vAlign w:val="center"/>
            <w:hideMark/>
          </w:tcPr>
          <w:p w14:paraId="34CB14C3"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6DE83C3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015B708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2BF90E2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0CA1254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74E32F98" w14:textId="77777777" w:rsidTr="00314060">
        <w:trPr>
          <w:tblCellSpacing w:w="15" w:type="dxa"/>
        </w:trPr>
        <w:tc>
          <w:tcPr>
            <w:tcW w:w="0" w:type="auto"/>
            <w:shd w:val="clear" w:color="auto" w:fill="C2D69B"/>
            <w:vAlign w:val="center"/>
            <w:hideMark/>
          </w:tcPr>
          <w:p w14:paraId="0563467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4C933E4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15</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47C9E3D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5</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27371C7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084C5EF2"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Podarilo sa zorganizovať Hviezdoslavov Kubín, Výtvarné spektrum, Workshop AMFO2020, Experiment </w:t>
            </w:r>
            <w:proofErr w:type="spellStart"/>
            <w:r w:rsidRPr="003C74B7">
              <w:rPr>
                <w:rFonts w:asciiTheme="minorHAnsi" w:hAnsiTheme="minorHAnsi" w:cstheme="minorHAnsi"/>
                <w:sz w:val="20"/>
                <w:szCs w:val="20"/>
                <w:lang w:eastAsia="sk-SK"/>
              </w:rPr>
              <w:t>mobilo</w:t>
            </w:r>
            <w:proofErr w:type="spellEnd"/>
            <w:r w:rsidRPr="003C74B7">
              <w:rPr>
                <w:rFonts w:asciiTheme="minorHAnsi" w:hAnsiTheme="minorHAnsi" w:cstheme="minorHAnsi"/>
                <w:sz w:val="20"/>
                <w:szCs w:val="20"/>
                <w:lang w:eastAsia="sk-SK"/>
              </w:rPr>
              <w:t xml:space="preserve"> a AMFO - krajská postupová súťaž amatérskej fotografie. Mnohé súťaže a prehliadky boli zrušené, resp. presunuté termíny v súvislosti s prijatými opatreniami v súvislosti s pandémiou ochorenia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V júli zorganizovali Výtvarné spektrum, v auguste sa podarilo zorganizovať prehliadku SINEAMA a v septembri sa konalo krajské kolo prehliadky Štúrova Modra. Ďalších 9 pripravených prehliadok a súťaží muselo stredisko zrušiť.</w:t>
            </w:r>
            <w:r w:rsidRPr="003C74B7">
              <w:rPr>
                <w:rFonts w:asciiTheme="minorHAnsi" w:hAnsiTheme="minorHAnsi" w:cstheme="minorHAnsi"/>
                <w:sz w:val="24"/>
                <w:szCs w:val="24"/>
                <w:lang w:eastAsia="sk-SK"/>
              </w:rPr>
              <w:t xml:space="preserve"> </w:t>
            </w:r>
          </w:p>
        </w:tc>
      </w:tr>
      <w:tr w:rsidR="00314060" w:rsidRPr="003C74B7" w14:paraId="1871EFB3" w14:textId="77777777" w:rsidTr="00314060">
        <w:trPr>
          <w:tblCellSpacing w:w="15" w:type="dxa"/>
        </w:trPr>
        <w:tc>
          <w:tcPr>
            <w:tcW w:w="0" w:type="auto"/>
            <w:shd w:val="clear" w:color="auto" w:fill="C2D69B"/>
            <w:vAlign w:val="center"/>
            <w:hideMark/>
          </w:tcPr>
          <w:p w14:paraId="4AA5D79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574BF7E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Počet všetkých zrealizovaných podujatí </w:t>
            </w:r>
          </w:p>
        </w:tc>
      </w:tr>
      <w:tr w:rsidR="00314060" w:rsidRPr="003C74B7" w14:paraId="6FBF1CB6" w14:textId="77777777" w:rsidTr="00314060">
        <w:trPr>
          <w:tblCellSpacing w:w="15" w:type="dxa"/>
        </w:trPr>
        <w:tc>
          <w:tcPr>
            <w:tcW w:w="0" w:type="auto"/>
            <w:shd w:val="clear" w:color="auto" w:fill="C2D69B"/>
            <w:vAlign w:val="center"/>
            <w:hideMark/>
          </w:tcPr>
          <w:p w14:paraId="660561E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77896D0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6E2963E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44EAD9E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00B6614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77BDD271" w14:textId="77777777" w:rsidTr="00314060">
        <w:trPr>
          <w:tblCellSpacing w:w="15" w:type="dxa"/>
        </w:trPr>
        <w:tc>
          <w:tcPr>
            <w:tcW w:w="0" w:type="auto"/>
            <w:shd w:val="clear" w:color="auto" w:fill="C2D69B"/>
            <w:vAlign w:val="center"/>
            <w:hideMark/>
          </w:tcPr>
          <w:p w14:paraId="11BD613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29482E9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45</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512F1624"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48</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1671360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Splnené</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103260F2"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V sledovanom období stredisko pripravilo spolu 14 postupových prehliadok a súťaží, z toho zrealizovali 5 prehliadok a 9 ich muselo byť najskôr preložených na iný termín, neskôr úplne zrušených. Pripravili spolu 13 kultúrno-spoločenských podujatí, 11 vzdelávacích projektov, 3 veľké výstavy AMFO 2020, Výtvarné spektrum a Salón výtvarníkov a 7 podujatí v spolupráci s partnermi. V rámci edičnej činnosti vydali štvrť ročník Vidiečan, nástenný kalendár, diár Jablkové hodovanie, viacero katalógov a brožúr k podujatiam.</w:t>
            </w:r>
            <w:r w:rsidRPr="003C74B7">
              <w:rPr>
                <w:rFonts w:asciiTheme="minorHAnsi" w:hAnsiTheme="minorHAnsi" w:cstheme="minorHAnsi"/>
                <w:sz w:val="24"/>
                <w:szCs w:val="24"/>
                <w:lang w:eastAsia="sk-SK"/>
              </w:rPr>
              <w:t xml:space="preserve"> </w:t>
            </w:r>
          </w:p>
        </w:tc>
      </w:tr>
      <w:tr w:rsidR="00314060" w:rsidRPr="003C74B7" w14:paraId="5AE7E32B" w14:textId="77777777" w:rsidTr="00314060">
        <w:trPr>
          <w:tblCellSpacing w:w="15" w:type="dxa"/>
        </w:trPr>
        <w:tc>
          <w:tcPr>
            <w:tcW w:w="0" w:type="auto"/>
            <w:shd w:val="clear" w:color="auto" w:fill="C2D69B"/>
            <w:vAlign w:val="center"/>
            <w:hideMark/>
          </w:tcPr>
          <w:p w14:paraId="483F318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3B5C319B"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návštevníkov na všetkých podujatiach</w:t>
            </w:r>
            <w:r w:rsidRPr="003C74B7">
              <w:rPr>
                <w:rFonts w:asciiTheme="minorHAnsi" w:hAnsiTheme="minorHAnsi" w:cstheme="minorHAnsi"/>
                <w:sz w:val="24"/>
                <w:szCs w:val="24"/>
                <w:lang w:eastAsia="sk-SK"/>
              </w:rPr>
              <w:t xml:space="preserve"> </w:t>
            </w:r>
          </w:p>
        </w:tc>
      </w:tr>
      <w:tr w:rsidR="00314060" w:rsidRPr="003C74B7" w14:paraId="2F5AE8DF" w14:textId="77777777" w:rsidTr="00314060">
        <w:trPr>
          <w:tblCellSpacing w:w="15" w:type="dxa"/>
        </w:trPr>
        <w:tc>
          <w:tcPr>
            <w:tcW w:w="0" w:type="auto"/>
            <w:shd w:val="clear" w:color="auto" w:fill="C2D69B"/>
            <w:vAlign w:val="center"/>
            <w:hideMark/>
          </w:tcPr>
          <w:p w14:paraId="0D02DCF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41E48CC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77F8C6D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1DF01FB0"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1FFC5BCF"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23B69C91" w14:textId="77777777" w:rsidTr="00314060">
        <w:trPr>
          <w:tblCellSpacing w:w="15" w:type="dxa"/>
        </w:trPr>
        <w:tc>
          <w:tcPr>
            <w:tcW w:w="0" w:type="auto"/>
            <w:shd w:val="clear" w:color="auto" w:fill="C2D69B"/>
            <w:vAlign w:val="center"/>
            <w:hideMark/>
          </w:tcPr>
          <w:p w14:paraId="4DA4703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38724A4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17 000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139813C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12 082</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4C3C9E6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4C95A3B8"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Z dôvodu ochorenia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a prijatých opatrení boli zrušené alebo presunuté mnohé plánované aktivity. Návštevnosť na podujatiach je len odhadovaná, nakoľko vstupné na podujatia sa nevyberá,  takmer všetky podujatia sú prístupné širokej verejnosti.</w:t>
            </w:r>
            <w:r w:rsidRPr="003C74B7">
              <w:rPr>
                <w:rFonts w:asciiTheme="minorHAnsi" w:hAnsiTheme="minorHAnsi" w:cstheme="minorHAnsi"/>
                <w:sz w:val="24"/>
                <w:szCs w:val="24"/>
                <w:lang w:eastAsia="sk-SK"/>
              </w:rPr>
              <w:t xml:space="preserve"> </w:t>
            </w:r>
          </w:p>
        </w:tc>
      </w:tr>
    </w:tbl>
    <w:p w14:paraId="2FA12E89" w14:textId="77777777" w:rsidR="00314060" w:rsidRPr="003C74B7" w:rsidRDefault="00314060" w:rsidP="00314060">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lastRenderedPageBreak/>
        <w:t xml:space="preserve">Komentár: </w:t>
      </w:r>
      <w:r w:rsidRPr="003C74B7">
        <w:rPr>
          <w:rFonts w:asciiTheme="minorHAnsi" w:hAnsiTheme="minorHAnsi" w:cstheme="minorHAnsi"/>
          <w:lang w:eastAsia="sk-SK"/>
        </w:rPr>
        <w:t xml:space="preserve">Medzi úlohy MOS patrí realizácia tradičných kultúrnych a spoločenských podujatí s cieľom prispieť k rozvoju miestnej regionálnej kultúry a neprofesionálneho umenia v bratislavskom kraji. BSK v rámci projektu cezhraničnej spolupráce </w:t>
      </w:r>
      <w:proofErr w:type="spellStart"/>
      <w:r w:rsidRPr="003C74B7">
        <w:rPr>
          <w:rFonts w:asciiTheme="minorHAnsi" w:hAnsiTheme="minorHAnsi" w:cstheme="minorHAnsi"/>
          <w:lang w:eastAsia="sk-SK"/>
        </w:rPr>
        <w:t>Interreg</w:t>
      </w:r>
      <w:proofErr w:type="spellEnd"/>
      <w:r w:rsidRPr="003C74B7">
        <w:rPr>
          <w:rFonts w:asciiTheme="minorHAnsi" w:hAnsiTheme="minorHAnsi" w:cstheme="minorHAnsi"/>
          <w:lang w:eastAsia="sk-SK"/>
        </w:rPr>
        <w:t xml:space="preserve"> V-A Slovenská republika – Rakúsko cez projekt </w:t>
      </w:r>
      <w:proofErr w:type="spellStart"/>
      <w:r w:rsidRPr="003C74B7">
        <w:rPr>
          <w:rFonts w:asciiTheme="minorHAnsi" w:hAnsiTheme="minorHAnsi" w:cstheme="minorHAnsi"/>
          <w:lang w:eastAsia="sk-SK"/>
        </w:rPr>
        <w:t>Heritage</w:t>
      </w:r>
      <w:proofErr w:type="spellEnd"/>
      <w:r w:rsidRPr="003C74B7">
        <w:rPr>
          <w:rFonts w:asciiTheme="minorHAnsi" w:hAnsiTheme="minorHAnsi" w:cstheme="minorHAnsi"/>
          <w:lang w:eastAsia="sk-SK"/>
        </w:rPr>
        <w:t xml:space="preserve"> SK-AT realizuje rekonštrukciu sídelnej budovy a priľahlého areálu. Rekonštrukcia v sledom období napredovala a exteriér kaštieľa a priľahlá záhrada postupne nadobúdala novú podobu. Realizácia projektu „Kultúrno-kreatívne oživenie tradícií“ implikuje zvýšené náklady počas realizácie aj v rámci udržateľnosti projektu. </w:t>
      </w:r>
    </w:p>
    <w:p w14:paraId="5582F8AA" w14:textId="2E469E03" w:rsidR="00314060" w:rsidRPr="003C74B7" w:rsidRDefault="00314060" w:rsidP="00314060">
      <w:pPr>
        <w:spacing w:before="100" w:beforeAutospacing="1" w:after="100" w:afterAutospacing="1" w:line="240" w:lineRule="auto"/>
        <w:jc w:val="both"/>
        <w:outlineLvl w:val="2"/>
        <w:rPr>
          <w:rFonts w:asciiTheme="minorHAnsi" w:hAnsiTheme="minorHAnsi" w:cstheme="minorHAnsi"/>
          <w:b/>
          <w:bCs/>
          <w:color w:val="4F6228"/>
          <w:sz w:val="27"/>
          <w:szCs w:val="27"/>
          <w:lang w:eastAsia="sk-SK"/>
        </w:rPr>
      </w:pPr>
      <w:r w:rsidRPr="003C74B7">
        <w:rPr>
          <w:rFonts w:asciiTheme="minorHAnsi" w:hAnsiTheme="minorHAnsi" w:cstheme="minorHAnsi"/>
          <w:b/>
          <w:bCs/>
          <w:color w:val="4F6228"/>
          <w:sz w:val="27"/>
          <w:szCs w:val="27"/>
          <w:lang w:eastAsia="sk-SK"/>
        </w:rPr>
        <w:t>Podprogram 10.6: Malokarpatská knižnica v Pezinku</w:t>
      </w:r>
    </w:p>
    <w:p w14:paraId="1C8A62C2" w14:textId="77777777" w:rsidR="00314060" w:rsidRPr="003C74B7" w:rsidRDefault="00314060" w:rsidP="00314060">
      <w:pPr>
        <w:spacing w:before="100" w:beforeAutospacing="1" w:after="100" w:afterAutospacing="1" w:line="240" w:lineRule="auto"/>
        <w:jc w:val="both"/>
        <w:rPr>
          <w:rFonts w:asciiTheme="minorHAnsi" w:hAnsiTheme="minorHAnsi" w:cstheme="minorHAnsi"/>
          <w:sz w:val="24"/>
          <w:szCs w:val="24"/>
          <w:lang w:eastAsia="sk-SK"/>
        </w:rPr>
      </w:pPr>
      <w:r w:rsidRPr="003C74B7">
        <w:rPr>
          <w:rFonts w:asciiTheme="minorHAnsi" w:hAnsiTheme="minorHAnsi" w:cstheme="minorHAnsi"/>
          <w:b/>
          <w:bCs/>
          <w:sz w:val="24"/>
          <w:szCs w:val="24"/>
          <w:lang w:eastAsia="sk-SK"/>
        </w:rPr>
        <w:t xml:space="preserve">Zámer: </w:t>
      </w:r>
      <w:r w:rsidRPr="003C74B7">
        <w:rPr>
          <w:rFonts w:asciiTheme="minorHAnsi" w:hAnsiTheme="minorHAnsi" w:cstheme="minorHAnsi"/>
          <w:sz w:val="24"/>
          <w:szCs w:val="24"/>
          <w:lang w:eastAsia="sk-SK"/>
        </w:rPr>
        <w:t>Kvalitné a dostupné knižnično-informačné služby</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8"/>
        <w:gridCol w:w="2253"/>
        <w:gridCol w:w="1256"/>
        <w:gridCol w:w="1570"/>
        <w:gridCol w:w="1323"/>
        <w:gridCol w:w="1396"/>
        <w:gridCol w:w="1830"/>
      </w:tblGrid>
      <w:tr w:rsidR="00314060" w:rsidRPr="003C74B7" w14:paraId="60409B80" w14:textId="77777777" w:rsidTr="005529E8">
        <w:trPr>
          <w:tblCellSpacing w:w="15" w:type="dxa"/>
        </w:trPr>
        <w:tc>
          <w:tcPr>
            <w:tcW w:w="0" w:type="auto"/>
            <w:shd w:val="clear" w:color="auto" w:fill="C6DBF7"/>
            <w:vAlign w:val="center"/>
            <w:hideMark/>
          </w:tcPr>
          <w:p w14:paraId="03FB6D8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Kód EK</w:t>
            </w:r>
          </w:p>
        </w:tc>
        <w:tc>
          <w:tcPr>
            <w:tcW w:w="1087" w:type="pct"/>
            <w:shd w:val="clear" w:color="auto" w:fill="C6DBF7"/>
            <w:vAlign w:val="center"/>
            <w:hideMark/>
          </w:tcPr>
          <w:p w14:paraId="5FA52DE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Ekonomická klasifikácia</w:t>
            </w:r>
          </w:p>
        </w:tc>
        <w:tc>
          <w:tcPr>
            <w:tcW w:w="0" w:type="auto"/>
            <w:shd w:val="clear" w:color="auto" w:fill="C6DBF7"/>
            <w:vAlign w:val="center"/>
            <w:hideMark/>
          </w:tcPr>
          <w:p w14:paraId="5EDEE5A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Schválený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753" w:type="pct"/>
            <w:shd w:val="clear" w:color="auto" w:fill="C6DBF7"/>
            <w:vAlign w:val="center"/>
            <w:hideMark/>
          </w:tcPr>
          <w:p w14:paraId="281D701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Zmenený</w:t>
            </w:r>
            <w:r w:rsidRPr="003C74B7">
              <w:rPr>
                <w:rFonts w:asciiTheme="minorHAnsi" w:hAnsiTheme="minorHAnsi" w:cstheme="minorHAnsi"/>
                <w:b/>
                <w:bCs/>
                <w:sz w:val="20"/>
                <w:szCs w:val="20"/>
                <w:lang w:eastAsia="sk-SK"/>
              </w:rPr>
              <w:br/>
              <w:t>rozpočet</w:t>
            </w:r>
            <w:r w:rsidRPr="003C74B7">
              <w:rPr>
                <w:rFonts w:asciiTheme="minorHAnsi" w:hAnsiTheme="minorHAnsi" w:cstheme="minorHAnsi"/>
                <w:b/>
                <w:bCs/>
                <w:sz w:val="20"/>
                <w:szCs w:val="20"/>
                <w:lang w:eastAsia="sk-SK"/>
              </w:rPr>
              <w:br/>
              <w:t>v EUR</w:t>
            </w:r>
          </w:p>
        </w:tc>
        <w:tc>
          <w:tcPr>
            <w:tcW w:w="632" w:type="pct"/>
            <w:shd w:val="clear" w:color="auto" w:fill="C6DBF7"/>
            <w:vAlign w:val="center"/>
            <w:hideMark/>
          </w:tcPr>
          <w:p w14:paraId="0C6116B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v EUR</w:t>
            </w:r>
          </w:p>
        </w:tc>
        <w:tc>
          <w:tcPr>
            <w:tcW w:w="668" w:type="pct"/>
            <w:shd w:val="clear" w:color="auto" w:fill="C6DBF7"/>
            <w:vAlign w:val="center"/>
            <w:hideMark/>
          </w:tcPr>
          <w:p w14:paraId="03B047F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Čerpanie</w:t>
            </w:r>
            <w:r w:rsidRPr="003C74B7">
              <w:rPr>
                <w:rFonts w:asciiTheme="minorHAnsi" w:hAnsiTheme="minorHAnsi" w:cstheme="minorHAnsi"/>
                <w:b/>
                <w:bCs/>
                <w:sz w:val="20"/>
                <w:szCs w:val="20"/>
                <w:lang w:eastAsia="sk-SK"/>
              </w:rPr>
              <w:br/>
              <w:t xml:space="preserve">k </w:t>
            </w:r>
            <w:proofErr w:type="spellStart"/>
            <w:r w:rsidRPr="003C74B7">
              <w:rPr>
                <w:rFonts w:asciiTheme="minorHAnsi" w:hAnsiTheme="minorHAnsi" w:cstheme="minorHAnsi"/>
                <w:b/>
                <w:bCs/>
                <w:sz w:val="20"/>
                <w:szCs w:val="20"/>
                <w:lang w:eastAsia="sk-SK"/>
              </w:rPr>
              <w:t>zmen</w:t>
            </w:r>
            <w:proofErr w:type="spellEnd"/>
            <w:r w:rsidRPr="003C74B7">
              <w:rPr>
                <w:rFonts w:asciiTheme="minorHAnsi" w:hAnsiTheme="minorHAnsi" w:cstheme="minorHAnsi"/>
                <w:b/>
                <w:bCs/>
                <w:sz w:val="20"/>
                <w:szCs w:val="20"/>
                <w:lang w:eastAsia="sk-SK"/>
              </w:rPr>
              <w:t xml:space="preserve">. </w:t>
            </w:r>
            <w:proofErr w:type="spellStart"/>
            <w:r w:rsidRPr="003C74B7">
              <w:rPr>
                <w:rFonts w:asciiTheme="minorHAnsi" w:hAnsiTheme="minorHAnsi" w:cstheme="minorHAnsi"/>
                <w:b/>
                <w:bCs/>
                <w:sz w:val="20"/>
                <w:szCs w:val="20"/>
                <w:lang w:eastAsia="sk-SK"/>
              </w:rPr>
              <w:t>rozp</w:t>
            </w:r>
            <w:proofErr w:type="spellEnd"/>
            <w:r w:rsidRPr="003C74B7">
              <w:rPr>
                <w:rFonts w:asciiTheme="minorHAnsi" w:hAnsiTheme="minorHAnsi" w:cstheme="minorHAnsi"/>
                <w:b/>
                <w:bCs/>
                <w:sz w:val="20"/>
                <w:szCs w:val="20"/>
                <w:lang w:eastAsia="sk-SK"/>
              </w:rPr>
              <w:t>.</w:t>
            </w:r>
            <w:r w:rsidRPr="003C74B7">
              <w:rPr>
                <w:rFonts w:asciiTheme="minorHAnsi" w:hAnsiTheme="minorHAnsi" w:cstheme="minorHAnsi"/>
                <w:b/>
                <w:bCs/>
                <w:sz w:val="20"/>
                <w:szCs w:val="20"/>
                <w:lang w:eastAsia="sk-SK"/>
              </w:rPr>
              <w:br/>
              <w:t>v %</w:t>
            </w:r>
          </w:p>
        </w:tc>
        <w:tc>
          <w:tcPr>
            <w:tcW w:w="873" w:type="pct"/>
            <w:shd w:val="clear" w:color="auto" w:fill="C6DBF7"/>
            <w:vAlign w:val="center"/>
            <w:hideMark/>
          </w:tcPr>
          <w:p w14:paraId="1CC5830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Zmeny rozpočtu</w:t>
            </w:r>
          </w:p>
        </w:tc>
      </w:tr>
      <w:tr w:rsidR="00314060" w:rsidRPr="003C74B7" w14:paraId="05F09463" w14:textId="77777777" w:rsidTr="005529E8">
        <w:trPr>
          <w:tblCellSpacing w:w="15" w:type="dxa"/>
        </w:trPr>
        <w:tc>
          <w:tcPr>
            <w:tcW w:w="0" w:type="auto"/>
            <w:shd w:val="clear" w:color="auto" w:fill="D9D9D9"/>
            <w:noWrap/>
            <w:vAlign w:val="center"/>
            <w:hideMark/>
          </w:tcPr>
          <w:p w14:paraId="299A7649" w14:textId="77777777" w:rsidR="00314060" w:rsidRPr="003C74B7" w:rsidRDefault="00314060" w:rsidP="00314060">
            <w:pPr>
              <w:spacing w:after="0" w:line="240" w:lineRule="auto"/>
              <w:jc w:val="center"/>
              <w:rPr>
                <w:rFonts w:asciiTheme="minorHAnsi" w:hAnsiTheme="minorHAnsi" w:cstheme="minorHAnsi"/>
                <w:sz w:val="24"/>
                <w:szCs w:val="24"/>
                <w:lang w:eastAsia="sk-SK"/>
              </w:rPr>
            </w:pPr>
          </w:p>
        </w:tc>
        <w:tc>
          <w:tcPr>
            <w:tcW w:w="0" w:type="auto"/>
            <w:shd w:val="clear" w:color="auto" w:fill="D9D9D9"/>
            <w:vAlign w:val="center"/>
            <w:hideMark/>
          </w:tcPr>
          <w:p w14:paraId="25B8A0D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Výdavky celkom</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37003007"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381 408,00</w:t>
            </w:r>
            <w:r w:rsidRPr="003C74B7">
              <w:rPr>
                <w:rFonts w:asciiTheme="minorHAnsi" w:hAnsiTheme="minorHAnsi" w:cstheme="minorHAnsi"/>
                <w:sz w:val="24"/>
                <w:szCs w:val="24"/>
                <w:lang w:eastAsia="sk-SK"/>
              </w:rPr>
              <w:t xml:space="preserve"> </w:t>
            </w:r>
          </w:p>
        </w:tc>
        <w:tc>
          <w:tcPr>
            <w:tcW w:w="753" w:type="pct"/>
            <w:shd w:val="clear" w:color="auto" w:fill="D9D9D9"/>
            <w:noWrap/>
            <w:vAlign w:val="center"/>
            <w:hideMark/>
          </w:tcPr>
          <w:p w14:paraId="1D3F4C0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357 576,00</w:t>
            </w:r>
            <w:r w:rsidRPr="003C74B7">
              <w:rPr>
                <w:rFonts w:asciiTheme="minorHAnsi" w:hAnsiTheme="minorHAnsi" w:cstheme="minorHAnsi"/>
                <w:sz w:val="24"/>
                <w:szCs w:val="24"/>
                <w:lang w:eastAsia="sk-SK"/>
              </w:rPr>
              <w:t xml:space="preserve"> </w:t>
            </w:r>
          </w:p>
        </w:tc>
        <w:tc>
          <w:tcPr>
            <w:tcW w:w="632" w:type="pct"/>
            <w:shd w:val="clear" w:color="auto" w:fill="D9D9D9"/>
            <w:noWrap/>
            <w:vAlign w:val="center"/>
            <w:hideMark/>
          </w:tcPr>
          <w:p w14:paraId="2055111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357 576,00</w:t>
            </w:r>
            <w:r w:rsidRPr="003C74B7">
              <w:rPr>
                <w:rFonts w:asciiTheme="minorHAnsi" w:hAnsiTheme="minorHAnsi" w:cstheme="minorHAnsi"/>
                <w:sz w:val="24"/>
                <w:szCs w:val="24"/>
                <w:lang w:eastAsia="sk-SK"/>
              </w:rPr>
              <w:t xml:space="preserve"> </w:t>
            </w:r>
          </w:p>
        </w:tc>
        <w:tc>
          <w:tcPr>
            <w:tcW w:w="668" w:type="pct"/>
            <w:shd w:val="clear" w:color="auto" w:fill="D9D9D9"/>
            <w:noWrap/>
            <w:vAlign w:val="center"/>
            <w:hideMark/>
          </w:tcPr>
          <w:p w14:paraId="7A7EA4E8"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val="restart"/>
            <w:shd w:val="clear" w:color="auto" w:fill="D9D9D9"/>
            <w:vAlign w:val="center"/>
            <w:hideMark/>
          </w:tcPr>
          <w:p w14:paraId="67893F88" w14:textId="05395FA2" w:rsidR="00314060" w:rsidRPr="003C74B7" w:rsidRDefault="00314060" w:rsidP="00314060">
            <w:pPr>
              <w:spacing w:after="0" w:line="240" w:lineRule="auto"/>
              <w:rPr>
                <w:rFonts w:asciiTheme="minorHAnsi" w:hAnsiTheme="minorHAnsi" w:cstheme="minorHAnsi"/>
                <w:sz w:val="20"/>
                <w:szCs w:val="20"/>
                <w:lang w:eastAsia="sk-SK"/>
              </w:rPr>
            </w:pPr>
            <w:r w:rsidRPr="003C74B7">
              <w:rPr>
                <w:rFonts w:asciiTheme="minorHAnsi" w:hAnsiTheme="minorHAnsi" w:cstheme="minorHAnsi"/>
                <w:b/>
                <w:sz w:val="20"/>
                <w:szCs w:val="20"/>
                <w:lang w:eastAsia="sk-SK"/>
              </w:rPr>
              <w:t>-23 832 EUR</w:t>
            </w:r>
            <w:r w:rsidRPr="003C74B7">
              <w:rPr>
                <w:rFonts w:asciiTheme="minorHAnsi" w:hAnsiTheme="minorHAnsi" w:cstheme="minorHAnsi"/>
                <w:sz w:val="20"/>
                <w:szCs w:val="20"/>
                <w:lang w:eastAsia="sk-SK"/>
              </w:rPr>
              <w:t xml:space="preserve"> U</w:t>
            </w:r>
            <w:r w:rsidR="005529E8">
              <w:rPr>
                <w:rFonts w:asciiTheme="minorHAnsi" w:hAnsiTheme="minorHAnsi" w:cstheme="minorHAnsi"/>
                <w:sz w:val="20"/>
                <w:szCs w:val="20"/>
                <w:lang w:eastAsia="sk-SK"/>
              </w:rPr>
              <w:t>ZN</w:t>
            </w:r>
            <w:r w:rsidRPr="003C74B7">
              <w:rPr>
                <w:rFonts w:asciiTheme="minorHAnsi" w:hAnsiTheme="minorHAnsi" w:cstheme="minorHAnsi"/>
                <w:sz w:val="20"/>
                <w:szCs w:val="20"/>
                <w:lang w:eastAsia="sk-SK"/>
              </w:rPr>
              <w:t xml:space="preserve"> BSK č. 247/2020</w:t>
            </w:r>
          </w:p>
          <w:p w14:paraId="175729F0" w14:textId="77777777" w:rsidR="00314060" w:rsidRPr="003C74B7" w:rsidRDefault="00314060" w:rsidP="00314060">
            <w:pPr>
              <w:spacing w:after="0" w:line="240" w:lineRule="auto"/>
              <w:jc w:val="right"/>
              <w:rPr>
                <w:rFonts w:asciiTheme="minorHAnsi" w:hAnsiTheme="minorHAnsi" w:cstheme="minorHAnsi"/>
                <w:sz w:val="24"/>
                <w:szCs w:val="24"/>
                <w:lang w:eastAsia="sk-SK"/>
              </w:rPr>
            </w:pPr>
          </w:p>
        </w:tc>
      </w:tr>
      <w:tr w:rsidR="00314060" w:rsidRPr="003C74B7" w14:paraId="2A831B9A" w14:textId="77777777" w:rsidTr="005529E8">
        <w:trPr>
          <w:tblCellSpacing w:w="15" w:type="dxa"/>
        </w:trPr>
        <w:tc>
          <w:tcPr>
            <w:tcW w:w="0" w:type="auto"/>
            <w:shd w:val="clear" w:color="auto" w:fill="D9D9D9"/>
            <w:noWrap/>
            <w:vAlign w:val="center"/>
            <w:hideMark/>
          </w:tcPr>
          <w:p w14:paraId="79795647"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600</w:t>
            </w:r>
            <w:r w:rsidRPr="003C74B7">
              <w:rPr>
                <w:rFonts w:asciiTheme="minorHAnsi" w:hAnsiTheme="minorHAnsi" w:cstheme="minorHAnsi"/>
                <w:sz w:val="24"/>
                <w:szCs w:val="24"/>
                <w:lang w:eastAsia="sk-SK"/>
              </w:rPr>
              <w:t xml:space="preserve"> </w:t>
            </w:r>
          </w:p>
        </w:tc>
        <w:tc>
          <w:tcPr>
            <w:tcW w:w="0" w:type="auto"/>
            <w:shd w:val="clear" w:color="auto" w:fill="D9D9D9"/>
            <w:vAlign w:val="center"/>
            <w:hideMark/>
          </w:tcPr>
          <w:p w14:paraId="3EEFEA7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Bežné výdavky</w:t>
            </w:r>
            <w:r w:rsidRPr="003C74B7">
              <w:rPr>
                <w:rFonts w:asciiTheme="minorHAnsi" w:hAnsiTheme="minorHAnsi" w:cstheme="minorHAnsi"/>
                <w:sz w:val="24"/>
                <w:szCs w:val="24"/>
                <w:lang w:eastAsia="sk-SK"/>
              </w:rPr>
              <w:t xml:space="preserve"> </w:t>
            </w:r>
          </w:p>
        </w:tc>
        <w:tc>
          <w:tcPr>
            <w:tcW w:w="0" w:type="auto"/>
            <w:shd w:val="clear" w:color="auto" w:fill="D9D9D9"/>
            <w:noWrap/>
            <w:vAlign w:val="center"/>
            <w:hideMark/>
          </w:tcPr>
          <w:p w14:paraId="150296B3"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381 408,00</w:t>
            </w:r>
            <w:r w:rsidRPr="003C74B7">
              <w:rPr>
                <w:rFonts w:asciiTheme="minorHAnsi" w:hAnsiTheme="minorHAnsi" w:cstheme="minorHAnsi"/>
                <w:sz w:val="24"/>
                <w:szCs w:val="24"/>
                <w:lang w:eastAsia="sk-SK"/>
              </w:rPr>
              <w:t xml:space="preserve"> </w:t>
            </w:r>
          </w:p>
        </w:tc>
        <w:tc>
          <w:tcPr>
            <w:tcW w:w="753" w:type="pct"/>
            <w:shd w:val="clear" w:color="auto" w:fill="D9D9D9"/>
            <w:noWrap/>
            <w:vAlign w:val="center"/>
            <w:hideMark/>
          </w:tcPr>
          <w:p w14:paraId="1F5BFEBC"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357 576,00</w:t>
            </w:r>
            <w:r w:rsidRPr="003C74B7">
              <w:rPr>
                <w:rFonts w:asciiTheme="minorHAnsi" w:hAnsiTheme="minorHAnsi" w:cstheme="minorHAnsi"/>
                <w:sz w:val="24"/>
                <w:szCs w:val="24"/>
                <w:lang w:eastAsia="sk-SK"/>
              </w:rPr>
              <w:t xml:space="preserve"> </w:t>
            </w:r>
          </w:p>
        </w:tc>
        <w:tc>
          <w:tcPr>
            <w:tcW w:w="632" w:type="pct"/>
            <w:shd w:val="clear" w:color="auto" w:fill="D9D9D9"/>
            <w:noWrap/>
            <w:vAlign w:val="center"/>
            <w:hideMark/>
          </w:tcPr>
          <w:p w14:paraId="2748447F"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357 576,00</w:t>
            </w:r>
            <w:r w:rsidRPr="003C74B7">
              <w:rPr>
                <w:rFonts w:asciiTheme="minorHAnsi" w:hAnsiTheme="minorHAnsi" w:cstheme="minorHAnsi"/>
                <w:sz w:val="24"/>
                <w:szCs w:val="24"/>
                <w:lang w:eastAsia="sk-SK"/>
              </w:rPr>
              <w:t xml:space="preserve"> </w:t>
            </w:r>
          </w:p>
        </w:tc>
        <w:tc>
          <w:tcPr>
            <w:tcW w:w="668" w:type="pct"/>
            <w:shd w:val="clear" w:color="auto" w:fill="D9D9D9"/>
            <w:noWrap/>
            <w:vAlign w:val="center"/>
            <w:hideMark/>
          </w:tcPr>
          <w:p w14:paraId="1A787995"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D9D9D9"/>
            <w:vAlign w:val="center"/>
            <w:hideMark/>
          </w:tcPr>
          <w:p w14:paraId="1ADCFA82" w14:textId="77777777" w:rsidR="00314060" w:rsidRPr="003C74B7" w:rsidRDefault="00314060" w:rsidP="00314060">
            <w:pPr>
              <w:spacing w:after="0" w:line="240" w:lineRule="auto"/>
              <w:rPr>
                <w:rFonts w:asciiTheme="minorHAnsi" w:hAnsiTheme="minorHAnsi" w:cstheme="minorHAnsi"/>
                <w:sz w:val="24"/>
                <w:szCs w:val="24"/>
                <w:lang w:eastAsia="sk-SK"/>
              </w:rPr>
            </w:pPr>
          </w:p>
        </w:tc>
      </w:tr>
      <w:tr w:rsidR="00314060" w:rsidRPr="003C74B7" w14:paraId="5AC29D54" w14:textId="77777777" w:rsidTr="005529E8">
        <w:trPr>
          <w:tblCellSpacing w:w="15" w:type="dxa"/>
        </w:trPr>
        <w:tc>
          <w:tcPr>
            <w:tcW w:w="0" w:type="auto"/>
            <w:shd w:val="clear" w:color="auto" w:fill="EFEFEF"/>
            <w:noWrap/>
            <w:vAlign w:val="center"/>
            <w:hideMark/>
          </w:tcPr>
          <w:p w14:paraId="02C6BCA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640</w:t>
            </w:r>
            <w:r w:rsidRPr="003C74B7">
              <w:rPr>
                <w:rFonts w:asciiTheme="minorHAnsi" w:hAnsiTheme="minorHAnsi" w:cstheme="minorHAnsi"/>
                <w:sz w:val="24"/>
                <w:szCs w:val="24"/>
                <w:lang w:eastAsia="sk-SK"/>
              </w:rPr>
              <w:t xml:space="preserve"> </w:t>
            </w:r>
          </w:p>
        </w:tc>
        <w:tc>
          <w:tcPr>
            <w:tcW w:w="0" w:type="auto"/>
            <w:shd w:val="clear" w:color="auto" w:fill="EFEFEF"/>
            <w:vAlign w:val="center"/>
            <w:hideMark/>
          </w:tcPr>
          <w:p w14:paraId="1D3F7CF4"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Bežné transfery</w:t>
            </w:r>
            <w:r w:rsidRPr="003C74B7">
              <w:rPr>
                <w:rFonts w:asciiTheme="minorHAnsi" w:hAnsiTheme="minorHAnsi" w:cstheme="minorHAnsi"/>
                <w:sz w:val="24"/>
                <w:szCs w:val="24"/>
                <w:lang w:eastAsia="sk-SK"/>
              </w:rPr>
              <w:t xml:space="preserve"> </w:t>
            </w:r>
          </w:p>
        </w:tc>
        <w:tc>
          <w:tcPr>
            <w:tcW w:w="0" w:type="auto"/>
            <w:shd w:val="clear" w:color="auto" w:fill="EFEFEF"/>
            <w:noWrap/>
            <w:vAlign w:val="center"/>
            <w:hideMark/>
          </w:tcPr>
          <w:p w14:paraId="27A957EA"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381 408,00</w:t>
            </w:r>
            <w:r w:rsidRPr="003C74B7">
              <w:rPr>
                <w:rFonts w:asciiTheme="minorHAnsi" w:hAnsiTheme="minorHAnsi" w:cstheme="minorHAnsi"/>
                <w:sz w:val="24"/>
                <w:szCs w:val="24"/>
                <w:lang w:eastAsia="sk-SK"/>
              </w:rPr>
              <w:t xml:space="preserve"> </w:t>
            </w:r>
          </w:p>
        </w:tc>
        <w:tc>
          <w:tcPr>
            <w:tcW w:w="753" w:type="pct"/>
            <w:shd w:val="clear" w:color="auto" w:fill="EFEFEF"/>
            <w:noWrap/>
            <w:vAlign w:val="center"/>
            <w:hideMark/>
          </w:tcPr>
          <w:p w14:paraId="269E6A20"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357 576,00</w:t>
            </w:r>
            <w:r w:rsidRPr="003C74B7">
              <w:rPr>
                <w:rFonts w:asciiTheme="minorHAnsi" w:hAnsiTheme="minorHAnsi" w:cstheme="minorHAnsi"/>
                <w:sz w:val="24"/>
                <w:szCs w:val="24"/>
                <w:lang w:eastAsia="sk-SK"/>
              </w:rPr>
              <w:t xml:space="preserve"> </w:t>
            </w:r>
          </w:p>
        </w:tc>
        <w:tc>
          <w:tcPr>
            <w:tcW w:w="632" w:type="pct"/>
            <w:shd w:val="clear" w:color="auto" w:fill="EFEFEF"/>
            <w:noWrap/>
            <w:vAlign w:val="center"/>
            <w:hideMark/>
          </w:tcPr>
          <w:p w14:paraId="265A175B"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357 576,00</w:t>
            </w:r>
            <w:r w:rsidRPr="003C74B7">
              <w:rPr>
                <w:rFonts w:asciiTheme="minorHAnsi" w:hAnsiTheme="minorHAnsi" w:cstheme="minorHAnsi"/>
                <w:sz w:val="24"/>
                <w:szCs w:val="24"/>
                <w:lang w:eastAsia="sk-SK"/>
              </w:rPr>
              <w:t xml:space="preserve"> </w:t>
            </w:r>
          </w:p>
        </w:tc>
        <w:tc>
          <w:tcPr>
            <w:tcW w:w="668" w:type="pct"/>
            <w:shd w:val="clear" w:color="auto" w:fill="EFEFEF"/>
            <w:noWrap/>
            <w:vAlign w:val="center"/>
            <w:hideMark/>
          </w:tcPr>
          <w:p w14:paraId="693ECDB5" w14:textId="77777777" w:rsidR="00314060" w:rsidRPr="003C74B7" w:rsidRDefault="00314060" w:rsidP="00314060">
            <w:pPr>
              <w:spacing w:after="0" w:line="240" w:lineRule="auto"/>
              <w:jc w:val="right"/>
              <w:rPr>
                <w:rFonts w:asciiTheme="minorHAnsi" w:hAnsiTheme="minorHAnsi" w:cstheme="minorHAnsi"/>
                <w:sz w:val="24"/>
                <w:szCs w:val="24"/>
                <w:lang w:eastAsia="sk-SK"/>
              </w:rPr>
            </w:pPr>
            <w:r w:rsidRPr="003C74B7">
              <w:rPr>
                <w:rFonts w:asciiTheme="minorHAnsi" w:hAnsiTheme="minorHAnsi" w:cstheme="minorHAnsi"/>
                <w:sz w:val="20"/>
                <w:szCs w:val="20"/>
                <w:lang w:eastAsia="sk-SK"/>
              </w:rPr>
              <w:t>100,00</w:t>
            </w:r>
            <w:r w:rsidRPr="003C74B7">
              <w:rPr>
                <w:rFonts w:asciiTheme="minorHAnsi" w:hAnsiTheme="minorHAnsi" w:cstheme="minorHAnsi"/>
                <w:sz w:val="24"/>
                <w:szCs w:val="24"/>
                <w:lang w:eastAsia="sk-SK"/>
              </w:rPr>
              <w:t xml:space="preserve"> </w:t>
            </w:r>
          </w:p>
        </w:tc>
        <w:tc>
          <w:tcPr>
            <w:tcW w:w="873" w:type="pct"/>
            <w:vMerge/>
            <w:shd w:val="clear" w:color="auto" w:fill="EFEFEF"/>
            <w:vAlign w:val="center"/>
            <w:hideMark/>
          </w:tcPr>
          <w:p w14:paraId="296675D1" w14:textId="77777777" w:rsidR="00314060" w:rsidRPr="003C74B7" w:rsidRDefault="00314060" w:rsidP="00314060">
            <w:pPr>
              <w:spacing w:after="0" w:line="240" w:lineRule="auto"/>
              <w:rPr>
                <w:rFonts w:asciiTheme="minorHAnsi" w:hAnsiTheme="minorHAnsi" w:cstheme="minorHAnsi"/>
                <w:sz w:val="24"/>
                <w:szCs w:val="24"/>
                <w:lang w:eastAsia="sk-SK"/>
              </w:rPr>
            </w:pPr>
          </w:p>
        </w:tc>
      </w:tr>
    </w:tbl>
    <w:p w14:paraId="771A8783" w14:textId="77777777" w:rsidR="00314060" w:rsidRPr="003C74B7" w:rsidRDefault="00314060" w:rsidP="00314060">
      <w:pPr>
        <w:spacing w:after="0" w:line="240" w:lineRule="auto"/>
        <w:rPr>
          <w:rFonts w:asciiTheme="minorHAnsi" w:hAnsiTheme="minorHAnsi"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82"/>
        <w:gridCol w:w="1059"/>
        <w:gridCol w:w="1380"/>
        <w:gridCol w:w="1186"/>
        <w:gridCol w:w="4159"/>
      </w:tblGrid>
      <w:tr w:rsidR="00314060" w:rsidRPr="003C74B7" w14:paraId="11DBC893" w14:textId="77777777" w:rsidTr="00314060">
        <w:trPr>
          <w:tblCellSpacing w:w="15" w:type="dxa"/>
        </w:trPr>
        <w:tc>
          <w:tcPr>
            <w:tcW w:w="0" w:type="auto"/>
            <w:shd w:val="clear" w:color="auto" w:fill="C2D69B"/>
            <w:vAlign w:val="center"/>
            <w:hideMark/>
          </w:tcPr>
          <w:p w14:paraId="4FCDB14A"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Zodpovednosť</w:t>
            </w:r>
          </w:p>
        </w:tc>
        <w:tc>
          <w:tcPr>
            <w:tcW w:w="0" w:type="auto"/>
            <w:gridSpan w:val="4"/>
            <w:shd w:val="clear" w:color="auto" w:fill="C2D69B"/>
            <w:vAlign w:val="center"/>
            <w:hideMark/>
          </w:tcPr>
          <w:p w14:paraId="211731B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Riaditeľ zariadenia</w:t>
            </w:r>
            <w:r w:rsidRPr="003C74B7">
              <w:rPr>
                <w:rFonts w:asciiTheme="minorHAnsi" w:hAnsiTheme="minorHAnsi" w:cstheme="minorHAnsi"/>
                <w:sz w:val="24"/>
                <w:szCs w:val="24"/>
                <w:lang w:eastAsia="sk-SK"/>
              </w:rPr>
              <w:t xml:space="preserve"> </w:t>
            </w:r>
          </w:p>
        </w:tc>
      </w:tr>
      <w:tr w:rsidR="00314060" w:rsidRPr="003C74B7" w14:paraId="453C86B2" w14:textId="77777777" w:rsidTr="00314060">
        <w:trPr>
          <w:tblCellSpacing w:w="15" w:type="dxa"/>
        </w:trPr>
        <w:tc>
          <w:tcPr>
            <w:tcW w:w="0" w:type="auto"/>
            <w:shd w:val="clear" w:color="auto" w:fill="C2D69B"/>
            <w:vAlign w:val="center"/>
            <w:hideMark/>
          </w:tcPr>
          <w:p w14:paraId="37AA699F"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Cieľ</w:t>
            </w:r>
          </w:p>
        </w:tc>
        <w:tc>
          <w:tcPr>
            <w:tcW w:w="0" w:type="auto"/>
            <w:gridSpan w:val="4"/>
            <w:shd w:val="clear" w:color="auto" w:fill="C2D69B"/>
            <w:vAlign w:val="center"/>
            <w:hideMark/>
          </w:tcPr>
          <w:p w14:paraId="1FA2D7C6"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Zvýšiť kvalitu knižnično-informačných služieb</w:t>
            </w:r>
            <w:r w:rsidRPr="003C74B7">
              <w:rPr>
                <w:rFonts w:asciiTheme="minorHAnsi" w:hAnsiTheme="minorHAnsi" w:cstheme="minorHAnsi"/>
                <w:sz w:val="24"/>
                <w:szCs w:val="24"/>
                <w:lang w:eastAsia="sk-SK"/>
              </w:rPr>
              <w:t xml:space="preserve"> </w:t>
            </w:r>
          </w:p>
        </w:tc>
      </w:tr>
      <w:tr w:rsidR="00314060" w:rsidRPr="003C74B7" w14:paraId="509840E2" w14:textId="77777777" w:rsidTr="00314060">
        <w:trPr>
          <w:tblCellSpacing w:w="15" w:type="dxa"/>
        </w:trPr>
        <w:tc>
          <w:tcPr>
            <w:tcW w:w="0" w:type="auto"/>
            <w:shd w:val="clear" w:color="auto" w:fill="C2D69B"/>
            <w:vAlign w:val="center"/>
            <w:hideMark/>
          </w:tcPr>
          <w:p w14:paraId="3E08243E"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59634699"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výpožičiek spolu za rok</w:t>
            </w:r>
            <w:r w:rsidRPr="003C74B7">
              <w:rPr>
                <w:rFonts w:asciiTheme="minorHAnsi" w:hAnsiTheme="minorHAnsi" w:cstheme="minorHAnsi"/>
                <w:sz w:val="24"/>
                <w:szCs w:val="24"/>
                <w:lang w:eastAsia="sk-SK"/>
              </w:rPr>
              <w:t xml:space="preserve"> </w:t>
            </w:r>
          </w:p>
        </w:tc>
      </w:tr>
      <w:tr w:rsidR="00314060" w:rsidRPr="003C74B7" w14:paraId="1D3377D5" w14:textId="77777777" w:rsidTr="00314060">
        <w:trPr>
          <w:tblCellSpacing w:w="15" w:type="dxa"/>
        </w:trPr>
        <w:tc>
          <w:tcPr>
            <w:tcW w:w="0" w:type="auto"/>
            <w:shd w:val="clear" w:color="auto" w:fill="C2D69B"/>
            <w:vAlign w:val="center"/>
            <w:hideMark/>
          </w:tcPr>
          <w:p w14:paraId="7BFE0E1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5C7083F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638295E1"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23BCD71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1E938A75"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78911B0B" w14:textId="77777777" w:rsidTr="00314060">
        <w:trPr>
          <w:tblCellSpacing w:w="15" w:type="dxa"/>
        </w:trPr>
        <w:tc>
          <w:tcPr>
            <w:tcW w:w="0" w:type="auto"/>
            <w:shd w:val="clear" w:color="auto" w:fill="C2D69B"/>
            <w:vAlign w:val="center"/>
            <w:hideMark/>
          </w:tcPr>
          <w:p w14:paraId="5A88EB3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51B55A3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145 000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35533F7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107 695</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55B643E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4C587519"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Čiastočné plnenie bolo spôsobené v dôsledku prijatých opatrení pre pandémiu ochorenia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kedy bola knižnica uzavretá pre verejnosť. Výpožičky sa realizovali absenčne aj prezenčnou formou, ponúkali aj medziknižničnú výpožičnú formu a výpožičky e-kníh z online katalógu.</w:t>
            </w:r>
            <w:r w:rsidRPr="003C74B7">
              <w:rPr>
                <w:rFonts w:asciiTheme="minorHAnsi" w:hAnsiTheme="minorHAnsi" w:cstheme="minorHAnsi"/>
                <w:sz w:val="24"/>
                <w:szCs w:val="24"/>
                <w:lang w:eastAsia="sk-SK"/>
              </w:rPr>
              <w:t xml:space="preserve"> </w:t>
            </w:r>
          </w:p>
        </w:tc>
      </w:tr>
      <w:tr w:rsidR="00314060" w:rsidRPr="003C74B7" w14:paraId="2C42B033" w14:textId="77777777" w:rsidTr="00314060">
        <w:trPr>
          <w:tblCellSpacing w:w="15" w:type="dxa"/>
        </w:trPr>
        <w:tc>
          <w:tcPr>
            <w:tcW w:w="0" w:type="auto"/>
            <w:shd w:val="clear" w:color="auto" w:fill="C2D69B"/>
            <w:vAlign w:val="center"/>
            <w:hideMark/>
          </w:tcPr>
          <w:p w14:paraId="71C76277"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0919579C"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Počet prírastkov knižničného fondu</w:t>
            </w:r>
            <w:r w:rsidRPr="003C74B7">
              <w:rPr>
                <w:rFonts w:asciiTheme="minorHAnsi" w:hAnsiTheme="minorHAnsi" w:cstheme="minorHAnsi"/>
                <w:sz w:val="24"/>
                <w:szCs w:val="24"/>
                <w:lang w:eastAsia="sk-SK"/>
              </w:rPr>
              <w:t xml:space="preserve"> </w:t>
            </w:r>
          </w:p>
        </w:tc>
      </w:tr>
      <w:tr w:rsidR="00314060" w:rsidRPr="003C74B7" w14:paraId="2E85851F" w14:textId="77777777" w:rsidTr="00314060">
        <w:trPr>
          <w:tblCellSpacing w:w="15" w:type="dxa"/>
        </w:trPr>
        <w:tc>
          <w:tcPr>
            <w:tcW w:w="0" w:type="auto"/>
            <w:shd w:val="clear" w:color="auto" w:fill="C2D69B"/>
            <w:vAlign w:val="center"/>
            <w:hideMark/>
          </w:tcPr>
          <w:p w14:paraId="156E54A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44B2EA2E"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1ECEBA2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7BC95DE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7723ABDF"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70A07004" w14:textId="77777777" w:rsidTr="00314060">
        <w:trPr>
          <w:tblCellSpacing w:w="15" w:type="dxa"/>
        </w:trPr>
        <w:tc>
          <w:tcPr>
            <w:tcW w:w="0" w:type="auto"/>
            <w:shd w:val="clear" w:color="auto" w:fill="C2D69B"/>
            <w:vAlign w:val="center"/>
            <w:hideMark/>
          </w:tcPr>
          <w:p w14:paraId="5350BA85"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5B106C5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3 900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201A02C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3 815</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20E961B7"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34565FA8" w14:textId="77777777" w:rsidR="00314060" w:rsidRPr="003C74B7" w:rsidRDefault="00314060" w:rsidP="005529E8">
            <w:pPr>
              <w:spacing w:after="0" w:line="240" w:lineRule="auto"/>
              <w:jc w:val="both"/>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Akvizícia sa sústreďuje predovšetkým na nákup tlačených kníh, systematicky sleduje a získava dokumenty regionálneho významu. Nákup </w:t>
            </w:r>
            <w:proofErr w:type="spellStart"/>
            <w:r w:rsidRPr="003C74B7">
              <w:rPr>
                <w:rFonts w:asciiTheme="minorHAnsi" w:hAnsiTheme="minorHAnsi" w:cstheme="minorHAnsi"/>
                <w:sz w:val="20"/>
                <w:szCs w:val="20"/>
                <w:lang w:eastAsia="sk-SK"/>
              </w:rPr>
              <w:t>audiokníh</w:t>
            </w:r>
            <w:proofErr w:type="spellEnd"/>
            <w:r w:rsidRPr="003C74B7">
              <w:rPr>
                <w:rFonts w:asciiTheme="minorHAnsi" w:hAnsiTheme="minorHAnsi" w:cstheme="minorHAnsi"/>
                <w:sz w:val="20"/>
                <w:szCs w:val="20"/>
                <w:lang w:eastAsia="sk-SK"/>
              </w:rPr>
              <w:t xml:space="preserve"> je nízky, pretože stále neexistuje celoslovenská licencia na výpožičky </w:t>
            </w:r>
            <w:proofErr w:type="spellStart"/>
            <w:r w:rsidRPr="003C74B7">
              <w:rPr>
                <w:rFonts w:asciiTheme="minorHAnsi" w:hAnsiTheme="minorHAnsi" w:cstheme="minorHAnsi"/>
                <w:sz w:val="20"/>
                <w:szCs w:val="20"/>
                <w:lang w:eastAsia="sk-SK"/>
              </w:rPr>
              <w:t>audiokníh</w:t>
            </w:r>
            <w:proofErr w:type="spellEnd"/>
            <w:r w:rsidRPr="003C74B7">
              <w:rPr>
                <w:rFonts w:asciiTheme="minorHAnsi" w:hAnsiTheme="minorHAnsi" w:cstheme="minorHAnsi"/>
                <w:sz w:val="20"/>
                <w:szCs w:val="20"/>
                <w:lang w:eastAsia="sk-SK"/>
              </w:rPr>
              <w:t xml:space="preserve"> v slovenských knižniciach. Okrem nákupu knižných titulov doplňovali v knižnici aj periodiká – z počtu 125 titulov bolo 62 slovenských celoštátnych, 43 regionálnych a 25 českých titulov. </w:t>
            </w:r>
          </w:p>
        </w:tc>
      </w:tr>
      <w:tr w:rsidR="00314060" w:rsidRPr="003C74B7" w14:paraId="19FDEEE0" w14:textId="77777777" w:rsidTr="00314060">
        <w:trPr>
          <w:tblCellSpacing w:w="15" w:type="dxa"/>
        </w:trPr>
        <w:tc>
          <w:tcPr>
            <w:tcW w:w="0" w:type="auto"/>
            <w:shd w:val="clear" w:color="auto" w:fill="C2D69B"/>
            <w:vAlign w:val="center"/>
            <w:hideMark/>
          </w:tcPr>
          <w:p w14:paraId="55F64E4D"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Merateľný ukazovateľ</w:t>
            </w:r>
          </w:p>
        </w:tc>
        <w:tc>
          <w:tcPr>
            <w:tcW w:w="0" w:type="auto"/>
            <w:gridSpan w:val="4"/>
            <w:shd w:val="clear" w:color="auto" w:fill="C2D69B"/>
            <w:vAlign w:val="center"/>
            <w:hideMark/>
          </w:tcPr>
          <w:p w14:paraId="6526BBC2"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sz w:val="20"/>
                <w:szCs w:val="20"/>
                <w:lang w:eastAsia="sk-SK"/>
              </w:rPr>
              <w:t xml:space="preserve">Sprievodné podujatia </w:t>
            </w:r>
          </w:p>
        </w:tc>
      </w:tr>
      <w:tr w:rsidR="00314060" w:rsidRPr="003C74B7" w14:paraId="710C2B77" w14:textId="77777777" w:rsidTr="00314060">
        <w:trPr>
          <w:tblCellSpacing w:w="15" w:type="dxa"/>
        </w:trPr>
        <w:tc>
          <w:tcPr>
            <w:tcW w:w="0" w:type="auto"/>
            <w:shd w:val="clear" w:color="auto" w:fill="C2D69B"/>
            <w:vAlign w:val="center"/>
            <w:hideMark/>
          </w:tcPr>
          <w:p w14:paraId="3DC1C258"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Rok</w:t>
            </w:r>
          </w:p>
        </w:tc>
        <w:tc>
          <w:tcPr>
            <w:tcW w:w="0" w:type="auto"/>
            <w:shd w:val="clear" w:color="auto" w:fill="C2D69B"/>
            <w:vAlign w:val="center"/>
            <w:hideMark/>
          </w:tcPr>
          <w:p w14:paraId="4D4981EF"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Plán</w:t>
            </w:r>
          </w:p>
        </w:tc>
        <w:tc>
          <w:tcPr>
            <w:tcW w:w="0" w:type="auto"/>
            <w:shd w:val="clear" w:color="auto" w:fill="C2D69B"/>
            <w:vAlign w:val="center"/>
            <w:hideMark/>
          </w:tcPr>
          <w:p w14:paraId="180A911B"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Skutočnosť</w:t>
            </w:r>
          </w:p>
        </w:tc>
        <w:tc>
          <w:tcPr>
            <w:tcW w:w="0" w:type="auto"/>
            <w:shd w:val="clear" w:color="auto" w:fill="C2D69B"/>
            <w:vAlign w:val="center"/>
            <w:hideMark/>
          </w:tcPr>
          <w:p w14:paraId="686D862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Plnenie</w:t>
            </w:r>
          </w:p>
        </w:tc>
        <w:tc>
          <w:tcPr>
            <w:tcW w:w="2000" w:type="pct"/>
            <w:shd w:val="clear" w:color="auto" w:fill="C2D69B"/>
            <w:vAlign w:val="center"/>
            <w:hideMark/>
          </w:tcPr>
          <w:p w14:paraId="4CBFB193" w14:textId="77777777" w:rsidR="00314060" w:rsidRPr="003C74B7" w:rsidRDefault="00314060" w:rsidP="00314060">
            <w:pPr>
              <w:spacing w:after="0" w:line="240" w:lineRule="auto"/>
              <w:rPr>
                <w:rFonts w:asciiTheme="minorHAnsi" w:hAnsiTheme="minorHAnsi" w:cstheme="minorHAnsi"/>
                <w:sz w:val="24"/>
                <w:szCs w:val="24"/>
                <w:lang w:eastAsia="sk-SK"/>
              </w:rPr>
            </w:pPr>
            <w:r w:rsidRPr="003C74B7">
              <w:rPr>
                <w:rFonts w:asciiTheme="minorHAnsi" w:hAnsiTheme="minorHAnsi" w:cstheme="minorHAnsi"/>
                <w:b/>
                <w:bCs/>
                <w:sz w:val="20"/>
                <w:szCs w:val="20"/>
                <w:lang w:eastAsia="sk-SK"/>
              </w:rPr>
              <w:t>Poznámka</w:t>
            </w:r>
          </w:p>
        </w:tc>
      </w:tr>
      <w:tr w:rsidR="00314060" w:rsidRPr="003C74B7" w14:paraId="49B94E29" w14:textId="77777777" w:rsidTr="00314060">
        <w:trPr>
          <w:tblCellSpacing w:w="15" w:type="dxa"/>
        </w:trPr>
        <w:tc>
          <w:tcPr>
            <w:tcW w:w="0" w:type="auto"/>
            <w:shd w:val="clear" w:color="auto" w:fill="C2D69B"/>
            <w:vAlign w:val="center"/>
            <w:hideMark/>
          </w:tcPr>
          <w:p w14:paraId="7AEC76FA"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2020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5C9D53AC"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270</w:t>
            </w:r>
            <w:r w:rsidRPr="003C74B7">
              <w:rPr>
                <w:rFonts w:asciiTheme="minorHAnsi" w:hAnsiTheme="minorHAnsi" w:cstheme="minorHAnsi"/>
                <w:sz w:val="24"/>
                <w:szCs w:val="24"/>
                <w:lang w:eastAsia="sk-SK"/>
              </w:rPr>
              <w:t xml:space="preserve"> </w:t>
            </w:r>
          </w:p>
        </w:tc>
        <w:tc>
          <w:tcPr>
            <w:tcW w:w="0" w:type="auto"/>
            <w:shd w:val="clear" w:color="auto" w:fill="C2D69B"/>
            <w:noWrap/>
            <w:vAlign w:val="center"/>
            <w:hideMark/>
          </w:tcPr>
          <w:p w14:paraId="1A9FDB42"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 121</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01AB2A6D" w14:textId="77777777" w:rsidR="00314060" w:rsidRPr="003C74B7" w:rsidRDefault="00314060" w:rsidP="00314060">
            <w:pPr>
              <w:spacing w:after="0" w:line="240" w:lineRule="auto"/>
              <w:jc w:val="center"/>
              <w:rPr>
                <w:rFonts w:asciiTheme="minorHAnsi" w:hAnsiTheme="minorHAnsi" w:cstheme="minorHAnsi"/>
                <w:sz w:val="24"/>
                <w:szCs w:val="24"/>
                <w:lang w:eastAsia="sk-SK"/>
              </w:rPr>
            </w:pPr>
            <w:r w:rsidRPr="003C74B7">
              <w:rPr>
                <w:rFonts w:asciiTheme="minorHAnsi" w:hAnsiTheme="minorHAnsi" w:cstheme="minorHAnsi"/>
                <w:sz w:val="20"/>
                <w:szCs w:val="20"/>
                <w:lang w:eastAsia="sk-SK"/>
              </w:rPr>
              <w:t>Čiastočne</w:t>
            </w:r>
            <w:r w:rsidRPr="003C74B7">
              <w:rPr>
                <w:rFonts w:asciiTheme="minorHAnsi" w:hAnsiTheme="minorHAnsi" w:cstheme="minorHAnsi"/>
                <w:sz w:val="24"/>
                <w:szCs w:val="24"/>
                <w:lang w:eastAsia="sk-SK"/>
              </w:rPr>
              <w:t xml:space="preserve"> </w:t>
            </w:r>
          </w:p>
        </w:tc>
        <w:tc>
          <w:tcPr>
            <w:tcW w:w="0" w:type="auto"/>
            <w:shd w:val="clear" w:color="auto" w:fill="C2D69B"/>
            <w:vAlign w:val="center"/>
            <w:hideMark/>
          </w:tcPr>
          <w:p w14:paraId="1E875AF6" w14:textId="77777777" w:rsidR="00314060" w:rsidRPr="003C74B7" w:rsidRDefault="00314060" w:rsidP="005529E8">
            <w:pPr>
              <w:spacing w:after="0" w:line="240" w:lineRule="auto"/>
              <w:jc w:val="both"/>
              <w:rPr>
                <w:rFonts w:asciiTheme="minorHAnsi" w:hAnsiTheme="minorHAnsi" w:cstheme="minorHAnsi"/>
                <w:sz w:val="20"/>
                <w:szCs w:val="20"/>
                <w:lang w:eastAsia="sk-SK"/>
              </w:rPr>
            </w:pPr>
            <w:r w:rsidRPr="003C74B7">
              <w:rPr>
                <w:rFonts w:asciiTheme="minorHAnsi" w:hAnsiTheme="minorHAnsi" w:cstheme="minorHAnsi"/>
                <w:sz w:val="20"/>
                <w:szCs w:val="20"/>
                <w:lang w:eastAsia="sk-SK"/>
              </w:rPr>
              <w:t xml:space="preserve">Čiastočné plnenie bolo spôsobené v dôsledku prijatých opatrení pre pandémiu ochorenia </w:t>
            </w:r>
            <w:proofErr w:type="spellStart"/>
            <w:r w:rsidRPr="003C74B7">
              <w:rPr>
                <w:rFonts w:asciiTheme="minorHAnsi" w:hAnsiTheme="minorHAnsi" w:cstheme="minorHAnsi"/>
                <w:sz w:val="20"/>
                <w:szCs w:val="20"/>
                <w:lang w:eastAsia="sk-SK"/>
              </w:rPr>
              <w:t>Covid</w:t>
            </w:r>
            <w:proofErr w:type="spellEnd"/>
            <w:r w:rsidRPr="003C74B7">
              <w:rPr>
                <w:rFonts w:asciiTheme="minorHAnsi" w:hAnsiTheme="minorHAnsi" w:cstheme="minorHAnsi"/>
                <w:sz w:val="20"/>
                <w:szCs w:val="20"/>
                <w:lang w:eastAsia="sk-SK"/>
              </w:rPr>
              <w:t xml:space="preserve"> 19, kedy bola knižnica uzavretá pre verejnosť. Knižnica organizovala najmä online podujatia - čítanie pre deti, súťaže a kvízy. Podarilo sa realizovať sériu prázdninových podujatí. Počas letných prázdnin detskí knihovníci pripravili tradičné prázdninové utorky pre deti plné čítania, workshopov a hier. Boli spojené aj s výstavou Hracích plánov a hracích stolíkov rôznych spoločenských hier zo zbierok Múzea </w:t>
            </w:r>
            <w:proofErr w:type="spellStart"/>
            <w:r w:rsidRPr="003C74B7">
              <w:rPr>
                <w:rFonts w:asciiTheme="minorHAnsi" w:hAnsiTheme="minorHAnsi" w:cstheme="minorHAnsi"/>
                <w:sz w:val="20"/>
                <w:szCs w:val="20"/>
                <w:lang w:eastAsia="sk-SK"/>
              </w:rPr>
              <w:t>Balisa</w:t>
            </w:r>
            <w:proofErr w:type="spellEnd"/>
            <w:r w:rsidRPr="003C74B7">
              <w:rPr>
                <w:rFonts w:asciiTheme="minorHAnsi" w:hAnsiTheme="minorHAnsi" w:cstheme="minorHAnsi"/>
                <w:sz w:val="20"/>
                <w:szCs w:val="20"/>
                <w:lang w:eastAsia="sk-SK"/>
              </w:rPr>
              <w:t xml:space="preserve"> v Bratislave. Návštevníci Literatúry v Radnici mali možnosť besedovať s literárnymi hosťami: M. Hvoreckým, A. </w:t>
            </w:r>
            <w:proofErr w:type="spellStart"/>
            <w:r w:rsidRPr="003C74B7">
              <w:rPr>
                <w:rFonts w:asciiTheme="minorHAnsi" w:hAnsiTheme="minorHAnsi" w:cstheme="minorHAnsi"/>
                <w:sz w:val="20"/>
                <w:szCs w:val="20"/>
                <w:lang w:eastAsia="sk-SK"/>
              </w:rPr>
              <w:t>Soltészom</w:t>
            </w:r>
            <w:proofErr w:type="spellEnd"/>
            <w:r w:rsidRPr="003C74B7">
              <w:rPr>
                <w:rFonts w:asciiTheme="minorHAnsi" w:hAnsiTheme="minorHAnsi" w:cstheme="minorHAnsi"/>
                <w:sz w:val="20"/>
                <w:szCs w:val="20"/>
                <w:lang w:eastAsia="sk-SK"/>
              </w:rPr>
              <w:t xml:space="preserve">, T. </w:t>
            </w:r>
            <w:proofErr w:type="spellStart"/>
            <w:r w:rsidRPr="003C74B7">
              <w:rPr>
                <w:rFonts w:asciiTheme="minorHAnsi" w:hAnsiTheme="minorHAnsi" w:cstheme="minorHAnsi"/>
                <w:sz w:val="20"/>
                <w:szCs w:val="20"/>
                <w:lang w:eastAsia="sk-SK"/>
              </w:rPr>
              <w:t>Šimončíkovou</w:t>
            </w:r>
            <w:proofErr w:type="spellEnd"/>
            <w:r w:rsidRPr="003C74B7">
              <w:rPr>
                <w:rFonts w:asciiTheme="minorHAnsi" w:hAnsiTheme="minorHAnsi" w:cstheme="minorHAnsi"/>
                <w:sz w:val="20"/>
                <w:szCs w:val="20"/>
                <w:lang w:eastAsia="sk-SK"/>
              </w:rPr>
              <w:t xml:space="preserve"> Heribanovou, Z. </w:t>
            </w:r>
            <w:proofErr w:type="spellStart"/>
            <w:r w:rsidRPr="003C74B7">
              <w:rPr>
                <w:rFonts w:asciiTheme="minorHAnsi" w:hAnsiTheme="minorHAnsi" w:cstheme="minorHAnsi"/>
                <w:sz w:val="20"/>
                <w:szCs w:val="20"/>
                <w:lang w:eastAsia="sk-SK"/>
              </w:rPr>
              <w:t>Polonskou</w:t>
            </w:r>
            <w:proofErr w:type="spellEnd"/>
            <w:r w:rsidRPr="003C74B7">
              <w:rPr>
                <w:rFonts w:asciiTheme="minorHAnsi" w:hAnsiTheme="minorHAnsi" w:cstheme="minorHAnsi"/>
                <w:sz w:val="20"/>
                <w:szCs w:val="20"/>
                <w:lang w:eastAsia="sk-SK"/>
              </w:rPr>
              <w:t xml:space="preserve">, Ľ. Mihálikovou,  N. Kováčovou, L. </w:t>
            </w:r>
            <w:proofErr w:type="spellStart"/>
            <w:r w:rsidRPr="003C74B7">
              <w:rPr>
                <w:rFonts w:asciiTheme="minorHAnsi" w:hAnsiTheme="minorHAnsi" w:cstheme="minorHAnsi"/>
                <w:sz w:val="20"/>
                <w:szCs w:val="20"/>
                <w:lang w:eastAsia="sk-SK"/>
              </w:rPr>
              <w:t>Riečanskou</w:t>
            </w:r>
            <w:proofErr w:type="spellEnd"/>
            <w:r w:rsidRPr="003C74B7">
              <w:rPr>
                <w:rFonts w:asciiTheme="minorHAnsi" w:hAnsiTheme="minorHAnsi" w:cstheme="minorHAnsi"/>
                <w:sz w:val="20"/>
                <w:szCs w:val="20"/>
                <w:lang w:eastAsia="sk-SK"/>
              </w:rPr>
              <w:t xml:space="preserve">,  M. </w:t>
            </w:r>
            <w:proofErr w:type="spellStart"/>
            <w:r w:rsidRPr="003C74B7">
              <w:rPr>
                <w:rFonts w:asciiTheme="minorHAnsi" w:hAnsiTheme="minorHAnsi" w:cstheme="minorHAnsi"/>
                <w:sz w:val="20"/>
                <w:szCs w:val="20"/>
                <w:lang w:eastAsia="sk-SK"/>
              </w:rPr>
              <w:t>Hlušíkovou</w:t>
            </w:r>
            <w:proofErr w:type="spellEnd"/>
            <w:r w:rsidRPr="003C74B7">
              <w:rPr>
                <w:rFonts w:asciiTheme="minorHAnsi" w:hAnsiTheme="minorHAnsi" w:cstheme="minorHAnsi"/>
                <w:sz w:val="20"/>
                <w:szCs w:val="20"/>
                <w:lang w:eastAsia="sk-SK"/>
              </w:rPr>
              <w:t xml:space="preserve">. Knižnica zorganizovala workshopy pre verejnosť s </w:t>
            </w:r>
            <w:r w:rsidRPr="003C74B7">
              <w:rPr>
                <w:rFonts w:asciiTheme="minorHAnsi" w:hAnsiTheme="minorHAnsi" w:cstheme="minorHAnsi"/>
                <w:sz w:val="20"/>
                <w:szCs w:val="20"/>
                <w:lang w:eastAsia="sk-SK"/>
              </w:rPr>
              <w:lastRenderedPageBreak/>
              <w:t xml:space="preserve">odbornými hosťami, kde si návštevníci mohli vyskúšať rôzne zručnosti – </w:t>
            </w:r>
            <w:proofErr w:type="spellStart"/>
            <w:r w:rsidRPr="003C74B7">
              <w:rPr>
                <w:rFonts w:asciiTheme="minorHAnsi" w:hAnsiTheme="minorHAnsi" w:cstheme="minorHAnsi"/>
                <w:sz w:val="20"/>
                <w:szCs w:val="20"/>
                <w:lang w:eastAsia="sk-SK"/>
              </w:rPr>
              <w:t>patchworkovanie</w:t>
            </w:r>
            <w:proofErr w:type="spellEnd"/>
            <w:r w:rsidRPr="003C74B7">
              <w:rPr>
                <w:rFonts w:asciiTheme="minorHAnsi" w:hAnsiTheme="minorHAnsi" w:cstheme="minorHAnsi"/>
                <w:sz w:val="20"/>
                <w:szCs w:val="20"/>
                <w:lang w:eastAsia="sk-SK"/>
              </w:rPr>
              <w:t xml:space="preserve">, linoryt, akvarel. </w:t>
            </w:r>
          </w:p>
        </w:tc>
      </w:tr>
    </w:tbl>
    <w:p w14:paraId="7400E929" w14:textId="5DDBB4D0" w:rsidR="0048691C" w:rsidRPr="00352CED" w:rsidRDefault="00314060" w:rsidP="00352CED">
      <w:pPr>
        <w:spacing w:before="100" w:beforeAutospacing="1" w:after="100" w:afterAutospacing="1" w:line="240" w:lineRule="auto"/>
        <w:jc w:val="both"/>
        <w:rPr>
          <w:rFonts w:asciiTheme="minorHAnsi" w:hAnsiTheme="minorHAnsi" w:cstheme="minorHAnsi"/>
          <w:lang w:eastAsia="sk-SK"/>
        </w:rPr>
      </w:pPr>
      <w:r w:rsidRPr="003C74B7">
        <w:rPr>
          <w:rFonts w:asciiTheme="minorHAnsi" w:hAnsiTheme="minorHAnsi" w:cstheme="minorHAnsi"/>
          <w:b/>
          <w:bCs/>
          <w:lang w:eastAsia="sk-SK"/>
        </w:rPr>
        <w:lastRenderedPageBreak/>
        <w:t xml:space="preserve">Komentár: </w:t>
      </w:r>
      <w:r w:rsidRPr="003C74B7">
        <w:rPr>
          <w:rFonts w:asciiTheme="minorHAnsi" w:hAnsiTheme="minorHAnsi" w:cstheme="minorHAnsi"/>
          <w:lang w:eastAsia="sk-SK"/>
        </w:rPr>
        <w:t xml:space="preserve">Malokarpatská knižnica v Pezinku popri základných knižničných funkciách (spravovanie knižničného fondu, spravovanie výpožičiek) poskytuje aj odborné poradenské služby verejným knižniciam. Spracúva tiež regionálnu bibliografiu a databázy a funguje ako regionálne informačné centrum. V sledovanom období boli prínosné početné odborné a sprievodné podujatia pre deti a mládež, aj keď aj činnosť knižnice bola počas roka viac krát pre verejnosť uzavretá z dôvodu prijatých </w:t>
      </w:r>
      <w:proofErr w:type="spellStart"/>
      <w:r w:rsidRPr="003C74B7">
        <w:rPr>
          <w:rFonts w:asciiTheme="minorHAnsi" w:hAnsiTheme="minorHAnsi" w:cstheme="minorHAnsi"/>
          <w:lang w:eastAsia="sk-SK"/>
        </w:rPr>
        <w:t>protipandemických</w:t>
      </w:r>
      <w:proofErr w:type="spellEnd"/>
      <w:r w:rsidRPr="003C74B7">
        <w:rPr>
          <w:rFonts w:asciiTheme="minorHAnsi" w:hAnsiTheme="minorHAnsi" w:cstheme="minorHAnsi"/>
          <w:lang w:eastAsia="sk-SK"/>
        </w:rPr>
        <w:t xml:space="preserve"> opatrení.</w:t>
      </w:r>
    </w:p>
    <w:p w14:paraId="5EBC4B41" w14:textId="77777777" w:rsidR="00F05A15" w:rsidRDefault="00F05A15" w:rsidP="00875772">
      <w:pPr>
        <w:spacing w:before="100" w:beforeAutospacing="1" w:after="100" w:afterAutospacing="1" w:line="240" w:lineRule="auto"/>
        <w:outlineLvl w:val="1"/>
        <w:rPr>
          <w:rFonts w:eastAsiaTheme="minorEastAsia"/>
          <w:b/>
          <w:bCs/>
          <w:color w:val="880000"/>
          <w:sz w:val="36"/>
          <w:szCs w:val="36"/>
          <w:lang w:eastAsia="sk-SK"/>
        </w:rPr>
      </w:pPr>
    </w:p>
    <w:p w14:paraId="6AF826F7" w14:textId="789FDF71" w:rsidR="00875772" w:rsidRPr="00116D4B" w:rsidRDefault="00875772" w:rsidP="00875772">
      <w:pPr>
        <w:spacing w:before="100" w:beforeAutospacing="1" w:after="100" w:afterAutospacing="1" w:line="240" w:lineRule="auto"/>
        <w:outlineLvl w:val="1"/>
        <w:rPr>
          <w:rFonts w:eastAsiaTheme="minorEastAsia"/>
          <w:b/>
          <w:bCs/>
          <w:color w:val="880000"/>
          <w:sz w:val="36"/>
          <w:szCs w:val="36"/>
          <w:lang w:eastAsia="sk-SK"/>
        </w:rPr>
      </w:pPr>
      <w:r w:rsidRPr="4F9BDBF9">
        <w:rPr>
          <w:rFonts w:eastAsiaTheme="minorEastAsia"/>
          <w:b/>
          <w:bCs/>
          <w:color w:val="880000"/>
          <w:sz w:val="36"/>
          <w:szCs w:val="36"/>
          <w:lang w:eastAsia="sk-SK"/>
        </w:rPr>
        <w:t>Program 11: Sociálne zabezpečenie</w:t>
      </w:r>
    </w:p>
    <w:p w14:paraId="4CFBC259" w14:textId="77777777" w:rsidR="00875772" w:rsidRPr="00116D4B" w:rsidRDefault="00875772" w:rsidP="00875772">
      <w:pPr>
        <w:spacing w:before="100" w:beforeAutospacing="1" w:after="100" w:afterAutospacing="1" w:line="240" w:lineRule="auto"/>
        <w:rPr>
          <w:rFonts w:eastAsiaTheme="minorEastAsia"/>
          <w:sz w:val="24"/>
          <w:szCs w:val="24"/>
          <w:lang w:eastAsia="sk-SK"/>
        </w:rPr>
      </w:pPr>
      <w:r w:rsidRPr="4F9BDBF9">
        <w:rPr>
          <w:rFonts w:eastAsiaTheme="minorEastAsia"/>
          <w:b/>
          <w:bCs/>
          <w:sz w:val="24"/>
          <w:szCs w:val="24"/>
          <w:lang w:eastAsia="sk-SK"/>
        </w:rPr>
        <w:t xml:space="preserve">Zámer: </w:t>
      </w:r>
      <w:r w:rsidRPr="4F9BDBF9">
        <w:rPr>
          <w:rFonts w:eastAsiaTheme="minorEastAsia"/>
          <w:sz w:val="24"/>
          <w:szCs w:val="24"/>
          <w:lang w:eastAsia="sk-SK"/>
        </w:rPr>
        <w:t>Plnenie kompetencií v oblasti sociálnej politiky</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58"/>
        <w:gridCol w:w="2142"/>
        <w:gridCol w:w="1635"/>
        <w:gridCol w:w="1280"/>
        <w:gridCol w:w="1556"/>
        <w:gridCol w:w="993"/>
        <w:gridCol w:w="2102"/>
      </w:tblGrid>
      <w:tr w:rsidR="00875772" w:rsidRPr="00116D4B" w14:paraId="65A570DD" w14:textId="77777777" w:rsidTr="00875772">
        <w:trPr>
          <w:tblCellSpacing w:w="15" w:type="dxa"/>
        </w:trPr>
        <w:tc>
          <w:tcPr>
            <w:tcW w:w="341" w:type="pct"/>
            <w:shd w:val="clear" w:color="auto" w:fill="C6DBF7"/>
            <w:vAlign w:val="center"/>
            <w:hideMark/>
          </w:tcPr>
          <w:p w14:paraId="715BB60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009" w:type="pct"/>
            <w:shd w:val="clear" w:color="auto" w:fill="C6DBF7"/>
            <w:vAlign w:val="center"/>
            <w:hideMark/>
          </w:tcPr>
          <w:p w14:paraId="6662573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767" w:type="pct"/>
            <w:shd w:val="clear" w:color="auto" w:fill="C6DBF7"/>
            <w:vAlign w:val="center"/>
            <w:hideMark/>
          </w:tcPr>
          <w:p w14:paraId="65B9002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597" w:type="pct"/>
            <w:shd w:val="clear" w:color="auto" w:fill="C6DBF7"/>
            <w:vAlign w:val="center"/>
            <w:hideMark/>
          </w:tcPr>
          <w:p w14:paraId="05476E8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729" w:type="pct"/>
            <w:shd w:val="clear" w:color="auto" w:fill="C6DBF7"/>
            <w:vAlign w:val="center"/>
            <w:hideMark/>
          </w:tcPr>
          <w:p w14:paraId="2066DCE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460" w:type="pct"/>
            <w:shd w:val="clear" w:color="auto" w:fill="C6DBF7"/>
            <w:vAlign w:val="center"/>
            <w:hideMark/>
          </w:tcPr>
          <w:p w14:paraId="25361AF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983" w:type="pct"/>
            <w:shd w:val="clear" w:color="auto" w:fill="C6DBF7"/>
            <w:vAlign w:val="center"/>
            <w:hideMark/>
          </w:tcPr>
          <w:p w14:paraId="27B4FEF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52A36340" w14:textId="77777777" w:rsidTr="00875772">
        <w:trPr>
          <w:tblCellSpacing w:w="15" w:type="dxa"/>
        </w:trPr>
        <w:tc>
          <w:tcPr>
            <w:tcW w:w="341" w:type="pct"/>
            <w:shd w:val="clear" w:color="auto" w:fill="D9D9D9" w:themeFill="background1" w:themeFillShade="D9"/>
            <w:noWrap/>
            <w:vAlign w:val="center"/>
            <w:hideMark/>
          </w:tcPr>
          <w:p w14:paraId="16E7BE28" w14:textId="77777777" w:rsidR="00875772" w:rsidRPr="00116D4B" w:rsidRDefault="00875772" w:rsidP="00875772">
            <w:pPr>
              <w:spacing w:after="0" w:line="240" w:lineRule="auto"/>
              <w:jc w:val="center"/>
              <w:rPr>
                <w:rFonts w:eastAsiaTheme="minorEastAsia"/>
                <w:sz w:val="24"/>
                <w:szCs w:val="24"/>
                <w:lang w:eastAsia="sk-SK"/>
              </w:rPr>
            </w:pPr>
          </w:p>
        </w:tc>
        <w:tc>
          <w:tcPr>
            <w:tcW w:w="1009" w:type="pct"/>
            <w:shd w:val="clear" w:color="auto" w:fill="D9D9D9" w:themeFill="background1" w:themeFillShade="D9"/>
            <w:vAlign w:val="center"/>
            <w:hideMark/>
          </w:tcPr>
          <w:p w14:paraId="5376BF4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767" w:type="pct"/>
            <w:shd w:val="clear" w:color="auto" w:fill="D9D9D9" w:themeFill="background1" w:themeFillShade="D9"/>
            <w:noWrap/>
            <w:vAlign w:val="center"/>
            <w:hideMark/>
          </w:tcPr>
          <w:p w14:paraId="0D94C9D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33 366 465,38</w:t>
            </w:r>
            <w:r w:rsidRPr="4F9BDBF9">
              <w:rPr>
                <w:rFonts w:eastAsiaTheme="minorEastAsia"/>
                <w:sz w:val="24"/>
                <w:szCs w:val="24"/>
                <w:lang w:eastAsia="sk-SK"/>
              </w:rPr>
              <w:t xml:space="preserve"> </w:t>
            </w:r>
          </w:p>
        </w:tc>
        <w:tc>
          <w:tcPr>
            <w:tcW w:w="597" w:type="pct"/>
            <w:shd w:val="clear" w:color="auto" w:fill="D9D9D9" w:themeFill="background1" w:themeFillShade="D9"/>
            <w:noWrap/>
            <w:vAlign w:val="center"/>
            <w:hideMark/>
          </w:tcPr>
          <w:p w14:paraId="20109FD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33 432 969,51</w:t>
            </w:r>
            <w:r w:rsidRPr="4F9BDBF9">
              <w:rPr>
                <w:rFonts w:eastAsiaTheme="minorEastAsia"/>
                <w:sz w:val="24"/>
                <w:szCs w:val="24"/>
                <w:lang w:eastAsia="sk-SK"/>
              </w:rPr>
              <w:t xml:space="preserve"> </w:t>
            </w:r>
          </w:p>
        </w:tc>
        <w:tc>
          <w:tcPr>
            <w:tcW w:w="729" w:type="pct"/>
            <w:shd w:val="clear" w:color="auto" w:fill="D9D9D9" w:themeFill="background1" w:themeFillShade="D9"/>
            <w:noWrap/>
            <w:vAlign w:val="center"/>
            <w:hideMark/>
          </w:tcPr>
          <w:p w14:paraId="38D0C74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30 785 958,49</w:t>
            </w:r>
            <w:r w:rsidRPr="4F9BDBF9">
              <w:rPr>
                <w:rFonts w:eastAsiaTheme="minorEastAsia"/>
                <w:sz w:val="24"/>
                <w:szCs w:val="24"/>
                <w:lang w:eastAsia="sk-SK"/>
              </w:rPr>
              <w:t xml:space="preserve"> </w:t>
            </w:r>
          </w:p>
        </w:tc>
        <w:tc>
          <w:tcPr>
            <w:tcW w:w="460" w:type="pct"/>
            <w:shd w:val="clear" w:color="auto" w:fill="D9D9D9" w:themeFill="background1" w:themeFillShade="D9"/>
            <w:noWrap/>
            <w:vAlign w:val="center"/>
            <w:hideMark/>
          </w:tcPr>
          <w:p w14:paraId="3C7AF12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92,08</w:t>
            </w:r>
            <w:r w:rsidRPr="4F9BDBF9">
              <w:rPr>
                <w:rFonts w:eastAsiaTheme="minorEastAsia"/>
                <w:sz w:val="24"/>
                <w:szCs w:val="24"/>
                <w:lang w:eastAsia="sk-SK"/>
              </w:rPr>
              <w:t xml:space="preserve"> </w:t>
            </w:r>
          </w:p>
        </w:tc>
        <w:tc>
          <w:tcPr>
            <w:tcW w:w="983" w:type="pct"/>
            <w:vMerge w:val="restart"/>
            <w:shd w:val="clear" w:color="auto" w:fill="D9D9D9" w:themeFill="background1" w:themeFillShade="D9"/>
            <w:vAlign w:val="center"/>
            <w:hideMark/>
          </w:tcPr>
          <w:p w14:paraId="538120C8" w14:textId="77777777" w:rsidR="00875772" w:rsidRPr="00116D4B" w:rsidRDefault="00875772" w:rsidP="00875772">
            <w:pPr>
              <w:spacing w:after="0" w:line="240" w:lineRule="auto"/>
              <w:jc w:val="center"/>
              <w:rPr>
                <w:rFonts w:eastAsia="Calibri" w:cs="Calibri"/>
                <w:color w:val="000000" w:themeColor="text1"/>
                <w:sz w:val="20"/>
                <w:szCs w:val="20"/>
              </w:rPr>
            </w:pPr>
            <w:r w:rsidRPr="4F9BDBF9">
              <w:rPr>
                <w:rFonts w:eastAsia="Calibri" w:cs="Calibri"/>
                <w:b/>
                <w:bCs/>
                <w:color w:val="000000" w:themeColor="text1"/>
                <w:sz w:val="20"/>
                <w:szCs w:val="20"/>
              </w:rPr>
              <w:t>Zmeny rozpočtu</w:t>
            </w:r>
          </w:p>
          <w:p w14:paraId="1BD36F6D" w14:textId="77777777" w:rsidR="00875772" w:rsidRPr="00116D4B" w:rsidRDefault="00875772" w:rsidP="00875772">
            <w:pPr>
              <w:spacing w:after="0" w:line="240" w:lineRule="auto"/>
              <w:jc w:val="center"/>
              <w:rPr>
                <w:rFonts w:eastAsia="Calibri" w:cs="Calibri"/>
                <w:color w:val="000000" w:themeColor="text1"/>
                <w:sz w:val="20"/>
                <w:szCs w:val="20"/>
              </w:rPr>
            </w:pPr>
            <w:r w:rsidRPr="4F9BDBF9">
              <w:rPr>
                <w:rFonts w:eastAsia="Calibri" w:cs="Calibri"/>
                <w:b/>
                <w:bCs/>
                <w:color w:val="000000" w:themeColor="text1"/>
                <w:sz w:val="20"/>
                <w:szCs w:val="20"/>
              </w:rPr>
              <w:t xml:space="preserve">sa nachádzajú </w:t>
            </w:r>
          </w:p>
          <w:p w14:paraId="1966691D" w14:textId="77777777" w:rsidR="00875772" w:rsidRPr="00116D4B" w:rsidRDefault="00875772" w:rsidP="00875772">
            <w:pPr>
              <w:spacing w:after="0" w:line="240" w:lineRule="auto"/>
              <w:jc w:val="center"/>
              <w:rPr>
                <w:rFonts w:eastAsia="Calibri" w:cs="Calibri"/>
                <w:color w:val="000000" w:themeColor="text1"/>
                <w:sz w:val="20"/>
                <w:szCs w:val="20"/>
              </w:rPr>
            </w:pPr>
            <w:r w:rsidRPr="4F9BDBF9">
              <w:rPr>
                <w:rFonts w:eastAsia="Calibri" w:cs="Calibri"/>
                <w:b/>
                <w:bCs/>
                <w:color w:val="000000" w:themeColor="text1"/>
                <w:sz w:val="20"/>
                <w:szCs w:val="20"/>
              </w:rPr>
              <w:t xml:space="preserve">pri podprogramoch </w:t>
            </w:r>
          </w:p>
          <w:p w14:paraId="08DB4013" w14:textId="77777777" w:rsidR="00875772" w:rsidRPr="00116D4B" w:rsidRDefault="00875772" w:rsidP="00875772">
            <w:pPr>
              <w:spacing w:after="0" w:line="240" w:lineRule="auto"/>
              <w:jc w:val="center"/>
              <w:rPr>
                <w:rFonts w:eastAsia="Calibri" w:cs="Calibri"/>
                <w:color w:val="000000" w:themeColor="text1"/>
                <w:sz w:val="20"/>
                <w:szCs w:val="20"/>
              </w:rPr>
            </w:pPr>
            <w:r w:rsidRPr="4F9BDBF9">
              <w:rPr>
                <w:rFonts w:eastAsia="Calibri" w:cs="Calibri"/>
                <w:b/>
                <w:bCs/>
                <w:color w:val="000000" w:themeColor="text1"/>
                <w:sz w:val="20"/>
                <w:szCs w:val="20"/>
              </w:rPr>
              <w:t>a prvkoch.</w:t>
            </w:r>
          </w:p>
          <w:p w14:paraId="5E35D7C4" w14:textId="77777777" w:rsidR="00875772" w:rsidRPr="00116D4B" w:rsidRDefault="00875772" w:rsidP="00875772">
            <w:pPr>
              <w:spacing w:after="0" w:line="240" w:lineRule="auto"/>
              <w:jc w:val="center"/>
              <w:rPr>
                <w:rFonts w:eastAsiaTheme="minorEastAsia"/>
                <w:sz w:val="24"/>
                <w:szCs w:val="24"/>
                <w:lang w:eastAsia="sk-SK"/>
              </w:rPr>
            </w:pPr>
          </w:p>
        </w:tc>
      </w:tr>
      <w:tr w:rsidR="00875772" w:rsidRPr="00116D4B" w14:paraId="1AC1C0C9" w14:textId="77777777" w:rsidTr="00875772">
        <w:trPr>
          <w:tblCellSpacing w:w="15" w:type="dxa"/>
        </w:trPr>
        <w:tc>
          <w:tcPr>
            <w:tcW w:w="341" w:type="pct"/>
            <w:shd w:val="clear" w:color="auto" w:fill="D9D9D9" w:themeFill="background1" w:themeFillShade="D9"/>
            <w:noWrap/>
            <w:vAlign w:val="center"/>
            <w:hideMark/>
          </w:tcPr>
          <w:p w14:paraId="6123816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009" w:type="pct"/>
            <w:shd w:val="clear" w:color="auto" w:fill="D9D9D9" w:themeFill="background1" w:themeFillShade="D9"/>
            <w:vAlign w:val="center"/>
            <w:hideMark/>
          </w:tcPr>
          <w:p w14:paraId="2A28A05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767" w:type="pct"/>
            <w:shd w:val="clear" w:color="auto" w:fill="D9D9D9" w:themeFill="background1" w:themeFillShade="D9"/>
            <w:noWrap/>
            <w:vAlign w:val="center"/>
            <w:hideMark/>
          </w:tcPr>
          <w:p w14:paraId="739B10F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33 326 465,38</w:t>
            </w:r>
            <w:r w:rsidRPr="4F9BDBF9">
              <w:rPr>
                <w:rFonts w:eastAsiaTheme="minorEastAsia"/>
                <w:sz w:val="24"/>
                <w:szCs w:val="24"/>
                <w:lang w:eastAsia="sk-SK"/>
              </w:rPr>
              <w:t xml:space="preserve"> </w:t>
            </w:r>
          </w:p>
        </w:tc>
        <w:tc>
          <w:tcPr>
            <w:tcW w:w="597" w:type="pct"/>
            <w:shd w:val="clear" w:color="auto" w:fill="D9D9D9" w:themeFill="background1" w:themeFillShade="D9"/>
            <w:noWrap/>
            <w:vAlign w:val="center"/>
            <w:hideMark/>
          </w:tcPr>
          <w:p w14:paraId="1EE7209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33 386 904,31</w:t>
            </w:r>
            <w:r w:rsidRPr="4F9BDBF9">
              <w:rPr>
                <w:rFonts w:eastAsiaTheme="minorEastAsia"/>
                <w:sz w:val="24"/>
                <w:szCs w:val="24"/>
                <w:lang w:eastAsia="sk-SK"/>
              </w:rPr>
              <w:t xml:space="preserve"> </w:t>
            </w:r>
          </w:p>
        </w:tc>
        <w:tc>
          <w:tcPr>
            <w:tcW w:w="729" w:type="pct"/>
            <w:shd w:val="clear" w:color="auto" w:fill="D9D9D9" w:themeFill="background1" w:themeFillShade="D9"/>
            <w:noWrap/>
            <w:vAlign w:val="center"/>
            <w:hideMark/>
          </w:tcPr>
          <w:p w14:paraId="23D9E55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30 766 857,49</w:t>
            </w:r>
            <w:r w:rsidRPr="4F9BDBF9">
              <w:rPr>
                <w:rFonts w:eastAsiaTheme="minorEastAsia"/>
                <w:sz w:val="24"/>
                <w:szCs w:val="24"/>
                <w:lang w:eastAsia="sk-SK"/>
              </w:rPr>
              <w:t xml:space="preserve"> </w:t>
            </w:r>
          </w:p>
        </w:tc>
        <w:tc>
          <w:tcPr>
            <w:tcW w:w="460" w:type="pct"/>
            <w:shd w:val="clear" w:color="auto" w:fill="D9D9D9" w:themeFill="background1" w:themeFillShade="D9"/>
            <w:noWrap/>
            <w:vAlign w:val="center"/>
            <w:hideMark/>
          </w:tcPr>
          <w:p w14:paraId="79404C6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92,15</w:t>
            </w:r>
            <w:r w:rsidRPr="4F9BDBF9">
              <w:rPr>
                <w:rFonts w:eastAsiaTheme="minorEastAsia"/>
                <w:sz w:val="24"/>
                <w:szCs w:val="24"/>
                <w:lang w:eastAsia="sk-SK"/>
              </w:rPr>
              <w:t xml:space="preserve"> </w:t>
            </w:r>
          </w:p>
        </w:tc>
        <w:tc>
          <w:tcPr>
            <w:tcW w:w="983" w:type="pct"/>
            <w:vMerge/>
            <w:vAlign w:val="center"/>
            <w:hideMark/>
          </w:tcPr>
          <w:p w14:paraId="32C06A7B"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83580FC" w14:textId="77777777" w:rsidTr="00875772">
        <w:trPr>
          <w:tblCellSpacing w:w="15" w:type="dxa"/>
        </w:trPr>
        <w:tc>
          <w:tcPr>
            <w:tcW w:w="341" w:type="pct"/>
            <w:shd w:val="clear" w:color="auto" w:fill="EFEFEF"/>
            <w:noWrap/>
            <w:vAlign w:val="center"/>
            <w:hideMark/>
          </w:tcPr>
          <w:p w14:paraId="160D992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009" w:type="pct"/>
            <w:shd w:val="clear" w:color="auto" w:fill="EFEFEF"/>
            <w:vAlign w:val="center"/>
            <w:hideMark/>
          </w:tcPr>
          <w:p w14:paraId="22B9B84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767" w:type="pct"/>
            <w:shd w:val="clear" w:color="auto" w:fill="EFEFEF"/>
            <w:noWrap/>
            <w:vAlign w:val="center"/>
            <w:hideMark/>
          </w:tcPr>
          <w:p w14:paraId="49E025D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13 135 111,42</w:t>
            </w:r>
            <w:r w:rsidRPr="4F9BDBF9">
              <w:rPr>
                <w:rFonts w:eastAsiaTheme="minorEastAsia"/>
                <w:sz w:val="24"/>
                <w:szCs w:val="24"/>
                <w:lang w:eastAsia="sk-SK"/>
              </w:rPr>
              <w:t xml:space="preserve"> </w:t>
            </w:r>
          </w:p>
        </w:tc>
        <w:tc>
          <w:tcPr>
            <w:tcW w:w="597" w:type="pct"/>
            <w:shd w:val="clear" w:color="auto" w:fill="EFEFEF"/>
            <w:noWrap/>
            <w:vAlign w:val="center"/>
            <w:hideMark/>
          </w:tcPr>
          <w:p w14:paraId="3719322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13 866 414,10</w:t>
            </w:r>
            <w:r w:rsidRPr="4F9BDBF9">
              <w:rPr>
                <w:rFonts w:eastAsiaTheme="minorEastAsia"/>
                <w:sz w:val="24"/>
                <w:szCs w:val="24"/>
                <w:lang w:eastAsia="sk-SK"/>
              </w:rPr>
              <w:t xml:space="preserve"> </w:t>
            </w:r>
          </w:p>
        </w:tc>
        <w:tc>
          <w:tcPr>
            <w:tcW w:w="729" w:type="pct"/>
            <w:shd w:val="clear" w:color="auto" w:fill="EFEFEF"/>
            <w:noWrap/>
            <w:vAlign w:val="center"/>
            <w:hideMark/>
          </w:tcPr>
          <w:p w14:paraId="5CA4E13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13 552 609,63</w:t>
            </w:r>
            <w:r w:rsidRPr="4F9BDBF9">
              <w:rPr>
                <w:rFonts w:eastAsiaTheme="minorEastAsia"/>
                <w:sz w:val="24"/>
                <w:szCs w:val="24"/>
                <w:lang w:eastAsia="sk-SK"/>
              </w:rPr>
              <w:t xml:space="preserve"> </w:t>
            </w:r>
          </w:p>
        </w:tc>
        <w:tc>
          <w:tcPr>
            <w:tcW w:w="460" w:type="pct"/>
            <w:shd w:val="clear" w:color="auto" w:fill="EFEFEF"/>
            <w:noWrap/>
            <w:vAlign w:val="center"/>
            <w:hideMark/>
          </w:tcPr>
          <w:p w14:paraId="3C611B4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97,74</w:t>
            </w:r>
            <w:r w:rsidRPr="4F9BDBF9">
              <w:rPr>
                <w:rFonts w:eastAsiaTheme="minorEastAsia"/>
                <w:sz w:val="24"/>
                <w:szCs w:val="24"/>
                <w:lang w:eastAsia="sk-SK"/>
              </w:rPr>
              <w:t xml:space="preserve"> </w:t>
            </w:r>
          </w:p>
        </w:tc>
        <w:tc>
          <w:tcPr>
            <w:tcW w:w="983" w:type="pct"/>
            <w:vMerge/>
            <w:vAlign w:val="center"/>
            <w:hideMark/>
          </w:tcPr>
          <w:p w14:paraId="745F5464"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47494109" w14:textId="77777777" w:rsidTr="00875772">
        <w:trPr>
          <w:tblCellSpacing w:w="15" w:type="dxa"/>
        </w:trPr>
        <w:tc>
          <w:tcPr>
            <w:tcW w:w="341" w:type="pct"/>
            <w:shd w:val="clear" w:color="auto" w:fill="EFEFEF"/>
            <w:noWrap/>
            <w:vAlign w:val="center"/>
            <w:hideMark/>
          </w:tcPr>
          <w:p w14:paraId="07A1F26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009" w:type="pct"/>
            <w:shd w:val="clear" w:color="auto" w:fill="EFEFEF"/>
            <w:vAlign w:val="center"/>
            <w:hideMark/>
          </w:tcPr>
          <w:p w14:paraId="6ADC3AD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767" w:type="pct"/>
            <w:shd w:val="clear" w:color="auto" w:fill="EFEFEF"/>
            <w:noWrap/>
            <w:vAlign w:val="center"/>
            <w:hideMark/>
          </w:tcPr>
          <w:p w14:paraId="1DCB495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4 772 324,49</w:t>
            </w:r>
            <w:r w:rsidRPr="4F9BDBF9">
              <w:rPr>
                <w:rFonts w:eastAsiaTheme="minorEastAsia"/>
                <w:sz w:val="24"/>
                <w:szCs w:val="24"/>
                <w:lang w:eastAsia="sk-SK"/>
              </w:rPr>
              <w:t xml:space="preserve"> </w:t>
            </w:r>
          </w:p>
        </w:tc>
        <w:tc>
          <w:tcPr>
            <w:tcW w:w="597" w:type="pct"/>
            <w:shd w:val="clear" w:color="auto" w:fill="EFEFEF"/>
            <w:noWrap/>
            <w:vAlign w:val="center"/>
            <w:hideMark/>
          </w:tcPr>
          <w:p w14:paraId="1ACA523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4 997 000,80</w:t>
            </w:r>
            <w:r w:rsidRPr="4F9BDBF9">
              <w:rPr>
                <w:rFonts w:eastAsiaTheme="minorEastAsia"/>
                <w:sz w:val="24"/>
                <w:szCs w:val="24"/>
                <w:lang w:eastAsia="sk-SK"/>
              </w:rPr>
              <w:t xml:space="preserve"> </w:t>
            </w:r>
          </w:p>
        </w:tc>
        <w:tc>
          <w:tcPr>
            <w:tcW w:w="729" w:type="pct"/>
            <w:shd w:val="clear" w:color="auto" w:fill="EFEFEF"/>
            <w:noWrap/>
            <w:vAlign w:val="center"/>
            <w:hideMark/>
          </w:tcPr>
          <w:p w14:paraId="5EC11B9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4 811 046,33</w:t>
            </w:r>
            <w:r w:rsidRPr="4F9BDBF9">
              <w:rPr>
                <w:rFonts w:eastAsiaTheme="minorEastAsia"/>
                <w:sz w:val="24"/>
                <w:szCs w:val="24"/>
                <w:lang w:eastAsia="sk-SK"/>
              </w:rPr>
              <w:t xml:space="preserve"> </w:t>
            </w:r>
          </w:p>
        </w:tc>
        <w:tc>
          <w:tcPr>
            <w:tcW w:w="460" w:type="pct"/>
            <w:shd w:val="clear" w:color="auto" w:fill="EFEFEF"/>
            <w:noWrap/>
            <w:vAlign w:val="center"/>
            <w:hideMark/>
          </w:tcPr>
          <w:p w14:paraId="314C434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96,28</w:t>
            </w:r>
            <w:r w:rsidRPr="4F9BDBF9">
              <w:rPr>
                <w:rFonts w:eastAsiaTheme="minorEastAsia"/>
                <w:sz w:val="24"/>
                <w:szCs w:val="24"/>
                <w:lang w:eastAsia="sk-SK"/>
              </w:rPr>
              <w:t xml:space="preserve"> </w:t>
            </w:r>
          </w:p>
        </w:tc>
        <w:tc>
          <w:tcPr>
            <w:tcW w:w="983" w:type="pct"/>
            <w:vMerge/>
            <w:vAlign w:val="center"/>
            <w:hideMark/>
          </w:tcPr>
          <w:p w14:paraId="55BCCE75"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69DE485" w14:textId="77777777" w:rsidTr="00875772">
        <w:trPr>
          <w:tblCellSpacing w:w="15" w:type="dxa"/>
        </w:trPr>
        <w:tc>
          <w:tcPr>
            <w:tcW w:w="341" w:type="pct"/>
            <w:shd w:val="clear" w:color="auto" w:fill="EFEFEF"/>
            <w:noWrap/>
            <w:vAlign w:val="center"/>
            <w:hideMark/>
          </w:tcPr>
          <w:p w14:paraId="6050CAA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009" w:type="pct"/>
            <w:shd w:val="clear" w:color="auto" w:fill="EFEFEF"/>
            <w:vAlign w:val="center"/>
            <w:hideMark/>
          </w:tcPr>
          <w:p w14:paraId="167ABD4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767" w:type="pct"/>
            <w:shd w:val="clear" w:color="auto" w:fill="EFEFEF"/>
            <w:noWrap/>
            <w:vAlign w:val="center"/>
            <w:hideMark/>
          </w:tcPr>
          <w:p w14:paraId="7DBC6CD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5 046 206,63</w:t>
            </w:r>
            <w:r w:rsidRPr="4F9BDBF9">
              <w:rPr>
                <w:rFonts w:eastAsiaTheme="minorEastAsia"/>
                <w:sz w:val="24"/>
                <w:szCs w:val="24"/>
                <w:lang w:eastAsia="sk-SK"/>
              </w:rPr>
              <w:t xml:space="preserve"> </w:t>
            </w:r>
          </w:p>
        </w:tc>
        <w:tc>
          <w:tcPr>
            <w:tcW w:w="597" w:type="pct"/>
            <w:shd w:val="clear" w:color="auto" w:fill="EFEFEF"/>
            <w:noWrap/>
            <w:vAlign w:val="center"/>
            <w:hideMark/>
          </w:tcPr>
          <w:p w14:paraId="40A84D5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5 071 584,20</w:t>
            </w:r>
            <w:r w:rsidRPr="4F9BDBF9">
              <w:rPr>
                <w:rFonts w:eastAsiaTheme="minorEastAsia"/>
                <w:sz w:val="24"/>
                <w:szCs w:val="24"/>
                <w:lang w:eastAsia="sk-SK"/>
              </w:rPr>
              <w:t xml:space="preserve"> </w:t>
            </w:r>
          </w:p>
        </w:tc>
        <w:tc>
          <w:tcPr>
            <w:tcW w:w="729" w:type="pct"/>
            <w:shd w:val="clear" w:color="auto" w:fill="EFEFEF"/>
            <w:noWrap/>
            <w:vAlign w:val="center"/>
            <w:hideMark/>
          </w:tcPr>
          <w:p w14:paraId="13AC0FB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4 714 166,94</w:t>
            </w:r>
            <w:r w:rsidRPr="4F9BDBF9">
              <w:rPr>
                <w:rFonts w:eastAsiaTheme="minorEastAsia"/>
                <w:sz w:val="24"/>
                <w:szCs w:val="24"/>
                <w:lang w:eastAsia="sk-SK"/>
              </w:rPr>
              <w:t xml:space="preserve"> </w:t>
            </w:r>
          </w:p>
        </w:tc>
        <w:tc>
          <w:tcPr>
            <w:tcW w:w="460" w:type="pct"/>
            <w:shd w:val="clear" w:color="auto" w:fill="EFEFEF"/>
            <w:noWrap/>
            <w:vAlign w:val="center"/>
            <w:hideMark/>
          </w:tcPr>
          <w:p w14:paraId="4AE2FAA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92,95</w:t>
            </w:r>
            <w:r w:rsidRPr="4F9BDBF9">
              <w:rPr>
                <w:rFonts w:eastAsiaTheme="minorEastAsia"/>
                <w:sz w:val="24"/>
                <w:szCs w:val="24"/>
                <w:lang w:eastAsia="sk-SK"/>
              </w:rPr>
              <w:t xml:space="preserve"> </w:t>
            </w:r>
          </w:p>
        </w:tc>
        <w:tc>
          <w:tcPr>
            <w:tcW w:w="983" w:type="pct"/>
            <w:vMerge/>
            <w:vAlign w:val="center"/>
            <w:hideMark/>
          </w:tcPr>
          <w:p w14:paraId="00B5B999"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3C4B168D" w14:textId="77777777" w:rsidTr="00875772">
        <w:trPr>
          <w:tblCellSpacing w:w="15" w:type="dxa"/>
        </w:trPr>
        <w:tc>
          <w:tcPr>
            <w:tcW w:w="341" w:type="pct"/>
            <w:shd w:val="clear" w:color="auto" w:fill="EFEFEF"/>
            <w:noWrap/>
            <w:vAlign w:val="center"/>
            <w:hideMark/>
          </w:tcPr>
          <w:p w14:paraId="0254962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009" w:type="pct"/>
            <w:shd w:val="clear" w:color="auto" w:fill="EFEFEF"/>
            <w:vAlign w:val="center"/>
            <w:hideMark/>
          </w:tcPr>
          <w:p w14:paraId="0211920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767" w:type="pct"/>
            <w:shd w:val="clear" w:color="auto" w:fill="EFEFEF"/>
            <w:noWrap/>
            <w:vAlign w:val="center"/>
            <w:hideMark/>
          </w:tcPr>
          <w:p w14:paraId="771B653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10 372 822,84</w:t>
            </w:r>
            <w:r w:rsidRPr="4F9BDBF9">
              <w:rPr>
                <w:rFonts w:eastAsiaTheme="minorEastAsia"/>
                <w:sz w:val="24"/>
                <w:szCs w:val="24"/>
                <w:lang w:eastAsia="sk-SK"/>
              </w:rPr>
              <w:t xml:space="preserve"> </w:t>
            </w:r>
          </w:p>
        </w:tc>
        <w:tc>
          <w:tcPr>
            <w:tcW w:w="597" w:type="pct"/>
            <w:shd w:val="clear" w:color="auto" w:fill="EFEFEF"/>
            <w:noWrap/>
            <w:vAlign w:val="center"/>
            <w:hideMark/>
          </w:tcPr>
          <w:p w14:paraId="7107D86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9 451 905,21</w:t>
            </w:r>
            <w:r w:rsidRPr="4F9BDBF9">
              <w:rPr>
                <w:rFonts w:eastAsiaTheme="minorEastAsia"/>
                <w:sz w:val="24"/>
                <w:szCs w:val="24"/>
                <w:lang w:eastAsia="sk-SK"/>
              </w:rPr>
              <w:t xml:space="preserve"> </w:t>
            </w:r>
          </w:p>
        </w:tc>
        <w:tc>
          <w:tcPr>
            <w:tcW w:w="729" w:type="pct"/>
            <w:shd w:val="clear" w:color="auto" w:fill="EFEFEF"/>
            <w:noWrap/>
            <w:vAlign w:val="center"/>
            <w:hideMark/>
          </w:tcPr>
          <w:p w14:paraId="5506CF4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7 689 034,59</w:t>
            </w:r>
            <w:r w:rsidRPr="4F9BDBF9">
              <w:rPr>
                <w:rFonts w:eastAsiaTheme="minorEastAsia"/>
                <w:sz w:val="24"/>
                <w:szCs w:val="24"/>
                <w:lang w:eastAsia="sk-SK"/>
              </w:rPr>
              <w:t xml:space="preserve"> </w:t>
            </w:r>
          </w:p>
        </w:tc>
        <w:tc>
          <w:tcPr>
            <w:tcW w:w="460" w:type="pct"/>
            <w:shd w:val="clear" w:color="auto" w:fill="EFEFEF"/>
            <w:noWrap/>
            <w:vAlign w:val="center"/>
            <w:hideMark/>
          </w:tcPr>
          <w:p w14:paraId="014B80A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81,35</w:t>
            </w:r>
            <w:r w:rsidRPr="4F9BDBF9">
              <w:rPr>
                <w:rFonts w:eastAsiaTheme="minorEastAsia"/>
                <w:sz w:val="24"/>
                <w:szCs w:val="24"/>
                <w:lang w:eastAsia="sk-SK"/>
              </w:rPr>
              <w:t xml:space="preserve"> </w:t>
            </w:r>
          </w:p>
        </w:tc>
        <w:tc>
          <w:tcPr>
            <w:tcW w:w="983" w:type="pct"/>
            <w:vMerge/>
            <w:vAlign w:val="center"/>
            <w:hideMark/>
          </w:tcPr>
          <w:p w14:paraId="4892A184"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7916F75" w14:textId="77777777" w:rsidTr="00875772">
        <w:trPr>
          <w:tblCellSpacing w:w="15" w:type="dxa"/>
        </w:trPr>
        <w:tc>
          <w:tcPr>
            <w:tcW w:w="341" w:type="pct"/>
            <w:shd w:val="clear" w:color="auto" w:fill="D9D9D9" w:themeFill="background1" w:themeFillShade="D9"/>
            <w:noWrap/>
            <w:vAlign w:val="center"/>
            <w:hideMark/>
          </w:tcPr>
          <w:p w14:paraId="27ACFD1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700</w:t>
            </w:r>
            <w:r w:rsidRPr="4F9BDBF9">
              <w:rPr>
                <w:rFonts w:eastAsiaTheme="minorEastAsia"/>
                <w:sz w:val="24"/>
                <w:szCs w:val="24"/>
                <w:lang w:eastAsia="sk-SK"/>
              </w:rPr>
              <w:t xml:space="preserve"> </w:t>
            </w:r>
          </w:p>
        </w:tc>
        <w:tc>
          <w:tcPr>
            <w:tcW w:w="1009" w:type="pct"/>
            <w:shd w:val="clear" w:color="auto" w:fill="D9D9D9" w:themeFill="background1" w:themeFillShade="D9"/>
            <w:vAlign w:val="center"/>
            <w:hideMark/>
          </w:tcPr>
          <w:p w14:paraId="3276E58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767" w:type="pct"/>
            <w:shd w:val="clear" w:color="auto" w:fill="D9D9D9" w:themeFill="background1" w:themeFillShade="D9"/>
            <w:noWrap/>
            <w:vAlign w:val="center"/>
            <w:hideMark/>
          </w:tcPr>
          <w:p w14:paraId="164F408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40 000,00</w:t>
            </w:r>
            <w:r w:rsidRPr="4F9BDBF9">
              <w:rPr>
                <w:rFonts w:eastAsiaTheme="minorEastAsia"/>
                <w:sz w:val="24"/>
                <w:szCs w:val="24"/>
                <w:lang w:eastAsia="sk-SK"/>
              </w:rPr>
              <w:t xml:space="preserve"> </w:t>
            </w:r>
          </w:p>
        </w:tc>
        <w:tc>
          <w:tcPr>
            <w:tcW w:w="597" w:type="pct"/>
            <w:shd w:val="clear" w:color="auto" w:fill="D9D9D9" w:themeFill="background1" w:themeFillShade="D9"/>
            <w:noWrap/>
            <w:vAlign w:val="center"/>
            <w:hideMark/>
          </w:tcPr>
          <w:p w14:paraId="796B83D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46 065,20</w:t>
            </w:r>
            <w:r w:rsidRPr="4F9BDBF9">
              <w:rPr>
                <w:rFonts w:eastAsiaTheme="minorEastAsia"/>
                <w:sz w:val="24"/>
                <w:szCs w:val="24"/>
                <w:lang w:eastAsia="sk-SK"/>
              </w:rPr>
              <w:t xml:space="preserve"> </w:t>
            </w:r>
          </w:p>
        </w:tc>
        <w:tc>
          <w:tcPr>
            <w:tcW w:w="729" w:type="pct"/>
            <w:shd w:val="clear" w:color="auto" w:fill="D9D9D9" w:themeFill="background1" w:themeFillShade="D9"/>
            <w:noWrap/>
            <w:vAlign w:val="center"/>
            <w:hideMark/>
          </w:tcPr>
          <w:p w14:paraId="2CAE82B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19 101,00</w:t>
            </w:r>
            <w:r w:rsidRPr="4F9BDBF9">
              <w:rPr>
                <w:rFonts w:eastAsiaTheme="minorEastAsia"/>
                <w:sz w:val="24"/>
                <w:szCs w:val="24"/>
                <w:lang w:eastAsia="sk-SK"/>
              </w:rPr>
              <w:t xml:space="preserve"> </w:t>
            </w:r>
          </w:p>
        </w:tc>
        <w:tc>
          <w:tcPr>
            <w:tcW w:w="460" w:type="pct"/>
            <w:shd w:val="clear" w:color="auto" w:fill="D9D9D9" w:themeFill="background1" w:themeFillShade="D9"/>
            <w:noWrap/>
            <w:vAlign w:val="center"/>
            <w:hideMark/>
          </w:tcPr>
          <w:p w14:paraId="3DD865D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41,47</w:t>
            </w:r>
            <w:r w:rsidRPr="4F9BDBF9">
              <w:rPr>
                <w:rFonts w:eastAsiaTheme="minorEastAsia"/>
                <w:sz w:val="24"/>
                <w:szCs w:val="24"/>
                <w:lang w:eastAsia="sk-SK"/>
              </w:rPr>
              <w:t xml:space="preserve"> </w:t>
            </w:r>
          </w:p>
        </w:tc>
        <w:tc>
          <w:tcPr>
            <w:tcW w:w="983" w:type="pct"/>
            <w:vMerge/>
            <w:vAlign w:val="center"/>
            <w:hideMark/>
          </w:tcPr>
          <w:p w14:paraId="31C7C305"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A507884" w14:textId="77777777" w:rsidTr="00875772">
        <w:trPr>
          <w:tblCellSpacing w:w="15" w:type="dxa"/>
        </w:trPr>
        <w:tc>
          <w:tcPr>
            <w:tcW w:w="341" w:type="pct"/>
            <w:shd w:val="clear" w:color="auto" w:fill="EFEFEF"/>
            <w:noWrap/>
            <w:vAlign w:val="center"/>
            <w:hideMark/>
          </w:tcPr>
          <w:p w14:paraId="016DB0C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710</w:t>
            </w:r>
            <w:r w:rsidRPr="4F9BDBF9">
              <w:rPr>
                <w:rFonts w:eastAsiaTheme="minorEastAsia"/>
                <w:sz w:val="24"/>
                <w:szCs w:val="24"/>
                <w:lang w:eastAsia="sk-SK"/>
              </w:rPr>
              <w:t xml:space="preserve"> </w:t>
            </w:r>
          </w:p>
        </w:tc>
        <w:tc>
          <w:tcPr>
            <w:tcW w:w="1009" w:type="pct"/>
            <w:shd w:val="clear" w:color="auto" w:fill="EFEFEF"/>
            <w:vAlign w:val="center"/>
            <w:hideMark/>
          </w:tcPr>
          <w:p w14:paraId="68236A87"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767" w:type="pct"/>
            <w:shd w:val="clear" w:color="auto" w:fill="EFEFEF"/>
            <w:noWrap/>
            <w:vAlign w:val="center"/>
            <w:hideMark/>
          </w:tcPr>
          <w:p w14:paraId="31BAABA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40 000,00</w:t>
            </w:r>
            <w:r w:rsidRPr="4F9BDBF9">
              <w:rPr>
                <w:rFonts w:eastAsiaTheme="minorEastAsia"/>
                <w:sz w:val="24"/>
                <w:szCs w:val="24"/>
                <w:lang w:eastAsia="sk-SK"/>
              </w:rPr>
              <w:t xml:space="preserve"> </w:t>
            </w:r>
          </w:p>
        </w:tc>
        <w:tc>
          <w:tcPr>
            <w:tcW w:w="597" w:type="pct"/>
            <w:shd w:val="clear" w:color="auto" w:fill="EFEFEF"/>
            <w:noWrap/>
            <w:vAlign w:val="center"/>
            <w:hideMark/>
          </w:tcPr>
          <w:p w14:paraId="6157756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46 065,20</w:t>
            </w:r>
            <w:r w:rsidRPr="4F9BDBF9">
              <w:rPr>
                <w:rFonts w:eastAsiaTheme="minorEastAsia"/>
                <w:sz w:val="24"/>
                <w:szCs w:val="24"/>
                <w:lang w:eastAsia="sk-SK"/>
              </w:rPr>
              <w:t xml:space="preserve"> </w:t>
            </w:r>
          </w:p>
        </w:tc>
        <w:tc>
          <w:tcPr>
            <w:tcW w:w="729" w:type="pct"/>
            <w:shd w:val="clear" w:color="auto" w:fill="EFEFEF"/>
            <w:noWrap/>
            <w:vAlign w:val="center"/>
            <w:hideMark/>
          </w:tcPr>
          <w:p w14:paraId="73403E3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19 101,00</w:t>
            </w:r>
            <w:r w:rsidRPr="4F9BDBF9">
              <w:rPr>
                <w:rFonts w:eastAsiaTheme="minorEastAsia"/>
                <w:sz w:val="24"/>
                <w:szCs w:val="24"/>
                <w:lang w:eastAsia="sk-SK"/>
              </w:rPr>
              <w:t xml:space="preserve"> </w:t>
            </w:r>
          </w:p>
        </w:tc>
        <w:tc>
          <w:tcPr>
            <w:tcW w:w="460" w:type="pct"/>
            <w:shd w:val="clear" w:color="auto" w:fill="EFEFEF"/>
            <w:noWrap/>
            <w:vAlign w:val="center"/>
            <w:hideMark/>
          </w:tcPr>
          <w:p w14:paraId="02A0CF7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41,47</w:t>
            </w:r>
            <w:r w:rsidRPr="4F9BDBF9">
              <w:rPr>
                <w:rFonts w:eastAsiaTheme="minorEastAsia"/>
                <w:sz w:val="24"/>
                <w:szCs w:val="24"/>
                <w:lang w:eastAsia="sk-SK"/>
              </w:rPr>
              <w:t xml:space="preserve"> </w:t>
            </w:r>
          </w:p>
        </w:tc>
        <w:tc>
          <w:tcPr>
            <w:tcW w:w="983" w:type="pct"/>
            <w:vMerge/>
            <w:vAlign w:val="center"/>
            <w:hideMark/>
          </w:tcPr>
          <w:p w14:paraId="6E436397" w14:textId="77777777" w:rsidR="00875772" w:rsidRPr="00116D4B" w:rsidRDefault="00875772" w:rsidP="00875772">
            <w:pPr>
              <w:spacing w:after="0" w:line="240" w:lineRule="auto"/>
              <w:rPr>
                <w:rFonts w:ascii="Times New Roman" w:hAnsi="Times New Roman"/>
                <w:sz w:val="24"/>
                <w:szCs w:val="24"/>
                <w:lang w:eastAsia="sk-SK"/>
              </w:rPr>
            </w:pPr>
          </w:p>
        </w:tc>
      </w:tr>
    </w:tbl>
    <w:p w14:paraId="6C2C36A5" w14:textId="77777777" w:rsidR="00875772" w:rsidRPr="00116D4B" w:rsidRDefault="00875772" w:rsidP="00875772">
      <w:pPr>
        <w:spacing w:before="100" w:beforeAutospacing="1" w:after="100" w:afterAutospacing="1" w:line="240" w:lineRule="auto"/>
        <w:rPr>
          <w:rFonts w:eastAsiaTheme="minorEastAsia"/>
          <w:lang w:eastAsia="sk-SK"/>
        </w:rPr>
      </w:pPr>
      <w:r w:rsidRPr="4F9BDBF9">
        <w:rPr>
          <w:rFonts w:eastAsiaTheme="minorEastAsia"/>
          <w:b/>
          <w:bCs/>
          <w:lang w:eastAsia="sk-SK"/>
        </w:rPr>
        <w:t xml:space="preserve">Komentár: </w:t>
      </w:r>
      <w:r w:rsidRPr="4F9BDBF9">
        <w:rPr>
          <w:rFonts w:eastAsiaTheme="minorEastAsia"/>
          <w:lang w:eastAsia="sk-SK"/>
        </w:rPr>
        <w:t>BSK zabezpečuje alebo poskytuje prostredníctvom zariadení vo svojej zriaďovateľskej pôsobnosti a v spolupráci s obcami a neštátnymi subjektmi:</w:t>
      </w:r>
      <w:r>
        <w:br/>
      </w:r>
      <w:r w:rsidRPr="4F9BDBF9">
        <w:rPr>
          <w:rFonts w:eastAsiaTheme="minorEastAsia"/>
          <w:lang w:eastAsia="sk-SK"/>
        </w:rPr>
        <w:t>• sociálne služby,</w:t>
      </w:r>
      <w:r>
        <w:br/>
      </w:r>
      <w:r w:rsidRPr="4F9BDBF9">
        <w:rPr>
          <w:rFonts w:eastAsiaTheme="minorEastAsia"/>
          <w:lang w:eastAsia="sk-SK"/>
        </w:rPr>
        <w:t>• sociálnoprávnu ochranu detí a sociálnu kuratelu.</w:t>
      </w:r>
      <w:r>
        <w:br/>
      </w:r>
    </w:p>
    <w:p w14:paraId="773937D9" w14:textId="77777777" w:rsidR="00875772" w:rsidRPr="00116D4B" w:rsidRDefault="00875772" w:rsidP="00875772">
      <w:pPr>
        <w:spacing w:before="100" w:beforeAutospacing="1" w:after="100" w:afterAutospacing="1" w:line="240" w:lineRule="auto"/>
        <w:outlineLvl w:val="2"/>
        <w:rPr>
          <w:rFonts w:eastAsiaTheme="minorEastAsia"/>
          <w:b/>
          <w:bCs/>
          <w:color w:val="4F6228"/>
          <w:sz w:val="27"/>
          <w:szCs w:val="27"/>
          <w:lang w:eastAsia="sk-SK"/>
        </w:rPr>
      </w:pPr>
      <w:r w:rsidRPr="4F9BDBF9">
        <w:rPr>
          <w:rFonts w:eastAsiaTheme="minorEastAsia"/>
          <w:b/>
          <w:bCs/>
          <w:color w:val="4F6228"/>
          <w:sz w:val="27"/>
          <w:szCs w:val="27"/>
          <w:lang w:eastAsia="sk-SK"/>
        </w:rPr>
        <w:t>Podprogram 11.1: Zariadenia sociálnych služieb</w:t>
      </w:r>
    </w:p>
    <w:p w14:paraId="69206CDA" w14:textId="77777777" w:rsidR="00875772" w:rsidRPr="00116D4B" w:rsidRDefault="00875772" w:rsidP="00875772">
      <w:pPr>
        <w:spacing w:before="100" w:beforeAutospacing="1" w:after="100" w:afterAutospacing="1" w:line="240" w:lineRule="auto"/>
        <w:rPr>
          <w:rFonts w:eastAsiaTheme="minorEastAsia"/>
          <w:sz w:val="24"/>
          <w:szCs w:val="24"/>
          <w:lang w:eastAsia="sk-SK"/>
        </w:rPr>
      </w:pPr>
      <w:r w:rsidRPr="4F9BDBF9">
        <w:rPr>
          <w:rFonts w:eastAsiaTheme="minorEastAsia"/>
          <w:b/>
          <w:bCs/>
          <w:sz w:val="24"/>
          <w:szCs w:val="24"/>
          <w:lang w:eastAsia="sk-SK"/>
        </w:rPr>
        <w:t xml:space="preserve">Zámer: </w:t>
      </w:r>
      <w:r w:rsidRPr="4F9BDBF9">
        <w:rPr>
          <w:rFonts w:eastAsiaTheme="minorEastAsia"/>
          <w:sz w:val="24"/>
          <w:szCs w:val="24"/>
          <w:lang w:eastAsia="sk-SK"/>
        </w:rPr>
        <w:t>Odborné, kvalitné a dostupné sociálne služby v regióne BSK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56"/>
        <w:gridCol w:w="2141"/>
        <w:gridCol w:w="1218"/>
        <w:gridCol w:w="1697"/>
        <w:gridCol w:w="1417"/>
        <w:gridCol w:w="993"/>
        <w:gridCol w:w="2244"/>
      </w:tblGrid>
      <w:tr w:rsidR="00875772" w:rsidRPr="00116D4B" w14:paraId="7FD38280" w14:textId="77777777" w:rsidTr="00875772">
        <w:trPr>
          <w:tblCellSpacing w:w="15" w:type="dxa"/>
        </w:trPr>
        <w:tc>
          <w:tcPr>
            <w:tcW w:w="339" w:type="pct"/>
            <w:shd w:val="clear" w:color="auto" w:fill="C6DBF7"/>
            <w:vAlign w:val="center"/>
            <w:hideMark/>
          </w:tcPr>
          <w:p w14:paraId="1BFCCC2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009" w:type="pct"/>
            <w:shd w:val="clear" w:color="auto" w:fill="C6DBF7"/>
            <w:vAlign w:val="center"/>
            <w:hideMark/>
          </w:tcPr>
          <w:p w14:paraId="4C2FB4C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568" w:type="pct"/>
            <w:shd w:val="clear" w:color="auto" w:fill="C6DBF7"/>
            <w:vAlign w:val="center"/>
            <w:hideMark/>
          </w:tcPr>
          <w:p w14:paraId="5D37F9C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797" w:type="pct"/>
            <w:shd w:val="clear" w:color="auto" w:fill="C6DBF7"/>
            <w:vAlign w:val="center"/>
            <w:hideMark/>
          </w:tcPr>
          <w:p w14:paraId="477566C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663" w:type="pct"/>
            <w:shd w:val="clear" w:color="auto" w:fill="C6DBF7"/>
            <w:vAlign w:val="center"/>
            <w:hideMark/>
          </w:tcPr>
          <w:p w14:paraId="7DF508A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460" w:type="pct"/>
            <w:shd w:val="clear" w:color="auto" w:fill="C6DBF7"/>
            <w:vAlign w:val="center"/>
            <w:hideMark/>
          </w:tcPr>
          <w:p w14:paraId="3C59F47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1051" w:type="pct"/>
            <w:shd w:val="clear" w:color="auto" w:fill="C6DBF7"/>
            <w:vAlign w:val="center"/>
            <w:hideMark/>
          </w:tcPr>
          <w:p w14:paraId="6205492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2E300AAA" w14:textId="77777777" w:rsidTr="00875772">
        <w:trPr>
          <w:tblCellSpacing w:w="15" w:type="dxa"/>
        </w:trPr>
        <w:tc>
          <w:tcPr>
            <w:tcW w:w="339" w:type="pct"/>
            <w:shd w:val="clear" w:color="auto" w:fill="D9D9D9" w:themeFill="background1" w:themeFillShade="D9"/>
            <w:noWrap/>
            <w:vAlign w:val="center"/>
            <w:hideMark/>
          </w:tcPr>
          <w:p w14:paraId="704270F1" w14:textId="77777777" w:rsidR="00875772" w:rsidRPr="00116D4B" w:rsidRDefault="00875772" w:rsidP="00875772">
            <w:pPr>
              <w:spacing w:after="0" w:line="240" w:lineRule="auto"/>
              <w:jc w:val="center"/>
              <w:rPr>
                <w:rFonts w:eastAsiaTheme="minorEastAsia"/>
                <w:sz w:val="24"/>
                <w:szCs w:val="24"/>
                <w:lang w:eastAsia="sk-SK"/>
              </w:rPr>
            </w:pPr>
          </w:p>
        </w:tc>
        <w:tc>
          <w:tcPr>
            <w:tcW w:w="1009" w:type="pct"/>
            <w:shd w:val="clear" w:color="auto" w:fill="D9D9D9" w:themeFill="background1" w:themeFillShade="D9"/>
            <w:vAlign w:val="center"/>
            <w:hideMark/>
          </w:tcPr>
          <w:p w14:paraId="3FF3C4E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568" w:type="pct"/>
            <w:shd w:val="clear" w:color="auto" w:fill="D9D9D9" w:themeFill="background1" w:themeFillShade="D9"/>
            <w:noWrap/>
            <w:vAlign w:val="center"/>
            <w:hideMark/>
          </w:tcPr>
          <w:p w14:paraId="05D6062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22 956 522,36</w:t>
            </w:r>
            <w:r w:rsidRPr="4F9BDBF9">
              <w:rPr>
                <w:rFonts w:eastAsiaTheme="minorEastAsia"/>
                <w:sz w:val="24"/>
                <w:szCs w:val="24"/>
                <w:lang w:eastAsia="sk-SK"/>
              </w:rPr>
              <w:t xml:space="preserve"> </w:t>
            </w:r>
          </w:p>
        </w:tc>
        <w:tc>
          <w:tcPr>
            <w:tcW w:w="797" w:type="pct"/>
            <w:shd w:val="clear" w:color="auto" w:fill="D9D9D9" w:themeFill="background1" w:themeFillShade="D9"/>
            <w:noWrap/>
            <w:vAlign w:val="center"/>
            <w:hideMark/>
          </w:tcPr>
          <w:p w14:paraId="7EB5A72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23 984 407,95</w:t>
            </w:r>
            <w:r w:rsidRPr="4F9BDBF9">
              <w:rPr>
                <w:rFonts w:eastAsiaTheme="minorEastAsia"/>
                <w:sz w:val="24"/>
                <w:szCs w:val="24"/>
                <w:lang w:eastAsia="sk-SK"/>
              </w:rPr>
              <w:t xml:space="preserve"> </w:t>
            </w:r>
          </w:p>
        </w:tc>
        <w:tc>
          <w:tcPr>
            <w:tcW w:w="663" w:type="pct"/>
            <w:shd w:val="clear" w:color="auto" w:fill="D9D9D9" w:themeFill="background1" w:themeFillShade="D9"/>
            <w:noWrap/>
            <w:vAlign w:val="center"/>
            <w:hideMark/>
          </w:tcPr>
          <w:p w14:paraId="19DB7A5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23 215 805,85</w:t>
            </w:r>
            <w:r w:rsidRPr="4F9BDBF9">
              <w:rPr>
                <w:rFonts w:eastAsiaTheme="minorEastAsia"/>
                <w:sz w:val="24"/>
                <w:szCs w:val="24"/>
                <w:lang w:eastAsia="sk-SK"/>
              </w:rPr>
              <w:t xml:space="preserve"> </w:t>
            </w:r>
          </w:p>
        </w:tc>
        <w:tc>
          <w:tcPr>
            <w:tcW w:w="460" w:type="pct"/>
            <w:shd w:val="clear" w:color="auto" w:fill="D9D9D9" w:themeFill="background1" w:themeFillShade="D9"/>
            <w:noWrap/>
            <w:vAlign w:val="center"/>
            <w:hideMark/>
          </w:tcPr>
          <w:p w14:paraId="13F0FB0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96,80</w:t>
            </w:r>
            <w:r w:rsidRPr="4F9BDBF9">
              <w:rPr>
                <w:rFonts w:eastAsiaTheme="minorEastAsia"/>
                <w:sz w:val="24"/>
                <w:szCs w:val="24"/>
                <w:lang w:eastAsia="sk-SK"/>
              </w:rPr>
              <w:t xml:space="preserve"> </w:t>
            </w:r>
          </w:p>
        </w:tc>
        <w:tc>
          <w:tcPr>
            <w:tcW w:w="1051" w:type="pct"/>
            <w:shd w:val="clear" w:color="auto" w:fill="D9D9D9" w:themeFill="background1" w:themeFillShade="D9"/>
            <w:vAlign w:val="center"/>
            <w:hideMark/>
          </w:tcPr>
          <w:p w14:paraId="1EDA0CF6" w14:textId="77777777" w:rsidR="00875772" w:rsidRPr="00116D4B" w:rsidRDefault="00875772" w:rsidP="00875772">
            <w:pPr>
              <w:spacing w:after="0" w:line="240" w:lineRule="auto"/>
              <w:rPr>
                <w:rFonts w:eastAsiaTheme="minorEastAsia"/>
                <w:sz w:val="20"/>
                <w:szCs w:val="20"/>
                <w:lang w:eastAsia="sk-SK"/>
              </w:rPr>
            </w:pPr>
          </w:p>
        </w:tc>
      </w:tr>
      <w:tr w:rsidR="00875772" w:rsidRPr="00116D4B" w14:paraId="5AD682D7" w14:textId="77777777" w:rsidTr="00875772">
        <w:trPr>
          <w:tblCellSpacing w:w="15" w:type="dxa"/>
        </w:trPr>
        <w:tc>
          <w:tcPr>
            <w:tcW w:w="339" w:type="pct"/>
            <w:shd w:val="clear" w:color="auto" w:fill="D9D9D9" w:themeFill="background1" w:themeFillShade="D9"/>
            <w:noWrap/>
            <w:vAlign w:val="center"/>
            <w:hideMark/>
          </w:tcPr>
          <w:p w14:paraId="0415F8A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009" w:type="pct"/>
            <w:shd w:val="clear" w:color="auto" w:fill="D9D9D9" w:themeFill="background1" w:themeFillShade="D9"/>
            <w:vAlign w:val="center"/>
            <w:hideMark/>
          </w:tcPr>
          <w:p w14:paraId="59F19AF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568" w:type="pct"/>
            <w:shd w:val="clear" w:color="auto" w:fill="D9D9D9" w:themeFill="background1" w:themeFillShade="D9"/>
            <w:noWrap/>
            <w:vAlign w:val="center"/>
            <w:hideMark/>
          </w:tcPr>
          <w:p w14:paraId="24D24C8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22 956 522,36</w:t>
            </w:r>
            <w:r w:rsidRPr="4F9BDBF9">
              <w:rPr>
                <w:rFonts w:eastAsiaTheme="minorEastAsia"/>
                <w:sz w:val="24"/>
                <w:szCs w:val="24"/>
                <w:lang w:eastAsia="sk-SK"/>
              </w:rPr>
              <w:t xml:space="preserve"> </w:t>
            </w:r>
          </w:p>
        </w:tc>
        <w:tc>
          <w:tcPr>
            <w:tcW w:w="797" w:type="pct"/>
            <w:shd w:val="clear" w:color="auto" w:fill="D9D9D9" w:themeFill="background1" w:themeFillShade="D9"/>
            <w:noWrap/>
            <w:vAlign w:val="center"/>
            <w:hideMark/>
          </w:tcPr>
          <w:p w14:paraId="32CE67E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23 965 103,95</w:t>
            </w:r>
            <w:r w:rsidRPr="4F9BDBF9">
              <w:rPr>
                <w:rFonts w:eastAsiaTheme="minorEastAsia"/>
                <w:sz w:val="24"/>
                <w:szCs w:val="24"/>
                <w:lang w:eastAsia="sk-SK"/>
              </w:rPr>
              <w:t xml:space="preserve"> </w:t>
            </w:r>
          </w:p>
        </w:tc>
        <w:tc>
          <w:tcPr>
            <w:tcW w:w="663" w:type="pct"/>
            <w:shd w:val="clear" w:color="auto" w:fill="D9D9D9" w:themeFill="background1" w:themeFillShade="D9"/>
            <w:noWrap/>
            <w:vAlign w:val="center"/>
            <w:hideMark/>
          </w:tcPr>
          <w:p w14:paraId="3374DDB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23 196 704,85</w:t>
            </w:r>
            <w:r w:rsidRPr="4F9BDBF9">
              <w:rPr>
                <w:rFonts w:eastAsiaTheme="minorEastAsia"/>
                <w:sz w:val="24"/>
                <w:szCs w:val="24"/>
                <w:lang w:eastAsia="sk-SK"/>
              </w:rPr>
              <w:t xml:space="preserve"> </w:t>
            </w:r>
          </w:p>
        </w:tc>
        <w:tc>
          <w:tcPr>
            <w:tcW w:w="460" w:type="pct"/>
            <w:shd w:val="clear" w:color="auto" w:fill="D9D9D9" w:themeFill="background1" w:themeFillShade="D9"/>
            <w:noWrap/>
            <w:vAlign w:val="center"/>
            <w:hideMark/>
          </w:tcPr>
          <w:p w14:paraId="256B66D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96,79</w:t>
            </w:r>
            <w:r w:rsidRPr="4F9BDBF9">
              <w:rPr>
                <w:rFonts w:eastAsiaTheme="minorEastAsia"/>
                <w:sz w:val="24"/>
                <w:szCs w:val="24"/>
                <w:lang w:eastAsia="sk-SK"/>
              </w:rPr>
              <w:t xml:space="preserve"> </w:t>
            </w:r>
          </w:p>
        </w:tc>
        <w:tc>
          <w:tcPr>
            <w:tcW w:w="1051" w:type="pct"/>
            <w:vMerge w:val="restart"/>
            <w:shd w:val="clear" w:color="auto" w:fill="D9D9D9" w:themeFill="background1" w:themeFillShade="D9"/>
            <w:vAlign w:val="center"/>
            <w:hideMark/>
          </w:tcPr>
          <w:p w14:paraId="24541A86" w14:textId="77777777" w:rsidR="00875772" w:rsidRPr="00116D4B" w:rsidRDefault="00875772" w:rsidP="00875772">
            <w:pPr>
              <w:spacing w:after="0" w:line="240" w:lineRule="auto"/>
              <w:jc w:val="center"/>
              <w:rPr>
                <w:rFonts w:eastAsia="Calibri" w:cs="Calibri"/>
                <w:color w:val="000000" w:themeColor="text1"/>
                <w:sz w:val="20"/>
                <w:szCs w:val="20"/>
              </w:rPr>
            </w:pPr>
            <w:r w:rsidRPr="4F9BDBF9">
              <w:rPr>
                <w:rFonts w:eastAsia="Calibri" w:cs="Calibri"/>
                <w:b/>
                <w:bCs/>
                <w:color w:val="000000" w:themeColor="text1"/>
                <w:sz w:val="20"/>
                <w:szCs w:val="20"/>
              </w:rPr>
              <w:t>Zmeny rozpočtu</w:t>
            </w:r>
          </w:p>
          <w:p w14:paraId="498A3BCE" w14:textId="77777777" w:rsidR="00875772" w:rsidRPr="00116D4B" w:rsidRDefault="00875772" w:rsidP="00875772">
            <w:pPr>
              <w:spacing w:after="0" w:line="240" w:lineRule="auto"/>
              <w:jc w:val="center"/>
              <w:rPr>
                <w:rFonts w:eastAsia="Calibri" w:cs="Calibri"/>
                <w:color w:val="000000" w:themeColor="text1"/>
                <w:sz w:val="20"/>
                <w:szCs w:val="20"/>
              </w:rPr>
            </w:pPr>
            <w:r w:rsidRPr="4F9BDBF9">
              <w:rPr>
                <w:rFonts w:eastAsia="Calibri" w:cs="Calibri"/>
                <w:b/>
                <w:bCs/>
                <w:color w:val="000000" w:themeColor="text1"/>
                <w:sz w:val="20"/>
                <w:szCs w:val="20"/>
              </w:rPr>
              <w:t xml:space="preserve">sa nachádzajú </w:t>
            </w:r>
          </w:p>
          <w:p w14:paraId="57251F5B" w14:textId="77777777" w:rsidR="00875772" w:rsidRPr="00116D4B" w:rsidRDefault="00875772" w:rsidP="00875772">
            <w:pPr>
              <w:spacing w:after="0" w:line="240" w:lineRule="auto"/>
              <w:jc w:val="center"/>
              <w:rPr>
                <w:rFonts w:eastAsia="Calibri" w:cs="Calibri"/>
                <w:color w:val="000000" w:themeColor="text1"/>
                <w:sz w:val="20"/>
                <w:szCs w:val="20"/>
              </w:rPr>
            </w:pPr>
            <w:r w:rsidRPr="4F9BDBF9">
              <w:rPr>
                <w:rFonts w:eastAsia="Calibri" w:cs="Calibri"/>
                <w:b/>
                <w:bCs/>
                <w:color w:val="000000" w:themeColor="text1"/>
                <w:sz w:val="20"/>
                <w:szCs w:val="20"/>
              </w:rPr>
              <w:t>pri prvkoch.</w:t>
            </w:r>
          </w:p>
          <w:p w14:paraId="4630D7E0" w14:textId="77777777" w:rsidR="00875772" w:rsidRPr="00116D4B" w:rsidRDefault="00875772" w:rsidP="00875772">
            <w:pPr>
              <w:spacing w:after="0" w:line="240" w:lineRule="auto"/>
              <w:jc w:val="center"/>
              <w:rPr>
                <w:rFonts w:eastAsiaTheme="minorEastAsia"/>
                <w:sz w:val="20"/>
                <w:szCs w:val="20"/>
                <w:lang w:eastAsia="sk-SK"/>
              </w:rPr>
            </w:pPr>
          </w:p>
        </w:tc>
      </w:tr>
      <w:tr w:rsidR="00875772" w:rsidRPr="00116D4B" w14:paraId="084779E0" w14:textId="77777777" w:rsidTr="00875772">
        <w:trPr>
          <w:tblCellSpacing w:w="15" w:type="dxa"/>
        </w:trPr>
        <w:tc>
          <w:tcPr>
            <w:tcW w:w="339" w:type="pct"/>
            <w:shd w:val="clear" w:color="auto" w:fill="EFEFEF"/>
            <w:noWrap/>
            <w:vAlign w:val="center"/>
            <w:hideMark/>
          </w:tcPr>
          <w:p w14:paraId="7266637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009" w:type="pct"/>
            <w:shd w:val="clear" w:color="auto" w:fill="EFEFEF"/>
            <w:vAlign w:val="center"/>
            <w:hideMark/>
          </w:tcPr>
          <w:p w14:paraId="5D02EBF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568" w:type="pct"/>
            <w:shd w:val="clear" w:color="auto" w:fill="EFEFEF"/>
            <w:noWrap/>
            <w:vAlign w:val="center"/>
            <w:hideMark/>
          </w:tcPr>
          <w:p w14:paraId="5423B98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13 135 111,42</w:t>
            </w:r>
            <w:r w:rsidRPr="4F9BDBF9">
              <w:rPr>
                <w:rFonts w:eastAsiaTheme="minorEastAsia"/>
                <w:sz w:val="24"/>
                <w:szCs w:val="24"/>
                <w:lang w:eastAsia="sk-SK"/>
              </w:rPr>
              <w:t xml:space="preserve"> </w:t>
            </w:r>
          </w:p>
        </w:tc>
        <w:tc>
          <w:tcPr>
            <w:tcW w:w="797" w:type="pct"/>
            <w:shd w:val="clear" w:color="auto" w:fill="EFEFEF"/>
            <w:noWrap/>
            <w:vAlign w:val="center"/>
            <w:hideMark/>
          </w:tcPr>
          <w:p w14:paraId="799226F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13 866 414,10</w:t>
            </w:r>
            <w:r w:rsidRPr="4F9BDBF9">
              <w:rPr>
                <w:rFonts w:eastAsiaTheme="minorEastAsia"/>
                <w:sz w:val="24"/>
                <w:szCs w:val="24"/>
                <w:lang w:eastAsia="sk-SK"/>
              </w:rPr>
              <w:t xml:space="preserve"> </w:t>
            </w:r>
          </w:p>
        </w:tc>
        <w:tc>
          <w:tcPr>
            <w:tcW w:w="663" w:type="pct"/>
            <w:shd w:val="clear" w:color="auto" w:fill="EFEFEF"/>
            <w:noWrap/>
            <w:vAlign w:val="center"/>
            <w:hideMark/>
          </w:tcPr>
          <w:p w14:paraId="76EED72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13 552 609,63</w:t>
            </w:r>
            <w:r w:rsidRPr="4F9BDBF9">
              <w:rPr>
                <w:rFonts w:eastAsiaTheme="minorEastAsia"/>
                <w:sz w:val="24"/>
                <w:szCs w:val="24"/>
                <w:lang w:eastAsia="sk-SK"/>
              </w:rPr>
              <w:t xml:space="preserve"> </w:t>
            </w:r>
          </w:p>
        </w:tc>
        <w:tc>
          <w:tcPr>
            <w:tcW w:w="460" w:type="pct"/>
            <w:shd w:val="clear" w:color="auto" w:fill="EFEFEF"/>
            <w:noWrap/>
            <w:vAlign w:val="center"/>
            <w:hideMark/>
          </w:tcPr>
          <w:p w14:paraId="43C00CB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97,74</w:t>
            </w:r>
            <w:r w:rsidRPr="4F9BDBF9">
              <w:rPr>
                <w:rFonts w:eastAsiaTheme="minorEastAsia"/>
                <w:sz w:val="24"/>
                <w:szCs w:val="24"/>
                <w:lang w:eastAsia="sk-SK"/>
              </w:rPr>
              <w:t xml:space="preserve"> </w:t>
            </w:r>
          </w:p>
        </w:tc>
        <w:tc>
          <w:tcPr>
            <w:tcW w:w="1051" w:type="pct"/>
            <w:vMerge/>
            <w:vAlign w:val="center"/>
            <w:hideMark/>
          </w:tcPr>
          <w:p w14:paraId="39B5A353"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7ADED60" w14:textId="77777777" w:rsidTr="00875772">
        <w:trPr>
          <w:tblCellSpacing w:w="15" w:type="dxa"/>
        </w:trPr>
        <w:tc>
          <w:tcPr>
            <w:tcW w:w="339" w:type="pct"/>
            <w:shd w:val="clear" w:color="auto" w:fill="EFEFEF"/>
            <w:noWrap/>
            <w:vAlign w:val="center"/>
            <w:hideMark/>
          </w:tcPr>
          <w:p w14:paraId="391B4E3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009" w:type="pct"/>
            <w:shd w:val="clear" w:color="auto" w:fill="EFEFEF"/>
            <w:vAlign w:val="center"/>
            <w:hideMark/>
          </w:tcPr>
          <w:p w14:paraId="67950EB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568" w:type="pct"/>
            <w:shd w:val="clear" w:color="auto" w:fill="EFEFEF"/>
            <w:noWrap/>
            <w:vAlign w:val="center"/>
            <w:hideMark/>
          </w:tcPr>
          <w:p w14:paraId="5C616D4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4 772 324,49</w:t>
            </w:r>
            <w:r w:rsidRPr="4F9BDBF9">
              <w:rPr>
                <w:rFonts w:eastAsiaTheme="minorEastAsia"/>
                <w:sz w:val="24"/>
                <w:szCs w:val="24"/>
                <w:lang w:eastAsia="sk-SK"/>
              </w:rPr>
              <w:t xml:space="preserve"> </w:t>
            </w:r>
          </w:p>
        </w:tc>
        <w:tc>
          <w:tcPr>
            <w:tcW w:w="797" w:type="pct"/>
            <w:shd w:val="clear" w:color="auto" w:fill="EFEFEF"/>
            <w:noWrap/>
            <w:vAlign w:val="center"/>
            <w:hideMark/>
          </w:tcPr>
          <w:p w14:paraId="20AAE40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4 997 000,80</w:t>
            </w:r>
            <w:r w:rsidRPr="4F9BDBF9">
              <w:rPr>
                <w:rFonts w:eastAsiaTheme="minorEastAsia"/>
                <w:sz w:val="24"/>
                <w:szCs w:val="24"/>
                <w:lang w:eastAsia="sk-SK"/>
              </w:rPr>
              <w:t xml:space="preserve"> </w:t>
            </w:r>
          </w:p>
        </w:tc>
        <w:tc>
          <w:tcPr>
            <w:tcW w:w="663" w:type="pct"/>
            <w:shd w:val="clear" w:color="auto" w:fill="EFEFEF"/>
            <w:noWrap/>
            <w:vAlign w:val="center"/>
            <w:hideMark/>
          </w:tcPr>
          <w:p w14:paraId="56FA14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4 811 046,33</w:t>
            </w:r>
            <w:r w:rsidRPr="4F9BDBF9">
              <w:rPr>
                <w:rFonts w:eastAsiaTheme="minorEastAsia"/>
                <w:sz w:val="24"/>
                <w:szCs w:val="24"/>
                <w:lang w:eastAsia="sk-SK"/>
              </w:rPr>
              <w:t xml:space="preserve"> </w:t>
            </w:r>
          </w:p>
        </w:tc>
        <w:tc>
          <w:tcPr>
            <w:tcW w:w="460" w:type="pct"/>
            <w:shd w:val="clear" w:color="auto" w:fill="EFEFEF"/>
            <w:noWrap/>
            <w:vAlign w:val="center"/>
            <w:hideMark/>
          </w:tcPr>
          <w:p w14:paraId="52DFB26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96,28</w:t>
            </w:r>
            <w:r w:rsidRPr="4F9BDBF9">
              <w:rPr>
                <w:rFonts w:eastAsiaTheme="minorEastAsia"/>
                <w:sz w:val="24"/>
                <w:szCs w:val="24"/>
                <w:lang w:eastAsia="sk-SK"/>
              </w:rPr>
              <w:t xml:space="preserve"> </w:t>
            </w:r>
          </w:p>
        </w:tc>
        <w:tc>
          <w:tcPr>
            <w:tcW w:w="1051" w:type="pct"/>
            <w:vMerge/>
            <w:vAlign w:val="center"/>
            <w:hideMark/>
          </w:tcPr>
          <w:p w14:paraId="6ACAF88B"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4A2BD2E" w14:textId="77777777" w:rsidTr="00875772">
        <w:trPr>
          <w:tblCellSpacing w:w="15" w:type="dxa"/>
        </w:trPr>
        <w:tc>
          <w:tcPr>
            <w:tcW w:w="339" w:type="pct"/>
            <w:shd w:val="clear" w:color="auto" w:fill="EFEFEF"/>
            <w:noWrap/>
            <w:vAlign w:val="center"/>
            <w:hideMark/>
          </w:tcPr>
          <w:p w14:paraId="36783F8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009" w:type="pct"/>
            <w:shd w:val="clear" w:color="auto" w:fill="EFEFEF"/>
            <w:vAlign w:val="center"/>
            <w:hideMark/>
          </w:tcPr>
          <w:p w14:paraId="3E2A456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568" w:type="pct"/>
            <w:shd w:val="clear" w:color="auto" w:fill="EFEFEF"/>
            <w:noWrap/>
            <w:vAlign w:val="center"/>
            <w:hideMark/>
          </w:tcPr>
          <w:p w14:paraId="76B684E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4 882 976,83</w:t>
            </w:r>
            <w:r w:rsidRPr="4F9BDBF9">
              <w:rPr>
                <w:rFonts w:eastAsiaTheme="minorEastAsia"/>
                <w:sz w:val="24"/>
                <w:szCs w:val="24"/>
                <w:lang w:eastAsia="sk-SK"/>
              </w:rPr>
              <w:t xml:space="preserve"> </w:t>
            </w:r>
          </w:p>
        </w:tc>
        <w:tc>
          <w:tcPr>
            <w:tcW w:w="797" w:type="pct"/>
            <w:shd w:val="clear" w:color="auto" w:fill="EFEFEF"/>
            <w:noWrap/>
            <w:vAlign w:val="center"/>
            <w:hideMark/>
          </w:tcPr>
          <w:p w14:paraId="5316242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4 903 805,53</w:t>
            </w:r>
            <w:r w:rsidRPr="4F9BDBF9">
              <w:rPr>
                <w:rFonts w:eastAsiaTheme="minorEastAsia"/>
                <w:sz w:val="24"/>
                <w:szCs w:val="24"/>
                <w:lang w:eastAsia="sk-SK"/>
              </w:rPr>
              <w:t xml:space="preserve"> </w:t>
            </w:r>
          </w:p>
        </w:tc>
        <w:tc>
          <w:tcPr>
            <w:tcW w:w="663" w:type="pct"/>
            <w:shd w:val="clear" w:color="auto" w:fill="EFEFEF"/>
            <w:noWrap/>
            <w:vAlign w:val="center"/>
            <w:hideMark/>
          </w:tcPr>
          <w:p w14:paraId="1375E4E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4 660 218,30</w:t>
            </w:r>
            <w:r w:rsidRPr="4F9BDBF9">
              <w:rPr>
                <w:rFonts w:eastAsiaTheme="minorEastAsia"/>
                <w:sz w:val="24"/>
                <w:szCs w:val="24"/>
                <w:lang w:eastAsia="sk-SK"/>
              </w:rPr>
              <w:t xml:space="preserve"> </w:t>
            </w:r>
          </w:p>
        </w:tc>
        <w:tc>
          <w:tcPr>
            <w:tcW w:w="460" w:type="pct"/>
            <w:shd w:val="clear" w:color="auto" w:fill="EFEFEF"/>
            <w:noWrap/>
            <w:vAlign w:val="center"/>
            <w:hideMark/>
          </w:tcPr>
          <w:p w14:paraId="2CDA571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95,03</w:t>
            </w:r>
            <w:r w:rsidRPr="4F9BDBF9">
              <w:rPr>
                <w:rFonts w:eastAsiaTheme="minorEastAsia"/>
                <w:sz w:val="24"/>
                <w:szCs w:val="24"/>
                <w:lang w:eastAsia="sk-SK"/>
              </w:rPr>
              <w:t xml:space="preserve"> </w:t>
            </w:r>
          </w:p>
        </w:tc>
        <w:tc>
          <w:tcPr>
            <w:tcW w:w="1051" w:type="pct"/>
            <w:vMerge/>
            <w:vAlign w:val="center"/>
            <w:hideMark/>
          </w:tcPr>
          <w:p w14:paraId="4F4CE966"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E3B706A" w14:textId="77777777" w:rsidTr="00875772">
        <w:trPr>
          <w:tblCellSpacing w:w="15" w:type="dxa"/>
        </w:trPr>
        <w:tc>
          <w:tcPr>
            <w:tcW w:w="339" w:type="pct"/>
            <w:shd w:val="clear" w:color="auto" w:fill="EFEFEF"/>
            <w:noWrap/>
            <w:vAlign w:val="center"/>
            <w:hideMark/>
          </w:tcPr>
          <w:p w14:paraId="0240605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009" w:type="pct"/>
            <w:shd w:val="clear" w:color="auto" w:fill="EFEFEF"/>
            <w:vAlign w:val="center"/>
            <w:hideMark/>
          </w:tcPr>
          <w:p w14:paraId="7ABD6A4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568" w:type="pct"/>
            <w:shd w:val="clear" w:color="auto" w:fill="EFEFEF"/>
            <w:noWrap/>
            <w:vAlign w:val="center"/>
            <w:hideMark/>
          </w:tcPr>
          <w:p w14:paraId="4FA43E1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166 109,62</w:t>
            </w:r>
            <w:r w:rsidRPr="4F9BDBF9">
              <w:rPr>
                <w:rFonts w:eastAsiaTheme="minorEastAsia"/>
                <w:sz w:val="24"/>
                <w:szCs w:val="24"/>
                <w:lang w:eastAsia="sk-SK"/>
              </w:rPr>
              <w:t xml:space="preserve"> </w:t>
            </w:r>
          </w:p>
        </w:tc>
        <w:tc>
          <w:tcPr>
            <w:tcW w:w="797" w:type="pct"/>
            <w:shd w:val="clear" w:color="auto" w:fill="EFEFEF"/>
            <w:noWrap/>
            <w:vAlign w:val="center"/>
            <w:hideMark/>
          </w:tcPr>
          <w:p w14:paraId="6AEE6CE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197 883,52</w:t>
            </w:r>
            <w:r w:rsidRPr="4F9BDBF9">
              <w:rPr>
                <w:rFonts w:eastAsiaTheme="minorEastAsia"/>
                <w:sz w:val="24"/>
                <w:szCs w:val="24"/>
                <w:lang w:eastAsia="sk-SK"/>
              </w:rPr>
              <w:t xml:space="preserve"> </w:t>
            </w:r>
          </w:p>
        </w:tc>
        <w:tc>
          <w:tcPr>
            <w:tcW w:w="663" w:type="pct"/>
            <w:shd w:val="clear" w:color="auto" w:fill="EFEFEF"/>
            <w:noWrap/>
            <w:vAlign w:val="center"/>
            <w:hideMark/>
          </w:tcPr>
          <w:p w14:paraId="57D448A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172 830,59</w:t>
            </w:r>
            <w:r w:rsidRPr="4F9BDBF9">
              <w:rPr>
                <w:rFonts w:eastAsiaTheme="minorEastAsia"/>
                <w:sz w:val="24"/>
                <w:szCs w:val="24"/>
                <w:lang w:eastAsia="sk-SK"/>
              </w:rPr>
              <w:t xml:space="preserve"> </w:t>
            </w:r>
          </w:p>
        </w:tc>
        <w:tc>
          <w:tcPr>
            <w:tcW w:w="460" w:type="pct"/>
            <w:shd w:val="clear" w:color="auto" w:fill="EFEFEF"/>
            <w:noWrap/>
            <w:vAlign w:val="center"/>
            <w:hideMark/>
          </w:tcPr>
          <w:p w14:paraId="05F5441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87,34</w:t>
            </w:r>
            <w:r w:rsidRPr="4F9BDBF9">
              <w:rPr>
                <w:rFonts w:eastAsiaTheme="minorEastAsia"/>
                <w:sz w:val="24"/>
                <w:szCs w:val="24"/>
                <w:lang w:eastAsia="sk-SK"/>
              </w:rPr>
              <w:t xml:space="preserve"> </w:t>
            </w:r>
          </w:p>
        </w:tc>
        <w:tc>
          <w:tcPr>
            <w:tcW w:w="1051" w:type="pct"/>
            <w:vMerge/>
            <w:vAlign w:val="center"/>
            <w:hideMark/>
          </w:tcPr>
          <w:p w14:paraId="2D42942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E38DEEF" w14:textId="77777777" w:rsidTr="00875772">
        <w:trPr>
          <w:tblCellSpacing w:w="15" w:type="dxa"/>
        </w:trPr>
        <w:tc>
          <w:tcPr>
            <w:tcW w:w="339" w:type="pct"/>
            <w:shd w:val="clear" w:color="auto" w:fill="D9D9D9" w:themeFill="background1" w:themeFillShade="D9"/>
            <w:noWrap/>
            <w:vAlign w:val="center"/>
            <w:hideMark/>
          </w:tcPr>
          <w:p w14:paraId="79548C3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700</w:t>
            </w:r>
            <w:r w:rsidRPr="4F9BDBF9">
              <w:rPr>
                <w:rFonts w:eastAsiaTheme="minorEastAsia"/>
                <w:sz w:val="24"/>
                <w:szCs w:val="24"/>
                <w:lang w:eastAsia="sk-SK"/>
              </w:rPr>
              <w:t xml:space="preserve"> </w:t>
            </w:r>
          </w:p>
        </w:tc>
        <w:tc>
          <w:tcPr>
            <w:tcW w:w="1009" w:type="pct"/>
            <w:shd w:val="clear" w:color="auto" w:fill="D9D9D9" w:themeFill="background1" w:themeFillShade="D9"/>
            <w:vAlign w:val="center"/>
            <w:hideMark/>
          </w:tcPr>
          <w:p w14:paraId="3B930D0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568" w:type="pct"/>
            <w:shd w:val="clear" w:color="auto" w:fill="D9D9D9" w:themeFill="background1" w:themeFillShade="D9"/>
            <w:noWrap/>
            <w:vAlign w:val="center"/>
            <w:hideMark/>
          </w:tcPr>
          <w:p w14:paraId="13681F5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797" w:type="pct"/>
            <w:shd w:val="clear" w:color="auto" w:fill="D9D9D9" w:themeFill="background1" w:themeFillShade="D9"/>
            <w:noWrap/>
            <w:vAlign w:val="center"/>
            <w:hideMark/>
          </w:tcPr>
          <w:p w14:paraId="1C87E76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19 304,00</w:t>
            </w:r>
            <w:r w:rsidRPr="4F9BDBF9">
              <w:rPr>
                <w:rFonts w:eastAsiaTheme="minorEastAsia"/>
                <w:sz w:val="24"/>
                <w:szCs w:val="24"/>
                <w:lang w:eastAsia="sk-SK"/>
              </w:rPr>
              <w:t xml:space="preserve"> </w:t>
            </w:r>
          </w:p>
        </w:tc>
        <w:tc>
          <w:tcPr>
            <w:tcW w:w="663" w:type="pct"/>
            <w:shd w:val="clear" w:color="auto" w:fill="D9D9D9" w:themeFill="background1" w:themeFillShade="D9"/>
            <w:noWrap/>
            <w:vAlign w:val="center"/>
            <w:hideMark/>
          </w:tcPr>
          <w:p w14:paraId="24C4881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19 101,00</w:t>
            </w:r>
            <w:r w:rsidRPr="4F9BDBF9">
              <w:rPr>
                <w:rFonts w:eastAsiaTheme="minorEastAsia"/>
                <w:sz w:val="24"/>
                <w:szCs w:val="24"/>
                <w:lang w:eastAsia="sk-SK"/>
              </w:rPr>
              <w:t xml:space="preserve"> </w:t>
            </w:r>
          </w:p>
        </w:tc>
        <w:tc>
          <w:tcPr>
            <w:tcW w:w="460" w:type="pct"/>
            <w:shd w:val="clear" w:color="auto" w:fill="D9D9D9" w:themeFill="background1" w:themeFillShade="D9"/>
            <w:noWrap/>
            <w:vAlign w:val="center"/>
            <w:hideMark/>
          </w:tcPr>
          <w:p w14:paraId="22A502D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98,95</w:t>
            </w:r>
            <w:r w:rsidRPr="4F9BDBF9">
              <w:rPr>
                <w:rFonts w:eastAsiaTheme="minorEastAsia"/>
                <w:sz w:val="24"/>
                <w:szCs w:val="24"/>
                <w:lang w:eastAsia="sk-SK"/>
              </w:rPr>
              <w:t xml:space="preserve"> </w:t>
            </w:r>
          </w:p>
        </w:tc>
        <w:tc>
          <w:tcPr>
            <w:tcW w:w="1051" w:type="pct"/>
            <w:vMerge/>
            <w:vAlign w:val="center"/>
            <w:hideMark/>
          </w:tcPr>
          <w:p w14:paraId="2F6AC5F4"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491B3E2" w14:textId="77777777" w:rsidTr="00875772">
        <w:trPr>
          <w:tblCellSpacing w:w="15" w:type="dxa"/>
        </w:trPr>
        <w:tc>
          <w:tcPr>
            <w:tcW w:w="339" w:type="pct"/>
            <w:shd w:val="clear" w:color="auto" w:fill="EFEFEF"/>
            <w:noWrap/>
            <w:vAlign w:val="center"/>
            <w:hideMark/>
          </w:tcPr>
          <w:p w14:paraId="56CD40A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710</w:t>
            </w:r>
            <w:r w:rsidRPr="4F9BDBF9">
              <w:rPr>
                <w:rFonts w:eastAsiaTheme="minorEastAsia"/>
                <w:sz w:val="24"/>
                <w:szCs w:val="24"/>
                <w:lang w:eastAsia="sk-SK"/>
              </w:rPr>
              <w:t xml:space="preserve"> </w:t>
            </w:r>
          </w:p>
        </w:tc>
        <w:tc>
          <w:tcPr>
            <w:tcW w:w="1009" w:type="pct"/>
            <w:shd w:val="clear" w:color="auto" w:fill="EFEFEF"/>
            <w:vAlign w:val="center"/>
            <w:hideMark/>
          </w:tcPr>
          <w:p w14:paraId="1B35371C"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568" w:type="pct"/>
            <w:shd w:val="clear" w:color="auto" w:fill="EFEFEF"/>
            <w:noWrap/>
            <w:vAlign w:val="center"/>
            <w:hideMark/>
          </w:tcPr>
          <w:p w14:paraId="638FDFB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797" w:type="pct"/>
            <w:shd w:val="clear" w:color="auto" w:fill="EFEFEF"/>
            <w:noWrap/>
            <w:vAlign w:val="center"/>
            <w:hideMark/>
          </w:tcPr>
          <w:p w14:paraId="2187938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19 304,00</w:t>
            </w:r>
            <w:r w:rsidRPr="4F9BDBF9">
              <w:rPr>
                <w:rFonts w:eastAsiaTheme="minorEastAsia"/>
                <w:sz w:val="24"/>
                <w:szCs w:val="24"/>
                <w:lang w:eastAsia="sk-SK"/>
              </w:rPr>
              <w:t xml:space="preserve"> </w:t>
            </w:r>
          </w:p>
        </w:tc>
        <w:tc>
          <w:tcPr>
            <w:tcW w:w="663" w:type="pct"/>
            <w:shd w:val="clear" w:color="auto" w:fill="EFEFEF"/>
            <w:noWrap/>
            <w:vAlign w:val="center"/>
            <w:hideMark/>
          </w:tcPr>
          <w:p w14:paraId="6933868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19 101,00</w:t>
            </w:r>
            <w:r w:rsidRPr="4F9BDBF9">
              <w:rPr>
                <w:rFonts w:eastAsiaTheme="minorEastAsia"/>
                <w:sz w:val="24"/>
                <w:szCs w:val="24"/>
                <w:lang w:eastAsia="sk-SK"/>
              </w:rPr>
              <w:t xml:space="preserve"> </w:t>
            </w:r>
          </w:p>
        </w:tc>
        <w:tc>
          <w:tcPr>
            <w:tcW w:w="460" w:type="pct"/>
            <w:shd w:val="clear" w:color="auto" w:fill="EFEFEF"/>
            <w:noWrap/>
            <w:vAlign w:val="center"/>
            <w:hideMark/>
          </w:tcPr>
          <w:p w14:paraId="78BC8C6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98,95</w:t>
            </w:r>
            <w:r w:rsidRPr="4F9BDBF9">
              <w:rPr>
                <w:rFonts w:eastAsiaTheme="minorEastAsia"/>
                <w:sz w:val="24"/>
                <w:szCs w:val="24"/>
                <w:lang w:eastAsia="sk-SK"/>
              </w:rPr>
              <w:t xml:space="preserve"> </w:t>
            </w:r>
          </w:p>
        </w:tc>
        <w:tc>
          <w:tcPr>
            <w:tcW w:w="1051" w:type="pct"/>
            <w:vMerge/>
            <w:vAlign w:val="center"/>
            <w:hideMark/>
          </w:tcPr>
          <w:p w14:paraId="746367CA" w14:textId="77777777" w:rsidR="00875772" w:rsidRPr="00116D4B" w:rsidRDefault="00875772" w:rsidP="00875772">
            <w:pPr>
              <w:spacing w:after="0" w:line="240" w:lineRule="auto"/>
              <w:rPr>
                <w:rFonts w:ascii="Times New Roman" w:hAnsi="Times New Roman"/>
                <w:sz w:val="24"/>
                <w:szCs w:val="24"/>
                <w:lang w:eastAsia="sk-SK"/>
              </w:rPr>
            </w:pPr>
          </w:p>
        </w:tc>
      </w:tr>
    </w:tbl>
    <w:p w14:paraId="04AEB68D"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861"/>
        <w:gridCol w:w="2056"/>
        <w:gridCol w:w="1477"/>
        <w:gridCol w:w="4159"/>
      </w:tblGrid>
      <w:tr w:rsidR="00875772" w:rsidRPr="00116D4B" w14:paraId="2E032799" w14:textId="77777777" w:rsidTr="00875772">
        <w:trPr>
          <w:tblCellSpacing w:w="15" w:type="dxa"/>
        </w:trPr>
        <w:tc>
          <w:tcPr>
            <w:tcW w:w="0" w:type="auto"/>
            <w:shd w:val="clear" w:color="auto" w:fill="C2D69B"/>
            <w:vAlign w:val="center"/>
            <w:hideMark/>
          </w:tcPr>
          <w:p w14:paraId="3D9E03B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7201115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02286C7C" w14:textId="77777777" w:rsidTr="00875772">
        <w:trPr>
          <w:tblCellSpacing w:w="15" w:type="dxa"/>
        </w:trPr>
        <w:tc>
          <w:tcPr>
            <w:tcW w:w="0" w:type="auto"/>
            <w:shd w:val="clear" w:color="auto" w:fill="C2D69B"/>
            <w:vAlign w:val="center"/>
            <w:hideMark/>
          </w:tcPr>
          <w:p w14:paraId="4A12EF2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lastRenderedPageBreak/>
              <w:t>Merateľný ukazovateľ</w:t>
            </w:r>
          </w:p>
        </w:tc>
        <w:tc>
          <w:tcPr>
            <w:tcW w:w="0" w:type="auto"/>
            <w:gridSpan w:val="4"/>
            <w:shd w:val="clear" w:color="auto" w:fill="C2D69B"/>
            <w:vAlign w:val="center"/>
            <w:hideMark/>
          </w:tcPr>
          <w:p w14:paraId="536C709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počet zariadení sociálnych služieb v zriaďovateľskej pôsobnosti BSK, v ktorých prebieha pravidelné vzdelávanie zamestnancov a realizuje sa program supervízie</w:t>
            </w:r>
            <w:r w:rsidRPr="4F9BDBF9">
              <w:rPr>
                <w:rFonts w:eastAsiaTheme="minorEastAsia"/>
                <w:sz w:val="24"/>
                <w:szCs w:val="24"/>
                <w:lang w:eastAsia="sk-SK"/>
              </w:rPr>
              <w:t xml:space="preserve"> </w:t>
            </w:r>
          </w:p>
        </w:tc>
      </w:tr>
      <w:tr w:rsidR="00875772" w:rsidRPr="00116D4B" w14:paraId="2099097E" w14:textId="77777777" w:rsidTr="00875772">
        <w:trPr>
          <w:tblCellSpacing w:w="15" w:type="dxa"/>
        </w:trPr>
        <w:tc>
          <w:tcPr>
            <w:tcW w:w="0" w:type="auto"/>
            <w:shd w:val="clear" w:color="auto" w:fill="C2D69B"/>
            <w:vAlign w:val="center"/>
            <w:hideMark/>
          </w:tcPr>
          <w:p w14:paraId="63D68EC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3930A8A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1AC24A1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2AA1E64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200CA81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1BA4F12D" w14:textId="77777777" w:rsidTr="00875772">
        <w:trPr>
          <w:tblCellSpacing w:w="15" w:type="dxa"/>
        </w:trPr>
        <w:tc>
          <w:tcPr>
            <w:tcW w:w="0" w:type="auto"/>
            <w:shd w:val="clear" w:color="auto" w:fill="C2D69B"/>
            <w:vAlign w:val="center"/>
            <w:hideMark/>
          </w:tcPr>
          <w:p w14:paraId="2A0DF4C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74742D2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14</w:t>
            </w:r>
            <w:r w:rsidRPr="4F9BDBF9">
              <w:rPr>
                <w:rFonts w:eastAsiaTheme="minorEastAsia"/>
                <w:sz w:val="24"/>
                <w:szCs w:val="24"/>
                <w:lang w:eastAsia="sk-SK"/>
              </w:rPr>
              <w:t xml:space="preserve"> </w:t>
            </w:r>
          </w:p>
        </w:tc>
        <w:tc>
          <w:tcPr>
            <w:tcW w:w="0" w:type="auto"/>
            <w:shd w:val="clear" w:color="auto" w:fill="C2D69B"/>
            <w:noWrap/>
            <w:vAlign w:val="center"/>
            <w:hideMark/>
          </w:tcPr>
          <w:p w14:paraId="27F4966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14</w:t>
            </w:r>
            <w:r w:rsidRPr="4F9BDBF9">
              <w:rPr>
                <w:rFonts w:eastAsiaTheme="minorEastAsia"/>
                <w:sz w:val="24"/>
                <w:szCs w:val="24"/>
                <w:lang w:eastAsia="sk-SK"/>
              </w:rPr>
              <w:t xml:space="preserve"> </w:t>
            </w:r>
          </w:p>
        </w:tc>
        <w:tc>
          <w:tcPr>
            <w:tcW w:w="0" w:type="auto"/>
            <w:shd w:val="clear" w:color="auto" w:fill="C2D69B"/>
            <w:vAlign w:val="center"/>
            <w:hideMark/>
          </w:tcPr>
          <w:p w14:paraId="6D3B66B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Splnené</w:t>
            </w:r>
            <w:r w:rsidRPr="4F9BDBF9">
              <w:rPr>
                <w:rFonts w:eastAsiaTheme="minorEastAsia"/>
                <w:sz w:val="24"/>
                <w:szCs w:val="24"/>
                <w:lang w:eastAsia="sk-SK"/>
              </w:rPr>
              <w:t xml:space="preserve"> </w:t>
            </w:r>
          </w:p>
        </w:tc>
        <w:tc>
          <w:tcPr>
            <w:tcW w:w="0" w:type="auto"/>
            <w:shd w:val="clear" w:color="auto" w:fill="C2D69B"/>
            <w:vAlign w:val="center"/>
            <w:hideMark/>
          </w:tcPr>
          <w:p w14:paraId="1ADFED72" w14:textId="77777777" w:rsidR="00875772" w:rsidRPr="00116D4B" w:rsidRDefault="00875772" w:rsidP="00875772">
            <w:pPr>
              <w:spacing w:after="0" w:line="240" w:lineRule="auto"/>
              <w:jc w:val="center"/>
              <w:rPr>
                <w:rFonts w:eastAsiaTheme="minorEastAsia"/>
                <w:sz w:val="24"/>
                <w:szCs w:val="24"/>
                <w:lang w:eastAsia="sk-SK"/>
              </w:rPr>
            </w:pPr>
          </w:p>
        </w:tc>
      </w:tr>
    </w:tbl>
    <w:p w14:paraId="21C51F1F" w14:textId="77777777" w:rsidR="00875772" w:rsidRPr="00116D4B" w:rsidRDefault="00875772" w:rsidP="00875772">
      <w:pPr>
        <w:spacing w:before="100" w:beforeAutospacing="1" w:after="100" w:afterAutospacing="1" w:line="240" w:lineRule="auto"/>
        <w:jc w:val="both"/>
        <w:rPr>
          <w:rFonts w:eastAsiaTheme="minorEastAsia"/>
          <w:lang w:eastAsia="sk-SK"/>
        </w:rPr>
      </w:pPr>
      <w:r w:rsidRPr="3E14EAE1">
        <w:rPr>
          <w:rFonts w:eastAsiaTheme="minorEastAsia"/>
          <w:b/>
          <w:bCs/>
          <w:lang w:eastAsia="sk-SK"/>
        </w:rPr>
        <w:t xml:space="preserve">Komentár: </w:t>
      </w:r>
      <w:r w:rsidRPr="3E14EAE1">
        <w:rPr>
          <w:rFonts w:eastAsiaTheme="minorEastAsia"/>
          <w:lang w:eastAsia="sk-SK"/>
        </w:rPr>
        <w:t>K 31.12.2020 má BSK v zriaďovateľskej pôsobnosti 14 zariadení sociálnych služieb s právnou subjektivitou. Sú to rozpočtové organizácie, ktoré sú svojimi príjmami a výdavkami napojené na rozpočet BSK, ktorý sa zostavuje na obdobie jedného kalendárneho roka, s víziou na ďalšie 2 nasledujúce roky. V týchto 14 zariadeniach sa kumuluje celkovo 6 druhov sociálnych služieb poskytovaných ambulantnou, terénnou, týždennou pobytovou a celoročnou pobytovou formou s celkovou kapacitou 1.373 miest.</w:t>
      </w:r>
    </w:p>
    <w:p w14:paraId="22479E96" w14:textId="77777777" w:rsidR="00875772" w:rsidRPr="00116D4B" w:rsidRDefault="00875772" w:rsidP="00875772">
      <w:pPr>
        <w:spacing w:before="100" w:beforeAutospacing="1" w:after="100" w:afterAutospacing="1" w:line="240" w:lineRule="auto"/>
        <w:rPr>
          <w:rFonts w:eastAsiaTheme="minorEastAsia"/>
          <w:lang w:eastAsia="sk-SK"/>
        </w:rPr>
      </w:pPr>
      <w:r w:rsidRPr="3E14EAE1">
        <w:rPr>
          <w:rFonts w:eastAsiaTheme="minorEastAsia"/>
          <w:lang w:eastAsia="sk-SK"/>
        </w:rPr>
        <w:t xml:space="preserve">počet poskytovateľov/ druh sociálnych služieb/ kapacita </w:t>
      </w:r>
    </w:p>
    <w:p w14:paraId="309BAE6B" w14:textId="77777777" w:rsidR="00875772" w:rsidRPr="00116D4B" w:rsidRDefault="00875772" w:rsidP="00875772">
      <w:pPr>
        <w:spacing w:after="0" w:line="240" w:lineRule="auto"/>
        <w:rPr>
          <w:rFonts w:eastAsiaTheme="minorEastAsia"/>
          <w:lang w:eastAsia="sk-SK"/>
        </w:rPr>
      </w:pPr>
      <w:r w:rsidRPr="3E14EAE1">
        <w:rPr>
          <w:rFonts w:eastAsiaTheme="minorEastAsia"/>
          <w:lang w:eastAsia="sk-SK"/>
        </w:rPr>
        <w:t>3/ zariadenie pre seniorov/ 130</w:t>
      </w:r>
    </w:p>
    <w:p w14:paraId="5F7F151D" w14:textId="77777777" w:rsidR="00875772" w:rsidRPr="00116D4B" w:rsidRDefault="00875772" w:rsidP="00875772">
      <w:pPr>
        <w:spacing w:after="0" w:line="240" w:lineRule="auto"/>
        <w:rPr>
          <w:rFonts w:eastAsiaTheme="minorEastAsia"/>
          <w:lang w:eastAsia="sk-SK"/>
        </w:rPr>
      </w:pPr>
      <w:r w:rsidRPr="3E14EAE1">
        <w:rPr>
          <w:rFonts w:eastAsiaTheme="minorEastAsia"/>
          <w:lang w:eastAsia="sk-SK"/>
        </w:rPr>
        <w:t>14/ domov sociálnych služieb/ 951</w:t>
      </w:r>
    </w:p>
    <w:p w14:paraId="2959D600" w14:textId="77777777" w:rsidR="00875772" w:rsidRPr="00116D4B" w:rsidRDefault="00875772" w:rsidP="00875772">
      <w:pPr>
        <w:spacing w:after="0" w:line="240" w:lineRule="auto"/>
        <w:rPr>
          <w:rFonts w:eastAsiaTheme="minorEastAsia"/>
          <w:lang w:eastAsia="sk-SK"/>
        </w:rPr>
      </w:pPr>
      <w:r w:rsidRPr="3E14EAE1">
        <w:rPr>
          <w:rFonts w:eastAsiaTheme="minorEastAsia"/>
          <w:lang w:eastAsia="sk-SK"/>
        </w:rPr>
        <w:t>4/ zariadenie podporovaného bývania/ 56</w:t>
      </w:r>
    </w:p>
    <w:p w14:paraId="76737704" w14:textId="77777777" w:rsidR="00875772" w:rsidRPr="00116D4B" w:rsidRDefault="00875772" w:rsidP="00875772">
      <w:pPr>
        <w:spacing w:after="0" w:line="240" w:lineRule="auto"/>
        <w:rPr>
          <w:rFonts w:eastAsiaTheme="minorEastAsia"/>
          <w:lang w:eastAsia="sk-SK"/>
        </w:rPr>
      </w:pPr>
      <w:r w:rsidRPr="3E14EAE1">
        <w:rPr>
          <w:rFonts w:eastAsiaTheme="minorEastAsia"/>
          <w:lang w:eastAsia="sk-SK"/>
        </w:rPr>
        <w:t>6/ špecializované zariadenie/ 165</w:t>
      </w:r>
    </w:p>
    <w:p w14:paraId="46A9DD6C" w14:textId="77777777" w:rsidR="00875772" w:rsidRPr="00116D4B" w:rsidRDefault="00875772" w:rsidP="00875772">
      <w:pPr>
        <w:spacing w:after="0" w:line="240" w:lineRule="auto"/>
        <w:rPr>
          <w:rFonts w:eastAsiaTheme="minorEastAsia"/>
          <w:lang w:eastAsia="sk-SK"/>
        </w:rPr>
      </w:pPr>
      <w:r w:rsidRPr="3E14EAE1">
        <w:rPr>
          <w:rFonts w:eastAsiaTheme="minorEastAsia"/>
          <w:lang w:eastAsia="sk-SK"/>
        </w:rPr>
        <w:t>2/ rehabilitačné stredisko/ 71</w:t>
      </w:r>
    </w:p>
    <w:p w14:paraId="7DA05392" w14:textId="77777777" w:rsidR="00875772" w:rsidRPr="00116D4B" w:rsidRDefault="00875772" w:rsidP="00875772">
      <w:pPr>
        <w:spacing w:after="0" w:line="240" w:lineRule="auto"/>
        <w:rPr>
          <w:rFonts w:eastAsiaTheme="minorEastAsia"/>
          <w:lang w:eastAsia="sk-SK"/>
        </w:rPr>
      </w:pPr>
      <w:r w:rsidRPr="3E14EAE1">
        <w:rPr>
          <w:rFonts w:eastAsiaTheme="minorEastAsia"/>
          <w:lang w:eastAsia="sk-SK"/>
        </w:rPr>
        <w:t>1/ služba včasnej intervencie/ bez obmedzenia kapacity.</w:t>
      </w:r>
    </w:p>
    <w:p w14:paraId="0DFA4AC2"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11.1.1: DSS pre deti a dospelých KAMPINO</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2139"/>
        <w:gridCol w:w="1024"/>
        <w:gridCol w:w="1181"/>
        <w:gridCol w:w="1024"/>
        <w:gridCol w:w="1151"/>
        <w:gridCol w:w="3094"/>
      </w:tblGrid>
      <w:tr w:rsidR="00875772" w:rsidRPr="00116D4B" w14:paraId="2251BD5A" w14:textId="77777777" w:rsidTr="00875772">
        <w:trPr>
          <w:tblCellSpacing w:w="15" w:type="dxa"/>
        </w:trPr>
        <w:tc>
          <w:tcPr>
            <w:tcW w:w="386" w:type="pct"/>
            <w:shd w:val="clear" w:color="auto" w:fill="C6DBF7"/>
            <w:vAlign w:val="center"/>
            <w:hideMark/>
          </w:tcPr>
          <w:p w14:paraId="5612B1C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008" w:type="pct"/>
            <w:shd w:val="clear" w:color="auto" w:fill="C6DBF7"/>
            <w:vAlign w:val="center"/>
            <w:hideMark/>
          </w:tcPr>
          <w:p w14:paraId="263A9C5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475" w:type="pct"/>
            <w:shd w:val="clear" w:color="auto" w:fill="C6DBF7"/>
            <w:vAlign w:val="center"/>
            <w:hideMark/>
          </w:tcPr>
          <w:p w14:paraId="318DBF2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550" w:type="pct"/>
            <w:shd w:val="clear" w:color="auto" w:fill="C6DBF7"/>
            <w:vAlign w:val="center"/>
            <w:hideMark/>
          </w:tcPr>
          <w:p w14:paraId="25EA2DE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475" w:type="pct"/>
            <w:shd w:val="clear" w:color="auto" w:fill="C6DBF7"/>
            <w:vAlign w:val="center"/>
            <w:hideMark/>
          </w:tcPr>
          <w:p w14:paraId="23F0CE3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536" w:type="pct"/>
            <w:shd w:val="clear" w:color="auto" w:fill="C6DBF7"/>
            <w:vAlign w:val="center"/>
            <w:hideMark/>
          </w:tcPr>
          <w:p w14:paraId="6824DEA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1457" w:type="pct"/>
            <w:shd w:val="clear" w:color="auto" w:fill="C6DBF7"/>
            <w:vAlign w:val="center"/>
            <w:hideMark/>
          </w:tcPr>
          <w:p w14:paraId="697E034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342317A7" w14:textId="77777777" w:rsidTr="00875772">
        <w:trPr>
          <w:tblCellSpacing w:w="15" w:type="dxa"/>
        </w:trPr>
        <w:tc>
          <w:tcPr>
            <w:tcW w:w="386" w:type="pct"/>
            <w:shd w:val="clear" w:color="auto" w:fill="D9D9D9" w:themeFill="background1" w:themeFillShade="D9"/>
            <w:noWrap/>
            <w:vAlign w:val="center"/>
            <w:hideMark/>
          </w:tcPr>
          <w:p w14:paraId="34D9DC65" w14:textId="77777777" w:rsidR="00875772" w:rsidRPr="00116D4B" w:rsidRDefault="00875772" w:rsidP="00875772">
            <w:pPr>
              <w:spacing w:after="0" w:line="240" w:lineRule="auto"/>
              <w:jc w:val="center"/>
              <w:rPr>
                <w:rFonts w:eastAsiaTheme="minorEastAsia"/>
                <w:sz w:val="24"/>
                <w:szCs w:val="24"/>
                <w:lang w:eastAsia="sk-SK"/>
              </w:rPr>
            </w:pPr>
          </w:p>
        </w:tc>
        <w:tc>
          <w:tcPr>
            <w:tcW w:w="1008" w:type="pct"/>
            <w:shd w:val="clear" w:color="auto" w:fill="D9D9D9" w:themeFill="background1" w:themeFillShade="D9"/>
            <w:vAlign w:val="center"/>
            <w:hideMark/>
          </w:tcPr>
          <w:p w14:paraId="24E8D91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475" w:type="pct"/>
            <w:shd w:val="clear" w:color="auto" w:fill="D9D9D9" w:themeFill="background1" w:themeFillShade="D9"/>
            <w:noWrap/>
            <w:vAlign w:val="center"/>
            <w:hideMark/>
          </w:tcPr>
          <w:p w14:paraId="13DD55B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991 272,33</w:t>
            </w:r>
            <w:r w:rsidRPr="4F9BDBF9">
              <w:rPr>
                <w:rFonts w:eastAsiaTheme="minorEastAsia"/>
                <w:sz w:val="24"/>
                <w:szCs w:val="24"/>
                <w:lang w:eastAsia="sk-SK"/>
              </w:rPr>
              <w:t xml:space="preserve"> </w:t>
            </w:r>
          </w:p>
        </w:tc>
        <w:tc>
          <w:tcPr>
            <w:tcW w:w="550" w:type="pct"/>
            <w:shd w:val="clear" w:color="auto" w:fill="D9D9D9" w:themeFill="background1" w:themeFillShade="D9"/>
            <w:noWrap/>
            <w:vAlign w:val="center"/>
            <w:hideMark/>
          </w:tcPr>
          <w:p w14:paraId="2D2E522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1 016 926,31</w:t>
            </w:r>
            <w:r w:rsidRPr="4F9BDBF9">
              <w:rPr>
                <w:rFonts w:eastAsiaTheme="minorEastAsia"/>
                <w:sz w:val="24"/>
                <w:szCs w:val="24"/>
                <w:lang w:eastAsia="sk-SK"/>
              </w:rPr>
              <w:t xml:space="preserve"> </w:t>
            </w:r>
          </w:p>
        </w:tc>
        <w:tc>
          <w:tcPr>
            <w:tcW w:w="475" w:type="pct"/>
            <w:shd w:val="clear" w:color="auto" w:fill="D9D9D9" w:themeFill="background1" w:themeFillShade="D9"/>
            <w:noWrap/>
            <w:vAlign w:val="center"/>
            <w:hideMark/>
          </w:tcPr>
          <w:p w14:paraId="65137C7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979 883,26</w:t>
            </w:r>
            <w:r w:rsidRPr="4F9BDBF9">
              <w:rPr>
                <w:rFonts w:eastAsiaTheme="minorEastAsia"/>
                <w:sz w:val="24"/>
                <w:szCs w:val="24"/>
                <w:lang w:eastAsia="sk-SK"/>
              </w:rPr>
              <w:t xml:space="preserve"> </w:t>
            </w:r>
          </w:p>
        </w:tc>
        <w:tc>
          <w:tcPr>
            <w:tcW w:w="536" w:type="pct"/>
            <w:shd w:val="clear" w:color="auto" w:fill="D9D9D9" w:themeFill="background1" w:themeFillShade="D9"/>
            <w:noWrap/>
            <w:vAlign w:val="center"/>
            <w:hideMark/>
          </w:tcPr>
          <w:p w14:paraId="379B8FB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96,36</w:t>
            </w:r>
            <w:r w:rsidRPr="4F9BDBF9">
              <w:rPr>
                <w:rFonts w:eastAsiaTheme="minorEastAsia"/>
                <w:sz w:val="24"/>
                <w:szCs w:val="24"/>
                <w:lang w:eastAsia="sk-SK"/>
              </w:rPr>
              <w:t xml:space="preserve"> </w:t>
            </w:r>
          </w:p>
        </w:tc>
        <w:tc>
          <w:tcPr>
            <w:tcW w:w="1457" w:type="pct"/>
            <w:vMerge w:val="restart"/>
            <w:shd w:val="clear" w:color="auto" w:fill="D9D9D9" w:themeFill="background1" w:themeFillShade="D9"/>
            <w:vAlign w:val="center"/>
            <w:hideMark/>
          </w:tcPr>
          <w:p w14:paraId="65E5442F" w14:textId="77777777" w:rsidR="00875772" w:rsidRPr="00116D4B" w:rsidRDefault="00875772" w:rsidP="00875772">
            <w:pPr>
              <w:spacing w:after="0" w:line="240" w:lineRule="auto"/>
              <w:rPr>
                <w:rFonts w:eastAsia="Calibri" w:cs="Calibri"/>
                <w:color w:val="000000" w:themeColor="text1"/>
                <w:sz w:val="20"/>
                <w:szCs w:val="20"/>
              </w:rPr>
            </w:pPr>
            <w:r w:rsidRPr="03828740">
              <w:rPr>
                <w:rFonts w:eastAsia="Calibri" w:cs="Calibri"/>
                <w:b/>
                <w:bCs/>
                <w:color w:val="000000" w:themeColor="text1"/>
                <w:sz w:val="20"/>
                <w:szCs w:val="20"/>
              </w:rPr>
              <w:t>+5 725,02 EUR</w:t>
            </w:r>
            <w:r w:rsidRPr="03828740">
              <w:rPr>
                <w:rFonts w:eastAsia="Calibri" w:cs="Calibri"/>
                <w:color w:val="000000" w:themeColor="text1"/>
                <w:sz w:val="20"/>
                <w:szCs w:val="20"/>
              </w:rPr>
              <w:t xml:space="preserve"> presun z P11.3 na navýšenie mzdových prostriedkov</w:t>
            </w:r>
          </w:p>
          <w:p w14:paraId="27759DB6" w14:textId="77777777" w:rsidR="00875772" w:rsidRPr="00116D4B" w:rsidRDefault="00875772" w:rsidP="00875772">
            <w:pPr>
              <w:spacing w:after="0" w:line="240" w:lineRule="auto"/>
              <w:rPr>
                <w:rFonts w:eastAsia="Calibri" w:cs="Calibri"/>
                <w:color w:val="000000" w:themeColor="text1"/>
                <w:sz w:val="20"/>
                <w:szCs w:val="20"/>
              </w:rPr>
            </w:pPr>
            <w:r w:rsidRPr="03828740">
              <w:rPr>
                <w:rFonts w:eastAsia="Calibri" w:cs="Calibri"/>
                <w:b/>
                <w:bCs/>
                <w:color w:val="000000" w:themeColor="text1"/>
                <w:sz w:val="20"/>
                <w:szCs w:val="20"/>
              </w:rPr>
              <w:t xml:space="preserve">+228,96 EUR </w:t>
            </w:r>
            <w:r w:rsidRPr="03828740">
              <w:rPr>
                <w:rFonts w:eastAsia="Calibri" w:cs="Calibri"/>
                <w:color w:val="000000" w:themeColor="text1"/>
                <w:sz w:val="20"/>
                <w:szCs w:val="20"/>
              </w:rPr>
              <w:t>dary</w:t>
            </w:r>
          </w:p>
          <w:p w14:paraId="66301267" w14:textId="77777777" w:rsidR="00875772" w:rsidRPr="00116D4B" w:rsidRDefault="00875772" w:rsidP="00875772">
            <w:pPr>
              <w:spacing w:after="0" w:line="240" w:lineRule="auto"/>
              <w:rPr>
                <w:rFonts w:eastAsia="Calibri" w:cs="Calibri"/>
                <w:color w:val="000000" w:themeColor="text1"/>
                <w:sz w:val="20"/>
                <w:szCs w:val="20"/>
              </w:rPr>
            </w:pPr>
            <w:r w:rsidRPr="03828740">
              <w:rPr>
                <w:rFonts w:eastAsia="Calibri" w:cs="Calibri"/>
                <w:b/>
                <w:bCs/>
                <w:color w:val="000000" w:themeColor="text1"/>
                <w:sz w:val="20"/>
                <w:szCs w:val="20"/>
              </w:rPr>
              <w:t>+1</w:t>
            </w:r>
            <w:r w:rsidRPr="03828740">
              <w:rPr>
                <w:rFonts w:eastAsia="Calibri" w:cs="Calibri"/>
                <w:color w:val="000000" w:themeColor="text1"/>
                <w:sz w:val="20"/>
                <w:szCs w:val="20"/>
              </w:rPr>
              <w:t xml:space="preserve"> </w:t>
            </w:r>
            <w:r w:rsidRPr="03828740">
              <w:rPr>
                <w:rFonts w:eastAsia="Calibri" w:cs="Calibri"/>
                <w:b/>
                <w:bCs/>
                <w:color w:val="000000" w:themeColor="text1"/>
                <w:sz w:val="20"/>
                <w:szCs w:val="20"/>
              </w:rPr>
              <w:t>500,00</w:t>
            </w:r>
            <w:r w:rsidRPr="03828740">
              <w:rPr>
                <w:rFonts w:eastAsia="Calibri" w:cs="Calibri"/>
                <w:color w:val="000000" w:themeColor="text1"/>
                <w:sz w:val="20"/>
                <w:szCs w:val="20"/>
              </w:rPr>
              <w:t xml:space="preserve"> </w:t>
            </w:r>
            <w:r w:rsidRPr="03828740">
              <w:rPr>
                <w:rFonts w:eastAsia="Calibri" w:cs="Calibri"/>
                <w:b/>
                <w:bCs/>
                <w:color w:val="000000" w:themeColor="text1"/>
                <w:sz w:val="20"/>
                <w:szCs w:val="20"/>
              </w:rPr>
              <w:t>EUR</w:t>
            </w:r>
            <w:r w:rsidRPr="03828740">
              <w:rPr>
                <w:rFonts w:eastAsia="Calibri" w:cs="Calibri"/>
                <w:color w:val="000000" w:themeColor="text1"/>
                <w:sz w:val="20"/>
                <w:szCs w:val="20"/>
              </w:rPr>
              <w:t xml:space="preserve"> granty </w:t>
            </w:r>
          </w:p>
          <w:p w14:paraId="5D3ED79A" w14:textId="77777777" w:rsidR="00875772" w:rsidRPr="00116D4B" w:rsidRDefault="00875772" w:rsidP="00875772">
            <w:pPr>
              <w:spacing w:after="0" w:line="240" w:lineRule="auto"/>
              <w:rPr>
                <w:rFonts w:eastAsia="Calibri" w:cs="Calibri"/>
                <w:color w:val="000000" w:themeColor="text1"/>
                <w:sz w:val="20"/>
                <w:szCs w:val="20"/>
              </w:rPr>
            </w:pPr>
            <w:r w:rsidRPr="03828740">
              <w:rPr>
                <w:rFonts w:eastAsia="Calibri" w:cs="Calibri"/>
                <w:b/>
                <w:bCs/>
                <w:color w:val="000000" w:themeColor="text1"/>
                <w:sz w:val="20"/>
                <w:szCs w:val="20"/>
              </w:rPr>
              <w:t xml:space="preserve">+23 160,00 EUR </w:t>
            </w:r>
            <w:r w:rsidRPr="03828740">
              <w:rPr>
                <w:rFonts w:eastAsia="Calibri" w:cs="Calibri"/>
                <w:color w:val="000000" w:themeColor="text1"/>
                <w:sz w:val="20"/>
                <w:szCs w:val="20"/>
              </w:rPr>
              <w:t>dotácia z MPSVaR SR  na mimoriadne odmeny pre zamestnancov za I. vlnu pandémie</w:t>
            </w:r>
          </w:p>
          <w:p w14:paraId="4EE21526" w14:textId="77777777" w:rsidR="00875772" w:rsidRPr="00116D4B" w:rsidRDefault="00875772" w:rsidP="00875772">
            <w:pPr>
              <w:spacing w:after="0" w:line="240" w:lineRule="auto"/>
              <w:rPr>
                <w:rFonts w:eastAsia="Calibri" w:cs="Calibri"/>
                <w:color w:val="000000" w:themeColor="text1"/>
                <w:sz w:val="20"/>
                <w:szCs w:val="20"/>
              </w:rPr>
            </w:pPr>
            <w:r w:rsidRPr="03828740">
              <w:rPr>
                <w:rFonts w:eastAsia="Calibri" w:cs="Calibri"/>
                <w:b/>
                <w:bCs/>
                <w:color w:val="000000" w:themeColor="text1"/>
                <w:sz w:val="20"/>
                <w:szCs w:val="20"/>
              </w:rPr>
              <w:t xml:space="preserve">+2 000,00 EUR </w:t>
            </w:r>
            <w:r w:rsidRPr="03828740">
              <w:rPr>
                <w:rFonts w:eastAsia="Calibri" w:cs="Calibri"/>
                <w:color w:val="000000" w:themeColor="text1"/>
                <w:sz w:val="20"/>
                <w:szCs w:val="20"/>
              </w:rPr>
              <w:t>dotácia z MPSVaR SR na výživové doplnky (</w:t>
            </w:r>
            <w:proofErr w:type="spellStart"/>
            <w:r w:rsidRPr="03828740">
              <w:rPr>
                <w:rFonts w:eastAsia="Calibri" w:cs="Calibri"/>
                <w:color w:val="000000" w:themeColor="text1"/>
                <w:sz w:val="20"/>
                <w:szCs w:val="20"/>
              </w:rPr>
              <w:t>vit</w:t>
            </w:r>
            <w:proofErr w:type="spellEnd"/>
            <w:r w:rsidRPr="03828740">
              <w:rPr>
                <w:rFonts w:eastAsia="Calibri" w:cs="Calibri"/>
                <w:color w:val="000000" w:themeColor="text1"/>
                <w:sz w:val="20"/>
                <w:szCs w:val="20"/>
              </w:rPr>
              <w:t>. D3)</w:t>
            </w:r>
          </w:p>
          <w:p w14:paraId="5252235A" w14:textId="77777777" w:rsidR="00875772" w:rsidRPr="00116D4B" w:rsidRDefault="00875772" w:rsidP="00875772">
            <w:pPr>
              <w:spacing w:after="0" w:line="240" w:lineRule="auto"/>
              <w:rPr>
                <w:rFonts w:eastAsiaTheme="minorEastAsia"/>
                <w:sz w:val="20"/>
                <w:szCs w:val="20"/>
                <w:lang w:eastAsia="sk-SK"/>
              </w:rPr>
            </w:pPr>
            <w:r w:rsidRPr="03828740">
              <w:rPr>
                <w:rFonts w:eastAsia="Calibri" w:cs="Calibri"/>
                <w:b/>
                <w:bCs/>
                <w:color w:val="000000" w:themeColor="text1"/>
                <w:sz w:val="20"/>
                <w:szCs w:val="20"/>
              </w:rPr>
              <w:t>-6 960,00 EUR</w:t>
            </w:r>
            <w:r w:rsidRPr="03828740">
              <w:rPr>
                <w:rFonts w:eastAsia="Calibri" w:cs="Calibri"/>
                <w:color w:val="000000" w:themeColor="text1"/>
                <w:sz w:val="20"/>
                <w:szCs w:val="20"/>
              </w:rPr>
              <w:t xml:space="preserve"> zníženie rozpočtu BV (</w:t>
            </w:r>
            <w:proofErr w:type="spellStart"/>
            <w:r w:rsidRPr="03828740">
              <w:rPr>
                <w:rFonts w:eastAsia="Calibri" w:cs="Calibri"/>
                <w:color w:val="000000" w:themeColor="text1"/>
                <w:sz w:val="20"/>
                <w:szCs w:val="20"/>
              </w:rPr>
              <w:t>Uzn</w:t>
            </w:r>
            <w:proofErr w:type="spellEnd"/>
            <w:r w:rsidRPr="03828740">
              <w:rPr>
                <w:rFonts w:eastAsia="Calibri" w:cs="Calibri"/>
                <w:color w:val="000000" w:themeColor="text1"/>
                <w:sz w:val="20"/>
                <w:szCs w:val="20"/>
              </w:rPr>
              <w:t>. 247/2020 z 29.5.2020) z dôvodu nenaplnených daňových príjmov</w:t>
            </w:r>
          </w:p>
        </w:tc>
      </w:tr>
      <w:tr w:rsidR="00875772" w:rsidRPr="00116D4B" w14:paraId="70200E4A" w14:textId="77777777" w:rsidTr="00875772">
        <w:trPr>
          <w:tblCellSpacing w:w="15" w:type="dxa"/>
        </w:trPr>
        <w:tc>
          <w:tcPr>
            <w:tcW w:w="386" w:type="pct"/>
            <w:shd w:val="clear" w:color="auto" w:fill="D9D9D9" w:themeFill="background1" w:themeFillShade="D9"/>
            <w:noWrap/>
            <w:vAlign w:val="center"/>
            <w:hideMark/>
          </w:tcPr>
          <w:p w14:paraId="414F20F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008" w:type="pct"/>
            <w:shd w:val="clear" w:color="auto" w:fill="D9D9D9" w:themeFill="background1" w:themeFillShade="D9"/>
            <w:vAlign w:val="center"/>
            <w:hideMark/>
          </w:tcPr>
          <w:p w14:paraId="13B129A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475" w:type="pct"/>
            <w:shd w:val="clear" w:color="auto" w:fill="D9D9D9" w:themeFill="background1" w:themeFillShade="D9"/>
            <w:noWrap/>
            <w:vAlign w:val="center"/>
            <w:hideMark/>
          </w:tcPr>
          <w:p w14:paraId="0E98D2A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991 272,33</w:t>
            </w:r>
            <w:r w:rsidRPr="4F9BDBF9">
              <w:rPr>
                <w:rFonts w:eastAsiaTheme="minorEastAsia"/>
                <w:sz w:val="24"/>
                <w:szCs w:val="24"/>
                <w:lang w:eastAsia="sk-SK"/>
              </w:rPr>
              <w:t xml:space="preserve"> </w:t>
            </w:r>
          </w:p>
        </w:tc>
        <w:tc>
          <w:tcPr>
            <w:tcW w:w="550" w:type="pct"/>
            <w:shd w:val="clear" w:color="auto" w:fill="D9D9D9" w:themeFill="background1" w:themeFillShade="D9"/>
            <w:noWrap/>
            <w:vAlign w:val="center"/>
            <w:hideMark/>
          </w:tcPr>
          <w:p w14:paraId="17D60D5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1 016 926,31</w:t>
            </w:r>
            <w:r w:rsidRPr="4F9BDBF9">
              <w:rPr>
                <w:rFonts w:eastAsiaTheme="minorEastAsia"/>
                <w:sz w:val="24"/>
                <w:szCs w:val="24"/>
                <w:lang w:eastAsia="sk-SK"/>
              </w:rPr>
              <w:t xml:space="preserve"> </w:t>
            </w:r>
          </w:p>
        </w:tc>
        <w:tc>
          <w:tcPr>
            <w:tcW w:w="475" w:type="pct"/>
            <w:shd w:val="clear" w:color="auto" w:fill="D9D9D9" w:themeFill="background1" w:themeFillShade="D9"/>
            <w:noWrap/>
            <w:vAlign w:val="center"/>
            <w:hideMark/>
          </w:tcPr>
          <w:p w14:paraId="09CB613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979 883,26</w:t>
            </w:r>
            <w:r w:rsidRPr="4F9BDBF9">
              <w:rPr>
                <w:rFonts w:eastAsiaTheme="minorEastAsia"/>
                <w:sz w:val="24"/>
                <w:szCs w:val="24"/>
                <w:lang w:eastAsia="sk-SK"/>
              </w:rPr>
              <w:t xml:space="preserve"> </w:t>
            </w:r>
          </w:p>
        </w:tc>
        <w:tc>
          <w:tcPr>
            <w:tcW w:w="536" w:type="pct"/>
            <w:shd w:val="clear" w:color="auto" w:fill="D9D9D9" w:themeFill="background1" w:themeFillShade="D9"/>
            <w:noWrap/>
            <w:vAlign w:val="center"/>
            <w:hideMark/>
          </w:tcPr>
          <w:p w14:paraId="5A5CFF7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96,36</w:t>
            </w:r>
            <w:r w:rsidRPr="4F9BDBF9">
              <w:rPr>
                <w:rFonts w:eastAsiaTheme="minorEastAsia"/>
                <w:sz w:val="24"/>
                <w:szCs w:val="24"/>
                <w:lang w:eastAsia="sk-SK"/>
              </w:rPr>
              <w:t xml:space="preserve"> </w:t>
            </w:r>
          </w:p>
        </w:tc>
        <w:tc>
          <w:tcPr>
            <w:tcW w:w="1457" w:type="pct"/>
            <w:vMerge/>
            <w:shd w:val="clear" w:color="auto" w:fill="D9D9D9" w:themeFill="background1" w:themeFillShade="D9"/>
            <w:vAlign w:val="center"/>
            <w:hideMark/>
          </w:tcPr>
          <w:p w14:paraId="3CC1C143" w14:textId="77777777" w:rsidR="00875772" w:rsidRPr="00116D4B" w:rsidRDefault="00875772" w:rsidP="00875772">
            <w:pPr>
              <w:spacing w:after="0" w:line="240" w:lineRule="auto"/>
              <w:rPr>
                <w:rFonts w:eastAsia="Calibri" w:cs="Calibri"/>
                <w:color w:val="000000" w:themeColor="text1"/>
                <w:sz w:val="20"/>
                <w:szCs w:val="20"/>
              </w:rPr>
            </w:pPr>
          </w:p>
        </w:tc>
      </w:tr>
      <w:tr w:rsidR="00875772" w:rsidRPr="00116D4B" w14:paraId="10BE2922" w14:textId="77777777" w:rsidTr="00875772">
        <w:trPr>
          <w:tblCellSpacing w:w="15" w:type="dxa"/>
        </w:trPr>
        <w:tc>
          <w:tcPr>
            <w:tcW w:w="386" w:type="pct"/>
            <w:shd w:val="clear" w:color="auto" w:fill="EFEFEF"/>
            <w:noWrap/>
            <w:vAlign w:val="center"/>
            <w:hideMark/>
          </w:tcPr>
          <w:p w14:paraId="18D11CC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008" w:type="pct"/>
            <w:shd w:val="clear" w:color="auto" w:fill="EFEFEF"/>
            <w:vAlign w:val="center"/>
            <w:hideMark/>
          </w:tcPr>
          <w:p w14:paraId="2948D2E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475" w:type="pct"/>
            <w:shd w:val="clear" w:color="auto" w:fill="EFEFEF"/>
            <w:noWrap/>
            <w:vAlign w:val="center"/>
            <w:hideMark/>
          </w:tcPr>
          <w:p w14:paraId="69D0E4D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611 201,60</w:t>
            </w:r>
            <w:r w:rsidRPr="4F9BDBF9">
              <w:rPr>
                <w:rFonts w:eastAsiaTheme="minorEastAsia"/>
                <w:sz w:val="24"/>
                <w:szCs w:val="24"/>
                <w:lang w:eastAsia="sk-SK"/>
              </w:rPr>
              <w:t xml:space="preserve"> </w:t>
            </w:r>
          </w:p>
        </w:tc>
        <w:tc>
          <w:tcPr>
            <w:tcW w:w="550" w:type="pct"/>
            <w:shd w:val="clear" w:color="auto" w:fill="EFEFEF"/>
            <w:noWrap/>
            <w:vAlign w:val="center"/>
            <w:hideMark/>
          </w:tcPr>
          <w:p w14:paraId="0DE86AB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627 060,79</w:t>
            </w:r>
            <w:r w:rsidRPr="4F9BDBF9">
              <w:rPr>
                <w:rFonts w:eastAsiaTheme="minorEastAsia"/>
                <w:sz w:val="24"/>
                <w:szCs w:val="24"/>
                <w:lang w:eastAsia="sk-SK"/>
              </w:rPr>
              <w:t xml:space="preserve"> </w:t>
            </w:r>
          </w:p>
        </w:tc>
        <w:tc>
          <w:tcPr>
            <w:tcW w:w="475" w:type="pct"/>
            <w:shd w:val="clear" w:color="auto" w:fill="EFEFEF"/>
            <w:noWrap/>
            <w:vAlign w:val="center"/>
            <w:hideMark/>
          </w:tcPr>
          <w:p w14:paraId="2852E16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607 196,16</w:t>
            </w:r>
            <w:r w:rsidRPr="4F9BDBF9">
              <w:rPr>
                <w:rFonts w:eastAsiaTheme="minorEastAsia"/>
                <w:sz w:val="24"/>
                <w:szCs w:val="24"/>
                <w:lang w:eastAsia="sk-SK"/>
              </w:rPr>
              <w:t xml:space="preserve"> </w:t>
            </w:r>
          </w:p>
        </w:tc>
        <w:tc>
          <w:tcPr>
            <w:tcW w:w="536" w:type="pct"/>
            <w:shd w:val="clear" w:color="auto" w:fill="EFEFEF"/>
            <w:noWrap/>
            <w:vAlign w:val="center"/>
            <w:hideMark/>
          </w:tcPr>
          <w:p w14:paraId="0E9EB82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96,83</w:t>
            </w:r>
            <w:r w:rsidRPr="4F9BDBF9">
              <w:rPr>
                <w:rFonts w:eastAsiaTheme="minorEastAsia"/>
                <w:sz w:val="24"/>
                <w:szCs w:val="24"/>
                <w:lang w:eastAsia="sk-SK"/>
              </w:rPr>
              <w:t xml:space="preserve"> </w:t>
            </w:r>
          </w:p>
        </w:tc>
        <w:tc>
          <w:tcPr>
            <w:tcW w:w="1457" w:type="pct"/>
            <w:vMerge/>
            <w:vAlign w:val="center"/>
            <w:hideMark/>
          </w:tcPr>
          <w:p w14:paraId="7A0AF0A0"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1CF936A" w14:textId="77777777" w:rsidTr="00875772">
        <w:trPr>
          <w:tblCellSpacing w:w="15" w:type="dxa"/>
        </w:trPr>
        <w:tc>
          <w:tcPr>
            <w:tcW w:w="386" w:type="pct"/>
            <w:shd w:val="clear" w:color="auto" w:fill="EFEFEF"/>
            <w:noWrap/>
            <w:vAlign w:val="center"/>
            <w:hideMark/>
          </w:tcPr>
          <w:p w14:paraId="6A3CAC5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008" w:type="pct"/>
            <w:shd w:val="clear" w:color="auto" w:fill="EFEFEF"/>
            <w:vAlign w:val="center"/>
            <w:hideMark/>
          </w:tcPr>
          <w:p w14:paraId="34AC0E7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475" w:type="pct"/>
            <w:shd w:val="clear" w:color="auto" w:fill="EFEFEF"/>
            <w:noWrap/>
            <w:vAlign w:val="center"/>
            <w:hideMark/>
          </w:tcPr>
          <w:p w14:paraId="47B315E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213 641,52</w:t>
            </w:r>
            <w:r w:rsidRPr="4F9BDBF9">
              <w:rPr>
                <w:rFonts w:eastAsiaTheme="minorEastAsia"/>
                <w:sz w:val="24"/>
                <w:szCs w:val="24"/>
                <w:lang w:eastAsia="sk-SK"/>
              </w:rPr>
              <w:t xml:space="preserve"> </w:t>
            </w:r>
          </w:p>
        </w:tc>
        <w:tc>
          <w:tcPr>
            <w:tcW w:w="550" w:type="pct"/>
            <w:shd w:val="clear" w:color="auto" w:fill="EFEFEF"/>
            <w:noWrap/>
            <w:vAlign w:val="center"/>
            <w:hideMark/>
          </w:tcPr>
          <w:p w14:paraId="3C5B839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219 943,35</w:t>
            </w:r>
            <w:r w:rsidRPr="4F9BDBF9">
              <w:rPr>
                <w:rFonts w:eastAsiaTheme="minorEastAsia"/>
                <w:sz w:val="24"/>
                <w:szCs w:val="24"/>
                <w:lang w:eastAsia="sk-SK"/>
              </w:rPr>
              <w:t xml:space="preserve"> </w:t>
            </w:r>
          </w:p>
        </w:tc>
        <w:tc>
          <w:tcPr>
            <w:tcW w:w="475" w:type="pct"/>
            <w:shd w:val="clear" w:color="auto" w:fill="EFEFEF"/>
            <w:noWrap/>
            <w:vAlign w:val="center"/>
            <w:hideMark/>
          </w:tcPr>
          <w:p w14:paraId="1DD37DA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207 068,78</w:t>
            </w:r>
            <w:r w:rsidRPr="4F9BDBF9">
              <w:rPr>
                <w:rFonts w:eastAsiaTheme="minorEastAsia"/>
                <w:sz w:val="24"/>
                <w:szCs w:val="24"/>
                <w:lang w:eastAsia="sk-SK"/>
              </w:rPr>
              <w:t xml:space="preserve"> </w:t>
            </w:r>
          </w:p>
        </w:tc>
        <w:tc>
          <w:tcPr>
            <w:tcW w:w="536" w:type="pct"/>
            <w:shd w:val="clear" w:color="auto" w:fill="EFEFEF"/>
            <w:noWrap/>
            <w:vAlign w:val="center"/>
            <w:hideMark/>
          </w:tcPr>
          <w:p w14:paraId="5587AAE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94,15</w:t>
            </w:r>
            <w:r w:rsidRPr="4F9BDBF9">
              <w:rPr>
                <w:rFonts w:eastAsiaTheme="minorEastAsia"/>
                <w:sz w:val="24"/>
                <w:szCs w:val="24"/>
                <w:lang w:eastAsia="sk-SK"/>
              </w:rPr>
              <w:t xml:space="preserve"> </w:t>
            </w:r>
          </w:p>
        </w:tc>
        <w:tc>
          <w:tcPr>
            <w:tcW w:w="1457" w:type="pct"/>
            <w:vMerge/>
            <w:vAlign w:val="center"/>
            <w:hideMark/>
          </w:tcPr>
          <w:p w14:paraId="50B383A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36E0CD28" w14:textId="77777777" w:rsidTr="00875772">
        <w:trPr>
          <w:tblCellSpacing w:w="15" w:type="dxa"/>
        </w:trPr>
        <w:tc>
          <w:tcPr>
            <w:tcW w:w="386" w:type="pct"/>
            <w:shd w:val="clear" w:color="auto" w:fill="EFEFEF"/>
            <w:noWrap/>
            <w:vAlign w:val="center"/>
            <w:hideMark/>
          </w:tcPr>
          <w:p w14:paraId="6356FDE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008" w:type="pct"/>
            <w:shd w:val="clear" w:color="auto" w:fill="EFEFEF"/>
            <w:vAlign w:val="center"/>
            <w:hideMark/>
          </w:tcPr>
          <w:p w14:paraId="1B569FA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475" w:type="pct"/>
            <w:shd w:val="clear" w:color="auto" w:fill="EFEFEF"/>
            <w:noWrap/>
            <w:vAlign w:val="center"/>
            <w:hideMark/>
          </w:tcPr>
          <w:p w14:paraId="6538316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160 877,21</w:t>
            </w:r>
            <w:r w:rsidRPr="4F9BDBF9">
              <w:rPr>
                <w:rFonts w:eastAsiaTheme="minorEastAsia"/>
                <w:sz w:val="24"/>
                <w:szCs w:val="24"/>
                <w:lang w:eastAsia="sk-SK"/>
              </w:rPr>
              <w:t xml:space="preserve"> </w:t>
            </w:r>
          </w:p>
        </w:tc>
        <w:tc>
          <w:tcPr>
            <w:tcW w:w="550" w:type="pct"/>
            <w:shd w:val="clear" w:color="auto" w:fill="EFEFEF"/>
            <w:noWrap/>
            <w:vAlign w:val="center"/>
            <w:hideMark/>
          </w:tcPr>
          <w:p w14:paraId="37CCCEF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161 146,17</w:t>
            </w:r>
            <w:r w:rsidRPr="4F9BDBF9">
              <w:rPr>
                <w:rFonts w:eastAsiaTheme="minorEastAsia"/>
                <w:sz w:val="24"/>
                <w:szCs w:val="24"/>
                <w:lang w:eastAsia="sk-SK"/>
              </w:rPr>
              <w:t xml:space="preserve"> </w:t>
            </w:r>
          </w:p>
        </w:tc>
        <w:tc>
          <w:tcPr>
            <w:tcW w:w="475" w:type="pct"/>
            <w:shd w:val="clear" w:color="auto" w:fill="EFEFEF"/>
            <w:noWrap/>
            <w:vAlign w:val="center"/>
            <w:hideMark/>
          </w:tcPr>
          <w:p w14:paraId="472C54D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157 568,53</w:t>
            </w:r>
            <w:r w:rsidRPr="4F9BDBF9">
              <w:rPr>
                <w:rFonts w:eastAsiaTheme="minorEastAsia"/>
                <w:sz w:val="24"/>
                <w:szCs w:val="24"/>
                <w:lang w:eastAsia="sk-SK"/>
              </w:rPr>
              <w:t xml:space="preserve"> </w:t>
            </w:r>
          </w:p>
        </w:tc>
        <w:tc>
          <w:tcPr>
            <w:tcW w:w="536" w:type="pct"/>
            <w:shd w:val="clear" w:color="auto" w:fill="EFEFEF"/>
            <w:noWrap/>
            <w:vAlign w:val="center"/>
            <w:hideMark/>
          </w:tcPr>
          <w:p w14:paraId="0AC05D2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97,78</w:t>
            </w:r>
            <w:r w:rsidRPr="4F9BDBF9">
              <w:rPr>
                <w:rFonts w:eastAsiaTheme="minorEastAsia"/>
                <w:sz w:val="24"/>
                <w:szCs w:val="24"/>
                <w:lang w:eastAsia="sk-SK"/>
              </w:rPr>
              <w:t xml:space="preserve"> </w:t>
            </w:r>
          </w:p>
        </w:tc>
        <w:tc>
          <w:tcPr>
            <w:tcW w:w="1457" w:type="pct"/>
            <w:vMerge/>
            <w:vAlign w:val="center"/>
            <w:hideMark/>
          </w:tcPr>
          <w:p w14:paraId="10C37EB6"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091FC6D" w14:textId="77777777" w:rsidTr="00875772">
        <w:trPr>
          <w:tblCellSpacing w:w="15" w:type="dxa"/>
        </w:trPr>
        <w:tc>
          <w:tcPr>
            <w:tcW w:w="386" w:type="pct"/>
            <w:shd w:val="clear" w:color="auto" w:fill="EFEFEF"/>
            <w:noWrap/>
            <w:vAlign w:val="center"/>
            <w:hideMark/>
          </w:tcPr>
          <w:p w14:paraId="692B447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008" w:type="pct"/>
            <w:shd w:val="clear" w:color="auto" w:fill="EFEFEF"/>
            <w:vAlign w:val="center"/>
            <w:hideMark/>
          </w:tcPr>
          <w:p w14:paraId="3BEF116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475" w:type="pct"/>
            <w:shd w:val="clear" w:color="auto" w:fill="EFEFEF"/>
            <w:noWrap/>
            <w:vAlign w:val="center"/>
            <w:hideMark/>
          </w:tcPr>
          <w:p w14:paraId="5D7C6E4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5 552,00</w:t>
            </w:r>
            <w:r w:rsidRPr="4F9BDBF9">
              <w:rPr>
                <w:rFonts w:eastAsiaTheme="minorEastAsia"/>
                <w:sz w:val="24"/>
                <w:szCs w:val="24"/>
                <w:lang w:eastAsia="sk-SK"/>
              </w:rPr>
              <w:t xml:space="preserve"> </w:t>
            </w:r>
          </w:p>
        </w:tc>
        <w:tc>
          <w:tcPr>
            <w:tcW w:w="550" w:type="pct"/>
            <w:shd w:val="clear" w:color="auto" w:fill="EFEFEF"/>
            <w:noWrap/>
            <w:vAlign w:val="center"/>
            <w:hideMark/>
          </w:tcPr>
          <w:p w14:paraId="099F279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8 776,00</w:t>
            </w:r>
            <w:r w:rsidRPr="4F9BDBF9">
              <w:rPr>
                <w:rFonts w:eastAsiaTheme="minorEastAsia"/>
                <w:sz w:val="24"/>
                <w:szCs w:val="24"/>
                <w:lang w:eastAsia="sk-SK"/>
              </w:rPr>
              <w:t xml:space="preserve"> </w:t>
            </w:r>
          </w:p>
        </w:tc>
        <w:tc>
          <w:tcPr>
            <w:tcW w:w="475" w:type="pct"/>
            <w:shd w:val="clear" w:color="auto" w:fill="EFEFEF"/>
            <w:noWrap/>
            <w:vAlign w:val="center"/>
            <w:hideMark/>
          </w:tcPr>
          <w:p w14:paraId="39BE42C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8 049,79</w:t>
            </w:r>
            <w:r w:rsidRPr="4F9BDBF9">
              <w:rPr>
                <w:rFonts w:eastAsiaTheme="minorEastAsia"/>
                <w:sz w:val="24"/>
                <w:szCs w:val="24"/>
                <w:lang w:eastAsia="sk-SK"/>
              </w:rPr>
              <w:t xml:space="preserve"> </w:t>
            </w:r>
          </w:p>
        </w:tc>
        <w:tc>
          <w:tcPr>
            <w:tcW w:w="536" w:type="pct"/>
            <w:shd w:val="clear" w:color="auto" w:fill="EFEFEF"/>
            <w:noWrap/>
            <w:vAlign w:val="center"/>
            <w:hideMark/>
          </w:tcPr>
          <w:p w14:paraId="53151A0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91,73</w:t>
            </w:r>
            <w:r w:rsidRPr="4F9BDBF9">
              <w:rPr>
                <w:rFonts w:eastAsiaTheme="minorEastAsia"/>
                <w:sz w:val="24"/>
                <w:szCs w:val="24"/>
                <w:lang w:eastAsia="sk-SK"/>
              </w:rPr>
              <w:t xml:space="preserve"> </w:t>
            </w:r>
          </w:p>
        </w:tc>
        <w:tc>
          <w:tcPr>
            <w:tcW w:w="1457" w:type="pct"/>
            <w:vMerge/>
            <w:vAlign w:val="center"/>
            <w:hideMark/>
          </w:tcPr>
          <w:p w14:paraId="6B950FF4" w14:textId="77777777" w:rsidR="00875772" w:rsidRPr="00116D4B" w:rsidRDefault="00875772" w:rsidP="00875772">
            <w:pPr>
              <w:spacing w:after="0" w:line="240" w:lineRule="auto"/>
              <w:rPr>
                <w:rFonts w:ascii="Times New Roman" w:hAnsi="Times New Roman"/>
                <w:sz w:val="24"/>
                <w:szCs w:val="24"/>
                <w:lang w:eastAsia="sk-SK"/>
              </w:rPr>
            </w:pPr>
          </w:p>
        </w:tc>
      </w:tr>
    </w:tbl>
    <w:p w14:paraId="0B8DB3F3"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3DE21083" w14:textId="77777777" w:rsidTr="00875772">
        <w:trPr>
          <w:tblCellSpacing w:w="15" w:type="dxa"/>
        </w:trPr>
        <w:tc>
          <w:tcPr>
            <w:tcW w:w="0" w:type="auto"/>
            <w:shd w:val="clear" w:color="auto" w:fill="C2D69B"/>
            <w:vAlign w:val="center"/>
            <w:hideMark/>
          </w:tcPr>
          <w:p w14:paraId="563D164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008D0AC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03C212F4" w14:textId="77777777" w:rsidTr="00875772">
        <w:trPr>
          <w:tblCellSpacing w:w="15" w:type="dxa"/>
        </w:trPr>
        <w:tc>
          <w:tcPr>
            <w:tcW w:w="0" w:type="auto"/>
            <w:shd w:val="clear" w:color="auto" w:fill="C2D69B"/>
            <w:vAlign w:val="center"/>
            <w:hideMark/>
          </w:tcPr>
          <w:p w14:paraId="24A0443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3366A48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7FB23246" w14:textId="77777777" w:rsidTr="00875772">
        <w:trPr>
          <w:tblCellSpacing w:w="15" w:type="dxa"/>
        </w:trPr>
        <w:tc>
          <w:tcPr>
            <w:tcW w:w="0" w:type="auto"/>
            <w:shd w:val="clear" w:color="auto" w:fill="C2D69B"/>
            <w:vAlign w:val="center"/>
            <w:hideMark/>
          </w:tcPr>
          <w:p w14:paraId="475DDA8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7696511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5EF12235" w14:textId="77777777" w:rsidTr="00875772">
        <w:trPr>
          <w:tblCellSpacing w:w="15" w:type="dxa"/>
        </w:trPr>
        <w:tc>
          <w:tcPr>
            <w:tcW w:w="0" w:type="auto"/>
            <w:shd w:val="clear" w:color="auto" w:fill="C2D69B"/>
            <w:vAlign w:val="center"/>
            <w:hideMark/>
          </w:tcPr>
          <w:p w14:paraId="723FB3E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10E62E6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698E7B1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1A14BCC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289B0A9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138F9B2C" w14:textId="77777777" w:rsidTr="00875772">
        <w:trPr>
          <w:tblCellSpacing w:w="15" w:type="dxa"/>
        </w:trPr>
        <w:tc>
          <w:tcPr>
            <w:tcW w:w="0" w:type="auto"/>
            <w:shd w:val="clear" w:color="auto" w:fill="C2D69B"/>
            <w:vAlign w:val="center"/>
            <w:hideMark/>
          </w:tcPr>
          <w:p w14:paraId="63BA3AA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7A69B62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447D853B"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96.43</w:t>
            </w:r>
            <w:r w:rsidRPr="3E14EAE1">
              <w:rPr>
                <w:rFonts w:eastAsiaTheme="minorEastAsia"/>
                <w:sz w:val="24"/>
                <w:szCs w:val="24"/>
                <w:lang w:eastAsia="sk-SK"/>
              </w:rPr>
              <w:t xml:space="preserve"> </w:t>
            </w:r>
          </w:p>
        </w:tc>
        <w:tc>
          <w:tcPr>
            <w:tcW w:w="0" w:type="auto"/>
            <w:shd w:val="clear" w:color="auto" w:fill="C2D69B"/>
            <w:vAlign w:val="center"/>
            <w:hideMark/>
          </w:tcPr>
          <w:p w14:paraId="1E6CEF8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542E696F" w14:textId="77777777" w:rsidR="00875772" w:rsidRPr="00116D4B" w:rsidRDefault="00875772" w:rsidP="00875772">
            <w:pPr>
              <w:spacing w:after="0" w:line="240" w:lineRule="auto"/>
              <w:jc w:val="center"/>
              <w:rPr>
                <w:rFonts w:eastAsiaTheme="minorEastAsia"/>
                <w:sz w:val="24"/>
                <w:szCs w:val="24"/>
                <w:lang w:eastAsia="sk-SK"/>
              </w:rPr>
            </w:pPr>
          </w:p>
        </w:tc>
      </w:tr>
    </w:tbl>
    <w:p w14:paraId="0740A448"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11.1.2: DSS pre dospelých Báhoň</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4"/>
        <w:gridCol w:w="30"/>
        <w:gridCol w:w="1744"/>
        <w:gridCol w:w="1174"/>
        <w:gridCol w:w="1134"/>
        <w:gridCol w:w="1134"/>
        <w:gridCol w:w="993"/>
        <w:gridCol w:w="3803"/>
      </w:tblGrid>
      <w:tr w:rsidR="00875772" w:rsidRPr="00116D4B" w14:paraId="3CAD214F" w14:textId="77777777" w:rsidTr="00875772">
        <w:trPr>
          <w:tblCellSpacing w:w="15" w:type="dxa"/>
        </w:trPr>
        <w:tc>
          <w:tcPr>
            <w:tcW w:w="0" w:type="auto"/>
            <w:gridSpan w:val="2"/>
            <w:shd w:val="clear" w:color="auto" w:fill="C6DBF7"/>
            <w:vAlign w:val="center"/>
            <w:hideMark/>
          </w:tcPr>
          <w:p w14:paraId="55EB0199" w14:textId="77777777" w:rsidR="00875772" w:rsidRPr="00116D4B" w:rsidRDefault="00875772" w:rsidP="00875772">
            <w:pPr>
              <w:spacing w:after="0" w:line="240" w:lineRule="auto"/>
              <w:jc w:val="center"/>
              <w:rPr>
                <w:rFonts w:eastAsiaTheme="minorEastAsia"/>
                <w:sz w:val="24"/>
                <w:szCs w:val="24"/>
                <w:lang w:eastAsia="sk-SK"/>
              </w:rPr>
            </w:pPr>
            <w:r>
              <w:rPr>
                <w:rFonts w:eastAsiaTheme="minorEastAsia"/>
                <w:b/>
                <w:bCs/>
                <w:sz w:val="20"/>
                <w:szCs w:val="20"/>
                <w:lang w:eastAsia="sk-SK"/>
              </w:rPr>
              <w:t xml:space="preserve">Kód </w:t>
            </w:r>
            <w:r w:rsidRPr="4F9BDBF9">
              <w:rPr>
                <w:rFonts w:eastAsiaTheme="minorEastAsia"/>
                <w:b/>
                <w:bCs/>
                <w:sz w:val="20"/>
                <w:szCs w:val="20"/>
                <w:lang w:eastAsia="sk-SK"/>
              </w:rPr>
              <w:t>EK</w:t>
            </w:r>
          </w:p>
        </w:tc>
        <w:tc>
          <w:tcPr>
            <w:tcW w:w="1714" w:type="dxa"/>
            <w:shd w:val="clear" w:color="auto" w:fill="C6DBF7"/>
            <w:vAlign w:val="center"/>
            <w:hideMark/>
          </w:tcPr>
          <w:p w14:paraId="33A92133" w14:textId="77777777" w:rsidR="00875772" w:rsidRDefault="00875772" w:rsidP="00875772">
            <w:pPr>
              <w:spacing w:after="0" w:line="240" w:lineRule="auto"/>
              <w:jc w:val="center"/>
              <w:rPr>
                <w:rFonts w:eastAsiaTheme="minorEastAsia"/>
                <w:b/>
                <w:bCs/>
                <w:sz w:val="20"/>
                <w:szCs w:val="20"/>
                <w:lang w:eastAsia="sk-SK"/>
              </w:rPr>
            </w:pPr>
            <w:r w:rsidRPr="4F9BDBF9">
              <w:rPr>
                <w:rFonts w:eastAsiaTheme="minorEastAsia"/>
                <w:b/>
                <w:bCs/>
                <w:sz w:val="20"/>
                <w:szCs w:val="20"/>
                <w:lang w:eastAsia="sk-SK"/>
              </w:rPr>
              <w:t>Ekonomická </w:t>
            </w:r>
          </w:p>
          <w:p w14:paraId="7A6B7A77" w14:textId="77777777" w:rsidR="00875772" w:rsidRPr="00796434" w:rsidRDefault="00875772" w:rsidP="00875772">
            <w:pPr>
              <w:spacing w:after="0" w:line="240" w:lineRule="auto"/>
              <w:jc w:val="center"/>
              <w:rPr>
                <w:rFonts w:eastAsiaTheme="minorEastAsia"/>
                <w:b/>
                <w:bCs/>
                <w:sz w:val="20"/>
                <w:szCs w:val="20"/>
                <w:lang w:eastAsia="sk-SK"/>
              </w:rPr>
            </w:pPr>
            <w:r w:rsidRPr="4F9BDBF9">
              <w:rPr>
                <w:rFonts w:eastAsiaTheme="minorEastAsia"/>
                <w:b/>
                <w:bCs/>
                <w:sz w:val="20"/>
                <w:szCs w:val="20"/>
                <w:lang w:eastAsia="sk-SK"/>
              </w:rPr>
              <w:t>klasifikácia</w:t>
            </w:r>
          </w:p>
        </w:tc>
        <w:tc>
          <w:tcPr>
            <w:tcW w:w="1144" w:type="dxa"/>
            <w:shd w:val="clear" w:color="auto" w:fill="C6DBF7"/>
            <w:vAlign w:val="center"/>
            <w:hideMark/>
          </w:tcPr>
          <w:p w14:paraId="0846186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0421D92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219411B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963" w:type="dxa"/>
            <w:shd w:val="clear" w:color="auto" w:fill="C6DBF7"/>
            <w:vAlign w:val="center"/>
            <w:hideMark/>
          </w:tcPr>
          <w:p w14:paraId="487993C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758" w:type="dxa"/>
            <w:shd w:val="clear" w:color="auto" w:fill="C6DBF7"/>
            <w:vAlign w:val="center"/>
            <w:hideMark/>
          </w:tcPr>
          <w:p w14:paraId="7B27B08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4CF38E43" w14:textId="77777777" w:rsidTr="00875772">
        <w:trPr>
          <w:tblCellSpacing w:w="15" w:type="dxa"/>
        </w:trPr>
        <w:tc>
          <w:tcPr>
            <w:tcW w:w="0" w:type="auto"/>
            <w:shd w:val="clear" w:color="auto" w:fill="D9D9D9" w:themeFill="background1" w:themeFillShade="D9"/>
            <w:noWrap/>
            <w:vAlign w:val="center"/>
            <w:hideMark/>
          </w:tcPr>
          <w:p w14:paraId="58E3B8ED" w14:textId="77777777" w:rsidR="00875772" w:rsidRPr="00116D4B" w:rsidRDefault="00875772" w:rsidP="00875772">
            <w:pPr>
              <w:spacing w:after="0" w:line="240" w:lineRule="auto"/>
              <w:jc w:val="center"/>
              <w:rPr>
                <w:rFonts w:eastAsiaTheme="minorEastAsia"/>
                <w:sz w:val="24"/>
                <w:szCs w:val="24"/>
                <w:lang w:eastAsia="sk-SK"/>
              </w:rPr>
            </w:pPr>
          </w:p>
        </w:tc>
        <w:tc>
          <w:tcPr>
            <w:tcW w:w="1744" w:type="dxa"/>
            <w:gridSpan w:val="2"/>
            <w:shd w:val="clear" w:color="auto" w:fill="D9D9D9" w:themeFill="background1" w:themeFillShade="D9"/>
            <w:vAlign w:val="center"/>
            <w:hideMark/>
          </w:tcPr>
          <w:p w14:paraId="333A452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144" w:type="dxa"/>
            <w:shd w:val="clear" w:color="auto" w:fill="D9D9D9" w:themeFill="background1" w:themeFillShade="D9"/>
            <w:noWrap/>
            <w:vAlign w:val="center"/>
            <w:hideMark/>
          </w:tcPr>
          <w:p w14:paraId="5D7B8F9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2 126 600,48</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68410E1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2 248 577,00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22C7627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2 196 427,21</w:t>
            </w:r>
            <w:r w:rsidRPr="4F9BDBF9">
              <w:rPr>
                <w:rFonts w:eastAsiaTheme="minorEastAsia"/>
                <w:sz w:val="24"/>
                <w:szCs w:val="24"/>
                <w:lang w:eastAsia="sk-SK"/>
              </w:rPr>
              <w:t xml:space="preserve"> </w:t>
            </w:r>
          </w:p>
        </w:tc>
        <w:tc>
          <w:tcPr>
            <w:tcW w:w="963" w:type="dxa"/>
            <w:shd w:val="clear" w:color="auto" w:fill="D9D9D9" w:themeFill="background1" w:themeFillShade="D9"/>
            <w:noWrap/>
            <w:vAlign w:val="center"/>
            <w:hideMark/>
          </w:tcPr>
          <w:p w14:paraId="5618AF8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97,68</w:t>
            </w:r>
            <w:r w:rsidRPr="4F9BDBF9">
              <w:rPr>
                <w:rFonts w:eastAsiaTheme="minorEastAsia"/>
                <w:sz w:val="24"/>
                <w:szCs w:val="24"/>
                <w:lang w:eastAsia="sk-SK"/>
              </w:rPr>
              <w:t xml:space="preserve"> </w:t>
            </w:r>
          </w:p>
        </w:tc>
        <w:tc>
          <w:tcPr>
            <w:tcW w:w="3758" w:type="dxa"/>
            <w:vMerge w:val="restart"/>
            <w:shd w:val="clear" w:color="auto" w:fill="D9D9D9" w:themeFill="background1" w:themeFillShade="D9"/>
            <w:vAlign w:val="center"/>
            <w:hideMark/>
          </w:tcPr>
          <w:p w14:paraId="0C133234" w14:textId="77777777" w:rsidR="00875772" w:rsidRDefault="00875772" w:rsidP="00875772">
            <w:pPr>
              <w:spacing w:after="0" w:line="240" w:lineRule="auto"/>
              <w:rPr>
                <w:rFonts w:eastAsiaTheme="minorEastAsia"/>
                <w:sz w:val="20"/>
                <w:szCs w:val="20"/>
                <w:lang w:eastAsia="sk-SK"/>
              </w:rPr>
            </w:pPr>
            <w:r w:rsidRPr="00796434">
              <w:rPr>
                <w:rFonts w:eastAsiaTheme="minorEastAsia"/>
                <w:b/>
                <w:bCs/>
                <w:sz w:val="20"/>
                <w:szCs w:val="20"/>
                <w:lang w:eastAsia="sk-SK"/>
              </w:rPr>
              <w:t>+</w:t>
            </w:r>
            <w:r>
              <w:rPr>
                <w:rFonts w:eastAsiaTheme="minorEastAsia"/>
                <w:b/>
                <w:bCs/>
                <w:sz w:val="20"/>
                <w:szCs w:val="20"/>
                <w:lang w:eastAsia="sk-SK"/>
              </w:rPr>
              <w:t>46 738,94</w:t>
            </w:r>
            <w:r w:rsidRPr="00796434">
              <w:rPr>
                <w:rFonts w:eastAsiaTheme="minorEastAsia"/>
                <w:b/>
                <w:bCs/>
                <w:sz w:val="20"/>
                <w:szCs w:val="20"/>
                <w:lang w:eastAsia="sk-SK"/>
              </w:rPr>
              <w:t xml:space="preserve"> EUR</w:t>
            </w:r>
            <w:r w:rsidRPr="00796434">
              <w:rPr>
                <w:rFonts w:eastAsiaTheme="minorEastAsia"/>
                <w:sz w:val="20"/>
                <w:szCs w:val="20"/>
                <w:lang w:eastAsia="sk-SK"/>
              </w:rPr>
              <w:t xml:space="preserve"> presun z P11.3 na navýšenie mzdových prostriedkov</w:t>
            </w:r>
          </w:p>
          <w:p w14:paraId="5779AC09" w14:textId="77777777" w:rsidR="00875772" w:rsidRPr="00DC3D9A" w:rsidRDefault="00875772" w:rsidP="00875772">
            <w:pPr>
              <w:spacing w:after="0" w:line="240" w:lineRule="auto"/>
              <w:rPr>
                <w:rFonts w:eastAsiaTheme="minorEastAsia"/>
                <w:b/>
                <w:sz w:val="20"/>
                <w:szCs w:val="20"/>
                <w:lang w:eastAsia="sk-SK"/>
              </w:rPr>
            </w:pPr>
            <w:r w:rsidRPr="00DC3D9A">
              <w:rPr>
                <w:rFonts w:eastAsiaTheme="minorEastAsia"/>
                <w:b/>
                <w:sz w:val="20"/>
                <w:szCs w:val="20"/>
                <w:lang w:eastAsia="sk-SK"/>
              </w:rPr>
              <w:t>+3 165,58 EUR</w:t>
            </w:r>
            <w:r>
              <w:rPr>
                <w:rFonts w:eastAsiaTheme="minorEastAsia"/>
                <w:sz w:val="20"/>
                <w:szCs w:val="20"/>
                <w:lang w:eastAsia="sk-SK"/>
              </w:rPr>
              <w:t xml:space="preserve"> presun z P11.3 na </w:t>
            </w:r>
            <w:proofErr w:type="spellStart"/>
            <w:r>
              <w:rPr>
                <w:rFonts w:eastAsiaTheme="minorEastAsia"/>
                <w:sz w:val="20"/>
                <w:szCs w:val="20"/>
                <w:lang w:eastAsia="sk-SK"/>
              </w:rPr>
              <w:t>germicídne</w:t>
            </w:r>
            <w:proofErr w:type="spellEnd"/>
            <w:r>
              <w:rPr>
                <w:rFonts w:eastAsiaTheme="minorEastAsia"/>
                <w:sz w:val="20"/>
                <w:szCs w:val="20"/>
                <w:lang w:eastAsia="sk-SK"/>
              </w:rPr>
              <w:t xml:space="preserve"> žiariče, dezinfekciu a OOPP</w:t>
            </w:r>
          </w:p>
          <w:p w14:paraId="71C9C97B" w14:textId="77777777" w:rsidR="00875772" w:rsidRPr="00796434" w:rsidRDefault="00875772" w:rsidP="00875772">
            <w:pPr>
              <w:spacing w:after="0" w:line="240" w:lineRule="auto"/>
              <w:rPr>
                <w:rFonts w:eastAsiaTheme="minorEastAsia"/>
                <w:sz w:val="20"/>
                <w:szCs w:val="20"/>
                <w:lang w:eastAsia="sk-SK"/>
              </w:rPr>
            </w:pPr>
            <w:r w:rsidRPr="00796434">
              <w:rPr>
                <w:rFonts w:eastAsiaTheme="minorEastAsia"/>
                <w:b/>
                <w:bCs/>
                <w:sz w:val="20"/>
                <w:szCs w:val="20"/>
                <w:lang w:eastAsia="sk-SK"/>
              </w:rPr>
              <w:lastRenderedPageBreak/>
              <w:t>+</w:t>
            </w:r>
            <w:r>
              <w:rPr>
                <w:rFonts w:eastAsiaTheme="minorEastAsia"/>
                <w:b/>
                <w:bCs/>
                <w:sz w:val="20"/>
                <w:szCs w:val="20"/>
                <w:lang w:eastAsia="sk-SK"/>
              </w:rPr>
              <w:t>1 000,00</w:t>
            </w:r>
            <w:r w:rsidRPr="00796434">
              <w:rPr>
                <w:rFonts w:eastAsiaTheme="minorEastAsia"/>
                <w:b/>
                <w:bCs/>
                <w:sz w:val="20"/>
                <w:szCs w:val="20"/>
                <w:lang w:eastAsia="sk-SK"/>
              </w:rPr>
              <w:t xml:space="preserve"> EUR </w:t>
            </w:r>
            <w:r w:rsidRPr="00796434">
              <w:rPr>
                <w:rFonts w:eastAsiaTheme="minorEastAsia"/>
                <w:sz w:val="20"/>
                <w:szCs w:val="20"/>
                <w:lang w:eastAsia="sk-SK"/>
              </w:rPr>
              <w:t>dary</w:t>
            </w:r>
          </w:p>
          <w:p w14:paraId="65436952" w14:textId="77777777" w:rsidR="00875772" w:rsidRPr="00796434" w:rsidRDefault="00875772" w:rsidP="00875772">
            <w:pPr>
              <w:spacing w:after="0" w:line="240" w:lineRule="auto"/>
              <w:rPr>
                <w:rFonts w:eastAsiaTheme="minorEastAsia"/>
                <w:sz w:val="20"/>
                <w:szCs w:val="20"/>
                <w:lang w:eastAsia="sk-SK"/>
              </w:rPr>
            </w:pPr>
            <w:r w:rsidRPr="00796434">
              <w:rPr>
                <w:rFonts w:eastAsiaTheme="minorEastAsia"/>
                <w:b/>
                <w:bCs/>
                <w:sz w:val="20"/>
                <w:szCs w:val="20"/>
                <w:lang w:eastAsia="sk-SK"/>
              </w:rPr>
              <w:t>+</w:t>
            </w:r>
            <w:r>
              <w:rPr>
                <w:rFonts w:eastAsiaTheme="minorEastAsia"/>
                <w:b/>
                <w:bCs/>
                <w:sz w:val="20"/>
                <w:szCs w:val="20"/>
                <w:lang w:eastAsia="sk-SK"/>
              </w:rPr>
              <w:t>66 392</w:t>
            </w:r>
            <w:r w:rsidRPr="00796434">
              <w:rPr>
                <w:rFonts w:eastAsiaTheme="minorEastAsia"/>
                <w:b/>
                <w:bCs/>
                <w:sz w:val="20"/>
                <w:szCs w:val="20"/>
                <w:lang w:eastAsia="sk-SK"/>
              </w:rPr>
              <w:t xml:space="preserve">,00 EUR </w:t>
            </w:r>
            <w:r w:rsidRPr="00796434">
              <w:rPr>
                <w:rFonts w:eastAsiaTheme="minorEastAsia"/>
                <w:sz w:val="20"/>
                <w:szCs w:val="20"/>
                <w:lang w:eastAsia="sk-SK"/>
              </w:rPr>
              <w:t>dotácia z MPSVaR SR  na mimoriadne odmeny pre zamestnancov za I. vlnu pandémie</w:t>
            </w:r>
          </w:p>
          <w:p w14:paraId="662C4F85" w14:textId="77777777" w:rsidR="00875772" w:rsidRPr="00116D4B" w:rsidRDefault="00875772" w:rsidP="00875772">
            <w:pPr>
              <w:spacing w:after="0" w:line="240" w:lineRule="auto"/>
              <w:rPr>
                <w:rFonts w:eastAsiaTheme="minorEastAsia"/>
                <w:sz w:val="20"/>
                <w:szCs w:val="20"/>
                <w:lang w:eastAsia="sk-SK"/>
              </w:rPr>
            </w:pPr>
            <w:r w:rsidRPr="00796434">
              <w:rPr>
                <w:rFonts w:eastAsiaTheme="minorEastAsia"/>
                <w:b/>
                <w:bCs/>
                <w:sz w:val="20"/>
                <w:szCs w:val="20"/>
                <w:lang w:eastAsia="sk-SK"/>
              </w:rPr>
              <w:t>+</w:t>
            </w:r>
            <w:r>
              <w:rPr>
                <w:rFonts w:eastAsiaTheme="minorEastAsia"/>
                <w:b/>
                <w:bCs/>
                <w:sz w:val="20"/>
                <w:szCs w:val="20"/>
                <w:lang w:eastAsia="sk-SK"/>
              </w:rPr>
              <w:t>4 680</w:t>
            </w:r>
            <w:r w:rsidRPr="00796434">
              <w:rPr>
                <w:rFonts w:eastAsiaTheme="minorEastAsia"/>
                <w:b/>
                <w:bCs/>
                <w:sz w:val="20"/>
                <w:szCs w:val="20"/>
                <w:lang w:eastAsia="sk-SK"/>
              </w:rPr>
              <w:t xml:space="preserve">,00 EUR </w:t>
            </w:r>
            <w:r w:rsidRPr="00796434">
              <w:rPr>
                <w:rFonts w:eastAsiaTheme="minorEastAsia"/>
                <w:sz w:val="20"/>
                <w:szCs w:val="20"/>
                <w:lang w:eastAsia="sk-SK"/>
              </w:rPr>
              <w:t>dotácia z MPSVaR SR na výživové doplnky (</w:t>
            </w:r>
            <w:proofErr w:type="spellStart"/>
            <w:r w:rsidRPr="00796434">
              <w:rPr>
                <w:rFonts w:eastAsiaTheme="minorEastAsia"/>
                <w:sz w:val="20"/>
                <w:szCs w:val="20"/>
                <w:lang w:eastAsia="sk-SK"/>
              </w:rPr>
              <w:t>vit</w:t>
            </w:r>
            <w:proofErr w:type="spellEnd"/>
            <w:r w:rsidRPr="00796434">
              <w:rPr>
                <w:rFonts w:eastAsiaTheme="minorEastAsia"/>
                <w:sz w:val="20"/>
                <w:szCs w:val="20"/>
                <w:lang w:eastAsia="sk-SK"/>
              </w:rPr>
              <w:t>. D3)</w:t>
            </w:r>
          </w:p>
        </w:tc>
      </w:tr>
      <w:tr w:rsidR="00875772" w:rsidRPr="00116D4B" w14:paraId="3085DF1A" w14:textId="77777777" w:rsidTr="00875772">
        <w:trPr>
          <w:tblCellSpacing w:w="15" w:type="dxa"/>
        </w:trPr>
        <w:tc>
          <w:tcPr>
            <w:tcW w:w="0" w:type="auto"/>
            <w:shd w:val="clear" w:color="auto" w:fill="D9D9D9" w:themeFill="background1" w:themeFillShade="D9"/>
            <w:noWrap/>
            <w:vAlign w:val="center"/>
            <w:hideMark/>
          </w:tcPr>
          <w:p w14:paraId="36A57E3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744" w:type="dxa"/>
            <w:gridSpan w:val="2"/>
            <w:shd w:val="clear" w:color="auto" w:fill="D9D9D9" w:themeFill="background1" w:themeFillShade="D9"/>
            <w:vAlign w:val="center"/>
            <w:hideMark/>
          </w:tcPr>
          <w:p w14:paraId="05E8416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144" w:type="dxa"/>
            <w:shd w:val="clear" w:color="auto" w:fill="D9D9D9" w:themeFill="background1" w:themeFillShade="D9"/>
            <w:noWrap/>
            <w:vAlign w:val="center"/>
            <w:hideMark/>
          </w:tcPr>
          <w:p w14:paraId="3A21C71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2 126 600,48</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3CDF797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2 248 577,00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6442FE2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2 196 427,21</w:t>
            </w:r>
            <w:r w:rsidRPr="4F9BDBF9">
              <w:rPr>
                <w:rFonts w:eastAsiaTheme="minorEastAsia"/>
                <w:sz w:val="24"/>
                <w:szCs w:val="24"/>
                <w:lang w:eastAsia="sk-SK"/>
              </w:rPr>
              <w:t xml:space="preserve"> </w:t>
            </w:r>
          </w:p>
        </w:tc>
        <w:tc>
          <w:tcPr>
            <w:tcW w:w="963" w:type="dxa"/>
            <w:shd w:val="clear" w:color="auto" w:fill="D9D9D9" w:themeFill="background1" w:themeFillShade="D9"/>
            <w:noWrap/>
            <w:vAlign w:val="center"/>
            <w:hideMark/>
          </w:tcPr>
          <w:p w14:paraId="791DF68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97,68</w:t>
            </w:r>
            <w:r w:rsidRPr="4F9BDBF9">
              <w:rPr>
                <w:rFonts w:eastAsiaTheme="minorEastAsia"/>
                <w:sz w:val="24"/>
                <w:szCs w:val="24"/>
                <w:lang w:eastAsia="sk-SK"/>
              </w:rPr>
              <w:t xml:space="preserve"> </w:t>
            </w:r>
          </w:p>
        </w:tc>
        <w:tc>
          <w:tcPr>
            <w:tcW w:w="3758" w:type="dxa"/>
            <w:vMerge/>
            <w:shd w:val="clear" w:color="auto" w:fill="D9D9D9" w:themeFill="background1" w:themeFillShade="D9"/>
            <w:vAlign w:val="center"/>
            <w:hideMark/>
          </w:tcPr>
          <w:p w14:paraId="0D87DF15" w14:textId="77777777" w:rsidR="00875772" w:rsidRPr="00116D4B" w:rsidRDefault="00875772" w:rsidP="00875772">
            <w:pPr>
              <w:spacing w:after="0" w:line="240" w:lineRule="auto"/>
              <w:rPr>
                <w:rFonts w:eastAsiaTheme="minorEastAsia"/>
                <w:sz w:val="24"/>
                <w:szCs w:val="24"/>
                <w:lang w:eastAsia="sk-SK"/>
              </w:rPr>
            </w:pPr>
          </w:p>
        </w:tc>
      </w:tr>
      <w:tr w:rsidR="00875772" w:rsidRPr="00116D4B" w14:paraId="7CD7E151" w14:textId="77777777" w:rsidTr="00875772">
        <w:trPr>
          <w:tblCellSpacing w:w="15" w:type="dxa"/>
        </w:trPr>
        <w:tc>
          <w:tcPr>
            <w:tcW w:w="0" w:type="auto"/>
            <w:shd w:val="clear" w:color="auto" w:fill="EFEFEF"/>
            <w:noWrap/>
            <w:vAlign w:val="center"/>
            <w:hideMark/>
          </w:tcPr>
          <w:p w14:paraId="1ACCC44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744" w:type="dxa"/>
            <w:gridSpan w:val="2"/>
            <w:shd w:val="clear" w:color="auto" w:fill="EFEFEF"/>
            <w:vAlign w:val="center"/>
            <w:hideMark/>
          </w:tcPr>
          <w:p w14:paraId="3C93D8B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144" w:type="dxa"/>
            <w:shd w:val="clear" w:color="auto" w:fill="EFEFEF"/>
            <w:noWrap/>
            <w:vAlign w:val="center"/>
            <w:hideMark/>
          </w:tcPr>
          <w:p w14:paraId="0EED283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1 189 779,46</w:t>
            </w:r>
            <w:r w:rsidRPr="4F9BDBF9">
              <w:rPr>
                <w:rFonts w:eastAsiaTheme="minorEastAsia"/>
                <w:sz w:val="24"/>
                <w:szCs w:val="24"/>
                <w:lang w:eastAsia="sk-SK"/>
              </w:rPr>
              <w:t xml:space="preserve"> </w:t>
            </w:r>
          </w:p>
        </w:tc>
        <w:tc>
          <w:tcPr>
            <w:tcW w:w="1104" w:type="dxa"/>
            <w:shd w:val="clear" w:color="auto" w:fill="EFEFEF"/>
            <w:noWrap/>
            <w:vAlign w:val="center"/>
            <w:hideMark/>
          </w:tcPr>
          <w:p w14:paraId="3B2D848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1 272 515,62</w:t>
            </w:r>
            <w:r w:rsidRPr="4F9BDBF9">
              <w:rPr>
                <w:rFonts w:eastAsiaTheme="minorEastAsia"/>
                <w:sz w:val="24"/>
                <w:szCs w:val="24"/>
                <w:lang w:eastAsia="sk-SK"/>
              </w:rPr>
              <w:t xml:space="preserve"> </w:t>
            </w:r>
          </w:p>
        </w:tc>
        <w:tc>
          <w:tcPr>
            <w:tcW w:w="1104" w:type="dxa"/>
            <w:shd w:val="clear" w:color="auto" w:fill="EFEFEF"/>
            <w:noWrap/>
            <w:vAlign w:val="center"/>
            <w:hideMark/>
          </w:tcPr>
          <w:p w14:paraId="5C41024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1 264 234,88</w:t>
            </w:r>
            <w:r w:rsidRPr="4F9BDBF9">
              <w:rPr>
                <w:rFonts w:eastAsiaTheme="minorEastAsia"/>
                <w:sz w:val="24"/>
                <w:szCs w:val="24"/>
                <w:lang w:eastAsia="sk-SK"/>
              </w:rPr>
              <w:t xml:space="preserve"> </w:t>
            </w:r>
          </w:p>
        </w:tc>
        <w:tc>
          <w:tcPr>
            <w:tcW w:w="963" w:type="dxa"/>
            <w:shd w:val="clear" w:color="auto" w:fill="EFEFEF"/>
            <w:noWrap/>
            <w:vAlign w:val="center"/>
            <w:hideMark/>
          </w:tcPr>
          <w:p w14:paraId="45007D1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99,35</w:t>
            </w:r>
            <w:r w:rsidRPr="4F9BDBF9">
              <w:rPr>
                <w:rFonts w:eastAsiaTheme="minorEastAsia"/>
                <w:sz w:val="24"/>
                <w:szCs w:val="24"/>
                <w:lang w:eastAsia="sk-SK"/>
              </w:rPr>
              <w:t xml:space="preserve"> </w:t>
            </w:r>
          </w:p>
        </w:tc>
        <w:tc>
          <w:tcPr>
            <w:tcW w:w="3758" w:type="dxa"/>
            <w:vMerge/>
            <w:vAlign w:val="center"/>
            <w:hideMark/>
          </w:tcPr>
          <w:p w14:paraId="3ECA958C"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19D381F" w14:textId="77777777" w:rsidTr="00875772">
        <w:trPr>
          <w:tblCellSpacing w:w="15" w:type="dxa"/>
        </w:trPr>
        <w:tc>
          <w:tcPr>
            <w:tcW w:w="0" w:type="auto"/>
            <w:shd w:val="clear" w:color="auto" w:fill="EFEFEF"/>
            <w:noWrap/>
            <w:vAlign w:val="center"/>
            <w:hideMark/>
          </w:tcPr>
          <w:p w14:paraId="00EBC8E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744" w:type="dxa"/>
            <w:gridSpan w:val="2"/>
            <w:shd w:val="clear" w:color="auto" w:fill="EFEFEF"/>
            <w:vAlign w:val="center"/>
            <w:hideMark/>
          </w:tcPr>
          <w:p w14:paraId="70861B4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144" w:type="dxa"/>
            <w:shd w:val="clear" w:color="auto" w:fill="EFEFEF"/>
            <w:noWrap/>
            <w:vAlign w:val="center"/>
            <w:hideMark/>
          </w:tcPr>
          <w:p w14:paraId="63D268A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445 960,28</w:t>
            </w:r>
            <w:r w:rsidRPr="4F9BDBF9">
              <w:rPr>
                <w:rFonts w:eastAsiaTheme="minorEastAsia"/>
                <w:sz w:val="24"/>
                <w:szCs w:val="24"/>
                <w:lang w:eastAsia="sk-SK"/>
              </w:rPr>
              <w:t xml:space="preserve"> </w:t>
            </w:r>
          </w:p>
        </w:tc>
        <w:tc>
          <w:tcPr>
            <w:tcW w:w="1104" w:type="dxa"/>
            <w:shd w:val="clear" w:color="auto" w:fill="EFEFEF"/>
            <w:noWrap/>
            <w:vAlign w:val="center"/>
            <w:hideMark/>
          </w:tcPr>
          <w:p w14:paraId="1A06F5C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475 406,63</w:t>
            </w:r>
            <w:r w:rsidRPr="4F9BDBF9">
              <w:rPr>
                <w:rFonts w:eastAsiaTheme="minorEastAsia"/>
                <w:sz w:val="24"/>
                <w:szCs w:val="24"/>
                <w:lang w:eastAsia="sk-SK"/>
              </w:rPr>
              <w:t xml:space="preserve"> </w:t>
            </w:r>
          </w:p>
        </w:tc>
        <w:tc>
          <w:tcPr>
            <w:tcW w:w="1104" w:type="dxa"/>
            <w:shd w:val="clear" w:color="auto" w:fill="EFEFEF"/>
            <w:noWrap/>
            <w:vAlign w:val="center"/>
            <w:hideMark/>
          </w:tcPr>
          <w:p w14:paraId="181015A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453 537,41</w:t>
            </w:r>
            <w:r w:rsidRPr="4F9BDBF9">
              <w:rPr>
                <w:rFonts w:eastAsiaTheme="minorEastAsia"/>
                <w:sz w:val="24"/>
                <w:szCs w:val="24"/>
                <w:lang w:eastAsia="sk-SK"/>
              </w:rPr>
              <w:t xml:space="preserve"> </w:t>
            </w:r>
          </w:p>
        </w:tc>
        <w:tc>
          <w:tcPr>
            <w:tcW w:w="963" w:type="dxa"/>
            <w:shd w:val="clear" w:color="auto" w:fill="EFEFEF"/>
            <w:noWrap/>
            <w:vAlign w:val="center"/>
            <w:hideMark/>
          </w:tcPr>
          <w:p w14:paraId="3C1BAE9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95,40</w:t>
            </w:r>
            <w:r w:rsidRPr="4F9BDBF9">
              <w:rPr>
                <w:rFonts w:eastAsiaTheme="minorEastAsia"/>
                <w:sz w:val="24"/>
                <w:szCs w:val="24"/>
                <w:lang w:eastAsia="sk-SK"/>
              </w:rPr>
              <w:t xml:space="preserve"> </w:t>
            </w:r>
          </w:p>
        </w:tc>
        <w:tc>
          <w:tcPr>
            <w:tcW w:w="3758" w:type="dxa"/>
            <w:vMerge/>
            <w:vAlign w:val="center"/>
            <w:hideMark/>
          </w:tcPr>
          <w:p w14:paraId="0D069C0C"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5156D22" w14:textId="77777777" w:rsidTr="00875772">
        <w:trPr>
          <w:tblCellSpacing w:w="15" w:type="dxa"/>
        </w:trPr>
        <w:tc>
          <w:tcPr>
            <w:tcW w:w="0" w:type="auto"/>
            <w:shd w:val="clear" w:color="auto" w:fill="EFEFEF"/>
            <w:noWrap/>
            <w:vAlign w:val="center"/>
            <w:hideMark/>
          </w:tcPr>
          <w:p w14:paraId="177EED3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lastRenderedPageBreak/>
              <w:t>630</w:t>
            </w:r>
            <w:r w:rsidRPr="4F9BDBF9">
              <w:rPr>
                <w:rFonts w:eastAsiaTheme="minorEastAsia"/>
                <w:sz w:val="24"/>
                <w:szCs w:val="24"/>
                <w:lang w:eastAsia="sk-SK"/>
              </w:rPr>
              <w:t xml:space="preserve"> </w:t>
            </w:r>
          </w:p>
        </w:tc>
        <w:tc>
          <w:tcPr>
            <w:tcW w:w="1744" w:type="dxa"/>
            <w:gridSpan w:val="2"/>
            <w:shd w:val="clear" w:color="auto" w:fill="EFEFEF"/>
            <w:vAlign w:val="center"/>
            <w:hideMark/>
          </w:tcPr>
          <w:p w14:paraId="7B5ECBF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144" w:type="dxa"/>
            <w:shd w:val="clear" w:color="auto" w:fill="EFEFEF"/>
            <w:noWrap/>
            <w:vAlign w:val="center"/>
            <w:hideMark/>
          </w:tcPr>
          <w:p w14:paraId="7EC3A80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471 969,74</w:t>
            </w:r>
            <w:r w:rsidRPr="4F9BDBF9">
              <w:rPr>
                <w:rFonts w:eastAsiaTheme="minorEastAsia"/>
                <w:sz w:val="24"/>
                <w:szCs w:val="24"/>
                <w:lang w:eastAsia="sk-SK"/>
              </w:rPr>
              <w:t xml:space="preserve"> </w:t>
            </w:r>
          </w:p>
        </w:tc>
        <w:tc>
          <w:tcPr>
            <w:tcW w:w="1104" w:type="dxa"/>
            <w:shd w:val="clear" w:color="auto" w:fill="EFEFEF"/>
            <w:noWrap/>
            <w:vAlign w:val="center"/>
            <w:hideMark/>
          </w:tcPr>
          <w:p w14:paraId="33122AE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481 763,75</w:t>
            </w:r>
            <w:r w:rsidRPr="4F9BDBF9">
              <w:rPr>
                <w:rFonts w:eastAsiaTheme="minorEastAsia"/>
                <w:sz w:val="24"/>
                <w:szCs w:val="24"/>
                <w:lang w:eastAsia="sk-SK"/>
              </w:rPr>
              <w:t xml:space="preserve"> </w:t>
            </w:r>
          </w:p>
        </w:tc>
        <w:tc>
          <w:tcPr>
            <w:tcW w:w="1104" w:type="dxa"/>
            <w:shd w:val="clear" w:color="auto" w:fill="EFEFEF"/>
            <w:noWrap/>
            <w:vAlign w:val="center"/>
            <w:hideMark/>
          </w:tcPr>
          <w:p w14:paraId="5B058ED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465 102,16</w:t>
            </w:r>
            <w:r w:rsidRPr="4F9BDBF9">
              <w:rPr>
                <w:rFonts w:eastAsiaTheme="minorEastAsia"/>
                <w:sz w:val="24"/>
                <w:szCs w:val="24"/>
                <w:lang w:eastAsia="sk-SK"/>
              </w:rPr>
              <w:t xml:space="preserve"> </w:t>
            </w:r>
          </w:p>
        </w:tc>
        <w:tc>
          <w:tcPr>
            <w:tcW w:w="963" w:type="dxa"/>
            <w:shd w:val="clear" w:color="auto" w:fill="EFEFEF"/>
            <w:noWrap/>
            <w:vAlign w:val="center"/>
            <w:hideMark/>
          </w:tcPr>
          <w:p w14:paraId="7F46295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96,54</w:t>
            </w:r>
            <w:r w:rsidRPr="4F9BDBF9">
              <w:rPr>
                <w:rFonts w:eastAsiaTheme="minorEastAsia"/>
                <w:sz w:val="24"/>
                <w:szCs w:val="24"/>
                <w:lang w:eastAsia="sk-SK"/>
              </w:rPr>
              <w:t xml:space="preserve"> </w:t>
            </w:r>
          </w:p>
        </w:tc>
        <w:tc>
          <w:tcPr>
            <w:tcW w:w="3758" w:type="dxa"/>
            <w:vMerge/>
            <w:vAlign w:val="center"/>
            <w:hideMark/>
          </w:tcPr>
          <w:p w14:paraId="41AD013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70123A7F" w14:textId="77777777" w:rsidTr="00875772">
        <w:trPr>
          <w:tblCellSpacing w:w="15" w:type="dxa"/>
        </w:trPr>
        <w:tc>
          <w:tcPr>
            <w:tcW w:w="0" w:type="auto"/>
            <w:shd w:val="clear" w:color="auto" w:fill="EFEFEF"/>
            <w:noWrap/>
            <w:vAlign w:val="center"/>
            <w:hideMark/>
          </w:tcPr>
          <w:p w14:paraId="4208816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744" w:type="dxa"/>
            <w:gridSpan w:val="2"/>
            <w:shd w:val="clear" w:color="auto" w:fill="EFEFEF"/>
            <w:vAlign w:val="center"/>
            <w:hideMark/>
          </w:tcPr>
          <w:p w14:paraId="5B58196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144" w:type="dxa"/>
            <w:shd w:val="clear" w:color="auto" w:fill="EFEFEF"/>
            <w:noWrap/>
            <w:vAlign w:val="center"/>
            <w:hideMark/>
          </w:tcPr>
          <w:p w14:paraId="5DD3D3A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18 891,00</w:t>
            </w:r>
            <w:r w:rsidRPr="4F9BDBF9">
              <w:rPr>
                <w:rFonts w:eastAsiaTheme="minorEastAsia"/>
                <w:sz w:val="24"/>
                <w:szCs w:val="24"/>
                <w:lang w:eastAsia="sk-SK"/>
              </w:rPr>
              <w:t xml:space="preserve"> </w:t>
            </w:r>
          </w:p>
        </w:tc>
        <w:tc>
          <w:tcPr>
            <w:tcW w:w="1104" w:type="dxa"/>
            <w:shd w:val="clear" w:color="auto" w:fill="EFEFEF"/>
            <w:noWrap/>
            <w:vAlign w:val="center"/>
            <w:hideMark/>
          </w:tcPr>
          <w:p w14:paraId="226C30F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18 891,00</w:t>
            </w:r>
            <w:r w:rsidRPr="4F9BDBF9">
              <w:rPr>
                <w:rFonts w:eastAsiaTheme="minorEastAsia"/>
                <w:sz w:val="24"/>
                <w:szCs w:val="24"/>
                <w:lang w:eastAsia="sk-SK"/>
              </w:rPr>
              <w:t xml:space="preserve"> </w:t>
            </w:r>
          </w:p>
        </w:tc>
        <w:tc>
          <w:tcPr>
            <w:tcW w:w="1104" w:type="dxa"/>
            <w:shd w:val="clear" w:color="auto" w:fill="EFEFEF"/>
            <w:noWrap/>
            <w:vAlign w:val="center"/>
            <w:hideMark/>
          </w:tcPr>
          <w:p w14:paraId="2BA0735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13 552,76</w:t>
            </w:r>
            <w:r w:rsidRPr="4F9BDBF9">
              <w:rPr>
                <w:rFonts w:eastAsiaTheme="minorEastAsia"/>
                <w:sz w:val="24"/>
                <w:szCs w:val="24"/>
                <w:lang w:eastAsia="sk-SK"/>
              </w:rPr>
              <w:t xml:space="preserve"> </w:t>
            </w:r>
          </w:p>
        </w:tc>
        <w:tc>
          <w:tcPr>
            <w:tcW w:w="963" w:type="dxa"/>
            <w:shd w:val="clear" w:color="auto" w:fill="EFEFEF"/>
            <w:noWrap/>
            <w:vAlign w:val="center"/>
            <w:hideMark/>
          </w:tcPr>
          <w:p w14:paraId="457690A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71,74</w:t>
            </w:r>
            <w:r w:rsidRPr="4F9BDBF9">
              <w:rPr>
                <w:rFonts w:eastAsiaTheme="minorEastAsia"/>
                <w:sz w:val="24"/>
                <w:szCs w:val="24"/>
                <w:lang w:eastAsia="sk-SK"/>
              </w:rPr>
              <w:t xml:space="preserve"> </w:t>
            </w:r>
          </w:p>
        </w:tc>
        <w:tc>
          <w:tcPr>
            <w:tcW w:w="3758" w:type="dxa"/>
            <w:vMerge/>
            <w:vAlign w:val="center"/>
            <w:hideMark/>
          </w:tcPr>
          <w:p w14:paraId="70971BCB" w14:textId="77777777" w:rsidR="00875772" w:rsidRPr="00116D4B" w:rsidRDefault="00875772" w:rsidP="00875772">
            <w:pPr>
              <w:spacing w:after="0" w:line="240" w:lineRule="auto"/>
              <w:rPr>
                <w:rFonts w:ascii="Times New Roman" w:hAnsi="Times New Roman"/>
                <w:sz w:val="24"/>
                <w:szCs w:val="24"/>
                <w:lang w:eastAsia="sk-SK"/>
              </w:rPr>
            </w:pPr>
          </w:p>
        </w:tc>
      </w:tr>
    </w:tbl>
    <w:p w14:paraId="065B0ECE"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5E9BE1F6" w14:textId="77777777" w:rsidTr="00875772">
        <w:trPr>
          <w:tblCellSpacing w:w="15" w:type="dxa"/>
        </w:trPr>
        <w:tc>
          <w:tcPr>
            <w:tcW w:w="0" w:type="auto"/>
            <w:shd w:val="clear" w:color="auto" w:fill="C2D69B"/>
            <w:vAlign w:val="center"/>
            <w:hideMark/>
          </w:tcPr>
          <w:p w14:paraId="6E53A14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195EA2E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113CF5DD" w14:textId="77777777" w:rsidTr="00875772">
        <w:trPr>
          <w:tblCellSpacing w:w="15" w:type="dxa"/>
        </w:trPr>
        <w:tc>
          <w:tcPr>
            <w:tcW w:w="0" w:type="auto"/>
            <w:shd w:val="clear" w:color="auto" w:fill="C2D69B"/>
            <w:vAlign w:val="center"/>
            <w:hideMark/>
          </w:tcPr>
          <w:p w14:paraId="1D38921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1E49D35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285EBDBE" w14:textId="77777777" w:rsidTr="00875772">
        <w:trPr>
          <w:tblCellSpacing w:w="15" w:type="dxa"/>
        </w:trPr>
        <w:tc>
          <w:tcPr>
            <w:tcW w:w="0" w:type="auto"/>
            <w:shd w:val="clear" w:color="auto" w:fill="C2D69B"/>
            <w:vAlign w:val="center"/>
            <w:hideMark/>
          </w:tcPr>
          <w:p w14:paraId="6AB0E98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1FFC2D3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0A2FBB9B" w14:textId="77777777" w:rsidTr="00875772">
        <w:trPr>
          <w:tblCellSpacing w:w="15" w:type="dxa"/>
        </w:trPr>
        <w:tc>
          <w:tcPr>
            <w:tcW w:w="0" w:type="auto"/>
            <w:shd w:val="clear" w:color="auto" w:fill="C2D69B"/>
            <w:vAlign w:val="center"/>
            <w:hideMark/>
          </w:tcPr>
          <w:p w14:paraId="55A1EF0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405C951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3ACFBB1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4E493C3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6A98FD0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6B81D70A" w14:textId="77777777" w:rsidTr="00875772">
        <w:trPr>
          <w:tblCellSpacing w:w="15" w:type="dxa"/>
        </w:trPr>
        <w:tc>
          <w:tcPr>
            <w:tcW w:w="0" w:type="auto"/>
            <w:shd w:val="clear" w:color="auto" w:fill="C2D69B"/>
            <w:vAlign w:val="center"/>
            <w:hideMark/>
          </w:tcPr>
          <w:p w14:paraId="643CD66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0CFA87B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023422F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93.84</w:t>
            </w:r>
            <w:r w:rsidRPr="4F9BDBF9">
              <w:rPr>
                <w:rFonts w:eastAsiaTheme="minorEastAsia"/>
                <w:sz w:val="24"/>
                <w:szCs w:val="24"/>
                <w:lang w:eastAsia="sk-SK"/>
              </w:rPr>
              <w:t xml:space="preserve"> </w:t>
            </w:r>
          </w:p>
        </w:tc>
        <w:tc>
          <w:tcPr>
            <w:tcW w:w="0" w:type="auto"/>
            <w:shd w:val="clear" w:color="auto" w:fill="C2D69B"/>
            <w:vAlign w:val="center"/>
            <w:hideMark/>
          </w:tcPr>
          <w:p w14:paraId="252EF24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1511EB70" w14:textId="77777777" w:rsidR="00875772" w:rsidRPr="00116D4B" w:rsidRDefault="00875772" w:rsidP="00875772">
            <w:pPr>
              <w:spacing w:after="0" w:line="240" w:lineRule="auto"/>
              <w:jc w:val="center"/>
              <w:rPr>
                <w:rFonts w:eastAsiaTheme="minorEastAsia"/>
                <w:sz w:val="24"/>
                <w:szCs w:val="24"/>
                <w:lang w:eastAsia="sk-SK"/>
              </w:rPr>
            </w:pPr>
          </w:p>
        </w:tc>
      </w:tr>
    </w:tbl>
    <w:p w14:paraId="6F23930A" w14:textId="4A8CD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11.1.3: DSS HESTIA</w:t>
      </w:r>
    </w:p>
    <w:p w14:paraId="42CCE2F0" w14:textId="77777777" w:rsidR="00875772" w:rsidRPr="00116D4B" w:rsidRDefault="00875772" w:rsidP="00875772">
      <w:pPr>
        <w:spacing w:before="100" w:beforeAutospacing="1" w:after="100" w:afterAutospacing="1" w:line="240" w:lineRule="auto"/>
        <w:jc w:val="both"/>
        <w:rPr>
          <w:rFonts w:eastAsiaTheme="minorEastAsia"/>
          <w:lang w:eastAsia="sk-SK"/>
        </w:rPr>
      </w:pPr>
      <w:r w:rsidRPr="4F9BDBF9">
        <w:rPr>
          <w:rFonts w:eastAsiaTheme="minorEastAsia"/>
          <w:b/>
          <w:bCs/>
          <w:lang w:eastAsia="sk-SK"/>
        </w:rPr>
        <w:t xml:space="preserve">Komentár: </w:t>
      </w:r>
      <w:r w:rsidRPr="4F9BDBF9">
        <w:rPr>
          <w:rFonts w:eastAsiaTheme="minorEastAsia"/>
          <w:lang w:eastAsia="sk-SK"/>
        </w:rPr>
        <w:t>S účinnosťou od 1.1.2017 bol Domov sociálnych služieb HESTIA zlúčený s Domovom sociálnych služieb a zariadením pre seniorov, Hrnčiarska 37, Pezinok. Právnym nástupcom sa stal DSS a zariadenie pre seniorov, Hrnčiarska 37, Pezinok.</w:t>
      </w:r>
    </w:p>
    <w:p w14:paraId="492AF837"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 xml:space="preserve">Prvok 11.1.4: DSS </w:t>
      </w:r>
      <w:proofErr w:type="spellStart"/>
      <w:r w:rsidRPr="4F9BDBF9">
        <w:rPr>
          <w:rFonts w:eastAsiaTheme="minorEastAsia"/>
          <w:b/>
          <w:bCs/>
          <w:color w:val="244061"/>
          <w:sz w:val="24"/>
          <w:szCs w:val="24"/>
          <w:lang w:eastAsia="sk-SK"/>
        </w:rPr>
        <w:t>Rozsutec</w:t>
      </w:r>
      <w:proofErr w:type="spellEnd"/>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22"/>
        <w:gridCol w:w="2030"/>
        <w:gridCol w:w="1276"/>
        <w:gridCol w:w="1134"/>
        <w:gridCol w:w="1134"/>
        <w:gridCol w:w="850"/>
        <w:gridCol w:w="3520"/>
      </w:tblGrid>
      <w:tr w:rsidR="00875772" w:rsidRPr="00116D4B" w14:paraId="76A3783E" w14:textId="77777777" w:rsidTr="00875772">
        <w:trPr>
          <w:tblCellSpacing w:w="15" w:type="dxa"/>
        </w:trPr>
        <w:tc>
          <w:tcPr>
            <w:tcW w:w="477" w:type="dxa"/>
            <w:shd w:val="clear" w:color="auto" w:fill="C6DBF7"/>
            <w:vAlign w:val="center"/>
            <w:hideMark/>
          </w:tcPr>
          <w:p w14:paraId="1081267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2000" w:type="dxa"/>
            <w:shd w:val="clear" w:color="auto" w:fill="C6DBF7"/>
            <w:vAlign w:val="center"/>
            <w:hideMark/>
          </w:tcPr>
          <w:p w14:paraId="45AD0D20" w14:textId="77777777" w:rsidR="00875772" w:rsidRPr="00C6090A" w:rsidRDefault="00875772" w:rsidP="00875772">
            <w:pPr>
              <w:spacing w:after="0" w:line="240" w:lineRule="auto"/>
              <w:jc w:val="center"/>
              <w:rPr>
                <w:rFonts w:eastAsiaTheme="minorEastAsia"/>
                <w:b/>
                <w:bCs/>
                <w:sz w:val="20"/>
                <w:szCs w:val="20"/>
                <w:lang w:eastAsia="sk-SK"/>
              </w:rPr>
            </w:pPr>
            <w:r w:rsidRPr="4F9BDBF9">
              <w:rPr>
                <w:rFonts w:eastAsiaTheme="minorEastAsia"/>
                <w:b/>
                <w:bCs/>
                <w:sz w:val="20"/>
                <w:szCs w:val="20"/>
                <w:lang w:eastAsia="sk-SK"/>
              </w:rPr>
              <w:t>Ekonomická klasifikácia</w:t>
            </w:r>
          </w:p>
        </w:tc>
        <w:tc>
          <w:tcPr>
            <w:tcW w:w="1246" w:type="dxa"/>
            <w:shd w:val="clear" w:color="auto" w:fill="C6DBF7"/>
            <w:vAlign w:val="center"/>
            <w:hideMark/>
          </w:tcPr>
          <w:p w14:paraId="1ADD6E6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3BE2115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6AC0AE0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820" w:type="dxa"/>
            <w:shd w:val="clear" w:color="auto" w:fill="C6DBF7"/>
            <w:vAlign w:val="center"/>
            <w:hideMark/>
          </w:tcPr>
          <w:p w14:paraId="7CE0C71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475" w:type="dxa"/>
            <w:shd w:val="clear" w:color="auto" w:fill="C6DBF7"/>
            <w:vAlign w:val="center"/>
            <w:hideMark/>
          </w:tcPr>
          <w:p w14:paraId="5643807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2BE85C25" w14:textId="77777777" w:rsidTr="00875772">
        <w:trPr>
          <w:tblCellSpacing w:w="15" w:type="dxa"/>
        </w:trPr>
        <w:tc>
          <w:tcPr>
            <w:tcW w:w="477" w:type="dxa"/>
            <w:shd w:val="clear" w:color="auto" w:fill="D9D9D9" w:themeFill="background1" w:themeFillShade="D9"/>
            <w:noWrap/>
            <w:vAlign w:val="center"/>
            <w:hideMark/>
          </w:tcPr>
          <w:p w14:paraId="7848D2C3" w14:textId="77777777" w:rsidR="00875772" w:rsidRPr="00116D4B" w:rsidRDefault="00875772" w:rsidP="00875772">
            <w:pPr>
              <w:spacing w:after="0" w:line="240" w:lineRule="auto"/>
              <w:jc w:val="center"/>
              <w:rPr>
                <w:rFonts w:eastAsiaTheme="minorEastAsia"/>
                <w:sz w:val="24"/>
                <w:szCs w:val="24"/>
                <w:lang w:eastAsia="sk-SK"/>
              </w:rPr>
            </w:pPr>
          </w:p>
        </w:tc>
        <w:tc>
          <w:tcPr>
            <w:tcW w:w="2000" w:type="dxa"/>
            <w:shd w:val="clear" w:color="auto" w:fill="D9D9D9" w:themeFill="background1" w:themeFillShade="D9"/>
            <w:vAlign w:val="center"/>
            <w:hideMark/>
          </w:tcPr>
          <w:p w14:paraId="1CCA86F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20A7880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694 316,00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5619F1B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716 118,64</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3C5A174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670 084,39</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673AC71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93,57</w:t>
            </w:r>
            <w:r w:rsidRPr="4F9BDBF9">
              <w:rPr>
                <w:rFonts w:eastAsiaTheme="minorEastAsia"/>
                <w:sz w:val="24"/>
                <w:szCs w:val="24"/>
                <w:lang w:eastAsia="sk-SK"/>
              </w:rPr>
              <w:t xml:space="preserve"> </w:t>
            </w:r>
          </w:p>
        </w:tc>
        <w:tc>
          <w:tcPr>
            <w:tcW w:w="3475" w:type="dxa"/>
            <w:vMerge w:val="restart"/>
            <w:shd w:val="clear" w:color="auto" w:fill="D9D9D9" w:themeFill="background1" w:themeFillShade="D9"/>
            <w:vAlign w:val="center"/>
            <w:hideMark/>
          </w:tcPr>
          <w:p w14:paraId="54F3C8B1" w14:textId="77777777" w:rsidR="00875772" w:rsidRPr="00312851" w:rsidRDefault="00875772" w:rsidP="00875772">
            <w:pPr>
              <w:spacing w:after="0" w:line="240" w:lineRule="auto"/>
              <w:rPr>
                <w:rFonts w:eastAsiaTheme="minorEastAsia"/>
                <w:sz w:val="20"/>
                <w:szCs w:val="20"/>
                <w:lang w:eastAsia="sk-SK"/>
              </w:rPr>
            </w:pPr>
            <w:r w:rsidRPr="00312851">
              <w:rPr>
                <w:rFonts w:eastAsiaTheme="minorEastAsia"/>
                <w:b/>
                <w:bCs/>
                <w:sz w:val="20"/>
                <w:szCs w:val="20"/>
                <w:lang w:eastAsia="sk-SK"/>
              </w:rPr>
              <w:t>+</w:t>
            </w:r>
            <w:r>
              <w:rPr>
                <w:rFonts w:eastAsiaTheme="minorEastAsia"/>
                <w:b/>
                <w:bCs/>
                <w:sz w:val="20"/>
                <w:szCs w:val="20"/>
                <w:lang w:eastAsia="sk-SK"/>
              </w:rPr>
              <w:t>5 179,78</w:t>
            </w:r>
            <w:r w:rsidRPr="00312851">
              <w:rPr>
                <w:rFonts w:eastAsiaTheme="minorEastAsia"/>
                <w:b/>
                <w:bCs/>
                <w:sz w:val="20"/>
                <w:szCs w:val="20"/>
                <w:lang w:eastAsia="sk-SK"/>
              </w:rPr>
              <w:t xml:space="preserve"> EUR</w:t>
            </w:r>
            <w:r w:rsidRPr="00312851">
              <w:rPr>
                <w:rFonts w:eastAsiaTheme="minorEastAsia"/>
                <w:sz w:val="20"/>
                <w:szCs w:val="20"/>
                <w:lang w:eastAsia="sk-SK"/>
              </w:rPr>
              <w:t xml:space="preserve"> presun z P11.3 na navýšenie mzdových prostriedkov</w:t>
            </w:r>
          </w:p>
          <w:p w14:paraId="27670F43" w14:textId="77777777" w:rsidR="00875772" w:rsidRPr="00312851" w:rsidRDefault="00875772" w:rsidP="00875772">
            <w:pPr>
              <w:spacing w:after="0" w:line="240" w:lineRule="auto"/>
              <w:rPr>
                <w:rFonts w:eastAsiaTheme="minorEastAsia"/>
                <w:sz w:val="20"/>
                <w:szCs w:val="20"/>
                <w:lang w:eastAsia="sk-SK"/>
              </w:rPr>
            </w:pPr>
            <w:r w:rsidRPr="00312851">
              <w:rPr>
                <w:rFonts w:eastAsiaTheme="minorEastAsia"/>
                <w:b/>
                <w:bCs/>
                <w:sz w:val="20"/>
                <w:szCs w:val="20"/>
                <w:lang w:eastAsia="sk-SK"/>
              </w:rPr>
              <w:t>+</w:t>
            </w:r>
            <w:r>
              <w:rPr>
                <w:rFonts w:eastAsiaTheme="minorEastAsia"/>
                <w:b/>
                <w:bCs/>
                <w:sz w:val="20"/>
                <w:szCs w:val="20"/>
                <w:lang w:eastAsia="sk-SK"/>
              </w:rPr>
              <w:t>16 984,00</w:t>
            </w:r>
            <w:r w:rsidRPr="00312851">
              <w:rPr>
                <w:rFonts w:eastAsiaTheme="minorEastAsia"/>
                <w:b/>
                <w:bCs/>
                <w:sz w:val="20"/>
                <w:szCs w:val="20"/>
                <w:lang w:eastAsia="sk-SK"/>
              </w:rPr>
              <w:t xml:space="preserve"> EUR </w:t>
            </w:r>
            <w:r w:rsidRPr="00312851">
              <w:rPr>
                <w:rFonts w:eastAsiaTheme="minorEastAsia"/>
                <w:sz w:val="20"/>
                <w:szCs w:val="20"/>
                <w:lang w:eastAsia="sk-SK"/>
              </w:rPr>
              <w:t>dotácia z MPSVaR SR  na mimoriadne odmeny pre zamestnancov za I. vlnu pandémie</w:t>
            </w:r>
          </w:p>
          <w:p w14:paraId="37C13277" w14:textId="77777777" w:rsidR="00875772" w:rsidRDefault="00875772" w:rsidP="00875772">
            <w:pPr>
              <w:spacing w:after="0" w:line="240" w:lineRule="auto"/>
              <w:rPr>
                <w:rFonts w:eastAsiaTheme="minorEastAsia"/>
                <w:sz w:val="20"/>
                <w:szCs w:val="20"/>
                <w:lang w:eastAsia="sk-SK"/>
              </w:rPr>
            </w:pPr>
            <w:r w:rsidRPr="00312851">
              <w:rPr>
                <w:rFonts w:eastAsiaTheme="minorEastAsia"/>
                <w:b/>
                <w:bCs/>
                <w:sz w:val="20"/>
                <w:szCs w:val="20"/>
                <w:lang w:eastAsia="sk-SK"/>
              </w:rPr>
              <w:t>+</w:t>
            </w:r>
            <w:r>
              <w:rPr>
                <w:rFonts w:eastAsiaTheme="minorEastAsia"/>
                <w:b/>
                <w:bCs/>
                <w:sz w:val="20"/>
                <w:szCs w:val="20"/>
                <w:lang w:eastAsia="sk-SK"/>
              </w:rPr>
              <w:t>1 160</w:t>
            </w:r>
            <w:r w:rsidRPr="00312851">
              <w:rPr>
                <w:rFonts w:eastAsiaTheme="minorEastAsia"/>
                <w:b/>
                <w:bCs/>
                <w:sz w:val="20"/>
                <w:szCs w:val="20"/>
                <w:lang w:eastAsia="sk-SK"/>
              </w:rPr>
              <w:t xml:space="preserve">,00 EUR </w:t>
            </w:r>
            <w:r w:rsidRPr="00312851">
              <w:rPr>
                <w:rFonts w:eastAsiaTheme="minorEastAsia"/>
                <w:sz w:val="20"/>
                <w:szCs w:val="20"/>
                <w:lang w:eastAsia="sk-SK"/>
              </w:rPr>
              <w:t>dotácia z MPSVaR SR na výživové doplnky (</w:t>
            </w:r>
            <w:proofErr w:type="spellStart"/>
            <w:r w:rsidRPr="00312851">
              <w:rPr>
                <w:rFonts w:eastAsiaTheme="minorEastAsia"/>
                <w:sz w:val="20"/>
                <w:szCs w:val="20"/>
                <w:lang w:eastAsia="sk-SK"/>
              </w:rPr>
              <w:t>vit</w:t>
            </w:r>
            <w:proofErr w:type="spellEnd"/>
            <w:r w:rsidRPr="00312851">
              <w:rPr>
                <w:rFonts w:eastAsiaTheme="minorEastAsia"/>
                <w:sz w:val="20"/>
                <w:szCs w:val="20"/>
                <w:lang w:eastAsia="sk-SK"/>
              </w:rPr>
              <w:t>. D3)</w:t>
            </w:r>
          </w:p>
          <w:p w14:paraId="09B9D0C2" w14:textId="77777777" w:rsidR="00875772" w:rsidRPr="00312851" w:rsidRDefault="00875772" w:rsidP="00875772">
            <w:pPr>
              <w:spacing w:after="0" w:line="240" w:lineRule="auto"/>
              <w:rPr>
                <w:rFonts w:eastAsiaTheme="minorEastAsia"/>
                <w:sz w:val="20"/>
                <w:szCs w:val="20"/>
                <w:lang w:eastAsia="sk-SK"/>
              </w:rPr>
            </w:pPr>
            <w:r w:rsidRPr="00312851">
              <w:rPr>
                <w:rFonts w:eastAsiaTheme="minorEastAsia"/>
                <w:b/>
                <w:bCs/>
                <w:sz w:val="20"/>
                <w:szCs w:val="20"/>
                <w:lang w:eastAsia="sk-SK"/>
              </w:rPr>
              <w:t>-</w:t>
            </w:r>
            <w:r>
              <w:rPr>
                <w:rFonts w:eastAsiaTheme="minorEastAsia"/>
                <w:b/>
                <w:bCs/>
                <w:sz w:val="20"/>
                <w:szCs w:val="20"/>
                <w:lang w:eastAsia="sk-SK"/>
              </w:rPr>
              <w:t>1 521,14</w:t>
            </w:r>
            <w:r w:rsidRPr="00312851">
              <w:rPr>
                <w:rFonts w:eastAsiaTheme="minorEastAsia"/>
                <w:b/>
                <w:bCs/>
                <w:sz w:val="20"/>
                <w:szCs w:val="20"/>
                <w:lang w:eastAsia="sk-SK"/>
              </w:rPr>
              <w:t xml:space="preserve"> EUR</w:t>
            </w:r>
            <w:r w:rsidRPr="00312851">
              <w:rPr>
                <w:rFonts w:eastAsiaTheme="minorEastAsia"/>
                <w:sz w:val="20"/>
                <w:szCs w:val="20"/>
                <w:lang w:eastAsia="sk-SK"/>
              </w:rPr>
              <w:t xml:space="preserve"> zníženie rozpočtu BV (</w:t>
            </w:r>
            <w:proofErr w:type="spellStart"/>
            <w:r w:rsidRPr="00312851">
              <w:rPr>
                <w:rFonts w:eastAsiaTheme="minorEastAsia"/>
                <w:sz w:val="20"/>
                <w:szCs w:val="20"/>
                <w:lang w:eastAsia="sk-SK"/>
              </w:rPr>
              <w:t>Uzn</w:t>
            </w:r>
            <w:proofErr w:type="spellEnd"/>
            <w:r w:rsidRPr="00312851">
              <w:rPr>
                <w:rFonts w:eastAsiaTheme="minorEastAsia"/>
                <w:sz w:val="20"/>
                <w:szCs w:val="20"/>
                <w:lang w:eastAsia="sk-SK"/>
              </w:rPr>
              <w:t>. 247/2020 z 29.5.2020) z dôvodu nenaplnených daňových príjmov</w:t>
            </w:r>
          </w:p>
          <w:p w14:paraId="388A4791" w14:textId="77777777" w:rsidR="00875772" w:rsidRPr="00116D4B" w:rsidRDefault="00875772" w:rsidP="00875772">
            <w:pPr>
              <w:spacing w:after="0" w:line="240" w:lineRule="auto"/>
              <w:rPr>
                <w:rFonts w:eastAsiaTheme="minorEastAsia"/>
                <w:sz w:val="20"/>
                <w:szCs w:val="20"/>
                <w:lang w:eastAsia="sk-SK"/>
              </w:rPr>
            </w:pPr>
          </w:p>
        </w:tc>
      </w:tr>
      <w:tr w:rsidR="00875772" w:rsidRPr="00116D4B" w14:paraId="0455D19E" w14:textId="77777777" w:rsidTr="00875772">
        <w:trPr>
          <w:tblCellSpacing w:w="15" w:type="dxa"/>
        </w:trPr>
        <w:tc>
          <w:tcPr>
            <w:tcW w:w="477" w:type="dxa"/>
            <w:shd w:val="clear" w:color="auto" w:fill="D9D9D9" w:themeFill="background1" w:themeFillShade="D9"/>
            <w:noWrap/>
            <w:vAlign w:val="center"/>
            <w:hideMark/>
          </w:tcPr>
          <w:p w14:paraId="0C23C27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2000" w:type="dxa"/>
            <w:shd w:val="clear" w:color="auto" w:fill="D9D9D9" w:themeFill="background1" w:themeFillShade="D9"/>
            <w:vAlign w:val="center"/>
            <w:hideMark/>
          </w:tcPr>
          <w:p w14:paraId="52E7626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11B8200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694 316,00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5FB289D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716 118,64</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5F5F8F6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670 084,39</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700DD52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93,57</w:t>
            </w:r>
            <w:r w:rsidRPr="4F9BDBF9">
              <w:rPr>
                <w:rFonts w:eastAsiaTheme="minorEastAsia"/>
                <w:sz w:val="24"/>
                <w:szCs w:val="24"/>
                <w:lang w:eastAsia="sk-SK"/>
              </w:rPr>
              <w:t xml:space="preserve"> </w:t>
            </w:r>
          </w:p>
        </w:tc>
        <w:tc>
          <w:tcPr>
            <w:tcW w:w="3475" w:type="dxa"/>
            <w:vMerge/>
            <w:shd w:val="clear" w:color="auto" w:fill="D9D9D9" w:themeFill="background1" w:themeFillShade="D9"/>
            <w:vAlign w:val="center"/>
            <w:hideMark/>
          </w:tcPr>
          <w:p w14:paraId="5DB859B1" w14:textId="77777777" w:rsidR="00875772" w:rsidRPr="00116D4B" w:rsidRDefault="00875772" w:rsidP="00875772">
            <w:pPr>
              <w:spacing w:after="0" w:line="240" w:lineRule="auto"/>
              <w:rPr>
                <w:rFonts w:eastAsiaTheme="minorEastAsia"/>
                <w:sz w:val="24"/>
                <w:szCs w:val="24"/>
                <w:lang w:eastAsia="sk-SK"/>
              </w:rPr>
            </w:pPr>
          </w:p>
        </w:tc>
      </w:tr>
      <w:tr w:rsidR="00875772" w:rsidRPr="00116D4B" w14:paraId="409D2DE3" w14:textId="77777777" w:rsidTr="00875772">
        <w:trPr>
          <w:tblCellSpacing w:w="15" w:type="dxa"/>
        </w:trPr>
        <w:tc>
          <w:tcPr>
            <w:tcW w:w="477" w:type="dxa"/>
            <w:shd w:val="clear" w:color="auto" w:fill="EFEFEF"/>
            <w:noWrap/>
            <w:vAlign w:val="center"/>
            <w:hideMark/>
          </w:tcPr>
          <w:p w14:paraId="6B57469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2000" w:type="dxa"/>
            <w:shd w:val="clear" w:color="auto" w:fill="EFEFEF"/>
            <w:vAlign w:val="center"/>
            <w:hideMark/>
          </w:tcPr>
          <w:p w14:paraId="0E3C889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46" w:type="dxa"/>
            <w:shd w:val="clear" w:color="auto" w:fill="EFEFEF"/>
            <w:noWrap/>
            <w:vAlign w:val="center"/>
            <w:hideMark/>
          </w:tcPr>
          <w:p w14:paraId="4350F26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394 543,00</w:t>
            </w:r>
            <w:r w:rsidRPr="4F9BDBF9">
              <w:rPr>
                <w:rFonts w:eastAsiaTheme="minorEastAsia"/>
                <w:sz w:val="24"/>
                <w:szCs w:val="24"/>
                <w:lang w:eastAsia="sk-SK"/>
              </w:rPr>
              <w:t xml:space="preserve"> </w:t>
            </w:r>
          </w:p>
        </w:tc>
        <w:tc>
          <w:tcPr>
            <w:tcW w:w="1104" w:type="dxa"/>
            <w:shd w:val="clear" w:color="auto" w:fill="EFEFEF"/>
            <w:noWrap/>
            <w:vAlign w:val="center"/>
            <w:hideMark/>
          </w:tcPr>
          <w:p w14:paraId="13713D2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401 482,44</w:t>
            </w:r>
            <w:r w:rsidRPr="4F9BDBF9">
              <w:rPr>
                <w:rFonts w:eastAsiaTheme="minorEastAsia"/>
                <w:sz w:val="24"/>
                <w:szCs w:val="24"/>
                <w:lang w:eastAsia="sk-SK"/>
              </w:rPr>
              <w:t xml:space="preserve"> </w:t>
            </w:r>
          </w:p>
        </w:tc>
        <w:tc>
          <w:tcPr>
            <w:tcW w:w="1104" w:type="dxa"/>
            <w:shd w:val="clear" w:color="auto" w:fill="EFEFEF"/>
            <w:noWrap/>
            <w:vAlign w:val="center"/>
            <w:hideMark/>
          </w:tcPr>
          <w:p w14:paraId="7A44D1A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376 516,71</w:t>
            </w:r>
            <w:r w:rsidRPr="4F9BDBF9">
              <w:rPr>
                <w:rFonts w:eastAsiaTheme="minorEastAsia"/>
                <w:sz w:val="24"/>
                <w:szCs w:val="24"/>
                <w:lang w:eastAsia="sk-SK"/>
              </w:rPr>
              <w:t xml:space="preserve"> </w:t>
            </w:r>
          </w:p>
        </w:tc>
        <w:tc>
          <w:tcPr>
            <w:tcW w:w="820" w:type="dxa"/>
            <w:shd w:val="clear" w:color="auto" w:fill="EFEFEF"/>
            <w:noWrap/>
            <w:vAlign w:val="center"/>
            <w:hideMark/>
          </w:tcPr>
          <w:p w14:paraId="3D2C83A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93,78</w:t>
            </w:r>
            <w:r w:rsidRPr="4F9BDBF9">
              <w:rPr>
                <w:rFonts w:eastAsiaTheme="minorEastAsia"/>
                <w:sz w:val="24"/>
                <w:szCs w:val="24"/>
                <w:lang w:eastAsia="sk-SK"/>
              </w:rPr>
              <w:t xml:space="preserve"> </w:t>
            </w:r>
          </w:p>
        </w:tc>
        <w:tc>
          <w:tcPr>
            <w:tcW w:w="3475" w:type="dxa"/>
            <w:vMerge/>
            <w:vAlign w:val="center"/>
            <w:hideMark/>
          </w:tcPr>
          <w:p w14:paraId="6FC3ABA8"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7948DC7" w14:textId="77777777" w:rsidTr="00875772">
        <w:trPr>
          <w:tblCellSpacing w:w="15" w:type="dxa"/>
        </w:trPr>
        <w:tc>
          <w:tcPr>
            <w:tcW w:w="477" w:type="dxa"/>
            <w:shd w:val="clear" w:color="auto" w:fill="EFEFEF"/>
            <w:noWrap/>
            <w:vAlign w:val="center"/>
            <w:hideMark/>
          </w:tcPr>
          <w:p w14:paraId="68F63FF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2000" w:type="dxa"/>
            <w:shd w:val="clear" w:color="auto" w:fill="EFEFEF"/>
            <w:vAlign w:val="center"/>
            <w:hideMark/>
          </w:tcPr>
          <w:p w14:paraId="4A01EE0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46" w:type="dxa"/>
            <w:shd w:val="clear" w:color="auto" w:fill="EFEFEF"/>
            <w:noWrap/>
            <w:vAlign w:val="center"/>
            <w:hideMark/>
          </w:tcPr>
          <w:p w14:paraId="47148A6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144 118,00</w:t>
            </w:r>
            <w:r w:rsidRPr="4F9BDBF9">
              <w:rPr>
                <w:rFonts w:eastAsiaTheme="minorEastAsia"/>
                <w:sz w:val="24"/>
                <w:szCs w:val="24"/>
                <w:lang w:eastAsia="sk-SK"/>
              </w:rPr>
              <w:t xml:space="preserve"> </w:t>
            </w:r>
          </w:p>
        </w:tc>
        <w:tc>
          <w:tcPr>
            <w:tcW w:w="1104" w:type="dxa"/>
            <w:shd w:val="clear" w:color="auto" w:fill="EFEFEF"/>
            <w:noWrap/>
            <w:vAlign w:val="center"/>
            <w:hideMark/>
          </w:tcPr>
          <w:p w14:paraId="7A0F97A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149 897,78</w:t>
            </w:r>
            <w:r w:rsidRPr="4F9BDBF9">
              <w:rPr>
                <w:rFonts w:eastAsiaTheme="minorEastAsia"/>
                <w:sz w:val="24"/>
                <w:szCs w:val="24"/>
                <w:lang w:eastAsia="sk-SK"/>
              </w:rPr>
              <w:t xml:space="preserve"> </w:t>
            </w:r>
          </w:p>
        </w:tc>
        <w:tc>
          <w:tcPr>
            <w:tcW w:w="1104" w:type="dxa"/>
            <w:shd w:val="clear" w:color="auto" w:fill="EFEFEF"/>
            <w:noWrap/>
            <w:vAlign w:val="center"/>
            <w:hideMark/>
          </w:tcPr>
          <w:p w14:paraId="43396E2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132 976,35</w:t>
            </w:r>
            <w:r w:rsidRPr="4F9BDBF9">
              <w:rPr>
                <w:rFonts w:eastAsiaTheme="minorEastAsia"/>
                <w:sz w:val="24"/>
                <w:szCs w:val="24"/>
                <w:lang w:eastAsia="sk-SK"/>
              </w:rPr>
              <w:t xml:space="preserve"> </w:t>
            </w:r>
          </w:p>
        </w:tc>
        <w:tc>
          <w:tcPr>
            <w:tcW w:w="820" w:type="dxa"/>
            <w:shd w:val="clear" w:color="auto" w:fill="EFEFEF"/>
            <w:noWrap/>
            <w:vAlign w:val="center"/>
            <w:hideMark/>
          </w:tcPr>
          <w:p w14:paraId="0D44C17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88,71</w:t>
            </w:r>
            <w:r w:rsidRPr="4F9BDBF9">
              <w:rPr>
                <w:rFonts w:eastAsiaTheme="minorEastAsia"/>
                <w:sz w:val="24"/>
                <w:szCs w:val="24"/>
                <w:lang w:eastAsia="sk-SK"/>
              </w:rPr>
              <w:t xml:space="preserve"> </w:t>
            </w:r>
          </w:p>
        </w:tc>
        <w:tc>
          <w:tcPr>
            <w:tcW w:w="3475" w:type="dxa"/>
            <w:vMerge/>
            <w:vAlign w:val="center"/>
            <w:hideMark/>
          </w:tcPr>
          <w:p w14:paraId="21BDC0A7"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A6DDCAB" w14:textId="77777777" w:rsidTr="00875772">
        <w:trPr>
          <w:tblCellSpacing w:w="15" w:type="dxa"/>
        </w:trPr>
        <w:tc>
          <w:tcPr>
            <w:tcW w:w="477" w:type="dxa"/>
            <w:shd w:val="clear" w:color="auto" w:fill="EFEFEF"/>
            <w:noWrap/>
            <w:vAlign w:val="center"/>
            <w:hideMark/>
          </w:tcPr>
          <w:p w14:paraId="690FCD3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2000" w:type="dxa"/>
            <w:shd w:val="clear" w:color="auto" w:fill="EFEFEF"/>
            <w:vAlign w:val="center"/>
            <w:hideMark/>
          </w:tcPr>
          <w:p w14:paraId="1E41244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46" w:type="dxa"/>
            <w:shd w:val="clear" w:color="auto" w:fill="EFEFEF"/>
            <w:noWrap/>
            <w:vAlign w:val="center"/>
            <w:hideMark/>
          </w:tcPr>
          <w:p w14:paraId="44199B7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153 565,00</w:t>
            </w:r>
            <w:r w:rsidRPr="4F9BDBF9">
              <w:rPr>
                <w:rFonts w:eastAsiaTheme="minorEastAsia"/>
                <w:sz w:val="24"/>
                <w:szCs w:val="24"/>
                <w:lang w:eastAsia="sk-SK"/>
              </w:rPr>
              <w:t xml:space="preserve"> </w:t>
            </w:r>
          </w:p>
        </w:tc>
        <w:tc>
          <w:tcPr>
            <w:tcW w:w="1104" w:type="dxa"/>
            <w:shd w:val="clear" w:color="auto" w:fill="EFEFEF"/>
            <w:noWrap/>
            <w:vAlign w:val="center"/>
            <w:hideMark/>
          </w:tcPr>
          <w:p w14:paraId="256D549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159 660,42</w:t>
            </w:r>
            <w:r w:rsidRPr="4F9BDBF9">
              <w:rPr>
                <w:rFonts w:eastAsiaTheme="minorEastAsia"/>
                <w:sz w:val="24"/>
                <w:szCs w:val="24"/>
                <w:lang w:eastAsia="sk-SK"/>
              </w:rPr>
              <w:t xml:space="preserve"> </w:t>
            </w:r>
          </w:p>
        </w:tc>
        <w:tc>
          <w:tcPr>
            <w:tcW w:w="1104" w:type="dxa"/>
            <w:shd w:val="clear" w:color="auto" w:fill="EFEFEF"/>
            <w:noWrap/>
            <w:vAlign w:val="center"/>
            <w:hideMark/>
          </w:tcPr>
          <w:p w14:paraId="6E52AEB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156 020,57</w:t>
            </w:r>
            <w:r w:rsidRPr="4F9BDBF9">
              <w:rPr>
                <w:rFonts w:eastAsiaTheme="minorEastAsia"/>
                <w:sz w:val="24"/>
                <w:szCs w:val="24"/>
                <w:lang w:eastAsia="sk-SK"/>
              </w:rPr>
              <w:t xml:space="preserve"> </w:t>
            </w:r>
          </w:p>
        </w:tc>
        <w:tc>
          <w:tcPr>
            <w:tcW w:w="820" w:type="dxa"/>
            <w:shd w:val="clear" w:color="auto" w:fill="EFEFEF"/>
            <w:noWrap/>
            <w:vAlign w:val="center"/>
            <w:hideMark/>
          </w:tcPr>
          <w:p w14:paraId="7506AE5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97,72</w:t>
            </w:r>
            <w:r w:rsidRPr="4F9BDBF9">
              <w:rPr>
                <w:rFonts w:eastAsiaTheme="minorEastAsia"/>
                <w:sz w:val="24"/>
                <w:szCs w:val="24"/>
                <w:lang w:eastAsia="sk-SK"/>
              </w:rPr>
              <w:t xml:space="preserve"> </w:t>
            </w:r>
          </w:p>
        </w:tc>
        <w:tc>
          <w:tcPr>
            <w:tcW w:w="3475" w:type="dxa"/>
            <w:vMerge/>
            <w:vAlign w:val="center"/>
            <w:hideMark/>
          </w:tcPr>
          <w:p w14:paraId="1C5A975F"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AF5BDD4" w14:textId="77777777" w:rsidTr="00875772">
        <w:trPr>
          <w:tblCellSpacing w:w="15" w:type="dxa"/>
        </w:trPr>
        <w:tc>
          <w:tcPr>
            <w:tcW w:w="477" w:type="dxa"/>
            <w:shd w:val="clear" w:color="auto" w:fill="EFEFEF"/>
            <w:noWrap/>
            <w:vAlign w:val="center"/>
            <w:hideMark/>
          </w:tcPr>
          <w:p w14:paraId="43B77F1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2000" w:type="dxa"/>
            <w:shd w:val="clear" w:color="auto" w:fill="EFEFEF"/>
            <w:vAlign w:val="center"/>
            <w:hideMark/>
          </w:tcPr>
          <w:p w14:paraId="719254B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46" w:type="dxa"/>
            <w:shd w:val="clear" w:color="auto" w:fill="EFEFEF"/>
            <w:noWrap/>
            <w:vAlign w:val="center"/>
            <w:hideMark/>
          </w:tcPr>
          <w:p w14:paraId="15C8CA6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2 090,00</w:t>
            </w:r>
            <w:r w:rsidRPr="4F9BDBF9">
              <w:rPr>
                <w:rFonts w:eastAsiaTheme="minorEastAsia"/>
                <w:sz w:val="24"/>
                <w:szCs w:val="24"/>
                <w:lang w:eastAsia="sk-SK"/>
              </w:rPr>
              <w:t xml:space="preserve"> </w:t>
            </w:r>
          </w:p>
        </w:tc>
        <w:tc>
          <w:tcPr>
            <w:tcW w:w="1104" w:type="dxa"/>
            <w:shd w:val="clear" w:color="auto" w:fill="EFEFEF"/>
            <w:noWrap/>
            <w:vAlign w:val="center"/>
            <w:hideMark/>
          </w:tcPr>
          <w:p w14:paraId="53095D5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5 078,00</w:t>
            </w:r>
            <w:r w:rsidRPr="4F9BDBF9">
              <w:rPr>
                <w:rFonts w:eastAsiaTheme="minorEastAsia"/>
                <w:sz w:val="24"/>
                <w:szCs w:val="24"/>
                <w:lang w:eastAsia="sk-SK"/>
              </w:rPr>
              <w:t xml:space="preserve"> </w:t>
            </w:r>
          </w:p>
        </w:tc>
        <w:tc>
          <w:tcPr>
            <w:tcW w:w="1104" w:type="dxa"/>
            <w:shd w:val="clear" w:color="auto" w:fill="EFEFEF"/>
            <w:noWrap/>
            <w:vAlign w:val="center"/>
            <w:hideMark/>
          </w:tcPr>
          <w:p w14:paraId="294E5B2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4 570,76</w:t>
            </w:r>
            <w:r w:rsidRPr="4F9BDBF9">
              <w:rPr>
                <w:rFonts w:eastAsiaTheme="minorEastAsia"/>
                <w:sz w:val="24"/>
                <w:szCs w:val="24"/>
                <w:lang w:eastAsia="sk-SK"/>
              </w:rPr>
              <w:t xml:space="preserve"> </w:t>
            </w:r>
          </w:p>
        </w:tc>
        <w:tc>
          <w:tcPr>
            <w:tcW w:w="820" w:type="dxa"/>
            <w:shd w:val="clear" w:color="auto" w:fill="EFEFEF"/>
            <w:noWrap/>
            <w:vAlign w:val="center"/>
            <w:hideMark/>
          </w:tcPr>
          <w:p w14:paraId="3E0B8F6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90,01</w:t>
            </w:r>
            <w:r w:rsidRPr="4F9BDBF9">
              <w:rPr>
                <w:rFonts w:eastAsiaTheme="minorEastAsia"/>
                <w:sz w:val="24"/>
                <w:szCs w:val="24"/>
                <w:lang w:eastAsia="sk-SK"/>
              </w:rPr>
              <w:t xml:space="preserve"> </w:t>
            </w:r>
          </w:p>
        </w:tc>
        <w:tc>
          <w:tcPr>
            <w:tcW w:w="3475" w:type="dxa"/>
            <w:vMerge/>
            <w:vAlign w:val="center"/>
            <w:hideMark/>
          </w:tcPr>
          <w:p w14:paraId="5C895103" w14:textId="77777777" w:rsidR="00875772" w:rsidRPr="00116D4B" w:rsidRDefault="00875772" w:rsidP="00875772">
            <w:pPr>
              <w:spacing w:after="0" w:line="240" w:lineRule="auto"/>
              <w:rPr>
                <w:rFonts w:ascii="Times New Roman" w:hAnsi="Times New Roman"/>
                <w:sz w:val="24"/>
                <w:szCs w:val="24"/>
                <w:lang w:eastAsia="sk-SK"/>
              </w:rPr>
            </w:pPr>
          </w:p>
        </w:tc>
      </w:tr>
    </w:tbl>
    <w:p w14:paraId="60802A68"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5E2B9B30" w14:textId="77777777" w:rsidTr="00875772">
        <w:trPr>
          <w:tblCellSpacing w:w="15" w:type="dxa"/>
        </w:trPr>
        <w:tc>
          <w:tcPr>
            <w:tcW w:w="0" w:type="auto"/>
            <w:shd w:val="clear" w:color="auto" w:fill="C2D69B"/>
            <w:vAlign w:val="center"/>
            <w:hideMark/>
          </w:tcPr>
          <w:p w14:paraId="2FE7C10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68E617C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38A7FFEE" w14:textId="77777777" w:rsidTr="00875772">
        <w:trPr>
          <w:tblCellSpacing w:w="15" w:type="dxa"/>
        </w:trPr>
        <w:tc>
          <w:tcPr>
            <w:tcW w:w="0" w:type="auto"/>
            <w:shd w:val="clear" w:color="auto" w:fill="C2D69B"/>
            <w:vAlign w:val="center"/>
            <w:hideMark/>
          </w:tcPr>
          <w:p w14:paraId="49ED757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35C0988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28A78BC6" w14:textId="77777777" w:rsidTr="00875772">
        <w:trPr>
          <w:tblCellSpacing w:w="15" w:type="dxa"/>
        </w:trPr>
        <w:tc>
          <w:tcPr>
            <w:tcW w:w="0" w:type="auto"/>
            <w:shd w:val="clear" w:color="auto" w:fill="C2D69B"/>
            <w:vAlign w:val="center"/>
            <w:hideMark/>
          </w:tcPr>
          <w:p w14:paraId="2012309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74DEF69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7CC905C2" w14:textId="77777777" w:rsidTr="00875772">
        <w:trPr>
          <w:tblCellSpacing w:w="15" w:type="dxa"/>
        </w:trPr>
        <w:tc>
          <w:tcPr>
            <w:tcW w:w="0" w:type="auto"/>
            <w:shd w:val="clear" w:color="auto" w:fill="C2D69B"/>
            <w:vAlign w:val="center"/>
            <w:hideMark/>
          </w:tcPr>
          <w:p w14:paraId="3EAA015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1B01913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262BB59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75E1D21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7346C38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756190A8" w14:textId="77777777" w:rsidTr="00875772">
        <w:trPr>
          <w:tblCellSpacing w:w="15" w:type="dxa"/>
        </w:trPr>
        <w:tc>
          <w:tcPr>
            <w:tcW w:w="0" w:type="auto"/>
            <w:shd w:val="clear" w:color="auto" w:fill="C2D69B"/>
            <w:vAlign w:val="center"/>
            <w:hideMark/>
          </w:tcPr>
          <w:p w14:paraId="46EEE85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565393F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5F5F4B95"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93.75</w:t>
            </w:r>
            <w:r w:rsidRPr="3E14EAE1">
              <w:rPr>
                <w:rFonts w:eastAsiaTheme="minorEastAsia"/>
                <w:sz w:val="24"/>
                <w:szCs w:val="24"/>
                <w:lang w:eastAsia="sk-SK"/>
              </w:rPr>
              <w:t xml:space="preserve"> </w:t>
            </w:r>
          </w:p>
        </w:tc>
        <w:tc>
          <w:tcPr>
            <w:tcW w:w="0" w:type="auto"/>
            <w:shd w:val="clear" w:color="auto" w:fill="C2D69B"/>
            <w:vAlign w:val="center"/>
            <w:hideMark/>
          </w:tcPr>
          <w:p w14:paraId="65E3747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61F7AAD5" w14:textId="77777777" w:rsidR="00875772" w:rsidRPr="00116D4B" w:rsidRDefault="00875772" w:rsidP="00875772">
            <w:pPr>
              <w:spacing w:after="0" w:line="240" w:lineRule="auto"/>
              <w:rPr>
                <w:rFonts w:eastAsiaTheme="minorEastAsia"/>
                <w:sz w:val="24"/>
                <w:szCs w:val="24"/>
                <w:lang w:eastAsia="sk-SK"/>
              </w:rPr>
            </w:pPr>
            <w:r w:rsidRPr="3E14EAE1">
              <w:rPr>
                <w:rFonts w:eastAsiaTheme="minorEastAsia"/>
                <w:sz w:val="24"/>
                <w:szCs w:val="24"/>
                <w:lang w:eastAsia="sk-SK"/>
              </w:rPr>
              <w:t xml:space="preserve"> </w:t>
            </w:r>
          </w:p>
        </w:tc>
      </w:tr>
    </w:tbl>
    <w:p w14:paraId="3AF770B9"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11.1.5: DSS pre deti a dospelých Javorinská</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1152"/>
        <w:gridCol w:w="2049"/>
        <w:gridCol w:w="1157"/>
        <w:gridCol w:w="1057"/>
        <w:gridCol w:w="998"/>
        <w:gridCol w:w="1260"/>
        <w:gridCol w:w="2793"/>
      </w:tblGrid>
      <w:tr w:rsidR="00875772" w:rsidRPr="00116D4B" w14:paraId="3E9D3EEC" w14:textId="77777777" w:rsidTr="00875772">
        <w:trPr>
          <w:tblCellSpacing w:w="15" w:type="dxa"/>
        </w:trPr>
        <w:tc>
          <w:tcPr>
            <w:tcW w:w="1107" w:type="dxa"/>
            <w:shd w:val="clear" w:color="auto" w:fill="C6DBF7"/>
            <w:vAlign w:val="center"/>
            <w:hideMark/>
          </w:tcPr>
          <w:p w14:paraId="41AC2E1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2023" w:type="dxa"/>
            <w:shd w:val="clear" w:color="auto" w:fill="C6DBF7"/>
            <w:vAlign w:val="center"/>
            <w:hideMark/>
          </w:tcPr>
          <w:p w14:paraId="0570193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1127" w:type="dxa"/>
            <w:shd w:val="clear" w:color="auto" w:fill="C6DBF7"/>
            <w:vAlign w:val="center"/>
            <w:hideMark/>
          </w:tcPr>
          <w:p w14:paraId="38853BE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027" w:type="dxa"/>
            <w:shd w:val="clear" w:color="auto" w:fill="C6DBF7"/>
            <w:vAlign w:val="center"/>
            <w:hideMark/>
          </w:tcPr>
          <w:p w14:paraId="6A58320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968" w:type="dxa"/>
            <w:shd w:val="clear" w:color="auto" w:fill="C6DBF7"/>
            <w:vAlign w:val="center"/>
            <w:hideMark/>
          </w:tcPr>
          <w:p w14:paraId="5485502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1230" w:type="dxa"/>
            <w:shd w:val="clear" w:color="auto" w:fill="C6DBF7"/>
            <w:vAlign w:val="center"/>
            <w:hideMark/>
          </w:tcPr>
          <w:p w14:paraId="1961A95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2984" w:type="dxa"/>
            <w:shd w:val="clear" w:color="auto" w:fill="C6DBF7"/>
            <w:vAlign w:val="center"/>
            <w:hideMark/>
          </w:tcPr>
          <w:p w14:paraId="52A9292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04F00DEA" w14:textId="77777777" w:rsidTr="00875772">
        <w:trPr>
          <w:tblCellSpacing w:w="15" w:type="dxa"/>
        </w:trPr>
        <w:tc>
          <w:tcPr>
            <w:tcW w:w="1107" w:type="dxa"/>
            <w:shd w:val="clear" w:color="auto" w:fill="D9D9D9" w:themeFill="background1" w:themeFillShade="D9"/>
            <w:noWrap/>
            <w:vAlign w:val="center"/>
            <w:hideMark/>
          </w:tcPr>
          <w:p w14:paraId="3183B795" w14:textId="77777777" w:rsidR="00875772" w:rsidRPr="00116D4B" w:rsidRDefault="00875772" w:rsidP="00875772">
            <w:pPr>
              <w:spacing w:after="0" w:line="240" w:lineRule="auto"/>
              <w:jc w:val="center"/>
              <w:rPr>
                <w:rFonts w:eastAsiaTheme="minorEastAsia"/>
                <w:sz w:val="24"/>
                <w:szCs w:val="24"/>
                <w:lang w:eastAsia="sk-SK"/>
              </w:rPr>
            </w:pPr>
          </w:p>
        </w:tc>
        <w:tc>
          <w:tcPr>
            <w:tcW w:w="2023" w:type="dxa"/>
            <w:shd w:val="clear" w:color="auto" w:fill="D9D9D9" w:themeFill="background1" w:themeFillShade="D9"/>
            <w:vAlign w:val="center"/>
            <w:hideMark/>
          </w:tcPr>
          <w:p w14:paraId="25268C6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127" w:type="dxa"/>
            <w:shd w:val="clear" w:color="auto" w:fill="D9D9D9" w:themeFill="background1" w:themeFillShade="D9"/>
            <w:noWrap/>
            <w:vAlign w:val="center"/>
            <w:hideMark/>
          </w:tcPr>
          <w:p w14:paraId="52E5D5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840 319,89</w:t>
            </w:r>
            <w:r w:rsidRPr="4F9BDBF9">
              <w:rPr>
                <w:rFonts w:eastAsiaTheme="minorEastAsia"/>
                <w:sz w:val="24"/>
                <w:szCs w:val="24"/>
                <w:lang w:eastAsia="sk-SK"/>
              </w:rPr>
              <w:t xml:space="preserve"> </w:t>
            </w:r>
          </w:p>
        </w:tc>
        <w:tc>
          <w:tcPr>
            <w:tcW w:w="1027" w:type="dxa"/>
            <w:shd w:val="clear" w:color="auto" w:fill="D9D9D9" w:themeFill="background1" w:themeFillShade="D9"/>
            <w:noWrap/>
            <w:vAlign w:val="center"/>
            <w:hideMark/>
          </w:tcPr>
          <w:p w14:paraId="562AB74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857 981,37</w:t>
            </w:r>
            <w:r w:rsidRPr="4F9BDBF9">
              <w:rPr>
                <w:rFonts w:eastAsiaTheme="minorEastAsia"/>
                <w:sz w:val="24"/>
                <w:szCs w:val="24"/>
                <w:lang w:eastAsia="sk-SK"/>
              </w:rPr>
              <w:t xml:space="preserve"> </w:t>
            </w:r>
          </w:p>
        </w:tc>
        <w:tc>
          <w:tcPr>
            <w:tcW w:w="968" w:type="dxa"/>
            <w:shd w:val="clear" w:color="auto" w:fill="D9D9D9" w:themeFill="background1" w:themeFillShade="D9"/>
            <w:noWrap/>
            <w:vAlign w:val="center"/>
            <w:hideMark/>
          </w:tcPr>
          <w:p w14:paraId="3FC4EB3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836 119,08</w:t>
            </w:r>
            <w:r w:rsidRPr="4F9BDBF9">
              <w:rPr>
                <w:rFonts w:eastAsiaTheme="minorEastAsia"/>
                <w:sz w:val="24"/>
                <w:szCs w:val="24"/>
                <w:lang w:eastAsia="sk-SK"/>
              </w:rPr>
              <w:t xml:space="preserve"> </w:t>
            </w:r>
          </w:p>
        </w:tc>
        <w:tc>
          <w:tcPr>
            <w:tcW w:w="1230" w:type="dxa"/>
            <w:shd w:val="clear" w:color="auto" w:fill="D9D9D9" w:themeFill="background1" w:themeFillShade="D9"/>
            <w:noWrap/>
            <w:vAlign w:val="center"/>
            <w:hideMark/>
          </w:tcPr>
          <w:p w14:paraId="007F819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97,45</w:t>
            </w:r>
            <w:r w:rsidRPr="4F9BDBF9">
              <w:rPr>
                <w:rFonts w:eastAsiaTheme="minorEastAsia"/>
                <w:sz w:val="24"/>
                <w:szCs w:val="24"/>
                <w:lang w:eastAsia="sk-SK"/>
              </w:rPr>
              <w:t xml:space="preserve"> </w:t>
            </w:r>
          </w:p>
        </w:tc>
        <w:tc>
          <w:tcPr>
            <w:tcW w:w="2984" w:type="dxa"/>
            <w:vMerge w:val="restart"/>
            <w:shd w:val="clear" w:color="auto" w:fill="D9D9D9" w:themeFill="background1" w:themeFillShade="D9"/>
            <w:vAlign w:val="center"/>
            <w:hideMark/>
          </w:tcPr>
          <w:p w14:paraId="369AEF3F" w14:textId="77777777" w:rsidR="00875772" w:rsidRPr="00C6090A" w:rsidRDefault="00875772" w:rsidP="00875772">
            <w:pPr>
              <w:spacing w:after="0" w:line="240" w:lineRule="auto"/>
              <w:rPr>
                <w:rFonts w:eastAsiaTheme="minorEastAsia"/>
                <w:sz w:val="20"/>
                <w:szCs w:val="20"/>
                <w:lang w:eastAsia="sk-SK"/>
              </w:rPr>
            </w:pPr>
            <w:r w:rsidRPr="00C6090A">
              <w:rPr>
                <w:rFonts w:eastAsiaTheme="minorEastAsia"/>
                <w:b/>
                <w:bCs/>
                <w:sz w:val="20"/>
                <w:szCs w:val="20"/>
                <w:lang w:eastAsia="sk-SK"/>
              </w:rPr>
              <w:t>+</w:t>
            </w:r>
            <w:r>
              <w:rPr>
                <w:rFonts w:eastAsiaTheme="minorEastAsia"/>
                <w:b/>
                <w:bCs/>
                <w:sz w:val="20"/>
                <w:szCs w:val="20"/>
                <w:lang w:eastAsia="sk-SK"/>
              </w:rPr>
              <w:t>1 090,48</w:t>
            </w:r>
            <w:r w:rsidRPr="00C6090A">
              <w:rPr>
                <w:rFonts w:eastAsiaTheme="minorEastAsia"/>
                <w:b/>
                <w:bCs/>
                <w:sz w:val="20"/>
                <w:szCs w:val="20"/>
                <w:lang w:eastAsia="sk-SK"/>
              </w:rPr>
              <w:t xml:space="preserve"> EUR</w:t>
            </w:r>
            <w:r w:rsidRPr="00C6090A">
              <w:rPr>
                <w:rFonts w:eastAsiaTheme="minorEastAsia"/>
                <w:sz w:val="20"/>
                <w:szCs w:val="20"/>
                <w:lang w:eastAsia="sk-SK"/>
              </w:rPr>
              <w:t xml:space="preserve"> presun z P11.3 na navýšenie mzdových prostriedkov</w:t>
            </w:r>
          </w:p>
          <w:p w14:paraId="70D90D9D" w14:textId="77777777" w:rsidR="00875772" w:rsidRPr="00C6090A" w:rsidRDefault="00875772" w:rsidP="00875772">
            <w:pPr>
              <w:spacing w:after="0" w:line="240" w:lineRule="auto"/>
              <w:rPr>
                <w:rFonts w:eastAsiaTheme="minorEastAsia"/>
                <w:sz w:val="20"/>
                <w:szCs w:val="20"/>
                <w:lang w:eastAsia="sk-SK"/>
              </w:rPr>
            </w:pPr>
            <w:r w:rsidRPr="00C6090A">
              <w:rPr>
                <w:rFonts w:eastAsiaTheme="minorEastAsia"/>
                <w:b/>
                <w:bCs/>
                <w:sz w:val="20"/>
                <w:szCs w:val="20"/>
                <w:lang w:eastAsia="sk-SK"/>
              </w:rPr>
              <w:t>+</w:t>
            </w:r>
            <w:r>
              <w:rPr>
                <w:rFonts w:eastAsiaTheme="minorEastAsia"/>
                <w:b/>
                <w:bCs/>
                <w:sz w:val="20"/>
                <w:szCs w:val="20"/>
                <w:lang w:eastAsia="sk-SK"/>
              </w:rPr>
              <w:t>22 388,00</w:t>
            </w:r>
            <w:r w:rsidRPr="00C6090A">
              <w:rPr>
                <w:rFonts w:eastAsiaTheme="minorEastAsia"/>
                <w:b/>
                <w:bCs/>
                <w:sz w:val="20"/>
                <w:szCs w:val="20"/>
                <w:lang w:eastAsia="sk-SK"/>
              </w:rPr>
              <w:t xml:space="preserve"> EUR </w:t>
            </w:r>
            <w:r w:rsidRPr="00C6090A">
              <w:rPr>
                <w:rFonts w:eastAsiaTheme="minorEastAsia"/>
                <w:sz w:val="20"/>
                <w:szCs w:val="20"/>
                <w:lang w:eastAsia="sk-SK"/>
              </w:rPr>
              <w:t>dotácia z MPSVaR SR  na mimoriadne odmeny pre zamestnancov za I. vlnu pandémie</w:t>
            </w:r>
          </w:p>
          <w:p w14:paraId="51EC4183" w14:textId="77777777" w:rsidR="00875772" w:rsidRPr="00C6090A" w:rsidRDefault="00875772" w:rsidP="00875772">
            <w:pPr>
              <w:spacing w:after="0" w:line="240" w:lineRule="auto"/>
              <w:rPr>
                <w:rFonts w:eastAsiaTheme="minorEastAsia"/>
                <w:sz w:val="20"/>
                <w:szCs w:val="20"/>
                <w:lang w:eastAsia="sk-SK"/>
              </w:rPr>
            </w:pPr>
            <w:r w:rsidRPr="00C6090A">
              <w:rPr>
                <w:rFonts w:eastAsiaTheme="minorEastAsia"/>
                <w:b/>
                <w:bCs/>
                <w:sz w:val="20"/>
                <w:szCs w:val="20"/>
                <w:lang w:eastAsia="sk-SK"/>
              </w:rPr>
              <w:t>+</w:t>
            </w:r>
            <w:r>
              <w:rPr>
                <w:rFonts w:eastAsiaTheme="minorEastAsia"/>
                <w:b/>
                <w:bCs/>
                <w:sz w:val="20"/>
                <w:szCs w:val="20"/>
                <w:lang w:eastAsia="sk-SK"/>
              </w:rPr>
              <w:t>1 840,00</w:t>
            </w:r>
            <w:r w:rsidRPr="00C6090A">
              <w:rPr>
                <w:rFonts w:eastAsiaTheme="minorEastAsia"/>
                <w:b/>
                <w:bCs/>
                <w:sz w:val="20"/>
                <w:szCs w:val="20"/>
                <w:lang w:eastAsia="sk-SK"/>
              </w:rPr>
              <w:t xml:space="preserve"> EUR </w:t>
            </w:r>
            <w:r w:rsidRPr="00C6090A">
              <w:rPr>
                <w:rFonts w:eastAsiaTheme="minorEastAsia"/>
                <w:sz w:val="20"/>
                <w:szCs w:val="20"/>
                <w:lang w:eastAsia="sk-SK"/>
              </w:rPr>
              <w:t>dotácia z MPSVaR SR na výživové doplnky (</w:t>
            </w:r>
            <w:proofErr w:type="spellStart"/>
            <w:r w:rsidRPr="00C6090A">
              <w:rPr>
                <w:rFonts w:eastAsiaTheme="minorEastAsia"/>
                <w:sz w:val="20"/>
                <w:szCs w:val="20"/>
                <w:lang w:eastAsia="sk-SK"/>
              </w:rPr>
              <w:t>vit</w:t>
            </w:r>
            <w:proofErr w:type="spellEnd"/>
            <w:r w:rsidRPr="00C6090A">
              <w:rPr>
                <w:rFonts w:eastAsiaTheme="minorEastAsia"/>
                <w:sz w:val="20"/>
                <w:szCs w:val="20"/>
                <w:lang w:eastAsia="sk-SK"/>
              </w:rPr>
              <w:t>. D3)</w:t>
            </w:r>
          </w:p>
          <w:p w14:paraId="6F9A13A2" w14:textId="77777777" w:rsidR="00875772" w:rsidRPr="00116D4B" w:rsidRDefault="00875772" w:rsidP="00875772">
            <w:pPr>
              <w:spacing w:after="0" w:line="240" w:lineRule="auto"/>
              <w:rPr>
                <w:rFonts w:eastAsiaTheme="minorEastAsia"/>
                <w:sz w:val="20"/>
                <w:szCs w:val="20"/>
                <w:lang w:eastAsia="sk-SK"/>
              </w:rPr>
            </w:pPr>
            <w:r w:rsidRPr="00C6090A">
              <w:rPr>
                <w:rFonts w:eastAsiaTheme="minorEastAsia"/>
                <w:b/>
                <w:bCs/>
                <w:sz w:val="20"/>
                <w:szCs w:val="20"/>
                <w:lang w:eastAsia="sk-SK"/>
              </w:rPr>
              <w:t>-</w:t>
            </w:r>
            <w:r>
              <w:rPr>
                <w:rFonts w:eastAsiaTheme="minorEastAsia"/>
                <w:b/>
                <w:bCs/>
                <w:sz w:val="20"/>
                <w:szCs w:val="20"/>
                <w:lang w:eastAsia="sk-SK"/>
              </w:rPr>
              <w:t>7 657,00</w:t>
            </w:r>
            <w:r w:rsidRPr="00C6090A">
              <w:rPr>
                <w:rFonts w:eastAsiaTheme="minorEastAsia"/>
                <w:b/>
                <w:bCs/>
                <w:sz w:val="20"/>
                <w:szCs w:val="20"/>
                <w:lang w:eastAsia="sk-SK"/>
              </w:rPr>
              <w:t xml:space="preserve"> EUR</w:t>
            </w:r>
            <w:r w:rsidRPr="00C6090A">
              <w:rPr>
                <w:rFonts w:eastAsiaTheme="minorEastAsia"/>
                <w:sz w:val="20"/>
                <w:szCs w:val="20"/>
                <w:lang w:eastAsia="sk-SK"/>
              </w:rPr>
              <w:t xml:space="preserve"> zníženie rozpočtu BV (</w:t>
            </w:r>
            <w:proofErr w:type="spellStart"/>
            <w:r w:rsidRPr="00C6090A">
              <w:rPr>
                <w:rFonts w:eastAsiaTheme="minorEastAsia"/>
                <w:sz w:val="20"/>
                <w:szCs w:val="20"/>
                <w:lang w:eastAsia="sk-SK"/>
              </w:rPr>
              <w:t>Uzn</w:t>
            </w:r>
            <w:proofErr w:type="spellEnd"/>
            <w:r w:rsidRPr="00C6090A">
              <w:rPr>
                <w:rFonts w:eastAsiaTheme="minorEastAsia"/>
                <w:sz w:val="20"/>
                <w:szCs w:val="20"/>
                <w:lang w:eastAsia="sk-SK"/>
              </w:rPr>
              <w:t xml:space="preserve">. 247/2020 z 29.5.2020) z </w:t>
            </w:r>
            <w:r w:rsidRPr="00C6090A">
              <w:rPr>
                <w:rFonts w:eastAsiaTheme="minorEastAsia"/>
                <w:sz w:val="20"/>
                <w:szCs w:val="20"/>
                <w:lang w:eastAsia="sk-SK"/>
              </w:rPr>
              <w:lastRenderedPageBreak/>
              <w:t>dôvodu nenaplnených daňových príjmov</w:t>
            </w:r>
          </w:p>
        </w:tc>
      </w:tr>
      <w:tr w:rsidR="00875772" w:rsidRPr="00116D4B" w14:paraId="2743CDCF" w14:textId="77777777" w:rsidTr="00875772">
        <w:trPr>
          <w:tblCellSpacing w:w="15" w:type="dxa"/>
        </w:trPr>
        <w:tc>
          <w:tcPr>
            <w:tcW w:w="1107" w:type="dxa"/>
            <w:shd w:val="clear" w:color="auto" w:fill="D9D9D9" w:themeFill="background1" w:themeFillShade="D9"/>
            <w:noWrap/>
            <w:vAlign w:val="center"/>
            <w:hideMark/>
          </w:tcPr>
          <w:p w14:paraId="0852786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2023" w:type="dxa"/>
            <w:shd w:val="clear" w:color="auto" w:fill="D9D9D9" w:themeFill="background1" w:themeFillShade="D9"/>
            <w:vAlign w:val="center"/>
            <w:hideMark/>
          </w:tcPr>
          <w:p w14:paraId="5EE1588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127" w:type="dxa"/>
            <w:shd w:val="clear" w:color="auto" w:fill="D9D9D9" w:themeFill="background1" w:themeFillShade="D9"/>
            <w:noWrap/>
            <w:vAlign w:val="center"/>
            <w:hideMark/>
          </w:tcPr>
          <w:p w14:paraId="060D7EA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840 319,89</w:t>
            </w:r>
            <w:r w:rsidRPr="4F9BDBF9">
              <w:rPr>
                <w:rFonts w:eastAsiaTheme="minorEastAsia"/>
                <w:sz w:val="24"/>
                <w:szCs w:val="24"/>
                <w:lang w:eastAsia="sk-SK"/>
              </w:rPr>
              <w:t xml:space="preserve"> </w:t>
            </w:r>
          </w:p>
        </w:tc>
        <w:tc>
          <w:tcPr>
            <w:tcW w:w="1027" w:type="dxa"/>
            <w:shd w:val="clear" w:color="auto" w:fill="D9D9D9" w:themeFill="background1" w:themeFillShade="D9"/>
            <w:noWrap/>
            <w:vAlign w:val="center"/>
            <w:hideMark/>
          </w:tcPr>
          <w:p w14:paraId="4EC1413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857 981,37</w:t>
            </w:r>
            <w:r w:rsidRPr="4F9BDBF9">
              <w:rPr>
                <w:rFonts w:eastAsiaTheme="minorEastAsia"/>
                <w:sz w:val="24"/>
                <w:szCs w:val="24"/>
                <w:lang w:eastAsia="sk-SK"/>
              </w:rPr>
              <w:t xml:space="preserve"> </w:t>
            </w:r>
          </w:p>
        </w:tc>
        <w:tc>
          <w:tcPr>
            <w:tcW w:w="968" w:type="dxa"/>
            <w:shd w:val="clear" w:color="auto" w:fill="D9D9D9" w:themeFill="background1" w:themeFillShade="D9"/>
            <w:noWrap/>
            <w:vAlign w:val="center"/>
            <w:hideMark/>
          </w:tcPr>
          <w:p w14:paraId="66F06FD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836 119,08</w:t>
            </w:r>
            <w:r w:rsidRPr="4F9BDBF9">
              <w:rPr>
                <w:rFonts w:eastAsiaTheme="minorEastAsia"/>
                <w:sz w:val="24"/>
                <w:szCs w:val="24"/>
                <w:lang w:eastAsia="sk-SK"/>
              </w:rPr>
              <w:t xml:space="preserve"> </w:t>
            </w:r>
          </w:p>
        </w:tc>
        <w:tc>
          <w:tcPr>
            <w:tcW w:w="1230" w:type="dxa"/>
            <w:shd w:val="clear" w:color="auto" w:fill="D9D9D9" w:themeFill="background1" w:themeFillShade="D9"/>
            <w:noWrap/>
            <w:vAlign w:val="center"/>
            <w:hideMark/>
          </w:tcPr>
          <w:p w14:paraId="30FF6B2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97,45</w:t>
            </w:r>
            <w:r w:rsidRPr="4F9BDBF9">
              <w:rPr>
                <w:rFonts w:eastAsiaTheme="minorEastAsia"/>
                <w:sz w:val="24"/>
                <w:szCs w:val="24"/>
                <w:lang w:eastAsia="sk-SK"/>
              </w:rPr>
              <w:t xml:space="preserve"> </w:t>
            </w:r>
          </w:p>
        </w:tc>
        <w:tc>
          <w:tcPr>
            <w:tcW w:w="2984" w:type="dxa"/>
            <w:vMerge/>
            <w:vAlign w:val="center"/>
            <w:hideMark/>
          </w:tcPr>
          <w:p w14:paraId="51BEFEDA"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1657C96B" w14:textId="77777777" w:rsidTr="00875772">
        <w:trPr>
          <w:tblCellSpacing w:w="15" w:type="dxa"/>
        </w:trPr>
        <w:tc>
          <w:tcPr>
            <w:tcW w:w="1107" w:type="dxa"/>
            <w:shd w:val="clear" w:color="auto" w:fill="EFEFEF"/>
            <w:noWrap/>
            <w:vAlign w:val="center"/>
            <w:hideMark/>
          </w:tcPr>
          <w:p w14:paraId="6F3B452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2023" w:type="dxa"/>
            <w:shd w:val="clear" w:color="auto" w:fill="EFEFEF"/>
            <w:vAlign w:val="center"/>
            <w:hideMark/>
          </w:tcPr>
          <w:p w14:paraId="4FD8E9E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127" w:type="dxa"/>
            <w:shd w:val="clear" w:color="auto" w:fill="EFEFEF"/>
            <w:noWrap/>
            <w:vAlign w:val="center"/>
            <w:hideMark/>
          </w:tcPr>
          <w:p w14:paraId="4F91D26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505 132,00</w:t>
            </w:r>
            <w:r w:rsidRPr="4F9BDBF9">
              <w:rPr>
                <w:rFonts w:eastAsiaTheme="minorEastAsia"/>
                <w:sz w:val="24"/>
                <w:szCs w:val="24"/>
                <w:lang w:eastAsia="sk-SK"/>
              </w:rPr>
              <w:t xml:space="preserve"> </w:t>
            </w:r>
          </w:p>
        </w:tc>
        <w:tc>
          <w:tcPr>
            <w:tcW w:w="1027" w:type="dxa"/>
            <w:shd w:val="clear" w:color="auto" w:fill="EFEFEF"/>
            <w:noWrap/>
            <w:vAlign w:val="center"/>
            <w:hideMark/>
          </w:tcPr>
          <w:p w14:paraId="2842907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522 522,00</w:t>
            </w:r>
            <w:r w:rsidRPr="4F9BDBF9">
              <w:rPr>
                <w:rFonts w:eastAsiaTheme="minorEastAsia"/>
                <w:sz w:val="24"/>
                <w:szCs w:val="24"/>
                <w:lang w:eastAsia="sk-SK"/>
              </w:rPr>
              <w:t xml:space="preserve"> </w:t>
            </w:r>
          </w:p>
        </w:tc>
        <w:tc>
          <w:tcPr>
            <w:tcW w:w="968" w:type="dxa"/>
            <w:shd w:val="clear" w:color="auto" w:fill="EFEFEF"/>
            <w:noWrap/>
            <w:vAlign w:val="center"/>
            <w:hideMark/>
          </w:tcPr>
          <w:p w14:paraId="1CAC07A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511 453,15</w:t>
            </w:r>
            <w:r w:rsidRPr="4F9BDBF9">
              <w:rPr>
                <w:rFonts w:eastAsiaTheme="minorEastAsia"/>
                <w:sz w:val="24"/>
                <w:szCs w:val="24"/>
                <w:lang w:eastAsia="sk-SK"/>
              </w:rPr>
              <w:t xml:space="preserve"> </w:t>
            </w:r>
          </w:p>
        </w:tc>
        <w:tc>
          <w:tcPr>
            <w:tcW w:w="1230" w:type="dxa"/>
            <w:shd w:val="clear" w:color="auto" w:fill="EFEFEF"/>
            <w:noWrap/>
            <w:vAlign w:val="center"/>
            <w:hideMark/>
          </w:tcPr>
          <w:p w14:paraId="0EAE924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97,88</w:t>
            </w:r>
            <w:r w:rsidRPr="4F9BDBF9">
              <w:rPr>
                <w:rFonts w:eastAsiaTheme="minorEastAsia"/>
                <w:sz w:val="24"/>
                <w:szCs w:val="24"/>
                <w:lang w:eastAsia="sk-SK"/>
              </w:rPr>
              <w:t xml:space="preserve"> </w:t>
            </w:r>
          </w:p>
        </w:tc>
        <w:tc>
          <w:tcPr>
            <w:tcW w:w="2984" w:type="dxa"/>
            <w:vMerge/>
            <w:vAlign w:val="center"/>
            <w:hideMark/>
          </w:tcPr>
          <w:p w14:paraId="5A2D4909"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01C8955" w14:textId="77777777" w:rsidTr="00875772">
        <w:trPr>
          <w:tblCellSpacing w:w="15" w:type="dxa"/>
        </w:trPr>
        <w:tc>
          <w:tcPr>
            <w:tcW w:w="1107" w:type="dxa"/>
            <w:shd w:val="clear" w:color="auto" w:fill="EFEFEF"/>
            <w:noWrap/>
            <w:vAlign w:val="center"/>
            <w:hideMark/>
          </w:tcPr>
          <w:p w14:paraId="40D6DDF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2023" w:type="dxa"/>
            <w:shd w:val="clear" w:color="auto" w:fill="EFEFEF"/>
            <w:vAlign w:val="center"/>
            <w:hideMark/>
          </w:tcPr>
          <w:p w14:paraId="0E0E539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127" w:type="dxa"/>
            <w:shd w:val="clear" w:color="auto" w:fill="EFEFEF"/>
            <w:noWrap/>
            <w:vAlign w:val="center"/>
            <w:hideMark/>
          </w:tcPr>
          <w:p w14:paraId="56AA12F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184 875,29</w:t>
            </w:r>
            <w:r w:rsidRPr="4F9BDBF9">
              <w:rPr>
                <w:rFonts w:eastAsiaTheme="minorEastAsia"/>
                <w:sz w:val="24"/>
                <w:szCs w:val="24"/>
                <w:lang w:eastAsia="sk-SK"/>
              </w:rPr>
              <w:t xml:space="preserve"> </w:t>
            </w:r>
          </w:p>
        </w:tc>
        <w:tc>
          <w:tcPr>
            <w:tcW w:w="1027" w:type="dxa"/>
            <w:shd w:val="clear" w:color="auto" w:fill="EFEFEF"/>
            <w:noWrap/>
            <w:vAlign w:val="center"/>
            <w:hideMark/>
          </w:tcPr>
          <w:p w14:paraId="55A737C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189 131,26</w:t>
            </w:r>
            <w:r w:rsidRPr="4F9BDBF9">
              <w:rPr>
                <w:rFonts w:eastAsiaTheme="minorEastAsia"/>
                <w:sz w:val="24"/>
                <w:szCs w:val="24"/>
                <w:lang w:eastAsia="sk-SK"/>
              </w:rPr>
              <w:t xml:space="preserve"> </w:t>
            </w:r>
          </w:p>
        </w:tc>
        <w:tc>
          <w:tcPr>
            <w:tcW w:w="968" w:type="dxa"/>
            <w:shd w:val="clear" w:color="auto" w:fill="EFEFEF"/>
            <w:noWrap/>
            <w:vAlign w:val="center"/>
            <w:hideMark/>
          </w:tcPr>
          <w:p w14:paraId="0B14565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182 310,00</w:t>
            </w:r>
            <w:r w:rsidRPr="4F9BDBF9">
              <w:rPr>
                <w:rFonts w:eastAsiaTheme="minorEastAsia"/>
                <w:sz w:val="24"/>
                <w:szCs w:val="24"/>
                <w:lang w:eastAsia="sk-SK"/>
              </w:rPr>
              <w:t xml:space="preserve"> </w:t>
            </w:r>
          </w:p>
        </w:tc>
        <w:tc>
          <w:tcPr>
            <w:tcW w:w="1230" w:type="dxa"/>
            <w:shd w:val="clear" w:color="auto" w:fill="EFEFEF"/>
            <w:noWrap/>
            <w:vAlign w:val="center"/>
            <w:hideMark/>
          </w:tcPr>
          <w:p w14:paraId="264026A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96,39</w:t>
            </w:r>
            <w:r w:rsidRPr="4F9BDBF9">
              <w:rPr>
                <w:rFonts w:eastAsiaTheme="minorEastAsia"/>
                <w:sz w:val="24"/>
                <w:szCs w:val="24"/>
                <w:lang w:eastAsia="sk-SK"/>
              </w:rPr>
              <w:t xml:space="preserve"> </w:t>
            </w:r>
          </w:p>
        </w:tc>
        <w:tc>
          <w:tcPr>
            <w:tcW w:w="2984" w:type="dxa"/>
            <w:vMerge/>
            <w:vAlign w:val="center"/>
            <w:hideMark/>
          </w:tcPr>
          <w:p w14:paraId="0617F4F2"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3C156068" w14:textId="77777777" w:rsidTr="00875772">
        <w:trPr>
          <w:tblCellSpacing w:w="15" w:type="dxa"/>
        </w:trPr>
        <w:tc>
          <w:tcPr>
            <w:tcW w:w="1107" w:type="dxa"/>
            <w:shd w:val="clear" w:color="auto" w:fill="EFEFEF"/>
            <w:noWrap/>
            <w:vAlign w:val="center"/>
            <w:hideMark/>
          </w:tcPr>
          <w:p w14:paraId="41CD5C2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2023" w:type="dxa"/>
            <w:shd w:val="clear" w:color="auto" w:fill="EFEFEF"/>
            <w:vAlign w:val="center"/>
            <w:hideMark/>
          </w:tcPr>
          <w:p w14:paraId="7E55B2B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127" w:type="dxa"/>
            <w:shd w:val="clear" w:color="auto" w:fill="EFEFEF"/>
            <w:noWrap/>
            <w:vAlign w:val="center"/>
            <w:hideMark/>
          </w:tcPr>
          <w:p w14:paraId="38B6E3B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138 532,60</w:t>
            </w:r>
            <w:r w:rsidRPr="4F9BDBF9">
              <w:rPr>
                <w:rFonts w:eastAsiaTheme="minorEastAsia"/>
                <w:sz w:val="24"/>
                <w:szCs w:val="24"/>
                <w:lang w:eastAsia="sk-SK"/>
              </w:rPr>
              <w:t xml:space="preserve"> </w:t>
            </w:r>
          </w:p>
        </w:tc>
        <w:tc>
          <w:tcPr>
            <w:tcW w:w="1027" w:type="dxa"/>
            <w:shd w:val="clear" w:color="auto" w:fill="EFEFEF"/>
            <w:noWrap/>
            <w:vAlign w:val="center"/>
            <w:hideMark/>
          </w:tcPr>
          <w:p w14:paraId="5B49A77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132 475,07</w:t>
            </w:r>
            <w:r w:rsidRPr="4F9BDBF9">
              <w:rPr>
                <w:rFonts w:eastAsiaTheme="minorEastAsia"/>
                <w:sz w:val="24"/>
                <w:szCs w:val="24"/>
                <w:lang w:eastAsia="sk-SK"/>
              </w:rPr>
              <w:t xml:space="preserve"> </w:t>
            </w:r>
          </w:p>
        </w:tc>
        <w:tc>
          <w:tcPr>
            <w:tcW w:w="968" w:type="dxa"/>
            <w:shd w:val="clear" w:color="auto" w:fill="EFEFEF"/>
            <w:noWrap/>
            <w:vAlign w:val="center"/>
            <w:hideMark/>
          </w:tcPr>
          <w:p w14:paraId="33AB240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129 800,88</w:t>
            </w:r>
            <w:r w:rsidRPr="4F9BDBF9">
              <w:rPr>
                <w:rFonts w:eastAsiaTheme="minorEastAsia"/>
                <w:sz w:val="24"/>
                <w:szCs w:val="24"/>
                <w:lang w:eastAsia="sk-SK"/>
              </w:rPr>
              <w:t xml:space="preserve"> </w:t>
            </w:r>
          </w:p>
        </w:tc>
        <w:tc>
          <w:tcPr>
            <w:tcW w:w="1230" w:type="dxa"/>
            <w:shd w:val="clear" w:color="auto" w:fill="EFEFEF"/>
            <w:noWrap/>
            <w:vAlign w:val="center"/>
            <w:hideMark/>
          </w:tcPr>
          <w:p w14:paraId="4790F9A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97,98</w:t>
            </w:r>
            <w:r w:rsidRPr="4F9BDBF9">
              <w:rPr>
                <w:rFonts w:eastAsiaTheme="minorEastAsia"/>
                <w:sz w:val="24"/>
                <w:szCs w:val="24"/>
                <w:lang w:eastAsia="sk-SK"/>
              </w:rPr>
              <w:t xml:space="preserve"> </w:t>
            </w:r>
          </w:p>
        </w:tc>
        <w:tc>
          <w:tcPr>
            <w:tcW w:w="2984" w:type="dxa"/>
            <w:vMerge/>
            <w:vAlign w:val="center"/>
            <w:hideMark/>
          </w:tcPr>
          <w:p w14:paraId="1FC74E59"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67D2C44" w14:textId="77777777" w:rsidTr="00875772">
        <w:trPr>
          <w:tblCellSpacing w:w="15" w:type="dxa"/>
        </w:trPr>
        <w:tc>
          <w:tcPr>
            <w:tcW w:w="1107" w:type="dxa"/>
            <w:shd w:val="clear" w:color="auto" w:fill="EFEFEF"/>
            <w:noWrap/>
            <w:vAlign w:val="center"/>
            <w:hideMark/>
          </w:tcPr>
          <w:p w14:paraId="1B2058D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2023" w:type="dxa"/>
            <w:shd w:val="clear" w:color="auto" w:fill="EFEFEF"/>
            <w:vAlign w:val="center"/>
            <w:hideMark/>
          </w:tcPr>
          <w:p w14:paraId="42FCE88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127" w:type="dxa"/>
            <w:shd w:val="clear" w:color="auto" w:fill="EFEFEF"/>
            <w:noWrap/>
            <w:vAlign w:val="center"/>
            <w:hideMark/>
          </w:tcPr>
          <w:p w14:paraId="7B71544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11 780,00</w:t>
            </w:r>
            <w:r w:rsidRPr="4F9BDBF9">
              <w:rPr>
                <w:rFonts w:eastAsiaTheme="minorEastAsia"/>
                <w:sz w:val="24"/>
                <w:szCs w:val="24"/>
                <w:lang w:eastAsia="sk-SK"/>
              </w:rPr>
              <w:t xml:space="preserve"> </w:t>
            </w:r>
          </w:p>
        </w:tc>
        <w:tc>
          <w:tcPr>
            <w:tcW w:w="1027" w:type="dxa"/>
            <w:shd w:val="clear" w:color="auto" w:fill="EFEFEF"/>
            <w:noWrap/>
            <w:vAlign w:val="center"/>
            <w:hideMark/>
          </w:tcPr>
          <w:p w14:paraId="45BA8AA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13 853,04</w:t>
            </w:r>
            <w:r w:rsidRPr="4F9BDBF9">
              <w:rPr>
                <w:rFonts w:eastAsiaTheme="minorEastAsia"/>
                <w:sz w:val="24"/>
                <w:szCs w:val="24"/>
                <w:lang w:eastAsia="sk-SK"/>
              </w:rPr>
              <w:t xml:space="preserve"> </w:t>
            </w:r>
          </w:p>
        </w:tc>
        <w:tc>
          <w:tcPr>
            <w:tcW w:w="968" w:type="dxa"/>
            <w:shd w:val="clear" w:color="auto" w:fill="EFEFEF"/>
            <w:noWrap/>
            <w:vAlign w:val="center"/>
            <w:hideMark/>
          </w:tcPr>
          <w:p w14:paraId="2065C2F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12 555,05</w:t>
            </w:r>
            <w:r w:rsidRPr="4F9BDBF9">
              <w:rPr>
                <w:rFonts w:eastAsiaTheme="minorEastAsia"/>
                <w:sz w:val="24"/>
                <w:szCs w:val="24"/>
                <w:lang w:eastAsia="sk-SK"/>
              </w:rPr>
              <w:t xml:space="preserve"> </w:t>
            </w:r>
          </w:p>
        </w:tc>
        <w:tc>
          <w:tcPr>
            <w:tcW w:w="1230" w:type="dxa"/>
            <w:shd w:val="clear" w:color="auto" w:fill="EFEFEF"/>
            <w:noWrap/>
            <w:vAlign w:val="center"/>
            <w:hideMark/>
          </w:tcPr>
          <w:p w14:paraId="7AF5749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90,63</w:t>
            </w:r>
            <w:r w:rsidRPr="4F9BDBF9">
              <w:rPr>
                <w:rFonts w:eastAsiaTheme="minorEastAsia"/>
                <w:sz w:val="24"/>
                <w:szCs w:val="24"/>
                <w:lang w:eastAsia="sk-SK"/>
              </w:rPr>
              <w:t xml:space="preserve"> </w:t>
            </w:r>
          </w:p>
        </w:tc>
        <w:tc>
          <w:tcPr>
            <w:tcW w:w="2984" w:type="dxa"/>
            <w:vMerge/>
            <w:vAlign w:val="center"/>
            <w:hideMark/>
          </w:tcPr>
          <w:p w14:paraId="3585BBAA" w14:textId="77777777" w:rsidR="00875772" w:rsidRPr="00116D4B" w:rsidRDefault="00875772" w:rsidP="00875772">
            <w:pPr>
              <w:spacing w:after="0" w:line="240" w:lineRule="auto"/>
              <w:rPr>
                <w:rFonts w:ascii="Times New Roman" w:hAnsi="Times New Roman"/>
                <w:sz w:val="24"/>
                <w:szCs w:val="24"/>
                <w:lang w:eastAsia="sk-SK"/>
              </w:rPr>
            </w:pPr>
          </w:p>
        </w:tc>
      </w:tr>
    </w:tbl>
    <w:p w14:paraId="6B181FCA"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02"/>
        <w:gridCol w:w="630"/>
        <w:gridCol w:w="1492"/>
        <w:gridCol w:w="1283"/>
        <w:gridCol w:w="4159"/>
      </w:tblGrid>
      <w:tr w:rsidR="00875772" w:rsidRPr="00116D4B" w14:paraId="72CB6884" w14:textId="77777777" w:rsidTr="00875772">
        <w:trPr>
          <w:tblCellSpacing w:w="15" w:type="dxa"/>
        </w:trPr>
        <w:tc>
          <w:tcPr>
            <w:tcW w:w="0" w:type="auto"/>
            <w:shd w:val="clear" w:color="auto" w:fill="C2D69B"/>
            <w:vAlign w:val="center"/>
            <w:hideMark/>
          </w:tcPr>
          <w:p w14:paraId="1788889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6BECB43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3A351AE5" w14:textId="77777777" w:rsidTr="00875772">
        <w:trPr>
          <w:tblCellSpacing w:w="15" w:type="dxa"/>
        </w:trPr>
        <w:tc>
          <w:tcPr>
            <w:tcW w:w="0" w:type="auto"/>
            <w:shd w:val="clear" w:color="auto" w:fill="C2D69B"/>
            <w:vAlign w:val="center"/>
            <w:hideMark/>
          </w:tcPr>
          <w:p w14:paraId="0075809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36D23B2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5EDF8E23" w14:textId="77777777" w:rsidTr="00875772">
        <w:trPr>
          <w:tblCellSpacing w:w="15" w:type="dxa"/>
        </w:trPr>
        <w:tc>
          <w:tcPr>
            <w:tcW w:w="0" w:type="auto"/>
            <w:shd w:val="clear" w:color="auto" w:fill="C2D69B"/>
            <w:vAlign w:val="center"/>
            <w:hideMark/>
          </w:tcPr>
          <w:p w14:paraId="2255979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48A4370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5FABBF4A" w14:textId="77777777" w:rsidTr="00875772">
        <w:trPr>
          <w:tblCellSpacing w:w="15" w:type="dxa"/>
        </w:trPr>
        <w:tc>
          <w:tcPr>
            <w:tcW w:w="0" w:type="auto"/>
            <w:shd w:val="clear" w:color="auto" w:fill="C2D69B"/>
            <w:vAlign w:val="center"/>
            <w:hideMark/>
          </w:tcPr>
          <w:p w14:paraId="415CADF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1B8A504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2437213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720312C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7AF337A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457C9A4A" w14:textId="77777777" w:rsidTr="00875772">
        <w:trPr>
          <w:tblCellSpacing w:w="15" w:type="dxa"/>
        </w:trPr>
        <w:tc>
          <w:tcPr>
            <w:tcW w:w="0" w:type="auto"/>
            <w:shd w:val="clear" w:color="auto" w:fill="C2D69B"/>
            <w:vAlign w:val="center"/>
            <w:hideMark/>
          </w:tcPr>
          <w:p w14:paraId="5AD652D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6B34336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4CA5E770"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78.79</w:t>
            </w:r>
            <w:r w:rsidRPr="3E14EAE1">
              <w:rPr>
                <w:rFonts w:eastAsiaTheme="minorEastAsia"/>
                <w:sz w:val="24"/>
                <w:szCs w:val="24"/>
                <w:lang w:eastAsia="sk-SK"/>
              </w:rPr>
              <w:t xml:space="preserve"> </w:t>
            </w:r>
          </w:p>
        </w:tc>
        <w:tc>
          <w:tcPr>
            <w:tcW w:w="0" w:type="auto"/>
            <w:shd w:val="clear" w:color="auto" w:fill="C2D69B"/>
            <w:vAlign w:val="center"/>
            <w:hideMark/>
          </w:tcPr>
          <w:p w14:paraId="13ACA3D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6116DF2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Dôvodom pre čiastočné splnenie plánu je dlhodobo znížený záujem o poskytovanie sociálnej služby ambulantnou formu.</w:t>
            </w:r>
            <w:r w:rsidRPr="4F9BDBF9">
              <w:rPr>
                <w:rFonts w:eastAsiaTheme="minorEastAsia"/>
                <w:sz w:val="24"/>
                <w:szCs w:val="24"/>
                <w:lang w:eastAsia="sk-SK"/>
              </w:rPr>
              <w:t xml:space="preserve"> </w:t>
            </w:r>
          </w:p>
        </w:tc>
      </w:tr>
    </w:tbl>
    <w:p w14:paraId="5837D3A9" w14:textId="6E5F7324"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11.1.6: DSS pre deti a dospelých INTEGRA</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83"/>
        <w:gridCol w:w="1833"/>
        <w:gridCol w:w="1253"/>
        <w:gridCol w:w="1134"/>
        <w:gridCol w:w="1276"/>
        <w:gridCol w:w="851"/>
        <w:gridCol w:w="3236"/>
      </w:tblGrid>
      <w:tr w:rsidR="00875772" w:rsidRPr="00116D4B" w14:paraId="4571A5A7" w14:textId="77777777" w:rsidTr="00875772">
        <w:trPr>
          <w:tblCellSpacing w:w="15" w:type="dxa"/>
        </w:trPr>
        <w:tc>
          <w:tcPr>
            <w:tcW w:w="838" w:type="dxa"/>
            <w:shd w:val="clear" w:color="auto" w:fill="C6DBF7"/>
            <w:vAlign w:val="center"/>
            <w:hideMark/>
          </w:tcPr>
          <w:p w14:paraId="70BFDED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803" w:type="dxa"/>
            <w:shd w:val="clear" w:color="auto" w:fill="C6DBF7"/>
            <w:vAlign w:val="center"/>
            <w:hideMark/>
          </w:tcPr>
          <w:p w14:paraId="0BD6011C"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Ekonomická </w:t>
            </w:r>
          </w:p>
          <w:p w14:paraId="2BF53875"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klasifikácia</w:t>
            </w:r>
          </w:p>
        </w:tc>
        <w:tc>
          <w:tcPr>
            <w:tcW w:w="1223" w:type="dxa"/>
            <w:shd w:val="clear" w:color="auto" w:fill="C6DBF7"/>
            <w:vAlign w:val="center"/>
            <w:hideMark/>
          </w:tcPr>
          <w:p w14:paraId="7983BD9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4E0C2E1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44509D5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821" w:type="dxa"/>
            <w:shd w:val="clear" w:color="auto" w:fill="C6DBF7"/>
            <w:vAlign w:val="center"/>
            <w:hideMark/>
          </w:tcPr>
          <w:p w14:paraId="63B0F7E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191" w:type="dxa"/>
            <w:shd w:val="clear" w:color="auto" w:fill="C6DBF7"/>
            <w:vAlign w:val="center"/>
            <w:hideMark/>
          </w:tcPr>
          <w:p w14:paraId="17236F4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55F704BE" w14:textId="77777777" w:rsidTr="00875772">
        <w:trPr>
          <w:tblCellSpacing w:w="15" w:type="dxa"/>
        </w:trPr>
        <w:tc>
          <w:tcPr>
            <w:tcW w:w="838" w:type="dxa"/>
            <w:shd w:val="clear" w:color="auto" w:fill="D9D9D9" w:themeFill="background1" w:themeFillShade="D9"/>
            <w:noWrap/>
            <w:vAlign w:val="center"/>
            <w:hideMark/>
          </w:tcPr>
          <w:p w14:paraId="33ECD8DA" w14:textId="77777777" w:rsidR="00875772" w:rsidRPr="00116D4B" w:rsidRDefault="00875772" w:rsidP="00875772">
            <w:pPr>
              <w:spacing w:after="0" w:line="240" w:lineRule="auto"/>
              <w:jc w:val="center"/>
              <w:rPr>
                <w:rFonts w:eastAsiaTheme="minorEastAsia"/>
                <w:sz w:val="24"/>
                <w:szCs w:val="24"/>
                <w:lang w:eastAsia="sk-SK"/>
              </w:rPr>
            </w:pPr>
          </w:p>
        </w:tc>
        <w:tc>
          <w:tcPr>
            <w:tcW w:w="1803" w:type="dxa"/>
            <w:shd w:val="clear" w:color="auto" w:fill="D9D9D9" w:themeFill="background1" w:themeFillShade="D9"/>
            <w:vAlign w:val="center"/>
            <w:hideMark/>
          </w:tcPr>
          <w:p w14:paraId="2047ED3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23" w:type="dxa"/>
            <w:shd w:val="clear" w:color="auto" w:fill="D9D9D9" w:themeFill="background1" w:themeFillShade="D9"/>
            <w:noWrap/>
            <w:vAlign w:val="center"/>
            <w:hideMark/>
          </w:tcPr>
          <w:p w14:paraId="02648F3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1 087 425,68</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66D7970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1 169 978,75</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77C919F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1 143 549,87</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78F7163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97,74</w:t>
            </w:r>
            <w:r w:rsidRPr="4F9BDBF9">
              <w:rPr>
                <w:rFonts w:eastAsiaTheme="minorEastAsia"/>
                <w:sz w:val="24"/>
                <w:szCs w:val="24"/>
                <w:lang w:eastAsia="sk-SK"/>
              </w:rPr>
              <w:t xml:space="preserve"> </w:t>
            </w:r>
          </w:p>
        </w:tc>
        <w:tc>
          <w:tcPr>
            <w:tcW w:w="3191" w:type="dxa"/>
            <w:vMerge w:val="restart"/>
            <w:shd w:val="clear" w:color="auto" w:fill="D9D9D9" w:themeFill="background1" w:themeFillShade="D9"/>
            <w:vAlign w:val="center"/>
            <w:hideMark/>
          </w:tcPr>
          <w:p w14:paraId="3A1B2573"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+44 220,95 EUR</w:t>
            </w:r>
            <w:r w:rsidRPr="6450C5FE">
              <w:rPr>
                <w:rFonts w:eastAsiaTheme="minorEastAsia"/>
                <w:sz w:val="20"/>
                <w:szCs w:val="20"/>
                <w:lang w:eastAsia="sk-SK"/>
              </w:rPr>
              <w:t xml:space="preserve"> presun z P11.3 na navýšenie mzdových prostriedkov</w:t>
            </w:r>
          </w:p>
          <w:p w14:paraId="3E7889EA"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+4 310,00 EUR </w:t>
            </w:r>
            <w:r w:rsidRPr="7A505BEE">
              <w:rPr>
                <w:rFonts w:eastAsiaTheme="minorEastAsia"/>
                <w:sz w:val="20"/>
                <w:szCs w:val="20"/>
                <w:lang w:eastAsia="sk-SK"/>
              </w:rPr>
              <w:t xml:space="preserve">presun z P11.3  na opravy,  </w:t>
            </w:r>
            <w:proofErr w:type="spellStart"/>
            <w:r w:rsidRPr="7A505BEE">
              <w:rPr>
                <w:rFonts w:eastAsiaTheme="minorEastAsia"/>
                <w:sz w:val="20"/>
                <w:szCs w:val="20"/>
                <w:lang w:eastAsia="sk-SK"/>
              </w:rPr>
              <w:t>termokameru</w:t>
            </w:r>
            <w:proofErr w:type="spellEnd"/>
            <w:r w:rsidRPr="7A505BEE">
              <w:rPr>
                <w:rFonts w:eastAsiaTheme="minorEastAsia"/>
                <w:sz w:val="20"/>
                <w:szCs w:val="20"/>
                <w:lang w:eastAsia="sk-SK"/>
              </w:rPr>
              <w:t xml:space="preserve">, </w:t>
            </w:r>
            <w:proofErr w:type="spellStart"/>
            <w:r w:rsidRPr="7A505BEE">
              <w:rPr>
                <w:rFonts w:eastAsiaTheme="minorEastAsia"/>
                <w:sz w:val="20"/>
                <w:szCs w:val="20"/>
                <w:lang w:eastAsia="sk-SK"/>
              </w:rPr>
              <w:t>germicídny</w:t>
            </w:r>
            <w:proofErr w:type="spellEnd"/>
            <w:r w:rsidRPr="7A505BEE">
              <w:rPr>
                <w:rFonts w:eastAsiaTheme="minorEastAsia"/>
                <w:sz w:val="20"/>
                <w:szCs w:val="20"/>
                <w:lang w:eastAsia="sk-SK"/>
              </w:rPr>
              <w:t xml:space="preserve"> žiarič, dezinfekciu a OOPP</w:t>
            </w:r>
          </w:p>
          <w:p w14:paraId="314FA762"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+30 687,00 EUR </w:t>
            </w:r>
            <w:r w:rsidRPr="7A505BEE">
              <w:rPr>
                <w:rFonts w:eastAsiaTheme="minorEastAsia"/>
                <w:sz w:val="20"/>
                <w:szCs w:val="20"/>
                <w:lang w:eastAsia="sk-SK"/>
              </w:rPr>
              <w:t>dotácia z MPSVaR SR  na mimoriadne odmeny pre zamestnancov za I. vlnu pandémie</w:t>
            </w:r>
          </w:p>
          <w:p w14:paraId="57D5181E"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+2 080,00 EUR </w:t>
            </w:r>
            <w:r w:rsidRPr="7A505BEE">
              <w:rPr>
                <w:rFonts w:eastAsiaTheme="minorEastAsia"/>
                <w:sz w:val="20"/>
                <w:szCs w:val="20"/>
                <w:lang w:eastAsia="sk-SK"/>
              </w:rPr>
              <w:t>dotácia z MPSVaR SR na výživové doplnky (</w:t>
            </w:r>
            <w:proofErr w:type="spellStart"/>
            <w:r w:rsidRPr="7A505BEE">
              <w:rPr>
                <w:rFonts w:eastAsiaTheme="minorEastAsia"/>
                <w:sz w:val="20"/>
                <w:szCs w:val="20"/>
                <w:lang w:eastAsia="sk-SK"/>
              </w:rPr>
              <w:t>vit</w:t>
            </w:r>
            <w:proofErr w:type="spellEnd"/>
            <w:r w:rsidRPr="7A505BEE">
              <w:rPr>
                <w:rFonts w:eastAsiaTheme="minorEastAsia"/>
                <w:sz w:val="20"/>
                <w:szCs w:val="20"/>
                <w:lang w:eastAsia="sk-SK"/>
              </w:rPr>
              <w:t>. D3)</w:t>
            </w:r>
          </w:p>
          <w:p w14:paraId="250B159C"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+222,36 EUR </w:t>
            </w:r>
            <w:r w:rsidRPr="6450C5FE">
              <w:rPr>
                <w:rFonts w:eastAsiaTheme="minorEastAsia"/>
                <w:sz w:val="20"/>
                <w:szCs w:val="20"/>
                <w:lang w:eastAsia="sk-SK"/>
              </w:rPr>
              <w:t>zostatok</w:t>
            </w:r>
            <w:r w:rsidRPr="6450C5FE">
              <w:rPr>
                <w:rFonts w:eastAsiaTheme="minorEastAsia"/>
                <w:b/>
                <w:bCs/>
                <w:sz w:val="20"/>
                <w:szCs w:val="20"/>
                <w:lang w:eastAsia="sk-SK"/>
              </w:rPr>
              <w:t xml:space="preserve"> </w:t>
            </w:r>
            <w:r w:rsidRPr="6450C5FE">
              <w:rPr>
                <w:rFonts w:eastAsiaTheme="minorEastAsia"/>
                <w:sz w:val="20"/>
                <w:szCs w:val="20"/>
                <w:lang w:eastAsia="sk-SK"/>
              </w:rPr>
              <w:t>dotácie z iných VÚC z roku 2019</w:t>
            </w:r>
          </w:p>
          <w:p w14:paraId="3548CBED"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+2 068,26 EUR</w:t>
            </w:r>
            <w:r w:rsidRPr="7A505BEE">
              <w:rPr>
                <w:rFonts w:eastAsiaTheme="minorEastAsia"/>
                <w:sz w:val="20"/>
                <w:szCs w:val="20"/>
                <w:lang w:eastAsia="sk-SK"/>
              </w:rPr>
              <w:t xml:space="preserve"> dary z minulých rokov</w:t>
            </w:r>
          </w:p>
          <w:p w14:paraId="44C41D29"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+944,33 EUR </w:t>
            </w:r>
            <w:r w:rsidRPr="7A505BEE">
              <w:rPr>
                <w:rFonts w:eastAsiaTheme="minorEastAsia"/>
                <w:sz w:val="20"/>
                <w:szCs w:val="20"/>
                <w:lang w:eastAsia="sk-SK"/>
              </w:rPr>
              <w:t>granty</w:t>
            </w:r>
          </w:p>
          <w:p w14:paraId="329F9479"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+1 020,48 EUR </w:t>
            </w:r>
            <w:r w:rsidRPr="7A505BEE">
              <w:rPr>
                <w:rFonts w:eastAsiaTheme="minorEastAsia"/>
                <w:sz w:val="20"/>
                <w:szCs w:val="20"/>
                <w:lang w:eastAsia="sk-SK"/>
              </w:rPr>
              <w:t xml:space="preserve"> finančný príspevok z dotácie </w:t>
            </w:r>
            <w:proofErr w:type="spellStart"/>
            <w:r w:rsidRPr="7A505BEE">
              <w:rPr>
                <w:rFonts w:eastAsiaTheme="minorEastAsia"/>
                <w:sz w:val="20"/>
                <w:szCs w:val="20"/>
                <w:lang w:eastAsia="sk-SK"/>
              </w:rPr>
              <w:t>PdF</w:t>
            </w:r>
            <w:proofErr w:type="spellEnd"/>
            <w:r w:rsidRPr="7A505BEE">
              <w:rPr>
                <w:rFonts w:eastAsiaTheme="minorEastAsia"/>
                <w:sz w:val="20"/>
                <w:szCs w:val="20"/>
                <w:lang w:eastAsia="sk-SK"/>
              </w:rPr>
              <w:t xml:space="preserve"> UK z roku 2019</w:t>
            </w:r>
          </w:p>
          <w:p w14:paraId="2F0FB2FC"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-7 000,31 EUR</w:t>
            </w:r>
            <w:r w:rsidRPr="7A505BEE">
              <w:rPr>
                <w:rFonts w:eastAsiaTheme="minorEastAsia"/>
                <w:sz w:val="20"/>
                <w:szCs w:val="20"/>
                <w:lang w:eastAsia="sk-SK"/>
              </w:rPr>
              <w:t xml:space="preserve"> zníženie rozpočtu BV (</w:t>
            </w:r>
            <w:proofErr w:type="spellStart"/>
            <w:r w:rsidRPr="7A505BEE">
              <w:rPr>
                <w:rFonts w:eastAsiaTheme="minorEastAsia"/>
                <w:sz w:val="20"/>
                <w:szCs w:val="20"/>
                <w:lang w:eastAsia="sk-SK"/>
              </w:rPr>
              <w:t>Uzn</w:t>
            </w:r>
            <w:proofErr w:type="spellEnd"/>
            <w:r w:rsidRPr="7A505BEE">
              <w:rPr>
                <w:rFonts w:eastAsiaTheme="minorEastAsia"/>
                <w:sz w:val="20"/>
                <w:szCs w:val="20"/>
                <w:lang w:eastAsia="sk-SK"/>
              </w:rPr>
              <w:t>. 247/2020 z 29.5.2020) z dôvodu nenaplnených daňových príjmov</w:t>
            </w:r>
          </w:p>
          <w:p w14:paraId="08523CE6" w14:textId="77777777" w:rsidR="00875772" w:rsidRPr="00116D4B"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+4 000,00 EUR </w:t>
            </w:r>
            <w:r w:rsidRPr="7A505BEE">
              <w:rPr>
                <w:rFonts w:eastAsiaTheme="minorEastAsia"/>
                <w:sz w:val="20"/>
                <w:szCs w:val="20"/>
                <w:lang w:eastAsia="sk-SK"/>
              </w:rPr>
              <w:t xml:space="preserve">bezbariérové inkluzívne ihrisko s tréningovými prvkami pre imobilných </w:t>
            </w:r>
          </w:p>
        </w:tc>
      </w:tr>
      <w:tr w:rsidR="00875772" w:rsidRPr="00116D4B" w14:paraId="265DA2A8" w14:textId="77777777" w:rsidTr="00875772">
        <w:trPr>
          <w:tblCellSpacing w:w="15" w:type="dxa"/>
        </w:trPr>
        <w:tc>
          <w:tcPr>
            <w:tcW w:w="838" w:type="dxa"/>
            <w:shd w:val="clear" w:color="auto" w:fill="D9D9D9" w:themeFill="background1" w:themeFillShade="D9"/>
            <w:noWrap/>
            <w:vAlign w:val="center"/>
            <w:hideMark/>
          </w:tcPr>
          <w:p w14:paraId="007DC7E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803" w:type="dxa"/>
            <w:shd w:val="clear" w:color="auto" w:fill="D9D9D9" w:themeFill="background1" w:themeFillShade="D9"/>
            <w:vAlign w:val="center"/>
            <w:hideMark/>
          </w:tcPr>
          <w:p w14:paraId="746B1C2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23" w:type="dxa"/>
            <w:shd w:val="clear" w:color="auto" w:fill="D9D9D9" w:themeFill="background1" w:themeFillShade="D9"/>
            <w:noWrap/>
            <w:vAlign w:val="center"/>
            <w:hideMark/>
          </w:tcPr>
          <w:p w14:paraId="4C23A3D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1 087 425,68</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0E52345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1 165 978,75</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02AFE74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1 139 751,87</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3147215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97,75</w:t>
            </w:r>
            <w:r w:rsidRPr="4F9BDBF9">
              <w:rPr>
                <w:rFonts w:eastAsiaTheme="minorEastAsia"/>
                <w:sz w:val="24"/>
                <w:szCs w:val="24"/>
                <w:lang w:eastAsia="sk-SK"/>
              </w:rPr>
              <w:t xml:space="preserve"> </w:t>
            </w:r>
          </w:p>
        </w:tc>
        <w:tc>
          <w:tcPr>
            <w:tcW w:w="3191" w:type="dxa"/>
            <w:vMerge/>
            <w:vAlign w:val="center"/>
            <w:hideMark/>
          </w:tcPr>
          <w:p w14:paraId="10D7156D"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28ED6A47" w14:textId="77777777" w:rsidTr="00875772">
        <w:trPr>
          <w:tblCellSpacing w:w="15" w:type="dxa"/>
        </w:trPr>
        <w:tc>
          <w:tcPr>
            <w:tcW w:w="838" w:type="dxa"/>
            <w:shd w:val="clear" w:color="auto" w:fill="EFEFEF"/>
            <w:noWrap/>
            <w:vAlign w:val="center"/>
            <w:hideMark/>
          </w:tcPr>
          <w:p w14:paraId="7135D96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803" w:type="dxa"/>
            <w:shd w:val="clear" w:color="auto" w:fill="EFEFEF"/>
            <w:vAlign w:val="center"/>
            <w:hideMark/>
          </w:tcPr>
          <w:p w14:paraId="39E1299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23" w:type="dxa"/>
            <w:shd w:val="clear" w:color="auto" w:fill="EFEFEF"/>
            <w:noWrap/>
            <w:vAlign w:val="center"/>
            <w:hideMark/>
          </w:tcPr>
          <w:p w14:paraId="0E06620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646 414,16</w:t>
            </w:r>
            <w:r w:rsidRPr="4F9BDBF9">
              <w:rPr>
                <w:rFonts w:eastAsiaTheme="minorEastAsia"/>
                <w:sz w:val="24"/>
                <w:szCs w:val="24"/>
                <w:lang w:eastAsia="sk-SK"/>
              </w:rPr>
              <w:t xml:space="preserve"> </w:t>
            </w:r>
          </w:p>
        </w:tc>
        <w:tc>
          <w:tcPr>
            <w:tcW w:w="1104" w:type="dxa"/>
            <w:shd w:val="clear" w:color="auto" w:fill="EFEFEF"/>
            <w:noWrap/>
            <w:vAlign w:val="center"/>
            <w:hideMark/>
          </w:tcPr>
          <w:p w14:paraId="25EC436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698 169,16</w:t>
            </w:r>
            <w:r w:rsidRPr="4F9BDBF9">
              <w:rPr>
                <w:rFonts w:eastAsiaTheme="minorEastAsia"/>
                <w:sz w:val="24"/>
                <w:szCs w:val="24"/>
                <w:lang w:eastAsia="sk-SK"/>
              </w:rPr>
              <w:t xml:space="preserve"> </w:t>
            </w:r>
          </w:p>
        </w:tc>
        <w:tc>
          <w:tcPr>
            <w:tcW w:w="1246" w:type="dxa"/>
            <w:shd w:val="clear" w:color="auto" w:fill="EFEFEF"/>
            <w:noWrap/>
            <w:vAlign w:val="center"/>
            <w:hideMark/>
          </w:tcPr>
          <w:p w14:paraId="73E350A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686 651,09</w:t>
            </w:r>
            <w:r w:rsidRPr="4F9BDBF9">
              <w:rPr>
                <w:rFonts w:eastAsiaTheme="minorEastAsia"/>
                <w:sz w:val="24"/>
                <w:szCs w:val="24"/>
                <w:lang w:eastAsia="sk-SK"/>
              </w:rPr>
              <w:t xml:space="preserve"> </w:t>
            </w:r>
          </w:p>
        </w:tc>
        <w:tc>
          <w:tcPr>
            <w:tcW w:w="821" w:type="dxa"/>
            <w:shd w:val="clear" w:color="auto" w:fill="EFEFEF"/>
            <w:noWrap/>
            <w:vAlign w:val="center"/>
            <w:hideMark/>
          </w:tcPr>
          <w:p w14:paraId="7299653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98,35</w:t>
            </w:r>
            <w:r w:rsidRPr="4F9BDBF9">
              <w:rPr>
                <w:rFonts w:eastAsiaTheme="minorEastAsia"/>
                <w:sz w:val="24"/>
                <w:szCs w:val="24"/>
                <w:lang w:eastAsia="sk-SK"/>
              </w:rPr>
              <w:t xml:space="preserve"> </w:t>
            </w:r>
          </w:p>
        </w:tc>
        <w:tc>
          <w:tcPr>
            <w:tcW w:w="3191" w:type="dxa"/>
            <w:vMerge/>
            <w:vAlign w:val="center"/>
            <w:hideMark/>
          </w:tcPr>
          <w:p w14:paraId="01CCCD52"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3D2DFFB" w14:textId="77777777" w:rsidTr="00875772">
        <w:trPr>
          <w:tblCellSpacing w:w="15" w:type="dxa"/>
        </w:trPr>
        <w:tc>
          <w:tcPr>
            <w:tcW w:w="838" w:type="dxa"/>
            <w:shd w:val="clear" w:color="auto" w:fill="EFEFEF"/>
            <w:noWrap/>
            <w:vAlign w:val="center"/>
            <w:hideMark/>
          </w:tcPr>
          <w:p w14:paraId="3712F51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803" w:type="dxa"/>
            <w:shd w:val="clear" w:color="auto" w:fill="EFEFEF"/>
            <w:vAlign w:val="center"/>
            <w:hideMark/>
          </w:tcPr>
          <w:p w14:paraId="6D5084C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23" w:type="dxa"/>
            <w:shd w:val="clear" w:color="auto" w:fill="EFEFEF"/>
            <w:noWrap/>
            <w:vAlign w:val="center"/>
            <w:hideMark/>
          </w:tcPr>
          <w:p w14:paraId="450202C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235 081,42</w:t>
            </w:r>
            <w:r w:rsidRPr="4F9BDBF9">
              <w:rPr>
                <w:rFonts w:eastAsiaTheme="minorEastAsia"/>
                <w:sz w:val="24"/>
                <w:szCs w:val="24"/>
                <w:lang w:eastAsia="sk-SK"/>
              </w:rPr>
              <w:t xml:space="preserve"> </w:t>
            </w:r>
          </w:p>
        </w:tc>
        <w:tc>
          <w:tcPr>
            <w:tcW w:w="1104" w:type="dxa"/>
            <w:shd w:val="clear" w:color="auto" w:fill="EFEFEF"/>
            <w:noWrap/>
            <w:vAlign w:val="center"/>
            <w:hideMark/>
          </w:tcPr>
          <w:p w14:paraId="793199A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253 234,37</w:t>
            </w:r>
            <w:r w:rsidRPr="4F9BDBF9">
              <w:rPr>
                <w:rFonts w:eastAsiaTheme="minorEastAsia"/>
                <w:sz w:val="24"/>
                <w:szCs w:val="24"/>
                <w:lang w:eastAsia="sk-SK"/>
              </w:rPr>
              <w:t xml:space="preserve"> </w:t>
            </w:r>
          </w:p>
        </w:tc>
        <w:tc>
          <w:tcPr>
            <w:tcW w:w="1246" w:type="dxa"/>
            <w:shd w:val="clear" w:color="auto" w:fill="EFEFEF"/>
            <w:noWrap/>
            <w:vAlign w:val="center"/>
            <w:hideMark/>
          </w:tcPr>
          <w:p w14:paraId="7EE19F0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243 859,48</w:t>
            </w:r>
            <w:r w:rsidRPr="4F9BDBF9">
              <w:rPr>
                <w:rFonts w:eastAsiaTheme="minorEastAsia"/>
                <w:sz w:val="24"/>
                <w:szCs w:val="24"/>
                <w:lang w:eastAsia="sk-SK"/>
              </w:rPr>
              <w:t xml:space="preserve"> </w:t>
            </w:r>
          </w:p>
        </w:tc>
        <w:tc>
          <w:tcPr>
            <w:tcW w:w="821" w:type="dxa"/>
            <w:shd w:val="clear" w:color="auto" w:fill="EFEFEF"/>
            <w:noWrap/>
            <w:vAlign w:val="center"/>
            <w:hideMark/>
          </w:tcPr>
          <w:p w14:paraId="309F6C7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96,30</w:t>
            </w:r>
            <w:r w:rsidRPr="4F9BDBF9">
              <w:rPr>
                <w:rFonts w:eastAsiaTheme="minorEastAsia"/>
                <w:sz w:val="24"/>
                <w:szCs w:val="24"/>
                <w:lang w:eastAsia="sk-SK"/>
              </w:rPr>
              <w:t xml:space="preserve"> </w:t>
            </w:r>
          </w:p>
        </w:tc>
        <w:tc>
          <w:tcPr>
            <w:tcW w:w="3191" w:type="dxa"/>
            <w:vMerge/>
            <w:vAlign w:val="center"/>
            <w:hideMark/>
          </w:tcPr>
          <w:p w14:paraId="6F121595"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1C3D22A" w14:textId="77777777" w:rsidTr="00875772">
        <w:trPr>
          <w:tblCellSpacing w:w="15" w:type="dxa"/>
        </w:trPr>
        <w:tc>
          <w:tcPr>
            <w:tcW w:w="838" w:type="dxa"/>
            <w:shd w:val="clear" w:color="auto" w:fill="EFEFEF"/>
            <w:noWrap/>
            <w:vAlign w:val="center"/>
            <w:hideMark/>
          </w:tcPr>
          <w:p w14:paraId="6BE7548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803" w:type="dxa"/>
            <w:shd w:val="clear" w:color="auto" w:fill="EFEFEF"/>
            <w:vAlign w:val="center"/>
            <w:hideMark/>
          </w:tcPr>
          <w:p w14:paraId="24A3CA8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23" w:type="dxa"/>
            <w:shd w:val="clear" w:color="auto" w:fill="EFEFEF"/>
            <w:noWrap/>
            <w:vAlign w:val="center"/>
            <w:hideMark/>
          </w:tcPr>
          <w:p w14:paraId="3A9CF86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200 147,00</w:t>
            </w:r>
            <w:r w:rsidRPr="4F9BDBF9">
              <w:rPr>
                <w:rFonts w:eastAsiaTheme="minorEastAsia"/>
                <w:sz w:val="24"/>
                <w:szCs w:val="24"/>
                <w:lang w:eastAsia="sk-SK"/>
              </w:rPr>
              <w:t xml:space="preserve"> </w:t>
            </w:r>
          </w:p>
        </w:tc>
        <w:tc>
          <w:tcPr>
            <w:tcW w:w="1104" w:type="dxa"/>
            <w:shd w:val="clear" w:color="auto" w:fill="EFEFEF"/>
            <w:noWrap/>
            <w:vAlign w:val="center"/>
            <w:hideMark/>
          </w:tcPr>
          <w:p w14:paraId="32F2681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203 792,12</w:t>
            </w:r>
            <w:r w:rsidRPr="4F9BDBF9">
              <w:rPr>
                <w:rFonts w:eastAsiaTheme="minorEastAsia"/>
                <w:sz w:val="24"/>
                <w:szCs w:val="24"/>
                <w:lang w:eastAsia="sk-SK"/>
              </w:rPr>
              <w:t xml:space="preserve"> </w:t>
            </w:r>
          </w:p>
        </w:tc>
        <w:tc>
          <w:tcPr>
            <w:tcW w:w="1246" w:type="dxa"/>
            <w:shd w:val="clear" w:color="auto" w:fill="EFEFEF"/>
            <w:noWrap/>
            <w:vAlign w:val="center"/>
            <w:hideMark/>
          </w:tcPr>
          <w:p w14:paraId="188F86E2" w14:textId="77777777" w:rsidR="00875772" w:rsidRPr="00116D4B" w:rsidRDefault="00875772" w:rsidP="00875772">
            <w:pPr>
              <w:spacing w:after="0" w:line="240" w:lineRule="auto"/>
              <w:jc w:val="right"/>
              <w:rPr>
                <w:rFonts w:eastAsiaTheme="minorEastAsia"/>
                <w:sz w:val="24"/>
                <w:szCs w:val="24"/>
                <w:lang w:eastAsia="sk-SK"/>
              </w:rPr>
            </w:pPr>
            <w:r w:rsidRPr="6450C5FE">
              <w:rPr>
                <w:rFonts w:eastAsiaTheme="minorEastAsia"/>
                <w:sz w:val="20"/>
                <w:szCs w:val="20"/>
                <w:lang w:eastAsia="sk-SK"/>
              </w:rPr>
              <w:t>200 232,33</w:t>
            </w:r>
            <w:r w:rsidRPr="6450C5FE">
              <w:rPr>
                <w:rFonts w:eastAsiaTheme="minorEastAsia"/>
                <w:sz w:val="24"/>
                <w:szCs w:val="24"/>
                <w:lang w:eastAsia="sk-SK"/>
              </w:rPr>
              <w:t xml:space="preserve"> </w:t>
            </w:r>
          </w:p>
        </w:tc>
        <w:tc>
          <w:tcPr>
            <w:tcW w:w="821" w:type="dxa"/>
            <w:shd w:val="clear" w:color="auto" w:fill="EFEFEF"/>
            <w:noWrap/>
            <w:vAlign w:val="center"/>
            <w:hideMark/>
          </w:tcPr>
          <w:p w14:paraId="553647B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98,25</w:t>
            </w:r>
            <w:r w:rsidRPr="4F9BDBF9">
              <w:rPr>
                <w:rFonts w:eastAsiaTheme="minorEastAsia"/>
                <w:sz w:val="24"/>
                <w:szCs w:val="24"/>
                <w:lang w:eastAsia="sk-SK"/>
              </w:rPr>
              <w:t xml:space="preserve"> </w:t>
            </w:r>
          </w:p>
        </w:tc>
        <w:tc>
          <w:tcPr>
            <w:tcW w:w="3191" w:type="dxa"/>
            <w:vMerge/>
            <w:vAlign w:val="center"/>
            <w:hideMark/>
          </w:tcPr>
          <w:p w14:paraId="1E6B3458"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E276B5B" w14:textId="77777777" w:rsidTr="00875772">
        <w:trPr>
          <w:tblCellSpacing w:w="15" w:type="dxa"/>
        </w:trPr>
        <w:tc>
          <w:tcPr>
            <w:tcW w:w="838" w:type="dxa"/>
            <w:shd w:val="clear" w:color="auto" w:fill="EFEFEF"/>
            <w:noWrap/>
            <w:vAlign w:val="center"/>
            <w:hideMark/>
          </w:tcPr>
          <w:p w14:paraId="20623F9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803" w:type="dxa"/>
            <w:shd w:val="clear" w:color="auto" w:fill="EFEFEF"/>
            <w:vAlign w:val="center"/>
            <w:hideMark/>
          </w:tcPr>
          <w:p w14:paraId="742E75B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23" w:type="dxa"/>
            <w:shd w:val="clear" w:color="auto" w:fill="EFEFEF"/>
            <w:noWrap/>
            <w:vAlign w:val="center"/>
            <w:hideMark/>
          </w:tcPr>
          <w:p w14:paraId="3567FDD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5 783,10</w:t>
            </w:r>
            <w:r w:rsidRPr="4F9BDBF9">
              <w:rPr>
                <w:rFonts w:eastAsiaTheme="minorEastAsia"/>
                <w:sz w:val="24"/>
                <w:szCs w:val="24"/>
                <w:lang w:eastAsia="sk-SK"/>
              </w:rPr>
              <w:t xml:space="preserve"> </w:t>
            </w:r>
          </w:p>
        </w:tc>
        <w:tc>
          <w:tcPr>
            <w:tcW w:w="1104" w:type="dxa"/>
            <w:shd w:val="clear" w:color="auto" w:fill="EFEFEF"/>
            <w:noWrap/>
            <w:vAlign w:val="center"/>
            <w:hideMark/>
          </w:tcPr>
          <w:p w14:paraId="71814E9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10 783,10</w:t>
            </w:r>
            <w:r w:rsidRPr="4F9BDBF9">
              <w:rPr>
                <w:rFonts w:eastAsiaTheme="minorEastAsia"/>
                <w:sz w:val="24"/>
                <w:szCs w:val="24"/>
                <w:lang w:eastAsia="sk-SK"/>
              </w:rPr>
              <w:t xml:space="preserve"> </w:t>
            </w:r>
          </w:p>
        </w:tc>
        <w:tc>
          <w:tcPr>
            <w:tcW w:w="1246" w:type="dxa"/>
            <w:shd w:val="clear" w:color="auto" w:fill="EFEFEF"/>
            <w:noWrap/>
            <w:vAlign w:val="center"/>
            <w:hideMark/>
          </w:tcPr>
          <w:p w14:paraId="08B191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9 008,97</w:t>
            </w:r>
            <w:r w:rsidRPr="4F9BDBF9">
              <w:rPr>
                <w:rFonts w:eastAsiaTheme="minorEastAsia"/>
                <w:sz w:val="24"/>
                <w:szCs w:val="24"/>
                <w:lang w:eastAsia="sk-SK"/>
              </w:rPr>
              <w:t xml:space="preserve"> </w:t>
            </w:r>
          </w:p>
        </w:tc>
        <w:tc>
          <w:tcPr>
            <w:tcW w:w="821" w:type="dxa"/>
            <w:shd w:val="clear" w:color="auto" w:fill="EFEFEF"/>
            <w:noWrap/>
            <w:vAlign w:val="center"/>
            <w:hideMark/>
          </w:tcPr>
          <w:p w14:paraId="1F15E28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83,55</w:t>
            </w:r>
            <w:r w:rsidRPr="4F9BDBF9">
              <w:rPr>
                <w:rFonts w:eastAsiaTheme="minorEastAsia"/>
                <w:sz w:val="24"/>
                <w:szCs w:val="24"/>
                <w:lang w:eastAsia="sk-SK"/>
              </w:rPr>
              <w:t xml:space="preserve"> </w:t>
            </w:r>
          </w:p>
        </w:tc>
        <w:tc>
          <w:tcPr>
            <w:tcW w:w="3191" w:type="dxa"/>
            <w:vMerge/>
            <w:vAlign w:val="center"/>
            <w:hideMark/>
          </w:tcPr>
          <w:p w14:paraId="259F5FB5"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3C838E4" w14:textId="77777777" w:rsidTr="00875772">
        <w:trPr>
          <w:tblCellSpacing w:w="15" w:type="dxa"/>
        </w:trPr>
        <w:tc>
          <w:tcPr>
            <w:tcW w:w="838" w:type="dxa"/>
            <w:shd w:val="clear" w:color="auto" w:fill="D9D9D9" w:themeFill="background1" w:themeFillShade="D9"/>
            <w:noWrap/>
            <w:vAlign w:val="center"/>
            <w:hideMark/>
          </w:tcPr>
          <w:p w14:paraId="794E82A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700</w:t>
            </w:r>
            <w:r w:rsidRPr="4F9BDBF9">
              <w:rPr>
                <w:rFonts w:eastAsiaTheme="minorEastAsia"/>
                <w:sz w:val="24"/>
                <w:szCs w:val="24"/>
                <w:lang w:eastAsia="sk-SK"/>
              </w:rPr>
              <w:t xml:space="preserve"> </w:t>
            </w:r>
          </w:p>
        </w:tc>
        <w:tc>
          <w:tcPr>
            <w:tcW w:w="1803" w:type="dxa"/>
            <w:shd w:val="clear" w:color="auto" w:fill="D9D9D9" w:themeFill="background1" w:themeFillShade="D9"/>
            <w:vAlign w:val="center"/>
            <w:hideMark/>
          </w:tcPr>
          <w:p w14:paraId="53F6755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1223" w:type="dxa"/>
            <w:shd w:val="clear" w:color="auto" w:fill="D9D9D9" w:themeFill="background1" w:themeFillShade="D9"/>
            <w:noWrap/>
            <w:vAlign w:val="center"/>
            <w:hideMark/>
          </w:tcPr>
          <w:p w14:paraId="31015C0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1C338FC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4 000,00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01203B2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3 798,00</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4C895FC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94,95</w:t>
            </w:r>
            <w:r w:rsidRPr="4F9BDBF9">
              <w:rPr>
                <w:rFonts w:eastAsiaTheme="minorEastAsia"/>
                <w:sz w:val="24"/>
                <w:szCs w:val="24"/>
                <w:lang w:eastAsia="sk-SK"/>
              </w:rPr>
              <w:t xml:space="preserve"> </w:t>
            </w:r>
          </w:p>
        </w:tc>
        <w:tc>
          <w:tcPr>
            <w:tcW w:w="3191" w:type="dxa"/>
            <w:vMerge/>
            <w:vAlign w:val="center"/>
            <w:hideMark/>
          </w:tcPr>
          <w:p w14:paraId="4D2BC8E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B0B66E4" w14:textId="77777777" w:rsidTr="00875772">
        <w:trPr>
          <w:tblCellSpacing w:w="15" w:type="dxa"/>
        </w:trPr>
        <w:tc>
          <w:tcPr>
            <w:tcW w:w="838" w:type="dxa"/>
            <w:shd w:val="clear" w:color="auto" w:fill="EFEFEF"/>
            <w:noWrap/>
            <w:vAlign w:val="center"/>
            <w:hideMark/>
          </w:tcPr>
          <w:p w14:paraId="533B41E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710</w:t>
            </w:r>
            <w:r w:rsidRPr="4F9BDBF9">
              <w:rPr>
                <w:rFonts w:eastAsiaTheme="minorEastAsia"/>
                <w:sz w:val="24"/>
                <w:szCs w:val="24"/>
                <w:lang w:eastAsia="sk-SK"/>
              </w:rPr>
              <w:t xml:space="preserve"> </w:t>
            </w:r>
          </w:p>
        </w:tc>
        <w:tc>
          <w:tcPr>
            <w:tcW w:w="1803" w:type="dxa"/>
            <w:shd w:val="clear" w:color="auto" w:fill="EFEFEF"/>
            <w:vAlign w:val="center"/>
            <w:hideMark/>
          </w:tcPr>
          <w:p w14:paraId="235CABF7"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1223" w:type="dxa"/>
            <w:shd w:val="clear" w:color="auto" w:fill="EFEFEF"/>
            <w:noWrap/>
            <w:vAlign w:val="center"/>
            <w:hideMark/>
          </w:tcPr>
          <w:p w14:paraId="353DE32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1104" w:type="dxa"/>
            <w:shd w:val="clear" w:color="auto" w:fill="EFEFEF"/>
            <w:noWrap/>
            <w:vAlign w:val="center"/>
            <w:hideMark/>
          </w:tcPr>
          <w:p w14:paraId="2240CA8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4 000,00</w:t>
            </w:r>
            <w:r w:rsidRPr="4F9BDBF9">
              <w:rPr>
                <w:rFonts w:eastAsiaTheme="minorEastAsia"/>
                <w:sz w:val="24"/>
                <w:szCs w:val="24"/>
                <w:lang w:eastAsia="sk-SK"/>
              </w:rPr>
              <w:t xml:space="preserve"> </w:t>
            </w:r>
          </w:p>
        </w:tc>
        <w:tc>
          <w:tcPr>
            <w:tcW w:w="1246" w:type="dxa"/>
            <w:shd w:val="clear" w:color="auto" w:fill="EFEFEF"/>
            <w:noWrap/>
            <w:vAlign w:val="center"/>
            <w:hideMark/>
          </w:tcPr>
          <w:p w14:paraId="2AA76C9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3 798,00</w:t>
            </w:r>
            <w:r w:rsidRPr="4F9BDBF9">
              <w:rPr>
                <w:rFonts w:eastAsiaTheme="minorEastAsia"/>
                <w:sz w:val="24"/>
                <w:szCs w:val="24"/>
                <w:lang w:eastAsia="sk-SK"/>
              </w:rPr>
              <w:t xml:space="preserve"> </w:t>
            </w:r>
          </w:p>
        </w:tc>
        <w:tc>
          <w:tcPr>
            <w:tcW w:w="821" w:type="dxa"/>
            <w:shd w:val="clear" w:color="auto" w:fill="EFEFEF"/>
            <w:noWrap/>
            <w:vAlign w:val="center"/>
            <w:hideMark/>
          </w:tcPr>
          <w:p w14:paraId="73FD05B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94,95</w:t>
            </w:r>
            <w:r w:rsidRPr="4F9BDBF9">
              <w:rPr>
                <w:rFonts w:eastAsiaTheme="minorEastAsia"/>
                <w:sz w:val="24"/>
                <w:szCs w:val="24"/>
                <w:lang w:eastAsia="sk-SK"/>
              </w:rPr>
              <w:t xml:space="preserve"> </w:t>
            </w:r>
          </w:p>
        </w:tc>
        <w:tc>
          <w:tcPr>
            <w:tcW w:w="3191" w:type="dxa"/>
            <w:vMerge/>
            <w:vAlign w:val="center"/>
            <w:hideMark/>
          </w:tcPr>
          <w:p w14:paraId="4CD10DCE" w14:textId="77777777" w:rsidR="00875772" w:rsidRPr="00116D4B" w:rsidRDefault="00875772" w:rsidP="00875772">
            <w:pPr>
              <w:spacing w:after="0" w:line="240" w:lineRule="auto"/>
              <w:rPr>
                <w:rFonts w:ascii="Times New Roman" w:hAnsi="Times New Roman"/>
                <w:sz w:val="24"/>
                <w:szCs w:val="24"/>
                <w:lang w:eastAsia="sk-SK"/>
              </w:rPr>
            </w:pPr>
          </w:p>
        </w:tc>
      </w:tr>
    </w:tbl>
    <w:p w14:paraId="4F76DE24"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490F92CD" w14:textId="77777777" w:rsidTr="00875772">
        <w:trPr>
          <w:tblCellSpacing w:w="15" w:type="dxa"/>
        </w:trPr>
        <w:tc>
          <w:tcPr>
            <w:tcW w:w="0" w:type="auto"/>
            <w:shd w:val="clear" w:color="auto" w:fill="C2D69B"/>
            <w:vAlign w:val="center"/>
            <w:hideMark/>
          </w:tcPr>
          <w:p w14:paraId="1E34F67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70DF7EC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0AEA08B7" w14:textId="77777777" w:rsidTr="00875772">
        <w:trPr>
          <w:tblCellSpacing w:w="15" w:type="dxa"/>
        </w:trPr>
        <w:tc>
          <w:tcPr>
            <w:tcW w:w="0" w:type="auto"/>
            <w:shd w:val="clear" w:color="auto" w:fill="C2D69B"/>
            <w:vAlign w:val="center"/>
            <w:hideMark/>
          </w:tcPr>
          <w:p w14:paraId="757F9BB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3B857BC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2D10F439" w14:textId="77777777" w:rsidTr="00875772">
        <w:trPr>
          <w:tblCellSpacing w:w="15" w:type="dxa"/>
        </w:trPr>
        <w:tc>
          <w:tcPr>
            <w:tcW w:w="0" w:type="auto"/>
            <w:shd w:val="clear" w:color="auto" w:fill="C2D69B"/>
            <w:vAlign w:val="center"/>
            <w:hideMark/>
          </w:tcPr>
          <w:p w14:paraId="4F5D074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3EED34D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70C509BB" w14:textId="77777777" w:rsidTr="00875772">
        <w:trPr>
          <w:tblCellSpacing w:w="15" w:type="dxa"/>
        </w:trPr>
        <w:tc>
          <w:tcPr>
            <w:tcW w:w="0" w:type="auto"/>
            <w:shd w:val="clear" w:color="auto" w:fill="C2D69B"/>
            <w:vAlign w:val="center"/>
            <w:hideMark/>
          </w:tcPr>
          <w:p w14:paraId="7E75F98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0EF3CE6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3A41E4D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0CF3DD8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02862EF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0F7EEB3D" w14:textId="77777777" w:rsidTr="00875772">
        <w:trPr>
          <w:tblCellSpacing w:w="15" w:type="dxa"/>
        </w:trPr>
        <w:tc>
          <w:tcPr>
            <w:tcW w:w="0" w:type="auto"/>
            <w:shd w:val="clear" w:color="auto" w:fill="C2D69B"/>
            <w:vAlign w:val="center"/>
            <w:hideMark/>
          </w:tcPr>
          <w:p w14:paraId="52132DC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44CF991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6B30B58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94.23</w:t>
            </w:r>
            <w:r w:rsidRPr="4F9BDBF9">
              <w:rPr>
                <w:rFonts w:eastAsiaTheme="minorEastAsia"/>
                <w:sz w:val="24"/>
                <w:szCs w:val="24"/>
                <w:lang w:eastAsia="sk-SK"/>
              </w:rPr>
              <w:t xml:space="preserve"> </w:t>
            </w:r>
          </w:p>
        </w:tc>
        <w:tc>
          <w:tcPr>
            <w:tcW w:w="0" w:type="auto"/>
            <w:shd w:val="clear" w:color="auto" w:fill="C2D69B"/>
            <w:vAlign w:val="center"/>
            <w:hideMark/>
          </w:tcPr>
          <w:p w14:paraId="46B0383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716A20F2" w14:textId="77777777" w:rsidR="00875772" w:rsidRPr="00116D4B" w:rsidRDefault="00875772" w:rsidP="00875772">
            <w:pPr>
              <w:spacing w:after="0" w:line="240" w:lineRule="auto"/>
              <w:jc w:val="center"/>
              <w:rPr>
                <w:rFonts w:eastAsiaTheme="minorEastAsia"/>
                <w:sz w:val="24"/>
                <w:szCs w:val="24"/>
                <w:lang w:eastAsia="sk-SK"/>
              </w:rPr>
            </w:pPr>
          </w:p>
        </w:tc>
      </w:tr>
    </w:tbl>
    <w:p w14:paraId="13133870"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 xml:space="preserve">Prvok 11.1.7: Centrum sociálnych služieb </w:t>
      </w:r>
      <w:proofErr w:type="spellStart"/>
      <w:r w:rsidRPr="4F9BDBF9">
        <w:rPr>
          <w:rFonts w:eastAsiaTheme="minorEastAsia"/>
          <w:b/>
          <w:bCs/>
          <w:color w:val="244061"/>
          <w:sz w:val="24"/>
          <w:szCs w:val="24"/>
          <w:lang w:eastAsia="sk-SK"/>
        </w:rPr>
        <w:t>Sibírka</w:t>
      </w:r>
      <w:proofErr w:type="spellEnd"/>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824"/>
        <w:gridCol w:w="1275"/>
        <w:gridCol w:w="1418"/>
        <w:gridCol w:w="1276"/>
        <w:gridCol w:w="992"/>
        <w:gridCol w:w="2811"/>
      </w:tblGrid>
      <w:tr w:rsidR="00875772" w:rsidRPr="00116D4B" w14:paraId="56AEDFD7" w14:textId="77777777" w:rsidTr="00875772">
        <w:trPr>
          <w:tblCellSpacing w:w="15" w:type="dxa"/>
        </w:trPr>
        <w:tc>
          <w:tcPr>
            <w:tcW w:w="825" w:type="dxa"/>
            <w:shd w:val="clear" w:color="auto" w:fill="C6DBF7"/>
            <w:vAlign w:val="center"/>
            <w:hideMark/>
          </w:tcPr>
          <w:p w14:paraId="6368D9C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794" w:type="dxa"/>
            <w:shd w:val="clear" w:color="auto" w:fill="C6DBF7"/>
            <w:vAlign w:val="center"/>
            <w:hideMark/>
          </w:tcPr>
          <w:p w14:paraId="4877B73B"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Ekonomická </w:t>
            </w:r>
          </w:p>
          <w:p w14:paraId="33BD29A7"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klasifikácia</w:t>
            </w:r>
          </w:p>
        </w:tc>
        <w:tc>
          <w:tcPr>
            <w:tcW w:w="1245" w:type="dxa"/>
            <w:shd w:val="clear" w:color="auto" w:fill="C6DBF7"/>
            <w:vAlign w:val="center"/>
            <w:hideMark/>
          </w:tcPr>
          <w:p w14:paraId="7AF3AFA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388" w:type="dxa"/>
            <w:shd w:val="clear" w:color="auto" w:fill="C6DBF7"/>
            <w:vAlign w:val="center"/>
            <w:hideMark/>
          </w:tcPr>
          <w:p w14:paraId="71A583A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75B8D20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962" w:type="dxa"/>
            <w:shd w:val="clear" w:color="auto" w:fill="C6DBF7"/>
            <w:vAlign w:val="center"/>
            <w:hideMark/>
          </w:tcPr>
          <w:p w14:paraId="4E5DEBB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2766" w:type="dxa"/>
            <w:shd w:val="clear" w:color="auto" w:fill="C6DBF7"/>
            <w:vAlign w:val="center"/>
            <w:hideMark/>
          </w:tcPr>
          <w:p w14:paraId="0429E7D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16E2FBAC" w14:textId="77777777" w:rsidTr="00875772">
        <w:trPr>
          <w:tblCellSpacing w:w="15" w:type="dxa"/>
        </w:trPr>
        <w:tc>
          <w:tcPr>
            <w:tcW w:w="825" w:type="dxa"/>
            <w:shd w:val="clear" w:color="auto" w:fill="D9D9D9" w:themeFill="background1" w:themeFillShade="D9"/>
            <w:noWrap/>
            <w:vAlign w:val="center"/>
            <w:hideMark/>
          </w:tcPr>
          <w:p w14:paraId="0DCE2DAD" w14:textId="77777777" w:rsidR="00875772" w:rsidRPr="00116D4B" w:rsidRDefault="00875772" w:rsidP="00875772">
            <w:pPr>
              <w:spacing w:after="0" w:line="240" w:lineRule="auto"/>
              <w:jc w:val="center"/>
              <w:rPr>
                <w:rFonts w:eastAsiaTheme="minorEastAsia"/>
                <w:sz w:val="24"/>
                <w:szCs w:val="24"/>
                <w:lang w:eastAsia="sk-SK"/>
              </w:rPr>
            </w:pPr>
          </w:p>
        </w:tc>
        <w:tc>
          <w:tcPr>
            <w:tcW w:w="1794" w:type="dxa"/>
            <w:shd w:val="clear" w:color="auto" w:fill="D9D9D9" w:themeFill="background1" w:themeFillShade="D9"/>
            <w:vAlign w:val="center"/>
            <w:hideMark/>
          </w:tcPr>
          <w:p w14:paraId="39BAEEE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536C28C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1 071 795,44</w:t>
            </w:r>
            <w:r w:rsidRPr="4F9BDBF9">
              <w:rPr>
                <w:rFonts w:eastAsiaTheme="minorEastAsia"/>
                <w:sz w:val="24"/>
                <w:szCs w:val="24"/>
                <w:lang w:eastAsia="sk-SK"/>
              </w:rPr>
              <w:t xml:space="preserve"> </w:t>
            </w:r>
          </w:p>
        </w:tc>
        <w:tc>
          <w:tcPr>
            <w:tcW w:w="1388" w:type="dxa"/>
            <w:shd w:val="clear" w:color="auto" w:fill="D9D9D9" w:themeFill="background1" w:themeFillShade="D9"/>
            <w:noWrap/>
            <w:vAlign w:val="center"/>
            <w:hideMark/>
          </w:tcPr>
          <w:p w14:paraId="7766173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1 212 552,52</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229666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1 123 394,02</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7ED5503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92,65</w:t>
            </w:r>
            <w:r w:rsidRPr="4F9BDBF9">
              <w:rPr>
                <w:rFonts w:eastAsiaTheme="minorEastAsia"/>
                <w:sz w:val="24"/>
                <w:szCs w:val="24"/>
                <w:lang w:eastAsia="sk-SK"/>
              </w:rPr>
              <w:t xml:space="preserve"> </w:t>
            </w:r>
          </w:p>
        </w:tc>
        <w:tc>
          <w:tcPr>
            <w:tcW w:w="2766" w:type="dxa"/>
            <w:vMerge w:val="restart"/>
            <w:shd w:val="clear" w:color="auto" w:fill="D9D9D9" w:themeFill="background1" w:themeFillShade="D9"/>
            <w:vAlign w:val="center"/>
            <w:hideMark/>
          </w:tcPr>
          <w:p w14:paraId="587446B8"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+17 164,95 EUR</w:t>
            </w:r>
            <w:r w:rsidRPr="7A505BEE">
              <w:rPr>
                <w:rFonts w:eastAsiaTheme="minorEastAsia"/>
                <w:sz w:val="20"/>
                <w:szCs w:val="20"/>
                <w:lang w:eastAsia="sk-SK"/>
              </w:rPr>
              <w:t xml:space="preserve"> presun z P11.3 na navýšenie mzdových prostriedkov</w:t>
            </w:r>
          </w:p>
          <w:p w14:paraId="7FC9E5C5"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+5 422,00 EUR </w:t>
            </w:r>
            <w:r w:rsidRPr="7A505BEE">
              <w:rPr>
                <w:rFonts w:eastAsiaTheme="minorEastAsia"/>
                <w:sz w:val="20"/>
                <w:szCs w:val="20"/>
                <w:lang w:eastAsia="sk-SK"/>
              </w:rPr>
              <w:t>presun z P11.3 na dezinfekciu, OOPP a dane</w:t>
            </w:r>
          </w:p>
          <w:p w14:paraId="7F80AA1A"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+29 413,00 EUR </w:t>
            </w:r>
            <w:r w:rsidRPr="7A505BEE">
              <w:rPr>
                <w:rFonts w:eastAsiaTheme="minorEastAsia"/>
                <w:sz w:val="20"/>
                <w:szCs w:val="20"/>
                <w:lang w:eastAsia="sk-SK"/>
              </w:rPr>
              <w:t xml:space="preserve">dotácia z MPSVaR SR  na mimoriadne </w:t>
            </w:r>
            <w:r w:rsidRPr="7A505BEE">
              <w:rPr>
                <w:rFonts w:eastAsiaTheme="minorEastAsia"/>
                <w:sz w:val="20"/>
                <w:szCs w:val="20"/>
                <w:lang w:eastAsia="sk-SK"/>
              </w:rPr>
              <w:lastRenderedPageBreak/>
              <w:t>odmeny pre zamestnancov za I. vlnu pandémie</w:t>
            </w:r>
          </w:p>
          <w:p w14:paraId="060AAB3F"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+1 700,00 EUR </w:t>
            </w:r>
            <w:r w:rsidRPr="7A505BEE">
              <w:rPr>
                <w:rFonts w:eastAsiaTheme="minorEastAsia"/>
                <w:sz w:val="20"/>
                <w:szCs w:val="20"/>
                <w:lang w:eastAsia="sk-SK"/>
              </w:rPr>
              <w:t>dotácia z MPSVaR SR na výživové doplnky (</w:t>
            </w:r>
            <w:proofErr w:type="spellStart"/>
            <w:r w:rsidRPr="7A505BEE">
              <w:rPr>
                <w:rFonts w:eastAsiaTheme="minorEastAsia"/>
                <w:sz w:val="20"/>
                <w:szCs w:val="20"/>
                <w:lang w:eastAsia="sk-SK"/>
              </w:rPr>
              <w:t>vit</w:t>
            </w:r>
            <w:proofErr w:type="spellEnd"/>
            <w:r w:rsidRPr="7A505BEE">
              <w:rPr>
                <w:rFonts w:eastAsiaTheme="minorEastAsia"/>
                <w:sz w:val="20"/>
                <w:szCs w:val="20"/>
                <w:lang w:eastAsia="sk-SK"/>
              </w:rPr>
              <w:t>. D3)</w:t>
            </w:r>
          </w:p>
          <w:p w14:paraId="625856D8"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+65 451,67 EUR </w:t>
            </w:r>
            <w:r w:rsidRPr="7A505BEE">
              <w:rPr>
                <w:rFonts w:eastAsiaTheme="minorEastAsia"/>
                <w:sz w:val="20"/>
                <w:szCs w:val="20"/>
                <w:lang w:eastAsia="sk-SK"/>
              </w:rPr>
              <w:t>projekt Erasmus+</w:t>
            </w:r>
          </w:p>
          <w:p w14:paraId="720876D4"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+12 946,16 EUR </w:t>
            </w:r>
            <w:r w:rsidRPr="7A505BEE">
              <w:rPr>
                <w:rFonts w:eastAsiaTheme="minorEastAsia"/>
                <w:sz w:val="20"/>
                <w:szCs w:val="20"/>
                <w:lang w:eastAsia="sk-SK"/>
              </w:rPr>
              <w:t>dary</w:t>
            </w:r>
          </w:p>
          <w:p w14:paraId="49C3A577"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+9 495,30  EUR </w:t>
            </w:r>
            <w:r w:rsidRPr="7A505BEE">
              <w:rPr>
                <w:rFonts w:eastAsiaTheme="minorEastAsia"/>
                <w:sz w:val="20"/>
                <w:szCs w:val="20"/>
                <w:lang w:eastAsia="sk-SK"/>
              </w:rPr>
              <w:t>granty</w:t>
            </w:r>
          </w:p>
          <w:p w14:paraId="71AFA935"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-3 200,00 EUR</w:t>
            </w:r>
            <w:r w:rsidRPr="7A505BEE">
              <w:rPr>
                <w:rFonts w:eastAsiaTheme="minorEastAsia"/>
                <w:sz w:val="20"/>
                <w:szCs w:val="20"/>
                <w:lang w:eastAsia="sk-SK"/>
              </w:rPr>
              <w:t xml:space="preserve"> zníženie rozpočtu BV (</w:t>
            </w:r>
            <w:proofErr w:type="spellStart"/>
            <w:r w:rsidRPr="7A505BEE">
              <w:rPr>
                <w:rFonts w:eastAsiaTheme="minorEastAsia"/>
                <w:sz w:val="20"/>
                <w:szCs w:val="20"/>
                <w:lang w:eastAsia="sk-SK"/>
              </w:rPr>
              <w:t>Uzn</w:t>
            </w:r>
            <w:proofErr w:type="spellEnd"/>
            <w:r w:rsidRPr="7A505BEE">
              <w:rPr>
                <w:rFonts w:eastAsiaTheme="minorEastAsia"/>
                <w:sz w:val="20"/>
                <w:szCs w:val="20"/>
                <w:lang w:eastAsia="sk-SK"/>
              </w:rPr>
              <w:t>. 247/2020 z 29.5.2020) z dôvodu nenaplnených daňových príjmov</w:t>
            </w:r>
          </w:p>
          <w:p w14:paraId="7AFB546E"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+2 364,00 EUR </w:t>
            </w:r>
            <w:r w:rsidRPr="7A505BEE">
              <w:rPr>
                <w:rFonts w:eastAsiaTheme="minorEastAsia"/>
                <w:sz w:val="20"/>
                <w:szCs w:val="20"/>
                <w:lang w:eastAsia="sk-SK"/>
              </w:rPr>
              <w:t>komunitné bezbariérové ihrisko</w:t>
            </w:r>
          </w:p>
        </w:tc>
      </w:tr>
      <w:tr w:rsidR="00875772" w:rsidRPr="00116D4B" w14:paraId="1B75F743" w14:textId="77777777" w:rsidTr="00875772">
        <w:trPr>
          <w:tblCellSpacing w:w="15" w:type="dxa"/>
        </w:trPr>
        <w:tc>
          <w:tcPr>
            <w:tcW w:w="825" w:type="dxa"/>
            <w:shd w:val="clear" w:color="auto" w:fill="D9D9D9" w:themeFill="background1" w:themeFillShade="D9"/>
            <w:noWrap/>
            <w:vAlign w:val="center"/>
            <w:hideMark/>
          </w:tcPr>
          <w:p w14:paraId="1CDDA4C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794" w:type="dxa"/>
            <w:shd w:val="clear" w:color="auto" w:fill="D9D9D9" w:themeFill="background1" w:themeFillShade="D9"/>
            <w:vAlign w:val="center"/>
            <w:hideMark/>
          </w:tcPr>
          <w:p w14:paraId="7E06BE4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63BEAA2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1 071 795,44</w:t>
            </w:r>
            <w:r w:rsidRPr="4F9BDBF9">
              <w:rPr>
                <w:rFonts w:eastAsiaTheme="minorEastAsia"/>
                <w:sz w:val="24"/>
                <w:szCs w:val="24"/>
                <w:lang w:eastAsia="sk-SK"/>
              </w:rPr>
              <w:t xml:space="preserve"> </w:t>
            </w:r>
          </w:p>
        </w:tc>
        <w:tc>
          <w:tcPr>
            <w:tcW w:w="1388" w:type="dxa"/>
            <w:shd w:val="clear" w:color="auto" w:fill="D9D9D9" w:themeFill="background1" w:themeFillShade="D9"/>
            <w:noWrap/>
            <w:vAlign w:val="center"/>
            <w:hideMark/>
          </w:tcPr>
          <w:p w14:paraId="24922D2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1 210 188,52</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16D9FCB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1 121 030,02</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43C1CFE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92,63</w:t>
            </w:r>
            <w:r w:rsidRPr="4F9BDBF9">
              <w:rPr>
                <w:rFonts w:eastAsiaTheme="minorEastAsia"/>
                <w:sz w:val="24"/>
                <w:szCs w:val="24"/>
                <w:lang w:eastAsia="sk-SK"/>
              </w:rPr>
              <w:t xml:space="preserve"> </w:t>
            </w:r>
          </w:p>
        </w:tc>
        <w:tc>
          <w:tcPr>
            <w:tcW w:w="2766" w:type="dxa"/>
            <w:vMerge/>
            <w:shd w:val="clear" w:color="auto" w:fill="D9D9D9" w:themeFill="background1" w:themeFillShade="D9"/>
            <w:vAlign w:val="center"/>
            <w:hideMark/>
          </w:tcPr>
          <w:p w14:paraId="7D50AFD2"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2D7BFE53" w14:textId="77777777" w:rsidTr="00875772">
        <w:trPr>
          <w:tblCellSpacing w:w="15" w:type="dxa"/>
        </w:trPr>
        <w:tc>
          <w:tcPr>
            <w:tcW w:w="825" w:type="dxa"/>
            <w:shd w:val="clear" w:color="auto" w:fill="EFEFEF"/>
            <w:noWrap/>
            <w:vAlign w:val="center"/>
            <w:hideMark/>
          </w:tcPr>
          <w:p w14:paraId="179B957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794" w:type="dxa"/>
            <w:shd w:val="clear" w:color="auto" w:fill="EFEFEF"/>
            <w:vAlign w:val="center"/>
            <w:hideMark/>
          </w:tcPr>
          <w:p w14:paraId="46C0CA3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45" w:type="dxa"/>
            <w:shd w:val="clear" w:color="auto" w:fill="EFEFEF"/>
            <w:noWrap/>
            <w:vAlign w:val="center"/>
            <w:hideMark/>
          </w:tcPr>
          <w:p w14:paraId="6D19B83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650 798,00</w:t>
            </w:r>
            <w:r w:rsidRPr="4F9BDBF9">
              <w:rPr>
                <w:rFonts w:eastAsiaTheme="minorEastAsia"/>
                <w:sz w:val="24"/>
                <w:szCs w:val="24"/>
                <w:lang w:eastAsia="sk-SK"/>
              </w:rPr>
              <w:t xml:space="preserve"> </w:t>
            </w:r>
          </w:p>
        </w:tc>
        <w:tc>
          <w:tcPr>
            <w:tcW w:w="1388" w:type="dxa"/>
            <w:shd w:val="clear" w:color="auto" w:fill="EFEFEF"/>
            <w:noWrap/>
            <w:vAlign w:val="center"/>
            <w:hideMark/>
          </w:tcPr>
          <w:p w14:paraId="0EBC8D2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686 019,21</w:t>
            </w:r>
            <w:r w:rsidRPr="4F9BDBF9">
              <w:rPr>
                <w:rFonts w:eastAsiaTheme="minorEastAsia"/>
                <w:sz w:val="24"/>
                <w:szCs w:val="24"/>
                <w:lang w:eastAsia="sk-SK"/>
              </w:rPr>
              <w:t xml:space="preserve"> </w:t>
            </w:r>
          </w:p>
        </w:tc>
        <w:tc>
          <w:tcPr>
            <w:tcW w:w="1246" w:type="dxa"/>
            <w:shd w:val="clear" w:color="auto" w:fill="EFEFEF"/>
            <w:noWrap/>
            <w:vAlign w:val="center"/>
            <w:hideMark/>
          </w:tcPr>
          <w:p w14:paraId="727F676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683 235,09</w:t>
            </w:r>
            <w:r w:rsidRPr="4F9BDBF9">
              <w:rPr>
                <w:rFonts w:eastAsiaTheme="minorEastAsia"/>
                <w:sz w:val="24"/>
                <w:szCs w:val="24"/>
                <w:lang w:eastAsia="sk-SK"/>
              </w:rPr>
              <w:t xml:space="preserve"> </w:t>
            </w:r>
          </w:p>
        </w:tc>
        <w:tc>
          <w:tcPr>
            <w:tcW w:w="962" w:type="dxa"/>
            <w:shd w:val="clear" w:color="auto" w:fill="EFEFEF"/>
            <w:noWrap/>
            <w:vAlign w:val="center"/>
            <w:hideMark/>
          </w:tcPr>
          <w:p w14:paraId="1CAFE07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99,59</w:t>
            </w:r>
            <w:r w:rsidRPr="4F9BDBF9">
              <w:rPr>
                <w:rFonts w:eastAsiaTheme="minorEastAsia"/>
                <w:sz w:val="24"/>
                <w:szCs w:val="24"/>
                <w:lang w:eastAsia="sk-SK"/>
              </w:rPr>
              <w:t xml:space="preserve"> </w:t>
            </w:r>
          </w:p>
        </w:tc>
        <w:tc>
          <w:tcPr>
            <w:tcW w:w="2766" w:type="dxa"/>
            <w:vMerge/>
            <w:vAlign w:val="center"/>
            <w:hideMark/>
          </w:tcPr>
          <w:p w14:paraId="22443397"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DA477D7" w14:textId="77777777" w:rsidTr="00875772">
        <w:trPr>
          <w:tblCellSpacing w:w="15" w:type="dxa"/>
        </w:trPr>
        <w:tc>
          <w:tcPr>
            <w:tcW w:w="825" w:type="dxa"/>
            <w:shd w:val="clear" w:color="auto" w:fill="EFEFEF"/>
            <w:noWrap/>
            <w:vAlign w:val="center"/>
            <w:hideMark/>
          </w:tcPr>
          <w:p w14:paraId="08D8812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794" w:type="dxa"/>
            <w:shd w:val="clear" w:color="auto" w:fill="EFEFEF"/>
            <w:vAlign w:val="center"/>
            <w:hideMark/>
          </w:tcPr>
          <w:p w14:paraId="74DFAE8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45" w:type="dxa"/>
            <w:shd w:val="clear" w:color="auto" w:fill="EFEFEF"/>
            <w:noWrap/>
            <w:vAlign w:val="center"/>
            <w:hideMark/>
          </w:tcPr>
          <w:p w14:paraId="44383AF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228 292,44</w:t>
            </w:r>
            <w:r w:rsidRPr="4F9BDBF9">
              <w:rPr>
                <w:rFonts w:eastAsiaTheme="minorEastAsia"/>
                <w:sz w:val="24"/>
                <w:szCs w:val="24"/>
                <w:lang w:eastAsia="sk-SK"/>
              </w:rPr>
              <w:t xml:space="preserve"> </w:t>
            </w:r>
          </w:p>
        </w:tc>
        <w:tc>
          <w:tcPr>
            <w:tcW w:w="1388" w:type="dxa"/>
            <w:shd w:val="clear" w:color="auto" w:fill="EFEFEF"/>
            <w:noWrap/>
            <w:vAlign w:val="center"/>
            <w:hideMark/>
          </w:tcPr>
          <w:p w14:paraId="3C3A737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240 988,95</w:t>
            </w:r>
            <w:r w:rsidRPr="4F9BDBF9">
              <w:rPr>
                <w:rFonts w:eastAsiaTheme="minorEastAsia"/>
                <w:sz w:val="24"/>
                <w:szCs w:val="24"/>
                <w:lang w:eastAsia="sk-SK"/>
              </w:rPr>
              <w:t xml:space="preserve"> </w:t>
            </w:r>
          </w:p>
        </w:tc>
        <w:tc>
          <w:tcPr>
            <w:tcW w:w="1246" w:type="dxa"/>
            <w:shd w:val="clear" w:color="auto" w:fill="EFEFEF"/>
            <w:noWrap/>
            <w:vAlign w:val="center"/>
            <w:hideMark/>
          </w:tcPr>
          <w:p w14:paraId="296D5BE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240 988,95</w:t>
            </w:r>
            <w:r w:rsidRPr="4F9BDBF9">
              <w:rPr>
                <w:rFonts w:eastAsiaTheme="minorEastAsia"/>
                <w:sz w:val="24"/>
                <w:szCs w:val="24"/>
                <w:lang w:eastAsia="sk-SK"/>
              </w:rPr>
              <w:t xml:space="preserve"> </w:t>
            </w:r>
          </w:p>
        </w:tc>
        <w:tc>
          <w:tcPr>
            <w:tcW w:w="962" w:type="dxa"/>
            <w:shd w:val="clear" w:color="auto" w:fill="EFEFEF"/>
            <w:noWrap/>
            <w:vAlign w:val="center"/>
            <w:hideMark/>
          </w:tcPr>
          <w:p w14:paraId="636A759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2766" w:type="dxa"/>
            <w:vMerge/>
            <w:vAlign w:val="center"/>
            <w:hideMark/>
          </w:tcPr>
          <w:p w14:paraId="062D29AD"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0F054EB" w14:textId="77777777" w:rsidTr="00875772">
        <w:trPr>
          <w:tblCellSpacing w:w="15" w:type="dxa"/>
        </w:trPr>
        <w:tc>
          <w:tcPr>
            <w:tcW w:w="825" w:type="dxa"/>
            <w:shd w:val="clear" w:color="auto" w:fill="EFEFEF"/>
            <w:noWrap/>
            <w:vAlign w:val="center"/>
            <w:hideMark/>
          </w:tcPr>
          <w:p w14:paraId="79962A1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794" w:type="dxa"/>
            <w:shd w:val="clear" w:color="auto" w:fill="EFEFEF"/>
            <w:vAlign w:val="center"/>
            <w:hideMark/>
          </w:tcPr>
          <w:p w14:paraId="10DA0DB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45" w:type="dxa"/>
            <w:shd w:val="clear" w:color="auto" w:fill="EFEFEF"/>
            <w:noWrap/>
            <w:vAlign w:val="center"/>
            <w:hideMark/>
          </w:tcPr>
          <w:p w14:paraId="184D49C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182 905,00</w:t>
            </w:r>
            <w:r w:rsidRPr="4F9BDBF9">
              <w:rPr>
                <w:rFonts w:eastAsiaTheme="minorEastAsia"/>
                <w:sz w:val="24"/>
                <w:szCs w:val="24"/>
                <w:lang w:eastAsia="sk-SK"/>
              </w:rPr>
              <w:t xml:space="preserve"> </w:t>
            </w:r>
          </w:p>
        </w:tc>
        <w:tc>
          <w:tcPr>
            <w:tcW w:w="1388" w:type="dxa"/>
            <w:shd w:val="clear" w:color="auto" w:fill="EFEFEF"/>
            <w:noWrap/>
            <w:vAlign w:val="center"/>
            <w:hideMark/>
          </w:tcPr>
          <w:p w14:paraId="6814FDE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274 845,23</w:t>
            </w:r>
            <w:r w:rsidRPr="4F9BDBF9">
              <w:rPr>
                <w:rFonts w:eastAsiaTheme="minorEastAsia"/>
                <w:sz w:val="24"/>
                <w:szCs w:val="24"/>
                <w:lang w:eastAsia="sk-SK"/>
              </w:rPr>
              <w:t xml:space="preserve"> </w:t>
            </w:r>
          </w:p>
        </w:tc>
        <w:tc>
          <w:tcPr>
            <w:tcW w:w="1246" w:type="dxa"/>
            <w:shd w:val="clear" w:color="auto" w:fill="EFEFEF"/>
            <w:noWrap/>
            <w:vAlign w:val="center"/>
            <w:hideMark/>
          </w:tcPr>
          <w:p w14:paraId="085DB59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188 470,85</w:t>
            </w:r>
            <w:r w:rsidRPr="4F9BDBF9">
              <w:rPr>
                <w:rFonts w:eastAsiaTheme="minorEastAsia"/>
                <w:sz w:val="24"/>
                <w:szCs w:val="24"/>
                <w:lang w:eastAsia="sk-SK"/>
              </w:rPr>
              <w:t xml:space="preserve"> </w:t>
            </w:r>
          </w:p>
        </w:tc>
        <w:tc>
          <w:tcPr>
            <w:tcW w:w="962" w:type="dxa"/>
            <w:shd w:val="clear" w:color="auto" w:fill="EFEFEF"/>
            <w:noWrap/>
            <w:vAlign w:val="center"/>
            <w:hideMark/>
          </w:tcPr>
          <w:p w14:paraId="0E0BB1C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68,57</w:t>
            </w:r>
            <w:r w:rsidRPr="4F9BDBF9">
              <w:rPr>
                <w:rFonts w:eastAsiaTheme="minorEastAsia"/>
                <w:sz w:val="24"/>
                <w:szCs w:val="24"/>
                <w:lang w:eastAsia="sk-SK"/>
              </w:rPr>
              <w:t xml:space="preserve"> </w:t>
            </w:r>
          </w:p>
        </w:tc>
        <w:tc>
          <w:tcPr>
            <w:tcW w:w="2766" w:type="dxa"/>
            <w:vMerge/>
            <w:vAlign w:val="center"/>
            <w:hideMark/>
          </w:tcPr>
          <w:p w14:paraId="71AEFB6C"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B23CEC2" w14:textId="77777777" w:rsidTr="00875772">
        <w:trPr>
          <w:tblCellSpacing w:w="15" w:type="dxa"/>
        </w:trPr>
        <w:tc>
          <w:tcPr>
            <w:tcW w:w="825" w:type="dxa"/>
            <w:shd w:val="clear" w:color="auto" w:fill="EFEFEF"/>
            <w:noWrap/>
            <w:vAlign w:val="center"/>
            <w:hideMark/>
          </w:tcPr>
          <w:p w14:paraId="7EF6B0C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794" w:type="dxa"/>
            <w:shd w:val="clear" w:color="auto" w:fill="EFEFEF"/>
            <w:vAlign w:val="center"/>
            <w:hideMark/>
          </w:tcPr>
          <w:p w14:paraId="58E8DAB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45" w:type="dxa"/>
            <w:shd w:val="clear" w:color="auto" w:fill="EFEFEF"/>
            <w:noWrap/>
            <w:vAlign w:val="center"/>
            <w:hideMark/>
          </w:tcPr>
          <w:p w14:paraId="781ACA2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9 800,00</w:t>
            </w:r>
            <w:r w:rsidRPr="4F9BDBF9">
              <w:rPr>
                <w:rFonts w:eastAsiaTheme="minorEastAsia"/>
                <w:sz w:val="24"/>
                <w:szCs w:val="24"/>
                <w:lang w:eastAsia="sk-SK"/>
              </w:rPr>
              <w:t xml:space="preserve"> </w:t>
            </w:r>
          </w:p>
        </w:tc>
        <w:tc>
          <w:tcPr>
            <w:tcW w:w="1388" w:type="dxa"/>
            <w:shd w:val="clear" w:color="auto" w:fill="EFEFEF"/>
            <w:noWrap/>
            <w:vAlign w:val="center"/>
            <w:hideMark/>
          </w:tcPr>
          <w:p w14:paraId="36CB600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8 335,13</w:t>
            </w:r>
            <w:r w:rsidRPr="4F9BDBF9">
              <w:rPr>
                <w:rFonts w:eastAsiaTheme="minorEastAsia"/>
                <w:sz w:val="24"/>
                <w:szCs w:val="24"/>
                <w:lang w:eastAsia="sk-SK"/>
              </w:rPr>
              <w:t xml:space="preserve"> </w:t>
            </w:r>
          </w:p>
        </w:tc>
        <w:tc>
          <w:tcPr>
            <w:tcW w:w="1246" w:type="dxa"/>
            <w:shd w:val="clear" w:color="auto" w:fill="EFEFEF"/>
            <w:noWrap/>
            <w:vAlign w:val="center"/>
            <w:hideMark/>
          </w:tcPr>
          <w:p w14:paraId="332F458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8 335,13</w:t>
            </w:r>
            <w:r w:rsidRPr="4F9BDBF9">
              <w:rPr>
                <w:rFonts w:eastAsiaTheme="minorEastAsia"/>
                <w:sz w:val="24"/>
                <w:szCs w:val="24"/>
                <w:lang w:eastAsia="sk-SK"/>
              </w:rPr>
              <w:t xml:space="preserve"> </w:t>
            </w:r>
          </w:p>
        </w:tc>
        <w:tc>
          <w:tcPr>
            <w:tcW w:w="962" w:type="dxa"/>
            <w:shd w:val="clear" w:color="auto" w:fill="EFEFEF"/>
            <w:noWrap/>
            <w:vAlign w:val="center"/>
            <w:hideMark/>
          </w:tcPr>
          <w:p w14:paraId="378A4DB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2766" w:type="dxa"/>
            <w:vMerge/>
            <w:vAlign w:val="center"/>
            <w:hideMark/>
          </w:tcPr>
          <w:p w14:paraId="4FD435E1"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0314BD1" w14:textId="77777777" w:rsidTr="00875772">
        <w:trPr>
          <w:tblCellSpacing w:w="15" w:type="dxa"/>
        </w:trPr>
        <w:tc>
          <w:tcPr>
            <w:tcW w:w="825" w:type="dxa"/>
            <w:shd w:val="clear" w:color="auto" w:fill="D9D9D9" w:themeFill="background1" w:themeFillShade="D9"/>
            <w:noWrap/>
            <w:vAlign w:val="center"/>
            <w:hideMark/>
          </w:tcPr>
          <w:p w14:paraId="47BFB00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lastRenderedPageBreak/>
              <w:t>700</w:t>
            </w:r>
            <w:r w:rsidRPr="4F9BDBF9">
              <w:rPr>
                <w:rFonts w:eastAsiaTheme="minorEastAsia"/>
                <w:sz w:val="24"/>
                <w:szCs w:val="24"/>
                <w:lang w:eastAsia="sk-SK"/>
              </w:rPr>
              <w:t xml:space="preserve"> </w:t>
            </w:r>
          </w:p>
        </w:tc>
        <w:tc>
          <w:tcPr>
            <w:tcW w:w="1794" w:type="dxa"/>
            <w:shd w:val="clear" w:color="auto" w:fill="D9D9D9" w:themeFill="background1" w:themeFillShade="D9"/>
            <w:vAlign w:val="center"/>
            <w:hideMark/>
          </w:tcPr>
          <w:p w14:paraId="1FD10EA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322BFE2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1388" w:type="dxa"/>
            <w:shd w:val="clear" w:color="auto" w:fill="D9D9D9" w:themeFill="background1" w:themeFillShade="D9"/>
            <w:noWrap/>
            <w:vAlign w:val="center"/>
            <w:hideMark/>
          </w:tcPr>
          <w:p w14:paraId="5CC1DDB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2 364,00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146343C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2 364,00</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3F2C90D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100,00</w:t>
            </w:r>
            <w:r w:rsidRPr="4F9BDBF9">
              <w:rPr>
                <w:rFonts w:eastAsiaTheme="minorEastAsia"/>
                <w:sz w:val="24"/>
                <w:szCs w:val="24"/>
                <w:lang w:eastAsia="sk-SK"/>
              </w:rPr>
              <w:t xml:space="preserve"> </w:t>
            </w:r>
          </w:p>
        </w:tc>
        <w:tc>
          <w:tcPr>
            <w:tcW w:w="2766" w:type="dxa"/>
            <w:vMerge/>
            <w:vAlign w:val="center"/>
            <w:hideMark/>
          </w:tcPr>
          <w:p w14:paraId="2BBCAC78"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21CE87A" w14:textId="77777777" w:rsidTr="00875772">
        <w:trPr>
          <w:tblCellSpacing w:w="15" w:type="dxa"/>
        </w:trPr>
        <w:tc>
          <w:tcPr>
            <w:tcW w:w="825" w:type="dxa"/>
            <w:shd w:val="clear" w:color="auto" w:fill="EFEFEF"/>
            <w:noWrap/>
            <w:vAlign w:val="center"/>
            <w:hideMark/>
          </w:tcPr>
          <w:p w14:paraId="7E364AB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710</w:t>
            </w:r>
            <w:r w:rsidRPr="4F9BDBF9">
              <w:rPr>
                <w:rFonts w:eastAsiaTheme="minorEastAsia"/>
                <w:sz w:val="24"/>
                <w:szCs w:val="24"/>
                <w:lang w:eastAsia="sk-SK"/>
              </w:rPr>
              <w:t xml:space="preserve"> </w:t>
            </w:r>
          </w:p>
        </w:tc>
        <w:tc>
          <w:tcPr>
            <w:tcW w:w="1794" w:type="dxa"/>
            <w:shd w:val="clear" w:color="auto" w:fill="EFEFEF"/>
            <w:vAlign w:val="center"/>
            <w:hideMark/>
          </w:tcPr>
          <w:p w14:paraId="03DC6A3B"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1245" w:type="dxa"/>
            <w:shd w:val="clear" w:color="auto" w:fill="EFEFEF"/>
            <w:noWrap/>
            <w:vAlign w:val="center"/>
            <w:hideMark/>
          </w:tcPr>
          <w:p w14:paraId="39E419F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1388" w:type="dxa"/>
            <w:shd w:val="clear" w:color="auto" w:fill="EFEFEF"/>
            <w:noWrap/>
            <w:vAlign w:val="center"/>
            <w:hideMark/>
          </w:tcPr>
          <w:p w14:paraId="7EC441C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2 364,00</w:t>
            </w:r>
            <w:r w:rsidRPr="4F9BDBF9">
              <w:rPr>
                <w:rFonts w:eastAsiaTheme="minorEastAsia"/>
                <w:sz w:val="24"/>
                <w:szCs w:val="24"/>
                <w:lang w:eastAsia="sk-SK"/>
              </w:rPr>
              <w:t xml:space="preserve"> </w:t>
            </w:r>
          </w:p>
        </w:tc>
        <w:tc>
          <w:tcPr>
            <w:tcW w:w="1246" w:type="dxa"/>
            <w:shd w:val="clear" w:color="auto" w:fill="EFEFEF"/>
            <w:noWrap/>
            <w:vAlign w:val="center"/>
            <w:hideMark/>
          </w:tcPr>
          <w:p w14:paraId="4A1DADC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2 364,00</w:t>
            </w:r>
            <w:r w:rsidRPr="4F9BDBF9">
              <w:rPr>
                <w:rFonts w:eastAsiaTheme="minorEastAsia"/>
                <w:sz w:val="24"/>
                <w:szCs w:val="24"/>
                <w:lang w:eastAsia="sk-SK"/>
              </w:rPr>
              <w:t xml:space="preserve"> </w:t>
            </w:r>
          </w:p>
        </w:tc>
        <w:tc>
          <w:tcPr>
            <w:tcW w:w="962" w:type="dxa"/>
            <w:shd w:val="clear" w:color="auto" w:fill="EFEFEF"/>
            <w:noWrap/>
            <w:vAlign w:val="center"/>
            <w:hideMark/>
          </w:tcPr>
          <w:p w14:paraId="6FA1078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2766" w:type="dxa"/>
            <w:vMerge/>
            <w:vAlign w:val="center"/>
            <w:hideMark/>
          </w:tcPr>
          <w:p w14:paraId="0FA9DA00" w14:textId="77777777" w:rsidR="00875772" w:rsidRPr="00116D4B" w:rsidRDefault="00875772" w:rsidP="00875772">
            <w:pPr>
              <w:spacing w:after="0" w:line="240" w:lineRule="auto"/>
              <w:rPr>
                <w:rFonts w:ascii="Times New Roman" w:hAnsi="Times New Roman"/>
                <w:sz w:val="24"/>
                <w:szCs w:val="24"/>
                <w:lang w:eastAsia="sk-SK"/>
              </w:rPr>
            </w:pPr>
          </w:p>
        </w:tc>
      </w:tr>
    </w:tbl>
    <w:p w14:paraId="2A0F45D2"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6313DC5B" w14:textId="77777777" w:rsidTr="00875772">
        <w:trPr>
          <w:tblCellSpacing w:w="15" w:type="dxa"/>
        </w:trPr>
        <w:tc>
          <w:tcPr>
            <w:tcW w:w="0" w:type="auto"/>
            <w:shd w:val="clear" w:color="auto" w:fill="C2D69B"/>
            <w:vAlign w:val="center"/>
            <w:hideMark/>
          </w:tcPr>
          <w:p w14:paraId="26F6574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537FA61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6574F19E" w14:textId="77777777" w:rsidTr="00875772">
        <w:trPr>
          <w:tblCellSpacing w:w="15" w:type="dxa"/>
        </w:trPr>
        <w:tc>
          <w:tcPr>
            <w:tcW w:w="0" w:type="auto"/>
            <w:shd w:val="clear" w:color="auto" w:fill="C2D69B"/>
            <w:vAlign w:val="center"/>
            <w:hideMark/>
          </w:tcPr>
          <w:p w14:paraId="0BF96FA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7B3CC59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30D8E968" w14:textId="77777777" w:rsidTr="00875772">
        <w:trPr>
          <w:tblCellSpacing w:w="15" w:type="dxa"/>
        </w:trPr>
        <w:tc>
          <w:tcPr>
            <w:tcW w:w="0" w:type="auto"/>
            <w:shd w:val="clear" w:color="auto" w:fill="C2D69B"/>
            <w:vAlign w:val="center"/>
            <w:hideMark/>
          </w:tcPr>
          <w:p w14:paraId="52662A6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3476138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557C7EBA" w14:textId="77777777" w:rsidTr="00875772">
        <w:trPr>
          <w:tblCellSpacing w:w="15" w:type="dxa"/>
        </w:trPr>
        <w:tc>
          <w:tcPr>
            <w:tcW w:w="0" w:type="auto"/>
            <w:shd w:val="clear" w:color="auto" w:fill="C2D69B"/>
            <w:vAlign w:val="center"/>
            <w:hideMark/>
          </w:tcPr>
          <w:p w14:paraId="0C7F04D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7FE864B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116CD9C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17EBC01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4A345A6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21C290DB" w14:textId="77777777" w:rsidTr="00875772">
        <w:trPr>
          <w:tblCellSpacing w:w="15" w:type="dxa"/>
        </w:trPr>
        <w:tc>
          <w:tcPr>
            <w:tcW w:w="0" w:type="auto"/>
            <w:shd w:val="clear" w:color="auto" w:fill="C2D69B"/>
            <w:vAlign w:val="center"/>
            <w:hideMark/>
          </w:tcPr>
          <w:p w14:paraId="24167B9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0D90176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6BDF02E4"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97.37</w:t>
            </w:r>
            <w:r w:rsidRPr="3E14EAE1">
              <w:rPr>
                <w:rFonts w:eastAsiaTheme="minorEastAsia"/>
                <w:sz w:val="24"/>
                <w:szCs w:val="24"/>
                <w:lang w:eastAsia="sk-SK"/>
              </w:rPr>
              <w:t xml:space="preserve"> </w:t>
            </w:r>
          </w:p>
        </w:tc>
        <w:tc>
          <w:tcPr>
            <w:tcW w:w="0" w:type="auto"/>
            <w:shd w:val="clear" w:color="auto" w:fill="C2D69B"/>
            <w:vAlign w:val="center"/>
            <w:hideMark/>
          </w:tcPr>
          <w:p w14:paraId="657EC64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4B8AAAAD" w14:textId="77777777" w:rsidR="00875772" w:rsidRPr="00116D4B" w:rsidRDefault="00875772" w:rsidP="00875772">
            <w:pPr>
              <w:spacing w:after="0" w:line="240" w:lineRule="auto"/>
              <w:jc w:val="center"/>
              <w:rPr>
                <w:rFonts w:eastAsiaTheme="minorEastAsia"/>
                <w:sz w:val="24"/>
                <w:szCs w:val="24"/>
                <w:lang w:eastAsia="sk-SK"/>
              </w:rPr>
            </w:pPr>
          </w:p>
        </w:tc>
      </w:tr>
    </w:tbl>
    <w:p w14:paraId="403BEB83"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11.1.8: Zariadenie sociálnych služieb ROSA</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824"/>
        <w:gridCol w:w="1275"/>
        <w:gridCol w:w="1276"/>
        <w:gridCol w:w="1276"/>
        <w:gridCol w:w="992"/>
        <w:gridCol w:w="2953"/>
      </w:tblGrid>
      <w:tr w:rsidR="00875772" w:rsidRPr="00116D4B" w14:paraId="068950B3" w14:textId="77777777" w:rsidTr="00875772">
        <w:trPr>
          <w:tblCellSpacing w:w="15" w:type="dxa"/>
        </w:trPr>
        <w:tc>
          <w:tcPr>
            <w:tcW w:w="825" w:type="dxa"/>
            <w:shd w:val="clear" w:color="auto" w:fill="C6DBF7"/>
            <w:vAlign w:val="center"/>
            <w:hideMark/>
          </w:tcPr>
          <w:p w14:paraId="55C6E52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794" w:type="dxa"/>
            <w:shd w:val="clear" w:color="auto" w:fill="C6DBF7"/>
            <w:vAlign w:val="center"/>
            <w:hideMark/>
          </w:tcPr>
          <w:p w14:paraId="4A518D24" w14:textId="77777777" w:rsidR="00875772" w:rsidRDefault="00875772" w:rsidP="00875772">
            <w:pPr>
              <w:spacing w:after="0" w:line="240" w:lineRule="auto"/>
              <w:jc w:val="center"/>
              <w:rPr>
                <w:rFonts w:eastAsiaTheme="minorEastAsia"/>
                <w:b/>
                <w:bCs/>
                <w:sz w:val="20"/>
                <w:szCs w:val="20"/>
                <w:lang w:eastAsia="sk-SK"/>
              </w:rPr>
            </w:pPr>
            <w:r w:rsidRPr="4F9BDBF9">
              <w:rPr>
                <w:rFonts w:eastAsiaTheme="minorEastAsia"/>
                <w:b/>
                <w:bCs/>
                <w:sz w:val="20"/>
                <w:szCs w:val="20"/>
                <w:lang w:eastAsia="sk-SK"/>
              </w:rPr>
              <w:t>Ekonomická </w:t>
            </w:r>
          </w:p>
          <w:p w14:paraId="35A0699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klasifikácia</w:t>
            </w:r>
          </w:p>
        </w:tc>
        <w:tc>
          <w:tcPr>
            <w:tcW w:w="1245" w:type="dxa"/>
            <w:shd w:val="clear" w:color="auto" w:fill="C6DBF7"/>
            <w:vAlign w:val="center"/>
            <w:hideMark/>
          </w:tcPr>
          <w:p w14:paraId="66003CB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3227324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24C0547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962" w:type="dxa"/>
            <w:shd w:val="clear" w:color="auto" w:fill="C6DBF7"/>
            <w:vAlign w:val="center"/>
            <w:hideMark/>
          </w:tcPr>
          <w:p w14:paraId="0175131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2908" w:type="dxa"/>
            <w:shd w:val="clear" w:color="auto" w:fill="C6DBF7"/>
            <w:vAlign w:val="center"/>
            <w:hideMark/>
          </w:tcPr>
          <w:p w14:paraId="0369A27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3C24BAEF" w14:textId="77777777" w:rsidTr="00875772">
        <w:trPr>
          <w:tblCellSpacing w:w="15" w:type="dxa"/>
        </w:trPr>
        <w:tc>
          <w:tcPr>
            <w:tcW w:w="825" w:type="dxa"/>
            <w:shd w:val="clear" w:color="auto" w:fill="D9D9D9" w:themeFill="background1" w:themeFillShade="D9"/>
            <w:noWrap/>
            <w:vAlign w:val="center"/>
            <w:hideMark/>
          </w:tcPr>
          <w:p w14:paraId="5CE98FDE" w14:textId="77777777" w:rsidR="00875772" w:rsidRPr="00116D4B" w:rsidRDefault="00875772" w:rsidP="00875772">
            <w:pPr>
              <w:spacing w:after="0" w:line="240" w:lineRule="auto"/>
              <w:jc w:val="center"/>
              <w:rPr>
                <w:rFonts w:eastAsiaTheme="minorEastAsia"/>
                <w:sz w:val="24"/>
                <w:szCs w:val="24"/>
                <w:lang w:eastAsia="sk-SK"/>
              </w:rPr>
            </w:pPr>
          </w:p>
        </w:tc>
        <w:tc>
          <w:tcPr>
            <w:tcW w:w="1794" w:type="dxa"/>
            <w:shd w:val="clear" w:color="auto" w:fill="D9D9D9" w:themeFill="background1" w:themeFillShade="D9"/>
            <w:vAlign w:val="center"/>
            <w:hideMark/>
          </w:tcPr>
          <w:p w14:paraId="074111F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665BF33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2 505 140,00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708EA32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2 529 008,48</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2B15FA0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2 469 307,07</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0525463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97,64</w:t>
            </w:r>
            <w:r w:rsidRPr="4F9BDBF9">
              <w:rPr>
                <w:rFonts w:eastAsiaTheme="minorEastAsia"/>
                <w:sz w:val="24"/>
                <w:szCs w:val="24"/>
                <w:lang w:eastAsia="sk-SK"/>
              </w:rPr>
              <w:t xml:space="preserve"> </w:t>
            </w:r>
          </w:p>
        </w:tc>
        <w:tc>
          <w:tcPr>
            <w:tcW w:w="2908" w:type="dxa"/>
            <w:vMerge w:val="restart"/>
            <w:shd w:val="clear" w:color="auto" w:fill="D9D9D9" w:themeFill="background1" w:themeFillShade="D9"/>
            <w:vAlign w:val="center"/>
            <w:hideMark/>
          </w:tcPr>
          <w:p w14:paraId="02029E5F"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+2 453,58 EUR</w:t>
            </w:r>
            <w:r w:rsidRPr="7A505BEE">
              <w:rPr>
                <w:rFonts w:eastAsiaTheme="minorEastAsia"/>
                <w:sz w:val="20"/>
                <w:szCs w:val="20"/>
                <w:lang w:eastAsia="sk-SK"/>
              </w:rPr>
              <w:t xml:space="preserve"> presun z P11.3 na navýšenie mzdových prostriedkov</w:t>
            </w:r>
          </w:p>
          <w:p w14:paraId="39824A73"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+3 458,90 EUR </w:t>
            </w:r>
            <w:r w:rsidRPr="7A505BEE">
              <w:rPr>
                <w:rFonts w:eastAsiaTheme="minorEastAsia"/>
                <w:sz w:val="20"/>
                <w:szCs w:val="20"/>
                <w:lang w:eastAsia="sk-SK"/>
              </w:rPr>
              <w:t>presun z P11.3 na dezinfekciu a OOPP</w:t>
            </w:r>
          </w:p>
          <w:p w14:paraId="566EF080"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+44 776,00 EUR </w:t>
            </w:r>
            <w:r w:rsidRPr="7A505BEE">
              <w:rPr>
                <w:rFonts w:eastAsiaTheme="minorEastAsia"/>
                <w:sz w:val="20"/>
                <w:szCs w:val="20"/>
                <w:lang w:eastAsia="sk-SK"/>
              </w:rPr>
              <w:t>dotácia z MPSVaR SR  na mimoriadne odmeny pre zamestnancov za I. vlnu pandémie</w:t>
            </w:r>
          </w:p>
          <w:p w14:paraId="790D3D5B"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+4 380,00 EUR </w:t>
            </w:r>
            <w:r w:rsidRPr="7A505BEE">
              <w:rPr>
                <w:rFonts w:eastAsiaTheme="minorEastAsia"/>
                <w:sz w:val="20"/>
                <w:szCs w:val="20"/>
                <w:lang w:eastAsia="sk-SK"/>
              </w:rPr>
              <w:t>dotácia z MPSVaR SR na výživové doplnky (</w:t>
            </w:r>
            <w:proofErr w:type="spellStart"/>
            <w:r w:rsidRPr="7A505BEE">
              <w:rPr>
                <w:rFonts w:eastAsiaTheme="minorEastAsia"/>
                <w:sz w:val="20"/>
                <w:szCs w:val="20"/>
                <w:lang w:eastAsia="sk-SK"/>
              </w:rPr>
              <w:t>vit</w:t>
            </w:r>
            <w:proofErr w:type="spellEnd"/>
            <w:r w:rsidRPr="7A505BEE">
              <w:rPr>
                <w:rFonts w:eastAsiaTheme="minorEastAsia"/>
                <w:sz w:val="20"/>
                <w:szCs w:val="20"/>
                <w:lang w:eastAsia="sk-SK"/>
              </w:rPr>
              <w:t>. D3)</w:t>
            </w:r>
          </w:p>
          <w:p w14:paraId="0BF7CA9E"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-31 200,00 EUR</w:t>
            </w:r>
            <w:r w:rsidRPr="7A505BEE">
              <w:rPr>
                <w:rFonts w:eastAsiaTheme="minorEastAsia"/>
                <w:sz w:val="20"/>
                <w:szCs w:val="20"/>
                <w:lang w:eastAsia="sk-SK"/>
              </w:rPr>
              <w:t xml:space="preserve"> zníženie rozpočtu BV (</w:t>
            </w:r>
            <w:proofErr w:type="spellStart"/>
            <w:r w:rsidRPr="7A505BEE">
              <w:rPr>
                <w:rFonts w:eastAsiaTheme="minorEastAsia"/>
                <w:sz w:val="20"/>
                <w:szCs w:val="20"/>
                <w:lang w:eastAsia="sk-SK"/>
              </w:rPr>
              <w:t>Uzn</w:t>
            </w:r>
            <w:proofErr w:type="spellEnd"/>
            <w:r w:rsidRPr="7A505BEE">
              <w:rPr>
                <w:rFonts w:eastAsiaTheme="minorEastAsia"/>
                <w:sz w:val="20"/>
                <w:szCs w:val="20"/>
                <w:lang w:eastAsia="sk-SK"/>
              </w:rPr>
              <w:t>. 247/2020 z 29.5.2020) z dôvodu nenaplnených daňových príjmov</w:t>
            </w:r>
          </w:p>
        </w:tc>
      </w:tr>
      <w:tr w:rsidR="00875772" w:rsidRPr="00116D4B" w14:paraId="124B7CEF" w14:textId="77777777" w:rsidTr="00875772">
        <w:trPr>
          <w:tblCellSpacing w:w="15" w:type="dxa"/>
        </w:trPr>
        <w:tc>
          <w:tcPr>
            <w:tcW w:w="825" w:type="dxa"/>
            <w:shd w:val="clear" w:color="auto" w:fill="D9D9D9" w:themeFill="background1" w:themeFillShade="D9"/>
            <w:noWrap/>
            <w:vAlign w:val="center"/>
            <w:hideMark/>
          </w:tcPr>
          <w:p w14:paraId="68242AC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794" w:type="dxa"/>
            <w:shd w:val="clear" w:color="auto" w:fill="D9D9D9" w:themeFill="background1" w:themeFillShade="D9"/>
            <w:vAlign w:val="center"/>
            <w:hideMark/>
          </w:tcPr>
          <w:p w14:paraId="4E89165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7C2AD47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2 505 140,00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12265A7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2 529 008,48</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64692A5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2 469 307,07</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318B5F9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97,64</w:t>
            </w:r>
            <w:r w:rsidRPr="4F9BDBF9">
              <w:rPr>
                <w:rFonts w:eastAsiaTheme="minorEastAsia"/>
                <w:sz w:val="24"/>
                <w:szCs w:val="24"/>
                <w:lang w:eastAsia="sk-SK"/>
              </w:rPr>
              <w:t xml:space="preserve"> </w:t>
            </w:r>
          </w:p>
        </w:tc>
        <w:tc>
          <w:tcPr>
            <w:tcW w:w="2908" w:type="dxa"/>
            <w:vMerge/>
            <w:shd w:val="clear" w:color="auto" w:fill="D9D9D9" w:themeFill="background1" w:themeFillShade="D9"/>
            <w:vAlign w:val="center"/>
            <w:hideMark/>
          </w:tcPr>
          <w:p w14:paraId="4AE019D2"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07D5F91D" w14:textId="77777777" w:rsidTr="00875772">
        <w:trPr>
          <w:tblCellSpacing w:w="15" w:type="dxa"/>
        </w:trPr>
        <w:tc>
          <w:tcPr>
            <w:tcW w:w="825" w:type="dxa"/>
            <w:shd w:val="clear" w:color="auto" w:fill="EFEFEF"/>
            <w:noWrap/>
            <w:vAlign w:val="center"/>
            <w:hideMark/>
          </w:tcPr>
          <w:p w14:paraId="7504A90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794" w:type="dxa"/>
            <w:shd w:val="clear" w:color="auto" w:fill="EFEFEF"/>
            <w:vAlign w:val="center"/>
            <w:hideMark/>
          </w:tcPr>
          <w:p w14:paraId="4ED540F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45" w:type="dxa"/>
            <w:shd w:val="clear" w:color="auto" w:fill="EFEFEF"/>
            <w:noWrap/>
            <w:vAlign w:val="center"/>
            <w:hideMark/>
          </w:tcPr>
          <w:p w14:paraId="662A323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1 429 647,00</w:t>
            </w:r>
            <w:r w:rsidRPr="4F9BDBF9">
              <w:rPr>
                <w:rFonts w:eastAsiaTheme="minorEastAsia"/>
                <w:sz w:val="24"/>
                <w:szCs w:val="24"/>
                <w:lang w:eastAsia="sk-SK"/>
              </w:rPr>
              <w:t xml:space="preserve"> </w:t>
            </w:r>
          </w:p>
        </w:tc>
        <w:tc>
          <w:tcPr>
            <w:tcW w:w="1246" w:type="dxa"/>
            <w:shd w:val="clear" w:color="auto" w:fill="EFEFEF"/>
            <w:noWrap/>
            <w:vAlign w:val="center"/>
            <w:hideMark/>
          </w:tcPr>
          <w:p w14:paraId="7BD6980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1 442 188,00</w:t>
            </w:r>
            <w:r w:rsidRPr="4F9BDBF9">
              <w:rPr>
                <w:rFonts w:eastAsiaTheme="minorEastAsia"/>
                <w:sz w:val="24"/>
                <w:szCs w:val="24"/>
                <w:lang w:eastAsia="sk-SK"/>
              </w:rPr>
              <w:t xml:space="preserve"> </w:t>
            </w:r>
          </w:p>
        </w:tc>
        <w:tc>
          <w:tcPr>
            <w:tcW w:w="1246" w:type="dxa"/>
            <w:shd w:val="clear" w:color="auto" w:fill="EFEFEF"/>
            <w:noWrap/>
            <w:vAlign w:val="center"/>
            <w:hideMark/>
          </w:tcPr>
          <w:p w14:paraId="7292B85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1 398 090,61</w:t>
            </w:r>
            <w:r w:rsidRPr="4F9BDBF9">
              <w:rPr>
                <w:rFonts w:eastAsiaTheme="minorEastAsia"/>
                <w:sz w:val="24"/>
                <w:szCs w:val="24"/>
                <w:lang w:eastAsia="sk-SK"/>
              </w:rPr>
              <w:t xml:space="preserve"> </w:t>
            </w:r>
          </w:p>
        </w:tc>
        <w:tc>
          <w:tcPr>
            <w:tcW w:w="962" w:type="dxa"/>
            <w:shd w:val="clear" w:color="auto" w:fill="EFEFEF"/>
            <w:noWrap/>
            <w:vAlign w:val="center"/>
            <w:hideMark/>
          </w:tcPr>
          <w:p w14:paraId="01B6577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96,94</w:t>
            </w:r>
            <w:r w:rsidRPr="4F9BDBF9">
              <w:rPr>
                <w:rFonts w:eastAsiaTheme="minorEastAsia"/>
                <w:sz w:val="24"/>
                <w:szCs w:val="24"/>
                <w:lang w:eastAsia="sk-SK"/>
              </w:rPr>
              <w:t xml:space="preserve"> </w:t>
            </w:r>
          </w:p>
        </w:tc>
        <w:tc>
          <w:tcPr>
            <w:tcW w:w="2908" w:type="dxa"/>
            <w:vMerge/>
            <w:vAlign w:val="center"/>
            <w:hideMark/>
          </w:tcPr>
          <w:p w14:paraId="4B4742A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33961079" w14:textId="77777777" w:rsidTr="00875772">
        <w:trPr>
          <w:tblCellSpacing w:w="15" w:type="dxa"/>
        </w:trPr>
        <w:tc>
          <w:tcPr>
            <w:tcW w:w="825" w:type="dxa"/>
            <w:shd w:val="clear" w:color="auto" w:fill="EFEFEF"/>
            <w:noWrap/>
            <w:vAlign w:val="center"/>
            <w:hideMark/>
          </w:tcPr>
          <w:p w14:paraId="36C2873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794" w:type="dxa"/>
            <w:shd w:val="clear" w:color="auto" w:fill="EFEFEF"/>
            <w:vAlign w:val="center"/>
            <w:hideMark/>
          </w:tcPr>
          <w:p w14:paraId="5FCAB70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45" w:type="dxa"/>
            <w:shd w:val="clear" w:color="auto" w:fill="EFEFEF"/>
            <w:noWrap/>
            <w:vAlign w:val="center"/>
            <w:hideMark/>
          </w:tcPr>
          <w:p w14:paraId="7EDC642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512 665,00</w:t>
            </w:r>
            <w:r w:rsidRPr="4F9BDBF9">
              <w:rPr>
                <w:rFonts w:eastAsiaTheme="minorEastAsia"/>
                <w:sz w:val="24"/>
                <w:szCs w:val="24"/>
                <w:lang w:eastAsia="sk-SK"/>
              </w:rPr>
              <w:t xml:space="preserve"> </w:t>
            </w:r>
          </w:p>
        </w:tc>
        <w:tc>
          <w:tcPr>
            <w:tcW w:w="1246" w:type="dxa"/>
            <w:shd w:val="clear" w:color="auto" w:fill="EFEFEF"/>
            <w:noWrap/>
            <w:vAlign w:val="center"/>
            <w:hideMark/>
          </w:tcPr>
          <w:p w14:paraId="67FB197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516 486,10</w:t>
            </w:r>
            <w:r w:rsidRPr="4F9BDBF9">
              <w:rPr>
                <w:rFonts w:eastAsiaTheme="minorEastAsia"/>
                <w:sz w:val="24"/>
                <w:szCs w:val="24"/>
                <w:lang w:eastAsia="sk-SK"/>
              </w:rPr>
              <w:t xml:space="preserve"> </w:t>
            </w:r>
          </w:p>
        </w:tc>
        <w:tc>
          <w:tcPr>
            <w:tcW w:w="1246" w:type="dxa"/>
            <w:shd w:val="clear" w:color="auto" w:fill="EFEFEF"/>
            <w:noWrap/>
            <w:vAlign w:val="center"/>
            <w:hideMark/>
          </w:tcPr>
          <w:p w14:paraId="270DAAD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499 802,08</w:t>
            </w:r>
            <w:r w:rsidRPr="4F9BDBF9">
              <w:rPr>
                <w:rFonts w:eastAsiaTheme="minorEastAsia"/>
                <w:sz w:val="24"/>
                <w:szCs w:val="24"/>
                <w:lang w:eastAsia="sk-SK"/>
              </w:rPr>
              <w:t xml:space="preserve"> </w:t>
            </w:r>
          </w:p>
        </w:tc>
        <w:tc>
          <w:tcPr>
            <w:tcW w:w="962" w:type="dxa"/>
            <w:shd w:val="clear" w:color="auto" w:fill="EFEFEF"/>
            <w:noWrap/>
            <w:vAlign w:val="center"/>
            <w:hideMark/>
          </w:tcPr>
          <w:p w14:paraId="526029E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96,77</w:t>
            </w:r>
            <w:r w:rsidRPr="4F9BDBF9">
              <w:rPr>
                <w:rFonts w:eastAsiaTheme="minorEastAsia"/>
                <w:sz w:val="24"/>
                <w:szCs w:val="24"/>
                <w:lang w:eastAsia="sk-SK"/>
              </w:rPr>
              <w:t xml:space="preserve"> </w:t>
            </w:r>
          </w:p>
        </w:tc>
        <w:tc>
          <w:tcPr>
            <w:tcW w:w="2908" w:type="dxa"/>
            <w:vMerge/>
            <w:vAlign w:val="center"/>
            <w:hideMark/>
          </w:tcPr>
          <w:p w14:paraId="4E33C840"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3262309" w14:textId="77777777" w:rsidTr="00875772">
        <w:trPr>
          <w:tblCellSpacing w:w="15" w:type="dxa"/>
        </w:trPr>
        <w:tc>
          <w:tcPr>
            <w:tcW w:w="825" w:type="dxa"/>
            <w:shd w:val="clear" w:color="auto" w:fill="EFEFEF"/>
            <w:noWrap/>
            <w:vAlign w:val="center"/>
            <w:hideMark/>
          </w:tcPr>
          <w:p w14:paraId="1F02C7E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794" w:type="dxa"/>
            <w:shd w:val="clear" w:color="auto" w:fill="EFEFEF"/>
            <w:vAlign w:val="center"/>
            <w:hideMark/>
          </w:tcPr>
          <w:p w14:paraId="48BBA98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45" w:type="dxa"/>
            <w:shd w:val="clear" w:color="auto" w:fill="EFEFEF"/>
            <w:noWrap/>
            <w:vAlign w:val="center"/>
            <w:hideMark/>
          </w:tcPr>
          <w:p w14:paraId="6262A9B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550 328,00</w:t>
            </w:r>
            <w:r w:rsidRPr="4F9BDBF9">
              <w:rPr>
                <w:rFonts w:eastAsiaTheme="minorEastAsia"/>
                <w:sz w:val="24"/>
                <w:szCs w:val="24"/>
                <w:lang w:eastAsia="sk-SK"/>
              </w:rPr>
              <w:t xml:space="preserve"> </w:t>
            </w:r>
          </w:p>
        </w:tc>
        <w:tc>
          <w:tcPr>
            <w:tcW w:w="1246" w:type="dxa"/>
            <w:shd w:val="clear" w:color="auto" w:fill="EFEFEF"/>
            <w:noWrap/>
            <w:vAlign w:val="center"/>
            <w:hideMark/>
          </w:tcPr>
          <w:p w14:paraId="7E164C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553 640,78</w:t>
            </w:r>
            <w:r w:rsidRPr="4F9BDBF9">
              <w:rPr>
                <w:rFonts w:eastAsiaTheme="minorEastAsia"/>
                <w:sz w:val="24"/>
                <w:szCs w:val="24"/>
                <w:lang w:eastAsia="sk-SK"/>
              </w:rPr>
              <w:t xml:space="preserve"> </w:t>
            </w:r>
          </w:p>
        </w:tc>
        <w:tc>
          <w:tcPr>
            <w:tcW w:w="1246" w:type="dxa"/>
            <w:shd w:val="clear" w:color="auto" w:fill="EFEFEF"/>
            <w:noWrap/>
            <w:vAlign w:val="center"/>
            <w:hideMark/>
          </w:tcPr>
          <w:p w14:paraId="3870050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554 720,78</w:t>
            </w:r>
            <w:r w:rsidRPr="4F9BDBF9">
              <w:rPr>
                <w:rFonts w:eastAsiaTheme="minorEastAsia"/>
                <w:sz w:val="24"/>
                <w:szCs w:val="24"/>
                <w:lang w:eastAsia="sk-SK"/>
              </w:rPr>
              <w:t xml:space="preserve"> </w:t>
            </w:r>
          </w:p>
        </w:tc>
        <w:tc>
          <w:tcPr>
            <w:tcW w:w="962" w:type="dxa"/>
            <w:shd w:val="clear" w:color="auto" w:fill="EFEFEF"/>
            <w:noWrap/>
            <w:vAlign w:val="center"/>
            <w:hideMark/>
          </w:tcPr>
          <w:p w14:paraId="3C7ED9C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100,20</w:t>
            </w:r>
            <w:r w:rsidRPr="4F9BDBF9">
              <w:rPr>
                <w:rFonts w:eastAsiaTheme="minorEastAsia"/>
                <w:sz w:val="24"/>
                <w:szCs w:val="24"/>
                <w:lang w:eastAsia="sk-SK"/>
              </w:rPr>
              <w:t xml:space="preserve"> </w:t>
            </w:r>
          </w:p>
        </w:tc>
        <w:tc>
          <w:tcPr>
            <w:tcW w:w="2908" w:type="dxa"/>
            <w:vMerge/>
            <w:vAlign w:val="center"/>
            <w:hideMark/>
          </w:tcPr>
          <w:p w14:paraId="69768701"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49876030" w14:textId="77777777" w:rsidTr="00875772">
        <w:trPr>
          <w:tblCellSpacing w:w="15" w:type="dxa"/>
        </w:trPr>
        <w:tc>
          <w:tcPr>
            <w:tcW w:w="825" w:type="dxa"/>
            <w:shd w:val="clear" w:color="auto" w:fill="EFEFEF"/>
            <w:noWrap/>
            <w:vAlign w:val="center"/>
            <w:hideMark/>
          </w:tcPr>
          <w:p w14:paraId="691AB26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794" w:type="dxa"/>
            <w:shd w:val="clear" w:color="auto" w:fill="EFEFEF"/>
            <w:vAlign w:val="center"/>
            <w:hideMark/>
          </w:tcPr>
          <w:p w14:paraId="403C45E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45" w:type="dxa"/>
            <w:shd w:val="clear" w:color="auto" w:fill="EFEFEF"/>
            <w:noWrap/>
            <w:vAlign w:val="center"/>
            <w:hideMark/>
          </w:tcPr>
          <w:p w14:paraId="6353CB1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12 500,00</w:t>
            </w:r>
            <w:r w:rsidRPr="4F9BDBF9">
              <w:rPr>
                <w:rFonts w:eastAsiaTheme="minorEastAsia"/>
                <w:sz w:val="24"/>
                <w:szCs w:val="24"/>
                <w:lang w:eastAsia="sk-SK"/>
              </w:rPr>
              <w:t xml:space="preserve"> </w:t>
            </w:r>
          </w:p>
        </w:tc>
        <w:tc>
          <w:tcPr>
            <w:tcW w:w="1246" w:type="dxa"/>
            <w:shd w:val="clear" w:color="auto" w:fill="EFEFEF"/>
            <w:noWrap/>
            <w:vAlign w:val="center"/>
            <w:hideMark/>
          </w:tcPr>
          <w:p w14:paraId="20A35FC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16 693,60</w:t>
            </w:r>
            <w:r w:rsidRPr="4F9BDBF9">
              <w:rPr>
                <w:rFonts w:eastAsiaTheme="minorEastAsia"/>
                <w:sz w:val="24"/>
                <w:szCs w:val="24"/>
                <w:lang w:eastAsia="sk-SK"/>
              </w:rPr>
              <w:t xml:space="preserve"> </w:t>
            </w:r>
          </w:p>
        </w:tc>
        <w:tc>
          <w:tcPr>
            <w:tcW w:w="1246" w:type="dxa"/>
            <w:shd w:val="clear" w:color="auto" w:fill="EFEFEF"/>
            <w:noWrap/>
            <w:vAlign w:val="center"/>
            <w:hideMark/>
          </w:tcPr>
          <w:p w14:paraId="369E9CD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16 693,60</w:t>
            </w:r>
            <w:r w:rsidRPr="4F9BDBF9">
              <w:rPr>
                <w:rFonts w:eastAsiaTheme="minorEastAsia"/>
                <w:sz w:val="24"/>
                <w:szCs w:val="24"/>
                <w:lang w:eastAsia="sk-SK"/>
              </w:rPr>
              <w:t xml:space="preserve"> </w:t>
            </w:r>
          </w:p>
        </w:tc>
        <w:tc>
          <w:tcPr>
            <w:tcW w:w="962" w:type="dxa"/>
            <w:shd w:val="clear" w:color="auto" w:fill="EFEFEF"/>
            <w:noWrap/>
            <w:vAlign w:val="center"/>
            <w:hideMark/>
          </w:tcPr>
          <w:p w14:paraId="7DF33FB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2908" w:type="dxa"/>
            <w:vMerge/>
            <w:vAlign w:val="center"/>
            <w:hideMark/>
          </w:tcPr>
          <w:p w14:paraId="77DF387F" w14:textId="77777777" w:rsidR="00875772" w:rsidRPr="00116D4B" w:rsidRDefault="00875772" w:rsidP="00875772">
            <w:pPr>
              <w:spacing w:after="0" w:line="240" w:lineRule="auto"/>
              <w:rPr>
                <w:rFonts w:ascii="Times New Roman" w:hAnsi="Times New Roman"/>
                <w:sz w:val="24"/>
                <w:szCs w:val="24"/>
                <w:lang w:eastAsia="sk-SK"/>
              </w:rPr>
            </w:pPr>
          </w:p>
        </w:tc>
      </w:tr>
    </w:tbl>
    <w:p w14:paraId="6981FB9C"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02"/>
        <w:gridCol w:w="630"/>
        <w:gridCol w:w="1492"/>
        <w:gridCol w:w="1283"/>
        <w:gridCol w:w="4159"/>
      </w:tblGrid>
      <w:tr w:rsidR="00875772" w:rsidRPr="00116D4B" w14:paraId="74079830" w14:textId="77777777" w:rsidTr="00875772">
        <w:trPr>
          <w:tblCellSpacing w:w="15" w:type="dxa"/>
        </w:trPr>
        <w:tc>
          <w:tcPr>
            <w:tcW w:w="0" w:type="auto"/>
            <w:shd w:val="clear" w:color="auto" w:fill="C2D69B"/>
            <w:vAlign w:val="center"/>
            <w:hideMark/>
          </w:tcPr>
          <w:p w14:paraId="3A9E784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6C78DEC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04CB0782" w14:textId="77777777" w:rsidTr="00875772">
        <w:trPr>
          <w:tblCellSpacing w:w="15" w:type="dxa"/>
        </w:trPr>
        <w:tc>
          <w:tcPr>
            <w:tcW w:w="0" w:type="auto"/>
            <w:shd w:val="clear" w:color="auto" w:fill="C2D69B"/>
            <w:vAlign w:val="center"/>
            <w:hideMark/>
          </w:tcPr>
          <w:p w14:paraId="62665B4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0BC7A32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5726DB2A" w14:textId="77777777" w:rsidTr="00875772">
        <w:trPr>
          <w:tblCellSpacing w:w="15" w:type="dxa"/>
        </w:trPr>
        <w:tc>
          <w:tcPr>
            <w:tcW w:w="0" w:type="auto"/>
            <w:shd w:val="clear" w:color="auto" w:fill="C2D69B"/>
            <w:vAlign w:val="center"/>
            <w:hideMark/>
          </w:tcPr>
          <w:p w14:paraId="7BEBAEC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1B9C52F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38936025" w14:textId="77777777" w:rsidTr="00875772">
        <w:trPr>
          <w:tblCellSpacing w:w="15" w:type="dxa"/>
        </w:trPr>
        <w:tc>
          <w:tcPr>
            <w:tcW w:w="0" w:type="auto"/>
            <w:shd w:val="clear" w:color="auto" w:fill="C2D69B"/>
            <w:vAlign w:val="center"/>
            <w:hideMark/>
          </w:tcPr>
          <w:p w14:paraId="08B2BE8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4C4382C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54FCE84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0568D44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21A4566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751B0D10" w14:textId="77777777" w:rsidTr="00875772">
        <w:trPr>
          <w:tblCellSpacing w:w="15" w:type="dxa"/>
        </w:trPr>
        <w:tc>
          <w:tcPr>
            <w:tcW w:w="0" w:type="auto"/>
            <w:shd w:val="clear" w:color="auto" w:fill="C2D69B"/>
            <w:vAlign w:val="center"/>
            <w:hideMark/>
          </w:tcPr>
          <w:p w14:paraId="08DC442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052F8EC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0C84E60C"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87.86</w:t>
            </w:r>
            <w:r w:rsidRPr="3E14EAE1">
              <w:rPr>
                <w:rFonts w:eastAsiaTheme="minorEastAsia"/>
                <w:sz w:val="24"/>
                <w:szCs w:val="24"/>
                <w:lang w:eastAsia="sk-SK"/>
              </w:rPr>
              <w:t xml:space="preserve"> </w:t>
            </w:r>
          </w:p>
        </w:tc>
        <w:tc>
          <w:tcPr>
            <w:tcW w:w="0" w:type="auto"/>
            <w:shd w:val="clear" w:color="auto" w:fill="C2D69B"/>
            <w:vAlign w:val="center"/>
            <w:hideMark/>
          </w:tcPr>
          <w:p w14:paraId="617A22F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259C37F2" w14:textId="77777777" w:rsidR="00875772" w:rsidRPr="00116D4B" w:rsidRDefault="00875772" w:rsidP="00875772">
            <w:pPr>
              <w:spacing w:after="0" w:line="240" w:lineRule="auto"/>
              <w:rPr>
                <w:rFonts w:eastAsiaTheme="minorEastAsia"/>
                <w:sz w:val="24"/>
                <w:szCs w:val="24"/>
                <w:lang w:eastAsia="sk-SK"/>
              </w:rPr>
            </w:pPr>
            <w:r w:rsidRPr="00C440F5">
              <w:rPr>
                <w:rFonts w:eastAsiaTheme="minorEastAsia"/>
                <w:sz w:val="20"/>
                <w:szCs w:val="20"/>
                <w:lang w:eastAsia="sk-SK"/>
              </w:rPr>
              <w:t>Dôvodom pre čiastočné splnenie plánu je dlhodobo znížený záujem o poskytovanie sociálnej služby ambulantnou formou v domove sociálnych služieb a ambulantnou a týždennou formou v rehabilitačnom stredisku. Od 01.09.2020 sa zvýšila kapacita špecializovaného zariadenia.</w:t>
            </w:r>
          </w:p>
        </w:tc>
      </w:tr>
    </w:tbl>
    <w:p w14:paraId="29D109F6"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 xml:space="preserve">Prvok 11.1.9: DSS prof. K. </w:t>
      </w:r>
      <w:proofErr w:type="spellStart"/>
      <w:r w:rsidRPr="4F9BDBF9">
        <w:rPr>
          <w:rFonts w:eastAsiaTheme="minorEastAsia"/>
          <w:b/>
          <w:bCs/>
          <w:color w:val="244061"/>
          <w:sz w:val="24"/>
          <w:szCs w:val="24"/>
          <w:lang w:eastAsia="sk-SK"/>
        </w:rPr>
        <w:t>Matulaya</w:t>
      </w:r>
      <w:proofErr w:type="spellEnd"/>
      <w:r w:rsidRPr="4F9BDBF9">
        <w:rPr>
          <w:rFonts w:eastAsiaTheme="minorEastAsia"/>
          <w:b/>
          <w:bCs/>
          <w:color w:val="244061"/>
          <w:sz w:val="24"/>
          <w:szCs w:val="24"/>
          <w:lang w:eastAsia="sk-SK"/>
        </w:rPr>
        <w:t xml:space="preserve"> pre deti a dospelých </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901"/>
        <w:gridCol w:w="1245"/>
        <w:gridCol w:w="1229"/>
        <w:gridCol w:w="1276"/>
        <w:gridCol w:w="850"/>
        <w:gridCol w:w="3095"/>
      </w:tblGrid>
      <w:tr w:rsidR="00875772" w:rsidRPr="00116D4B" w14:paraId="144A1382" w14:textId="77777777" w:rsidTr="00875772">
        <w:trPr>
          <w:tblCellSpacing w:w="15" w:type="dxa"/>
        </w:trPr>
        <w:tc>
          <w:tcPr>
            <w:tcW w:w="825" w:type="dxa"/>
            <w:shd w:val="clear" w:color="auto" w:fill="C6DBF7"/>
            <w:vAlign w:val="center"/>
            <w:hideMark/>
          </w:tcPr>
          <w:p w14:paraId="5377F29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871" w:type="dxa"/>
            <w:shd w:val="clear" w:color="auto" w:fill="C6DBF7"/>
            <w:vAlign w:val="center"/>
            <w:hideMark/>
          </w:tcPr>
          <w:p w14:paraId="3BA35F7B"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Ekonomická </w:t>
            </w:r>
          </w:p>
          <w:p w14:paraId="0592C17C"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klasifikácia</w:t>
            </w:r>
          </w:p>
        </w:tc>
        <w:tc>
          <w:tcPr>
            <w:tcW w:w="1215" w:type="dxa"/>
            <w:shd w:val="clear" w:color="auto" w:fill="C6DBF7"/>
            <w:vAlign w:val="center"/>
            <w:hideMark/>
          </w:tcPr>
          <w:p w14:paraId="6A1576A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99" w:type="dxa"/>
            <w:shd w:val="clear" w:color="auto" w:fill="C6DBF7"/>
            <w:vAlign w:val="center"/>
            <w:hideMark/>
          </w:tcPr>
          <w:p w14:paraId="5476D9B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6E8BEA0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820" w:type="dxa"/>
            <w:shd w:val="clear" w:color="auto" w:fill="C6DBF7"/>
            <w:vAlign w:val="center"/>
            <w:hideMark/>
          </w:tcPr>
          <w:p w14:paraId="089EA5A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050" w:type="dxa"/>
            <w:shd w:val="clear" w:color="auto" w:fill="C6DBF7"/>
            <w:vAlign w:val="center"/>
            <w:hideMark/>
          </w:tcPr>
          <w:p w14:paraId="4945C2A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3C9E4B44" w14:textId="77777777" w:rsidTr="00875772">
        <w:trPr>
          <w:tblCellSpacing w:w="15" w:type="dxa"/>
        </w:trPr>
        <w:tc>
          <w:tcPr>
            <w:tcW w:w="825" w:type="dxa"/>
            <w:shd w:val="clear" w:color="auto" w:fill="D9D9D9" w:themeFill="background1" w:themeFillShade="D9"/>
            <w:noWrap/>
            <w:vAlign w:val="center"/>
            <w:hideMark/>
          </w:tcPr>
          <w:p w14:paraId="78DB1F97" w14:textId="77777777" w:rsidR="00875772" w:rsidRPr="00116D4B" w:rsidRDefault="00875772" w:rsidP="00875772">
            <w:pPr>
              <w:spacing w:after="0" w:line="240" w:lineRule="auto"/>
              <w:jc w:val="center"/>
              <w:rPr>
                <w:rFonts w:eastAsiaTheme="minorEastAsia"/>
                <w:sz w:val="24"/>
                <w:szCs w:val="24"/>
                <w:lang w:eastAsia="sk-SK"/>
              </w:rPr>
            </w:pPr>
          </w:p>
        </w:tc>
        <w:tc>
          <w:tcPr>
            <w:tcW w:w="1871" w:type="dxa"/>
            <w:shd w:val="clear" w:color="auto" w:fill="D9D9D9" w:themeFill="background1" w:themeFillShade="D9"/>
            <w:vAlign w:val="center"/>
            <w:hideMark/>
          </w:tcPr>
          <w:p w14:paraId="0957DAF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15" w:type="dxa"/>
            <w:shd w:val="clear" w:color="auto" w:fill="D9D9D9" w:themeFill="background1" w:themeFillShade="D9"/>
            <w:noWrap/>
            <w:vAlign w:val="center"/>
            <w:hideMark/>
          </w:tcPr>
          <w:p w14:paraId="0A7914E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1 963 600,00</w:t>
            </w:r>
            <w:r w:rsidRPr="4F9BDBF9">
              <w:rPr>
                <w:rFonts w:eastAsiaTheme="minorEastAsia"/>
                <w:sz w:val="24"/>
                <w:szCs w:val="24"/>
                <w:lang w:eastAsia="sk-SK"/>
              </w:rPr>
              <w:t xml:space="preserve"> </w:t>
            </w:r>
          </w:p>
        </w:tc>
        <w:tc>
          <w:tcPr>
            <w:tcW w:w="1199" w:type="dxa"/>
            <w:shd w:val="clear" w:color="auto" w:fill="D9D9D9" w:themeFill="background1" w:themeFillShade="D9"/>
            <w:noWrap/>
            <w:vAlign w:val="center"/>
            <w:hideMark/>
          </w:tcPr>
          <w:p w14:paraId="6224629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2 025 834,41</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28E8532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1 951 518,14</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73CA5CB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96,33</w:t>
            </w:r>
            <w:r w:rsidRPr="4F9BDBF9">
              <w:rPr>
                <w:rFonts w:eastAsiaTheme="minorEastAsia"/>
                <w:sz w:val="24"/>
                <w:szCs w:val="24"/>
                <w:lang w:eastAsia="sk-SK"/>
              </w:rPr>
              <w:t xml:space="preserve"> </w:t>
            </w:r>
          </w:p>
        </w:tc>
        <w:tc>
          <w:tcPr>
            <w:tcW w:w="3050" w:type="dxa"/>
            <w:vMerge w:val="restart"/>
            <w:shd w:val="clear" w:color="auto" w:fill="D9D9D9" w:themeFill="background1" w:themeFillShade="D9"/>
            <w:vAlign w:val="center"/>
            <w:hideMark/>
          </w:tcPr>
          <w:p w14:paraId="355329F3"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+5 861,33 EUR</w:t>
            </w:r>
            <w:r w:rsidRPr="7A505BEE">
              <w:rPr>
                <w:rFonts w:eastAsiaTheme="minorEastAsia"/>
                <w:sz w:val="20"/>
                <w:szCs w:val="20"/>
                <w:lang w:eastAsia="sk-SK"/>
              </w:rPr>
              <w:t xml:space="preserve"> presun z P11.3 na navýšenie mzdových prostriedkov</w:t>
            </w:r>
          </w:p>
          <w:p w14:paraId="527D30E8" w14:textId="77777777" w:rsidR="00875772"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+1 000,00 EUR </w:t>
            </w:r>
            <w:r w:rsidRPr="6450C5FE">
              <w:rPr>
                <w:rFonts w:eastAsiaTheme="minorEastAsia"/>
                <w:sz w:val="20"/>
                <w:szCs w:val="20"/>
                <w:lang w:eastAsia="sk-SK"/>
              </w:rPr>
              <w:t>presun z P11.3 na revitalizáciu ihriska</w:t>
            </w:r>
          </w:p>
          <w:p w14:paraId="27CA281F"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+51 492,00 EUR </w:t>
            </w:r>
            <w:r w:rsidRPr="7A505BEE">
              <w:rPr>
                <w:rFonts w:eastAsiaTheme="minorEastAsia"/>
                <w:sz w:val="20"/>
                <w:szCs w:val="20"/>
                <w:lang w:eastAsia="sk-SK"/>
              </w:rPr>
              <w:t>dotácia z MPSVaR SR  na mimoriadne odmeny pre zamestnancov za I. vlnu pandémie</w:t>
            </w:r>
          </w:p>
          <w:p w14:paraId="11720010"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+4 280,00 EUR </w:t>
            </w:r>
            <w:r w:rsidRPr="7A505BEE">
              <w:rPr>
                <w:rFonts w:eastAsiaTheme="minorEastAsia"/>
                <w:sz w:val="20"/>
                <w:szCs w:val="20"/>
                <w:lang w:eastAsia="sk-SK"/>
              </w:rPr>
              <w:t>dotácia z MPSVaR SR na výživové doplnky (</w:t>
            </w:r>
            <w:proofErr w:type="spellStart"/>
            <w:r w:rsidRPr="7A505BEE">
              <w:rPr>
                <w:rFonts w:eastAsiaTheme="minorEastAsia"/>
                <w:sz w:val="20"/>
                <w:szCs w:val="20"/>
                <w:lang w:eastAsia="sk-SK"/>
              </w:rPr>
              <w:t>vit</w:t>
            </w:r>
            <w:proofErr w:type="spellEnd"/>
            <w:r w:rsidRPr="7A505BEE">
              <w:rPr>
                <w:rFonts w:eastAsiaTheme="minorEastAsia"/>
                <w:sz w:val="20"/>
                <w:szCs w:val="20"/>
                <w:lang w:eastAsia="sk-SK"/>
              </w:rPr>
              <w:t>. D3)</w:t>
            </w:r>
          </w:p>
          <w:p w14:paraId="5D790E46"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+744,10 EUR </w:t>
            </w:r>
            <w:r w:rsidRPr="7A505BEE">
              <w:rPr>
                <w:rFonts w:eastAsiaTheme="minorEastAsia"/>
                <w:sz w:val="20"/>
                <w:szCs w:val="20"/>
                <w:lang w:eastAsia="sk-SK"/>
              </w:rPr>
              <w:t xml:space="preserve"> finančný príspevok z dotácie </w:t>
            </w:r>
            <w:proofErr w:type="spellStart"/>
            <w:r w:rsidRPr="7A505BEE">
              <w:rPr>
                <w:rFonts w:eastAsiaTheme="minorEastAsia"/>
                <w:sz w:val="20"/>
                <w:szCs w:val="20"/>
                <w:lang w:eastAsia="sk-SK"/>
              </w:rPr>
              <w:t>PdF</w:t>
            </w:r>
            <w:proofErr w:type="spellEnd"/>
            <w:r w:rsidRPr="7A505BEE">
              <w:rPr>
                <w:rFonts w:eastAsiaTheme="minorEastAsia"/>
                <w:sz w:val="20"/>
                <w:szCs w:val="20"/>
                <w:lang w:eastAsia="sk-SK"/>
              </w:rPr>
              <w:t xml:space="preserve"> UK na pedagogické praxe</w:t>
            </w:r>
          </w:p>
          <w:p w14:paraId="08257092"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+69,24 EUR </w:t>
            </w:r>
            <w:r w:rsidRPr="7A505BEE">
              <w:rPr>
                <w:rFonts w:eastAsiaTheme="minorEastAsia"/>
                <w:sz w:val="20"/>
                <w:szCs w:val="20"/>
                <w:lang w:eastAsia="sk-SK"/>
              </w:rPr>
              <w:t>finančný príspevok z ÚPSVaR SR z roku 2019</w:t>
            </w:r>
          </w:p>
          <w:p w14:paraId="1F5C3C0D"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+2 595,70 EUR </w:t>
            </w:r>
            <w:r w:rsidRPr="7A505BEE">
              <w:rPr>
                <w:rFonts w:eastAsiaTheme="minorEastAsia"/>
                <w:sz w:val="20"/>
                <w:szCs w:val="20"/>
                <w:lang w:eastAsia="sk-SK"/>
              </w:rPr>
              <w:t>dary a granty</w:t>
            </w:r>
          </w:p>
          <w:p w14:paraId="30787C3D"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-6 007,96 EUR</w:t>
            </w:r>
            <w:r w:rsidRPr="7A505BEE">
              <w:rPr>
                <w:rFonts w:eastAsiaTheme="minorEastAsia"/>
                <w:sz w:val="20"/>
                <w:szCs w:val="20"/>
                <w:lang w:eastAsia="sk-SK"/>
              </w:rPr>
              <w:t xml:space="preserve"> zníženie rozpočtu BV (</w:t>
            </w:r>
            <w:proofErr w:type="spellStart"/>
            <w:r w:rsidRPr="7A505BEE">
              <w:rPr>
                <w:rFonts w:eastAsiaTheme="minorEastAsia"/>
                <w:sz w:val="20"/>
                <w:szCs w:val="20"/>
                <w:lang w:eastAsia="sk-SK"/>
              </w:rPr>
              <w:t>Uzn</w:t>
            </w:r>
            <w:proofErr w:type="spellEnd"/>
            <w:r w:rsidRPr="7A505BEE">
              <w:rPr>
                <w:rFonts w:eastAsiaTheme="minorEastAsia"/>
                <w:sz w:val="20"/>
                <w:szCs w:val="20"/>
                <w:lang w:eastAsia="sk-SK"/>
              </w:rPr>
              <w:t>. 247/2020 z 29.5.2020) z dôvodu nenaplnených daňových príjmov</w:t>
            </w:r>
          </w:p>
          <w:p w14:paraId="19430EDF"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+2 200,00 EUR </w:t>
            </w:r>
            <w:r w:rsidRPr="7A505BEE">
              <w:rPr>
                <w:rFonts w:eastAsiaTheme="minorEastAsia"/>
                <w:sz w:val="20"/>
                <w:szCs w:val="20"/>
                <w:lang w:eastAsia="sk-SK"/>
              </w:rPr>
              <w:t>inštalácia nových prvkov inkluzívneho ihriska</w:t>
            </w:r>
          </w:p>
        </w:tc>
      </w:tr>
      <w:tr w:rsidR="00875772" w:rsidRPr="00116D4B" w14:paraId="5A992194" w14:textId="77777777" w:rsidTr="00875772">
        <w:trPr>
          <w:tblCellSpacing w:w="15" w:type="dxa"/>
        </w:trPr>
        <w:tc>
          <w:tcPr>
            <w:tcW w:w="825" w:type="dxa"/>
            <w:shd w:val="clear" w:color="auto" w:fill="D9D9D9" w:themeFill="background1" w:themeFillShade="D9"/>
            <w:noWrap/>
            <w:vAlign w:val="center"/>
            <w:hideMark/>
          </w:tcPr>
          <w:p w14:paraId="1FBA49C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871" w:type="dxa"/>
            <w:shd w:val="clear" w:color="auto" w:fill="D9D9D9" w:themeFill="background1" w:themeFillShade="D9"/>
            <w:vAlign w:val="center"/>
            <w:hideMark/>
          </w:tcPr>
          <w:p w14:paraId="48ACCAC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15" w:type="dxa"/>
            <w:shd w:val="clear" w:color="auto" w:fill="D9D9D9" w:themeFill="background1" w:themeFillShade="D9"/>
            <w:noWrap/>
            <w:vAlign w:val="center"/>
            <w:hideMark/>
          </w:tcPr>
          <w:p w14:paraId="27EC27A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1 963 600,00</w:t>
            </w:r>
            <w:r w:rsidRPr="4F9BDBF9">
              <w:rPr>
                <w:rFonts w:eastAsiaTheme="minorEastAsia"/>
                <w:sz w:val="24"/>
                <w:szCs w:val="24"/>
                <w:lang w:eastAsia="sk-SK"/>
              </w:rPr>
              <w:t xml:space="preserve"> </w:t>
            </w:r>
          </w:p>
        </w:tc>
        <w:tc>
          <w:tcPr>
            <w:tcW w:w="1199" w:type="dxa"/>
            <w:shd w:val="clear" w:color="auto" w:fill="D9D9D9" w:themeFill="background1" w:themeFillShade="D9"/>
            <w:noWrap/>
            <w:vAlign w:val="center"/>
            <w:hideMark/>
          </w:tcPr>
          <w:p w14:paraId="29BB33E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2 023 634,41</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0DC3CC4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1 949 319,14</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2B80E76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96,33</w:t>
            </w:r>
            <w:r w:rsidRPr="4F9BDBF9">
              <w:rPr>
                <w:rFonts w:eastAsiaTheme="minorEastAsia"/>
                <w:sz w:val="24"/>
                <w:szCs w:val="24"/>
                <w:lang w:eastAsia="sk-SK"/>
              </w:rPr>
              <w:t xml:space="preserve"> </w:t>
            </w:r>
          </w:p>
        </w:tc>
        <w:tc>
          <w:tcPr>
            <w:tcW w:w="3050" w:type="dxa"/>
            <w:vMerge/>
            <w:vAlign w:val="center"/>
            <w:hideMark/>
          </w:tcPr>
          <w:p w14:paraId="0B3A6749"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3E99F8A8" w14:textId="77777777" w:rsidTr="00875772">
        <w:trPr>
          <w:tblCellSpacing w:w="15" w:type="dxa"/>
        </w:trPr>
        <w:tc>
          <w:tcPr>
            <w:tcW w:w="825" w:type="dxa"/>
            <w:shd w:val="clear" w:color="auto" w:fill="EFEFEF"/>
            <w:noWrap/>
            <w:vAlign w:val="center"/>
            <w:hideMark/>
          </w:tcPr>
          <w:p w14:paraId="3FA9FE3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871" w:type="dxa"/>
            <w:shd w:val="clear" w:color="auto" w:fill="EFEFEF"/>
            <w:vAlign w:val="center"/>
            <w:hideMark/>
          </w:tcPr>
          <w:p w14:paraId="778B2AF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15" w:type="dxa"/>
            <w:shd w:val="clear" w:color="auto" w:fill="EFEFEF"/>
            <w:noWrap/>
            <w:vAlign w:val="center"/>
            <w:hideMark/>
          </w:tcPr>
          <w:p w14:paraId="30FC70D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1 237 911,00</w:t>
            </w:r>
            <w:r w:rsidRPr="4F9BDBF9">
              <w:rPr>
                <w:rFonts w:eastAsiaTheme="minorEastAsia"/>
                <w:sz w:val="24"/>
                <w:szCs w:val="24"/>
                <w:lang w:eastAsia="sk-SK"/>
              </w:rPr>
              <w:t xml:space="preserve"> </w:t>
            </w:r>
          </w:p>
        </w:tc>
        <w:tc>
          <w:tcPr>
            <w:tcW w:w="1199" w:type="dxa"/>
            <w:shd w:val="clear" w:color="auto" w:fill="EFEFEF"/>
            <w:noWrap/>
            <w:vAlign w:val="center"/>
            <w:hideMark/>
          </w:tcPr>
          <w:p w14:paraId="5F82C96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1 276 835,70</w:t>
            </w:r>
            <w:r w:rsidRPr="4F9BDBF9">
              <w:rPr>
                <w:rFonts w:eastAsiaTheme="minorEastAsia"/>
                <w:sz w:val="24"/>
                <w:szCs w:val="24"/>
                <w:lang w:eastAsia="sk-SK"/>
              </w:rPr>
              <w:t xml:space="preserve"> </w:t>
            </w:r>
          </w:p>
        </w:tc>
        <w:tc>
          <w:tcPr>
            <w:tcW w:w="1246" w:type="dxa"/>
            <w:shd w:val="clear" w:color="auto" w:fill="EFEFEF"/>
            <w:noWrap/>
            <w:vAlign w:val="center"/>
            <w:hideMark/>
          </w:tcPr>
          <w:p w14:paraId="3774EBE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1 244 302,03</w:t>
            </w:r>
            <w:r w:rsidRPr="4F9BDBF9">
              <w:rPr>
                <w:rFonts w:eastAsiaTheme="minorEastAsia"/>
                <w:sz w:val="24"/>
                <w:szCs w:val="24"/>
                <w:lang w:eastAsia="sk-SK"/>
              </w:rPr>
              <w:t xml:space="preserve"> </w:t>
            </w:r>
          </w:p>
        </w:tc>
        <w:tc>
          <w:tcPr>
            <w:tcW w:w="820" w:type="dxa"/>
            <w:shd w:val="clear" w:color="auto" w:fill="EFEFEF"/>
            <w:noWrap/>
            <w:vAlign w:val="center"/>
            <w:hideMark/>
          </w:tcPr>
          <w:p w14:paraId="1B89D57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97,45</w:t>
            </w:r>
            <w:r w:rsidRPr="4F9BDBF9">
              <w:rPr>
                <w:rFonts w:eastAsiaTheme="minorEastAsia"/>
                <w:sz w:val="24"/>
                <w:szCs w:val="24"/>
                <w:lang w:eastAsia="sk-SK"/>
              </w:rPr>
              <w:t xml:space="preserve"> </w:t>
            </w:r>
          </w:p>
        </w:tc>
        <w:tc>
          <w:tcPr>
            <w:tcW w:w="3050" w:type="dxa"/>
            <w:vMerge/>
            <w:vAlign w:val="center"/>
            <w:hideMark/>
          </w:tcPr>
          <w:p w14:paraId="11CE9E42"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4CD79751" w14:textId="77777777" w:rsidTr="00875772">
        <w:trPr>
          <w:tblCellSpacing w:w="15" w:type="dxa"/>
        </w:trPr>
        <w:tc>
          <w:tcPr>
            <w:tcW w:w="825" w:type="dxa"/>
            <w:shd w:val="clear" w:color="auto" w:fill="EFEFEF"/>
            <w:noWrap/>
            <w:vAlign w:val="center"/>
            <w:hideMark/>
          </w:tcPr>
          <w:p w14:paraId="33E5251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871" w:type="dxa"/>
            <w:shd w:val="clear" w:color="auto" w:fill="EFEFEF"/>
            <w:vAlign w:val="center"/>
            <w:hideMark/>
          </w:tcPr>
          <w:p w14:paraId="78CCB7F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15" w:type="dxa"/>
            <w:shd w:val="clear" w:color="auto" w:fill="EFEFEF"/>
            <w:noWrap/>
            <w:vAlign w:val="center"/>
            <w:hideMark/>
          </w:tcPr>
          <w:p w14:paraId="60B9C1E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450 786,00</w:t>
            </w:r>
            <w:r w:rsidRPr="4F9BDBF9">
              <w:rPr>
                <w:rFonts w:eastAsiaTheme="minorEastAsia"/>
                <w:sz w:val="24"/>
                <w:szCs w:val="24"/>
                <w:lang w:eastAsia="sk-SK"/>
              </w:rPr>
              <w:t xml:space="preserve"> </w:t>
            </w:r>
          </w:p>
        </w:tc>
        <w:tc>
          <w:tcPr>
            <w:tcW w:w="1199" w:type="dxa"/>
            <w:shd w:val="clear" w:color="auto" w:fill="EFEFEF"/>
            <w:noWrap/>
            <w:vAlign w:val="center"/>
            <w:hideMark/>
          </w:tcPr>
          <w:p w14:paraId="51500EC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465 951,31</w:t>
            </w:r>
            <w:r w:rsidRPr="4F9BDBF9">
              <w:rPr>
                <w:rFonts w:eastAsiaTheme="minorEastAsia"/>
                <w:sz w:val="24"/>
                <w:szCs w:val="24"/>
                <w:lang w:eastAsia="sk-SK"/>
              </w:rPr>
              <w:t xml:space="preserve"> </w:t>
            </w:r>
          </w:p>
        </w:tc>
        <w:tc>
          <w:tcPr>
            <w:tcW w:w="1246" w:type="dxa"/>
            <w:shd w:val="clear" w:color="auto" w:fill="EFEFEF"/>
            <w:noWrap/>
            <w:vAlign w:val="center"/>
            <w:hideMark/>
          </w:tcPr>
          <w:p w14:paraId="07540F6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445 123,16</w:t>
            </w:r>
            <w:r w:rsidRPr="4F9BDBF9">
              <w:rPr>
                <w:rFonts w:eastAsiaTheme="minorEastAsia"/>
                <w:sz w:val="24"/>
                <w:szCs w:val="24"/>
                <w:lang w:eastAsia="sk-SK"/>
              </w:rPr>
              <w:t xml:space="preserve"> </w:t>
            </w:r>
          </w:p>
        </w:tc>
        <w:tc>
          <w:tcPr>
            <w:tcW w:w="820" w:type="dxa"/>
            <w:shd w:val="clear" w:color="auto" w:fill="EFEFEF"/>
            <w:noWrap/>
            <w:vAlign w:val="center"/>
            <w:hideMark/>
          </w:tcPr>
          <w:p w14:paraId="3EDEFEB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95,53</w:t>
            </w:r>
            <w:r w:rsidRPr="4F9BDBF9">
              <w:rPr>
                <w:rFonts w:eastAsiaTheme="minorEastAsia"/>
                <w:sz w:val="24"/>
                <w:szCs w:val="24"/>
                <w:lang w:eastAsia="sk-SK"/>
              </w:rPr>
              <w:t xml:space="preserve"> </w:t>
            </w:r>
          </w:p>
        </w:tc>
        <w:tc>
          <w:tcPr>
            <w:tcW w:w="3050" w:type="dxa"/>
            <w:vMerge/>
            <w:vAlign w:val="center"/>
            <w:hideMark/>
          </w:tcPr>
          <w:p w14:paraId="0BDD88D9"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1D7663E" w14:textId="77777777" w:rsidTr="00875772">
        <w:trPr>
          <w:tblCellSpacing w:w="15" w:type="dxa"/>
        </w:trPr>
        <w:tc>
          <w:tcPr>
            <w:tcW w:w="825" w:type="dxa"/>
            <w:shd w:val="clear" w:color="auto" w:fill="EFEFEF"/>
            <w:noWrap/>
            <w:vAlign w:val="center"/>
            <w:hideMark/>
          </w:tcPr>
          <w:p w14:paraId="05D4D7E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871" w:type="dxa"/>
            <w:shd w:val="clear" w:color="auto" w:fill="EFEFEF"/>
            <w:vAlign w:val="center"/>
            <w:hideMark/>
          </w:tcPr>
          <w:p w14:paraId="516B1B0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15" w:type="dxa"/>
            <w:shd w:val="clear" w:color="auto" w:fill="EFEFEF"/>
            <w:noWrap/>
            <w:vAlign w:val="center"/>
            <w:hideMark/>
          </w:tcPr>
          <w:p w14:paraId="14F87CD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264 656,00</w:t>
            </w:r>
            <w:r w:rsidRPr="4F9BDBF9">
              <w:rPr>
                <w:rFonts w:eastAsiaTheme="minorEastAsia"/>
                <w:sz w:val="24"/>
                <w:szCs w:val="24"/>
                <w:lang w:eastAsia="sk-SK"/>
              </w:rPr>
              <w:t xml:space="preserve"> </w:t>
            </w:r>
          </w:p>
        </w:tc>
        <w:tc>
          <w:tcPr>
            <w:tcW w:w="1199" w:type="dxa"/>
            <w:shd w:val="clear" w:color="auto" w:fill="EFEFEF"/>
            <w:noWrap/>
            <w:vAlign w:val="center"/>
            <w:hideMark/>
          </w:tcPr>
          <w:p w14:paraId="1BD903E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266 600,40</w:t>
            </w:r>
            <w:r w:rsidRPr="4F9BDBF9">
              <w:rPr>
                <w:rFonts w:eastAsiaTheme="minorEastAsia"/>
                <w:sz w:val="24"/>
                <w:szCs w:val="24"/>
                <w:lang w:eastAsia="sk-SK"/>
              </w:rPr>
              <w:t xml:space="preserve"> </w:t>
            </w:r>
          </w:p>
        </w:tc>
        <w:tc>
          <w:tcPr>
            <w:tcW w:w="1246" w:type="dxa"/>
            <w:shd w:val="clear" w:color="auto" w:fill="EFEFEF"/>
            <w:noWrap/>
            <w:vAlign w:val="center"/>
            <w:hideMark/>
          </w:tcPr>
          <w:p w14:paraId="6F78055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248 600,29</w:t>
            </w:r>
            <w:r w:rsidRPr="4F9BDBF9">
              <w:rPr>
                <w:rFonts w:eastAsiaTheme="minorEastAsia"/>
                <w:sz w:val="24"/>
                <w:szCs w:val="24"/>
                <w:lang w:eastAsia="sk-SK"/>
              </w:rPr>
              <w:t xml:space="preserve"> </w:t>
            </w:r>
          </w:p>
        </w:tc>
        <w:tc>
          <w:tcPr>
            <w:tcW w:w="820" w:type="dxa"/>
            <w:shd w:val="clear" w:color="auto" w:fill="EFEFEF"/>
            <w:noWrap/>
            <w:vAlign w:val="center"/>
            <w:hideMark/>
          </w:tcPr>
          <w:p w14:paraId="6A72CD6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93,25</w:t>
            </w:r>
            <w:r w:rsidRPr="4F9BDBF9">
              <w:rPr>
                <w:rFonts w:eastAsiaTheme="minorEastAsia"/>
                <w:sz w:val="24"/>
                <w:szCs w:val="24"/>
                <w:lang w:eastAsia="sk-SK"/>
              </w:rPr>
              <w:t xml:space="preserve"> </w:t>
            </w:r>
          </w:p>
        </w:tc>
        <w:tc>
          <w:tcPr>
            <w:tcW w:w="3050" w:type="dxa"/>
            <w:vMerge/>
            <w:vAlign w:val="center"/>
            <w:hideMark/>
          </w:tcPr>
          <w:p w14:paraId="513FA630"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73441D19" w14:textId="77777777" w:rsidTr="00875772">
        <w:trPr>
          <w:tblCellSpacing w:w="15" w:type="dxa"/>
        </w:trPr>
        <w:tc>
          <w:tcPr>
            <w:tcW w:w="825" w:type="dxa"/>
            <w:shd w:val="clear" w:color="auto" w:fill="EFEFEF"/>
            <w:noWrap/>
            <w:vAlign w:val="center"/>
            <w:hideMark/>
          </w:tcPr>
          <w:p w14:paraId="0F7A141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871" w:type="dxa"/>
            <w:shd w:val="clear" w:color="auto" w:fill="EFEFEF"/>
            <w:vAlign w:val="center"/>
            <w:hideMark/>
          </w:tcPr>
          <w:p w14:paraId="59619FB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15" w:type="dxa"/>
            <w:shd w:val="clear" w:color="auto" w:fill="EFEFEF"/>
            <w:noWrap/>
            <w:vAlign w:val="center"/>
            <w:hideMark/>
          </w:tcPr>
          <w:p w14:paraId="1138A51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10 247,00</w:t>
            </w:r>
            <w:r w:rsidRPr="4F9BDBF9">
              <w:rPr>
                <w:rFonts w:eastAsiaTheme="minorEastAsia"/>
                <w:sz w:val="24"/>
                <w:szCs w:val="24"/>
                <w:lang w:eastAsia="sk-SK"/>
              </w:rPr>
              <w:t xml:space="preserve"> </w:t>
            </w:r>
          </w:p>
        </w:tc>
        <w:tc>
          <w:tcPr>
            <w:tcW w:w="1199" w:type="dxa"/>
            <w:shd w:val="clear" w:color="auto" w:fill="EFEFEF"/>
            <w:noWrap/>
            <w:vAlign w:val="center"/>
            <w:hideMark/>
          </w:tcPr>
          <w:p w14:paraId="45214D8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14 247,00</w:t>
            </w:r>
            <w:r w:rsidRPr="4F9BDBF9">
              <w:rPr>
                <w:rFonts w:eastAsiaTheme="minorEastAsia"/>
                <w:sz w:val="24"/>
                <w:szCs w:val="24"/>
                <w:lang w:eastAsia="sk-SK"/>
              </w:rPr>
              <w:t xml:space="preserve"> </w:t>
            </w:r>
          </w:p>
        </w:tc>
        <w:tc>
          <w:tcPr>
            <w:tcW w:w="1246" w:type="dxa"/>
            <w:shd w:val="clear" w:color="auto" w:fill="EFEFEF"/>
            <w:noWrap/>
            <w:vAlign w:val="center"/>
            <w:hideMark/>
          </w:tcPr>
          <w:p w14:paraId="29A6F68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11 293,66</w:t>
            </w:r>
            <w:r w:rsidRPr="4F9BDBF9">
              <w:rPr>
                <w:rFonts w:eastAsiaTheme="minorEastAsia"/>
                <w:sz w:val="24"/>
                <w:szCs w:val="24"/>
                <w:lang w:eastAsia="sk-SK"/>
              </w:rPr>
              <w:t xml:space="preserve"> </w:t>
            </w:r>
          </w:p>
        </w:tc>
        <w:tc>
          <w:tcPr>
            <w:tcW w:w="820" w:type="dxa"/>
            <w:shd w:val="clear" w:color="auto" w:fill="EFEFEF"/>
            <w:noWrap/>
            <w:vAlign w:val="center"/>
            <w:hideMark/>
          </w:tcPr>
          <w:p w14:paraId="054D4AE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79,27</w:t>
            </w:r>
            <w:r w:rsidRPr="4F9BDBF9">
              <w:rPr>
                <w:rFonts w:eastAsiaTheme="minorEastAsia"/>
                <w:sz w:val="24"/>
                <w:szCs w:val="24"/>
                <w:lang w:eastAsia="sk-SK"/>
              </w:rPr>
              <w:t xml:space="preserve"> </w:t>
            </w:r>
          </w:p>
        </w:tc>
        <w:tc>
          <w:tcPr>
            <w:tcW w:w="3050" w:type="dxa"/>
            <w:vMerge/>
            <w:vAlign w:val="center"/>
            <w:hideMark/>
          </w:tcPr>
          <w:p w14:paraId="013F44E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379B781C" w14:textId="77777777" w:rsidTr="00875772">
        <w:trPr>
          <w:tblCellSpacing w:w="15" w:type="dxa"/>
        </w:trPr>
        <w:tc>
          <w:tcPr>
            <w:tcW w:w="825" w:type="dxa"/>
            <w:shd w:val="clear" w:color="auto" w:fill="D9D9D9" w:themeFill="background1" w:themeFillShade="D9"/>
            <w:noWrap/>
            <w:vAlign w:val="center"/>
            <w:hideMark/>
          </w:tcPr>
          <w:p w14:paraId="171D429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700</w:t>
            </w:r>
            <w:r w:rsidRPr="4F9BDBF9">
              <w:rPr>
                <w:rFonts w:eastAsiaTheme="minorEastAsia"/>
                <w:sz w:val="24"/>
                <w:szCs w:val="24"/>
                <w:lang w:eastAsia="sk-SK"/>
              </w:rPr>
              <w:t xml:space="preserve"> </w:t>
            </w:r>
          </w:p>
        </w:tc>
        <w:tc>
          <w:tcPr>
            <w:tcW w:w="1871" w:type="dxa"/>
            <w:shd w:val="clear" w:color="auto" w:fill="D9D9D9" w:themeFill="background1" w:themeFillShade="D9"/>
            <w:vAlign w:val="center"/>
            <w:hideMark/>
          </w:tcPr>
          <w:p w14:paraId="58907FA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1215" w:type="dxa"/>
            <w:shd w:val="clear" w:color="auto" w:fill="D9D9D9" w:themeFill="background1" w:themeFillShade="D9"/>
            <w:noWrap/>
            <w:vAlign w:val="center"/>
            <w:hideMark/>
          </w:tcPr>
          <w:p w14:paraId="3A7D4F7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1199" w:type="dxa"/>
            <w:shd w:val="clear" w:color="auto" w:fill="D9D9D9" w:themeFill="background1" w:themeFillShade="D9"/>
            <w:noWrap/>
            <w:vAlign w:val="center"/>
            <w:hideMark/>
          </w:tcPr>
          <w:p w14:paraId="745DFAA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2 200,00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546650A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2 199,00</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743206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99,95</w:t>
            </w:r>
            <w:r w:rsidRPr="4F9BDBF9">
              <w:rPr>
                <w:rFonts w:eastAsiaTheme="minorEastAsia"/>
                <w:sz w:val="24"/>
                <w:szCs w:val="24"/>
                <w:lang w:eastAsia="sk-SK"/>
              </w:rPr>
              <w:t xml:space="preserve"> </w:t>
            </w:r>
          </w:p>
        </w:tc>
        <w:tc>
          <w:tcPr>
            <w:tcW w:w="3050" w:type="dxa"/>
            <w:vMerge/>
            <w:vAlign w:val="center"/>
            <w:hideMark/>
          </w:tcPr>
          <w:p w14:paraId="3E1E9DE0"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3DAF081" w14:textId="77777777" w:rsidTr="00875772">
        <w:trPr>
          <w:tblCellSpacing w:w="15" w:type="dxa"/>
        </w:trPr>
        <w:tc>
          <w:tcPr>
            <w:tcW w:w="825" w:type="dxa"/>
            <w:shd w:val="clear" w:color="auto" w:fill="EFEFEF"/>
            <w:noWrap/>
            <w:vAlign w:val="center"/>
            <w:hideMark/>
          </w:tcPr>
          <w:p w14:paraId="625BACE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710</w:t>
            </w:r>
            <w:r w:rsidRPr="4F9BDBF9">
              <w:rPr>
                <w:rFonts w:eastAsiaTheme="minorEastAsia"/>
                <w:sz w:val="24"/>
                <w:szCs w:val="24"/>
                <w:lang w:eastAsia="sk-SK"/>
              </w:rPr>
              <w:t xml:space="preserve"> </w:t>
            </w:r>
          </w:p>
        </w:tc>
        <w:tc>
          <w:tcPr>
            <w:tcW w:w="1871" w:type="dxa"/>
            <w:shd w:val="clear" w:color="auto" w:fill="EFEFEF"/>
            <w:vAlign w:val="center"/>
            <w:hideMark/>
          </w:tcPr>
          <w:p w14:paraId="7205E95F"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1215" w:type="dxa"/>
            <w:shd w:val="clear" w:color="auto" w:fill="EFEFEF"/>
            <w:noWrap/>
            <w:vAlign w:val="center"/>
            <w:hideMark/>
          </w:tcPr>
          <w:p w14:paraId="67D6C33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1199" w:type="dxa"/>
            <w:shd w:val="clear" w:color="auto" w:fill="EFEFEF"/>
            <w:noWrap/>
            <w:vAlign w:val="center"/>
            <w:hideMark/>
          </w:tcPr>
          <w:p w14:paraId="350C0FC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2 200,00</w:t>
            </w:r>
            <w:r w:rsidRPr="4F9BDBF9">
              <w:rPr>
                <w:rFonts w:eastAsiaTheme="minorEastAsia"/>
                <w:sz w:val="24"/>
                <w:szCs w:val="24"/>
                <w:lang w:eastAsia="sk-SK"/>
              </w:rPr>
              <w:t xml:space="preserve"> </w:t>
            </w:r>
          </w:p>
        </w:tc>
        <w:tc>
          <w:tcPr>
            <w:tcW w:w="1246" w:type="dxa"/>
            <w:shd w:val="clear" w:color="auto" w:fill="EFEFEF"/>
            <w:noWrap/>
            <w:vAlign w:val="center"/>
            <w:hideMark/>
          </w:tcPr>
          <w:p w14:paraId="2AC6870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2 199,00</w:t>
            </w:r>
            <w:r w:rsidRPr="4F9BDBF9">
              <w:rPr>
                <w:rFonts w:eastAsiaTheme="minorEastAsia"/>
                <w:sz w:val="24"/>
                <w:szCs w:val="24"/>
                <w:lang w:eastAsia="sk-SK"/>
              </w:rPr>
              <w:t xml:space="preserve"> </w:t>
            </w:r>
          </w:p>
        </w:tc>
        <w:tc>
          <w:tcPr>
            <w:tcW w:w="820" w:type="dxa"/>
            <w:shd w:val="clear" w:color="auto" w:fill="EFEFEF"/>
            <w:noWrap/>
            <w:vAlign w:val="center"/>
            <w:hideMark/>
          </w:tcPr>
          <w:p w14:paraId="1D3819A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99,95</w:t>
            </w:r>
            <w:r w:rsidRPr="4F9BDBF9">
              <w:rPr>
                <w:rFonts w:eastAsiaTheme="minorEastAsia"/>
                <w:sz w:val="24"/>
                <w:szCs w:val="24"/>
                <w:lang w:eastAsia="sk-SK"/>
              </w:rPr>
              <w:t xml:space="preserve"> </w:t>
            </w:r>
          </w:p>
        </w:tc>
        <w:tc>
          <w:tcPr>
            <w:tcW w:w="3050" w:type="dxa"/>
            <w:vMerge/>
            <w:vAlign w:val="center"/>
            <w:hideMark/>
          </w:tcPr>
          <w:p w14:paraId="0C3CCEEC" w14:textId="77777777" w:rsidR="00875772" w:rsidRPr="00116D4B" w:rsidRDefault="00875772" w:rsidP="00875772">
            <w:pPr>
              <w:spacing w:after="0" w:line="240" w:lineRule="auto"/>
              <w:rPr>
                <w:rFonts w:ascii="Times New Roman" w:hAnsi="Times New Roman"/>
                <w:sz w:val="24"/>
                <w:szCs w:val="24"/>
                <w:lang w:eastAsia="sk-SK"/>
              </w:rPr>
            </w:pPr>
          </w:p>
        </w:tc>
      </w:tr>
    </w:tbl>
    <w:p w14:paraId="51494440"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30BA1D8B" w14:textId="77777777" w:rsidTr="00875772">
        <w:trPr>
          <w:tblCellSpacing w:w="15" w:type="dxa"/>
        </w:trPr>
        <w:tc>
          <w:tcPr>
            <w:tcW w:w="0" w:type="auto"/>
            <w:shd w:val="clear" w:color="auto" w:fill="C2D69B"/>
            <w:vAlign w:val="center"/>
            <w:hideMark/>
          </w:tcPr>
          <w:p w14:paraId="02CC3EB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708EC8C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63478DBB" w14:textId="77777777" w:rsidTr="00875772">
        <w:trPr>
          <w:tblCellSpacing w:w="15" w:type="dxa"/>
        </w:trPr>
        <w:tc>
          <w:tcPr>
            <w:tcW w:w="0" w:type="auto"/>
            <w:shd w:val="clear" w:color="auto" w:fill="C2D69B"/>
            <w:vAlign w:val="center"/>
            <w:hideMark/>
          </w:tcPr>
          <w:p w14:paraId="6F0C296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409D07F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7C75BB05" w14:textId="77777777" w:rsidTr="00875772">
        <w:trPr>
          <w:tblCellSpacing w:w="15" w:type="dxa"/>
        </w:trPr>
        <w:tc>
          <w:tcPr>
            <w:tcW w:w="0" w:type="auto"/>
            <w:shd w:val="clear" w:color="auto" w:fill="C2D69B"/>
            <w:vAlign w:val="center"/>
            <w:hideMark/>
          </w:tcPr>
          <w:p w14:paraId="4B153A9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08749B4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7C561722" w14:textId="77777777" w:rsidTr="00875772">
        <w:trPr>
          <w:tblCellSpacing w:w="15" w:type="dxa"/>
        </w:trPr>
        <w:tc>
          <w:tcPr>
            <w:tcW w:w="0" w:type="auto"/>
            <w:shd w:val="clear" w:color="auto" w:fill="C2D69B"/>
            <w:vAlign w:val="center"/>
            <w:hideMark/>
          </w:tcPr>
          <w:p w14:paraId="4B94B2E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22A09DD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06D40AF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0FB6432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5E3A442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47828E19" w14:textId="77777777" w:rsidTr="00875772">
        <w:trPr>
          <w:tblCellSpacing w:w="15" w:type="dxa"/>
        </w:trPr>
        <w:tc>
          <w:tcPr>
            <w:tcW w:w="0" w:type="auto"/>
            <w:shd w:val="clear" w:color="auto" w:fill="C2D69B"/>
            <w:vAlign w:val="center"/>
            <w:hideMark/>
          </w:tcPr>
          <w:p w14:paraId="0DC27AA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78E8F41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1BEA28B9"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95.73</w:t>
            </w:r>
            <w:r w:rsidRPr="3E14EAE1">
              <w:rPr>
                <w:rFonts w:eastAsiaTheme="minorEastAsia"/>
                <w:sz w:val="24"/>
                <w:szCs w:val="24"/>
                <w:lang w:eastAsia="sk-SK"/>
              </w:rPr>
              <w:t xml:space="preserve"> </w:t>
            </w:r>
          </w:p>
        </w:tc>
        <w:tc>
          <w:tcPr>
            <w:tcW w:w="0" w:type="auto"/>
            <w:shd w:val="clear" w:color="auto" w:fill="C2D69B"/>
            <w:vAlign w:val="center"/>
            <w:hideMark/>
          </w:tcPr>
          <w:p w14:paraId="0129049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1DA113D5" w14:textId="77777777" w:rsidR="00875772" w:rsidRPr="00116D4B" w:rsidRDefault="00875772" w:rsidP="00875772">
            <w:pPr>
              <w:spacing w:after="0" w:line="240" w:lineRule="auto"/>
              <w:jc w:val="center"/>
              <w:rPr>
                <w:rFonts w:eastAsiaTheme="minorEastAsia"/>
                <w:sz w:val="24"/>
                <w:szCs w:val="24"/>
                <w:lang w:eastAsia="sk-SK"/>
              </w:rPr>
            </w:pPr>
          </w:p>
        </w:tc>
      </w:tr>
    </w:tbl>
    <w:p w14:paraId="76923181"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11.1.10: DSS a zariadenie podporovaného bývania MEREMA</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540"/>
        <w:gridCol w:w="1276"/>
        <w:gridCol w:w="1276"/>
        <w:gridCol w:w="1275"/>
        <w:gridCol w:w="993"/>
        <w:gridCol w:w="3236"/>
      </w:tblGrid>
      <w:tr w:rsidR="00875772" w:rsidRPr="00116D4B" w14:paraId="3F951300" w14:textId="77777777" w:rsidTr="00875772">
        <w:trPr>
          <w:tblCellSpacing w:w="15" w:type="dxa"/>
        </w:trPr>
        <w:tc>
          <w:tcPr>
            <w:tcW w:w="825" w:type="dxa"/>
            <w:shd w:val="clear" w:color="auto" w:fill="C6DBF7"/>
            <w:vAlign w:val="center"/>
            <w:hideMark/>
          </w:tcPr>
          <w:p w14:paraId="618210E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510" w:type="dxa"/>
            <w:shd w:val="clear" w:color="auto" w:fill="C6DBF7"/>
            <w:vAlign w:val="center"/>
            <w:hideMark/>
          </w:tcPr>
          <w:p w14:paraId="55CF759D"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Ekonomická </w:t>
            </w:r>
          </w:p>
          <w:p w14:paraId="12DFE001"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klasifikácia</w:t>
            </w:r>
          </w:p>
        </w:tc>
        <w:tc>
          <w:tcPr>
            <w:tcW w:w="1246" w:type="dxa"/>
            <w:shd w:val="clear" w:color="auto" w:fill="C6DBF7"/>
            <w:vAlign w:val="center"/>
            <w:hideMark/>
          </w:tcPr>
          <w:p w14:paraId="31A1434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129EEE7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5" w:type="dxa"/>
            <w:shd w:val="clear" w:color="auto" w:fill="C6DBF7"/>
            <w:vAlign w:val="center"/>
            <w:hideMark/>
          </w:tcPr>
          <w:p w14:paraId="762FCFE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963" w:type="dxa"/>
            <w:shd w:val="clear" w:color="auto" w:fill="C6DBF7"/>
            <w:vAlign w:val="center"/>
            <w:hideMark/>
          </w:tcPr>
          <w:p w14:paraId="2347CE5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191" w:type="dxa"/>
            <w:shd w:val="clear" w:color="auto" w:fill="C6DBF7"/>
            <w:vAlign w:val="center"/>
            <w:hideMark/>
          </w:tcPr>
          <w:p w14:paraId="14C408D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0FC822AE" w14:textId="77777777" w:rsidTr="00875772">
        <w:trPr>
          <w:tblCellSpacing w:w="15" w:type="dxa"/>
        </w:trPr>
        <w:tc>
          <w:tcPr>
            <w:tcW w:w="825" w:type="dxa"/>
            <w:shd w:val="clear" w:color="auto" w:fill="D9D9D9" w:themeFill="background1" w:themeFillShade="D9"/>
            <w:noWrap/>
            <w:vAlign w:val="center"/>
            <w:hideMark/>
          </w:tcPr>
          <w:p w14:paraId="5506C57C" w14:textId="77777777" w:rsidR="00875772" w:rsidRPr="00116D4B" w:rsidRDefault="00875772" w:rsidP="00875772">
            <w:pPr>
              <w:spacing w:after="0" w:line="240" w:lineRule="auto"/>
              <w:jc w:val="center"/>
              <w:rPr>
                <w:rFonts w:eastAsiaTheme="minorEastAsia"/>
                <w:sz w:val="24"/>
                <w:szCs w:val="24"/>
                <w:lang w:eastAsia="sk-SK"/>
              </w:rPr>
            </w:pPr>
          </w:p>
        </w:tc>
        <w:tc>
          <w:tcPr>
            <w:tcW w:w="1510" w:type="dxa"/>
            <w:shd w:val="clear" w:color="auto" w:fill="D9D9D9" w:themeFill="background1" w:themeFillShade="D9"/>
            <w:vAlign w:val="center"/>
            <w:hideMark/>
          </w:tcPr>
          <w:p w14:paraId="7FD301C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5CF755E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1 172 934,91</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17A7647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1 249 519,61</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0BC547F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1 237 462,12</w:t>
            </w:r>
            <w:r w:rsidRPr="4F9BDBF9">
              <w:rPr>
                <w:rFonts w:eastAsiaTheme="minorEastAsia"/>
                <w:sz w:val="24"/>
                <w:szCs w:val="24"/>
                <w:lang w:eastAsia="sk-SK"/>
              </w:rPr>
              <w:t xml:space="preserve"> </w:t>
            </w:r>
          </w:p>
        </w:tc>
        <w:tc>
          <w:tcPr>
            <w:tcW w:w="963" w:type="dxa"/>
            <w:shd w:val="clear" w:color="auto" w:fill="D9D9D9" w:themeFill="background1" w:themeFillShade="D9"/>
            <w:noWrap/>
            <w:vAlign w:val="center"/>
            <w:hideMark/>
          </w:tcPr>
          <w:p w14:paraId="2A66FE2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99,04</w:t>
            </w:r>
            <w:r w:rsidRPr="4F9BDBF9">
              <w:rPr>
                <w:rFonts w:eastAsiaTheme="minorEastAsia"/>
                <w:sz w:val="24"/>
                <w:szCs w:val="24"/>
                <w:lang w:eastAsia="sk-SK"/>
              </w:rPr>
              <w:t xml:space="preserve"> </w:t>
            </w:r>
          </w:p>
        </w:tc>
        <w:tc>
          <w:tcPr>
            <w:tcW w:w="3191" w:type="dxa"/>
            <w:vMerge w:val="restart"/>
            <w:shd w:val="clear" w:color="auto" w:fill="D9D9D9" w:themeFill="background1" w:themeFillShade="D9"/>
            <w:vAlign w:val="center"/>
            <w:hideMark/>
          </w:tcPr>
          <w:p w14:paraId="4C306705"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+20 036,70 EUR</w:t>
            </w:r>
            <w:r w:rsidRPr="7A505BEE">
              <w:rPr>
                <w:rFonts w:eastAsiaTheme="minorEastAsia"/>
                <w:sz w:val="20"/>
                <w:szCs w:val="20"/>
                <w:lang w:eastAsia="sk-SK"/>
              </w:rPr>
              <w:t xml:space="preserve"> presun z P11.3 na navýšenie mzdových prostriedkov</w:t>
            </w:r>
          </w:p>
          <w:p w14:paraId="77ED10A4"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+7 324,00 EUR </w:t>
            </w:r>
            <w:r w:rsidRPr="7A505BEE">
              <w:rPr>
                <w:rFonts w:eastAsiaTheme="minorEastAsia"/>
                <w:sz w:val="20"/>
                <w:szCs w:val="20"/>
                <w:lang w:eastAsia="sk-SK"/>
              </w:rPr>
              <w:t>presun z P11.3 na dezinfekciu a OOPP</w:t>
            </w:r>
          </w:p>
          <w:p w14:paraId="5CA45E02"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+10 108,00 EUR </w:t>
            </w:r>
            <w:r w:rsidRPr="7A505BEE">
              <w:rPr>
                <w:rFonts w:eastAsiaTheme="minorEastAsia"/>
                <w:sz w:val="20"/>
                <w:szCs w:val="20"/>
                <w:lang w:eastAsia="sk-SK"/>
              </w:rPr>
              <w:t>presun z P11.3 na</w:t>
            </w:r>
            <w:r w:rsidRPr="7A505BEE">
              <w:rPr>
                <w:rFonts w:eastAsiaTheme="minorEastAsia"/>
                <w:b/>
                <w:bCs/>
                <w:sz w:val="20"/>
                <w:szCs w:val="20"/>
                <w:lang w:eastAsia="sk-SK"/>
              </w:rPr>
              <w:t xml:space="preserve">  </w:t>
            </w:r>
            <w:r w:rsidRPr="7A505BEE">
              <w:rPr>
                <w:rFonts w:eastAsiaTheme="minorEastAsia"/>
                <w:sz w:val="20"/>
                <w:szCs w:val="20"/>
                <w:lang w:eastAsia="sk-SK"/>
              </w:rPr>
              <w:t>materiálno-technické vybavenie domu na ul. Čsl. armády</w:t>
            </w:r>
          </w:p>
          <w:p w14:paraId="28B76B70"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+37 056,00 EUR </w:t>
            </w:r>
            <w:r w:rsidRPr="7A505BEE">
              <w:rPr>
                <w:rFonts w:eastAsiaTheme="minorEastAsia"/>
                <w:sz w:val="20"/>
                <w:szCs w:val="20"/>
                <w:lang w:eastAsia="sk-SK"/>
              </w:rPr>
              <w:t>MPSVaR SR  na mimoriadne odmeny pre zamestnancov za I. vlnu pandémie</w:t>
            </w:r>
          </w:p>
          <w:p w14:paraId="1FA17311"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+2 060,00 EUR </w:t>
            </w:r>
            <w:r w:rsidRPr="7A505BEE">
              <w:rPr>
                <w:rFonts w:eastAsiaTheme="minorEastAsia"/>
                <w:sz w:val="20"/>
                <w:szCs w:val="20"/>
                <w:lang w:eastAsia="sk-SK"/>
              </w:rPr>
              <w:t>dotácia z MPSVaR SR na výživové doplnky (</w:t>
            </w:r>
            <w:proofErr w:type="spellStart"/>
            <w:r w:rsidRPr="7A505BEE">
              <w:rPr>
                <w:rFonts w:eastAsiaTheme="minorEastAsia"/>
                <w:sz w:val="20"/>
                <w:szCs w:val="20"/>
                <w:lang w:eastAsia="sk-SK"/>
              </w:rPr>
              <w:t>vit</w:t>
            </w:r>
            <w:proofErr w:type="spellEnd"/>
            <w:r w:rsidRPr="7A505BEE">
              <w:rPr>
                <w:rFonts w:eastAsiaTheme="minorEastAsia"/>
                <w:sz w:val="20"/>
                <w:szCs w:val="20"/>
                <w:lang w:eastAsia="sk-SK"/>
              </w:rPr>
              <w:t>. D3)</w:t>
            </w:r>
          </w:p>
        </w:tc>
      </w:tr>
      <w:tr w:rsidR="00875772" w:rsidRPr="00116D4B" w14:paraId="413A93D7" w14:textId="77777777" w:rsidTr="00875772">
        <w:trPr>
          <w:tblCellSpacing w:w="15" w:type="dxa"/>
        </w:trPr>
        <w:tc>
          <w:tcPr>
            <w:tcW w:w="825" w:type="dxa"/>
            <w:shd w:val="clear" w:color="auto" w:fill="D9D9D9" w:themeFill="background1" w:themeFillShade="D9"/>
            <w:noWrap/>
            <w:vAlign w:val="center"/>
            <w:hideMark/>
          </w:tcPr>
          <w:p w14:paraId="0BE715F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510" w:type="dxa"/>
            <w:shd w:val="clear" w:color="auto" w:fill="D9D9D9" w:themeFill="background1" w:themeFillShade="D9"/>
            <w:vAlign w:val="center"/>
            <w:hideMark/>
          </w:tcPr>
          <w:p w14:paraId="3B42C41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0B6A00B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1 172 934,91</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7CA992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1 249 519,61</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1054809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1 237 462,12</w:t>
            </w:r>
            <w:r w:rsidRPr="4F9BDBF9">
              <w:rPr>
                <w:rFonts w:eastAsiaTheme="minorEastAsia"/>
                <w:sz w:val="24"/>
                <w:szCs w:val="24"/>
                <w:lang w:eastAsia="sk-SK"/>
              </w:rPr>
              <w:t xml:space="preserve"> </w:t>
            </w:r>
          </w:p>
        </w:tc>
        <w:tc>
          <w:tcPr>
            <w:tcW w:w="963" w:type="dxa"/>
            <w:shd w:val="clear" w:color="auto" w:fill="D9D9D9" w:themeFill="background1" w:themeFillShade="D9"/>
            <w:noWrap/>
            <w:vAlign w:val="center"/>
            <w:hideMark/>
          </w:tcPr>
          <w:p w14:paraId="14D7185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99,04</w:t>
            </w:r>
            <w:r w:rsidRPr="4F9BDBF9">
              <w:rPr>
                <w:rFonts w:eastAsiaTheme="minorEastAsia"/>
                <w:sz w:val="24"/>
                <w:szCs w:val="24"/>
                <w:lang w:eastAsia="sk-SK"/>
              </w:rPr>
              <w:t xml:space="preserve"> </w:t>
            </w:r>
          </w:p>
        </w:tc>
        <w:tc>
          <w:tcPr>
            <w:tcW w:w="3191" w:type="dxa"/>
            <w:vMerge/>
            <w:shd w:val="clear" w:color="auto" w:fill="D9D9D9" w:themeFill="background1" w:themeFillShade="D9"/>
            <w:vAlign w:val="center"/>
            <w:hideMark/>
          </w:tcPr>
          <w:p w14:paraId="1ACCE359"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24A65292" w14:textId="77777777" w:rsidTr="00875772">
        <w:trPr>
          <w:tblCellSpacing w:w="15" w:type="dxa"/>
        </w:trPr>
        <w:tc>
          <w:tcPr>
            <w:tcW w:w="825" w:type="dxa"/>
            <w:shd w:val="clear" w:color="auto" w:fill="EFEFEF"/>
            <w:noWrap/>
            <w:vAlign w:val="center"/>
            <w:hideMark/>
          </w:tcPr>
          <w:p w14:paraId="7F46760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510" w:type="dxa"/>
            <w:shd w:val="clear" w:color="auto" w:fill="EFEFEF"/>
            <w:vAlign w:val="center"/>
            <w:hideMark/>
          </w:tcPr>
          <w:p w14:paraId="4D2A92A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46" w:type="dxa"/>
            <w:shd w:val="clear" w:color="auto" w:fill="EFEFEF"/>
            <w:noWrap/>
            <w:vAlign w:val="center"/>
            <w:hideMark/>
          </w:tcPr>
          <w:p w14:paraId="75480B3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718 599,54</w:t>
            </w:r>
            <w:r w:rsidRPr="4F9BDBF9">
              <w:rPr>
                <w:rFonts w:eastAsiaTheme="minorEastAsia"/>
                <w:sz w:val="24"/>
                <w:szCs w:val="24"/>
                <w:lang w:eastAsia="sk-SK"/>
              </w:rPr>
              <w:t xml:space="preserve"> </w:t>
            </w:r>
          </w:p>
        </w:tc>
        <w:tc>
          <w:tcPr>
            <w:tcW w:w="1246" w:type="dxa"/>
            <w:shd w:val="clear" w:color="auto" w:fill="EFEFEF"/>
            <w:noWrap/>
            <w:vAlign w:val="center"/>
            <w:hideMark/>
          </w:tcPr>
          <w:p w14:paraId="67E3504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759 984,54</w:t>
            </w:r>
            <w:r w:rsidRPr="4F9BDBF9">
              <w:rPr>
                <w:rFonts w:eastAsiaTheme="minorEastAsia"/>
                <w:sz w:val="24"/>
                <w:szCs w:val="24"/>
                <w:lang w:eastAsia="sk-SK"/>
              </w:rPr>
              <w:t xml:space="preserve"> </w:t>
            </w:r>
          </w:p>
        </w:tc>
        <w:tc>
          <w:tcPr>
            <w:tcW w:w="1245" w:type="dxa"/>
            <w:shd w:val="clear" w:color="auto" w:fill="EFEFEF"/>
            <w:noWrap/>
            <w:vAlign w:val="center"/>
            <w:hideMark/>
          </w:tcPr>
          <w:p w14:paraId="168C04E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755 151,64</w:t>
            </w:r>
            <w:r w:rsidRPr="4F9BDBF9">
              <w:rPr>
                <w:rFonts w:eastAsiaTheme="minorEastAsia"/>
                <w:sz w:val="24"/>
                <w:szCs w:val="24"/>
                <w:lang w:eastAsia="sk-SK"/>
              </w:rPr>
              <w:t xml:space="preserve"> </w:t>
            </w:r>
          </w:p>
        </w:tc>
        <w:tc>
          <w:tcPr>
            <w:tcW w:w="963" w:type="dxa"/>
            <w:shd w:val="clear" w:color="auto" w:fill="EFEFEF"/>
            <w:noWrap/>
            <w:vAlign w:val="center"/>
            <w:hideMark/>
          </w:tcPr>
          <w:p w14:paraId="14A583A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99,36</w:t>
            </w:r>
            <w:r w:rsidRPr="4F9BDBF9">
              <w:rPr>
                <w:rFonts w:eastAsiaTheme="minorEastAsia"/>
                <w:sz w:val="24"/>
                <w:szCs w:val="24"/>
                <w:lang w:eastAsia="sk-SK"/>
              </w:rPr>
              <w:t xml:space="preserve"> </w:t>
            </w:r>
          </w:p>
        </w:tc>
        <w:tc>
          <w:tcPr>
            <w:tcW w:w="3191" w:type="dxa"/>
            <w:vMerge/>
            <w:vAlign w:val="center"/>
            <w:hideMark/>
          </w:tcPr>
          <w:p w14:paraId="2CB7DD02"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CD2E2EE" w14:textId="77777777" w:rsidTr="00875772">
        <w:trPr>
          <w:tblCellSpacing w:w="15" w:type="dxa"/>
        </w:trPr>
        <w:tc>
          <w:tcPr>
            <w:tcW w:w="825" w:type="dxa"/>
            <w:shd w:val="clear" w:color="auto" w:fill="EFEFEF"/>
            <w:noWrap/>
            <w:vAlign w:val="center"/>
            <w:hideMark/>
          </w:tcPr>
          <w:p w14:paraId="1BBA716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510" w:type="dxa"/>
            <w:shd w:val="clear" w:color="auto" w:fill="EFEFEF"/>
            <w:vAlign w:val="center"/>
            <w:hideMark/>
          </w:tcPr>
          <w:p w14:paraId="5A9D1F0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46" w:type="dxa"/>
            <w:shd w:val="clear" w:color="auto" w:fill="EFEFEF"/>
            <w:noWrap/>
            <w:vAlign w:val="center"/>
            <w:hideMark/>
          </w:tcPr>
          <w:p w14:paraId="58BC72F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260 923,46</w:t>
            </w:r>
            <w:r w:rsidRPr="4F9BDBF9">
              <w:rPr>
                <w:rFonts w:eastAsiaTheme="minorEastAsia"/>
                <w:sz w:val="24"/>
                <w:szCs w:val="24"/>
                <w:lang w:eastAsia="sk-SK"/>
              </w:rPr>
              <w:t xml:space="preserve"> </w:t>
            </w:r>
          </w:p>
        </w:tc>
        <w:tc>
          <w:tcPr>
            <w:tcW w:w="1246" w:type="dxa"/>
            <w:shd w:val="clear" w:color="auto" w:fill="EFEFEF"/>
            <w:noWrap/>
            <w:vAlign w:val="center"/>
            <w:hideMark/>
          </w:tcPr>
          <w:p w14:paraId="5093274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270 645,16</w:t>
            </w:r>
            <w:r w:rsidRPr="4F9BDBF9">
              <w:rPr>
                <w:rFonts w:eastAsiaTheme="minorEastAsia"/>
                <w:sz w:val="24"/>
                <w:szCs w:val="24"/>
                <w:lang w:eastAsia="sk-SK"/>
              </w:rPr>
              <w:t xml:space="preserve"> </w:t>
            </w:r>
          </w:p>
        </w:tc>
        <w:tc>
          <w:tcPr>
            <w:tcW w:w="1245" w:type="dxa"/>
            <w:shd w:val="clear" w:color="auto" w:fill="EFEFEF"/>
            <w:noWrap/>
            <w:vAlign w:val="center"/>
            <w:hideMark/>
          </w:tcPr>
          <w:p w14:paraId="3856957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266 925,42</w:t>
            </w:r>
            <w:r w:rsidRPr="4F9BDBF9">
              <w:rPr>
                <w:rFonts w:eastAsiaTheme="minorEastAsia"/>
                <w:sz w:val="24"/>
                <w:szCs w:val="24"/>
                <w:lang w:eastAsia="sk-SK"/>
              </w:rPr>
              <w:t xml:space="preserve"> </w:t>
            </w:r>
          </w:p>
        </w:tc>
        <w:tc>
          <w:tcPr>
            <w:tcW w:w="963" w:type="dxa"/>
            <w:shd w:val="clear" w:color="auto" w:fill="EFEFEF"/>
            <w:noWrap/>
            <w:vAlign w:val="center"/>
            <w:hideMark/>
          </w:tcPr>
          <w:p w14:paraId="6CB041A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98,63</w:t>
            </w:r>
            <w:r w:rsidRPr="4F9BDBF9">
              <w:rPr>
                <w:rFonts w:eastAsiaTheme="minorEastAsia"/>
                <w:sz w:val="24"/>
                <w:szCs w:val="24"/>
                <w:lang w:eastAsia="sk-SK"/>
              </w:rPr>
              <w:t xml:space="preserve"> </w:t>
            </w:r>
          </w:p>
        </w:tc>
        <w:tc>
          <w:tcPr>
            <w:tcW w:w="3191" w:type="dxa"/>
            <w:vMerge/>
            <w:vAlign w:val="center"/>
            <w:hideMark/>
          </w:tcPr>
          <w:p w14:paraId="40D2AA0F"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AFE9B8C" w14:textId="77777777" w:rsidTr="00875772">
        <w:trPr>
          <w:tblCellSpacing w:w="15" w:type="dxa"/>
        </w:trPr>
        <w:tc>
          <w:tcPr>
            <w:tcW w:w="825" w:type="dxa"/>
            <w:shd w:val="clear" w:color="auto" w:fill="EFEFEF"/>
            <w:noWrap/>
            <w:vAlign w:val="center"/>
            <w:hideMark/>
          </w:tcPr>
          <w:p w14:paraId="7158AA5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510" w:type="dxa"/>
            <w:shd w:val="clear" w:color="auto" w:fill="EFEFEF"/>
            <w:vAlign w:val="center"/>
            <w:hideMark/>
          </w:tcPr>
          <w:p w14:paraId="718C8CD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46" w:type="dxa"/>
            <w:shd w:val="clear" w:color="auto" w:fill="EFEFEF"/>
            <w:noWrap/>
            <w:vAlign w:val="center"/>
            <w:hideMark/>
          </w:tcPr>
          <w:p w14:paraId="380348C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188 411,91</w:t>
            </w:r>
            <w:r w:rsidRPr="4F9BDBF9">
              <w:rPr>
                <w:rFonts w:eastAsiaTheme="minorEastAsia"/>
                <w:sz w:val="24"/>
                <w:szCs w:val="24"/>
                <w:lang w:eastAsia="sk-SK"/>
              </w:rPr>
              <w:t xml:space="preserve"> </w:t>
            </w:r>
          </w:p>
        </w:tc>
        <w:tc>
          <w:tcPr>
            <w:tcW w:w="1246" w:type="dxa"/>
            <w:shd w:val="clear" w:color="auto" w:fill="EFEFEF"/>
            <w:noWrap/>
            <w:vAlign w:val="center"/>
            <w:hideMark/>
          </w:tcPr>
          <w:p w14:paraId="710CCBB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206 753,91</w:t>
            </w:r>
            <w:r w:rsidRPr="4F9BDBF9">
              <w:rPr>
                <w:rFonts w:eastAsiaTheme="minorEastAsia"/>
                <w:sz w:val="24"/>
                <w:szCs w:val="24"/>
                <w:lang w:eastAsia="sk-SK"/>
              </w:rPr>
              <w:t xml:space="preserve"> </w:t>
            </w:r>
          </w:p>
        </w:tc>
        <w:tc>
          <w:tcPr>
            <w:tcW w:w="1245" w:type="dxa"/>
            <w:shd w:val="clear" w:color="auto" w:fill="EFEFEF"/>
            <w:noWrap/>
            <w:vAlign w:val="center"/>
            <w:hideMark/>
          </w:tcPr>
          <w:p w14:paraId="12EF42B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204 103,43</w:t>
            </w:r>
            <w:r w:rsidRPr="4F9BDBF9">
              <w:rPr>
                <w:rFonts w:eastAsiaTheme="minorEastAsia"/>
                <w:sz w:val="24"/>
                <w:szCs w:val="24"/>
                <w:lang w:eastAsia="sk-SK"/>
              </w:rPr>
              <w:t xml:space="preserve"> </w:t>
            </w:r>
          </w:p>
        </w:tc>
        <w:tc>
          <w:tcPr>
            <w:tcW w:w="963" w:type="dxa"/>
            <w:shd w:val="clear" w:color="auto" w:fill="EFEFEF"/>
            <w:noWrap/>
            <w:vAlign w:val="center"/>
            <w:hideMark/>
          </w:tcPr>
          <w:p w14:paraId="7FDFDC7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98,72</w:t>
            </w:r>
            <w:r w:rsidRPr="4F9BDBF9">
              <w:rPr>
                <w:rFonts w:eastAsiaTheme="minorEastAsia"/>
                <w:sz w:val="24"/>
                <w:szCs w:val="24"/>
                <w:lang w:eastAsia="sk-SK"/>
              </w:rPr>
              <w:t xml:space="preserve"> </w:t>
            </w:r>
          </w:p>
        </w:tc>
        <w:tc>
          <w:tcPr>
            <w:tcW w:w="3191" w:type="dxa"/>
            <w:vMerge/>
            <w:vAlign w:val="center"/>
            <w:hideMark/>
          </w:tcPr>
          <w:p w14:paraId="4A19CDF2"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F1321C6" w14:textId="77777777" w:rsidTr="00875772">
        <w:trPr>
          <w:tblCellSpacing w:w="15" w:type="dxa"/>
        </w:trPr>
        <w:tc>
          <w:tcPr>
            <w:tcW w:w="825" w:type="dxa"/>
            <w:shd w:val="clear" w:color="auto" w:fill="EFEFEF"/>
            <w:noWrap/>
            <w:vAlign w:val="center"/>
            <w:hideMark/>
          </w:tcPr>
          <w:p w14:paraId="74A2338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510" w:type="dxa"/>
            <w:shd w:val="clear" w:color="auto" w:fill="EFEFEF"/>
            <w:vAlign w:val="center"/>
            <w:hideMark/>
          </w:tcPr>
          <w:p w14:paraId="0D9EE06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46" w:type="dxa"/>
            <w:shd w:val="clear" w:color="auto" w:fill="EFEFEF"/>
            <w:noWrap/>
            <w:vAlign w:val="center"/>
            <w:hideMark/>
          </w:tcPr>
          <w:p w14:paraId="2314026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5 000,00</w:t>
            </w:r>
            <w:r w:rsidRPr="4F9BDBF9">
              <w:rPr>
                <w:rFonts w:eastAsiaTheme="minorEastAsia"/>
                <w:sz w:val="24"/>
                <w:szCs w:val="24"/>
                <w:lang w:eastAsia="sk-SK"/>
              </w:rPr>
              <w:t xml:space="preserve"> </w:t>
            </w:r>
          </w:p>
        </w:tc>
        <w:tc>
          <w:tcPr>
            <w:tcW w:w="1246" w:type="dxa"/>
            <w:shd w:val="clear" w:color="auto" w:fill="EFEFEF"/>
            <w:noWrap/>
            <w:vAlign w:val="center"/>
            <w:hideMark/>
          </w:tcPr>
          <w:p w14:paraId="51ADC0C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12 136,00</w:t>
            </w:r>
            <w:r w:rsidRPr="4F9BDBF9">
              <w:rPr>
                <w:rFonts w:eastAsiaTheme="minorEastAsia"/>
                <w:sz w:val="24"/>
                <w:szCs w:val="24"/>
                <w:lang w:eastAsia="sk-SK"/>
              </w:rPr>
              <w:t xml:space="preserve"> </w:t>
            </w:r>
          </w:p>
        </w:tc>
        <w:tc>
          <w:tcPr>
            <w:tcW w:w="1245" w:type="dxa"/>
            <w:shd w:val="clear" w:color="auto" w:fill="EFEFEF"/>
            <w:noWrap/>
            <w:vAlign w:val="center"/>
            <w:hideMark/>
          </w:tcPr>
          <w:p w14:paraId="11C8659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11 281,63</w:t>
            </w:r>
            <w:r w:rsidRPr="4F9BDBF9">
              <w:rPr>
                <w:rFonts w:eastAsiaTheme="minorEastAsia"/>
                <w:sz w:val="24"/>
                <w:szCs w:val="24"/>
                <w:lang w:eastAsia="sk-SK"/>
              </w:rPr>
              <w:t xml:space="preserve"> </w:t>
            </w:r>
          </w:p>
        </w:tc>
        <w:tc>
          <w:tcPr>
            <w:tcW w:w="963" w:type="dxa"/>
            <w:shd w:val="clear" w:color="auto" w:fill="EFEFEF"/>
            <w:noWrap/>
            <w:vAlign w:val="center"/>
            <w:hideMark/>
          </w:tcPr>
          <w:p w14:paraId="4FEDEB2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92,96</w:t>
            </w:r>
            <w:r w:rsidRPr="4F9BDBF9">
              <w:rPr>
                <w:rFonts w:eastAsiaTheme="minorEastAsia"/>
                <w:sz w:val="24"/>
                <w:szCs w:val="24"/>
                <w:lang w:eastAsia="sk-SK"/>
              </w:rPr>
              <w:t xml:space="preserve"> </w:t>
            </w:r>
          </w:p>
        </w:tc>
        <w:tc>
          <w:tcPr>
            <w:tcW w:w="3191" w:type="dxa"/>
            <w:vMerge/>
            <w:vAlign w:val="center"/>
            <w:hideMark/>
          </w:tcPr>
          <w:p w14:paraId="75642CAF" w14:textId="77777777" w:rsidR="00875772" w:rsidRPr="00116D4B" w:rsidRDefault="00875772" w:rsidP="00875772">
            <w:pPr>
              <w:spacing w:after="0" w:line="240" w:lineRule="auto"/>
              <w:rPr>
                <w:rFonts w:ascii="Times New Roman" w:hAnsi="Times New Roman"/>
                <w:sz w:val="24"/>
                <w:szCs w:val="24"/>
                <w:lang w:eastAsia="sk-SK"/>
              </w:rPr>
            </w:pPr>
          </w:p>
        </w:tc>
      </w:tr>
    </w:tbl>
    <w:p w14:paraId="3C03677F"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1445A7A5" w14:textId="77777777" w:rsidTr="00875772">
        <w:trPr>
          <w:tblCellSpacing w:w="15" w:type="dxa"/>
        </w:trPr>
        <w:tc>
          <w:tcPr>
            <w:tcW w:w="0" w:type="auto"/>
            <w:shd w:val="clear" w:color="auto" w:fill="C2D69B"/>
            <w:vAlign w:val="center"/>
            <w:hideMark/>
          </w:tcPr>
          <w:p w14:paraId="69A6405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29FE1A5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4D42A543" w14:textId="77777777" w:rsidTr="00875772">
        <w:trPr>
          <w:tblCellSpacing w:w="15" w:type="dxa"/>
        </w:trPr>
        <w:tc>
          <w:tcPr>
            <w:tcW w:w="0" w:type="auto"/>
            <w:shd w:val="clear" w:color="auto" w:fill="C2D69B"/>
            <w:vAlign w:val="center"/>
            <w:hideMark/>
          </w:tcPr>
          <w:p w14:paraId="4F3D1A3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76238F7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1270D3B6" w14:textId="77777777" w:rsidTr="00875772">
        <w:trPr>
          <w:tblCellSpacing w:w="15" w:type="dxa"/>
        </w:trPr>
        <w:tc>
          <w:tcPr>
            <w:tcW w:w="0" w:type="auto"/>
            <w:shd w:val="clear" w:color="auto" w:fill="C2D69B"/>
            <w:vAlign w:val="center"/>
            <w:hideMark/>
          </w:tcPr>
          <w:p w14:paraId="10CAD2A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4FFF5BC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1421213B" w14:textId="77777777" w:rsidTr="00875772">
        <w:trPr>
          <w:tblCellSpacing w:w="15" w:type="dxa"/>
        </w:trPr>
        <w:tc>
          <w:tcPr>
            <w:tcW w:w="0" w:type="auto"/>
            <w:shd w:val="clear" w:color="auto" w:fill="C2D69B"/>
            <w:vAlign w:val="center"/>
            <w:hideMark/>
          </w:tcPr>
          <w:p w14:paraId="0D76AE9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1D1540B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536035C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2CFBB47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4F47E4C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650AF7A6" w14:textId="77777777" w:rsidTr="00875772">
        <w:trPr>
          <w:tblCellSpacing w:w="15" w:type="dxa"/>
        </w:trPr>
        <w:tc>
          <w:tcPr>
            <w:tcW w:w="0" w:type="auto"/>
            <w:shd w:val="clear" w:color="auto" w:fill="C2D69B"/>
            <w:vAlign w:val="center"/>
            <w:hideMark/>
          </w:tcPr>
          <w:p w14:paraId="560493F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08AD928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05D9E037"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94</w:t>
            </w:r>
          </w:p>
        </w:tc>
        <w:tc>
          <w:tcPr>
            <w:tcW w:w="0" w:type="auto"/>
            <w:shd w:val="clear" w:color="auto" w:fill="C2D69B"/>
            <w:vAlign w:val="center"/>
            <w:hideMark/>
          </w:tcPr>
          <w:p w14:paraId="127B5BC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217D7555" w14:textId="77777777" w:rsidR="00875772" w:rsidRPr="00116D4B" w:rsidRDefault="00875772" w:rsidP="00875772">
            <w:pPr>
              <w:spacing w:after="0" w:line="240" w:lineRule="auto"/>
              <w:jc w:val="center"/>
              <w:rPr>
                <w:rFonts w:eastAsiaTheme="minorEastAsia"/>
                <w:sz w:val="24"/>
                <w:szCs w:val="24"/>
                <w:lang w:eastAsia="sk-SK"/>
              </w:rPr>
            </w:pPr>
          </w:p>
        </w:tc>
      </w:tr>
    </w:tbl>
    <w:p w14:paraId="70CB76DD"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11.1.11: GAUDEAMUS - zariadenie komunitnej rehabilitácie</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537"/>
        <w:gridCol w:w="492"/>
        <w:gridCol w:w="630"/>
        <w:gridCol w:w="30"/>
        <w:gridCol w:w="1276"/>
        <w:gridCol w:w="186"/>
        <w:gridCol w:w="948"/>
        <w:gridCol w:w="335"/>
        <w:gridCol w:w="657"/>
        <w:gridCol w:w="3505"/>
      </w:tblGrid>
      <w:tr w:rsidR="00875772" w:rsidRPr="00116D4B" w14:paraId="342A8B9A" w14:textId="77777777" w:rsidTr="00875772">
        <w:trPr>
          <w:tblCellSpacing w:w="15" w:type="dxa"/>
        </w:trPr>
        <w:tc>
          <w:tcPr>
            <w:tcW w:w="825" w:type="dxa"/>
            <w:shd w:val="clear" w:color="auto" w:fill="C6DBF7"/>
            <w:vAlign w:val="center"/>
            <w:hideMark/>
          </w:tcPr>
          <w:p w14:paraId="489BFB2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510" w:type="dxa"/>
            <w:shd w:val="clear" w:color="auto" w:fill="C6DBF7"/>
            <w:vAlign w:val="center"/>
            <w:hideMark/>
          </w:tcPr>
          <w:p w14:paraId="22FE5B7D"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Ekonomická </w:t>
            </w:r>
          </w:p>
          <w:p w14:paraId="130881DC" w14:textId="77777777" w:rsidR="00875772" w:rsidRPr="00116D4B" w:rsidRDefault="00875772" w:rsidP="00875772">
            <w:pPr>
              <w:spacing w:after="0" w:line="240" w:lineRule="auto"/>
              <w:jc w:val="center"/>
              <w:rPr>
                <w:rFonts w:eastAsiaTheme="minorEastAsia"/>
                <w:sz w:val="24"/>
                <w:szCs w:val="24"/>
                <w:lang w:eastAsia="sk-SK"/>
              </w:rPr>
            </w:pPr>
            <w:r w:rsidRPr="7A505BEE">
              <w:rPr>
                <w:rFonts w:eastAsiaTheme="minorEastAsia"/>
                <w:b/>
                <w:bCs/>
                <w:sz w:val="20"/>
                <w:szCs w:val="20"/>
                <w:lang w:eastAsia="sk-SK"/>
              </w:rPr>
              <w:t>klasifikácia</w:t>
            </w:r>
          </w:p>
        </w:tc>
        <w:tc>
          <w:tcPr>
            <w:tcW w:w="1104" w:type="dxa"/>
            <w:gridSpan w:val="3"/>
            <w:shd w:val="clear" w:color="auto" w:fill="C6DBF7"/>
            <w:vAlign w:val="center"/>
            <w:hideMark/>
          </w:tcPr>
          <w:p w14:paraId="486A984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3C60E74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gridSpan w:val="2"/>
            <w:shd w:val="clear" w:color="auto" w:fill="C6DBF7"/>
            <w:vAlign w:val="center"/>
            <w:hideMark/>
          </w:tcPr>
          <w:p w14:paraId="6C96A3C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962" w:type="dxa"/>
            <w:gridSpan w:val="2"/>
            <w:shd w:val="clear" w:color="auto" w:fill="C6DBF7"/>
            <w:vAlign w:val="center"/>
            <w:hideMark/>
          </w:tcPr>
          <w:p w14:paraId="6A16009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475" w:type="dxa"/>
            <w:shd w:val="clear" w:color="auto" w:fill="C6DBF7"/>
            <w:vAlign w:val="center"/>
            <w:hideMark/>
          </w:tcPr>
          <w:p w14:paraId="69210E3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357AD4B0" w14:textId="77777777" w:rsidTr="00875772">
        <w:trPr>
          <w:tblCellSpacing w:w="15" w:type="dxa"/>
        </w:trPr>
        <w:tc>
          <w:tcPr>
            <w:tcW w:w="825" w:type="dxa"/>
            <w:shd w:val="clear" w:color="auto" w:fill="D9D9D9" w:themeFill="background1" w:themeFillShade="D9"/>
            <w:noWrap/>
            <w:vAlign w:val="center"/>
            <w:hideMark/>
          </w:tcPr>
          <w:p w14:paraId="5F3A5AF3" w14:textId="77777777" w:rsidR="00875772" w:rsidRPr="00116D4B" w:rsidRDefault="00875772" w:rsidP="00875772">
            <w:pPr>
              <w:spacing w:after="0" w:line="240" w:lineRule="auto"/>
              <w:jc w:val="center"/>
              <w:rPr>
                <w:rFonts w:eastAsiaTheme="minorEastAsia"/>
                <w:sz w:val="24"/>
                <w:szCs w:val="24"/>
                <w:lang w:eastAsia="sk-SK"/>
              </w:rPr>
            </w:pPr>
          </w:p>
        </w:tc>
        <w:tc>
          <w:tcPr>
            <w:tcW w:w="1510" w:type="dxa"/>
            <w:shd w:val="clear" w:color="auto" w:fill="D9D9D9" w:themeFill="background1" w:themeFillShade="D9"/>
            <w:vAlign w:val="center"/>
            <w:hideMark/>
          </w:tcPr>
          <w:p w14:paraId="5CC00B7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104" w:type="dxa"/>
            <w:gridSpan w:val="3"/>
            <w:shd w:val="clear" w:color="auto" w:fill="D9D9D9" w:themeFill="background1" w:themeFillShade="D9"/>
            <w:noWrap/>
            <w:vAlign w:val="center"/>
            <w:hideMark/>
          </w:tcPr>
          <w:p w14:paraId="4E84E9B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2 155 292,09</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5C06D34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2 179 494,80</w:t>
            </w:r>
            <w:r w:rsidRPr="4F9BDBF9">
              <w:rPr>
                <w:rFonts w:eastAsiaTheme="minorEastAsia"/>
                <w:sz w:val="24"/>
                <w:szCs w:val="24"/>
                <w:lang w:eastAsia="sk-SK"/>
              </w:rPr>
              <w:t xml:space="preserve"> </w:t>
            </w:r>
          </w:p>
        </w:tc>
        <w:tc>
          <w:tcPr>
            <w:tcW w:w="1104" w:type="dxa"/>
            <w:gridSpan w:val="2"/>
            <w:shd w:val="clear" w:color="auto" w:fill="D9D9D9" w:themeFill="background1" w:themeFillShade="D9"/>
            <w:noWrap/>
            <w:vAlign w:val="center"/>
            <w:hideMark/>
          </w:tcPr>
          <w:p w14:paraId="0CE3C3F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2 026 690,93</w:t>
            </w:r>
            <w:r w:rsidRPr="4F9BDBF9">
              <w:rPr>
                <w:rFonts w:eastAsiaTheme="minorEastAsia"/>
                <w:sz w:val="24"/>
                <w:szCs w:val="24"/>
                <w:lang w:eastAsia="sk-SK"/>
              </w:rPr>
              <w:t xml:space="preserve"> </w:t>
            </w:r>
          </w:p>
        </w:tc>
        <w:tc>
          <w:tcPr>
            <w:tcW w:w="962" w:type="dxa"/>
            <w:gridSpan w:val="2"/>
            <w:shd w:val="clear" w:color="auto" w:fill="D9D9D9" w:themeFill="background1" w:themeFillShade="D9"/>
            <w:noWrap/>
            <w:vAlign w:val="center"/>
            <w:hideMark/>
          </w:tcPr>
          <w:p w14:paraId="18E2135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92,99</w:t>
            </w:r>
            <w:r w:rsidRPr="4F9BDBF9">
              <w:rPr>
                <w:rFonts w:eastAsiaTheme="minorEastAsia"/>
                <w:sz w:val="24"/>
                <w:szCs w:val="24"/>
                <w:lang w:eastAsia="sk-SK"/>
              </w:rPr>
              <w:t xml:space="preserve"> </w:t>
            </w:r>
          </w:p>
        </w:tc>
        <w:tc>
          <w:tcPr>
            <w:tcW w:w="3475" w:type="dxa"/>
            <w:vMerge w:val="restart"/>
            <w:shd w:val="clear" w:color="auto" w:fill="D9D9D9" w:themeFill="background1" w:themeFillShade="D9"/>
            <w:vAlign w:val="center"/>
            <w:hideMark/>
          </w:tcPr>
          <w:p w14:paraId="340D531D"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+5 588,71 EUR</w:t>
            </w:r>
            <w:r w:rsidRPr="7A505BEE">
              <w:rPr>
                <w:rFonts w:eastAsiaTheme="minorEastAsia"/>
                <w:sz w:val="20"/>
                <w:szCs w:val="20"/>
                <w:lang w:eastAsia="sk-SK"/>
              </w:rPr>
              <w:t xml:space="preserve"> presun z P11.3 na navýšenie mzdových prostriedkov</w:t>
            </w:r>
          </w:p>
          <w:p w14:paraId="7E3A5D31"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+47 864,00 EUR </w:t>
            </w:r>
            <w:r w:rsidRPr="7A505BEE">
              <w:rPr>
                <w:rFonts w:eastAsiaTheme="minorEastAsia"/>
                <w:sz w:val="20"/>
                <w:szCs w:val="20"/>
                <w:lang w:eastAsia="sk-SK"/>
              </w:rPr>
              <w:t>dotácia z MPSVaR SR  na mimoriadne odmeny pre zamestnancov za I. vlnu pandémie</w:t>
            </w:r>
          </w:p>
          <w:p w14:paraId="201622F4"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 xml:space="preserve">+3 020,00 EUR </w:t>
            </w:r>
            <w:r w:rsidRPr="7A505BEE">
              <w:rPr>
                <w:rFonts w:eastAsiaTheme="minorEastAsia"/>
                <w:sz w:val="20"/>
                <w:szCs w:val="20"/>
                <w:lang w:eastAsia="sk-SK"/>
              </w:rPr>
              <w:t>dotácia z MPSVaR SR na výživové doplnky (</w:t>
            </w:r>
            <w:proofErr w:type="spellStart"/>
            <w:r w:rsidRPr="7A505BEE">
              <w:rPr>
                <w:rFonts w:eastAsiaTheme="minorEastAsia"/>
                <w:sz w:val="20"/>
                <w:szCs w:val="20"/>
                <w:lang w:eastAsia="sk-SK"/>
              </w:rPr>
              <w:t>vit</w:t>
            </w:r>
            <w:proofErr w:type="spellEnd"/>
            <w:r w:rsidRPr="7A505BEE">
              <w:rPr>
                <w:rFonts w:eastAsiaTheme="minorEastAsia"/>
                <w:sz w:val="20"/>
                <w:szCs w:val="20"/>
                <w:lang w:eastAsia="sk-SK"/>
              </w:rPr>
              <w:t>. D3)</w:t>
            </w:r>
          </w:p>
          <w:p w14:paraId="0C47B1C0" w14:textId="77777777" w:rsidR="00875772" w:rsidRDefault="00875772" w:rsidP="00875772">
            <w:pPr>
              <w:spacing w:after="0" w:line="240" w:lineRule="auto"/>
              <w:rPr>
                <w:rFonts w:eastAsiaTheme="minorEastAsia"/>
                <w:sz w:val="20"/>
                <w:szCs w:val="20"/>
                <w:lang w:eastAsia="sk-SK"/>
              </w:rPr>
            </w:pPr>
            <w:r w:rsidRPr="7A505BEE">
              <w:rPr>
                <w:rFonts w:eastAsiaTheme="minorEastAsia"/>
                <w:b/>
                <w:bCs/>
                <w:sz w:val="20"/>
                <w:szCs w:val="20"/>
                <w:lang w:eastAsia="sk-SK"/>
              </w:rPr>
              <w:t>-32 270,00 EUR</w:t>
            </w:r>
            <w:r w:rsidRPr="7A505BEE">
              <w:rPr>
                <w:rFonts w:eastAsiaTheme="minorEastAsia"/>
                <w:sz w:val="20"/>
                <w:szCs w:val="20"/>
                <w:lang w:eastAsia="sk-SK"/>
              </w:rPr>
              <w:t xml:space="preserve"> zníženie rozpočtu BV (</w:t>
            </w:r>
            <w:proofErr w:type="spellStart"/>
            <w:r w:rsidRPr="7A505BEE">
              <w:rPr>
                <w:rFonts w:eastAsiaTheme="minorEastAsia"/>
                <w:sz w:val="20"/>
                <w:szCs w:val="20"/>
                <w:lang w:eastAsia="sk-SK"/>
              </w:rPr>
              <w:t>Uzn</w:t>
            </w:r>
            <w:proofErr w:type="spellEnd"/>
            <w:r w:rsidRPr="7A505BEE">
              <w:rPr>
                <w:rFonts w:eastAsiaTheme="minorEastAsia"/>
                <w:sz w:val="20"/>
                <w:szCs w:val="20"/>
                <w:lang w:eastAsia="sk-SK"/>
              </w:rPr>
              <w:t>. 247/2020 z 29.5.2020) z dôvodu nenaplnených daňových príjmov</w:t>
            </w:r>
          </w:p>
        </w:tc>
      </w:tr>
      <w:tr w:rsidR="00875772" w:rsidRPr="00116D4B" w14:paraId="7928162D" w14:textId="77777777" w:rsidTr="00875772">
        <w:trPr>
          <w:tblCellSpacing w:w="15" w:type="dxa"/>
        </w:trPr>
        <w:tc>
          <w:tcPr>
            <w:tcW w:w="825" w:type="dxa"/>
            <w:shd w:val="clear" w:color="auto" w:fill="D9D9D9" w:themeFill="background1" w:themeFillShade="D9"/>
            <w:noWrap/>
            <w:vAlign w:val="center"/>
            <w:hideMark/>
          </w:tcPr>
          <w:p w14:paraId="443E37C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510" w:type="dxa"/>
            <w:shd w:val="clear" w:color="auto" w:fill="D9D9D9" w:themeFill="background1" w:themeFillShade="D9"/>
            <w:vAlign w:val="center"/>
            <w:hideMark/>
          </w:tcPr>
          <w:p w14:paraId="21EED75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104" w:type="dxa"/>
            <w:gridSpan w:val="3"/>
            <w:shd w:val="clear" w:color="auto" w:fill="D9D9D9" w:themeFill="background1" w:themeFillShade="D9"/>
            <w:noWrap/>
            <w:vAlign w:val="center"/>
            <w:hideMark/>
          </w:tcPr>
          <w:p w14:paraId="62C6E1D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2 155 292,09</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02D3D84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2 179 494,80</w:t>
            </w:r>
            <w:r w:rsidRPr="4F9BDBF9">
              <w:rPr>
                <w:rFonts w:eastAsiaTheme="minorEastAsia"/>
                <w:sz w:val="24"/>
                <w:szCs w:val="24"/>
                <w:lang w:eastAsia="sk-SK"/>
              </w:rPr>
              <w:t xml:space="preserve"> </w:t>
            </w:r>
          </w:p>
        </w:tc>
        <w:tc>
          <w:tcPr>
            <w:tcW w:w="1104" w:type="dxa"/>
            <w:gridSpan w:val="2"/>
            <w:shd w:val="clear" w:color="auto" w:fill="D9D9D9" w:themeFill="background1" w:themeFillShade="D9"/>
            <w:noWrap/>
            <w:vAlign w:val="center"/>
            <w:hideMark/>
          </w:tcPr>
          <w:p w14:paraId="141C81A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2 026 690,93</w:t>
            </w:r>
            <w:r w:rsidRPr="4F9BDBF9">
              <w:rPr>
                <w:rFonts w:eastAsiaTheme="minorEastAsia"/>
                <w:sz w:val="24"/>
                <w:szCs w:val="24"/>
                <w:lang w:eastAsia="sk-SK"/>
              </w:rPr>
              <w:t xml:space="preserve"> </w:t>
            </w:r>
          </w:p>
        </w:tc>
        <w:tc>
          <w:tcPr>
            <w:tcW w:w="962" w:type="dxa"/>
            <w:gridSpan w:val="2"/>
            <w:shd w:val="clear" w:color="auto" w:fill="D9D9D9" w:themeFill="background1" w:themeFillShade="D9"/>
            <w:noWrap/>
            <w:vAlign w:val="center"/>
            <w:hideMark/>
          </w:tcPr>
          <w:p w14:paraId="24A661B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92,99</w:t>
            </w:r>
            <w:r w:rsidRPr="4F9BDBF9">
              <w:rPr>
                <w:rFonts w:eastAsiaTheme="minorEastAsia"/>
                <w:sz w:val="24"/>
                <w:szCs w:val="24"/>
                <w:lang w:eastAsia="sk-SK"/>
              </w:rPr>
              <w:t xml:space="preserve"> </w:t>
            </w:r>
          </w:p>
        </w:tc>
        <w:tc>
          <w:tcPr>
            <w:tcW w:w="3475" w:type="dxa"/>
            <w:vMerge/>
            <w:shd w:val="clear" w:color="auto" w:fill="D9D9D9" w:themeFill="background1" w:themeFillShade="D9"/>
            <w:vAlign w:val="center"/>
            <w:hideMark/>
          </w:tcPr>
          <w:p w14:paraId="1DFFCB54"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718984F6" w14:textId="77777777" w:rsidTr="00875772">
        <w:trPr>
          <w:tblCellSpacing w:w="15" w:type="dxa"/>
        </w:trPr>
        <w:tc>
          <w:tcPr>
            <w:tcW w:w="825" w:type="dxa"/>
            <w:shd w:val="clear" w:color="auto" w:fill="EFEFEF"/>
            <w:noWrap/>
            <w:vAlign w:val="center"/>
            <w:hideMark/>
          </w:tcPr>
          <w:p w14:paraId="11E7B33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510" w:type="dxa"/>
            <w:shd w:val="clear" w:color="auto" w:fill="EFEFEF"/>
            <w:vAlign w:val="center"/>
            <w:hideMark/>
          </w:tcPr>
          <w:p w14:paraId="00D1EF3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104" w:type="dxa"/>
            <w:gridSpan w:val="3"/>
            <w:shd w:val="clear" w:color="auto" w:fill="EFEFEF"/>
            <w:noWrap/>
            <w:vAlign w:val="center"/>
            <w:hideMark/>
          </w:tcPr>
          <w:p w14:paraId="10D2BBF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1 169 961,00</w:t>
            </w:r>
            <w:r w:rsidRPr="4F9BDBF9">
              <w:rPr>
                <w:rFonts w:eastAsiaTheme="minorEastAsia"/>
                <w:sz w:val="24"/>
                <w:szCs w:val="24"/>
                <w:lang w:eastAsia="sk-SK"/>
              </w:rPr>
              <w:t xml:space="preserve"> </w:t>
            </w:r>
          </w:p>
        </w:tc>
        <w:tc>
          <w:tcPr>
            <w:tcW w:w="1246" w:type="dxa"/>
            <w:shd w:val="clear" w:color="auto" w:fill="EFEFEF"/>
            <w:noWrap/>
            <w:vAlign w:val="center"/>
            <w:hideMark/>
          </w:tcPr>
          <w:p w14:paraId="7F82BCC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1 195 025,00</w:t>
            </w:r>
            <w:r w:rsidRPr="4F9BDBF9">
              <w:rPr>
                <w:rFonts w:eastAsiaTheme="minorEastAsia"/>
                <w:sz w:val="24"/>
                <w:szCs w:val="24"/>
                <w:lang w:eastAsia="sk-SK"/>
              </w:rPr>
              <w:t xml:space="preserve"> </w:t>
            </w:r>
          </w:p>
        </w:tc>
        <w:tc>
          <w:tcPr>
            <w:tcW w:w="1104" w:type="dxa"/>
            <w:gridSpan w:val="2"/>
            <w:shd w:val="clear" w:color="auto" w:fill="EFEFEF"/>
            <w:noWrap/>
            <w:vAlign w:val="center"/>
            <w:hideMark/>
          </w:tcPr>
          <w:p w14:paraId="55917B9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1 140 380,49</w:t>
            </w:r>
            <w:r w:rsidRPr="4F9BDBF9">
              <w:rPr>
                <w:rFonts w:eastAsiaTheme="minorEastAsia"/>
                <w:sz w:val="24"/>
                <w:szCs w:val="24"/>
                <w:lang w:eastAsia="sk-SK"/>
              </w:rPr>
              <w:t xml:space="preserve"> </w:t>
            </w:r>
          </w:p>
        </w:tc>
        <w:tc>
          <w:tcPr>
            <w:tcW w:w="962" w:type="dxa"/>
            <w:gridSpan w:val="2"/>
            <w:shd w:val="clear" w:color="auto" w:fill="EFEFEF"/>
            <w:noWrap/>
            <w:vAlign w:val="center"/>
            <w:hideMark/>
          </w:tcPr>
          <w:p w14:paraId="493F4F2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95,43</w:t>
            </w:r>
            <w:r w:rsidRPr="4F9BDBF9">
              <w:rPr>
                <w:rFonts w:eastAsiaTheme="minorEastAsia"/>
                <w:sz w:val="24"/>
                <w:szCs w:val="24"/>
                <w:lang w:eastAsia="sk-SK"/>
              </w:rPr>
              <w:t xml:space="preserve"> </w:t>
            </w:r>
          </w:p>
        </w:tc>
        <w:tc>
          <w:tcPr>
            <w:tcW w:w="3475" w:type="dxa"/>
            <w:vMerge/>
            <w:vAlign w:val="center"/>
            <w:hideMark/>
          </w:tcPr>
          <w:p w14:paraId="1CCCA2AD"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31EBBE3" w14:textId="77777777" w:rsidTr="00875772">
        <w:trPr>
          <w:tblCellSpacing w:w="15" w:type="dxa"/>
        </w:trPr>
        <w:tc>
          <w:tcPr>
            <w:tcW w:w="825" w:type="dxa"/>
            <w:shd w:val="clear" w:color="auto" w:fill="EFEFEF"/>
            <w:noWrap/>
            <w:vAlign w:val="center"/>
            <w:hideMark/>
          </w:tcPr>
          <w:p w14:paraId="43BEC17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510" w:type="dxa"/>
            <w:shd w:val="clear" w:color="auto" w:fill="EFEFEF"/>
            <w:vAlign w:val="center"/>
            <w:hideMark/>
          </w:tcPr>
          <w:p w14:paraId="08109B8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104" w:type="dxa"/>
            <w:gridSpan w:val="3"/>
            <w:shd w:val="clear" w:color="auto" w:fill="EFEFEF"/>
            <w:noWrap/>
            <w:vAlign w:val="center"/>
            <w:hideMark/>
          </w:tcPr>
          <w:p w14:paraId="002AF40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423 901,37</w:t>
            </w:r>
            <w:r w:rsidRPr="4F9BDBF9">
              <w:rPr>
                <w:rFonts w:eastAsiaTheme="minorEastAsia"/>
                <w:sz w:val="24"/>
                <w:szCs w:val="24"/>
                <w:lang w:eastAsia="sk-SK"/>
              </w:rPr>
              <w:t xml:space="preserve"> </w:t>
            </w:r>
          </w:p>
        </w:tc>
        <w:tc>
          <w:tcPr>
            <w:tcW w:w="1246" w:type="dxa"/>
            <w:shd w:val="clear" w:color="auto" w:fill="EFEFEF"/>
            <w:noWrap/>
            <w:vAlign w:val="center"/>
            <w:hideMark/>
          </w:tcPr>
          <w:p w14:paraId="0AE007D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432 722,33</w:t>
            </w:r>
            <w:r w:rsidRPr="4F9BDBF9">
              <w:rPr>
                <w:rFonts w:eastAsiaTheme="minorEastAsia"/>
                <w:sz w:val="24"/>
                <w:szCs w:val="24"/>
                <w:lang w:eastAsia="sk-SK"/>
              </w:rPr>
              <w:t xml:space="preserve"> </w:t>
            </w:r>
          </w:p>
        </w:tc>
        <w:tc>
          <w:tcPr>
            <w:tcW w:w="1104" w:type="dxa"/>
            <w:gridSpan w:val="2"/>
            <w:shd w:val="clear" w:color="auto" w:fill="EFEFEF"/>
            <w:noWrap/>
            <w:vAlign w:val="center"/>
            <w:hideMark/>
          </w:tcPr>
          <w:p w14:paraId="4F9A448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408 993,61</w:t>
            </w:r>
            <w:r w:rsidRPr="4F9BDBF9">
              <w:rPr>
                <w:rFonts w:eastAsiaTheme="minorEastAsia"/>
                <w:sz w:val="24"/>
                <w:szCs w:val="24"/>
                <w:lang w:eastAsia="sk-SK"/>
              </w:rPr>
              <w:t xml:space="preserve"> </w:t>
            </w:r>
          </w:p>
        </w:tc>
        <w:tc>
          <w:tcPr>
            <w:tcW w:w="962" w:type="dxa"/>
            <w:gridSpan w:val="2"/>
            <w:shd w:val="clear" w:color="auto" w:fill="EFEFEF"/>
            <w:noWrap/>
            <w:vAlign w:val="center"/>
            <w:hideMark/>
          </w:tcPr>
          <w:p w14:paraId="6C450EA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94,52</w:t>
            </w:r>
            <w:r w:rsidRPr="4F9BDBF9">
              <w:rPr>
                <w:rFonts w:eastAsiaTheme="minorEastAsia"/>
                <w:sz w:val="24"/>
                <w:szCs w:val="24"/>
                <w:lang w:eastAsia="sk-SK"/>
              </w:rPr>
              <w:t xml:space="preserve"> </w:t>
            </w:r>
          </w:p>
        </w:tc>
        <w:tc>
          <w:tcPr>
            <w:tcW w:w="3475" w:type="dxa"/>
            <w:vMerge/>
            <w:vAlign w:val="center"/>
            <w:hideMark/>
          </w:tcPr>
          <w:p w14:paraId="30504974"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4758B3CF" w14:textId="77777777" w:rsidTr="00875772">
        <w:trPr>
          <w:tblCellSpacing w:w="15" w:type="dxa"/>
        </w:trPr>
        <w:tc>
          <w:tcPr>
            <w:tcW w:w="825" w:type="dxa"/>
            <w:shd w:val="clear" w:color="auto" w:fill="EFEFEF"/>
            <w:noWrap/>
            <w:vAlign w:val="center"/>
            <w:hideMark/>
          </w:tcPr>
          <w:p w14:paraId="1D1AB7A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510" w:type="dxa"/>
            <w:shd w:val="clear" w:color="auto" w:fill="EFEFEF"/>
            <w:vAlign w:val="center"/>
            <w:hideMark/>
          </w:tcPr>
          <w:p w14:paraId="2504406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104" w:type="dxa"/>
            <w:gridSpan w:val="3"/>
            <w:shd w:val="clear" w:color="auto" w:fill="EFEFEF"/>
            <w:noWrap/>
            <w:vAlign w:val="center"/>
            <w:hideMark/>
          </w:tcPr>
          <w:p w14:paraId="2F26CAB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542 675,72</w:t>
            </w:r>
            <w:r w:rsidRPr="4F9BDBF9">
              <w:rPr>
                <w:rFonts w:eastAsiaTheme="minorEastAsia"/>
                <w:sz w:val="24"/>
                <w:szCs w:val="24"/>
                <w:lang w:eastAsia="sk-SK"/>
              </w:rPr>
              <w:t xml:space="preserve"> </w:t>
            </w:r>
          </w:p>
        </w:tc>
        <w:tc>
          <w:tcPr>
            <w:tcW w:w="1246" w:type="dxa"/>
            <w:shd w:val="clear" w:color="auto" w:fill="EFEFEF"/>
            <w:noWrap/>
            <w:vAlign w:val="center"/>
            <w:hideMark/>
          </w:tcPr>
          <w:p w14:paraId="7E3BA38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532 993,47</w:t>
            </w:r>
            <w:r w:rsidRPr="4F9BDBF9">
              <w:rPr>
                <w:rFonts w:eastAsiaTheme="minorEastAsia"/>
                <w:sz w:val="24"/>
                <w:szCs w:val="24"/>
                <w:lang w:eastAsia="sk-SK"/>
              </w:rPr>
              <w:t xml:space="preserve"> </w:t>
            </w:r>
          </w:p>
        </w:tc>
        <w:tc>
          <w:tcPr>
            <w:tcW w:w="1104" w:type="dxa"/>
            <w:gridSpan w:val="2"/>
            <w:shd w:val="clear" w:color="auto" w:fill="EFEFEF"/>
            <w:noWrap/>
            <w:vAlign w:val="center"/>
            <w:hideMark/>
          </w:tcPr>
          <w:p w14:paraId="50FD2BB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461 084,27</w:t>
            </w:r>
            <w:r w:rsidRPr="4F9BDBF9">
              <w:rPr>
                <w:rFonts w:eastAsiaTheme="minorEastAsia"/>
                <w:sz w:val="24"/>
                <w:szCs w:val="24"/>
                <w:lang w:eastAsia="sk-SK"/>
              </w:rPr>
              <w:t xml:space="preserve"> </w:t>
            </w:r>
          </w:p>
        </w:tc>
        <w:tc>
          <w:tcPr>
            <w:tcW w:w="962" w:type="dxa"/>
            <w:gridSpan w:val="2"/>
            <w:shd w:val="clear" w:color="auto" w:fill="EFEFEF"/>
            <w:noWrap/>
            <w:vAlign w:val="center"/>
            <w:hideMark/>
          </w:tcPr>
          <w:p w14:paraId="1B83C66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86,51</w:t>
            </w:r>
            <w:r w:rsidRPr="4F9BDBF9">
              <w:rPr>
                <w:rFonts w:eastAsiaTheme="minorEastAsia"/>
                <w:sz w:val="24"/>
                <w:szCs w:val="24"/>
                <w:lang w:eastAsia="sk-SK"/>
              </w:rPr>
              <w:t xml:space="preserve"> </w:t>
            </w:r>
          </w:p>
        </w:tc>
        <w:tc>
          <w:tcPr>
            <w:tcW w:w="3475" w:type="dxa"/>
            <w:vMerge/>
            <w:vAlign w:val="center"/>
            <w:hideMark/>
          </w:tcPr>
          <w:p w14:paraId="295F47F8"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A389DEC" w14:textId="77777777" w:rsidTr="00875772">
        <w:trPr>
          <w:tblCellSpacing w:w="15" w:type="dxa"/>
        </w:trPr>
        <w:tc>
          <w:tcPr>
            <w:tcW w:w="825" w:type="dxa"/>
            <w:shd w:val="clear" w:color="auto" w:fill="EFEFEF"/>
            <w:noWrap/>
            <w:vAlign w:val="center"/>
            <w:hideMark/>
          </w:tcPr>
          <w:p w14:paraId="30F6E75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510" w:type="dxa"/>
            <w:shd w:val="clear" w:color="auto" w:fill="EFEFEF"/>
            <w:vAlign w:val="center"/>
            <w:hideMark/>
          </w:tcPr>
          <w:p w14:paraId="0B14BD1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104" w:type="dxa"/>
            <w:gridSpan w:val="3"/>
            <w:shd w:val="clear" w:color="auto" w:fill="EFEFEF"/>
            <w:noWrap/>
            <w:vAlign w:val="center"/>
            <w:hideMark/>
          </w:tcPr>
          <w:p w14:paraId="35A794D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18 754,00</w:t>
            </w:r>
            <w:r w:rsidRPr="4F9BDBF9">
              <w:rPr>
                <w:rFonts w:eastAsiaTheme="minorEastAsia"/>
                <w:sz w:val="24"/>
                <w:szCs w:val="24"/>
                <w:lang w:eastAsia="sk-SK"/>
              </w:rPr>
              <w:t xml:space="preserve"> </w:t>
            </w:r>
          </w:p>
        </w:tc>
        <w:tc>
          <w:tcPr>
            <w:tcW w:w="1246" w:type="dxa"/>
            <w:shd w:val="clear" w:color="auto" w:fill="EFEFEF"/>
            <w:noWrap/>
            <w:vAlign w:val="center"/>
            <w:hideMark/>
          </w:tcPr>
          <w:p w14:paraId="7906DD3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18 754,00</w:t>
            </w:r>
            <w:r w:rsidRPr="4F9BDBF9">
              <w:rPr>
                <w:rFonts w:eastAsiaTheme="minorEastAsia"/>
                <w:sz w:val="24"/>
                <w:szCs w:val="24"/>
                <w:lang w:eastAsia="sk-SK"/>
              </w:rPr>
              <w:t xml:space="preserve"> </w:t>
            </w:r>
          </w:p>
        </w:tc>
        <w:tc>
          <w:tcPr>
            <w:tcW w:w="1104" w:type="dxa"/>
            <w:gridSpan w:val="2"/>
            <w:shd w:val="clear" w:color="auto" w:fill="EFEFEF"/>
            <w:noWrap/>
            <w:vAlign w:val="center"/>
            <w:hideMark/>
          </w:tcPr>
          <w:p w14:paraId="1762702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16 232,56</w:t>
            </w:r>
            <w:r w:rsidRPr="4F9BDBF9">
              <w:rPr>
                <w:rFonts w:eastAsiaTheme="minorEastAsia"/>
                <w:sz w:val="24"/>
                <w:szCs w:val="24"/>
                <w:lang w:eastAsia="sk-SK"/>
              </w:rPr>
              <w:t xml:space="preserve"> </w:t>
            </w:r>
          </w:p>
        </w:tc>
        <w:tc>
          <w:tcPr>
            <w:tcW w:w="962" w:type="dxa"/>
            <w:gridSpan w:val="2"/>
            <w:shd w:val="clear" w:color="auto" w:fill="EFEFEF"/>
            <w:noWrap/>
            <w:vAlign w:val="center"/>
            <w:hideMark/>
          </w:tcPr>
          <w:p w14:paraId="3674B5A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86,56</w:t>
            </w:r>
            <w:r w:rsidRPr="4F9BDBF9">
              <w:rPr>
                <w:rFonts w:eastAsiaTheme="minorEastAsia"/>
                <w:sz w:val="24"/>
                <w:szCs w:val="24"/>
                <w:lang w:eastAsia="sk-SK"/>
              </w:rPr>
              <w:t xml:space="preserve"> </w:t>
            </w:r>
          </w:p>
        </w:tc>
        <w:tc>
          <w:tcPr>
            <w:tcW w:w="3475" w:type="dxa"/>
            <w:vMerge/>
            <w:vAlign w:val="center"/>
            <w:hideMark/>
          </w:tcPr>
          <w:p w14:paraId="366A61D9"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49C0C0B" w14:textId="77777777" w:rsidTr="00875772">
        <w:trPr>
          <w:tblCellSpacing w:w="15" w:type="dxa"/>
        </w:trPr>
        <w:tc>
          <w:tcPr>
            <w:tcW w:w="2857" w:type="dxa"/>
            <w:gridSpan w:val="3"/>
            <w:shd w:val="clear" w:color="auto" w:fill="C2D69B"/>
            <w:vAlign w:val="center"/>
            <w:hideMark/>
          </w:tcPr>
          <w:p w14:paraId="590F234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7519" w:type="dxa"/>
            <w:gridSpan w:val="8"/>
            <w:shd w:val="clear" w:color="auto" w:fill="C2D69B"/>
            <w:vAlign w:val="center"/>
            <w:hideMark/>
          </w:tcPr>
          <w:p w14:paraId="34C92BA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26A080AE" w14:textId="77777777" w:rsidTr="00875772">
        <w:trPr>
          <w:tblCellSpacing w:w="15" w:type="dxa"/>
        </w:trPr>
        <w:tc>
          <w:tcPr>
            <w:tcW w:w="2857" w:type="dxa"/>
            <w:gridSpan w:val="3"/>
            <w:shd w:val="clear" w:color="auto" w:fill="C2D69B"/>
            <w:vAlign w:val="center"/>
            <w:hideMark/>
          </w:tcPr>
          <w:p w14:paraId="1186D73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7519" w:type="dxa"/>
            <w:gridSpan w:val="8"/>
            <w:shd w:val="clear" w:color="auto" w:fill="C2D69B"/>
            <w:vAlign w:val="center"/>
            <w:hideMark/>
          </w:tcPr>
          <w:p w14:paraId="7CFA3A6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479CD7F6" w14:textId="77777777" w:rsidTr="00875772">
        <w:trPr>
          <w:tblCellSpacing w:w="15" w:type="dxa"/>
        </w:trPr>
        <w:tc>
          <w:tcPr>
            <w:tcW w:w="2857" w:type="dxa"/>
            <w:gridSpan w:val="3"/>
            <w:shd w:val="clear" w:color="auto" w:fill="C2D69B"/>
            <w:vAlign w:val="center"/>
            <w:hideMark/>
          </w:tcPr>
          <w:p w14:paraId="76754A4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7519" w:type="dxa"/>
            <w:gridSpan w:val="8"/>
            <w:shd w:val="clear" w:color="auto" w:fill="C2D69B"/>
            <w:vAlign w:val="center"/>
            <w:hideMark/>
          </w:tcPr>
          <w:p w14:paraId="0CAF996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4C382F96" w14:textId="77777777" w:rsidTr="00875772">
        <w:trPr>
          <w:tblCellSpacing w:w="15" w:type="dxa"/>
        </w:trPr>
        <w:tc>
          <w:tcPr>
            <w:tcW w:w="2857" w:type="dxa"/>
            <w:gridSpan w:val="3"/>
            <w:shd w:val="clear" w:color="auto" w:fill="C2D69B"/>
            <w:vAlign w:val="center"/>
            <w:hideMark/>
          </w:tcPr>
          <w:p w14:paraId="6715E68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600" w:type="dxa"/>
            <w:shd w:val="clear" w:color="auto" w:fill="C2D69B"/>
            <w:vAlign w:val="center"/>
            <w:hideMark/>
          </w:tcPr>
          <w:p w14:paraId="4E3909E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1462" w:type="dxa"/>
            <w:gridSpan w:val="3"/>
            <w:shd w:val="clear" w:color="auto" w:fill="C2D69B"/>
            <w:vAlign w:val="center"/>
            <w:hideMark/>
          </w:tcPr>
          <w:p w14:paraId="7D3CD1D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1253" w:type="dxa"/>
            <w:gridSpan w:val="2"/>
            <w:shd w:val="clear" w:color="auto" w:fill="C2D69B"/>
            <w:vAlign w:val="center"/>
            <w:hideMark/>
          </w:tcPr>
          <w:p w14:paraId="214BA59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4114" w:type="dxa"/>
            <w:gridSpan w:val="2"/>
            <w:shd w:val="clear" w:color="auto" w:fill="C2D69B"/>
            <w:vAlign w:val="center"/>
            <w:hideMark/>
          </w:tcPr>
          <w:p w14:paraId="6E1C3C0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185BDBBB" w14:textId="77777777" w:rsidTr="00875772">
        <w:trPr>
          <w:tblCellSpacing w:w="15" w:type="dxa"/>
        </w:trPr>
        <w:tc>
          <w:tcPr>
            <w:tcW w:w="2857" w:type="dxa"/>
            <w:gridSpan w:val="3"/>
            <w:shd w:val="clear" w:color="auto" w:fill="C2D69B"/>
            <w:vAlign w:val="center"/>
            <w:hideMark/>
          </w:tcPr>
          <w:p w14:paraId="2286735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600" w:type="dxa"/>
            <w:shd w:val="clear" w:color="auto" w:fill="C2D69B"/>
            <w:noWrap/>
            <w:vAlign w:val="center"/>
            <w:hideMark/>
          </w:tcPr>
          <w:p w14:paraId="1B02E4D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1462" w:type="dxa"/>
            <w:gridSpan w:val="3"/>
            <w:shd w:val="clear" w:color="auto" w:fill="C2D69B"/>
            <w:noWrap/>
            <w:vAlign w:val="center"/>
            <w:hideMark/>
          </w:tcPr>
          <w:p w14:paraId="59129E1E"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69.57</w:t>
            </w:r>
            <w:r w:rsidRPr="3E14EAE1">
              <w:rPr>
                <w:rFonts w:eastAsiaTheme="minorEastAsia"/>
                <w:sz w:val="24"/>
                <w:szCs w:val="24"/>
                <w:lang w:eastAsia="sk-SK"/>
              </w:rPr>
              <w:t xml:space="preserve"> </w:t>
            </w:r>
          </w:p>
        </w:tc>
        <w:tc>
          <w:tcPr>
            <w:tcW w:w="1253" w:type="dxa"/>
            <w:gridSpan w:val="2"/>
            <w:shd w:val="clear" w:color="auto" w:fill="C2D69B"/>
            <w:vAlign w:val="center"/>
            <w:hideMark/>
          </w:tcPr>
          <w:p w14:paraId="3A48C8B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4114" w:type="dxa"/>
            <w:gridSpan w:val="2"/>
            <w:shd w:val="clear" w:color="auto" w:fill="C2D69B"/>
            <w:vAlign w:val="center"/>
            <w:hideMark/>
          </w:tcPr>
          <w:p w14:paraId="15487922" w14:textId="77777777" w:rsidR="00875772" w:rsidRPr="00116D4B" w:rsidRDefault="00875772" w:rsidP="00875772">
            <w:pPr>
              <w:spacing w:after="0" w:line="240" w:lineRule="auto"/>
              <w:rPr>
                <w:rFonts w:eastAsiaTheme="minorEastAsia"/>
                <w:sz w:val="24"/>
                <w:szCs w:val="24"/>
                <w:lang w:eastAsia="sk-SK"/>
              </w:rPr>
            </w:pPr>
            <w:r w:rsidRPr="3E14EAE1">
              <w:rPr>
                <w:rFonts w:eastAsiaTheme="minorEastAsia"/>
                <w:sz w:val="20"/>
                <w:szCs w:val="20"/>
                <w:lang w:eastAsia="sk-SK"/>
              </w:rPr>
              <w:t>Dôvodom pre čiastočné splnenie plánu je dlhodobo znížený záujem o poskytovanie sociálnej služby v GAUDEAMUS-ZKR a pandémia COVID-19.</w:t>
            </w:r>
            <w:r w:rsidRPr="3E14EAE1">
              <w:rPr>
                <w:rFonts w:eastAsiaTheme="minorEastAsia"/>
                <w:sz w:val="24"/>
                <w:szCs w:val="24"/>
                <w:lang w:eastAsia="sk-SK"/>
              </w:rPr>
              <w:t xml:space="preserve"> </w:t>
            </w:r>
          </w:p>
        </w:tc>
      </w:tr>
    </w:tbl>
    <w:p w14:paraId="17094843"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11.1.12: Zariadenie sociálnych služieb Pod hradom, Plavecké Podhradie</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540"/>
        <w:gridCol w:w="1134"/>
        <w:gridCol w:w="1134"/>
        <w:gridCol w:w="1134"/>
        <w:gridCol w:w="851"/>
        <w:gridCol w:w="3803"/>
      </w:tblGrid>
      <w:tr w:rsidR="00875772" w:rsidRPr="00116D4B" w14:paraId="05FCF4D0" w14:textId="77777777" w:rsidTr="00875772">
        <w:trPr>
          <w:tblCellSpacing w:w="15" w:type="dxa"/>
        </w:trPr>
        <w:tc>
          <w:tcPr>
            <w:tcW w:w="825" w:type="dxa"/>
            <w:shd w:val="clear" w:color="auto" w:fill="C6DBF7"/>
            <w:vAlign w:val="center"/>
            <w:hideMark/>
          </w:tcPr>
          <w:p w14:paraId="5A25F61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510" w:type="dxa"/>
            <w:shd w:val="clear" w:color="auto" w:fill="C6DBF7"/>
            <w:vAlign w:val="center"/>
            <w:hideMark/>
          </w:tcPr>
          <w:p w14:paraId="7D5E1888" w14:textId="77777777" w:rsidR="00875772" w:rsidRPr="00116D4B" w:rsidRDefault="00875772" w:rsidP="00875772">
            <w:pPr>
              <w:spacing w:after="0" w:line="240" w:lineRule="auto"/>
              <w:jc w:val="center"/>
              <w:rPr>
                <w:rFonts w:eastAsiaTheme="minorEastAsia"/>
                <w:sz w:val="24"/>
                <w:szCs w:val="24"/>
                <w:lang w:eastAsia="sk-SK"/>
              </w:rPr>
            </w:pPr>
            <w:r w:rsidRPr="23BC9F89">
              <w:rPr>
                <w:rFonts w:eastAsiaTheme="minorEastAsia"/>
                <w:b/>
                <w:bCs/>
                <w:sz w:val="20"/>
                <w:szCs w:val="20"/>
                <w:lang w:eastAsia="sk-SK"/>
              </w:rPr>
              <w:t>Ekonomická </w:t>
            </w:r>
          </w:p>
          <w:p w14:paraId="1DE00D3F" w14:textId="77777777" w:rsidR="00875772" w:rsidRPr="00116D4B" w:rsidRDefault="00875772" w:rsidP="00875772">
            <w:pPr>
              <w:spacing w:after="0" w:line="240" w:lineRule="auto"/>
              <w:jc w:val="center"/>
              <w:rPr>
                <w:rFonts w:eastAsiaTheme="minorEastAsia"/>
                <w:sz w:val="24"/>
                <w:szCs w:val="24"/>
                <w:lang w:eastAsia="sk-SK"/>
              </w:rPr>
            </w:pPr>
            <w:r w:rsidRPr="23BC9F89">
              <w:rPr>
                <w:rFonts w:eastAsiaTheme="minorEastAsia"/>
                <w:b/>
                <w:bCs/>
                <w:sz w:val="20"/>
                <w:szCs w:val="20"/>
                <w:lang w:eastAsia="sk-SK"/>
              </w:rPr>
              <w:t>klasifikácia</w:t>
            </w:r>
          </w:p>
        </w:tc>
        <w:tc>
          <w:tcPr>
            <w:tcW w:w="1104" w:type="dxa"/>
            <w:shd w:val="clear" w:color="auto" w:fill="C6DBF7"/>
            <w:vAlign w:val="center"/>
            <w:hideMark/>
          </w:tcPr>
          <w:p w14:paraId="3768FCD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51B8542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2780BDF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821" w:type="dxa"/>
            <w:shd w:val="clear" w:color="auto" w:fill="C6DBF7"/>
            <w:vAlign w:val="center"/>
            <w:hideMark/>
          </w:tcPr>
          <w:p w14:paraId="1104CB9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758" w:type="dxa"/>
            <w:shd w:val="clear" w:color="auto" w:fill="C6DBF7"/>
            <w:vAlign w:val="center"/>
            <w:hideMark/>
          </w:tcPr>
          <w:p w14:paraId="0002C99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78D8FA17" w14:textId="77777777" w:rsidTr="00875772">
        <w:trPr>
          <w:tblCellSpacing w:w="15" w:type="dxa"/>
        </w:trPr>
        <w:tc>
          <w:tcPr>
            <w:tcW w:w="825" w:type="dxa"/>
            <w:shd w:val="clear" w:color="auto" w:fill="D9D9D9" w:themeFill="background1" w:themeFillShade="D9"/>
            <w:noWrap/>
            <w:vAlign w:val="center"/>
            <w:hideMark/>
          </w:tcPr>
          <w:p w14:paraId="54487733" w14:textId="77777777" w:rsidR="00875772" w:rsidRPr="00116D4B" w:rsidRDefault="00875772" w:rsidP="00875772">
            <w:pPr>
              <w:spacing w:after="0" w:line="240" w:lineRule="auto"/>
              <w:jc w:val="center"/>
              <w:rPr>
                <w:rFonts w:eastAsiaTheme="minorEastAsia"/>
                <w:sz w:val="24"/>
                <w:szCs w:val="24"/>
                <w:lang w:eastAsia="sk-SK"/>
              </w:rPr>
            </w:pPr>
          </w:p>
        </w:tc>
        <w:tc>
          <w:tcPr>
            <w:tcW w:w="1510" w:type="dxa"/>
            <w:shd w:val="clear" w:color="auto" w:fill="D9D9D9" w:themeFill="background1" w:themeFillShade="D9"/>
            <w:vAlign w:val="center"/>
            <w:hideMark/>
          </w:tcPr>
          <w:p w14:paraId="7B11CA9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74952B1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1 017 486,00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19A3DCE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1 161 550,43</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3E5ECDB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1 155 323,12</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5606644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99,46</w:t>
            </w:r>
            <w:r w:rsidRPr="4F9BDBF9">
              <w:rPr>
                <w:rFonts w:eastAsiaTheme="minorEastAsia"/>
                <w:sz w:val="24"/>
                <w:szCs w:val="24"/>
                <w:lang w:eastAsia="sk-SK"/>
              </w:rPr>
              <w:t xml:space="preserve"> </w:t>
            </w:r>
          </w:p>
        </w:tc>
        <w:tc>
          <w:tcPr>
            <w:tcW w:w="3758" w:type="dxa"/>
            <w:vMerge w:val="restart"/>
            <w:shd w:val="clear" w:color="auto" w:fill="D9D9D9" w:themeFill="background1" w:themeFillShade="D9"/>
            <w:vAlign w:val="center"/>
            <w:hideMark/>
          </w:tcPr>
          <w:p w14:paraId="4E41FB97"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+94 580,60 EUR</w:t>
            </w:r>
            <w:r w:rsidRPr="23BC9F89">
              <w:rPr>
                <w:rFonts w:eastAsiaTheme="minorEastAsia"/>
                <w:sz w:val="20"/>
                <w:szCs w:val="20"/>
                <w:lang w:eastAsia="sk-SK"/>
              </w:rPr>
              <w:t xml:space="preserve"> presun z P11.3 na navýšenie mzdových prostriedkov</w:t>
            </w:r>
          </w:p>
          <w:p w14:paraId="545DBD1A"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+9 300,00 EUR </w:t>
            </w:r>
            <w:r w:rsidRPr="23BC9F89">
              <w:rPr>
                <w:rFonts w:eastAsiaTheme="minorEastAsia"/>
                <w:sz w:val="20"/>
                <w:szCs w:val="20"/>
                <w:lang w:eastAsia="sk-SK"/>
              </w:rPr>
              <w:t>presun z P11.3 na výdavky z titulu pandémie COVID 19</w:t>
            </w:r>
          </w:p>
          <w:p w14:paraId="2B2C61D8"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+31 652,00 EUR </w:t>
            </w:r>
            <w:r w:rsidRPr="23BC9F89">
              <w:rPr>
                <w:rFonts w:eastAsiaTheme="minorEastAsia"/>
                <w:sz w:val="20"/>
                <w:szCs w:val="20"/>
                <w:lang w:eastAsia="sk-SK"/>
              </w:rPr>
              <w:t>dotácia z MPSVaR SR  na mimoriadne odmeny pre zamestnancov za I. vlnu pandémie</w:t>
            </w:r>
          </w:p>
          <w:p w14:paraId="60B25550"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+2 040,00 EUR </w:t>
            </w:r>
            <w:r w:rsidRPr="23BC9F89">
              <w:rPr>
                <w:rFonts w:eastAsiaTheme="minorEastAsia"/>
                <w:sz w:val="20"/>
                <w:szCs w:val="20"/>
                <w:lang w:eastAsia="sk-SK"/>
              </w:rPr>
              <w:t>dotácia z MPSVaR SR na výživové doplnky (</w:t>
            </w:r>
            <w:proofErr w:type="spellStart"/>
            <w:r w:rsidRPr="23BC9F89">
              <w:rPr>
                <w:rFonts w:eastAsiaTheme="minorEastAsia"/>
                <w:sz w:val="20"/>
                <w:szCs w:val="20"/>
                <w:lang w:eastAsia="sk-SK"/>
              </w:rPr>
              <w:t>vit</w:t>
            </w:r>
            <w:proofErr w:type="spellEnd"/>
            <w:r w:rsidRPr="23BC9F89">
              <w:rPr>
                <w:rFonts w:eastAsiaTheme="minorEastAsia"/>
                <w:sz w:val="20"/>
                <w:szCs w:val="20"/>
                <w:lang w:eastAsia="sk-SK"/>
              </w:rPr>
              <w:t>. D3)</w:t>
            </w:r>
          </w:p>
          <w:p w14:paraId="347FC098"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-3 300,00 EUR</w:t>
            </w:r>
            <w:r w:rsidRPr="23BC9F89">
              <w:rPr>
                <w:rFonts w:eastAsiaTheme="minorEastAsia"/>
                <w:sz w:val="20"/>
                <w:szCs w:val="20"/>
                <w:lang w:eastAsia="sk-SK"/>
              </w:rPr>
              <w:t xml:space="preserve"> zníženie rozpočtu BV (</w:t>
            </w:r>
            <w:proofErr w:type="spellStart"/>
            <w:r w:rsidRPr="23BC9F89">
              <w:rPr>
                <w:rFonts w:eastAsiaTheme="minorEastAsia"/>
                <w:sz w:val="20"/>
                <w:szCs w:val="20"/>
                <w:lang w:eastAsia="sk-SK"/>
              </w:rPr>
              <w:t>Uzn</w:t>
            </w:r>
            <w:proofErr w:type="spellEnd"/>
            <w:r w:rsidRPr="23BC9F89">
              <w:rPr>
                <w:rFonts w:eastAsiaTheme="minorEastAsia"/>
                <w:sz w:val="20"/>
                <w:szCs w:val="20"/>
                <w:lang w:eastAsia="sk-SK"/>
              </w:rPr>
              <w:t>. 247/2020 z 29.5.2020) z dôvodu nenaplnených daňových príjmov</w:t>
            </w:r>
          </w:p>
          <w:p w14:paraId="240C5B97"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+2 051,83 EUR </w:t>
            </w:r>
            <w:r w:rsidRPr="23BC9F89">
              <w:rPr>
                <w:rFonts w:eastAsiaTheme="minorEastAsia"/>
                <w:sz w:val="20"/>
                <w:szCs w:val="20"/>
                <w:lang w:eastAsia="sk-SK"/>
              </w:rPr>
              <w:t>dary</w:t>
            </w:r>
          </w:p>
          <w:p w14:paraId="09227791"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+3 000,00 EUR </w:t>
            </w:r>
            <w:r w:rsidRPr="23BC9F89">
              <w:rPr>
                <w:rFonts w:eastAsiaTheme="minorEastAsia"/>
                <w:sz w:val="20"/>
                <w:szCs w:val="20"/>
                <w:lang w:eastAsia="sk-SK"/>
              </w:rPr>
              <w:t xml:space="preserve"> </w:t>
            </w:r>
            <w:proofErr w:type="spellStart"/>
            <w:r w:rsidRPr="23BC9F89">
              <w:rPr>
                <w:rFonts w:eastAsiaTheme="minorEastAsia"/>
                <w:sz w:val="20"/>
                <w:szCs w:val="20"/>
                <w:lang w:eastAsia="sk-SK"/>
              </w:rPr>
              <w:t>petangové</w:t>
            </w:r>
            <w:proofErr w:type="spellEnd"/>
            <w:r w:rsidRPr="23BC9F89">
              <w:rPr>
                <w:rFonts w:eastAsiaTheme="minorEastAsia"/>
                <w:sz w:val="20"/>
                <w:szCs w:val="20"/>
                <w:lang w:eastAsia="sk-SK"/>
              </w:rPr>
              <w:t xml:space="preserve"> ihrisko</w:t>
            </w:r>
          </w:p>
          <w:p w14:paraId="0A51A2A3"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+4 740,00 EUR </w:t>
            </w:r>
            <w:r w:rsidRPr="23BC9F89">
              <w:rPr>
                <w:rFonts w:eastAsiaTheme="minorEastAsia"/>
                <w:sz w:val="20"/>
                <w:szCs w:val="20"/>
                <w:lang w:eastAsia="sk-SK"/>
              </w:rPr>
              <w:t xml:space="preserve">vypracovanie projektu “Špecializované zariadenie pre </w:t>
            </w:r>
            <w:proofErr w:type="spellStart"/>
            <w:r w:rsidRPr="23BC9F89">
              <w:rPr>
                <w:rFonts w:eastAsiaTheme="minorEastAsia"/>
                <w:sz w:val="20"/>
                <w:szCs w:val="20"/>
                <w:lang w:eastAsia="sk-SK"/>
              </w:rPr>
              <w:t>autistov</w:t>
            </w:r>
            <w:proofErr w:type="spellEnd"/>
            <w:r w:rsidRPr="23BC9F89">
              <w:rPr>
                <w:rFonts w:eastAsiaTheme="minorEastAsia"/>
                <w:sz w:val="20"/>
                <w:szCs w:val="20"/>
                <w:lang w:eastAsia="sk-SK"/>
              </w:rPr>
              <w:t>”</w:t>
            </w:r>
          </w:p>
        </w:tc>
      </w:tr>
      <w:tr w:rsidR="00875772" w:rsidRPr="00116D4B" w14:paraId="5912C667" w14:textId="77777777" w:rsidTr="00875772">
        <w:trPr>
          <w:tblCellSpacing w:w="15" w:type="dxa"/>
        </w:trPr>
        <w:tc>
          <w:tcPr>
            <w:tcW w:w="825" w:type="dxa"/>
            <w:shd w:val="clear" w:color="auto" w:fill="D9D9D9" w:themeFill="background1" w:themeFillShade="D9"/>
            <w:noWrap/>
            <w:vAlign w:val="center"/>
            <w:hideMark/>
          </w:tcPr>
          <w:p w14:paraId="36FF2B0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510" w:type="dxa"/>
            <w:shd w:val="clear" w:color="auto" w:fill="D9D9D9" w:themeFill="background1" w:themeFillShade="D9"/>
            <w:vAlign w:val="center"/>
            <w:hideMark/>
          </w:tcPr>
          <w:p w14:paraId="7621BFD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07CAA72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1 017 486,00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047C492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1 153 810,43</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2F104FC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1 147 583,12</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1FD0D4D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99,46</w:t>
            </w:r>
            <w:r w:rsidRPr="4F9BDBF9">
              <w:rPr>
                <w:rFonts w:eastAsiaTheme="minorEastAsia"/>
                <w:sz w:val="24"/>
                <w:szCs w:val="24"/>
                <w:lang w:eastAsia="sk-SK"/>
              </w:rPr>
              <w:t xml:space="preserve"> </w:t>
            </w:r>
          </w:p>
        </w:tc>
        <w:tc>
          <w:tcPr>
            <w:tcW w:w="3758" w:type="dxa"/>
            <w:vMerge/>
            <w:shd w:val="clear" w:color="auto" w:fill="D9D9D9" w:themeFill="background1" w:themeFillShade="D9"/>
            <w:vAlign w:val="center"/>
            <w:hideMark/>
          </w:tcPr>
          <w:p w14:paraId="29811BC3"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44BCC472" w14:textId="77777777" w:rsidTr="00875772">
        <w:trPr>
          <w:tblCellSpacing w:w="15" w:type="dxa"/>
        </w:trPr>
        <w:tc>
          <w:tcPr>
            <w:tcW w:w="825" w:type="dxa"/>
            <w:shd w:val="clear" w:color="auto" w:fill="EFEFEF"/>
            <w:noWrap/>
            <w:vAlign w:val="center"/>
            <w:hideMark/>
          </w:tcPr>
          <w:p w14:paraId="405250F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510" w:type="dxa"/>
            <w:shd w:val="clear" w:color="auto" w:fill="EFEFEF"/>
            <w:vAlign w:val="center"/>
            <w:hideMark/>
          </w:tcPr>
          <w:p w14:paraId="30F8A44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104" w:type="dxa"/>
            <w:shd w:val="clear" w:color="auto" w:fill="EFEFEF"/>
            <w:noWrap/>
            <w:vAlign w:val="center"/>
            <w:hideMark/>
          </w:tcPr>
          <w:p w14:paraId="4DC38A3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566 726,00</w:t>
            </w:r>
            <w:r w:rsidRPr="4F9BDBF9">
              <w:rPr>
                <w:rFonts w:eastAsiaTheme="minorEastAsia"/>
                <w:sz w:val="24"/>
                <w:szCs w:val="24"/>
                <w:lang w:eastAsia="sk-SK"/>
              </w:rPr>
              <w:t xml:space="preserve"> </w:t>
            </w:r>
          </w:p>
        </w:tc>
        <w:tc>
          <w:tcPr>
            <w:tcW w:w="1104" w:type="dxa"/>
            <w:shd w:val="clear" w:color="auto" w:fill="EFEFEF"/>
            <w:noWrap/>
            <w:vAlign w:val="center"/>
            <w:hideMark/>
          </w:tcPr>
          <w:p w14:paraId="6199557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659 756,04</w:t>
            </w:r>
            <w:r w:rsidRPr="4F9BDBF9">
              <w:rPr>
                <w:rFonts w:eastAsiaTheme="minorEastAsia"/>
                <w:sz w:val="24"/>
                <w:szCs w:val="24"/>
                <w:lang w:eastAsia="sk-SK"/>
              </w:rPr>
              <w:t xml:space="preserve"> </w:t>
            </w:r>
          </w:p>
        </w:tc>
        <w:tc>
          <w:tcPr>
            <w:tcW w:w="1104" w:type="dxa"/>
            <w:shd w:val="clear" w:color="auto" w:fill="EFEFEF"/>
            <w:noWrap/>
            <w:vAlign w:val="center"/>
            <w:hideMark/>
          </w:tcPr>
          <w:p w14:paraId="526F892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658 945,99</w:t>
            </w:r>
            <w:r w:rsidRPr="4F9BDBF9">
              <w:rPr>
                <w:rFonts w:eastAsiaTheme="minorEastAsia"/>
                <w:sz w:val="24"/>
                <w:szCs w:val="24"/>
                <w:lang w:eastAsia="sk-SK"/>
              </w:rPr>
              <w:t xml:space="preserve"> </w:t>
            </w:r>
          </w:p>
        </w:tc>
        <w:tc>
          <w:tcPr>
            <w:tcW w:w="821" w:type="dxa"/>
            <w:shd w:val="clear" w:color="auto" w:fill="EFEFEF"/>
            <w:noWrap/>
            <w:vAlign w:val="center"/>
            <w:hideMark/>
          </w:tcPr>
          <w:p w14:paraId="1BED3A0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99,88</w:t>
            </w:r>
            <w:r w:rsidRPr="4F9BDBF9">
              <w:rPr>
                <w:rFonts w:eastAsiaTheme="minorEastAsia"/>
                <w:sz w:val="24"/>
                <w:szCs w:val="24"/>
                <w:lang w:eastAsia="sk-SK"/>
              </w:rPr>
              <w:t xml:space="preserve"> </w:t>
            </w:r>
          </w:p>
        </w:tc>
        <w:tc>
          <w:tcPr>
            <w:tcW w:w="3758" w:type="dxa"/>
            <w:vMerge/>
            <w:vAlign w:val="center"/>
            <w:hideMark/>
          </w:tcPr>
          <w:p w14:paraId="76D782AB"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7C9B81F2" w14:textId="77777777" w:rsidTr="00875772">
        <w:trPr>
          <w:tblCellSpacing w:w="15" w:type="dxa"/>
        </w:trPr>
        <w:tc>
          <w:tcPr>
            <w:tcW w:w="825" w:type="dxa"/>
            <w:shd w:val="clear" w:color="auto" w:fill="EFEFEF"/>
            <w:noWrap/>
            <w:vAlign w:val="center"/>
            <w:hideMark/>
          </w:tcPr>
          <w:p w14:paraId="18C919A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510" w:type="dxa"/>
            <w:shd w:val="clear" w:color="auto" w:fill="EFEFEF"/>
            <w:vAlign w:val="center"/>
            <w:hideMark/>
          </w:tcPr>
          <w:p w14:paraId="75EA56D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104" w:type="dxa"/>
            <w:shd w:val="clear" w:color="auto" w:fill="EFEFEF"/>
            <w:noWrap/>
            <w:vAlign w:val="center"/>
            <w:hideMark/>
          </w:tcPr>
          <w:p w14:paraId="3A1245E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208 354,00</w:t>
            </w:r>
            <w:r w:rsidRPr="4F9BDBF9">
              <w:rPr>
                <w:rFonts w:eastAsiaTheme="minorEastAsia"/>
                <w:sz w:val="24"/>
                <w:szCs w:val="24"/>
                <w:lang w:eastAsia="sk-SK"/>
              </w:rPr>
              <w:t xml:space="preserve"> </w:t>
            </w:r>
          </w:p>
        </w:tc>
        <w:tc>
          <w:tcPr>
            <w:tcW w:w="1104" w:type="dxa"/>
            <w:shd w:val="clear" w:color="auto" w:fill="EFEFEF"/>
            <w:noWrap/>
            <w:vAlign w:val="center"/>
            <w:hideMark/>
          </w:tcPr>
          <w:p w14:paraId="6A1099F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234 705,48</w:t>
            </w:r>
            <w:r w:rsidRPr="4F9BDBF9">
              <w:rPr>
                <w:rFonts w:eastAsiaTheme="minorEastAsia"/>
                <w:sz w:val="24"/>
                <w:szCs w:val="24"/>
                <w:lang w:eastAsia="sk-SK"/>
              </w:rPr>
              <w:t xml:space="preserve"> </w:t>
            </w:r>
          </w:p>
        </w:tc>
        <w:tc>
          <w:tcPr>
            <w:tcW w:w="1104" w:type="dxa"/>
            <w:shd w:val="clear" w:color="auto" w:fill="EFEFEF"/>
            <w:noWrap/>
            <w:vAlign w:val="center"/>
            <w:hideMark/>
          </w:tcPr>
          <w:p w14:paraId="19F06E6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234 277,51</w:t>
            </w:r>
            <w:r w:rsidRPr="4F9BDBF9">
              <w:rPr>
                <w:rFonts w:eastAsiaTheme="minorEastAsia"/>
                <w:sz w:val="24"/>
                <w:szCs w:val="24"/>
                <w:lang w:eastAsia="sk-SK"/>
              </w:rPr>
              <w:t xml:space="preserve"> </w:t>
            </w:r>
          </w:p>
        </w:tc>
        <w:tc>
          <w:tcPr>
            <w:tcW w:w="821" w:type="dxa"/>
            <w:shd w:val="clear" w:color="auto" w:fill="EFEFEF"/>
            <w:noWrap/>
            <w:vAlign w:val="center"/>
            <w:hideMark/>
          </w:tcPr>
          <w:p w14:paraId="37C84A0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99,82</w:t>
            </w:r>
            <w:r w:rsidRPr="4F9BDBF9">
              <w:rPr>
                <w:rFonts w:eastAsiaTheme="minorEastAsia"/>
                <w:sz w:val="24"/>
                <w:szCs w:val="24"/>
                <w:lang w:eastAsia="sk-SK"/>
              </w:rPr>
              <w:t xml:space="preserve"> </w:t>
            </w:r>
          </w:p>
        </w:tc>
        <w:tc>
          <w:tcPr>
            <w:tcW w:w="3758" w:type="dxa"/>
            <w:vMerge/>
            <w:vAlign w:val="center"/>
            <w:hideMark/>
          </w:tcPr>
          <w:p w14:paraId="19CD8607"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7BBAEFE" w14:textId="77777777" w:rsidTr="00875772">
        <w:trPr>
          <w:tblCellSpacing w:w="15" w:type="dxa"/>
        </w:trPr>
        <w:tc>
          <w:tcPr>
            <w:tcW w:w="825" w:type="dxa"/>
            <w:shd w:val="clear" w:color="auto" w:fill="EFEFEF"/>
            <w:noWrap/>
            <w:vAlign w:val="center"/>
            <w:hideMark/>
          </w:tcPr>
          <w:p w14:paraId="74D5251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510" w:type="dxa"/>
            <w:shd w:val="clear" w:color="auto" w:fill="EFEFEF"/>
            <w:vAlign w:val="center"/>
            <w:hideMark/>
          </w:tcPr>
          <w:p w14:paraId="2FFCA6B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104" w:type="dxa"/>
            <w:shd w:val="clear" w:color="auto" w:fill="EFEFEF"/>
            <w:noWrap/>
            <w:vAlign w:val="center"/>
            <w:hideMark/>
          </w:tcPr>
          <w:p w14:paraId="0A949FB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240 136,00</w:t>
            </w:r>
            <w:r w:rsidRPr="4F9BDBF9">
              <w:rPr>
                <w:rFonts w:eastAsiaTheme="minorEastAsia"/>
                <w:sz w:val="24"/>
                <w:szCs w:val="24"/>
                <w:lang w:eastAsia="sk-SK"/>
              </w:rPr>
              <w:t xml:space="preserve"> </w:t>
            </w:r>
          </w:p>
        </w:tc>
        <w:tc>
          <w:tcPr>
            <w:tcW w:w="1104" w:type="dxa"/>
            <w:shd w:val="clear" w:color="auto" w:fill="EFEFEF"/>
            <w:noWrap/>
            <w:vAlign w:val="center"/>
            <w:hideMark/>
          </w:tcPr>
          <w:p w14:paraId="02BFCBC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250 947,91</w:t>
            </w:r>
            <w:r w:rsidRPr="4F9BDBF9">
              <w:rPr>
                <w:rFonts w:eastAsiaTheme="minorEastAsia"/>
                <w:sz w:val="24"/>
                <w:szCs w:val="24"/>
                <w:lang w:eastAsia="sk-SK"/>
              </w:rPr>
              <w:t xml:space="preserve"> </w:t>
            </w:r>
          </w:p>
        </w:tc>
        <w:tc>
          <w:tcPr>
            <w:tcW w:w="1104" w:type="dxa"/>
            <w:shd w:val="clear" w:color="auto" w:fill="EFEFEF"/>
            <w:noWrap/>
            <w:vAlign w:val="center"/>
            <w:hideMark/>
          </w:tcPr>
          <w:p w14:paraId="12FA6AA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246 645,09</w:t>
            </w:r>
            <w:r w:rsidRPr="4F9BDBF9">
              <w:rPr>
                <w:rFonts w:eastAsiaTheme="minorEastAsia"/>
                <w:sz w:val="24"/>
                <w:szCs w:val="24"/>
                <w:lang w:eastAsia="sk-SK"/>
              </w:rPr>
              <w:t xml:space="preserve"> </w:t>
            </w:r>
          </w:p>
        </w:tc>
        <w:tc>
          <w:tcPr>
            <w:tcW w:w="821" w:type="dxa"/>
            <w:shd w:val="clear" w:color="auto" w:fill="EFEFEF"/>
            <w:noWrap/>
            <w:vAlign w:val="center"/>
            <w:hideMark/>
          </w:tcPr>
          <w:p w14:paraId="2BD9D00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98,29</w:t>
            </w:r>
            <w:r w:rsidRPr="4F9BDBF9">
              <w:rPr>
                <w:rFonts w:eastAsiaTheme="minorEastAsia"/>
                <w:sz w:val="24"/>
                <w:szCs w:val="24"/>
                <w:lang w:eastAsia="sk-SK"/>
              </w:rPr>
              <w:t xml:space="preserve"> </w:t>
            </w:r>
          </w:p>
        </w:tc>
        <w:tc>
          <w:tcPr>
            <w:tcW w:w="3758" w:type="dxa"/>
            <w:vMerge/>
            <w:vAlign w:val="center"/>
            <w:hideMark/>
          </w:tcPr>
          <w:p w14:paraId="5E0E5ABB"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335C971A" w14:textId="77777777" w:rsidTr="00875772">
        <w:trPr>
          <w:tblCellSpacing w:w="15" w:type="dxa"/>
        </w:trPr>
        <w:tc>
          <w:tcPr>
            <w:tcW w:w="825" w:type="dxa"/>
            <w:shd w:val="clear" w:color="auto" w:fill="EFEFEF"/>
            <w:noWrap/>
            <w:vAlign w:val="center"/>
            <w:hideMark/>
          </w:tcPr>
          <w:p w14:paraId="2635382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510" w:type="dxa"/>
            <w:shd w:val="clear" w:color="auto" w:fill="EFEFEF"/>
            <w:vAlign w:val="center"/>
            <w:hideMark/>
          </w:tcPr>
          <w:p w14:paraId="62B880B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104" w:type="dxa"/>
            <w:shd w:val="clear" w:color="auto" w:fill="EFEFEF"/>
            <w:noWrap/>
            <w:vAlign w:val="center"/>
            <w:hideMark/>
          </w:tcPr>
          <w:p w14:paraId="5B2DF38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2 270,00</w:t>
            </w:r>
            <w:r w:rsidRPr="4F9BDBF9">
              <w:rPr>
                <w:rFonts w:eastAsiaTheme="minorEastAsia"/>
                <w:sz w:val="24"/>
                <w:szCs w:val="24"/>
                <w:lang w:eastAsia="sk-SK"/>
              </w:rPr>
              <w:t xml:space="preserve"> </w:t>
            </w:r>
          </w:p>
        </w:tc>
        <w:tc>
          <w:tcPr>
            <w:tcW w:w="1104" w:type="dxa"/>
            <w:shd w:val="clear" w:color="auto" w:fill="EFEFEF"/>
            <w:noWrap/>
            <w:vAlign w:val="center"/>
            <w:hideMark/>
          </w:tcPr>
          <w:p w14:paraId="0CE5154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8 401,00</w:t>
            </w:r>
            <w:r w:rsidRPr="4F9BDBF9">
              <w:rPr>
                <w:rFonts w:eastAsiaTheme="minorEastAsia"/>
                <w:sz w:val="24"/>
                <w:szCs w:val="24"/>
                <w:lang w:eastAsia="sk-SK"/>
              </w:rPr>
              <w:t xml:space="preserve"> </w:t>
            </w:r>
          </w:p>
        </w:tc>
        <w:tc>
          <w:tcPr>
            <w:tcW w:w="1104" w:type="dxa"/>
            <w:shd w:val="clear" w:color="auto" w:fill="EFEFEF"/>
            <w:noWrap/>
            <w:vAlign w:val="center"/>
            <w:hideMark/>
          </w:tcPr>
          <w:p w14:paraId="4B6D3ED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7 714,53</w:t>
            </w:r>
            <w:r w:rsidRPr="4F9BDBF9">
              <w:rPr>
                <w:rFonts w:eastAsiaTheme="minorEastAsia"/>
                <w:sz w:val="24"/>
                <w:szCs w:val="24"/>
                <w:lang w:eastAsia="sk-SK"/>
              </w:rPr>
              <w:t xml:space="preserve"> </w:t>
            </w:r>
          </w:p>
        </w:tc>
        <w:tc>
          <w:tcPr>
            <w:tcW w:w="821" w:type="dxa"/>
            <w:shd w:val="clear" w:color="auto" w:fill="EFEFEF"/>
            <w:noWrap/>
            <w:vAlign w:val="center"/>
            <w:hideMark/>
          </w:tcPr>
          <w:p w14:paraId="390FE0D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91,83</w:t>
            </w:r>
            <w:r w:rsidRPr="4F9BDBF9">
              <w:rPr>
                <w:rFonts w:eastAsiaTheme="minorEastAsia"/>
                <w:sz w:val="24"/>
                <w:szCs w:val="24"/>
                <w:lang w:eastAsia="sk-SK"/>
              </w:rPr>
              <w:t xml:space="preserve"> </w:t>
            </w:r>
          </w:p>
        </w:tc>
        <w:tc>
          <w:tcPr>
            <w:tcW w:w="3758" w:type="dxa"/>
            <w:vMerge/>
            <w:vAlign w:val="center"/>
            <w:hideMark/>
          </w:tcPr>
          <w:p w14:paraId="3130ACA9"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D4F4841" w14:textId="77777777" w:rsidTr="00875772">
        <w:trPr>
          <w:tblCellSpacing w:w="15" w:type="dxa"/>
        </w:trPr>
        <w:tc>
          <w:tcPr>
            <w:tcW w:w="825" w:type="dxa"/>
            <w:shd w:val="clear" w:color="auto" w:fill="D9D9D9" w:themeFill="background1" w:themeFillShade="D9"/>
            <w:noWrap/>
            <w:vAlign w:val="center"/>
            <w:hideMark/>
          </w:tcPr>
          <w:p w14:paraId="021D93C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700</w:t>
            </w:r>
            <w:r w:rsidRPr="4F9BDBF9">
              <w:rPr>
                <w:rFonts w:eastAsiaTheme="minorEastAsia"/>
                <w:sz w:val="24"/>
                <w:szCs w:val="24"/>
                <w:lang w:eastAsia="sk-SK"/>
              </w:rPr>
              <w:t xml:space="preserve"> </w:t>
            </w:r>
          </w:p>
        </w:tc>
        <w:tc>
          <w:tcPr>
            <w:tcW w:w="1510" w:type="dxa"/>
            <w:shd w:val="clear" w:color="auto" w:fill="D9D9D9" w:themeFill="background1" w:themeFillShade="D9"/>
            <w:vAlign w:val="center"/>
            <w:hideMark/>
          </w:tcPr>
          <w:p w14:paraId="43BA9F7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698398B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78861C6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7 740,00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4BFBEA7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7 740,00</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1A5FA63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100,00</w:t>
            </w:r>
            <w:r w:rsidRPr="4F9BDBF9">
              <w:rPr>
                <w:rFonts w:eastAsiaTheme="minorEastAsia"/>
                <w:sz w:val="24"/>
                <w:szCs w:val="24"/>
                <w:lang w:eastAsia="sk-SK"/>
              </w:rPr>
              <w:t xml:space="preserve"> </w:t>
            </w:r>
          </w:p>
        </w:tc>
        <w:tc>
          <w:tcPr>
            <w:tcW w:w="3758" w:type="dxa"/>
            <w:vMerge/>
            <w:vAlign w:val="center"/>
            <w:hideMark/>
          </w:tcPr>
          <w:p w14:paraId="62792A0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8879D51" w14:textId="77777777" w:rsidTr="00875772">
        <w:trPr>
          <w:tblCellSpacing w:w="15" w:type="dxa"/>
        </w:trPr>
        <w:tc>
          <w:tcPr>
            <w:tcW w:w="825" w:type="dxa"/>
            <w:shd w:val="clear" w:color="auto" w:fill="EFEFEF"/>
            <w:noWrap/>
            <w:vAlign w:val="center"/>
            <w:hideMark/>
          </w:tcPr>
          <w:p w14:paraId="4593D86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710</w:t>
            </w:r>
            <w:r w:rsidRPr="4F9BDBF9">
              <w:rPr>
                <w:rFonts w:eastAsiaTheme="minorEastAsia"/>
                <w:sz w:val="24"/>
                <w:szCs w:val="24"/>
                <w:lang w:eastAsia="sk-SK"/>
              </w:rPr>
              <w:t xml:space="preserve"> </w:t>
            </w:r>
          </w:p>
        </w:tc>
        <w:tc>
          <w:tcPr>
            <w:tcW w:w="1510" w:type="dxa"/>
            <w:shd w:val="clear" w:color="auto" w:fill="EFEFEF"/>
            <w:vAlign w:val="center"/>
            <w:hideMark/>
          </w:tcPr>
          <w:p w14:paraId="53E1CBBF"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1104" w:type="dxa"/>
            <w:shd w:val="clear" w:color="auto" w:fill="EFEFEF"/>
            <w:noWrap/>
            <w:vAlign w:val="center"/>
            <w:hideMark/>
          </w:tcPr>
          <w:p w14:paraId="1852408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1104" w:type="dxa"/>
            <w:shd w:val="clear" w:color="auto" w:fill="EFEFEF"/>
            <w:noWrap/>
            <w:vAlign w:val="center"/>
            <w:hideMark/>
          </w:tcPr>
          <w:p w14:paraId="2682EC6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7 740,00</w:t>
            </w:r>
            <w:r w:rsidRPr="4F9BDBF9">
              <w:rPr>
                <w:rFonts w:eastAsiaTheme="minorEastAsia"/>
                <w:sz w:val="24"/>
                <w:szCs w:val="24"/>
                <w:lang w:eastAsia="sk-SK"/>
              </w:rPr>
              <w:t xml:space="preserve"> </w:t>
            </w:r>
          </w:p>
        </w:tc>
        <w:tc>
          <w:tcPr>
            <w:tcW w:w="1104" w:type="dxa"/>
            <w:shd w:val="clear" w:color="auto" w:fill="EFEFEF"/>
            <w:noWrap/>
            <w:vAlign w:val="center"/>
            <w:hideMark/>
          </w:tcPr>
          <w:p w14:paraId="07B36E4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7 740,00</w:t>
            </w:r>
            <w:r w:rsidRPr="4F9BDBF9">
              <w:rPr>
                <w:rFonts w:eastAsiaTheme="minorEastAsia"/>
                <w:sz w:val="24"/>
                <w:szCs w:val="24"/>
                <w:lang w:eastAsia="sk-SK"/>
              </w:rPr>
              <w:t xml:space="preserve"> </w:t>
            </w:r>
          </w:p>
        </w:tc>
        <w:tc>
          <w:tcPr>
            <w:tcW w:w="821" w:type="dxa"/>
            <w:shd w:val="clear" w:color="auto" w:fill="EFEFEF"/>
            <w:noWrap/>
            <w:vAlign w:val="center"/>
            <w:hideMark/>
          </w:tcPr>
          <w:p w14:paraId="099A6B3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3758" w:type="dxa"/>
            <w:vMerge/>
            <w:vAlign w:val="center"/>
            <w:hideMark/>
          </w:tcPr>
          <w:p w14:paraId="0410EE03" w14:textId="77777777" w:rsidR="00875772" w:rsidRPr="00116D4B" w:rsidRDefault="00875772" w:rsidP="00875772">
            <w:pPr>
              <w:spacing w:after="0" w:line="240" w:lineRule="auto"/>
              <w:rPr>
                <w:rFonts w:ascii="Times New Roman" w:hAnsi="Times New Roman"/>
                <w:sz w:val="24"/>
                <w:szCs w:val="24"/>
                <w:lang w:eastAsia="sk-SK"/>
              </w:rPr>
            </w:pPr>
          </w:p>
        </w:tc>
      </w:tr>
    </w:tbl>
    <w:p w14:paraId="25AAF70E"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6BF1E1C4" w14:textId="77777777" w:rsidTr="00875772">
        <w:trPr>
          <w:tblCellSpacing w:w="15" w:type="dxa"/>
        </w:trPr>
        <w:tc>
          <w:tcPr>
            <w:tcW w:w="0" w:type="auto"/>
            <w:shd w:val="clear" w:color="auto" w:fill="C2D69B"/>
            <w:vAlign w:val="center"/>
            <w:hideMark/>
          </w:tcPr>
          <w:p w14:paraId="2AD4AAA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3BA2B47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267D8589" w14:textId="77777777" w:rsidTr="00875772">
        <w:trPr>
          <w:tblCellSpacing w:w="15" w:type="dxa"/>
        </w:trPr>
        <w:tc>
          <w:tcPr>
            <w:tcW w:w="0" w:type="auto"/>
            <w:shd w:val="clear" w:color="auto" w:fill="C2D69B"/>
            <w:vAlign w:val="center"/>
            <w:hideMark/>
          </w:tcPr>
          <w:p w14:paraId="396F004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726BA3F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27867327" w14:textId="77777777" w:rsidTr="00875772">
        <w:trPr>
          <w:tblCellSpacing w:w="15" w:type="dxa"/>
        </w:trPr>
        <w:tc>
          <w:tcPr>
            <w:tcW w:w="0" w:type="auto"/>
            <w:shd w:val="clear" w:color="auto" w:fill="C2D69B"/>
            <w:vAlign w:val="center"/>
            <w:hideMark/>
          </w:tcPr>
          <w:p w14:paraId="38788DB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03E29BF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75A56434" w14:textId="77777777" w:rsidTr="00875772">
        <w:trPr>
          <w:tblCellSpacing w:w="15" w:type="dxa"/>
        </w:trPr>
        <w:tc>
          <w:tcPr>
            <w:tcW w:w="0" w:type="auto"/>
            <w:shd w:val="clear" w:color="auto" w:fill="C2D69B"/>
            <w:vAlign w:val="center"/>
            <w:hideMark/>
          </w:tcPr>
          <w:p w14:paraId="6BFC74E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4F1CFA8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25C3498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4FE8CD5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311B0BE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36ACA1E8" w14:textId="77777777" w:rsidTr="00875772">
        <w:trPr>
          <w:tblCellSpacing w:w="15" w:type="dxa"/>
        </w:trPr>
        <w:tc>
          <w:tcPr>
            <w:tcW w:w="0" w:type="auto"/>
            <w:shd w:val="clear" w:color="auto" w:fill="C2D69B"/>
            <w:vAlign w:val="center"/>
            <w:hideMark/>
          </w:tcPr>
          <w:p w14:paraId="6502085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1A05D4C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6CC0CFD3"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95</w:t>
            </w:r>
            <w:r w:rsidRPr="3E14EAE1">
              <w:rPr>
                <w:rFonts w:eastAsiaTheme="minorEastAsia"/>
                <w:sz w:val="24"/>
                <w:szCs w:val="24"/>
                <w:lang w:eastAsia="sk-SK"/>
              </w:rPr>
              <w:t xml:space="preserve"> </w:t>
            </w:r>
          </w:p>
        </w:tc>
        <w:tc>
          <w:tcPr>
            <w:tcW w:w="0" w:type="auto"/>
            <w:shd w:val="clear" w:color="auto" w:fill="C2D69B"/>
            <w:vAlign w:val="center"/>
            <w:hideMark/>
          </w:tcPr>
          <w:p w14:paraId="3BF1C35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44DEE965" w14:textId="77777777" w:rsidR="00875772" w:rsidRPr="00116D4B" w:rsidRDefault="00875772" w:rsidP="00875772">
            <w:pPr>
              <w:spacing w:after="0" w:line="240" w:lineRule="auto"/>
              <w:jc w:val="center"/>
              <w:rPr>
                <w:rFonts w:eastAsiaTheme="minorEastAsia"/>
                <w:sz w:val="24"/>
                <w:szCs w:val="24"/>
                <w:lang w:eastAsia="sk-SK"/>
              </w:rPr>
            </w:pPr>
          </w:p>
        </w:tc>
      </w:tr>
    </w:tbl>
    <w:p w14:paraId="17CC0F6F"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11.1.13: DSS Senec – Báhoň</w:t>
      </w:r>
    </w:p>
    <w:p w14:paraId="0A78DA1D" w14:textId="77777777" w:rsidR="00875772" w:rsidRPr="00116D4B" w:rsidRDefault="00875772" w:rsidP="00875772">
      <w:pPr>
        <w:spacing w:before="100" w:beforeAutospacing="1" w:after="100" w:afterAutospacing="1" w:line="240" w:lineRule="auto"/>
        <w:rPr>
          <w:rFonts w:eastAsiaTheme="minorEastAsia"/>
          <w:lang w:eastAsia="sk-SK"/>
        </w:rPr>
      </w:pPr>
      <w:r w:rsidRPr="4F9BDBF9">
        <w:rPr>
          <w:rFonts w:eastAsiaTheme="minorEastAsia"/>
          <w:b/>
          <w:bCs/>
          <w:lang w:eastAsia="sk-SK"/>
        </w:rPr>
        <w:t xml:space="preserve">Komentár: </w:t>
      </w:r>
      <w:r w:rsidRPr="4F9BDBF9">
        <w:rPr>
          <w:rFonts w:eastAsiaTheme="minorEastAsia"/>
          <w:lang w:eastAsia="sk-SK"/>
        </w:rPr>
        <w:t xml:space="preserve">S účinnosťou od 1.1.2011 bol Domov sociálnych služieb, </w:t>
      </w:r>
      <w:proofErr w:type="spellStart"/>
      <w:r w:rsidRPr="4F9BDBF9">
        <w:rPr>
          <w:rFonts w:eastAsiaTheme="minorEastAsia"/>
          <w:lang w:eastAsia="sk-SK"/>
        </w:rPr>
        <w:t>Lichnerova</w:t>
      </w:r>
      <w:proofErr w:type="spellEnd"/>
      <w:r w:rsidRPr="4F9BDBF9">
        <w:rPr>
          <w:rFonts w:eastAsiaTheme="minorEastAsia"/>
          <w:lang w:eastAsia="sk-SK"/>
        </w:rPr>
        <w:t xml:space="preserve"> 86, Senec, zlúčený s Domovom sociálnych služieb pre deti a dospelých INTEGRA, </w:t>
      </w:r>
      <w:proofErr w:type="spellStart"/>
      <w:r w:rsidRPr="4F9BDBF9">
        <w:rPr>
          <w:rFonts w:eastAsiaTheme="minorEastAsia"/>
          <w:lang w:eastAsia="sk-SK"/>
        </w:rPr>
        <w:t>Tylova</w:t>
      </w:r>
      <w:proofErr w:type="spellEnd"/>
      <w:r w:rsidRPr="4F9BDBF9">
        <w:rPr>
          <w:rFonts w:eastAsiaTheme="minorEastAsia"/>
          <w:lang w:eastAsia="sk-SK"/>
        </w:rPr>
        <w:t xml:space="preserve"> 21, Bratislava. Právnym nástupcom sa stal Domov sociálnych služieb pre deti a dospelých INTEGRA, </w:t>
      </w:r>
      <w:proofErr w:type="spellStart"/>
      <w:r w:rsidRPr="4F9BDBF9">
        <w:rPr>
          <w:rFonts w:eastAsiaTheme="minorEastAsia"/>
          <w:lang w:eastAsia="sk-SK"/>
        </w:rPr>
        <w:t>Tylova</w:t>
      </w:r>
      <w:proofErr w:type="spellEnd"/>
      <w:r w:rsidRPr="4F9BDBF9">
        <w:rPr>
          <w:rFonts w:eastAsiaTheme="minorEastAsia"/>
          <w:lang w:eastAsia="sk-SK"/>
        </w:rPr>
        <w:t xml:space="preserve"> 21, Bratislava.</w:t>
      </w:r>
    </w:p>
    <w:p w14:paraId="3544DA31" w14:textId="77777777" w:rsidR="00352CED" w:rsidRDefault="00352CED" w:rsidP="00875772">
      <w:pPr>
        <w:spacing w:before="100" w:beforeAutospacing="1" w:after="100" w:afterAutospacing="1" w:line="240" w:lineRule="auto"/>
        <w:outlineLvl w:val="3"/>
        <w:rPr>
          <w:rFonts w:eastAsiaTheme="minorEastAsia"/>
          <w:b/>
          <w:bCs/>
          <w:color w:val="244061"/>
          <w:sz w:val="24"/>
          <w:szCs w:val="24"/>
          <w:lang w:eastAsia="sk-SK"/>
        </w:rPr>
      </w:pPr>
    </w:p>
    <w:p w14:paraId="3F5D9544" w14:textId="77777777" w:rsidR="00352CED" w:rsidRDefault="00352CED" w:rsidP="00875772">
      <w:pPr>
        <w:spacing w:before="100" w:beforeAutospacing="1" w:after="100" w:afterAutospacing="1" w:line="240" w:lineRule="auto"/>
        <w:outlineLvl w:val="3"/>
        <w:rPr>
          <w:rFonts w:eastAsiaTheme="minorEastAsia"/>
          <w:b/>
          <w:bCs/>
          <w:color w:val="244061"/>
          <w:sz w:val="24"/>
          <w:szCs w:val="24"/>
          <w:lang w:eastAsia="sk-SK"/>
        </w:rPr>
      </w:pPr>
    </w:p>
    <w:p w14:paraId="59543445" w14:textId="2D7367B0"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lastRenderedPageBreak/>
        <w:t>Prvok 11.1.14: DSS a zariadenie pre seniorov Rača</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540"/>
        <w:gridCol w:w="1134"/>
        <w:gridCol w:w="1134"/>
        <w:gridCol w:w="1134"/>
        <w:gridCol w:w="992"/>
        <w:gridCol w:w="3662"/>
      </w:tblGrid>
      <w:tr w:rsidR="00875772" w:rsidRPr="00116D4B" w14:paraId="0A42EB86" w14:textId="77777777" w:rsidTr="00875772">
        <w:trPr>
          <w:tblCellSpacing w:w="15" w:type="dxa"/>
        </w:trPr>
        <w:tc>
          <w:tcPr>
            <w:tcW w:w="825" w:type="dxa"/>
            <w:shd w:val="clear" w:color="auto" w:fill="C6DBF7"/>
            <w:vAlign w:val="center"/>
            <w:hideMark/>
          </w:tcPr>
          <w:p w14:paraId="0E661B9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510" w:type="dxa"/>
            <w:shd w:val="clear" w:color="auto" w:fill="C6DBF7"/>
            <w:vAlign w:val="center"/>
            <w:hideMark/>
          </w:tcPr>
          <w:p w14:paraId="7E3CAE71" w14:textId="77777777" w:rsidR="00875772" w:rsidRPr="00116D4B" w:rsidRDefault="00875772" w:rsidP="00875772">
            <w:pPr>
              <w:spacing w:after="0" w:line="240" w:lineRule="auto"/>
              <w:jc w:val="center"/>
              <w:rPr>
                <w:rFonts w:eastAsiaTheme="minorEastAsia"/>
                <w:sz w:val="24"/>
                <w:szCs w:val="24"/>
                <w:lang w:eastAsia="sk-SK"/>
              </w:rPr>
            </w:pPr>
            <w:r w:rsidRPr="23BC9F89">
              <w:rPr>
                <w:rFonts w:eastAsiaTheme="minorEastAsia"/>
                <w:b/>
                <w:bCs/>
                <w:sz w:val="20"/>
                <w:szCs w:val="20"/>
                <w:lang w:eastAsia="sk-SK"/>
              </w:rPr>
              <w:t>Ekonomická </w:t>
            </w:r>
          </w:p>
          <w:p w14:paraId="78FD0F4C" w14:textId="77777777" w:rsidR="00875772" w:rsidRPr="00116D4B" w:rsidRDefault="00875772" w:rsidP="00875772">
            <w:pPr>
              <w:spacing w:after="0" w:line="240" w:lineRule="auto"/>
              <w:jc w:val="center"/>
              <w:rPr>
                <w:rFonts w:eastAsiaTheme="minorEastAsia"/>
                <w:sz w:val="24"/>
                <w:szCs w:val="24"/>
                <w:lang w:eastAsia="sk-SK"/>
              </w:rPr>
            </w:pPr>
            <w:r w:rsidRPr="23BC9F89">
              <w:rPr>
                <w:rFonts w:eastAsiaTheme="minorEastAsia"/>
                <w:b/>
                <w:bCs/>
                <w:sz w:val="20"/>
                <w:szCs w:val="20"/>
                <w:lang w:eastAsia="sk-SK"/>
              </w:rPr>
              <w:t>klasifikácia</w:t>
            </w:r>
          </w:p>
        </w:tc>
        <w:tc>
          <w:tcPr>
            <w:tcW w:w="1104" w:type="dxa"/>
            <w:shd w:val="clear" w:color="auto" w:fill="C6DBF7"/>
            <w:vAlign w:val="center"/>
            <w:hideMark/>
          </w:tcPr>
          <w:p w14:paraId="1F40C65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130557C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4F04A61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962" w:type="dxa"/>
            <w:shd w:val="clear" w:color="auto" w:fill="C6DBF7"/>
            <w:vAlign w:val="center"/>
            <w:hideMark/>
          </w:tcPr>
          <w:p w14:paraId="00656AF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617" w:type="dxa"/>
            <w:shd w:val="clear" w:color="auto" w:fill="C6DBF7"/>
            <w:vAlign w:val="center"/>
            <w:hideMark/>
          </w:tcPr>
          <w:p w14:paraId="4DC4998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5F642080" w14:textId="77777777" w:rsidTr="00875772">
        <w:trPr>
          <w:tblCellSpacing w:w="15" w:type="dxa"/>
        </w:trPr>
        <w:tc>
          <w:tcPr>
            <w:tcW w:w="825" w:type="dxa"/>
            <w:shd w:val="clear" w:color="auto" w:fill="D9D9D9" w:themeFill="background1" w:themeFillShade="D9"/>
            <w:noWrap/>
            <w:vAlign w:val="center"/>
            <w:hideMark/>
          </w:tcPr>
          <w:p w14:paraId="445231DF" w14:textId="77777777" w:rsidR="00875772" w:rsidRPr="00116D4B" w:rsidRDefault="00875772" w:rsidP="00875772">
            <w:pPr>
              <w:spacing w:after="0" w:line="240" w:lineRule="auto"/>
              <w:jc w:val="center"/>
              <w:rPr>
                <w:rFonts w:eastAsiaTheme="minorEastAsia"/>
                <w:sz w:val="24"/>
                <w:szCs w:val="24"/>
                <w:lang w:eastAsia="sk-SK"/>
              </w:rPr>
            </w:pPr>
          </w:p>
        </w:tc>
        <w:tc>
          <w:tcPr>
            <w:tcW w:w="1510" w:type="dxa"/>
            <w:shd w:val="clear" w:color="auto" w:fill="D9D9D9" w:themeFill="background1" w:themeFillShade="D9"/>
            <w:vAlign w:val="center"/>
            <w:hideMark/>
          </w:tcPr>
          <w:p w14:paraId="205008B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396AF9A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3 031 483,00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57F80C6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3 138 670,09</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61FFAC1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3 130 685,95</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287AF4A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99,75</w:t>
            </w:r>
            <w:r w:rsidRPr="4F9BDBF9">
              <w:rPr>
                <w:rFonts w:eastAsiaTheme="minorEastAsia"/>
                <w:sz w:val="24"/>
                <w:szCs w:val="24"/>
                <w:lang w:eastAsia="sk-SK"/>
              </w:rPr>
              <w:t xml:space="preserve"> </w:t>
            </w:r>
          </w:p>
        </w:tc>
        <w:tc>
          <w:tcPr>
            <w:tcW w:w="3617" w:type="dxa"/>
            <w:vMerge w:val="restart"/>
            <w:shd w:val="clear" w:color="auto" w:fill="D9D9D9" w:themeFill="background1" w:themeFillShade="D9"/>
            <w:vAlign w:val="center"/>
            <w:hideMark/>
          </w:tcPr>
          <w:p w14:paraId="1008B13E"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+39 910,23 EUR</w:t>
            </w:r>
            <w:r w:rsidRPr="23BC9F89">
              <w:rPr>
                <w:rFonts w:eastAsiaTheme="minorEastAsia"/>
                <w:sz w:val="20"/>
                <w:szCs w:val="20"/>
                <w:lang w:eastAsia="sk-SK"/>
              </w:rPr>
              <w:t xml:space="preserve"> presun z P11.3 na navýšenie mzdových prostriedkov</w:t>
            </w:r>
          </w:p>
          <w:p w14:paraId="388453B1"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+1 620,00 EUR </w:t>
            </w:r>
            <w:r w:rsidRPr="23BC9F89">
              <w:rPr>
                <w:rFonts w:eastAsiaTheme="minorEastAsia"/>
                <w:sz w:val="20"/>
                <w:szCs w:val="20"/>
                <w:lang w:eastAsia="sk-SK"/>
              </w:rPr>
              <w:t xml:space="preserve"> presun z P11.3 na zakúpenie rehabilitačného trenažéra</w:t>
            </w:r>
          </w:p>
          <w:p w14:paraId="478B81AB"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+77 779,00 EUR </w:t>
            </w:r>
            <w:r w:rsidRPr="23BC9F89">
              <w:rPr>
                <w:rFonts w:eastAsiaTheme="minorEastAsia"/>
                <w:sz w:val="20"/>
                <w:szCs w:val="20"/>
                <w:lang w:eastAsia="sk-SK"/>
              </w:rPr>
              <w:t>dotácia z MPSVaR SR  na mimoriadne odmeny pre zamestnancov za I. vlnu pandémie</w:t>
            </w:r>
          </w:p>
          <w:p w14:paraId="4DFA6B31"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 xml:space="preserve">+5 380,00 EUR </w:t>
            </w:r>
            <w:r w:rsidRPr="23BC9F89">
              <w:rPr>
                <w:rFonts w:eastAsiaTheme="minorEastAsia"/>
                <w:sz w:val="20"/>
                <w:szCs w:val="20"/>
                <w:lang w:eastAsia="sk-SK"/>
              </w:rPr>
              <w:t>dotácia z MPSVaR SR na výživové doplnky (</w:t>
            </w:r>
            <w:proofErr w:type="spellStart"/>
            <w:r w:rsidRPr="23BC9F89">
              <w:rPr>
                <w:rFonts w:eastAsiaTheme="minorEastAsia"/>
                <w:sz w:val="20"/>
                <w:szCs w:val="20"/>
                <w:lang w:eastAsia="sk-SK"/>
              </w:rPr>
              <w:t>vit</w:t>
            </w:r>
            <w:proofErr w:type="spellEnd"/>
            <w:r w:rsidRPr="23BC9F89">
              <w:rPr>
                <w:rFonts w:eastAsiaTheme="minorEastAsia"/>
                <w:sz w:val="20"/>
                <w:szCs w:val="20"/>
                <w:lang w:eastAsia="sk-SK"/>
              </w:rPr>
              <w:t>. D3)</w:t>
            </w:r>
          </w:p>
          <w:p w14:paraId="1AEF0A20" w14:textId="77777777" w:rsidR="00875772" w:rsidRDefault="00875772" w:rsidP="00875772">
            <w:pPr>
              <w:spacing w:after="0" w:line="240" w:lineRule="auto"/>
              <w:rPr>
                <w:rFonts w:eastAsiaTheme="minorEastAsia"/>
                <w:sz w:val="20"/>
                <w:szCs w:val="20"/>
                <w:lang w:eastAsia="sk-SK"/>
              </w:rPr>
            </w:pPr>
            <w:r w:rsidRPr="23BC9F89">
              <w:rPr>
                <w:rFonts w:eastAsiaTheme="minorEastAsia"/>
                <w:b/>
                <w:bCs/>
                <w:sz w:val="20"/>
                <w:szCs w:val="20"/>
                <w:lang w:eastAsia="sk-SK"/>
              </w:rPr>
              <w:t>-17 502,14 EUR</w:t>
            </w:r>
            <w:r w:rsidRPr="23BC9F89">
              <w:rPr>
                <w:rFonts w:eastAsiaTheme="minorEastAsia"/>
                <w:sz w:val="20"/>
                <w:szCs w:val="20"/>
                <w:lang w:eastAsia="sk-SK"/>
              </w:rPr>
              <w:t xml:space="preserve"> zníženie rozpočtu BV (</w:t>
            </w:r>
            <w:proofErr w:type="spellStart"/>
            <w:r w:rsidRPr="23BC9F89">
              <w:rPr>
                <w:rFonts w:eastAsiaTheme="minorEastAsia"/>
                <w:sz w:val="20"/>
                <w:szCs w:val="20"/>
                <w:lang w:eastAsia="sk-SK"/>
              </w:rPr>
              <w:t>Uzn</w:t>
            </w:r>
            <w:proofErr w:type="spellEnd"/>
            <w:r w:rsidRPr="23BC9F89">
              <w:rPr>
                <w:rFonts w:eastAsiaTheme="minorEastAsia"/>
                <w:sz w:val="20"/>
                <w:szCs w:val="20"/>
                <w:lang w:eastAsia="sk-SK"/>
              </w:rPr>
              <w:t>. 247/2020 z 29.5.2020) z dôvodu nenaplnených daňových príjmov</w:t>
            </w:r>
          </w:p>
        </w:tc>
      </w:tr>
      <w:tr w:rsidR="00875772" w:rsidRPr="00116D4B" w14:paraId="4D145765" w14:textId="77777777" w:rsidTr="00875772">
        <w:trPr>
          <w:tblCellSpacing w:w="15" w:type="dxa"/>
        </w:trPr>
        <w:tc>
          <w:tcPr>
            <w:tcW w:w="825" w:type="dxa"/>
            <w:shd w:val="clear" w:color="auto" w:fill="D9D9D9" w:themeFill="background1" w:themeFillShade="D9"/>
            <w:noWrap/>
            <w:vAlign w:val="center"/>
            <w:hideMark/>
          </w:tcPr>
          <w:p w14:paraId="1F3FB52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510" w:type="dxa"/>
            <w:shd w:val="clear" w:color="auto" w:fill="D9D9D9" w:themeFill="background1" w:themeFillShade="D9"/>
            <w:vAlign w:val="center"/>
            <w:hideMark/>
          </w:tcPr>
          <w:p w14:paraId="6A156D2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5309AF7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3 031 483,00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359E0FF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3 138 670,09</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0BD79AD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3 130 685,95</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695B628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99,75</w:t>
            </w:r>
            <w:r w:rsidRPr="4F9BDBF9">
              <w:rPr>
                <w:rFonts w:eastAsiaTheme="minorEastAsia"/>
                <w:sz w:val="24"/>
                <w:szCs w:val="24"/>
                <w:lang w:eastAsia="sk-SK"/>
              </w:rPr>
              <w:t xml:space="preserve"> </w:t>
            </w:r>
          </w:p>
        </w:tc>
        <w:tc>
          <w:tcPr>
            <w:tcW w:w="3617" w:type="dxa"/>
            <w:vMerge/>
            <w:shd w:val="clear" w:color="auto" w:fill="D9D9D9" w:themeFill="background1" w:themeFillShade="D9"/>
            <w:vAlign w:val="center"/>
            <w:hideMark/>
          </w:tcPr>
          <w:p w14:paraId="71E08327"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35D464CA" w14:textId="77777777" w:rsidTr="00875772">
        <w:trPr>
          <w:tblCellSpacing w:w="15" w:type="dxa"/>
        </w:trPr>
        <w:tc>
          <w:tcPr>
            <w:tcW w:w="825" w:type="dxa"/>
            <w:shd w:val="clear" w:color="auto" w:fill="EFEFEF"/>
            <w:noWrap/>
            <w:vAlign w:val="center"/>
            <w:hideMark/>
          </w:tcPr>
          <w:p w14:paraId="20698AA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510" w:type="dxa"/>
            <w:shd w:val="clear" w:color="auto" w:fill="EFEFEF"/>
            <w:vAlign w:val="center"/>
            <w:hideMark/>
          </w:tcPr>
          <w:p w14:paraId="0BF8A45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104" w:type="dxa"/>
            <w:shd w:val="clear" w:color="auto" w:fill="EFEFEF"/>
            <w:noWrap/>
            <w:vAlign w:val="center"/>
            <w:hideMark/>
          </w:tcPr>
          <w:p w14:paraId="5CC4C97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1 648 593,00</w:t>
            </w:r>
            <w:r w:rsidRPr="4F9BDBF9">
              <w:rPr>
                <w:rFonts w:eastAsiaTheme="minorEastAsia"/>
                <w:sz w:val="24"/>
                <w:szCs w:val="24"/>
                <w:lang w:eastAsia="sk-SK"/>
              </w:rPr>
              <w:t xml:space="preserve"> </w:t>
            </w:r>
          </w:p>
        </w:tc>
        <w:tc>
          <w:tcPr>
            <w:tcW w:w="1104" w:type="dxa"/>
            <w:shd w:val="clear" w:color="auto" w:fill="EFEFEF"/>
            <w:noWrap/>
            <w:vAlign w:val="center"/>
            <w:hideMark/>
          </w:tcPr>
          <w:p w14:paraId="04718E6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1 762 211,00</w:t>
            </w:r>
            <w:r w:rsidRPr="4F9BDBF9">
              <w:rPr>
                <w:rFonts w:eastAsiaTheme="minorEastAsia"/>
                <w:sz w:val="24"/>
                <w:szCs w:val="24"/>
                <w:lang w:eastAsia="sk-SK"/>
              </w:rPr>
              <w:t xml:space="preserve"> </w:t>
            </w:r>
          </w:p>
        </w:tc>
        <w:tc>
          <w:tcPr>
            <w:tcW w:w="1104" w:type="dxa"/>
            <w:shd w:val="clear" w:color="auto" w:fill="EFEFEF"/>
            <w:noWrap/>
            <w:vAlign w:val="center"/>
            <w:hideMark/>
          </w:tcPr>
          <w:p w14:paraId="1370094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1 762 209,87</w:t>
            </w:r>
            <w:r w:rsidRPr="4F9BDBF9">
              <w:rPr>
                <w:rFonts w:eastAsiaTheme="minorEastAsia"/>
                <w:sz w:val="24"/>
                <w:szCs w:val="24"/>
                <w:lang w:eastAsia="sk-SK"/>
              </w:rPr>
              <w:t xml:space="preserve"> </w:t>
            </w:r>
          </w:p>
        </w:tc>
        <w:tc>
          <w:tcPr>
            <w:tcW w:w="962" w:type="dxa"/>
            <w:shd w:val="clear" w:color="auto" w:fill="EFEFEF"/>
            <w:noWrap/>
            <w:vAlign w:val="center"/>
            <w:hideMark/>
          </w:tcPr>
          <w:p w14:paraId="4C202A0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3617" w:type="dxa"/>
            <w:vMerge/>
            <w:vAlign w:val="center"/>
            <w:hideMark/>
          </w:tcPr>
          <w:p w14:paraId="08F839F7"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16FABC6" w14:textId="77777777" w:rsidTr="00875772">
        <w:trPr>
          <w:tblCellSpacing w:w="15" w:type="dxa"/>
        </w:trPr>
        <w:tc>
          <w:tcPr>
            <w:tcW w:w="825" w:type="dxa"/>
            <w:shd w:val="clear" w:color="auto" w:fill="EFEFEF"/>
            <w:noWrap/>
            <w:vAlign w:val="center"/>
            <w:hideMark/>
          </w:tcPr>
          <w:p w14:paraId="302B6BB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510" w:type="dxa"/>
            <w:shd w:val="clear" w:color="auto" w:fill="EFEFEF"/>
            <w:vAlign w:val="center"/>
            <w:hideMark/>
          </w:tcPr>
          <w:p w14:paraId="0CD0B05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104" w:type="dxa"/>
            <w:shd w:val="clear" w:color="auto" w:fill="EFEFEF"/>
            <w:noWrap/>
            <w:vAlign w:val="center"/>
            <w:hideMark/>
          </w:tcPr>
          <w:p w14:paraId="3D08BC9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612 732,00</w:t>
            </w:r>
            <w:r w:rsidRPr="4F9BDBF9">
              <w:rPr>
                <w:rFonts w:eastAsiaTheme="minorEastAsia"/>
                <w:sz w:val="24"/>
                <w:szCs w:val="24"/>
                <w:lang w:eastAsia="sk-SK"/>
              </w:rPr>
              <w:t xml:space="preserve"> </w:t>
            </w:r>
          </w:p>
        </w:tc>
        <w:tc>
          <w:tcPr>
            <w:tcW w:w="1104" w:type="dxa"/>
            <w:shd w:val="clear" w:color="auto" w:fill="EFEFEF"/>
            <w:noWrap/>
            <w:vAlign w:val="center"/>
            <w:hideMark/>
          </w:tcPr>
          <w:p w14:paraId="1336AF7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630 198,23</w:t>
            </w:r>
            <w:r w:rsidRPr="4F9BDBF9">
              <w:rPr>
                <w:rFonts w:eastAsiaTheme="minorEastAsia"/>
                <w:sz w:val="24"/>
                <w:szCs w:val="24"/>
                <w:lang w:eastAsia="sk-SK"/>
              </w:rPr>
              <w:t xml:space="preserve"> </w:t>
            </w:r>
          </w:p>
        </w:tc>
        <w:tc>
          <w:tcPr>
            <w:tcW w:w="1104" w:type="dxa"/>
            <w:shd w:val="clear" w:color="auto" w:fill="EFEFEF"/>
            <w:noWrap/>
            <w:vAlign w:val="center"/>
            <w:hideMark/>
          </w:tcPr>
          <w:p w14:paraId="33F52E5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628 737,26</w:t>
            </w:r>
            <w:r w:rsidRPr="4F9BDBF9">
              <w:rPr>
                <w:rFonts w:eastAsiaTheme="minorEastAsia"/>
                <w:sz w:val="24"/>
                <w:szCs w:val="24"/>
                <w:lang w:eastAsia="sk-SK"/>
              </w:rPr>
              <w:t xml:space="preserve"> </w:t>
            </w:r>
          </w:p>
        </w:tc>
        <w:tc>
          <w:tcPr>
            <w:tcW w:w="962" w:type="dxa"/>
            <w:shd w:val="clear" w:color="auto" w:fill="EFEFEF"/>
            <w:noWrap/>
            <w:vAlign w:val="center"/>
            <w:hideMark/>
          </w:tcPr>
          <w:p w14:paraId="5FFF5A2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99,77</w:t>
            </w:r>
            <w:r w:rsidRPr="4F9BDBF9">
              <w:rPr>
                <w:rFonts w:eastAsiaTheme="minorEastAsia"/>
                <w:sz w:val="24"/>
                <w:szCs w:val="24"/>
                <w:lang w:eastAsia="sk-SK"/>
              </w:rPr>
              <w:t xml:space="preserve"> </w:t>
            </w:r>
          </w:p>
        </w:tc>
        <w:tc>
          <w:tcPr>
            <w:tcW w:w="3617" w:type="dxa"/>
            <w:vMerge/>
            <w:vAlign w:val="center"/>
            <w:hideMark/>
          </w:tcPr>
          <w:p w14:paraId="6231895D"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053A668" w14:textId="77777777" w:rsidTr="00875772">
        <w:trPr>
          <w:tblCellSpacing w:w="15" w:type="dxa"/>
        </w:trPr>
        <w:tc>
          <w:tcPr>
            <w:tcW w:w="825" w:type="dxa"/>
            <w:shd w:val="clear" w:color="auto" w:fill="EFEFEF"/>
            <w:noWrap/>
            <w:vAlign w:val="center"/>
            <w:hideMark/>
          </w:tcPr>
          <w:p w14:paraId="541D8F7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510" w:type="dxa"/>
            <w:shd w:val="clear" w:color="auto" w:fill="EFEFEF"/>
            <w:vAlign w:val="center"/>
            <w:hideMark/>
          </w:tcPr>
          <w:p w14:paraId="0D168FF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104" w:type="dxa"/>
            <w:shd w:val="clear" w:color="auto" w:fill="EFEFEF"/>
            <w:noWrap/>
            <w:vAlign w:val="center"/>
            <w:hideMark/>
          </w:tcPr>
          <w:p w14:paraId="359DE39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742 728,00</w:t>
            </w:r>
            <w:r w:rsidRPr="4F9BDBF9">
              <w:rPr>
                <w:rFonts w:eastAsiaTheme="minorEastAsia"/>
                <w:sz w:val="24"/>
                <w:szCs w:val="24"/>
                <w:lang w:eastAsia="sk-SK"/>
              </w:rPr>
              <w:t xml:space="preserve"> </w:t>
            </w:r>
          </w:p>
        </w:tc>
        <w:tc>
          <w:tcPr>
            <w:tcW w:w="1104" w:type="dxa"/>
            <w:shd w:val="clear" w:color="auto" w:fill="EFEFEF"/>
            <w:noWrap/>
            <w:vAlign w:val="center"/>
            <w:hideMark/>
          </w:tcPr>
          <w:p w14:paraId="053161D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719 219,08</w:t>
            </w:r>
            <w:r w:rsidRPr="4F9BDBF9">
              <w:rPr>
                <w:rFonts w:eastAsiaTheme="minorEastAsia"/>
                <w:sz w:val="24"/>
                <w:szCs w:val="24"/>
                <w:lang w:eastAsia="sk-SK"/>
              </w:rPr>
              <w:t xml:space="preserve"> </w:t>
            </w:r>
          </w:p>
        </w:tc>
        <w:tc>
          <w:tcPr>
            <w:tcW w:w="1104" w:type="dxa"/>
            <w:shd w:val="clear" w:color="auto" w:fill="EFEFEF"/>
            <w:noWrap/>
            <w:vAlign w:val="center"/>
            <w:hideMark/>
          </w:tcPr>
          <w:p w14:paraId="528429B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718 169,08</w:t>
            </w:r>
            <w:r w:rsidRPr="4F9BDBF9">
              <w:rPr>
                <w:rFonts w:eastAsiaTheme="minorEastAsia"/>
                <w:sz w:val="24"/>
                <w:szCs w:val="24"/>
                <w:lang w:eastAsia="sk-SK"/>
              </w:rPr>
              <w:t xml:space="preserve"> </w:t>
            </w:r>
          </w:p>
        </w:tc>
        <w:tc>
          <w:tcPr>
            <w:tcW w:w="962" w:type="dxa"/>
            <w:shd w:val="clear" w:color="auto" w:fill="EFEFEF"/>
            <w:noWrap/>
            <w:vAlign w:val="center"/>
            <w:hideMark/>
          </w:tcPr>
          <w:p w14:paraId="3341F1F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99,85</w:t>
            </w:r>
            <w:r w:rsidRPr="4F9BDBF9">
              <w:rPr>
                <w:rFonts w:eastAsiaTheme="minorEastAsia"/>
                <w:sz w:val="24"/>
                <w:szCs w:val="24"/>
                <w:lang w:eastAsia="sk-SK"/>
              </w:rPr>
              <w:t xml:space="preserve"> </w:t>
            </w:r>
          </w:p>
        </w:tc>
        <w:tc>
          <w:tcPr>
            <w:tcW w:w="3617" w:type="dxa"/>
            <w:vMerge/>
            <w:vAlign w:val="center"/>
            <w:hideMark/>
          </w:tcPr>
          <w:p w14:paraId="03EC039F"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6B41EA4" w14:textId="77777777" w:rsidTr="00875772">
        <w:trPr>
          <w:tblCellSpacing w:w="15" w:type="dxa"/>
        </w:trPr>
        <w:tc>
          <w:tcPr>
            <w:tcW w:w="825" w:type="dxa"/>
            <w:shd w:val="clear" w:color="auto" w:fill="EFEFEF"/>
            <w:noWrap/>
            <w:vAlign w:val="center"/>
            <w:hideMark/>
          </w:tcPr>
          <w:p w14:paraId="7423ADB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510" w:type="dxa"/>
            <w:shd w:val="clear" w:color="auto" w:fill="EFEFEF"/>
            <w:vAlign w:val="center"/>
            <w:hideMark/>
          </w:tcPr>
          <w:p w14:paraId="17CCE9D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104" w:type="dxa"/>
            <w:shd w:val="clear" w:color="auto" w:fill="EFEFEF"/>
            <w:noWrap/>
            <w:vAlign w:val="center"/>
            <w:hideMark/>
          </w:tcPr>
          <w:p w14:paraId="2B34210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27 430,00</w:t>
            </w:r>
            <w:r w:rsidRPr="4F9BDBF9">
              <w:rPr>
                <w:rFonts w:eastAsiaTheme="minorEastAsia"/>
                <w:sz w:val="24"/>
                <w:szCs w:val="24"/>
                <w:lang w:eastAsia="sk-SK"/>
              </w:rPr>
              <w:t xml:space="preserve"> </w:t>
            </w:r>
          </w:p>
        </w:tc>
        <w:tc>
          <w:tcPr>
            <w:tcW w:w="1104" w:type="dxa"/>
            <w:shd w:val="clear" w:color="auto" w:fill="EFEFEF"/>
            <w:noWrap/>
            <w:vAlign w:val="center"/>
            <w:hideMark/>
          </w:tcPr>
          <w:p w14:paraId="09E47C7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27 041,78</w:t>
            </w:r>
            <w:r w:rsidRPr="4F9BDBF9">
              <w:rPr>
                <w:rFonts w:eastAsiaTheme="minorEastAsia"/>
                <w:sz w:val="24"/>
                <w:szCs w:val="24"/>
                <w:lang w:eastAsia="sk-SK"/>
              </w:rPr>
              <w:t xml:space="preserve"> </w:t>
            </w:r>
          </w:p>
        </w:tc>
        <w:tc>
          <w:tcPr>
            <w:tcW w:w="1104" w:type="dxa"/>
            <w:shd w:val="clear" w:color="auto" w:fill="EFEFEF"/>
            <w:noWrap/>
            <w:vAlign w:val="center"/>
            <w:hideMark/>
          </w:tcPr>
          <w:p w14:paraId="1D87901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21 569,74</w:t>
            </w:r>
            <w:r w:rsidRPr="4F9BDBF9">
              <w:rPr>
                <w:rFonts w:eastAsiaTheme="minorEastAsia"/>
                <w:sz w:val="24"/>
                <w:szCs w:val="24"/>
                <w:lang w:eastAsia="sk-SK"/>
              </w:rPr>
              <w:t xml:space="preserve"> </w:t>
            </w:r>
          </w:p>
        </w:tc>
        <w:tc>
          <w:tcPr>
            <w:tcW w:w="962" w:type="dxa"/>
            <w:shd w:val="clear" w:color="auto" w:fill="EFEFEF"/>
            <w:noWrap/>
            <w:vAlign w:val="center"/>
            <w:hideMark/>
          </w:tcPr>
          <w:p w14:paraId="74AE7D7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79,76</w:t>
            </w:r>
            <w:r w:rsidRPr="4F9BDBF9">
              <w:rPr>
                <w:rFonts w:eastAsiaTheme="minorEastAsia"/>
                <w:sz w:val="24"/>
                <w:szCs w:val="24"/>
                <w:lang w:eastAsia="sk-SK"/>
              </w:rPr>
              <w:t xml:space="preserve"> </w:t>
            </w:r>
          </w:p>
        </w:tc>
        <w:tc>
          <w:tcPr>
            <w:tcW w:w="3617" w:type="dxa"/>
            <w:vMerge/>
            <w:vAlign w:val="center"/>
            <w:hideMark/>
          </w:tcPr>
          <w:p w14:paraId="650F4AC4" w14:textId="77777777" w:rsidR="00875772" w:rsidRPr="00116D4B" w:rsidRDefault="00875772" w:rsidP="00875772">
            <w:pPr>
              <w:spacing w:after="0" w:line="240" w:lineRule="auto"/>
              <w:rPr>
                <w:rFonts w:ascii="Times New Roman" w:hAnsi="Times New Roman"/>
                <w:sz w:val="24"/>
                <w:szCs w:val="24"/>
                <w:lang w:eastAsia="sk-SK"/>
              </w:rPr>
            </w:pPr>
          </w:p>
        </w:tc>
      </w:tr>
    </w:tbl>
    <w:p w14:paraId="17084077"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02"/>
        <w:gridCol w:w="630"/>
        <w:gridCol w:w="1492"/>
        <w:gridCol w:w="1283"/>
        <w:gridCol w:w="4159"/>
      </w:tblGrid>
      <w:tr w:rsidR="00875772" w:rsidRPr="00116D4B" w14:paraId="4D483164" w14:textId="77777777" w:rsidTr="00875772">
        <w:trPr>
          <w:tblCellSpacing w:w="15" w:type="dxa"/>
        </w:trPr>
        <w:tc>
          <w:tcPr>
            <w:tcW w:w="0" w:type="auto"/>
            <w:shd w:val="clear" w:color="auto" w:fill="C2D69B"/>
            <w:vAlign w:val="center"/>
            <w:hideMark/>
          </w:tcPr>
          <w:p w14:paraId="329DC24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6932648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267F369E" w14:textId="77777777" w:rsidTr="00875772">
        <w:trPr>
          <w:tblCellSpacing w:w="15" w:type="dxa"/>
        </w:trPr>
        <w:tc>
          <w:tcPr>
            <w:tcW w:w="0" w:type="auto"/>
            <w:shd w:val="clear" w:color="auto" w:fill="C2D69B"/>
            <w:vAlign w:val="center"/>
            <w:hideMark/>
          </w:tcPr>
          <w:p w14:paraId="659B9DB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1DFDA3B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675683CA" w14:textId="77777777" w:rsidTr="00875772">
        <w:trPr>
          <w:tblCellSpacing w:w="15" w:type="dxa"/>
        </w:trPr>
        <w:tc>
          <w:tcPr>
            <w:tcW w:w="0" w:type="auto"/>
            <w:shd w:val="clear" w:color="auto" w:fill="C2D69B"/>
            <w:vAlign w:val="center"/>
            <w:hideMark/>
          </w:tcPr>
          <w:p w14:paraId="795F24A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520D67D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161049FF" w14:textId="77777777" w:rsidTr="00875772">
        <w:trPr>
          <w:tblCellSpacing w:w="15" w:type="dxa"/>
        </w:trPr>
        <w:tc>
          <w:tcPr>
            <w:tcW w:w="0" w:type="auto"/>
            <w:shd w:val="clear" w:color="auto" w:fill="C2D69B"/>
            <w:vAlign w:val="center"/>
            <w:hideMark/>
          </w:tcPr>
          <w:p w14:paraId="7D0ADBE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24A3595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29A6C3B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7DAEC89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355196B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3214E7CE" w14:textId="77777777" w:rsidTr="00875772">
        <w:trPr>
          <w:tblCellSpacing w:w="15" w:type="dxa"/>
        </w:trPr>
        <w:tc>
          <w:tcPr>
            <w:tcW w:w="0" w:type="auto"/>
            <w:shd w:val="clear" w:color="auto" w:fill="C2D69B"/>
            <w:vAlign w:val="center"/>
            <w:hideMark/>
          </w:tcPr>
          <w:p w14:paraId="09F368B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5A06283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39410AF0"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63.56</w:t>
            </w:r>
            <w:r w:rsidRPr="3E14EAE1">
              <w:rPr>
                <w:rFonts w:eastAsiaTheme="minorEastAsia"/>
                <w:sz w:val="24"/>
                <w:szCs w:val="24"/>
                <w:lang w:eastAsia="sk-SK"/>
              </w:rPr>
              <w:t xml:space="preserve"> </w:t>
            </w:r>
          </w:p>
        </w:tc>
        <w:tc>
          <w:tcPr>
            <w:tcW w:w="0" w:type="auto"/>
            <w:shd w:val="clear" w:color="auto" w:fill="C2D69B"/>
            <w:vAlign w:val="center"/>
            <w:hideMark/>
          </w:tcPr>
          <w:p w14:paraId="0F4D6DE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287F2E0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xml:space="preserve">Dôvodom pre čiastočné splnenie plánu je skutočnosť, že z dôvodu sanácie havarijného stavu objektu </w:t>
            </w:r>
            <w:proofErr w:type="spellStart"/>
            <w:r w:rsidRPr="4F9BDBF9">
              <w:rPr>
                <w:rFonts w:eastAsiaTheme="minorEastAsia"/>
                <w:sz w:val="20"/>
                <w:szCs w:val="20"/>
                <w:lang w:eastAsia="sk-SK"/>
              </w:rPr>
              <w:t>Strelkova</w:t>
            </w:r>
            <w:proofErr w:type="spellEnd"/>
            <w:r w:rsidRPr="4F9BDBF9">
              <w:rPr>
                <w:rFonts w:eastAsiaTheme="minorEastAsia"/>
                <w:sz w:val="20"/>
                <w:szCs w:val="20"/>
                <w:lang w:eastAsia="sk-SK"/>
              </w:rPr>
              <w:t xml:space="preserve"> 2 sa v tomto objekte sociálna služba od mesiaca december 2014 neposkytovala a pandémia vírusu COVID-19.</w:t>
            </w:r>
            <w:r w:rsidRPr="4F9BDBF9">
              <w:rPr>
                <w:rFonts w:eastAsiaTheme="minorEastAsia"/>
                <w:sz w:val="24"/>
                <w:szCs w:val="24"/>
                <w:lang w:eastAsia="sk-SK"/>
              </w:rPr>
              <w:t xml:space="preserve"> </w:t>
            </w:r>
          </w:p>
        </w:tc>
      </w:tr>
    </w:tbl>
    <w:p w14:paraId="670DA4F2"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11.1.15: DSS a zariadenie pre seniorov Kaštieľ</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860"/>
        <w:gridCol w:w="1239"/>
        <w:gridCol w:w="1134"/>
        <w:gridCol w:w="1276"/>
        <w:gridCol w:w="851"/>
        <w:gridCol w:w="3236"/>
      </w:tblGrid>
      <w:tr w:rsidR="00875772" w:rsidRPr="00116D4B" w14:paraId="49BD8C3B" w14:textId="77777777" w:rsidTr="00875772">
        <w:trPr>
          <w:tblCellSpacing w:w="15" w:type="dxa"/>
        </w:trPr>
        <w:tc>
          <w:tcPr>
            <w:tcW w:w="825" w:type="dxa"/>
            <w:shd w:val="clear" w:color="auto" w:fill="C6DBF7"/>
            <w:vAlign w:val="center"/>
            <w:hideMark/>
          </w:tcPr>
          <w:p w14:paraId="117DD35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830" w:type="dxa"/>
            <w:shd w:val="clear" w:color="auto" w:fill="C6DBF7"/>
            <w:vAlign w:val="center"/>
            <w:hideMark/>
          </w:tcPr>
          <w:p w14:paraId="2320D0D9" w14:textId="77777777" w:rsidR="00875772" w:rsidRPr="00116D4B" w:rsidRDefault="00875772" w:rsidP="00875772">
            <w:pPr>
              <w:spacing w:after="0" w:line="240" w:lineRule="auto"/>
              <w:jc w:val="center"/>
              <w:rPr>
                <w:rFonts w:eastAsiaTheme="minorEastAsia"/>
                <w:sz w:val="24"/>
                <w:szCs w:val="24"/>
                <w:lang w:eastAsia="sk-SK"/>
              </w:rPr>
            </w:pPr>
            <w:r w:rsidRPr="201CD2EE">
              <w:rPr>
                <w:rFonts w:eastAsiaTheme="minorEastAsia"/>
                <w:b/>
                <w:bCs/>
                <w:sz w:val="20"/>
                <w:szCs w:val="20"/>
                <w:lang w:eastAsia="sk-SK"/>
              </w:rPr>
              <w:t>Ekonomická </w:t>
            </w:r>
          </w:p>
          <w:p w14:paraId="3CF8E96D" w14:textId="77777777" w:rsidR="00875772" w:rsidRPr="00116D4B" w:rsidRDefault="00875772" w:rsidP="00875772">
            <w:pPr>
              <w:spacing w:after="0" w:line="240" w:lineRule="auto"/>
              <w:jc w:val="center"/>
              <w:rPr>
                <w:rFonts w:eastAsiaTheme="minorEastAsia"/>
                <w:sz w:val="24"/>
                <w:szCs w:val="24"/>
                <w:lang w:eastAsia="sk-SK"/>
              </w:rPr>
            </w:pPr>
            <w:r w:rsidRPr="201CD2EE">
              <w:rPr>
                <w:rFonts w:eastAsiaTheme="minorEastAsia"/>
                <w:b/>
                <w:bCs/>
                <w:sz w:val="20"/>
                <w:szCs w:val="20"/>
                <w:lang w:eastAsia="sk-SK"/>
              </w:rPr>
              <w:t>klasifikácia</w:t>
            </w:r>
          </w:p>
        </w:tc>
        <w:tc>
          <w:tcPr>
            <w:tcW w:w="1209" w:type="dxa"/>
            <w:shd w:val="clear" w:color="auto" w:fill="C6DBF7"/>
            <w:vAlign w:val="center"/>
            <w:hideMark/>
          </w:tcPr>
          <w:p w14:paraId="341FD73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448FF99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626656C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821" w:type="dxa"/>
            <w:shd w:val="clear" w:color="auto" w:fill="C6DBF7"/>
            <w:vAlign w:val="center"/>
            <w:hideMark/>
          </w:tcPr>
          <w:p w14:paraId="0B1B794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191" w:type="dxa"/>
            <w:shd w:val="clear" w:color="auto" w:fill="C6DBF7"/>
            <w:vAlign w:val="center"/>
            <w:hideMark/>
          </w:tcPr>
          <w:p w14:paraId="3808EEC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38CD0986" w14:textId="77777777" w:rsidTr="00875772">
        <w:trPr>
          <w:tblCellSpacing w:w="15" w:type="dxa"/>
        </w:trPr>
        <w:tc>
          <w:tcPr>
            <w:tcW w:w="825" w:type="dxa"/>
            <w:shd w:val="clear" w:color="auto" w:fill="D9D9D9" w:themeFill="background1" w:themeFillShade="D9"/>
            <w:noWrap/>
            <w:vAlign w:val="center"/>
            <w:hideMark/>
          </w:tcPr>
          <w:p w14:paraId="07B98CE7" w14:textId="77777777" w:rsidR="00875772" w:rsidRPr="00116D4B" w:rsidRDefault="00875772" w:rsidP="00875772">
            <w:pPr>
              <w:spacing w:after="0" w:line="240" w:lineRule="auto"/>
              <w:jc w:val="center"/>
              <w:rPr>
                <w:rFonts w:eastAsiaTheme="minorEastAsia"/>
                <w:sz w:val="24"/>
                <w:szCs w:val="24"/>
                <w:lang w:eastAsia="sk-SK"/>
              </w:rPr>
            </w:pPr>
          </w:p>
        </w:tc>
        <w:tc>
          <w:tcPr>
            <w:tcW w:w="1830" w:type="dxa"/>
            <w:shd w:val="clear" w:color="auto" w:fill="D9D9D9" w:themeFill="background1" w:themeFillShade="D9"/>
            <w:vAlign w:val="center"/>
            <w:hideMark/>
          </w:tcPr>
          <w:p w14:paraId="745F28B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09" w:type="dxa"/>
            <w:shd w:val="clear" w:color="auto" w:fill="D9D9D9" w:themeFill="background1" w:themeFillShade="D9"/>
            <w:noWrap/>
            <w:vAlign w:val="center"/>
            <w:hideMark/>
          </w:tcPr>
          <w:p w14:paraId="01AB156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2 710 306,50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1B601CF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2 770 057,06</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51439A0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2 732 169,74</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2977EF4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98,63</w:t>
            </w:r>
            <w:r w:rsidRPr="4F9BDBF9">
              <w:rPr>
                <w:rFonts w:eastAsiaTheme="minorEastAsia"/>
                <w:sz w:val="24"/>
                <w:szCs w:val="24"/>
                <w:lang w:eastAsia="sk-SK"/>
              </w:rPr>
              <w:t xml:space="preserve"> </w:t>
            </w:r>
          </w:p>
        </w:tc>
        <w:tc>
          <w:tcPr>
            <w:tcW w:w="3191" w:type="dxa"/>
            <w:vMerge w:val="restart"/>
            <w:shd w:val="clear" w:color="auto" w:fill="D9D9D9" w:themeFill="background1" w:themeFillShade="D9"/>
            <w:vAlign w:val="center"/>
            <w:hideMark/>
          </w:tcPr>
          <w:p w14:paraId="79236B9A"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+22 102,90 EUR</w:t>
            </w:r>
            <w:r w:rsidRPr="201CD2EE">
              <w:rPr>
                <w:rFonts w:eastAsiaTheme="minorEastAsia"/>
                <w:sz w:val="20"/>
                <w:szCs w:val="20"/>
                <w:lang w:eastAsia="sk-SK"/>
              </w:rPr>
              <w:t xml:space="preserve"> presun z P11.3 na navýšenie mzdových prostriedkov</w:t>
            </w:r>
          </w:p>
          <w:p w14:paraId="5EE3F9F7"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+80 674,00 EUR </w:t>
            </w:r>
            <w:r w:rsidRPr="201CD2EE">
              <w:rPr>
                <w:rFonts w:eastAsiaTheme="minorEastAsia"/>
                <w:sz w:val="20"/>
                <w:szCs w:val="20"/>
                <w:lang w:eastAsia="sk-SK"/>
              </w:rPr>
              <w:t>dotácia z MPSVaR SR  na mimoriadne odmeny pre zamestnancov za I. vlnu pandémie</w:t>
            </w:r>
          </w:p>
          <w:p w14:paraId="6AF95EDB"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+5 340,00 EUR </w:t>
            </w:r>
            <w:r w:rsidRPr="201CD2EE">
              <w:rPr>
                <w:rFonts w:eastAsiaTheme="minorEastAsia"/>
                <w:sz w:val="20"/>
                <w:szCs w:val="20"/>
                <w:lang w:eastAsia="sk-SK"/>
              </w:rPr>
              <w:t>dotácia z MPSVaR SR na výživové doplnky (</w:t>
            </w:r>
            <w:proofErr w:type="spellStart"/>
            <w:r w:rsidRPr="201CD2EE">
              <w:rPr>
                <w:rFonts w:eastAsiaTheme="minorEastAsia"/>
                <w:sz w:val="20"/>
                <w:szCs w:val="20"/>
                <w:lang w:eastAsia="sk-SK"/>
              </w:rPr>
              <w:t>vit</w:t>
            </w:r>
            <w:proofErr w:type="spellEnd"/>
            <w:r w:rsidRPr="201CD2EE">
              <w:rPr>
                <w:rFonts w:eastAsiaTheme="minorEastAsia"/>
                <w:sz w:val="20"/>
                <w:szCs w:val="20"/>
                <w:lang w:eastAsia="sk-SK"/>
              </w:rPr>
              <w:t>. D3)</w:t>
            </w:r>
          </w:p>
          <w:p w14:paraId="7BB8E780"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+230,16 EUR </w:t>
            </w:r>
            <w:r w:rsidRPr="201CD2EE">
              <w:rPr>
                <w:rFonts w:eastAsiaTheme="minorEastAsia"/>
                <w:sz w:val="20"/>
                <w:szCs w:val="20"/>
                <w:lang w:eastAsia="sk-SK"/>
              </w:rPr>
              <w:t>finančný príspevok z ÚPSVaR SR na aktivačnú činnosť</w:t>
            </w:r>
          </w:p>
          <w:p w14:paraId="7F9601B9"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-48 596,50 EUR</w:t>
            </w:r>
            <w:r w:rsidRPr="201CD2EE">
              <w:rPr>
                <w:rFonts w:eastAsiaTheme="minorEastAsia"/>
                <w:sz w:val="20"/>
                <w:szCs w:val="20"/>
                <w:lang w:eastAsia="sk-SK"/>
              </w:rPr>
              <w:t xml:space="preserve"> zníženie rozpočtu BV (</w:t>
            </w:r>
            <w:proofErr w:type="spellStart"/>
            <w:r w:rsidRPr="201CD2EE">
              <w:rPr>
                <w:rFonts w:eastAsiaTheme="minorEastAsia"/>
                <w:sz w:val="20"/>
                <w:szCs w:val="20"/>
                <w:lang w:eastAsia="sk-SK"/>
              </w:rPr>
              <w:t>Uzn</w:t>
            </w:r>
            <w:proofErr w:type="spellEnd"/>
            <w:r w:rsidRPr="201CD2EE">
              <w:rPr>
                <w:rFonts w:eastAsiaTheme="minorEastAsia"/>
                <w:sz w:val="20"/>
                <w:szCs w:val="20"/>
                <w:lang w:eastAsia="sk-SK"/>
              </w:rPr>
              <w:t>. 247/2020 z 29.5.2020) z dôvodu nenaplnených daňových príjmov</w:t>
            </w:r>
          </w:p>
        </w:tc>
      </w:tr>
      <w:tr w:rsidR="00875772" w:rsidRPr="00116D4B" w14:paraId="0E5B260D" w14:textId="77777777" w:rsidTr="00875772">
        <w:trPr>
          <w:tblCellSpacing w:w="15" w:type="dxa"/>
        </w:trPr>
        <w:tc>
          <w:tcPr>
            <w:tcW w:w="825" w:type="dxa"/>
            <w:shd w:val="clear" w:color="auto" w:fill="D9D9D9" w:themeFill="background1" w:themeFillShade="D9"/>
            <w:noWrap/>
            <w:vAlign w:val="center"/>
            <w:hideMark/>
          </w:tcPr>
          <w:p w14:paraId="2CF3222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830" w:type="dxa"/>
            <w:shd w:val="clear" w:color="auto" w:fill="D9D9D9" w:themeFill="background1" w:themeFillShade="D9"/>
            <w:vAlign w:val="center"/>
            <w:hideMark/>
          </w:tcPr>
          <w:p w14:paraId="067164F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09" w:type="dxa"/>
            <w:shd w:val="clear" w:color="auto" w:fill="D9D9D9" w:themeFill="background1" w:themeFillShade="D9"/>
            <w:noWrap/>
            <w:vAlign w:val="center"/>
            <w:hideMark/>
          </w:tcPr>
          <w:p w14:paraId="473C3AA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2 710 306,50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6CA3762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2 770 057,06</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55F8B3A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2 732 169,74</w:t>
            </w:r>
            <w:r w:rsidRPr="4F9BDBF9">
              <w:rPr>
                <w:rFonts w:eastAsiaTheme="minorEastAsia"/>
                <w:sz w:val="24"/>
                <w:szCs w:val="24"/>
                <w:lang w:eastAsia="sk-SK"/>
              </w:rPr>
              <w:t xml:space="preserve"> </w:t>
            </w:r>
          </w:p>
        </w:tc>
        <w:tc>
          <w:tcPr>
            <w:tcW w:w="821" w:type="dxa"/>
            <w:shd w:val="clear" w:color="auto" w:fill="D9D9D9" w:themeFill="background1" w:themeFillShade="D9"/>
            <w:noWrap/>
            <w:vAlign w:val="center"/>
            <w:hideMark/>
          </w:tcPr>
          <w:p w14:paraId="4111B0E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98,63</w:t>
            </w:r>
            <w:r w:rsidRPr="4F9BDBF9">
              <w:rPr>
                <w:rFonts w:eastAsiaTheme="minorEastAsia"/>
                <w:sz w:val="24"/>
                <w:szCs w:val="24"/>
                <w:lang w:eastAsia="sk-SK"/>
              </w:rPr>
              <w:t xml:space="preserve"> </w:t>
            </w:r>
          </w:p>
        </w:tc>
        <w:tc>
          <w:tcPr>
            <w:tcW w:w="3191" w:type="dxa"/>
            <w:vMerge/>
            <w:shd w:val="clear" w:color="auto" w:fill="D9D9D9" w:themeFill="background1" w:themeFillShade="D9"/>
            <w:vAlign w:val="center"/>
            <w:hideMark/>
          </w:tcPr>
          <w:p w14:paraId="5EBCDC45"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16A935AB" w14:textId="77777777" w:rsidTr="00875772">
        <w:trPr>
          <w:tblCellSpacing w:w="15" w:type="dxa"/>
        </w:trPr>
        <w:tc>
          <w:tcPr>
            <w:tcW w:w="825" w:type="dxa"/>
            <w:shd w:val="clear" w:color="auto" w:fill="EFEFEF"/>
            <w:noWrap/>
            <w:vAlign w:val="center"/>
            <w:hideMark/>
          </w:tcPr>
          <w:p w14:paraId="59CF722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830" w:type="dxa"/>
            <w:shd w:val="clear" w:color="auto" w:fill="EFEFEF"/>
            <w:vAlign w:val="center"/>
            <w:hideMark/>
          </w:tcPr>
          <w:p w14:paraId="065BFDB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09" w:type="dxa"/>
            <w:shd w:val="clear" w:color="auto" w:fill="EFEFEF"/>
            <w:noWrap/>
            <w:vAlign w:val="center"/>
            <w:hideMark/>
          </w:tcPr>
          <w:p w14:paraId="122044D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1 466 340,50</w:t>
            </w:r>
            <w:r w:rsidRPr="4F9BDBF9">
              <w:rPr>
                <w:rFonts w:eastAsiaTheme="minorEastAsia"/>
                <w:sz w:val="24"/>
                <w:szCs w:val="24"/>
                <w:lang w:eastAsia="sk-SK"/>
              </w:rPr>
              <w:t xml:space="preserve"> </w:t>
            </w:r>
          </w:p>
        </w:tc>
        <w:tc>
          <w:tcPr>
            <w:tcW w:w="1104" w:type="dxa"/>
            <w:shd w:val="clear" w:color="auto" w:fill="EFEFEF"/>
            <w:noWrap/>
            <w:vAlign w:val="center"/>
            <w:hideMark/>
          </w:tcPr>
          <w:p w14:paraId="7AFEE31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1 597 605,50</w:t>
            </w:r>
            <w:r w:rsidRPr="4F9BDBF9">
              <w:rPr>
                <w:rFonts w:eastAsiaTheme="minorEastAsia"/>
                <w:sz w:val="24"/>
                <w:szCs w:val="24"/>
                <w:lang w:eastAsia="sk-SK"/>
              </w:rPr>
              <w:t xml:space="preserve"> </w:t>
            </w:r>
          </w:p>
        </w:tc>
        <w:tc>
          <w:tcPr>
            <w:tcW w:w="1246" w:type="dxa"/>
            <w:shd w:val="clear" w:color="auto" w:fill="EFEFEF"/>
            <w:noWrap/>
            <w:vAlign w:val="center"/>
            <w:hideMark/>
          </w:tcPr>
          <w:p w14:paraId="1F5BFA6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1 597 572,53</w:t>
            </w:r>
            <w:r w:rsidRPr="4F9BDBF9">
              <w:rPr>
                <w:rFonts w:eastAsiaTheme="minorEastAsia"/>
                <w:sz w:val="24"/>
                <w:szCs w:val="24"/>
                <w:lang w:eastAsia="sk-SK"/>
              </w:rPr>
              <w:t xml:space="preserve"> </w:t>
            </w:r>
          </w:p>
        </w:tc>
        <w:tc>
          <w:tcPr>
            <w:tcW w:w="821" w:type="dxa"/>
            <w:shd w:val="clear" w:color="auto" w:fill="EFEFEF"/>
            <w:noWrap/>
            <w:vAlign w:val="center"/>
            <w:hideMark/>
          </w:tcPr>
          <w:p w14:paraId="26A0EDB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3191" w:type="dxa"/>
            <w:vMerge/>
            <w:vAlign w:val="center"/>
            <w:hideMark/>
          </w:tcPr>
          <w:p w14:paraId="06CD8D0F"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56478C0" w14:textId="77777777" w:rsidTr="00875772">
        <w:trPr>
          <w:tblCellSpacing w:w="15" w:type="dxa"/>
        </w:trPr>
        <w:tc>
          <w:tcPr>
            <w:tcW w:w="825" w:type="dxa"/>
            <w:shd w:val="clear" w:color="auto" w:fill="EFEFEF"/>
            <w:noWrap/>
            <w:vAlign w:val="center"/>
            <w:hideMark/>
          </w:tcPr>
          <w:p w14:paraId="747CA3F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830" w:type="dxa"/>
            <w:shd w:val="clear" w:color="auto" w:fill="EFEFEF"/>
            <w:vAlign w:val="center"/>
            <w:hideMark/>
          </w:tcPr>
          <w:p w14:paraId="6CAAC8B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09" w:type="dxa"/>
            <w:shd w:val="clear" w:color="auto" w:fill="EFEFEF"/>
            <w:noWrap/>
            <w:vAlign w:val="center"/>
            <w:hideMark/>
          </w:tcPr>
          <w:p w14:paraId="6EE3F9A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527 097,00</w:t>
            </w:r>
            <w:r w:rsidRPr="4F9BDBF9">
              <w:rPr>
                <w:rFonts w:eastAsiaTheme="minorEastAsia"/>
                <w:sz w:val="24"/>
                <w:szCs w:val="24"/>
                <w:lang w:eastAsia="sk-SK"/>
              </w:rPr>
              <w:t xml:space="preserve"> </w:t>
            </w:r>
          </w:p>
        </w:tc>
        <w:tc>
          <w:tcPr>
            <w:tcW w:w="1104" w:type="dxa"/>
            <w:shd w:val="clear" w:color="auto" w:fill="EFEFEF"/>
            <w:noWrap/>
            <w:vAlign w:val="center"/>
            <w:hideMark/>
          </w:tcPr>
          <w:p w14:paraId="3AEDC41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560 911,30</w:t>
            </w:r>
            <w:r w:rsidRPr="4F9BDBF9">
              <w:rPr>
                <w:rFonts w:eastAsiaTheme="minorEastAsia"/>
                <w:sz w:val="24"/>
                <w:szCs w:val="24"/>
                <w:lang w:eastAsia="sk-SK"/>
              </w:rPr>
              <w:t xml:space="preserve"> </w:t>
            </w:r>
          </w:p>
        </w:tc>
        <w:tc>
          <w:tcPr>
            <w:tcW w:w="1246" w:type="dxa"/>
            <w:shd w:val="clear" w:color="auto" w:fill="EFEFEF"/>
            <w:noWrap/>
            <w:vAlign w:val="center"/>
            <w:hideMark/>
          </w:tcPr>
          <w:p w14:paraId="4E88EF1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553 716,45</w:t>
            </w:r>
            <w:r w:rsidRPr="4F9BDBF9">
              <w:rPr>
                <w:rFonts w:eastAsiaTheme="minorEastAsia"/>
                <w:sz w:val="24"/>
                <w:szCs w:val="24"/>
                <w:lang w:eastAsia="sk-SK"/>
              </w:rPr>
              <w:t xml:space="preserve"> </w:t>
            </w:r>
          </w:p>
        </w:tc>
        <w:tc>
          <w:tcPr>
            <w:tcW w:w="821" w:type="dxa"/>
            <w:shd w:val="clear" w:color="auto" w:fill="EFEFEF"/>
            <w:noWrap/>
            <w:vAlign w:val="center"/>
            <w:hideMark/>
          </w:tcPr>
          <w:p w14:paraId="7649106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98,72</w:t>
            </w:r>
            <w:r w:rsidRPr="4F9BDBF9">
              <w:rPr>
                <w:rFonts w:eastAsiaTheme="minorEastAsia"/>
                <w:sz w:val="24"/>
                <w:szCs w:val="24"/>
                <w:lang w:eastAsia="sk-SK"/>
              </w:rPr>
              <w:t xml:space="preserve"> </w:t>
            </w:r>
          </w:p>
        </w:tc>
        <w:tc>
          <w:tcPr>
            <w:tcW w:w="3191" w:type="dxa"/>
            <w:vMerge/>
            <w:vAlign w:val="center"/>
            <w:hideMark/>
          </w:tcPr>
          <w:p w14:paraId="6C084C50"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4949194D" w14:textId="77777777" w:rsidTr="00875772">
        <w:trPr>
          <w:tblCellSpacing w:w="15" w:type="dxa"/>
        </w:trPr>
        <w:tc>
          <w:tcPr>
            <w:tcW w:w="825" w:type="dxa"/>
            <w:shd w:val="clear" w:color="auto" w:fill="EFEFEF"/>
            <w:noWrap/>
            <w:vAlign w:val="center"/>
            <w:hideMark/>
          </w:tcPr>
          <w:p w14:paraId="4A790F9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830" w:type="dxa"/>
            <w:shd w:val="clear" w:color="auto" w:fill="EFEFEF"/>
            <w:vAlign w:val="center"/>
            <w:hideMark/>
          </w:tcPr>
          <w:p w14:paraId="2157729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09" w:type="dxa"/>
            <w:shd w:val="clear" w:color="auto" w:fill="EFEFEF"/>
            <w:noWrap/>
            <w:vAlign w:val="center"/>
            <w:hideMark/>
          </w:tcPr>
          <w:p w14:paraId="32D3CBD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697 079,00</w:t>
            </w:r>
            <w:r w:rsidRPr="4F9BDBF9">
              <w:rPr>
                <w:rFonts w:eastAsiaTheme="minorEastAsia"/>
                <w:sz w:val="24"/>
                <w:szCs w:val="24"/>
                <w:lang w:eastAsia="sk-SK"/>
              </w:rPr>
              <w:t xml:space="preserve"> </w:t>
            </w:r>
          </w:p>
        </w:tc>
        <w:tc>
          <w:tcPr>
            <w:tcW w:w="1104" w:type="dxa"/>
            <w:shd w:val="clear" w:color="auto" w:fill="EFEFEF"/>
            <w:noWrap/>
            <w:vAlign w:val="center"/>
            <w:hideMark/>
          </w:tcPr>
          <w:p w14:paraId="023EFD4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598 120,26</w:t>
            </w:r>
            <w:r w:rsidRPr="4F9BDBF9">
              <w:rPr>
                <w:rFonts w:eastAsiaTheme="minorEastAsia"/>
                <w:sz w:val="24"/>
                <w:szCs w:val="24"/>
                <w:lang w:eastAsia="sk-SK"/>
              </w:rPr>
              <w:t xml:space="preserve"> </w:t>
            </w:r>
          </w:p>
        </w:tc>
        <w:tc>
          <w:tcPr>
            <w:tcW w:w="1246" w:type="dxa"/>
            <w:shd w:val="clear" w:color="auto" w:fill="EFEFEF"/>
            <w:noWrap/>
            <w:vAlign w:val="center"/>
            <w:hideMark/>
          </w:tcPr>
          <w:p w14:paraId="458732E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570 382,22</w:t>
            </w:r>
            <w:r w:rsidRPr="4F9BDBF9">
              <w:rPr>
                <w:rFonts w:eastAsiaTheme="minorEastAsia"/>
                <w:sz w:val="24"/>
                <w:szCs w:val="24"/>
                <w:lang w:eastAsia="sk-SK"/>
              </w:rPr>
              <w:t xml:space="preserve"> </w:t>
            </w:r>
          </w:p>
        </w:tc>
        <w:tc>
          <w:tcPr>
            <w:tcW w:w="821" w:type="dxa"/>
            <w:shd w:val="clear" w:color="auto" w:fill="EFEFEF"/>
            <w:noWrap/>
            <w:vAlign w:val="center"/>
            <w:hideMark/>
          </w:tcPr>
          <w:p w14:paraId="6EB9BFC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95,36</w:t>
            </w:r>
            <w:r w:rsidRPr="4F9BDBF9">
              <w:rPr>
                <w:rFonts w:eastAsiaTheme="minorEastAsia"/>
                <w:sz w:val="24"/>
                <w:szCs w:val="24"/>
                <w:lang w:eastAsia="sk-SK"/>
              </w:rPr>
              <w:t xml:space="preserve"> </w:t>
            </w:r>
          </w:p>
        </w:tc>
        <w:tc>
          <w:tcPr>
            <w:tcW w:w="3191" w:type="dxa"/>
            <w:vMerge/>
            <w:vAlign w:val="center"/>
            <w:hideMark/>
          </w:tcPr>
          <w:p w14:paraId="66FE6A83"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6F02E365" w14:textId="77777777" w:rsidTr="00875772">
        <w:trPr>
          <w:tblCellSpacing w:w="15" w:type="dxa"/>
        </w:trPr>
        <w:tc>
          <w:tcPr>
            <w:tcW w:w="825" w:type="dxa"/>
            <w:shd w:val="clear" w:color="auto" w:fill="EFEFEF"/>
            <w:noWrap/>
            <w:vAlign w:val="center"/>
            <w:hideMark/>
          </w:tcPr>
          <w:p w14:paraId="145C868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830" w:type="dxa"/>
            <w:shd w:val="clear" w:color="auto" w:fill="EFEFEF"/>
            <w:vAlign w:val="center"/>
            <w:hideMark/>
          </w:tcPr>
          <w:p w14:paraId="3CA19D9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09" w:type="dxa"/>
            <w:shd w:val="clear" w:color="auto" w:fill="EFEFEF"/>
            <w:noWrap/>
            <w:vAlign w:val="center"/>
            <w:hideMark/>
          </w:tcPr>
          <w:p w14:paraId="1F26AA2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19 790,00</w:t>
            </w:r>
            <w:r w:rsidRPr="4F9BDBF9">
              <w:rPr>
                <w:rFonts w:eastAsiaTheme="minorEastAsia"/>
                <w:sz w:val="24"/>
                <w:szCs w:val="24"/>
                <w:lang w:eastAsia="sk-SK"/>
              </w:rPr>
              <w:t xml:space="preserve"> </w:t>
            </w:r>
          </w:p>
        </w:tc>
        <w:tc>
          <w:tcPr>
            <w:tcW w:w="1104" w:type="dxa"/>
            <w:shd w:val="clear" w:color="auto" w:fill="EFEFEF"/>
            <w:noWrap/>
            <w:vAlign w:val="center"/>
            <w:hideMark/>
          </w:tcPr>
          <w:p w14:paraId="295B6CC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13 420,00</w:t>
            </w:r>
            <w:r w:rsidRPr="4F9BDBF9">
              <w:rPr>
                <w:rFonts w:eastAsiaTheme="minorEastAsia"/>
                <w:sz w:val="24"/>
                <w:szCs w:val="24"/>
                <w:lang w:eastAsia="sk-SK"/>
              </w:rPr>
              <w:t xml:space="preserve"> </w:t>
            </w:r>
          </w:p>
        </w:tc>
        <w:tc>
          <w:tcPr>
            <w:tcW w:w="1246" w:type="dxa"/>
            <w:shd w:val="clear" w:color="auto" w:fill="EFEFEF"/>
            <w:noWrap/>
            <w:vAlign w:val="center"/>
            <w:hideMark/>
          </w:tcPr>
          <w:p w14:paraId="336895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10 498,54</w:t>
            </w:r>
            <w:r w:rsidRPr="4F9BDBF9">
              <w:rPr>
                <w:rFonts w:eastAsiaTheme="minorEastAsia"/>
                <w:sz w:val="24"/>
                <w:szCs w:val="24"/>
                <w:lang w:eastAsia="sk-SK"/>
              </w:rPr>
              <w:t xml:space="preserve"> </w:t>
            </w:r>
          </w:p>
        </w:tc>
        <w:tc>
          <w:tcPr>
            <w:tcW w:w="821" w:type="dxa"/>
            <w:shd w:val="clear" w:color="auto" w:fill="EFEFEF"/>
            <w:noWrap/>
            <w:vAlign w:val="center"/>
            <w:hideMark/>
          </w:tcPr>
          <w:p w14:paraId="4E2A617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78,23</w:t>
            </w:r>
            <w:r w:rsidRPr="4F9BDBF9">
              <w:rPr>
                <w:rFonts w:eastAsiaTheme="minorEastAsia"/>
                <w:sz w:val="24"/>
                <w:szCs w:val="24"/>
                <w:lang w:eastAsia="sk-SK"/>
              </w:rPr>
              <w:t xml:space="preserve"> </w:t>
            </w:r>
          </w:p>
        </w:tc>
        <w:tc>
          <w:tcPr>
            <w:tcW w:w="3191" w:type="dxa"/>
            <w:vMerge/>
            <w:vAlign w:val="center"/>
            <w:hideMark/>
          </w:tcPr>
          <w:p w14:paraId="4AE930D3" w14:textId="77777777" w:rsidR="00875772" w:rsidRPr="00116D4B" w:rsidRDefault="00875772" w:rsidP="00875772">
            <w:pPr>
              <w:spacing w:after="0" w:line="240" w:lineRule="auto"/>
              <w:rPr>
                <w:rFonts w:ascii="Times New Roman" w:hAnsi="Times New Roman"/>
                <w:sz w:val="24"/>
                <w:szCs w:val="24"/>
                <w:lang w:eastAsia="sk-SK"/>
              </w:rPr>
            </w:pPr>
          </w:p>
        </w:tc>
      </w:tr>
    </w:tbl>
    <w:p w14:paraId="5CDA843D"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02"/>
        <w:gridCol w:w="630"/>
        <w:gridCol w:w="1492"/>
        <w:gridCol w:w="1283"/>
        <w:gridCol w:w="4159"/>
      </w:tblGrid>
      <w:tr w:rsidR="00875772" w:rsidRPr="00116D4B" w14:paraId="25D26E42" w14:textId="77777777" w:rsidTr="00875772">
        <w:trPr>
          <w:tblCellSpacing w:w="15" w:type="dxa"/>
        </w:trPr>
        <w:tc>
          <w:tcPr>
            <w:tcW w:w="0" w:type="auto"/>
            <w:shd w:val="clear" w:color="auto" w:fill="C2D69B"/>
            <w:vAlign w:val="center"/>
            <w:hideMark/>
          </w:tcPr>
          <w:p w14:paraId="460FFD6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6E78A80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56D522AC" w14:textId="77777777" w:rsidTr="00875772">
        <w:trPr>
          <w:tblCellSpacing w:w="15" w:type="dxa"/>
        </w:trPr>
        <w:tc>
          <w:tcPr>
            <w:tcW w:w="0" w:type="auto"/>
            <w:shd w:val="clear" w:color="auto" w:fill="C2D69B"/>
            <w:vAlign w:val="center"/>
            <w:hideMark/>
          </w:tcPr>
          <w:p w14:paraId="14DC948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6D39A0A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4217147E" w14:textId="77777777" w:rsidTr="00875772">
        <w:trPr>
          <w:tblCellSpacing w:w="15" w:type="dxa"/>
        </w:trPr>
        <w:tc>
          <w:tcPr>
            <w:tcW w:w="0" w:type="auto"/>
            <w:shd w:val="clear" w:color="auto" w:fill="C2D69B"/>
            <w:vAlign w:val="center"/>
            <w:hideMark/>
          </w:tcPr>
          <w:p w14:paraId="49A0120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1CDF6AF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5D63E2BC" w14:textId="77777777" w:rsidTr="00875772">
        <w:trPr>
          <w:tblCellSpacing w:w="15" w:type="dxa"/>
        </w:trPr>
        <w:tc>
          <w:tcPr>
            <w:tcW w:w="0" w:type="auto"/>
            <w:shd w:val="clear" w:color="auto" w:fill="C2D69B"/>
            <w:vAlign w:val="center"/>
            <w:hideMark/>
          </w:tcPr>
          <w:p w14:paraId="0A79F74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0410EA1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17F03E4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76921B2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5E28C6E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763399D3" w14:textId="77777777" w:rsidTr="00875772">
        <w:trPr>
          <w:tblCellSpacing w:w="15" w:type="dxa"/>
        </w:trPr>
        <w:tc>
          <w:tcPr>
            <w:tcW w:w="0" w:type="auto"/>
            <w:shd w:val="clear" w:color="auto" w:fill="C2D69B"/>
            <w:vAlign w:val="center"/>
            <w:hideMark/>
          </w:tcPr>
          <w:p w14:paraId="5BFE3D6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43879DD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44BE5A9B" w14:textId="77777777" w:rsidR="00875772" w:rsidRPr="00116D4B" w:rsidRDefault="00875772" w:rsidP="00875772">
            <w:pPr>
              <w:spacing w:after="0" w:line="240" w:lineRule="auto"/>
              <w:jc w:val="center"/>
              <w:rPr>
                <w:rFonts w:eastAsiaTheme="minorEastAsia"/>
                <w:sz w:val="20"/>
                <w:szCs w:val="20"/>
                <w:lang w:eastAsia="sk-SK"/>
              </w:rPr>
            </w:pPr>
            <w:r w:rsidRPr="3E14EAE1">
              <w:rPr>
                <w:rFonts w:eastAsiaTheme="minorEastAsia"/>
                <w:sz w:val="20"/>
                <w:szCs w:val="20"/>
                <w:lang w:eastAsia="sk-SK"/>
              </w:rPr>
              <w:t> 88.69</w:t>
            </w:r>
          </w:p>
        </w:tc>
        <w:tc>
          <w:tcPr>
            <w:tcW w:w="0" w:type="auto"/>
            <w:shd w:val="clear" w:color="auto" w:fill="C2D69B"/>
            <w:vAlign w:val="center"/>
            <w:hideMark/>
          </w:tcPr>
          <w:p w14:paraId="55A6B39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7743918C" w14:textId="77777777" w:rsidR="00875772" w:rsidRPr="00116D4B" w:rsidRDefault="00875772" w:rsidP="00875772">
            <w:pPr>
              <w:spacing w:after="0" w:line="240" w:lineRule="auto"/>
              <w:rPr>
                <w:rFonts w:eastAsiaTheme="minorEastAsia"/>
                <w:sz w:val="20"/>
                <w:szCs w:val="20"/>
                <w:lang w:eastAsia="sk-SK"/>
              </w:rPr>
            </w:pPr>
            <w:r w:rsidRPr="3E14EAE1">
              <w:rPr>
                <w:rFonts w:eastAsiaTheme="minorEastAsia"/>
                <w:sz w:val="20"/>
                <w:szCs w:val="20"/>
                <w:lang w:eastAsia="sk-SK"/>
              </w:rPr>
              <w:t>Dôvodom pre čiastočné splnenie plánu je pandémia COVID-19.</w:t>
            </w:r>
          </w:p>
        </w:tc>
      </w:tr>
    </w:tbl>
    <w:p w14:paraId="618B38C0" w14:textId="77777777" w:rsidR="00352CED" w:rsidRDefault="00352CED" w:rsidP="00875772">
      <w:pPr>
        <w:spacing w:before="100" w:beforeAutospacing="1" w:after="100" w:afterAutospacing="1" w:line="240" w:lineRule="auto"/>
        <w:outlineLvl w:val="3"/>
        <w:rPr>
          <w:rFonts w:eastAsiaTheme="minorEastAsia"/>
          <w:b/>
          <w:bCs/>
          <w:color w:val="244061"/>
          <w:sz w:val="24"/>
          <w:szCs w:val="24"/>
          <w:lang w:eastAsia="sk-SK"/>
        </w:rPr>
      </w:pPr>
    </w:p>
    <w:p w14:paraId="5165C0C8" w14:textId="77777777" w:rsidR="00352CED" w:rsidRDefault="00352CED" w:rsidP="00875772">
      <w:pPr>
        <w:spacing w:before="100" w:beforeAutospacing="1" w:after="100" w:afterAutospacing="1" w:line="240" w:lineRule="auto"/>
        <w:outlineLvl w:val="3"/>
        <w:rPr>
          <w:rFonts w:eastAsiaTheme="minorEastAsia"/>
          <w:b/>
          <w:bCs/>
          <w:color w:val="244061"/>
          <w:sz w:val="24"/>
          <w:szCs w:val="24"/>
          <w:lang w:eastAsia="sk-SK"/>
        </w:rPr>
      </w:pPr>
    </w:p>
    <w:p w14:paraId="34A11822" w14:textId="350D1184"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3E14EAE1">
        <w:rPr>
          <w:rFonts w:eastAsiaTheme="minorEastAsia"/>
          <w:b/>
          <w:bCs/>
          <w:color w:val="244061"/>
          <w:sz w:val="24"/>
          <w:szCs w:val="24"/>
          <w:lang w:eastAsia="sk-SK"/>
        </w:rPr>
        <w:lastRenderedPageBreak/>
        <w:t>Prvok 11.1.16: DSS a zariadenie pre seniorov Pezinok</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1804"/>
        <w:gridCol w:w="1154"/>
        <w:gridCol w:w="1134"/>
        <w:gridCol w:w="1134"/>
        <w:gridCol w:w="850"/>
        <w:gridCol w:w="3520"/>
      </w:tblGrid>
      <w:tr w:rsidR="00875772" w:rsidRPr="00116D4B" w14:paraId="4B38BB3E" w14:textId="77777777" w:rsidTr="00875772">
        <w:trPr>
          <w:tblCellSpacing w:w="15" w:type="dxa"/>
        </w:trPr>
        <w:tc>
          <w:tcPr>
            <w:tcW w:w="825" w:type="dxa"/>
            <w:shd w:val="clear" w:color="auto" w:fill="C6DBF7"/>
            <w:vAlign w:val="center"/>
            <w:hideMark/>
          </w:tcPr>
          <w:p w14:paraId="23279A2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774" w:type="dxa"/>
            <w:shd w:val="clear" w:color="auto" w:fill="C6DBF7"/>
            <w:vAlign w:val="center"/>
            <w:hideMark/>
          </w:tcPr>
          <w:p w14:paraId="4151C726" w14:textId="77777777" w:rsidR="00875772" w:rsidRPr="00116D4B" w:rsidRDefault="00875772" w:rsidP="00875772">
            <w:pPr>
              <w:spacing w:after="0" w:line="240" w:lineRule="auto"/>
              <w:jc w:val="center"/>
              <w:rPr>
                <w:rFonts w:eastAsiaTheme="minorEastAsia"/>
                <w:sz w:val="24"/>
                <w:szCs w:val="24"/>
                <w:lang w:eastAsia="sk-SK"/>
              </w:rPr>
            </w:pPr>
            <w:r w:rsidRPr="201CD2EE">
              <w:rPr>
                <w:rFonts w:eastAsiaTheme="minorEastAsia"/>
                <w:b/>
                <w:bCs/>
                <w:sz w:val="20"/>
                <w:szCs w:val="20"/>
                <w:lang w:eastAsia="sk-SK"/>
              </w:rPr>
              <w:t>Ekonomická </w:t>
            </w:r>
          </w:p>
          <w:p w14:paraId="7951D5BE" w14:textId="77777777" w:rsidR="00875772" w:rsidRPr="00116D4B" w:rsidRDefault="00875772" w:rsidP="00875772">
            <w:pPr>
              <w:spacing w:after="0" w:line="240" w:lineRule="auto"/>
              <w:jc w:val="center"/>
              <w:rPr>
                <w:rFonts w:eastAsiaTheme="minorEastAsia"/>
                <w:sz w:val="24"/>
                <w:szCs w:val="24"/>
                <w:lang w:eastAsia="sk-SK"/>
              </w:rPr>
            </w:pPr>
            <w:r w:rsidRPr="201CD2EE">
              <w:rPr>
                <w:rFonts w:eastAsiaTheme="minorEastAsia"/>
                <w:b/>
                <w:bCs/>
                <w:sz w:val="20"/>
                <w:szCs w:val="20"/>
                <w:lang w:eastAsia="sk-SK"/>
              </w:rPr>
              <w:t>klasifikácia</w:t>
            </w:r>
          </w:p>
        </w:tc>
        <w:tc>
          <w:tcPr>
            <w:tcW w:w="1124" w:type="dxa"/>
            <w:shd w:val="clear" w:color="auto" w:fill="C6DBF7"/>
            <w:vAlign w:val="center"/>
            <w:hideMark/>
          </w:tcPr>
          <w:p w14:paraId="5381CB2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355BEEE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22E8522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820" w:type="dxa"/>
            <w:shd w:val="clear" w:color="auto" w:fill="C6DBF7"/>
            <w:vAlign w:val="center"/>
            <w:hideMark/>
          </w:tcPr>
          <w:p w14:paraId="45A3A9C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475" w:type="dxa"/>
            <w:shd w:val="clear" w:color="auto" w:fill="C6DBF7"/>
            <w:vAlign w:val="center"/>
            <w:hideMark/>
          </w:tcPr>
          <w:p w14:paraId="32B4554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4F018CE5" w14:textId="77777777" w:rsidTr="00875772">
        <w:trPr>
          <w:tblCellSpacing w:w="15" w:type="dxa"/>
        </w:trPr>
        <w:tc>
          <w:tcPr>
            <w:tcW w:w="825" w:type="dxa"/>
            <w:shd w:val="clear" w:color="auto" w:fill="D9D9D9" w:themeFill="background1" w:themeFillShade="D9"/>
            <w:noWrap/>
            <w:vAlign w:val="center"/>
            <w:hideMark/>
          </w:tcPr>
          <w:p w14:paraId="5A741EAD" w14:textId="77777777" w:rsidR="00875772" w:rsidRPr="00116D4B" w:rsidRDefault="00875772" w:rsidP="00875772">
            <w:pPr>
              <w:spacing w:after="0" w:line="240" w:lineRule="auto"/>
              <w:jc w:val="center"/>
              <w:rPr>
                <w:rFonts w:eastAsiaTheme="minorEastAsia"/>
                <w:sz w:val="24"/>
                <w:szCs w:val="24"/>
                <w:lang w:eastAsia="sk-SK"/>
              </w:rPr>
            </w:pPr>
          </w:p>
        </w:tc>
        <w:tc>
          <w:tcPr>
            <w:tcW w:w="1774" w:type="dxa"/>
            <w:shd w:val="clear" w:color="auto" w:fill="D9D9D9" w:themeFill="background1" w:themeFillShade="D9"/>
            <w:vAlign w:val="center"/>
            <w:hideMark/>
          </w:tcPr>
          <w:p w14:paraId="33C9B4E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124" w:type="dxa"/>
            <w:shd w:val="clear" w:color="auto" w:fill="D9D9D9" w:themeFill="background1" w:themeFillShade="D9"/>
            <w:noWrap/>
            <w:vAlign w:val="center"/>
            <w:hideMark/>
          </w:tcPr>
          <w:p w14:paraId="5C2EDF6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1 588 550,04</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0D3C93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1 708 138,48</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67E1915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1 563 190,95</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5391A4F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91,51</w:t>
            </w:r>
            <w:r w:rsidRPr="4F9BDBF9">
              <w:rPr>
                <w:rFonts w:eastAsiaTheme="minorEastAsia"/>
                <w:sz w:val="24"/>
                <w:szCs w:val="24"/>
                <w:lang w:eastAsia="sk-SK"/>
              </w:rPr>
              <w:t xml:space="preserve"> </w:t>
            </w:r>
          </w:p>
        </w:tc>
        <w:tc>
          <w:tcPr>
            <w:tcW w:w="3475" w:type="dxa"/>
            <w:vMerge w:val="restart"/>
            <w:shd w:val="clear" w:color="auto" w:fill="D9D9D9" w:themeFill="background1" w:themeFillShade="D9"/>
            <w:vAlign w:val="center"/>
            <w:hideMark/>
          </w:tcPr>
          <w:p w14:paraId="1572D3A7"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+59 438,44 EUR</w:t>
            </w:r>
            <w:r w:rsidRPr="201CD2EE">
              <w:rPr>
                <w:rFonts w:eastAsiaTheme="minorEastAsia"/>
                <w:sz w:val="20"/>
                <w:szCs w:val="20"/>
                <w:lang w:eastAsia="sk-SK"/>
              </w:rPr>
              <w:t xml:space="preserve"> presun z P11.3 na navýšenie mzdových prostriedkov</w:t>
            </w:r>
          </w:p>
          <w:p w14:paraId="712E766C"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+17 634,00 EUR </w:t>
            </w:r>
            <w:r w:rsidRPr="201CD2EE">
              <w:rPr>
                <w:rFonts w:eastAsiaTheme="minorEastAsia"/>
                <w:sz w:val="20"/>
                <w:szCs w:val="20"/>
                <w:lang w:eastAsia="sk-SK"/>
              </w:rPr>
              <w:t xml:space="preserve"> presun z P11.3 na dezinfekčné prostriedky a OOPP</w:t>
            </w:r>
          </w:p>
          <w:p w14:paraId="1E81F563"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+38 986,00 EUR </w:t>
            </w:r>
            <w:r w:rsidRPr="201CD2EE">
              <w:rPr>
                <w:rFonts w:eastAsiaTheme="minorEastAsia"/>
                <w:sz w:val="20"/>
                <w:szCs w:val="20"/>
                <w:lang w:eastAsia="sk-SK"/>
              </w:rPr>
              <w:t>dotácia z MPSVaR SR  na mimoriadne odmeny pre zamestnancov za I. vlnu pandémie</w:t>
            </w:r>
          </w:p>
          <w:p w14:paraId="7AAF9D05"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+3 580,00 EUR </w:t>
            </w:r>
            <w:r w:rsidRPr="201CD2EE">
              <w:rPr>
                <w:rFonts w:eastAsiaTheme="minorEastAsia"/>
                <w:sz w:val="20"/>
                <w:szCs w:val="20"/>
                <w:lang w:eastAsia="sk-SK"/>
              </w:rPr>
              <w:t>dotácia z MPSVaR SR na výživové doplnky (</w:t>
            </w:r>
            <w:proofErr w:type="spellStart"/>
            <w:r w:rsidRPr="201CD2EE">
              <w:rPr>
                <w:rFonts w:eastAsiaTheme="minorEastAsia"/>
                <w:sz w:val="20"/>
                <w:szCs w:val="20"/>
                <w:lang w:eastAsia="sk-SK"/>
              </w:rPr>
              <w:t>vit</w:t>
            </w:r>
            <w:proofErr w:type="spellEnd"/>
            <w:r w:rsidRPr="201CD2EE">
              <w:rPr>
                <w:rFonts w:eastAsiaTheme="minorEastAsia"/>
                <w:sz w:val="20"/>
                <w:szCs w:val="20"/>
                <w:lang w:eastAsia="sk-SK"/>
              </w:rPr>
              <w:t>. D3)</w:t>
            </w:r>
          </w:p>
          <w:p w14:paraId="3E27C2A6"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+1 500,00 EUR </w:t>
            </w:r>
            <w:r w:rsidRPr="201CD2EE">
              <w:rPr>
                <w:rFonts w:eastAsiaTheme="minorEastAsia"/>
                <w:sz w:val="20"/>
                <w:szCs w:val="20"/>
                <w:lang w:eastAsia="sk-SK"/>
              </w:rPr>
              <w:t>dary</w:t>
            </w:r>
          </w:p>
          <w:p w14:paraId="166341A2"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+500,00 EUR </w:t>
            </w:r>
            <w:r w:rsidRPr="201CD2EE">
              <w:rPr>
                <w:rFonts w:eastAsiaTheme="minorEastAsia"/>
                <w:sz w:val="20"/>
                <w:szCs w:val="20"/>
                <w:lang w:eastAsia="sk-SK"/>
              </w:rPr>
              <w:t>dotácia z rozpočtu mesta Pezinok</w:t>
            </w:r>
          </w:p>
          <w:p w14:paraId="78D9A9D5"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-5 050,00 EUR</w:t>
            </w:r>
            <w:r w:rsidRPr="201CD2EE">
              <w:rPr>
                <w:rFonts w:eastAsiaTheme="minorEastAsia"/>
                <w:sz w:val="20"/>
                <w:szCs w:val="20"/>
                <w:lang w:eastAsia="sk-SK"/>
              </w:rPr>
              <w:t xml:space="preserve"> zníženie rozpočtu BV (</w:t>
            </w:r>
            <w:proofErr w:type="spellStart"/>
            <w:r w:rsidRPr="201CD2EE">
              <w:rPr>
                <w:rFonts w:eastAsiaTheme="minorEastAsia"/>
                <w:sz w:val="20"/>
                <w:szCs w:val="20"/>
                <w:lang w:eastAsia="sk-SK"/>
              </w:rPr>
              <w:t>Uzn</w:t>
            </w:r>
            <w:proofErr w:type="spellEnd"/>
            <w:r w:rsidRPr="201CD2EE">
              <w:rPr>
                <w:rFonts w:eastAsiaTheme="minorEastAsia"/>
                <w:sz w:val="20"/>
                <w:szCs w:val="20"/>
                <w:lang w:eastAsia="sk-SK"/>
              </w:rPr>
              <w:t>. 247/2020 z 29.5.2020) z dôvodu nenaplnených daňových príjmov</w:t>
            </w:r>
          </w:p>
          <w:p w14:paraId="5155433E" w14:textId="77777777" w:rsidR="00875772" w:rsidRDefault="00875772" w:rsidP="00875772">
            <w:pPr>
              <w:spacing w:after="0" w:line="240" w:lineRule="auto"/>
              <w:rPr>
                <w:rFonts w:eastAsiaTheme="minorEastAsia"/>
                <w:sz w:val="20"/>
                <w:szCs w:val="20"/>
                <w:lang w:eastAsia="sk-SK"/>
              </w:rPr>
            </w:pPr>
            <w:r w:rsidRPr="201CD2EE">
              <w:rPr>
                <w:rFonts w:eastAsiaTheme="minorEastAsia"/>
                <w:b/>
                <w:bCs/>
                <w:sz w:val="20"/>
                <w:szCs w:val="20"/>
                <w:lang w:eastAsia="sk-SK"/>
              </w:rPr>
              <w:t xml:space="preserve">+3 000,00 EUR </w:t>
            </w:r>
            <w:r w:rsidRPr="201CD2EE">
              <w:rPr>
                <w:rFonts w:eastAsiaTheme="minorEastAsia"/>
                <w:sz w:val="20"/>
                <w:szCs w:val="20"/>
                <w:lang w:eastAsia="sk-SK"/>
              </w:rPr>
              <w:t xml:space="preserve">presun z P11.3 na vybudovanie </w:t>
            </w:r>
            <w:proofErr w:type="spellStart"/>
            <w:r w:rsidRPr="201CD2EE">
              <w:rPr>
                <w:rFonts w:eastAsiaTheme="minorEastAsia"/>
                <w:sz w:val="20"/>
                <w:szCs w:val="20"/>
                <w:lang w:eastAsia="sk-SK"/>
              </w:rPr>
              <w:t>petangového</w:t>
            </w:r>
            <w:proofErr w:type="spellEnd"/>
            <w:r w:rsidRPr="201CD2EE">
              <w:rPr>
                <w:rFonts w:eastAsiaTheme="minorEastAsia"/>
                <w:sz w:val="20"/>
                <w:szCs w:val="20"/>
                <w:lang w:eastAsia="sk-SK"/>
              </w:rPr>
              <w:t xml:space="preserve"> ihriska</w:t>
            </w:r>
          </w:p>
        </w:tc>
      </w:tr>
      <w:tr w:rsidR="00875772" w:rsidRPr="00116D4B" w14:paraId="494EDE9B" w14:textId="77777777" w:rsidTr="00875772">
        <w:trPr>
          <w:tblCellSpacing w:w="15" w:type="dxa"/>
        </w:trPr>
        <w:tc>
          <w:tcPr>
            <w:tcW w:w="825" w:type="dxa"/>
            <w:shd w:val="clear" w:color="auto" w:fill="D9D9D9" w:themeFill="background1" w:themeFillShade="D9"/>
            <w:noWrap/>
            <w:vAlign w:val="center"/>
            <w:hideMark/>
          </w:tcPr>
          <w:p w14:paraId="0987123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774" w:type="dxa"/>
            <w:shd w:val="clear" w:color="auto" w:fill="D9D9D9" w:themeFill="background1" w:themeFillShade="D9"/>
            <w:vAlign w:val="center"/>
            <w:hideMark/>
          </w:tcPr>
          <w:p w14:paraId="1DD1DC5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124" w:type="dxa"/>
            <w:shd w:val="clear" w:color="auto" w:fill="D9D9D9" w:themeFill="background1" w:themeFillShade="D9"/>
            <w:noWrap/>
            <w:vAlign w:val="center"/>
            <w:hideMark/>
          </w:tcPr>
          <w:p w14:paraId="16FD9BD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1 588 550,04</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1A514CF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1 705 138,48</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3C029E3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1 560 190,95</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4B7C487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91,50</w:t>
            </w:r>
            <w:r w:rsidRPr="4F9BDBF9">
              <w:rPr>
                <w:rFonts w:eastAsiaTheme="minorEastAsia"/>
                <w:sz w:val="24"/>
                <w:szCs w:val="24"/>
                <w:lang w:eastAsia="sk-SK"/>
              </w:rPr>
              <w:t xml:space="preserve"> </w:t>
            </w:r>
          </w:p>
        </w:tc>
        <w:tc>
          <w:tcPr>
            <w:tcW w:w="3475" w:type="dxa"/>
            <w:vMerge/>
            <w:shd w:val="clear" w:color="auto" w:fill="D9D9D9" w:themeFill="background1" w:themeFillShade="D9"/>
            <w:vAlign w:val="center"/>
            <w:hideMark/>
          </w:tcPr>
          <w:p w14:paraId="79F50F0A"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15115C86" w14:textId="77777777" w:rsidTr="00875772">
        <w:trPr>
          <w:tblCellSpacing w:w="15" w:type="dxa"/>
        </w:trPr>
        <w:tc>
          <w:tcPr>
            <w:tcW w:w="825" w:type="dxa"/>
            <w:shd w:val="clear" w:color="auto" w:fill="EFEFEF"/>
            <w:noWrap/>
            <w:vAlign w:val="center"/>
            <w:hideMark/>
          </w:tcPr>
          <w:p w14:paraId="71BEB06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774" w:type="dxa"/>
            <w:shd w:val="clear" w:color="auto" w:fill="EFEFEF"/>
            <w:vAlign w:val="center"/>
            <w:hideMark/>
          </w:tcPr>
          <w:p w14:paraId="3B82664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124" w:type="dxa"/>
            <w:shd w:val="clear" w:color="auto" w:fill="EFEFEF"/>
            <w:noWrap/>
            <w:vAlign w:val="center"/>
            <w:hideMark/>
          </w:tcPr>
          <w:p w14:paraId="149AFCE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899 465,16</w:t>
            </w:r>
            <w:r w:rsidRPr="4F9BDBF9">
              <w:rPr>
                <w:rFonts w:eastAsiaTheme="minorEastAsia"/>
                <w:sz w:val="24"/>
                <w:szCs w:val="24"/>
                <w:lang w:eastAsia="sk-SK"/>
              </w:rPr>
              <w:t xml:space="preserve"> </w:t>
            </w:r>
          </w:p>
        </w:tc>
        <w:tc>
          <w:tcPr>
            <w:tcW w:w="1104" w:type="dxa"/>
            <w:shd w:val="clear" w:color="auto" w:fill="EFEFEF"/>
            <w:noWrap/>
            <w:vAlign w:val="center"/>
            <w:hideMark/>
          </w:tcPr>
          <w:p w14:paraId="18E5D3F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965 039,10</w:t>
            </w:r>
            <w:r w:rsidRPr="4F9BDBF9">
              <w:rPr>
                <w:rFonts w:eastAsiaTheme="minorEastAsia"/>
                <w:sz w:val="24"/>
                <w:szCs w:val="24"/>
                <w:lang w:eastAsia="sk-SK"/>
              </w:rPr>
              <w:t xml:space="preserve"> </w:t>
            </w:r>
          </w:p>
        </w:tc>
        <w:tc>
          <w:tcPr>
            <w:tcW w:w="1104" w:type="dxa"/>
            <w:shd w:val="clear" w:color="auto" w:fill="EFEFEF"/>
            <w:noWrap/>
            <w:vAlign w:val="center"/>
            <w:hideMark/>
          </w:tcPr>
          <w:p w14:paraId="440233C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866 669,39</w:t>
            </w:r>
            <w:r w:rsidRPr="4F9BDBF9">
              <w:rPr>
                <w:rFonts w:eastAsiaTheme="minorEastAsia"/>
                <w:sz w:val="24"/>
                <w:szCs w:val="24"/>
                <w:lang w:eastAsia="sk-SK"/>
              </w:rPr>
              <w:t xml:space="preserve"> </w:t>
            </w:r>
          </w:p>
        </w:tc>
        <w:tc>
          <w:tcPr>
            <w:tcW w:w="820" w:type="dxa"/>
            <w:shd w:val="clear" w:color="auto" w:fill="EFEFEF"/>
            <w:noWrap/>
            <w:vAlign w:val="center"/>
            <w:hideMark/>
          </w:tcPr>
          <w:p w14:paraId="2388385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89,81</w:t>
            </w:r>
            <w:r w:rsidRPr="4F9BDBF9">
              <w:rPr>
                <w:rFonts w:eastAsiaTheme="minorEastAsia"/>
                <w:sz w:val="24"/>
                <w:szCs w:val="24"/>
                <w:lang w:eastAsia="sk-SK"/>
              </w:rPr>
              <w:t xml:space="preserve"> </w:t>
            </w:r>
          </w:p>
        </w:tc>
        <w:tc>
          <w:tcPr>
            <w:tcW w:w="3475" w:type="dxa"/>
            <w:vMerge/>
            <w:vAlign w:val="center"/>
            <w:hideMark/>
          </w:tcPr>
          <w:p w14:paraId="3BE681E1"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14DDA3A" w14:textId="77777777" w:rsidTr="00875772">
        <w:trPr>
          <w:tblCellSpacing w:w="15" w:type="dxa"/>
        </w:trPr>
        <w:tc>
          <w:tcPr>
            <w:tcW w:w="825" w:type="dxa"/>
            <w:shd w:val="clear" w:color="auto" w:fill="EFEFEF"/>
            <w:noWrap/>
            <w:vAlign w:val="center"/>
            <w:hideMark/>
          </w:tcPr>
          <w:p w14:paraId="5617349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774" w:type="dxa"/>
            <w:shd w:val="clear" w:color="auto" w:fill="EFEFEF"/>
            <w:vAlign w:val="center"/>
            <w:hideMark/>
          </w:tcPr>
          <w:p w14:paraId="5349F36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124" w:type="dxa"/>
            <w:shd w:val="clear" w:color="auto" w:fill="EFEFEF"/>
            <w:noWrap/>
            <w:vAlign w:val="center"/>
            <w:hideMark/>
          </w:tcPr>
          <w:p w14:paraId="570C839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323 896,71</w:t>
            </w:r>
            <w:r w:rsidRPr="4F9BDBF9">
              <w:rPr>
                <w:rFonts w:eastAsiaTheme="minorEastAsia"/>
                <w:sz w:val="24"/>
                <w:szCs w:val="24"/>
                <w:lang w:eastAsia="sk-SK"/>
              </w:rPr>
              <w:t xml:space="preserve"> </w:t>
            </w:r>
          </w:p>
        </w:tc>
        <w:tc>
          <w:tcPr>
            <w:tcW w:w="1104" w:type="dxa"/>
            <w:shd w:val="clear" w:color="auto" w:fill="EFEFEF"/>
            <w:noWrap/>
            <w:vAlign w:val="center"/>
            <w:hideMark/>
          </w:tcPr>
          <w:p w14:paraId="1622619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356 778,55</w:t>
            </w:r>
            <w:r w:rsidRPr="4F9BDBF9">
              <w:rPr>
                <w:rFonts w:eastAsiaTheme="minorEastAsia"/>
                <w:sz w:val="24"/>
                <w:szCs w:val="24"/>
                <w:lang w:eastAsia="sk-SK"/>
              </w:rPr>
              <w:t xml:space="preserve"> </w:t>
            </w:r>
          </w:p>
        </w:tc>
        <w:tc>
          <w:tcPr>
            <w:tcW w:w="1104" w:type="dxa"/>
            <w:shd w:val="clear" w:color="auto" w:fill="EFEFEF"/>
            <w:noWrap/>
            <w:vAlign w:val="center"/>
            <w:hideMark/>
          </w:tcPr>
          <w:p w14:paraId="4007079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312 729,87</w:t>
            </w:r>
            <w:r w:rsidRPr="4F9BDBF9">
              <w:rPr>
                <w:rFonts w:eastAsiaTheme="minorEastAsia"/>
                <w:sz w:val="24"/>
                <w:szCs w:val="24"/>
                <w:lang w:eastAsia="sk-SK"/>
              </w:rPr>
              <w:t xml:space="preserve"> </w:t>
            </w:r>
          </w:p>
        </w:tc>
        <w:tc>
          <w:tcPr>
            <w:tcW w:w="820" w:type="dxa"/>
            <w:shd w:val="clear" w:color="auto" w:fill="EFEFEF"/>
            <w:noWrap/>
            <w:vAlign w:val="center"/>
            <w:hideMark/>
          </w:tcPr>
          <w:p w14:paraId="68BA2F7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87,65</w:t>
            </w:r>
            <w:r w:rsidRPr="4F9BDBF9">
              <w:rPr>
                <w:rFonts w:eastAsiaTheme="minorEastAsia"/>
                <w:sz w:val="24"/>
                <w:szCs w:val="24"/>
                <w:lang w:eastAsia="sk-SK"/>
              </w:rPr>
              <w:t xml:space="preserve"> </w:t>
            </w:r>
          </w:p>
        </w:tc>
        <w:tc>
          <w:tcPr>
            <w:tcW w:w="3475" w:type="dxa"/>
            <w:vMerge/>
            <w:vAlign w:val="center"/>
            <w:hideMark/>
          </w:tcPr>
          <w:p w14:paraId="49BC2114"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2CFD9249" w14:textId="77777777" w:rsidTr="00875772">
        <w:trPr>
          <w:tblCellSpacing w:w="15" w:type="dxa"/>
        </w:trPr>
        <w:tc>
          <w:tcPr>
            <w:tcW w:w="825" w:type="dxa"/>
            <w:shd w:val="clear" w:color="auto" w:fill="EFEFEF"/>
            <w:noWrap/>
            <w:vAlign w:val="center"/>
            <w:hideMark/>
          </w:tcPr>
          <w:p w14:paraId="32B9B45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774" w:type="dxa"/>
            <w:shd w:val="clear" w:color="auto" w:fill="EFEFEF"/>
            <w:vAlign w:val="center"/>
            <w:hideMark/>
          </w:tcPr>
          <w:p w14:paraId="1949571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124" w:type="dxa"/>
            <w:shd w:val="clear" w:color="auto" w:fill="EFEFEF"/>
            <w:noWrap/>
            <w:vAlign w:val="center"/>
            <w:hideMark/>
          </w:tcPr>
          <w:p w14:paraId="2D9DBD4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348 965,65</w:t>
            </w:r>
            <w:r w:rsidRPr="4F9BDBF9">
              <w:rPr>
                <w:rFonts w:eastAsiaTheme="minorEastAsia"/>
                <w:sz w:val="24"/>
                <w:szCs w:val="24"/>
                <w:lang w:eastAsia="sk-SK"/>
              </w:rPr>
              <w:t xml:space="preserve"> </w:t>
            </w:r>
          </w:p>
        </w:tc>
        <w:tc>
          <w:tcPr>
            <w:tcW w:w="1104" w:type="dxa"/>
            <w:shd w:val="clear" w:color="auto" w:fill="EFEFEF"/>
            <w:noWrap/>
            <w:vAlign w:val="center"/>
            <w:hideMark/>
          </w:tcPr>
          <w:p w14:paraId="17733D0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361 846,96</w:t>
            </w:r>
            <w:r w:rsidRPr="4F9BDBF9">
              <w:rPr>
                <w:rFonts w:eastAsiaTheme="minorEastAsia"/>
                <w:sz w:val="24"/>
                <w:szCs w:val="24"/>
                <w:lang w:eastAsia="sk-SK"/>
              </w:rPr>
              <w:t xml:space="preserve"> </w:t>
            </w:r>
          </w:p>
        </w:tc>
        <w:tc>
          <w:tcPr>
            <w:tcW w:w="1104" w:type="dxa"/>
            <w:shd w:val="clear" w:color="auto" w:fill="EFEFEF"/>
            <w:noWrap/>
            <w:vAlign w:val="center"/>
            <w:hideMark/>
          </w:tcPr>
          <w:p w14:paraId="3AF95FD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359 317,82</w:t>
            </w:r>
            <w:r w:rsidRPr="4F9BDBF9">
              <w:rPr>
                <w:rFonts w:eastAsiaTheme="minorEastAsia"/>
                <w:sz w:val="24"/>
                <w:szCs w:val="24"/>
                <w:lang w:eastAsia="sk-SK"/>
              </w:rPr>
              <w:t xml:space="preserve"> </w:t>
            </w:r>
          </w:p>
        </w:tc>
        <w:tc>
          <w:tcPr>
            <w:tcW w:w="820" w:type="dxa"/>
            <w:shd w:val="clear" w:color="auto" w:fill="EFEFEF"/>
            <w:noWrap/>
            <w:vAlign w:val="center"/>
            <w:hideMark/>
          </w:tcPr>
          <w:p w14:paraId="0BDF296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99,30</w:t>
            </w:r>
            <w:r w:rsidRPr="4F9BDBF9">
              <w:rPr>
                <w:rFonts w:eastAsiaTheme="minorEastAsia"/>
                <w:sz w:val="24"/>
                <w:szCs w:val="24"/>
                <w:lang w:eastAsia="sk-SK"/>
              </w:rPr>
              <w:t xml:space="preserve"> </w:t>
            </w:r>
          </w:p>
        </w:tc>
        <w:tc>
          <w:tcPr>
            <w:tcW w:w="3475" w:type="dxa"/>
            <w:vMerge/>
            <w:vAlign w:val="center"/>
            <w:hideMark/>
          </w:tcPr>
          <w:p w14:paraId="0B433965"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4EF8B0A1" w14:textId="77777777" w:rsidTr="00875772">
        <w:trPr>
          <w:tblCellSpacing w:w="15" w:type="dxa"/>
        </w:trPr>
        <w:tc>
          <w:tcPr>
            <w:tcW w:w="825" w:type="dxa"/>
            <w:shd w:val="clear" w:color="auto" w:fill="EFEFEF"/>
            <w:noWrap/>
            <w:vAlign w:val="center"/>
            <w:hideMark/>
          </w:tcPr>
          <w:p w14:paraId="16E1D60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774" w:type="dxa"/>
            <w:shd w:val="clear" w:color="auto" w:fill="EFEFEF"/>
            <w:vAlign w:val="center"/>
            <w:hideMark/>
          </w:tcPr>
          <w:p w14:paraId="70DBDC3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124" w:type="dxa"/>
            <w:shd w:val="clear" w:color="auto" w:fill="EFEFEF"/>
            <w:noWrap/>
            <w:vAlign w:val="center"/>
            <w:hideMark/>
          </w:tcPr>
          <w:p w14:paraId="3D9D4EB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16 222,52</w:t>
            </w:r>
            <w:r w:rsidRPr="4F9BDBF9">
              <w:rPr>
                <w:rFonts w:eastAsiaTheme="minorEastAsia"/>
                <w:sz w:val="24"/>
                <w:szCs w:val="24"/>
                <w:lang w:eastAsia="sk-SK"/>
              </w:rPr>
              <w:t xml:space="preserve"> </w:t>
            </w:r>
          </w:p>
        </w:tc>
        <w:tc>
          <w:tcPr>
            <w:tcW w:w="1104" w:type="dxa"/>
            <w:shd w:val="clear" w:color="auto" w:fill="EFEFEF"/>
            <w:noWrap/>
            <w:vAlign w:val="center"/>
            <w:hideMark/>
          </w:tcPr>
          <w:p w14:paraId="56E125E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21 473,87</w:t>
            </w:r>
            <w:r w:rsidRPr="4F9BDBF9">
              <w:rPr>
                <w:rFonts w:eastAsiaTheme="minorEastAsia"/>
                <w:sz w:val="24"/>
                <w:szCs w:val="24"/>
                <w:lang w:eastAsia="sk-SK"/>
              </w:rPr>
              <w:t xml:space="preserve"> </w:t>
            </w:r>
          </w:p>
        </w:tc>
        <w:tc>
          <w:tcPr>
            <w:tcW w:w="1104" w:type="dxa"/>
            <w:shd w:val="clear" w:color="auto" w:fill="EFEFEF"/>
            <w:noWrap/>
            <w:vAlign w:val="center"/>
            <w:hideMark/>
          </w:tcPr>
          <w:p w14:paraId="167913C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21 473,87</w:t>
            </w:r>
            <w:r w:rsidRPr="4F9BDBF9">
              <w:rPr>
                <w:rFonts w:eastAsiaTheme="minorEastAsia"/>
                <w:sz w:val="24"/>
                <w:szCs w:val="24"/>
                <w:lang w:eastAsia="sk-SK"/>
              </w:rPr>
              <w:t xml:space="preserve"> </w:t>
            </w:r>
          </w:p>
        </w:tc>
        <w:tc>
          <w:tcPr>
            <w:tcW w:w="820" w:type="dxa"/>
            <w:shd w:val="clear" w:color="auto" w:fill="EFEFEF"/>
            <w:noWrap/>
            <w:vAlign w:val="center"/>
            <w:hideMark/>
          </w:tcPr>
          <w:p w14:paraId="3DF9480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3475" w:type="dxa"/>
            <w:vMerge/>
            <w:vAlign w:val="center"/>
            <w:hideMark/>
          </w:tcPr>
          <w:p w14:paraId="1F4C58D5"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BA5167B" w14:textId="77777777" w:rsidTr="00875772">
        <w:trPr>
          <w:tblCellSpacing w:w="15" w:type="dxa"/>
        </w:trPr>
        <w:tc>
          <w:tcPr>
            <w:tcW w:w="825" w:type="dxa"/>
            <w:shd w:val="clear" w:color="auto" w:fill="D9D9D9" w:themeFill="background1" w:themeFillShade="D9"/>
            <w:noWrap/>
            <w:vAlign w:val="center"/>
            <w:hideMark/>
          </w:tcPr>
          <w:p w14:paraId="359CF4B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700</w:t>
            </w:r>
            <w:r w:rsidRPr="4F9BDBF9">
              <w:rPr>
                <w:rFonts w:eastAsiaTheme="minorEastAsia"/>
                <w:sz w:val="24"/>
                <w:szCs w:val="24"/>
                <w:lang w:eastAsia="sk-SK"/>
              </w:rPr>
              <w:t xml:space="preserve"> </w:t>
            </w:r>
          </w:p>
        </w:tc>
        <w:tc>
          <w:tcPr>
            <w:tcW w:w="1774" w:type="dxa"/>
            <w:shd w:val="clear" w:color="auto" w:fill="D9D9D9" w:themeFill="background1" w:themeFillShade="D9"/>
            <w:vAlign w:val="center"/>
            <w:hideMark/>
          </w:tcPr>
          <w:p w14:paraId="6165F83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1124" w:type="dxa"/>
            <w:shd w:val="clear" w:color="auto" w:fill="D9D9D9" w:themeFill="background1" w:themeFillShade="D9"/>
            <w:noWrap/>
            <w:vAlign w:val="center"/>
            <w:hideMark/>
          </w:tcPr>
          <w:p w14:paraId="1FF00BA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56FAFB6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3 000,00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758C599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3 000,00</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2454E8C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100,00</w:t>
            </w:r>
            <w:r w:rsidRPr="4F9BDBF9">
              <w:rPr>
                <w:rFonts w:eastAsiaTheme="minorEastAsia"/>
                <w:sz w:val="24"/>
                <w:szCs w:val="24"/>
                <w:lang w:eastAsia="sk-SK"/>
              </w:rPr>
              <w:t xml:space="preserve"> </w:t>
            </w:r>
          </w:p>
        </w:tc>
        <w:tc>
          <w:tcPr>
            <w:tcW w:w="3475" w:type="dxa"/>
            <w:vMerge/>
            <w:vAlign w:val="center"/>
            <w:hideMark/>
          </w:tcPr>
          <w:p w14:paraId="68727FFE"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7B5F7034" w14:textId="77777777" w:rsidTr="00875772">
        <w:trPr>
          <w:tblCellSpacing w:w="15" w:type="dxa"/>
        </w:trPr>
        <w:tc>
          <w:tcPr>
            <w:tcW w:w="825" w:type="dxa"/>
            <w:shd w:val="clear" w:color="auto" w:fill="EFEFEF"/>
            <w:noWrap/>
            <w:vAlign w:val="center"/>
            <w:hideMark/>
          </w:tcPr>
          <w:p w14:paraId="575C330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710</w:t>
            </w:r>
            <w:r w:rsidRPr="4F9BDBF9">
              <w:rPr>
                <w:rFonts w:eastAsiaTheme="minorEastAsia"/>
                <w:sz w:val="24"/>
                <w:szCs w:val="24"/>
                <w:lang w:eastAsia="sk-SK"/>
              </w:rPr>
              <w:t xml:space="preserve"> </w:t>
            </w:r>
          </w:p>
        </w:tc>
        <w:tc>
          <w:tcPr>
            <w:tcW w:w="1774" w:type="dxa"/>
            <w:shd w:val="clear" w:color="auto" w:fill="EFEFEF"/>
            <w:vAlign w:val="center"/>
            <w:hideMark/>
          </w:tcPr>
          <w:p w14:paraId="071EF5FB"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1124" w:type="dxa"/>
            <w:shd w:val="clear" w:color="auto" w:fill="EFEFEF"/>
            <w:noWrap/>
            <w:vAlign w:val="center"/>
            <w:hideMark/>
          </w:tcPr>
          <w:p w14:paraId="49CF4E8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1104" w:type="dxa"/>
            <w:shd w:val="clear" w:color="auto" w:fill="EFEFEF"/>
            <w:noWrap/>
            <w:vAlign w:val="center"/>
            <w:hideMark/>
          </w:tcPr>
          <w:p w14:paraId="3103D78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3 000,00</w:t>
            </w:r>
            <w:r w:rsidRPr="4F9BDBF9">
              <w:rPr>
                <w:rFonts w:eastAsiaTheme="minorEastAsia"/>
                <w:sz w:val="24"/>
                <w:szCs w:val="24"/>
                <w:lang w:eastAsia="sk-SK"/>
              </w:rPr>
              <w:t xml:space="preserve"> </w:t>
            </w:r>
          </w:p>
        </w:tc>
        <w:tc>
          <w:tcPr>
            <w:tcW w:w="1104" w:type="dxa"/>
            <w:shd w:val="clear" w:color="auto" w:fill="EFEFEF"/>
            <w:noWrap/>
            <w:vAlign w:val="center"/>
            <w:hideMark/>
          </w:tcPr>
          <w:p w14:paraId="7B6F102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3 000,00</w:t>
            </w:r>
            <w:r w:rsidRPr="4F9BDBF9">
              <w:rPr>
                <w:rFonts w:eastAsiaTheme="minorEastAsia"/>
                <w:sz w:val="24"/>
                <w:szCs w:val="24"/>
                <w:lang w:eastAsia="sk-SK"/>
              </w:rPr>
              <w:t xml:space="preserve"> </w:t>
            </w:r>
          </w:p>
        </w:tc>
        <w:tc>
          <w:tcPr>
            <w:tcW w:w="820" w:type="dxa"/>
            <w:shd w:val="clear" w:color="auto" w:fill="EFEFEF"/>
            <w:noWrap/>
            <w:vAlign w:val="center"/>
            <w:hideMark/>
          </w:tcPr>
          <w:p w14:paraId="6ECBB36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100,00</w:t>
            </w:r>
            <w:r w:rsidRPr="4F9BDBF9">
              <w:rPr>
                <w:rFonts w:eastAsiaTheme="minorEastAsia"/>
                <w:sz w:val="24"/>
                <w:szCs w:val="24"/>
                <w:lang w:eastAsia="sk-SK"/>
              </w:rPr>
              <w:t xml:space="preserve"> </w:t>
            </w:r>
          </w:p>
        </w:tc>
        <w:tc>
          <w:tcPr>
            <w:tcW w:w="3475" w:type="dxa"/>
            <w:vMerge/>
            <w:vAlign w:val="center"/>
            <w:hideMark/>
          </w:tcPr>
          <w:p w14:paraId="17ADA353" w14:textId="77777777" w:rsidR="00875772" w:rsidRPr="00116D4B" w:rsidRDefault="00875772" w:rsidP="00875772">
            <w:pPr>
              <w:spacing w:after="0" w:line="240" w:lineRule="auto"/>
              <w:rPr>
                <w:rFonts w:ascii="Times New Roman" w:hAnsi="Times New Roman"/>
                <w:sz w:val="24"/>
                <w:szCs w:val="24"/>
                <w:lang w:eastAsia="sk-SK"/>
              </w:rPr>
            </w:pPr>
          </w:p>
        </w:tc>
      </w:tr>
    </w:tbl>
    <w:p w14:paraId="17607EEB"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8"/>
        <w:gridCol w:w="723"/>
        <w:gridCol w:w="1719"/>
        <w:gridCol w:w="1477"/>
        <w:gridCol w:w="4159"/>
      </w:tblGrid>
      <w:tr w:rsidR="00875772" w:rsidRPr="00116D4B" w14:paraId="44C33157" w14:textId="77777777" w:rsidTr="00875772">
        <w:trPr>
          <w:tblCellSpacing w:w="15" w:type="dxa"/>
        </w:trPr>
        <w:tc>
          <w:tcPr>
            <w:tcW w:w="0" w:type="auto"/>
            <w:shd w:val="clear" w:color="auto" w:fill="C2D69B"/>
            <w:vAlign w:val="center"/>
            <w:hideMark/>
          </w:tcPr>
          <w:p w14:paraId="6BF1B2F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326AC2E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Riaditeľ zariadenia</w:t>
            </w:r>
            <w:r w:rsidRPr="4F9BDBF9">
              <w:rPr>
                <w:rFonts w:eastAsiaTheme="minorEastAsia"/>
                <w:sz w:val="24"/>
                <w:szCs w:val="24"/>
                <w:lang w:eastAsia="sk-SK"/>
              </w:rPr>
              <w:t xml:space="preserve"> </w:t>
            </w:r>
          </w:p>
        </w:tc>
      </w:tr>
      <w:tr w:rsidR="00875772" w:rsidRPr="00116D4B" w14:paraId="0841FBB0" w14:textId="77777777" w:rsidTr="00875772">
        <w:trPr>
          <w:tblCellSpacing w:w="15" w:type="dxa"/>
        </w:trPr>
        <w:tc>
          <w:tcPr>
            <w:tcW w:w="0" w:type="auto"/>
            <w:shd w:val="clear" w:color="auto" w:fill="C2D69B"/>
            <w:vAlign w:val="center"/>
            <w:hideMark/>
          </w:tcPr>
          <w:p w14:paraId="0F48BD4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749160F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poskytovanie kvalitných sociálnych služieb</w:t>
            </w:r>
            <w:r w:rsidRPr="4F9BDBF9">
              <w:rPr>
                <w:rFonts w:eastAsiaTheme="minorEastAsia"/>
                <w:sz w:val="24"/>
                <w:szCs w:val="24"/>
                <w:lang w:eastAsia="sk-SK"/>
              </w:rPr>
              <w:t xml:space="preserve"> </w:t>
            </w:r>
          </w:p>
        </w:tc>
      </w:tr>
      <w:tr w:rsidR="00875772" w:rsidRPr="00116D4B" w14:paraId="2105B78C" w14:textId="77777777" w:rsidTr="00875772">
        <w:trPr>
          <w:tblCellSpacing w:w="15" w:type="dxa"/>
        </w:trPr>
        <w:tc>
          <w:tcPr>
            <w:tcW w:w="0" w:type="auto"/>
            <w:shd w:val="clear" w:color="auto" w:fill="C2D69B"/>
            <w:vAlign w:val="center"/>
            <w:hideMark/>
          </w:tcPr>
          <w:p w14:paraId="6661507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3E5A15D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využiteľnosti zariadenia za rok</w:t>
            </w:r>
            <w:r w:rsidRPr="4F9BDBF9">
              <w:rPr>
                <w:rFonts w:eastAsiaTheme="minorEastAsia"/>
                <w:sz w:val="24"/>
                <w:szCs w:val="24"/>
                <w:lang w:eastAsia="sk-SK"/>
              </w:rPr>
              <w:t xml:space="preserve"> </w:t>
            </w:r>
          </w:p>
        </w:tc>
      </w:tr>
      <w:tr w:rsidR="00875772" w:rsidRPr="00116D4B" w14:paraId="359E0B49" w14:textId="77777777" w:rsidTr="00875772">
        <w:trPr>
          <w:tblCellSpacing w:w="15" w:type="dxa"/>
        </w:trPr>
        <w:tc>
          <w:tcPr>
            <w:tcW w:w="0" w:type="auto"/>
            <w:shd w:val="clear" w:color="auto" w:fill="C2D69B"/>
            <w:vAlign w:val="center"/>
            <w:hideMark/>
          </w:tcPr>
          <w:p w14:paraId="735F3DC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27D2569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4B516B9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0D9AA18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0032BD8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5E8F839B" w14:textId="77777777" w:rsidTr="00875772">
        <w:trPr>
          <w:tblCellSpacing w:w="15" w:type="dxa"/>
        </w:trPr>
        <w:tc>
          <w:tcPr>
            <w:tcW w:w="0" w:type="auto"/>
            <w:shd w:val="clear" w:color="auto" w:fill="C2D69B"/>
            <w:vAlign w:val="center"/>
            <w:hideMark/>
          </w:tcPr>
          <w:p w14:paraId="0B23B32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739DD4C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100</w:t>
            </w:r>
            <w:r w:rsidRPr="4F9BDBF9">
              <w:rPr>
                <w:rFonts w:eastAsiaTheme="minorEastAsia"/>
                <w:sz w:val="24"/>
                <w:szCs w:val="24"/>
                <w:lang w:eastAsia="sk-SK"/>
              </w:rPr>
              <w:t xml:space="preserve"> </w:t>
            </w:r>
          </w:p>
        </w:tc>
        <w:tc>
          <w:tcPr>
            <w:tcW w:w="0" w:type="auto"/>
            <w:shd w:val="clear" w:color="auto" w:fill="C2D69B"/>
            <w:noWrap/>
            <w:vAlign w:val="center"/>
            <w:hideMark/>
          </w:tcPr>
          <w:p w14:paraId="08F809A5"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90.83</w:t>
            </w:r>
            <w:r w:rsidRPr="3E14EAE1">
              <w:rPr>
                <w:rFonts w:eastAsiaTheme="minorEastAsia"/>
                <w:sz w:val="24"/>
                <w:szCs w:val="24"/>
                <w:lang w:eastAsia="sk-SK"/>
              </w:rPr>
              <w:t xml:space="preserve"> </w:t>
            </w:r>
          </w:p>
        </w:tc>
        <w:tc>
          <w:tcPr>
            <w:tcW w:w="0" w:type="auto"/>
            <w:shd w:val="clear" w:color="auto" w:fill="C2D69B"/>
            <w:vAlign w:val="center"/>
            <w:hideMark/>
          </w:tcPr>
          <w:p w14:paraId="2E96B97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6755B862" w14:textId="77777777" w:rsidR="00875772" w:rsidRPr="00116D4B" w:rsidRDefault="00875772" w:rsidP="00875772">
            <w:pPr>
              <w:spacing w:after="0" w:line="240" w:lineRule="auto"/>
              <w:rPr>
                <w:rFonts w:eastAsiaTheme="minorEastAsia"/>
                <w:sz w:val="20"/>
                <w:szCs w:val="20"/>
                <w:lang w:eastAsia="sk-SK"/>
              </w:rPr>
            </w:pPr>
          </w:p>
        </w:tc>
      </w:tr>
    </w:tbl>
    <w:p w14:paraId="42B8C2C0" w14:textId="77777777" w:rsidR="00875772" w:rsidRPr="00116D4B" w:rsidRDefault="00875772" w:rsidP="00875772">
      <w:pPr>
        <w:spacing w:before="100" w:beforeAutospacing="1" w:after="100" w:afterAutospacing="1" w:line="240" w:lineRule="auto"/>
        <w:outlineLvl w:val="2"/>
        <w:rPr>
          <w:rFonts w:eastAsiaTheme="minorEastAsia"/>
          <w:b/>
          <w:bCs/>
          <w:color w:val="4F6228"/>
          <w:sz w:val="27"/>
          <w:szCs w:val="27"/>
          <w:lang w:eastAsia="sk-SK"/>
        </w:rPr>
      </w:pPr>
      <w:r w:rsidRPr="4F9BDBF9">
        <w:rPr>
          <w:rFonts w:eastAsiaTheme="minorEastAsia"/>
          <w:b/>
          <w:bCs/>
          <w:color w:val="4F6228"/>
          <w:sz w:val="27"/>
          <w:szCs w:val="27"/>
          <w:lang w:eastAsia="sk-SK"/>
        </w:rPr>
        <w:t>Podprogram 11.3: Poradenstvo a manažment sociálnej infraštruktúry</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922"/>
        <w:gridCol w:w="1823"/>
        <w:gridCol w:w="1230"/>
        <w:gridCol w:w="987"/>
        <w:gridCol w:w="1134"/>
        <w:gridCol w:w="850"/>
        <w:gridCol w:w="3520"/>
      </w:tblGrid>
      <w:tr w:rsidR="00875772" w:rsidRPr="00116D4B" w14:paraId="347F0FFC" w14:textId="77777777" w:rsidTr="00875772">
        <w:trPr>
          <w:tblCellSpacing w:w="15" w:type="dxa"/>
        </w:trPr>
        <w:tc>
          <w:tcPr>
            <w:tcW w:w="877" w:type="dxa"/>
            <w:shd w:val="clear" w:color="auto" w:fill="C6DBF7"/>
            <w:vAlign w:val="center"/>
            <w:hideMark/>
          </w:tcPr>
          <w:p w14:paraId="451419B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793" w:type="dxa"/>
            <w:shd w:val="clear" w:color="auto" w:fill="C6DBF7"/>
            <w:vAlign w:val="center"/>
            <w:hideMark/>
          </w:tcPr>
          <w:p w14:paraId="2F2C4745" w14:textId="77777777" w:rsidR="00875772" w:rsidRPr="00116D4B" w:rsidRDefault="00875772" w:rsidP="00875772">
            <w:pPr>
              <w:spacing w:after="0" w:line="240" w:lineRule="auto"/>
              <w:jc w:val="center"/>
              <w:rPr>
                <w:rFonts w:eastAsiaTheme="minorEastAsia"/>
                <w:sz w:val="24"/>
                <w:szCs w:val="24"/>
                <w:lang w:eastAsia="sk-SK"/>
              </w:rPr>
            </w:pPr>
            <w:r w:rsidRPr="201CD2EE">
              <w:rPr>
                <w:rFonts w:eastAsiaTheme="minorEastAsia"/>
                <w:b/>
                <w:bCs/>
                <w:sz w:val="20"/>
                <w:szCs w:val="20"/>
                <w:lang w:eastAsia="sk-SK"/>
              </w:rPr>
              <w:t>Ekonomická </w:t>
            </w:r>
          </w:p>
          <w:p w14:paraId="50B6F337" w14:textId="77777777" w:rsidR="00875772" w:rsidRPr="00116D4B" w:rsidRDefault="00875772" w:rsidP="00875772">
            <w:pPr>
              <w:spacing w:after="0" w:line="240" w:lineRule="auto"/>
              <w:jc w:val="center"/>
              <w:rPr>
                <w:rFonts w:eastAsiaTheme="minorEastAsia"/>
                <w:sz w:val="24"/>
                <w:szCs w:val="24"/>
                <w:lang w:eastAsia="sk-SK"/>
              </w:rPr>
            </w:pPr>
            <w:r w:rsidRPr="201CD2EE">
              <w:rPr>
                <w:rFonts w:eastAsiaTheme="minorEastAsia"/>
                <w:b/>
                <w:bCs/>
                <w:sz w:val="20"/>
                <w:szCs w:val="20"/>
                <w:lang w:eastAsia="sk-SK"/>
              </w:rPr>
              <w:t>klasifikácia</w:t>
            </w:r>
          </w:p>
        </w:tc>
        <w:tc>
          <w:tcPr>
            <w:tcW w:w="1200" w:type="dxa"/>
            <w:shd w:val="clear" w:color="auto" w:fill="C6DBF7"/>
            <w:vAlign w:val="center"/>
            <w:hideMark/>
          </w:tcPr>
          <w:p w14:paraId="159D53F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957" w:type="dxa"/>
            <w:shd w:val="clear" w:color="auto" w:fill="C6DBF7"/>
            <w:vAlign w:val="center"/>
            <w:hideMark/>
          </w:tcPr>
          <w:p w14:paraId="4FAAA2B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104" w:type="dxa"/>
            <w:shd w:val="clear" w:color="auto" w:fill="C6DBF7"/>
            <w:vAlign w:val="center"/>
            <w:hideMark/>
          </w:tcPr>
          <w:p w14:paraId="60310F9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820" w:type="dxa"/>
            <w:shd w:val="clear" w:color="auto" w:fill="C6DBF7"/>
            <w:vAlign w:val="center"/>
            <w:hideMark/>
          </w:tcPr>
          <w:p w14:paraId="5530B84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3475" w:type="dxa"/>
            <w:shd w:val="clear" w:color="auto" w:fill="C6DBF7"/>
            <w:vAlign w:val="center"/>
            <w:hideMark/>
          </w:tcPr>
          <w:p w14:paraId="491B39A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176F2C41" w14:textId="77777777" w:rsidTr="00875772">
        <w:trPr>
          <w:tblCellSpacing w:w="15" w:type="dxa"/>
        </w:trPr>
        <w:tc>
          <w:tcPr>
            <w:tcW w:w="877" w:type="dxa"/>
            <w:shd w:val="clear" w:color="auto" w:fill="D9D9D9" w:themeFill="background1" w:themeFillShade="D9"/>
            <w:noWrap/>
            <w:vAlign w:val="center"/>
            <w:hideMark/>
          </w:tcPr>
          <w:p w14:paraId="0995145C" w14:textId="77777777" w:rsidR="00875772" w:rsidRPr="00116D4B" w:rsidRDefault="00875772" w:rsidP="00875772">
            <w:pPr>
              <w:spacing w:after="0" w:line="240" w:lineRule="auto"/>
              <w:jc w:val="center"/>
              <w:rPr>
                <w:rFonts w:eastAsiaTheme="minorEastAsia"/>
                <w:sz w:val="24"/>
                <w:szCs w:val="24"/>
                <w:lang w:eastAsia="sk-SK"/>
              </w:rPr>
            </w:pPr>
          </w:p>
        </w:tc>
        <w:tc>
          <w:tcPr>
            <w:tcW w:w="1793" w:type="dxa"/>
            <w:shd w:val="clear" w:color="auto" w:fill="D9D9D9" w:themeFill="background1" w:themeFillShade="D9"/>
            <w:vAlign w:val="center"/>
            <w:hideMark/>
          </w:tcPr>
          <w:p w14:paraId="373AD0C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00" w:type="dxa"/>
            <w:shd w:val="clear" w:color="auto" w:fill="D9D9D9" w:themeFill="background1" w:themeFillShade="D9"/>
            <w:noWrap/>
            <w:vAlign w:val="center"/>
            <w:hideMark/>
          </w:tcPr>
          <w:p w14:paraId="66686DC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1 039 943,02</w:t>
            </w:r>
            <w:r w:rsidRPr="4F9BDBF9">
              <w:rPr>
                <w:rFonts w:eastAsiaTheme="minorEastAsia"/>
                <w:sz w:val="24"/>
                <w:szCs w:val="24"/>
                <w:lang w:eastAsia="sk-SK"/>
              </w:rPr>
              <w:t xml:space="preserve"> </w:t>
            </w:r>
          </w:p>
        </w:tc>
        <w:tc>
          <w:tcPr>
            <w:tcW w:w="957" w:type="dxa"/>
            <w:shd w:val="clear" w:color="auto" w:fill="D9D9D9" w:themeFill="background1" w:themeFillShade="D9"/>
            <w:noWrap/>
            <w:vAlign w:val="center"/>
            <w:hideMark/>
          </w:tcPr>
          <w:p w14:paraId="4F49804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378 561,56</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51CB1B1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53 948,64</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77DAAEB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14,25</w:t>
            </w:r>
            <w:r w:rsidRPr="4F9BDBF9">
              <w:rPr>
                <w:rFonts w:eastAsiaTheme="minorEastAsia"/>
                <w:sz w:val="24"/>
                <w:szCs w:val="24"/>
                <w:lang w:eastAsia="sk-SK"/>
              </w:rPr>
              <w:t xml:space="preserve"> </w:t>
            </w:r>
          </w:p>
        </w:tc>
        <w:tc>
          <w:tcPr>
            <w:tcW w:w="3475" w:type="dxa"/>
            <w:vMerge w:val="restart"/>
            <w:shd w:val="clear" w:color="auto" w:fill="D9D9D9" w:themeFill="background1" w:themeFillShade="D9"/>
            <w:vAlign w:val="center"/>
            <w:hideMark/>
          </w:tcPr>
          <w:p w14:paraId="1B6CDA1A" w14:textId="77777777" w:rsidR="00875772" w:rsidRPr="00116D4B" w:rsidRDefault="00875772" w:rsidP="00875772">
            <w:pPr>
              <w:spacing w:after="0" w:line="240" w:lineRule="auto"/>
              <w:rPr>
                <w:rFonts w:eastAsiaTheme="minorEastAsia"/>
                <w:b/>
                <w:bCs/>
                <w:sz w:val="20"/>
                <w:szCs w:val="20"/>
                <w:lang w:eastAsia="sk-SK"/>
              </w:rPr>
            </w:pPr>
            <w:r w:rsidRPr="6450C5FE">
              <w:rPr>
                <w:rFonts w:eastAsiaTheme="minorEastAsia"/>
                <w:b/>
                <w:bCs/>
                <w:sz w:val="20"/>
                <w:szCs w:val="20"/>
                <w:lang w:eastAsia="sk-SK"/>
              </w:rPr>
              <w:t xml:space="preserve">-370 092,61 EUR </w:t>
            </w:r>
            <w:r w:rsidRPr="6450C5FE">
              <w:rPr>
                <w:rFonts w:eastAsiaTheme="minorEastAsia"/>
                <w:sz w:val="20"/>
                <w:szCs w:val="20"/>
                <w:lang w:eastAsia="sk-SK"/>
              </w:rPr>
              <w:t>presun na P11.1 na navýšenie mzdových prostriedkov</w:t>
            </w:r>
          </w:p>
          <w:p w14:paraId="39F7DF9A"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-50 614,48 EUR </w:t>
            </w:r>
            <w:r w:rsidRPr="6450C5FE">
              <w:rPr>
                <w:rFonts w:eastAsiaTheme="minorEastAsia"/>
                <w:sz w:val="20"/>
                <w:szCs w:val="20"/>
                <w:lang w:eastAsia="sk-SK"/>
              </w:rPr>
              <w:t xml:space="preserve">presun na P11.1 na dezinfekciu, OOPP, </w:t>
            </w:r>
            <w:proofErr w:type="spellStart"/>
            <w:r w:rsidRPr="6450C5FE">
              <w:rPr>
                <w:rFonts w:eastAsiaTheme="minorEastAsia"/>
                <w:sz w:val="20"/>
                <w:szCs w:val="20"/>
                <w:lang w:eastAsia="sk-SK"/>
              </w:rPr>
              <w:t>germicídne</w:t>
            </w:r>
            <w:proofErr w:type="spellEnd"/>
            <w:r w:rsidRPr="6450C5FE">
              <w:rPr>
                <w:rFonts w:eastAsiaTheme="minorEastAsia"/>
                <w:sz w:val="20"/>
                <w:szCs w:val="20"/>
                <w:lang w:eastAsia="sk-SK"/>
              </w:rPr>
              <w:t xml:space="preserve"> žiariče a </w:t>
            </w:r>
            <w:proofErr w:type="spellStart"/>
            <w:r w:rsidRPr="6450C5FE">
              <w:rPr>
                <w:rFonts w:eastAsiaTheme="minorEastAsia"/>
                <w:sz w:val="20"/>
                <w:szCs w:val="20"/>
                <w:lang w:eastAsia="sk-SK"/>
              </w:rPr>
              <w:t>termokamery</w:t>
            </w:r>
            <w:proofErr w:type="spellEnd"/>
          </w:p>
          <w:p w14:paraId="7549EDB6"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-17 184,00 EUR </w:t>
            </w:r>
            <w:r w:rsidRPr="6450C5FE">
              <w:rPr>
                <w:rFonts w:eastAsiaTheme="minorEastAsia"/>
                <w:sz w:val="20"/>
                <w:szCs w:val="20"/>
                <w:lang w:eastAsia="sk-SK"/>
              </w:rPr>
              <w:t>presun na P11.1 na vybudovanie športovísk</w:t>
            </w:r>
          </w:p>
          <w:p w14:paraId="303145FF"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-10 108,00 EUR </w:t>
            </w:r>
            <w:r w:rsidRPr="6450C5FE">
              <w:rPr>
                <w:rFonts w:eastAsiaTheme="minorEastAsia"/>
                <w:sz w:val="20"/>
                <w:szCs w:val="20"/>
                <w:lang w:eastAsia="sk-SK"/>
              </w:rPr>
              <w:t>presun na materiálno-technické vybavenie domu na Čsl. armády pre DSS a ZPB MEREMA</w:t>
            </w:r>
          </w:p>
          <w:p w14:paraId="6D570A3F"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-4 740,00 EUR </w:t>
            </w:r>
            <w:r w:rsidRPr="6450C5FE">
              <w:rPr>
                <w:rFonts w:eastAsiaTheme="minorEastAsia"/>
                <w:sz w:val="20"/>
                <w:szCs w:val="20"/>
                <w:lang w:eastAsia="sk-SK"/>
              </w:rPr>
              <w:t xml:space="preserve">presun na projektovú dokumentáciu ŠZ pre </w:t>
            </w:r>
            <w:proofErr w:type="spellStart"/>
            <w:r w:rsidRPr="6450C5FE">
              <w:rPr>
                <w:rFonts w:eastAsiaTheme="minorEastAsia"/>
                <w:sz w:val="20"/>
                <w:szCs w:val="20"/>
                <w:lang w:eastAsia="sk-SK"/>
              </w:rPr>
              <w:t>autistov</w:t>
            </w:r>
            <w:proofErr w:type="spellEnd"/>
            <w:r w:rsidRPr="6450C5FE">
              <w:rPr>
                <w:rFonts w:eastAsiaTheme="minorEastAsia"/>
                <w:sz w:val="20"/>
                <w:szCs w:val="20"/>
                <w:lang w:eastAsia="sk-SK"/>
              </w:rPr>
              <w:t xml:space="preserve"> v ZSS Pod hradom</w:t>
            </w:r>
          </w:p>
          <w:p w14:paraId="3F30FF15"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+39 422,58 EUR </w:t>
            </w:r>
            <w:r w:rsidRPr="6450C5FE">
              <w:rPr>
                <w:rFonts w:eastAsiaTheme="minorEastAsia"/>
                <w:sz w:val="20"/>
                <w:szCs w:val="20"/>
                <w:lang w:eastAsia="sk-SK"/>
              </w:rPr>
              <w:t>presun z P11.1 v súvislosti s navýšením dotácií z iných VÚC</w:t>
            </w:r>
          </w:p>
          <w:p w14:paraId="55B6AD8E"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-229 734,95 EUR</w:t>
            </w:r>
            <w:r w:rsidRPr="6450C5FE">
              <w:rPr>
                <w:rFonts w:eastAsiaTheme="minorEastAsia"/>
                <w:sz w:val="20"/>
                <w:szCs w:val="20"/>
                <w:lang w:eastAsia="sk-SK"/>
              </w:rPr>
              <w:t xml:space="preserve"> zníženie rozpočtu BV (</w:t>
            </w:r>
            <w:proofErr w:type="spellStart"/>
            <w:r w:rsidRPr="6450C5FE">
              <w:rPr>
                <w:rFonts w:eastAsiaTheme="minorEastAsia"/>
                <w:sz w:val="20"/>
                <w:szCs w:val="20"/>
                <w:lang w:eastAsia="sk-SK"/>
              </w:rPr>
              <w:t>Uzn</w:t>
            </w:r>
            <w:proofErr w:type="spellEnd"/>
            <w:r w:rsidRPr="6450C5FE">
              <w:rPr>
                <w:rFonts w:eastAsiaTheme="minorEastAsia"/>
                <w:sz w:val="20"/>
                <w:szCs w:val="20"/>
                <w:lang w:eastAsia="sk-SK"/>
              </w:rPr>
              <w:t>. 247/2020 z 29.5.2020) z dôvodu nenaplnených daňových príjmov</w:t>
            </w:r>
          </w:p>
          <w:p w14:paraId="5C2D1420"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-5 961,20 EUR </w:t>
            </w:r>
            <w:r w:rsidRPr="6450C5FE">
              <w:rPr>
                <w:rFonts w:eastAsiaTheme="minorEastAsia"/>
                <w:sz w:val="20"/>
                <w:szCs w:val="20"/>
                <w:lang w:eastAsia="sk-SK"/>
              </w:rPr>
              <w:t>presun BV na KV pre Centrum hydroterapie GAUDEAMUS</w:t>
            </w:r>
          </w:p>
          <w:p w14:paraId="4869ECE9"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+870,00 EUR </w:t>
            </w:r>
            <w:r w:rsidRPr="6450C5FE">
              <w:rPr>
                <w:rFonts w:eastAsiaTheme="minorEastAsia"/>
                <w:sz w:val="20"/>
                <w:szCs w:val="20"/>
                <w:lang w:eastAsia="sk-SK"/>
              </w:rPr>
              <w:t>navýšenie dotácie z MPSVaR SR na projekty BV</w:t>
            </w:r>
          </w:p>
          <w:p w14:paraId="22B285F5"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lastRenderedPageBreak/>
              <w:t xml:space="preserve">-19 200,00 EUR </w:t>
            </w:r>
            <w:r w:rsidRPr="6450C5FE">
              <w:rPr>
                <w:rFonts w:eastAsiaTheme="minorEastAsia"/>
                <w:sz w:val="20"/>
                <w:szCs w:val="20"/>
                <w:lang w:eastAsia="sk-SK"/>
              </w:rPr>
              <w:t>zníženie dotácie z MPSVaR SR na projekty KV</w:t>
            </w:r>
          </w:p>
          <w:p w14:paraId="35C9BD47" w14:textId="77777777" w:rsidR="00875772" w:rsidRPr="00116D4B" w:rsidRDefault="00875772" w:rsidP="00875772">
            <w:pPr>
              <w:spacing w:after="0" w:line="240" w:lineRule="auto"/>
              <w:rPr>
                <w:rFonts w:eastAsiaTheme="minorEastAsia"/>
                <w:sz w:val="20"/>
                <w:szCs w:val="20"/>
                <w:lang w:eastAsia="sk-SK"/>
              </w:rPr>
            </w:pPr>
            <w:r w:rsidRPr="6450C5FE">
              <w:rPr>
                <w:rFonts w:eastAsiaTheme="minorEastAsia"/>
                <w:b/>
                <w:bCs/>
                <w:sz w:val="20"/>
                <w:szCs w:val="20"/>
                <w:lang w:eastAsia="sk-SK"/>
              </w:rPr>
              <w:t xml:space="preserve">+5 961,20 EUR </w:t>
            </w:r>
            <w:r w:rsidRPr="6450C5FE">
              <w:rPr>
                <w:rFonts w:eastAsiaTheme="minorEastAsia"/>
                <w:sz w:val="20"/>
                <w:szCs w:val="20"/>
                <w:lang w:eastAsia="sk-SK"/>
              </w:rPr>
              <w:t>presun BV na KV pre Centrum hydroterapie GAUDEAMUS</w:t>
            </w:r>
          </w:p>
        </w:tc>
      </w:tr>
      <w:tr w:rsidR="00875772" w:rsidRPr="00116D4B" w14:paraId="23141339" w14:textId="77777777" w:rsidTr="00875772">
        <w:trPr>
          <w:tblCellSpacing w:w="15" w:type="dxa"/>
        </w:trPr>
        <w:tc>
          <w:tcPr>
            <w:tcW w:w="877" w:type="dxa"/>
            <w:shd w:val="clear" w:color="auto" w:fill="D9D9D9" w:themeFill="background1" w:themeFillShade="D9"/>
            <w:noWrap/>
            <w:vAlign w:val="center"/>
            <w:hideMark/>
          </w:tcPr>
          <w:p w14:paraId="1F017CD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1793" w:type="dxa"/>
            <w:shd w:val="clear" w:color="auto" w:fill="D9D9D9" w:themeFill="background1" w:themeFillShade="D9"/>
            <w:vAlign w:val="center"/>
            <w:hideMark/>
          </w:tcPr>
          <w:p w14:paraId="171E81D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00" w:type="dxa"/>
            <w:shd w:val="clear" w:color="auto" w:fill="D9D9D9" w:themeFill="background1" w:themeFillShade="D9"/>
            <w:noWrap/>
            <w:vAlign w:val="center"/>
            <w:hideMark/>
          </w:tcPr>
          <w:p w14:paraId="08690BF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999 943,02</w:t>
            </w:r>
            <w:r w:rsidRPr="4F9BDBF9">
              <w:rPr>
                <w:rFonts w:eastAsiaTheme="minorEastAsia"/>
                <w:sz w:val="24"/>
                <w:szCs w:val="24"/>
                <w:lang w:eastAsia="sk-SK"/>
              </w:rPr>
              <w:t xml:space="preserve"> </w:t>
            </w:r>
          </w:p>
        </w:tc>
        <w:tc>
          <w:tcPr>
            <w:tcW w:w="957" w:type="dxa"/>
            <w:shd w:val="clear" w:color="auto" w:fill="D9D9D9" w:themeFill="background1" w:themeFillShade="D9"/>
            <w:noWrap/>
            <w:vAlign w:val="center"/>
            <w:hideMark/>
          </w:tcPr>
          <w:p w14:paraId="40FD1FA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351 800,36</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49B34AF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53 948,64</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7E4FB9A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15,34</w:t>
            </w:r>
            <w:r w:rsidRPr="4F9BDBF9">
              <w:rPr>
                <w:rFonts w:eastAsiaTheme="minorEastAsia"/>
                <w:sz w:val="24"/>
                <w:szCs w:val="24"/>
                <w:lang w:eastAsia="sk-SK"/>
              </w:rPr>
              <w:t xml:space="preserve"> </w:t>
            </w:r>
          </w:p>
        </w:tc>
        <w:tc>
          <w:tcPr>
            <w:tcW w:w="3475" w:type="dxa"/>
            <w:vMerge/>
            <w:vAlign w:val="center"/>
            <w:hideMark/>
          </w:tcPr>
          <w:p w14:paraId="5391FFED"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7A64E207" w14:textId="77777777" w:rsidTr="00875772">
        <w:trPr>
          <w:tblCellSpacing w:w="15" w:type="dxa"/>
        </w:trPr>
        <w:tc>
          <w:tcPr>
            <w:tcW w:w="877" w:type="dxa"/>
            <w:shd w:val="clear" w:color="auto" w:fill="EFEFEF"/>
            <w:noWrap/>
            <w:vAlign w:val="center"/>
            <w:hideMark/>
          </w:tcPr>
          <w:p w14:paraId="5432294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610</w:t>
            </w:r>
            <w:r w:rsidRPr="4F9BDBF9">
              <w:rPr>
                <w:rFonts w:eastAsiaTheme="minorEastAsia"/>
                <w:sz w:val="24"/>
                <w:szCs w:val="24"/>
                <w:lang w:eastAsia="sk-SK"/>
              </w:rPr>
              <w:t xml:space="preserve"> </w:t>
            </w:r>
          </w:p>
        </w:tc>
        <w:tc>
          <w:tcPr>
            <w:tcW w:w="1793" w:type="dxa"/>
            <w:shd w:val="clear" w:color="auto" w:fill="EFEFEF"/>
            <w:vAlign w:val="center"/>
            <w:hideMark/>
          </w:tcPr>
          <w:p w14:paraId="236766A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Mzdy, platy, ...</w:t>
            </w:r>
            <w:r w:rsidRPr="4F9BDBF9">
              <w:rPr>
                <w:rFonts w:eastAsiaTheme="minorEastAsia"/>
                <w:sz w:val="24"/>
                <w:szCs w:val="24"/>
                <w:lang w:eastAsia="sk-SK"/>
              </w:rPr>
              <w:t xml:space="preserve"> </w:t>
            </w:r>
          </w:p>
        </w:tc>
        <w:tc>
          <w:tcPr>
            <w:tcW w:w="1200" w:type="dxa"/>
            <w:shd w:val="clear" w:color="auto" w:fill="EFEFEF"/>
            <w:noWrap/>
            <w:vAlign w:val="center"/>
            <w:hideMark/>
          </w:tcPr>
          <w:p w14:paraId="50D931C3" w14:textId="77777777" w:rsidR="00875772" w:rsidRPr="00116D4B" w:rsidRDefault="00875772" w:rsidP="00875772">
            <w:pPr>
              <w:spacing w:after="0" w:line="240" w:lineRule="auto"/>
              <w:rPr>
                <w:rFonts w:eastAsiaTheme="minorEastAsia"/>
                <w:sz w:val="24"/>
                <w:szCs w:val="24"/>
                <w:lang w:eastAsia="sk-SK"/>
              </w:rPr>
            </w:pPr>
          </w:p>
        </w:tc>
        <w:tc>
          <w:tcPr>
            <w:tcW w:w="957" w:type="dxa"/>
            <w:shd w:val="clear" w:color="auto" w:fill="EFEFEF"/>
            <w:noWrap/>
            <w:vAlign w:val="center"/>
            <w:hideMark/>
          </w:tcPr>
          <w:p w14:paraId="3756E8AC" w14:textId="77777777" w:rsidR="00875772" w:rsidRPr="00116D4B" w:rsidRDefault="00875772" w:rsidP="00875772">
            <w:pPr>
              <w:spacing w:after="0" w:line="240" w:lineRule="auto"/>
              <w:jc w:val="right"/>
              <w:rPr>
                <w:rFonts w:eastAsiaTheme="minorEastAsia"/>
                <w:sz w:val="20"/>
                <w:szCs w:val="20"/>
                <w:lang w:eastAsia="sk-SK"/>
              </w:rPr>
            </w:pPr>
          </w:p>
        </w:tc>
        <w:tc>
          <w:tcPr>
            <w:tcW w:w="1104" w:type="dxa"/>
            <w:shd w:val="clear" w:color="auto" w:fill="EFEFEF"/>
            <w:noWrap/>
            <w:vAlign w:val="center"/>
            <w:hideMark/>
          </w:tcPr>
          <w:p w14:paraId="1C28D85E" w14:textId="77777777" w:rsidR="00875772" w:rsidRPr="00116D4B" w:rsidRDefault="00875772" w:rsidP="00875772">
            <w:pPr>
              <w:spacing w:after="0" w:line="240" w:lineRule="auto"/>
              <w:jc w:val="right"/>
              <w:rPr>
                <w:rFonts w:eastAsiaTheme="minorEastAsia"/>
                <w:sz w:val="20"/>
                <w:szCs w:val="20"/>
                <w:lang w:eastAsia="sk-SK"/>
              </w:rPr>
            </w:pPr>
          </w:p>
        </w:tc>
        <w:tc>
          <w:tcPr>
            <w:tcW w:w="820" w:type="dxa"/>
            <w:shd w:val="clear" w:color="auto" w:fill="EFEFEF"/>
            <w:noWrap/>
            <w:vAlign w:val="center"/>
            <w:hideMark/>
          </w:tcPr>
          <w:p w14:paraId="6601455E" w14:textId="77777777" w:rsidR="00875772" w:rsidRPr="00116D4B" w:rsidRDefault="00875772" w:rsidP="00875772">
            <w:pPr>
              <w:spacing w:after="0" w:line="240" w:lineRule="auto"/>
              <w:jc w:val="right"/>
              <w:rPr>
                <w:rFonts w:eastAsiaTheme="minorEastAsia"/>
                <w:sz w:val="20"/>
                <w:szCs w:val="20"/>
                <w:lang w:eastAsia="sk-SK"/>
              </w:rPr>
            </w:pPr>
          </w:p>
        </w:tc>
        <w:tc>
          <w:tcPr>
            <w:tcW w:w="3475" w:type="dxa"/>
            <w:vMerge/>
            <w:vAlign w:val="center"/>
            <w:hideMark/>
          </w:tcPr>
          <w:p w14:paraId="59CF2254"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59A2F814" w14:textId="77777777" w:rsidTr="00875772">
        <w:trPr>
          <w:tblCellSpacing w:w="15" w:type="dxa"/>
        </w:trPr>
        <w:tc>
          <w:tcPr>
            <w:tcW w:w="877" w:type="dxa"/>
            <w:shd w:val="clear" w:color="auto" w:fill="EFEFEF"/>
            <w:noWrap/>
            <w:vAlign w:val="center"/>
            <w:hideMark/>
          </w:tcPr>
          <w:p w14:paraId="0B402DD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620</w:t>
            </w:r>
            <w:r w:rsidRPr="4F9BDBF9">
              <w:rPr>
                <w:rFonts w:eastAsiaTheme="minorEastAsia"/>
                <w:sz w:val="24"/>
                <w:szCs w:val="24"/>
                <w:lang w:eastAsia="sk-SK"/>
              </w:rPr>
              <w:t xml:space="preserve"> </w:t>
            </w:r>
          </w:p>
        </w:tc>
        <w:tc>
          <w:tcPr>
            <w:tcW w:w="1793" w:type="dxa"/>
            <w:shd w:val="clear" w:color="auto" w:fill="EFEFEF"/>
            <w:vAlign w:val="center"/>
            <w:hideMark/>
          </w:tcPr>
          <w:p w14:paraId="382C52E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Poistné do poisťovní</w:t>
            </w:r>
            <w:r w:rsidRPr="4F9BDBF9">
              <w:rPr>
                <w:rFonts w:eastAsiaTheme="minorEastAsia"/>
                <w:sz w:val="24"/>
                <w:szCs w:val="24"/>
                <w:lang w:eastAsia="sk-SK"/>
              </w:rPr>
              <w:t xml:space="preserve"> </w:t>
            </w:r>
          </w:p>
        </w:tc>
        <w:tc>
          <w:tcPr>
            <w:tcW w:w="1200" w:type="dxa"/>
            <w:shd w:val="clear" w:color="auto" w:fill="EFEFEF"/>
            <w:noWrap/>
            <w:vAlign w:val="center"/>
            <w:hideMark/>
          </w:tcPr>
          <w:p w14:paraId="17760732" w14:textId="77777777" w:rsidR="00875772" w:rsidRPr="00116D4B" w:rsidRDefault="00875772" w:rsidP="00875772">
            <w:pPr>
              <w:spacing w:after="0" w:line="240" w:lineRule="auto"/>
              <w:rPr>
                <w:rFonts w:eastAsiaTheme="minorEastAsia"/>
                <w:sz w:val="24"/>
                <w:szCs w:val="24"/>
                <w:lang w:eastAsia="sk-SK"/>
              </w:rPr>
            </w:pPr>
          </w:p>
        </w:tc>
        <w:tc>
          <w:tcPr>
            <w:tcW w:w="957" w:type="dxa"/>
            <w:shd w:val="clear" w:color="auto" w:fill="EFEFEF"/>
            <w:noWrap/>
            <w:vAlign w:val="center"/>
            <w:hideMark/>
          </w:tcPr>
          <w:p w14:paraId="25FECC60" w14:textId="77777777" w:rsidR="00875772" w:rsidRPr="00116D4B" w:rsidRDefault="00875772" w:rsidP="00875772">
            <w:pPr>
              <w:spacing w:after="0" w:line="240" w:lineRule="auto"/>
              <w:jc w:val="right"/>
              <w:rPr>
                <w:rFonts w:eastAsiaTheme="minorEastAsia"/>
                <w:sz w:val="20"/>
                <w:szCs w:val="20"/>
                <w:lang w:eastAsia="sk-SK"/>
              </w:rPr>
            </w:pPr>
          </w:p>
        </w:tc>
        <w:tc>
          <w:tcPr>
            <w:tcW w:w="1104" w:type="dxa"/>
            <w:shd w:val="clear" w:color="auto" w:fill="EFEFEF"/>
            <w:noWrap/>
            <w:vAlign w:val="center"/>
            <w:hideMark/>
          </w:tcPr>
          <w:p w14:paraId="3AF35618" w14:textId="77777777" w:rsidR="00875772" w:rsidRPr="00116D4B" w:rsidRDefault="00875772" w:rsidP="00875772">
            <w:pPr>
              <w:spacing w:after="0" w:line="240" w:lineRule="auto"/>
              <w:jc w:val="right"/>
              <w:rPr>
                <w:rFonts w:eastAsiaTheme="minorEastAsia"/>
                <w:sz w:val="20"/>
                <w:szCs w:val="20"/>
                <w:lang w:eastAsia="sk-SK"/>
              </w:rPr>
            </w:pPr>
          </w:p>
        </w:tc>
        <w:tc>
          <w:tcPr>
            <w:tcW w:w="820" w:type="dxa"/>
            <w:shd w:val="clear" w:color="auto" w:fill="EFEFEF"/>
            <w:noWrap/>
            <w:vAlign w:val="center"/>
            <w:hideMark/>
          </w:tcPr>
          <w:p w14:paraId="243A9AAE" w14:textId="77777777" w:rsidR="00875772" w:rsidRPr="00116D4B" w:rsidRDefault="00875772" w:rsidP="00875772">
            <w:pPr>
              <w:spacing w:after="0" w:line="240" w:lineRule="auto"/>
              <w:jc w:val="right"/>
              <w:rPr>
                <w:rFonts w:eastAsiaTheme="minorEastAsia"/>
                <w:sz w:val="20"/>
                <w:szCs w:val="20"/>
                <w:lang w:eastAsia="sk-SK"/>
              </w:rPr>
            </w:pPr>
          </w:p>
        </w:tc>
        <w:tc>
          <w:tcPr>
            <w:tcW w:w="3475" w:type="dxa"/>
            <w:vMerge/>
            <w:vAlign w:val="center"/>
            <w:hideMark/>
          </w:tcPr>
          <w:p w14:paraId="774CD562"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0537C806" w14:textId="77777777" w:rsidTr="00875772">
        <w:trPr>
          <w:tblCellSpacing w:w="15" w:type="dxa"/>
        </w:trPr>
        <w:tc>
          <w:tcPr>
            <w:tcW w:w="877" w:type="dxa"/>
            <w:shd w:val="clear" w:color="auto" w:fill="EFEFEF"/>
            <w:noWrap/>
            <w:vAlign w:val="center"/>
            <w:hideMark/>
          </w:tcPr>
          <w:p w14:paraId="5C13EB4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630</w:t>
            </w:r>
            <w:r w:rsidRPr="4F9BDBF9">
              <w:rPr>
                <w:rFonts w:eastAsiaTheme="minorEastAsia"/>
                <w:sz w:val="24"/>
                <w:szCs w:val="24"/>
                <w:lang w:eastAsia="sk-SK"/>
              </w:rPr>
              <w:t xml:space="preserve"> </w:t>
            </w:r>
          </w:p>
        </w:tc>
        <w:tc>
          <w:tcPr>
            <w:tcW w:w="1793" w:type="dxa"/>
            <w:shd w:val="clear" w:color="auto" w:fill="EFEFEF"/>
            <w:vAlign w:val="center"/>
            <w:hideMark/>
          </w:tcPr>
          <w:p w14:paraId="0335349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Tovary a služby</w:t>
            </w:r>
            <w:r w:rsidRPr="4F9BDBF9">
              <w:rPr>
                <w:rFonts w:eastAsiaTheme="minorEastAsia"/>
                <w:sz w:val="24"/>
                <w:szCs w:val="24"/>
                <w:lang w:eastAsia="sk-SK"/>
              </w:rPr>
              <w:t xml:space="preserve"> </w:t>
            </w:r>
          </w:p>
        </w:tc>
        <w:tc>
          <w:tcPr>
            <w:tcW w:w="1200" w:type="dxa"/>
            <w:shd w:val="clear" w:color="auto" w:fill="EFEFEF"/>
            <w:noWrap/>
            <w:vAlign w:val="center"/>
            <w:hideMark/>
          </w:tcPr>
          <w:p w14:paraId="2B2E869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163 229,80</w:t>
            </w:r>
            <w:r w:rsidRPr="4F9BDBF9">
              <w:rPr>
                <w:rFonts w:eastAsiaTheme="minorEastAsia"/>
                <w:sz w:val="24"/>
                <w:szCs w:val="24"/>
                <w:lang w:eastAsia="sk-SK"/>
              </w:rPr>
              <w:t xml:space="preserve"> </w:t>
            </w:r>
          </w:p>
        </w:tc>
        <w:tc>
          <w:tcPr>
            <w:tcW w:w="957" w:type="dxa"/>
            <w:shd w:val="clear" w:color="auto" w:fill="EFEFEF"/>
            <w:noWrap/>
            <w:vAlign w:val="center"/>
            <w:hideMark/>
          </w:tcPr>
          <w:p w14:paraId="32EE995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167 778,67</w:t>
            </w:r>
            <w:r w:rsidRPr="4F9BDBF9">
              <w:rPr>
                <w:rFonts w:eastAsiaTheme="minorEastAsia"/>
                <w:sz w:val="24"/>
                <w:szCs w:val="24"/>
                <w:lang w:eastAsia="sk-SK"/>
              </w:rPr>
              <w:t xml:space="preserve"> </w:t>
            </w:r>
          </w:p>
        </w:tc>
        <w:tc>
          <w:tcPr>
            <w:tcW w:w="1104" w:type="dxa"/>
            <w:shd w:val="clear" w:color="auto" w:fill="EFEFEF"/>
            <w:noWrap/>
            <w:vAlign w:val="center"/>
            <w:hideMark/>
          </w:tcPr>
          <w:p w14:paraId="067C7AF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53 948,64</w:t>
            </w:r>
            <w:r w:rsidRPr="4F9BDBF9">
              <w:rPr>
                <w:rFonts w:eastAsiaTheme="minorEastAsia"/>
                <w:sz w:val="24"/>
                <w:szCs w:val="24"/>
                <w:lang w:eastAsia="sk-SK"/>
              </w:rPr>
              <w:t xml:space="preserve"> </w:t>
            </w:r>
          </w:p>
        </w:tc>
        <w:tc>
          <w:tcPr>
            <w:tcW w:w="820" w:type="dxa"/>
            <w:shd w:val="clear" w:color="auto" w:fill="EFEFEF"/>
            <w:noWrap/>
            <w:vAlign w:val="center"/>
            <w:hideMark/>
          </w:tcPr>
          <w:p w14:paraId="7086149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32,15</w:t>
            </w:r>
            <w:r w:rsidRPr="4F9BDBF9">
              <w:rPr>
                <w:rFonts w:eastAsiaTheme="minorEastAsia"/>
                <w:sz w:val="24"/>
                <w:szCs w:val="24"/>
                <w:lang w:eastAsia="sk-SK"/>
              </w:rPr>
              <w:t xml:space="preserve"> </w:t>
            </w:r>
          </w:p>
        </w:tc>
        <w:tc>
          <w:tcPr>
            <w:tcW w:w="3475" w:type="dxa"/>
            <w:vMerge/>
            <w:vAlign w:val="center"/>
            <w:hideMark/>
          </w:tcPr>
          <w:p w14:paraId="62D0F444"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009051B" w14:textId="77777777" w:rsidTr="00875772">
        <w:trPr>
          <w:tblCellSpacing w:w="15" w:type="dxa"/>
        </w:trPr>
        <w:tc>
          <w:tcPr>
            <w:tcW w:w="877" w:type="dxa"/>
            <w:shd w:val="clear" w:color="auto" w:fill="EFEFEF"/>
            <w:noWrap/>
            <w:vAlign w:val="center"/>
            <w:hideMark/>
          </w:tcPr>
          <w:p w14:paraId="4801303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1793" w:type="dxa"/>
            <w:shd w:val="clear" w:color="auto" w:fill="EFEFEF"/>
            <w:vAlign w:val="center"/>
            <w:hideMark/>
          </w:tcPr>
          <w:p w14:paraId="70A2D9D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00" w:type="dxa"/>
            <w:shd w:val="clear" w:color="auto" w:fill="EFEFEF"/>
            <w:noWrap/>
            <w:vAlign w:val="center"/>
            <w:hideMark/>
          </w:tcPr>
          <w:p w14:paraId="328BC14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836 713,22</w:t>
            </w:r>
            <w:r w:rsidRPr="4F9BDBF9">
              <w:rPr>
                <w:rFonts w:eastAsiaTheme="minorEastAsia"/>
                <w:sz w:val="24"/>
                <w:szCs w:val="24"/>
                <w:lang w:eastAsia="sk-SK"/>
              </w:rPr>
              <w:t xml:space="preserve"> </w:t>
            </w:r>
          </w:p>
        </w:tc>
        <w:tc>
          <w:tcPr>
            <w:tcW w:w="957" w:type="dxa"/>
            <w:shd w:val="clear" w:color="auto" w:fill="EFEFEF"/>
            <w:noWrap/>
            <w:vAlign w:val="center"/>
            <w:hideMark/>
          </w:tcPr>
          <w:p w14:paraId="3681C4A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184 021,69</w:t>
            </w:r>
            <w:r w:rsidRPr="4F9BDBF9">
              <w:rPr>
                <w:rFonts w:eastAsiaTheme="minorEastAsia"/>
                <w:sz w:val="24"/>
                <w:szCs w:val="24"/>
                <w:lang w:eastAsia="sk-SK"/>
              </w:rPr>
              <w:t xml:space="preserve"> </w:t>
            </w:r>
          </w:p>
        </w:tc>
        <w:tc>
          <w:tcPr>
            <w:tcW w:w="1104" w:type="dxa"/>
            <w:shd w:val="clear" w:color="auto" w:fill="EFEFEF"/>
            <w:noWrap/>
            <w:vAlign w:val="center"/>
            <w:hideMark/>
          </w:tcPr>
          <w:p w14:paraId="2B617BE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820" w:type="dxa"/>
            <w:shd w:val="clear" w:color="auto" w:fill="EFEFEF"/>
            <w:noWrap/>
            <w:vAlign w:val="center"/>
            <w:hideMark/>
          </w:tcPr>
          <w:p w14:paraId="55DA385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3475" w:type="dxa"/>
            <w:vMerge/>
            <w:vAlign w:val="center"/>
            <w:hideMark/>
          </w:tcPr>
          <w:p w14:paraId="2FB00DAA"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7BD99EE6" w14:textId="77777777" w:rsidTr="00875772">
        <w:trPr>
          <w:tblCellSpacing w:w="15" w:type="dxa"/>
        </w:trPr>
        <w:tc>
          <w:tcPr>
            <w:tcW w:w="877" w:type="dxa"/>
            <w:shd w:val="clear" w:color="auto" w:fill="D9D9D9" w:themeFill="background1" w:themeFillShade="D9"/>
            <w:noWrap/>
            <w:vAlign w:val="center"/>
            <w:hideMark/>
          </w:tcPr>
          <w:p w14:paraId="4515A83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700</w:t>
            </w:r>
            <w:r w:rsidRPr="4F9BDBF9">
              <w:rPr>
                <w:rFonts w:eastAsiaTheme="minorEastAsia"/>
                <w:sz w:val="24"/>
                <w:szCs w:val="24"/>
                <w:lang w:eastAsia="sk-SK"/>
              </w:rPr>
              <w:t xml:space="preserve"> </w:t>
            </w:r>
          </w:p>
        </w:tc>
        <w:tc>
          <w:tcPr>
            <w:tcW w:w="1793" w:type="dxa"/>
            <w:shd w:val="clear" w:color="auto" w:fill="D9D9D9" w:themeFill="background1" w:themeFillShade="D9"/>
            <w:vAlign w:val="center"/>
            <w:hideMark/>
          </w:tcPr>
          <w:p w14:paraId="6AE208E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Kapitálové výdavky</w:t>
            </w:r>
            <w:r w:rsidRPr="4F9BDBF9">
              <w:rPr>
                <w:rFonts w:eastAsiaTheme="minorEastAsia"/>
                <w:sz w:val="24"/>
                <w:szCs w:val="24"/>
                <w:lang w:eastAsia="sk-SK"/>
              </w:rPr>
              <w:t xml:space="preserve"> </w:t>
            </w:r>
          </w:p>
        </w:tc>
        <w:tc>
          <w:tcPr>
            <w:tcW w:w="1200" w:type="dxa"/>
            <w:shd w:val="clear" w:color="auto" w:fill="D9D9D9" w:themeFill="background1" w:themeFillShade="D9"/>
            <w:noWrap/>
            <w:vAlign w:val="center"/>
            <w:hideMark/>
          </w:tcPr>
          <w:p w14:paraId="7C7DAE4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40 000,00</w:t>
            </w:r>
            <w:r w:rsidRPr="4F9BDBF9">
              <w:rPr>
                <w:rFonts w:eastAsiaTheme="minorEastAsia"/>
                <w:sz w:val="24"/>
                <w:szCs w:val="24"/>
                <w:lang w:eastAsia="sk-SK"/>
              </w:rPr>
              <w:t xml:space="preserve"> </w:t>
            </w:r>
          </w:p>
        </w:tc>
        <w:tc>
          <w:tcPr>
            <w:tcW w:w="957" w:type="dxa"/>
            <w:shd w:val="clear" w:color="auto" w:fill="D9D9D9" w:themeFill="background1" w:themeFillShade="D9"/>
            <w:noWrap/>
            <w:vAlign w:val="center"/>
            <w:hideMark/>
          </w:tcPr>
          <w:p w14:paraId="7C9505B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26 761,20</w:t>
            </w:r>
            <w:r w:rsidRPr="4F9BDBF9">
              <w:rPr>
                <w:rFonts w:eastAsiaTheme="minorEastAsia"/>
                <w:sz w:val="24"/>
                <w:szCs w:val="24"/>
                <w:lang w:eastAsia="sk-SK"/>
              </w:rPr>
              <w:t xml:space="preserve"> </w:t>
            </w:r>
          </w:p>
        </w:tc>
        <w:tc>
          <w:tcPr>
            <w:tcW w:w="1104" w:type="dxa"/>
            <w:shd w:val="clear" w:color="auto" w:fill="D9D9D9" w:themeFill="background1" w:themeFillShade="D9"/>
            <w:noWrap/>
            <w:vAlign w:val="center"/>
            <w:hideMark/>
          </w:tcPr>
          <w:p w14:paraId="7C08D81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820" w:type="dxa"/>
            <w:shd w:val="clear" w:color="auto" w:fill="D9D9D9" w:themeFill="background1" w:themeFillShade="D9"/>
            <w:noWrap/>
            <w:vAlign w:val="center"/>
            <w:hideMark/>
          </w:tcPr>
          <w:p w14:paraId="7A5663A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0,00</w:t>
            </w:r>
            <w:r w:rsidRPr="4F9BDBF9">
              <w:rPr>
                <w:rFonts w:eastAsiaTheme="minorEastAsia"/>
                <w:sz w:val="24"/>
                <w:szCs w:val="24"/>
                <w:lang w:eastAsia="sk-SK"/>
              </w:rPr>
              <w:t xml:space="preserve"> </w:t>
            </w:r>
          </w:p>
        </w:tc>
        <w:tc>
          <w:tcPr>
            <w:tcW w:w="3475" w:type="dxa"/>
            <w:vMerge/>
            <w:vAlign w:val="center"/>
            <w:hideMark/>
          </w:tcPr>
          <w:p w14:paraId="5F3B2A7B" w14:textId="77777777" w:rsidR="00875772" w:rsidRPr="00116D4B" w:rsidRDefault="00875772" w:rsidP="00875772">
            <w:pPr>
              <w:spacing w:after="0" w:line="240" w:lineRule="auto"/>
              <w:rPr>
                <w:rFonts w:ascii="Times New Roman" w:hAnsi="Times New Roman"/>
                <w:sz w:val="24"/>
                <w:szCs w:val="24"/>
                <w:lang w:eastAsia="sk-SK"/>
              </w:rPr>
            </w:pPr>
          </w:p>
        </w:tc>
      </w:tr>
      <w:tr w:rsidR="00875772" w:rsidRPr="00116D4B" w14:paraId="1A2F9C05" w14:textId="77777777" w:rsidTr="00875772">
        <w:trPr>
          <w:tblCellSpacing w:w="15" w:type="dxa"/>
        </w:trPr>
        <w:tc>
          <w:tcPr>
            <w:tcW w:w="877" w:type="dxa"/>
            <w:shd w:val="clear" w:color="auto" w:fill="EFEFEF"/>
            <w:noWrap/>
            <w:vAlign w:val="center"/>
            <w:hideMark/>
          </w:tcPr>
          <w:p w14:paraId="66B1E52C" w14:textId="77777777" w:rsidR="00875772" w:rsidRPr="00116D4B" w:rsidRDefault="00875772" w:rsidP="00875772">
            <w:pPr>
              <w:spacing w:after="0" w:line="240" w:lineRule="auto"/>
              <w:rPr>
                <w:rFonts w:eastAsiaTheme="minorEastAsia"/>
                <w:sz w:val="24"/>
                <w:szCs w:val="24"/>
                <w:lang w:eastAsia="sk-SK"/>
              </w:rPr>
            </w:pPr>
            <w:r w:rsidRPr="6450C5FE">
              <w:rPr>
                <w:rFonts w:eastAsiaTheme="minorEastAsia"/>
                <w:sz w:val="20"/>
                <w:szCs w:val="20"/>
                <w:lang w:eastAsia="sk-SK"/>
              </w:rPr>
              <w:t xml:space="preserve"> 710</w:t>
            </w:r>
            <w:r w:rsidRPr="6450C5FE">
              <w:rPr>
                <w:rFonts w:eastAsiaTheme="minorEastAsia"/>
                <w:sz w:val="24"/>
                <w:szCs w:val="24"/>
                <w:lang w:eastAsia="sk-SK"/>
              </w:rPr>
              <w:t xml:space="preserve"> </w:t>
            </w:r>
          </w:p>
        </w:tc>
        <w:tc>
          <w:tcPr>
            <w:tcW w:w="1793" w:type="dxa"/>
            <w:shd w:val="clear" w:color="auto" w:fill="EFEFEF"/>
            <w:vAlign w:val="center"/>
            <w:hideMark/>
          </w:tcPr>
          <w:p w14:paraId="51B1C07F" w14:textId="77777777" w:rsidR="00875772" w:rsidRPr="00116D4B" w:rsidRDefault="00875772" w:rsidP="00875772">
            <w:pPr>
              <w:spacing w:after="0" w:line="240" w:lineRule="auto"/>
              <w:rPr>
                <w:rFonts w:eastAsiaTheme="minorEastAsia"/>
                <w:sz w:val="24"/>
                <w:szCs w:val="24"/>
                <w:lang w:eastAsia="sk-SK"/>
              </w:rPr>
            </w:pPr>
            <w:proofErr w:type="spellStart"/>
            <w:r w:rsidRPr="4F9BDBF9">
              <w:rPr>
                <w:rFonts w:eastAsiaTheme="minorEastAsia"/>
                <w:sz w:val="20"/>
                <w:szCs w:val="20"/>
                <w:lang w:eastAsia="sk-SK"/>
              </w:rPr>
              <w:t>Obst</w:t>
            </w:r>
            <w:proofErr w:type="spellEnd"/>
            <w:r w:rsidRPr="4F9BDBF9">
              <w:rPr>
                <w:rFonts w:eastAsiaTheme="minorEastAsia"/>
                <w:sz w:val="20"/>
                <w:szCs w:val="20"/>
                <w:lang w:eastAsia="sk-SK"/>
              </w:rPr>
              <w:t xml:space="preserve">. </w:t>
            </w:r>
            <w:proofErr w:type="spellStart"/>
            <w:r w:rsidRPr="4F9BDBF9">
              <w:rPr>
                <w:rFonts w:eastAsiaTheme="minorEastAsia"/>
                <w:sz w:val="20"/>
                <w:szCs w:val="20"/>
                <w:lang w:eastAsia="sk-SK"/>
              </w:rPr>
              <w:t>kapit</w:t>
            </w:r>
            <w:proofErr w:type="spellEnd"/>
            <w:r w:rsidRPr="4F9BDBF9">
              <w:rPr>
                <w:rFonts w:eastAsiaTheme="minorEastAsia"/>
                <w:sz w:val="20"/>
                <w:szCs w:val="20"/>
                <w:lang w:eastAsia="sk-SK"/>
              </w:rPr>
              <w:t>. aktív</w:t>
            </w:r>
            <w:r w:rsidRPr="4F9BDBF9">
              <w:rPr>
                <w:rFonts w:eastAsiaTheme="minorEastAsia"/>
                <w:sz w:val="24"/>
                <w:szCs w:val="24"/>
                <w:lang w:eastAsia="sk-SK"/>
              </w:rPr>
              <w:t xml:space="preserve"> </w:t>
            </w:r>
          </w:p>
        </w:tc>
        <w:tc>
          <w:tcPr>
            <w:tcW w:w="1200" w:type="dxa"/>
            <w:shd w:val="clear" w:color="auto" w:fill="EFEFEF"/>
            <w:noWrap/>
            <w:vAlign w:val="center"/>
            <w:hideMark/>
          </w:tcPr>
          <w:p w14:paraId="2B32971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40 000,00</w:t>
            </w:r>
            <w:r w:rsidRPr="4F9BDBF9">
              <w:rPr>
                <w:rFonts w:eastAsiaTheme="minorEastAsia"/>
                <w:sz w:val="24"/>
                <w:szCs w:val="24"/>
                <w:lang w:eastAsia="sk-SK"/>
              </w:rPr>
              <w:t xml:space="preserve"> </w:t>
            </w:r>
          </w:p>
        </w:tc>
        <w:tc>
          <w:tcPr>
            <w:tcW w:w="957" w:type="dxa"/>
            <w:shd w:val="clear" w:color="auto" w:fill="EFEFEF"/>
            <w:noWrap/>
            <w:vAlign w:val="center"/>
            <w:hideMark/>
          </w:tcPr>
          <w:p w14:paraId="4EDBF83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26 761,20</w:t>
            </w:r>
            <w:r w:rsidRPr="4F9BDBF9">
              <w:rPr>
                <w:rFonts w:eastAsiaTheme="minorEastAsia"/>
                <w:sz w:val="24"/>
                <w:szCs w:val="24"/>
                <w:lang w:eastAsia="sk-SK"/>
              </w:rPr>
              <w:t xml:space="preserve"> </w:t>
            </w:r>
          </w:p>
        </w:tc>
        <w:tc>
          <w:tcPr>
            <w:tcW w:w="1104" w:type="dxa"/>
            <w:shd w:val="clear" w:color="auto" w:fill="EFEFEF"/>
            <w:noWrap/>
            <w:vAlign w:val="center"/>
            <w:hideMark/>
          </w:tcPr>
          <w:p w14:paraId="67CF520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820" w:type="dxa"/>
            <w:shd w:val="clear" w:color="auto" w:fill="EFEFEF"/>
            <w:noWrap/>
            <w:vAlign w:val="center"/>
            <w:hideMark/>
          </w:tcPr>
          <w:p w14:paraId="178A481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0,00</w:t>
            </w:r>
            <w:r w:rsidRPr="4F9BDBF9">
              <w:rPr>
                <w:rFonts w:eastAsiaTheme="minorEastAsia"/>
                <w:sz w:val="24"/>
                <w:szCs w:val="24"/>
                <w:lang w:eastAsia="sk-SK"/>
              </w:rPr>
              <w:t xml:space="preserve"> </w:t>
            </w:r>
          </w:p>
        </w:tc>
        <w:tc>
          <w:tcPr>
            <w:tcW w:w="3475" w:type="dxa"/>
            <w:vMerge/>
            <w:vAlign w:val="center"/>
            <w:hideMark/>
          </w:tcPr>
          <w:p w14:paraId="2EFC254C" w14:textId="77777777" w:rsidR="00875772" w:rsidRPr="00116D4B" w:rsidRDefault="00875772" w:rsidP="00875772">
            <w:pPr>
              <w:spacing w:after="0" w:line="240" w:lineRule="auto"/>
              <w:rPr>
                <w:rFonts w:ascii="Times New Roman" w:hAnsi="Times New Roman"/>
                <w:sz w:val="24"/>
                <w:szCs w:val="24"/>
                <w:lang w:eastAsia="sk-SK"/>
              </w:rPr>
            </w:pPr>
          </w:p>
        </w:tc>
      </w:tr>
    </w:tbl>
    <w:p w14:paraId="2F812344"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26"/>
        <w:gridCol w:w="763"/>
        <w:gridCol w:w="1814"/>
        <w:gridCol w:w="1304"/>
        <w:gridCol w:w="4159"/>
      </w:tblGrid>
      <w:tr w:rsidR="00875772" w:rsidRPr="00116D4B" w14:paraId="21C30AD0" w14:textId="77777777" w:rsidTr="00875772">
        <w:trPr>
          <w:tblCellSpacing w:w="15" w:type="dxa"/>
        </w:trPr>
        <w:tc>
          <w:tcPr>
            <w:tcW w:w="0" w:type="auto"/>
            <w:shd w:val="clear" w:color="auto" w:fill="C2D69B"/>
            <w:vAlign w:val="center"/>
            <w:hideMark/>
          </w:tcPr>
          <w:p w14:paraId="0832AB1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1AD969F8"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oddelenie sociálnej pomoci</w:t>
            </w:r>
            <w:r>
              <w:br/>
            </w:r>
          </w:p>
        </w:tc>
      </w:tr>
      <w:tr w:rsidR="00875772" w:rsidRPr="00116D4B" w14:paraId="3A1ECEC2" w14:textId="77777777" w:rsidTr="00875772">
        <w:trPr>
          <w:tblCellSpacing w:w="15" w:type="dxa"/>
        </w:trPr>
        <w:tc>
          <w:tcPr>
            <w:tcW w:w="0" w:type="auto"/>
            <w:shd w:val="clear" w:color="auto" w:fill="C2D69B"/>
            <w:vAlign w:val="center"/>
            <w:hideMark/>
          </w:tcPr>
          <w:p w14:paraId="52829E7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7806DB7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informovanosť občanov v sociálnej oblasti</w:t>
            </w:r>
            <w:r w:rsidRPr="4F9BDBF9">
              <w:rPr>
                <w:rFonts w:eastAsiaTheme="minorEastAsia"/>
                <w:sz w:val="24"/>
                <w:szCs w:val="24"/>
                <w:lang w:eastAsia="sk-SK"/>
              </w:rPr>
              <w:t xml:space="preserve"> </w:t>
            </w:r>
          </w:p>
        </w:tc>
      </w:tr>
      <w:tr w:rsidR="00875772" w:rsidRPr="00116D4B" w14:paraId="57464D46" w14:textId="77777777" w:rsidTr="00875772">
        <w:trPr>
          <w:tblCellSpacing w:w="15" w:type="dxa"/>
        </w:trPr>
        <w:tc>
          <w:tcPr>
            <w:tcW w:w="0" w:type="auto"/>
            <w:shd w:val="clear" w:color="auto" w:fill="C2D69B"/>
            <w:vAlign w:val="center"/>
            <w:hideMark/>
          </w:tcPr>
          <w:p w14:paraId="4AEEB0A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41FB0D9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Počet odborných seminárov a konferencií</w:t>
            </w:r>
            <w:r w:rsidRPr="4F9BDBF9">
              <w:rPr>
                <w:rFonts w:eastAsiaTheme="minorEastAsia"/>
                <w:sz w:val="24"/>
                <w:szCs w:val="24"/>
                <w:lang w:eastAsia="sk-SK"/>
              </w:rPr>
              <w:t xml:space="preserve"> </w:t>
            </w:r>
          </w:p>
        </w:tc>
      </w:tr>
      <w:tr w:rsidR="00875772" w:rsidRPr="00116D4B" w14:paraId="69AF58F2" w14:textId="77777777" w:rsidTr="00875772">
        <w:trPr>
          <w:tblCellSpacing w:w="15" w:type="dxa"/>
        </w:trPr>
        <w:tc>
          <w:tcPr>
            <w:tcW w:w="0" w:type="auto"/>
            <w:shd w:val="clear" w:color="auto" w:fill="C2D69B"/>
            <w:vAlign w:val="center"/>
            <w:hideMark/>
          </w:tcPr>
          <w:p w14:paraId="3F0F5F5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4BC8FEB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78E1A81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03F9ADB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1C89B34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4DA30204" w14:textId="77777777" w:rsidTr="00875772">
        <w:trPr>
          <w:tblCellSpacing w:w="15" w:type="dxa"/>
        </w:trPr>
        <w:tc>
          <w:tcPr>
            <w:tcW w:w="0" w:type="auto"/>
            <w:shd w:val="clear" w:color="auto" w:fill="C2D69B"/>
            <w:vAlign w:val="center"/>
            <w:hideMark/>
          </w:tcPr>
          <w:p w14:paraId="06F437E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621223D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10</w:t>
            </w:r>
            <w:r w:rsidRPr="4F9BDBF9">
              <w:rPr>
                <w:rFonts w:eastAsiaTheme="minorEastAsia"/>
                <w:sz w:val="24"/>
                <w:szCs w:val="24"/>
                <w:lang w:eastAsia="sk-SK"/>
              </w:rPr>
              <w:t xml:space="preserve"> </w:t>
            </w:r>
          </w:p>
        </w:tc>
        <w:tc>
          <w:tcPr>
            <w:tcW w:w="0" w:type="auto"/>
            <w:shd w:val="clear" w:color="auto" w:fill="C2D69B"/>
            <w:noWrap/>
            <w:vAlign w:val="center"/>
            <w:hideMark/>
          </w:tcPr>
          <w:p w14:paraId="6CF4BC8D"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10</w:t>
            </w:r>
            <w:r w:rsidRPr="3E14EAE1">
              <w:rPr>
                <w:rFonts w:eastAsiaTheme="minorEastAsia"/>
                <w:sz w:val="24"/>
                <w:szCs w:val="24"/>
                <w:lang w:eastAsia="sk-SK"/>
              </w:rPr>
              <w:t xml:space="preserve"> </w:t>
            </w:r>
          </w:p>
        </w:tc>
        <w:tc>
          <w:tcPr>
            <w:tcW w:w="0" w:type="auto"/>
            <w:shd w:val="clear" w:color="auto" w:fill="C2D69B"/>
            <w:vAlign w:val="center"/>
            <w:hideMark/>
          </w:tcPr>
          <w:p w14:paraId="03F24CD6"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Splnené</w:t>
            </w:r>
            <w:r w:rsidRPr="3E14EAE1">
              <w:rPr>
                <w:rFonts w:eastAsiaTheme="minorEastAsia"/>
                <w:sz w:val="24"/>
                <w:szCs w:val="24"/>
                <w:lang w:eastAsia="sk-SK"/>
              </w:rPr>
              <w:t xml:space="preserve"> </w:t>
            </w:r>
          </w:p>
        </w:tc>
        <w:tc>
          <w:tcPr>
            <w:tcW w:w="0" w:type="auto"/>
            <w:shd w:val="clear" w:color="auto" w:fill="C2D69B"/>
            <w:vAlign w:val="center"/>
            <w:hideMark/>
          </w:tcPr>
          <w:p w14:paraId="017A5888" w14:textId="77777777" w:rsidR="00875772" w:rsidRPr="00116D4B" w:rsidRDefault="00875772" w:rsidP="00875772">
            <w:pPr>
              <w:spacing w:after="0" w:line="240" w:lineRule="auto"/>
              <w:jc w:val="center"/>
              <w:rPr>
                <w:rFonts w:eastAsiaTheme="minorEastAsia"/>
                <w:sz w:val="24"/>
                <w:szCs w:val="24"/>
                <w:lang w:eastAsia="sk-SK"/>
              </w:rPr>
            </w:pPr>
          </w:p>
        </w:tc>
      </w:tr>
    </w:tbl>
    <w:p w14:paraId="01913E88" w14:textId="77777777" w:rsidR="00875772" w:rsidRPr="00116D4B" w:rsidRDefault="00875772" w:rsidP="00875772">
      <w:pPr>
        <w:spacing w:before="100" w:beforeAutospacing="1" w:after="100" w:afterAutospacing="1" w:line="240" w:lineRule="auto"/>
        <w:rPr>
          <w:rFonts w:eastAsiaTheme="minorEastAsia"/>
          <w:lang w:eastAsia="sk-SK"/>
        </w:rPr>
      </w:pPr>
      <w:r w:rsidRPr="4F9BDBF9">
        <w:rPr>
          <w:rFonts w:eastAsiaTheme="minorEastAsia"/>
          <w:b/>
          <w:bCs/>
          <w:lang w:eastAsia="sk-SK"/>
        </w:rPr>
        <w:t xml:space="preserve">Komentár: </w:t>
      </w:r>
      <w:r w:rsidRPr="4F9BDBF9">
        <w:rPr>
          <w:rFonts w:eastAsiaTheme="minorEastAsia"/>
          <w:lang w:eastAsia="sk-SK"/>
        </w:rPr>
        <w:t>Výdavky podprogramu zahŕňajú:</w:t>
      </w:r>
      <w:r>
        <w:br/>
      </w:r>
      <w:r w:rsidRPr="4F9BDBF9">
        <w:rPr>
          <w:rFonts w:eastAsiaTheme="minorEastAsia"/>
          <w:lang w:eastAsia="sk-SK"/>
        </w:rPr>
        <w:t>• prenájom priestorov na akcie pre zariadenia sociálnych služieb (ZSS) v zriaďovateľskej pôsobnosti BSK,</w:t>
      </w:r>
      <w:r>
        <w:br/>
      </w:r>
      <w:r w:rsidRPr="4F9BDBF9">
        <w:rPr>
          <w:rFonts w:eastAsiaTheme="minorEastAsia"/>
          <w:lang w:eastAsia="sk-SK"/>
        </w:rPr>
        <w:t xml:space="preserve">• úhradu zdravotných výkonov v rámci posudkovej činnosti, </w:t>
      </w:r>
      <w:r>
        <w:br/>
      </w:r>
      <w:r w:rsidRPr="4F9BDBF9">
        <w:rPr>
          <w:rFonts w:eastAsiaTheme="minorEastAsia"/>
          <w:lang w:eastAsia="sk-SK"/>
        </w:rPr>
        <w:t>• rezervu na transfery pre ZSS v zriaďovateľskej pôsobnosti BSK,</w:t>
      </w:r>
      <w:r>
        <w:br/>
      </w:r>
      <w:r w:rsidRPr="4F9BDBF9">
        <w:rPr>
          <w:rFonts w:eastAsiaTheme="minorEastAsia"/>
          <w:lang w:eastAsia="sk-SK"/>
        </w:rPr>
        <w:t>• štúdie, expertízy, posudky,</w:t>
      </w:r>
      <w:r>
        <w:br/>
      </w:r>
      <w:r w:rsidRPr="4F9BDBF9">
        <w:rPr>
          <w:rFonts w:eastAsiaTheme="minorEastAsia"/>
          <w:lang w:eastAsia="sk-SK"/>
        </w:rPr>
        <w:t>• organizáciu porád, prednášok, seminárov, workshopov, konferencií,</w:t>
      </w:r>
      <w:r>
        <w:br/>
      </w:r>
      <w:r w:rsidRPr="4F9BDBF9">
        <w:rPr>
          <w:rFonts w:eastAsiaTheme="minorEastAsia"/>
          <w:lang w:eastAsia="sk-SK"/>
        </w:rPr>
        <w:t>• organizáciu aktivít pre prijímateľov sociálnych služieb a pre seniorov,</w:t>
      </w:r>
      <w:r>
        <w:br/>
      </w:r>
      <w:r w:rsidRPr="4F9BDBF9">
        <w:rPr>
          <w:rFonts w:eastAsiaTheme="minorEastAsia"/>
          <w:lang w:eastAsia="sk-SK"/>
        </w:rPr>
        <w:t>• spolufinancovanie dotácií z MPSVaR SR pre ZSS v zriaďovateľskej pôsobnosti BSK,</w:t>
      </w:r>
      <w:r>
        <w:br/>
      </w:r>
      <w:r w:rsidRPr="4F9BDBF9">
        <w:rPr>
          <w:rFonts w:eastAsiaTheme="minorEastAsia"/>
          <w:lang w:eastAsia="sk-SK"/>
        </w:rPr>
        <w:t xml:space="preserve">• cestovné náhrady na tuzemské pracovné a zahraničné pracovné cesty, </w:t>
      </w:r>
      <w:r>
        <w:br/>
      </w:r>
      <w:r w:rsidRPr="4F9BDBF9">
        <w:rPr>
          <w:rFonts w:eastAsiaTheme="minorEastAsia"/>
          <w:lang w:eastAsia="sk-SK"/>
        </w:rPr>
        <w:t xml:space="preserve">• metodický a informačný materiál, </w:t>
      </w:r>
      <w:r>
        <w:br/>
      </w:r>
      <w:r w:rsidRPr="4F9BDBF9">
        <w:rPr>
          <w:rFonts w:eastAsiaTheme="minorEastAsia"/>
          <w:lang w:eastAsia="sk-SK"/>
        </w:rPr>
        <w:t xml:space="preserve">• výrobu </w:t>
      </w:r>
      <w:proofErr w:type="spellStart"/>
      <w:r w:rsidRPr="4F9BDBF9">
        <w:rPr>
          <w:rFonts w:eastAsiaTheme="minorEastAsia"/>
          <w:lang w:eastAsia="sk-SK"/>
        </w:rPr>
        <w:t>info</w:t>
      </w:r>
      <w:proofErr w:type="spellEnd"/>
      <w:r w:rsidRPr="4F9BDBF9">
        <w:rPr>
          <w:rFonts w:eastAsiaTheme="minorEastAsia"/>
          <w:lang w:eastAsia="sk-SK"/>
        </w:rPr>
        <w:t xml:space="preserve"> materiálov o sociálnych službách v BSK,</w:t>
      </w:r>
      <w:r>
        <w:br/>
      </w:r>
      <w:r w:rsidRPr="4F9BDBF9">
        <w:rPr>
          <w:rFonts w:eastAsiaTheme="minorEastAsia"/>
          <w:lang w:eastAsia="sk-SK"/>
        </w:rPr>
        <w:t xml:space="preserve">• reprezentačné účely. </w:t>
      </w:r>
      <w:r>
        <w:br/>
      </w:r>
    </w:p>
    <w:p w14:paraId="3C1895A3" w14:textId="77777777" w:rsidR="00875772" w:rsidRPr="00116D4B" w:rsidRDefault="00875772" w:rsidP="00875772">
      <w:pPr>
        <w:spacing w:before="100" w:beforeAutospacing="1" w:after="100" w:afterAutospacing="1" w:line="240" w:lineRule="auto"/>
        <w:outlineLvl w:val="2"/>
        <w:rPr>
          <w:rFonts w:eastAsiaTheme="minorEastAsia"/>
          <w:b/>
          <w:bCs/>
          <w:color w:val="4F6228"/>
          <w:sz w:val="27"/>
          <w:szCs w:val="27"/>
          <w:lang w:eastAsia="sk-SK"/>
        </w:rPr>
      </w:pPr>
      <w:r w:rsidRPr="4F9BDBF9">
        <w:rPr>
          <w:rFonts w:eastAsiaTheme="minorEastAsia"/>
          <w:b/>
          <w:bCs/>
          <w:color w:val="4F6228"/>
          <w:sz w:val="27"/>
          <w:szCs w:val="27"/>
          <w:lang w:eastAsia="sk-SK"/>
        </w:rPr>
        <w:t xml:space="preserve">Podprogram 11.4: Príspevky neštátnym subjektom </w:t>
      </w:r>
    </w:p>
    <w:p w14:paraId="16316AD5" w14:textId="77777777" w:rsidR="00875772" w:rsidRPr="00116D4B" w:rsidRDefault="00875772" w:rsidP="00875772">
      <w:pPr>
        <w:spacing w:before="100" w:beforeAutospacing="1" w:after="100" w:afterAutospacing="1" w:line="240" w:lineRule="auto"/>
        <w:rPr>
          <w:rFonts w:eastAsiaTheme="minorEastAsia"/>
          <w:sz w:val="24"/>
          <w:szCs w:val="24"/>
          <w:lang w:eastAsia="sk-SK"/>
        </w:rPr>
      </w:pPr>
      <w:r w:rsidRPr="4F9BDBF9">
        <w:rPr>
          <w:rFonts w:eastAsiaTheme="minorEastAsia"/>
          <w:b/>
          <w:bCs/>
          <w:sz w:val="24"/>
          <w:szCs w:val="24"/>
          <w:lang w:eastAsia="sk-SK"/>
        </w:rPr>
        <w:t xml:space="preserve">Zámer: </w:t>
      </w:r>
      <w:r w:rsidRPr="4F9BDBF9">
        <w:rPr>
          <w:rFonts w:eastAsiaTheme="minorEastAsia"/>
          <w:sz w:val="24"/>
          <w:szCs w:val="24"/>
          <w:lang w:eastAsia="sk-SK"/>
        </w:rPr>
        <w:t>Poskytovanie finančných príspevkov neštátnym subjektom v zmysle zákona o sociálnych službách a akreditovaným a neakreditovaným subjektom v zmysle zákona o sociálnoprávnej ochrane detí a o sociálnej kuratele.</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2087"/>
        <w:gridCol w:w="1296"/>
        <w:gridCol w:w="1276"/>
        <w:gridCol w:w="1275"/>
        <w:gridCol w:w="1276"/>
        <w:gridCol w:w="2386"/>
      </w:tblGrid>
      <w:tr w:rsidR="00875772" w:rsidRPr="00116D4B" w14:paraId="15E0832F" w14:textId="77777777" w:rsidTr="00875772">
        <w:trPr>
          <w:tblCellSpacing w:w="15" w:type="dxa"/>
        </w:trPr>
        <w:tc>
          <w:tcPr>
            <w:tcW w:w="825" w:type="dxa"/>
            <w:shd w:val="clear" w:color="auto" w:fill="C6DBF7"/>
            <w:vAlign w:val="center"/>
            <w:hideMark/>
          </w:tcPr>
          <w:p w14:paraId="00DC197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2057" w:type="dxa"/>
            <w:shd w:val="clear" w:color="auto" w:fill="C6DBF7"/>
            <w:vAlign w:val="center"/>
            <w:hideMark/>
          </w:tcPr>
          <w:p w14:paraId="16C8B00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1266" w:type="dxa"/>
            <w:shd w:val="clear" w:color="auto" w:fill="C6DBF7"/>
            <w:vAlign w:val="center"/>
            <w:hideMark/>
          </w:tcPr>
          <w:p w14:paraId="2C1614A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6622FF4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5" w:type="dxa"/>
            <w:shd w:val="clear" w:color="auto" w:fill="C6DBF7"/>
            <w:vAlign w:val="center"/>
            <w:hideMark/>
          </w:tcPr>
          <w:p w14:paraId="67A9311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1246" w:type="dxa"/>
            <w:shd w:val="clear" w:color="auto" w:fill="C6DBF7"/>
            <w:vAlign w:val="center"/>
            <w:hideMark/>
          </w:tcPr>
          <w:p w14:paraId="60CDD23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2341" w:type="dxa"/>
            <w:shd w:val="clear" w:color="auto" w:fill="C6DBF7"/>
            <w:vAlign w:val="center"/>
            <w:hideMark/>
          </w:tcPr>
          <w:p w14:paraId="5305858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05968283" w14:textId="77777777" w:rsidTr="00875772">
        <w:trPr>
          <w:tblCellSpacing w:w="15" w:type="dxa"/>
        </w:trPr>
        <w:tc>
          <w:tcPr>
            <w:tcW w:w="825" w:type="dxa"/>
            <w:shd w:val="clear" w:color="auto" w:fill="D9D9D9" w:themeFill="background1" w:themeFillShade="D9"/>
            <w:noWrap/>
            <w:vAlign w:val="center"/>
            <w:hideMark/>
          </w:tcPr>
          <w:p w14:paraId="61154E35" w14:textId="77777777" w:rsidR="00875772" w:rsidRPr="00116D4B" w:rsidRDefault="00875772" w:rsidP="00875772">
            <w:pPr>
              <w:spacing w:after="0" w:line="240" w:lineRule="auto"/>
              <w:jc w:val="center"/>
              <w:rPr>
                <w:rFonts w:eastAsiaTheme="minorEastAsia"/>
                <w:sz w:val="24"/>
                <w:szCs w:val="24"/>
                <w:lang w:eastAsia="sk-SK"/>
              </w:rPr>
            </w:pPr>
          </w:p>
        </w:tc>
        <w:tc>
          <w:tcPr>
            <w:tcW w:w="2057" w:type="dxa"/>
            <w:shd w:val="clear" w:color="auto" w:fill="D9D9D9" w:themeFill="background1" w:themeFillShade="D9"/>
            <w:vAlign w:val="center"/>
            <w:hideMark/>
          </w:tcPr>
          <w:p w14:paraId="0966209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266" w:type="dxa"/>
            <w:shd w:val="clear" w:color="auto" w:fill="D9D9D9" w:themeFill="background1" w:themeFillShade="D9"/>
            <w:noWrap/>
            <w:vAlign w:val="center"/>
            <w:hideMark/>
          </w:tcPr>
          <w:p w14:paraId="2DFC484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9 370 000,00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426E5B7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9 070 000,00</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1EB86FA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7 516 204,00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24A017B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82,87</w:t>
            </w:r>
            <w:r w:rsidRPr="4F9BDBF9">
              <w:rPr>
                <w:rFonts w:eastAsiaTheme="minorEastAsia"/>
                <w:sz w:val="24"/>
                <w:szCs w:val="24"/>
                <w:lang w:eastAsia="sk-SK"/>
              </w:rPr>
              <w:t xml:space="preserve"> </w:t>
            </w:r>
          </w:p>
        </w:tc>
        <w:tc>
          <w:tcPr>
            <w:tcW w:w="2341" w:type="dxa"/>
            <w:vMerge w:val="restart"/>
            <w:shd w:val="clear" w:color="auto" w:fill="D9D9D9" w:themeFill="background1" w:themeFillShade="D9"/>
            <w:vAlign w:val="center"/>
            <w:hideMark/>
          </w:tcPr>
          <w:p w14:paraId="2CBA63E1" w14:textId="0D8B6465" w:rsidR="00875772" w:rsidRDefault="00875772" w:rsidP="00875772">
            <w:pPr>
              <w:spacing w:after="0" w:line="240" w:lineRule="auto"/>
              <w:rPr>
                <w:rFonts w:eastAsiaTheme="minorEastAsia"/>
                <w:b/>
                <w:bCs/>
                <w:sz w:val="20"/>
                <w:szCs w:val="20"/>
                <w:lang w:eastAsia="sk-SK"/>
              </w:rPr>
            </w:pPr>
            <w:r w:rsidRPr="6450C5FE">
              <w:rPr>
                <w:rFonts w:eastAsiaTheme="minorEastAsia"/>
                <w:b/>
                <w:bCs/>
                <w:sz w:val="20"/>
                <w:szCs w:val="20"/>
                <w:lang w:eastAsia="sk-SK"/>
              </w:rPr>
              <w:t>-300 000,00 EUR</w:t>
            </w:r>
            <w:r w:rsidRPr="6450C5FE">
              <w:rPr>
                <w:rFonts w:eastAsiaTheme="minorEastAsia"/>
                <w:sz w:val="20"/>
                <w:szCs w:val="20"/>
                <w:lang w:eastAsia="sk-SK"/>
              </w:rPr>
              <w:t xml:space="preserve"> </w:t>
            </w:r>
            <w:r w:rsidR="004C1141" w:rsidRPr="00C741A9">
              <w:rPr>
                <w:rFonts w:cstheme="minorHAnsi"/>
                <w:sz w:val="20"/>
                <w:szCs w:val="20"/>
                <w:lang w:eastAsia="sk-SK"/>
              </w:rPr>
              <w:t>I. zmena rozpočtu UZN č. 247/2020</w:t>
            </w:r>
          </w:p>
        </w:tc>
      </w:tr>
      <w:tr w:rsidR="00875772" w:rsidRPr="00116D4B" w14:paraId="2702D3F4" w14:textId="77777777" w:rsidTr="00875772">
        <w:trPr>
          <w:tblCellSpacing w:w="15" w:type="dxa"/>
        </w:trPr>
        <w:tc>
          <w:tcPr>
            <w:tcW w:w="825" w:type="dxa"/>
            <w:shd w:val="clear" w:color="auto" w:fill="D9D9D9" w:themeFill="background1" w:themeFillShade="D9"/>
            <w:noWrap/>
            <w:vAlign w:val="center"/>
            <w:hideMark/>
          </w:tcPr>
          <w:p w14:paraId="7A1991E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2057" w:type="dxa"/>
            <w:shd w:val="clear" w:color="auto" w:fill="D9D9D9" w:themeFill="background1" w:themeFillShade="D9"/>
            <w:vAlign w:val="center"/>
            <w:hideMark/>
          </w:tcPr>
          <w:p w14:paraId="41FF8BE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266" w:type="dxa"/>
            <w:shd w:val="clear" w:color="auto" w:fill="D9D9D9" w:themeFill="background1" w:themeFillShade="D9"/>
            <w:noWrap/>
            <w:vAlign w:val="center"/>
            <w:hideMark/>
          </w:tcPr>
          <w:p w14:paraId="03A8261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9 370 000,00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64C936A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9 070 000,00</w:t>
            </w:r>
            <w:r w:rsidRPr="4F9BDBF9">
              <w:rPr>
                <w:rFonts w:eastAsiaTheme="minorEastAsia"/>
                <w:sz w:val="24"/>
                <w:szCs w:val="24"/>
                <w:lang w:eastAsia="sk-SK"/>
              </w:rPr>
              <w:t xml:space="preserve"> </w:t>
            </w:r>
          </w:p>
        </w:tc>
        <w:tc>
          <w:tcPr>
            <w:tcW w:w="1245" w:type="dxa"/>
            <w:shd w:val="clear" w:color="auto" w:fill="D9D9D9" w:themeFill="background1" w:themeFillShade="D9"/>
            <w:noWrap/>
            <w:vAlign w:val="center"/>
            <w:hideMark/>
          </w:tcPr>
          <w:p w14:paraId="1641EA9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7 516 204,00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79D1D22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82,87</w:t>
            </w:r>
            <w:r w:rsidRPr="4F9BDBF9">
              <w:rPr>
                <w:rFonts w:eastAsiaTheme="minorEastAsia"/>
                <w:sz w:val="24"/>
                <w:szCs w:val="24"/>
                <w:lang w:eastAsia="sk-SK"/>
              </w:rPr>
              <w:t xml:space="preserve"> </w:t>
            </w:r>
          </w:p>
        </w:tc>
        <w:tc>
          <w:tcPr>
            <w:tcW w:w="2341" w:type="dxa"/>
            <w:vMerge/>
            <w:shd w:val="clear" w:color="auto" w:fill="D9D9D9" w:themeFill="background1" w:themeFillShade="D9"/>
            <w:vAlign w:val="center"/>
            <w:hideMark/>
          </w:tcPr>
          <w:p w14:paraId="017956C7"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1516A332" w14:textId="77777777" w:rsidTr="00875772">
        <w:trPr>
          <w:tblCellSpacing w:w="15" w:type="dxa"/>
        </w:trPr>
        <w:tc>
          <w:tcPr>
            <w:tcW w:w="825" w:type="dxa"/>
            <w:shd w:val="clear" w:color="auto" w:fill="EFEFEF"/>
            <w:noWrap/>
            <w:vAlign w:val="center"/>
            <w:hideMark/>
          </w:tcPr>
          <w:p w14:paraId="328A124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2057" w:type="dxa"/>
            <w:shd w:val="clear" w:color="auto" w:fill="EFEFEF"/>
            <w:vAlign w:val="center"/>
            <w:hideMark/>
          </w:tcPr>
          <w:p w14:paraId="75ED176E"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266" w:type="dxa"/>
            <w:shd w:val="clear" w:color="auto" w:fill="EFEFEF"/>
            <w:noWrap/>
            <w:vAlign w:val="center"/>
            <w:hideMark/>
          </w:tcPr>
          <w:p w14:paraId="23A8DE6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9 370 000,00</w:t>
            </w:r>
            <w:r w:rsidRPr="4F9BDBF9">
              <w:rPr>
                <w:rFonts w:eastAsiaTheme="minorEastAsia"/>
                <w:sz w:val="24"/>
                <w:szCs w:val="24"/>
                <w:lang w:eastAsia="sk-SK"/>
              </w:rPr>
              <w:t xml:space="preserve"> </w:t>
            </w:r>
          </w:p>
        </w:tc>
        <w:tc>
          <w:tcPr>
            <w:tcW w:w="1246" w:type="dxa"/>
            <w:shd w:val="clear" w:color="auto" w:fill="EFEFEF"/>
            <w:noWrap/>
            <w:vAlign w:val="center"/>
            <w:hideMark/>
          </w:tcPr>
          <w:p w14:paraId="20689B7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9 070 000,00</w:t>
            </w:r>
            <w:r w:rsidRPr="4F9BDBF9">
              <w:rPr>
                <w:rFonts w:eastAsiaTheme="minorEastAsia"/>
                <w:sz w:val="24"/>
                <w:szCs w:val="24"/>
                <w:lang w:eastAsia="sk-SK"/>
              </w:rPr>
              <w:t xml:space="preserve"> </w:t>
            </w:r>
          </w:p>
        </w:tc>
        <w:tc>
          <w:tcPr>
            <w:tcW w:w="1245" w:type="dxa"/>
            <w:shd w:val="clear" w:color="auto" w:fill="EFEFEF"/>
            <w:noWrap/>
            <w:vAlign w:val="center"/>
            <w:hideMark/>
          </w:tcPr>
          <w:p w14:paraId="6821D93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7 516 204,00</w:t>
            </w:r>
            <w:r w:rsidRPr="4F9BDBF9">
              <w:rPr>
                <w:rFonts w:eastAsiaTheme="minorEastAsia"/>
                <w:sz w:val="24"/>
                <w:szCs w:val="24"/>
                <w:lang w:eastAsia="sk-SK"/>
              </w:rPr>
              <w:t xml:space="preserve"> </w:t>
            </w:r>
          </w:p>
        </w:tc>
        <w:tc>
          <w:tcPr>
            <w:tcW w:w="1246" w:type="dxa"/>
            <w:shd w:val="clear" w:color="auto" w:fill="EFEFEF"/>
            <w:noWrap/>
            <w:vAlign w:val="center"/>
            <w:hideMark/>
          </w:tcPr>
          <w:p w14:paraId="7597AFEE"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82,87</w:t>
            </w:r>
            <w:r w:rsidRPr="4F9BDBF9">
              <w:rPr>
                <w:rFonts w:eastAsiaTheme="minorEastAsia"/>
                <w:sz w:val="24"/>
                <w:szCs w:val="24"/>
                <w:lang w:eastAsia="sk-SK"/>
              </w:rPr>
              <w:t xml:space="preserve"> </w:t>
            </w:r>
          </w:p>
        </w:tc>
        <w:tc>
          <w:tcPr>
            <w:tcW w:w="2341" w:type="dxa"/>
            <w:vMerge/>
            <w:vAlign w:val="center"/>
            <w:hideMark/>
          </w:tcPr>
          <w:p w14:paraId="57453532" w14:textId="77777777" w:rsidR="00875772" w:rsidRPr="00116D4B" w:rsidRDefault="00875772" w:rsidP="00875772">
            <w:pPr>
              <w:spacing w:after="0" w:line="240" w:lineRule="auto"/>
              <w:rPr>
                <w:rFonts w:ascii="Times New Roman" w:hAnsi="Times New Roman"/>
                <w:sz w:val="24"/>
                <w:szCs w:val="24"/>
                <w:lang w:eastAsia="sk-SK"/>
              </w:rPr>
            </w:pPr>
          </w:p>
        </w:tc>
      </w:tr>
    </w:tbl>
    <w:p w14:paraId="207F7B73"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11.4.1: Sociálne služby</w:t>
      </w:r>
    </w:p>
    <w:p w14:paraId="55AFACCA" w14:textId="77777777" w:rsidR="00875772" w:rsidRPr="00116D4B" w:rsidRDefault="00875772" w:rsidP="00875772">
      <w:pPr>
        <w:spacing w:before="100" w:beforeAutospacing="1" w:after="100" w:afterAutospacing="1" w:line="240" w:lineRule="auto"/>
        <w:rPr>
          <w:rFonts w:eastAsiaTheme="minorEastAsia"/>
          <w:sz w:val="24"/>
          <w:szCs w:val="24"/>
          <w:lang w:eastAsia="sk-SK"/>
        </w:rPr>
      </w:pPr>
      <w:r w:rsidRPr="4F9BDBF9">
        <w:rPr>
          <w:rFonts w:eastAsiaTheme="minorEastAsia"/>
          <w:b/>
          <w:bCs/>
          <w:sz w:val="24"/>
          <w:szCs w:val="24"/>
          <w:lang w:eastAsia="sk-SK"/>
        </w:rPr>
        <w:t xml:space="preserve">Zámer: </w:t>
      </w:r>
      <w:r w:rsidRPr="4F9BDBF9">
        <w:rPr>
          <w:rFonts w:eastAsiaTheme="minorEastAsia"/>
          <w:sz w:val="24"/>
          <w:szCs w:val="24"/>
          <w:lang w:eastAsia="sk-SK"/>
        </w:rPr>
        <w:t>Uspokojovanie základných životných potrieb občanov regiónu odkázaných na pomoc iných formou poskytnutia finančného príspevku na prevádzku a finančného príspevku na poskytovanie sociálnej služby v zariadeniach podmienených odkázanosťou.</w:t>
      </w:r>
    </w:p>
    <w:tbl>
      <w:tblPr>
        <w:tblW w:w="10466" w:type="dxa"/>
        <w:tblCellSpacing w:w="15" w:type="dxa"/>
        <w:tblCellMar>
          <w:top w:w="15" w:type="dxa"/>
          <w:left w:w="15" w:type="dxa"/>
          <w:bottom w:w="15" w:type="dxa"/>
          <w:right w:w="15" w:type="dxa"/>
        </w:tblCellMar>
        <w:tblLook w:val="04A0" w:firstRow="1" w:lastRow="0" w:firstColumn="1" w:lastColumn="0" w:noHBand="0" w:noVBand="1"/>
      </w:tblPr>
      <w:tblGrid>
        <w:gridCol w:w="870"/>
        <w:gridCol w:w="2086"/>
        <w:gridCol w:w="1155"/>
        <w:gridCol w:w="1276"/>
        <w:gridCol w:w="1276"/>
        <w:gridCol w:w="992"/>
        <w:gridCol w:w="2811"/>
      </w:tblGrid>
      <w:tr w:rsidR="00875772" w:rsidRPr="00116D4B" w14:paraId="59034815" w14:textId="77777777" w:rsidTr="00875772">
        <w:trPr>
          <w:tblCellSpacing w:w="15" w:type="dxa"/>
        </w:trPr>
        <w:tc>
          <w:tcPr>
            <w:tcW w:w="825" w:type="dxa"/>
            <w:shd w:val="clear" w:color="auto" w:fill="C6DBF7"/>
            <w:vAlign w:val="center"/>
            <w:hideMark/>
          </w:tcPr>
          <w:p w14:paraId="4F849C3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2056" w:type="dxa"/>
            <w:shd w:val="clear" w:color="auto" w:fill="C6DBF7"/>
            <w:vAlign w:val="center"/>
            <w:hideMark/>
          </w:tcPr>
          <w:p w14:paraId="2D6909B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1125" w:type="dxa"/>
            <w:shd w:val="clear" w:color="auto" w:fill="C6DBF7"/>
            <w:vAlign w:val="center"/>
            <w:hideMark/>
          </w:tcPr>
          <w:p w14:paraId="31A5E23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43E3DE5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1246" w:type="dxa"/>
            <w:shd w:val="clear" w:color="auto" w:fill="C6DBF7"/>
            <w:vAlign w:val="center"/>
            <w:hideMark/>
          </w:tcPr>
          <w:p w14:paraId="17D5E70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962" w:type="dxa"/>
            <w:shd w:val="clear" w:color="auto" w:fill="C6DBF7"/>
            <w:vAlign w:val="center"/>
            <w:hideMark/>
          </w:tcPr>
          <w:p w14:paraId="040CEA9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2766" w:type="dxa"/>
            <w:shd w:val="clear" w:color="auto" w:fill="C6DBF7"/>
            <w:vAlign w:val="center"/>
            <w:hideMark/>
          </w:tcPr>
          <w:p w14:paraId="7E8F42D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4F49B105" w14:textId="77777777" w:rsidTr="00875772">
        <w:trPr>
          <w:tblCellSpacing w:w="15" w:type="dxa"/>
        </w:trPr>
        <w:tc>
          <w:tcPr>
            <w:tcW w:w="825" w:type="dxa"/>
            <w:shd w:val="clear" w:color="auto" w:fill="D9D9D9" w:themeFill="background1" w:themeFillShade="D9"/>
            <w:noWrap/>
            <w:vAlign w:val="center"/>
            <w:hideMark/>
          </w:tcPr>
          <w:p w14:paraId="6DF126B7" w14:textId="77777777" w:rsidR="00875772" w:rsidRPr="00116D4B" w:rsidRDefault="00875772" w:rsidP="00875772">
            <w:pPr>
              <w:spacing w:after="0" w:line="240" w:lineRule="auto"/>
              <w:jc w:val="center"/>
              <w:rPr>
                <w:rFonts w:eastAsiaTheme="minorEastAsia"/>
                <w:sz w:val="24"/>
                <w:szCs w:val="24"/>
                <w:lang w:eastAsia="sk-SK"/>
              </w:rPr>
            </w:pPr>
          </w:p>
        </w:tc>
        <w:tc>
          <w:tcPr>
            <w:tcW w:w="2056" w:type="dxa"/>
            <w:shd w:val="clear" w:color="auto" w:fill="D9D9D9" w:themeFill="background1" w:themeFillShade="D9"/>
            <w:vAlign w:val="center"/>
            <w:hideMark/>
          </w:tcPr>
          <w:p w14:paraId="5767398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1125" w:type="dxa"/>
            <w:shd w:val="clear" w:color="auto" w:fill="D9D9D9" w:themeFill="background1" w:themeFillShade="D9"/>
            <w:noWrap/>
            <w:vAlign w:val="center"/>
            <w:hideMark/>
          </w:tcPr>
          <w:p w14:paraId="2E17FF3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8 110 000,00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69A59EE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7 810 000,00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11CE65FB"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6 416 287,19</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362B020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82,15</w:t>
            </w:r>
            <w:r w:rsidRPr="4F9BDBF9">
              <w:rPr>
                <w:rFonts w:eastAsiaTheme="minorEastAsia"/>
                <w:sz w:val="24"/>
                <w:szCs w:val="24"/>
                <w:lang w:eastAsia="sk-SK"/>
              </w:rPr>
              <w:t xml:space="preserve"> </w:t>
            </w:r>
          </w:p>
        </w:tc>
        <w:tc>
          <w:tcPr>
            <w:tcW w:w="2766" w:type="dxa"/>
            <w:vMerge w:val="restart"/>
            <w:shd w:val="clear" w:color="auto" w:fill="D9D9D9" w:themeFill="background1" w:themeFillShade="D9"/>
            <w:vAlign w:val="center"/>
            <w:hideMark/>
          </w:tcPr>
          <w:p w14:paraId="2AF9E16C" w14:textId="77777777" w:rsidR="00875772" w:rsidRPr="00116D4B" w:rsidRDefault="00875772" w:rsidP="00875772">
            <w:pPr>
              <w:spacing w:after="0" w:line="240" w:lineRule="auto"/>
              <w:rPr>
                <w:rFonts w:eastAsiaTheme="minorEastAsia"/>
                <w:b/>
                <w:bCs/>
                <w:sz w:val="20"/>
                <w:szCs w:val="20"/>
                <w:lang w:eastAsia="sk-SK"/>
              </w:rPr>
            </w:pPr>
            <w:r w:rsidRPr="6450C5FE">
              <w:rPr>
                <w:rFonts w:eastAsiaTheme="minorEastAsia"/>
                <w:b/>
                <w:bCs/>
                <w:sz w:val="20"/>
                <w:szCs w:val="20"/>
                <w:lang w:eastAsia="sk-SK"/>
              </w:rPr>
              <w:t>-300 000,00 EUR</w:t>
            </w:r>
            <w:r w:rsidRPr="6450C5FE">
              <w:rPr>
                <w:rFonts w:eastAsiaTheme="minorEastAsia"/>
                <w:sz w:val="20"/>
                <w:szCs w:val="20"/>
                <w:lang w:eastAsia="sk-SK"/>
              </w:rPr>
              <w:t xml:space="preserve"> zníženie rozpočtu BV (</w:t>
            </w:r>
            <w:proofErr w:type="spellStart"/>
            <w:r w:rsidRPr="6450C5FE">
              <w:rPr>
                <w:rFonts w:eastAsiaTheme="minorEastAsia"/>
                <w:sz w:val="20"/>
                <w:szCs w:val="20"/>
                <w:lang w:eastAsia="sk-SK"/>
              </w:rPr>
              <w:t>Uzn</w:t>
            </w:r>
            <w:proofErr w:type="spellEnd"/>
            <w:r w:rsidRPr="6450C5FE">
              <w:rPr>
                <w:rFonts w:eastAsiaTheme="minorEastAsia"/>
                <w:sz w:val="20"/>
                <w:szCs w:val="20"/>
                <w:lang w:eastAsia="sk-SK"/>
              </w:rPr>
              <w:t>. 247/2020 z 29.5.2020) z dôvodu nenaplnených daňových príjmov</w:t>
            </w:r>
          </w:p>
        </w:tc>
      </w:tr>
      <w:tr w:rsidR="00875772" w:rsidRPr="00116D4B" w14:paraId="7633212E" w14:textId="77777777" w:rsidTr="00875772">
        <w:trPr>
          <w:tblCellSpacing w:w="15" w:type="dxa"/>
        </w:trPr>
        <w:tc>
          <w:tcPr>
            <w:tcW w:w="825" w:type="dxa"/>
            <w:shd w:val="clear" w:color="auto" w:fill="D9D9D9" w:themeFill="background1" w:themeFillShade="D9"/>
            <w:noWrap/>
            <w:vAlign w:val="center"/>
            <w:hideMark/>
          </w:tcPr>
          <w:p w14:paraId="5918DCE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2056" w:type="dxa"/>
            <w:shd w:val="clear" w:color="auto" w:fill="D9D9D9" w:themeFill="background1" w:themeFillShade="D9"/>
            <w:vAlign w:val="center"/>
            <w:hideMark/>
          </w:tcPr>
          <w:p w14:paraId="29DFDD8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1125" w:type="dxa"/>
            <w:shd w:val="clear" w:color="auto" w:fill="D9D9D9" w:themeFill="background1" w:themeFillShade="D9"/>
            <w:noWrap/>
            <w:vAlign w:val="center"/>
            <w:hideMark/>
          </w:tcPr>
          <w:p w14:paraId="0C41E8F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8 110 000,00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5794428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7 810 000,00</w:t>
            </w:r>
            <w:r w:rsidRPr="4F9BDBF9">
              <w:rPr>
                <w:rFonts w:eastAsiaTheme="minorEastAsia"/>
                <w:sz w:val="24"/>
                <w:szCs w:val="24"/>
                <w:lang w:eastAsia="sk-SK"/>
              </w:rPr>
              <w:t xml:space="preserve"> </w:t>
            </w:r>
          </w:p>
        </w:tc>
        <w:tc>
          <w:tcPr>
            <w:tcW w:w="1246" w:type="dxa"/>
            <w:shd w:val="clear" w:color="auto" w:fill="D9D9D9" w:themeFill="background1" w:themeFillShade="D9"/>
            <w:noWrap/>
            <w:vAlign w:val="center"/>
            <w:hideMark/>
          </w:tcPr>
          <w:p w14:paraId="6DC8D7E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6 416 287,19</w:t>
            </w:r>
            <w:r w:rsidRPr="4F9BDBF9">
              <w:rPr>
                <w:rFonts w:eastAsiaTheme="minorEastAsia"/>
                <w:sz w:val="24"/>
                <w:szCs w:val="24"/>
                <w:lang w:eastAsia="sk-SK"/>
              </w:rPr>
              <w:t xml:space="preserve"> </w:t>
            </w:r>
          </w:p>
        </w:tc>
        <w:tc>
          <w:tcPr>
            <w:tcW w:w="962" w:type="dxa"/>
            <w:shd w:val="clear" w:color="auto" w:fill="D9D9D9" w:themeFill="background1" w:themeFillShade="D9"/>
            <w:noWrap/>
            <w:vAlign w:val="center"/>
            <w:hideMark/>
          </w:tcPr>
          <w:p w14:paraId="4D0EE4B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82,15</w:t>
            </w:r>
            <w:r w:rsidRPr="4F9BDBF9">
              <w:rPr>
                <w:rFonts w:eastAsiaTheme="minorEastAsia"/>
                <w:sz w:val="24"/>
                <w:szCs w:val="24"/>
                <w:lang w:eastAsia="sk-SK"/>
              </w:rPr>
              <w:t xml:space="preserve"> </w:t>
            </w:r>
          </w:p>
        </w:tc>
        <w:tc>
          <w:tcPr>
            <w:tcW w:w="2766" w:type="dxa"/>
            <w:vMerge/>
            <w:shd w:val="clear" w:color="auto" w:fill="D9D9D9" w:themeFill="background1" w:themeFillShade="D9"/>
            <w:vAlign w:val="center"/>
            <w:hideMark/>
          </w:tcPr>
          <w:p w14:paraId="4F687A92"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55A8B94B" w14:textId="77777777" w:rsidTr="00875772">
        <w:trPr>
          <w:tblCellSpacing w:w="15" w:type="dxa"/>
        </w:trPr>
        <w:tc>
          <w:tcPr>
            <w:tcW w:w="825" w:type="dxa"/>
            <w:shd w:val="clear" w:color="auto" w:fill="EFEFEF"/>
            <w:noWrap/>
            <w:vAlign w:val="center"/>
            <w:hideMark/>
          </w:tcPr>
          <w:p w14:paraId="228CE25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2056" w:type="dxa"/>
            <w:shd w:val="clear" w:color="auto" w:fill="EFEFEF"/>
            <w:vAlign w:val="center"/>
            <w:hideMark/>
          </w:tcPr>
          <w:p w14:paraId="11D4DEF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1125" w:type="dxa"/>
            <w:shd w:val="clear" w:color="auto" w:fill="EFEFEF"/>
            <w:noWrap/>
            <w:vAlign w:val="center"/>
            <w:hideMark/>
          </w:tcPr>
          <w:p w14:paraId="2E7B0AD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8 110 000,00</w:t>
            </w:r>
            <w:r w:rsidRPr="4F9BDBF9">
              <w:rPr>
                <w:rFonts w:eastAsiaTheme="minorEastAsia"/>
                <w:sz w:val="24"/>
                <w:szCs w:val="24"/>
                <w:lang w:eastAsia="sk-SK"/>
              </w:rPr>
              <w:t xml:space="preserve"> </w:t>
            </w:r>
          </w:p>
        </w:tc>
        <w:tc>
          <w:tcPr>
            <w:tcW w:w="1246" w:type="dxa"/>
            <w:shd w:val="clear" w:color="auto" w:fill="EFEFEF"/>
            <w:noWrap/>
            <w:vAlign w:val="center"/>
            <w:hideMark/>
          </w:tcPr>
          <w:p w14:paraId="415AC04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7 810 000,00</w:t>
            </w:r>
            <w:r w:rsidRPr="4F9BDBF9">
              <w:rPr>
                <w:rFonts w:eastAsiaTheme="minorEastAsia"/>
                <w:sz w:val="24"/>
                <w:szCs w:val="24"/>
                <w:lang w:eastAsia="sk-SK"/>
              </w:rPr>
              <w:t xml:space="preserve"> </w:t>
            </w:r>
          </w:p>
        </w:tc>
        <w:tc>
          <w:tcPr>
            <w:tcW w:w="1246" w:type="dxa"/>
            <w:shd w:val="clear" w:color="auto" w:fill="EFEFEF"/>
            <w:noWrap/>
            <w:vAlign w:val="center"/>
            <w:hideMark/>
          </w:tcPr>
          <w:p w14:paraId="518F412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6 416 287,19</w:t>
            </w:r>
            <w:r w:rsidRPr="4F9BDBF9">
              <w:rPr>
                <w:rFonts w:eastAsiaTheme="minorEastAsia"/>
                <w:sz w:val="24"/>
                <w:szCs w:val="24"/>
                <w:lang w:eastAsia="sk-SK"/>
              </w:rPr>
              <w:t xml:space="preserve"> </w:t>
            </w:r>
          </w:p>
        </w:tc>
        <w:tc>
          <w:tcPr>
            <w:tcW w:w="962" w:type="dxa"/>
            <w:shd w:val="clear" w:color="auto" w:fill="EFEFEF"/>
            <w:noWrap/>
            <w:vAlign w:val="center"/>
            <w:hideMark/>
          </w:tcPr>
          <w:p w14:paraId="7FC35B7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82,15</w:t>
            </w:r>
            <w:r w:rsidRPr="4F9BDBF9">
              <w:rPr>
                <w:rFonts w:eastAsiaTheme="minorEastAsia"/>
                <w:sz w:val="24"/>
                <w:szCs w:val="24"/>
                <w:lang w:eastAsia="sk-SK"/>
              </w:rPr>
              <w:t xml:space="preserve"> </w:t>
            </w:r>
          </w:p>
        </w:tc>
        <w:tc>
          <w:tcPr>
            <w:tcW w:w="2766" w:type="dxa"/>
            <w:vMerge/>
            <w:vAlign w:val="center"/>
            <w:hideMark/>
          </w:tcPr>
          <w:p w14:paraId="0497FBEF" w14:textId="77777777" w:rsidR="00875772" w:rsidRPr="00116D4B" w:rsidRDefault="00875772" w:rsidP="00875772">
            <w:pPr>
              <w:spacing w:after="0" w:line="240" w:lineRule="auto"/>
              <w:rPr>
                <w:rFonts w:ascii="Times New Roman" w:hAnsi="Times New Roman"/>
                <w:sz w:val="24"/>
                <w:szCs w:val="24"/>
                <w:lang w:eastAsia="sk-SK"/>
              </w:rPr>
            </w:pPr>
          </w:p>
        </w:tc>
      </w:tr>
    </w:tbl>
    <w:p w14:paraId="44D9584C"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1075"/>
        <w:gridCol w:w="1931"/>
        <w:gridCol w:w="1388"/>
        <w:gridCol w:w="4159"/>
      </w:tblGrid>
      <w:tr w:rsidR="00875772" w:rsidRPr="00116D4B" w14:paraId="4995F915" w14:textId="77777777" w:rsidTr="00875772">
        <w:trPr>
          <w:tblCellSpacing w:w="15" w:type="dxa"/>
        </w:trPr>
        <w:tc>
          <w:tcPr>
            <w:tcW w:w="0" w:type="auto"/>
            <w:shd w:val="clear" w:color="auto" w:fill="C2D69B"/>
            <w:vAlign w:val="center"/>
            <w:hideMark/>
          </w:tcPr>
          <w:p w14:paraId="611D449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3ADCF45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Oddelenie sociálnej pomoci</w:t>
            </w:r>
            <w:r w:rsidRPr="4F9BDBF9">
              <w:rPr>
                <w:rFonts w:eastAsiaTheme="minorEastAsia"/>
                <w:sz w:val="24"/>
                <w:szCs w:val="24"/>
                <w:lang w:eastAsia="sk-SK"/>
              </w:rPr>
              <w:t xml:space="preserve"> </w:t>
            </w:r>
          </w:p>
        </w:tc>
      </w:tr>
      <w:tr w:rsidR="00875772" w:rsidRPr="00116D4B" w14:paraId="6081AF92" w14:textId="77777777" w:rsidTr="00875772">
        <w:trPr>
          <w:tblCellSpacing w:w="15" w:type="dxa"/>
        </w:trPr>
        <w:tc>
          <w:tcPr>
            <w:tcW w:w="0" w:type="auto"/>
            <w:shd w:val="clear" w:color="auto" w:fill="C2D69B"/>
            <w:vAlign w:val="center"/>
            <w:hideMark/>
          </w:tcPr>
          <w:p w14:paraId="198167C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1478272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xml:space="preserve">Zabezpečiť adresnú finančnú podporu pre neverejných poskytovateľov sociálnych služieb, ktorých BSK požiada o zabezpečenie poskytovania sociálnych služieb. </w:t>
            </w:r>
          </w:p>
        </w:tc>
      </w:tr>
      <w:tr w:rsidR="00875772" w:rsidRPr="00116D4B" w14:paraId="61CABCE8" w14:textId="77777777" w:rsidTr="00875772">
        <w:trPr>
          <w:tblCellSpacing w:w="15" w:type="dxa"/>
        </w:trPr>
        <w:tc>
          <w:tcPr>
            <w:tcW w:w="0" w:type="auto"/>
            <w:shd w:val="clear" w:color="auto" w:fill="C2D69B"/>
            <w:vAlign w:val="center"/>
            <w:hideMark/>
          </w:tcPr>
          <w:p w14:paraId="6A394FA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lastRenderedPageBreak/>
              <w:t>Merateľný ukazovateľ</w:t>
            </w:r>
          </w:p>
        </w:tc>
        <w:tc>
          <w:tcPr>
            <w:tcW w:w="0" w:type="auto"/>
            <w:gridSpan w:val="4"/>
            <w:shd w:val="clear" w:color="auto" w:fill="C2D69B"/>
            <w:vAlign w:val="center"/>
            <w:hideMark/>
          </w:tcPr>
          <w:p w14:paraId="33B27F4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xml:space="preserve">Počet </w:t>
            </w:r>
            <w:proofErr w:type="spellStart"/>
            <w:r w:rsidRPr="4F9BDBF9">
              <w:rPr>
                <w:rFonts w:eastAsiaTheme="minorEastAsia"/>
                <w:sz w:val="20"/>
                <w:szCs w:val="20"/>
                <w:lang w:eastAsia="sk-SK"/>
              </w:rPr>
              <w:t>zazmluvnených</w:t>
            </w:r>
            <w:proofErr w:type="spellEnd"/>
            <w:r w:rsidRPr="4F9BDBF9">
              <w:rPr>
                <w:rFonts w:eastAsiaTheme="minorEastAsia"/>
                <w:sz w:val="20"/>
                <w:szCs w:val="20"/>
                <w:lang w:eastAsia="sk-SK"/>
              </w:rPr>
              <w:t xml:space="preserve"> miest pre prijímateľov sociálnych služieb, na ktorých Bratislavský samosprávny kraj poskytol finančný príspevok</w:t>
            </w:r>
            <w:r w:rsidRPr="4F9BDBF9">
              <w:rPr>
                <w:rFonts w:eastAsiaTheme="minorEastAsia"/>
                <w:sz w:val="24"/>
                <w:szCs w:val="24"/>
                <w:lang w:eastAsia="sk-SK"/>
              </w:rPr>
              <w:t xml:space="preserve"> </w:t>
            </w:r>
          </w:p>
        </w:tc>
      </w:tr>
      <w:tr w:rsidR="00875772" w:rsidRPr="00116D4B" w14:paraId="30B92214" w14:textId="77777777" w:rsidTr="00875772">
        <w:trPr>
          <w:tblCellSpacing w:w="15" w:type="dxa"/>
        </w:trPr>
        <w:tc>
          <w:tcPr>
            <w:tcW w:w="0" w:type="auto"/>
            <w:shd w:val="clear" w:color="auto" w:fill="C2D69B"/>
            <w:vAlign w:val="center"/>
            <w:hideMark/>
          </w:tcPr>
          <w:p w14:paraId="39BE0DD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4B269B3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231E901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668976E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42A4360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3E11CB2B" w14:textId="77777777" w:rsidTr="00875772">
        <w:trPr>
          <w:tblCellSpacing w:w="15" w:type="dxa"/>
        </w:trPr>
        <w:tc>
          <w:tcPr>
            <w:tcW w:w="0" w:type="auto"/>
            <w:shd w:val="clear" w:color="auto" w:fill="C2D69B"/>
            <w:vAlign w:val="center"/>
            <w:hideMark/>
          </w:tcPr>
          <w:p w14:paraId="495D1EF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1479274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1 450</w:t>
            </w:r>
            <w:r w:rsidRPr="4F9BDBF9">
              <w:rPr>
                <w:rFonts w:eastAsiaTheme="minorEastAsia"/>
                <w:sz w:val="24"/>
                <w:szCs w:val="24"/>
                <w:lang w:eastAsia="sk-SK"/>
              </w:rPr>
              <w:t xml:space="preserve"> </w:t>
            </w:r>
          </w:p>
        </w:tc>
        <w:tc>
          <w:tcPr>
            <w:tcW w:w="0" w:type="auto"/>
            <w:shd w:val="clear" w:color="auto" w:fill="C2D69B"/>
            <w:noWrap/>
            <w:vAlign w:val="center"/>
            <w:hideMark/>
          </w:tcPr>
          <w:p w14:paraId="06E4577D"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1 502.5</w:t>
            </w:r>
            <w:r w:rsidRPr="3E14EAE1">
              <w:rPr>
                <w:rFonts w:eastAsiaTheme="minorEastAsia"/>
                <w:sz w:val="24"/>
                <w:szCs w:val="24"/>
                <w:lang w:eastAsia="sk-SK"/>
              </w:rPr>
              <w:t xml:space="preserve"> </w:t>
            </w:r>
          </w:p>
        </w:tc>
        <w:tc>
          <w:tcPr>
            <w:tcW w:w="0" w:type="auto"/>
            <w:shd w:val="clear" w:color="auto" w:fill="C2D69B"/>
            <w:vAlign w:val="center"/>
            <w:hideMark/>
          </w:tcPr>
          <w:p w14:paraId="00FD0C9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Splnené</w:t>
            </w:r>
            <w:r w:rsidRPr="4F9BDBF9">
              <w:rPr>
                <w:rFonts w:eastAsiaTheme="minorEastAsia"/>
                <w:sz w:val="24"/>
                <w:szCs w:val="24"/>
                <w:lang w:eastAsia="sk-SK"/>
              </w:rPr>
              <w:t xml:space="preserve"> </w:t>
            </w:r>
          </w:p>
        </w:tc>
        <w:tc>
          <w:tcPr>
            <w:tcW w:w="0" w:type="auto"/>
            <w:shd w:val="clear" w:color="auto" w:fill="C2D69B"/>
            <w:vAlign w:val="center"/>
            <w:hideMark/>
          </w:tcPr>
          <w:p w14:paraId="06D8967C" w14:textId="77777777" w:rsidR="00875772" w:rsidRPr="00116D4B" w:rsidRDefault="00875772" w:rsidP="00875772">
            <w:pPr>
              <w:spacing w:after="0" w:line="240" w:lineRule="auto"/>
              <w:jc w:val="center"/>
              <w:rPr>
                <w:rFonts w:eastAsiaTheme="minorEastAsia"/>
                <w:sz w:val="24"/>
                <w:szCs w:val="24"/>
                <w:lang w:eastAsia="sk-SK"/>
              </w:rPr>
            </w:pPr>
          </w:p>
        </w:tc>
      </w:tr>
    </w:tbl>
    <w:p w14:paraId="4BAC17D6" w14:textId="6BAD42EA" w:rsidR="00875772" w:rsidRDefault="00875772" w:rsidP="00875772">
      <w:pPr>
        <w:spacing w:before="100" w:beforeAutospacing="1" w:after="100" w:afterAutospacing="1" w:line="240" w:lineRule="auto"/>
        <w:rPr>
          <w:rFonts w:eastAsiaTheme="minorEastAsia"/>
          <w:lang w:eastAsia="sk-SK"/>
        </w:rPr>
      </w:pPr>
      <w:r w:rsidRPr="4F9BDBF9">
        <w:rPr>
          <w:rFonts w:eastAsiaTheme="minorEastAsia"/>
          <w:b/>
          <w:bCs/>
          <w:lang w:eastAsia="sk-SK"/>
        </w:rPr>
        <w:t xml:space="preserve">Komentár: </w:t>
      </w:r>
      <w:r w:rsidRPr="4F9BDBF9">
        <w:rPr>
          <w:rFonts w:eastAsiaTheme="minorEastAsia"/>
          <w:lang w:eastAsia="sk-SK"/>
        </w:rPr>
        <w:t>V zmysle zákona o sociálnych službách BSK poskytne neverejnému poskytovateľovi sociálnych služieb, ktorý neposkytuje sociálnu službu s cieľom dosiahnuť zisk a ak o poskytovanie sociálnej služby BSK neverejného poskytovateľa sociálnej služby požiadal:</w:t>
      </w:r>
      <w:r>
        <w:rPr>
          <w:rFonts w:eastAsiaTheme="minorEastAsia"/>
          <w:lang w:eastAsia="sk-SK"/>
        </w:rPr>
        <w:br/>
      </w:r>
      <w:r>
        <w:br/>
      </w:r>
      <w:r w:rsidRPr="4F9BDBF9">
        <w:rPr>
          <w:rFonts w:eastAsiaTheme="minorEastAsia"/>
          <w:lang w:eastAsia="sk-SK"/>
        </w:rPr>
        <w:t>• finančný príspevok na prevádzku,</w:t>
      </w:r>
      <w:r>
        <w:rPr>
          <w:rFonts w:eastAsiaTheme="minorEastAsia"/>
          <w:lang w:eastAsia="sk-SK"/>
        </w:rPr>
        <w:br/>
      </w:r>
      <w:r w:rsidRPr="4F9BDBF9">
        <w:rPr>
          <w:rFonts w:eastAsiaTheme="minorEastAsia"/>
          <w:lang w:eastAsia="sk-SK"/>
        </w:rPr>
        <w:t>• môže poskytnúť aj finančný príspevok na poskytovanie sociálnej služby v zariadeniach podmienených</w:t>
      </w:r>
      <w:r>
        <w:rPr>
          <w:rFonts w:eastAsiaTheme="minorEastAsia"/>
          <w:lang w:eastAsia="sk-SK"/>
        </w:rPr>
        <w:t xml:space="preserve"> </w:t>
      </w:r>
      <w:r w:rsidRPr="4F9BDBF9">
        <w:rPr>
          <w:rFonts w:eastAsiaTheme="minorEastAsia"/>
          <w:lang w:eastAsia="sk-SK"/>
        </w:rPr>
        <w:t xml:space="preserve">odkázanosťou. </w:t>
      </w:r>
    </w:p>
    <w:p w14:paraId="241B3B6B" w14:textId="70ED0284" w:rsidR="00875772" w:rsidRPr="00AC4635" w:rsidRDefault="00875772" w:rsidP="00875772">
      <w:pPr>
        <w:spacing w:after="0" w:line="240" w:lineRule="auto"/>
        <w:jc w:val="both"/>
        <w:rPr>
          <w:color w:val="000000"/>
          <w:sz w:val="20"/>
          <w:szCs w:val="20"/>
          <w:lang w:eastAsia="sk-SK"/>
        </w:rPr>
      </w:pPr>
      <w:r w:rsidRPr="00AC4635">
        <w:rPr>
          <w:rFonts w:cs="ArialNarrow"/>
          <w:b/>
          <w:bCs/>
          <w:sz w:val="20"/>
          <w:szCs w:val="20"/>
        </w:rPr>
        <w:t xml:space="preserve">Príspevky neverejným poskytovateľom poskytujúcim sociálne služby v roku 2020 v zmysle VZN BSK </w:t>
      </w:r>
      <w:r w:rsidRPr="00AC4635">
        <w:rPr>
          <w:rFonts w:cs="ArialNarrow"/>
          <w:b/>
          <w:bCs/>
          <w:sz w:val="20"/>
          <w:szCs w:val="20"/>
        </w:rPr>
        <w:br/>
        <w:t xml:space="preserve">č. 1/2018 zo dňa 26.01.2018 o bližších podmienkach poskytovania finančného príspevku neverejným poskytovateľom poskytujúcim sociálne služby v súlade so </w:t>
      </w:r>
      <w:r w:rsidRPr="00AC4635">
        <w:rPr>
          <w:b/>
          <w:bCs/>
          <w:color w:val="000000"/>
          <w:sz w:val="20"/>
          <w:szCs w:val="20"/>
        </w:rPr>
        <w:t xml:space="preserve">zákonom č. 448/2008 </w:t>
      </w:r>
      <w:proofErr w:type="spellStart"/>
      <w:r w:rsidRPr="00AC4635">
        <w:rPr>
          <w:b/>
          <w:bCs/>
          <w:color w:val="000000"/>
          <w:sz w:val="20"/>
          <w:szCs w:val="20"/>
        </w:rPr>
        <w:t>Z.z</w:t>
      </w:r>
      <w:proofErr w:type="spellEnd"/>
      <w:r w:rsidRPr="00AC4635">
        <w:rPr>
          <w:b/>
          <w:bCs/>
          <w:color w:val="000000"/>
          <w:sz w:val="20"/>
          <w:szCs w:val="20"/>
        </w:rPr>
        <w:t xml:space="preserve">. o sociálnych službách a o zmene a doplnení zákona </w:t>
      </w:r>
      <w:r>
        <w:rPr>
          <w:b/>
          <w:bCs/>
          <w:color w:val="000000"/>
          <w:sz w:val="20"/>
          <w:szCs w:val="20"/>
        </w:rPr>
        <w:br/>
      </w:r>
      <w:r w:rsidRPr="00AC4635">
        <w:rPr>
          <w:b/>
          <w:bCs/>
          <w:color w:val="000000"/>
          <w:sz w:val="20"/>
          <w:szCs w:val="20"/>
        </w:rPr>
        <w:t>č. 455/1991 Zb. o živnostenskom podnikaní (živnostenský zákon) v znení neskorších predpisov</w:t>
      </w:r>
      <w:r w:rsidRPr="00AC4635">
        <w:rPr>
          <w:b/>
          <w:bCs/>
          <w:color w:val="000000"/>
          <w:sz w:val="20"/>
          <w:szCs w:val="20"/>
          <w:lang w:eastAsia="sk-SK"/>
        </w:rPr>
        <w:t xml:space="preserve"> </w:t>
      </w:r>
      <w:r w:rsidRPr="00AC4635">
        <w:rPr>
          <w:rFonts w:cs="ArialNarrow"/>
          <w:b/>
          <w:bCs/>
          <w:sz w:val="20"/>
          <w:szCs w:val="20"/>
        </w:rPr>
        <w:t>:</w:t>
      </w:r>
    </w:p>
    <w:tbl>
      <w:tblPr>
        <w:tblW w:w="5000" w:type="pct"/>
        <w:tblCellMar>
          <w:left w:w="70" w:type="dxa"/>
          <w:right w:w="70" w:type="dxa"/>
        </w:tblCellMar>
        <w:tblLook w:val="04A0" w:firstRow="1" w:lastRow="0" w:firstColumn="1" w:lastColumn="0" w:noHBand="0" w:noVBand="1"/>
      </w:tblPr>
      <w:tblGrid>
        <w:gridCol w:w="8366"/>
        <w:gridCol w:w="60"/>
        <w:gridCol w:w="652"/>
        <w:gridCol w:w="1388"/>
      </w:tblGrid>
      <w:tr w:rsidR="00875772" w:rsidRPr="00544A2F" w14:paraId="173E564D" w14:textId="77777777" w:rsidTr="00875772">
        <w:trPr>
          <w:trHeight w:val="765"/>
          <w:tblHeader/>
        </w:trPr>
        <w:tc>
          <w:tcPr>
            <w:tcW w:w="3996" w:type="pct"/>
            <w:tcBorders>
              <w:top w:val="nil"/>
              <w:left w:val="nil"/>
              <w:bottom w:val="nil"/>
              <w:right w:val="nil"/>
            </w:tcBorders>
            <w:shd w:val="clear" w:color="000000" w:fill="C6DBF7"/>
            <w:noWrap/>
            <w:vAlign w:val="center"/>
            <w:hideMark/>
          </w:tcPr>
          <w:p w14:paraId="43C34712" w14:textId="77777777" w:rsidR="00875772" w:rsidRPr="00544A2F" w:rsidRDefault="00875772" w:rsidP="00875772">
            <w:pPr>
              <w:spacing w:after="0" w:line="240" w:lineRule="auto"/>
              <w:rPr>
                <w:rFonts w:cstheme="minorHAnsi"/>
                <w:b/>
                <w:bCs/>
                <w:color w:val="000000"/>
                <w:sz w:val="20"/>
                <w:szCs w:val="20"/>
                <w:lang w:eastAsia="sk-SK"/>
              </w:rPr>
            </w:pPr>
            <w:r w:rsidRPr="00544A2F">
              <w:rPr>
                <w:rFonts w:cstheme="minorHAnsi"/>
                <w:b/>
                <w:bCs/>
                <w:color w:val="000000"/>
                <w:sz w:val="20"/>
                <w:szCs w:val="20"/>
                <w:lang w:eastAsia="sk-SK"/>
              </w:rPr>
              <w:t>Prehľad poskytnutých finančných príspevkov subjektom, ktoré poskytujú sociálne služby:</w:t>
            </w:r>
          </w:p>
        </w:tc>
        <w:tc>
          <w:tcPr>
            <w:tcW w:w="1004" w:type="pct"/>
            <w:gridSpan w:val="3"/>
            <w:tcBorders>
              <w:top w:val="nil"/>
              <w:left w:val="nil"/>
              <w:bottom w:val="nil"/>
              <w:right w:val="nil"/>
            </w:tcBorders>
            <w:shd w:val="clear" w:color="000000" w:fill="C6DBF7"/>
            <w:vAlign w:val="center"/>
            <w:hideMark/>
          </w:tcPr>
          <w:p w14:paraId="358A5727" w14:textId="77777777" w:rsidR="00875772" w:rsidRPr="00544A2F" w:rsidRDefault="00875772" w:rsidP="00875772">
            <w:pPr>
              <w:spacing w:after="0" w:line="240" w:lineRule="auto"/>
              <w:jc w:val="center"/>
              <w:rPr>
                <w:rFonts w:cstheme="minorHAnsi"/>
                <w:b/>
                <w:bCs/>
                <w:color w:val="000000"/>
                <w:sz w:val="20"/>
                <w:szCs w:val="20"/>
                <w:lang w:eastAsia="sk-SK"/>
              </w:rPr>
            </w:pPr>
            <w:r w:rsidRPr="00544A2F">
              <w:rPr>
                <w:rFonts w:cstheme="minorHAnsi"/>
                <w:b/>
                <w:bCs/>
                <w:color w:val="000000"/>
                <w:sz w:val="20"/>
                <w:szCs w:val="20"/>
                <w:lang w:eastAsia="sk-SK"/>
              </w:rPr>
              <w:t>Čerpaný</w:t>
            </w:r>
            <w:r>
              <w:rPr>
                <w:rFonts w:cstheme="minorHAnsi"/>
                <w:b/>
                <w:bCs/>
                <w:color w:val="000000"/>
                <w:sz w:val="20"/>
                <w:szCs w:val="20"/>
                <w:lang w:eastAsia="sk-SK"/>
              </w:rPr>
              <w:t xml:space="preserve"> </w:t>
            </w:r>
            <w:r w:rsidRPr="00544A2F">
              <w:rPr>
                <w:rFonts w:cstheme="minorHAnsi"/>
                <w:b/>
                <w:bCs/>
                <w:color w:val="000000"/>
                <w:sz w:val="20"/>
                <w:szCs w:val="20"/>
                <w:lang w:eastAsia="sk-SK"/>
              </w:rPr>
              <w:t>príspevok k 31.12.2020</w:t>
            </w:r>
          </w:p>
        </w:tc>
      </w:tr>
      <w:tr w:rsidR="00875772" w:rsidRPr="00544A2F" w14:paraId="202B25C9" w14:textId="77777777" w:rsidTr="00875772">
        <w:trPr>
          <w:trHeight w:val="300"/>
          <w:tblHeader/>
        </w:trPr>
        <w:tc>
          <w:tcPr>
            <w:tcW w:w="4337" w:type="pct"/>
            <w:gridSpan w:val="3"/>
            <w:tcBorders>
              <w:top w:val="nil"/>
              <w:left w:val="nil"/>
              <w:bottom w:val="nil"/>
              <w:right w:val="nil"/>
            </w:tcBorders>
            <w:shd w:val="clear" w:color="000000" w:fill="D9D9D9"/>
            <w:noWrap/>
            <w:vAlign w:val="center"/>
            <w:hideMark/>
          </w:tcPr>
          <w:p w14:paraId="4D81875D" w14:textId="77777777" w:rsidR="00875772" w:rsidRPr="00544A2F" w:rsidRDefault="00875772" w:rsidP="00875772">
            <w:pPr>
              <w:spacing w:after="0" w:line="240" w:lineRule="auto"/>
              <w:rPr>
                <w:rFonts w:cstheme="minorHAnsi"/>
                <w:b/>
                <w:bCs/>
                <w:color w:val="000000"/>
                <w:lang w:eastAsia="sk-SK"/>
              </w:rPr>
            </w:pPr>
            <w:r w:rsidRPr="00544A2F">
              <w:rPr>
                <w:rFonts w:cstheme="minorHAnsi"/>
                <w:b/>
                <w:bCs/>
                <w:color w:val="000000"/>
                <w:lang w:eastAsia="sk-SK"/>
              </w:rPr>
              <w:t>Prvok 11.4.1: Sociálne služby</w:t>
            </w:r>
          </w:p>
        </w:tc>
        <w:tc>
          <w:tcPr>
            <w:tcW w:w="663" w:type="pct"/>
            <w:tcBorders>
              <w:top w:val="nil"/>
              <w:left w:val="nil"/>
              <w:bottom w:val="nil"/>
              <w:right w:val="nil"/>
            </w:tcBorders>
            <w:shd w:val="clear" w:color="000000" w:fill="D9D9D9"/>
            <w:noWrap/>
            <w:vAlign w:val="center"/>
            <w:hideMark/>
          </w:tcPr>
          <w:p w14:paraId="7D32C7E2" w14:textId="77777777" w:rsidR="00875772" w:rsidRPr="00544A2F" w:rsidRDefault="00875772" w:rsidP="00875772">
            <w:pPr>
              <w:spacing w:after="0" w:line="240" w:lineRule="auto"/>
              <w:jc w:val="right"/>
              <w:rPr>
                <w:rFonts w:cstheme="minorHAnsi"/>
                <w:b/>
                <w:bCs/>
                <w:color w:val="000000"/>
                <w:lang w:eastAsia="sk-SK"/>
              </w:rPr>
            </w:pPr>
            <w:r w:rsidRPr="00544A2F">
              <w:rPr>
                <w:rFonts w:cstheme="minorHAnsi"/>
                <w:b/>
                <w:bCs/>
                <w:color w:val="000000"/>
                <w:lang w:eastAsia="sk-SK"/>
              </w:rPr>
              <w:t>6 416 287,19</w:t>
            </w:r>
          </w:p>
        </w:tc>
      </w:tr>
      <w:tr w:rsidR="00875772" w:rsidRPr="00544A2F" w14:paraId="4791409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2554D16"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"DOMUM" Zariadenie sociálnych služieb Krškany</w:t>
            </w:r>
          </w:p>
        </w:tc>
        <w:tc>
          <w:tcPr>
            <w:tcW w:w="975" w:type="pct"/>
            <w:gridSpan w:val="2"/>
            <w:tcBorders>
              <w:top w:val="nil"/>
              <w:left w:val="nil"/>
              <w:bottom w:val="single" w:sz="12" w:space="0" w:color="FFFFFF"/>
              <w:right w:val="single" w:sz="12" w:space="0" w:color="FFFFFF"/>
            </w:tcBorders>
            <w:shd w:val="clear" w:color="000000" w:fill="F2F2F2"/>
            <w:noWrap/>
            <w:hideMark/>
          </w:tcPr>
          <w:p w14:paraId="0D7B2042"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8 151,24 </w:t>
            </w:r>
          </w:p>
        </w:tc>
      </w:tr>
      <w:tr w:rsidR="00875772" w:rsidRPr="00544A2F" w14:paraId="6650299A"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A67DF09"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"DUNAJ", ZSS Kováčov</w:t>
            </w:r>
          </w:p>
        </w:tc>
        <w:tc>
          <w:tcPr>
            <w:tcW w:w="975" w:type="pct"/>
            <w:gridSpan w:val="2"/>
            <w:tcBorders>
              <w:top w:val="nil"/>
              <w:left w:val="nil"/>
              <w:bottom w:val="single" w:sz="12" w:space="0" w:color="FFFFFF"/>
              <w:right w:val="single" w:sz="12" w:space="0" w:color="FFFFFF"/>
            </w:tcBorders>
            <w:shd w:val="clear" w:color="000000" w:fill="F2F2F2"/>
            <w:noWrap/>
            <w:hideMark/>
          </w:tcPr>
          <w:p w14:paraId="6DE4319C"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2 618,11 </w:t>
            </w:r>
          </w:p>
        </w:tc>
      </w:tr>
      <w:tr w:rsidR="00875772" w:rsidRPr="00544A2F" w14:paraId="69C41932"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C58E392"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"HARLEKÝN", ZSS Topoľčany</w:t>
            </w:r>
          </w:p>
        </w:tc>
        <w:tc>
          <w:tcPr>
            <w:tcW w:w="975" w:type="pct"/>
            <w:gridSpan w:val="2"/>
            <w:tcBorders>
              <w:top w:val="nil"/>
              <w:left w:val="nil"/>
              <w:bottom w:val="single" w:sz="12" w:space="0" w:color="FFFFFF"/>
              <w:right w:val="single" w:sz="12" w:space="0" w:color="FFFFFF"/>
            </w:tcBorders>
            <w:shd w:val="clear" w:color="000000" w:fill="F2F2F2"/>
            <w:noWrap/>
            <w:hideMark/>
          </w:tcPr>
          <w:p w14:paraId="691F1DB8"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17 990,40 </w:t>
            </w:r>
          </w:p>
        </w:tc>
      </w:tr>
      <w:tr w:rsidR="00875772" w:rsidRPr="00544A2F" w14:paraId="4D7B4021"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3078EF3"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 xml:space="preserve">"MÔJ DOMOV" Zariadenie sociálnych služieb Topoľčany </w:t>
            </w:r>
          </w:p>
        </w:tc>
        <w:tc>
          <w:tcPr>
            <w:tcW w:w="975" w:type="pct"/>
            <w:gridSpan w:val="2"/>
            <w:tcBorders>
              <w:top w:val="nil"/>
              <w:left w:val="nil"/>
              <w:bottom w:val="single" w:sz="12" w:space="0" w:color="FFFFFF"/>
              <w:right w:val="single" w:sz="12" w:space="0" w:color="FFFFFF"/>
            </w:tcBorders>
            <w:shd w:val="clear" w:color="000000" w:fill="F2F2F2"/>
            <w:noWrap/>
            <w:hideMark/>
          </w:tcPr>
          <w:p w14:paraId="7403B67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47 512,29 </w:t>
            </w:r>
          </w:p>
        </w:tc>
      </w:tr>
      <w:tr w:rsidR="00875772" w:rsidRPr="00544A2F" w14:paraId="1077D355"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0C5810A0"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 xml:space="preserve">Ad </w:t>
            </w:r>
            <w:proofErr w:type="spellStart"/>
            <w:r w:rsidRPr="00544A2F">
              <w:rPr>
                <w:rFonts w:cstheme="minorHAnsi"/>
                <w:color w:val="000000"/>
                <w:sz w:val="20"/>
                <w:szCs w:val="20"/>
              </w:rPr>
              <w:t>usum</w:t>
            </w:r>
            <w:proofErr w:type="spellEnd"/>
            <w:r w:rsidRPr="00544A2F">
              <w:rPr>
                <w:rFonts w:cstheme="minorHAnsi"/>
                <w:color w:val="000000"/>
                <w:sz w:val="20"/>
                <w:szCs w:val="20"/>
              </w:rPr>
              <w:t>, n. o.</w:t>
            </w:r>
          </w:p>
        </w:tc>
        <w:tc>
          <w:tcPr>
            <w:tcW w:w="975" w:type="pct"/>
            <w:gridSpan w:val="2"/>
            <w:tcBorders>
              <w:top w:val="nil"/>
              <w:left w:val="nil"/>
              <w:bottom w:val="single" w:sz="12" w:space="0" w:color="FFFFFF"/>
              <w:right w:val="single" w:sz="12" w:space="0" w:color="FFFFFF"/>
            </w:tcBorders>
            <w:shd w:val="clear" w:color="000000" w:fill="F2F2F2"/>
            <w:noWrap/>
            <w:hideMark/>
          </w:tcPr>
          <w:p w14:paraId="29828D6A"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7 143,96 </w:t>
            </w:r>
          </w:p>
        </w:tc>
      </w:tr>
      <w:tr w:rsidR="00875772" w:rsidRPr="00544A2F" w14:paraId="6B37524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5FF323B7"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ADVENTUS, n. o.</w:t>
            </w:r>
          </w:p>
        </w:tc>
        <w:tc>
          <w:tcPr>
            <w:tcW w:w="975" w:type="pct"/>
            <w:gridSpan w:val="2"/>
            <w:tcBorders>
              <w:top w:val="nil"/>
              <w:left w:val="nil"/>
              <w:bottom w:val="single" w:sz="12" w:space="0" w:color="FFFFFF"/>
              <w:right w:val="single" w:sz="12" w:space="0" w:color="FFFFFF"/>
            </w:tcBorders>
            <w:shd w:val="clear" w:color="000000" w:fill="F2F2F2"/>
            <w:noWrap/>
            <w:hideMark/>
          </w:tcPr>
          <w:p w14:paraId="0DAE1A65"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58 324,42 </w:t>
            </w:r>
          </w:p>
        </w:tc>
      </w:tr>
      <w:tr w:rsidR="00875772" w:rsidRPr="00544A2F" w14:paraId="5B5567AF"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445C79D6"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AIRA, n. o</w:t>
            </w:r>
          </w:p>
        </w:tc>
        <w:tc>
          <w:tcPr>
            <w:tcW w:w="975" w:type="pct"/>
            <w:gridSpan w:val="2"/>
            <w:tcBorders>
              <w:top w:val="nil"/>
              <w:left w:val="nil"/>
              <w:bottom w:val="single" w:sz="12" w:space="0" w:color="FFFFFF"/>
              <w:right w:val="single" w:sz="12" w:space="0" w:color="FFFFFF"/>
            </w:tcBorders>
            <w:shd w:val="clear" w:color="000000" w:fill="F2F2F2"/>
            <w:noWrap/>
            <w:hideMark/>
          </w:tcPr>
          <w:p w14:paraId="2ABACCF4"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6 562,80 </w:t>
            </w:r>
          </w:p>
        </w:tc>
      </w:tr>
      <w:tr w:rsidR="00875772" w:rsidRPr="00544A2F" w14:paraId="3FC530D1"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76778381"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ALZHEIMERCENTRUM Piešťany</w:t>
            </w:r>
          </w:p>
        </w:tc>
        <w:tc>
          <w:tcPr>
            <w:tcW w:w="975" w:type="pct"/>
            <w:gridSpan w:val="2"/>
            <w:tcBorders>
              <w:top w:val="nil"/>
              <w:left w:val="nil"/>
              <w:bottom w:val="single" w:sz="12" w:space="0" w:color="FFFFFF"/>
              <w:right w:val="single" w:sz="12" w:space="0" w:color="FFFFFF"/>
            </w:tcBorders>
            <w:shd w:val="clear" w:color="000000" w:fill="F2F2F2"/>
            <w:noWrap/>
            <w:hideMark/>
          </w:tcPr>
          <w:p w14:paraId="61FCF162"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64 163,80 </w:t>
            </w:r>
          </w:p>
        </w:tc>
      </w:tr>
      <w:tr w:rsidR="00875772" w:rsidRPr="00544A2F" w14:paraId="62A03B2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0AEE9134" w14:textId="77777777" w:rsidR="00875772" w:rsidRPr="00544A2F" w:rsidRDefault="00875772" w:rsidP="00875772">
            <w:pPr>
              <w:spacing w:after="0" w:line="240" w:lineRule="auto"/>
              <w:rPr>
                <w:rFonts w:cstheme="minorHAnsi"/>
                <w:color w:val="000000"/>
                <w:sz w:val="20"/>
                <w:szCs w:val="20"/>
                <w:lang w:eastAsia="sk-SK"/>
              </w:rPr>
            </w:pPr>
            <w:proofErr w:type="spellStart"/>
            <w:r w:rsidRPr="00544A2F">
              <w:rPr>
                <w:rFonts w:cstheme="minorHAnsi"/>
                <w:color w:val="000000"/>
                <w:sz w:val="20"/>
                <w:szCs w:val="20"/>
              </w:rPr>
              <w:t>Betánia</w:t>
            </w:r>
            <w:proofErr w:type="spellEnd"/>
            <w:r w:rsidRPr="00544A2F">
              <w:rPr>
                <w:rFonts w:cstheme="minorHAnsi"/>
                <w:color w:val="000000"/>
                <w:sz w:val="20"/>
                <w:szCs w:val="20"/>
              </w:rPr>
              <w:t xml:space="preserve"> Bratislava, n. o.</w:t>
            </w:r>
          </w:p>
        </w:tc>
        <w:tc>
          <w:tcPr>
            <w:tcW w:w="975" w:type="pct"/>
            <w:gridSpan w:val="2"/>
            <w:tcBorders>
              <w:top w:val="nil"/>
              <w:left w:val="nil"/>
              <w:bottom w:val="single" w:sz="12" w:space="0" w:color="FFFFFF"/>
              <w:right w:val="single" w:sz="12" w:space="0" w:color="FFFFFF"/>
            </w:tcBorders>
            <w:shd w:val="clear" w:color="000000" w:fill="F2F2F2"/>
            <w:noWrap/>
            <w:hideMark/>
          </w:tcPr>
          <w:p w14:paraId="7D45321B"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147 117,94 </w:t>
            </w:r>
          </w:p>
        </w:tc>
      </w:tr>
      <w:tr w:rsidR="00875772" w:rsidRPr="00544A2F" w14:paraId="798B3FA5"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80B39D7" w14:textId="77777777" w:rsidR="00875772" w:rsidRPr="00544A2F" w:rsidRDefault="00875772" w:rsidP="00875772">
            <w:pPr>
              <w:spacing w:after="0" w:line="240" w:lineRule="auto"/>
              <w:rPr>
                <w:rFonts w:cstheme="minorHAnsi"/>
                <w:color w:val="000000"/>
                <w:sz w:val="20"/>
                <w:szCs w:val="20"/>
                <w:lang w:eastAsia="sk-SK"/>
              </w:rPr>
            </w:pPr>
            <w:proofErr w:type="spellStart"/>
            <w:r w:rsidRPr="00544A2F">
              <w:rPr>
                <w:rFonts w:cstheme="minorHAnsi"/>
                <w:color w:val="000000"/>
                <w:sz w:val="20"/>
                <w:szCs w:val="20"/>
              </w:rPr>
              <w:t>Betánia</w:t>
            </w:r>
            <w:proofErr w:type="spellEnd"/>
            <w:r w:rsidRPr="00544A2F">
              <w:rPr>
                <w:rFonts w:cstheme="minorHAnsi"/>
                <w:color w:val="000000"/>
                <w:sz w:val="20"/>
                <w:szCs w:val="20"/>
              </w:rPr>
              <w:t xml:space="preserve"> Senec, n. o.</w:t>
            </w:r>
          </w:p>
        </w:tc>
        <w:tc>
          <w:tcPr>
            <w:tcW w:w="975" w:type="pct"/>
            <w:gridSpan w:val="2"/>
            <w:tcBorders>
              <w:top w:val="nil"/>
              <w:left w:val="nil"/>
              <w:bottom w:val="single" w:sz="12" w:space="0" w:color="FFFFFF"/>
              <w:right w:val="single" w:sz="12" w:space="0" w:color="FFFFFF"/>
            </w:tcBorders>
            <w:shd w:val="clear" w:color="000000" w:fill="F2F2F2"/>
            <w:noWrap/>
            <w:hideMark/>
          </w:tcPr>
          <w:p w14:paraId="21B6B6B0"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90 631,53 </w:t>
            </w:r>
          </w:p>
        </w:tc>
      </w:tr>
      <w:tr w:rsidR="00875772" w:rsidRPr="00544A2F" w14:paraId="1981894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E15A89B"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Brána do života (domov na polceste)</w:t>
            </w:r>
          </w:p>
        </w:tc>
        <w:tc>
          <w:tcPr>
            <w:tcW w:w="975" w:type="pct"/>
            <w:gridSpan w:val="2"/>
            <w:tcBorders>
              <w:top w:val="nil"/>
              <w:left w:val="nil"/>
              <w:bottom w:val="single" w:sz="12" w:space="0" w:color="FFFFFF"/>
              <w:right w:val="single" w:sz="12" w:space="0" w:color="FFFFFF"/>
            </w:tcBorders>
            <w:shd w:val="clear" w:color="000000" w:fill="F2F2F2"/>
            <w:noWrap/>
            <w:hideMark/>
          </w:tcPr>
          <w:p w14:paraId="4FF2325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21 411,96 </w:t>
            </w:r>
          </w:p>
        </w:tc>
      </w:tr>
      <w:tr w:rsidR="00875772" w:rsidRPr="00544A2F" w14:paraId="2355E92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197C0438"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Brána do života (ZNB)</w:t>
            </w:r>
          </w:p>
        </w:tc>
        <w:tc>
          <w:tcPr>
            <w:tcW w:w="975" w:type="pct"/>
            <w:gridSpan w:val="2"/>
            <w:tcBorders>
              <w:top w:val="nil"/>
              <w:left w:val="nil"/>
              <w:bottom w:val="single" w:sz="12" w:space="0" w:color="FFFFFF"/>
              <w:right w:val="single" w:sz="12" w:space="0" w:color="FFFFFF"/>
            </w:tcBorders>
            <w:shd w:val="clear" w:color="000000" w:fill="F2F2F2"/>
            <w:noWrap/>
            <w:hideMark/>
          </w:tcPr>
          <w:p w14:paraId="45BA9E40"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220 735,44 </w:t>
            </w:r>
          </w:p>
        </w:tc>
      </w:tr>
      <w:tr w:rsidR="00875772" w:rsidRPr="00544A2F" w14:paraId="0DB0E7EB"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1DE1FDC"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Bratislavská arcidiecézna charita</w:t>
            </w:r>
          </w:p>
        </w:tc>
        <w:tc>
          <w:tcPr>
            <w:tcW w:w="975" w:type="pct"/>
            <w:gridSpan w:val="2"/>
            <w:tcBorders>
              <w:top w:val="nil"/>
              <w:left w:val="nil"/>
              <w:bottom w:val="single" w:sz="12" w:space="0" w:color="FFFFFF"/>
              <w:right w:val="single" w:sz="12" w:space="0" w:color="FFFFFF"/>
            </w:tcBorders>
            <w:shd w:val="clear" w:color="000000" w:fill="F2F2F2"/>
            <w:noWrap/>
            <w:hideMark/>
          </w:tcPr>
          <w:p w14:paraId="31791895"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29 169,00 </w:t>
            </w:r>
          </w:p>
        </w:tc>
      </w:tr>
      <w:tr w:rsidR="00875772" w:rsidRPr="00544A2F" w14:paraId="4F739EB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56BDE967" w14:textId="77777777" w:rsidR="00875772" w:rsidRPr="00544A2F" w:rsidRDefault="00875772" w:rsidP="00875772">
            <w:pPr>
              <w:spacing w:after="0" w:line="240" w:lineRule="auto"/>
              <w:rPr>
                <w:rFonts w:cstheme="minorHAnsi"/>
                <w:color w:val="000000"/>
                <w:sz w:val="20"/>
                <w:szCs w:val="20"/>
                <w:lang w:eastAsia="sk-SK"/>
              </w:rPr>
            </w:pPr>
            <w:proofErr w:type="spellStart"/>
            <w:r w:rsidRPr="00544A2F">
              <w:rPr>
                <w:rFonts w:cstheme="minorHAnsi"/>
                <w:color w:val="000000"/>
                <w:sz w:val="20"/>
                <w:szCs w:val="20"/>
              </w:rPr>
              <w:t>Casa</w:t>
            </w:r>
            <w:proofErr w:type="spellEnd"/>
            <w:r w:rsidRPr="00544A2F">
              <w:rPr>
                <w:rFonts w:cstheme="minorHAnsi"/>
                <w:color w:val="000000"/>
                <w:sz w:val="20"/>
                <w:szCs w:val="20"/>
              </w:rPr>
              <w:t xml:space="preserve"> Slovensko n. o.</w:t>
            </w:r>
          </w:p>
        </w:tc>
        <w:tc>
          <w:tcPr>
            <w:tcW w:w="975" w:type="pct"/>
            <w:gridSpan w:val="2"/>
            <w:tcBorders>
              <w:top w:val="nil"/>
              <w:left w:val="nil"/>
              <w:bottom w:val="single" w:sz="12" w:space="0" w:color="FFFFFF"/>
              <w:right w:val="single" w:sz="12" w:space="0" w:color="FFFFFF"/>
            </w:tcBorders>
            <w:shd w:val="clear" w:color="000000" w:fill="F2F2F2"/>
            <w:noWrap/>
            <w:hideMark/>
          </w:tcPr>
          <w:p w14:paraId="4EAFF5C0"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400 139,70 </w:t>
            </w:r>
          </w:p>
        </w:tc>
      </w:tr>
      <w:tr w:rsidR="00875772" w:rsidRPr="00544A2F" w14:paraId="56E6817B"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19CB5C3"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Centrum MEMORY, n. o.</w:t>
            </w:r>
          </w:p>
        </w:tc>
        <w:tc>
          <w:tcPr>
            <w:tcW w:w="975" w:type="pct"/>
            <w:gridSpan w:val="2"/>
            <w:tcBorders>
              <w:top w:val="nil"/>
              <w:left w:val="nil"/>
              <w:bottom w:val="single" w:sz="12" w:space="0" w:color="FFFFFF"/>
              <w:right w:val="single" w:sz="12" w:space="0" w:color="FFFFFF"/>
            </w:tcBorders>
            <w:shd w:val="clear" w:color="000000" w:fill="F2F2F2"/>
            <w:noWrap/>
            <w:hideMark/>
          </w:tcPr>
          <w:p w14:paraId="13F5C72B"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91 496,00 </w:t>
            </w:r>
          </w:p>
        </w:tc>
      </w:tr>
      <w:tr w:rsidR="00875772" w:rsidRPr="00544A2F" w14:paraId="1E04A322"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40222C0"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Centrum sociálnych služieb - AVE</w:t>
            </w:r>
          </w:p>
        </w:tc>
        <w:tc>
          <w:tcPr>
            <w:tcW w:w="975" w:type="pct"/>
            <w:gridSpan w:val="2"/>
            <w:tcBorders>
              <w:top w:val="nil"/>
              <w:left w:val="nil"/>
              <w:bottom w:val="single" w:sz="12" w:space="0" w:color="FFFFFF"/>
              <w:right w:val="single" w:sz="12" w:space="0" w:color="FFFFFF"/>
            </w:tcBorders>
            <w:shd w:val="clear" w:color="000000" w:fill="F2F2F2"/>
            <w:noWrap/>
            <w:hideMark/>
          </w:tcPr>
          <w:p w14:paraId="40FBFC2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1 659,17 </w:t>
            </w:r>
          </w:p>
        </w:tc>
      </w:tr>
      <w:tr w:rsidR="00875772" w:rsidRPr="00544A2F" w14:paraId="17336E8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2F30FB7"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CLAUDIANUM, n. o.</w:t>
            </w:r>
          </w:p>
        </w:tc>
        <w:tc>
          <w:tcPr>
            <w:tcW w:w="975" w:type="pct"/>
            <w:gridSpan w:val="2"/>
            <w:tcBorders>
              <w:top w:val="nil"/>
              <w:left w:val="nil"/>
              <w:bottom w:val="single" w:sz="12" w:space="0" w:color="FFFFFF"/>
              <w:right w:val="single" w:sz="12" w:space="0" w:color="FFFFFF"/>
            </w:tcBorders>
            <w:shd w:val="clear" w:color="000000" w:fill="F2F2F2"/>
            <w:noWrap/>
            <w:hideMark/>
          </w:tcPr>
          <w:p w14:paraId="31AEBA72"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16 714,86 </w:t>
            </w:r>
          </w:p>
        </w:tc>
      </w:tr>
      <w:tr w:rsidR="00875772" w:rsidRPr="00544A2F" w14:paraId="6336372D"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B23CC9E"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DEPAUL SLOVENSKO</w:t>
            </w:r>
          </w:p>
        </w:tc>
        <w:tc>
          <w:tcPr>
            <w:tcW w:w="975" w:type="pct"/>
            <w:gridSpan w:val="2"/>
            <w:tcBorders>
              <w:top w:val="nil"/>
              <w:left w:val="nil"/>
              <w:bottom w:val="single" w:sz="12" w:space="0" w:color="FFFFFF"/>
              <w:right w:val="single" w:sz="12" w:space="0" w:color="FFFFFF"/>
            </w:tcBorders>
            <w:shd w:val="clear" w:color="000000" w:fill="F2F2F2"/>
            <w:noWrap/>
            <w:hideMark/>
          </w:tcPr>
          <w:p w14:paraId="176D9D3F"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93 183,29 </w:t>
            </w:r>
          </w:p>
        </w:tc>
      </w:tr>
      <w:tr w:rsidR="00875772" w:rsidRPr="00544A2F" w14:paraId="0960D0FC"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1EFA984"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 seniorov Centrum oddychu, n. o.</w:t>
            </w:r>
          </w:p>
        </w:tc>
        <w:tc>
          <w:tcPr>
            <w:tcW w:w="975" w:type="pct"/>
            <w:gridSpan w:val="2"/>
            <w:tcBorders>
              <w:top w:val="nil"/>
              <w:left w:val="nil"/>
              <w:bottom w:val="single" w:sz="12" w:space="0" w:color="FFFFFF"/>
              <w:right w:val="single" w:sz="12" w:space="0" w:color="FFFFFF"/>
            </w:tcBorders>
            <w:shd w:val="clear" w:color="000000" w:fill="F2F2F2"/>
            <w:noWrap/>
            <w:hideMark/>
          </w:tcPr>
          <w:p w14:paraId="52470392"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236 793,82 </w:t>
            </w:r>
          </w:p>
        </w:tc>
      </w:tr>
      <w:tr w:rsidR="00875772" w:rsidRPr="00544A2F" w14:paraId="09E85A91"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23DF7F6"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 SVITANIA</w:t>
            </w:r>
          </w:p>
        </w:tc>
        <w:tc>
          <w:tcPr>
            <w:tcW w:w="975" w:type="pct"/>
            <w:gridSpan w:val="2"/>
            <w:tcBorders>
              <w:top w:val="nil"/>
              <w:left w:val="nil"/>
              <w:bottom w:val="single" w:sz="12" w:space="0" w:color="FFFFFF"/>
              <w:right w:val="single" w:sz="12" w:space="0" w:color="FFFFFF"/>
            </w:tcBorders>
            <w:shd w:val="clear" w:color="000000" w:fill="F2F2F2"/>
            <w:noWrap/>
            <w:hideMark/>
          </w:tcPr>
          <w:p w14:paraId="7E5E7CD8"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11 899,38 </w:t>
            </w:r>
          </w:p>
        </w:tc>
      </w:tr>
      <w:tr w:rsidR="00875772" w:rsidRPr="00544A2F" w14:paraId="51BA555D"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1E715F6"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Dominik, n. o.</w:t>
            </w:r>
          </w:p>
        </w:tc>
        <w:tc>
          <w:tcPr>
            <w:tcW w:w="975" w:type="pct"/>
            <w:gridSpan w:val="2"/>
            <w:tcBorders>
              <w:top w:val="nil"/>
              <w:left w:val="nil"/>
              <w:bottom w:val="single" w:sz="12" w:space="0" w:color="FFFFFF"/>
              <w:right w:val="single" w:sz="12" w:space="0" w:color="FFFFFF"/>
            </w:tcBorders>
            <w:shd w:val="clear" w:color="000000" w:fill="F2F2F2"/>
            <w:noWrap/>
            <w:hideMark/>
          </w:tcPr>
          <w:p w14:paraId="09425B6F"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23 536,08 </w:t>
            </w:r>
          </w:p>
        </w:tc>
      </w:tr>
      <w:tr w:rsidR="00875772" w:rsidRPr="00544A2F" w14:paraId="171FD1E9"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7469B8C8"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Domov - Dúha, o. z.</w:t>
            </w:r>
          </w:p>
        </w:tc>
        <w:tc>
          <w:tcPr>
            <w:tcW w:w="975" w:type="pct"/>
            <w:gridSpan w:val="2"/>
            <w:tcBorders>
              <w:top w:val="nil"/>
              <w:left w:val="nil"/>
              <w:bottom w:val="single" w:sz="12" w:space="0" w:color="FFFFFF"/>
              <w:right w:val="single" w:sz="12" w:space="0" w:color="FFFFFF"/>
            </w:tcBorders>
            <w:shd w:val="clear" w:color="000000" w:fill="F2F2F2"/>
            <w:noWrap/>
            <w:hideMark/>
          </w:tcPr>
          <w:p w14:paraId="16E2D55B"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80 944,59 </w:t>
            </w:r>
          </w:p>
        </w:tc>
      </w:tr>
      <w:tr w:rsidR="00875772" w:rsidRPr="00544A2F" w14:paraId="4C0820A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AC4A6EB"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Domov pre každého</w:t>
            </w:r>
          </w:p>
        </w:tc>
        <w:tc>
          <w:tcPr>
            <w:tcW w:w="975" w:type="pct"/>
            <w:gridSpan w:val="2"/>
            <w:tcBorders>
              <w:top w:val="nil"/>
              <w:left w:val="nil"/>
              <w:bottom w:val="single" w:sz="12" w:space="0" w:color="FFFFFF"/>
              <w:right w:val="single" w:sz="12" w:space="0" w:color="FFFFFF"/>
            </w:tcBorders>
            <w:shd w:val="clear" w:color="000000" w:fill="F2F2F2"/>
            <w:noWrap/>
            <w:hideMark/>
          </w:tcPr>
          <w:p w14:paraId="254465F5"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154 971,60 </w:t>
            </w:r>
          </w:p>
        </w:tc>
      </w:tr>
      <w:tr w:rsidR="00875772" w:rsidRPr="00544A2F" w14:paraId="75C07B24"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ED9666E"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Domov sociálnych služieb - Zemianske Podhradie</w:t>
            </w:r>
          </w:p>
        </w:tc>
        <w:tc>
          <w:tcPr>
            <w:tcW w:w="975" w:type="pct"/>
            <w:gridSpan w:val="2"/>
            <w:tcBorders>
              <w:top w:val="nil"/>
              <w:left w:val="nil"/>
              <w:bottom w:val="single" w:sz="12" w:space="0" w:color="FFFFFF"/>
              <w:right w:val="single" w:sz="12" w:space="0" w:color="FFFFFF"/>
            </w:tcBorders>
            <w:shd w:val="clear" w:color="000000" w:fill="F2F2F2"/>
            <w:noWrap/>
            <w:hideMark/>
          </w:tcPr>
          <w:p w14:paraId="253B79E8"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7 627,44 </w:t>
            </w:r>
          </w:p>
        </w:tc>
      </w:tr>
      <w:tr w:rsidR="00875772" w:rsidRPr="00544A2F" w14:paraId="2D0ED22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74410751"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Domov sociálnych služieb "HRABINY" rozpočtová organizácia Banskobystrického samosprávneho kraja</w:t>
            </w:r>
          </w:p>
        </w:tc>
        <w:tc>
          <w:tcPr>
            <w:tcW w:w="975" w:type="pct"/>
            <w:gridSpan w:val="2"/>
            <w:tcBorders>
              <w:top w:val="nil"/>
              <w:left w:val="nil"/>
              <w:bottom w:val="single" w:sz="12" w:space="0" w:color="FFFFFF"/>
              <w:right w:val="single" w:sz="12" w:space="0" w:color="FFFFFF"/>
            </w:tcBorders>
            <w:shd w:val="clear" w:color="000000" w:fill="F2F2F2"/>
            <w:noWrap/>
            <w:hideMark/>
          </w:tcPr>
          <w:p w14:paraId="7DC29659"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23 948,52 </w:t>
            </w:r>
          </w:p>
        </w:tc>
      </w:tr>
      <w:tr w:rsidR="00875772" w:rsidRPr="00544A2F" w14:paraId="6B29CDAD"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CA061A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Domov sociálnych služieb  Pohorelská Maša</w:t>
            </w:r>
          </w:p>
        </w:tc>
        <w:tc>
          <w:tcPr>
            <w:tcW w:w="975" w:type="pct"/>
            <w:gridSpan w:val="2"/>
            <w:tcBorders>
              <w:top w:val="nil"/>
              <w:left w:val="nil"/>
              <w:bottom w:val="single" w:sz="12" w:space="0" w:color="FFFFFF"/>
              <w:right w:val="single" w:sz="12" w:space="0" w:color="FFFFFF"/>
            </w:tcBorders>
            <w:shd w:val="clear" w:color="000000" w:fill="F2F2F2"/>
            <w:noWrap/>
          </w:tcPr>
          <w:p w14:paraId="1FCF34D0"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9 647,01 </w:t>
            </w:r>
          </w:p>
        </w:tc>
      </w:tr>
      <w:tr w:rsidR="00875772" w:rsidRPr="00544A2F" w14:paraId="1BF0579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DC455F1"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Domov sociálnych služieb pre deti a dospelých v Jahodnej</w:t>
            </w:r>
          </w:p>
        </w:tc>
        <w:tc>
          <w:tcPr>
            <w:tcW w:w="975" w:type="pct"/>
            <w:gridSpan w:val="2"/>
            <w:tcBorders>
              <w:top w:val="nil"/>
              <w:left w:val="nil"/>
              <w:bottom w:val="single" w:sz="12" w:space="0" w:color="FFFFFF"/>
              <w:right w:val="single" w:sz="12" w:space="0" w:color="FFFFFF"/>
            </w:tcBorders>
            <w:shd w:val="clear" w:color="000000" w:fill="F2F2F2"/>
            <w:noWrap/>
            <w:hideMark/>
          </w:tcPr>
          <w:p w14:paraId="3021CE3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5 242,62 </w:t>
            </w:r>
          </w:p>
        </w:tc>
      </w:tr>
      <w:tr w:rsidR="00875772" w:rsidRPr="00544A2F" w14:paraId="2313CA2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E5D0642"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Domov, n. o. Veľké Pole</w:t>
            </w:r>
          </w:p>
        </w:tc>
        <w:tc>
          <w:tcPr>
            <w:tcW w:w="975" w:type="pct"/>
            <w:gridSpan w:val="2"/>
            <w:tcBorders>
              <w:top w:val="nil"/>
              <w:left w:val="nil"/>
              <w:bottom w:val="single" w:sz="12" w:space="0" w:color="FFFFFF"/>
              <w:right w:val="single" w:sz="12" w:space="0" w:color="FFFFFF"/>
            </w:tcBorders>
            <w:shd w:val="clear" w:color="000000" w:fill="F2F2F2"/>
            <w:noWrap/>
            <w:hideMark/>
          </w:tcPr>
          <w:p w14:paraId="01C5F9FB"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1 873,20 </w:t>
            </w:r>
          </w:p>
        </w:tc>
      </w:tr>
      <w:tr w:rsidR="00875772" w:rsidRPr="00544A2F" w14:paraId="179C645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493F2E4F"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Domovské vzdelávacie centrum</w:t>
            </w:r>
          </w:p>
        </w:tc>
        <w:tc>
          <w:tcPr>
            <w:tcW w:w="975" w:type="pct"/>
            <w:gridSpan w:val="2"/>
            <w:tcBorders>
              <w:top w:val="nil"/>
              <w:left w:val="nil"/>
              <w:bottom w:val="single" w:sz="12" w:space="0" w:color="FFFFFF"/>
              <w:right w:val="single" w:sz="12" w:space="0" w:color="FFFFFF"/>
            </w:tcBorders>
            <w:shd w:val="clear" w:color="000000" w:fill="F2F2F2"/>
            <w:noWrap/>
            <w:hideMark/>
          </w:tcPr>
          <w:p w14:paraId="17E06C0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29 825,28 </w:t>
            </w:r>
          </w:p>
        </w:tc>
      </w:tr>
      <w:tr w:rsidR="00875772" w:rsidRPr="00544A2F" w14:paraId="51E6F54C"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5C3233E"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lastRenderedPageBreak/>
              <w:t>DOMUS BENE</w:t>
            </w:r>
          </w:p>
        </w:tc>
        <w:tc>
          <w:tcPr>
            <w:tcW w:w="975" w:type="pct"/>
            <w:gridSpan w:val="2"/>
            <w:tcBorders>
              <w:top w:val="nil"/>
              <w:left w:val="nil"/>
              <w:bottom w:val="single" w:sz="12" w:space="0" w:color="FFFFFF"/>
              <w:right w:val="single" w:sz="12" w:space="0" w:color="FFFFFF"/>
            </w:tcBorders>
            <w:shd w:val="clear" w:color="000000" w:fill="F2F2F2"/>
            <w:noWrap/>
            <w:hideMark/>
          </w:tcPr>
          <w:p w14:paraId="0A2BEB1A"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177 423,76 </w:t>
            </w:r>
          </w:p>
        </w:tc>
      </w:tr>
      <w:tr w:rsidR="00875772" w:rsidRPr="00544A2F" w14:paraId="55757C1D"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45D4EEF" w14:textId="77777777" w:rsidR="00875772" w:rsidRPr="00544A2F" w:rsidRDefault="00875772" w:rsidP="00875772">
            <w:pPr>
              <w:spacing w:after="0" w:line="240" w:lineRule="auto"/>
              <w:rPr>
                <w:rFonts w:cstheme="minorHAnsi"/>
                <w:color w:val="000000"/>
                <w:sz w:val="20"/>
                <w:szCs w:val="20"/>
                <w:lang w:eastAsia="sk-SK"/>
              </w:rPr>
            </w:pPr>
            <w:proofErr w:type="spellStart"/>
            <w:r w:rsidRPr="00544A2F">
              <w:rPr>
                <w:rFonts w:cstheme="minorHAnsi"/>
                <w:color w:val="000000"/>
                <w:sz w:val="20"/>
                <w:szCs w:val="20"/>
              </w:rPr>
              <w:t>Drahuška</w:t>
            </w:r>
            <w:proofErr w:type="spellEnd"/>
            <w:r w:rsidRPr="00544A2F">
              <w:rPr>
                <w:rFonts w:cstheme="minorHAnsi"/>
                <w:color w:val="000000"/>
                <w:sz w:val="20"/>
                <w:szCs w:val="20"/>
              </w:rPr>
              <w:t xml:space="preserve"> a my...</w:t>
            </w:r>
          </w:p>
        </w:tc>
        <w:tc>
          <w:tcPr>
            <w:tcW w:w="975" w:type="pct"/>
            <w:gridSpan w:val="2"/>
            <w:tcBorders>
              <w:top w:val="nil"/>
              <w:left w:val="nil"/>
              <w:bottom w:val="single" w:sz="12" w:space="0" w:color="FFFFFF"/>
              <w:right w:val="single" w:sz="12" w:space="0" w:color="FFFFFF"/>
            </w:tcBorders>
            <w:shd w:val="clear" w:color="000000" w:fill="F2F2F2"/>
            <w:noWrap/>
            <w:hideMark/>
          </w:tcPr>
          <w:p w14:paraId="2AA9F700"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32 148,96 </w:t>
            </w:r>
          </w:p>
        </w:tc>
      </w:tr>
      <w:tr w:rsidR="00875772" w:rsidRPr="00544A2F" w14:paraId="5E96B8E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17273875"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 xml:space="preserve">DSS </w:t>
            </w:r>
            <w:proofErr w:type="spellStart"/>
            <w:r w:rsidRPr="00544A2F">
              <w:rPr>
                <w:rFonts w:cstheme="minorHAnsi"/>
                <w:color w:val="000000"/>
                <w:sz w:val="20"/>
                <w:szCs w:val="20"/>
              </w:rPr>
              <w:t>Andreas</w:t>
            </w:r>
            <w:proofErr w:type="spellEnd"/>
          </w:p>
        </w:tc>
        <w:tc>
          <w:tcPr>
            <w:tcW w:w="975" w:type="pct"/>
            <w:gridSpan w:val="2"/>
            <w:tcBorders>
              <w:top w:val="nil"/>
              <w:left w:val="nil"/>
              <w:bottom w:val="single" w:sz="12" w:space="0" w:color="FFFFFF"/>
              <w:right w:val="single" w:sz="12" w:space="0" w:color="FFFFFF"/>
            </w:tcBorders>
            <w:shd w:val="clear" w:color="000000" w:fill="F2F2F2"/>
            <w:noWrap/>
            <w:hideMark/>
          </w:tcPr>
          <w:p w14:paraId="56ADA4C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30 319,18 </w:t>
            </w:r>
          </w:p>
        </w:tc>
      </w:tr>
      <w:tr w:rsidR="00875772" w:rsidRPr="00544A2F" w14:paraId="0C308E4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573FB375"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DSS MOST</w:t>
            </w:r>
          </w:p>
        </w:tc>
        <w:tc>
          <w:tcPr>
            <w:tcW w:w="975" w:type="pct"/>
            <w:gridSpan w:val="2"/>
            <w:tcBorders>
              <w:top w:val="nil"/>
              <w:left w:val="nil"/>
              <w:bottom w:val="single" w:sz="12" w:space="0" w:color="FFFFFF"/>
              <w:right w:val="single" w:sz="12" w:space="0" w:color="FFFFFF"/>
            </w:tcBorders>
            <w:shd w:val="clear" w:color="000000" w:fill="F2F2F2"/>
            <w:noWrap/>
            <w:hideMark/>
          </w:tcPr>
          <w:p w14:paraId="41D464EC"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58 496,07 </w:t>
            </w:r>
          </w:p>
        </w:tc>
      </w:tr>
      <w:tr w:rsidR="00875772" w:rsidRPr="00544A2F" w14:paraId="650F14C5"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DCED36B"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Dúbravská oáza pokoja a oddychu n. o.</w:t>
            </w:r>
          </w:p>
        </w:tc>
        <w:tc>
          <w:tcPr>
            <w:tcW w:w="975" w:type="pct"/>
            <w:gridSpan w:val="2"/>
            <w:tcBorders>
              <w:top w:val="nil"/>
              <w:left w:val="nil"/>
              <w:bottom w:val="single" w:sz="12" w:space="0" w:color="FFFFFF"/>
              <w:right w:val="single" w:sz="12" w:space="0" w:color="FFFFFF"/>
            </w:tcBorders>
            <w:shd w:val="clear" w:color="000000" w:fill="F2F2F2"/>
            <w:noWrap/>
            <w:hideMark/>
          </w:tcPr>
          <w:p w14:paraId="42918E5B"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186 954,03 </w:t>
            </w:r>
          </w:p>
        </w:tc>
      </w:tr>
      <w:tr w:rsidR="00875772" w:rsidRPr="00544A2F" w14:paraId="44421F29"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0E9CAFFF"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GOMART</w:t>
            </w:r>
          </w:p>
        </w:tc>
        <w:tc>
          <w:tcPr>
            <w:tcW w:w="975" w:type="pct"/>
            <w:gridSpan w:val="2"/>
            <w:tcBorders>
              <w:top w:val="nil"/>
              <w:left w:val="nil"/>
              <w:bottom w:val="single" w:sz="12" w:space="0" w:color="FFFFFF"/>
              <w:right w:val="single" w:sz="12" w:space="0" w:color="FFFFFF"/>
            </w:tcBorders>
            <w:shd w:val="clear" w:color="000000" w:fill="F2F2F2"/>
            <w:noWrap/>
            <w:hideMark/>
          </w:tcPr>
          <w:p w14:paraId="2C1888BA"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104 716,28 </w:t>
            </w:r>
          </w:p>
        </w:tc>
      </w:tr>
      <w:tr w:rsidR="00875772" w:rsidRPr="00544A2F" w14:paraId="682B8491"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7B24EB2" w14:textId="77777777" w:rsidR="00875772" w:rsidRPr="00544A2F" w:rsidRDefault="00875772" w:rsidP="00875772">
            <w:pPr>
              <w:spacing w:after="0" w:line="240" w:lineRule="auto"/>
              <w:rPr>
                <w:rFonts w:cstheme="minorHAnsi"/>
                <w:color w:val="000000"/>
                <w:sz w:val="20"/>
                <w:szCs w:val="20"/>
                <w:lang w:eastAsia="sk-SK"/>
              </w:rPr>
            </w:pPr>
            <w:proofErr w:type="spellStart"/>
            <w:r w:rsidRPr="00544A2F">
              <w:rPr>
                <w:rFonts w:cstheme="minorHAnsi"/>
                <w:color w:val="000000"/>
                <w:sz w:val="20"/>
                <w:szCs w:val="20"/>
              </w:rPr>
              <w:t>Grandpark</w:t>
            </w:r>
            <w:proofErr w:type="spellEnd"/>
            <w:r w:rsidRPr="00544A2F">
              <w:rPr>
                <w:rFonts w:cstheme="minorHAnsi"/>
                <w:color w:val="000000"/>
                <w:sz w:val="20"/>
                <w:szCs w:val="20"/>
              </w:rPr>
              <w:t>, nezisková organizácia</w:t>
            </w:r>
          </w:p>
        </w:tc>
        <w:tc>
          <w:tcPr>
            <w:tcW w:w="975" w:type="pct"/>
            <w:gridSpan w:val="2"/>
            <w:tcBorders>
              <w:top w:val="nil"/>
              <w:left w:val="nil"/>
              <w:bottom w:val="single" w:sz="12" w:space="0" w:color="FFFFFF"/>
              <w:right w:val="single" w:sz="12" w:space="0" w:color="FFFFFF"/>
            </w:tcBorders>
            <w:shd w:val="clear" w:color="000000" w:fill="F2F2F2"/>
            <w:noWrap/>
            <w:hideMark/>
          </w:tcPr>
          <w:p w14:paraId="4E81E498"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30 724,56 </w:t>
            </w:r>
          </w:p>
        </w:tc>
      </w:tr>
      <w:tr w:rsidR="00875772" w:rsidRPr="00544A2F" w14:paraId="2C8C16D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8899759"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Harmónia života</w:t>
            </w:r>
          </w:p>
        </w:tc>
        <w:tc>
          <w:tcPr>
            <w:tcW w:w="975" w:type="pct"/>
            <w:gridSpan w:val="2"/>
            <w:tcBorders>
              <w:top w:val="nil"/>
              <w:left w:val="nil"/>
              <w:bottom w:val="single" w:sz="12" w:space="0" w:color="FFFFFF"/>
              <w:right w:val="single" w:sz="12" w:space="0" w:color="FFFFFF"/>
            </w:tcBorders>
            <w:shd w:val="clear" w:color="000000" w:fill="F2F2F2"/>
            <w:noWrap/>
            <w:hideMark/>
          </w:tcPr>
          <w:p w14:paraId="01802806"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226 768,23 </w:t>
            </w:r>
          </w:p>
        </w:tc>
      </w:tr>
      <w:tr w:rsidR="00875772" w:rsidRPr="00544A2F" w14:paraId="737942D4"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15560E55"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Harmónia, n. o. OCEAN</w:t>
            </w:r>
          </w:p>
        </w:tc>
        <w:tc>
          <w:tcPr>
            <w:tcW w:w="975" w:type="pct"/>
            <w:gridSpan w:val="2"/>
            <w:tcBorders>
              <w:top w:val="nil"/>
              <w:left w:val="nil"/>
              <w:bottom w:val="single" w:sz="12" w:space="0" w:color="FFFFFF"/>
              <w:right w:val="single" w:sz="12" w:space="0" w:color="FFFFFF"/>
            </w:tcBorders>
            <w:shd w:val="clear" w:color="000000" w:fill="F2F2F2"/>
            <w:noWrap/>
            <w:hideMark/>
          </w:tcPr>
          <w:p w14:paraId="21707D07"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2 713,16 </w:t>
            </w:r>
          </w:p>
        </w:tc>
      </w:tr>
      <w:tr w:rsidR="00875772" w:rsidRPr="00544A2F" w14:paraId="7AEC2E5B"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0E05B9F0" w14:textId="77777777" w:rsidR="00875772" w:rsidRPr="00544A2F" w:rsidRDefault="00875772" w:rsidP="00875772">
            <w:pPr>
              <w:spacing w:after="0" w:line="240" w:lineRule="auto"/>
              <w:rPr>
                <w:rFonts w:cstheme="minorHAnsi"/>
                <w:color w:val="000000"/>
                <w:sz w:val="20"/>
                <w:szCs w:val="20"/>
                <w:lang w:eastAsia="sk-SK"/>
              </w:rPr>
            </w:pPr>
            <w:proofErr w:type="spellStart"/>
            <w:r w:rsidRPr="00544A2F">
              <w:rPr>
                <w:rFonts w:cstheme="minorHAnsi"/>
                <w:color w:val="000000"/>
                <w:sz w:val="20"/>
                <w:szCs w:val="20"/>
              </w:rPr>
              <w:t>Hestia</w:t>
            </w:r>
            <w:proofErr w:type="spellEnd"/>
            <w:r w:rsidRPr="00544A2F">
              <w:rPr>
                <w:rFonts w:cstheme="minorHAnsi"/>
                <w:color w:val="000000"/>
                <w:sz w:val="20"/>
                <w:szCs w:val="20"/>
              </w:rPr>
              <w:t>, n. o.</w:t>
            </w:r>
          </w:p>
        </w:tc>
        <w:tc>
          <w:tcPr>
            <w:tcW w:w="975" w:type="pct"/>
            <w:gridSpan w:val="2"/>
            <w:tcBorders>
              <w:top w:val="nil"/>
              <w:left w:val="nil"/>
              <w:bottom w:val="single" w:sz="12" w:space="0" w:color="FFFFFF"/>
              <w:right w:val="single" w:sz="12" w:space="0" w:color="FFFFFF"/>
            </w:tcBorders>
            <w:shd w:val="clear" w:color="000000" w:fill="F2F2F2"/>
            <w:noWrap/>
            <w:hideMark/>
          </w:tcPr>
          <w:p w14:paraId="0CBAF240"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175 404,92 </w:t>
            </w:r>
          </w:p>
        </w:tc>
      </w:tr>
      <w:tr w:rsidR="00875772" w:rsidRPr="00544A2F" w14:paraId="5AF5D1D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51BB403C"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Inklúzia, o. z.</w:t>
            </w:r>
          </w:p>
        </w:tc>
        <w:tc>
          <w:tcPr>
            <w:tcW w:w="975" w:type="pct"/>
            <w:gridSpan w:val="2"/>
            <w:tcBorders>
              <w:top w:val="nil"/>
              <w:left w:val="nil"/>
              <w:bottom w:val="single" w:sz="12" w:space="0" w:color="FFFFFF"/>
              <w:right w:val="single" w:sz="12" w:space="0" w:color="FFFFFF"/>
            </w:tcBorders>
            <w:shd w:val="clear" w:color="000000" w:fill="F2F2F2"/>
            <w:noWrap/>
            <w:hideMark/>
          </w:tcPr>
          <w:p w14:paraId="179C1C49"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25 333,20 </w:t>
            </w:r>
          </w:p>
        </w:tc>
      </w:tr>
      <w:tr w:rsidR="00875772" w:rsidRPr="00544A2F" w14:paraId="5D1A58A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3811814"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Inklúzia, o. z.</w:t>
            </w:r>
          </w:p>
        </w:tc>
        <w:tc>
          <w:tcPr>
            <w:tcW w:w="975" w:type="pct"/>
            <w:gridSpan w:val="2"/>
            <w:tcBorders>
              <w:top w:val="nil"/>
              <w:left w:val="nil"/>
              <w:bottom w:val="single" w:sz="12" w:space="0" w:color="FFFFFF"/>
              <w:right w:val="single" w:sz="12" w:space="0" w:color="FFFFFF"/>
            </w:tcBorders>
            <w:shd w:val="clear" w:color="000000" w:fill="F2F2F2"/>
            <w:noWrap/>
            <w:hideMark/>
          </w:tcPr>
          <w:p w14:paraId="2A85765B"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9 724,80 </w:t>
            </w:r>
          </w:p>
        </w:tc>
      </w:tr>
      <w:tr w:rsidR="00875772" w:rsidRPr="00544A2F" w14:paraId="0F554C0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56C7BF1B"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Komunita Kráľovnej pokoja, n. o.</w:t>
            </w:r>
          </w:p>
        </w:tc>
        <w:tc>
          <w:tcPr>
            <w:tcW w:w="975" w:type="pct"/>
            <w:gridSpan w:val="2"/>
            <w:tcBorders>
              <w:top w:val="nil"/>
              <w:left w:val="nil"/>
              <w:bottom w:val="single" w:sz="12" w:space="0" w:color="FFFFFF"/>
              <w:right w:val="single" w:sz="12" w:space="0" w:color="FFFFFF"/>
            </w:tcBorders>
            <w:shd w:val="clear" w:color="000000" w:fill="F2F2F2"/>
            <w:noWrap/>
            <w:hideMark/>
          </w:tcPr>
          <w:p w14:paraId="47FB50BD"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17 870,40</w:t>
            </w:r>
          </w:p>
        </w:tc>
      </w:tr>
      <w:tr w:rsidR="00875772" w:rsidRPr="00544A2F" w14:paraId="4250441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5651D166"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Kresťanská liga pre pomoc mentálne postihnutým na Slovensku</w:t>
            </w:r>
          </w:p>
        </w:tc>
        <w:tc>
          <w:tcPr>
            <w:tcW w:w="975" w:type="pct"/>
            <w:gridSpan w:val="2"/>
            <w:tcBorders>
              <w:top w:val="nil"/>
              <w:left w:val="nil"/>
              <w:bottom w:val="single" w:sz="12" w:space="0" w:color="FFFFFF"/>
              <w:right w:val="single" w:sz="12" w:space="0" w:color="FFFFFF"/>
            </w:tcBorders>
            <w:shd w:val="clear" w:color="000000" w:fill="F2F2F2"/>
            <w:noWrap/>
            <w:hideMark/>
          </w:tcPr>
          <w:p w14:paraId="1BDB2CBE"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20 177,64 </w:t>
            </w:r>
          </w:p>
        </w:tc>
      </w:tr>
      <w:tr w:rsidR="00875772" w:rsidRPr="00544A2F" w14:paraId="609550B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1C505895" w14:textId="77777777" w:rsidR="00875772" w:rsidRPr="00544A2F" w:rsidRDefault="00875772" w:rsidP="00875772">
            <w:pPr>
              <w:spacing w:after="0" w:line="240" w:lineRule="auto"/>
              <w:rPr>
                <w:rFonts w:cstheme="minorHAnsi"/>
                <w:color w:val="000000"/>
                <w:sz w:val="20"/>
                <w:szCs w:val="20"/>
                <w:lang w:eastAsia="sk-SK"/>
              </w:rPr>
            </w:pPr>
            <w:r>
              <w:rPr>
                <w:rFonts w:cstheme="minorHAnsi"/>
                <w:color w:val="000000"/>
                <w:sz w:val="20"/>
                <w:szCs w:val="20"/>
              </w:rPr>
              <w:t>Združenie príbuzných, priateľov a ľudí s psychickými poruchami Krídla</w:t>
            </w:r>
          </w:p>
        </w:tc>
        <w:tc>
          <w:tcPr>
            <w:tcW w:w="975" w:type="pct"/>
            <w:gridSpan w:val="2"/>
            <w:tcBorders>
              <w:top w:val="nil"/>
              <w:left w:val="nil"/>
              <w:bottom w:val="single" w:sz="12" w:space="0" w:color="FFFFFF"/>
              <w:right w:val="single" w:sz="12" w:space="0" w:color="FFFFFF"/>
            </w:tcBorders>
            <w:shd w:val="clear" w:color="000000" w:fill="F2F2F2"/>
            <w:noWrap/>
            <w:hideMark/>
          </w:tcPr>
          <w:p w14:paraId="5163112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49 533,83 </w:t>
            </w:r>
          </w:p>
        </w:tc>
      </w:tr>
      <w:tr w:rsidR="00875772" w:rsidRPr="00544A2F" w14:paraId="3EE3359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5B4676FD"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Križovatky, n. o.</w:t>
            </w:r>
          </w:p>
        </w:tc>
        <w:tc>
          <w:tcPr>
            <w:tcW w:w="975" w:type="pct"/>
            <w:gridSpan w:val="2"/>
            <w:tcBorders>
              <w:top w:val="nil"/>
              <w:left w:val="nil"/>
              <w:bottom w:val="single" w:sz="12" w:space="0" w:color="FFFFFF"/>
              <w:right w:val="single" w:sz="12" w:space="0" w:color="FFFFFF"/>
            </w:tcBorders>
            <w:shd w:val="clear" w:color="000000" w:fill="F2F2F2"/>
            <w:noWrap/>
            <w:hideMark/>
          </w:tcPr>
          <w:p w14:paraId="394FA113"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106 245,00 </w:t>
            </w:r>
          </w:p>
        </w:tc>
      </w:tr>
      <w:tr w:rsidR="00875772" w:rsidRPr="00544A2F" w14:paraId="50C40A20"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D8B939C"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LIKAVA - centrum sociálnych služieb</w:t>
            </w:r>
          </w:p>
        </w:tc>
        <w:tc>
          <w:tcPr>
            <w:tcW w:w="975" w:type="pct"/>
            <w:gridSpan w:val="2"/>
            <w:tcBorders>
              <w:top w:val="nil"/>
              <w:left w:val="nil"/>
              <w:bottom w:val="single" w:sz="12" w:space="0" w:color="FFFFFF"/>
              <w:right w:val="single" w:sz="12" w:space="0" w:color="FFFFFF"/>
            </w:tcBorders>
            <w:shd w:val="clear" w:color="000000" w:fill="F2F2F2"/>
            <w:noWrap/>
            <w:hideMark/>
          </w:tcPr>
          <w:p w14:paraId="5EAA9286"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2 085,78 </w:t>
            </w:r>
          </w:p>
        </w:tc>
      </w:tr>
      <w:tr w:rsidR="00875772" w:rsidRPr="00544A2F" w14:paraId="1CD59DDA"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0BC5599A"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Na trati, o. z.</w:t>
            </w:r>
          </w:p>
        </w:tc>
        <w:tc>
          <w:tcPr>
            <w:tcW w:w="975" w:type="pct"/>
            <w:gridSpan w:val="2"/>
            <w:tcBorders>
              <w:top w:val="nil"/>
              <w:left w:val="nil"/>
              <w:bottom w:val="single" w:sz="12" w:space="0" w:color="FFFFFF"/>
              <w:right w:val="single" w:sz="12" w:space="0" w:color="FFFFFF"/>
            </w:tcBorders>
            <w:shd w:val="clear" w:color="000000" w:fill="F2F2F2"/>
            <w:noWrap/>
            <w:hideMark/>
          </w:tcPr>
          <w:p w14:paraId="2D0B129B"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4 594,10 </w:t>
            </w:r>
          </w:p>
        </w:tc>
      </w:tr>
      <w:tr w:rsidR="00875772" w:rsidRPr="00544A2F" w14:paraId="5E07C18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4A1569FE"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NÁRUČ Senior &amp; Junior</w:t>
            </w:r>
          </w:p>
        </w:tc>
        <w:tc>
          <w:tcPr>
            <w:tcW w:w="975" w:type="pct"/>
            <w:gridSpan w:val="2"/>
            <w:tcBorders>
              <w:top w:val="nil"/>
              <w:left w:val="nil"/>
              <w:bottom w:val="single" w:sz="12" w:space="0" w:color="FFFFFF"/>
              <w:right w:val="single" w:sz="12" w:space="0" w:color="FFFFFF"/>
            </w:tcBorders>
            <w:shd w:val="clear" w:color="000000" w:fill="F2F2F2"/>
            <w:noWrap/>
            <w:hideMark/>
          </w:tcPr>
          <w:p w14:paraId="32901F26"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210 232,32 </w:t>
            </w:r>
          </w:p>
        </w:tc>
      </w:tr>
      <w:tr w:rsidR="00875772" w:rsidRPr="00544A2F" w14:paraId="1299595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A98583E"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 xml:space="preserve">NÁRUČ Senior &amp; Junior - Solčany </w:t>
            </w:r>
          </w:p>
        </w:tc>
        <w:tc>
          <w:tcPr>
            <w:tcW w:w="975" w:type="pct"/>
            <w:gridSpan w:val="2"/>
            <w:tcBorders>
              <w:top w:val="nil"/>
              <w:left w:val="nil"/>
              <w:bottom w:val="single" w:sz="12" w:space="0" w:color="FFFFFF"/>
              <w:right w:val="single" w:sz="12" w:space="0" w:color="FFFFFF"/>
            </w:tcBorders>
            <w:shd w:val="clear" w:color="000000" w:fill="F2F2F2"/>
            <w:noWrap/>
            <w:hideMark/>
          </w:tcPr>
          <w:p w14:paraId="717E3A8E"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39 233,36 </w:t>
            </w:r>
          </w:p>
        </w:tc>
      </w:tr>
      <w:tr w:rsidR="00875772" w:rsidRPr="00544A2F" w14:paraId="554C553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20052CE8"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NÁRUČ Senior &amp; Junior (útulok)</w:t>
            </w:r>
          </w:p>
        </w:tc>
        <w:tc>
          <w:tcPr>
            <w:tcW w:w="975" w:type="pct"/>
            <w:gridSpan w:val="2"/>
            <w:tcBorders>
              <w:top w:val="nil"/>
              <w:left w:val="nil"/>
              <w:bottom w:val="single" w:sz="12" w:space="0" w:color="FFFFFF"/>
              <w:right w:val="single" w:sz="12" w:space="0" w:color="FFFFFF"/>
            </w:tcBorders>
            <w:shd w:val="clear" w:color="000000" w:fill="F2F2F2"/>
            <w:noWrap/>
            <w:hideMark/>
          </w:tcPr>
          <w:p w14:paraId="01989302"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7 664,63 </w:t>
            </w:r>
          </w:p>
        </w:tc>
      </w:tr>
      <w:tr w:rsidR="00875772" w:rsidRPr="00544A2F" w14:paraId="1B547B51"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6C6E2699"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Náruč, n. o.</w:t>
            </w:r>
          </w:p>
        </w:tc>
        <w:tc>
          <w:tcPr>
            <w:tcW w:w="975" w:type="pct"/>
            <w:gridSpan w:val="2"/>
            <w:tcBorders>
              <w:top w:val="nil"/>
              <w:left w:val="nil"/>
              <w:bottom w:val="single" w:sz="12" w:space="0" w:color="FFFFFF"/>
              <w:right w:val="single" w:sz="12" w:space="0" w:color="FFFFFF"/>
            </w:tcBorders>
            <w:shd w:val="clear" w:color="000000" w:fill="F2F2F2"/>
            <w:noWrap/>
            <w:hideMark/>
          </w:tcPr>
          <w:p w14:paraId="58CBBE68"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208 030,73 </w:t>
            </w:r>
          </w:p>
        </w:tc>
      </w:tr>
      <w:tr w:rsidR="00875772" w:rsidRPr="00544A2F" w14:paraId="3B6C8F1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130B9C9C"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Nemocnica Modra, n. o.</w:t>
            </w:r>
          </w:p>
        </w:tc>
        <w:tc>
          <w:tcPr>
            <w:tcW w:w="975" w:type="pct"/>
            <w:gridSpan w:val="2"/>
            <w:tcBorders>
              <w:top w:val="nil"/>
              <w:left w:val="nil"/>
              <w:bottom w:val="single" w:sz="12" w:space="0" w:color="FFFFFF"/>
              <w:right w:val="single" w:sz="12" w:space="0" w:color="FFFFFF"/>
            </w:tcBorders>
            <w:shd w:val="clear" w:color="000000" w:fill="F2F2F2"/>
            <w:noWrap/>
            <w:hideMark/>
          </w:tcPr>
          <w:p w14:paraId="3F83B968"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329 561,17 </w:t>
            </w:r>
          </w:p>
        </w:tc>
      </w:tr>
      <w:tr w:rsidR="00875772" w:rsidRPr="00544A2F" w14:paraId="5067C08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4EBB3E8D" w14:textId="77777777" w:rsidR="00875772" w:rsidRPr="00544A2F" w:rsidRDefault="00875772" w:rsidP="00875772">
            <w:pPr>
              <w:spacing w:after="0" w:line="240" w:lineRule="auto"/>
              <w:rPr>
                <w:rFonts w:cstheme="minorHAnsi"/>
                <w:color w:val="000000"/>
                <w:sz w:val="20"/>
                <w:szCs w:val="20"/>
                <w:lang w:eastAsia="sk-SK"/>
              </w:rPr>
            </w:pPr>
            <w:r w:rsidRPr="00544A2F">
              <w:rPr>
                <w:rFonts w:cstheme="minorHAnsi"/>
                <w:color w:val="000000"/>
                <w:sz w:val="20"/>
                <w:szCs w:val="20"/>
              </w:rPr>
              <w:t>Nezábudka</w:t>
            </w:r>
          </w:p>
        </w:tc>
        <w:tc>
          <w:tcPr>
            <w:tcW w:w="975" w:type="pct"/>
            <w:gridSpan w:val="2"/>
            <w:tcBorders>
              <w:top w:val="nil"/>
              <w:left w:val="nil"/>
              <w:bottom w:val="single" w:sz="12" w:space="0" w:color="FFFFFF"/>
              <w:right w:val="single" w:sz="12" w:space="0" w:color="FFFFFF"/>
            </w:tcBorders>
            <w:shd w:val="clear" w:color="000000" w:fill="F2F2F2"/>
            <w:noWrap/>
            <w:hideMark/>
          </w:tcPr>
          <w:p w14:paraId="005B7A19" w14:textId="77777777" w:rsidR="00875772" w:rsidRPr="00544A2F" w:rsidRDefault="00875772" w:rsidP="00875772">
            <w:pPr>
              <w:spacing w:after="0" w:line="240" w:lineRule="auto"/>
              <w:jc w:val="right"/>
              <w:rPr>
                <w:rFonts w:cstheme="minorHAnsi"/>
                <w:color w:val="000000"/>
                <w:sz w:val="20"/>
                <w:szCs w:val="20"/>
                <w:lang w:eastAsia="sk-SK"/>
              </w:rPr>
            </w:pPr>
            <w:r w:rsidRPr="00544A2F">
              <w:rPr>
                <w:rFonts w:cstheme="minorHAnsi"/>
                <w:color w:val="000000"/>
                <w:sz w:val="20"/>
                <w:szCs w:val="20"/>
              </w:rPr>
              <w:t xml:space="preserve">   93 106,83 </w:t>
            </w:r>
          </w:p>
        </w:tc>
      </w:tr>
      <w:tr w:rsidR="00875772" w:rsidRPr="00544A2F" w14:paraId="7FAFC69C" w14:textId="77777777" w:rsidTr="00875772">
        <w:trPr>
          <w:trHeight w:val="330"/>
        </w:trPr>
        <w:tc>
          <w:tcPr>
            <w:tcW w:w="4025" w:type="pct"/>
            <w:gridSpan w:val="2"/>
            <w:tcBorders>
              <w:top w:val="nil"/>
              <w:left w:val="single" w:sz="12" w:space="0" w:color="FFFFFF"/>
              <w:bottom w:val="single" w:sz="12" w:space="0" w:color="FFFFFF"/>
              <w:right w:val="single" w:sz="12" w:space="0" w:color="FFFFFF"/>
            </w:tcBorders>
            <w:shd w:val="clear" w:color="000000" w:fill="F2F2F2"/>
            <w:noWrap/>
            <w:hideMark/>
          </w:tcPr>
          <w:p w14:paraId="37513A9B" w14:textId="77777777" w:rsidR="00875772" w:rsidRPr="00544A2F" w:rsidRDefault="00875772" w:rsidP="00875772">
            <w:pPr>
              <w:spacing w:after="0" w:line="240" w:lineRule="auto"/>
              <w:rPr>
                <w:rFonts w:cstheme="minorHAnsi"/>
                <w:color w:val="000000"/>
                <w:sz w:val="20"/>
                <w:szCs w:val="20"/>
              </w:rPr>
            </w:pPr>
            <w:r>
              <w:rPr>
                <w:rFonts w:cstheme="minorHAnsi"/>
                <w:color w:val="000000"/>
                <w:sz w:val="20"/>
                <w:szCs w:val="20"/>
              </w:rPr>
              <w:t xml:space="preserve">Nezisková organizácia </w:t>
            </w:r>
            <w:proofErr w:type="spellStart"/>
            <w:r>
              <w:rPr>
                <w:rFonts w:cstheme="minorHAnsi"/>
                <w:color w:val="000000"/>
                <w:sz w:val="20"/>
                <w:szCs w:val="20"/>
              </w:rPr>
              <w:t>Diac</w:t>
            </w:r>
            <w:r w:rsidRPr="00544A2F">
              <w:rPr>
                <w:rFonts w:cstheme="minorHAnsi"/>
                <w:color w:val="000000"/>
                <w:sz w:val="20"/>
                <w:szCs w:val="20"/>
              </w:rPr>
              <w:t>onia</w:t>
            </w:r>
            <w:proofErr w:type="spellEnd"/>
            <w:r w:rsidRPr="00544A2F">
              <w:rPr>
                <w:rFonts w:cstheme="minorHAnsi"/>
                <w:color w:val="000000"/>
                <w:sz w:val="20"/>
                <w:szCs w:val="20"/>
              </w:rPr>
              <w:t xml:space="preserve"> Svätý Jur</w:t>
            </w:r>
          </w:p>
        </w:tc>
        <w:tc>
          <w:tcPr>
            <w:tcW w:w="975" w:type="pct"/>
            <w:gridSpan w:val="2"/>
            <w:tcBorders>
              <w:top w:val="nil"/>
              <w:left w:val="nil"/>
              <w:bottom w:val="single" w:sz="12" w:space="0" w:color="FFFFFF"/>
              <w:right w:val="single" w:sz="12" w:space="0" w:color="FFFFFF"/>
            </w:tcBorders>
            <w:shd w:val="clear" w:color="000000" w:fill="F2F2F2"/>
            <w:noWrap/>
            <w:hideMark/>
          </w:tcPr>
          <w:p w14:paraId="42422C71"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60 585,63 </w:t>
            </w:r>
          </w:p>
        </w:tc>
      </w:tr>
      <w:tr w:rsidR="00875772" w:rsidRPr="00544A2F" w14:paraId="6A38489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15634D87"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Nezisková organizácia VYSNÍVANÝ DOMOV</w:t>
            </w:r>
          </w:p>
        </w:tc>
        <w:tc>
          <w:tcPr>
            <w:tcW w:w="975" w:type="pct"/>
            <w:gridSpan w:val="2"/>
            <w:tcBorders>
              <w:top w:val="nil"/>
              <w:left w:val="nil"/>
              <w:bottom w:val="single" w:sz="12" w:space="0" w:color="FFFFFF"/>
              <w:right w:val="single" w:sz="12" w:space="0" w:color="FFFFFF"/>
            </w:tcBorders>
            <w:shd w:val="clear" w:color="000000" w:fill="F2F2F2"/>
            <w:noWrap/>
          </w:tcPr>
          <w:p w14:paraId="1DA1FB74"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88 849,80 </w:t>
            </w:r>
          </w:p>
        </w:tc>
      </w:tr>
      <w:tr w:rsidR="00875772" w:rsidRPr="00544A2F" w14:paraId="03E89D70"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C458C3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Nový deň, n. o.</w:t>
            </w:r>
          </w:p>
        </w:tc>
        <w:tc>
          <w:tcPr>
            <w:tcW w:w="975" w:type="pct"/>
            <w:gridSpan w:val="2"/>
            <w:tcBorders>
              <w:top w:val="nil"/>
              <w:left w:val="nil"/>
              <w:bottom w:val="single" w:sz="12" w:space="0" w:color="FFFFFF"/>
              <w:right w:val="single" w:sz="12" w:space="0" w:color="FFFFFF"/>
            </w:tcBorders>
            <w:shd w:val="clear" w:color="000000" w:fill="F2F2F2"/>
            <w:noWrap/>
          </w:tcPr>
          <w:p w14:paraId="6320FF22"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130 167,42 </w:t>
            </w:r>
          </w:p>
        </w:tc>
      </w:tr>
      <w:tr w:rsidR="00875772" w:rsidRPr="00544A2F" w14:paraId="4C73E3DC"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DEC7C40"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Nový domov Želiezovce, n. o.</w:t>
            </w:r>
          </w:p>
        </w:tc>
        <w:tc>
          <w:tcPr>
            <w:tcW w:w="975" w:type="pct"/>
            <w:gridSpan w:val="2"/>
            <w:tcBorders>
              <w:top w:val="nil"/>
              <w:left w:val="nil"/>
              <w:bottom w:val="single" w:sz="12" w:space="0" w:color="FFFFFF"/>
              <w:right w:val="single" w:sz="12" w:space="0" w:color="FFFFFF"/>
            </w:tcBorders>
            <w:shd w:val="clear" w:color="000000" w:fill="F2F2F2"/>
            <w:noWrap/>
          </w:tcPr>
          <w:p w14:paraId="44675D52"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5 817,58 </w:t>
            </w:r>
          </w:p>
        </w:tc>
      </w:tr>
      <w:tr w:rsidR="00875772" w:rsidRPr="00544A2F" w14:paraId="7820FB05"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14F95D4B"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Oáza života n. o.</w:t>
            </w:r>
          </w:p>
        </w:tc>
        <w:tc>
          <w:tcPr>
            <w:tcW w:w="975" w:type="pct"/>
            <w:gridSpan w:val="2"/>
            <w:tcBorders>
              <w:top w:val="nil"/>
              <w:left w:val="nil"/>
              <w:bottom w:val="single" w:sz="12" w:space="0" w:color="FFFFFF"/>
              <w:right w:val="single" w:sz="12" w:space="0" w:color="FFFFFF"/>
            </w:tcBorders>
            <w:shd w:val="clear" w:color="000000" w:fill="F2F2F2"/>
            <w:noWrap/>
          </w:tcPr>
          <w:p w14:paraId="3D7CCF14"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7 143,96 </w:t>
            </w:r>
          </w:p>
        </w:tc>
      </w:tr>
      <w:tr w:rsidR="00875772" w:rsidRPr="00544A2F" w14:paraId="4E96E1A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44AD6F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OAZIS, o. z.</w:t>
            </w:r>
          </w:p>
        </w:tc>
        <w:tc>
          <w:tcPr>
            <w:tcW w:w="975" w:type="pct"/>
            <w:gridSpan w:val="2"/>
            <w:tcBorders>
              <w:top w:val="nil"/>
              <w:left w:val="nil"/>
              <w:bottom w:val="single" w:sz="12" w:space="0" w:color="FFFFFF"/>
              <w:right w:val="single" w:sz="12" w:space="0" w:color="FFFFFF"/>
            </w:tcBorders>
            <w:shd w:val="clear" w:color="000000" w:fill="F2F2F2"/>
            <w:noWrap/>
          </w:tcPr>
          <w:p w14:paraId="6625AE26"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132 662,88 </w:t>
            </w:r>
          </w:p>
        </w:tc>
      </w:tr>
      <w:tr w:rsidR="00875772" w:rsidRPr="00544A2F" w14:paraId="7DB0B26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D5B1165"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Občianske združenie STOPA Slovensko</w:t>
            </w:r>
          </w:p>
        </w:tc>
        <w:tc>
          <w:tcPr>
            <w:tcW w:w="975" w:type="pct"/>
            <w:gridSpan w:val="2"/>
            <w:tcBorders>
              <w:top w:val="nil"/>
              <w:left w:val="nil"/>
              <w:bottom w:val="single" w:sz="12" w:space="0" w:color="FFFFFF"/>
              <w:right w:val="single" w:sz="12" w:space="0" w:color="FFFFFF"/>
            </w:tcBorders>
            <w:shd w:val="clear" w:color="000000" w:fill="F2F2F2"/>
            <w:noWrap/>
          </w:tcPr>
          <w:p w14:paraId="79B707BC"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12 389,76 </w:t>
            </w:r>
          </w:p>
        </w:tc>
      </w:tr>
      <w:tr w:rsidR="00875772" w:rsidRPr="00544A2F" w14:paraId="2680CD2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7EB9040A" w14:textId="77777777" w:rsidR="00875772" w:rsidRPr="00544A2F" w:rsidRDefault="00875772" w:rsidP="00875772">
            <w:pPr>
              <w:spacing w:after="0" w:line="240" w:lineRule="auto"/>
              <w:rPr>
                <w:rFonts w:cstheme="minorHAnsi"/>
                <w:color w:val="000000"/>
                <w:sz w:val="20"/>
                <w:szCs w:val="20"/>
              </w:rPr>
            </w:pPr>
            <w:proofErr w:type="spellStart"/>
            <w:r w:rsidRPr="00544A2F">
              <w:rPr>
                <w:rFonts w:cstheme="minorHAnsi"/>
                <w:color w:val="000000"/>
                <w:sz w:val="20"/>
                <w:szCs w:val="20"/>
              </w:rPr>
              <w:t>Ohel</w:t>
            </w:r>
            <w:proofErr w:type="spellEnd"/>
            <w:r w:rsidRPr="00544A2F">
              <w:rPr>
                <w:rFonts w:cstheme="minorHAnsi"/>
                <w:color w:val="000000"/>
                <w:sz w:val="20"/>
                <w:szCs w:val="20"/>
              </w:rPr>
              <w:t xml:space="preserve"> David</w:t>
            </w:r>
          </w:p>
        </w:tc>
        <w:tc>
          <w:tcPr>
            <w:tcW w:w="975" w:type="pct"/>
            <w:gridSpan w:val="2"/>
            <w:tcBorders>
              <w:top w:val="nil"/>
              <w:left w:val="nil"/>
              <w:bottom w:val="single" w:sz="12" w:space="0" w:color="FFFFFF"/>
              <w:right w:val="single" w:sz="12" w:space="0" w:color="FFFFFF"/>
            </w:tcBorders>
            <w:shd w:val="clear" w:color="000000" w:fill="F2F2F2"/>
            <w:noWrap/>
          </w:tcPr>
          <w:p w14:paraId="1ADCDFC2"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191 265,64 </w:t>
            </w:r>
          </w:p>
        </w:tc>
      </w:tr>
      <w:tr w:rsidR="00875772" w:rsidRPr="00544A2F" w14:paraId="7D7D53B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364B0312"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ORLÍK, o. z.</w:t>
            </w:r>
          </w:p>
        </w:tc>
        <w:tc>
          <w:tcPr>
            <w:tcW w:w="975" w:type="pct"/>
            <w:gridSpan w:val="2"/>
            <w:tcBorders>
              <w:top w:val="nil"/>
              <w:left w:val="nil"/>
              <w:bottom w:val="single" w:sz="12" w:space="0" w:color="FFFFFF"/>
              <w:right w:val="single" w:sz="12" w:space="0" w:color="FFFFFF"/>
            </w:tcBorders>
            <w:shd w:val="clear" w:color="000000" w:fill="F2F2F2"/>
            <w:noWrap/>
          </w:tcPr>
          <w:p w14:paraId="76C1A253"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17 751,74 </w:t>
            </w:r>
          </w:p>
        </w:tc>
      </w:tr>
      <w:tr w:rsidR="00875772" w:rsidRPr="00544A2F" w14:paraId="54FDD09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4C01A690"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Pohoda seniorov</w:t>
            </w:r>
          </w:p>
        </w:tc>
        <w:tc>
          <w:tcPr>
            <w:tcW w:w="975" w:type="pct"/>
            <w:gridSpan w:val="2"/>
            <w:tcBorders>
              <w:top w:val="nil"/>
              <w:left w:val="nil"/>
              <w:bottom w:val="single" w:sz="12" w:space="0" w:color="FFFFFF"/>
              <w:right w:val="single" w:sz="12" w:space="0" w:color="FFFFFF"/>
            </w:tcBorders>
            <w:shd w:val="clear" w:color="000000" w:fill="F2F2F2"/>
            <w:noWrap/>
          </w:tcPr>
          <w:p w14:paraId="765FD1BA"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67 215,96 </w:t>
            </w:r>
          </w:p>
        </w:tc>
      </w:tr>
      <w:tr w:rsidR="00875772" w:rsidRPr="00544A2F" w14:paraId="5B0FB99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838332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Pokoj a zdravie, n. o.</w:t>
            </w:r>
          </w:p>
        </w:tc>
        <w:tc>
          <w:tcPr>
            <w:tcW w:w="975" w:type="pct"/>
            <w:gridSpan w:val="2"/>
            <w:tcBorders>
              <w:top w:val="nil"/>
              <w:left w:val="nil"/>
              <w:bottom w:val="single" w:sz="12" w:space="0" w:color="FFFFFF"/>
              <w:right w:val="single" w:sz="12" w:space="0" w:color="FFFFFF"/>
            </w:tcBorders>
            <w:shd w:val="clear" w:color="000000" w:fill="F2F2F2"/>
            <w:noWrap/>
          </w:tcPr>
          <w:p w14:paraId="0F0F5A81"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32 814,00 </w:t>
            </w:r>
          </w:p>
        </w:tc>
      </w:tr>
      <w:tr w:rsidR="00875772" w:rsidRPr="00544A2F" w14:paraId="6FC9B545"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54FAE93"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PRAMEŇ NÁDEJE - Tekovské Lužany</w:t>
            </w:r>
          </w:p>
        </w:tc>
        <w:tc>
          <w:tcPr>
            <w:tcW w:w="975" w:type="pct"/>
            <w:gridSpan w:val="2"/>
            <w:tcBorders>
              <w:top w:val="nil"/>
              <w:left w:val="nil"/>
              <w:bottom w:val="single" w:sz="12" w:space="0" w:color="FFFFFF"/>
              <w:right w:val="single" w:sz="12" w:space="0" w:color="FFFFFF"/>
            </w:tcBorders>
            <w:shd w:val="clear" w:color="000000" w:fill="F2F2F2"/>
            <w:noWrap/>
          </w:tcPr>
          <w:p w14:paraId="5CE8F346"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5 956,80 </w:t>
            </w:r>
          </w:p>
        </w:tc>
      </w:tr>
      <w:tr w:rsidR="00875772" w:rsidRPr="00544A2F" w14:paraId="2C294912"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83C0709"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PRIMA, n. o.</w:t>
            </w:r>
          </w:p>
        </w:tc>
        <w:tc>
          <w:tcPr>
            <w:tcW w:w="975" w:type="pct"/>
            <w:gridSpan w:val="2"/>
            <w:tcBorders>
              <w:top w:val="nil"/>
              <w:left w:val="nil"/>
              <w:bottom w:val="single" w:sz="12" w:space="0" w:color="FFFFFF"/>
              <w:right w:val="single" w:sz="12" w:space="0" w:color="FFFFFF"/>
            </w:tcBorders>
            <w:shd w:val="clear" w:color="000000" w:fill="F2F2F2"/>
            <w:noWrap/>
          </w:tcPr>
          <w:p w14:paraId="21E6BE8F"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38 883,73 </w:t>
            </w:r>
          </w:p>
        </w:tc>
      </w:tr>
      <w:tr w:rsidR="00875772" w:rsidRPr="00544A2F" w14:paraId="3D77D3C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46E4F834"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PRIMULA - stredisko sociálnych služieb, n. o.</w:t>
            </w:r>
          </w:p>
        </w:tc>
        <w:tc>
          <w:tcPr>
            <w:tcW w:w="975" w:type="pct"/>
            <w:gridSpan w:val="2"/>
            <w:tcBorders>
              <w:top w:val="nil"/>
              <w:left w:val="nil"/>
              <w:bottom w:val="single" w:sz="12" w:space="0" w:color="FFFFFF"/>
              <w:right w:val="single" w:sz="12" w:space="0" w:color="FFFFFF"/>
            </w:tcBorders>
            <w:shd w:val="clear" w:color="000000" w:fill="F2F2F2"/>
            <w:noWrap/>
          </w:tcPr>
          <w:p w14:paraId="5912B35D"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161 549,02 </w:t>
            </w:r>
          </w:p>
        </w:tc>
      </w:tr>
      <w:tr w:rsidR="00875772" w:rsidRPr="00544A2F" w14:paraId="22E6773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3904165E" w14:textId="77777777" w:rsidR="00875772" w:rsidRPr="00544A2F" w:rsidRDefault="00875772" w:rsidP="00875772">
            <w:pPr>
              <w:spacing w:after="0" w:line="240" w:lineRule="auto"/>
              <w:rPr>
                <w:rFonts w:cstheme="minorHAnsi"/>
                <w:color w:val="000000"/>
                <w:sz w:val="20"/>
                <w:szCs w:val="20"/>
              </w:rPr>
            </w:pPr>
            <w:proofErr w:type="spellStart"/>
            <w:r w:rsidRPr="00544A2F">
              <w:rPr>
                <w:rFonts w:cstheme="minorHAnsi"/>
                <w:color w:val="000000"/>
                <w:sz w:val="20"/>
                <w:szCs w:val="20"/>
              </w:rPr>
              <w:t>Prosenior</w:t>
            </w:r>
            <w:proofErr w:type="spellEnd"/>
          </w:p>
        </w:tc>
        <w:tc>
          <w:tcPr>
            <w:tcW w:w="975" w:type="pct"/>
            <w:gridSpan w:val="2"/>
            <w:tcBorders>
              <w:top w:val="nil"/>
              <w:left w:val="nil"/>
              <w:bottom w:val="single" w:sz="12" w:space="0" w:color="FFFFFF"/>
              <w:right w:val="single" w:sz="12" w:space="0" w:color="FFFFFF"/>
            </w:tcBorders>
            <w:shd w:val="clear" w:color="000000" w:fill="F2F2F2"/>
            <w:noWrap/>
          </w:tcPr>
          <w:p w14:paraId="6CDAD9E7"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86 180,10 </w:t>
            </w:r>
          </w:p>
        </w:tc>
      </w:tr>
      <w:tr w:rsidR="00875772" w:rsidRPr="00544A2F" w14:paraId="771CC249"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7E7956F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PROVIDENTIA</w:t>
            </w:r>
          </w:p>
        </w:tc>
        <w:tc>
          <w:tcPr>
            <w:tcW w:w="975" w:type="pct"/>
            <w:gridSpan w:val="2"/>
            <w:tcBorders>
              <w:top w:val="nil"/>
              <w:left w:val="nil"/>
              <w:bottom w:val="single" w:sz="12" w:space="0" w:color="FFFFFF"/>
              <w:right w:val="single" w:sz="12" w:space="0" w:color="FFFFFF"/>
            </w:tcBorders>
            <w:shd w:val="clear" w:color="000000" w:fill="F2F2F2"/>
            <w:noWrap/>
          </w:tcPr>
          <w:p w14:paraId="100A52F2"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30 368,16 </w:t>
            </w:r>
          </w:p>
        </w:tc>
      </w:tr>
      <w:tr w:rsidR="00875772" w:rsidRPr="00544A2F" w14:paraId="5DD8A4BA"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5566973"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RAFAEL dom n. o.</w:t>
            </w:r>
          </w:p>
        </w:tc>
        <w:tc>
          <w:tcPr>
            <w:tcW w:w="975" w:type="pct"/>
            <w:gridSpan w:val="2"/>
            <w:tcBorders>
              <w:top w:val="nil"/>
              <w:left w:val="nil"/>
              <w:bottom w:val="single" w:sz="12" w:space="0" w:color="FFFFFF"/>
              <w:right w:val="single" w:sz="12" w:space="0" w:color="FFFFFF"/>
            </w:tcBorders>
            <w:shd w:val="clear" w:color="000000" w:fill="F2F2F2"/>
            <w:noWrap/>
          </w:tcPr>
          <w:p w14:paraId="7F182F39"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171 180,91 </w:t>
            </w:r>
          </w:p>
        </w:tc>
      </w:tr>
      <w:tr w:rsidR="00875772" w:rsidRPr="00544A2F" w14:paraId="027EAF6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5B3459B2"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 xml:space="preserve">Senior </w:t>
            </w:r>
            <w:proofErr w:type="spellStart"/>
            <w:r w:rsidRPr="00544A2F">
              <w:rPr>
                <w:rFonts w:cstheme="minorHAnsi"/>
                <w:color w:val="000000"/>
                <w:sz w:val="20"/>
                <w:szCs w:val="20"/>
              </w:rPr>
              <w:t>Care</w:t>
            </w:r>
            <w:proofErr w:type="spellEnd"/>
            <w:r w:rsidRPr="00544A2F">
              <w:rPr>
                <w:rFonts w:cstheme="minorHAnsi"/>
                <w:color w:val="000000"/>
                <w:sz w:val="20"/>
                <w:szCs w:val="20"/>
              </w:rPr>
              <w:t xml:space="preserve"> Galanta n. o.</w:t>
            </w:r>
          </w:p>
        </w:tc>
        <w:tc>
          <w:tcPr>
            <w:tcW w:w="975" w:type="pct"/>
            <w:gridSpan w:val="2"/>
            <w:tcBorders>
              <w:top w:val="nil"/>
              <w:left w:val="nil"/>
              <w:bottom w:val="single" w:sz="12" w:space="0" w:color="FFFFFF"/>
              <w:right w:val="single" w:sz="12" w:space="0" w:color="FFFFFF"/>
            </w:tcBorders>
            <w:shd w:val="clear" w:color="000000" w:fill="F2F2F2"/>
            <w:noWrap/>
          </w:tcPr>
          <w:p w14:paraId="0261F19C"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30 607,53 </w:t>
            </w:r>
          </w:p>
        </w:tc>
      </w:tr>
      <w:tr w:rsidR="00875772" w:rsidRPr="00544A2F" w14:paraId="60F3E228"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511B27E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lastRenderedPageBreak/>
              <w:t>Senior klub Studienka</w:t>
            </w:r>
          </w:p>
        </w:tc>
        <w:tc>
          <w:tcPr>
            <w:tcW w:w="975" w:type="pct"/>
            <w:gridSpan w:val="2"/>
            <w:tcBorders>
              <w:top w:val="nil"/>
              <w:left w:val="nil"/>
              <w:bottom w:val="single" w:sz="12" w:space="0" w:color="FFFFFF"/>
              <w:right w:val="single" w:sz="12" w:space="0" w:color="FFFFFF"/>
            </w:tcBorders>
            <w:shd w:val="clear" w:color="000000" w:fill="F2F2F2"/>
            <w:noWrap/>
          </w:tcPr>
          <w:p w14:paraId="19D6CFF0"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224 867,61 </w:t>
            </w:r>
          </w:p>
        </w:tc>
      </w:tr>
      <w:tr w:rsidR="00875772" w:rsidRPr="00544A2F" w14:paraId="311E2C1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7380CAD"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 xml:space="preserve">Senior park </w:t>
            </w:r>
            <w:r>
              <w:rPr>
                <w:rFonts w:cstheme="minorHAnsi"/>
                <w:color w:val="000000"/>
                <w:sz w:val="20"/>
                <w:szCs w:val="20"/>
              </w:rPr>
              <w:t xml:space="preserve">n. o. </w:t>
            </w:r>
            <w:r w:rsidRPr="00544A2F">
              <w:rPr>
                <w:rFonts w:cstheme="minorHAnsi"/>
                <w:color w:val="000000"/>
                <w:sz w:val="20"/>
                <w:szCs w:val="20"/>
              </w:rPr>
              <w:t>Rohovce</w:t>
            </w:r>
          </w:p>
        </w:tc>
        <w:tc>
          <w:tcPr>
            <w:tcW w:w="975" w:type="pct"/>
            <w:gridSpan w:val="2"/>
            <w:tcBorders>
              <w:top w:val="nil"/>
              <w:left w:val="nil"/>
              <w:bottom w:val="single" w:sz="12" w:space="0" w:color="FFFFFF"/>
              <w:right w:val="single" w:sz="12" w:space="0" w:color="FFFFFF"/>
            </w:tcBorders>
            <w:shd w:val="clear" w:color="000000" w:fill="F2F2F2"/>
            <w:noWrap/>
          </w:tcPr>
          <w:p w14:paraId="0C4AEACB"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229 374,10 </w:t>
            </w:r>
          </w:p>
        </w:tc>
      </w:tr>
      <w:tr w:rsidR="00875772" w:rsidRPr="00544A2F" w14:paraId="41ECD744"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6D8E26A0"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Senior POHODA n. o.</w:t>
            </w:r>
          </w:p>
        </w:tc>
        <w:tc>
          <w:tcPr>
            <w:tcW w:w="975" w:type="pct"/>
            <w:gridSpan w:val="2"/>
            <w:tcBorders>
              <w:top w:val="nil"/>
              <w:left w:val="nil"/>
              <w:bottom w:val="single" w:sz="12" w:space="0" w:color="FFFFFF"/>
              <w:right w:val="single" w:sz="12" w:space="0" w:color="FFFFFF"/>
            </w:tcBorders>
            <w:shd w:val="clear" w:color="000000" w:fill="F2F2F2"/>
            <w:noWrap/>
          </w:tcPr>
          <w:p w14:paraId="016CB1C7"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35 030,13 </w:t>
            </w:r>
          </w:p>
        </w:tc>
      </w:tr>
      <w:tr w:rsidR="00875772" w:rsidRPr="00544A2F" w14:paraId="6070D9D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360B197B"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 xml:space="preserve">Senior </w:t>
            </w:r>
            <w:r>
              <w:rPr>
                <w:rFonts w:cstheme="minorHAnsi"/>
                <w:color w:val="000000"/>
                <w:sz w:val="20"/>
                <w:szCs w:val="20"/>
              </w:rPr>
              <w:t xml:space="preserve">n. o. </w:t>
            </w:r>
            <w:r w:rsidRPr="00544A2F">
              <w:rPr>
                <w:rFonts w:cstheme="minorHAnsi"/>
                <w:color w:val="000000"/>
                <w:sz w:val="20"/>
                <w:szCs w:val="20"/>
              </w:rPr>
              <w:t>Vojka</w:t>
            </w:r>
            <w:r>
              <w:rPr>
                <w:rFonts w:cstheme="minorHAnsi"/>
                <w:color w:val="000000"/>
                <w:sz w:val="20"/>
                <w:szCs w:val="20"/>
              </w:rPr>
              <w:t xml:space="preserve"> nad Dunajom</w:t>
            </w:r>
          </w:p>
        </w:tc>
        <w:tc>
          <w:tcPr>
            <w:tcW w:w="975" w:type="pct"/>
            <w:gridSpan w:val="2"/>
            <w:tcBorders>
              <w:top w:val="nil"/>
              <w:left w:val="nil"/>
              <w:bottom w:val="single" w:sz="12" w:space="0" w:color="FFFFFF"/>
              <w:right w:val="single" w:sz="12" w:space="0" w:color="FFFFFF"/>
            </w:tcBorders>
            <w:shd w:val="clear" w:color="000000" w:fill="F2F2F2"/>
            <w:noWrap/>
          </w:tcPr>
          <w:p w14:paraId="62DD5774"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94 706,44 </w:t>
            </w:r>
          </w:p>
        </w:tc>
      </w:tr>
      <w:tr w:rsidR="00875772" w:rsidRPr="00544A2F" w14:paraId="528A6E35"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646167F0"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Senior, geriatrické centrum</w:t>
            </w:r>
          </w:p>
        </w:tc>
        <w:tc>
          <w:tcPr>
            <w:tcW w:w="975" w:type="pct"/>
            <w:gridSpan w:val="2"/>
            <w:tcBorders>
              <w:top w:val="nil"/>
              <w:left w:val="nil"/>
              <w:bottom w:val="single" w:sz="12" w:space="0" w:color="FFFFFF"/>
              <w:right w:val="single" w:sz="12" w:space="0" w:color="FFFFFF"/>
            </w:tcBorders>
            <w:shd w:val="clear" w:color="000000" w:fill="F2F2F2"/>
            <w:noWrap/>
          </w:tcPr>
          <w:p w14:paraId="07DD5ECC"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95 971,64 </w:t>
            </w:r>
          </w:p>
        </w:tc>
      </w:tr>
      <w:tr w:rsidR="00875772" w:rsidRPr="00544A2F" w14:paraId="3EFF7CA1"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3B2C6A4" w14:textId="77777777" w:rsidR="00875772" w:rsidRPr="00544A2F" w:rsidRDefault="00875772" w:rsidP="00875772">
            <w:pPr>
              <w:spacing w:after="0" w:line="240" w:lineRule="auto"/>
              <w:rPr>
                <w:rFonts w:cstheme="minorHAnsi"/>
                <w:color w:val="000000"/>
                <w:sz w:val="20"/>
                <w:szCs w:val="20"/>
              </w:rPr>
            </w:pPr>
            <w:proofErr w:type="spellStart"/>
            <w:r w:rsidRPr="00544A2F">
              <w:rPr>
                <w:rFonts w:cstheme="minorHAnsi"/>
                <w:color w:val="000000"/>
                <w:sz w:val="20"/>
                <w:szCs w:val="20"/>
              </w:rPr>
              <w:t>Seniorpark</w:t>
            </w:r>
            <w:proofErr w:type="spellEnd"/>
            <w:r w:rsidRPr="00544A2F">
              <w:rPr>
                <w:rFonts w:cstheme="minorHAnsi"/>
                <w:color w:val="000000"/>
                <w:sz w:val="20"/>
                <w:szCs w:val="20"/>
              </w:rPr>
              <w:t xml:space="preserve"> n. o., </w:t>
            </w:r>
            <w:proofErr w:type="spellStart"/>
            <w:r w:rsidRPr="00544A2F">
              <w:rPr>
                <w:rFonts w:cstheme="minorHAnsi"/>
                <w:color w:val="000000"/>
                <w:sz w:val="20"/>
                <w:szCs w:val="20"/>
              </w:rPr>
              <w:t>Kvetnica</w:t>
            </w:r>
            <w:proofErr w:type="spellEnd"/>
          </w:p>
        </w:tc>
        <w:tc>
          <w:tcPr>
            <w:tcW w:w="975" w:type="pct"/>
            <w:gridSpan w:val="2"/>
            <w:tcBorders>
              <w:top w:val="nil"/>
              <w:left w:val="nil"/>
              <w:bottom w:val="single" w:sz="12" w:space="0" w:color="FFFFFF"/>
              <w:right w:val="single" w:sz="12" w:space="0" w:color="FFFFFF"/>
            </w:tcBorders>
            <w:shd w:val="clear" w:color="000000" w:fill="F2F2F2"/>
            <w:noWrap/>
          </w:tcPr>
          <w:p w14:paraId="1C7B3DD3"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3 257,76 </w:t>
            </w:r>
          </w:p>
        </w:tc>
      </w:tr>
      <w:tr w:rsidR="00875772" w:rsidRPr="00544A2F" w14:paraId="7385AF4C"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6A5CF012"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Slovenský Červený kríž, územný spolok Trebišov</w:t>
            </w:r>
          </w:p>
        </w:tc>
        <w:tc>
          <w:tcPr>
            <w:tcW w:w="975" w:type="pct"/>
            <w:gridSpan w:val="2"/>
            <w:tcBorders>
              <w:top w:val="nil"/>
              <w:left w:val="nil"/>
              <w:bottom w:val="single" w:sz="12" w:space="0" w:color="FFFFFF"/>
              <w:right w:val="single" w:sz="12" w:space="0" w:color="FFFFFF"/>
            </w:tcBorders>
            <w:shd w:val="clear" w:color="000000" w:fill="F2F2F2"/>
            <w:noWrap/>
          </w:tcPr>
          <w:p w14:paraId="0A72DC9A"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4 283,10 </w:t>
            </w:r>
          </w:p>
        </w:tc>
      </w:tr>
      <w:tr w:rsidR="00875772" w:rsidRPr="00544A2F" w14:paraId="4897C16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6AA2EF04"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Slovenský Červený kríž – územný spolok Bratislava mesto</w:t>
            </w:r>
          </w:p>
        </w:tc>
        <w:tc>
          <w:tcPr>
            <w:tcW w:w="975" w:type="pct"/>
            <w:gridSpan w:val="2"/>
            <w:tcBorders>
              <w:top w:val="nil"/>
              <w:left w:val="nil"/>
              <w:bottom w:val="single" w:sz="12" w:space="0" w:color="FFFFFF"/>
              <w:right w:val="single" w:sz="12" w:space="0" w:color="FFFFFF"/>
            </w:tcBorders>
            <w:shd w:val="clear" w:color="000000" w:fill="F2F2F2"/>
            <w:noWrap/>
          </w:tcPr>
          <w:p w14:paraId="07B868C3"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52 861,30 </w:t>
            </w:r>
          </w:p>
        </w:tc>
      </w:tr>
      <w:tr w:rsidR="00875772" w:rsidRPr="00544A2F" w14:paraId="71F0DCAA"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0E4627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Spoločnosť priateľov detí z detských domovov Úsmev ako dar</w:t>
            </w:r>
          </w:p>
        </w:tc>
        <w:tc>
          <w:tcPr>
            <w:tcW w:w="975" w:type="pct"/>
            <w:gridSpan w:val="2"/>
            <w:tcBorders>
              <w:top w:val="nil"/>
              <w:left w:val="nil"/>
              <w:bottom w:val="single" w:sz="12" w:space="0" w:color="FFFFFF"/>
              <w:right w:val="single" w:sz="12" w:space="0" w:color="FFFFFF"/>
            </w:tcBorders>
            <w:shd w:val="clear" w:color="000000" w:fill="F2F2F2"/>
            <w:noWrap/>
          </w:tcPr>
          <w:p w14:paraId="54A25056"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29 606,16 </w:t>
            </w:r>
          </w:p>
        </w:tc>
      </w:tr>
      <w:tr w:rsidR="00875772" w:rsidRPr="00544A2F" w14:paraId="4A81F854"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404E60DE"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Spišská katolícka charita</w:t>
            </w:r>
          </w:p>
        </w:tc>
        <w:tc>
          <w:tcPr>
            <w:tcW w:w="975" w:type="pct"/>
            <w:gridSpan w:val="2"/>
            <w:tcBorders>
              <w:top w:val="nil"/>
              <w:left w:val="nil"/>
              <w:bottom w:val="single" w:sz="12" w:space="0" w:color="FFFFFF"/>
              <w:right w:val="single" w:sz="12" w:space="0" w:color="FFFFFF"/>
            </w:tcBorders>
            <w:shd w:val="clear" w:color="000000" w:fill="F2F2F2"/>
            <w:noWrap/>
          </w:tcPr>
          <w:p w14:paraId="19E6E8E9"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4 377,96 </w:t>
            </w:r>
          </w:p>
        </w:tc>
      </w:tr>
      <w:tr w:rsidR="00875772" w:rsidRPr="00544A2F" w14:paraId="077C137B"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77208581"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Spoločnosť Ježišova</w:t>
            </w:r>
          </w:p>
        </w:tc>
        <w:tc>
          <w:tcPr>
            <w:tcW w:w="975" w:type="pct"/>
            <w:gridSpan w:val="2"/>
            <w:tcBorders>
              <w:top w:val="nil"/>
              <w:left w:val="nil"/>
              <w:bottom w:val="single" w:sz="12" w:space="0" w:color="FFFFFF"/>
              <w:right w:val="single" w:sz="12" w:space="0" w:color="FFFFFF"/>
            </w:tcBorders>
            <w:shd w:val="clear" w:color="000000" w:fill="F2F2F2"/>
            <w:noWrap/>
          </w:tcPr>
          <w:p w14:paraId="35AEA1A5"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11 851,92 </w:t>
            </w:r>
          </w:p>
        </w:tc>
      </w:tr>
      <w:tr w:rsidR="00875772" w:rsidRPr="00544A2F" w14:paraId="144916CF"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3E0415AC"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SPOLU o. z.</w:t>
            </w:r>
          </w:p>
        </w:tc>
        <w:tc>
          <w:tcPr>
            <w:tcW w:w="975" w:type="pct"/>
            <w:gridSpan w:val="2"/>
            <w:tcBorders>
              <w:top w:val="nil"/>
              <w:left w:val="nil"/>
              <w:bottom w:val="single" w:sz="12" w:space="0" w:color="FFFFFF"/>
              <w:right w:val="single" w:sz="12" w:space="0" w:color="FFFFFF"/>
            </w:tcBorders>
            <w:shd w:val="clear" w:color="000000" w:fill="F2F2F2"/>
            <w:noWrap/>
          </w:tcPr>
          <w:p w14:paraId="3DC045F8"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19 482,86 </w:t>
            </w:r>
          </w:p>
        </w:tc>
      </w:tr>
      <w:tr w:rsidR="00875772" w:rsidRPr="00544A2F" w14:paraId="1B66315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52FCC343"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Stredisko Evanjelickej DIAKONIE, Trnava</w:t>
            </w:r>
          </w:p>
        </w:tc>
        <w:tc>
          <w:tcPr>
            <w:tcW w:w="975" w:type="pct"/>
            <w:gridSpan w:val="2"/>
            <w:tcBorders>
              <w:top w:val="nil"/>
              <w:left w:val="nil"/>
              <w:bottom w:val="single" w:sz="12" w:space="0" w:color="FFFFFF"/>
              <w:right w:val="single" w:sz="12" w:space="0" w:color="FFFFFF"/>
            </w:tcBorders>
            <w:shd w:val="clear" w:color="000000" w:fill="F2F2F2"/>
            <w:noWrap/>
          </w:tcPr>
          <w:p w14:paraId="45DBC6CB"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6 812,14 </w:t>
            </w:r>
          </w:p>
        </w:tc>
      </w:tr>
      <w:tr w:rsidR="00875772" w:rsidRPr="00544A2F" w14:paraId="612A0772"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3A7F970B" w14:textId="77777777" w:rsidR="00875772" w:rsidRPr="00544A2F" w:rsidRDefault="00875772" w:rsidP="00875772">
            <w:pPr>
              <w:spacing w:after="0" w:line="240" w:lineRule="auto"/>
              <w:rPr>
                <w:rFonts w:cstheme="minorHAnsi"/>
                <w:color w:val="000000"/>
                <w:sz w:val="20"/>
                <w:szCs w:val="20"/>
              </w:rPr>
            </w:pPr>
            <w:proofErr w:type="spellStart"/>
            <w:r w:rsidRPr="00544A2F">
              <w:rPr>
                <w:rFonts w:cstheme="minorHAnsi"/>
                <w:color w:val="000000"/>
                <w:sz w:val="20"/>
                <w:szCs w:val="20"/>
              </w:rPr>
              <w:t>Prosenior</w:t>
            </w:r>
            <w:proofErr w:type="spellEnd"/>
          </w:p>
        </w:tc>
        <w:tc>
          <w:tcPr>
            <w:tcW w:w="975" w:type="pct"/>
            <w:gridSpan w:val="2"/>
            <w:tcBorders>
              <w:top w:val="nil"/>
              <w:left w:val="nil"/>
              <w:bottom w:val="single" w:sz="12" w:space="0" w:color="FFFFFF"/>
              <w:right w:val="single" w:sz="12" w:space="0" w:color="FFFFFF"/>
            </w:tcBorders>
            <w:shd w:val="clear" w:color="000000" w:fill="F2F2F2"/>
            <w:noWrap/>
          </w:tcPr>
          <w:p w14:paraId="4BD262ED"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86 180,10 </w:t>
            </w:r>
          </w:p>
        </w:tc>
      </w:tr>
      <w:tr w:rsidR="00875772" w:rsidRPr="00544A2F" w14:paraId="4B376D4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46C8917"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SVETLO DOMOVA</w:t>
            </w:r>
          </w:p>
        </w:tc>
        <w:tc>
          <w:tcPr>
            <w:tcW w:w="975" w:type="pct"/>
            <w:gridSpan w:val="2"/>
            <w:tcBorders>
              <w:top w:val="nil"/>
              <w:left w:val="nil"/>
              <w:bottom w:val="single" w:sz="12" w:space="0" w:color="FFFFFF"/>
              <w:right w:val="single" w:sz="12" w:space="0" w:color="FFFFFF"/>
            </w:tcBorders>
            <w:shd w:val="clear" w:color="000000" w:fill="F2F2F2"/>
            <w:noWrap/>
          </w:tcPr>
          <w:p w14:paraId="72D407AD"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2 882,52 </w:t>
            </w:r>
          </w:p>
        </w:tc>
      </w:tr>
      <w:tr w:rsidR="00875772" w:rsidRPr="00544A2F" w14:paraId="461D088C"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8676F1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SYMPATHY n. o.</w:t>
            </w:r>
          </w:p>
        </w:tc>
        <w:tc>
          <w:tcPr>
            <w:tcW w:w="975" w:type="pct"/>
            <w:gridSpan w:val="2"/>
            <w:tcBorders>
              <w:top w:val="nil"/>
              <w:left w:val="nil"/>
              <w:bottom w:val="single" w:sz="12" w:space="0" w:color="FFFFFF"/>
              <w:right w:val="single" w:sz="12" w:space="0" w:color="FFFFFF"/>
            </w:tcBorders>
            <w:shd w:val="clear" w:color="000000" w:fill="F2F2F2"/>
            <w:noWrap/>
          </w:tcPr>
          <w:p w14:paraId="231DB7B3"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6 562,80 </w:t>
            </w:r>
          </w:p>
        </w:tc>
      </w:tr>
      <w:tr w:rsidR="00875772" w:rsidRPr="00544A2F" w14:paraId="5D437E2E"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62DDB760" w14:textId="77777777" w:rsidR="00875772" w:rsidRPr="00544A2F" w:rsidRDefault="00875772" w:rsidP="00875772">
            <w:pPr>
              <w:spacing w:after="0" w:line="240" w:lineRule="auto"/>
              <w:rPr>
                <w:rFonts w:cstheme="minorHAnsi"/>
                <w:color w:val="000000"/>
                <w:sz w:val="20"/>
                <w:szCs w:val="20"/>
              </w:rPr>
            </w:pPr>
            <w:proofErr w:type="spellStart"/>
            <w:r w:rsidRPr="00544A2F">
              <w:rPr>
                <w:rFonts w:cstheme="minorHAnsi"/>
                <w:color w:val="000000"/>
                <w:sz w:val="20"/>
                <w:szCs w:val="20"/>
              </w:rPr>
              <w:t>Tekla</w:t>
            </w:r>
            <w:proofErr w:type="spellEnd"/>
            <w:r w:rsidRPr="00544A2F">
              <w:rPr>
                <w:rFonts w:cstheme="minorHAnsi"/>
                <w:color w:val="000000"/>
                <w:sz w:val="20"/>
                <w:szCs w:val="20"/>
              </w:rPr>
              <w:t>, o. z.</w:t>
            </w:r>
          </w:p>
        </w:tc>
        <w:tc>
          <w:tcPr>
            <w:tcW w:w="975" w:type="pct"/>
            <w:gridSpan w:val="2"/>
            <w:tcBorders>
              <w:top w:val="nil"/>
              <w:left w:val="nil"/>
              <w:bottom w:val="single" w:sz="12" w:space="0" w:color="FFFFFF"/>
              <w:right w:val="single" w:sz="12" w:space="0" w:color="FFFFFF"/>
            </w:tcBorders>
            <w:shd w:val="clear" w:color="000000" w:fill="F2F2F2"/>
            <w:noWrap/>
          </w:tcPr>
          <w:p w14:paraId="6ED0D9E1"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34 519,32 </w:t>
            </w:r>
          </w:p>
        </w:tc>
      </w:tr>
      <w:tr w:rsidR="00875772" w:rsidRPr="00544A2F" w14:paraId="38116025"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14C84DB"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Terézia, n. o.</w:t>
            </w:r>
          </w:p>
        </w:tc>
        <w:tc>
          <w:tcPr>
            <w:tcW w:w="975" w:type="pct"/>
            <w:gridSpan w:val="2"/>
            <w:tcBorders>
              <w:top w:val="nil"/>
              <w:left w:val="nil"/>
              <w:bottom w:val="single" w:sz="12" w:space="0" w:color="FFFFFF"/>
              <w:right w:val="single" w:sz="12" w:space="0" w:color="FFFFFF"/>
            </w:tcBorders>
            <w:shd w:val="clear" w:color="000000" w:fill="F2F2F2"/>
            <w:noWrap/>
          </w:tcPr>
          <w:p w14:paraId="6F916660"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606,57 </w:t>
            </w:r>
          </w:p>
        </w:tc>
      </w:tr>
      <w:tr w:rsidR="00875772" w:rsidRPr="00544A2F" w14:paraId="0D9B6039"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0DA246C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 xml:space="preserve">Viera-Láska-Nádej, o. z. </w:t>
            </w:r>
          </w:p>
        </w:tc>
        <w:tc>
          <w:tcPr>
            <w:tcW w:w="975" w:type="pct"/>
            <w:gridSpan w:val="2"/>
            <w:tcBorders>
              <w:top w:val="nil"/>
              <w:left w:val="nil"/>
              <w:bottom w:val="single" w:sz="12" w:space="0" w:color="FFFFFF"/>
              <w:right w:val="single" w:sz="12" w:space="0" w:color="FFFFFF"/>
            </w:tcBorders>
            <w:shd w:val="clear" w:color="000000" w:fill="F2F2F2"/>
            <w:noWrap/>
          </w:tcPr>
          <w:p w14:paraId="25822A3E"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20 886,03 </w:t>
            </w:r>
          </w:p>
        </w:tc>
      </w:tr>
      <w:tr w:rsidR="00875772" w:rsidRPr="00544A2F" w14:paraId="2E6432CB"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1CC71A10"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VSTÚPTE</w:t>
            </w:r>
          </w:p>
        </w:tc>
        <w:tc>
          <w:tcPr>
            <w:tcW w:w="975" w:type="pct"/>
            <w:gridSpan w:val="2"/>
            <w:tcBorders>
              <w:top w:val="nil"/>
              <w:left w:val="nil"/>
              <w:bottom w:val="single" w:sz="12" w:space="0" w:color="FFFFFF"/>
              <w:right w:val="single" w:sz="12" w:space="0" w:color="FFFFFF"/>
            </w:tcBorders>
            <w:shd w:val="clear" w:color="000000" w:fill="F2F2F2"/>
            <w:noWrap/>
          </w:tcPr>
          <w:p w14:paraId="1D3FA9DD"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62 374,80 </w:t>
            </w:r>
          </w:p>
        </w:tc>
      </w:tr>
      <w:tr w:rsidR="00875772" w:rsidRPr="00544A2F" w14:paraId="20D70AAA"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54FD4F5D"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Združenie GERION</w:t>
            </w:r>
          </w:p>
        </w:tc>
        <w:tc>
          <w:tcPr>
            <w:tcW w:w="975" w:type="pct"/>
            <w:gridSpan w:val="2"/>
            <w:tcBorders>
              <w:top w:val="nil"/>
              <w:left w:val="nil"/>
              <w:bottom w:val="single" w:sz="12" w:space="0" w:color="FFFFFF"/>
              <w:right w:val="single" w:sz="12" w:space="0" w:color="FFFFFF"/>
            </w:tcBorders>
            <w:shd w:val="clear" w:color="000000" w:fill="F2F2F2"/>
            <w:noWrap/>
          </w:tcPr>
          <w:p w14:paraId="14DA96C7"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79 690,48 </w:t>
            </w:r>
          </w:p>
        </w:tc>
      </w:tr>
      <w:tr w:rsidR="00875772" w:rsidRPr="00544A2F" w14:paraId="7C1E092D"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74C0E256"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 xml:space="preserve">Združenie na pomoc ľuďom s mentálnym postihnutím v Petržalke </w:t>
            </w:r>
          </w:p>
        </w:tc>
        <w:tc>
          <w:tcPr>
            <w:tcW w:w="975" w:type="pct"/>
            <w:gridSpan w:val="2"/>
            <w:tcBorders>
              <w:top w:val="nil"/>
              <w:left w:val="nil"/>
              <w:bottom w:val="single" w:sz="12" w:space="0" w:color="FFFFFF"/>
              <w:right w:val="single" w:sz="12" w:space="0" w:color="FFFFFF"/>
            </w:tcBorders>
            <w:shd w:val="clear" w:color="000000" w:fill="F2F2F2"/>
            <w:noWrap/>
          </w:tcPr>
          <w:p w14:paraId="26B8017E"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24 967,11 </w:t>
            </w:r>
          </w:p>
        </w:tc>
      </w:tr>
      <w:tr w:rsidR="00875772" w:rsidRPr="00544A2F" w14:paraId="43FCD4E6"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752EB5A"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Združenie na pomoc ľuďom s mentálnym postihnutím v SR</w:t>
            </w:r>
          </w:p>
        </w:tc>
        <w:tc>
          <w:tcPr>
            <w:tcW w:w="975" w:type="pct"/>
            <w:gridSpan w:val="2"/>
            <w:tcBorders>
              <w:top w:val="nil"/>
              <w:left w:val="nil"/>
              <w:bottom w:val="single" w:sz="12" w:space="0" w:color="FFFFFF"/>
              <w:right w:val="single" w:sz="12" w:space="0" w:color="FFFFFF"/>
            </w:tcBorders>
            <w:shd w:val="clear" w:color="000000" w:fill="F2F2F2"/>
            <w:noWrap/>
          </w:tcPr>
          <w:p w14:paraId="331B93AB"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11 285,62 </w:t>
            </w:r>
          </w:p>
        </w:tc>
      </w:tr>
      <w:tr w:rsidR="00875772" w:rsidRPr="00544A2F" w14:paraId="19A15FC3"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558043DC"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ZSS Kamilka, Maňa</w:t>
            </w:r>
          </w:p>
        </w:tc>
        <w:tc>
          <w:tcPr>
            <w:tcW w:w="975" w:type="pct"/>
            <w:gridSpan w:val="2"/>
            <w:tcBorders>
              <w:top w:val="nil"/>
              <w:left w:val="nil"/>
              <w:bottom w:val="single" w:sz="12" w:space="0" w:color="FFFFFF"/>
              <w:right w:val="single" w:sz="12" w:space="0" w:color="FFFFFF"/>
            </w:tcBorders>
            <w:shd w:val="clear" w:color="000000" w:fill="F2F2F2"/>
            <w:noWrap/>
          </w:tcPr>
          <w:p w14:paraId="34B833A0"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10 960,49 </w:t>
            </w:r>
          </w:p>
        </w:tc>
      </w:tr>
      <w:tr w:rsidR="00875772" w:rsidRPr="00544A2F" w14:paraId="460E0767"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5EE37F20"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ZSS Nestor o. z.</w:t>
            </w:r>
          </w:p>
        </w:tc>
        <w:tc>
          <w:tcPr>
            <w:tcW w:w="975" w:type="pct"/>
            <w:gridSpan w:val="2"/>
            <w:tcBorders>
              <w:top w:val="nil"/>
              <w:left w:val="nil"/>
              <w:bottom w:val="single" w:sz="12" w:space="0" w:color="FFFFFF"/>
              <w:right w:val="single" w:sz="12" w:space="0" w:color="FFFFFF"/>
            </w:tcBorders>
            <w:shd w:val="clear" w:color="000000" w:fill="F2F2F2"/>
            <w:noWrap/>
          </w:tcPr>
          <w:p w14:paraId="5890CCCF"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4 396,44 </w:t>
            </w:r>
          </w:p>
        </w:tc>
      </w:tr>
      <w:tr w:rsidR="00875772" w:rsidRPr="00544A2F" w14:paraId="2200A441" w14:textId="77777777" w:rsidTr="00875772">
        <w:trPr>
          <w:trHeight w:val="300"/>
        </w:trPr>
        <w:tc>
          <w:tcPr>
            <w:tcW w:w="4025" w:type="pct"/>
            <w:gridSpan w:val="2"/>
            <w:tcBorders>
              <w:top w:val="nil"/>
              <w:left w:val="single" w:sz="12" w:space="0" w:color="FFFFFF"/>
              <w:bottom w:val="single" w:sz="12" w:space="0" w:color="FFFFFF"/>
              <w:right w:val="single" w:sz="12" w:space="0" w:color="FFFFFF"/>
            </w:tcBorders>
            <w:shd w:val="clear" w:color="000000" w:fill="F2F2F2"/>
            <w:noWrap/>
          </w:tcPr>
          <w:p w14:paraId="233ECAF8" w14:textId="77777777" w:rsidR="00875772" w:rsidRPr="00544A2F" w:rsidRDefault="00875772" w:rsidP="00875772">
            <w:pPr>
              <w:spacing w:after="0" w:line="240" w:lineRule="auto"/>
              <w:rPr>
                <w:rFonts w:cstheme="minorHAnsi"/>
                <w:color w:val="000000"/>
                <w:sz w:val="20"/>
                <w:szCs w:val="20"/>
              </w:rPr>
            </w:pPr>
            <w:r w:rsidRPr="00544A2F">
              <w:rPr>
                <w:rFonts w:cstheme="minorHAnsi"/>
                <w:color w:val="000000"/>
                <w:sz w:val="20"/>
                <w:szCs w:val="20"/>
              </w:rPr>
              <w:t>ZSS Vek Nádeje</w:t>
            </w:r>
          </w:p>
        </w:tc>
        <w:tc>
          <w:tcPr>
            <w:tcW w:w="975" w:type="pct"/>
            <w:gridSpan w:val="2"/>
            <w:tcBorders>
              <w:top w:val="nil"/>
              <w:left w:val="nil"/>
              <w:bottom w:val="single" w:sz="12" w:space="0" w:color="FFFFFF"/>
              <w:right w:val="single" w:sz="12" w:space="0" w:color="FFFFFF"/>
            </w:tcBorders>
            <w:shd w:val="clear" w:color="000000" w:fill="F2F2F2"/>
            <w:noWrap/>
          </w:tcPr>
          <w:p w14:paraId="3AFD49AF" w14:textId="77777777" w:rsidR="00875772" w:rsidRPr="00544A2F" w:rsidRDefault="00875772" w:rsidP="00875772">
            <w:pPr>
              <w:spacing w:after="0" w:line="240" w:lineRule="auto"/>
              <w:jc w:val="right"/>
              <w:rPr>
                <w:rFonts w:cstheme="minorHAnsi"/>
                <w:color w:val="000000"/>
                <w:sz w:val="20"/>
                <w:szCs w:val="20"/>
              </w:rPr>
            </w:pPr>
            <w:r w:rsidRPr="00544A2F">
              <w:rPr>
                <w:rFonts w:cstheme="minorHAnsi"/>
                <w:color w:val="000000"/>
                <w:sz w:val="20"/>
                <w:szCs w:val="20"/>
              </w:rPr>
              <w:t xml:space="preserve">   13 182,88 </w:t>
            </w:r>
          </w:p>
        </w:tc>
      </w:tr>
    </w:tbl>
    <w:p w14:paraId="0DAA17C0" w14:textId="77777777" w:rsidR="00875772" w:rsidRPr="00544A2F" w:rsidRDefault="00875772" w:rsidP="00875772">
      <w:pPr>
        <w:spacing w:before="100" w:beforeAutospacing="1" w:after="100" w:afterAutospacing="1" w:line="240" w:lineRule="auto"/>
        <w:rPr>
          <w:rFonts w:eastAsiaTheme="minorEastAsia"/>
          <w:lang w:eastAsia="sk-SK"/>
        </w:rPr>
      </w:pPr>
      <w:r w:rsidRPr="4F9BDBF9">
        <w:rPr>
          <w:rFonts w:eastAsiaTheme="minorEastAsia"/>
          <w:b/>
          <w:bCs/>
          <w:color w:val="244061"/>
          <w:sz w:val="24"/>
          <w:szCs w:val="24"/>
          <w:lang w:eastAsia="sk-SK"/>
        </w:rPr>
        <w:t>Prvok 11.4.2: Špecializované sociálne poradenstvo</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3"/>
        <w:gridCol w:w="2075"/>
        <w:gridCol w:w="1324"/>
        <w:gridCol w:w="1324"/>
        <w:gridCol w:w="1324"/>
        <w:gridCol w:w="1601"/>
        <w:gridCol w:w="1935"/>
      </w:tblGrid>
      <w:tr w:rsidR="00875772" w:rsidRPr="00116D4B" w14:paraId="28E44D71" w14:textId="77777777" w:rsidTr="00875772">
        <w:trPr>
          <w:tblCellSpacing w:w="15" w:type="dxa"/>
        </w:trPr>
        <w:tc>
          <w:tcPr>
            <w:tcW w:w="0" w:type="auto"/>
            <w:shd w:val="clear" w:color="auto" w:fill="C6DBF7"/>
            <w:vAlign w:val="center"/>
            <w:hideMark/>
          </w:tcPr>
          <w:p w14:paraId="515DD4D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1000" w:type="pct"/>
            <w:shd w:val="clear" w:color="auto" w:fill="C6DBF7"/>
            <w:vAlign w:val="center"/>
            <w:hideMark/>
          </w:tcPr>
          <w:p w14:paraId="17BA85B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0" w:type="auto"/>
            <w:shd w:val="clear" w:color="auto" w:fill="C6DBF7"/>
            <w:vAlign w:val="center"/>
            <w:hideMark/>
          </w:tcPr>
          <w:p w14:paraId="69A84F8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0" w:type="auto"/>
            <w:shd w:val="clear" w:color="auto" w:fill="C6DBF7"/>
            <w:vAlign w:val="center"/>
            <w:hideMark/>
          </w:tcPr>
          <w:p w14:paraId="7900325A"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0" w:type="auto"/>
            <w:shd w:val="clear" w:color="auto" w:fill="C6DBF7"/>
            <w:vAlign w:val="center"/>
            <w:hideMark/>
          </w:tcPr>
          <w:p w14:paraId="1798A30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0" w:type="auto"/>
            <w:shd w:val="clear" w:color="auto" w:fill="C6DBF7"/>
            <w:vAlign w:val="center"/>
            <w:hideMark/>
          </w:tcPr>
          <w:p w14:paraId="55B21E07"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0" w:type="auto"/>
            <w:shd w:val="clear" w:color="auto" w:fill="C6DBF7"/>
            <w:vAlign w:val="center"/>
            <w:hideMark/>
          </w:tcPr>
          <w:p w14:paraId="2D36C30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39DF27D7" w14:textId="77777777" w:rsidTr="00875772">
        <w:trPr>
          <w:tblCellSpacing w:w="15" w:type="dxa"/>
        </w:trPr>
        <w:tc>
          <w:tcPr>
            <w:tcW w:w="0" w:type="auto"/>
            <w:shd w:val="clear" w:color="auto" w:fill="D9D9D9" w:themeFill="background1" w:themeFillShade="D9"/>
            <w:noWrap/>
            <w:vAlign w:val="center"/>
            <w:hideMark/>
          </w:tcPr>
          <w:p w14:paraId="597BAB7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0" w:type="auto"/>
            <w:shd w:val="clear" w:color="auto" w:fill="D9D9D9" w:themeFill="background1" w:themeFillShade="D9"/>
            <w:vAlign w:val="center"/>
            <w:hideMark/>
          </w:tcPr>
          <w:p w14:paraId="786EA02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0" w:type="auto"/>
            <w:shd w:val="clear" w:color="auto" w:fill="D9D9D9" w:themeFill="background1" w:themeFillShade="D9"/>
            <w:noWrap/>
            <w:vAlign w:val="center"/>
            <w:hideMark/>
          </w:tcPr>
          <w:p w14:paraId="47036F95"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600 000,00</w:t>
            </w:r>
            <w:r w:rsidRPr="4F9BDBF9">
              <w:rPr>
                <w:rFonts w:eastAsiaTheme="minorEastAsia"/>
                <w:sz w:val="24"/>
                <w:szCs w:val="24"/>
                <w:lang w:eastAsia="sk-SK"/>
              </w:rPr>
              <w:t xml:space="preserve"> </w:t>
            </w:r>
          </w:p>
        </w:tc>
        <w:tc>
          <w:tcPr>
            <w:tcW w:w="0" w:type="auto"/>
            <w:shd w:val="clear" w:color="auto" w:fill="D9D9D9" w:themeFill="background1" w:themeFillShade="D9"/>
            <w:noWrap/>
            <w:vAlign w:val="center"/>
            <w:hideMark/>
          </w:tcPr>
          <w:p w14:paraId="69DC789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600 000,00</w:t>
            </w:r>
            <w:r w:rsidRPr="4F9BDBF9">
              <w:rPr>
                <w:rFonts w:eastAsiaTheme="minorEastAsia"/>
                <w:sz w:val="24"/>
                <w:szCs w:val="24"/>
                <w:lang w:eastAsia="sk-SK"/>
              </w:rPr>
              <w:t xml:space="preserve"> </w:t>
            </w:r>
          </w:p>
        </w:tc>
        <w:tc>
          <w:tcPr>
            <w:tcW w:w="0" w:type="auto"/>
            <w:shd w:val="clear" w:color="auto" w:fill="D9D9D9" w:themeFill="background1" w:themeFillShade="D9"/>
            <w:noWrap/>
            <w:vAlign w:val="center"/>
            <w:hideMark/>
          </w:tcPr>
          <w:p w14:paraId="4A0A8A40"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494 672,20</w:t>
            </w:r>
            <w:r w:rsidRPr="4F9BDBF9">
              <w:rPr>
                <w:rFonts w:eastAsiaTheme="minorEastAsia"/>
                <w:sz w:val="24"/>
                <w:szCs w:val="24"/>
                <w:lang w:eastAsia="sk-SK"/>
              </w:rPr>
              <w:t xml:space="preserve"> </w:t>
            </w:r>
          </w:p>
        </w:tc>
        <w:tc>
          <w:tcPr>
            <w:tcW w:w="0" w:type="auto"/>
            <w:shd w:val="clear" w:color="auto" w:fill="D9D9D9" w:themeFill="background1" w:themeFillShade="D9"/>
            <w:noWrap/>
            <w:vAlign w:val="center"/>
            <w:hideMark/>
          </w:tcPr>
          <w:p w14:paraId="116693D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82,45</w:t>
            </w:r>
            <w:r w:rsidRPr="4F9BDBF9">
              <w:rPr>
                <w:rFonts w:eastAsiaTheme="minorEastAsia"/>
                <w:sz w:val="24"/>
                <w:szCs w:val="24"/>
                <w:lang w:eastAsia="sk-SK"/>
              </w:rPr>
              <w:t xml:space="preserve"> </w:t>
            </w:r>
          </w:p>
        </w:tc>
        <w:tc>
          <w:tcPr>
            <w:tcW w:w="0" w:type="auto"/>
            <w:vMerge w:val="restart"/>
            <w:shd w:val="clear" w:color="auto" w:fill="D9D9D9" w:themeFill="background1" w:themeFillShade="D9"/>
            <w:vAlign w:val="center"/>
            <w:hideMark/>
          </w:tcPr>
          <w:p w14:paraId="274269BC"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2F4A3E89" w14:textId="77777777" w:rsidTr="00875772">
        <w:trPr>
          <w:tblCellSpacing w:w="15" w:type="dxa"/>
        </w:trPr>
        <w:tc>
          <w:tcPr>
            <w:tcW w:w="0" w:type="auto"/>
            <w:shd w:val="clear" w:color="auto" w:fill="EFEFEF"/>
            <w:noWrap/>
            <w:vAlign w:val="center"/>
            <w:hideMark/>
          </w:tcPr>
          <w:p w14:paraId="4108351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0" w:type="auto"/>
            <w:shd w:val="clear" w:color="auto" w:fill="EFEFEF"/>
            <w:vAlign w:val="center"/>
            <w:hideMark/>
          </w:tcPr>
          <w:p w14:paraId="72E90F2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0" w:type="auto"/>
            <w:shd w:val="clear" w:color="auto" w:fill="EFEFEF"/>
            <w:noWrap/>
            <w:vAlign w:val="center"/>
            <w:hideMark/>
          </w:tcPr>
          <w:p w14:paraId="71F7A25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600 000,00</w:t>
            </w:r>
            <w:r w:rsidRPr="4F9BDBF9">
              <w:rPr>
                <w:rFonts w:eastAsiaTheme="minorEastAsia"/>
                <w:sz w:val="24"/>
                <w:szCs w:val="24"/>
                <w:lang w:eastAsia="sk-SK"/>
              </w:rPr>
              <w:t xml:space="preserve"> </w:t>
            </w:r>
          </w:p>
        </w:tc>
        <w:tc>
          <w:tcPr>
            <w:tcW w:w="0" w:type="auto"/>
            <w:shd w:val="clear" w:color="auto" w:fill="EFEFEF"/>
            <w:noWrap/>
            <w:vAlign w:val="center"/>
            <w:hideMark/>
          </w:tcPr>
          <w:p w14:paraId="441C9709"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600 000,00</w:t>
            </w:r>
            <w:r w:rsidRPr="4F9BDBF9">
              <w:rPr>
                <w:rFonts w:eastAsiaTheme="minorEastAsia"/>
                <w:sz w:val="24"/>
                <w:szCs w:val="24"/>
                <w:lang w:eastAsia="sk-SK"/>
              </w:rPr>
              <w:t xml:space="preserve"> </w:t>
            </w:r>
          </w:p>
        </w:tc>
        <w:tc>
          <w:tcPr>
            <w:tcW w:w="0" w:type="auto"/>
            <w:shd w:val="clear" w:color="auto" w:fill="EFEFEF"/>
            <w:noWrap/>
            <w:vAlign w:val="center"/>
            <w:hideMark/>
          </w:tcPr>
          <w:p w14:paraId="17DB189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494 672,20</w:t>
            </w:r>
            <w:r w:rsidRPr="4F9BDBF9">
              <w:rPr>
                <w:rFonts w:eastAsiaTheme="minorEastAsia"/>
                <w:sz w:val="24"/>
                <w:szCs w:val="24"/>
                <w:lang w:eastAsia="sk-SK"/>
              </w:rPr>
              <w:t xml:space="preserve"> </w:t>
            </w:r>
          </w:p>
        </w:tc>
        <w:tc>
          <w:tcPr>
            <w:tcW w:w="0" w:type="auto"/>
            <w:shd w:val="clear" w:color="auto" w:fill="EFEFEF"/>
            <w:noWrap/>
            <w:vAlign w:val="center"/>
            <w:hideMark/>
          </w:tcPr>
          <w:p w14:paraId="4B4B87BD"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82,45</w:t>
            </w:r>
            <w:r w:rsidRPr="4F9BDBF9">
              <w:rPr>
                <w:rFonts w:eastAsiaTheme="minorEastAsia"/>
                <w:sz w:val="24"/>
                <w:szCs w:val="24"/>
                <w:lang w:eastAsia="sk-SK"/>
              </w:rPr>
              <w:t xml:space="preserve"> </w:t>
            </w:r>
          </w:p>
        </w:tc>
        <w:tc>
          <w:tcPr>
            <w:tcW w:w="0" w:type="auto"/>
            <w:vMerge/>
            <w:vAlign w:val="center"/>
            <w:hideMark/>
          </w:tcPr>
          <w:p w14:paraId="2BA3358D" w14:textId="77777777" w:rsidR="00875772" w:rsidRPr="00116D4B" w:rsidRDefault="00875772" w:rsidP="00875772">
            <w:pPr>
              <w:spacing w:after="0" w:line="240" w:lineRule="auto"/>
              <w:rPr>
                <w:rFonts w:ascii="Times New Roman" w:hAnsi="Times New Roman"/>
                <w:sz w:val="24"/>
                <w:szCs w:val="24"/>
                <w:lang w:eastAsia="sk-SK"/>
              </w:rPr>
            </w:pPr>
          </w:p>
        </w:tc>
      </w:tr>
    </w:tbl>
    <w:p w14:paraId="4E4DDF37"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3"/>
        <w:gridCol w:w="1222"/>
        <w:gridCol w:w="1845"/>
        <w:gridCol w:w="1327"/>
        <w:gridCol w:w="4159"/>
      </w:tblGrid>
      <w:tr w:rsidR="00875772" w:rsidRPr="00116D4B" w14:paraId="7ED58AEF" w14:textId="77777777" w:rsidTr="00875772">
        <w:trPr>
          <w:tblCellSpacing w:w="15" w:type="dxa"/>
        </w:trPr>
        <w:tc>
          <w:tcPr>
            <w:tcW w:w="0" w:type="auto"/>
            <w:shd w:val="clear" w:color="auto" w:fill="C2D69B"/>
            <w:vAlign w:val="center"/>
            <w:hideMark/>
          </w:tcPr>
          <w:p w14:paraId="1C792BD5"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6F933E9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Oddelenie sociálnej pomoci</w:t>
            </w:r>
            <w:r w:rsidRPr="4F9BDBF9">
              <w:rPr>
                <w:rFonts w:eastAsiaTheme="minorEastAsia"/>
                <w:sz w:val="24"/>
                <w:szCs w:val="24"/>
                <w:lang w:eastAsia="sk-SK"/>
              </w:rPr>
              <w:t xml:space="preserve"> </w:t>
            </w:r>
          </w:p>
        </w:tc>
      </w:tr>
      <w:tr w:rsidR="00875772" w:rsidRPr="00116D4B" w14:paraId="6898350D" w14:textId="77777777" w:rsidTr="00875772">
        <w:trPr>
          <w:tblCellSpacing w:w="15" w:type="dxa"/>
        </w:trPr>
        <w:tc>
          <w:tcPr>
            <w:tcW w:w="0" w:type="auto"/>
            <w:shd w:val="clear" w:color="auto" w:fill="C2D69B"/>
            <w:vAlign w:val="center"/>
            <w:hideMark/>
          </w:tcPr>
          <w:p w14:paraId="613FEFB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6CDCAAF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xml:space="preserve">Zabezpečiť kvalitné špecializované sociálne poradenstvo pre občanov regiónu. </w:t>
            </w:r>
          </w:p>
        </w:tc>
      </w:tr>
      <w:tr w:rsidR="00875772" w:rsidRPr="00116D4B" w14:paraId="436541C1" w14:textId="77777777" w:rsidTr="00875772">
        <w:trPr>
          <w:tblCellSpacing w:w="15" w:type="dxa"/>
        </w:trPr>
        <w:tc>
          <w:tcPr>
            <w:tcW w:w="0" w:type="auto"/>
            <w:shd w:val="clear" w:color="auto" w:fill="C2D69B"/>
            <w:vAlign w:val="center"/>
            <w:hideMark/>
          </w:tcPr>
          <w:p w14:paraId="323813DB"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2C5E941F"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 xml:space="preserve">Počet </w:t>
            </w:r>
            <w:proofErr w:type="spellStart"/>
            <w:r w:rsidRPr="4F9BDBF9">
              <w:rPr>
                <w:rFonts w:eastAsiaTheme="minorEastAsia"/>
                <w:sz w:val="20"/>
                <w:szCs w:val="20"/>
                <w:lang w:eastAsia="sk-SK"/>
              </w:rPr>
              <w:t>zazmluvnených</w:t>
            </w:r>
            <w:proofErr w:type="spellEnd"/>
            <w:r w:rsidRPr="4F9BDBF9">
              <w:rPr>
                <w:rFonts w:eastAsiaTheme="minorEastAsia"/>
                <w:sz w:val="20"/>
                <w:szCs w:val="20"/>
                <w:lang w:eastAsia="sk-SK"/>
              </w:rPr>
              <w:t xml:space="preserve"> hodín u neverejných poskytovateľov</w:t>
            </w:r>
            <w:r w:rsidRPr="4F9BDBF9">
              <w:rPr>
                <w:rFonts w:eastAsiaTheme="minorEastAsia"/>
                <w:sz w:val="24"/>
                <w:szCs w:val="24"/>
                <w:lang w:eastAsia="sk-SK"/>
              </w:rPr>
              <w:t xml:space="preserve"> </w:t>
            </w:r>
          </w:p>
        </w:tc>
      </w:tr>
      <w:tr w:rsidR="00875772" w:rsidRPr="00116D4B" w14:paraId="74483300" w14:textId="77777777" w:rsidTr="00875772">
        <w:trPr>
          <w:tblCellSpacing w:w="15" w:type="dxa"/>
        </w:trPr>
        <w:tc>
          <w:tcPr>
            <w:tcW w:w="0" w:type="auto"/>
            <w:shd w:val="clear" w:color="auto" w:fill="C2D69B"/>
            <w:vAlign w:val="center"/>
            <w:hideMark/>
          </w:tcPr>
          <w:p w14:paraId="1E98507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5452FC4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0EA4377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4CF0684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3DDD77C2"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2DCC75FE" w14:textId="77777777" w:rsidTr="00875772">
        <w:trPr>
          <w:tblCellSpacing w:w="15" w:type="dxa"/>
        </w:trPr>
        <w:tc>
          <w:tcPr>
            <w:tcW w:w="0" w:type="auto"/>
            <w:shd w:val="clear" w:color="auto" w:fill="C2D69B"/>
            <w:vAlign w:val="center"/>
            <w:hideMark/>
          </w:tcPr>
          <w:p w14:paraId="10D98BED"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04D9BF92"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40 000</w:t>
            </w:r>
            <w:r w:rsidRPr="4F9BDBF9">
              <w:rPr>
                <w:rFonts w:eastAsiaTheme="minorEastAsia"/>
                <w:sz w:val="24"/>
                <w:szCs w:val="24"/>
                <w:lang w:eastAsia="sk-SK"/>
              </w:rPr>
              <w:t xml:space="preserve"> </w:t>
            </w:r>
          </w:p>
        </w:tc>
        <w:tc>
          <w:tcPr>
            <w:tcW w:w="0" w:type="auto"/>
            <w:shd w:val="clear" w:color="auto" w:fill="C2D69B"/>
            <w:noWrap/>
            <w:vAlign w:val="center"/>
            <w:hideMark/>
          </w:tcPr>
          <w:p w14:paraId="3096E78E"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42 400</w:t>
            </w:r>
            <w:r w:rsidRPr="3E14EAE1">
              <w:rPr>
                <w:rFonts w:eastAsiaTheme="minorEastAsia"/>
                <w:sz w:val="24"/>
                <w:szCs w:val="24"/>
                <w:lang w:eastAsia="sk-SK"/>
              </w:rPr>
              <w:t xml:space="preserve"> </w:t>
            </w:r>
          </w:p>
        </w:tc>
        <w:tc>
          <w:tcPr>
            <w:tcW w:w="0" w:type="auto"/>
            <w:shd w:val="clear" w:color="auto" w:fill="C2D69B"/>
            <w:vAlign w:val="center"/>
            <w:hideMark/>
          </w:tcPr>
          <w:p w14:paraId="283E102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Splnené</w:t>
            </w:r>
            <w:r w:rsidRPr="4F9BDBF9">
              <w:rPr>
                <w:rFonts w:eastAsiaTheme="minorEastAsia"/>
                <w:sz w:val="24"/>
                <w:szCs w:val="24"/>
                <w:lang w:eastAsia="sk-SK"/>
              </w:rPr>
              <w:t xml:space="preserve"> </w:t>
            </w:r>
          </w:p>
        </w:tc>
        <w:tc>
          <w:tcPr>
            <w:tcW w:w="0" w:type="auto"/>
            <w:shd w:val="clear" w:color="auto" w:fill="C2D69B"/>
            <w:vAlign w:val="center"/>
            <w:hideMark/>
          </w:tcPr>
          <w:p w14:paraId="6FFF3CCD" w14:textId="77777777" w:rsidR="00875772" w:rsidRPr="00116D4B" w:rsidRDefault="00875772" w:rsidP="00875772">
            <w:pPr>
              <w:spacing w:after="0" w:line="240" w:lineRule="auto"/>
              <w:jc w:val="center"/>
              <w:rPr>
                <w:rFonts w:eastAsiaTheme="minorEastAsia"/>
                <w:sz w:val="24"/>
                <w:szCs w:val="24"/>
                <w:lang w:eastAsia="sk-SK"/>
              </w:rPr>
            </w:pPr>
          </w:p>
        </w:tc>
      </w:tr>
    </w:tbl>
    <w:p w14:paraId="749E1CE6" w14:textId="77777777" w:rsidR="00875772" w:rsidRDefault="00875772" w:rsidP="00875772">
      <w:pPr>
        <w:spacing w:after="0" w:line="240" w:lineRule="auto"/>
        <w:jc w:val="both"/>
        <w:rPr>
          <w:rFonts w:cs="ArialNarrow"/>
          <w:b/>
          <w:bCs/>
        </w:rPr>
      </w:pPr>
    </w:p>
    <w:p w14:paraId="39893F02" w14:textId="4F86775D" w:rsidR="00875772" w:rsidRDefault="00875772" w:rsidP="00875772">
      <w:pPr>
        <w:spacing w:after="0" w:line="240" w:lineRule="auto"/>
        <w:jc w:val="both"/>
        <w:rPr>
          <w:rFonts w:cs="ArialNarrow"/>
          <w:b/>
          <w:bCs/>
        </w:rPr>
      </w:pPr>
      <w:r w:rsidRPr="00561B84">
        <w:rPr>
          <w:rFonts w:cs="ArialNarrow"/>
          <w:b/>
          <w:bCs/>
        </w:rPr>
        <w:t>Príspevky neverejným poskytovateľom poskytujúcim sociálne služby v roku 20</w:t>
      </w:r>
      <w:r>
        <w:rPr>
          <w:rFonts w:cs="ArialNarrow"/>
          <w:b/>
          <w:bCs/>
        </w:rPr>
        <w:t>20</w:t>
      </w:r>
      <w:r w:rsidRPr="00561B84">
        <w:rPr>
          <w:rFonts w:cs="ArialNarrow"/>
          <w:b/>
          <w:bCs/>
        </w:rPr>
        <w:t xml:space="preserve"> v zmysle VZN BSK </w:t>
      </w:r>
      <w:r w:rsidRPr="00561B84">
        <w:rPr>
          <w:rFonts w:cs="ArialNarrow"/>
          <w:b/>
          <w:bCs/>
        </w:rPr>
        <w:br/>
        <w:t xml:space="preserve">č. 1/2018 zo dňa 26.01.2018 o bližších podmienkach poskytovania finančného príspevku neverejným poskytovateľom poskytujúcim sociálne služby v súlade so </w:t>
      </w:r>
      <w:r w:rsidRPr="00561B84">
        <w:rPr>
          <w:b/>
          <w:bCs/>
          <w:color w:val="000000"/>
        </w:rPr>
        <w:t xml:space="preserve">zákonom č. 448/2008 </w:t>
      </w:r>
      <w:proofErr w:type="spellStart"/>
      <w:r w:rsidRPr="00561B84">
        <w:rPr>
          <w:b/>
          <w:bCs/>
          <w:color w:val="000000"/>
        </w:rPr>
        <w:t>Z.z</w:t>
      </w:r>
      <w:proofErr w:type="spellEnd"/>
      <w:r w:rsidRPr="00561B84">
        <w:rPr>
          <w:b/>
          <w:bCs/>
          <w:color w:val="000000"/>
        </w:rPr>
        <w:t>. o sociálnych službách a o zmene a doplnení zákona č. 455/1991 Zb. o živnostenskom podnikaní (živnostenský zákon) v znení neskorších predpisov</w:t>
      </w:r>
      <w:r w:rsidRPr="00561B84">
        <w:rPr>
          <w:b/>
          <w:bCs/>
          <w:color w:val="000000"/>
          <w:lang w:eastAsia="sk-SK"/>
        </w:rPr>
        <w:t xml:space="preserve"> </w:t>
      </w:r>
      <w:r w:rsidRPr="00561B84">
        <w:rPr>
          <w:rFonts w:cs="ArialNarrow"/>
          <w:b/>
          <w:bCs/>
        </w:rPr>
        <w:t>:</w:t>
      </w:r>
    </w:p>
    <w:p w14:paraId="6142FD20" w14:textId="77777777" w:rsidR="00875772" w:rsidRDefault="00875772" w:rsidP="00875772">
      <w:pPr>
        <w:spacing w:after="0" w:line="240" w:lineRule="auto"/>
        <w:jc w:val="both"/>
        <w:rPr>
          <w:rFonts w:cs="ArialNarrow"/>
          <w:b/>
          <w:bCs/>
        </w:rPr>
      </w:pPr>
    </w:p>
    <w:tbl>
      <w:tblPr>
        <w:tblW w:w="5000" w:type="pct"/>
        <w:tblLayout w:type="fixed"/>
        <w:tblCellMar>
          <w:left w:w="70" w:type="dxa"/>
          <w:right w:w="70" w:type="dxa"/>
        </w:tblCellMar>
        <w:tblLook w:val="04A0" w:firstRow="1" w:lastRow="0" w:firstColumn="1" w:lastColumn="0" w:noHBand="0" w:noVBand="1"/>
      </w:tblPr>
      <w:tblGrid>
        <w:gridCol w:w="8213"/>
        <w:gridCol w:w="2233"/>
      </w:tblGrid>
      <w:tr w:rsidR="00875772" w:rsidRPr="00307C26" w14:paraId="26FCB1C6" w14:textId="77777777" w:rsidTr="00875772">
        <w:trPr>
          <w:trHeight w:val="90"/>
        </w:trPr>
        <w:tc>
          <w:tcPr>
            <w:tcW w:w="3931" w:type="pct"/>
            <w:tcBorders>
              <w:top w:val="single" w:sz="8" w:space="0" w:color="C0C0C0"/>
              <w:left w:val="single" w:sz="8" w:space="0" w:color="C0C0C0"/>
              <w:bottom w:val="single" w:sz="8" w:space="0" w:color="C0C0C0"/>
              <w:right w:val="single" w:sz="8" w:space="0" w:color="C0C0C0"/>
            </w:tcBorders>
            <w:shd w:val="clear" w:color="000000" w:fill="C6DBF7"/>
            <w:noWrap/>
            <w:vAlign w:val="center"/>
            <w:hideMark/>
          </w:tcPr>
          <w:p w14:paraId="61F5A6D0" w14:textId="77777777" w:rsidR="00875772" w:rsidRPr="00AC4635" w:rsidRDefault="00875772" w:rsidP="00875772">
            <w:pPr>
              <w:spacing w:after="0" w:line="240" w:lineRule="auto"/>
              <w:rPr>
                <w:rFonts w:cstheme="minorHAnsi"/>
                <w:b/>
                <w:bCs/>
                <w:color w:val="000000"/>
                <w:sz w:val="20"/>
                <w:szCs w:val="20"/>
                <w:lang w:eastAsia="sk-SK"/>
              </w:rPr>
            </w:pPr>
            <w:r w:rsidRPr="00AC4635">
              <w:rPr>
                <w:rFonts w:cstheme="minorHAnsi"/>
                <w:b/>
                <w:bCs/>
                <w:color w:val="000000"/>
                <w:sz w:val="20"/>
                <w:szCs w:val="20"/>
                <w:lang w:eastAsia="sk-SK"/>
              </w:rPr>
              <w:lastRenderedPageBreak/>
              <w:t>Prehľad poskytnutých finančných príspevkov subjektom, ktoré poskytujú špecializované sociálne poradenstvo:</w:t>
            </w:r>
          </w:p>
        </w:tc>
        <w:tc>
          <w:tcPr>
            <w:tcW w:w="1069" w:type="pct"/>
            <w:tcBorders>
              <w:top w:val="single" w:sz="8" w:space="0" w:color="C0C0C0"/>
              <w:left w:val="nil"/>
              <w:bottom w:val="single" w:sz="8" w:space="0" w:color="C0C0C0"/>
              <w:right w:val="single" w:sz="8" w:space="0" w:color="C0C0C0"/>
            </w:tcBorders>
            <w:shd w:val="clear" w:color="000000" w:fill="C6DBF7"/>
            <w:noWrap/>
            <w:vAlign w:val="center"/>
            <w:hideMark/>
          </w:tcPr>
          <w:p w14:paraId="280D72E0" w14:textId="77777777" w:rsidR="00875772" w:rsidRPr="00AC4635" w:rsidRDefault="00875772" w:rsidP="00875772">
            <w:pPr>
              <w:spacing w:after="0" w:line="240" w:lineRule="auto"/>
              <w:jc w:val="center"/>
              <w:rPr>
                <w:rFonts w:cstheme="minorHAnsi"/>
                <w:b/>
                <w:bCs/>
                <w:color w:val="000000"/>
                <w:sz w:val="20"/>
                <w:szCs w:val="20"/>
                <w:lang w:eastAsia="sk-SK"/>
              </w:rPr>
            </w:pPr>
            <w:r w:rsidRPr="00AC4635">
              <w:rPr>
                <w:rFonts w:cstheme="minorHAnsi"/>
                <w:b/>
                <w:bCs/>
                <w:color w:val="000000"/>
                <w:sz w:val="20"/>
                <w:szCs w:val="20"/>
                <w:lang w:eastAsia="sk-SK"/>
              </w:rPr>
              <w:t>Čerpaný príspevok k 31.12.2020</w:t>
            </w:r>
          </w:p>
        </w:tc>
      </w:tr>
      <w:tr w:rsidR="00875772" w:rsidRPr="00307C26" w14:paraId="58052DC4"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A6A6A6"/>
            <w:noWrap/>
            <w:vAlign w:val="center"/>
            <w:hideMark/>
          </w:tcPr>
          <w:p w14:paraId="473CCDD3" w14:textId="77777777" w:rsidR="00875772" w:rsidRPr="00AC4635" w:rsidRDefault="00875772" w:rsidP="00875772">
            <w:pPr>
              <w:spacing w:after="0" w:line="240" w:lineRule="auto"/>
              <w:rPr>
                <w:rFonts w:cstheme="minorHAnsi"/>
                <w:b/>
                <w:bCs/>
                <w:color w:val="000000"/>
                <w:sz w:val="20"/>
                <w:szCs w:val="20"/>
                <w:lang w:eastAsia="sk-SK"/>
              </w:rPr>
            </w:pPr>
            <w:r w:rsidRPr="00AC4635">
              <w:rPr>
                <w:rFonts w:cstheme="minorHAnsi"/>
                <w:b/>
                <w:bCs/>
                <w:color w:val="000000"/>
                <w:sz w:val="20"/>
                <w:szCs w:val="20"/>
                <w:lang w:eastAsia="sk-SK"/>
              </w:rPr>
              <w:t>Prvok 11.4.2: Špecializované sociálne poradenstvo</w:t>
            </w:r>
          </w:p>
        </w:tc>
        <w:tc>
          <w:tcPr>
            <w:tcW w:w="1069" w:type="pct"/>
            <w:tcBorders>
              <w:top w:val="nil"/>
              <w:left w:val="nil"/>
              <w:bottom w:val="single" w:sz="12" w:space="0" w:color="FFFFFF"/>
              <w:right w:val="single" w:sz="12" w:space="0" w:color="FFFFFF"/>
            </w:tcBorders>
            <w:shd w:val="clear" w:color="000000" w:fill="A6A6A6"/>
            <w:noWrap/>
            <w:vAlign w:val="center"/>
            <w:hideMark/>
          </w:tcPr>
          <w:p w14:paraId="02B0E9C7" w14:textId="77777777" w:rsidR="00875772" w:rsidRPr="00AC4635" w:rsidRDefault="00875772" w:rsidP="00875772">
            <w:pPr>
              <w:spacing w:after="0" w:line="240" w:lineRule="auto"/>
              <w:jc w:val="right"/>
              <w:rPr>
                <w:rFonts w:cstheme="minorHAnsi"/>
                <w:b/>
                <w:bCs/>
                <w:color w:val="000000"/>
                <w:sz w:val="20"/>
                <w:szCs w:val="20"/>
                <w:lang w:eastAsia="sk-SK"/>
              </w:rPr>
            </w:pPr>
            <w:r>
              <w:rPr>
                <w:rFonts w:cstheme="minorHAnsi"/>
                <w:b/>
                <w:bCs/>
                <w:color w:val="000000"/>
                <w:sz w:val="20"/>
                <w:szCs w:val="20"/>
                <w:lang w:eastAsia="sk-SK"/>
              </w:rPr>
              <w:t>494 672,20</w:t>
            </w:r>
          </w:p>
        </w:tc>
      </w:tr>
      <w:tr w:rsidR="00875772" w:rsidRPr="00307C26" w14:paraId="1B6EF9DC"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59B99411"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Agentúra podporovaného zamestnávania</w:t>
            </w:r>
            <w:r>
              <w:rPr>
                <w:rFonts w:cstheme="minorHAnsi"/>
                <w:color w:val="000000"/>
                <w:sz w:val="20"/>
                <w:szCs w:val="20"/>
              </w:rPr>
              <w:t>, n. o.</w:t>
            </w:r>
          </w:p>
        </w:tc>
        <w:tc>
          <w:tcPr>
            <w:tcW w:w="1069" w:type="pct"/>
            <w:tcBorders>
              <w:top w:val="nil"/>
              <w:left w:val="nil"/>
              <w:bottom w:val="single" w:sz="12" w:space="0" w:color="FFFFFF"/>
              <w:right w:val="single" w:sz="12" w:space="0" w:color="FFFFFF"/>
            </w:tcBorders>
            <w:shd w:val="clear" w:color="000000" w:fill="F2F2F2"/>
            <w:noWrap/>
            <w:hideMark/>
          </w:tcPr>
          <w:p w14:paraId="3F72352E"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3 536,58 </w:t>
            </w:r>
          </w:p>
        </w:tc>
      </w:tr>
      <w:tr w:rsidR="00875772" w:rsidRPr="00307C26" w14:paraId="598D91F1"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0B741FBA"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Autistické centrum </w:t>
            </w:r>
            <w:proofErr w:type="spellStart"/>
            <w:r w:rsidRPr="00AC4635">
              <w:rPr>
                <w:rFonts w:cstheme="minorHAnsi"/>
                <w:color w:val="000000"/>
                <w:sz w:val="20"/>
                <w:szCs w:val="20"/>
              </w:rPr>
              <w:t>Andreas</w:t>
            </w:r>
            <w:proofErr w:type="spellEnd"/>
            <w:r>
              <w:rPr>
                <w:rFonts w:cstheme="minorHAnsi"/>
                <w:color w:val="000000"/>
                <w:sz w:val="20"/>
                <w:szCs w:val="20"/>
              </w:rPr>
              <w:t>, n. o.</w:t>
            </w:r>
          </w:p>
        </w:tc>
        <w:tc>
          <w:tcPr>
            <w:tcW w:w="1069" w:type="pct"/>
            <w:tcBorders>
              <w:top w:val="nil"/>
              <w:left w:val="nil"/>
              <w:bottom w:val="single" w:sz="12" w:space="0" w:color="FFFFFF"/>
              <w:right w:val="single" w:sz="12" w:space="0" w:color="FFFFFF"/>
            </w:tcBorders>
            <w:shd w:val="clear" w:color="000000" w:fill="F2F2F2"/>
            <w:noWrap/>
            <w:hideMark/>
          </w:tcPr>
          <w:p w14:paraId="00F1DBE5"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58 943,08 </w:t>
            </w:r>
          </w:p>
        </w:tc>
      </w:tr>
      <w:tr w:rsidR="00875772" w:rsidRPr="00307C26" w14:paraId="211C4D7E"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2724BBC5"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Autistické centrum </w:t>
            </w:r>
            <w:proofErr w:type="spellStart"/>
            <w:r w:rsidRPr="00AC4635">
              <w:rPr>
                <w:rFonts w:cstheme="minorHAnsi"/>
                <w:color w:val="000000"/>
                <w:sz w:val="20"/>
                <w:szCs w:val="20"/>
              </w:rPr>
              <w:t>Andreas</w:t>
            </w:r>
            <w:proofErr w:type="spellEnd"/>
            <w:r w:rsidRPr="00AC4635">
              <w:rPr>
                <w:rFonts w:cstheme="minorHAnsi"/>
                <w:color w:val="000000"/>
                <w:sz w:val="20"/>
                <w:szCs w:val="20"/>
              </w:rPr>
              <w:t xml:space="preserve"> </w:t>
            </w:r>
            <w:r>
              <w:rPr>
                <w:rFonts w:cstheme="minorHAnsi"/>
                <w:color w:val="000000"/>
                <w:sz w:val="20"/>
                <w:szCs w:val="20"/>
              </w:rPr>
              <w:t xml:space="preserve">n. o. </w:t>
            </w:r>
            <w:r w:rsidRPr="00AC4635">
              <w:rPr>
                <w:rFonts w:cstheme="minorHAnsi"/>
                <w:color w:val="000000"/>
                <w:sz w:val="20"/>
                <w:szCs w:val="20"/>
              </w:rPr>
              <w:t>(soc</w:t>
            </w:r>
            <w:r>
              <w:rPr>
                <w:rFonts w:cstheme="minorHAnsi"/>
                <w:color w:val="000000"/>
                <w:sz w:val="20"/>
                <w:szCs w:val="20"/>
              </w:rPr>
              <w:t xml:space="preserve">iálna </w:t>
            </w:r>
            <w:r w:rsidRPr="00AC4635">
              <w:rPr>
                <w:rFonts w:cstheme="minorHAnsi"/>
                <w:color w:val="000000"/>
                <w:sz w:val="20"/>
                <w:szCs w:val="20"/>
              </w:rPr>
              <w:t>rehab</w:t>
            </w:r>
            <w:r>
              <w:rPr>
                <w:rFonts w:cstheme="minorHAnsi"/>
                <w:color w:val="000000"/>
                <w:sz w:val="20"/>
                <w:szCs w:val="20"/>
              </w:rPr>
              <w:t>ilitácia</w:t>
            </w:r>
            <w:r w:rsidRPr="00AC4635">
              <w:rPr>
                <w:rFonts w:cstheme="minorHAnsi"/>
                <w:color w:val="000000"/>
                <w:sz w:val="20"/>
                <w:szCs w:val="20"/>
              </w:rPr>
              <w:t>)</w:t>
            </w:r>
          </w:p>
        </w:tc>
        <w:tc>
          <w:tcPr>
            <w:tcW w:w="1069" w:type="pct"/>
            <w:tcBorders>
              <w:top w:val="nil"/>
              <w:left w:val="nil"/>
              <w:bottom w:val="single" w:sz="12" w:space="0" w:color="FFFFFF"/>
              <w:right w:val="single" w:sz="12" w:space="0" w:color="FFFFFF"/>
            </w:tcBorders>
            <w:shd w:val="clear" w:color="000000" w:fill="F2F2F2"/>
            <w:noWrap/>
            <w:hideMark/>
          </w:tcPr>
          <w:p w14:paraId="4744451D"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30 126,46 </w:t>
            </w:r>
          </w:p>
        </w:tc>
      </w:tr>
      <w:tr w:rsidR="00875772" w:rsidRPr="00307C26" w14:paraId="55BBD7D9"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55D59A16"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Centrum včasnej intervencie Bratislava, n.</w:t>
            </w:r>
            <w:r>
              <w:rPr>
                <w:rFonts w:cstheme="minorHAnsi"/>
                <w:color w:val="000000"/>
                <w:sz w:val="20"/>
                <w:szCs w:val="20"/>
              </w:rPr>
              <w:t xml:space="preserve"> </w:t>
            </w:r>
            <w:r w:rsidRPr="00AC4635">
              <w:rPr>
                <w:rFonts w:cstheme="minorHAnsi"/>
                <w:color w:val="000000"/>
                <w:sz w:val="20"/>
                <w:szCs w:val="20"/>
              </w:rPr>
              <w:t>o.</w:t>
            </w:r>
          </w:p>
        </w:tc>
        <w:tc>
          <w:tcPr>
            <w:tcW w:w="1069" w:type="pct"/>
            <w:tcBorders>
              <w:top w:val="nil"/>
              <w:left w:val="nil"/>
              <w:bottom w:val="single" w:sz="12" w:space="0" w:color="FFFFFF"/>
              <w:right w:val="single" w:sz="12" w:space="0" w:color="FFFFFF"/>
            </w:tcBorders>
            <w:shd w:val="clear" w:color="000000" w:fill="F2F2F2"/>
            <w:noWrap/>
            <w:hideMark/>
          </w:tcPr>
          <w:p w14:paraId="7E852A7C"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122 155,20 </w:t>
            </w:r>
          </w:p>
        </w:tc>
      </w:tr>
      <w:tr w:rsidR="00875772" w:rsidRPr="00307C26" w14:paraId="356B5B5D"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225482F7"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DEPAUL SLOVENSKO</w:t>
            </w:r>
          </w:p>
        </w:tc>
        <w:tc>
          <w:tcPr>
            <w:tcW w:w="1069" w:type="pct"/>
            <w:tcBorders>
              <w:top w:val="nil"/>
              <w:left w:val="nil"/>
              <w:bottom w:val="single" w:sz="12" w:space="0" w:color="FFFFFF"/>
              <w:right w:val="single" w:sz="12" w:space="0" w:color="FFFFFF"/>
            </w:tcBorders>
            <w:shd w:val="clear" w:color="000000" w:fill="F2F2F2"/>
            <w:noWrap/>
            <w:hideMark/>
          </w:tcPr>
          <w:p w14:paraId="1F30FD1F"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9 256,25 </w:t>
            </w:r>
          </w:p>
        </w:tc>
      </w:tr>
      <w:tr w:rsidR="00875772" w:rsidRPr="00307C26" w14:paraId="1F5B51B7"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729CD51A"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Katarína Vidová</w:t>
            </w:r>
            <w:r>
              <w:rPr>
                <w:rFonts w:cstheme="minorHAnsi"/>
                <w:color w:val="000000"/>
                <w:sz w:val="20"/>
                <w:szCs w:val="20"/>
              </w:rPr>
              <w:t xml:space="preserve"> (tlmočník)</w:t>
            </w:r>
          </w:p>
        </w:tc>
        <w:tc>
          <w:tcPr>
            <w:tcW w:w="1069" w:type="pct"/>
            <w:tcBorders>
              <w:top w:val="nil"/>
              <w:left w:val="nil"/>
              <w:bottom w:val="single" w:sz="12" w:space="0" w:color="FFFFFF"/>
              <w:right w:val="single" w:sz="12" w:space="0" w:color="FFFFFF"/>
            </w:tcBorders>
            <w:shd w:val="clear" w:color="000000" w:fill="F2F2F2"/>
            <w:noWrap/>
            <w:hideMark/>
          </w:tcPr>
          <w:p w14:paraId="05A829E1"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12 374,40 </w:t>
            </w:r>
          </w:p>
        </w:tc>
      </w:tr>
      <w:tr w:rsidR="00875772" w:rsidRPr="00307C26" w14:paraId="3CEC08BB"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0D5A9D12"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Lucia </w:t>
            </w:r>
            <w:proofErr w:type="spellStart"/>
            <w:r w:rsidRPr="00AC4635">
              <w:rPr>
                <w:rFonts w:cstheme="minorHAnsi"/>
                <w:color w:val="000000"/>
                <w:sz w:val="20"/>
                <w:szCs w:val="20"/>
              </w:rPr>
              <w:t>Kotulová</w:t>
            </w:r>
            <w:proofErr w:type="spellEnd"/>
            <w:r>
              <w:rPr>
                <w:rFonts w:cstheme="minorHAnsi"/>
                <w:color w:val="000000"/>
                <w:sz w:val="20"/>
                <w:szCs w:val="20"/>
              </w:rPr>
              <w:t xml:space="preserve"> </w:t>
            </w:r>
            <w:r w:rsidRPr="00AC4635">
              <w:rPr>
                <w:rFonts w:cstheme="minorHAnsi"/>
                <w:color w:val="000000"/>
                <w:sz w:val="20"/>
                <w:szCs w:val="20"/>
              </w:rPr>
              <w:t>(tlmočník)</w:t>
            </w:r>
          </w:p>
        </w:tc>
        <w:tc>
          <w:tcPr>
            <w:tcW w:w="1069" w:type="pct"/>
            <w:tcBorders>
              <w:top w:val="nil"/>
              <w:left w:val="nil"/>
              <w:bottom w:val="single" w:sz="12" w:space="0" w:color="FFFFFF"/>
              <w:right w:val="single" w:sz="12" w:space="0" w:color="FFFFFF"/>
            </w:tcBorders>
            <w:shd w:val="clear" w:color="000000" w:fill="F2F2F2"/>
            <w:noWrap/>
            <w:hideMark/>
          </w:tcPr>
          <w:p w14:paraId="684868DE"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1 624,14 </w:t>
            </w:r>
          </w:p>
        </w:tc>
      </w:tr>
      <w:tr w:rsidR="00875772" w:rsidRPr="00307C26" w14:paraId="0B1C90B6"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4617BFFB"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Mgr. Milena </w:t>
            </w:r>
            <w:proofErr w:type="spellStart"/>
            <w:r w:rsidRPr="00AC4635">
              <w:rPr>
                <w:rFonts w:cstheme="minorHAnsi"/>
                <w:color w:val="000000"/>
                <w:sz w:val="20"/>
                <w:szCs w:val="20"/>
              </w:rPr>
              <w:t>Fabšičová</w:t>
            </w:r>
            <w:proofErr w:type="spellEnd"/>
            <w:r>
              <w:rPr>
                <w:rFonts w:cstheme="minorHAnsi"/>
                <w:color w:val="000000"/>
                <w:sz w:val="20"/>
                <w:szCs w:val="20"/>
              </w:rPr>
              <w:t xml:space="preserve"> </w:t>
            </w:r>
            <w:r w:rsidRPr="00AC4635">
              <w:rPr>
                <w:rFonts w:cstheme="minorHAnsi"/>
                <w:color w:val="000000"/>
                <w:sz w:val="20"/>
                <w:szCs w:val="20"/>
              </w:rPr>
              <w:t>(tlmočník)</w:t>
            </w:r>
          </w:p>
        </w:tc>
        <w:tc>
          <w:tcPr>
            <w:tcW w:w="1069" w:type="pct"/>
            <w:tcBorders>
              <w:top w:val="nil"/>
              <w:left w:val="nil"/>
              <w:bottom w:val="single" w:sz="12" w:space="0" w:color="FFFFFF"/>
              <w:right w:val="single" w:sz="12" w:space="0" w:color="FFFFFF"/>
            </w:tcBorders>
            <w:shd w:val="clear" w:color="000000" w:fill="F2F2F2"/>
            <w:noWrap/>
            <w:hideMark/>
          </w:tcPr>
          <w:p w14:paraId="182CD60E"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902,30 </w:t>
            </w:r>
          </w:p>
        </w:tc>
      </w:tr>
      <w:tr w:rsidR="00875772" w:rsidRPr="00307C26" w14:paraId="5D1E210A"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61E83D61"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Mgr. Peter </w:t>
            </w:r>
            <w:proofErr w:type="spellStart"/>
            <w:r w:rsidRPr="00AC4635">
              <w:rPr>
                <w:rFonts w:cstheme="minorHAnsi"/>
                <w:color w:val="000000"/>
                <w:sz w:val="20"/>
                <w:szCs w:val="20"/>
              </w:rPr>
              <w:t>Marček</w:t>
            </w:r>
            <w:proofErr w:type="spellEnd"/>
            <w:r>
              <w:rPr>
                <w:rFonts w:cstheme="minorHAnsi"/>
                <w:color w:val="000000"/>
                <w:sz w:val="20"/>
                <w:szCs w:val="20"/>
              </w:rPr>
              <w:t xml:space="preserve"> </w:t>
            </w:r>
            <w:r w:rsidRPr="00AC4635">
              <w:rPr>
                <w:rFonts w:cstheme="minorHAnsi"/>
                <w:color w:val="000000"/>
                <w:sz w:val="20"/>
                <w:szCs w:val="20"/>
              </w:rPr>
              <w:t>(tlmočník)</w:t>
            </w:r>
          </w:p>
        </w:tc>
        <w:tc>
          <w:tcPr>
            <w:tcW w:w="1069" w:type="pct"/>
            <w:tcBorders>
              <w:top w:val="nil"/>
              <w:left w:val="nil"/>
              <w:bottom w:val="single" w:sz="12" w:space="0" w:color="FFFFFF"/>
              <w:right w:val="single" w:sz="12" w:space="0" w:color="FFFFFF"/>
            </w:tcBorders>
            <w:shd w:val="clear" w:color="000000" w:fill="F2F2F2"/>
            <w:noWrap/>
            <w:hideMark/>
          </w:tcPr>
          <w:p w14:paraId="258792F9"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12 374,40 </w:t>
            </w:r>
          </w:p>
        </w:tc>
      </w:tr>
      <w:tr w:rsidR="00875772" w:rsidRPr="00307C26" w14:paraId="1BA71CFA"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67E65A84"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Občianske združenie STOPA Slovensko</w:t>
            </w:r>
          </w:p>
        </w:tc>
        <w:tc>
          <w:tcPr>
            <w:tcW w:w="1069" w:type="pct"/>
            <w:tcBorders>
              <w:top w:val="nil"/>
              <w:left w:val="nil"/>
              <w:bottom w:val="single" w:sz="12" w:space="0" w:color="FFFFFF"/>
              <w:right w:val="single" w:sz="12" w:space="0" w:color="FFFFFF"/>
            </w:tcBorders>
            <w:shd w:val="clear" w:color="000000" w:fill="F2F2F2"/>
            <w:noWrap/>
            <w:hideMark/>
          </w:tcPr>
          <w:p w14:paraId="0B2B6AA6"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14 408,31 </w:t>
            </w:r>
          </w:p>
        </w:tc>
      </w:tr>
      <w:tr w:rsidR="00875772" w:rsidRPr="00307C26" w14:paraId="79EAFC0B" w14:textId="77777777" w:rsidTr="00875772">
        <w:trPr>
          <w:trHeight w:val="28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750F5EE9"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Organizácia muskulárnych </w:t>
            </w:r>
            <w:proofErr w:type="spellStart"/>
            <w:r w:rsidRPr="00AC4635">
              <w:rPr>
                <w:rFonts w:cstheme="minorHAnsi"/>
                <w:color w:val="000000"/>
                <w:sz w:val="20"/>
                <w:szCs w:val="20"/>
              </w:rPr>
              <w:t>dystrofikov</w:t>
            </w:r>
            <w:proofErr w:type="spellEnd"/>
          </w:p>
        </w:tc>
        <w:tc>
          <w:tcPr>
            <w:tcW w:w="1069" w:type="pct"/>
            <w:tcBorders>
              <w:top w:val="nil"/>
              <w:left w:val="nil"/>
              <w:bottom w:val="single" w:sz="12" w:space="0" w:color="FFFFFF"/>
              <w:right w:val="single" w:sz="12" w:space="0" w:color="FFFFFF"/>
            </w:tcBorders>
            <w:shd w:val="clear" w:color="000000" w:fill="F2F2F2"/>
            <w:noWrap/>
            <w:hideMark/>
          </w:tcPr>
          <w:p w14:paraId="69B90468"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17 028,00 </w:t>
            </w:r>
          </w:p>
        </w:tc>
      </w:tr>
      <w:tr w:rsidR="00875772" w:rsidRPr="00307C26" w14:paraId="7CD307CE"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46D43246"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Organizácia muskulárnych </w:t>
            </w:r>
            <w:proofErr w:type="spellStart"/>
            <w:r w:rsidRPr="00AC4635">
              <w:rPr>
                <w:rFonts w:cstheme="minorHAnsi"/>
                <w:color w:val="000000"/>
                <w:sz w:val="20"/>
                <w:szCs w:val="20"/>
              </w:rPr>
              <w:t>dystrofikov</w:t>
            </w:r>
            <w:proofErr w:type="spellEnd"/>
            <w:r w:rsidRPr="00AC4635">
              <w:rPr>
                <w:rFonts w:cstheme="minorHAnsi"/>
                <w:color w:val="000000"/>
                <w:sz w:val="20"/>
                <w:szCs w:val="20"/>
              </w:rPr>
              <w:t xml:space="preserve"> (</w:t>
            </w:r>
            <w:r>
              <w:rPr>
                <w:rFonts w:cstheme="minorHAnsi"/>
                <w:color w:val="000000"/>
                <w:sz w:val="20"/>
                <w:szCs w:val="20"/>
              </w:rPr>
              <w:t>sprostredkovanie osobnej asistencie</w:t>
            </w:r>
            <w:r w:rsidRPr="00AC4635">
              <w:rPr>
                <w:rFonts w:cstheme="minorHAnsi"/>
                <w:color w:val="000000"/>
                <w:sz w:val="20"/>
                <w:szCs w:val="20"/>
              </w:rPr>
              <w:t>)</w:t>
            </w:r>
          </w:p>
        </w:tc>
        <w:tc>
          <w:tcPr>
            <w:tcW w:w="1069" w:type="pct"/>
            <w:tcBorders>
              <w:top w:val="nil"/>
              <w:left w:val="nil"/>
              <w:bottom w:val="single" w:sz="12" w:space="0" w:color="FFFFFF"/>
              <w:right w:val="single" w:sz="12" w:space="0" w:color="FFFFFF"/>
            </w:tcBorders>
            <w:shd w:val="clear" w:color="000000" w:fill="F2F2F2"/>
            <w:noWrap/>
            <w:hideMark/>
          </w:tcPr>
          <w:p w14:paraId="55998012"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13 098,46 </w:t>
            </w:r>
          </w:p>
        </w:tc>
      </w:tr>
      <w:tr w:rsidR="00875772" w:rsidRPr="00307C26" w14:paraId="1EBF0500"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46DF5ECD"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OZ Vagus</w:t>
            </w:r>
          </w:p>
        </w:tc>
        <w:tc>
          <w:tcPr>
            <w:tcW w:w="1069" w:type="pct"/>
            <w:tcBorders>
              <w:top w:val="nil"/>
              <w:left w:val="nil"/>
              <w:bottom w:val="single" w:sz="12" w:space="0" w:color="FFFFFF"/>
              <w:right w:val="single" w:sz="12" w:space="0" w:color="FFFFFF"/>
            </w:tcBorders>
            <w:shd w:val="clear" w:color="000000" w:fill="F2F2F2"/>
            <w:noWrap/>
            <w:hideMark/>
          </w:tcPr>
          <w:p w14:paraId="0244A6C8"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17 028,00 </w:t>
            </w:r>
          </w:p>
        </w:tc>
      </w:tr>
      <w:tr w:rsidR="00875772" w:rsidRPr="00307C26" w14:paraId="470493F6"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212F8947"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Plamienok</w:t>
            </w:r>
            <w:r>
              <w:rPr>
                <w:rFonts w:cstheme="minorHAnsi"/>
                <w:color w:val="000000"/>
                <w:sz w:val="20"/>
                <w:szCs w:val="20"/>
              </w:rPr>
              <w:t xml:space="preserve"> n. o.</w:t>
            </w:r>
          </w:p>
        </w:tc>
        <w:tc>
          <w:tcPr>
            <w:tcW w:w="1069" w:type="pct"/>
            <w:tcBorders>
              <w:top w:val="nil"/>
              <w:left w:val="nil"/>
              <w:bottom w:val="single" w:sz="12" w:space="0" w:color="FFFFFF"/>
              <w:right w:val="single" w:sz="12" w:space="0" w:color="FFFFFF"/>
            </w:tcBorders>
            <w:shd w:val="clear" w:color="000000" w:fill="F2F2F2"/>
            <w:noWrap/>
            <w:hideMark/>
          </w:tcPr>
          <w:p w14:paraId="37B21CB8"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2 544,70 </w:t>
            </w:r>
          </w:p>
        </w:tc>
      </w:tr>
      <w:tr w:rsidR="00875772" w:rsidRPr="00307C26" w14:paraId="0D02323F"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15AD2B66"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Proti prúdu</w:t>
            </w:r>
          </w:p>
        </w:tc>
        <w:tc>
          <w:tcPr>
            <w:tcW w:w="1069" w:type="pct"/>
            <w:tcBorders>
              <w:top w:val="nil"/>
              <w:left w:val="nil"/>
              <w:bottom w:val="single" w:sz="12" w:space="0" w:color="FFFFFF"/>
              <w:right w:val="single" w:sz="12" w:space="0" w:color="FFFFFF"/>
            </w:tcBorders>
            <w:shd w:val="clear" w:color="000000" w:fill="F2F2F2"/>
            <w:noWrap/>
            <w:hideMark/>
          </w:tcPr>
          <w:p w14:paraId="2F66922A"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4 257,00 </w:t>
            </w:r>
          </w:p>
        </w:tc>
      </w:tr>
      <w:tr w:rsidR="00875772" w:rsidRPr="00307C26" w14:paraId="5423D79B"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284E5E53" w14:textId="77777777" w:rsidR="00875772" w:rsidRPr="00AC4635" w:rsidRDefault="00875772" w:rsidP="00875772">
            <w:pPr>
              <w:spacing w:after="0" w:line="240" w:lineRule="auto"/>
              <w:rPr>
                <w:rFonts w:cstheme="minorHAnsi"/>
                <w:color w:val="000000"/>
                <w:sz w:val="20"/>
                <w:szCs w:val="20"/>
                <w:lang w:eastAsia="sk-SK"/>
              </w:rPr>
            </w:pPr>
            <w:r>
              <w:rPr>
                <w:rFonts w:cstheme="minorHAnsi"/>
                <w:color w:val="000000"/>
                <w:sz w:val="20"/>
                <w:szCs w:val="20"/>
              </w:rPr>
              <w:t>Proti prúdu (podpora samostatného</w:t>
            </w:r>
            <w:r w:rsidRPr="00AC4635">
              <w:rPr>
                <w:rFonts w:cstheme="minorHAnsi"/>
                <w:color w:val="000000"/>
                <w:sz w:val="20"/>
                <w:szCs w:val="20"/>
              </w:rPr>
              <w:t xml:space="preserve"> bývania</w:t>
            </w:r>
            <w:r>
              <w:rPr>
                <w:rFonts w:cstheme="minorHAnsi"/>
                <w:color w:val="000000"/>
                <w:sz w:val="20"/>
                <w:szCs w:val="20"/>
              </w:rPr>
              <w:t>)</w:t>
            </w:r>
          </w:p>
        </w:tc>
        <w:tc>
          <w:tcPr>
            <w:tcW w:w="1069" w:type="pct"/>
            <w:tcBorders>
              <w:top w:val="nil"/>
              <w:left w:val="nil"/>
              <w:bottom w:val="single" w:sz="12" w:space="0" w:color="FFFFFF"/>
              <w:right w:val="single" w:sz="12" w:space="0" w:color="FFFFFF"/>
            </w:tcBorders>
            <w:shd w:val="clear" w:color="000000" w:fill="F2F2F2"/>
            <w:noWrap/>
            <w:hideMark/>
          </w:tcPr>
          <w:p w14:paraId="61855BE9"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27 670,50 </w:t>
            </w:r>
          </w:p>
        </w:tc>
      </w:tr>
      <w:tr w:rsidR="00875772" w:rsidRPr="00307C26" w14:paraId="4CB2782C"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7E13269A"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Raná starostlivosť, n.</w:t>
            </w:r>
            <w:r>
              <w:rPr>
                <w:rFonts w:cstheme="minorHAnsi"/>
                <w:color w:val="000000"/>
                <w:sz w:val="20"/>
                <w:szCs w:val="20"/>
              </w:rPr>
              <w:t xml:space="preserve"> </w:t>
            </w:r>
            <w:r w:rsidRPr="00AC4635">
              <w:rPr>
                <w:rFonts w:cstheme="minorHAnsi"/>
                <w:color w:val="000000"/>
                <w:sz w:val="20"/>
                <w:szCs w:val="20"/>
              </w:rPr>
              <w:t>o.</w:t>
            </w:r>
          </w:p>
        </w:tc>
        <w:tc>
          <w:tcPr>
            <w:tcW w:w="1069" w:type="pct"/>
            <w:tcBorders>
              <w:top w:val="nil"/>
              <w:left w:val="nil"/>
              <w:bottom w:val="single" w:sz="12" w:space="0" w:color="FFFFFF"/>
              <w:right w:val="single" w:sz="12" w:space="0" w:color="FFFFFF"/>
            </w:tcBorders>
            <w:shd w:val="clear" w:color="000000" w:fill="F2F2F2"/>
            <w:noWrap/>
            <w:hideMark/>
          </w:tcPr>
          <w:p w14:paraId="3FBCE538"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62 305,43 </w:t>
            </w:r>
          </w:p>
        </w:tc>
      </w:tr>
      <w:tr w:rsidR="00875772" w:rsidRPr="00307C26" w14:paraId="2008B7ED"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75B92039"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Slovenská humanitná rada</w:t>
            </w:r>
          </w:p>
        </w:tc>
        <w:tc>
          <w:tcPr>
            <w:tcW w:w="1069" w:type="pct"/>
            <w:tcBorders>
              <w:top w:val="nil"/>
              <w:left w:val="nil"/>
              <w:bottom w:val="single" w:sz="12" w:space="0" w:color="FFFFFF"/>
              <w:right w:val="single" w:sz="12" w:space="0" w:color="FFFFFF"/>
            </w:tcBorders>
            <w:shd w:val="clear" w:color="000000" w:fill="F2F2F2"/>
            <w:noWrap/>
            <w:hideMark/>
          </w:tcPr>
          <w:p w14:paraId="5A162EA8"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3 274,62 </w:t>
            </w:r>
          </w:p>
        </w:tc>
      </w:tr>
      <w:tr w:rsidR="00875772" w:rsidRPr="00307C26" w14:paraId="10077694"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tcPr>
          <w:p w14:paraId="0984D139" w14:textId="77777777" w:rsidR="00875772" w:rsidRPr="00AC4635" w:rsidRDefault="00875772" w:rsidP="00875772">
            <w:pPr>
              <w:spacing w:after="0" w:line="240" w:lineRule="auto"/>
              <w:rPr>
                <w:rFonts w:cstheme="minorHAnsi"/>
                <w:color w:val="000000"/>
                <w:sz w:val="20"/>
                <w:szCs w:val="20"/>
              </w:rPr>
            </w:pPr>
            <w:r w:rsidRPr="00AC4635">
              <w:rPr>
                <w:rFonts w:cstheme="minorHAnsi"/>
                <w:color w:val="000000"/>
                <w:sz w:val="20"/>
                <w:szCs w:val="20"/>
              </w:rPr>
              <w:t>Únia nevidiacich a slabozrakých Slovenska</w:t>
            </w:r>
          </w:p>
        </w:tc>
        <w:tc>
          <w:tcPr>
            <w:tcW w:w="1069" w:type="pct"/>
            <w:tcBorders>
              <w:top w:val="nil"/>
              <w:left w:val="nil"/>
              <w:bottom w:val="single" w:sz="12" w:space="0" w:color="FFFFFF"/>
              <w:right w:val="single" w:sz="12" w:space="0" w:color="FFFFFF"/>
            </w:tcBorders>
            <w:shd w:val="clear" w:color="000000" w:fill="F2F2F2"/>
            <w:noWrap/>
          </w:tcPr>
          <w:p w14:paraId="475B2E2E" w14:textId="77777777" w:rsidR="00875772" w:rsidRPr="00AC4635" w:rsidRDefault="00875772" w:rsidP="00875772">
            <w:pPr>
              <w:spacing w:after="0" w:line="240" w:lineRule="auto"/>
              <w:jc w:val="right"/>
              <w:rPr>
                <w:rFonts w:cstheme="minorHAnsi"/>
                <w:color w:val="000000"/>
                <w:sz w:val="20"/>
                <w:szCs w:val="20"/>
              </w:rPr>
            </w:pPr>
            <w:r w:rsidRPr="00AC4635">
              <w:rPr>
                <w:rFonts w:cstheme="minorHAnsi"/>
                <w:color w:val="000000"/>
                <w:sz w:val="20"/>
                <w:szCs w:val="20"/>
              </w:rPr>
              <w:t xml:space="preserve">   14 962,22 </w:t>
            </w:r>
          </w:p>
        </w:tc>
      </w:tr>
      <w:tr w:rsidR="00875772" w:rsidRPr="00307C26" w14:paraId="7EA41FD3" w14:textId="77777777" w:rsidTr="00875772">
        <w:trPr>
          <w:trHeight w:val="94"/>
          <w:tblHeader/>
        </w:trPr>
        <w:tc>
          <w:tcPr>
            <w:tcW w:w="3931" w:type="pct"/>
            <w:tcBorders>
              <w:top w:val="nil"/>
              <w:left w:val="single" w:sz="12" w:space="0" w:color="FFFFFF"/>
              <w:bottom w:val="single" w:sz="12" w:space="0" w:color="FFFFFF"/>
              <w:right w:val="single" w:sz="12" w:space="0" w:color="FFFFFF"/>
            </w:tcBorders>
            <w:shd w:val="clear" w:color="000000" w:fill="F2F2F2"/>
            <w:noWrap/>
          </w:tcPr>
          <w:p w14:paraId="095CB368" w14:textId="77777777" w:rsidR="00875772" w:rsidRPr="00AC4635" w:rsidRDefault="00875772" w:rsidP="00875772">
            <w:pPr>
              <w:spacing w:after="0" w:line="240" w:lineRule="auto"/>
              <w:rPr>
                <w:rFonts w:cstheme="minorHAnsi"/>
                <w:color w:val="000000"/>
                <w:sz w:val="20"/>
                <w:szCs w:val="20"/>
              </w:rPr>
            </w:pPr>
            <w:r w:rsidRPr="00AC4635">
              <w:rPr>
                <w:rFonts w:cstheme="minorHAnsi"/>
                <w:color w:val="000000"/>
                <w:sz w:val="20"/>
                <w:szCs w:val="20"/>
              </w:rPr>
              <w:t>Únia nevidiacich a slabozrakých Slovenska (sociálna rehabilitácia)</w:t>
            </w:r>
          </w:p>
        </w:tc>
        <w:tc>
          <w:tcPr>
            <w:tcW w:w="1069" w:type="pct"/>
            <w:tcBorders>
              <w:top w:val="nil"/>
              <w:left w:val="nil"/>
              <w:bottom w:val="single" w:sz="12" w:space="0" w:color="FFFFFF"/>
              <w:right w:val="single" w:sz="12" w:space="0" w:color="FFFFFF"/>
            </w:tcBorders>
            <w:shd w:val="clear" w:color="000000" w:fill="F2F2F2"/>
            <w:noWrap/>
          </w:tcPr>
          <w:p w14:paraId="445B53A1" w14:textId="77777777" w:rsidR="00875772" w:rsidRPr="00AC4635" w:rsidRDefault="00875772" w:rsidP="00875772">
            <w:pPr>
              <w:spacing w:after="0" w:line="240" w:lineRule="auto"/>
              <w:jc w:val="right"/>
              <w:rPr>
                <w:rFonts w:cstheme="minorHAnsi"/>
                <w:color w:val="000000"/>
                <w:sz w:val="20"/>
                <w:szCs w:val="20"/>
              </w:rPr>
            </w:pPr>
            <w:r w:rsidRPr="00AC4635">
              <w:rPr>
                <w:rFonts w:cstheme="minorHAnsi"/>
                <w:color w:val="000000"/>
                <w:sz w:val="20"/>
                <w:szCs w:val="20"/>
              </w:rPr>
              <w:t xml:space="preserve">   32 746,15 </w:t>
            </w:r>
          </w:p>
        </w:tc>
      </w:tr>
      <w:tr w:rsidR="00875772" w:rsidRPr="00307C26" w14:paraId="2FB6FE01" w14:textId="77777777" w:rsidTr="00875772">
        <w:trPr>
          <w:trHeight w:val="374"/>
          <w:tblHeader/>
        </w:trPr>
        <w:tc>
          <w:tcPr>
            <w:tcW w:w="3931" w:type="pct"/>
            <w:tcBorders>
              <w:top w:val="nil"/>
              <w:left w:val="single" w:sz="12" w:space="0" w:color="FFFFFF"/>
              <w:bottom w:val="single" w:sz="12" w:space="0" w:color="FFFFFF"/>
              <w:right w:val="single" w:sz="12" w:space="0" w:color="FFFFFF"/>
            </w:tcBorders>
            <w:shd w:val="clear" w:color="000000" w:fill="F2F2F2"/>
            <w:noWrap/>
            <w:hideMark/>
          </w:tcPr>
          <w:p w14:paraId="7965E7C5" w14:textId="77777777" w:rsidR="00875772" w:rsidRPr="00AC4635" w:rsidRDefault="00875772" w:rsidP="00875772">
            <w:pPr>
              <w:spacing w:after="0" w:line="240" w:lineRule="auto"/>
              <w:rPr>
                <w:rFonts w:cstheme="minorHAnsi"/>
                <w:color w:val="000000"/>
                <w:sz w:val="20"/>
                <w:szCs w:val="20"/>
                <w:lang w:eastAsia="sk-SK"/>
              </w:rPr>
            </w:pPr>
            <w:r w:rsidRPr="00AC4635">
              <w:rPr>
                <w:rFonts w:cstheme="minorHAnsi"/>
                <w:color w:val="000000"/>
                <w:sz w:val="20"/>
                <w:szCs w:val="20"/>
              </w:rPr>
              <w:t xml:space="preserve">Združenie </w:t>
            </w:r>
            <w:r>
              <w:rPr>
                <w:rFonts w:cstheme="minorHAnsi"/>
                <w:color w:val="000000"/>
                <w:sz w:val="20"/>
                <w:szCs w:val="20"/>
              </w:rPr>
              <w:t xml:space="preserve">na pomoc ľuďom s mentálnym postihnutím v SR </w:t>
            </w:r>
          </w:p>
        </w:tc>
        <w:tc>
          <w:tcPr>
            <w:tcW w:w="1069" w:type="pct"/>
            <w:tcBorders>
              <w:top w:val="nil"/>
              <w:left w:val="nil"/>
              <w:bottom w:val="single" w:sz="12" w:space="0" w:color="FFFFFF"/>
              <w:right w:val="single" w:sz="12" w:space="0" w:color="FFFFFF"/>
            </w:tcBorders>
            <w:shd w:val="clear" w:color="000000" w:fill="F2F2F2"/>
            <w:noWrap/>
            <w:hideMark/>
          </w:tcPr>
          <w:p w14:paraId="5579762A" w14:textId="77777777" w:rsidR="00875772" w:rsidRPr="00AC4635" w:rsidRDefault="00875772" w:rsidP="00875772">
            <w:pPr>
              <w:spacing w:after="0" w:line="240" w:lineRule="auto"/>
              <w:jc w:val="right"/>
              <w:rPr>
                <w:rFonts w:cstheme="minorHAnsi"/>
                <w:color w:val="000000"/>
                <w:sz w:val="20"/>
                <w:szCs w:val="20"/>
                <w:lang w:eastAsia="sk-SK"/>
              </w:rPr>
            </w:pPr>
            <w:r w:rsidRPr="00AC4635">
              <w:rPr>
                <w:rFonts w:cstheme="minorHAnsi"/>
                <w:color w:val="000000"/>
                <w:sz w:val="20"/>
                <w:szCs w:val="20"/>
              </w:rPr>
              <w:t xml:space="preserve">   34 056,00 </w:t>
            </w:r>
          </w:p>
        </w:tc>
      </w:tr>
    </w:tbl>
    <w:p w14:paraId="1A3B308D" w14:textId="77777777" w:rsidR="00875772" w:rsidRPr="00116D4B" w:rsidRDefault="00875772" w:rsidP="00875772">
      <w:pPr>
        <w:spacing w:before="100" w:beforeAutospacing="1" w:after="100" w:afterAutospacing="1" w:line="240" w:lineRule="auto"/>
        <w:outlineLvl w:val="3"/>
        <w:rPr>
          <w:rFonts w:eastAsiaTheme="minorEastAsia"/>
          <w:b/>
          <w:bCs/>
          <w:color w:val="244061"/>
          <w:sz w:val="24"/>
          <w:szCs w:val="24"/>
          <w:lang w:eastAsia="sk-SK"/>
        </w:rPr>
      </w:pPr>
      <w:r w:rsidRPr="4F9BDBF9">
        <w:rPr>
          <w:rFonts w:eastAsiaTheme="minorEastAsia"/>
          <w:b/>
          <w:bCs/>
          <w:color w:val="244061"/>
          <w:sz w:val="24"/>
          <w:szCs w:val="24"/>
          <w:lang w:eastAsia="sk-SK"/>
        </w:rPr>
        <w:t>Prvok 11.4.3: Subjekty, ktoré vykonávajú opatrenia sociálnoprávnej ochrany detí a sociálnej kurately</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0"/>
        <w:gridCol w:w="2074"/>
        <w:gridCol w:w="1324"/>
        <w:gridCol w:w="1325"/>
        <w:gridCol w:w="1325"/>
        <w:gridCol w:w="1603"/>
        <w:gridCol w:w="1935"/>
      </w:tblGrid>
      <w:tr w:rsidR="00875772" w:rsidRPr="00116D4B" w14:paraId="23C25F8F" w14:textId="77777777" w:rsidTr="00875772">
        <w:trPr>
          <w:tblCellSpacing w:w="15" w:type="dxa"/>
        </w:trPr>
        <w:tc>
          <w:tcPr>
            <w:tcW w:w="400" w:type="pct"/>
            <w:shd w:val="clear" w:color="auto" w:fill="C6DBF7"/>
            <w:vAlign w:val="center"/>
            <w:hideMark/>
          </w:tcPr>
          <w:p w14:paraId="6BC24FE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Kód EK</w:t>
            </w:r>
          </w:p>
        </w:tc>
        <w:tc>
          <w:tcPr>
            <w:tcW w:w="977" w:type="pct"/>
            <w:shd w:val="clear" w:color="auto" w:fill="C6DBF7"/>
            <w:vAlign w:val="center"/>
            <w:hideMark/>
          </w:tcPr>
          <w:p w14:paraId="1881854E"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Ekonomická klasifikácia</w:t>
            </w:r>
          </w:p>
        </w:tc>
        <w:tc>
          <w:tcPr>
            <w:tcW w:w="618" w:type="pct"/>
            <w:shd w:val="clear" w:color="auto" w:fill="C6DBF7"/>
            <w:vAlign w:val="center"/>
            <w:hideMark/>
          </w:tcPr>
          <w:p w14:paraId="3BE3B00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Schválený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618" w:type="pct"/>
            <w:shd w:val="clear" w:color="auto" w:fill="C6DBF7"/>
            <w:vAlign w:val="center"/>
            <w:hideMark/>
          </w:tcPr>
          <w:p w14:paraId="28E46983"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Zmenený</w:t>
            </w:r>
            <w:r>
              <w:br/>
            </w:r>
            <w:r w:rsidRPr="4F9BDBF9">
              <w:rPr>
                <w:rFonts w:eastAsiaTheme="minorEastAsia"/>
                <w:b/>
                <w:bCs/>
                <w:sz w:val="20"/>
                <w:szCs w:val="20"/>
                <w:lang w:eastAsia="sk-SK"/>
              </w:rPr>
              <w:t>rozpočet</w:t>
            </w:r>
            <w:r>
              <w:br/>
            </w:r>
            <w:r w:rsidRPr="4F9BDBF9">
              <w:rPr>
                <w:rFonts w:eastAsiaTheme="minorEastAsia"/>
                <w:b/>
                <w:bCs/>
                <w:sz w:val="20"/>
                <w:szCs w:val="20"/>
                <w:lang w:eastAsia="sk-SK"/>
              </w:rPr>
              <w:t>v EUR</w:t>
            </w:r>
          </w:p>
        </w:tc>
        <w:tc>
          <w:tcPr>
            <w:tcW w:w="618" w:type="pct"/>
            <w:shd w:val="clear" w:color="auto" w:fill="C6DBF7"/>
            <w:vAlign w:val="center"/>
            <w:hideMark/>
          </w:tcPr>
          <w:p w14:paraId="5DB09B2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v EUR</w:t>
            </w:r>
          </w:p>
        </w:tc>
        <w:tc>
          <w:tcPr>
            <w:tcW w:w="751" w:type="pct"/>
            <w:shd w:val="clear" w:color="auto" w:fill="C6DBF7"/>
            <w:vAlign w:val="center"/>
            <w:hideMark/>
          </w:tcPr>
          <w:p w14:paraId="5B3E36AF"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Čerpanie</w:t>
            </w:r>
            <w:r>
              <w:br/>
            </w:r>
            <w:r w:rsidRPr="4F9BDBF9">
              <w:rPr>
                <w:rFonts w:eastAsiaTheme="minorEastAsia"/>
                <w:b/>
                <w:bCs/>
                <w:sz w:val="20"/>
                <w:szCs w:val="20"/>
                <w:lang w:eastAsia="sk-SK"/>
              </w:rPr>
              <w:t xml:space="preserve">k </w:t>
            </w:r>
            <w:proofErr w:type="spellStart"/>
            <w:r w:rsidRPr="4F9BDBF9">
              <w:rPr>
                <w:rFonts w:eastAsiaTheme="minorEastAsia"/>
                <w:b/>
                <w:bCs/>
                <w:sz w:val="20"/>
                <w:szCs w:val="20"/>
                <w:lang w:eastAsia="sk-SK"/>
              </w:rPr>
              <w:t>zmen</w:t>
            </w:r>
            <w:proofErr w:type="spellEnd"/>
            <w:r w:rsidRPr="4F9BDBF9">
              <w:rPr>
                <w:rFonts w:eastAsiaTheme="minorEastAsia"/>
                <w:b/>
                <w:bCs/>
                <w:sz w:val="20"/>
                <w:szCs w:val="20"/>
                <w:lang w:eastAsia="sk-SK"/>
              </w:rPr>
              <w:t xml:space="preserve">. </w:t>
            </w:r>
            <w:proofErr w:type="spellStart"/>
            <w:r w:rsidRPr="4F9BDBF9">
              <w:rPr>
                <w:rFonts w:eastAsiaTheme="minorEastAsia"/>
                <w:b/>
                <w:bCs/>
                <w:sz w:val="20"/>
                <w:szCs w:val="20"/>
                <w:lang w:eastAsia="sk-SK"/>
              </w:rPr>
              <w:t>rozp</w:t>
            </w:r>
            <w:proofErr w:type="spellEnd"/>
            <w:r w:rsidRPr="4F9BDBF9">
              <w:rPr>
                <w:rFonts w:eastAsiaTheme="minorEastAsia"/>
                <w:b/>
                <w:bCs/>
                <w:sz w:val="20"/>
                <w:szCs w:val="20"/>
                <w:lang w:eastAsia="sk-SK"/>
              </w:rPr>
              <w:t>.</w:t>
            </w:r>
            <w:r>
              <w:br/>
            </w:r>
            <w:r w:rsidRPr="4F9BDBF9">
              <w:rPr>
                <w:rFonts w:eastAsiaTheme="minorEastAsia"/>
                <w:b/>
                <w:bCs/>
                <w:sz w:val="20"/>
                <w:szCs w:val="20"/>
                <w:lang w:eastAsia="sk-SK"/>
              </w:rPr>
              <w:t>v %</w:t>
            </w:r>
          </w:p>
        </w:tc>
        <w:tc>
          <w:tcPr>
            <w:tcW w:w="903" w:type="pct"/>
            <w:shd w:val="clear" w:color="auto" w:fill="C6DBF7"/>
            <w:vAlign w:val="center"/>
            <w:hideMark/>
          </w:tcPr>
          <w:p w14:paraId="7CC4C4E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Zmeny rozpočtu</w:t>
            </w:r>
          </w:p>
        </w:tc>
      </w:tr>
      <w:tr w:rsidR="00875772" w:rsidRPr="00116D4B" w14:paraId="45564812" w14:textId="77777777" w:rsidTr="00875772">
        <w:trPr>
          <w:tblCellSpacing w:w="15" w:type="dxa"/>
        </w:trPr>
        <w:tc>
          <w:tcPr>
            <w:tcW w:w="400" w:type="pct"/>
            <w:shd w:val="clear" w:color="auto" w:fill="D9D9D9" w:themeFill="background1" w:themeFillShade="D9"/>
            <w:noWrap/>
            <w:vAlign w:val="center"/>
            <w:hideMark/>
          </w:tcPr>
          <w:p w14:paraId="72D8A6D2" w14:textId="77777777" w:rsidR="00875772" w:rsidRPr="00116D4B" w:rsidRDefault="00875772" w:rsidP="00875772">
            <w:pPr>
              <w:spacing w:after="0" w:line="240" w:lineRule="auto"/>
              <w:jc w:val="center"/>
              <w:rPr>
                <w:rFonts w:eastAsiaTheme="minorEastAsia"/>
                <w:sz w:val="24"/>
                <w:szCs w:val="24"/>
                <w:lang w:eastAsia="sk-SK"/>
              </w:rPr>
            </w:pPr>
          </w:p>
        </w:tc>
        <w:tc>
          <w:tcPr>
            <w:tcW w:w="977" w:type="pct"/>
            <w:shd w:val="clear" w:color="auto" w:fill="D9D9D9" w:themeFill="background1" w:themeFillShade="D9"/>
            <w:vAlign w:val="center"/>
            <w:hideMark/>
          </w:tcPr>
          <w:p w14:paraId="7C84B721"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Výdavky celkom</w:t>
            </w:r>
            <w:r w:rsidRPr="4F9BDBF9">
              <w:rPr>
                <w:rFonts w:eastAsiaTheme="minorEastAsia"/>
                <w:sz w:val="24"/>
                <w:szCs w:val="24"/>
                <w:lang w:eastAsia="sk-SK"/>
              </w:rPr>
              <w:t xml:space="preserve"> </w:t>
            </w:r>
          </w:p>
        </w:tc>
        <w:tc>
          <w:tcPr>
            <w:tcW w:w="618" w:type="pct"/>
            <w:shd w:val="clear" w:color="auto" w:fill="D9D9D9" w:themeFill="background1" w:themeFillShade="D9"/>
            <w:noWrap/>
            <w:vAlign w:val="center"/>
            <w:hideMark/>
          </w:tcPr>
          <w:p w14:paraId="0A725C1C"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660 000,00</w:t>
            </w:r>
            <w:r w:rsidRPr="4F9BDBF9">
              <w:rPr>
                <w:rFonts w:eastAsiaTheme="minorEastAsia"/>
                <w:sz w:val="24"/>
                <w:szCs w:val="24"/>
                <w:lang w:eastAsia="sk-SK"/>
              </w:rPr>
              <w:t xml:space="preserve"> </w:t>
            </w:r>
          </w:p>
        </w:tc>
        <w:tc>
          <w:tcPr>
            <w:tcW w:w="618" w:type="pct"/>
            <w:shd w:val="clear" w:color="auto" w:fill="D9D9D9" w:themeFill="background1" w:themeFillShade="D9"/>
            <w:noWrap/>
            <w:vAlign w:val="center"/>
            <w:hideMark/>
          </w:tcPr>
          <w:p w14:paraId="6044600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660 000,00</w:t>
            </w:r>
            <w:r w:rsidRPr="4F9BDBF9">
              <w:rPr>
                <w:rFonts w:eastAsiaTheme="minorEastAsia"/>
                <w:sz w:val="24"/>
                <w:szCs w:val="24"/>
                <w:lang w:eastAsia="sk-SK"/>
              </w:rPr>
              <w:t xml:space="preserve"> </w:t>
            </w:r>
          </w:p>
        </w:tc>
        <w:tc>
          <w:tcPr>
            <w:tcW w:w="618" w:type="pct"/>
            <w:shd w:val="clear" w:color="auto" w:fill="D9D9D9" w:themeFill="background1" w:themeFillShade="D9"/>
            <w:noWrap/>
            <w:vAlign w:val="center"/>
            <w:hideMark/>
          </w:tcPr>
          <w:p w14:paraId="3A250626"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605 244,61</w:t>
            </w:r>
            <w:r w:rsidRPr="4F9BDBF9">
              <w:rPr>
                <w:rFonts w:eastAsiaTheme="minorEastAsia"/>
                <w:sz w:val="24"/>
                <w:szCs w:val="24"/>
                <w:lang w:eastAsia="sk-SK"/>
              </w:rPr>
              <w:t xml:space="preserve"> </w:t>
            </w:r>
          </w:p>
        </w:tc>
        <w:tc>
          <w:tcPr>
            <w:tcW w:w="751" w:type="pct"/>
            <w:shd w:val="clear" w:color="auto" w:fill="D9D9D9" w:themeFill="background1" w:themeFillShade="D9"/>
            <w:noWrap/>
            <w:vAlign w:val="center"/>
            <w:hideMark/>
          </w:tcPr>
          <w:p w14:paraId="3969A138"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91,70</w:t>
            </w:r>
            <w:r w:rsidRPr="4F9BDBF9">
              <w:rPr>
                <w:rFonts w:eastAsiaTheme="minorEastAsia"/>
                <w:sz w:val="24"/>
                <w:szCs w:val="24"/>
                <w:lang w:eastAsia="sk-SK"/>
              </w:rPr>
              <w:t xml:space="preserve"> </w:t>
            </w:r>
          </w:p>
        </w:tc>
        <w:tc>
          <w:tcPr>
            <w:tcW w:w="903" w:type="pct"/>
            <w:shd w:val="clear" w:color="auto" w:fill="D9D9D9" w:themeFill="background1" w:themeFillShade="D9"/>
            <w:vAlign w:val="center"/>
            <w:hideMark/>
          </w:tcPr>
          <w:p w14:paraId="245AAAC7" w14:textId="77777777" w:rsidR="00875772" w:rsidRPr="00116D4B" w:rsidRDefault="00875772" w:rsidP="00875772">
            <w:pPr>
              <w:spacing w:after="0" w:line="240" w:lineRule="auto"/>
              <w:rPr>
                <w:rFonts w:eastAsiaTheme="minorEastAsia"/>
                <w:sz w:val="20"/>
                <w:szCs w:val="20"/>
                <w:lang w:eastAsia="sk-SK"/>
              </w:rPr>
            </w:pPr>
          </w:p>
        </w:tc>
      </w:tr>
      <w:tr w:rsidR="00875772" w:rsidRPr="00116D4B" w14:paraId="05CCB684" w14:textId="77777777" w:rsidTr="00875772">
        <w:trPr>
          <w:tblCellSpacing w:w="15" w:type="dxa"/>
        </w:trPr>
        <w:tc>
          <w:tcPr>
            <w:tcW w:w="400" w:type="pct"/>
            <w:shd w:val="clear" w:color="auto" w:fill="D9D9D9" w:themeFill="background1" w:themeFillShade="D9"/>
            <w:noWrap/>
            <w:vAlign w:val="center"/>
            <w:hideMark/>
          </w:tcPr>
          <w:p w14:paraId="1A17A1B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600</w:t>
            </w:r>
            <w:r w:rsidRPr="4F9BDBF9">
              <w:rPr>
                <w:rFonts w:eastAsiaTheme="minorEastAsia"/>
                <w:sz w:val="24"/>
                <w:szCs w:val="24"/>
                <w:lang w:eastAsia="sk-SK"/>
              </w:rPr>
              <w:t xml:space="preserve"> </w:t>
            </w:r>
          </w:p>
        </w:tc>
        <w:tc>
          <w:tcPr>
            <w:tcW w:w="977" w:type="pct"/>
            <w:shd w:val="clear" w:color="auto" w:fill="D9D9D9" w:themeFill="background1" w:themeFillShade="D9"/>
            <w:vAlign w:val="center"/>
            <w:hideMark/>
          </w:tcPr>
          <w:p w14:paraId="17A3FF1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Bežné výdavky</w:t>
            </w:r>
            <w:r w:rsidRPr="4F9BDBF9">
              <w:rPr>
                <w:rFonts w:eastAsiaTheme="minorEastAsia"/>
                <w:sz w:val="24"/>
                <w:szCs w:val="24"/>
                <w:lang w:eastAsia="sk-SK"/>
              </w:rPr>
              <w:t xml:space="preserve"> </w:t>
            </w:r>
          </w:p>
        </w:tc>
        <w:tc>
          <w:tcPr>
            <w:tcW w:w="618" w:type="pct"/>
            <w:shd w:val="clear" w:color="auto" w:fill="D9D9D9" w:themeFill="background1" w:themeFillShade="D9"/>
            <w:noWrap/>
            <w:vAlign w:val="center"/>
            <w:hideMark/>
          </w:tcPr>
          <w:p w14:paraId="097ECB43"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660 000,00</w:t>
            </w:r>
            <w:r w:rsidRPr="4F9BDBF9">
              <w:rPr>
                <w:rFonts w:eastAsiaTheme="minorEastAsia"/>
                <w:sz w:val="24"/>
                <w:szCs w:val="24"/>
                <w:lang w:eastAsia="sk-SK"/>
              </w:rPr>
              <w:t xml:space="preserve"> </w:t>
            </w:r>
          </w:p>
        </w:tc>
        <w:tc>
          <w:tcPr>
            <w:tcW w:w="618" w:type="pct"/>
            <w:shd w:val="clear" w:color="auto" w:fill="D9D9D9" w:themeFill="background1" w:themeFillShade="D9"/>
            <w:noWrap/>
            <w:vAlign w:val="center"/>
            <w:hideMark/>
          </w:tcPr>
          <w:p w14:paraId="60488701"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660 000,00</w:t>
            </w:r>
            <w:r w:rsidRPr="4F9BDBF9">
              <w:rPr>
                <w:rFonts w:eastAsiaTheme="minorEastAsia"/>
                <w:sz w:val="24"/>
                <w:szCs w:val="24"/>
                <w:lang w:eastAsia="sk-SK"/>
              </w:rPr>
              <w:t xml:space="preserve"> </w:t>
            </w:r>
          </w:p>
        </w:tc>
        <w:tc>
          <w:tcPr>
            <w:tcW w:w="618" w:type="pct"/>
            <w:shd w:val="clear" w:color="auto" w:fill="D9D9D9" w:themeFill="background1" w:themeFillShade="D9"/>
            <w:noWrap/>
            <w:vAlign w:val="center"/>
            <w:hideMark/>
          </w:tcPr>
          <w:p w14:paraId="59701E0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605 244,61</w:t>
            </w:r>
            <w:r w:rsidRPr="4F9BDBF9">
              <w:rPr>
                <w:rFonts w:eastAsiaTheme="minorEastAsia"/>
                <w:sz w:val="24"/>
                <w:szCs w:val="24"/>
                <w:lang w:eastAsia="sk-SK"/>
              </w:rPr>
              <w:t xml:space="preserve"> </w:t>
            </w:r>
          </w:p>
        </w:tc>
        <w:tc>
          <w:tcPr>
            <w:tcW w:w="751" w:type="pct"/>
            <w:shd w:val="clear" w:color="auto" w:fill="D9D9D9" w:themeFill="background1" w:themeFillShade="D9"/>
            <w:noWrap/>
            <w:vAlign w:val="center"/>
            <w:hideMark/>
          </w:tcPr>
          <w:p w14:paraId="3D3C1B1A"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b/>
                <w:bCs/>
                <w:sz w:val="20"/>
                <w:szCs w:val="20"/>
                <w:lang w:eastAsia="sk-SK"/>
              </w:rPr>
              <w:t>91,70</w:t>
            </w:r>
            <w:r w:rsidRPr="4F9BDBF9">
              <w:rPr>
                <w:rFonts w:eastAsiaTheme="minorEastAsia"/>
                <w:sz w:val="24"/>
                <w:szCs w:val="24"/>
                <w:lang w:eastAsia="sk-SK"/>
              </w:rPr>
              <w:t xml:space="preserve"> </w:t>
            </w:r>
          </w:p>
        </w:tc>
        <w:tc>
          <w:tcPr>
            <w:tcW w:w="903" w:type="pct"/>
            <w:vMerge w:val="restart"/>
            <w:shd w:val="clear" w:color="auto" w:fill="D9D9D9" w:themeFill="background1" w:themeFillShade="D9"/>
            <w:vAlign w:val="center"/>
            <w:hideMark/>
          </w:tcPr>
          <w:p w14:paraId="45E88F42" w14:textId="77777777" w:rsidR="00875772" w:rsidRPr="00116D4B" w:rsidRDefault="00875772" w:rsidP="00875772">
            <w:pPr>
              <w:spacing w:after="0" w:line="240" w:lineRule="auto"/>
              <w:jc w:val="right"/>
              <w:rPr>
                <w:rFonts w:eastAsiaTheme="minorEastAsia"/>
                <w:sz w:val="24"/>
                <w:szCs w:val="24"/>
                <w:lang w:eastAsia="sk-SK"/>
              </w:rPr>
            </w:pPr>
          </w:p>
        </w:tc>
      </w:tr>
      <w:tr w:rsidR="00875772" w:rsidRPr="00116D4B" w14:paraId="4C338880" w14:textId="77777777" w:rsidTr="00875772">
        <w:trPr>
          <w:tblCellSpacing w:w="15" w:type="dxa"/>
        </w:trPr>
        <w:tc>
          <w:tcPr>
            <w:tcW w:w="400" w:type="pct"/>
            <w:shd w:val="clear" w:color="auto" w:fill="EFEFEF"/>
            <w:noWrap/>
            <w:vAlign w:val="center"/>
            <w:hideMark/>
          </w:tcPr>
          <w:p w14:paraId="198289C6"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640</w:t>
            </w:r>
            <w:r w:rsidRPr="4F9BDBF9">
              <w:rPr>
                <w:rFonts w:eastAsiaTheme="minorEastAsia"/>
                <w:sz w:val="24"/>
                <w:szCs w:val="24"/>
                <w:lang w:eastAsia="sk-SK"/>
              </w:rPr>
              <w:t xml:space="preserve"> </w:t>
            </w:r>
          </w:p>
        </w:tc>
        <w:tc>
          <w:tcPr>
            <w:tcW w:w="977" w:type="pct"/>
            <w:shd w:val="clear" w:color="auto" w:fill="EFEFEF"/>
            <w:vAlign w:val="center"/>
            <w:hideMark/>
          </w:tcPr>
          <w:p w14:paraId="3FEC1DA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Bežné transfery</w:t>
            </w:r>
            <w:r w:rsidRPr="4F9BDBF9">
              <w:rPr>
                <w:rFonts w:eastAsiaTheme="minorEastAsia"/>
                <w:sz w:val="24"/>
                <w:szCs w:val="24"/>
                <w:lang w:eastAsia="sk-SK"/>
              </w:rPr>
              <w:t xml:space="preserve"> </w:t>
            </w:r>
          </w:p>
        </w:tc>
        <w:tc>
          <w:tcPr>
            <w:tcW w:w="618" w:type="pct"/>
            <w:shd w:val="clear" w:color="auto" w:fill="EFEFEF"/>
            <w:noWrap/>
            <w:vAlign w:val="center"/>
            <w:hideMark/>
          </w:tcPr>
          <w:p w14:paraId="603AC717"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660 000,00</w:t>
            </w:r>
            <w:r w:rsidRPr="4F9BDBF9">
              <w:rPr>
                <w:rFonts w:eastAsiaTheme="minorEastAsia"/>
                <w:sz w:val="24"/>
                <w:szCs w:val="24"/>
                <w:lang w:eastAsia="sk-SK"/>
              </w:rPr>
              <w:t xml:space="preserve"> </w:t>
            </w:r>
          </w:p>
        </w:tc>
        <w:tc>
          <w:tcPr>
            <w:tcW w:w="618" w:type="pct"/>
            <w:shd w:val="clear" w:color="auto" w:fill="EFEFEF"/>
            <w:noWrap/>
            <w:vAlign w:val="center"/>
            <w:hideMark/>
          </w:tcPr>
          <w:p w14:paraId="49F4B05F"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660 000,00</w:t>
            </w:r>
            <w:r w:rsidRPr="4F9BDBF9">
              <w:rPr>
                <w:rFonts w:eastAsiaTheme="minorEastAsia"/>
                <w:sz w:val="24"/>
                <w:szCs w:val="24"/>
                <w:lang w:eastAsia="sk-SK"/>
              </w:rPr>
              <w:t xml:space="preserve"> </w:t>
            </w:r>
          </w:p>
        </w:tc>
        <w:tc>
          <w:tcPr>
            <w:tcW w:w="618" w:type="pct"/>
            <w:shd w:val="clear" w:color="auto" w:fill="EFEFEF"/>
            <w:noWrap/>
            <w:vAlign w:val="center"/>
            <w:hideMark/>
          </w:tcPr>
          <w:p w14:paraId="4B1EFF62"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605 244,61</w:t>
            </w:r>
            <w:r w:rsidRPr="4F9BDBF9">
              <w:rPr>
                <w:rFonts w:eastAsiaTheme="minorEastAsia"/>
                <w:sz w:val="24"/>
                <w:szCs w:val="24"/>
                <w:lang w:eastAsia="sk-SK"/>
              </w:rPr>
              <w:t xml:space="preserve"> </w:t>
            </w:r>
          </w:p>
        </w:tc>
        <w:tc>
          <w:tcPr>
            <w:tcW w:w="751" w:type="pct"/>
            <w:shd w:val="clear" w:color="auto" w:fill="EFEFEF"/>
            <w:noWrap/>
            <w:vAlign w:val="center"/>
            <w:hideMark/>
          </w:tcPr>
          <w:p w14:paraId="7F382864" w14:textId="77777777" w:rsidR="00875772" w:rsidRPr="00116D4B" w:rsidRDefault="00875772" w:rsidP="00875772">
            <w:pPr>
              <w:spacing w:after="0" w:line="240" w:lineRule="auto"/>
              <w:jc w:val="right"/>
              <w:rPr>
                <w:rFonts w:eastAsiaTheme="minorEastAsia"/>
                <w:sz w:val="24"/>
                <w:szCs w:val="24"/>
                <w:lang w:eastAsia="sk-SK"/>
              </w:rPr>
            </w:pPr>
            <w:r w:rsidRPr="4F9BDBF9">
              <w:rPr>
                <w:rFonts w:eastAsiaTheme="minorEastAsia"/>
                <w:sz w:val="20"/>
                <w:szCs w:val="20"/>
                <w:lang w:eastAsia="sk-SK"/>
              </w:rPr>
              <w:t>91,70</w:t>
            </w:r>
            <w:r w:rsidRPr="4F9BDBF9">
              <w:rPr>
                <w:rFonts w:eastAsiaTheme="minorEastAsia"/>
                <w:sz w:val="24"/>
                <w:szCs w:val="24"/>
                <w:lang w:eastAsia="sk-SK"/>
              </w:rPr>
              <w:t xml:space="preserve"> </w:t>
            </w:r>
          </w:p>
        </w:tc>
        <w:tc>
          <w:tcPr>
            <w:tcW w:w="903" w:type="pct"/>
            <w:vMerge/>
            <w:vAlign w:val="center"/>
            <w:hideMark/>
          </w:tcPr>
          <w:p w14:paraId="287283B5" w14:textId="77777777" w:rsidR="00875772" w:rsidRPr="00116D4B" w:rsidRDefault="00875772" w:rsidP="00875772">
            <w:pPr>
              <w:spacing w:after="0" w:line="240" w:lineRule="auto"/>
              <w:rPr>
                <w:rFonts w:ascii="Times New Roman" w:hAnsi="Times New Roman"/>
                <w:sz w:val="24"/>
                <w:szCs w:val="24"/>
                <w:lang w:eastAsia="sk-SK"/>
              </w:rPr>
            </w:pPr>
          </w:p>
        </w:tc>
      </w:tr>
    </w:tbl>
    <w:p w14:paraId="700876DB" w14:textId="77777777" w:rsidR="00875772" w:rsidRPr="00116D4B" w:rsidRDefault="00875772" w:rsidP="00875772">
      <w:pPr>
        <w:spacing w:after="0" w:line="240" w:lineRule="auto"/>
        <w:rPr>
          <w:rFonts w:eastAsiaTheme="minorEastAsia"/>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02"/>
        <w:gridCol w:w="630"/>
        <w:gridCol w:w="1492"/>
        <w:gridCol w:w="1283"/>
        <w:gridCol w:w="4159"/>
      </w:tblGrid>
      <w:tr w:rsidR="00875772" w:rsidRPr="00116D4B" w14:paraId="68C286CF" w14:textId="77777777" w:rsidTr="00875772">
        <w:trPr>
          <w:tblCellSpacing w:w="15" w:type="dxa"/>
        </w:trPr>
        <w:tc>
          <w:tcPr>
            <w:tcW w:w="0" w:type="auto"/>
            <w:shd w:val="clear" w:color="auto" w:fill="C2D69B"/>
            <w:vAlign w:val="center"/>
            <w:hideMark/>
          </w:tcPr>
          <w:p w14:paraId="0FC4A007"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Zodpovednosť</w:t>
            </w:r>
          </w:p>
        </w:tc>
        <w:tc>
          <w:tcPr>
            <w:tcW w:w="0" w:type="auto"/>
            <w:gridSpan w:val="4"/>
            <w:shd w:val="clear" w:color="auto" w:fill="C2D69B"/>
            <w:vAlign w:val="center"/>
            <w:hideMark/>
          </w:tcPr>
          <w:p w14:paraId="053BF8C0"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oddelenie sociálnej pomoci</w:t>
            </w:r>
            <w:r w:rsidRPr="4F9BDBF9">
              <w:rPr>
                <w:rFonts w:eastAsiaTheme="minorEastAsia"/>
                <w:sz w:val="24"/>
                <w:szCs w:val="24"/>
                <w:lang w:eastAsia="sk-SK"/>
              </w:rPr>
              <w:t xml:space="preserve"> </w:t>
            </w:r>
          </w:p>
        </w:tc>
      </w:tr>
      <w:tr w:rsidR="00875772" w:rsidRPr="00116D4B" w14:paraId="03CDD58D" w14:textId="77777777" w:rsidTr="00875772">
        <w:trPr>
          <w:tblCellSpacing w:w="15" w:type="dxa"/>
        </w:trPr>
        <w:tc>
          <w:tcPr>
            <w:tcW w:w="0" w:type="auto"/>
            <w:shd w:val="clear" w:color="auto" w:fill="C2D69B"/>
            <w:vAlign w:val="center"/>
            <w:hideMark/>
          </w:tcPr>
          <w:p w14:paraId="09BAA1B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Cieľ</w:t>
            </w:r>
          </w:p>
        </w:tc>
        <w:tc>
          <w:tcPr>
            <w:tcW w:w="0" w:type="auto"/>
            <w:gridSpan w:val="4"/>
            <w:shd w:val="clear" w:color="auto" w:fill="C2D69B"/>
            <w:vAlign w:val="center"/>
            <w:hideMark/>
          </w:tcPr>
          <w:p w14:paraId="57DAE69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Zabezpečiť kvalitnú úroveň poskytovaných opatrení sociálnoprávnej ochrany detí a sociálnej kurately</w:t>
            </w:r>
            <w:r w:rsidRPr="4F9BDBF9">
              <w:rPr>
                <w:rFonts w:eastAsiaTheme="minorEastAsia"/>
                <w:sz w:val="24"/>
                <w:szCs w:val="24"/>
                <w:lang w:eastAsia="sk-SK"/>
              </w:rPr>
              <w:t xml:space="preserve"> </w:t>
            </w:r>
          </w:p>
        </w:tc>
      </w:tr>
      <w:tr w:rsidR="00875772" w:rsidRPr="00116D4B" w14:paraId="53B00170" w14:textId="77777777" w:rsidTr="00875772">
        <w:trPr>
          <w:tblCellSpacing w:w="15" w:type="dxa"/>
        </w:trPr>
        <w:tc>
          <w:tcPr>
            <w:tcW w:w="0" w:type="auto"/>
            <w:shd w:val="clear" w:color="auto" w:fill="C2D69B"/>
            <w:vAlign w:val="center"/>
            <w:hideMark/>
          </w:tcPr>
          <w:p w14:paraId="0A8644C3"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5C08ABB4"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Počet podporených subjektov spolu za rok</w:t>
            </w:r>
            <w:r w:rsidRPr="4F9BDBF9">
              <w:rPr>
                <w:rFonts w:eastAsiaTheme="minorEastAsia"/>
                <w:sz w:val="24"/>
                <w:szCs w:val="24"/>
                <w:lang w:eastAsia="sk-SK"/>
              </w:rPr>
              <w:t xml:space="preserve"> </w:t>
            </w:r>
          </w:p>
        </w:tc>
      </w:tr>
      <w:tr w:rsidR="00875772" w:rsidRPr="00116D4B" w14:paraId="42F2BF2E" w14:textId="77777777" w:rsidTr="00875772">
        <w:trPr>
          <w:tblCellSpacing w:w="15" w:type="dxa"/>
        </w:trPr>
        <w:tc>
          <w:tcPr>
            <w:tcW w:w="0" w:type="auto"/>
            <w:shd w:val="clear" w:color="auto" w:fill="C2D69B"/>
            <w:vAlign w:val="center"/>
            <w:hideMark/>
          </w:tcPr>
          <w:p w14:paraId="223418D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43AA4401"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75FFA7E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6BD995C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155397C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33E59E4E" w14:textId="77777777" w:rsidTr="00875772">
        <w:trPr>
          <w:tblCellSpacing w:w="15" w:type="dxa"/>
        </w:trPr>
        <w:tc>
          <w:tcPr>
            <w:tcW w:w="0" w:type="auto"/>
            <w:shd w:val="clear" w:color="auto" w:fill="C2D69B"/>
            <w:vAlign w:val="center"/>
            <w:hideMark/>
          </w:tcPr>
          <w:p w14:paraId="759D144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262026C9"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21</w:t>
            </w:r>
            <w:r w:rsidRPr="4F9BDBF9">
              <w:rPr>
                <w:rFonts w:eastAsiaTheme="minorEastAsia"/>
                <w:sz w:val="24"/>
                <w:szCs w:val="24"/>
                <w:lang w:eastAsia="sk-SK"/>
              </w:rPr>
              <w:t xml:space="preserve"> </w:t>
            </w:r>
          </w:p>
        </w:tc>
        <w:tc>
          <w:tcPr>
            <w:tcW w:w="0" w:type="auto"/>
            <w:shd w:val="clear" w:color="auto" w:fill="C2D69B"/>
            <w:noWrap/>
            <w:vAlign w:val="center"/>
            <w:hideMark/>
          </w:tcPr>
          <w:p w14:paraId="3A7CC702" w14:textId="77777777" w:rsidR="00875772" w:rsidRPr="00116D4B" w:rsidRDefault="00875772" w:rsidP="00875772">
            <w:pPr>
              <w:spacing w:after="0" w:line="240" w:lineRule="auto"/>
              <w:jc w:val="center"/>
              <w:rPr>
                <w:rFonts w:eastAsiaTheme="minorEastAsia"/>
                <w:sz w:val="24"/>
                <w:szCs w:val="24"/>
                <w:lang w:eastAsia="sk-SK"/>
              </w:rPr>
            </w:pPr>
            <w:r w:rsidRPr="3E14EAE1">
              <w:rPr>
                <w:rFonts w:eastAsiaTheme="minorEastAsia"/>
                <w:sz w:val="20"/>
                <w:szCs w:val="20"/>
                <w:lang w:eastAsia="sk-SK"/>
              </w:rPr>
              <w:t> 21</w:t>
            </w:r>
            <w:r w:rsidRPr="3E14EAE1">
              <w:rPr>
                <w:rFonts w:eastAsiaTheme="minorEastAsia"/>
                <w:sz w:val="24"/>
                <w:szCs w:val="24"/>
                <w:lang w:eastAsia="sk-SK"/>
              </w:rPr>
              <w:t xml:space="preserve"> </w:t>
            </w:r>
          </w:p>
        </w:tc>
        <w:tc>
          <w:tcPr>
            <w:tcW w:w="0" w:type="auto"/>
            <w:shd w:val="clear" w:color="auto" w:fill="C2D69B"/>
            <w:vAlign w:val="center"/>
            <w:hideMark/>
          </w:tcPr>
          <w:p w14:paraId="5FEB775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Splnené</w:t>
            </w:r>
            <w:r w:rsidRPr="4F9BDBF9">
              <w:rPr>
                <w:rFonts w:eastAsiaTheme="minorEastAsia"/>
                <w:sz w:val="24"/>
                <w:szCs w:val="24"/>
                <w:lang w:eastAsia="sk-SK"/>
              </w:rPr>
              <w:t xml:space="preserve"> </w:t>
            </w:r>
          </w:p>
        </w:tc>
        <w:tc>
          <w:tcPr>
            <w:tcW w:w="0" w:type="auto"/>
            <w:shd w:val="clear" w:color="auto" w:fill="C2D69B"/>
            <w:vAlign w:val="center"/>
            <w:hideMark/>
          </w:tcPr>
          <w:p w14:paraId="674DEF63" w14:textId="77777777" w:rsidR="00875772" w:rsidRPr="00116D4B" w:rsidRDefault="00875772" w:rsidP="00875772">
            <w:pPr>
              <w:spacing w:after="0" w:line="240" w:lineRule="auto"/>
              <w:jc w:val="center"/>
              <w:rPr>
                <w:rFonts w:eastAsiaTheme="minorEastAsia"/>
                <w:sz w:val="24"/>
                <w:szCs w:val="24"/>
                <w:lang w:eastAsia="sk-SK"/>
              </w:rPr>
            </w:pPr>
          </w:p>
        </w:tc>
      </w:tr>
      <w:tr w:rsidR="00875772" w:rsidRPr="00116D4B" w14:paraId="5A0AB40A" w14:textId="77777777" w:rsidTr="00875772">
        <w:trPr>
          <w:tblCellSpacing w:w="15" w:type="dxa"/>
        </w:trPr>
        <w:tc>
          <w:tcPr>
            <w:tcW w:w="0" w:type="auto"/>
            <w:shd w:val="clear" w:color="auto" w:fill="C2D69B"/>
            <w:vAlign w:val="center"/>
            <w:hideMark/>
          </w:tcPr>
          <w:p w14:paraId="0AF6DB0C"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Merateľný ukazovateľ</w:t>
            </w:r>
          </w:p>
        </w:tc>
        <w:tc>
          <w:tcPr>
            <w:tcW w:w="0" w:type="auto"/>
            <w:gridSpan w:val="4"/>
            <w:shd w:val="clear" w:color="auto" w:fill="C2D69B"/>
            <w:vAlign w:val="center"/>
            <w:hideMark/>
          </w:tcPr>
          <w:p w14:paraId="3B3E247D"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Počet realizovaných sociálnych programov za rok</w:t>
            </w:r>
            <w:r w:rsidRPr="4F9BDBF9">
              <w:rPr>
                <w:rFonts w:eastAsiaTheme="minorEastAsia"/>
                <w:sz w:val="24"/>
                <w:szCs w:val="24"/>
                <w:lang w:eastAsia="sk-SK"/>
              </w:rPr>
              <w:t xml:space="preserve"> </w:t>
            </w:r>
          </w:p>
        </w:tc>
      </w:tr>
      <w:tr w:rsidR="00875772" w:rsidRPr="00116D4B" w14:paraId="4A4DA5E3" w14:textId="77777777" w:rsidTr="00875772">
        <w:trPr>
          <w:tblCellSpacing w:w="15" w:type="dxa"/>
        </w:trPr>
        <w:tc>
          <w:tcPr>
            <w:tcW w:w="0" w:type="auto"/>
            <w:shd w:val="clear" w:color="auto" w:fill="C2D69B"/>
            <w:vAlign w:val="center"/>
            <w:hideMark/>
          </w:tcPr>
          <w:p w14:paraId="67A9BB4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Rok</w:t>
            </w:r>
          </w:p>
        </w:tc>
        <w:tc>
          <w:tcPr>
            <w:tcW w:w="0" w:type="auto"/>
            <w:shd w:val="clear" w:color="auto" w:fill="C2D69B"/>
            <w:vAlign w:val="center"/>
            <w:hideMark/>
          </w:tcPr>
          <w:p w14:paraId="75834060"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Plán</w:t>
            </w:r>
          </w:p>
        </w:tc>
        <w:tc>
          <w:tcPr>
            <w:tcW w:w="0" w:type="auto"/>
            <w:shd w:val="clear" w:color="auto" w:fill="C2D69B"/>
            <w:vAlign w:val="center"/>
            <w:hideMark/>
          </w:tcPr>
          <w:p w14:paraId="4749A70C"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Skutočnosť</w:t>
            </w:r>
          </w:p>
        </w:tc>
        <w:tc>
          <w:tcPr>
            <w:tcW w:w="0" w:type="auto"/>
            <w:shd w:val="clear" w:color="auto" w:fill="C2D69B"/>
            <w:vAlign w:val="center"/>
            <w:hideMark/>
          </w:tcPr>
          <w:p w14:paraId="6F9A6115"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b/>
                <w:bCs/>
                <w:sz w:val="20"/>
                <w:szCs w:val="20"/>
                <w:lang w:eastAsia="sk-SK"/>
              </w:rPr>
              <w:t>Plnenie</w:t>
            </w:r>
          </w:p>
        </w:tc>
        <w:tc>
          <w:tcPr>
            <w:tcW w:w="2000" w:type="pct"/>
            <w:shd w:val="clear" w:color="auto" w:fill="C2D69B"/>
            <w:vAlign w:val="center"/>
            <w:hideMark/>
          </w:tcPr>
          <w:p w14:paraId="108B47C9"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b/>
                <w:bCs/>
                <w:sz w:val="20"/>
                <w:szCs w:val="20"/>
                <w:lang w:eastAsia="sk-SK"/>
              </w:rPr>
              <w:t>Poznámka</w:t>
            </w:r>
          </w:p>
        </w:tc>
      </w:tr>
      <w:tr w:rsidR="00875772" w:rsidRPr="00116D4B" w14:paraId="5D6DAAF2" w14:textId="77777777" w:rsidTr="00875772">
        <w:trPr>
          <w:tblCellSpacing w:w="15" w:type="dxa"/>
        </w:trPr>
        <w:tc>
          <w:tcPr>
            <w:tcW w:w="0" w:type="auto"/>
            <w:shd w:val="clear" w:color="auto" w:fill="C2D69B"/>
            <w:vAlign w:val="center"/>
            <w:hideMark/>
          </w:tcPr>
          <w:p w14:paraId="1FE1D454"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2020</w:t>
            </w:r>
            <w:r w:rsidRPr="4F9BDBF9">
              <w:rPr>
                <w:rFonts w:eastAsiaTheme="minorEastAsia"/>
                <w:sz w:val="24"/>
                <w:szCs w:val="24"/>
                <w:lang w:eastAsia="sk-SK"/>
              </w:rPr>
              <w:t xml:space="preserve"> </w:t>
            </w:r>
          </w:p>
        </w:tc>
        <w:tc>
          <w:tcPr>
            <w:tcW w:w="0" w:type="auto"/>
            <w:shd w:val="clear" w:color="auto" w:fill="C2D69B"/>
            <w:noWrap/>
            <w:vAlign w:val="center"/>
            <w:hideMark/>
          </w:tcPr>
          <w:p w14:paraId="359B4C58"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2</w:t>
            </w:r>
            <w:r w:rsidRPr="4F9BDBF9">
              <w:rPr>
                <w:rFonts w:eastAsiaTheme="minorEastAsia"/>
                <w:sz w:val="24"/>
                <w:szCs w:val="24"/>
                <w:lang w:eastAsia="sk-SK"/>
              </w:rPr>
              <w:t xml:space="preserve"> </w:t>
            </w:r>
          </w:p>
        </w:tc>
        <w:tc>
          <w:tcPr>
            <w:tcW w:w="0" w:type="auto"/>
            <w:shd w:val="clear" w:color="auto" w:fill="C2D69B"/>
            <w:noWrap/>
            <w:vAlign w:val="center"/>
            <w:hideMark/>
          </w:tcPr>
          <w:p w14:paraId="21CC9DCB"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 1</w:t>
            </w:r>
            <w:r w:rsidRPr="4F9BDBF9">
              <w:rPr>
                <w:rFonts w:eastAsiaTheme="minorEastAsia"/>
                <w:sz w:val="24"/>
                <w:szCs w:val="24"/>
                <w:lang w:eastAsia="sk-SK"/>
              </w:rPr>
              <w:t xml:space="preserve"> </w:t>
            </w:r>
          </w:p>
        </w:tc>
        <w:tc>
          <w:tcPr>
            <w:tcW w:w="0" w:type="auto"/>
            <w:shd w:val="clear" w:color="auto" w:fill="C2D69B"/>
            <w:vAlign w:val="center"/>
            <w:hideMark/>
          </w:tcPr>
          <w:p w14:paraId="41CE35B6" w14:textId="77777777" w:rsidR="00875772" w:rsidRPr="00116D4B" w:rsidRDefault="00875772" w:rsidP="00875772">
            <w:pPr>
              <w:spacing w:after="0" w:line="240" w:lineRule="auto"/>
              <w:jc w:val="center"/>
              <w:rPr>
                <w:rFonts w:eastAsiaTheme="minorEastAsia"/>
                <w:sz w:val="24"/>
                <w:szCs w:val="24"/>
                <w:lang w:eastAsia="sk-SK"/>
              </w:rPr>
            </w:pPr>
            <w:r w:rsidRPr="4F9BDBF9">
              <w:rPr>
                <w:rFonts w:eastAsiaTheme="minorEastAsia"/>
                <w:sz w:val="20"/>
                <w:szCs w:val="20"/>
                <w:lang w:eastAsia="sk-SK"/>
              </w:rPr>
              <w:t>Čiastočne</w:t>
            </w:r>
            <w:r w:rsidRPr="4F9BDBF9">
              <w:rPr>
                <w:rFonts w:eastAsiaTheme="minorEastAsia"/>
                <w:sz w:val="24"/>
                <w:szCs w:val="24"/>
                <w:lang w:eastAsia="sk-SK"/>
              </w:rPr>
              <w:t xml:space="preserve"> </w:t>
            </w:r>
          </w:p>
        </w:tc>
        <w:tc>
          <w:tcPr>
            <w:tcW w:w="0" w:type="auto"/>
            <w:shd w:val="clear" w:color="auto" w:fill="C2D69B"/>
            <w:vAlign w:val="center"/>
            <w:hideMark/>
          </w:tcPr>
          <w:p w14:paraId="1EEF4D1A" w14:textId="77777777" w:rsidR="00875772" w:rsidRPr="00116D4B" w:rsidRDefault="00875772" w:rsidP="00875772">
            <w:pPr>
              <w:spacing w:after="0" w:line="240" w:lineRule="auto"/>
              <w:rPr>
                <w:rFonts w:eastAsiaTheme="minorEastAsia"/>
                <w:sz w:val="24"/>
                <w:szCs w:val="24"/>
                <w:lang w:eastAsia="sk-SK"/>
              </w:rPr>
            </w:pPr>
            <w:r w:rsidRPr="4F9BDBF9">
              <w:rPr>
                <w:rFonts w:eastAsiaTheme="minorEastAsia"/>
                <w:sz w:val="20"/>
                <w:szCs w:val="20"/>
                <w:lang w:eastAsia="sk-SK"/>
              </w:rPr>
              <w:t>Dôvodom pre čiastočné splnenie plánu je, že subjekt, ktorý realizoval 1 sociálny program, ukončil prácu na projekte.</w:t>
            </w:r>
            <w:r w:rsidRPr="4F9BDBF9">
              <w:rPr>
                <w:rFonts w:eastAsiaTheme="minorEastAsia"/>
                <w:sz w:val="24"/>
                <w:szCs w:val="24"/>
                <w:lang w:eastAsia="sk-SK"/>
              </w:rPr>
              <w:t xml:space="preserve"> </w:t>
            </w:r>
          </w:p>
        </w:tc>
      </w:tr>
    </w:tbl>
    <w:p w14:paraId="359826CD" w14:textId="77777777" w:rsidR="00875772" w:rsidRDefault="00875772" w:rsidP="00875772">
      <w:pPr>
        <w:spacing w:before="100" w:beforeAutospacing="1" w:after="100" w:afterAutospacing="1" w:line="240" w:lineRule="auto"/>
        <w:jc w:val="both"/>
        <w:rPr>
          <w:rFonts w:eastAsiaTheme="minorEastAsia"/>
          <w:sz w:val="20"/>
          <w:szCs w:val="20"/>
          <w:lang w:eastAsia="sk-SK"/>
        </w:rPr>
      </w:pPr>
      <w:r w:rsidRPr="008721DF">
        <w:rPr>
          <w:rFonts w:eastAsiaTheme="minorEastAsia"/>
          <w:b/>
          <w:bCs/>
          <w:sz w:val="20"/>
          <w:szCs w:val="20"/>
          <w:lang w:eastAsia="sk-SK"/>
        </w:rPr>
        <w:t xml:space="preserve">Komentár: </w:t>
      </w:r>
      <w:r w:rsidRPr="008721DF">
        <w:rPr>
          <w:rFonts w:eastAsiaTheme="minorEastAsia"/>
          <w:sz w:val="20"/>
          <w:szCs w:val="20"/>
          <w:lang w:eastAsia="sk-SK"/>
        </w:rPr>
        <w:t>Bratislavský samosprávny kraj poskytuje finančné príspevky na vykonávanie opatrení sociálnoprávnej ochrany detí a sociálnej kurately v zmysle § 88 ods.1 zákona č. 305/2005 Z. z. o sociálnoprávnej ochrane detí a o sociálnej kuratele a o zmene a doplnení niektorých zákonov v znení neskorších predpisov a VZN BSK č. 28/2009 o bližších podmienkach poskytovania finančného príspevku akreditovanému subjektu, právnickej osobe, fyzickej osobe alebo obci na vykonávanie opatrení sociálnoprávnej ochrany detí a sociálnej kurately na území Bratislavského samosprávneho kraja</w:t>
      </w:r>
    </w:p>
    <w:p w14:paraId="28EE2C8E" w14:textId="6011B974" w:rsidR="00875772" w:rsidRDefault="00875772" w:rsidP="00875772">
      <w:pPr>
        <w:spacing w:after="0" w:line="240" w:lineRule="auto"/>
        <w:jc w:val="both"/>
        <w:rPr>
          <w:rFonts w:eastAsiaTheme="minorEastAsia"/>
          <w:sz w:val="20"/>
          <w:szCs w:val="20"/>
          <w:lang w:eastAsia="sk-SK"/>
        </w:rPr>
      </w:pPr>
      <w:r w:rsidRPr="008721DF">
        <w:rPr>
          <w:rFonts w:eastAsiaTheme="minorEastAsia"/>
          <w:sz w:val="20"/>
          <w:szCs w:val="20"/>
          <w:lang w:eastAsia="sk-SK"/>
        </w:rPr>
        <w:t>Odbor sociálnych vecí Úradu Bratislavského samosprávneho kraja realizuje aj dva sociálne programy:</w:t>
      </w:r>
      <w:r w:rsidR="00B912B9">
        <w:rPr>
          <w:rFonts w:eastAsiaTheme="minorEastAsia"/>
          <w:sz w:val="20"/>
          <w:szCs w:val="20"/>
          <w:lang w:eastAsia="sk-SK"/>
        </w:rPr>
        <w:br/>
      </w:r>
      <w:r w:rsidRPr="008721DF">
        <w:rPr>
          <w:rFonts w:eastAsiaTheme="minorEastAsia"/>
          <w:sz w:val="20"/>
          <w:szCs w:val="20"/>
          <w:lang w:eastAsia="sk-SK"/>
        </w:rPr>
        <w:t>• Centrum pre rodiny v</w:t>
      </w:r>
      <w:r>
        <w:rPr>
          <w:rFonts w:eastAsiaTheme="minorEastAsia"/>
          <w:sz w:val="20"/>
          <w:szCs w:val="20"/>
          <w:lang w:eastAsia="sk-SK"/>
        </w:rPr>
        <w:t> </w:t>
      </w:r>
      <w:r w:rsidRPr="008721DF">
        <w:rPr>
          <w:rFonts w:eastAsiaTheme="minorEastAsia"/>
          <w:sz w:val="20"/>
          <w:szCs w:val="20"/>
          <w:lang w:eastAsia="sk-SK"/>
        </w:rPr>
        <w:t>kríze</w:t>
      </w:r>
    </w:p>
    <w:p w14:paraId="5343F136" w14:textId="7C233789" w:rsidR="00875772" w:rsidRPr="008721DF" w:rsidRDefault="00875772" w:rsidP="00875772">
      <w:pPr>
        <w:spacing w:after="0" w:line="240" w:lineRule="auto"/>
        <w:jc w:val="both"/>
        <w:rPr>
          <w:rFonts w:eastAsiaTheme="minorEastAsia"/>
          <w:sz w:val="20"/>
          <w:szCs w:val="20"/>
          <w:lang w:eastAsia="sk-SK"/>
        </w:rPr>
      </w:pPr>
      <w:r w:rsidRPr="008721DF">
        <w:rPr>
          <w:rFonts w:eastAsiaTheme="minorEastAsia"/>
          <w:sz w:val="20"/>
          <w:szCs w:val="20"/>
          <w:lang w:eastAsia="sk-SK"/>
        </w:rPr>
        <w:lastRenderedPageBreak/>
        <w:t xml:space="preserve">• </w:t>
      </w:r>
      <w:r w:rsidRPr="00C440F5">
        <w:rPr>
          <w:rFonts w:eastAsiaTheme="minorEastAsia"/>
          <w:sz w:val="20"/>
          <w:szCs w:val="20"/>
          <w:lang w:eastAsia="sk-SK"/>
        </w:rPr>
        <w:t>Pomoc ženám, na ktorých je páchané násilie (z dôvodu, že subjekt, ktorý realizoval sociálny program ukončil prácu na projekte, tento program sa v r. 2020 nerealizoval).</w:t>
      </w:r>
    </w:p>
    <w:p w14:paraId="708982A6" w14:textId="77777777" w:rsidR="00875772" w:rsidRPr="008721DF" w:rsidRDefault="00875772" w:rsidP="00875772">
      <w:pPr>
        <w:spacing w:before="100" w:beforeAutospacing="1" w:after="100" w:afterAutospacing="1" w:line="240" w:lineRule="auto"/>
        <w:jc w:val="both"/>
        <w:rPr>
          <w:rFonts w:cstheme="minorHAnsi"/>
          <w:sz w:val="20"/>
          <w:szCs w:val="20"/>
          <w:lang w:eastAsia="sk-SK"/>
        </w:rPr>
      </w:pPr>
      <w:r w:rsidRPr="008721DF">
        <w:rPr>
          <w:rFonts w:cs="ArialNarrow"/>
          <w:b/>
          <w:bCs/>
          <w:sz w:val="20"/>
          <w:szCs w:val="20"/>
        </w:rPr>
        <w:t>Príspevky subjektom, ktoré vykonávajú opatrenia sociálnoprávnej ochrany detí a sociálnej kurately v roku 2020, v zmysle VZN BSK č. 28/2009 zo dňa 25.2.2009 o bližších podmienkach poskytovania finančného príspevku akreditovanému subjektu, právnickej osobe, fyzickej osobe alebo obci na vykonávanie opatrení sociálnoprávnej ochrany detí a sociálnej kurately na území BSK, v znení VZN BSK č. 37/2010 zo dňa 23.7.2010, v znení VZN BSK č. 44/2011 zo dňa 9.12.2011, v znení VZN BSK č. 3/2014 zo dňa 11.04.2014 a 4/2019 zo dňa 29.3.2019:</w:t>
      </w:r>
    </w:p>
    <w:tbl>
      <w:tblPr>
        <w:tblW w:w="5000" w:type="pct"/>
        <w:tblCellMar>
          <w:left w:w="70" w:type="dxa"/>
          <w:right w:w="70" w:type="dxa"/>
        </w:tblCellMar>
        <w:tblLook w:val="04A0" w:firstRow="1" w:lastRow="0" w:firstColumn="1" w:lastColumn="0" w:noHBand="0" w:noVBand="1"/>
      </w:tblPr>
      <w:tblGrid>
        <w:gridCol w:w="8360"/>
        <w:gridCol w:w="2086"/>
      </w:tblGrid>
      <w:tr w:rsidR="00875772" w:rsidRPr="00810EA0" w14:paraId="62CE66FB" w14:textId="77777777" w:rsidTr="00875772">
        <w:trPr>
          <w:trHeight w:hRule="exact" w:val="633"/>
          <w:tblHeader/>
        </w:trPr>
        <w:tc>
          <w:tcPr>
            <w:tcW w:w="4002" w:type="pct"/>
            <w:tcBorders>
              <w:top w:val="single" w:sz="8" w:space="0" w:color="C0C0C0"/>
              <w:left w:val="single" w:sz="8" w:space="0" w:color="C0C0C0"/>
              <w:bottom w:val="single" w:sz="8" w:space="0" w:color="C0C0C0"/>
              <w:right w:val="single" w:sz="8" w:space="0" w:color="C0C0C0"/>
            </w:tcBorders>
            <w:shd w:val="clear" w:color="000000" w:fill="C6DBF7"/>
            <w:noWrap/>
            <w:vAlign w:val="center"/>
            <w:hideMark/>
          </w:tcPr>
          <w:p w14:paraId="666618EE" w14:textId="77777777" w:rsidR="00875772" w:rsidRPr="00810EA0" w:rsidRDefault="00875772" w:rsidP="00875772">
            <w:pPr>
              <w:spacing w:after="0" w:line="240" w:lineRule="auto"/>
              <w:rPr>
                <w:rFonts w:cs="Calibri"/>
                <w:b/>
                <w:bCs/>
                <w:color w:val="000000"/>
                <w:sz w:val="20"/>
                <w:szCs w:val="20"/>
                <w:lang w:eastAsia="sk-SK"/>
              </w:rPr>
            </w:pPr>
            <w:r w:rsidRPr="00810EA0">
              <w:rPr>
                <w:rFonts w:cs="Calibri"/>
                <w:b/>
                <w:bCs/>
                <w:color w:val="000000"/>
                <w:sz w:val="20"/>
                <w:szCs w:val="20"/>
                <w:lang w:eastAsia="sk-SK"/>
              </w:rPr>
              <w:t>Prehľad poskytnutých finančných príspevkov subjektom, ktoré vykonávajú opatrenia sociálnoprávnej ochrany detí a sociálnej kurately:</w:t>
            </w:r>
          </w:p>
        </w:tc>
        <w:tc>
          <w:tcPr>
            <w:tcW w:w="998" w:type="pct"/>
            <w:tcBorders>
              <w:top w:val="single" w:sz="8" w:space="0" w:color="C0C0C0"/>
              <w:left w:val="nil"/>
              <w:bottom w:val="single" w:sz="8" w:space="0" w:color="C0C0C0"/>
              <w:right w:val="single" w:sz="8" w:space="0" w:color="C0C0C0"/>
            </w:tcBorders>
            <w:shd w:val="clear" w:color="000000" w:fill="C6DBF7"/>
            <w:noWrap/>
            <w:vAlign w:val="center"/>
            <w:hideMark/>
          </w:tcPr>
          <w:p w14:paraId="75D761C3" w14:textId="77777777" w:rsidR="00875772" w:rsidRPr="00810EA0" w:rsidRDefault="00875772" w:rsidP="00875772">
            <w:pPr>
              <w:spacing w:after="0" w:line="240" w:lineRule="auto"/>
              <w:jc w:val="center"/>
              <w:rPr>
                <w:rFonts w:cs="Calibri"/>
                <w:b/>
                <w:bCs/>
                <w:color w:val="000000"/>
                <w:sz w:val="20"/>
                <w:szCs w:val="20"/>
                <w:lang w:eastAsia="sk-SK"/>
              </w:rPr>
            </w:pPr>
            <w:r w:rsidRPr="00810EA0">
              <w:rPr>
                <w:rFonts w:cs="Calibri"/>
                <w:b/>
                <w:bCs/>
                <w:color w:val="000000"/>
                <w:sz w:val="20"/>
                <w:szCs w:val="20"/>
                <w:lang w:eastAsia="sk-SK"/>
              </w:rPr>
              <w:t>Čerpaný príspevok k 31.12.20</w:t>
            </w:r>
            <w:r>
              <w:rPr>
                <w:rFonts w:cs="Calibri"/>
                <w:b/>
                <w:bCs/>
                <w:color w:val="000000"/>
                <w:sz w:val="20"/>
                <w:szCs w:val="20"/>
                <w:lang w:eastAsia="sk-SK"/>
              </w:rPr>
              <w:t>20</w:t>
            </w:r>
          </w:p>
        </w:tc>
      </w:tr>
      <w:tr w:rsidR="00875772" w:rsidRPr="00810EA0" w14:paraId="2520FCD8" w14:textId="77777777" w:rsidTr="00875772">
        <w:trPr>
          <w:trHeight w:hRule="exact" w:val="557"/>
          <w:tblHeader/>
        </w:trPr>
        <w:tc>
          <w:tcPr>
            <w:tcW w:w="4002" w:type="pct"/>
            <w:tcBorders>
              <w:top w:val="nil"/>
              <w:left w:val="single" w:sz="12" w:space="0" w:color="FFFFFF"/>
              <w:bottom w:val="single" w:sz="12" w:space="0" w:color="FFFFFF"/>
              <w:right w:val="single" w:sz="12" w:space="0" w:color="FFFFFF"/>
            </w:tcBorders>
            <w:shd w:val="clear" w:color="000000" w:fill="A6A6A6"/>
            <w:noWrap/>
            <w:vAlign w:val="center"/>
            <w:hideMark/>
          </w:tcPr>
          <w:p w14:paraId="23518FD0" w14:textId="77777777" w:rsidR="00875772" w:rsidRPr="008721DF" w:rsidRDefault="00875772" w:rsidP="00875772">
            <w:pPr>
              <w:spacing w:after="0" w:line="240" w:lineRule="auto"/>
              <w:rPr>
                <w:rFonts w:cs="Calibri"/>
                <w:b/>
                <w:bCs/>
                <w:color w:val="000000"/>
                <w:sz w:val="20"/>
                <w:szCs w:val="20"/>
                <w:lang w:eastAsia="sk-SK"/>
              </w:rPr>
            </w:pPr>
            <w:r w:rsidRPr="008721DF">
              <w:rPr>
                <w:rFonts w:cs="Calibri"/>
                <w:b/>
                <w:bCs/>
                <w:color w:val="000000"/>
                <w:sz w:val="20"/>
                <w:szCs w:val="20"/>
                <w:lang w:eastAsia="sk-SK"/>
              </w:rPr>
              <w:t>Prvok 11.4.3</w:t>
            </w:r>
            <w:r w:rsidRPr="008721DF">
              <w:rPr>
                <w:rFonts w:cs="Calibri"/>
                <w:b/>
                <w:bCs/>
                <w:sz w:val="20"/>
                <w:szCs w:val="20"/>
                <w:lang w:eastAsia="sk-SK"/>
              </w:rPr>
              <w:t xml:space="preserve">:  </w:t>
            </w:r>
            <w:r w:rsidRPr="008721DF">
              <w:rPr>
                <w:rFonts w:cstheme="minorHAnsi"/>
                <w:b/>
                <w:bCs/>
                <w:sz w:val="20"/>
                <w:szCs w:val="20"/>
                <w:lang w:eastAsia="sk-SK"/>
              </w:rPr>
              <w:t>Subjekty, ktoré vykonávajú opatrenia sociálnoprávnej ochrany detí a sociálnej kurately</w:t>
            </w:r>
          </w:p>
        </w:tc>
        <w:tc>
          <w:tcPr>
            <w:tcW w:w="998" w:type="pct"/>
            <w:tcBorders>
              <w:top w:val="nil"/>
              <w:left w:val="nil"/>
              <w:bottom w:val="single" w:sz="12" w:space="0" w:color="FFFFFF"/>
              <w:right w:val="single" w:sz="12" w:space="0" w:color="FFFFFF"/>
            </w:tcBorders>
            <w:shd w:val="clear" w:color="000000" w:fill="A6A6A6"/>
            <w:noWrap/>
            <w:vAlign w:val="center"/>
            <w:hideMark/>
          </w:tcPr>
          <w:p w14:paraId="0B06F63B" w14:textId="77777777" w:rsidR="00875772" w:rsidRPr="008721DF" w:rsidRDefault="00875772" w:rsidP="00875772">
            <w:pPr>
              <w:spacing w:after="0" w:line="240" w:lineRule="auto"/>
              <w:jc w:val="right"/>
              <w:rPr>
                <w:rFonts w:cs="Calibri"/>
                <w:b/>
                <w:bCs/>
                <w:color w:val="000000"/>
                <w:sz w:val="20"/>
                <w:szCs w:val="20"/>
                <w:lang w:eastAsia="sk-SK"/>
              </w:rPr>
            </w:pPr>
            <w:r>
              <w:rPr>
                <w:rFonts w:cs="Calibri"/>
                <w:b/>
                <w:bCs/>
                <w:color w:val="000000"/>
                <w:sz w:val="20"/>
                <w:szCs w:val="20"/>
                <w:lang w:eastAsia="sk-SK"/>
              </w:rPr>
              <w:t>605 244,61</w:t>
            </w:r>
          </w:p>
        </w:tc>
      </w:tr>
      <w:tr w:rsidR="00875772" w:rsidRPr="00810EA0" w14:paraId="171E262A"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7D90A1EA" w14:textId="77777777" w:rsidR="00875772" w:rsidRPr="008721DF" w:rsidRDefault="00875772" w:rsidP="00875772">
            <w:pPr>
              <w:spacing w:after="0" w:line="240" w:lineRule="auto"/>
              <w:rPr>
                <w:rFonts w:cstheme="minorHAnsi"/>
                <w:color w:val="000000"/>
                <w:sz w:val="20"/>
                <w:szCs w:val="20"/>
                <w:lang w:eastAsia="sk-SK"/>
              </w:rPr>
            </w:pPr>
            <w:r>
              <w:rPr>
                <w:rFonts w:cstheme="minorHAnsi"/>
                <w:color w:val="000000"/>
                <w:sz w:val="20"/>
                <w:szCs w:val="20"/>
              </w:rPr>
              <w:t xml:space="preserve"> Asociácia supervízorov a sociálnych</w:t>
            </w:r>
            <w:r w:rsidRPr="008721DF">
              <w:rPr>
                <w:rFonts w:cstheme="minorHAnsi"/>
                <w:color w:val="000000"/>
                <w:sz w:val="20"/>
                <w:szCs w:val="20"/>
              </w:rPr>
              <w:t xml:space="preserve"> poradcov o.</w:t>
            </w:r>
            <w:r>
              <w:rPr>
                <w:rFonts w:cstheme="minorHAnsi"/>
                <w:color w:val="000000"/>
                <w:sz w:val="20"/>
                <w:szCs w:val="20"/>
              </w:rPr>
              <w:t xml:space="preserve"> </w:t>
            </w:r>
            <w:r w:rsidRPr="008721DF">
              <w:rPr>
                <w:rFonts w:cstheme="minorHAnsi"/>
                <w:color w:val="000000"/>
                <w:sz w:val="20"/>
                <w:szCs w:val="20"/>
              </w:rPr>
              <w:t>z. (AS)</w:t>
            </w:r>
          </w:p>
        </w:tc>
        <w:tc>
          <w:tcPr>
            <w:tcW w:w="998" w:type="pct"/>
            <w:tcBorders>
              <w:top w:val="nil"/>
              <w:left w:val="nil"/>
              <w:bottom w:val="single" w:sz="12" w:space="0" w:color="FFFFFF"/>
              <w:right w:val="single" w:sz="12" w:space="0" w:color="FFFFFF"/>
            </w:tcBorders>
            <w:shd w:val="clear" w:color="000000" w:fill="F2F2F2"/>
            <w:noWrap/>
            <w:hideMark/>
          </w:tcPr>
          <w:p w14:paraId="30A077BC"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15 000,00 </w:t>
            </w:r>
          </w:p>
        </w:tc>
      </w:tr>
      <w:tr w:rsidR="00875772" w:rsidRPr="00810EA0" w14:paraId="1D30105D"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7AAADBF1"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 xml:space="preserve"> Asociácia supervízorov a </w:t>
            </w:r>
            <w:r>
              <w:rPr>
                <w:rFonts w:cstheme="minorHAnsi"/>
                <w:color w:val="000000"/>
                <w:sz w:val="20"/>
                <w:szCs w:val="20"/>
              </w:rPr>
              <w:t>sociálnych</w:t>
            </w:r>
            <w:r w:rsidRPr="008721DF">
              <w:rPr>
                <w:rFonts w:cstheme="minorHAnsi"/>
                <w:color w:val="000000"/>
                <w:sz w:val="20"/>
                <w:szCs w:val="20"/>
              </w:rPr>
              <w:t xml:space="preserve"> poradcov o.</w:t>
            </w:r>
            <w:r>
              <w:rPr>
                <w:rFonts w:cstheme="minorHAnsi"/>
                <w:color w:val="000000"/>
                <w:sz w:val="20"/>
                <w:szCs w:val="20"/>
              </w:rPr>
              <w:t xml:space="preserve"> </w:t>
            </w:r>
            <w:r w:rsidRPr="008721DF">
              <w:rPr>
                <w:rFonts w:cstheme="minorHAnsi"/>
                <w:color w:val="000000"/>
                <w:sz w:val="20"/>
                <w:szCs w:val="20"/>
              </w:rPr>
              <w:t>z. (SP)</w:t>
            </w:r>
          </w:p>
        </w:tc>
        <w:tc>
          <w:tcPr>
            <w:tcW w:w="998" w:type="pct"/>
            <w:tcBorders>
              <w:top w:val="nil"/>
              <w:left w:val="nil"/>
              <w:bottom w:val="single" w:sz="12" w:space="0" w:color="FFFFFF"/>
              <w:right w:val="single" w:sz="12" w:space="0" w:color="FFFFFF"/>
            </w:tcBorders>
            <w:shd w:val="clear" w:color="000000" w:fill="F2F2F2"/>
            <w:noWrap/>
            <w:hideMark/>
          </w:tcPr>
          <w:p w14:paraId="07C49FB8"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22 100,00 </w:t>
            </w:r>
          </w:p>
        </w:tc>
      </w:tr>
      <w:tr w:rsidR="00875772" w:rsidRPr="00810EA0" w14:paraId="2C00ED43"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57F0944E"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Centrum rodiny n. o.</w:t>
            </w:r>
          </w:p>
        </w:tc>
        <w:tc>
          <w:tcPr>
            <w:tcW w:w="998" w:type="pct"/>
            <w:tcBorders>
              <w:top w:val="nil"/>
              <w:left w:val="nil"/>
              <w:bottom w:val="single" w:sz="12" w:space="0" w:color="FFFFFF"/>
              <w:right w:val="single" w:sz="12" w:space="0" w:color="FFFFFF"/>
            </w:tcBorders>
            <w:shd w:val="clear" w:color="000000" w:fill="F2F2F2"/>
            <w:noWrap/>
            <w:hideMark/>
          </w:tcPr>
          <w:p w14:paraId="437649FB"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10 790,00 </w:t>
            </w:r>
          </w:p>
        </w:tc>
      </w:tr>
      <w:tr w:rsidR="00875772" w:rsidRPr="00810EA0" w14:paraId="6E4F1FC5"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3A9AFD54"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Čisté srdce</w:t>
            </w:r>
          </w:p>
        </w:tc>
        <w:tc>
          <w:tcPr>
            <w:tcW w:w="998" w:type="pct"/>
            <w:tcBorders>
              <w:top w:val="nil"/>
              <w:left w:val="nil"/>
              <w:bottom w:val="single" w:sz="12" w:space="0" w:color="FFFFFF"/>
              <w:right w:val="single" w:sz="12" w:space="0" w:color="FFFFFF"/>
            </w:tcBorders>
            <w:shd w:val="clear" w:color="000000" w:fill="F2F2F2"/>
            <w:noWrap/>
            <w:hideMark/>
          </w:tcPr>
          <w:p w14:paraId="66F55F1F"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21 580,00 </w:t>
            </w:r>
          </w:p>
        </w:tc>
      </w:tr>
      <w:tr w:rsidR="00875772" w:rsidRPr="00810EA0" w14:paraId="44DC6638"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6C82BDE7"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Človek v ohrození, n.</w:t>
            </w:r>
            <w:r>
              <w:rPr>
                <w:rFonts w:cstheme="minorHAnsi"/>
                <w:color w:val="000000"/>
                <w:sz w:val="20"/>
                <w:szCs w:val="20"/>
              </w:rPr>
              <w:t xml:space="preserve"> </w:t>
            </w:r>
            <w:r w:rsidRPr="008721DF">
              <w:rPr>
                <w:rFonts w:cstheme="minorHAnsi"/>
                <w:color w:val="000000"/>
                <w:sz w:val="20"/>
                <w:szCs w:val="20"/>
              </w:rPr>
              <w:t>o.</w:t>
            </w:r>
          </w:p>
        </w:tc>
        <w:tc>
          <w:tcPr>
            <w:tcW w:w="998" w:type="pct"/>
            <w:tcBorders>
              <w:top w:val="nil"/>
              <w:left w:val="nil"/>
              <w:bottom w:val="single" w:sz="12" w:space="0" w:color="FFFFFF"/>
              <w:right w:val="single" w:sz="12" w:space="0" w:color="FFFFFF"/>
            </w:tcBorders>
            <w:shd w:val="clear" w:color="000000" w:fill="F2F2F2"/>
            <w:noWrap/>
            <w:hideMark/>
          </w:tcPr>
          <w:p w14:paraId="6EBC3223"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16 185,00 </w:t>
            </w:r>
          </w:p>
        </w:tc>
      </w:tr>
      <w:tr w:rsidR="00875772" w:rsidRPr="00810EA0" w14:paraId="55AF02C8"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564A55C6" w14:textId="77777777" w:rsidR="00875772" w:rsidRPr="008721DF" w:rsidRDefault="00875772" w:rsidP="00875772">
            <w:pPr>
              <w:spacing w:after="0" w:line="240" w:lineRule="auto"/>
              <w:rPr>
                <w:rFonts w:cstheme="minorHAnsi"/>
                <w:color w:val="000000"/>
                <w:sz w:val="20"/>
                <w:szCs w:val="20"/>
                <w:lang w:eastAsia="sk-SK"/>
              </w:rPr>
            </w:pPr>
            <w:r>
              <w:rPr>
                <w:rFonts w:cstheme="minorHAnsi"/>
                <w:color w:val="000000"/>
                <w:sz w:val="20"/>
                <w:szCs w:val="20"/>
              </w:rPr>
              <w:t>Detský fond Slovenskej republiky</w:t>
            </w:r>
            <w:r w:rsidRPr="008721DF">
              <w:rPr>
                <w:rFonts w:cstheme="minorHAnsi"/>
                <w:color w:val="000000"/>
                <w:sz w:val="20"/>
                <w:szCs w:val="20"/>
              </w:rPr>
              <w:t xml:space="preserve"> (AS)</w:t>
            </w:r>
          </w:p>
        </w:tc>
        <w:tc>
          <w:tcPr>
            <w:tcW w:w="998" w:type="pct"/>
            <w:tcBorders>
              <w:top w:val="nil"/>
              <w:left w:val="nil"/>
              <w:bottom w:val="single" w:sz="12" w:space="0" w:color="FFFFFF"/>
              <w:right w:val="single" w:sz="12" w:space="0" w:color="FFFFFF"/>
            </w:tcBorders>
            <w:shd w:val="clear" w:color="000000" w:fill="F2F2F2"/>
            <w:noWrap/>
            <w:hideMark/>
          </w:tcPr>
          <w:p w14:paraId="7CC96830"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45 000,00 </w:t>
            </w:r>
          </w:p>
        </w:tc>
      </w:tr>
      <w:tr w:rsidR="00875772" w:rsidRPr="00810EA0" w14:paraId="2870DE6F"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360A8A8C" w14:textId="77777777" w:rsidR="00875772" w:rsidRPr="008721DF" w:rsidRDefault="00875772" w:rsidP="00875772">
            <w:pPr>
              <w:spacing w:after="0" w:line="240" w:lineRule="auto"/>
              <w:rPr>
                <w:rFonts w:cstheme="minorHAnsi"/>
                <w:color w:val="000000"/>
                <w:sz w:val="20"/>
                <w:szCs w:val="20"/>
                <w:lang w:eastAsia="sk-SK"/>
              </w:rPr>
            </w:pPr>
            <w:r>
              <w:rPr>
                <w:rFonts w:cstheme="minorHAnsi"/>
                <w:color w:val="000000"/>
                <w:sz w:val="20"/>
                <w:szCs w:val="20"/>
              </w:rPr>
              <w:t>Detský fond Slovenskej republiky</w:t>
            </w:r>
            <w:r w:rsidRPr="008721DF">
              <w:rPr>
                <w:rFonts w:cstheme="minorHAnsi"/>
                <w:color w:val="000000"/>
                <w:sz w:val="20"/>
                <w:szCs w:val="20"/>
              </w:rPr>
              <w:t xml:space="preserve"> (SP)</w:t>
            </w:r>
          </w:p>
        </w:tc>
        <w:tc>
          <w:tcPr>
            <w:tcW w:w="998" w:type="pct"/>
            <w:tcBorders>
              <w:top w:val="nil"/>
              <w:left w:val="nil"/>
              <w:bottom w:val="single" w:sz="12" w:space="0" w:color="FFFFFF"/>
              <w:right w:val="single" w:sz="12" w:space="0" w:color="FFFFFF"/>
            </w:tcBorders>
            <w:shd w:val="clear" w:color="000000" w:fill="F2F2F2"/>
            <w:noWrap/>
            <w:hideMark/>
          </w:tcPr>
          <w:p w14:paraId="4D71F92C"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22 100,00 </w:t>
            </w:r>
          </w:p>
        </w:tc>
      </w:tr>
      <w:tr w:rsidR="00875772" w:rsidRPr="00810EA0" w14:paraId="073C7F04"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0D120CD0"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DOMKA - Stredisko saleziánskej mláde</w:t>
            </w:r>
            <w:r>
              <w:rPr>
                <w:rFonts w:cstheme="minorHAnsi"/>
                <w:color w:val="000000"/>
                <w:sz w:val="20"/>
                <w:szCs w:val="20"/>
              </w:rPr>
              <w:t>že Bratislava</w:t>
            </w:r>
            <w:r w:rsidRPr="008721DF">
              <w:rPr>
                <w:rFonts w:cstheme="minorHAnsi"/>
                <w:color w:val="000000"/>
                <w:sz w:val="20"/>
                <w:szCs w:val="20"/>
              </w:rPr>
              <w:t xml:space="preserve"> - Trnávka</w:t>
            </w:r>
          </w:p>
        </w:tc>
        <w:tc>
          <w:tcPr>
            <w:tcW w:w="998" w:type="pct"/>
            <w:tcBorders>
              <w:top w:val="nil"/>
              <w:left w:val="nil"/>
              <w:bottom w:val="single" w:sz="12" w:space="0" w:color="FFFFFF"/>
              <w:right w:val="single" w:sz="12" w:space="0" w:color="FFFFFF"/>
            </w:tcBorders>
            <w:shd w:val="clear" w:color="000000" w:fill="F2F2F2"/>
            <w:noWrap/>
            <w:hideMark/>
          </w:tcPr>
          <w:p w14:paraId="08823BCB"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10 000,00 </w:t>
            </w:r>
          </w:p>
        </w:tc>
      </w:tr>
      <w:tr w:rsidR="00875772" w:rsidRPr="00810EA0" w14:paraId="10EFF18E"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36E16CA2"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I Klub</w:t>
            </w:r>
            <w:r>
              <w:rPr>
                <w:rFonts w:cstheme="minorHAnsi"/>
                <w:color w:val="000000"/>
                <w:sz w:val="20"/>
                <w:szCs w:val="20"/>
              </w:rPr>
              <w:t xml:space="preserve"> </w:t>
            </w:r>
            <w:proofErr w:type="spellStart"/>
            <w:r>
              <w:rPr>
                <w:rFonts w:cstheme="minorHAnsi"/>
                <w:color w:val="000000"/>
                <w:sz w:val="20"/>
                <w:szCs w:val="20"/>
              </w:rPr>
              <w:t>o.z</w:t>
            </w:r>
            <w:proofErr w:type="spellEnd"/>
            <w:r>
              <w:rPr>
                <w:rFonts w:cstheme="minorHAnsi"/>
                <w:color w:val="000000"/>
                <w:sz w:val="20"/>
                <w:szCs w:val="20"/>
              </w:rPr>
              <w:t>.</w:t>
            </w:r>
          </w:p>
        </w:tc>
        <w:tc>
          <w:tcPr>
            <w:tcW w:w="998" w:type="pct"/>
            <w:tcBorders>
              <w:top w:val="nil"/>
              <w:left w:val="nil"/>
              <w:bottom w:val="single" w:sz="12" w:space="0" w:color="FFFFFF"/>
              <w:right w:val="single" w:sz="12" w:space="0" w:color="FFFFFF"/>
            </w:tcBorders>
            <w:shd w:val="clear" w:color="000000" w:fill="F2F2F2"/>
            <w:noWrap/>
            <w:hideMark/>
          </w:tcPr>
          <w:p w14:paraId="011154D4"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10 000,00 </w:t>
            </w:r>
          </w:p>
        </w:tc>
      </w:tr>
      <w:tr w:rsidR="00875772" w:rsidRPr="00810EA0" w14:paraId="4C2D18A5"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60129254"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ICHTYS, o.</w:t>
            </w:r>
            <w:r>
              <w:rPr>
                <w:rFonts w:cstheme="minorHAnsi"/>
                <w:color w:val="000000"/>
                <w:sz w:val="20"/>
                <w:szCs w:val="20"/>
              </w:rPr>
              <w:t xml:space="preserve"> </w:t>
            </w:r>
            <w:r w:rsidRPr="008721DF">
              <w:rPr>
                <w:rFonts w:cstheme="minorHAnsi"/>
                <w:color w:val="000000"/>
                <w:sz w:val="20"/>
                <w:szCs w:val="20"/>
              </w:rPr>
              <w:t>z.</w:t>
            </w:r>
          </w:p>
        </w:tc>
        <w:tc>
          <w:tcPr>
            <w:tcW w:w="998" w:type="pct"/>
            <w:tcBorders>
              <w:top w:val="nil"/>
              <w:left w:val="nil"/>
              <w:bottom w:val="single" w:sz="12" w:space="0" w:color="FFFFFF"/>
              <w:right w:val="single" w:sz="12" w:space="0" w:color="FFFFFF"/>
            </w:tcBorders>
            <w:shd w:val="clear" w:color="000000" w:fill="F2F2F2"/>
            <w:noWrap/>
            <w:hideMark/>
          </w:tcPr>
          <w:p w14:paraId="43847945"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21 580,00 </w:t>
            </w:r>
          </w:p>
        </w:tc>
      </w:tr>
      <w:tr w:rsidR="00875772" w:rsidRPr="00810EA0" w14:paraId="6F20C53D"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79173DD7" w14:textId="77777777" w:rsidR="00875772" w:rsidRPr="008721DF" w:rsidRDefault="00875772" w:rsidP="00875772">
            <w:pPr>
              <w:spacing w:after="0" w:line="240" w:lineRule="auto"/>
              <w:rPr>
                <w:rFonts w:cstheme="minorHAnsi"/>
                <w:color w:val="000000"/>
                <w:sz w:val="20"/>
                <w:szCs w:val="20"/>
                <w:lang w:eastAsia="sk-SK"/>
              </w:rPr>
            </w:pPr>
            <w:proofErr w:type="spellStart"/>
            <w:r w:rsidRPr="008721DF">
              <w:rPr>
                <w:rFonts w:cstheme="minorHAnsi"/>
                <w:color w:val="000000"/>
                <w:sz w:val="20"/>
                <w:szCs w:val="20"/>
              </w:rPr>
              <w:t>Kaspian</w:t>
            </w:r>
            <w:proofErr w:type="spellEnd"/>
            <w:r w:rsidRPr="008721DF">
              <w:rPr>
                <w:rFonts w:cstheme="minorHAnsi"/>
                <w:color w:val="000000"/>
                <w:sz w:val="20"/>
                <w:szCs w:val="20"/>
              </w:rPr>
              <w:t>, o.</w:t>
            </w:r>
            <w:r>
              <w:rPr>
                <w:rFonts w:cstheme="minorHAnsi"/>
                <w:color w:val="000000"/>
                <w:sz w:val="20"/>
                <w:szCs w:val="20"/>
              </w:rPr>
              <w:t xml:space="preserve"> </w:t>
            </w:r>
            <w:r w:rsidRPr="008721DF">
              <w:rPr>
                <w:rFonts w:cstheme="minorHAnsi"/>
                <w:color w:val="000000"/>
                <w:sz w:val="20"/>
                <w:szCs w:val="20"/>
              </w:rPr>
              <w:t>z.</w:t>
            </w:r>
          </w:p>
        </w:tc>
        <w:tc>
          <w:tcPr>
            <w:tcW w:w="998" w:type="pct"/>
            <w:tcBorders>
              <w:top w:val="nil"/>
              <w:left w:val="nil"/>
              <w:bottom w:val="single" w:sz="12" w:space="0" w:color="FFFFFF"/>
              <w:right w:val="single" w:sz="12" w:space="0" w:color="FFFFFF"/>
            </w:tcBorders>
            <w:shd w:val="clear" w:color="000000" w:fill="F2F2F2"/>
            <w:noWrap/>
            <w:hideMark/>
          </w:tcPr>
          <w:p w14:paraId="0BAC6163"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40 365,00 </w:t>
            </w:r>
          </w:p>
        </w:tc>
      </w:tr>
      <w:tr w:rsidR="00875772" w:rsidRPr="00810EA0" w14:paraId="433D204E"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573BB0CA"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Lepšia cesta, n.</w:t>
            </w:r>
            <w:r>
              <w:rPr>
                <w:rFonts w:cstheme="minorHAnsi"/>
                <w:color w:val="000000"/>
                <w:sz w:val="20"/>
                <w:szCs w:val="20"/>
              </w:rPr>
              <w:t xml:space="preserve"> </w:t>
            </w:r>
            <w:r w:rsidRPr="008721DF">
              <w:rPr>
                <w:rFonts w:cstheme="minorHAnsi"/>
                <w:color w:val="000000"/>
                <w:sz w:val="20"/>
                <w:szCs w:val="20"/>
              </w:rPr>
              <w:t>o.</w:t>
            </w:r>
          </w:p>
        </w:tc>
        <w:tc>
          <w:tcPr>
            <w:tcW w:w="998" w:type="pct"/>
            <w:tcBorders>
              <w:top w:val="nil"/>
              <w:left w:val="nil"/>
              <w:bottom w:val="single" w:sz="12" w:space="0" w:color="FFFFFF"/>
              <w:right w:val="single" w:sz="12" w:space="0" w:color="FFFFFF"/>
            </w:tcBorders>
            <w:shd w:val="clear" w:color="000000" w:fill="F2F2F2"/>
            <w:noWrap/>
            <w:hideMark/>
          </w:tcPr>
          <w:p w14:paraId="27FA2A7F"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21 580,00 </w:t>
            </w:r>
          </w:p>
        </w:tc>
      </w:tr>
      <w:tr w:rsidR="00875772" w:rsidRPr="00810EA0" w14:paraId="27ECE58D"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1B0D25D5"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Mládež ulice, o.</w:t>
            </w:r>
            <w:r>
              <w:rPr>
                <w:rFonts w:cstheme="minorHAnsi"/>
                <w:color w:val="000000"/>
                <w:sz w:val="20"/>
                <w:szCs w:val="20"/>
              </w:rPr>
              <w:t xml:space="preserve"> </w:t>
            </w:r>
            <w:r w:rsidRPr="008721DF">
              <w:rPr>
                <w:rFonts w:cstheme="minorHAnsi"/>
                <w:color w:val="000000"/>
                <w:sz w:val="20"/>
                <w:szCs w:val="20"/>
              </w:rPr>
              <w:t>z.</w:t>
            </w:r>
          </w:p>
        </w:tc>
        <w:tc>
          <w:tcPr>
            <w:tcW w:w="998" w:type="pct"/>
            <w:tcBorders>
              <w:top w:val="nil"/>
              <w:left w:val="nil"/>
              <w:bottom w:val="single" w:sz="12" w:space="0" w:color="FFFFFF"/>
              <w:right w:val="single" w:sz="12" w:space="0" w:color="FFFFFF"/>
            </w:tcBorders>
            <w:shd w:val="clear" w:color="000000" w:fill="F2F2F2"/>
            <w:noWrap/>
            <w:hideMark/>
          </w:tcPr>
          <w:p w14:paraId="62711985"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24 676,61 </w:t>
            </w:r>
          </w:p>
        </w:tc>
      </w:tr>
      <w:tr w:rsidR="00875772" w:rsidRPr="00810EA0" w14:paraId="43EFE417"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462F0AB8"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Návrat, o.</w:t>
            </w:r>
            <w:r>
              <w:rPr>
                <w:rFonts w:cstheme="minorHAnsi"/>
                <w:color w:val="000000"/>
                <w:sz w:val="20"/>
                <w:szCs w:val="20"/>
              </w:rPr>
              <w:t xml:space="preserve"> </w:t>
            </w:r>
            <w:r w:rsidRPr="008721DF">
              <w:rPr>
                <w:rFonts w:cstheme="minorHAnsi"/>
                <w:color w:val="000000"/>
                <w:sz w:val="20"/>
                <w:szCs w:val="20"/>
              </w:rPr>
              <w:t>z.</w:t>
            </w:r>
          </w:p>
        </w:tc>
        <w:tc>
          <w:tcPr>
            <w:tcW w:w="998" w:type="pct"/>
            <w:tcBorders>
              <w:top w:val="nil"/>
              <w:left w:val="nil"/>
              <w:bottom w:val="single" w:sz="12" w:space="0" w:color="FFFFFF"/>
              <w:right w:val="single" w:sz="12" w:space="0" w:color="FFFFFF"/>
            </w:tcBorders>
            <w:shd w:val="clear" w:color="000000" w:fill="F2F2F2"/>
            <w:noWrap/>
            <w:hideMark/>
          </w:tcPr>
          <w:p w14:paraId="15BB0D0A"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42 900,00 </w:t>
            </w:r>
          </w:p>
        </w:tc>
      </w:tr>
      <w:tr w:rsidR="00875772" w:rsidRPr="00810EA0" w14:paraId="24813274"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650E2DAE"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Odyseus, o.</w:t>
            </w:r>
            <w:r>
              <w:rPr>
                <w:rFonts w:cstheme="minorHAnsi"/>
                <w:color w:val="000000"/>
                <w:sz w:val="20"/>
                <w:szCs w:val="20"/>
              </w:rPr>
              <w:t xml:space="preserve"> </w:t>
            </w:r>
            <w:r w:rsidRPr="008721DF">
              <w:rPr>
                <w:rFonts w:cstheme="minorHAnsi"/>
                <w:color w:val="000000"/>
                <w:sz w:val="20"/>
                <w:szCs w:val="20"/>
              </w:rPr>
              <w:t>z.</w:t>
            </w:r>
          </w:p>
        </w:tc>
        <w:tc>
          <w:tcPr>
            <w:tcW w:w="998" w:type="pct"/>
            <w:tcBorders>
              <w:top w:val="nil"/>
              <w:left w:val="nil"/>
              <w:bottom w:val="single" w:sz="12" w:space="0" w:color="FFFFFF"/>
              <w:right w:val="single" w:sz="12" w:space="0" w:color="FFFFFF"/>
            </w:tcBorders>
            <w:shd w:val="clear" w:color="000000" w:fill="F2F2F2"/>
            <w:noWrap/>
            <w:hideMark/>
          </w:tcPr>
          <w:p w14:paraId="6BFB588E"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42 900,00 </w:t>
            </w:r>
          </w:p>
        </w:tc>
      </w:tr>
      <w:tr w:rsidR="00875772" w:rsidRPr="00810EA0" w14:paraId="353DF058"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0B795127"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OZ Vagus</w:t>
            </w:r>
          </w:p>
        </w:tc>
        <w:tc>
          <w:tcPr>
            <w:tcW w:w="998" w:type="pct"/>
            <w:tcBorders>
              <w:top w:val="nil"/>
              <w:left w:val="nil"/>
              <w:bottom w:val="single" w:sz="12" w:space="0" w:color="FFFFFF"/>
              <w:right w:val="single" w:sz="12" w:space="0" w:color="FFFFFF"/>
            </w:tcBorders>
            <w:shd w:val="clear" w:color="000000" w:fill="F2F2F2"/>
            <w:noWrap/>
            <w:hideMark/>
          </w:tcPr>
          <w:p w14:paraId="482B03CF"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28 600,00 </w:t>
            </w:r>
          </w:p>
        </w:tc>
      </w:tr>
      <w:tr w:rsidR="00875772" w:rsidRPr="00810EA0" w14:paraId="10310A63"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243A3923"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Poradenské Centrum Nádej</w:t>
            </w:r>
          </w:p>
        </w:tc>
        <w:tc>
          <w:tcPr>
            <w:tcW w:w="998" w:type="pct"/>
            <w:tcBorders>
              <w:top w:val="nil"/>
              <w:left w:val="nil"/>
              <w:bottom w:val="single" w:sz="12" w:space="0" w:color="FFFFFF"/>
              <w:right w:val="single" w:sz="12" w:space="0" w:color="FFFFFF"/>
            </w:tcBorders>
            <w:shd w:val="clear" w:color="000000" w:fill="F2F2F2"/>
            <w:noWrap/>
            <w:hideMark/>
          </w:tcPr>
          <w:p w14:paraId="68AEAD08"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39 000,00 </w:t>
            </w:r>
          </w:p>
        </w:tc>
      </w:tr>
      <w:tr w:rsidR="00875772" w:rsidRPr="00810EA0" w14:paraId="77D1237B"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446842D1"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Poradenské Centrum Nádej (SP)</w:t>
            </w:r>
          </w:p>
        </w:tc>
        <w:tc>
          <w:tcPr>
            <w:tcW w:w="998" w:type="pct"/>
            <w:tcBorders>
              <w:top w:val="nil"/>
              <w:left w:val="nil"/>
              <w:bottom w:val="single" w:sz="12" w:space="0" w:color="FFFFFF"/>
              <w:right w:val="single" w:sz="12" w:space="0" w:color="FFFFFF"/>
            </w:tcBorders>
            <w:shd w:val="clear" w:color="000000" w:fill="F2F2F2"/>
            <w:noWrap/>
            <w:hideMark/>
          </w:tcPr>
          <w:p w14:paraId="6ED8375F"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22 100,00 </w:t>
            </w:r>
          </w:p>
        </w:tc>
      </w:tr>
      <w:tr w:rsidR="00875772" w:rsidRPr="00810EA0" w14:paraId="146BFD31"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2D4B1C26" w14:textId="77777777" w:rsidR="00875772" w:rsidRPr="008721DF" w:rsidRDefault="00875772" w:rsidP="00875772">
            <w:pPr>
              <w:spacing w:after="0" w:line="240" w:lineRule="auto"/>
              <w:rPr>
                <w:rFonts w:cstheme="minorHAnsi"/>
                <w:color w:val="000000"/>
                <w:sz w:val="20"/>
                <w:szCs w:val="20"/>
                <w:lang w:eastAsia="sk-SK"/>
              </w:rPr>
            </w:pPr>
            <w:r>
              <w:rPr>
                <w:rFonts w:cstheme="minorHAnsi"/>
                <w:color w:val="000000"/>
                <w:sz w:val="20"/>
                <w:szCs w:val="20"/>
              </w:rPr>
              <w:t xml:space="preserve">Prima, o. z. </w:t>
            </w:r>
          </w:p>
        </w:tc>
        <w:tc>
          <w:tcPr>
            <w:tcW w:w="998" w:type="pct"/>
            <w:tcBorders>
              <w:top w:val="nil"/>
              <w:left w:val="nil"/>
              <w:bottom w:val="single" w:sz="12" w:space="0" w:color="FFFFFF"/>
              <w:right w:val="single" w:sz="12" w:space="0" w:color="FFFFFF"/>
            </w:tcBorders>
            <w:shd w:val="clear" w:color="000000" w:fill="F2F2F2"/>
            <w:noWrap/>
            <w:hideMark/>
          </w:tcPr>
          <w:p w14:paraId="35839806"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22 343,00 </w:t>
            </w:r>
          </w:p>
        </w:tc>
      </w:tr>
      <w:tr w:rsidR="00875772" w:rsidRPr="00810EA0" w14:paraId="21BD99B1"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0DDD0091"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Road, n.</w:t>
            </w:r>
            <w:r>
              <w:rPr>
                <w:rFonts w:cstheme="minorHAnsi"/>
                <w:color w:val="000000"/>
                <w:sz w:val="20"/>
                <w:szCs w:val="20"/>
              </w:rPr>
              <w:t xml:space="preserve"> </w:t>
            </w:r>
            <w:r w:rsidRPr="008721DF">
              <w:rPr>
                <w:rFonts w:cstheme="minorHAnsi"/>
                <w:color w:val="000000"/>
                <w:sz w:val="20"/>
                <w:szCs w:val="20"/>
              </w:rPr>
              <w:t>o.</w:t>
            </w:r>
          </w:p>
        </w:tc>
        <w:tc>
          <w:tcPr>
            <w:tcW w:w="998" w:type="pct"/>
            <w:tcBorders>
              <w:top w:val="nil"/>
              <w:left w:val="nil"/>
              <w:bottom w:val="single" w:sz="12" w:space="0" w:color="FFFFFF"/>
              <w:right w:val="single" w:sz="12" w:space="0" w:color="FFFFFF"/>
            </w:tcBorders>
            <w:shd w:val="clear" w:color="000000" w:fill="F2F2F2"/>
            <w:noWrap/>
            <w:hideMark/>
          </w:tcPr>
          <w:p w14:paraId="726B8441"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21 600,00 </w:t>
            </w:r>
          </w:p>
        </w:tc>
      </w:tr>
      <w:tr w:rsidR="00875772" w:rsidRPr="00810EA0" w14:paraId="55598549"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01BDDA52"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 xml:space="preserve">Saleziáni don </w:t>
            </w:r>
            <w:proofErr w:type="spellStart"/>
            <w:r w:rsidRPr="008721DF">
              <w:rPr>
                <w:rFonts w:cstheme="minorHAnsi"/>
                <w:color w:val="000000"/>
                <w:sz w:val="20"/>
                <w:szCs w:val="20"/>
              </w:rPr>
              <w:t>Bosca</w:t>
            </w:r>
            <w:proofErr w:type="spellEnd"/>
            <w:r w:rsidRPr="008721DF">
              <w:rPr>
                <w:rFonts w:cstheme="minorHAnsi"/>
                <w:color w:val="000000"/>
                <w:sz w:val="20"/>
                <w:szCs w:val="20"/>
              </w:rPr>
              <w:t xml:space="preserve"> - Slovenská provincia</w:t>
            </w:r>
          </w:p>
        </w:tc>
        <w:tc>
          <w:tcPr>
            <w:tcW w:w="998" w:type="pct"/>
            <w:tcBorders>
              <w:top w:val="nil"/>
              <w:left w:val="nil"/>
              <w:bottom w:val="single" w:sz="12" w:space="0" w:color="FFFFFF"/>
              <w:right w:val="single" w:sz="12" w:space="0" w:color="FFFFFF"/>
            </w:tcBorders>
            <w:shd w:val="clear" w:color="000000" w:fill="F2F2F2"/>
            <w:noWrap/>
            <w:hideMark/>
          </w:tcPr>
          <w:p w14:paraId="6B6D260C"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10 790,00 </w:t>
            </w:r>
          </w:p>
        </w:tc>
      </w:tr>
      <w:tr w:rsidR="00875772" w:rsidRPr="00810EA0" w14:paraId="3C25C343"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665B13B7" w14:textId="77777777" w:rsidR="00875772" w:rsidRPr="008721DF" w:rsidRDefault="00875772" w:rsidP="00875772">
            <w:pPr>
              <w:spacing w:after="0" w:line="240" w:lineRule="auto"/>
              <w:rPr>
                <w:rFonts w:cstheme="minorHAnsi"/>
                <w:color w:val="000000"/>
                <w:sz w:val="20"/>
                <w:szCs w:val="20"/>
                <w:lang w:eastAsia="sk-SK"/>
              </w:rPr>
            </w:pPr>
            <w:r>
              <w:rPr>
                <w:rFonts w:cstheme="minorHAnsi"/>
                <w:color w:val="000000"/>
                <w:sz w:val="20"/>
                <w:szCs w:val="20"/>
              </w:rPr>
              <w:t>Spoločnosť priateľov detí z detských domovov</w:t>
            </w:r>
            <w:r w:rsidRPr="008721DF">
              <w:rPr>
                <w:rFonts w:cstheme="minorHAnsi"/>
                <w:color w:val="000000"/>
                <w:sz w:val="20"/>
                <w:szCs w:val="20"/>
              </w:rPr>
              <w:t xml:space="preserve"> Úsmev ako dar</w:t>
            </w:r>
          </w:p>
        </w:tc>
        <w:tc>
          <w:tcPr>
            <w:tcW w:w="998" w:type="pct"/>
            <w:tcBorders>
              <w:top w:val="nil"/>
              <w:left w:val="nil"/>
              <w:bottom w:val="single" w:sz="12" w:space="0" w:color="FFFFFF"/>
              <w:right w:val="single" w:sz="12" w:space="0" w:color="FFFFFF"/>
            </w:tcBorders>
            <w:shd w:val="clear" w:color="000000" w:fill="F2F2F2"/>
            <w:noWrap/>
            <w:hideMark/>
          </w:tcPr>
          <w:p w14:paraId="4F103749"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42 900,00 </w:t>
            </w:r>
          </w:p>
        </w:tc>
      </w:tr>
      <w:tr w:rsidR="00875772" w:rsidRPr="00810EA0" w14:paraId="239530B9"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0FC0AFB8"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TENENET o.</w:t>
            </w:r>
            <w:r>
              <w:rPr>
                <w:rFonts w:cstheme="minorHAnsi"/>
                <w:color w:val="000000"/>
                <w:sz w:val="20"/>
                <w:szCs w:val="20"/>
              </w:rPr>
              <w:t xml:space="preserve"> </w:t>
            </w:r>
            <w:r w:rsidRPr="008721DF">
              <w:rPr>
                <w:rFonts w:cstheme="minorHAnsi"/>
                <w:color w:val="000000"/>
                <w:sz w:val="20"/>
                <w:szCs w:val="20"/>
              </w:rPr>
              <w:t>z.</w:t>
            </w:r>
          </w:p>
        </w:tc>
        <w:tc>
          <w:tcPr>
            <w:tcW w:w="998" w:type="pct"/>
            <w:tcBorders>
              <w:top w:val="nil"/>
              <w:left w:val="nil"/>
              <w:bottom w:val="single" w:sz="12" w:space="0" w:color="FFFFFF"/>
              <w:right w:val="single" w:sz="12" w:space="0" w:color="FFFFFF"/>
            </w:tcBorders>
            <w:shd w:val="clear" w:color="000000" w:fill="F2F2F2"/>
            <w:noWrap/>
            <w:hideMark/>
          </w:tcPr>
          <w:p w14:paraId="6E21D92B"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10 790,00 </w:t>
            </w:r>
          </w:p>
        </w:tc>
      </w:tr>
      <w:tr w:rsidR="00875772" w:rsidRPr="00810EA0" w14:paraId="1E6509E8" w14:textId="77777777" w:rsidTr="00875772">
        <w:trPr>
          <w:trHeight w:val="332"/>
        </w:trPr>
        <w:tc>
          <w:tcPr>
            <w:tcW w:w="4002" w:type="pct"/>
            <w:tcBorders>
              <w:top w:val="nil"/>
              <w:left w:val="single" w:sz="12" w:space="0" w:color="FFFFFF"/>
              <w:bottom w:val="single" w:sz="12" w:space="0" w:color="FFFFFF"/>
              <w:right w:val="single" w:sz="12" w:space="0" w:color="FFFFFF"/>
            </w:tcBorders>
            <w:shd w:val="clear" w:color="000000" w:fill="F2F2F2"/>
            <w:noWrap/>
            <w:hideMark/>
          </w:tcPr>
          <w:p w14:paraId="2D7AE47A" w14:textId="77777777" w:rsidR="00875772" w:rsidRPr="008721DF" w:rsidRDefault="00875772" w:rsidP="00875772">
            <w:pPr>
              <w:spacing w:after="0" w:line="240" w:lineRule="auto"/>
              <w:rPr>
                <w:rFonts w:cstheme="minorHAnsi"/>
                <w:color w:val="000000"/>
                <w:sz w:val="20"/>
                <w:szCs w:val="20"/>
                <w:lang w:eastAsia="sk-SK"/>
              </w:rPr>
            </w:pPr>
            <w:r w:rsidRPr="008721DF">
              <w:rPr>
                <w:rFonts w:cstheme="minorHAnsi"/>
                <w:color w:val="000000"/>
                <w:sz w:val="20"/>
                <w:szCs w:val="20"/>
              </w:rPr>
              <w:t>Ulita, o.</w:t>
            </w:r>
            <w:r>
              <w:rPr>
                <w:rFonts w:cstheme="minorHAnsi"/>
                <w:color w:val="000000"/>
                <w:sz w:val="20"/>
                <w:szCs w:val="20"/>
              </w:rPr>
              <w:t xml:space="preserve"> </w:t>
            </w:r>
            <w:r w:rsidRPr="008721DF">
              <w:rPr>
                <w:rFonts w:cstheme="minorHAnsi"/>
                <w:color w:val="000000"/>
                <w:sz w:val="20"/>
                <w:szCs w:val="20"/>
              </w:rPr>
              <w:t>z.</w:t>
            </w:r>
          </w:p>
        </w:tc>
        <w:tc>
          <w:tcPr>
            <w:tcW w:w="998" w:type="pct"/>
            <w:tcBorders>
              <w:top w:val="nil"/>
              <w:left w:val="nil"/>
              <w:bottom w:val="single" w:sz="12" w:space="0" w:color="FFFFFF"/>
              <w:right w:val="single" w:sz="12" w:space="0" w:color="FFFFFF"/>
            </w:tcBorders>
            <w:shd w:val="clear" w:color="000000" w:fill="F2F2F2"/>
            <w:noWrap/>
            <w:hideMark/>
          </w:tcPr>
          <w:p w14:paraId="5E9BE9CB" w14:textId="77777777" w:rsidR="00875772" w:rsidRPr="008721DF" w:rsidRDefault="00875772" w:rsidP="00875772">
            <w:pPr>
              <w:spacing w:after="0" w:line="240" w:lineRule="auto"/>
              <w:jc w:val="right"/>
              <w:rPr>
                <w:rFonts w:cstheme="minorHAnsi"/>
                <w:color w:val="000000"/>
                <w:sz w:val="20"/>
                <w:szCs w:val="20"/>
                <w:lang w:eastAsia="sk-SK"/>
              </w:rPr>
            </w:pPr>
            <w:r w:rsidRPr="008721DF">
              <w:rPr>
                <w:rFonts w:cstheme="minorHAnsi"/>
                <w:color w:val="000000"/>
                <w:sz w:val="20"/>
                <w:szCs w:val="20"/>
              </w:rPr>
              <w:t xml:space="preserve">   40 365,00 </w:t>
            </w:r>
          </w:p>
        </w:tc>
      </w:tr>
    </w:tbl>
    <w:p w14:paraId="2539D81C" w14:textId="77777777" w:rsidR="00875772" w:rsidRDefault="00875772" w:rsidP="00875772">
      <w:pPr>
        <w:rPr>
          <w:rFonts w:eastAsiaTheme="minorEastAsia"/>
        </w:rPr>
      </w:pPr>
    </w:p>
    <w:p w14:paraId="1B756FB6" w14:textId="77777777" w:rsidR="00352CED" w:rsidRDefault="00352CED" w:rsidP="00875772">
      <w:pPr>
        <w:spacing w:before="100" w:beforeAutospacing="1" w:after="100" w:afterAutospacing="1" w:line="240" w:lineRule="auto"/>
        <w:outlineLvl w:val="1"/>
        <w:rPr>
          <w:rFonts w:cstheme="minorHAnsi"/>
          <w:b/>
          <w:bCs/>
          <w:color w:val="880000"/>
          <w:sz w:val="36"/>
          <w:szCs w:val="36"/>
          <w:lang w:eastAsia="sk-SK"/>
        </w:rPr>
      </w:pPr>
    </w:p>
    <w:p w14:paraId="7A087D6C" w14:textId="77777777" w:rsidR="00352CED" w:rsidRDefault="00352CED" w:rsidP="00875772">
      <w:pPr>
        <w:spacing w:before="100" w:beforeAutospacing="1" w:after="100" w:afterAutospacing="1" w:line="240" w:lineRule="auto"/>
        <w:outlineLvl w:val="1"/>
        <w:rPr>
          <w:rFonts w:cstheme="minorHAnsi"/>
          <w:b/>
          <w:bCs/>
          <w:color w:val="880000"/>
          <w:sz w:val="36"/>
          <w:szCs w:val="36"/>
          <w:lang w:eastAsia="sk-SK"/>
        </w:rPr>
      </w:pPr>
    </w:p>
    <w:p w14:paraId="2217E431" w14:textId="77777777" w:rsidR="00352CED" w:rsidRDefault="00352CED" w:rsidP="00875772">
      <w:pPr>
        <w:spacing w:before="100" w:beforeAutospacing="1" w:after="100" w:afterAutospacing="1" w:line="240" w:lineRule="auto"/>
        <w:outlineLvl w:val="1"/>
        <w:rPr>
          <w:rFonts w:cstheme="minorHAnsi"/>
          <w:b/>
          <w:bCs/>
          <w:color w:val="880000"/>
          <w:sz w:val="36"/>
          <w:szCs w:val="36"/>
          <w:lang w:eastAsia="sk-SK"/>
        </w:rPr>
      </w:pPr>
    </w:p>
    <w:p w14:paraId="20B64501" w14:textId="32C09B70" w:rsidR="00875772" w:rsidRPr="000F57A1" w:rsidRDefault="00875772" w:rsidP="00875772">
      <w:pPr>
        <w:spacing w:before="100" w:beforeAutospacing="1" w:after="100" w:afterAutospacing="1" w:line="240" w:lineRule="auto"/>
        <w:outlineLvl w:val="1"/>
        <w:rPr>
          <w:rFonts w:cstheme="minorHAnsi"/>
          <w:b/>
          <w:bCs/>
          <w:color w:val="880000"/>
          <w:sz w:val="36"/>
          <w:szCs w:val="36"/>
          <w:lang w:eastAsia="sk-SK"/>
        </w:rPr>
      </w:pPr>
      <w:r w:rsidRPr="000F57A1">
        <w:rPr>
          <w:rFonts w:cstheme="minorHAnsi"/>
          <w:b/>
          <w:bCs/>
          <w:color w:val="880000"/>
          <w:sz w:val="36"/>
          <w:szCs w:val="36"/>
          <w:lang w:eastAsia="sk-SK"/>
        </w:rPr>
        <w:lastRenderedPageBreak/>
        <w:t xml:space="preserve">Program 12: Zdravotníctvo </w:t>
      </w:r>
    </w:p>
    <w:p w14:paraId="0B81ECCA" w14:textId="77777777" w:rsidR="00875772" w:rsidRPr="000F57A1" w:rsidRDefault="00875772" w:rsidP="00875772">
      <w:pPr>
        <w:spacing w:before="100" w:beforeAutospacing="1" w:after="100" w:afterAutospacing="1" w:line="240" w:lineRule="auto"/>
        <w:rPr>
          <w:rFonts w:cstheme="minorHAnsi"/>
          <w:sz w:val="24"/>
          <w:szCs w:val="24"/>
          <w:lang w:eastAsia="sk-SK"/>
        </w:rPr>
      </w:pPr>
      <w:r w:rsidRPr="000F57A1">
        <w:rPr>
          <w:rFonts w:cstheme="minorHAnsi"/>
          <w:b/>
          <w:bCs/>
          <w:sz w:val="24"/>
          <w:szCs w:val="24"/>
          <w:lang w:eastAsia="sk-SK"/>
        </w:rPr>
        <w:t xml:space="preserve">Zámer: </w:t>
      </w:r>
      <w:r w:rsidRPr="000F57A1">
        <w:rPr>
          <w:rFonts w:cstheme="minorHAnsi"/>
          <w:sz w:val="24"/>
          <w:szCs w:val="24"/>
          <w:lang w:eastAsia="sk-SK"/>
        </w:rPr>
        <w:t>Zdravie pre všetkých v 21 storočí</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5"/>
        <w:gridCol w:w="2023"/>
        <w:gridCol w:w="1240"/>
        <w:gridCol w:w="1572"/>
        <w:gridCol w:w="1201"/>
        <w:gridCol w:w="1264"/>
        <w:gridCol w:w="2341"/>
      </w:tblGrid>
      <w:tr w:rsidR="00875772" w:rsidRPr="000F57A1" w14:paraId="70161440" w14:textId="77777777" w:rsidTr="00875772">
        <w:trPr>
          <w:tblCellSpacing w:w="15" w:type="dxa"/>
        </w:trPr>
        <w:tc>
          <w:tcPr>
            <w:tcW w:w="0" w:type="auto"/>
            <w:shd w:val="clear" w:color="auto" w:fill="C6DBF7"/>
            <w:vAlign w:val="center"/>
            <w:hideMark/>
          </w:tcPr>
          <w:p w14:paraId="1265C86B"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Kód EK</w:t>
            </w:r>
          </w:p>
        </w:tc>
        <w:tc>
          <w:tcPr>
            <w:tcW w:w="952" w:type="pct"/>
            <w:shd w:val="clear" w:color="auto" w:fill="C6DBF7"/>
            <w:vAlign w:val="center"/>
            <w:hideMark/>
          </w:tcPr>
          <w:p w14:paraId="65C66BD6"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Ekonomická klasifikácia</w:t>
            </w:r>
          </w:p>
        </w:tc>
        <w:tc>
          <w:tcPr>
            <w:tcW w:w="0" w:type="auto"/>
            <w:shd w:val="clear" w:color="auto" w:fill="C6DBF7"/>
            <w:vAlign w:val="center"/>
            <w:hideMark/>
          </w:tcPr>
          <w:p w14:paraId="0823EF13"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Schválený</w:t>
            </w:r>
            <w:r w:rsidRPr="000F57A1">
              <w:rPr>
                <w:rFonts w:cstheme="minorHAnsi"/>
                <w:b/>
                <w:bCs/>
                <w:sz w:val="20"/>
                <w:szCs w:val="20"/>
                <w:lang w:eastAsia="sk-SK"/>
              </w:rPr>
              <w:br/>
              <w:t>rozpočet</w:t>
            </w:r>
            <w:r w:rsidRPr="000F57A1">
              <w:rPr>
                <w:rFonts w:cstheme="minorHAnsi"/>
                <w:b/>
                <w:bCs/>
                <w:sz w:val="20"/>
                <w:szCs w:val="20"/>
                <w:lang w:eastAsia="sk-SK"/>
              </w:rPr>
              <w:br/>
              <w:t>v EUR</w:t>
            </w:r>
          </w:p>
        </w:tc>
        <w:tc>
          <w:tcPr>
            <w:tcW w:w="758" w:type="pct"/>
            <w:shd w:val="clear" w:color="auto" w:fill="C6DBF7"/>
            <w:vAlign w:val="center"/>
            <w:hideMark/>
          </w:tcPr>
          <w:p w14:paraId="659768D1"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Zmenený</w:t>
            </w:r>
            <w:r w:rsidRPr="000F57A1">
              <w:rPr>
                <w:rFonts w:cstheme="minorHAnsi"/>
                <w:b/>
                <w:bCs/>
                <w:sz w:val="20"/>
                <w:szCs w:val="20"/>
                <w:lang w:eastAsia="sk-SK"/>
              </w:rPr>
              <w:br/>
              <w:t>rozpočet</w:t>
            </w:r>
            <w:r w:rsidRPr="000F57A1">
              <w:rPr>
                <w:rFonts w:cstheme="minorHAnsi"/>
                <w:b/>
                <w:bCs/>
                <w:sz w:val="20"/>
                <w:szCs w:val="20"/>
                <w:lang w:eastAsia="sk-SK"/>
              </w:rPr>
              <w:br/>
              <w:t>v EUR</w:t>
            </w:r>
          </w:p>
        </w:tc>
        <w:tc>
          <w:tcPr>
            <w:tcW w:w="576" w:type="pct"/>
            <w:shd w:val="clear" w:color="auto" w:fill="C6DBF7"/>
            <w:vAlign w:val="center"/>
            <w:hideMark/>
          </w:tcPr>
          <w:p w14:paraId="7C9D0D9D"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Čerpanie</w:t>
            </w:r>
            <w:r w:rsidRPr="000F57A1">
              <w:rPr>
                <w:rFonts w:cstheme="minorHAnsi"/>
                <w:b/>
                <w:bCs/>
                <w:sz w:val="20"/>
                <w:szCs w:val="20"/>
                <w:lang w:eastAsia="sk-SK"/>
              </w:rPr>
              <w:br/>
              <w:t>v EUR</w:t>
            </w:r>
          </w:p>
        </w:tc>
        <w:tc>
          <w:tcPr>
            <w:tcW w:w="607" w:type="pct"/>
            <w:shd w:val="clear" w:color="auto" w:fill="C6DBF7"/>
            <w:vAlign w:val="center"/>
            <w:hideMark/>
          </w:tcPr>
          <w:p w14:paraId="30202B42"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Čerpanie</w:t>
            </w:r>
            <w:r w:rsidRPr="000F57A1">
              <w:rPr>
                <w:rFonts w:cstheme="minorHAnsi"/>
                <w:b/>
                <w:bCs/>
                <w:sz w:val="20"/>
                <w:szCs w:val="20"/>
                <w:lang w:eastAsia="sk-SK"/>
              </w:rPr>
              <w:br/>
              <w:t xml:space="preserve">k </w:t>
            </w:r>
            <w:proofErr w:type="spellStart"/>
            <w:r w:rsidRPr="000F57A1">
              <w:rPr>
                <w:rFonts w:cstheme="minorHAnsi"/>
                <w:b/>
                <w:bCs/>
                <w:sz w:val="20"/>
                <w:szCs w:val="20"/>
                <w:lang w:eastAsia="sk-SK"/>
              </w:rPr>
              <w:t>zmen</w:t>
            </w:r>
            <w:proofErr w:type="spellEnd"/>
            <w:r w:rsidRPr="000F57A1">
              <w:rPr>
                <w:rFonts w:cstheme="minorHAnsi"/>
                <w:b/>
                <w:bCs/>
                <w:sz w:val="20"/>
                <w:szCs w:val="20"/>
                <w:lang w:eastAsia="sk-SK"/>
              </w:rPr>
              <w:t xml:space="preserve">. </w:t>
            </w:r>
            <w:proofErr w:type="spellStart"/>
            <w:r w:rsidRPr="000F57A1">
              <w:rPr>
                <w:rFonts w:cstheme="minorHAnsi"/>
                <w:b/>
                <w:bCs/>
                <w:sz w:val="20"/>
                <w:szCs w:val="20"/>
                <w:lang w:eastAsia="sk-SK"/>
              </w:rPr>
              <w:t>rozp</w:t>
            </w:r>
            <w:proofErr w:type="spellEnd"/>
            <w:r w:rsidRPr="000F57A1">
              <w:rPr>
                <w:rFonts w:cstheme="minorHAnsi"/>
                <w:b/>
                <w:bCs/>
                <w:sz w:val="20"/>
                <w:szCs w:val="20"/>
                <w:lang w:eastAsia="sk-SK"/>
              </w:rPr>
              <w:t>.</w:t>
            </w:r>
            <w:r w:rsidRPr="000F57A1">
              <w:rPr>
                <w:rFonts w:cstheme="minorHAnsi"/>
                <w:b/>
                <w:bCs/>
                <w:sz w:val="20"/>
                <w:szCs w:val="20"/>
                <w:lang w:eastAsia="sk-SK"/>
              </w:rPr>
              <w:br/>
              <w:t>v %</w:t>
            </w:r>
          </w:p>
        </w:tc>
        <w:tc>
          <w:tcPr>
            <w:tcW w:w="1126" w:type="pct"/>
            <w:shd w:val="clear" w:color="auto" w:fill="C6DBF7"/>
            <w:vAlign w:val="center"/>
            <w:hideMark/>
          </w:tcPr>
          <w:p w14:paraId="5D285A1E"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Zmeny rozpočtu</w:t>
            </w:r>
          </w:p>
        </w:tc>
      </w:tr>
      <w:tr w:rsidR="00875772" w:rsidRPr="000F57A1" w14:paraId="47ED3DF0" w14:textId="77777777" w:rsidTr="00875772">
        <w:trPr>
          <w:tblCellSpacing w:w="15" w:type="dxa"/>
        </w:trPr>
        <w:tc>
          <w:tcPr>
            <w:tcW w:w="0" w:type="auto"/>
            <w:shd w:val="clear" w:color="auto" w:fill="D9D9D9"/>
            <w:noWrap/>
            <w:vAlign w:val="center"/>
            <w:hideMark/>
          </w:tcPr>
          <w:p w14:paraId="1A13D5E9" w14:textId="77777777" w:rsidR="00875772" w:rsidRPr="000F57A1" w:rsidRDefault="00875772" w:rsidP="00875772">
            <w:pPr>
              <w:spacing w:after="0" w:line="240" w:lineRule="auto"/>
              <w:jc w:val="center"/>
              <w:rPr>
                <w:rFonts w:cstheme="minorHAnsi"/>
                <w:sz w:val="24"/>
                <w:szCs w:val="24"/>
                <w:lang w:eastAsia="sk-SK"/>
              </w:rPr>
            </w:pPr>
          </w:p>
        </w:tc>
        <w:tc>
          <w:tcPr>
            <w:tcW w:w="0" w:type="auto"/>
            <w:shd w:val="clear" w:color="auto" w:fill="D9D9D9"/>
            <w:vAlign w:val="center"/>
            <w:hideMark/>
          </w:tcPr>
          <w:p w14:paraId="06020C76"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Výdavky celkom</w:t>
            </w:r>
            <w:r w:rsidRPr="000F57A1">
              <w:rPr>
                <w:rFonts w:cstheme="minorHAnsi"/>
                <w:sz w:val="24"/>
                <w:szCs w:val="24"/>
                <w:lang w:eastAsia="sk-SK"/>
              </w:rPr>
              <w:t xml:space="preserve"> </w:t>
            </w:r>
          </w:p>
        </w:tc>
        <w:tc>
          <w:tcPr>
            <w:tcW w:w="0" w:type="auto"/>
            <w:shd w:val="clear" w:color="auto" w:fill="D9D9D9"/>
            <w:noWrap/>
            <w:vAlign w:val="bottom"/>
          </w:tcPr>
          <w:p w14:paraId="17A4C2EB"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620 400,00</w:t>
            </w:r>
          </w:p>
        </w:tc>
        <w:tc>
          <w:tcPr>
            <w:tcW w:w="758" w:type="pct"/>
            <w:shd w:val="clear" w:color="auto" w:fill="D9D9D9"/>
            <w:noWrap/>
            <w:vAlign w:val="bottom"/>
          </w:tcPr>
          <w:p w14:paraId="26D65FC1"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886 403,00</w:t>
            </w:r>
          </w:p>
        </w:tc>
        <w:tc>
          <w:tcPr>
            <w:tcW w:w="576" w:type="pct"/>
            <w:shd w:val="clear" w:color="auto" w:fill="D9D9D9"/>
            <w:noWrap/>
            <w:vAlign w:val="bottom"/>
          </w:tcPr>
          <w:p w14:paraId="0924334D"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802 993,66</w:t>
            </w:r>
          </w:p>
        </w:tc>
        <w:tc>
          <w:tcPr>
            <w:tcW w:w="607" w:type="pct"/>
            <w:shd w:val="clear" w:color="auto" w:fill="D9D9D9"/>
            <w:noWrap/>
            <w:vAlign w:val="center"/>
          </w:tcPr>
          <w:p w14:paraId="4CD0CFB0"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90,59%</w:t>
            </w:r>
          </w:p>
        </w:tc>
        <w:tc>
          <w:tcPr>
            <w:tcW w:w="1126" w:type="pct"/>
            <w:vMerge w:val="restart"/>
            <w:shd w:val="clear" w:color="auto" w:fill="D9D9D9"/>
            <w:vAlign w:val="center"/>
            <w:hideMark/>
          </w:tcPr>
          <w:p w14:paraId="34D6BDC4" w14:textId="3E61E6B2" w:rsidR="00875772" w:rsidRPr="00875772" w:rsidRDefault="00875772" w:rsidP="00875772">
            <w:pPr>
              <w:rPr>
                <w:rFonts w:cs="Calibri"/>
                <w:color w:val="000000"/>
                <w:sz w:val="20"/>
                <w:szCs w:val="20"/>
              </w:rPr>
            </w:pPr>
            <w:r>
              <w:rPr>
                <w:rFonts w:cs="Calibri"/>
                <w:b/>
                <w:bCs/>
                <w:color w:val="000000"/>
                <w:sz w:val="20"/>
                <w:szCs w:val="20"/>
              </w:rPr>
              <w:t>+</w:t>
            </w:r>
            <w:r w:rsidRPr="004818E7">
              <w:rPr>
                <w:rFonts w:cs="Calibri"/>
                <w:b/>
                <w:bCs/>
                <w:color w:val="000000"/>
                <w:sz w:val="20"/>
                <w:szCs w:val="20"/>
              </w:rPr>
              <w:t>169 000,00 EUR</w:t>
            </w:r>
            <w:r w:rsidRPr="004818E7">
              <w:rPr>
                <w:rFonts w:cs="Calibri"/>
                <w:color w:val="000000"/>
                <w:sz w:val="20"/>
                <w:szCs w:val="20"/>
              </w:rPr>
              <w:t xml:space="preserve"> presun z PK 1.3</w:t>
            </w:r>
            <w:r>
              <w:rPr>
                <w:rFonts w:cs="Calibri"/>
                <w:color w:val="000000"/>
                <w:sz w:val="20"/>
                <w:szCs w:val="20"/>
              </w:rPr>
              <w:t xml:space="preserve">                   </w:t>
            </w:r>
            <w:r>
              <w:rPr>
                <w:rFonts w:cs="Calibri"/>
                <w:b/>
                <w:bCs/>
                <w:color w:val="000000"/>
                <w:sz w:val="20"/>
                <w:szCs w:val="20"/>
              </w:rPr>
              <w:t>+</w:t>
            </w:r>
            <w:r w:rsidRPr="004818E7">
              <w:rPr>
                <w:rFonts w:cs="Calibri"/>
                <w:b/>
                <w:bCs/>
                <w:color w:val="000000"/>
                <w:sz w:val="20"/>
                <w:szCs w:val="20"/>
              </w:rPr>
              <w:t>97 000,99 EUR</w:t>
            </w:r>
            <w:r>
              <w:rPr>
                <w:rFonts w:cs="Calibri"/>
                <w:b/>
                <w:bCs/>
                <w:color w:val="000000"/>
                <w:sz w:val="20"/>
                <w:szCs w:val="20"/>
              </w:rPr>
              <w:t xml:space="preserve"> </w:t>
            </w:r>
            <w:r w:rsidRPr="004818E7">
              <w:rPr>
                <w:rFonts w:cs="Calibri"/>
                <w:color w:val="000000"/>
                <w:sz w:val="20"/>
                <w:szCs w:val="20"/>
              </w:rPr>
              <w:t>presun z PK 3.3</w:t>
            </w:r>
          </w:p>
          <w:p w14:paraId="2D3AE844" w14:textId="77777777" w:rsidR="00875772" w:rsidRPr="000F57A1" w:rsidRDefault="00875772" w:rsidP="00875772">
            <w:pPr>
              <w:spacing w:after="0" w:line="240" w:lineRule="auto"/>
              <w:jc w:val="right"/>
              <w:rPr>
                <w:rFonts w:cstheme="minorHAnsi"/>
                <w:sz w:val="24"/>
                <w:szCs w:val="24"/>
                <w:lang w:eastAsia="sk-SK"/>
              </w:rPr>
            </w:pPr>
          </w:p>
        </w:tc>
      </w:tr>
      <w:tr w:rsidR="00875772" w:rsidRPr="000F57A1" w14:paraId="5445A154" w14:textId="77777777" w:rsidTr="00875772">
        <w:trPr>
          <w:tblCellSpacing w:w="15" w:type="dxa"/>
        </w:trPr>
        <w:tc>
          <w:tcPr>
            <w:tcW w:w="0" w:type="auto"/>
            <w:shd w:val="clear" w:color="auto" w:fill="D9D9D9"/>
            <w:noWrap/>
            <w:vAlign w:val="center"/>
            <w:hideMark/>
          </w:tcPr>
          <w:p w14:paraId="736DF3BB"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600</w:t>
            </w:r>
            <w:r w:rsidRPr="000F57A1">
              <w:rPr>
                <w:rFonts w:cstheme="minorHAnsi"/>
                <w:sz w:val="24"/>
                <w:szCs w:val="24"/>
                <w:lang w:eastAsia="sk-SK"/>
              </w:rPr>
              <w:t xml:space="preserve"> </w:t>
            </w:r>
          </w:p>
        </w:tc>
        <w:tc>
          <w:tcPr>
            <w:tcW w:w="0" w:type="auto"/>
            <w:shd w:val="clear" w:color="auto" w:fill="D9D9D9"/>
            <w:vAlign w:val="center"/>
            <w:hideMark/>
          </w:tcPr>
          <w:p w14:paraId="5C2C3B14"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Bežné výdavky</w:t>
            </w:r>
            <w:r w:rsidRPr="000F57A1">
              <w:rPr>
                <w:rFonts w:cstheme="minorHAnsi"/>
                <w:sz w:val="24"/>
                <w:szCs w:val="24"/>
                <w:lang w:eastAsia="sk-SK"/>
              </w:rPr>
              <w:t xml:space="preserve"> </w:t>
            </w:r>
          </w:p>
        </w:tc>
        <w:tc>
          <w:tcPr>
            <w:tcW w:w="0" w:type="auto"/>
            <w:shd w:val="clear" w:color="auto" w:fill="D9D9D9"/>
            <w:noWrap/>
            <w:vAlign w:val="bottom"/>
          </w:tcPr>
          <w:p w14:paraId="27E348B5"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620 400,00</w:t>
            </w:r>
          </w:p>
        </w:tc>
        <w:tc>
          <w:tcPr>
            <w:tcW w:w="758" w:type="pct"/>
            <w:shd w:val="clear" w:color="auto" w:fill="D9D9D9"/>
            <w:noWrap/>
            <w:vAlign w:val="bottom"/>
          </w:tcPr>
          <w:p w14:paraId="55690472"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886 403,00</w:t>
            </w:r>
          </w:p>
        </w:tc>
        <w:tc>
          <w:tcPr>
            <w:tcW w:w="576" w:type="pct"/>
            <w:shd w:val="clear" w:color="auto" w:fill="D9D9D9"/>
            <w:noWrap/>
            <w:vAlign w:val="bottom"/>
          </w:tcPr>
          <w:p w14:paraId="38DC6833"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802 993,66</w:t>
            </w:r>
          </w:p>
        </w:tc>
        <w:tc>
          <w:tcPr>
            <w:tcW w:w="607" w:type="pct"/>
            <w:shd w:val="clear" w:color="auto" w:fill="D9D9D9"/>
            <w:noWrap/>
            <w:vAlign w:val="center"/>
          </w:tcPr>
          <w:p w14:paraId="7A963DBF" w14:textId="77777777" w:rsidR="00875772" w:rsidRPr="004818E7" w:rsidRDefault="00875772" w:rsidP="00875772">
            <w:pPr>
              <w:spacing w:after="0" w:line="240" w:lineRule="auto"/>
              <w:jc w:val="right"/>
              <w:rPr>
                <w:rFonts w:cstheme="minorHAnsi"/>
                <w:b/>
                <w:bCs/>
                <w:sz w:val="20"/>
                <w:szCs w:val="20"/>
                <w:lang w:eastAsia="sk-SK"/>
              </w:rPr>
            </w:pPr>
            <w:r w:rsidRPr="004818E7">
              <w:rPr>
                <w:rFonts w:cs="Calibri"/>
                <w:b/>
                <w:bCs/>
                <w:color w:val="000000"/>
                <w:sz w:val="20"/>
                <w:szCs w:val="20"/>
              </w:rPr>
              <w:t>90,59%</w:t>
            </w:r>
          </w:p>
        </w:tc>
        <w:tc>
          <w:tcPr>
            <w:tcW w:w="1126" w:type="pct"/>
            <w:vMerge/>
            <w:shd w:val="clear" w:color="auto" w:fill="D9D9D9"/>
            <w:vAlign w:val="center"/>
            <w:hideMark/>
          </w:tcPr>
          <w:p w14:paraId="70CBC4B1" w14:textId="77777777" w:rsidR="00875772" w:rsidRPr="000F57A1" w:rsidRDefault="00875772" w:rsidP="00875772">
            <w:pPr>
              <w:spacing w:after="0" w:line="240" w:lineRule="auto"/>
              <w:rPr>
                <w:rFonts w:cstheme="minorHAnsi"/>
                <w:sz w:val="24"/>
                <w:szCs w:val="24"/>
                <w:lang w:eastAsia="sk-SK"/>
              </w:rPr>
            </w:pPr>
          </w:p>
        </w:tc>
      </w:tr>
      <w:tr w:rsidR="00875772" w:rsidRPr="000F57A1" w14:paraId="78836271" w14:textId="77777777" w:rsidTr="00875772">
        <w:trPr>
          <w:tblCellSpacing w:w="15" w:type="dxa"/>
        </w:trPr>
        <w:tc>
          <w:tcPr>
            <w:tcW w:w="0" w:type="auto"/>
            <w:shd w:val="clear" w:color="auto" w:fill="EFEFEF"/>
            <w:noWrap/>
            <w:vAlign w:val="center"/>
            <w:hideMark/>
          </w:tcPr>
          <w:p w14:paraId="0E4AE411"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630</w:t>
            </w:r>
            <w:r w:rsidRPr="000F57A1">
              <w:rPr>
                <w:rFonts w:cstheme="minorHAnsi"/>
                <w:sz w:val="24"/>
                <w:szCs w:val="24"/>
                <w:lang w:eastAsia="sk-SK"/>
              </w:rPr>
              <w:t xml:space="preserve"> </w:t>
            </w:r>
          </w:p>
        </w:tc>
        <w:tc>
          <w:tcPr>
            <w:tcW w:w="0" w:type="auto"/>
            <w:shd w:val="clear" w:color="auto" w:fill="EFEFEF"/>
            <w:vAlign w:val="center"/>
            <w:hideMark/>
          </w:tcPr>
          <w:p w14:paraId="6A1C1DC4"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Tovary a služby</w:t>
            </w:r>
            <w:r w:rsidRPr="000F57A1">
              <w:rPr>
                <w:rFonts w:cstheme="minorHAnsi"/>
                <w:sz w:val="24"/>
                <w:szCs w:val="24"/>
                <w:lang w:eastAsia="sk-SK"/>
              </w:rPr>
              <w:t xml:space="preserve"> </w:t>
            </w:r>
          </w:p>
        </w:tc>
        <w:tc>
          <w:tcPr>
            <w:tcW w:w="0" w:type="auto"/>
            <w:shd w:val="clear" w:color="auto" w:fill="EFEFEF"/>
            <w:noWrap/>
            <w:vAlign w:val="center"/>
          </w:tcPr>
          <w:p w14:paraId="53AECDE1"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620 400,00</w:t>
            </w:r>
          </w:p>
        </w:tc>
        <w:tc>
          <w:tcPr>
            <w:tcW w:w="758" w:type="pct"/>
            <w:shd w:val="clear" w:color="auto" w:fill="EFEFEF"/>
            <w:noWrap/>
            <w:vAlign w:val="center"/>
          </w:tcPr>
          <w:p w14:paraId="741D1D3B"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807 403,00</w:t>
            </w:r>
          </w:p>
        </w:tc>
        <w:tc>
          <w:tcPr>
            <w:tcW w:w="576" w:type="pct"/>
            <w:shd w:val="clear" w:color="auto" w:fill="EFEFEF"/>
            <w:noWrap/>
            <w:vAlign w:val="center"/>
          </w:tcPr>
          <w:p w14:paraId="1BF7613D"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723 993,66</w:t>
            </w:r>
          </w:p>
        </w:tc>
        <w:tc>
          <w:tcPr>
            <w:tcW w:w="607" w:type="pct"/>
            <w:shd w:val="clear" w:color="auto" w:fill="EFEFEF"/>
            <w:noWrap/>
            <w:vAlign w:val="center"/>
          </w:tcPr>
          <w:p w14:paraId="7C5A1DEC"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89,67%</w:t>
            </w:r>
          </w:p>
        </w:tc>
        <w:tc>
          <w:tcPr>
            <w:tcW w:w="1126" w:type="pct"/>
            <w:vMerge/>
            <w:shd w:val="clear" w:color="auto" w:fill="EFEFEF"/>
            <w:vAlign w:val="center"/>
            <w:hideMark/>
          </w:tcPr>
          <w:p w14:paraId="283AF2DA" w14:textId="77777777" w:rsidR="00875772" w:rsidRPr="000F57A1" w:rsidRDefault="00875772" w:rsidP="00875772">
            <w:pPr>
              <w:spacing w:after="0" w:line="240" w:lineRule="auto"/>
              <w:rPr>
                <w:rFonts w:cstheme="minorHAnsi"/>
                <w:sz w:val="24"/>
                <w:szCs w:val="24"/>
                <w:lang w:eastAsia="sk-SK"/>
              </w:rPr>
            </w:pPr>
          </w:p>
        </w:tc>
      </w:tr>
      <w:tr w:rsidR="00875772" w:rsidRPr="000F57A1" w14:paraId="48B6E35C" w14:textId="77777777" w:rsidTr="00875772">
        <w:trPr>
          <w:trHeight w:val="347"/>
          <w:tblCellSpacing w:w="15" w:type="dxa"/>
        </w:trPr>
        <w:tc>
          <w:tcPr>
            <w:tcW w:w="0" w:type="auto"/>
            <w:shd w:val="clear" w:color="auto" w:fill="EFEFEF"/>
            <w:noWrap/>
            <w:vAlign w:val="center"/>
          </w:tcPr>
          <w:p w14:paraId="636493AB" w14:textId="77777777" w:rsidR="00875772" w:rsidRPr="000F57A1" w:rsidRDefault="00875772" w:rsidP="00875772">
            <w:pPr>
              <w:spacing w:after="0" w:line="240" w:lineRule="auto"/>
              <w:rPr>
                <w:rFonts w:cstheme="minorHAnsi"/>
                <w:sz w:val="20"/>
                <w:szCs w:val="20"/>
                <w:lang w:eastAsia="sk-SK"/>
              </w:rPr>
            </w:pPr>
            <w:r>
              <w:rPr>
                <w:rFonts w:cstheme="minorHAnsi"/>
                <w:sz w:val="20"/>
                <w:szCs w:val="20"/>
                <w:lang w:eastAsia="sk-SK"/>
              </w:rPr>
              <w:t>640</w:t>
            </w:r>
          </w:p>
        </w:tc>
        <w:tc>
          <w:tcPr>
            <w:tcW w:w="0" w:type="auto"/>
            <w:shd w:val="clear" w:color="auto" w:fill="EFEFEF"/>
            <w:vAlign w:val="center"/>
          </w:tcPr>
          <w:p w14:paraId="2481E276" w14:textId="77777777" w:rsidR="00875772" w:rsidRPr="000F57A1" w:rsidRDefault="00875772" w:rsidP="00875772">
            <w:pPr>
              <w:spacing w:after="0" w:line="240" w:lineRule="auto"/>
              <w:rPr>
                <w:rFonts w:cstheme="minorHAnsi"/>
                <w:sz w:val="20"/>
                <w:szCs w:val="20"/>
                <w:lang w:eastAsia="sk-SK"/>
              </w:rPr>
            </w:pPr>
            <w:r>
              <w:rPr>
                <w:rFonts w:cstheme="minorHAnsi"/>
                <w:sz w:val="20"/>
                <w:szCs w:val="20"/>
                <w:lang w:eastAsia="sk-SK"/>
              </w:rPr>
              <w:t>Bežné transfery</w:t>
            </w:r>
          </w:p>
        </w:tc>
        <w:tc>
          <w:tcPr>
            <w:tcW w:w="0" w:type="auto"/>
            <w:shd w:val="clear" w:color="auto" w:fill="EFEFEF"/>
            <w:noWrap/>
            <w:vAlign w:val="center"/>
          </w:tcPr>
          <w:p w14:paraId="25D98C74"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0,00</w:t>
            </w:r>
          </w:p>
        </w:tc>
        <w:tc>
          <w:tcPr>
            <w:tcW w:w="758" w:type="pct"/>
            <w:shd w:val="clear" w:color="auto" w:fill="EFEFEF"/>
            <w:noWrap/>
            <w:vAlign w:val="center"/>
          </w:tcPr>
          <w:p w14:paraId="25EE11D6"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79 000,00</w:t>
            </w:r>
          </w:p>
        </w:tc>
        <w:tc>
          <w:tcPr>
            <w:tcW w:w="576" w:type="pct"/>
            <w:shd w:val="clear" w:color="auto" w:fill="EFEFEF"/>
            <w:noWrap/>
            <w:vAlign w:val="center"/>
          </w:tcPr>
          <w:p w14:paraId="392F1476"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79 000,00</w:t>
            </w:r>
          </w:p>
        </w:tc>
        <w:tc>
          <w:tcPr>
            <w:tcW w:w="607" w:type="pct"/>
            <w:shd w:val="clear" w:color="auto" w:fill="EFEFEF"/>
            <w:noWrap/>
            <w:vAlign w:val="center"/>
          </w:tcPr>
          <w:p w14:paraId="5E30C4EA" w14:textId="77777777" w:rsidR="00875772" w:rsidRPr="004818E7" w:rsidRDefault="00875772" w:rsidP="00875772">
            <w:pPr>
              <w:spacing w:after="0" w:line="240" w:lineRule="auto"/>
              <w:jc w:val="right"/>
              <w:rPr>
                <w:rFonts w:cstheme="minorHAnsi"/>
                <w:sz w:val="20"/>
                <w:szCs w:val="20"/>
                <w:lang w:eastAsia="sk-SK"/>
              </w:rPr>
            </w:pPr>
            <w:r w:rsidRPr="004818E7">
              <w:rPr>
                <w:rFonts w:cs="Calibri"/>
                <w:color w:val="000000"/>
                <w:sz w:val="20"/>
                <w:szCs w:val="20"/>
              </w:rPr>
              <w:t>100,00%</w:t>
            </w:r>
          </w:p>
        </w:tc>
        <w:tc>
          <w:tcPr>
            <w:tcW w:w="1126" w:type="pct"/>
            <w:vMerge/>
            <w:shd w:val="clear" w:color="auto" w:fill="EFEFEF"/>
            <w:vAlign w:val="center"/>
          </w:tcPr>
          <w:p w14:paraId="0FFF1AE1" w14:textId="77777777" w:rsidR="00875772" w:rsidRPr="000F57A1" w:rsidRDefault="00875772" w:rsidP="00875772">
            <w:pPr>
              <w:spacing w:after="0" w:line="240" w:lineRule="auto"/>
              <w:rPr>
                <w:rFonts w:cstheme="minorHAnsi"/>
                <w:sz w:val="24"/>
                <w:szCs w:val="24"/>
                <w:lang w:eastAsia="sk-SK"/>
              </w:rPr>
            </w:pPr>
          </w:p>
        </w:tc>
      </w:tr>
    </w:tbl>
    <w:p w14:paraId="2B3D0E0D" w14:textId="77777777" w:rsidR="00875772" w:rsidRPr="000F57A1" w:rsidRDefault="00875772" w:rsidP="00875772">
      <w:pPr>
        <w:spacing w:after="0" w:line="240" w:lineRule="auto"/>
        <w:rPr>
          <w:rFonts w:cstheme="minorHAns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02"/>
        <w:gridCol w:w="630"/>
        <w:gridCol w:w="1492"/>
        <w:gridCol w:w="1283"/>
        <w:gridCol w:w="4159"/>
      </w:tblGrid>
      <w:tr w:rsidR="00875772" w:rsidRPr="000F57A1" w14:paraId="1A8505DC" w14:textId="77777777" w:rsidTr="00875772">
        <w:trPr>
          <w:tblCellSpacing w:w="15" w:type="dxa"/>
        </w:trPr>
        <w:tc>
          <w:tcPr>
            <w:tcW w:w="0" w:type="auto"/>
            <w:shd w:val="clear" w:color="auto" w:fill="C2D69B"/>
            <w:vAlign w:val="center"/>
            <w:hideMark/>
          </w:tcPr>
          <w:p w14:paraId="6050C317"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Zodpovednosť</w:t>
            </w:r>
          </w:p>
        </w:tc>
        <w:tc>
          <w:tcPr>
            <w:tcW w:w="0" w:type="auto"/>
            <w:gridSpan w:val="4"/>
            <w:shd w:val="clear" w:color="auto" w:fill="C2D69B"/>
            <w:vAlign w:val="center"/>
            <w:hideMark/>
          </w:tcPr>
          <w:p w14:paraId="1559364E"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Odbor zdravotníctva</w:t>
            </w:r>
            <w:r w:rsidRPr="000F57A1">
              <w:rPr>
                <w:rFonts w:cstheme="minorHAnsi"/>
                <w:sz w:val="20"/>
                <w:szCs w:val="20"/>
                <w:lang w:eastAsia="sk-SK"/>
              </w:rPr>
              <w:br/>
            </w:r>
          </w:p>
        </w:tc>
      </w:tr>
      <w:tr w:rsidR="00875772" w:rsidRPr="000F57A1" w14:paraId="34B9AFB0" w14:textId="77777777" w:rsidTr="00875772">
        <w:trPr>
          <w:tblCellSpacing w:w="15" w:type="dxa"/>
        </w:trPr>
        <w:tc>
          <w:tcPr>
            <w:tcW w:w="0" w:type="auto"/>
            <w:shd w:val="clear" w:color="auto" w:fill="C2D69B"/>
            <w:vAlign w:val="center"/>
            <w:hideMark/>
          </w:tcPr>
          <w:p w14:paraId="7C3E933F"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Cieľ</w:t>
            </w:r>
          </w:p>
        </w:tc>
        <w:tc>
          <w:tcPr>
            <w:tcW w:w="0" w:type="auto"/>
            <w:gridSpan w:val="4"/>
            <w:shd w:val="clear" w:color="auto" w:fill="C2D69B"/>
            <w:vAlign w:val="center"/>
            <w:hideMark/>
          </w:tcPr>
          <w:p w14:paraId="07A3DF49"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Zvyšovanie vzdelanostnej úrovne odbornej a laickej verejnosti</w:t>
            </w:r>
            <w:r w:rsidRPr="000F57A1">
              <w:rPr>
                <w:rFonts w:cstheme="minorHAnsi"/>
                <w:sz w:val="24"/>
                <w:szCs w:val="24"/>
                <w:lang w:eastAsia="sk-SK"/>
              </w:rPr>
              <w:t xml:space="preserve"> </w:t>
            </w:r>
          </w:p>
        </w:tc>
      </w:tr>
      <w:tr w:rsidR="00875772" w:rsidRPr="000F57A1" w14:paraId="7F060E19" w14:textId="77777777" w:rsidTr="00875772">
        <w:trPr>
          <w:tblCellSpacing w:w="15" w:type="dxa"/>
        </w:trPr>
        <w:tc>
          <w:tcPr>
            <w:tcW w:w="0" w:type="auto"/>
            <w:shd w:val="clear" w:color="auto" w:fill="C2D69B"/>
            <w:vAlign w:val="center"/>
            <w:hideMark/>
          </w:tcPr>
          <w:p w14:paraId="5295C74E"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Merateľný ukazovateľ</w:t>
            </w:r>
          </w:p>
        </w:tc>
        <w:tc>
          <w:tcPr>
            <w:tcW w:w="0" w:type="auto"/>
            <w:gridSpan w:val="4"/>
            <w:shd w:val="clear" w:color="auto" w:fill="C2D69B"/>
            <w:vAlign w:val="center"/>
            <w:hideMark/>
          </w:tcPr>
          <w:p w14:paraId="570BE968"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Počet realizovaných seminárov a školení</w:t>
            </w:r>
            <w:r w:rsidRPr="000F57A1">
              <w:rPr>
                <w:rFonts w:cstheme="minorHAnsi"/>
                <w:sz w:val="24"/>
                <w:szCs w:val="24"/>
                <w:lang w:eastAsia="sk-SK"/>
              </w:rPr>
              <w:t xml:space="preserve"> </w:t>
            </w:r>
          </w:p>
        </w:tc>
      </w:tr>
      <w:tr w:rsidR="00875772" w:rsidRPr="000F57A1" w14:paraId="215AC5B5" w14:textId="77777777" w:rsidTr="00875772">
        <w:trPr>
          <w:tblCellSpacing w:w="15" w:type="dxa"/>
        </w:trPr>
        <w:tc>
          <w:tcPr>
            <w:tcW w:w="0" w:type="auto"/>
            <w:shd w:val="clear" w:color="auto" w:fill="C2D69B"/>
            <w:vAlign w:val="center"/>
            <w:hideMark/>
          </w:tcPr>
          <w:p w14:paraId="2657D4B0"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Rok</w:t>
            </w:r>
          </w:p>
        </w:tc>
        <w:tc>
          <w:tcPr>
            <w:tcW w:w="0" w:type="auto"/>
            <w:shd w:val="clear" w:color="auto" w:fill="C2D69B"/>
            <w:vAlign w:val="center"/>
            <w:hideMark/>
          </w:tcPr>
          <w:p w14:paraId="1287244E"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Plán</w:t>
            </w:r>
          </w:p>
        </w:tc>
        <w:tc>
          <w:tcPr>
            <w:tcW w:w="0" w:type="auto"/>
            <w:shd w:val="clear" w:color="auto" w:fill="C2D69B"/>
            <w:vAlign w:val="center"/>
            <w:hideMark/>
          </w:tcPr>
          <w:p w14:paraId="658878EF"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Skutočnosť</w:t>
            </w:r>
          </w:p>
        </w:tc>
        <w:tc>
          <w:tcPr>
            <w:tcW w:w="0" w:type="auto"/>
            <w:shd w:val="clear" w:color="auto" w:fill="C2D69B"/>
            <w:vAlign w:val="center"/>
            <w:hideMark/>
          </w:tcPr>
          <w:p w14:paraId="3F94564B"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Plnenie</w:t>
            </w:r>
          </w:p>
        </w:tc>
        <w:tc>
          <w:tcPr>
            <w:tcW w:w="2000" w:type="pct"/>
            <w:shd w:val="clear" w:color="auto" w:fill="C2D69B"/>
            <w:vAlign w:val="center"/>
            <w:hideMark/>
          </w:tcPr>
          <w:p w14:paraId="38BF638C"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Poznámka</w:t>
            </w:r>
          </w:p>
        </w:tc>
      </w:tr>
      <w:tr w:rsidR="00875772" w:rsidRPr="000F57A1" w14:paraId="34B5505F" w14:textId="77777777" w:rsidTr="00875772">
        <w:trPr>
          <w:tblCellSpacing w:w="15" w:type="dxa"/>
        </w:trPr>
        <w:tc>
          <w:tcPr>
            <w:tcW w:w="0" w:type="auto"/>
            <w:shd w:val="clear" w:color="auto" w:fill="C2D69B"/>
            <w:vAlign w:val="center"/>
            <w:hideMark/>
          </w:tcPr>
          <w:p w14:paraId="325F6E0C"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2020</w:t>
            </w:r>
            <w:r w:rsidRPr="000F57A1">
              <w:rPr>
                <w:rFonts w:cstheme="minorHAnsi"/>
                <w:sz w:val="24"/>
                <w:szCs w:val="24"/>
                <w:lang w:eastAsia="sk-SK"/>
              </w:rPr>
              <w:t xml:space="preserve"> </w:t>
            </w:r>
          </w:p>
        </w:tc>
        <w:tc>
          <w:tcPr>
            <w:tcW w:w="0" w:type="auto"/>
            <w:shd w:val="clear" w:color="auto" w:fill="C2D69B"/>
            <w:noWrap/>
            <w:vAlign w:val="center"/>
            <w:hideMark/>
          </w:tcPr>
          <w:p w14:paraId="120D8C2B"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 4</w:t>
            </w:r>
            <w:r w:rsidRPr="000F57A1">
              <w:rPr>
                <w:rFonts w:cstheme="minorHAnsi"/>
                <w:sz w:val="24"/>
                <w:szCs w:val="24"/>
                <w:lang w:eastAsia="sk-SK"/>
              </w:rPr>
              <w:t xml:space="preserve"> </w:t>
            </w:r>
          </w:p>
        </w:tc>
        <w:tc>
          <w:tcPr>
            <w:tcW w:w="0" w:type="auto"/>
            <w:shd w:val="clear" w:color="auto" w:fill="C2D69B"/>
            <w:noWrap/>
            <w:vAlign w:val="center"/>
            <w:hideMark/>
          </w:tcPr>
          <w:p w14:paraId="2CC6FDE0"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 1</w:t>
            </w:r>
            <w:r w:rsidRPr="000F57A1">
              <w:rPr>
                <w:rFonts w:cstheme="minorHAnsi"/>
                <w:sz w:val="24"/>
                <w:szCs w:val="24"/>
                <w:lang w:eastAsia="sk-SK"/>
              </w:rPr>
              <w:t xml:space="preserve"> </w:t>
            </w:r>
          </w:p>
        </w:tc>
        <w:tc>
          <w:tcPr>
            <w:tcW w:w="0" w:type="auto"/>
            <w:shd w:val="clear" w:color="auto" w:fill="C2D69B"/>
            <w:vAlign w:val="center"/>
            <w:hideMark/>
          </w:tcPr>
          <w:p w14:paraId="69065350"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Čiastočne</w:t>
            </w:r>
            <w:r w:rsidRPr="000F57A1">
              <w:rPr>
                <w:rFonts w:cstheme="minorHAnsi"/>
                <w:sz w:val="24"/>
                <w:szCs w:val="24"/>
                <w:lang w:eastAsia="sk-SK"/>
              </w:rPr>
              <w:t xml:space="preserve"> </w:t>
            </w:r>
          </w:p>
        </w:tc>
        <w:tc>
          <w:tcPr>
            <w:tcW w:w="0" w:type="auto"/>
            <w:shd w:val="clear" w:color="auto" w:fill="C2D69B"/>
            <w:vAlign w:val="center"/>
            <w:hideMark/>
          </w:tcPr>
          <w:p w14:paraId="32B71535" w14:textId="77777777" w:rsidR="00875772" w:rsidRPr="000F57A1" w:rsidRDefault="00875772" w:rsidP="00875772">
            <w:pPr>
              <w:spacing w:after="0" w:line="240" w:lineRule="auto"/>
              <w:jc w:val="both"/>
              <w:rPr>
                <w:rFonts w:cstheme="minorHAnsi"/>
                <w:sz w:val="24"/>
                <w:szCs w:val="24"/>
                <w:lang w:eastAsia="sk-SK"/>
              </w:rPr>
            </w:pPr>
            <w:r w:rsidRPr="000F57A1">
              <w:rPr>
                <w:rFonts w:cstheme="minorHAnsi"/>
                <w:sz w:val="20"/>
                <w:szCs w:val="20"/>
                <w:lang w:eastAsia="sk-SK"/>
              </w:rPr>
              <w:t xml:space="preserve">Prednáška so "zdravotnou </w:t>
            </w:r>
            <w:proofErr w:type="spellStart"/>
            <w:r w:rsidRPr="000F57A1">
              <w:rPr>
                <w:rFonts w:cstheme="minorHAnsi"/>
                <w:sz w:val="20"/>
                <w:szCs w:val="20"/>
                <w:lang w:eastAsia="sk-SK"/>
              </w:rPr>
              <w:t>tématikou</w:t>
            </w:r>
            <w:proofErr w:type="spellEnd"/>
            <w:r w:rsidRPr="000F57A1">
              <w:rPr>
                <w:rFonts w:cstheme="minorHAnsi"/>
                <w:sz w:val="20"/>
                <w:szCs w:val="20"/>
                <w:lang w:eastAsia="sk-SK"/>
              </w:rPr>
              <w:t>" pre seniorov bola</w:t>
            </w:r>
            <w:r>
              <w:rPr>
                <w:rFonts w:cstheme="minorHAnsi"/>
                <w:sz w:val="20"/>
                <w:szCs w:val="20"/>
                <w:lang w:eastAsia="sk-SK"/>
              </w:rPr>
              <w:t xml:space="preserve"> vo februári 2020</w:t>
            </w:r>
            <w:r w:rsidRPr="000F57A1">
              <w:rPr>
                <w:rFonts w:cstheme="minorHAnsi"/>
                <w:sz w:val="20"/>
                <w:szCs w:val="20"/>
                <w:lang w:eastAsia="sk-SK"/>
              </w:rPr>
              <w:t xml:space="preserve"> zrealizovaná</w:t>
            </w:r>
            <w:r>
              <w:rPr>
                <w:rFonts w:cstheme="minorHAnsi"/>
                <w:sz w:val="20"/>
                <w:szCs w:val="20"/>
                <w:lang w:eastAsia="sk-SK"/>
              </w:rPr>
              <w:t xml:space="preserve">. </w:t>
            </w:r>
            <w:r w:rsidRPr="000F57A1">
              <w:rPr>
                <w:rFonts w:cstheme="minorHAnsi"/>
                <w:sz w:val="20"/>
                <w:szCs w:val="20"/>
                <w:lang w:eastAsia="sk-SK"/>
              </w:rPr>
              <w:t xml:space="preserve"> Vzhľadom na epidemiologickú situáciu s COVID-19 na základe odporúčania Úradu verejného zdravotníctva SR, nebola viac aktivita semináre/prednášky pre verejnosť realizovaná. Počas epidémie usmerňoval odbor zdravotníctva odbornú verejnosť, keď elektronickou formou prostredníctvom Registra zdravotníctva a Registra humánnej farmácie poskytovateľom zdravotnej starostlivosti spracovával a zasielal jednotlivé usmernenia a odporúčania. Pre laickú verejnosť zverejňoval informácie a usmernenia na webovej stránke. </w:t>
            </w:r>
          </w:p>
        </w:tc>
      </w:tr>
      <w:tr w:rsidR="00875772" w:rsidRPr="000F57A1" w14:paraId="0DA72D0C" w14:textId="77777777" w:rsidTr="00875772">
        <w:trPr>
          <w:tblCellSpacing w:w="15" w:type="dxa"/>
        </w:trPr>
        <w:tc>
          <w:tcPr>
            <w:tcW w:w="0" w:type="auto"/>
            <w:shd w:val="clear" w:color="auto" w:fill="C2D69B"/>
            <w:vAlign w:val="center"/>
            <w:hideMark/>
          </w:tcPr>
          <w:p w14:paraId="2AD9163E"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Cieľ</w:t>
            </w:r>
          </w:p>
        </w:tc>
        <w:tc>
          <w:tcPr>
            <w:tcW w:w="0" w:type="auto"/>
            <w:gridSpan w:val="4"/>
            <w:shd w:val="clear" w:color="auto" w:fill="C2D69B"/>
            <w:vAlign w:val="center"/>
            <w:hideMark/>
          </w:tcPr>
          <w:p w14:paraId="6537182C"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Zvyšovanie informovanosti občanov</w:t>
            </w:r>
            <w:r w:rsidRPr="000F57A1">
              <w:rPr>
                <w:rFonts w:cstheme="minorHAnsi"/>
                <w:sz w:val="24"/>
                <w:szCs w:val="24"/>
                <w:lang w:eastAsia="sk-SK"/>
              </w:rPr>
              <w:t xml:space="preserve"> </w:t>
            </w:r>
          </w:p>
        </w:tc>
      </w:tr>
      <w:tr w:rsidR="00875772" w:rsidRPr="000F57A1" w14:paraId="1DD85D71" w14:textId="77777777" w:rsidTr="00875772">
        <w:trPr>
          <w:tblCellSpacing w:w="15" w:type="dxa"/>
        </w:trPr>
        <w:tc>
          <w:tcPr>
            <w:tcW w:w="0" w:type="auto"/>
            <w:shd w:val="clear" w:color="auto" w:fill="C2D69B"/>
            <w:vAlign w:val="center"/>
            <w:hideMark/>
          </w:tcPr>
          <w:p w14:paraId="6177EFC3"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Merateľný ukazovateľ</w:t>
            </w:r>
          </w:p>
        </w:tc>
        <w:tc>
          <w:tcPr>
            <w:tcW w:w="0" w:type="auto"/>
            <w:gridSpan w:val="4"/>
            <w:shd w:val="clear" w:color="auto" w:fill="C2D69B"/>
            <w:vAlign w:val="center"/>
            <w:hideMark/>
          </w:tcPr>
          <w:p w14:paraId="5135F3D7"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Počet zverejnených informácií o prerozdelených obvodoch VLD a VLDD na web stránke BSK</w:t>
            </w:r>
            <w:r w:rsidRPr="000F57A1">
              <w:rPr>
                <w:rFonts w:cstheme="minorHAnsi"/>
                <w:sz w:val="24"/>
                <w:szCs w:val="24"/>
                <w:lang w:eastAsia="sk-SK"/>
              </w:rPr>
              <w:t xml:space="preserve"> </w:t>
            </w:r>
          </w:p>
        </w:tc>
      </w:tr>
      <w:tr w:rsidR="00875772" w:rsidRPr="000F57A1" w14:paraId="44CF6125" w14:textId="77777777" w:rsidTr="00875772">
        <w:trPr>
          <w:tblCellSpacing w:w="15" w:type="dxa"/>
        </w:trPr>
        <w:tc>
          <w:tcPr>
            <w:tcW w:w="0" w:type="auto"/>
            <w:shd w:val="clear" w:color="auto" w:fill="C2D69B"/>
            <w:vAlign w:val="center"/>
            <w:hideMark/>
          </w:tcPr>
          <w:p w14:paraId="108585D4"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Rok</w:t>
            </w:r>
          </w:p>
        </w:tc>
        <w:tc>
          <w:tcPr>
            <w:tcW w:w="0" w:type="auto"/>
            <w:shd w:val="clear" w:color="auto" w:fill="C2D69B"/>
            <w:vAlign w:val="center"/>
            <w:hideMark/>
          </w:tcPr>
          <w:p w14:paraId="6D6BDE52"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Plán</w:t>
            </w:r>
          </w:p>
        </w:tc>
        <w:tc>
          <w:tcPr>
            <w:tcW w:w="0" w:type="auto"/>
            <w:shd w:val="clear" w:color="auto" w:fill="C2D69B"/>
            <w:vAlign w:val="center"/>
            <w:hideMark/>
          </w:tcPr>
          <w:p w14:paraId="5E3CD47E"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Skutočnosť</w:t>
            </w:r>
          </w:p>
        </w:tc>
        <w:tc>
          <w:tcPr>
            <w:tcW w:w="0" w:type="auto"/>
            <w:shd w:val="clear" w:color="auto" w:fill="C2D69B"/>
            <w:vAlign w:val="center"/>
            <w:hideMark/>
          </w:tcPr>
          <w:p w14:paraId="5EB0C468"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Plnenie</w:t>
            </w:r>
          </w:p>
        </w:tc>
        <w:tc>
          <w:tcPr>
            <w:tcW w:w="2000" w:type="pct"/>
            <w:shd w:val="clear" w:color="auto" w:fill="C2D69B"/>
            <w:vAlign w:val="center"/>
            <w:hideMark/>
          </w:tcPr>
          <w:p w14:paraId="3E6BB36E"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Poznámka</w:t>
            </w:r>
          </w:p>
        </w:tc>
      </w:tr>
      <w:tr w:rsidR="00875772" w:rsidRPr="000F57A1" w14:paraId="39A33AC3" w14:textId="77777777" w:rsidTr="00875772">
        <w:trPr>
          <w:tblCellSpacing w:w="15" w:type="dxa"/>
        </w:trPr>
        <w:tc>
          <w:tcPr>
            <w:tcW w:w="0" w:type="auto"/>
            <w:shd w:val="clear" w:color="auto" w:fill="C2D69B"/>
            <w:vAlign w:val="center"/>
            <w:hideMark/>
          </w:tcPr>
          <w:p w14:paraId="62CEAEA4"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2020</w:t>
            </w:r>
            <w:r w:rsidRPr="000F57A1">
              <w:rPr>
                <w:rFonts w:cstheme="minorHAnsi"/>
                <w:sz w:val="24"/>
                <w:szCs w:val="24"/>
                <w:lang w:eastAsia="sk-SK"/>
              </w:rPr>
              <w:t xml:space="preserve"> </w:t>
            </w:r>
          </w:p>
        </w:tc>
        <w:tc>
          <w:tcPr>
            <w:tcW w:w="0" w:type="auto"/>
            <w:shd w:val="clear" w:color="auto" w:fill="C2D69B"/>
            <w:noWrap/>
            <w:vAlign w:val="center"/>
            <w:hideMark/>
          </w:tcPr>
          <w:p w14:paraId="2E0EC07E"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 100</w:t>
            </w:r>
            <w:r w:rsidRPr="000F57A1">
              <w:rPr>
                <w:rFonts w:cstheme="minorHAnsi"/>
                <w:sz w:val="24"/>
                <w:szCs w:val="24"/>
                <w:lang w:eastAsia="sk-SK"/>
              </w:rPr>
              <w:t xml:space="preserve"> </w:t>
            </w:r>
          </w:p>
        </w:tc>
        <w:tc>
          <w:tcPr>
            <w:tcW w:w="0" w:type="auto"/>
            <w:shd w:val="clear" w:color="auto" w:fill="C2D69B"/>
            <w:noWrap/>
            <w:vAlign w:val="center"/>
            <w:hideMark/>
          </w:tcPr>
          <w:p w14:paraId="06FB5F5E"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 100</w:t>
            </w:r>
            <w:r w:rsidRPr="000F57A1">
              <w:rPr>
                <w:rFonts w:cstheme="minorHAnsi"/>
                <w:sz w:val="24"/>
                <w:szCs w:val="24"/>
                <w:lang w:eastAsia="sk-SK"/>
              </w:rPr>
              <w:t xml:space="preserve"> </w:t>
            </w:r>
          </w:p>
        </w:tc>
        <w:tc>
          <w:tcPr>
            <w:tcW w:w="0" w:type="auto"/>
            <w:shd w:val="clear" w:color="auto" w:fill="C2D69B"/>
            <w:vAlign w:val="center"/>
            <w:hideMark/>
          </w:tcPr>
          <w:p w14:paraId="74865876"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Splnené</w:t>
            </w:r>
            <w:r w:rsidRPr="000F57A1">
              <w:rPr>
                <w:rFonts w:cstheme="minorHAnsi"/>
                <w:sz w:val="24"/>
                <w:szCs w:val="24"/>
                <w:lang w:eastAsia="sk-SK"/>
              </w:rPr>
              <w:t xml:space="preserve"> </w:t>
            </w:r>
          </w:p>
        </w:tc>
        <w:tc>
          <w:tcPr>
            <w:tcW w:w="0" w:type="auto"/>
            <w:shd w:val="clear" w:color="auto" w:fill="C2D69B"/>
            <w:vAlign w:val="center"/>
            <w:hideMark/>
          </w:tcPr>
          <w:p w14:paraId="60FC935D" w14:textId="77777777" w:rsidR="00875772" w:rsidRPr="00DF441F" w:rsidRDefault="00875772" w:rsidP="00875772">
            <w:pPr>
              <w:spacing w:after="0" w:line="240" w:lineRule="auto"/>
              <w:jc w:val="both"/>
              <w:rPr>
                <w:rFonts w:cstheme="minorHAnsi"/>
                <w:sz w:val="18"/>
                <w:szCs w:val="18"/>
                <w:lang w:eastAsia="sk-SK"/>
              </w:rPr>
            </w:pPr>
            <w:r w:rsidRPr="007B005B">
              <w:rPr>
                <w:rFonts w:cstheme="minorHAnsi"/>
                <w:sz w:val="20"/>
                <w:szCs w:val="20"/>
                <w:lang w:eastAsia="sk-SK"/>
              </w:rPr>
              <w:t xml:space="preserve">V roku 2020 činnosť ukončilo </w:t>
            </w:r>
            <w:r>
              <w:rPr>
                <w:rFonts w:cstheme="minorHAnsi"/>
                <w:sz w:val="20"/>
                <w:szCs w:val="20"/>
                <w:lang w:eastAsia="sk-SK"/>
              </w:rPr>
              <w:t>6</w:t>
            </w:r>
            <w:r w:rsidRPr="007B005B">
              <w:rPr>
                <w:rFonts w:cstheme="minorHAnsi"/>
                <w:sz w:val="20"/>
                <w:szCs w:val="20"/>
                <w:lang w:eastAsia="sk-SK"/>
              </w:rPr>
              <w:t xml:space="preserve"> poskytovateľov v odbore všeobecná zdravotná starostlivosť o deti a dorast a</w:t>
            </w:r>
            <w:r>
              <w:rPr>
                <w:rFonts w:cstheme="minorHAnsi"/>
                <w:sz w:val="20"/>
                <w:szCs w:val="20"/>
                <w:lang w:eastAsia="sk-SK"/>
              </w:rPr>
              <w:t> 9 poskytovateľov</w:t>
            </w:r>
            <w:r w:rsidRPr="007B005B">
              <w:rPr>
                <w:rFonts w:cstheme="minorHAnsi"/>
                <w:sz w:val="20"/>
                <w:szCs w:val="20"/>
                <w:lang w:eastAsia="sk-SK"/>
              </w:rPr>
              <w:t xml:space="preserve"> všeobecné lekárstvo pre dospelých</w:t>
            </w:r>
            <w:r>
              <w:rPr>
                <w:rFonts w:cstheme="minorHAnsi"/>
                <w:sz w:val="20"/>
                <w:szCs w:val="20"/>
                <w:lang w:eastAsia="sk-SK"/>
              </w:rPr>
              <w:t xml:space="preserve">. </w:t>
            </w:r>
            <w:r w:rsidRPr="007B005B">
              <w:rPr>
                <w:rFonts w:cstheme="minorHAnsi"/>
                <w:sz w:val="20"/>
                <w:szCs w:val="20"/>
                <w:lang w:eastAsia="sk-SK"/>
              </w:rPr>
              <w:t>Pr</w:t>
            </w:r>
            <w:r>
              <w:rPr>
                <w:rFonts w:cstheme="minorHAnsi"/>
                <w:sz w:val="20"/>
                <w:szCs w:val="20"/>
                <w:lang w:eastAsia="sk-SK"/>
              </w:rPr>
              <w:t>e zabezpečenie informovanosti boli</w:t>
            </w:r>
            <w:r w:rsidRPr="007B005B">
              <w:rPr>
                <w:rFonts w:cstheme="minorHAnsi"/>
                <w:sz w:val="20"/>
                <w:szCs w:val="20"/>
                <w:lang w:eastAsia="sk-SK"/>
              </w:rPr>
              <w:t xml:space="preserve"> odborom zdravotníctva údaje o odovzdaní zdravotnej dokumentácie zv</w:t>
            </w:r>
            <w:r>
              <w:rPr>
                <w:rFonts w:cstheme="minorHAnsi"/>
                <w:sz w:val="20"/>
                <w:szCs w:val="20"/>
                <w:lang w:eastAsia="sk-SK"/>
              </w:rPr>
              <w:t>erejňované a občania si ich môžu</w:t>
            </w:r>
            <w:r w:rsidRPr="007B005B">
              <w:rPr>
                <w:rFonts w:cstheme="minorHAnsi"/>
                <w:sz w:val="20"/>
                <w:szCs w:val="20"/>
                <w:lang w:eastAsia="sk-SK"/>
              </w:rPr>
              <w:t xml:space="preserve"> overiť</w:t>
            </w:r>
            <w:r w:rsidRPr="000F57A1">
              <w:rPr>
                <w:rFonts w:cstheme="minorHAnsi"/>
                <w:sz w:val="20"/>
                <w:szCs w:val="20"/>
                <w:lang w:eastAsia="sk-SK"/>
              </w:rPr>
              <w:t xml:space="preserve"> na stránke: </w:t>
            </w:r>
            <w:r w:rsidRPr="00DF441F">
              <w:rPr>
                <w:rFonts w:cstheme="minorHAnsi"/>
                <w:sz w:val="18"/>
                <w:szCs w:val="18"/>
                <w:lang w:eastAsia="sk-SK"/>
              </w:rPr>
              <w:t xml:space="preserve">https://bratislavskykraj.sk/zdravie/hladate-svoju-zdravotnu-kartu/lekari-od-ktorych-ma-bsk-zdravotnu-dokumentaciu-v-uschove/ </w:t>
            </w:r>
          </w:p>
          <w:p w14:paraId="54AE3139" w14:textId="77777777" w:rsidR="00875772" w:rsidRPr="000F57A1" w:rsidRDefault="00875772" w:rsidP="00875772">
            <w:pPr>
              <w:spacing w:after="0" w:line="240" w:lineRule="auto"/>
              <w:jc w:val="both"/>
              <w:rPr>
                <w:rFonts w:cstheme="minorHAnsi"/>
                <w:sz w:val="24"/>
                <w:szCs w:val="24"/>
                <w:lang w:eastAsia="sk-SK"/>
              </w:rPr>
            </w:pPr>
            <w:r w:rsidRPr="000F57A1">
              <w:rPr>
                <w:rFonts w:cstheme="minorHAnsi"/>
                <w:sz w:val="20"/>
                <w:szCs w:val="20"/>
                <w:lang w:eastAsia="sk-SK"/>
              </w:rPr>
              <w:t xml:space="preserve">Zároveň v súvislosti s ukončením/pozastavením činnosti odbor zdravotníctva </w:t>
            </w:r>
            <w:r>
              <w:rPr>
                <w:rFonts w:cstheme="minorHAnsi"/>
                <w:sz w:val="20"/>
                <w:szCs w:val="20"/>
                <w:lang w:eastAsia="sk-SK"/>
              </w:rPr>
              <w:t>sprístupnil aktualizované</w:t>
            </w:r>
            <w:r w:rsidRPr="000F57A1">
              <w:rPr>
                <w:rFonts w:cstheme="minorHAnsi"/>
                <w:sz w:val="20"/>
                <w:szCs w:val="20"/>
                <w:lang w:eastAsia="sk-SK"/>
              </w:rPr>
              <w:t xml:space="preserve"> prerozdelenie obvodov, ktoré je pre občanov zverejnené na stránke: </w:t>
            </w:r>
            <w:r>
              <w:rPr>
                <w:rFonts w:cstheme="minorHAnsi"/>
                <w:sz w:val="20"/>
                <w:szCs w:val="20"/>
                <w:lang w:eastAsia="sk-SK"/>
              </w:rPr>
              <w:br/>
            </w:r>
            <w:r w:rsidRPr="00DF441F">
              <w:rPr>
                <w:rFonts w:cstheme="minorHAnsi"/>
                <w:sz w:val="18"/>
                <w:szCs w:val="18"/>
                <w:lang w:eastAsia="sk-SK"/>
              </w:rPr>
              <w:t>https://bratislavskykraj.sk/zdravie/najdite-si-lekara-podla-svojho-bydliska/</w:t>
            </w:r>
            <w:r w:rsidRPr="000F57A1">
              <w:rPr>
                <w:rFonts w:cstheme="minorHAnsi"/>
                <w:sz w:val="20"/>
                <w:szCs w:val="20"/>
                <w:lang w:eastAsia="sk-SK"/>
              </w:rPr>
              <w:t xml:space="preserve"> </w:t>
            </w:r>
          </w:p>
        </w:tc>
      </w:tr>
      <w:tr w:rsidR="00875772" w:rsidRPr="000F57A1" w14:paraId="71211C46" w14:textId="77777777" w:rsidTr="00875772">
        <w:trPr>
          <w:tblCellSpacing w:w="15" w:type="dxa"/>
        </w:trPr>
        <w:tc>
          <w:tcPr>
            <w:tcW w:w="0" w:type="auto"/>
            <w:shd w:val="clear" w:color="auto" w:fill="C2D69B"/>
            <w:vAlign w:val="center"/>
            <w:hideMark/>
          </w:tcPr>
          <w:p w14:paraId="461229A0"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Cieľ</w:t>
            </w:r>
          </w:p>
        </w:tc>
        <w:tc>
          <w:tcPr>
            <w:tcW w:w="0" w:type="auto"/>
            <w:gridSpan w:val="4"/>
            <w:shd w:val="clear" w:color="auto" w:fill="C2D69B"/>
            <w:vAlign w:val="center"/>
            <w:hideMark/>
          </w:tcPr>
          <w:p w14:paraId="41D3B059"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Zvyšovanie kvality poskytovanej zdravotnej starostlivosti</w:t>
            </w:r>
            <w:r w:rsidRPr="000F57A1">
              <w:rPr>
                <w:rFonts w:cstheme="minorHAnsi"/>
                <w:sz w:val="24"/>
                <w:szCs w:val="24"/>
                <w:lang w:eastAsia="sk-SK"/>
              </w:rPr>
              <w:t xml:space="preserve"> </w:t>
            </w:r>
          </w:p>
        </w:tc>
      </w:tr>
      <w:tr w:rsidR="00875772" w:rsidRPr="000F57A1" w14:paraId="55BEB1A8" w14:textId="77777777" w:rsidTr="00875772">
        <w:trPr>
          <w:tblCellSpacing w:w="15" w:type="dxa"/>
        </w:trPr>
        <w:tc>
          <w:tcPr>
            <w:tcW w:w="0" w:type="auto"/>
            <w:shd w:val="clear" w:color="auto" w:fill="C2D69B"/>
            <w:vAlign w:val="center"/>
            <w:hideMark/>
          </w:tcPr>
          <w:p w14:paraId="1E469062"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Merateľný ukazovateľ</w:t>
            </w:r>
          </w:p>
        </w:tc>
        <w:tc>
          <w:tcPr>
            <w:tcW w:w="0" w:type="auto"/>
            <w:gridSpan w:val="4"/>
            <w:shd w:val="clear" w:color="auto" w:fill="C2D69B"/>
            <w:vAlign w:val="center"/>
            <w:hideMark/>
          </w:tcPr>
          <w:p w14:paraId="141DC942" w14:textId="77777777" w:rsidR="00875772" w:rsidRPr="000F57A1" w:rsidRDefault="00875772" w:rsidP="00875772">
            <w:pPr>
              <w:spacing w:after="0" w:line="240" w:lineRule="auto"/>
              <w:rPr>
                <w:rFonts w:cstheme="minorHAnsi"/>
                <w:sz w:val="24"/>
                <w:szCs w:val="24"/>
                <w:lang w:eastAsia="sk-SK"/>
              </w:rPr>
            </w:pPr>
            <w:r w:rsidRPr="000F57A1">
              <w:rPr>
                <w:rFonts w:cstheme="minorHAnsi"/>
                <w:sz w:val="20"/>
                <w:szCs w:val="20"/>
                <w:lang w:eastAsia="sk-SK"/>
              </w:rPr>
              <w:t>Počet realizovaných štátnych dozorov u poskytovateľov zdravotnej starostlivosti</w:t>
            </w:r>
            <w:r w:rsidRPr="000F57A1">
              <w:rPr>
                <w:rFonts w:cstheme="minorHAnsi"/>
                <w:sz w:val="24"/>
                <w:szCs w:val="24"/>
                <w:lang w:eastAsia="sk-SK"/>
              </w:rPr>
              <w:t xml:space="preserve"> </w:t>
            </w:r>
          </w:p>
        </w:tc>
      </w:tr>
      <w:tr w:rsidR="00875772" w:rsidRPr="000F57A1" w14:paraId="32C8BB07" w14:textId="77777777" w:rsidTr="00875772">
        <w:trPr>
          <w:tblCellSpacing w:w="15" w:type="dxa"/>
        </w:trPr>
        <w:tc>
          <w:tcPr>
            <w:tcW w:w="0" w:type="auto"/>
            <w:shd w:val="clear" w:color="auto" w:fill="C2D69B"/>
            <w:vAlign w:val="center"/>
            <w:hideMark/>
          </w:tcPr>
          <w:p w14:paraId="0FB25B37"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Rok</w:t>
            </w:r>
          </w:p>
        </w:tc>
        <w:tc>
          <w:tcPr>
            <w:tcW w:w="0" w:type="auto"/>
            <w:shd w:val="clear" w:color="auto" w:fill="C2D69B"/>
            <w:vAlign w:val="center"/>
            <w:hideMark/>
          </w:tcPr>
          <w:p w14:paraId="48621702"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Plán</w:t>
            </w:r>
          </w:p>
        </w:tc>
        <w:tc>
          <w:tcPr>
            <w:tcW w:w="0" w:type="auto"/>
            <w:shd w:val="clear" w:color="auto" w:fill="C2D69B"/>
            <w:vAlign w:val="center"/>
            <w:hideMark/>
          </w:tcPr>
          <w:p w14:paraId="7619933F"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Skutočnosť</w:t>
            </w:r>
          </w:p>
        </w:tc>
        <w:tc>
          <w:tcPr>
            <w:tcW w:w="0" w:type="auto"/>
            <w:shd w:val="clear" w:color="auto" w:fill="C2D69B"/>
            <w:vAlign w:val="center"/>
            <w:hideMark/>
          </w:tcPr>
          <w:p w14:paraId="4E32CAD4"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b/>
                <w:bCs/>
                <w:sz w:val="20"/>
                <w:szCs w:val="20"/>
                <w:lang w:eastAsia="sk-SK"/>
              </w:rPr>
              <w:t>Plnenie</w:t>
            </w:r>
          </w:p>
        </w:tc>
        <w:tc>
          <w:tcPr>
            <w:tcW w:w="2000" w:type="pct"/>
            <w:shd w:val="clear" w:color="auto" w:fill="C2D69B"/>
            <w:vAlign w:val="center"/>
            <w:hideMark/>
          </w:tcPr>
          <w:p w14:paraId="0D9BF312" w14:textId="77777777" w:rsidR="00875772" w:rsidRPr="000F57A1" w:rsidRDefault="00875772" w:rsidP="00875772">
            <w:pPr>
              <w:spacing w:after="0" w:line="240" w:lineRule="auto"/>
              <w:rPr>
                <w:rFonts w:cstheme="minorHAnsi"/>
                <w:sz w:val="24"/>
                <w:szCs w:val="24"/>
                <w:lang w:eastAsia="sk-SK"/>
              </w:rPr>
            </w:pPr>
            <w:r w:rsidRPr="000F57A1">
              <w:rPr>
                <w:rFonts w:cstheme="minorHAnsi"/>
                <w:b/>
                <w:bCs/>
                <w:sz w:val="20"/>
                <w:szCs w:val="20"/>
                <w:lang w:eastAsia="sk-SK"/>
              </w:rPr>
              <w:t>Poznámka</w:t>
            </w:r>
          </w:p>
        </w:tc>
      </w:tr>
      <w:tr w:rsidR="00875772" w:rsidRPr="000F57A1" w14:paraId="293B8A85" w14:textId="77777777" w:rsidTr="00875772">
        <w:trPr>
          <w:tblCellSpacing w:w="15" w:type="dxa"/>
        </w:trPr>
        <w:tc>
          <w:tcPr>
            <w:tcW w:w="0" w:type="auto"/>
            <w:shd w:val="clear" w:color="auto" w:fill="C2D69B"/>
            <w:vAlign w:val="center"/>
            <w:hideMark/>
          </w:tcPr>
          <w:p w14:paraId="59BBCBF1"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2020</w:t>
            </w:r>
            <w:r w:rsidRPr="000F57A1">
              <w:rPr>
                <w:rFonts w:cstheme="minorHAnsi"/>
                <w:sz w:val="24"/>
                <w:szCs w:val="24"/>
                <w:lang w:eastAsia="sk-SK"/>
              </w:rPr>
              <w:t xml:space="preserve"> </w:t>
            </w:r>
          </w:p>
        </w:tc>
        <w:tc>
          <w:tcPr>
            <w:tcW w:w="0" w:type="auto"/>
            <w:shd w:val="clear" w:color="auto" w:fill="C2D69B"/>
            <w:noWrap/>
            <w:vAlign w:val="center"/>
            <w:hideMark/>
          </w:tcPr>
          <w:p w14:paraId="148BB292"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 36</w:t>
            </w:r>
            <w:r w:rsidRPr="000F57A1">
              <w:rPr>
                <w:rFonts w:cstheme="minorHAnsi"/>
                <w:sz w:val="24"/>
                <w:szCs w:val="24"/>
                <w:lang w:eastAsia="sk-SK"/>
              </w:rPr>
              <w:t xml:space="preserve"> </w:t>
            </w:r>
          </w:p>
        </w:tc>
        <w:tc>
          <w:tcPr>
            <w:tcW w:w="0" w:type="auto"/>
            <w:shd w:val="clear" w:color="auto" w:fill="C2D69B"/>
            <w:noWrap/>
            <w:vAlign w:val="center"/>
            <w:hideMark/>
          </w:tcPr>
          <w:p w14:paraId="4E4E5298" w14:textId="77777777" w:rsidR="00875772" w:rsidRPr="000F57A1" w:rsidRDefault="00875772" w:rsidP="00875772">
            <w:pPr>
              <w:spacing w:after="0" w:line="240" w:lineRule="auto"/>
              <w:jc w:val="center"/>
              <w:rPr>
                <w:rFonts w:cstheme="minorHAnsi"/>
                <w:sz w:val="24"/>
                <w:szCs w:val="24"/>
                <w:lang w:eastAsia="sk-SK"/>
              </w:rPr>
            </w:pPr>
            <w:r w:rsidRPr="00C04604">
              <w:rPr>
                <w:rFonts w:cstheme="minorHAnsi"/>
                <w:sz w:val="20"/>
                <w:szCs w:val="20"/>
                <w:lang w:eastAsia="sk-SK"/>
              </w:rPr>
              <w:t> 3</w:t>
            </w:r>
            <w:r w:rsidRPr="00C04604">
              <w:rPr>
                <w:rFonts w:cstheme="minorHAnsi"/>
                <w:sz w:val="24"/>
                <w:szCs w:val="24"/>
                <w:lang w:eastAsia="sk-SK"/>
              </w:rPr>
              <w:t xml:space="preserve"> </w:t>
            </w:r>
          </w:p>
        </w:tc>
        <w:tc>
          <w:tcPr>
            <w:tcW w:w="0" w:type="auto"/>
            <w:shd w:val="clear" w:color="auto" w:fill="C2D69B"/>
            <w:vAlign w:val="center"/>
            <w:hideMark/>
          </w:tcPr>
          <w:p w14:paraId="2DC37CF8" w14:textId="77777777" w:rsidR="00875772" w:rsidRPr="000F57A1" w:rsidRDefault="00875772" w:rsidP="00875772">
            <w:pPr>
              <w:spacing w:after="0" w:line="240" w:lineRule="auto"/>
              <w:jc w:val="center"/>
              <w:rPr>
                <w:rFonts w:cstheme="minorHAnsi"/>
                <w:sz w:val="24"/>
                <w:szCs w:val="24"/>
                <w:lang w:eastAsia="sk-SK"/>
              </w:rPr>
            </w:pPr>
            <w:r w:rsidRPr="000F57A1">
              <w:rPr>
                <w:rFonts w:cstheme="minorHAnsi"/>
                <w:sz w:val="20"/>
                <w:szCs w:val="20"/>
                <w:lang w:eastAsia="sk-SK"/>
              </w:rPr>
              <w:t>Čiastočne</w:t>
            </w:r>
            <w:r w:rsidRPr="000F57A1">
              <w:rPr>
                <w:rFonts w:cstheme="minorHAnsi"/>
                <w:sz w:val="24"/>
                <w:szCs w:val="24"/>
                <w:lang w:eastAsia="sk-SK"/>
              </w:rPr>
              <w:t xml:space="preserve"> </w:t>
            </w:r>
          </w:p>
        </w:tc>
        <w:tc>
          <w:tcPr>
            <w:tcW w:w="0" w:type="auto"/>
            <w:shd w:val="clear" w:color="auto" w:fill="C2D69B"/>
            <w:vAlign w:val="center"/>
            <w:hideMark/>
          </w:tcPr>
          <w:p w14:paraId="3F9DF136" w14:textId="77777777" w:rsidR="00875772" w:rsidRPr="000F57A1" w:rsidRDefault="00875772" w:rsidP="00875772">
            <w:pPr>
              <w:spacing w:after="0" w:line="240" w:lineRule="auto"/>
              <w:jc w:val="both"/>
              <w:rPr>
                <w:rFonts w:cstheme="minorHAnsi"/>
                <w:sz w:val="24"/>
                <w:szCs w:val="24"/>
                <w:lang w:eastAsia="sk-SK"/>
              </w:rPr>
            </w:pPr>
            <w:r w:rsidRPr="0080629F">
              <w:rPr>
                <w:rFonts w:cstheme="minorHAnsi"/>
                <w:sz w:val="20"/>
                <w:szCs w:val="20"/>
                <w:lang w:eastAsia="sk-SK"/>
              </w:rPr>
              <w:t>V roku 2020 boli vzhľadom na epidemiologickú situáciu s COVID-19 odborom zdravotníctva vykonávané dozory na diaľku – takto bolo vykonaných</w:t>
            </w:r>
            <w:r>
              <w:rPr>
                <w:rFonts w:cstheme="minorHAnsi"/>
                <w:sz w:val="20"/>
                <w:szCs w:val="20"/>
                <w:lang w:eastAsia="sk-SK"/>
              </w:rPr>
              <w:t xml:space="preserve"> 305 </w:t>
            </w:r>
            <w:r w:rsidRPr="0080629F">
              <w:rPr>
                <w:rFonts w:cstheme="minorHAnsi"/>
                <w:sz w:val="20"/>
                <w:szCs w:val="20"/>
                <w:lang w:eastAsia="sk-SK"/>
              </w:rPr>
              <w:t xml:space="preserve">dozorov, 3 dozory boli vykonané </w:t>
            </w:r>
            <w:r w:rsidRPr="0080629F">
              <w:rPr>
                <w:rFonts w:cstheme="minorHAnsi"/>
                <w:sz w:val="20"/>
                <w:szCs w:val="20"/>
                <w:lang w:eastAsia="sk-SK"/>
              </w:rPr>
              <w:lastRenderedPageBreak/>
              <w:t>priamo na mieste u poskytovateľa zdravotnej starostlivosti.</w:t>
            </w:r>
            <w:r w:rsidRPr="000F57A1">
              <w:rPr>
                <w:rFonts w:cstheme="minorHAnsi"/>
                <w:sz w:val="20"/>
                <w:szCs w:val="20"/>
                <w:lang w:eastAsia="sk-SK"/>
              </w:rPr>
              <w:t xml:space="preserve"> </w:t>
            </w:r>
          </w:p>
        </w:tc>
      </w:tr>
    </w:tbl>
    <w:p w14:paraId="280A6D7C" w14:textId="77777777" w:rsidR="00875772" w:rsidRDefault="00875772" w:rsidP="00875772">
      <w:pPr>
        <w:spacing w:after="0"/>
        <w:jc w:val="both"/>
        <w:rPr>
          <w:rFonts w:cstheme="minorHAnsi"/>
          <w:b/>
          <w:bCs/>
          <w:lang w:eastAsia="sk-SK"/>
        </w:rPr>
      </w:pPr>
    </w:p>
    <w:p w14:paraId="05B21EB1" w14:textId="40806B9E" w:rsidR="00C81BB2" w:rsidRDefault="00875772" w:rsidP="00875772">
      <w:pPr>
        <w:spacing w:after="0"/>
        <w:jc w:val="both"/>
        <w:rPr>
          <w:rFonts w:cstheme="minorHAnsi"/>
          <w:lang w:eastAsia="sk-SK"/>
        </w:rPr>
      </w:pPr>
      <w:r w:rsidRPr="008108CB">
        <w:rPr>
          <w:rFonts w:cstheme="minorHAnsi"/>
          <w:b/>
          <w:bCs/>
          <w:lang w:eastAsia="sk-SK"/>
        </w:rPr>
        <w:t xml:space="preserve">Komentár: </w:t>
      </w:r>
      <w:r w:rsidR="00C813B3">
        <w:rPr>
          <w:rFonts w:cstheme="minorHAnsi"/>
          <w:lang w:eastAsia="sk-SK"/>
        </w:rPr>
        <w:t>P</w:t>
      </w:r>
      <w:r w:rsidRPr="008108CB">
        <w:rPr>
          <w:rFonts w:cstheme="minorHAnsi"/>
          <w:lang w:eastAsia="sk-SK"/>
        </w:rPr>
        <w:t>lánované výdavky zabezpeč</w:t>
      </w:r>
      <w:r>
        <w:rPr>
          <w:rFonts w:cstheme="minorHAnsi"/>
          <w:lang w:eastAsia="sk-SK"/>
        </w:rPr>
        <w:t xml:space="preserve">ovali </w:t>
      </w:r>
      <w:r w:rsidRPr="008108CB">
        <w:rPr>
          <w:rFonts w:cstheme="minorHAnsi"/>
          <w:lang w:eastAsia="sk-SK"/>
        </w:rPr>
        <w:t>najmä činnosti smerujúce ku skvalitňovaniu poskytovania zdravotnej starostlivosti v nadväznosti na plnenie úloh národných programov podpory zdravia a priorít regionálnej zdravotnej politiky</w:t>
      </w:r>
      <w:r w:rsidR="00C81BB2">
        <w:rPr>
          <w:rFonts w:cstheme="minorHAnsi"/>
          <w:lang w:eastAsia="sk-SK"/>
        </w:rPr>
        <w:t>,</w:t>
      </w:r>
      <w:r w:rsidRPr="008108CB">
        <w:rPr>
          <w:rFonts w:cstheme="minorHAnsi"/>
          <w:lang w:eastAsia="sk-SK"/>
        </w:rPr>
        <w:t xml:space="preserve"> v súlade s §46 ods.1 zákona 576/2004 Z. z. o zdravotnej starostlivosti, službách súvisiacich s poskytovaním zdravotnej starostlivosti a o zmene a doplnení niektorých zákonov</w:t>
      </w:r>
      <w:r w:rsidR="00C813B3">
        <w:rPr>
          <w:rFonts w:cstheme="minorHAnsi"/>
          <w:lang w:eastAsia="sk-SK"/>
        </w:rPr>
        <w:t>, ale aj činnosti súvisiace s </w:t>
      </w:r>
      <w:proofErr w:type="spellStart"/>
      <w:r w:rsidR="00C813B3">
        <w:rPr>
          <w:rFonts w:cstheme="minorHAnsi"/>
          <w:lang w:eastAsia="sk-SK"/>
        </w:rPr>
        <w:t>pandemickou</w:t>
      </w:r>
      <w:proofErr w:type="spellEnd"/>
      <w:r w:rsidR="00C813B3">
        <w:rPr>
          <w:rFonts w:cstheme="minorHAnsi"/>
          <w:lang w:eastAsia="sk-SK"/>
        </w:rPr>
        <w:t xml:space="preserve"> situáciou.</w:t>
      </w:r>
    </w:p>
    <w:p w14:paraId="5A451134" w14:textId="333488C8" w:rsidR="00C81BB2" w:rsidRDefault="00875772" w:rsidP="00875772">
      <w:pPr>
        <w:spacing w:after="0"/>
        <w:jc w:val="both"/>
        <w:rPr>
          <w:rFonts w:cstheme="minorHAnsi"/>
          <w:lang w:eastAsia="sk-SK"/>
        </w:rPr>
      </w:pPr>
      <w:r w:rsidRPr="008108CB">
        <w:rPr>
          <w:rFonts w:cstheme="minorHAnsi"/>
          <w:lang w:eastAsia="sk-SK"/>
        </w:rPr>
        <w:t>V roku 2020 bol</w:t>
      </w:r>
      <w:r w:rsidR="00C81BB2">
        <w:rPr>
          <w:rFonts w:cstheme="minorHAnsi"/>
          <w:lang w:eastAsia="sk-SK"/>
        </w:rPr>
        <w:t xml:space="preserve">a značná časť rozpočtu čerpaná, a to vo výške </w:t>
      </w:r>
      <w:r w:rsidR="00C81BB2" w:rsidRPr="00C81BB2">
        <w:rPr>
          <w:rFonts w:cstheme="minorHAnsi"/>
          <w:lang w:eastAsia="sk-SK"/>
        </w:rPr>
        <w:t>703</w:t>
      </w:r>
      <w:r w:rsidR="00C81BB2">
        <w:rPr>
          <w:rFonts w:cstheme="minorHAnsi"/>
          <w:lang w:eastAsia="sk-SK"/>
        </w:rPr>
        <w:t xml:space="preserve"> </w:t>
      </w:r>
      <w:r w:rsidR="00C81BB2" w:rsidRPr="00C81BB2">
        <w:rPr>
          <w:rFonts w:cstheme="minorHAnsi"/>
          <w:lang w:eastAsia="sk-SK"/>
        </w:rPr>
        <w:t>736</w:t>
      </w:r>
      <w:r w:rsidR="00C81BB2">
        <w:rPr>
          <w:rFonts w:cstheme="minorHAnsi"/>
          <w:lang w:eastAsia="sk-SK"/>
        </w:rPr>
        <w:t xml:space="preserve"> EUR, v zmysle </w:t>
      </w:r>
      <w:r w:rsidR="00C81BB2" w:rsidRPr="00C81BB2">
        <w:rPr>
          <w:rFonts w:cstheme="minorHAnsi"/>
          <w:lang w:eastAsia="sk-SK"/>
        </w:rPr>
        <w:t>Zmluv</w:t>
      </w:r>
      <w:r w:rsidR="00C81BB2">
        <w:rPr>
          <w:rFonts w:cstheme="minorHAnsi"/>
          <w:lang w:eastAsia="sk-SK"/>
        </w:rPr>
        <w:t>y</w:t>
      </w:r>
      <w:r w:rsidR="00C81BB2" w:rsidRPr="00C81BB2">
        <w:rPr>
          <w:rFonts w:cstheme="minorHAnsi"/>
          <w:lang w:eastAsia="sk-SK"/>
        </w:rPr>
        <w:t xml:space="preserve"> o poskytovaní služieb súvisiacich s ÚPS pre regi</w:t>
      </w:r>
      <w:r w:rsidR="0064719F">
        <w:rPr>
          <w:rFonts w:cstheme="minorHAnsi"/>
          <w:lang w:eastAsia="sk-SK"/>
        </w:rPr>
        <w:t>ó</w:t>
      </w:r>
      <w:r w:rsidR="00C81BB2" w:rsidRPr="00C81BB2">
        <w:rPr>
          <w:rFonts w:cstheme="minorHAnsi"/>
          <w:lang w:eastAsia="sk-SK"/>
        </w:rPr>
        <w:t>n Malacky a</w:t>
      </w:r>
      <w:r w:rsidR="00C81BB2">
        <w:rPr>
          <w:rFonts w:cstheme="minorHAnsi"/>
          <w:lang w:eastAsia="sk-SK"/>
        </w:rPr>
        <w:t> </w:t>
      </w:r>
      <w:r w:rsidR="00C81BB2" w:rsidRPr="00C81BB2">
        <w:rPr>
          <w:rFonts w:cstheme="minorHAnsi"/>
          <w:lang w:eastAsia="sk-SK"/>
        </w:rPr>
        <w:t>okolie</w:t>
      </w:r>
      <w:r w:rsidR="00C81BB2">
        <w:rPr>
          <w:rFonts w:cstheme="minorHAnsi"/>
          <w:lang w:eastAsia="sk-SK"/>
        </w:rPr>
        <w:t>. Taktiež BSK dofinancovalo výdavky súvi</w:t>
      </w:r>
      <w:r w:rsidR="0064719F">
        <w:rPr>
          <w:rFonts w:cstheme="minorHAnsi"/>
          <w:lang w:eastAsia="sk-SK"/>
        </w:rPr>
        <w:t>s</w:t>
      </w:r>
      <w:r w:rsidR="00C81BB2">
        <w:rPr>
          <w:rFonts w:cstheme="minorHAnsi"/>
          <w:lang w:eastAsia="sk-SK"/>
        </w:rPr>
        <w:t>iace s p</w:t>
      </w:r>
      <w:r w:rsidR="0064719F">
        <w:rPr>
          <w:rFonts w:cstheme="minorHAnsi"/>
          <w:lang w:eastAsia="sk-SK"/>
        </w:rPr>
        <w:t>a</w:t>
      </w:r>
      <w:r w:rsidR="00C81BB2">
        <w:rPr>
          <w:rFonts w:cstheme="minorHAnsi"/>
          <w:lang w:eastAsia="sk-SK"/>
        </w:rPr>
        <w:t xml:space="preserve">ndémiou pre Polikliniku Karlová Vec.  </w:t>
      </w:r>
    </w:p>
    <w:p w14:paraId="6C3DEB5A" w14:textId="66567AF4" w:rsidR="00875772" w:rsidRPr="008108CB" w:rsidRDefault="00875772" w:rsidP="00875772">
      <w:pPr>
        <w:spacing w:after="0"/>
        <w:jc w:val="both"/>
        <w:rPr>
          <w:rFonts w:cstheme="minorHAnsi"/>
          <w:lang w:eastAsia="sk-SK"/>
        </w:rPr>
      </w:pPr>
      <w:r w:rsidRPr="008108CB">
        <w:rPr>
          <w:rFonts w:cstheme="minorHAnsi"/>
          <w:lang w:eastAsia="sk-SK"/>
        </w:rPr>
        <w:t xml:space="preserve">Od vzniku pandémie v marci, odbor zdravotníctva komunikoval nielen s poskytovateľmi, ale aj občanmi, ktorí žiadali poradiť, usmerniť, pomôcť. Činnosť týkajúca sa poskytovania a zabezpečenia zdravotnej starostlivosti bola usmerňovaná na základe </w:t>
      </w:r>
      <w:r w:rsidRPr="008108CB">
        <w:rPr>
          <w:rFonts w:cstheme="minorHAnsi"/>
        </w:rPr>
        <w:t xml:space="preserve">nariadení a vyhlásení vydávaných Úradom verejného zdravotníctva SR, regionálnym úradom verejného zdravotníctva, </w:t>
      </w:r>
      <w:r w:rsidRPr="008108CB">
        <w:rPr>
          <w:rFonts w:cstheme="minorHAnsi"/>
          <w:lang w:eastAsia="sk-SK"/>
        </w:rPr>
        <w:t>na základe odporúčaní hlavných a krajských odborníkov, stavovských organizácií pre jednotlivé oblasti. Zástupcovia odboru sa aktívne zúčastň</w:t>
      </w:r>
      <w:r w:rsidR="00C81BB2">
        <w:rPr>
          <w:rFonts w:cstheme="minorHAnsi"/>
          <w:lang w:eastAsia="sk-SK"/>
        </w:rPr>
        <w:t>ovali</w:t>
      </w:r>
      <w:r w:rsidR="00C5691E">
        <w:rPr>
          <w:rFonts w:cstheme="minorHAnsi"/>
          <w:lang w:eastAsia="sk-SK"/>
        </w:rPr>
        <w:t xml:space="preserve"> </w:t>
      </w:r>
      <w:r w:rsidRPr="008108CB">
        <w:rPr>
          <w:rFonts w:cstheme="minorHAnsi"/>
          <w:lang w:eastAsia="sk-SK"/>
        </w:rPr>
        <w:t xml:space="preserve">rokovaní  ústredných orgánov - </w:t>
      </w:r>
      <w:proofErr w:type="spellStart"/>
      <w:r w:rsidRPr="008108CB">
        <w:rPr>
          <w:rStyle w:val="Vrazn"/>
          <w:rFonts w:cstheme="minorHAnsi"/>
          <w:b w:val="0"/>
          <w:shd w:val="clear" w:color="auto" w:fill="FFFFFF"/>
        </w:rPr>
        <w:t>Pandemickej</w:t>
      </w:r>
      <w:proofErr w:type="spellEnd"/>
      <w:r w:rsidRPr="008108CB">
        <w:rPr>
          <w:rStyle w:val="Vrazn"/>
          <w:rFonts w:cstheme="minorHAnsi"/>
          <w:b w:val="0"/>
          <w:shd w:val="clear" w:color="auto" w:fill="FFFFFF"/>
        </w:rPr>
        <w:t xml:space="preserve"> komisie, krízového štábu</w:t>
      </w:r>
      <w:r w:rsidR="00EF506A">
        <w:rPr>
          <w:rStyle w:val="Vrazn"/>
          <w:rFonts w:cstheme="minorHAnsi"/>
          <w:b w:val="0"/>
          <w:shd w:val="clear" w:color="auto" w:fill="FFFFFF"/>
        </w:rPr>
        <w:t>,</w:t>
      </w:r>
      <w:r w:rsidRPr="008108CB">
        <w:rPr>
          <w:rStyle w:val="Vrazn"/>
          <w:rFonts w:cstheme="minorHAnsi"/>
          <w:b w:val="0"/>
          <w:shd w:val="clear" w:color="auto" w:fill="FFFFFF"/>
        </w:rPr>
        <w:t xml:space="preserve"> a tiež aj </w:t>
      </w:r>
      <w:r w:rsidR="00EF506A">
        <w:rPr>
          <w:rStyle w:val="Vrazn"/>
          <w:rFonts w:cstheme="minorHAnsi"/>
          <w:b w:val="0"/>
          <w:shd w:val="clear" w:color="auto" w:fill="FFFFFF"/>
        </w:rPr>
        <w:t>rokovaní</w:t>
      </w:r>
      <w:r w:rsidRPr="008108CB">
        <w:rPr>
          <w:rStyle w:val="Vrazn"/>
          <w:rFonts w:cstheme="minorHAnsi"/>
          <w:b w:val="0"/>
          <w:shd w:val="clear" w:color="auto" w:fill="FFFFFF"/>
        </w:rPr>
        <w:t xml:space="preserve"> na okresnom úrade v  sídle kraja. </w:t>
      </w:r>
      <w:r w:rsidRPr="008108CB">
        <w:rPr>
          <w:rFonts w:cstheme="minorHAnsi"/>
        </w:rPr>
        <w:t>Na základe odborných usmernení, štandardov a protiepidemiologických opatrení BSK zabezpečil</w:t>
      </w:r>
      <w:r w:rsidR="00C81BB2">
        <w:rPr>
          <w:rFonts w:cstheme="minorHAnsi"/>
        </w:rPr>
        <w:t>,</w:t>
      </w:r>
      <w:r w:rsidRPr="008108CB">
        <w:rPr>
          <w:rFonts w:cstheme="minorHAnsi"/>
        </w:rPr>
        <w:t xml:space="preserve"> a </w:t>
      </w:r>
      <w:r w:rsidRPr="008108CB">
        <w:rPr>
          <w:rFonts w:cstheme="minorHAnsi"/>
          <w:color w:val="222222"/>
        </w:rPr>
        <w:t>na vlastné náklady</w:t>
      </w:r>
      <w:r w:rsidRPr="008108CB">
        <w:rPr>
          <w:rFonts w:cstheme="minorHAnsi"/>
        </w:rPr>
        <w:t xml:space="preserve"> rozdistribuoval ochranné odevy, rukavice, ochranné rúška, respirátory, ochranné štíty pre poskytovateľov zdravotnej starostlivosti v regióne BSK</w:t>
      </w:r>
      <w:r w:rsidR="00C813B3">
        <w:rPr>
          <w:rFonts w:cstheme="minorHAnsi"/>
        </w:rPr>
        <w:t xml:space="preserve">. </w:t>
      </w:r>
      <w:r w:rsidRPr="008108CB">
        <w:rPr>
          <w:rFonts w:cstheme="minorHAnsi"/>
          <w:color w:val="222222"/>
        </w:rPr>
        <w:t xml:space="preserve"> </w:t>
      </w:r>
      <w:r w:rsidRPr="008108CB">
        <w:rPr>
          <w:rFonts w:cstheme="minorHAnsi"/>
          <w:color w:val="000000"/>
          <w:lang w:eastAsia="sk-SK"/>
        </w:rPr>
        <w:t xml:space="preserve">V rámci implementácie </w:t>
      </w:r>
      <w:proofErr w:type="spellStart"/>
      <w:r w:rsidRPr="008108CB">
        <w:rPr>
          <w:rFonts w:cstheme="minorHAnsi"/>
          <w:color w:val="000000"/>
          <w:lang w:eastAsia="sk-SK"/>
        </w:rPr>
        <w:t>pandemických</w:t>
      </w:r>
      <w:proofErr w:type="spellEnd"/>
      <w:r w:rsidRPr="008108CB">
        <w:rPr>
          <w:rFonts w:cstheme="minorHAnsi"/>
          <w:color w:val="000000"/>
          <w:lang w:eastAsia="sk-SK"/>
        </w:rPr>
        <w:t xml:space="preserve"> opatrení zabezpečil dopravn</w:t>
      </w:r>
      <w:r w:rsidR="00C813B3">
        <w:rPr>
          <w:rFonts w:cstheme="minorHAnsi"/>
          <w:color w:val="000000"/>
          <w:lang w:eastAsia="sk-SK"/>
        </w:rPr>
        <w:t>ú</w:t>
      </w:r>
      <w:r w:rsidRPr="008108CB">
        <w:rPr>
          <w:rFonts w:cstheme="minorHAnsi"/>
          <w:color w:val="000000"/>
          <w:lang w:eastAsia="sk-SK"/>
        </w:rPr>
        <w:t xml:space="preserve"> zdravotn</w:t>
      </w:r>
      <w:r w:rsidR="00C813B3">
        <w:rPr>
          <w:rFonts w:cstheme="minorHAnsi"/>
          <w:color w:val="000000"/>
          <w:lang w:eastAsia="sk-SK"/>
        </w:rPr>
        <w:t>ú</w:t>
      </w:r>
      <w:r w:rsidRPr="008108CB">
        <w:rPr>
          <w:rFonts w:cstheme="minorHAnsi"/>
          <w:color w:val="000000"/>
          <w:lang w:eastAsia="sk-SK"/>
        </w:rPr>
        <w:t xml:space="preserve"> služb</w:t>
      </w:r>
      <w:r w:rsidR="00C813B3">
        <w:rPr>
          <w:rFonts w:cstheme="minorHAnsi"/>
          <w:color w:val="000000"/>
          <w:lang w:eastAsia="sk-SK"/>
        </w:rPr>
        <w:t>u z</w:t>
      </w:r>
      <w:r w:rsidRPr="008108CB">
        <w:rPr>
          <w:rFonts w:cstheme="minorHAnsi"/>
          <w:color w:val="000000"/>
          <w:lang w:eastAsia="sk-SK"/>
        </w:rPr>
        <w:t xml:space="preserve">a účelom realizácie </w:t>
      </w:r>
      <w:proofErr w:type="spellStart"/>
      <w:r w:rsidRPr="008108CB">
        <w:rPr>
          <w:rFonts w:cstheme="minorHAnsi"/>
          <w:color w:val="000000"/>
          <w:lang w:eastAsia="sk-SK"/>
        </w:rPr>
        <w:t>rýchlotestovania</w:t>
      </w:r>
      <w:proofErr w:type="spellEnd"/>
      <w:r w:rsidRPr="008108CB">
        <w:rPr>
          <w:rFonts w:cstheme="minorHAnsi"/>
          <w:color w:val="000000"/>
          <w:lang w:eastAsia="sk-SK"/>
        </w:rPr>
        <w:t xml:space="preserve"> klientov v ZSS na území BSK /so sestrou/, prepravy pacientov do/zo zdravotníckeho zariadenia na území BSK, prepravy zdravotníckeho personálu na území BSK, prepravy liekov a zdravotníckeho materiálu na území BSK.</w:t>
      </w:r>
    </w:p>
    <w:p w14:paraId="1E7AD023" w14:textId="77777777" w:rsidR="00875772" w:rsidRPr="008108CB" w:rsidRDefault="00875772" w:rsidP="00875772">
      <w:pPr>
        <w:spacing w:after="0" w:line="240" w:lineRule="auto"/>
        <w:jc w:val="both"/>
        <w:rPr>
          <w:rStyle w:val="Vrazn"/>
          <w:rFonts w:cstheme="minorHAnsi"/>
          <w:b w:val="0"/>
          <w:bCs w:val="0"/>
        </w:rPr>
      </w:pPr>
    </w:p>
    <w:p w14:paraId="396364B0" w14:textId="77777777" w:rsidR="00EB61DE" w:rsidRDefault="00EB61DE" w:rsidP="002D6CD0">
      <w:pPr>
        <w:spacing w:after="0" w:line="240" w:lineRule="auto"/>
        <w:jc w:val="both"/>
        <w:rPr>
          <w:rFonts w:cstheme="minorHAnsi"/>
          <w:lang w:eastAsia="sk-SK"/>
        </w:rPr>
      </w:pPr>
    </w:p>
    <w:p w14:paraId="02E1EBE8" w14:textId="77777777" w:rsidR="00C741A9" w:rsidRPr="00F64D3B" w:rsidRDefault="00C741A9" w:rsidP="00C741A9">
      <w:pPr>
        <w:spacing w:before="100" w:beforeAutospacing="1" w:after="100" w:afterAutospacing="1" w:line="240" w:lineRule="auto"/>
        <w:outlineLvl w:val="1"/>
        <w:rPr>
          <w:rFonts w:cstheme="minorHAnsi"/>
          <w:b/>
          <w:bCs/>
          <w:color w:val="880000"/>
          <w:sz w:val="36"/>
          <w:szCs w:val="36"/>
          <w:lang w:eastAsia="sk-SK"/>
        </w:rPr>
      </w:pPr>
      <w:r w:rsidRPr="00F64D3B">
        <w:rPr>
          <w:rFonts w:cstheme="minorHAnsi"/>
          <w:b/>
          <w:bCs/>
          <w:color w:val="880000"/>
          <w:sz w:val="36"/>
          <w:szCs w:val="36"/>
          <w:lang w:eastAsia="sk-SK"/>
        </w:rPr>
        <w:t>Program 13: Administratíva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60"/>
        <w:gridCol w:w="2023"/>
        <w:gridCol w:w="1492"/>
        <w:gridCol w:w="1562"/>
        <w:gridCol w:w="1341"/>
        <w:gridCol w:w="1117"/>
        <w:gridCol w:w="2071"/>
      </w:tblGrid>
      <w:tr w:rsidR="00C741A9" w:rsidRPr="00F64D3B" w14:paraId="29CB608B" w14:textId="77777777" w:rsidTr="00C741A9">
        <w:trPr>
          <w:tblCellSpacing w:w="15" w:type="dxa"/>
        </w:trPr>
        <w:tc>
          <w:tcPr>
            <w:tcW w:w="0" w:type="auto"/>
            <w:shd w:val="clear" w:color="auto" w:fill="C6DBF7"/>
            <w:vAlign w:val="center"/>
            <w:hideMark/>
          </w:tcPr>
          <w:p w14:paraId="3023C813" w14:textId="77777777" w:rsidR="00C741A9" w:rsidRPr="00F64D3B" w:rsidRDefault="00C741A9" w:rsidP="00D40061">
            <w:pPr>
              <w:spacing w:after="0" w:line="240" w:lineRule="auto"/>
              <w:jc w:val="center"/>
              <w:rPr>
                <w:rFonts w:cstheme="minorHAnsi"/>
                <w:sz w:val="20"/>
                <w:szCs w:val="20"/>
                <w:lang w:eastAsia="sk-SK"/>
              </w:rPr>
            </w:pPr>
            <w:r w:rsidRPr="00F64D3B">
              <w:rPr>
                <w:rFonts w:cstheme="minorHAnsi"/>
                <w:b/>
                <w:bCs/>
                <w:sz w:val="20"/>
                <w:szCs w:val="20"/>
                <w:lang w:eastAsia="sk-SK"/>
              </w:rPr>
              <w:t>Kód EK</w:t>
            </w:r>
          </w:p>
        </w:tc>
        <w:tc>
          <w:tcPr>
            <w:tcW w:w="952" w:type="pct"/>
            <w:shd w:val="clear" w:color="auto" w:fill="C6DBF7"/>
            <w:vAlign w:val="center"/>
            <w:hideMark/>
          </w:tcPr>
          <w:p w14:paraId="67BF3B7F" w14:textId="77777777" w:rsidR="00C741A9" w:rsidRPr="00F64D3B" w:rsidRDefault="00C741A9" w:rsidP="00D40061">
            <w:pPr>
              <w:spacing w:after="0" w:line="240" w:lineRule="auto"/>
              <w:jc w:val="center"/>
              <w:rPr>
                <w:rFonts w:cstheme="minorHAnsi"/>
                <w:sz w:val="20"/>
                <w:szCs w:val="20"/>
                <w:lang w:eastAsia="sk-SK"/>
              </w:rPr>
            </w:pPr>
            <w:r w:rsidRPr="00F64D3B">
              <w:rPr>
                <w:rFonts w:cstheme="minorHAnsi"/>
                <w:b/>
                <w:bCs/>
                <w:sz w:val="20"/>
                <w:szCs w:val="20"/>
                <w:lang w:eastAsia="sk-SK"/>
              </w:rPr>
              <w:t>Ekonomická klasifikácia</w:t>
            </w:r>
          </w:p>
        </w:tc>
        <w:tc>
          <w:tcPr>
            <w:tcW w:w="0" w:type="auto"/>
            <w:shd w:val="clear" w:color="auto" w:fill="C6DBF7"/>
            <w:vAlign w:val="center"/>
            <w:hideMark/>
          </w:tcPr>
          <w:p w14:paraId="2E5A69A1" w14:textId="77777777" w:rsidR="00C741A9" w:rsidRPr="00F64D3B" w:rsidRDefault="00C741A9" w:rsidP="00D40061">
            <w:pPr>
              <w:spacing w:after="0" w:line="240" w:lineRule="auto"/>
              <w:jc w:val="center"/>
              <w:rPr>
                <w:rFonts w:cstheme="minorHAnsi"/>
                <w:sz w:val="20"/>
                <w:szCs w:val="20"/>
                <w:lang w:eastAsia="sk-SK"/>
              </w:rPr>
            </w:pPr>
            <w:r w:rsidRPr="00F64D3B">
              <w:rPr>
                <w:rFonts w:cstheme="minorHAnsi"/>
                <w:b/>
                <w:bCs/>
                <w:sz w:val="20"/>
                <w:szCs w:val="20"/>
                <w:lang w:eastAsia="sk-SK"/>
              </w:rPr>
              <w:t>Schválený</w:t>
            </w:r>
            <w:r w:rsidRPr="00F64D3B">
              <w:rPr>
                <w:rFonts w:cstheme="minorHAnsi"/>
                <w:b/>
                <w:bCs/>
                <w:sz w:val="20"/>
                <w:szCs w:val="20"/>
                <w:lang w:eastAsia="sk-SK"/>
              </w:rPr>
              <w:br/>
              <w:t>rozpočet</w:t>
            </w:r>
            <w:r w:rsidRPr="00F64D3B">
              <w:rPr>
                <w:rFonts w:cstheme="minorHAnsi"/>
                <w:b/>
                <w:bCs/>
                <w:sz w:val="20"/>
                <w:szCs w:val="20"/>
                <w:lang w:eastAsia="sk-SK"/>
              </w:rPr>
              <w:br/>
              <w:t>v EUR</w:t>
            </w:r>
          </w:p>
        </w:tc>
        <w:tc>
          <w:tcPr>
            <w:tcW w:w="753" w:type="pct"/>
            <w:shd w:val="clear" w:color="auto" w:fill="C6DBF7"/>
            <w:vAlign w:val="center"/>
            <w:hideMark/>
          </w:tcPr>
          <w:p w14:paraId="5D930DF1" w14:textId="77777777" w:rsidR="00C741A9" w:rsidRPr="00F64D3B" w:rsidRDefault="00C741A9" w:rsidP="00D40061">
            <w:pPr>
              <w:spacing w:after="0" w:line="240" w:lineRule="auto"/>
              <w:jc w:val="center"/>
              <w:rPr>
                <w:rFonts w:cstheme="minorHAnsi"/>
                <w:sz w:val="20"/>
                <w:szCs w:val="20"/>
                <w:lang w:eastAsia="sk-SK"/>
              </w:rPr>
            </w:pPr>
            <w:r w:rsidRPr="00F64D3B">
              <w:rPr>
                <w:rFonts w:cstheme="minorHAnsi"/>
                <w:b/>
                <w:bCs/>
                <w:sz w:val="20"/>
                <w:szCs w:val="20"/>
                <w:lang w:eastAsia="sk-SK"/>
              </w:rPr>
              <w:t>Zmenený</w:t>
            </w:r>
            <w:r w:rsidRPr="00F64D3B">
              <w:rPr>
                <w:rFonts w:cstheme="minorHAnsi"/>
                <w:b/>
                <w:bCs/>
                <w:sz w:val="20"/>
                <w:szCs w:val="20"/>
                <w:lang w:eastAsia="sk-SK"/>
              </w:rPr>
              <w:br/>
              <w:t>rozpočet</w:t>
            </w:r>
            <w:r w:rsidRPr="00F64D3B">
              <w:rPr>
                <w:rFonts w:cstheme="minorHAnsi"/>
                <w:b/>
                <w:bCs/>
                <w:sz w:val="20"/>
                <w:szCs w:val="20"/>
                <w:lang w:eastAsia="sk-SK"/>
              </w:rPr>
              <w:br/>
              <w:t>v EUR</w:t>
            </w:r>
          </w:p>
        </w:tc>
        <w:tc>
          <w:tcPr>
            <w:tcW w:w="645" w:type="pct"/>
            <w:shd w:val="clear" w:color="auto" w:fill="C6DBF7"/>
            <w:vAlign w:val="center"/>
            <w:hideMark/>
          </w:tcPr>
          <w:p w14:paraId="6D8AC930" w14:textId="77777777" w:rsidR="00C741A9" w:rsidRPr="00F64D3B" w:rsidRDefault="00C741A9" w:rsidP="00D40061">
            <w:pPr>
              <w:spacing w:after="0" w:line="240" w:lineRule="auto"/>
              <w:jc w:val="center"/>
              <w:rPr>
                <w:rFonts w:cstheme="minorHAnsi"/>
                <w:sz w:val="20"/>
                <w:szCs w:val="20"/>
                <w:lang w:eastAsia="sk-SK"/>
              </w:rPr>
            </w:pPr>
            <w:r w:rsidRPr="00F64D3B">
              <w:rPr>
                <w:rFonts w:cstheme="minorHAnsi"/>
                <w:b/>
                <w:bCs/>
                <w:sz w:val="20"/>
                <w:szCs w:val="20"/>
                <w:lang w:eastAsia="sk-SK"/>
              </w:rPr>
              <w:t>Čerpanie</w:t>
            </w:r>
            <w:r w:rsidRPr="00F64D3B">
              <w:rPr>
                <w:rFonts w:cstheme="minorHAnsi"/>
                <w:b/>
                <w:bCs/>
                <w:sz w:val="20"/>
                <w:szCs w:val="20"/>
                <w:lang w:eastAsia="sk-SK"/>
              </w:rPr>
              <w:br/>
              <w:t>v EUR</w:t>
            </w:r>
          </w:p>
        </w:tc>
        <w:tc>
          <w:tcPr>
            <w:tcW w:w="535" w:type="pct"/>
            <w:shd w:val="clear" w:color="auto" w:fill="C6DBF7"/>
            <w:vAlign w:val="center"/>
            <w:hideMark/>
          </w:tcPr>
          <w:p w14:paraId="00553333" w14:textId="77777777" w:rsidR="00C741A9" w:rsidRPr="00F64D3B" w:rsidRDefault="00C741A9" w:rsidP="00D40061">
            <w:pPr>
              <w:spacing w:after="0" w:line="240" w:lineRule="auto"/>
              <w:jc w:val="center"/>
              <w:rPr>
                <w:rFonts w:cstheme="minorHAnsi"/>
                <w:sz w:val="20"/>
                <w:szCs w:val="20"/>
                <w:lang w:eastAsia="sk-SK"/>
              </w:rPr>
            </w:pPr>
            <w:r w:rsidRPr="00F64D3B">
              <w:rPr>
                <w:rFonts w:cstheme="minorHAnsi"/>
                <w:b/>
                <w:bCs/>
                <w:sz w:val="20"/>
                <w:szCs w:val="20"/>
                <w:lang w:eastAsia="sk-SK"/>
              </w:rPr>
              <w:t>Čerpanie</w:t>
            </w:r>
            <w:r w:rsidRPr="00F64D3B">
              <w:rPr>
                <w:rFonts w:cstheme="minorHAnsi"/>
                <w:b/>
                <w:bCs/>
                <w:sz w:val="20"/>
                <w:szCs w:val="20"/>
                <w:lang w:eastAsia="sk-SK"/>
              </w:rPr>
              <w:br/>
              <w:t xml:space="preserve">k </w:t>
            </w:r>
            <w:proofErr w:type="spellStart"/>
            <w:r w:rsidRPr="00F64D3B">
              <w:rPr>
                <w:rFonts w:cstheme="minorHAnsi"/>
                <w:b/>
                <w:bCs/>
                <w:sz w:val="20"/>
                <w:szCs w:val="20"/>
                <w:lang w:eastAsia="sk-SK"/>
              </w:rPr>
              <w:t>zmen</w:t>
            </w:r>
            <w:proofErr w:type="spellEnd"/>
            <w:r w:rsidRPr="00F64D3B">
              <w:rPr>
                <w:rFonts w:cstheme="minorHAnsi"/>
                <w:b/>
                <w:bCs/>
                <w:sz w:val="20"/>
                <w:szCs w:val="20"/>
                <w:lang w:eastAsia="sk-SK"/>
              </w:rPr>
              <w:t xml:space="preserve">. </w:t>
            </w:r>
            <w:proofErr w:type="spellStart"/>
            <w:r w:rsidRPr="00F64D3B">
              <w:rPr>
                <w:rFonts w:cstheme="minorHAnsi"/>
                <w:b/>
                <w:bCs/>
                <w:sz w:val="20"/>
                <w:szCs w:val="20"/>
                <w:lang w:eastAsia="sk-SK"/>
              </w:rPr>
              <w:t>rozp</w:t>
            </w:r>
            <w:proofErr w:type="spellEnd"/>
            <w:r w:rsidRPr="00F64D3B">
              <w:rPr>
                <w:rFonts w:cstheme="minorHAnsi"/>
                <w:b/>
                <w:bCs/>
                <w:sz w:val="20"/>
                <w:szCs w:val="20"/>
                <w:lang w:eastAsia="sk-SK"/>
              </w:rPr>
              <w:t>.</w:t>
            </w:r>
            <w:r w:rsidRPr="00F64D3B">
              <w:rPr>
                <w:rFonts w:cstheme="minorHAnsi"/>
                <w:b/>
                <w:bCs/>
                <w:sz w:val="20"/>
                <w:szCs w:val="20"/>
                <w:lang w:eastAsia="sk-SK"/>
              </w:rPr>
              <w:br/>
              <w:t>v %</w:t>
            </w:r>
          </w:p>
        </w:tc>
        <w:tc>
          <w:tcPr>
            <w:tcW w:w="994" w:type="pct"/>
            <w:shd w:val="clear" w:color="auto" w:fill="C6DBF7"/>
            <w:vAlign w:val="center"/>
            <w:hideMark/>
          </w:tcPr>
          <w:p w14:paraId="5F99C946" w14:textId="77777777" w:rsidR="00C741A9" w:rsidRPr="00F64D3B" w:rsidRDefault="00C741A9" w:rsidP="00D40061">
            <w:pPr>
              <w:spacing w:after="0" w:line="240" w:lineRule="auto"/>
              <w:jc w:val="center"/>
              <w:rPr>
                <w:rFonts w:cstheme="minorHAnsi"/>
                <w:sz w:val="20"/>
                <w:szCs w:val="20"/>
                <w:lang w:eastAsia="sk-SK"/>
              </w:rPr>
            </w:pPr>
            <w:r w:rsidRPr="00F64D3B">
              <w:rPr>
                <w:rFonts w:cstheme="minorHAnsi"/>
                <w:b/>
                <w:bCs/>
                <w:sz w:val="20"/>
                <w:szCs w:val="20"/>
                <w:lang w:eastAsia="sk-SK"/>
              </w:rPr>
              <w:t>Zmeny rozpočtu</w:t>
            </w:r>
          </w:p>
        </w:tc>
      </w:tr>
      <w:tr w:rsidR="00C741A9" w:rsidRPr="00F64D3B" w14:paraId="05046559" w14:textId="77777777" w:rsidTr="00C741A9">
        <w:trPr>
          <w:tblCellSpacing w:w="15" w:type="dxa"/>
        </w:trPr>
        <w:tc>
          <w:tcPr>
            <w:tcW w:w="0" w:type="auto"/>
            <w:shd w:val="clear" w:color="auto" w:fill="D9D9D9"/>
            <w:noWrap/>
            <w:vAlign w:val="center"/>
            <w:hideMark/>
          </w:tcPr>
          <w:p w14:paraId="7A437BC0" w14:textId="77777777" w:rsidR="00C741A9" w:rsidRPr="00F64D3B" w:rsidRDefault="00C741A9" w:rsidP="00D40061">
            <w:pPr>
              <w:spacing w:after="0" w:line="240" w:lineRule="auto"/>
              <w:jc w:val="center"/>
              <w:rPr>
                <w:rFonts w:cstheme="minorHAnsi"/>
                <w:sz w:val="20"/>
                <w:szCs w:val="20"/>
                <w:lang w:eastAsia="sk-SK"/>
              </w:rPr>
            </w:pPr>
          </w:p>
        </w:tc>
        <w:tc>
          <w:tcPr>
            <w:tcW w:w="0" w:type="auto"/>
            <w:shd w:val="clear" w:color="auto" w:fill="D9D9D9"/>
            <w:vAlign w:val="center"/>
            <w:hideMark/>
          </w:tcPr>
          <w:p w14:paraId="09EF6AFE" w14:textId="77777777" w:rsidR="00C741A9" w:rsidRPr="00F64D3B" w:rsidRDefault="00C741A9" w:rsidP="00D40061">
            <w:pPr>
              <w:spacing w:after="0" w:line="240" w:lineRule="auto"/>
              <w:rPr>
                <w:rFonts w:cstheme="minorHAnsi"/>
                <w:sz w:val="20"/>
                <w:szCs w:val="20"/>
                <w:lang w:eastAsia="sk-SK"/>
              </w:rPr>
            </w:pPr>
            <w:r w:rsidRPr="00F64D3B">
              <w:rPr>
                <w:rFonts w:cstheme="minorHAnsi"/>
                <w:b/>
                <w:bCs/>
                <w:sz w:val="20"/>
                <w:szCs w:val="20"/>
                <w:lang w:eastAsia="sk-SK"/>
              </w:rPr>
              <w:t>Výdavky celkom</w:t>
            </w:r>
            <w:r w:rsidRPr="00F64D3B">
              <w:rPr>
                <w:rFonts w:cstheme="minorHAnsi"/>
                <w:sz w:val="20"/>
                <w:szCs w:val="20"/>
                <w:lang w:eastAsia="sk-SK"/>
              </w:rPr>
              <w:t xml:space="preserve"> </w:t>
            </w:r>
          </w:p>
        </w:tc>
        <w:tc>
          <w:tcPr>
            <w:tcW w:w="0" w:type="auto"/>
            <w:shd w:val="clear" w:color="auto" w:fill="D9D9D9"/>
            <w:noWrap/>
            <w:hideMark/>
          </w:tcPr>
          <w:p w14:paraId="40E837AA" w14:textId="77777777" w:rsidR="00C741A9" w:rsidRPr="00C741A9" w:rsidRDefault="00C741A9" w:rsidP="00D40061">
            <w:pPr>
              <w:spacing w:after="0" w:line="240" w:lineRule="auto"/>
              <w:jc w:val="right"/>
              <w:rPr>
                <w:rFonts w:cstheme="minorHAnsi"/>
                <w:b/>
                <w:bCs/>
                <w:sz w:val="20"/>
                <w:szCs w:val="20"/>
                <w:lang w:eastAsia="sk-SK"/>
              </w:rPr>
            </w:pPr>
            <w:r w:rsidRPr="00C741A9">
              <w:rPr>
                <w:b/>
                <w:bCs/>
                <w:sz w:val="20"/>
                <w:szCs w:val="20"/>
              </w:rPr>
              <w:t>9 416 800,00</w:t>
            </w:r>
          </w:p>
        </w:tc>
        <w:tc>
          <w:tcPr>
            <w:tcW w:w="753" w:type="pct"/>
            <w:shd w:val="clear" w:color="auto" w:fill="D9D9D9"/>
            <w:noWrap/>
            <w:hideMark/>
          </w:tcPr>
          <w:p w14:paraId="27AC40BD" w14:textId="77777777" w:rsidR="00C741A9" w:rsidRPr="00C741A9" w:rsidRDefault="00C741A9" w:rsidP="00D40061">
            <w:pPr>
              <w:spacing w:after="0" w:line="240" w:lineRule="auto"/>
              <w:jc w:val="right"/>
              <w:rPr>
                <w:rFonts w:cstheme="minorHAnsi"/>
                <w:b/>
                <w:bCs/>
                <w:sz w:val="20"/>
                <w:szCs w:val="20"/>
                <w:lang w:eastAsia="sk-SK"/>
              </w:rPr>
            </w:pPr>
            <w:r w:rsidRPr="00C741A9">
              <w:rPr>
                <w:b/>
                <w:bCs/>
                <w:sz w:val="20"/>
                <w:szCs w:val="20"/>
              </w:rPr>
              <w:t>9 300 974,00</w:t>
            </w:r>
          </w:p>
        </w:tc>
        <w:tc>
          <w:tcPr>
            <w:tcW w:w="645" w:type="pct"/>
            <w:shd w:val="clear" w:color="auto" w:fill="D9D9D9"/>
            <w:noWrap/>
            <w:hideMark/>
          </w:tcPr>
          <w:p w14:paraId="163C4D2F" w14:textId="77777777" w:rsidR="00C741A9" w:rsidRPr="00C741A9" w:rsidRDefault="00C741A9" w:rsidP="00D40061">
            <w:pPr>
              <w:spacing w:after="0" w:line="240" w:lineRule="auto"/>
              <w:jc w:val="right"/>
              <w:rPr>
                <w:rFonts w:cstheme="minorHAnsi"/>
                <w:b/>
                <w:bCs/>
                <w:sz w:val="20"/>
                <w:szCs w:val="20"/>
                <w:lang w:eastAsia="sk-SK"/>
              </w:rPr>
            </w:pPr>
            <w:r w:rsidRPr="00C741A9">
              <w:rPr>
                <w:b/>
                <w:bCs/>
                <w:sz w:val="20"/>
                <w:szCs w:val="20"/>
              </w:rPr>
              <w:t>8 308 297,31</w:t>
            </w:r>
          </w:p>
        </w:tc>
        <w:tc>
          <w:tcPr>
            <w:tcW w:w="535" w:type="pct"/>
            <w:shd w:val="clear" w:color="auto" w:fill="D9D9D9"/>
            <w:noWrap/>
            <w:vAlign w:val="center"/>
            <w:hideMark/>
          </w:tcPr>
          <w:p w14:paraId="2269B23B" w14:textId="77777777" w:rsidR="00C741A9" w:rsidRPr="00F64D3B" w:rsidRDefault="00C741A9" w:rsidP="00D40061">
            <w:pPr>
              <w:spacing w:after="0" w:line="240" w:lineRule="auto"/>
              <w:jc w:val="right"/>
              <w:rPr>
                <w:rFonts w:cstheme="minorHAnsi"/>
                <w:sz w:val="20"/>
                <w:szCs w:val="20"/>
                <w:lang w:eastAsia="sk-SK"/>
              </w:rPr>
            </w:pPr>
            <w:r>
              <w:rPr>
                <w:rFonts w:cstheme="minorHAnsi"/>
                <w:b/>
                <w:bCs/>
                <w:sz w:val="20"/>
                <w:szCs w:val="20"/>
                <w:lang w:eastAsia="sk-SK"/>
              </w:rPr>
              <w:t>89,33</w:t>
            </w:r>
            <w:r w:rsidRPr="00F64D3B">
              <w:rPr>
                <w:rFonts w:cstheme="minorHAnsi"/>
                <w:sz w:val="20"/>
                <w:szCs w:val="20"/>
                <w:lang w:eastAsia="sk-SK"/>
              </w:rPr>
              <w:t xml:space="preserve"> </w:t>
            </w:r>
          </w:p>
        </w:tc>
        <w:tc>
          <w:tcPr>
            <w:tcW w:w="994" w:type="pct"/>
            <w:vMerge w:val="restart"/>
            <w:shd w:val="clear" w:color="auto" w:fill="D9D9D9"/>
            <w:vAlign w:val="center"/>
            <w:hideMark/>
          </w:tcPr>
          <w:p w14:paraId="4BE75714" w14:textId="1183DEED" w:rsidR="00C741A9" w:rsidRPr="00F64D3B" w:rsidRDefault="00C741A9" w:rsidP="00D40061">
            <w:pPr>
              <w:spacing w:after="0" w:line="240" w:lineRule="auto"/>
              <w:rPr>
                <w:rFonts w:cstheme="minorHAnsi"/>
                <w:sz w:val="20"/>
                <w:szCs w:val="20"/>
                <w:lang w:eastAsia="sk-SK"/>
              </w:rPr>
            </w:pPr>
            <w:r w:rsidRPr="00F60419">
              <w:rPr>
                <w:rFonts w:cstheme="minorHAnsi"/>
                <w:b/>
                <w:sz w:val="20"/>
                <w:szCs w:val="20"/>
                <w:lang w:eastAsia="sk-SK"/>
              </w:rPr>
              <w:t>-</w:t>
            </w:r>
            <w:r>
              <w:rPr>
                <w:rFonts w:cstheme="minorHAnsi"/>
                <w:b/>
                <w:sz w:val="20"/>
                <w:szCs w:val="20"/>
                <w:lang w:eastAsia="sk-SK"/>
              </w:rPr>
              <w:t xml:space="preserve">100 000,00 </w:t>
            </w:r>
            <w:r w:rsidRPr="00F60419">
              <w:rPr>
                <w:rFonts w:cstheme="minorHAnsi"/>
                <w:b/>
                <w:sz w:val="20"/>
                <w:szCs w:val="20"/>
                <w:lang w:eastAsia="sk-SK"/>
              </w:rPr>
              <w:t xml:space="preserve"> EUR</w:t>
            </w:r>
            <w:r>
              <w:rPr>
                <w:rFonts w:cstheme="minorHAnsi"/>
                <w:sz w:val="20"/>
                <w:szCs w:val="20"/>
                <w:lang w:eastAsia="sk-SK"/>
              </w:rPr>
              <w:t xml:space="preserve"> </w:t>
            </w:r>
            <w:r w:rsidR="006A43EB">
              <w:rPr>
                <w:rFonts w:cstheme="minorHAnsi"/>
                <w:sz w:val="20"/>
                <w:szCs w:val="20"/>
                <w:lang w:eastAsia="sk-SK"/>
              </w:rPr>
              <w:br/>
            </w:r>
            <w:r w:rsidRPr="00C741A9">
              <w:rPr>
                <w:rFonts w:cstheme="minorHAnsi"/>
                <w:sz w:val="20"/>
                <w:szCs w:val="20"/>
                <w:lang w:eastAsia="sk-SK"/>
              </w:rPr>
              <w:t>I. zmena rozpočtu UZN č. 247/2020</w:t>
            </w:r>
            <w:r w:rsidR="006A43EB">
              <w:rPr>
                <w:rFonts w:cstheme="minorHAnsi"/>
                <w:sz w:val="20"/>
                <w:szCs w:val="20"/>
                <w:lang w:eastAsia="sk-SK"/>
              </w:rPr>
              <w:t xml:space="preserve">,                     </w:t>
            </w:r>
            <w:r w:rsidR="006A43EB" w:rsidRPr="006A43EB">
              <w:rPr>
                <w:rFonts w:cstheme="minorHAnsi"/>
                <w:b/>
                <w:bCs/>
                <w:sz w:val="20"/>
                <w:szCs w:val="20"/>
                <w:lang w:eastAsia="sk-SK"/>
              </w:rPr>
              <w:t>-15 826,00 EUR</w:t>
            </w:r>
            <w:r w:rsidR="006A43EB">
              <w:rPr>
                <w:rFonts w:cstheme="minorHAnsi"/>
                <w:sz w:val="20"/>
                <w:szCs w:val="20"/>
                <w:lang w:eastAsia="sk-SK"/>
              </w:rPr>
              <w:t xml:space="preserve"> presun na PK 1.3</w:t>
            </w:r>
          </w:p>
        </w:tc>
      </w:tr>
      <w:tr w:rsidR="00C741A9" w:rsidRPr="00F64D3B" w14:paraId="3E273388" w14:textId="77777777" w:rsidTr="00C741A9">
        <w:trPr>
          <w:tblCellSpacing w:w="15" w:type="dxa"/>
        </w:trPr>
        <w:tc>
          <w:tcPr>
            <w:tcW w:w="0" w:type="auto"/>
            <w:shd w:val="clear" w:color="auto" w:fill="D9D9D9"/>
            <w:noWrap/>
            <w:vAlign w:val="center"/>
            <w:hideMark/>
          </w:tcPr>
          <w:p w14:paraId="14B0BAF6" w14:textId="77777777" w:rsidR="00C741A9" w:rsidRPr="00F64D3B" w:rsidRDefault="00C741A9" w:rsidP="00D40061">
            <w:pPr>
              <w:spacing w:after="0" w:line="240" w:lineRule="auto"/>
              <w:rPr>
                <w:rFonts w:cstheme="minorHAnsi"/>
                <w:sz w:val="20"/>
                <w:szCs w:val="20"/>
                <w:lang w:eastAsia="sk-SK"/>
              </w:rPr>
            </w:pPr>
            <w:r w:rsidRPr="00F64D3B">
              <w:rPr>
                <w:rFonts w:cstheme="minorHAnsi"/>
                <w:b/>
                <w:bCs/>
                <w:sz w:val="20"/>
                <w:szCs w:val="20"/>
                <w:lang w:eastAsia="sk-SK"/>
              </w:rPr>
              <w:t>600</w:t>
            </w:r>
            <w:r w:rsidRPr="00F64D3B">
              <w:rPr>
                <w:rFonts w:cstheme="minorHAnsi"/>
                <w:sz w:val="20"/>
                <w:szCs w:val="20"/>
                <w:lang w:eastAsia="sk-SK"/>
              </w:rPr>
              <w:t xml:space="preserve"> </w:t>
            </w:r>
          </w:p>
        </w:tc>
        <w:tc>
          <w:tcPr>
            <w:tcW w:w="0" w:type="auto"/>
            <w:shd w:val="clear" w:color="auto" w:fill="D9D9D9"/>
            <w:vAlign w:val="center"/>
            <w:hideMark/>
          </w:tcPr>
          <w:p w14:paraId="5B01289C" w14:textId="77777777" w:rsidR="00C741A9" w:rsidRPr="00F64D3B" w:rsidRDefault="00C741A9" w:rsidP="00D40061">
            <w:pPr>
              <w:spacing w:after="0" w:line="240" w:lineRule="auto"/>
              <w:rPr>
                <w:rFonts w:cstheme="minorHAnsi"/>
                <w:sz w:val="20"/>
                <w:szCs w:val="20"/>
                <w:lang w:eastAsia="sk-SK"/>
              </w:rPr>
            </w:pPr>
            <w:r w:rsidRPr="00F64D3B">
              <w:rPr>
                <w:rFonts w:cstheme="minorHAnsi"/>
                <w:b/>
                <w:bCs/>
                <w:sz w:val="20"/>
                <w:szCs w:val="20"/>
                <w:lang w:eastAsia="sk-SK"/>
              </w:rPr>
              <w:t>Bežné výdavky</w:t>
            </w:r>
            <w:r w:rsidRPr="00F64D3B">
              <w:rPr>
                <w:rFonts w:cstheme="minorHAnsi"/>
                <w:sz w:val="20"/>
                <w:szCs w:val="20"/>
                <w:lang w:eastAsia="sk-SK"/>
              </w:rPr>
              <w:t xml:space="preserve"> </w:t>
            </w:r>
          </w:p>
        </w:tc>
        <w:tc>
          <w:tcPr>
            <w:tcW w:w="0" w:type="auto"/>
            <w:shd w:val="clear" w:color="auto" w:fill="D9D9D9"/>
            <w:noWrap/>
            <w:hideMark/>
          </w:tcPr>
          <w:p w14:paraId="567FE02E" w14:textId="77777777" w:rsidR="00C741A9" w:rsidRPr="00C741A9" w:rsidRDefault="00C741A9" w:rsidP="00D40061">
            <w:pPr>
              <w:spacing w:after="0" w:line="240" w:lineRule="auto"/>
              <w:jc w:val="right"/>
              <w:rPr>
                <w:rFonts w:cstheme="minorHAnsi"/>
                <w:b/>
                <w:bCs/>
                <w:sz w:val="20"/>
                <w:szCs w:val="20"/>
                <w:lang w:eastAsia="sk-SK"/>
              </w:rPr>
            </w:pPr>
            <w:r w:rsidRPr="00C741A9">
              <w:rPr>
                <w:b/>
                <w:bCs/>
                <w:sz w:val="20"/>
                <w:szCs w:val="20"/>
              </w:rPr>
              <w:t>9 416 800,00</w:t>
            </w:r>
          </w:p>
        </w:tc>
        <w:tc>
          <w:tcPr>
            <w:tcW w:w="753" w:type="pct"/>
            <w:shd w:val="clear" w:color="auto" w:fill="D9D9D9"/>
            <w:noWrap/>
            <w:hideMark/>
          </w:tcPr>
          <w:p w14:paraId="02C83A0D" w14:textId="77777777" w:rsidR="00C741A9" w:rsidRPr="00C741A9" w:rsidRDefault="00C741A9" w:rsidP="00D40061">
            <w:pPr>
              <w:spacing w:after="0" w:line="240" w:lineRule="auto"/>
              <w:jc w:val="right"/>
              <w:rPr>
                <w:rFonts w:cstheme="minorHAnsi"/>
                <w:b/>
                <w:bCs/>
                <w:sz w:val="20"/>
                <w:szCs w:val="20"/>
                <w:lang w:eastAsia="sk-SK"/>
              </w:rPr>
            </w:pPr>
            <w:r w:rsidRPr="00C741A9">
              <w:rPr>
                <w:b/>
                <w:bCs/>
                <w:sz w:val="20"/>
                <w:szCs w:val="20"/>
              </w:rPr>
              <w:t>9 300 974,00</w:t>
            </w:r>
          </w:p>
        </w:tc>
        <w:tc>
          <w:tcPr>
            <w:tcW w:w="645" w:type="pct"/>
            <w:shd w:val="clear" w:color="auto" w:fill="D9D9D9"/>
            <w:noWrap/>
            <w:hideMark/>
          </w:tcPr>
          <w:p w14:paraId="5667C96E" w14:textId="77777777" w:rsidR="00C741A9" w:rsidRPr="00C741A9" w:rsidRDefault="00C741A9" w:rsidP="00D40061">
            <w:pPr>
              <w:spacing w:after="0" w:line="240" w:lineRule="auto"/>
              <w:jc w:val="right"/>
              <w:rPr>
                <w:rFonts w:cstheme="minorHAnsi"/>
                <w:b/>
                <w:bCs/>
                <w:sz w:val="20"/>
                <w:szCs w:val="20"/>
                <w:lang w:eastAsia="sk-SK"/>
              </w:rPr>
            </w:pPr>
            <w:r w:rsidRPr="00C741A9">
              <w:rPr>
                <w:b/>
                <w:bCs/>
                <w:sz w:val="20"/>
                <w:szCs w:val="20"/>
              </w:rPr>
              <w:t>8 308 297,31</w:t>
            </w:r>
          </w:p>
        </w:tc>
        <w:tc>
          <w:tcPr>
            <w:tcW w:w="535" w:type="pct"/>
            <w:shd w:val="clear" w:color="auto" w:fill="D9D9D9"/>
            <w:noWrap/>
            <w:vAlign w:val="center"/>
            <w:hideMark/>
          </w:tcPr>
          <w:p w14:paraId="66A77074" w14:textId="77777777" w:rsidR="00C741A9" w:rsidRPr="00F64D3B" w:rsidRDefault="00C741A9" w:rsidP="00D40061">
            <w:pPr>
              <w:spacing w:after="0" w:line="240" w:lineRule="auto"/>
              <w:jc w:val="right"/>
              <w:rPr>
                <w:rFonts w:cstheme="minorHAnsi"/>
                <w:sz w:val="20"/>
                <w:szCs w:val="20"/>
                <w:lang w:eastAsia="sk-SK"/>
              </w:rPr>
            </w:pPr>
            <w:r>
              <w:rPr>
                <w:rFonts w:cstheme="minorHAnsi"/>
                <w:b/>
                <w:bCs/>
                <w:sz w:val="20"/>
                <w:szCs w:val="20"/>
                <w:lang w:eastAsia="sk-SK"/>
              </w:rPr>
              <w:t>8</w:t>
            </w:r>
            <w:r w:rsidRPr="00F64D3B">
              <w:rPr>
                <w:rFonts w:cstheme="minorHAnsi"/>
                <w:b/>
                <w:bCs/>
                <w:sz w:val="20"/>
                <w:szCs w:val="20"/>
                <w:lang w:eastAsia="sk-SK"/>
              </w:rPr>
              <w:t>9,</w:t>
            </w:r>
            <w:r>
              <w:rPr>
                <w:rFonts w:cstheme="minorHAnsi"/>
                <w:b/>
                <w:bCs/>
                <w:sz w:val="20"/>
                <w:szCs w:val="20"/>
                <w:lang w:eastAsia="sk-SK"/>
              </w:rPr>
              <w:t>33</w:t>
            </w:r>
            <w:r w:rsidRPr="00F64D3B">
              <w:rPr>
                <w:rFonts w:cstheme="minorHAnsi"/>
                <w:sz w:val="20"/>
                <w:szCs w:val="20"/>
                <w:lang w:eastAsia="sk-SK"/>
              </w:rPr>
              <w:t xml:space="preserve"> </w:t>
            </w:r>
          </w:p>
        </w:tc>
        <w:tc>
          <w:tcPr>
            <w:tcW w:w="994" w:type="pct"/>
            <w:vMerge/>
            <w:shd w:val="clear" w:color="auto" w:fill="D9D9D9"/>
            <w:vAlign w:val="center"/>
            <w:hideMark/>
          </w:tcPr>
          <w:p w14:paraId="40920DC6" w14:textId="77777777" w:rsidR="00C741A9" w:rsidRPr="00F64D3B" w:rsidRDefault="00C741A9" w:rsidP="00D40061">
            <w:pPr>
              <w:spacing w:after="0" w:line="240" w:lineRule="auto"/>
              <w:jc w:val="right"/>
              <w:rPr>
                <w:rFonts w:cstheme="minorHAnsi"/>
                <w:sz w:val="20"/>
                <w:szCs w:val="20"/>
                <w:lang w:eastAsia="sk-SK"/>
              </w:rPr>
            </w:pPr>
          </w:p>
        </w:tc>
      </w:tr>
      <w:tr w:rsidR="00C741A9" w:rsidRPr="00F64D3B" w14:paraId="43D7FBC2" w14:textId="77777777" w:rsidTr="00C741A9">
        <w:trPr>
          <w:tblCellSpacing w:w="15" w:type="dxa"/>
        </w:trPr>
        <w:tc>
          <w:tcPr>
            <w:tcW w:w="0" w:type="auto"/>
            <w:shd w:val="clear" w:color="auto" w:fill="EFEFEF"/>
            <w:noWrap/>
            <w:vAlign w:val="center"/>
            <w:hideMark/>
          </w:tcPr>
          <w:p w14:paraId="00F0B0A4"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610 </w:t>
            </w:r>
          </w:p>
        </w:tc>
        <w:tc>
          <w:tcPr>
            <w:tcW w:w="0" w:type="auto"/>
            <w:shd w:val="clear" w:color="auto" w:fill="EFEFEF"/>
            <w:vAlign w:val="center"/>
            <w:hideMark/>
          </w:tcPr>
          <w:p w14:paraId="2CB53AF4"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Mzdy, platy, ... </w:t>
            </w:r>
          </w:p>
        </w:tc>
        <w:tc>
          <w:tcPr>
            <w:tcW w:w="0" w:type="auto"/>
            <w:shd w:val="clear" w:color="auto" w:fill="EFEFEF"/>
            <w:noWrap/>
            <w:vAlign w:val="center"/>
            <w:hideMark/>
          </w:tcPr>
          <w:p w14:paraId="3FA35F09" w14:textId="77777777" w:rsidR="00C741A9" w:rsidRPr="00F64D3B" w:rsidRDefault="00C741A9" w:rsidP="00D40061">
            <w:pPr>
              <w:spacing w:after="0" w:line="240" w:lineRule="auto"/>
              <w:jc w:val="right"/>
              <w:rPr>
                <w:rFonts w:cstheme="minorHAnsi"/>
                <w:sz w:val="20"/>
                <w:szCs w:val="20"/>
                <w:lang w:eastAsia="sk-SK"/>
              </w:rPr>
            </w:pPr>
            <w:r w:rsidRPr="00675D6F">
              <w:rPr>
                <w:rFonts w:cstheme="minorHAnsi"/>
                <w:sz w:val="20"/>
                <w:szCs w:val="20"/>
                <w:lang w:eastAsia="sk-SK"/>
              </w:rPr>
              <w:t>6 726</w:t>
            </w:r>
            <w:r>
              <w:rPr>
                <w:rFonts w:cstheme="minorHAnsi"/>
                <w:sz w:val="20"/>
                <w:szCs w:val="20"/>
                <w:lang w:eastAsia="sk-SK"/>
              </w:rPr>
              <w:t> </w:t>
            </w:r>
            <w:r w:rsidRPr="00675D6F">
              <w:rPr>
                <w:rFonts w:cstheme="minorHAnsi"/>
                <w:sz w:val="20"/>
                <w:szCs w:val="20"/>
                <w:lang w:eastAsia="sk-SK"/>
              </w:rPr>
              <w:t>800</w:t>
            </w:r>
            <w:r>
              <w:rPr>
                <w:rFonts w:cstheme="minorHAnsi"/>
                <w:sz w:val="20"/>
                <w:szCs w:val="20"/>
                <w:lang w:eastAsia="sk-SK"/>
              </w:rPr>
              <w:t>,00</w:t>
            </w:r>
          </w:p>
        </w:tc>
        <w:tc>
          <w:tcPr>
            <w:tcW w:w="753" w:type="pct"/>
            <w:shd w:val="clear" w:color="auto" w:fill="EFEFEF"/>
            <w:noWrap/>
            <w:vAlign w:val="center"/>
            <w:hideMark/>
          </w:tcPr>
          <w:p w14:paraId="7981AAAE" w14:textId="77777777" w:rsidR="00C741A9" w:rsidRPr="00F64D3B" w:rsidRDefault="00C741A9" w:rsidP="00D40061">
            <w:pPr>
              <w:spacing w:after="0" w:line="240" w:lineRule="auto"/>
              <w:jc w:val="right"/>
              <w:rPr>
                <w:rFonts w:cstheme="minorHAnsi"/>
                <w:sz w:val="20"/>
                <w:szCs w:val="20"/>
                <w:lang w:eastAsia="sk-SK"/>
              </w:rPr>
            </w:pPr>
            <w:r w:rsidRPr="00675D6F">
              <w:rPr>
                <w:rFonts w:cstheme="minorHAnsi"/>
                <w:sz w:val="20"/>
                <w:szCs w:val="20"/>
                <w:lang w:eastAsia="sk-SK"/>
              </w:rPr>
              <w:t>6 372</w:t>
            </w:r>
            <w:r>
              <w:rPr>
                <w:rFonts w:cstheme="minorHAnsi"/>
                <w:sz w:val="20"/>
                <w:szCs w:val="20"/>
                <w:lang w:eastAsia="sk-SK"/>
              </w:rPr>
              <w:t> </w:t>
            </w:r>
            <w:r w:rsidRPr="00675D6F">
              <w:rPr>
                <w:rFonts w:cstheme="minorHAnsi"/>
                <w:sz w:val="20"/>
                <w:szCs w:val="20"/>
                <w:lang w:eastAsia="sk-SK"/>
              </w:rPr>
              <w:t>568</w:t>
            </w:r>
            <w:r>
              <w:rPr>
                <w:rFonts w:cstheme="minorHAnsi"/>
                <w:sz w:val="20"/>
                <w:szCs w:val="20"/>
                <w:lang w:eastAsia="sk-SK"/>
              </w:rPr>
              <w:t>,00</w:t>
            </w:r>
          </w:p>
        </w:tc>
        <w:tc>
          <w:tcPr>
            <w:tcW w:w="645" w:type="pct"/>
            <w:shd w:val="clear" w:color="auto" w:fill="EFEFEF"/>
            <w:noWrap/>
            <w:vAlign w:val="center"/>
            <w:hideMark/>
          </w:tcPr>
          <w:p w14:paraId="7E7DC59A" w14:textId="77777777" w:rsidR="00C741A9" w:rsidRPr="00F64D3B" w:rsidRDefault="00C741A9" w:rsidP="00D40061">
            <w:pPr>
              <w:spacing w:after="0" w:line="240" w:lineRule="auto"/>
              <w:jc w:val="right"/>
              <w:rPr>
                <w:rFonts w:cstheme="minorHAnsi"/>
                <w:sz w:val="20"/>
                <w:szCs w:val="20"/>
                <w:lang w:eastAsia="sk-SK"/>
              </w:rPr>
            </w:pPr>
            <w:r w:rsidRPr="00675D6F">
              <w:rPr>
                <w:rFonts w:cstheme="minorHAnsi"/>
                <w:sz w:val="20"/>
                <w:szCs w:val="20"/>
                <w:lang w:eastAsia="sk-SK"/>
              </w:rPr>
              <w:t>5 794 021,47</w:t>
            </w:r>
          </w:p>
        </w:tc>
        <w:tc>
          <w:tcPr>
            <w:tcW w:w="535" w:type="pct"/>
            <w:shd w:val="clear" w:color="auto" w:fill="EFEFEF"/>
            <w:noWrap/>
            <w:vAlign w:val="center"/>
            <w:hideMark/>
          </w:tcPr>
          <w:p w14:paraId="3A129078" w14:textId="77777777" w:rsidR="00C741A9" w:rsidRPr="00F64D3B" w:rsidRDefault="00C741A9" w:rsidP="00D40061">
            <w:pPr>
              <w:spacing w:after="0" w:line="240" w:lineRule="auto"/>
              <w:jc w:val="right"/>
              <w:rPr>
                <w:rFonts w:cstheme="minorHAnsi"/>
                <w:sz w:val="20"/>
                <w:szCs w:val="20"/>
                <w:lang w:eastAsia="sk-SK"/>
              </w:rPr>
            </w:pPr>
            <w:r w:rsidRPr="00F64D3B">
              <w:rPr>
                <w:rFonts w:cstheme="minorHAnsi"/>
                <w:sz w:val="20"/>
                <w:szCs w:val="20"/>
                <w:lang w:eastAsia="sk-SK"/>
              </w:rPr>
              <w:t>9</w:t>
            </w:r>
            <w:r>
              <w:rPr>
                <w:rFonts w:cstheme="minorHAnsi"/>
                <w:sz w:val="20"/>
                <w:szCs w:val="20"/>
                <w:lang w:eastAsia="sk-SK"/>
              </w:rPr>
              <w:t>0,92</w:t>
            </w:r>
            <w:r w:rsidRPr="00F64D3B">
              <w:rPr>
                <w:rFonts w:cstheme="minorHAnsi"/>
                <w:sz w:val="20"/>
                <w:szCs w:val="20"/>
                <w:lang w:eastAsia="sk-SK"/>
              </w:rPr>
              <w:t xml:space="preserve"> </w:t>
            </w:r>
          </w:p>
        </w:tc>
        <w:tc>
          <w:tcPr>
            <w:tcW w:w="994" w:type="pct"/>
            <w:vMerge/>
            <w:shd w:val="clear" w:color="auto" w:fill="EFEFEF"/>
            <w:vAlign w:val="center"/>
            <w:hideMark/>
          </w:tcPr>
          <w:p w14:paraId="753D183E" w14:textId="77777777" w:rsidR="00C741A9" w:rsidRPr="00F64D3B" w:rsidRDefault="00C741A9" w:rsidP="00D40061">
            <w:pPr>
              <w:spacing w:after="0" w:line="240" w:lineRule="auto"/>
              <w:rPr>
                <w:rFonts w:cstheme="minorHAnsi"/>
                <w:sz w:val="20"/>
                <w:szCs w:val="20"/>
                <w:lang w:eastAsia="sk-SK"/>
              </w:rPr>
            </w:pPr>
          </w:p>
        </w:tc>
      </w:tr>
      <w:tr w:rsidR="00C741A9" w:rsidRPr="00F64D3B" w14:paraId="103B4A0D" w14:textId="77777777" w:rsidTr="00C741A9">
        <w:trPr>
          <w:tblCellSpacing w:w="15" w:type="dxa"/>
        </w:trPr>
        <w:tc>
          <w:tcPr>
            <w:tcW w:w="0" w:type="auto"/>
            <w:shd w:val="clear" w:color="auto" w:fill="EFEFEF"/>
            <w:noWrap/>
            <w:vAlign w:val="center"/>
            <w:hideMark/>
          </w:tcPr>
          <w:p w14:paraId="4FE2176B"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620 </w:t>
            </w:r>
          </w:p>
        </w:tc>
        <w:tc>
          <w:tcPr>
            <w:tcW w:w="0" w:type="auto"/>
            <w:shd w:val="clear" w:color="auto" w:fill="EFEFEF"/>
            <w:vAlign w:val="center"/>
            <w:hideMark/>
          </w:tcPr>
          <w:p w14:paraId="2FA94AD3"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Poistné do poisťovní </w:t>
            </w:r>
          </w:p>
        </w:tc>
        <w:tc>
          <w:tcPr>
            <w:tcW w:w="0" w:type="auto"/>
            <w:shd w:val="clear" w:color="auto" w:fill="EFEFEF"/>
            <w:noWrap/>
            <w:vAlign w:val="center"/>
            <w:hideMark/>
          </w:tcPr>
          <w:p w14:paraId="0CA84A29" w14:textId="77777777" w:rsidR="00C741A9" w:rsidRPr="00F64D3B" w:rsidRDefault="00C741A9" w:rsidP="00D40061">
            <w:pPr>
              <w:spacing w:after="0" w:line="240" w:lineRule="auto"/>
              <w:jc w:val="right"/>
              <w:rPr>
                <w:rFonts w:cstheme="minorHAnsi"/>
                <w:sz w:val="20"/>
                <w:szCs w:val="20"/>
                <w:lang w:eastAsia="sk-SK"/>
              </w:rPr>
            </w:pPr>
            <w:r w:rsidRPr="00F64D3B">
              <w:rPr>
                <w:rFonts w:cstheme="minorHAnsi"/>
                <w:sz w:val="20"/>
                <w:szCs w:val="20"/>
                <w:lang w:eastAsia="sk-SK"/>
              </w:rPr>
              <w:t>2 3</w:t>
            </w:r>
            <w:r>
              <w:rPr>
                <w:rFonts w:cstheme="minorHAnsi"/>
                <w:sz w:val="20"/>
                <w:szCs w:val="20"/>
                <w:lang w:eastAsia="sk-SK"/>
              </w:rPr>
              <w:t>00</w:t>
            </w:r>
            <w:r w:rsidRPr="00F64D3B">
              <w:rPr>
                <w:rFonts w:cstheme="minorHAnsi"/>
                <w:sz w:val="20"/>
                <w:szCs w:val="20"/>
                <w:lang w:eastAsia="sk-SK"/>
              </w:rPr>
              <w:t xml:space="preserve"> </w:t>
            </w:r>
            <w:r>
              <w:rPr>
                <w:rFonts w:cstheme="minorHAnsi"/>
                <w:sz w:val="20"/>
                <w:szCs w:val="20"/>
                <w:lang w:eastAsia="sk-SK"/>
              </w:rPr>
              <w:t>000</w:t>
            </w:r>
            <w:r w:rsidRPr="00F64D3B">
              <w:rPr>
                <w:rFonts w:cstheme="minorHAnsi"/>
                <w:sz w:val="20"/>
                <w:szCs w:val="20"/>
                <w:lang w:eastAsia="sk-SK"/>
              </w:rPr>
              <w:t>,0</w:t>
            </w:r>
            <w:r>
              <w:rPr>
                <w:rFonts w:cstheme="minorHAnsi"/>
                <w:sz w:val="20"/>
                <w:szCs w:val="20"/>
                <w:lang w:eastAsia="sk-SK"/>
              </w:rPr>
              <w:t>0</w:t>
            </w:r>
            <w:r w:rsidRPr="00F64D3B">
              <w:rPr>
                <w:rFonts w:cstheme="minorHAnsi"/>
                <w:sz w:val="20"/>
                <w:szCs w:val="20"/>
                <w:lang w:eastAsia="sk-SK"/>
              </w:rPr>
              <w:t xml:space="preserve"> </w:t>
            </w:r>
          </w:p>
        </w:tc>
        <w:tc>
          <w:tcPr>
            <w:tcW w:w="753" w:type="pct"/>
            <w:shd w:val="clear" w:color="auto" w:fill="EFEFEF"/>
            <w:noWrap/>
            <w:vAlign w:val="center"/>
            <w:hideMark/>
          </w:tcPr>
          <w:p w14:paraId="2F31C1A4" w14:textId="77777777" w:rsidR="00C741A9" w:rsidRPr="00F64D3B" w:rsidRDefault="00C741A9" w:rsidP="00D40061">
            <w:pPr>
              <w:spacing w:after="0" w:line="240" w:lineRule="auto"/>
              <w:jc w:val="right"/>
              <w:rPr>
                <w:rFonts w:cstheme="minorHAnsi"/>
                <w:sz w:val="20"/>
                <w:szCs w:val="20"/>
                <w:lang w:eastAsia="sk-SK"/>
              </w:rPr>
            </w:pPr>
            <w:r w:rsidRPr="00CE0376">
              <w:rPr>
                <w:rFonts w:cstheme="minorHAnsi"/>
                <w:sz w:val="20"/>
                <w:szCs w:val="20"/>
                <w:lang w:eastAsia="sk-SK"/>
              </w:rPr>
              <w:t>2 492 316,37</w:t>
            </w:r>
          </w:p>
        </w:tc>
        <w:tc>
          <w:tcPr>
            <w:tcW w:w="645" w:type="pct"/>
            <w:shd w:val="clear" w:color="auto" w:fill="EFEFEF"/>
            <w:noWrap/>
            <w:vAlign w:val="center"/>
            <w:hideMark/>
          </w:tcPr>
          <w:p w14:paraId="22DE73A4" w14:textId="77777777" w:rsidR="00C741A9" w:rsidRPr="00F64D3B" w:rsidRDefault="00C741A9" w:rsidP="00D40061">
            <w:pPr>
              <w:spacing w:after="0" w:line="240" w:lineRule="auto"/>
              <w:jc w:val="right"/>
              <w:rPr>
                <w:rFonts w:cstheme="minorHAnsi"/>
                <w:sz w:val="20"/>
                <w:szCs w:val="20"/>
                <w:lang w:eastAsia="sk-SK"/>
              </w:rPr>
            </w:pPr>
            <w:r w:rsidRPr="00CE0376">
              <w:rPr>
                <w:rFonts w:cstheme="minorHAnsi"/>
                <w:sz w:val="20"/>
                <w:szCs w:val="20"/>
                <w:lang w:eastAsia="sk-SK"/>
              </w:rPr>
              <w:t>2 147 879,57</w:t>
            </w:r>
          </w:p>
        </w:tc>
        <w:tc>
          <w:tcPr>
            <w:tcW w:w="535" w:type="pct"/>
            <w:shd w:val="clear" w:color="auto" w:fill="EFEFEF"/>
            <w:noWrap/>
            <w:vAlign w:val="center"/>
            <w:hideMark/>
          </w:tcPr>
          <w:p w14:paraId="4B0723DC" w14:textId="77777777" w:rsidR="00C741A9" w:rsidRPr="00F64D3B" w:rsidRDefault="00C741A9" w:rsidP="00D40061">
            <w:pPr>
              <w:spacing w:after="0" w:line="240" w:lineRule="auto"/>
              <w:jc w:val="right"/>
              <w:rPr>
                <w:rFonts w:cstheme="minorHAnsi"/>
                <w:sz w:val="20"/>
                <w:szCs w:val="20"/>
                <w:lang w:eastAsia="sk-SK"/>
              </w:rPr>
            </w:pPr>
            <w:r>
              <w:rPr>
                <w:rFonts w:cstheme="minorHAnsi"/>
                <w:sz w:val="20"/>
                <w:szCs w:val="20"/>
                <w:lang w:eastAsia="sk-SK"/>
              </w:rPr>
              <w:t>86</w:t>
            </w:r>
            <w:r w:rsidRPr="00F64D3B">
              <w:rPr>
                <w:rFonts w:cstheme="minorHAnsi"/>
                <w:sz w:val="20"/>
                <w:szCs w:val="20"/>
                <w:lang w:eastAsia="sk-SK"/>
              </w:rPr>
              <w:t>,</w:t>
            </w:r>
            <w:r>
              <w:rPr>
                <w:rFonts w:cstheme="minorHAnsi"/>
                <w:sz w:val="20"/>
                <w:szCs w:val="20"/>
                <w:lang w:eastAsia="sk-SK"/>
              </w:rPr>
              <w:t>18</w:t>
            </w:r>
            <w:r w:rsidRPr="00F64D3B">
              <w:rPr>
                <w:rFonts w:cstheme="minorHAnsi"/>
                <w:sz w:val="20"/>
                <w:szCs w:val="20"/>
                <w:lang w:eastAsia="sk-SK"/>
              </w:rPr>
              <w:t xml:space="preserve"> </w:t>
            </w:r>
          </w:p>
        </w:tc>
        <w:tc>
          <w:tcPr>
            <w:tcW w:w="994" w:type="pct"/>
            <w:vMerge/>
            <w:shd w:val="clear" w:color="auto" w:fill="EFEFEF"/>
            <w:vAlign w:val="center"/>
            <w:hideMark/>
          </w:tcPr>
          <w:p w14:paraId="6BF77B1F" w14:textId="77777777" w:rsidR="00C741A9" w:rsidRPr="00F64D3B" w:rsidRDefault="00C741A9" w:rsidP="00D40061">
            <w:pPr>
              <w:spacing w:after="0" w:line="240" w:lineRule="auto"/>
              <w:rPr>
                <w:rFonts w:cstheme="minorHAnsi"/>
                <w:sz w:val="20"/>
                <w:szCs w:val="20"/>
                <w:lang w:eastAsia="sk-SK"/>
              </w:rPr>
            </w:pPr>
          </w:p>
        </w:tc>
      </w:tr>
      <w:tr w:rsidR="00C741A9" w:rsidRPr="00F64D3B" w14:paraId="3E8D855E" w14:textId="77777777" w:rsidTr="00C741A9">
        <w:trPr>
          <w:tblCellSpacing w:w="15" w:type="dxa"/>
        </w:trPr>
        <w:tc>
          <w:tcPr>
            <w:tcW w:w="0" w:type="auto"/>
            <w:shd w:val="clear" w:color="auto" w:fill="EFEFEF"/>
            <w:noWrap/>
            <w:vAlign w:val="center"/>
            <w:hideMark/>
          </w:tcPr>
          <w:p w14:paraId="4D949CE1"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630 </w:t>
            </w:r>
          </w:p>
        </w:tc>
        <w:tc>
          <w:tcPr>
            <w:tcW w:w="0" w:type="auto"/>
            <w:shd w:val="clear" w:color="auto" w:fill="EFEFEF"/>
            <w:vAlign w:val="center"/>
            <w:hideMark/>
          </w:tcPr>
          <w:p w14:paraId="59533A81"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Tovary a služby </w:t>
            </w:r>
          </w:p>
        </w:tc>
        <w:tc>
          <w:tcPr>
            <w:tcW w:w="0" w:type="auto"/>
            <w:shd w:val="clear" w:color="auto" w:fill="EFEFEF"/>
            <w:noWrap/>
            <w:vAlign w:val="center"/>
            <w:hideMark/>
          </w:tcPr>
          <w:p w14:paraId="68F84DBD" w14:textId="77777777" w:rsidR="00C741A9" w:rsidRPr="00F64D3B" w:rsidRDefault="00C741A9" w:rsidP="00D40061">
            <w:pPr>
              <w:spacing w:after="0" w:line="240" w:lineRule="auto"/>
              <w:jc w:val="right"/>
              <w:rPr>
                <w:rFonts w:cstheme="minorHAnsi"/>
                <w:sz w:val="20"/>
                <w:szCs w:val="20"/>
                <w:lang w:eastAsia="sk-SK"/>
              </w:rPr>
            </w:pPr>
            <w:r w:rsidRPr="00F64D3B">
              <w:rPr>
                <w:rFonts w:cstheme="minorHAnsi"/>
                <w:sz w:val="20"/>
                <w:szCs w:val="20"/>
                <w:lang w:eastAsia="sk-SK"/>
              </w:rPr>
              <w:t>1</w:t>
            </w:r>
            <w:r>
              <w:rPr>
                <w:rFonts w:cstheme="minorHAnsi"/>
                <w:sz w:val="20"/>
                <w:szCs w:val="20"/>
                <w:lang w:eastAsia="sk-SK"/>
              </w:rPr>
              <w:t>82</w:t>
            </w:r>
            <w:r w:rsidRPr="00F64D3B">
              <w:rPr>
                <w:rFonts w:cstheme="minorHAnsi"/>
                <w:sz w:val="20"/>
                <w:szCs w:val="20"/>
                <w:lang w:eastAsia="sk-SK"/>
              </w:rPr>
              <w:t xml:space="preserve"> 000,00 </w:t>
            </w:r>
          </w:p>
        </w:tc>
        <w:tc>
          <w:tcPr>
            <w:tcW w:w="753" w:type="pct"/>
            <w:shd w:val="clear" w:color="auto" w:fill="EFEFEF"/>
            <w:noWrap/>
            <w:vAlign w:val="center"/>
            <w:hideMark/>
          </w:tcPr>
          <w:p w14:paraId="18CB3490" w14:textId="77777777" w:rsidR="00C741A9" w:rsidRPr="00F64D3B" w:rsidRDefault="00C741A9" w:rsidP="00D40061">
            <w:pPr>
              <w:spacing w:after="0" w:line="240" w:lineRule="auto"/>
              <w:jc w:val="right"/>
              <w:rPr>
                <w:rFonts w:cstheme="minorHAnsi"/>
                <w:sz w:val="20"/>
                <w:szCs w:val="20"/>
                <w:lang w:eastAsia="sk-SK"/>
              </w:rPr>
            </w:pPr>
            <w:r w:rsidRPr="00CE0376">
              <w:rPr>
                <w:rFonts w:cstheme="minorHAnsi"/>
                <w:sz w:val="20"/>
                <w:szCs w:val="20"/>
                <w:lang w:eastAsia="sk-SK"/>
              </w:rPr>
              <w:t>172 896,77</w:t>
            </w:r>
          </w:p>
        </w:tc>
        <w:tc>
          <w:tcPr>
            <w:tcW w:w="645" w:type="pct"/>
            <w:shd w:val="clear" w:color="auto" w:fill="EFEFEF"/>
            <w:noWrap/>
            <w:vAlign w:val="center"/>
            <w:hideMark/>
          </w:tcPr>
          <w:p w14:paraId="46AC372D" w14:textId="77777777" w:rsidR="00C741A9" w:rsidRPr="00F64D3B" w:rsidRDefault="00C741A9" w:rsidP="00D40061">
            <w:pPr>
              <w:spacing w:after="0" w:line="240" w:lineRule="auto"/>
              <w:jc w:val="right"/>
              <w:rPr>
                <w:rFonts w:cstheme="minorHAnsi"/>
                <w:sz w:val="20"/>
                <w:szCs w:val="20"/>
                <w:lang w:eastAsia="sk-SK"/>
              </w:rPr>
            </w:pPr>
            <w:r w:rsidRPr="00CE0376">
              <w:rPr>
                <w:rFonts w:cstheme="minorHAnsi"/>
                <w:sz w:val="20"/>
                <w:szCs w:val="20"/>
                <w:lang w:eastAsia="sk-SK"/>
              </w:rPr>
              <w:t>170 477,41</w:t>
            </w:r>
          </w:p>
        </w:tc>
        <w:tc>
          <w:tcPr>
            <w:tcW w:w="535" w:type="pct"/>
            <w:shd w:val="clear" w:color="auto" w:fill="EFEFEF"/>
            <w:noWrap/>
            <w:vAlign w:val="center"/>
            <w:hideMark/>
          </w:tcPr>
          <w:p w14:paraId="57CDA265" w14:textId="77777777" w:rsidR="00C741A9" w:rsidRPr="00F64D3B" w:rsidRDefault="00C741A9" w:rsidP="00D40061">
            <w:pPr>
              <w:spacing w:after="0" w:line="240" w:lineRule="auto"/>
              <w:jc w:val="right"/>
              <w:rPr>
                <w:rFonts w:cstheme="minorHAnsi"/>
                <w:sz w:val="20"/>
                <w:szCs w:val="20"/>
                <w:lang w:eastAsia="sk-SK"/>
              </w:rPr>
            </w:pPr>
            <w:r w:rsidRPr="00F64D3B">
              <w:rPr>
                <w:rFonts w:cstheme="minorHAnsi"/>
                <w:sz w:val="20"/>
                <w:szCs w:val="20"/>
                <w:lang w:eastAsia="sk-SK"/>
              </w:rPr>
              <w:t>9</w:t>
            </w:r>
            <w:r>
              <w:rPr>
                <w:rFonts w:cstheme="minorHAnsi"/>
                <w:sz w:val="20"/>
                <w:szCs w:val="20"/>
                <w:lang w:eastAsia="sk-SK"/>
              </w:rPr>
              <w:t>8</w:t>
            </w:r>
            <w:r w:rsidRPr="00F64D3B">
              <w:rPr>
                <w:rFonts w:cstheme="minorHAnsi"/>
                <w:sz w:val="20"/>
                <w:szCs w:val="20"/>
                <w:lang w:eastAsia="sk-SK"/>
              </w:rPr>
              <w:t>,</w:t>
            </w:r>
            <w:r>
              <w:rPr>
                <w:rFonts w:cstheme="minorHAnsi"/>
                <w:sz w:val="20"/>
                <w:szCs w:val="20"/>
                <w:lang w:eastAsia="sk-SK"/>
              </w:rPr>
              <w:t>60</w:t>
            </w:r>
            <w:r w:rsidRPr="00F64D3B">
              <w:rPr>
                <w:rFonts w:cstheme="minorHAnsi"/>
                <w:sz w:val="20"/>
                <w:szCs w:val="20"/>
                <w:lang w:eastAsia="sk-SK"/>
              </w:rPr>
              <w:t xml:space="preserve"> </w:t>
            </w:r>
          </w:p>
        </w:tc>
        <w:tc>
          <w:tcPr>
            <w:tcW w:w="994" w:type="pct"/>
            <w:vMerge/>
            <w:shd w:val="clear" w:color="auto" w:fill="EFEFEF"/>
            <w:vAlign w:val="center"/>
            <w:hideMark/>
          </w:tcPr>
          <w:p w14:paraId="06DBEFDC" w14:textId="77777777" w:rsidR="00C741A9" w:rsidRPr="00F64D3B" w:rsidRDefault="00C741A9" w:rsidP="00D40061">
            <w:pPr>
              <w:spacing w:after="0" w:line="240" w:lineRule="auto"/>
              <w:rPr>
                <w:rFonts w:cstheme="minorHAnsi"/>
                <w:sz w:val="20"/>
                <w:szCs w:val="20"/>
                <w:lang w:eastAsia="sk-SK"/>
              </w:rPr>
            </w:pPr>
          </w:p>
        </w:tc>
      </w:tr>
      <w:tr w:rsidR="00C741A9" w:rsidRPr="00F64D3B" w14:paraId="4CE2CDC5" w14:textId="77777777" w:rsidTr="00C741A9">
        <w:trPr>
          <w:tblCellSpacing w:w="15" w:type="dxa"/>
        </w:trPr>
        <w:tc>
          <w:tcPr>
            <w:tcW w:w="0" w:type="auto"/>
            <w:shd w:val="clear" w:color="auto" w:fill="EFEFEF"/>
            <w:noWrap/>
            <w:vAlign w:val="center"/>
            <w:hideMark/>
          </w:tcPr>
          <w:p w14:paraId="564234B3"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640 </w:t>
            </w:r>
          </w:p>
        </w:tc>
        <w:tc>
          <w:tcPr>
            <w:tcW w:w="0" w:type="auto"/>
            <w:shd w:val="clear" w:color="auto" w:fill="EFEFEF"/>
            <w:vAlign w:val="center"/>
            <w:hideMark/>
          </w:tcPr>
          <w:p w14:paraId="44EC90CB" w14:textId="77777777" w:rsidR="00C741A9" w:rsidRPr="00F64D3B" w:rsidRDefault="00C741A9" w:rsidP="00D40061">
            <w:pPr>
              <w:spacing w:after="0" w:line="240" w:lineRule="auto"/>
              <w:rPr>
                <w:rFonts w:cstheme="minorHAnsi"/>
                <w:sz w:val="20"/>
                <w:szCs w:val="20"/>
                <w:lang w:eastAsia="sk-SK"/>
              </w:rPr>
            </w:pPr>
            <w:r w:rsidRPr="00F64D3B">
              <w:rPr>
                <w:rFonts w:cstheme="minorHAnsi"/>
                <w:sz w:val="20"/>
                <w:szCs w:val="20"/>
                <w:lang w:eastAsia="sk-SK"/>
              </w:rPr>
              <w:t xml:space="preserve">Bežné transfery </w:t>
            </w:r>
          </w:p>
        </w:tc>
        <w:tc>
          <w:tcPr>
            <w:tcW w:w="0" w:type="auto"/>
            <w:shd w:val="clear" w:color="auto" w:fill="EFEFEF"/>
            <w:noWrap/>
            <w:vAlign w:val="center"/>
            <w:hideMark/>
          </w:tcPr>
          <w:p w14:paraId="427B8673" w14:textId="77777777" w:rsidR="00C741A9" w:rsidRPr="00F64D3B" w:rsidRDefault="00C741A9" w:rsidP="00D40061">
            <w:pPr>
              <w:spacing w:after="0" w:line="240" w:lineRule="auto"/>
              <w:jc w:val="right"/>
              <w:rPr>
                <w:rFonts w:cstheme="minorHAnsi"/>
                <w:sz w:val="20"/>
                <w:szCs w:val="20"/>
                <w:lang w:eastAsia="sk-SK"/>
              </w:rPr>
            </w:pPr>
            <w:r>
              <w:rPr>
                <w:rFonts w:cstheme="minorHAnsi"/>
                <w:sz w:val="20"/>
                <w:szCs w:val="20"/>
                <w:lang w:eastAsia="sk-SK"/>
              </w:rPr>
              <w:t>208</w:t>
            </w:r>
            <w:r w:rsidRPr="00F64D3B">
              <w:rPr>
                <w:rFonts w:cstheme="minorHAnsi"/>
                <w:sz w:val="20"/>
                <w:szCs w:val="20"/>
                <w:lang w:eastAsia="sk-SK"/>
              </w:rPr>
              <w:t xml:space="preserve"> </w:t>
            </w:r>
            <w:r>
              <w:rPr>
                <w:rFonts w:cstheme="minorHAnsi"/>
                <w:sz w:val="20"/>
                <w:szCs w:val="20"/>
                <w:lang w:eastAsia="sk-SK"/>
              </w:rPr>
              <w:t>0</w:t>
            </w:r>
            <w:r w:rsidRPr="00F64D3B">
              <w:rPr>
                <w:rFonts w:cstheme="minorHAnsi"/>
                <w:sz w:val="20"/>
                <w:szCs w:val="20"/>
                <w:lang w:eastAsia="sk-SK"/>
              </w:rPr>
              <w:t xml:space="preserve">00,00 </w:t>
            </w:r>
          </w:p>
        </w:tc>
        <w:tc>
          <w:tcPr>
            <w:tcW w:w="753" w:type="pct"/>
            <w:shd w:val="clear" w:color="auto" w:fill="EFEFEF"/>
            <w:noWrap/>
            <w:vAlign w:val="center"/>
            <w:hideMark/>
          </w:tcPr>
          <w:p w14:paraId="17E1C74A" w14:textId="77777777" w:rsidR="00C741A9" w:rsidRPr="00F64D3B" w:rsidRDefault="00C741A9" w:rsidP="00D40061">
            <w:pPr>
              <w:spacing w:after="0" w:line="240" w:lineRule="auto"/>
              <w:jc w:val="right"/>
              <w:rPr>
                <w:rFonts w:cstheme="minorHAnsi"/>
                <w:sz w:val="20"/>
                <w:szCs w:val="20"/>
                <w:lang w:eastAsia="sk-SK"/>
              </w:rPr>
            </w:pPr>
            <w:r w:rsidRPr="00CE0376">
              <w:rPr>
                <w:rFonts w:cstheme="minorHAnsi"/>
                <w:sz w:val="20"/>
                <w:szCs w:val="20"/>
                <w:lang w:eastAsia="sk-SK"/>
              </w:rPr>
              <w:t>263 192,86</w:t>
            </w:r>
          </w:p>
        </w:tc>
        <w:tc>
          <w:tcPr>
            <w:tcW w:w="645" w:type="pct"/>
            <w:shd w:val="clear" w:color="auto" w:fill="EFEFEF"/>
            <w:noWrap/>
            <w:vAlign w:val="center"/>
            <w:hideMark/>
          </w:tcPr>
          <w:p w14:paraId="4BA72FBC" w14:textId="77777777" w:rsidR="00C741A9" w:rsidRPr="00F64D3B" w:rsidRDefault="00C741A9" w:rsidP="00D40061">
            <w:pPr>
              <w:spacing w:after="0" w:line="240" w:lineRule="auto"/>
              <w:jc w:val="right"/>
              <w:rPr>
                <w:rFonts w:cstheme="minorHAnsi"/>
                <w:sz w:val="20"/>
                <w:szCs w:val="20"/>
                <w:lang w:eastAsia="sk-SK"/>
              </w:rPr>
            </w:pPr>
            <w:r w:rsidRPr="00CE0376">
              <w:rPr>
                <w:rFonts w:cstheme="minorHAnsi"/>
                <w:sz w:val="20"/>
                <w:szCs w:val="20"/>
                <w:lang w:eastAsia="sk-SK"/>
              </w:rPr>
              <w:t>195 918,86</w:t>
            </w:r>
          </w:p>
        </w:tc>
        <w:tc>
          <w:tcPr>
            <w:tcW w:w="535" w:type="pct"/>
            <w:shd w:val="clear" w:color="auto" w:fill="EFEFEF"/>
            <w:noWrap/>
            <w:vAlign w:val="center"/>
            <w:hideMark/>
          </w:tcPr>
          <w:p w14:paraId="67DF0E92" w14:textId="77777777" w:rsidR="00C741A9" w:rsidRPr="00F64D3B" w:rsidRDefault="00C741A9" w:rsidP="00D40061">
            <w:pPr>
              <w:spacing w:after="0" w:line="240" w:lineRule="auto"/>
              <w:jc w:val="right"/>
              <w:rPr>
                <w:rFonts w:cstheme="minorHAnsi"/>
                <w:sz w:val="20"/>
                <w:szCs w:val="20"/>
                <w:lang w:eastAsia="sk-SK"/>
              </w:rPr>
            </w:pPr>
            <w:r w:rsidRPr="00F64D3B">
              <w:rPr>
                <w:rFonts w:cstheme="minorHAnsi"/>
                <w:sz w:val="20"/>
                <w:szCs w:val="20"/>
                <w:lang w:eastAsia="sk-SK"/>
              </w:rPr>
              <w:t>7</w:t>
            </w:r>
            <w:r>
              <w:rPr>
                <w:rFonts w:cstheme="minorHAnsi"/>
                <w:sz w:val="20"/>
                <w:szCs w:val="20"/>
                <w:lang w:eastAsia="sk-SK"/>
              </w:rPr>
              <w:t>4</w:t>
            </w:r>
            <w:r w:rsidRPr="00F64D3B">
              <w:rPr>
                <w:rFonts w:cstheme="minorHAnsi"/>
                <w:sz w:val="20"/>
                <w:szCs w:val="20"/>
                <w:lang w:eastAsia="sk-SK"/>
              </w:rPr>
              <w:t>,</w:t>
            </w:r>
            <w:r>
              <w:rPr>
                <w:rFonts w:cstheme="minorHAnsi"/>
                <w:sz w:val="20"/>
                <w:szCs w:val="20"/>
                <w:lang w:eastAsia="sk-SK"/>
              </w:rPr>
              <w:t>44</w:t>
            </w:r>
            <w:r w:rsidRPr="00F64D3B">
              <w:rPr>
                <w:rFonts w:cstheme="minorHAnsi"/>
                <w:sz w:val="20"/>
                <w:szCs w:val="20"/>
                <w:lang w:eastAsia="sk-SK"/>
              </w:rPr>
              <w:t xml:space="preserve"> </w:t>
            </w:r>
          </w:p>
        </w:tc>
        <w:tc>
          <w:tcPr>
            <w:tcW w:w="994" w:type="pct"/>
            <w:vMerge/>
            <w:shd w:val="clear" w:color="auto" w:fill="EFEFEF"/>
            <w:vAlign w:val="center"/>
            <w:hideMark/>
          </w:tcPr>
          <w:p w14:paraId="733ED79E" w14:textId="77777777" w:rsidR="00C741A9" w:rsidRPr="00F64D3B" w:rsidRDefault="00C741A9" w:rsidP="00D40061">
            <w:pPr>
              <w:spacing w:after="0" w:line="240" w:lineRule="auto"/>
              <w:rPr>
                <w:rFonts w:cstheme="minorHAnsi"/>
                <w:sz w:val="20"/>
                <w:szCs w:val="20"/>
                <w:lang w:eastAsia="sk-SK"/>
              </w:rPr>
            </w:pPr>
          </w:p>
        </w:tc>
      </w:tr>
    </w:tbl>
    <w:p w14:paraId="33FCE4B2" w14:textId="77777777" w:rsidR="00C741A9" w:rsidRPr="00E17E02" w:rsidRDefault="00C741A9" w:rsidP="00C741A9">
      <w:pPr>
        <w:spacing w:before="100" w:beforeAutospacing="1" w:after="100" w:afterAutospacing="1" w:line="240" w:lineRule="auto"/>
        <w:jc w:val="both"/>
        <w:rPr>
          <w:rFonts w:cstheme="minorHAnsi"/>
          <w:lang w:eastAsia="sk-SK"/>
        </w:rPr>
      </w:pPr>
      <w:r w:rsidRPr="00F64D3B">
        <w:rPr>
          <w:rFonts w:cstheme="minorHAnsi"/>
          <w:b/>
          <w:bCs/>
          <w:sz w:val="24"/>
          <w:szCs w:val="24"/>
          <w:lang w:eastAsia="sk-SK"/>
        </w:rPr>
        <w:t xml:space="preserve">Komentár: </w:t>
      </w:r>
      <w:r w:rsidRPr="00E17E02">
        <w:rPr>
          <w:rFonts w:cstheme="minorHAnsi"/>
          <w:lang w:eastAsia="sk-SK"/>
        </w:rPr>
        <w:t xml:space="preserve">V uvedenom programe sú zahrnuté finančné prostriedky na úhradu miezd a ostatných osobných vyrovnaní, povinných odvodov do poisťovní za zamestnancov Úradu BSK. V bežných transferoch sú zahrnuté výdavky na odchodné, odstupné a na nemocenské dávky. </w:t>
      </w:r>
    </w:p>
    <w:p w14:paraId="07DE4A3F" w14:textId="0999F0BD" w:rsidR="00C741A9" w:rsidRDefault="00C741A9" w:rsidP="00C741A9"/>
    <w:p w14:paraId="71B53A54" w14:textId="508BA725" w:rsidR="00352CED" w:rsidRDefault="00352CED" w:rsidP="00C741A9"/>
    <w:p w14:paraId="18980F62" w14:textId="1C92ED62" w:rsidR="00352CED" w:rsidRDefault="00352CED" w:rsidP="00C741A9"/>
    <w:p w14:paraId="4BA986B7" w14:textId="41A20A93" w:rsidR="00352CED" w:rsidRDefault="00352CED" w:rsidP="00C741A9"/>
    <w:p w14:paraId="007C790E" w14:textId="77777777" w:rsidR="00352CED" w:rsidRDefault="00352CED" w:rsidP="00C741A9"/>
    <w:p w14:paraId="6C280372" w14:textId="77777777" w:rsidR="00D40061" w:rsidRPr="003D7C36" w:rsidRDefault="00D40061" w:rsidP="00D40061">
      <w:pPr>
        <w:spacing w:before="100" w:beforeAutospacing="1" w:after="100" w:afterAutospacing="1" w:line="240" w:lineRule="auto"/>
        <w:outlineLvl w:val="1"/>
        <w:rPr>
          <w:rFonts w:cs="Calibri"/>
          <w:b/>
          <w:bCs/>
          <w:color w:val="880000"/>
          <w:sz w:val="36"/>
          <w:szCs w:val="36"/>
          <w:lang w:eastAsia="sk-SK"/>
        </w:rPr>
      </w:pPr>
      <w:r w:rsidRPr="003D7C36">
        <w:rPr>
          <w:rFonts w:cs="Calibri"/>
          <w:b/>
          <w:bCs/>
          <w:color w:val="880000"/>
          <w:sz w:val="36"/>
          <w:szCs w:val="36"/>
          <w:lang w:eastAsia="sk-SK"/>
        </w:rPr>
        <w:lastRenderedPageBreak/>
        <w:t>Program 14: Strategická podpora verejného života a rozvoja regiónu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65"/>
        <w:gridCol w:w="2023"/>
        <w:gridCol w:w="1323"/>
        <w:gridCol w:w="1552"/>
        <w:gridCol w:w="1331"/>
        <w:gridCol w:w="1125"/>
        <w:gridCol w:w="2347"/>
      </w:tblGrid>
      <w:tr w:rsidR="00D40061" w:rsidRPr="003D7C36" w14:paraId="040DFDE6" w14:textId="77777777" w:rsidTr="00D40061">
        <w:trPr>
          <w:tblCellSpacing w:w="15" w:type="dxa"/>
        </w:trPr>
        <w:tc>
          <w:tcPr>
            <w:tcW w:w="0" w:type="auto"/>
            <w:shd w:val="clear" w:color="auto" w:fill="C6DBF7"/>
            <w:vAlign w:val="center"/>
            <w:hideMark/>
          </w:tcPr>
          <w:p w14:paraId="561910D1"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Kód EK</w:t>
            </w:r>
          </w:p>
        </w:tc>
        <w:tc>
          <w:tcPr>
            <w:tcW w:w="952" w:type="pct"/>
            <w:shd w:val="clear" w:color="auto" w:fill="C6DBF7"/>
            <w:vAlign w:val="center"/>
            <w:hideMark/>
          </w:tcPr>
          <w:p w14:paraId="1AA70B0E"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Ekonomická klasifikácia</w:t>
            </w:r>
          </w:p>
        </w:tc>
        <w:tc>
          <w:tcPr>
            <w:tcW w:w="0" w:type="auto"/>
            <w:shd w:val="clear" w:color="auto" w:fill="C6DBF7"/>
            <w:vAlign w:val="center"/>
            <w:hideMark/>
          </w:tcPr>
          <w:p w14:paraId="155FC57F"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Schválený</w:t>
            </w:r>
            <w:r w:rsidRPr="003D7C36">
              <w:rPr>
                <w:rFonts w:cs="Calibri"/>
                <w:b/>
                <w:bCs/>
                <w:sz w:val="20"/>
                <w:szCs w:val="20"/>
                <w:lang w:eastAsia="sk-SK"/>
              </w:rPr>
              <w:br/>
              <w:t>rozpočet</w:t>
            </w:r>
            <w:r w:rsidRPr="003D7C36">
              <w:rPr>
                <w:rFonts w:cs="Calibri"/>
                <w:b/>
                <w:bCs/>
                <w:sz w:val="20"/>
                <w:szCs w:val="20"/>
                <w:lang w:eastAsia="sk-SK"/>
              </w:rPr>
              <w:br/>
              <w:t>v EUR</w:t>
            </w:r>
          </w:p>
        </w:tc>
        <w:tc>
          <w:tcPr>
            <w:tcW w:w="748" w:type="pct"/>
            <w:shd w:val="clear" w:color="auto" w:fill="C6DBF7"/>
            <w:vAlign w:val="center"/>
            <w:hideMark/>
          </w:tcPr>
          <w:p w14:paraId="16284F76"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Zmenený</w:t>
            </w:r>
            <w:r w:rsidRPr="003D7C36">
              <w:rPr>
                <w:rFonts w:cs="Calibri"/>
                <w:b/>
                <w:bCs/>
                <w:sz w:val="20"/>
                <w:szCs w:val="20"/>
                <w:lang w:eastAsia="sk-SK"/>
              </w:rPr>
              <w:br/>
              <w:t>rozpočet</w:t>
            </w:r>
            <w:r w:rsidRPr="003D7C36">
              <w:rPr>
                <w:rFonts w:cs="Calibri"/>
                <w:b/>
                <w:bCs/>
                <w:sz w:val="20"/>
                <w:szCs w:val="20"/>
                <w:lang w:eastAsia="sk-SK"/>
              </w:rPr>
              <w:br/>
              <w:t>v EUR</w:t>
            </w:r>
          </w:p>
        </w:tc>
        <w:tc>
          <w:tcPr>
            <w:tcW w:w="640" w:type="pct"/>
            <w:shd w:val="clear" w:color="auto" w:fill="C6DBF7"/>
            <w:vAlign w:val="center"/>
            <w:hideMark/>
          </w:tcPr>
          <w:p w14:paraId="237D2FCB"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v EUR</w:t>
            </w:r>
          </w:p>
        </w:tc>
        <w:tc>
          <w:tcPr>
            <w:tcW w:w="539" w:type="pct"/>
            <w:shd w:val="clear" w:color="auto" w:fill="C6DBF7"/>
            <w:vAlign w:val="center"/>
            <w:hideMark/>
          </w:tcPr>
          <w:p w14:paraId="149F54FE"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 xml:space="preserve">k </w:t>
            </w:r>
            <w:proofErr w:type="spellStart"/>
            <w:r w:rsidRPr="003D7C36">
              <w:rPr>
                <w:rFonts w:cs="Calibri"/>
                <w:b/>
                <w:bCs/>
                <w:sz w:val="20"/>
                <w:szCs w:val="20"/>
                <w:lang w:eastAsia="sk-SK"/>
              </w:rPr>
              <w:t>zmen</w:t>
            </w:r>
            <w:proofErr w:type="spellEnd"/>
            <w:r w:rsidRPr="003D7C36">
              <w:rPr>
                <w:rFonts w:cs="Calibri"/>
                <w:b/>
                <w:bCs/>
                <w:sz w:val="20"/>
                <w:szCs w:val="20"/>
                <w:lang w:eastAsia="sk-SK"/>
              </w:rPr>
              <w:t xml:space="preserve">. </w:t>
            </w:r>
            <w:proofErr w:type="spellStart"/>
            <w:r w:rsidRPr="003D7C36">
              <w:rPr>
                <w:rFonts w:cs="Calibri"/>
                <w:b/>
                <w:bCs/>
                <w:sz w:val="20"/>
                <w:szCs w:val="20"/>
                <w:lang w:eastAsia="sk-SK"/>
              </w:rPr>
              <w:t>rozp</w:t>
            </w:r>
            <w:proofErr w:type="spellEnd"/>
            <w:r w:rsidRPr="003D7C36">
              <w:rPr>
                <w:rFonts w:cs="Calibri"/>
                <w:b/>
                <w:bCs/>
                <w:sz w:val="20"/>
                <w:szCs w:val="20"/>
                <w:lang w:eastAsia="sk-SK"/>
              </w:rPr>
              <w:t>.</w:t>
            </w:r>
            <w:r w:rsidRPr="003D7C36">
              <w:rPr>
                <w:rFonts w:cs="Calibri"/>
                <w:b/>
                <w:bCs/>
                <w:sz w:val="20"/>
                <w:szCs w:val="20"/>
                <w:lang w:eastAsia="sk-SK"/>
              </w:rPr>
              <w:br/>
              <w:t>v %</w:t>
            </w:r>
          </w:p>
        </w:tc>
        <w:tc>
          <w:tcPr>
            <w:tcW w:w="1129" w:type="pct"/>
            <w:shd w:val="clear" w:color="auto" w:fill="C6DBF7"/>
            <w:vAlign w:val="center"/>
            <w:hideMark/>
          </w:tcPr>
          <w:p w14:paraId="3F8C4A5F"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Zmeny rozpočtu</w:t>
            </w:r>
          </w:p>
        </w:tc>
      </w:tr>
      <w:tr w:rsidR="00D40061" w:rsidRPr="003D7C36" w14:paraId="0C8731F0" w14:textId="77777777" w:rsidTr="00D40061">
        <w:trPr>
          <w:tblCellSpacing w:w="15" w:type="dxa"/>
        </w:trPr>
        <w:tc>
          <w:tcPr>
            <w:tcW w:w="0" w:type="auto"/>
            <w:shd w:val="clear" w:color="auto" w:fill="D9D9D9"/>
            <w:noWrap/>
            <w:vAlign w:val="center"/>
            <w:hideMark/>
          </w:tcPr>
          <w:p w14:paraId="27D21CCD" w14:textId="77777777" w:rsidR="00D40061" w:rsidRPr="003D7C36" w:rsidRDefault="00D40061" w:rsidP="00D40061">
            <w:pPr>
              <w:spacing w:after="0" w:line="240" w:lineRule="auto"/>
              <w:jc w:val="center"/>
              <w:rPr>
                <w:rFonts w:cs="Calibri"/>
                <w:sz w:val="24"/>
                <w:szCs w:val="24"/>
                <w:lang w:eastAsia="sk-SK"/>
              </w:rPr>
            </w:pPr>
          </w:p>
        </w:tc>
        <w:tc>
          <w:tcPr>
            <w:tcW w:w="0" w:type="auto"/>
            <w:shd w:val="clear" w:color="auto" w:fill="D9D9D9"/>
            <w:vAlign w:val="center"/>
            <w:hideMark/>
          </w:tcPr>
          <w:p w14:paraId="42A79972"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Výdavky celkom</w:t>
            </w:r>
            <w:r w:rsidRPr="003D7C36">
              <w:rPr>
                <w:rFonts w:cs="Calibri"/>
                <w:sz w:val="24"/>
                <w:szCs w:val="24"/>
                <w:lang w:eastAsia="sk-SK"/>
              </w:rPr>
              <w:t xml:space="preserve"> </w:t>
            </w:r>
          </w:p>
        </w:tc>
        <w:tc>
          <w:tcPr>
            <w:tcW w:w="0" w:type="auto"/>
            <w:shd w:val="clear" w:color="auto" w:fill="D9D9D9"/>
            <w:noWrap/>
            <w:vAlign w:val="center"/>
            <w:hideMark/>
          </w:tcPr>
          <w:p w14:paraId="32B6945D"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2 000 000,00</w:t>
            </w:r>
            <w:r w:rsidRPr="003D7C36">
              <w:rPr>
                <w:rFonts w:cs="Calibri"/>
                <w:sz w:val="24"/>
                <w:szCs w:val="24"/>
                <w:lang w:eastAsia="sk-SK"/>
              </w:rPr>
              <w:t xml:space="preserve"> </w:t>
            </w:r>
          </w:p>
        </w:tc>
        <w:tc>
          <w:tcPr>
            <w:tcW w:w="748" w:type="pct"/>
            <w:shd w:val="clear" w:color="auto" w:fill="D9D9D9"/>
            <w:noWrap/>
            <w:vAlign w:val="center"/>
            <w:hideMark/>
          </w:tcPr>
          <w:p w14:paraId="2166877B"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300 000,00</w:t>
            </w:r>
            <w:r w:rsidRPr="003D7C36">
              <w:rPr>
                <w:rFonts w:cs="Calibri"/>
                <w:sz w:val="24"/>
                <w:szCs w:val="24"/>
                <w:lang w:eastAsia="sk-SK"/>
              </w:rPr>
              <w:t xml:space="preserve"> </w:t>
            </w:r>
          </w:p>
        </w:tc>
        <w:tc>
          <w:tcPr>
            <w:tcW w:w="640" w:type="pct"/>
            <w:shd w:val="clear" w:color="auto" w:fill="D9D9D9"/>
            <w:noWrap/>
            <w:vAlign w:val="center"/>
            <w:hideMark/>
          </w:tcPr>
          <w:p w14:paraId="75684F66"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291 901,01</w:t>
            </w:r>
            <w:r w:rsidRPr="003D7C36">
              <w:rPr>
                <w:rFonts w:cs="Calibri"/>
                <w:sz w:val="24"/>
                <w:szCs w:val="24"/>
                <w:lang w:eastAsia="sk-SK"/>
              </w:rPr>
              <w:t xml:space="preserve"> </w:t>
            </w:r>
          </w:p>
        </w:tc>
        <w:tc>
          <w:tcPr>
            <w:tcW w:w="539" w:type="pct"/>
            <w:shd w:val="clear" w:color="auto" w:fill="D9D9D9"/>
            <w:noWrap/>
            <w:vAlign w:val="center"/>
            <w:hideMark/>
          </w:tcPr>
          <w:p w14:paraId="3DBAF477"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97,30</w:t>
            </w:r>
            <w:r w:rsidRPr="003D7C36">
              <w:rPr>
                <w:rFonts w:cs="Calibri"/>
                <w:sz w:val="24"/>
                <w:szCs w:val="24"/>
                <w:lang w:eastAsia="sk-SK"/>
              </w:rPr>
              <w:t xml:space="preserve"> </w:t>
            </w:r>
          </w:p>
        </w:tc>
        <w:tc>
          <w:tcPr>
            <w:tcW w:w="1129" w:type="pct"/>
            <w:vMerge w:val="restart"/>
            <w:shd w:val="clear" w:color="auto" w:fill="D9D9D9"/>
            <w:vAlign w:val="center"/>
            <w:hideMark/>
          </w:tcPr>
          <w:p w14:paraId="48414F2C" w14:textId="77777777" w:rsidR="00D40061" w:rsidRPr="003D7C36" w:rsidRDefault="00D40061" w:rsidP="00D40061">
            <w:pPr>
              <w:spacing w:after="0" w:line="240" w:lineRule="auto"/>
              <w:jc w:val="center"/>
              <w:rPr>
                <w:rFonts w:cs="Calibri"/>
                <w:sz w:val="24"/>
                <w:szCs w:val="24"/>
                <w:lang w:eastAsia="sk-SK"/>
              </w:rPr>
            </w:pPr>
            <w:r>
              <w:rPr>
                <w:rFonts w:cstheme="minorHAnsi"/>
                <w:b/>
                <w:sz w:val="20"/>
                <w:szCs w:val="20"/>
                <w:lang w:eastAsia="sk-SK"/>
              </w:rPr>
              <w:t>Zmeny rozpočtu sa nachádzajú pri podprogramoch</w:t>
            </w:r>
          </w:p>
        </w:tc>
      </w:tr>
      <w:tr w:rsidR="00D40061" w:rsidRPr="003D7C36" w14:paraId="5E97E31C" w14:textId="77777777" w:rsidTr="00D40061">
        <w:trPr>
          <w:tblCellSpacing w:w="15" w:type="dxa"/>
        </w:trPr>
        <w:tc>
          <w:tcPr>
            <w:tcW w:w="0" w:type="auto"/>
            <w:shd w:val="clear" w:color="auto" w:fill="D9D9D9"/>
            <w:noWrap/>
            <w:vAlign w:val="center"/>
            <w:hideMark/>
          </w:tcPr>
          <w:p w14:paraId="39938DB1"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600</w:t>
            </w:r>
            <w:r w:rsidRPr="003D7C36">
              <w:rPr>
                <w:rFonts w:cs="Calibri"/>
                <w:sz w:val="24"/>
                <w:szCs w:val="24"/>
                <w:lang w:eastAsia="sk-SK"/>
              </w:rPr>
              <w:t xml:space="preserve"> </w:t>
            </w:r>
          </w:p>
        </w:tc>
        <w:tc>
          <w:tcPr>
            <w:tcW w:w="0" w:type="auto"/>
            <w:shd w:val="clear" w:color="auto" w:fill="D9D9D9"/>
            <w:vAlign w:val="center"/>
            <w:hideMark/>
          </w:tcPr>
          <w:p w14:paraId="6CAFA068"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Bežné výdavky</w:t>
            </w:r>
            <w:r w:rsidRPr="003D7C36">
              <w:rPr>
                <w:rFonts w:cs="Calibri"/>
                <w:sz w:val="24"/>
                <w:szCs w:val="24"/>
                <w:lang w:eastAsia="sk-SK"/>
              </w:rPr>
              <w:t xml:space="preserve"> </w:t>
            </w:r>
          </w:p>
        </w:tc>
        <w:tc>
          <w:tcPr>
            <w:tcW w:w="0" w:type="auto"/>
            <w:shd w:val="clear" w:color="auto" w:fill="D9D9D9"/>
            <w:noWrap/>
            <w:vAlign w:val="center"/>
            <w:hideMark/>
          </w:tcPr>
          <w:p w14:paraId="28A99F3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1 635 000,00</w:t>
            </w:r>
            <w:r w:rsidRPr="003D7C36">
              <w:rPr>
                <w:rFonts w:cs="Calibri"/>
                <w:sz w:val="24"/>
                <w:szCs w:val="24"/>
                <w:lang w:eastAsia="sk-SK"/>
              </w:rPr>
              <w:t xml:space="preserve"> </w:t>
            </w:r>
          </w:p>
        </w:tc>
        <w:tc>
          <w:tcPr>
            <w:tcW w:w="748" w:type="pct"/>
            <w:shd w:val="clear" w:color="auto" w:fill="D9D9D9"/>
            <w:noWrap/>
            <w:vAlign w:val="center"/>
            <w:hideMark/>
          </w:tcPr>
          <w:p w14:paraId="0E4D7D9D"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286 500,00</w:t>
            </w:r>
            <w:r w:rsidRPr="003D7C36">
              <w:rPr>
                <w:rFonts w:cs="Calibri"/>
                <w:sz w:val="24"/>
                <w:szCs w:val="24"/>
                <w:lang w:eastAsia="sk-SK"/>
              </w:rPr>
              <w:t xml:space="preserve"> </w:t>
            </w:r>
          </w:p>
        </w:tc>
        <w:tc>
          <w:tcPr>
            <w:tcW w:w="640" w:type="pct"/>
            <w:shd w:val="clear" w:color="auto" w:fill="D9D9D9"/>
            <w:noWrap/>
            <w:vAlign w:val="center"/>
            <w:hideMark/>
          </w:tcPr>
          <w:p w14:paraId="4DD89CD7"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278 401,01</w:t>
            </w:r>
            <w:r w:rsidRPr="003D7C36">
              <w:rPr>
                <w:rFonts w:cs="Calibri"/>
                <w:sz w:val="24"/>
                <w:szCs w:val="24"/>
                <w:lang w:eastAsia="sk-SK"/>
              </w:rPr>
              <w:t xml:space="preserve"> </w:t>
            </w:r>
          </w:p>
        </w:tc>
        <w:tc>
          <w:tcPr>
            <w:tcW w:w="539" w:type="pct"/>
            <w:shd w:val="clear" w:color="auto" w:fill="D9D9D9"/>
            <w:noWrap/>
            <w:vAlign w:val="center"/>
            <w:hideMark/>
          </w:tcPr>
          <w:p w14:paraId="0A05D5C6"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97,17</w:t>
            </w:r>
            <w:r w:rsidRPr="003D7C36">
              <w:rPr>
                <w:rFonts w:cs="Calibri"/>
                <w:sz w:val="24"/>
                <w:szCs w:val="24"/>
                <w:lang w:eastAsia="sk-SK"/>
              </w:rPr>
              <w:t xml:space="preserve"> </w:t>
            </w:r>
          </w:p>
        </w:tc>
        <w:tc>
          <w:tcPr>
            <w:tcW w:w="1129" w:type="pct"/>
            <w:vMerge/>
            <w:shd w:val="clear" w:color="auto" w:fill="D9D9D9"/>
            <w:vAlign w:val="center"/>
            <w:hideMark/>
          </w:tcPr>
          <w:p w14:paraId="1CE6D576" w14:textId="77777777" w:rsidR="00D40061" w:rsidRPr="003D7C36" w:rsidRDefault="00D40061" w:rsidP="00D40061">
            <w:pPr>
              <w:spacing w:after="0" w:line="240" w:lineRule="auto"/>
              <w:rPr>
                <w:rFonts w:cs="Calibri"/>
                <w:sz w:val="24"/>
                <w:szCs w:val="24"/>
                <w:lang w:eastAsia="sk-SK"/>
              </w:rPr>
            </w:pPr>
          </w:p>
        </w:tc>
      </w:tr>
      <w:tr w:rsidR="00D40061" w:rsidRPr="003D7C36" w14:paraId="63C3790C" w14:textId="77777777" w:rsidTr="00D40061">
        <w:trPr>
          <w:tblCellSpacing w:w="15" w:type="dxa"/>
        </w:trPr>
        <w:tc>
          <w:tcPr>
            <w:tcW w:w="0" w:type="auto"/>
            <w:shd w:val="clear" w:color="auto" w:fill="EFEFEF"/>
            <w:noWrap/>
            <w:vAlign w:val="center"/>
            <w:hideMark/>
          </w:tcPr>
          <w:p w14:paraId="03F0A1CF"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640</w:t>
            </w:r>
            <w:r w:rsidRPr="003D7C36">
              <w:rPr>
                <w:rFonts w:cs="Calibri"/>
                <w:sz w:val="24"/>
                <w:szCs w:val="24"/>
                <w:lang w:eastAsia="sk-SK"/>
              </w:rPr>
              <w:t xml:space="preserve"> </w:t>
            </w:r>
          </w:p>
        </w:tc>
        <w:tc>
          <w:tcPr>
            <w:tcW w:w="0" w:type="auto"/>
            <w:shd w:val="clear" w:color="auto" w:fill="EFEFEF"/>
            <w:vAlign w:val="center"/>
            <w:hideMark/>
          </w:tcPr>
          <w:p w14:paraId="417C469C"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Bežné transfery</w:t>
            </w:r>
            <w:r w:rsidRPr="003D7C36">
              <w:rPr>
                <w:rFonts w:cs="Calibri"/>
                <w:sz w:val="24"/>
                <w:szCs w:val="24"/>
                <w:lang w:eastAsia="sk-SK"/>
              </w:rPr>
              <w:t xml:space="preserve"> </w:t>
            </w:r>
          </w:p>
        </w:tc>
        <w:tc>
          <w:tcPr>
            <w:tcW w:w="0" w:type="auto"/>
            <w:shd w:val="clear" w:color="auto" w:fill="EFEFEF"/>
            <w:noWrap/>
            <w:vAlign w:val="center"/>
            <w:hideMark/>
          </w:tcPr>
          <w:p w14:paraId="57ADA24A"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1 635 000,00</w:t>
            </w:r>
            <w:r w:rsidRPr="003D7C36">
              <w:rPr>
                <w:rFonts w:cs="Calibri"/>
                <w:sz w:val="24"/>
                <w:szCs w:val="24"/>
                <w:lang w:eastAsia="sk-SK"/>
              </w:rPr>
              <w:t xml:space="preserve"> </w:t>
            </w:r>
          </w:p>
        </w:tc>
        <w:tc>
          <w:tcPr>
            <w:tcW w:w="748" w:type="pct"/>
            <w:shd w:val="clear" w:color="auto" w:fill="EFEFEF"/>
            <w:noWrap/>
            <w:vAlign w:val="center"/>
            <w:hideMark/>
          </w:tcPr>
          <w:p w14:paraId="3B37E5FF"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286 500,00</w:t>
            </w:r>
            <w:r w:rsidRPr="003D7C36">
              <w:rPr>
                <w:rFonts w:cs="Calibri"/>
                <w:sz w:val="24"/>
                <w:szCs w:val="24"/>
                <w:lang w:eastAsia="sk-SK"/>
              </w:rPr>
              <w:t xml:space="preserve"> </w:t>
            </w:r>
          </w:p>
        </w:tc>
        <w:tc>
          <w:tcPr>
            <w:tcW w:w="640" w:type="pct"/>
            <w:shd w:val="clear" w:color="auto" w:fill="EFEFEF"/>
            <w:noWrap/>
            <w:vAlign w:val="center"/>
            <w:hideMark/>
          </w:tcPr>
          <w:p w14:paraId="6A7F3DCD"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278 401,01</w:t>
            </w:r>
            <w:r w:rsidRPr="003D7C36">
              <w:rPr>
                <w:rFonts w:cs="Calibri"/>
                <w:sz w:val="24"/>
                <w:szCs w:val="24"/>
                <w:lang w:eastAsia="sk-SK"/>
              </w:rPr>
              <w:t xml:space="preserve"> </w:t>
            </w:r>
          </w:p>
        </w:tc>
        <w:tc>
          <w:tcPr>
            <w:tcW w:w="539" w:type="pct"/>
            <w:shd w:val="clear" w:color="auto" w:fill="EFEFEF"/>
            <w:noWrap/>
            <w:vAlign w:val="center"/>
            <w:hideMark/>
          </w:tcPr>
          <w:p w14:paraId="2E72DD55"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97,17</w:t>
            </w:r>
            <w:r w:rsidRPr="003D7C36">
              <w:rPr>
                <w:rFonts w:cs="Calibri"/>
                <w:sz w:val="24"/>
                <w:szCs w:val="24"/>
                <w:lang w:eastAsia="sk-SK"/>
              </w:rPr>
              <w:t xml:space="preserve"> </w:t>
            </w:r>
          </w:p>
        </w:tc>
        <w:tc>
          <w:tcPr>
            <w:tcW w:w="1129" w:type="pct"/>
            <w:vMerge/>
            <w:shd w:val="clear" w:color="auto" w:fill="EFEFEF"/>
            <w:vAlign w:val="center"/>
            <w:hideMark/>
          </w:tcPr>
          <w:p w14:paraId="07A1C306" w14:textId="77777777" w:rsidR="00D40061" w:rsidRPr="003D7C36" w:rsidRDefault="00D40061" w:rsidP="00D40061">
            <w:pPr>
              <w:spacing w:after="0" w:line="240" w:lineRule="auto"/>
              <w:rPr>
                <w:rFonts w:cs="Calibri"/>
                <w:sz w:val="24"/>
                <w:szCs w:val="24"/>
                <w:lang w:eastAsia="sk-SK"/>
              </w:rPr>
            </w:pPr>
          </w:p>
        </w:tc>
      </w:tr>
      <w:tr w:rsidR="00D40061" w:rsidRPr="003D7C36" w14:paraId="3E0EE770" w14:textId="77777777" w:rsidTr="00D40061">
        <w:trPr>
          <w:tblCellSpacing w:w="15" w:type="dxa"/>
        </w:trPr>
        <w:tc>
          <w:tcPr>
            <w:tcW w:w="0" w:type="auto"/>
            <w:shd w:val="clear" w:color="auto" w:fill="D9D9D9"/>
            <w:noWrap/>
            <w:vAlign w:val="center"/>
            <w:hideMark/>
          </w:tcPr>
          <w:p w14:paraId="5D07A038"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700</w:t>
            </w:r>
            <w:r w:rsidRPr="003D7C36">
              <w:rPr>
                <w:rFonts w:cs="Calibri"/>
                <w:sz w:val="24"/>
                <w:szCs w:val="24"/>
                <w:lang w:eastAsia="sk-SK"/>
              </w:rPr>
              <w:t xml:space="preserve"> </w:t>
            </w:r>
          </w:p>
        </w:tc>
        <w:tc>
          <w:tcPr>
            <w:tcW w:w="0" w:type="auto"/>
            <w:shd w:val="clear" w:color="auto" w:fill="D9D9D9"/>
            <w:vAlign w:val="center"/>
            <w:hideMark/>
          </w:tcPr>
          <w:p w14:paraId="089A5C8A"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Kapitálové výdavky</w:t>
            </w:r>
            <w:r w:rsidRPr="003D7C36">
              <w:rPr>
                <w:rFonts w:cs="Calibri"/>
                <w:sz w:val="24"/>
                <w:szCs w:val="24"/>
                <w:lang w:eastAsia="sk-SK"/>
              </w:rPr>
              <w:t xml:space="preserve"> </w:t>
            </w:r>
          </w:p>
        </w:tc>
        <w:tc>
          <w:tcPr>
            <w:tcW w:w="0" w:type="auto"/>
            <w:shd w:val="clear" w:color="auto" w:fill="D9D9D9"/>
            <w:noWrap/>
            <w:vAlign w:val="center"/>
            <w:hideMark/>
          </w:tcPr>
          <w:p w14:paraId="24DCC598"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365 000,00</w:t>
            </w:r>
            <w:r w:rsidRPr="003D7C36">
              <w:rPr>
                <w:rFonts w:cs="Calibri"/>
                <w:sz w:val="24"/>
                <w:szCs w:val="24"/>
                <w:lang w:eastAsia="sk-SK"/>
              </w:rPr>
              <w:t xml:space="preserve"> </w:t>
            </w:r>
          </w:p>
        </w:tc>
        <w:tc>
          <w:tcPr>
            <w:tcW w:w="748" w:type="pct"/>
            <w:shd w:val="clear" w:color="auto" w:fill="D9D9D9"/>
            <w:noWrap/>
            <w:vAlign w:val="center"/>
            <w:hideMark/>
          </w:tcPr>
          <w:p w14:paraId="4495192E"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13 500,00</w:t>
            </w:r>
            <w:r w:rsidRPr="003D7C36">
              <w:rPr>
                <w:rFonts w:cs="Calibri"/>
                <w:sz w:val="24"/>
                <w:szCs w:val="24"/>
                <w:lang w:eastAsia="sk-SK"/>
              </w:rPr>
              <w:t xml:space="preserve"> </w:t>
            </w:r>
          </w:p>
        </w:tc>
        <w:tc>
          <w:tcPr>
            <w:tcW w:w="640" w:type="pct"/>
            <w:shd w:val="clear" w:color="auto" w:fill="D9D9D9"/>
            <w:noWrap/>
            <w:vAlign w:val="center"/>
            <w:hideMark/>
          </w:tcPr>
          <w:p w14:paraId="26F3E60F"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13 500,00</w:t>
            </w:r>
            <w:r w:rsidRPr="003D7C36">
              <w:rPr>
                <w:rFonts w:cs="Calibri"/>
                <w:sz w:val="24"/>
                <w:szCs w:val="24"/>
                <w:lang w:eastAsia="sk-SK"/>
              </w:rPr>
              <w:t xml:space="preserve"> </w:t>
            </w:r>
          </w:p>
        </w:tc>
        <w:tc>
          <w:tcPr>
            <w:tcW w:w="539" w:type="pct"/>
            <w:shd w:val="clear" w:color="auto" w:fill="D9D9D9"/>
            <w:noWrap/>
            <w:vAlign w:val="center"/>
            <w:hideMark/>
          </w:tcPr>
          <w:p w14:paraId="75CD99F3"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100,00</w:t>
            </w:r>
            <w:r w:rsidRPr="003D7C36">
              <w:rPr>
                <w:rFonts w:cs="Calibri"/>
                <w:sz w:val="24"/>
                <w:szCs w:val="24"/>
                <w:lang w:eastAsia="sk-SK"/>
              </w:rPr>
              <w:t xml:space="preserve"> </w:t>
            </w:r>
          </w:p>
        </w:tc>
        <w:tc>
          <w:tcPr>
            <w:tcW w:w="1129" w:type="pct"/>
            <w:vMerge/>
            <w:shd w:val="clear" w:color="auto" w:fill="D9D9D9"/>
            <w:vAlign w:val="center"/>
            <w:hideMark/>
          </w:tcPr>
          <w:p w14:paraId="6B97EA93" w14:textId="77777777" w:rsidR="00D40061" w:rsidRPr="003D7C36" w:rsidRDefault="00D40061" w:rsidP="00D40061">
            <w:pPr>
              <w:spacing w:after="0" w:line="240" w:lineRule="auto"/>
              <w:rPr>
                <w:rFonts w:cs="Calibri"/>
                <w:sz w:val="24"/>
                <w:szCs w:val="24"/>
                <w:lang w:eastAsia="sk-SK"/>
              </w:rPr>
            </w:pPr>
          </w:p>
        </w:tc>
      </w:tr>
      <w:tr w:rsidR="00D40061" w:rsidRPr="003D7C36" w14:paraId="2DB4C78A" w14:textId="77777777" w:rsidTr="00D40061">
        <w:trPr>
          <w:tblCellSpacing w:w="15" w:type="dxa"/>
        </w:trPr>
        <w:tc>
          <w:tcPr>
            <w:tcW w:w="0" w:type="auto"/>
            <w:shd w:val="clear" w:color="auto" w:fill="EFEFEF"/>
            <w:noWrap/>
            <w:vAlign w:val="center"/>
            <w:hideMark/>
          </w:tcPr>
          <w:p w14:paraId="5CD18C07"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720</w:t>
            </w:r>
            <w:r w:rsidRPr="003D7C36">
              <w:rPr>
                <w:rFonts w:cs="Calibri"/>
                <w:sz w:val="24"/>
                <w:szCs w:val="24"/>
                <w:lang w:eastAsia="sk-SK"/>
              </w:rPr>
              <w:t xml:space="preserve"> </w:t>
            </w:r>
          </w:p>
        </w:tc>
        <w:tc>
          <w:tcPr>
            <w:tcW w:w="0" w:type="auto"/>
            <w:shd w:val="clear" w:color="auto" w:fill="EFEFEF"/>
            <w:vAlign w:val="center"/>
            <w:hideMark/>
          </w:tcPr>
          <w:p w14:paraId="6DF5C84D"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Kapitálové transfery</w:t>
            </w:r>
            <w:r w:rsidRPr="003D7C36">
              <w:rPr>
                <w:rFonts w:cs="Calibri"/>
                <w:sz w:val="24"/>
                <w:szCs w:val="24"/>
                <w:lang w:eastAsia="sk-SK"/>
              </w:rPr>
              <w:t xml:space="preserve"> </w:t>
            </w:r>
          </w:p>
        </w:tc>
        <w:tc>
          <w:tcPr>
            <w:tcW w:w="0" w:type="auto"/>
            <w:shd w:val="clear" w:color="auto" w:fill="EFEFEF"/>
            <w:noWrap/>
            <w:vAlign w:val="center"/>
            <w:hideMark/>
          </w:tcPr>
          <w:p w14:paraId="0912110F"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365 000,00</w:t>
            </w:r>
            <w:r w:rsidRPr="003D7C36">
              <w:rPr>
                <w:rFonts w:cs="Calibri"/>
                <w:sz w:val="24"/>
                <w:szCs w:val="24"/>
                <w:lang w:eastAsia="sk-SK"/>
              </w:rPr>
              <w:t xml:space="preserve"> </w:t>
            </w:r>
          </w:p>
        </w:tc>
        <w:tc>
          <w:tcPr>
            <w:tcW w:w="748" w:type="pct"/>
            <w:shd w:val="clear" w:color="auto" w:fill="EFEFEF"/>
            <w:noWrap/>
            <w:vAlign w:val="center"/>
            <w:hideMark/>
          </w:tcPr>
          <w:p w14:paraId="15253342"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13 500,00</w:t>
            </w:r>
            <w:r w:rsidRPr="003D7C36">
              <w:rPr>
                <w:rFonts w:cs="Calibri"/>
                <w:sz w:val="24"/>
                <w:szCs w:val="24"/>
                <w:lang w:eastAsia="sk-SK"/>
              </w:rPr>
              <w:t xml:space="preserve"> </w:t>
            </w:r>
          </w:p>
        </w:tc>
        <w:tc>
          <w:tcPr>
            <w:tcW w:w="640" w:type="pct"/>
            <w:shd w:val="clear" w:color="auto" w:fill="EFEFEF"/>
            <w:noWrap/>
            <w:vAlign w:val="center"/>
            <w:hideMark/>
          </w:tcPr>
          <w:p w14:paraId="4F2C3767"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13 500,00</w:t>
            </w:r>
            <w:r w:rsidRPr="003D7C36">
              <w:rPr>
                <w:rFonts w:cs="Calibri"/>
                <w:sz w:val="24"/>
                <w:szCs w:val="24"/>
                <w:lang w:eastAsia="sk-SK"/>
              </w:rPr>
              <w:t xml:space="preserve"> </w:t>
            </w:r>
          </w:p>
        </w:tc>
        <w:tc>
          <w:tcPr>
            <w:tcW w:w="539" w:type="pct"/>
            <w:shd w:val="clear" w:color="auto" w:fill="EFEFEF"/>
            <w:noWrap/>
            <w:vAlign w:val="center"/>
            <w:hideMark/>
          </w:tcPr>
          <w:p w14:paraId="6E564EBF"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100,00</w:t>
            </w:r>
            <w:r w:rsidRPr="003D7C36">
              <w:rPr>
                <w:rFonts w:cs="Calibri"/>
                <w:sz w:val="24"/>
                <w:szCs w:val="24"/>
                <w:lang w:eastAsia="sk-SK"/>
              </w:rPr>
              <w:t xml:space="preserve"> </w:t>
            </w:r>
          </w:p>
        </w:tc>
        <w:tc>
          <w:tcPr>
            <w:tcW w:w="1129" w:type="pct"/>
            <w:vMerge/>
            <w:shd w:val="clear" w:color="auto" w:fill="EFEFEF"/>
            <w:vAlign w:val="center"/>
            <w:hideMark/>
          </w:tcPr>
          <w:p w14:paraId="0017D78C" w14:textId="77777777" w:rsidR="00D40061" w:rsidRPr="003D7C36" w:rsidRDefault="00D40061" w:rsidP="00D40061">
            <w:pPr>
              <w:spacing w:after="0" w:line="240" w:lineRule="auto"/>
              <w:rPr>
                <w:rFonts w:cs="Calibri"/>
                <w:sz w:val="24"/>
                <w:szCs w:val="24"/>
                <w:lang w:eastAsia="sk-SK"/>
              </w:rPr>
            </w:pPr>
          </w:p>
        </w:tc>
      </w:tr>
    </w:tbl>
    <w:p w14:paraId="0B57BD06" w14:textId="77777777" w:rsidR="00D40061" w:rsidRPr="003D7C36" w:rsidRDefault="00D40061" w:rsidP="00D40061">
      <w:pPr>
        <w:spacing w:after="0" w:line="240" w:lineRule="auto"/>
        <w:rPr>
          <w:rFonts w:cs="Calibri"/>
          <w:vanish/>
          <w:sz w:val="24"/>
          <w:szCs w:val="24"/>
          <w:lang w:eastAsia="sk-SK"/>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634"/>
        <w:gridCol w:w="829"/>
        <w:gridCol w:w="1466"/>
        <w:gridCol w:w="1378"/>
        <w:gridCol w:w="4159"/>
      </w:tblGrid>
      <w:tr w:rsidR="00D40061" w:rsidRPr="003D7C36" w14:paraId="5AA95F27" w14:textId="77777777" w:rsidTr="00D40061">
        <w:trPr>
          <w:tblCellSpacing w:w="15" w:type="dxa"/>
        </w:trPr>
        <w:tc>
          <w:tcPr>
            <w:tcW w:w="0" w:type="auto"/>
            <w:shd w:val="clear" w:color="auto" w:fill="C2D69B"/>
            <w:vAlign w:val="center"/>
            <w:hideMark/>
          </w:tcPr>
          <w:p w14:paraId="3FFB3FA9"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Cieľ</w:t>
            </w:r>
          </w:p>
        </w:tc>
        <w:tc>
          <w:tcPr>
            <w:tcW w:w="0" w:type="auto"/>
            <w:gridSpan w:val="4"/>
            <w:shd w:val="clear" w:color="auto" w:fill="C2D69B"/>
            <w:vAlign w:val="center"/>
            <w:hideMark/>
          </w:tcPr>
          <w:p w14:paraId="24C5FDE1"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Poskytnutá podpora v EUR na obyvateľa BSK</w:t>
            </w:r>
            <w:r w:rsidRPr="003D7C36">
              <w:rPr>
                <w:rFonts w:cs="Calibri"/>
                <w:sz w:val="24"/>
                <w:szCs w:val="24"/>
                <w:lang w:eastAsia="sk-SK"/>
              </w:rPr>
              <w:t xml:space="preserve"> </w:t>
            </w:r>
          </w:p>
        </w:tc>
      </w:tr>
      <w:tr w:rsidR="00D40061" w:rsidRPr="003D7C36" w14:paraId="44219647" w14:textId="77777777" w:rsidTr="00D40061">
        <w:trPr>
          <w:tblCellSpacing w:w="15" w:type="dxa"/>
        </w:trPr>
        <w:tc>
          <w:tcPr>
            <w:tcW w:w="0" w:type="auto"/>
            <w:shd w:val="clear" w:color="auto" w:fill="C2D69B"/>
            <w:vAlign w:val="center"/>
            <w:hideMark/>
          </w:tcPr>
          <w:p w14:paraId="2EB440C6"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Merateľný ukazovateľ</w:t>
            </w:r>
          </w:p>
        </w:tc>
        <w:tc>
          <w:tcPr>
            <w:tcW w:w="0" w:type="auto"/>
            <w:gridSpan w:val="4"/>
            <w:shd w:val="clear" w:color="auto" w:fill="C2D69B"/>
            <w:vAlign w:val="center"/>
            <w:hideMark/>
          </w:tcPr>
          <w:p w14:paraId="5425AB18"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Poskytnutá podpora v EUR na obyvateľa BSK</w:t>
            </w:r>
            <w:r w:rsidRPr="003D7C36">
              <w:rPr>
                <w:rFonts w:cs="Calibri"/>
                <w:sz w:val="24"/>
                <w:szCs w:val="24"/>
                <w:lang w:eastAsia="sk-SK"/>
              </w:rPr>
              <w:t xml:space="preserve"> </w:t>
            </w:r>
          </w:p>
        </w:tc>
      </w:tr>
      <w:tr w:rsidR="00D40061" w:rsidRPr="003D7C36" w14:paraId="76C4B8F0" w14:textId="77777777" w:rsidTr="00D40061">
        <w:trPr>
          <w:tblCellSpacing w:w="15" w:type="dxa"/>
        </w:trPr>
        <w:tc>
          <w:tcPr>
            <w:tcW w:w="0" w:type="auto"/>
            <w:shd w:val="clear" w:color="auto" w:fill="C2D69B"/>
            <w:vAlign w:val="center"/>
            <w:hideMark/>
          </w:tcPr>
          <w:p w14:paraId="578F0479"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Rok</w:t>
            </w:r>
          </w:p>
        </w:tc>
        <w:tc>
          <w:tcPr>
            <w:tcW w:w="0" w:type="auto"/>
            <w:shd w:val="clear" w:color="auto" w:fill="C2D69B"/>
            <w:vAlign w:val="center"/>
            <w:hideMark/>
          </w:tcPr>
          <w:p w14:paraId="24AB7844"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Plán</w:t>
            </w:r>
          </w:p>
        </w:tc>
        <w:tc>
          <w:tcPr>
            <w:tcW w:w="0" w:type="auto"/>
            <w:shd w:val="clear" w:color="auto" w:fill="C2D69B"/>
            <w:vAlign w:val="center"/>
            <w:hideMark/>
          </w:tcPr>
          <w:p w14:paraId="6131882A"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Skutočnosť</w:t>
            </w:r>
          </w:p>
        </w:tc>
        <w:tc>
          <w:tcPr>
            <w:tcW w:w="0" w:type="auto"/>
            <w:shd w:val="clear" w:color="auto" w:fill="C2D69B"/>
            <w:vAlign w:val="center"/>
            <w:hideMark/>
          </w:tcPr>
          <w:p w14:paraId="4441ADB1"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Plnenie</w:t>
            </w:r>
          </w:p>
        </w:tc>
        <w:tc>
          <w:tcPr>
            <w:tcW w:w="2000" w:type="pct"/>
            <w:shd w:val="clear" w:color="auto" w:fill="C2D69B"/>
            <w:vAlign w:val="center"/>
            <w:hideMark/>
          </w:tcPr>
          <w:p w14:paraId="26B13180"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Poznámka</w:t>
            </w:r>
          </w:p>
        </w:tc>
      </w:tr>
      <w:tr w:rsidR="00D40061" w:rsidRPr="003D7C36" w14:paraId="2ECFFA84" w14:textId="77777777" w:rsidTr="00D40061">
        <w:trPr>
          <w:tblCellSpacing w:w="15" w:type="dxa"/>
        </w:trPr>
        <w:tc>
          <w:tcPr>
            <w:tcW w:w="0" w:type="auto"/>
            <w:shd w:val="clear" w:color="auto" w:fill="C2D69B"/>
            <w:vAlign w:val="center"/>
            <w:hideMark/>
          </w:tcPr>
          <w:p w14:paraId="73F7CD4A" w14:textId="77777777" w:rsidR="00D40061" w:rsidRPr="003D7C36" w:rsidRDefault="00D40061" w:rsidP="00D40061">
            <w:pPr>
              <w:spacing w:after="0" w:line="240" w:lineRule="auto"/>
              <w:jc w:val="center"/>
              <w:rPr>
                <w:rFonts w:cs="Calibri"/>
                <w:sz w:val="24"/>
                <w:szCs w:val="24"/>
                <w:lang w:eastAsia="sk-SK"/>
              </w:rPr>
            </w:pPr>
            <w:r w:rsidRPr="003D7C36">
              <w:rPr>
                <w:rFonts w:cs="Calibri"/>
                <w:sz w:val="20"/>
                <w:szCs w:val="20"/>
                <w:lang w:eastAsia="sk-SK"/>
              </w:rPr>
              <w:t>2020</w:t>
            </w:r>
            <w:r w:rsidRPr="003D7C36">
              <w:rPr>
                <w:rFonts w:cs="Calibri"/>
                <w:sz w:val="24"/>
                <w:szCs w:val="24"/>
                <w:lang w:eastAsia="sk-SK"/>
              </w:rPr>
              <w:t xml:space="preserve"> </w:t>
            </w:r>
          </w:p>
        </w:tc>
        <w:tc>
          <w:tcPr>
            <w:tcW w:w="0" w:type="auto"/>
            <w:shd w:val="clear" w:color="auto" w:fill="C2D69B"/>
            <w:noWrap/>
            <w:vAlign w:val="center"/>
            <w:hideMark/>
          </w:tcPr>
          <w:p w14:paraId="048B84B3" w14:textId="77777777" w:rsidR="00D40061" w:rsidRPr="003D7C36" w:rsidRDefault="00D40061" w:rsidP="00D40061">
            <w:pPr>
              <w:spacing w:after="0" w:line="240" w:lineRule="auto"/>
              <w:jc w:val="center"/>
              <w:rPr>
                <w:rFonts w:cs="Calibri"/>
                <w:sz w:val="24"/>
                <w:szCs w:val="24"/>
                <w:lang w:eastAsia="sk-SK"/>
              </w:rPr>
            </w:pPr>
            <w:r w:rsidRPr="003D7C36">
              <w:rPr>
                <w:rFonts w:cs="Calibri"/>
                <w:sz w:val="20"/>
                <w:szCs w:val="20"/>
                <w:lang w:eastAsia="sk-SK"/>
              </w:rPr>
              <w:t> 3.073</w:t>
            </w:r>
            <w:r w:rsidRPr="003D7C36">
              <w:rPr>
                <w:rFonts w:cs="Calibri"/>
                <w:sz w:val="24"/>
                <w:szCs w:val="24"/>
                <w:lang w:eastAsia="sk-SK"/>
              </w:rPr>
              <w:t xml:space="preserve"> </w:t>
            </w:r>
          </w:p>
        </w:tc>
        <w:tc>
          <w:tcPr>
            <w:tcW w:w="0" w:type="auto"/>
            <w:shd w:val="clear" w:color="auto" w:fill="C2D69B"/>
            <w:noWrap/>
            <w:vAlign w:val="center"/>
            <w:hideMark/>
          </w:tcPr>
          <w:p w14:paraId="776E8165" w14:textId="77777777" w:rsidR="00D40061" w:rsidRPr="003D7C36" w:rsidRDefault="00D40061" w:rsidP="00D40061">
            <w:pPr>
              <w:spacing w:after="0" w:line="240" w:lineRule="auto"/>
              <w:jc w:val="center"/>
              <w:rPr>
                <w:rFonts w:cs="Calibri"/>
                <w:sz w:val="24"/>
                <w:szCs w:val="24"/>
                <w:lang w:eastAsia="sk-SK"/>
              </w:rPr>
            </w:pPr>
            <w:r w:rsidRPr="003D7C36">
              <w:rPr>
                <w:rFonts w:cs="Calibri"/>
                <w:sz w:val="20"/>
                <w:szCs w:val="20"/>
                <w:lang w:eastAsia="sk-SK"/>
              </w:rPr>
              <w:t> 0.44</w:t>
            </w:r>
            <w:r w:rsidRPr="003D7C36">
              <w:rPr>
                <w:rFonts w:cs="Calibri"/>
                <w:sz w:val="24"/>
                <w:szCs w:val="24"/>
                <w:lang w:eastAsia="sk-SK"/>
              </w:rPr>
              <w:t xml:space="preserve"> </w:t>
            </w:r>
          </w:p>
        </w:tc>
        <w:tc>
          <w:tcPr>
            <w:tcW w:w="0" w:type="auto"/>
            <w:shd w:val="clear" w:color="auto" w:fill="C2D69B"/>
            <w:vAlign w:val="center"/>
            <w:hideMark/>
          </w:tcPr>
          <w:p w14:paraId="6566ECA3" w14:textId="77777777" w:rsidR="00D40061" w:rsidRPr="003D7C36" w:rsidRDefault="00D40061" w:rsidP="00D40061">
            <w:pPr>
              <w:spacing w:after="0" w:line="240" w:lineRule="auto"/>
              <w:jc w:val="center"/>
              <w:rPr>
                <w:rFonts w:cs="Calibri"/>
                <w:sz w:val="24"/>
                <w:szCs w:val="24"/>
                <w:lang w:eastAsia="sk-SK"/>
              </w:rPr>
            </w:pPr>
            <w:r w:rsidRPr="003D7C36">
              <w:rPr>
                <w:rFonts w:cs="Calibri"/>
                <w:sz w:val="20"/>
                <w:szCs w:val="20"/>
                <w:lang w:eastAsia="sk-SK"/>
              </w:rPr>
              <w:t>Nesplnené</w:t>
            </w:r>
            <w:r w:rsidRPr="003D7C36">
              <w:rPr>
                <w:rFonts w:cs="Calibri"/>
                <w:sz w:val="24"/>
                <w:szCs w:val="24"/>
                <w:lang w:eastAsia="sk-SK"/>
              </w:rPr>
              <w:t xml:space="preserve"> </w:t>
            </w:r>
          </w:p>
        </w:tc>
        <w:tc>
          <w:tcPr>
            <w:tcW w:w="0" w:type="auto"/>
            <w:shd w:val="clear" w:color="auto" w:fill="C2D69B"/>
            <w:vAlign w:val="center"/>
            <w:hideMark/>
          </w:tcPr>
          <w:p w14:paraId="38910740" w14:textId="77777777" w:rsidR="00D40061" w:rsidRPr="003D7C36" w:rsidRDefault="00D40061" w:rsidP="00D40061">
            <w:pPr>
              <w:spacing w:after="0" w:line="240" w:lineRule="auto"/>
              <w:jc w:val="center"/>
              <w:rPr>
                <w:rFonts w:cs="Calibri"/>
                <w:sz w:val="24"/>
                <w:szCs w:val="24"/>
                <w:lang w:eastAsia="sk-SK"/>
              </w:rPr>
            </w:pPr>
          </w:p>
        </w:tc>
      </w:tr>
    </w:tbl>
    <w:p w14:paraId="7BCA72BD" w14:textId="77777777" w:rsidR="00D40061" w:rsidRPr="003D7C36" w:rsidRDefault="00D40061" w:rsidP="00D40061">
      <w:pPr>
        <w:spacing w:before="100" w:beforeAutospacing="1" w:after="100" w:afterAutospacing="1" w:line="240" w:lineRule="auto"/>
        <w:jc w:val="both"/>
        <w:rPr>
          <w:rFonts w:cs="Calibri"/>
          <w:lang w:eastAsia="sk-SK"/>
        </w:rPr>
      </w:pPr>
      <w:r w:rsidRPr="003D7C36">
        <w:rPr>
          <w:rFonts w:cs="Calibri"/>
          <w:b/>
          <w:bCs/>
          <w:lang w:eastAsia="sk-SK"/>
        </w:rPr>
        <w:t xml:space="preserve">Komentár: </w:t>
      </w:r>
      <w:r w:rsidRPr="003D7C36">
        <w:rPr>
          <w:rFonts w:cs="Calibri"/>
          <w:lang w:eastAsia="sk-SK"/>
        </w:rPr>
        <w:t xml:space="preserve">Výška finančných prostriedkov v dotačnom programe pre rok 2020 je určená ako percentuálny podiel skutočných daňových príjmov BSK predchádzajúceho rozpočtového roka do výšky 3,0 %. V rámci dotačného programu BSK je 59% programu vyčleneného pre Bratislavskú regionálnu dotačnú schému a 41% pre ostatné dotačné schémy BSK, t. j. individuálne dotácie (15% podiel na dotačnom programe BSK), </w:t>
      </w:r>
      <w:proofErr w:type="spellStart"/>
      <w:r w:rsidRPr="003D7C36">
        <w:rPr>
          <w:rFonts w:cs="Calibri"/>
          <w:lang w:eastAsia="sk-SK"/>
        </w:rPr>
        <w:t>participatívny</w:t>
      </w:r>
      <w:proofErr w:type="spellEnd"/>
      <w:r w:rsidRPr="003D7C36">
        <w:rPr>
          <w:rFonts w:cs="Calibri"/>
          <w:lang w:eastAsia="sk-SK"/>
        </w:rPr>
        <w:t xml:space="preserve"> rozpočet (10% podiel na dotačnom programe BSK), územné dotácie (15% podiel na dotačnom programe BSK) a zdravotná starostlivosť (1% podiel na dotačnom programe BSK). Podpora je realizovaná podľa príslušného Všeobecne záväzného nariadenia, vydaného na základe §8 a § 11 ods. 2 zákona č. 302/2001 Z. z. o samospráve vyšších územných celkov (zákon o samosprávnych krajoch) v znení neskorších predpisov. V súvislosti s </w:t>
      </w:r>
      <w:proofErr w:type="spellStart"/>
      <w:r w:rsidRPr="003D7C36">
        <w:rPr>
          <w:rFonts w:cs="Calibri"/>
          <w:lang w:eastAsia="sk-SK"/>
        </w:rPr>
        <w:t>koronavírusom</w:t>
      </w:r>
      <w:proofErr w:type="spellEnd"/>
      <w:r w:rsidRPr="003D7C36">
        <w:rPr>
          <w:rFonts w:cs="Calibri"/>
          <w:lang w:eastAsia="sk-SK"/>
        </w:rPr>
        <w:t xml:space="preserve"> musel Bratislavský samosprávny kraj prijať množstvo opatrení týkajúcich sa aj úpravy rozpočtu na základe výrazného poklesu príjmov. Museli sa začať hľadať úspory v rozpočte a prehodnotiť, ktoré finančné prostriedky sú pre župu nevyhnutné. </w:t>
      </w:r>
    </w:p>
    <w:p w14:paraId="20A0C63B" w14:textId="2FA79708" w:rsidR="00D40061" w:rsidRPr="003D7C36" w:rsidRDefault="00D40061" w:rsidP="00D40061">
      <w:pPr>
        <w:spacing w:before="100" w:beforeAutospacing="1" w:after="100" w:afterAutospacing="1" w:line="240" w:lineRule="auto"/>
        <w:outlineLvl w:val="2"/>
        <w:rPr>
          <w:rFonts w:cs="Calibri"/>
          <w:b/>
          <w:bCs/>
          <w:color w:val="4F6228"/>
          <w:sz w:val="27"/>
          <w:szCs w:val="27"/>
          <w:lang w:eastAsia="sk-SK"/>
        </w:rPr>
      </w:pPr>
      <w:r w:rsidRPr="003D7C36">
        <w:rPr>
          <w:rFonts w:cs="Calibri"/>
          <w:b/>
          <w:bCs/>
          <w:color w:val="4F6228"/>
          <w:sz w:val="27"/>
          <w:szCs w:val="27"/>
          <w:lang w:eastAsia="sk-SK"/>
        </w:rPr>
        <w:t>Podprogram 14.1: Bratislavská regionálna dotačná schéma</w:t>
      </w:r>
    </w:p>
    <w:p w14:paraId="52E18BCA" w14:textId="77777777" w:rsidR="00D40061" w:rsidRPr="003D7C36" w:rsidRDefault="00D40061" w:rsidP="00D40061">
      <w:pPr>
        <w:spacing w:before="100" w:beforeAutospacing="1" w:after="100" w:afterAutospacing="1" w:line="240" w:lineRule="auto"/>
        <w:rPr>
          <w:rFonts w:cs="Calibri"/>
          <w:sz w:val="24"/>
          <w:szCs w:val="24"/>
          <w:lang w:eastAsia="sk-SK"/>
        </w:rPr>
      </w:pPr>
      <w:r w:rsidRPr="003D7C36">
        <w:rPr>
          <w:rFonts w:cs="Calibri"/>
          <w:b/>
          <w:bCs/>
          <w:sz w:val="24"/>
          <w:szCs w:val="24"/>
          <w:lang w:eastAsia="sk-SK"/>
        </w:rPr>
        <w:t xml:space="preserve">Zámer: </w:t>
      </w:r>
      <w:r w:rsidRPr="003D7C36">
        <w:rPr>
          <w:rFonts w:cs="Calibri"/>
          <w:sz w:val="24"/>
          <w:szCs w:val="24"/>
          <w:lang w:eastAsia="sk-SK"/>
        </w:rPr>
        <w:t>Podprogram umožní podporu žiadateľov</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09"/>
        <w:gridCol w:w="2023"/>
        <w:gridCol w:w="1402"/>
        <w:gridCol w:w="1385"/>
        <w:gridCol w:w="1259"/>
        <w:gridCol w:w="74"/>
        <w:gridCol w:w="999"/>
        <w:gridCol w:w="66"/>
        <w:gridCol w:w="2449"/>
      </w:tblGrid>
      <w:tr w:rsidR="00D40061" w:rsidRPr="003D7C36" w14:paraId="78E2561A" w14:textId="77777777" w:rsidTr="006D6ABE">
        <w:trPr>
          <w:tblCellSpacing w:w="15" w:type="dxa"/>
        </w:trPr>
        <w:tc>
          <w:tcPr>
            <w:tcW w:w="0" w:type="auto"/>
            <w:shd w:val="clear" w:color="auto" w:fill="C6DBF7"/>
            <w:vAlign w:val="center"/>
            <w:hideMark/>
          </w:tcPr>
          <w:p w14:paraId="31BCB3BA"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Kód EK</w:t>
            </w:r>
          </w:p>
        </w:tc>
        <w:tc>
          <w:tcPr>
            <w:tcW w:w="952" w:type="pct"/>
            <w:shd w:val="clear" w:color="auto" w:fill="C6DBF7"/>
            <w:vAlign w:val="center"/>
            <w:hideMark/>
          </w:tcPr>
          <w:p w14:paraId="2F47BD44"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Ekonomická klasifikácia</w:t>
            </w:r>
          </w:p>
        </w:tc>
        <w:tc>
          <w:tcPr>
            <w:tcW w:w="0" w:type="auto"/>
            <w:shd w:val="clear" w:color="auto" w:fill="C6DBF7"/>
            <w:vAlign w:val="center"/>
            <w:hideMark/>
          </w:tcPr>
          <w:p w14:paraId="6E34933F"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Schválený</w:t>
            </w:r>
            <w:r w:rsidRPr="003D7C36">
              <w:rPr>
                <w:rFonts w:cs="Calibri"/>
                <w:b/>
                <w:bCs/>
                <w:sz w:val="20"/>
                <w:szCs w:val="20"/>
                <w:lang w:eastAsia="sk-SK"/>
              </w:rPr>
              <w:br/>
              <w:t>rozpočet</w:t>
            </w:r>
            <w:r w:rsidRPr="003D7C36">
              <w:rPr>
                <w:rFonts w:cs="Calibri"/>
                <w:b/>
                <w:bCs/>
                <w:sz w:val="20"/>
                <w:szCs w:val="20"/>
                <w:lang w:eastAsia="sk-SK"/>
              </w:rPr>
              <w:br/>
              <w:t>v EUR</w:t>
            </w:r>
          </w:p>
        </w:tc>
        <w:tc>
          <w:tcPr>
            <w:tcW w:w="670" w:type="pct"/>
            <w:shd w:val="clear" w:color="auto" w:fill="C6DBF7"/>
            <w:vAlign w:val="center"/>
            <w:hideMark/>
          </w:tcPr>
          <w:p w14:paraId="7201C4E8"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Zmenený</w:t>
            </w:r>
            <w:r w:rsidRPr="003D7C36">
              <w:rPr>
                <w:rFonts w:cs="Calibri"/>
                <w:b/>
                <w:bCs/>
                <w:sz w:val="20"/>
                <w:szCs w:val="20"/>
                <w:lang w:eastAsia="sk-SK"/>
              </w:rPr>
              <w:br/>
              <w:t>rozpočet</w:t>
            </w:r>
            <w:r w:rsidRPr="003D7C36">
              <w:rPr>
                <w:rFonts w:cs="Calibri"/>
                <w:b/>
                <w:bCs/>
                <w:sz w:val="20"/>
                <w:szCs w:val="20"/>
                <w:lang w:eastAsia="sk-SK"/>
              </w:rPr>
              <w:br/>
              <w:t>v EUR</w:t>
            </w:r>
          </w:p>
        </w:tc>
        <w:tc>
          <w:tcPr>
            <w:tcW w:w="633" w:type="pct"/>
            <w:gridSpan w:val="2"/>
            <w:shd w:val="clear" w:color="auto" w:fill="C6DBF7"/>
            <w:vAlign w:val="center"/>
            <w:hideMark/>
          </w:tcPr>
          <w:p w14:paraId="48EBDD36"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v EUR</w:t>
            </w:r>
          </w:p>
        </w:tc>
        <w:tc>
          <w:tcPr>
            <w:tcW w:w="480" w:type="pct"/>
            <w:shd w:val="clear" w:color="auto" w:fill="C6DBF7"/>
            <w:vAlign w:val="center"/>
            <w:hideMark/>
          </w:tcPr>
          <w:p w14:paraId="1B922DDF"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 xml:space="preserve">k </w:t>
            </w:r>
            <w:proofErr w:type="spellStart"/>
            <w:r w:rsidRPr="003D7C36">
              <w:rPr>
                <w:rFonts w:cs="Calibri"/>
                <w:b/>
                <w:bCs/>
                <w:sz w:val="20"/>
                <w:szCs w:val="20"/>
                <w:lang w:eastAsia="sk-SK"/>
              </w:rPr>
              <w:t>zmen</w:t>
            </w:r>
            <w:proofErr w:type="spellEnd"/>
            <w:r w:rsidRPr="003D7C36">
              <w:rPr>
                <w:rFonts w:cs="Calibri"/>
                <w:b/>
                <w:bCs/>
                <w:sz w:val="20"/>
                <w:szCs w:val="20"/>
                <w:lang w:eastAsia="sk-SK"/>
              </w:rPr>
              <w:t xml:space="preserve">. </w:t>
            </w:r>
            <w:proofErr w:type="spellStart"/>
            <w:r w:rsidRPr="003D7C36">
              <w:rPr>
                <w:rFonts w:cs="Calibri"/>
                <w:b/>
                <w:bCs/>
                <w:sz w:val="20"/>
                <w:szCs w:val="20"/>
                <w:lang w:eastAsia="sk-SK"/>
              </w:rPr>
              <w:t>rozp</w:t>
            </w:r>
            <w:proofErr w:type="spellEnd"/>
            <w:r w:rsidRPr="003D7C36">
              <w:rPr>
                <w:rFonts w:cs="Calibri"/>
                <w:b/>
                <w:bCs/>
                <w:sz w:val="20"/>
                <w:szCs w:val="20"/>
                <w:lang w:eastAsia="sk-SK"/>
              </w:rPr>
              <w:t>.</w:t>
            </w:r>
            <w:r w:rsidRPr="003D7C36">
              <w:rPr>
                <w:rFonts w:cs="Calibri"/>
                <w:b/>
                <w:bCs/>
                <w:sz w:val="20"/>
                <w:szCs w:val="20"/>
                <w:lang w:eastAsia="sk-SK"/>
              </w:rPr>
              <w:br/>
              <w:t>v %</w:t>
            </w:r>
          </w:p>
        </w:tc>
        <w:tc>
          <w:tcPr>
            <w:tcW w:w="1207" w:type="pct"/>
            <w:gridSpan w:val="2"/>
            <w:shd w:val="clear" w:color="auto" w:fill="C6DBF7"/>
            <w:vAlign w:val="center"/>
            <w:hideMark/>
          </w:tcPr>
          <w:p w14:paraId="51F681E7"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Zmeny rozpočtu</w:t>
            </w:r>
          </w:p>
        </w:tc>
      </w:tr>
      <w:tr w:rsidR="00D40061" w:rsidRPr="003D7C36" w14:paraId="42B04465" w14:textId="77777777" w:rsidTr="006D6ABE">
        <w:trPr>
          <w:tblCellSpacing w:w="15" w:type="dxa"/>
        </w:trPr>
        <w:tc>
          <w:tcPr>
            <w:tcW w:w="0" w:type="auto"/>
            <w:shd w:val="clear" w:color="auto" w:fill="D9D9D9"/>
            <w:noWrap/>
            <w:vAlign w:val="center"/>
            <w:hideMark/>
          </w:tcPr>
          <w:p w14:paraId="1E0E25D3" w14:textId="77777777" w:rsidR="00D40061" w:rsidRPr="003D7C36" w:rsidRDefault="00D40061" w:rsidP="00D40061">
            <w:pPr>
              <w:spacing w:after="0" w:line="240" w:lineRule="auto"/>
              <w:jc w:val="center"/>
              <w:rPr>
                <w:rFonts w:cs="Calibri"/>
                <w:sz w:val="24"/>
                <w:szCs w:val="24"/>
                <w:lang w:eastAsia="sk-SK"/>
              </w:rPr>
            </w:pPr>
          </w:p>
        </w:tc>
        <w:tc>
          <w:tcPr>
            <w:tcW w:w="0" w:type="auto"/>
            <w:shd w:val="clear" w:color="auto" w:fill="D9D9D9"/>
            <w:vAlign w:val="center"/>
            <w:hideMark/>
          </w:tcPr>
          <w:p w14:paraId="1FCDC53A"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Výdavky celkom</w:t>
            </w:r>
            <w:r w:rsidRPr="003D7C36">
              <w:rPr>
                <w:rFonts w:cs="Calibri"/>
                <w:sz w:val="24"/>
                <w:szCs w:val="24"/>
                <w:lang w:eastAsia="sk-SK"/>
              </w:rPr>
              <w:t xml:space="preserve"> </w:t>
            </w:r>
          </w:p>
        </w:tc>
        <w:tc>
          <w:tcPr>
            <w:tcW w:w="0" w:type="auto"/>
            <w:shd w:val="clear" w:color="auto" w:fill="D9D9D9"/>
            <w:noWrap/>
            <w:vAlign w:val="center"/>
            <w:hideMark/>
          </w:tcPr>
          <w:p w14:paraId="3414170A"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1 180 000,00</w:t>
            </w:r>
            <w:r w:rsidRPr="003D7C36">
              <w:rPr>
                <w:rFonts w:cs="Calibri"/>
                <w:sz w:val="24"/>
                <w:szCs w:val="24"/>
                <w:lang w:eastAsia="sk-SK"/>
              </w:rPr>
              <w:t xml:space="preserve"> </w:t>
            </w:r>
          </w:p>
        </w:tc>
        <w:tc>
          <w:tcPr>
            <w:tcW w:w="670" w:type="pct"/>
            <w:shd w:val="clear" w:color="auto" w:fill="D9D9D9"/>
            <w:noWrap/>
            <w:vAlign w:val="center"/>
            <w:hideMark/>
          </w:tcPr>
          <w:p w14:paraId="01C4B3BA"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608" w:type="pct"/>
            <w:shd w:val="clear" w:color="auto" w:fill="D9D9D9"/>
            <w:noWrap/>
            <w:vAlign w:val="center"/>
            <w:hideMark/>
          </w:tcPr>
          <w:p w14:paraId="722F98EB"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26" w:type="pct"/>
            <w:gridSpan w:val="3"/>
            <w:shd w:val="clear" w:color="auto" w:fill="D9D9D9"/>
            <w:noWrap/>
            <w:vAlign w:val="center"/>
            <w:hideMark/>
          </w:tcPr>
          <w:p w14:paraId="270A71FA" w14:textId="77777777" w:rsidR="00D40061" w:rsidRPr="003D7C36" w:rsidRDefault="00D40061" w:rsidP="00D40061">
            <w:pPr>
              <w:spacing w:after="0" w:line="240" w:lineRule="auto"/>
              <w:jc w:val="right"/>
              <w:rPr>
                <w:rFonts w:cs="Calibri"/>
                <w:sz w:val="24"/>
                <w:szCs w:val="24"/>
                <w:lang w:eastAsia="sk-SK"/>
              </w:rPr>
            </w:pPr>
          </w:p>
        </w:tc>
        <w:tc>
          <w:tcPr>
            <w:tcW w:w="1186" w:type="pct"/>
            <w:vMerge w:val="restart"/>
            <w:shd w:val="clear" w:color="auto" w:fill="D9D9D9"/>
            <w:vAlign w:val="center"/>
            <w:hideMark/>
          </w:tcPr>
          <w:p w14:paraId="7076858A" w14:textId="77777777" w:rsidR="006D6ABE" w:rsidRDefault="00D40061" w:rsidP="00D40061">
            <w:pPr>
              <w:spacing w:after="0" w:line="240" w:lineRule="auto"/>
              <w:jc w:val="right"/>
              <w:rPr>
                <w:rFonts w:cstheme="minorHAnsi"/>
                <w:sz w:val="20"/>
                <w:szCs w:val="20"/>
                <w:lang w:eastAsia="sk-SK"/>
              </w:rPr>
            </w:pPr>
            <w:r w:rsidRPr="00CD5DE2">
              <w:rPr>
                <w:rFonts w:cstheme="minorHAnsi"/>
                <w:b/>
                <w:sz w:val="20"/>
                <w:szCs w:val="20"/>
              </w:rPr>
              <w:t>-1</w:t>
            </w:r>
            <w:r>
              <w:rPr>
                <w:rFonts w:cstheme="minorHAnsi"/>
                <w:b/>
                <w:sz w:val="20"/>
                <w:szCs w:val="20"/>
              </w:rPr>
              <w:t xml:space="preserve"> 180 000,00 </w:t>
            </w:r>
            <w:r>
              <w:rPr>
                <w:rFonts w:cs="Calibri"/>
                <w:b/>
                <w:sz w:val="20"/>
                <w:szCs w:val="20"/>
              </w:rPr>
              <w:t xml:space="preserve">EUR </w:t>
            </w:r>
            <w:r w:rsidR="006D6ABE" w:rsidRPr="00C741A9">
              <w:rPr>
                <w:rFonts w:cstheme="minorHAnsi"/>
                <w:sz w:val="20"/>
                <w:szCs w:val="20"/>
                <w:lang w:eastAsia="sk-SK"/>
              </w:rPr>
              <w:t>I. zmena rozpočtu</w:t>
            </w:r>
            <w:r w:rsidR="006D6ABE">
              <w:rPr>
                <w:rFonts w:cstheme="minorHAnsi"/>
                <w:sz w:val="20"/>
                <w:szCs w:val="20"/>
                <w:lang w:eastAsia="sk-SK"/>
              </w:rPr>
              <w:t xml:space="preserve"> </w:t>
            </w:r>
          </w:p>
          <w:p w14:paraId="1B526318" w14:textId="51882EC1" w:rsidR="00D40061" w:rsidRPr="003D7C36" w:rsidRDefault="006D6ABE" w:rsidP="006D6ABE">
            <w:pPr>
              <w:spacing w:after="0" w:line="240" w:lineRule="auto"/>
              <w:rPr>
                <w:rFonts w:cs="Calibri"/>
                <w:sz w:val="20"/>
                <w:szCs w:val="20"/>
                <w:lang w:eastAsia="sk-SK"/>
              </w:rPr>
            </w:pPr>
            <w:r w:rsidRPr="00C741A9">
              <w:rPr>
                <w:rFonts w:cstheme="minorHAnsi"/>
                <w:sz w:val="20"/>
                <w:szCs w:val="20"/>
                <w:lang w:eastAsia="sk-SK"/>
              </w:rPr>
              <w:t>UZN č. 247/2020</w:t>
            </w:r>
          </w:p>
        </w:tc>
      </w:tr>
      <w:tr w:rsidR="00D40061" w:rsidRPr="003D7C36" w14:paraId="502DD68A" w14:textId="77777777" w:rsidTr="006D6ABE">
        <w:trPr>
          <w:tblCellSpacing w:w="15" w:type="dxa"/>
        </w:trPr>
        <w:tc>
          <w:tcPr>
            <w:tcW w:w="0" w:type="auto"/>
            <w:shd w:val="clear" w:color="auto" w:fill="D9D9D9"/>
            <w:noWrap/>
            <w:vAlign w:val="center"/>
            <w:hideMark/>
          </w:tcPr>
          <w:p w14:paraId="7F3CA4C3"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600</w:t>
            </w:r>
            <w:r w:rsidRPr="003D7C36">
              <w:rPr>
                <w:rFonts w:cs="Calibri"/>
                <w:sz w:val="24"/>
                <w:szCs w:val="24"/>
                <w:lang w:eastAsia="sk-SK"/>
              </w:rPr>
              <w:t xml:space="preserve"> </w:t>
            </w:r>
          </w:p>
        </w:tc>
        <w:tc>
          <w:tcPr>
            <w:tcW w:w="0" w:type="auto"/>
            <w:shd w:val="clear" w:color="auto" w:fill="D9D9D9"/>
            <w:vAlign w:val="center"/>
            <w:hideMark/>
          </w:tcPr>
          <w:p w14:paraId="5489D762"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Bežné výdavky</w:t>
            </w:r>
            <w:r w:rsidRPr="003D7C36">
              <w:rPr>
                <w:rFonts w:cs="Calibri"/>
                <w:sz w:val="24"/>
                <w:szCs w:val="24"/>
                <w:lang w:eastAsia="sk-SK"/>
              </w:rPr>
              <w:t xml:space="preserve"> </w:t>
            </w:r>
          </w:p>
        </w:tc>
        <w:tc>
          <w:tcPr>
            <w:tcW w:w="0" w:type="auto"/>
            <w:shd w:val="clear" w:color="auto" w:fill="D9D9D9"/>
            <w:noWrap/>
            <w:vAlign w:val="center"/>
            <w:hideMark/>
          </w:tcPr>
          <w:p w14:paraId="47189EE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930 000,00</w:t>
            </w:r>
            <w:r w:rsidRPr="003D7C36">
              <w:rPr>
                <w:rFonts w:cs="Calibri"/>
                <w:sz w:val="24"/>
                <w:szCs w:val="24"/>
                <w:lang w:eastAsia="sk-SK"/>
              </w:rPr>
              <w:t xml:space="preserve"> </w:t>
            </w:r>
          </w:p>
        </w:tc>
        <w:tc>
          <w:tcPr>
            <w:tcW w:w="670" w:type="pct"/>
            <w:shd w:val="clear" w:color="auto" w:fill="D9D9D9"/>
            <w:noWrap/>
            <w:vAlign w:val="center"/>
            <w:hideMark/>
          </w:tcPr>
          <w:p w14:paraId="16949E4C"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608" w:type="pct"/>
            <w:shd w:val="clear" w:color="auto" w:fill="D9D9D9"/>
            <w:noWrap/>
            <w:vAlign w:val="center"/>
            <w:hideMark/>
          </w:tcPr>
          <w:p w14:paraId="5E897AB0"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26" w:type="pct"/>
            <w:gridSpan w:val="3"/>
            <w:shd w:val="clear" w:color="auto" w:fill="D9D9D9"/>
            <w:noWrap/>
            <w:vAlign w:val="center"/>
            <w:hideMark/>
          </w:tcPr>
          <w:p w14:paraId="5B348ACD" w14:textId="77777777" w:rsidR="00D40061" w:rsidRPr="003D7C36" w:rsidRDefault="00D40061" w:rsidP="00D40061">
            <w:pPr>
              <w:spacing w:after="0" w:line="240" w:lineRule="auto"/>
              <w:jc w:val="right"/>
              <w:rPr>
                <w:rFonts w:cs="Calibri"/>
                <w:sz w:val="24"/>
                <w:szCs w:val="24"/>
                <w:lang w:eastAsia="sk-SK"/>
              </w:rPr>
            </w:pPr>
          </w:p>
        </w:tc>
        <w:tc>
          <w:tcPr>
            <w:tcW w:w="1186" w:type="pct"/>
            <w:vMerge/>
            <w:shd w:val="clear" w:color="auto" w:fill="D9D9D9"/>
            <w:vAlign w:val="center"/>
            <w:hideMark/>
          </w:tcPr>
          <w:p w14:paraId="09BDC4A6" w14:textId="77777777" w:rsidR="00D40061" w:rsidRPr="003D7C36" w:rsidRDefault="00D40061" w:rsidP="00D40061">
            <w:pPr>
              <w:spacing w:after="0" w:line="240" w:lineRule="auto"/>
              <w:rPr>
                <w:rFonts w:cs="Calibri"/>
                <w:sz w:val="20"/>
                <w:szCs w:val="20"/>
                <w:lang w:eastAsia="sk-SK"/>
              </w:rPr>
            </w:pPr>
          </w:p>
        </w:tc>
      </w:tr>
      <w:tr w:rsidR="00D40061" w:rsidRPr="003D7C36" w14:paraId="6770BF1E" w14:textId="77777777" w:rsidTr="006D6ABE">
        <w:trPr>
          <w:tblCellSpacing w:w="15" w:type="dxa"/>
        </w:trPr>
        <w:tc>
          <w:tcPr>
            <w:tcW w:w="0" w:type="auto"/>
            <w:shd w:val="clear" w:color="auto" w:fill="EFEFEF"/>
            <w:noWrap/>
            <w:vAlign w:val="center"/>
            <w:hideMark/>
          </w:tcPr>
          <w:p w14:paraId="098C5BDB"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640</w:t>
            </w:r>
            <w:r w:rsidRPr="003D7C36">
              <w:rPr>
                <w:rFonts w:cs="Calibri"/>
                <w:sz w:val="24"/>
                <w:szCs w:val="24"/>
                <w:lang w:eastAsia="sk-SK"/>
              </w:rPr>
              <w:t xml:space="preserve"> </w:t>
            </w:r>
          </w:p>
        </w:tc>
        <w:tc>
          <w:tcPr>
            <w:tcW w:w="0" w:type="auto"/>
            <w:shd w:val="clear" w:color="auto" w:fill="EFEFEF"/>
            <w:vAlign w:val="center"/>
            <w:hideMark/>
          </w:tcPr>
          <w:p w14:paraId="68AC8D5D"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Bežné transfery</w:t>
            </w:r>
            <w:r w:rsidRPr="003D7C36">
              <w:rPr>
                <w:rFonts w:cs="Calibri"/>
                <w:sz w:val="24"/>
                <w:szCs w:val="24"/>
                <w:lang w:eastAsia="sk-SK"/>
              </w:rPr>
              <w:t xml:space="preserve"> </w:t>
            </w:r>
          </w:p>
        </w:tc>
        <w:tc>
          <w:tcPr>
            <w:tcW w:w="0" w:type="auto"/>
            <w:shd w:val="clear" w:color="auto" w:fill="EFEFEF"/>
            <w:noWrap/>
            <w:vAlign w:val="center"/>
            <w:hideMark/>
          </w:tcPr>
          <w:p w14:paraId="3EB81A74"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930 000,00</w:t>
            </w:r>
            <w:r w:rsidRPr="003D7C36">
              <w:rPr>
                <w:rFonts w:cs="Calibri"/>
                <w:sz w:val="24"/>
                <w:szCs w:val="24"/>
                <w:lang w:eastAsia="sk-SK"/>
              </w:rPr>
              <w:t xml:space="preserve"> </w:t>
            </w:r>
          </w:p>
        </w:tc>
        <w:tc>
          <w:tcPr>
            <w:tcW w:w="670" w:type="pct"/>
            <w:shd w:val="clear" w:color="auto" w:fill="EFEFEF"/>
            <w:noWrap/>
            <w:vAlign w:val="center"/>
            <w:hideMark/>
          </w:tcPr>
          <w:p w14:paraId="37DB9CAC"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608" w:type="pct"/>
            <w:shd w:val="clear" w:color="auto" w:fill="EFEFEF"/>
            <w:noWrap/>
            <w:vAlign w:val="center"/>
            <w:hideMark/>
          </w:tcPr>
          <w:p w14:paraId="7F1645BA"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526" w:type="pct"/>
            <w:gridSpan w:val="3"/>
            <w:shd w:val="clear" w:color="auto" w:fill="EFEFEF"/>
            <w:noWrap/>
            <w:vAlign w:val="center"/>
            <w:hideMark/>
          </w:tcPr>
          <w:p w14:paraId="147DE935" w14:textId="77777777" w:rsidR="00D40061" w:rsidRPr="003D7C36" w:rsidRDefault="00D40061" w:rsidP="00D40061">
            <w:pPr>
              <w:spacing w:after="0" w:line="240" w:lineRule="auto"/>
              <w:jc w:val="right"/>
              <w:rPr>
                <w:rFonts w:cs="Calibri"/>
                <w:sz w:val="24"/>
                <w:szCs w:val="24"/>
                <w:lang w:eastAsia="sk-SK"/>
              </w:rPr>
            </w:pPr>
          </w:p>
        </w:tc>
        <w:tc>
          <w:tcPr>
            <w:tcW w:w="1186" w:type="pct"/>
            <w:vMerge/>
            <w:shd w:val="clear" w:color="auto" w:fill="EFEFEF"/>
            <w:vAlign w:val="center"/>
            <w:hideMark/>
          </w:tcPr>
          <w:p w14:paraId="3D685AD0" w14:textId="77777777" w:rsidR="00D40061" w:rsidRPr="003D7C36" w:rsidRDefault="00D40061" w:rsidP="00D40061">
            <w:pPr>
              <w:spacing w:after="0" w:line="240" w:lineRule="auto"/>
              <w:rPr>
                <w:rFonts w:cs="Calibri"/>
                <w:sz w:val="20"/>
                <w:szCs w:val="20"/>
                <w:lang w:eastAsia="sk-SK"/>
              </w:rPr>
            </w:pPr>
          </w:p>
        </w:tc>
      </w:tr>
      <w:tr w:rsidR="00D40061" w:rsidRPr="003D7C36" w14:paraId="267D50C0" w14:textId="77777777" w:rsidTr="006D6ABE">
        <w:trPr>
          <w:tblCellSpacing w:w="15" w:type="dxa"/>
        </w:trPr>
        <w:tc>
          <w:tcPr>
            <w:tcW w:w="0" w:type="auto"/>
            <w:shd w:val="clear" w:color="auto" w:fill="D9D9D9"/>
            <w:noWrap/>
            <w:vAlign w:val="center"/>
            <w:hideMark/>
          </w:tcPr>
          <w:p w14:paraId="6B60CEC4"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700</w:t>
            </w:r>
            <w:r w:rsidRPr="003D7C36">
              <w:rPr>
                <w:rFonts w:cs="Calibri"/>
                <w:sz w:val="24"/>
                <w:szCs w:val="24"/>
                <w:lang w:eastAsia="sk-SK"/>
              </w:rPr>
              <w:t xml:space="preserve"> </w:t>
            </w:r>
          </w:p>
        </w:tc>
        <w:tc>
          <w:tcPr>
            <w:tcW w:w="0" w:type="auto"/>
            <w:shd w:val="clear" w:color="auto" w:fill="D9D9D9"/>
            <w:vAlign w:val="center"/>
            <w:hideMark/>
          </w:tcPr>
          <w:p w14:paraId="7BE9327B"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Kapitálové výdavky</w:t>
            </w:r>
            <w:r w:rsidRPr="003D7C36">
              <w:rPr>
                <w:rFonts w:cs="Calibri"/>
                <w:sz w:val="24"/>
                <w:szCs w:val="24"/>
                <w:lang w:eastAsia="sk-SK"/>
              </w:rPr>
              <w:t xml:space="preserve"> </w:t>
            </w:r>
          </w:p>
        </w:tc>
        <w:tc>
          <w:tcPr>
            <w:tcW w:w="0" w:type="auto"/>
            <w:shd w:val="clear" w:color="auto" w:fill="D9D9D9"/>
            <w:noWrap/>
            <w:vAlign w:val="center"/>
            <w:hideMark/>
          </w:tcPr>
          <w:p w14:paraId="3C428D7F"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250 000,00</w:t>
            </w:r>
            <w:r w:rsidRPr="003D7C36">
              <w:rPr>
                <w:rFonts w:cs="Calibri"/>
                <w:sz w:val="24"/>
                <w:szCs w:val="24"/>
                <w:lang w:eastAsia="sk-SK"/>
              </w:rPr>
              <w:t xml:space="preserve"> </w:t>
            </w:r>
          </w:p>
        </w:tc>
        <w:tc>
          <w:tcPr>
            <w:tcW w:w="670" w:type="pct"/>
            <w:shd w:val="clear" w:color="auto" w:fill="D9D9D9"/>
            <w:noWrap/>
            <w:vAlign w:val="center"/>
            <w:hideMark/>
          </w:tcPr>
          <w:p w14:paraId="603B21DE"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608" w:type="pct"/>
            <w:shd w:val="clear" w:color="auto" w:fill="D9D9D9"/>
            <w:noWrap/>
            <w:vAlign w:val="center"/>
            <w:hideMark/>
          </w:tcPr>
          <w:p w14:paraId="578F2E98"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26" w:type="pct"/>
            <w:gridSpan w:val="3"/>
            <w:shd w:val="clear" w:color="auto" w:fill="D9D9D9"/>
            <w:noWrap/>
            <w:vAlign w:val="center"/>
            <w:hideMark/>
          </w:tcPr>
          <w:p w14:paraId="2AFB5B1B" w14:textId="77777777" w:rsidR="00D40061" w:rsidRPr="003D7C36" w:rsidRDefault="00D40061" w:rsidP="00D40061">
            <w:pPr>
              <w:spacing w:after="0" w:line="240" w:lineRule="auto"/>
              <w:jc w:val="right"/>
              <w:rPr>
                <w:rFonts w:cs="Calibri"/>
                <w:sz w:val="24"/>
                <w:szCs w:val="24"/>
                <w:lang w:eastAsia="sk-SK"/>
              </w:rPr>
            </w:pPr>
          </w:p>
        </w:tc>
        <w:tc>
          <w:tcPr>
            <w:tcW w:w="1186" w:type="pct"/>
            <w:vMerge/>
            <w:shd w:val="clear" w:color="auto" w:fill="D9D9D9"/>
            <w:vAlign w:val="center"/>
            <w:hideMark/>
          </w:tcPr>
          <w:p w14:paraId="07E2E524" w14:textId="77777777" w:rsidR="00D40061" w:rsidRPr="003D7C36" w:rsidRDefault="00D40061" w:rsidP="00D40061">
            <w:pPr>
              <w:spacing w:after="0" w:line="240" w:lineRule="auto"/>
              <w:rPr>
                <w:rFonts w:cs="Calibri"/>
                <w:sz w:val="20"/>
                <w:szCs w:val="20"/>
                <w:lang w:eastAsia="sk-SK"/>
              </w:rPr>
            </w:pPr>
          </w:p>
        </w:tc>
      </w:tr>
      <w:tr w:rsidR="00D40061" w:rsidRPr="003D7C36" w14:paraId="43665386" w14:textId="77777777" w:rsidTr="006D6ABE">
        <w:trPr>
          <w:tblCellSpacing w:w="15" w:type="dxa"/>
        </w:trPr>
        <w:tc>
          <w:tcPr>
            <w:tcW w:w="0" w:type="auto"/>
            <w:shd w:val="clear" w:color="auto" w:fill="EFEFEF"/>
            <w:noWrap/>
            <w:vAlign w:val="center"/>
            <w:hideMark/>
          </w:tcPr>
          <w:p w14:paraId="308F91D8"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720</w:t>
            </w:r>
            <w:r w:rsidRPr="003D7C36">
              <w:rPr>
                <w:rFonts w:cs="Calibri"/>
                <w:sz w:val="24"/>
                <w:szCs w:val="24"/>
                <w:lang w:eastAsia="sk-SK"/>
              </w:rPr>
              <w:t xml:space="preserve"> </w:t>
            </w:r>
          </w:p>
        </w:tc>
        <w:tc>
          <w:tcPr>
            <w:tcW w:w="0" w:type="auto"/>
            <w:shd w:val="clear" w:color="auto" w:fill="EFEFEF"/>
            <w:vAlign w:val="center"/>
            <w:hideMark/>
          </w:tcPr>
          <w:p w14:paraId="0EDAD8DF"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Kapitálové transfery</w:t>
            </w:r>
            <w:r w:rsidRPr="003D7C36">
              <w:rPr>
                <w:rFonts w:cs="Calibri"/>
                <w:sz w:val="24"/>
                <w:szCs w:val="24"/>
                <w:lang w:eastAsia="sk-SK"/>
              </w:rPr>
              <w:t xml:space="preserve"> </w:t>
            </w:r>
          </w:p>
        </w:tc>
        <w:tc>
          <w:tcPr>
            <w:tcW w:w="0" w:type="auto"/>
            <w:shd w:val="clear" w:color="auto" w:fill="EFEFEF"/>
            <w:noWrap/>
            <w:vAlign w:val="center"/>
            <w:hideMark/>
          </w:tcPr>
          <w:p w14:paraId="7CBEAED6"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250 000,00</w:t>
            </w:r>
            <w:r w:rsidRPr="003D7C36">
              <w:rPr>
                <w:rFonts w:cs="Calibri"/>
                <w:sz w:val="24"/>
                <w:szCs w:val="24"/>
                <w:lang w:eastAsia="sk-SK"/>
              </w:rPr>
              <w:t xml:space="preserve"> </w:t>
            </w:r>
          </w:p>
        </w:tc>
        <w:tc>
          <w:tcPr>
            <w:tcW w:w="670" w:type="pct"/>
            <w:shd w:val="clear" w:color="auto" w:fill="EFEFEF"/>
            <w:noWrap/>
            <w:vAlign w:val="center"/>
            <w:hideMark/>
          </w:tcPr>
          <w:p w14:paraId="3A46410D"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608" w:type="pct"/>
            <w:shd w:val="clear" w:color="auto" w:fill="EFEFEF"/>
            <w:noWrap/>
            <w:vAlign w:val="center"/>
            <w:hideMark/>
          </w:tcPr>
          <w:p w14:paraId="343A6C8F"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526" w:type="pct"/>
            <w:gridSpan w:val="3"/>
            <w:shd w:val="clear" w:color="auto" w:fill="EFEFEF"/>
            <w:noWrap/>
            <w:vAlign w:val="center"/>
            <w:hideMark/>
          </w:tcPr>
          <w:p w14:paraId="406385D0" w14:textId="77777777" w:rsidR="00D40061" w:rsidRPr="003D7C36" w:rsidRDefault="00D40061" w:rsidP="00D40061">
            <w:pPr>
              <w:spacing w:after="0" w:line="240" w:lineRule="auto"/>
              <w:jc w:val="right"/>
              <w:rPr>
                <w:rFonts w:cs="Calibri"/>
                <w:sz w:val="24"/>
                <w:szCs w:val="24"/>
                <w:lang w:eastAsia="sk-SK"/>
              </w:rPr>
            </w:pPr>
          </w:p>
        </w:tc>
        <w:tc>
          <w:tcPr>
            <w:tcW w:w="1186" w:type="pct"/>
            <w:vMerge/>
            <w:shd w:val="clear" w:color="auto" w:fill="EFEFEF"/>
            <w:vAlign w:val="center"/>
            <w:hideMark/>
          </w:tcPr>
          <w:p w14:paraId="45114A90" w14:textId="77777777" w:rsidR="00D40061" w:rsidRPr="003D7C36" w:rsidRDefault="00D40061" w:rsidP="00D40061">
            <w:pPr>
              <w:spacing w:after="0" w:line="240" w:lineRule="auto"/>
              <w:rPr>
                <w:rFonts w:cs="Calibri"/>
                <w:sz w:val="20"/>
                <w:szCs w:val="20"/>
                <w:lang w:eastAsia="sk-SK"/>
              </w:rPr>
            </w:pPr>
          </w:p>
        </w:tc>
      </w:tr>
    </w:tbl>
    <w:p w14:paraId="479F1405" w14:textId="77777777" w:rsidR="00D40061" w:rsidRDefault="00D40061" w:rsidP="00D40061">
      <w:pPr>
        <w:spacing w:before="100" w:beforeAutospacing="1" w:after="100" w:afterAutospacing="1" w:line="240" w:lineRule="auto"/>
        <w:jc w:val="both"/>
        <w:rPr>
          <w:rFonts w:cs="Calibri"/>
          <w:lang w:eastAsia="sk-SK"/>
        </w:rPr>
      </w:pPr>
      <w:r w:rsidRPr="003D7C36">
        <w:rPr>
          <w:rFonts w:cs="Calibri"/>
          <w:b/>
          <w:bCs/>
          <w:lang w:eastAsia="sk-SK"/>
        </w:rPr>
        <w:t xml:space="preserve">Komentár: </w:t>
      </w:r>
      <w:r w:rsidRPr="003D7C36">
        <w:rPr>
          <w:rFonts w:cs="Calibri"/>
          <w:lang w:eastAsia="sk-SK"/>
        </w:rPr>
        <w:t>Podprogram umožňuje podporu žiadateľov, ktorí si podali žiadosť o dotáciu prostredníctvom vypísaných dotačných výziev v súlade s podmienkami VZN č. 5/2018. Dotácie boli schválené Zastupiteľstvom BSK v súlade so všeobecnými podmienkami VZN č. 5/2018 a podmienkami príslušných výziev. Úsporné opatrenia sa týkajú aj Bratislavskej regionálnej dotačnej schémy (BRDS).</w:t>
      </w:r>
    </w:p>
    <w:p w14:paraId="3CCFE393" w14:textId="77777777" w:rsidR="00D40061" w:rsidRPr="003D7C36" w:rsidRDefault="00D40061" w:rsidP="00D40061">
      <w:pPr>
        <w:spacing w:before="100" w:beforeAutospacing="1" w:after="100" w:afterAutospacing="1" w:line="240" w:lineRule="auto"/>
        <w:jc w:val="both"/>
        <w:rPr>
          <w:rFonts w:cs="Calibri"/>
          <w:lang w:eastAsia="sk-SK"/>
        </w:rPr>
      </w:pPr>
      <w:r w:rsidRPr="003D7C36">
        <w:rPr>
          <w:rFonts w:cs="Calibri"/>
          <w:lang w:eastAsia="sk-SK"/>
        </w:rPr>
        <w:t>I</w:t>
      </w:r>
      <w:r>
        <w:rPr>
          <w:rFonts w:cs="Calibri"/>
          <w:lang w:eastAsia="sk-SK"/>
        </w:rPr>
        <w:t> </w:t>
      </w:r>
      <w:r w:rsidRPr="003D7C36">
        <w:rPr>
          <w:rFonts w:cs="Calibri"/>
          <w:lang w:eastAsia="sk-SK"/>
        </w:rPr>
        <w:t>napriek tomu, že ide o</w:t>
      </w:r>
      <w:r>
        <w:rPr>
          <w:rFonts w:cs="Calibri"/>
          <w:lang w:eastAsia="sk-SK"/>
        </w:rPr>
        <w:t> </w:t>
      </w:r>
      <w:r w:rsidRPr="003D7C36">
        <w:rPr>
          <w:rFonts w:cs="Calibri"/>
          <w:lang w:eastAsia="sk-SK"/>
        </w:rPr>
        <w:t>populárny projekt, na základe Uznesenia zo Zastupiteľstva Bratislavského samosprávneho kraja zo dňa 29. mája 2020 boli výzvy na kultúru, turizmus, mládež, šport, životné prostredie a</w:t>
      </w:r>
      <w:r>
        <w:rPr>
          <w:rFonts w:cs="Calibri"/>
          <w:lang w:eastAsia="sk-SK"/>
        </w:rPr>
        <w:t> </w:t>
      </w:r>
      <w:r w:rsidRPr="003D7C36">
        <w:rPr>
          <w:rFonts w:cs="Calibri"/>
          <w:lang w:eastAsia="sk-SK"/>
        </w:rPr>
        <w:t>rozvoj vidieka pre rok 2020 zrušené.</w:t>
      </w:r>
    </w:p>
    <w:p w14:paraId="30561D6D" w14:textId="77777777" w:rsidR="00352CED" w:rsidRDefault="00352CED" w:rsidP="00D40061">
      <w:pPr>
        <w:spacing w:before="100" w:beforeAutospacing="1" w:after="100" w:afterAutospacing="1" w:line="240" w:lineRule="auto"/>
        <w:outlineLvl w:val="2"/>
        <w:rPr>
          <w:rFonts w:cs="Calibri"/>
          <w:b/>
          <w:bCs/>
          <w:color w:val="4F6228"/>
          <w:sz w:val="27"/>
          <w:szCs w:val="27"/>
          <w:lang w:eastAsia="sk-SK"/>
        </w:rPr>
      </w:pPr>
    </w:p>
    <w:p w14:paraId="71CEC858" w14:textId="77777777" w:rsidR="00352CED" w:rsidRDefault="00352CED" w:rsidP="00D40061">
      <w:pPr>
        <w:spacing w:before="100" w:beforeAutospacing="1" w:after="100" w:afterAutospacing="1" w:line="240" w:lineRule="auto"/>
        <w:outlineLvl w:val="2"/>
        <w:rPr>
          <w:rFonts w:cs="Calibri"/>
          <w:b/>
          <w:bCs/>
          <w:color w:val="4F6228"/>
          <w:sz w:val="27"/>
          <w:szCs w:val="27"/>
          <w:lang w:eastAsia="sk-SK"/>
        </w:rPr>
      </w:pPr>
    </w:p>
    <w:p w14:paraId="0E5A5D7D" w14:textId="72B3ABB2" w:rsidR="00D40061" w:rsidRPr="003D7C36" w:rsidRDefault="00D40061" w:rsidP="00D40061">
      <w:pPr>
        <w:spacing w:before="100" w:beforeAutospacing="1" w:after="100" w:afterAutospacing="1" w:line="240" w:lineRule="auto"/>
        <w:outlineLvl w:val="2"/>
        <w:rPr>
          <w:rFonts w:cs="Calibri"/>
          <w:b/>
          <w:bCs/>
          <w:color w:val="4F6228"/>
          <w:sz w:val="27"/>
          <w:szCs w:val="27"/>
          <w:lang w:eastAsia="sk-SK"/>
        </w:rPr>
      </w:pPr>
      <w:r w:rsidRPr="003D7C36">
        <w:rPr>
          <w:rFonts w:cs="Calibri"/>
          <w:b/>
          <w:bCs/>
          <w:color w:val="4F6228"/>
          <w:sz w:val="27"/>
          <w:szCs w:val="27"/>
          <w:lang w:eastAsia="sk-SK"/>
        </w:rPr>
        <w:lastRenderedPageBreak/>
        <w:t>Podprogram 14.2: Individuálne dotácie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96"/>
        <w:gridCol w:w="2023"/>
        <w:gridCol w:w="1503"/>
        <w:gridCol w:w="1695"/>
        <w:gridCol w:w="1454"/>
        <w:gridCol w:w="1242"/>
        <w:gridCol w:w="1553"/>
      </w:tblGrid>
      <w:tr w:rsidR="00D40061" w:rsidRPr="003D7C36" w14:paraId="6F27C22D" w14:textId="77777777" w:rsidTr="00D40061">
        <w:trPr>
          <w:tblCellSpacing w:w="15" w:type="dxa"/>
        </w:trPr>
        <w:tc>
          <w:tcPr>
            <w:tcW w:w="0" w:type="auto"/>
            <w:shd w:val="clear" w:color="auto" w:fill="C6DBF7"/>
            <w:vAlign w:val="center"/>
            <w:hideMark/>
          </w:tcPr>
          <w:p w14:paraId="3BC14B25"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Kód EK</w:t>
            </w:r>
          </w:p>
        </w:tc>
        <w:tc>
          <w:tcPr>
            <w:tcW w:w="952" w:type="pct"/>
            <w:shd w:val="clear" w:color="auto" w:fill="C6DBF7"/>
            <w:vAlign w:val="center"/>
            <w:hideMark/>
          </w:tcPr>
          <w:p w14:paraId="016C8FE7"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Ekonomická klasifikácia</w:t>
            </w:r>
          </w:p>
        </w:tc>
        <w:tc>
          <w:tcPr>
            <w:tcW w:w="0" w:type="auto"/>
            <w:shd w:val="clear" w:color="auto" w:fill="C6DBF7"/>
            <w:vAlign w:val="center"/>
            <w:hideMark/>
          </w:tcPr>
          <w:p w14:paraId="3CD95301"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Schválený</w:t>
            </w:r>
            <w:r w:rsidRPr="003D7C36">
              <w:rPr>
                <w:rFonts w:cs="Calibri"/>
                <w:b/>
                <w:bCs/>
                <w:sz w:val="20"/>
                <w:szCs w:val="20"/>
                <w:lang w:eastAsia="sk-SK"/>
              </w:rPr>
              <w:br/>
              <w:t>rozpočet</w:t>
            </w:r>
            <w:r w:rsidRPr="003D7C36">
              <w:rPr>
                <w:rFonts w:cs="Calibri"/>
                <w:b/>
                <w:bCs/>
                <w:sz w:val="20"/>
                <w:szCs w:val="20"/>
                <w:lang w:eastAsia="sk-SK"/>
              </w:rPr>
              <w:br/>
              <w:t>v EUR</w:t>
            </w:r>
          </w:p>
        </w:tc>
        <w:tc>
          <w:tcPr>
            <w:tcW w:w="818" w:type="pct"/>
            <w:shd w:val="clear" w:color="auto" w:fill="C6DBF7"/>
            <w:vAlign w:val="center"/>
            <w:hideMark/>
          </w:tcPr>
          <w:p w14:paraId="78522F25"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Zmenený</w:t>
            </w:r>
            <w:r w:rsidRPr="003D7C36">
              <w:rPr>
                <w:rFonts w:cs="Calibri"/>
                <w:b/>
                <w:bCs/>
                <w:sz w:val="20"/>
                <w:szCs w:val="20"/>
                <w:lang w:eastAsia="sk-SK"/>
              </w:rPr>
              <w:br/>
              <w:t>rozpočet</w:t>
            </w:r>
            <w:r w:rsidRPr="003D7C36">
              <w:rPr>
                <w:rFonts w:cs="Calibri"/>
                <w:b/>
                <w:bCs/>
                <w:sz w:val="20"/>
                <w:szCs w:val="20"/>
                <w:lang w:eastAsia="sk-SK"/>
              </w:rPr>
              <w:br/>
              <w:t>v EUR</w:t>
            </w:r>
          </w:p>
        </w:tc>
        <w:tc>
          <w:tcPr>
            <w:tcW w:w="700" w:type="pct"/>
            <w:shd w:val="clear" w:color="auto" w:fill="C6DBF7"/>
            <w:vAlign w:val="center"/>
            <w:hideMark/>
          </w:tcPr>
          <w:p w14:paraId="03E78552"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v EUR</w:t>
            </w:r>
          </w:p>
        </w:tc>
        <w:tc>
          <w:tcPr>
            <w:tcW w:w="596" w:type="pct"/>
            <w:shd w:val="clear" w:color="auto" w:fill="C6DBF7"/>
            <w:vAlign w:val="center"/>
            <w:hideMark/>
          </w:tcPr>
          <w:p w14:paraId="63F25D66"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 xml:space="preserve">k </w:t>
            </w:r>
            <w:proofErr w:type="spellStart"/>
            <w:r w:rsidRPr="003D7C36">
              <w:rPr>
                <w:rFonts w:cs="Calibri"/>
                <w:b/>
                <w:bCs/>
                <w:sz w:val="20"/>
                <w:szCs w:val="20"/>
                <w:lang w:eastAsia="sk-SK"/>
              </w:rPr>
              <w:t>zmen</w:t>
            </w:r>
            <w:proofErr w:type="spellEnd"/>
            <w:r w:rsidRPr="003D7C36">
              <w:rPr>
                <w:rFonts w:cs="Calibri"/>
                <w:b/>
                <w:bCs/>
                <w:sz w:val="20"/>
                <w:szCs w:val="20"/>
                <w:lang w:eastAsia="sk-SK"/>
              </w:rPr>
              <w:t xml:space="preserve">. </w:t>
            </w:r>
            <w:proofErr w:type="spellStart"/>
            <w:r w:rsidRPr="003D7C36">
              <w:rPr>
                <w:rFonts w:cs="Calibri"/>
                <w:b/>
                <w:bCs/>
                <w:sz w:val="20"/>
                <w:szCs w:val="20"/>
                <w:lang w:eastAsia="sk-SK"/>
              </w:rPr>
              <w:t>Rozp</w:t>
            </w:r>
            <w:proofErr w:type="spellEnd"/>
            <w:r w:rsidRPr="003D7C36">
              <w:rPr>
                <w:rFonts w:cs="Calibri"/>
                <w:b/>
                <w:bCs/>
                <w:sz w:val="20"/>
                <w:szCs w:val="20"/>
                <w:lang w:eastAsia="sk-SK"/>
              </w:rPr>
              <w:t>.</w:t>
            </w:r>
            <w:r w:rsidRPr="003D7C36">
              <w:rPr>
                <w:rFonts w:cs="Calibri"/>
                <w:b/>
                <w:bCs/>
                <w:sz w:val="20"/>
                <w:szCs w:val="20"/>
                <w:lang w:eastAsia="sk-SK"/>
              </w:rPr>
              <w:br/>
              <w:t>v %</w:t>
            </w:r>
          </w:p>
        </w:tc>
        <w:tc>
          <w:tcPr>
            <w:tcW w:w="741" w:type="pct"/>
            <w:shd w:val="clear" w:color="auto" w:fill="C6DBF7"/>
            <w:vAlign w:val="center"/>
            <w:hideMark/>
          </w:tcPr>
          <w:p w14:paraId="63F5FE40"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Zmeny rozpočtu</w:t>
            </w:r>
          </w:p>
        </w:tc>
      </w:tr>
      <w:tr w:rsidR="00D40061" w:rsidRPr="003D7C36" w14:paraId="57A9FC8E" w14:textId="77777777" w:rsidTr="00D40061">
        <w:trPr>
          <w:tblCellSpacing w:w="15" w:type="dxa"/>
        </w:trPr>
        <w:tc>
          <w:tcPr>
            <w:tcW w:w="0" w:type="auto"/>
            <w:shd w:val="clear" w:color="auto" w:fill="D9D9D9"/>
            <w:noWrap/>
            <w:vAlign w:val="center"/>
            <w:hideMark/>
          </w:tcPr>
          <w:p w14:paraId="63512BE3" w14:textId="77777777" w:rsidR="00D40061" w:rsidRPr="003D7C36" w:rsidRDefault="00D40061" w:rsidP="00D40061">
            <w:pPr>
              <w:spacing w:after="0" w:line="240" w:lineRule="auto"/>
              <w:jc w:val="center"/>
              <w:rPr>
                <w:rFonts w:cs="Calibri"/>
                <w:sz w:val="24"/>
                <w:szCs w:val="24"/>
                <w:lang w:eastAsia="sk-SK"/>
              </w:rPr>
            </w:pPr>
          </w:p>
        </w:tc>
        <w:tc>
          <w:tcPr>
            <w:tcW w:w="0" w:type="auto"/>
            <w:shd w:val="clear" w:color="auto" w:fill="D9D9D9"/>
            <w:vAlign w:val="center"/>
            <w:hideMark/>
          </w:tcPr>
          <w:p w14:paraId="3C0D80E7"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Výdavky celkom</w:t>
            </w:r>
            <w:r w:rsidRPr="003D7C36">
              <w:rPr>
                <w:rFonts w:cs="Calibri"/>
                <w:sz w:val="24"/>
                <w:szCs w:val="24"/>
                <w:lang w:eastAsia="sk-SK"/>
              </w:rPr>
              <w:t xml:space="preserve"> </w:t>
            </w:r>
          </w:p>
        </w:tc>
        <w:tc>
          <w:tcPr>
            <w:tcW w:w="0" w:type="auto"/>
            <w:shd w:val="clear" w:color="auto" w:fill="D9D9D9"/>
            <w:noWrap/>
            <w:vAlign w:val="center"/>
            <w:hideMark/>
          </w:tcPr>
          <w:p w14:paraId="6D16E4CC"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300 000,00</w:t>
            </w:r>
            <w:r w:rsidRPr="003D7C36">
              <w:rPr>
                <w:rFonts w:cs="Calibri"/>
                <w:sz w:val="24"/>
                <w:szCs w:val="24"/>
                <w:lang w:eastAsia="sk-SK"/>
              </w:rPr>
              <w:t xml:space="preserve"> </w:t>
            </w:r>
          </w:p>
        </w:tc>
        <w:tc>
          <w:tcPr>
            <w:tcW w:w="818" w:type="pct"/>
            <w:shd w:val="clear" w:color="auto" w:fill="D9D9D9"/>
            <w:noWrap/>
            <w:vAlign w:val="center"/>
            <w:hideMark/>
          </w:tcPr>
          <w:p w14:paraId="22545FDF"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300 000,00</w:t>
            </w:r>
            <w:r w:rsidRPr="003D7C36">
              <w:rPr>
                <w:rFonts w:cs="Calibri"/>
                <w:sz w:val="24"/>
                <w:szCs w:val="24"/>
                <w:lang w:eastAsia="sk-SK"/>
              </w:rPr>
              <w:t xml:space="preserve"> </w:t>
            </w:r>
          </w:p>
        </w:tc>
        <w:tc>
          <w:tcPr>
            <w:tcW w:w="700" w:type="pct"/>
            <w:shd w:val="clear" w:color="auto" w:fill="D9D9D9"/>
            <w:noWrap/>
            <w:vAlign w:val="center"/>
            <w:hideMark/>
          </w:tcPr>
          <w:p w14:paraId="19EEA7EF"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291 901,01</w:t>
            </w:r>
            <w:r w:rsidRPr="003D7C36">
              <w:rPr>
                <w:rFonts w:cs="Calibri"/>
                <w:sz w:val="24"/>
                <w:szCs w:val="24"/>
                <w:lang w:eastAsia="sk-SK"/>
              </w:rPr>
              <w:t xml:space="preserve"> </w:t>
            </w:r>
          </w:p>
        </w:tc>
        <w:tc>
          <w:tcPr>
            <w:tcW w:w="596" w:type="pct"/>
            <w:shd w:val="clear" w:color="auto" w:fill="D9D9D9"/>
            <w:noWrap/>
            <w:vAlign w:val="center"/>
            <w:hideMark/>
          </w:tcPr>
          <w:p w14:paraId="73AD3EF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97,30</w:t>
            </w:r>
            <w:r w:rsidRPr="003D7C36">
              <w:rPr>
                <w:rFonts w:cs="Calibri"/>
                <w:sz w:val="24"/>
                <w:szCs w:val="24"/>
                <w:lang w:eastAsia="sk-SK"/>
              </w:rPr>
              <w:t xml:space="preserve"> </w:t>
            </w:r>
          </w:p>
        </w:tc>
        <w:tc>
          <w:tcPr>
            <w:tcW w:w="741" w:type="pct"/>
            <w:vMerge w:val="restart"/>
            <w:shd w:val="clear" w:color="auto" w:fill="D9D9D9"/>
            <w:vAlign w:val="center"/>
            <w:hideMark/>
          </w:tcPr>
          <w:p w14:paraId="5855339D" w14:textId="77777777" w:rsidR="00D40061" w:rsidRPr="003D7C36" w:rsidRDefault="00D40061" w:rsidP="00D40061">
            <w:pPr>
              <w:spacing w:after="0" w:line="240" w:lineRule="auto"/>
              <w:jc w:val="right"/>
              <w:rPr>
                <w:rFonts w:cs="Calibri"/>
                <w:sz w:val="24"/>
                <w:szCs w:val="24"/>
                <w:lang w:eastAsia="sk-SK"/>
              </w:rPr>
            </w:pPr>
          </w:p>
        </w:tc>
      </w:tr>
      <w:tr w:rsidR="00D40061" w:rsidRPr="003D7C36" w14:paraId="6FDEA8C6" w14:textId="77777777" w:rsidTr="00D40061">
        <w:trPr>
          <w:tblCellSpacing w:w="15" w:type="dxa"/>
        </w:trPr>
        <w:tc>
          <w:tcPr>
            <w:tcW w:w="0" w:type="auto"/>
            <w:shd w:val="clear" w:color="auto" w:fill="D9D9D9"/>
            <w:noWrap/>
            <w:vAlign w:val="center"/>
            <w:hideMark/>
          </w:tcPr>
          <w:p w14:paraId="2F4AAA5B"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600</w:t>
            </w:r>
            <w:r w:rsidRPr="003D7C36">
              <w:rPr>
                <w:rFonts w:cs="Calibri"/>
                <w:sz w:val="24"/>
                <w:szCs w:val="24"/>
                <w:lang w:eastAsia="sk-SK"/>
              </w:rPr>
              <w:t xml:space="preserve"> </w:t>
            </w:r>
          </w:p>
        </w:tc>
        <w:tc>
          <w:tcPr>
            <w:tcW w:w="0" w:type="auto"/>
            <w:shd w:val="clear" w:color="auto" w:fill="D9D9D9"/>
            <w:vAlign w:val="center"/>
            <w:hideMark/>
          </w:tcPr>
          <w:p w14:paraId="5E762592"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Bežné výdavky</w:t>
            </w:r>
            <w:r w:rsidRPr="003D7C36">
              <w:rPr>
                <w:rFonts w:cs="Calibri"/>
                <w:sz w:val="24"/>
                <w:szCs w:val="24"/>
                <w:lang w:eastAsia="sk-SK"/>
              </w:rPr>
              <w:t xml:space="preserve"> </w:t>
            </w:r>
          </w:p>
        </w:tc>
        <w:tc>
          <w:tcPr>
            <w:tcW w:w="0" w:type="auto"/>
            <w:shd w:val="clear" w:color="auto" w:fill="D9D9D9"/>
            <w:noWrap/>
            <w:vAlign w:val="center"/>
            <w:hideMark/>
          </w:tcPr>
          <w:p w14:paraId="758C3AF0"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295 000,00</w:t>
            </w:r>
            <w:r w:rsidRPr="003D7C36">
              <w:rPr>
                <w:rFonts w:cs="Calibri"/>
                <w:sz w:val="24"/>
                <w:szCs w:val="24"/>
                <w:lang w:eastAsia="sk-SK"/>
              </w:rPr>
              <w:t xml:space="preserve"> </w:t>
            </w:r>
          </w:p>
        </w:tc>
        <w:tc>
          <w:tcPr>
            <w:tcW w:w="818" w:type="pct"/>
            <w:shd w:val="clear" w:color="auto" w:fill="D9D9D9"/>
            <w:noWrap/>
            <w:vAlign w:val="center"/>
            <w:hideMark/>
          </w:tcPr>
          <w:p w14:paraId="1FBDEE6B"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286 500,00</w:t>
            </w:r>
            <w:r w:rsidRPr="003D7C36">
              <w:rPr>
                <w:rFonts w:cs="Calibri"/>
                <w:sz w:val="24"/>
                <w:szCs w:val="24"/>
                <w:lang w:eastAsia="sk-SK"/>
              </w:rPr>
              <w:t xml:space="preserve"> </w:t>
            </w:r>
          </w:p>
        </w:tc>
        <w:tc>
          <w:tcPr>
            <w:tcW w:w="700" w:type="pct"/>
            <w:shd w:val="clear" w:color="auto" w:fill="D9D9D9"/>
            <w:noWrap/>
            <w:vAlign w:val="center"/>
            <w:hideMark/>
          </w:tcPr>
          <w:p w14:paraId="547041A2"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278 401,01</w:t>
            </w:r>
            <w:r w:rsidRPr="003D7C36">
              <w:rPr>
                <w:rFonts w:cs="Calibri"/>
                <w:sz w:val="24"/>
                <w:szCs w:val="24"/>
                <w:lang w:eastAsia="sk-SK"/>
              </w:rPr>
              <w:t xml:space="preserve"> </w:t>
            </w:r>
          </w:p>
        </w:tc>
        <w:tc>
          <w:tcPr>
            <w:tcW w:w="596" w:type="pct"/>
            <w:shd w:val="clear" w:color="auto" w:fill="D9D9D9"/>
            <w:noWrap/>
            <w:vAlign w:val="center"/>
            <w:hideMark/>
          </w:tcPr>
          <w:p w14:paraId="7192B79E"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97,17</w:t>
            </w:r>
            <w:r w:rsidRPr="003D7C36">
              <w:rPr>
                <w:rFonts w:cs="Calibri"/>
                <w:sz w:val="24"/>
                <w:szCs w:val="24"/>
                <w:lang w:eastAsia="sk-SK"/>
              </w:rPr>
              <w:t xml:space="preserve"> </w:t>
            </w:r>
          </w:p>
        </w:tc>
        <w:tc>
          <w:tcPr>
            <w:tcW w:w="741" w:type="pct"/>
            <w:vMerge/>
            <w:shd w:val="clear" w:color="auto" w:fill="D9D9D9"/>
            <w:vAlign w:val="center"/>
            <w:hideMark/>
          </w:tcPr>
          <w:p w14:paraId="249B2B73" w14:textId="77777777" w:rsidR="00D40061" w:rsidRPr="003D7C36" w:rsidRDefault="00D40061" w:rsidP="00D40061">
            <w:pPr>
              <w:spacing w:after="0" w:line="240" w:lineRule="auto"/>
              <w:rPr>
                <w:rFonts w:cs="Calibri"/>
                <w:sz w:val="24"/>
                <w:szCs w:val="24"/>
                <w:lang w:eastAsia="sk-SK"/>
              </w:rPr>
            </w:pPr>
          </w:p>
        </w:tc>
      </w:tr>
      <w:tr w:rsidR="00D40061" w:rsidRPr="003D7C36" w14:paraId="1517D7BD" w14:textId="77777777" w:rsidTr="00D40061">
        <w:trPr>
          <w:tblCellSpacing w:w="15" w:type="dxa"/>
        </w:trPr>
        <w:tc>
          <w:tcPr>
            <w:tcW w:w="0" w:type="auto"/>
            <w:shd w:val="clear" w:color="auto" w:fill="EFEFEF"/>
            <w:noWrap/>
            <w:vAlign w:val="center"/>
            <w:hideMark/>
          </w:tcPr>
          <w:p w14:paraId="4BFDB781"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640</w:t>
            </w:r>
            <w:r w:rsidRPr="003D7C36">
              <w:rPr>
                <w:rFonts w:cs="Calibri"/>
                <w:sz w:val="24"/>
                <w:szCs w:val="24"/>
                <w:lang w:eastAsia="sk-SK"/>
              </w:rPr>
              <w:t xml:space="preserve"> </w:t>
            </w:r>
          </w:p>
        </w:tc>
        <w:tc>
          <w:tcPr>
            <w:tcW w:w="0" w:type="auto"/>
            <w:shd w:val="clear" w:color="auto" w:fill="EFEFEF"/>
            <w:vAlign w:val="center"/>
            <w:hideMark/>
          </w:tcPr>
          <w:p w14:paraId="5F75A834"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Bežné transfery</w:t>
            </w:r>
            <w:r w:rsidRPr="003D7C36">
              <w:rPr>
                <w:rFonts w:cs="Calibri"/>
                <w:sz w:val="24"/>
                <w:szCs w:val="24"/>
                <w:lang w:eastAsia="sk-SK"/>
              </w:rPr>
              <w:t xml:space="preserve"> </w:t>
            </w:r>
          </w:p>
        </w:tc>
        <w:tc>
          <w:tcPr>
            <w:tcW w:w="0" w:type="auto"/>
            <w:shd w:val="clear" w:color="auto" w:fill="EFEFEF"/>
            <w:noWrap/>
            <w:vAlign w:val="center"/>
            <w:hideMark/>
          </w:tcPr>
          <w:p w14:paraId="3FC2B2A6"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295 000,00</w:t>
            </w:r>
            <w:r w:rsidRPr="003D7C36">
              <w:rPr>
                <w:rFonts w:cs="Calibri"/>
                <w:sz w:val="24"/>
                <w:szCs w:val="24"/>
                <w:lang w:eastAsia="sk-SK"/>
              </w:rPr>
              <w:t xml:space="preserve"> </w:t>
            </w:r>
          </w:p>
        </w:tc>
        <w:tc>
          <w:tcPr>
            <w:tcW w:w="818" w:type="pct"/>
            <w:shd w:val="clear" w:color="auto" w:fill="EFEFEF"/>
            <w:noWrap/>
            <w:vAlign w:val="center"/>
            <w:hideMark/>
          </w:tcPr>
          <w:p w14:paraId="2B4C6964"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286 500,00</w:t>
            </w:r>
            <w:r w:rsidRPr="003D7C36">
              <w:rPr>
                <w:rFonts w:cs="Calibri"/>
                <w:sz w:val="24"/>
                <w:szCs w:val="24"/>
                <w:lang w:eastAsia="sk-SK"/>
              </w:rPr>
              <w:t xml:space="preserve"> </w:t>
            </w:r>
          </w:p>
        </w:tc>
        <w:tc>
          <w:tcPr>
            <w:tcW w:w="700" w:type="pct"/>
            <w:shd w:val="clear" w:color="auto" w:fill="EFEFEF"/>
            <w:noWrap/>
            <w:vAlign w:val="center"/>
            <w:hideMark/>
          </w:tcPr>
          <w:p w14:paraId="2D73E810"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278 401,01</w:t>
            </w:r>
            <w:r w:rsidRPr="003D7C36">
              <w:rPr>
                <w:rFonts w:cs="Calibri"/>
                <w:sz w:val="24"/>
                <w:szCs w:val="24"/>
                <w:lang w:eastAsia="sk-SK"/>
              </w:rPr>
              <w:t xml:space="preserve"> </w:t>
            </w:r>
          </w:p>
        </w:tc>
        <w:tc>
          <w:tcPr>
            <w:tcW w:w="596" w:type="pct"/>
            <w:shd w:val="clear" w:color="auto" w:fill="EFEFEF"/>
            <w:noWrap/>
            <w:vAlign w:val="center"/>
            <w:hideMark/>
          </w:tcPr>
          <w:p w14:paraId="529A7345"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97,17</w:t>
            </w:r>
            <w:r w:rsidRPr="003D7C36">
              <w:rPr>
                <w:rFonts w:cs="Calibri"/>
                <w:sz w:val="24"/>
                <w:szCs w:val="24"/>
                <w:lang w:eastAsia="sk-SK"/>
              </w:rPr>
              <w:t xml:space="preserve"> </w:t>
            </w:r>
          </w:p>
        </w:tc>
        <w:tc>
          <w:tcPr>
            <w:tcW w:w="741" w:type="pct"/>
            <w:vMerge/>
            <w:shd w:val="clear" w:color="auto" w:fill="EFEFEF"/>
            <w:vAlign w:val="center"/>
            <w:hideMark/>
          </w:tcPr>
          <w:p w14:paraId="0A450685" w14:textId="77777777" w:rsidR="00D40061" w:rsidRPr="003D7C36" w:rsidRDefault="00D40061" w:rsidP="00D40061">
            <w:pPr>
              <w:spacing w:after="0" w:line="240" w:lineRule="auto"/>
              <w:rPr>
                <w:rFonts w:cs="Calibri"/>
                <w:sz w:val="24"/>
                <w:szCs w:val="24"/>
                <w:lang w:eastAsia="sk-SK"/>
              </w:rPr>
            </w:pPr>
          </w:p>
        </w:tc>
      </w:tr>
      <w:tr w:rsidR="00D40061" w:rsidRPr="003D7C36" w14:paraId="35AE31DE" w14:textId="77777777" w:rsidTr="00D40061">
        <w:trPr>
          <w:tblCellSpacing w:w="15" w:type="dxa"/>
        </w:trPr>
        <w:tc>
          <w:tcPr>
            <w:tcW w:w="0" w:type="auto"/>
            <w:shd w:val="clear" w:color="auto" w:fill="D9D9D9"/>
            <w:noWrap/>
            <w:vAlign w:val="center"/>
            <w:hideMark/>
          </w:tcPr>
          <w:p w14:paraId="4EBC22B5"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700</w:t>
            </w:r>
            <w:r w:rsidRPr="003D7C36">
              <w:rPr>
                <w:rFonts w:cs="Calibri"/>
                <w:sz w:val="24"/>
                <w:szCs w:val="24"/>
                <w:lang w:eastAsia="sk-SK"/>
              </w:rPr>
              <w:t xml:space="preserve"> </w:t>
            </w:r>
          </w:p>
        </w:tc>
        <w:tc>
          <w:tcPr>
            <w:tcW w:w="0" w:type="auto"/>
            <w:shd w:val="clear" w:color="auto" w:fill="D9D9D9"/>
            <w:vAlign w:val="center"/>
            <w:hideMark/>
          </w:tcPr>
          <w:p w14:paraId="228C6AAC"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Kapitálové výdavky</w:t>
            </w:r>
            <w:r w:rsidRPr="003D7C36">
              <w:rPr>
                <w:rFonts w:cs="Calibri"/>
                <w:sz w:val="24"/>
                <w:szCs w:val="24"/>
                <w:lang w:eastAsia="sk-SK"/>
              </w:rPr>
              <w:t xml:space="preserve"> </w:t>
            </w:r>
          </w:p>
        </w:tc>
        <w:tc>
          <w:tcPr>
            <w:tcW w:w="0" w:type="auto"/>
            <w:shd w:val="clear" w:color="auto" w:fill="D9D9D9"/>
            <w:noWrap/>
            <w:vAlign w:val="center"/>
            <w:hideMark/>
          </w:tcPr>
          <w:p w14:paraId="7FE5180E"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5 000,00</w:t>
            </w:r>
            <w:r w:rsidRPr="003D7C36">
              <w:rPr>
                <w:rFonts w:cs="Calibri"/>
                <w:sz w:val="24"/>
                <w:szCs w:val="24"/>
                <w:lang w:eastAsia="sk-SK"/>
              </w:rPr>
              <w:t xml:space="preserve"> </w:t>
            </w:r>
          </w:p>
        </w:tc>
        <w:tc>
          <w:tcPr>
            <w:tcW w:w="818" w:type="pct"/>
            <w:shd w:val="clear" w:color="auto" w:fill="D9D9D9"/>
            <w:noWrap/>
            <w:vAlign w:val="center"/>
            <w:hideMark/>
          </w:tcPr>
          <w:p w14:paraId="12D8CD8B"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13 500,00</w:t>
            </w:r>
            <w:r w:rsidRPr="003D7C36">
              <w:rPr>
                <w:rFonts w:cs="Calibri"/>
                <w:sz w:val="24"/>
                <w:szCs w:val="24"/>
                <w:lang w:eastAsia="sk-SK"/>
              </w:rPr>
              <w:t xml:space="preserve"> </w:t>
            </w:r>
          </w:p>
        </w:tc>
        <w:tc>
          <w:tcPr>
            <w:tcW w:w="700" w:type="pct"/>
            <w:shd w:val="clear" w:color="auto" w:fill="D9D9D9"/>
            <w:noWrap/>
            <w:vAlign w:val="center"/>
            <w:hideMark/>
          </w:tcPr>
          <w:p w14:paraId="22521C19"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13 500,00</w:t>
            </w:r>
            <w:r w:rsidRPr="003D7C36">
              <w:rPr>
                <w:rFonts w:cs="Calibri"/>
                <w:sz w:val="24"/>
                <w:szCs w:val="24"/>
                <w:lang w:eastAsia="sk-SK"/>
              </w:rPr>
              <w:t xml:space="preserve"> </w:t>
            </w:r>
          </w:p>
        </w:tc>
        <w:tc>
          <w:tcPr>
            <w:tcW w:w="596" w:type="pct"/>
            <w:shd w:val="clear" w:color="auto" w:fill="D9D9D9"/>
            <w:noWrap/>
            <w:vAlign w:val="center"/>
            <w:hideMark/>
          </w:tcPr>
          <w:p w14:paraId="430CB350"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100,00</w:t>
            </w:r>
            <w:r w:rsidRPr="003D7C36">
              <w:rPr>
                <w:rFonts w:cs="Calibri"/>
                <w:sz w:val="24"/>
                <w:szCs w:val="24"/>
                <w:lang w:eastAsia="sk-SK"/>
              </w:rPr>
              <w:t xml:space="preserve"> </w:t>
            </w:r>
          </w:p>
        </w:tc>
        <w:tc>
          <w:tcPr>
            <w:tcW w:w="741" w:type="pct"/>
            <w:vMerge/>
            <w:shd w:val="clear" w:color="auto" w:fill="D9D9D9"/>
            <w:vAlign w:val="center"/>
            <w:hideMark/>
          </w:tcPr>
          <w:p w14:paraId="5947E1CC" w14:textId="77777777" w:rsidR="00D40061" w:rsidRPr="003D7C36" w:rsidRDefault="00D40061" w:rsidP="00D40061">
            <w:pPr>
              <w:spacing w:after="0" w:line="240" w:lineRule="auto"/>
              <w:rPr>
                <w:rFonts w:cs="Calibri"/>
                <w:sz w:val="24"/>
                <w:szCs w:val="24"/>
                <w:lang w:eastAsia="sk-SK"/>
              </w:rPr>
            </w:pPr>
          </w:p>
        </w:tc>
      </w:tr>
      <w:tr w:rsidR="00D40061" w:rsidRPr="003D7C36" w14:paraId="0E0FC916" w14:textId="77777777" w:rsidTr="00D40061">
        <w:trPr>
          <w:tblCellSpacing w:w="15" w:type="dxa"/>
        </w:trPr>
        <w:tc>
          <w:tcPr>
            <w:tcW w:w="0" w:type="auto"/>
            <w:shd w:val="clear" w:color="auto" w:fill="EFEFEF"/>
            <w:noWrap/>
            <w:vAlign w:val="center"/>
            <w:hideMark/>
          </w:tcPr>
          <w:p w14:paraId="76BBD48E"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720</w:t>
            </w:r>
            <w:r w:rsidRPr="003D7C36">
              <w:rPr>
                <w:rFonts w:cs="Calibri"/>
                <w:sz w:val="24"/>
                <w:szCs w:val="24"/>
                <w:lang w:eastAsia="sk-SK"/>
              </w:rPr>
              <w:t xml:space="preserve"> </w:t>
            </w:r>
          </w:p>
        </w:tc>
        <w:tc>
          <w:tcPr>
            <w:tcW w:w="0" w:type="auto"/>
            <w:shd w:val="clear" w:color="auto" w:fill="EFEFEF"/>
            <w:vAlign w:val="center"/>
            <w:hideMark/>
          </w:tcPr>
          <w:p w14:paraId="1ED653A8"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Kapitálové transfery</w:t>
            </w:r>
            <w:r w:rsidRPr="003D7C36">
              <w:rPr>
                <w:rFonts w:cs="Calibri"/>
                <w:sz w:val="24"/>
                <w:szCs w:val="24"/>
                <w:lang w:eastAsia="sk-SK"/>
              </w:rPr>
              <w:t xml:space="preserve"> </w:t>
            </w:r>
          </w:p>
        </w:tc>
        <w:tc>
          <w:tcPr>
            <w:tcW w:w="0" w:type="auto"/>
            <w:shd w:val="clear" w:color="auto" w:fill="EFEFEF"/>
            <w:noWrap/>
            <w:vAlign w:val="center"/>
            <w:hideMark/>
          </w:tcPr>
          <w:p w14:paraId="1F54287A"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5 000,00</w:t>
            </w:r>
            <w:r w:rsidRPr="003D7C36">
              <w:rPr>
                <w:rFonts w:cs="Calibri"/>
                <w:sz w:val="24"/>
                <w:szCs w:val="24"/>
                <w:lang w:eastAsia="sk-SK"/>
              </w:rPr>
              <w:t xml:space="preserve"> </w:t>
            </w:r>
          </w:p>
        </w:tc>
        <w:tc>
          <w:tcPr>
            <w:tcW w:w="818" w:type="pct"/>
            <w:shd w:val="clear" w:color="auto" w:fill="EFEFEF"/>
            <w:noWrap/>
            <w:vAlign w:val="center"/>
            <w:hideMark/>
          </w:tcPr>
          <w:p w14:paraId="7AA19EFE"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13 500,00</w:t>
            </w:r>
            <w:r w:rsidRPr="003D7C36">
              <w:rPr>
                <w:rFonts w:cs="Calibri"/>
                <w:sz w:val="24"/>
                <w:szCs w:val="24"/>
                <w:lang w:eastAsia="sk-SK"/>
              </w:rPr>
              <w:t xml:space="preserve"> </w:t>
            </w:r>
          </w:p>
        </w:tc>
        <w:tc>
          <w:tcPr>
            <w:tcW w:w="700" w:type="pct"/>
            <w:shd w:val="clear" w:color="auto" w:fill="EFEFEF"/>
            <w:noWrap/>
            <w:vAlign w:val="center"/>
            <w:hideMark/>
          </w:tcPr>
          <w:p w14:paraId="255D6BD6"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13 500,00</w:t>
            </w:r>
            <w:r w:rsidRPr="003D7C36">
              <w:rPr>
                <w:rFonts w:cs="Calibri"/>
                <w:sz w:val="24"/>
                <w:szCs w:val="24"/>
                <w:lang w:eastAsia="sk-SK"/>
              </w:rPr>
              <w:t xml:space="preserve"> </w:t>
            </w:r>
          </w:p>
        </w:tc>
        <w:tc>
          <w:tcPr>
            <w:tcW w:w="596" w:type="pct"/>
            <w:shd w:val="clear" w:color="auto" w:fill="EFEFEF"/>
            <w:noWrap/>
            <w:vAlign w:val="center"/>
            <w:hideMark/>
          </w:tcPr>
          <w:p w14:paraId="0BFECA6F"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100,00</w:t>
            </w:r>
            <w:r w:rsidRPr="003D7C36">
              <w:rPr>
                <w:rFonts w:cs="Calibri"/>
                <w:sz w:val="24"/>
                <w:szCs w:val="24"/>
                <w:lang w:eastAsia="sk-SK"/>
              </w:rPr>
              <w:t xml:space="preserve"> </w:t>
            </w:r>
          </w:p>
        </w:tc>
        <w:tc>
          <w:tcPr>
            <w:tcW w:w="741" w:type="pct"/>
            <w:vMerge/>
            <w:shd w:val="clear" w:color="auto" w:fill="EFEFEF"/>
            <w:vAlign w:val="center"/>
            <w:hideMark/>
          </w:tcPr>
          <w:p w14:paraId="48A8C80F" w14:textId="77777777" w:rsidR="00D40061" w:rsidRPr="003D7C36" w:rsidRDefault="00D40061" w:rsidP="00D40061">
            <w:pPr>
              <w:spacing w:after="0" w:line="240" w:lineRule="auto"/>
              <w:rPr>
                <w:rFonts w:cs="Calibri"/>
                <w:sz w:val="24"/>
                <w:szCs w:val="24"/>
                <w:lang w:eastAsia="sk-SK"/>
              </w:rPr>
            </w:pPr>
          </w:p>
        </w:tc>
      </w:tr>
    </w:tbl>
    <w:p w14:paraId="60EFEAAB" w14:textId="77777777" w:rsidR="00D40061" w:rsidRDefault="00D40061" w:rsidP="00D40061">
      <w:pPr>
        <w:spacing w:before="100" w:beforeAutospacing="1" w:after="100" w:afterAutospacing="1" w:line="240" w:lineRule="auto"/>
        <w:jc w:val="both"/>
        <w:rPr>
          <w:rFonts w:cs="Calibri"/>
          <w:lang w:eastAsia="sk-SK"/>
        </w:rPr>
      </w:pPr>
      <w:r w:rsidRPr="003D7C36">
        <w:rPr>
          <w:rFonts w:cs="Calibri"/>
          <w:b/>
          <w:bCs/>
          <w:lang w:eastAsia="sk-SK"/>
        </w:rPr>
        <w:t xml:space="preserve">Komentár: </w:t>
      </w:r>
      <w:r w:rsidRPr="003D7C36">
        <w:rPr>
          <w:rFonts w:cs="Calibri"/>
          <w:lang w:eastAsia="sk-SK"/>
        </w:rPr>
        <w:t>Program sa realizuje v</w:t>
      </w:r>
      <w:r>
        <w:rPr>
          <w:rFonts w:cs="Calibri"/>
          <w:lang w:eastAsia="sk-SK"/>
        </w:rPr>
        <w:t> </w:t>
      </w:r>
      <w:r w:rsidRPr="003D7C36">
        <w:rPr>
          <w:rFonts w:cs="Calibri"/>
          <w:lang w:eastAsia="sk-SK"/>
        </w:rPr>
        <w:t>kompetencií predsedu Bratislavského samosprávneho kraja v</w:t>
      </w:r>
      <w:r>
        <w:rPr>
          <w:rFonts w:cs="Calibri"/>
          <w:lang w:eastAsia="sk-SK"/>
        </w:rPr>
        <w:t> </w:t>
      </w:r>
      <w:r w:rsidRPr="003D7C36">
        <w:rPr>
          <w:rFonts w:cs="Calibri"/>
          <w:lang w:eastAsia="sk-SK"/>
        </w:rPr>
        <w:t>súlade s</w:t>
      </w:r>
      <w:r>
        <w:rPr>
          <w:rFonts w:cs="Calibri"/>
          <w:lang w:eastAsia="sk-SK"/>
        </w:rPr>
        <w:t> </w:t>
      </w:r>
      <w:r w:rsidRPr="003D7C36">
        <w:rPr>
          <w:rFonts w:cs="Calibri"/>
          <w:lang w:eastAsia="sk-SK"/>
        </w:rPr>
        <w:t>podmienkami VZN č. 5/2018 a</w:t>
      </w:r>
      <w:r>
        <w:rPr>
          <w:rFonts w:cs="Calibri"/>
          <w:lang w:eastAsia="sk-SK"/>
        </w:rPr>
        <w:t> </w:t>
      </w:r>
      <w:r w:rsidRPr="003D7C36">
        <w:rPr>
          <w:rFonts w:cs="Calibri"/>
          <w:lang w:eastAsia="sk-SK"/>
        </w:rPr>
        <w:t>príslušnej výzvy. Podprogram umožňuje podporiť široké spektrum žiadateľov a</w:t>
      </w:r>
      <w:r>
        <w:rPr>
          <w:rFonts w:cs="Calibri"/>
          <w:lang w:eastAsia="sk-SK"/>
        </w:rPr>
        <w:t> </w:t>
      </w:r>
      <w:r w:rsidRPr="003D7C36">
        <w:rPr>
          <w:rFonts w:cs="Calibri"/>
          <w:lang w:eastAsia="sk-SK"/>
        </w:rPr>
        <w:t>projektov so všestranným zameraním a</w:t>
      </w:r>
      <w:r>
        <w:rPr>
          <w:rFonts w:cs="Calibri"/>
          <w:lang w:eastAsia="sk-SK"/>
        </w:rPr>
        <w:t> </w:t>
      </w:r>
      <w:r w:rsidRPr="003D7C36">
        <w:rPr>
          <w:rFonts w:cs="Calibri"/>
          <w:lang w:eastAsia="sk-SK"/>
        </w:rPr>
        <w:t>rôznorodým verejnoprospešným účelom.</w:t>
      </w:r>
    </w:p>
    <w:p w14:paraId="0EA1F81C" w14:textId="1294F101" w:rsidR="00D40061" w:rsidRPr="003D7C36" w:rsidRDefault="00D40061" w:rsidP="00D40061">
      <w:pPr>
        <w:spacing w:before="100" w:beforeAutospacing="1" w:after="100" w:afterAutospacing="1" w:line="240" w:lineRule="auto"/>
        <w:jc w:val="both"/>
        <w:rPr>
          <w:rFonts w:cs="Calibri"/>
          <w:lang w:eastAsia="sk-SK"/>
        </w:rPr>
      </w:pPr>
      <w:r>
        <w:rPr>
          <w:rFonts w:cs="Calibri"/>
          <w:lang w:eastAsia="sk-SK"/>
        </w:rPr>
        <w:t>V </w:t>
      </w:r>
      <w:r w:rsidRPr="003D7C36">
        <w:rPr>
          <w:rFonts w:cs="Calibri"/>
          <w:lang w:eastAsia="sk-SK"/>
        </w:rPr>
        <w:t>súvislosti s</w:t>
      </w:r>
      <w:r>
        <w:rPr>
          <w:rFonts w:cs="Calibri"/>
          <w:lang w:eastAsia="sk-SK"/>
        </w:rPr>
        <w:t> </w:t>
      </w:r>
      <w:proofErr w:type="spellStart"/>
      <w:r w:rsidRPr="003D7C36">
        <w:rPr>
          <w:rFonts w:cs="Calibri"/>
          <w:lang w:eastAsia="sk-SK"/>
        </w:rPr>
        <w:t>koronavírusom</w:t>
      </w:r>
      <w:proofErr w:type="spellEnd"/>
      <w:r w:rsidRPr="003D7C36">
        <w:rPr>
          <w:rFonts w:cs="Calibri"/>
          <w:lang w:eastAsia="sk-SK"/>
        </w:rPr>
        <w:t xml:space="preserve"> a</w:t>
      </w:r>
      <w:r>
        <w:rPr>
          <w:rFonts w:cs="Calibri"/>
          <w:lang w:eastAsia="sk-SK"/>
        </w:rPr>
        <w:t> </w:t>
      </w:r>
      <w:r w:rsidRPr="003D7C36">
        <w:rPr>
          <w:rFonts w:cs="Calibri"/>
          <w:lang w:eastAsia="sk-SK"/>
        </w:rPr>
        <w:t>zrušením BRDS pre rok 2020 na základe Uznesenia zo Zastupiteľstva Bratislavského samosprávneho kraja zo dňa 29. mája 2020 bolo posúdenie projektov mierne pozastavené. Čerpanie prostriedkov prebehlo až v</w:t>
      </w:r>
      <w:r>
        <w:rPr>
          <w:rFonts w:cs="Calibri"/>
          <w:lang w:eastAsia="sk-SK"/>
        </w:rPr>
        <w:t> </w:t>
      </w:r>
      <w:r w:rsidRPr="003D7C36">
        <w:rPr>
          <w:rFonts w:cs="Calibri"/>
          <w:lang w:eastAsia="sk-SK"/>
        </w:rPr>
        <w:t xml:space="preserve">2. polroku 2020. </w:t>
      </w:r>
    </w:p>
    <w:p w14:paraId="76B7F69A" w14:textId="77777777" w:rsidR="00D40061" w:rsidRPr="003D7C36" w:rsidRDefault="00D40061" w:rsidP="00D40061">
      <w:pPr>
        <w:spacing w:before="100" w:beforeAutospacing="1" w:after="100" w:afterAutospacing="1" w:line="240" w:lineRule="auto"/>
        <w:outlineLvl w:val="2"/>
        <w:rPr>
          <w:rFonts w:cs="Calibri"/>
          <w:b/>
          <w:bCs/>
          <w:color w:val="4F6228"/>
          <w:sz w:val="27"/>
          <w:szCs w:val="27"/>
          <w:lang w:eastAsia="sk-SK"/>
        </w:rPr>
      </w:pPr>
      <w:r w:rsidRPr="003D7C36">
        <w:rPr>
          <w:rFonts w:cs="Calibri"/>
          <w:b/>
          <w:bCs/>
          <w:color w:val="4F6228"/>
          <w:sz w:val="27"/>
          <w:szCs w:val="27"/>
          <w:lang w:eastAsia="sk-SK"/>
        </w:rPr>
        <w:t>Podprogram 14.3: Územné dotácie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93"/>
        <w:gridCol w:w="2361"/>
        <w:gridCol w:w="1665"/>
        <w:gridCol w:w="830"/>
        <w:gridCol w:w="1125"/>
        <w:gridCol w:w="810"/>
        <w:gridCol w:w="2482"/>
      </w:tblGrid>
      <w:tr w:rsidR="00D40061" w:rsidRPr="003D7C36" w14:paraId="2C5EF8D4" w14:textId="77777777" w:rsidTr="00D40061">
        <w:trPr>
          <w:tblCellSpacing w:w="15" w:type="dxa"/>
        </w:trPr>
        <w:tc>
          <w:tcPr>
            <w:tcW w:w="0" w:type="auto"/>
            <w:shd w:val="clear" w:color="auto" w:fill="C6DBF7"/>
            <w:vAlign w:val="center"/>
            <w:hideMark/>
          </w:tcPr>
          <w:p w14:paraId="0A7C6723"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Kód EK</w:t>
            </w:r>
          </w:p>
        </w:tc>
        <w:tc>
          <w:tcPr>
            <w:tcW w:w="1141" w:type="pct"/>
            <w:shd w:val="clear" w:color="auto" w:fill="C6DBF7"/>
            <w:vAlign w:val="center"/>
            <w:hideMark/>
          </w:tcPr>
          <w:p w14:paraId="618D607C"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Ekonomická klasifikácia</w:t>
            </w:r>
          </w:p>
        </w:tc>
        <w:tc>
          <w:tcPr>
            <w:tcW w:w="801" w:type="pct"/>
            <w:shd w:val="clear" w:color="auto" w:fill="C6DBF7"/>
            <w:vAlign w:val="center"/>
            <w:hideMark/>
          </w:tcPr>
          <w:p w14:paraId="07BB6CC9"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Schválený</w:t>
            </w:r>
            <w:r w:rsidRPr="003D7C36">
              <w:rPr>
                <w:rFonts w:cs="Calibri"/>
                <w:b/>
                <w:bCs/>
                <w:sz w:val="20"/>
                <w:szCs w:val="20"/>
                <w:lang w:eastAsia="sk-SK"/>
              </w:rPr>
              <w:br/>
              <w:t>rozpočet</w:t>
            </w:r>
            <w:r w:rsidRPr="003D7C36">
              <w:rPr>
                <w:rFonts w:cs="Calibri"/>
                <w:b/>
                <w:bCs/>
                <w:sz w:val="20"/>
                <w:szCs w:val="20"/>
                <w:lang w:eastAsia="sk-SK"/>
              </w:rPr>
              <w:br/>
              <w:t>v EUR</w:t>
            </w:r>
          </w:p>
        </w:tc>
        <w:tc>
          <w:tcPr>
            <w:tcW w:w="382" w:type="pct"/>
            <w:shd w:val="clear" w:color="auto" w:fill="C6DBF7"/>
            <w:vAlign w:val="center"/>
            <w:hideMark/>
          </w:tcPr>
          <w:p w14:paraId="3C491889"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Zmenený</w:t>
            </w:r>
            <w:r w:rsidRPr="003D7C36">
              <w:rPr>
                <w:rFonts w:cs="Calibri"/>
                <w:b/>
                <w:bCs/>
                <w:sz w:val="20"/>
                <w:szCs w:val="20"/>
                <w:lang w:eastAsia="sk-SK"/>
              </w:rPr>
              <w:br/>
              <w:t>rozpočet</w:t>
            </w:r>
            <w:r w:rsidRPr="003D7C36">
              <w:rPr>
                <w:rFonts w:cs="Calibri"/>
                <w:b/>
                <w:bCs/>
                <w:sz w:val="20"/>
                <w:szCs w:val="20"/>
                <w:lang w:eastAsia="sk-SK"/>
              </w:rPr>
              <w:br/>
              <w:t>v EUR</w:t>
            </w:r>
          </w:p>
        </w:tc>
        <w:tc>
          <w:tcPr>
            <w:tcW w:w="537" w:type="pct"/>
            <w:shd w:val="clear" w:color="auto" w:fill="C6DBF7"/>
            <w:vAlign w:val="center"/>
            <w:hideMark/>
          </w:tcPr>
          <w:p w14:paraId="5B3F1E7A"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v EUR</w:t>
            </w:r>
          </w:p>
        </w:tc>
        <w:tc>
          <w:tcPr>
            <w:tcW w:w="383" w:type="pct"/>
            <w:shd w:val="clear" w:color="auto" w:fill="C6DBF7"/>
            <w:vAlign w:val="center"/>
            <w:hideMark/>
          </w:tcPr>
          <w:p w14:paraId="1F811EF1"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 xml:space="preserve">k </w:t>
            </w:r>
            <w:proofErr w:type="spellStart"/>
            <w:r w:rsidRPr="003D7C36">
              <w:rPr>
                <w:rFonts w:cs="Calibri"/>
                <w:b/>
                <w:bCs/>
                <w:sz w:val="20"/>
                <w:szCs w:val="20"/>
                <w:lang w:eastAsia="sk-SK"/>
              </w:rPr>
              <w:t>zmen</w:t>
            </w:r>
            <w:proofErr w:type="spellEnd"/>
            <w:r w:rsidRPr="003D7C36">
              <w:rPr>
                <w:rFonts w:cs="Calibri"/>
                <w:b/>
                <w:bCs/>
                <w:sz w:val="20"/>
                <w:szCs w:val="20"/>
                <w:lang w:eastAsia="sk-SK"/>
              </w:rPr>
              <w:t xml:space="preserve">. </w:t>
            </w:r>
            <w:proofErr w:type="spellStart"/>
            <w:r w:rsidRPr="003D7C36">
              <w:rPr>
                <w:rFonts w:cs="Calibri"/>
                <w:b/>
                <w:bCs/>
                <w:sz w:val="20"/>
                <w:szCs w:val="20"/>
                <w:lang w:eastAsia="sk-SK"/>
              </w:rPr>
              <w:t>Rozp</w:t>
            </w:r>
            <w:proofErr w:type="spellEnd"/>
            <w:r w:rsidRPr="003D7C36">
              <w:rPr>
                <w:rFonts w:cs="Calibri"/>
                <w:b/>
                <w:bCs/>
                <w:sz w:val="20"/>
                <w:szCs w:val="20"/>
                <w:lang w:eastAsia="sk-SK"/>
              </w:rPr>
              <w:t>.</w:t>
            </w:r>
            <w:r w:rsidRPr="003D7C36">
              <w:rPr>
                <w:rFonts w:cs="Calibri"/>
                <w:b/>
                <w:bCs/>
                <w:sz w:val="20"/>
                <w:szCs w:val="20"/>
                <w:lang w:eastAsia="sk-SK"/>
              </w:rPr>
              <w:br/>
              <w:t>v %</w:t>
            </w:r>
          </w:p>
        </w:tc>
        <w:tc>
          <w:tcPr>
            <w:tcW w:w="1193" w:type="pct"/>
            <w:shd w:val="clear" w:color="auto" w:fill="C6DBF7"/>
            <w:vAlign w:val="center"/>
            <w:hideMark/>
          </w:tcPr>
          <w:p w14:paraId="378CB741"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Zmeny rozpočtu</w:t>
            </w:r>
          </w:p>
        </w:tc>
      </w:tr>
      <w:tr w:rsidR="00D40061" w:rsidRPr="003D7C36" w14:paraId="59D80CBA" w14:textId="77777777" w:rsidTr="00D40061">
        <w:trPr>
          <w:tblCellSpacing w:w="15" w:type="dxa"/>
        </w:trPr>
        <w:tc>
          <w:tcPr>
            <w:tcW w:w="0" w:type="auto"/>
            <w:shd w:val="clear" w:color="auto" w:fill="D9D9D9"/>
            <w:noWrap/>
            <w:vAlign w:val="center"/>
            <w:hideMark/>
          </w:tcPr>
          <w:p w14:paraId="527CAA0B" w14:textId="77777777" w:rsidR="00D40061" w:rsidRPr="003D7C36" w:rsidRDefault="00D40061" w:rsidP="00D40061">
            <w:pPr>
              <w:spacing w:after="0" w:line="240" w:lineRule="auto"/>
              <w:jc w:val="center"/>
              <w:rPr>
                <w:rFonts w:cs="Calibri"/>
                <w:sz w:val="24"/>
                <w:szCs w:val="24"/>
                <w:lang w:eastAsia="sk-SK"/>
              </w:rPr>
            </w:pPr>
          </w:p>
        </w:tc>
        <w:tc>
          <w:tcPr>
            <w:tcW w:w="1141" w:type="pct"/>
            <w:shd w:val="clear" w:color="auto" w:fill="D9D9D9"/>
            <w:vAlign w:val="center"/>
            <w:hideMark/>
          </w:tcPr>
          <w:p w14:paraId="13943759"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Výdavky celkom</w:t>
            </w:r>
            <w:r w:rsidRPr="003D7C36">
              <w:rPr>
                <w:rFonts w:cs="Calibri"/>
                <w:sz w:val="24"/>
                <w:szCs w:val="24"/>
                <w:lang w:eastAsia="sk-SK"/>
              </w:rPr>
              <w:t xml:space="preserve"> </w:t>
            </w:r>
          </w:p>
        </w:tc>
        <w:tc>
          <w:tcPr>
            <w:tcW w:w="801" w:type="pct"/>
            <w:shd w:val="clear" w:color="auto" w:fill="D9D9D9"/>
            <w:noWrap/>
            <w:vAlign w:val="center"/>
            <w:hideMark/>
          </w:tcPr>
          <w:p w14:paraId="381C128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300 000,00</w:t>
            </w:r>
            <w:r w:rsidRPr="003D7C36">
              <w:rPr>
                <w:rFonts w:cs="Calibri"/>
                <w:sz w:val="24"/>
                <w:szCs w:val="24"/>
                <w:lang w:eastAsia="sk-SK"/>
              </w:rPr>
              <w:t xml:space="preserve"> </w:t>
            </w:r>
          </w:p>
        </w:tc>
        <w:tc>
          <w:tcPr>
            <w:tcW w:w="382" w:type="pct"/>
            <w:shd w:val="clear" w:color="auto" w:fill="D9D9D9"/>
            <w:noWrap/>
            <w:vAlign w:val="center"/>
            <w:hideMark/>
          </w:tcPr>
          <w:p w14:paraId="27FF533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37" w:type="pct"/>
            <w:shd w:val="clear" w:color="auto" w:fill="D9D9D9"/>
            <w:noWrap/>
            <w:vAlign w:val="center"/>
            <w:hideMark/>
          </w:tcPr>
          <w:p w14:paraId="0927D86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383" w:type="pct"/>
            <w:shd w:val="clear" w:color="auto" w:fill="D9D9D9"/>
            <w:noWrap/>
            <w:vAlign w:val="center"/>
            <w:hideMark/>
          </w:tcPr>
          <w:p w14:paraId="58A560C0" w14:textId="77777777" w:rsidR="00D40061" w:rsidRPr="003D7C36" w:rsidRDefault="00D40061" w:rsidP="00D40061">
            <w:pPr>
              <w:spacing w:after="0" w:line="240" w:lineRule="auto"/>
              <w:jc w:val="right"/>
              <w:rPr>
                <w:rFonts w:cs="Calibri"/>
                <w:sz w:val="24"/>
                <w:szCs w:val="24"/>
                <w:lang w:eastAsia="sk-SK"/>
              </w:rPr>
            </w:pPr>
          </w:p>
        </w:tc>
        <w:tc>
          <w:tcPr>
            <w:tcW w:w="1193" w:type="pct"/>
            <w:vMerge w:val="restart"/>
            <w:shd w:val="clear" w:color="auto" w:fill="D9D9D9"/>
            <w:vAlign w:val="center"/>
            <w:hideMark/>
          </w:tcPr>
          <w:p w14:paraId="77A04084" w14:textId="7E9FF59A" w:rsidR="00D40061" w:rsidRPr="003D7C36" w:rsidRDefault="00D40061" w:rsidP="00D40061">
            <w:pPr>
              <w:spacing w:after="0" w:line="240" w:lineRule="auto"/>
              <w:jc w:val="right"/>
              <w:rPr>
                <w:rFonts w:cs="Calibri"/>
                <w:sz w:val="20"/>
                <w:szCs w:val="20"/>
                <w:lang w:eastAsia="sk-SK"/>
              </w:rPr>
            </w:pPr>
            <w:r w:rsidRPr="00CD5DE2">
              <w:rPr>
                <w:rFonts w:cstheme="minorHAnsi"/>
                <w:b/>
                <w:sz w:val="20"/>
                <w:szCs w:val="20"/>
              </w:rPr>
              <w:t>-</w:t>
            </w:r>
            <w:r>
              <w:rPr>
                <w:rFonts w:cstheme="minorHAnsi"/>
                <w:b/>
                <w:sz w:val="20"/>
                <w:szCs w:val="20"/>
              </w:rPr>
              <w:t xml:space="preserve">300 000,00 EUR </w:t>
            </w:r>
            <w:r w:rsidR="006D6ABE" w:rsidRPr="00C741A9">
              <w:rPr>
                <w:rFonts w:cstheme="minorHAnsi"/>
                <w:sz w:val="20"/>
                <w:szCs w:val="20"/>
                <w:lang w:eastAsia="sk-SK"/>
              </w:rPr>
              <w:t>I. zmena rozpočtu UZN č. 247/2020</w:t>
            </w:r>
          </w:p>
        </w:tc>
      </w:tr>
      <w:tr w:rsidR="00D40061" w:rsidRPr="003D7C36" w14:paraId="26589580" w14:textId="77777777" w:rsidTr="00D40061">
        <w:trPr>
          <w:tblCellSpacing w:w="15" w:type="dxa"/>
        </w:trPr>
        <w:tc>
          <w:tcPr>
            <w:tcW w:w="0" w:type="auto"/>
            <w:shd w:val="clear" w:color="auto" w:fill="D9D9D9"/>
            <w:noWrap/>
            <w:vAlign w:val="center"/>
            <w:hideMark/>
          </w:tcPr>
          <w:p w14:paraId="506D1050"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600</w:t>
            </w:r>
            <w:r w:rsidRPr="003D7C36">
              <w:rPr>
                <w:rFonts w:cs="Calibri"/>
                <w:sz w:val="24"/>
                <w:szCs w:val="24"/>
                <w:lang w:eastAsia="sk-SK"/>
              </w:rPr>
              <w:t xml:space="preserve"> </w:t>
            </w:r>
          </w:p>
        </w:tc>
        <w:tc>
          <w:tcPr>
            <w:tcW w:w="1141" w:type="pct"/>
            <w:shd w:val="clear" w:color="auto" w:fill="D9D9D9"/>
            <w:vAlign w:val="center"/>
            <w:hideMark/>
          </w:tcPr>
          <w:p w14:paraId="0317B79D"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Bežné výdavky</w:t>
            </w:r>
            <w:r w:rsidRPr="003D7C36">
              <w:rPr>
                <w:rFonts w:cs="Calibri"/>
                <w:sz w:val="24"/>
                <w:szCs w:val="24"/>
                <w:lang w:eastAsia="sk-SK"/>
              </w:rPr>
              <w:t xml:space="preserve"> </w:t>
            </w:r>
          </w:p>
        </w:tc>
        <w:tc>
          <w:tcPr>
            <w:tcW w:w="801" w:type="pct"/>
            <w:shd w:val="clear" w:color="auto" w:fill="D9D9D9"/>
            <w:noWrap/>
            <w:vAlign w:val="center"/>
            <w:hideMark/>
          </w:tcPr>
          <w:p w14:paraId="3FEBC0C0"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200 000,00</w:t>
            </w:r>
            <w:r w:rsidRPr="003D7C36">
              <w:rPr>
                <w:rFonts w:cs="Calibri"/>
                <w:sz w:val="24"/>
                <w:szCs w:val="24"/>
                <w:lang w:eastAsia="sk-SK"/>
              </w:rPr>
              <w:t xml:space="preserve"> </w:t>
            </w:r>
          </w:p>
        </w:tc>
        <w:tc>
          <w:tcPr>
            <w:tcW w:w="382" w:type="pct"/>
            <w:shd w:val="clear" w:color="auto" w:fill="D9D9D9"/>
            <w:noWrap/>
            <w:vAlign w:val="center"/>
            <w:hideMark/>
          </w:tcPr>
          <w:p w14:paraId="524E60DD"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37" w:type="pct"/>
            <w:shd w:val="clear" w:color="auto" w:fill="D9D9D9"/>
            <w:noWrap/>
            <w:vAlign w:val="center"/>
            <w:hideMark/>
          </w:tcPr>
          <w:p w14:paraId="23E6EA5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383" w:type="pct"/>
            <w:shd w:val="clear" w:color="auto" w:fill="D9D9D9"/>
            <w:noWrap/>
            <w:vAlign w:val="center"/>
            <w:hideMark/>
          </w:tcPr>
          <w:p w14:paraId="6CB895DE" w14:textId="77777777" w:rsidR="00D40061" w:rsidRPr="003D7C36" w:rsidRDefault="00D40061" w:rsidP="00D40061">
            <w:pPr>
              <w:spacing w:after="0" w:line="240" w:lineRule="auto"/>
              <w:jc w:val="right"/>
              <w:rPr>
                <w:rFonts w:cs="Calibri"/>
                <w:sz w:val="24"/>
                <w:szCs w:val="24"/>
                <w:lang w:eastAsia="sk-SK"/>
              </w:rPr>
            </w:pPr>
          </w:p>
        </w:tc>
        <w:tc>
          <w:tcPr>
            <w:tcW w:w="1193" w:type="pct"/>
            <w:vMerge/>
            <w:shd w:val="clear" w:color="auto" w:fill="D9D9D9"/>
            <w:vAlign w:val="center"/>
            <w:hideMark/>
          </w:tcPr>
          <w:p w14:paraId="005A616F" w14:textId="77777777" w:rsidR="00D40061" w:rsidRPr="003D7C36" w:rsidRDefault="00D40061" w:rsidP="00D40061">
            <w:pPr>
              <w:spacing w:after="0" w:line="240" w:lineRule="auto"/>
              <w:rPr>
                <w:rFonts w:cs="Calibri"/>
                <w:sz w:val="20"/>
                <w:szCs w:val="20"/>
                <w:lang w:eastAsia="sk-SK"/>
              </w:rPr>
            </w:pPr>
          </w:p>
        </w:tc>
      </w:tr>
      <w:tr w:rsidR="00D40061" w:rsidRPr="003D7C36" w14:paraId="60817DBA" w14:textId="77777777" w:rsidTr="00D40061">
        <w:trPr>
          <w:tblCellSpacing w:w="15" w:type="dxa"/>
        </w:trPr>
        <w:tc>
          <w:tcPr>
            <w:tcW w:w="0" w:type="auto"/>
            <w:shd w:val="clear" w:color="auto" w:fill="EFEFEF"/>
            <w:noWrap/>
            <w:vAlign w:val="center"/>
            <w:hideMark/>
          </w:tcPr>
          <w:p w14:paraId="2F6C0F7E"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640</w:t>
            </w:r>
            <w:r w:rsidRPr="003D7C36">
              <w:rPr>
                <w:rFonts w:cs="Calibri"/>
                <w:sz w:val="24"/>
                <w:szCs w:val="24"/>
                <w:lang w:eastAsia="sk-SK"/>
              </w:rPr>
              <w:t xml:space="preserve"> </w:t>
            </w:r>
          </w:p>
        </w:tc>
        <w:tc>
          <w:tcPr>
            <w:tcW w:w="1141" w:type="pct"/>
            <w:shd w:val="clear" w:color="auto" w:fill="EFEFEF"/>
            <w:vAlign w:val="center"/>
            <w:hideMark/>
          </w:tcPr>
          <w:p w14:paraId="5F9B1B48"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Bežné transfery</w:t>
            </w:r>
            <w:r w:rsidRPr="003D7C36">
              <w:rPr>
                <w:rFonts w:cs="Calibri"/>
                <w:sz w:val="24"/>
                <w:szCs w:val="24"/>
                <w:lang w:eastAsia="sk-SK"/>
              </w:rPr>
              <w:t xml:space="preserve"> </w:t>
            </w:r>
          </w:p>
        </w:tc>
        <w:tc>
          <w:tcPr>
            <w:tcW w:w="801" w:type="pct"/>
            <w:shd w:val="clear" w:color="auto" w:fill="EFEFEF"/>
            <w:noWrap/>
            <w:vAlign w:val="center"/>
            <w:hideMark/>
          </w:tcPr>
          <w:p w14:paraId="5C727012"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200 000,00</w:t>
            </w:r>
            <w:r w:rsidRPr="003D7C36">
              <w:rPr>
                <w:rFonts w:cs="Calibri"/>
                <w:sz w:val="24"/>
                <w:szCs w:val="24"/>
                <w:lang w:eastAsia="sk-SK"/>
              </w:rPr>
              <w:t xml:space="preserve"> </w:t>
            </w:r>
          </w:p>
        </w:tc>
        <w:tc>
          <w:tcPr>
            <w:tcW w:w="382" w:type="pct"/>
            <w:shd w:val="clear" w:color="auto" w:fill="EFEFEF"/>
            <w:noWrap/>
            <w:vAlign w:val="center"/>
            <w:hideMark/>
          </w:tcPr>
          <w:p w14:paraId="2D42575B"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537" w:type="pct"/>
            <w:shd w:val="clear" w:color="auto" w:fill="EFEFEF"/>
            <w:noWrap/>
            <w:vAlign w:val="center"/>
            <w:hideMark/>
          </w:tcPr>
          <w:p w14:paraId="651DF85A"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383" w:type="pct"/>
            <w:shd w:val="clear" w:color="auto" w:fill="EFEFEF"/>
            <w:noWrap/>
            <w:vAlign w:val="center"/>
            <w:hideMark/>
          </w:tcPr>
          <w:p w14:paraId="49CD7AAC" w14:textId="77777777" w:rsidR="00D40061" w:rsidRPr="003D7C36" w:rsidRDefault="00D40061" w:rsidP="00D40061">
            <w:pPr>
              <w:spacing w:after="0" w:line="240" w:lineRule="auto"/>
              <w:jc w:val="right"/>
              <w:rPr>
                <w:rFonts w:cs="Calibri"/>
                <w:sz w:val="24"/>
                <w:szCs w:val="24"/>
                <w:lang w:eastAsia="sk-SK"/>
              </w:rPr>
            </w:pPr>
          </w:p>
        </w:tc>
        <w:tc>
          <w:tcPr>
            <w:tcW w:w="1193" w:type="pct"/>
            <w:vMerge/>
            <w:shd w:val="clear" w:color="auto" w:fill="EFEFEF"/>
            <w:vAlign w:val="center"/>
            <w:hideMark/>
          </w:tcPr>
          <w:p w14:paraId="6AE7FA7D" w14:textId="77777777" w:rsidR="00D40061" w:rsidRPr="003D7C36" w:rsidRDefault="00D40061" w:rsidP="00D40061">
            <w:pPr>
              <w:spacing w:after="0" w:line="240" w:lineRule="auto"/>
              <w:rPr>
                <w:rFonts w:cs="Calibri"/>
                <w:sz w:val="20"/>
                <w:szCs w:val="20"/>
                <w:lang w:eastAsia="sk-SK"/>
              </w:rPr>
            </w:pPr>
          </w:p>
        </w:tc>
      </w:tr>
      <w:tr w:rsidR="00D40061" w:rsidRPr="003D7C36" w14:paraId="4BB7ABF2" w14:textId="77777777" w:rsidTr="00D40061">
        <w:trPr>
          <w:tblCellSpacing w:w="15" w:type="dxa"/>
        </w:trPr>
        <w:tc>
          <w:tcPr>
            <w:tcW w:w="0" w:type="auto"/>
            <w:shd w:val="clear" w:color="auto" w:fill="D9D9D9"/>
            <w:noWrap/>
            <w:vAlign w:val="center"/>
            <w:hideMark/>
          </w:tcPr>
          <w:p w14:paraId="62C12D32"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700</w:t>
            </w:r>
            <w:r w:rsidRPr="003D7C36">
              <w:rPr>
                <w:rFonts w:cs="Calibri"/>
                <w:sz w:val="24"/>
                <w:szCs w:val="24"/>
                <w:lang w:eastAsia="sk-SK"/>
              </w:rPr>
              <w:t xml:space="preserve"> </w:t>
            </w:r>
          </w:p>
        </w:tc>
        <w:tc>
          <w:tcPr>
            <w:tcW w:w="1141" w:type="pct"/>
            <w:shd w:val="clear" w:color="auto" w:fill="D9D9D9"/>
            <w:vAlign w:val="center"/>
            <w:hideMark/>
          </w:tcPr>
          <w:p w14:paraId="27EFD532"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Kapitálové výdavky</w:t>
            </w:r>
            <w:r w:rsidRPr="003D7C36">
              <w:rPr>
                <w:rFonts w:cs="Calibri"/>
                <w:sz w:val="24"/>
                <w:szCs w:val="24"/>
                <w:lang w:eastAsia="sk-SK"/>
              </w:rPr>
              <w:t xml:space="preserve"> </w:t>
            </w:r>
          </w:p>
        </w:tc>
        <w:tc>
          <w:tcPr>
            <w:tcW w:w="801" w:type="pct"/>
            <w:shd w:val="clear" w:color="auto" w:fill="D9D9D9"/>
            <w:noWrap/>
            <w:vAlign w:val="center"/>
            <w:hideMark/>
          </w:tcPr>
          <w:p w14:paraId="36D2A692"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100 000,00</w:t>
            </w:r>
            <w:r w:rsidRPr="003D7C36">
              <w:rPr>
                <w:rFonts w:cs="Calibri"/>
                <w:sz w:val="24"/>
                <w:szCs w:val="24"/>
                <w:lang w:eastAsia="sk-SK"/>
              </w:rPr>
              <w:t xml:space="preserve"> </w:t>
            </w:r>
          </w:p>
        </w:tc>
        <w:tc>
          <w:tcPr>
            <w:tcW w:w="382" w:type="pct"/>
            <w:shd w:val="clear" w:color="auto" w:fill="D9D9D9"/>
            <w:noWrap/>
            <w:vAlign w:val="center"/>
            <w:hideMark/>
          </w:tcPr>
          <w:p w14:paraId="4A4D0CD9"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37" w:type="pct"/>
            <w:shd w:val="clear" w:color="auto" w:fill="D9D9D9"/>
            <w:noWrap/>
            <w:vAlign w:val="center"/>
            <w:hideMark/>
          </w:tcPr>
          <w:p w14:paraId="08F2CA8F"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383" w:type="pct"/>
            <w:shd w:val="clear" w:color="auto" w:fill="D9D9D9"/>
            <w:noWrap/>
            <w:vAlign w:val="center"/>
            <w:hideMark/>
          </w:tcPr>
          <w:p w14:paraId="65518EBD" w14:textId="77777777" w:rsidR="00D40061" w:rsidRPr="003D7C36" w:rsidRDefault="00D40061" w:rsidP="00D40061">
            <w:pPr>
              <w:spacing w:after="0" w:line="240" w:lineRule="auto"/>
              <w:jc w:val="right"/>
              <w:rPr>
                <w:rFonts w:cs="Calibri"/>
                <w:sz w:val="24"/>
                <w:szCs w:val="24"/>
                <w:lang w:eastAsia="sk-SK"/>
              </w:rPr>
            </w:pPr>
          </w:p>
        </w:tc>
        <w:tc>
          <w:tcPr>
            <w:tcW w:w="1193" w:type="pct"/>
            <w:vMerge/>
            <w:shd w:val="clear" w:color="auto" w:fill="D9D9D9"/>
            <w:vAlign w:val="center"/>
            <w:hideMark/>
          </w:tcPr>
          <w:p w14:paraId="04DDCABF" w14:textId="77777777" w:rsidR="00D40061" w:rsidRPr="003D7C36" w:rsidRDefault="00D40061" w:rsidP="00D40061">
            <w:pPr>
              <w:spacing w:after="0" w:line="240" w:lineRule="auto"/>
              <w:rPr>
                <w:rFonts w:cs="Calibri"/>
                <w:sz w:val="20"/>
                <w:szCs w:val="20"/>
                <w:lang w:eastAsia="sk-SK"/>
              </w:rPr>
            </w:pPr>
          </w:p>
        </w:tc>
      </w:tr>
      <w:tr w:rsidR="00D40061" w:rsidRPr="003D7C36" w14:paraId="5DD42978" w14:textId="77777777" w:rsidTr="00D40061">
        <w:trPr>
          <w:tblCellSpacing w:w="15" w:type="dxa"/>
        </w:trPr>
        <w:tc>
          <w:tcPr>
            <w:tcW w:w="0" w:type="auto"/>
            <w:shd w:val="clear" w:color="auto" w:fill="EFEFEF"/>
            <w:noWrap/>
            <w:vAlign w:val="center"/>
            <w:hideMark/>
          </w:tcPr>
          <w:p w14:paraId="604C4358"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720</w:t>
            </w:r>
            <w:r w:rsidRPr="003D7C36">
              <w:rPr>
                <w:rFonts w:cs="Calibri"/>
                <w:sz w:val="24"/>
                <w:szCs w:val="24"/>
                <w:lang w:eastAsia="sk-SK"/>
              </w:rPr>
              <w:t xml:space="preserve"> </w:t>
            </w:r>
          </w:p>
        </w:tc>
        <w:tc>
          <w:tcPr>
            <w:tcW w:w="1141" w:type="pct"/>
            <w:shd w:val="clear" w:color="auto" w:fill="EFEFEF"/>
            <w:vAlign w:val="center"/>
            <w:hideMark/>
          </w:tcPr>
          <w:p w14:paraId="68C07E67"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Kapitálové transfery</w:t>
            </w:r>
            <w:r w:rsidRPr="003D7C36">
              <w:rPr>
                <w:rFonts w:cs="Calibri"/>
                <w:sz w:val="24"/>
                <w:szCs w:val="24"/>
                <w:lang w:eastAsia="sk-SK"/>
              </w:rPr>
              <w:t xml:space="preserve"> </w:t>
            </w:r>
          </w:p>
        </w:tc>
        <w:tc>
          <w:tcPr>
            <w:tcW w:w="801" w:type="pct"/>
            <w:shd w:val="clear" w:color="auto" w:fill="EFEFEF"/>
            <w:noWrap/>
            <w:vAlign w:val="center"/>
            <w:hideMark/>
          </w:tcPr>
          <w:p w14:paraId="3BBE23CA"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100 000,00</w:t>
            </w:r>
            <w:r w:rsidRPr="003D7C36">
              <w:rPr>
                <w:rFonts w:cs="Calibri"/>
                <w:sz w:val="24"/>
                <w:szCs w:val="24"/>
                <w:lang w:eastAsia="sk-SK"/>
              </w:rPr>
              <w:t xml:space="preserve"> </w:t>
            </w:r>
          </w:p>
        </w:tc>
        <w:tc>
          <w:tcPr>
            <w:tcW w:w="382" w:type="pct"/>
            <w:shd w:val="clear" w:color="auto" w:fill="EFEFEF"/>
            <w:noWrap/>
            <w:vAlign w:val="center"/>
            <w:hideMark/>
          </w:tcPr>
          <w:p w14:paraId="086FC538"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537" w:type="pct"/>
            <w:shd w:val="clear" w:color="auto" w:fill="EFEFEF"/>
            <w:noWrap/>
            <w:vAlign w:val="center"/>
            <w:hideMark/>
          </w:tcPr>
          <w:p w14:paraId="42ED97BC"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383" w:type="pct"/>
            <w:shd w:val="clear" w:color="auto" w:fill="EFEFEF"/>
            <w:noWrap/>
            <w:vAlign w:val="center"/>
            <w:hideMark/>
          </w:tcPr>
          <w:p w14:paraId="2FE2EF73" w14:textId="77777777" w:rsidR="00D40061" w:rsidRPr="003D7C36" w:rsidRDefault="00D40061" w:rsidP="00D40061">
            <w:pPr>
              <w:spacing w:after="0" w:line="240" w:lineRule="auto"/>
              <w:jc w:val="right"/>
              <w:rPr>
                <w:rFonts w:cs="Calibri"/>
                <w:sz w:val="24"/>
                <w:szCs w:val="24"/>
                <w:lang w:eastAsia="sk-SK"/>
              </w:rPr>
            </w:pPr>
          </w:p>
        </w:tc>
        <w:tc>
          <w:tcPr>
            <w:tcW w:w="1193" w:type="pct"/>
            <w:vMerge/>
            <w:shd w:val="clear" w:color="auto" w:fill="EFEFEF"/>
            <w:vAlign w:val="center"/>
            <w:hideMark/>
          </w:tcPr>
          <w:p w14:paraId="3008D4B0" w14:textId="77777777" w:rsidR="00D40061" w:rsidRPr="003D7C36" w:rsidRDefault="00D40061" w:rsidP="00D40061">
            <w:pPr>
              <w:spacing w:after="0" w:line="240" w:lineRule="auto"/>
              <w:rPr>
                <w:rFonts w:cs="Calibri"/>
                <w:sz w:val="20"/>
                <w:szCs w:val="20"/>
                <w:lang w:eastAsia="sk-SK"/>
              </w:rPr>
            </w:pPr>
          </w:p>
        </w:tc>
      </w:tr>
    </w:tbl>
    <w:p w14:paraId="2F47D003" w14:textId="77777777" w:rsidR="00D40061" w:rsidRPr="003D7C36" w:rsidRDefault="00D40061" w:rsidP="00D40061">
      <w:pPr>
        <w:spacing w:before="100" w:beforeAutospacing="1" w:after="100" w:afterAutospacing="1" w:line="240" w:lineRule="auto"/>
        <w:jc w:val="both"/>
        <w:rPr>
          <w:rFonts w:cs="Calibri"/>
          <w:lang w:eastAsia="sk-SK"/>
        </w:rPr>
      </w:pPr>
      <w:r w:rsidRPr="003D7C36">
        <w:rPr>
          <w:rFonts w:cs="Calibri"/>
          <w:b/>
          <w:bCs/>
          <w:lang w:eastAsia="sk-SK"/>
        </w:rPr>
        <w:t xml:space="preserve">Komentár: </w:t>
      </w:r>
      <w:r w:rsidRPr="003D7C36">
        <w:rPr>
          <w:rFonts w:cs="Calibri"/>
          <w:lang w:eastAsia="sk-SK"/>
        </w:rPr>
        <w:t>Tento podprogram je určený na rozvoj miest, mestských častí a</w:t>
      </w:r>
      <w:r>
        <w:rPr>
          <w:rFonts w:cs="Calibri"/>
          <w:lang w:eastAsia="sk-SK"/>
        </w:rPr>
        <w:t> </w:t>
      </w:r>
      <w:r w:rsidRPr="003D7C36">
        <w:rPr>
          <w:rFonts w:cs="Calibri"/>
          <w:lang w:eastAsia="sk-SK"/>
        </w:rPr>
        <w:t>obcí, pričom každá z</w:t>
      </w:r>
      <w:r>
        <w:rPr>
          <w:rFonts w:cs="Calibri"/>
          <w:lang w:eastAsia="sk-SK"/>
        </w:rPr>
        <w:t> </w:t>
      </w:r>
      <w:r w:rsidRPr="003D7C36">
        <w:rPr>
          <w:rFonts w:cs="Calibri"/>
          <w:lang w:eastAsia="sk-SK"/>
        </w:rPr>
        <w:t>týchto územnosprávnych jednotiek má pridelenú určitú výšku finančných prostriedkov podľa počtu obyvateľov. V</w:t>
      </w:r>
      <w:r>
        <w:rPr>
          <w:rFonts w:cs="Calibri"/>
          <w:lang w:eastAsia="sk-SK"/>
        </w:rPr>
        <w:t> </w:t>
      </w:r>
      <w:r w:rsidRPr="003D7C36">
        <w:rPr>
          <w:rFonts w:cs="Calibri"/>
          <w:lang w:eastAsia="sk-SK"/>
        </w:rPr>
        <w:t>súvislosti s</w:t>
      </w:r>
      <w:r>
        <w:rPr>
          <w:rFonts w:cs="Calibri"/>
          <w:lang w:eastAsia="sk-SK"/>
        </w:rPr>
        <w:t> </w:t>
      </w:r>
      <w:proofErr w:type="spellStart"/>
      <w:r w:rsidRPr="003D7C36">
        <w:rPr>
          <w:rFonts w:cs="Calibri"/>
          <w:lang w:eastAsia="sk-SK"/>
        </w:rPr>
        <w:t>koronavírusom</w:t>
      </w:r>
      <w:proofErr w:type="spellEnd"/>
      <w:r w:rsidRPr="003D7C36">
        <w:rPr>
          <w:rFonts w:cs="Calibri"/>
          <w:lang w:eastAsia="sk-SK"/>
        </w:rPr>
        <w:t xml:space="preserve"> a</w:t>
      </w:r>
      <w:r>
        <w:rPr>
          <w:rFonts w:cs="Calibri"/>
          <w:lang w:eastAsia="sk-SK"/>
        </w:rPr>
        <w:t> </w:t>
      </w:r>
      <w:r w:rsidRPr="003D7C36">
        <w:rPr>
          <w:rFonts w:cs="Calibri"/>
          <w:lang w:eastAsia="sk-SK"/>
        </w:rPr>
        <w:t>následným zrušením BRDS pre rok 2020 na základe Uznesenia zo Zastupiteľstva Bratislavského samosprávneho kraja zo dňa 29. mája 2020 bol podprogram pre rok 2020 pozastavený.</w:t>
      </w:r>
    </w:p>
    <w:p w14:paraId="5B9DE9D8" w14:textId="77777777" w:rsidR="00D40061" w:rsidRPr="003D7C36" w:rsidRDefault="00D40061" w:rsidP="00D40061">
      <w:pPr>
        <w:spacing w:before="100" w:beforeAutospacing="1" w:after="100" w:afterAutospacing="1" w:line="240" w:lineRule="auto"/>
        <w:outlineLvl w:val="2"/>
        <w:rPr>
          <w:rFonts w:cs="Calibri"/>
          <w:b/>
          <w:bCs/>
          <w:color w:val="4F6228"/>
          <w:sz w:val="27"/>
          <w:szCs w:val="27"/>
          <w:lang w:eastAsia="sk-SK"/>
        </w:rPr>
      </w:pPr>
      <w:r w:rsidRPr="003D7C36">
        <w:rPr>
          <w:rFonts w:cs="Calibri"/>
          <w:b/>
          <w:bCs/>
          <w:color w:val="4F6228"/>
          <w:sz w:val="27"/>
          <w:szCs w:val="27"/>
          <w:lang w:eastAsia="sk-SK"/>
        </w:rPr>
        <w:t>Podprogram 14.4: Participatívny rozpočet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9"/>
        <w:gridCol w:w="2367"/>
        <w:gridCol w:w="1391"/>
        <w:gridCol w:w="1050"/>
        <w:gridCol w:w="801"/>
        <w:gridCol w:w="1444"/>
        <w:gridCol w:w="2224"/>
      </w:tblGrid>
      <w:tr w:rsidR="00D40061" w:rsidRPr="003D7C36" w14:paraId="585ED2D2" w14:textId="77777777" w:rsidTr="00D40061">
        <w:trPr>
          <w:tblCellSpacing w:w="15" w:type="dxa"/>
        </w:trPr>
        <w:tc>
          <w:tcPr>
            <w:tcW w:w="0" w:type="auto"/>
            <w:shd w:val="clear" w:color="auto" w:fill="C6DBF7"/>
            <w:vAlign w:val="center"/>
            <w:hideMark/>
          </w:tcPr>
          <w:p w14:paraId="5420FA9B"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Kód EK</w:t>
            </w:r>
          </w:p>
        </w:tc>
        <w:tc>
          <w:tcPr>
            <w:tcW w:w="1144" w:type="pct"/>
            <w:shd w:val="clear" w:color="auto" w:fill="C6DBF7"/>
            <w:vAlign w:val="center"/>
            <w:hideMark/>
          </w:tcPr>
          <w:p w14:paraId="103ADECF"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Ekonomická klasifikácia</w:t>
            </w:r>
          </w:p>
        </w:tc>
        <w:tc>
          <w:tcPr>
            <w:tcW w:w="667" w:type="pct"/>
            <w:shd w:val="clear" w:color="auto" w:fill="C6DBF7"/>
            <w:vAlign w:val="center"/>
            <w:hideMark/>
          </w:tcPr>
          <w:p w14:paraId="3D825E27"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Schválený</w:t>
            </w:r>
            <w:r w:rsidRPr="003D7C36">
              <w:rPr>
                <w:rFonts w:cs="Calibri"/>
                <w:b/>
                <w:bCs/>
                <w:sz w:val="20"/>
                <w:szCs w:val="20"/>
                <w:lang w:eastAsia="sk-SK"/>
              </w:rPr>
              <w:br/>
              <w:t>rozpočet</w:t>
            </w:r>
            <w:r w:rsidRPr="003D7C36">
              <w:rPr>
                <w:rFonts w:cs="Calibri"/>
                <w:b/>
                <w:bCs/>
                <w:sz w:val="20"/>
                <w:szCs w:val="20"/>
                <w:lang w:eastAsia="sk-SK"/>
              </w:rPr>
              <w:br/>
              <w:t>v EUR</w:t>
            </w:r>
          </w:p>
        </w:tc>
        <w:tc>
          <w:tcPr>
            <w:tcW w:w="500" w:type="pct"/>
            <w:shd w:val="clear" w:color="auto" w:fill="C6DBF7"/>
            <w:vAlign w:val="center"/>
            <w:hideMark/>
          </w:tcPr>
          <w:p w14:paraId="4D62C56D"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Zmenený</w:t>
            </w:r>
            <w:r w:rsidRPr="003D7C36">
              <w:rPr>
                <w:rFonts w:cs="Calibri"/>
                <w:b/>
                <w:bCs/>
                <w:sz w:val="20"/>
                <w:szCs w:val="20"/>
                <w:lang w:eastAsia="sk-SK"/>
              </w:rPr>
              <w:br/>
              <w:t>rozpočet</w:t>
            </w:r>
            <w:r w:rsidRPr="003D7C36">
              <w:rPr>
                <w:rFonts w:cs="Calibri"/>
                <w:b/>
                <w:bCs/>
                <w:sz w:val="20"/>
                <w:szCs w:val="20"/>
                <w:lang w:eastAsia="sk-SK"/>
              </w:rPr>
              <w:br/>
              <w:t>v EUR</w:t>
            </w:r>
          </w:p>
        </w:tc>
        <w:tc>
          <w:tcPr>
            <w:tcW w:w="368" w:type="pct"/>
            <w:shd w:val="clear" w:color="auto" w:fill="C6DBF7"/>
            <w:vAlign w:val="center"/>
            <w:hideMark/>
          </w:tcPr>
          <w:p w14:paraId="613CB678"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v EUR</w:t>
            </w:r>
          </w:p>
        </w:tc>
        <w:tc>
          <w:tcPr>
            <w:tcW w:w="693" w:type="pct"/>
            <w:shd w:val="clear" w:color="auto" w:fill="C6DBF7"/>
            <w:vAlign w:val="center"/>
            <w:hideMark/>
          </w:tcPr>
          <w:p w14:paraId="71310B8F"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 xml:space="preserve">k </w:t>
            </w:r>
            <w:proofErr w:type="spellStart"/>
            <w:r w:rsidRPr="003D7C36">
              <w:rPr>
                <w:rFonts w:cs="Calibri"/>
                <w:b/>
                <w:bCs/>
                <w:sz w:val="20"/>
                <w:szCs w:val="20"/>
                <w:lang w:eastAsia="sk-SK"/>
              </w:rPr>
              <w:t>zmen</w:t>
            </w:r>
            <w:proofErr w:type="spellEnd"/>
            <w:r w:rsidRPr="003D7C36">
              <w:rPr>
                <w:rFonts w:cs="Calibri"/>
                <w:b/>
                <w:bCs/>
                <w:sz w:val="20"/>
                <w:szCs w:val="20"/>
                <w:lang w:eastAsia="sk-SK"/>
              </w:rPr>
              <w:t xml:space="preserve">. </w:t>
            </w:r>
            <w:proofErr w:type="spellStart"/>
            <w:r w:rsidRPr="003D7C36">
              <w:rPr>
                <w:rFonts w:cs="Calibri"/>
                <w:b/>
                <w:bCs/>
                <w:sz w:val="20"/>
                <w:szCs w:val="20"/>
                <w:lang w:eastAsia="sk-SK"/>
              </w:rPr>
              <w:t>rozp</w:t>
            </w:r>
            <w:proofErr w:type="spellEnd"/>
            <w:r w:rsidRPr="003D7C36">
              <w:rPr>
                <w:rFonts w:cs="Calibri"/>
                <w:b/>
                <w:bCs/>
                <w:sz w:val="20"/>
                <w:szCs w:val="20"/>
                <w:lang w:eastAsia="sk-SK"/>
              </w:rPr>
              <w:t>.</w:t>
            </w:r>
            <w:r w:rsidRPr="003D7C36">
              <w:rPr>
                <w:rFonts w:cs="Calibri"/>
                <w:b/>
                <w:bCs/>
                <w:sz w:val="20"/>
                <w:szCs w:val="20"/>
                <w:lang w:eastAsia="sk-SK"/>
              </w:rPr>
              <w:br/>
              <w:t>v %</w:t>
            </w:r>
          </w:p>
        </w:tc>
        <w:tc>
          <w:tcPr>
            <w:tcW w:w="1067" w:type="pct"/>
            <w:shd w:val="clear" w:color="auto" w:fill="C6DBF7"/>
            <w:vAlign w:val="center"/>
            <w:hideMark/>
          </w:tcPr>
          <w:p w14:paraId="0195515B"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Zmeny rozpočtu</w:t>
            </w:r>
          </w:p>
        </w:tc>
      </w:tr>
      <w:tr w:rsidR="00D40061" w:rsidRPr="003D7C36" w14:paraId="16A570CB" w14:textId="77777777" w:rsidTr="00D40061">
        <w:trPr>
          <w:tblCellSpacing w:w="15" w:type="dxa"/>
        </w:trPr>
        <w:tc>
          <w:tcPr>
            <w:tcW w:w="0" w:type="auto"/>
            <w:shd w:val="clear" w:color="auto" w:fill="D9D9D9"/>
            <w:noWrap/>
            <w:vAlign w:val="center"/>
            <w:hideMark/>
          </w:tcPr>
          <w:p w14:paraId="48CA960F" w14:textId="77777777" w:rsidR="00D40061" w:rsidRPr="003D7C36" w:rsidRDefault="00D40061" w:rsidP="00D40061">
            <w:pPr>
              <w:spacing w:after="0" w:line="240" w:lineRule="auto"/>
              <w:jc w:val="center"/>
              <w:rPr>
                <w:rFonts w:cs="Calibri"/>
                <w:sz w:val="24"/>
                <w:szCs w:val="24"/>
                <w:lang w:eastAsia="sk-SK"/>
              </w:rPr>
            </w:pPr>
          </w:p>
        </w:tc>
        <w:tc>
          <w:tcPr>
            <w:tcW w:w="1144" w:type="pct"/>
            <w:shd w:val="clear" w:color="auto" w:fill="D9D9D9"/>
            <w:vAlign w:val="center"/>
            <w:hideMark/>
          </w:tcPr>
          <w:p w14:paraId="1EEBA59A"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Výdavky celkom</w:t>
            </w:r>
            <w:r w:rsidRPr="003D7C36">
              <w:rPr>
                <w:rFonts w:cs="Calibri"/>
                <w:sz w:val="24"/>
                <w:szCs w:val="24"/>
                <w:lang w:eastAsia="sk-SK"/>
              </w:rPr>
              <w:t xml:space="preserve"> </w:t>
            </w:r>
          </w:p>
        </w:tc>
        <w:tc>
          <w:tcPr>
            <w:tcW w:w="667" w:type="pct"/>
            <w:shd w:val="clear" w:color="auto" w:fill="D9D9D9"/>
            <w:noWrap/>
            <w:vAlign w:val="center"/>
            <w:hideMark/>
          </w:tcPr>
          <w:p w14:paraId="513CCADA"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200 000,00</w:t>
            </w:r>
            <w:r w:rsidRPr="003D7C36">
              <w:rPr>
                <w:rFonts w:cs="Calibri"/>
                <w:sz w:val="24"/>
                <w:szCs w:val="24"/>
                <w:lang w:eastAsia="sk-SK"/>
              </w:rPr>
              <w:t xml:space="preserve"> </w:t>
            </w:r>
          </w:p>
        </w:tc>
        <w:tc>
          <w:tcPr>
            <w:tcW w:w="500" w:type="pct"/>
            <w:shd w:val="clear" w:color="auto" w:fill="D9D9D9"/>
            <w:noWrap/>
            <w:vAlign w:val="center"/>
            <w:hideMark/>
          </w:tcPr>
          <w:p w14:paraId="243EF918"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368" w:type="pct"/>
            <w:shd w:val="clear" w:color="auto" w:fill="D9D9D9"/>
            <w:noWrap/>
            <w:vAlign w:val="center"/>
            <w:hideMark/>
          </w:tcPr>
          <w:p w14:paraId="1EE6D6C7"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693" w:type="pct"/>
            <w:shd w:val="clear" w:color="auto" w:fill="D9D9D9"/>
            <w:noWrap/>
            <w:vAlign w:val="center"/>
            <w:hideMark/>
          </w:tcPr>
          <w:p w14:paraId="18CA4798" w14:textId="77777777" w:rsidR="00D40061" w:rsidRPr="003D7C36" w:rsidRDefault="00D40061" w:rsidP="00D40061">
            <w:pPr>
              <w:spacing w:after="0" w:line="240" w:lineRule="auto"/>
              <w:jc w:val="right"/>
              <w:rPr>
                <w:rFonts w:cs="Calibri"/>
                <w:sz w:val="24"/>
                <w:szCs w:val="24"/>
                <w:lang w:eastAsia="sk-SK"/>
              </w:rPr>
            </w:pPr>
          </w:p>
        </w:tc>
        <w:tc>
          <w:tcPr>
            <w:tcW w:w="1067" w:type="pct"/>
            <w:vMerge w:val="restart"/>
            <w:shd w:val="clear" w:color="auto" w:fill="D9D9D9"/>
            <w:vAlign w:val="center"/>
            <w:hideMark/>
          </w:tcPr>
          <w:p w14:paraId="232947A5" w14:textId="22673011" w:rsidR="00D40061" w:rsidRPr="00D40061" w:rsidRDefault="00D40061" w:rsidP="00D40061">
            <w:pPr>
              <w:rPr>
                <w:rFonts w:cstheme="minorHAnsi"/>
                <w:bCs/>
                <w:sz w:val="20"/>
                <w:szCs w:val="20"/>
              </w:rPr>
            </w:pPr>
            <w:r w:rsidRPr="00CD5DE2">
              <w:rPr>
                <w:rFonts w:cstheme="minorHAnsi"/>
                <w:b/>
                <w:sz w:val="20"/>
                <w:szCs w:val="20"/>
              </w:rPr>
              <w:t>-</w:t>
            </w:r>
            <w:r>
              <w:rPr>
                <w:rFonts w:cstheme="minorHAnsi"/>
                <w:b/>
                <w:sz w:val="20"/>
                <w:szCs w:val="20"/>
              </w:rPr>
              <w:t xml:space="preserve">200 000,00 </w:t>
            </w:r>
            <w:r>
              <w:rPr>
                <w:rFonts w:cs="Calibri"/>
                <w:b/>
                <w:sz w:val="20"/>
                <w:szCs w:val="20"/>
              </w:rPr>
              <w:t xml:space="preserve">EUR </w:t>
            </w:r>
            <w:r w:rsidR="006D6ABE" w:rsidRPr="00C741A9">
              <w:rPr>
                <w:rFonts w:cstheme="minorHAnsi"/>
                <w:sz w:val="20"/>
                <w:szCs w:val="20"/>
                <w:lang w:eastAsia="sk-SK"/>
              </w:rPr>
              <w:t>I. zmena rozpočtu UZN č. 247/2020</w:t>
            </w:r>
          </w:p>
          <w:p w14:paraId="01AE4BFA" w14:textId="77777777" w:rsidR="00D40061" w:rsidRPr="003D7C36" w:rsidRDefault="00D40061" w:rsidP="00D40061">
            <w:pPr>
              <w:spacing w:after="0" w:line="240" w:lineRule="auto"/>
              <w:jc w:val="right"/>
              <w:rPr>
                <w:rFonts w:cs="Calibri"/>
                <w:sz w:val="20"/>
                <w:szCs w:val="20"/>
                <w:lang w:eastAsia="sk-SK"/>
              </w:rPr>
            </w:pPr>
          </w:p>
        </w:tc>
      </w:tr>
      <w:tr w:rsidR="00D40061" w:rsidRPr="003D7C36" w14:paraId="18C8BA51" w14:textId="77777777" w:rsidTr="00D40061">
        <w:trPr>
          <w:tblCellSpacing w:w="15" w:type="dxa"/>
        </w:trPr>
        <w:tc>
          <w:tcPr>
            <w:tcW w:w="0" w:type="auto"/>
            <w:shd w:val="clear" w:color="auto" w:fill="D9D9D9"/>
            <w:noWrap/>
            <w:vAlign w:val="center"/>
            <w:hideMark/>
          </w:tcPr>
          <w:p w14:paraId="63E4CD59"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600</w:t>
            </w:r>
            <w:r w:rsidRPr="003D7C36">
              <w:rPr>
                <w:rFonts w:cs="Calibri"/>
                <w:sz w:val="24"/>
                <w:szCs w:val="24"/>
                <w:lang w:eastAsia="sk-SK"/>
              </w:rPr>
              <w:t xml:space="preserve"> </w:t>
            </w:r>
          </w:p>
        </w:tc>
        <w:tc>
          <w:tcPr>
            <w:tcW w:w="1144" w:type="pct"/>
            <w:shd w:val="clear" w:color="auto" w:fill="D9D9D9"/>
            <w:vAlign w:val="center"/>
            <w:hideMark/>
          </w:tcPr>
          <w:p w14:paraId="5BA6C99D"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Bežné výdavky</w:t>
            </w:r>
            <w:r w:rsidRPr="003D7C36">
              <w:rPr>
                <w:rFonts w:cs="Calibri"/>
                <w:sz w:val="24"/>
                <w:szCs w:val="24"/>
                <w:lang w:eastAsia="sk-SK"/>
              </w:rPr>
              <w:t xml:space="preserve"> </w:t>
            </w:r>
          </w:p>
        </w:tc>
        <w:tc>
          <w:tcPr>
            <w:tcW w:w="667" w:type="pct"/>
            <w:shd w:val="clear" w:color="auto" w:fill="D9D9D9"/>
            <w:noWrap/>
            <w:vAlign w:val="center"/>
            <w:hideMark/>
          </w:tcPr>
          <w:p w14:paraId="289176A9"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190 000,00</w:t>
            </w:r>
            <w:r w:rsidRPr="003D7C36">
              <w:rPr>
                <w:rFonts w:cs="Calibri"/>
                <w:sz w:val="24"/>
                <w:szCs w:val="24"/>
                <w:lang w:eastAsia="sk-SK"/>
              </w:rPr>
              <w:t xml:space="preserve"> </w:t>
            </w:r>
          </w:p>
        </w:tc>
        <w:tc>
          <w:tcPr>
            <w:tcW w:w="500" w:type="pct"/>
            <w:shd w:val="clear" w:color="auto" w:fill="D9D9D9"/>
            <w:noWrap/>
            <w:vAlign w:val="center"/>
            <w:hideMark/>
          </w:tcPr>
          <w:p w14:paraId="6F81F713"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368" w:type="pct"/>
            <w:shd w:val="clear" w:color="auto" w:fill="D9D9D9"/>
            <w:noWrap/>
            <w:vAlign w:val="center"/>
            <w:hideMark/>
          </w:tcPr>
          <w:p w14:paraId="67F09141"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693" w:type="pct"/>
            <w:shd w:val="clear" w:color="auto" w:fill="D9D9D9"/>
            <w:noWrap/>
            <w:vAlign w:val="center"/>
            <w:hideMark/>
          </w:tcPr>
          <w:p w14:paraId="13016679" w14:textId="77777777" w:rsidR="00D40061" w:rsidRPr="003D7C36" w:rsidRDefault="00D40061" w:rsidP="00D40061">
            <w:pPr>
              <w:spacing w:after="0" w:line="240" w:lineRule="auto"/>
              <w:jc w:val="right"/>
              <w:rPr>
                <w:rFonts w:cs="Calibri"/>
                <w:sz w:val="24"/>
                <w:szCs w:val="24"/>
                <w:lang w:eastAsia="sk-SK"/>
              </w:rPr>
            </w:pPr>
          </w:p>
        </w:tc>
        <w:tc>
          <w:tcPr>
            <w:tcW w:w="1067" w:type="pct"/>
            <w:vMerge/>
            <w:shd w:val="clear" w:color="auto" w:fill="D9D9D9"/>
            <w:vAlign w:val="center"/>
            <w:hideMark/>
          </w:tcPr>
          <w:p w14:paraId="37C4ED19" w14:textId="77777777" w:rsidR="00D40061" w:rsidRPr="003D7C36" w:rsidRDefault="00D40061" w:rsidP="00D40061">
            <w:pPr>
              <w:spacing w:after="0" w:line="240" w:lineRule="auto"/>
              <w:rPr>
                <w:rFonts w:cs="Calibri"/>
                <w:sz w:val="20"/>
                <w:szCs w:val="20"/>
                <w:lang w:eastAsia="sk-SK"/>
              </w:rPr>
            </w:pPr>
          </w:p>
        </w:tc>
      </w:tr>
      <w:tr w:rsidR="00D40061" w:rsidRPr="003D7C36" w14:paraId="72125334" w14:textId="77777777" w:rsidTr="00D40061">
        <w:trPr>
          <w:tblCellSpacing w:w="15" w:type="dxa"/>
        </w:trPr>
        <w:tc>
          <w:tcPr>
            <w:tcW w:w="0" w:type="auto"/>
            <w:shd w:val="clear" w:color="auto" w:fill="EFEFEF"/>
            <w:noWrap/>
            <w:vAlign w:val="center"/>
            <w:hideMark/>
          </w:tcPr>
          <w:p w14:paraId="67A06DEB"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640</w:t>
            </w:r>
            <w:r w:rsidRPr="003D7C36">
              <w:rPr>
                <w:rFonts w:cs="Calibri"/>
                <w:sz w:val="24"/>
                <w:szCs w:val="24"/>
                <w:lang w:eastAsia="sk-SK"/>
              </w:rPr>
              <w:t xml:space="preserve"> </w:t>
            </w:r>
          </w:p>
        </w:tc>
        <w:tc>
          <w:tcPr>
            <w:tcW w:w="1144" w:type="pct"/>
            <w:shd w:val="clear" w:color="auto" w:fill="EFEFEF"/>
            <w:vAlign w:val="center"/>
            <w:hideMark/>
          </w:tcPr>
          <w:p w14:paraId="10A5CEEE"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Bežné transfery</w:t>
            </w:r>
            <w:r w:rsidRPr="003D7C36">
              <w:rPr>
                <w:rFonts w:cs="Calibri"/>
                <w:sz w:val="24"/>
                <w:szCs w:val="24"/>
                <w:lang w:eastAsia="sk-SK"/>
              </w:rPr>
              <w:t xml:space="preserve"> </w:t>
            </w:r>
          </w:p>
        </w:tc>
        <w:tc>
          <w:tcPr>
            <w:tcW w:w="667" w:type="pct"/>
            <w:shd w:val="clear" w:color="auto" w:fill="EFEFEF"/>
            <w:noWrap/>
            <w:vAlign w:val="center"/>
            <w:hideMark/>
          </w:tcPr>
          <w:p w14:paraId="44002BEB"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190 000,00</w:t>
            </w:r>
            <w:r w:rsidRPr="003D7C36">
              <w:rPr>
                <w:rFonts w:cs="Calibri"/>
                <w:sz w:val="24"/>
                <w:szCs w:val="24"/>
                <w:lang w:eastAsia="sk-SK"/>
              </w:rPr>
              <w:t xml:space="preserve"> </w:t>
            </w:r>
          </w:p>
        </w:tc>
        <w:tc>
          <w:tcPr>
            <w:tcW w:w="500" w:type="pct"/>
            <w:shd w:val="clear" w:color="auto" w:fill="EFEFEF"/>
            <w:noWrap/>
            <w:vAlign w:val="center"/>
            <w:hideMark/>
          </w:tcPr>
          <w:p w14:paraId="55A1BDB2"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368" w:type="pct"/>
            <w:shd w:val="clear" w:color="auto" w:fill="EFEFEF"/>
            <w:noWrap/>
            <w:vAlign w:val="center"/>
            <w:hideMark/>
          </w:tcPr>
          <w:p w14:paraId="38F74203"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693" w:type="pct"/>
            <w:shd w:val="clear" w:color="auto" w:fill="EFEFEF"/>
            <w:noWrap/>
            <w:vAlign w:val="center"/>
            <w:hideMark/>
          </w:tcPr>
          <w:p w14:paraId="00AC3999" w14:textId="77777777" w:rsidR="00D40061" w:rsidRPr="003D7C36" w:rsidRDefault="00D40061" w:rsidP="00D40061">
            <w:pPr>
              <w:spacing w:after="0" w:line="240" w:lineRule="auto"/>
              <w:jc w:val="right"/>
              <w:rPr>
                <w:rFonts w:cs="Calibri"/>
                <w:sz w:val="24"/>
                <w:szCs w:val="24"/>
                <w:lang w:eastAsia="sk-SK"/>
              </w:rPr>
            </w:pPr>
          </w:p>
        </w:tc>
        <w:tc>
          <w:tcPr>
            <w:tcW w:w="1067" w:type="pct"/>
            <w:vMerge/>
            <w:shd w:val="clear" w:color="auto" w:fill="EFEFEF"/>
            <w:vAlign w:val="center"/>
            <w:hideMark/>
          </w:tcPr>
          <w:p w14:paraId="6A2A4127" w14:textId="77777777" w:rsidR="00D40061" w:rsidRPr="003D7C36" w:rsidRDefault="00D40061" w:rsidP="00D40061">
            <w:pPr>
              <w:spacing w:after="0" w:line="240" w:lineRule="auto"/>
              <w:rPr>
                <w:rFonts w:cs="Calibri"/>
                <w:sz w:val="20"/>
                <w:szCs w:val="20"/>
                <w:lang w:eastAsia="sk-SK"/>
              </w:rPr>
            </w:pPr>
          </w:p>
        </w:tc>
      </w:tr>
      <w:tr w:rsidR="00D40061" w:rsidRPr="003D7C36" w14:paraId="7FB2629E" w14:textId="77777777" w:rsidTr="00D40061">
        <w:trPr>
          <w:tblCellSpacing w:w="15" w:type="dxa"/>
        </w:trPr>
        <w:tc>
          <w:tcPr>
            <w:tcW w:w="0" w:type="auto"/>
            <w:shd w:val="clear" w:color="auto" w:fill="D9D9D9"/>
            <w:noWrap/>
            <w:vAlign w:val="center"/>
            <w:hideMark/>
          </w:tcPr>
          <w:p w14:paraId="440ED59F"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700</w:t>
            </w:r>
            <w:r w:rsidRPr="003D7C36">
              <w:rPr>
                <w:rFonts w:cs="Calibri"/>
                <w:sz w:val="24"/>
                <w:szCs w:val="24"/>
                <w:lang w:eastAsia="sk-SK"/>
              </w:rPr>
              <w:t xml:space="preserve"> </w:t>
            </w:r>
          </w:p>
        </w:tc>
        <w:tc>
          <w:tcPr>
            <w:tcW w:w="1144" w:type="pct"/>
            <w:shd w:val="clear" w:color="auto" w:fill="D9D9D9"/>
            <w:vAlign w:val="center"/>
            <w:hideMark/>
          </w:tcPr>
          <w:p w14:paraId="0826059D"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Kapitálové výdavky</w:t>
            </w:r>
            <w:r w:rsidRPr="003D7C36">
              <w:rPr>
                <w:rFonts w:cs="Calibri"/>
                <w:sz w:val="24"/>
                <w:szCs w:val="24"/>
                <w:lang w:eastAsia="sk-SK"/>
              </w:rPr>
              <w:t xml:space="preserve"> </w:t>
            </w:r>
          </w:p>
        </w:tc>
        <w:tc>
          <w:tcPr>
            <w:tcW w:w="667" w:type="pct"/>
            <w:shd w:val="clear" w:color="auto" w:fill="D9D9D9"/>
            <w:noWrap/>
            <w:vAlign w:val="center"/>
            <w:hideMark/>
          </w:tcPr>
          <w:p w14:paraId="35B20B23"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10 000,00</w:t>
            </w:r>
            <w:r w:rsidRPr="003D7C36">
              <w:rPr>
                <w:rFonts w:cs="Calibri"/>
                <w:sz w:val="24"/>
                <w:szCs w:val="24"/>
                <w:lang w:eastAsia="sk-SK"/>
              </w:rPr>
              <w:t xml:space="preserve"> </w:t>
            </w:r>
          </w:p>
        </w:tc>
        <w:tc>
          <w:tcPr>
            <w:tcW w:w="500" w:type="pct"/>
            <w:shd w:val="clear" w:color="auto" w:fill="D9D9D9"/>
            <w:noWrap/>
            <w:vAlign w:val="center"/>
            <w:hideMark/>
          </w:tcPr>
          <w:p w14:paraId="0A6212E9"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368" w:type="pct"/>
            <w:shd w:val="clear" w:color="auto" w:fill="D9D9D9"/>
            <w:noWrap/>
            <w:vAlign w:val="center"/>
            <w:hideMark/>
          </w:tcPr>
          <w:p w14:paraId="6F7C3C46"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693" w:type="pct"/>
            <w:shd w:val="clear" w:color="auto" w:fill="D9D9D9"/>
            <w:noWrap/>
            <w:vAlign w:val="center"/>
            <w:hideMark/>
          </w:tcPr>
          <w:p w14:paraId="0C213C26" w14:textId="77777777" w:rsidR="00D40061" w:rsidRPr="003D7C36" w:rsidRDefault="00D40061" w:rsidP="00D40061">
            <w:pPr>
              <w:spacing w:after="0" w:line="240" w:lineRule="auto"/>
              <w:jc w:val="right"/>
              <w:rPr>
                <w:rFonts w:cs="Calibri"/>
                <w:sz w:val="24"/>
                <w:szCs w:val="24"/>
                <w:lang w:eastAsia="sk-SK"/>
              </w:rPr>
            </w:pPr>
          </w:p>
        </w:tc>
        <w:tc>
          <w:tcPr>
            <w:tcW w:w="1067" w:type="pct"/>
            <w:vMerge/>
            <w:shd w:val="clear" w:color="auto" w:fill="D9D9D9"/>
            <w:vAlign w:val="center"/>
            <w:hideMark/>
          </w:tcPr>
          <w:p w14:paraId="720D34E0" w14:textId="77777777" w:rsidR="00D40061" w:rsidRPr="003D7C36" w:rsidRDefault="00D40061" w:rsidP="00D40061">
            <w:pPr>
              <w:spacing w:after="0" w:line="240" w:lineRule="auto"/>
              <w:rPr>
                <w:rFonts w:cs="Calibri"/>
                <w:sz w:val="20"/>
                <w:szCs w:val="20"/>
                <w:lang w:eastAsia="sk-SK"/>
              </w:rPr>
            </w:pPr>
          </w:p>
        </w:tc>
      </w:tr>
      <w:tr w:rsidR="00D40061" w:rsidRPr="003D7C36" w14:paraId="45E883B6" w14:textId="77777777" w:rsidTr="00D40061">
        <w:trPr>
          <w:tblCellSpacing w:w="15" w:type="dxa"/>
        </w:trPr>
        <w:tc>
          <w:tcPr>
            <w:tcW w:w="0" w:type="auto"/>
            <w:shd w:val="clear" w:color="auto" w:fill="EFEFEF"/>
            <w:noWrap/>
            <w:vAlign w:val="center"/>
            <w:hideMark/>
          </w:tcPr>
          <w:p w14:paraId="797E414E"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720</w:t>
            </w:r>
            <w:r w:rsidRPr="003D7C36">
              <w:rPr>
                <w:rFonts w:cs="Calibri"/>
                <w:sz w:val="24"/>
                <w:szCs w:val="24"/>
                <w:lang w:eastAsia="sk-SK"/>
              </w:rPr>
              <w:t xml:space="preserve"> </w:t>
            </w:r>
          </w:p>
        </w:tc>
        <w:tc>
          <w:tcPr>
            <w:tcW w:w="1144" w:type="pct"/>
            <w:shd w:val="clear" w:color="auto" w:fill="EFEFEF"/>
            <w:vAlign w:val="center"/>
            <w:hideMark/>
          </w:tcPr>
          <w:p w14:paraId="7B9C3B8D"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Kapitálové transfery</w:t>
            </w:r>
            <w:r w:rsidRPr="003D7C36">
              <w:rPr>
                <w:rFonts w:cs="Calibri"/>
                <w:sz w:val="24"/>
                <w:szCs w:val="24"/>
                <w:lang w:eastAsia="sk-SK"/>
              </w:rPr>
              <w:t xml:space="preserve"> </w:t>
            </w:r>
          </w:p>
        </w:tc>
        <w:tc>
          <w:tcPr>
            <w:tcW w:w="667" w:type="pct"/>
            <w:shd w:val="clear" w:color="auto" w:fill="EFEFEF"/>
            <w:noWrap/>
            <w:vAlign w:val="center"/>
            <w:hideMark/>
          </w:tcPr>
          <w:p w14:paraId="33A597EB"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10 000,00</w:t>
            </w:r>
            <w:r w:rsidRPr="003D7C36">
              <w:rPr>
                <w:rFonts w:cs="Calibri"/>
                <w:sz w:val="24"/>
                <w:szCs w:val="24"/>
                <w:lang w:eastAsia="sk-SK"/>
              </w:rPr>
              <w:t xml:space="preserve"> </w:t>
            </w:r>
          </w:p>
        </w:tc>
        <w:tc>
          <w:tcPr>
            <w:tcW w:w="500" w:type="pct"/>
            <w:shd w:val="clear" w:color="auto" w:fill="EFEFEF"/>
            <w:noWrap/>
            <w:vAlign w:val="center"/>
            <w:hideMark/>
          </w:tcPr>
          <w:p w14:paraId="72C1EA69"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368" w:type="pct"/>
            <w:shd w:val="clear" w:color="auto" w:fill="EFEFEF"/>
            <w:noWrap/>
            <w:vAlign w:val="center"/>
            <w:hideMark/>
          </w:tcPr>
          <w:p w14:paraId="144AA865"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693" w:type="pct"/>
            <w:shd w:val="clear" w:color="auto" w:fill="EFEFEF"/>
            <w:noWrap/>
            <w:vAlign w:val="center"/>
            <w:hideMark/>
          </w:tcPr>
          <w:p w14:paraId="0F2AF40D" w14:textId="77777777" w:rsidR="00D40061" w:rsidRPr="003D7C36" w:rsidRDefault="00D40061" w:rsidP="00D40061">
            <w:pPr>
              <w:spacing w:after="0" w:line="240" w:lineRule="auto"/>
              <w:jc w:val="right"/>
              <w:rPr>
                <w:rFonts w:cs="Calibri"/>
                <w:sz w:val="24"/>
                <w:szCs w:val="24"/>
                <w:lang w:eastAsia="sk-SK"/>
              </w:rPr>
            </w:pPr>
          </w:p>
        </w:tc>
        <w:tc>
          <w:tcPr>
            <w:tcW w:w="1067" w:type="pct"/>
            <w:vMerge/>
            <w:shd w:val="clear" w:color="auto" w:fill="EFEFEF"/>
            <w:vAlign w:val="center"/>
            <w:hideMark/>
          </w:tcPr>
          <w:p w14:paraId="7DE14387" w14:textId="77777777" w:rsidR="00D40061" w:rsidRPr="003D7C36" w:rsidRDefault="00D40061" w:rsidP="00D40061">
            <w:pPr>
              <w:spacing w:after="0" w:line="240" w:lineRule="auto"/>
              <w:rPr>
                <w:rFonts w:cs="Calibri"/>
                <w:sz w:val="20"/>
                <w:szCs w:val="20"/>
                <w:lang w:eastAsia="sk-SK"/>
              </w:rPr>
            </w:pPr>
          </w:p>
        </w:tc>
      </w:tr>
    </w:tbl>
    <w:p w14:paraId="0411A5BA" w14:textId="77777777" w:rsidR="00D40061" w:rsidRPr="003D7C36" w:rsidRDefault="00D40061" w:rsidP="00D40061">
      <w:pPr>
        <w:spacing w:before="100" w:beforeAutospacing="1" w:after="100" w:afterAutospacing="1" w:line="240" w:lineRule="auto"/>
        <w:jc w:val="both"/>
        <w:rPr>
          <w:rFonts w:cs="Calibri"/>
          <w:lang w:eastAsia="sk-SK"/>
        </w:rPr>
      </w:pPr>
      <w:r w:rsidRPr="003D7C36">
        <w:rPr>
          <w:rFonts w:cs="Calibri"/>
          <w:b/>
          <w:bCs/>
          <w:lang w:eastAsia="sk-SK"/>
        </w:rPr>
        <w:t xml:space="preserve">Komentár: </w:t>
      </w:r>
      <w:r w:rsidRPr="003D7C36">
        <w:rPr>
          <w:rFonts w:cs="Calibri"/>
          <w:lang w:eastAsia="sk-SK"/>
        </w:rPr>
        <w:t xml:space="preserve">Participatívny rozpočet je nástroj, ktorý umožňuje občanom regiónu priamo sa zapojiť do rozhodovacieho procesu o prerozdeľovaní financií z rozpočtu BSK. V súvislosti s </w:t>
      </w:r>
      <w:proofErr w:type="spellStart"/>
      <w:r w:rsidRPr="003D7C36">
        <w:rPr>
          <w:rFonts w:cs="Calibri"/>
          <w:lang w:eastAsia="sk-SK"/>
        </w:rPr>
        <w:t>koronavírusom</w:t>
      </w:r>
      <w:proofErr w:type="spellEnd"/>
      <w:r w:rsidRPr="003D7C36">
        <w:rPr>
          <w:rFonts w:cs="Calibri"/>
          <w:lang w:eastAsia="sk-SK"/>
        </w:rPr>
        <w:t xml:space="preserve"> a následným zrušením BRDS pre rok 2020 na základe Uznesenia zo Zastupiteľstva Bratislavského samosprávneho kraja zo dňa 29. mája 2020 bol podprogram pre rok 2020 pozastavený.</w:t>
      </w:r>
    </w:p>
    <w:p w14:paraId="0F6A1365" w14:textId="77777777" w:rsidR="00352CED" w:rsidRDefault="00352CED" w:rsidP="00D40061">
      <w:pPr>
        <w:spacing w:before="100" w:beforeAutospacing="1" w:after="100" w:afterAutospacing="1" w:line="240" w:lineRule="auto"/>
        <w:outlineLvl w:val="2"/>
        <w:rPr>
          <w:rFonts w:cs="Calibri"/>
          <w:b/>
          <w:bCs/>
          <w:color w:val="4F6228"/>
          <w:sz w:val="27"/>
          <w:szCs w:val="27"/>
          <w:lang w:eastAsia="sk-SK"/>
        </w:rPr>
      </w:pPr>
    </w:p>
    <w:p w14:paraId="340F846C" w14:textId="24E8BB67" w:rsidR="00D40061" w:rsidRPr="003D7C36" w:rsidRDefault="00D40061" w:rsidP="00D40061">
      <w:pPr>
        <w:spacing w:before="100" w:beforeAutospacing="1" w:after="100" w:afterAutospacing="1" w:line="240" w:lineRule="auto"/>
        <w:outlineLvl w:val="2"/>
        <w:rPr>
          <w:rFonts w:cs="Calibri"/>
          <w:b/>
          <w:bCs/>
          <w:color w:val="4F6228"/>
          <w:sz w:val="27"/>
          <w:szCs w:val="27"/>
          <w:lang w:eastAsia="sk-SK"/>
        </w:rPr>
      </w:pPr>
      <w:r w:rsidRPr="003D7C36">
        <w:rPr>
          <w:rFonts w:cs="Calibri"/>
          <w:b/>
          <w:bCs/>
          <w:color w:val="4F6228"/>
          <w:sz w:val="27"/>
          <w:szCs w:val="27"/>
          <w:lang w:eastAsia="sk-SK"/>
        </w:rPr>
        <w:lastRenderedPageBreak/>
        <w:t>Podprogram 14.5: Zdravotná starostlivosť</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406"/>
        <w:gridCol w:w="2431"/>
        <w:gridCol w:w="1280"/>
        <w:gridCol w:w="905"/>
        <w:gridCol w:w="1096"/>
        <w:gridCol w:w="924"/>
        <w:gridCol w:w="2424"/>
      </w:tblGrid>
      <w:tr w:rsidR="00003796" w:rsidRPr="003D7C36" w14:paraId="19336D0A" w14:textId="77777777" w:rsidTr="00003796">
        <w:trPr>
          <w:tblCellSpacing w:w="15" w:type="dxa"/>
        </w:trPr>
        <w:tc>
          <w:tcPr>
            <w:tcW w:w="0" w:type="auto"/>
            <w:shd w:val="clear" w:color="auto" w:fill="C6DBF7"/>
            <w:vAlign w:val="center"/>
            <w:hideMark/>
          </w:tcPr>
          <w:p w14:paraId="5257F162"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Kód EK</w:t>
            </w:r>
          </w:p>
        </w:tc>
        <w:tc>
          <w:tcPr>
            <w:tcW w:w="1174" w:type="pct"/>
            <w:shd w:val="clear" w:color="auto" w:fill="C6DBF7"/>
            <w:vAlign w:val="center"/>
            <w:hideMark/>
          </w:tcPr>
          <w:p w14:paraId="12D427C1"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Ekonomická klasifikácia</w:t>
            </w:r>
          </w:p>
        </w:tc>
        <w:tc>
          <w:tcPr>
            <w:tcW w:w="611" w:type="pct"/>
            <w:shd w:val="clear" w:color="auto" w:fill="C6DBF7"/>
            <w:vAlign w:val="center"/>
            <w:hideMark/>
          </w:tcPr>
          <w:p w14:paraId="7005C0D9"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Schválený</w:t>
            </w:r>
            <w:r w:rsidRPr="003D7C36">
              <w:rPr>
                <w:rFonts w:cs="Calibri"/>
                <w:b/>
                <w:bCs/>
                <w:sz w:val="20"/>
                <w:szCs w:val="20"/>
                <w:lang w:eastAsia="sk-SK"/>
              </w:rPr>
              <w:br/>
              <w:t>rozpočet</w:t>
            </w:r>
            <w:r w:rsidRPr="003D7C36">
              <w:rPr>
                <w:rFonts w:cs="Calibri"/>
                <w:b/>
                <w:bCs/>
                <w:sz w:val="20"/>
                <w:szCs w:val="20"/>
                <w:lang w:eastAsia="sk-SK"/>
              </w:rPr>
              <w:br/>
              <w:t>v EUR</w:t>
            </w:r>
          </w:p>
        </w:tc>
        <w:tc>
          <w:tcPr>
            <w:tcW w:w="428" w:type="pct"/>
            <w:shd w:val="clear" w:color="auto" w:fill="C6DBF7"/>
            <w:vAlign w:val="center"/>
            <w:hideMark/>
          </w:tcPr>
          <w:p w14:paraId="27C42557"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Zmenený</w:t>
            </w:r>
            <w:r w:rsidRPr="003D7C36">
              <w:rPr>
                <w:rFonts w:cs="Calibri"/>
                <w:b/>
                <w:bCs/>
                <w:sz w:val="20"/>
                <w:szCs w:val="20"/>
                <w:lang w:eastAsia="sk-SK"/>
              </w:rPr>
              <w:br/>
              <w:t>rozpočet</w:t>
            </w:r>
            <w:r w:rsidRPr="003D7C36">
              <w:rPr>
                <w:rFonts w:cs="Calibri"/>
                <w:b/>
                <w:bCs/>
                <w:sz w:val="20"/>
                <w:szCs w:val="20"/>
                <w:lang w:eastAsia="sk-SK"/>
              </w:rPr>
              <w:br/>
              <w:t>v EUR</w:t>
            </w:r>
          </w:p>
        </w:tc>
        <w:tc>
          <w:tcPr>
            <w:tcW w:w="521" w:type="pct"/>
            <w:shd w:val="clear" w:color="auto" w:fill="C6DBF7"/>
            <w:vAlign w:val="center"/>
            <w:hideMark/>
          </w:tcPr>
          <w:p w14:paraId="2AD952A6"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v EUR</w:t>
            </w:r>
          </w:p>
        </w:tc>
        <w:tc>
          <w:tcPr>
            <w:tcW w:w="437" w:type="pct"/>
            <w:shd w:val="clear" w:color="auto" w:fill="C6DBF7"/>
            <w:vAlign w:val="center"/>
            <w:hideMark/>
          </w:tcPr>
          <w:p w14:paraId="6E446E30"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Čerpanie</w:t>
            </w:r>
            <w:r w:rsidRPr="003D7C36">
              <w:rPr>
                <w:rFonts w:cs="Calibri"/>
                <w:b/>
                <w:bCs/>
                <w:sz w:val="20"/>
                <w:szCs w:val="20"/>
                <w:lang w:eastAsia="sk-SK"/>
              </w:rPr>
              <w:br/>
              <w:t xml:space="preserve">k </w:t>
            </w:r>
            <w:proofErr w:type="spellStart"/>
            <w:r w:rsidRPr="003D7C36">
              <w:rPr>
                <w:rFonts w:cs="Calibri"/>
                <w:b/>
                <w:bCs/>
                <w:sz w:val="20"/>
                <w:szCs w:val="20"/>
                <w:lang w:eastAsia="sk-SK"/>
              </w:rPr>
              <w:t>zmen</w:t>
            </w:r>
            <w:proofErr w:type="spellEnd"/>
            <w:r w:rsidRPr="003D7C36">
              <w:rPr>
                <w:rFonts w:cs="Calibri"/>
                <w:b/>
                <w:bCs/>
                <w:sz w:val="20"/>
                <w:szCs w:val="20"/>
                <w:lang w:eastAsia="sk-SK"/>
              </w:rPr>
              <w:t xml:space="preserve">. </w:t>
            </w:r>
            <w:proofErr w:type="spellStart"/>
            <w:r w:rsidRPr="003D7C36">
              <w:rPr>
                <w:rFonts w:cs="Calibri"/>
                <w:b/>
                <w:bCs/>
                <w:sz w:val="20"/>
                <w:szCs w:val="20"/>
                <w:lang w:eastAsia="sk-SK"/>
              </w:rPr>
              <w:t>rozp</w:t>
            </w:r>
            <w:proofErr w:type="spellEnd"/>
            <w:r w:rsidRPr="003D7C36">
              <w:rPr>
                <w:rFonts w:cs="Calibri"/>
                <w:b/>
                <w:bCs/>
                <w:sz w:val="20"/>
                <w:szCs w:val="20"/>
                <w:lang w:eastAsia="sk-SK"/>
              </w:rPr>
              <w:t>.</w:t>
            </w:r>
            <w:r w:rsidRPr="003D7C36">
              <w:rPr>
                <w:rFonts w:cs="Calibri"/>
                <w:b/>
                <w:bCs/>
                <w:sz w:val="20"/>
                <w:szCs w:val="20"/>
                <w:lang w:eastAsia="sk-SK"/>
              </w:rPr>
              <w:br/>
              <w:t>v %</w:t>
            </w:r>
          </w:p>
        </w:tc>
        <w:tc>
          <w:tcPr>
            <w:tcW w:w="1163" w:type="pct"/>
            <w:shd w:val="clear" w:color="auto" w:fill="C6DBF7"/>
            <w:vAlign w:val="center"/>
            <w:hideMark/>
          </w:tcPr>
          <w:p w14:paraId="52441701" w14:textId="77777777" w:rsidR="00D40061" w:rsidRPr="003D7C36" w:rsidRDefault="00D40061" w:rsidP="00D40061">
            <w:pPr>
              <w:spacing w:after="0" w:line="240" w:lineRule="auto"/>
              <w:jc w:val="center"/>
              <w:rPr>
                <w:rFonts w:cs="Calibri"/>
                <w:sz w:val="24"/>
                <w:szCs w:val="24"/>
                <w:lang w:eastAsia="sk-SK"/>
              </w:rPr>
            </w:pPr>
            <w:r w:rsidRPr="003D7C36">
              <w:rPr>
                <w:rFonts w:cs="Calibri"/>
                <w:b/>
                <w:bCs/>
                <w:sz w:val="20"/>
                <w:szCs w:val="20"/>
                <w:lang w:eastAsia="sk-SK"/>
              </w:rPr>
              <w:t>Zmeny rozpočtu</w:t>
            </w:r>
          </w:p>
        </w:tc>
      </w:tr>
      <w:tr w:rsidR="00003796" w:rsidRPr="003D7C36" w14:paraId="36ECD64A" w14:textId="77777777" w:rsidTr="00003796">
        <w:trPr>
          <w:tblCellSpacing w:w="15" w:type="dxa"/>
        </w:trPr>
        <w:tc>
          <w:tcPr>
            <w:tcW w:w="0" w:type="auto"/>
            <w:shd w:val="clear" w:color="auto" w:fill="D9D9D9"/>
            <w:noWrap/>
            <w:vAlign w:val="center"/>
            <w:hideMark/>
          </w:tcPr>
          <w:p w14:paraId="64EACCC8" w14:textId="77777777" w:rsidR="00D40061" w:rsidRPr="003D7C36" w:rsidRDefault="00D40061" w:rsidP="00D40061">
            <w:pPr>
              <w:spacing w:after="0" w:line="240" w:lineRule="auto"/>
              <w:jc w:val="center"/>
              <w:rPr>
                <w:rFonts w:cs="Calibri"/>
                <w:sz w:val="24"/>
                <w:szCs w:val="24"/>
                <w:lang w:eastAsia="sk-SK"/>
              </w:rPr>
            </w:pPr>
          </w:p>
        </w:tc>
        <w:tc>
          <w:tcPr>
            <w:tcW w:w="1174" w:type="pct"/>
            <w:shd w:val="clear" w:color="auto" w:fill="D9D9D9"/>
            <w:vAlign w:val="center"/>
            <w:hideMark/>
          </w:tcPr>
          <w:p w14:paraId="1EBEFEAF"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Výdavky celkom</w:t>
            </w:r>
            <w:r w:rsidRPr="003D7C36">
              <w:rPr>
                <w:rFonts w:cs="Calibri"/>
                <w:sz w:val="24"/>
                <w:szCs w:val="24"/>
                <w:lang w:eastAsia="sk-SK"/>
              </w:rPr>
              <w:t xml:space="preserve"> </w:t>
            </w:r>
          </w:p>
        </w:tc>
        <w:tc>
          <w:tcPr>
            <w:tcW w:w="611" w:type="pct"/>
            <w:shd w:val="clear" w:color="auto" w:fill="D9D9D9"/>
            <w:noWrap/>
            <w:vAlign w:val="center"/>
            <w:hideMark/>
          </w:tcPr>
          <w:p w14:paraId="203D33E0"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20 000,00</w:t>
            </w:r>
            <w:r w:rsidRPr="003D7C36">
              <w:rPr>
                <w:rFonts w:cs="Calibri"/>
                <w:sz w:val="24"/>
                <w:szCs w:val="24"/>
                <w:lang w:eastAsia="sk-SK"/>
              </w:rPr>
              <w:t xml:space="preserve"> </w:t>
            </w:r>
          </w:p>
        </w:tc>
        <w:tc>
          <w:tcPr>
            <w:tcW w:w="428" w:type="pct"/>
            <w:shd w:val="clear" w:color="auto" w:fill="D9D9D9"/>
            <w:noWrap/>
            <w:vAlign w:val="center"/>
            <w:hideMark/>
          </w:tcPr>
          <w:p w14:paraId="66FBE9F8"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21" w:type="pct"/>
            <w:shd w:val="clear" w:color="auto" w:fill="D9D9D9"/>
            <w:noWrap/>
            <w:vAlign w:val="center"/>
            <w:hideMark/>
          </w:tcPr>
          <w:p w14:paraId="694BC7E0"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437" w:type="pct"/>
            <w:shd w:val="clear" w:color="auto" w:fill="D9D9D9"/>
            <w:noWrap/>
            <w:vAlign w:val="center"/>
            <w:hideMark/>
          </w:tcPr>
          <w:p w14:paraId="1B3FD516" w14:textId="77777777" w:rsidR="00D40061" w:rsidRPr="003D7C36" w:rsidRDefault="00D40061" w:rsidP="00D40061">
            <w:pPr>
              <w:spacing w:after="0" w:line="240" w:lineRule="auto"/>
              <w:jc w:val="right"/>
              <w:rPr>
                <w:rFonts w:cs="Calibri"/>
                <w:sz w:val="24"/>
                <w:szCs w:val="24"/>
                <w:lang w:eastAsia="sk-SK"/>
              </w:rPr>
            </w:pPr>
          </w:p>
        </w:tc>
        <w:tc>
          <w:tcPr>
            <w:tcW w:w="1163" w:type="pct"/>
            <w:vMerge w:val="restart"/>
            <w:shd w:val="clear" w:color="auto" w:fill="D9D9D9"/>
            <w:vAlign w:val="center"/>
            <w:hideMark/>
          </w:tcPr>
          <w:p w14:paraId="43BCA403" w14:textId="360DF95D" w:rsidR="00D40061" w:rsidRPr="003D7C36" w:rsidRDefault="00D40061" w:rsidP="006D6ABE">
            <w:pPr>
              <w:spacing w:after="0" w:line="240" w:lineRule="auto"/>
              <w:rPr>
                <w:rFonts w:cs="Calibri"/>
                <w:sz w:val="20"/>
                <w:szCs w:val="20"/>
                <w:lang w:eastAsia="sk-SK"/>
              </w:rPr>
            </w:pPr>
            <w:r w:rsidRPr="00CD5DE2">
              <w:rPr>
                <w:rFonts w:cstheme="minorHAnsi"/>
                <w:b/>
                <w:sz w:val="20"/>
                <w:szCs w:val="20"/>
              </w:rPr>
              <w:t>-</w:t>
            </w:r>
            <w:r>
              <w:rPr>
                <w:rFonts w:cstheme="minorHAnsi"/>
                <w:b/>
                <w:sz w:val="20"/>
                <w:szCs w:val="20"/>
              </w:rPr>
              <w:t xml:space="preserve">20 000,00 </w:t>
            </w:r>
            <w:r w:rsidRPr="00003796">
              <w:rPr>
                <w:rFonts w:cstheme="minorHAnsi"/>
                <w:bCs/>
                <w:sz w:val="20"/>
                <w:szCs w:val="20"/>
              </w:rPr>
              <w:t>EUR</w:t>
            </w:r>
            <w:r w:rsidR="00003796" w:rsidRPr="00003796">
              <w:rPr>
                <w:rFonts w:cstheme="minorHAnsi"/>
                <w:bCs/>
                <w:sz w:val="20"/>
                <w:szCs w:val="20"/>
              </w:rPr>
              <w:t xml:space="preserve"> </w:t>
            </w:r>
            <w:r w:rsidR="006D6ABE" w:rsidRPr="00C741A9">
              <w:rPr>
                <w:rFonts w:cstheme="minorHAnsi"/>
                <w:sz w:val="20"/>
                <w:szCs w:val="20"/>
                <w:lang w:eastAsia="sk-SK"/>
              </w:rPr>
              <w:t>I. zmena rozpočtu UZN č. 247/2020</w:t>
            </w:r>
          </w:p>
        </w:tc>
      </w:tr>
      <w:tr w:rsidR="00003796" w:rsidRPr="003D7C36" w14:paraId="580392D0" w14:textId="77777777" w:rsidTr="00003796">
        <w:trPr>
          <w:tblCellSpacing w:w="15" w:type="dxa"/>
        </w:trPr>
        <w:tc>
          <w:tcPr>
            <w:tcW w:w="0" w:type="auto"/>
            <w:shd w:val="clear" w:color="auto" w:fill="D9D9D9"/>
            <w:noWrap/>
            <w:vAlign w:val="center"/>
            <w:hideMark/>
          </w:tcPr>
          <w:p w14:paraId="36E5AE7F"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600</w:t>
            </w:r>
            <w:r w:rsidRPr="003D7C36">
              <w:rPr>
                <w:rFonts w:cs="Calibri"/>
                <w:sz w:val="24"/>
                <w:szCs w:val="24"/>
                <w:lang w:eastAsia="sk-SK"/>
              </w:rPr>
              <w:t xml:space="preserve"> </w:t>
            </w:r>
          </w:p>
        </w:tc>
        <w:tc>
          <w:tcPr>
            <w:tcW w:w="1174" w:type="pct"/>
            <w:shd w:val="clear" w:color="auto" w:fill="D9D9D9"/>
            <w:vAlign w:val="center"/>
            <w:hideMark/>
          </w:tcPr>
          <w:p w14:paraId="24642145" w14:textId="77777777" w:rsidR="00D40061" w:rsidRPr="003D7C36" w:rsidRDefault="00D40061" w:rsidP="00D40061">
            <w:pPr>
              <w:spacing w:after="0" w:line="240" w:lineRule="auto"/>
              <w:rPr>
                <w:rFonts w:cs="Calibri"/>
                <w:sz w:val="24"/>
                <w:szCs w:val="24"/>
                <w:lang w:eastAsia="sk-SK"/>
              </w:rPr>
            </w:pPr>
            <w:r w:rsidRPr="003D7C36">
              <w:rPr>
                <w:rFonts w:cs="Calibri"/>
                <w:b/>
                <w:bCs/>
                <w:sz w:val="20"/>
                <w:szCs w:val="20"/>
                <w:lang w:eastAsia="sk-SK"/>
              </w:rPr>
              <w:t>Bežné výdavky</w:t>
            </w:r>
            <w:r w:rsidRPr="003D7C36">
              <w:rPr>
                <w:rFonts w:cs="Calibri"/>
                <w:sz w:val="24"/>
                <w:szCs w:val="24"/>
                <w:lang w:eastAsia="sk-SK"/>
              </w:rPr>
              <w:t xml:space="preserve"> </w:t>
            </w:r>
          </w:p>
        </w:tc>
        <w:tc>
          <w:tcPr>
            <w:tcW w:w="611" w:type="pct"/>
            <w:shd w:val="clear" w:color="auto" w:fill="D9D9D9"/>
            <w:noWrap/>
            <w:vAlign w:val="center"/>
            <w:hideMark/>
          </w:tcPr>
          <w:p w14:paraId="305D1375"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20 000,00</w:t>
            </w:r>
            <w:r w:rsidRPr="003D7C36">
              <w:rPr>
                <w:rFonts w:cs="Calibri"/>
                <w:sz w:val="24"/>
                <w:szCs w:val="24"/>
                <w:lang w:eastAsia="sk-SK"/>
              </w:rPr>
              <w:t xml:space="preserve"> </w:t>
            </w:r>
          </w:p>
        </w:tc>
        <w:tc>
          <w:tcPr>
            <w:tcW w:w="428" w:type="pct"/>
            <w:shd w:val="clear" w:color="auto" w:fill="D9D9D9"/>
            <w:noWrap/>
            <w:vAlign w:val="center"/>
            <w:hideMark/>
          </w:tcPr>
          <w:p w14:paraId="7DC03C9A"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521" w:type="pct"/>
            <w:shd w:val="clear" w:color="auto" w:fill="D9D9D9"/>
            <w:noWrap/>
            <w:vAlign w:val="center"/>
            <w:hideMark/>
          </w:tcPr>
          <w:p w14:paraId="52E1DCA0" w14:textId="77777777" w:rsidR="00D40061" w:rsidRPr="003D7C36" w:rsidRDefault="00D40061" w:rsidP="00D40061">
            <w:pPr>
              <w:spacing w:after="0" w:line="240" w:lineRule="auto"/>
              <w:jc w:val="right"/>
              <w:rPr>
                <w:rFonts w:cs="Calibri"/>
                <w:sz w:val="24"/>
                <w:szCs w:val="24"/>
                <w:lang w:eastAsia="sk-SK"/>
              </w:rPr>
            </w:pPr>
            <w:r w:rsidRPr="003D7C36">
              <w:rPr>
                <w:rFonts w:cs="Calibri"/>
                <w:b/>
                <w:bCs/>
                <w:sz w:val="20"/>
                <w:szCs w:val="20"/>
                <w:lang w:eastAsia="sk-SK"/>
              </w:rPr>
              <w:t>0,00</w:t>
            </w:r>
            <w:r w:rsidRPr="003D7C36">
              <w:rPr>
                <w:rFonts w:cs="Calibri"/>
                <w:sz w:val="24"/>
                <w:szCs w:val="24"/>
                <w:lang w:eastAsia="sk-SK"/>
              </w:rPr>
              <w:t xml:space="preserve"> </w:t>
            </w:r>
          </w:p>
        </w:tc>
        <w:tc>
          <w:tcPr>
            <w:tcW w:w="437" w:type="pct"/>
            <w:shd w:val="clear" w:color="auto" w:fill="D9D9D9"/>
            <w:noWrap/>
            <w:vAlign w:val="center"/>
            <w:hideMark/>
          </w:tcPr>
          <w:p w14:paraId="3DD9C98E" w14:textId="77777777" w:rsidR="00D40061" w:rsidRPr="003D7C36" w:rsidRDefault="00D40061" w:rsidP="00D40061">
            <w:pPr>
              <w:spacing w:after="0" w:line="240" w:lineRule="auto"/>
              <w:jc w:val="right"/>
              <w:rPr>
                <w:rFonts w:cs="Calibri"/>
                <w:sz w:val="24"/>
                <w:szCs w:val="24"/>
                <w:lang w:eastAsia="sk-SK"/>
              </w:rPr>
            </w:pPr>
          </w:p>
        </w:tc>
        <w:tc>
          <w:tcPr>
            <w:tcW w:w="1163" w:type="pct"/>
            <w:vMerge/>
            <w:shd w:val="clear" w:color="auto" w:fill="D9D9D9"/>
            <w:vAlign w:val="center"/>
            <w:hideMark/>
          </w:tcPr>
          <w:p w14:paraId="671627D9" w14:textId="77777777" w:rsidR="00D40061" w:rsidRPr="003D7C36" w:rsidRDefault="00D40061" w:rsidP="00D40061">
            <w:pPr>
              <w:spacing w:after="0" w:line="240" w:lineRule="auto"/>
              <w:rPr>
                <w:rFonts w:cs="Calibri"/>
                <w:sz w:val="20"/>
                <w:szCs w:val="20"/>
                <w:lang w:eastAsia="sk-SK"/>
              </w:rPr>
            </w:pPr>
          </w:p>
        </w:tc>
      </w:tr>
      <w:tr w:rsidR="00003796" w:rsidRPr="003D7C36" w14:paraId="14CB4D23" w14:textId="77777777" w:rsidTr="00003796">
        <w:trPr>
          <w:tblCellSpacing w:w="15" w:type="dxa"/>
        </w:trPr>
        <w:tc>
          <w:tcPr>
            <w:tcW w:w="0" w:type="auto"/>
            <w:shd w:val="clear" w:color="auto" w:fill="EFEFEF"/>
            <w:noWrap/>
            <w:vAlign w:val="center"/>
            <w:hideMark/>
          </w:tcPr>
          <w:p w14:paraId="1C240D62"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640</w:t>
            </w:r>
            <w:r w:rsidRPr="003D7C36">
              <w:rPr>
                <w:rFonts w:cs="Calibri"/>
                <w:sz w:val="24"/>
                <w:szCs w:val="24"/>
                <w:lang w:eastAsia="sk-SK"/>
              </w:rPr>
              <w:t xml:space="preserve"> </w:t>
            </w:r>
          </w:p>
        </w:tc>
        <w:tc>
          <w:tcPr>
            <w:tcW w:w="1174" w:type="pct"/>
            <w:shd w:val="clear" w:color="auto" w:fill="EFEFEF"/>
            <w:vAlign w:val="center"/>
            <w:hideMark/>
          </w:tcPr>
          <w:p w14:paraId="2E221795" w14:textId="77777777" w:rsidR="00D40061" w:rsidRPr="003D7C36" w:rsidRDefault="00D40061" w:rsidP="00D40061">
            <w:pPr>
              <w:spacing w:after="0" w:line="240" w:lineRule="auto"/>
              <w:rPr>
                <w:rFonts w:cs="Calibri"/>
                <w:sz w:val="24"/>
                <w:szCs w:val="24"/>
                <w:lang w:eastAsia="sk-SK"/>
              </w:rPr>
            </w:pPr>
            <w:r w:rsidRPr="003D7C36">
              <w:rPr>
                <w:rFonts w:cs="Calibri"/>
                <w:sz w:val="20"/>
                <w:szCs w:val="20"/>
                <w:lang w:eastAsia="sk-SK"/>
              </w:rPr>
              <w:t>Bežné transfery</w:t>
            </w:r>
            <w:r w:rsidRPr="003D7C36">
              <w:rPr>
                <w:rFonts w:cs="Calibri"/>
                <w:sz w:val="24"/>
                <w:szCs w:val="24"/>
                <w:lang w:eastAsia="sk-SK"/>
              </w:rPr>
              <w:t xml:space="preserve"> </w:t>
            </w:r>
          </w:p>
        </w:tc>
        <w:tc>
          <w:tcPr>
            <w:tcW w:w="611" w:type="pct"/>
            <w:shd w:val="clear" w:color="auto" w:fill="EFEFEF"/>
            <w:noWrap/>
            <w:vAlign w:val="center"/>
            <w:hideMark/>
          </w:tcPr>
          <w:p w14:paraId="6CEF84B2"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20 000,00</w:t>
            </w:r>
            <w:r w:rsidRPr="003D7C36">
              <w:rPr>
                <w:rFonts w:cs="Calibri"/>
                <w:sz w:val="24"/>
                <w:szCs w:val="24"/>
                <w:lang w:eastAsia="sk-SK"/>
              </w:rPr>
              <w:t xml:space="preserve"> </w:t>
            </w:r>
          </w:p>
        </w:tc>
        <w:tc>
          <w:tcPr>
            <w:tcW w:w="428" w:type="pct"/>
            <w:shd w:val="clear" w:color="auto" w:fill="EFEFEF"/>
            <w:noWrap/>
            <w:vAlign w:val="center"/>
            <w:hideMark/>
          </w:tcPr>
          <w:p w14:paraId="3BC28B23"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521" w:type="pct"/>
            <w:shd w:val="clear" w:color="auto" w:fill="EFEFEF"/>
            <w:noWrap/>
            <w:vAlign w:val="center"/>
            <w:hideMark/>
          </w:tcPr>
          <w:p w14:paraId="31609BE7" w14:textId="77777777" w:rsidR="00D40061" w:rsidRPr="003D7C36" w:rsidRDefault="00D40061" w:rsidP="00D40061">
            <w:pPr>
              <w:spacing w:after="0" w:line="240" w:lineRule="auto"/>
              <w:jc w:val="right"/>
              <w:rPr>
                <w:rFonts w:cs="Calibri"/>
                <w:sz w:val="24"/>
                <w:szCs w:val="24"/>
                <w:lang w:eastAsia="sk-SK"/>
              </w:rPr>
            </w:pPr>
            <w:r w:rsidRPr="003D7C36">
              <w:rPr>
                <w:rFonts w:cs="Calibri"/>
                <w:sz w:val="20"/>
                <w:szCs w:val="20"/>
                <w:lang w:eastAsia="sk-SK"/>
              </w:rPr>
              <w:t>0,00</w:t>
            </w:r>
            <w:r w:rsidRPr="003D7C36">
              <w:rPr>
                <w:rFonts w:cs="Calibri"/>
                <w:sz w:val="24"/>
                <w:szCs w:val="24"/>
                <w:lang w:eastAsia="sk-SK"/>
              </w:rPr>
              <w:t xml:space="preserve"> </w:t>
            </w:r>
          </w:p>
        </w:tc>
        <w:tc>
          <w:tcPr>
            <w:tcW w:w="437" w:type="pct"/>
            <w:shd w:val="clear" w:color="auto" w:fill="EFEFEF"/>
            <w:noWrap/>
            <w:vAlign w:val="center"/>
            <w:hideMark/>
          </w:tcPr>
          <w:p w14:paraId="6249ACC1" w14:textId="77777777" w:rsidR="00D40061" w:rsidRPr="003D7C36" w:rsidRDefault="00D40061" w:rsidP="00D40061">
            <w:pPr>
              <w:spacing w:after="0" w:line="240" w:lineRule="auto"/>
              <w:jc w:val="right"/>
              <w:rPr>
                <w:rFonts w:cs="Calibri"/>
                <w:sz w:val="24"/>
                <w:szCs w:val="24"/>
                <w:lang w:eastAsia="sk-SK"/>
              </w:rPr>
            </w:pPr>
          </w:p>
        </w:tc>
        <w:tc>
          <w:tcPr>
            <w:tcW w:w="1163" w:type="pct"/>
            <w:vMerge/>
            <w:shd w:val="clear" w:color="auto" w:fill="EFEFEF"/>
            <w:vAlign w:val="center"/>
            <w:hideMark/>
          </w:tcPr>
          <w:p w14:paraId="3F755F06" w14:textId="77777777" w:rsidR="00D40061" w:rsidRPr="003D7C36" w:rsidRDefault="00D40061" w:rsidP="00D40061">
            <w:pPr>
              <w:spacing w:after="0" w:line="240" w:lineRule="auto"/>
              <w:rPr>
                <w:rFonts w:cs="Calibri"/>
                <w:sz w:val="20"/>
                <w:szCs w:val="20"/>
                <w:lang w:eastAsia="sk-SK"/>
              </w:rPr>
            </w:pPr>
          </w:p>
        </w:tc>
      </w:tr>
    </w:tbl>
    <w:p w14:paraId="565AF707" w14:textId="77777777" w:rsidR="00D40061" w:rsidRPr="003D7C36" w:rsidRDefault="00D40061" w:rsidP="00D40061">
      <w:pPr>
        <w:spacing w:before="100" w:beforeAutospacing="1" w:after="100" w:afterAutospacing="1" w:line="240" w:lineRule="auto"/>
        <w:jc w:val="both"/>
        <w:rPr>
          <w:rFonts w:cs="Calibri"/>
          <w:lang w:eastAsia="sk-SK"/>
        </w:rPr>
      </w:pPr>
      <w:r w:rsidRPr="003D7C36">
        <w:rPr>
          <w:rFonts w:cs="Calibri"/>
          <w:b/>
          <w:bCs/>
          <w:lang w:eastAsia="sk-SK"/>
        </w:rPr>
        <w:t xml:space="preserve">Komentár: </w:t>
      </w:r>
      <w:r w:rsidRPr="003D7C36">
        <w:rPr>
          <w:rFonts w:cs="Calibri"/>
          <w:lang w:eastAsia="sk-SK"/>
        </w:rPr>
        <w:t xml:space="preserve">Dotačná schéma vznikla za účelom podpory lekárov, ktorí prejavia záujem o otvorenie prevádzky v menej atraktívnych častiach regiónu, prípadne v regióne s nedostatkom lekárov. V súvislosti s </w:t>
      </w:r>
      <w:proofErr w:type="spellStart"/>
      <w:r w:rsidRPr="003D7C36">
        <w:rPr>
          <w:rFonts w:cs="Calibri"/>
          <w:lang w:eastAsia="sk-SK"/>
        </w:rPr>
        <w:t>koronavírusom</w:t>
      </w:r>
      <w:proofErr w:type="spellEnd"/>
      <w:r w:rsidRPr="003D7C36">
        <w:rPr>
          <w:rFonts w:cs="Calibri"/>
          <w:lang w:eastAsia="sk-SK"/>
        </w:rPr>
        <w:t xml:space="preserve"> a následným zrušením BRDS pre rok 2020 na základe Uznesenia zo Zastupiteľstva Bratislavského samosprávneho kraja zo dňa 29. mája 2020 bol podprogram pre rok 2020 pozastavený.</w:t>
      </w:r>
    </w:p>
    <w:p w14:paraId="7AC3B409" w14:textId="77777777" w:rsidR="00D40061" w:rsidRDefault="00D40061" w:rsidP="00D40061"/>
    <w:sectPr w:rsidR="00D40061" w:rsidSect="00BE704E">
      <w:headerReference w:type="even" r:id="rId37"/>
      <w:headerReference w:type="default" r:id="rId38"/>
      <w:pgSz w:w="11906" w:h="16838"/>
      <w:pgMar w:top="720" w:right="720" w:bottom="720" w:left="720" w:header="567" w:footer="14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67561" w14:textId="77777777" w:rsidR="00C708A6" w:rsidRDefault="00C708A6" w:rsidP="001A0932">
      <w:pPr>
        <w:spacing w:after="0" w:line="240" w:lineRule="auto"/>
      </w:pPr>
      <w:r>
        <w:separator/>
      </w:r>
    </w:p>
  </w:endnote>
  <w:endnote w:type="continuationSeparator" w:id="0">
    <w:p w14:paraId="4D9C3C29" w14:textId="77777777" w:rsidR="00C708A6" w:rsidRDefault="00C708A6" w:rsidP="001A0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Narrow">
    <w:altName w:val="MS Mincho"/>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5E3ED" w14:textId="77777777" w:rsidR="00C708A6" w:rsidRDefault="00C708A6" w:rsidP="001A0932">
      <w:pPr>
        <w:spacing w:after="0" w:line="240" w:lineRule="auto"/>
      </w:pPr>
      <w:r>
        <w:separator/>
      </w:r>
    </w:p>
  </w:footnote>
  <w:footnote w:type="continuationSeparator" w:id="0">
    <w:p w14:paraId="23818359" w14:textId="77777777" w:rsidR="00C708A6" w:rsidRDefault="00C708A6" w:rsidP="001A0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88969" w14:textId="77777777" w:rsidR="00C708A6" w:rsidRDefault="00C708A6">
    <w:pPr>
      <w:pStyle w:val="Hlavika"/>
    </w:pPr>
    <w:r>
      <w:rPr>
        <w:noProof/>
        <w:lang w:val="sk-SK"/>
      </w:rPr>
      <mc:AlternateContent>
        <mc:Choice Requires="wps">
          <w:drawing>
            <wp:anchor distT="0" distB="0" distL="114300" distR="114300" simplePos="0" relativeHeight="251660288" behindDoc="0" locked="0" layoutInCell="0" allowOverlap="1" wp14:anchorId="695DA0B2" wp14:editId="47EAC659">
              <wp:simplePos x="0" y="0"/>
              <wp:positionH relativeFrom="margin">
                <wp:align>left</wp:align>
              </wp:positionH>
              <wp:positionV relativeFrom="topMargin">
                <wp:align>center</wp:align>
              </wp:positionV>
              <wp:extent cx="6390005" cy="154940"/>
              <wp:effectExtent l="0" t="0" r="0" b="0"/>
              <wp:wrapNone/>
              <wp:docPr id="475" name="Textové pole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005" cy="15494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7B94F" w14:textId="61F04135" w:rsidR="00C708A6" w:rsidRPr="00D15E15" w:rsidRDefault="00C708A6" w:rsidP="00D15E15">
                          <w:pPr>
                            <w:spacing w:after="0" w:line="240" w:lineRule="auto"/>
                            <w:jc w:val="right"/>
                            <w:rPr>
                              <w:sz w:val="20"/>
                              <w:szCs w:val="20"/>
                            </w:rPr>
                          </w:pPr>
                          <w:r w:rsidRPr="00D15E15">
                            <w:rPr>
                              <w:sz w:val="20"/>
                              <w:szCs w:val="20"/>
                            </w:rPr>
                            <w:t>Záverečný účet Bratislavského samosprávneho kraja 20</w:t>
                          </w:r>
                          <w:r>
                            <w:rPr>
                              <w:sz w:val="20"/>
                              <w:szCs w:val="20"/>
                            </w:rPr>
                            <w:t>20</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95DA0B2" id="_x0000_t202" coordsize="21600,21600" o:spt="202" path="m,l,21600r21600,l21600,xe">
              <v:stroke joinstyle="miter"/>
              <v:path gradientshapeok="t" o:connecttype="rect"/>
            </v:shapetype>
            <v:shape id="Textové pole 475" o:spid="_x0000_s1026" type="#_x0000_t202" style="position:absolute;left:0;text-align:left;margin-left:0;margin-top:0;width:503.15pt;height:12.2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slw8gEAALEDAAAOAAAAZHJzL2Uyb0RvYy54bWysU0tu2zAQ3RfoHQjua8mpk9aC5SBN4KJA&#10;+gGSHGBMURZRicMOaUvujXqOXKxDynaNdFd0Q3A+fPPmzXBxPXSt2GnyBm0pp5NcCm0VVsZuSvn0&#10;uHrzXgofwFbQotWl3Gsvr5evXy16V+gLbLCtNAkGsb7oXSmbEFyRZV41ugM/QactB2ukDgKbtMkq&#10;gp7Ruza7yPOrrEeqHKHS3rP3bgzKZcKva63C17r2Ooi2lMwtpJPSuY5ntlxAsSFwjVEHGvAPLDow&#10;loueoO4ggNiS+QuqM4rQYx0mCrsM69oonXrgbqb5i24eGnA69cLieHeSyf8/WPVl942EqUo5e3cp&#10;hYWOh/Soh4C751/CYatFDLBMvfMFZz84zg/DBxx43Kll7+5RfffC4m0DdqNviLBvNFRMcxpfZmdP&#10;RxwfQdb9Z6y4GmwDJqChpi5qyKoIRudx7U8jYkZCsfPq7TzPc2aqODa9nM1naYYZFMfXjnz4qLET&#10;8VJK4hVI6LC79yGygeKYEotZXJm2PbKMxEaKYVgPh67XWO2ZL+G4PbztfGmQfkrR8+aU0v/YAmkp&#10;2k+We55PZ0xKhGTwhc6966MXrGKIUqpAUozGbRgXc+vIbBqucdT3hhVamUQ+SjnyOejKe5F6Ouxw&#10;XLxzO2X9+WnL3wAAAP//AwBQSwMEFAAGAAgAAAAhADl34PraAAAABQEAAA8AAABkcnMvZG93bnJl&#10;di54bWxMj8FKw0AQhu+C77CM4M1urEE0ZlNE0INUi1H0Os2Om2B2Nma3bfr2Tr3oZWD4h//7plxM&#10;vldbGmMX2MD5LANF3ATbsTPw9np/dgUqJmSLfWAysKcIi+r4qMTChh2/0LZOTkkJxwINtCkNhdax&#10;acljnIWBWLLPMHpMso5O2xF3Uu57Pc+yS+2xYyG0ONBdS81XvfECeX/C/XO29Kvm8fv64WPp6jx3&#10;xpyeTLc3oBJN6e8YDvqiDpU4rcOGbVS9AXkk/c5DJqQLUGsD8zwHXZX6v331AwAA//8DAFBLAQIt&#10;ABQABgAIAAAAIQC2gziS/gAAAOEBAAATAAAAAAAAAAAAAAAAAAAAAABbQ29udGVudF9UeXBlc10u&#10;eG1sUEsBAi0AFAAGAAgAAAAhADj9If/WAAAAlAEAAAsAAAAAAAAAAAAAAAAALwEAAF9yZWxzLy5y&#10;ZWxzUEsBAi0AFAAGAAgAAAAhALm+yXDyAQAAsQMAAA4AAAAAAAAAAAAAAAAALgIAAGRycy9lMm9E&#10;b2MueG1sUEsBAi0AFAAGAAgAAAAhADl34PraAAAABQEAAA8AAAAAAAAAAAAAAAAATAQAAGRycy9k&#10;b3ducmV2LnhtbFBLBQYAAAAABAAEAPMAAABTBQAAAAA=&#10;" o:allowincell="f" filled="f" stroked="f">
              <v:textbox style="mso-fit-shape-to-text:t" inset=",0,,0">
                <w:txbxContent>
                  <w:p w14:paraId="3017B94F" w14:textId="61F04135" w:rsidR="00C708A6" w:rsidRPr="00D15E15" w:rsidRDefault="00C708A6" w:rsidP="00D15E15">
                    <w:pPr>
                      <w:spacing w:after="0" w:line="240" w:lineRule="auto"/>
                      <w:jc w:val="right"/>
                      <w:rPr>
                        <w:sz w:val="20"/>
                        <w:szCs w:val="20"/>
                      </w:rPr>
                    </w:pPr>
                    <w:r w:rsidRPr="00D15E15">
                      <w:rPr>
                        <w:sz w:val="20"/>
                        <w:szCs w:val="20"/>
                      </w:rPr>
                      <w:t>Záverečný účet Bratislavského samosprávneho kraja 20</w:t>
                    </w:r>
                    <w:r>
                      <w:rPr>
                        <w:sz w:val="20"/>
                        <w:szCs w:val="20"/>
                      </w:rPr>
                      <w:t>20</w:t>
                    </w:r>
                  </w:p>
                </w:txbxContent>
              </v:textbox>
              <w10:wrap anchorx="margin" anchory="margin"/>
            </v:shape>
          </w:pict>
        </mc:Fallback>
      </mc:AlternateContent>
    </w:r>
    <w:r>
      <w:rPr>
        <w:noProof/>
        <w:lang w:val="sk-SK"/>
      </w:rPr>
      <mc:AlternateContent>
        <mc:Choice Requires="wps">
          <w:drawing>
            <wp:anchor distT="0" distB="0" distL="114300" distR="114300" simplePos="0" relativeHeight="251659264" behindDoc="0" locked="0" layoutInCell="0" allowOverlap="1" wp14:anchorId="14C81D93" wp14:editId="5C2350B0">
              <wp:simplePos x="0" y="0"/>
              <wp:positionH relativeFrom="page">
                <wp:align>right</wp:align>
              </wp:positionH>
              <wp:positionV relativeFrom="topMargin">
                <wp:align>center</wp:align>
              </wp:positionV>
              <wp:extent cx="626110" cy="170815"/>
              <wp:effectExtent l="0" t="0" r="0" b="0"/>
              <wp:wrapNone/>
              <wp:docPr id="476" name="Textové pole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70815"/>
                      </a:xfrm>
                      <a:prstGeom prst="rect">
                        <a:avLst/>
                      </a:prstGeom>
                      <a:solidFill>
                        <a:schemeClr val="accent1"/>
                      </a:solidFill>
                    </wps:spPr>
                    <wps:txbx>
                      <w:txbxContent>
                        <w:p w14:paraId="67C28F95" w14:textId="77777777" w:rsidR="00C708A6" w:rsidRDefault="00C708A6">
                          <w:pPr>
                            <w:spacing w:after="0" w:line="240" w:lineRule="auto"/>
                            <w:rPr>
                              <w:color w:val="FFFFFF" w:themeColor="background1"/>
                            </w:rPr>
                          </w:pPr>
                          <w:r>
                            <w:fldChar w:fldCharType="begin"/>
                          </w:r>
                          <w:r>
                            <w:instrText>PAGE   \* MERGEFORMAT</w:instrText>
                          </w:r>
                          <w:r>
                            <w:fldChar w:fldCharType="separate"/>
                          </w:r>
                          <w:r w:rsidRPr="00FE5E38">
                            <w:rPr>
                              <w:noProof/>
                              <w:color w:val="FFFFFF" w:themeColor="background1"/>
                            </w:rPr>
                            <w:t>12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14C81D93" id="Textové pole 476" o:spid="_x0000_s1027" type="#_x0000_t202" style="position:absolute;left:0;text-align:left;margin-left:-1.9pt;margin-top:0;width:49.3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nTwBgIAAOMDAAAOAAAAZHJzL2Uyb0RvYy54bWysU9uO0zAQfUfiHyy/0zRV6S5R09XSVRHS&#10;cpF2+YCp4zQWiceM3SbLH/Ed/Bhjp+0WeEO8WJ6Lz8yZOV7eDF0rDpq8QVvKfDKVQluFlbG7Un55&#10;3Ly6lsIHsBW0aHUpn7SXN6uXL5a9K/QMG2wrTYJBrC96V8omBFdkmVeN7sBP0GnLwRqpg8Am7bKK&#10;oGf0rs1m0+ki65EqR6i09+y9G4NylfDrWqvwqa69DqItJfcW0knp3MYzWy2h2BG4xqhjG/APXXRg&#10;LBc9Q91BALEn8xdUZxShxzpMFHYZ1rVROnFgNvn0DzYPDTiduPBwvDuPyf8/WPXx8JmEqUo5v1pI&#10;YaHjJT3qIeDh5w/hsNUiBnhMvfMFZz84zg/DWxx43Ymyd/eovnphcd2A3elbIuwbDRW3mceX2cXT&#10;EcdHkG3/ASuuBvuACWioqYsz5KkIRud1PZ1XxB0Jxc7FbJHnHFEcyq+m1/nrVAGK02NHPrzT2Il4&#10;KSWxAhI4HO59iM1AcUqJtTy2ptqYtk1GVJ1etyQOwHoBpbQNI4XfMhOhyGFkE4btkEaYUiPZLVZP&#10;zJBw1Bv/D740SN+l6FlrpfTf9kBaiva95Sm9yefzKM5k8IUuvduTF6xiiFKqQFKMxjqMUt47MruG&#10;a5w2cssz3ZjE97mf4yZYSWkMR9VHqV7aKev5b65+AQAA//8DAFBLAwQUAAYACAAAACEAN25mo9sA&#10;AAADAQAADwAAAGRycy9kb3ducmV2LnhtbEyPwU7DMBBE70j9B2srcaNOewhtiFO1SMANQcuB3tx4&#10;SVLidbC3Sfr3GC5wWWk0o5m3+Xq0rejRh8aRgvksAYFUOtNQpeBt/3CzBBFYk9GtI1RwwQDrYnKV&#10;68y4gV6x33ElYgmFTCuombtMylDWaHWYuQ4peh/OW81R+koar4dYblu5SJJUWt1QXKh1h/c1lp+7&#10;s1XQb28vJ3/64vHp8PJuHg+b570blLqejps7EIwj/4XhBz+iQxGZju5MJohWQXyEf2/0VssUxFHB&#10;Il2BLHL5n734BgAA//8DAFBLAQItABQABgAIAAAAIQC2gziS/gAAAOEBAAATAAAAAAAAAAAAAAAA&#10;AAAAAABbQ29udGVudF9UeXBlc10ueG1sUEsBAi0AFAAGAAgAAAAhADj9If/WAAAAlAEAAAsAAAAA&#10;AAAAAAAAAAAALwEAAF9yZWxzLy5yZWxzUEsBAi0AFAAGAAgAAAAhAIpudPAGAgAA4wMAAA4AAAAA&#10;AAAAAAAAAAAALgIAAGRycy9lMm9Eb2MueG1sUEsBAi0AFAAGAAgAAAAhADduZqPbAAAAAwEAAA8A&#10;AAAAAAAAAAAAAAAAYAQAAGRycy9kb3ducmV2LnhtbFBLBQYAAAAABAAEAPMAAABoBQAAAAA=&#10;" o:allowincell="f" fillcolor="#4f81bd [3204]" stroked="f">
              <v:textbox style="mso-fit-shape-to-text:t" inset=",0,,0">
                <w:txbxContent>
                  <w:p w14:paraId="67C28F95" w14:textId="77777777" w:rsidR="00C708A6" w:rsidRDefault="00C708A6">
                    <w:pPr>
                      <w:spacing w:after="0" w:line="240" w:lineRule="auto"/>
                      <w:rPr>
                        <w:color w:val="FFFFFF" w:themeColor="background1"/>
                      </w:rPr>
                    </w:pPr>
                    <w:r>
                      <w:fldChar w:fldCharType="begin"/>
                    </w:r>
                    <w:r>
                      <w:instrText>PAGE   \* MERGEFORMAT</w:instrText>
                    </w:r>
                    <w:r>
                      <w:fldChar w:fldCharType="separate"/>
                    </w:r>
                    <w:r w:rsidRPr="00FE5E38">
                      <w:rPr>
                        <w:noProof/>
                        <w:color w:val="FFFFFF" w:themeColor="background1"/>
                      </w:rPr>
                      <w:t>12</w:t>
                    </w:r>
                    <w:r>
                      <w:rPr>
                        <w:color w:val="FFFFFF" w:themeColor="background1"/>
                      </w:rPr>
                      <w:fldChar w:fldCharType="end"/>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1257" w14:textId="77777777" w:rsidR="00C708A6" w:rsidRDefault="00C708A6">
    <w:pPr>
      <w:pStyle w:val="Hlavika"/>
    </w:pPr>
    <w:r>
      <w:rPr>
        <w:noProof/>
        <w:lang w:val="sk-SK"/>
      </w:rPr>
      <mc:AlternateContent>
        <mc:Choice Requires="wps">
          <w:drawing>
            <wp:anchor distT="0" distB="0" distL="114300" distR="114300" simplePos="0" relativeHeight="251663360" behindDoc="0" locked="0" layoutInCell="0" allowOverlap="1" wp14:anchorId="51DB6A4B" wp14:editId="6989B0D6">
              <wp:simplePos x="0" y="0"/>
              <wp:positionH relativeFrom="margin">
                <wp:align>left</wp:align>
              </wp:positionH>
              <wp:positionV relativeFrom="topMargin">
                <wp:align>center</wp:align>
              </wp:positionV>
              <wp:extent cx="6390005" cy="154940"/>
              <wp:effectExtent l="0" t="0" r="0" b="0"/>
              <wp:wrapNone/>
              <wp:docPr id="473" name="Textové pole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005" cy="15494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20"/>
                              <w:szCs w:val="20"/>
                            </w:rPr>
                            <w:alias w:val="Názov"/>
                            <w:id w:val="2039996735"/>
                            <w:dataBinding w:prefixMappings="xmlns:ns0='http://schemas.openxmlformats.org/package/2006/metadata/core-properties' xmlns:ns1='http://purl.org/dc/elements/1.1/'" w:xpath="/ns0:coreProperties[1]/ns1:title[1]" w:storeItemID="{6C3C8BC8-F283-45AE-878A-BAB7291924A1}"/>
                            <w:text/>
                          </w:sdtPr>
                          <w:sdtEndPr/>
                          <w:sdtContent>
                            <w:p w14:paraId="7F2CF709" w14:textId="16CD3A63" w:rsidR="00C708A6" w:rsidRPr="00D15E15" w:rsidRDefault="00C708A6">
                              <w:pPr>
                                <w:spacing w:after="0" w:line="240" w:lineRule="auto"/>
                                <w:rPr>
                                  <w:sz w:val="20"/>
                                  <w:szCs w:val="20"/>
                                </w:rPr>
                              </w:pPr>
                              <w:r w:rsidRPr="00D15E15">
                                <w:rPr>
                                  <w:sz w:val="20"/>
                                  <w:szCs w:val="20"/>
                                </w:rPr>
                                <w:t>Záverečný účet Bratislavského samosprávneho kraja 20</w:t>
                              </w:r>
                              <w:r>
                                <w:rPr>
                                  <w:sz w:val="20"/>
                                  <w:szCs w:val="20"/>
                                </w:rPr>
                                <w:t>20</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1DB6A4B" id="_x0000_t202" coordsize="21600,21600" o:spt="202" path="m,l,21600r21600,l21600,xe">
              <v:stroke joinstyle="miter"/>
              <v:path gradientshapeok="t" o:connecttype="rect"/>
            </v:shapetype>
            <v:shape id="Textové pole 473" o:spid="_x0000_s1028" type="#_x0000_t202" style="position:absolute;left:0;text-align:left;margin-left:0;margin-top:0;width:503.15pt;height:12.2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pj+9QEAALgDAAAOAAAAZHJzL2Uyb0RvYy54bWysU9uO0zAQfUfiHyy/0yTd7kKjpqtlV0VI&#10;y0Xa5QMcx0ksEo8Zu03KH/Ed/BhjpykVvCFeLI89PnPOmfHmduw7dlDoNJiCZ4uUM2UkVNo0Bf/y&#10;vHv1hjPnhalEB0YV/Kgcv92+fLEZbK6W0EJXKWQEYlw+2IK33ts8SZxsVS/cAqwydFkD9sJTiE1S&#10;oRgIve+SZZreJANgZRGkco5OH6ZLvo34da2k/1TXTnnWFZy4+bhiXMuwJtuNyBsUttXyREP8A4te&#10;aENFz1APwgu2R/0XVK8lgoPaLyT0CdS1lipqIDVZ+oeap1ZYFbWQOc6ebXL/D1Z+PHxGpquCr15f&#10;cWZET016VqOHw88fzEKnWLggmwbrcsp+spTvx7cwUrujZGcfQX51zMB9K0yj7hBhaJWoiGYWXiYX&#10;TyccF0DK4QNUVE3sPUSgscY+eEiuMEKndh3PLSJGTNLhzdU6TdNrziTdZder9Sr2MBH5/Nqi8+8U&#10;9CxsCo40AhFdHB6dD2xEPqeEYgZ2uutmloHYRNGP5Rh9Wc7iS6iORBthGiIaetq0gN85G2iACu6+&#10;7QUqzrr3hqSvsxVxYz4GtMHL03I+FUYSRMGlR86m4N5P87m3qJuWasw235FROx01BEcnPid7aTyi&#10;tNMoh/m7jGPW7w+3/QUAAP//AwBQSwMEFAAGAAgAAAAhADl34PraAAAABQEAAA8AAABkcnMvZG93&#10;bnJldi54bWxMj8FKw0AQhu+C77CM4M1urEE0ZlNE0INUi1H0Os2Om2B2Nma3bfr2Tr3oZWD4h//7&#10;plxMvldbGmMX2MD5LANF3ATbsTPw9np/dgUqJmSLfWAysKcIi+r4qMTChh2/0LZOTkkJxwINtCkN&#10;hdaxacljnIWBWLLPMHpMso5O2xF3Uu57Pc+yS+2xYyG0ONBdS81XvfECeX/C/XO29Kvm8fv64WPp&#10;6jx3xpyeTLc3oBJN6e8YDvqiDpU4rcOGbVS9AXkk/c5DJqQLUGsD8zwHXZX6v331AwAA//8DAFBL&#10;AQItABQABgAIAAAAIQC2gziS/gAAAOEBAAATAAAAAAAAAAAAAAAAAAAAAABbQ29udGVudF9UeXBl&#10;c10ueG1sUEsBAi0AFAAGAAgAAAAhADj9If/WAAAAlAEAAAsAAAAAAAAAAAAAAAAALwEAAF9yZWxz&#10;Ly5yZWxzUEsBAi0AFAAGAAgAAAAhABdimP71AQAAuAMAAA4AAAAAAAAAAAAAAAAALgIAAGRycy9l&#10;Mm9Eb2MueG1sUEsBAi0AFAAGAAgAAAAhADl34PraAAAABQEAAA8AAAAAAAAAAAAAAAAATwQAAGRy&#10;cy9kb3ducmV2LnhtbFBLBQYAAAAABAAEAPMAAABWBQAAAAA=&#10;" o:allowincell="f" filled="f" stroked="f">
              <v:textbox style="mso-fit-shape-to-text:t" inset=",0,,0">
                <w:txbxContent>
                  <w:sdt>
                    <w:sdtPr>
                      <w:rPr>
                        <w:sz w:val="20"/>
                        <w:szCs w:val="20"/>
                      </w:rPr>
                      <w:alias w:val="Názov"/>
                      <w:id w:val="2039996735"/>
                      <w:dataBinding w:prefixMappings="xmlns:ns0='http://schemas.openxmlformats.org/package/2006/metadata/core-properties' xmlns:ns1='http://purl.org/dc/elements/1.1/'" w:xpath="/ns0:coreProperties[1]/ns1:title[1]" w:storeItemID="{6C3C8BC8-F283-45AE-878A-BAB7291924A1}"/>
                      <w:text/>
                    </w:sdtPr>
                    <w:sdtContent>
                      <w:p w14:paraId="7F2CF709" w14:textId="16CD3A63" w:rsidR="00C708A6" w:rsidRPr="00D15E15" w:rsidRDefault="00C708A6">
                        <w:pPr>
                          <w:spacing w:after="0" w:line="240" w:lineRule="auto"/>
                          <w:rPr>
                            <w:sz w:val="20"/>
                            <w:szCs w:val="20"/>
                          </w:rPr>
                        </w:pPr>
                        <w:r w:rsidRPr="00D15E15">
                          <w:rPr>
                            <w:sz w:val="20"/>
                            <w:szCs w:val="20"/>
                          </w:rPr>
                          <w:t>Záverečný účet Bratislavského samosprávneho kraja 20</w:t>
                        </w:r>
                        <w:r>
                          <w:rPr>
                            <w:sz w:val="20"/>
                            <w:szCs w:val="20"/>
                          </w:rPr>
                          <w:t>20</w:t>
                        </w:r>
                      </w:p>
                    </w:sdtContent>
                  </w:sdt>
                </w:txbxContent>
              </v:textbox>
              <w10:wrap anchorx="margin" anchory="margin"/>
            </v:shape>
          </w:pict>
        </mc:Fallback>
      </mc:AlternateContent>
    </w:r>
    <w:r>
      <w:rPr>
        <w:noProof/>
        <w:lang w:val="sk-SK"/>
      </w:rPr>
      <mc:AlternateContent>
        <mc:Choice Requires="wps">
          <w:drawing>
            <wp:anchor distT="0" distB="0" distL="114300" distR="114300" simplePos="0" relativeHeight="251662336" behindDoc="0" locked="0" layoutInCell="0" allowOverlap="1" wp14:anchorId="6251E9AA" wp14:editId="7B7E1C7C">
              <wp:simplePos x="0" y="0"/>
              <wp:positionH relativeFrom="page">
                <wp:align>left</wp:align>
              </wp:positionH>
              <wp:positionV relativeFrom="topMargin">
                <wp:align>center</wp:align>
              </wp:positionV>
              <wp:extent cx="540385" cy="170815"/>
              <wp:effectExtent l="0" t="0" r="0" b="0"/>
              <wp:wrapNone/>
              <wp:docPr id="474" name="Textové pole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170815"/>
                      </a:xfrm>
                      <a:prstGeom prst="rect">
                        <a:avLst/>
                      </a:prstGeom>
                      <a:solidFill>
                        <a:schemeClr val="accent1"/>
                      </a:solidFill>
                    </wps:spPr>
                    <wps:txbx>
                      <w:txbxContent>
                        <w:p w14:paraId="63379A1A" w14:textId="77777777" w:rsidR="00C708A6" w:rsidRDefault="00C708A6">
                          <w:pPr>
                            <w:spacing w:after="0" w:line="240" w:lineRule="auto"/>
                            <w:jc w:val="right"/>
                            <w:rPr>
                              <w:color w:val="FFFFFF" w:themeColor="background1"/>
                            </w:rPr>
                          </w:pPr>
                          <w:r>
                            <w:fldChar w:fldCharType="begin"/>
                          </w:r>
                          <w:r>
                            <w:instrText>PAGE   \* MERGEFORMAT</w:instrText>
                          </w:r>
                          <w:r>
                            <w:fldChar w:fldCharType="separate"/>
                          </w:r>
                          <w:r w:rsidRPr="00FE5E38">
                            <w:rPr>
                              <w:noProof/>
                              <w:color w:val="FFFFFF" w:themeColor="background1"/>
                            </w:rPr>
                            <w:t>13</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6251E9AA" id="Textové pole 474" o:spid="_x0000_s1029" type="#_x0000_t202" style="position:absolute;left:0;text-align:left;margin-left:0;margin-top:0;width:42.55pt;height:13.45pt;z-index:251662336;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UoqCQIAAOMDAAAOAAAAZHJzL2Uyb0RvYy54bWysU9uO0zAQfUfiHyy/0yS7LVuipqulqyKk&#10;5SLt8gGu4zQWjseM3Sblj/iO/THGTlsKvCFeLI89PjPnzPHidugM2yv0GmzFi0nOmbISam23Ff/y&#10;tH4158wHYWthwKqKH5Tnt8uXLxa9K9UVtGBqhYxArC97V/E2BFdmmZet6oSfgFOWLhvATgQKcZvV&#10;KHpC70x2leevsx6wdghSeU+n9+MlXyb8plEyfGoarwIzFafeQloxrZu4ZsuFKLcoXKvlsQ3xD110&#10;Qlsqeoa6F0GwHeq/oDotETw0YSKhy6BptFSJA7Ep8j/YPLbCqcSFxPHuLJP/f7Dy4/4zMl1XfHoz&#10;5cyKjob0pIYA++cfzIFRLF6QTL3zJWU/OsoPw1sYaNyJsncPIL96ZmHVCrtVd4jQt0rU1GYRX2YX&#10;T0ccH0E2/QeoqZrYBUhAQ4Nd1JBUYYRO4zqcR0QdMUmHs2l+PZ9xJumquMnnxSxVEOXpsUMf3ino&#10;WNxUHMkBCVzsH3yIzYjylBJreTC6XmtjUhBdp1YG2V6QX4SUyoaRwm+ZiVDkMLIJw2ZIEl6fdNpA&#10;fSCGCKPf6H/QpgX8zllPXqu4/7YTqDgz7y2p9KaYTqM5U0AbvDzdnE6FlQRRcRmQszFYhdHKO4d6&#10;21KN00TuSNO1Tnyj+GM/x0mQk5IMR9dHq17GKevX31z+BAAA//8DAFBLAwQUAAYACAAAACEAFBB5&#10;GNwAAAADAQAADwAAAGRycy9kb3ducmV2LnhtbEyPQU/CQBCF7yb+h82YeJMtJCLWbgmYqDcj4EFu&#10;Q3dsC93Zuru05d+7csHLJC/v5b1vsvlgGtGR87VlBeNRAoK4sLrmUsHn5uVuBsIHZI2NZVJwIg/z&#10;/Poqw1TbnlfUrUMpYgn7FBVUIbSplL6oyKAf2ZY4et/WGQxRulJqh30sN42cJMlUGqw5LlTY0nNF&#10;xWF9NAq65cNp7/Y/YXjbfnzp1+3ifWN7pW5vhsUTiEBDuIThDz+iQx6ZdvbI2otGQXwknG/0Zvdj&#10;EDsFk+kjyDyT/9nzXwAAAP//AwBQSwECLQAUAAYACAAAACEAtoM4kv4AAADhAQAAEwAAAAAAAAAA&#10;AAAAAAAAAAAAW0NvbnRlbnRfVHlwZXNdLnhtbFBLAQItABQABgAIAAAAIQA4/SH/1gAAAJQBAAAL&#10;AAAAAAAAAAAAAAAAAC8BAABfcmVscy8ucmVsc1BLAQItABQABgAIAAAAIQCFtUoqCQIAAOMDAAAO&#10;AAAAAAAAAAAAAAAAAC4CAABkcnMvZTJvRG9jLnhtbFBLAQItABQABgAIAAAAIQAUEHkY3AAAAAMB&#10;AAAPAAAAAAAAAAAAAAAAAGMEAABkcnMvZG93bnJldi54bWxQSwUGAAAAAAQABADzAAAAbAUAAAAA&#10;" o:allowincell="f" fillcolor="#4f81bd [3204]" stroked="f">
              <v:textbox style="mso-fit-shape-to-text:t" inset=",0,,0">
                <w:txbxContent>
                  <w:p w14:paraId="63379A1A" w14:textId="77777777" w:rsidR="00C708A6" w:rsidRDefault="00C708A6">
                    <w:pPr>
                      <w:spacing w:after="0" w:line="240" w:lineRule="auto"/>
                      <w:jc w:val="right"/>
                      <w:rPr>
                        <w:color w:val="FFFFFF" w:themeColor="background1"/>
                      </w:rPr>
                    </w:pPr>
                    <w:r>
                      <w:fldChar w:fldCharType="begin"/>
                    </w:r>
                    <w:r>
                      <w:instrText>PAGE   \* MERGEFORMAT</w:instrText>
                    </w:r>
                    <w:r>
                      <w:fldChar w:fldCharType="separate"/>
                    </w:r>
                    <w:r w:rsidRPr="00FE5E38">
                      <w:rPr>
                        <w:noProof/>
                        <w:color w:val="FFFFFF" w:themeColor="background1"/>
                      </w:rPr>
                      <w:t>13</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6B5"/>
    <w:multiLevelType w:val="hybridMultilevel"/>
    <w:tmpl w:val="26E8F87A"/>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2791A6C"/>
    <w:multiLevelType w:val="multilevel"/>
    <w:tmpl w:val="B4188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C16774"/>
    <w:multiLevelType w:val="hybridMultilevel"/>
    <w:tmpl w:val="9716C6EE"/>
    <w:lvl w:ilvl="0" w:tplc="EE3C08D0">
      <w:start w:val="4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FB7E81"/>
    <w:multiLevelType w:val="multilevel"/>
    <w:tmpl w:val="E076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0619C5"/>
    <w:multiLevelType w:val="hybridMultilevel"/>
    <w:tmpl w:val="A4F6FBAA"/>
    <w:lvl w:ilvl="0" w:tplc="74E26C6C">
      <w:start w:val="1"/>
      <w:numFmt w:val="upperLetter"/>
      <w:pStyle w:val="tl1"/>
      <w:lvlText w:val="%1."/>
      <w:lvlJc w:val="left"/>
      <w:pPr>
        <w:ind w:left="360" w:hanging="360"/>
      </w:pPr>
      <w:rPr>
        <w:rFonts w:eastAsia="Times New Roman" w:cs="Arial" w:hint="default"/>
        <w:i/>
        <w:color w:val="auto"/>
        <w:sz w:val="36"/>
        <w:szCs w:val="36"/>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6047BD6"/>
    <w:multiLevelType w:val="hybridMultilevel"/>
    <w:tmpl w:val="4BC2DA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A2124F"/>
    <w:multiLevelType w:val="multilevel"/>
    <w:tmpl w:val="3060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E46789"/>
    <w:multiLevelType w:val="hybridMultilevel"/>
    <w:tmpl w:val="89283922"/>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15412472"/>
    <w:multiLevelType w:val="multilevel"/>
    <w:tmpl w:val="D4E2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71382A"/>
    <w:multiLevelType w:val="hybridMultilevel"/>
    <w:tmpl w:val="66E026DA"/>
    <w:lvl w:ilvl="0" w:tplc="93882DE8">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AED2F8D"/>
    <w:multiLevelType w:val="hybridMultilevel"/>
    <w:tmpl w:val="DE2E47D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 w15:restartNumberingAfterBreak="0">
    <w:nsid w:val="1B9F6103"/>
    <w:multiLevelType w:val="hybridMultilevel"/>
    <w:tmpl w:val="3A342D18"/>
    <w:lvl w:ilvl="0" w:tplc="01F0D75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19B702E"/>
    <w:multiLevelType w:val="hybridMultilevel"/>
    <w:tmpl w:val="61CEB5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355390"/>
    <w:multiLevelType w:val="hybridMultilevel"/>
    <w:tmpl w:val="C5E47392"/>
    <w:lvl w:ilvl="0" w:tplc="A0149D58">
      <w:start w:val="1"/>
      <w:numFmt w:val="bullet"/>
      <w:lvlText w:val="-"/>
      <w:lvlJc w:val="left"/>
      <w:pPr>
        <w:ind w:left="720" w:hanging="360"/>
      </w:pPr>
      <w:rPr>
        <w:rFonts w:ascii="Calibri" w:eastAsia="Times New Roman" w:hAnsi="Calibri" w:hint="default"/>
        <w:b w:val="0"/>
        <w:u w:val="none"/>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CB35FE"/>
    <w:multiLevelType w:val="hybridMultilevel"/>
    <w:tmpl w:val="3A1A544A"/>
    <w:lvl w:ilvl="0" w:tplc="041B0001">
      <w:start w:val="1"/>
      <w:numFmt w:val="bullet"/>
      <w:lvlText w:val=""/>
      <w:lvlJc w:val="left"/>
      <w:pPr>
        <w:ind w:left="781" w:hanging="360"/>
      </w:pPr>
      <w:rPr>
        <w:rFonts w:ascii="Symbol" w:hAnsi="Symbol" w:hint="default"/>
      </w:rPr>
    </w:lvl>
    <w:lvl w:ilvl="1" w:tplc="041B0003" w:tentative="1">
      <w:start w:val="1"/>
      <w:numFmt w:val="bullet"/>
      <w:lvlText w:val="o"/>
      <w:lvlJc w:val="left"/>
      <w:pPr>
        <w:ind w:left="1501" w:hanging="360"/>
      </w:pPr>
      <w:rPr>
        <w:rFonts w:ascii="Courier New" w:hAnsi="Courier New" w:cs="Courier New" w:hint="default"/>
      </w:rPr>
    </w:lvl>
    <w:lvl w:ilvl="2" w:tplc="041B0005" w:tentative="1">
      <w:start w:val="1"/>
      <w:numFmt w:val="bullet"/>
      <w:lvlText w:val=""/>
      <w:lvlJc w:val="left"/>
      <w:pPr>
        <w:ind w:left="2221" w:hanging="360"/>
      </w:pPr>
      <w:rPr>
        <w:rFonts w:ascii="Wingdings" w:hAnsi="Wingdings" w:hint="default"/>
      </w:rPr>
    </w:lvl>
    <w:lvl w:ilvl="3" w:tplc="041B0001" w:tentative="1">
      <w:start w:val="1"/>
      <w:numFmt w:val="bullet"/>
      <w:lvlText w:val=""/>
      <w:lvlJc w:val="left"/>
      <w:pPr>
        <w:ind w:left="2941" w:hanging="360"/>
      </w:pPr>
      <w:rPr>
        <w:rFonts w:ascii="Symbol" w:hAnsi="Symbol" w:hint="default"/>
      </w:rPr>
    </w:lvl>
    <w:lvl w:ilvl="4" w:tplc="041B0003" w:tentative="1">
      <w:start w:val="1"/>
      <w:numFmt w:val="bullet"/>
      <w:lvlText w:val="o"/>
      <w:lvlJc w:val="left"/>
      <w:pPr>
        <w:ind w:left="3661" w:hanging="360"/>
      </w:pPr>
      <w:rPr>
        <w:rFonts w:ascii="Courier New" w:hAnsi="Courier New" w:cs="Courier New" w:hint="default"/>
      </w:rPr>
    </w:lvl>
    <w:lvl w:ilvl="5" w:tplc="041B0005" w:tentative="1">
      <w:start w:val="1"/>
      <w:numFmt w:val="bullet"/>
      <w:lvlText w:val=""/>
      <w:lvlJc w:val="left"/>
      <w:pPr>
        <w:ind w:left="4381" w:hanging="360"/>
      </w:pPr>
      <w:rPr>
        <w:rFonts w:ascii="Wingdings" w:hAnsi="Wingdings" w:hint="default"/>
      </w:rPr>
    </w:lvl>
    <w:lvl w:ilvl="6" w:tplc="041B0001" w:tentative="1">
      <w:start w:val="1"/>
      <w:numFmt w:val="bullet"/>
      <w:lvlText w:val=""/>
      <w:lvlJc w:val="left"/>
      <w:pPr>
        <w:ind w:left="5101" w:hanging="360"/>
      </w:pPr>
      <w:rPr>
        <w:rFonts w:ascii="Symbol" w:hAnsi="Symbol" w:hint="default"/>
      </w:rPr>
    </w:lvl>
    <w:lvl w:ilvl="7" w:tplc="041B0003" w:tentative="1">
      <w:start w:val="1"/>
      <w:numFmt w:val="bullet"/>
      <w:lvlText w:val="o"/>
      <w:lvlJc w:val="left"/>
      <w:pPr>
        <w:ind w:left="5821" w:hanging="360"/>
      </w:pPr>
      <w:rPr>
        <w:rFonts w:ascii="Courier New" w:hAnsi="Courier New" w:cs="Courier New" w:hint="default"/>
      </w:rPr>
    </w:lvl>
    <w:lvl w:ilvl="8" w:tplc="041B0005" w:tentative="1">
      <w:start w:val="1"/>
      <w:numFmt w:val="bullet"/>
      <w:lvlText w:val=""/>
      <w:lvlJc w:val="left"/>
      <w:pPr>
        <w:ind w:left="6541" w:hanging="360"/>
      </w:pPr>
      <w:rPr>
        <w:rFonts w:ascii="Wingdings" w:hAnsi="Wingdings" w:hint="default"/>
      </w:rPr>
    </w:lvl>
  </w:abstractNum>
  <w:abstractNum w:abstractNumId="15" w15:restartNumberingAfterBreak="0">
    <w:nsid w:val="32471828"/>
    <w:multiLevelType w:val="hybridMultilevel"/>
    <w:tmpl w:val="D3A4F83A"/>
    <w:lvl w:ilvl="0" w:tplc="041B000B">
      <w:start w:val="1"/>
      <w:numFmt w:val="bullet"/>
      <w:lvlText w:val=""/>
      <w:lvlJc w:val="left"/>
      <w:pPr>
        <w:ind w:left="1210" w:hanging="360"/>
      </w:pPr>
      <w:rPr>
        <w:rFonts w:ascii="Wingdings" w:hAnsi="Wingdings" w:hint="default"/>
      </w:rPr>
    </w:lvl>
    <w:lvl w:ilvl="1" w:tplc="041B0003" w:tentative="1">
      <w:start w:val="1"/>
      <w:numFmt w:val="bullet"/>
      <w:lvlText w:val="o"/>
      <w:lvlJc w:val="left"/>
      <w:pPr>
        <w:ind w:left="1930" w:hanging="360"/>
      </w:pPr>
      <w:rPr>
        <w:rFonts w:ascii="Courier New" w:hAnsi="Courier New" w:cs="Courier New" w:hint="default"/>
      </w:rPr>
    </w:lvl>
    <w:lvl w:ilvl="2" w:tplc="041B0005" w:tentative="1">
      <w:start w:val="1"/>
      <w:numFmt w:val="bullet"/>
      <w:lvlText w:val=""/>
      <w:lvlJc w:val="left"/>
      <w:pPr>
        <w:ind w:left="2650" w:hanging="360"/>
      </w:pPr>
      <w:rPr>
        <w:rFonts w:ascii="Wingdings" w:hAnsi="Wingdings" w:hint="default"/>
      </w:rPr>
    </w:lvl>
    <w:lvl w:ilvl="3" w:tplc="041B0001" w:tentative="1">
      <w:start w:val="1"/>
      <w:numFmt w:val="bullet"/>
      <w:lvlText w:val=""/>
      <w:lvlJc w:val="left"/>
      <w:pPr>
        <w:ind w:left="3370" w:hanging="360"/>
      </w:pPr>
      <w:rPr>
        <w:rFonts w:ascii="Symbol" w:hAnsi="Symbol" w:hint="default"/>
      </w:rPr>
    </w:lvl>
    <w:lvl w:ilvl="4" w:tplc="041B0003" w:tentative="1">
      <w:start w:val="1"/>
      <w:numFmt w:val="bullet"/>
      <w:lvlText w:val="o"/>
      <w:lvlJc w:val="left"/>
      <w:pPr>
        <w:ind w:left="4090" w:hanging="360"/>
      </w:pPr>
      <w:rPr>
        <w:rFonts w:ascii="Courier New" w:hAnsi="Courier New" w:cs="Courier New" w:hint="default"/>
      </w:rPr>
    </w:lvl>
    <w:lvl w:ilvl="5" w:tplc="041B0005" w:tentative="1">
      <w:start w:val="1"/>
      <w:numFmt w:val="bullet"/>
      <w:lvlText w:val=""/>
      <w:lvlJc w:val="left"/>
      <w:pPr>
        <w:ind w:left="4810" w:hanging="360"/>
      </w:pPr>
      <w:rPr>
        <w:rFonts w:ascii="Wingdings" w:hAnsi="Wingdings" w:hint="default"/>
      </w:rPr>
    </w:lvl>
    <w:lvl w:ilvl="6" w:tplc="041B0001" w:tentative="1">
      <w:start w:val="1"/>
      <w:numFmt w:val="bullet"/>
      <w:lvlText w:val=""/>
      <w:lvlJc w:val="left"/>
      <w:pPr>
        <w:ind w:left="5530" w:hanging="360"/>
      </w:pPr>
      <w:rPr>
        <w:rFonts w:ascii="Symbol" w:hAnsi="Symbol" w:hint="default"/>
      </w:rPr>
    </w:lvl>
    <w:lvl w:ilvl="7" w:tplc="041B0003" w:tentative="1">
      <w:start w:val="1"/>
      <w:numFmt w:val="bullet"/>
      <w:lvlText w:val="o"/>
      <w:lvlJc w:val="left"/>
      <w:pPr>
        <w:ind w:left="6250" w:hanging="360"/>
      </w:pPr>
      <w:rPr>
        <w:rFonts w:ascii="Courier New" w:hAnsi="Courier New" w:cs="Courier New" w:hint="default"/>
      </w:rPr>
    </w:lvl>
    <w:lvl w:ilvl="8" w:tplc="041B0005" w:tentative="1">
      <w:start w:val="1"/>
      <w:numFmt w:val="bullet"/>
      <w:lvlText w:val=""/>
      <w:lvlJc w:val="left"/>
      <w:pPr>
        <w:ind w:left="6970" w:hanging="360"/>
      </w:pPr>
      <w:rPr>
        <w:rFonts w:ascii="Wingdings" w:hAnsi="Wingdings" w:hint="default"/>
      </w:rPr>
    </w:lvl>
  </w:abstractNum>
  <w:abstractNum w:abstractNumId="16" w15:restartNumberingAfterBreak="0">
    <w:nsid w:val="332D780E"/>
    <w:multiLevelType w:val="hybridMultilevel"/>
    <w:tmpl w:val="FE6616B0"/>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17" w15:restartNumberingAfterBreak="0">
    <w:nsid w:val="35AD6256"/>
    <w:multiLevelType w:val="hybridMultilevel"/>
    <w:tmpl w:val="94F271B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8" w15:restartNumberingAfterBreak="0">
    <w:nsid w:val="35E41BC1"/>
    <w:multiLevelType w:val="hybridMultilevel"/>
    <w:tmpl w:val="1A465A86"/>
    <w:lvl w:ilvl="0" w:tplc="CB6A42E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4E45B9"/>
    <w:multiLevelType w:val="hybridMultilevel"/>
    <w:tmpl w:val="D8D4C720"/>
    <w:lvl w:ilvl="0" w:tplc="2EDAAE3C">
      <w:start w:val="83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E1A2FE9"/>
    <w:multiLevelType w:val="hybridMultilevel"/>
    <w:tmpl w:val="8AB4AEC8"/>
    <w:lvl w:ilvl="0" w:tplc="42A62764">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480E11BF"/>
    <w:multiLevelType w:val="hybridMultilevel"/>
    <w:tmpl w:val="1936AFE2"/>
    <w:lvl w:ilvl="0" w:tplc="041B0001">
      <w:start w:val="1"/>
      <w:numFmt w:val="bullet"/>
      <w:lvlText w:val=""/>
      <w:lvlJc w:val="left"/>
      <w:pPr>
        <w:ind w:left="1470" w:hanging="360"/>
      </w:pPr>
      <w:rPr>
        <w:rFonts w:ascii="Symbol" w:hAnsi="Symbol" w:hint="default"/>
      </w:rPr>
    </w:lvl>
    <w:lvl w:ilvl="1" w:tplc="041B0003" w:tentative="1">
      <w:start w:val="1"/>
      <w:numFmt w:val="bullet"/>
      <w:lvlText w:val="o"/>
      <w:lvlJc w:val="left"/>
      <w:pPr>
        <w:ind w:left="2190" w:hanging="360"/>
      </w:pPr>
      <w:rPr>
        <w:rFonts w:ascii="Courier New" w:hAnsi="Courier New" w:cs="Courier New" w:hint="default"/>
      </w:rPr>
    </w:lvl>
    <w:lvl w:ilvl="2" w:tplc="041B0005" w:tentative="1">
      <w:start w:val="1"/>
      <w:numFmt w:val="bullet"/>
      <w:lvlText w:val=""/>
      <w:lvlJc w:val="left"/>
      <w:pPr>
        <w:ind w:left="2910" w:hanging="360"/>
      </w:pPr>
      <w:rPr>
        <w:rFonts w:ascii="Wingdings" w:hAnsi="Wingdings" w:hint="default"/>
      </w:rPr>
    </w:lvl>
    <w:lvl w:ilvl="3" w:tplc="041B0001" w:tentative="1">
      <w:start w:val="1"/>
      <w:numFmt w:val="bullet"/>
      <w:lvlText w:val=""/>
      <w:lvlJc w:val="left"/>
      <w:pPr>
        <w:ind w:left="3630" w:hanging="360"/>
      </w:pPr>
      <w:rPr>
        <w:rFonts w:ascii="Symbol" w:hAnsi="Symbol" w:hint="default"/>
      </w:rPr>
    </w:lvl>
    <w:lvl w:ilvl="4" w:tplc="041B0003" w:tentative="1">
      <w:start w:val="1"/>
      <w:numFmt w:val="bullet"/>
      <w:lvlText w:val="o"/>
      <w:lvlJc w:val="left"/>
      <w:pPr>
        <w:ind w:left="4350" w:hanging="360"/>
      </w:pPr>
      <w:rPr>
        <w:rFonts w:ascii="Courier New" w:hAnsi="Courier New" w:cs="Courier New" w:hint="default"/>
      </w:rPr>
    </w:lvl>
    <w:lvl w:ilvl="5" w:tplc="041B0005" w:tentative="1">
      <w:start w:val="1"/>
      <w:numFmt w:val="bullet"/>
      <w:lvlText w:val=""/>
      <w:lvlJc w:val="left"/>
      <w:pPr>
        <w:ind w:left="5070" w:hanging="360"/>
      </w:pPr>
      <w:rPr>
        <w:rFonts w:ascii="Wingdings" w:hAnsi="Wingdings" w:hint="default"/>
      </w:rPr>
    </w:lvl>
    <w:lvl w:ilvl="6" w:tplc="041B0001" w:tentative="1">
      <w:start w:val="1"/>
      <w:numFmt w:val="bullet"/>
      <w:lvlText w:val=""/>
      <w:lvlJc w:val="left"/>
      <w:pPr>
        <w:ind w:left="5790" w:hanging="360"/>
      </w:pPr>
      <w:rPr>
        <w:rFonts w:ascii="Symbol" w:hAnsi="Symbol" w:hint="default"/>
      </w:rPr>
    </w:lvl>
    <w:lvl w:ilvl="7" w:tplc="041B0003" w:tentative="1">
      <w:start w:val="1"/>
      <w:numFmt w:val="bullet"/>
      <w:lvlText w:val="o"/>
      <w:lvlJc w:val="left"/>
      <w:pPr>
        <w:ind w:left="6510" w:hanging="360"/>
      </w:pPr>
      <w:rPr>
        <w:rFonts w:ascii="Courier New" w:hAnsi="Courier New" w:cs="Courier New" w:hint="default"/>
      </w:rPr>
    </w:lvl>
    <w:lvl w:ilvl="8" w:tplc="041B0005" w:tentative="1">
      <w:start w:val="1"/>
      <w:numFmt w:val="bullet"/>
      <w:lvlText w:val=""/>
      <w:lvlJc w:val="left"/>
      <w:pPr>
        <w:ind w:left="7230" w:hanging="360"/>
      </w:pPr>
      <w:rPr>
        <w:rFonts w:ascii="Wingdings" w:hAnsi="Wingdings" w:hint="default"/>
      </w:rPr>
    </w:lvl>
  </w:abstractNum>
  <w:abstractNum w:abstractNumId="22" w15:restartNumberingAfterBreak="0">
    <w:nsid w:val="4C5F0F79"/>
    <w:multiLevelType w:val="hybridMultilevel"/>
    <w:tmpl w:val="A94AFD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C7E3A97"/>
    <w:multiLevelType w:val="hybridMultilevel"/>
    <w:tmpl w:val="CA62B5EA"/>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15:restartNumberingAfterBreak="0">
    <w:nsid w:val="4F2E6E1A"/>
    <w:multiLevelType w:val="hybridMultilevel"/>
    <w:tmpl w:val="2F80A938"/>
    <w:lvl w:ilvl="0" w:tplc="25382B78">
      <w:start w:val="2"/>
      <w:numFmt w:val="bullet"/>
      <w:lvlText w:val="-"/>
      <w:lvlJc w:val="left"/>
      <w:pPr>
        <w:ind w:left="720" w:hanging="360"/>
      </w:pPr>
      <w:rPr>
        <w:rFonts w:ascii="Calibri" w:eastAsia="Times New Roman" w:hAnsi="Calibri" w:cs="Calibri"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2FA1765"/>
    <w:multiLevelType w:val="hybridMultilevel"/>
    <w:tmpl w:val="79EA80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37C0060"/>
    <w:multiLevelType w:val="hybridMultilevel"/>
    <w:tmpl w:val="350A490A"/>
    <w:lvl w:ilvl="0" w:tplc="2E3C1D16">
      <w:start w:val="268"/>
      <w:numFmt w:val="decimal"/>
      <w:lvlText w:val="%1"/>
      <w:lvlJc w:val="left"/>
      <w:pPr>
        <w:ind w:left="720" w:hanging="360"/>
      </w:pPr>
      <w:rPr>
        <w:rFonts w:hint="default"/>
        <w:b/>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AB0C19"/>
    <w:multiLevelType w:val="hybridMultilevel"/>
    <w:tmpl w:val="48705112"/>
    <w:lvl w:ilvl="0" w:tplc="877AC7D8">
      <w:start w:val="40"/>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5C85313E"/>
    <w:multiLevelType w:val="hybridMultilevel"/>
    <w:tmpl w:val="A56CC228"/>
    <w:lvl w:ilvl="0" w:tplc="041B0001">
      <w:start w:val="1"/>
      <w:numFmt w:val="bullet"/>
      <w:lvlText w:val=""/>
      <w:lvlJc w:val="left"/>
      <w:pPr>
        <w:ind w:left="1470" w:hanging="360"/>
      </w:pPr>
      <w:rPr>
        <w:rFonts w:ascii="Symbol" w:hAnsi="Symbol" w:hint="default"/>
      </w:rPr>
    </w:lvl>
    <w:lvl w:ilvl="1" w:tplc="041B0003" w:tentative="1">
      <w:start w:val="1"/>
      <w:numFmt w:val="bullet"/>
      <w:lvlText w:val="o"/>
      <w:lvlJc w:val="left"/>
      <w:pPr>
        <w:ind w:left="2190" w:hanging="360"/>
      </w:pPr>
      <w:rPr>
        <w:rFonts w:ascii="Courier New" w:hAnsi="Courier New" w:cs="Courier New" w:hint="default"/>
      </w:rPr>
    </w:lvl>
    <w:lvl w:ilvl="2" w:tplc="041B0005" w:tentative="1">
      <w:start w:val="1"/>
      <w:numFmt w:val="bullet"/>
      <w:lvlText w:val=""/>
      <w:lvlJc w:val="left"/>
      <w:pPr>
        <w:ind w:left="2910" w:hanging="360"/>
      </w:pPr>
      <w:rPr>
        <w:rFonts w:ascii="Wingdings" w:hAnsi="Wingdings" w:hint="default"/>
      </w:rPr>
    </w:lvl>
    <w:lvl w:ilvl="3" w:tplc="041B0001" w:tentative="1">
      <w:start w:val="1"/>
      <w:numFmt w:val="bullet"/>
      <w:lvlText w:val=""/>
      <w:lvlJc w:val="left"/>
      <w:pPr>
        <w:ind w:left="3630" w:hanging="360"/>
      </w:pPr>
      <w:rPr>
        <w:rFonts w:ascii="Symbol" w:hAnsi="Symbol" w:hint="default"/>
      </w:rPr>
    </w:lvl>
    <w:lvl w:ilvl="4" w:tplc="041B0003" w:tentative="1">
      <w:start w:val="1"/>
      <w:numFmt w:val="bullet"/>
      <w:lvlText w:val="o"/>
      <w:lvlJc w:val="left"/>
      <w:pPr>
        <w:ind w:left="4350" w:hanging="360"/>
      </w:pPr>
      <w:rPr>
        <w:rFonts w:ascii="Courier New" w:hAnsi="Courier New" w:cs="Courier New" w:hint="default"/>
      </w:rPr>
    </w:lvl>
    <w:lvl w:ilvl="5" w:tplc="041B0005" w:tentative="1">
      <w:start w:val="1"/>
      <w:numFmt w:val="bullet"/>
      <w:lvlText w:val=""/>
      <w:lvlJc w:val="left"/>
      <w:pPr>
        <w:ind w:left="5070" w:hanging="360"/>
      </w:pPr>
      <w:rPr>
        <w:rFonts w:ascii="Wingdings" w:hAnsi="Wingdings" w:hint="default"/>
      </w:rPr>
    </w:lvl>
    <w:lvl w:ilvl="6" w:tplc="041B0001" w:tentative="1">
      <w:start w:val="1"/>
      <w:numFmt w:val="bullet"/>
      <w:lvlText w:val=""/>
      <w:lvlJc w:val="left"/>
      <w:pPr>
        <w:ind w:left="5790" w:hanging="360"/>
      </w:pPr>
      <w:rPr>
        <w:rFonts w:ascii="Symbol" w:hAnsi="Symbol" w:hint="default"/>
      </w:rPr>
    </w:lvl>
    <w:lvl w:ilvl="7" w:tplc="041B0003" w:tentative="1">
      <w:start w:val="1"/>
      <w:numFmt w:val="bullet"/>
      <w:lvlText w:val="o"/>
      <w:lvlJc w:val="left"/>
      <w:pPr>
        <w:ind w:left="6510" w:hanging="360"/>
      </w:pPr>
      <w:rPr>
        <w:rFonts w:ascii="Courier New" w:hAnsi="Courier New" w:cs="Courier New" w:hint="default"/>
      </w:rPr>
    </w:lvl>
    <w:lvl w:ilvl="8" w:tplc="041B0005" w:tentative="1">
      <w:start w:val="1"/>
      <w:numFmt w:val="bullet"/>
      <w:lvlText w:val=""/>
      <w:lvlJc w:val="left"/>
      <w:pPr>
        <w:ind w:left="7230" w:hanging="360"/>
      </w:pPr>
      <w:rPr>
        <w:rFonts w:ascii="Wingdings" w:hAnsi="Wingdings" w:hint="default"/>
      </w:rPr>
    </w:lvl>
  </w:abstractNum>
  <w:abstractNum w:abstractNumId="29" w15:restartNumberingAfterBreak="0">
    <w:nsid w:val="5CC8330C"/>
    <w:multiLevelType w:val="hybridMultilevel"/>
    <w:tmpl w:val="1108E714"/>
    <w:lvl w:ilvl="0" w:tplc="041B000B">
      <w:start w:val="1"/>
      <w:numFmt w:val="bullet"/>
      <w:lvlText w:val=""/>
      <w:lvlJc w:val="left"/>
      <w:pPr>
        <w:ind w:left="1210" w:hanging="360"/>
      </w:pPr>
      <w:rPr>
        <w:rFonts w:ascii="Wingdings" w:hAnsi="Wingdings" w:hint="default"/>
      </w:rPr>
    </w:lvl>
    <w:lvl w:ilvl="1" w:tplc="041B0003" w:tentative="1">
      <w:start w:val="1"/>
      <w:numFmt w:val="bullet"/>
      <w:lvlText w:val="o"/>
      <w:lvlJc w:val="left"/>
      <w:pPr>
        <w:ind w:left="1930" w:hanging="360"/>
      </w:pPr>
      <w:rPr>
        <w:rFonts w:ascii="Courier New" w:hAnsi="Courier New" w:cs="Courier New" w:hint="default"/>
      </w:rPr>
    </w:lvl>
    <w:lvl w:ilvl="2" w:tplc="041B0005" w:tentative="1">
      <w:start w:val="1"/>
      <w:numFmt w:val="bullet"/>
      <w:lvlText w:val=""/>
      <w:lvlJc w:val="left"/>
      <w:pPr>
        <w:ind w:left="2650" w:hanging="360"/>
      </w:pPr>
      <w:rPr>
        <w:rFonts w:ascii="Wingdings" w:hAnsi="Wingdings" w:hint="default"/>
      </w:rPr>
    </w:lvl>
    <w:lvl w:ilvl="3" w:tplc="041B0001" w:tentative="1">
      <w:start w:val="1"/>
      <w:numFmt w:val="bullet"/>
      <w:lvlText w:val=""/>
      <w:lvlJc w:val="left"/>
      <w:pPr>
        <w:ind w:left="3370" w:hanging="360"/>
      </w:pPr>
      <w:rPr>
        <w:rFonts w:ascii="Symbol" w:hAnsi="Symbol" w:hint="default"/>
      </w:rPr>
    </w:lvl>
    <w:lvl w:ilvl="4" w:tplc="041B0003" w:tentative="1">
      <w:start w:val="1"/>
      <w:numFmt w:val="bullet"/>
      <w:lvlText w:val="o"/>
      <w:lvlJc w:val="left"/>
      <w:pPr>
        <w:ind w:left="4090" w:hanging="360"/>
      </w:pPr>
      <w:rPr>
        <w:rFonts w:ascii="Courier New" w:hAnsi="Courier New" w:cs="Courier New" w:hint="default"/>
      </w:rPr>
    </w:lvl>
    <w:lvl w:ilvl="5" w:tplc="041B0005" w:tentative="1">
      <w:start w:val="1"/>
      <w:numFmt w:val="bullet"/>
      <w:lvlText w:val=""/>
      <w:lvlJc w:val="left"/>
      <w:pPr>
        <w:ind w:left="4810" w:hanging="360"/>
      </w:pPr>
      <w:rPr>
        <w:rFonts w:ascii="Wingdings" w:hAnsi="Wingdings" w:hint="default"/>
      </w:rPr>
    </w:lvl>
    <w:lvl w:ilvl="6" w:tplc="041B0001" w:tentative="1">
      <w:start w:val="1"/>
      <w:numFmt w:val="bullet"/>
      <w:lvlText w:val=""/>
      <w:lvlJc w:val="left"/>
      <w:pPr>
        <w:ind w:left="5530" w:hanging="360"/>
      </w:pPr>
      <w:rPr>
        <w:rFonts w:ascii="Symbol" w:hAnsi="Symbol" w:hint="default"/>
      </w:rPr>
    </w:lvl>
    <w:lvl w:ilvl="7" w:tplc="041B0003" w:tentative="1">
      <w:start w:val="1"/>
      <w:numFmt w:val="bullet"/>
      <w:lvlText w:val="o"/>
      <w:lvlJc w:val="left"/>
      <w:pPr>
        <w:ind w:left="6250" w:hanging="360"/>
      </w:pPr>
      <w:rPr>
        <w:rFonts w:ascii="Courier New" w:hAnsi="Courier New" w:cs="Courier New" w:hint="default"/>
      </w:rPr>
    </w:lvl>
    <w:lvl w:ilvl="8" w:tplc="041B0005" w:tentative="1">
      <w:start w:val="1"/>
      <w:numFmt w:val="bullet"/>
      <w:lvlText w:val=""/>
      <w:lvlJc w:val="left"/>
      <w:pPr>
        <w:ind w:left="6970" w:hanging="360"/>
      </w:pPr>
      <w:rPr>
        <w:rFonts w:ascii="Wingdings" w:hAnsi="Wingdings" w:hint="default"/>
      </w:rPr>
    </w:lvl>
  </w:abstractNum>
  <w:abstractNum w:abstractNumId="30" w15:restartNumberingAfterBreak="0">
    <w:nsid w:val="63B31302"/>
    <w:multiLevelType w:val="multilevel"/>
    <w:tmpl w:val="F1DE5B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45847FE"/>
    <w:multiLevelType w:val="hybridMultilevel"/>
    <w:tmpl w:val="3F3C2D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5912848"/>
    <w:multiLevelType w:val="hybridMultilevel"/>
    <w:tmpl w:val="6E122358"/>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15:restartNumberingAfterBreak="0">
    <w:nsid w:val="67D521C5"/>
    <w:multiLevelType w:val="hybridMultilevel"/>
    <w:tmpl w:val="83FA6CEA"/>
    <w:lvl w:ilvl="0" w:tplc="041B000B">
      <w:start w:val="1"/>
      <w:numFmt w:val="bullet"/>
      <w:lvlText w:val=""/>
      <w:lvlJc w:val="left"/>
      <w:pPr>
        <w:ind w:left="1068" w:hanging="360"/>
      </w:pPr>
      <w:rPr>
        <w:rFonts w:ascii="Wingdings" w:hAnsi="Wingding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4" w15:restartNumberingAfterBreak="0">
    <w:nsid w:val="696E77F8"/>
    <w:multiLevelType w:val="hybridMultilevel"/>
    <w:tmpl w:val="568A5B6C"/>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15:restartNumberingAfterBreak="0">
    <w:nsid w:val="69B17459"/>
    <w:multiLevelType w:val="multilevel"/>
    <w:tmpl w:val="865AA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6273D0"/>
    <w:multiLevelType w:val="hybridMultilevel"/>
    <w:tmpl w:val="ADB47326"/>
    <w:lvl w:ilvl="0" w:tplc="0B94A6E8">
      <w:start w:val="10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17901C7"/>
    <w:multiLevelType w:val="hybridMultilevel"/>
    <w:tmpl w:val="15187C16"/>
    <w:lvl w:ilvl="0" w:tplc="AA5C3C48">
      <w:start w:val="3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735E6A"/>
    <w:multiLevelType w:val="hybridMultilevel"/>
    <w:tmpl w:val="BAAA7DD8"/>
    <w:lvl w:ilvl="0" w:tplc="041B0001">
      <w:start w:val="1"/>
      <w:numFmt w:val="bullet"/>
      <w:lvlText w:val=""/>
      <w:lvlJc w:val="left"/>
      <w:pPr>
        <w:ind w:left="767" w:hanging="360"/>
      </w:pPr>
      <w:rPr>
        <w:rFonts w:ascii="Symbol" w:hAnsi="Symbol" w:hint="default"/>
      </w:rPr>
    </w:lvl>
    <w:lvl w:ilvl="1" w:tplc="041B0003" w:tentative="1">
      <w:start w:val="1"/>
      <w:numFmt w:val="bullet"/>
      <w:lvlText w:val="o"/>
      <w:lvlJc w:val="left"/>
      <w:pPr>
        <w:ind w:left="1487" w:hanging="360"/>
      </w:pPr>
      <w:rPr>
        <w:rFonts w:ascii="Courier New" w:hAnsi="Courier New" w:cs="Courier New" w:hint="default"/>
      </w:rPr>
    </w:lvl>
    <w:lvl w:ilvl="2" w:tplc="041B0005" w:tentative="1">
      <w:start w:val="1"/>
      <w:numFmt w:val="bullet"/>
      <w:lvlText w:val=""/>
      <w:lvlJc w:val="left"/>
      <w:pPr>
        <w:ind w:left="2207" w:hanging="360"/>
      </w:pPr>
      <w:rPr>
        <w:rFonts w:ascii="Wingdings" w:hAnsi="Wingdings" w:hint="default"/>
      </w:rPr>
    </w:lvl>
    <w:lvl w:ilvl="3" w:tplc="041B0001" w:tentative="1">
      <w:start w:val="1"/>
      <w:numFmt w:val="bullet"/>
      <w:lvlText w:val=""/>
      <w:lvlJc w:val="left"/>
      <w:pPr>
        <w:ind w:left="2927" w:hanging="360"/>
      </w:pPr>
      <w:rPr>
        <w:rFonts w:ascii="Symbol" w:hAnsi="Symbol" w:hint="default"/>
      </w:rPr>
    </w:lvl>
    <w:lvl w:ilvl="4" w:tplc="041B0003" w:tentative="1">
      <w:start w:val="1"/>
      <w:numFmt w:val="bullet"/>
      <w:lvlText w:val="o"/>
      <w:lvlJc w:val="left"/>
      <w:pPr>
        <w:ind w:left="3647" w:hanging="360"/>
      </w:pPr>
      <w:rPr>
        <w:rFonts w:ascii="Courier New" w:hAnsi="Courier New" w:cs="Courier New" w:hint="default"/>
      </w:rPr>
    </w:lvl>
    <w:lvl w:ilvl="5" w:tplc="041B0005" w:tentative="1">
      <w:start w:val="1"/>
      <w:numFmt w:val="bullet"/>
      <w:lvlText w:val=""/>
      <w:lvlJc w:val="left"/>
      <w:pPr>
        <w:ind w:left="4367" w:hanging="360"/>
      </w:pPr>
      <w:rPr>
        <w:rFonts w:ascii="Wingdings" w:hAnsi="Wingdings" w:hint="default"/>
      </w:rPr>
    </w:lvl>
    <w:lvl w:ilvl="6" w:tplc="041B0001" w:tentative="1">
      <w:start w:val="1"/>
      <w:numFmt w:val="bullet"/>
      <w:lvlText w:val=""/>
      <w:lvlJc w:val="left"/>
      <w:pPr>
        <w:ind w:left="5087" w:hanging="360"/>
      </w:pPr>
      <w:rPr>
        <w:rFonts w:ascii="Symbol" w:hAnsi="Symbol" w:hint="default"/>
      </w:rPr>
    </w:lvl>
    <w:lvl w:ilvl="7" w:tplc="041B0003" w:tentative="1">
      <w:start w:val="1"/>
      <w:numFmt w:val="bullet"/>
      <w:lvlText w:val="o"/>
      <w:lvlJc w:val="left"/>
      <w:pPr>
        <w:ind w:left="5807" w:hanging="360"/>
      </w:pPr>
      <w:rPr>
        <w:rFonts w:ascii="Courier New" w:hAnsi="Courier New" w:cs="Courier New" w:hint="default"/>
      </w:rPr>
    </w:lvl>
    <w:lvl w:ilvl="8" w:tplc="041B0005" w:tentative="1">
      <w:start w:val="1"/>
      <w:numFmt w:val="bullet"/>
      <w:lvlText w:val=""/>
      <w:lvlJc w:val="left"/>
      <w:pPr>
        <w:ind w:left="6527" w:hanging="360"/>
      </w:pPr>
      <w:rPr>
        <w:rFonts w:ascii="Wingdings" w:hAnsi="Wingdings" w:hint="default"/>
      </w:rPr>
    </w:lvl>
  </w:abstractNum>
  <w:abstractNum w:abstractNumId="39" w15:restartNumberingAfterBreak="0">
    <w:nsid w:val="74E301C5"/>
    <w:multiLevelType w:val="hybridMultilevel"/>
    <w:tmpl w:val="26AE4A96"/>
    <w:lvl w:ilvl="0" w:tplc="041B0015">
      <w:start w:val="4"/>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6E1572F"/>
    <w:multiLevelType w:val="hybridMultilevel"/>
    <w:tmpl w:val="DC58C08C"/>
    <w:lvl w:ilvl="0" w:tplc="3D58D78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74D19F3"/>
    <w:multiLevelType w:val="hybridMultilevel"/>
    <w:tmpl w:val="019AA9DE"/>
    <w:lvl w:ilvl="0" w:tplc="F55A16F4">
      <w:start w:val="1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8273F4C"/>
    <w:multiLevelType w:val="hybridMultilevel"/>
    <w:tmpl w:val="DFB6C844"/>
    <w:lvl w:ilvl="0" w:tplc="FEE898F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21"/>
  </w:num>
  <w:num w:numId="4">
    <w:abstractNumId w:val="16"/>
  </w:num>
  <w:num w:numId="5">
    <w:abstractNumId w:val="10"/>
  </w:num>
  <w:num w:numId="6">
    <w:abstractNumId w:val="38"/>
  </w:num>
  <w:num w:numId="7">
    <w:abstractNumId w:val="8"/>
  </w:num>
  <w:num w:numId="8">
    <w:abstractNumId w:val="4"/>
    <w:lvlOverride w:ilvl="0">
      <w:startOverride w:val="12"/>
    </w:lvlOverride>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31"/>
  </w:num>
  <w:num w:numId="12">
    <w:abstractNumId w:val="41"/>
  </w:num>
  <w:num w:numId="13">
    <w:abstractNumId w:val="26"/>
  </w:num>
  <w:num w:numId="14">
    <w:abstractNumId w:val="42"/>
  </w:num>
  <w:num w:numId="15">
    <w:abstractNumId w:val="25"/>
  </w:num>
  <w:num w:numId="16">
    <w:abstractNumId w:val="0"/>
  </w:num>
  <w:num w:numId="17">
    <w:abstractNumId w:val="33"/>
  </w:num>
  <w:num w:numId="18">
    <w:abstractNumId w:val="15"/>
  </w:num>
  <w:num w:numId="19">
    <w:abstractNumId w:val="29"/>
  </w:num>
  <w:num w:numId="20">
    <w:abstractNumId w:val="7"/>
  </w:num>
  <w:num w:numId="21">
    <w:abstractNumId w:val="22"/>
  </w:num>
  <w:num w:numId="22">
    <w:abstractNumId w:val="13"/>
  </w:num>
  <w:num w:numId="23">
    <w:abstractNumId w:val="23"/>
  </w:num>
  <w:num w:numId="24">
    <w:abstractNumId w:val="17"/>
  </w:num>
  <w:num w:numId="25">
    <w:abstractNumId w:val="4"/>
    <w:lvlOverride w:ilvl="0">
      <w:startOverride w:val="11"/>
    </w:lvlOverride>
  </w:num>
  <w:num w:numId="26">
    <w:abstractNumId w:val="14"/>
  </w:num>
  <w:num w:numId="27">
    <w:abstractNumId w:val="11"/>
  </w:num>
  <w:num w:numId="28">
    <w:abstractNumId w:val="18"/>
  </w:num>
  <w:num w:numId="29">
    <w:abstractNumId w:val="19"/>
  </w:num>
  <w:num w:numId="30">
    <w:abstractNumId w:val="36"/>
  </w:num>
  <w:num w:numId="31">
    <w:abstractNumId w:val="20"/>
  </w:num>
  <w:num w:numId="32">
    <w:abstractNumId w:val="39"/>
  </w:num>
  <w:num w:numId="33">
    <w:abstractNumId w:val="2"/>
  </w:num>
  <w:num w:numId="34">
    <w:abstractNumId w:val="27"/>
  </w:num>
  <w:num w:numId="35">
    <w:abstractNumId w:val="4"/>
    <w:lvlOverride w:ilvl="0">
      <w:startOverride w:val="6"/>
    </w:lvlOverride>
  </w:num>
  <w:num w:numId="36">
    <w:abstractNumId w:val="30"/>
  </w:num>
  <w:num w:numId="37">
    <w:abstractNumId w:val="12"/>
  </w:num>
  <w:num w:numId="38">
    <w:abstractNumId w:val="40"/>
  </w:num>
  <w:num w:numId="39">
    <w:abstractNumId w:val="32"/>
  </w:num>
  <w:num w:numId="40">
    <w:abstractNumId w:val="5"/>
  </w:num>
  <w:num w:numId="41">
    <w:abstractNumId w:val="34"/>
  </w:num>
  <w:num w:numId="42">
    <w:abstractNumId w:val="35"/>
  </w:num>
  <w:num w:numId="43">
    <w:abstractNumId w:val="6"/>
  </w:num>
  <w:num w:numId="44">
    <w:abstractNumId w:val="1"/>
  </w:num>
  <w:num w:numId="45">
    <w:abstractNumId w:val="3"/>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evenAndOddHeaders/>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BD4"/>
    <w:rsid w:val="000000C8"/>
    <w:rsid w:val="00000B0A"/>
    <w:rsid w:val="00001660"/>
    <w:rsid w:val="00001FA4"/>
    <w:rsid w:val="00002354"/>
    <w:rsid w:val="00003353"/>
    <w:rsid w:val="00003796"/>
    <w:rsid w:val="000042D2"/>
    <w:rsid w:val="00004787"/>
    <w:rsid w:val="000048DC"/>
    <w:rsid w:val="000050A2"/>
    <w:rsid w:val="00006362"/>
    <w:rsid w:val="0000657C"/>
    <w:rsid w:val="00007445"/>
    <w:rsid w:val="00007711"/>
    <w:rsid w:val="00007CD3"/>
    <w:rsid w:val="00010414"/>
    <w:rsid w:val="00011DBC"/>
    <w:rsid w:val="00011EF2"/>
    <w:rsid w:val="0001212C"/>
    <w:rsid w:val="000124BB"/>
    <w:rsid w:val="00012728"/>
    <w:rsid w:val="0001407C"/>
    <w:rsid w:val="000147B6"/>
    <w:rsid w:val="0001624E"/>
    <w:rsid w:val="000162CF"/>
    <w:rsid w:val="000164AF"/>
    <w:rsid w:val="00017596"/>
    <w:rsid w:val="000175C6"/>
    <w:rsid w:val="0001764B"/>
    <w:rsid w:val="00017660"/>
    <w:rsid w:val="000177CA"/>
    <w:rsid w:val="00017875"/>
    <w:rsid w:val="000210CB"/>
    <w:rsid w:val="00021733"/>
    <w:rsid w:val="00023CDE"/>
    <w:rsid w:val="00024FD7"/>
    <w:rsid w:val="00027146"/>
    <w:rsid w:val="0002764B"/>
    <w:rsid w:val="00027FC5"/>
    <w:rsid w:val="00031C5C"/>
    <w:rsid w:val="00031F46"/>
    <w:rsid w:val="00032FCA"/>
    <w:rsid w:val="000351EB"/>
    <w:rsid w:val="000353C4"/>
    <w:rsid w:val="000358C9"/>
    <w:rsid w:val="00035EE9"/>
    <w:rsid w:val="00035FDD"/>
    <w:rsid w:val="00037417"/>
    <w:rsid w:val="00037D77"/>
    <w:rsid w:val="00037F6F"/>
    <w:rsid w:val="0004120A"/>
    <w:rsid w:val="000412C1"/>
    <w:rsid w:val="000413C6"/>
    <w:rsid w:val="0004177C"/>
    <w:rsid w:val="00043995"/>
    <w:rsid w:val="00043F2C"/>
    <w:rsid w:val="00045693"/>
    <w:rsid w:val="0004598E"/>
    <w:rsid w:val="00045CE2"/>
    <w:rsid w:val="00045D04"/>
    <w:rsid w:val="00045FB6"/>
    <w:rsid w:val="00046289"/>
    <w:rsid w:val="000478AB"/>
    <w:rsid w:val="00047F34"/>
    <w:rsid w:val="00050998"/>
    <w:rsid w:val="00050BB8"/>
    <w:rsid w:val="000525B6"/>
    <w:rsid w:val="000529E6"/>
    <w:rsid w:val="000530E4"/>
    <w:rsid w:val="0005487F"/>
    <w:rsid w:val="0005688D"/>
    <w:rsid w:val="000574B7"/>
    <w:rsid w:val="000615D3"/>
    <w:rsid w:val="0006177B"/>
    <w:rsid w:val="00061975"/>
    <w:rsid w:val="0006361B"/>
    <w:rsid w:val="00063C5B"/>
    <w:rsid w:val="0006442F"/>
    <w:rsid w:val="00064F77"/>
    <w:rsid w:val="00065318"/>
    <w:rsid w:val="00065625"/>
    <w:rsid w:val="00065D65"/>
    <w:rsid w:val="000665A5"/>
    <w:rsid w:val="000666DF"/>
    <w:rsid w:val="00066BC6"/>
    <w:rsid w:val="00066D54"/>
    <w:rsid w:val="0006799D"/>
    <w:rsid w:val="000708F3"/>
    <w:rsid w:val="00071B87"/>
    <w:rsid w:val="00072A7B"/>
    <w:rsid w:val="00072C69"/>
    <w:rsid w:val="000735CE"/>
    <w:rsid w:val="00074377"/>
    <w:rsid w:val="00075122"/>
    <w:rsid w:val="0007520C"/>
    <w:rsid w:val="00075985"/>
    <w:rsid w:val="00075B26"/>
    <w:rsid w:val="00075C82"/>
    <w:rsid w:val="00075CD1"/>
    <w:rsid w:val="00076613"/>
    <w:rsid w:val="00076ECC"/>
    <w:rsid w:val="00077E1D"/>
    <w:rsid w:val="00077EDF"/>
    <w:rsid w:val="0008021E"/>
    <w:rsid w:val="0008128B"/>
    <w:rsid w:val="000815CB"/>
    <w:rsid w:val="00081AD4"/>
    <w:rsid w:val="00081CA1"/>
    <w:rsid w:val="0008224D"/>
    <w:rsid w:val="00082F69"/>
    <w:rsid w:val="000834E7"/>
    <w:rsid w:val="00083CA3"/>
    <w:rsid w:val="0008413C"/>
    <w:rsid w:val="00084AB4"/>
    <w:rsid w:val="000854B9"/>
    <w:rsid w:val="00085924"/>
    <w:rsid w:val="000879A4"/>
    <w:rsid w:val="00087A6F"/>
    <w:rsid w:val="00091A21"/>
    <w:rsid w:val="000923C4"/>
    <w:rsid w:val="00093A86"/>
    <w:rsid w:val="00093F4C"/>
    <w:rsid w:val="00094109"/>
    <w:rsid w:val="000942FE"/>
    <w:rsid w:val="00094641"/>
    <w:rsid w:val="00094968"/>
    <w:rsid w:val="000949E3"/>
    <w:rsid w:val="0009565B"/>
    <w:rsid w:val="00095DDA"/>
    <w:rsid w:val="00095E09"/>
    <w:rsid w:val="00096D98"/>
    <w:rsid w:val="000970F4"/>
    <w:rsid w:val="00097ACD"/>
    <w:rsid w:val="00097CB1"/>
    <w:rsid w:val="000A0A69"/>
    <w:rsid w:val="000A0C71"/>
    <w:rsid w:val="000A359F"/>
    <w:rsid w:val="000A5139"/>
    <w:rsid w:val="000A76C5"/>
    <w:rsid w:val="000A7D6F"/>
    <w:rsid w:val="000B1159"/>
    <w:rsid w:val="000B1D5B"/>
    <w:rsid w:val="000B3456"/>
    <w:rsid w:val="000B4863"/>
    <w:rsid w:val="000B4F35"/>
    <w:rsid w:val="000B644F"/>
    <w:rsid w:val="000B649C"/>
    <w:rsid w:val="000B6B2F"/>
    <w:rsid w:val="000B760C"/>
    <w:rsid w:val="000B7692"/>
    <w:rsid w:val="000C15E4"/>
    <w:rsid w:val="000C15E5"/>
    <w:rsid w:val="000C1973"/>
    <w:rsid w:val="000C23E6"/>
    <w:rsid w:val="000C3B94"/>
    <w:rsid w:val="000C500B"/>
    <w:rsid w:val="000C53D0"/>
    <w:rsid w:val="000C5B2A"/>
    <w:rsid w:val="000C6233"/>
    <w:rsid w:val="000C6479"/>
    <w:rsid w:val="000C76E0"/>
    <w:rsid w:val="000D03B4"/>
    <w:rsid w:val="000D054C"/>
    <w:rsid w:val="000D0CD2"/>
    <w:rsid w:val="000D0F0B"/>
    <w:rsid w:val="000D109E"/>
    <w:rsid w:val="000D2278"/>
    <w:rsid w:val="000D2396"/>
    <w:rsid w:val="000D2BAC"/>
    <w:rsid w:val="000D38A7"/>
    <w:rsid w:val="000D43BC"/>
    <w:rsid w:val="000D52A7"/>
    <w:rsid w:val="000D59B6"/>
    <w:rsid w:val="000D5B1D"/>
    <w:rsid w:val="000D64B4"/>
    <w:rsid w:val="000E0A7D"/>
    <w:rsid w:val="000E0B46"/>
    <w:rsid w:val="000E1704"/>
    <w:rsid w:val="000E19CB"/>
    <w:rsid w:val="000E1A91"/>
    <w:rsid w:val="000E30EE"/>
    <w:rsid w:val="000E331E"/>
    <w:rsid w:val="000E3DE7"/>
    <w:rsid w:val="000E4A1A"/>
    <w:rsid w:val="000E563E"/>
    <w:rsid w:val="000E66E1"/>
    <w:rsid w:val="000E707A"/>
    <w:rsid w:val="000E72FE"/>
    <w:rsid w:val="000F143E"/>
    <w:rsid w:val="000F17A8"/>
    <w:rsid w:val="000F1A61"/>
    <w:rsid w:val="000F1B08"/>
    <w:rsid w:val="000F24A4"/>
    <w:rsid w:val="000F2933"/>
    <w:rsid w:val="000F3060"/>
    <w:rsid w:val="000F49CF"/>
    <w:rsid w:val="000F5625"/>
    <w:rsid w:val="000F7726"/>
    <w:rsid w:val="000F7959"/>
    <w:rsid w:val="000F7AFD"/>
    <w:rsid w:val="000F7B49"/>
    <w:rsid w:val="001000AE"/>
    <w:rsid w:val="0010038F"/>
    <w:rsid w:val="00100799"/>
    <w:rsid w:val="00100C79"/>
    <w:rsid w:val="00100DFC"/>
    <w:rsid w:val="0010216D"/>
    <w:rsid w:val="00102978"/>
    <w:rsid w:val="00103A95"/>
    <w:rsid w:val="00103DCD"/>
    <w:rsid w:val="001043E3"/>
    <w:rsid w:val="00104964"/>
    <w:rsid w:val="00104F51"/>
    <w:rsid w:val="0010539F"/>
    <w:rsid w:val="0010547E"/>
    <w:rsid w:val="00106424"/>
    <w:rsid w:val="0010698B"/>
    <w:rsid w:val="00107109"/>
    <w:rsid w:val="0011014C"/>
    <w:rsid w:val="0011070C"/>
    <w:rsid w:val="0011217C"/>
    <w:rsid w:val="00112319"/>
    <w:rsid w:val="00112B2E"/>
    <w:rsid w:val="001136A8"/>
    <w:rsid w:val="0011386A"/>
    <w:rsid w:val="001139E3"/>
    <w:rsid w:val="0011420F"/>
    <w:rsid w:val="001147F3"/>
    <w:rsid w:val="00115CF2"/>
    <w:rsid w:val="00116475"/>
    <w:rsid w:val="00116F5C"/>
    <w:rsid w:val="001177CE"/>
    <w:rsid w:val="0012085E"/>
    <w:rsid w:val="00121207"/>
    <w:rsid w:val="00121665"/>
    <w:rsid w:val="00121794"/>
    <w:rsid w:val="00121F20"/>
    <w:rsid w:val="00122A03"/>
    <w:rsid w:val="00123AD9"/>
    <w:rsid w:val="00124068"/>
    <w:rsid w:val="001240BF"/>
    <w:rsid w:val="00124763"/>
    <w:rsid w:val="00124C25"/>
    <w:rsid w:val="0012514F"/>
    <w:rsid w:val="001274FB"/>
    <w:rsid w:val="00131E1C"/>
    <w:rsid w:val="0013269F"/>
    <w:rsid w:val="0013299B"/>
    <w:rsid w:val="00134174"/>
    <w:rsid w:val="00134586"/>
    <w:rsid w:val="001360E8"/>
    <w:rsid w:val="00136664"/>
    <w:rsid w:val="00136ECD"/>
    <w:rsid w:val="00136FE3"/>
    <w:rsid w:val="001372FA"/>
    <w:rsid w:val="00137BE6"/>
    <w:rsid w:val="00137C84"/>
    <w:rsid w:val="00137EEF"/>
    <w:rsid w:val="001405C1"/>
    <w:rsid w:val="00140C59"/>
    <w:rsid w:val="0014154E"/>
    <w:rsid w:val="001420D1"/>
    <w:rsid w:val="00142367"/>
    <w:rsid w:val="0014335A"/>
    <w:rsid w:val="00143A13"/>
    <w:rsid w:val="001446A3"/>
    <w:rsid w:val="0014476A"/>
    <w:rsid w:val="00145FF8"/>
    <w:rsid w:val="00146065"/>
    <w:rsid w:val="00146CCC"/>
    <w:rsid w:val="00147D0A"/>
    <w:rsid w:val="0015016F"/>
    <w:rsid w:val="00151413"/>
    <w:rsid w:val="00152090"/>
    <w:rsid w:val="001534CF"/>
    <w:rsid w:val="001542A5"/>
    <w:rsid w:val="00154D2F"/>
    <w:rsid w:val="001552FB"/>
    <w:rsid w:val="00155DAD"/>
    <w:rsid w:val="00156970"/>
    <w:rsid w:val="0015752F"/>
    <w:rsid w:val="00157D74"/>
    <w:rsid w:val="0016061A"/>
    <w:rsid w:val="0016086A"/>
    <w:rsid w:val="00160A19"/>
    <w:rsid w:val="00160C87"/>
    <w:rsid w:val="00162BE3"/>
    <w:rsid w:val="00162C70"/>
    <w:rsid w:val="001665DE"/>
    <w:rsid w:val="00167250"/>
    <w:rsid w:val="00170207"/>
    <w:rsid w:val="00170EBB"/>
    <w:rsid w:val="001712DB"/>
    <w:rsid w:val="00171540"/>
    <w:rsid w:val="00172056"/>
    <w:rsid w:val="0017313F"/>
    <w:rsid w:val="00174751"/>
    <w:rsid w:val="00174B57"/>
    <w:rsid w:val="00175B32"/>
    <w:rsid w:val="00175C64"/>
    <w:rsid w:val="00176582"/>
    <w:rsid w:val="00177636"/>
    <w:rsid w:val="00177E65"/>
    <w:rsid w:val="0018019E"/>
    <w:rsid w:val="00180235"/>
    <w:rsid w:val="00180837"/>
    <w:rsid w:val="00181142"/>
    <w:rsid w:val="0018228E"/>
    <w:rsid w:val="001825A7"/>
    <w:rsid w:val="001828D8"/>
    <w:rsid w:val="00182961"/>
    <w:rsid w:val="00182F35"/>
    <w:rsid w:val="00183457"/>
    <w:rsid w:val="00183531"/>
    <w:rsid w:val="001845FD"/>
    <w:rsid w:val="0018505E"/>
    <w:rsid w:val="00185937"/>
    <w:rsid w:val="00185986"/>
    <w:rsid w:val="00185A94"/>
    <w:rsid w:val="001863D3"/>
    <w:rsid w:val="00186BC1"/>
    <w:rsid w:val="0018783B"/>
    <w:rsid w:val="0019261A"/>
    <w:rsid w:val="00192B7C"/>
    <w:rsid w:val="00193744"/>
    <w:rsid w:val="00194A44"/>
    <w:rsid w:val="001956FD"/>
    <w:rsid w:val="00195E6D"/>
    <w:rsid w:val="00196253"/>
    <w:rsid w:val="00197893"/>
    <w:rsid w:val="00197E39"/>
    <w:rsid w:val="001A0488"/>
    <w:rsid w:val="001A0932"/>
    <w:rsid w:val="001A2044"/>
    <w:rsid w:val="001A2576"/>
    <w:rsid w:val="001A2999"/>
    <w:rsid w:val="001A2B4D"/>
    <w:rsid w:val="001A3001"/>
    <w:rsid w:val="001A3908"/>
    <w:rsid w:val="001A3AD7"/>
    <w:rsid w:val="001A42E3"/>
    <w:rsid w:val="001A467B"/>
    <w:rsid w:val="001A49BD"/>
    <w:rsid w:val="001A4AED"/>
    <w:rsid w:val="001A4F1E"/>
    <w:rsid w:val="001A5C0E"/>
    <w:rsid w:val="001A6762"/>
    <w:rsid w:val="001A7780"/>
    <w:rsid w:val="001A77FA"/>
    <w:rsid w:val="001B049C"/>
    <w:rsid w:val="001B07D2"/>
    <w:rsid w:val="001B0AA5"/>
    <w:rsid w:val="001B1B0C"/>
    <w:rsid w:val="001B2539"/>
    <w:rsid w:val="001B3A3C"/>
    <w:rsid w:val="001B4589"/>
    <w:rsid w:val="001B6F81"/>
    <w:rsid w:val="001B78F9"/>
    <w:rsid w:val="001C067C"/>
    <w:rsid w:val="001C0BE4"/>
    <w:rsid w:val="001C1286"/>
    <w:rsid w:val="001C130D"/>
    <w:rsid w:val="001C14F0"/>
    <w:rsid w:val="001C1A8F"/>
    <w:rsid w:val="001C1C96"/>
    <w:rsid w:val="001C3594"/>
    <w:rsid w:val="001C35DF"/>
    <w:rsid w:val="001C41F1"/>
    <w:rsid w:val="001C72B4"/>
    <w:rsid w:val="001C776D"/>
    <w:rsid w:val="001C7CEB"/>
    <w:rsid w:val="001D1CF6"/>
    <w:rsid w:val="001D2E6F"/>
    <w:rsid w:val="001D307B"/>
    <w:rsid w:val="001D40CC"/>
    <w:rsid w:val="001D417D"/>
    <w:rsid w:val="001D50FD"/>
    <w:rsid w:val="001D65AE"/>
    <w:rsid w:val="001D6B86"/>
    <w:rsid w:val="001D74E2"/>
    <w:rsid w:val="001D7F49"/>
    <w:rsid w:val="001E0060"/>
    <w:rsid w:val="001E0A6B"/>
    <w:rsid w:val="001E0AB6"/>
    <w:rsid w:val="001E11DD"/>
    <w:rsid w:val="001E279C"/>
    <w:rsid w:val="001E4507"/>
    <w:rsid w:val="001E4B14"/>
    <w:rsid w:val="001E5F3E"/>
    <w:rsid w:val="001E5F90"/>
    <w:rsid w:val="001E68E9"/>
    <w:rsid w:val="001E6CBC"/>
    <w:rsid w:val="001E7A05"/>
    <w:rsid w:val="001F1002"/>
    <w:rsid w:val="001F1290"/>
    <w:rsid w:val="001F1AB8"/>
    <w:rsid w:val="001F2B8F"/>
    <w:rsid w:val="001F2CB8"/>
    <w:rsid w:val="001F2FDE"/>
    <w:rsid w:val="001F33CE"/>
    <w:rsid w:val="001F39B6"/>
    <w:rsid w:val="001F56EF"/>
    <w:rsid w:val="001F5B69"/>
    <w:rsid w:val="001F6812"/>
    <w:rsid w:val="001F7170"/>
    <w:rsid w:val="002004D2"/>
    <w:rsid w:val="002005E8"/>
    <w:rsid w:val="00201496"/>
    <w:rsid w:val="0020227E"/>
    <w:rsid w:val="0020240D"/>
    <w:rsid w:val="00202456"/>
    <w:rsid w:val="0020263D"/>
    <w:rsid w:val="00202A09"/>
    <w:rsid w:val="00202AF9"/>
    <w:rsid w:val="00202EE8"/>
    <w:rsid w:val="00202FCD"/>
    <w:rsid w:val="00204325"/>
    <w:rsid w:val="002052D5"/>
    <w:rsid w:val="00206983"/>
    <w:rsid w:val="00206DE8"/>
    <w:rsid w:val="002076E0"/>
    <w:rsid w:val="0021023A"/>
    <w:rsid w:val="002104C4"/>
    <w:rsid w:val="00210E3C"/>
    <w:rsid w:val="002113BF"/>
    <w:rsid w:val="00212F63"/>
    <w:rsid w:val="00213864"/>
    <w:rsid w:val="00214A52"/>
    <w:rsid w:val="00214C7E"/>
    <w:rsid w:val="00214CC0"/>
    <w:rsid w:val="00215603"/>
    <w:rsid w:val="00215997"/>
    <w:rsid w:val="00215DFE"/>
    <w:rsid w:val="00220A85"/>
    <w:rsid w:val="00222450"/>
    <w:rsid w:val="00222FD7"/>
    <w:rsid w:val="00223A9C"/>
    <w:rsid w:val="00223F25"/>
    <w:rsid w:val="00224AB4"/>
    <w:rsid w:val="00224CC4"/>
    <w:rsid w:val="00225C2B"/>
    <w:rsid w:val="00225DB1"/>
    <w:rsid w:val="00226296"/>
    <w:rsid w:val="00226D01"/>
    <w:rsid w:val="00230271"/>
    <w:rsid w:val="002305D9"/>
    <w:rsid w:val="0023191F"/>
    <w:rsid w:val="00231BD6"/>
    <w:rsid w:val="00231F6F"/>
    <w:rsid w:val="00232470"/>
    <w:rsid w:val="00233A20"/>
    <w:rsid w:val="00233A51"/>
    <w:rsid w:val="00233E6F"/>
    <w:rsid w:val="00234132"/>
    <w:rsid w:val="00236BCC"/>
    <w:rsid w:val="00236EB1"/>
    <w:rsid w:val="00237071"/>
    <w:rsid w:val="002370C9"/>
    <w:rsid w:val="0023769F"/>
    <w:rsid w:val="00237B88"/>
    <w:rsid w:val="0024185A"/>
    <w:rsid w:val="0024252A"/>
    <w:rsid w:val="00242ED5"/>
    <w:rsid w:val="00243D09"/>
    <w:rsid w:val="00243F85"/>
    <w:rsid w:val="002444A4"/>
    <w:rsid w:val="002446A0"/>
    <w:rsid w:val="00244D6A"/>
    <w:rsid w:val="0024797D"/>
    <w:rsid w:val="00250C09"/>
    <w:rsid w:val="00251220"/>
    <w:rsid w:val="00251B77"/>
    <w:rsid w:val="0025238E"/>
    <w:rsid w:val="002523A0"/>
    <w:rsid w:val="00253637"/>
    <w:rsid w:val="002551BC"/>
    <w:rsid w:val="0025539B"/>
    <w:rsid w:val="002559A2"/>
    <w:rsid w:val="00255AB9"/>
    <w:rsid w:val="00255FB6"/>
    <w:rsid w:val="0025644E"/>
    <w:rsid w:val="0025679D"/>
    <w:rsid w:val="00256C79"/>
    <w:rsid w:val="00257594"/>
    <w:rsid w:val="00257A94"/>
    <w:rsid w:val="0026023A"/>
    <w:rsid w:val="002611B3"/>
    <w:rsid w:val="0026181C"/>
    <w:rsid w:val="00263443"/>
    <w:rsid w:val="002642A8"/>
    <w:rsid w:val="0026443E"/>
    <w:rsid w:val="00264B47"/>
    <w:rsid w:val="00265471"/>
    <w:rsid w:val="00266D3C"/>
    <w:rsid w:val="00266D58"/>
    <w:rsid w:val="002675A6"/>
    <w:rsid w:val="00267DD3"/>
    <w:rsid w:val="0027030B"/>
    <w:rsid w:val="00271570"/>
    <w:rsid w:val="002718D0"/>
    <w:rsid w:val="00271BE4"/>
    <w:rsid w:val="002722FD"/>
    <w:rsid w:val="00272326"/>
    <w:rsid w:val="00272EE6"/>
    <w:rsid w:val="0027374B"/>
    <w:rsid w:val="00274327"/>
    <w:rsid w:val="00274CC4"/>
    <w:rsid w:val="00275892"/>
    <w:rsid w:val="00275C13"/>
    <w:rsid w:val="00275D36"/>
    <w:rsid w:val="00276F4D"/>
    <w:rsid w:val="00276FAC"/>
    <w:rsid w:val="00277178"/>
    <w:rsid w:val="00277711"/>
    <w:rsid w:val="00277C19"/>
    <w:rsid w:val="00277FD1"/>
    <w:rsid w:val="00280D7D"/>
    <w:rsid w:val="00281146"/>
    <w:rsid w:val="0028170C"/>
    <w:rsid w:val="002818A1"/>
    <w:rsid w:val="00281A15"/>
    <w:rsid w:val="002835DA"/>
    <w:rsid w:val="00284AF9"/>
    <w:rsid w:val="00285A25"/>
    <w:rsid w:val="002914E3"/>
    <w:rsid w:val="0029216C"/>
    <w:rsid w:val="00292F51"/>
    <w:rsid w:val="00293060"/>
    <w:rsid w:val="00293329"/>
    <w:rsid w:val="00293366"/>
    <w:rsid w:val="00294874"/>
    <w:rsid w:val="00294A74"/>
    <w:rsid w:val="00296928"/>
    <w:rsid w:val="00296DBC"/>
    <w:rsid w:val="00296E97"/>
    <w:rsid w:val="002978B5"/>
    <w:rsid w:val="002A0021"/>
    <w:rsid w:val="002A057C"/>
    <w:rsid w:val="002A0789"/>
    <w:rsid w:val="002A0E4B"/>
    <w:rsid w:val="002A1905"/>
    <w:rsid w:val="002A2EDF"/>
    <w:rsid w:val="002A32B3"/>
    <w:rsid w:val="002A32EA"/>
    <w:rsid w:val="002A3D75"/>
    <w:rsid w:val="002A3DD6"/>
    <w:rsid w:val="002A434C"/>
    <w:rsid w:val="002A474F"/>
    <w:rsid w:val="002A4A81"/>
    <w:rsid w:val="002A4C59"/>
    <w:rsid w:val="002A567D"/>
    <w:rsid w:val="002A6C44"/>
    <w:rsid w:val="002B0D2E"/>
    <w:rsid w:val="002B1196"/>
    <w:rsid w:val="002B132F"/>
    <w:rsid w:val="002B343F"/>
    <w:rsid w:val="002B64F9"/>
    <w:rsid w:val="002B6CC0"/>
    <w:rsid w:val="002C0E19"/>
    <w:rsid w:val="002C0E79"/>
    <w:rsid w:val="002C1EEC"/>
    <w:rsid w:val="002C3CFA"/>
    <w:rsid w:val="002C422E"/>
    <w:rsid w:val="002C4BA7"/>
    <w:rsid w:val="002C5E39"/>
    <w:rsid w:val="002C6270"/>
    <w:rsid w:val="002C64CF"/>
    <w:rsid w:val="002C7415"/>
    <w:rsid w:val="002C78EA"/>
    <w:rsid w:val="002C7940"/>
    <w:rsid w:val="002C7F07"/>
    <w:rsid w:val="002C7F6F"/>
    <w:rsid w:val="002D00E4"/>
    <w:rsid w:val="002D13A3"/>
    <w:rsid w:val="002D26AA"/>
    <w:rsid w:val="002D3A66"/>
    <w:rsid w:val="002D44EB"/>
    <w:rsid w:val="002D459B"/>
    <w:rsid w:val="002D606E"/>
    <w:rsid w:val="002D64A3"/>
    <w:rsid w:val="002D6667"/>
    <w:rsid w:val="002D6A5F"/>
    <w:rsid w:val="002D6AD8"/>
    <w:rsid w:val="002D6C3E"/>
    <w:rsid w:val="002D6CD0"/>
    <w:rsid w:val="002D776F"/>
    <w:rsid w:val="002D7D80"/>
    <w:rsid w:val="002E01F2"/>
    <w:rsid w:val="002E0B56"/>
    <w:rsid w:val="002E1A68"/>
    <w:rsid w:val="002E229E"/>
    <w:rsid w:val="002E265F"/>
    <w:rsid w:val="002E3C3D"/>
    <w:rsid w:val="002E4A6B"/>
    <w:rsid w:val="002E6890"/>
    <w:rsid w:val="002F14D4"/>
    <w:rsid w:val="002F18FF"/>
    <w:rsid w:val="002F1BD4"/>
    <w:rsid w:val="002F35CC"/>
    <w:rsid w:val="002F380C"/>
    <w:rsid w:val="002F3BD7"/>
    <w:rsid w:val="002F4402"/>
    <w:rsid w:val="002F5443"/>
    <w:rsid w:val="00300A31"/>
    <w:rsid w:val="00300F0C"/>
    <w:rsid w:val="003013BA"/>
    <w:rsid w:val="00301423"/>
    <w:rsid w:val="00301D98"/>
    <w:rsid w:val="00304197"/>
    <w:rsid w:val="00304F5C"/>
    <w:rsid w:val="00304FBF"/>
    <w:rsid w:val="00305742"/>
    <w:rsid w:val="00305E9E"/>
    <w:rsid w:val="003071B1"/>
    <w:rsid w:val="00307685"/>
    <w:rsid w:val="00307C26"/>
    <w:rsid w:val="00310374"/>
    <w:rsid w:val="0031098B"/>
    <w:rsid w:val="00310C66"/>
    <w:rsid w:val="00311B10"/>
    <w:rsid w:val="00311DB4"/>
    <w:rsid w:val="00312091"/>
    <w:rsid w:val="00312291"/>
    <w:rsid w:val="0031332E"/>
    <w:rsid w:val="00313A27"/>
    <w:rsid w:val="00313F33"/>
    <w:rsid w:val="00314060"/>
    <w:rsid w:val="003159A8"/>
    <w:rsid w:val="00315A52"/>
    <w:rsid w:val="00315D34"/>
    <w:rsid w:val="0031637C"/>
    <w:rsid w:val="00317164"/>
    <w:rsid w:val="003174E3"/>
    <w:rsid w:val="00317855"/>
    <w:rsid w:val="00317CFA"/>
    <w:rsid w:val="00320542"/>
    <w:rsid w:val="00320772"/>
    <w:rsid w:val="003221E2"/>
    <w:rsid w:val="00322AE3"/>
    <w:rsid w:val="0032359D"/>
    <w:rsid w:val="003236AF"/>
    <w:rsid w:val="0032495F"/>
    <w:rsid w:val="003257BC"/>
    <w:rsid w:val="003258DD"/>
    <w:rsid w:val="003325E3"/>
    <w:rsid w:val="00333752"/>
    <w:rsid w:val="00333B72"/>
    <w:rsid w:val="00335E16"/>
    <w:rsid w:val="00335FD9"/>
    <w:rsid w:val="00336178"/>
    <w:rsid w:val="00336F6C"/>
    <w:rsid w:val="00337BFA"/>
    <w:rsid w:val="00340B6E"/>
    <w:rsid w:val="0034102B"/>
    <w:rsid w:val="00342425"/>
    <w:rsid w:val="00343DFC"/>
    <w:rsid w:val="00344BAF"/>
    <w:rsid w:val="0034570B"/>
    <w:rsid w:val="003463DD"/>
    <w:rsid w:val="00346C69"/>
    <w:rsid w:val="00347826"/>
    <w:rsid w:val="00347AC7"/>
    <w:rsid w:val="00347C90"/>
    <w:rsid w:val="00350644"/>
    <w:rsid w:val="0035073E"/>
    <w:rsid w:val="0035099E"/>
    <w:rsid w:val="003511E3"/>
    <w:rsid w:val="003512C4"/>
    <w:rsid w:val="00351D22"/>
    <w:rsid w:val="0035261D"/>
    <w:rsid w:val="00352C28"/>
    <w:rsid w:val="00352CED"/>
    <w:rsid w:val="0035366A"/>
    <w:rsid w:val="00353861"/>
    <w:rsid w:val="00353F1D"/>
    <w:rsid w:val="003577DF"/>
    <w:rsid w:val="0036058F"/>
    <w:rsid w:val="00361027"/>
    <w:rsid w:val="00361426"/>
    <w:rsid w:val="003615AB"/>
    <w:rsid w:val="00362177"/>
    <w:rsid w:val="0036238B"/>
    <w:rsid w:val="003632F1"/>
    <w:rsid w:val="003645A2"/>
    <w:rsid w:val="00364D26"/>
    <w:rsid w:val="00365138"/>
    <w:rsid w:val="00365523"/>
    <w:rsid w:val="003655F4"/>
    <w:rsid w:val="003656D0"/>
    <w:rsid w:val="0036591D"/>
    <w:rsid w:val="00365DEC"/>
    <w:rsid w:val="00366A83"/>
    <w:rsid w:val="00366D1C"/>
    <w:rsid w:val="00366D30"/>
    <w:rsid w:val="00367249"/>
    <w:rsid w:val="00367FAE"/>
    <w:rsid w:val="00370DFF"/>
    <w:rsid w:val="0037364C"/>
    <w:rsid w:val="00373B3B"/>
    <w:rsid w:val="00375058"/>
    <w:rsid w:val="003758B6"/>
    <w:rsid w:val="00377402"/>
    <w:rsid w:val="00377B70"/>
    <w:rsid w:val="0038033C"/>
    <w:rsid w:val="00380467"/>
    <w:rsid w:val="00380791"/>
    <w:rsid w:val="003807FF"/>
    <w:rsid w:val="003813B0"/>
    <w:rsid w:val="0038196C"/>
    <w:rsid w:val="00383C7E"/>
    <w:rsid w:val="0038477A"/>
    <w:rsid w:val="00385049"/>
    <w:rsid w:val="003850B4"/>
    <w:rsid w:val="00386E54"/>
    <w:rsid w:val="00387BDD"/>
    <w:rsid w:val="00390C7E"/>
    <w:rsid w:val="00393210"/>
    <w:rsid w:val="003937AC"/>
    <w:rsid w:val="0039474E"/>
    <w:rsid w:val="0039523E"/>
    <w:rsid w:val="00395A55"/>
    <w:rsid w:val="00395B0F"/>
    <w:rsid w:val="003960BD"/>
    <w:rsid w:val="0039654C"/>
    <w:rsid w:val="00396ADA"/>
    <w:rsid w:val="0039763C"/>
    <w:rsid w:val="003977A7"/>
    <w:rsid w:val="00397A56"/>
    <w:rsid w:val="003A0102"/>
    <w:rsid w:val="003A16FC"/>
    <w:rsid w:val="003A1912"/>
    <w:rsid w:val="003A1CC4"/>
    <w:rsid w:val="003A408A"/>
    <w:rsid w:val="003A4150"/>
    <w:rsid w:val="003A485E"/>
    <w:rsid w:val="003A4ECE"/>
    <w:rsid w:val="003A562C"/>
    <w:rsid w:val="003A5CD8"/>
    <w:rsid w:val="003A6512"/>
    <w:rsid w:val="003A668D"/>
    <w:rsid w:val="003A6790"/>
    <w:rsid w:val="003A67A9"/>
    <w:rsid w:val="003A67E6"/>
    <w:rsid w:val="003A6905"/>
    <w:rsid w:val="003A6E1D"/>
    <w:rsid w:val="003B0091"/>
    <w:rsid w:val="003B019A"/>
    <w:rsid w:val="003B1469"/>
    <w:rsid w:val="003B14D2"/>
    <w:rsid w:val="003B1751"/>
    <w:rsid w:val="003B2122"/>
    <w:rsid w:val="003B29DA"/>
    <w:rsid w:val="003B2C8D"/>
    <w:rsid w:val="003B44DB"/>
    <w:rsid w:val="003B4F77"/>
    <w:rsid w:val="003B54E0"/>
    <w:rsid w:val="003B649B"/>
    <w:rsid w:val="003B73DE"/>
    <w:rsid w:val="003B7ABA"/>
    <w:rsid w:val="003B7D4B"/>
    <w:rsid w:val="003B7EEF"/>
    <w:rsid w:val="003C2383"/>
    <w:rsid w:val="003C23E4"/>
    <w:rsid w:val="003C2637"/>
    <w:rsid w:val="003C2DBD"/>
    <w:rsid w:val="003C3B17"/>
    <w:rsid w:val="003C4048"/>
    <w:rsid w:val="003C54DE"/>
    <w:rsid w:val="003C657E"/>
    <w:rsid w:val="003C6B77"/>
    <w:rsid w:val="003C6FB5"/>
    <w:rsid w:val="003D0283"/>
    <w:rsid w:val="003D06A6"/>
    <w:rsid w:val="003D3930"/>
    <w:rsid w:val="003D3D82"/>
    <w:rsid w:val="003D4139"/>
    <w:rsid w:val="003D4E91"/>
    <w:rsid w:val="003D550F"/>
    <w:rsid w:val="003D55FC"/>
    <w:rsid w:val="003D61C1"/>
    <w:rsid w:val="003D6517"/>
    <w:rsid w:val="003D71AC"/>
    <w:rsid w:val="003D72CC"/>
    <w:rsid w:val="003D7520"/>
    <w:rsid w:val="003E05DF"/>
    <w:rsid w:val="003E3694"/>
    <w:rsid w:val="003E4B41"/>
    <w:rsid w:val="003E5DBF"/>
    <w:rsid w:val="003E6D9B"/>
    <w:rsid w:val="003F000D"/>
    <w:rsid w:val="003F110D"/>
    <w:rsid w:val="003F1941"/>
    <w:rsid w:val="003F1B91"/>
    <w:rsid w:val="003F2543"/>
    <w:rsid w:val="003F2F92"/>
    <w:rsid w:val="003F318D"/>
    <w:rsid w:val="003F3218"/>
    <w:rsid w:val="003F3763"/>
    <w:rsid w:val="003F37C8"/>
    <w:rsid w:val="003F43C2"/>
    <w:rsid w:val="003F566E"/>
    <w:rsid w:val="003F7167"/>
    <w:rsid w:val="003F7D63"/>
    <w:rsid w:val="0040004E"/>
    <w:rsid w:val="00401CBC"/>
    <w:rsid w:val="00401FFC"/>
    <w:rsid w:val="00403049"/>
    <w:rsid w:val="004030F5"/>
    <w:rsid w:val="00404CFE"/>
    <w:rsid w:val="00405F12"/>
    <w:rsid w:val="00405FB3"/>
    <w:rsid w:val="004063B0"/>
    <w:rsid w:val="00407830"/>
    <w:rsid w:val="00410B79"/>
    <w:rsid w:val="004113E9"/>
    <w:rsid w:val="0041194C"/>
    <w:rsid w:val="00411D2C"/>
    <w:rsid w:val="00411DCF"/>
    <w:rsid w:val="00411E7C"/>
    <w:rsid w:val="00411EB4"/>
    <w:rsid w:val="004123B1"/>
    <w:rsid w:val="00412899"/>
    <w:rsid w:val="00412F6D"/>
    <w:rsid w:val="00413546"/>
    <w:rsid w:val="00413E9C"/>
    <w:rsid w:val="0041445E"/>
    <w:rsid w:val="00414566"/>
    <w:rsid w:val="00414CDC"/>
    <w:rsid w:val="00414D74"/>
    <w:rsid w:val="004152E3"/>
    <w:rsid w:val="00416510"/>
    <w:rsid w:val="00416810"/>
    <w:rsid w:val="00420125"/>
    <w:rsid w:val="00420B66"/>
    <w:rsid w:val="004211C4"/>
    <w:rsid w:val="004215A3"/>
    <w:rsid w:val="00422F35"/>
    <w:rsid w:val="00423A10"/>
    <w:rsid w:val="00424637"/>
    <w:rsid w:val="00427005"/>
    <w:rsid w:val="0042711A"/>
    <w:rsid w:val="004271A2"/>
    <w:rsid w:val="00427F65"/>
    <w:rsid w:val="004304F9"/>
    <w:rsid w:val="00431056"/>
    <w:rsid w:val="0043170D"/>
    <w:rsid w:val="0043388A"/>
    <w:rsid w:val="004369CC"/>
    <w:rsid w:val="0043725F"/>
    <w:rsid w:val="00437B50"/>
    <w:rsid w:val="00440ADC"/>
    <w:rsid w:val="00440B8F"/>
    <w:rsid w:val="00441BA9"/>
    <w:rsid w:val="0044291C"/>
    <w:rsid w:val="004430B6"/>
    <w:rsid w:val="00443177"/>
    <w:rsid w:val="00443D20"/>
    <w:rsid w:val="00444D47"/>
    <w:rsid w:val="00444F69"/>
    <w:rsid w:val="0044504C"/>
    <w:rsid w:val="00446714"/>
    <w:rsid w:val="004500F9"/>
    <w:rsid w:val="004512A8"/>
    <w:rsid w:val="0045140D"/>
    <w:rsid w:val="00451A34"/>
    <w:rsid w:val="00451AAE"/>
    <w:rsid w:val="00451D03"/>
    <w:rsid w:val="00452DBC"/>
    <w:rsid w:val="00453F59"/>
    <w:rsid w:val="00454F43"/>
    <w:rsid w:val="004569CE"/>
    <w:rsid w:val="00457AA2"/>
    <w:rsid w:val="004605DC"/>
    <w:rsid w:val="004609AF"/>
    <w:rsid w:val="00460B63"/>
    <w:rsid w:val="00461012"/>
    <w:rsid w:val="004613A1"/>
    <w:rsid w:val="004614A2"/>
    <w:rsid w:val="00461B1D"/>
    <w:rsid w:val="004623BF"/>
    <w:rsid w:val="004628A6"/>
    <w:rsid w:val="00463D35"/>
    <w:rsid w:val="004649D8"/>
    <w:rsid w:val="0046549B"/>
    <w:rsid w:val="00465CDF"/>
    <w:rsid w:val="00465F66"/>
    <w:rsid w:val="00466FAC"/>
    <w:rsid w:val="0046735A"/>
    <w:rsid w:val="004675DD"/>
    <w:rsid w:val="00467C03"/>
    <w:rsid w:val="00471E19"/>
    <w:rsid w:val="00472FF8"/>
    <w:rsid w:val="00474A23"/>
    <w:rsid w:val="00474DD8"/>
    <w:rsid w:val="0047773D"/>
    <w:rsid w:val="00477D83"/>
    <w:rsid w:val="004802A6"/>
    <w:rsid w:val="0048030F"/>
    <w:rsid w:val="00480C24"/>
    <w:rsid w:val="00481665"/>
    <w:rsid w:val="0048199C"/>
    <w:rsid w:val="00482E42"/>
    <w:rsid w:val="00482F2A"/>
    <w:rsid w:val="0048366B"/>
    <w:rsid w:val="00483C37"/>
    <w:rsid w:val="00484A37"/>
    <w:rsid w:val="004851B9"/>
    <w:rsid w:val="0048581E"/>
    <w:rsid w:val="00485FF3"/>
    <w:rsid w:val="0048691C"/>
    <w:rsid w:val="004873A2"/>
    <w:rsid w:val="004876EC"/>
    <w:rsid w:val="0049018D"/>
    <w:rsid w:val="00490507"/>
    <w:rsid w:val="00490512"/>
    <w:rsid w:val="004908E9"/>
    <w:rsid w:val="00490F6C"/>
    <w:rsid w:val="004910A0"/>
    <w:rsid w:val="00491870"/>
    <w:rsid w:val="004918B7"/>
    <w:rsid w:val="00492404"/>
    <w:rsid w:val="0049312B"/>
    <w:rsid w:val="00493660"/>
    <w:rsid w:val="00494152"/>
    <w:rsid w:val="00496456"/>
    <w:rsid w:val="004966E5"/>
    <w:rsid w:val="00496CDE"/>
    <w:rsid w:val="00497085"/>
    <w:rsid w:val="004974E6"/>
    <w:rsid w:val="004A0B45"/>
    <w:rsid w:val="004A1C7E"/>
    <w:rsid w:val="004A1D8C"/>
    <w:rsid w:val="004A2BD7"/>
    <w:rsid w:val="004A42ED"/>
    <w:rsid w:val="004A58F9"/>
    <w:rsid w:val="004A5B4D"/>
    <w:rsid w:val="004A6434"/>
    <w:rsid w:val="004A6835"/>
    <w:rsid w:val="004A7199"/>
    <w:rsid w:val="004A7C66"/>
    <w:rsid w:val="004B010A"/>
    <w:rsid w:val="004B026A"/>
    <w:rsid w:val="004B1A1C"/>
    <w:rsid w:val="004B1BF0"/>
    <w:rsid w:val="004B2724"/>
    <w:rsid w:val="004B27E5"/>
    <w:rsid w:val="004B27EC"/>
    <w:rsid w:val="004B28AF"/>
    <w:rsid w:val="004B33A9"/>
    <w:rsid w:val="004B36BD"/>
    <w:rsid w:val="004B3835"/>
    <w:rsid w:val="004B4750"/>
    <w:rsid w:val="004B6D46"/>
    <w:rsid w:val="004B76BD"/>
    <w:rsid w:val="004B78EC"/>
    <w:rsid w:val="004B79E4"/>
    <w:rsid w:val="004B7C0D"/>
    <w:rsid w:val="004C1141"/>
    <w:rsid w:val="004C1FE8"/>
    <w:rsid w:val="004C39FF"/>
    <w:rsid w:val="004C58F0"/>
    <w:rsid w:val="004C5FB6"/>
    <w:rsid w:val="004C62B5"/>
    <w:rsid w:val="004C62D3"/>
    <w:rsid w:val="004C6506"/>
    <w:rsid w:val="004C6CFE"/>
    <w:rsid w:val="004C7744"/>
    <w:rsid w:val="004C7A69"/>
    <w:rsid w:val="004D01FF"/>
    <w:rsid w:val="004D0214"/>
    <w:rsid w:val="004D1325"/>
    <w:rsid w:val="004D1938"/>
    <w:rsid w:val="004D2424"/>
    <w:rsid w:val="004D2F9F"/>
    <w:rsid w:val="004D376E"/>
    <w:rsid w:val="004D39F8"/>
    <w:rsid w:val="004D4558"/>
    <w:rsid w:val="004D4659"/>
    <w:rsid w:val="004D4B9E"/>
    <w:rsid w:val="004D5ED8"/>
    <w:rsid w:val="004D62F6"/>
    <w:rsid w:val="004D7509"/>
    <w:rsid w:val="004D77DA"/>
    <w:rsid w:val="004D785B"/>
    <w:rsid w:val="004D792F"/>
    <w:rsid w:val="004E0A27"/>
    <w:rsid w:val="004E28EF"/>
    <w:rsid w:val="004E2E78"/>
    <w:rsid w:val="004E3A99"/>
    <w:rsid w:val="004E4F75"/>
    <w:rsid w:val="004E5307"/>
    <w:rsid w:val="004F01B5"/>
    <w:rsid w:val="004F0F47"/>
    <w:rsid w:val="004F10B0"/>
    <w:rsid w:val="004F3856"/>
    <w:rsid w:val="004F52A9"/>
    <w:rsid w:val="004F52BF"/>
    <w:rsid w:val="004F6073"/>
    <w:rsid w:val="004F7081"/>
    <w:rsid w:val="00500128"/>
    <w:rsid w:val="0050038E"/>
    <w:rsid w:val="00500EFF"/>
    <w:rsid w:val="0050110A"/>
    <w:rsid w:val="005017F9"/>
    <w:rsid w:val="00501A5C"/>
    <w:rsid w:val="00502CA8"/>
    <w:rsid w:val="00503042"/>
    <w:rsid w:val="005036D0"/>
    <w:rsid w:val="00504EC8"/>
    <w:rsid w:val="005054A9"/>
    <w:rsid w:val="005057DC"/>
    <w:rsid w:val="005060AF"/>
    <w:rsid w:val="0050647F"/>
    <w:rsid w:val="0050654B"/>
    <w:rsid w:val="0050786A"/>
    <w:rsid w:val="005105C3"/>
    <w:rsid w:val="005107E9"/>
    <w:rsid w:val="0051146C"/>
    <w:rsid w:val="005117D7"/>
    <w:rsid w:val="00513C64"/>
    <w:rsid w:val="00514731"/>
    <w:rsid w:val="005153A6"/>
    <w:rsid w:val="005157A3"/>
    <w:rsid w:val="00515B64"/>
    <w:rsid w:val="00516F3A"/>
    <w:rsid w:val="00520426"/>
    <w:rsid w:val="005210E5"/>
    <w:rsid w:val="0052127B"/>
    <w:rsid w:val="00521818"/>
    <w:rsid w:val="005226BA"/>
    <w:rsid w:val="00522A7E"/>
    <w:rsid w:val="00523396"/>
    <w:rsid w:val="005233D3"/>
    <w:rsid w:val="005233DE"/>
    <w:rsid w:val="0052371B"/>
    <w:rsid w:val="00524C4C"/>
    <w:rsid w:val="00524FDA"/>
    <w:rsid w:val="005250EC"/>
    <w:rsid w:val="005279E0"/>
    <w:rsid w:val="00527AED"/>
    <w:rsid w:val="00527C5A"/>
    <w:rsid w:val="005324B0"/>
    <w:rsid w:val="00532B26"/>
    <w:rsid w:val="00532F72"/>
    <w:rsid w:val="0053445B"/>
    <w:rsid w:val="005353B5"/>
    <w:rsid w:val="00535DE5"/>
    <w:rsid w:val="00536522"/>
    <w:rsid w:val="00536984"/>
    <w:rsid w:val="00537233"/>
    <w:rsid w:val="005375BA"/>
    <w:rsid w:val="00540298"/>
    <w:rsid w:val="00540887"/>
    <w:rsid w:val="00540F29"/>
    <w:rsid w:val="00540FC8"/>
    <w:rsid w:val="00541CCD"/>
    <w:rsid w:val="00542DD0"/>
    <w:rsid w:val="00543439"/>
    <w:rsid w:val="005437BB"/>
    <w:rsid w:val="00543953"/>
    <w:rsid w:val="00543BF9"/>
    <w:rsid w:val="005445F7"/>
    <w:rsid w:val="00545265"/>
    <w:rsid w:val="005457A0"/>
    <w:rsid w:val="005460B6"/>
    <w:rsid w:val="00546124"/>
    <w:rsid w:val="00546766"/>
    <w:rsid w:val="00550079"/>
    <w:rsid w:val="005504F4"/>
    <w:rsid w:val="00551219"/>
    <w:rsid w:val="005513FD"/>
    <w:rsid w:val="00552713"/>
    <w:rsid w:val="00552717"/>
    <w:rsid w:val="005529E8"/>
    <w:rsid w:val="00552ADF"/>
    <w:rsid w:val="0055375A"/>
    <w:rsid w:val="00553823"/>
    <w:rsid w:val="005553CB"/>
    <w:rsid w:val="00556572"/>
    <w:rsid w:val="00556BBA"/>
    <w:rsid w:val="00556D3A"/>
    <w:rsid w:val="00557437"/>
    <w:rsid w:val="00557941"/>
    <w:rsid w:val="00557EEC"/>
    <w:rsid w:val="00561B84"/>
    <w:rsid w:val="00563C1C"/>
    <w:rsid w:val="00563D37"/>
    <w:rsid w:val="0056420B"/>
    <w:rsid w:val="00564684"/>
    <w:rsid w:val="005648BA"/>
    <w:rsid w:val="005651AB"/>
    <w:rsid w:val="0056527A"/>
    <w:rsid w:val="005655DD"/>
    <w:rsid w:val="0056561D"/>
    <w:rsid w:val="005663D5"/>
    <w:rsid w:val="00566973"/>
    <w:rsid w:val="00566BD7"/>
    <w:rsid w:val="00566FE8"/>
    <w:rsid w:val="0056716D"/>
    <w:rsid w:val="00570A89"/>
    <w:rsid w:val="00571ABD"/>
    <w:rsid w:val="00575383"/>
    <w:rsid w:val="005764C7"/>
    <w:rsid w:val="005776CC"/>
    <w:rsid w:val="0057793E"/>
    <w:rsid w:val="0058012F"/>
    <w:rsid w:val="00580FDF"/>
    <w:rsid w:val="00581E17"/>
    <w:rsid w:val="00583AC2"/>
    <w:rsid w:val="00584758"/>
    <w:rsid w:val="00584E10"/>
    <w:rsid w:val="005863EE"/>
    <w:rsid w:val="00586DBB"/>
    <w:rsid w:val="00586FB8"/>
    <w:rsid w:val="00587771"/>
    <w:rsid w:val="005906B8"/>
    <w:rsid w:val="0059142E"/>
    <w:rsid w:val="00591A46"/>
    <w:rsid w:val="00591B9E"/>
    <w:rsid w:val="00591EB3"/>
    <w:rsid w:val="0059304C"/>
    <w:rsid w:val="00593FC5"/>
    <w:rsid w:val="005948D5"/>
    <w:rsid w:val="00594B45"/>
    <w:rsid w:val="00594BF1"/>
    <w:rsid w:val="00594C75"/>
    <w:rsid w:val="00594EFD"/>
    <w:rsid w:val="00594F88"/>
    <w:rsid w:val="00595575"/>
    <w:rsid w:val="00595A1C"/>
    <w:rsid w:val="0059760C"/>
    <w:rsid w:val="00597BB8"/>
    <w:rsid w:val="00597BD0"/>
    <w:rsid w:val="00597D85"/>
    <w:rsid w:val="005A0D77"/>
    <w:rsid w:val="005A13D4"/>
    <w:rsid w:val="005A1544"/>
    <w:rsid w:val="005A1B30"/>
    <w:rsid w:val="005A1E3E"/>
    <w:rsid w:val="005A3433"/>
    <w:rsid w:val="005A427C"/>
    <w:rsid w:val="005A54D3"/>
    <w:rsid w:val="005A7E03"/>
    <w:rsid w:val="005B21C1"/>
    <w:rsid w:val="005B34F1"/>
    <w:rsid w:val="005B4F30"/>
    <w:rsid w:val="005B4FF9"/>
    <w:rsid w:val="005B5C05"/>
    <w:rsid w:val="005B5F31"/>
    <w:rsid w:val="005B6B30"/>
    <w:rsid w:val="005B6E10"/>
    <w:rsid w:val="005B731D"/>
    <w:rsid w:val="005B7D55"/>
    <w:rsid w:val="005C05BC"/>
    <w:rsid w:val="005C05DC"/>
    <w:rsid w:val="005C0881"/>
    <w:rsid w:val="005C11D4"/>
    <w:rsid w:val="005C11FD"/>
    <w:rsid w:val="005C12A8"/>
    <w:rsid w:val="005C1835"/>
    <w:rsid w:val="005C1B3E"/>
    <w:rsid w:val="005C23C6"/>
    <w:rsid w:val="005C2992"/>
    <w:rsid w:val="005C4695"/>
    <w:rsid w:val="005C494E"/>
    <w:rsid w:val="005C4D6B"/>
    <w:rsid w:val="005C4E16"/>
    <w:rsid w:val="005C5D8B"/>
    <w:rsid w:val="005C685B"/>
    <w:rsid w:val="005C6B40"/>
    <w:rsid w:val="005C74CE"/>
    <w:rsid w:val="005C76C2"/>
    <w:rsid w:val="005C7E92"/>
    <w:rsid w:val="005D01D8"/>
    <w:rsid w:val="005D0457"/>
    <w:rsid w:val="005D177D"/>
    <w:rsid w:val="005D19C6"/>
    <w:rsid w:val="005D2E5F"/>
    <w:rsid w:val="005D38D0"/>
    <w:rsid w:val="005D4744"/>
    <w:rsid w:val="005D4775"/>
    <w:rsid w:val="005D4E54"/>
    <w:rsid w:val="005D7413"/>
    <w:rsid w:val="005D7496"/>
    <w:rsid w:val="005D7F89"/>
    <w:rsid w:val="005E08B9"/>
    <w:rsid w:val="005E0EA5"/>
    <w:rsid w:val="005E1154"/>
    <w:rsid w:val="005E166C"/>
    <w:rsid w:val="005E20DF"/>
    <w:rsid w:val="005E2727"/>
    <w:rsid w:val="005E2A55"/>
    <w:rsid w:val="005E2AA2"/>
    <w:rsid w:val="005E30FA"/>
    <w:rsid w:val="005E3C30"/>
    <w:rsid w:val="005E4019"/>
    <w:rsid w:val="005E44AE"/>
    <w:rsid w:val="005E4AE8"/>
    <w:rsid w:val="005E5198"/>
    <w:rsid w:val="005E5356"/>
    <w:rsid w:val="005E5687"/>
    <w:rsid w:val="005E60EC"/>
    <w:rsid w:val="005E686E"/>
    <w:rsid w:val="005E7285"/>
    <w:rsid w:val="005F00DA"/>
    <w:rsid w:val="005F106C"/>
    <w:rsid w:val="005F10F0"/>
    <w:rsid w:val="005F2503"/>
    <w:rsid w:val="005F47EB"/>
    <w:rsid w:val="005F4994"/>
    <w:rsid w:val="005F6AF6"/>
    <w:rsid w:val="005F7CD4"/>
    <w:rsid w:val="00600A4C"/>
    <w:rsid w:val="00601D70"/>
    <w:rsid w:val="006020DE"/>
    <w:rsid w:val="00602625"/>
    <w:rsid w:val="00602747"/>
    <w:rsid w:val="0060281B"/>
    <w:rsid w:val="00602A04"/>
    <w:rsid w:val="00603A44"/>
    <w:rsid w:val="00603E6B"/>
    <w:rsid w:val="00604982"/>
    <w:rsid w:val="00604C31"/>
    <w:rsid w:val="00605C3B"/>
    <w:rsid w:val="006103A3"/>
    <w:rsid w:val="00610CC2"/>
    <w:rsid w:val="006115D7"/>
    <w:rsid w:val="00612097"/>
    <w:rsid w:val="0061283E"/>
    <w:rsid w:val="00612C71"/>
    <w:rsid w:val="006130D0"/>
    <w:rsid w:val="00613151"/>
    <w:rsid w:val="0061398A"/>
    <w:rsid w:val="00614093"/>
    <w:rsid w:val="00614652"/>
    <w:rsid w:val="00614658"/>
    <w:rsid w:val="00614CFC"/>
    <w:rsid w:val="00614E7C"/>
    <w:rsid w:val="0061563C"/>
    <w:rsid w:val="00615D8D"/>
    <w:rsid w:val="00616986"/>
    <w:rsid w:val="00616C91"/>
    <w:rsid w:val="006223F7"/>
    <w:rsid w:val="00622C5C"/>
    <w:rsid w:val="006244A2"/>
    <w:rsid w:val="00624C72"/>
    <w:rsid w:val="006258B4"/>
    <w:rsid w:val="00627335"/>
    <w:rsid w:val="006304A7"/>
    <w:rsid w:val="006308ED"/>
    <w:rsid w:val="0063105C"/>
    <w:rsid w:val="006313F2"/>
    <w:rsid w:val="006321BB"/>
    <w:rsid w:val="00632380"/>
    <w:rsid w:val="006326CE"/>
    <w:rsid w:val="00632849"/>
    <w:rsid w:val="00633615"/>
    <w:rsid w:val="00635C56"/>
    <w:rsid w:val="006363B9"/>
    <w:rsid w:val="006364DC"/>
    <w:rsid w:val="00640942"/>
    <w:rsid w:val="00640F86"/>
    <w:rsid w:val="006415DF"/>
    <w:rsid w:val="00641B5D"/>
    <w:rsid w:val="00642522"/>
    <w:rsid w:val="006433E5"/>
    <w:rsid w:val="00643D7F"/>
    <w:rsid w:val="00643F3E"/>
    <w:rsid w:val="00644A89"/>
    <w:rsid w:val="00644E10"/>
    <w:rsid w:val="00644FA4"/>
    <w:rsid w:val="0064530F"/>
    <w:rsid w:val="00645800"/>
    <w:rsid w:val="0064594F"/>
    <w:rsid w:val="0064719F"/>
    <w:rsid w:val="00647B4E"/>
    <w:rsid w:val="00647B86"/>
    <w:rsid w:val="006506A5"/>
    <w:rsid w:val="00650964"/>
    <w:rsid w:val="006512F1"/>
    <w:rsid w:val="00653307"/>
    <w:rsid w:val="0065445A"/>
    <w:rsid w:val="00654520"/>
    <w:rsid w:val="00654AA2"/>
    <w:rsid w:val="00654E6E"/>
    <w:rsid w:val="00656643"/>
    <w:rsid w:val="006571C1"/>
    <w:rsid w:val="00657940"/>
    <w:rsid w:val="00657FE7"/>
    <w:rsid w:val="00660807"/>
    <w:rsid w:val="0066131E"/>
    <w:rsid w:val="006643E9"/>
    <w:rsid w:val="00664495"/>
    <w:rsid w:val="0066512F"/>
    <w:rsid w:val="0066627E"/>
    <w:rsid w:val="006667DA"/>
    <w:rsid w:val="006700DC"/>
    <w:rsid w:val="006700E7"/>
    <w:rsid w:val="00670329"/>
    <w:rsid w:val="00670487"/>
    <w:rsid w:val="006706F4"/>
    <w:rsid w:val="00671695"/>
    <w:rsid w:val="00671CE1"/>
    <w:rsid w:val="00671D64"/>
    <w:rsid w:val="006723BB"/>
    <w:rsid w:val="006734DE"/>
    <w:rsid w:val="006749B6"/>
    <w:rsid w:val="00675665"/>
    <w:rsid w:val="00675A70"/>
    <w:rsid w:val="006761B9"/>
    <w:rsid w:val="0067688A"/>
    <w:rsid w:val="006805A5"/>
    <w:rsid w:val="00680A3E"/>
    <w:rsid w:val="00680ADB"/>
    <w:rsid w:val="00680CE2"/>
    <w:rsid w:val="0068139C"/>
    <w:rsid w:val="00682321"/>
    <w:rsid w:val="006823D1"/>
    <w:rsid w:val="00682DEA"/>
    <w:rsid w:val="006832D4"/>
    <w:rsid w:val="00683496"/>
    <w:rsid w:val="0068398E"/>
    <w:rsid w:val="00684482"/>
    <w:rsid w:val="006845E6"/>
    <w:rsid w:val="00684909"/>
    <w:rsid w:val="0068492F"/>
    <w:rsid w:val="006861AA"/>
    <w:rsid w:val="006863C7"/>
    <w:rsid w:val="0068698F"/>
    <w:rsid w:val="00686EDF"/>
    <w:rsid w:val="00686FC5"/>
    <w:rsid w:val="00687020"/>
    <w:rsid w:val="006878DE"/>
    <w:rsid w:val="006907BD"/>
    <w:rsid w:val="006911C9"/>
    <w:rsid w:val="00691641"/>
    <w:rsid w:val="00692812"/>
    <w:rsid w:val="00692814"/>
    <w:rsid w:val="00692977"/>
    <w:rsid w:val="00693870"/>
    <w:rsid w:val="00694797"/>
    <w:rsid w:val="00694E08"/>
    <w:rsid w:val="00695599"/>
    <w:rsid w:val="006959A9"/>
    <w:rsid w:val="00695ACA"/>
    <w:rsid w:val="00695E1A"/>
    <w:rsid w:val="00695F68"/>
    <w:rsid w:val="0069781A"/>
    <w:rsid w:val="006A0576"/>
    <w:rsid w:val="006A1B21"/>
    <w:rsid w:val="006A242A"/>
    <w:rsid w:val="006A2D69"/>
    <w:rsid w:val="006A2E9C"/>
    <w:rsid w:val="006A3368"/>
    <w:rsid w:val="006A377D"/>
    <w:rsid w:val="006A3A87"/>
    <w:rsid w:val="006A4125"/>
    <w:rsid w:val="006A420A"/>
    <w:rsid w:val="006A43EB"/>
    <w:rsid w:val="006A4B8B"/>
    <w:rsid w:val="006A502C"/>
    <w:rsid w:val="006A56A3"/>
    <w:rsid w:val="006A6061"/>
    <w:rsid w:val="006A6B7B"/>
    <w:rsid w:val="006A70FC"/>
    <w:rsid w:val="006A7980"/>
    <w:rsid w:val="006B03CF"/>
    <w:rsid w:val="006B0F59"/>
    <w:rsid w:val="006B2893"/>
    <w:rsid w:val="006B30DC"/>
    <w:rsid w:val="006B5757"/>
    <w:rsid w:val="006B5F79"/>
    <w:rsid w:val="006B633E"/>
    <w:rsid w:val="006B6F5A"/>
    <w:rsid w:val="006B72E4"/>
    <w:rsid w:val="006C017E"/>
    <w:rsid w:val="006C0DDB"/>
    <w:rsid w:val="006C2BAD"/>
    <w:rsid w:val="006C2F8E"/>
    <w:rsid w:val="006C4359"/>
    <w:rsid w:val="006C66BC"/>
    <w:rsid w:val="006C795D"/>
    <w:rsid w:val="006D0007"/>
    <w:rsid w:val="006D0BCE"/>
    <w:rsid w:val="006D0D25"/>
    <w:rsid w:val="006D1D7B"/>
    <w:rsid w:val="006D2061"/>
    <w:rsid w:val="006D39C0"/>
    <w:rsid w:val="006D433E"/>
    <w:rsid w:val="006D5D14"/>
    <w:rsid w:val="006D694C"/>
    <w:rsid w:val="006D6ABE"/>
    <w:rsid w:val="006D737F"/>
    <w:rsid w:val="006E0149"/>
    <w:rsid w:val="006E03CB"/>
    <w:rsid w:val="006E082E"/>
    <w:rsid w:val="006E09BD"/>
    <w:rsid w:val="006E1022"/>
    <w:rsid w:val="006E15D0"/>
    <w:rsid w:val="006E24FD"/>
    <w:rsid w:val="006E3462"/>
    <w:rsid w:val="006E3499"/>
    <w:rsid w:val="006E3B16"/>
    <w:rsid w:val="006E3EAD"/>
    <w:rsid w:val="006E5303"/>
    <w:rsid w:val="006E6847"/>
    <w:rsid w:val="006E6BE5"/>
    <w:rsid w:val="006F0934"/>
    <w:rsid w:val="006F0B6D"/>
    <w:rsid w:val="006F1D61"/>
    <w:rsid w:val="006F21A2"/>
    <w:rsid w:val="006F4252"/>
    <w:rsid w:val="006F48F0"/>
    <w:rsid w:val="006F6256"/>
    <w:rsid w:val="006F6B1F"/>
    <w:rsid w:val="00700739"/>
    <w:rsid w:val="00701AEF"/>
    <w:rsid w:val="007023C3"/>
    <w:rsid w:val="00702590"/>
    <w:rsid w:val="007035A9"/>
    <w:rsid w:val="00703C35"/>
    <w:rsid w:val="00705B8B"/>
    <w:rsid w:val="00706298"/>
    <w:rsid w:val="0070698F"/>
    <w:rsid w:val="00707641"/>
    <w:rsid w:val="00707791"/>
    <w:rsid w:val="007078D4"/>
    <w:rsid w:val="0071022E"/>
    <w:rsid w:val="00710A12"/>
    <w:rsid w:val="00710AED"/>
    <w:rsid w:val="00711974"/>
    <w:rsid w:val="00711BA0"/>
    <w:rsid w:val="00711C06"/>
    <w:rsid w:val="00712F1C"/>
    <w:rsid w:val="007131D3"/>
    <w:rsid w:val="00713DD1"/>
    <w:rsid w:val="00714973"/>
    <w:rsid w:val="00714F7F"/>
    <w:rsid w:val="00715308"/>
    <w:rsid w:val="00715EBD"/>
    <w:rsid w:val="00716165"/>
    <w:rsid w:val="0071631A"/>
    <w:rsid w:val="00716F82"/>
    <w:rsid w:val="0071770E"/>
    <w:rsid w:val="00717C66"/>
    <w:rsid w:val="00720F66"/>
    <w:rsid w:val="007213B7"/>
    <w:rsid w:val="00721A3B"/>
    <w:rsid w:val="007220F0"/>
    <w:rsid w:val="00722B79"/>
    <w:rsid w:val="00724E79"/>
    <w:rsid w:val="00725C26"/>
    <w:rsid w:val="00726141"/>
    <w:rsid w:val="007267A9"/>
    <w:rsid w:val="00726805"/>
    <w:rsid w:val="007269CE"/>
    <w:rsid w:val="0073114C"/>
    <w:rsid w:val="007327ED"/>
    <w:rsid w:val="00732BC5"/>
    <w:rsid w:val="007330DF"/>
    <w:rsid w:val="007331BF"/>
    <w:rsid w:val="00733811"/>
    <w:rsid w:val="00733AE6"/>
    <w:rsid w:val="00734E13"/>
    <w:rsid w:val="007359CE"/>
    <w:rsid w:val="00736B5A"/>
    <w:rsid w:val="00736D77"/>
    <w:rsid w:val="00737516"/>
    <w:rsid w:val="0073788D"/>
    <w:rsid w:val="00740418"/>
    <w:rsid w:val="0074083B"/>
    <w:rsid w:val="00741427"/>
    <w:rsid w:val="0074170F"/>
    <w:rsid w:val="0074171D"/>
    <w:rsid w:val="0074235C"/>
    <w:rsid w:val="007427DE"/>
    <w:rsid w:val="00743EBA"/>
    <w:rsid w:val="00743EE2"/>
    <w:rsid w:val="00744778"/>
    <w:rsid w:val="00745A9D"/>
    <w:rsid w:val="00746512"/>
    <w:rsid w:val="00746949"/>
    <w:rsid w:val="00746F6C"/>
    <w:rsid w:val="007470AD"/>
    <w:rsid w:val="007472F8"/>
    <w:rsid w:val="00747E36"/>
    <w:rsid w:val="00750234"/>
    <w:rsid w:val="00750B5A"/>
    <w:rsid w:val="007511C6"/>
    <w:rsid w:val="007511ED"/>
    <w:rsid w:val="0075146C"/>
    <w:rsid w:val="00751D87"/>
    <w:rsid w:val="00752970"/>
    <w:rsid w:val="0075334B"/>
    <w:rsid w:val="0075344D"/>
    <w:rsid w:val="00753686"/>
    <w:rsid w:val="00753CDB"/>
    <w:rsid w:val="00753E46"/>
    <w:rsid w:val="00754699"/>
    <w:rsid w:val="00755073"/>
    <w:rsid w:val="0075539F"/>
    <w:rsid w:val="00755CDD"/>
    <w:rsid w:val="007564D5"/>
    <w:rsid w:val="0075691B"/>
    <w:rsid w:val="00760358"/>
    <w:rsid w:val="00761018"/>
    <w:rsid w:val="00761549"/>
    <w:rsid w:val="00761607"/>
    <w:rsid w:val="00762C1E"/>
    <w:rsid w:val="00763460"/>
    <w:rsid w:val="00763924"/>
    <w:rsid w:val="007648A1"/>
    <w:rsid w:val="00765843"/>
    <w:rsid w:val="007659A7"/>
    <w:rsid w:val="007670D5"/>
    <w:rsid w:val="0076732B"/>
    <w:rsid w:val="00770EA7"/>
    <w:rsid w:val="00771C91"/>
    <w:rsid w:val="007721D7"/>
    <w:rsid w:val="0077234D"/>
    <w:rsid w:val="00772513"/>
    <w:rsid w:val="00772A43"/>
    <w:rsid w:val="00773108"/>
    <w:rsid w:val="007733B9"/>
    <w:rsid w:val="0077349A"/>
    <w:rsid w:val="0077382B"/>
    <w:rsid w:val="00775CEB"/>
    <w:rsid w:val="00776639"/>
    <w:rsid w:val="0077727A"/>
    <w:rsid w:val="00777F2E"/>
    <w:rsid w:val="0078069A"/>
    <w:rsid w:val="00780DFB"/>
    <w:rsid w:val="00781306"/>
    <w:rsid w:val="007828B2"/>
    <w:rsid w:val="0078329E"/>
    <w:rsid w:val="00783D43"/>
    <w:rsid w:val="0078420D"/>
    <w:rsid w:val="0078458A"/>
    <w:rsid w:val="007845A1"/>
    <w:rsid w:val="0078549A"/>
    <w:rsid w:val="00785AD2"/>
    <w:rsid w:val="00786014"/>
    <w:rsid w:val="0078667C"/>
    <w:rsid w:val="00786729"/>
    <w:rsid w:val="00786F51"/>
    <w:rsid w:val="0078758B"/>
    <w:rsid w:val="00787829"/>
    <w:rsid w:val="00787DC9"/>
    <w:rsid w:val="00790F0D"/>
    <w:rsid w:val="00792B1D"/>
    <w:rsid w:val="007936AA"/>
    <w:rsid w:val="00793997"/>
    <w:rsid w:val="00793B43"/>
    <w:rsid w:val="0079546B"/>
    <w:rsid w:val="007965BC"/>
    <w:rsid w:val="007975A0"/>
    <w:rsid w:val="007A27A9"/>
    <w:rsid w:val="007A291D"/>
    <w:rsid w:val="007A342F"/>
    <w:rsid w:val="007A3CCA"/>
    <w:rsid w:val="007A3DB6"/>
    <w:rsid w:val="007A4774"/>
    <w:rsid w:val="007A4A27"/>
    <w:rsid w:val="007A4A94"/>
    <w:rsid w:val="007A4B6F"/>
    <w:rsid w:val="007A4B71"/>
    <w:rsid w:val="007A4D24"/>
    <w:rsid w:val="007A52F8"/>
    <w:rsid w:val="007A548E"/>
    <w:rsid w:val="007A7900"/>
    <w:rsid w:val="007A7F13"/>
    <w:rsid w:val="007B0090"/>
    <w:rsid w:val="007B0615"/>
    <w:rsid w:val="007B0C6D"/>
    <w:rsid w:val="007B14AE"/>
    <w:rsid w:val="007B14B3"/>
    <w:rsid w:val="007B173D"/>
    <w:rsid w:val="007B28C3"/>
    <w:rsid w:val="007B30CF"/>
    <w:rsid w:val="007B3E9E"/>
    <w:rsid w:val="007B4FFD"/>
    <w:rsid w:val="007B5196"/>
    <w:rsid w:val="007B6061"/>
    <w:rsid w:val="007B6B05"/>
    <w:rsid w:val="007B796E"/>
    <w:rsid w:val="007B7C9C"/>
    <w:rsid w:val="007B7F76"/>
    <w:rsid w:val="007C1D1A"/>
    <w:rsid w:val="007C2405"/>
    <w:rsid w:val="007C2529"/>
    <w:rsid w:val="007C264C"/>
    <w:rsid w:val="007C51EE"/>
    <w:rsid w:val="007C5A22"/>
    <w:rsid w:val="007C5CED"/>
    <w:rsid w:val="007C794D"/>
    <w:rsid w:val="007D0A63"/>
    <w:rsid w:val="007D0A8D"/>
    <w:rsid w:val="007D1038"/>
    <w:rsid w:val="007D14DD"/>
    <w:rsid w:val="007D17A8"/>
    <w:rsid w:val="007D319C"/>
    <w:rsid w:val="007D31E3"/>
    <w:rsid w:val="007D67E1"/>
    <w:rsid w:val="007D7038"/>
    <w:rsid w:val="007D71E6"/>
    <w:rsid w:val="007E0E2F"/>
    <w:rsid w:val="007E2B30"/>
    <w:rsid w:val="007E2DB7"/>
    <w:rsid w:val="007E3917"/>
    <w:rsid w:val="007E39B3"/>
    <w:rsid w:val="007E3F51"/>
    <w:rsid w:val="007E471B"/>
    <w:rsid w:val="007E4E59"/>
    <w:rsid w:val="007E519B"/>
    <w:rsid w:val="007E5A0E"/>
    <w:rsid w:val="007F15FB"/>
    <w:rsid w:val="007F1EB0"/>
    <w:rsid w:val="007F23CB"/>
    <w:rsid w:val="007F272C"/>
    <w:rsid w:val="007F2EDD"/>
    <w:rsid w:val="007F3198"/>
    <w:rsid w:val="007F38CD"/>
    <w:rsid w:val="007F4128"/>
    <w:rsid w:val="007F41DA"/>
    <w:rsid w:val="007F5009"/>
    <w:rsid w:val="007F537F"/>
    <w:rsid w:val="007F644F"/>
    <w:rsid w:val="007F72B9"/>
    <w:rsid w:val="007F7B8E"/>
    <w:rsid w:val="00801E31"/>
    <w:rsid w:val="008028F0"/>
    <w:rsid w:val="00802A44"/>
    <w:rsid w:val="00802E5E"/>
    <w:rsid w:val="00803815"/>
    <w:rsid w:val="00804238"/>
    <w:rsid w:val="00807331"/>
    <w:rsid w:val="00807780"/>
    <w:rsid w:val="00807CFF"/>
    <w:rsid w:val="008105B3"/>
    <w:rsid w:val="00810EA0"/>
    <w:rsid w:val="008115D8"/>
    <w:rsid w:val="008123D2"/>
    <w:rsid w:val="00812538"/>
    <w:rsid w:val="00812730"/>
    <w:rsid w:val="00813596"/>
    <w:rsid w:val="008136D4"/>
    <w:rsid w:val="00814D0E"/>
    <w:rsid w:val="00815906"/>
    <w:rsid w:val="00815940"/>
    <w:rsid w:val="00815AF5"/>
    <w:rsid w:val="0082019B"/>
    <w:rsid w:val="00820660"/>
    <w:rsid w:val="00821213"/>
    <w:rsid w:val="00821AAA"/>
    <w:rsid w:val="008228A8"/>
    <w:rsid w:val="008231E3"/>
    <w:rsid w:val="008232F8"/>
    <w:rsid w:val="0082660E"/>
    <w:rsid w:val="00827064"/>
    <w:rsid w:val="00827367"/>
    <w:rsid w:val="00827558"/>
    <w:rsid w:val="008277AE"/>
    <w:rsid w:val="00830CF2"/>
    <w:rsid w:val="00831819"/>
    <w:rsid w:val="00831BFB"/>
    <w:rsid w:val="00832423"/>
    <w:rsid w:val="008328E3"/>
    <w:rsid w:val="00832D4E"/>
    <w:rsid w:val="00833127"/>
    <w:rsid w:val="008337FF"/>
    <w:rsid w:val="00835A5C"/>
    <w:rsid w:val="00835F74"/>
    <w:rsid w:val="00835FDA"/>
    <w:rsid w:val="00837240"/>
    <w:rsid w:val="008375BE"/>
    <w:rsid w:val="008407F9"/>
    <w:rsid w:val="0084084E"/>
    <w:rsid w:val="00840AEB"/>
    <w:rsid w:val="00841A9F"/>
    <w:rsid w:val="00842450"/>
    <w:rsid w:val="0084245A"/>
    <w:rsid w:val="00842463"/>
    <w:rsid w:val="00842B74"/>
    <w:rsid w:val="00842D88"/>
    <w:rsid w:val="00843647"/>
    <w:rsid w:val="00843E29"/>
    <w:rsid w:val="008450CD"/>
    <w:rsid w:val="0084580F"/>
    <w:rsid w:val="00845870"/>
    <w:rsid w:val="00846BFF"/>
    <w:rsid w:val="008475C1"/>
    <w:rsid w:val="008475CD"/>
    <w:rsid w:val="00847EBC"/>
    <w:rsid w:val="008509B4"/>
    <w:rsid w:val="00851362"/>
    <w:rsid w:val="00851619"/>
    <w:rsid w:val="00851894"/>
    <w:rsid w:val="00852E44"/>
    <w:rsid w:val="00853E15"/>
    <w:rsid w:val="00854378"/>
    <w:rsid w:val="00855637"/>
    <w:rsid w:val="008564FB"/>
    <w:rsid w:val="00857322"/>
    <w:rsid w:val="00857CA0"/>
    <w:rsid w:val="00857CCE"/>
    <w:rsid w:val="008606ED"/>
    <w:rsid w:val="00860926"/>
    <w:rsid w:val="00860DDB"/>
    <w:rsid w:val="00862FBB"/>
    <w:rsid w:val="00863C54"/>
    <w:rsid w:val="008640FA"/>
    <w:rsid w:val="00865005"/>
    <w:rsid w:val="008654DC"/>
    <w:rsid w:val="00865918"/>
    <w:rsid w:val="00866310"/>
    <w:rsid w:val="008668F6"/>
    <w:rsid w:val="00866B4F"/>
    <w:rsid w:val="00867017"/>
    <w:rsid w:val="00871321"/>
    <w:rsid w:val="008717C5"/>
    <w:rsid w:val="0087185B"/>
    <w:rsid w:val="00872E31"/>
    <w:rsid w:val="00872FC0"/>
    <w:rsid w:val="008739EC"/>
    <w:rsid w:val="00873BC9"/>
    <w:rsid w:val="008741D9"/>
    <w:rsid w:val="00874377"/>
    <w:rsid w:val="00875772"/>
    <w:rsid w:val="0087626A"/>
    <w:rsid w:val="00876FB4"/>
    <w:rsid w:val="00877D3E"/>
    <w:rsid w:val="00877E5C"/>
    <w:rsid w:val="00877F2A"/>
    <w:rsid w:val="00881745"/>
    <w:rsid w:val="00881886"/>
    <w:rsid w:val="008822D8"/>
    <w:rsid w:val="00882467"/>
    <w:rsid w:val="00882539"/>
    <w:rsid w:val="0088361F"/>
    <w:rsid w:val="0088470E"/>
    <w:rsid w:val="00884A47"/>
    <w:rsid w:val="00884AC7"/>
    <w:rsid w:val="00885878"/>
    <w:rsid w:val="00886B0D"/>
    <w:rsid w:val="008871C3"/>
    <w:rsid w:val="0089044E"/>
    <w:rsid w:val="00890B92"/>
    <w:rsid w:val="008916A9"/>
    <w:rsid w:val="00891E4E"/>
    <w:rsid w:val="0089242B"/>
    <w:rsid w:val="008925D5"/>
    <w:rsid w:val="0089398D"/>
    <w:rsid w:val="00894BF7"/>
    <w:rsid w:val="008950A3"/>
    <w:rsid w:val="008959F4"/>
    <w:rsid w:val="008963F8"/>
    <w:rsid w:val="00896BC8"/>
    <w:rsid w:val="00896F58"/>
    <w:rsid w:val="008978D4"/>
    <w:rsid w:val="00897BA1"/>
    <w:rsid w:val="00897C9D"/>
    <w:rsid w:val="00897D13"/>
    <w:rsid w:val="008A15B7"/>
    <w:rsid w:val="008A37D2"/>
    <w:rsid w:val="008A4ADA"/>
    <w:rsid w:val="008A4E02"/>
    <w:rsid w:val="008A66F5"/>
    <w:rsid w:val="008A6B2E"/>
    <w:rsid w:val="008A7027"/>
    <w:rsid w:val="008A75C4"/>
    <w:rsid w:val="008A76EE"/>
    <w:rsid w:val="008B04EE"/>
    <w:rsid w:val="008B1321"/>
    <w:rsid w:val="008B1AA0"/>
    <w:rsid w:val="008B1FA0"/>
    <w:rsid w:val="008B2E83"/>
    <w:rsid w:val="008B3655"/>
    <w:rsid w:val="008B370F"/>
    <w:rsid w:val="008B38D9"/>
    <w:rsid w:val="008B3B82"/>
    <w:rsid w:val="008B3C85"/>
    <w:rsid w:val="008B41BC"/>
    <w:rsid w:val="008B47FC"/>
    <w:rsid w:val="008B4FC3"/>
    <w:rsid w:val="008B55B2"/>
    <w:rsid w:val="008B5F13"/>
    <w:rsid w:val="008B646B"/>
    <w:rsid w:val="008B6B20"/>
    <w:rsid w:val="008B76B2"/>
    <w:rsid w:val="008B77B6"/>
    <w:rsid w:val="008C212D"/>
    <w:rsid w:val="008C2814"/>
    <w:rsid w:val="008C282A"/>
    <w:rsid w:val="008C2F7C"/>
    <w:rsid w:val="008C328A"/>
    <w:rsid w:val="008C3963"/>
    <w:rsid w:val="008C3B20"/>
    <w:rsid w:val="008C5CEA"/>
    <w:rsid w:val="008C6124"/>
    <w:rsid w:val="008C650E"/>
    <w:rsid w:val="008D18EB"/>
    <w:rsid w:val="008D1FB0"/>
    <w:rsid w:val="008D390C"/>
    <w:rsid w:val="008D3ABC"/>
    <w:rsid w:val="008D4B22"/>
    <w:rsid w:val="008D4EDB"/>
    <w:rsid w:val="008D54A1"/>
    <w:rsid w:val="008D568F"/>
    <w:rsid w:val="008D5CF1"/>
    <w:rsid w:val="008D699C"/>
    <w:rsid w:val="008D7C20"/>
    <w:rsid w:val="008E06EE"/>
    <w:rsid w:val="008E092E"/>
    <w:rsid w:val="008E0B07"/>
    <w:rsid w:val="008E0BDF"/>
    <w:rsid w:val="008E1AC2"/>
    <w:rsid w:val="008E1CBA"/>
    <w:rsid w:val="008E2332"/>
    <w:rsid w:val="008E2D82"/>
    <w:rsid w:val="008E3408"/>
    <w:rsid w:val="008E39D9"/>
    <w:rsid w:val="008E3A13"/>
    <w:rsid w:val="008E3EF1"/>
    <w:rsid w:val="008E4142"/>
    <w:rsid w:val="008E558A"/>
    <w:rsid w:val="008E59B9"/>
    <w:rsid w:val="008E648D"/>
    <w:rsid w:val="008E729C"/>
    <w:rsid w:val="008E7F29"/>
    <w:rsid w:val="008F000D"/>
    <w:rsid w:val="008F0830"/>
    <w:rsid w:val="008F13C5"/>
    <w:rsid w:val="008F1A9D"/>
    <w:rsid w:val="008F1EEB"/>
    <w:rsid w:val="008F220E"/>
    <w:rsid w:val="008F2840"/>
    <w:rsid w:val="008F2CDC"/>
    <w:rsid w:val="008F3986"/>
    <w:rsid w:val="008F46F9"/>
    <w:rsid w:val="008F61E8"/>
    <w:rsid w:val="008F685A"/>
    <w:rsid w:val="008F6DAE"/>
    <w:rsid w:val="008F72EE"/>
    <w:rsid w:val="00900A6D"/>
    <w:rsid w:val="00900B8B"/>
    <w:rsid w:val="0090118E"/>
    <w:rsid w:val="009022FF"/>
    <w:rsid w:val="009023D9"/>
    <w:rsid w:val="00902DBD"/>
    <w:rsid w:val="0090356C"/>
    <w:rsid w:val="00903665"/>
    <w:rsid w:val="00903DFA"/>
    <w:rsid w:val="0090479F"/>
    <w:rsid w:val="00904FD1"/>
    <w:rsid w:val="00905F3A"/>
    <w:rsid w:val="009066C2"/>
    <w:rsid w:val="00907DD5"/>
    <w:rsid w:val="00907E6F"/>
    <w:rsid w:val="00910767"/>
    <w:rsid w:val="0091097D"/>
    <w:rsid w:val="00911770"/>
    <w:rsid w:val="00911DD3"/>
    <w:rsid w:val="00912244"/>
    <w:rsid w:val="009134F1"/>
    <w:rsid w:val="00913BEA"/>
    <w:rsid w:val="00913C9C"/>
    <w:rsid w:val="009141B5"/>
    <w:rsid w:val="009141DB"/>
    <w:rsid w:val="00915131"/>
    <w:rsid w:val="00915957"/>
    <w:rsid w:val="00915DD1"/>
    <w:rsid w:val="00915ED8"/>
    <w:rsid w:val="00916206"/>
    <w:rsid w:val="00916645"/>
    <w:rsid w:val="009172B4"/>
    <w:rsid w:val="00920068"/>
    <w:rsid w:val="009201B4"/>
    <w:rsid w:val="00920827"/>
    <w:rsid w:val="009209C4"/>
    <w:rsid w:val="00921DB4"/>
    <w:rsid w:val="00922311"/>
    <w:rsid w:val="00922979"/>
    <w:rsid w:val="00923B66"/>
    <w:rsid w:val="00923D8B"/>
    <w:rsid w:val="0092419B"/>
    <w:rsid w:val="0092545C"/>
    <w:rsid w:val="00926CAA"/>
    <w:rsid w:val="00927176"/>
    <w:rsid w:val="00930423"/>
    <w:rsid w:val="00931764"/>
    <w:rsid w:val="009325C1"/>
    <w:rsid w:val="00932D2A"/>
    <w:rsid w:val="009335FC"/>
    <w:rsid w:val="00934AD3"/>
    <w:rsid w:val="0093549A"/>
    <w:rsid w:val="00936CDB"/>
    <w:rsid w:val="009376CA"/>
    <w:rsid w:val="0093796D"/>
    <w:rsid w:val="00940C0C"/>
    <w:rsid w:val="0094141B"/>
    <w:rsid w:val="00941B84"/>
    <w:rsid w:val="00941FD4"/>
    <w:rsid w:val="009424BF"/>
    <w:rsid w:val="00942960"/>
    <w:rsid w:val="0094298B"/>
    <w:rsid w:val="009437D9"/>
    <w:rsid w:val="00943E9A"/>
    <w:rsid w:val="00943EA2"/>
    <w:rsid w:val="0094409B"/>
    <w:rsid w:val="0094410A"/>
    <w:rsid w:val="0094553D"/>
    <w:rsid w:val="0094618F"/>
    <w:rsid w:val="00946327"/>
    <w:rsid w:val="00946EB2"/>
    <w:rsid w:val="00947000"/>
    <w:rsid w:val="009471CC"/>
    <w:rsid w:val="00947CAC"/>
    <w:rsid w:val="0095051D"/>
    <w:rsid w:val="009512CB"/>
    <w:rsid w:val="009513FF"/>
    <w:rsid w:val="009515F1"/>
    <w:rsid w:val="00953428"/>
    <w:rsid w:val="009537B7"/>
    <w:rsid w:val="00954408"/>
    <w:rsid w:val="0095460E"/>
    <w:rsid w:val="00955ED4"/>
    <w:rsid w:val="0095615A"/>
    <w:rsid w:val="00956E59"/>
    <w:rsid w:val="00960255"/>
    <w:rsid w:val="0096319E"/>
    <w:rsid w:val="009638A4"/>
    <w:rsid w:val="00964F05"/>
    <w:rsid w:val="00965182"/>
    <w:rsid w:val="009651D6"/>
    <w:rsid w:val="00965D45"/>
    <w:rsid w:val="00966D26"/>
    <w:rsid w:val="00967232"/>
    <w:rsid w:val="00967DB1"/>
    <w:rsid w:val="00970890"/>
    <w:rsid w:val="00971A6C"/>
    <w:rsid w:val="00972C28"/>
    <w:rsid w:val="00972CCB"/>
    <w:rsid w:val="0097391C"/>
    <w:rsid w:val="00974408"/>
    <w:rsid w:val="0097447D"/>
    <w:rsid w:val="00974ACA"/>
    <w:rsid w:val="009751FA"/>
    <w:rsid w:val="009754E6"/>
    <w:rsid w:val="00976168"/>
    <w:rsid w:val="00976C54"/>
    <w:rsid w:val="009771EC"/>
    <w:rsid w:val="0097732A"/>
    <w:rsid w:val="00980586"/>
    <w:rsid w:val="00981536"/>
    <w:rsid w:val="00981B75"/>
    <w:rsid w:val="00981C28"/>
    <w:rsid w:val="00982A7D"/>
    <w:rsid w:val="00983457"/>
    <w:rsid w:val="00983642"/>
    <w:rsid w:val="009838F7"/>
    <w:rsid w:val="00983965"/>
    <w:rsid w:val="00983DC1"/>
    <w:rsid w:val="00985060"/>
    <w:rsid w:val="009863AB"/>
    <w:rsid w:val="00986B91"/>
    <w:rsid w:val="00986D17"/>
    <w:rsid w:val="009871F0"/>
    <w:rsid w:val="00987B3E"/>
    <w:rsid w:val="0099061E"/>
    <w:rsid w:val="009911F5"/>
    <w:rsid w:val="00991AD8"/>
    <w:rsid w:val="00991D5F"/>
    <w:rsid w:val="00992524"/>
    <w:rsid w:val="009935CE"/>
    <w:rsid w:val="0099420E"/>
    <w:rsid w:val="00994382"/>
    <w:rsid w:val="00994400"/>
    <w:rsid w:val="00994CD6"/>
    <w:rsid w:val="00994E15"/>
    <w:rsid w:val="0099598D"/>
    <w:rsid w:val="00995B86"/>
    <w:rsid w:val="00995D08"/>
    <w:rsid w:val="009963EB"/>
    <w:rsid w:val="0099659E"/>
    <w:rsid w:val="0099694D"/>
    <w:rsid w:val="00996FB2"/>
    <w:rsid w:val="00997214"/>
    <w:rsid w:val="00997A02"/>
    <w:rsid w:val="009A0F31"/>
    <w:rsid w:val="009A1F1D"/>
    <w:rsid w:val="009A2F5C"/>
    <w:rsid w:val="009A306E"/>
    <w:rsid w:val="009A3555"/>
    <w:rsid w:val="009A3D24"/>
    <w:rsid w:val="009A56FD"/>
    <w:rsid w:val="009A5CFA"/>
    <w:rsid w:val="009A5ED5"/>
    <w:rsid w:val="009A7729"/>
    <w:rsid w:val="009A7ECB"/>
    <w:rsid w:val="009B086A"/>
    <w:rsid w:val="009B0A8C"/>
    <w:rsid w:val="009B2A4F"/>
    <w:rsid w:val="009B2FE1"/>
    <w:rsid w:val="009B3142"/>
    <w:rsid w:val="009B404A"/>
    <w:rsid w:val="009B468E"/>
    <w:rsid w:val="009B4842"/>
    <w:rsid w:val="009B4912"/>
    <w:rsid w:val="009B5428"/>
    <w:rsid w:val="009B557F"/>
    <w:rsid w:val="009B75B2"/>
    <w:rsid w:val="009C0BCB"/>
    <w:rsid w:val="009C1597"/>
    <w:rsid w:val="009C15F2"/>
    <w:rsid w:val="009C32F5"/>
    <w:rsid w:val="009C42DC"/>
    <w:rsid w:val="009C4386"/>
    <w:rsid w:val="009C4A96"/>
    <w:rsid w:val="009C558E"/>
    <w:rsid w:val="009C62DA"/>
    <w:rsid w:val="009C635A"/>
    <w:rsid w:val="009C678A"/>
    <w:rsid w:val="009C74BF"/>
    <w:rsid w:val="009C7B92"/>
    <w:rsid w:val="009D000F"/>
    <w:rsid w:val="009D0258"/>
    <w:rsid w:val="009D19DB"/>
    <w:rsid w:val="009D1F4D"/>
    <w:rsid w:val="009D2648"/>
    <w:rsid w:val="009D2CE1"/>
    <w:rsid w:val="009D343E"/>
    <w:rsid w:val="009D378E"/>
    <w:rsid w:val="009D37EE"/>
    <w:rsid w:val="009D3968"/>
    <w:rsid w:val="009D3D22"/>
    <w:rsid w:val="009D3D35"/>
    <w:rsid w:val="009D46D8"/>
    <w:rsid w:val="009D4882"/>
    <w:rsid w:val="009D4DBC"/>
    <w:rsid w:val="009D50F3"/>
    <w:rsid w:val="009D5AC7"/>
    <w:rsid w:val="009D61AA"/>
    <w:rsid w:val="009D6B8A"/>
    <w:rsid w:val="009D73CA"/>
    <w:rsid w:val="009D7859"/>
    <w:rsid w:val="009D7BCB"/>
    <w:rsid w:val="009D7CCE"/>
    <w:rsid w:val="009D7F7B"/>
    <w:rsid w:val="009E18EB"/>
    <w:rsid w:val="009E1C7A"/>
    <w:rsid w:val="009E1C88"/>
    <w:rsid w:val="009E2B10"/>
    <w:rsid w:val="009E3134"/>
    <w:rsid w:val="009E3329"/>
    <w:rsid w:val="009E33A0"/>
    <w:rsid w:val="009E35DF"/>
    <w:rsid w:val="009E3613"/>
    <w:rsid w:val="009E41B8"/>
    <w:rsid w:val="009E42F6"/>
    <w:rsid w:val="009E4E62"/>
    <w:rsid w:val="009E4F3D"/>
    <w:rsid w:val="009E55F8"/>
    <w:rsid w:val="009E5D4C"/>
    <w:rsid w:val="009E7263"/>
    <w:rsid w:val="009F14A0"/>
    <w:rsid w:val="009F196D"/>
    <w:rsid w:val="009F1BCD"/>
    <w:rsid w:val="009F1BE2"/>
    <w:rsid w:val="009F2029"/>
    <w:rsid w:val="009F3097"/>
    <w:rsid w:val="009F38D1"/>
    <w:rsid w:val="009F4BD6"/>
    <w:rsid w:val="009F4F15"/>
    <w:rsid w:val="009F5546"/>
    <w:rsid w:val="009F62CC"/>
    <w:rsid w:val="009F6685"/>
    <w:rsid w:val="009F6DCC"/>
    <w:rsid w:val="009F7706"/>
    <w:rsid w:val="00A0024F"/>
    <w:rsid w:val="00A018D6"/>
    <w:rsid w:val="00A01A8E"/>
    <w:rsid w:val="00A02CF2"/>
    <w:rsid w:val="00A02E15"/>
    <w:rsid w:val="00A0331D"/>
    <w:rsid w:val="00A03D31"/>
    <w:rsid w:val="00A04361"/>
    <w:rsid w:val="00A04B96"/>
    <w:rsid w:val="00A05DFE"/>
    <w:rsid w:val="00A05E7D"/>
    <w:rsid w:val="00A068E0"/>
    <w:rsid w:val="00A06986"/>
    <w:rsid w:val="00A06FB4"/>
    <w:rsid w:val="00A071D2"/>
    <w:rsid w:val="00A07602"/>
    <w:rsid w:val="00A079CE"/>
    <w:rsid w:val="00A07C70"/>
    <w:rsid w:val="00A07F99"/>
    <w:rsid w:val="00A11039"/>
    <w:rsid w:val="00A11DE8"/>
    <w:rsid w:val="00A155CF"/>
    <w:rsid w:val="00A1691D"/>
    <w:rsid w:val="00A17B4F"/>
    <w:rsid w:val="00A2064D"/>
    <w:rsid w:val="00A20CA9"/>
    <w:rsid w:val="00A20D33"/>
    <w:rsid w:val="00A211B5"/>
    <w:rsid w:val="00A21B75"/>
    <w:rsid w:val="00A21D8F"/>
    <w:rsid w:val="00A2291E"/>
    <w:rsid w:val="00A231FC"/>
    <w:rsid w:val="00A24D1D"/>
    <w:rsid w:val="00A254E6"/>
    <w:rsid w:val="00A25DB4"/>
    <w:rsid w:val="00A27B8A"/>
    <w:rsid w:val="00A314D3"/>
    <w:rsid w:val="00A32631"/>
    <w:rsid w:val="00A331E8"/>
    <w:rsid w:val="00A337CC"/>
    <w:rsid w:val="00A34477"/>
    <w:rsid w:val="00A357BA"/>
    <w:rsid w:val="00A35E59"/>
    <w:rsid w:val="00A3643C"/>
    <w:rsid w:val="00A36FF5"/>
    <w:rsid w:val="00A402F9"/>
    <w:rsid w:val="00A405E7"/>
    <w:rsid w:val="00A4140E"/>
    <w:rsid w:val="00A4190F"/>
    <w:rsid w:val="00A41A17"/>
    <w:rsid w:val="00A4229E"/>
    <w:rsid w:val="00A42943"/>
    <w:rsid w:val="00A439CE"/>
    <w:rsid w:val="00A44B1A"/>
    <w:rsid w:val="00A45BD4"/>
    <w:rsid w:val="00A46DF9"/>
    <w:rsid w:val="00A5024B"/>
    <w:rsid w:val="00A50632"/>
    <w:rsid w:val="00A51627"/>
    <w:rsid w:val="00A516BE"/>
    <w:rsid w:val="00A518C3"/>
    <w:rsid w:val="00A51ED5"/>
    <w:rsid w:val="00A527F3"/>
    <w:rsid w:val="00A536CE"/>
    <w:rsid w:val="00A54106"/>
    <w:rsid w:val="00A54557"/>
    <w:rsid w:val="00A55101"/>
    <w:rsid w:val="00A55255"/>
    <w:rsid w:val="00A552E6"/>
    <w:rsid w:val="00A576A6"/>
    <w:rsid w:val="00A57A2A"/>
    <w:rsid w:val="00A57AA9"/>
    <w:rsid w:val="00A6004C"/>
    <w:rsid w:val="00A6006F"/>
    <w:rsid w:val="00A6095A"/>
    <w:rsid w:val="00A60C13"/>
    <w:rsid w:val="00A60C33"/>
    <w:rsid w:val="00A60DC4"/>
    <w:rsid w:val="00A61AB8"/>
    <w:rsid w:val="00A6236F"/>
    <w:rsid w:val="00A6319D"/>
    <w:rsid w:val="00A63601"/>
    <w:rsid w:val="00A63933"/>
    <w:rsid w:val="00A64CEF"/>
    <w:rsid w:val="00A65AAE"/>
    <w:rsid w:val="00A66A79"/>
    <w:rsid w:val="00A66CB8"/>
    <w:rsid w:val="00A70170"/>
    <w:rsid w:val="00A705A3"/>
    <w:rsid w:val="00A711BC"/>
    <w:rsid w:val="00A71D68"/>
    <w:rsid w:val="00A7216C"/>
    <w:rsid w:val="00A72599"/>
    <w:rsid w:val="00A734A0"/>
    <w:rsid w:val="00A7387E"/>
    <w:rsid w:val="00A7490C"/>
    <w:rsid w:val="00A8068D"/>
    <w:rsid w:val="00A81B5C"/>
    <w:rsid w:val="00A825A3"/>
    <w:rsid w:val="00A82CCD"/>
    <w:rsid w:val="00A86CC6"/>
    <w:rsid w:val="00A87371"/>
    <w:rsid w:val="00A90595"/>
    <w:rsid w:val="00A915DB"/>
    <w:rsid w:val="00A91AD2"/>
    <w:rsid w:val="00A92926"/>
    <w:rsid w:val="00A93B33"/>
    <w:rsid w:val="00A94135"/>
    <w:rsid w:val="00A9527A"/>
    <w:rsid w:val="00A956C4"/>
    <w:rsid w:val="00A97185"/>
    <w:rsid w:val="00A97489"/>
    <w:rsid w:val="00A97979"/>
    <w:rsid w:val="00AA1330"/>
    <w:rsid w:val="00AA1617"/>
    <w:rsid w:val="00AA17E5"/>
    <w:rsid w:val="00AA22D2"/>
    <w:rsid w:val="00AA24FA"/>
    <w:rsid w:val="00AA2ADB"/>
    <w:rsid w:val="00AA2E0D"/>
    <w:rsid w:val="00AA3476"/>
    <w:rsid w:val="00AA42CB"/>
    <w:rsid w:val="00AA5029"/>
    <w:rsid w:val="00AA59B7"/>
    <w:rsid w:val="00AA5C85"/>
    <w:rsid w:val="00AA6BB8"/>
    <w:rsid w:val="00AA6D2F"/>
    <w:rsid w:val="00AA7664"/>
    <w:rsid w:val="00AA7EA5"/>
    <w:rsid w:val="00AA7EB6"/>
    <w:rsid w:val="00AB22AE"/>
    <w:rsid w:val="00AB2E87"/>
    <w:rsid w:val="00AB3468"/>
    <w:rsid w:val="00AB4A03"/>
    <w:rsid w:val="00AB5525"/>
    <w:rsid w:val="00AB6A0A"/>
    <w:rsid w:val="00AB7B00"/>
    <w:rsid w:val="00AC0715"/>
    <w:rsid w:val="00AC2C87"/>
    <w:rsid w:val="00AC2E00"/>
    <w:rsid w:val="00AC3A81"/>
    <w:rsid w:val="00AC3C3B"/>
    <w:rsid w:val="00AC47EE"/>
    <w:rsid w:val="00AC48BD"/>
    <w:rsid w:val="00AC4C1F"/>
    <w:rsid w:val="00AC7392"/>
    <w:rsid w:val="00AC761E"/>
    <w:rsid w:val="00AC7954"/>
    <w:rsid w:val="00AD131D"/>
    <w:rsid w:val="00AD17CE"/>
    <w:rsid w:val="00AD20F3"/>
    <w:rsid w:val="00AD25DF"/>
    <w:rsid w:val="00AD27F1"/>
    <w:rsid w:val="00AD38E3"/>
    <w:rsid w:val="00AD3D9B"/>
    <w:rsid w:val="00AD40BE"/>
    <w:rsid w:val="00AD479A"/>
    <w:rsid w:val="00AD4A8E"/>
    <w:rsid w:val="00AD5021"/>
    <w:rsid w:val="00AD5F48"/>
    <w:rsid w:val="00AD681F"/>
    <w:rsid w:val="00AD78A6"/>
    <w:rsid w:val="00AE011B"/>
    <w:rsid w:val="00AE0613"/>
    <w:rsid w:val="00AE1760"/>
    <w:rsid w:val="00AE22F0"/>
    <w:rsid w:val="00AE3362"/>
    <w:rsid w:val="00AE3432"/>
    <w:rsid w:val="00AF0D43"/>
    <w:rsid w:val="00AF0E7B"/>
    <w:rsid w:val="00AF11D9"/>
    <w:rsid w:val="00AF2731"/>
    <w:rsid w:val="00AF2DAF"/>
    <w:rsid w:val="00AF3E97"/>
    <w:rsid w:val="00AF4892"/>
    <w:rsid w:val="00AF51C2"/>
    <w:rsid w:val="00AF59C4"/>
    <w:rsid w:val="00AF618B"/>
    <w:rsid w:val="00AF751C"/>
    <w:rsid w:val="00AF76CF"/>
    <w:rsid w:val="00AF7871"/>
    <w:rsid w:val="00AF7CEF"/>
    <w:rsid w:val="00B002C2"/>
    <w:rsid w:val="00B00539"/>
    <w:rsid w:val="00B008A3"/>
    <w:rsid w:val="00B02188"/>
    <w:rsid w:val="00B02EB8"/>
    <w:rsid w:val="00B034B7"/>
    <w:rsid w:val="00B04ACA"/>
    <w:rsid w:val="00B04D50"/>
    <w:rsid w:val="00B05F69"/>
    <w:rsid w:val="00B06085"/>
    <w:rsid w:val="00B06782"/>
    <w:rsid w:val="00B06808"/>
    <w:rsid w:val="00B06927"/>
    <w:rsid w:val="00B06CB4"/>
    <w:rsid w:val="00B07265"/>
    <w:rsid w:val="00B07366"/>
    <w:rsid w:val="00B100A0"/>
    <w:rsid w:val="00B10285"/>
    <w:rsid w:val="00B105D8"/>
    <w:rsid w:val="00B110C8"/>
    <w:rsid w:val="00B1151A"/>
    <w:rsid w:val="00B11C4C"/>
    <w:rsid w:val="00B121D8"/>
    <w:rsid w:val="00B13F7A"/>
    <w:rsid w:val="00B13FE6"/>
    <w:rsid w:val="00B14347"/>
    <w:rsid w:val="00B15B03"/>
    <w:rsid w:val="00B169BB"/>
    <w:rsid w:val="00B16B6D"/>
    <w:rsid w:val="00B2032E"/>
    <w:rsid w:val="00B20E20"/>
    <w:rsid w:val="00B2185A"/>
    <w:rsid w:val="00B2195F"/>
    <w:rsid w:val="00B220FB"/>
    <w:rsid w:val="00B234D5"/>
    <w:rsid w:val="00B239DE"/>
    <w:rsid w:val="00B23D26"/>
    <w:rsid w:val="00B23D9F"/>
    <w:rsid w:val="00B24487"/>
    <w:rsid w:val="00B245EC"/>
    <w:rsid w:val="00B2474E"/>
    <w:rsid w:val="00B247CF"/>
    <w:rsid w:val="00B248C2"/>
    <w:rsid w:val="00B24A14"/>
    <w:rsid w:val="00B259EC"/>
    <w:rsid w:val="00B25AB5"/>
    <w:rsid w:val="00B25EEE"/>
    <w:rsid w:val="00B2682C"/>
    <w:rsid w:val="00B30470"/>
    <w:rsid w:val="00B31B1A"/>
    <w:rsid w:val="00B321D9"/>
    <w:rsid w:val="00B324CC"/>
    <w:rsid w:val="00B32639"/>
    <w:rsid w:val="00B33F8F"/>
    <w:rsid w:val="00B343C2"/>
    <w:rsid w:val="00B3440F"/>
    <w:rsid w:val="00B359B0"/>
    <w:rsid w:val="00B359CA"/>
    <w:rsid w:val="00B35FA1"/>
    <w:rsid w:val="00B36A2B"/>
    <w:rsid w:val="00B3712A"/>
    <w:rsid w:val="00B377C0"/>
    <w:rsid w:val="00B37B8B"/>
    <w:rsid w:val="00B37D57"/>
    <w:rsid w:val="00B40DA4"/>
    <w:rsid w:val="00B4207D"/>
    <w:rsid w:val="00B422AE"/>
    <w:rsid w:val="00B4272D"/>
    <w:rsid w:val="00B43191"/>
    <w:rsid w:val="00B43204"/>
    <w:rsid w:val="00B43865"/>
    <w:rsid w:val="00B43B1C"/>
    <w:rsid w:val="00B44361"/>
    <w:rsid w:val="00B443AC"/>
    <w:rsid w:val="00B44610"/>
    <w:rsid w:val="00B45481"/>
    <w:rsid w:val="00B46020"/>
    <w:rsid w:val="00B465E5"/>
    <w:rsid w:val="00B46FA2"/>
    <w:rsid w:val="00B4721C"/>
    <w:rsid w:val="00B5071D"/>
    <w:rsid w:val="00B50CF6"/>
    <w:rsid w:val="00B50EFE"/>
    <w:rsid w:val="00B51910"/>
    <w:rsid w:val="00B51E4B"/>
    <w:rsid w:val="00B51FB0"/>
    <w:rsid w:val="00B53EE3"/>
    <w:rsid w:val="00B5407A"/>
    <w:rsid w:val="00B54D6B"/>
    <w:rsid w:val="00B54F6F"/>
    <w:rsid w:val="00B554A3"/>
    <w:rsid w:val="00B558AD"/>
    <w:rsid w:val="00B55969"/>
    <w:rsid w:val="00B55DE1"/>
    <w:rsid w:val="00B55E20"/>
    <w:rsid w:val="00B56D07"/>
    <w:rsid w:val="00B574EC"/>
    <w:rsid w:val="00B57C2F"/>
    <w:rsid w:val="00B57E27"/>
    <w:rsid w:val="00B60785"/>
    <w:rsid w:val="00B60FD6"/>
    <w:rsid w:val="00B63330"/>
    <w:rsid w:val="00B64EDE"/>
    <w:rsid w:val="00B6507C"/>
    <w:rsid w:val="00B65237"/>
    <w:rsid w:val="00B65574"/>
    <w:rsid w:val="00B65691"/>
    <w:rsid w:val="00B65918"/>
    <w:rsid w:val="00B66875"/>
    <w:rsid w:val="00B66B31"/>
    <w:rsid w:val="00B66CD8"/>
    <w:rsid w:val="00B67031"/>
    <w:rsid w:val="00B700FF"/>
    <w:rsid w:val="00B70139"/>
    <w:rsid w:val="00B726ED"/>
    <w:rsid w:val="00B727BC"/>
    <w:rsid w:val="00B72B80"/>
    <w:rsid w:val="00B73AA6"/>
    <w:rsid w:val="00B73CB6"/>
    <w:rsid w:val="00B73FDB"/>
    <w:rsid w:val="00B74997"/>
    <w:rsid w:val="00B76346"/>
    <w:rsid w:val="00B76774"/>
    <w:rsid w:val="00B76B30"/>
    <w:rsid w:val="00B77567"/>
    <w:rsid w:val="00B77D46"/>
    <w:rsid w:val="00B80DF1"/>
    <w:rsid w:val="00B814FB"/>
    <w:rsid w:val="00B8220F"/>
    <w:rsid w:val="00B8292A"/>
    <w:rsid w:val="00B82BDB"/>
    <w:rsid w:val="00B834C5"/>
    <w:rsid w:val="00B843D8"/>
    <w:rsid w:val="00B850DF"/>
    <w:rsid w:val="00B853F3"/>
    <w:rsid w:val="00B856B3"/>
    <w:rsid w:val="00B85E99"/>
    <w:rsid w:val="00B86FA5"/>
    <w:rsid w:val="00B9082B"/>
    <w:rsid w:val="00B90D0F"/>
    <w:rsid w:val="00B912B9"/>
    <w:rsid w:val="00B931D7"/>
    <w:rsid w:val="00B93CDB"/>
    <w:rsid w:val="00B93F27"/>
    <w:rsid w:val="00B953B2"/>
    <w:rsid w:val="00B9564F"/>
    <w:rsid w:val="00B95E65"/>
    <w:rsid w:val="00B96036"/>
    <w:rsid w:val="00B967A8"/>
    <w:rsid w:val="00B96B7A"/>
    <w:rsid w:val="00B97897"/>
    <w:rsid w:val="00BA0E14"/>
    <w:rsid w:val="00BA189C"/>
    <w:rsid w:val="00BA1F4D"/>
    <w:rsid w:val="00BA2EE9"/>
    <w:rsid w:val="00BA3567"/>
    <w:rsid w:val="00BA3677"/>
    <w:rsid w:val="00BA3ABD"/>
    <w:rsid w:val="00BA3B67"/>
    <w:rsid w:val="00BA467F"/>
    <w:rsid w:val="00BA4A7E"/>
    <w:rsid w:val="00BA51E1"/>
    <w:rsid w:val="00BA55C0"/>
    <w:rsid w:val="00BA5776"/>
    <w:rsid w:val="00BA623C"/>
    <w:rsid w:val="00BB07B7"/>
    <w:rsid w:val="00BB10A4"/>
    <w:rsid w:val="00BB1986"/>
    <w:rsid w:val="00BB2BEE"/>
    <w:rsid w:val="00BB2F53"/>
    <w:rsid w:val="00BB30F9"/>
    <w:rsid w:val="00BB3556"/>
    <w:rsid w:val="00BB4691"/>
    <w:rsid w:val="00BB55CF"/>
    <w:rsid w:val="00BB5B77"/>
    <w:rsid w:val="00BB62E2"/>
    <w:rsid w:val="00BB6331"/>
    <w:rsid w:val="00BB63A5"/>
    <w:rsid w:val="00BB6652"/>
    <w:rsid w:val="00BB72DA"/>
    <w:rsid w:val="00BB72E8"/>
    <w:rsid w:val="00BB778A"/>
    <w:rsid w:val="00BB77D0"/>
    <w:rsid w:val="00BB7AE4"/>
    <w:rsid w:val="00BB7DB8"/>
    <w:rsid w:val="00BC01A0"/>
    <w:rsid w:val="00BC024C"/>
    <w:rsid w:val="00BC0DDB"/>
    <w:rsid w:val="00BC131D"/>
    <w:rsid w:val="00BC1BDD"/>
    <w:rsid w:val="00BC29B5"/>
    <w:rsid w:val="00BC2C2A"/>
    <w:rsid w:val="00BC3294"/>
    <w:rsid w:val="00BC364E"/>
    <w:rsid w:val="00BC3A24"/>
    <w:rsid w:val="00BC3C48"/>
    <w:rsid w:val="00BC43C2"/>
    <w:rsid w:val="00BC4EA0"/>
    <w:rsid w:val="00BC548F"/>
    <w:rsid w:val="00BC569D"/>
    <w:rsid w:val="00BC5798"/>
    <w:rsid w:val="00BC5A1A"/>
    <w:rsid w:val="00BC6047"/>
    <w:rsid w:val="00BC656C"/>
    <w:rsid w:val="00BD035C"/>
    <w:rsid w:val="00BD0714"/>
    <w:rsid w:val="00BD0D9E"/>
    <w:rsid w:val="00BD0E24"/>
    <w:rsid w:val="00BD11F4"/>
    <w:rsid w:val="00BD1310"/>
    <w:rsid w:val="00BD161F"/>
    <w:rsid w:val="00BD2D65"/>
    <w:rsid w:val="00BD499C"/>
    <w:rsid w:val="00BD5308"/>
    <w:rsid w:val="00BD5498"/>
    <w:rsid w:val="00BD6D4A"/>
    <w:rsid w:val="00BD6E9B"/>
    <w:rsid w:val="00BD7019"/>
    <w:rsid w:val="00BD74F9"/>
    <w:rsid w:val="00BD763C"/>
    <w:rsid w:val="00BD7B57"/>
    <w:rsid w:val="00BD7D6A"/>
    <w:rsid w:val="00BE0115"/>
    <w:rsid w:val="00BE0861"/>
    <w:rsid w:val="00BE1023"/>
    <w:rsid w:val="00BE182D"/>
    <w:rsid w:val="00BE1C7D"/>
    <w:rsid w:val="00BE217D"/>
    <w:rsid w:val="00BE415C"/>
    <w:rsid w:val="00BE4EBC"/>
    <w:rsid w:val="00BE51B4"/>
    <w:rsid w:val="00BE6CB9"/>
    <w:rsid w:val="00BE704E"/>
    <w:rsid w:val="00BE7F8B"/>
    <w:rsid w:val="00BF00E7"/>
    <w:rsid w:val="00BF1090"/>
    <w:rsid w:val="00BF19C6"/>
    <w:rsid w:val="00BF1F8E"/>
    <w:rsid w:val="00BF203D"/>
    <w:rsid w:val="00BF23A0"/>
    <w:rsid w:val="00BF2A08"/>
    <w:rsid w:val="00BF371E"/>
    <w:rsid w:val="00BF41CC"/>
    <w:rsid w:val="00BF5315"/>
    <w:rsid w:val="00BF54C3"/>
    <w:rsid w:val="00BF59EA"/>
    <w:rsid w:val="00BF5AE2"/>
    <w:rsid w:val="00BF610E"/>
    <w:rsid w:val="00BF623A"/>
    <w:rsid w:val="00BF6B7A"/>
    <w:rsid w:val="00BF6D46"/>
    <w:rsid w:val="00BF7D86"/>
    <w:rsid w:val="00C007E6"/>
    <w:rsid w:val="00C00BF2"/>
    <w:rsid w:val="00C01C20"/>
    <w:rsid w:val="00C02C07"/>
    <w:rsid w:val="00C03CC4"/>
    <w:rsid w:val="00C040B4"/>
    <w:rsid w:val="00C04908"/>
    <w:rsid w:val="00C04B60"/>
    <w:rsid w:val="00C05C1B"/>
    <w:rsid w:val="00C05CAB"/>
    <w:rsid w:val="00C068BA"/>
    <w:rsid w:val="00C0751D"/>
    <w:rsid w:val="00C0788A"/>
    <w:rsid w:val="00C07C06"/>
    <w:rsid w:val="00C10027"/>
    <w:rsid w:val="00C101A6"/>
    <w:rsid w:val="00C10AF1"/>
    <w:rsid w:val="00C10B30"/>
    <w:rsid w:val="00C125DD"/>
    <w:rsid w:val="00C12AA8"/>
    <w:rsid w:val="00C12EB4"/>
    <w:rsid w:val="00C13530"/>
    <w:rsid w:val="00C14635"/>
    <w:rsid w:val="00C14B63"/>
    <w:rsid w:val="00C14E5A"/>
    <w:rsid w:val="00C15069"/>
    <w:rsid w:val="00C157FD"/>
    <w:rsid w:val="00C15F1A"/>
    <w:rsid w:val="00C16728"/>
    <w:rsid w:val="00C16C1A"/>
    <w:rsid w:val="00C204D1"/>
    <w:rsid w:val="00C20E58"/>
    <w:rsid w:val="00C21534"/>
    <w:rsid w:val="00C21A94"/>
    <w:rsid w:val="00C2331A"/>
    <w:rsid w:val="00C23CF0"/>
    <w:rsid w:val="00C23E5C"/>
    <w:rsid w:val="00C248AE"/>
    <w:rsid w:val="00C2541E"/>
    <w:rsid w:val="00C2558E"/>
    <w:rsid w:val="00C262DA"/>
    <w:rsid w:val="00C2635F"/>
    <w:rsid w:val="00C2662C"/>
    <w:rsid w:val="00C26E2D"/>
    <w:rsid w:val="00C27114"/>
    <w:rsid w:val="00C27207"/>
    <w:rsid w:val="00C277AF"/>
    <w:rsid w:val="00C303BA"/>
    <w:rsid w:val="00C3193B"/>
    <w:rsid w:val="00C31CEF"/>
    <w:rsid w:val="00C32ACA"/>
    <w:rsid w:val="00C343EB"/>
    <w:rsid w:val="00C35596"/>
    <w:rsid w:val="00C35804"/>
    <w:rsid w:val="00C35C84"/>
    <w:rsid w:val="00C35CEA"/>
    <w:rsid w:val="00C35F29"/>
    <w:rsid w:val="00C369C5"/>
    <w:rsid w:val="00C36C56"/>
    <w:rsid w:val="00C3709B"/>
    <w:rsid w:val="00C37AAF"/>
    <w:rsid w:val="00C4060A"/>
    <w:rsid w:val="00C41051"/>
    <w:rsid w:val="00C42D04"/>
    <w:rsid w:val="00C43D74"/>
    <w:rsid w:val="00C44D2E"/>
    <w:rsid w:val="00C44EF3"/>
    <w:rsid w:val="00C477F4"/>
    <w:rsid w:val="00C52339"/>
    <w:rsid w:val="00C52CCE"/>
    <w:rsid w:val="00C52FC9"/>
    <w:rsid w:val="00C53A6C"/>
    <w:rsid w:val="00C54E00"/>
    <w:rsid w:val="00C5511E"/>
    <w:rsid w:val="00C55211"/>
    <w:rsid w:val="00C55A20"/>
    <w:rsid w:val="00C55D7F"/>
    <w:rsid w:val="00C5691E"/>
    <w:rsid w:val="00C579F7"/>
    <w:rsid w:val="00C57DF4"/>
    <w:rsid w:val="00C60B46"/>
    <w:rsid w:val="00C614FC"/>
    <w:rsid w:val="00C616B9"/>
    <w:rsid w:val="00C618A6"/>
    <w:rsid w:val="00C628B2"/>
    <w:rsid w:val="00C62908"/>
    <w:rsid w:val="00C62D7E"/>
    <w:rsid w:val="00C63566"/>
    <w:rsid w:val="00C63E30"/>
    <w:rsid w:val="00C640C5"/>
    <w:rsid w:val="00C643BA"/>
    <w:rsid w:val="00C647DA"/>
    <w:rsid w:val="00C6601C"/>
    <w:rsid w:val="00C6614C"/>
    <w:rsid w:val="00C67097"/>
    <w:rsid w:val="00C672AD"/>
    <w:rsid w:val="00C67BBF"/>
    <w:rsid w:val="00C7063C"/>
    <w:rsid w:val="00C708A6"/>
    <w:rsid w:val="00C71576"/>
    <w:rsid w:val="00C719BE"/>
    <w:rsid w:val="00C73475"/>
    <w:rsid w:val="00C73682"/>
    <w:rsid w:val="00C73697"/>
    <w:rsid w:val="00C736E3"/>
    <w:rsid w:val="00C741A9"/>
    <w:rsid w:val="00C75F9A"/>
    <w:rsid w:val="00C7633E"/>
    <w:rsid w:val="00C76691"/>
    <w:rsid w:val="00C7688F"/>
    <w:rsid w:val="00C77349"/>
    <w:rsid w:val="00C77926"/>
    <w:rsid w:val="00C80054"/>
    <w:rsid w:val="00C813B3"/>
    <w:rsid w:val="00C8145D"/>
    <w:rsid w:val="00C81BB2"/>
    <w:rsid w:val="00C81DBC"/>
    <w:rsid w:val="00C82E56"/>
    <w:rsid w:val="00C849BD"/>
    <w:rsid w:val="00C851FA"/>
    <w:rsid w:val="00C85736"/>
    <w:rsid w:val="00C86FDE"/>
    <w:rsid w:val="00C87D7E"/>
    <w:rsid w:val="00C87D83"/>
    <w:rsid w:val="00C9152F"/>
    <w:rsid w:val="00C94293"/>
    <w:rsid w:val="00C94F19"/>
    <w:rsid w:val="00C950C9"/>
    <w:rsid w:val="00C952FA"/>
    <w:rsid w:val="00C95C58"/>
    <w:rsid w:val="00C960DC"/>
    <w:rsid w:val="00C9755B"/>
    <w:rsid w:val="00C97CFC"/>
    <w:rsid w:val="00CA15A7"/>
    <w:rsid w:val="00CA1614"/>
    <w:rsid w:val="00CA26D7"/>
    <w:rsid w:val="00CA3FAD"/>
    <w:rsid w:val="00CA534A"/>
    <w:rsid w:val="00CA5853"/>
    <w:rsid w:val="00CA6627"/>
    <w:rsid w:val="00CA6EDC"/>
    <w:rsid w:val="00CA7C58"/>
    <w:rsid w:val="00CA7D38"/>
    <w:rsid w:val="00CB1402"/>
    <w:rsid w:val="00CB1599"/>
    <w:rsid w:val="00CB21FC"/>
    <w:rsid w:val="00CB2A15"/>
    <w:rsid w:val="00CB2D0D"/>
    <w:rsid w:val="00CB3108"/>
    <w:rsid w:val="00CB39E2"/>
    <w:rsid w:val="00CB43E5"/>
    <w:rsid w:val="00CB50E2"/>
    <w:rsid w:val="00CB52A2"/>
    <w:rsid w:val="00CB599D"/>
    <w:rsid w:val="00CB5BCB"/>
    <w:rsid w:val="00CB5D7E"/>
    <w:rsid w:val="00CB6442"/>
    <w:rsid w:val="00CB6778"/>
    <w:rsid w:val="00CB693E"/>
    <w:rsid w:val="00CB6AD1"/>
    <w:rsid w:val="00CC146C"/>
    <w:rsid w:val="00CC1991"/>
    <w:rsid w:val="00CC19DA"/>
    <w:rsid w:val="00CC2ABF"/>
    <w:rsid w:val="00CC3442"/>
    <w:rsid w:val="00CC4D60"/>
    <w:rsid w:val="00CC6552"/>
    <w:rsid w:val="00CC7002"/>
    <w:rsid w:val="00CC73B6"/>
    <w:rsid w:val="00CD130D"/>
    <w:rsid w:val="00CD16E5"/>
    <w:rsid w:val="00CD1DCC"/>
    <w:rsid w:val="00CD1EB9"/>
    <w:rsid w:val="00CD2E82"/>
    <w:rsid w:val="00CD3033"/>
    <w:rsid w:val="00CD3655"/>
    <w:rsid w:val="00CD3AC9"/>
    <w:rsid w:val="00CD4BB3"/>
    <w:rsid w:val="00CD5A69"/>
    <w:rsid w:val="00CD5FF1"/>
    <w:rsid w:val="00CD70CD"/>
    <w:rsid w:val="00CE0985"/>
    <w:rsid w:val="00CE155E"/>
    <w:rsid w:val="00CE24EC"/>
    <w:rsid w:val="00CE335E"/>
    <w:rsid w:val="00CE361A"/>
    <w:rsid w:val="00CE37D3"/>
    <w:rsid w:val="00CE62F4"/>
    <w:rsid w:val="00CE67A6"/>
    <w:rsid w:val="00CE6858"/>
    <w:rsid w:val="00CE68DC"/>
    <w:rsid w:val="00CE7426"/>
    <w:rsid w:val="00CE791A"/>
    <w:rsid w:val="00CF0BF3"/>
    <w:rsid w:val="00CF1556"/>
    <w:rsid w:val="00CF16A9"/>
    <w:rsid w:val="00CF1ACD"/>
    <w:rsid w:val="00CF2280"/>
    <w:rsid w:val="00CF280B"/>
    <w:rsid w:val="00CF31C4"/>
    <w:rsid w:val="00CF37DA"/>
    <w:rsid w:val="00CF3F98"/>
    <w:rsid w:val="00CF50A3"/>
    <w:rsid w:val="00CF534E"/>
    <w:rsid w:val="00D00A46"/>
    <w:rsid w:val="00D00EFB"/>
    <w:rsid w:val="00D05B83"/>
    <w:rsid w:val="00D05FB0"/>
    <w:rsid w:val="00D069F2"/>
    <w:rsid w:val="00D104DA"/>
    <w:rsid w:val="00D10FC4"/>
    <w:rsid w:val="00D1139C"/>
    <w:rsid w:val="00D115DE"/>
    <w:rsid w:val="00D11D7F"/>
    <w:rsid w:val="00D129EF"/>
    <w:rsid w:val="00D14614"/>
    <w:rsid w:val="00D1471D"/>
    <w:rsid w:val="00D15E15"/>
    <w:rsid w:val="00D16497"/>
    <w:rsid w:val="00D17D8B"/>
    <w:rsid w:val="00D21561"/>
    <w:rsid w:val="00D2254C"/>
    <w:rsid w:val="00D22CD7"/>
    <w:rsid w:val="00D239AF"/>
    <w:rsid w:val="00D24E56"/>
    <w:rsid w:val="00D26C89"/>
    <w:rsid w:val="00D27047"/>
    <w:rsid w:val="00D27694"/>
    <w:rsid w:val="00D27769"/>
    <w:rsid w:val="00D31078"/>
    <w:rsid w:val="00D3221E"/>
    <w:rsid w:val="00D324BE"/>
    <w:rsid w:val="00D354E5"/>
    <w:rsid w:val="00D3558C"/>
    <w:rsid w:val="00D36FA4"/>
    <w:rsid w:val="00D37344"/>
    <w:rsid w:val="00D40061"/>
    <w:rsid w:val="00D407BF"/>
    <w:rsid w:val="00D40CDE"/>
    <w:rsid w:val="00D41375"/>
    <w:rsid w:val="00D41542"/>
    <w:rsid w:val="00D427C4"/>
    <w:rsid w:val="00D46148"/>
    <w:rsid w:val="00D47F4E"/>
    <w:rsid w:val="00D50057"/>
    <w:rsid w:val="00D51584"/>
    <w:rsid w:val="00D52DD3"/>
    <w:rsid w:val="00D53849"/>
    <w:rsid w:val="00D53A92"/>
    <w:rsid w:val="00D54505"/>
    <w:rsid w:val="00D54797"/>
    <w:rsid w:val="00D551F6"/>
    <w:rsid w:val="00D55ED7"/>
    <w:rsid w:val="00D56570"/>
    <w:rsid w:val="00D56C96"/>
    <w:rsid w:val="00D5723E"/>
    <w:rsid w:val="00D5759B"/>
    <w:rsid w:val="00D57ADA"/>
    <w:rsid w:val="00D600A5"/>
    <w:rsid w:val="00D60268"/>
    <w:rsid w:val="00D60575"/>
    <w:rsid w:val="00D60A70"/>
    <w:rsid w:val="00D617FC"/>
    <w:rsid w:val="00D62A54"/>
    <w:rsid w:val="00D63B49"/>
    <w:rsid w:val="00D64049"/>
    <w:rsid w:val="00D64276"/>
    <w:rsid w:val="00D6447A"/>
    <w:rsid w:val="00D648E3"/>
    <w:rsid w:val="00D64D8F"/>
    <w:rsid w:val="00D65730"/>
    <w:rsid w:val="00D65A33"/>
    <w:rsid w:val="00D65C4C"/>
    <w:rsid w:val="00D65F37"/>
    <w:rsid w:val="00D66CC6"/>
    <w:rsid w:val="00D66EE3"/>
    <w:rsid w:val="00D67AC7"/>
    <w:rsid w:val="00D742D2"/>
    <w:rsid w:val="00D74C54"/>
    <w:rsid w:val="00D76425"/>
    <w:rsid w:val="00D76658"/>
    <w:rsid w:val="00D766B6"/>
    <w:rsid w:val="00D77FB4"/>
    <w:rsid w:val="00D80305"/>
    <w:rsid w:val="00D804E5"/>
    <w:rsid w:val="00D80D95"/>
    <w:rsid w:val="00D82A75"/>
    <w:rsid w:val="00D82CEE"/>
    <w:rsid w:val="00D85177"/>
    <w:rsid w:val="00D85268"/>
    <w:rsid w:val="00D86080"/>
    <w:rsid w:val="00D8637F"/>
    <w:rsid w:val="00D86675"/>
    <w:rsid w:val="00D86928"/>
    <w:rsid w:val="00D87095"/>
    <w:rsid w:val="00D87E93"/>
    <w:rsid w:val="00D903E8"/>
    <w:rsid w:val="00D9317E"/>
    <w:rsid w:val="00D93B67"/>
    <w:rsid w:val="00D9494A"/>
    <w:rsid w:val="00D95A5C"/>
    <w:rsid w:val="00D95B5D"/>
    <w:rsid w:val="00D96CB8"/>
    <w:rsid w:val="00DA06D3"/>
    <w:rsid w:val="00DA104E"/>
    <w:rsid w:val="00DA1501"/>
    <w:rsid w:val="00DA200B"/>
    <w:rsid w:val="00DA24E7"/>
    <w:rsid w:val="00DA25B3"/>
    <w:rsid w:val="00DA3335"/>
    <w:rsid w:val="00DA3A21"/>
    <w:rsid w:val="00DA3C55"/>
    <w:rsid w:val="00DA5FED"/>
    <w:rsid w:val="00DA66C5"/>
    <w:rsid w:val="00DA6B7E"/>
    <w:rsid w:val="00DB0B89"/>
    <w:rsid w:val="00DB0F7B"/>
    <w:rsid w:val="00DB1094"/>
    <w:rsid w:val="00DB17E7"/>
    <w:rsid w:val="00DB2044"/>
    <w:rsid w:val="00DB2489"/>
    <w:rsid w:val="00DB4010"/>
    <w:rsid w:val="00DB434F"/>
    <w:rsid w:val="00DB43CE"/>
    <w:rsid w:val="00DB4B13"/>
    <w:rsid w:val="00DB619B"/>
    <w:rsid w:val="00DB7132"/>
    <w:rsid w:val="00DB7949"/>
    <w:rsid w:val="00DC0A0F"/>
    <w:rsid w:val="00DC0CFC"/>
    <w:rsid w:val="00DC1055"/>
    <w:rsid w:val="00DC1303"/>
    <w:rsid w:val="00DC162D"/>
    <w:rsid w:val="00DC16A6"/>
    <w:rsid w:val="00DC25F8"/>
    <w:rsid w:val="00DC4505"/>
    <w:rsid w:val="00DC4D1C"/>
    <w:rsid w:val="00DC55A9"/>
    <w:rsid w:val="00DC5D23"/>
    <w:rsid w:val="00DC696D"/>
    <w:rsid w:val="00DC6DC6"/>
    <w:rsid w:val="00DC6EE5"/>
    <w:rsid w:val="00DC7454"/>
    <w:rsid w:val="00DD00FF"/>
    <w:rsid w:val="00DD1257"/>
    <w:rsid w:val="00DD1736"/>
    <w:rsid w:val="00DD2057"/>
    <w:rsid w:val="00DD214E"/>
    <w:rsid w:val="00DD2430"/>
    <w:rsid w:val="00DD2EF0"/>
    <w:rsid w:val="00DD41A8"/>
    <w:rsid w:val="00DD43D5"/>
    <w:rsid w:val="00DD4FBA"/>
    <w:rsid w:val="00DD5D22"/>
    <w:rsid w:val="00DD654C"/>
    <w:rsid w:val="00DD65EC"/>
    <w:rsid w:val="00DD7245"/>
    <w:rsid w:val="00DE067B"/>
    <w:rsid w:val="00DE0AE9"/>
    <w:rsid w:val="00DE0C02"/>
    <w:rsid w:val="00DE116A"/>
    <w:rsid w:val="00DE1438"/>
    <w:rsid w:val="00DE2DA8"/>
    <w:rsid w:val="00DE37C3"/>
    <w:rsid w:val="00DE4CAD"/>
    <w:rsid w:val="00DE4E51"/>
    <w:rsid w:val="00DE4FDF"/>
    <w:rsid w:val="00DE5696"/>
    <w:rsid w:val="00DE5946"/>
    <w:rsid w:val="00DE64C0"/>
    <w:rsid w:val="00DE680E"/>
    <w:rsid w:val="00DE6964"/>
    <w:rsid w:val="00DE6E34"/>
    <w:rsid w:val="00DF041E"/>
    <w:rsid w:val="00DF07D7"/>
    <w:rsid w:val="00DF15F6"/>
    <w:rsid w:val="00DF1EAF"/>
    <w:rsid w:val="00DF2B8A"/>
    <w:rsid w:val="00DF4AB6"/>
    <w:rsid w:val="00DF525E"/>
    <w:rsid w:val="00DF5424"/>
    <w:rsid w:val="00DF56BF"/>
    <w:rsid w:val="00DF5BDA"/>
    <w:rsid w:val="00DF667E"/>
    <w:rsid w:val="00DF6B22"/>
    <w:rsid w:val="00DF6EE3"/>
    <w:rsid w:val="00DF7080"/>
    <w:rsid w:val="00E00B1C"/>
    <w:rsid w:val="00E00D0A"/>
    <w:rsid w:val="00E01D49"/>
    <w:rsid w:val="00E028B3"/>
    <w:rsid w:val="00E0303B"/>
    <w:rsid w:val="00E0317E"/>
    <w:rsid w:val="00E036A7"/>
    <w:rsid w:val="00E03C55"/>
    <w:rsid w:val="00E04492"/>
    <w:rsid w:val="00E04FED"/>
    <w:rsid w:val="00E05733"/>
    <w:rsid w:val="00E060AA"/>
    <w:rsid w:val="00E06346"/>
    <w:rsid w:val="00E076C9"/>
    <w:rsid w:val="00E076D9"/>
    <w:rsid w:val="00E105AC"/>
    <w:rsid w:val="00E11102"/>
    <w:rsid w:val="00E125FC"/>
    <w:rsid w:val="00E126C0"/>
    <w:rsid w:val="00E12FD9"/>
    <w:rsid w:val="00E13EC0"/>
    <w:rsid w:val="00E14CBD"/>
    <w:rsid w:val="00E1521D"/>
    <w:rsid w:val="00E16220"/>
    <w:rsid w:val="00E16772"/>
    <w:rsid w:val="00E16C82"/>
    <w:rsid w:val="00E17BB8"/>
    <w:rsid w:val="00E17C92"/>
    <w:rsid w:val="00E17E02"/>
    <w:rsid w:val="00E206EA"/>
    <w:rsid w:val="00E21AC0"/>
    <w:rsid w:val="00E21DAC"/>
    <w:rsid w:val="00E22C49"/>
    <w:rsid w:val="00E22EAE"/>
    <w:rsid w:val="00E240F4"/>
    <w:rsid w:val="00E24204"/>
    <w:rsid w:val="00E25232"/>
    <w:rsid w:val="00E26D6D"/>
    <w:rsid w:val="00E26E32"/>
    <w:rsid w:val="00E2721F"/>
    <w:rsid w:val="00E275AB"/>
    <w:rsid w:val="00E27DD3"/>
    <w:rsid w:val="00E30A32"/>
    <w:rsid w:val="00E32148"/>
    <w:rsid w:val="00E32F43"/>
    <w:rsid w:val="00E32F93"/>
    <w:rsid w:val="00E3300F"/>
    <w:rsid w:val="00E33065"/>
    <w:rsid w:val="00E33901"/>
    <w:rsid w:val="00E33DBF"/>
    <w:rsid w:val="00E351B0"/>
    <w:rsid w:val="00E35813"/>
    <w:rsid w:val="00E359A5"/>
    <w:rsid w:val="00E36158"/>
    <w:rsid w:val="00E367CB"/>
    <w:rsid w:val="00E37B6A"/>
    <w:rsid w:val="00E40377"/>
    <w:rsid w:val="00E40AA5"/>
    <w:rsid w:val="00E4107C"/>
    <w:rsid w:val="00E41635"/>
    <w:rsid w:val="00E41A14"/>
    <w:rsid w:val="00E420BC"/>
    <w:rsid w:val="00E42740"/>
    <w:rsid w:val="00E42970"/>
    <w:rsid w:val="00E4551C"/>
    <w:rsid w:val="00E45D0C"/>
    <w:rsid w:val="00E46A06"/>
    <w:rsid w:val="00E46BA1"/>
    <w:rsid w:val="00E47BB1"/>
    <w:rsid w:val="00E47BFF"/>
    <w:rsid w:val="00E500E6"/>
    <w:rsid w:val="00E51A9C"/>
    <w:rsid w:val="00E53B05"/>
    <w:rsid w:val="00E56781"/>
    <w:rsid w:val="00E6097B"/>
    <w:rsid w:val="00E60EC5"/>
    <w:rsid w:val="00E614AA"/>
    <w:rsid w:val="00E620D2"/>
    <w:rsid w:val="00E62880"/>
    <w:rsid w:val="00E63CB0"/>
    <w:rsid w:val="00E63EC6"/>
    <w:rsid w:val="00E651DD"/>
    <w:rsid w:val="00E6578B"/>
    <w:rsid w:val="00E660F8"/>
    <w:rsid w:val="00E66519"/>
    <w:rsid w:val="00E678D2"/>
    <w:rsid w:val="00E67921"/>
    <w:rsid w:val="00E704E2"/>
    <w:rsid w:val="00E70868"/>
    <w:rsid w:val="00E709C4"/>
    <w:rsid w:val="00E70CE6"/>
    <w:rsid w:val="00E715E1"/>
    <w:rsid w:val="00E72A15"/>
    <w:rsid w:val="00E72EC7"/>
    <w:rsid w:val="00E72F33"/>
    <w:rsid w:val="00E7441D"/>
    <w:rsid w:val="00E74F42"/>
    <w:rsid w:val="00E75552"/>
    <w:rsid w:val="00E75E9B"/>
    <w:rsid w:val="00E76EF5"/>
    <w:rsid w:val="00E7710F"/>
    <w:rsid w:val="00E7735B"/>
    <w:rsid w:val="00E804AA"/>
    <w:rsid w:val="00E8087E"/>
    <w:rsid w:val="00E80ADC"/>
    <w:rsid w:val="00E80E25"/>
    <w:rsid w:val="00E84E10"/>
    <w:rsid w:val="00E8570D"/>
    <w:rsid w:val="00E86AB4"/>
    <w:rsid w:val="00E8740F"/>
    <w:rsid w:val="00E91F9E"/>
    <w:rsid w:val="00E92E55"/>
    <w:rsid w:val="00E92E6B"/>
    <w:rsid w:val="00E95DD0"/>
    <w:rsid w:val="00E9624C"/>
    <w:rsid w:val="00E96ACE"/>
    <w:rsid w:val="00E97409"/>
    <w:rsid w:val="00E975E8"/>
    <w:rsid w:val="00E97B95"/>
    <w:rsid w:val="00E97C08"/>
    <w:rsid w:val="00EA08BE"/>
    <w:rsid w:val="00EA0BCF"/>
    <w:rsid w:val="00EA154D"/>
    <w:rsid w:val="00EA1974"/>
    <w:rsid w:val="00EA1C60"/>
    <w:rsid w:val="00EA2B32"/>
    <w:rsid w:val="00EA2E47"/>
    <w:rsid w:val="00EA36D0"/>
    <w:rsid w:val="00EA3826"/>
    <w:rsid w:val="00EA3FD2"/>
    <w:rsid w:val="00EA43DF"/>
    <w:rsid w:val="00EA4546"/>
    <w:rsid w:val="00EA4D0D"/>
    <w:rsid w:val="00EA4DA7"/>
    <w:rsid w:val="00EA4DF3"/>
    <w:rsid w:val="00EA5C45"/>
    <w:rsid w:val="00EA5EDF"/>
    <w:rsid w:val="00EA6BBD"/>
    <w:rsid w:val="00EA6C5D"/>
    <w:rsid w:val="00EA720A"/>
    <w:rsid w:val="00EA7565"/>
    <w:rsid w:val="00EB019F"/>
    <w:rsid w:val="00EB22AE"/>
    <w:rsid w:val="00EB36DA"/>
    <w:rsid w:val="00EB380F"/>
    <w:rsid w:val="00EB4076"/>
    <w:rsid w:val="00EB540B"/>
    <w:rsid w:val="00EB56C7"/>
    <w:rsid w:val="00EB5C0F"/>
    <w:rsid w:val="00EB61DE"/>
    <w:rsid w:val="00EB63D1"/>
    <w:rsid w:val="00EB6C9B"/>
    <w:rsid w:val="00EB71DD"/>
    <w:rsid w:val="00EB72C7"/>
    <w:rsid w:val="00EB74EC"/>
    <w:rsid w:val="00EB7D66"/>
    <w:rsid w:val="00EC0C96"/>
    <w:rsid w:val="00EC10C0"/>
    <w:rsid w:val="00EC2D6F"/>
    <w:rsid w:val="00EC2E1A"/>
    <w:rsid w:val="00EC3734"/>
    <w:rsid w:val="00EC5813"/>
    <w:rsid w:val="00EC5D02"/>
    <w:rsid w:val="00EC5ED3"/>
    <w:rsid w:val="00EC704D"/>
    <w:rsid w:val="00EC7E02"/>
    <w:rsid w:val="00ED088B"/>
    <w:rsid w:val="00ED0DBA"/>
    <w:rsid w:val="00ED1B48"/>
    <w:rsid w:val="00ED1E66"/>
    <w:rsid w:val="00ED3830"/>
    <w:rsid w:val="00ED4FCD"/>
    <w:rsid w:val="00ED593A"/>
    <w:rsid w:val="00ED672A"/>
    <w:rsid w:val="00ED7170"/>
    <w:rsid w:val="00ED7764"/>
    <w:rsid w:val="00ED791D"/>
    <w:rsid w:val="00EE04D8"/>
    <w:rsid w:val="00EE110F"/>
    <w:rsid w:val="00EE1887"/>
    <w:rsid w:val="00EE2A7F"/>
    <w:rsid w:val="00EE334B"/>
    <w:rsid w:val="00EE3407"/>
    <w:rsid w:val="00EE418C"/>
    <w:rsid w:val="00EE469A"/>
    <w:rsid w:val="00EE524D"/>
    <w:rsid w:val="00EE59B7"/>
    <w:rsid w:val="00EE6701"/>
    <w:rsid w:val="00EE6C1B"/>
    <w:rsid w:val="00EE6E5F"/>
    <w:rsid w:val="00EF00C4"/>
    <w:rsid w:val="00EF0DB1"/>
    <w:rsid w:val="00EF25F3"/>
    <w:rsid w:val="00EF2B54"/>
    <w:rsid w:val="00EF334F"/>
    <w:rsid w:val="00EF34C4"/>
    <w:rsid w:val="00EF36A5"/>
    <w:rsid w:val="00EF4702"/>
    <w:rsid w:val="00EF506A"/>
    <w:rsid w:val="00EF5A17"/>
    <w:rsid w:val="00EF5B52"/>
    <w:rsid w:val="00EF5B80"/>
    <w:rsid w:val="00EF5D56"/>
    <w:rsid w:val="00EF6343"/>
    <w:rsid w:val="00EF7A17"/>
    <w:rsid w:val="00EF7CD3"/>
    <w:rsid w:val="00F0041E"/>
    <w:rsid w:val="00F012EB"/>
    <w:rsid w:val="00F01F05"/>
    <w:rsid w:val="00F01F81"/>
    <w:rsid w:val="00F0307D"/>
    <w:rsid w:val="00F030A6"/>
    <w:rsid w:val="00F036E5"/>
    <w:rsid w:val="00F03AA6"/>
    <w:rsid w:val="00F03D05"/>
    <w:rsid w:val="00F04444"/>
    <w:rsid w:val="00F04908"/>
    <w:rsid w:val="00F04F8B"/>
    <w:rsid w:val="00F0599C"/>
    <w:rsid w:val="00F05A15"/>
    <w:rsid w:val="00F05A2F"/>
    <w:rsid w:val="00F064EC"/>
    <w:rsid w:val="00F06890"/>
    <w:rsid w:val="00F068AB"/>
    <w:rsid w:val="00F07CA3"/>
    <w:rsid w:val="00F1079A"/>
    <w:rsid w:val="00F10EE9"/>
    <w:rsid w:val="00F1126D"/>
    <w:rsid w:val="00F1180C"/>
    <w:rsid w:val="00F118DC"/>
    <w:rsid w:val="00F12467"/>
    <w:rsid w:val="00F12602"/>
    <w:rsid w:val="00F12772"/>
    <w:rsid w:val="00F12899"/>
    <w:rsid w:val="00F13264"/>
    <w:rsid w:val="00F1409A"/>
    <w:rsid w:val="00F14D91"/>
    <w:rsid w:val="00F15E36"/>
    <w:rsid w:val="00F16BCC"/>
    <w:rsid w:val="00F173CD"/>
    <w:rsid w:val="00F176C7"/>
    <w:rsid w:val="00F20177"/>
    <w:rsid w:val="00F20527"/>
    <w:rsid w:val="00F21F27"/>
    <w:rsid w:val="00F223D6"/>
    <w:rsid w:val="00F22874"/>
    <w:rsid w:val="00F22B01"/>
    <w:rsid w:val="00F24C09"/>
    <w:rsid w:val="00F250C5"/>
    <w:rsid w:val="00F2641C"/>
    <w:rsid w:val="00F26C87"/>
    <w:rsid w:val="00F300DF"/>
    <w:rsid w:val="00F3184D"/>
    <w:rsid w:val="00F32457"/>
    <w:rsid w:val="00F3267F"/>
    <w:rsid w:val="00F32B70"/>
    <w:rsid w:val="00F32B84"/>
    <w:rsid w:val="00F336F1"/>
    <w:rsid w:val="00F3426F"/>
    <w:rsid w:val="00F3434B"/>
    <w:rsid w:val="00F34938"/>
    <w:rsid w:val="00F34CC3"/>
    <w:rsid w:val="00F35085"/>
    <w:rsid w:val="00F36DD1"/>
    <w:rsid w:val="00F37836"/>
    <w:rsid w:val="00F40318"/>
    <w:rsid w:val="00F40B7E"/>
    <w:rsid w:val="00F411F1"/>
    <w:rsid w:val="00F41DDA"/>
    <w:rsid w:val="00F42705"/>
    <w:rsid w:val="00F44CDB"/>
    <w:rsid w:val="00F44ECE"/>
    <w:rsid w:val="00F45CE5"/>
    <w:rsid w:val="00F503BE"/>
    <w:rsid w:val="00F51398"/>
    <w:rsid w:val="00F526B5"/>
    <w:rsid w:val="00F5271F"/>
    <w:rsid w:val="00F52943"/>
    <w:rsid w:val="00F53328"/>
    <w:rsid w:val="00F53B7E"/>
    <w:rsid w:val="00F55877"/>
    <w:rsid w:val="00F56570"/>
    <w:rsid w:val="00F577F6"/>
    <w:rsid w:val="00F60C76"/>
    <w:rsid w:val="00F60D48"/>
    <w:rsid w:val="00F6238B"/>
    <w:rsid w:val="00F62B43"/>
    <w:rsid w:val="00F63668"/>
    <w:rsid w:val="00F669FF"/>
    <w:rsid w:val="00F66AEB"/>
    <w:rsid w:val="00F670F9"/>
    <w:rsid w:val="00F678D4"/>
    <w:rsid w:val="00F70E16"/>
    <w:rsid w:val="00F70EB0"/>
    <w:rsid w:val="00F71808"/>
    <w:rsid w:val="00F72162"/>
    <w:rsid w:val="00F72A56"/>
    <w:rsid w:val="00F736D2"/>
    <w:rsid w:val="00F73F9F"/>
    <w:rsid w:val="00F744DA"/>
    <w:rsid w:val="00F76214"/>
    <w:rsid w:val="00F77FC3"/>
    <w:rsid w:val="00F81DCC"/>
    <w:rsid w:val="00F83677"/>
    <w:rsid w:val="00F83F4F"/>
    <w:rsid w:val="00F84216"/>
    <w:rsid w:val="00F863C5"/>
    <w:rsid w:val="00F865DA"/>
    <w:rsid w:val="00F86A22"/>
    <w:rsid w:val="00F86D95"/>
    <w:rsid w:val="00F87250"/>
    <w:rsid w:val="00F90874"/>
    <w:rsid w:val="00F91264"/>
    <w:rsid w:val="00F918A6"/>
    <w:rsid w:val="00F91AA1"/>
    <w:rsid w:val="00F91BB0"/>
    <w:rsid w:val="00F93E82"/>
    <w:rsid w:val="00F94440"/>
    <w:rsid w:val="00F94586"/>
    <w:rsid w:val="00F94D14"/>
    <w:rsid w:val="00F96854"/>
    <w:rsid w:val="00F9712A"/>
    <w:rsid w:val="00F97C14"/>
    <w:rsid w:val="00FA08C4"/>
    <w:rsid w:val="00FA0EA9"/>
    <w:rsid w:val="00FA0FF4"/>
    <w:rsid w:val="00FA24BA"/>
    <w:rsid w:val="00FA2923"/>
    <w:rsid w:val="00FA3156"/>
    <w:rsid w:val="00FA31EB"/>
    <w:rsid w:val="00FA334B"/>
    <w:rsid w:val="00FA3856"/>
    <w:rsid w:val="00FA3917"/>
    <w:rsid w:val="00FA5060"/>
    <w:rsid w:val="00FA56A3"/>
    <w:rsid w:val="00FB02AA"/>
    <w:rsid w:val="00FB0A90"/>
    <w:rsid w:val="00FB13E6"/>
    <w:rsid w:val="00FB14A1"/>
    <w:rsid w:val="00FB1DEA"/>
    <w:rsid w:val="00FB1EC9"/>
    <w:rsid w:val="00FB1FEA"/>
    <w:rsid w:val="00FB2076"/>
    <w:rsid w:val="00FB2215"/>
    <w:rsid w:val="00FB23B1"/>
    <w:rsid w:val="00FB23CF"/>
    <w:rsid w:val="00FB33B8"/>
    <w:rsid w:val="00FB3E58"/>
    <w:rsid w:val="00FB4E1C"/>
    <w:rsid w:val="00FB52ED"/>
    <w:rsid w:val="00FB6B06"/>
    <w:rsid w:val="00FC27BB"/>
    <w:rsid w:val="00FC331E"/>
    <w:rsid w:val="00FC33E1"/>
    <w:rsid w:val="00FC3EE9"/>
    <w:rsid w:val="00FC43AA"/>
    <w:rsid w:val="00FC7501"/>
    <w:rsid w:val="00FD0B62"/>
    <w:rsid w:val="00FD0CB1"/>
    <w:rsid w:val="00FD21CE"/>
    <w:rsid w:val="00FD2991"/>
    <w:rsid w:val="00FD3D50"/>
    <w:rsid w:val="00FD4BC5"/>
    <w:rsid w:val="00FD4CA6"/>
    <w:rsid w:val="00FD58FE"/>
    <w:rsid w:val="00FD600A"/>
    <w:rsid w:val="00FD6289"/>
    <w:rsid w:val="00FD6E15"/>
    <w:rsid w:val="00FD733B"/>
    <w:rsid w:val="00FD7B25"/>
    <w:rsid w:val="00FE0018"/>
    <w:rsid w:val="00FE05AC"/>
    <w:rsid w:val="00FE05CF"/>
    <w:rsid w:val="00FE166D"/>
    <w:rsid w:val="00FE187B"/>
    <w:rsid w:val="00FE27DF"/>
    <w:rsid w:val="00FE37CC"/>
    <w:rsid w:val="00FE3994"/>
    <w:rsid w:val="00FE5E38"/>
    <w:rsid w:val="00FE7461"/>
    <w:rsid w:val="00FF0C9F"/>
    <w:rsid w:val="00FF11FB"/>
    <w:rsid w:val="00FF1B7B"/>
    <w:rsid w:val="00FF4106"/>
    <w:rsid w:val="00FF5807"/>
    <w:rsid w:val="00FF591F"/>
    <w:rsid w:val="00FF5B9E"/>
    <w:rsid w:val="00FF5F1D"/>
    <w:rsid w:val="00FF633F"/>
    <w:rsid w:val="00FF6C9E"/>
    <w:rsid w:val="00FF6DD6"/>
    <w:rsid w:val="00FF72B9"/>
    <w:rsid w:val="00FF78AF"/>
    <w:rsid w:val="00FF7B6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68B134D5"/>
  <w15:docId w15:val="{DA35B66B-42A7-4BC7-83AF-B6103AC1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45BD4"/>
    <w:pPr>
      <w:spacing w:after="200" w:line="276" w:lineRule="auto"/>
    </w:pPr>
    <w:rPr>
      <w:sz w:val="22"/>
      <w:szCs w:val="22"/>
      <w:lang w:eastAsia="en-US"/>
    </w:rPr>
  </w:style>
  <w:style w:type="paragraph" w:styleId="Nadpis1">
    <w:name w:val="heading 1"/>
    <w:basedOn w:val="Normlny"/>
    <w:link w:val="Nadpis1Char"/>
    <w:uiPriority w:val="9"/>
    <w:qFormat/>
    <w:rsid w:val="00A45BD4"/>
    <w:pPr>
      <w:spacing w:before="100" w:beforeAutospacing="1" w:after="100" w:afterAutospacing="1" w:line="240" w:lineRule="auto"/>
      <w:outlineLvl w:val="0"/>
    </w:pPr>
    <w:rPr>
      <w:rFonts w:ascii="Times New Roman" w:hAnsi="Times New Roman"/>
      <w:b/>
      <w:bCs/>
      <w:kern w:val="36"/>
      <w:sz w:val="48"/>
      <w:szCs w:val="48"/>
      <w:lang w:eastAsia="sk-SK"/>
    </w:rPr>
  </w:style>
  <w:style w:type="paragraph" w:styleId="Nadpis2">
    <w:name w:val="heading 2"/>
    <w:basedOn w:val="Normlny"/>
    <w:link w:val="Nadpis2Char"/>
    <w:uiPriority w:val="9"/>
    <w:qFormat/>
    <w:rsid w:val="00A45BD4"/>
    <w:pPr>
      <w:spacing w:before="100" w:beforeAutospacing="1" w:after="100" w:afterAutospacing="1" w:line="240" w:lineRule="auto"/>
      <w:outlineLvl w:val="1"/>
    </w:pPr>
    <w:rPr>
      <w:rFonts w:ascii="Times New Roman" w:hAnsi="Times New Roman"/>
      <w:b/>
      <w:bCs/>
      <w:sz w:val="36"/>
      <w:szCs w:val="36"/>
      <w:lang w:eastAsia="sk-SK"/>
    </w:rPr>
  </w:style>
  <w:style w:type="paragraph" w:styleId="Nadpis3">
    <w:name w:val="heading 3"/>
    <w:basedOn w:val="Normlny"/>
    <w:link w:val="Nadpis3Char"/>
    <w:uiPriority w:val="9"/>
    <w:qFormat/>
    <w:rsid w:val="00A45BD4"/>
    <w:pPr>
      <w:spacing w:before="100" w:beforeAutospacing="1" w:after="100" w:afterAutospacing="1" w:line="240" w:lineRule="auto"/>
      <w:outlineLvl w:val="2"/>
    </w:pPr>
    <w:rPr>
      <w:rFonts w:ascii="Times New Roman" w:hAnsi="Times New Roman"/>
      <w:b/>
      <w:bCs/>
      <w:sz w:val="27"/>
      <w:szCs w:val="27"/>
      <w:lang w:eastAsia="sk-SK"/>
    </w:rPr>
  </w:style>
  <w:style w:type="paragraph" w:styleId="Nadpis4">
    <w:name w:val="heading 4"/>
    <w:basedOn w:val="Normlny"/>
    <w:link w:val="Nadpis4Char"/>
    <w:uiPriority w:val="9"/>
    <w:unhideWhenUsed/>
    <w:qFormat/>
    <w:rsid w:val="00BE704E"/>
    <w:pPr>
      <w:spacing w:before="100" w:beforeAutospacing="1" w:after="100" w:afterAutospacing="1" w:line="240" w:lineRule="auto"/>
      <w:outlineLvl w:val="3"/>
    </w:pPr>
    <w:rPr>
      <w:rFonts w:ascii="Times New Roman" w:hAnsi="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A45BD4"/>
    <w:rPr>
      <w:rFonts w:ascii="Times New Roman" w:hAnsi="Times New Roman"/>
      <w:b/>
      <w:kern w:val="36"/>
      <w:sz w:val="48"/>
      <w:lang w:eastAsia="sk-SK"/>
    </w:rPr>
  </w:style>
  <w:style w:type="character" w:customStyle="1" w:styleId="Nadpis2Char">
    <w:name w:val="Nadpis 2 Char"/>
    <w:basedOn w:val="Predvolenpsmoodseku"/>
    <w:link w:val="Nadpis2"/>
    <w:uiPriority w:val="9"/>
    <w:locked/>
    <w:rsid w:val="00A45BD4"/>
    <w:rPr>
      <w:rFonts w:ascii="Times New Roman" w:hAnsi="Times New Roman"/>
      <w:b/>
      <w:sz w:val="36"/>
      <w:lang w:eastAsia="sk-SK"/>
    </w:rPr>
  </w:style>
  <w:style w:type="character" w:customStyle="1" w:styleId="Nadpis3Char">
    <w:name w:val="Nadpis 3 Char"/>
    <w:basedOn w:val="Predvolenpsmoodseku"/>
    <w:link w:val="Nadpis3"/>
    <w:uiPriority w:val="9"/>
    <w:locked/>
    <w:rsid w:val="00A45BD4"/>
    <w:rPr>
      <w:rFonts w:ascii="Times New Roman" w:hAnsi="Times New Roman"/>
      <w:b/>
      <w:sz w:val="27"/>
      <w:lang w:eastAsia="sk-SK"/>
    </w:rPr>
  </w:style>
  <w:style w:type="paragraph" w:styleId="Textbubliny">
    <w:name w:val="Balloon Text"/>
    <w:basedOn w:val="Normlny"/>
    <w:link w:val="TextbublinyChar"/>
    <w:uiPriority w:val="99"/>
    <w:semiHidden/>
    <w:unhideWhenUsed/>
    <w:rsid w:val="00A45BD4"/>
    <w:pPr>
      <w:spacing w:after="0" w:line="240" w:lineRule="auto"/>
    </w:pPr>
    <w:rPr>
      <w:rFonts w:ascii="Tahoma" w:hAnsi="Tahoma"/>
      <w:sz w:val="16"/>
      <w:szCs w:val="16"/>
      <w:lang w:eastAsia="sk-SK"/>
    </w:rPr>
  </w:style>
  <w:style w:type="character" w:customStyle="1" w:styleId="TextbublinyChar">
    <w:name w:val="Text bubliny Char"/>
    <w:basedOn w:val="Predvolenpsmoodseku"/>
    <w:link w:val="Textbubliny"/>
    <w:uiPriority w:val="99"/>
    <w:semiHidden/>
    <w:locked/>
    <w:rsid w:val="00A45BD4"/>
    <w:rPr>
      <w:rFonts w:ascii="Tahoma" w:eastAsia="Times New Roman" w:hAnsi="Tahoma"/>
      <w:sz w:val="16"/>
    </w:rPr>
  </w:style>
  <w:style w:type="paragraph" w:styleId="Odsekzoznamu">
    <w:name w:val="List Paragraph"/>
    <w:basedOn w:val="Normlny"/>
    <w:uiPriority w:val="34"/>
    <w:qFormat/>
    <w:rsid w:val="00A45BD4"/>
    <w:pPr>
      <w:ind w:left="720"/>
      <w:contextualSpacing/>
    </w:pPr>
  </w:style>
  <w:style w:type="paragraph" w:styleId="Normlnywebov">
    <w:name w:val="Normal (Web)"/>
    <w:basedOn w:val="Normlny"/>
    <w:uiPriority w:val="99"/>
    <w:unhideWhenUsed/>
    <w:rsid w:val="00A45BD4"/>
    <w:pPr>
      <w:spacing w:after="120" w:line="240" w:lineRule="auto"/>
    </w:pPr>
    <w:rPr>
      <w:rFonts w:ascii="Times New Roman" w:hAnsi="Times New Roman"/>
      <w:sz w:val="24"/>
      <w:szCs w:val="24"/>
      <w:lang w:eastAsia="sk-SK"/>
    </w:rPr>
  </w:style>
  <w:style w:type="character" w:styleId="Hypertextovprepojenie">
    <w:name w:val="Hyperlink"/>
    <w:basedOn w:val="Predvolenpsmoodseku"/>
    <w:uiPriority w:val="99"/>
    <w:unhideWhenUsed/>
    <w:rsid w:val="00A45BD4"/>
    <w:rPr>
      <w:color w:val="0000FF"/>
      <w:u w:val="single"/>
    </w:rPr>
  </w:style>
  <w:style w:type="character" w:styleId="PouitHypertextovPrepojenie">
    <w:name w:val="FollowedHyperlink"/>
    <w:basedOn w:val="Predvolenpsmoodseku"/>
    <w:uiPriority w:val="99"/>
    <w:semiHidden/>
    <w:unhideWhenUsed/>
    <w:rsid w:val="00A45BD4"/>
    <w:rPr>
      <w:color w:val="800080"/>
      <w:u w:val="single"/>
    </w:rPr>
  </w:style>
  <w:style w:type="paragraph" w:styleId="truktradokumentu">
    <w:name w:val="Document Map"/>
    <w:basedOn w:val="Normlny"/>
    <w:link w:val="truktradokumentuChar"/>
    <w:uiPriority w:val="99"/>
    <w:semiHidden/>
    <w:rsid w:val="00A45BD4"/>
    <w:pPr>
      <w:shd w:val="clear" w:color="auto" w:fill="000080"/>
    </w:pPr>
    <w:rPr>
      <w:rFonts w:ascii="Tahoma" w:hAnsi="Tahoma"/>
      <w:sz w:val="20"/>
      <w:szCs w:val="20"/>
      <w:lang w:eastAsia="sk-SK"/>
    </w:rPr>
  </w:style>
  <w:style w:type="character" w:customStyle="1" w:styleId="truktradokumentuChar">
    <w:name w:val="Štruktúra dokumentu Char"/>
    <w:basedOn w:val="Predvolenpsmoodseku"/>
    <w:link w:val="truktradokumentu"/>
    <w:uiPriority w:val="99"/>
    <w:semiHidden/>
    <w:locked/>
    <w:rsid w:val="00A45BD4"/>
    <w:rPr>
      <w:rFonts w:ascii="Tahoma" w:eastAsia="Times New Roman" w:hAnsi="Tahoma"/>
      <w:sz w:val="20"/>
      <w:shd w:val="clear" w:color="auto" w:fill="000080"/>
    </w:rPr>
  </w:style>
  <w:style w:type="table" w:styleId="Mriekatabuky">
    <w:name w:val="Table Grid"/>
    <w:basedOn w:val="Normlnatabuka"/>
    <w:uiPriority w:val="59"/>
    <w:rsid w:val="00A45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rsid w:val="00A45BD4"/>
    <w:pPr>
      <w:suppressAutoHyphens/>
      <w:spacing w:after="120" w:line="240" w:lineRule="auto"/>
    </w:pPr>
    <w:rPr>
      <w:rFonts w:ascii="Times New Roman" w:hAnsi="Times New Roman"/>
      <w:sz w:val="24"/>
      <w:szCs w:val="24"/>
      <w:lang w:eastAsia="ar-SA"/>
    </w:rPr>
  </w:style>
  <w:style w:type="character" w:customStyle="1" w:styleId="ZkladntextChar">
    <w:name w:val="Základný text Char"/>
    <w:basedOn w:val="Predvolenpsmoodseku"/>
    <w:link w:val="Zkladntext"/>
    <w:uiPriority w:val="99"/>
    <w:locked/>
    <w:rsid w:val="00A45BD4"/>
    <w:rPr>
      <w:rFonts w:ascii="Times New Roman" w:hAnsi="Times New Roman"/>
      <w:sz w:val="24"/>
      <w:lang w:eastAsia="ar-SA" w:bidi="ar-SA"/>
    </w:rPr>
  </w:style>
  <w:style w:type="paragraph" w:styleId="Nzov">
    <w:name w:val="Title"/>
    <w:basedOn w:val="Normlny"/>
    <w:next w:val="Podtitul"/>
    <w:link w:val="NzovChar"/>
    <w:uiPriority w:val="10"/>
    <w:qFormat/>
    <w:rsid w:val="00A45BD4"/>
    <w:pPr>
      <w:suppressAutoHyphens/>
      <w:spacing w:after="0" w:line="240" w:lineRule="auto"/>
      <w:jc w:val="center"/>
    </w:pPr>
    <w:rPr>
      <w:rFonts w:ascii="Arial Narrow" w:hAnsi="Arial Narrow"/>
      <w:sz w:val="28"/>
      <w:szCs w:val="24"/>
      <w:lang w:eastAsia="ar-SA"/>
    </w:rPr>
  </w:style>
  <w:style w:type="paragraph" w:styleId="Podtitul">
    <w:name w:val="Subtitle"/>
    <w:basedOn w:val="Normlny"/>
    <w:next w:val="Zkladntext"/>
    <w:link w:val="PodtitulChar"/>
    <w:uiPriority w:val="11"/>
    <w:qFormat/>
    <w:rsid w:val="00A45BD4"/>
    <w:pPr>
      <w:suppressAutoHyphens/>
      <w:autoSpaceDE w:val="0"/>
      <w:spacing w:after="0" w:line="240" w:lineRule="atLeast"/>
      <w:ind w:left="70" w:right="70"/>
      <w:jc w:val="both"/>
    </w:pPr>
    <w:rPr>
      <w:rFonts w:ascii="Times New Roman" w:hAnsi="Times New Roman"/>
      <w:b/>
      <w:i/>
      <w:iCs/>
      <w:color w:val="000000"/>
      <w:sz w:val="24"/>
      <w:szCs w:val="24"/>
      <w:u w:val="single"/>
      <w:lang w:eastAsia="ar-SA"/>
    </w:rPr>
  </w:style>
  <w:style w:type="character" w:customStyle="1" w:styleId="PodtitulChar">
    <w:name w:val="Podtitul Char"/>
    <w:basedOn w:val="Predvolenpsmoodseku"/>
    <w:link w:val="Podtitul"/>
    <w:uiPriority w:val="11"/>
    <w:locked/>
    <w:rsid w:val="00A45BD4"/>
    <w:rPr>
      <w:rFonts w:ascii="Times New Roman" w:hAnsi="Times New Roman"/>
      <w:b/>
      <w:i/>
      <w:color w:val="000000"/>
      <w:sz w:val="24"/>
      <w:u w:val="single"/>
      <w:lang w:eastAsia="ar-SA" w:bidi="ar-SA"/>
    </w:rPr>
  </w:style>
  <w:style w:type="character" w:customStyle="1" w:styleId="NzovChar">
    <w:name w:val="Názov Char"/>
    <w:basedOn w:val="Predvolenpsmoodseku"/>
    <w:link w:val="Nzov"/>
    <w:uiPriority w:val="10"/>
    <w:locked/>
    <w:rsid w:val="00A45BD4"/>
    <w:rPr>
      <w:rFonts w:ascii="Arial Narrow" w:hAnsi="Arial Narrow"/>
      <w:sz w:val="24"/>
      <w:lang w:eastAsia="ar-SA" w:bidi="ar-SA"/>
    </w:rPr>
  </w:style>
  <w:style w:type="paragraph" w:styleId="Hlavika">
    <w:name w:val="header"/>
    <w:basedOn w:val="Normlny"/>
    <w:link w:val="HlavikaChar"/>
    <w:uiPriority w:val="99"/>
    <w:rsid w:val="00A45BD4"/>
    <w:pPr>
      <w:tabs>
        <w:tab w:val="center" w:pos="4536"/>
        <w:tab w:val="right" w:pos="9072"/>
      </w:tabs>
      <w:spacing w:after="0" w:line="240" w:lineRule="auto"/>
      <w:jc w:val="both"/>
    </w:pPr>
    <w:rPr>
      <w:rFonts w:ascii="Times New Roman" w:hAnsi="Times New Roman"/>
      <w:sz w:val="24"/>
      <w:szCs w:val="20"/>
      <w:lang w:val="cs-CZ" w:eastAsia="sk-SK"/>
    </w:rPr>
  </w:style>
  <w:style w:type="character" w:customStyle="1" w:styleId="HlavikaChar">
    <w:name w:val="Hlavička Char"/>
    <w:basedOn w:val="Predvolenpsmoodseku"/>
    <w:link w:val="Hlavika"/>
    <w:uiPriority w:val="99"/>
    <w:locked/>
    <w:rsid w:val="00A45BD4"/>
    <w:rPr>
      <w:rFonts w:ascii="Times New Roman" w:hAnsi="Times New Roman"/>
      <w:sz w:val="20"/>
      <w:lang w:val="cs-CZ" w:eastAsia="sk-SK"/>
    </w:rPr>
  </w:style>
  <w:style w:type="paragraph" w:styleId="Pta">
    <w:name w:val="footer"/>
    <w:basedOn w:val="Normlny"/>
    <w:link w:val="PtaChar"/>
    <w:uiPriority w:val="99"/>
    <w:unhideWhenUsed/>
    <w:rsid w:val="00A45BD4"/>
    <w:pPr>
      <w:tabs>
        <w:tab w:val="center" w:pos="4536"/>
        <w:tab w:val="right" w:pos="9072"/>
      </w:tabs>
    </w:pPr>
    <w:rPr>
      <w:sz w:val="20"/>
      <w:szCs w:val="20"/>
      <w:lang w:eastAsia="sk-SK"/>
    </w:rPr>
  </w:style>
  <w:style w:type="character" w:customStyle="1" w:styleId="PtaChar">
    <w:name w:val="Päta Char"/>
    <w:basedOn w:val="Predvolenpsmoodseku"/>
    <w:link w:val="Pta"/>
    <w:uiPriority w:val="99"/>
    <w:locked/>
    <w:rsid w:val="00A45BD4"/>
    <w:rPr>
      <w:rFonts w:ascii="Calibri" w:eastAsia="Times New Roman" w:hAnsi="Calibri"/>
    </w:rPr>
  </w:style>
  <w:style w:type="paragraph" w:styleId="Zkladntext2">
    <w:name w:val="Body Text 2"/>
    <w:basedOn w:val="Normlny"/>
    <w:link w:val="Zkladntext2Char"/>
    <w:uiPriority w:val="99"/>
    <w:semiHidden/>
    <w:unhideWhenUsed/>
    <w:rsid w:val="00A45BD4"/>
    <w:pPr>
      <w:spacing w:after="120" w:line="480" w:lineRule="auto"/>
    </w:pPr>
    <w:rPr>
      <w:sz w:val="20"/>
      <w:szCs w:val="20"/>
      <w:lang w:eastAsia="sk-SK"/>
    </w:rPr>
  </w:style>
  <w:style w:type="character" w:customStyle="1" w:styleId="Zkladntext2Char">
    <w:name w:val="Základný text 2 Char"/>
    <w:basedOn w:val="Predvolenpsmoodseku"/>
    <w:link w:val="Zkladntext2"/>
    <w:uiPriority w:val="99"/>
    <w:semiHidden/>
    <w:locked/>
    <w:rsid w:val="00A45BD4"/>
    <w:rPr>
      <w:rFonts w:ascii="Calibri" w:eastAsia="Times New Roman" w:hAnsi="Calibri"/>
    </w:rPr>
  </w:style>
  <w:style w:type="paragraph" w:customStyle="1" w:styleId="xl63">
    <w:name w:val="xl63"/>
    <w:basedOn w:val="Normlny"/>
    <w:rsid w:val="00A45BD4"/>
    <w:pPr>
      <w:pBdr>
        <w:left w:val="single" w:sz="4" w:space="0" w:color="auto"/>
        <w:right w:val="single" w:sz="8" w:space="0" w:color="auto"/>
      </w:pBdr>
      <w:spacing w:before="100" w:beforeAutospacing="1" w:after="100" w:afterAutospacing="1" w:line="240" w:lineRule="auto"/>
      <w:jc w:val="right"/>
    </w:pPr>
    <w:rPr>
      <w:rFonts w:ascii="Arial Narrow" w:eastAsia="Arial Unicode MS" w:hAnsi="Arial Narrow" w:cs="Arial Unicode MS"/>
      <w:sz w:val="24"/>
      <w:szCs w:val="24"/>
      <w:lang w:val="cs-CZ" w:eastAsia="cs-CZ"/>
    </w:rPr>
  </w:style>
  <w:style w:type="paragraph" w:styleId="Obsah1">
    <w:name w:val="toc 1"/>
    <w:basedOn w:val="Normlny"/>
    <w:next w:val="Normlny"/>
    <w:autoRedefine/>
    <w:uiPriority w:val="39"/>
    <w:unhideWhenUsed/>
    <w:qFormat/>
    <w:rsid w:val="00783D43"/>
    <w:pPr>
      <w:tabs>
        <w:tab w:val="right" w:leader="dot" w:pos="9923"/>
      </w:tabs>
      <w:spacing w:before="120" w:after="120" w:line="240" w:lineRule="auto"/>
    </w:pPr>
    <w:rPr>
      <w:rFonts w:cs="Arial"/>
      <w:b/>
      <w:bCs/>
      <w:caps/>
      <w:sz w:val="24"/>
      <w:szCs w:val="24"/>
      <w:lang w:eastAsia="sk-SK"/>
    </w:rPr>
  </w:style>
  <w:style w:type="paragraph" w:styleId="Obsah2">
    <w:name w:val="toc 2"/>
    <w:basedOn w:val="Normlny"/>
    <w:next w:val="Normlny"/>
    <w:autoRedefine/>
    <w:uiPriority w:val="39"/>
    <w:unhideWhenUsed/>
    <w:qFormat/>
    <w:rsid w:val="00783D43"/>
    <w:pPr>
      <w:tabs>
        <w:tab w:val="right" w:leader="dot" w:pos="9923"/>
      </w:tabs>
      <w:spacing w:after="0" w:line="240" w:lineRule="auto"/>
      <w:ind w:left="216"/>
    </w:pPr>
    <w:rPr>
      <w:rFonts w:cs="Calibri"/>
      <w:smallCaps/>
      <w:sz w:val="20"/>
      <w:szCs w:val="20"/>
    </w:rPr>
  </w:style>
  <w:style w:type="paragraph" w:styleId="Obsah3">
    <w:name w:val="toc 3"/>
    <w:basedOn w:val="Normlny"/>
    <w:next w:val="Normlny"/>
    <w:autoRedefine/>
    <w:uiPriority w:val="39"/>
    <w:unhideWhenUsed/>
    <w:qFormat/>
    <w:rsid w:val="00783D43"/>
    <w:pPr>
      <w:tabs>
        <w:tab w:val="right" w:leader="dot" w:pos="9923"/>
      </w:tabs>
      <w:spacing w:after="0" w:line="240" w:lineRule="auto"/>
    </w:pPr>
    <w:rPr>
      <w:rFonts w:cs="Calibri"/>
      <w:i/>
      <w:iCs/>
      <w:sz w:val="20"/>
      <w:szCs w:val="20"/>
    </w:rPr>
  </w:style>
  <w:style w:type="paragraph" w:styleId="Obsah4">
    <w:name w:val="toc 4"/>
    <w:basedOn w:val="Normlny"/>
    <w:next w:val="Normlny"/>
    <w:autoRedefine/>
    <w:uiPriority w:val="39"/>
    <w:unhideWhenUsed/>
    <w:rsid w:val="0073114C"/>
    <w:pPr>
      <w:spacing w:after="0"/>
      <w:ind w:left="660"/>
    </w:pPr>
    <w:rPr>
      <w:rFonts w:cs="Calibri"/>
      <w:sz w:val="18"/>
      <w:szCs w:val="18"/>
    </w:rPr>
  </w:style>
  <w:style w:type="paragraph" w:styleId="Obsah5">
    <w:name w:val="toc 5"/>
    <w:basedOn w:val="Normlny"/>
    <w:next w:val="Normlny"/>
    <w:autoRedefine/>
    <w:uiPriority w:val="39"/>
    <w:unhideWhenUsed/>
    <w:rsid w:val="0073114C"/>
    <w:pPr>
      <w:spacing w:after="0"/>
      <w:ind w:left="880"/>
    </w:pPr>
    <w:rPr>
      <w:rFonts w:cs="Calibri"/>
      <w:sz w:val="18"/>
      <w:szCs w:val="18"/>
    </w:rPr>
  </w:style>
  <w:style w:type="paragraph" w:styleId="Obsah6">
    <w:name w:val="toc 6"/>
    <w:basedOn w:val="Normlny"/>
    <w:next w:val="Normlny"/>
    <w:autoRedefine/>
    <w:uiPriority w:val="39"/>
    <w:unhideWhenUsed/>
    <w:rsid w:val="0073114C"/>
    <w:pPr>
      <w:spacing w:after="0"/>
      <w:ind w:left="1100"/>
    </w:pPr>
    <w:rPr>
      <w:rFonts w:cs="Calibri"/>
      <w:sz w:val="18"/>
      <w:szCs w:val="18"/>
    </w:rPr>
  </w:style>
  <w:style w:type="paragraph" w:styleId="Obsah7">
    <w:name w:val="toc 7"/>
    <w:basedOn w:val="Normlny"/>
    <w:next w:val="Normlny"/>
    <w:autoRedefine/>
    <w:uiPriority w:val="39"/>
    <w:unhideWhenUsed/>
    <w:rsid w:val="0073114C"/>
    <w:pPr>
      <w:spacing w:after="0"/>
      <w:ind w:left="1320"/>
    </w:pPr>
    <w:rPr>
      <w:rFonts w:cs="Calibri"/>
      <w:sz w:val="18"/>
      <w:szCs w:val="18"/>
    </w:rPr>
  </w:style>
  <w:style w:type="paragraph" w:styleId="Obsah8">
    <w:name w:val="toc 8"/>
    <w:basedOn w:val="Normlny"/>
    <w:next w:val="Normlny"/>
    <w:autoRedefine/>
    <w:uiPriority w:val="39"/>
    <w:unhideWhenUsed/>
    <w:rsid w:val="0073114C"/>
    <w:pPr>
      <w:spacing w:after="0"/>
      <w:ind w:left="1540"/>
    </w:pPr>
    <w:rPr>
      <w:rFonts w:cs="Calibri"/>
      <w:sz w:val="18"/>
      <w:szCs w:val="18"/>
    </w:rPr>
  </w:style>
  <w:style w:type="paragraph" w:styleId="Obsah9">
    <w:name w:val="toc 9"/>
    <w:basedOn w:val="Normlny"/>
    <w:next w:val="Normlny"/>
    <w:autoRedefine/>
    <w:uiPriority w:val="39"/>
    <w:unhideWhenUsed/>
    <w:rsid w:val="0073114C"/>
    <w:pPr>
      <w:spacing w:after="0"/>
      <w:ind w:left="1760"/>
    </w:pPr>
    <w:rPr>
      <w:rFonts w:cs="Calibri"/>
      <w:sz w:val="18"/>
      <w:szCs w:val="18"/>
    </w:rPr>
  </w:style>
  <w:style w:type="paragraph" w:customStyle="1" w:styleId="tl1">
    <w:name w:val="Štýl1"/>
    <w:basedOn w:val="Normlny"/>
    <w:link w:val="tl1Char"/>
    <w:qFormat/>
    <w:rsid w:val="00F76214"/>
    <w:pPr>
      <w:numPr>
        <w:numId w:val="1"/>
      </w:numPr>
      <w:spacing w:after="0" w:line="240" w:lineRule="auto"/>
    </w:pPr>
    <w:rPr>
      <w:rFonts w:cs="Calibri"/>
      <w:b/>
      <w:bCs/>
      <w:i/>
      <w:iCs/>
      <w:sz w:val="36"/>
      <w:szCs w:val="36"/>
      <w:lang w:eastAsia="sk-SK"/>
    </w:rPr>
  </w:style>
  <w:style w:type="character" w:customStyle="1" w:styleId="tl1Char">
    <w:name w:val="Štýl1 Char"/>
    <w:link w:val="tl1"/>
    <w:locked/>
    <w:rsid w:val="00F76214"/>
    <w:rPr>
      <w:rFonts w:cs="Calibri"/>
      <w:b/>
      <w:bCs/>
      <w:i/>
      <w:iCs/>
      <w:sz w:val="36"/>
      <w:szCs w:val="36"/>
    </w:rPr>
  </w:style>
  <w:style w:type="paragraph" w:customStyle="1" w:styleId="tl2">
    <w:name w:val="Štýl2"/>
    <w:basedOn w:val="Nzov"/>
    <w:link w:val="tl2Char"/>
    <w:qFormat/>
    <w:rsid w:val="00F76214"/>
    <w:pPr>
      <w:ind w:left="360" w:firstLine="348"/>
      <w:jc w:val="left"/>
    </w:pPr>
    <w:rPr>
      <w:rFonts w:ascii="Calibri" w:hAnsi="Calibri" w:cs="Calibri"/>
      <w:b/>
      <w:bCs/>
      <w:i/>
      <w:iCs/>
      <w:sz w:val="32"/>
      <w:szCs w:val="32"/>
      <w:lang w:eastAsia="sk-SK"/>
    </w:rPr>
  </w:style>
  <w:style w:type="character" w:customStyle="1" w:styleId="tl2Char">
    <w:name w:val="Štýl2 Char"/>
    <w:link w:val="tl2"/>
    <w:locked/>
    <w:rsid w:val="00F76214"/>
    <w:rPr>
      <w:rFonts w:ascii="Arial Narrow" w:hAnsi="Arial Narrow"/>
      <w:b/>
      <w:i/>
      <w:sz w:val="32"/>
      <w:lang w:eastAsia="ar-SA" w:bidi="ar-SA"/>
    </w:rPr>
  </w:style>
  <w:style w:type="paragraph" w:customStyle="1" w:styleId="tl3">
    <w:name w:val="Štýl3"/>
    <w:basedOn w:val="Normlny"/>
    <w:link w:val="tl3Char"/>
    <w:qFormat/>
    <w:rsid w:val="009D5AC7"/>
    <w:pPr>
      <w:tabs>
        <w:tab w:val="left" w:pos="1783"/>
      </w:tabs>
      <w:spacing w:line="240" w:lineRule="auto"/>
      <w:ind w:firstLine="708"/>
      <w:jc w:val="both"/>
    </w:pPr>
    <w:rPr>
      <w:rFonts w:cs="Calibri"/>
      <w:b/>
      <w:i/>
      <w:sz w:val="28"/>
      <w:szCs w:val="28"/>
    </w:rPr>
  </w:style>
  <w:style w:type="character" w:customStyle="1" w:styleId="tl3Char">
    <w:name w:val="Štýl3 Char"/>
    <w:link w:val="tl3"/>
    <w:locked/>
    <w:rsid w:val="009D5AC7"/>
    <w:rPr>
      <w:b/>
      <w:i/>
      <w:sz w:val="28"/>
      <w:lang w:eastAsia="en-US"/>
    </w:rPr>
  </w:style>
  <w:style w:type="paragraph" w:styleId="Hlavikaobsahu">
    <w:name w:val="TOC Heading"/>
    <w:basedOn w:val="Nadpis1"/>
    <w:next w:val="Normlny"/>
    <w:uiPriority w:val="39"/>
    <w:unhideWhenUsed/>
    <w:qFormat/>
    <w:rsid w:val="00CC1991"/>
    <w:pPr>
      <w:keepNext/>
      <w:keepLines/>
      <w:spacing w:before="480" w:beforeAutospacing="0" w:after="0" w:afterAutospacing="0" w:line="276" w:lineRule="auto"/>
      <w:outlineLvl w:val="9"/>
    </w:pPr>
    <w:rPr>
      <w:rFonts w:ascii="Cambria" w:hAnsi="Cambria"/>
      <w:color w:val="365F91"/>
      <w:kern w:val="0"/>
      <w:sz w:val="28"/>
      <w:szCs w:val="28"/>
    </w:rPr>
  </w:style>
  <w:style w:type="paragraph" w:customStyle="1" w:styleId="8EAA14224D814626B5601D20B9208574">
    <w:name w:val="8EAA14224D814626B5601D20B9208574"/>
    <w:rsid w:val="00BF2A08"/>
    <w:pPr>
      <w:spacing w:after="200" w:line="276" w:lineRule="auto"/>
    </w:pPr>
    <w:rPr>
      <w:sz w:val="22"/>
      <w:szCs w:val="22"/>
    </w:rPr>
  </w:style>
  <w:style w:type="paragraph" w:styleId="Obyajntext">
    <w:name w:val="Plain Text"/>
    <w:basedOn w:val="Normlny"/>
    <w:link w:val="ObyajntextChar"/>
    <w:uiPriority w:val="99"/>
    <w:unhideWhenUsed/>
    <w:rsid w:val="00612C71"/>
    <w:pPr>
      <w:spacing w:after="0" w:line="240" w:lineRule="auto"/>
    </w:pPr>
    <w:rPr>
      <w:rFonts w:eastAsiaTheme="minorHAnsi" w:cstheme="minorBidi"/>
      <w:szCs w:val="21"/>
    </w:rPr>
  </w:style>
  <w:style w:type="character" w:customStyle="1" w:styleId="ObyajntextChar">
    <w:name w:val="Obyčajný text Char"/>
    <w:basedOn w:val="Predvolenpsmoodseku"/>
    <w:link w:val="Obyajntext"/>
    <w:uiPriority w:val="99"/>
    <w:rsid w:val="00612C71"/>
    <w:rPr>
      <w:rFonts w:eastAsiaTheme="minorHAnsi" w:cstheme="minorBidi"/>
      <w:sz w:val="22"/>
      <w:szCs w:val="21"/>
      <w:lang w:eastAsia="en-US"/>
    </w:rPr>
  </w:style>
  <w:style w:type="character" w:customStyle="1" w:styleId="Nadpis4Char">
    <w:name w:val="Nadpis 4 Char"/>
    <w:basedOn w:val="Predvolenpsmoodseku"/>
    <w:link w:val="Nadpis4"/>
    <w:uiPriority w:val="9"/>
    <w:rsid w:val="00BE704E"/>
    <w:rPr>
      <w:rFonts w:ascii="Times New Roman" w:hAnsi="Times New Roman"/>
      <w:b/>
      <w:bCs/>
      <w:sz w:val="24"/>
      <w:szCs w:val="24"/>
    </w:rPr>
  </w:style>
  <w:style w:type="paragraph" w:customStyle="1" w:styleId="Default">
    <w:name w:val="Default"/>
    <w:rsid w:val="00BE704E"/>
    <w:pPr>
      <w:autoSpaceDE w:val="0"/>
      <w:autoSpaceDN w:val="0"/>
      <w:adjustRightInd w:val="0"/>
    </w:pPr>
    <w:rPr>
      <w:rFonts w:cs="Calibri"/>
      <w:color w:val="000000"/>
      <w:sz w:val="24"/>
      <w:szCs w:val="24"/>
    </w:rPr>
  </w:style>
  <w:style w:type="paragraph" w:customStyle="1" w:styleId="xl66">
    <w:name w:val="xl66"/>
    <w:basedOn w:val="Normlny"/>
    <w:rsid w:val="00BE704E"/>
    <w:pPr>
      <w:pBdr>
        <w:top w:val="single" w:sz="4" w:space="0" w:color="DCE6F1"/>
        <w:bottom w:val="single" w:sz="4" w:space="0" w:color="DCE6F1"/>
      </w:pBdr>
      <w:shd w:val="clear" w:color="95B3D7" w:fill="95B3D7"/>
      <w:spacing w:before="100" w:beforeAutospacing="1" w:after="100" w:afterAutospacing="1" w:line="240" w:lineRule="auto"/>
    </w:pPr>
    <w:rPr>
      <w:rFonts w:ascii="Times New Roman" w:hAnsi="Times New Roman"/>
      <w:color w:val="FFFFFF"/>
      <w:sz w:val="18"/>
      <w:szCs w:val="18"/>
      <w:lang w:eastAsia="sk-SK"/>
    </w:rPr>
  </w:style>
  <w:style w:type="paragraph" w:customStyle="1" w:styleId="xl67">
    <w:name w:val="xl67"/>
    <w:basedOn w:val="Normlny"/>
    <w:rsid w:val="00BE704E"/>
    <w:pPr>
      <w:pBdr>
        <w:top w:val="single" w:sz="4" w:space="0" w:color="DCE6F1"/>
        <w:bottom w:val="single" w:sz="4" w:space="0" w:color="4F81BD"/>
      </w:pBdr>
      <w:shd w:val="clear" w:color="DCE6F1" w:fill="DCE6F1"/>
      <w:spacing w:before="100" w:beforeAutospacing="1" w:after="100" w:afterAutospacing="1" w:line="240" w:lineRule="auto"/>
    </w:pPr>
    <w:rPr>
      <w:rFonts w:ascii="Times New Roman" w:hAnsi="Times New Roman"/>
      <w:sz w:val="18"/>
      <w:szCs w:val="18"/>
      <w:lang w:eastAsia="sk-SK"/>
    </w:rPr>
  </w:style>
  <w:style w:type="paragraph" w:customStyle="1" w:styleId="xl68">
    <w:name w:val="xl68"/>
    <w:basedOn w:val="Normlny"/>
    <w:rsid w:val="00BE704E"/>
    <w:pPr>
      <w:pBdr>
        <w:top w:val="single" w:sz="4" w:space="0" w:color="DCE6F1"/>
        <w:bottom w:val="single" w:sz="4" w:space="0" w:color="DCE6F1"/>
      </w:pBdr>
      <w:spacing w:before="100" w:beforeAutospacing="1" w:after="100" w:afterAutospacing="1" w:line="240" w:lineRule="auto"/>
    </w:pPr>
    <w:rPr>
      <w:rFonts w:ascii="Times New Roman" w:hAnsi="Times New Roman"/>
      <w:sz w:val="18"/>
      <w:szCs w:val="18"/>
      <w:lang w:eastAsia="sk-SK"/>
    </w:rPr>
  </w:style>
  <w:style w:type="paragraph" w:customStyle="1" w:styleId="xl69">
    <w:name w:val="xl69"/>
    <w:basedOn w:val="Normlny"/>
    <w:rsid w:val="00BE704E"/>
    <w:pPr>
      <w:pBdr>
        <w:top w:val="double" w:sz="6" w:space="0" w:color="366092"/>
      </w:pBdr>
      <w:spacing w:before="100" w:beforeAutospacing="1" w:after="100" w:afterAutospacing="1" w:line="240" w:lineRule="auto"/>
    </w:pPr>
    <w:rPr>
      <w:rFonts w:ascii="Times New Roman" w:hAnsi="Times New Roman"/>
      <w:b/>
      <w:bCs/>
      <w:sz w:val="18"/>
      <w:szCs w:val="18"/>
      <w:lang w:eastAsia="sk-SK"/>
    </w:rPr>
  </w:style>
  <w:style w:type="paragraph" w:customStyle="1" w:styleId="xl70">
    <w:name w:val="xl70"/>
    <w:basedOn w:val="Normlny"/>
    <w:rsid w:val="00BE704E"/>
    <w:pPr>
      <w:pBdr>
        <w:top w:val="single" w:sz="4" w:space="0" w:color="DCE6F1"/>
        <w:bottom w:val="single" w:sz="4" w:space="0" w:color="4F81BD"/>
      </w:pBdr>
      <w:shd w:val="clear" w:color="DCE6F1" w:fill="DCE6F1"/>
      <w:spacing w:before="100" w:beforeAutospacing="1" w:after="100" w:afterAutospacing="1" w:line="240" w:lineRule="auto"/>
    </w:pPr>
    <w:rPr>
      <w:rFonts w:ascii="Times New Roman" w:hAnsi="Times New Roman"/>
      <w:sz w:val="18"/>
      <w:szCs w:val="18"/>
      <w:lang w:eastAsia="sk-SK"/>
    </w:rPr>
  </w:style>
  <w:style w:type="paragraph" w:customStyle="1" w:styleId="xl71">
    <w:name w:val="xl71"/>
    <w:basedOn w:val="Normlny"/>
    <w:rsid w:val="00BE704E"/>
    <w:pPr>
      <w:pBdr>
        <w:top w:val="single" w:sz="4" w:space="0" w:color="DCE6F1"/>
        <w:bottom w:val="single" w:sz="4" w:space="0" w:color="DCE6F1"/>
      </w:pBdr>
      <w:spacing w:before="100" w:beforeAutospacing="1" w:after="100" w:afterAutospacing="1" w:line="240" w:lineRule="auto"/>
    </w:pPr>
    <w:rPr>
      <w:rFonts w:ascii="Times New Roman" w:hAnsi="Times New Roman"/>
      <w:sz w:val="18"/>
      <w:szCs w:val="18"/>
      <w:lang w:eastAsia="sk-SK"/>
    </w:rPr>
  </w:style>
  <w:style w:type="paragraph" w:customStyle="1" w:styleId="xl72">
    <w:name w:val="xl72"/>
    <w:basedOn w:val="Normlny"/>
    <w:rsid w:val="00BE704E"/>
    <w:pPr>
      <w:pBdr>
        <w:top w:val="single" w:sz="4" w:space="0" w:color="DCE6F1"/>
        <w:bottom w:val="single" w:sz="4" w:space="0" w:color="DCE6F1"/>
      </w:pBdr>
      <w:shd w:val="clear" w:color="95B3D7" w:fill="95B3D7"/>
      <w:spacing w:before="100" w:beforeAutospacing="1" w:after="100" w:afterAutospacing="1" w:line="240" w:lineRule="auto"/>
    </w:pPr>
    <w:rPr>
      <w:rFonts w:ascii="Times New Roman" w:hAnsi="Times New Roman"/>
      <w:color w:val="FFFFFF"/>
      <w:sz w:val="18"/>
      <w:szCs w:val="18"/>
      <w:lang w:eastAsia="sk-SK"/>
    </w:rPr>
  </w:style>
  <w:style w:type="paragraph" w:customStyle="1" w:styleId="xl73">
    <w:name w:val="xl73"/>
    <w:basedOn w:val="Normlny"/>
    <w:rsid w:val="00BE704E"/>
    <w:pPr>
      <w:pBdr>
        <w:top w:val="double" w:sz="6" w:space="0" w:color="366092"/>
      </w:pBdr>
      <w:spacing w:before="100" w:beforeAutospacing="1" w:after="100" w:afterAutospacing="1" w:line="240" w:lineRule="auto"/>
    </w:pPr>
    <w:rPr>
      <w:rFonts w:ascii="Times New Roman" w:hAnsi="Times New Roman"/>
      <w:b/>
      <w:bCs/>
      <w:sz w:val="18"/>
      <w:szCs w:val="18"/>
      <w:lang w:eastAsia="sk-SK"/>
    </w:rPr>
  </w:style>
  <w:style w:type="paragraph" w:customStyle="1" w:styleId="xl74">
    <w:name w:val="xl74"/>
    <w:basedOn w:val="Normlny"/>
    <w:rsid w:val="00BE704E"/>
    <w:pPr>
      <w:pBdr>
        <w:top w:val="single" w:sz="4" w:space="0" w:color="366092"/>
        <w:bottom w:val="single" w:sz="4" w:space="0" w:color="DCE6F1"/>
      </w:pBdr>
      <w:shd w:val="clear" w:color="366092" w:fill="8DB4E2"/>
      <w:spacing w:before="100" w:beforeAutospacing="1" w:after="100" w:afterAutospacing="1" w:line="240" w:lineRule="auto"/>
    </w:pPr>
    <w:rPr>
      <w:rFonts w:ascii="Times New Roman" w:hAnsi="Times New Roman"/>
      <w:sz w:val="18"/>
      <w:szCs w:val="18"/>
      <w:lang w:eastAsia="sk-SK"/>
    </w:rPr>
  </w:style>
  <w:style w:type="paragraph" w:customStyle="1" w:styleId="xl75">
    <w:name w:val="xl75"/>
    <w:basedOn w:val="Normlny"/>
    <w:rsid w:val="00BE704E"/>
    <w:pPr>
      <w:pBdr>
        <w:top w:val="single" w:sz="4" w:space="0" w:color="366092"/>
        <w:bottom w:val="single" w:sz="4" w:space="0" w:color="B8CCE4"/>
      </w:pBdr>
      <w:shd w:val="clear" w:color="366092" w:fill="8DB4E2"/>
      <w:spacing w:before="100" w:beforeAutospacing="1" w:after="100" w:afterAutospacing="1" w:line="240" w:lineRule="auto"/>
      <w:jc w:val="center"/>
    </w:pPr>
    <w:rPr>
      <w:rFonts w:ascii="Times New Roman" w:hAnsi="Times New Roman"/>
      <w:sz w:val="18"/>
      <w:szCs w:val="18"/>
      <w:lang w:eastAsia="sk-SK"/>
    </w:rPr>
  </w:style>
  <w:style w:type="paragraph" w:customStyle="1" w:styleId="xl76">
    <w:name w:val="xl76"/>
    <w:basedOn w:val="Normlny"/>
    <w:rsid w:val="00BE704E"/>
    <w:pPr>
      <w:pBdr>
        <w:top w:val="single" w:sz="4" w:space="0" w:color="366092"/>
        <w:bottom w:val="single" w:sz="4" w:space="0" w:color="DCE6F1"/>
      </w:pBdr>
      <w:shd w:val="clear" w:color="366092" w:fill="8DB4E2"/>
      <w:spacing w:before="100" w:beforeAutospacing="1" w:after="100" w:afterAutospacing="1" w:line="240" w:lineRule="auto"/>
      <w:jc w:val="center"/>
    </w:pPr>
    <w:rPr>
      <w:rFonts w:ascii="Times New Roman" w:hAnsi="Times New Roman"/>
      <w:sz w:val="18"/>
      <w:szCs w:val="18"/>
      <w:lang w:eastAsia="sk-SK"/>
    </w:rPr>
  </w:style>
  <w:style w:type="paragraph" w:customStyle="1" w:styleId="xl64">
    <w:name w:val="xl64"/>
    <w:basedOn w:val="Normlny"/>
    <w:rsid w:val="00BE704E"/>
    <w:pP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BE704E"/>
    <w:pPr>
      <w:spacing w:before="100" w:beforeAutospacing="1" w:after="100" w:afterAutospacing="1" w:line="240" w:lineRule="auto"/>
    </w:pPr>
    <w:rPr>
      <w:rFonts w:ascii="Times New Roman" w:hAnsi="Times New Roman"/>
      <w:sz w:val="18"/>
      <w:szCs w:val="18"/>
      <w:lang w:eastAsia="sk-SK"/>
    </w:rPr>
  </w:style>
  <w:style w:type="paragraph" w:customStyle="1" w:styleId="msonormal0">
    <w:name w:val="msonormal"/>
    <w:basedOn w:val="Normlny"/>
    <w:rsid w:val="00BE704E"/>
    <w:pPr>
      <w:spacing w:before="100" w:beforeAutospacing="1" w:after="100" w:afterAutospacing="1" w:line="240" w:lineRule="auto"/>
    </w:pPr>
    <w:rPr>
      <w:rFonts w:ascii="Times New Roman" w:hAnsi="Times New Roman"/>
      <w:sz w:val="24"/>
      <w:szCs w:val="24"/>
      <w:lang w:eastAsia="sk-SK"/>
    </w:rPr>
  </w:style>
  <w:style w:type="table" w:styleId="Tabukasmriekou2zvraznenie1">
    <w:name w:val="Grid Table 2 Accent 1"/>
    <w:basedOn w:val="Normlnatabuka"/>
    <w:uiPriority w:val="47"/>
    <w:rsid w:val="00BE704E"/>
    <w:rPr>
      <w:rFonts w:asciiTheme="minorHAnsi" w:eastAsiaTheme="minorHAnsi" w:hAnsiTheme="minorHAnsi" w:cstheme="minorBidi"/>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l77">
    <w:name w:val="xl77"/>
    <w:basedOn w:val="Normlny"/>
    <w:rsid w:val="00095DDA"/>
    <w:pPr>
      <w:pBdr>
        <w:top w:val="single" w:sz="4" w:space="0" w:color="auto"/>
        <w:left w:val="single" w:sz="4" w:space="0" w:color="auto"/>
        <w:bottom w:val="single" w:sz="4" w:space="0" w:color="auto"/>
        <w:right w:val="single" w:sz="4" w:space="0" w:color="auto"/>
      </w:pBdr>
      <w:shd w:val="clear" w:color="000000" w:fill="00CC00"/>
      <w:spacing w:before="100" w:beforeAutospacing="1" w:after="100" w:afterAutospacing="1" w:line="240" w:lineRule="auto"/>
      <w:jc w:val="center"/>
    </w:pPr>
    <w:rPr>
      <w:rFonts w:ascii="Arial" w:hAnsi="Arial" w:cs="Arial"/>
      <w:sz w:val="18"/>
      <w:szCs w:val="18"/>
      <w:lang w:eastAsia="sk-SK"/>
    </w:rPr>
  </w:style>
  <w:style w:type="paragraph" w:customStyle="1" w:styleId="xl78">
    <w:name w:val="xl78"/>
    <w:basedOn w:val="Normlny"/>
    <w:rsid w:val="00095DDA"/>
    <w:pPr>
      <w:pBdr>
        <w:top w:val="single" w:sz="4" w:space="0" w:color="auto"/>
        <w:left w:val="single" w:sz="4" w:space="0" w:color="auto"/>
        <w:bottom w:val="single" w:sz="4" w:space="0" w:color="auto"/>
        <w:right w:val="single" w:sz="4" w:space="0" w:color="auto"/>
      </w:pBdr>
      <w:shd w:val="clear" w:color="000000" w:fill="00CC00"/>
      <w:spacing w:before="100" w:beforeAutospacing="1" w:after="100" w:afterAutospacing="1" w:line="240" w:lineRule="auto"/>
    </w:pPr>
    <w:rPr>
      <w:rFonts w:ascii="Arial" w:hAnsi="Arial" w:cs="Arial"/>
      <w:sz w:val="18"/>
      <w:szCs w:val="18"/>
      <w:lang w:eastAsia="sk-SK"/>
    </w:rPr>
  </w:style>
  <w:style w:type="paragraph" w:customStyle="1" w:styleId="xl79">
    <w:name w:val="xl79"/>
    <w:basedOn w:val="Normlny"/>
    <w:rsid w:val="00095DDA"/>
    <w:pPr>
      <w:pBdr>
        <w:top w:val="single" w:sz="4" w:space="0" w:color="auto"/>
        <w:left w:val="single" w:sz="4" w:space="0" w:color="auto"/>
        <w:bottom w:val="single" w:sz="4" w:space="0" w:color="auto"/>
        <w:right w:val="single" w:sz="4" w:space="0" w:color="auto"/>
      </w:pBdr>
      <w:shd w:val="clear" w:color="000000" w:fill="00CC00"/>
      <w:spacing w:before="100" w:beforeAutospacing="1" w:after="100" w:afterAutospacing="1" w:line="240" w:lineRule="auto"/>
      <w:jc w:val="center"/>
    </w:pPr>
    <w:rPr>
      <w:rFonts w:ascii="Arial" w:hAnsi="Arial" w:cs="Arial"/>
      <w:sz w:val="18"/>
      <w:szCs w:val="18"/>
      <w:lang w:eastAsia="sk-SK"/>
    </w:rPr>
  </w:style>
  <w:style w:type="paragraph" w:customStyle="1" w:styleId="xl80">
    <w:name w:val="xl80"/>
    <w:basedOn w:val="Normlny"/>
    <w:rsid w:val="00095DDA"/>
    <w:pPr>
      <w:pBdr>
        <w:top w:val="single" w:sz="4" w:space="0" w:color="auto"/>
        <w:left w:val="single" w:sz="4" w:space="0" w:color="auto"/>
        <w:bottom w:val="single" w:sz="4" w:space="0" w:color="auto"/>
        <w:right w:val="single" w:sz="4" w:space="0" w:color="auto"/>
      </w:pBdr>
      <w:shd w:val="clear" w:color="000000" w:fill="00CC00"/>
      <w:spacing w:before="100" w:beforeAutospacing="1" w:after="100" w:afterAutospacing="1" w:line="240" w:lineRule="auto"/>
    </w:pPr>
    <w:rPr>
      <w:rFonts w:ascii="Arial" w:hAnsi="Arial" w:cs="Arial"/>
      <w:sz w:val="18"/>
      <w:szCs w:val="18"/>
      <w:lang w:eastAsia="sk-SK"/>
    </w:rPr>
  </w:style>
  <w:style w:type="paragraph" w:customStyle="1" w:styleId="xl81">
    <w:name w:val="xl81"/>
    <w:basedOn w:val="Normlny"/>
    <w:rsid w:val="00095DDA"/>
    <w:pPr>
      <w:pBdr>
        <w:top w:val="single" w:sz="4" w:space="0" w:color="auto"/>
        <w:left w:val="single" w:sz="4" w:space="0" w:color="auto"/>
        <w:bottom w:val="single" w:sz="4" w:space="0" w:color="auto"/>
        <w:right w:val="single" w:sz="4" w:space="0" w:color="auto"/>
      </w:pBdr>
      <w:shd w:val="clear" w:color="000000" w:fill="00CC00"/>
      <w:spacing w:before="100" w:beforeAutospacing="1" w:after="100" w:afterAutospacing="1" w:line="240" w:lineRule="auto"/>
      <w:jc w:val="right"/>
    </w:pPr>
    <w:rPr>
      <w:rFonts w:ascii="Arial" w:hAnsi="Arial" w:cs="Arial"/>
      <w:sz w:val="18"/>
      <w:szCs w:val="18"/>
      <w:lang w:eastAsia="sk-SK"/>
    </w:rPr>
  </w:style>
  <w:style w:type="paragraph" w:customStyle="1" w:styleId="xl82">
    <w:name w:val="xl82"/>
    <w:basedOn w:val="Normlny"/>
    <w:rsid w:val="00095DD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Arial" w:hAnsi="Arial" w:cs="Arial"/>
      <w:sz w:val="18"/>
      <w:szCs w:val="18"/>
      <w:lang w:eastAsia="sk-SK"/>
    </w:rPr>
  </w:style>
  <w:style w:type="paragraph" w:customStyle="1" w:styleId="xl83">
    <w:name w:val="xl83"/>
    <w:basedOn w:val="Normlny"/>
    <w:rsid w:val="00095DD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Arial" w:hAnsi="Arial" w:cs="Arial"/>
      <w:sz w:val="18"/>
      <w:szCs w:val="18"/>
      <w:lang w:eastAsia="sk-SK"/>
    </w:rPr>
  </w:style>
  <w:style w:type="paragraph" w:customStyle="1" w:styleId="xl84">
    <w:name w:val="xl84"/>
    <w:basedOn w:val="Normlny"/>
    <w:rsid w:val="00095DD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Arial" w:hAnsi="Arial" w:cs="Arial"/>
      <w:sz w:val="18"/>
      <w:szCs w:val="18"/>
      <w:lang w:eastAsia="sk-SK"/>
    </w:rPr>
  </w:style>
  <w:style w:type="paragraph" w:customStyle="1" w:styleId="xl85">
    <w:name w:val="xl85"/>
    <w:basedOn w:val="Normlny"/>
    <w:rsid w:val="00095DD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Arial" w:hAnsi="Arial" w:cs="Arial"/>
      <w:sz w:val="18"/>
      <w:szCs w:val="18"/>
      <w:lang w:eastAsia="sk-SK"/>
    </w:rPr>
  </w:style>
  <w:style w:type="paragraph" w:customStyle="1" w:styleId="xl86">
    <w:name w:val="xl86"/>
    <w:basedOn w:val="Normlny"/>
    <w:rsid w:val="00095DD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Arial" w:hAnsi="Arial" w:cs="Arial"/>
      <w:sz w:val="18"/>
      <w:szCs w:val="18"/>
      <w:lang w:eastAsia="sk-SK"/>
    </w:rPr>
  </w:style>
  <w:style w:type="paragraph" w:customStyle="1" w:styleId="xl87">
    <w:name w:val="xl87"/>
    <w:basedOn w:val="Normlny"/>
    <w:rsid w:val="00095DDA"/>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pPr>
    <w:rPr>
      <w:rFonts w:ascii="Arial" w:hAnsi="Arial" w:cs="Arial"/>
      <w:sz w:val="18"/>
      <w:szCs w:val="18"/>
      <w:lang w:eastAsia="sk-SK"/>
    </w:rPr>
  </w:style>
  <w:style w:type="paragraph" w:customStyle="1" w:styleId="xl88">
    <w:name w:val="xl88"/>
    <w:basedOn w:val="Normlny"/>
    <w:rsid w:val="00095DDA"/>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jc w:val="center"/>
    </w:pPr>
    <w:rPr>
      <w:rFonts w:ascii="Arial" w:hAnsi="Arial" w:cs="Arial"/>
      <w:sz w:val="18"/>
      <w:szCs w:val="18"/>
      <w:lang w:eastAsia="sk-SK"/>
    </w:rPr>
  </w:style>
  <w:style w:type="paragraph" w:customStyle="1" w:styleId="xl89">
    <w:name w:val="xl89"/>
    <w:basedOn w:val="Normlny"/>
    <w:rsid w:val="00095DDA"/>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jc w:val="center"/>
    </w:pPr>
    <w:rPr>
      <w:rFonts w:ascii="Arial" w:hAnsi="Arial" w:cs="Arial"/>
      <w:sz w:val="18"/>
      <w:szCs w:val="18"/>
      <w:lang w:eastAsia="sk-SK"/>
    </w:rPr>
  </w:style>
  <w:style w:type="paragraph" w:customStyle="1" w:styleId="xl90">
    <w:name w:val="xl90"/>
    <w:basedOn w:val="Normlny"/>
    <w:rsid w:val="00095DDA"/>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pPr>
    <w:rPr>
      <w:rFonts w:ascii="Arial" w:hAnsi="Arial" w:cs="Arial"/>
      <w:sz w:val="18"/>
      <w:szCs w:val="18"/>
      <w:lang w:eastAsia="sk-SK"/>
    </w:rPr>
  </w:style>
  <w:style w:type="paragraph" w:customStyle="1" w:styleId="xl91">
    <w:name w:val="xl91"/>
    <w:basedOn w:val="Normlny"/>
    <w:rsid w:val="00095DDA"/>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jc w:val="center"/>
    </w:pPr>
    <w:rPr>
      <w:rFonts w:ascii="Arial" w:hAnsi="Arial" w:cs="Arial"/>
      <w:sz w:val="18"/>
      <w:szCs w:val="18"/>
      <w:lang w:eastAsia="sk-SK"/>
    </w:rPr>
  </w:style>
  <w:style w:type="paragraph" w:customStyle="1" w:styleId="xl92">
    <w:name w:val="xl92"/>
    <w:basedOn w:val="Normlny"/>
    <w:rsid w:val="00095DDA"/>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pPr>
    <w:rPr>
      <w:rFonts w:ascii="Arial" w:hAnsi="Arial" w:cs="Arial"/>
      <w:sz w:val="18"/>
      <w:szCs w:val="18"/>
      <w:lang w:eastAsia="sk-SK"/>
    </w:rPr>
  </w:style>
  <w:style w:type="paragraph" w:customStyle="1" w:styleId="xl93">
    <w:name w:val="xl93"/>
    <w:basedOn w:val="Normlny"/>
    <w:rsid w:val="00095DDA"/>
    <w:pPr>
      <w:pBdr>
        <w:top w:val="single" w:sz="4" w:space="0" w:color="auto"/>
        <w:left w:val="single" w:sz="4" w:space="0" w:color="auto"/>
        <w:bottom w:val="single" w:sz="4" w:space="0" w:color="auto"/>
        <w:right w:val="single" w:sz="4" w:space="0" w:color="auto"/>
      </w:pBdr>
      <w:shd w:val="clear" w:color="000000" w:fill="99FF33"/>
      <w:spacing w:before="100" w:beforeAutospacing="1" w:after="100" w:afterAutospacing="1" w:line="240" w:lineRule="auto"/>
      <w:jc w:val="right"/>
    </w:pPr>
    <w:rPr>
      <w:rFonts w:ascii="Arial" w:hAnsi="Arial" w:cs="Arial"/>
      <w:sz w:val="18"/>
      <w:szCs w:val="18"/>
      <w:lang w:eastAsia="sk-SK"/>
    </w:rPr>
  </w:style>
  <w:style w:type="paragraph" w:customStyle="1" w:styleId="xl94">
    <w:name w:val="xl94"/>
    <w:basedOn w:val="Normlny"/>
    <w:rsid w:val="00095DDA"/>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pPr>
    <w:rPr>
      <w:rFonts w:ascii="Arial" w:hAnsi="Arial" w:cs="Arial"/>
      <w:sz w:val="18"/>
      <w:szCs w:val="18"/>
      <w:lang w:eastAsia="sk-SK"/>
    </w:rPr>
  </w:style>
  <w:style w:type="paragraph" w:customStyle="1" w:styleId="xl95">
    <w:name w:val="xl95"/>
    <w:basedOn w:val="Normlny"/>
    <w:rsid w:val="00095DDA"/>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pPr>
    <w:rPr>
      <w:rFonts w:ascii="Arial" w:hAnsi="Arial" w:cs="Arial"/>
      <w:sz w:val="18"/>
      <w:szCs w:val="18"/>
      <w:lang w:eastAsia="sk-SK"/>
    </w:rPr>
  </w:style>
  <w:style w:type="paragraph" w:customStyle="1" w:styleId="xl96">
    <w:name w:val="xl96"/>
    <w:basedOn w:val="Normlny"/>
    <w:rsid w:val="00095DDA"/>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pPr>
    <w:rPr>
      <w:rFonts w:ascii="Arial" w:hAnsi="Arial" w:cs="Arial"/>
      <w:sz w:val="18"/>
      <w:szCs w:val="18"/>
      <w:lang w:eastAsia="sk-SK"/>
    </w:rPr>
  </w:style>
  <w:style w:type="paragraph" w:customStyle="1" w:styleId="xl97">
    <w:name w:val="xl97"/>
    <w:basedOn w:val="Normlny"/>
    <w:rsid w:val="00095DDA"/>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center"/>
    </w:pPr>
    <w:rPr>
      <w:rFonts w:ascii="Arial" w:hAnsi="Arial" w:cs="Arial"/>
      <w:sz w:val="18"/>
      <w:szCs w:val="18"/>
      <w:lang w:eastAsia="sk-SK"/>
    </w:rPr>
  </w:style>
  <w:style w:type="paragraph" w:customStyle="1" w:styleId="xl98">
    <w:name w:val="xl98"/>
    <w:basedOn w:val="Normlny"/>
    <w:rsid w:val="00095DDA"/>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pPr>
    <w:rPr>
      <w:rFonts w:ascii="Arial" w:hAnsi="Arial" w:cs="Arial"/>
      <w:sz w:val="18"/>
      <w:szCs w:val="18"/>
      <w:lang w:eastAsia="sk-SK"/>
    </w:rPr>
  </w:style>
  <w:style w:type="paragraph" w:customStyle="1" w:styleId="xl99">
    <w:name w:val="xl99"/>
    <w:basedOn w:val="Normlny"/>
    <w:rsid w:val="00095DDA"/>
    <w:pPr>
      <w:pBdr>
        <w:top w:val="single" w:sz="4" w:space="0" w:color="auto"/>
        <w:left w:val="single" w:sz="4" w:space="0" w:color="auto"/>
        <w:bottom w:val="single" w:sz="4" w:space="0" w:color="auto"/>
        <w:right w:val="single" w:sz="4" w:space="0" w:color="auto"/>
      </w:pBdr>
      <w:shd w:val="clear" w:color="000000" w:fill="CCFF99"/>
      <w:spacing w:before="100" w:beforeAutospacing="1" w:after="100" w:afterAutospacing="1" w:line="240" w:lineRule="auto"/>
      <w:jc w:val="right"/>
    </w:pPr>
    <w:rPr>
      <w:rFonts w:ascii="Arial" w:hAnsi="Arial" w:cs="Arial"/>
      <w:sz w:val="18"/>
      <w:szCs w:val="18"/>
      <w:lang w:eastAsia="sk-SK"/>
    </w:rPr>
  </w:style>
  <w:style w:type="paragraph" w:customStyle="1" w:styleId="xl100">
    <w:name w:val="xl100"/>
    <w:basedOn w:val="Normlny"/>
    <w:rsid w:val="00095DDA"/>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line="240" w:lineRule="auto"/>
      <w:jc w:val="center"/>
    </w:pPr>
    <w:rPr>
      <w:rFonts w:ascii="Arial" w:hAnsi="Arial" w:cs="Arial"/>
      <w:sz w:val="18"/>
      <w:szCs w:val="18"/>
      <w:lang w:eastAsia="sk-SK"/>
    </w:rPr>
  </w:style>
  <w:style w:type="paragraph" w:customStyle="1" w:styleId="xl101">
    <w:name w:val="xl101"/>
    <w:basedOn w:val="Normlny"/>
    <w:rsid w:val="00095DDA"/>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line="240" w:lineRule="auto"/>
    </w:pPr>
    <w:rPr>
      <w:rFonts w:ascii="Arial" w:hAnsi="Arial" w:cs="Arial"/>
      <w:sz w:val="18"/>
      <w:szCs w:val="18"/>
      <w:lang w:eastAsia="sk-SK"/>
    </w:rPr>
  </w:style>
  <w:style w:type="paragraph" w:customStyle="1" w:styleId="xl102">
    <w:name w:val="xl102"/>
    <w:basedOn w:val="Normlny"/>
    <w:rsid w:val="00095DDA"/>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line="240" w:lineRule="auto"/>
      <w:jc w:val="center"/>
    </w:pPr>
    <w:rPr>
      <w:rFonts w:ascii="Arial" w:hAnsi="Arial" w:cs="Arial"/>
      <w:sz w:val="18"/>
      <w:szCs w:val="18"/>
      <w:lang w:eastAsia="sk-SK"/>
    </w:rPr>
  </w:style>
  <w:style w:type="paragraph" w:customStyle="1" w:styleId="xl103">
    <w:name w:val="xl103"/>
    <w:basedOn w:val="Normlny"/>
    <w:rsid w:val="00095DDA"/>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line="240" w:lineRule="auto"/>
    </w:pPr>
    <w:rPr>
      <w:rFonts w:ascii="Arial" w:hAnsi="Arial" w:cs="Arial"/>
      <w:sz w:val="18"/>
      <w:szCs w:val="18"/>
      <w:lang w:eastAsia="sk-SK"/>
    </w:rPr>
  </w:style>
  <w:style w:type="paragraph" w:customStyle="1" w:styleId="xl104">
    <w:name w:val="xl104"/>
    <w:basedOn w:val="Normlny"/>
    <w:rsid w:val="00095DDA"/>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line="240" w:lineRule="auto"/>
      <w:jc w:val="center"/>
    </w:pPr>
    <w:rPr>
      <w:rFonts w:ascii="Arial" w:hAnsi="Arial" w:cs="Arial"/>
      <w:sz w:val="18"/>
      <w:szCs w:val="18"/>
      <w:lang w:eastAsia="sk-SK"/>
    </w:rPr>
  </w:style>
  <w:style w:type="paragraph" w:customStyle="1" w:styleId="xl105">
    <w:name w:val="xl105"/>
    <w:basedOn w:val="Normlny"/>
    <w:rsid w:val="00095DDA"/>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line="240" w:lineRule="auto"/>
    </w:pPr>
    <w:rPr>
      <w:rFonts w:ascii="Arial" w:hAnsi="Arial" w:cs="Arial"/>
      <w:sz w:val="18"/>
      <w:szCs w:val="18"/>
      <w:lang w:eastAsia="sk-SK"/>
    </w:rPr>
  </w:style>
  <w:style w:type="paragraph" w:customStyle="1" w:styleId="xl106">
    <w:name w:val="xl106"/>
    <w:basedOn w:val="Normlny"/>
    <w:rsid w:val="00095DDA"/>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line="240" w:lineRule="auto"/>
      <w:jc w:val="right"/>
    </w:pPr>
    <w:rPr>
      <w:rFonts w:ascii="Arial" w:hAnsi="Arial" w:cs="Arial"/>
      <w:sz w:val="18"/>
      <w:szCs w:val="18"/>
      <w:lang w:eastAsia="sk-SK"/>
    </w:rPr>
  </w:style>
  <w:style w:type="paragraph" w:customStyle="1" w:styleId="xl107">
    <w:name w:val="xl107"/>
    <w:basedOn w:val="Normlny"/>
    <w:rsid w:val="00095DD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Arial" w:hAnsi="Arial" w:cs="Arial"/>
      <w:sz w:val="18"/>
      <w:szCs w:val="18"/>
      <w:lang w:eastAsia="sk-SK"/>
    </w:rPr>
  </w:style>
  <w:style w:type="paragraph" w:customStyle="1" w:styleId="xl108">
    <w:name w:val="xl108"/>
    <w:basedOn w:val="Normlny"/>
    <w:rsid w:val="00095DD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w:hAnsi="Arial" w:cs="Arial"/>
      <w:sz w:val="18"/>
      <w:szCs w:val="18"/>
      <w:lang w:eastAsia="sk-SK"/>
    </w:rPr>
  </w:style>
  <w:style w:type="paragraph" w:customStyle="1" w:styleId="xl109">
    <w:name w:val="xl109"/>
    <w:basedOn w:val="Normlny"/>
    <w:rsid w:val="00095DD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Arial" w:hAnsi="Arial" w:cs="Arial"/>
      <w:sz w:val="18"/>
      <w:szCs w:val="18"/>
      <w:lang w:eastAsia="sk-SK"/>
    </w:rPr>
  </w:style>
  <w:style w:type="paragraph" w:customStyle="1" w:styleId="xl110">
    <w:name w:val="xl110"/>
    <w:basedOn w:val="Normlny"/>
    <w:rsid w:val="00095DD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w:hAnsi="Arial" w:cs="Arial"/>
      <w:sz w:val="18"/>
      <w:szCs w:val="18"/>
      <w:lang w:eastAsia="sk-SK"/>
    </w:rPr>
  </w:style>
  <w:style w:type="paragraph" w:customStyle="1" w:styleId="xl111">
    <w:name w:val="xl111"/>
    <w:basedOn w:val="Normlny"/>
    <w:rsid w:val="00095DD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Arial" w:hAnsi="Arial" w:cs="Arial"/>
      <w:sz w:val="18"/>
      <w:szCs w:val="18"/>
      <w:lang w:eastAsia="sk-SK"/>
    </w:rPr>
  </w:style>
  <w:style w:type="paragraph" w:customStyle="1" w:styleId="xl112">
    <w:name w:val="xl112"/>
    <w:basedOn w:val="Normlny"/>
    <w:rsid w:val="00095DD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w:hAnsi="Arial" w:cs="Arial"/>
      <w:sz w:val="18"/>
      <w:szCs w:val="18"/>
      <w:lang w:eastAsia="sk-SK"/>
    </w:rPr>
  </w:style>
  <w:style w:type="paragraph" w:customStyle="1" w:styleId="xl113">
    <w:name w:val="xl113"/>
    <w:basedOn w:val="Normlny"/>
    <w:rsid w:val="00095DD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Arial" w:hAnsi="Arial" w:cs="Arial"/>
      <w:sz w:val="18"/>
      <w:szCs w:val="18"/>
      <w:lang w:eastAsia="sk-SK"/>
    </w:rPr>
  </w:style>
  <w:style w:type="paragraph" w:customStyle="1" w:styleId="xl114">
    <w:name w:val="xl114"/>
    <w:basedOn w:val="Normlny"/>
    <w:rsid w:val="00095DDA"/>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jc w:val="center"/>
    </w:pPr>
    <w:rPr>
      <w:rFonts w:ascii="Arial" w:hAnsi="Arial" w:cs="Arial"/>
      <w:sz w:val="18"/>
      <w:szCs w:val="18"/>
      <w:lang w:eastAsia="sk-SK"/>
    </w:rPr>
  </w:style>
  <w:style w:type="paragraph" w:customStyle="1" w:styleId="xl115">
    <w:name w:val="xl115"/>
    <w:basedOn w:val="Normlny"/>
    <w:rsid w:val="00095DDA"/>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pPr>
    <w:rPr>
      <w:rFonts w:ascii="Arial" w:hAnsi="Arial" w:cs="Arial"/>
      <w:sz w:val="18"/>
      <w:szCs w:val="18"/>
      <w:lang w:eastAsia="sk-SK"/>
    </w:rPr>
  </w:style>
  <w:style w:type="paragraph" w:customStyle="1" w:styleId="xl116">
    <w:name w:val="xl116"/>
    <w:basedOn w:val="Normlny"/>
    <w:rsid w:val="00095DDA"/>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jc w:val="center"/>
    </w:pPr>
    <w:rPr>
      <w:rFonts w:ascii="Arial" w:hAnsi="Arial" w:cs="Arial"/>
      <w:sz w:val="18"/>
      <w:szCs w:val="18"/>
      <w:lang w:eastAsia="sk-SK"/>
    </w:rPr>
  </w:style>
  <w:style w:type="paragraph" w:customStyle="1" w:styleId="xl117">
    <w:name w:val="xl117"/>
    <w:basedOn w:val="Normlny"/>
    <w:rsid w:val="00095DDA"/>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pPr>
    <w:rPr>
      <w:rFonts w:ascii="Arial" w:hAnsi="Arial" w:cs="Arial"/>
      <w:sz w:val="18"/>
      <w:szCs w:val="18"/>
      <w:lang w:eastAsia="sk-SK"/>
    </w:rPr>
  </w:style>
  <w:style w:type="paragraph" w:customStyle="1" w:styleId="xl118">
    <w:name w:val="xl118"/>
    <w:basedOn w:val="Normlny"/>
    <w:rsid w:val="00095DDA"/>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jc w:val="center"/>
    </w:pPr>
    <w:rPr>
      <w:rFonts w:ascii="Arial" w:hAnsi="Arial" w:cs="Arial"/>
      <w:sz w:val="18"/>
      <w:szCs w:val="18"/>
      <w:lang w:eastAsia="sk-SK"/>
    </w:rPr>
  </w:style>
  <w:style w:type="paragraph" w:customStyle="1" w:styleId="xl119">
    <w:name w:val="xl119"/>
    <w:basedOn w:val="Normlny"/>
    <w:rsid w:val="00095DDA"/>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pPr>
    <w:rPr>
      <w:rFonts w:ascii="Arial" w:hAnsi="Arial" w:cs="Arial"/>
      <w:sz w:val="18"/>
      <w:szCs w:val="18"/>
      <w:lang w:eastAsia="sk-SK"/>
    </w:rPr>
  </w:style>
  <w:style w:type="paragraph" w:customStyle="1" w:styleId="xl120">
    <w:name w:val="xl120"/>
    <w:basedOn w:val="Normlny"/>
    <w:rsid w:val="00095DDA"/>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jc w:val="right"/>
    </w:pPr>
    <w:rPr>
      <w:rFonts w:ascii="Arial" w:hAnsi="Arial" w:cs="Arial"/>
      <w:sz w:val="18"/>
      <w:szCs w:val="18"/>
      <w:lang w:eastAsia="sk-SK"/>
    </w:rPr>
  </w:style>
  <w:style w:type="paragraph" w:customStyle="1" w:styleId="xl121">
    <w:name w:val="xl121"/>
    <w:basedOn w:val="Normlny"/>
    <w:rsid w:val="00095DD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ascii="Arial" w:hAnsi="Arial" w:cs="Arial"/>
      <w:sz w:val="18"/>
      <w:szCs w:val="18"/>
      <w:lang w:eastAsia="sk-SK"/>
    </w:rPr>
  </w:style>
  <w:style w:type="paragraph" w:customStyle="1" w:styleId="xl122">
    <w:name w:val="xl122"/>
    <w:basedOn w:val="Normlny"/>
    <w:rsid w:val="00095DD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hAnsi="Arial" w:cs="Arial"/>
      <w:sz w:val="18"/>
      <w:szCs w:val="18"/>
      <w:lang w:eastAsia="sk-SK"/>
    </w:rPr>
  </w:style>
  <w:style w:type="paragraph" w:customStyle="1" w:styleId="xl123">
    <w:name w:val="xl123"/>
    <w:basedOn w:val="Normlny"/>
    <w:rsid w:val="00095DD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ascii="Arial" w:hAnsi="Arial" w:cs="Arial"/>
      <w:sz w:val="18"/>
      <w:szCs w:val="18"/>
      <w:lang w:eastAsia="sk-SK"/>
    </w:rPr>
  </w:style>
  <w:style w:type="paragraph" w:customStyle="1" w:styleId="xl124">
    <w:name w:val="xl124"/>
    <w:basedOn w:val="Normlny"/>
    <w:rsid w:val="00095DD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hAnsi="Arial" w:cs="Arial"/>
      <w:sz w:val="18"/>
      <w:szCs w:val="18"/>
      <w:lang w:eastAsia="sk-SK"/>
    </w:rPr>
  </w:style>
  <w:style w:type="paragraph" w:customStyle="1" w:styleId="xl125">
    <w:name w:val="xl125"/>
    <w:basedOn w:val="Normlny"/>
    <w:rsid w:val="00095DD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pPr>
    <w:rPr>
      <w:rFonts w:ascii="Arial" w:hAnsi="Arial" w:cs="Arial"/>
      <w:sz w:val="18"/>
      <w:szCs w:val="18"/>
      <w:lang w:eastAsia="sk-SK"/>
    </w:rPr>
  </w:style>
  <w:style w:type="paragraph" w:customStyle="1" w:styleId="xl126">
    <w:name w:val="xl126"/>
    <w:basedOn w:val="Normlny"/>
    <w:rsid w:val="00095DD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hAnsi="Arial" w:cs="Arial"/>
      <w:sz w:val="18"/>
      <w:szCs w:val="18"/>
      <w:lang w:eastAsia="sk-SK"/>
    </w:rPr>
  </w:style>
  <w:style w:type="paragraph" w:customStyle="1" w:styleId="xl127">
    <w:name w:val="xl127"/>
    <w:basedOn w:val="Normlny"/>
    <w:rsid w:val="00095DD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right"/>
    </w:pPr>
    <w:rPr>
      <w:rFonts w:ascii="Arial" w:hAnsi="Arial" w:cs="Arial"/>
      <w:sz w:val="18"/>
      <w:szCs w:val="18"/>
      <w:lang w:eastAsia="sk-SK"/>
    </w:rPr>
  </w:style>
  <w:style w:type="paragraph" w:customStyle="1" w:styleId="xl128">
    <w:name w:val="xl128"/>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Arial" w:hAnsi="Arial" w:cs="Arial"/>
      <w:sz w:val="18"/>
      <w:szCs w:val="18"/>
      <w:lang w:eastAsia="sk-SK"/>
    </w:rPr>
  </w:style>
  <w:style w:type="paragraph" w:customStyle="1" w:styleId="xl129">
    <w:name w:val="xl129"/>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Arial" w:hAnsi="Arial" w:cs="Arial"/>
      <w:sz w:val="18"/>
      <w:szCs w:val="18"/>
      <w:lang w:eastAsia="sk-SK"/>
    </w:rPr>
  </w:style>
  <w:style w:type="paragraph" w:customStyle="1" w:styleId="xl130">
    <w:name w:val="xl130"/>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Arial" w:hAnsi="Arial" w:cs="Arial"/>
      <w:sz w:val="18"/>
      <w:szCs w:val="18"/>
      <w:lang w:eastAsia="sk-SK"/>
    </w:rPr>
  </w:style>
  <w:style w:type="paragraph" w:customStyle="1" w:styleId="xl131">
    <w:name w:val="xl131"/>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Arial" w:hAnsi="Arial" w:cs="Arial"/>
      <w:sz w:val="18"/>
      <w:szCs w:val="18"/>
      <w:lang w:eastAsia="sk-SK"/>
    </w:rPr>
  </w:style>
  <w:style w:type="paragraph" w:customStyle="1" w:styleId="xl132">
    <w:name w:val="xl132"/>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Arial" w:hAnsi="Arial" w:cs="Arial"/>
      <w:sz w:val="18"/>
      <w:szCs w:val="18"/>
      <w:lang w:eastAsia="sk-SK"/>
    </w:rPr>
  </w:style>
  <w:style w:type="paragraph" w:customStyle="1" w:styleId="xl133">
    <w:name w:val="xl133"/>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Arial" w:hAnsi="Arial" w:cs="Arial"/>
      <w:sz w:val="18"/>
      <w:szCs w:val="18"/>
      <w:lang w:eastAsia="sk-SK"/>
    </w:rPr>
  </w:style>
  <w:style w:type="paragraph" w:customStyle="1" w:styleId="xl134">
    <w:name w:val="xl134"/>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pPr>
    <w:rPr>
      <w:rFonts w:ascii="Arial" w:hAnsi="Arial" w:cs="Arial"/>
      <w:sz w:val="18"/>
      <w:szCs w:val="18"/>
      <w:lang w:eastAsia="sk-SK"/>
    </w:rPr>
  </w:style>
  <w:style w:type="paragraph" w:customStyle="1" w:styleId="xl135">
    <w:name w:val="xl135"/>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Arial" w:hAnsi="Arial" w:cs="Arial"/>
      <w:sz w:val="18"/>
      <w:szCs w:val="18"/>
      <w:lang w:eastAsia="sk-SK"/>
    </w:rPr>
  </w:style>
  <w:style w:type="paragraph" w:customStyle="1" w:styleId="xl136">
    <w:name w:val="xl136"/>
    <w:basedOn w:val="Normlny"/>
    <w:rsid w:val="00095D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sz w:val="18"/>
      <w:szCs w:val="18"/>
      <w:lang w:eastAsia="sk-SK"/>
    </w:rPr>
  </w:style>
  <w:style w:type="paragraph" w:customStyle="1" w:styleId="xl137">
    <w:name w:val="xl137"/>
    <w:basedOn w:val="Normlny"/>
    <w:rsid w:val="00095D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sz w:val="18"/>
      <w:szCs w:val="18"/>
      <w:lang w:eastAsia="sk-SK"/>
    </w:rPr>
  </w:style>
  <w:style w:type="paragraph" w:customStyle="1" w:styleId="xl138">
    <w:name w:val="xl138"/>
    <w:basedOn w:val="Normlny"/>
    <w:rsid w:val="00095D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hAnsi="Arial" w:cs="Arial"/>
      <w:sz w:val="18"/>
      <w:szCs w:val="18"/>
      <w:lang w:eastAsia="sk-SK"/>
    </w:rPr>
  </w:style>
  <w:style w:type="paragraph" w:customStyle="1" w:styleId="xl139">
    <w:name w:val="xl139"/>
    <w:basedOn w:val="Normlny"/>
    <w:rsid w:val="00095D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hAnsi="Arial" w:cs="Arial"/>
      <w:sz w:val="18"/>
      <w:szCs w:val="18"/>
      <w:lang w:eastAsia="sk-SK"/>
    </w:rPr>
  </w:style>
  <w:style w:type="paragraph" w:customStyle="1" w:styleId="xl140">
    <w:name w:val="xl140"/>
    <w:basedOn w:val="Normlny"/>
    <w:rsid w:val="00095D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hAnsi="Arial" w:cs="Arial"/>
      <w:sz w:val="18"/>
      <w:szCs w:val="18"/>
      <w:lang w:eastAsia="sk-SK"/>
    </w:rPr>
  </w:style>
  <w:style w:type="paragraph" w:customStyle="1" w:styleId="xl141">
    <w:name w:val="xl141"/>
    <w:basedOn w:val="Normlny"/>
    <w:rsid w:val="00095D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Arial" w:hAnsi="Arial" w:cs="Arial"/>
      <w:sz w:val="18"/>
      <w:szCs w:val="18"/>
      <w:lang w:eastAsia="sk-SK"/>
    </w:rPr>
  </w:style>
  <w:style w:type="paragraph" w:customStyle="1" w:styleId="xl142">
    <w:name w:val="xl142"/>
    <w:basedOn w:val="Normlny"/>
    <w:rsid w:val="00095DD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Arial" w:hAnsi="Arial" w:cs="Arial"/>
      <w:sz w:val="18"/>
      <w:szCs w:val="18"/>
      <w:lang w:eastAsia="sk-SK"/>
    </w:rPr>
  </w:style>
  <w:style w:type="paragraph" w:customStyle="1" w:styleId="xl143">
    <w:name w:val="xl143"/>
    <w:basedOn w:val="Normlny"/>
    <w:rsid w:val="00095DD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Arial" w:hAnsi="Arial" w:cs="Arial"/>
      <w:sz w:val="18"/>
      <w:szCs w:val="18"/>
      <w:lang w:eastAsia="sk-SK"/>
    </w:rPr>
  </w:style>
  <w:style w:type="paragraph" w:customStyle="1" w:styleId="xl144">
    <w:name w:val="xl144"/>
    <w:basedOn w:val="Normlny"/>
    <w:rsid w:val="00095DD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Arial" w:hAnsi="Arial" w:cs="Arial"/>
      <w:sz w:val="18"/>
      <w:szCs w:val="18"/>
      <w:lang w:eastAsia="sk-SK"/>
    </w:rPr>
  </w:style>
  <w:style w:type="paragraph" w:customStyle="1" w:styleId="xl145">
    <w:name w:val="xl145"/>
    <w:basedOn w:val="Normlny"/>
    <w:rsid w:val="00095DD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Arial" w:hAnsi="Arial" w:cs="Arial"/>
      <w:sz w:val="18"/>
      <w:szCs w:val="18"/>
      <w:lang w:eastAsia="sk-SK"/>
    </w:rPr>
  </w:style>
  <w:style w:type="paragraph" w:customStyle="1" w:styleId="xl146">
    <w:name w:val="xl146"/>
    <w:basedOn w:val="Normlny"/>
    <w:rsid w:val="00095DD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Arial" w:hAnsi="Arial" w:cs="Arial"/>
      <w:sz w:val="18"/>
      <w:szCs w:val="18"/>
      <w:lang w:eastAsia="sk-SK"/>
    </w:rPr>
  </w:style>
  <w:style w:type="paragraph" w:customStyle="1" w:styleId="xl147">
    <w:name w:val="xl147"/>
    <w:basedOn w:val="Normlny"/>
    <w:rsid w:val="00095DD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Arial" w:hAnsi="Arial" w:cs="Arial"/>
      <w:sz w:val="18"/>
      <w:szCs w:val="18"/>
      <w:lang w:eastAsia="sk-SK"/>
    </w:rPr>
  </w:style>
  <w:style w:type="paragraph" w:customStyle="1" w:styleId="xl148">
    <w:name w:val="xl148"/>
    <w:basedOn w:val="Normlny"/>
    <w:rsid w:val="00095DD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pPr>
    <w:rPr>
      <w:rFonts w:ascii="Arial" w:hAnsi="Arial" w:cs="Arial"/>
      <w:sz w:val="18"/>
      <w:szCs w:val="18"/>
      <w:lang w:eastAsia="sk-SK"/>
    </w:rPr>
  </w:style>
  <w:style w:type="paragraph" w:customStyle="1" w:styleId="xl149">
    <w:name w:val="xl149"/>
    <w:basedOn w:val="Normlny"/>
    <w:rsid w:val="00095DD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pPr>
    <w:rPr>
      <w:rFonts w:ascii="Arial" w:hAnsi="Arial" w:cs="Arial"/>
      <w:sz w:val="18"/>
      <w:szCs w:val="18"/>
      <w:lang w:eastAsia="sk-SK"/>
    </w:rPr>
  </w:style>
  <w:style w:type="paragraph" w:customStyle="1" w:styleId="xl150">
    <w:name w:val="xl150"/>
    <w:basedOn w:val="Normlny"/>
    <w:rsid w:val="00095DD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pPr>
    <w:rPr>
      <w:rFonts w:ascii="Arial" w:hAnsi="Arial" w:cs="Arial"/>
      <w:sz w:val="18"/>
      <w:szCs w:val="18"/>
      <w:lang w:eastAsia="sk-SK"/>
    </w:rPr>
  </w:style>
  <w:style w:type="paragraph" w:customStyle="1" w:styleId="xl151">
    <w:name w:val="xl151"/>
    <w:basedOn w:val="Normlny"/>
    <w:rsid w:val="00095DD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pPr>
    <w:rPr>
      <w:rFonts w:ascii="Arial" w:hAnsi="Arial" w:cs="Arial"/>
      <w:sz w:val="18"/>
      <w:szCs w:val="18"/>
      <w:lang w:eastAsia="sk-SK"/>
    </w:rPr>
  </w:style>
  <w:style w:type="paragraph" w:customStyle="1" w:styleId="xl152">
    <w:name w:val="xl152"/>
    <w:basedOn w:val="Normlny"/>
    <w:rsid w:val="00095DD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pPr>
    <w:rPr>
      <w:rFonts w:ascii="Arial" w:hAnsi="Arial" w:cs="Arial"/>
      <w:sz w:val="18"/>
      <w:szCs w:val="18"/>
      <w:lang w:eastAsia="sk-SK"/>
    </w:rPr>
  </w:style>
  <w:style w:type="paragraph" w:customStyle="1" w:styleId="xl153">
    <w:name w:val="xl153"/>
    <w:basedOn w:val="Normlny"/>
    <w:rsid w:val="00095DD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right"/>
    </w:pPr>
    <w:rPr>
      <w:rFonts w:ascii="Arial" w:hAnsi="Arial" w:cs="Arial"/>
      <w:sz w:val="18"/>
      <w:szCs w:val="18"/>
      <w:lang w:eastAsia="sk-SK"/>
    </w:rPr>
  </w:style>
  <w:style w:type="paragraph" w:customStyle="1" w:styleId="xl154">
    <w:name w:val="xl154"/>
    <w:basedOn w:val="Normlny"/>
    <w:rsid w:val="00095DD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hAnsi="Arial" w:cs="Arial"/>
      <w:sz w:val="18"/>
      <w:szCs w:val="18"/>
      <w:lang w:eastAsia="sk-SK"/>
    </w:rPr>
  </w:style>
  <w:style w:type="paragraph" w:customStyle="1" w:styleId="xl155">
    <w:name w:val="xl155"/>
    <w:basedOn w:val="Normlny"/>
    <w:rsid w:val="00095DD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hAnsi="Arial" w:cs="Arial"/>
      <w:sz w:val="18"/>
      <w:szCs w:val="18"/>
      <w:lang w:eastAsia="sk-SK"/>
    </w:rPr>
  </w:style>
  <w:style w:type="paragraph" w:customStyle="1" w:styleId="xl156">
    <w:name w:val="xl156"/>
    <w:basedOn w:val="Normlny"/>
    <w:rsid w:val="00095DD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hAnsi="Arial" w:cs="Arial"/>
      <w:sz w:val="18"/>
      <w:szCs w:val="18"/>
      <w:lang w:eastAsia="sk-SK"/>
    </w:rPr>
  </w:style>
  <w:style w:type="paragraph" w:customStyle="1" w:styleId="xl157">
    <w:name w:val="xl157"/>
    <w:basedOn w:val="Normlny"/>
    <w:rsid w:val="00095DD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hAnsi="Arial" w:cs="Arial"/>
      <w:sz w:val="18"/>
      <w:szCs w:val="18"/>
      <w:lang w:eastAsia="sk-SK"/>
    </w:rPr>
  </w:style>
  <w:style w:type="paragraph" w:customStyle="1" w:styleId="xl158">
    <w:name w:val="xl158"/>
    <w:basedOn w:val="Normlny"/>
    <w:rsid w:val="00095DD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hAnsi="Arial" w:cs="Arial"/>
      <w:sz w:val="18"/>
      <w:szCs w:val="18"/>
      <w:lang w:eastAsia="sk-SK"/>
    </w:rPr>
  </w:style>
  <w:style w:type="paragraph" w:customStyle="1" w:styleId="xl159">
    <w:name w:val="xl159"/>
    <w:basedOn w:val="Normlny"/>
    <w:rsid w:val="00095DD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pPr>
    <w:rPr>
      <w:rFonts w:ascii="Arial" w:hAnsi="Arial" w:cs="Arial"/>
      <w:sz w:val="18"/>
      <w:szCs w:val="18"/>
      <w:lang w:eastAsia="sk-SK"/>
    </w:rPr>
  </w:style>
  <w:style w:type="paragraph" w:customStyle="1" w:styleId="xl160">
    <w:name w:val="xl160"/>
    <w:basedOn w:val="Normlny"/>
    <w:rsid w:val="00095DDA"/>
    <w:pPr>
      <w:pBdr>
        <w:top w:val="single" w:sz="4" w:space="0" w:color="auto"/>
        <w:left w:val="single" w:sz="4" w:space="0" w:color="auto"/>
        <w:bottom w:val="single" w:sz="4" w:space="0" w:color="auto"/>
        <w:right w:val="single" w:sz="4" w:space="0" w:color="auto"/>
      </w:pBdr>
      <w:shd w:val="clear" w:color="000000" w:fill="CCFF33"/>
      <w:spacing w:before="100" w:beforeAutospacing="1" w:after="100" w:afterAutospacing="1" w:line="240" w:lineRule="auto"/>
      <w:jc w:val="center"/>
    </w:pPr>
    <w:rPr>
      <w:rFonts w:ascii="Arial" w:hAnsi="Arial" w:cs="Arial"/>
      <w:sz w:val="18"/>
      <w:szCs w:val="18"/>
      <w:lang w:eastAsia="sk-SK"/>
    </w:rPr>
  </w:style>
  <w:style w:type="paragraph" w:customStyle="1" w:styleId="xl161">
    <w:name w:val="xl161"/>
    <w:basedOn w:val="Normlny"/>
    <w:rsid w:val="00095DDA"/>
    <w:pPr>
      <w:pBdr>
        <w:top w:val="single" w:sz="4" w:space="0" w:color="auto"/>
        <w:left w:val="single" w:sz="4" w:space="0" w:color="auto"/>
        <w:bottom w:val="single" w:sz="4" w:space="0" w:color="auto"/>
        <w:right w:val="single" w:sz="4" w:space="0" w:color="auto"/>
      </w:pBdr>
      <w:shd w:val="clear" w:color="000000" w:fill="CCFF33"/>
      <w:spacing w:before="100" w:beforeAutospacing="1" w:after="100" w:afterAutospacing="1" w:line="240" w:lineRule="auto"/>
      <w:jc w:val="center"/>
    </w:pPr>
    <w:rPr>
      <w:rFonts w:ascii="Arial" w:hAnsi="Arial" w:cs="Arial"/>
      <w:sz w:val="18"/>
      <w:szCs w:val="18"/>
      <w:lang w:eastAsia="sk-SK"/>
    </w:rPr>
  </w:style>
  <w:style w:type="paragraph" w:customStyle="1" w:styleId="xl162">
    <w:name w:val="xl162"/>
    <w:basedOn w:val="Normlny"/>
    <w:rsid w:val="00095DDA"/>
    <w:pPr>
      <w:pBdr>
        <w:top w:val="single" w:sz="4" w:space="0" w:color="auto"/>
        <w:left w:val="single" w:sz="4" w:space="0" w:color="auto"/>
        <w:bottom w:val="single" w:sz="4" w:space="0" w:color="auto"/>
        <w:right w:val="single" w:sz="4" w:space="0" w:color="auto"/>
      </w:pBdr>
      <w:shd w:val="clear" w:color="000000" w:fill="CCFF33"/>
      <w:spacing w:before="100" w:beforeAutospacing="1" w:after="100" w:afterAutospacing="1" w:line="240" w:lineRule="auto"/>
    </w:pPr>
    <w:rPr>
      <w:rFonts w:ascii="Arial" w:hAnsi="Arial" w:cs="Arial"/>
      <w:sz w:val="18"/>
      <w:szCs w:val="18"/>
      <w:lang w:eastAsia="sk-SK"/>
    </w:rPr>
  </w:style>
  <w:style w:type="paragraph" w:customStyle="1" w:styleId="xl163">
    <w:name w:val="xl163"/>
    <w:basedOn w:val="Normlny"/>
    <w:rsid w:val="00095DDA"/>
    <w:pPr>
      <w:pBdr>
        <w:top w:val="single" w:sz="4" w:space="0" w:color="auto"/>
        <w:left w:val="single" w:sz="4" w:space="0" w:color="auto"/>
        <w:bottom w:val="single" w:sz="4" w:space="0" w:color="auto"/>
        <w:right w:val="single" w:sz="4" w:space="0" w:color="auto"/>
      </w:pBdr>
      <w:shd w:val="clear" w:color="000000" w:fill="CCFF33"/>
      <w:spacing w:before="100" w:beforeAutospacing="1" w:after="100" w:afterAutospacing="1" w:line="240" w:lineRule="auto"/>
      <w:jc w:val="center"/>
    </w:pPr>
    <w:rPr>
      <w:rFonts w:ascii="Arial" w:hAnsi="Arial" w:cs="Arial"/>
      <w:sz w:val="18"/>
      <w:szCs w:val="18"/>
      <w:lang w:eastAsia="sk-SK"/>
    </w:rPr>
  </w:style>
  <w:style w:type="paragraph" w:customStyle="1" w:styleId="xl164">
    <w:name w:val="xl164"/>
    <w:basedOn w:val="Normlny"/>
    <w:rsid w:val="00095DDA"/>
    <w:pPr>
      <w:pBdr>
        <w:top w:val="single" w:sz="4" w:space="0" w:color="auto"/>
        <w:left w:val="single" w:sz="4" w:space="0" w:color="auto"/>
        <w:bottom w:val="single" w:sz="4" w:space="0" w:color="auto"/>
        <w:right w:val="single" w:sz="4" w:space="0" w:color="auto"/>
      </w:pBdr>
      <w:shd w:val="clear" w:color="000000" w:fill="CCFF33"/>
      <w:spacing w:before="100" w:beforeAutospacing="1" w:after="100" w:afterAutospacing="1" w:line="240" w:lineRule="auto"/>
    </w:pPr>
    <w:rPr>
      <w:rFonts w:ascii="Arial" w:hAnsi="Arial" w:cs="Arial"/>
      <w:sz w:val="18"/>
      <w:szCs w:val="18"/>
      <w:lang w:eastAsia="sk-SK"/>
    </w:rPr>
  </w:style>
  <w:style w:type="paragraph" w:customStyle="1" w:styleId="xl165">
    <w:name w:val="xl165"/>
    <w:basedOn w:val="Normlny"/>
    <w:rsid w:val="00095DDA"/>
    <w:pPr>
      <w:pBdr>
        <w:top w:val="single" w:sz="4" w:space="0" w:color="auto"/>
        <w:left w:val="single" w:sz="4" w:space="0" w:color="auto"/>
        <w:bottom w:val="single" w:sz="4" w:space="0" w:color="auto"/>
        <w:right w:val="single" w:sz="4" w:space="0" w:color="auto"/>
      </w:pBdr>
      <w:shd w:val="clear" w:color="000000" w:fill="CCFF33"/>
      <w:spacing w:before="100" w:beforeAutospacing="1" w:after="100" w:afterAutospacing="1" w:line="240" w:lineRule="auto"/>
      <w:jc w:val="right"/>
    </w:pPr>
    <w:rPr>
      <w:rFonts w:ascii="Arial" w:hAnsi="Arial" w:cs="Arial"/>
      <w:sz w:val="18"/>
      <w:szCs w:val="18"/>
      <w:lang w:eastAsia="sk-SK"/>
    </w:rPr>
  </w:style>
  <w:style w:type="paragraph" w:customStyle="1" w:styleId="xl166">
    <w:name w:val="xl166"/>
    <w:basedOn w:val="Normlny"/>
    <w:rsid w:val="00095DD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Arial" w:hAnsi="Arial" w:cs="Arial"/>
      <w:sz w:val="18"/>
      <w:szCs w:val="18"/>
      <w:lang w:eastAsia="sk-SK"/>
    </w:rPr>
  </w:style>
  <w:style w:type="paragraph" w:customStyle="1" w:styleId="xl167">
    <w:name w:val="xl167"/>
    <w:basedOn w:val="Normlny"/>
    <w:rsid w:val="00095DD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Arial" w:hAnsi="Arial" w:cs="Arial"/>
      <w:sz w:val="18"/>
      <w:szCs w:val="18"/>
      <w:lang w:eastAsia="sk-SK"/>
    </w:rPr>
  </w:style>
  <w:style w:type="paragraph" w:customStyle="1" w:styleId="xl168">
    <w:name w:val="xl168"/>
    <w:basedOn w:val="Normlny"/>
    <w:rsid w:val="00095DD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Arial" w:hAnsi="Arial" w:cs="Arial"/>
      <w:sz w:val="18"/>
      <w:szCs w:val="18"/>
      <w:lang w:eastAsia="sk-SK"/>
    </w:rPr>
  </w:style>
  <w:style w:type="paragraph" w:customStyle="1" w:styleId="xl169">
    <w:name w:val="xl169"/>
    <w:basedOn w:val="Normlny"/>
    <w:rsid w:val="00095DD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Arial" w:hAnsi="Arial" w:cs="Arial"/>
      <w:sz w:val="18"/>
      <w:szCs w:val="18"/>
      <w:lang w:eastAsia="sk-SK"/>
    </w:rPr>
  </w:style>
  <w:style w:type="paragraph" w:customStyle="1" w:styleId="xl170">
    <w:name w:val="xl170"/>
    <w:basedOn w:val="Normlny"/>
    <w:rsid w:val="00095DD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Arial" w:hAnsi="Arial" w:cs="Arial"/>
      <w:sz w:val="18"/>
      <w:szCs w:val="18"/>
      <w:lang w:eastAsia="sk-SK"/>
    </w:rPr>
  </w:style>
  <w:style w:type="paragraph" w:customStyle="1" w:styleId="xl171">
    <w:name w:val="xl171"/>
    <w:basedOn w:val="Normlny"/>
    <w:rsid w:val="00095DD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right"/>
    </w:pPr>
    <w:rPr>
      <w:rFonts w:ascii="Arial" w:hAnsi="Arial" w:cs="Arial"/>
      <w:sz w:val="18"/>
      <w:szCs w:val="18"/>
      <w:lang w:eastAsia="sk-SK"/>
    </w:rPr>
  </w:style>
  <w:style w:type="paragraph" w:customStyle="1" w:styleId="xl172">
    <w:name w:val="xl172"/>
    <w:basedOn w:val="Normlny"/>
    <w:rsid w:val="00095DDA"/>
    <w:pPr>
      <w:spacing w:before="100" w:beforeAutospacing="1" w:after="100" w:afterAutospacing="1" w:line="240" w:lineRule="auto"/>
    </w:pPr>
    <w:rPr>
      <w:rFonts w:ascii="Arial" w:hAnsi="Arial" w:cs="Arial"/>
      <w:b/>
      <w:bCs/>
      <w:sz w:val="18"/>
      <w:szCs w:val="18"/>
      <w:lang w:eastAsia="sk-SK"/>
    </w:rPr>
  </w:style>
  <w:style w:type="paragraph" w:customStyle="1" w:styleId="xl173">
    <w:name w:val="xl173"/>
    <w:basedOn w:val="Normlny"/>
    <w:rsid w:val="00095D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hAnsi="Arial" w:cs="Arial"/>
      <w:sz w:val="18"/>
      <w:szCs w:val="18"/>
      <w:lang w:eastAsia="sk-SK"/>
    </w:rPr>
  </w:style>
  <w:style w:type="paragraph" w:customStyle="1" w:styleId="xl174">
    <w:name w:val="xl174"/>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sk-SK"/>
    </w:rPr>
  </w:style>
  <w:style w:type="paragraph" w:customStyle="1" w:styleId="xl175">
    <w:name w:val="xl175"/>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18"/>
      <w:szCs w:val="18"/>
      <w:lang w:eastAsia="sk-SK"/>
    </w:rPr>
  </w:style>
  <w:style w:type="paragraph" w:customStyle="1" w:styleId="xl176">
    <w:name w:val="xl176"/>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18"/>
      <w:szCs w:val="18"/>
      <w:lang w:eastAsia="sk-SK"/>
    </w:rPr>
  </w:style>
  <w:style w:type="paragraph" w:customStyle="1" w:styleId="xl177">
    <w:name w:val="xl177"/>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sk-SK"/>
    </w:rPr>
  </w:style>
  <w:style w:type="paragraph" w:customStyle="1" w:styleId="xl178">
    <w:name w:val="xl178"/>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sz w:val="18"/>
      <w:szCs w:val="18"/>
      <w:lang w:eastAsia="sk-SK"/>
    </w:rPr>
  </w:style>
  <w:style w:type="paragraph" w:customStyle="1" w:styleId="xl179">
    <w:name w:val="xl179"/>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Arial" w:hAnsi="Arial" w:cs="Arial"/>
      <w:sz w:val="18"/>
      <w:szCs w:val="18"/>
      <w:lang w:eastAsia="sk-SK"/>
    </w:rPr>
  </w:style>
  <w:style w:type="paragraph" w:customStyle="1" w:styleId="xl180">
    <w:name w:val="xl180"/>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0"/>
      <w:szCs w:val="20"/>
      <w:lang w:eastAsia="sk-SK"/>
    </w:rPr>
  </w:style>
  <w:style w:type="paragraph" w:customStyle="1" w:styleId="xl181">
    <w:name w:val="xl181"/>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0"/>
      <w:szCs w:val="20"/>
      <w:lang w:eastAsia="sk-SK"/>
    </w:rPr>
  </w:style>
  <w:style w:type="paragraph" w:customStyle="1" w:styleId="xl182">
    <w:name w:val="xl182"/>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0"/>
      <w:szCs w:val="20"/>
      <w:lang w:eastAsia="sk-SK"/>
    </w:rPr>
  </w:style>
  <w:style w:type="paragraph" w:customStyle="1" w:styleId="xl183">
    <w:name w:val="xl183"/>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0"/>
      <w:szCs w:val="20"/>
      <w:lang w:eastAsia="sk-SK"/>
    </w:rPr>
  </w:style>
  <w:style w:type="paragraph" w:customStyle="1" w:styleId="xl184">
    <w:name w:val="xl184"/>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0"/>
      <w:szCs w:val="20"/>
      <w:lang w:eastAsia="sk-SK"/>
    </w:rPr>
  </w:style>
  <w:style w:type="paragraph" w:customStyle="1" w:styleId="xl185">
    <w:name w:val="xl185"/>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0"/>
      <w:szCs w:val="20"/>
      <w:lang w:eastAsia="sk-SK"/>
    </w:rPr>
  </w:style>
  <w:style w:type="paragraph" w:customStyle="1" w:styleId="xl186">
    <w:name w:val="xl186"/>
    <w:basedOn w:val="Normlny"/>
    <w:rsid w:val="00095DDA"/>
    <w:pPr>
      <w:spacing w:before="100" w:beforeAutospacing="1" w:after="100" w:afterAutospacing="1" w:line="240" w:lineRule="auto"/>
    </w:pPr>
    <w:rPr>
      <w:rFonts w:ascii="Arial" w:hAnsi="Arial" w:cs="Arial"/>
      <w:b/>
      <w:bCs/>
      <w:sz w:val="18"/>
      <w:szCs w:val="18"/>
      <w:lang w:eastAsia="sk-SK"/>
    </w:rPr>
  </w:style>
  <w:style w:type="paragraph" w:customStyle="1" w:styleId="xl187">
    <w:name w:val="xl187"/>
    <w:basedOn w:val="Normlny"/>
    <w:rsid w:val="00095D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hAnsi="Arial" w:cs="Arial"/>
      <w:sz w:val="18"/>
      <w:szCs w:val="18"/>
      <w:lang w:eastAsia="sk-SK"/>
    </w:rPr>
  </w:style>
  <w:style w:type="paragraph" w:customStyle="1" w:styleId="xl188">
    <w:name w:val="xl188"/>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sk-SK"/>
    </w:rPr>
  </w:style>
  <w:style w:type="paragraph" w:customStyle="1" w:styleId="xl189">
    <w:name w:val="xl189"/>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18"/>
      <w:szCs w:val="18"/>
      <w:lang w:eastAsia="sk-SK"/>
    </w:rPr>
  </w:style>
  <w:style w:type="paragraph" w:customStyle="1" w:styleId="xl190">
    <w:name w:val="xl190"/>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18"/>
      <w:szCs w:val="18"/>
      <w:lang w:eastAsia="sk-SK"/>
    </w:rPr>
  </w:style>
  <w:style w:type="paragraph" w:customStyle="1" w:styleId="xl191">
    <w:name w:val="xl191"/>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sk-SK"/>
    </w:rPr>
  </w:style>
  <w:style w:type="paragraph" w:customStyle="1" w:styleId="xl192">
    <w:name w:val="xl192"/>
    <w:basedOn w:val="Normlny"/>
    <w:rsid w:val="00095D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sz w:val="18"/>
      <w:szCs w:val="18"/>
      <w:lang w:eastAsia="sk-SK"/>
    </w:rPr>
  </w:style>
  <w:style w:type="paragraph" w:customStyle="1" w:styleId="xl193">
    <w:name w:val="xl193"/>
    <w:basedOn w:val="Normlny"/>
    <w:rsid w:val="00095DD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Arial" w:hAnsi="Arial" w:cs="Arial"/>
      <w:sz w:val="18"/>
      <w:szCs w:val="18"/>
      <w:lang w:eastAsia="sk-SK"/>
    </w:rPr>
  </w:style>
  <w:style w:type="numbering" w:customStyle="1" w:styleId="Bezzoznamu1">
    <w:name w:val="Bez zoznamu1"/>
    <w:next w:val="Bezzoznamu"/>
    <w:uiPriority w:val="99"/>
    <w:semiHidden/>
    <w:unhideWhenUsed/>
    <w:rsid w:val="008475C1"/>
  </w:style>
  <w:style w:type="paragraph" w:customStyle="1" w:styleId="paragraph">
    <w:name w:val="paragraph"/>
    <w:basedOn w:val="Normlny"/>
    <w:rsid w:val="006F6256"/>
    <w:pPr>
      <w:spacing w:after="0" w:line="240" w:lineRule="auto"/>
    </w:pPr>
    <w:rPr>
      <w:rFonts w:ascii="Times New Roman" w:hAnsi="Times New Roman"/>
      <w:sz w:val="24"/>
      <w:szCs w:val="24"/>
      <w:lang w:eastAsia="sk-SK"/>
    </w:rPr>
  </w:style>
  <w:style w:type="character" w:customStyle="1" w:styleId="spellingerror">
    <w:name w:val="spellingerror"/>
    <w:basedOn w:val="Predvolenpsmoodseku"/>
    <w:rsid w:val="006F6256"/>
  </w:style>
  <w:style w:type="character" w:customStyle="1" w:styleId="contextualspellingandgrammarerror">
    <w:name w:val="contextualspellingandgrammarerror"/>
    <w:basedOn w:val="Predvolenpsmoodseku"/>
    <w:rsid w:val="006F6256"/>
  </w:style>
  <w:style w:type="character" w:customStyle="1" w:styleId="normaltextrun1">
    <w:name w:val="normaltextrun1"/>
    <w:basedOn w:val="Predvolenpsmoodseku"/>
    <w:rsid w:val="006F6256"/>
  </w:style>
  <w:style w:type="character" w:customStyle="1" w:styleId="eop">
    <w:name w:val="eop"/>
    <w:basedOn w:val="Predvolenpsmoodseku"/>
    <w:rsid w:val="006F6256"/>
  </w:style>
  <w:style w:type="character" w:customStyle="1" w:styleId="scxw150576261">
    <w:name w:val="scxw150576261"/>
    <w:basedOn w:val="Predvolenpsmoodseku"/>
    <w:rsid w:val="006F6256"/>
  </w:style>
  <w:style w:type="paragraph" w:customStyle="1" w:styleId="xxxmsonormal">
    <w:name w:val="x_x_xmsonormal"/>
    <w:basedOn w:val="Normlny"/>
    <w:rsid w:val="000B4F35"/>
    <w:pPr>
      <w:spacing w:before="100" w:beforeAutospacing="1" w:after="100" w:afterAutospacing="1" w:line="240" w:lineRule="auto"/>
    </w:pPr>
    <w:rPr>
      <w:rFonts w:ascii="Times New Roman" w:hAnsi="Times New Roman"/>
      <w:sz w:val="24"/>
      <w:szCs w:val="24"/>
      <w:lang w:eastAsia="sk-SK"/>
    </w:rPr>
  </w:style>
  <w:style w:type="character" w:styleId="Vrazn">
    <w:name w:val="Strong"/>
    <w:basedOn w:val="Predvolenpsmoodseku"/>
    <w:uiPriority w:val="22"/>
    <w:qFormat/>
    <w:rsid w:val="00875772"/>
    <w:rPr>
      <w:b/>
      <w:bCs/>
    </w:rPr>
  </w:style>
  <w:style w:type="paragraph" w:customStyle="1" w:styleId="font5">
    <w:name w:val="font5"/>
    <w:basedOn w:val="Normlny"/>
    <w:rsid w:val="001139E3"/>
    <w:pPr>
      <w:spacing w:before="100" w:beforeAutospacing="1" w:after="100" w:afterAutospacing="1" w:line="240" w:lineRule="auto"/>
    </w:pPr>
    <w:rPr>
      <w:rFonts w:ascii="Arial" w:hAnsi="Arial" w:cs="Arial"/>
      <w:b/>
      <w:bCs/>
      <w:color w:val="000000"/>
      <w:sz w:val="24"/>
      <w:szCs w:val="24"/>
      <w:lang w:eastAsia="sk-SK"/>
    </w:rPr>
  </w:style>
  <w:style w:type="paragraph" w:customStyle="1" w:styleId="font6">
    <w:name w:val="font6"/>
    <w:basedOn w:val="Normlny"/>
    <w:rsid w:val="001139E3"/>
    <w:pPr>
      <w:spacing w:before="100" w:beforeAutospacing="1" w:after="100" w:afterAutospacing="1" w:line="240" w:lineRule="auto"/>
    </w:pPr>
    <w:rPr>
      <w:rFonts w:ascii="Arial" w:hAnsi="Arial" w:cs="Arial"/>
      <w:color w:val="000000"/>
      <w:sz w:val="20"/>
      <w:szCs w:val="20"/>
      <w:lang w:eastAsia="sk-SK"/>
    </w:rPr>
  </w:style>
  <w:style w:type="numbering" w:customStyle="1" w:styleId="Bezzoznamu2">
    <w:name w:val="Bez zoznamu2"/>
    <w:next w:val="Bezzoznamu"/>
    <w:uiPriority w:val="99"/>
    <w:semiHidden/>
    <w:unhideWhenUsed/>
    <w:rsid w:val="00B73FDB"/>
  </w:style>
  <w:style w:type="numbering" w:customStyle="1" w:styleId="Bezzoznamu3">
    <w:name w:val="Bez zoznamu3"/>
    <w:next w:val="Bezzoznamu"/>
    <w:uiPriority w:val="99"/>
    <w:semiHidden/>
    <w:unhideWhenUsed/>
    <w:rsid w:val="00B73FDB"/>
  </w:style>
  <w:style w:type="numbering" w:customStyle="1" w:styleId="Bezzoznamu4">
    <w:name w:val="Bez zoznamu4"/>
    <w:next w:val="Bezzoznamu"/>
    <w:uiPriority w:val="99"/>
    <w:semiHidden/>
    <w:unhideWhenUsed/>
    <w:rsid w:val="00B73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1138">
      <w:bodyDiv w:val="1"/>
      <w:marLeft w:val="0"/>
      <w:marRight w:val="0"/>
      <w:marTop w:val="0"/>
      <w:marBottom w:val="0"/>
      <w:divBdr>
        <w:top w:val="none" w:sz="0" w:space="0" w:color="auto"/>
        <w:left w:val="none" w:sz="0" w:space="0" w:color="auto"/>
        <w:bottom w:val="none" w:sz="0" w:space="0" w:color="auto"/>
        <w:right w:val="none" w:sz="0" w:space="0" w:color="auto"/>
      </w:divBdr>
    </w:div>
    <w:div w:id="22638591">
      <w:bodyDiv w:val="1"/>
      <w:marLeft w:val="0"/>
      <w:marRight w:val="0"/>
      <w:marTop w:val="0"/>
      <w:marBottom w:val="0"/>
      <w:divBdr>
        <w:top w:val="none" w:sz="0" w:space="0" w:color="auto"/>
        <w:left w:val="none" w:sz="0" w:space="0" w:color="auto"/>
        <w:bottom w:val="none" w:sz="0" w:space="0" w:color="auto"/>
        <w:right w:val="none" w:sz="0" w:space="0" w:color="auto"/>
      </w:divBdr>
    </w:div>
    <w:div w:id="22944832">
      <w:bodyDiv w:val="1"/>
      <w:marLeft w:val="0"/>
      <w:marRight w:val="0"/>
      <w:marTop w:val="0"/>
      <w:marBottom w:val="0"/>
      <w:divBdr>
        <w:top w:val="none" w:sz="0" w:space="0" w:color="auto"/>
        <w:left w:val="none" w:sz="0" w:space="0" w:color="auto"/>
        <w:bottom w:val="none" w:sz="0" w:space="0" w:color="auto"/>
        <w:right w:val="none" w:sz="0" w:space="0" w:color="auto"/>
      </w:divBdr>
    </w:div>
    <w:div w:id="23480022">
      <w:bodyDiv w:val="1"/>
      <w:marLeft w:val="0"/>
      <w:marRight w:val="0"/>
      <w:marTop w:val="0"/>
      <w:marBottom w:val="0"/>
      <w:divBdr>
        <w:top w:val="none" w:sz="0" w:space="0" w:color="auto"/>
        <w:left w:val="none" w:sz="0" w:space="0" w:color="auto"/>
        <w:bottom w:val="none" w:sz="0" w:space="0" w:color="auto"/>
        <w:right w:val="none" w:sz="0" w:space="0" w:color="auto"/>
      </w:divBdr>
    </w:div>
    <w:div w:id="29233242">
      <w:bodyDiv w:val="1"/>
      <w:marLeft w:val="0"/>
      <w:marRight w:val="0"/>
      <w:marTop w:val="0"/>
      <w:marBottom w:val="0"/>
      <w:divBdr>
        <w:top w:val="none" w:sz="0" w:space="0" w:color="auto"/>
        <w:left w:val="none" w:sz="0" w:space="0" w:color="auto"/>
        <w:bottom w:val="none" w:sz="0" w:space="0" w:color="auto"/>
        <w:right w:val="none" w:sz="0" w:space="0" w:color="auto"/>
      </w:divBdr>
    </w:div>
    <w:div w:id="37516774">
      <w:bodyDiv w:val="1"/>
      <w:marLeft w:val="0"/>
      <w:marRight w:val="0"/>
      <w:marTop w:val="0"/>
      <w:marBottom w:val="0"/>
      <w:divBdr>
        <w:top w:val="none" w:sz="0" w:space="0" w:color="auto"/>
        <w:left w:val="none" w:sz="0" w:space="0" w:color="auto"/>
        <w:bottom w:val="none" w:sz="0" w:space="0" w:color="auto"/>
        <w:right w:val="none" w:sz="0" w:space="0" w:color="auto"/>
      </w:divBdr>
    </w:div>
    <w:div w:id="55321944">
      <w:bodyDiv w:val="1"/>
      <w:marLeft w:val="0"/>
      <w:marRight w:val="0"/>
      <w:marTop w:val="0"/>
      <w:marBottom w:val="0"/>
      <w:divBdr>
        <w:top w:val="none" w:sz="0" w:space="0" w:color="auto"/>
        <w:left w:val="none" w:sz="0" w:space="0" w:color="auto"/>
        <w:bottom w:val="none" w:sz="0" w:space="0" w:color="auto"/>
        <w:right w:val="none" w:sz="0" w:space="0" w:color="auto"/>
      </w:divBdr>
    </w:div>
    <w:div w:id="60562149">
      <w:bodyDiv w:val="1"/>
      <w:marLeft w:val="0"/>
      <w:marRight w:val="0"/>
      <w:marTop w:val="0"/>
      <w:marBottom w:val="0"/>
      <w:divBdr>
        <w:top w:val="none" w:sz="0" w:space="0" w:color="auto"/>
        <w:left w:val="none" w:sz="0" w:space="0" w:color="auto"/>
        <w:bottom w:val="none" w:sz="0" w:space="0" w:color="auto"/>
        <w:right w:val="none" w:sz="0" w:space="0" w:color="auto"/>
      </w:divBdr>
    </w:div>
    <w:div w:id="63339446">
      <w:bodyDiv w:val="1"/>
      <w:marLeft w:val="0"/>
      <w:marRight w:val="0"/>
      <w:marTop w:val="0"/>
      <w:marBottom w:val="0"/>
      <w:divBdr>
        <w:top w:val="none" w:sz="0" w:space="0" w:color="auto"/>
        <w:left w:val="none" w:sz="0" w:space="0" w:color="auto"/>
        <w:bottom w:val="none" w:sz="0" w:space="0" w:color="auto"/>
        <w:right w:val="none" w:sz="0" w:space="0" w:color="auto"/>
      </w:divBdr>
    </w:div>
    <w:div w:id="68114956">
      <w:bodyDiv w:val="1"/>
      <w:marLeft w:val="0"/>
      <w:marRight w:val="0"/>
      <w:marTop w:val="0"/>
      <w:marBottom w:val="0"/>
      <w:divBdr>
        <w:top w:val="none" w:sz="0" w:space="0" w:color="auto"/>
        <w:left w:val="none" w:sz="0" w:space="0" w:color="auto"/>
        <w:bottom w:val="none" w:sz="0" w:space="0" w:color="auto"/>
        <w:right w:val="none" w:sz="0" w:space="0" w:color="auto"/>
      </w:divBdr>
    </w:div>
    <w:div w:id="79913086">
      <w:bodyDiv w:val="1"/>
      <w:marLeft w:val="0"/>
      <w:marRight w:val="0"/>
      <w:marTop w:val="0"/>
      <w:marBottom w:val="0"/>
      <w:divBdr>
        <w:top w:val="none" w:sz="0" w:space="0" w:color="auto"/>
        <w:left w:val="none" w:sz="0" w:space="0" w:color="auto"/>
        <w:bottom w:val="none" w:sz="0" w:space="0" w:color="auto"/>
        <w:right w:val="none" w:sz="0" w:space="0" w:color="auto"/>
      </w:divBdr>
    </w:div>
    <w:div w:id="80180724">
      <w:bodyDiv w:val="1"/>
      <w:marLeft w:val="0"/>
      <w:marRight w:val="0"/>
      <w:marTop w:val="0"/>
      <w:marBottom w:val="0"/>
      <w:divBdr>
        <w:top w:val="none" w:sz="0" w:space="0" w:color="auto"/>
        <w:left w:val="none" w:sz="0" w:space="0" w:color="auto"/>
        <w:bottom w:val="none" w:sz="0" w:space="0" w:color="auto"/>
        <w:right w:val="none" w:sz="0" w:space="0" w:color="auto"/>
      </w:divBdr>
    </w:div>
    <w:div w:id="86578514">
      <w:bodyDiv w:val="1"/>
      <w:marLeft w:val="0"/>
      <w:marRight w:val="0"/>
      <w:marTop w:val="0"/>
      <w:marBottom w:val="0"/>
      <w:divBdr>
        <w:top w:val="none" w:sz="0" w:space="0" w:color="auto"/>
        <w:left w:val="none" w:sz="0" w:space="0" w:color="auto"/>
        <w:bottom w:val="none" w:sz="0" w:space="0" w:color="auto"/>
        <w:right w:val="none" w:sz="0" w:space="0" w:color="auto"/>
      </w:divBdr>
    </w:div>
    <w:div w:id="90707904">
      <w:bodyDiv w:val="1"/>
      <w:marLeft w:val="0"/>
      <w:marRight w:val="0"/>
      <w:marTop w:val="0"/>
      <w:marBottom w:val="0"/>
      <w:divBdr>
        <w:top w:val="none" w:sz="0" w:space="0" w:color="auto"/>
        <w:left w:val="none" w:sz="0" w:space="0" w:color="auto"/>
        <w:bottom w:val="none" w:sz="0" w:space="0" w:color="auto"/>
        <w:right w:val="none" w:sz="0" w:space="0" w:color="auto"/>
      </w:divBdr>
    </w:div>
    <w:div w:id="100032558">
      <w:bodyDiv w:val="1"/>
      <w:marLeft w:val="0"/>
      <w:marRight w:val="0"/>
      <w:marTop w:val="0"/>
      <w:marBottom w:val="0"/>
      <w:divBdr>
        <w:top w:val="none" w:sz="0" w:space="0" w:color="auto"/>
        <w:left w:val="none" w:sz="0" w:space="0" w:color="auto"/>
        <w:bottom w:val="none" w:sz="0" w:space="0" w:color="auto"/>
        <w:right w:val="none" w:sz="0" w:space="0" w:color="auto"/>
      </w:divBdr>
    </w:div>
    <w:div w:id="101270075">
      <w:bodyDiv w:val="1"/>
      <w:marLeft w:val="0"/>
      <w:marRight w:val="0"/>
      <w:marTop w:val="0"/>
      <w:marBottom w:val="0"/>
      <w:divBdr>
        <w:top w:val="none" w:sz="0" w:space="0" w:color="auto"/>
        <w:left w:val="none" w:sz="0" w:space="0" w:color="auto"/>
        <w:bottom w:val="none" w:sz="0" w:space="0" w:color="auto"/>
        <w:right w:val="none" w:sz="0" w:space="0" w:color="auto"/>
      </w:divBdr>
    </w:div>
    <w:div w:id="102649719">
      <w:bodyDiv w:val="1"/>
      <w:marLeft w:val="0"/>
      <w:marRight w:val="0"/>
      <w:marTop w:val="0"/>
      <w:marBottom w:val="0"/>
      <w:divBdr>
        <w:top w:val="none" w:sz="0" w:space="0" w:color="auto"/>
        <w:left w:val="none" w:sz="0" w:space="0" w:color="auto"/>
        <w:bottom w:val="none" w:sz="0" w:space="0" w:color="auto"/>
        <w:right w:val="none" w:sz="0" w:space="0" w:color="auto"/>
      </w:divBdr>
    </w:div>
    <w:div w:id="107162602">
      <w:bodyDiv w:val="1"/>
      <w:marLeft w:val="0"/>
      <w:marRight w:val="0"/>
      <w:marTop w:val="0"/>
      <w:marBottom w:val="0"/>
      <w:divBdr>
        <w:top w:val="none" w:sz="0" w:space="0" w:color="auto"/>
        <w:left w:val="none" w:sz="0" w:space="0" w:color="auto"/>
        <w:bottom w:val="none" w:sz="0" w:space="0" w:color="auto"/>
        <w:right w:val="none" w:sz="0" w:space="0" w:color="auto"/>
      </w:divBdr>
    </w:div>
    <w:div w:id="111025293">
      <w:bodyDiv w:val="1"/>
      <w:marLeft w:val="0"/>
      <w:marRight w:val="0"/>
      <w:marTop w:val="0"/>
      <w:marBottom w:val="0"/>
      <w:divBdr>
        <w:top w:val="none" w:sz="0" w:space="0" w:color="auto"/>
        <w:left w:val="none" w:sz="0" w:space="0" w:color="auto"/>
        <w:bottom w:val="none" w:sz="0" w:space="0" w:color="auto"/>
        <w:right w:val="none" w:sz="0" w:space="0" w:color="auto"/>
      </w:divBdr>
    </w:div>
    <w:div w:id="112557306">
      <w:bodyDiv w:val="1"/>
      <w:marLeft w:val="0"/>
      <w:marRight w:val="0"/>
      <w:marTop w:val="0"/>
      <w:marBottom w:val="0"/>
      <w:divBdr>
        <w:top w:val="none" w:sz="0" w:space="0" w:color="auto"/>
        <w:left w:val="none" w:sz="0" w:space="0" w:color="auto"/>
        <w:bottom w:val="none" w:sz="0" w:space="0" w:color="auto"/>
        <w:right w:val="none" w:sz="0" w:space="0" w:color="auto"/>
      </w:divBdr>
    </w:div>
    <w:div w:id="122583870">
      <w:bodyDiv w:val="1"/>
      <w:marLeft w:val="0"/>
      <w:marRight w:val="0"/>
      <w:marTop w:val="0"/>
      <w:marBottom w:val="0"/>
      <w:divBdr>
        <w:top w:val="none" w:sz="0" w:space="0" w:color="auto"/>
        <w:left w:val="none" w:sz="0" w:space="0" w:color="auto"/>
        <w:bottom w:val="none" w:sz="0" w:space="0" w:color="auto"/>
        <w:right w:val="none" w:sz="0" w:space="0" w:color="auto"/>
      </w:divBdr>
    </w:div>
    <w:div w:id="123426073">
      <w:bodyDiv w:val="1"/>
      <w:marLeft w:val="0"/>
      <w:marRight w:val="0"/>
      <w:marTop w:val="0"/>
      <w:marBottom w:val="0"/>
      <w:divBdr>
        <w:top w:val="none" w:sz="0" w:space="0" w:color="auto"/>
        <w:left w:val="none" w:sz="0" w:space="0" w:color="auto"/>
        <w:bottom w:val="none" w:sz="0" w:space="0" w:color="auto"/>
        <w:right w:val="none" w:sz="0" w:space="0" w:color="auto"/>
      </w:divBdr>
    </w:div>
    <w:div w:id="128864347">
      <w:bodyDiv w:val="1"/>
      <w:marLeft w:val="0"/>
      <w:marRight w:val="0"/>
      <w:marTop w:val="0"/>
      <w:marBottom w:val="0"/>
      <w:divBdr>
        <w:top w:val="none" w:sz="0" w:space="0" w:color="auto"/>
        <w:left w:val="none" w:sz="0" w:space="0" w:color="auto"/>
        <w:bottom w:val="none" w:sz="0" w:space="0" w:color="auto"/>
        <w:right w:val="none" w:sz="0" w:space="0" w:color="auto"/>
      </w:divBdr>
    </w:div>
    <w:div w:id="133759860">
      <w:bodyDiv w:val="1"/>
      <w:marLeft w:val="0"/>
      <w:marRight w:val="0"/>
      <w:marTop w:val="0"/>
      <w:marBottom w:val="0"/>
      <w:divBdr>
        <w:top w:val="none" w:sz="0" w:space="0" w:color="auto"/>
        <w:left w:val="none" w:sz="0" w:space="0" w:color="auto"/>
        <w:bottom w:val="none" w:sz="0" w:space="0" w:color="auto"/>
        <w:right w:val="none" w:sz="0" w:space="0" w:color="auto"/>
      </w:divBdr>
    </w:div>
    <w:div w:id="136998978">
      <w:bodyDiv w:val="1"/>
      <w:marLeft w:val="0"/>
      <w:marRight w:val="0"/>
      <w:marTop w:val="0"/>
      <w:marBottom w:val="0"/>
      <w:divBdr>
        <w:top w:val="none" w:sz="0" w:space="0" w:color="auto"/>
        <w:left w:val="none" w:sz="0" w:space="0" w:color="auto"/>
        <w:bottom w:val="none" w:sz="0" w:space="0" w:color="auto"/>
        <w:right w:val="none" w:sz="0" w:space="0" w:color="auto"/>
      </w:divBdr>
    </w:div>
    <w:div w:id="139736646">
      <w:bodyDiv w:val="1"/>
      <w:marLeft w:val="0"/>
      <w:marRight w:val="0"/>
      <w:marTop w:val="0"/>
      <w:marBottom w:val="0"/>
      <w:divBdr>
        <w:top w:val="none" w:sz="0" w:space="0" w:color="auto"/>
        <w:left w:val="none" w:sz="0" w:space="0" w:color="auto"/>
        <w:bottom w:val="none" w:sz="0" w:space="0" w:color="auto"/>
        <w:right w:val="none" w:sz="0" w:space="0" w:color="auto"/>
      </w:divBdr>
    </w:div>
    <w:div w:id="141436616">
      <w:bodyDiv w:val="1"/>
      <w:marLeft w:val="0"/>
      <w:marRight w:val="0"/>
      <w:marTop w:val="0"/>
      <w:marBottom w:val="0"/>
      <w:divBdr>
        <w:top w:val="none" w:sz="0" w:space="0" w:color="auto"/>
        <w:left w:val="none" w:sz="0" w:space="0" w:color="auto"/>
        <w:bottom w:val="none" w:sz="0" w:space="0" w:color="auto"/>
        <w:right w:val="none" w:sz="0" w:space="0" w:color="auto"/>
      </w:divBdr>
    </w:div>
    <w:div w:id="141972991">
      <w:bodyDiv w:val="1"/>
      <w:marLeft w:val="0"/>
      <w:marRight w:val="0"/>
      <w:marTop w:val="0"/>
      <w:marBottom w:val="0"/>
      <w:divBdr>
        <w:top w:val="none" w:sz="0" w:space="0" w:color="auto"/>
        <w:left w:val="none" w:sz="0" w:space="0" w:color="auto"/>
        <w:bottom w:val="none" w:sz="0" w:space="0" w:color="auto"/>
        <w:right w:val="none" w:sz="0" w:space="0" w:color="auto"/>
      </w:divBdr>
    </w:div>
    <w:div w:id="147747153">
      <w:bodyDiv w:val="1"/>
      <w:marLeft w:val="0"/>
      <w:marRight w:val="0"/>
      <w:marTop w:val="0"/>
      <w:marBottom w:val="0"/>
      <w:divBdr>
        <w:top w:val="none" w:sz="0" w:space="0" w:color="auto"/>
        <w:left w:val="none" w:sz="0" w:space="0" w:color="auto"/>
        <w:bottom w:val="none" w:sz="0" w:space="0" w:color="auto"/>
        <w:right w:val="none" w:sz="0" w:space="0" w:color="auto"/>
      </w:divBdr>
    </w:div>
    <w:div w:id="154228906">
      <w:bodyDiv w:val="1"/>
      <w:marLeft w:val="0"/>
      <w:marRight w:val="0"/>
      <w:marTop w:val="0"/>
      <w:marBottom w:val="0"/>
      <w:divBdr>
        <w:top w:val="none" w:sz="0" w:space="0" w:color="auto"/>
        <w:left w:val="none" w:sz="0" w:space="0" w:color="auto"/>
        <w:bottom w:val="none" w:sz="0" w:space="0" w:color="auto"/>
        <w:right w:val="none" w:sz="0" w:space="0" w:color="auto"/>
      </w:divBdr>
    </w:div>
    <w:div w:id="159546653">
      <w:bodyDiv w:val="1"/>
      <w:marLeft w:val="0"/>
      <w:marRight w:val="0"/>
      <w:marTop w:val="0"/>
      <w:marBottom w:val="0"/>
      <w:divBdr>
        <w:top w:val="none" w:sz="0" w:space="0" w:color="auto"/>
        <w:left w:val="none" w:sz="0" w:space="0" w:color="auto"/>
        <w:bottom w:val="none" w:sz="0" w:space="0" w:color="auto"/>
        <w:right w:val="none" w:sz="0" w:space="0" w:color="auto"/>
      </w:divBdr>
    </w:div>
    <w:div w:id="165559474">
      <w:bodyDiv w:val="1"/>
      <w:marLeft w:val="0"/>
      <w:marRight w:val="0"/>
      <w:marTop w:val="0"/>
      <w:marBottom w:val="0"/>
      <w:divBdr>
        <w:top w:val="none" w:sz="0" w:space="0" w:color="auto"/>
        <w:left w:val="none" w:sz="0" w:space="0" w:color="auto"/>
        <w:bottom w:val="none" w:sz="0" w:space="0" w:color="auto"/>
        <w:right w:val="none" w:sz="0" w:space="0" w:color="auto"/>
      </w:divBdr>
    </w:div>
    <w:div w:id="168569506">
      <w:bodyDiv w:val="1"/>
      <w:marLeft w:val="0"/>
      <w:marRight w:val="0"/>
      <w:marTop w:val="0"/>
      <w:marBottom w:val="0"/>
      <w:divBdr>
        <w:top w:val="none" w:sz="0" w:space="0" w:color="auto"/>
        <w:left w:val="none" w:sz="0" w:space="0" w:color="auto"/>
        <w:bottom w:val="none" w:sz="0" w:space="0" w:color="auto"/>
        <w:right w:val="none" w:sz="0" w:space="0" w:color="auto"/>
      </w:divBdr>
    </w:div>
    <w:div w:id="193538150">
      <w:bodyDiv w:val="1"/>
      <w:marLeft w:val="0"/>
      <w:marRight w:val="0"/>
      <w:marTop w:val="0"/>
      <w:marBottom w:val="0"/>
      <w:divBdr>
        <w:top w:val="none" w:sz="0" w:space="0" w:color="auto"/>
        <w:left w:val="none" w:sz="0" w:space="0" w:color="auto"/>
        <w:bottom w:val="none" w:sz="0" w:space="0" w:color="auto"/>
        <w:right w:val="none" w:sz="0" w:space="0" w:color="auto"/>
      </w:divBdr>
    </w:div>
    <w:div w:id="194075829">
      <w:bodyDiv w:val="1"/>
      <w:marLeft w:val="0"/>
      <w:marRight w:val="0"/>
      <w:marTop w:val="0"/>
      <w:marBottom w:val="0"/>
      <w:divBdr>
        <w:top w:val="none" w:sz="0" w:space="0" w:color="auto"/>
        <w:left w:val="none" w:sz="0" w:space="0" w:color="auto"/>
        <w:bottom w:val="none" w:sz="0" w:space="0" w:color="auto"/>
        <w:right w:val="none" w:sz="0" w:space="0" w:color="auto"/>
      </w:divBdr>
    </w:div>
    <w:div w:id="194932500">
      <w:bodyDiv w:val="1"/>
      <w:marLeft w:val="0"/>
      <w:marRight w:val="0"/>
      <w:marTop w:val="0"/>
      <w:marBottom w:val="0"/>
      <w:divBdr>
        <w:top w:val="none" w:sz="0" w:space="0" w:color="auto"/>
        <w:left w:val="none" w:sz="0" w:space="0" w:color="auto"/>
        <w:bottom w:val="none" w:sz="0" w:space="0" w:color="auto"/>
        <w:right w:val="none" w:sz="0" w:space="0" w:color="auto"/>
      </w:divBdr>
    </w:div>
    <w:div w:id="198905999">
      <w:bodyDiv w:val="1"/>
      <w:marLeft w:val="0"/>
      <w:marRight w:val="0"/>
      <w:marTop w:val="0"/>
      <w:marBottom w:val="0"/>
      <w:divBdr>
        <w:top w:val="none" w:sz="0" w:space="0" w:color="auto"/>
        <w:left w:val="none" w:sz="0" w:space="0" w:color="auto"/>
        <w:bottom w:val="none" w:sz="0" w:space="0" w:color="auto"/>
        <w:right w:val="none" w:sz="0" w:space="0" w:color="auto"/>
      </w:divBdr>
    </w:div>
    <w:div w:id="202910141">
      <w:bodyDiv w:val="1"/>
      <w:marLeft w:val="0"/>
      <w:marRight w:val="0"/>
      <w:marTop w:val="0"/>
      <w:marBottom w:val="0"/>
      <w:divBdr>
        <w:top w:val="none" w:sz="0" w:space="0" w:color="auto"/>
        <w:left w:val="none" w:sz="0" w:space="0" w:color="auto"/>
        <w:bottom w:val="none" w:sz="0" w:space="0" w:color="auto"/>
        <w:right w:val="none" w:sz="0" w:space="0" w:color="auto"/>
      </w:divBdr>
    </w:div>
    <w:div w:id="208225853">
      <w:bodyDiv w:val="1"/>
      <w:marLeft w:val="0"/>
      <w:marRight w:val="0"/>
      <w:marTop w:val="0"/>
      <w:marBottom w:val="0"/>
      <w:divBdr>
        <w:top w:val="none" w:sz="0" w:space="0" w:color="auto"/>
        <w:left w:val="none" w:sz="0" w:space="0" w:color="auto"/>
        <w:bottom w:val="none" w:sz="0" w:space="0" w:color="auto"/>
        <w:right w:val="none" w:sz="0" w:space="0" w:color="auto"/>
      </w:divBdr>
    </w:div>
    <w:div w:id="210309055">
      <w:bodyDiv w:val="1"/>
      <w:marLeft w:val="0"/>
      <w:marRight w:val="0"/>
      <w:marTop w:val="0"/>
      <w:marBottom w:val="0"/>
      <w:divBdr>
        <w:top w:val="none" w:sz="0" w:space="0" w:color="auto"/>
        <w:left w:val="none" w:sz="0" w:space="0" w:color="auto"/>
        <w:bottom w:val="none" w:sz="0" w:space="0" w:color="auto"/>
        <w:right w:val="none" w:sz="0" w:space="0" w:color="auto"/>
      </w:divBdr>
    </w:div>
    <w:div w:id="210658989">
      <w:bodyDiv w:val="1"/>
      <w:marLeft w:val="0"/>
      <w:marRight w:val="0"/>
      <w:marTop w:val="0"/>
      <w:marBottom w:val="0"/>
      <w:divBdr>
        <w:top w:val="none" w:sz="0" w:space="0" w:color="auto"/>
        <w:left w:val="none" w:sz="0" w:space="0" w:color="auto"/>
        <w:bottom w:val="none" w:sz="0" w:space="0" w:color="auto"/>
        <w:right w:val="none" w:sz="0" w:space="0" w:color="auto"/>
      </w:divBdr>
    </w:div>
    <w:div w:id="212161492">
      <w:bodyDiv w:val="1"/>
      <w:marLeft w:val="0"/>
      <w:marRight w:val="0"/>
      <w:marTop w:val="0"/>
      <w:marBottom w:val="0"/>
      <w:divBdr>
        <w:top w:val="none" w:sz="0" w:space="0" w:color="auto"/>
        <w:left w:val="none" w:sz="0" w:space="0" w:color="auto"/>
        <w:bottom w:val="none" w:sz="0" w:space="0" w:color="auto"/>
        <w:right w:val="none" w:sz="0" w:space="0" w:color="auto"/>
      </w:divBdr>
    </w:div>
    <w:div w:id="216210788">
      <w:bodyDiv w:val="1"/>
      <w:marLeft w:val="0"/>
      <w:marRight w:val="0"/>
      <w:marTop w:val="0"/>
      <w:marBottom w:val="0"/>
      <w:divBdr>
        <w:top w:val="none" w:sz="0" w:space="0" w:color="auto"/>
        <w:left w:val="none" w:sz="0" w:space="0" w:color="auto"/>
        <w:bottom w:val="none" w:sz="0" w:space="0" w:color="auto"/>
        <w:right w:val="none" w:sz="0" w:space="0" w:color="auto"/>
      </w:divBdr>
    </w:div>
    <w:div w:id="224489900">
      <w:bodyDiv w:val="1"/>
      <w:marLeft w:val="0"/>
      <w:marRight w:val="0"/>
      <w:marTop w:val="0"/>
      <w:marBottom w:val="0"/>
      <w:divBdr>
        <w:top w:val="none" w:sz="0" w:space="0" w:color="auto"/>
        <w:left w:val="none" w:sz="0" w:space="0" w:color="auto"/>
        <w:bottom w:val="none" w:sz="0" w:space="0" w:color="auto"/>
        <w:right w:val="none" w:sz="0" w:space="0" w:color="auto"/>
      </w:divBdr>
    </w:div>
    <w:div w:id="224997420">
      <w:bodyDiv w:val="1"/>
      <w:marLeft w:val="0"/>
      <w:marRight w:val="0"/>
      <w:marTop w:val="0"/>
      <w:marBottom w:val="0"/>
      <w:divBdr>
        <w:top w:val="none" w:sz="0" w:space="0" w:color="auto"/>
        <w:left w:val="none" w:sz="0" w:space="0" w:color="auto"/>
        <w:bottom w:val="none" w:sz="0" w:space="0" w:color="auto"/>
        <w:right w:val="none" w:sz="0" w:space="0" w:color="auto"/>
      </w:divBdr>
    </w:div>
    <w:div w:id="239875104">
      <w:bodyDiv w:val="1"/>
      <w:marLeft w:val="0"/>
      <w:marRight w:val="0"/>
      <w:marTop w:val="0"/>
      <w:marBottom w:val="0"/>
      <w:divBdr>
        <w:top w:val="none" w:sz="0" w:space="0" w:color="auto"/>
        <w:left w:val="none" w:sz="0" w:space="0" w:color="auto"/>
        <w:bottom w:val="none" w:sz="0" w:space="0" w:color="auto"/>
        <w:right w:val="none" w:sz="0" w:space="0" w:color="auto"/>
      </w:divBdr>
    </w:div>
    <w:div w:id="246691055">
      <w:bodyDiv w:val="1"/>
      <w:marLeft w:val="0"/>
      <w:marRight w:val="0"/>
      <w:marTop w:val="0"/>
      <w:marBottom w:val="0"/>
      <w:divBdr>
        <w:top w:val="none" w:sz="0" w:space="0" w:color="auto"/>
        <w:left w:val="none" w:sz="0" w:space="0" w:color="auto"/>
        <w:bottom w:val="none" w:sz="0" w:space="0" w:color="auto"/>
        <w:right w:val="none" w:sz="0" w:space="0" w:color="auto"/>
      </w:divBdr>
    </w:div>
    <w:div w:id="252207288">
      <w:bodyDiv w:val="1"/>
      <w:marLeft w:val="0"/>
      <w:marRight w:val="0"/>
      <w:marTop w:val="0"/>
      <w:marBottom w:val="0"/>
      <w:divBdr>
        <w:top w:val="none" w:sz="0" w:space="0" w:color="auto"/>
        <w:left w:val="none" w:sz="0" w:space="0" w:color="auto"/>
        <w:bottom w:val="none" w:sz="0" w:space="0" w:color="auto"/>
        <w:right w:val="none" w:sz="0" w:space="0" w:color="auto"/>
      </w:divBdr>
    </w:div>
    <w:div w:id="254369215">
      <w:bodyDiv w:val="1"/>
      <w:marLeft w:val="0"/>
      <w:marRight w:val="0"/>
      <w:marTop w:val="0"/>
      <w:marBottom w:val="0"/>
      <w:divBdr>
        <w:top w:val="none" w:sz="0" w:space="0" w:color="auto"/>
        <w:left w:val="none" w:sz="0" w:space="0" w:color="auto"/>
        <w:bottom w:val="none" w:sz="0" w:space="0" w:color="auto"/>
        <w:right w:val="none" w:sz="0" w:space="0" w:color="auto"/>
      </w:divBdr>
    </w:div>
    <w:div w:id="266081587">
      <w:bodyDiv w:val="1"/>
      <w:marLeft w:val="0"/>
      <w:marRight w:val="0"/>
      <w:marTop w:val="0"/>
      <w:marBottom w:val="0"/>
      <w:divBdr>
        <w:top w:val="none" w:sz="0" w:space="0" w:color="auto"/>
        <w:left w:val="none" w:sz="0" w:space="0" w:color="auto"/>
        <w:bottom w:val="none" w:sz="0" w:space="0" w:color="auto"/>
        <w:right w:val="none" w:sz="0" w:space="0" w:color="auto"/>
      </w:divBdr>
    </w:div>
    <w:div w:id="271862428">
      <w:bodyDiv w:val="1"/>
      <w:marLeft w:val="0"/>
      <w:marRight w:val="0"/>
      <w:marTop w:val="0"/>
      <w:marBottom w:val="0"/>
      <w:divBdr>
        <w:top w:val="none" w:sz="0" w:space="0" w:color="auto"/>
        <w:left w:val="none" w:sz="0" w:space="0" w:color="auto"/>
        <w:bottom w:val="none" w:sz="0" w:space="0" w:color="auto"/>
        <w:right w:val="none" w:sz="0" w:space="0" w:color="auto"/>
      </w:divBdr>
    </w:div>
    <w:div w:id="274217334">
      <w:bodyDiv w:val="1"/>
      <w:marLeft w:val="0"/>
      <w:marRight w:val="0"/>
      <w:marTop w:val="0"/>
      <w:marBottom w:val="0"/>
      <w:divBdr>
        <w:top w:val="none" w:sz="0" w:space="0" w:color="auto"/>
        <w:left w:val="none" w:sz="0" w:space="0" w:color="auto"/>
        <w:bottom w:val="none" w:sz="0" w:space="0" w:color="auto"/>
        <w:right w:val="none" w:sz="0" w:space="0" w:color="auto"/>
      </w:divBdr>
    </w:div>
    <w:div w:id="277103881">
      <w:bodyDiv w:val="1"/>
      <w:marLeft w:val="0"/>
      <w:marRight w:val="0"/>
      <w:marTop w:val="0"/>
      <w:marBottom w:val="0"/>
      <w:divBdr>
        <w:top w:val="none" w:sz="0" w:space="0" w:color="auto"/>
        <w:left w:val="none" w:sz="0" w:space="0" w:color="auto"/>
        <w:bottom w:val="none" w:sz="0" w:space="0" w:color="auto"/>
        <w:right w:val="none" w:sz="0" w:space="0" w:color="auto"/>
      </w:divBdr>
    </w:div>
    <w:div w:id="283194962">
      <w:bodyDiv w:val="1"/>
      <w:marLeft w:val="0"/>
      <w:marRight w:val="0"/>
      <w:marTop w:val="0"/>
      <w:marBottom w:val="0"/>
      <w:divBdr>
        <w:top w:val="none" w:sz="0" w:space="0" w:color="auto"/>
        <w:left w:val="none" w:sz="0" w:space="0" w:color="auto"/>
        <w:bottom w:val="none" w:sz="0" w:space="0" w:color="auto"/>
        <w:right w:val="none" w:sz="0" w:space="0" w:color="auto"/>
      </w:divBdr>
    </w:div>
    <w:div w:id="283195170">
      <w:bodyDiv w:val="1"/>
      <w:marLeft w:val="0"/>
      <w:marRight w:val="0"/>
      <w:marTop w:val="0"/>
      <w:marBottom w:val="0"/>
      <w:divBdr>
        <w:top w:val="none" w:sz="0" w:space="0" w:color="auto"/>
        <w:left w:val="none" w:sz="0" w:space="0" w:color="auto"/>
        <w:bottom w:val="none" w:sz="0" w:space="0" w:color="auto"/>
        <w:right w:val="none" w:sz="0" w:space="0" w:color="auto"/>
      </w:divBdr>
    </w:div>
    <w:div w:id="285619763">
      <w:bodyDiv w:val="1"/>
      <w:marLeft w:val="0"/>
      <w:marRight w:val="0"/>
      <w:marTop w:val="0"/>
      <w:marBottom w:val="0"/>
      <w:divBdr>
        <w:top w:val="none" w:sz="0" w:space="0" w:color="auto"/>
        <w:left w:val="none" w:sz="0" w:space="0" w:color="auto"/>
        <w:bottom w:val="none" w:sz="0" w:space="0" w:color="auto"/>
        <w:right w:val="none" w:sz="0" w:space="0" w:color="auto"/>
      </w:divBdr>
    </w:div>
    <w:div w:id="295796175">
      <w:bodyDiv w:val="1"/>
      <w:marLeft w:val="0"/>
      <w:marRight w:val="0"/>
      <w:marTop w:val="0"/>
      <w:marBottom w:val="0"/>
      <w:divBdr>
        <w:top w:val="none" w:sz="0" w:space="0" w:color="auto"/>
        <w:left w:val="none" w:sz="0" w:space="0" w:color="auto"/>
        <w:bottom w:val="none" w:sz="0" w:space="0" w:color="auto"/>
        <w:right w:val="none" w:sz="0" w:space="0" w:color="auto"/>
      </w:divBdr>
    </w:div>
    <w:div w:id="297762088">
      <w:bodyDiv w:val="1"/>
      <w:marLeft w:val="0"/>
      <w:marRight w:val="0"/>
      <w:marTop w:val="0"/>
      <w:marBottom w:val="0"/>
      <w:divBdr>
        <w:top w:val="none" w:sz="0" w:space="0" w:color="auto"/>
        <w:left w:val="none" w:sz="0" w:space="0" w:color="auto"/>
        <w:bottom w:val="none" w:sz="0" w:space="0" w:color="auto"/>
        <w:right w:val="none" w:sz="0" w:space="0" w:color="auto"/>
      </w:divBdr>
    </w:div>
    <w:div w:id="297958666">
      <w:bodyDiv w:val="1"/>
      <w:marLeft w:val="0"/>
      <w:marRight w:val="0"/>
      <w:marTop w:val="0"/>
      <w:marBottom w:val="0"/>
      <w:divBdr>
        <w:top w:val="none" w:sz="0" w:space="0" w:color="auto"/>
        <w:left w:val="none" w:sz="0" w:space="0" w:color="auto"/>
        <w:bottom w:val="none" w:sz="0" w:space="0" w:color="auto"/>
        <w:right w:val="none" w:sz="0" w:space="0" w:color="auto"/>
      </w:divBdr>
    </w:div>
    <w:div w:id="303778912">
      <w:bodyDiv w:val="1"/>
      <w:marLeft w:val="0"/>
      <w:marRight w:val="0"/>
      <w:marTop w:val="0"/>
      <w:marBottom w:val="0"/>
      <w:divBdr>
        <w:top w:val="none" w:sz="0" w:space="0" w:color="auto"/>
        <w:left w:val="none" w:sz="0" w:space="0" w:color="auto"/>
        <w:bottom w:val="none" w:sz="0" w:space="0" w:color="auto"/>
        <w:right w:val="none" w:sz="0" w:space="0" w:color="auto"/>
      </w:divBdr>
    </w:div>
    <w:div w:id="306980420">
      <w:bodyDiv w:val="1"/>
      <w:marLeft w:val="0"/>
      <w:marRight w:val="0"/>
      <w:marTop w:val="0"/>
      <w:marBottom w:val="0"/>
      <w:divBdr>
        <w:top w:val="none" w:sz="0" w:space="0" w:color="auto"/>
        <w:left w:val="none" w:sz="0" w:space="0" w:color="auto"/>
        <w:bottom w:val="none" w:sz="0" w:space="0" w:color="auto"/>
        <w:right w:val="none" w:sz="0" w:space="0" w:color="auto"/>
      </w:divBdr>
    </w:div>
    <w:div w:id="309746823">
      <w:bodyDiv w:val="1"/>
      <w:marLeft w:val="0"/>
      <w:marRight w:val="0"/>
      <w:marTop w:val="0"/>
      <w:marBottom w:val="0"/>
      <w:divBdr>
        <w:top w:val="none" w:sz="0" w:space="0" w:color="auto"/>
        <w:left w:val="none" w:sz="0" w:space="0" w:color="auto"/>
        <w:bottom w:val="none" w:sz="0" w:space="0" w:color="auto"/>
        <w:right w:val="none" w:sz="0" w:space="0" w:color="auto"/>
      </w:divBdr>
    </w:div>
    <w:div w:id="317730338">
      <w:bodyDiv w:val="1"/>
      <w:marLeft w:val="0"/>
      <w:marRight w:val="0"/>
      <w:marTop w:val="0"/>
      <w:marBottom w:val="0"/>
      <w:divBdr>
        <w:top w:val="none" w:sz="0" w:space="0" w:color="auto"/>
        <w:left w:val="none" w:sz="0" w:space="0" w:color="auto"/>
        <w:bottom w:val="none" w:sz="0" w:space="0" w:color="auto"/>
        <w:right w:val="none" w:sz="0" w:space="0" w:color="auto"/>
      </w:divBdr>
    </w:div>
    <w:div w:id="324862090">
      <w:bodyDiv w:val="1"/>
      <w:marLeft w:val="0"/>
      <w:marRight w:val="0"/>
      <w:marTop w:val="0"/>
      <w:marBottom w:val="0"/>
      <w:divBdr>
        <w:top w:val="none" w:sz="0" w:space="0" w:color="auto"/>
        <w:left w:val="none" w:sz="0" w:space="0" w:color="auto"/>
        <w:bottom w:val="none" w:sz="0" w:space="0" w:color="auto"/>
        <w:right w:val="none" w:sz="0" w:space="0" w:color="auto"/>
      </w:divBdr>
    </w:div>
    <w:div w:id="334721880">
      <w:bodyDiv w:val="1"/>
      <w:marLeft w:val="0"/>
      <w:marRight w:val="0"/>
      <w:marTop w:val="0"/>
      <w:marBottom w:val="0"/>
      <w:divBdr>
        <w:top w:val="none" w:sz="0" w:space="0" w:color="auto"/>
        <w:left w:val="none" w:sz="0" w:space="0" w:color="auto"/>
        <w:bottom w:val="none" w:sz="0" w:space="0" w:color="auto"/>
        <w:right w:val="none" w:sz="0" w:space="0" w:color="auto"/>
      </w:divBdr>
    </w:div>
    <w:div w:id="334915493">
      <w:bodyDiv w:val="1"/>
      <w:marLeft w:val="0"/>
      <w:marRight w:val="0"/>
      <w:marTop w:val="0"/>
      <w:marBottom w:val="0"/>
      <w:divBdr>
        <w:top w:val="none" w:sz="0" w:space="0" w:color="auto"/>
        <w:left w:val="none" w:sz="0" w:space="0" w:color="auto"/>
        <w:bottom w:val="none" w:sz="0" w:space="0" w:color="auto"/>
        <w:right w:val="none" w:sz="0" w:space="0" w:color="auto"/>
      </w:divBdr>
    </w:div>
    <w:div w:id="336083629">
      <w:bodyDiv w:val="1"/>
      <w:marLeft w:val="0"/>
      <w:marRight w:val="0"/>
      <w:marTop w:val="0"/>
      <w:marBottom w:val="0"/>
      <w:divBdr>
        <w:top w:val="none" w:sz="0" w:space="0" w:color="auto"/>
        <w:left w:val="none" w:sz="0" w:space="0" w:color="auto"/>
        <w:bottom w:val="none" w:sz="0" w:space="0" w:color="auto"/>
        <w:right w:val="none" w:sz="0" w:space="0" w:color="auto"/>
      </w:divBdr>
    </w:div>
    <w:div w:id="337657602">
      <w:bodyDiv w:val="1"/>
      <w:marLeft w:val="0"/>
      <w:marRight w:val="0"/>
      <w:marTop w:val="0"/>
      <w:marBottom w:val="0"/>
      <w:divBdr>
        <w:top w:val="none" w:sz="0" w:space="0" w:color="auto"/>
        <w:left w:val="none" w:sz="0" w:space="0" w:color="auto"/>
        <w:bottom w:val="none" w:sz="0" w:space="0" w:color="auto"/>
        <w:right w:val="none" w:sz="0" w:space="0" w:color="auto"/>
      </w:divBdr>
    </w:div>
    <w:div w:id="340204204">
      <w:bodyDiv w:val="1"/>
      <w:marLeft w:val="0"/>
      <w:marRight w:val="0"/>
      <w:marTop w:val="0"/>
      <w:marBottom w:val="0"/>
      <w:divBdr>
        <w:top w:val="none" w:sz="0" w:space="0" w:color="auto"/>
        <w:left w:val="none" w:sz="0" w:space="0" w:color="auto"/>
        <w:bottom w:val="none" w:sz="0" w:space="0" w:color="auto"/>
        <w:right w:val="none" w:sz="0" w:space="0" w:color="auto"/>
      </w:divBdr>
    </w:div>
    <w:div w:id="347371864">
      <w:bodyDiv w:val="1"/>
      <w:marLeft w:val="0"/>
      <w:marRight w:val="0"/>
      <w:marTop w:val="0"/>
      <w:marBottom w:val="0"/>
      <w:divBdr>
        <w:top w:val="none" w:sz="0" w:space="0" w:color="auto"/>
        <w:left w:val="none" w:sz="0" w:space="0" w:color="auto"/>
        <w:bottom w:val="none" w:sz="0" w:space="0" w:color="auto"/>
        <w:right w:val="none" w:sz="0" w:space="0" w:color="auto"/>
      </w:divBdr>
    </w:div>
    <w:div w:id="349528734">
      <w:bodyDiv w:val="1"/>
      <w:marLeft w:val="0"/>
      <w:marRight w:val="0"/>
      <w:marTop w:val="0"/>
      <w:marBottom w:val="0"/>
      <w:divBdr>
        <w:top w:val="none" w:sz="0" w:space="0" w:color="auto"/>
        <w:left w:val="none" w:sz="0" w:space="0" w:color="auto"/>
        <w:bottom w:val="none" w:sz="0" w:space="0" w:color="auto"/>
        <w:right w:val="none" w:sz="0" w:space="0" w:color="auto"/>
      </w:divBdr>
    </w:div>
    <w:div w:id="351809433">
      <w:bodyDiv w:val="1"/>
      <w:marLeft w:val="0"/>
      <w:marRight w:val="0"/>
      <w:marTop w:val="0"/>
      <w:marBottom w:val="0"/>
      <w:divBdr>
        <w:top w:val="none" w:sz="0" w:space="0" w:color="auto"/>
        <w:left w:val="none" w:sz="0" w:space="0" w:color="auto"/>
        <w:bottom w:val="none" w:sz="0" w:space="0" w:color="auto"/>
        <w:right w:val="none" w:sz="0" w:space="0" w:color="auto"/>
      </w:divBdr>
    </w:div>
    <w:div w:id="352925639">
      <w:bodyDiv w:val="1"/>
      <w:marLeft w:val="0"/>
      <w:marRight w:val="0"/>
      <w:marTop w:val="0"/>
      <w:marBottom w:val="0"/>
      <w:divBdr>
        <w:top w:val="none" w:sz="0" w:space="0" w:color="auto"/>
        <w:left w:val="none" w:sz="0" w:space="0" w:color="auto"/>
        <w:bottom w:val="none" w:sz="0" w:space="0" w:color="auto"/>
        <w:right w:val="none" w:sz="0" w:space="0" w:color="auto"/>
      </w:divBdr>
    </w:div>
    <w:div w:id="358243160">
      <w:bodyDiv w:val="1"/>
      <w:marLeft w:val="0"/>
      <w:marRight w:val="0"/>
      <w:marTop w:val="0"/>
      <w:marBottom w:val="0"/>
      <w:divBdr>
        <w:top w:val="none" w:sz="0" w:space="0" w:color="auto"/>
        <w:left w:val="none" w:sz="0" w:space="0" w:color="auto"/>
        <w:bottom w:val="none" w:sz="0" w:space="0" w:color="auto"/>
        <w:right w:val="none" w:sz="0" w:space="0" w:color="auto"/>
      </w:divBdr>
    </w:div>
    <w:div w:id="365298220">
      <w:bodyDiv w:val="1"/>
      <w:marLeft w:val="0"/>
      <w:marRight w:val="0"/>
      <w:marTop w:val="0"/>
      <w:marBottom w:val="0"/>
      <w:divBdr>
        <w:top w:val="none" w:sz="0" w:space="0" w:color="auto"/>
        <w:left w:val="none" w:sz="0" w:space="0" w:color="auto"/>
        <w:bottom w:val="none" w:sz="0" w:space="0" w:color="auto"/>
        <w:right w:val="none" w:sz="0" w:space="0" w:color="auto"/>
      </w:divBdr>
    </w:div>
    <w:div w:id="367800550">
      <w:bodyDiv w:val="1"/>
      <w:marLeft w:val="0"/>
      <w:marRight w:val="0"/>
      <w:marTop w:val="0"/>
      <w:marBottom w:val="0"/>
      <w:divBdr>
        <w:top w:val="none" w:sz="0" w:space="0" w:color="auto"/>
        <w:left w:val="none" w:sz="0" w:space="0" w:color="auto"/>
        <w:bottom w:val="none" w:sz="0" w:space="0" w:color="auto"/>
        <w:right w:val="none" w:sz="0" w:space="0" w:color="auto"/>
      </w:divBdr>
    </w:div>
    <w:div w:id="382143819">
      <w:bodyDiv w:val="1"/>
      <w:marLeft w:val="0"/>
      <w:marRight w:val="0"/>
      <w:marTop w:val="0"/>
      <w:marBottom w:val="0"/>
      <w:divBdr>
        <w:top w:val="none" w:sz="0" w:space="0" w:color="auto"/>
        <w:left w:val="none" w:sz="0" w:space="0" w:color="auto"/>
        <w:bottom w:val="none" w:sz="0" w:space="0" w:color="auto"/>
        <w:right w:val="none" w:sz="0" w:space="0" w:color="auto"/>
      </w:divBdr>
    </w:div>
    <w:div w:id="384910217">
      <w:bodyDiv w:val="1"/>
      <w:marLeft w:val="0"/>
      <w:marRight w:val="0"/>
      <w:marTop w:val="0"/>
      <w:marBottom w:val="0"/>
      <w:divBdr>
        <w:top w:val="none" w:sz="0" w:space="0" w:color="auto"/>
        <w:left w:val="none" w:sz="0" w:space="0" w:color="auto"/>
        <w:bottom w:val="none" w:sz="0" w:space="0" w:color="auto"/>
        <w:right w:val="none" w:sz="0" w:space="0" w:color="auto"/>
      </w:divBdr>
    </w:div>
    <w:div w:id="386496540">
      <w:bodyDiv w:val="1"/>
      <w:marLeft w:val="0"/>
      <w:marRight w:val="0"/>
      <w:marTop w:val="0"/>
      <w:marBottom w:val="0"/>
      <w:divBdr>
        <w:top w:val="none" w:sz="0" w:space="0" w:color="auto"/>
        <w:left w:val="none" w:sz="0" w:space="0" w:color="auto"/>
        <w:bottom w:val="none" w:sz="0" w:space="0" w:color="auto"/>
        <w:right w:val="none" w:sz="0" w:space="0" w:color="auto"/>
      </w:divBdr>
    </w:div>
    <w:div w:id="387069498">
      <w:bodyDiv w:val="1"/>
      <w:marLeft w:val="0"/>
      <w:marRight w:val="0"/>
      <w:marTop w:val="0"/>
      <w:marBottom w:val="0"/>
      <w:divBdr>
        <w:top w:val="none" w:sz="0" w:space="0" w:color="auto"/>
        <w:left w:val="none" w:sz="0" w:space="0" w:color="auto"/>
        <w:bottom w:val="none" w:sz="0" w:space="0" w:color="auto"/>
        <w:right w:val="none" w:sz="0" w:space="0" w:color="auto"/>
      </w:divBdr>
      <w:divsChild>
        <w:div w:id="2102410985">
          <w:marLeft w:val="0"/>
          <w:marRight w:val="0"/>
          <w:marTop w:val="0"/>
          <w:marBottom w:val="0"/>
          <w:divBdr>
            <w:top w:val="none" w:sz="0" w:space="0" w:color="auto"/>
            <w:left w:val="none" w:sz="0" w:space="0" w:color="auto"/>
            <w:bottom w:val="none" w:sz="0" w:space="0" w:color="auto"/>
            <w:right w:val="none" w:sz="0" w:space="0" w:color="auto"/>
          </w:divBdr>
        </w:div>
      </w:divsChild>
    </w:div>
    <w:div w:id="389689561">
      <w:bodyDiv w:val="1"/>
      <w:marLeft w:val="0"/>
      <w:marRight w:val="0"/>
      <w:marTop w:val="0"/>
      <w:marBottom w:val="0"/>
      <w:divBdr>
        <w:top w:val="none" w:sz="0" w:space="0" w:color="auto"/>
        <w:left w:val="none" w:sz="0" w:space="0" w:color="auto"/>
        <w:bottom w:val="none" w:sz="0" w:space="0" w:color="auto"/>
        <w:right w:val="none" w:sz="0" w:space="0" w:color="auto"/>
      </w:divBdr>
    </w:div>
    <w:div w:id="397363337">
      <w:bodyDiv w:val="1"/>
      <w:marLeft w:val="0"/>
      <w:marRight w:val="0"/>
      <w:marTop w:val="0"/>
      <w:marBottom w:val="0"/>
      <w:divBdr>
        <w:top w:val="none" w:sz="0" w:space="0" w:color="auto"/>
        <w:left w:val="none" w:sz="0" w:space="0" w:color="auto"/>
        <w:bottom w:val="none" w:sz="0" w:space="0" w:color="auto"/>
        <w:right w:val="none" w:sz="0" w:space="0" w:color="auto"/>
      </w:divBdr>
    </w:div>
    <w:div w:id="399837004">
      <w:bodyDiv w:val="1"/>
      <w:marLeft w:val="0"/>
      <w:marRight w:val="0"/>
      <w:marTop w:val="0"/>
      <w:marBottom w:val="0"/>
      <w:divBdr>
        <w:top w:val="none" w:sz="0" w:space="0" w:color="auto"/>
        <w:left w:val="none" w:sz="0" w:space="0" w:color="auto"/>
        <w:bottom w:val="none" w:sz="0" w:space="0" w:color="auto"/>
        <w:right w:val="none" w:sz="0" w:space="0" w:color="auto"/>
      </w:divBdr>
    </w:div>
    <w:div w:id="400098645">
      <w:bodyDiv w:val="1"/>
      <w:marLeft w:val="0"/>
      <w:marRight w:val="0"/>
      <w:marTop w:val="0"/>
      <w:marBottom w:val="0"/>
      <w:divBdr>
        <w:top w:val="none" w:sz="0" w:space="0" w:color="auto"/>
        <w:left w:val="none" w:sz="0" w:space="0" w:color="auto"/>
        <w:bottom w:val="none" w:sz="0" w:space="0" w:color="auto"/>
        <w:right w:val="none" w:sz="0" w:space="0" w:color="auto"/>
      </w:divBdr>
    </w:div>
    <w:div w:id="403143004">
      <w:bodyDiv w:val="1"/>
      <w:marLeft w:val="0"/>
      <w:marRight w:val="0"/>
      <w:marTop w:val="0"/>
      <w:marBottom w:val="0"/>
      <w:divBdr>
        <w:top w:val="none" w:sz="0" w:space="0" w:color="auto"/>
        <w:left w:val="none" w:sz="0" w:space="0" w:color="auto"/>
        <w:bottom w:val="none" w:sz="0" w:space="0" w:color="auto"/>
        <w:right w:val="none" w:sz="0" w:space="0" w:color="auto"/>
      </w:divBdr>
    </w:div>
    <w:div w:id="416052981">
      <w:bodyDiv w:val="1"/>
      <w:marLeft w:val="0"/>
      <w:marRight w:val="0"/>
      <w:marTop w:val="0"/>
      <w:marBottom w:val="0"/>
      <w:divBdr>
        <w:top w:val="none" w:sz="0" w:space="0" w:color="auto"/>
        <w:left w:val="none" w:sz="0" w:space="0" w:color="auto"/>
        <w:bottom w:val="none" w:sz="0" w:space="0" w:color="auto"/>
        <w:right w:val="none" w:sz="0" w:space="0" w:color="auto"/>
      </w:divBdr>
    </w:div>
    <w:div w:id="416875136">
      <w:bodyDiv w:val="1"/>
      <w:marLeft w:val="0"/>
      <w:marRight w:val="0"/>
      <w:marTop w:val="0"/>
      <w:marBottom w:val="0"/>
      <w:divBdr>
        <w:top w:val="none" w:sz="0" w:space="0" w:color="auto"/>
        <w:left w:val="none" w:sz="0" w:space="0" w:color="auto"/>
        <w:bottom w:val="none" w:sz="0" w:space="0" w:color="auto"/>
        <w:right w:val="none" w:sz="0" w:space="0" w:color="auto"/>
      </w:divBdr>
    </w:div>
    <w:div w:id="422920899">
      <w:bodyDiv w:val="1"/>
      <w:marLeft w:val="0"/>
      <w:marRight w:val="0"/>
      <w:marTop w:val="0"/>
      <w:marBottom w:val="0"/>
      <w:divBdr>
        <w:top w:val="none" w:sz="0" w:space="0" w:color="auto"/>
        <w:left w:val="none" w:sz="0" w:space="0" w:color="auto"/>
        <w:bottom w:val="none" w:sz="0" w:space="0" w:color="auto"/>
        <w:right w:val="none" w:sz="0" w:space="0" w:color="auto"/>
      </w:divBdr>
    </w:div>
    <w:div w:id="450050531">
      <w:bodyDiv w:val="1"/>
      <w:marLeft w:val="0"/>
      <w:marRight w:val="0"/>
      <w:marTop w:val="0"/>
      <w:marBottom w:val="0"/>
      <w:divBdr>
        <w:top w:val="none" w:sz="0" w:space="0" w:color="auto"/>
        <w:left w:val="none" w:sz="0" w:space="0" w:color="auto"/>
        <w:bottom w:val="none" w:sz="0" w:space="0" w:color="auto"/>
        <w:right w:val="none" w:sz="0" w:space="0" w:color="auto"/>
      </w:divBdr>
    </w:div>
    <w:div w:id="452283559">
      <w:bodyDiv w:val="1"/>
      <w:marLeft w:val="0"/>
      <w:marRight w:val="0"/>
      <w:marTop w:val="0"/>
      <w:marBottom w:val="0"/>
      <w:divBdr>
        <w:top w:val="none" w:sz="0" w:space="0" w:color="auto"/>
        <w:left w:val="none" w:sz="0" w:space="0" w:color="auto"/>
        <w:bottom w:val="none" w:sz="0" w:space="0" w:color="auto"/>
        <w:right w:val="none" w:sz="0" w:space="0" w:color="auto"/>
      </w:divBdr>
    </w:div>
    <w:div w:id="467165446">
      <w:bodyDiv w:val="1"/>
      <w:marLeft w:val="0"/>
      <w:marRight w:val="0"/>
      <w:marTop w:val="0"/>
      <w:marBottom w:val="0"/>
      <w:divBdr>
        <w:top w:val="none" w:sz="0" w:space="0" w:color="auto"/>
        <w:left w:val="none" w:sz="0" w:space="0" w:color="auto"/>
        <w:bottom w:val="none" w:sz="0" w:space="0" w:color="auto"/>
        <w:right w:val="none" w:sz="0" w:space="0" w:color="auto"/>
      </w:divBdr>
    </w:div>
    <w:div w:id="471411656">
      <w:bodyDiv w:val="1"/>
      <w:marLeft w:val="0"/>
      <w:marRight w:val="0"/>
      <w:marTop w:val="0"/>
      <w:marBottom w:val="0"/>
      <w:divBdr>
        <w:top w:val="none" w:sz="0" w:space="0" w:color="auto"/>
        <w:left w:val="none" w:sz="0" w:space="0" w:color="auto"/>
        <w:bottom w:val="none" w:sz="0" w:space="0" w:color="auto"/>
        <w:right w:val="none" w:sz="0" w:space="0" w:color="auto"/>
      </w:divBdr>
    </w:div>
    <w:div w:id="474447014">
      <w:bodyDiv w:val="1"/>
      <w:marLeft w:val="0"/>
      <w:marRight w:val="0"/>
      <w:marTop w:val="0"/>
      <w:marBottom w:val="0"/>
      <w:divBdr>
        <w:top w:val="none" w:sz="0" w:space="0" w:color="auto"/>
        <w:left w:val="none" w:sz="0" w:space="0" w:color="auto"/>
        <w:bottom w:val="none" w:sz="0" w:space="0" w:color="auto"/>
        <w:right w:val="none" w:sz="0" w:space="0" w:color="auto"/>
      </w:divBdr>
    </w:div>
    <w:div w:id="475680305">
      <w:bodyDiv w:val="1"/>
      <w:marLeft w:val="0"/>
      <w:marRight w:val="0"/>
      <w:marTop w:val="0"/>
      <w:marBottom w:val="0"/>
      <w:divBdr>
        <w:top w:val="none" w:sz="0" w:space="0" w:color="auto"/>
        <w:left w:val="none" w:sz="0" w:space="0" w:color="auto"/>
        <w:bottom w:val="none" w:sz="0" w:space="0" w:color="auto"/>
        <w:right w:val="none" w:sz="0" w:space="0" w:color="auto"/>
      </w:divBdr>
    </w:div>
    <w:div w:id="476804491">
      <w:bodyDiv w:val="1"/>
      <w:marLeft w:val="0"/>
      <w:marRight w:val="0"/>
      <w:marTop w:val="0"/>
      <w:marBottom w:val="0"/>
      <w:divBdr>
        <w:top w:val="none" w:sz="0" w:space="0" w:color="auto"/>
        <w:left w:val="none" w:sz="0" w:space="0" w:color="auto"/>
        <w:bottom w:val="none" w:sz="0" w:space="0" w:color="auto"/>
        <w:right w:val="none" w:sz="0" w:space="0" w:color="auto"/>
      </w:divBdr>
    </w:div>
    <w:div w:id="483859743">
      <w:bodyDiv w:val="1"/>
      <w:marLeft w:val="0"/>
      <w:marRight w:val="0"/>
      <w:marTop w:val="0"/>
      <w:marBottom w:val="0"/>
      <w:divBdr>
        <w:top w:val="none" w:sz="0" w:space="0" w:color="auto"/>
        <w:left w:val="none" w:sz="0" w:space="0" w:color="auto"/>
        <w:bottom w:val="none" w:sz="0" w:space="0" w:color="auto"/>
        <w:right w:val="none" w:sz="0" w:space="0" w:color="auto"/>
      </w:divBdr>
    </w:div>
    <w:div w:id="485246822">
      <w:bodyDiv w:val="1"/>
      <w:marLeft w:val="0"/>
      <w:marRight w:val="0"/>
      <w:marTop w:val="0"/>
      <w:marBottom w:val="0"/>
      <w:divBdr>
        <w:top w:val="none" w:sz="0" w:space="0" w:color="auto"/>
        <w:left w:val="none" w:sz="0" w:space="0" w:color="auto"/>
        <w:bottom w:val="none" w:sz="0" w:space="0" w:color="auto"/>
        <w:right w:val="none" w:sz="0" w:space="0" w:color="auto"/>
      </w:divBdr>
    </w:div>
    <w:div w:id="485515691">
      <w:bodyDiv w:val="1"/>
      <w:marLeft w:val="0"/>
      <w:marRight w:val="0"/>
      <w:marTop w:val="0"/>
      <w:marBottom w:val="0"/>
      <w:divBdr>
        <w:top w:val="none" w:sz="0" w:space="0" w:color="auto"/>
        <w:left w:val="none" w:sz="0" w:space="0" w:color="auto"/>
        <w:bottom w:val="none" w:sz="0" w:space="0" w:color="auto"/>
        <w:right w:val="none" w:sz="0" w:space="0" w:color="auto"/>
      </w:divBdr>
    </w:div>
    <w:div w:id="489516681">
      <w:bodyDiv w:val="1"/>
      <w:marLeft w:val="0"/>
      <w:marRight w:val="0"/>
      <w:marTop w:val="0"/>
      <w:marBottom w:val="0"/>
      <w:divBdr>
        <w:top w:val="none" w:sz="0" w:space="0" w:color="auto"/>
        <w:left w:val="none" w:sz="0" w:space="0" w:color="auto"/>
        <w:bottom w:val="none" w:sz="0" w:space="0" w:color="auto"/>
        <w:right w:val="none" w:sz="0" w:space="0" w:color="auto"/>
      </w:divBdr>
    </w:div>
    <w:div w:id="492069816">
      <w:bodyDiv w:val="1"/>
      <w:marLeft w:val="0"/>
      <w:marRight w:val="0"/>
      <w:marTop w:val="0"/>
      <w:marBottom w:val="0"/>
      <w:divBdr>
        <w:top w:val="none" w:sz="0" w:space="0" w:color="auto"/>
        <w:left w:val="none" w:sz="0" w:space="0" w:color="auto"/>
        <w:bottom w:val="none" w:sz="0" w:space="0" w:color="auto"/>
        <w:right w:val="none" w:sz="0" w:space="0" w:color="auto"/>
      </w:divBdr>
    </w:div>
    <w:div w:id="497037563">
      <w:bodyDiv w:val="1"/>
      <w:marLeft w:val="0"/>
      <w:marRight w:val="0"/>
      <w:marTop w:val="0"/>
      <w:marBottom w:val="0"/>
      <w:divBdr>
        <w:top w:val="none" w:sz="0" w:space="0" w:color="auto"/>
        <w:left w:val="none" w:sz="0" w:space="0" w:color="auto"/>
        <w:bottom w:val="none" w:sz="0" w:space="0" w:color="auto"/>
        <w:right w:val="none" w:sz="0" w:space="0" w:color="auto"/>
      </w:divBdr>
    </w:div>
    <w:div w:id="502401580">
      <w:bodyDiv w:val="1"/>
      <w:marLeft w:val="0"/>
      <w:marRight w:val="0"/>
      <w:marTop w:val="0"/>
      <w:marBottom w:val="0"/>
      <w:divBdr>
        <w:top w:val="none" w:sz="0" w:space="0" w:color="auto"/>
        <w:left w:val="none" w:sz="0" w:space="0" w:color="auto"/>
        <w:bottom w:val="none" w:sz="0" w:space="0" w:color="auto"/>
        <w:right w:val="none" w:sz="0" w:space="0" w:color="auto"/>
      </w:divBdr>
    </w:div>
    <w:div w:id="511264821">
      <w:bodyDiv w:val="1"/>
      <w:marLeft w:val="0"/>
      <w:marRight w:val="0"/>
      <w:marTop w:val="0"/>
      <w:marBottom w:val="0"/>
      <w:divBdr>
        <w:top w:val="none" w:sz="0" w:space="0" w:color="auto"/>
        <w:left w:val="none" w:sz="0" w:space="0" w:color="auto"/>
        <w:bottom w:val="none" w:sz="0" w:space="0" w:color="auto"/>
        <w:right w:val="none" w:sz="0" w:space="0" w:color="auto"/>
      </w:divBdr>
    </w:div>
    <w:div w:id="515844958">
      <w:bodyDiv w:val="1"/>
      <w:marLeft w:val="0"/>
      <w:marRight w:val="0"/>
      <w:marTop w:val="0"/>
      <w:marBottom w:val="0"/>
      <w:divBdr>
        <w:top w:val="none" w:sz="0" w:space="0" w:color="auto"/>
        <w:left w:val="none" w:sz="0" w:space="0" w:color="auto"/>
        <w:bottom w:val="none" w:sz="0" w:space="0" w:color="auto"/>
        <w:right w:val="none" w:sz="0" w:space="0" w:color="auto"/>
      </w:divBdr>
    </w:div>
    <w:div w:id="517814669">
      <w:bodyDiv w:val="1"/>
      <w:marLeft w:val="0"/>
      <w:marRight w:val="0"/>
      <w:marTop w:val="0"/>
      <w:marBottom w:val="0"/>
      <w:divBdr>
        <w:top w:val="none" w:sz="0" w:space="0" w:color="auto"/>
        <w:left w:val="none" w:sz="0" w:space="0" w:color="auto"/>
        <w:bottom w:val="none" w:sz="0" w:space="0" w:color="auto"/>
        <w:right w:val="none" w:sz="0" w:space="0" w:color="auto"/>
      </w:divBdr>
    </w:div>
    <w:div w:id="518812045">
      <w:bodyDiv w:val="1"/>
      <w:marLeft w:val="0"/>
      <w:marRight w:val="0"/>
      <w:marTop w:val="0"/>
      <w:marBottom w:val="0"/>
      <w:divBdr>
        <w:top w:val="none" w:sz="0" w:space="0" w:color="auto"/>
        <w:left w:val="none" w:sz="0" w:space="0" w:color="auto"/>
        <w:bottom w:val="none" w:sz="0" w:space="0" w:color="auto"/>
        <w:right w:val="none" w:sz="0" w:space="0" w:color="auto"/>
      </w:divBdr>
    </w:div>
    <w:div w:id="524175001">
      <w:bodyDiv w:val="1"/>
      <w:marLeft w:val="0"/>
      <w:marRight w:val="0"/>
      <w:marTop w:val="0"/>
      <w:marBottom w:val="0"/>
      <w:divBdr>
        <w:top w:val="none" w:sz="0" w:space="0" w:color="auto"/>
        <w:left w:val="none" w:sz="0" w:space="0" w:color="auto"/>
        <w:bottom w:val="none" w:sz="0" w:space="0" w:color="auto"/>
        <w:right w:val="none" w:sz="0" w:space="0" w:color="auto"/>
      </w:divBdr>
    </w:div>
    <w:div w:id="526722959">
      <w:bodyDiv w:val="1"/>
      <w:marLeft w:val="0"/>
      <w:marRight w:val="0"/>
      <w:marTop w:val="0"/>
      <w:marBottom w:val="0"/>
      <w:divBdr>
        <w:top w:val="none" w:sz="0" w:space="0" w:color="auto"/>
        <w:left w:val="none" w:sz="0" w:space="0" w:color="auto"/>
        <w:bottom w:val="none" w:sz="0" w:space="0" w:color="auto"/>
        <w:right w:val="none" w:sz="0" w:space="0" w:color="auto"/>
      </w:divBdr>
    </w:div>
    <w:div w:id="534542481">
      <w:bodyDiv w:val="1"/>
      <w:marLeft w:val="0"/>
      <w:marRight w:val="0"/>
      <w:marTop w:val="0"/>
      <w:marBottom w:val="0"/>
      <w:divBdr>
        <w:top w:val="none" w:sz="0" w:space="0" w:color="auto"/>
        <w:left w:val="none" w:sz="0" w:space="0" w:color="auto"/>
        <w:bottom w:val="none" w:sz="0" w:space="0" w:color="auto"/>
        <w:right w:val="none" w:sz="0" w:space="0" w:color="auto"/>
      </w:divBdr>
    </w:div>
    <w:div w:id="535393814">
      <w:bodyDiv w:val="1"/>
      <w:marLeft w:val="0"/>
      <w:marRight w:val="0"/>
      <w:marTop w:val="0"/>
      <w:marBottom w:val="0"/>
      <w:divBdr>
        <w:top w:val="none" w:sz="0" w:space="0" w:color="auto"/>
        <w:left w:val="none" w:sz="0" w:space="0" w:color="auto"/>
        <w:bottom w:val="none" w:sz="0" w:space="0" w:color="auto"/>
        <w:right w:val="none" w:sz="0" w:space="0" w:color="auto"/>
      </w:divBdr>
    </w:div>
    <w:div w:id="537397468">
      <w:bodyDiv w:val="1"/>
      <w:marLeft w:val="0"/>
      <w:marRight w:val="0"/>
      <w:marTop w:val="0"/>
      <w:marBottom w:val="0"/>
      <w:divBdr>
        <w:top w:val="none" w:sz="0" w:space="0" w:color="auto"/>
        <w:left w:val="none" w:sz="0" w:space="0" w:color="auto"/>
        <w:bottom w:val="none" w:sz="0" w:space="0" w:color="auto"/>
        <w:right w:val="none" w:sz="0" w:space="0" w:color="auto"/>
      </w:divBdr>
    </w:div>
    <w:div w:id="538709185">
      <w:bodyDiv w:val="1"/>
      <w:marLeft w:val="0"/>
      <w:marRight w:val="0"/>
      <w:marTop w:val="0"/>
      <w:marBottom w:val="0"/>
      <w:divBdr>
        <w:top w:val="none" w:sz="0" w:space="0" w:color="auto"/>
        <w:left w:val="none" w:sz="0" w:space="0" w:color="auto"/>
        <w:bottom w:val="none" w:sz="0" w:space="0" w:color="auto"/>
        <w:right w:val="none" w:sz="0" w:space="0" w:color="auto"/>
      </w:divBdr>
    </w:div>
    <w:div w:id="546182993">
      <w:bodyDiv w:val="1"/>
      <w:marLeft w:val="0"/>
      <w:marRight w:val="0"/>
      <w:marTop w:val="0"/>
      <w:marBottom w:val="0"/>
      <w:divBdr>
        <w:top w:val="none" w:sz="0" w:space="0" w:color="auto"/>
        <w:left w:val="none" w:sz="0" w:space="0" w:color="auto"/>
        <w:bottom w:val="none" w:sz="0" w:space="0" w:color="auto"/>
        <w:right w:val="none" w:sz="0" w:space="0" w:color="auto"/>
      </w:divBdr>
    </w:div>
    <w:div w:id="548615176">
      <w:bodyDiv w:val="1"/>
      <w:marLeft w:val="0"/>
      <w:marRight w:val="0"/>
      <w:marTop w:val="0"/>
      <w:marBottom w:val="0"/>
      <w:divBdr>
        <w:top w:val="none" w:sz="0" w:space="0" w:color="auto"/>
        <w:left w:val="none" w:sz="0" w:space="0" w:color="auto"/>
        <w:bottom w:val="none" w:sz="0" w:space="0" w:color="auto"/>
        <w:right w:val="none" w:sz="0" w:space="0" w:color="auto"/>
      </w:divBdr>
    </w:div>
    <w:div w:id="549070361">
      <w:bodyDiv w:val="1"/>
      <w:marLeft w:val="0"/>
      <w:marRight w:val="0"/>
      <w:marTop w:val="0"/>
      <w:marBottom w:val="0"/>
      <w:divBdr>
        <w:top w:val="none" w:sz="0" w:space="0" w:color="auto"/>
        <w:left w:val="none" w:sz="0" w:space="0" w:color="auto"/>
        <w:bottom w:val="none" w:sz="0" w:space="0" w:color="auto"/>
        <w:right w:val="none" w:sz="0" w:space="0" w:color="auto"/>
      </w:divBdr>
    </w:div>
    <w:div w:id="561671524">
      <w:bodyDiv w:val="1"/>
      <w:marLeft w:val="0"/>
      <w:marRight w:val="0"/>
      <w:marTop w:val="0"/>
      <w:marBottom w:val="0"/>
      <w:divBdr>
        <w:top w:val="none" w:sz="0" w:space="0" w:color="auto"/>
        <w:left w:val="none" w:sz="0" w:space="0" w:color="auto"/>
        <w:bottom w:val="none" w:sz="0" w:space="0" w:color="auto"/>
        <w:right w:val="none" w:sz="0" w:space="0" w:color="auto"/>
      </w:divBdr>
    </w:div>
    <w:div w:id="562257960">
      <w:bodyDiv w:val="1"/>
      <w:marLeft w:val="0"/>
      <w:marRight w:val="0"/>
      <w:marTop w:val="0"/>
      <w:marBottom w:val="0"/>
      <w:divBdr>
        <w:top w:val="none" w:sz="0" w:space="0" w:color="auto"/>
        <w:left w:val="none" w:sz="0" w:space="0" w:color="auto"/>
        <w:bottom w:val="none" w:sz="0" w:space="0" w:color="auto"/>
        <w:right w:val="none" w:sz="0" w:space="0" w:color="auto"/>
      </w:divBdr>
    </w:div>
    <w:div w:id="565338832">
      <w:bodyDiv w:val="1"/>
      <w:marLeft w:val="0"/>
      <w:marRight w:val="0"/>
      <w:marTop w:val="0"/>
      <w:marBottom w:val="0"/>
      <w:divBdr>
        <w:top w:val="none" w:sz="0" w:space="0" w:color="auto"/>
        <w:left w:val="none" w:sz="0" w:space="0" w:color="auto"/>
        <w:bottom w:val="none" w:sz="0" w:space="0" w:color="auto"/>
        <w:right w:val="none" w:sz="0" w:space="0" w:color="auto"/>
      </w:divBdr>
    </w:div>
    <w:div w:id="568687748">
      <w:bodyDiv w:val="1"/>
      <w:marLeft w:val="0"/>
      <w:marRight w:val="0"/>
      <w:marTop w:val="0"/>
      <w:marBottom w:val="0"/>
      <w:divBdr>
        <w:top w:val="none" w:sz="0" w:space="0" w:color="auto"/>
        <w:left w:val="none" w:sz="0" w:space="0" w:color="auto"/>
        <w:bottom w:val="none" w:sz="0" w:space="0" w:color="auto"/>
        <w:right w:val="none" w:sz="0" w:space="0" w:color="auto"/>
      </w:divBdr>
    </w:div>
    <w:div w:id="571887287">
      <w:bodyDiv w:val="1"/>
      <w:marLeft w:val="0"/>
      <w:marRight w:val="0"/>
      <w:marTop w:val="0"/>
      <w:marBottom w:val="0"/>
      <w:divBdr>
        <w:top w:val="none" w:sz="0" w:space="0" w:color="auto"/>
        <w:left w:val="none" w:sz="0" w:space="0" w:color="auto"/>
        <w:bottom w:val="none" w:sz="0" w:space="0" w:color="auto"/>
        <w:right w:val="none" w:sz="0" w:space="0" w:color="auto"/>
      </w:divBdr>
    </w:div>
    <w:div w:id="576015793">
      <w:bodyDiv w:val="1"/>
      <w:marLeft w:val="0"/>
      <w:marRight w:val="0"/>
      <w:marTop w:val="0"/>
      <w:marBottom w:val="0"/>
      <w:divBdr>
        <w:top w:val="none" w:sz="0" w:space="0" w:color="auto"/>
        <w:left w:val="none" w:sz="0" w:space="0" w:color="auto"/>
        <w:bottom w:val="none" w:sz="0" w:space="0" w:color="auto"/>
        <w:right w:val="none" w:sz="0" w:space="0" w:color="auto"/>
      </w:divBdr>
    </w:div>
    <w:div w:id="578709471">
      <w:bodyDiv w:val="1"/>
      <w:marLeft w:val="0"/>
      <w:marRight w:val="0"/>
      <w:marTop w:val="0"/>
      <w:marBottom w:val="0"/>
      <w:divBdr>
        <w:top w:val="none" w:sz="0" w:space="0" w:color="auto"/>
        <w:left w:val="none" w:sz="0" w:space="0" w:color="auto"/>
        <w:bottom w:val="none" w:sz="0" w:space="0" w:color="auto"/>
        <w:right w:val="none" w:sz="0" w:space="0" w:color="auto"/>
      </w:divBdr>
    </w:div>
    <w:div w:id="579600647">
      <w:bodyDiv w:val="1"/>
      <w:marLeft w:val="0"/>
      <w:marRight w:val="0"/>
      <w:marTop w:val="0"/>
      <w:marBottom w:val="0"/>
      <w:divBdr>
        <w:top w:val="none" w:sz="0" w:space="0" w:color="auto"/>
        <w:left w:val="none" w:sz="0" w:space="0" w:color="auto"/>
        <w:bottom w:val="none" w:sz="0" w:space="0" w:color="auto"/>
        <w:right w:val="none" w:sz="0" w:space="0" w:color="auto"/>
      </w:divBdr>
    </w:div>
    <w:div w:id="583952624">
      <w:bodyDiv w:val="1"/>
      <w:marLeft w:val="0"/>
      <w:marRight w:val="0"/>
      <w:marTop w:val="0"/>
      <w:marBottom w:val="0"/>
      <w:divBdr>
        <w:top w:val="none" w:sz="0" w:space="0" w:color="auto"/>
        <w:left w:val="none" w:sz="0" w:space="0" w:color="auto"/>
        <w:bottom w:val="none" w:sz="0" w:space="0" w:color="auto"/>
        <w:right w:val="none" w:sz="0" w:space="0" w:color="auto"/>
      </w:divBdr>
    </w:div>
    <w:div w:id="587076407">
      <w:bodyDiv w:val="1"/>
      <w:marLeft w:val="0"/>
      <w:marRight w:val="0"/>
      <w:marTop w:val="0"/>
      <w:marBottom w:val="0"/>
      <w:divBdr>
        <w:top w:val="none" w:sz="0" w:space="0" w:color="auto"/>
        <w:left w:val="none" w:sz="0" w:space="0" w:color="auto"/>
        <w:bottom w:val="none" w:sz="0" w:space="0" w:color="auto"/>
        <w:right w:val="none" w:sz="0" w:space="0" w:color="auto"/>
      </w:divBdr>
    </w:div>
    <w:div w:id="590045650">
      <w:bodyDiv w:val="1"/>
      <w:marLeft w:val="0"/>
      <w:marRight w:val="0"/>
      <w:marTop w:val="0"/>
      <w:marBottom w:val="0"/>
      <w:divBdr>
        <w:top w:val="none" w:sz="0" w:space="0" w:color="auto"/>
        <w:left w:val="none" w:sz="0" w:space="0" w:color="auto"/>
        <w:bottom w:val="none" w:sz="0" w:space="0" w:color="auto"/>
        <w:right w:val="none" w:sz="0" w:space="0" w:color="auto"/>
      </w:divBdr>
    </w:div>
    <w:div w:id="603997031">
      <w:bodyDiv w:val="1"/>
      <w:marLeft w:val="0"/>
      <w:marRight w:val="0"/>
      <w:marTop w:val="0"/>
      <w:marBottom w:val="0"/>
      <w:divBdr>
        <w:top w:val="none" w:sz="0" w:space="0" w:color="auto"/>
        <w:left w:val="none" w:sz="0" w:space="0" w:color="auto"/>
        <w:bottom w:val="none" w:sz="0" w:space="0" w:color="auto"/>
        <w:right w:val="none" w:sz="0" w:space="0" w:color="auto"/>
      </w:divBdr>
    </w:div>
    <w:div w:id="610168719">
      <w:bodyDiv w:val="1"/>
      <w:marLeft w:val="0"/>
      <w:marRight w:val="0"/>
      <w:marTop w:val="0"/>
      <w:marBottom w:val="0"/>
      <w:divBdr>
        <w:top w:val="none" w:sz="0" w:space="0" w:color="auto"/>
        <w:left w:val="none" w:sz="0" w:space="0" w:color="auto"/>
        <w:bottom w:val="none" w:sz="0" w:space="0" w:color="auto"/>
        <w:right w:val="none" w:sz="0" w:space="0" w:color="auto"/>
      </w:divBdr>
    </w:div>
    <w:div w:id="611589605">
      <w:bodyDiv w:val="1"/>
      <w:marLeft w:val="0"/>
      <w:marRight w:val="0"/>
      <w:marTop w:val="0"/>
      <w:marBottom w:val="0"/>
      <w:divBdr>
        <w:top w:val="none" w:sz="0" w:space="0" w:color="auto"/>
        <w:left w:val="none" w:sz="0" w:space="0" w:color="auto"/>
        <w:bottom w:val="none" w:sz="0" w:space="0" w:color="auto"/>
        <w:right w:val="none" w:sz="0" w:space="0" w:color="auto"/>
      </w:divBdr>
    </w:div>
    <w:div w:id="617177117">
      <w:bodyDiv w:val="1"/>
      <w:marLeft w:val="0"/>
      <w:marRight w:val="0"/>
      <w:marTop w:val="0"/>
      <w:marBottom w:val="0"/>
      <w:divBdr>
        <w:top w:val="none" w:sz="0" w:space="0" w:color="auto"/>
        <w:left w:val="none" w:sz="0" w:space="0" w:color="auto"/>
        <w:bottom w:val="none" w:sz="0" w:space="0" w:color="auto"/>
        <w:right w:val="none" w:sz="0" w:space="0" w:color="auto"/>
      </w:divBdr>
    </w:div>
    <w:div w:id="617372801">
      <w:bodyDiv w:val="1"/>
      <w:marLeft w:val="0"/>
      <w:marRight w:val="0"/>
      <w:marTop w:val="0"/>
      <w:marBottom w:val="0"/>
      <w:divBdr>
        <w:top w:val="none" w:sz="0" w:space="0" w:color="auto"/>
        <w:left w:val="none" w:sz="0" w:space="0" w:color="auto"/>
        <w:bottom w:val="none" w:sz="0" w:space="0" w:color="auto"/>
        <w:right w:val="none" w:sz="0" w:space="0" w:color="auto"/>
      </w:divBdr>
    </w:div>
    <w:div w:id="621814612">
      <w:bodyDiv w:val="1"/>
      <w:marLeft w:val="0"/>
      <w:marRight w:val="0"/>
      <w:marTop w:val="0"/>
      <w:marBottom w:val="0"/>
      <w:divBdr>
        <w:top w:val="none" w:sz="0" w:space="0" w:color="auto"/>
        <w:left w:val="none" w:sz="0" w:space="0" w:color="auto"/>
        <w:bottom w:val="none" w:sz="0" w:space="0" w:color="auto"/>
        <w:right w:val="none" w:sz="0" w:space="0" w:color="auto"/>
      </w:divBdr>
      <w:divsChild>
        <w:div w:id="487015600">
          <w:marLeft w:val="0"/>
          <w:marRight w:val="0"/>
          <w:marTop w:val="0"/>
          <w:marBottom w:val="0"/>
          <w:divBdr>
            <w:top w:val="none" w:sz="0" w:space="0" w:color="auto"/>
            <w:left w:val="none" w:sz="0" w:space="0" w:color="auto"/>
            <w:bottom w:val="none" w:sz="0" w:space="0" w:color="auto"/>
            <w:right w:val="none" w:sz="0" w:space="0" w:color="auto"/>
          </w:divBdr>
          <w:divsChild>
            <w:div w:id="809710249">
              <w:marLeft w:val="0"/>
              <w:marRight w:val="0"/>
              <w:marTop w:val="0"/>
              <w:marBottom w:val="0"/>
              <w:divBdr>
                <w:top w:val="none" w:sz="0" w:space="0" w:color="auto"/>
                <w:left w:val="none" w:sz="0" w:space="0" w:color="auto"/>
                <w:bottom w:val="none" w:sz="0" w:space="0" w:color="auto"/>
                <w:right w:val="none" w:sz="0" w:space="0" w:color="auto"/>
              </w:divBdr>
              <w:divsChild>
                <w:div w:id="1766077111">
                  <w:marLeft w:val="0"/>
                  <w:marRight w:val="0"/>
                  <w:marTop w:val="0"/>
                  <w:marBottom w:val="0"/>
                  <w:divBdr>
                    <w:top w:val="none" w:sz="0" w:space="0" w:color="auto"/>
                    <w:left w:val="none" w:sz="0" w:space="0" w:color="auto"/>
                    <w:bottom w:val="none" w:sz="0" w:space="0" w:color="auto"/>
                    <w:right w:val="none" w:sz="0" w:space="0" w:color="auto"/>
                  </w:divBdr>
                  <w:divsChild>
                    <w:div w:id="661197578">
                      <w:marLeft w:val="0"/>
                      <w:marRight w:val="0"/>
                      <w:marTop w:val="0"/>
                      <w:marBottom w:val="0"/>
                      <w:divBdr>
                        <w:top w:val="none" w:sz="0" w:space="0" w:color="auto"/>
                        <w:left w:val="none" w:sz="0" w:space="0" w:color="auto"/>
                        <w:bottom w:val="none" w:sz="0" w:space="0" w:color="auto"/>
                        <w:right w:val="none" w:sz="0" w:space="0" w:color="auto"/>
                      </w:divBdr>
                      <w:divsChild>
                        <w:div w:id="397442708">
                          <w:marLeft w:val="0"/>
                          <w:marRight w:val="0"/>
                          <w:marTop w:val="0"/>
                          <w:marBottom w:val="0"/>
                          <w:divBdr>
                            <w:top w:val="none" w:sz="0" w:space="0" w:color="auto"/>
                            <w:left w:val="none" w:sz="0" w:space="0" w:color="auto"/>
                            <w:bottom w:val="none" w:sz="0" w:space="0" w:color="auto"/>
                            <w:right w:val="none" w:sz="0" w:space="0" w:color="auto"/>
                          </w:divBdr>
                          <w:divsChild>
                            <w:div w:id="774597346">
                              <w:marLeft w:val="0"/>
                              <w:marRight w:val="0"/>
                              <w:marTop w:val="0"/>
                              <w:marBottom w:val="0"/>
                              <w:divBdr>
                                <w:top w:val="none" w:sz="0" w:space="0" w:color="auto"/>
                                <w:left w:val="none" w:sz="0" w:space="0" w:color="auto"/>
                                <w:bottom w:val="none" w:sz="0" w:space="0" w:color="auto"/>
                                <w:right w:val="none" w:sz="0" w:space="0" w:color="auto"/>
                              </w:divBdr>
                              <w:divsChild>
                                <w:div w:id="1913809281">
                                  <w:marLeft w:val="0"/>
                                  <w:marRight w:val="0"/>
                                  <w:marTop w:val="0"/>
                                  <w:marBottom w:val="0"/>
                                  <w:divBdr>
                                    <w:top w:val="none" w:sz="0" w:space="0" w:color="auto"/>
                                    <w:left w:val="none" w:sz="0" w:space="0" w:color="auto"/>
                                    <w:bottom w:val="none" w:sz="0" w:space="0" w:color="auto"/>
                                    <w:right w:val="none" w:sz="0" w:space="0" w:color="auto"/>
                                  </w:divBdr>
                                  <w:divsChild>
                                    <w:div w:id="291373573">
                                      <w:marLeft w:val="0"/>
                                      <w:marRight w:val="0"/>
                                      <w:marTop w:val="0"/>
                                      <w:marBottom w:val="0"/>
                                      <w:divBdr>
                                        <w:top w:val="none" w:sz="0" w:space="0" w:color="auto"/>
                                        <w:left w:val="none" w:sz="0" w:space="0" w:color="auto"/>
                                        <w:bottom w:val="none" w:sz="0" w:space="0" w:color="auto"/>
                                        <w:right w:val="none" w:sz="0" w:space="0" w:color="auto"/>
                                      </w:divBdr>
                                      <w:divsChild>
                                        <w:div w:id="1572084651">
                                          <w:marLeft w:val="0"/>
                                          <w:marRight w:val="0"/>
                                          <w:marTop w:val="0"/>
                                          <w:marBottom w:val="0"/>
                                          <w:divBdr>
                                            <w:top w:val="none" w:sz="0" w:space="0" w:color="auto"/>
                                            <w:left w:val="none" w:sz="0" w:space="0" w:color="auto"/>
                                            <w:bottom w:val="none" w:sz="0" w:space="0" w:color="auto"/>
                                            <w:right w:val="none" w:sz="0" w:space="0" w:color="auto"/>
                                          </w:divBdr>
                                          <w:divsChild>
                                            <w:div w:id="1398282301">
                                              <w:marLeft w:val="0"/>
                                              <w:marRight w:val="0"/>
                                              <w:marTop w:val="0"/>
                                              <w:marBottom w:val="0"/>
                                              <w:divBdr>
                                                <w:top w:val="none" w:sz="0" w:space="0" w:color="auto"/>
                                                <w:left w:val="none" w:sz="0" w:space="0" w:color="auto"/>
                                                <w:bottom w:val="none" w:sz="0" w:space="0" w:color="auto"/>
                                                <w:right w:val="none" w:sz="0" w:space="0" w:color="auto"/>
                                              </w:divBdr>
                                              <w:divsChild>
                                                <w:div w:id="243684430">
                                                  <w:marLeft w:val="0"/>
                                                  <w:marRight w:val="0"/>
                                                  <w:marTop w:val="0"/>
                                                  <w:marBottom w:val="0"/>
                                                  <w:divBdr>
                                                    <w:top w:val="none" w:sz="0" w:space="0" w:color="auto"/>
                                                    <w:left w:val="none" w:sz="0" w:space="0" w:color="auto"/>
                                                    <w:bottom w:val="none" w:sz="0" w:space="0" w:color="auto"/>
                                                    <w:right w:val="none" w:sz="0" w:space="0" w:color="auto"/>
                                                  </w:divBdr>
                                                  <w:divsChild>
                                                    <w:div w:id="1539928085">
                                                      <w:marLeft w:val="0"/>
                                                      <w:marRight w:val="0"/>
                                                      <w:marTop w:val="0"/>
                                                      <w:marBottom w:val="0"/>
                                                      <w:divBdr>
                                                        <w:top w:val="single" w:sz="6" w:space="0" w:color="auto"/>
                                                        <w:left w:val="none" w:sz="0" w:space="0" w:color="auto"/>
                                                        <w:bottom w:val="single" w:sz="6" w:space="0" w:color="auto"/>
                                                        <w:right w:val="none" w:sz="0" w:space="0" w:color="auto"/>
                                                      </w:divBdr>
                                                      <w:divsChild>
                                                        <w:div w:id="240411484">
                                                          <w:marLeft w:val="0"/>
                                                          <w:marRight w:val="0"/>
                                                          <w:marTop w:val="0"/>
                                                          <w:marBottom w:val="0"/>
                                                          <w:divBdr>
                                                            <w:top w:val="none" w:sz="0" w:space="0" w:color="auto"/>
                                                            <w:left w:val="none" w:sz="0" w:space="0" w:color="auto"/>
                                                            <w:bottom w:val="none" w:sz="0" w:space="0" w:color="auto"/>
                                                            <w:right w:val="none" w:sz="0" w:space="0" w:color="auto"/>
                                                          </w:divBdr>
                                                          <w:divsChild>
                                                            <w:div w:id="1044207876">
                                                              <w:marLeft w:val="0"/>
                                                              <w:marRight w:val="0"/>
                                                              <w:marTop w:val="0"/>
                                                              <w:marBottom w:val="0"/>
                                                              <w:divBdr>
                                                                <w:top w:val="none" w:sz="0" w:space="0" w:color="auto"/>
                                                                <w:left w:val="none" w:sz="0" w:space="0" w:color="auto"/>
                                                                <w:bottom w:val="none" w:sz="0" w:space="0" w:color="auto"/>
                                                                <w:right w:val="none" w:sz="0" w:space="0" w:color="auto"/>
                                                              </w:divBdr>
                                                              <w:divsChild>
                                                                <w:div w:id="1864782332">
                                                                  <w:marLeft w:val="0"/>
                                                                  <w:marRight w:val="0"/>
                                                                  <w:marTop w:val="0"/>
                                                                  <w:marBottom w:val="0"/>
                                                                  <w:divBdr>
                                                                    <w:top w:val="none" w:sz="0" w:space="0" w:color="auto"/>
                                                                    <w:left w:val="none" w:sz="0" w:space="0" w:color="auto"/>
                                                                    <w:bottom w:val="none" w:sz="0" w:space="0" w:color="auto"/>
                                                                    <w:right w:val="none" w:sz="0" w:space="0" w:color="auto"/>
                                                                  </w:divBdr>
                                                                  <w:divsChild>
                                                                    <w:div w:id="825127897">
                                                                      <w:marLeft w:val="0"/>
                                                                      <w:marRight w:val="0"/>
                                                                      <w:marTop w:val="0"/>
                                                                      <w:marBottom w:val="0"/>
                                                                      <w:divBdr>
                                                                        <w:top w:val="none" w:sz="0" w:space="0" w:color="auto"/>
                                                                        <w:left w:val="none" w:sz="0" w:space="0" w:color="auto"/>
                                                                        <w:bottom w:val="none" w:sz="0" w:space="0" w:color="auto"/>
                                                                        <w:right w:val="none" w:sz="0" w:space="0" w:color="auto"/>
                                                                      </w:divBdr>
                                                                      <w:divsChild>
                                                                        <w:div w:id="1744835710">
                                                                          <w:marLeft w:val="0"/>
                                                                          <w:marRight w:val="0"/>
                                                                          <w:marTop w:val="0"/>
                                                                          <w:marBottom w:val="0"/>
                                                                          <w:divBdr>
                                                                            <w:top w:val="none" w:sz="0" w:space="0" w:color="auto"/>
                                                                            <w:left w:val="none" w:sz="0" w:space="0" w:color="auto"/>
                                                                            <w:bottom w:val="none" w:sz="0" w:space="0" w:color="auto"/>
                                                                            <w:right w:val="none" w:sz="0" w:space="0" w:color="auto"/>
                                                                          </w:divBdr>
                                                                          <w:divsChild>
                                                                            <w:div w:id="691223869">
                                                                              <w:marLeft w:val="0"/>
                                                                              <w:marRight w:val="0"/>
                                                                              <w:marTop w:val="0"/>
                                                                              <w:marBottom w:val="0"/>
                                                                              <w:divBdr>
                                                                                <w:top w:val="none" w:sz="0" w:space="0" w:color="auto"/>
                                                                                <w:left w:val="none" w:sz="0" w:space="0" w:color="auto"/>
                                                                                <w:bottom w:val="none" w:sz="0" w:space="0" w:color="auto"/>
                                                                                <w:right w:val="none" w:sz="0" w:space="0" w:color="auto"/>
                                                                              </w:divBdr>
                                                                              <w:divsChild>
                                                                                <w:div w:id="2067951946">
                                                                                  <w:marLeft w:val="0"/>
                                                                                  <w:marRight w:val="0"/>
                                                                                  <w:marTop w:val="0"/>
                                                                                  <w:marBottom w:val="0"/>
                                                                                  <w:divBdr>
                                                                                    <w:top w:val="none" w:sz="0" w:space="0" w:color="auto"/>
                                                                                    <w:left w:val="none" w:sz="0" w:space="0" w:color="auto"/>
                                                                                    <w:bottom w:val="none" w:sz="0" w:space="0" w:color="auto"/>
                                                                                    <w:right w:val="none" w:sz="0" w:space="0" w:color="auto"/>
                                                                                  </w:divBdr>
                                                                                </w:div>
                                                                                <w:div w:id="1472939640">
                                                                                  <w:marLeft w:val="0"/>
                                                                                  <w:marRight w:val="0"/>
                                                                                  <w:marTop w:val="0"/>
                                                                                  <w:marBottom w:val="0"/>
                                                                                  <w:divBdr>
                                                                                    <w:top w:val="none" w:sz="0" w:space="0" w:color="auto"/>
                                                                                    <w:left w:val="none" w:sz="0" w:space="0" w:color="auto"/>
                                                                                    <w:bottom w:val="none" w:sz="0" w:space="0" w:color="auto"/>
                                                                                    <w:right w:val="none" w:sz="0" w:space="0" w:color="auto"/>
                                                                                  </w:divBdr>
                                                                                </w:div>
                                                                                <w:div w:id="643438095">
                                                                                  <w:marLeft w:val="0"/>
                                                                                  <w:marRight w:val="0"/>
                                                                                  <w:marTop w:val="0"/>
                                                                                  <w:marBottom w:val="0"/>
                                                                                  <w:divBdr>
                                                                                    <w:top w:val="none" w:sz="0" w:space="0" w:color="auto"/>
                                                                                    <w:left w:val="none" w:sz="0" w:space="0" w:color="auto"/>
                                                                                    <w:bottom w:val="none" w:sz="0" w:space="0" w:color="auto"/>
                                                                                    <w:right w:val="none" w:sz="0" w:space="0" w:color="auto"/>
                                                                                  </w:divBdr>
                                                                                  <w:divsChild>
                                                                                    <w:div w:id="211160750">
                                                                                      <w:marLeft w:val="-75"/>
                                                                                      <w:marRight w:val="0"/>
                                                                                      <w:marTop w:val="30"/>
                                                                                      <w:marBottom w:val="30"/>
                                                                                      <w:divBdr>
                                                                                        <w:top w:val="none" w:sz="0" w:space="0" w:color="auto"/>
                                                                                        <w:left w:val="none" w:sz="0" w:space="0" w:color="auto"/>
                                                                                        <w:bottom w:val="none" w:sz="0" w:space="0" w:color="auto"/>
                                                                                        <w:right w:val="none" w:sz="0" w:space="0" w:color="auto"/>
                                                                                      </w:divBdr>
                                                                                      <w:divsChild>
                                                                                        <w:div w:id="783961159">
                                                                                          <w:marLeft w:val="0"/>
                                                                                          <w:marRight w:val="0"/>
                                                                                          <w:marTop w:val="0"/>
                                                                                          <w:marBottom w:val="0"/>
                                                                                          <w:divBdr>
                                                                                            <w:top w:val="none" w:sz="0" w:space="0" w:color="auto"/>
                                                                                            <w:left w:val="none" w:sz="0" w:space="0" w:color="auto"/>
                                                                                            <w:bottom w:val="none" w:sz="0" w:space="0" w:color="auto"/>
                                                                                            <w:right w:val="none" w:sz="0" w:space="0" w:color="auto"/>
                                                                                          </w:divBdr>
                                                                                          <w:divsChild>
                                                                                            <w:div w:id="225338883">
                                                                                              <w:marLeft w:val="0"/>
                                                                                              <w:marRight w:val="0"/>
                                                                                              <w:marTop w:val="0"/>
                                                                                              <w:marBottom w:val="0"/>
                                                                                              <w:divBdr>
                                                                                                <w:top w:val="none" w:sz="0" w:space="0" w:color="auto"/>
                                                                                                <w:left w:val="none" w:sz="0" w:space="0" w:color="auto"/>
                                                                                                <w:bottom w:val="none" w:sz="0" w:space="0" w:color="auto"/>
                                                                                                <w:right w:val="none" w:sz="0" w:space="0" w:color="auto"/>
                                                                                              </w:divBdr>
                                                                                            </w:div>
                                                                                          </w:divsChild>
                                                                                        </w:div>
                                                                                        <w:div w:id="1069110961">
                                                                                          <w:marLeft w:val="0"/>
                                                                                          <w:marRight w:val="0"/>
                                                                                          <w:marTop w:val="0"/>
                                                                                          <w:marBottom w:val="0"/>
                                                                                          <w:divBdr>
                                                                                            <w:top w:val="none" w:sz="0" w:space="0" w:color="auto"/>
                                                                                            <w:left w:val="none" w:sz="0" w:space="0" w:color="auto"/>
                                                                                            <w:bottom w:val="none" w:sz="0" w:space="0" w:color="auto"/>
                                                                                            <w:right w:val="none" w:sz="0" w:space="0" w:color="auto"/>
                                                                                          </w:divBdr>
                                                                                          <w:divsChild>
                                                                                            <w:div w:id="1818720106">
                                                                                              <w:marLeft w:val="0"/>
                                                                                              <w:marRight w:val="0"/>
                                                                                              <w:marTop w:val="0"/>
                                                                                              <w:marBottom w:val="0"/>
                                                                                              <w:divBdr>
                                                                                                <w:top w:val="none" w:sz="0" w:space="0" w:color="auto"/>
                                                                                                <w:left w:val="none" w:sz="0" w:space="0" w:color="auto"/>
                                                                                                <w:bottom w:val="none" w:sz="0" w:space="0" w:color="auto"/>
                                                                                                <w:right w:val="none" w:sz="0" w:space="0" w:color="auto"/>
                                                                                              </w:divBdr>
                                                                                            </w:div>
                                                                                          </w:divsChild>
                                                                                        </w:div>
                                                                                        <w:div w:id="424688012">
                                                                                          <w:marLeft w:val="0"/>
                                                                                          <w:marRight w:val="0"/>
                                                                                          <w:marTop w:val="0"/>
                                                                                          <w:marBottom w:val="0"/>
                                                                                          <w:divBdr>
                                                                                            <w:top w:val="none" w:sz="0" w:space="0" w:color="auto"/>
                                                                                            <w:left w:val="none" w:sz="0" w:space="0" w:color="auto"/>
                                                                                            <w:bottom w:val="none" w:sz="0" w:space="0" w:color="auto"/>
                                                                                            <w:right w:val="none" w:sz="0" w:space="0" w:color="auto"/>
                                                                                          </w:divBdr>
                                                                                          <w:divsChild>
                                                                                            <w:div w:id="1904438917">
                                                                                              <w:marLeft w:val="0"/>
                                                                                              <w:marRight w:val="0"/>
                                                                                              <w:marTop w:val="0"/>
                                                                                              <w:marBottom w:val="0"/>
                                                                                              <w:divBdr>
                                                                                                <w:top w:val="none" w:sz="0" w:space="0" w:color="auto"/>
                                                                                                <w:left w:val="none" w:sz="0" w:space="0" w:color="auto"/>
                                                                                                <w:bottom w:val="none" w:sz="0" w:space="0" w:color="auto"/>
                                                                                                <w:right w:val="none" w:sz="0" w:space="0" w:color="auto"/>
                                                                                              </w:divBdr>
                                                                                            </w:div>
                                                                                          </w:divsChild>
                                                                                        </w:div>
                                                                                        <w:div w:id="1771662387">
                                                                                          <w:marLeft w:val="0"/>
                                                                                          <w:marRight w:val="0"/>
                                                                                          <w:marTop w:val="0"/>
                                                                                          <w:marBottom w:val="0"/>
                                                                                          <w:divBdr>
                                                                                            <w:top w:val="none" w:sz="0" w:space="0" w:color="auto"/>
                                                                                            <w:left w:val="none" w:sz="0" w:space="0" w:color="auto"/>
                                                                                            <w:bottom w:val="none" w:sz="0" w:space="0" w:color="auto"/>
                                                                                            <w:right w:val="none" w:sz="0" w:space="0" w:color="auto"/>
                                                                                          </w:divBdr>
                                                                                          <w:divsChild>
                                                                                            <w:div w:id="930428748">
                                                                                              <w:marLeft w:val="0"/>
                                                                                              <w:marRight w:val="0"/>
                                                                                              <w:marTop w:val="0"/>
                                                                                              <w:marBottom w:val="0"/>
                                                                                              <w:divBdr>
                                                                                                <w:top w:val="none" w:sz="0" w:space="0" w:color="auto"/>
                                                                                                <w:left w:val="none" w:sz="0" w:space="0" w:color="auto"/>
                                                                                                <w:bottom w:val="none" w:sz="0" w:space="0" w:color="auto"/>
                                                                                                <w:right w:val="none" w:sz="0" w:space="0" w:color="auto"/>
                                                                                              </w:divBdr>
                                                                                            </w:div>
                                                                                          </w:divsChild>
                                                                                        </w:div>
                                                                                        <w:div w:id="2085763138">
                                                                                          <w:marLeft w:val="0"/>
                                                                                          <w:marRight w:val="0"/>
                                                                                          <w:marTop w:val="0"/>
                                                                                          <w:marBottom w:val="0"/>
                                                                                          <w:divBdr>
                                                                                            <w:top w:val="none" w:sz="0" w:space="0" w:color="auto"/>
                                                                                            <w:left w:val="none" w:sz="0" w:space="0" w:color="auto"/>
                                                                                            <w:bottom w:val="none" w:sz="0" w:space="0" w:color="auto"/>
                                                                                            <w:right w:val="none" w:sz="0" w:space="0" w:color="auto"/>
                                                                                          </w:divBdr>
                                                                                          <w:divsChild>
                                                                                            <w:div w:id="225461433">
                                                                                              <w:marLeft w:val="0"/>
                                                                                              <w:marRight w:val="0"/>
                                                                                              <w:marTop w:val="0"/>
                                                                                              <w:marBottom w:val="0"/>
                                                                                              <w:divBdr>
                                                                                                <w:top w:val="none" w:sz="0" w:space="0" w:color="auto"/>
                                                                                                <w:left w:val="none" w:sz="0" w:space="0" w:color="auto"/>
                                                                                                <w:bottom w:val="none" w:sz="0" w:space="0" w:color="auto"/>
                                                                                                <w:right w:val="none" w:sz="0" w:space="0" w:color="auto"/>
                                                                                              </w:divBdr>
                                                                                            </w:div>
                                                                                          </w:divsChild>
                                                                                        </w:div>
                                                                                        <w:div w:id="1685400425">
                                                                                          <w:marLeft w:val="0"/>
                                                                                          <w:marRight w:val="0"/>
                                                                                          <w:marTop w:val="0"/>
                                                                                          <w:marBottom w:val="0"/>
                                                                                          <w:divBdr>
                                                                                            <w:top w:val="none" w:sz="0" w:space="0" w:color="auto"/>
                                                                                            <w:left w:val="none" w:sz="0" w:space="0" w:color="auto"/>
                                                                                            <w:bottom w:val="none" w:sz="0" w:space="0" w:color="auto"/>
                                                                                            <w:right w:val="none" w:sz="0" w:space="0" w:color="auto"/>
                                                                                          </w:divBdr>
                                                                                          <w:divsChild>
                                                                                            <w:div w:id="1245342263">
                                                                                              <w:marLeft w:val="0"/>
                                                                                              <w:marRight w:val="0"/>
                                                                                              <w:marTop w:val="0"/>
                                                                                              <w:marBottom w:val="0"/>
                                                                                              <w:divBdr>
                                                                                                <w:top w:val="none" w:sz="0" w:space="0" w:color="auto"/>
                                                                                                <w:left w:val="none" w:sz="0" w:space="0" w:color="auto"/>
                                                                                                <w:bottom w:val="none" w:sz="0" w:space="0" w:color="auto"/>
                                                                                                <w:right w:val="none" w:sz="0" w:space="0" w:color="auto"/>
                                                                                              </w:divBdr>
                                                                                            </w:div>
                                                                                          </w:divsChild>
                                                                                        </w:div>
                                                                                        <w:div w:id="1467352209">
                                                                                          <w:marLeft w:val="0"/>
                                                                                          <w:marRight w:val="0"/>
                                                                                          <w:marTop w:val="0"/>
                                                                                          <w:marBottom w:val="0"/>
                                                                                          <w:divBdr>
                                                                                            <w:top w:val="none" w:sz="0" w:space="0" w:color="auto"/>
                                                                                            <w:left w:val="none" w:sz="0" w:space="0" w:color="auto"/>
                                                                                            <w:bottom w:val="none" w:sz="0" w:space="0" w:color="auto"/>
                                                                                            <w:right w:val="none" w:sz="0" w:space="0" w:color="auto"/>
                                                                                          </w:divBdr>
                                                                                          <w:divsChild>
                                                                                            <w:div w:id="1631015724">
                                                                                              <w:marLeft w:val="0"/>
                                                                                              <w:marRight w:val="0"/>
                                                                                              <w:marTop w:val="0"/>
                                                                                              <w:marBottom w:val="0"/>
                                                                                              <w:divBdr>
                                                                                                <w:top w:val="none" w:sz="0" w:space="0" w:color="auto"/>
                                                                                                <w:left w:val="none" w:sz="0" w:space="0" w:color="auto"/>
                                                                                                <w:bottom w:val="none" w:sz="0" w:space="0" w:color="auto"/>
                                                                                                <w:right w:val="none" w:sz="0" w:space="0" w:color="auto"/>
                                                                                              </w:divBdr>
                                                                                            </w:div>
                                                                                          </w:divsChild>
                                                                                        </w:div>
                                                                                        <w:div w:id="1591159672">
                                                                                          <w:marLeft w:val="0"/>
                                                                                          <w:marRight w:val="0"/>
                                                                                          <w:marTop w:val="0"/>
                                                                                          <w:marBottom w:val="0"/>
                                                                                          <w:divBdr>
                                                                                            <w:top w:val="none" w:sz="0" w:space="0" w:color="auto"/>
                                                                                            <w:left w:val="none" w:sz="0" w:space="0" w:color="auto"/>
                                                                                            <w:bottom w:val="none" w:sz="0" w:space="0" w:color="auto"/>
                                                                                            <w:right w:val="none" w:sz="0" w:space="0" w:color="auto"/>
                                                                                          </w:divBdr>
                                                                                          <w:divsChild>
                                                                                            <w:div w:id="670529907">
                                                                                              <w:marLeft w:val="0"/>
                                                                                              <w:marRight w:val="0"/>
                                                                                              <w:marTop w:val="0"/>
                                                                                              <w:marBottom w:val="0"/>
                                                                                              <w:divBdr>
                                                                                                <w:top w:val="none" w:sz="0" w:space="0" w:color="auto"/>
                                                                                                <w:left w:val="none" w:sz="0" w:space="0" w:color="auto"/>
                                                                                                <w:bottom w:val="none" w:sz="0" w:space="0" w:color="auto"/>
                                                                                                <w:right w:val="none" w:sz="0" w:space="0" w:color="auto"/>
                                                                                              </w:divBdr>
                                                                                            </w:div>
                                                                                          </w:divsChild>
                                                                                        </w:div>
                                                                                        <w:div w:id="319626051">
                                                                                          <w:marLeft w:val="0"/>
                                                                                          <w:marRight w:val="0"/>
                                                                                          <w:marTop w:val="0"/>
                                                                                          <w:marBottom w:val="0"/>
                                                                                          <w:divBdr>
                                                                                            <w:top w:val="none" w:sz="0" w:space="0" w:color="auto"/>
                                                                                            <w:left w:val="none" w:sz="0" w:space="0" w:color="auto"/>
                                                                                            <w:bottom w:val="none" w:sz="0" w:space="0" w:color="auto"/>
                                                                                            <w:right w:val="none" w:sz="0" w:space="0" w:color="auto"/>
                                                                                          </w:divBdr>
                                                                                          <w:divsChild>
                                                                                            <w:div w:id="855188830">
                                                                                              <w:marLeft w:val="0"/>
                                                                                              <w:marRight w:val="0"/>
                                                                                              <w:marTop w:val="0"/>
                                                                                              <w:marBottom w:val="0"/>
                                                                                              <w:divBdr>
                                                                                                <w:top w:val="none" w:sz="0" w:space="0" w:color="auto"/>
                                                                                                <w:left w:val="none" w:sz="0" w:space="0" w:color="auto"/>
                                                                                                <w:bottom w:val="none" w:sz="0" w:space="0" w:color="auto"/>
                                                                                                <w:right w:val="none" w:sz="0" w:space="0" w:color="auto"/>
                                                                                              </w:divBdr>
                                                                                            </w:div>
                                                                                          </w:divsChild>
                                                                                        </w:div>
                                                                                        <w:div w:id="549340069">
                                                                                          <w:marLeft w:val="0"/>
                                                                                          <w:marRight w:val="0"/>
                                                                                          <w:marTop w:val="0"/>
                                                                                          <w:marBottom w:val="0"/>
                                                                                          <w:divBdr>
                                                                                            <w:top w:val="none" w:sz="0" w:space="0" w:color="auto"/>
                                                                                            <w:left w:val="none" w:sz="0" w:space="0" w:color="auto"/>
                                                                                            <w:bottom w:val="none" w:sz="0" w:space="0" w:color="auto"/>
                                                                                            <w:right w:val="none" w:sz="0" w:space="0" w:color="auto"/>
                                                                                          </w:divBdr>
                                                                                          <w:divsChild>
                                                                                            <w:div w:id="2059544963">
                                                                                              <w:marLeft w:val="0"/>
                                                                                              <w:marRight w:val="0"/>
                                                                                              <w:marTop w:val="0"/>
                                                                                              <w:marBottom w:val="0"/>
                                                                                              <w:divBdr>
                                                                                                <w:top w:val="none" w:sz="0" w:space="0" w:color="auto"/>
                                                                                                <w:left w:val="none" w:sz="0" w:space="0" w:color="auto"/>
                                                                                                <w:bottom w:val="none" w:sz="0" w:space="0" w:color="auto"/>
                                                                                                <w:right w:val="none" w:sz="0" w:space="0" w:color="auto"/>
                                                                                              </w:divBdr>
                                                                                            </w:div>
                                                                                          </w:divsChild>
                                                                                        </w:div>
                                                                                        <w:div w:id="917517548">
                                                                                          <w:marLeft w:val="0"/>
                                                                                          <w:marRight w:val="0"/>
                                                                                          <w:marTop w:val="0"/>
                                                                                          <w:marBottom w:val="0"/>
                                                                                          <w:divBdr>
                                                                                            <w:top w:val="none" w:sz="0" w:space="0" w:color="auto"/>
                                                                                            <w:left w:val="none" w:sz="0" w:space="0" w:color="auto"/>
                                                                                            <w:bottom w:val="none" w:sz="0" w:space="0" w:color="auto"/>
                                                                                            <w:right w:val="none" w:sz="0" w:space="0" w:color="auto"/>
                                                                                          </w:divBdr>
                                                                                          <w:divsChild>
                                                                                            <w:div w:id="828978321">
                                                                                              <w:marLeft w:val="0"/>
                                                                                              <w:marRight w:val="0"/>
                                                                                              <w:marTop w:val="0"/>
                                                                                              <w:marBottom w:val="0"/>
                                                                                              <w:divBdr>
                                                                                                <w:top w:val="none" w:sz="0" w:space="0" w:color="auto"/>
                                                                                                <w:left w:val="none" w:sz="0" w:space="0" w:color="auto"/>
                                                                                                <w:bottom w:val="none" w:sz="0" w:space="0" w:color="auto"/>
                                                                                                <w:right w:val="none" w:sz="0" w:space="0" w:color="auto"/>
                                                                                              </w:divBdr>
                                                                                            </w:div>
                                                                                          </w:divsChild>
                                                                                        </w:div>
                                                                                        <w:div w:id="870580303">
                                                                                          <w:marLeft w:val="0"/>
                                                                                          <w:marRight w:val="0"/>
                                                                                          <w:marTop w:val="0"/>
                                                                                          <w:marBottom w:val="0"/>
                                                                                          <w:divBdr>
                                                                                            <w:top w:val="none" w:sz="0" w:space="0" w:color="auto"/>
                                                                                            <w:left w:val="none" w:sz="0" w:space="0" w:color="auto"/>
                                                                                            <w:bottom w:val="none" w:sz="0" w:space="0" w:color="auto"/>
                                                                                            <w:right w:val="none" w:sz="0" w:space="0" w:color="auto"/>
                                                                                          </w:divBdr>
                                                                                          <w:divsChild>
                                                                                            <w:div w:id="1511874488">
                                                                                              <w:marLeft w:val="0"/>
                                                                                              <w:marRight w:val="0"/>
                                                                                              <w:marTop w:val="0"/>
                                                                                              <w:marBottom w:val="0"/>
                                                                                              <w:divBdr>
                                                                                                <w:top w:val="none" w:sz="0" w:space="0" w:color="auto"/>
                                                                                                <w:left w:val="none" w:sz="0" w:space="0" w:color="auto"/>
                                                                                                <w:bottom w:val="none" w:sz="0" w:space="0" w:color="auto"/>
                                                                                                <w:right w:val="none" w:sz="0" w:space="0" w:color="auto"/>
                                                                                              </w:divBdr>
                                                                                            </w:div>
                                                                                          </w:divsChild>
                                                                                        </w:div>
                                                                                        <w:div w:id="1534002505">
                                                                                          <w:marLeft w:val="0"/>
                                                                                          <w:marRight w:val="0"/>
                                                                                          <w:marTop w:val="0"/>
                                                                                          <w:marBottom w:val="0"/>
                                                                                          <w:divBdr>
                                                                                            <w:top w:val="none" w:sz="0" w:space="0" w:color="auto"/>
                                                                                            <w:left w:val="none" w:sz="0" w:space="0" w:color="auto"/>
                                                                                            <w:bottom w:val="none" w:sz="0" w:space="0" w:color="auto"/>
                                                                                            <w:right w:val="none" w:sz="0" w:space="0" w:color="auto"/>
                                                                                          </w:divBdr>
                                                                                          <w:divsChild>
                                                                                            <w:div w:id="1722097101">
                                                                                              <w:marLeft w:val="0"/>
                                                                                              <w:marRight w:val="0"/>
                                                                                              <w:marTop w:val="0"/>
                                                                                              <w:marBottom w:val="0"/>
                                                                                              <w:divBdr>
                                                                                                <w:top w:val="none" w:sz="0" w:space="0" w:color="auto"/>
                                                                                                <w:left w:val="none" w:sz="0" w:space="0" w:color="auto"/>
                                                                                                <w:bottom w:val="none" w:sz="0" w:space="0" w:color="auto"/>
                                                                                                <w:right w:val="none" w:sz="0" w:space="0" w:color="auto"/>
                                                                                              </w:divBdr>
                                                                                            </w:div>
                                                                                          </w:divsChild>
                                                                                        </w:div>
                                                                                        <w:div w:id="1958220339">
                                                                                          <w:marLeft w:val="0"/>
                                                                                          <w:marRight w:val="0"/>
                                                                                          <w:marTop w:val="0"/>
                                                                                          <w:marBottom w:val="0"/>
                                                                                          <w:divBdr>
                                                                                            <w:top w:val="none" w:sz="0" w:space="0" w:color="auto"/>
                                                                                            <w:left w:val="none" w:sz="0" w:space="0" w:color="auto"/>
                                                                                            <w:bottom w:val="none" w:sz="0" w:space="0" w:color="auto"/>
                                                                                            <w:right w:val="none" w:sz="0" w:space="0" w:color="auto"/>
                                                                                          </w:divBdr>
                                                                                          <w:divsChild>
                                                                                            <w:div w:id="1138034347">
                                                                                              <w:marLeft w:val="0"/>
                                                                                              <w:marRight w:val="0"/>
                                                                                              <w:marTop w:val="0"/>
                                                                                              <w:marBottom w:val="0"/>
                                                                                              <w:divBdr>
                                                                                                <w:top w:val="none" w:sz="0" w:space="0" w:color="auto"/>
                                                                                                <w:left w:val="none" w:sz="0" w:space="0" w:color="auto"/>
                                                                                                <w:bottom w:val="none" w:sz="0" w:space="0" w:color="auto"/>
                                                                                                <w:right w:val="none" w:sz="0" w:space="0" w:color="auto"/>
                                                                                              </w:divBdr>
                                                                                            </w:div>
                                                                                            <w:div w:id="1755321350">
                                                                                              <w:marLeft w:val="0"/>
                                                                                              <w:marRight w:val="0"/>
                                                                                              <w:marTop w:val="0"/>
                                                                                              <w:marBottom w:val="0"/>
                                                                                              <w:divBdr>
                                                                                                <w:top w:val="none" w:sz="0" w:space="0" w:color="auto"/>
                                                                                                <w:left w:val="none" w:sz="0" w:space="0" w:color="auto"/>
                                                                                                <w:bottom w:val="none" w:sz="0" w:space="0" w:color="auto"/>
                                                                                                <w:right w:val="none" w:sz="0" w:space="0" w:color="auto"/>
                                                                                              </w:divBdr>
                                                                                            </w:div>
                                                                                            <w:div w:id="1183739024">
                                                                                              <w:marLeft w:val="0"/>
                                                                                              <w:marRight w:val="0"/>
                                                                                              <w:marTop w:val="0"/>
                                                                                              <w:marBottom w:val="0"/>
                                                                                              <w:divBdr>
                                                                                                <w:top w:val="none" w:sz="0" w:space="0" w:color="auto"/>
                                                                                                <w:left w:val="none" w:sz="0" w:space="0" w:color="auto"/>
                                                                                                <w:bottom w:val="none" w:sz="0" w:space="0" w:color="auto"/>
                                                                                                <w:right w:val="none" w:sz="0" w:space="0" w:color="auto"/>
                                                                                              </w:divBdr>
                                                                                            </w:div>
                                                                                          </w:divsChild>
                                                                                        </w:div>
                                                                                        <w:div w:id="926428643">
                                                                                          <w:marLeft w:val="0"/>
                                                                                          <w:marRight w:val="0"/>
                                                                                          <w:marTop w:val="0"/>
                                                                                          <w:marBottom w:val="0"/>
                                                                                          <w:divBdr>
                                                                                            <w:top w:val="none" w:sz="0" w:space="0" w:color="auto"/>
                                                                                            <w:left w:val="none" w:sz="0" w:space="0" w:color="auto"/>
                                                                                            <w:bottom w:val="none" w:sz="0" w:space="0" w:color="auto"/>
                                                                                            <w:right w:val="none" w:sz="0" w:space="0" w:color="auto"/>
                                                                                          </w:divBdr>
                                                                                          <w:divsChild>
                                                                                            <w:div w:id="1048606446">
                                                                                              <w:marLeft w:val="0"/>
                                                                                              <w:marRight w:val="0"/>
                                                                                              <w:marTop w:val="0"/>
                                                                                              <w:marBottom w:val="0"/>
                                                                                              <w:divBdr>
                                                                                                <w:top w:val="none" w:sz="0" w:space="0" w:color="auto"/>
                                                                                                <w:left w:val="none" w:sz="0" w:space="0" w:color="auto"/>
                                                                                                <w:bottom w:val="none" w:sz="0" w:space="0" w:color="auto"/>
                                                                                                <w:right w:val="none" w:sz="0" w:space="0" w:color="auto"/>
                                                                                              </w:divBdr>
                                                                                            </w:div>
                                                                                          </w:divsChild>
                                                                                        </w:div>
                                                                                        <w:div w:id="2069105372">
                                                                                          <w:marLeft w:val="0"/>
                                                                                          <w:marRight w:val="0"/>
                                                                                          <w:marTop w:val="0"/>
                                                                                          <w:marBottom w:val="0"/>
                                                                                          <w:divBdr>
                                                                                            <w:top w:val="none" w:sz="0" w:space="0" w:color="auto"/>
                                                                                            <w:left w:val="none" w:sz="0" w:space="0" w:color="auto"/>
                                                                                            <w:bottom w:val="none" w:sz="0" w:space="0" w:color="auto"/>
                                                                                            <w:right w:val="none" w:sz="0" w:space="0" w:color="auto"/>
                                                                                          </w:divBdr>
                                                                                          <w:divsChild>
                                                                                            <w:div w:id="2118478171">
                                                                                              <w:marLeft w:val="0"/>
                                                                                              <w:marRight w:val="0"/>
                                                                                              <w:marTop w:val="0"/>
                                                                                              <w:marBottom w:val="0"/>
                                                                                              <w:divBdr>
                                                                                                <w:top w:val="none" w:sz="0" w:space="0" w:color="auto"/>
                                                                                                <w:left w:val="none" w:sz="0" w:space="0" w:color="auto"/>
                                                                                                <w:bottom w:val="none" w:sz="0" w:space="0" w:color="auto"/>
                                                                                                <w:right w:val="none" w:sz="0" w:space="0" w:color="auto"/>
                                                                                              </w:divBdr>
                                                                                            </w:div>
                                                                                          </w:divsChild>
                                                                                        </w:div>
                                                                                        <w:div w:id="179393972">
                                                                                          <w:marLeft w:val="0"/>
                                                                                          <w:marRight w:val="0"/>
                                                                                          <w:marTop w:val="0"/>
                                                                                          <w:marBottom w:val="0"/>
                                                                                          <w:divBdr>
                                                                                            <w:top w:val="none" w:sz="0" w:space="0" w:color="auto"/>
                                                                                            <w:left w:val="none" w:sz="0" w:space="0" w:color="auto"/>
                                                                                            <w:bottom w:val="none" w:sz="0" w:space="0" w:color="auto"/>
                                                                                            <w:right w:val="none" w:sz="0" w:space="0" w:color="auto"/>
                                                                                          </w:divBdr>
                                                                                          <w:divsChild>
                                                                                            <w:div w:id="753010779">
                                                                                              <w:marLeft w:val="0"/>
                                                                                              <w:marRight w:val="0"/>
                                                                                              <w:marTop w:val="0"/>
                                                                                              <w:marBottom w:val="0"/>
                                                                                              <w:divBdr>
                                                                                                <w:top w:val="none" w:sz="0" w:space="0" w:color="auto"/>
                                                                                                <w:left w:val="none" w:sz="0" w:space="0" w:color="auto"/>
                                                                                                <w:bottom w:val="none" w:sz="0" w:space="0" w:color="auto"/>
                                                                                                <w:right w:val="none" w:sz="0" w:space="0" w:color="auto"/>
                                                                                              </w:divBdr>
                                                                                            </w:div>
                                                                                          </w:divsChild>
                                                                                        </w:div>
                                                                                        <w:div w:id="1341351269">
                                                                                          <w:marLeft w:val="0"/>
                                                                                          <w:marRight w:val="0"/>
                                                                                          <w:marTop w:val="0"/>
                                                                                          <w:marBottom w:val="0"/>
                                                                                          <w:divBdr>
                                                                                            <w:top w:val="none" w:sz="0" w:space="0" w:color="auto"/>
                                                                                            <w:left w:val="none" w:sz="0" w:space="0" w:color="auto"/>
                                                                                            <w:bottom w:val="none" w:sz="0" w:space="0" w:color="auto"/>
                                                                                            <w:right w:val="none" w:sz="0" w:space="0" w:color="auto"/>
                                                                                          </w:divBdr>
                                                                                          <w:divsChild>
                                                                                            <w:div w:id="14816720">
                                                                                              <w:marLeft w:val="0"/>
                                                                                              <w:marRight w:val="0"/>
                                                                                              <w:marTop w:val="0"/>
                                                                                              <w:marBottom w:val="0"/>
                                                                                              <w:divBdr>
                                                                                                <w:top w:val="none" w:sz="0" w:space="0" w:color="auto"/>
                                                                                                <w:left w:val="none" w:sz="0" w:space="0" w:color="auto"/>
                                                                                                <w:bottom w:val="none" w:sz="0" w:space="0" w:color="auto"/>
                                                                                                <w:right w:val="none" w:sz="0" w:space="0" w:color="auto"/>
                                                                                              </w:divBdr>
                                                                                            </w:div>
                                                                                          </w:divsChild>
                                                                                        </w:div>
                                                                                        <w:div w:id="145825513">
                                                                                          <w:marLeft w:val="0"/>
                                                                                          <w:marRight w:val="0"/>
                                                                                          <w:marTop w:val="0"/>
                                                                                          <w:marBottom w:val="0"/>
                                                                                          <w:divBdr>
                                                                                            <w:top w:val="none" w:sz="0" w:space="0" w:color="auto"/>
                                                                                            <w:left w:val="none" w:sz="0" w:space="0" w:color="auto"/>
                                                                                            <w:bottom w:val="none" w:sz="0" w:space="0" w:color="auto"/>
                                                                                            <w:right w:val="none" w:sz="0" w:space="0" w:color="auto"/>
                                                                                          </w:divBdr>
                                                                                          <w:divsChild>
                                                                                            <w:div w:id="1832059214">
                                                                                              <w:marLeft w:val="0"/>
                                                                                              <w:marRight w:val="0"/>
                                                                                              <w:marTop w:val="0"/>
                                                                                              <w:marBottom w:val="0"/>
                                                                                              <w:divBdr>
                                                                                                <w:top w:val="none" w:sz="0" w:space="0" w:color="auto"/>
                                                                                                <w:left w:val="none" w:sz="0" w:space="0" w:color="auto"/>
                                                                                                <w:bottom w:val="none" w:sz="0" w:space="0" w:color="auto"/>
                                                                                                <w:right w:val="none" w:sz="0" w:space="0" w:color="auto"/>
                                                                                              </w:divBdr>
                                                                                            </w:div>
                                                                                          </w:divsChild>
                                                                                        </w:div>
                                                                                        <w:div w:id="621692058">
                                                                                          <w:marLeft w:val="0"/>
                                                                                          <w:marRight w:val="0"/>
                                                                                          <w:marTop w:val="0"/>
                                                                                          <w:marBottom w:val="0"/>
                                                                                          <w:divBdr>
                                                                                            <w:top w:val="none" w:sz="0" w:space="0" w:color="auto"/>
                                                                                            <w:left w:val="none" w:sz="0" w:space="0" w:color="auto"/>
                                                                                            <w:bottom w:val="none" w:sz="0" w:space="0" w:color="auto"/>
                                                                                            <w:right w:val="none" w:sz="0" w:space="0" w:color="auto"/>
                                                                                          </w:divBdr>
                                                                                          <w:divsChild>
                                                                                            <w:div w:id="1561555843">
                                                                                              <w:marLeft w:val="0"/>
                                                                                              <w:marRight w:val="0"/>
                                                                                              <w:marTop w:val="0"/>
                                                                                              <w:marBottom w:val="0"/>
                                                                                              <w:divBdr>
                                                                                                <w:top w:val="none" w:sz="0" w:space="0" w:color="auto"/>
                                                                                                <w:left w:val="none" w:sz="0" w:space="0" w:color="auto"/>
                                                                                                <w:bottom w:val="none" w:sz="0" w:space="0" w:color="auto"/>
                                                                                                <w:right w:val="none" w:sz="0" w:space="0" w:color="auto"/>
                                                                                              </w:divBdr>
                                                                                            </w:div>
                                                                                          </w:divsChild>
                                                                                        </w:div>
                                                                                        <w:div w:id="1345278660">
                                                                                          <w:marLeft w:val="0"/>
                                                                                          <w:marRight w:val="0"/>
                                                                                          <w:marTop w:val="0"/>
                                                                                          <w:marBottom w:val="0"/>
                                                                                          <w:divBdr>
                                                                                            <w:top w:val="none" w:sz="0" w:space="0" w:color="auto"/>
                                                                                            <w:left w:val="none" w:sz="0" w:space="0" w:color="auto"/>
                                                                                            <w:bottom w:val="none" w:sz="0" w:space="0" w:color="auto"/>
                                                                                            <w:right w:val="none" w:sz="0" w:space="0" w:color="auto"/>
                                                                                          </w:divBdr>
                                                                                          <w:divsChild>
                                                                                            <w:div w:id="1763066760">
                                                                                              <w:marLeft w:val="0"/>
                                                                                              <w:marRight w:val="0"/>
                                                                                              <w:marTop w:val="0"/>
                                                                                              <w:marBottom w:val="0"/>
                                                                                              <w:divBdr>
                                                                                                <w:top w:val="none" w:sz="0" w:space="0" w:color="auto"/>
                                                                                                <w:left w:val="none" w:sz="0" w:space="0" w:color="auto"/>
                                                                                                <w:bottom w:val="none" w:sz="0" w:space="0" w:color="auto"/>
                                                                                                <w:right w:val="none" w:sz="0" w:space="0" w:color="auto"/>
                                                                                              </w:divBdr>
                                                                                            </w:div>
                                                                                          </w:divsChild>
                                                                                        </w:div>
                                                                                        <w:div w:id="1610119223">
                                                                                          <w:marLeft w:val="0"/>
                                                                                          <w:marRight w:val="0"/>
                                                                                          <w:marTop w:val="0"/>
                                                                                          <w:marBottom w:val="0"/>
                                                                                          <w:divBdr>
                                                                                            <w:top w:val="none" w:sz="0" w:space="0" w:color="auto"/>
                                                                                            <w:left w:val="none" w:sz="0" w:space="0" w:color="auto"/>
                                                                                            <w:bottom w:val="none" w:sz="0" w:space="0" w:color="auto"/>
                                                                                            <w:right w:val="none" w:sz="0" w:space="0" w:color="auto"/>
                                                                                          </w:divBdr>
                                                                                          <w:divsChild>
                                                                                            <w:div w:id="1198737175">
                                                                                              <w:marLeft w:val="0"/>
                                                                                              <w:marRight w:val="0"/>
                                                                                              <w:marTop w:val="0"/>
                                                                                              <w:marBottom w:val="0"/>
                                                                                              <w:divBdr>
                                                                                                <w:top w:val="none" w:sz="0" w:space="0" w:color="auto"/>
                                                                                                <w:left w:val="none" w:sz="0" w:space="0" w:color="auto"/>
                                                                                                <w:bottom w:val="none" w:sz="0" w:space="0" w:color="auto"/>
                                                                                                <w:right w:val="none" w:sz="0" w:space="0" w:color="auto"/>
                                                                                              </w:divBdr>
                                                                                            </w:div>
                                                                                          </w:divsChild>
                                                                                        </w:div>
                                                                                        <w:div w:id="1538160590">
                                                                                          <w:marLeft w:val="0"/>
                                                                                          <w:marRight w:val="0"/>
                                                                                          <w:marTop w:val="0"/>
                                                                                          <w:marBottom w:val="0"/>
                                                                                          <w:divBdr>
                                                                                            <w:top w:val="none" w:sz="0" w:space="0" w:color="auto"/>
                                                                                            <w:left w:val="none" w:sz="0" w:space="0" w:color="auto"/>
                                                                                            <w:bottom w:val="none" w:sz="0" w:space="0" w:color="auto"/>
                                                                                            <w:right w:val="none" w:sz="0" w:space="0" w:color="auto"/>
                                                                                          </w:divBdr>
                                                                                          <w:divsChild>
                                                                                            <w:div w:id="262566812">
                                                                                              <w:marLeft w:val="0"/>
                                                                                              <w:marRight w:val="0"/>
                                                                                              <w:marTop w:val="0"/>
                                                                                              <w:marBottom w:val="0"/>
                                                                                              <w:divBdr>
                                                                                                <w:top w:val="none" w:sz="0" w:space="0" w:color="auto"/>
                                                                                                <w:left w:val="none" w:sz="0" w:space="0" w:color="auto"/>
                                                                                                <w:bottom w:val="none" w:sz="0" w:space="0" w:color="auto"/>
                                                                                                <w:right w:val="none" w:sz="0" w:space="0" w:color="auto"/>
                                                                                              </w:divBdr>
                                                                                            </w:div>
                                                                                          </w:divsChild>
                                                                                        </w:div>
                                                                                        <w:div w:id="183448410">
                                                                                          <w:marLeft w:val="0"/>
                                                                                          <w:marRight w:val="0"/>
                                                                                          <w:marTop w:val="0"/>
                                                                                          <w:marBottom w:val="0"/>
                                                                                          <w:divBdr>
                                                                                            <w:top w:val="none" w:sz="0" w:space="0" w:color="auto"/>
                                                                                            <w:left w:val="none" w:sz="0" w:space="0" w:color="auto"/>
                                                                                            <w:bottom w:val="none" w:sz="0" w:space="0" w:color="auto"/>
                                                                                            <w:right w:val="none" w:sz="0" w:space="0" w:color="auto"/>
                                                                                          </w:divBdr>
                                                                                          <w:divsChild>
                                                                                            <w:div w:id="1350908682">
                                                                                              <w:marLeft w:val="0"/>
                                                                                              <w:marRight w:val="0"/>
                                                                                              <w:marTop w:val="0"/>
                                                                                              <w:marBottom w:val="0"/>
                                                                                              <w:divBdr>
                                                                                                <w:top w:val="none" w:sz="0" w:space="0" w:color="auto"/>
                                                                                                <w:left w:val="none" w:sz="0" w:space="0" w:color="auto"/>
                                                                                                <w:bottom w:val="none" w:sz="0" w:space="0" w:color="auto"/>
                                                                                                <w:right w:val="none" w:sz="0" w:space="0" w:color="auto"/>
                                                                                              </w:divBdr>
                                                                                            </w:div>
                                                                                          </w:divsChild>
                                                                                        </w:div>
                                                                                        <w:div w:id="201939131">
                                                                                          <w:marLeft w:val="0"/>
                                                                                          <w:marRight w:val="0"/>
                                                                                          <w:marTop w:val="0"/>
                                                                                          <w:marBottom w:val="0"/>
                                                                                          <w:divBdr>
                                                                                            <w:top w:val="none" w:sz="0" w:space="0" w:color="auto"/>
                                                                                            <w:left w:val="none" w:sz="0" w:space="0" w:color="auto"/>
                                                                                            <w:bottom w:val="none" w:sz="0" w:space="0" w:color="auto"/>
                                                                                            <w:right w:val="none" w:sz="0" w:space="0" w:color="auto"/>
                                                                                          </w:divBdr>
                                                                                          <w:divsChild>
                                                                                            <w:div w:id="344140740">
                                                                                              <w:marLeft w:val="0"/>
                                                                                              <w:marRight w:val="0"/>
                                                                                              <w:marTop w:val="0"/>
                                                                                              <w:marBottom w:val="0"/>
                                                                                              <w:divBdr>
                                                                                                <w:top w:val="none" w:sz="0" w:space="0" w:color="auto"/>
                                                                                                <w:left w:val="none" w:sz="0" w:space="0" w:color="auto"/>
                                                                                                <w:bottom w:val="none" w:sz="0" w:space="0" w:color="auto"/>
                                                                                                <w:right w:val="none" w:sz="0" w:space="0" w:color="auto"/>
                                                                                              </w:divBdr>
                                                                                            </w:div>
                                                                                          </w:divsChild>
                                                                                        </w:div>
                                                                                        <w:div w:id="875578304">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0"/>
                                                                                              <w:marBottom w:val="0"/>
                                                                                              <w:divBdr>
                                                                                                <w:top w:val="none" w:sz="0" w:space="0" w:color="auto"/>
                                                                                                <w:left w:val="none" w:sz="0" w:space="0" w:color="auto"/>
                                                                                                <w:bottom w:val="none" w:sz="0" w:space="0" w:color="auto"/>
                                                                                                <w:right w:val="none" w:sz="0" w:space="0" w:color="auto"/>
                                                                                              </w:divBdr>
                                                                                            </w:div>
                                                                                          </w:divsChild>
                                                                                        </w:div>
                                                                                        <w:div w:id="995839803">
                                                                                          <w:marLeft w:val="0"/>
                                                                                          <w:marRight w:val="0"/>
                                                                                          <w:marTop w:val="0"/>
                                                                                          <w:marBottom w:val="0"/>
                                                                                          <w:divBdr>
                                                                                            <w:top w:val="none" w:sz="0" w:space="0" w:color="auto"/>
                                                                                            <w:left w:val="none" w:sz="0" w:space="0" w:color="auto"/>
                                                                                            <w:bottom w:val="none" w:sz="0" w:space="0" w:color="auto"/>
                                                                                            <w:right w:val="none" w:sz="0" w:space="0" w:color="auto"/>
                                                                                          </w:divBdr>
                                                                                          <w:divsChild>
                                                                                            <w:div w:id="1216507236">
                                                                                              <w:marLeft w:val="0"/>
                                                                                              <w:marRight w:val="0"/>
                                                                                              <w:marTop w:val="0"/>
                                                                                              <w:marBottom w:val="0"/>
                                                                                              <w:divBdr>
                                                                                                <w:top w:val="none" w:sz="0" w:space="0" w:color="auto"/>
                                                                                                <w:left w:val="none" w:sz="0" w:space="0" w:color="auto"/>
                                                                                                <w:bottom w:val="none" w:sz="0" w:space="0" w:color="auto"/>
                                                                                                <w:right w:val="none" w:sz="0" w:space="0" w:color="auto"/>
                                                                                              </w:divBdr>
                                                                                            </w:div>
                                                                                          </w:divsChild>
                                                                                        </w:div>
                                                                                        <w:div w:id="1172180957">
                                                                                          <w:marLeft w:val="0"/>
                                                                                          <w:marRight w:val="0"/>
                                                                                          <w:marTop w:val="0"/>
                                                                                          <w:marBottom w:val="0"/>
                                                                                          <w:divBdr>
                                                                                            <w:top w:val="none" w:sz="0" w:space="0" w:color="auto"/>
                                                                                            <w:left w:val="none" w:sz="0" w:space="0" w:color="auto"/>
                                                                                            <w:bottom w:val="none" w:sz="0" w:space="0" w:color="auto"/>
                                                                                            <w:right w:val="none" w:sz="0" w:space="0" w:color="auto"/>
                                                                                          </w:divBdr>
                                                                                          <w:divsChild>
                                                                                            <w:div w:id="407777021">
                                                                                              <w:marLeft w:val="0"/>
                                                                                              <w:marRight w:val="0"/>
                                                                                              <w:marTop w:val="0"/>
                                                                                              <w:marBottom w:val="0"/>
                                                                                              <w:divBdr>
                                                                                                <w:top w:val="none" w:sz="0" w:space="0" w:color="auto"/>
                                                                                                <w:left w:val="none" w:sz="0" w:space="0" w:color="auto"/>
                                                                                                <w:bottom w:val="none" w:sz="0" w:space="0" w:color="auto"/>
                                                                                                <w:right w:val="none" w:sz="0" w:space="0" w:color="auto"/>
                                                                                              </w:divBdr>
                                                                                            </w:div>
                                                                                          </w:divsChild>
                                                                                        </w:div>
                                                                                        <w:div w:id="900942643">
                                                                                          <w:marLeft w:val="0"/>
                                                                                          <w:marRight w:val="0"/>
                                                                                          <w:marTop w:val="0"/>
                                                                                          <w:marBottom w:val="0"/>
                                                                                          <w:divBdr>
                                                                                            <w:top w:val="none" w:sz="0" w:space="0" w:color="auto"/>
                                                                                            <w:left w:val="none" w:sz="0" w:space="0" w:color="auto"/>
                                                                                            <w:bottom w:val="none" w:sz="0" w:space="0" w:color="auto"/>
                                                                                            <w:right w:val="none" w:sz="0" w:space="0" w:color="auto"/>
                                                                                          </w:divBdr>
                                                                                          <w:divsChild>
                                                                                            <w:div w:id="812596780">
                                                                                              <w:marLeft w:val="0"/>
                                                                                              <w:marRight w:val="0"/>
                                                                                              <w:marTop w:val="0"/>
                                                                                              <w:marBottom w:val="0"/>
                                                                                              <w:divBdr>
                                                                                                <w:top w:val="none" w:sz="0" w:space="0" w:color="auto"/>
                                                                                                <w:left w:val="none" w:sz="0" w:space="0" w:color="auto"/>
                                                                                                <w:bottom w:val="none" w:sz="0" w:space="0" w:color="auto"/>
                                                                                                <w:right w:val="none" w:sz="0" w:space="0" w:color="auto"/>
                                                                                              </w:divBdr>
                                                                                            </w:div>
                                                                                          </w:divsChild>
                                                                                        </w:div>
                                                                                        <w:div w:id="1124078356">
                                                                                          <w:marLeft w:val="0"/>
                                                                                          <w:marRight w:val="0"/>
                                                                                          <w:marTop w:val="0"/>
                                                                                          <w:marBottom w:val="0"/>
                                                                                          <w:divBdr>
                                                                                            <w:top w:val="none" w:sz="0" w:space="0" w:color="auto"/>
                                                                                            <w:left w:val="none" w:sz="0" w:space="0" w:color="auto"/>
                                                                                            <w:bottom w:val="none" w:sz="0" w:space="0" w:color="auto"/>
                                                                                            <w:right w:val="none" w:sz="0" w:space="0" w:color="auto"/>
                                                                                          </w:divBdr>
                                                                                          <w:divsChild>
                                                                                            <w:div w:id="1945109863">
                                                                                              <w:marLeft w:val="0"/>
                                                                                              <w:marRight w:val="0"/>
                                                                                              <w:marTop w:val="0"/>
                                                                                              <w:marBottom w:val="0"/>
                                                                                              <w:divBdr>
                                                                                                <w:top w:val="none" w:sz="0" w:space="0" w:color="auto"/>
                                                                                                <w:left w:val="none" w:sz="0" w:space="0" w:color="auto"/>
                                                                                                <w:bottom w:val="none" w:sz="0" w:space="0" w:color="auto"/>
                                                                                                <w:right w:val="none" w:sz="0" w:space="0" w:color="auto"/>
                                                                                              </w:divBdr>
                                                                                            </w:div>
                                                                                          </w:divsChild>
                                                                                        </w:div>
                                                                                        <w:div w:id="1449473494">
                                                                                          <w:marLeft w:val="0"/>
                                                                                          <w:marRight w:val="0"/>
                                                                                          <w:marTop w:val="0"/>
                                                                                          <w:marBottom w:val="0"/>
                                                                                          <w:divBdr>
                                                                                            <w:top w:val="none" w:sz="0" w:space="0" w:color="auto"/>
                                                                                            <w:left w:val="none" w:sz="0" w:space="0" w:color="auto"/>
                                                                                            <w:bottom w:val="none" w:sz="0" w:space="0" w:color="auto"/>
                                                                                            <w:right w:val="none" w:sz="0" w:space="0" w:color="auto"/>
                                                                                          </w:divBdr>
                                                                                          <w:divsChild>
                                                                                            <w:div w:id="1855224296">
                                                                                              <w:marLeft w:val="0"/>
                                                                                              <w:marRight w:val="0"/>
                                                                                              <w:marTop w:val="0"/>
                                                                                              <w:marBottom w:val="0"/>
                                                                                              <w:divBdr>
                                                                                                <w:top w:val="none" w:sz="0" w:space="0" w:color="auto"/>
                                                                                                <w:left w:val="none" w:sz="0" w:space="0" w:color="auto"/>
                                                                                                <w:bottom w:val="none" w:sz="0" w:space="0" w:color="auto"/>
                                                                                                <w:right w:val="none" w:sz="0" w:space="0" w:color="auto"/>
                                                                                              </w:divBdr>
                                                                                            </w:div>
                                                                                          </w:divsChild>
                                                                                        </w:div>
                                                                                        <w:div w:id="1609116868">
                                                                                          <w:marLeft w:val="0"/>
                                                                                          <w:marRight w:val="0"/>
                                                                                          <w:marTop w:val="0"/>
                                                                                          <w:marBottom w:val="0"/>
                                                                                          <w:divBdr>
                                                                                            <w:top w:val="none" w:sz="0" w:space="0" w:color="auto"/>
                                                                                            <w:left w:val="none" w:sz="0" w:space="0" w:color="auto"/>
                                                                                            <w:bottom w:val="none" w:sz="0" w:space="0" w:color="auto"/>
                                                                                            <w:right w:val="none" w:sz="0" w:space="0" w:color="auto"/>
                                                                                          </w:divBdr>
                                                                                          <w:divsChild>
                                                                                            <w:div w:id="1632133733">
                                                                                              <w:marLeft w:val="0"/>
                                                                                              <w:marRight w:val="0"/>
                                                                                              <w:marTop w:val="0"/>
                                                                                              <w:marBottom w:val="0"/>
                                                                                              <w:divBdr>
                                                                                                <w:top w:val="none" w:sz="0" w:space="0" w:color="auto"/>
                                                                                                <w:left w:val="none" w:sz="0" w:space="0" w:color="auto"/>
                                                                                                <w:bottom w:val="none" w:sz="0" w:space="0" w:color="auto"/>
                                                                                                <w:right w:val="none" w:sz="0" w:space="0" w:color="auto"/>
                                                                                              </w:divBdr>
                                                                                            </w:div>
                                                                                          </w:divsChild>
                                                                                        </w:div>
                                                                                        <w:div w:id="1319964993">
                                                                                          <w:marLeft w:val="0"/>
                                                                                          <w:marRight w:val="0"/>
                                                                                          <w:marTop w:val="0"/>
                                                                                          <w:marBottom w:val="0"/>
                                                                                          <w:divBdr>
                                                                                            <w:top w:val="none" w:sz="0" w:space="0" w:color="auto"/>
                                                                                            <w:left w:val="none" w:sz="0" w:space="0" w:color="auto"/>
                                                                                            <w:bottom w:val="none" w:sz="0" w:space="0" w:color="auto"/>
                                                                                            <w:right w:val="none" w:sz="0" w:space="0" w:color="auto"/>
                                                                                          </w:divBdr>
                                                                                          <w:divsChild>
                                                                                            <w:div w:id="1860924082">
                                                                                              <w:marLeft w:val="0"/>
                                                                                              <w:marRight w:val="0"/>
                                                                                              <w:marTop w:val="0"/>
                                                                                              <w:marBottom w:val="0"/>
                                                                                              <w:divBdr>
                                                                                                <w:top w:val="none" w:sz="0" w:space="0" w:color="auto"/>
                                                                                                <w:left w:val="none" w:sz="0" w:space="0" w:color="auto"/>
                                                                                                <w:bottom w:val="none" w:sz="0" w:space="0" w:color="auto"/>
                                                                                                <w:right w:val="none" w:sz="0" w:space="0" w:color="auto"/>
                                                                                              </w:divBdr>
                                                                                            </w:div>
                                                                                          </w:divsChild>
                                                                                        </w:div>
                                                                                        <w:div w:id="181554948">
                                                                                          <w:marLeft w:val="0"/>
                                                                                          <w:marRight w:val="0"/>
                                                                                          <w:marTop w:val="0"/>
                                                                                          <w:marBottom w:val="0"/>
                                                                                          <w:divBdr>
                                                                                            <w:top w:val="none" w:sz="0" w:space="0" w:color="auto"/>
                                                                                            <w:left w:val="none" w:sz="0" w:space="0" w:color="auto"/>
                                                                                            <w:bottom w:val="none" w:sz="0" w:space="0" w:color="auto"/>
                                                                                            <w:right w:val="none" w:sz="0" w:space="0" w:color="auto"/>
                                                                                          </w:divBdr>
                                                                                          <w:divsChild>
                                                                                            <w:div w:id="110055526">
                                                                                              <w:marLeft w:val="0"/>
                                                                                              <w:marRight w:val="0"/>
                                                                                              <w:marTop w:val="0"/>
                                                                                              <w:marBottom w:val="0"/>
                                                                                              <w:divBdr>
                                                                                                <w:top w:val="none" w:sz="0" w:space="0" w:color="auto"/>
                                                                                                <w:left w:val="none" w:sz="0" w:space="0" w:color="auto"/>
                                                                                                <w:bottom w:val="none" w:sz="0" w:space="0" w:color="auto"/>
                                                                                                <w:right w:val="none" w:sz="0" w:space="0" w:color="auto"/>
                                                                                              </w:divBdr>
                                                                                            </w:div>
                                                                                          </w:divsChild>
                                                                                        </w:div>
                                                                                        <w:div w:id="1843858069">
                                                                                          <w:marLeft w:val="0"/>
                                                                                          <w:marRight w:val="0"/>
                                                                                          <w:marTop w:val="0"/>
                                                                                          <w:marBottom w:val="0"/>
                                                                                          <w:divBdr>
                                                                                            <w:top w:val="none" w:sz="0" w:space="0" w:color="auto"/>
                                                                                            <w:left w:val="none" w:sz="0" w:space="0" w:color="auto"/>
                                                                                            <w:bottom w:val="none" w:sz="0" w:space="0" w:color="auto"/>
                                                                                            <w:right w:val="none" w:sz="0" w:space="0" w:color="auto"/>
                                                                                          </w:divBdr>
                                                                                          <w:divsChild>
                                                                                            <w:div w:id="1684935340">
                                                                                              <w:marLeft w:val="0"/>
                                                                                              <w:marRight w:val="0"/>
                                                                                              <w:marTop w:val="0"/>
                                                                                              <w:marBottom w:val="0"/>
                                                                                              <w:divBdr>
                                                                                                <w:top w:val="none" w:sz="0" w:space="0" w:color="auto"/>
                                                                                                <w:left w:val="none" w:sz="0" w:space="0" w:color="auto"/>
                                                                                                <w:bottom w:val="none" w:sz="0" w:space="0" w:color="auto"/>
                                                                                                <w:right w:val="none" w:sz="0" w:space="0" w:color="auto"/>
                                                                                              </w:divBdr>
                                                                                            </w:div>
                                                                                          </w:divsChild>
                                                                                        </w:div>
                                                                                        <w:div w:id="1116605829">
                                                                                          <w:marLeft w:val="0"/>
                                                                                          <w:marRight w:val="0"/>
                                                                                          <w:marTop w:val="0"/>
                                                                                          <w:marBottom w:val="0"/>
                                                                                          <w:divBdr>
                                                                                            <w:top w:val="none" w:sz="0" w:space="0" w:color="auto"/>
                                                                                            <w:left w:val="none" w:sz="0" w:space="0" w:color="auto"/>
                                                                                            <w:bottom w:val="none" w:sz="0" w:space="0" w:color="auto"/>
                                                                                            <w:right w:val="none" w:sz="0" w:space="0" w:color="auto"/>
                                                                                          </w:divBdr>
                                                                                          <w:divsChild>
                                                                                            <w:div w:id="119350179">
                                                                                              <w:marLeft w:val="0"/>
                                                                                              <w:marRight w:val="0"/>
                                                                                              <w:marTop w:val="0"/>
                                                                                              <w:marBottom w:val="0"/>
                                                                                              <w:divBdr>
                                                                                                <w:top w:val="none" w:sz="0" w:space="0" w:color="auto"/>
                                                                                                <w:left w:val="none" w:sz="0" w:space="0" w:color="auto"/>
                                                                                                <w:bottom w:val="none" w:sz="0" w:space="0" w:color="auto"/>
                                                                                                <w:right w:val="none" w:sz="0" w:space="0" w:color="auto"/>
                                                                                              </w:divBdr>
                                                                                            </w:div>
                                                                                          </w:divsChild>
                                                                                        </w:div>
                                                                                        <w:div w:id="278339999">
                                                                                          <w:marLeft w:val="0"/>
                                                                                          <w:marRight w:val="0"/>
                                                                                          <w:marTop w:val="0"/>
                                                                                          <w:marBottom w:val="0"/>
                                                                                          <w:divBdr>
                                                                                            <w:top w:val="none" w:sz="0" w:space="0" w:color="auto"/>
                                                                                            <w:left w:val="none" w:sz="0" w:space="0" w:color="auto"/>
                                                                                            <w:bottom w:val="none" w:sz="0" w:space="0" w:color="auto"/>
                                                                                            <w:right w:val="none" w:sz="0" w:space="0" w:color="auto"/>
                                                                                          </w:divBdr>
                                                                                          <w:divsChild>
                                                                                            <w:div w:id="550728272">
                                                                                              <w:marLeft w:val="0"/>
                                                                                              <w:marRight w:val="0"/>
                                                                                              <w:marTop w:val="0"/>
                                                                                              <w:marBottom w:val="0"/>
                                                                                              <w:divBdr>
                                                                                                <w:top w:val="none" w:sz="0" w:space="0" w:color="auto"/>
                                                                                                <w:left w:val="none" w:sz="0" w:space="0" w:color="auto"/>
                                                                                                <w:bottom w:val="none" w:sz="0" w:space="0" w:color="auto"/>
                                                                                                <w:right w:val="none" w:sz="0" w:space="0" w:color="auto"/>
                                                                                              </w:divBdr>
                                                                                            </w:div>
                                                                                          </w:divsChild>
                                                                                        </w:div>
                                                                                        <w:div w:id="1027102343">
                                                                                          <w:marLeft w:val="0"/>
                                                                                          <w:marRight w:val="0"/>
                                                                                          <w:marTop w:val="0"/>
                                                                                          <w:marBottom w:val="0"/>
                                                                                          <w:divBdr>
                                                                                            <w:top w:val="none" w:sz="0" w:space="0" w:color="auto"/>
                                                                                            <w:left w:val="none" w:sz="0" w:space="0" w:color="auto"/>
                                                                                            <w:bottom w:val="none" w:sz="0" w:space="0" w:color="auto"/>
                                                                                            <w:right w:val="none" w:sz="0" w:space="0" w:color="auto"/>
                                                                                          </w:divBdr>
                                                                                          <w:divsChild>
                                                                                            <w:div w:id="15497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708499">
                                                                                  <w:marLeft w:val="0"/>
                                                                                  <w:marRight w:val="0"/>
                                                                                  <w:marTop w:val="0"/>
                                                                                  <w:marBottom w:val="0"/>
                                                                                  <w:divBdr>
                                                                                    <w:top w:val="none" w:sz="0" w:space="0" w:color="auto"/>
                                                                                    <w:left w:val="none" w:sz="0" w:space="0" w:color="auto"/>
                                                                                    <w:bottom w:val="none" w:sz="0" w:space="0" w:color="auto"/>
                                                                                    <w:right w:val="none" w:sz="0" w:space="0" w:color="auto"/>
                                                                                  </w:divBdr>
                                                                                </w:div>
                                                                                <w:div w:id="927616210">
                                                                                  <w:marLeft w:val="0"/>
                                                                                  <w:marRight w:val="0"/>
                                                                                  <w:marTop w:val="0"/>
                                                                                  <w:marBottom w:val="0"/>
                                                                                  <w:divBdr>
                                                                                    <w:top w:val="none" w:sz="0" w:space="0" w:color="auto"/>
                                                                                    <w:left w:val="none" w:sz="0" w:space="0" w:color="auto"/>
                                                                                    <w:bottom w:val="none" w:sz="0" w:space="0" w:color="auto"/>
                                                                                    <w:right w:val="none" w:sz="0" w:space="0" w:color="auto"/>
                                                                                  </w:divBdr>
                                                                                  <w:divsChild>
                                                                                    <w:div w:id="1074161189">
                                                                                      <w:marLeft w:val="-75"/>
                                                                                      <w:marRight w:val="0"/>
                                                                                      <w:marTop w:val="30"/>
                                                                                      <w:marBottom w:val="30"/>
                                                                                      <w:divBdr>
                                                                                        <w:top w:val="none" w:sz="0" w:space="0" w:color="auto"/>
                                                                                        <w:left w:val="none" w:sz="0" w:space="0" w:color="auto"/>
                                                                                        <w:bottom w:val="none" w:sz="0" w:space="0" w:color="auto"/>
                                                                                        <w:right w:val="none" w:sz="0" w:space="0" w:color="auto"/>
                                                                                      </w:divBdr>
                                                                                      <w:divsChild>
                                                                                        <w:div w:id="622929135">
                                                                                          <w:marLeft w:val="0"/>
                                                                                          <w:marRight w:val="0"/>
                                                                                          <w:marTop w:val="0"/>
                                                                                          <w:marBottom w:val="0"/>
                                                                                          <w:divBdr>
                                                                                            <w:top w:val="none" w:sz="0" w:space="0" w:color="auto"/>
                                                                                            <w:left w:val="none" w:sz="0" w:space="0" w:color="auto"/>
                                                                                            <w:bottom w:val="none" w:sz="0" w:space="0" w:color="auto"/>
                                                                                            <w:right w:val="none" w:sz="0" w:space="0" w:color="auto"/>
                                                                                          </w:divBdr>
                                                                                          <w:divsChild>
                                                                                            <w:div w:id="474838375">
                                                                                              <w:marLeft w:val="0"/>
                                                                                              <w:marRight w:val="0"/>
                                                                                              <w:marTop w:val="0"/>
                                                                                              <w:marBottom w:val="0"/>
                                                                                              <w:divBdr>
                                                                                                <w:top w:val="none" w:sz="0" w:space="0" w:color="auto"/>
                                                                                                <w:left w:val="none" w:sz="0" w:space="0" w:color="auto"/>
                                                                                                <w:bottom w:val="none" w:sz="0" w:space="0" w:color="auto"/>
                                                                                                <w:right w:val="none" w:sz="0" w:space="0" w:color="auto"/>
                                                                                              </w:divBdr>
                                                                                            </w:div>
                                                                                          </w:divsChild>
                                                                                        </w:div>
                                                                                        <w:div w:id="239368562">
                                                                                          <w:marLeft w:val="0"/>
                                                                                          <w:marRight w:val="0"/>
                                                                                          <w:marTop w:val="0"/>
                                                                                          <w:marBottom w:val="0"/>
                                                                                          <w:divBdr>
                                                                                            <w:top w:val="none" w:sz="0" w:space="0" w:color="auto"/>
                                                                                            <w:left w:val="none" w:sz="0" w:space="0" w:color="auto"/>
                                                                                            <w:bottom w:val="none" w:sz="0" w:space="0" w:color="auto"/>
                                                                                            <w:right w:val="none" w:sz="0" w:space="0" w:color="auto"/>
                                                                                          </w:divBdr>
                                                                                          <w:divsChild>
                                                                                            <w:div w:id="110393786">
                                                                                              <w:marLeft w:val="0"/>
                                                                                              <w:marRight w:val="0"/>
                                                                                              <w:marTop w:val="0"/>
                                                                                              <w:marBottom w:val="0"/>
                                                                                              <w:divBdr>
                                                                                                <w:top w:val="none" w:sz="0" w:space="0" w:color="auto"/>
                                                                                                <w:left w:val="none" w:sz="0" w:space="0" w:color="auto"/>
                                                                                                <w:bottom w:val="none" w:sz="0" w:space="0" w:color="auto"/>
                                                                                                <w:right w:val="none" w:sz="0" w:space="0" w:color="auto"/>
                                                                                              </w:divBdr>
                                                                                            </w:div>
                                                                                          </w:divsChild>
                                                                                        </w:div>
                                                                                        <w:div w:id="569464047">
                                                                                          <w:marLeft w:val="0"/>
                                                                                          <w:marRight w:val="0"/>
                                                                                          <w:marTop w:val="0"/>
                                                                                          <w:marBottom w:val="0"/>
                                                                                          <w:divBdr>
                                                                                            <w:top w:val="none" w:sz="0" w:space="0" w:color="auto"/>
                                                                                            <w:left w:val="none" w:sz="0" w:space="0" w:color="auto"/>
                                                                                            <w:bottom w:val="none" w:sz="0" w:space="0" w:color="auto"/>
                                                                                            <w:right w:val="none" w:sz="0" w:space="0" w:color="auto"/>
                                                                                          </w:divBdr>
                                                                                          <w:divsChild>
                                                                                            <w:div w:id="621302020">
                                                                                              <w:marLeft w:val="0"/>
                                                                                              <w:marRight w:val="0"/>
                                                                                              <w:marTop w:val="0"/>
                                                                                              <w:marBottom w:val="0"/>
                                                                                              <w:divBdr>
                                                                                                <w:top w:val="none" w:sz="0" w:space="0" w:color="auto"/>
                                                                                                <w:left w:val="none" w:sz="0" w:space="0" w:color="auto"/>
                                                                                                <w:bottom w:val="none" w:sz="0" w:space="0" w:color="auto"/>
                                                                                                <w:right w:val="none" w:sz="0" w:space="0" w:color="auto"/>
                                                                                              </w:divBdr>
                                                                                            </w:div>
                                                                                          </w:divsChild>
                                                                                        </w:div>
                                                                                        <w:div w:id="1195925334">
                                                                                          <w:marLeft w:val="0"/>
                                                                                          <w:marRight w:val="0"/>
                                                                                          <w:marTop w:val="0"/>
                                                                                          <w:marBottom w:val="0"/>
                                                                                          <w:divBdr>
                                                                                            <w:top w:val="none" w:sz="0" w:space="0" w:color="auto"/>
                                                                                            <w:left w:val="none" w:sz="0" w:space="0" w:color="auto"/>
                                                                                            <w:bottom w:val="none" w:sz="0" w:space="0" w:color="auto"/>
                                                                                            <w:right w:val="none" w:sz="0" w:space="0" w:color="auto"/>
                                                                                          </w:divBdr>
                                                                                          <w:divsChild>
                                                                                            <w:div w:id="1887644417">
                                                                                              <w:marLeft w:val="0"/>
                                                                                              <w:marRight w:val="0"/>
                                                                                              <w:marTop w:val="0"/>
                                                                                              <w:marBottom w:val="0"/>
                                                                                              <w:divBdr>
                                                                                                <w:top w:val="none" w:sz="0" w:space="0" w:color="auto"/>
                                                                                                <w:left w:val="none" w:sz="0" w:space="0" w:color="auto"/>
                                                                                                <w:bottom w:val="none" w:sz="0" w:space="0" w:color="auto"/>
                                                                                                <w:right w:val="none" w:sz="0" w:space="0" w:color="auto"/>
                                                                                              </w:divBdr>
                                                                                            </w:div>
                                                                                          </w:divsChild>
                                                                                        </w:div>
                                                                                        <w:div w:id="1151023447">
                                                                                          <w:marLeft w:val="0"/>
                                                                                          <w:marRight w:val="0"/>
                                                                                          <w:marTop w:val="0"/>
                                                                                          <w:marBottom w:val="0"/>
                                                                                          <w:divBdr>
                                                                                            <w:top w:val="none" w:sz="0" w:space="0" w:color="auto"/>
                                                                                            <w:left w:val="none" w:sz="0" w:space="0" w:color="auto"/>
                                                                                            <w:bottom w:val="none" w:sz="0" w:space="0" w:color="auto"/>
                                                                                            <w:right w:val="none" w:sz="0" w:space="0" w:color="auto"/>
                                                                                          </w:divBdr>
                                                                                          <w:divsChild>
                                                                                            <w:div w:id="51542196">
                                                                                              <w:marLeft w:val="0"/>
                                                                                              <w:marRight w:val="0"/>
                                                                                              <w:marTop w:val="0"/>
                                                                                              <w:marBottom w:val="0"/>
                                                                                              <w:divBdr>
                                                                                                <w:top w:val="none" w:sz="0" w:space="0" w:color="auto"/>
                                                                                                <w:left w:val="none" w:sz="0" w:space="0" w:color="auto"/>
                                                                                                <w:bottom w:val="none" w:sz="0" w:space="0" w:color="auto"/>
                                                                                                <w:right w:val="none" w:sz="0" w:space="0" w:color="auto"/>
                                                                                              </w:divBdr>
                                                                                            </w:div>
                                                                                          </w:divsChild>
                                                                                        </w:div>
                                                                                        <w:div w:id="911429507">
                                                                                          <w:marLeft w:val="0"/>
                                                                                          <w:marRight w:val="0"/>
                                                                                          <w:marTop w:val="0"/>
                                                                                          <w:marBottom w:val="0"/>
                                                                                          <w:divBdr>
                                                                                            <w:top w:val="none" w:sz="0" w:space="0" w:color="auto"/>
                                                                                            <w:left w:val="none" w:sz="0" w:space="0" w:color="auto"/>
                                                                                            <w:bottom w:val="none" w:sz="0" w:space="0" w:color="auto"/>
                                                                                            <w:right w:val="none" w:sz="0" w:space="0" w:color="auto"/>
                                                                                          </w:divBdr>
                                                                                          <w:divsChild>
                                                                                            <w:div w:id="1206216609">
                                                                                              <w:marLeft w:val="0"/>
                                                                                              <w:marRight w:val="0"/>
                                                                                              <w:marTop w:val="0"/>
                                                                                              <w:marBottom w:val="0"/>
                                                                                              <w:divBdr>
                                                                                                <w:top w:val="none" w:sz="0" w:space="0" w:color="auto"/>
                                                                                                <w:left w:val="none" w:sz="0" w:space="0" w:color="auto"/>
                                                                                                <w:bottom w:val="none" w:sz="0" w:space="0" w:color="auto"/>
                                                                                                <w:right w:val="none" w:sz="0" w:space="0" w:color="auto"/>
                                                                                              </w:divBdr>
                                                                                            </w:div>
                                                                                          </w:divsChild>
                                                                                        </w:div>
                                                                                        <w:div w:id="1148866491">
                                                                                          <w:marLeft w:val="0"/>
                                                                                          <w:marRight w:val="0"/>
                                                                                          <w:marTop w:val="0"/>
                                                                                          <w:marBottom w:val="0"/>
                                                                                          <w:divBdr>
                                                                                            <w:top w:val="none" w:sz="0" w:space="0" w:color="auto"/>
                                                                                            <w:left w:val="none" w:sz="0" w:space="0" w:color="auto"/>
                                                                                            <w:bottom w:val="none" w:sz="0" w:space="0" w:color="auto"/>
                                                                                            <w:right w:val="none" w:sz="0" w:space="0" w:color="auto"/>
                                                                                          </w:divBdr>
                                                                                          <w:divsChild>
                                                                                            <w:div w:id="1723208393">
                                                                                              <w:marLeft w:val="0"/>
                                                                                              <w:marRight w:val="0"/>
                                                                                              <w:marTop w:val="0"/>
                                                                                              <w:marBottom w:val="0"/>
                                                                                              <w:divBdr>
                                                                                                <w:top w:val="none" w:sz="0" w:space="0" w:color="auto"/>
                                                                                                <w:left w:val="none" w:sz="0" w:space="0" w:color="auto"/>
                                                                                                <w:bottom w:val="none" w:sz="0" w:space="0" w:color="auto"/>
                                                                                                <w:right w:val="none" w:sz="0" w:space="0" w:color="auto"/>
                                                                                              </w:divBdr>
                                                                                            </w:div>
                                                                                          </w:divsChild>
                                                                                        </w:div>
                                                                                        <w:div w:id="1512648591">
                                                                                          <w:marLeft w:val="0"/>
                                                                                          <w:marRight w:val="0"/>
                                                                                          <w:marTop w:val="0"/>
                                                                                          <w:marBottom w:val="0"/>
                                                                                          <w:divBdr>
                                                                                            <w:top w:val="none" w:sz="0" w:space="0" w:color="auto"/>
                                                                                            <w:left w:val="none" w:sz="0" w:space="0" w:color="auto"/>
                                                                                            <w:bottom w:val="none" w:sz="0" w:space="0" w:color="auto"/>
                                                                                            <w:right w:val="none" w:sz="0" w:space="0" w:color="auto"/>
                                                                                          </w:divBdr>
                                                                                          <w:divsChild>
                                                                                            <w:div w:id="1215116381">
                                                                                              <w:marLeft w:val="0"/>
                                                                                              <w:marRight w:val="0"/>
                                                                                              <w:marTop w:val="0"/>
                                                                                              <w:marBottom w:val="0"/>
                                                                                              <w:divBdr>
                                                                                                <w:top w:val="none" w:sz="0" w:space="0" w:color="auto"/>
                                                                                                <w:left w:val="none" w:sz="0" w:space="0" w:color="auto"/>
                                                                                                <w:bottom w:val="none" w:sz="0" w:space="0" w:color="auto"/>
                                                                                                <w:right w:val="none" w:sz="0" w:space="0" w:color="auto"/>
                                                                                              </w:divBdr>
                                                                                            </w:div>
                                                                                          </w:divsChild>
                                                                                        </w:div>
                                                                                        <w:div w:id="1030031290">
                                                                                          <w:marLeft w:val="0"/>
                                                                                          <w:marRight w:val="0"/>
                                                                                          <w:marTop w:val="0"/>
                                                                                          <w:marBottom w:val="0"/>
                                                                                          <w:divBdr>
                                                                                            <w:top w:val="none" w:sz="0" w:space="0" w:color="auto"/>
                                                                                            <w:left w:val="none" w:sz="0" w:space="0" w:color="auto"/>
                                                                                            <w:bottom w:val="none" w:sz="0" w:space="0" w:color="auto"/>
                                                                                            <w:right w:val="none" w:sz="0" w:space="0" w:color="auto"/>
                                                                                          </w:divBdr>
                                                                                          <w:divsChild>
                                                                                            <w:div w:id="572086560">
                                                                                              <w:marLeft w:val="0"/>
                                                                                              <w:marRight w:val="0"/>
                                                                                              <w:marTop w:val="0"/>
                                                                                              <w:marBottom w:val="0"/>
                                                                                              <w:divBdr>
                                                                                                <w:top w:val="none" w:sz="0" w:space="0" w:color="auto"/>
                                                                                                <w:left w:val="none" w:sz="0" w:space="0" w:color="auto"/>
                                                                                                <w:bottom w:val="none" w:sz="0" w:space="0" w:color="auto"/>
                                                                                                <w:right w:val="none" w:sz="0" w:space="0" w:color="auto"/>
                                                                                              </w:divBdr>
                                                                                            </w:div>
                                                                                          </w:divsChild>
                                                                                        </w:div>
                                                                                        <w:div w:id="460195805">
                                                                                          <w:marLeft w:val="0"/>
                                                                                          <w:marRight w:val="0"/>
                                                                                          <w:marTop w:val="0"/>
                                                                                          <w:marBottom w:val="0"/>
                                                                                          <w:divBdr>
                                                                                            <w:top w:val="none" w:sz="0" w:space="0" w:color="auto"/>
                                                                                            <w:left w:val="none" w:sz="0" w:space="0" w:color="auto"/>
                                                                                            <w:bottom w:val="none" w:sz="0" w:space="0" w:color="auto"/>
                                                                                            <w:right w:val="none" w:sz="0" w:space="0" w:color="auto"/>
                                                                                          </w:divBdr>
                                                                                          <w:divsChild>
                                                                                            <w:div w:id="2123264155">
                                                                                              <w:marLeft w:val="0"/>
                                                                                              <w:marRight w:val="0"/>
                                                                                              <w:marTop w:val="0"/>
                                                                                              <w:marBottom w:val="0"/>
                                                                                              <w:divBdr>
                                                                                                <w:top w:val="none" w:sz="0" w:space="0" w:color="auto"/>
                                                                                                <w:left w:val="none" w:sz="0" w:space="0" w:color="auto"/>
                                                                                                <w:bottom w:val="none" w:sz="0" w:space="0" w:color="auto"/>
                                                                                                <w:right w:val="none" w:sz="0" w:space="0" w:color="auto"/>
                                                                                              </w:divBdr>
                                                                                            </w:div>
                                                                                          </w:divsChild>
                                                                                        </w:div>
                                                                                        <w:div w:id="1479568103">
                                                                                          <w:marLeft w:val="0"/>
                                                                                          <w:marRight w:val="0"/>
                                                                                          <w:marTop w:val="0"/>
                                                                                          <w:marBottom w:val="0"/>
                                                                                          <w:divBdr>
                                                                                            <w:top w:val="none" w:sz="0" w:space="0" w:color="auto"/>
                                                                                            <w:left w:val="none" w:sz="0" w:space="0" w:color="auto"/>
                                                                                            <w:bottom w:val="none" w:sz="0" w:space="0" w:color="auto"/>
                                                                                            <w:right w:val="none" w:sz="0" w:space="0" w:color="auto"/>
                                                                                          </w:divBdr>
                                                                                          <w:divsChild>
                                                                                            <w:div w:id="964115793">
                                                                                              <w:marLeft w:val="0"/>
                                                                                              <w:marRight w:val="0"/>
                                                                                              <w:marTop w:val="0"/>
                                                                                              <w:marBottom w:val="0"/>
                                                                                              <w:divBdr>
                                                                                                <w:top w:val="none" w:sz="0" w:space="0" w:color="auto"/>
                                                                                                <w:left w:val="none" w:sz="0" w:space="0" w:color="auto"/>
                                                                                                <w:bottom w:val="none" w:sz="0" w:space="0" w:color="auto"/>
                                                                                                <w:right w:val="none" w:sz="0" w:space="0" w:color="auto"/>
                                                                                              </w:divBdr>
                                                                                            </w:div>
                                                                                          </w:divsChild>
                                                                                        </w:div>
                                                                                        <w:div w:id="1996494831">
                                                                                          <w:marLeft w:val="0"/>
                                                                                          <w:marRight w:val="0"/>
                                                                                          <w:marTop w:val="0"/>
                                                                                          <w:marBottom w:val="0"/>
                                                                                          <w:divBdr>
                                                                                            <w:top w:val="none" w:sz="0" w:space="0" w:color="auto"/>
                                                                                            <w:left w:val="none" w:sz="0" w:space="0" w:color="auto"/>
                                                                                            <w:bottom w:val="none" w:sz="0" w:space="0" w:color="auto"/>
                                                                                            <w:right w:val="none" w:sz="0" w:space="0" w:color="auto"/>
                                                                                          </w:divBdr>
                                                                                          <w:divsChild>
                                                                                            <w:div w:id="1507478670">
                                                                                              <w:marLeft w:val="0"/>
                                                                                              <w:marRight w:val="0"/>
                                                                                              <w:marTop w:val="0"/>
                                                                                              <w:marBottom w:val="0"/>
                                                                                              <w:divBdr>
                                                                                                <w:top w:val="none" w:sz="0" w:space="0" w:color="auto"/>
                                                                                                <w:left w:val="none" w:sz="0" w:space="0" w:color="auto"/>
                                                                                                <w:bottom w:val="none" w:sz="0" w:space="0" w:color="auto"/>
                                                                                                <w:right w:val="none" w:sz="0" w:space="0" w:color="auto"/>
                                                                                              </w:divBdr>
                                                                                            </w:div>
                                                                                          </w:divsChild>
                                                                                        </w:div>
                                                                                        <w:div w:id="753624011">
                                                                                          <w:marLeft w:val="0"/>
                                                                                          <w:marRight w:val="0"/>
                                                                                          <w:marTop w:val="0"/>
                                                                                          <w:marBottom w:val="0"/>
                                                                                          <w:divBdr>
                                                                                            <w:top w:val="none" w:sz="0" w:space="0" w:color="auto"/>
                                                                                            <w:left w:val="none" w:sz="0" w:space="0" w:color="auto"/>
                                                                                            <w:bottom w:val="none" w:sz="0" w:space="0" w:color="auto"/>
                                                                                            <w:right w:val="none" w:sz="0" w:space="0" w:color="auto"/>
                                                                                          </w:divBdr>
                                                                                          <w:divsChild>
                                                                                            <w:div w:id="928126602">
                                                                                              <w:marLeft w:val="0"/>
                                                                                              <w:marRight w:val="0"/>
                                                                                              <w:marTop w:val="0"/>
                                                                                              <w:marBottom w:val="0"/>
                                                                                              <w:divBdr>
                                                                                                <w:top w:val="none" w:sz="0" w:space="0" w:color="auto"/>
                                                                                                <w:left w:val="none" w:sz="0" w:space="0" w:color="auto"/>
                                                                                                <w:bottom w:val="none" w:sz="0" w:space="0" w:color="auto"/>
                                                                                                <w:right w:val="none" w:sz="0" w:space="0" w:color="auto"/>
                                                                                              </w:divBdr>
                                                                                            </w:div>
                                                                                          </w:divsChild>
                                                                                        </w:div>
                                                                                        <w:div w:id="575752287">
                                                                                          <w:marLeft w:val="0"/>
                                                                                          <w:marRight w:val="0"/>
                                                                                          <w:marTop w:val="0"/>
                                                                                          <w:marBottom w:val="0"/>
                                                                                          <w:divBdr>
                                                                                            <w:top w:val="none" w:sz="0" w:space="0" w:color="auto"/>
                                                                                            <w:left w:val="none" w:sz="0" w:space="0" w:color="auto"/>
                                                                                            <w:bottom w:val="none" w:sz="0" w:space="0" w:color="auto"/>
                                                                                            <w:right w:val="none" w:sz="0" w:space="0" w:color="auto"/>
                                                                                          </w:divBdr>
                                                                                          <w:divsChild>
                                                                                            <w:div w:id="119962176">
                                                                                              <w:marLeft w:val="0"/>
                                                                                              <w:marRight w:val="0"/>
                                                                                              <w:marTop w:val="0"/>
                                                                                              <w:marBottom w:val="0"/>
                                                                                              <w:divBdr>
                                                                                                <w:top w:val="none" w:sz="0" w:space="0" w:color="auto"/>
                                                                                                <w:left w:val="none" w:sz="0" w:space="0" w:color="auto"/>
                                                                                                <w:bottom w:val="none" w:sz="0" w:space="0" w:color="auto"/>
                                                                                                <w:right w:val="none" w:sz="0" w:space="0" w:color="auto"/>
                                                                                              </w:divBdr>
                                                                                            </w:div>
                                                                                          </w:divsChild>
                                                                                        </w:div>
                                                                                        <w:div w:id="42683915">
                                                                                          <w:marLeft w:val="0"/>
                                                                                          <w:marRight w:val="0"/>
                                                                                          <w:marTop w:val="0"/>
                                                                                          <w:marBottom w:val="0"/>
                                                                                          <w:divBdr>
                                                                                            <w:top w:val="none" w:sz="0" w:space="0" w:color="auto"/>
                                                                                            <w:left w:val="none" w:sz="0" w:space="0" w:color="auto"/>
                                                                                            <w:bottom w:val="none" w:sz="0" w:space="0" w:color="auto"/>
                                                                                            <w:right w:val="none" w:sz="0" w:space="0" w:color="auto"/>
                                                                                          </w:divBdr>
                                                                                          <w:divsChild>
                                                                                            <w:div w:id="256715339">
                                                                                              <w:marLeft w:val="0"/>
                                                                                              <w:marRight w:val="0"/>
                                                                                              <w:marTop w:val="0"/>
                                                                                              <w:marBottom w:val="0"/>
                                                                                              <w:divBdr>
                                                                                                <w:top w:val="none" w:sz="0" w:space="0" w:color="auto"/>
                                                                                                <w:left w:val="none" w:sz="0" w:space="0" w:color="auto"/>
                                                                                                <w:bottom w:val="none" w:sz="0" w:space="0" w:color="auto"/>
                                                                                                <w:right w:val="none" w:sz="0" w:space="0" w:color="auto"/>
                                                                                              </w:divBdr>
                                                                                            </w:div>
                                                                                          </w:divsChild>
                                                                                        </w:div>
                                                                                        <w:div w:id="1904443015">
                                                                                          <w:marLeft w:val="0"/>
                                                                                          <w:marRight w:val="0"/>
                                                                                          <w:marTop w:val="0"/>
                                                                                          <w:marBottom w:val="0"/>
                                                                                          <w:divBdr>
                                                                                            <w:top w:val="none" w:sz="0" w:space="0" w:color="auto"/>
                                                                                            <w:left w:val="none" w:sz="0" w:space="0" w:color="auto"/>
                                                                                            <w:bottom w:val="none" w:sz="0" w:space="0" w:color="auto"/>
                                                                                            <w:right w:val="none" w:sz="0" w:space="0" w:color="auto"/>
                                                                                          </w:divBdr>
                                                                                          <w:divsChild>
                                                                                            <w:div w:id="466051035">
                                                                                              <w:marLeft w:val="0"/>
                                                                                              <w:marRight w:val="0"/>
                                                                                              <w:marTop w:val="0"/>
                                                                                              <w:marBottom w:val="0"/>
                                                                                              <w:divBdr>
                                                                                                <w:top w:val="none" w:sz="0" w:space="0" w:color="auto"/>
                                                                                                <w:left w:val="none" w:sz="0" w:space="0" w:color="auto"/>
                                                                                                <w:bottom w:val="none" w:sz="0" w:space="0" w:color="auto"/>
                                                                                                <w:right w:val="none" w:sz="0" w:space="0" w:color="auto"/>
                                                                                              </w:divBdr>
                                                                                            </w:div>
                                                                                          </w:divsChild>
                                                                                        </w:div>
                                                                                        <w:div w:id="558248513">
                                                                                          <w:marLeft w:val="0"/>
                                                                                          <w:marRight w:val="0"/>
                                                                                          <w:marTop w:val="0"/>
                                                                                          <w:marBottom w:val="0"/>
                                                                                          <w:divBdr>
                                                                                            <w:top w:val="none" w:sz="0" w:space="0" w:color="auto"/>
                                                                                            <w:left w:val="none" w:sz="0" w:space="0" w:color="auto"/>
                                                                                            <w:bottom w:val="none" w:sz="0" w:space="0" w:color="auto"/>
                                                                                            <w:right w:val="none" w:sz="0" w:space="0" w:color="auto"/>
                                                                                          </w:divBdr>
                                                                                          <w:divsChild>
                                                                                            <w:div w:id="904875144">
                                                                                              <w:marLeft w:val="0"/>
                                                                                              <w:marRight w:val="0"/>
                                                                                              <w:marTop w:val="0"/>
                                                                                              <w:marBottom w:val="0"/>
                                                                                              <w:divBdr>
                                                                                                <w:top w:val="none" w:sz="0" w:space="0" w:color="auto"/>
                                                                                                <w:left w:val="none" w:sz="0" w:space="0" w:color="auto"/>
                                                                                                <w:bottom w:val="none" w:sz="0" w:space="0" w:color="auto"/>
                                                                                                <w:right w:val="none" w:sz="0" w:space="0" w:color="auto"/>
                                                                                              </w:divBdr>
                                                                                            </w:div>
                                                                                          </w:divsChild>
                                                                                        </w:div>
                                                                                        <w:div w:id="419833408">
                                                                                          <w:marLeft w:val="0"/>
                                                                                          <w:marRight w:val="0"/>
                                                                                          <w:marTop w:val="0"/>
                                                                                          <w:marBottom w:val="0"/>
                                                                                          <w:divBdr>
                                                                                            <w:top w:val="none" w:sz="0" w:space="0" w:color="auto"/>
                                                                                            <w:left w:val="none" w:sz="0" w:space="0" w:color="auto"/>
                                                                                            <w:bottom w:val="none" w:sz="0" w:space="0" w:color="auto"/>
                                                                                            <w:right w:val="none" w:sz="0" w:space="0" w:color="auto"/>
                                                                                          </w:divBdr>
                                                                                          <w:divsChild>
                                                                                            <w:div w:id="283973384">
                                                                                              <w:marLeft w:val="0"/>
                                                                                              <w:marRight w:val="0"/>
                                                                                              <w:marTop w:val="0"/>
                                                                                              <w:marBottom w:val="0"/>
                                                                                              <w:divBdr>
                                                                                                <w:top w:val="none" w:sz="0" w:space="0" w:color="auto"/>
                                                                                                <w:left w:val="none" w:sz="0" w:space="0" w:color="auto"/>
                                                                                                <w:bottom w:val="none" w:sz="0" w:space="0" w:color="auto"/>
                                                                                                <w:right w:val="none" w:sz="0" w:space="0" w:color="auto"/>
                                                                                              </w:divBdr>
                                                                                            </w:div>
                                                                                          </w:divsChild>
                                                                                        </w:div>
                                                                                        <w:div w:id="310328076">
                                                                                          <w:marLeft w:val="0"/>
                                                                                          <w:marRight w:val="0"/>
                                                                                          <w:marTop w:val="0"/>
                                                                                          <w:marBottom w:val="0"/>
                                                                                          <w:divBdr>
                                                                                            <w:top w:val="none" w:sz="0" w:space="0" w:color="auto"/>
                                                                                            <w:left w:val="none" w:sz="0" w:space="0" w:color="auto"/>
                                                                                            <w:bottom w:val="none" w:sz="0" w:space="0" w:color="auto"/>
                                                                                            <w:right w:val="none" w:sz="0" w:space="0" w:color="auto"/>
                                                                                          </w:divBdr>
                                                                                          <w:divsChild>
                                                                                            <w:div w:id="1735472469">
                                                                                              <w:marLeft w:val="0"/>
                                                                                              <w:marRight w:val="0"/>
                                                                                              <w:marTop w:val="0"/>
                                                                                              <w:marBottom w:val="0"/>
                                                                                              <w:divBdr>
                                                                                                <w:top w:val="none" w:sz="0" w:space="0" w:color="auto"/>
                                                                                                <w:left w:val="none" w:sz="0" w:space="0" w:color="auto"/>
                                                                                                <w:bottom w:val="none" w:sz="0" w:space="0" w:color="auto"/>
                                                                                                <w:right w:val="none" w:sz="0" w:space="0" w:color="auto"/>
                                                                                              </w:divBdr>
                                                                                            </w:div>
                                                                                          </w:divsChild>
                                                                                        </w:div>
                                                                                        <w:div w:id="634721413">
                                                                                          <w:marLeft w:val="0"/>
                                                                                          <w:marRight w:val="0"/>
                                                                                          <w:marTop w:val="0"/>
                                                                                          <w:marBottom w:val="0"/>
                                                                                          <w:divBdr>
                                                                                            <w:top w:val="none" w:sz="0" w:space="0" w:color="auto"/>
                                                                                            <w:left w:val="none" w:sz="0" w:space="0" w:color="auto"/>
                                                                                            <w:bottom w:val="none" w:sz="0" w:space="0" w:color="auto"/>
                                                                                            <w:right w:val="none" w:sz="0" w:space="0" w:color="auto"/>
                                                                                          </w:divBdr>
                                                                                          <w:divsChild>
                                                                                            <w:div w:id="1661151779">
                                                                                              <w:marLeft w:val="0"/>
                                                                                              <w:marRight w:val="0"/>
                                                                                              <w:marTop w:val="0"/>
                                                                                              <w:marBottom w:val="0"/>
                                                                                              <w:divBdr>
                                                                                                <w:top w:val="none" w:sz="0" w:space="0" w:color="auto"/>
                                                                                                <w:left w:val="none" w:sz="0" w:space="0" w:color="auto"/>
                                                                                                <w:bottom w:val="none" w:sz="0" w:space="0" w:color="auto"/>
                                                                                                <w:right w:val="none" w:sz="0" w:space="0" w:color="auto"/>
                                                                                              </w:divBdr>
                                                                                            </w:div>
                                                                                          </w:divsChild>
                                                                                        </w:div>
                                                                                        <w:div w:id="268902975">
                                                                                          <w:marLeft w:val="0"/>
                                                                                          <w:marRight w:val="0"/>
                                                                                          <w:marTop w:val="0"/>
                                                                                          <w:marBottom w:val="0"/>
                                                                                          <w:divBdr>
                                                                                            <w:top w:val="none" w:sz="0" w:space="0" w:color="auto"/>
                                                                                            <w:left w:val="none" w:sz="0" w:space="0" w:color="auto"/>
                                                                                            <w:bottom w:val="none" w:sz="0" w:space="0" w:color="auto"/>
                                                                                            <w:right w:val="none" w:sz="0" w:space="0" w:color="auto"/>
                                                                                          </w:divBdr>
                                                                                          <w:divsChild>
                                                                                            <w:div w:id="1001395946">
                                                                                              <w:marLeft w:val="0"/>
                                                                                              <w:marRight w:val="0"/>
                                                                                              <w:marTop w:val="0"/>
                                                                                              <w:marBottom w:val="0"/>
                                                                                              <w:divBdr>
                                                                                                <w:top w:val="none" w:sz="0" w:space="0" w:color="auto"/>
                                                                                                <w:left w:val="none" w:sz="0" w:space="0" w:color="auto"/>
                                                                                                <w:bottom w:val="none" w:sz="0" w:space="0" w:color="auto"/>
                                                                                                <w:right w:val="none" w:sz="0" w:space="0" w:color="auto"/>
                                                                                              </w:divBdr>
                                                                                            </w:div>
                                                                                          </w:divsChild>
                                                                                        </w:div>
                                                                                        <w:div w:id="1073233433">
                                                                                          <w:marLeft w:val="0"/>
                                                                                          <w:marRight w:val="0"/>
                                                                                          <w:marTop w:val="0"/>
                                                                                          <w:marBottom w:val="0"/>
                                                                                          <w:divBdr>
                                                                                            <w:top w:val="none" w:sz="0" w:space="0" w:color="auto"/>
                                                                                            <w:left w:val="none" w:sz="0" w:space="0" w:color="auto"/>
                                                                                            <w:bottom w:val="none" w:sz="0" w:space="0" w:color="auto"/>
                                                                                            <w:right w:val="none" w:sz="0" w:space="0" w:color="auto"/>
                                                                                          </w:divBdr>
                                                                                          <w:divsChild>
                                                                                            <w:div w:id="1292981142">
                                                                                              <w:marLeft w:val="0"/>
                                                                                              <w:marRight w:val="0"/>
                                                                                              <w:marTop w:val="0"/>
                                                                                              <w:marBottom w:val="0"/>
                                                                                              <w:divBdr>
                                                                                                <w:top w:val="none" w:sz="0" w:space="0" w:color="auto"/>
                                                                                                <w:left w:val="none" w:sz="0" w:space="0" w:color="auto"/>
                                                                                                <w:bottom w:val="none" w:sz="0" w:space="0" w:color="auto"/>
                                                                                                <w:right w:val="none" w:sz="0" w:space="0" w:color="auto"/>
                                                                                              </w:divBdr>
                                                                                            </w:div>
                                                                                          </w:divsChild>
                                                                                        </w:div>
                                                                                        <w:div w:id="2063946262">
                                                                                          <w:marLeft w:val="0"/>
                                                                                          <w:marRight w:val="0"/>
                                                                                          <w:marTop w:val="0"/>
                                                                                          <w:marBottom w:val="0"/>
                                                                                          <w:divBdr>
                                                                                            <w:top w:val="none" w:sz="0" w:space="0" w:color="auto"/>
                                                                                            <w:left w:val="none" w:sz="0" w:space="0" w:color="auto"/>
                                                                                            <w:bottom w:val="none" w:sz="0" w:space="0" w:color="auto"/>
                                                                                            <w:right w:val="none" w:sz="0" w:space="0" w:color="auto"/>
                                                                                          </w:divBdr>
                                                                                          <w:divsChild>
                                                                                            <w:div w:id="1646398928">
                                                                                              <w:marLeft w:val="0"/>
                                                                                              <w:marRight w:val="0"/>
                                                                                              <w:marTop w:val="0"/>
                                                                                              <w:marBottom w:val="0"/>
                                                                                              <w:divBdr>
                                                                                                <w:top w:val="none" w:sz="0" w:space="0" w:color="auto"/>
                                                                                                <w:left w:val="none" w:sz="0" w:space="0" w:color="auto"/>
                                                                                                <w:bottom w:val="none" w:sz="0" w:space="0" w:color="auto"/>
                                                                                                <w:right w:val="none" w:sz="0" w:space="0" w:color="auto"/>
                                                                                              </w:divBdr>
                                                                                            </w:div>
                                                                                          </w:divsChild>
                                                                                        </w:div>
                                                                                        <w:div w:id="1566722017">
                                                                                          <w:marLeft w:val="0"/>
                                                                                          <w:marRight w:val="0"/>
                                                                                          <w:marTop w:val="0"/>
                                                                                          <w:marBottom w:val="0"/>
                                                                                          <w:divBdr>
                                                                                            <w:top w:val="none" w:sz="0" w:space="0" w:color="auto"/>
                                                                                            <w:left w:val="none" w:sz="0" w:space="0" w:color="auto"/>
                                                                                            <w:bottom w:val="none" w:sz="0" w:space="0" w:color="auto"/>
                                                                                            <w:right w:val="none" w:sz="0" w:space="0" w:color="auto"/>
                                                                                          </w:divBdr>
                                                                                          <w:divsChild>
                                                                                            <w:div w:id="667826953">
                                                                                              <w:marLeft w:val="0"/>
                                                                                              <w:marRight w:val="0"/>
                                                                                              <w:marTop w:val="0"/>
                                                                                              <w:marBottom w:val="0"/>
                                                                                              <w:divBdr>
                                                                                                <w:top w:val="none" w:sz="0" w:space="0" w:color="auto"/>
                                                                                                <w:left w:val="none" w:sz="0" w:space="0" w:color="auto"/>
                                                                                                <w:bottom w:val="none" w:sz="0" w:space="0" w:color="auto"/>
                                                                                                <w:right w:val="none" w:sz="0" w:space="0" w:color="auto"/>
                                                                                              </w:divBdr>
                                                                                            </w:div>
                                                                                          </w:divsChild>
                                                                                        </w:div>
                                                                                        <w:div w:id="952397886">
                                                                                          <w:marLeft w:val="0"/>
                                                                                          <w:marRight w:val="0"/>
                                                                                          <w:marTop w:val="0"/>
                                                                                          <w:marBottom w:val="0"/>
                                                                                          <w:divBdr>
                                                                                            <w:top w:val="none" w:sz="0" w:space="0" w:color="auto"/>
                                                                                            <w:left w:val="none" w:sz="0" w:space="0" w:color="auto"/>
                                                                                            <w:bottom w:val="none" w:sz="0" w:space="0" w:color="auto"/>
                                                                                            <w:right w:val="none" w:sz="0" w:space="0" w:color="auto"/>
                                                                                          </w:divBdr>
                                                                                          <w:divsChild>
                                                                                            <w:div w:id="355623717">
                                                                                              <w:marLeft w:val="0"/>
                                                                                              <w:marRight w:val="0"/>
                                                                                              <w:marTop w:val="0"/>
                                                                                              <w:marBottom w:val="0"/>
                                                                                              <w:divBdr>
                                                                                                <w:top w:val="none" w:sz="0" w:space="0" w:color="auto"/>
                                                                                                <w:left w:val="none" w:sz="0" w:space="0" w:color="auto"/>
                                                                                                <w:bottom w:val="none" w:sz="0" w:space="0" w:color="auto"/>
                                                                                                <w:right w:val="none" w:sz="0" w:space="0" w:color="auto"/>
                                                                                              </w:divBdr>
                                                                                            </w:div>
                                                                                          </w:divsChild>
                                                                                        </w:div>
                                                                                        <w:div w:id="1510868146">
                                                                                          <w:marLeft w:val="0"/>
                                                                                          <w:marRight w:val="0"/>
                                                                                          <w:marTop w:val="0"/>
                                                                                          <w:marBottom w:val="0"/>
                                                                                          <w:divBdr>
                                                                                            <w:top w:val="none" w:sz="0" w:space="0" w:color="auto"/>
                                                                                            <w:left w:val="none" w:sz="0" w:space="0" w:color="auto"/>
                                                                                            <w:bottom w:val="none" w:sz="0" w:space="0" w:color="auto"/>
                                                                                            <w:right w:val="none" w:sz="0" w:space="0" w:color="auto"/>
                                                                                          </w:divBdr>
                                                                                          <w:divsChild>
                                                                                            <w:div w:id="918173325">
                                                                                              <w:marLeft w:val="0"/>
                                                                                              <w:marRight w:val="0"/>
                                                                                              <w:marTop w:val="0"/>
                                                                                              <w:marBottom w:val="0"/>
                                                                                              <w:divBdr>
                                                                                                <w:top w:val="none" w:sz="0" w:space="0" w:color="auto"/>
                                                                                                <w:left w:val="none" w:sz="0" w:space="0" w:color="auto"/>
                                                                                                <w:bottom w:val="none" w:sz="0" w:space="0" w:color="auto"/>
                                                                                                <w:right w:val="none" w:sz="0" w:space="0" w:color="auto"/>
                                                                                              </w:divBdr>
                                                                                            </w:div>
                                                                                          </w:divsChild>
                                                                                        </w:div>
                                                                                        <w:div w:id="106629481">
                                                                                          <w:marLeft w:val="0"/>
                                                                                          <w:marRight w:val="0"/>
                                                                                          <w:marTop w:val="0"/>
                                                                                          <w:marBottom w:val="0"/>
                                                                                          <w:divBdr>
                                                                                            <w:top w:val="none" w:sz="0" w:space="0" w:color="auto"/>
                                                                                            <w:left w:val="none" w:sz="0" w:space="0" w:color="auto"/>
                                                                                            <w:bottom w:val="none" w:sz="0" w:space="0" w:color="auto"/>
                                                                                            <w:right w:val="none" w:sz="0" w:space="0" w:color="auto"/>
                                                                                          </w:divBdr>
                                                                                          <w:divsChild>
                                                                                            <w:div w:id="531266265">
                                                                                              <w:marLeft w:val="0"/>
                                                                                              <w:marRight w:val="0"/>
                                                                                              <w:marTop w:val="0"/>
                                                                                              <w:marBottom w:val="0"/>
                                                                                              <w:divBdr>
                                                                                                <w:top w:val="none" w:sz="0" w:space="0" w:color="auto"/>
                                                                                                <w:left w:val="none" w:sz="0" w:space="0" w:color="auto"/>
                                                                                                <w:bottom w:val="none" w:sz="0" w:space="0" w:color="auto"/>
                                                                                                <w:right w:val="none" w:sz="0" w:space="0" w:color="auto"/>
                                                                                              </w:divBdr>
                                                                                            </w:div>
                                                                                          </w:divsChild>
                                                                                        </w:div>
                                                                                        <w:div w:id="2128696159">
                                                                                          <w:marLeft w:val="0"/>
                                                                                          <w:marRight w:val="0"/>
                                                                                          <w:marTop w:val="0"/>
                                                                                          <w:marBottom w:val="0"/>
                                                                                          <w:divBdr>
                                                                                            <w:top w:val="none" w:sz="0" w:space="0" w:color="auto"/>
                                                                                            <w:left w:val="none" w:sz="0" w:space="0" w:color="auto"/>
                                                                                            <w:bottom w:val="none" w:sz="0" w:space="0" w:color="auto"/>
                                                                                            <w:right w:val="none" w:sz="0" w:space="0" w:color="auto"/>
                                                                                          </w:divBdr>
                                                                                          <w:divsChild>
                                                                                            <w:div w:id="2123762599">
                                                                                              <w:marLeft w:val="0"/>
                                                                                              <w:marRight w:val="0"/>
                                                                                              <w:marTop w:val="0"/>
                                                                                              <w:marBottom w:val="0"/>
                                                                                              <w:divBdr>
                                                                                                <w:top w:val="none" w:sz="0" w:space="0" w:color="auto"/>
                                                                                                <w:left w:val="none" w:sz="0" w:space="0" w:color="auto"/>
                                                                                                <w:bottom w:val="none" w:sz="0" w:space="0" w:color="auto"/>
                                                                                                <w:right w:val="none" w:sz="0" w:space="0" w:color="auto"/>
                                                                                              </w:divBdr>
                                                                                            </w:div>
                                                                                          </w:divsChild>
                                                                                        </w:div>
                                                                                        <w:div w:id="1492528313">
                                                                                          <w:marLeft w:val="0"/>
                                                                                          <w:marRight w:val="0"/>
                                                                                          <w:marTop w:val="0"/>
                                                                                          <w:marBottom w:val="0"/>
                                                                                          <w:divBdr>
                                                                                            <w:top w:val="none" w:sz="0" w:space="0" w:color="auto"/>
                                                                                            <w:left w:val="none" w:sz="0" w:space="0" w:color="auto"/>
                                                                                            <w:bottom w:val="none" w:sz="0" w:space="0" w:color="auto"/>
                                                                                            <w:right w:val="none" w:sz="0" w:space="0" w:color="auto"/>
                                                                                          </w:divBdr>
                                                                                          <w:divsChild>
                                                                                            <w:div w:id="313491070">
                                                                                              <w:marLeft w:val="0"/>
                                                                                              <w:marRight w:val="0"/>
                                                                                              <w:marTop w:val="0"/>
                                                                                              <w:marBottom w:val="0"/>
                                                                                              <w:divBdr>
                                                                                                <w:top w:val="none" w:sz="0" w:space="0" w:color="auto"/>
                                                                                                <w:left w:val="none" w:sz="0" w:space="0" w:color="auto"/>
                                                                                                <w:bottom w:val="none" w:sz="0" w:space="0" w:color="auto"/>
                                                                                                <w:right w:val="none" w:sz="0" w:space="0" w:color="auto"/>
                                                                                              </w:divBdr>
                                                                                            </w:div>
                                                                                          </w:divsChild>
                                                                                        </w:div>
                                                                                        <w:div w:id="1068840075">
                                                                                          <w:marLeft w:val="0"/>
                                                                                          <w:marRight w:val="0"/>
                                                                                          <w:marTop w:val="0"/>
                                                                                          <w:marBottom w:val="0"/>
                                                                                          <w:divBdr>
                                                                                            <w:top w:val="none" w:sz="0" w:space="0" w:color="auto"/>
                                                                                            <w:left w:val="none" w:sz="0" w:space="0" w:color="auto"/>
                                                                                            <w:bottom w:val="none" w:sz="0" w:space="0" w:color="auto"/>
                                                                                            <w:right w:val="none" w:sz="0" w:space="0" w:color="auto"/>
                                                                                          </w:divBdr>
                                                                                          <w:divsChild>
                                                                                            <w:div w:id="982584099">
                                                                                              <w:marLeft w:val="0"/>
                                                                                              <w:marRight w:val="0"/>
                                                                                              <w:marTop w:val="0"/>
                                                                                              <w:marBottom w:val="0"/>
                                                                                              <w:divBdr>
                                                                                                <w:top w:val="none" w:sz="0" w:space="0" w:color="auto"/>
                                                                                                <w:left w:val="none" w:sz="0" w:space="0" w:color="auto"/>
                                                                                                <w:bottom w:val="none" w:sz="0" w:space="0" w:color="auto"/>
                                                                                                <w:right w:val="none" w:sz="0" w:space="0" w:color="auto"/>
                                                                                              </w:divBdr>
                                                                                            </w:div>
                                                                                          </w:divsChild>
                                                                                        </w:div>
                                                                                        <w:div w:id="1118182369">
                                                                                          <w:marLeft w:val="0"/>
                                                                                          <w:marRight w:val="0"/>
                                                                                          <w:marTop w:val="0"/>
                                                                                          <w:marBottom w:val="0"/>
                                                                                          <w:divBdr>
                                                                                            <w:top w:val="none" w:sz="0" w:space="0" w:color="auto"/>
                                                                                            <w:left w:val="none" w:sz="0" w:space="0" w:color="auto"/>
                                                                                            <w:bottom w:val="none" w:sz="0" w:space="0" w:color="auto"/>
                                                                                            <w:right w:val="none" w:sz="0" w:space="0" w:color="auto"/>
                                                                                          </w:divBdr>
                                                                                          <w:divsChild>
                                                                                            <w:div w:id="1063679763">
                                                                                              <w:marLeft w:val="0"/>
                                                                                              <w:marRight w:val="0"/>
                                                                                              <w:marTop w:val="0"/>
                                                                                              <w:marBottom w:val="0"/>
                                                                                              <w:divBdr>
                                                                                                <w:top w:val="none" w:sz="0" w:space="0" w:color="auto"/>
                                                                                                <w:left w:val="none" w:sz="0" w:space="0" w:color="auto"/>
                                                                                                <w:bottom w:val="none" w:sz="0" w:space="0" w:color="auto"/>
                                                                                                <w:right w:val="none" w:sz="0" w:space="0" w:color="auto"/>
                                                                                              </w:divBdr>
                                                                                            </w:div>
                                                                                          </w:divsChild>
                                                                                        </w:div>
                                                                                        <w:div w:id="21442884">
                                                                                          <w:marLeft w:val="0"/>
                                                                                          <w:marRight w:val="0"/>
                                                                                          <w:marTop w:val="0"/>
                                                                                          <w:marBottom w:val="0"/>
                                                                                          <w:divBdr>
                                                                                            <w:top w:val="none" w:sz="0" w:space="0" w:color="auto"/>
                                                                                            <w:left w:val="none" w:sz="0" w:space="0" w:color="auto"/>
                                                                                            <w:bottom w:val="none" w:sz="0" w:space="0" w:color="auto"/>
                                                                                            <w:right w:val="none" w:sz="0" w:space="0" w:color="auto"/>
                                                                                          </w:divBdr>
                                                                                          <w:divsChild>
                                                                                            <w:div w:id="268855814">
                                                                                              <w:marLeft w:val="0"/>
                                                                                              <w:marRight w:val="0"/>
                                                                                              <w:marTop w:val="0"/>
                                                                                              <w:marBottom w:val="0"/>
                                                                                              <w:divBdr>
                                                                                                <w:top w:val="none" w:sz="0" w:space="0" w:color="auto"/>
                                                                                                <w:left w:val="none" w:sz="0" w:space="0" w:color="auto"/>
                                                                                                <w:bottom w:val="none" w:sz="0" w:space="0" w:color="auto"/>
                                                                                                <w:right w:val="none" w:sz="0" w:space="0" w:color="auto"/>
                                                                                              </w:divBdr>
                                                                                            </w:div>
                                                                                          </w:divsChild>
                                                                                        </w:div>
                                                                                        <w:div w:id="2017422300">
                                                                                          <w:marLeft w:val="0"/>
                                                                                          <w:marRight w:val="0"/>
                                                                                          <w:marTop w:val="0"/>
                                                                                          <w:marBottom w:val="0"/>
                                                                                          <w:divBdr>
                                                                                            <w:top w:val="none" w:sz="0" w:space="0" w:color="auto"/>
                                                                                            <w:left w:val="none" w:sz="0" w:space="0" w:color="auto"/>
                                                                                            <w:bottom w:val="none" w:sz="0" w:space="0" w:color="auto"/>
                                                                                            <w:right w:val="none" w:sz="0" w:space="0" w:color="auto"/>
                                                                                          </w:divBdr>
                                                                                          <w:divsChild>
                                                                                            <w:div w:id="429278733">
                                                                                              <w:marLeft w:val="0"/>
                                                                                              <w:marRight w:val="0"/>
                                                                                              <w:marTop w:val="0"/>
                                                                                              <w:marBottom w:val="0"/>
                                                                                              <w:divBdr>
                                                                                                <w:top w:val="none" w:sz="0" w:space="0" w:color="auto"/>
                                                                                                <w:left w:val="none" w:sz="0" w:space="0" w:color="auto"/>
                                                                                                <w:bottom w:val="none" w:sz="0" w:space="0" w:color="auto"/>
                                                                                                <w:right w:val="none" w:sz="0" w:space="0" w:color="auto"/>
                                                                                              </w:divBdr>
                                                                                            </w:div>
                                                                                          </w:divsChild>
                                                                                        </w:div>
                                                                                        <w:div w:id="1761675921">
                                                                                          <w:marLeft w:val="0"/>
                                                                                          <w:marRight w:val="0"/>
                                                                                          <w:marTop w:val="0"/>
                                                                                          <w:marBottom w:val="0"/>
                                                                                          <w:divBdr>
                                                                                            <w:top w:val="none" w:sz="0" w:space="0" w:color="auto"/>
                                                                                            <w:left w:val="none" w:sz="0" w:space="0" w:color="auto"/>
                                                                                            <w:bottom w:val="none" w:sz="0" w:space="0" w:color="auto"/>
                                                                                            <w:right w:val="none" w:sz="0" w:space="0" w:color="auto"/>
                                                                                          </w:divBdr>
                                                                                          <w:divsChild>
                                                                                            <w:div w:id="1840149395">
                                                                                              <w:marLeft w:val="0"/>
                                                                                              <w:marRight w:val="0"/>
                                                                                              <w:marTop w:val="0"/>
                                                                                              <w:marBottom w:val="0"/>
                                                                                              <w:divBdr>
                                                                                                <w:top w:val="none" w:sz="0" w:space="0" w:color="auto"/>
                                                                                                <w:left w:val="none" w:sz="0" w:space="0" w:color="auto"/>
                                                                                                <w:bottom w:val="none" w:sz="0" w:space="0" w:color="auto"/>
                                                                                                <w:right w:val="none" w:sz="0" w:space="0" w:color="auto"/>
                                                                                              </w:divBdr>
                                                                                            </w:div>
                                                                                          </w:divsChild>
                                                                                        </w:div>
                                                                                        <w:div w:id="432478755">
                                                                                          <w:marLeft w:val="0"/>
                                                                                          <w:marRight w:val="0"/>
                                                                                          <w:marTop w:val="0"/>
                                                                                          <w:marBottom w:val="0"/>
                                                                                          <w:divBdr>
                                                                                            <w:top w:val="none" w:sz="0" w:space="0" w:color="auto"/>
                                                                                            <w:left w:val="none" w:sz="0" w:space="0" w:color="auto"/>
                                                                                            <w:bottom w:val="none" w:sz="0" w:space="0" w:color="auto"/>
                                                                                            <w:right w:val="none" w:sz="0" w:space="0" w:color="auto"/>
                                                                                          </w:divBdr>
                                                                                          <w:divsChild>
                                                                                            <w:div w:id="1993217029">
                                                                                              <w:marLeft w:val="0"/>
                                                                                              <w:marRight w:val="0"/>
                                                                                              <w:marTop w:val="0"/>
                                                                                              <w:marBottom w:val="0"/>
                                                                                              <w:divBdr>
                                                                                                <w:top w:val="none" w:sz="0" w:space="0" w:color="auto"/>
                                                                                                <w:left w:val="none" w:sz="0" w:space="0" w:color="auto"/>
                                                                                                <w:bottom w:val="none" w:sz="0" w:space="0" w:color="auto"/>
                                                                                                <w:right w:val="none" w:sz="0" w:space="0" w:color="auto"/>
                                                                                              </w:divBdr>
                                                                                            </w:div>
                                                                                          </w:divsChild>
                                                                                        </w:div>
                                                                                        <w:div w:id="1274051760">
                                                                                          <w:marLeft w:val="0"/>
                                                                                          <w:marRight w:val="0"/>
                                                                                          <w:marTop w:val="0"/>
                                                                                          <w:marBottom w:val="0"/>
                                                                                          <w:divBdr>
                                                                                            <w:top w:val="none" w:sz="0" w:space="0" w:color="auto"/>
                                                                                            <w:left w:val="none" w:sz="0" w:space="0" w:color="auto"/>
                                                                                            <w:bottom w:val="none" w:sz="0" w:space="0" w:color="auto"/>
                                                                                            <w:right w:val="none" w:sz="0" w:space="0" w:color="auto"/>
                                                                                          </w:divBdr>
                                                                                          <w:divsChild>
                                                                                            <w:div w:id="1119448867">
                                                                                              <w:marLeft w:val="0"/>
                                                                                              <w:marRight w:val="0"/>
                                                                                              <w:marTop w:val="0"/>
                                                                                              <w:marBottom w:val="0"/>
                                                                                              <w:divBdr>
                                                                                                <w:top w:val="none" w:sz="0" w:space="0" w:color="auto"/>
                                                                                                <w:left w:val="none" w:sz="0" w:space="0" w:color="auto"/>
                                                                                                <w:bottom w:val="none" w:sz="0" w:space="0" w:color="auto"/>
                                                                                                <w:right w:val="none" w:sz="0" w:space="0" w:color="auto"/>
                                                                                              </w:divBdr>
                                                                                            </w:div>
                                                                                          </w:divsChild>
                                                                                        </w:div>
                                                                                        <w:div w:id="1519928297">
                                                                                          <w:marLeft w:val="0"/>
                                                                                          <w:marRight w:val="0"/>
                                                                                          <w:marTop w:val="0"/>
                                                                                          <w:marBottom w:val="0"/>
                                                                                          <w:divBdr>
                                                                                            <w:top w:val="none" w:sz="0" w:space="0" w:color="auto"/>
                                                                                            <w:left w:val="none" w:sz="0" w:space="0" w:color="auto"/>
                                                                                            <w:bottom w:val="none" w:sz="0" w:space="0" w:color="auto"/>
                                                                                            <w:right w:val="none" w:sz="0" w:space="0" w:color="auto"/>
                                                                                          </w:divBdr>
                                                                                          <w:divsChild>
                                                                                            <w:div w:id="738674702">
                                                                                              <w:marLeft w:val="0"/>
                                                                                              <w:marRight w:val="0"/>
                                                                                              <w:marTop w:val="0"/>
                                                                                              <w:marBottom w:val="0"/>
                                                                                              <w:divBdr>
                                                                                                <w:top w:val="none" w:sz="0" w:space="0" w:color="auto"/>
                                                                                                <w:left w:val="none" w:sz="0" w:space="0" w:color="auto"/>
                                                                                                <w:bottom w:val="none" w:sz="0" w:space="0" w:color="auto"/>
                                                                                                <w:right w:val="none" w:sz="0" w:space="0" w:color="auto"/>
                                                                                              </w:divBdr>
                                                                                            </w:div>
                                                                                          </w:divsChild>
                                                                                        </w:div>
                                                                                        <w:div w:id="1414010641">
                                                                                          <w:marLeft w:val="0"/>
                                                                                          <w:marRight w:val="0"/>
                                                                                          <w:marTop w:val="0"/>
                                                                                          <w:marBottom w:val="0"/>
                                                                                          <w:divBdr>
                                                                                            <w:top w:val="none" w:sz="0" w:space="0" w:color="auto"/>
                                                                                            <w:left w:val="none" w:sz="0" w:space="0" w:color="auto"/>
                                                                                            <w:bottom w:val="none" w:sz="0" w:space="0" w:color="auto"/>
                                                                                            <w:right w:val="none" w:sz="0" w:space="0" w:color="auto"/>
                                                                                          </w:divBdr>
                                                                                          <w:divsChild>
                                                                                            <w:div w:id="1466702208">
                                                                                              <w:marLeft w:val="0"/>
                                                                                              <w:marRight w:val="0"/>
                                                                                              <w:marTop w:val="0"/>
                                                                                              <w:marBottom w:val="0"/>
                                                                                              <w:divBdr>
                                                                                                <w:top w:val="none" w:sz="0" w:space="0" w:color="auto"/>
                                                                                                <w:left w:val="none" w:sz="0" w:space="0" w:color="auto"/>
                                                                                                <w:bottom w:val="none" w:sz="0" w:space="0" w:color="auto"/>
                                                                                                <w:right w:val="none" w:sz="0" w:space="0" w:color="auto"/>
                                                                                              </w:divBdr>
                                                                                            </w:div>
                                                                                          </w:divsChild>
                                                                                        </w:div>
                                                                                        <w:div w:id="1337728886">
                                                                                          <w:marLeft w:val="0"/>
                                                                                          <w:marRight w:val="0"/>
                                                                                          <w:marTop w:val="0"/>
                                                                                          <w:marBottom w:val="0"/>
                                                                                          <w:divBdr>
                                                                                            <w:top w:val="none" w:sz="0" w:space="0" w:color="auto"/>
                                                                                            <w:left w:val="none" w:sz="0" w:space="0" w:color="auto"/>
                                                                                            <w:bottom w:val="none" w:sz="0" w:space="0" w:color="auto"/>
                                                                                            <w:right w:val="none" w:sz="0" w:space="0" w:color="auto"/>
                                                                                          </w:divBdr>
                                                                                          <w:divsChild>
                                                                                            <w:div w:id="1744831477">
                                                                                              <w:marLeft w:val="0"/>
                                                                                              <w:marRight w:val="0"/>
                                                                                              <w:marTop w:val="0"/>
                                                                                              <w:marBottom w:val="0"/>
                                                                                              <w:divBdr>
                                                                                                <w:top w:val="none" w:sz="0" w:space="0" w:color="auto"/>
                                                                                                <w:left w:val="none" w:sz="0" w:space="0" w:color="auto"/>
                                                                                                <w:bottom w:val="none" w:sz="0" w:space="0" w:color="auto"/>
                                                                                                <w:right w:val="none" w:sz="0" w:space="0" w:color="auto"/>
                                                                                              </w:divBdr>
                                                                                            </w:div>
                                                                                          </w:divsChild>
                                                                                        </w:div>
                                                                                        <w:div w:id="184637153">
                                                                                          <w:marLeft w:val="0"/>
                                                                                          <w:marRight w:val="0"/>
                                                                                          <w:marTop w:val="0"/>
                                                                                          <w:marBottom w:val="0"/>
                                                                                          <w:divBdr>
                                                                                            <w:top w:val="none" w:sz="0" w:space="0" w:color="auto"/>
                                                                                            <w:left w:val="none" w:sz="0" w:space="0" w:color="auto"/>
                                                                                            <w:bottom w:val="none" w:sz="0" w:space="0" w:color="auto"/>
                                                                                            <w:right w:val="none" w:sz="0" w:space="0" w:color="auto"/>
                                                                                          </w:divBdr>
                                                                                          <w:divsChild>
                                                                                            <w:div w:id="2022930354">
                                                                                              <w:marLeft w:val="0"/>
                                                                                              <w:marRight w:val="0"/>
                                                                                              <w:marTop w:val="0"/>
                                                                                              <w:marBottom w:val="0"/>
                                                                                              <w:divBdr>
                                                                                                <w:top w:val="none" w:sz="0" w:space="0" w:color="auto"/>
                                                                                                <w:left w:val="none" w:sz="0" w:space="0" w:color="auto"/>
                                                                                                <w:bottom w:val="none" w:sz="0" w:space="0" w:color="auto"/>
                                                                                                <w:right w:val="none" w:sz="0" w:space="0" w:color="auto"/>
                                                                                              </w:divBdr>
                                                                                            </w:div>
                                                                                          </w:divsChild>
                                                                                        </w:div>
                                                                                        <w:div w:id="129520866">
                                                                                          <w:marLeft w:val="0"/>
                                                                                          <w:marRight w:val="0"/>
                                                                                          <w:marTop w:val="0"/>
                                                                                          <w:marBottom w:val="0"/>
                                                                                          <w:divBdr>
                                                                                            <w:top w:val="none" w:sz="0" w:space="0" w:color="auto"/>
                                                                                            <w:left w:val="none" w:sz="0" w:space="0" w:color="auto"/>
                                                                                            <w:bottom w:val="none" w:sz="0" w:space="0" w:color="auto"/>
                                                                                            <w:right w:val="none" w:sz="0" w:space="0" w:color="auto"/>
                                                                                          </w:divBdr>
                                                                                          <w:divsChild>
                                                                                            <w:div w:id="307636397">
                                                                                              <w:marLeft w:val="0"/>
                                                                                              <w:marRight w:val="0"/>
                                                                                              <w:marTop w:val="0"/>
                                                                                              <w:marBottom w:val="0"/>
                                                                                              <w:divBdr>
                                                                                                <w:top w:val="none" w:sz="0" w:space="0" w:color="auto"/>
                                                                                                <w:left w:val="none" w:sz="0" w:space="0" w:color="auto"/>
                                                                                                <w:bottom w:val="none" w:sz="0" w:space="0" w:color="auto"/>
                                                                                                <w:right w:val="none" w:sz="0" w:space="0" w:color="auto"/>
                                                                                              </w:divBdr>
                                                                                            </w:div>
                                                                                          </w:divsChild>
                                                                                        </w:div>
                                                                                        <w:div w:id="1028944321">
                                                                                          <w:marLeft w:val="0"/>
                                                                                          <w:marRight w:val="0"/>
                                                                                          <w:marTop w:val="0"/>
                                                                                          <w:marBottom w:val="0"/>
                                                                                          <w:divBdr>
                                                                                            <w:top w:val="none" w:sz="0" w:space="0" w:color="auto"/>
                                                                                            <w:left w:val="none" w:sz="0" w:space="0" w:color="auto"/>
                                                                                            <w:bottom w:val="none" w:sz="0" w:space="0" w:color="auto"/>
                                                                                            <w:right w:val="none" w:sz="0" w:space="0" w:color="auto"/>
                                                                                          </w:divBdr>
                                                                                          <w:divsChild>
                                                                                            <w:div w:id="250050443">
                                                                                              <w:marLeft w:val="0"/>
                                                                                              <w:marRight w:val="0"/>
                                                                                              <w:marTop w:val="0"/>
                                                                                              <w:marBottom w:val="0"/>
                                                                                              <w:divBdr>
                                                                                                <w:top w:val="none" w:sz="0" w:space="0" w:color="auto"/>
                                                                                                <w:left w:val="none" w:sz="0" w:space="0" w:color="auto"/>
                                                                                                <w:bottom w:val="none" w:sz="0" w:space="0" w:color="auto"/>
                                                                                                <w:right w:val="none" w:sz="0" w:space="0" w:color="auto"/>
                                                                                              </w:divBdr>
                                                                                            </w:div>
                                                                                          </w:divsChild>
                                                                                        </w:div>
                                                                                        <w:div w:id="582834690">
                                                                                          <w:marLeft w:val="0"/>
                                                                                          <w:marRight w:val="0"/>
                                                                                          <w:marTop w:val="0"/>
                                                                                          <w:marBottom w:val="0"/>
                                                                                          <w:divBdr>
                                                                                            <w:top w:val="none" w:sz="0" w:space="0" w:color="auto"/>
                                                                                            <w:left w:val="none" w:sz="0" w:space="0" w:color="auto"/>
                                                                                            <w:bottom w:val="none" w:sz="0" w:space="0" w:color="auto"/>
                                                                                            <w:right w:val="none" w:sz="0" w:space="0" w:color="auto"/>
                                                                                          </w:divBdr>
                                                                                          <w:divsChild>
                                                                                            <w:div w:id="569390341">
                                                                                              <w:marLeft w:val="0"/>
                                                                                              <w:marRight w:val="0"/>
                                                                                              <w:marTop w:val="0"/>
                                                                                              <w:marBottom w:val="0"/>
                                                                                              <w:divBdr>
                                                                                                <w:top w:val="none" w:sz="0" w:space="0" w:color="auto"/>
                                                                                                <w:left w:val="none" w:sz="0" w:space="0" w:color="auto"/>
                                                                                                <w:bottom w:val="none" w:sz="0" w:space="0" w:color="auto"/>
                                                                                                <w:right w:val="none" w:sz="0" w:space="0" w:color="auto"/>
                                                                                              </w:divBdr>
                                                                                            </w:div>
                                                                                          </w:divsChild>
                                                                                        </w:div>
                                                                                        <w:div w:id="104006773">
                                                                                          <w:marLeft w:val="0"/>
                                                                                          <w:marRight w:val="0"/>
                                                                                          <w:marTop w:val="0"/>
                                                                                          <w:marBottom w:val="0"/>
                                                                                          <w:divBdr>
                                                                                            <w:top w:val="none" w:sz="0" w:space="0" w:color="auto"/>
                                                                                            <w:left w:val="none" w:sz="0" w:space="0" w:color="auto"/>
                                                                                            <w:bottom w:val="none" w:sz="0" w:space="0" w:color="auto"/>
                                                                                            <w:right w:val="none" w:sz="0" w:space="0" w:color="auto"/>
                                                                                          </w:divBdr>
                                                                                          <w:divsChild>
                                                                                            <w:div w:id="682710192">
                                                                                              <w:marLeft w:val="0"/>
                                                                                              <w:marRight w:val="0"/>
                                                                                              <w:marTop w:val="0"/>
                                                                                              <w:marBottom w:val="0"/>
                                                                                              <w:divBdr>
                                                                                                <w:top w:val="none" w:sz="0" w:space="0" w:color="auto"/>
                                                                                                <w:left w:val="none" w:sz="0" w:space="0" w:color="auto"/>
                                                                                                <w:bottom w:val="none" w:sz="0" w:space="0" w:color="auto"/>
                                                                                                <w:right w:val="none" w:sz="0" w:space="0" w:color="auto"/>
                                                                                              </w:divBdr>
                                                                                            </w:div>
                                                                                          </w:divsChild>
                                                                                        </w:div>
                                                                                        <w:div w:id="640425920">
                                                                                          <w:marLeft w:val="0"/>
                                                                                          <w:marRight w:val="0"/>
                                                                                          <w:marTop w:val="0"/>
                                                                                          <w:marBottom w:val="0"/>
                                                                                          <w:divBdr>
                                                                                            <w:top w:val="none" w:sz="0" w:space="0" w:color="auto"/>
                                                                                            <w:left w:val="none" w:sz="0" w:space="0" w:color="auto"/>
                                                                                            <w:bottom w:val="none" w:sz="0" w:space="0" w:color="auto"/>
                                                                                            <w:right w:val="none" w:sz="0" w:space="0" w:color="auto"/>
                                                                                          </w:divBdr>
                                                                                          <w:divsChild>
                                                                                            <w:div w:id="87044607">
                                                                                              <w:marLeft w:val="0"/>
                                                                                              <w:marRight w:val="0"/>
                                                                                              <w:marTop w:val="0"/>
                                                                                              <w:marBottom w:val="0"/>
                                                                                              <w:divBdr>
                                                                                                <w:top w:val="none" w:sz="0" w:space="0" w:color="auto"/>
                                                                                                <w:left w:val="none" w:sz="0" w:space="0" w:color="auto"/>
                                                                                                <w:bottom w:val="none" w:sz="0" w:space="0" w:color="auto"/>
                                                                                                <w:right w:val="none" w:sz="0" w:space="0" w:color="auto"/>
                                                                                              </w:divBdr>
                                                                                            </w:div>
                                                                                          </w:divsChild>
                                                                                        </w:div>
                                                                                        <w:div w:id="1896698511">
                                                                                          <w:marLeft w:val="0"/>
                                                                                          <w:marRight w:val="0"/>
                                                                                          <w:marTop w:val="0"/>
                                                                                          <w:marBottom w:val="0"/>
                                                                                          <w:divBdr>
                                                                                            <w:top w:val="none" w:sz="0" w:space="0" w:color="auto"/>
                                                                                            <w:left w:val="none" w:sz="0" w:space="0" w:color="auto"/>
                                                                                            <w:bottom w:val="none" w:sz="0" w:space="0" w:color="auto"/>
                                                                                            <w:right w:val="none" w:sz="0" w:space="0" w:color="auto"/>
                                                                                          </w:divBdr>
                                                                                          <w:divsChild>
                                                                                            <w:div w:id="503403128">
                                                                                              <w:marLeft w:val="0"/>
                                                                                              <w:marRight w:val="0"/>
                                                                                              <w:marTop w:val="0"/>
                                                                                              <w:marBottom w:val="0"/>
                                                                                              <w:divBdr>
                                                                                                <w:top w:val="none" w:sz="0" w:space="0" w:color="auto"/>
                                                                                                <w:left w:val="none" w:sz="0" w:space="0" w:color="auto"/>
                                                                                                <w:bottom w:val="none" w:sz="0" w:space="0" w:color="auto"/>
                                                                                                <w:right w:val="none" w:sz="0" w:space="0" w:color="auto"/>
                                                                                              </w:divBdr>
                                                                                            </w:div>
                                                                                          </w:divsChild>
                                                                                        </w:div>
                                                                                        <w:div w:id="933587294">
                                                                                          <w:marLeft w:val="0"/>
                                                                                          <w:marRight w:val="0"/>
                                                                                          <w:marTop w:val="0"/>
                                                                                          <w:marBottom w:val="0"/>
                                                                                          <w:divBdr>
                                                                                            <w:top w:val="none" w:sz="0" w:space="0" w:color="auto"/>
                                                                                            <w:left w:val="none" w:sz="0" w:space="0" w:color="auto"/>
                                                                                            <w:bottom w:val="none" w:sz="0" w:space="0" w:color="auto"/>
                                                                                            <w:right w:val="none" w:sz="0" w:space="0" w:color="auto"/>
                                                                                          </w:divBdr>
                                                                                          <w:divsChild>
                                                                                            <w:div w:id="1423180892">
                                                                                              <w:marLeft w:val="0"/>
                                                                                              <w:marRight w:val="0"/>
                                                                                              <w:marTop w:val="0"/>
                                                                                              <w:marBottom w:val="0"/>
                                                                                              <w:divBdr>
                                                                                                <w:top w:val="none" w:sz="0" w:space="0" w:color="auto"/>
                                                                                                <w:left w:val="none" w:sz="0" w:space="0" w:color="auto"/>
                                                                                                <w:bottom w:val="none" w:sz="0" w:space="0" w:color="auto"/>
                                                                                                <w:right w:val="none" w:sz="0" w:space="0" w:color="auto"/>
                                                                                              </w:divBdr>
                                                                                            </w:div>
                                                                                          </w:divsChild>
                                                                                        </w:div>
                                                                                        <w:div w:id="144007564">
                                                                                          <w:marLeft w:val="0"/>
                                                                                          <w:marRight w:val="0"/>
                                                                                          <w:marTop w:val="0"/>
                                                                                          <w:marBottom w:val="0"/>
                                                                                          <w:divBdr>
                                                                                            <w:top w:val="none" w:sz="0" w:space="0" w:color="auto"/>
                                                                                            <w:left w:val="none" w:sz="0" w:space="0" w:color="auto"/>
                                                                                            <w:bottom w:val="none" w:sz="0" w:space="0" w:color="auto"/>
                                                                                            <w:right w:val="none" w:sz="0" w:space="0" w:color="auto"/>
                                                                                          </w:divBdr>
                                                                                          <w:divsChild>
                                                                                            <w:div w:id="1597905181">
                                                                                              <w:marLeft w:val="0"/>
                                                                                              <w:marRight w:val="0"/>
                                                                                              <w:marTop w:val="0"/>
                                                                                              <w:marBottom w:val="0"/>
                                                                                              <w:divBdr>
                                                                                                <w:top w:val="none" w:sz="0" w:space="0" w:color="auto"/>
                                                                                                <w:left w:val="none" w:sz="0" w:space="0" w:color="auto"/>
                                                                                                <w:bottom w:val="none" w:sz="0" w:space="0" w:color="auto"/>
                                                                                                <w:right w:val="none" w:sz="0" w:space="0" w:color="auto"/>
                                                                                              </w:divBdr>
                                                                                            </w:div>
                                                                                          </w:divsChild>
                                                                                        </w:div>
                                                                                        <w:div w:id="1563060908">
                                                                                          <w:marLeft w:val="0"/>
                                                                                          <w:marRight w:val="0"/>
                                                                                          <w:marTop w:val="0"/>
                                                                                          <w:marBottom w:val="0"/>
                                                                                          <w:divBdr>
                                                                                            <w:top w:val="none" w:sz="0" w:space="0" w:color="auto"/>
                                                                                            <w:left w:val="none" w:sz="0" w:space="0" w:color="auto"/>
                                                                                            <w:bottom w:val="none" w:sz="0" w:space="0" w:color="auto"/>
                                                                                            <w:right w:val="none" w:sz="0" w:space="0" w:color="auto"/>
                                                                                          </w:divBdr>
                                                                                          <w:divsChild>
                                                                                            <w:div w:id="1308894226">
                                                                                              <w:marLeft w:val="0"/>
                                                                                              <w:marRight w:val="0"/>
                                                                                              <w:marTop w:val="0"/>
                                                                                              <w:marBottom w:val="0"/>
                                                                                              <w:divBdr>
                                                                                                <w:top w:val="none" w:sz="0" w:space="0" w:color="auto"/>
                                                                                                <w:left w:val="none" w:sz="0" w:space="0" w:color="auto"/>
                                                                                                <w:bottom w:val="none" w:sz="0" w:space="0" w:color="auto"/>
                                                                                                <w:right w:val="none" w:sz="0" w:space="0" w:color="auto"/>
                                                                                              </w:divBdr>
                                                                                            </w:div>
                                                                                          </w:divsChild>
                                                                                        </w:div>
                                                                                        <w:div w:id="954142126">
                                                                                          <w:marLeft w:val="0"/>
                                                                                          <w:marRight w:val="0"/>
                                                                                          <w:marTop w:val="0"/>
                                                                                          <w:marBottom w:val="0"/>
                                                                                          <w:divBdr>
                                                                                            <w:top w:val="none" w:sz="0" w:space="0" w:color="auto"/>
                                                                                            <w:left w:val="none" w:sz="0" w:space="0" w:color="auto"/>
                                                                                            <w:bottom w:val="none" w:sz="0" w:space="0" w:color="auto"/>
                                                                                            <w:right w:val="none" w:sz="0" w:space="0" w:color="auto"/>
                                                                                          </w:divBdr>
                                                                                          <w:divsChild>
                                                                                            <w:div w:id="1666542968">
                                                                                              <w:marLeft w:val="0"/>
                                                                                              <w:marRight w:val="0"/>
                                                                                              <w:marTop w:val="0"/>
                                                                                              <w:marBottom w:val="0"/>
                                                                                              <w:divBdr>
                                                                                                <w:top w:val="none" w:sz="0" w:space="0" w:color="auto"/>
                                                                                                <w:left w:val="none" w:sz="0" w:space="0" w:color="auto"/>
                                                                                                <w:bottom w:val="none" w:sz="0" w:space="0" w:color="auto"/>
                                                                                                <w:right w:val="none" w:sz="0" w:space="0" w:color="auto"/>
                                                                                              </w:divBdr>
                                                                                            </w:div>
                                                                                          </w:divsChild>
                                                                                        </w:div>
                                                                                        <w:div w:id="1209151876">
                                                                                          <w:marLeft w:val="0"/>
                                                                                          <w:marRight w:val="0"/>
                                                                                          <w:marTop w:val="0"/>
                                                                                          <w:marBottom w:val="0"/>
                                                                                          <w:divBdr>
                                                                                            <w:top w:val="none" w:sz="0" w:space="0" w:color="auto"/>
                                                                                            <w:left w:val="none" w:sz="0" w:space="0" w:color="auto"/>
                                                                                            <w:bottom w:val="none" w:sz="0" w:space="0" w:color="auto"/>
                                                                                            <w:right w:val="none" w:sz="0" w:space="0" w:color="auto"/>
                                                                                          </w:divBdr>
                                                                                          <w:divsChild>
                                                                                            <w:div w:id="1519999311">
                                                                                              <w:marLeft w:val="0"/>
                                                                                              <w:marRight w:val="0"/>
                                                                                              <w:marTop w:val="0"/>
                                                                                              <w:marBottom w:val="0"/>
                                                                                              <w:divBdr>
                                                                                                <w:top w:val="none" w:sz="0" w:space="0" w:color="auto"/>
                                                                                                <w:left w:val="none" w:sz="0" w:space="0" w:color="auto"/>
                                                                                                <w:bottom w:val="none" w:sz="0" w:space="0" w:color="auto"/>
                                                                                                <w:right w:val="none" w:sz="0" w:space="0" w:color="auto"/>
                                                                                              </w:divBdr>
                                                                                            </w:div>
                                                                                          </w:divsChild>
                                                                                        </w:div>
                                                                                        <w:div w:id="1356153416">
                                                                                          <w:marLeft w:val="0"/>
                                                                                          <w:marRight w:val="0"/>
                                                                                          <w:marTop w:val="0"/>
                                                                                          <w:marBottom w:val="0"/>
                                                                                          <w:divBdr>
                                                                                            <w:top w:val="none" w:sz="0" w:space="0" w:color="auto"/>
                                                                                            <w:left w:val="none" w:sz="0" w:space="0" w:color="auto"/>
                                                                                            <w:bottom w:val="none" w:sz="0" w:space="0" w:color="auto"/>
                                                                                            <w:right w:val="none" w:sz="0" w:space="0" w:color="auto"/>
                                                                                          </w:divBdr>
                                                                                          <w:divsChild>
                                                                                            <w:div w:id="422654918">
                                                                                              <w:marLeft w:val="0"/>
                                                                                              <w:marRight w:val="0"/>
                                                                                              <w:marTop w:val="0"/>
                                                                                              <w:marBottom w:val="0"/>
                                                                                              <w:divBdr>
                                                                                                <w:top w:val="none" w:sz="0" w:space="0" w:color="auto"/>
                                                                                                <w:left w:val="none" w:sz="0" w:space="0" w:color="auto"/>
                                                                                                <w:bottom w:val="none" w:sz="0" w:space="0" w:color="auto"/>
                                                                                                <w:right w:val="none" w:sz="0" w:space="0" w:color="auto"/>
                                                                                              </w:divBdr>
                                                                                            </w:div>
                                                                                          </w:divsChild>
                                                                                        </w:div>
                                                                                        <w:div w:id="1713308090">
                                                                                          <w:marLeft w:val="0"/>
                                                                                          <w:marRight w:val="0"/>
                                                                                          <w:marTop w:val="0"/>
                                                                                          <w:marBottom w:val="0"/>
                                                                                          <w:divBdr>
                                                                                            <w:top w:val="none" w:sz="0" w:space="0" w:color="auto"/>
                                                                                            <w:left w:val="none" w:sz="0" w:space="0" w:color="auto"/>
                                                                                            <w:bottom w:val="none" w:sz="0" w:space="0" w:color="auto"/>
                                                                                            <w:right w:val="none" w:sz="0" w:space="0" w:color="auto"/>
                                                                                          </w:divBdr>
                                                                                          <w:divsChild>
                                                                                            <w:div w:id="1621954343">
                                                                                              <w:marLeft w:val="0"/>
                                                                                              <w:marRight w:val="0"/>
                                                                                              <w:marTop w:val="0"/>
                                                                                              <w:marBottom w:val="0"/>
                                                                                              <w:divBdr>
                                                                                                <w:top w:val="none" w:sz="0" w:space="0" w:color="auto"/>
                                                                                                <w:left w:val="none" w:sz="0" w:space="0" w:color="auto"/>
                                                                                                <w:bottom w:val="none" w:sz="0" w:space="0" w:color="auto"/>
                                                                                                <w:right w:val="none" w:sz="0" w:space="0" w:color="auto"/>
                                                                                              </w:divBdr>
                                                                                            </w:div>
                                                                                          </w:divsChild>
                                                                                        </w:div>
                                                                                        <w:div w:id="211312211">
                                                                                          <w:marLeft w:val="0"/>
                                                                                          <w:marRight w:val="0"/>
                                                                                          <w:marTop w:val="0"/>
                                                                                          <w:marBottom w:val="0"/>
                                                                                          <w:divBdr>
                                                                                            <w:top w:val="none" w:sz="0" w:space="0" w:color="auto"/>
                                                                                            <w:left w:val="none" w:sz="0" w:space="0" w:color="auto"/>
                                                                                            <w:bottom w:val="none" w:sz="0" w:space="0" w:color="auto"/>
                                                                                            <w:right w:val="none" w:sz="0" w:space="0" w:color="auto"/>
                                                                                          </w:divBdr>
                                                                                          <w:divsChild>
                                                                                            <w:div w:id="1035352392">
                                                                                              <w:marLeft w:val="0"/>
                                                                                              <w:marRight w:val="0"/>
                                                                                              <w:marTop w:val="0"/>
                                                                                              <w:marBottom w:val="0"/>
                                                                                              <w:divBdr>
                                                                                                <w:top w:val="none" w:sz="0" w:space="0" w:color="auto"/>
                                                                                                <w:left w:val="none" w:sz="0" w:space="0" w:color="auto"/>
                                                                                                <w:bottom w:val="none" w:sz="0" w:space="0" w:color="auto"/>
                                                                                                <w:right w:val="none" w:sz="0" w:space="0" w:color="auto"/>
                                                                                              </w:divBdr>
                                                                                            </w:div>
                                                                                          </w:divsChild>
                                                                                        </w:div>
                                                                                        <w:div w:id="158077694">
                                                                                          <w:marLeft w:val="0"/>
                                                                                          <w:marRight w:val="0"/>
                                                                                          <w:marTop w:val="0"/>
                                                                                          <w:marBottom w:val="0"/>
                                                                                          <w:divBdr>
                                                                                            <w:top w:val="none" w:sz="0" w:space="0" w:color="auto"/>
                                                                                            <w:left w:val="none" w:sz="0" w:space="0" w:color="auto"/>
                                                                                            <w:bottom w:val="none" w:sz="0" w:space="0" w:color="auto"/>
                                                                                            <w:right w:val="none" w:sz="0" w:space="0" w:color="auto"/>
                                                                                          </w:divBdr>
                                                                                          <w:divsChild>
                                                                                            <w:div w:id="995574822">
                                                                                              <w:marLeft w:val="0"/>
                                                                                              <w:marRight w:val="0"/>
                                                                                              <w:marTop w:val="0"/>
                                                                                              <w:marBottom w:val="0"/>
                                                                                              <w:divBdr>
                                                                                                <w:top w:val="none" w:sz="0" w:space="0" w:color="auto"/>
                                                                                                <w:left w:val="none" w:sz="0" w:space="0" w:color="auto"/>
                                                                                                <w:bottom w:val="none" w:sz="0" w:space="0" w:color="auto"/>
                                                                                                <w:right w:val="none" w:sz="0" w:space="0" w:color="auto"/>
                                                                                              </w:divBdr>
                                                                                            </w:div>
                                                                                          </w:divsChild>
                                                                                        </w:div>
                                                                                        <w:div w:id="50351696">
                                                                                          <w:marLeft w:val="0"/>
                                                                                          <w:marRight w:val="0"/>
                                                                                          <w:marTop w:val="0"/>
                                                                                          <w:marBottom w:val="0"/>
                                                                                          <w:divBdr>
                                                                                            <w:top w:val="none" w:sz="0" w:space="0" w:color="auto"/>
                                                                                            <w:left w:val="none" w:sz="0" w:space="0" w:color="auto"/>
                                                                                            <w:bottom w:val="none" w:sz="0" w:space="0" w:color="auto"/>
                                                                                            <w:right w:val="none" w:sz="0" w:space="0" w:color="auto"/>
                                                                                          </w:divBdr>
                                                                                          <w:divsChild>
                                                                                            <w:div w:id="79059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164934">
                                                                                  <w:marLeft w:val="0"/>
                                                                                  <w:marRight w:val="0"/>
                                                                                  <w:marTop w:val="0"/>
                                                                                  <w:marBottom w:val="0"/>
                                                                                  <w:divBdr>
                                                                                    <w:top w:val="none" w:sz="0" w:space="0" w:color="auto"/>
                                                                                    <w:left w:val="none" w:sz="0" w:space="0" w:color="auto"/>
                                                                                    <w:bottom w:val="none" w:sz="0" w:space="0" w:color="auto"/>
                                                                                    <w:right w:val="none" w:sz="0" w:space="0" w:color="auto"/>
                                                                                  </w:divBdr>
                                                                                </w:div>
                                                                                <w:div w:id="1042366537">
                                                                                  <w:marLeft w:val="0"/>
                                                                                  <w:marRight w:val="0"/>
                                                                                  <w:marTop w:val="0"/>
                                                                                  <w:marBottom w:val="0"/>
                                                                                  <w:divBdr>
                                                                                    <w:top w:val="none" w:sz="0" w:space="0" w:color="auto"/>
                                                                                    <w:left w:val="none" w:sz="0" w:space="0" w:color="auto"/>
                                                                                    <w:bottom w:val="none" w:sz="0" w:space="0" w:color="auto"/>
                                                                                    <w:right w:val="none" w:sz="0" w:space="0" w:color="auto"/>
                                                                                  </w:divBdr>
                                                                                </w:div>
                                                                                <w:div w:id="1056973680">
                                                                                  <w:marLeft w:val="0"/>
                                                                                  <w:marRight w:val="0"/>
                                                                                  <w:marTop w:val="0"/>
                                                                                  <w:marBottom w:val="0"/>
                                                                                  <w:divBdr>
                                                                                    <w:top w:val="none" w:sz="0" w:space="0" w:color="auto"/>
                                                                                    <w:left w:val="none" w:sz="0" w:space="0" w:color="auto"/>
                                                                                    <w:bottom w:val="none" w:sz="0" w:space="0" w:color="auto"/>
                                                                                    <w:right w:val="none" w:sz="0" w:space="0" w:color="auto"/>
                                                                                  </w:divBdr>
                                                                                </w:div>
                                                                                <w:div w:id="325548243">
                                                                                  <w:marLeft w:val="0"/>
                                                                                  <w:marRight w:val="0"/>
                                                                                  <w:marTop w:val="0"/>
                                                                                  <w:marBottom w:val="0"/>
                                                                                  <w:divBdr>
                                                                                    <w:top w:val="none" w:sz="0" w:space="0" w:color="auto"/>
                                                                                    <w:left w:val="none" w:sz="0" w:space="0" w:color="auto"/>
                                                                                    <w:bottom w:val="none" w:sz="0" w:space="0" w:color="auto"/>
                                                                                    <w:right w:val="none" w:sz="0" w:space="0" w:color="auto"/>
                                                                                  </w:divBdr>
                                                                                </w:div>
                                                                                <w:div w:id="1419712148">
                                                                                  <w:marLeft w:val="0"/>
                                                                                  <w:marRight w:val="0"/>
                                                                                  <w:marTop w:val="0"/>
                                                                                  <w:marBottom w:val="0"/>
                                                                                  <w:divBdr>
                                                                                    <w:top w:val="none" w:sz="0" w:space="0" w:color="auto"/>
                                                                                    <w:left w:val="none" w:sz="0" w:space="0" w:color="auto"/>
                                                                                    <w:bottom w:val="none" w:sz="0" w:space="0" w:color="auto"/>
                                                                                    <w:right w:val="none" w:sz="0" w:space="0" w:color="auto"/>
                                                                                  </w:divBdr>
                                                                                </w:div>
                                                                                <w:div w:id="1066338268">
                                                                                  <w:marLeft w:val="0"/>
                                                                                  <w:marRight w:val="0"/>
                                                                                  <w:marTop w:val="0"/>
                                                                                  <w:marBottom w:val="0"/>
                                                                                  <w:divBdr>
                                                                                    <w:top w:val="none" w:sz="0" w:space="0" w:color="auto"/>
                                                                                    <w:left w:val="none" w:sz="0" w:space="0" w:color="auto"/>
                                                                                    <w:bottom w:val="none" w:sz="0" w:space="0" w:color="auto"/>
                                                                                    <w:right w:val="none" w:sz="0" w:space="0" w:color="auto"/>
                                                                                  </w:divBdr>
                                                                                </w:div>
                                                                                <w:div w:id="428044027">
                                                                                  <w:marLeft w:val="0"/>
                                                                                  <w:marRight w:val="0"/>
                                                                                  <w:marTop w:val="0"/>
                                                                                  <w:marBottom w:val="0"/>
                                                                                  <w:divBdr>
                                                                                    <w:top w:val="none" w:sz="0" w:space="0" w:color="auto"/>
                                                                                    <w:left w:val="none" w:sz="0" w:space="0" w:color="auto"/>
                                                                                    <w:bottom w:val="none" w:sz="0" w:space="0" w:color="auto"/>
                                                                                    <w:right w:val="none" w:sz="0" w:space="0" w:color="auto"/>
                                                                                  </w:divBdr>
                                                                                </w:div>
                                                                                <w:div w:id="1261179655">
                                                                                  <w:marLeft w:val="0"/>
                                                                                  <w:marRight w:val="0"/>
                                                                                  <w:marTop w:val="0"/>
                                                                                  <w:marBottom w:val="0"/>
                                                                                  <w:divBdr>
                                                                                    <w:top w:val="none" w:sz="0" w:space="0" w:color="auto"/>
                                                                                    <w:left w:val="none" w:sz="0" w:space="0" w:color="auto"/>
                                                                                    <w:bottom w:val="none" w:sz="0" w:space="0" w:color="auto"/>
                                                                                    <w:right w:val="none" w:sz="0" w:space="0" w:color="auto"/>
                                                                                  </w:divBdr>
                                                                                </w:div>
                                                                                <w:div w:id="59332999">
                                                                                  <w:marLeft w:val="0"/>
                                                                                  <w:marRight w:val="0"/>
                                                                                  <w:marTop w:val="0"/>
                                                                                  <w:marBottom w:val="0"/>
                                                                                  <w:divBdr>
                                                                                    <w:top w:val="none" w:sz="0" w:space="0" w:color="auto"/>
                                                                                    <w:left w:val="none" w:sz="0" w:space="0" w:color="auto"/>
                                                                                    <w:bottom w:val="none" w:sz="0" w:space="0" w:color="auto"/>
                                                                                    <w:right w:val="none" w:sz="0" w:space="0" w:color="auto"/>
                                                                                  </w:divBdr>
                                                                                  <w:divsChild>
                                                                                    <w:div w:id="866868711">
                                                                                      <w:marLeft w:val="-75"/>
                                                                                      <w:marRight w:val="0"/>
                                                                                      <w:marTop w:val="30"/>
                                                                                      <w:marBottom w:val="30"/>
                                                                                      <w:divBdr>
                                                                                        <w:top w:val="none" w:sz="0" w:space="0" w:color="auto"/>
                                                                                        <w:left w:val="none" w:sz="0" w:space="0" w:color="auto"/>
                                                                                        <w:bottom w:val="none" w:sz="0" w:space="0" w:color="auto"/>
                                                                                        <w:right w:val="none" w:sz="0" w:space="0" w:color="auto"/>
                                                                                      </w:divBdr>
                                                                                      <w:divsChild>
                                                                                        <w:div w:id="479545027">
                                                                                          <w:marLeft w:val="0"/>
                                                                                          <w:marRight w:val="0"/>
                                                                                          <w:marTop w:val="0"/>
                                                                                          <w:marBottom w:val="0"/>
                                                                                          <w:divBdr>
                                                                                            <w:top w:val="none" w:sz="0" w:space="0" w:color="auto"/>
                                                                                            <w:left w:val="none" w:sz="0" w:space="0" w:color="auto"/>
                                                                                            <w:bottom w:val="none" w:sz="0" w:space="0" w:color="auto"/>
                                                                                            <w:right w:val="none" w:sz="0" w:space="0" w:color="auto"/>
                                                                                          </w:divBdr>
                                                                                          <w:divsChild>
                                                                                            <w:div w:id="296839643">
                                                                                              <w:marLeft w:val="0"/>
                                                                                              <w:marRight w:val="0"/>
                                                                                              <w:marTop w:val="0"/>
                                                                                              <w:marBottom w:val="0"/>
                                                                                              <w:divBdr>
                                                                                                <w:top w:val="none" w:sz="0" w:space="0" w:color="auto"/>
                                                                                                <w:left w:val="none" w:sz="0" w:space="0" w:color="auto"/>
                                                                                                <w:bottom w:val="none" w:sz="0" w:space="0" w:color="auto"/>
                                                                                                <w:right w:val="none" w:sz="0" w:space="0" w:color="auto"/>
                                                                                              </w:divBdr>
                                                                                            </w:div>
                                                                                          </w:divsChild>
                                                                                        </w:div>
                                                                                        <w:div w:id="943416837">
                                                                                          <w:marLeft w:val="0"/>
                                                                                          <w:marRight w:val="0"/>
                                                                                          <w:marTop w:val="0"/>
                                                                                          <w:marBottom w:val="0"/>
                                                                                          <w:divBdr>
                                                                                            <w:top w:val="none" w:sz="0" w:space="0" w:color="auto"/>
                                                                                            <w:left w:val="none" w:sz="0" w:space="0" w:color="auto"/>
                                                                                            <w:bottom w:val="none" w:sz="0" w:space="0" w:color="auto"/>
                                                                                            <w:right w:val="none" w:sz="0" w:space="0" w:color="auto"/>
                                                                                          </w:divBdr>
                                                                                          <w:divsChild>
                                                                                            <w:div w:id="916399945">
                                                                                              <w:marLeft w:val="0"/>
                                                                                              <w:marRight w:val="0"/>
                                                                                              <w:marTop w:val="0"/>
                                                                                              <w:marBottom w:val="0"/>
                                                                                              <w:divBdr>
                                                                                                <w:top w:val="none" w:sz="0" w:space="0" w:color="auto"/>
                                                                                                <w:left w:val="none" w:sz="0" w:space="0" w:color="auto"/>
                                                                                                <w:bottom w:val="none" w:sz="0" w:space="0" w:color="auto"/>
                                                                                                <w:right w:val="none" w:sz="0" w:space="0" w:color="auto"/>
                                                                                              </w:divBdr>
                                                                                            </w:div>
                                                                                          </w:divsChild>
                                                                                        </w:div>
                                                                                        <w:div w:id="396365894">
                                                                                          <w:marLeft w:val="0"/>
                                                                                          <w:marRight w:val="0"/>
                                                                                          <w:marTop w:val="0"/>
                                                                                          <w:marBottom w:val="0"/>
                                                                                          <w:divBdr>
                                                                                            <w:top w:val="none" w:sz="0" w:space="0" w:color="auto"/>
                                                                                            <w:left w:val="none" w:sz="0" w:space="0" w:color="auto"/>
                                                                                            <w:bottom w:val="none" w:sz="0" w:space="0" w:color="auto"/>
                                                                                            <w:right w:val="none" w:sz="0" w:space="0" w:color="auto"/>
                                                                                          </w:divBdr>
                                                                                          <w:divsChild>
                                                                                            <w:div w:id="62996285">
                                                                                              <w:marLeft w:val="0"/>
                                                                                              <w:marRight w:val="0"/>
                                                                                              <w:marTop w:val="0"/>
                                                                                              <w:marBottom w:val="0"/>
                                                                                              <w:divBdr>
                                                                                                <w:top w:val="none" w:sz="0" w:space="0" w:color="auto"/>
                                                                                                <w:left w:val="none" w:sz="0" w:space="0" w:color="auto"/>
                                                                                                <w:bottom w:val="none" w:sz="0" w:space="0" w:color="auto"/>
                                                                                                <w:right w:val="none" w:sz="0" w:space="0" w:color="auto"/>
                                                                                              </w:divBdr>
                                                                                            </w:div>
                                                                                          </w:divsChild>
                                                                                        </w:div>
                                                                                        <w:div w:id="1794707830">
                                                                                          <w:marLeft w:val="0"/>
                                                                                          <w:marRight w:val="0"/>
                                                                                          <w:marTop w:val="0"/>
                                                                                          <w:marBottom w:val="0"/>
                                                                                          <w:divBdr>
                                                                                            <w:top w:val="none" w:sz="0" w:space="0" w:color="auto"/>
                                                                                            <w:left w:val="none" w:sz="0" w:space="0" w:color="auto"/>
                                                                                            <w:bottom w:val="none" w:sz="0" w:space="0" w:color="auto"/>
                                                                                            <w:right w:val="none" w:sz="0" w:space="0" w:color="auto"/>
                                                                                          </w:divBdr>
                                                                                          <w:divsChild>
                                                                                            <w:div w:id="1747073468">
                                                                                              <w:marLeft w:val="0"/>
                                                                                              <w:marRight w:val="0"/>
                                                                                              <w:marTop w:val="0"/>
                                                                                              <w:marBottom w:val="0"/>
                                                                                              <w:divBdr>
                                                                                                <w:top w:val="none" w:sz="0" w:space="0" w:color="auto"/>
                                                                                                <w:left w:val="none" w:sz="0" w:space="0" w:color="auto"/>
                                                                                                <w:bottom w:val="none" w:sz="0" w:space="0" w:color="auto"/>
                                                                                                <w:right w:val="none" w:sz="0" w:space="0" w:color="auto"/>
                                                                                              </w:divBdr>
                                                                                            </w:div>
                                                                                          </w:divsChild>
                                                                                        </w:div>
                                                                                        <w:div w:id="1751728072">
                                                                                          <w:marLeft w:val="0"/>
                                                                                          <w:marRight w:val="0"/>
                                                                                          <w:marTop w:val="0"/>
                                                                                          <w:marBottom w:val="0"/>
                                                                                          <w:divBdr>
                                                                                            <w:top w:val="none" w:sz="0" w:space="0" w:color="auto"/>
                                                                                            <w:left w:val="none" w:sz="0" w:space="0" w:color="auto"/>
                                                                                            <w:bottom w:val="none" w:sz="0" w:space="0" w:color="auto"/>
                                                                                            <w:right w:val="none" w:sz="0" w:space="0" w:color="auto"/>
                                                                                          </w:divBdr>
                                                                                          <w:divsChild>
                                                                                            <w:div w:id="2057775313">
                                                                                              <w:marLeft w:val="0"/>
                                                                                              <w:marRight w:val="0"/>
                                                                                              <w:marTop w:val="0"/>
                                                                                              <w:marBottom w:val="0"/>
                                                                                              <w:divBdr>
                                                                                                <w:top w:val="none" w:sz="0" w:space="0" w:color="auto"/>
                                                                                                <w:left w:val="none" w:sz="0" w:space="0" w:color="auto"/>
                                                                                                <w:bottom w:val="none" w:sz="0" w:space="0" w:color="auto"/>
                                                                                                <w:right w:val="none" w:sz="0" w:space="0" w:color="auto"/>
                                                                                              </w:divBdr>
                                                                                            </w:div>
                                                                                          </w:divsChild>
                                                                                        </w:div>
                                                                                        <w:div w:id="1584995799">
                                                                                          <w:marLeft w:val="0"/>
                                                                                          <w:marRight w:val="0"/>
                                                                                          <w:marTop w:val="0"/>
                                                                                          <w:marBottom w:val="0"/>
                                                                                          <w:divBdr>
                                                                                            <w:top w:val="none" w:sz="0" w:space="0" w:color="auto"/>
                                                                                            <w:left w:val="none" w:sz="0" w:space="0" w:color="auto"/>
                                                                                            <w:bottom w:val="none" w:sz="0" w:space="0" w:color="auto"/>
                                                                                            <w:right w:val="none" w:sz="0" w:space="0" w:color="auto"/>
                                                                                          </w:divBdr>
                                                                                          <w:divsChild>
                                                                                            <w:div w:id="1781533152">
                                                                                              <w:marLeft w:val="0"/>
                                                                                              <w:marRight w:val="0"/>
                                                                                              <w:marTop w:val="0"/>
                                                                                              <w:marBottom w:val="0"/>
                                                                                              <w:divBdr>
                                                                                                <w:top w:val="none" w:sz="0" w:space="0" w:color="auto"/>
                                                                                                <w:left w:val="none" w:sz="0" w:space="0" w:color="auto"/>
                                                                                                <w:bottom w:val="none" w:sz="0" w:space="0" w:color="auto"/>
                                                                                                <w:right w:val="none" w:sz="0" w:space="0" w:color="auto"/>
                                                                                              </w:divBdr>
                                                                                            </w:div>
                                                                                          </w:divsChild>
                                                                                        </w:div>
                                                                                        <w:div w:id="1375274709">
                                                                                          <w:marLeft w:val="0"/>
                                                                                          <w:marRight w:val="0"/>
                                                                                          <w:marTop w:val="0"/>
                                                                                          <w:marBottom w:val="0"/>
                                                                                          <w:divBdr>
                                                                                            <w:top w:val="none" w:sz="0" w:space="0" w:color="auto"/>
                                                                                            <w:left w:val="none" w:sz="0" w:space="0" w:color="auto"/>
                                                                                            <w:bottom w:val="none" w:sz="0" w:space="0" w:color="auto"/>
                                                                                            <w:right w:val="none" w:sz="0" w:space="0" w:color="auto"/>
                                                                                          </w:divBdr>
                                                                                          <w:divsChild>
                                                                                            <w:div w:id="1542983389">
                                                                                              <w:marLeft w:val="0"/>
                                                                                              <w:marRight w:val="0"/>
                                                                                              <w:marTop w:val="0"/>
                                                                                              <w:marBottom w:val="0"/>
                                                                                              <w:divBdr>
                                                                                                <w:top w:val="none" w:sz="0" w:space="0" w:color="auto"/>
                                                                                                <w:left w:val="none" w:sz="0" w:space="0" w:color="auto"/>
                                                                                                <w:bottom w:val="none" w:sz="0" w:space="0" w:color="auto"/>
                                                                                                <w:right w:val="none" w:sz="0" w:space="0" w:color="auto"/>
                                                                                              </w:divBdr>
                                                                                            </w:div>
                                                                                          </w:divsChild>
                                                                                        </w:div>
                                                                                        <w:div w:id="1803226989">
                                                                                          <w:marLeft w:val="0"/>
                                                                                          <w:marRight w:val="0"/>
                                                                                          <w:marTop w:val="0"/>
                                                                                          <w:marBottom w:val="0"/>
                                                                                          <w:divBdr>
                                                                                            <w:top w:val="none" w:sz="0" w:space="0" w:color="auto"/>
                                                                                            <w:left w:val="none" w:sz="0" w:space="0" w:color="auto"/>
                                                                                            <w:bottom w:val="none" w:sz="0" w:space="0" w:color="auto"/>
                                                                                            <w:right w:val="none" w:sz="0" w:space="0" w:color="auto"/>
                                                                                          </w:divBdr>
                                                                                          <w:divsChild>
                                                                                            <w:div w:id="546183136">
                                                                                              <w:marLeft w:val="0"/>
                                                                                              <w:marRight w:val="0"/>
                                                                                              <w:marTop w:val="0"/>
                                                                                              <w:marBottom w:val="0"/>
                                                                                              <w:divBdr>
                                                                                                <w:top w:val="none" w:sz="0" w:space="0" w:color="auto"/>
                                                                                                <w:left w:val="none" w:sz="0" w:space="0" w:color="auto"/>
                                                                                                <w:bottom w:val="none" w:sz="0" w:space="0" w:color="auto"/>
                                                                                                <w:right w:val="none" w:sz="0" w:space="0" w:color="auto"/>
                                                                                              </w:divBdr>
                                                                                            </w:div>
                                                                                          </w:divsChild>
                                                                                        </w:div>
                                                                                        <w:div w:id="1158769869">
                                                                                          <w:marLeft w:val="0"/>
                                                                                          <w:marRight w:val="0"/>
                                                                                          <w:marTop w:val="0"/>
                                                                                          <w:marBottom w:val="0"/>
                                                                                          <w:divBdr>
                                                                                            <w:top w:val="none" w:sz="0" w:space="0" w:color="auto"/>
                                                                                            <w:left w:val="none" w:sz="0" w:space="0" w:color="auto"/>
                                                                                            <w:bottom w:val="none" w:sz="0" w:space="0" w:color="auto"/>
                                                                                            <w:right w:val="none" w:sz="0" w:space="0" w:color="auto"/>
                                                                                          </w:divBdr>
                                                                                          <w:divsChild>
                                                                                            <w:div w:id="1120032482">
                                                                                              <w:marLeft w:val="0"/>
                                                                                              <w:marRight w:val="0"/>
                                                                                              <w:marTop w:val="0"/>
                                                                                              <w:marBottom w:val="0"/>
                                                                                              <w:divBdr>
                                                                                                <w:top w:val="none" w:sz="0" w:space="0" w:color="auto"/>
                                                                                                <w:left w:val="none" w:sz="0" w:space="0" w:color="auto"/>
                                                                                                <w:bottom w:val="none" w:sz="0" w:space="0" w:color="auto"/>
                                                                                                <w:right w:val="none" w:sz="0" w:space="0" w:color="auto"/>
                                                                                              </w:divBdr>
                                                                                            </w:div>
                                                                                          </w:divsChild>
                                                                                        </w:div>
                                                                                        <w:div w:id="957446298">
                                                                                          <w:marLeft w:val="0"/>
                                                                                          <w:marRight w:val="0"/>
                                                                                          <w:marTop w:val="0"/>
                                                                                          <w:marBottom w:val="0"/>
                                                                                          <w:divBdr>
                                                                                            <w:top w:val="none" w:sz="0" w:space="0" w:color="auto"/>
                                                                                            <w:left w:val="none" w:sz="0" w:space="0" w:color="auto"/>
                                                                                            <w:bottom w:val="none" w:sz="0" w:space="0" w:color="auto"/>
                                                                                            <w:right w:val="none" w:sz="0" w:space="0" w:color="auto"/>
                                                                                          </w:divBdr>
                                                                                          <w:divsChild>
                                                                                            <w:div w:id="261842829">
                                                                                              <w:marLeft w:val="0"/>
                                                                                              <w:marRight w:val="0"/>
                                                                                              <w:marTop w:val="0"/>
                                                                                              <w:marBottom w:val="0"/>
                                                                                              <w:divBdr>
                                                                                                <w:top w:val="none" w:sz="0" w:space="0" w:color="auto"/>
                                                                                                <w:left w:val="none" w:sz="0" w:space="0" w:color="auto"/>
                                                                                                <w:bottom w:val="none" w:sz="0" w:space="0" w:color="auto"/>
                                                                                                <w:right w:val="none" w:sz="0" w:space="0" w:color="auto"/>
                                                                                              </w:divBdr>
                                                                                            </w:div>
                                                                                          </w:divsChild>
                                                                                        </w:div>
                                                                                        <w:div w:id="1882090074">
                                                                                          <w:marLeft w:val="0"/>
                                                                                          <w:marRight w:val="0"/>
                                                                                          <w:marTop w:val="0"/>
                                                                                          <w:marBottom w:val="0"/>
                                                                                          <w:divBdr>
                                                                                            <w:top w:val="none" w:sz="0" w:space="0" w:color="auto"/>
                                                                                            <w:left w:val="none" w:sz="0" w:space="0" w:color="auto"/>
                                                                                            <w:bottom w:val="none" w:sz="0" w:space="0" w:color="auto"/>
                                                                                            <w:right w:val="none" w:sz="0" w:space="0" w:color="auto"/>
                                                                                          </w:divBdr>
                                                                                          <w:divsChild>
                                                                                            <w:div w:id="1224944582">
                                                                                              <w:marLeft w:val="0"/>
                                                                                              <w:marRight w:val="0"/>
                                                                                              <w:marTop w:val="0"/>
                                                                                              <w:marBottom w:val="0"/>
                                                                                              <w:divBdr>
                                                                                                <w:top w:val="none" w:sz="0" w:space="0" w:color="auto"/>
                                                                                                <w:left w:val="none" w:sz="0" w:space="0" w:color="auto"/>
                                                                                                <w:bottom w:val="none" w:sz="0" w:space="0" w:color="auto"/>
                                                                                                <w:right w:val="none" w:sz="0" w:space="0" w:color="auto"/>
                                                                                              </w:divBdr>
                                                                                            </w:div>
                                                                                          </w:divsChild>
                                                                                        </w:div>
                                                                                        <w:div w:id="1905679084">
                                                                                          <w:marLeft w:val="0"/>
                                                                                          <w:marRight w:val="0"/>
                                                                                          <w:marTop w:val="0"/>
                                                                                          <w:marBottom w:val="0"/>
                                                                                          <w:divBdr>
                                                                                            <w:top w:val="none" w:sz="0" w:space="0" w:color="auto"/>
                                                                                            <w:left w:val="none" w:sz="0" w:space="0" w:color="auto"/>
                                                                                            <w:bottom w:val="none" w:sz="0" w:space="0" w:color="auto"/>
                                                                                            <w:right w:val="none" w:sz="0" w:space="0" w:color="auto"/>
                                                                                          </w:divBdr>
                                                                                          <w:divsChild>
                                                                                            <w:div w:id="771780031">
                                                                                              <w:marLeft w:val="0"/>
                                                                                              <w:marRight w:val="0"/>
                                                                                              <w:marTop w:val="0"/>
                                                                                              <w:marBottom w:val="0"/>
                                                                                              <w:divBdr>
                                                                                                <w:top w:val="none" w:sz="0" w:space="0" w:color="auto"/>
                                                                                                <w:left w:val="none" w:sz="0" w:space="0" w:color="auto"/>
                                                                                                <w:bottom w:val="none" w:sz="0" w:space="0" w:color="auto"/>
                                                                                                <w:right w:val="none" w:sz="0" w:space="0" w:color="auto"/>
                                                                                              </w:divBdr>
                                                                                            </w:div>
                                                                                          </w:divsChild>
                                                                                        </w:div>
                                                                                        <w:div w:id="1688172907">
                                                                                          <w:marLeft w:val="0"/>
                                                                                          <w:marRight w:val="0"/>
                                                                                          <w:marTop w:val="0"/>
                                                                                          <w:marBottom w:val="0"/>
                                                                                          <w:divBdr>
                                                                                            <w:top w:val="none" w:sz="0" w:space="0" w:color="auto"/>
                                                                                            <w:left w:val="none" w:sz="0" w:space="0" w:color="auto"/>
                                                                                            <w:bottom w:val="none" w:sz="0" w:space="0" w:color="auto"/>
                                                                                            <w:right w:val="none" w:sz="0" w:space="0" w:color="auto"/>
                                                                                          </w:divBdr>
                                                                                          <w:divsChild>
                                                                                            <w:div w:id="939678642">
                                                                                              <w:marLeft w:val="0"/>
                                                                                              <w:marRight w:val="0"/>
                                                                                              <w:marTop w:val="0"/>
                                                                                              <w:marBottom w:val="0"/>
                                                                                              <w:divBdr>
                                                                                                <w:top w:val="none" w:sz="0" w:space="0" w:color="auto"/>
                                                                                                <w:left w:val="none" w:sz="0" w:space="0" w:color="auto"/>
                                                                                                <w:bottom w:val="none" w:sz="0" w:space="0" w:color="auto"/>
                                                                                                <w:right w:val="none" w:sz="0" w:space="0" w:color="auto"/>
                                                                                              </w:divBdr>
                                                                                            </w:div>
                                                                                          </w:divsChild>
                                                                                        </w:div>
                                                                                        <w:div w:id="843395000">
                                                                                          <w:marLeft w:val="0"/>
                                                                                          <w:marRight w:val="0"/>
                                                                                          <w:marTop w:val="0"/>
                                                                                          <w:marBottom w:val="0"/>
                                                                                          <w:divBdr>
                                                                                            <w:top w:val="none" w:sz="0" w:space="0" w:color="auto"/>
                                                                                            <w:left w:val="none" w:sz="0" w:space="0" w:color="auto"/>
                                                                                            <w:bottom w:val="none" w:sz="0" w:space="0" w:color="auto"/>
                                                                                            <w:right w:val="none" w:sz="0" w:space="0" w:color="auto"/>
                                                                                          </w:divBdr>
                                                                                          <w:divsChild>
                                                                                            <w:div w:id="973296233">
                                                                                              <w:marLeft w:val="0"/>
                                                                                              <w:marRight w:val="0"/>
                                                                                              <w:marTop w:val="0"/>
                                                                                              <w:marBottom w:val="0"/>
                                                                                              <w:divBdr>
                                                                                                <w:top w:val="none" w:sz="0" w:space="0" w:color="auto"/>
                                                                                                <w:left w:val="none" w:sz="0" w:space="0" w:color="auto"/>
                                                                                                <w:bottom w:val="none" w:sz="0" w:space="0" w:color="auto"/>
                                                                                                <w:right w:val="none" w:sz="0" w:space="0" w:color="auto"/>
                                                                                              </w:divBdr>
                                                                                            </w:div>
                                                                                          </w:divsChild>
                                                                                        </w:div>
                                                                                        <w:div w:id="1004212310">
                                                                                          <w:marLeft w:val="0"/>
                                                                                          <w:marRight w:val="0"/>
                                                                                          <w:marTop w:val="0"/>
                                                                                          <w:marBottom w:val="0"/>
                                                                                          <w:divBdr>
                                                                                            <w:top w:val="none" w:sz="0" w:space="0" w:color="auto"/>
                                                                                            <w:left w:val="none" w:sz="0" w:space="0" w:color="auto"/>
                                                                                            <w:bottom w:val="none" w:sz="0" w:space="0" w:color="auto"/>
                                                                                            <w:right w:val="none" w:sz="0" w:space="0" w:color="auto"/>
                                                                                          </w:divBdr>
                                                                                          <w:divsChild>
                                                                                            <w:div w:id="786581317">
                                                                                              <w:marLeft w:val="0"/>
                                                                                              <w:marRight w:val="0"/>
                                                                                              <w:marTop w:val="0"/>
                                                                                              <w:marBottom w:val="0"/>
                                                                                              <w:divBdr>
                                                                                                <w:top w:val="none" w:sz="0" w:space="0" w:color="auto"/>
                                                                                                <w:left w:val="none" w:sz="0" w:space="0" w:color="auto"/>
                                                                                                <w:bottom w:val="none" w:sz="0" w:space="0" w:color="auto"/>
                                                                                                <w:right w:val="none" w:sz="0" w:space="0" w:color="auto"/>
                                                                                              </w:divBdr>
                                                                                            </w:div>
                                                                                          </w:divsChild>
                                                                                        </w:div>
                                                                                        <w:div w:id="1981301033">
                                                                                          <w:marLeft w:val="0"/>
                                                                                          <w:marRight w:val="0"/>
                                                                                          <w:marTop w:val="0"/>
                                                                                          <w:marBottom w:val="0"/>
                                                                                          <w:divBdr>
                                                                                            <w:top w:val="none" w:sz="0" w:space="0" w:color="auto"/>
                                                                                            <w:left w:val="none" w:sz="0" w:space="0" w:color="auto"/>
                                                                                            <w:bottom w:val="none" w:sz="0" w:space="0" w:color="auto"/>
                                                                                            <w:right w:val="none" w:sz="0" w:space="0" w:color="auto"/>
                                                                                          </w:divBdr>
                                                                                          <w:divsChild>
                                                                                            <w:div w:id="903028801">
                                                                                              <w:marLeft w:val="0"/>
                                                                                              <w:marRight w:val="0"/>
                                                                                              <w:marTop w:val="0"/>
                                                                                              <w:marBottom w:val="0"/>
                                                                                              <w:divBdr>
                                                                                                <w:top w:val="none" w:sz="0" w:space="0" w:color="auto"/>
                                                                                                <w:left w:val="none" w:sz="0" w:space="0" w:color="auto"/>
                                                                                                <w:bottom w:val="none" w:sz="0" w:space="0" w:color="auto"/>
                                                                                                <w:right w:val="none" w:sz="0" w:space="0" w:color="auto"/>
                                                                                              </w:divBdr>
                                                                                            </w:div>
                                                                                          </w:divsChild>
                                                                                        </w:div>
                                                                                        <w:div w:id="1531257551">
                                                                                          <w:marLeft w:val="0"/>
                                                                                          <w:marRight w:val="0"/>
                                                                                          <w:marTop w:val="0"/>
                                                                                          <w:marBottom w:val="0"/>
                                                                                          <w:divBdr>
                                                                                            <w:top w:val="none" w:sz="0" w:space="0" w:color="auto"/>
                                                                                            <w:left w:val="none" w:sz="0" w:space="0" w:color="auto"/>
                                                                                            <w:bottom w:val="none" w:sz="0" w:space="0" w:color="auto"/>
                                                                                            <w:right w:val="none" w:sz="0" w:space="0" w:color="auto"/>
                                                                                          </w:divBdr>
                                                                                          <w:divsChild>
                                                                                            <w:div w:id="1759211557">
                                                                                              <w:marLeft w:val="0"/>
                                                                                              <w:marRight w:val="0"/>
                                                                                              <w:marTop w:val="0"/>
                                                                                              <w:marBottom w:val="0"/>
                                                                                              <w:divBdr>
                                                                                                <w:top w:val="none" w:sz="0" w:space="0" w:color="auto"/>
                                                                                                <w:left w:val="none" w:sz="0" w:space="0" w:color="auto"/>
                                                                                                <w:bottom w:val="none" w:sz="0" w:space="0" w:color="auto"/>
                                                                                                <w:right w:val="none" w:sz="0" w:space="0" w:color="auto"/>
                                                                                              </w:divBdr>
                                                                                            </w:div>
                                                                                          </w:divsChild>
                                                                                        </w:div>
                                                                                        <w:div w:id="1176270204">
                                                                                          <w:marLeft w:val="0"/>
                                                                                          <w:marRight w:val="0"/>
                                                                                          <w:marTop w:val="0"/>
                                                                                          <w:marBottom w:val="0"/>
                                                                                          <w:divBdr>
                                                                                            <w:top w:val="none" w:sz="0" w:space="0" w:color="auto"/>
                                                                                            <w:left w:val="none" w:sz="0" w:space="0" w:color="auto"/>
                                                                                            <w:bottom w:val="none" w:sz="0" w:space="0" w:color="auto"/>
                                                                                            <w:right w:val="none" w:sz="0" w:space="0" w:color="auto"/>
                                                                                          </w:divBdr>
                                                                                          <w:divsChild>
                                                                                            <w:div w:id="1861163021">
                                                                                              <w:marLeft w:val="0"/>
                                                                                              <w:marRight w:val="0"/>
                                                                                              <w:marTop w:val="0"/>
                                                                                              <w:marBottom w:val="0"/>
                                                                                              <w:divBdr>
                                                                                                <w:top w:val="none" w:sz="0" w:space="0" w:color="auto"/>
                                                                                                <w:left w:val="none" w:sz="0" w:space="0" w:color="auto"/>
                                                                                                <w:bottom w:val="none" w:sz="0" w:space="0" w:color="auto"/>
                                                                                                <w:right w:val="none" w:sz="0" w:space="0" w:color="auto"/>
                                                                                              </w:divBdr>
                                                                                            </w:div>
                                                                                          </w:divsChild>
                                                                                        </w:div>
                                                                                        <w:div w:id="1073047319">
                                                                                          <w:marLeft w:val="0"/>
                                                                                          <w:marRight w:val="0"/>
                                                                                          <w:marTop w:val="0"/>
                                                                                          <w:marBottom w:val="0"/>
                                                                                          <w:divBdr>
                                                                                            <w:top w:val="none" w:sz="0" w:space="0" w:color="auto"/>
                                                                                            <w:left w:val="none" w:sz="0" w:space="0" w:color="auto"/>
                                                                                            <w:bottom w:val="none" w:sz="0" w:space="0" w:color="auto"/>
                                                                                            <w:right w:val="none" w:sz="0" w:space="0" w:color="auto"/>
                                                                                          </w:divBdr>
                                                                                          <w:divsChild>
                                                                                            <w:div w:id="1342390215">
                                                                                              <w:marLeft w:val="0"/>
                                                                                              <w:marRight w:val="0"/>
                                                                                              <w:marTop w:val="0"/>
                                                                                              <w:marBottom w:val="0"/>
                                                                                              <w:divBdr>
                                                                                                <w:top w:val="none" w:sz="0" w:space="0" w:color="auto"/>
                                                                                                <w:left w:val="none" w:sz="0" w:space="0" w:color="auto"/>
                                                                                                <w:bottom w:val="none" w:sz="0" w:space="0" w:color="auto"/>
                                                                                                <w:right w:val="none" w:sz="0" w:space="0" w:color="auto"/>
                                                                                              </w:divBdr>
                                                                                            </w:div>
                                                                                          </w:divsChild>
                                                                                        </w:div>
                                                                                        <w:div w:id="1893151825">
                                                                                          <w:marLeft w:val="0"/>
                                                                                          <w:marRight w:val="0"/>
                                                                                          <w:marTop w:val="0"/>
                                                                                          <w:marBottom w:val="0"/>
                                                                                          <w:divBdr>
                                                                                            <w:top w:val="none" w:sz="0" w:space="0" w:color="auto"/>
                                                                                            <w:left w:val="none" w:sz="0" w:space="0" w:color="auto"/>
                                                                                            <w:bottom w:val="none" w:sz="0" w:space="0" w:color="auto"/>
                                                                                            <w:right w:val="none" w:sz="0" w:space="0" w:color="auto"/>
                                                                                          </w:divBdr>
                                                                                          <w:divsChild>
                                                                                            <w:div w:id="2043898163">
                                                                                              <w:marLeft w:val="0"/>
                                                                                              <w:marRight w:val="0"/>
                                                                                              <w:marTop w:val="0"/>
                                                                                              <w:marBottom w:val="0"/>
                                                                                              <w:divBdr>
                                                                                                <w:top w:val="none" w:sz="0" w:space="0" w:color="auto"/>
                                                                                                <w:left w:val="none" w:sz="0" w:space="0" w:color="auto"/>
                                                                                                <w:bottom w:val="none" w:sz="0" w:space="0" w:color="auto"/>
                                                                                                <w:right w:val="none" w:sz="0" w:space="0" w:color="auto"/>
                                                                                              </w:divBdr>
                                                                                            </w:div>
                                                                                          </w:divsChild>
                                                                                        </w:div>
                                                                                        <w:div w:id="1450469200">
                                                                                          <w:marLeft w:val="0"/>
                                                                                          <w:marRight w:val="0"/>
                                                                                          <w:marTop w:val="0"/>
                                                                                          <w:marBottom w:val="0"/>
                                                                                          <w:divBdr>
                                                                                            <w:top w:val="none" w:sz="0" w:space="0" w:color="auto"/>
                                                                                            <w:left w:val="none" w:sz="0" w:space="0" w:color="auto"/>
                                                                                            <w:bottom w:val="none" w:sz="0" w:space="0" w:color="auto"/>
                                                                                            <w:right w:val="none" w:sz="0" w:space="0" w:color="auto"/>
                                                                                          </w:divBdr>
                                                                                          <w:divsChild>
                                                                                            <w:div w:id="579564324">
                                                                                              <w:marLeft w:val="0"/>
                                                                                              <w:marRight w:val="0"/>
                                                                                              <w:marTop w:val="0"/>
                                                                                              <w:marBottom w:val="0"/>
                                                                                              <w:divBdr>
                                                                                                <w:top w:val="none" w:sz="0" w:space="0" w:color="auto"/>
                                                                                                <w:left w:val="none" w:sz="0" w:space="0" w:color="auto"/>
                                                                                                <w:bottom w:val="none" w:sz="0" w:space="0" w:color="auto"/>
                                                                                                <w:right w:val="none" w:sz="0" w:space="0" w:color="auto"/>
                                                                                              </w:divBdr>
                                                                                            </w:div>
                                                                                          </w:divsChild>
                                                                                        </w:div>
                                                                                        <w:div w:id="272521169">
                                                                                          <w:marLeft w:val="0"/>
                                                                                          <w:marRight w:val="0"/>
                                                                                          <w:marTop w:val="0"/>
                                                                                          <w:marBottom w:val="0"/>
                                                                                          <w:divBdr>
                                                                                            <w:top w:val="none" w:sz="0" w:space="0" w:color="auto"/>
                                                                                            <w:left w:val="none" w:sz="0" w:space="0" w:color="auto"/>
                                                                                            <w:bottom w:val="none" w:sz="0" w:space="0" w:color="auto"/>
                                                                                            <w:right w:val="none" w:sz="0" w:space="0" w:color="auto"/>
                                                                                          </w:divBdr>
                                                                                          <w:divsChild>
                                                                                            <w:div w:id="244338230">
                                                                                              <w:marLeft w:val="0"/>
                                                                                              <w:marRight w:val="0"/>
                                                                                              <w:marTop w:val="0"/>
                                                                                              <w:marBottom w:val="0"/>
                                                                                              <w:divBdr>
                                                                                                <w:top w:val="none" w:sz="0" w:space="0" w:color="auto"/>
                                                                                                <w:left w:val="none" w:sz="0" w:space="0" w:color="auto"/>
                                                                                                <w:bottom w:val="none" w:sz="0" w:space="0" w:color="auto"/>
                                                                                                <w:right w:val="none" w:sz="0" w:space="0" w:color="auto"/>
                                                                                              </w:divBdr>
                                                                                            </w:div>
                                                                                          </w:divsChild>
                                                                                        </w:div>
                                                                                        <w:div w:id="893345690">
                                                                                          <w:marLeft w:val="0"/>
                                                                                          <w:marRight w:val="0"/>
                                                                                          <w:marTop w:val="0"/>
                                                                                          <w:marBottom w:val="0"/>
                                                                                          <w:divBdr>
                                                                                            <w:top w:val="none" w:sz="0" w:space="0" w:color="auto"/>
                                                                                            <w:left w:val="none" w:sz="0" w:space="0" w:color="auto"/>
                                                                                            <w:bottom w:val="none" w:sz="0" w:space="0" w:color="auto"/>
                                                                                            <w:right w:val="none" w:sz="0" w:space="0" w:color="auto"/>
                                                                                          </w:divBdr>
                                                                                          <w:divsChild>
                                                                                            <w:div w:id="128936749">
                                                                                              <w:marLeft w:val="0"/>
                                                                                              <w:marRight w:val="0"/>
                                                                                              <w:marTop w:val="0"/>
                                                                                              <w:marBottom w:val="0"/>
                                                                                              <w:divBdr>
                                                                                                <w:top w:val="none" w:sz="0" w:space="0" w:color="auto"/>
                                                                                                <w:left w:val="none" w:sz="0" w:space="0" w:color="auto"/>
                                                                                                <w:bottom w:val="none" w:sz="0" w:space="0" w:color="auto"/>
                                                                                                <w:right w:val="none" w:sz="0" w:space="0" w:color="auto"/>
                                                                                              </w:divBdr>
                                                                                            </w:div>
                                                                                          </w:divsChild>
                                                                                        </w:div>
                                                                                        <w:div w:id="1125385609">
                                                                                          <w:marLeft w:val="0"/>
                                                                                          <w:marRight w:val="0"/>
                                                                                          <w:marTop w:val="0"/>
                                                                                          <w:marBottom w:val="0"/>
                                                                                          <w:divBdr>
                                                                                            <w:top w:val="none" w:sz="0" w:space="0" w:color="auto"/>
                                                                                            <w:left w:val="none" w:sz="0" w:space="0" w:color="auto"/>
                                                                                            <w:bottom w:val="none" w:sz="0" w:space="0" w:color="auto"/>
                                                                                            <w:right w:val="none" w:sz="0" w:space="0" w:color="auto"/>
                                                                                          </w:divBdr>
                                                                                          <w:divsChild>
                                                                                            <w:div w:id="695236216">
                                                                                              <w:marLeft w:val="0"/>
                                                                                              <w:marRight w:val="0"/>
                                                                                              <w:marTop w:val="0"/>
                                                                                              <w:marBottom w:val="0"/>
                                                                                              <w:divBdr>
                                                                                                <w:top w:val="none" w:sz="0" w:space="0" w:color="auto"/>
                                                                                                <w:left w:val="none" w:sz="0" w:space="0" w:color="auto"/>
                                                                                                <w:bottom w:val="none" w:sz="0" w:space="0" w:color="auto"/>
                                                                                                <w:right w:val="none" w:sz="0" w:space="0" w:color="auto"/>
                                                                                              </w:divBdr>
                                                                                            </w:div>
                                                                                            <w:div w:id="347563547">
                                                                                              <w:marLeft w:val="0"/>
                                                                                              <w:marRight w:val="0"/>
                                                                                              <w:marTop w:val="0"/>
                                                                                              <w:marBottom w:val="0"/>
                                                                                              <w:divBdr>
                                                                                                <w:top w:val="none" w:sz="0" w:space="0" w:color="auto"/>
                                                                                                <w:left w:val="none" w:sz="0" w:space="0" w:color="auto"/>
                                                                                                <w:bottom w:val="none" w:sz="0" w:space="0" w:color="auto"/>
                                                                                                <w:right w:val="none" w:sz="0" w:space="0" w:color="auto"/>
                                                                                              </w:divBdr>
                                                                                            </w:div>
                                                                                          </w:divsChild>
                                                                                        </w:div>
                                                                                        <w:div w:id="323048787">
                                                                                          <w:marLeft w:val="0"/>
                                                                                          <w:marRight w:val="0"/>
                                                                                          <w:marTop w:val="0"/>
                                                                                          <w:marBottom w:val="0"/>
                                                                                          <w:divBdr>
                                                                                            <w:top w:val="none" w:sz="0" w:space="0" w:color="auto"/>
                                                                                            <w:left w:val="none" w:sz="0" w:space="0" w:color="auto"/>
                                                                                            <w:bottom w:val="none" w:sz="0" w:space="0" w:color="auto"/>
                                                                                            <w:right w:val="none" w:sz="0" w:space="0" w:color="auto"/>
                                                                                          </w:divBdr>
                                                                                          <w:divsChild>
                                                                                            <w:div w:id="1431663054">
                                                                                              <w:marLeft w:val="0"/>
                                                                                              <w:marRight w:val="0"/>
                                                                                              <w:marTop w:val="0"/>
                                                                                              <w:marBottom w:val="0"/>
                                                                                              <w:divBdr>
                                                                                                <w:top w:val="none" w:sz="0" w:space="0" w:color="auto"/>
                                                                                                <w:left w:val="none" w:sz="0" w:space="0" w:color="auto"/>
                                                                                                <w:bottom w:val="none" w:sz="0" w:space="0" w:color="auto"/>
                                                                                                <w:right w:val="none" w:sz="0" w:space="0" w:color="auto"/>
                                                                                              </w:divBdr>
                                                                                            </w:div>
                                                                                          </w:divsChild>
                                                                                        </w:div>
                                                                                        <w:div w:id="1501121556">
                                                                                          <w:marLeft w:val="0"/>
                                                                                          <w:marRight w:val="0"/>
                                                                                          <w:marTop w:val="0"/>
                                                                                          <w:marBottom w:val="0"/>
                                                                                          <w:divBdr>
                                                                                            <w:top w:val="none" w:sz="0" w:space="0" w:color="auto"/>
                                                                                            <w:left w:val="none" w:sz="0" w:space="0" w:color="auto"/>
                                                                                            <w:bottom w:val="none" w:sz="0" w:space="0" w:color="auto"/>
                                                                                            <w:right w:val="none" w:sz="0" w:space="0" w:color="auto"/>
                                                                                          </w:divBdr>
                                                                                          <w:divsChild>
                                                                                            <w:div w:id="1662654768">
                                                                                              <w:marLeft w:val="0"/>
                                                                                              <w:marRight w:val="0"/>
                                                                                              <w:marTop w:val="0"/>
                                                                                              <w:marBottom w:val="0"/>
                                                                                              <w:divBdr>
                                                                                                <w:top w:val="none" w:sz="0" w:space="0" w:color="auto"/>
                                                                                                <w:left w:val="none" w:sz="0" w:space="0" w:color="auto"/>
                                                                                                <w:bottom w:val="none" w:sz="0" w:space="0" w:color="auto"/>
                                                                                                <w:right w:val="none" w:sz="0" w:space="0" w:color="auto"/>
                                                                                              </w:divBdr>
                                                                                            </w:div>
                                                                                          </w:divsChild>
                                                                                        </w:div>
                                                                                        <w:div w:id="1526363592">
                                                                                          <w:marLeft w:val="0"/>
                                                                                          <w:marRight w:val="0"/>
                                                                                          <w:marTop w:val="0"/>
                                                                                          <w:marBottom w:val="0"/>
                                                                                          <w:divBdr>
                                                                                            <w:top w:val="none" w:sz="0" w:space="0" w:color="auto"/>
                                                                                            <w:left w:val="none" w:sz="0" w:space="0" w:color="auto"/>
                                                                                            <w:bottom w:val="none" w:sz="0" w:space="0" w:color="auto"/>
                                                                                            <w:right w:val="none" w:sz="0" w:space="0" w:color="auto"/>
                                                                                          </w:divBdr>
                                                                                          <w:divsChild>
                                                                                            <w:div w:id="665206370">
                                                                                              <w:marLeft w:val="0"/>
                                                                                              <w:marRight w:val="0"/>
                                                                                              <w:marTop w:val="0"/>
                                                                                              <w:marBottom w:val="0"/>
                                                                                              <w:divBdr>
                                                                                                <w:top w:val="none" w:sz="0" w:space="0" w:color="auto"/>
                                                                                                <w:left w:val="none" w:sz="0" w:space="0" w:color="auto"/>
                                                                                                <w:bottom w:val="none" w:sz="0" w:space="0" w:color="auto"/>
                                                                                                <w:right w:val="none" w:sz="0" w:space="0" w:color="auto"/>
                                                                                              </w:divBdr>
                                                                                            </w:div>
                                                                                          </w:divsChild>
                                                                                        </w:div>
                                                                                        <w:div w:id="2083288112">
                                                                                          <w:marLeft w:val="0"/>
                                                                                          <w:marRight w:val="0"/>
                                                                                          <w:marTop w:val="0"/>
                                                                                          <w:marBottom w:val="0"/>
                                                                                          <w:divBdr>
                                                                                            <w:top w:val="none" w:sz="0" w:space="0" w:color="auto"/>
                                                                                            <w:left w:val="none" w:sz="0" w:space="0" w:color="auto"/>
                                                                                            <w:bottom w:val="none" w:sz="0" w:space="0" w:color="auto"/>
                                                                                            <w:right w:val="none" w:sz="0" w:space="0" w:color="auto"/>
                                                                                          </w:divBdr>
                                                                                          <w:divsChild>
                                                                                            <w:div w:id="306738715">
                                                                                              <w:marLeft w:val="0"/>
                                                                                              <w:marRight w:val="0"/>
                                                                                              <w:marTop w:val="0"/>
                                                                                              <w:marBottom w:val="0"/>
                                                                                              <w:divBdr>
                                                                                                <w:top w:val="none" w:sz="0" w:space="0" w:color="auto"/>
                                                                                                <w:left w:val="none" w:sz="0" w:space="0" w:color="auto"/>
                                                                                                <w:bottom w:val="none" w:sz="0" w:space="0" w:color="auto"/>
                                                                                                <w:right w:val="none" w:sz="0" w:space="0" w:color="auto"/>
                                                                                              </w:divBdr>
                                                                                            </w:div>
                                                                                            <w:div w:id="255990225">
                                                                                              <w:marLeft w:val="0"/>
                                                                                              <w:marRight w:val="0"/>
                                                                                              <w:marTop w:val="0"/>
                                                                                              <w:marBottom w:val="0"/>
                                                                                              <w:divBdr>
                                                                                                <w:top w:val="none" w:sz="0" w:space="0" w:color="auto"/>
                                                                                                <w:left w:val="none" w:sz="0" w:space="0" w:color="auto"/>
                                                                                                <w:bottom w:val="none" w:sz="0" w:space="0" w:color="auto"/>
                                                                                                <w:right w:val="none" w:sz="0" w:space="0" w:color="auto"/>
                                                                                              </w:divBdr>
                                                                                            </w:div>
                                                                                          </w:divsChild>
                                                                                        </w:div>
                                                                                        <w:div w:id="479887156">
                                                                                          <w:marLeft w:val="0"/>
                                                                                          <w:marRight w:val="0"/>
                                                                                          <w:marTop w:val="0"/>
                                                                                          <w:marBottom w:val="0"/>
                                                                                          <w:divBdr>
                                                                                            <w:top w:val="none" w:sz="0" w:space="0" w:color="auto"/>
                                                                                            <w:left w:val="none" w:sz="0" w:space="0" w:color="auto"/>
                                                                                            <w:bottom w:val="none" w:sz="0" w:space="0" w:color="auto"/>
                                                                                            <w:right w:val="none" w:sz="0" w:space="0" w:color="auto"/>
                                                                                          </w:divBdr>
                                                                                          <w:divsChild>
                                                                                            <w:div w:id="2000182920">
                                                                                              <w:marLeft w:val="0"/>
                                                                                              <w:marRight w:val="0"/>
                                                                                              <w:marTop w:val="0"/>
                                                                                              <w:marBottom w:val="0"/>
                                                                                              <w:divBdr>
                                                                                                <w:top w:val="none" w:sz="0" w:space="0" w:color="auto"/>
                                                                                                <w:left w:val="none" w:sz="0" w:space="0" w:color="auto"/>
                                                                                                <w:bottom w:val="none" w:sz="0" w:space="0" w:color="auto"/>
                                                                                                <w:right w:val="none" w:sz="0" w:space="0" w:color="auto"/>
                                                                                              </w:divBdr>
                                                                                            </w:div>
                                                                                          </w:divsChild>
                                                                                        </w:div>
                                                                                        <w:div w:id="464736419">
                                                                                          <w:marLeft w:val="0"/>
                                                                                          <w:marRight w:val="0"/>
                                                                                          <w:marTop w:val="0"/>
                                                                                          <w:marBottom w:val="0"/>
                                                                                          <w:divBdr>
                                                                                            <w:top w:val="none" w:sz="0" w:space="0" w:color="auto"/>
                                                                                            <w:left w:val="none" w:sz="0" w:space="0" w:color="auto"/>
                                                                                            <w:bottom w:val="none" w:sz="0" w:space="0" w:color="auto"/>
                                                                                            <w:right w:val="none" w:sz="0" w:space="0" w:color="auto"/>
                                                                                          </w:divBdr>
                                                                                          <w:divsChild>
                                                                                            <w:div w:id="150564796">
                                                                                              <w:marLeft w:val="0"/>
                                                                                              <w:marRight w:val="0"/>
                                                                                              <w:marTop w:val="0"/>
                                                                                              <w:marBottom w:val="0"/>
                                                                                              <w:divBdr>
                                                                                                <w:top w:val="none" w:sz="0" w:space="0" w:color="auto"/>
                                                                                                <w:left w:val="none" w:sz="0" w:space="0" w:color="auto"/>
                                                                                                <w:bottom w:val="none" w:sz="0" w:space="0" w:color="auto"/>
                                                                                                <w:right w:val="none" w:sz="0" w:space="0" w:color="auto"/>
                                                                                              </w:divBdr>
                                                                                            </w:div>
                                                                                          </w:divsChild>
                                                                                        </w:div>
                                                                                        <w:div w:id="1150904966">
                                                                                          <w:marLeft w:val="0"/>
                                                                                          <w:marRight w:val="0"/>
                                                                                          <w:marTop w:val="0"/>
                                                                                          <w:marBottom w:val="0"/>
                                                                                          <w:divBdr>
                                                                                            <w:top w:val="none" w:sz="0" w:space="0" w:color="auto"/>
                                                                                            <w:left w:val="none" w:sz="0" w:space="0" w:color="auto"/>
                                                                                            <w:bottom w:val="none" w:sz="0" w:space="0" w:color="auto"/>
                                                                                            <w:right w:val="none" w:sz="0" w:space="0" w:color="auto"/>
                                                                                          </w:divBdr>
                                                                                          <w:divsChild>
                                                                                            <w:div w:id="512691349">
                                                                                              <w:marLeft w:val="0"/>
                                                                                              <w:marRight w:val="0"/>
                                                                                              <w:marTop w:val="0"/>
                                                                                              <w:marBottom w:val="0"/>
                                                                                              <w:divBdr>
                                                                                                <w:top w:val="none" w:sz="0" w:space="0" w:color="auto"/>
                                                                                                <w:left w:val="none" w:sz="0" w:space="0" w:color="auto"/>
                                                                                                <w:bottom w:val="none" w:sz="0" w:space="0" w:color="auto"/>
                                                                                                <w:right w:val="none" w:sz="0" w:space="0" w:color="auto"/>
                                                                                              </w:divBdr>
                                                                                            </w:div>
                                                                                          </w:divsChild>
                                                                                        </w:div>
                                                                                        <w:div w:id="2038038785">
                                                                                          <w:marLeft w:val="0"/>
                                                                                          <w:marRight w:val="0"/>
                                                                                          <w:marTop w:val="0"/>
                                                                                          <w:marBottom w:val="0"/>
                                                                                          <w:divBdr>
                                                                                            <w:top w:val="none" w:sz="0" w:space="0" w:color="auto"/>
                                                                                            <w:left w:val="none" w:sz="0" w:space="0" w:color="auto"/>
                                                                                            <w:bottom w:val="none" w:sz="0" w:space="0" w:color="auto"/>
                                                                                            <w:right w:val="none" w:sz="0" w:space="0" w:color="auto"/>
                                                                                          </w:divBdr>
                                                                                          <w:divsChild>
                                                                                            <w:div w:id="1301037926">
                                                                                              <w:marLeft w:val="0"/>
                                                                                              <w:marRight w:val="0"/>
                                                                                              <w:marTop w:val="0"/>
                                                                                              <w:marBottom w:val="0"/>
                                                                                              <w:divBdr>
                                                                                                <w:top w:val="none" w:sz="0" w:space="0" w:color="auto"/>
                                                                                                <w:left w:val="none" w:sz="0" w:space="0" w:color="auto"/>
                                                                                                <w:bottom w:val="none" w:sz="0" w:space="0" w:color="auto"/>
                                                                                                <w:right w:val="none" w:sz="0" w:space="0" w:color="auto"/>
                                                                                              </w:divBdr>
                                                                                            </w:div>
                                                                                            <w:div w:id="1032611670">
                                                                                              <w:marLeft w:val="0"/>
                                                                                              <w:marRight w:val="0"/>
                                                                                              <w:marTop w:val="0"/>
                                                                                              <w:marBottom w:val="0"/>
                                                                                              <w:divBdr>
                                                                                                <w:top w:val="none" w:sz="0" w:space="0" w:color="auto"/>
                                                                                                <w:left w:val="none" w:sz="0" w:space="0" w:color="auto"/>
                                                                                                <w:bottom w:val="none" w:sz="0" w:space="0" w:color="auto"/>
                                                                                                <w:right w:val="none" w:sz="0" w:space="0" w:color="auto"/>
                                                                                              </w:divBdr>
                                                                                            </w:div>
                                                                                          </w:divsChild>
                                                                                        </w:div>
                                                                                        <w:div w:id="1287542932">
                                                                                          <w:marLeft w:val="0"/>
                                                                                          <w:marRight w:val="0"/>
                                                                                          <w:marTop w:val="0"/>
                                                                                          <w:marBottom w:val="0"/>
                                                                                          <w:divBdr>
                                                                                            <w:top w:val="none" w:sz="0" w:space="0" w:color="auto"/>
                                                                                            <w:left w:val="none" w:sz="0" w:space="0" w:color="auto"/>
                                                                                            <w:bottom w:val="none" w:sz="0" w:space="0" w:color="auto"/>
                                                                                            <w:right w:val="none" w:sz="0" w:space="0" w:color="auto"/>
                                                                                          </w:divBdr>
                                                                                          <w:divsChild>
                                                                                            <w:div w:id="2085685150">
                                                                                              <w:marLeft w:val="0"/>
                                                                                              <w:marRight w:val="0"/>
                                                                                              <w:marTop w:val="0"/>
                                                                                              <w:marBottom w:val="0"/>
                                                                                              <w:divBdr>
                                                                                                <w:top w:val="none" w:sz="0" w:space="0" w:color="auto"/>
                                                                                                <w:left w:val="none" w:sz="0" w:space="0" w:color="auto"/>
                                                                                                <w:bottom w:val="none" w:sz="0" w:space="0" w:color="auto"/>
                                                                                                <w:right w:val="none" w:sz="0" w:space="0" w:color="auto"/>
                                                                                              </w:divBdr>
                                                                                            </w:div>
                                                                                          </w:divsChild>
                                                                                        </w:div>
                                                                                        <w:div w:id="237177418">
                                                                                          <w:marLeft w:val="0"/>
                                                                                          <w:marRight w:val="0"/>
                                                                                          <w:marTop w:val="0"/>
                                                                                          <w:marBottom w:val="0"/>
                                                                                          <w:divBdr>
                                                                                            <w:top w:val="none" w:sz="0" w:space="0" w:color="auto"/>
                                                                                            <w:left w:val="none" w:sz="0" w:space="0" w:color="auto"/>
                                                                                            <w:bottom w:val="none" w:sz="0" w:space="0" w:color="auto"/>
                                                                                            <w:right w:val="none" w:sz="0" w:space="0" w:color="auto"/>
                                                                                          </w:divBdr>
                                                                                          <w:divsChild>
                                                                                            <w:div w:id="1457069368">
                                                                                              <w:marLeft w:val="0"/>
                                                                                              <w:marRight w:val="0"/>
                                                                                              <w:marTop w:val="0"/>
                                                                                              <w:marBottom w:val="0"/>
                                                                                              <w:divBdr>
                                                                                                <w:top w:val="none" w:sz="0" w:space="0" w:color="auto"/>
                                                                                                <w:left w:val="none" w:sz="0" w:space="0" w:color="auto"/>
                                                                                                <w:bottom w:val="none" w:sz="0" w:space="0" w:color="auto"/>
                                                                                                <w:right w:val="none" w:sz="0" w:space="0" w:color="auto"/>
                                                                                              </w:divBdr>
                                                                                            </w:div>
                                                                                          </w:divsChild>
                                                                                        </w:div>
                                                                                        <w:div w:id="2002191822">
                                                                                          <w:marLeft w:val="0"/>
                                                                                          <w:marRight w:val="0"/>
                                                                                          <w:marTop w:val="0"/>
                                                                                          <w:marBottom w:val="0"/>
                                                                                          <w:divBdr>
                                                                                            <w:top w:val="none" w:sz="0" w:space="0" w:color="auto"/>
                                                                                            <w:left w:val="none" w:sz="0" w:space="0" w:color="auto"/>
                                                                                            <w:bottom w:val="none" w:sz="0" w:space="0" w:color="auto"/>
                                                                                            <w:right w:val="none" w:sz="0" w:space="0" w:color="auto"/>
                                                                                          </w:divBdr>
                                                                                          <w:divsChild>
                                                                                            <w:div w:id="1380058285">
                                                                                              <w:marLeft w:val="0"/>
                                                                                              <w:marRight w:val="0"/>
                                                                                              <w:marTop w:val="0"/>
                                                                                              <w:marBottom w:val="0"/>
                                                                                              <w:divBdr>
                                                                                                <w:top w:val="none" w:sz="0" w:space="0" w:color="auto"/>
                                                                                                <w:left w:val="none" w:sz="0" w:space="0" w:color="auto"/>
                                                                                                <w:bottom w:val="none" w:sz="0" w:space="0" w:color="auto"/>
                                                                                                <w:right w:val="none" w:sz="0" w:space="0" w:color="auto"/>
                                                                                              </w:divBdr>
                                                                                            </w:div>
                                                                                          </w:divsChild>
                                                                                        </w:div>
                                                                                        <w:div w:id="2033259979">
                                                                                          <w:marLeft w:val="0"/>
                                                                                          <w:marRight w:val="0"/>
                                                                                          <w:marTop w:val="0"/>
                                                                                          <w:marBottom w:val="0"/>
                                                                                          <w:divBdr>
                                                                                            <w:top w:val="none" w:sz="0" w:space="0" w:color="auto"/>
                                                                                            <w:left w:val="none" w:sz="0" w:space="0" w:color="auto"/>
                                                                                            <w:bottom w:val="none" w:sz="0" w:space="0" w:color="auto"/>
                                                                                            <w:right w:val="none" w:sz="0" w:space="0" w:color="auto"/>
                                                                                          </w:divBdr>
                                                                                          <w:divsChild>
                                                                                            <w:div w:id="859389762">
                                                                                              <w:marLeft w:val="0"/>
                                                                                              <w:marRight w:val="0"/>
                                                                                              <w:marTop w:val="0"/>
                                                                                              <w:marBottom w:val="0"/>
                                                                                              <w:divBdr>
                                                                                                <w:top w:val="none" w:sz="0" w:space="0" w:color="auto"/>
                                                                                                <w:left w:val="none" w:sz="0" w:space="0" w:color="auto"/>
                                                                                                <w:bottom w:val="none" w:sz="0" w:space="0" w:color="auto"/>
                                                                                                <w:right w:val="none" w:sz="0" w:space="0" w:color="auto"/>
                                                                                              </w:divBdr>
                                                                                            </w:div>
                                                                                            <w:div w:id="1554581287">
                                                                                              <w:marLeft w:val="0"/>
                                                                                              <w:marRight w:val="0"/>
                                                                                              <w:marTop w:val="0"/>
                                                                                              <w:marBottom w:val="0"/>
                                                                                              <w:divBdr>
                                                                                                <w:top w:val="none" w:sz="0" w:space="0" w:color="auto"/>
                                                                                                <w:left w:val="none" w:sz="0" w:space="0" w:color="auto"/>
                                                                                                <w:bottom w:val="none" w:sz="0" w:space="0" w:color="auto"/>
                                                                                                <w:right w:val="none" w:sz="0" w:space="0" w:color="auto"/>
                                                                                              </w:divBdr>
                                                                                            </w:div>
                                                                                          </w:divsChild>
                                                                                        </w:div>
                                                                                        <w:div w:id="735588898">
                                                                                          <w:marLeft w:val="0"/>
                                                                                          <w:marRight w:val="0"/>
                                                                                          <w:marTop w:val="0"/>
                                                                                          <w:marBottom w:val="0"/>
                                                                                          <w:divBdr>
                                                                                            <w:top w:val="none" w:sz="0" w:space="0" w:color="auto"/>
                                                                                            <w:left w:val="none" w:sz="0" w:space="0" w:color="auto"/>
                                                                                            <w:bottom w:val="none" w:sz="0" w:space="0" w:color="auto"/>
                                                                                            <w:right w:val="none" w:sz="0" w:space="0" w:color="auto"/>
                                                                                          </w:divBdr>
                                                                                          <w:divsChild>
                                                                                            <w:div w:id="282806692">
                                                                                              <w:marLeft w:val="0"/>
                                                                                              <w:marRight w:val="0"/>
                                                                                              <w:marTop w:val="0"/>
                                                                                              <w:marBottom w:val="0"/>
                                                                                              <w:divBdr>
                                                                                                <w:top w:val="none" w:sz="0" w:space="0" w:color="auto"/>
                                                                                                <w:left w:val="none" w:sz="0" w:space="0" w:color="auto"/>
                                                                                                <w:bottom w:val="none" w:sz="0" w:space="0" w:color="auto"/>
                                                                                                <w:right w:val="none" w:sz="0" w:space="0" w:color="auto"/>
                                                                                              </w:divBdr>
                                                                                            </w:div>
                                                                                          </w:divsChild>
                                                                                        </w:div>
                                                                                        <w:div w:id="1307590938">
                                                                                          <w:marLeft w:val="0"/>
                                                                                          <w:marRight w:val="0"/>
                                                                                          <w:marTop w:val="0"/>
                                                                                          <w:marBottom w:val="0"/>
                                                                                          <w:divBdr>
                                                                                            <w:top w:val="none" w:sz="0" w:space="0" w:color="auto"/>
                                                                                            <w:left w:val="none" w:sz="0" w:space="0" w:color="auto"/>
                                                                                            <w:bottom w:val="none" w:sz="0" w:space="0" w:color="auto"/>
                                                                                            <w:right w:val="none" w:sz="0" w:space="0" w:color="auto"/>
                                                                                          </w:divBdr>
                                                                                          <w:divsChild>
                                                                                            <w:div w:id="1643657482">
                                                                                              <w:marLeft w:val="0"/>
                                                                                              <w:marRight w:val="0"/>
                                                                                              <w:marTop w:val="0"/>
                                                                                              <w:marBottom w:val="0"/>
                                                                                              <w:divBdr>
                                                                                                <w:top w:val="none" w:sz="0" w:space="0" w:color="auto"/>
                                                                                                <w:left w:val="none" w:sz="0" w:space="0" w:color="auto"/>
                                                                                                <w:bottom w:val="none" w:sz="0" w:space="0" w:color="auto"/>
                                                                                                <w:right w:val="none" w:sz="0" w:space="0" w:color="auto"/>
                                                                                              </w:divBdr>
                                                                                            </w:div>
                                                                                          </w:divsChild>
                                                                                        </w:div>
                                                                                        <w:div w:id="1416436735">
                                                                                          <w:marLeft w:val="0"/>
                                                                                          <w:marRight w:val="0"/>
                                                                                          <w:marTop w:val="0"/>
                                                                                          <w:marBottom w:val="0"/>
                                                                                          <w:divBdr>
                                                                                            <w:top w:val="none" w:sz="0" w:space="0" w:color="auto"/>
                                                                                            <w:left w:val="none" w:sz="0" w:space="0" w:color="auto"/>
                                                                                            <w:bottom w:val="none" w:sz="0" w:space="0" w:color="auto"/>
                                                                                            <w:right w:val="none" w:sz="0" w:space="0" w:color="auto"/>
                                                                                          </w:divBdr>
                                                                                          <w:divsChild>
                                                                                            <w:div w:id="468713537">
                                                                                              <w:marLeft w:val="0"/>
                                                                                              <w:marRight w:val="0"/>
                                                                                              <w:marTop w:val="0"/>
                                                                                              <w:marBottom w:val="0"/>
                                                                                              <w:divBdr>
                                                                                                <w:top w:val="none" w:sz="0" w:space="0" w:color="auto"/>
                                                                                                <w:left w:val="none" w:sz="0" w:space="0" w:color="auto"/>
                                                                                                <w:bottom w:val="none" w:sz="0" w:space="0" w:color="auto"/>
                                                                                                <w:right w:val="none" w:sz="0" w:space="0" w:color="auto"/>
                                                                                              </w:divBdr>
                                                                                            </w:div>
                                                                                          </w:divsChild>
                                                                                        </w:div>
                                                                                        <w:div w:id="1241908544">
                                                                                          <w:marLeft w:val="0"/>
                                                                                          <w:marRight w:val="0"/>
                                                                                          <w:marTop w:val="0"/>
                                                                                          <w:marBottom w:val="0"/>
                                                                                          <w:divBdr>
                                                                                            <w:top w:val="none" w:sz="0" w:space="0" w:color="auto"/>
                                                                                            <w:left w:val="none" w:sz="0" w:space="0" w:color="auto"/>
                                                                                            <w:bottom w:val="none" w:sz="0" w:space="0" w:color="auto"/>
                                                                                            <w:right w:val="none" w:sz="0" w:space="0" w:color="auto"/>
                                                                                          </w:divBdr>
                                                                                          <w:divsChild>
                                                                                            <w:div w:id="96366795">
                                                                                              <w:marLeft w:val="0"/>
                                                                                              <w:marRight w:val="0"/>
                                                                                              <w:marTop w:val="0"/>
                                                                                              <w:marBottom w:val="0"/>
                                                                                              <w:divBdr>
                                                                                                <w:top w:val="none" w:sz="0" w:space="0" w:color="auto"/>
                                                                                                <w:left w:val="none" w:sz="0" w:space="0" w:color="auto"/>
                                                                                                <w:bottom w:val="none" w:sz="0" w:space="0" w:color="auto"/>
                                                                                                <w:right w:val="none" w:sz="0" w:space="0" w:color="auto"/>
                                                                                              </w:divBdr>
                                                                                            </w:div>
                                                                                          </w:divsChild>
                                                                                        </w:div>
                                                                                        <w:div w:id="50931372">
                                                                                          <w:marLeft w:val="0"/>
                                                                                          <w:marRight w:val="0"/>
                                                                                          <w:marTop w:val="0"/>
                                                                                          <w:marBottom w:val="0"/>
                                                                                          <w:divBdr>
                                                                                            <w:top w:val="none" w:sz="0" w:space="0" w:color="auto"/>
                                                                                            <w:left w:val="none" w:sz="0" w:space="0" w:color="auto"/>
                                                                                            <w:bottom w:val="none" w:sz="0" w:space="0" w:color="auto"/>
                                                                                            <w:right w:val="none" w:sz="0" w:space="0" w:color="auto"/>
                                                                                          </w:divBdr>
                                                                                          <w:divsChild>
                                                                                            <w:div w:id="44840527">
                                                                                              <w:marLeft w:val="0"/>
                                                                                              <w:marRight w:val="0"/>
                                                                                              <w:marTop w:val="0"/>
                                                                                              <w:marBottom w:val="0"/>
                                                                                              <w:divBdr>
                                                                                                <w:top w:val="none" w:sz="0" w:space="0" w:color="auto"/>
                                                                                                <w:left w:val="none" w:sz="0" w:space="0" w:color="auto"/>
                                                                                                <w:bottom w:val="none" w:sz="0" w:space="0" w:color="auto"/>
                                                                                                <w:right w:val="none" w:sz="0" w:space="0" w:color="auto"/>
                                                                                              </w:divBdr>
                                                                                            </w:div>
                                                                                          </w:divsChild>
                                                                                        </w:div>
                                                                                        <w:div w:id="1044719677">
                                                                                          <w:marLeft w:val="0"/>
                                                                                          <w:marRight w:val="0"/>
                                                                                          <w:marTop w:val="0"/>
                                                                                          <w:marBottom w:val="0"/>
                                                                                          <w:divBdr>
                                                                                            <w:top w:val="none" w:sz="0" w:space="0" w:color="auto"/>
                                                                                            <w:left w:val="none" w:sz="0" w:space="0" w:color="auto"/>
                                                                                            <w:bottom w:val="none" w:sz="0" w:space="0" w:color="auto"/>
                                                                                            <w:right w:val="none" w:sz="0" w:space="0" w:color="auto"/>
                                                                                          </w:divBdr>
                                                                                          <w:divsChild>
                                                                                            <w:div w:id="612129229">
                                                                                              <w:marLeft w:val="0"/>
                                                                                              <w:marRight w:val="0"/>
                                                                                              <w:marTop w:val="0"/>
                                                                                              <w:marBottom w:val="0"/>
                                                                                              <w:divBdr>
                                                                                                <w:top w:val="none" w:sz="0" w:space="0" w:color="auto"/>
                                                                                                <w:left w:val="none" w:sz="0" w:space="0" w:color="auto"/>
                                                                                                <w:bottom w:val="none" w:sz="0" w:space="0" w:color="auto"/>
                                                                                                <w:right w:val="none" w:sz="0" w:space="0" w:color="auto"/>
                                                                                              </w:divBdr>
                                                                                            </w:div>
                                                                                          </w:divsChild>
                                                                                        </w:div>
                                                                                        <w:div w:id="76640321">
                                                                                          <w:marLeft w:val="0"/>
                                                                                          <w:marRight w:val="0"/>
                                                                                          <w:marTop w:val="0"/>
                                                                                          <w:marBottom w:val="0"/>
                                                                                          <w:divBdr>
                                                                                            <w:top w:val="none" w:sz="0" w:space="0" w:color="auto"/>
                                                                                            <w:left w:val="none" w:sz="0" w:space="0" w:color="auto"/>
                                                                                            <w:bottom w:val="none" w:sz="0" w:space="0" w:color="auto"/>
                                                                                            <w:right w:val="none" w:sz="0" w:space="0" w:color="auto"/>
                                                                                          </w:divBdr>
                                                                                          <w:divsChild>
                                                                                            <w:div w:id="1006127740">
                                                                                              <w:marLeft w:val="0"/>
                                                                                              <w:marRight w:val="0"/>
                                                                                              <w:marTop w:val="0"/>
                                                                                              <w:marBottom w:val="0"/>
                                                                                              <w:divBdr>
                                                                                                <w:top w:val="none" w:sz="0" w:space="0" w:color="auto"/>
                                                                                                <w:left w:val="none" w:sz="0" w:space="0" w:color="auto"/>
                                                                                                <w:bottom w:val="none" w:sz="0" w:space="0" w:color="auto"/>
                                                                                                <w:right w:val="none" w:sz="0" w:space="0" w:color="auto"/>
                                                                                              </w:divBdr>
                                                                                            </w:div>
                                                                                          </w:divsChild>
                                                                                        </w:div>
                                                                                        <w:div w:id="1164124275">
                                                                                          <w:marLeft w:val="0"/>
                                                                                          <w:marRight w:val="0"/>
                                                                                          <w:marTop w:val="0"/>
                                                                                          <w:marBottom w:val="0"/>
                                                                                          <w:divBdr>
                                                                                            <w:top w:val="none" w:sz="0" w:space="0" w:color="auto"/>
                                                                                            <w:left w:val="none" w:sz="0" w:space="0" w:color="auto"/>
                                                                                            <w:bottom w:val="none" w:sz="0" w:space="0" w:color="auto"/>
                                                                                            <w:right w:val="none" w:sz="0" w:space="0" w:color="auto"/>
                                                                                          </w:divBdr>
                                                                                          <w:divsChild>
                                                                                            <w:div w:id="2111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880018">
                                                                                  <w:marLeft w:val="0"/>
                                                                                  <w:marRight w:val="0"/>
                                                                                  <w:marTop w:val="0"/>
                                                                                  <w:marBottom w:val="0"/>
                                                                                  <w:divBdr>
                                                                                    <w:top w:val="none" w:sz="0" w:space="0" w:color="auto"/>
                                                                                    <w:left w:val="none" w:sz="0" w:space="0" w:color="auto"/>
                                                                                    <w:bottom w:val="none" w:sz="0" w:space="0" w:color="auto"/>
                                                                                    <w:right w:val="none" w:sz="0" w:space="0" w:color="auto"/>
                                                                                  </w:divBdr>
                                                                                </w:div>
                                                                                <w:div w:id="952520476">
                                                                                  <w:marLeft w:val="0"/>
                                                                                  <w:marRight w:val="0"/>
                                                                                  <w:marTop w:val="0"/>
                                                                                  <w:marBottom w:val="0"/>
                                                                                  <w:divBdr>
                                                                                    <w:top w:val="none" w:sz="0" w:space="0" w:color="auto"/>
                                                                                    <w:left w:val="none" w:sz="0" w:space="0" w:color="auto"/>
                                                                                    <w:bottom w:val="none" w:sz="0" w:space="0" w:color="auto"/>
                                                                                    <w:right w:val="none" w:sz="0" w:space="0" w:color="auto"/>
                                                                                  </w:divBdr>
                                                                                </w:div>
                                                                                <w:div w:id="32972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5041807">
      <w:bodyDiv w:val="1"/>
      <w:marLeft w:val="0"/>
      <w:marRight w:val="0"/>
      <w:marTop w:val="0"/>
      <w:marBottom w:val="0"/>
      <w:divBdr>
        <w:top w:val="none" w:sz="0" w:space="0" w:color="auto"/>
        <w:left w:val="none" w:sz="0" w:space="0" w:color="auto"/>
        <w:bottom w:val="none" w:sz="0" w:space="0" w:color="auto"/>
        <w:right w:val="none" w:sz="0" w:space="0" w:color="auto"/>
      </w:divBdr>
    </w:div>
    <w:div w:id="625352131">
      <w:bodyDiv w:val="1"/>
      <w:marLeft w:val="0"/>
      <w:marRight w:val="0"/>
      <w:marTop w:val="0"/>
      <w:marBottom w:val="0"/>
      <w:divBdr>
        <w:top w:val="none" w:sz="0" w:space="0" w:color="auto"/>
        <w:left w:val="none" w:sz="0" w:space="0" w:color="auto"/>
        <w:bottom w:val="none" w:sz="0" w:space="0" w:color="auto"/>
        <w:right w:val="none" w:sz="0" w:space="0" w:color="auto"/>
      </w:divBdr>
    </w:div>
    <w:div w:id="625892487">
      <w:bodyDiv w:val="1"/>
      <w:marLeft w:val="0"/>
      <w:marRight w:val="0"/>
      <w:marTop w:val="0"/>
      <w:marBottom w:val="0"/>
      <w:divBdr>
        <w:top w:val="none" w:sz="0" w:space="0" w:color="auto"/>
        <w:left w:val="none" w:sz="0" w:space="0" w:color="auto"/>
        <w:bottom w:val="none" w:sz="0" w:space="0" w:color="auto"/>
        <w:right w:val="none" w:sz="0" w:space="0" w:color="auto"/>
      </w:divBdr>
    </w:div>
    <w:div w:id="626160874">
      <w:bodyDiv w:val="1"/>
      <w:marLeft w:val="0"/>
      <w:marRight w:val="0"/>
      <w:marTop w:val="0"/>
      <w:marBottom w:val="0"/>
      <w:divBdr>
        <w:top w:val="none" w:sz="0" w:space="0" w:color="auto"/>
        <w:left w:val="none" w:sz="0" w:space="0" w:color="auto"/>
        <w:bottom w:val="none" w:sz="0" w:space="0" w:color="auto"/>
        <w:right w:val="none" w:sz="0" w:space="0" w:color="auto"/>
      </w:divBdr>
    </w:div>
    <w:div w:id="630745486">
      <w:bodyDiv w:val="1"/>
      <w:marLeft w:val="0"/>
      <w:marRight w:val="0"/>
      <w:marTop w:val="0"/>
      <w:marBottom w:val="0"/>
      <w:divBdr>
        <w:top w:val="none" w:sz="0" w:space="0" w:color="auto"/>
        <w:left w:val="none" w:sz="0" w:space="0" w:color="auto"/>
        <w:bottom w:val="none" w:sz="0" w:space="0" w:color="auto"/>
        <w:right w:val="none" w:sz="0" w:space="0" w:color="auto"/>
      </w:divBdr>
    </w:div>
    <w:div w:id="631181634">
      <w:bodyDiv w:val="1"/>
      <w:marLeft w:val="0"/>
      <w:marRight w:val="0"/>
      <w:marTop w:val="0"/>
      <w:marBottom w:val="0"/>
      <w:divBdr>
        <w:top w:val="none" w:sz="0" w:space="0" w:color="auto"/>
        <w:left w:val="none" w:sz="0" w:space="0" w:color="auto"/>
        <w:bottom w:val="none" w:sz="0" w:space="0" w:color="auto"/>
        <w:right w:val="none" w:sz="0" w:space="0" w:color="auto"/>
      </w:divBdr>
    </w:div>
    <w:div w:id="631332131">
      <w:bodyDiv w:val="1"/>
      <w:marLeft w:val="0"/>
      <w:marRight w:val="0"/>
      <w:marTop w:val="0"/>
      <w:marBottom w:val="0"/>
      <w:divBdr>
        <w:top w:val="none" w:sz="0" w:space="0" w:color="auto"/>
        <w:left w:val="none" w:sz="0" w:space="0" w:color="auto"/>
        <w:bottom w:val="none" w:sz="0" w:space="0" w:color="auto"/>
        <w:right w:val="none" w:sz="0" w:space="0" w:color="auto"/>
      </w:divBdr>
    </w:div>
    <w:div w:id="639918353">
      <w:bodyDiv w:val="1"/>
      <w:marLeft w:val="0"/>
      <w:marRight w:val="0"/>
      <w:marTop w:val="0"/>
      <w:marBottom w:val="0"/>
      <w:divBdr>
        <w:top w:val="none" w:sz="0" w:space="0" w:color="auto"/>
        <w:left w:val="none" w:sz="0" w:space="0" w:color="auto"/>
        <w:bottom w:val="none" w:sz="0" w:space="0" w:color="auto"/>
        <w:right w:val="none" w:sz="0" w:space="0" w:color="auto"/>
      </w:divBdr>
    </w:div>
    <w:div w:id="646126620">
      <w:bodyDiv w:val="1"/>
      <w:marLeft w:val="0"/>
      <w:marRight w:val="0"/>
      <w:marTop w:val="0"/>
      <w:marBottom w:val="0"/>
      <w:divBdr>
        <w:top w:val="none" w:sz="0" w:space="0" w:color="auto"/>
        <w:left w:val="none" w:sz="0" w:space="0" w:color="auto"/>
        <w:bottom w:val="none" w:sz="0" w:space="0" w:color="auto"/>
        <w:right w:val="none" w:sz="0" w:space="0" w:color="auto"/>
      </w:divBdr>
    </w:div>
    <w:div w:id="649217593">
      <w:bodyDiv w:val="1"/>
      <w:marLeft w:val="0"/>
      <w:marRight w:val="0"/>
      <w:marTop w:val="0"/>
      <w:marBottom w:val="0"/>
      <w:divBdr>
        <w:top w:val="none" w:sz="0" w:space="0" w:color="auto"/>
        <w:left w:val="none" w:sz="0" w:space="0" w:color="auto"/>
        <w:bottom w:val="none" w:sz="0" w:space="0" w:color="auto"/>
        <w:right w:val="none" w:sz="0" w:space="0" w:color="auto"/>
      </w:divBdr>
    </w:div>
    <w:div w:id="650602535">
      <w:bodyDiv w:val="1"/>
      <w:marLeft w:val="0"/>
      <w:marRight w:val="0"/>
      <w:marTop w:val="0"/>
      <w:marBottom w:val="0"/>
      <w:divBdr>
        <w:top w:val="none" w:sz="0" w:space="0" w:color="auto"/>
        <w:left w:val="none" w:sz="0" w:space="0" w:color="auto"/>
        <w:bottom w:val="none" w:sz="0" w:space="0" w:color="auto"/>
        <w:right w:val="none" w:sz="0" w:space="0" w:color="auto"/>
      </w:divBdr>
    </w:div>
    <w:div w:id="659816489">
      <w:bodyDiv w:val="1"/>
      <w:marLeft w:val="0"/>
      <w:marRight w:val="0"/>
      <w:marTop w:val="0"/>
      <w:marBottom w:val="0"/>
      <w:divBdr>
        <w:top w:val="none" w:sz="0" w:space="0" w:color="auto"/>
        <w:left w:val="none" w:sz="0" w:space="0" w:color="auto"/>
        <w:bottom w:val="none" w:sz="0" w:space="0" w:color="auto"/>
        <w:right w:val="none" w:sz="0" w:space="0" w:color="auto"/>
      </w:divBdr>
    </w:div>
    <w:div w:id="661589552">
      <w:bodyDiv w:val="1"/>
      <w:marLeft w:val="0"/>
      <w:marRight w:val="0"/>
      <w:marTop w:val="0"/>
      <w:marBottom w:val="0"/>
      <w:divBdr>
        <w:top w:val="none" w:sz="0" w:space="0" w:color="auto"/>
        <w:left w:val="none" w:sz="0" w:space="0" w:color="auto"/>
        <w:bottom w:val="none" w:sz="0" w:space="0" w:color="auto"/>
        <w:right w:val="none" w:sz="0" w:space="0" w:color="auto"/>
      </w:divBdr>
    </w:div>
    <w:div w:id="662053640">
      <w:bodyDiv w:val="1"/>
      <w:marLeft w:val="0"/>
      <w:marRight w:val="0"/>
      <w:marTop w:val="0"/>
      <w:marBottom w:val="0"/>
      <w:divBdr>
        <w:top w:val="none" w:sz="0" w:space="0" w:color="auto"/>
        <w:left w:val="none" w:sz="0" w:space="0" w:color="auto"/>
        <w:bottom w:val="none" w:sz="0" w:space="0" w:color="auto"/>
        <w:right w:val="none" w:sz="0" w:space="0" w:color="auto"/>
      </w:divBdr>
    </w:div>
    <w:div w:id="662122638">
      <w:bodyDiv w:val="1"/>
      <w:marLeft w:val="0"/>
      <w:marRight w:val="0"/>
      <w:marTop w:val="0"/>
      <w:marBottom w:val="0"/>
      <w:divBdr>
        <w:top w:val="none" w:sz="0" w:space="0" w:color="auto"/>
        <w:left w:val="none" w:sz="0" w:space="0" w:color="auto"/>
        <w:bottom w:val="none" w:sz="0" w:space="0" w:color="auto"/>
        <w:right w:val="none" w:sz="0" w:space="0" w:color="auto"/>
      </w:divBdr>
    </w:div>
    <w:div w:id="667516718">
      <w:bodyDiv w:val="1"/>
      <w:marLeft w:val="0"/>
      <w:marRight w:val="0"/>
      <w:marTop w:val="0"/>
      <w:marBottom w:val="0"/>
      <w:divBdr>
        <w:top w:val="none" w:sz="0" w:space="0" w:color="auto"/>
        <w:left w:val="none" w:sz="0" w:space="0" w:color="auto"/>
        <w:bottom w:val="none" w:sz="0" w:space="0" w:color="auto"/>
        <w:right w:val="none" w:sz="0" w:space="0" w:color="auto"/>
      </w:divBdr>
    </w:div>
    <w:div w:id="684870276">
      <w:bodyDiv w:val="1"/>
      <w:marLeft w:val="0"/>
      <w:marRight w:val="0"/>
      <w:marTop w:val="0"/>
      <w:marBottom w:val="0"/>
      <w:divBdr>
        <w:top w:val="none" w:sz="0" w:space="0" w:color="auto"/>
        <w:left w:val="none" w:sz="0" w:space="0" w:color="auto"/>
        <w:bottom w:val="none" w:sz="0" w:space="0" w:color="auto"/>
        <w:right w:val="none" w:sz="0" w:space="0" w:color="auto"/>
      </w:divBdr>
    </w:div>
    <w:div w:id="686718808">
      <w:bodyDiv w:val="1"/>
      <w:marLeft w:val="0"/>
      <w:marRight w:val="0"/>
      <w:marTop w:val="0"/>
      <w:marBottom w:val="0"/>
      <w:divBdr>
        <w:top w:val="none" w:sz="0" w:space="0" w:color="auto"/>
        <w:left w:val="none" w:sz="0" w:space="0" w:color="auto"/>
        <w:bottom w:val="none" w:sz="0" w:space="0" w:color="auto"/>
        <w:right w:val="none" w:sz="0" w:space="0" w:color="auto"/>
      </w:divBdr>
    </w:div>
    <w:div w:id="686979517">
      <w:bodyDiv w:val="1"/>
      <w:marLeft w:val="0"/>
      <w:marRight w:val="0"/>
      <w:marTop w:val="0"/>
      <w:marBottom w:val="0"/>
      <w:divBdr>
        <w:top w:val="none" w:sz="0" w:space="0" w:color="auto"/>
        <w:left w:val="none" w:sz="0" w:space="0" w:color="auto"/>
        <w:bottom w:val="none" w:sz="0" w:space="0" w:color="auto"/>
        <w:right w:val="none" w:sz="0" w:space="0" w:color="auto"/>
      </w:divBdr>
    </w:div>
    <w:div w:id="687872608">
      <w:bodyDiv w:val="1"/>
      <w:marLeft w:val="0"/>
      <w:marRight w:val="0"/>
      <w:marTop w:val="0"/>
      <w:marBottom w:val="0"/>
      <w:divBdr>
        <w:top w:val="none" w:sz="0" w:space="0" w:color="auto"/>
        <w:left w:val="none" w:sz="0" w:space="0" w:color="auto"/>
        <w:bottom w:val="none" w:sz="0" w:space="0" w:color="auto"/>
        <w:right w:val="none" w:sz="0" w:space="0" w:color="auto"/>
      </w:divBdr>
      <w:divsChild>
        <w:div w:id="589971838">
          <w:marLeft w:val="0"/>
          <w:marRight w:val="0"/>
          <w:marTop w:val="0"/>
          <w:marBottom w:val="0"/>
          <w:divBdr>
            <w:top w:val="none" w:sz="0" w:space="0" w:color="auto"/>
            <w:left w:val="none" w:sz="0" w:space="0" w:color="auto"/>
            <w:bottom w:val="none" w:sz="0" w:space="0" w:color="auto"/>
            <w:right w:val="none" w:sz="0" w:space="0" w:color="auto"/>
          </w:divBdr>
        </w:div>
      </w:divsChild>
    </w:div>
    <w:div w:id="688532697">
      <w:bodyDiv w:val="1"/>
      <w:marLeft w:val="0"/>
      <w:marRight w:val="0"/>
      <w:marTop w:val="0"/>
      <w:marBottom w:val="0"/>
      <w:divBdr>
        <w:top w:val="none" w:sz="0" w:space="0" w:color="auto"/>
        <w:left w:val="none" w:sz="0" w:space="0" w:color="auto"/>
        <w:bottom w:val="none" w:sz="0" w:space="0" w:color="auto"/>
        <w:right w:val="none" w:sz="0" w:space="0" w:color="auto"/>
      </w:divBdr>
    </w:div>
    <w:div w:id="693580357">
      <w:bodyDiv w:val="1"/>
      <w:marLeft w:val="0"/>
      <w:marRight w:val="0"/>
      <w:marTop w:val="0"/>
      <w:marBottom w:val="0"/>
      <w:divBdr>
        <w:top w:val="none" w:sz="0" w:space="0" w:color="auto"/>
        <w:left w:val="none" w:sz="0" w:space="0" w:color="auto"/>
        <w:bottom w:val="none" w:sz="0" w:space="0" w:color="auto"/>
        <w:right w:val="none" w:sz="0" w:space="0" w:color="auto"/>
      </w:divBdr>
    </w:div>
    <w:div w:id="700980054">
      <w:bodyDiv w:val="1"/>
      <w:marLeft w:val="0"/>
      <w:marRight w:val="0"/>
      <w:marTop w:val="0"/>
      <w:marBottom w:val="0"/>
      <w:divBdr>
        <w:top w:val="none" w:sz="0" w:space="0" w:color="auto"/>
        <w:left w:val="none" w:sz="0" w:space="0" w:color="auto"/>
        <w:bottom w:val="none" w:sz="0" w:space="0" w:color="auto"/>
        <w:right w:val="none" w:sz="0" w:space="0" w:color="auto"/>
      </w:divBdr>
    </w:div>
    <w:div w:id="703990339">
      <w:bodyDiv w:val="1"/>
      <w:marLeft w:val="0"/>
      <w:marRight w:val="0"/>
      <w:marTop w:val="0"/>
      <w:marBottom w:val="0"/>
      <w:divBdr>
        <w:top w:val="none" w:sz="0" w:space="0" w:color="auto"/>
        <w:left w:val="none" w:sz="0" w:space="0" w:color="auto"/>
        <w:bottom w:val="none" w:sz="0" w:space="0" w:color="auto"/>
        <w:right w:val="none" w:sz="0" w:space="0" w:color="auto"/>
      </w:divBdr>
    </w:div>
    <w:div w:id="713693614">
      <w:bodyDiv w:val="1"/>
      <w:marLeft w:val="0"/>
      <w:marRight w:val="0"/>
      <w:marTop w:val="0"/>
      <w:marBottom w:val="0"/>
      <w:divBdr>
        <w:top w:val="none" w:sz="0" w:space="0" w:color="auto"/>
        <w:left w:val="none" w:sz="0" w:space="0" w:color="auto"/>
        <w:bottom w:val="none" w:sz="0" w:space="0" w:color="auto"/>
        <w:right w:val="none" w:sz="0" w:space="0" w:color="auto"/>
      </w:divBdr>
    </w:div>
    <w:div w:id="715006794">
      <w:bodyDiv w:val="1"/>
      <w:marLeft w:val="0"/>
      <w:marRight w:val="0"/>
      <w:marTop w:val="0"/>
      <w:marBottom w:val="0"/>
      <w:divBdr>
        <w:top w:val="none" w:sz="0" w:space="0" w:color="auto"/>
        <w:left w:val="none" w:sz="0" w:space="0" w:color="auto"/>
        <w:bottom w:val="none" w:sz="0" w:space="0" w:color="auto"/>
        <w:right w:val="none" w:sz="0" w:space="0" w:color="auto"/>
      </w:divBdr>
    </w:div>
    <w:div w:id="720329373">
      <w:bodyDiv w:val="1"/>
      <w:marLeft w:val="0"/>
      <w:marRight w:val="0"/>
      <w:marTop w:val="0"/>
      <w:marBottom w:val="0"/>
      <w:divBdr>
        <w:top w:val="none" w:sz="0" w:space="0" w:color="auto"/>
        <w:left w:val="none" w:sz="0" w:space="0" w:color="auto"/>
        <w:bottom w:val="none" w:sz="0" w:space="0" w:color="auto"/>
        <w:right w:val="none" w:sz="0" w:space="0" w:color="auto"/>
      </w:divBdr>
    </w:div>
    <w:div w:id="721438973">
      <w:bodyDiv w:val="1"/>
      <w:marLeft w:val="0"/>
      <w:marRight w:val="0"/>
      <w:marTop w:val="0"/>
      <w:marBottom w:val="0"/>
      <w:divBdr>
        <w:top w:val="none" w:sz="0" w:space="0" w:color="auto"/>
        <w:left w:val="none" w:sz="0" w:space="0" w:color="auto"/>
        <w:bottom w:val="none" w:sz="0" w:space="0" w:color="auto"/>
        <w:right w:val="none" w:sz="0" w:space="0" w:color="auto"/>
      </w:divBdr>
    </w:div>
    <w:div w:id="724529040">
      <w:bodyDiv w:val="1"/>
      <w:marLeft w:val="0"/>
      <w:marRight w:val="0"/>
      <w:marTop w:val="0"/>
      <w:marBottom w:val="0"/>
      <w:divBdr>
        <w:top w:val="none" w:sz="0" w:space="0" w:color="auto"/>
        <w:left w:val="none" w:sz="0" w:space="0" w:color="auto"/>
        <w:bottom w:val="none" w:sz="0" w:space="0" w:color="auto"/>
        <w:right w:val="none" w:sz="0" w:space="0" w:color="auto"/>
      </w:divBdr>
      <w:divsChild>
        <w:div w:id="1477724907">
          <w:marLeft w:val="0"/>
          <w:marRight w:val="0"/>
          <w:marTop w:val="0"/>
          <w:marBottom w:val="0"/>
          <w:divBdr>
            <w:top w:val="none" w:sz="0" w:space="0" w:color="auto"/>
            <w:left w:val="none" w:sz="0" w:space="0" w:color="auto"/>
            <w:bottom w:val="none" w:sz="0" w:space="0" w:color="auto"/>
            <w:right w:val="none" w:sz="0" w:space="0" w:color="auto"/>
          </w:divBdr>
        </w:div>
      </w:divsChild>
    </w:div>
    <w:div w:id="725876987">
      <w:bodyDiv w:val="1"/>
      <w:marLeft w:val="0"/>
      <w:marRight w:val="0"/>
      <w:marTop w:val="0"/>
      <w:marBottom w:val="0"/>
      <w:divBdr>
        <w:top w:val="none" w:sz="0" w:space="0" w:color="auto"/>
        <w:left w:val="none" w:sz="0" w:space="0" w:color="auto"/>
        <w:bottom w:val="none" w:sz="0" w:space="0" w:color="auto"/>
        <w:right w:val="none" w:sz="0" w:space="0" w:color="auto"/>
      </w:divBdr>
    </w:div>
    <w:div w:id="726336644">
      <w:bodyDiv w:val="1"/>
      <w:marLeft w:val="0"/>
      <w:marRight w:val="0"/>
      <w:marTop w:val="0"/>
      <w:marBottom w:val="0"/>
      <w:divBdr>
        <w:top w:val="none" w:sz="0" w:space="0" w:color="auto"/>
        <w:left w:val="none" w:sz="0" w:space="0" w:color="auto"/>
        <w:bottom w:val="none" w:sz="0" w:space="0" w:color="auto"/>
        <w:right w:val="none" w:sz="0" w:space="0" w:color="auto"/>
      </w:divBdr>
    </w:div>
    <w:div w:id="727263627">
      <w:bodyDiv w:val="1"/>
      <w:marLeft w:val="0"/>
      <w:marRight w:val="0"/>
      <w:marTop w:val="0"/>
      <w:marBottom w:val="0"/>
      <w:divBdr>
        <w:top w:val="none" w:sz="0" w:space="0" w:color="auto"/>
        <w:left w:val="none" w:sz="0" w:space="0" w:color="auto"/>
        <w:bottom w:val="none" w:sz="0" w:space="0" w:color="auto"/>
        <w:right w:val="none" w:sz="0" w:space="0" w:color="auto"/>
      </w:divBdr>
    </w:div>
    <w:div w:id="738596666">
      <w:bodyDiv w:val="1"/>
      <w:marLeft w:val="0"/>
      <w:marRight w:val="0"/>
      <w:marTop w:val="0"/>
      <w:marBottom w:val="0"/>
      <w:divBdr>
        <w:top w:val="none" w:sz="0" w:space="0" w:color="auto"/>
        <w:left w:val="none" w:sz="0" w:space="0" w:color="auto"/>
        <w:bottom w:val="none" w:sz="0" w:space="0" w:color="auto"/>
        <w:right w:val="none" w:sz="0" w:space="0" w:color="auto"/>
      </w:divBdr>
    </w:div>
    <w:div w:id="741411174">
      <w:bodyDiv w:val="1"/>
      <w:marLeft w:val="0"/>
      <w:marRight w:val="0"/>
      <w:marTop w:val="0"/>
      <w:marBottom w:val="0"/>
      <w:divBdr>
        <w:top w:val="none" w:sz="0" w:space="0" w:color="auto"/>
        <w:left w:val="none" w:sz="0" w:space="0" w:color="auto"/>
        <w:bottom w:val="none" w:sz="0" w:space="0" w:color="auto"/>
        <w:right w:val="none" w:sz="0" w:space="0" w:color="auto"/>
      </w:divBdr>
    </w:div>
    <w:div w:id="747650685">
      <w:bodyDiv w:val="1"/>
      <w:marLeft w:val="0"/>
      <w:marRight w:val="0"/>
      <w:marTop w:val="0"/>
      <w:marBottom w:val="0"/>
      <w:divBdr>
        <w:top w:val="none" w:sz="0" w:space="0" w:color="auto"/>
        <w:left w:val="none" w:sz="0" w:space="0" w:color="auto"/>
        <w:bottom w:val="none" w:sz="0" w:space="0" w:color="auto"/>
        <w:right w:val="none" w:sz="0" w:space="0" w:color="auto"/>
      </w:divBdr>
    </w:div>
    <w:div w:id="749742680">
      <w:bodyDiv w:val="1"/>
      <w:marLeft w:val="0"/>
      <w:marRight w:val="0"/>
      <w:marTop w:val="0"/>
      <w:marBottom w:val="0"/>
      <w:divBdr>
        <w:top w:val="none" w:sz="0" w:space="0" w:color="auto"/>
        <w:left w:val="none" w:sz="0" w:space="0" w:color="auto"/>
        <w:bottom w:val="none" w:sz="0" w:space="0" w:color="auto"/>
        <w:right w:val="none" w:sz="0" w:space="0" w:color="auto"/>
      </w:divBdr>
    </w:div>
    <w:div w:id="750202237">
      <w:bodyDiv w:val="1"/>
      <w:marLeft w:val="0"/>
      <w:marRight w:val="0"/>
      <w:marTop w:val="0"/>
      <w:marBottom w:val="0"/>
      <w:divBdr>
        <w:top w:val="none" w:sz="0" w:space="0" w:color="auto"/>
        <w:left w:val="none" w:sz="0" w:space="0" w:color="auto"/>
        <w:bottom w:val="none" w:sz="0" w:space="0" w:color="auto"/>
        <w:right w:val="none" w:sz="0" w:space="0" w:color="auto"/>
      </w:divBdr>
    </w:div>
    <w:div w:id="752893614">
      <w:bodyDiv w:val="1"/>
      <w:marLeft w:val="0"/>
      <w:marRight w:val="0"/>
      <w:marTop w:val="0"/>
      <w:marBottom w:val="0"/>
      <w:divBdr>
        <w:top w:val="none" w:sz="0" w:space="0" w:color="auto"/>
        <w:left w:val="none" w:sz="0" w:space="0" w:color="auto"/>
        <w:bottom w:val="none" w:sz="0" w:space="0" w:color="auto"/>
        <w:right w:val="none" w:sz="0" w:space="0" w:color="auto"/>
      </w:divBdr>
    </w:div>
    <w:div w:id="757018820">
      <w:bodyDiv w:val="1"/>
      <w:marLeft w:val="0"/>
      <w:marRight w:val="0"/>
      <w:marTop w:val="0"/>
      <w:marBottom w:val="0"/>
      <w:divBdr>
        <w:top w:val="none" w:sz="0" w:space="0" w:color="auto"/>
        <w:left w:val="none" w:sz="0" w:space="0" w:color="auto"/>
        <w:bottom w:val="none" w:sz="0" w:space="0" w:color="auto"/>
        <w:right w:val="none" w:sz="0" w:space="0" w:color="auto"/>
      </w:divBdr>
    </w:div>
    <w:div w:id="758060499">
      <w:bodyDiv w:val="1"/>
      <w:marLeft w:val="0"/>
      <w:marRight w:val="0"/>
      <w:marTop w:val="0"/>
      <w:marBottom w:val="0"/>
      <w:divBdr>
        <w:top w:val="none" w:sz="0" w:space="0" w:color="auto"/>
        <w:left w:val="none" w:sz="0" w:space="0" w:color="auto"/>
        <w:bottom w:val="none" w:sz="0" w:space="0" w:color="auto"/>
        <w:right w:val="none" w:sz="0" w:space="0" w:color="auto"/>
      </w:divBdr>
    </w:div>
    <w:div w:id="760181223">
      <w:bodyDiv w:val="1"/>
      <w:marLeft w:val="0"/>
      <w:marRight w:val="0"/>
      <w:marTop w:val="0"/>
      <w:marBottom w:val="0"/>
      <w:divBdr>
        <w:top w:val="none" w:sz="0" w:space="0" w:color="auto"/>
        <w:left w:val="none" w:sz="0" w:space="0" w:color="auto"/>
        <w:bottom w:val="none" w:sz="0" w:space="0" w:color="auto"/>
        <w:right w:val="none" w:sz="0" w:space="0" w:color="auto"/>
      </w:divBdr>
    </w:div>
    <w:div w:id="760446002">
      <w:bodyDiv w:val="1"/>
      <w:marLeft w:val="0"/>
      <w:marRight w:val="0"/>
      <w:marTop w:val="0"/>
      <w:marBottom w:val="0"/>
      <w:divBdr>
        <w:top w:val="none" w:sz="0" w:space="0" w:color="auto"/>
        <w:left w:val="none" w:sz="0" w:space="0" w:color="auto"/>
        <w:bottom w:val="none" w:sz="0" w:space="0" w:color="auto"/>
        <w:right w:val="none" w:sz="0" w:space="0" w:color="auto"/>
      </w:divBdr>
    </w:div>
    <w:div w:id="760882212">
      <w:bodyDiv w:val="1"/>
      <w:marLeft w:val="0"/>
      <w:marRight w:val="0"/>
      <w:marTop w:val="0"/>
      <w:marBottom w:val="0"/>
      <w:divBdr>
        <w:top w:val="none" w:sz="0" w:space="0" w:color="auto"/>
        <w:left w:val="none" w:sz="0" w:space="0" w:color="auto"/>
        <w:bottom w:val="none" w:sz="0" w:space="0" w:color="auto"/>
        <w:right w:val="none" w:sz="0" w:space="0" w:color="auto"/>
      </w:divBdr>
    </w:div>
    <w:div w:id="762186869">
      <w:bodyDiv w:val="1"/>
      <w:marLeft w:val="0"/>
      <w:marRight w:val="0"/>
      <w:marTop w:val="0"/>
      <w:marBottom w:val="0"/>
      <w:divBdr>
        <w:top w:val="none" w:sz="0" w:space="0" w:color="auto"/>
        <w:left w:val="none" w:sz="0" w:space="0" w:color="auto"/>
        <w:bottom w:val="none" w:sz="0" w:space="0" w:color="auto"/>
        <w:right w:val="none" w:sz="0" w:space="0" w:color="auto"/>
      </w:divBdr>
    </w:div>
    <w:div w:id="763452546">
      <w:bodyDiv w:val="1"/>
      <w:marLeft w:val="0"/>
      <w:marRight w:val="0"/>
      <w:marTop w:val="0"/>
      <w:marBottom w:val="0"/>
      <w:divBdr>
        <w:top w:val="none" w:sz="0" w:space="0" w:color="auto"/>
        <w:left w:val="none" w:sz="0" w:space="0" w:color="auto"/>
        <w:bottom w:val="none" w:sz="0" w:space="0" w:color="auto"/>
        <w:right w:val="none" w:sz="0" w:space="0" w:color="auto"/>
      </w:divBdr>
    </w:div>
    <w:div w:id="763915919">
      <w:bodyDiv w:val="1"/>
      <w:marLeft w:val="0"/>
      <w:marRight w:val="0"/>
      <w:marTop w:val="0"/>
      <w:marBottom w:val="0"/>
      <w:divBdr>
        <w:top w:val="none" w:sz="0" w:space="0" w:color="auto"/>
        <w:left w:val="none" w:sz="0" w:space="0" w:color="auto"/>
        <w:bottom w:val="none" w:sz="0" w:space="0" w:color="auto"/>
        <w:right w:val="none" w:sz="0" w:space="0" w:color="auto"/>
      </w:divBdr>
    </w:div>
    <w:div w:id="764231951">
      <w:bodyDiv w:val="1"/>
      <w:marLeft w:val="0"/>
      <w:marRight w:val="0"/>
      <w:marTop w:val="0"/>
      <w:marBottom w:val="0"/>
      <w:divBdr>
        <w:top w:val="none" w:sz="0" w:space="0" w:color="auto"/>
        <w:left w:val="none" w:sz="0" w:space="0" w:color="auto"/>
        <w:bottom w:val="none" w:sz="0" w:space="0" w:color="auto"/>
        <w:right w:val="none" w:sz="0" w:space="0" w:color="auto"/>
      </w:divBdr>
    </w:div>
    <w:div w:id="767580417">
      <w:bodyDiv w:val="1"/>
      <w:marLeft w:val="0"/>
      <w:marRight w:val="0"/>
      <w:marTop w:val="0"/>
      <w:marBottom w:val="0"/>
      <w:divBdr>
        <w:top w:val="none" w:sz="0" w:space="0" w:color="auto"/>
        <w:left w:val="none" w:sz="0" w:space="0" w:color="auto"/>
        <w:bottom w:val="none" w:sz="0" w:space="0" w:color="auto"/>
        <w:right w:val="none" w:sz="0" w:space="0" w:color="auto"/>
      </w:divBdr>
    </w:div>
    <w:div w:id="769468968">
      <w:bodyDiv w:val="1"/>
      <w:marLeft w:val="0"/>
      <w:marRight w:val="0"/>
      <w:marTop w:val="0"/>
      <w:marBottom w:val="0"/>
      <w:divBdr>
        <w:top w:val="none" w:sz="0" w:space="0" w:color="auto"/>
        <w:left w:val="none" w:sz="0" w:space="0" w:color="auto"/>
        <w:bottom w:val="none" w:sz="0" w:space="0" w:color="auto"/>
        <w:right w:val="none" w:sz="0" w:space="0" w:color="auto"/>
      </w:divBdr>
    </w:div>
    <w:div w:id="771046624">
      <w:bodyDiv w:val="1"/>
      <w:marLeft w:val="0"/>
      <w:marRight w:val="0"/>
      <w:marTop w:val="0"/>
      <w:marBottom w:val="0"/>
      <w:divBdr>
        <w:top w:val="none" w:sz="0" w:space="0" w:color="auto"/>
        <w:left w:val="none" w:sz="0" w:space="0" w:color="auto"/>
        <w:bottom w:val="none" w:sz="0" w:space="0" w:color="auto"/>
        <w:right w:val="none" w:sz="0" w:space="0" w:color="auto"/>
      </w:divBdr>
    </w:div>
    <w:div w:id="781533913">
      <w:bodyDiv w:val="1"/>
      <w:marLeft w:val="0"/>
      <w:marRight w:val="0"/>
      <w:marTop w:val="0"/>
      <w:marBottom w:val="0"/>
      <w:divBdr>
        <w:top w:val="none" w:sz="0" w:space="0" w:color="auto"/>
        <w:left w:val="none" w:sz="0" w:space="0" w:color="auto"/>
        <w:bottom w:val="none" w:sz="0" w:space="0" w:color="auto"/>
        <w:right w:val="none" w:sz="0" w:space="0" w:color="auto"/>
      </w:divBdr>
    </w:div>
    <w:div w:id="785007474">
      <w:bodyDiv w:val="1"/>
      <w:marLeft w:val="0"/>
      <w:marRight w:val="0"/>
      <w:marTop w:val="0"/>
      <w:marBottom w:val="0"/>
      <w:divBdr>
        <w:top w:val="none" w:sz="0" w:space="0" w:color="auto"/>
        <w:left w:val="none" w:sz="0" w:space="0" w:color="auto"/>
        <w:bottom w:val="none" w:sz="0" w:space="0" w:color="auto"/>
        <w:right w:val="none" w:sz="0" w:space="0" w:color="auto"/>
      </w:divBdr>
    </w:div>
    <w:div w:id="795375651">
      <w:bodyDiv w:val="1"/>
      <w:marLeft w:val="0"/>
      <w:marRight w:val="0"/>
      <w:marTop w:val="0"/>
      <w:marBottom w:val="0"/>
      <w:divBdr>
        <w:top w:val="none" w:sz="0" w:space="0" w:color="auto"/>
        <w:left w:val="none" w:sz="0" w:space="0" w:color="auto"/>
        <w:bottom w:val="none" w:sz="0" w:space="0" w:color="auto"/>
        <w:right w:val="none" w:sz="0" w:space="0" w:color="auto"/>
      </w:divBdr>
    </w:div>
    <w:div w:id="796725784">
      <w:bodyDiv w:val="1"/>
      <w:marLeft w:val="0"/>
      <w:marRight w:val="0"/>
      <w:marTop w:val="0"/>
      <w:marBottom w:val="0"/>
      <w:divBdr>
        <w:top w:val="none" w:sz="0" w:space="0" w:color="auto"/>
        <w:left w:val="none" w:sz="0" w:space="0" w:color="auto"/>
        <w:bottom w:val="none" w:sz="0" w:space="0" w:color="auto"/>
        <w:right w:val="none" w:sz="0" w:space="0" w:color="auto"/>
      </w:divBdr>
    </w:div>
    <w:div w:id="797648657">
      <w:bodyDiv w:val="1"/>
      <w:marLeft w:val="0"/>
      <w:marRight w:val="0"/>
      <w:marTop w:val="0"/>
      <w:marBottom w:val="0"/>
      <w:divBdr>
        <w:top w:val="none" w:sz="0" w:space="0" w:color="auto"/>
        <w:left w:val="none" w:sz="0" w:space="0" w:color="auto"/>
        <w:bottom w:val="none" w:sz="0" w:space="0" w:color="auto"/>
        <w:right w:val="none" w:sz="0" w:space="0" w:color="auto"/>
      </w:divBdr>
    </w:div>
    <w:div w:id="798955363">
      <w:bodyDiv w:val="1"/>
      <w:marLeft w:val="0"/>
      <w:marRight w:val="0"/>
      <w:marTop w:val="0"/>
      <w:marBottom w:val="0"/>
      <w:divBdr>
        <w:top w:val="none" w:sz="0" w:space="0" w:color="auto"/>
        <w:left w:val="none" w:sz="0" w:space="0" w:color="auto"/>
        <w:bottom w:val="none" w:sz="0" w:space="0" w:color="auto"/>
        <w:right w:val="none" w:sz="0" w:space="0" w:color="auto"/>
      </w:divBdr>
    </w:div>
    <w:div w:id="803935203">
      <w:bodyDiv w:val="1"/>
      <w:marLeft w:val="0"/>
      <w:marRight w:val="0"/>
      <w:marTop w:val="0"/>
      <w:marBottom w:val="0"/>
      <w:divBdr>
        <w:top w:val="none" w:sz="0" w:space="0" w:color="auto"/>
        <w:left w:val="none" w:sz="0" w:space="0" w:color="auto"/>
        <w:bottom w:val="none" w:sz="0" w:space="0" w:color="auto"/>
        <w:right w:val="none" w:sz="0" w:space="0" w:color="auto"/>
      </w:divBdr>
    </w:div>
    <w:div w:id="806169296">
      <w:bodyDiv w:val="1"/>
      <w:marLeft w:val="0"/>
      <w:marRight w:val="0"/>
      <w:marTop w:val="0"/>
      <w:marBottom w:val="0"/>
      <w:divBdr>
        <w:top w:val="none" w:sz="0" w:space="0" w:color="auto"/>
        <w:left w:val="none" w:sz="0" w:space="0" w:color="auto"/>
        <w:bottom w:val="none" w:sz="0" w:space="0" w:color="auto"/>
        <w:right w:val="none" w:sz="0" w:space="0" w:color="auto"/>
      </w:divBdr>
    </w:div>
    <w:div w:id="809178695">
      <w:bodyDiv w:val="1"/>
      <w:marLeft w:val="0"/>
      <w:marRight w:val="0"/>
      <w:marTop w:val="0"/>
      <w:marBottom w:val="0"/>
      <w:divBdr>
        <w:top w:val="none" w:sz="0" w:space="0" w:color="auto"/>
        <w:left w:val="none" w:sz="0" w:space="0" w:color="auto"/>
        <w:bottom w:val="none" w:sz="0" w:space="0" w:color="auto"/>
        <w:right w:val="none" w:sz="0" w:space="0" w:color="auto"/>
      </w:divBdr>
    </w:div>
    <w:div w:id="813451782">
      <w:bodyDiv w:val="1"/>
      <w:marLeft w:val="0"/>
      <w:marRight w:val="0"/>
      <w:marTop w:val="0"/>
      <w:marBottom w:val="0"/>
      <w:divBdr>
        <w:top w:val="none" w:sz="0" w:space="0" w:color="auto"/>
        <w:left w:val="none" w:sz="0" w:space="0" w:color="auto"/>
        <w:bottom w:val="none" w:sz="0" w:space="0" w:color="auto"/>
        <w:right w:val="none" w:sz="0" w:space="0" w:color="auto"/>
      </w:divBdr>
    </w:div>
    <w:div w:id="821166253">
      <w:bodyDiv w:val="1"/>
      <w:marLeft w:val="0"/>
      <w:marRight w:val="0"/>
      <w:marTop w:val="0"/>
      <w:marBottom w:val="0"/>
      <w:divBdr>
        <w:top w:val="none" w:sz="0" w:space="0" w:color="auto"/>
        <w:left w:val="none" w:sz="0" w:space="0" w:color="auto"/>
        <w:bottom w:val="none" w:sz="0" w:space="0" w:color="auto"/>
        <w:right w:val="none" w:sz="0" w:space="0" w:color="auto"/>
      </w:divBdr>
    </w:div>
    <w:div w:id="825362042">
      <w:bodyDiv w:val="1"/>
      <w:marLeft w:val="0"/>
      <w:marRight w:val="0"/>
      <w:marTop w:val="0"/>
      <w:marBottom w:val="0"/>
      <w:divBdr>
        <w:top w:val="none" w:sz="0" w:space="0" w:color="auto"/>
        <w:left w:val="none" w:sz="0" w:space="0" w:color="auto"/>
        <w:bottom w:val="none" w:sz="0" w:space="0" w:color="auto"/>
        <w:right w:val="none" w:sz="0" w:space="0" w:color="auto"/>
      </w:divBdr>
      <w:divsChild>
        <w:div w:id="824856084">
          <w:marLeft w:val="0"/>
          <w:marRight w:val="0"/>
          <w:marTop w:val="0"/>
          <w:marBottom w:val="0"/>
          <w:divBdr>
            <w:top w:val="none" w:sz="0" w:space="0" w:color="auto"/>
            <w:left w:val="none" w:sz="0" w:space="0" w:color="auto"/>
            <w:bottom w:val="none" w:sz="0" w:space="0" w:color="auto"/>
            <w:right w:val="none" w:sz="0" w:space="0" w:color="auto"/>
          </w:divBdr>
        </w:div>
        <w:div w:id="882446085">
          <w:marLeft w:val="0"/>
          <w:marRight w:val="0"/>
          <w:marTop w:val="0"/>
          <w:marBottom w:val="0"/>
          <w:divBdr>
            <w:top w:val="none" w:sz="0" w:space="0" w:color="auto"/>
            <w:left w:val="none" w:sz="0" w:space="0" w:color="auto"/>
            <w:bottom w:val="none" w:sz="0" w:space="0" w:color="auto"/>
            <w:right w:val="none" w:sz="0" w:space="0" w:color="auto"/>
          </w:divBdr>
        </w:div>
        <w:div w:id="979967496">
          <w:marLeft w:val="0"/>
          <w:marRight w:val="0"/>
          <w:marTop w:val="0"/>
          <w:marBottom w:val="0"/>
          <w:divBdr>
            <w:top w:val="none" w:sz="0" w:space="0" w:color="auto"/>
            <w:left w:val="none" w:sz="0" w:space="0" w:color="auto"/>
            <w:bottom w:val="none" w:sz="0" w:space="0" w:color="auto"/>
            <w:right w:val="none" w:sz="0" w:space="0" w:color="auto"/>
          </w:divBdr>
        </w:div>
        <w:div w:id="1302541027">
          <w:marLeft w:val="0"/>
          <w:marRight w:val="0"/>
          <w:marTop w:val="0"/>
          <w:marBottom w:val="0"/>
          <w:divBdr>
            <w:top w:val="none" w:sz="0" w:space="0" w:color="auto"/>
            <w:left w:val="none" w:sz="0" w:space="0" w:color="auto"/>
            <w:bottom w:val="none" w:sz="0" w:space="0" w:color="auto"/>
            <w:right w:val="none" w:sz="0" w:space="0" w:color="auto"/>
          </w:divBdr>
        </w:div>
        <w:div w:id="1467550092">
          <w:marLeft w:val="0"/>
          <w:marRight w:val="0"/>
          <w:marTop w:val="0"/>
          <w:marBottom w:val="0"/>
          <w:divBdr>
            <w:top w:val="none" w:sz="0" w:space="0" w:color="auto"/>
            <w:left w:val="none" w:sz="0" w:space="0" w:color="auto"/>
            <w:bottom w:val="none" w:sz="0" w:space="0" w:color="auto"/>
            <w:right w:val="none" w:sz="0" w:space="0" w:color="auto"/>
          </w:divBdr>
        </w:div>
        <w:div w:id="1976837551">
          <w:marLeft w:val="0"/>
          <w:marRight w:val="0"/>
          <w:marTop w:val="0"/>
          <w:marBottom w:val="0"/>
          <w:divBdr>
            <w:top w:val="none" w:sz="0" w:space="0" w:color="auto"/>
            <w:left w:val="none" w:sz="0" w:space="0" w:color="auto"/>
            <w:bottom w:val="none" w:sz="0" w:space="0" w:color="auto"/>
            <w:right w:val="none" w:sz="0" w:space="0" w:color="auto"/>
          </w:divBdr>
        </w:div>
      </w:divsChild>
    </w:div>
    <w:div w:id="826360116">
      <w:bodyDiv w:val="1"/>
      <w:marLeft w:val="0"/>
      <w:marRight w:val="0"/>
      <w:marTop w:val="0"/>
      <w:marBottom w:val="0"/>
      <w:divBdr>
        <w:top w:val="none" w:sz="0" w:space="0" w:color="auto"/>
        <w:left w:val="none" w:sz="0" w:space="0" w:color="auto"/>
        <w:bottom w:val="none" w:sz="0" w:space="0" w:color="auto"/>
        <w:right w:val="none" w:sz="0" w:space="0" w:color="auto"/>
      </w:divBdr>
    </w:div>
    <w:div w:id="834535429">
      <w:bodyDiv w:val="1"/>
      <w:marLeft w:val="0"/>
      <w:marRight w:val="0"/>
      <w:marTop w:val="0"/>
      <w:marBottom w:val="0"/>
      <w:divBdr>
        <w:top w:val="none" w:sz="0" w:space="0" w:color="auto"/>
        <w:left w:val="none" w:sz="0" w:space="0" w:color="auto"/>
        <w:bottom w:val="none" w:sz="0" w:space="0" w:color="auto"/>
        <w:right w:val="none" w:sz="0" w:space="0" w:color="auto"/>
      </w:divBdr>
    </w:div>
    <w:div w:id="837692890">
      <w:bodyDiv w:val="1"/>
      <w:marLeft w:val="0"/>
      <w:marRight w:val="0"/>
      <w:marTop w:val="0"/>
      <w:marBottom w:val="0"/>
      <w:divBdr>
        <w:top w:val="none" w:sz="0" w:space="0" w:color="auto"/>
        <w:left w:val="none" w:sz="0" w:space="0" w:color="auto"/>
        <w:bottom w:val="none" w:sz="0" w:space="0" w:color="auto"/>
        <w:right w:val="none" w:sz="0" w:space="0" w:color="auto"/>
      </w:divBdr>
    </w:div>
    <w:div w:id="839390161">
      <w:bodyDiv w:val="1"/>
      <w:marLeft w:val="0"/>
      <w:marRight w:val="0"/>
      <w:marTop w:val="0"/>
      <w:marBottom w:val="0"/>
      <w:divBdr>
        <w:top w:val="none" w:sz="0" w:space="0" w:color="auto"/>
        <w:left w:val="none" w:sz="0" w:space="0" w:color="auto"/>
        <w:bottom w:val="none" w:sz="0" w:space="0" w:color="auto"/>
        <w:right w:val="none" w:sz="0" w:space="0" w:color="auto"/>
      </w:divBdr>
    </w:div>
    <w:div w:id="854154971">
      <w:bodyDiv w:val="1"/>
      <w:marLeft w:val="0"/>
      <w:marRight w:val="0"/>
      <w:marTop w:val="0"/>
      <w:marBottom w:val="0"/>
      <w:divBdr>
        <w:top w:val="none" w:sz="0" w:space="0" w:color="auto"/>
        <w:left w:val="none" w:sz="0" w:space="0" w:color="auto"/>
        <w:bottom w:val="none" w:sz="0" w:space="0" w:color="auto"/>
        <w:right w:val="none" w:sz="0" w:space="0" w:color="auto"/>
      </w:divBdr>
    </w:div>
    <w:div w:id="856424766">
      <w:bodyDiv w:val="1"/>
      <w:marLeft w:val="0"/>
      <w:marRight w:val="0"/>
      <w:marTop w:val="0"/>
      <w:marBottom w:val="0"/>
      <w:divBdr>
        <w:top w:val="none" w:sz="0" w:space="0" w:color="auto"/>
        <w:left w:val="none" w:sz="0" w:space="0" w:color="auto"/>
        <w:bottom w:val="none" w:sz="0" w:space="0" w:color="auto"/>
        <w:right w:val="none" w:sz="0" w:space="0" w:color="auto"/>
      </w:divBdr>
    </w:div>
    <w:div w:id="869218233">
      <w:bodyDiv w:val="1"/>
      <w:marLeft w:val="0"/>
      <w:marRight w:val="0"/>
      <w:marTop w:val="0"/>
      <w:marBottom w:val="0"/>
      <w:divBdr>
        <w:top w:val="none" w:sz="0" w:space="0" w:color="auto"/>
        <w:left w:val="none" w:sz="0" w:space="0" w:color="auto"/>
        <w:bottom w:val="none" w:sz="0" w:space="0" w:color="auto"/>
        <w:right w:val="none" w:sz="0" w:space="0" w:color="auto"/>
      </w:divBdr>
    </w:div>
    <w:div w:id="871726352">
      <w:bodyDiv w:val="1"/>
      <w:marLeft w:val="0"/>
      <w:marRight w:val="0"/>
      <w:marTop w:val="0"/>
      <w:marBottom w:val="0"/>
      <w:divBdr>
        <w:top w:val="none" w:sz="0" w:space="0" w:color="auto"/>
        <w:left w:val="none" w:sz="0" w:space="0" w:color="auto"/>
        <w:bottom w:val="none" w:sz="0" w:space="0" w:color="auto"/>
        <w:right w:val="none" w:sz="0" w:space="0" w:color="auto"/>
      </w:divBdr>
    </w:div>
    <w:div w:id="872690336">
      <w:bodyDiv w:val="1"/>
      <w:marLeft w:val="0"/>
      <w:marRight w:val="0"/>
      <w:marTop w:val="0"/>
      <w:marBottom w:val="0"/>
      <w:divBdr>
        <w:top w:val="none" w:sz="0" w:space="0" w:color="auto"/>
        <w:left w:val="none" w:sz="0" w:space="0" w:color="auto"/>
        <w:bottom w:val="none" w:sz="0" w:space="0" w:color="auto"/>
        <w:right w:val="none" w:sz="0" w:space="0" w:color="auto"/>
      </w:divBdr>
    </w:div>
    <w:div w:id="872962307">
      <w:bodyDiv w:val="1"/>
      <w:marLeft w:val="0"/>
      <w:marRight w:val="0"/>
      <w:marTop w:val="0"/>
      <w:marBottom w:val="0"/>
      <w:divBdr>
        <w:top w:val="none" w:sz="0" w:space="0" w:color="auto"/>
        <w:left w:val="none" w:sz="0" w:space="0" w:color="auto"/>
        <w:bottom w:val="none" w:sz="0" w:space="0" w:color="auto"/>
        <w:right w:val="none" w:sz="0" w:space="0" w:color="auto"/>
      </w:divBdr>
    </w:div>
    <w:div w:id="876309060">
      <w:bodyDiv w:val="1"/>
      <w:marLeft w:val="0"/>
      <w:marRight w:val="0"/>
      <w:marTop w:val="0"/>
      <w:marBottom w:val="0"/>
      <w:divBdr>
        <w:top w:val="none" w:sz="0" w:space="0" w:color="auto"/>
        <w:left w:val="none" w:sz="0" w:space="0" w:color="auto"/>
        <w:bottom w:val="none" w:sz="0" w:space="0" w:color="auto"/>
        <w:right w:val="none" w:sz="0" w:space="0" w:color="auto"/>
      </w:divBdr>
    </w:div>
    <w:div w:id="882328157">
      <w:bodyDiv w:val="1"/>
      <w:marLeft w:val="0"/>
      <w:marRight w:val="0"/>
      <w:marTop w:val="0"/>
      <w:marBottom w:val="0"/>
      <w:divBdr>
        <w:top w:val="none" w:sz="0" w:space="0" w:color="auto"/>
        <w:left w:val="none" w:sz="0" w:space="0" w:color="auto"/>
        <w:bottom w:val="none" w:sz="0" w:space="0" w:color="auto"/>
        <w:right w:val="none" w:sz="0" w:space="0" w:color="auto"/>
      </w:divBdr>
    </w:div>
    <w:div w:id="886642013">
      <w:bodyDiv w:val="1"/>
      <w:marLeft w:val="0"/>
      <w:marRight w:val="0"/>
      <w:marTop w:val="0"/>
      <w:marBottom w:val="0"/>
      <w:divBdr>
        <w:top w:val="none" w:sz="0" w:space="0" w:color="auto"/>
        <w:left w:val="none" w:sz="0" w:space="0" w:color="auto"/>
        <w:bottom w:val="none" w:sz="0" w:space="0" w:color="auto"/>
        <w:right w:val="none" w:sz="0" w:space="0" w:color="auto"/>
      </w:divBdr>
    </w:div>
    <w:div w:id="887373877">
      <w:bodyDiv w:val="1"/>
      <w:marLeft w:val="0"/>
      <w:marRight w:val="0"/>
      <w:marTop w:val="0"/>
      <w:marBottom w:val="0"/>
      <w:divBdr>
        <w:top w:val="none" w:sz="0" w:space="0" w:color="auto"/>
        <w:left w:val="none" w:sz="0" w:space="0" w:color="auto"/>
        <w:bottom w:val="none" w:sz="0" w:space="0" w:color="auto"/>
        <w:right w:val="none" w:sz="0" w:space="0" w:color="auto"/>
      </w:divBdr>
    </w:div>
    <w:div w:id="891581515">
      <w:bodyDiv w:val="1"/>
      <w:marLeft w:val="0"/>
      <w:marRight w:val="0"/>
      <w:marTop w:val="0"/>
      <w:marBottom w:val="0"/>
      <w:divBdr>
        <w:top w:val="none" w:sz="0" w:space="0" w:color="auto"/>
        <w:left w:val="none" w:sz="0" w:space="0" w:color="auto"/>
        <w:bottom w:val="none" w:sz="0" w:space="0" w:color="auto"/>
        <w:right w:val="none" w:sz="0" w:space="0" w:color="auto"/>
      </w:divBdr>
    </w:div>
    <w:div w:id="892892104">
      <w:bodyDiv w:val="1"/>
      <w:marLeft w:val="0"/>
      <w:marRight w:val="0"/>
      <w:marTop w:val="0"/>
      <w:marBottom w:val="0"/>
      <w:divBdr>
        <w:top w:val="none" w:sz="0" w:space="0" w:color="auto"/>
        <w:left w:val="none" w:sz="0" w:space="0" w:color="auto"/>
        <w:bottom w:val="none" w:sz="0" w:space="0" w:color="auto"/>
        <w:right w:val="none" w:sz="0" w:space="0" w:color="auto"/>
      </w:divBdr>
    </w:div>
    <w:div w:id="898248512">
      <w:bodyDiv w:val="1"/>
      <w:marLeft w:val="0"/>
      <w:marRight w:val="0"/>
      <w:marTop w:val="0"/>
      <w:marBottom w:val="0"/>
      <w:divBdr>
        <w:top w:val="none" w:sz="0" w:space="0" w:color="auto"/>
        <w:left w:val="none" w:sz="0" w:space="0" w:color="auto"/>
        <w:bottom w:val="none" w:sz="0" w:space="0" w:color="auto"/>
        <w:right w:val="none" w:sz="0" w:space="0" w:color="auto"/>
      </w:divBdr>
    </w:div>
    <w:div w:id="901135782">
      <w:bodyDiv w:val="1"/>
      <w:marLeft w:val="0"/>
      <w:marRight w:val="0"/>
      <w:marTop w:val="0"/>
      <w:marBottom w:val="0"/>
      <w:divBdr>
        <w:top w:val="none" w:sz="0" w:space="0" w:color="auto"/>
        <w:left w:val="none" w:sz="0" w:space="0" w:color="auto"/>
        <w:bottom w:val="none" w:sz="0" w:space="0" w:color="auto"/>
        <w:right w:val="none" w:sz="0" w:space="0" w:color="auto"/>
      </w:divBdr>
    </w:div>
    <w:div w:id="907616871">
      <w:bodyDiv w:val="1"/>
      <w:marLeft w:val="0"/>
      <w:marRight w:val="0"/>
      <w:marTop w:val="0"/>
      <w:marBottom w:val="0"/>
      <w:divBdr>
        <w:top w:val="none" w:sz="0" w:space="0" w:color="auto"/>
        <w:left w:val="none" w:sz="0" w:space="0" w:color="auto"/>
        <w:bottom w:val="none" w:sz="0" w:space="0" w:color="auto"/>
        <w:right w:val="none" w:sz="0" w:space="0" w:color="auto"/>
      </w:divBdr>
    </w:div>
    <w:div w:id="915671976">
      <w:bodyDiv w:val="1"/>
      <w:marLeft w:val="0"/>
      <w:marRight w:val="0"/>
      <w:marTop w:val="0"/>
      <w:marBottom w:val="0"/>
      <w:divBdr>
        <w:top w:val="none" w:sz="0" w:space="0" w:color="auto"/>
        <w:left w:val="none" w:sz="0" w:space="0" w:color="auto"/>
        <w:bottom w:val="none" w:sz="0" w:space="0" w:color="auto"/>
        <w:right w:val="none" w:sz="0" w:space="0" w:color="auto"/>
      </w:divBdr>
    </w:div>
    <w:div w:id="916553385">
      <w:bodyDiv w:val="1"/>
      <w:marLeft w:val="0"/>
      <w:marRight w:val="0"/>
      <w:marTop w:val="0"/>
      <w:marBottom w:val="0"/>
      <w:divBdr>
        <w:top w:val="none" w:sz="0" w:space="0" w:color="auto"/>
        <w:left w:val="none" w:sz="0" w:space="0" w:color="auto"/>
        <w:bottom w:val="none" w:sz="0" w:space="0" w:color="auto"/>
        <w:right w:val="none" w:sz="0" w:space="0" w:color="auto"/>
      </w:divBdr>
    </w:div>
    <w:div w:id="918518983">
      <w:bodyDiv w:val="1"/>
      <w:marLeft w:val="0"/>
      <w:marRight w:val="0"/>
      <w:marTop w:val="0"/>
      <w:marBottom w:val="0"/>
      <w:divBdr>
        <w:top w:val="none" w:sz="0" w:space="0" w:color="auto"/>
        <w:left w:val="none" w:sz="0" w:space="0" w:color="auto"/>
        <w:bottom w:val="none" w:sz="0" w:space="0" w:color="auto"/>
        <w:right w:val="none" w:sz="0" w:space="0" w:color="auto"/>
      </w:divBdr>
    </w:div>
    <w:div w:id="923489166">
      <w:bodyDiv w:val="1"/>
      <w:marLeft w:val="0"/>
      <w:marRight w:val="0"/>
      <w:marTop w:val="0"/>
      <w:marBottom w:val="0"/>
      <w:divBdr>
        <w:top w:val="none" w:sz="0" w:space="0" w:color="auto"/>
        <w:left w:val="none" w:sz="0" w:space="0" w:color="auto"/>
        <w:bottom w:val="none" w:sz="0" w:space="0" w:color="auto"/>
        <w:right w:val="none" w:sz="0" w:space="0" w:color="auto"/>
      </w:divBdr>
    </w:div>
    <w:div w:id="930046508">
      <w:bodyDiv w:val="1"/>
      <w:marLeft w:val="0"/>
      <w:marRight w:val="0"/>
      <w:marTop w:val="0"/>
      <w:marBottom w:val="0"/>
      <w:divBdr>
        <w:top w:val="none" w:sz="0" w:space="0" w:color="auto"/>
        <w:left w:val="none" w:sz="0" w:space="0" w:color="auto"/>
        <w:bottom w:val="none" w:sz="0" w:space="0" w:color="auto"/>
        <w:right w:val="none" w:sz="0" w:space="0" w:color="auto"/>
      </w:divBdr>
    </w:div>
    <w:div w:id="930742394">
      <w:bodyDiv w:val="1"/>
      <w:marLeft w:val="0"/>
      <w:marRight w:val="0"/>
      <w:marTop w:val="0"/>
      <w:marBottom w:val="0"/>
      <w:divBdr>
        <w:top w:val="none" w:sz="0" w:space="0" w:color="auto"/>
        <w:left w:val="none" w:sz="0" w:space="0" w:color="auto"/>
        <w:bottom w:val="none" w:sz="0" w:space="0" w:color="auto"/>
        <w:right w:val="none" w:sz="0" w:space="0" w:color="auto"/>
      </w:divBdr>
    </w:div>
    <w:div w:id="932980863">
      <w:bodyDiv w:val="1"/>
      <w:marLeft w:val="0"/>
      <w:marRight w:val="0"/>
      <w:marTop w:val="0"/>
      <w:marBottom w:val="0"/>
      <w:divBdr>
        <w:top w:val="none" w:sz="0" w:space="0" w:color="auto"/>
        <w:left w:val="none" w:sz="0" w:space="0" w:color="auto"/>
        <w:bottom w:val="none" w:sz="0" w:space="0" w:color="auto"/>
        <w:right w:val="none" w:sz="0" w:space="0" w:color="auto"/>
      </w:divBdr>
    </w:div>
    <w:div w:id="937061291">
      <w:bodyDiv w:val="1"/>
      <w:marLeft w:val="0"/>
      <w:marRight w:val="0"/>
      <w:marTop w:val="0"/>
      <w:marBottom w:val="0"/>
      <w:divBdr>
        <w:top w:val="none" w:sz="0" w:space="0" w:color="auto"/>
        <w:left w:val="none" w:sz="0" w:space="0" w:color="auto"/>
        <w:bottom w:val="none" w:sz="0" w:space="0" w:color="auto"/>
        <w:right w:val="none" w:sz="0" w:space="0" w:color="auto"/>
      </w:divBdr>
    </w:div>
    <w:div w:id="941111887">
      <w:bodyDiv w:val="1"/>
      <w:marLeft w:val="0"/>
      <w:marRight w:val="0"/>
      <w:marTop w:val="0"/>
      <w:marBottom w:val="0"/>
      <w:divBdr>
        <w:top w:val="none" w:sz="0" w:space="0" w:color="auto"/>
        <w:left w:val="none" w:sz="0" w:space="0" w:color="auto"/>
        <w:bottom w:val="none" w:sz="0" w:space="0" w:color="auto"/>
        <w:right w:val="none" w:sz="0" w:space="0" w:color="auto"/>
      </w:divBdr>
    </w:div>
    <w:div w:id="941376986">
      <w:bodyDiv w:val="1"/>
      <w:marLeft w:val="0"/>
      <w:marRight w:val="0"/>
      <w:marTop w:val="0"/>
      <w:marBottom w:val="0"/>
      <w:divBdr>
        <w:top w:val="none" w:sz="0" w:space="0" w:color="auto"/>
        <w:left w:val="none" w:sz="0" w:space="0" w:color="auto"/>
        <w:bottom w:val="none" w:sz="0" w:space="0" w:color="auto"/>
        <w:right w:val="none" w:sz="0" w:space="0" w:color="auto"/>
      </w:divBdr>
    </w:div>
    <w:div w:id="941887076">
      <w:bodyDiv w:val="1"/>
      <w:marLeft w:val="0"/>
      <w:marRight w:val="0"/>
      <w:marTop w:val="0"/>
      <w:marBottom w:val="0"/>
      <w:divBdr>
        <w:top w:val="none" w:sz="0" w:space="0" w:color="auto"/>
        <w:left w:val="none" w:sz="0" w:space="0" w:color="auto"/>
        <w:bottom w:val="none" w:sz="0" w:space="0" w:color="auto"/>
        <w:right w:val="none" w:sz="0" w:space="0" w:color="auto"/>
      </w:divBdr>
    </w:div>
    <w:div w:id="947156334">
      <w:bodyDiv w:val="1"/>
      <w:marLeft w:val="0"/>
      <w:marRight w:val="0"/>
      <w:marTop w:val="0"/>
      <w:marBottom w:val="0"/>
      <w:divBdr>
        <w:top w:val="none" w:sz="0" w:space="0" w:color="auto"/>
        <w:left w:val="none" w:sz="0" w:space="0" w:color="auto"/>
        <w:bottom w:val="none" w:sz="0" w:space="0" w:color="auto"/>
        <w:right w:val="none" w:sz="0" w:space="0" w:color="auto"/>
      </w:divBdr>
    </w:div>
    <w:div w:id="956253989">
      <w:bodyDiv w:val="1"/>
      <w:marLeft w:val="0"/>
      <w:marRight w:val="0"/>
      <w:marTop w:val="0"/>
      <w:marBottom w:val="0"/>
      <w:divBdr>
        <w:top w:val="none" w:sz="0" w:space="0" w:color="auto"/>
        <w:left w:val="none" w:sz="0" w:space="0" w:color="auto"/>
        <w:bottom w:val="none" w:sz="0" w:space="0" w:color="auto"/>
        <w:right w:val="none" w:sz="0" w:space="0" w:color="auto"/>
      </w:divBdr>
    </w:div>
    <w:div w:id="958949625">
      <w:bodyDiv w:val="1"/>
      <w:marLeft w:val="0"/>
      <w:marRight w:val="0"/>
      <w:marTop w:val="0"/>
      <w:marBottom w:val="0"/>
      <w:divBdr>
        <w:top w:val="none" w:sz="0" w:space="0" w:color="auto"/>
        <w:left w:val="none" w:sz="0" w:space="0" w:color="auto"/>
        <w:bottom w:val="none" w:sz="0" w:space="0" w:color="auto"/>
        <w:right w:val="none" w:sz="0" w:space="0" w:color="auto"/>
      </w:divBdr>
    </w:div>
    <w:div w:id="961813384">
      <w:bodyDiv w:val="1"/>
      <w:marLeft w:val="0"/>
      <w:marRight w:val="0"/>
      <w:marTop w:val="0"/>
      <w:marBottom w:val="0"/>
      <w:divBdr>
        <w:top w:val="none" w:sz="0" w:space="0" w:color="auto"/>
        <w:left w:val="none" w:sz="0" w:space="0" w:color="auto"/>
        <w:bottom w:val="none" w:sz="0" w:space="0" w:color="auto"/>
        <w:right w:val="none" w:sz="0" w:space="0" w:color="auto"/>
      </w:divBdr>
    </w:div>
    <w:div w:id="963583709">
      <w:bodyDiv w:val="1"/>
      <w:marLeft w:val="0"/>
      <w:marRight w:val="0"/>
      <w:marTop w:val="0"/>
      <w:marBottom w:val="0"/>
      <w:divBdr>
        <w:top w:val="none" w:sz="0" w:space="0" w:color="auto"/>
        <w:left w:val="none" w:sz="0" w:space="0" w:color="auto"/>
        <w:bottom w:val="none" w:sz="0" w:space="0" w:color="auto"/>
        <w:right w:val="none" w:sz="0" w:space="0" w:color="auto"/>
      </w:divBdr>
    </w:div>
    <w:div w:id="965040900">
      <w:bodyDiv w:val="1"/>
      <w:marLeft w:val="0"/>
      <w:marRight w:val="0"/>
      <w:marTop w:val="0"/>
      <w:marBottom w:val="0"/>
      <w:divBdr>
        <w:top w:val="none" w:sz="0" w:space="0" w:color="auto"/>
        <w:left w:val="none" w:sz="0" w:space="0" w:color="auto"/>
        <w:bottom w:val="none" w:sz="0" w:space="0" w:color="auto"/>
        <w:right w:val="none" w:sz="0" w:space="0" w:color="auto"/>
      </w:divBdr>
    </w:div>
    <w:div w:id="965358666">
      <w:bodyDiv w:val="1"/>
      <w:marLeft w:val="0"/>
      <w:marRight w:val="0"/>
      <w:marTop w:val="0"/>
      <w:marBottom w:val="0"/>
      <w:divBdr>
        <w:top w:val="none" w:sz="0" w:space="0" w:color="auto"/>
        <w:left w:val="none" w:sz="0" w:space="0" w:color="auto"/>
        <w:bottom w:val="none" w:sz="0" w:space="0" w:color="auto"/>
        <w:right w:val="none" w:sz="0" w:space="0" w:color="auto"/>
      </w:divBdr>
    </w:div>
    <w:div w:id="966737776">
      <w:bodyDiv w:val="1"/>
      <w:marLeft w:val="0"/>
      <w:marRight w:val="0"/>
      <w:marTop w:val="0"/>
      <w:marBottom w:val="0"/>
      <w:divBdr>
        <w:top w:val="none" w:sz="0" w:space="0" w:color="auto"/>
        <w:left w:val="none" w:sz="0" w:space="0" w:color="auto"/>
        <w:bottom w:val="none" w:sz="0" w:space="0" w:color="auto"/>
        <w:right w:val="none" w:sz="0" w:space="0" w:color="auto"/>
      </w:divBdr>
    </w:div>
    <w:div w:id="967860583">
      <w:bodyDiv w:val="1"/>
      <w:marLeft w:val="0"/>
      <w:marRight w:val="0"/>
      <w:marTop w:val="0"/>
      <w:marBottom w:val="0"/>
      <w:divBdr>
        <w:top w:val="none" w:sz="0" w:space="0" w:color="auto"/>
        <w:left w:val="none" w:sz="0" w:space="0" w:color="auto"/>
        <w:bottom w:val="none" w:sz="0" w:space="0" w:color="auto"/>
        <w:right w:val="none" w:sz="0" w:space="0" w:color="auto"/>
      </w:divBdr>
    </w:div>
    <w:div w:id="972103579">
      <w:bodyDiv w:val="1"/>
      <w:marLeft w:val="0"/>
      <w:marRight w:val="0"/>
      <w:marTop w:val="0"/>
      <w:marBottom w:val="0"/>
      <w:divBdr>
        <w:top w:val="none" w:sz="0" w:space="0" w:color="auto"/>
        <w:left w:val="none" w:sz="0" w:space="0" w:color="auto"/>
        <w:bottom w:val="none" w:sz="0" w:space="0" w:color="auto"/>
        <w:right w:val="none" w:sz="0" w:space="0" w:color="auto"/>
      </w:divBdr>
    </w:div>
    <w:div w:id="974525025">
      <w:bodyDiv w:val="1"/>
      <w:marLeft w:val="0"/>
      <w:marRight w:val="0"/>
      <w:marTop w:val="0"/>
      <w:marBottom w:val="0"/>
      <w:divBdr>
        <w:top w:val="none" w:sz="0" w:space="0" w:color="auto"/>
        <w:left w:val="none" w:sz="0" w:space="0" w:color="auto"/>
        <w:bottom w:val="none" w:sz="0" w:space="0" w:color="auto"/>
        <w:right w:val="none" w:sz="0" w:space="0" w:color="auto"/>
      </w:divBdr>
    </w:div>
    <w:div w:id="974795396">
      <w:bodyDiv w:val="1"/>
      <w:marLeft w:val="0"/>
      <w:marRight w:val="0"/>
      <w:marTop w:val="0"/>
      <w:marBottom w:val="0"/>
      <w:divBdr>
        <w:top w:val="none" w:sz="0" w:space="0" w:color="auto"/>
        <w:left w:val="none" w:sz="0" w:space="0" w:color="auto"/>
        <w:bottom w:val="none" w:sz="0" w:space="0" w:color="auto"/>
        <w:right w:val="none" w:sz="0" w:space="0" w:color="auto"/>
      </w:divBdr>
    </w:div>
    <w:div w:id="980186834">
      <w:bodyDiv w:val="1"/>
      <w:marLeft w:val="0"/>
      <w:marRight w:val="0"/>
      <w:marTop w:val="0"/>
      <w:marBottom w:val="0"/>
      <w:divBdr>
        <w:top w:val="none" w:sz="0" w:space="0" w:color="auto"/>
        <w:left w:val="none" w:sz="0" w:space="0" w:color="auto"/>
        <w:bottom w:val="none" w:sz="0" w:space="0" w:color="auto"/>
        <w:right w:val="none" w:sz="0" w:space="0" w:color="auto"/>
      </w:divBdr>
    </w:div>
    <w:div w:id="984703341">
      <w:bodyDiv w:val="1"/>
      <w:marLeft w:val="0"/>
      <w:marRight w:val="0"/>
      <w:marTop w:val="0"/>
      <w:marBottom w:val="0"/>
      <w:divBdr>
        <w:top w:val="none" w:sz="0" w:space="0" w:color="auto"/>
        <w:left w:val="none" w:sz="0" w:space="0" w:color="auto"/>
        <w:bottom w:val="none" w:sz="0" w:space="0" w:color="auto"/>
        <w:right w:val="none" w:sz="0" w:space="0" w:color="auto"/>
      </w:divBdr>
    </w:div>
    <w:div w:id="985744922">
      <w:bodyDiv w:val="1"/>
      <w:marLeft w:val="0"/>
      <w:marRight w:val="0"/>
      <w:marTop w:val="0"/>
      <w:marBottom w:val="0"/>
      <w:divBdr>
        <w:top w:val="none" w:sz="0" w:space="0" w:color="auto"/>
        <w:left w:val="none" w:sz="0" w:space="0" w:color="auto"/>
        <w:bottom w:val="none" w:sz="0" w:space="0" w:color="auto"/>
        <w:right w:val="none" w:sz="0" w:space="0" w:color="auto"/>
      </w:divBdr>
    </w:div>
    <w:div w:id="990329446">
      <w:bodyDiv w:val="1"/>
      <w:marLeft w:val="0"/>
      <w:marRight w:val="0"/>
      <w:marTop w:val="0"/>
      <w:marBottom w:val="0"/>
      <w:divBdr>
        <w:top w:val="none" w:sz="0" w:space="0" w:color="auto"/>
        <w:left w:val="none" w:sz="0" w:space="0" w:color="auto"/>
        <w:bottom w:val="none" w:sz="0" w:space="0" w:color="auto"/>
        <w:right w:val="none" w:sz="0" w:space="0" w:color="auto"/>
      </w:divBdr>
    </w:div>
    <w:div w:id="990525537">
      <w:bodyDiv w:val="1"/>
      <w:marLeft w:val="0"/>
      <w:marRight w:val="0"/>
      <w:marTop w:val="0"/>
      <w:marBottom w:val="0"/>
      <w:divBdr>
        <w:top w:val="none" w:sz="0" w:space="0" w:color="auto"/>
        <w:left w:val="none" w:sz="0" w:space="0" w:color="auto"/>
        <w:bottom w:val="none" w:sz="0" w:space="0" w:color="auto"/>
        <w:right w:val="none" w:sz="0" w:space="0" w:color="auto"/>
      </w:divBdr>
    </w:div>
    <w:div w:id="1001464658">
      <w:bodyDiv w:val="1"/>
      <w:marLeft w:val="0"/>
      <w:marRight w:val="0"/>
      <w:marTop w:val="0"/>
      <w:marBottom w:val="0"/>
      <w:divBdr>
        <w:top w:val="none" w:sz="0" w:space="0" w:color="auto"/>
        <w:left w:val="none" w:sz="0" w:space="0" w:color="auto"/>
        <w:bottom w:val="none" w:sz="0" w:space="0" w:color="auto"/>
        <w:right w:val="none" w:sz="0" w:space="0" w:color="auto"/>
      </w:divBdr>
    </w:div>
    <w:div w:id="1004477708">
      <w:bodyDiv w:val="1"/>
      <w:marLeft w:val="0"/>
      <w:marRight w:val="0"/>
      <w:marTop w:val="0"/>
      <w:marBottom w:val="0"/>
      <w:divBdr>
        <w:top w:val="none" w:sz="0" w:space="0" w:color="auto"/>
        <w:left w:val="none" w:sz="0" w:space="0" w:color="auto"/>
        <w:bottom w:val="none" w:sz="0" w:space="0" w:color="auto"/>
        <w:right w:val="none" w:sz="0" w:space="0" w:color="auto"/>
      </w:divBdr>
    </w:div>
    <w:div w:id="1004816185">
      <w:bodyDiv w:val="1"/>
      <w:marLeft w:val="0"/>
      <w:marRight w:val="0"/>
      <w:marTop w:val="0"/>
      <w:marBottom w:val="0"/>
      <w:divBdr>
        <w:top w:val="none" w:sz="0" w:space="0" w:color="auto"/>
        <w:left w:val="none" w:sz="0" w:space="0" w:color="auto"/>
        <w:bottom w:val="none" w:sz="0" w:space="0" w:color="auto"/>
        <w:right w:val="none" w:sz="0" w:space="0" w:color="auto"/>
      </w:divBdr>
    </w:div>
    <w:div w:id="1009138261">
      <w:bodyDiv w:val="1"/>
      <w:marLeft w:val="0"/>
      <w:marRight w:val="0"/>
      <w:marTop w:val="0"/>
      <w:marBottom w:val="0"/>
      <w:divBdr>
        <w:top w:val="none" w:sz="0" w:space="0" w:color="auto"/>
        <w:left w:val="none" w:sz="0" w:space="0" w:color="auto"/>
        <w:bottom w:val="none" w:sz="0" w:space="0" w:color="auto"/>
        <w:right w:val="none" w:sz="0" w:space="0" w:color="auto"/>
      </w:divBdr>
    </w:div>
    <w:div w:id="1011299326">
      <w:bodyDiv w:val="1"/>
      <w:marLeft w:val="0"/>
      <w:marRight w:val="0"/>
      <w:marTop w:val="0"/>
      <w:marBottom w:val="0"/>
      <w:divBdr>
        <w:top w:val="none" w:sz="0" w:space="0" w:color="auto"/>
        <w:left w:val="none" w:sz="0" w:space="0" w:color="auto"/>
        <w:bottom w:val="none" w:sz="0" w:space="0" w:color="auto"/>
        <w:right w:val="none" w:sz="0" w:space="0" w:color="auto"/>
      </w:divBdr>
    </w:div>
    <w:div w:id="1017535747">
      <w:bodyDiv w:val="1"/>
      <w:marLeft w:val="0"/>
      <w:marRight w:val="0"/>
      <w:marTop w:val="0"/>
      <w:marBottom w:val="0"/>
      <w:divBdr>
        <w:top w:val="none" w:sz="0" w:space="0" w:color="auto"/>
        <w:left w:val="none" w:sz="0" w:space="0" w:color="auto"/>
        <w:bottom w:val="none" w:sz="0" w:space="0" w:color="auto"/>
        <w:right w:val="none" w:sz="0" w:space="0" w:color="auto"/>
      </w:divBdr>
    </w:div>
    <w:div w:id="1025862670">
      <w:bodyDiv w:val="1"/>
      <w:marLeft w:val="0"/>
      <w:marRight w:val="0"/>
      <w:marTop w:val="0"/>
      <w:marBottom w:val="0"/>
      <w:divBdr>
        <w:top w:val="none" w:sz="0" w:space="0" w:color="auto"/>
        <w:left w:val="none" w:sz="0" w:space="0" w:color="auto"/>
        <w:bottom w:val="none" w:sz="0" w:space="0" w:color="auto"/>
        <w:right w:val="none" w:sz="0" w:space="0" w:color="auto"/>
      </w:divBdr>
      <w:divsChild>
        <w:div w:id="62408881">
          <w:marLeft w:val="0"/>
          <w:marRight w:val="0"/>
          <w:marTop w:val="0"/>
          <w:marBottom w:val="0"/>
          <w:divBdr>
            <w:top w:val="none" w:sz="0" w:space="0" w:color="auto"/>
            <w:left w:val="none" w:sz="0" w:space="0" w:color="auto"/>
            <w:bottom w:val="none" w:sz="0" w:space="0" w:color="auto"/>
            <w:right w:val="none" w:sz="0" w:space="0" w:color="auto"/>
          </w:divBdr>
        </w:div>
        <w:div w:id="267934343">
          <w:marLeft w:val="0"/>
          <w:marRight w:val="0"/>
          <w:marTop w:val="0"/>
          <w:marBottom w:val="0"/>
          <w:divBdr>
            <w:top w:val="none" w:sz="0" w:space="0" w:color="auto"/>
            <w:left w:val="none" w:sz="0" w:space="0" w:color="auto"/>
            <w:bottom w:val="none" w:sz="0" w:space="0" w:color="auto"/>
            <w:right w:val="none" w:sz="0" w:space="0" w:color="auto"/>
          </w:divBdr>
        </w:div>
        <w:div w:id="520976042">
          <w:marLeft w:val="0"/>
          <w:marRight w:val="0"/>
          <w:marTop w:val="0"/>
          <w:marBottom w:val="0"/>
          <w:divBdr>
            <w:top w:val="none" w:sz="0" w:space="0" w:color="auto"/>
            <w:left w:val="none" w:sz="0" w:space="0" w:color="auto"/>
            <w:bottom w:val="none" w:sz="0" w:space="0" w:color="auto"/>
            <w:right w:val="none" w:sz="0" w:space="0" w:color="auto"/>
          </w:divBdr>
        </w:div>
        <w:div w:id="757486766">
          <w:marLeft w:val="0"/>
          <w:marRight w:val="0"/>
          <w:marTop w:val="0"/>
          <w:marBottom w:val="0"/>
          <w:divBdr>
            <w:top w:val="none" w:sz="0" w:space="0" w:color="auto"/>
            <w:left w:val="none" w:sz="0" w:space="0" w:color="auto"/>
            <w:bottom w:val="none" w:sz="0" w:space="0" w:color="auto"/>
            <w:right w:val="none" w:sz="0" w:space="0" w:color="auto"/>
          </w:divBdr>
        </w:div>
        <w:div w:id="945579813">
          <w:marLeft w:val="0"/>
          <w:marRight w:val="0"/>
          <w:marTop w:val="0"/>
          <w:marBottom w:val="0"/>
          <w:divBdr>
            <w:top w:val="none" w:sz="0" w:space="0" w:color="auto"/>
            <w:left w:val="none" w:sz="0" w:space="0" w:color="auto"/>
            <w:bottom w:val="none" w:sz="0" w:space="0" w:color="auto"/>
            <w:right w:val="none" w:sz="0" w:space="0" w:color="auto"/>
          </w:divBdr>
        </w:div>
        <w:div w:id="977956589">
          <w:marLeft w:val="0"/>
          <w:marRight w:val="0"/>
          <w:marTop w:val="0"/>
          <w:marBottom w:val="0"/>
          <w:divBdr>
            <w:top w:val="none" w:sz="0" w:space="0" w:color="auto"/>
            <w:left w:val="none" w:sz="0" w:space="0" w:color="auto"/>
            <w:bottom w:val="none" w:sz="0" w:space="0" w:color="auto"/>
            <w:right w:val="none" w:sz="0" w:space="0" w:color="auto"/>
          </w:divBdr>
        </w:div>
        <w:div w:id="1312366956">
          <w:marLeft w:val="0"/>
          <w:marRight w:val="0"/>
          <w:marTop w:val="0"/>
          <w:marBottom w:val="0"/>
          <w:divBdr>
            <w:top w:val="none" w:sz="0" w:space="0" w:color="auto"/>
            <w:left w:val="none" w:sz="0" w:space="0" w:color="auto"/>
            <w:bottom w:val="none" w:sz="0" w:space="0" w:color="auto"/>
            <w:right w:val="none" w:sz="0" w:space="0" w:color="auto"/>
          </w:divBdr>
        </w:div>
        <w:div w:id="1520894831">
          <w:marLeft w:val="0"/>
          <w:marRight w:val="0"/>
          <w:marTop w:val="0"/>
          <w:marBottom w:val="0"/>
          <w:divBdr>
            <w:top w:val="none" w:sz="0" w:space="0" w:color="auto"/>
            <w:left w:val="none" w:sz="0" w:space="0" w:color="auto"/>
            <w:bottom w:val="none" w:sz="0" w:space="0" w:color="auto"/>
            <w:right w:val="none" w:sz="0" w:space="0" w:color="auto"/>
          </w:divBdr>
        </w:div>
      </w:divsChild>
    </w:div>
    <w:div w:id="1033503824">
      <w:bodyDiv w:val="1"/>
      <w:marLeft w:val="0"/>
      <w:marRight w:val="0"/>
      <w:marTop w:val="0"/>
      <w:marBottom w:val="0"/>
      <w:divBdr>
        <w:top w:val="none" w:sz="0" w:space="0" w:color="auto"/>
        <w:left w:val="none" w:sz="0" w:space="0" w:color="auto"/>
        <w:bottom w:val="none" w:sz="0" w:space="0" w:color="auto"/>
        <w:right w:val="none" w:sz="0" w:space="0" w:color="auto"/>
      </w:divBdr>
    </w:div>
    <w:div w:id="1037391683">
      <w:bodyDiv w:val="1"/>
      <w:marLeft w:val="0"/>
      <w:marRight w:val="0"/>
      <w:marTop w:val="0"/>
      <w:marBottom w:val="0"/>
      <w:divBdr>
        <w:top w:val="none" w:sz="0" w:space="0" w:color="auto"/>
        <w:left w:val="none" w:sz="0" w:space="0" w:color="auto"/>
        <w:bottom w:val="none" w:sz="0" w:space="0" w:color="auto"/>
        <w:right w:val="none" w:sz="0" w:space="0" w:color="auto"/>
      </w:divBdr>
    </w:div>
    <w:div w:id="1040740521">
      <w:bodyDiv w:val="1"/>
      <w:marLeft w:val="0"/>
      <w:marRight w:val="0"/>
      <w:marTop w:val="0"/>
      <w:marBottom w:val="0"/>
      <w:divBdr>
        <w:top w:val="none" w:sz="0" w:space="0" w:color="auto"/>
        <w:left w:val="none" w:sz="0" w:space="0" w:color="auto"/>
        <w:bottom w:val="none" w:sz="0" w:space="0" w:color="auto"/>
        <w:right w:val="none" w:sz="0" w:space="0" w:color="auto"/>
      </w:divBdr>
    </w:div>
    <w:div w:id="1043137406">
      <w:bodyDiv w:val="1"/>
      <w:marLeft w:val="0"/>
      <w:marRight w:val="0"/>
      <w:marTop w:val="0"/>
      <w:marBottom w:val="0"/>
      <w:divBdr>
        <w:top w:val="none" w:sz="0" w:space="0" w:color="auto"/>
        <w:left w:val="none" w:sz="0" w:space="0" w:color="auto"/>
        <w:bottom w:val="none" w:sz="0" w:space="0" w:color="auto"/>
        <w:right w:val="none" w:sz="0" w:space="0" w:color="auto"/>
      </w:divBdr>
    </w:div>
    <w:div w:id="1063673151">
      <w:bodyDiv w:val="1"/>
      <w:marLeft w:val="0"/>
      <w:marRight w:val="0"/>
      <w:marTop w:val="0"/>
      <w:marBottom w:val="0"/>
      <w:divBdr>
        <w:top w:val="none" w:sz="0" w:space="0" w:color="auto"/>
        <w:left w:val="none" w:sz="0" w:space="0" w:color="auto"/>
        <w:bottom w:val="none" w:sz="0" w:space="0" w:color="auto"/>
        <w:right w:val="none" w:sz="0" w:space="0" w:color="auto"/>
      </w:divBdr>
    </w:div>
    <w:div w:id="1065832065">
      <w:bodyDiv w:val="1"/>
      <w:marLeft w:val="0"/>
      <w:marRight w:val="0"/>
      <w:marTop w:val="0"/>
      <w:marBottom w:val="0"/>
      <w:divBdr>
        <w:top w:val="none" w:sz="0" w:space="0" w:color="auto"/>
        <w:left w:val="none" w:sz="0" w:space="0" w:color="auto"/>
        <w:bottom w:val="none" w:sz="0" w:space="0" w:color="auto"/>
        <w:right w:val="none" w:sz="0" w:space="0" w:color="auto"/>
      </w:divBdr>
    </w:div>
    <w:div w:id="1070811669">
      <w:bodyDiv w:val="1"/>
      <w:marLeft w:val="0"/>
      <w:marRight w:val="0"/>
      <w:marTop w:val="0"/>
      <w:marBottom w:val="0"/>
      <w:divBdr>
        <w:top w:val="none" w:sz="0" w:space="0" w:color="auto"/>
        <w:left w:val="none" w:sz="0" w:space="0" w:color="auto"/>
        <w:bottom w:val="none" w:sz="0" w:space="0" w:color="auto"/>
        <w:right w:val="none" w:sz="0" w:space="0" w:color="auto"/>
      </w:divBdr>
    </w:div>
    <w:div w:id="1078752474">
      <w:bodyDiv w:val="1"/>
      <w:marLeft w:val="0"/>
      <w:marRight w:val="0"/>
      <w:marTop w:val="0"/>
      <w:marBottom w:val="0"/>
      <w:divBdr>
        <w:top w:val="none" w:sz="0" w:space="0" w:color="auto"/>
        <w:left w:val="none" w:sz="0" w:space="0" w:color="auto"/>
        <w:bottom w:val="none" w:sz="0" w:space="0" w:color="auto"/>
        <w:right w:val="none" w:sz="0" w:space="0" w:color="auto"/>
      </w:divBdr>
    </w:div>
    <w:div w:id="1089034577">
      <w:bodyDiv w:val="1"/>
      <w:marLeft w:val="0"/>
      <w:marRight w:val="0"/>
      <w:marTop w:val="0"/>
      <w:marBottom w:val="0"/>
      <w:divBdr>
        <w:top w:val="none" w:sz="0" w:space="0" w:color="auto"/>
        <w:left w:val="none" w:sz="0" w:space="0" w:color="auto"/>
        <w:bottom w:val="none" w:sz="0" w:space="0" w:color="auto"/>
        <w:right w:val="none" w:sz="0" w:space="0" w:color="auto"/>
      </w:divBdr>
    </w:div>
    <w:div w:id="1098866980">
      <w:bodyDiv w:val="1"/>
      <w:marLeft w:val="0"/>
      <w:marRight w:val="0"/>
      <w:marTop w:val="0"/>
      <w:marBottom w:val="0"/>
      <w:divBdr>
        <w:top w:val="none" w:sz="0" w:space="0" w:color="auto"/>
        <w:left w:val="none" w:sz="0" w:space="0" w:color="auto"/>
        <w:bottom w:val="none" w:sz="0" w:space="0" w:color="auto"/>
        <w:right w:val="none" w:sz="0" w:space="0" w:color="auto"/>
      </w:divBdr>
    </w:div>
    <w:div w:id="1105148968">
      <w:bodyDiv w:val="1"/>
      <w:marLeft w:val="0"/>
      <w:marRight w:val="0"/>
      <w:marTop w:val="0"/>
      <w:marBottom w:val="0"/>
      <w:divBdr>
        <w:top w:val="none" w:sz="0" w:space="0" w:color="auto"/>
        <w:left w:val="none" w:sz="0" w:space="0" w:color="auto"/>
        <w:bottom w:val="none" w:sz="0" w:space="0" w:color="auto"/>
        <w:right w:val="none" w:sz="0" w:space="0" w:color="auto"/>
      </w:divBdr>
    </w:div>
    <w:div w:id="1108965207">
      <w:bodyDiv w:val="1"/>
      <w:marLeft w:val="0"/>
      <w:marRight w:val="0"/>
      <w:marTop w:val="0"/>
      <w:marBottom w:val="0"/>
      <w:divBdr>
        <w:top w:val="none" w:sz="0" w:space="0" w:color="auto"/>
        <w:left w:val="none" w:sz="0" w:space="0" w:color="auto"/>
        <w:bottom w:val="none" w:sz="0" w:space="0" w:color="auto"/>
        <w:right w:val="none" w:sz="0" w:space="0" w:color="auto"/>
      </w:divBdr>
    </w:div>
    <w:div w:id="1117018154">
      <w:bodyDiv w:val="1"/>
      <w:marLeft w:val="0"/>
      <w:marRight w:val="0"/>
      <w:marTop w:val="0"/>
      <w:marBottom w:val="0"/>
      <w:divBdr>
        <w:top w:val="none" w:sz="0" w:space="0" w:color="auto"/>
        <w:left w:val="none" w:sz="0" w:space="0" w:color="auto"/>
        <w:bottom w:val="none" w:sz="0" w:space="0" w:color="auto"/>
        <w:right w:val="none" w:sz="0" w:space="0" w:color="auto"/>
      </w:divBdr>
    </w:div>
    <w:div w:id="1117139011">
      <w:bodyDiv w:val="1"/>
      <w:marLeft w:val="0"/>
      <w:marRight w:val="0"/>
      <w:marTop w:val="0"/>
      <w:marBottom w:val="0"/>
      <w:divBdr>
        <w:top w:val="none" w:sz="0" w:space="0" w:color="auto"/>
        <w:left w:val="none" w:sz="0" w:space="0" w:color="auto"/>
        <w:bottom w:val="none" w:sz="0" w:space="0" w:color="auto"/>
        <w:right w:val="none" w:sz="0" w:space="0" w:color="auto"/>
      </w:divBdr>
    </w:div>
    <w:div w:id="1121607773">
      <w:bodyDiv w:val="1"/>
      <w:marLeft w:val="0"/>
      <w:marRight w:val="0"/>
      <w:marTop w:val="0"/>
      <w:marBottom w:val="0"/>
      <w:divBdr>
        <w:top w:val="none" w:sz="0" w:space="0" w:color="auto"/>
        <w:left w:val="none" w:sz="0" w:space="0" w:color="auto"/>
        <w:bottom w:val="none" w:sz="0" w:space="0" w:color="auto"/>
        <w:right w:val="none" w:sz="0" w:space="0" w:color="auto"/>
      </w:divBdr>
    </w:div>
    <w:div w:id="1121798735">
      <w:bodyDiv w:val="1"/>
      <w:marLeft w:val="0"/>
      <w:marRight w:val="0"/>
      <w:marTop w:val="0"/>
      <w:marBottom w:val="0"/>
      <w:divBdr>
        <w:top w:val="none" w:sz="0" w:space="0" w:color="auto"/>
        <w:left w:val="none" w:sz="0" w:space="0" w:color="auto"/>
        <w:bottom w:val="none" w:sz="0" w:space="0" w:color="auto"/>
        <w:right w:val="none" w:sz="0" w:space="0" w:color="auto"/>
      </w:divBdr>
    </w:div>
    <w:div w:id="1122915780">
      <w:bodyDiv w:val="1"/>
      <w:marLeft w:val="0"/>
      <w:marRight w:val="0"/>
      <w:marTop w:val="0"/>
      <w:marBottom w:val="0"/>
      <w:divBdr>
        <w:top w:val="none" w:sz="0" w:space="0" w:color="auto"/>
        <w:left w:val="none" w:sz="0" w:space="0" w:color="auto"/>
        <w:bottom w:val="none" w:sz="0" w:space="0" w:color="auto"/>
        <w:right w:val="none" w:sz="0" w:space="0" w:color="auto"/>
      </w:divBdr>
    </w:div>
    <w:div w:id="1126974594">
      <w:bodyDiv w:val="1"/>
      <w:marLeft w:val="0"/>
      <w:marRight w:val="0"/>
      <w:marTop w:val="0"/>
      <w:marBottom w:val="0"/>
      <w:divBdr>
        <w:top w:val="none" w:sz="0" w:space="0" w:color="auto"/>
        <w:left w:val="none" w:sz="0" w:space="0" w:color="auto"/>
        <w:bottom w:val="none" w:sz="0" w:space="0" w:color="auto"/>
        <w:right w:val="none" w:sz="0" w:space="0" w:color="auto"/>
      </w:divBdr>
    </w:div>
    <w:div w:id="1130132207">
      <w:bodyDiv w:val="1"/>
      <w:marLeft w:val="0"/>
      <w:marRight w:val="0"/>
      <w:marTop w:val="0"/>
      <w:marBottom w:val="0"/>
      <w:divBdr>
        <w:top w:val="none" w:sz="0" w:space="0" w:color="auto"/>
        <w:left w:val="none" w:sz="0" w:space="0" w:color="auto"/>
        <w:bottom w:val="none" w:sz="0" w:space="0" w:color="auto"/>
        <w:right w:val="none" w:sz="0" w:space="0" w:color="auto"/>
      </w:divBdr>
    </w:div>
    <w:div w:id="1131167647">
      <w:bodyDiv w:val="1"/>
      <w:marLeft w:val="0"/>
      <w:marRight w:val="0"/>
      <w:marTop w:val="0"/>
      <w:marBottom w:val="0"/>
      <w:divBdr>
        <w:top w:val="none" w:sz="0" w:space="0" w:color="auto"/>
        <w:left w:val="none" w:sz="0" w:space="0" w:color="auto"/>
        <w:bottom w:val="none" w:sz="0" w:space="0" w:color="auto"/>
        <w:right w:val="none" w:sz="0" w:space="0" w:color="auto"/>
      </w:divBdr>
    </w:div>
    <w:div w:id="1136096380">
      <w:bodyDiv w:val="1"/>
      <w:marLeft w:val="0"/>
      <w:marRight w:val="0"/>
      <w:marTop w:val="0"/>
      <w:marBottom w:val="0"/>
      <w:divBdr>
        <w:top w:val="none" w:sz="0" w:space="0" w:color="auto"/>
        <w:left w:val="none" w:sz="0" w:space="0" w:color="auto"/>
        <w:bottom w:val="none" w:sz="0" w:space="0" w:color="auto"/>
        <w:right w:val="none" w:sz="0" w:space="0" w:color="auto"/>
      </w:divBdr>
    </w:div>
    <w:div w:id="1136215303">
      <w:bodyDiv w:val="1"/>
      <w:marLeft w:val="0"/>
      <w:marRight w:val="0"/>
      <w:marTop w:val="0"/>
      <w:marBottom w:val="0"/>
      <w:divBdr>
        <w:top w:val="none" w:sz="0" w:space="0" w:color="auto"/>
        <w:left w:val="none" w:sz="0" w:space="0" w:color="auto"/>
        <w:bottom w:val="none" w:sz="0" w:space="0" w:color="auto"/>
        <w:right w:val="none" w:sz="0" w:space="0" w:color="auto"/>
      </w:divBdr>
    </w:div>
    <w:div w:id="1137262366">
      <w:bodyDiv w:val="1"/>
      <w:marLeft w:val="0"/>
      <w:marRight w:val="0"/>
      <w:marTop w:val="0"/>
      <w:marBottom w:val="0"/>
      <w:divBdr>
        <w:top w:val="none" w:sz="0" w:space="0" w:color="auto"/>
        <w:left w:val="none" w:sz="0" w:space="0" w:color="auto"/>
        <w:bottom w:val="none" w:sz="0" w:space="0" w:color="auto"/>
        <w:right w:val="none" w:sz="0" w:space="0" w:color="auto"/>
      </w:divBdr>
    </w:div>
    <w:div w:id="1148549411">
      <w:bodyDiv w:val="1"/>
      <w:marLeft w:val="0"/>
      <w:marRight w:val="0"/>
      <w:marTop w:val="0"/>
      <w:marBottom w:val="0"/>
      <w:divBdr>
        <w:top w:val="none" w:sz="0" w:space="0" w:color="auto"/>
        <w:left w:val="none" w:sz="0" w:space="0" w:color="auto"/>
        <w:bottom w:val="none" w:sz="0" w:space="0" w:color="auto"/>
        <w:right w:val="none" w:sz="0" w:space="0" w:color="auto"/>
      </w:divBdr>
    </w:div>
    <w:div w:id="1161775472">
      <w:bodyDiv w:val="1"/>
      <w:marLeft w:val="0"/>
      <w:marRight w:val="0"/>
      <w:marTop w:val="0"/>
      <w:marBottom w:val="0"/>
      <w:divBdr>
        <w:top w:val="none" w:sz="0" w:space="0" w:color="auto"/>
        <w:left w:val="none" w:sz="0" w:space="0" w:color="auto"/>
        <w:bottom w:val="none" w:sz="0" w:space="0" w:color="auto"/>
        <w:right w:val="none" w:sz="0" w:space="0" w:color="auto"/>
      </w:divBdr>
    </w:div>
    <w:div w:id="1163814288">
      <w:bodyDiv w:val="1"/>
      <w:marLeft w:val="0"/>
      <w:marRight w:val="0"/>
      <w:marTop w:val="0"/>
      <w:marBottom w:val="0"/>
      <w:divBdr>
        <w:top w:val="none" w:sz="0" w:space="0" w:color="auto"/>
        <w:left w:val="none" w:sz="0" w:space="0" w:color="auto"/>
        <w:bottom w:val="none" w:sz="0" w:space="0" w:color="auto"/>
        <w:right w:val="none" w:sz="0" w:space="0" w:color="auto"/>
      </w:divBdr>
    </w:div>
    <w:div w:id="1164590372">
      <w:bodyDiv w:val="1"/>
      <w:marLeft w:val="0"/>
      <w:marRight w:val="0"/>
      <w:marTop w:val="0"/>
      <w:marBottom w:val="0"/>
      <w:divBdr>
        <w:top w:val="none" w:sz="0" w:space="0" w:color="auto"/>
        <w:left w:val="none" w:sz="0" w:space="0" w:color="auto"/>
        <w:bottom w:val="none" w:sz="0" w:space="0" w:color="auto"/>
        <w:right w:val="none" w:sz="0" w:space="0" w:color="auto"/>
      </w:divBdr>
    </w:div>
    <w:div w:id="1166703372">
      <w:bodyDiv w:val="1"/>
      <w:marLeft w:val="0"/>
      <w:marRight w:val="0"/>
      <w:marTop w:val="0"/>
      <w:marBottom w:val="0"/>
      <w:divBdr>
        <w:top w:val="none" w:sz="0" w:space="0" w:color="auto"/>
        <w:left w:val="none" w:sz="0" w:space="0" w:color="auto"/>
        <w:bottom w:val="none" w:sz="0" w:space="0" w:color="auto"/>
        <w:right w:val="none" w:sz="0" w:space="0" w:color="auto"/>
      </w:divBdr>
    </w:div>
    <w:div w:id="1174733135">
      <w:bodyDiv w:val="1"/>
      <w:marLeft w:val="0"/>
      <w:marRight w:val="0"/>
      <w:marTop w:val="0"/>
      <w:marBottom w:val="0"/>
      <w:divBdr>
        <w:top w:val="none" w:sz="0" w:space="0" w:color="auto"/>
        <w:left w:val="none" w:sz="0" w:space="0" w:color="auto"/>
        <w:bottom w:val="none" w:sz="0" w:space="0" w:color="auto"/>
        <w:right w:val="none" w:sz="0" w:space="0" w:color="auto"/>
      </w:divBdr>
    </w:div>
    <w:div w:id="1176925119">
      <w:bodyDiv w:val="1"/>
      <w:marLeft w:val="0"/>
      <w:marRight w:val="0"/>
      <w:marTop w:val="0"/>
      <w:marBottom w:val="0"/>
      <w:divBdr>
        <w:top w:val="none" w:sz="0" w:space="0" w:color="auto"/>
        <w:left w:val="none" w:sz="0" w:space="0" w:color="auto"/>
        <w:bottom w:val="none" w:sz="0" w:space="0" w:color="auto"/>
        <w:right w:val="none" w:sz="0" w:space="0" w:color="auto"/>
      </w:divBdr>
    </w:div>
    <w:div w:id="1180585511">
      <w:bodyDiv w:val="1"/>
      <w:marLeft w:val="0"/>
      <w:marRight w:val="0"/>
      <w:marTop w:val="0"/>
      <w:marBottom w:val="0"/>
      <w:divBdr>
        <w:top w:val="none" w:sz="0" w:space="0" w:color="auto"/>
        <w:left w:val="none" w:sz="0" w:space="0" w:color="auto"/>
        <w:bottom w:val="none" w:sz="0" w:space="0" w:color="auto"/>
        <w:right w:val="none" w:sz="0" w:space="0" w:color="auto"/>
      </w:divBdr>
    </w:div>
    <w:div w:id="1182012407">
      <w:bodyDiv w:val="1"/>
      <w:marLeft w:val="0"/>
      <w:marRight w:val="0"/>
      <w:marTop w:val="0"/>
      <w:marBottom w:val="0"/>
      <w:divBdr>
        <w:top w:val="none" w:sz="0" w:space="0" w:color="auto"/>
        <w:left w:val="none" w:sz="0" w:space="0" w:color="auto"/>
        <w:bottom w:val="none" w:sz="0" w:space="0" w:color="auto"/>
        <w:right w:val="none" w:sz="0" w:space="0" w:color="auto"/>
      </w:divBdr>
    </w:div>
    <w:div w:id="1183474371">
      <w:bodyDiv w:val="1"/>
      <w:marLeft w:val="0"/>
      <w:marRight w:val="0"/>
      <w:marTop w:val="0"/>
      <w:marBottom w:val="0"/>
      <w:divBdr>
        <w:top w:val="none" w:sz="0" w:space="0" w:color="auto"/>
        <w:left w:val="none" w:sz="0" w:space="0" w:color="auto"/>
        <w:bottom w:val="none" w:sz="0" w:space="0" w:color="auto"/>
        <w:right w:val="none" w:sz="0" w:space="0" w:color="auto"/>
      </w:divBdr>
    </w:div>
    <w:div w:id="1187871099">
      <w:bodyDiv w:val="1"/>
      <w:marLeft w:val="0"/>
      <w:marRight w:val="0"/>
      <w:marTop w:val="0"/>
      <w:marBottom w:val="0"/>
      <w:divBdr>
        <w:top w:val="none" w:sz="0" w:space="0" w:color="auto"/>
        <w:left w:val="none" w:sz="0" w:space="0" w:color="auto"/>
        <w:bottom w:val="none" w:sz="0" w:space="0" w:color="auto"/>
        <w:right w:val="none" w:sz="0" w:space="0" w:color="auto"/>
      </w:divBdr>
    </w:div>
    <w:div w:id="1189485372">
      <w:bodyDiv w:val="1"/>
      <w:marLeft w:val="0"/>
      <w:marRight w:val="0"/>
      <w:marTop w:val="0"/>
      <w:marBottom w:val="0"/>
      <w:divBdr>
        <w:top w:val="none" w:sz="0" w:space="0" w:color="auto"/>
        <w:left w:val="none" w:sz="0" w:space="0" w:color="auto"/>
        <w:bottom w:val="none" w:sz="0" w:space="0" w:color="auto"/>
        <w:right w:val="none" w:sz="0" w:space="0" w:color="auto"/>
      </w:divBdr>
    </w:div>
    <w:div w:id="1195656180">
      <w:bodyDiv w:val="1"/>
      <w:marLeft w:val="0"/>
      <w:marRight w:val="0"/>
      <w:marTop w:val="0"/>
      <w:marBottom w:val="0"/>
      <w:divBdr>
        <w:top w:val="none" w:sz="0" w:space="0" w:color="auto"/>
        <w:left w:val="none" w:sz="0" w:space="0" w:color="auto"/>
        <w:bottom w:val="none" w:sz="0" w:space="0" w:color="auto"/>
        <w:right w:val="none" w:sz="0" w:space="0" w:color="auto"/>
      </w:divBdr>
    </w:div>
    <w:div w:id="1203712546">
      <w:bodyDiv w:val="1"/>
      <w:marLeft w:val="0"/>
      <w:marRight w:val="0"/>
      <w:marTop w:val="0"/>
      <w:marBottom w:val="0"/>
      <w:divBdr>
        <w:top w:val="none" w:sz="0" w:space="0" w:color="auto"/>
        <w:left w:val="none" w:sz="0" w:space="0" w:color="auto"/>
        <w:bottom w:val="none" w:sz="0" w:space="0" w:color="auto"/>
        <w:right w:val="none" w:sz="0" w:space="0" w:color="auto"/>
      </w:divBdr>
    </w:div>
    <w:div w:id="1214152267">
      <w:bodyDiv w:val="1"/>
      <w:marLeft w:val="0"/>
      <w:marRight w:val="0"/>
      <w:marTop w:val="0"/>
      <w:marBottom w:val="0"/>
      <w:divBdr>
        <w:top w:val="none" w:sz="0" w:space="0" w:color="auto"/>
        <w:left w:val="none" w:sz="0" w:space="0" w:color="auto"/>
        <w:bottom w:val="none" w:sz="0" w:space="0" w:color="auto"/>
        <w:right w:val="none" w:sz="0" w:space="0" w:color="auto"/>
      </w:divBdr>
    </w:div>
    <w:div w:id="1214847163">
      <w:bodyDiv w:val="1"/>
      <w:marLeft w:val="0"/>
      <w:marRight w:val="0"/>
      <w:marTop w:val="0"/>
      <w:marBottom w:val="0"/>
      <w:divBdr>
        <w:top w:val="none" w:sz="0" w:space="0" w:color="auto"/>
        <w:left w:val="none" w:sz="0" w:space="0" w:color="auto"/>
        <w:bottom w:val="none" w:sz="0" w:space="0" w:color="auto"/>
        <w:right w:val="none" w:sz="0" w:space="0" w:color="auto"/>
      </w:divBdr>
    </w:div>
    <w:div w:id="1219129085">
      <w:bodyDiv w:val="1"/>
      <w:marLeft w:val="0"/>
      <w:marRight w:val="0"/>
      <w:marTop w:val="0"/>
      <w:marBottom w:val="0"/>
      <w:divBdr>
        <w:top w:val="none" w:sz="0" w:space="0" w:color="auto"/>
        <w:left w:val="none" w:sz="0" w:space="0" w:color="auto"/>
        <w:bottom w:val="none" w:sz="0" w:space="0" w:color="auto"/>
        <w:right w:val="none" w:sz="0" w:space="0" w:color="auto"/>
      </w:divBdr>
    </w:div>
    <w:div w:id="1221015145">
      <w:bodyDiv w:val="1"/>
      <w:marLeft w:val="0"/>
      <w:marRight w:val="0"/>
      <w:marTop w:val="0"/>
      <w:marBottom w:val="0"/>
      <w:divBdr>
        <w:top w:val="none" w:sz="0" w:space="0" w:color="auto"/>
        <w:left w:val="none" w:sz="0" w:space="0" w:color="auto"/>
        <w:bottom w:val="none" w:sz="0" w:space="0" w:color="auto"/>
        <w:right w:val="none" w:sz="0" w:space="0" w:color="auto"/>
      </w:divBdr>
    </w:div>
    <w:div w:id="1231499217">
      <w:bodyDiv w:val="1"/>
      <w:marLeft w:val="0"/>
      <w:marRight w:val="0"/>
      <w:marTop w:val="0"/>
      <w:marBottom w:val="0"/>
      <w:divBdr>
        <w:top w:val="none" w:sz="0" w:space="0" w:color="auto"/>
        <w:left w:val="none" w:sz="0" w:space="0" w:color="auto"/>
        <w:bottom w:val="none" w:sz="0" w:space="0" w:color="auto"/>
        <w:right w:val="none" w:sz="0" w:space="0" w:color="auto"/>
      </w:divBdr>
    </w:div>
    <w:div w:id="1232884073">
      <w:bodyDiv w:val="1"/>
      <w:marLeft w:val="0"/>
      <w:marRight w:val="0"/>
      <w:marTop w:val="0"/>
      <w:marBottom w:val="0"/>
      <w:divBdr>
        <w:top w:val="none" w:sz="0" w:space="0" w:color="auto"/>
        <w:left w:val="none" w:sz="0" w:space="0" w:color="auto"/>
        <w:bottom w:val="none" w:sz="0" w:space="0" w:color="auto"/>
        <w:right w:val="none" w:sz="0" w:space="0" w:color="auto"/>
      </w:divBdr>
    </w:div>
    <w:div w:id="1235893274">
      <w:bodyDiv w:val="1"/>
      <w:marLeft w:val="0"/>
      <w:marRight w:val="0"/>
      <w:marTop w:val="0"/>
      <w:marBottom w:val="0"/>
      <w:divBdr>
        <w:top w:val="none" w:sz="0" w:space="0" w:color="auto"/>
        <w:left w:val="none" w:sz="0" w:space="0" w:color="auto"/>
        <w:bottom w:val="none" w:sz="0" w:space="0" w:color="auto"/>
        <w:right w:val="none" w:sz="0" w:space="0" w:color="auto"/>
      </w:divBdr>
    </w:div>
    <w:div w:id="1235974897">
      <w:bodyDiv w:val="1"/>
      <w:marLeft w:val="0"/>
      <w:marRight w:val="0"/>
      <w:marTop w:val="0"/>
      <w:marBottom w:val="0"/>
      <w:divBdr>
        <w:top w:val="none" w:sz="0" w:space="0" w:color="auto"/>
        <w:left w:val="none" w:sz="0" w:space="0" w:color="auto"/>
        <w:bottom w:val="none" w:sz="0" w:space="0" w:color="auto"/>
        <w:right w:val="none" w:sz="0" w:space="0" w:color="auto"/>
      </w:divBdr>
    </w:div>
    <w:div w:id="1245337484">
      <w:bodyDiv w:val="1"/>
      <w:marLeft w:val="0"/>
      <w:marRight w:val="0"/>
      <w:marTop w:val="0"/>
      <w:marBottom w:val="0"/>
      <w:divBdr>
        <w:top w:val="none" w:sz="0" w:space="0" w:color="auto"/>
        <w:left w:val="none" w:sz="0" w:space="0" w:color="auto"/>
        <w:bottom w:val="none" w:sz="0" w:space="0" w:color="auto"/>
        <w:right w:val="none" w:sz="0" w:space="0" w:color="auto"/>
      </w:divBdr>
    </w:div>
    <w:div w:id="1251161677">
      <w:bodyDiv w:val="1"/>
      <w:marLeft w:val="0"/>
      <w:marRight w:val="0"/>
      <w:marTop w:val="0"/>
      <w:marBottom w:val="0"/>
      <w:divBdr>
        <w:top w:val="none" w:sz="0" w:space="0" w:color="auto"/>
        <w:left w:val="none" w:sz="0" w:space="0" w:color="auto"/>
        <w:bottom w:val="none" w:sz="0" w:space="0" w:color="auto"/>
        <w:right w:val="none" w:sz="0" w:space="0" w:color="auto"/>
      </w:divBdr>
    </w:div>
    <w:div w:id="1251430262">
      <w:bodyDiv w:val="1"/>
      <w:marLeft w:val="0"/>
      <w:marRight w:val="0"/>
      <w:marTop w:val="0"/>
      <w:marBottom w:val="0"/>
      <w:divBdr>
        <w:top w:val="none" w:sz="0" w:space="0" w:color="auto"/>
        <w:left w:val="none" w:sz="0" w:space="0" w:color="auto"/>
        <w:bottom w:val="none" w:sz="0" w:space="0" w:color="auto"/>
        <w:right w:val="none" w:sz="0" w:space="0" w:color="auto"/>
      </w:divBdr>
    </w:div>
    <w:div w:id="1254629296">
      <w:bodyDiv w:val="1"/>
      <w:marLeft w:val="0"/>
      <w:marRight w:val="0"/>
      <w:marTop w:val="0"/>
      <w:marBottom w:val="0"/>
      <w:divBdr>
        <w:top w:val="none" w:sz="0" w:space="0" w:color="auto"/>
        <w:left w:val="none" w:sz="0" w:space="0" w:color="auto"/>
        <w:bottom w:val="none" w:sz="0" w:space="0" w:color="auto"/>
        <w:right w:val="none" w:sz="0" w:space="0" w:color="auto"/>
      </w:divBdr>
    </w:div>
    <w:div w:id="1257666189">
      <w:bodyDiv w:val="1"/>
      <w:marLeft w:val="0"/>
      <w:marRight w:val="0"/>
      <w:marTop w:val="0"/>
      <w:marBottom w:val="0"/>
      <w:divBdr>
        <w:top w:val="none" w:sz="0" w:space="0" w:color="auto"/>
        <w:left w:val="none" w:sz="0" w:space="0" w:color="auto"/>
        <w:bottom w:val="none" w:sz="0" w:space="0" w:color="auto"/>
        <w:right w:val="none" w:sz="0" w:space="0" w:color="auto"/>
      </w:divBdr>
    </w:div>
    <w:div w:id="1260987153">
      <w:bodyDiv w:val="1"/>
      <w:marLeft w:val="0"/>
      <w:marRight w:val="0"/>
      <w:marTop w:val="0"/>
      <w:marBottom w:val="0"/>
      <w:divBdr>
        <w:top w:val="none" w:sz="0" w:space="0" w:color="auto"/>
        <w:left w:val="none" w:sz="0" w:space="0" w:color="auto"/>
        <w:bottom w:val="none" w:sz="0" w:space="0" w:color="auto"/>
        <w:right w:val="none" w:sz="0" w:space="0" w:color="auto"/>
      </w:divBdr>
    </w:div>
    <w:div w:id="1262445981">
      <w:bodyDiv w:val="1"/>
      <w:marLeft w:val="0"/>
      <w:marRight w:val="0"/>
      <w:marTop w:val="0"/>
      <w:marBottom w:val="0"/>
      <w:divBdr>
        <w:top w:val="none" w:sz="0" w:space="0" w:color="auto"/>
        <w:left w:val="none" w:sz="0" w:space="0" w:color="auto"/>
        <w:bottom w:val="none" w:sz="0" w:space="0" w:color="auto"/>
        <w:right w:val="none" w:sz="0" w:space="0" w:color="auto"/>
      </w:divBdr>
    </w:div>
    <w:div w:id="1266881342">
      <w:bodyDiv w:val="1"/>
      <w:marLeft w:val="0"/>
      <w:marRight w:val="0"/>
      <w:marTop w:val="0"/>
      <w:marBottom w:val="0"/>
      <w:divBdr>
        <w:top w:val="none" w:sz="0" w:space="0" w:color="auto"/>
        <w:left w:val="none" w:sz="0" w:space="0" w:color="auto"/>
        <w:bottom w:val="none" w:sz="0" w:space="0" w:color="auto"/>
        <w:right w:val="none" w:sz="0" w:space="0" w:color="auto"/>
      </w:divBdr>
    </w:div>
    <w:div w:id="1268391221">
      <w:bodyDiv w:val="1"/>
      <w:marLeft w:val="0"/>
      <w:marRight w:val="0"/>
      <w:marTop w:val="0"/>
      <w:marBottom w:val="0"/>
      <w:divBdr>
        <w:top w:val="none" w:sz="0" w:space="0" w:color="auto"/>
        <w:left w:val="none" w:sz="0" w:space="0" w:color="auto"/>
        <w:bottom w:val="none" w:sz="0" w:space="0" w:color="auto"/>
        <w:right w:val="none" w:sz="0" w:space="0" w:color="auto"/>
      </w:divBdr>
    </w:div>
    <w:div w:id="1269584349">
      <w:bodyDiv w:val="1"/>
      <w:marLeft w:val="0"/>
      <w:marRight w:val="0"/>
      <w:marTop w:val="0"/>
      <w:marBottom w:val="0"/>
      <w:divBdr>
        <w:top w:val="none" w:sz="0" w:space="0" w:color="auto"/>
        <w:left w:val="none" w:sz="0" w:space="0" w:color="auto"/>
        <w:bottom w:val="none" w:sz="0" w:space="0" w:color="auto"/>
        <w:right w:val="none" w:sz="0" w:space="0" w:color="auto"/>
      </w:divBdr>
    </w:div>
    <w:div w:id="1271663548">
      <w:bodyDiv w:val="1"/>
      <w:marLeft w:val="0"/>
      <w:marRight w:val="0"/>
      <w:marTop w:val="0"/>
      <w:marBottom w:val="0"/>
      <w:divBdr>
        <w:top w:val="none" w:sz="0" w:space="0" w:color="auto"/>
        <w:left w:val="none" w:sz="0" w:space="0" w:color="auto"/>
        <w:bottom w:val="none" w:sz="0" w:space="0" w:color="auto"/>
        <w:right w:val="none" w:sz="0" w:space="0" w:color="auto"/>
      </w:divBdr>
    </w:div>
    <w:div w:id="1278101290">
      <w:bodyDiv w:val="1"/>
      <w:marLeft w:val="0"/>
      <w:marRight w:val="0"/>
      <w:marTop w:val="0"/>
      <w:marBottom w:val="0"/>
      <w:divBdr>
        <w:top w:val="none" w:sz="0" w:space="0" w:color="auto"/>
        <w:left w:val="none" w:sz="0" w:space="0" w:color="auto"/>
        <w:bottom w:val="none" w:sz="0" w:space="0" w:color="auto"/>
        <w:right w:val="none" w:sz="0" w:space="0" w:color="auto"/>
      </w:divBdr>
    </w:div>
    <w:div w:id="1281958209">
      <w:bodyDiv w:val="1"/>
      <w:marLeft w:val="0"/>
      <w:marRight w:val="0"/>
      <w:marTop w:val="0"/>
      <w:marBottom w:val="0"/>
      <w:divBdr>
        <w:top w:val="none" w:sz="0" w:space="0" w:color="auto"/>
        <w:left w:val="none" w:sz="0" w:space="0" w:color="auto"/>
        <w:bottom w:val="none" w:sz="0" w:space="0" w:color="auto"/>
        <w:right w:val="none" w:sz="0" w:space="0" w:color="auto"/>
      </w:divBdr>
    </w:div>
    <w:div w:id="1285649217">
      <w:bodyDiv w:val="1"/>
      <w:marLeft w:val="0"/>
      <w:marRight w:val="0"/>
      <w:marTop w:val="0"/>
      <w:marBottom w:val="0"/>
      <w:divBdr>
        <w:top w:val="none" w:sz="0" w:space="0" w:color="auto"/>
        <w:left w:val="none" w:sz="0" w:space="0" w:color="auto"/>
        <w:bottom w:val="none" w:sz="0" w:space="0" w:color="auto"/>
        <w:right w:val="none" w:sz="0" w:space="0" w:color="auto"/>
      </w:divBdr>
    </w:div>
    <w:div w:id="1286355005">
      <w:bodyDiv w:val="1"/>
      <w:marLeft w:val="0"/>
      <w:marRight w:val="0"/>
      <w:marTop w:val="0"/>
      <w:marBottom w:val="0"/>
      <w:divBdr>
        <w:top w:val="none" w:sz="0" w:space="0" w:color="auto"/>
        <w:left w:val="none" w:sz="0" w:space="0" w:color="auto"/>
        <w:bottom w:val="none" w:sz="0" w:space="0" w:color="auto"/>
        <w:right w:val="none" w:sz="0" w:space="0" w:color="auto"/>
      </w:divBdr>
    </w:div>
    <w:div w:id="1299535532">
      <w:bodyDiv w:val="1"/>
      <w:marLeft w:val="0"/>
      <w:marRight w:val="0"/>
      <w:marTop w:val="0"/>
      <w:marBottom w:val="0"/>
      <w:divBdr>
        <w:top w:val="none" w:sz="0" w:space="0" w:color="auto"/>
        <w:left w:val="none" w:sz="0" w:space="0" w:color="auto"/>
        <w:bottom w:val="none" w:sz="0" w:space="0" w:color="auto"/>
        <w:right w:val="none" w:sz="0" w:space="0" w:color="auto"/>
      </w:divBdr>
    </w:div>
    <w:div w:id="1301614392">
      <w:bodyDiv w:val="1"/>
      <w:marLeft w:val="0"/>
      <w:marRight w:val="0"/>
      <w:marTop w:val="0"/>
      <w:marBottom w:val="0"/>
      <w:divBdr>
        <w:top w:val="none" w:sz="0" w:space="0" w:color="auto"/>
        <w:left w:val="none" w:sz="0" w:space="0" w:color="auto"/>
        <w:bottom w:val="none" w:sz="0" w:space="0" w:color="auto"/>
        <w:right w:val="none" w:sz="0" w:space="0" w:color="auto"/>
      </w:divBdr>
    </w:div>
    <w:div w:id="1305040299">
      <w:bodyDiv w:val="1"/>
      <w:marLeft w:val="0"/>
      <w:marRight w:val="0"/>
      <w:marTop w:val="0"/>
      <w:marBottom w:val="0"/>
      <w:divBdr>
        <w:top w:val="none" w:sz="0" w:space="0" w:color="auto"/>
        <w:left w:val="none" w:sz="0" w:space="0" w:color="auto"/>
        <w:bottom w:val="none" w:sz="0" w:space="0" w:color="auto"/>
        <w:right w:val="none" w:sz="0" w:space="0" w:color="auto"/>
      </w:divBdr>
    </w:div>
    <w:div w:id="1313483135">
      <w:bodyDiv w:val="1"/>
      <w:marLeft w:val="0"/>
      <w:marRight w:val="0"/>
      <w:marTop w:val="0"/>
      <w:marBottom w:val="0"/>
      <w:divBdr>
        <w:top w:val="none" w:sz="0" w:space="0" w:color="auto"/>
        <w:left w:val="none" w:sz="0" w:space="0" w:color="auto"/>
        <w:bottom w:val="none" w:sz="0" w:space="0" w:color="auto"/>
        <w:right w:val="none" w:sz="0" w:space="0" w:color="auto"/>
      </w:divBdr>
    </w:div>
    <w:div w:id="1317685045">
      <w:bodyDiv w:val="1"/>
      <w:marLeft w:val="0"/>
      <w:marRight w:val="0"/>
      <w:marTop w:val="0"/>
      <w:marBottom w:val="0"/>
      <w:divBdr>
        <w:top w:val="none" w:sz="0" w:space="0" w:color="auto"/>
        <w:left w:val="none" w:sz="0" w:space="0" w:color="auto"/>
        <w:bottom w:val="none" w:sz="0" w:space="0" w:color="auto"/>
        <w:right w:val="none" w:sz="0" w:space="0" w:color="auto"/>
      </w:divBdr>
    </w:div>
    <w:div w:id="1319920180">
      <w:bodyDiv w:val="1"/>
      <w:marLeft w:val="0"/>
      <w:marRight w:val="0"/>
      <w:marTop w:val="0"/>
      <w:marBottom w:val="0"/>
      <w:divBdr>
        <w:top w:val="none" w:sz="0" w:space="0" w:color="auto"/>
        <w:left w:val="none" w:sz="0" w:space="0" w:color="auto"/>
        <w:bottom w:val="none" w:sz="0" w:space="0" w:color="auto"/>
        <w:right w:val="none" w:sz="0" w:space="0" w:color="auto"/>
      </w:divBdr>
    </w:div>
    <w:div w:id="1323507722">
      <w:bodyDiv w:val="1"/>
      <w:marLeft w:val="0"/>
      <w:marRight w:val="0"/>
      <w:marTop w:val="0"/>
      <w:marBottom w:val="0"/>
      <w:divBdr>
        <w:top w:val="none" w:sz="0" w:space="0" w:color="auto"/>
        <w:left w:val="none" w:sz="0" w:space="0" w:color="auto"/>
        <w:bottom w:val="none" w:sz="0" w:space="0" w:color="auto"/>
        <w:right w:val="none" w:sz="0" w:space="0" w:color="auto"/>
      </w:divBdr>
    </w:div>
    <w:div w:id="1326014958">
      <w:bodyDiv w:val="1"/>
      <w:marLeft w:val="0"/>
      <w:marRight w:val="0"/>
      <w:marTop w:val="0"/>
      <w:marBottom w:val="0"/>
      <w:divBdr>
        <w:top w:val="none" w:sz="0" w:space="0" w:color="auto"/>
        <w:left w:val="none" w:sz="0" w:space="0" w:color="auto"/>
        <w:bottom w:val="none" w:sz="0" w:space="0" w:color="auto"/>
        <w:right w:val="none" w:sz="0" w:space="0" w:color="auto"/>
      </w:divBdr>
    </w:div>
    <w:div w:id="1333218200">
      <w:bodyDiv w:val="1"/>
      <w:marLeft w:val="0"/>
      <w:marRight w:val="0"/>
      <w:marTop w:val="0"/>
      <w:marBottom w:val="0"/>
      <w:divBdr>
        <w:top w:val="none" w:sz="0" w:space="0" w:color="auto"/>
        <w:left w:val="none" w:sz="0" w:space="0" w:color="auto"/>
        <w:bottom w:val="none" w:sz="0" w:space="0" w:color="auto"/>
        <w:right w:val="none" w:sz="0" w:space="0" w:color="auto"/>
      </w:divBdr>
    </w:div>
    <w:div w:id="1333725233">
      <w:bodyDiv w:val="1"/>
      <w:marLeft w:val="0"/>
      <w:marRight w:val="0"/>
      <w:marTop w:val="0"/>
      <w:marBottom w:val="0"/>
      <w:divBdr>
        <w:top w:val="none" w:sz="0" w:space="0" w:color="auto"/>
        <w:left w:val="none" w:sz="0" w:space="0" w:color="auto"/>
        <w:bottom w:val="none" w:sz="0" w:space="0" w:color="auto"/>
        <w:right w:val="none" w:sz="0" w:space="0" w:color="auto"/>
      </w:divBdr>
    </w:div>
    <w:div w:id="1334064288">
      <w:bodyDiv w:val="1"/>
      <w:marLeft w:val="0"/>
      <w:marRight w:val="0"/>
      <w:marTop w:val="0"/>
      <w:marBottom w:val="0"/>
      <w:divBdr>
        <w:top w:val="none" w:sz="0" w:space="0" w:color="auto"/>
        <w:left w:val="none" w:sz="0" w:space="0" w:color="auto"/>
        <w:bottom w:val="none" w:sz="0" w:space="0" w:color="auto"/>
        <w:right w:val="none" w:sz="0" w:space="0" w:color="auto"/>
      </w:divBdr>
    </w:div>
    <w:div w:id="1338507825">
      <w:bodyDiv w:val="1"/>
      <w:marLeft w:val="0"/>
      <w:marRight w:val="0"/>
      <w:marTop w:val="0"/>
      <w:marBottom w:val="0"/>
      <w:divBdr>
        <w:top w:val="none" w:sz="0" w:space="0" w:color="auto"/>
        <w:left w:val="none" w:sz="0" w:space="0" w:color="auto"/>
        <w:bottom w:val="none" w:sz="0" w:space="0" w:color="auto"/>
        <w:right w:val="none" w:sz="0" w:space="0" w:color="auto"/>
      </w:divBdr>
    </w:div>
    <w:div w:id="1340233920">
      <w:bodyDiv w:val="1"/>
      <w:marLeft w:val="0"/>
      <w:marRight w:val="0"/>
      <w:marTop w:val="0"/>
      <w:marBottom w:val="0"/>
      <w:divBdr>
        <w:top w:val="none" w:sz="0" w:space="0" w:color="auto"/>
        <w:left w:val="none" w:sz="0" w:space="0" w:color="auto"/>
        <w:bottom w:val="none" w:sz="0" w:space="0" w:color="auto"/>
        <w:right w:val="none" w:sz="0" w:space="0" w:color="auto"/>
      </w:divBdr>
    </w:div>
    <w:div w:id="1341396732">
      <w:bodyDiv w:val="1"/>
      <w:marLeft w:val="0"/>
      <w:marRight w:val="0"/>
      <w:marTop w:val="0"/>
      <w:marBottom w:val="0"/>
      <w:divBdr>
        <w:top w:val="none" w:sz="0" w:space="0" w:color="auto"/>
        <w:left w:val="none" w:sz="0" w:space="0" w:color="auto"/>
        <w:bottom w:val="none" w:sz="0" w:space="0" w:color="auto"/>
        <w:right w:val="none" w:sz="0" w:space="0" w:color="auto"/>
      </w:divBdr>
    </w:div>
    <w:div w:id="1344936235">
      <w:bodyDiv w:val="1"/>
      <w:marLeft w:val="0"/>
      <w:marRight w:val="0"/>
      <w:marTop w:val="0"/>
      <w:marBottom w:val="0"/>
      <w:divBdr>
        <w:top w:val="none" w:sz="0" w:space="0" w:color="auto"/>
        <w:left w:val="none" w:sz="0" w:space="0" w:color="auto"/>
        <w:bottom w:val="none" w:sz="0" w:space="0" w:color="auto"/>
        <w:right w:val="none" w:sz="0" w:space="0" w:color="auto"/>
      </w:divBdr>
    </w:div>
    <w:div w:id="1348290223">
      <w:bodyDiv w:val="1"/>
      <w:marLeft w:val="0"/>
      <w:marRight w:val="0"/>
      <w:marTop w:val="0"/>
      <w:marBottom w:val="0"/>
      <w:divBdr>
        <w:top w:val="none" w:sz="0" w:space="0" w:color="auto"/>
        <w:left w:val="none" w:sz="0" w:space="0" w:color="auto"/>
        <w:bottom w:val="none" w:sz="0" w:space="0" w:color="auto"/>
        <w:right w:val="none" w:sz="0" w:space="0" w:color="auto"/>
      </w:divBdr>
    </w:div>
    <w:div w:id="1351561860">
      <w:bodyDiv w:val="1"/>
      <w:marLeft w:val="0"/>
      <w:marRight w:val="0"/>
      <w:marTop w:val="0"/>
      <w:marBottom w:val="0"/>
      <w:divBdr>
        <w:top w:val="none" w:sz="0" w:space="0" w:color="auto"/>
        <w:left w:val="none" w:sz="0" w:space="0" w:color="auto"/>
        <w:bottom w:val="none" w:sz="0" w:space="0" w:color="auto"/>
        <w:right w:val="none" w:sz="0" w:space="0" w:color="auto"/>
      </w:divBdr>
    </w:div>
    <w:div w:id="1358191494">
      <w:bodyDiv w:val="1"/>
      <w:marLeft w:val="0"/>
      <w:marRight w:val="0"/>
      <w:marTop w:val="0"/>
      <w:marBottom w:val="0"/>
      <w:divBdr>
        <w:top w:val="none" w:sz="0" w:space="0" w:color="auto"/>
        <w:left w:val="none" w:sz="0" w:space="0" w:color="auto"/>
        <w:bottom w:val="none" w:sz="0" w:space="0" w:color="auto"/>
        <w:right w:val="none" w:sz="0" w:space="0" w:color="auto"/>
      </w:divBdr>
    </w:div>
    <w:div w:id="1358239335">
      <w:bodyDiv w:val="1"/>
      <w:marLeft w:val="0"/>
      <w:marRight w:val="0"/>
      <w:marTop w:val="0"/>
      <w:marBottom w:val="0"/>
      <w:divBdr>
        <w:top w:val="none" w:sz="0" w:space="0" w:color="auto"/>
        <w:left w:val="none" w:sz="0" w:space="0" w:color="auto"/>
        <w:bottom w:val="none" w:sz="0" w:space="0" w:color="auto"/>
        <w:right w:val="none" w:sz="0" w:space="0" w:color="auto"/>
      </w:divBdr>
    </w:div>
    <w:div w:id="1360618132">
      <w:bodyDiv w:val="1"/>
      <w:marLeft w:val="0"/>
      <w:marRight w:val="0"/>
      <w:marTop w:val="0"/>
      <w:marBottom w:val="0"/>
      <w:divBdr>
        <w:top w:val="none" w:sz="0" w:space="0" w:color="auto"/>
        <w:left w:val="none" w:sz="0" w:space="0" w:color="auto"/>
        <w:bottom w:val="none" w:sz="0" w:space="0" w:color="auto"/>
        <w:right w:val="none" w:sz="0" w:space="0" w:color="auto"/>
      </w:divBdr>
    </w:div>
    <w:div w:id="1363048529">
      <w:bodyDiv w:val="1"/>
      <w:marLeft w:val="0"/>
      <w:marRight w:val="0"/>
      <w:marTop w:val="0"/>
      <w:marBottom w:val="0"/>
      <w:divBdr>
        <w:top w:val="none" w:sz="0" w:space="0" w:color="auto"/>
        <w:left w:val="none" w:sz="0" w:space="0" w:color="auto"/>
        <w:bottom w:val="none" w:sz="0" w:space="0" w:color="auto"/>
        <w:right w:val="none" w:sz="0" w:space="0" w:color="auto"/>
      </w:divBdr>
    </w:div>
    <w:div w:id="1374496992">
      <w:bodyDiv w:val="1"/>
      <w:marLeft w:val="0"/>
      <w:marRight w:val="0"/>
      <w:marTop w:val="0"/>
      <w:marBottom w:val="0"/>
      <w:divBdr>
        <w:top w:val="none" w:sz="0" w:space="0" w:color="auto"/>
        <w:left w:val="none" w:sz="0" w:space="0" w:color="auto"/>
        <w:bottom w:val="none" w:sz="0" w:space="0" w:color="auto"/>
        <w:right w:val="none" w:sz="0" w:space="0" w:color="auto"/>
      </w:divBdr>
    </w:div>
    <w:div w:id="1378698716">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92004369">
      <w:bodyDiv w:val="1"/>
      <w:marLeft w:val="0"/>
      <w:marRight w:val="0"/>
      <w:marTop w:val="0"/>
      <w:marBottom w:val="0"/>
      <w:divBdr>
        <w:top w:val="none" w:sz="0" w:space="0" w:color="auto"/>
        <w:left w:val="none" w:sz="0" w:space="0" w:color="auto"/>
        <w:bottom w:val="none" w:sz="0" w:space="0" w:color="auto"/>
        <w:right w:val="none" w:sz="0" w:space="0" w:color="auto"/>
      </w:divBdr>
    </w:div>
    <w:div w:id="1392777436">
      <w:bodyDiv w:val="1"/>
      <w:marLeft w:val="0"/>
      <w:marRight w:val="0"/>
      <w:marTop w:val="0"/>
      <w:marBottom w:val="0"/>
      <w:divBdr>
        <w:top w:val="none" w:sz="0" w:space="0" w:color="auto"/>
        <w:left w:val="none" w:sz="0" w:space="0" w:color="auto"/>
        <w:bottom w:val="none" w:sz="0" w:space="0" w:color="auto"/>
        <w:right w:val="none" w:sz="0" w:space="0" w:color="auto"/>
      </w:divBdr>
    </w:div>
    <w:div w:id="1393192608">
      <w:bodyDiv w:val="1"/>
      <w:marLeft w:val="0"/>
      <w:marRight w:val="0"/>
      <w:marTop w:val="0"/>
      <w:marBottom w:val="0"/>
      <w:divBdr>
        <w:top w:val="none" w:sz="0" w:space="0" w:color="auto"/>
        <w:left w:val="none" w:sz="0" w:space="0" w:color="auto"/>
        <w:bottom w:val="none" w:sz="0" w:space="0" w:color="auto"/>
        <w:right w:val="none" w:sz="0" w:space="0" w:color="auto"/>
      </w:divBdr>
    </w:div>
    <w:div w:id="1393774377">
      <w:bodyDiv w:val="1"/>
      <w:marLeft w:val="0"/>
      <w:marRight w:val="0"/>
      <w:marTop w:val="0"/>
      <w:marBottom w:val="0"/>
      <w:divBdr>
        <w:top w:val="none" w:sz="0" w:space="0" w:color="auto"/>
        <w:left w:val="none" w:sz="0" w:space="0" w:color="auto"/>
        <w:bottom w:val="none" w:sz="0" w:space="0" w:color="auto"/>
        <w:right w:val="none" w:sz="0" w:space="0" w:color="auto"/>
      </w:divBdr>
    </w:div>
    <w:div w:id="1399085782">
      <w:bodyDiv w:val="1"/>
      <w:marLeft w:val="0"/>
      <w:marRight w:val="0"/>
      <w:marTop w:val="0"/>
      <w:marBottom w:val="0"/>
      <w:divBdr>
        <w:top w:val="none" w:sz="0" w:space="0" w:color="auto"/>
        <w:left w:val="none" w:sz="0" w:space="0" w:color="auto"/>
        <w:bottom w:val="none" w:sz="0" w:space="0" w:color="auto"/>
        <w:right w:val="none" w:sz="0" w:space="0" w:color="auto"/>
      </w:divBdr>
    </w:div>
    <w:div w:id="1400516873">
      <w:bodyDiv w:val="1"/>
      <w:marLeft w:val="0"/>
      <w:marRight w:val="0"/>
      <w:marTop w:val="0"/>
      <w:marBottom w:val="0"/>
      <w:divBdr>
        <w:top w:val="none" w:sz="0" w:space="0" w:color="auto"/>
        <w:left w:val="none" w:sz="0" w:space="0" w:color="auto"/>
        <w:bottom w:val="none" w:sz="0" w:space="0" w:color="auto"/>
        <w:right w:val="none" w:sz="0" w:space="0" w:color="auto"/>
      </w:divBdr>
    </w:div>
    <w:div w:id="1404835109">
      <w:bodyDiv w:val="1"/>
      <w:marLeft w:val="0"/>
      <w:marRight w:val="0"/>
      <w:marTop w:val="0"/>
      <w:marBottom w:val="0"/>
      <w:divBdr>
        <w:top w:val="none" w:sz="0" w:space="0" w:color="auto"/>
        <w:left w:val="none" w:sz="0" w:space="0" w:color="auto"/>
        <w:bottom w:val="none" w:sz="0" w:space="0" w:color="auto"/>
        <w:right w:val="none" w:sz="0" w:space="0" w:color="auto"/>
      </w:divBdr>
    </w:div>
    <w:div w:id="1406344541">
      <w:bodyDiv w:val="1"/>
      <w:marLeft w:val="0"/>
      <w:marRight w:val="0"/>
      <w:marTop w:val="0"/>
      <w:marBottom w:val="0"/>
      <w:divBdr>
        <w:top w:val="none" w:sz="0" w:space="0" w:color="auto"/>
        <w:left w:val="none" w:sz="0" w:space="0" w:color="auto"/>
        <w:bottom w:val="none" w:sz="0" w:space="0" w:color="auto"/>
        <w:right w:val="none" w:sz="0" w:space="0" w:color="auto"/>
      </w:divBdr>
    </w:div>
    <w:div w:id="1428192530">
      <w:bodyDiv w:val="1"/>
      <w:marLeft w:val="0"/>
      <w:marRight w:val="0"/>
      <w:marTop w:val="0"/>
      <w:marBottom w:val="0"/>
      <w:divBdr>
        <w:top w:val="none" w:sz="0" w:space="0" w:color="auto"/>
        <w:left w:val="none" w:sz="0" w:space="0" w:color="auto"/>
        <w:bottom w:val="none" w:sz="0" w:space="0" w:color="auto"/>
        <w:right w:val="none" w:sz="0" w:space="0" w:color="auto"/>
      </w:divBdr>
    </w:div>
    <w:div w:id="1428767799">
      <w:bodyDiv w:val="1"/>
      <w:marLeft w:val="0"/>
      <w:marRight w:val="0"/>
      <w:marTop w:val="0"/>
      <w:marBottom w:val="0"/>
      <w:divBdr>
        <w:top w:val="none" w:sz="0" w:space="0" w:color="auto"/>
        <w:left w:val="none" w:sz="0" w:space="0" w:color="auto"/>
        <w:bottom w:val="none" w:sz="0" w:space="0" w:color="auto"/>
        <w:right w:val="none" w:sz="0" w:space="0" w:color="auto"/>
      </w:divBdr>
    </w:div>
    <w:div w:id="1438717553">
      <w:bodyDiv w:val="1"/>
      <w:marLeft w:val="0"/>
      <w:marRight w:val="0"/>
      <w:marTop w:val="0"/>
      <w:marBottom w:val="0"/>
      <w:divBdr>
        <w:top w:val="none" w:sz="0" w:space="0" w:color="auto"/>
        <w:left w:val="none" w:sz="0" w:space="0" w:color="auto"/>
        <w:bottom w:val="none" w:sz="0" w:space="0" w:color="auto"/>
        <w:right w:val="none" w:sz="0" w:space="0" w:color="auto"/>
      </w:divBdr>
    </w:div>
    <w:div w:id="1444107988">
      <w:bodyDiv w:val="1"/>
      <w:marLeft w:val="0"/>
      <w:marRight w:val="0"/>
      <w:marTop w:val="0"/>
      <w:marBottom w:val="0"/>
      <w:divBdr>
        <w:top w:val="none" w:sz="0" w:space="0" w:color="auto"/>
        <w:left w:val="none" w:sz="0" w:space="0" w:color="auto"/>
        <w:bottom w:val="none" w:sz="0" w:space="0" w:color="auto"/>
        <w:right w:val="none" w:sz="0" w:space="0" w:color="auto"/>
      </w:divBdr>
    </w:div>
    <w:div w:id="1449082470">
      <w:bodyDiv w:val="1"/>
      <w:marLeft w:val="0"/>
      <w:marRight w:val="0"/>
      <w:marTop w:val="0"/>
      <w:marBottom w:val="0"/>
      <w:divBdr>
        <w:top w:val="none" w:sz="0" w:space="0" w:color="auto"/>
        <w:left w:val="none" w:sz="0" w:space="0" w:color="auto"/>
        <w:bottom w:val="none" w:sz="0" w:space="0" w:color="auto"/>
        <w:right w:val="none" w:sz="0" w:space="0" w:color="auto"/>
      </w:divBdr>
    </w:div>
    <w:div w:id="1455252136">
      <w:bodyDiv w:val="1"/>
      <w:marLeft w:val="0"/>
      <w:marRight w:val="0"/>
      <w:marTop w:val="0"/>
      <w:marBottom w:val="0"/>
      <w:divBdr>
        <w:top w:val="none" w:sz="0" w:space="0" w:color="auto"/>
        <w:left w:val="none" w:sz="0" w:space="0" w:color="auto"/>
        <w:bottom w:val="none" w:sz="0" w:space="0" w:color="auto"/>
        <w:right w:val="none" w:sz="0" w:space="0" w:color="auto"/>
      </w:divBdr>
    </w:div>
    <w:div w:id="1456437669">
      <w:bodyDiv w:val="1"/>
      <w:marLeft w:val="0"/>
      <w:marRight w:val="0"/>
      <w:marTop w:val="0"/>
      <w:marBottom w:val="0"/>
      <w:divBdr>
        <w:top w:val="none" w:sz="0" w:space="0" w:color="auto"/>
        <w:left w:val="none" w:sz="0" w:space="0" w:color="auto"/>
        <w:bottom w:val="none" w:sz="0" w:space="0" w:color="auto"/>
        <w:right w:val="none" w:sz="0" w:space="0" w:color="auto"/>
      </w:divBdr>
    </w:div>
    <w:div w:id="1476411625">
      <w:bodyDiv w:val="1"/>
      <w:marLeft w:val="0"/>
      <w:marRight w:val="0"/>
      <w:marTop w:val="0"/>
      <w:marBottom w:val="0"/>
      <w:divBdr>
        <w:top w:val="none" w:sz="0" w:space="0" w:color="auto"/>
        <w:left w:val="none" w:sz="0" w:space="0" w:color="auto"/>
        <w:bottom w:val="none" w:sz="0" w:space="0" w:color="auto"/>
        <w:right w:val="none" w:sz="0" w:space="0" w:color="auto"/>
      </w:divBdr>
    </w:div>
    <w:div w:id="1477062908">
      <w:bodyDiv w:val="1"/>
      <w:marLeft w:val="0"/>
      <w:marRight w:val="0"/>
      <w:marTop w:val="0"/>
      <w:marBottom w:val="0"/>
      <w:divBdr>
        <w:top w:val="none" w:sz="0" w:space="0" w:color="auto"/>
        <w:left w:val="none" w:sz="0" w:space="0" w:color="auto"/>
        <w:bottom w:val="none" w:sz="0" w:space="0" w:color="auto"/>
        <w:right w:val="none" w:sz="0" w:space="0" w:color="auto"/>
      </w:divBdr>
    </w:div>
    <w:div w:id="1477837064">
      <w:bodyDiv w:val="1"/>
      <w:marLeft w:val="0"/>
      <w:marRight w:val="0"/>
      <w:marTop w:val="0"/>
      <w:marBottom w:val="0"/>
      <w:divBdr>
        <w:top w:val="none" w:sz="0" w:space="0" w:color="auto"/>
        <w:left w:val="none" w:sz="0" w:space="0" w:color="auto"/>
        <w:bottom w:val="none" w:sz="0" w:space="0" w:color="auto"/>
        <w:right w:val="none" w:sz="0" w:space="0" w:color="auto"/>
      </w:divBdr>
    </w:div>
    <w:div w:id="1477842737">
      <w:bodyDiv w:val="1"/>
      <w:marLeft w:val="0"/>
      <w:marRight w:val="0"/>
      <w:marTop w:val="0"/>
      <w:marBottom w:val="0"/>
      <w:divBdr>
        <w:top w:val="none" w:sz="0" w:space="0" w:color="auto"/>
        <w:left w:val="none" w:sz="0" w:space="0" w:color="auto"/>
        <w:bottom w:val="none" w:sz="0" w:space="0" w:color="auto"/>
        <w:right w:val="none" w:sz="0" w:space="0" w:color="auto"/>
      </w:divBdr>
    </w:div>
    <w:div w:id="1481968570">
      <w:bodyDiv w:val="1"/>
      <w:marLeft w:val="0"/>
      <w:marRight w:val="0"/>
      <w:marTop w:val="0"/>
      <w:marBottom w:val="0"/>
      <w:divBdr>
        <w:top w:val="none" w:sz="0" w:space="0" w:color="auto"/>
        <w:left w:val="none" w:sz="0" w:space="0" w:color="auto"/>
        <w:bottom w:val="none" w:sz="0" w:space="0" w:color="auto"/>
        <w:right w:val="none" w:sz="0" w:space="0" w:color="auto"/>
      </w:divBdr>
    </w:div>
    <w:div w:id="1484737260">
      <w:bodyDiv w:val="1"/>
      <w:marLeft w:val="0"/>
      <w:marRight w:val="0"/>
      <w:marTop w:val="0"/>
      <w:marBottom w:val="0"/>
      <w:divBdr>
        <w:top w:val="none" w:sz="0" w:space="0" w:color="auto"/>
        <w:left w:val="none" w:sz="0" w:space="0" w:color="auto"/>
        <w:bottom w:val="none" w:sz="0" w:space="0" w:color="auto"/>
        <w:right w:val="none" w:sz="0" w:space="0" w:color="auto"/>
      </w:divBdr>
    </w:div>
    <w:div w:id="1485005911">
      <w:bodyDiv w:val="1"/>
      <w:marLeft w:val="0"/>
      <w:marRight w:val="0"/>
      <w:marTop w:val="0"/>
      <w:marBottom w:val="0"/>
      <w:divBdr>
        <w:top w:val="none" w:sz="0" w:space="0" w:color="auto"/>
        <w:left w:val="none" w:sz="0" w:space="0" w:color="auto"/>
        <w:bottom w:val="none" w:sz="0" w:space="0" w:color="auto"/>
        <w:right w:val="none" w:sz="0" w:space="0" w:color="auto"/>
      </w:divBdr>
    </w:div>
    <w:div w:id="1491361425">
      <w:bodyDiv w:val="1"/>
      <w:marLeft w:val="0"/>
      <w:marRight w:val="0"/>
      <w:marTop w:val="0"/>
      <w:marBottom w:val="0"/>
      <w:divBdr>
        <w:top w:val="none" w:sz="0" w:space="0" w:color="auto"/>
        <w:left w:val="none" w:sz="0" w:space="0" w:color="auto"/>
        <w:bottom w:val="none" w:sz="0" w:space="0" w:color="auto"/>
        <w:right w:val="none" w:sz="0" w:space="0" w:color="auto"/>
      </w:divBdr>
    </w:div>
    <w:div w:id="1495101666">
      <w:bodyDiv w:val="1"/>
      <w:marLeft w:val="0"/>
      <w:marRight w:val="0"/>
      <w:marTop w:val="0"/>
      <w:marBottom w:val="0"/>
      <w:divBdr>
        <w:top w:val="none" w:sz="0" w:space="0" w:color="auto"/>
        <w:left w:val="none" w:sz="0" w:space="0" w:color="auto"/>
        <w:bottom w:val="none" w:sz="0" w:space="0" w:color="auto"/>
        <w:right w:val="none" w:sz="0" w:space="0" w:color="auto"/>
      </w:divBdr>
    </w:div>
    <w:div w:id="1502743632">
      <w:bodyDiv w:val="1"/>
      <w:marLeft w:val="0"/>
      <w:marRight w:val="0"/>
      <w:marTop w:val="0"/>
      <w:marBottom w:val="0"/>
      <w:divBdr>
        <w:top w:val="none" w:sz="0" w:space="0" w:color="auto"/>
        <w:left w:val="none" w:sz="0" w:space="0" w:color="auto"/>
        <w:bottom w:val="none" w:sz="0" w:space="0" w:color="auto"/>
        <w:right w:val="none" w:sz="0" w:space="0" w:color="auto"/>
      </w:divBdr>
    </w:div>
    <w:div w:id="1505823471">
      <w:bodyDiv w:val="1"/>
      <w:marLeft w:val="0"/>
      <w:marRight w:val="0"/>
      <w:marTop w:val="0"/>
      <w:marBottom w:val="0"/>
      <w:divBdr>
        <w:top w:val="none" w:sz="0" w:space="0" w:color="auto"/>
        <w:left w:val="none" w:sz="0" w:space="0" w:color="auto"/>
        <w:bottom w:val="none" w:sz="0" w:space="0" w:color="auto"/>
        <w:right w:val="none" w:sz="0" w:space="0" w:color="auto"/>
      </w:divBdr>
    </w:div>
    <w:div w:id="1509826665">
      <w:bodyDiv w:val="1"/>
      <w:marLeft w:val="0"/>
      <w:marRight w:val="0"/>
      <w:marTop w:val="0"/>
      <w:marBottom w:val="0"/>
      <w:divBdr>
        <w:top w:val="none" w:sz="0" w:space="0" w:color="auto"/>
        <w:left w:val="none" w:sz="0" w:space="0" w:color="auto"/>
        <w:bottom w:val="none" w:sz="0" w:space="0" w:color="auto"/>
        <w:right w:val="none" w:sz="0" w:space="0" w:color="auto"/>
      </w:divBdr>
    </w:div>
    <w:div w:id="1513686953">
      <w:bodyDiv w:val="1"/>
      <w:marLeft w:val="0"/>
      <w:marRight w:val="0"/>
      <w:marTop w:val="0"/>
      <w:marBottom w:val="0"/>
      <w:divBdr>
        <w:top w:val="none" w:sz="0" w:space="0" w:color="auto"/>
        <w:left w:val="none" w:sz="0" w:space="0" w:color="auto"/>
        <w:bottom w:val="none" w:sz="0" w:space="0" w:color="auto"/>
        <w:right w:val="none" w:sz="0" w:space="0" w:color="auto"/>
      </w:divBdr>
    </w:div>
    <w:div w:id="1519084144">
      <w:bodyDiv w:val="1"/>
      <w:marLeft w:val="0"/>
      <w:marRight w:val="0"/>
      <w:marTop w:val="0"/>
      <w:marBottom w:val="0"/>
      <w:divBdr>
        <w:top w:val="none" w:sz="0" w:space="0" w:color="auto"/>
        <w:left w:val="none" w:sz="0" w:space="0" w:color="auto"/>
        <w:bottom w:val="none" w:sz="0" w:space="0" w:color="auto"/>
        <w:right w:val="none" w:sz="0" w:space="0" w:color="auto"/>
      </w:divBdr>
    </w:div>
    <w:div w:id="1519469023">
      <w:bodyDiv w:val="1"/>
      <w:marLeft w:val="0"/>
      <w:marRight w:val="0"/>
      <w:marTop w:val="0"/>
      <w:marBottom w:val="0"/>
      <w:divBdr>
        <w:top w:val="none" w:sz="0" w:space="0" w:color="auto"/>
        <w:left w:val="none" w:sz="0" w:space="0" w:color="auto"/>
        <w:bottom w:val="none" w:sz="0" w:space="0" w:color="auto"/>
        <w:right w:val="none" w:sz="0" w:space="0" w:color="auto"/>
      </w:divBdr>
    </w:div>
    <w:div w:id="1522862921">
      <w:bodyDiv w:val="1"/>
      <w:marLeft w:val="0"/>
      <w:marRight w:val="0"/>
      <w:marTop w:val="0"/>
      <w:marBottom w:val="0"/>
      <w:divBdr>
        <w:top w:val="none" w:sz="0" w:space="0" w:color="auto"/>
        <w:left w:val="none" w:sz="0" w:space="0" w:color="auto"/>
        <w:bottom w:val="none" w:sz="0" w:space="0" w:color="auto"/>
        <w:right w:val="none" w:sz="0" w:space="0" w:color="auto"/>
      </w:divBdr>
    </w:div>
    <w:div w:id="1525366686">
      <w:bodyDiv w:val="1"/>
      <w:marLeft w:val="0"/>
      <w:marRight w:val="0"/>
      <w:marTop w:val="0"/>
      <w:marBottom w:val="0"/>
      <w:divBdr>
        <w:top w:val="none" w:sz="0" w:space="0" w:color="auto"/>
        <w:left w:val="none" w:sz="0" w:space="0" w:color="auto"/>
        <w:bottom w:val="none" w:sz="0" w:space="0" w:color="auto"/>
        <w:right w:val="none" w:sz="0" w:space="0" w:color="auto"/>
      </w:divBdr>
    </w:div>
    <w:div w:id="1526095557">
      <w:bodyDiv w:val="1"/>
      <w:marLeft w:val="0"/>
      <w:marRight w:val="0"/>
      <w:marTop w:val="0"/>
      <w:marBottom w:val="0"/>
      <w:divBdr>
        <w:top w:val="none" w:sz="0" w:space="0" w:color="auto"/>
        <w:left w:val="none" w:sz="0" w:space="0" w:color="auto"/>
        <w:bottom w:val="none" w:sz="0" w:space="0" w:color="auto"/>
        <w:right w:val="none" w:sz="0" w:space="0" w:color="auto"/>
      </w:divBdr>
    </w:div>
    <w:div w:id="1528714287">
      <w:bodyDiv w:val="1"/>
      <w:marLeft w:val="0"/>
      <w:marRight w:val="0"/>
      <w:marTop w:val="0"/>
      <w:marBottom w:val="0"/>
      <w:divBdr>
        <w:top w:val="none" w:sz="0" w:space="0" w:color="auto"/>
        <w:left w:val="none" w:sz="0" w:space="0" w:color="auto"/>
        <w:bottom w:val="none" w:sz="0" w:space="0" w:color="auto"/>
        <w:right w:val="none" w:sz="0" w:space="0" w:color="auto"/>
      </w:divBdr>
    </w:div>
    <w:div w:id="1541279574">
      <w:bodyDiv w:val="1"/>
      <w:marLeft w:val="0"/>
      <w:marRight w:val="0"/>
      <w:marTop w:val="0"/>
      <w:marBottom w:val="0"/>
      <w:divBdr>
        <w:top w:val="none" w:sz="0" w:space="0" w:color="auto"/>
        <w:left w:val="none" w:sz="0" w:space="0" w:color="auto"/>
        <w:bottom w:val="none" w:sz="0" w:space="0" w:color="auto"/>
        <w:right w:val="none" w:sz="0" w:space="0" w:color="auto"/>
      </w:divBdr>
    </w:div>
    <w:div w:id="1543590818">
      <w:bodyDiv w:val="1"/>
      <w:marLeft w:val="0"/>
      <w:marRight w:val="0"/>
      <w:marTop w:val="0"/>
      <w:marBottom w:val="0"/>
      <w:divBdr>
        <w:top w:val="none" w:sz="0" w:space="0" w:color="auto"/>
        <w:left w:val="none" w:sz="0" w:space="0" w:color="auto"/>
        <w:bottom w:val="none" w:sz="0" w:space="0" w:color="auto"/>
        <w:right w:val="none" w:sz="0" w:space="0" w:color="auto"/>
      </w:divBdr>
      <w:divsChild>
        <w:div w:id="103042339">
          <w:marLeft w:val="0"/>
          <w:marRight w:val="0"/>
          <w:marTop w:val="0"/>
          <w:marBottom w:val="0"/>
          <w:divBdr>
            <w:top w:val="none" w:sz="0" w:space="0" w:color="auto"/>
            <w:left w:val="none" w:sz="0" w:space="0" w:color="auto"/>
            <w:bottom w:val="none" w:sz="0" w:space="0" w:color="auto"/>
            <w:right w:val="none" w:sz="0" w:space="0" w:color="auto"/>
          </w:divBdr>
        </w:div>
      </w:divsChild>
    </w:div>
    <w:div w:id="1547643099">
      <w:bodyDiv w:val="1"/>
      <w:marLeft w:val="0"/>
      <w:marRight w:val="0"/>
      <w:marTop w:val="0"/>
      <w:marBottom w:val="0"/>
      <w:divBdr>
        <w:top w:val="none" w:sz="0" w:space="0" w:color="auto"/>
        <w:left w:val="none" w:sz="0" w:space="0" w:color="auto"/>
        <w:bottom w:val="none" w:sz="0" w:space="0" w:color="auto"/>
        <w:right w:val="none" w:sz="0" w:space="0" w:color="auto"/>
      </w:divBdr>
    </w:div>
    <w:div w:id="1564102212">
      <w:bodyDiv w:val="1"/>
      <w:marLeft w:val="0"/>
      <w:marRight w:val="0"/>
      <w:marTop w:val="0"/>
      <w:marBottom w:val="0"/>
      <w:divBdr>
        <w:top w:val="none" w:sz="0" w:space="0" w:color="auto"/>
        <w:left w:val="none" w:sz="0" w:space="0" w:color="auto"/>
        <w:bottom w:val="none" w:sz="0" w:space="0" w:color="auto"/>
        <w:right w:val="none" w:sz="0" w:space="0" w:color="auto"/>
      </w:divBdr>
    </w:div>
    <w:div w:id="1568495374">
      <w:bodyDiv w:val="1"/>
      <w:marLeft w:val="0"/>
      <w:marRight w:val="0"/>
      <w:marTop w:val="0"/>
      <w:marBottom w:val="0"/>
      <w:divBdr>
        <w:top w:val="none" w:sz="0" w:space="0" w:color="auto"/>
        <w:left w:val="none" w:sz="0" w:space="0" w:color="auto"/>
        <w:bottom w:val="none" w:sz="0" w:space="0" w:color="auto"/>
        <w:right w:val="none" w:sz="0" w:space="0" w:color="auto"/>
      </w:divBdr>
    </w:div>
    <w:div w:id="1570069093">
      <w:bodyDiv w:val="1"/>
      <w:marLeft w:val="0"/>
      <w:marRight w:val="0"/>
      <w:marTop w:val="0"/>
      <w:marBottom w:val="0"/>
      <w:divBdr>
        <w:top w:val="none" w:sz="0" w:space="0" w:color="auto"/>
        <w:left w:val="none" w:sz="0" w:space="0" w:color="auto"/>
        <w:bottom w:val="none" w:sz="0" w:space="0" w:color="auto"/>
        <w:right w:val="none" w:sz="0" w:space="0" w:color="auto"/>
      </w:divBdr>
    </w:div>
    <w:div w:id="1586036932">
      <w:bodyDiv w:val="1"/>
      <w:marLeft w:val="0"/>
      <w:marRight w:val="0"/>
      <w:marTop w:val="0"/>
      <w:marBottom w:val="0"/>
      <w:divBdr>
        <w:top w:val="none" w:sz="0" w:space="0" w:color="auto"/>
        <w:left w:val="none" w:sz="0" w:space="0" w:color="auto"/>
        <w:bottom w:val="none" w:sz="0" w:space="0" w:color="auto"/>
        <w:right w:val="none" w:sz="0" w:space="0" w:color="auto"/>
      </w:divBdr>
    </w:div>
    <w:div w:id="1591617458">
      <w:bodyDiv w:val="1"/>
      <w:marLeft w:val="0"/>
      <w:marRight w:val="0"/>
      <w:marTop w:val="0"/>
      <w:marBottom w:val="0"/>
      <w:divBdr>
        <w:top w:val="none" w:sz="0" w:space="0" w:color="auto"/>
        <w:left w:val="none" w:sz="0" w:space="0" w:color="auto"/>
        <w:bottom w:val="none" w:sz="0" w:space="0" w:color="auto"/>
        <w:right w:val="none" w:sz="0" w:space="0" w:color="auto"/>
      </w:divBdr>
    </w:div>
    <w:div w:id="1600529244">
      <w:bodyDiv w:val="1"/>
      <w:marLeft w:val="0"/>
      <w:marRight w:val="0"/>
      <w:marTop w:val="0"/>
      <w:marBottom w:val="0"/>
      <w:divBdr>
        <w:top w:val="none" w:sz="0" w:space="0" w:color="auto"/>
        <w:left w:val="none" w:sz="0" w:space="0" w:color="auto"/>
        <w:bottom w:val="none" w:sz="0" w:space="0" w:color="auto"/>
        <w:right w:val="none" w:sz="0" w:space="0" w:color="auto"/>
      </w:divBdr>
    </w:div>
    <w:div w:id="1604537092">
      <w:bodyDiv w:val="1"/>
      <w:marLeft w:val="0"/>
      <w:marRight w:val="0"/>
      <w:marTop w:val="0"/>
      <w:marBottom w:val="0"/>
      <w:divBdr>
        <w:top w:val="none" w:sz="0" w:space="0" w:color="auto"/>
        <w:left w:val="none" w:sz="0" w:space="0" w:color="auto"/>
        <w:bottom w:val="none" w:sz="0" w:space="0" w:color="auto"/>
        <w:right w:val="none" w:sz="0" w:space="0" w:color="auto"/>
      </w:divBdr>
    </w:div>
    <w:div w:id="1610354216">
      <w:bodyDiv w:val="1"/>
      <w:marLeft w:val="0"/>
      <w:marRight w:val="0"/>
      <w:marTop w:val="0"/>
      <w:marBottom w:val="0"/>
      <w:divBdr>
        <w:top w:val="none" w:sz="0" w:space="0" w:color="auto"/>
        <w:left w:val="none" w:sz="0" w:space="0" w:color="auto"/>
        <w:bottom w:val="none" w:sz="0" w:space="0" w:color="auto"/>
        <w:right w:val="none" w:sz="0" w:space="0" w:color="auto"/>
      </w:divBdr>
    </w:div>
    <w:div w:id="1611206589">
      <w:bodyDiv w:val="1"/>
      <w:marLeft w:val="0"/>
      <w:marRight w:val="0"/>
      <w:marTop w:val="0"/>
      <w:marBottom w:val="0"/>
      <w:divBdr>
        <w:top w:val="none" w:sz="0" w:space="0" w:color="auto"/>
        <w:left w:val="none" w:sz="0" w:space="0" w:color="auto"/>
        <w:bottom w:val="none" w:sz="0" w:space="0" w:color="auto"/>
        <w:right w:val="none" w:sz="0" w:space="0" w:color="auto"/>
      </w:divBdr>
    </w:div>
    <w:div w:id="1621034508">
      <w:bodyDiv w:val="1"/>
      <w:marLeft w:val="0"/>
      <w:marRight w:val="0"/>
      <w:marTop w:val="0"/>
      <w:marBottom w:val="0"/>
      <w:divBdr>
        <w:top w:val="none" w:sz="0" w:space="0" w:color="auto"/>
        <w:left w:val="none" w:sz="0" w:space="0" w:color="auto"/>
        <w:bottom w:val="none" w:sz="0" w:space="0" w:color="auto"/>
        <w:right w:val="none" w:sz="0" w:space="0" w:color="auto"/>
      </w:divBdr>
    </w:div>
    <w:div w:id="1624993355">
      <w:bodyDiv w:val="1"/>
      <w:marLeft w:val="0"/>
      <w:marRight w:val="0"/>
      <w:marTop w:val="0"/>
      <w:marBottom w:val="0"/>
      <w:divBdr>
        <w:top w:val="none" w:sz="0" w:space="0" w:color="auto"/>
        <w:left w:val="none" w:sz="0" w:space="0" w:color="auto"/>
        <w:bottom w:val="none" w:sz="0" w:space="0" w:color="auto"/>
        <w:right w:val="none" w:sz="0" w:space="0" w:color="auto"/>
      </w:divBdr>
    </w:div>
    <w:div w:id="1630090840">
      <w:bodyDiv w:val="1"/>
      <w:marLeft w:val="0"/>
      <w:marRight w:val="0"/>
      <w:marTop w:val="0"/>
      <w:marBottom w:val="0"/>
      <w:divBdr>
        <w:top w:val="none" w:sz="0" w:space="0" w:color="auto"/>
        <w:left w:val="none" w:sz="0" w:space="0" w:color="auto"/>
        <w:bottom w:val="none" w:sz="0" w:space="0" w:color="auto"/>
        <w:right w:val="none" w:sz="0" w:space="0" w:color="auto"/>
      </w:divBdr>
    </w:div>
    <w:div w:id="1630742572">
      <w:bodyDiv w:val="1"/>
      <w:marLeft w:val="0"/>
      <w:marRight w:val="0"/>
      <w:marTop w:val="0"/>
      <w:marBottom w:val="0"/>
      <w:divBdr>
        <w:top w:val="none" w:sz="0" w:space="0" w:color="auto"/>
        <w:left w:val="none" w:sz="0" w:space="0" w:color="auto"/>
        <w:bottom w:val="none" w:sz="0" w:space="0" w:color="auto"/>
        <w:right w:val="none" w:sz="0" w:space="0" w:color="auto"/>
      </w:divBdr>
    </w:div>
    <w:div w:id="1632785968">
      <w:bodyDiv w:val="1"/>
      <w:marLeft w:val="0"/>
      <w:marRight w:val="0"/>
      <w:marTop w:val="0"/>
      <w:marBottom w:val="0"/>
      <w:divBdr>
        <w:top w:val="none" w:sz="0" w:space="0" w:color="auto"/>
        <w:left w:val="none" w:sz="0" w:space="0" w:color="auto"/>
        <w:bottom w:val="none" w:sz="0" w:space="0" w:color="auto"/>
        <w:right w:val="none" w:sz="0" w:space="0" w:color="auto"/>
      </w:divBdr>
    </w:div>
    <w:div w:id="1633830669">
      <w:bodyDiv w:val="1"/>
      <w:marLeft w:val="0"/>
      <w:marRight w:val="0"/>
      <w:marTop w:val="0"/>
      <w:marBottom w:val="0"/>
      <w:divBdr>
        <w:top w:val="none" w:sz="0" w:space="0" w:color="auto"/>
        <w:left w:val="none" w:sz="0" w:space="0" w:color="auto"/>
        <w:bottom w:val="none" w:sz="0" w:space="0" w:color="auto"/>
        <w:right w:val="none" w:sz="0" w:space="0" w:color="auto"/>
      </w:divBdr>
    </w:div>
    <w:div w:id="1634629692">
      <w:bodyDiv w:val="1"/>
      <w:marLeft w:val="0"/>
      <w:marRight w:val="0"/>
      <w:marTop w:val="0"/>
      <w:marBottom w:val="0"/>
      <w:divBdr>
        <w:top w:val="none" w:sz="0" w:space="0" w:color="auto"/>
        <w:left w:val="none" w:sz="0" w:space="0" w:color="auto"/>
        <w:bottom w:val="none" w:sz="0" w:space="0" w:color="auto"/>
        <w:right w:val="none" w:sz="0" w:space="0" w:color="auto"/>
      </w:divBdr>
    </w:div>
    <w:div w:id="1640306593">
      <w:bodyDiv w:val="1"/>
      <w:marLeft w:val="0"/>
      <w:marRight w:val="0"/>
      <w:marTop w:val="0"/>
      <w:marBottom w:val="0"/>
      <w:divBdr>
        <w:top w:val="none" w:sz="0" w:space="0" w:color="auto"/>
        <w:left w:val="none" w:sz="0" w:space="0" w:color="auto"/>
        <w:bottom w:val="none" w:sz="0" w:space="0" w:color="auto"/>
        <w:right w:val="none" w:sz="0" w:space="0" w:color="auto"/>
      </w:divBdr>
    </w:div>
    <w:div w:id="1643384583">
      <w:bodyDiv w:val="1"/>
      <w:marLeft w:val="0"/>
      <w:marRight w:val="0"/>
      <w:marTop w:val="0"/>
      <w:marBottom w:val="0"/>
      <w:divBdr>
        <w:top w:val="none" w:sz="0" w:space="0" w:color="auto"/>
        <w:left w:val="none" w:sz="0" w:space="0" w:color="auto"/>
        <w:bottom w:val="none" w:sz="0" w:space="0" w:color="auto"/>
        <w:right w:val="none" w:sz="0" w:space="0" w:color="auto"/>
      </w:divBdr>
    </w:div>
    <w:div w:id="1644046699">
      <w:bodyDiv w:val="1"/>
      <w:marLeft w:val="0"/>
      <w:marRight w:val="0"/>
      <w:marTop w:val="0"/>
      <w:marBottom w:val="0"/>
      <w:divBdr>
        <w:top w:val="none" w:sz="0" w:space="0" w:color="auto"/>
        <w:left w:val="none" w:sz="0" w:space="0" w:color="auto"/>
        <w:bottom w:val="none" w:sz="0" w:space="0" w:color="auto"/>
        <w:right w:val="none" w:sz="0" w:space="0" w:color="auto"/>
      </w:divBdr>
    </w:div>
    <w:div w:id="1649939778">
      <w:bodyDiv w:val="1"/>
      <w:marLeft w:val="0"/>
      <w:marRight w:val="0"/>
      <w:marTop w:val="0"/>
      <w:marBottom w:val="0"/>
      <w:divBdr>
        <w:top w:val="none" w:sz="0" w:space="0" w:color="auto"/>
        <w:left w:val="none" w:sz="0" w:space="0" w:color="auto"/>
        <w:bottom w:val="none" w:sz="0" w:space="0" w:color="auto"/>
        <w:right w:val="none" w:sz="0" w:space="0" w:color="auto"/>
      </w:divBdr>
    </w:div>
    <w:div w:id="1654527401">
      <w:bodyDiv w:val="1"/>
      <w:marLeft w:val="0"/>
      <w:marRight w:val="0"/>
      <w:marTop w:val="0"/>
      <w:marBottom w:val="0"/>
      <w:divBdr>
        <w:top w:val="none" w:sz="0" w:space="0" w:color="auto"/>
        <w:left w:val="none" w:sz="0" w:space="0" w:color="auto"/>
        <w:bottom w:val="none" w:sz="0" w:space="0" w:color="auto"/>
        <w:right w:val="none" w:sz="0" w:space="0" w:color="auto"/>
      </w:divBdr>
    </w:div>
    <w:div w:id="1662125974">
      <w:bodyDiv w:val="1"/>
      <w:marLeft w:val="0"/>
      <w:marRight w:val="0"/>
      <w:marTop w:val="0"/>
      <w:marBottom w:val="0"/>
      <w:divBdr>
        <w:top w:val="none" w:sz="0" w:space="0" w:color="auto"/>
        <w:left w:val="none" w:sz="0" w:space="0" w:color="auto"/>
        <w:bottom w:val="none" w:sz="0" w:space="0" w:color="auto"/>
        <w:right w:val="none" w:sz="0" w:space="0" w:color="auto"/>
      </w:divBdr>
    </w:div>
    <w:div w:id="1662391792">
      <w:bodyDiv w:val="1"/>
      <w:marLeft w:val="0"/>
      <w:marRight w:val="0"/>
      <w:marTop w:val="0"/>
      <w:marBottom w:val="0"/>
      <w:divBdr>
        <w:top w:val="none" w:sz="0" w:space="0" w:color="auto"/>
        <w:left w:val="none" w:sz="0" w:space="0" w:color="auto"/>
        <w:bottom w:val="none" w:sz="0" w:space="0" w:color="auto"/>
        <w:right w:val="none" w:sz="0" w:space="0" w:color="auto"/>
      </w:divBdr>
    </w:div>
    <w:div w:id="1663318010">
      <w:bodyDiv w:val="1"/>
      <w:marLeft w:val="0"/>
      <w:marRight w:val="0"/>
      <w:marTop w:val="0"/>
      <w:marBottom w:val="0"/>
      <w:divBdr>
        <w:top w:val="none" w:sz="0" w:space="0" w:color="auto"/>
        <w:left w:val="none" w:sz="0" w:space="0" w:color="auto"/>
        <w:bottom w:val="none" w:sz="0" w:space="0" w:color="auto"/>
        <w:right w:val="none" w:sz="0" w:space="0" w:color="auto"/>
      </w:divBdr>
    </w:div>
    <w:div w:id="1667509922">
      <w:bodyDiv w:val="1"/>
      <w:marLeft w:val="0"/>
      <w:marRight w:val="0"/>
      <w:marTop w:val="0"/>
      <w:marBottom w:val="0"/>
      <w:divBdr>
        <w:top w:val="none" w:sz="0" w:space="0" w:color="auto"/>
        <w:left w:val="none" w:sz="0" w:space="0" w:color="auto"/>
        <w:bottom w:val="none" w:sz="0" w:space="0" w:color="auto"/>
        <w:right w:val="none" w:sz="0" w:space="0" w:color="auto"/>
      </w:divBdr>
    </w:div>
    <w:div w:id="1673726158">
      <w:bodyDiv w:val="1"/>
      <w:marLeft w:val="0"/>
      <w:marRight w:val="0"/>
      <w:marTop w:val="0"/>
      <w:marBottom w:val="0"/>
      <w:divBdr>
        <w:top w:val="none" w:sz="0" w:space="0" w:color="auto"/>
        <w:left w:val="none" w:sz="0" w:space="0" w:color="auto"/>
        <w:bottom w:val="none" w:sz="0" w:space="0" w:color="auto"/>
        <w:right w:val="none" w:sz="0" w:space="0" w:color="auto"/>
      </w:divBdr>
    </w:div>
    <w:div w:id="1679771536">
      <w:bodyDiv w:val="1"/>
      <w:marLeft w:val="0"/>
      <w:marRight w:val="0"/>
      <w:marTop w:val="0"/>
      <w:marBottom w:val="0"/>
      <w:divBdr>
        <w:top w:val="none" w:sz="0" w:space="0" w:color="auto"/>
        <w:left w:val="none" w:sz="0" w:space="0" w:color="auto"/>
        <w:bottom w:val="none" w:sz="0" w:space="0" w:color="auto"/>
        <w:right w:val="none" w:sz="0" w:space="0" w:color="auto"/>
      </w:divBdr>
    </w:div>
    <w:div w:id="1681082743">
      <w:bodyDiv w:val="1"/>
      <w:marLeft w:val="0"/>
      <w:marRight w:val="0"/>
      <w:marTop w:val="0"/>
      <w:marBottom w:val="0"/>
      <w:divBdr>
        <w:top w:val="none" w:sz="0" w:space="0" w:color="auto"/>
        <w:left w:val="none" w:sz="0" w:space="0" w:color="auto"/>
        <w:bottom w:val="none" w:sz="0" w:space="0" w:color="auto"/>
        <w:right w:val="none" w:sz="0" w:space="0" w:color="auto"/>
      </w:divBdr>
    </w:div>
    <w:div w:id="1687825704">
      <w:bodyDiv w:val="1"/>
      <w:marLeft w:val="0"/>
      <w:marRight w:val="0"/>
      <w:marTop w:val="0"/>
      <w:marBottom w:val="0"/>
      <w:divBdr>
        <w:top w:val="none" w:sz="0" w:space="0" w:color="auto"/>
        <w:left w:val="none" w:sz="0" w:space="0" w:color="auto"/>
        <w:bottom w:val="none" w:sz="0" w:space="0" w:color="auto"/>
        <w:right w:val="none" w:sz="0" w:space="0" w:color="auto"/>
      </w:divBdr>
    </w:div>
    <w:div w:id="1693219783">
      <w:bodyDiv w:val="1"/>
      <w:marLeft w:val="0"/>
      <w:marRight w:val="0"/>
      <w:marTop w:val="0"/>
      <w:marBottom w:val="0"/>
      <w:divBdr>
        <w:top w:val="none" w:sz="0" w:space="0" w:color="auto"/>
        <w:left w:val="none" w:sz="0" w:space="0" w:color="auto"/>
        <w:bottom w:val="none" w:sz="0" w:space="0" w:color="auto"/>
        <w:right w:val="none" w:sz="0" w:space="0" w:color="auto"/>
      </w:divBdr>
    </w:div>
    <w:div w:id="1701740025">
      <w:bodyDiv w:val="1"/>
      <w:marLeft w:val="0"/>
      <w:marRight w:val="0"/>
      <w:marTop w:val="0"/>
      <w:marBottom w:val="0"/>
      <w:divBdr>
        <w:top w:val="none" w:sz="0" w:space="0" w:color="auto"/>
        <w:left w:val="none" w:sz="0" w:space="0" w:color="auto"/>
        <w:bottom w:val="none" w:sz="0" w:space="0" w:color="auto"/>
        <w:right w:val="none" w:sz="0" w:space="0" w:color="auto"/>
      </w:divBdr>
    </w:div>
    <w:div w:id="1708068524">
      <w:bodyDiv w:val="1"/>
      <w:marLeft w:val="0"/>
      <w:marRight w:val="0"/>
      <w:marTop w:val="0"/>
      <w:marBottom w:val="0"/>
      <w:divBdr>
        <w:top w:val="none" w:sz="0" w:space="0" w:color="auto"/>
        <w:left w:val="none" w:sz="0" w:space="0" w:color="auto"/>
        <w:bottom w:val="none" w:sz="0" w:space="0" w:color="auto"/>
        <w:right w:val="none" w:sz="0" w:space="0" w:color="auto"/>
      </w:divBdr>
    </w:div>
    <w:div w:id="1720519831">
      <w:bodyDiv w:val="1"/>
      <w:marLeft w:val="0"/>
      <w:marRight w:val="0"/>
      <w:marTop w:val="0"/>
      <w:marBottom w:val="0"/>
      <w:divBdr>
        <w:top w:val="none" w:sz="0" w:space="0" w:color="auto"/>
        <w:left w:val="none" w:sz="0" w:space="0" w:color="auto"/>
        <w:bottom w:val="none" w:sz="0" w:space="0" w:color="auto"/>
        <w:right w:val="none" w:sz="0" w:space="0" w:color="auto"/>
      </w:divBdr>
    </w:div>
    <w:div w:id="1730808518">
      <w:bodyDiv w:val="1"/>
      <w:marLeft w:val="0"/>
      <w:marRight w:val="0"/>
      <w:marTop w:val="0"/>
      <w:marBottom w:val="0"/>
      <w:divBdr>
        <w:top w:val="none" w:sz="0" w:space="0" w:color="auto"/>
        <w:left w:val="none" w:sz="0" w:space="0" w:color="auto"/>
        <w:bottom w:val="none" w:sz="0" w:space="0" w:color="auto"/>
        <w:right w:val="none" w:sz="0" w:space="0" w:color="auto"/>
      </w:divBdr>
    </w:div>
    <w:div w:id="1734037118">
      <w:bodyDiv w:val="1"/>
      <w:marLeft w:val="0"/>
      <w:marRight w:val="0"/>
      <w:marTop w:val="0"/>
      <w:marBottom w:val="0"/>
      <w:divBdr>
        <w:top w:val="none" w:sz="0" w:space="0" w:color="auto"/>
        <w:left w:val="none" w:sz="0" w:space="0" w:color="auto"/>
        <w:bottom w:val="none" w:sz="0" w:space="0" w:color="auto"/>
        <w:right w:val="none" w:sz="0" w:space="0" w:color="auto"/>
      </w:divBdr>
    </w:div>
    <w:div w:id="1744067213">
      <w:bodyDiv w:val="1"/>
      <w:marLeft w:val="0"/>
      <w:marRight w:val="0"/>
      <w:marTop w:val="0"/>
      <w:marBottom w:val="0"/>
      <w:divBdr>
        <w:top w:val="none" w:sz="0" w:space="0" w:color="auto"/>
        <w:left w:val="none" w:sz="0" w:space="0" w:color="auto"/>
        <w:bottom w:val="none" w:sz="0" w:space="0" w:color="auto"/>
        <w:right w:val="none" w:sz="0" w:space="0" w:color="auto"/>
      </w:divBdr>
    </w:div>
    <w:div w:id="1752239040">
      <w:bodyDiv w:val="1"/>
      <w:marLeft w:val="0"/>
      <w:marRight w:val="0"/>
      <w:marTop w:val="0"/>
      <w:marBottom w:val="0"/>
      <w:divBdr>
        <w:top w:val="none" w:sz="0" w:space="0" w:color="auto"/>
        <w:left w:val="none" w:sz="0" w:space="0" w:color="auto"/>
        <w:bottom w:val="none" w:sz="0" w:space="0" w:color="auto"/>
        <w:right w:val="none" w:sz="0" w:space="0" w:color="auto"/>
      </w:divBdr>
    </w:div>
    <w:div w:id="1752727138">
      <w:bodyDiv w:val="1"/>
      <w:marLeft w:val="0"/>
      <w:marRight w:val="0"/>
      <w:marTop w:val="0"/>
      <w:marBottom w:val="0"/>
      <w:divBdr>
        <w:top w:val="none" w:sz="0" w:space="0" w:color="auto"/>
        <w:left w:val="none" w:sz="0" w:space="0" w:color="auto"/>
        <w:bottom w:val="none" w:sz="0" w:space="0" w:color="auto"/>
        <w:right w:val="none" w:sz="0" w:space="0" w:color="auto"/>
      </w:divBdr>
    </w:div>
    <w:div w:id="1758403945">
      <w:bodyDiv w:val="1"/>
      <w:marLeft w:val="0"/>
      <w:marRight w:val="0"/>
      <w:marTop w:val="0"/>
      <w:marBottom w:val="0"/>
      <w:divBdr>
        <w:top w:val="none" w:sz="0" w:space="0" w:color="auto"/>
        <w:left w:val="none" w:sz="0" w:space="0" w:color="auto"/>
        <w:bottom w:val="none" w:sz="0" w:space="0" w:color="auto"/>
        <w:right w:val="none" w:sz="0" w:space="0" w:color="auto"/>
      </w:divBdr>
    </w:div>
    <w:div w:id="1758675025">
      <w:bodyDiv w:val="1"/>
      <w:marLeft w:val="0"/>
      <w:marRight w:val="0"/>
      <w:marTop w:val="0"/>
      <w:marBottom w:val="0"/>
      <w:divBdr>
        <w:top w:val="none" w:sz="0" w:space="0" w:color="auto"/>
        <w:left w:val="none" w:sz="0" w:space="0" w:color="auto"/>
        <w:bottom w:val="none" w:sz="0" w:space="0" w:color="auto"/>
        <w:right w:val="none" w:sz="0" w:space="0" w:color="auto"/>
      </w:divBdr>
    </w:div>
    <w:div w:id="1775397160">
      <w:bodyDiv w:val="1"/>
      <w:marLeft w:val="0"/>
      <w:marRight w:val="0"/>
      <w:marTop w:val="0"/>
      <w:marBottom w:val="0"/>
      <w:divBdr>
        <w:top w:val="none" w:sz="0" w:space="0" w:color="auto"/>
        <w:left w:val="none" w:sz="0" w:space="0" w:color="auto"/>
        <w:bottom w:val="none" w:sz="0" w:space="0" w:color="auto"/>
        <w:right w:val="none" w:sz="0" w:space="0" w:color="auto"/>
      </w:divBdr>
    </w:div>
    <w:div w:id="1775516716">
      <w:bodyDiv w:val="1"/>
      <w:marLeft w:val="0"/>
      <w:marRight w:val="0"/>
      <w:marTop w:val="0"/>
      <w:marBottom w:val="0"/>
      <w:divBdr>
        <w:top w:val="none" w:sz="0" w:space="0" w:color="auto"/>
        <w:left w:val="none" w:sz="0" w:space="0" w:color="auto"/>
        <w:bottom w:val="none" w:sz="0" w:space="0" w:color="auto"/>
        <w:right w:val="none" w:sz="0" w:space="0" w:color="auto"/>
      </w:divBdr>
    </w:div>
    <w:div w:id="1779132895">
      <w:bodyDiv w:val="1"/>
      <w:marLeft w:val="0"/>
      <w:marRight w:val="0"/>
      <w:marTop w:val="0"/>
      <w:marBottom w:val="0"/>
      <w:divBdr>
        <w:top w:val="none" w:sz="0" w:space="0" w:color="auto"/>
        <w:left w:val="none" w:sz="0" w:space="0" w:color="auto"/>
        <w:bottom w:val="none" w:sz="0" w:space="0" w:color="auto"/>
        <w:right w:val="none" w:sz="0" w:space="0" w:color="auto"/>
      </w:divBdr>
    </w:div>
    <w:div w:id="1782414056">
      <w:bodyDiv w:val="1"/>
      <w:marLeft w:val="0"/>
      <w:marRight w:val="0"/>
      <w:marTop w:val="0"/>
      <w:marBottom w:val="0"/>
      <w:divBdr>
        <w:top w:val="none" w:sz="0" w:space="0" w:color="auto"/>
        <w:left w:val="none" w:sz="0" w:space="0" w:color="auto"/>
        <w:bottom w:val="none" w:sz="0" w:space="0" w:color="auto"/>
        <w:right w:val="none" w:sz="0" w:space="0" w:color="auto"/>
      </w:divBdr>
    </w:div>
    <w:div w:id="1788696650">
      <w:bodyDiv w:val="1"/>
      <w:marLeft w:val="0"/>
      <w:marRight w:val="0"/>
      <w:marTop w:val="0"/>
      <w:marBottom w:val="0"/>
      <w:divBdr>
        <w:top w:val="none" w:sz="0" w:space="0" w:color="auto"/>
        <w:left w:val="none" w:sz="0" w:space="0" w:color="auto"/>
        <w:bottom w:val="none" w:sz="0" w:space="0" w:color="auto"/>
        <w:right w:val="none" w:sz="0" w:space="0" w:color="auto"/>
      </w:divBdr>
    </w:div>
    <w:div w:id="1792287326">
      <w:bodyDiv w:val="1"/>
      <w:marLeft w:val="0"/>
      <w:marRight w:val="0"/>
      <w:marTop w:val="0"/>
      <w:marBottom w:val="0"/>
      <w:divBdr>
        <w:top w:val="none" w:sz="0" w:space="0" w:color="auto"/>
        <w:left w:val="none" w:sz="0" w:space="0" w:color="auto"/>
        <w:bottom w:val="none" w:sz="0" w:space="0" w:color="auto"/>
        <w:right w:val="none" w:sz="0" w:space="0" w:color="auto"/>
      </w:divBdr>
    </w:div>
    <w:div w:id="1801142842">
      <w:bodyDiv w:val="1"/>
      <w:marLeft w:val="0"/>
      <w:marRight w:val="0"/>
      <w:marTop w:val="0"/>
      <w:marBottom w:val="0"/>
      <w:divBdr>
        <w:top w:val="none" w:sz="0" w:space="0" w:color="auto"/>
        <w:left w:val="none" w:sz="0" w:space="0" w:color="auto"/>
        <w:bottom w:val="none" w:sz="0" w:space="0" w:color="auto"/>
        <w:right w:val="none" w:sz="0" w:space="0" w:color="auto"/>
      </w:divBdr>
    </w:div>
    <w:div w:id="1809123510">
      <w:bodyDiv w:val="1"/>
      <w:marLeft w:val="0"/>
      <w:marRight w:val="0"/>
      <w:marTop w:val="0"/>
      <w:marBottom w:val="0"/>
      <w:divBdr>
        <w:top w:val="none" w:sz="0" w:space="0" w:color="auto"/>
        <w:left w:val="none" w:sz="0" w:space="0" w:color="auto"/>
        <w:bottom w:val="none" w:sz="0" w:space="0" w:color="auto"/>
        <w:right w:val="none" w:sz="0" w:space="0" w:color="auto"/>
      </w:divBdr>
    </w:div>
    <w:div w:id="1820416725">
      <w:bodyDiv w:val="1"/>
      <w:marLeft w:val="0"/>
      <w:marRight w:val="0"/>
      <w:marTop w:val="0"/>
      <w:marBottom w:val="0"/>
      <w:divBdr>
        <w:top w:val="none" w:sz="0" w:space="0" w:color="auto"/>
        <w:left w:val="none" w:sz="0" w:space="0" w:color="auto"/>
        <w:bottom w:val="none" w:sz="0" w:space="0" w:color="auto"/>
        <w:right w:val="none" w:sz="0" w:space="0" w:color="auto"/>
      </w:divBdr>
    </w:div>
    <w:div w:id="1821386205">
      <w:bodyDiv w:val="1"/>
      <w:marLeft w:val="0"/>
      <w:marRight w:val="0"/>
      <w:marTop w:val="0"/>
      <w:marBottom w:val="0"/>
      <w:divBdr>
        <w:top w:val="none" w:sz="0" w:space="0" w:color="auto"/>
        <w:left w:val="none" w:sz="0" w:space="0" w:color="auto"/>
        <w:bottom w:val="none" w:sz="0" w:space="0" w:color="auto"/>
        <w:right w:val="none" w:sz="0" w:space="0" w:color="auto"/>
      </w:divBdr>
    </w:div>
    <w:div w:id="1821537146">
      <w:bodyDiv w:val="1"/>
      <w:marLeft w:val="0"/>
      <w:marRight w:val="0"/>
      <w:marTop w:val="0"/>
      <w:marBottom w:val="0"/>
      <w:divBdr>
        <w:top w:val="none" w:sz="0" w:space="0" w:color="auto"/>
        <w:left w:val="none" w:sz="0" w:space="0" w:color="auto"/>
        <w:bottom w:val="none" w:sz="0" w:space="0" w:color="auto"/>
        <w:right w:val="none" w:sz="0" w:space="0" w:color="auto"/>
      </w:divBdr>
    </w:div>
    <w:div w:id="1821648694">
      <w:bodyDiv w:val="1"/>
      <w:marLeft w:val="0"/>
      <w:marRight w:val="0"/>
      <w:marTop w:val="0"/>
      <w:marBottom w:val="0"/>
      <w:divBdr>
        <w:top w:val="none" w:sz="0" w:space="0" w:color="auto"/>
        <w:left w:val="none" w:sz="0" w:space="0" w:color="auto"/>
        <w:bottom w:val="none" w:sz="0" w:space="0" w:color="auto"/>
        <w:right w:val="none" w:sz="0" w:space="0" w:color="auto"/>
      </w:divBdr>
    </w:div>
    <w:div w:id="1822573690">
      <w:bodyDiv w:val="1"/>
      <w:marLeft w:val="0"/>
      <w:marRight w:val="0"/>
      <w:marTop w:val="0"/>
      <w:marBottom w:val="0"/>
      <w:divBdr>
        <w:top w:val="none" w:sz="0" w:space="0" w:color="auto"/>
        <w:left w:val="none" w:sz="0" w:space="0" w:color="auto"/>
        <w:bottom w:val="none" w:sz="0" w:space="0" w:color="auto"/>
        <w:right w:val="none" w:sz="0" w:space="0" w:color="auto"/>
      </w:divBdr>
    </w:div>
    <w:div w:id="1822770321">
      <w:bodyDiv w:val="1"/>
      <w:marLeft w:val="0"/>
      <w:marRight w:val="0"/>
      <w:marTop w:val="0"/>
      <w:marBottom w:val="0"/>
      <w:divBdr>
        <w:top w:val="none" w:sz="0" w:space="0" w:color="auto"/>
        <w:left w:val="none" w:sz="0" w:space="0" w:color="auto"/>
        <w:bottom w:val="none" w:sz="0" w:space="0" w:color="auto"/>
        <w:right w:val="none" w:sz="0" w:space="0" w:color="auto"/>
      </w:divBdr>
    </w:div>
    <w:div w:id="1823345940">
      <w:marLeft w:val="0"/>
      <w:marRight w:val="0"/>
      <w:marTop w:val="0"/>
      <w:marBottom w:val="0"/>
      <w:divBdr>
        <w:top w:val="none" w:sz="0" w:space="0" w:color="auto"/>
        <w:left w:val="none" w:sz="0" w:space="0" w:color="auto"/>
        <w:bottom w:val="none" w:sz="0" w:space="0" w:color="auto"/>
        <w:right w:val="none" w:sz="0" w:space="0" w:color="auto"/>
      </w:divBdr>
    </w:div>
    <w:div w:id="1823345941">
      <w:marLeft w:val="0"/>
      <w:marRight w:val="0"/>
      <w:marTop w:val="0"/>
      <w:marBottom w:val="0"/>
      <w:divBdr>
        <w:top w:val="none" w:sz="0" w:space="0" w:color="auto"/>
        <w:left w:val="none" w:sz="0" w:space="0" w:color="auto"/>
        <w:bottom w:val="none" w:sz="0" w:space="0" w:color="auto"/>
        <w:right w:val="none" w:sz="0" w:space="0" w:color="auto"/>
      </w:divBdr>
    </w:div>
    <w:div w:id="1823345942">
      <w:marLeft w:val="0"/>
      <w:marRight w:val="0"/>
      <w:marTop w:val="0"/>
      <w:marBottom w:val="0"/>
      <w:divBdr>
        <w:top w:val="none" w:sz="0" w:space="0" w:color="auto"/>
        <w:left w:val="none" w:sz="0" w:space="0" w:color="auto"/>
        <w:bottom w:val="none" w:sz="0" w:space="0" w:color="auto"/>
        <w:right w:val="none" w:sz="0" w:space="0" w:color="auto"/>
      </w:divBdr>
    </w:div>
    <w:div w:id="1823345943">
      <w:marLeft w:val="0"/>
      <w:marRight w:val="0"/>
      <w:marTop w:val="0"/>
      <w:marBottom w:val="0"/>
      <w:divBdr>
        <w:top w:val="none" w:sz="0" w:space="0" w:color="auto"/>
        <w:left w:val="none" w:sz="0" w:space="0" w:color="auto"/>
        <w:bottom w:val="none" w:sz="0" w:space="0" w:color="auto"/>
        <w:right w:val="none" w:sz="0" w:space="0" w:color="auto"/>
      </w:divBdr>
    </w:div>
    <w:div w:id="1823345944">
      <w:marLeft w:val="0"/>
      <w:marRight w:val="0"/>
      <w:marTop w:val="0"/>
      <w:marBottom w:val="0"/>
      <w:divBdr>
        <w:top w:val="none" w:sz="0" w:space="0" w:color="auto"/>
        <w:left w:val="none" w:sz="0" w:space="0" w:color="auto"/>
        <w:bottom w:val="none" w:sz="0" w:space="0" w:color="auto"/>
        <w:right w:val="none" w:sz="0" w:space="0" w:color="auto"/>
      </w:divBdr>
    </w:div>
    <w:div w:id="1823345945">
      <w:marLeft w:val="0"/>
      <w:marRight w:val="0"/>
      <w:marTop w:val="0"/>
      <w:marBottom w:val="0"/>
      <w:divBdr>
        <w:top w:val="none" w:sz="0" w:space="0" w:color="auto"/>
        <w:left w:val="none" w:sz="0" w:space="0" w:color="auto"/>
        <w:bottom w:val="none" w:sz="0" w:space="0" w:color="auto"/>
        <w:right w:val="none" w:sz="0" w:space="0" w:color="auto"/>
      </w:divBdr>
    </w:div>
    <w:div w:id="1823345946">
      <w:marLeft w:val="0"/>
      <w:marRight w:val="0"/>
      <w:marTop w:val="0"/>
      <w:marBottom w:val="0"/>
      <w:divBdr>
        <w:top w:val="none" w:sz="0" w:space="0" w:color="auto"/>
        <w:left w:val="none" w:sz="0" w:space="0" w:color="auto"/>
        <w:bottom w:val="none" w:sz="0" w:space="0" w:color="auto"/>
        <w:right w:val="none" w:sz="0" w:space="0" w:color="auto"/>
      </w:divBdr>
    </w:div>
    <w:div w:id="1823345947">
      <w:marLeft w:val="0"/>
      <w:marRight w:val="0"/>
      <w:marTop w:val="0"/>
      <w:marBottom w:val="0"/>
      <w:divBdr>
        <w:top w:val="none" w:sz="0" w:space="0" w:color="auto"/>
        <w:left w:val="none" w:sz="0" w:space="0" w:color="auto"/>
        <w:bottom w:val="none" w:sz="0" w:space="0" w:color="auto"/>
        <w:right w:val="none" w:sz="0" w:space="0" w:color="auto"/>
      </w:divBdr>
    </w:div>
    <w:div w:id="1823345948">
      <w:marLeft w:val="0"/>
      <w:marRight w:val="0"/>
      <w:marTop w:val="0"/>
      <w:marBottom w:val="0"/>
      <w:divBdr>
        <w:top w:val="none" w:sz="0" w:space="0" w:color="auto"/>
        <w:left w:val="none" w:sz="0" w:space="0" w:color="auto"/>
        <w:bottom w:val="none" w:sz="0" w:space="0" w:color="auto"/>
        <w:right w:val="none" w:sz="0" w:space="0" w:color="auto"/>
      </w:divBdr>
    </w:div>
    <w:div w:id="1823345949">
      <w:marLeft w:val="0"/>
      <w:marRight w:val="0"/>
      <w:marTop w:val="0"/>
      <w:marBottom w:val="0"/>
      <w:divBdr>
        <w:top w:val="none" w:sz="0" w:space="0" w:color="auto"/>
        <w:left w:val="none" w:sz="0" w:space="0" w:color="auto"/>
        <w:bottom w:val="none" w:sz="0" w:space="0" w:color="auto"/>
        <w:right w:val="none" w:sz="0" w:space="0" w:color="auto"/>
      </w:divBdr>
    </w:div>
    <w:div w:id="1823345950">
      <w:marLeft w:val="0"/>
      <w:marRight w:val="0"/>
      <w:marTop w:val="0"/>
      <w:marBottom w:val="0"/>
      <w:divBdr>
        <w:top w:val="none" w:sz="0" w:space="0" w:color="auto"/>
        <w:left w:val="none" w:sz="0" w:space="0" w:color="auto"/>
        <w:bottom w:val="none" w:sz="0" w:space="0" w:color="auto"/>
        <w:right w:val="none" w:sz="0" w:space="0" w:color="auto"/>
      </w:divBdr>
    </w:div>
    <w:div w:id="1823345951">
      <w:marLeft w:val="0"/>
      <w:marRight w:val="0"/>
      <w:marTop w:val="0"/>
      <w:marBottom w:val="0"/>
      <w:divBdr>
        <w:top w:val="none" w:sz="0" w:space="0" w:color="auto"/>
        <w:left w:val="none" w:sz="0" w:space="0" w:color="auto"/>
        <w:bottom w:val="none" w:sz="0" w:space="0" w:color="auto"/>
        <w:right w:val="none" w:sz="0" w:space="0" w:color="auto"/>
      </w:divBdr>
    </w:div>
    <w:div w:id="1823345952">
      <w:marLeft w:val="0"/>
      <w:marRight w:val="0"/>
      <w:marTop w:val="0"/>
      <w:marBottom w:val="0"/>
      <w:divBdr>
        <w:top w:val="none" w:sz="0" w:space="0" w:color="auto"/>
        <w:left w:val="none" w:sz="0" w:space="0" w:color="auto"/>
        <w:bottom w:val="none" w:sz="0" w:space="0" w:color="auto"/>
        <w:right w:val="none" w:sz="0" w:space="0" w:color="auto"/>
      </w:divBdr>
    </w:div>
    <w:div w:id="1823345953">
      <w:marLeft w:val="0"/>
      <w:marRight w:val="0"/>
      <w:marTop w:val="0"/>
      <w:marBottom w:val="0"/>
      <w:divBdr>
        <w:top w:val="none" w:sz="0" w:space="0" w:color="auto"/>
        <w:left w:val="none" w:sz="0" w:space="0" w:color="auto"/>
        <w:bottom w:val="none" w:sz="0" w:space="0" w:color="auto"/>
        <w:right w:val="none" w:sz="0" w:space="0" w:color="auto"/>
      </w:divBdr>
    </w:div>
    <w:div w:id="1823345954">
      <w:marLeft w:val="0"/>
      <w:marRight w:val="0"/>
      <w:marTop w:val="0"/>
      <w:marBottom w:val="0"/>
      <w:divBdr>
        <w:top w:val="none" w:sz="0" w:space="0" w:color="auto"/>
        <w:left w:val="none" w:sz="0" w:space="0" w:color="auto"/>
        <w:bottom w:val="none" w:sz="0" w:space="0" w:color="auto"/>
        <w:right w:val="none" w:sz="0" w:space="0" w:color="auto"/>
      </w:divBdr>
    </w:div>
    <w:div w:id="1823345955">
      <w:marLeft w:val="0"/>
      <w:marRight w:val="0"/>
      <w:marTop w:val="0"/>
      <w:marBottom w:val="0"/>
      <w:divBdr>
        <w:top w:val="none" w:sz="0" w:space="0" w:color="auto"/>
        <w:left w:val="none" w:sz="0" w:space="0" w:color="auto"/>
        <w:bottom w:val="none" w:sz="0" w:space="0" w:color="auto"/>
        <w:right w:val="none" w:sz="0" w:space="0" w:color="auto"/>
      </w:divBdr>
    </w:div>
    <w:div w:id="1823345956">
      <w:marLeft w:val="0"/>
      <w:marRight w:val="0"/>
      <w:marTop w:val="0"/>
      <w:marBottom w:val="0"/>
      <w:divBdr>
        <w:top w:val="none" w:sz="0" w:space="0" w:color="auto"/>
        <w:left w:val="none" w:sz="0" w:space="0" w:color="auto"/>
        <w:bottom w:val="none" w:sz="0" w:space="0" w:color="auto"/>
        <w:right w:val="none" w:sz="0" w:space="0" w:color="auto"/>
      </w:divBdr>
    </w:div>
    <w:div w:id="1823345957">
      <w:marLeft w:val="0"/>
      <w:marRight w:val="0"/>
      <w:marTop w:val="0"/>
      <w:marBottom w:val="0"/>
      <w:divBdr>
        <w:top w:val="none" w:sz="0" w:space="0" w:color="auto"/>
        <w:left w:val="none" w:sz="0" w:space="0" w:color="auto"/>
        <w:bottom w:val="none" w:sz="0" w:space="0" w:color="auto"/>
        <w:right w:val="none" w:sz="0" w:space="0" w:color="auto"/>
      </w:divBdr>
    </w:div>
    <w:div w:id="1823345958">
      <w:marLeft w:val="0"/>
      <w:marRight w:val="0"/>
      <w:marTop w:val="0"/>
      <w:marBottom w:val="0"/>
      <w:divBdr>
        <w:top w:val="none" w:sz="0" w:space="0" w:color="auto"/>
        <w:left w:val="none" w:sz="0" w:space="0" w:color="auto"/>
        <w:bottom w:val="none" w:sz="0" w:space="0" w:color="auto"/>
        <w:right w:val="none" w:sz="0" w:space="0" w:color="auto"/>
      </w:divBdr>
    </w:div>
    <w:div w:id="1823345959">
      <w:marLeft w:val="0"/>
      <w:marRight w:val="0"/>
      <w:marTop w:val="0"/>
      <w:marBottom w:val="0"/>
      <w:divBdr>
        <w:top w:val="none" w:sz="0" w:space="0" w:color="auto"/>
        <w:left w:val="none" w:sz="0" w:space="0" w:color="auto"/>
        <w:bottom w:val="none" w:sz="0" w:space="0" w:color="auto"/>
        <w:right w:val="none" w:sz="0" w:space="0" w:color="auto"/>
      </w:divBdr>
    </w:div>
    <w:div w:id="1823345960">
      <w:marLeft w:val="0"/>
      <w:marRight w:val="0"/>
      <w:marTop w:val="0"/>
      <w:marBottom w:val="0"/>
      <w:divBdr>
        <w:top w:val="none" w:sz="0" w:space="0" w:color="auto"/>
        <w:left w:val="none" w:sz="0" w:space="0" w:color="auto"/>
        <w:bottom w:val="none" w:sz="0" w:space="0" w:color="auto"/>
        <w:right w:val="none" w:sz="0" w:space="0" w:color="auto"/>
      </w:divBdr>
    </w:div>
    <w:div w:id="1823345961">
      <w:marLeft w:val="0"/>
      <w:marRight w:val="0"/>
      <w:marTop w:val="0"/>
      <w:marBottom w:val="0"/>
      <w:divBdr>
        <w:top w:val="none" w:sz="0" w:space="0" w:color="auto"/>
        <w:left w:val="none" w:sz="0" w:space="0" w:color="auto"/>
        <w:bottom w:val="none" w:sz="0" w:space="0" w:color="auto"/>
        <w:right w:val="none" w:sz="0" w:space="0" w:color="auto"/>
      </w:divBdr>
    </w:div>
    <w:div w:id="1823345962">
      <w:marLeft w:val="0"/>
      <w:marRight w:val="0"/>
      <w:marTop w:val="0"/>
      <w:marBottom w:val="0"/>
      <w:divBdr>
        <w:top w:val="none" w:sz="0" w:space="0" w:color="auto"/>
        <w:left w:val="none" w:sz="0" w:space="0" w:color="auto"/>
        <w:bottom w:val="none" w:sz="0" w:space="0" w:color="auto"/>
        <w:right w:val="none" w:sz="0" w:space="0" w:color="auto"/>
      </w:divBdr>
    </w:div>
    <w:div w:id="1823345963">
      <w:marLeft w:val="0"/>
      <w:marRight w:val="0"/>
      <w:marTop w:val="0"/>
      <w:marBottom w:val="0"/>
      <w:divBdr>
        <w:top w:val="none" w:sz="0" w:space="0" w:color="auto"/>
        <w:left w:val="none" w:sz="0" w:space="0" w:color="auto"/>
        <w:bottom w:val="none" w:sz="0" w:space="0" w:color="auto"/>
        <w:right w:val="none" w:sz="0" w:space="0" w:color="auto"/>
      </w:divBdr>
    </w:div>
    <w:div w:id="1823345964">
      <w:marLeft w:val="0"/>
      <w:marRight w:val="0"/>
      <w:marTop w:val="0"/>
      <w:marBottom w:val="0"/>
      <w:divBdr>
        <w:top w:val="none" w:sz="0" w:space="0" w:color="auto"/>
        <w:left w:val="none" w:sz="0" w:space="0" w:color="auto"/>
        <w:bottom w:val="none" w:sz="0" w:space="0" w:color="auto"/>
        <w:right w:val="none" w:sz="0" w:space="0" w:color="auto"/>
      </w:divBdr>
    </w:div>
    <w:div w:id="1823345965">
      <w:marLeft w:val="0"/>
      <w:marRight w:val="0"/>
      <w:marTop w:val="0"/>
      <w:marBottom w:val="0"/>
      <w:divBdr>
        <w:top w:val="none" w:sz="0" w:space="0" w:color="auto"/>
        <w:left w:val="none" w:sz="0" w:space="0" w:color="auto"/>
        <w:bottom w:val="none" w:sz="0" w:space="0" w:color="auto"/>
        <w:right w:val="none" w:sz="0" w:space="0" w:color="auto"/>
      </w:divBdr>
    </w:div>
    <w:div w:id="1823345966">
      <w:marLeft w:val="0"/>
      <w:marRight w:val="0"/>
      <w:marTop w:val="0"/>
      <w:marBottom w:val="0"/>
      <w:divBdr>
        <w:top w:val="none" w:sz="0" w:space="0" w:color="auto"/>
        <w:left w:val="none" w:sz="0" w:space="0" w:color="auto"/>
        <w:bottom w:val="none" w:sz="0" w:space="0" w:color="auto"/>
        <w:right w:val="none" w:sz="0" w:space="0" w:color="auto"/>
      </w:divBdr>
    </w:div>
    <w:div w:id="1823345967">
      <w:marLeft w:val="0"/>
      <w:marRight w:val="0"/>
      <w:marTop w:val="0"/>
      <w:marBottom w:val="0"/>
      <w:divBdr>
        <w:top w:val="none" w:sz="0" w:space="0" w:color="auto"/>
        <w:left w:val="none" w:sz="0" w:space="0" w:color="auto"/>
        <w:bottom w:val="none" w:sz="0" w:space="0" w:color="auto"/>
        <w:right w:val="none" w:sz="0" w:space="0" w:color="auto"/>
      </w:divBdr>
    </w:div>
    <w:div w:id="1823345968">
      <w:marLeft w:val="0"/>
      <w:marRight w:val="0"/>
      <w:marTop w:val="0"/>
      <w:marBottom w:val="0"/>
      <w:divBdr>
        <w:top w:val="none" w:sz="0" w:space="0" w:color="auto"/>
        <w:left w:val="none" w:sz="0" w:space="0" w:color="auto"/>
        <w:bottom w:val="none" w:sz="0" w:space="0" w:color="auto"/>
        <w:right w:val="none" w:sz="0" w:space="0" w:color="auto"/>
      </w:divBdr>
    </w:div>
    <w:div w:id="1823345969">
      <w:marLeft w:val="0"/>
      <w:marRight w:val="0"/>
      <w:marTop w:val="0"/>
      <w:marBottom w:val="0"/>
      <w:divBdr>
        <w:top w:val="none" w:sz="0" w:space="0" w:color="auto"/>
        <w:left w:val="none" w:sz="0" w:space="0" w:color="auto"/>
        <w:bottom w:val="none" w:sz="0" w:space="0" w:color="auto"/>
        <w:right w:val="none" w:sz="0" w:space="0" w:color="auto"/>
      </w:divBdr>
    </w:div>
    <w:div w:id="1823345970">
      <w:marLeft w:val="0"/>
      <w:marRight w:val="0"/>
      <w:marTop w:val="0"/>
      <w:marBottom w:val="0"/>
      <w:divBdr>
        <w:top w:val="none" w:sz="0" w:space="0" w:color="auto"/>
        <w:left w:val="none" w:sz="0" w:space="0" w:color="auto"/>
        <w:bottom w:val="none" w:sz="0" w:space="0" w:color="auto"/>
        <w:right w:val="none" w:sz="0" w:space="0" w:color="auto"/>
      </w:divBdr>
    </w:div>
    <w:div w:id="1823345971">
      <w:marLeft w:val="0"/>
      <w:marRight w:val="0"/>
      <w:marTop w:val="0"/>
      <w:marBottom w:val="0"/>
      <w:divBdr>
        <w:top w:val="none" w:sz="0" w:space="0" w:color="auto"/>
        <w:left w:val="none" w:sz="0" w:space="0" w:color="auto"/>
        <w:bottom w:val="none" w:sz="0" w:space="0" w:color="auto"/>
        <w:right w:val="none" w:sz="0" w:space="0" w:color="auto"/>
      </w:divBdr>
    </w:div>
    <w:div w:id="1823345972">
      <w:marLeft w:val="0"/>
      <w:marRight w:val="0"/>
      <w:marTop w:val="0"/>
      <w:marBottom w:val="0"/>
      <w:divBdr>
        <w:top w:val="none" w:sz="0" w:space="0" w:color="auto"/>
        <w:left w:val="none" w:sz="0" w:space="0" w:color="auto"/>
        <w:bottom w:val="none" w:sz="0" w:space="0" w:color="auto"/>
        <w:right w:val="none" w:sz="0" w:space="0" w:color="auto"/>
      </w:divBdr>
    </w:div>
    <w:div w:id="1823345973">
      <w:marLeft w:val="0"/>
      <w:marRight w:val="0"/>
      <w:marTop w:val="0"/>
      <w:marBottom w:val="0"/>
      <w:divBdr>
        <w:top w:val="none" w:sz="0" w:space="0" w:color="auto"/>
        <w:left w:val="none" w:sz="0" w:space="0" w:color="auto"/>
        <w:bottom w:val="none" w:sz="0" w:space="0" w:color="auto"/>
        <w:right w:val="none" w:sz="0" w:space="0" w:color="auto"/>
      </w:divBdr>
    </w:div>
    <w:div w:id="1823345974">
      <w:marLeft w:val="0"/>
      <w:marRight w:val="0"/>
      <w:marTop w:val="0"/>
      <w:marBottom w:val="0"/>
      <w:divBdr>
        <w:top w:val="none" w:sz="0" w:space="0" w:color="auto"/>
        <w:left w:val="none" w:sz="0" w:space="0" w:color="auto"/>
        <w:bottom w:val="none" w:sz="0" w:space="0" w:color="auto"/>
        <w:right w:val="none" w:sz="0" w:space="0" w:color="auto"/>
      </w:divBdr>
    </w:div>
    <w:div w:id="1823345975">
      <w:marLeft w:val="0"/>
      <w:marRight w:val="0"/>
      <w:marTop w:val="0"/>
      <w:marBottom w:val="0"/>
      <w:divBdr>
        <w:top w:val="none" w:sz="0" w:space="0" w:color="auto"/>
        <w:left w:val="none" w:sz="0" w:space="0" w:color="auto"/>
        <w:bottom w:val="none" w:sz="0" w:space="0" w:color="auto"/>
        <w:right w:val="none" w:sz="0" w:space="0" w:color="auto"/>
      </w:divBdr>
    </w:div>
    <w:div w:id="1823345976">
      <w:marLeft w:val="0"/>
      <w:marRight w:val="0"/>
      <w:marTop w:val="0"/>
      <w:marBottom w:val="0"/>
      <w:divBdr>
        <w:top w:val="none" w:sz="0" w:space="0" w:color="auto"/>
        <w:left w:val="none" w:sz="0" w:space="0" w:color="auto"/>
        <w:bottom w:val="none" w:sz="0" w:space="0" w:color="auto"/>
        <w:right w:val="none" w:sz="0" w:space="0" w:color="auto"/>
      </w:divBdr>
    </w:div>
    <w:div w:id="1823345977">
      <w:marLeft w:val="0"/>
      <w:marRight w:val="0"/>
      <w:marTop w:val="0"/>
      <w:marBottom w:val="0"/>
      <w:divBdr>
        <w:top w:val="none" w:sz="0" w:space="0" w:color="auto"/>
        <w:left w:val="none" w:sz="0" w:space="0" w:color="auto"/>
        <w:bottom w:val="none" w:sz="0" w:space="0" w:color="auto"/>
        <w:right w:val="none" w:sz="0" w:space="0" w:color="auto"/>
      </w:divBdr>
    </w:div>
    <w:div w:id="1823345978">
      <w:marLeft w:val="0"/>
      <w:marRight w:val="0"/>
      <w:marTop w:val="0"/>
      <w:marBottom w:val="0"/>
      <w:divBdr>
        <w:top w:val="none" w:sz="0" w:space="0" w:color="auto"/>
        <w:left w:val="none" w:sz="0" w:space="0" w:color="auto"/>
        <w:bottom w:val="none" w:sz="0" w:space="0" w:color="auto"/>
        <w:right w:val="none" w:sz="0" w:space="0" w:color="auto"/>
      </w:divBdr>
    </w:div>
    <w:div w:id="1823345979">
      <w:marLeft w:val="0"/>
      <w:marRight w:val="0"/>
      <w:marTop w:val="0"/>
      <w:marBottom w:val="0"/>
      <w:divBdr>
        <w:top w:val="none" w:sz="0" w:space="0" w:color="auto"/>
        <w:left w:val="none" w:sz="0" w:space="0" w:color="auto"/>
        <w:bottom w:val="none" w:sz="0" w:space="0" w:color="auto"/>
        <w:right w:val="none" w:sz="0" w:space="0" w:color="auto"/>
      </w:divBdr>
    </w:div>
    <w:div w:id="1823345980">
      <w:marLeft w:val="0"/>
      <w:marRight w:val="0"/>
      <w:marTop w:val="0"/>
      <w:marBottom w:val="0"/>
      <w:divBdr>
        <w:top w:val="none" w:sz="0" w:space="0" w:color="auto"/>
        <w:left w:val="none" w:sz="0" w:space="0" w:color="auto"/>
        <w:bottom w:val="none" w:sz="0" w:space="0" w:color="auto"/>
        <w:right w:val="none" w:sz="0" w:space="0" w:color="auto"/>
      </w:divBdr>
    </w:div>
    <w:div w:id="1823345981">
      <w:marLeft w:val="0"/>
      <w:marRight w:val="0"/>
      <w:marTop w:val="0"/>
      <w:marBottom w:val="0"/>
      <w:divBdr>
        <w:top w:val="none" w:sz="0" w:space="0" w:color="auto"/>
        <w:left w:val="none" w:sz="0" w:space="0" w:color="auto"/>
        <w:bottom w:val="none" w:sz="0" w:space="0" w:color="auto"/>
        <w:right w:val="none" w:sz="0" w:space="0" w:color="auto"/>
      </w:divBdr>
    </w:div>
    <w:div w:id="1823345982">
      <w:marLeft w:val="0"/>
      <w:marRight w:val="0"/>
      <w:marTop w:val="0"/>
      <w:marBottom w:val="0"/>
      <w:divBdr>
        <w:top w:val="none" w:sz="0" w:space="0" w:color="auto"/>
        <w:left w:val="none" w:sz="0" w:space="0" w:color="auto"/>
        <w:bottom w:val="none" w:sz="0" w:space="0" w:color="auto"/>
        <w:right w:val="none" w:sz="0" w:space="0" w:color="auto"/>
      </w:divBdr>
    </w:div>
    <w:div w:id="1823345983">
      <w:marLeft w:val="0"/>
      <w:marRight w:val="0"/>
      <w:marTop w:val="0"/>
      <w:marBottom w:val="0"/>
      <w:divBdr>
        <w:top w:val="none" w:sz="0" w:space="0" w:color="auto"/>
        <w:left w:val="none" w:sz="0" w:space="0" w:color="auto"/>
        <w:bottom w:val="none" w:sz="0" w:space="0" w:color="auto"/>
        <w:right w:val="none" w:sz="0" w:space="0" w:color="auto"/>
      </w:divBdr>
    </w:div>
    <w:div w:id="1823345984">
      <w:marLeft w:val="0"/>
      <w:marRight w:val="0"/>
      <w:marTop w:val="0"/>
      <w:marBottom w:val="0"/>
      <w:divBdr>
        <w:top w:val="none" w:sz="0" w:space="0" w:color="auto"/>
        <w:left w:val="none" w:sz="0" w:space="0" w:color="auto"/>
        <w:bottom w:val="none" w:sz="0" w:space="0" w:color="auto"/>
        <w:right w:val="none" w:sz="0" w:space="0" w:color="auto"/>
      </w:divBdr>
    </w:div>
    <w:div w:id="1823345985">
      <w:marLeft w:val="0"/>
      <w:marRight w:val="0"/>
      <w:marTop w:val="0"/>
      <w:marBottom w:val="0"/>
      <w:divBdr>
        <w:top w:val="none" w:sz="0" w:space="0" w:color="auto"/>
        <w:left w:val="none" w:sz="0" w:space="0" w:color="auto"/>
        <w:bottom w:val="none" w:sz="0" w:space="0" w:color="auto"/>
        <w:right w:val="none" w:sz="0" w:space="0" w:color="auto"/>
      </w:divBdr>
    </w:div>
    <w:div w:id="1823345986">
      <w:marLeft w:val="0"/>
      <w:marRight w:val="0"/>
      <w:marTop w:val="0"/>
      <w:marBottom w:val="0"/>
      <w:divBdr>
        <w:top w:val="none" w:sz="0" w:space="0" w:color="auto"/>
        <w:left w:val="none" w:sz="0" w:space="0" w:color="auto"/>
        <w:bottom w:val="none" w:sz="0" w:space="0" w:color="auto"/>
        <w:right w:val="none" w:sz="0" w:space="0" w:color="auto"/>
      </w:divBdr>
    </w:div>
    <w:div w:id="1823345987">
      <w:marLeft w:val="0"/>
      <w:marRight w:val="0"/>
      <w:marTop w:val="0"/>
      <w:marBottom w:val="0"/>
      <w:divBdr>
        <w:top w:val="none" w:sz="0" w:space="0" w:color="auto"/>
        <w:left w:val="none" w:sz="0" w:space="0" w:color="auto"/>
        <w:bottom w:val="none" w:sz="0" w:space="0" w:color="auto"/>
        <w:right w:val="none" w:sz="0" w:space="0" w:color="auto"/>
      </w:divBdr>
    </w:div>
    <w:div w:id="1823345988">
      <w:marLeft w:val="0"/>
      <w:marRight w:val="0"/>
      <w:marTop w:val="0"/>
      <w:marBottom w:val="0"/>
      <w:divBdr>
        <w:top w:val="none" w:sz="0" w:space="0" w:color="auto"/>
        <w:left w:val="none" w:sz="0" w:space="0" w:color="auto"/>
        <w:bottom w:val="none" w:sz="0" w:space="0" w:color="auto"/>
        <w:right w:val="none" w:sz="0" w:space="0" w:color="auto"/>
      </w:divBdr>
    </w:div>
    <w:div w:id="1823345989">
      <w:marLeft w:val="0"/>
      <w:marRight w:val="0"/>
      <w:marTop w:val="0"/>
      <w:marBottom w:val="0"/>
      <w:divBdr>
        <w:top w:val="none" w:sz="0" w:space="0" w:color="auto"/>
        <w:left w:val="none" w:sz="0" w:space="0" w:color="auto"/>
        <w:bottom w:val="none" w:sz="0" w:space="0" w:color="auto"/>
        <w:right w:val="none" w:sz="0" w:space="0" w:color="auto"/>
      </w:divBdr>
    </w:div>
    <w:div w:id="1823345990">
      <w:marLeft w:val="0"/>
      <w:marRight w:val="0"/>
      <w:marTop w:val="0"/>
      <w:marBottom w:val="0"/>
      <w:divBdr>
        <w:top w:val="none" w:sz="0" w:space="0" w:color="auto"/>
        <w:left w:val="none" w:sz="0" w:space="0" w:color="auto"/>
        <w:bottom w:val="none" w:sz="0" w:space="0" w:color="auto"/>
        <w:right w:val="none" w:sz="0" w:space="0" w:color="auto"/>
      </w:divBdr>
    </w:div>
    <w:div w:id="1823345991">
      <w:marLeft w:val="0"/>
      <w:marRight w:val="0"/>
      <w:marTop w:val="0"/>
      <w:marBottom w:val="0"/>
      <w:divBdr>
        <w:top w:val="none" w:sz="0" w:space="0" w:color="auto"/>
        <w:left w:val="none" w:sz="0" w:space="0" w:color="auto"/>
        <w:bottom w:val="none" w:sz="0" w:space="0" w:color="auto"/>
        <w:right w:val="none" w:sz="0" w:space="0" w:color="auto"/>
      </w:divBdr>
    </w:div>
    <w:div w:id="1823345992">
      <w:marLeft w:val="0"/>
      <w:marRight w:val="0"/>
      <w:marTop w:val="0"/>
      <w:marBottom w:val="0"/>
      <w:divBdr>
        <w:top w:val="none" w:sz="0" w:space="0" w:color="auto"/>
        <w:left w:val="none" w:sz="0" w:space="0" w:color="auto"/>
        <w:bottom w:val="none" w:sz="0" w:space="0" w:color="auto"/>
        <w:right w:val="none" w:sz="0" w:space="0" w:color="auto"/>
      </w:divBdr>
    </w:div>
    <w:div w:id="1823345993">
      <w:marLeft w:val="0"/>
      <w:marRight w:val="0"/>
      <w:marTop w:val="0"/>
      <w:marBottom w:val="0"/>
      <w:divBdr>
        <w:top w:val="none" w:sz="0" w:space="0" w:color="auto"/>
        <w:left w:val="none" w:sz="0" w:space="0" w:color="auto"/>
        <w:bottom w:val="none" w:sz="0" w:space="0" w:color="auto"/>
        <w:right w:val="none" w:sz="0" w:space="0" w:color="auto"/>
      </w:divBdr>
    </w:div>
    <w:div w:id="1823345994">
      <w:marLeft w:val="0"/>
      <w:marRight w:val="0"/>
      <w:marTop w:val="0"/>
      <w:marBottom w:val="0"/>
      <w:divBdr>
        <w:top w:val="none" w:sz="0" w:space="0" w:color="auto"/>
        <w:left w:val="none" w:sz="0" w:space="0" w:color="auto"/>
        <w:bottom w:val="none" w:sz="0" w:space="0" w:color="auto"/>
        <w:right w:val="none" w:sz="0" w:space="0" w:color="auto"/>
      </w:divBdr>
    </w:div>
    <w:div w:id="1823345995">
      <w:marLeft w:val="0"/>
      <w:marRight w:val="0"/>
      <w:marTop w:val="0"/>
      <w:marBottom w:val="0"/>
      <w:divBdr>
        <w:top w:val="none" w:sz="0" w:space="0" w:color="auto"/>
        <w:left w:val="none" w:sz="0" w:space="0" w:color="auto"/>
        <w:bottom w:val="none" w:sz="0" w:space="0" w:color="auto"/>
        <w:right w:val="none" w:sz="0" w:space="0" w:color="auto"/>
      </w:divBdr>
    </w:div>
    <w:div w:id="1823345996">
      <w:marLeft w:val="0"/>
      <w:marRight w:val="0"/>
      <w:marTop w:val="0"/>
      <w:marBottom w:val="0"/>
      <w:divBdr>
        <w:top w:val="none" w:sz="0" w:space="0" w:color="auto"/>
        <w:left w:val="none" w:sz="0" w:space="0" w:color="auto"/>
        <w:bottom w:val="none" w:sz="0" w:space="0" w:color="auto"/>
        <w:right w:val="none" w:sz="0" w:space="0" w:color="auto"/>
      </w:divBdr>
    </w:div>
    <w:div w:id="1823345997">
      <w:marLeft w:val="0"/>
      <w:marRight w:val="0"/>
      <w:marTop w:val="0"/>
      <w:marBottom w:val="0"/>
      <w:divBdr>
        <w:top w:val="none" w:sz="0" w:space="0" w:color="auto"/>
        <w:left w:val="none" w:sz="0" w:space="0" w:color="auto"/>
        <w:bottom w:val="none" w:sz="0" w:space="0" w:color="auto"/>
        <w:right w:val="none" w:sz="0" w:space="0" w:color="auto"/>
      </w:divBdr>
    </w:div>
    <w:div w:id="1823345998">
      <w:marLeft w:val="0"/>
      <w:marRight w:val="0"/>
      <w:marTop w:val="0"/>
      <w:marBottom w:val="0"/>
      <w:divBdr>
        <w:top w:val="none" w:sz="0" w:space="0" w:color="auto"/>
        <w:left w:val="none" w:sz="0" w:space="0" w:color="auto"/>
        <w:bottom w:val="none" w:sz="0" w:space="0" w:color="auto"/>
        <w:right w:val="none" w:sz="0" w:space="0" w:color="auto"/>
      </w:divBdr>
    </w:div>
    <w:div w:id="1823345999">
      <w:marLeft w:val="0"/>
      <w:marRight w:val="0"/>
      <w:marTop w:val="0"/>
      <w:marBottom w:val="0"/>
      <w:divBdr>
        <w:top w:val="none" w:sz="0" w:space="0" w:color="auto"/>
        <w:left w:val="none" w:sz="0" w:space="0" w:color="auto"/>
        <w:bottom w:val="none" w:sz="0" w:space="0" w:color="auto"/>
        <w:right w:val="none" w:sz="0" w:space="0" w:color="auto"/>
      </w:divBdr>
    </w:div>
    <w:div w:id="1823346000">
      <w:marLeft w:val="0"/>
      <w:marRight w:val="0"/>
      <w:marTop w:val="0"/>
      <w:marBottom w:val="0"/>
      <w:divBdr>
        <w:top w:val="none" w:sz="0" w:space="0" w:color="auto"/>
        <w:left w:val="none" w:sz="0" w:space="0" w:color="auto"/>
        <w:bottom w:val="none" w:sz="0" w:space="0" w:color="auto"/>
        <w:right w:val="none" w:sz="0" w:space="0" w:color="auto"/>
      </w:divBdr>
    </w:div>
    <w:div w:id="1823346001">
      <w:marLeft w:val="0"/>
      <w:marRight w:val="0"/>
      <w:marTop w:val="0"/>
      <w:marBottom w:val="0"/>
      <w:divBdr>
        <w:top w:val="none" w:sz="0" w:space="0" w:color="auto"/>
        <w:left w:val="none" w:sz="0" w:space="0" w:color="auto"/>
        <w:bottom w:val="none" w:sz="0" w:space="0" w:color="auto"/>
        <w:right w:val="none" w:sz="0" w:space="0" w:color="auto"/>
      </w:divBdr>
    </w:div>
    <w:div w:id="1823346002">
      <w:marLeft w:val="0"/>
      <w:marRight w:val="0"/>
      <w:marTop w:val="0"/>
      <w:marBottom w:val="0"/>
      <w:divBdr>
        <w:top w:val="none" w:sz="0" w:space="0" w:color="auto"/>
        <w:left w:val="none" w:sz="0" w:space="0" w:color="auto"/>
        <w:bottom w:val="none" w:sz="0" w:space="0" w:color="auto"/>
        <w:right w:val="none" w:sz="0" w:space="0" w:color="auto"/>
      </w:divBdr>
    </w:div>
    <w:div w:id="1823346003">
      <w:marLeft w:val="0"/>
      <w:marRight w:val="0"/>
      <w:marTop w:val="0"/>
      <w:marBottom w:val="0"/>
      <w:divBdr>
        <w:top w:val="none" w:sz="0" w:space="0" w:color="auto"/>
        <w:left w:val="none" w:sz="0" w:space="0" w:color="auto"/>
        <w:bottom w:val="none" w:sz="0" w:space="0" w:color="auto"/>
        <w:right w:val="none" w:sz="0" w:space="0" w:color="auto"/>
      </w:divBdr>
    </w:div>
    <w:div w:id="1823346004">
      <w:marLeft w:val="0"/>
      <w:marRight w:val="0"/>
      <w:marTop w:val="0"/>
      <w:marBottom w:val="0"/>
      <w:divBdr>
        <w:top w:val="none" w:sz="0" w:space="0" w:color="auto"/>
        <w:left w:val="none" w:sz="0" w:space="0" w:color="auto"/>
        <w:bottom w:val="none" w:sz="0" w:space="0" w:color="auto"/>
        <w:right w:val="none" w:sz="0" w:space="0" w:color="auto"/>
      </w:divBdr>
    </w:div>
    <w:div w:id="1823346005">
      <w:marLeft w:val="0"/>
      <w:marRight w:val="0"/>
      <w:marTop w:val="0"/>
      <w:marBottom w:val="0"/>
      <w:divBdr>
        <w:top w:val="none" w:sz="0" w:space="0" w:color="auto"/>
        <w:left w:val="none" w:sz="0" w:space="0" w:color="auto"/>
        <w:bottom w:val="none" w:sz="0" w:space="0" w:color="auto"/>
        <w:right w:val="none" w:sz="0" w:space="0" w:color="auto"/>
      </w:divBdr>
    </w:div>
    <w:div w:id="1823346006">
      <w:marLeft w:val="0"/>
      <w:marRight w:val="0"/>
      <w:marTop w:val="0"/>
      <w:marBottom w:val="0"/>
      <w:divBdr>
        <w:top w:val="none" w:sz="0" w:space="0" w:color="auto"/>
        <w:left w:val="none" w:sz="0" w:space="0" w:color="auto"/>
        <w:bottom w:val="none" w:sz="0" w:space="0" w:color="auto"/>
        <w:right w:val="none" w:sz="0" w:space="0" w:color="auto"/>
      </w:divBdr>
    </w:div>
    <w:div w:id="1823346007">
      <w:marLeft w:val="0"/>
      <w:marRight w:val="0"/>
      <w:marTop w:val="0"/>
      <w:marBottom w:val="0"/>
      <w:divBdr>
        <w:top w:val="none" w:sz="0" w:space="0" w:color="auto"/>
        <w:left w:val="none" w:sz="0" w:space="0" w:color="auto"/>
        <w:bottom w:val="none" w:sz="0" w:space="0" w:color="auto"/>
        <w:right w:val="none" w:sz="0" w:space="0" w:color="auto"/>
      </w:divBdr>
    </w:div>
    <w:div w:id="1823346008">
      <w:marLeft w:val="0"/>
      <w:marRight w:val="0"/>
      <w:marTop w:val="0"/>
      <w:marBottom w:val="0"/>
      <w:divBdr>
        <w:top w:val="none" w:sz="0" w:space="0" w:color="auto"/>
        <w:left w:val="none" w:sz="0" w:space="0" w:color="auto"/>
        <w:bottom w:val="none" w:sz="0" w:space="0" w:color="auto"/>
        <w:right w:val="none" w:sz="0" w:space="0" w:color="auto"/>
      </w:divBdr>
    </w:div>
    <w:div w:id="1823346009">
      <w:marLeft w:val="0"/>
      <w:marRight w:val="0"/>
      <w:marTop w:val="0"/>
      <w:marBottom w:val="0"/>
      <w:divBdr>
        <w:top w:val="none" w:sz="0" w:space="0" w:color="auto"/>
        <w:left w:val="none" w:sz="0" w:space="0" w:color="auto"/>
        <w:bottom w:val="none" w:sz="0" w:space="0" w:color="auto"/>
        <w:right w:val="none" w:sz="0" w:space="0" w:color="auto"/>
      </w:divBdr>
    </w:div>
    <w:div w:id="1823346010">
      <w:marLeft w:val="0"/>
      <w:marRight w:val="0"/>
      <w:marTop w:val="0"/>
      <w:marBottom w:val="0"/>
      <w:divBdr>
        <w:top w:val="none" w:sz="0" w:space="0" w:color="auto"/>
        <w:left w:val="none" w:sz="0" w:space="0" w:color="auto"/>
        <w:bottom w:val="none" w:sz="0" w:space="0" w:color="auto"/>
        <w:right w:val="none" w:sz="0" w:space="0" w:color="auto"/>
      </w:divBdr>
    </w:div>
    <w:div w:id="1823346011">
      <w:marLeft w:val="0"/>
      <w:marRight w:val="0"/>
      <w:marTop w:val="0"/>
      <w:marBottom w:val="0"/>
      <w:divBdr>
        <w:top w:val="none" w:sz="0" w:space="0" w:color="auto"/>
        <w:left w:val="none" w:sz="0" w:space="0" w:color="auto"/>
        <w:bottom w:val="none" w:sz="0" w:space="0" w:color="auto"/>
        <w:right w:val="none" w:sz="0" w:space="0" w:color="auto"/>
      </w:divBdr>
    </w:div>
    <w:div w:id="1823346012">
      <w:marLeft w:val="0"/>
      <w:marRight w:val="0"/>
      <w:marTop w:val="0"/>
      <w:marBottom w:val="0"/>
      <w:divBdr>
        <w:top w:val="none" w:sz="0" w:space="0" w:color="auto"/>
        <w:left w:val="none" w:sz="0" w:space="0" w:color="auto"/>
        <w:bottom w:val="none" w:sz="0" w:space="0" w:color="auto"/>
        <w:right w:val="none" w:sz="0" w:space="0" w:color="auto"/>
      </w:divBdr>
    </w:div>
    <w:div w:id="1823346013">
      <w:marLeft w:val="0"/>
      <w:marRight w:val="0"/>
      <w:marTop w:val="0"/>
      <w:marBottom w:val="0"/>
      <w:divBdr>
        <w:top w:val="none" w:sz="0" w:space="0" w:color="auto"/>
        <w:left w:val="none" w:sz="0" w:space="0" w:color="auto"/>
        <w:bottom w:val="none" w:sz="0" w:space="0" w:color="auto"/>
        <w:right w:val="none" w:sz="0" w:space="0" w:color="auto"/>
      </w:divBdr>
    </w:div>
    <w:div w:id="1823346014">
      <w:marLeft w:val="0"/>
      <w:marRight w:val="0"/>
      <w:marTop w:val="0"/>
      <w:marBottom w:val="0"/>
      <w:divBdr>
        <w:top w:val="none" w:sz="0" w:space="0" w:color="auto"/>
        <w:left w:val="none" w:sz="0" w:space="0" w:color="auto"/>
        <w:bottom w:val="none" w:sz="0" w:space="0" w:color="auto"/>
        <w:right w:val="none" w:sz="0" w:space="0" w:color="auto"/>
      </w:divBdr>
    </w:div>
    <w:div w:id="1823346015">
      <w:marLeft w:val="0"/>
      <w:marRight w:val="0"/>
      <w:marTop w:val="0"/>
      <w:marBottom w:val="0"/>
      <w:divBdr>
        <w:top w:val="none" w:sz="0" w:space="0" w:color="auto"/>
        <w:left w:val="none" w:sz="0" w:space="0" w:color="auto"/>
        <w:bottom w:val="none" w:sz="0" w:space="0" w:color="auto"/>
        <w:right w:val="none" w:sz="0" w:space="0" w:color="auto"/>
      </w:divBdr>
    </w:div>
    <w:div w:id="1823346016">
      <w:marLeft w:val="0"/>
      <w:marRight w:val="0"/>
      <w:marTop w:val="0"/>
      <w:marBottom w:val="0"/>
      <w:divBdr>
        <w:top w:val="none" w:sz="0" w:space="0" w:color="auto"/>
        <w:left w:val="none" w:sz="0" w:space="0" w:color="auto"/>
        <w:bottom w:val="none" w:sz="0" w:space="0" w:color="auto"/>
        <w:right w:val="none" w:sz="0" w:space="0" w:color="auto"/>
      </w:divBdr>
    </w:div>
    <w:div w:id="1823346017">
      <w:marLeft w:val="0"/>
      <w:marRight w:val="0"/>
      <w:marTop w:val="0"/>
      <w:marBottom w:val="0"/>
      <w:divBdr>
        <w:top w:val="none" w:sz="0" w:space="0" w:color="auto"/>
        <w:left w:val="none" w:sz="0" w:space="0" w:color="auto"/>
        <w:bottom w:val="none" w:sz="0" w:space="0" w:color="auto"/>
        <w:right w:val="none" w:sz="0" w:space="0" w:color="auto"/>
      </w:divBdr>
    </w:div>
    <w:div w:id="1823346018">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1823346020">
      <w:marLeft w:val="0"/>
      <w:marRight w:val="0"/>
      <w:marTop w:val="0"/>
      <w:marBottom w:val="0"/>
      <w:divBdr>
        <w:top w:val="none" w:sz="0" w:space="0" w:color="auto"/>
        <w:left w:val="none" w:sz="0" w:space="0" w:color="auto"/>
        <w:bottom w:val="none" w:sz="0" w:space="0" w:color="auto"/>
        <w:right w:val="none" w:sz="0" w:space="0" w:color="auto"/>
      </w:divBdr>
    </w:div>
    <w:div w:id="1823346021">
      <w:marLeft w:val="0"/>
      <w:marRight w:val="0"/>
      <w:marTop w:val="0"/>
      <w:marBottom w:val="0"/>
      <w:divBdr>
        <w:top w:val="none" w:sz="0" w:space="0" w:color="auto"/>
        <w:left w:val="none" w:sz="0" w:space="0" w:color="auto"/>
        <w:bottom w:val="none" w:sz="0" w:space="0" w:color="auto"/>
        <w:right w:val="none" w:sz="0" w:space="0" w:color="auto"/>
      </w:divBdr>
    </w:div>
    <w:div w:id="1823346022">
      <w:marLeft w:val="0"/>
      <w:marRight w:val="0"/>
      <w:marTop w:val="0"/>
      <w:marBottom w:val="0"/>
      <w:divBdr>
        <w:top w:val="none" w:sz="0" w:space="0" w:color="auto"/>
        <w:left w:val="none" w:sz="0" w:space="0" w:color="auto"/>
        <w:bottom w:val="none" w:sz="0" w:space="0" w:color="auto"/>
        <w:right w:val="none" w:sz="0" w:space="0" w:color="auto"/>
      </w:divBdr>
    </w:div>
    <w:div w:id="1823346023">
      <w:marLeft w:val="0"/>
      <w:marRight w:val="0"/>
      <w:marTop w:val="0"/>
      <w:marBottom w:val="0"/>
      <w:divBdr>
        <w:top w:val="none" w:sz="0" w:space="0" w:color="auto"/>
        <w:left w:val="none" w:sz="0" w:space="0" w:color="auto"/>
        <w:bottom w:val="none" w:sz="0" w:space="0" w:color="auto"/>
        <w:right w:val="none" w:sz="0" w:space="0" w:color="auto"/>
      </w:divBdr>
    </w:div>
    <w:div w:id="1823346024">
      <w:marLeft w:val="0"/>
      <w:marRight w:val="0"/>
      <w:marTop w:val="0"/>
      <w:marBottom w:val="0"/>
      <w:divBdr>
        <w:top w:val="none" w:sz="0" w:space="0" w:color="auto"/>
        <w:left w:val="none" w:sz="0" w:space="0" w:color="auto"/>
        <w:bottom w:val="none" w:sz="0" w:space="0" w:color="auto"/>
        <w:right w:val="none" w:sz="0" w:space="0" w:color="auto"/>
      </w:divBdr>
    </w:div>
    <w:div w:id="1823346025">
      <w:marLeft w:val="0"/>
      <w:marRight w:val="0"/>
      <w:marTop w:val="0"/>
      <w:marBottom w:val="0"/>
      <w:divBdr>
        <w:top w:val="none" w:sz="0" w:space="0" w:color="auto"/>
        <w:left w:val="none" w:sz="0" w:space="0" w:color="auto"/>
        <w:bottom w:val="none" w:sz="0" w:space="0" w:color="auto"/>
        <w:right w:val="none" w:sz="0" w:space="0" w:color="auto"/>
      </w:divBdr>
    </w:div>
    <w:div w:id="1823346026">
      <w:marLeft w:val="0"/>
      <w:marRight w:val="0"/>
      <w:marTop w:val="0"/>
      <w:marBottom w:val="0"/>
      <w:divBdr>
        <w:top w:val="none" w:sz="0" w:space="0" w:color="auto"/>
        <w:left w:val="none" w:sz="0" w:space="0" w:color="auto"/>
        <w:bottom w:val="none" w:sz="0" w:space="0" w:color="auto"/>
        <w:right w:val="none" w:sz="0" w:space="0" w:color="auto"/>
      </w:divBdr>
    </w:div>
    <w:div w:id="1823346027">
      <w:marLeft w:val="0"/>
      <w:marRight w:val="0"/>
      <w:marTop w:val="0"/>
      <w:marBottom w:val="0"/>
      <w:divBdr>
        <w:top w:val="none" w:sz="0" w:space="0" w:color="auto"/>
        <w:left w:val="none" w:sz="0" w:space="0" w:color="auto"/>
        <w:bottom w:val="none" w:sz="0" w:space="0" w:color="auto"/>
        <w:right w:val="none" w:sz="0" w:space="0" w:color="auto"/>
      </w:divBdr>
    </w:div>
    <w:div w:id="1823346028">
      <w:marLeft w:val="0"/>
      <w:marRight w:val="0"/>
      <w:marTop w:val="0"/>
      <w:marBottom w:val="0"/>
      <w:divBdr>
        <w:top w:val="none" w:sz="0" w:space="0" w:color="auto"/>
        <w:left w:val="none" w:sz="0" w:space="0" w:color="auto"/>
        <w:bottom w:val="none" w:sz="0" w:space="0" w:color="auto"/>
        <w:right w:val="none" w:sz="0" w:space="0" w:color="auto"/>
      </w:divBdr>
    </w:div>
    <w:div w:id="1823346029">
      <w:marLeft w:val="0"/>
      <w:marRight w:val="0"/>
      <w:marTop w:val="0"/>
      <w:marBottom w:val="0"/>
      <w:divBdr>
        <w:top w:val="none" w:sz="0" w:space="0" w:color="auto"/>
        <w:left w:val="none" w:sz="0" w:space="0" w:color="auto"/>
        <w:bottom w:val="none" w:sz="0" w:space="0" w:color="auto"/>
        <w:right w:val="none" w:sz="0" w:space="0" w:color="auto"/>
      </w:divBdr>
    </w:div>
    <w:div w:id="1823346030">
      <w:marLeft w:val="0"/>
      <w:marRight w:val="0"/>
      <w:marTop w:val="0"/>
      <w:marBottom w:val="0"/>
      <w:divBdr>
        <w:top w:val="none" w:sz="0" w:space="0" w:color="auto"/>
        <w:left w:val="none" w:sz="0" w:space="0" w:color="auto"/>
        <w:bottom w:val="none" w:sz="0" w:space="0" w:color="auto"/>
        <w:right w:val="none" w:sz="0" w:space="0" w:color="auto"/>
      </w:divBdr>
    </w:div>
    <w:div w:id="1823346031">
      <w:marLeft w:val="0"/>
      <w:marRight w:val="0"/>
      <w:marTop w:val="0"/>
      <w:marBottom w:val="0"/>
      <w:divBdr>
        <w:top w:val="none" w:sz="0" w:space="0" w:color="auto"/>
        <w:left w:val="none" w:sz="0" w:space="0" w:color="auto"/>
        <w:bottom w:val="none" w:sz="0" w:space="0" w:color="auto"/>
        <w:right w:val="none" w:sz="0" w:space="0" w:color="auto"/>
      </w:divBdr>
    </w:div>
    <w:div w:id="1823346032">
      <w:marLeft w:val="0"/>
      <w:marRight w:val="0"/>
      <w:marTop w:val="0"/>
      <w:marBottom w:val="0"/>
      <w:divBdr>
        <w:top w:val="none" w:sz="0" w:space="0" w:color="auto"/>
        <w:left w:val="none" w:sz="0" w:space="0" w:color="auto"/>
        <w:bottom w:val="none" w:sz="0" w:space="0" w:color="auto"/>
        <w:right w:val="none" w:sz="0" w:space="0" w:color="auto"/>
      </w:divBdr>
    </w:div>
    <w:div w:id="1823346033">
      <w:marLeft w:val="0"/>
      <w:marRight w:val="0"/>
      <w:marTop w:val="0"/>
      <w:marBottom w:val="0"/>
      <w:divBdr>
        <w:top w:val="none" w:sz="0" w:space="0" w:color="auto"/>
        <w:left w:val="none" w:sz="0" w:space="0" w:color="auto"/>
        <w:bottom w:val="none" w:sz="0" w:space="0" w:color="auto"/>
        <w:right w:val="none" w:sz="0" w:space="0" w:color="auto"/>
      </w:divBdr>
    </w:div>
    <w:div w:id="1823888634">
      <w:bodyDiv w:val="1"/>
      <w:marLeft w:val="0"/>
      <w:marRight w:val="0"/>
      <w:marTop w:val="0"/>
      <w:marBottom w:val="0"/>
      <w:divBdr>
        <w:top w:val="none" w:sz="0" w:space="0" w:color="auto"/>
        <w:left w:val="none" w:sz="0" w:space="0" w:color="auto"/>
        <w:bottom w:val="none" w:sz="0" w:space="0" w:color="auto"/>
        <w:right w:val="none" w:sz="0" w:space="0" w:color="auto"/>
      </w:divBdr>
    </w:div>
    <w:div w:id="1836529488">
      <w:bodyDiv w:val="1"/>
      <w:marLeft w:val="0"/>
      <w:marRight w:val="0"/>
      <w:marTop w:val="0"/>
      <w:marBottom w:val="0"/>
      <w:divBdr>
        <w:top w:val="none" w:sz="0" w:space="0" w:color="auto"/>
        <w:left w:val="none" w:sz="0" w:space="0" w:color="auto"/>
        <w:bottom w:val="none" w:sz="0" w:space="0" w:color="auto"/>
        <w:right w:val="none" w:sz="0" w:space="0" w:color="auto"/>
      </w:divBdr>
    </w:div>
    <w:div w:id="1837573349">
      <w:bodyDiv w:val="1"/>
      <w:marLeft w:val="0"/>
      <w:marRight w:val="0"/>
      <w:marTop w:val="0"/>
      <w:marBottom w:val="0"/>
      <w:divBdr>
        <w:top w:val="none" w:sz="0" w:space="0" w:color="auto"/>
        <w:left w:val="none" w:sz="0" w:space="0" w:color="auto"/>
        <w:bottom w:val="none" w:sz="0" w:space="0" w:color="auto"/>
        <w:right w:val="none" w:sz="0" w:space="0" w:color="auto"/>
      </w:divBdr>
    </w:div>
    <w:div w:id="1841313882">
      <w:bodyDiv w:val="1"/>
      <w:marLeft w:val="0"/>
      <w:marRight w:val="0"/>
      <w:marTop w:val="0"/>
      <w:marBottom w:val="0"/>
      <w:divBdr>
        <w:top w:val="none" w:sz="0" w:space="0" w:color="auto"/>
        <w:left w:val="none" w:sz="0" w:space="0" w:color="auto"/>
        <w:bottom w:val="none" w:sz="0" w:space="0" w:color="auto"/>
        <w:right w:val="none" w:sz="0" w:space="0" w:color="auto"/>
      </w:divBdr>
    </w:div>
    <w:div w:id="1846702891">
      <w:bodyDiv w:val="1"/>
      <w:marLeft w:val="0"/>
      <w:marRight w:val="0"/>
      <w:marTop w:val="0"/>
      <w:marBottom w:val="0"/>
      <w:divBdr>
        <w:top w:val="none" w:sz="0" w:space="0" w:color="auto"/>
        <w:left w:val="none" w:sz="0" w:space="0" w:color="auto"/>
        <w:bottom w:val="none" w:sz="0" w:space="0" w:color="auto"/>
        <w:right w:val="none" w:sz="0" w:space="0" w:color="auto"/>
      </w:divBdr>
    </w:div>
    <w:div w:id="1853177222">
      <w:bodyDiv w:val="1"/>
      <w:marLeft w:val="0"/>
      <w:marRight w:val="0"/>
      <w:marTop w:val="0"/>
      <w:marBottom w:val="0"/>
      <w:divBdr>
        <w:top w:val="none" w:sz="0" w:space="0" w:color="auto"/>
        <w:left w:val="none" w:sz="0" w:space="0" w:color="auto"/>
        <w:bottom w:val="none" w:sz="0" w:space="0" w:color="auto"/>
        <w:right w:val="none" w:sz="0" w:space="0" w:color="auto"/>
      </w:divBdr>
    </w:div>
    <w:div w:id="1853716704">
      <w:bodyDiv w:val="1"/>
      <w:marLeft w:val="0"/>
      <w:marRight w:val="0"/>
      <w:marTop w:val="0"/>
      <w:marBottom w:val="0"/>
      <w:divBdr>
        <w:top w:val="none" w:sz="0" w:space="0" w:color="auto"/>
        <w:left w:val="none" w:sz="0" w:space="0" w:color="auto"/>
        <w:bottom w:val="none" w:sz="0" w:space="0" w:color="auto"/>
        <w:right w:val="none" w:sz="0" w:space="0" w:color="auto"/>
      </w:divBdr>
    </w:div>
    <w:div w:id="1860392840">
      <w:bodyDiv w:val="1"/>
      <w:marLeft w:val="0"/>
      <w:marRight w:val="0"/>
      <w:marTop w:val="0"/>
      <w:marBottom w:val="0"/>
      <w:divBdr>
        <w:top w:val="none" w:sz="0" w:space="0" w:color="auto"/>
        <w:left w:val="none" w:sz="0" w:space="0" w:color="auto"/>
        <w:bottom w:val="none" w:sz="0" w:space="0" w:color="auto"/>
        <w:right w:val="none" w:sz="0" w:space="0" w:color="auto"/>
      </w:divBdr>
    </w:div>
    <w:div w:id="1870602291">
      <w:bodyDiv w:val="1"/>
      <w:marLeft w:val="0"/>
      <w:marRight w:val="0"/>
      <w:marTop w:val="0"/>
      <w:marBottom w:val="0"/>
      <w:divBdr>
        <w:top w:val="none" w:sz="0" w:space="0" w:color="auto"/>
        <w:left w:val="none" w:sz="0" w:space="0" w:color="auto"/>
        <w:bottom w:val="none" w:sz="0" w:space="0" w:color="auto"/>
        <w:right w:val="none" w:sz="0" w:space="0" w:color="auto"/>
      </w:divBdr>
    </w:div>
    <w:div w:id="1877159574">
      <w:bodyDiv w:val="1"/>
      <w:marLeft w:val="0"/>
      <w:marRight w:val="0"/>
      <w:marTop w:val="0"/>
      <w:marBottom w:val="0"/>
      <w:divBdr>
        <w:top w:val="none" w:sz="0" w:space="0" w:color="auto"/>
        <w:left w:val="none" w:sz="0" w:space="0" w:color="auto"/>
        <w:bottom w:val="none" w:sz="0" w:space="0" w:color="auto"/>
        <w:right w:val="none" w:sz="0" w:space="0" w:color="auto"/>
      </w:divBdr>
    </w:div>
    <w:div w:id="1880117970">
      <w:bodyDiv w:val="1"/>
      <w:marLeft w:val="0"/>
      <w:marRight w:val="0"/>
      <w:marTop w:val="0"/>
      <w:marBottom w:val="0"/>
      <w:divBdr>
        <w:top w:val="none" w:sz="0" w:space="0" w:color="auto"/>
        <w:left w:val="none" w:sz="0" w:space="0" w:color="auto"/>
        <w:bottom w:val="none" w:sz="0" w:space="0" w:color="auto"/>
        <w:right w:val="none" w:sz="0" w:space="0" w:color="auto"/>
      </w:divBdr>
    </w:div>
    <w:div w:id="1891260077">
      <w:bodyDiv w:val="1"/>
      <w:marLeft w:val="0"/>
      <w:marRight w:val="0"/>
      <w:marTop w:val="0"/>
      <w:marBottom w:val="0"/>
      <w:divBdr>
        <w:top w:val="none" w:sz="0" w:space="0" w:color="auto"/>
        <w:left w:val="none" w:sz="0" w:space="0" w:color="auto"/>
        <w:bottom w:val="none" w:sz="0" w:space="0" w:color="auto"/>
        <w:right w:val="none" w:sz="0" w:space="0" w:color="auto"/>
      </w:divBdr>
    </w:div>
    <w:div w:id="1894582611">
      <w:bodyDiv w:val="1"/>
      <w:marLeft w:val="0"/>
      <w:marRight w:val="0"/>
      <w:marTop w:val="0"/>
      <w:marBottom w:val="0"/>
      <w:divBdr>
        <w:top w:val="none" w:sz="0" w:space="0" w:color="auto"/>
        <w:left w:val="none" w:sz="0" w:space="0" w:color="auto"/>
        <w:bottom w:val="none" w:sz="0" w:space="0" w:color="auto"/>
        <w:right w:val="none" w:sz="0" w:space="0" w:color="auto"/>
      </w:divBdr>
    </w:div>
    <w:div w:id="1896311609">
      <w:bodyDiv w:val="1"/>
      <w:marLeft w:val="0"/>
      <w:marRight w:val="0"/>
      <w:marTop w:val="0"/>
      <w:marBottom w:val="0"/>
      <w:divBdr>
        <w:top w:val="none" w:sz="0" w:space="0" w:color="auto"/>
        <w:left w:val="none" w:sz="0" w:space="0" w:color="auto"/>
        <w:bottom w:val="none" w:sz="0" w:space="0" w:color="auto"/>
        <w:right w:val="none" w:sz="0" w:space="0" w:color="auto"/>
      </w:divBdr>
    </w:div>
    <w:div w:id="1900049366">
      <w:bodyDiv w:val="1"/>
      <w:marLeft w:val="0"/>
      <w:marRight w:val="0"/>
      <w:marTop w:val="0"/>
      <w:marBottom w:val="0"/>
      <w:divBdr>
        <w:top w:val="none" w:sz="0" w:space="0" w:color="auto"/>
        <w:left w:val="none" w:sz="0" w:space="0" w:color="auto"/>
        <w:bottom w:val="none" w:sz="0" w:space="0" w:color="auto"/>
        <w:right w:val="none" w:sz="0" w:space="0" w:color="auto"/>
      </w:divBdr>
    </w:div>
    <w:div w:id="1905676073">
      <w:bodyDiv w:val="1"/>
      <w:marLeft w:val="0"/>
      <w:marRight w:val="0"/>
      <w:marTop w:val="0"/>
      <w:marBottom w:val="0"/>
      <w:divBdr>
        <w:top w:val="none" w:sz="0" w:space="0" w:color="auto"/>
        <w:left w:val="none" w:sz="0" w:space="0" w:color="auto"/>
        <w:bottom w:val="none" w:sz="0" w:space="0" w:color="auto"/>
        <w:right w:val="none" w:sz="0" w:space="0" w:color="auto"/>
      </w:divBdr>
    </w:div>
    <w:div w:id="1906526110">
      <w:bodyDiv w:val="1"/>
      <w:marLeft w:val="0"/>
      <w:marRight w:val="0"/>
      <w:marTop w:val="0"/>
      <w:marBottom w:val="0"/>
      <w:divBdr>
        <w:top w:val="none" w:sz="0" w:space="0" w:color="auto"/>
        <w:left w:val="none" w:sz="0" w:space="0" w:color="auto"/>
        <w:bottom w:val="none" w:sz="0" w:space="0" w:color="auto"/>
        <w:right w:val="none" w:sz="0" w:space="0" w:color="auto"/>
      </w:divBdr>
    </w:div>
    <w:div w:id="1906646250">
      <w:bodyDiv w:val="1"/>
      <w:marLeft w:val="0"/>
      <w:marRight w:val="0"/>
      <w:marTop w:val="0"/>
      <w:marBottom w:val="0"/>
      <w:divBdr>
        <w:top w:val="none" w:sz="0" w:space="0" w:color="auto"/>
        <w:left w:val="none" w:sz="0" w:space="0" w:color="auto"/>
        <w:bottom w:val="none" w:sz="0" w:space="0" w:color="auto"/>
        <w:right w:val="none" w:sz="0" w:space="0" w:color="auto"/>
      </w:divBdr>
    </w:div>
    <w:div w:id="1913739700">
      <w:bodyDiv w:val="1"/>
      <w:marLeft w:val="0"/>
      <w:marRight w:val="0"/>
      <w:marTop w:val="0"/>
      <w:marBottom w:val="0"/>
      <w:divBdr>
        <w:top w:val="none" w:sz="0" w:space="0" w:color="auto"/>
        <w:left w:val="none" w:sz="0" w:space="0" w:color="auto"/>
        <w:bottom w:val="none" w:sz="0" w:space="0" w:color="auto"/>
        <w:right w:val="none" w:sz="0" w:space="0" w:color="auto"/>
      </w:divBdr>
    </w:div>
    <w:div w:id="1916014169">
      <w:bodyDiv w:val="1"/>
      <w:marLeft w:val="0"/>
      <w:marRight w:val="0"/>
      <w:marTop w:val="0"/>
      <w:marBottom w:val="0"/>
      <w:divBdr>
        <w:top w:val="none" w:sz="0" w:space="0" w:color="auto"/>
        <w:left w:val="none" w:sz="0" w:space="0" w:color="auto"/>
        <w:bottom w:val="none" w:sz="0" w:space="0" w:color="auto"/>
        <w:right w:val="none" w:sz="0" w:space="0" w:color="auto"/>
      </w:divBdr>
    </w:div>
    <w:div w:id="1920361344">
      <w:bodyDiv w:val="1"/>
      <w:marLeft w:val="0"/>
      <w:marRight w:val="0"/>
      <w:marTop w:val="0"/>
      <w:marBottom w:val="0"/>
      <w:divBdr>
        <w:top w:val="none" w:sz="0" w:space="0" w:color="auto"/>
        <w:left w:val="none" w:sz="0" w:space="0" w:color="auto"/>
        <w:bottom w:val="none" w:sz="0" w:space="0" w:color="auto"/>
        <w:right w:val="none" w:sz="0" w:space="0" w:color="auto"/>
      </w:divBdr>
    </w:div>
    <w:div w:id="1924098339">
      <w:bodyDiv w:val="1"/>
      <w:marLeft w:val="0"/>
      <w:marRight w:val="0"/>
      <w:marTop w:val="0"/>
      <w:marBottom w:val="0"/>
      <w:divBdr>
        <w:top w:val="none" w:sz="0" w:space="0" w:color="auto"/>
        <w:left w:val="none" w:sz="0" w:space="0" w:color="auto"/>
        <w:bottom w:val="none" w:sz="0" w:space="0" w:color="auto"/>
        <w:right w:val="none" w:sz="0" w:space="0" w:color="auto"/>
      </w:divBdr>
    </w:div>
    <w:div w:id="1929732995">
      <w:bodyDiv w:val="1"/>
      <w:marLeft w:val="0"/>
      <w:marRight w:val="0"/>
      <w:marTop w:val="0"/>
      <w:marBottom w:val="0"/>
      <w:divBdr>
        <w:top w:val="none" w:sz="0" w:space="0" w:color="auto"/>
        <w:left w:val="none" w:sz="0" w:space="0" w:color="auto"/>
        <w:bottom w:val="none" w:sz="0" w:space="0" w:color="auto"/>
        <w:right w:val="none" w:sz="0" w:space="0" w:color="auto"/>
      </w:divBdr>
    </w:div>
    <w:div w:id="1931891619">
      <w:bodyDiv w:val="1"/>
      <w:marLeft w:val="0"/>
      <w:marRight w:val="0"/>
      <w:marTop w:val="0"/>
      <w:marBottom w:val="0"/>
      <w:divBdr>
        <w:top w:val="none" w:sz="0" w:space="0" w:color="auto"/>
        <w:left w:val="none" w:sz="0" w:space="0" w:color="auto"/>
        <w:bottom w:val="none" w:sz="0" w:space="0" w:color="auto"/>
        <w:right w:val="none" w:sz="0" w:space="0" w:color="auto"/>
      </w:divBdr>
    </w:div>
    <w:div w:id="1932467715">
      <w:bodyDiv w:val="1"/>
      <w:marLeft w:val="0"/>
      <w:marRight w:val="0"/>
      <w:marTop w:val="0"/>
      <w:marBottom w:val="0"/>
      <w:divBdr>
        <w:top w:val="none" w:sz="0" w:space="0" w:color="auto"/>
        <w:left w:val="none" w:sz="0" w:space="0" w:color="auto"/>
        <w:bottom w:val="none" w:sz="0" w:space="0" w:color="auto"/>
        <w:right w:val="none" w:sz="0" w:space="0" w:color="auto"/>
      </w:divBdr>
    </w:div>
    <w:div w:id="1951089247">
      <w:bodyDiv w:val="1"/>
      <w:marLeft w:val="0"/>
      <w:marRight w:val="0"/>
      <w:marTop w:val="0"/>
      <w:marBottom w:val="0"/>
      <w:divBdr>
        <w:top w:val="none" w:sz="0" w:space="0" w:color="auto"/>
        <w:left w:val="none" w:sz="0" w:space="0" w:color="auto"/>
        <w:bottom w:val="none" w:sz="0" w:space="0" w:color="auto"/>
        <w:right w:val="none" w:sz="0" w:space="0" w:color="auto"/>
      </w:divBdr>
    </w:div>
    <w:div w:id="1955091535">
      <w:bodyDiv w:val="1"/>
      <w:marLeft w:val="0"/>
      <w:marRight w:val="0"/>
      <w:marTop w:val="0"/>
      <w:marBottom w:val="0"/>
      <w:divBdr>
        <w:top w:val="none" w:sz="0" w:space="0" w:color="auto"/>
        <w:left w:val="none" w:sz="0" w:space="0" w:color="auto"/>
        <w:bottom w:val="none" w:sz="0" w:space="0" w:color="auto"/>
        <w:right w:val="none" w:sz="0" w:space="0" w:color="auto"/>
      </w:divBdr>
    </w:div>
    <w:div w:id="1965888122">
      <w:bodyDiv w:val="1"/>
      <w:marLeft w:val="0"/>
      <w:marRight w:val="0"/>
      <w:marTop w:val="0"/>
      <w:marBottom w:val="0"/>
      <w:divBdr>
        <w:top w:val="none" w:sz="0" w:space="0" w:color="auto"/>
        <w:left w:val="none" w:sz="0" w:space="0" w:color="auto"/>
        <w:bottom w:val="none" w:sz="0" w:space="0" w:color="auto"/>
        <w:right w:val="none" w:sz="0" w:space="0" w:color="auto"/>
      </w:divBdr>
    </w:div>
    <w:div w:id="1972321716">
      <w:bodyDiv w:val="1"/>
      <w:marLeft w:val="0"/>
      <w:marRight w:val="0"/>
      <w:marTop w:val="0"/>
      <w:marBottom w:val="0"/>
      <w:divBdr>
        <w:top w:val="none" w:sz="0" w:space="0" w:color="auto"/>
        <w:left w:val="none" w:sz="0" w:space="0" w:color="auto"/>
        <w:bottom w:val="none" w:sz="0" w:space="0" w:color="auto"/>
        <w:right w:val="none" w:sz="0" w:space="0" w:color="auto"/>
      </w:divBdr>
    </w:div>
    <w:div w:id="1974167599">
      <w:bodyDiv w:val="1"/>
      <w:marLeft w:val="0"/>
      <w:marRight w:val="0"/>
      <w:marTop w:val="0"/>
      <w:marBottom w:val="0"/>
      <w:divBdr>
        <w:top w:val="none" w:sz="0" w:space="0" w:color="auto"/>
        <w:left w:val="none" w:sz="0" w:space="0" w:color="auto"/>
        <w:bottom w:val="none" w:sz="0" w:space="0" w:color="auto"/>
        <w:right w:val="none" w:sz="0" w:space="0" w:color="auto"/>
      </w:divBdr>
    </w:div>
    <w:div w:id="1974754490">
      <w:bodyDiv w:val="1"/>
      <w:marLeft w:val="0"/>
      <w:marRight w:val="0"/>
      <w:marTop w:val="0"/>
      <w:marBottom w:val="0"/>
      <w:divBdr>
        <w:top w:val="none" w:sz="0" w:space="0" w:color="auto"/>
        <w:left w:val="none" w:sz="0" w:space="0" w:color="auto"/>
        <w:bottom w:val="none" w:sz="0" w:space="0" w:color="auto"/>
        <w:right w:val="none" w:sz="0" w:space="0" w:color="auto"/>
      </w:divBdr>
    </w:div>
    <w:div w:id="1974939702">
      <w:bodyDiv w:val="1"/>
      <w:marLeft w:val="0"/>
      <w:marRight w:val="0"/>
      <w:marTop w:val="0"/>
      <w:marBottom w:val="0"/>
      <w:divBdr>
        <w:top w:val="none" w:sz="0" w:space="0" w:color="auto"/>
        <w:left w:val="none" w:sz="0" w:space="0" w:color="auto"/>
        <w:bottom w:val="none" w:sz="0" w:space="0" w:color="auto"/>
        <w:right w:val="none" w:sz="0" w:space="0" w:color="auto"/>
      </w:divBdr>
    </w:div>
    <w:div w:id="1977025761">
      <w:bodyDiv w:val="1"/>
      <w:marLeft w:val="0"/>
      <w:marRight w:val="0"/>
      <w:marTop w:val="0"/>
      <w:marBottom w:val="0"/>
      <w:divBdr>
        <w:top w:val="none" w:sz="0" w:space="0" w:color="auto"/>
        <w:left w:val="none" w:sz="0" w:space="0" w:color="auto"/>
        <w:bottom w:val="none" w:sz="0" w:space="0" w:color="auto"/>
        <w:right w:val="none" w:sz="0" w:space="0" w:color="auto"/>
      </w:divBdr>
    </w:div>
    <w:div w:id="1978603578">
      <w:bodyDiv w:val="1"/>
      <w:marLeft w:val="0"/>
      <w:marRight w:val="0"/>
      <w:marTop w:val="0"/>
      <w:marBottom w:val="0"/>
      <w:divBdr>
        <w:top w:val="none" w:sz="0" w:space="0" w:color="auto"/>
        <w:left w:val="none" w:sz="0" w:space="0" w:color="auto"/>
        <w:bottom w:val="none" w:sz="0" w:space="0" w:color="auto"/>
        <w:right w:val="none" w:sz="0" w:space="0" w:color="auto"/>
      </w:divBdr>
    </w:div>
    <w:div w:id="1979800275">
      <w:bodyDiv w:val="1"/>
      <w:marLeft w:val="0"/>
      <w:marRight w:val="0"/>
      <w:marTop w:val="0"/>
      <w:marBottom w:val="0"/>
      <w:divBdr>
        <w:top w:val="none" w:sz="0" w:space="0" w:color="auto"/>
        <w:left w:val="none" w:sz="0" w:space="0" w:color="auto"/>
        <w:bottom w:val="none" w:sz="0" w:space="0" w:color="auto"/>
        <w:right w:val="none" w:sz="0" w:space="0" w:color="auto"/>
      </w:divBdr>
    </w:div>
    <w:div w:id="1985619460">
      <w:bodyDiv w:val="1"/>
      <w:marLeft w:val="0"/>
      <w:marRight w:val="0"/>
      <w:marTop w:val="0"/>
      <w:marBottom w:val="0"/>
      <w:divBdr>
        <w:top w:val="none" w:sz="0" w:space="0" w:color="auto"/>
        <w:left w:val="none" w:sz="0" w:space="0" w:color="auto"/>
        <w:bottom w:val="none" w:sz="0" w:space="0" w:color="auto"/>
        <w:right w:val="none" w:sz="0" w:space="0" w:color="auto"/>
      </w:divBdr>
    </w:div>
    <w:div w:id="1986741992">
      <w:bodyDiv w:val="1"/>
      <w:marLeft w:val="0"/>
      <w:marRight w:val="0"/>
      <w:marTop w:val="0"/>
      <w:marBottom w:val="0"/>
      <w:divBdr>
        <w:top w:val="none" w:sz="0" w:space="0" w:color="auto"/>
        <w:left w:val="none" w:sz="0" w:space="0" w:color="auto"/>
        <w:bottom w:val="none" w:sz="0" w:space="0" w:color="auto"/>
        <w:right w:val="none" w:sz="0" w:space="0" w:color="auto"/>
      </w:divBdr>
    </w:div>
    <w:div w:id="1991323493">
      <w:bodyDiv w:val="1"/>
      <w:marLeft w:val="0"/>
      <w:marRight w:val="0"/>
      <w:marTop w:val="0"/>
      <w:marBottom w:val="0"/>
      <w:divBdr>
        <w:top w:val="none" w:sz="0" w:space="0" w:color="auto"/>
        <w:left w:val="none" w:sz="0" w:space="0" w:color="auto"/>
        <w:bottom w:val="none" w:sz="0" w:space="0" w:color="auto"/>
        <w:right w:val="none" w:sz="0" w:space="0" w:color="auto"/>
      </w:divBdr>
    </w:div>
    <w:div w:id="1993024555">
      <w:bodyDiv w:val="1"/>
      <w:marLeft w:val="0"/>
      <w:marRight w:val="0"/>
      <w:marTop w:val="0"/>
      <w:marBottom w:val="0"/>
      <w:divBdr>
        <w:top w:val="none" w:sz="0" w:space="0" w:color="auto"/>
        <w:left w:val="none" w:sz="0" w:space="0" w:color="auto"/>
        <w:bottom w:val="none" w:sz="0" w:space="0" w:color="auto"/>
        <w:right w:val="none" w:sz="0" w:space="0" w:color="auto"/>
      </w:divBdr>
    </w:div>
    <w:div w:id="2000304570">
      <w:bodyDiv w:val="1"/>
      <w:marLeft w:val="0"/>
      <w:marRight w:val="0"/>
      <w:marTop w:val="0"/>
      <w:marBottom w:val="0"/>
      <w:divBdr>
        <w:top w:val="none" w:sz="0" w:space="0" w:color="auto"/>
        <w:left w:val="none" w:sz="0" w:space="0" w:color="auto"/>
        <w:bottom w:val="none" w:sz="0" w:space="0" w:color="auto"/>
        <w:right w:val="none" w:sz="0" w:space="0" w:color="auto"/>
      </w:divBdr>
    </w:div>
    <w:div w:id="2004355765">
      <w:bodyDiv w:val="1"/>
      <w:marLeft w:val="0"/>
      <w:marRight w:val="0"/>
      <w:marTop w:val="0"/>
      <w:marBottom w:val="0"/>
      <w:divBdr>
        <w:top w:val="none" w:sz="0" w:space="0" w:color="auto"/>
        <w:left w:val="none" w:sz="0" w:space="0" w:color="auto"/>
        <w:bottom w:val="none" w:sz="0" w:space="0" w:color="auto"/>
        <w:right w:val="none" w:sz="0" w:space="0" w:color="auto"/>
      </w:divBdr>
    </w:div>
    <w:div w:id="2010283054">
      <w:bodyDiv w:val="1"/>
      <w:marLeft w:val="0"/>
      <w:marRight w:val="0"/>
      <w:marTop w:val="0"/>
      <w:marBottom w:val="0"/>
      <w:divBdr>
        <w:top w:val="none" w:sz="0" w:space="0" w:color="auto"/>
        <w:left w:val="none" w:sz="0" w:space="0" w:color="auto"/>
        <w:bottom w:val="none" w:sz="0" w:space="0" w:color="auto"/>
        <w:right w:val="none" w:sz="0" w:space="0" w:color="auto"/>
      </w:divBdr>
    </w:div>
    <w:div w:id="2014722921">
      <w:bodyDiv w:val="1"/>
      <w:marLeft w:val="0"/>
      <w:marRight w:val="0"/>
      <w:marTop w:val="0"/>
      <w:marBottom w:val="0"/>
      <w:divBdr>
        <w:top w:val="none" w:sz="0" w:space="0" w:color="auto"/>
        <w:left w:val="none" w:sz="0" w:space="0" w:color="auto"/>
        <w:bottom w:val="none" w:sz="0" w:space="0" w:color="auto"/>
        <w:right w:val="none" w:sz="0" w:space="0" w:color="auto"/>
      </w:divBdr>
    </w:div>
    <w:div w:id="2014871201">
      <w:bodyDiv w:val="1"/>
      <w:marLeft w:val="0"/>
      <w:marRight w:val="0"/>
      <w:marTop w:val="0"/>
      <w:marBottom w:val="0"/>
      <w:divBdr>
        <w:top w:val="none" w:sz="0" w:space="0" w:color="auto"/>
        <w:left w:val="none" w:sz="0" w:space="0" w:color="auto"/>
        <w:bottom w:val="none" w:sz="0" w:space="0" w:color="auto"/>
        <w:right w:val="none" w:sz="0" w:space="0" w:color="auto"/>
      </w:divBdr>
    </w:div>
    <w:div w:id="2020351560">
      <w:bodyDiv w:val="1"/>
      <w:marLeft w:val="0"/>
      <w:marRight w:val="0"/>
      <w:marTop w:val="0"/>
      <w:marBottom w:val="0"/>
      <w:divBdr>
        <w:top w:val="none" w:sz="0" w:space="0" w:color="auto"/>
        <w:left w:val="none" w:sz="0" w:space="0" w:color="auto"/>
        <w:bottom w:val="none" w:sz="0" w:space="0" w:color="auto"/>
        <w:right w:val="none" w:sz="0" w:space="0" w:color="auto"/>
      </w:divBdr>
    </w:div>
    <w:div w:id="2028824567">
      <w:bodyDiv w:val="1"/>
      <w:marLeft w:val="0"/>
      <w:marRight w:val="0"/>
      <w:marTop w:val="0"/>
      <w:marBottom w:val="0"/>
      <w:divBdr>
        <w:top w:val="none" w:sz="0" w:space="0" w:color="auto"/>
        <w:left w:val="none" w:sz="0" w:space="0" w:color="auto"/>
        <w:bottom w:val="none" w:sz="0" w:space="0" w:color="auto"/>
        <w:right w:val="none" w:sz="0" w:space="0" w:color="auto"/>
      </w:divBdr>
      <w:divsChild>
        <w:div w:id="2093040901">
          <w:marLeft w:val="0"/>
          <w:marRight w:val="0"/>
          <w:marTop w:val="0"/>
          <w:marBottom w:val="0"/>
          <w:divBdr>
            <w:top w:val="none" w:sz="0" w:space="0" w:color="auto"/>
            <w:left w:val="none" w:sz="0" w:space="0" w:color="auto"/>
            <w:bottom w:val="none" w:sz="0" w:space="0" w:color="auto"/>
            <w:right w:val="none" w:sz="0" w:space="0" w:color="auto"/>
          </w:divBdr>
        </w:div>
      </w:divsChild>
    </w:div>
    <w:div w:id="2032486576">
      <w:bodyDiv w:val="1"/>
      <w:marLeft w:val="0"/>
      <w:marRight w:val="0"/>
      <w:marTop w:val="0"/>
      <w:marBottom w:val="0"/>
      <w:divBdr>
        <w:top w:val="none" w:sz="0" w:space="0" w:color="auto"/>
        <w:left w:val="none" w:sz="0" w:space="0" w:color="auto"/>
        <w:bottom w:val="none" w:sz="0" w:space="0" w:color="auto"/>
        <w:right w:val="none" w:sz="0" w:space="0" w:color="auto"/>
      </w:divBdr>
    </w:div>
    <w:div w:id="2037467332">
      <w:bodyDiv w:val="1"/>
      <w:marLeft w:val="0"/>
      <w:marRight w:val="0"/>
      <w:marTop w:val="0"/>
      <w:marBottom w:val="0"/>
      <w:divBdr>
        <w:top w:val="none" w:sz="0" w:space="0" w:color="auto"/>
        <w:left w:val="none" w:sz="0" w:space="0" w:color="auto"/>
        <w:bottom w:val="none" w:sz="0" w:space="0" w:color="auto"/>
        <w:right w:val="none" w:sz="0" w:space="0" w:color="auto"/>
      </w:divBdr>
    </w:div>
    <w:div w:id="2048988132">
      <w:bodyDiv w:val="1"/>
      <w:marLeft w:val="0"/>
      <w:marRight w:val="0"/>
      <w:marTop w:val="0"/>
      <w:marBottom w:val="0"/>
      <w:divBdr>
        <w:top w:val="none" w:sz="0" w:space="0" w:color="auto"/>
        <w:left w:val="none" w:sz="0" w:space="0" w:color="auto"/>
        <w:bottom w:val="none" w:sz="0" w:space="0" w:color="auto"/>
        <w:right w:val="none" w:sz="0" w:space="0" w:color="auto"/>
      </w:divBdr>
    </w:div>
    <w:div w:id="2056200158">
      <w:bodyDiv w:val="1"/>
      <w:marLeft w:val="0"/>
      <w:marRight w:val="0"/>
      <w:marTop w:val="0"/>
      <w:marBottom w:val="0"/>
      <w:divBdr>
        <w:top w:val="none" w:sz="0" w:space="0" w:color="auto"/>
        <w:left w:val="none" w:sz="0" w:space="0" w:color="auto"/>
        <w:bottom w:val="none" w:sz="0" w:space="0" w:color="auto"/>
        <w:right w:val="none" w:sz="0" w:space="0" w:color="auto"/>
      </w:divBdr>
    </w:div>
    <w:div w:id="2062896498">
      <w:bodyDiv w:val="1"/>
      <w:marLeft w:val="0"/>
      <w:marRight w:val="0"/>
      <w:marTop w:val="0"/>
      <w:marBottom w:val="0"/>
      <w:divBdr>
        <w:top w:val="none" w:sz="0" w:space="0" w:color="auto"/>
        <w:left w:val="none" w:sz="0" w:space="0" w:color="auto"/>
        <w:bottom w:val="none" w:sz="0" w:space="0" w:color="auto"/>
        <w:right w:val="none" w:sz="0" w:space="0" w:color="auto"/>
      </w:divBdr>
    </w:div>
    <w:div w:id="2070692605">
      <w:bodyDiv w:val="1"/>
      <w:marLeft w:val="0"/>
      <w:marRight w:val="0"/>
      <w:marTop w:val="0"/>
      <w:marBottom w:val="0"/>
      <w:divBdr>
        <w:top w:val="none" w:sz="0" w:space="0" w:color="auto"/>
        <w:left w:val="none" w:sz="0" w:space="0" w:color="auto"/>
        <w:bottom w:val="none" w:sz="0" w:space="0" w:color="auto"/>
        <w:right w:val="none" w:sz="0" w:space="0" w:color="auto"/>
      </w:divBdr>
    </w:div>
    <w:div w:id="2072731153">
      <w:bodyDiv w:val="1"/>
      <w:marLeft w:val="0"/>
      <w:marRight w:val="0"/>
      <w:marTop w:val="0"/>
      <w:marBottom w:val="0"/>
      <w:divBdr>
        <w:top w:val="none" w:sz="0" w:space="0" w:color="auto"/>
        <w:left w:val="none" w:sz="0" w:space="0" w:color="auto"/>
        <w:bottom w:val="none" w:sz="0" w:space="0" w:color="auto"/>
        <w:right w:val="none" w:sz="0" w:space="0" w:color="auto"/>
      </w:divBdr>
    </w:div>
    <w:div w:id="2083259735">
      <w:bodyDiv w:val="1"/>
      <w:marLeft w:val="0"/>
      <w:marRight w:val="0"/>
      <w:marTop w:val="0"/>
      <w:marBottom w:val="0"/>
      <w:divBdr>
        <w:top w:val="none" w:sz="0" w:space="0" w:color="auto"/>
        <w:left w:val="none" w:sz="0" w:space="0" w:color="auto"/>
        <w:bottom w:val="none" w:sz="0" w:space="0" w:color="auto"/>
        <w:right w:val="none" w:sz="0" w:space="0" w:color="auto"/>
      </w:divBdr>
    </w:div>
    <w:div w:id="2086485390">
      <w:bodyDiv w:val="1"/>
      <w:marLeft w:val="0"/>
      <w:marRight w:val="0"/>
      <w:marTop w:val="0"/>
      <w:marBottom w:val="0"/>
      <w:divBdr>
        <w:top w:val="none" w:sz="0" w:space="0" w:color="auto"/>
        <w:left w:val="none" w:sz="0" w:space="0" w:color="auto"/>
        <w:bottom w:val="none" w:sz="0" w:space="0" w:color="auto"/>
        <w:right w:val="none" w:sz="0" w:space="0" w:color="auto"/>
      </w:divBdr>
    </w:div>
    <w:div w:id="2087681557">
      <w:bodyDiv w:val="1"/>
      <w:marLeft w:val="0"/>
      <w:marRight w:val="0"/>
      <w:marTop w:val="0"/>
      <w:marBottom w:val="0"/>
      <w:divBdr>
        <w:top w:val="none" w:sz="0" w:space="0" w:color="auto"/>
        <w:left w:val="none" w:sz="0" w:space="0" w:color="auto"/>
        <w:bottom w:val="none" w:sz="0" w:space="0" w:color="auto"/>
        <w:right w:val="none" w:sz="0" w:space="0" w:color="auto"/>
      </w:divBdr>
    </w:div>
    <w:div w:id="2096705161">
      <w:bodyDiv w:val="1"/>
      <w:marLeft w:val="0"/>
      <w:marRight w:val="0"/>
      <w:marTop w:val="0"/>
      <w:marBottom w:val="0"/>
      <w:divBdr>
        <w:top w:val="none" w:sz="0" w:space="0" w:color="auto"/>
        <w:left w:val="none" w:sz="0" w:space="0" w:color="auto"/>
        <w:bottom w:val="none" w:sz="0" w:space="0" w:color="auto"/>
        <w:right w:val="none" w:sz="0" w:space="0" w:color="auto"/>
      </w:divBdr>
    </w:div>
    <w:div w:id="2097702934">
      <w:bodyDiv w:val="1"/>
      <w:marLeft w:val="0"/>
      <w:marRight w:val="0"/>
      <w:marTop w:val="0"/>
      <w:marBottom w:val="0"/>
      <w:divBdr>
        <w:top w:val="none" w:sz="0" w:space="0" w:color="auto"/>
        <w:left w:val="none" w:sz="0" w:space="0" w:color="auto"/>
        <w:bottom w:val="none" w:sz="0" w:space="0" w:color="auto"/>
        <w:right w:val="none" w:sz="0" w:space="0" w:color="auto"/>
      </w:divBdr>
    </w:div>
    <w:div w:id="2099328504">
      <w:bodyDiv w:val="1"/>
      <w:marLeft w:val="0"/>
      <w:marRight w:val="0"/>
      <w:marTop w:val="0"/>
      <w:marBottom w:val="0"/>
      <w:divBdr>
        <w:top w:val="none" w:sz="0" w:space="0" w:color="auto"/>
        <w:left w:val="none" w:sz="0" w:space="0" w:color="auto"/>
        <w:bottom w:val="none" w:sz="0" w:space="0" w:color="auto"/>
        <w:right w:val="none" w:sz="0" w:space="0" w:color="auto"/>
      </w:divBdr>
    </w:div>
    <w:div w:id="2101558714">
      <w:bodyDiv w:val="1"/>
      <w:marLeft w:val="0"/>
      <w:marRight w:val="0"/>
      <w:marTop w:val="0"/>
      <w:marBottom w:val="0"/>
      <w:divBdr>
        <w:top w:val="none" w:sz="0" w:space="0" w:color="auto"/>
        <w:left w:val="none" w:sz="0" w:space="0" w:color="auto"/>
        <w:bottom w:val="none" w:sz="0" w:space="0" w:color="auto"/>
        <w:right w:val="none" w:sz="0" w:space="0" w:color="auto"/>
      </w:divBdr>
    </w:div>
    <w:div w:id="2106029762">
      <w:bodyDiv w:val="1"/>
      <w:marLeft w:val="0"/>
      <w:marRight w:val="0"/>
      <w:marTop w:val="0"/>
      <w:marBottom w:val="0"/>
      <w:divBdr>
        <w:top w:val="none" w:sz="0" w:space="0" w:color="auto"/>
        <w:left w:val="none" w:sz="0" w:space="0" w:color="auto"/>
        <w:bottom w:val="none" w:sz="0" w:space="0" w:color="auto"/>
        <w:right w:val="none" w:sz="0" w:space="0" w:color="auto"/>
      </w:divBdr>
    </w:div>
    <w:div w:id="2109228722">
      <w:bodyDiv w:val="1"/>
      <w:marLeft w:val="0"/>
      <w:marRight w:val="0"/>
      <w:marTop w:val="0"/>
      <w:marBottom w:val="0"/>
      <w:divBdr>
        <w:top w:val="none" w:sz="0" w:space="0" w:color="auto"/>
        <w:left w:val="none" w:sz="0" w:space="0" w:color="auto"/>
        <w:bottom w:val="none" w:sz="0" w:space="0" w:color="auto"/>
        <w:right w:val="none" w:sz="0" w:space="0" w:color="auto"/>
      </w:divBdr>
    </w:div>
    <w:div w:id="2111310017">
      <w:bodyDiv w:val="1"/>
      <w:marLeft w:val="0"/>
      <w:marRight w:val="0"/>
      <w:marTop w:val="0"/>
      <w:marBottom w:val="0"/>
      <w:divBdr>
        <w:top w:val="none" w:sz="0" w:space="0" w:color="auto"/>
        <w:left w:val="none" w:sz="0" w:space="0" w:color="auto"/>
        <w:bottom w:val="none" w:sz="0" w:space="0" w:color="auto"/>
        <w:right w:val="none" w:sz="0" w:space="0" w:color="auto"/>
      </w:divBdr>
    </w:div>
    <w:div w:id="2116945229">
      <w:bodyDiv w:val="1"/>
      <w:marLeft w:val="0"/>
      <w:marRight w:val="0"/>
      <w:marTop w:val="0"/>
      <w:marBottom w:val="0"/>
      <w:divBdr>
        <w:top w:val="none" w:sz="0" w:space="0" w:color="auto"/>
        <w:left w:val="none" w:sz="0" w:space="0" w:color="auto"/>
        <w:bottom w:val="none" w:sz="0" w:space="0" w:color="auto"/>
        <w:right w:val="none" w:sz="0" w:space="0" w:color="auto"/>
      </w:divBdr>
    </w:div>
    <w:div w:id="2117291400">
      <w:bodyDiv w:val="1"/>
      <w:marLeft w:val="0"/>
      <w:marRight w:val="0"/>
      <w:marTop w:val="0"/>
      <w:marBottom w:val="0"/>
      <w:divBdr>
        <w:top w:val="none" w:sz="0" w:space="0" w:color="auto"/>
        <w:left w:val="none" w:sz="0" w:space="0" w:color="auto"/>
        <w:bottom w:val="none" w:sz="0" w:space="0" w:color="auto"/>
        <w:right w:val="none" w:sz="0" w:space="0" w:color="auto"/>
      </w:divBdr>
    </w:div>
    <w:div w:id="2132824444">
      <w:bodyDiv w:val="1"/>
      <w:marLeft w:val="0"/>
      <w:marRight w:val="0"/>
      <w:marTop w:val="0"/>
      <w:marBottom w:val="0"/>
      <w:divBdr>
        <w:top w:val="none" w:sz="0" w:space="0" w:color="auto"/>
        <w:left w:val="none" w:sz="0" w:space="0" w:color="auto"/>
        <w:bottom w:val="none" w:sz="0" w:space="0" w:color="auto"/>
        <w:right w:val="none" w:sz="0" w:space="0" w:color="auto"/>
      </w:divBdr>
    </w:div>
    <w:div w:id="2139034157">
      <w:bodyDiv w:val="1"/>
      <w:marLeft w:val="0"/>
      <w:marRight w:val="0"/>
      <w:marTop w:val="0"/>
      <w:marBottom w:val="0"/>
      <w:divBdr>
        <w:top w:val="none" w:sz="0" w:space="0" w:color="auto"/>
        <w:left w:val="none" w:sz="0" w:space="0" w:color="auto"/>
        <w:bottom w:val="none" w:sz="0" w:space="0" w:color="auto"/>
        <w:right w:val="none" w:sz="0" w:space="0" w:color="auto"/>
      </w:divBdr>
    </w:div>
    <w:div w:id="2140494640">
      <w:bodyDiv w:val="1"/>
      <w:marLeft w:val="0"/>
      <w:marRight w:val="0"/>
      <w:marTop w:val="0"/>
      <w:marBottom w:val="0"/>
      <w:divBdr>
        <w:top w:val="none" w:sz="0" w:space="0" w:color="auto"/>
        <w:left w:val="none" w:sz="0" w:space="0" w:color="auto"/>
        <w:bottom w:val="none" w:sz="0" w:space="0" w:color="auto"/>
        <w:right w:val="none" w:sz="0" w:space="0" w:color="auto"/>
      </w:divBdr>
    </w:div>
    <w:div w:id="2141024937">
      <w:bodyDiv w:val="1"/>
      <w:marLeft w:val="0"/>
      <w:marRight w:val="0"/>
      <w:marTop w:val="0"/>
      <w:marBottom w:val="0"/>
      <w:divBdr>
        <w:top w:val="none" w:sz="0" w:space="0" w:color="auto"/>
        <w:left w:val="none" w:sz="0" w:space="0" w:color="auto"/>
        <w:bottom w:val="none" w:sz="0" w:space="0" w:color="auto"/>
        <w:right w:val="none" w:sz="0" w:space="0" w:color="auto"/>
      </w:divBdr>
    </w:div>
    <w:div w:id="2141920579">
      <w:bodyDiv w:val="1"/>
      <w:marLeft w:val="0"/>
      <w:marRight w:val="0"/>
      <w:marTop w:val="0"/>
      <w:marBottom w:val="0"/>
      <w:divBdr>
        <w:top w:val="none" w:sz="0" w:space="0" w:color="auto"/>
        <w:left w:val="none" w:sz="0" w:space="0" w:color="auto"/>
        <w:bottom w:val="none" w:sz="0" w:space="0" w:color="auto"/>
        <w:right w:val="none" w:sz="0" w:space="0" w:color="auto"/>
      </w:divBdr>
    </w:div>
    <w:div w:id="214473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7.xml"/><Relationship Id="rId26" Type="http://schemas.openxmlformats.org/officeDocument/2006/relationships/chart" Target="charts/chart15.xml"/><Relationship Id="rId39" Type="http://schemas.openxmlformats.org/officeDocument/2006/relationships/fontTable" Target="fontTable.xml"/><Relationship Id="rId21" Type="http://schemas.openxmlformats.org/officeDocument/2006/relationships/chart" Target="charts/chart10.xml"/><Relationship Id="rId34" Type="http://schemas.openxmlformats.org/officeDocument/2006/relationships/hyperlink" Target="https://bratislavskykraj.sk/urad-bsk/eurofondy-a-regionalny-rozvoj/" TargetMode="External"/><Relationship Id="rId42"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chart" Target="charts/chart9.xml"/><Relationship Id="rId29" Type="http://schemas.openxmlformats.org/officeDocument/2006/relationships/chart" Target="charts/chart18.xm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3.xml"/><Relationship Id="rId32" Type="http://schemas.openxmlformats.org/officeDocument/2006/relationships/hyperlink" Target="https://bratislavskykraj.sk/stredna-pre-mna/"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image" Target="media/image4.png"/><Relationship Id="rId10" Type="http://schemas.openxmlformats.org/officeDocument/2006/relationships/chart" Target="charts/chart1.xml"/><Relationship Id="rId19" Type="http://schemas.openxmlformats.org/officeDocument/2006/relationships/chart" Target="charts/chart8.xml"/><Relationship Id="rId31" Type="http://schemas.openxmlformats.org/officeDocument/2006/relationships/hyperlink" Target="http://bratislavskykraj.sk/koronavirus/" TargetMode="External"/><Relationship Id="rId44"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hyperlink" Target="https://bratislavskykraj.sk/ocenenia-bratislavskeho-samospravneho-kraja/" TargetMode="External"/><Relationship Id="rId43" Type="http://schemas.openxmlformats.org/officeDocument/2006/relationships/customXml" Target="../customXml/item5.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chart" Target="charts/chart3.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hyperlink" Target="https://bratislavskykraj.sk/pomozme-si/" TargetMode="External"/><Relationship Id="rId38"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Docserver\redirections$\rpipasova\My%20Documents\rozpocet2120210216075452.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https://vucba-my.sharepoint.com/personal/renata_pipasova_region-bsk_sk/Documents/Dokumenty/DANE/D%20A%20N%20E%20%20+%20R%20F+%20&#250;very.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C:\Users\rpipasova\AppData\Local\Microsoft\Windows\INetCache\Content.Outlook\5TRWMX7X\PK%2014.2%20Individu&#225;lne%20dot&#225;cie%202020.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oleObject" Target="file:///\\Docserver\redirections$\rpipasova\My%20Documents\rozpocet2120210312134722.xlsx"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ocserver\SHARE\Odd.%20Rozpoctu\M%20A%20T%20E%20R%20I%20&#193;%20L%20Y%20%20%20do%20%20%20Z%20%20%20B%20S%20K\2021\ZU%202020\REP%20uzavierka.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15947554067053"/>
          <c:y val="0.13363344384583506"/>
          <c:w val="0.82751291249274372"/>
          <c:h val="0.72278878666960977"/>
        </c:manualLayout>
      </c:layout>
      <c:barChart>
        <c:barDir val="col"/>
        <c:grouping val="stacked"/>
        <c:varyColors val="0"/>
        <c:ser>
          <c:idx val="0"/>
          <c:order val="0"/>
          <c:tx>
            <c:strRef>
              <c:f>Hárok1!$A$37</c:f>
              <c:strCache>
                <c:ptCount val="1"/>
                <c:pt idx="0">
                  <c:v>Bežné príjmy</c:v>
                </c:pt>
              </c:strCache>
            </c:strRef>
          </c:tx>
          <c:spPr>
            <a:solidFill>
              <a:schemeClr val="accent1"/>
            </a:solidFill>
            <a:ln>
              <a:noFill/>
            </a:ln>
            <a:effectLst/>
          </c:spPr>
          <c:invertIfNegative val="0"/>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Hárok1!$B$36:$C$36</c:f>
              <c:strCache>
                <c:ptCount val="2"/>
                <c:pt idx="0">
                  <c:v>skutočnosť 2019</c:v>
                </c:pt>
                <c:pt idx="1">
                  <c:v>skutočnosť 2020</c:v>
                </c:pt>
              </c:strCache>
            </c:strRef>
          </c:cat>
          <c:val>
            <c:numRef>
              <c:f>Hárok1!$B$37:$C$37</c:f>
              <c:numCache>
                <c:formatCode>#,##0.00</c:formatCode>
                <c:ptCount val="2"/>
                <c:pt idx="0">
                  <c:v>166251797.08000001</c:v>
                </c:pt>
                <c:pt idx="1">
                  <c:v>175613428.04000002</c:v>
                </c:pt>
              </c:numCache>
            </c:numRef>
          </c:val>
          <c:extLst>
            <c:ext xmlns:c16="http://schemas.microsoft.com/office/drawing/2014/chart" uri="{C3380CC4-5D6E-409C-BE32-E72D297353CC}">
              <c16:uniqueId val="{00000000-35A7-47B2-B1E7-E115DCA2D1DA}"/>
            </c:ext>
          </c:extLst>
        </c:ser>
        <c:ser>
          <c:idx val="1"/>
          <c:order val="1"/>
          <c:tx>
            <c:strRef>
              <c:f>Hárok1!$A$38</c:f>
              <c:strCache>
                <c:ptCount val="1"/>
                <c:pt idx="0">
                  <c:v>Kapitálové  príjmy</c:v>
                </c:pt>
              </c:strCache>
            </c:strRef>
          </c:tx>
          <c:spPr>
            <a:solidFill>
              <a:schemeClr val="accent2"/>
            </a:solidFill>
            <a:ln>
              <a:noFill/>
            </a:ln>
            <a:effectLst/>
          </c:spPr>
          <c:invertIfNegative val="0"/>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Hárok1!$B$36:$C$36</c:f>
              <c:strCache>
                <c:ptCount val="2"/>
                <c:pt idx="0">
                  <c:v>skutočnosť 2019</c:v>
                </c:pt>
                <c:pt idx="1">
                  <c:v>skutočnosť 2020</c:v>
                </c:pt>
              </c:strCache>
            </c:strRef>
          </c:cat>
          <c:val>
            <c:numRef>
              <c:f>Hárok1!$B$38:$C$38</c:f>
              <c:numCache>
                <c:formatCode>#,##0.00</c:formatCode>
                <c:ptCount val="2"/>
                <c:pt idx="0">
                  <c:v>11029851.43</c:v>
                </c:pt>
                <c:pt idx="1">
                  <c:v>4100517.7800000003</c:v>
                </c:pt>
              </c:numCache>
            </c:numRef>
          </c:val>
          <c:extLst>
            <c:ext xmlns:c16="http://schemas.microsoft.com/office/drawing/2014/chart" uri="{C3380CC4-5D6E-409C-BE32-E72D297353CC}">
              <c16:uniqueId val="{00000001-35A7-47B2-B1E7-E115DCA2D1DA}"/>
            </c:ext>
          </c:extLst>
        </c:ser>
        <c:ser>
          <c:idx val="2"/>
          <c:order val="2"/>
          <c:tx>
            <c:strRef>
              <c:f>Hárok1!$A$39</c:f>
              <c:strCache>
                <c:ptCount val="1"/>
                <c:pt idx="0">
                  <c:v>Príjmové fin. oper.</c:v>
                </c:pt>
              </c:strCache>
            </c:strRef>
          </c:tx>
          <c:spPr>
            <a:solidFill>
              <a:schemeClr val="accent3"/>
            </a:solidFill>
            <a:ln>
              <a:noFill/>
            </a:ln>
            <a:effectLst/>
          </c:spPr>
          <c:invertIfNegative val="0"/>
          <c:dLbls>
            <c:dLbl>
              <c:idx val="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extLst>
                <c:ext xmlns:c16="http://schemas.microsoft.com/office/drawing/2014/chart" uri="{C3380CC4-5D6E-409C-BE32-E72D297353CC}">
                  <c16:uniqueId val="{00000002-B67F-4B0E-8682-32B520CE4DE0}"/>
                </c:ext>
              </c:extLst>
            </c:dLbl>
            <c:dLbl>
              <c:idx val="1"/>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extLst>
                <c:ext xmlns:c16="http://schemas.microsoft.com/office/drawing/2014/chart" uri="{C3380CC4-5D6E-409C-BE32-E72D297353CC}">
                  <c16:uniqueId val="{00000001-B67F-4B0E-8682-32B520CE4DE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Hárok1!$B$36:$C$36</c:f>
              <c:strCache>
                <c:ptCount val="2"/>
                <c:pt idx="0">
                  <c:v>skutočnosť 2019</c:v>
                </c:pt>
                <c:pt idx="1">
                  <c:v>skutočnosť 2020</c:v>
                </c:pt>
              </c:strCache>
            </c:strRef>
          </c:cat>
          <c:val>
            <c:numRef>
              <c:f>Hárok1!$B$39:$C$39</c:f>
              <c:numCache>
                <c:formatCode>#,##0.00</c:formatCode>
                <c:ptCount val="2"/>
                <c:pt idx="0">
                  <c:v>19548920.34</c:v>
                </c:pt>
                <c:pt idx="1">
                  <c:v>16851529.990000002</c:v>
                </c:pt>
              </c:numCache>
            </c:numRef>
          </c:val>
          <c:extLst>
            <c:ext xmlns:c16="http://schemas.microsoft.com/office/drawing/2014/chart" uri="{C3380CC4-5D6E-409C-BE32-E72D297353CC}">
              <c16:uniqueId val="{00000002-35A7-47B2-B1E7-E115DCA2D1DA}"/>
            </c:ext>
          </c:extLst>
        </c:ser>
        <c:dLbls>
          <c:showLegendKey val="0"/>
          <c:showVal val="0"/>
          <c:showCatName val="0"/>
          <c:showSerName val="0"/>
          <c:showPercent val="0"/>
          <c:showBubbleSize val="0"/>
        </c:dLbls>
        <c:gapWidth val="150"/>
        <c:overlap val="100"/>
        <c:axId val="25225839"/>
        <c:axId val="309906815"/>
      </c:barChart>
      <c:catAx>
        <c:axId val="252258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ln>
                  <a:solidFill>
                    <a:schemeClr val="accent1"/>
                  </a:solidFill>
                </a:ln>
                <a:solidFill>
                  <a:schemeClr val="tx1">
                    <a:lumMod val="65000"/>
                    <a:lumOff val="35000"/>
                  </a:schemeClr>
                </a:solidFill>
                <a:latin typeface="+mn-lt"/>
                <a:ea typeface="+mn-ea"/>
                <a:cs typeface="+mn-cs"/>
              </a:defRPr>
            </a:pPr>
            <a:endParaRPr lang="sk-SK"/>
          </a:p>
        </c:txPr>
        <c:crossAx val="309906815"/>
        <c:crossesAt val="100"/>
        <c:auto val="1"/>
        <c:lblAlgn val="ctr"/>
        <c:lblOffset val="100"/>
        <c:noMultiLvlLbl val="0"/>
      </c:catAx>
      <c:valAx>
        <c:axId val="309906815"/>
        <c:scaling>
          <c:orientation val="minMax"/>
          <c:max val="200000000"/>
          <c:min val="10000000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25225839"/>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dispUnitsLbl>
        </c:dispUnits>
      </c:valAx>
      <c:spPr>
        <a:noFill/>
        <a:ln>
          <a:noFill/>
        </a:ln>
        <a:effectLst/>
      </c:spPr>
    </c:plotArea>
    <c:legend>
      <c:legendPos val="t"/>
      <c:layout>
        <c:manualLayout>
          <c:xMode val="edge"/>
          <c:yMode val="edge"/>
          <c:x val="0.24562812001440995"/>
          <c:y val="2.6315789473684209E-2"/>
          <c:w val="0.55499800081550887"/>
          <c:h val="7.401367592208868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tx>
            <c:strRef>
              <c:f>'V+VFO'!$C$94</c:f>
              <c:strCache>
                <c:ptCount val="1"/>
                <c:pt idx="0">
                  <c:v>Skutočnosť 2020</c:v>
                </c:pt>
              </c:strCache>
            </c:strRef>
          </c:tx>
          <c:dPt>
            <c:idx val="0"/>
            <c:bubble3D val="0"/>
            <c:explosion val="3"/>
            <c:spPr>
              <a:solidFill>
                <a:schemeClr val="accent1"/>
              </a:solidFill>
              <a:ln>
                <a:noFill/>
              </a:ln>
              <a:effectLst/>
            </c:spPr>
            <c:extLst>
              <c:ext xmlns:c16="http://schemas.microsoft.com/office/drawing/2014/chart" uri="{C3380CC4-5D6E-409C-BE32-E72D297353CC}">
                <c16:uniqueId val="{00000001-D3FC-41D5-9588-EEA6A9BC1CD0}"/>
              </c:ext>
            </c:extLst>
          </c:dPt>
          <c:dPt>
            <c:idx val="1"/>
            <c:bubble3D val="0"/>
            <c:explosion val="4"/>
            <c:spPr>
              <a:solidFill>
                <a:schemeClr val="accent2"/>
              </a:solidFill>
              <a:ln>
                <a:noFill/>
              </a:ln>
              <a:effectLst/>
            </c:spPr>
            <c:extLst>
              <c:ext xmlns:c16="http://schemas.microsoft.com/office/drawing/2014/chart" uri="{C3380CC4-5D6E-409C-BE32-E72D297353CC}">
                <c16:uniqueId val="{00000003-D3FC-41D5-9588-EEA6A9BC1CD0}"/>
              </c:ext>
            </c:extLst>
          </c:dPt>
          <c:dPt>
            <c:idx val="2"/>
            <c:bubble3D val="0"/>
            <c:explosion val="5"/>
            <c:spPr>
              <a:solidFill>
                <a:schemeClr val="accent3"/>
              </a:solidFill>
              <a:ln>
                <a:noFill/>
              </a:ln>
              <a:effectLst/>
            </c:spPr>
            <c:extLst>
              <c:ext xmlns:c16="http://schemas.microsoft.com/office/drawing/2014/chart" uri="{C3380CC4-5D6E-409C-BE32-E72D297353CC}">
                <c16:uniqueId val="{00000005-D3FC-41D5-9588-EEA6A9BC1CD0}"/>
              </c:ext>
            </c:extLst>
          </c:dPt>
          <c:dPt>
            <c:idx val="3"/>
            <c:bubble3D val="0"/>
            <c:explosion val="2"/>
            <c:spPr>
              <a:solidFill>
                <a:schemeClr val="accent4"/>
              </a:solidFill>
              <a:ln>
                <a:noFill/>
              </a:ln>
              <a:effectLst/>
            </c:spPr>
            <c:extLst>
              <c:ext xmlns:c16="http://schemas.microsoft.com/office/drawing/2014/chart" uri="{C3380CC4-5D6E-409C-BE32-E72D297353CC}">
                <c16:uniqueId val="{00000007-D3FC-41D5-9588-EEA6A9BC1CD0}"/>
              </c:ext>
            </c:extLst>
          </c:dPt>
          <c:dPt>
            <c:idx val="4"/>
            <c:bubble3D val="0"/>
            <c:spPr>
              <a:solidFill>
                <a:schemeClr val="accent5"/>
              </a:solidFill>
              <a:ln>
                <a:noFill/>
              </a:ln>
              <a:effectLst/>
            </c:spPr>
            <c:extLst>
              <c:ext xmlns:c16="http://schemas.microsoft.com/office/drawing/2014/chart" uri="{C3380CC4-5D6E-409C-BE32-E72D297353CC}">
                <c16:uniqueId val="{00000009-D3FC-41D5-9588-EEA6A9BC1CD0}"/>
              </c:ext>
            </c:extLst>
          </c:dPt>
          <c:dLbls>
            <c:dLbl>
              <c:idx val="0"/>
              <c:layout>
                <c:manualLayout>
                  <c:x val="-1.1134022859645081E-2"/>
                  <c:y val="-9.7222039953339168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15:layout>
                    <c:manualLayout>
                      <c:w val="0.23183114731443424"/>
                      <c:h val="0.16645851560221639"/>
                    </c:manualLayout>
                  </c15:layout>
                </c:ext>
                <c:ext xmlns:c16="http://schemas.microsoft.com/office/drawing/2014/chart" uri="{C3380CC4-5D6E-409C-BE32-E72D297353CC}">
                  <c16:uniqueId val="{00000001-D3FC-41D5-9588-EEA6A9BC1CD0}"/>
                </c:ext>
              </c:extLst>
            </c:dLbl>
            <c:dLbl>
              <c:idx val="1"/>
              <c:layout>
                <c:manualLayout>
                  <c:x val="6.8806646408402269E-2"/>
                  <c:y val="-0.21759222805482648"/>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15:layout>
                    <c:manualLayout>
                      <c:w val="0.20688522197395409"/>
                      <c:h val="0.16645851560221639"/>
                    </c:manualLayout>
                  </c15:layout>
                </c:ext>
                <c:ext xmlns:c16="http://schemas.microsoft.com/office/drawing/2014/chart" uri="{C3380CC4-5D6E-409C-BE32-E72D297353CC}">
                  <c16:uniqueId val="{00000003-D3FC-41D5-9588-EEA6A9BC1CD0}"/>
                </c:ext>
              </c:extLst>
            </c:dLbl>
            <c:dLbl>
              <c:idx val="2"/>
              <c:layout>
                <c:manualLayout>
                  <c:x val="-0.15518379173220584"/>
                  <c:y val="-0.14814814814814806"/>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3FC-41D5-9588-EEA6A9BC1CD0}"/>
                </c:ext>
              </c:extLst>
            </c:dLbl>
            <c:dLbl>
              <c:idx val="3"/>
              <c:layout>
                <c:manualLayout>
                  <c:x val="-4.5914315926442933E-2"/>
                  <c:y val="0.1157407407407407"/>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D3FC-41D5-9588-EEA6A9BC1CD0}"/>
                </c:ext>
              </c:extLst>
            </c:dLbl>
            <c:dLbl>
              <c:idx val="4"/>
              <c:layout>
                <c:manualLayout>
                  <c:x val="-0.26694163352830746"/>
                  <c:y val="4.6296296296296294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15:layout>
                    <c:manualLayout>
                      <c:w val="0.23188660914867854"/>
                      <c:h val="0.16645851560221639"/>
                    </c:manualLayout>
                  </c15:layout>
                </c:ext>
                <c:ext xmlns:c16="http://schemas.microsoft.com/office/drawing/2014/chart" uri="{C3380CC4-5D6E-409C-BE32-E72D297353CC}">
                  <c16:uniqueId val="{00000009-D3FC-41D5-9588-EEA6A9BC1CD0}"/>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'V+VFO'!$A$95:$A$99</c:f>
              <c:strCache>
                <c:ptCount val="5"/>
                <c:pt idx="0">
                  <c:v>610 – mzdy, platy, služ. príjmy</c:v>
                </c:pt>
                <c:pt idx="1">
                  <c:v>620 – poistné do poisťovní</c:v>
                </c:pt>
                <c:pt idx="2">
                  <c:v>630 – tovary a služby</c:v>
                </c:pt>
                <c:pt idx="3">
                  <c:v>640 – bežné transfery</c:v>
                </c:pt>
                <c:pt idx="4">
                  <c:v>650 – splácanie úrokov </c:v>
                </c:pt>
              </c:strCache>
            </c:strRef>
          </c:cat>
          <c:val>
            <c:numRef>
              <c:f>'V+VFO'!$C$95:$C$99</c:f>
              <c:numCache>
                <c:formatCode>#,##0.00</c:formatCode>
                <c:ptCount val="5"/>
                <c:pt idx="0">
                  <c:v>53574960.770000003</c:v>
                </c:pt>
                <c:pt idx="1">
                  <c:v>18871008.039999992</c:v>
                </c:pt>
                <c:pt idx="2">
                  <c:v>27305369.349999953</c:v>
                </c:pt>
                <c:pt idx="3">
                  <c:v>55922704.840000056</c:v>
                </c:pt>
                <c:pt idx="4">
                  <c:v>153336.04999999999</c:v>
                </c:pt>
              </c:numCache>
            </c:numRef>
          </c:val>
          <c:extLst>
            <c:ext xmlns:c16="http://schemas.microsoft.com/office/drawing/2014/chart" uri="{C3380CC4-5D6E-409C-BE32-E72D297353CC}">
              <c16:uniqueId val="{0000000A-D3FC-41D5-9588-EEA6A9BC1CD0}"/>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strRef>
                    <c:extLst>
                      <c:ext uri="{02D57815-91ED-43cb-92C2-25804820EDAC}">
                        <c15:formulaRef>
                          <c15:sqref>'V+VFO'!$B$94</c15:sqref>
                        </c15:formulaRef>
                      </c:ext>
                    </c:extLst>
                    <c:strCache>
                      <c:ptCount val="1"/>
                      <c:pt idx="0">
                        <c:v>Skutočnosť 2019</c:v>
                      </c:pt>
                    </c:strCache>
                  </c:strRef>
                </c:tx>
                <c:dPt>
                  <c:idx val="0"/>
                  <c:bubble3D val="0"/>
                  <c:spPr>
                    <a:solidFill>
                      <a:schemeClr val="accent1"/>
                    </a:solidFill>
                    <a:ln>
                      <a:noFill/>
                    </a:ln>
                    <a:effectLst/>
                  </c:spPr>
                  <c:extLst>
                    <c:ext xmlns:c16="http://schemas.microsoft.com/office/drawing/2014/chart" uri="{C3380CC4-5D6E-409C-BE32-E72D297353CC}">
                      <c16:uniqueId val="{0000000C-D3FC-41D5-9588-EEA6A9BC1CD0}"/>
                    </c:ext>
                  </c:extLst>
                </c:dPt>
                <c:dPt>
                  <c:idx val="1"/>
                  <c:bubble3D val="0"/>
                  <c:spPr>
                    <a:solidFill>
                      <a:schemeClr val="accent2"/>
                    </a:solidFill>
                    <a:ln>
                      <a:noFill/>
                    </a:ln>
                    <a:effectLst/>
                  </c:spPr>
                  <c:extLst>
                    <c:ext xmlns:c16="http://schemas.microsoft.com/office/drawing/2014/chart" uri="{C3380CC4-5D6E-409C-BE32-E72D297353CC}">
                      <c16:uniqueId val="{0000000E-D3FC-41D5-9588-EEA6A9BC1CD0}"/>
                    </c:ext>
                  </c:extLst>
                </c:dPt>
                <c:dPt>
                  <c:idx val="2"/>
                  <c:bubble3D val="0"/>
                  <c:spPr>
                    <a:solidFill>
                      <a:schemeClr val="accent3"/>
                    </a:solidFill>
                    <a:ln>
                      <a:noFill/>
                    </a:ln>
                    <a:effectLst/>
                  </c:spPr>
                  <c:extLst>
                    <c:ext xmlns:c16="http://schemas.microsoft.com/office/drawing/2014/chart" uri="{C3380CC4-5D6E-409C-BE32-E72D297353CC}">
                      <c16:uniqueId val="{00000010-D3FC-41D5-9588-EEA6A9BC1CD0}"/>
                    </c:ext>
                  </c:extLst>
                </c:dPt>
                <c:dPt>
                  <c:idx val="3"/>
                  <c:bubble3D val="0"/>
                  <c:spPr>
                    <a:solidFill>
                      <a:schemeClr val="accent4"/>
                    </a:solidFill>
                    <a:ln>
                      <a:noFill/>
                    </a:ln>
                    <a:effectLst/>
                  </c:spPr>
                  <c:extLst>
                    <c:ext xmlns:c16="http://schemas.microsoft.com/office/drawing/2014/chart" uri="{C3380CC4-5D6E-409C-BE32-E72D297353CC}">
                      <c16:uniqueId val="{00000012-D3FC-41D5-9588-EEA6A9BC1CD0}"/>
                    </c:ext>
                  </c:extLst>
                </c:dPt>
                <c:dPt>
                  <c:idx val="4"/>
                  <c:bubble3D val="0"/>
                  <c:spPr>
                    <a:solidFill>
                      <a:schemeClr val="accent5"/>
                    </a:solidFill>
                    <a:ln>
                      <a:noFill/>
                    </a:ln>
                    <a:effectLst/>
                  </c:spPr>
                  <c:extLst>
                    <c:ext xmlns:c16="http://schemas.microsoft.com/office/drawing/2014/chart" uri="{C3380CC4-5D6E-409C-BE32-E72D297353CC}">
                      <c16:uniqueId val="{00000014-D3FC-41D5-9588-EEA6A9BC1CD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'V+VFO'!$A$95:$A$99</c15:sqref>
                        </c15:formulaRef>
                      </c:ext>
                    </c:extLst>
                    <c:strCache>
                      <c:ptCount val="5"/>
                      <c:pt idx="0">
                        <c:v>610 – mzdy, platy, služ. príjmy</c:v>
                      </c:pt>
                      <c:pt idx="1">
                        <c:v>620 – poistné do poisťovní</c:v>
                      </c:pt>
                      <c:pt idx="2">
                        <c:v>630 – tovary a služby</c:v>
                      </c:pt>
                      <c:pt idx="3">
                        <c:v>640 – bežné transfery</c:v>
                      </c:pt>
                      <c:pt idx="4">
                        <c:v>650 – splácanie úrokov </c:v>
                      </c:pt>
                    </c:strCache>
                  </c:strRef>
                </c:cat>
                <c:val>
                  <c:numRef>
                    <c:extLst>
                      <c:ext uri="{02D57815-91ED-43cb-92C2-25804820EDAC}">
                        <c15:formulaRef>
                          <c15:sqref>'V+VFO'!$B$95:$B$99</c15:sqref>
                        </c15:formulaRef>
                      </c:ext>
                    </c:extLst>
                    <c:numCache>
                      <c:formatCode>#,##0.00</c:formatCode>
                      <c:ptCount val="5"/>
                      <c:pt idx="0">
                        <c:v>49572402.969999999</c:v>
                      </c:pt>
                      <c:pt idx="1">
                        <c:v>17746755.699999999</c:v>
                      </c:pt>
                      <c:pt idx="2">
                        <c:v>31276933.449999999</c:v>
                      </c:pt>
                      <c:pt idx="3">
                        <c:v>55436366.240000002</c:v>
                      </c:pt>
                      <c:pt idx="4">
                        <c:v>194923.34</c:v>
                      </c:pt>
                    </c:numCache>
                  </c:numRef>
                </c:val>
                <c:extLst>
                  <c:ext xmlns:c16="http://schemas.microsoft.com/office/drawing/2014/chart" uri="{C3380CC4-5D6E-409C-BE32-E72D297353CC}">
                    <c16:uniqueId val="{00000015-D3FC-41D5-9588-EEA6A9BC1CD0}"/>
                  </c:ext>
                </c:extLst>
              </c15:ser>
            </c15:filteredPieSeries>
          </c:ext>
        </c:extLst>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'V+VFO'!$B$198</c:f>
              <c:strCache>
                <c:ptCount val="1"/>
                <c:pt idx="0">
                  <c:v>Skutočnosť 2018</c:v>
                </c:pt>
              </c:strCache>
            </c:strRef>
          </c:tx>
          <c:spPr>
            <a:solidFill>
              <a:schemeClr val="accent1"/>
            </a:solidFill>
            <a:ln>
              <a:noFill/>
            </a:ln>
            <a:effectLst/>
          </c:spPr>
          <c:invertIfNegative val="0"/>
          <c:dLbls>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'V+VFO'!$A$199:$A$205</c:f>
              <c:strCache>
                <c:ptCount val="7"/>
                <c:pt idx="0">
                  <c:v>631 – cestovné náhrady</c:v>
                </c:pt>
                <c:pt idx="1">
                  <c:v>632 - energie, voda a komunikácie</c:v>
                </c:pt>
                <c:pt idx="2">
                  <c:v>633 – materiál</c:v>
                </c:pt>
                <c:pt idx="3">
                  <c:v>634 - dopravné</c:v>
                </c:pt>
                <c:pt idx="4">
                  <c:v>635 - rutinná a štandardná údržba</c:v>
                </c:pt>
                <c:pt idx="5">
                  <c:v>636 - nájomné za nájom</c:v>
                </c:pt>
                <c:pt idx="6">
                  <c:v>637 - služby</c:v>
                </c:pt>
              </c:strCache>
            </c:strRef>
          </c:cat>
          <c:val>
            <c:numRef>
              <c:f>'V+VFO'!$B$199:$B$205</c:f>
              <c:numCache>
                <c:formatCode>#,##0.00</c:formatCode>
                <c:ptCount val="7"/>
                <c:pt idx="0">
                  <c:v>279018.03999999998</c:v>
                </c:pt>
                <c:pt idx="1">
                  <c:v>4719557.92</c:v>
                </c:pt>
                <c:pt idx="2">
                  <c:v>4783148.82</c:v>
                </c:pt>
                <c:pt idx="3">
                  <c:v>322839.90999999997</c:v>
                </c:pt>
                <c:pt idx="4">
                  <c:v>10904497.41</c:v>
                </c:pt>
                <c:pt idx="5">
                  <c:v>575333.13</c:v>
                </c:pt>
                <c:pt idx="6">
                  <c:v>9458362.5299999993</c:v>
                </c:pt>
              </c:numCache>
            </c:numRef>
          </c:val>
          <c:extLst>
            <c:ext xmlns:c16="http://schemas.microsoft.com/office/drawing/2014/chart" uri="{C3380CC4-5D6E-409C-BE32-E72D297353CC}">
              <c16:uniqueId val="{00000000-C062-44DD-8EDD-580A0CEEA913}"/>
            </c:ext>
          </c:extLst>
        </c:ser>
        <c:ser>
          <c:idx val="1"/>
          <c:order val="1"/>
          <c:tx>
            <c:strRef>
              <c:f>'V+VFO'!$C$198</c:f>
              <c:strCache>
                <c:ptCount val="1"/>
                <c:pt idx="0">
                  <c:v>Skutočnosť 2019</c:v>
                </c:pt>
              </c:strCache>
            </c:strRef>
          </c:tx>
          <c:spPr>
            <a:solidFill>
              <a:schemeClr val="accent2"/>
            </a:solidFill>
            <a:ln>
              <a:noFill/>
            </a:ln>
            <a:effectLst/>
          </c:spPr>
          <c:invertIfNegative val="0"/>
          <c:dLbls>
            <c:dLbl>
              <c:idx val="0"/>
              <c:layout>
                <c:manualLayout>
                  <c:x val="-7.3479057016282277E-8"/>
                  <c:y val="-5.1305786520155133E-2"/>
                </c:manualLayout>
              </c:layout>
              <c:showLegendKey val="0"/>
              <c:showVal val="1"/>
              <c:showCatName val="0"/>
              <c:showSerName val="0"/>
              <c:showPercent val="0"/>
              <c:showBubbleSize val="0"/>
              <c:extLst>
                <c:ext xmlns:c15="http://schemas.microsoft.com/office/drawing/2012/chart" uri="{CE6537A1-D6FC-4f65-9D91-7224C49458BB}">
                  <c15:layout>
                    <c:manualLayout>
                      <c:w val="4.1897464384701065E-2"/>
                      <c:h val="7.4557086614173221E-2"/>
                    </c:manualLayout>
                  </c15:layout>
                </c:ext>
                <c:ext xmlns:c16="http://schemas.microsoft.com/office/drawing/2014/chart" uri="{C3380CC4-5D6E-409C-BE32-E72D297353CC}">
                  <c16:uniqueId val="{00000009-C062-44DD-8EDD-580A0CEEA913}"/>
                </c:ext>
              </c:extLst>
            </c:dLbl>
            <c:dLbl>
              <c:idx val="1"/>
              <c:layout>
                <c:manualLayout>
                  <c:x val="0"/>
                  <c:y val="-5.5970149253731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062-44DD-8EDD-580A0CEEA913}"/>
                </c:ext>
              </c:extLst>
            </c:dLbl>
            <c:dLbl>
              <c:idx val="2"/>
              <c:layout>
                <c:manualLayout>
                  <c:x val="-3.8218994840436399E-3"/>
                  <c:y val="-3.73134328358208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062-44DD-8EDD-580A0CEEA913}"/>
                </c:ext>
              </c:extLst>
            </c:dLbl>
            <c:dLbl>
              <c:idx val="3"/>
              <c:layout>
                <c:manualLayout>
                  <c:x val="3.7327360955580441E-3"/>
                  <c:y val="-7.46268656716417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C062-44DD-8EDD-580A0CEEA913}"/>
                </c:ext>
              </c:extLst>
            </c:dLbl>
            <c:dLbl>
              <c:idx val="5"/>
              <c:layout>
                <c:manualLayout>
                  <c:x val="-1.3686540908957662E-16"/>
                  <c:y val="-7.92910447761194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062-44DD-8EDD-580A0CEEA913}"/>
                </c:ext>
              </c:extLst>
            </c:dLbl>
            <c:dLbl>
              <c:idx val="6"/>
              <c:layout>
                <c:manualLayout>
                  <c:x val="-1.9108963563205215E-3"/>
                  <c:y val="-5.59701492537313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062-44DD-8EDD-580A0CEEA913}"/>
                </c:ext>
              </c:extLst>
            </c:dLbl>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'V+VFO'!$A$199:$A$205</c:f>
              <c:strCache>
                <c:ptCount val="7"/>
                <c:pt idx="0">
                  <c:v>631 – cestovné náhrady</c:v>
                </c:pt>
                <c:pt idx="1">
                  <c:v>632 - energie, voda a komunikácie</c:v>
                </c:pt>
                <c:pt idx="2">
                  <c:v>633 – materiál</c:v>
                </c:pt>
                <c:pt idx="3">
                  <c:v>634 - dopravné</c:v>
                </c:pt>
                <c:pt idx="4">
                  <c:v>635 - rutinná a štandardná údržba</c:v>
                </c:pt>
                <c:pt idx="5">
                  <c:v>636 - nájomné za nájom</c:v>
                </c:pt>
                <c:pt idx="6">
                  <c:v>637 - služby</c:v>
                </c:pt>
              </c:strCache>
            </c:strRef>
          </c:cat>
          <c:val>
            <c:numRef>
              <c:f>'V+VFO'!$C$199:$C$205</c:f>
              <c:numCache>
                <c:formatCode>#,##0.00</c:formatCode>
                <c:ptCount val="7"/>
                <c:pt idx="0">
                  <c:v>342990.04</c:v>
                </c:pt>
                <c:pt idx="1">
                  <c:v>4637838.28</c:v>
                </c:pt>
                <c:pt idx="2">
                  <c:v>5472552.8600000003</c:v>
                </c:pt>
                <c:pt idx="3">
                  <c:v>392800.14</c:v>
                </c:pt>
                <c:pt idx="4">
                  <c:v>9747460.8699999992</c:v>
                </c:pt>
                <c:pt idx="5">
                  <c:v>636096.93000000005</c:v>
                </c:pt>
                <c:pt idx="6">
                  <c:v>10047194.33</c:v>
                </c:pt>
              </c:numCache>
            </c:numRef>
          </c:val>
          <c:extLst>
            <c:ext xmlns:c16="http://schemas.microsoft.com/office/drawing/2014/chart" uri="{C3380CC4-5D6E-409C-BE32-E72D297353CC}">
              <c16:uniqueId val="{00000001-C062-44DD-8EDD-580A0CEEA913}"/>
            </c:ext>
          </c:extLst>
        </c:ser>
        <c:ser>
          <c:idx val="2"/>
          <c:order val="2"/>
          <c:tx>
            <c:strRef>
              <c:f>'V+VFO'!$D$198</c:f>
              <c:strCache>
                <c:ptCount val="1"/>
                <c:pt idx="0">
                  <c:v>Skutočnosť 2020</c:v>
                </c:pt>
              </c:strCache>
            </c:strRef>
          </c:tx>
          <c:spPr>
            <a:solidFill>
              <a:schemeClr val="accent3"/>
            </a:solidFill>
            <a:ln>
              <a:noFill/>
            </a:ln>
            <a:effectLst/>
          </c:spPr>
          <c:invertIfNegative val="0"/>
          <c:dLbls>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'V+VFO'!$A$199:$A$205</c:f>
              <c:strCache>
                <c:ptCount val="7"/>
                <c:pt idx="0">
                  <c:v>631 – cestovné náhrady</c:v>
                </c:pt>
                <c:pt idx="1">
                  <c:v>632 - energie, voda a komunikácie</c:v>
                </c:pt>
                <c:pt idx="2">
                  <c:v>633 – materiál</c:v>
                </c:pt>
                <c:pt idx="3">
                  <c:v>634 - dopravné</c:v>
                </c:pt>
                <c:pt idx="4">
                  <c:v>635 - rutinná a štandardná údržba</c:v>
                </c:pt>
                <c:pt idx="5">
                  <c:v>636 - nájomné za nájom</c:v>
                </c:pt>
                <c:pt idx="6">
                  <c:v>637 - služby</c:v>
                </c:pt>
              </c:strCache>
            </c:strRef>
          </c:cat>
          <c:val>
            <c:numRef>
              <c:f>'V+VFO'!$D$199:$D$205</c:f>
              <c:numCache>
                <c:formatCode>#,##0.00</c:formatCode>
                <c:ptCount val="7"/>
                <c:pt idx="0">
                  <c:v>63078.820000000007</c:v>
                </c:pt>
                <c:pt idx="1">
                  <c:v>4394235.0800000038</c:v>
                </c:pt>
                <c:pt idx="2">
                  <c:v>5573623.8899999959</c:v>
                </c:pt>
                <c:pt idx="3">
                  <c:v>285165.32000000007</c:v>
                </c:pt>
                <c:pt idx="4">
                  <c:v>6754248.4199999962</c:v>
                </c:pt>
                <c:pt idx="5">
                  <c:v>600286.37999999977</c:v>
                </c:pt>
                <c:pt idx="6">
                  <c:v>9634731.4400000125</c:v>
                </c:pt>
              </c:numCache>
            </c:numRef>
          </c:val>
          <c:extLst>
            <c:ext xmlns:c16="http://schemas.microsoft.com/office/drawing/2014/chart" uri="{C3380CC4-5D6E-409C-BE32-E72D297353CC}">
              <c16:uniqueId val="{00000002-C062-44DD-8EDD-580A0CEEA913}"/>
            </c:ext>
          </c:extLst>
        </c:ser>
        <c:dLbls>
          <c:showLegendKey val="0"/>
          <c:showVal val="0"/>
          <c:showCatName val="0"/>
          <c:showSerName val="0"/>
          <c:showPercent val="0"/>
          <c:showBubbleSize val="0"/>
        </c:dLbls>
        <c:gapWidth val="219"/>
        <c:overlap val="-27"/>
        <c:axId val="357389152"/>
        <c:axId val="190736832"/>
      </c:barChart>
      <c:catAx>
        <c:axId val="357389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ln>
                  <a:noFill/>
                </a:ln>
                <a:solidFill>
                  <a:schemeClr val="tx2">
                    <a:lumMod val="75000"/>
                  </a:schemeClr>
                </a:solidFill>
                <a:latin typeface="+mn-lt"/>
                <a:ea typeface="+mn-ea"/>
                <a:cs typeface="+mn-cs"/>
              </a:defRPr>
            </a:pPr>
            <a:endParaRPr lang="sk-SK"/>
          </a:p>
        </c:txPr>
        <c:crossAx val="190736832"/>
        <c:crosses val="autoZero"/>
        <c:auto val="1"/>
        <c:lblAlgn val="ctr"/>
        <c:lblOffset val="100"/>
        <c:noMultiLvlLbl val="0"/>
      </c:catAx>
      <c:valAx>
        <c:axId val="190736832"/>
        <c:scaling>
          <c:orientation val="minMax"/>
          <c:max val="11000000"/>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357389152"/>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dispUnitsLbl>
        </c:dispUnits>
      </c:valAx>
      <c:spPr>
        <a:noFill/>
        <a:ln>
          <a:noFill/>
        </a:ln>
        <a:effectLst/>
      </c:spPr>
    </c:plotArea>
    <c:legend>
      <c:legendPos val="t"/>
      <c:layout>
        <c:manualLayout>
          <c:xMode val="edge"/>
          <c:yMode val="edge"/>
          <c:x val="0.26219443734146891"/>
          <c:y val="2.7985074626865673E-2"/>
          <c:w val="0.55773117246122517"/>
          <c:h val="7.8708573275355506E-2"/>
        </c:manualLayout>
      </c:layout>
      <c:overlay val="0"/>
      <c:spPr>
        <a:noFill/>
        <a:ln>
          <a:noFill/>
        </a:ln>
        <a:effectLst/>
      </c:spPr>
      <c:txPr>
        <a:bodyPr rot="0" spcFirstLastPara="1" vertOverflow="ellipsis" vert="horz" wrap="square" anchor="ctr" anchorCtr="1"/>
        <a:lstStyle/>
        <a:p>
          <a:pPr>
            <a:defRPr sz="900" b="0" i="0" u="none" strike="noStrike" kern="1200" baseline="0">
              <a:ln w="0">
                <a:solidFill>
                  <a:schemeClr val="tx2">
                    <a:lumMod val="75000"/>
                  </a:schemeClr>
                </a:solidFill>
              </a:ln>
              <a:solidFill>
                <a:schemeClr val="accent1">
                  <a:lumMod val="7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3470350716074119"/>
          <c:y val="0.14120370370370369"/>
          <c:w val="0.39726431010329544"/>
          <c:h val="0.77314814814814814"/>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0B0-4A8C-8E68-CF6D6B3415E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0B0-4A8C-8E68-CF6D6B3415E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0B0-4A8C-8E68-CF6D6B3415E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0B0-4A8C-8E68-CF6D6B3415E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80B0-4A8C-8E68-CF6D6B3415E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80B0-4A8C-8E68-CF6D6B3415E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80B0-4A8C-8E68-CF6D6B3415E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80B0-4A8C-8E68-CF6D6B3415E8}"/>
              </c:ext>
            </c:extLst>
          </c:dPt>
          <c:dPt>
            <c:idx val="8"/>
            <c:bubble3D val="0"/>
            <c:explosion val="2"/>
            <c:spPr>
              <a:solidFill>
                <a:schemeClr val="accent3">
                  <a:lumMod val="60000"/>
                </a:schemeClr>
              </a:solidFill>
              <a:ln w="19050">
                <a:solidFill>
                  <a:schemeClr val="lt1"/>
                </a:solidFill>
              </a:ln>
              <a:effectLst/>
            </c:spPr>
            <c:extLst>
              <c:ext xmlns:c16="http://schemas.microsoft.com/office/drawing/2014/chart" uri="{C3380CC4-5D6E-409C-BE32-E72D297353CC}">
                <c16:uniqueId val="{00000011-80B0-4A8C-8E68-CF6D6B3415E8}"/>
              </c:ext>
            </c:extLst>
          </c:dPt>
          <c:dLbls>
            <c:dLbl>
              <c:idx val="0"/>
              <c:layout>
                <c:manualLayout>
                  <c:x val="-5.6879270754985542E-2"/>
                  <c:y val="-4.5424858798388659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0B0-4A8C-8E68-CF6D6B3415E8}"/>
                </c:ext>
              </c:extLst>
            </c:dLbl>
            <c:dLbl>
              <c:idx val="1"/>
              <c:layout>
                <c:manualLayout>
                  <c:x val="3.5291229384108856E-2"/>
                  <c:y val="1.1901232019979831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0B0-4A8C-8E68-CF6D6B3415E8}"/>
                </c:ext>
              </c:extLst>
            </c:dLbl>
            <c:dLbl>
              <c:idx val="2"/>
              <c:layout>
                <c:manualLayout>
                  <c:x val="-6.2871058570578755E-3"/>
                  <c:y val="-5.4892616239883382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0B0-4A8C-8E68-CF6D6B3415E8}"/>
                </c:ext>
              </c:extLst>
            </c:dLbl>
            <c:dLbl>
              <c:idx val="3"/>
              <c:layout>
                <c:manualLayout>
                  <c:x val="1.2592851268780148E-2"/>
                  <c:y val="-0.12667913664554084"/>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80B0-4A8C-8E68-CF6D6B3415E8}"/>
                </c:ext>
              </c:extLst>
            </c:dLbl>
            <c:dLbl>
              <c:idx val="5"/>
              <c:layout>
                <c:manualLayout>
                  <c:x val="-2.9876657128100259E-3"/>
                  <c:y val="6.8654548494459039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80B0-4A8C-8E68-CF6D6B3415E8}"/>
                </c:ext>
              </c:extLst>
            </c:dLbl>
            <c:dLbl>
              <c:idx val="6"/>
              <c:layout>
                <c:manualLayout>
                  <c:x val="-8.6923253147137454E-3"/>
                  <c:y val="0.15435942014598236"/>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80B0-4A8C-8E68-CF6D6B3415E8}"/>
                </c:ext>
              </c:extLst>
            </c:dLbl>
            <c:dLbl>
              <c:idx val="7"/>
              <c:layout>
                <c:manualLayout>
                  <c:x val="-4.9274148337358298E-2"/>
                  <c:y val="-6.8919145523476236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80B0-4A8C-8E68-CF6D6B3415E8}"/>
                </c:ext>
              </c:extLst>
            </c:dLbl>
            <c:dLbl>
              <c:idx val="8"/>
              <c:layout>
                <c:manualLayout>
                  <c:x val="-3.4922087643983933E-2"/>
                  <c:y val="2.3161113520348164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80B0-4A8C-8E68-CF6D6B3415E8}"/>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'V+VFO'!$D$229:$D$237</c:f>
              <c:strCache>
                <c:ptCount val="9"/>
                <c:pt idx="0">
                  <c:v>01 Všeobecné verejné služby</c:v>
                </c:pt>
                <c:pt idx="1">
                  <c:v>02 Obrana</c:v>
                </c:pt>
                <c:pt idx="2">
                  <c:v>04 Ekonomická oblasť (doprava,cestovný ruch,projekty)</c:v>
                </c:pt>
                <c:pt idx="3">
                  <c:v>05 Ochrana životného prostredia</c:v>
                </c:pt>
                <c:pt idx="4">
                  <c:v>06 Rozvoj obcí</c:v>
                </c:pt>
                <c:pt idx="5">
                  <c:v>07 Zdravotníctvo</c:v>
                </c:pt>
                <c:pt idx="6">
                  <c:v>08 Kulrúrne, rekreačné, špotové služby</c:v>
                </c:pt>
                <c:pt idx="7">
                  <c:v>09 Vzdelávanie</c:v>
                </c:pt>
                <c:pt idx="8">
                  <c:v>10 Sociálne zabezpečenie</c:v>
                </c:pt>
              </c:strCache>
            </c:strRef>
          </c:cat>
          <c:val>
            <c:numRef>
              <c:f>'V+VFO'!$E$229:$E$237</c:f>
              <c:numCache>
                <c:formatCode>#,##0.00</c:formatCode>
                <c:ptCount val="9"/>
                <c:pt idx="0">
                  <c:v>15014457.83</c:v>
                </c:pt>
                <c:pt idx="1">
                  <c:v>32</c:v>
                </c:pt>
                <c:pt idx="2">
                  <c:v>35388198.509999998</c:v>
                </c:pt>
                <c:pt idx="3">
                  <c:v>2000</c:v>
                </c:pt>
                <c:pt idx="4">
                  <c:v>28700</c:v>
                </c:pt>
                <c:pt idx="5">
                  <c:v>1918330.09</c:v>
                </c:pt>
                <c:pt idx="6">
                  <c:v>6338415.3700000001</c:v>
                </c:pt>
                <c:pt idx="7">
                  <c:v>79963804.309999898</c:v>
                </c:pt>
                <c:pt idx="8">
                  <c:v>31794385.349999901</c:v>
                </c:pt>
              </c:numCache>
            </c:numRef>
          </c:val>
          <c:extLst>
            <c:ext xmlns:c16="http://schemas.microsoft.com/office/drawing/2014/chart" uri="{C3380CC4-5D6E-409C-BE32-E72D297353CC}">
              <c16:uniqueId val="{00000012-80B0-4A8C-8E68-CF6D6B3415E8}"/>
            </c:ext>
          </c:extLst>
        </c:ser>
        <c:dLbls>
          <c:showLegendKey val="0"/>
          <c:showVal val="0"/>
          <c:showCatName val="0"/>
          <c:showSerName val="0"/>
          <c:showPercent val="0"/>
          <c:showBubbleSize val="0"/>
          <c:showLeaderLines val="1"/>
        </c:dLbls>
        <c:firstSliceAng val="0"/>
      </c:pieChart>
      <c:spPr>
        <a:noFill/>
        <a:ln>
          <a:noFill/>
        </a:ln>
        <a:effectLst/>
      </c:spPr>
    </c:plotArea>
    <c:legend>
      <c:legendPos val="l"/>
      <c:layout>
        <c:manualLayout>
          <c:xMode val="edge"/>
          <c:yMode val="edge"/>
          <c:x val="0"/>
          <c:y val="0.14925302867493001"/>
          <c:w val="0.439997041660595"/>
          <c:h val="0.6985757770693998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sk-SK"/>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ln>
              <a:noFill/>
            </a:ln>
          </c:spPr>
          <c:explosion val="4"/>
          <c:dPt>
            <c:idx val="0"/>
            <c:bubble3D val="0"/>
            <c:spPr>
              <a:solidFill>
                <a:schemeClr val="accent1"/>
              </a:solidFill>
              <a:ln w="19050">
                <a:noFill/>
              </a:ln>
              <a:effectLst/>
            </c:spPr>
            <c:extLst>
              <c:ext xmlns:c16="http://schemas.microsoft.com/office/drawing/2014/chart" uri="{C3380CC4-5D6E-409C-BE32-E72D297353CC}">
                <c16:uniqueId val="{00000001-3EFE-4EC8-BBCC-7B9CAF67E040}"/>
              </c:ext>
            </c:extLst>
          </c:dPt>
          <c:dPt>
            <c:idx val="1"/>
            <c:bubble3D val="0"/>
            <c:spPr>
              <a:solidFill>
                <a:schemeClr val="accent2"/>
              </a:solidFill>
              <a:ln w="19050">
                <a:noFill/>
              </a:ln>
              <a:effectLst/>
            </c:spPr>
            <c:extLst>
              <c:ext xmlns:c16="http://schemas.microsoft.com/office/drawing/2014/chart" uri="{C3380CC4-5D6E-409C-BE32-E72D297353CC}">
                <c16:uniqueId val="{00000003-3EFE-4EC8-BBCC-7B9CAF67E040}"/>
              </c:ext>
            </c:extLst>
          </c:dPt>
          <c:dPt>
            <c:idx val="2"/>
            <c:bubble3D val="0"/>
            <c:spPr>
              <a:solidFill>
                <a:schemeClr val="accent3"/>
              </a:solidFill>
              <a:ln w="19050">
                <a:noFill/>
              </a:ln>
              <a:effectLst/>
            </c:spPr>
            <c:extLst>
              <c:ext xmlns:c16="http://schemas.microsoft.com/office/drawing/2014/chart" uri="{C3380CC4-5D6E-409C-BE32-E72D297353CC}">
                <c16:uniqueId val="{00000005-3EFE-4EC8-BBCC-7B9CAF67E040}"/>
              </c:ext>
            </c:extLst>
          </c:dPt>
          <c:dPt>
            <c:idx val="3"/>
            <c:bubble3D val="0"/>
            <c:spPr>
              <a:solidFill>
                <a:schemeClr val="accent4"/>
              </a:solidFill>
              <a:ln w="19050">
                <a:noFill/>
              </a:ln>
              <a:effectLst/>
            </c:spPr>
            <c:extLst>
              <c:ext xmlns:c16="http://schemas.microsoft.com/office/drawing/2014/chart" uri="{C3380CC4-5D6E-409C-BE32-E72D297353CC}">
                <c16:uniqueId val="{00000007-3EFE-4EC8-BBCC-7B9CAF67E040}"/>
              </c:ext>
            </c:extLst>
          </c:dPt>
          <c:dPt>
            <c:idx val="4"/>
            <c:bubble3D val="0"/>
            <c:spPr>
              <a:solidFill>
                <a:schemeClr val="accent5"/>
              </a:solidFill>
              <a:ln w="19050">
                <a:noFill/>
              </a:ln>
              <a:effectLst/>
            </c:spPr>
            <c:extLst>
              <c:ext xmlns:c16="http://schemas.microsoft.com/office/drawing/2014/chart" uri="{C3380CC4-5D6E-409C-BE32-E72D297353CC}">
                <c16:uniqueId val="{00000009-3EFE-4EC8-BBCC-7B9CAF67E040}"/>
              </c:ext>
            </c:extLst>
          </c:dPt>
          <c:dPt>
            <c:idx val="5"/>
            <c:bubble3D val="0"/>
            <c:spPr>
              <a:solidFill>
                <a:schemeClr val="accent6"/>
              </a:solidFill>
              <a:ln w="19050">
                <a:noFill/>
              </a:ln>
              <a:effectLst/>
            </c:spPr>
            <c:extLst>
              <c:ext xmlns:c16="http://schemas.microsoft.com/office/drawing/2014/chart" uri="{C3380CC4-5D6E-409C-BE32-E72D297353CC}">
                <c16:uniqueId val="{0000000B-3EFE-4EC8-BBCC-7B9CAF67E040}"/>
              </c:ext>
            </c:extLst>
          </c:dPt>
          <c:dPt>
            <c:idx val="6"/>
            <c:bubble3D val="0"/>
            <c:spPr>
              <a:solidFill>
                <a:schemeClr val="accent1">
                  <a:lumMod val="60000"/>
                </a:schemeClr>
              </a:solidFill>
              <a:ln w="19050">
                <a:noFill/>
              </a:ln>
              <a:effectLst/>
            </c:spPr>
            <c:extLst>
              <c:ext xmlns:c16="http://schemas.microsoft.com/office/drawing/2014/chart" uri="{C3380CC4-5D6E-409C-BE32-E72D297353CC}">
                <c16:uniqueId val="{0000000D-3EFE-4EC8-BBCC-7B9CAF67E040}"/>
              </c:ext>
            </c:extLst>
          </c:dPt>
          <c:dPt>
            <c:idx val="7"/>
            <c:bubble3D val="0"/>
            <c:spPr>
              <a:solidFill>
                <a:schemeClr val="accent2">
                  <a:lumMod val="60000"/>
                </a:schemeClr>
              </a:solidFill>
              <a:ln w="19050">
                <a:noFill/>
              </a:ln>
              <a:effectLst/>
            </c:spPr>
            <c:extLst>
              <c:ext xmlns:c16="http://schemas.microsoft.com/office/drawing/2014/chart" uri="{C3380CC4-5D6E-409C-BE32-E72D297353CC}">
                <c16:uniqueId val="{0000000F-3EFE-4EC8-BBCC-7B9CAF67E040}"/>
              </c:ext>
            </c:extLst>
          </c:dPt>
          <c:dPt>
            <c:idx val="8"/>
            <c:bubble3D val="0"/>
            <c:spPr>
              <a:solidFill>
                <a:schemeClr val="accent3">
                  <a:lumMod val="60000"/>
                </a:schemeClr>
              </a:solidFill>
              <a:ln w="19050">
                <a:noFill/>
              </a:ln>
              <a:effectLst/>
            </c:spPr>
            <c:extLst>
              <c:ext xmlns:c16="http://schemas.microsoft.com/office/drawing/2014/chart" uri="{C3380CC4-5D6E-409C-BE32-E72D297353CC}">
                <c16:uniqueId val="{00000011-3EFE-4EC8-BBCC-7B9CAF67E040}"/>
              </c:ext>
            </c:extLst>
          </c:dPt>
          <c:dPt>
            <c:idx val="9"/>
            <c:bubble3D val="0"/>
            <c:spPr>
              <a:solidFill>
                <a:schemeClr val="accent4">
                  <a:lumMod val="60000"/>
                </a:schemeClr>
              </a:solidFill>
              <a:ln w="19050">
                <a:noFill/>
              </a:ln>
              <a:effectLst/>
            </c:spPr>
            <c:extLst>
              <c:ext xmlns:c16="http://schemas.microsoft.com/office/drawing/2014/chart" uri="{C3380CC4-5D6E-409C-BE32-E72D297353CC}">
                <c16:uniqueId val="{00000013-3EFE-4EC8-BBCC-7B9CAF67E040}"/>
              </c:ext>
            </c:extLst>
          </c:dPt>
          <c:dPt>
            <c:idx val="10"/>
            <c:bubble3D val="0"/>
            <c:spPr>
              <a:solidFill>
                <a:schemeClr val="accent5">
                  <a:lumMod val="60000"/>
                </a:schemeClr>
              </a:solidFill>
              <a:ln w="19050">
                <a:noFill/>
              </a:ln>
              <a:effectLst/>
            </c:spPr>
            <c:extLst>
              <c:ext xmlns:c16="http://schemas.microsoft.com/office/drawing/2014/chart" uri="{C3380CC4-5D6E-409C-BE32-E72D297353CC}">
                <c16:uniqueId val="{00000015-3EFE-4EC8-BBCC-7B9CAF67E040}"/>
              </c:ext>
            </c:extLst>
          </c:dPt>
          <c:dPt>
            <c:idx val="11"/>
            <c:bubble3D val="0"/>
            <c:spPr>
              <a:solidFill>
                <a:schemeClr val="accent6">
                  <a:lumMod val="60000"/>
                </a:schemeClr>
              </a:solidFill>
              <a:ln w="19050">
                <a:noFill/>
              </a:ln>
              <a:effectLst/>
            </c:spPr>
            <c:extLst>
              <c:ext xmlns:c16="http://schemas.microsoft.com/office/drawing/2014/chart" uri="{C3380CC4-5D6E-409C-BE32-E72D297353CC}">
                <c16:uniqueId val="{00000017-3EFE-4EC8-BBCC-7B9CAF67E040}"/>
              </c:ext>
            </c:extLst>
          </c:dPt>
          <c:dPt>
            <c:idx val="12"/>
            <c:bubble3D val="0"/>
            <c:spPr>
              <a:solidFill>
                <a:schemeClr val="accent1">
                  <a:lumMod val="80000"/>
                  <a:lumOff val="20000"/>
                </a:schemeClr>
              </a:solidFill>
              <a:ln w="19050">
                <a:noFill/>
              </a:ln>
              <a:effectLst/>
            </c:spPr>
            <c:extLst>
              <c:ext xmlns:c16="http://schemas.microsoft.com/office/drawing/2014/chart" uri="{C3380CC4-5D6E-409C-BE32-E72D297353CC}">
                <c16:uniqueId val="{00000019-3EFE-4EC8-BBCC-7B9CAF67E040}"/>
              </c:ext>
            </c:extLst>
          </c:dPt>
          <c:dPt>
            <c:idx val="13"/>
            <c:bubble3D val="0"/>
            <c:spPr>
              <a:solidFill>
                <a:schemeClr val="accent2">
                  <a:lumMod val="80000"/>
                  <a:lumOff val="20000"/>
                </a:schemeClr>
              </a:solidFill>
              <a:ln w="19050">
                <a:noFill/>
              </a:ln>
              <a:effectLst/>
            </c:spPr>
            <c:extLst>
              <c:ext xmlns:c16="http://schemas.microsoft.com/office/drawing/2014/chart" uri="{C3380CC4-5D6E-409C-BE32-E72D297353CC}">
                <c16:uniqueId val="{0000001B-3EFE-4EC8-BBCC-7B9CAF67E040}"/>
              </c:ext>
            </c:extLst>
          </c:dPt>
          <c:dLbls>
            <c:dLbl>
              <c:idx val="0"/>
              <c:layout>
                <c:manualLayout>
                  <c:x val="6.0804389466604269E-2"/>
                  <c:y val="-5.9765767915374211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EFE-4EC8-BBCC-7B9CAF67E040}"/>
                </c:ext>
              </c:extLst>
            </c:dLbl>
            <c:dLbl>
              <c:idx val="1"/>
              <c:layout>
                <c:manualLayout>
                  <c:x val="5.821610584555012E-2"/>
                  <c:y val="7.1280161944864721E-4"/>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EFE-4EC8-BBCC-7B9CAF67E040}"/>
                </c:ext>
              </c:extLst>
            </c:dLbl>
            <c:dLbl>
              <c:idx val="6"/>
              <c:layout>
                <c:manualLayout>
                  <c:x val="4.6479661023321149E-2"/>
                  <c:y val="0.1215914026468194"/>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3EFE-4EC8-BBCC-7B9CAF67E040}"/>
                </c:ext>
              </c:extLst>
            </c:dLbl>
            <c:dLbl>
              <c:idx val="7"/>
              <c:layout>
                <c:manualLayout>
                  <c:x val="-1.1570725453700026E-2"/>
                  <c:y val="-3.0307805902745316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3EFE-4EC8-BBCC-7B9CAF67E040}"/>
                </c:ext>
              </c:extLst>
            </c:dLbl>
            <c:dLbl>
              <c:idx val="8"/>
              <c:layout>
                <c:manualLayout>
                  <c:x val="-1.7699816545293887E-2"/>
                  <c:y val="6.1089967920676586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3EFE-4EC8-BBCC-7B9CAF67E040}"/>
                </c:ext>
              </c:extLst>
            </c:dLbl>
            <c:dLbl>
              <c:idx val="10"/>
              <c:layout>
                <c:manualLayout>
                  <c:x val="-3.176013518088569E-2"/>
                  <c:y val="-2.1560722646524044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5-3EFE-4EC8-BBCC-7B9CAF67E040}"/>
                </c:ext>
              </c:extLst>
            </c:dLbl>
            <c:dLbl>
              <c:idx val="11"/>
              <c:layout>
                <c:manualLayout>
                  <c:x val="3.5951434792225595E-3"/>
                  <c:y val="-0.18455460112940428"/>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7-3EFE-4EC8-BBCC-7B9CAF67E040}"/>
                </c:ext>
              </c:extLst>
            </c:dLbl>
            <c:dLbl>
              <c:idx val="12"/>
              <c:layout>
                <c:manualLayout>
                  <c:x val="3.834192759155617E-2"/>
                  <c:y val="-0.13368726636443173"/>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9-3EFE-4EC8-BBCC-7B9CAF67E040}"/>
                </c:ext>
              </c:extLst>
            </c:dLbl>
            <c:dLbl>
              <c:idx val="13"/>
              <c:layout>
                <c:manualLayout>
                  <c:x val="5.8847471602835426E-2"/>
                  <c:y val="-0.12961107134335481"/>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B-3EFE-4EC8-BBCC-7B9CAF67E040}"/>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lumMod val="75000"/>
                      </a:schemeClr>
                    </a:solidFill>
                    <a:latin typeface="+mn-lt"/>
                    <a:ea typeface="+mn-ea"/>
                    <a:cs typeface="+mn-cs"/>
                  </a:defRPr>
                </a:pPr>
                <a:endParaRPr lang="sk-SK"/>
              </a:p>
            </c:txPr>
            <c:showLegendKey val="1"/>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'V+VFO'!$A$280:$A$293</c:f>
              <c:strCache>
                <c:ptCount val="14"/>
                <c:pt idx="0">
                  <c:v>Program 1: Plánovanie, manažment  a kontrola</c:v>
                </c:pt>
                <c:pt idx="1">
                  <c:v>Program 2: Propagácia a marketing</c:v>
                </c:pt>
                <c:pt idx="2">
                  <c:v>Program 3: Interné služby</c:v>
                </c:pt>
                <c:pt idx="3">
                  <c:v>Program 4: Cestovný ruch</c:v>
                </c:pt>
                <c:pt idx="4">
                  <c:v>Program 5: Starostlivosť o krajinu</c:v>
                </c:pt>
                <c:pt idx="5">
                  <c:v>Program 6: Komunikácie</c:v>
                </c:pt>
                <c:pt idx="6">
                  <c:v>Program 7: Doprava</c:v>
                </c:pt>
                <c:pt idx="7">
                  <c:v>Program 8: Vzdelávanie</c:v>
                </c:pt>
                <c:pt idx="8">
                  <c:v>Program 9: Šport a mládežnícke aktivity</c:v>
                </c:pt>
                <c:pt idx="9">
                  <c:v>Program 10: Kultúra </c:v>
                </c:pt>
                <c:pt idx="10">
                  <c:v>Program 11: Sociálne zabezpečenie</c:v>
                </c:pt>
                <c:pt idx="11">
                  <c:v>Program 12: Zdravotníctvo </c:v>
                </c:pt>
                <c:pt idx="12">
                  <c:v>Program 13: Administratíva</c:v>
                </c:pt>
                <c:pt idx="13">
                  <c:v>Program 14: Strategická podpora VŽ a rozvoja regiónu</c:v>
                </c:pt>
              </c:strCache>
            </c:strRef>
          </c:cat>
          <c:val>
            <c:numRef>
              <c:f>'V+VFO'!$B$280:$B$293</c:f>
              <c:numCache>
                <c:formatCode>#,##0</c:formatCode>
                <c:ptCount val="14"/>
                <c:pt idx="0">
                  <c:v>3474531.4499999988</c:v>
                </c:pt>
                <c:pt idx="1">
                  <c:v>275351.25</c:v>
                </c:pt>
                <c:pt idx="2">
                  <c:v>5092566.2</c:v>
                </c:pt>
                <c:pt idx="3">
                  <c:v>534360.80000000005</c:v>
                </c:pt>
                <c:pt idx="4">
                  <c:v>81682.42</c:v>
                </c:pt>
                <c:pt idx="5">
                  <c:v>4818521.1800000006</c:v>
                </c:pt>
                <c:pt idx="6">
                  <c:v>21165245.420000002</c:v>
                </c:pt>
                <c:pt idx="7">
                  <c:v>75520584.039999977</c:v>
                </c:pt>
                <c:pt idx="8">
                  <c:v>346441.52999999974</c:v>
                </c:pt>
                <c:pt idx="9">
                  <c:v>4361545.29</c:v>
                </c:pt>
                <c:pt idx="10">
                  <c:v>30766857.48999992</c:v>
                </c:pt>
                <c:pt idx="11">
                  <c:v>802993.66</c:v>
                </c:pt>
                <c:pt idx="12">
                  <c:v>8308297.3099999987</c:v>
                </c:pt>
                <c:pt idx="13">
                  <c:v>278401.01</c:v>
                </c:pt>
              </c:numCache>
            </c:numRef>
          </c:val>
          <c:extLst>
            <c:ext xmlns:c16="http://schemas.microsoft.com/office/drawing/2014/chart" uri="{C3380CC4-5D6E-409C-BE32-E72D297353CC}">
              <c16:uniqueId val="{0000001C-3EFE-4EC8-BBCC-7B9CAF67E040}"/>
            </c:ext>
          </c:extLst>
        </c:ser>
        <c:dLbls>
          <c:showLegendKey val="0"/>
          <c:showVal val="0"/>
          <c:showCatName val="0"/>
          <c:showSerName val="0"/>
          <c:showPercent val="0"/>
          <c:showBubbleSize val="0"/>
          <c:showLeaderLines val="1"/>
        </c:dLbls>
        <c:firstSliceAng val="80"/>
      </c:pieChart>
      <c:spPr>
        <a:noFill/>
        <a:ln>
          <a:noFill/>
        </a:ln>
        <a:effectLst/>
      </c:spPr>
    </c:plotArea>
    <c:legend>
      <c:legendPos val="l"/>
      <c:layout>
        <c:manualLayout>
          <c:xMode val="edge"/>
          <c:yMode val="edge"/>
          <c:x val="1.15273757777764E-2"/>
          <c:y val="5.034339457567804E-2"/>
          <c:w val="0.40867875245958951"/>
          <c:h val="0.89931321084864391"/>
        </c:manualLayout>
      </c:layout>
      <c:overlay val="0"/>
      <c:spPr>
        <a:solidFill>
          <a:schemeClr val="bg1"/>
        </a:solidFill>
        <a:ln>
          <a:noFill/>
        </a:ln>
        <a:effectLst/>
      </c:spPr>
      <c:txPr>
        <a:bodyPr rot="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4"/>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FA9-4FD0-946E-19681A6678B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FA9-4FD0-946E-19681A6678B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FA9-4FD0-946E-19681A6678B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FA9-4FD0-946E-19681A6678B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FA9-4FD0-946E-19681A6678B7}"/>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FA9-4FD0-946E-19681A6678B7}"/>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EFA9-4FD0-946E-19681A6678B7}"/>
              </c:ext>
            </c:extLst>
          </c:dPt>
          <c:dLbls>
            <c:dLbl>
              <c:idx val="0"/>
              <c:layout>
                <c:manualLayout>
                  <c:x val="-3.3548586599088909E-2"/>
                  <c:y val="0.11250328083989501"/>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FA9-4FD0-946E-19681A6678B7}"/>
                </c:ext>
              </c:extLst>
            </c:dLbl>
            <c:dLbl>
              <c:idx val="1"/>
              <c:layout>
                <c:manualLayout>
                  <c:x val="-4.9102181192868133E-2"/>
                  <c:y val="-9.4293161271507733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FA9-4FD0-946E-19681A6678B7}"/>
                </c:ext>
              </c:extLst>
            </c:dLbl>
            <c:dLbl>
              <c:idx val="2"/>
              <c:layout>
                <c:manualLayout>
                  <c:x val="-3.8720859144244016E-2"/>
                  <c:y val="0.12762463797043477"/>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2">
                          <a:lumMod val="75000"/>
                        </a:schemeClr>
                      </a:solidFill>
                      <a:latin typeface="+mn-lt"/>
                      <a:ea typeface="+mn-ea"/>
                      <a:cs typeface="+mn-cs"/>
                    </a:defRPr>
                  </a:pPr>
                  <a:endParaRPr lang="sk-SK"/>
                </a:p>
              </c:txPr>
              <c:showLegendKey val="1"/>
              <c:showVal val="1"/>
              <c:showCatName val="0"/>
              <c:showSerName val="0"/>
              <c:showPercent val="1"/>
              <c:showBubbleSize val="0"/>
              <c:extLst>
                <c:ext xmlns:c15="http://schemas.microsoft.com/office/drawing/2012/chart" uri="{CE6537A1-D6FC-4f65-9D91-7224C49458BB}">
                  <c15:layout>
                    <c:manualLayout>
                      <c:w val="0.1520779593851049"/>
                      <c:h val="7.6862695577434609E-2"/>
                    </c:manualLayout>
                  </c15:layout>
                </c:ext>
                <c:ext xmlns:c16="http://schemas.microsoft.com/office/drawing/2014/chart" uri="{C3380CC4-5D6E-409C-BE32-E72D297353CC}">
                  <c16:uniqueId val="{00000005-EFA9-4FD0-946E-19681A6678B7}"/>
                </c:ext>
              </c:extLst>
            </c:dLbl>
            <c:dLbl>
              <c:idx val="3"/>
              <c:layout>
                <c:manualLayout>
                  <c:x val="-3.8531853303182752E-3"/>
                  <c:y val="-5.6284344436252243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FA9-4FD0-946E-19681A6678B7}"/>
                </c:ext>
              </c:extLst>
            </c:dLbl>
            <c:dLbl>
              <c:idx val="4"/>
              <c:layout>
                <c:manualLayout>
                  <c:x val="0.16406723481360902"/>
                  <c:y val="-1.1973147691768746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FA9-4FD0-946E-19681A6678B7}"/>
                </c:ext>
              </c:extLst>
            </c:dLbl>
            <c:dLbl>
              <c:idx val="5"/>
              <c:layout>
                <c:manualLayout>
                  <c:x val="1.9513379793042969E-2"/>
                  <c:y val="3.0633566637503645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EFA9-4FD0-946E-19681A6678B7}"/>
                </c:ext>
              </c:extLst>
            </c:dLbl>
            <c:dLbl>
              <c:idx val="6"/>
              <c:layout>
                <c:manualLayout>
                  <c:x val="1.2958940477267927E-2"/>
                  <c:y val="-2.3550233304170311E-2"/>
                </c:manualLayout>
              </c:layout>
              <c:showLegendKey val="1"/>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EFA9-4FD0-946E-19681A6678B7}"/>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lumMod val="75000"/>
                      </a:schemeClr>
                    </a:solidFill>
                    <a:latin typeface="+mn-lt"/>
                    <a:ea typeface="+mn-ea"/>
                    <a:cs typeface="+mn-cs"/>
                  </a:defRPr>
                </a:pPr>
                <a:endParaRPr lang="sk-SK"/>
              </a:p>
            </c:txPr>
            <c:showLegendKey val="1"/>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'V+VFO'!$D$350:$D$356</c:f>
              <c:strCache>
                <c:ptCount val="7"/>
                <c:pt idx="0">
                  <c:v>01 Všeobecné verejné služby</c:v>
                </c:pt>
                <c:pt idx="1">
                  <c:v>04 Ekonomická oblasť (doprava,výstavba,projekty)</c:v>
                </c:pt>
                <c:pt idx="2">
                  <c:v>06 Rozvoj obcí</c:v>
                </c:pt>
                <c:pt idx="3">
                  <c:v>07 Zdravotníctvo</c:v>
                </c:pt>
                <c:pt idx="4">
                  <c:v>08 Kulrúrne, rekreačné, špotové služby</c:v>
                </c:pt>
                <c:pt idx="5">
                  <c:v>09 Vzdelávanie</c:v>
                </c:pt>
                <c:pt idx="6">
                  <c:v>10 Sociálne zabezpečenie</c:v>
                </c:pt>
              </c:strCache>
            </c:strRef>
          </c:cat>
          <c:val>
            <c:numRef>
              <c:f>'V+VFO'!$E$350:$E$356</c:f>
              <c:numCache>
                <c:formatCode>#,##0.00</c:formatCode>
                <c:ptCount val="7"/>
                <c:pt idx="0">
                  <c:v>30773.759999999998</c:v>
                </c:pt>
                <c:pt idx="1">
                  <c:v>5770529.5499999998</c:v>
                </c:pt>
                <c:pt idx="2">
                  <c:v>8500</c:v>
                </c:pt>
                <c:pt idx="3">
                  <c:v>331603.7</c:v>
                </c:pt>
                <c:pt idx="4">
                  <c:v>1040861.64</c:v>
                </c:pt>
                <c:pt idx="5">
                  <c:v>2380359.92</c:v>
                </c:pt>
                <c:pt idx="6">
                  <c:v>502185.49</c:v>
                </c:pt>
              </c:numCache>
            </c:numRef>
          </c:val>
          <c:extLst>
            <c:ext xmlns:c16="http://schemas.microsoft.com/office/drawing/2014/chart" uri="{C3380CC4-5D6E-409C-BE32-E72D297353CC}">
              <c16:uniqueId val="{0000000E-EFA9-4FD0-946E-19681A6678B7}"/>
            </c:ext>
          </c:extLst>
        </c:ser>
        <c:dLbls>
          <c:showLegendKey val="0"/>
          <c:showVal val="0"/>
          <c:showCatName val="0"/>
          <c:showSerName val="0"/>
          <c:showPercent val="0"/>
          <c:showBubbleSize val="0"/>
          <c:showLeaderLines val="1"/>
        </c:dLbls>
        <c:firstSliceAng val="105"/>
      </c:pieChart>
      <c:spPr>
        <a:noFill/>
        <a:ln>
          <a:noFill/>
        </a:ln>
        <a:effectLst/>
      </c:spPr>
    </c:plotArea>
    <c:legend>
      <c:legendPos val="l"/>
      <c:layout>
        <c:manualLayout>
          <c:xMode val="edge"/>
          <c:yMode val="edge"/>
          <c:x val="1.3559322033898305E-2"/>
          <c:y val="9.0132428480066487E-2"/>
          <c:w val="0.3924795586992304"/>
          <c:h val="0.6966801226928889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3"/>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F29-472C-899F-BB015EB11FF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F29-472C-899F-BB015EB11FF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F29-472C-899F-BB015EB11FF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F29-472C-899F-BB015EB11FF4}"/>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F29-472C-899F-BB015EB11FF4}"/>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F29-472C-899F-BB015EB11FF4}"/>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BF29-472C-899F-BB015EB11FF4}"/>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BF29-472C-899F-BB015EB11FF4}"/>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BF29-472C-899F-BB015EB11FF4}"/>
              </c:ext>
            </c:extLst>
          </c:dPt>
          <c:dLbls>
            <c:dLbl>
              <c:idx val="0"/>
              <c:layout>
                <c:manualLayout>
                  <c:x val="2.0205952139763828E-2"/>
                  <c:y val="-3.2494621551282287E-3"/>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0"/>
              <c:showSerName val="0"/>
              <c:showPercent val="1"/>
              <c:showBubbleSize val="0"/>
              <c:extLst>
                <c:ext xmlns:c15="http://schemas.microsoft.com/office/drawing/2012/chart" uri="{CE6537A1-D6FC-4f65-9D91-7224C49458BB}">
                  <c15:layout>
                    <c:manualLayout>
                      <c:w val="8.828473630735445E-2"/>
                      <c:h val="5.8921589930814158E-2"/>
                    </c:manualLayout>
                  </c15:layout>
                </c:ext>
                <c:ext xmlns:c16="http://schemas.microsoft.com/office/drawing/2014/chart" uri="{C3380CC4-5D6E-409C-BE32-E72D297353CC}">
                  <c16:uniqueId val="{00000001-BF29-472C-899F-BB015EB11FF4}"/>
                </c:ext>
              </c:extLst>
            </c:dLbl>
            <c:dLbl>
              <c:idx val="1"/>
              <c:layout>
                <c:manualLayout>
                  <c:x val="5.1814165033360421E-2"/>
                  <c:y val="-0.15325452129732994"/>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F29-472C-899F-BB015EB11FF4}"/>
                </c:ext>
              </c:extLst>
            </c:dLbl>
            <c:dLbl>
              <c:idx val="2"/>
              <c:layout>
                <c:manualLayout>
                  <c:x val="-6.1561170704989988E-2"/>
                  <c:y val="-8.2703539243185506E-2"/>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F29-472C-899F-BB015EB11FF4}"/>
                </c:ext>
              </c:extLst>
            </c:dLbl>
            <c:dLbl>
              <c:idx val="3"/>
              <c:layout>
                <c:manualLayout>
                  <c:x val="-9.4644676199346668E-4"/>
                  <c:y val="-0.12468977505892656"/>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BF29-472C-899F-BB015EB11FF4}"/>
                </c:ext>
              </c:extLst>
            </c:dLbl>
            <c:dLbl>
              <c:idx val="4"/>
              <c:layout>
                <c:manualLayout>
                  <c:x val="3.1261332157672773E-2"/>
                  <c:y val="-0.18796055966840658"/>
                </c:manualLayout>
              </c:layou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BF29-472C-899F-BB015EB11FF4}"/>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'V+VFO'!$A$337:$A$345</c:f>
              <c:strCache>
                <c:ptCount val="9"/>
                <c:pt idx="0">
                  <c:v>Program 1: Plánovanie, manažment  a kontrola</c:v>
                </c:pt>
                <c:pt idx="1">
                  <c:v>Program 3: Interné služby</c:v>
                </c:pt>
                <c:pt idx="2">
                  <c:v>Program 5: Starostlivosť o krajinu</c:v>
                </c:pt>
                <c:pt idx="3">
                  <c:v>Program 6: Komunikácie</c:v>
                </c:pt>
                <c:pt idx="4">
                  <c:v>Program 8: Vzdelávanie</c:v>
                </c:pt>
                <c:pt idx="5">
                  <c:v>Program 9: Šport a mládežnícke aktivity</c:v>
                </c:pt>
                <c:pt idx="6">
                  <c:v>Program 10: Kultúra</c:v>
                </c:pt>
                <c:pt idx="7">
                  <c:v>Program 11: Sociálne zabezpečenie</c:v>
                </c:pt>
                <c:pt idx="8">
                  <c:v>Program 14: Strategická podpora VŽ a rozvoja regiónu</c:v>
                </c:pt>
              </c:strCache>
            </c:strRef>
          </c:cat>
          <c:val>
            <c:numRef>
              <c:f>'V+VFO'!$B$337:$B$345</c:f>
              <c:numCache>
                <c:formatCode>#,##0</c:formatCode>
                <c:ptCount val="9"/>
                <c:pt idx="0">
                  <c:v>3273253.6999999993</c:v>
                </c:pt>
                <c:pt idx="1">
                  <c:v>5349904.5299999993</c:v>
                </c:pt>
                <c:pt idx="2">
                  <c:v>29676</c:v>
                </c:pt>
                <c:pt idx="3">
                  <c:v>1247020.6200000001</c:v>
                </c:pt>
                <c:pt idx="4">
                  <c:v>85679.260000000009</c:v>
                </c:pt>
                <c:pt idx="5">
                  <c:v>10525.89</c:v>
                </c:pt>
                <c:pt idx="6">
                  <c:v>36153.06</c:v>
                </c:pt>
                <c:pt idx="7">
                  <c:v>19101</c:v>
                </c:pt>
                <c:pt idx="8">
                  <c:v>13500</c:v>
                </c:pt>
              </c:numCache>
            </c:numRef>
          </c:val>
          <c:extLst>
            <c:ext xmlns:c16="http://schemas.microsoft.com/office/drawing/2014/chart" uri="{C3380CC4-5D6E-409C-BE32-E72D297353CC}">
              <c16:uniqueId val="{00000012-BF29-472C-899F-BB015EB11FF4}"/>
            </c:ext>
          </c:extLst>
        </c:ser>
        <c:dLbls>
          <c:showLegendKey val="0"/>
          <c:showVal val="0"/>
          <c:showCatName val="0"/>
          <c:showSerName val="0"/>
          <c:showPercent val="0"/>
          <c:showBubbleSize val="0"/>
          <c:showLeaderLines val="1"/>
        </c:dLbls>
        <c:firstSliceAng val="88"/>
      </c:pieChart>
      <c:spPr>
        <a:noFill/>
        <a:ln>
          <a:noFill/>
        </a:ln>
        <a:effectLst/>
      </c:spPr>
    </c:plotArea>
    <c:legend>
      <c:legendPos val="l"/>
      <c:layout>
        <c:manualLayout>
          <c:xMode val="edge"/>
          <c:yMode val="edge"/>
          <c:x val="8.2431736218444105E-3"/>
          <c:y val="0.11610383018533048"/>
          <c:w val="0.44660962974682261"/>
          <c:h val="0.742523500130210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pivotSource>
    <c:name>[rozpocet2120210216075452.xlsx]Hárok2!Kontingenčná tabuľka2</c:name>
    <c:fmtId val="-1"/>
  </c:pivotSource>
  <c:chart>
    <c:autoTitleDeleted val="1"/>
    <c:pivotFmts>
      <c:pivotFmt>
        <c:idx val="0"/>
        <c:spPr>
          <a:solidFill>
            <a:schemeClr val="accent1"/>
          </a:solidFill>
          <a:ln>
            <a:noFill/>
          </a:ln>
          <a:effectLst/>
        </c:spPr>
        <c:marker>
          <c:symbol val="none"/>
        </c:marker>
        <c:dLbl>
          <c:idx val="0"/>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Lst>
        </c:dLbl>
      </c:pivotFmt>
      <c:pivotFmt>
        <c:idx val="1"/>
        <c:spPr>
          <a:solidFill>
            <a:schemeClr val="accent1"/>
          </a:solidFill>
          <a:ln>
            <a:noFill/>
          </a:ln>
          <a:effectLst/>
        </c:spPr>
        <c:marker>
          <c:symbol val="none"/>
        </c:marker>
        <c:dLbl>
          <c:idx val="0"/>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Lst>
        </c:dLbl>
      </c:pivotFmt>
      <c:pivotFmt>
        <c:idx val="2"/>
        <c:spPr>
          <a:solidFill>
            <a:schemeClr val="accent1"/>
          </a:solidFill>
          <a:ln>
            <a:noFill/>
          </a:ln>
          <a:effectLst/>
        </c:spPr>
        <c:marker>
          <c:symbol val="none"/>
        </c:marker>
        <c:dLbl>
          <c:idx val="0"/>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Lst>
        </c:dLbl>
      </c:pivotFmt>
    </c:pivotFmts>
    <c:plotArea>
      <c:layout/>
      <c:barChart>
        <c:barDir val="bar"/>
        <c:grouping val="clustered"/>
        <c:varyColors val="0"/>
        <c:ser>
          <c:idx val="0"/>
          <c:order val="0"/>
          <c:tx>
            <c:strRef>
              <c:f>Hárok2!$B$3</c:f>
              <c:strCache>
                <c:ptCount val="1"/>
                <c:pt idx="0">
                  <c:v>Celková hodnota</c:v>
                </c:pt>
              </c:strCache>
            </c:strRef>
          </c:tx>
          <c:spPr>
            <a:solidFill>
              <a:schemeClr val="accent1"/>
            </a:solidFill>
            <a:ln>
              <a:noFill/>
            </a:ln>
            <a:effectLst/>
          </c:spPr>
          <c:invertIfNegative val="0"/>
          <c:dLbls>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tx2">
                        <a:lumMod val="7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Hárok2!$A$4:$A$8</c:f>
              <c:strCache>
                <c:ptCount val="4"/>
                <c:pt idx="0">
                  <c:v>Spolufinancovanie zo ŠR</c:v>
                </c:pt>
                <c:pt idx="1">
                  <c:v>Vlastné zdroje</c:v>
                </c:pt>
                <c:pt idx="2">
                  <c:v>Zdroje EÚ</c:v>
                </c:pt>
                <c:pt idx="3">
                  <c:v>Zdroje z úverov</c:v>
                </c:pt>
              </c:strCache>
            </c:strRef>
          </c:cat>
          <c:val>
            <c:numRef>
              <c:f>Hárok2!$B$4:$B$8</c:f>
              <c:numCache>
                <c:formatCode>#,##0.00</c:formatCode>
                <c:ptCount val="4"/>
                <c:pt idx="0">
                  <c:v>937486.30999999982</c:v>
                </c:pt>
                <c:pt idx="1">
                  <c:v>197067.95000000004</c:v>
                </c:pt>
                <c:pt idx="2">
                  <c:v>2770369.5799999991</c:v>
                </c:pt>
                <c:pt idx="3">
                  <c:v>669051.36999999988</c:v>
                </c:pt>
              </c:numCache>
            </c:numRef>
          </c:val>
          <c:extLst>
            <c:ext xmlns:c16="http://schemas.microsoft.com/office/drawing/2014/chart" uri="{C3380CC4-5D6E-409C-BE32-E72D297353CC}">
              <c16:uniqueId val="{00000000-B847-49FD-9820-320CE47F5C8E}"/>
            </c:ext>
          </c:extLst>
        </c:ser>
        <c:dLbls>
          <c:showLegendKey val="0"/>
          <c:showVal val="0"/>
          <c:showCatName val="0"/>
          <c:showSerName val="0"/>
          <c:showPercent val="0"/>
          <c:showBubbleSize val="0"/>
        </c:dLbls>
        <c:gapWidth val="182"/>
        <c:axId val="1271087983"/>
        <c:axId val="1271087151"/>
      </c:barChart>
      <c:catAx>
        <c:axId val="127108798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crossAx val="1271087151"/>
        <c:crosses val="autoZero"/>
        <c:auto val="1"/>
        <c:lblAlgn val="ctr"/>
        <c:lblOffset val="100"/>
        <c:noMultiLvlLbl val="0"/>
      </c:catAx>
      <c:valAx>
        <c:axId val="1271087151"/>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crossAx val="127108798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extLst>
    <c:ext xmlns:c14="http://schemas.microsoft.com/office/drawing/2007/8/2/chart" uri="{781A3756-C4B2-4CAC-9D66-4F8BD8637D16}">
      <c14:pivotOptions>
        <c14:dropZoneFilter val="1"/>
        <c14:dropZoneCategories val="1"/>
        <c14:dropZoneData val="1"/>
        <c14:dropZonesVisible val="1"/>
      </c14:pivotOptions>
    </c:ext>
    <c:ext xmlns:c16="http://schemas.microsoft.com/office/drawing/2014/chart" uri="{E28EC0CA-F0BB-4C9C-879D-F8772B89E7AC}">
      <c16:pivotOptions16>
        <c16:showExpandCollapseFieldButtons val="1"/>
      </c16:pivotOptions16>
    </c:ext>
  </c:extLst>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'vývoj zadlženia'!$D$21</c:f>
              <c:strCache>
                <c:ptCount val="1"/>
                <c:pt idx="0">
                  <c:v>Zostatok dlhu</c:v>
                </c:pt>
              </c:strCache>
            </c:strRef>
          </c:tx>
          <c:spPr>
            <a:solidFill>
              <a:schemeClr val="accent1"/>
            </a:solidFill>
            <a:ln>
              <a:noFill/>
            </a:ln>
            <a:effectLst/>
          </c:spPr>
          <c:invertIfNegative val="0"/>
          <c:dLbls>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'vývoj zadlženia'!$C$22:$C$28</c:f>
              <c:numCache>
                <c:formatCode>General</c:formatCode>
                <c:ptCount val="7"/>
                <c:pt idx="0">
                  <c:v>2016</c:v>
                </c:pt>
                <c:pt idx="1">
                  <c:v>2017</c:v>
                </c:pt>
                <c:pt idx="2">
                  <c:v>2018</c:v>
                </c:pt>
                <c:pt idx="3">
                  <c:v>2019</c:v>
                </c:pt>
                <c:pt idx="4">
                  <c:v>2020</c:v>
                </c:pt>
                <c:pt idx="5">
                  <c:v>2021</c:v>
                </c:pt>
                <c:pt idx="6">
                  <c:v>2022</c:v>
                </c:pt>
              </c:numCache>
            </c:numRef>
          </c:cat>
          <c:val>
            <c:numRef>
              <c:f>'vývoj zadlženia'!$D$22:$D$28</c:f>
              <c:numCache>
                <c:formatCode>#,##0</c:formatCode>
                <c:ptCount val="7"/>
                <c:pt idx="0">
                  <c:v>37066635.729999997</c:v>
                </c:pt>
                <c:pt idx="1">
                  <c:v>44469140</c:v>
                </c:pt>
                <c:pt idx="2">
                  <c:v>50204977</c:v>
                </c:pt>
                <c:pt idx="3">
                  <c:v>53580814</c:v>
                </c:pt>
                <c:pt idx="4">
                  <c:v>61351996</c:v>
                </c:pt>
                <c:pt idx="5">
                  <c:v>75707832</c:v>
                </c:pt>
                <c:pt idx="6">
                  <c:v>82907832</c:v>
                </c:pt>
              </c:numCache>
            </c:numRef>
          </c:val>
          <c:extLst>
            <c:ext xmlns:c16="http://schemas.microsoft.com/office/drawing/2014/chart" uri="{C3380CC4-5D6E-409C-BE32-E72D297353CC}">
              <c16:uniqueId val="{00000000-5B75-4C49-9A34-A8B4E2D3AE31}"/>
            </c:ext>
          </c:extLst>
        </c:ser>
        <c:ser>
          <c:idx val="1"/>
          <c:order val="1"/>
          <c:tx>
            <c:strRef>
              <c:f>'vývoj zadlženia'!$E$21</c:f>
              <c:strCache>
                <c:ptCount val="1"/>
                <c:pt idx="0">
                  <c:v>Rezerva do výšky 50% BP predch. roka</c:v>
                </c:pt>
              </c:strCache>
            </c:strRef>
          </c:tx>
          <c:spPr>
            <a:solidFill>
              <a:schemeClr val="accent2"/>
            </a:solidFill>
            <a:ln>
              <a:noFill/>
            </a:ln>
            <a:effectLst/>
          </c:spPr>
          <c:invertIfNegative val="0"/>
          <c:dLbls>
            <c:numFmt formatCode="#,##0.00" sourceLinked="0"/>
            <c:spPr>
              <a:gradFill flip="none" rotWithShape="1">
                <a:gsLst>
                  <a:gs pos="0">
                    <a:schemeClr val="accent2">
                      <a:lumMod val="5000"/>
                      <a:lumOff val="95000"/>
                    </a:schemeClr>
                  </a:gs>
                  <a:gs pos="74000">
                    <a:schemeClr val="accent2">
                      <a:lumMod val="45000"/>
                      <a:lumOff val="55000"/>
                    </a:schemeClr>
                  </a:gs>
                  <a:gs pos="83000">
                    <a:schemeClr val="accent2">
                      <a:lumMod val="45000"/>
                      <a:lumOff val="55000"/>
                    </a:schemeClr>
                  </a:gs>
                  <a:gs pos="100000">
                    <a:schemeClr val="accent2">
                      <a:lumMod val="30000"/>
                      <a:lumOff val="70000"/>
                    </a:schemeClr>
                  </a:gs>
                </a:gsLst>
                <a:lin ang="5400000" scaled="1"/>
                <a:tileRect/>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'vývoj zadlženia'!$C$22:$C$28</c:f>
              <c:numCache>
                <c:formatCode>General</c:formatCode>
                <c:ptCount val="7"/>
                <c:pt idx="0">
                  <c:v>2016</c:v>
                </c:pt>
                <c:pt idx="1">
                  <c:v>2017</c:v>
                </c:pt>
                <c:pt idx="2">
                  <c:v>2018</c:v>
                </c:pt>
                <c:pt idx="3">
                  <c:v>2019</c:v>
                </c:pt>
                <c:pt idx="4">
                  <c:v>2020</c:v>
                </c:pt>
                <c:pt idx="5">
                  <c:v>2021</c:v>
                </c:pt>
                <c:pt idx="6">
                  <c:v>2022</c:v>
                </c:pt>
              </c:numCache>
            </c:numRef>
          </c:cat>
          <c:val>
            <c:numRef>
              <c:f>'vývoj zadlženia'!$E$22:$E$28</c:f>
              <c:numCache>
                <c:formatCode>#,##0</c:formatCode>
                <c:ptCount val="7"/>
                <c:pt idx="0">
                  <c:v>27655767.095000006</c:v>
                </c:pt>
                <c:pt idx="1">
                  <c:v>23428770</c:v>
                </c:pt>
                <c:pt idx="2">
                  <c:v>23439722.295000002</c:v>
                </c:pt>
                <c:pt idx="3">
                  <c:v>29545084.5</c:v>
                </c:pt>
                <c:pt idx="4">
                  <c:v>26454718.420000002</c:v>
                </c:pt>
                <c:pt idx="5">
                  <c:v>15209714</c:v>
                </c:pt>
                <c:pt idx="6">
                  <c:v>15029507</c:v>
                </c:pt>
              </c:numCache>
            </c:numRef>
          </c:val>
          <c:extLst>
            <c:ext xmlns:c16="http://schemas.microsoft.com/office/drawing/2014/chart" uri="{C3380CC4-5D6E-409C-BE32-E72D297353CC}">
              <c16:uniqueId val="{00000001-5B75-4C49-9A34-A8B4E2D3AE31}"/>
            </c:ext>
          </c:extLst>
        </c:ser>
        <c:dLbls>
          <c:showLegendKey val="0"/>
          <c:showVal val="0"/>
          <c:showCatName val="0"/>
          <c:showSerName val="0"/>
          <c:showPercent val="0"/>
          <c:showBubbleSize val="0"/>
        </c:dLbls>
        <c:gapWidth val="247"/>
        <c:overlap val="100"/>
        <c:axId val="2075803439"/>
        <c:axId val="1892732383"/>
      </c:barChart>
      <c:lineChart>
        <c:grouping val="standard"/>
        <c:varyColors val="0"/>
        <c:ser>
          <c:idx val="2"/>
          <c:order val="2"/>
          <c:tx>
            <c:strRef>
              <c:f>'vývoj zadlženia'!$F$21</c:f>
              <c:strCache>
                <c:ptCount val="1"/>
                <c:pt idx="0">
                  <c:v>výška dlhu v %</c:v>
                </c:pt>
              </c:strCache>
            </c:strRef>
          </c:tx>
          <c:spPr>
            <a:ln w="28575" cap="rnd">
              <a:solidFill>
                <a:schemeClr val="accent3"/>
              </a:solidFill>
              <a:round/>
            </a:ln>
            <a:effectLst/>
          </c:spPr>
          <c:marker>
            <c:symbol val="none"/>
          </c:marker>
          <c:dLbls>
            <c:dLbl>
              <c:idx val="0"/>
              <c:layout>
                <c:manualLayout>
                  <c:x val="-4.0836820083682009E-2"/>
                  <c:y val="-8.83592523040099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B75-4C49-9A34-A8B4E2D3AE31}"/>
                </c:ext>
              </c:extLst>
            </c:dLbl>
            <c:dLbl>
              <c:idx val="3"/>
              <c:layout>
                <c:manualLayout>
                  <c:x val="-4.0836820083682009E-2"/>
                  <c:y val="-0.12973207175355897"/>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B75-4C49-9A34-A8B4E2D3AE31}"/>
                </c:ext>
              </c:extLst>
            </c:dLbl>
            <c:dLbl>
              <c:idx val="4"/>
              <c:layout>
                <c:manualLayout>
                  <c:x val="-4.269642026964203E-2"/>
                  <c:y val="-0.1485378987760812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B75-4C49-9A34-A8B4E2D3AE31}"/>
                </c:ext>
              </c:extLst>
            </c:dLbl>
            <c:dLbl>
              <c:idx val="5"/>
              <c:layout>
                <c:manualLayout>
                  <c:x val="-4.0836820083682009E-2"/>
                  <c:y val="-5.45087636634698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B75-4C49-9A34-A8B4E2D3AE31}"/>
                </c:ext>
              </c:extLst>
            </c:dLbl>
            <c:spPr>
              <a:gradFill flip="none" rotWithShape="1">
                <a:gsLst>
                  <a:gs pos="0">
                    <a:schemeClr val="accent3">
                      <a:lumMod val="5000"/>
                      <a:lumOff val="95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tileRect/>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'vývoj zadlženia'!$C$22:$C$28</c:f>
              <c:numCache>
                <c:formatCode>General</c:formatCode>
                <c:ptCount val="7"/>
                <c:pt idx="0">
                  <c:v>2016</c:v>
                </c:pt>
                <c:pt idx="1">
                  <c:v>2017</c:v>
                </c:pt>
                <c:pt idx="2">
                  <c:v>2018</c:v>
                </c:pt>
                <c:pt idx="3">
                  <c:v>2019</c:v>
                </c:pt>
                <c:pt idx="4">
                  <c:v>2020</c:v>
                </c:pt>
                <c:pt idx="5">
                  <c:v>2021</c:v>
                </c:pt>
                <c:pt idx="6">
                  <c:v>2022</c:v>
                </c:pt>
              </c:numCache>
            </c:numRef>
          </c:cat>
          <c:val>
            <c:numRef>
              <c:f>'vývoj zadlženia'!$F$22:$F$28</c:f>
              <c:numCache>
                <c:formatCode>0.00%</c:formatCode>
                <c:ptCount val="7"/>
                <c:pt idx="0">
                  <c:v>0.2969</c:v>
                </c:pt>
                <c:pt idx="1">
                  <c:v>0.34353746198389845</c:v>
                </c:pt>
                <c:pt idx="2">
                  <c:v>0.36970929591205387</c:v>
                </c:pt>
                <c:pt idx="3">
                  <c:v>0.36377916206413102</c:v>
                </c:pt>
                <c:pt idx="4">
                  <c:v>0.3690305735462216</c:v>
                </c:pt>
                <c:pt idx="5">
                  <c:v>0.4311050271046003</c:v>
                </c:pt>
                <c:pt idx="6">
                  <c:v>0.45595066985199972</c:v>
                </c:pt>
              </c:numCache>
            </c:numRef>
          </c:val>
          <c:smooth val="0"/>
          <c:extLst>
            <c:ext xmlns:c16="http://schemas.microsoft.com/office/drawing/2014/chart" uri="{C3380CC4-5D6E-409C-BE32-E72D297353CC}">
              <c16:uniqueId val="{00000006-5B75-4C49-9A34-A8B4E2D3AE31}"/>
            </c:ext>
          </c:extLst>
        </c:ser>
        <c:dLbls>
          <c:showLegendKey val="0"/>
          <c:showVal val="0"/>
          <c:showCatName val="0"/>
          <c:showSerName val="0"/>
          <c:showPercent val="0"/>
          <c:showBubbleSize val="0"/>
        </c:dLbls>
        <c:marker val="1"/>
        <c:smooth val="0"/>
        <c:axId val="2075781039"/>
        <c:axId val="1892743199"/>
      </c:lineChart>
      <c:catAx>
        <c:axId val="20757810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892743199"/>
        <c:crosses val="autoZero"/>
        <c:auto val="1"/>
        <c:lblAlgn val="ctr"/>
        <c:lblOffset val="100"/>
        <c:noMultiLvlLbl val="0"/>
      </c:catAx>
      <c:valAx>
        <c:axId val="1892743199"/>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2075781039"/>
        <c:crosses val="autoZero"/>
        <c:crossBetween val="between"/>
      </c:valAx>
      <c:valAx>
        <c:axId val="1892732383"/>
        <c:scaling>
          <c:orientation val="minMax"/>
        </c:scaling>
        <c:delete val="0"/>
        <c:axPos val="r"/>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2075803439"/>
        <c:crosses val="max"/>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dispUnitsLbl>
        </c:dispUnits>
      </c:valAx>
      <c:catAx>
        <c:axId val="2075803439"/>
        <c:scaling>
          <c:orientation val="minMax"/>
        </c:scaling>
        <c:delete val="1"/>
        <c:axPos val="b"/>
        <c:numFmt formatCode="General" sourceLinked="1"/>
        <c:majorTickMark val="none"/>
        <c:minorTickMark val="none"/>
        <c:tickLblPos val="nextTo"/>
        <c:crossAx val="1892732383"/>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pivotSource>
    <c:name>[PK 14.2 Individuálne dotácie 2020.xlsx]podiel okresov!Kontingenčná tabuľka2</c:name>
    <c:fmtId val="8"/>
  </c:pivotSource>
  <c:chart>
    <c:autoTitleDeleted val="1"/>
    <c:pivotFmts>
      <c:pivotFmt>
        <c:idx val="0"/>
        <c:spPr>
          <a:solidFill>
            <a:schemeClr val="accent1"/>
          </a:solidFill>
          <a:ln w="19050">
            <a:solidFill>
              <a:schemeClr val="lt1"/>
            </a:solidFill>
          </a:ln>
          <a:effectLst/>
        </c:spPr>
        <c:marker>
          <c:symbol val="none"/>
        </c:marker>
        <c:dLbl>
          <c:idx val="0"/>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
        <c:spPr>
          <a:solidFill>
            <a:schemeClr val="accent1"/>
          </a:solidFill>
          <a:ln w="19050">
            <a:solidFill>
              <a:schemeClr val="lt1"/>
            </a:solidFill>
          </a:ln>
          <a:effectLst/>
        </c:spPr>
        <c:dLbl>
          <c:idx val="0"/>
          <c:layout>
            <c:manualLayout>
              <c:x val="0.11883472230204802"/>
              <c:y val="-0.13281758878283456"/>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
        <c:spPr>
          <a:solidFill>
            <a:schemeClr val="accent1"/>
          </a:solidFill>
          <a:ln w="19050">
            <a:solidFill>
              <a:schemeClr val="lt1"/>
            </a:solidFill>
          </a:ln>
          <a:effectLst/>
        </c:spPr>
        <c:dLbl>
          <c:idx val="0"/>
          <c:layout>
            <c:manualLayout>
              <c:x val="0.15417560396191352"/>
              <c:y val="9.5324463752375646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3"/>
        <c:spPr>
          <a:solidFill>
            <a:schemeClr val="accent1"/>
          </a:solidFill>
          <a:ln w="19050">
            <a:solidFill>
              <a:schemeClr val="lt1"/>
            </a:solidFill>
          </a:ln>
          <a:effectLst/>
        </c:spPr>
        <c:dLbl>
          <c:idx val="0"/>
          <c:layout>
            <c:manualLayout>
              <c:x val="-9.3361993984328595E-2"/>
              <c:y val="0.14374652770525687"/>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4"/>
        <c:spPr>
          <a:solidFill>
            <a:schemeClr val="accent1"/>
          </a:solidFill>
          <a:ln w="19050">
            <a:solidFill>
              <a:schemeClr val="lt1"/>
            </a:solidFill>
          </a:ln>
          <a:effectLst/>
        </c:spPr>
        <c:dLbl>
          <c:idx val="0"/>
          <c:layout>
            <c:manualLayout>
              <c:x val="-0.18349437707147917"/>
              <c:y val="4.1974421632309224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5"/>
        <c:spPr>
          <a:solidFill>
            <a:schemeClr val="accent1"/>
          </a:solidFill>
          <a:ln w="19050">
            <a:solidFill>
              <a:schemeClr val="lt1"/>
            </a:solidFill>
          </a:ln>
          <a:effectLst/>
        </c:spPr>
        <c:dLbl>
          <c:idx val="0"/>
          <c:layout>
            <c:manualLayout>
              <c:x val="-0.22946682759545567"/>
              <c:y val="-5.4608770720636114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6"/>
        <c:spPr>
          <a:solidFill>
            <a:schemeClr val="accent1"/>
          </a:solidFill>
          <a:ln w="19050">
            <a:solidFill>
              <a:schemeClr val="lt1"/>
            </a:solidFill>
          </a:ln>
          <a:effectLst/>
        </c:spPr>
        <c:dLbl>
          <c:idx val="0"/>
          <c:layout>
            <c:manualLayout>
              <c:x val="-0.1827964059237121"/>
              <c:y val="-9.4770845951948318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7"/>
        <c:spPr>
          <a:solidFill>
            <a:schemeClr val="accent1"/>
          </a:solidFill>
          <a:ln w="19050">
            <a:solidFill>
              <a:schemeClr val="lt1"/>
            </a:solidFill>
          </a:ln>
          <a:effectLst/>
        </c:spPr>
        <c:dLbl>
          <c:idx val="0"/>
          <c:layout>
            <c:manualLayout>
              <c:x val="-0.1215594209058616"/>
              <c:y val="-0.17488753204907265"/>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6068877521696648"/>
                  <c:h val="0.12482187737142938"/>
                </c:manualLayout>
              </c15:layout>
            </c:ext>
          </c:extLst>
        </c:dLbl>
      </c:pivotFmt>
      <c:pivotFmt>
        <c:idx val="8"/>
        <c:spPr>
          <a:solidFill>
            <a:schemeClr val="accent1"/>
          </a:solidFill>
          <a:ln w="19050">
            <a:solidFill>
              <a:schemeClr val="lt1"/>
            </a:solidFill>
          </a:ln>
          <a:effectLst/>
        </c:spPr>
        <c:dLbl>
          <c:idx val="0"/>
          <c:layout>
            <c:manualLayout>
              <c:x val="3.6043655721103088E-2"/>
              <c:y val="-0.183722913317588"/>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4547610015901294"/>
                  <c:h val="0.13958019173332775"/>
                </c:manualLayout>
              </c15:layout>
            </c:ext>
          </c:extLst>
        </c:dLbl>
      </c:pivotFmt>
      <c:pivotFmt>
        <c:idx val="9"/>
        <c:spPr>
          <a:solidFill>
            <a:schemeClr val="accent1"/>
          </a:solidFill>
          <a:ln w="19050">
            <a:solidFill>
              <a:schemeClr val="lt1"/>
            </a:solidFill>
          </a:ln>
          <a:effectLst/>
        </c:spPr>
        <c:marker>
          <c:symbol val="none"/>
        </c:marker>
        <c:dLbl>
          <c:idx val="0"/>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0"/>
        <c:spPr>
          <a:solidFill>
            <a:schemeClr val="accent1"/>
          </a:solidFill>
          <a:ln w="19050">
            <a:solidFill>
              <a:schemeClr val="lt1"/>
            </a:solidFill>
          </a:ln>
          <a:effectLst/>
        </c:spPr>
        <c:dLbl>
          <c:idx val="0"/>
          <c:layout>
            <c:manualLayout>
              <c:x val="0.11883472230204802"/>
              <c:y val="-0.13281758878283456"/>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1"/>
        <c:spPr>
          <a:solidFill>
            <a:schemeClr val="accent1"/>
          </a:solidFill>
          <a:ln w="19050">
            <a:solidFill>
              <a:schemeClr val="lt1"/>
            </a:solidFill>
          </a:ln>
          <a:effectLst/>
        </c:spPr>
        <c:dLbl>
          <c:idx val="0"/>
          <c:layout>
            <c:manualLayout>
              <c:x val="0.15417560396191352"/>
              <c:y val="9.5324463752375646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2"/>
        <c:spPr>
          <a:solidFill>
            <a:schemeClr val="accent1"/>
          </a:solidFill>
          <a:ln w="19050">
            <a:solidFill>
              <a:schemeClr val="lt1"/>
            </a:solidFill>
          </a:ln>
          <a:effectLst/>
        </c:spPr>
        <c:dLbl>
          <c:idx val="0"/>
          <c:layout>
            <c:manualLayout>
              <c:x val="-9.3361993984328595E-2"/>
              <c:y val="0.14374652770525687"/>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3"/>
        <c:spPr>
          <a:solidFill>
            <a:schemeClr val="accent1"/>
          </a:solidFill>
          <a:ln w="19050">
            <a:solidFill>
              <a:schemeClr val="lt1"/>
            </a:solidFill>
          </a:ln>
          <a:effectLst/>
        </c:spPr>
        <c:dLbl>
          <c:idx val="0"/>
          <c:layout>
            <c:manualLayout>
              <c:x val="-0.18349437707147917"/>
              <c:y val="4.1974421632309224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4"/>
        <c:spPr>
          <a:solidFill>
            <a:schemeClr val="accent1"/>
          </a:solidFill>
          <a:ln w="19050">
            <a:solidFill>
              <a:schemeClr val="lt1"/>
            </a:solidFill>
          </a:ln>
          <a:effectLst/>
        </c:spPr>
        <c:dLbl>
          <c:idx val="0"/>
          <c:layout>
            <c:manualLayout>
              <c:x val="-0.22946682759545567"/>
              <c:y val="-5.4608770720636114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5"/>
        <c:spPr>
          <a:solidFill>
            <a:schemeClr val="accent1"/>
          </a:solidFill>
          <a:ln w="19050">
            <a:solidFill>
              <a:schemeClr val="lt1"/>
            </a:solidFill>
          </a:ln>
          <a:effectLst/>
        </c:spPr>
        <c:dLbl>
          <c:idx val="0"/>
          <c:layout>
            <c:manualLayout>
              <c:x val="-0.1827964059237121"/>
              <c:y val="-9.4770845951948318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6"/>
        <c:spPr>
          <a:solidFill>
            <a:schemeClr val="accent1"/>
          </a:solidFill>
          <a:ln w="19050">
            <a:solidFill>
              <a:schemeClr val="lt1"/>
            </a:solidFill>
          </a:ln>
          <a:effectLst/>
        </c:spPr>
        <c:dLbl>
          <c:idx val="0"/>
          <c:layout>
            <c:manualLayout>
              <c:x val="-0.1215594209058616"/>
              <c:y val="-0.17488753204907265"/>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6068877521696648"/>
                  <c:h val="0.12482187737142938"/>
                </c:manualLayout>
              </c15:layout>
            </c:ext>
          </c:extLst>
        </c:dLbl>
      </c:pivotFmt>
      <c:pivotFmt>
        <c:idx val="17"/>
        <c:spPr>
          <a:solidFill>
            <a:schemeClr val="accent1"/>
          </a:solidFill>
          <a:ln w="19050">
            <a:solidFill>
              <a:schemeClr val="lt1"/>
            </a:solidFill>
          </a:ln>
          <a:effectLst/>
        </c:spPr>
        <c:dLbl>
          <c:idx val="0"/>
          <c:layout>
            <c:manualLayout>
              <c:x val="3.6043655721103088E-2"/>
              <c:y val="-0.183722913317588"/>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4547610015901294"/>
                  <c:h val="0.13958019173332775"/>
                </c:manualLayout>
              </c15:layout>
            </c:ext>
          </c:extLst>
        </c:dLbl>
      </c:pivotFmt>
      <c:pivotFmt>
        <c:idx val="18"/>
        <c:spPr>
          <a:solidFill>
            <a:schemeClr val="accent1"/>
          </a:solidFill>
          <a:ln w="19050">
            <a:solidFill>
              <a:schemeClr val="lt1"/>
            </a:solidFill>
          </a:ln>
          <a:effectLst/>
        </c:spPr>
        <c:marker>
          <c:symbol val="none"/>
        </c:marker>
        <c:dLbl>
          <c:idx val="0"/>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9"/>
        <c:spPr>
          <a:solidFill>
            <a:schemeClr val="accent1"/>
          </a:solidFill>
          <a:ln w="19050">
            <a:solidFill>
              <a:schemeClr val="lt1"/>
            </a:solidFill>
          </a:ln>
          <a:effectLst/>
        </c:spPr>
        <c:dLbl>
          <c:idx val="0"/>
          <c:layout>
            <c:manualLayout>
              <c:x val="0.11883472230204802"/>
              <c:y val="-0.13281758878283456"/>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0"/>
        <c:spPr>
          <a:solidFill>
            <a:schemeClr val="accent1"/>
          </a:solidFill>
          <a:ln w="19050">
            <a:solidFill>
              <a:schemeClr val="lt1"/>
            </a:solidFill>
          </a:ln>
          <a:effectLst/>
        </c:spPr>
        <c:dLbl>
          <c:idx val="0"/>
          <c:layout>
            <c:manualLayout>
              <c:x val="0.15417560396191352"/>
              <c:y val="9.5324463752375646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1"/>
        <c:spPr>
          <a:solidFill>
            <a:schemeClr val="accent1"/>
          </a:solidFill>
          <a:ln w="19050">
            <a:solidFill>
              <a:schemeClr val="lt1"/>
            </a:solidFill>
          </a:ln>
          <a:effectLst/>
        </c:spPr>
        <c:dLbl>
          <c:idx val="0"/>
          <c:layout>
            <c:manualLayout>
              <c:x val="-9.3361993984328595E-2"/>
              <c:y val="0.14374652770525687"/>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2"/>
        <c:spPr>
          <a:solidFill>
            <a:schemeClr val="accent1"/>
          </a:solidFill>
          <a:ln w="19050">
            <a:solidFill>
              <a:schemeClr val="lt1"/>
            </a:solidFill>
          </a:ln>
          <a:effectLst/>
        </c:spPr>
        <c:dLbl>
          <c:idx val="0"/>
          <c:layout>
            <c:manualLayout>
              <c:x val="-0.18349437707147917"/>
              <c:y val="4.1974421632309224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3"/>
        <c:spPr>
          <a:solidFill>
            <a:schemeClr val="accent1"/>
          </a:solidFill>
          <a:ln w="19050">
            <a:solidFill>
              <a:schemeClr val="lt1"/>
            </a:solidFill>
          </a:ln>
          <a:effectLst/>
        </c:spPr>
        <c:dLbl>
          <c:idx val="0"/>
          <c:layout>
            <c:manualLayout>
              <c:x val="-0.22946682759545567"/>
              <c:y val="-5.4608770720636114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4"/>
        <c:spPr>
          <a:solidFill>
            <a:schemeClr val="accent1"/>
          </a:solidFill>
          <a:ln w="19050">
            <a:solidFill>
              <a:schemeClr val="lt1"/>
            </a:solidFill>
          </a:ln>
          <a:effectLst/>
        </c:spPr>
        <c:dLbl>
          <c:idx val="0"/>
          <c:layout>
            <c:manualLayout>
              <c:x val="-0.1827964059237121"/>
              <c:y val="-9.4770845951948318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5"/>
        <c:spPr>
          <a:solidFill>
            <a:schemeClr val="accent1"/>
          </a:solidFill>
          <a:ln w="19050">
            <a:solidFill>
              <a:schemeClr val="lt1"/>
            </a:solidFill>
          </a:ln>
          <a:effectLst/>
        </c:spPr>
        <c:dLbl>
          <c:idx val="0"/>
          <c:layout>
            <c:manualLayout>
              <c:x val="-0.1215594209058616"/>
              <c:y val="-0.17488753204907265"/>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6068877521696648"/>
                  <c:h val="0.12482187737142938"/>
                </c:manualLayout>
              </c15:layout>
            </c:ext>
          </c:extLst>
        </c:dLbl>
      </c:pivotFmt>
      <c:pivotFmt>
        <c:idx val="26"/>
        <c:spPr>
          <a:solidFill>
            <a:schemeClr val="accent1"/>
          </a:solidFill>
          <a:ln w="19050">
            <a:solidFill>
              <a:schemeClr val="lt1"/>
            </a:solidFill>
          </a:ln>
          <a:effectLst/>
        </c:spPr>
        <c:dLbl>
          <c:idx val="0"/>
          <c:layout>
            <c:manualLayout>
              <c:x val="3.6043655721103088E-2"/>
              <c:y val="-0.183722913317588"/>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4547610015901294"/>
                  <c:h val="0.13958019173332775"/>
                </c:manualLayout>
              </c15:layout>
            </c:ext>
          </c:extLst>
        </c:dLbl>
      </c:pivotFmt>
    </c:pivotFmts>
    <c:plotArea>
      <c:layout>
        <c:manualLayout>
          <c:layoutTarget val="inner"/>
          <c:xMode val="edge"/>
          <c:yMode val="edge"/>
          <c:x val="0.32897691438205262"/>
          <c:y val="0.16169112023609084"/>
          <c:w val="0.3501024196792919"/>
          <c:h val="0.64807657685554987"/>
        </c:manualLayout>
      </c:layout>
      <c:doughnutChart>
        <c:varyColors val="1"/>
        <c:ser>
          <c:idx val="0"/>
          <c:order val="0"/>
          <c:tx>
            <c:strRef>
              <c:f>'podiel okresov'!$B$3</c:f>
              <c:strCache>
                <c:ptCount val="1"/>
                <c:pt idx="0">
                  <c:v>Celková hodnota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8F0-4748-B095-5F026EA4101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8F0-4748-B095-5F026EA4101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8F0-4748-B095-5F026EA4101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8F0-4748-B095-5F026EA41014}"/>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8F0-4748-B095-5F026EA41014}"/>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8F0-4748-B095-5F026EA41014}"/>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E8F0-4748-B095-5F026EA41014}"/>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8F0-4748-B095-5F026EA41014}"/>
              </c:ext>
            </c:extLst>
          </c:dPt>
          <c:dLbls>
            <c:dLbl>
              <c:idx val="0"/>
              <c:layout>
                <c:manualLayout>
                  <c:x val="0.15776416269134241"/>
                  <c:y val="-9.9892699072027011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8F0-4748-B095-5F026EA41014}"/>
                </c:ext>
              </c:extLst>
            </c:dLbl>
            <c:dLbl>
              <c:idx val="1"/>
              <c:layout>
                <c:manualLayout>
                  <c:x val="0.13860382780619576"/>
                  <c:y val="0.15019911883613779"/>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8F0-4748-B095-5F026EA41014}"/>
                </c:ext>
              </c:extLst>
            </c:dLbl>
            <c:dLbl>
              <c:idx val="2"/>
              <c:layout>
                <c:manualLayout>
                  <c:x val="-0.16343498668505854"/>
                  <c:y val="0.14008834683116581"/>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8F0-4748-B095-5F026EA41014}"/>
                </c:ext>
              </c:extLst>
            </c:dLbl>
            <c:dLbl>
              <c:idx val="3"/>
              <c:layout>
                <c:manualLayout>
                  <c:x val="-0.18349437707147917"/>
                  <c:y val="4.1974421632309224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8F0-4748-B095-5F026EA41014}"/>
                </c:ext>
              </c:extLst>
            </c:dLbl>
            <c:dLbl>
              <c:idx val="4"/>
              <c:layout>
                <c:manualLayout>
                  <c:x val="-0.22946682759545567"/>
                  <c:y val="-5.4608770720636114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8F0-4748-B095-5F026EA41014}"/>
                </c:ext>
              </c:extLst>
            </c:dLbl>
            <c:dLbl>
              <c:idx val="5"/>
              <c:layout>
                <c:manualLayout>
                  <c:x val="-0.1827964059237121"/>
                  <c:y val="-9.4770845951948318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E8F0-4748-B095-5F026EA41014}"/>
                </c:ext>
              </c:extLst>
            </c:dLbl>
            <c:dLbl>
              <c:idx val="6"/>
              <c:layout>
                <c:manualLayout>
                  <c:x val="-0.1215594209058616"/>
                  <c:y val="-0.17488753204907265"/>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6068877521696648"/>
                      <c:h val="0.12482187737142938"/>
                    </c:manualLayout>
                  </c15:layout>
                </c:ext>
                <c:ext xmlns:c16="http://schemas.microsoft.com/office/drawing/2014/chart" uri="{C3380CC4-5D6E-409C-BE32-E72D297353CC}">
                  <c16:uniqueId val="{0000000D-E8F0-4748-B095-5F026EA41014}"/>
                </c:ext>
              </c:extLst>
            </c:dLbl>
            <c:dLbl>
              <c:idx val="7"/>
              <c:layout>
                <c:manualLayout>
                  <c:x val="3.6043655721103088E-2"/>
                  <c:y val="-0.183722913317588"/>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4547610015901294"/>
                      <c:h val="0.13958019173332775"/>
                    </c:manualLayout>
                  </c15:layout>
                </c:ext>
                <c:ext xmlns:c16="http://schemas.microsoft.com/office/drawing/2014/chart" uri="{C3380CC4-5D6E-409C-BE32-E72D297353CC}">
                  <c16:uniqueId val="{0000000F-E8F0-4748-B095-5F026EA41014}"/>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'podiel okresov'!$A$4:$A$12</c:f>
              <c:strCache>
                <c:ptCount val="8"/>
                <c:pt idx="0">
                  <c:v>Bratislava I.</c:v>
                </c:pt>
                <c:pt idx="1">
                  <c:v>Bratislava II.</c:v>
                </c:pt>
                <c:pt idx="2">
                  <c:v>Bratislava III.</c:v>
                </c:pt>
                <c:pt idx="3">
                  <c:v>Bratislava IV.</c:v>
                </c:pt>
                <c:pt idx="4">
                  <c:v>Bratislava V.</c:v>
                </c:pt>
                <c:pt idx="5">
                  <c:v>Malacky</c:v>
                </c:pt>
                <c:pt idx="6">
                  <c:v>Pezinok</c:v>
                </c:pt>
                <c:pt idx="7">
                  <c:v>Senec</c:v>
                </c:pt>
              </c:strCache>
            </c:strRef>
          </c:cat>
          <c:val>
            <c:numRef>
              <c:f>'podiel okresov'!$B$4:$B$12</c:f>
              <c:numCache>
                <c:formatCode>#,##0.00</c:formatCode>
                <c:ptCount val="8"/>
                <c:pt idx="0">
                  <c:v>115142.25000000001</c:v>
                </c:pt>
                <c:pt idx="1">
                  <c:v>31700</c:v>
                </c:pt>
                <c:pt idx="2">
                  <c:v>31050</c:v>
                </c:pt>
                <c:pt idx="3">
                  <c:v>16700</c:v>
                </c:pt>
                <c:pt idx="4">
                  <c:v>22978.55</c:v>
                </c:pt>
                <c:pt idx="5">
                  <c:v>21286</c:v>
                </c:pt>
                <c:pt idx="6">
                  <c:v>28190</c:v>
                </c:pt>
                <c:pt idx="7">
                  <c:v>23560</c:v>
                </c:pt>
              </c:numCache>
            </c:numRef>
          </c:val>
          <c:extLst>
            <c:ext xmlns:c16="http://schemas.microsoft.com/office/drawing/2014/chart" uri="{C3380CC4-5D6E-409C-BE32-E72D297353CC}">
              <c16:uniqueId val="{00000010-E8F0-4748-B095-5F026EA41014}"/>
            </c:ext>
          </c:extLst>
        </c:ser>
        <c:dLbls>
          <c:showLegendKey val="0"/>
          <c:showVal val="0"/>
          <c:showCatName val="0"/>
          <c:showSerName val="0"/>
          <c:showPercent val="0"/>
          <c:showBubbleSize val="0"/>
          <c:showLeaderLines val="1"/>
        </c:dLbls>
        <c:firstSliceAng val="23"/>
        <c:holeSize val="4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k-SK"/>
    </a:p>
  </c:txPr>
  <c:externalData r:id="rId3">
    <c:autoUpdate val="0"/>
  </c:externalData>
  <c:extLst>
    <c:ext xmlns:c14="http://schemas.microsoft.com/office/drawing/2007/8/2/chart" uri="{781A3756-C4B2-4CAC-9D66-4F8BD8637D16}">
      <c14:pivotOptions>
        <c14:dropZoneFilter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pivotSource>
    <c:name>[rozpocet2120210312134722.xlsx]Hárok1!Kontingenčná tabuľka2</c:name>
    <c:fmtId val="-1"/>
  </c:pivotSource>
  <c:chart>
    <c:autoTitleDeleted val="1"/>
    <c:pivotFmts>
      <c:pivotFmt>
        <c:idx val="0"/>
        <c:spPr>
          <a:solidFill>
            <a:schemeClr val="accent1"/>
          </a:solidFill>
          <a:ln w="19050">
            <a:solidFill>
              <a:schemeClr val="lt1"/>
            </a:solidFill>
          </a:ln>
          <a:effectLst/>
        </c:spPr>
        <c:marker>
          <c:symbol val="none"/>
        </c:marker>
        <c:dLbl>
          <c:idx val="0"/>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
        <c:spPr>
          <a:solidFill>
            <a:schemeClr val="accent1">
              <a:lumMod val="60000"/>
            </a:schemeClr>
          </a:solidFill>
          <a:ln w="19050">
            <a:solidFill>
              <a:schemeClr val="lt1"/>
            </a:solidFill>
          </a:ln>
          <a:effectLst/>
        </c:spPr>
        <c:dLbl>
          <c:idx val="0"/>
          <c:layout>
            <c:manualLayout>
              <c:x val="0.34325396825396809"/>
              <c:y val="-7.3541167066346932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
        <c:spPr>
          <a:solidFill>
            <a:schemeClr val="accent6"/>
          </a:solidFill>
          <a:ln w="19050">
            <a:solidFill>
              <a:schemeClr val="lt1"/>
            </a:solidFill>
          </a:ln>
          <a:effectLst/>
        </c:spPr>
        <c:dLbl>
          <c:idx val="0"/>
          <c:layout>
            <c:manualLayout>
              <c:x val="-7.3412698412698416E-2"/>
              <c:y val="-0.21103117505995203"/>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3"/>
        <c:spPr>
          <a:solidFill>
            <a:schemeClr val="accent5"/>
          </a:solidFill>
          <a:ln w="19050">
            <a:solidFill>
              <a:schemeClr val="lt1"/>
            </a:solidFill>
          </a:ln>
          <a:effectLst/>
        </c:spPr>
        <c:dLbl>
          <c:idx val="0"/>
          <c:layout>
            <c:manualLayout>
              <c:x val="-0.16865079365079366"/>
              <c:y val="-0.24300559552358114"/>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4"/>
        <c:spPr>
          <a:solidFill>
            <a:schemeClr val="accent4"/>
          </a:solidFill>
          <a:ln w="19050">
            <a:solidFill>
              <a:schemeClr val="lt1"/>
            </a:solidFill>
          </a:ln>
          <a:effectLst/>
        </c:spPr>
        <c:dLbl>
          <c:idx val="0"/>
          <c:layout>
            <c:manualLayout>
              <c:x val="-0.19246031746031747"/>
              <c:y val="-3.5171862509992005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5"/>
        <c:spPr>
          <a:solidFill>
            <a:schemeClr val="accent1"/>
          </a:solidFill>
          <a:ln w="19050">
            <a:solidFill>
              <a:schemeClr val="lt1"/>
            </a:solidFill>
          </a:ln>
          <a:effectLst/>
        </c:spPr>
        <c:dLbl>
          <c:idx val="0"/>
          <c:layout>
            <c:manualLayout>
              <c:x val="0.18849206349206349"/>
              <c:y val="6.7146282973621102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6"/>
        <c:spPr>
          <a:solidFill>
            <a:schemeClr val="accent2"/>
          </a:solidFill>
          <a:ln w="19050">
            <a:solidFill>
              <a:schemeClr val="lt1"/>
            </a:solidFill>
          </a:ln>
          <a:effectLst/>
        </c:spPr>
        <c:dLbl>
          <c:idx val="0"/>
          <c:layout>
            <c:manualLayout>
              <c:x val="5.9523809523809521E-2"/>
              <c:y val="0.15987210231814536"/>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7"/>
        <c:spPr>
          <a:solidFill>
            <a:schemeClr val="accent3"/>
          </a:solidFill>
          <a:ln w="19050">
            <a:solidFill>
              <a:schemeClr val="lt1"/>
            </a:solidFill>
          </a:ln>
          <a:effectLst/>
        </c:spPr>
        <c:dLbl>
          <c:idx val="0"/>
          <c:layout>
            <c:manualLayout>
              <c:x val="-0.14285714285714285"/>
              <c:y val="0.14068745003996791"/>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8"/>
        <c:spPr>
          <a:solidFill>
            <a:schemeClr val="accent1"/>
          </a:solidFill>
          <a:ln w="19050">
            <a:solidFill>
              <a:schemeClr val="lt1"/>
            </a:solidFill>
          </a:ln>
          <a:effectLst/>
        </c:spPr>
        <c:marker>
          <c:symbol val="none"/>
        </c:marker>
        <c:dLbl>
          <c:idx val="0"/>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9"/>
        <c:spPr>
          <a:solidFill>
            <a:schemeClr val="accent1"/>
          </a:solidFill>
          <a:ln w="19050">
            <a:solidFill>
              <a:schemeClr val="lt1"/>
            </a:solidFill>
          </a:ln>
          <a:effectLst/>
        </c:spPr>
        <c:dLbl>
          <c:idx val="0"/>
          <c:layout>
            <c:manualLayout>
              <c:x val="0.18849206349206349"/>
              <c:y val="6.7146282973621102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0"/>
        <c:spPr>
          <a:solidFill>
            <a:schemeClr val="accent1"/>
          </a:solidFill>
          <a:ln w="19050">
            <a:solidFill>
              <a:schemeClr val="lt1"/>
            </a:solidFill>
          </a:ln>
          <a:effectLst/>
        </c:spPr>
        <c:dLbl>
          <c:idx val="0"/>
          <c:layout>
            <c:manualLayout>
              <c:x val="5.9523809523809521E-2"/>
              <c:y val="0.15987210231814536"/>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1"/>
        <c:spPr>
          <a:solidFill>
            <a:schemeClr val="accent1"/>
          </a:solidFill>
          <a:ln w="19050">
            <a:solidFill>
              <a:schemeClr val="lt1"/>
            </a:solidFill>
          </a:ln>
          <a:effectLst/>
        </c:spPr>
        <c:dLbl>
          <c:idx val="0"/>
          <c:layout>
            <c:manualLayout>
              <c:x val="-0.14285714285714285"/>
              <c:y val="0.14068745003996791"/>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2"/>
        <c:spPr>
          <a:solidFill>
            <a:schemeClr val="accent1"/>
          </a:solidFill>
          <a:ln w="19050">
            <a:solidFill>
              <a:schemeClr val="lt1"/>
            </a:solidFill>
          </a:ln>
          <a:effectLst/>
        </c:spPr>
        <c:dLbl>
          <c:idx val="0"/>
          <c:layout>
            <c:manualLayout>
              <c:x val="-0.19246031746031747"/>
              <c:y val="-3.5171862509992005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3"/>
        <c:spPr>
          <a:solidFill>
            <a:schemeClr val="accent1"/>
          </a:solidFill>
          <a:ln w="19050">
            <a:solidFill>
              <a:schemeClr val="lt1"/>
            </a:solidFill>
          </a:ln>
          <a:effectLst/>
        </c:spPr>
        <c:dLbl>
          <c:idx val="0"/>
          <c:layout>
            <c:manualLayout>
              <c:x val="-0.16865079365079366"/>
              <c:y val="-0.24300559552358114"/>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4"/>
        <c:spPr>
          <a:solidFill>
            <a:schemeClr val="accent1"/>
          </a:solidFill>
          <a:ln w="19050">
            <a:solidFill>
              <a:schemeClr val="lt1"/>
            </a:solidFill>
          </a:ln>
          <a:effectLst/>
        </c:spPr>
        <c:dLbl>
          <c:idx val="0"/>
          <c:layout>
            <c:manualLayout>
              <c:x val="-7.3412698412698416E-2"/>
              <c:y val="-0.21103117505995203"/>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5"/>
        <c:spPr>
          <a:solidFill>
            <a:schemeClr val="accent1"/>
          </a:solidFill>
          <a:ln w="19050">
            <a:solidFill>
              <a:schemeClr val="lt1"/>
            </a:solidFill>
          </a:ln>
          <a:effectLst/>
        </c:spPr>
        <c:dLbl>
          <c:idx val="0"/>
          <c:layout>
            <c:manualLayout>
              <c:x val="0.34325396825396809"/>
              <c:y val="-7.3541167066346932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6"/>
        <c:spPr>
          <a:solidFill>
            <a:schemeClr val="accent1"/>
          </a:solidFill>
          <a:ln w="19050">
            <a:solidFill>
              <a:schemeClr val="lt1"/>
            </a:solidFill>
          </a:ln>
          <a:effectLst/>
        </c:spPr>
        <c:marker>
          <c:symbol val="none"/>
        </c:marker>
        <c:dLbl>
          <c:idx val="0"/>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7"/>
        <c:spPr>
          <a:solidFill>
            <a:schemeClr val="accent1"/>
          </a:solidFill>
          <a:ln w="19050">
            <a:solidFill>
              <a:schemeClr val="lt1"/>
            </a:solidFill>
          </a:ln>
          <a:effectLst/>
        </c:spPr>
        <c:dLbl>
          <c:idx val="0"/>
          <c:layout>
            <c:manualLayout>
              <c:x val="0.18849206349206349"/>
              <c:y val="6.7146282973621102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8"/>
        <c:spPr>
          <a:solidFill>
            <a:schemeClr val="accent1"/>
          </a:solidFill>
          <a:ln w="19050">
            <a:solidFill>
              <a:schemeClr val="lt1"/>
            </a:solidFill>
          </a:ln>
          <a:effectLst/>
        </c:spPr>
        <c:dLbl>
          <c:idx val="0"/>
          <c:layout>
            <c:manualLayout>
              <c:x val="5.9523809523809521E-2"/>
              <c:y val="0.15987210231814536"/>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19"/>
        <c:spPr>
          <a:solidFill>
            <a:schemeClr val="accent1"/>
          </a:solidFill>
          <a:ln w="19050">
            <a:solidFill>
              <a:schemeClr val="lt1"/>
            </a:solidFill>
          </a:ln>
          <a:effectLst/>
        </c:spPr>
        <c:dLbl>
          <c:idx val="0"/>
          <c:layout>
            <c:manualLayout>
              <c:x val="-0.14285714285714285"/>
              <c:y val="0.14068745003996791"/>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0"/>
        <c:spPr>
          <a:solidFill>
            <a:schemeClr val="accent1"/>
          </a:solidFill>
          <a:ln w="19050">
            <a:solidFill>
              <a:schemeClr val="lt1"/>
            </a:solidFill>
          </a:ln>
          <a:effectLst/>
        </c:spPr>
        <c:dLbl>
          <c:idx val="0"/>
          <c:layout>
            <c:manualLayout>
              <c:x val="-0.19246031746031747"/>
              <c:y val="-3.5171862509992005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1"/>
        <c:spPr>
          <a:solidFill>
            <a:schemeClr val="accent1"/>
          </a:solidFill>
          <a:ln w="19050">
            <a:solidFill>
              <a:schemeClr val="lt1"/>
            </a:solidFill>
          </a:ln>
          <a:effectLst/>
        </c:spPr>
        <c:dLbl>
          <c:idx val="0"/>
          <c:layout>
            <c:manualLayout>
              <c:x val="-0.16865079365079366"/>
              <c:y val="-0.24300559552358114"/>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2"/>
        <c:spPr>
          <a:solidFill>
            <a:schemeClr val="accent1"/>
          </a:solidFill>
          <a:ln w="19050">
            <a:solidFill>
              <a:schemeClr val="lt1"/>
            </a:solidFill>
          </a:ln>
          <a:effectLst/>
        </c:spPr>
        <c:dLbl>
          <c:idx val="0"/>
          <c:layout>
            <c:manualLayout>
              <c:x val="-7.3412698412698416E-2"/>
              <c:y val="-0.21103117505995203"/>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
        <c:idx val="23"/>
        <c:spPr>
          <a:solidFill>
            <a:schemeClr val="accent1"/>
          </a:solidFill>
          <a:ln w="19050">
            <a:solidFill>
              <a:schemeClr val="lt1"/>
            </a:solidFill>
          </a:ln>
          <a:effectLst/>
        </c:spPr>
        <c:dLbl>
          <c:idx val="0"/>
          <c:layout>
            <c:manualLayout>
              <c:x val="0.34325396825396809"/>
              <c:y val="-7.3541167066346932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extLst>
        </c:dLbl>
      </c:pivotFmt>
    </c:pivotFmts>
    <c:plotArea>
      <c:layout/>
      <c:doughnutChart>
        <c:varyColors val="1"/>
        <c:ser>
          <c:idx val="0"/>
          <c:order val="0"/>
          <c:tx>
            <c:strRef>
              <c:f>Hárok1!$B$3</c:f>
              <c:strCache>
                <c:ptCount val="1"/>
                <c:pt idx="0">
                  <c:v>Celková hodnota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F0-4C09-BC62-78C622081E0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F0-4C09-BC62-78C622081E0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F0-4C09-BC62-78C622081E0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F0-4C09-BC62-78C622081E0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F0-4C09-BC62-78C622081E05}"/>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8F0-4C09-BC62-78C622081E05}"/>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8F0-4C09-BC62-78C622081E05}"/>
              </c:ext>
            </c:extLst>
          </c:dPt>
          <c:dLbls>
            <c:dLbl>
              <c:idx val="0"/>
              <c:layout>
                <c:manualLayout>
                  <c:x val="0.20729883132070687"/>
                  <c:y val="0.11207872204369471"/>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19519008617786668"/>
                      <c:h val="0.17244133799301048"/>
                    </c:manualLayout>
                  </c15:layout>
                </c:ext>
                <c:ext xmlns:c16="http://schemas.microsoft.com/office/drawing/2014/chart" uri="{C3380CC4-5D6E-409C-BE32-E72D297353CC}">
                  <c16:uniqueId val="{00000001-A8F0-4C09-BC62-78C622081E05}"/>
                </c:ext>
              </c:extLst>
            </c:dLbl>
            <c:dLbl>
              <c:idx val="1"/>
              <c:layout>
                <c:manualLayout>
                  <c:x val="-0.19438427136446884"/>
                  <c:y val="0.22558036508270141"/>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8F0-4C09-BC62-78C622081E05}"/>
                </c:ext>
              </c:extLst>
            </c:dLbl>
            <c:dLbl>
              <c:idx val="2"/>
              <c:layout>
                <c:manualLayout>
                  <c:x val="-0.20728154362040604"/>
                  <c:y val="9.551294281233326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8F0-4C09-BC62-78C622081E05}"/>
                </c:ext>
              </c:extLst>
            </c:dLbl>
            <c:dLbl>
              <c:idx val="3"/>
              <c:layout>
                <c:manualLayout>
                  <c:x val="-0.19246031746031747"/>
                  <c:y val="-3.5171862509992005E-2"/>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8F0-4C09-BC62-78C622081E05}"/>
                </c:ext>
              </c:extLst>
            </c:dLbl>
            <c:dLbl>
              <c:idx val="4"/>
              <c:layout>
                <c:manualLayout>
                  <c:x val="-0.15728173012006849"/>
                  <c:y val="-0.1749425213018804"/>
                </c:manualLayout>
              </c:layout>
              <c:showLegendKey val="1"/>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8F0-4C09-BC62-78C622081E05}"/>
                </c:ext>
              </c:extLst>
            </c:dLbl>
            <c:dLbl>
              <c:idx val="5"/>
              <c:layout>
                <c:manualLayout>
                  <c:x val="0.17856517185899506"/>
                  <c:y val="-0.1339014513363909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extLst>
                <c:ext xmlns:c15="http://schemas.microsoft.com/office/drawing/2012/chart" uri="{CE6537A1-D6FC-4f65-9D91-7224C49458BB}">
                  <c15:layout>
                    <c:manualLayout>
                      <c:w val="0.20429805887503186"/>
                      <c:h val="0.17458811782326511"/>
                    </c:manualLayout>
                  </c15:layout>
                </c:ext>
                <c:ext xmlns:c16="http://schemas.microsoft.com/office/drawing/2014/chart" uri="{C3380CC4-5D6E-409C-BE32-E72D297353CC}">
                  <c16:uniqueId val="{0000000B-A8F0-4C09-BC62-78C622081E05}"/>
                </c:ext>
              </c:extLst>
            </c:dLbl>
            <c:dLbl>
              <c:idx val="6"/>
              <c:layout>
                <c:manualLayout>
                  <c:x val="0.22826394924225188"/>
                  <c:y val="6.1982570453847273E-2"/>
                </c:manualLayout>
              </c:layout>
              <c:showLegendKey val="1"/>
              <c:showVal val="1"/>
              <c:showCatName val="1"/>
              <c:showSerName val="0"/>
              <c:showPercent val="1"/>
              <c:showBubbleSize val="0"/>
              <c:extLst>
                <c:ext xmlns:c15="http://schemas.microsoft.com/office/drawing/2012/chart" uri="{CE6537A1-D6FC-4f65-9D91-7224C49458BB}">
                  <c15:layout>
                    <c:manualLayout>
                      <c:w val="0.25415741317508211"/>
                      <c:h val="0.19277207392197127"/>
                    </c:manualLayout>
                  </c15:layout>
                </c:ext>
                <c:ext xmlns:c16="http://schemas.microsoft.com/office/drawing/2014/chart" uri="{C3380CC4-5D6E-409C-BE32-E72D297353CC}">
                  <c16:uniqueId val="{0000000D-A8F0-4C09-BC62-78C622081E05}"/>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Hárok1!$A$4:$A$11</c:f>
              <c:strCache>
                <c:ptCount val="7"/>
                <c:pt idx="0">
                  <c:v>Kultúrne služby</c:v>
                </c:pt>
                <c:pt idx="1">
                  <c:v>Ochrana prírody a krajiny</c:v>
                </c:pt>
                <c:pt idx="2">
                  <c:v>Rozvoj obcí</c:v>
                </c:pt>
                <c:pt idx="3">
                  <c:v>Zdravotná starostlivosť poskytovaná v špec. nemocniciach</c:v>
                </c:pt>
                <c:pt idx="4">
                  <c:v>Športové, rekreačné a spoločenské služby</c:v>
                </c:pt>
                <c:pt idx="5">
                  <c:v>Vzdelávanie </c:v>
                </c:pt>
                <c:pt idx="6">
                  <c:v>Sociálna pomoc občanom v hmotnej a sociálnej núdzi a sociálne zabezpečenie</c:v>
                </c:pt>
              </c:strCache>
            </c:strRef>
          </c:cat>
          <c:val>
            <c:numRef>
              <c:f>Hárok1!$B$4:$B$11</c:f>
              <c:numCache>
                <c:formatCode>#,##0.00</c:formatCode>
                <c:ptCount val="7"/>
                <c:pt idx="0">
                  <c:v>166503.47999999998</c:v>
                </c:pt>
                <c:pt idx="1">
                  <c:v>2000</c:v>
                </c:pt>
                <c:pt idx="2">
                  <c:v>26700</c:v>
                </c:pt>
                <c:pt idx="3">
                  <c:v>500</c:v>
                </c:pt>
                <c:pt idx="4">
                  <c:v>63100</c:v>
                </c:pt>
                <c:pt idx="5">
                  <c:v>22043.32</c:v>
                </c:pt>
                <c:pt idx="6">
                  <c:v>9760</c:v>
                </c:pt>
              </c:numCache>
            </c:numRef>
          </c:val>
          <c:extLst>
            <c:ext xmlns:c16="http://schemas.microsoft.com/office/drawing/2014/chart" uri="{C3380CC4-5D6E-409C-BE32-E72D297353CC}">
              <c16:uniqueId val="{0000000E-A8F0-4C09-BC62-78C622081E05}"/>
            </c:ext>
          </c:extLst>
        </c:ser>
        <c:dLbls>
          <c:showLegendKey val="0"/>
          <c:showVal val="0"/>
          <c:showCatName val="0"/>
          <c:showSerName val="0"/>
          <c:showPercent val="0"/>
          <c:showBubbleSize val="0"/>
          <c:showLeaderLines val="1"/>
        </c:dLbls>
        <c:firstSliceAng val="45"/>
        <c:holeSize val="41"/>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3">
    <c:autoUpdate val="0"/>
  </c:externalData>
  <c:extLst>
    <c:ext xmlns:c14="http://schemas.microsoft.com/office/drawing/2007/8/2/chart" uri="{781A3756-C4B2-4CAC-9D66-4F8BD8637D16}">
      <c14:pivotOptions>
        <c14:dropZoneFilter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5E5-40BB-A306-7E348A931747}"/>
              </c:ext>
            </c:extLst>
          </c:dPt>
          <c:dPt>
            <c:idx val="1"/>
            <c:bubble3D val="0"/>
            <c:explosion val="5"/>
            <c:spPr>
              <a:solidFill>
                <a:schemeClr val="accent2"/>
              </a:solidFill>
              <a:ln w="19050">
                <a:solidFill>
                  <a:schemeClr val="lt1"/>
                </a:solidFill>
              </a:ln>
              <a:effectLst/>
            </c:spPr>
            <c:extLst>
              <c:ext xmlns:c16="http://schemas.microsoft.com/office/drawing/2014/chart" uri="{C3380CC4-5D6E-409C-BE32-E72D297353CC}">
                <c16:uniqueId val="{00000003-55E5-40BB-A306-7E348A931747}"/>
              </c:ext>
            </c:extLst>
          </c:dPt>
          <c:dPt>
            <c:idx val="2"/>
            <c:bubble3D val="0"/>
            <c:explosion val="7"/>
            <c:spPr>
              <a:solidFill>
                <a:schemeClr val="accent3"/>
              </a:solidFill>
              <a:ln w="19050">
                <a:solidFill>
                  <a:schemeClr val="lt1"/>
                </a:solidFill>
              </a:ln>
              <a:effectLst/>
            </c:spPr>
            <c:extLst>
              <c:ext xmlns:c16="http://schemas.microsoft.com/office/drawing/2014/chart" uri="{C3380CC4-5D6E-409C-BE32-E72D297353CC}">
                <c16:uniqueId val="{00000005-55E5-40BB-A306-7E348A931747}"/>
              </c:ext>
            </c:extLst>
          </c:dPt>
          <c:dLbls>
            <c:dLbl>
              <c:idx val="0"/>
              <c:layout>
                <c:manualLayout>
                  <c:x val="9.7379556278869392E-2"/>
                  <c:y val="-0.32900050800101599"/>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solidFill>
                    <a:schemeClr val="accent1"/>
                  </a:solid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sk-SK"/>
                </a:p>
              </c:txPr>
              <c:dLblPos val="bestFit"/>
              <c:showLegendKey val="1"/>
              <c:showVal val="0"/>
              <c:showCatName val="1"/>
              <c:showSerName val="0"/>
              <c:showPercent val="1"/>
              <c:showBubbleSize val="0"/>
              <c:extLst>
                <c:ext xmlns:c15="http://schemas.microsoft.com/office/drawing/2012/chart" uri="{CE6537A1-D6FC-4f65-9D91-7224C49458BB}">
                  <c15:layout>
                    <c:manualLayout>
                      <c:w val="0.15353054272471262"/>
                      <c:h val="0.21775251883837102"/>
                    </c:manualLayout>
                  </c15:layout>
                </c:ext>
                <c:ext xmlns:c16="http://schemas.microsoft.com/office/drawing/2014/chart" uri="{C3380CC4-5D6E-409C-BE32-E72D297353CC}">
                  <c16:uniqueId val="{00000001-55E5-40BB-A306-7E348A931747}"/>
                </c:ext>
              </c:extLst>
            </c:dLbl>
            <c:dLbl>
              <c:idx val="1"/>
              <c:layout>
                <c:manualLayout>
                  <c:x val="-3.7877685502078207E-2"/>
                  <c:y val="5.218144102954872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solidFill>
                    <a:schemeClr val="accent1"/>
                  </a:solid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15:layout>
                    <c:manualLayout>
                      <c:w val="0.29684193731102759"/>
                      <c:h val="0.15802683938701212"/>
                    </c:manualLayout>
                  </c15:layout>
                </c:ext>
                <c:ext xmlns:c16="http://schemas.microsoft.com/office/drawing/2014/chart" uri="{C3380CC4-5D6E-409C-BE32-E72D297353CC}">
                  <c16:uniqueId val="{00000003-55E5-40BB-A306-7E348A931747}"/>
                </c:ext>
              </c:extLst>
            </c:dLbl>
            <c:dLbl>
              <c:idx val="2"/>
              <c:layout>
                <c:manualLayout>
                  <c:x val="0.30869955085401563"/>
                  <c:y val="4.8372068410803486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solidFill>
                    <a:schemeClr val="accent1"/>
                  </a:solid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15:layout>
                    <c:manualLayout>
                      <c:w val="0.17261709307613143"/>
                      <c:h val="0.21179028024722713"/>
                    </c:manualLayout>
                  </c15:layout>
                </c:ext>
                <c:ext xmlns:c16="http://schemas.microsoft.com/office/drawing/2014/chart" uri="{C3380CC4-5D6E-409C-BE32-E72D297353CC}">
                  <c16:uniqueId val="{00000005-55E5-40BB-A306-7E348A931747}"/>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solidFill>
                  <a:schemeClr val="accent1"/>
                </a:solid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sk-SK"/>
              </a:p>
            </c:txPr>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Hárok1!$A$42:$A$44</c:f>
              <c:strCache>
                <c:ptCount val="3"/>
                <c:pt idx="0">
                  <c:v>Bežné príjmy</c:v>
                </c:pt>
                <c:pt idx="1">
                  <c:v>Kapitálové  príjmy</c:v>
                </c:pt>
                <c:pt idx="2">
                  <c:v>Príjmové fin. oper.</c:v>
                </c:pt>
              </c:strCache>
            </c:strRef>
          </c:cat>
          <c:val>
            <c:numRef>
              <c:f>Hárok1!$B$42:$B$44</c:f>
              <c:numCache>
                <c:formatCode>#,##0.00</c:formatCode>
                <c:ptCount val="3"/>
                <c:pt idx="0">
                  <c:v>175613428.04000002</c:v>
                </c:pt>
                <c:pt idx="1">
                  <c:v>4100517.7800000003</c:v>
                </c:pt>
                <c:pt idx="2">
                  <c:v>16851529.990000002</c:v>
                </c:pt>
              </c:numCache>
            </c:numRef>
          </c:val>
          <c:extLst>
            <c:ext xmlns:c16="http://schemas.microsoft.com/office/drawing/2014/chart" uri="{C3380CC4-5D6E-409C-BE32-E72D297353CC}">
              <c16:uniqueId val="{00000006-55E5-40BB-A306-7E348A931747}"/>
            </c:ext>
          </c:extLst>
        </c:ser>
        <c:dLbls>
          <c:showLegendKey val="0"/>
          <c:showVal val="0"/>
          <c:showCatName val="0"/>
          <c:showSerName val="0"/>
          <c:showPercent val="1"/>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chemeClr val="tx1"/>
          </a:solidFill>
        </a:defRPr>
      </a:pPr>
      <a:endParaRPr lang="sk-SK"/>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48D-4C57-A3AA-BC5C274B0F0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48D-4C57-A3AA-BC5C274B0F0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48D-4C57-A3AA-BC5C274B0F0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48D-4C57-A3AA-BC5C274B0F00}"/>
              </c:ext>
            </c:extLst>
          </c:dPt>
          <c:dLbls>
            <c:dLbl>
              <c:idx val="0"/>
              <c:dLblPos val="outEnd"/>
              <c:showLegendKey val="1"/>
              <c:showVal val="1"/>
              <c:showCatName val="1"/>
              <c:showSerName val="0"/>
              <c:showPercent val="1"/>
              <c:showBubbleSize val="0"/>
              <c:extLst>
                <c:ext xmlns:c15="http://schemas.microsoft.com/office/drawing/2012/chart" uri="{CE6537A1-D6FC-4f65-9D91-7224C49458BB}">
                  <c15:layout>
                    <c:manualLayout>
                      <c:w val="0.2482704449645112"/>
                      <c:h val="0.15272171253822631"/>
                    </c:manualLayout>
                  </c15:layout>
                </c:ext>
                <c:ext xmlns:c16="http://schemas.microsoft.com/office/drawing/2014/chart" uri="{C3380CC4-5D6E-409C-BE32-E72D297353CC}">
                  <c16:uniqueId val="{00000001-B48D-4C57-A3AA-BC5C274B0F00}"/>
                </c:ext>
              </c:extLst>
            </c:dLbl>
            <c:dLbl>
              <c:idx val="1"/>
              <c:layout>
                <c:manualLayout>
                  <c:x val="-8.3943387018057591E-2"/>
                  <c:y val="-7.3394495412844041E-2"/>
                </c:manualLayout>
              </c:layout>
              <c:dLblPos val="bestFit"/>
              <c:showLegendKey val="1"/>
              <c:showVal val="1"/>
              <c:showCatName val="1"/>
              <c:showSerName val="0"/>
              <c:showPercent val="1"/>
              <c:showBubbleSize val="0"/>
              <c:extLst>
                <c:ext xmlns:c15="http://schemas.microsoft.com/office/drawing/2012/chart" uri="{CE6537A1-D6FC-4f65-9D91-7224C49458BB}">
                  <c15:layout>
                    <c:manualLayout>
                      <c:w val="0.25625482759018225"/>
                      <c:h val="0.15272171253822631"/>
                    </c:manualLayout>
                  </c15:layout>
                </c:ext>
                <c:ext xmlns:c16="http://schemas.microsoft.com/office/drawing/2014/chart" uri="{C3380CC4-5D6E-409C-BE32-E72D297353CC}">
                  <c16:uniqueId val="{00000003-B48D-4C57-A3AA-BC5C274B0F00}"/>
                </c:ext>
              </c:extLst>
            </c:dLbl>
            <c:dLbl>
              <c:idx val="2"/>
              <c:layout>
                <c:manualLayout>
                  <c:x val="-2.5378233284529067E-2"/>
                  <c:y val="-9.7859327217125383E-2"/>
                </c:manualLayout>
              </c:layout>
              <c:dLblPos val="bestFit"/>
              <c:showLegendKey val="1"/>
              <c:showVal val="1"/>
              <c:showCatName val="1"/>
              <c:showSerName val="0"/>
              <c:showPercent val="1"/>
              <c:showBubbleSize val="0"/>
              <c:extLst>
                <c:ext xmlns:c15="http://schemas.microsoft.com/office/drawing/2012/chart" uri="{CE6537A1-D6FC-4f65-9D91-7224C49458BB}">
                  <c15:layout>
                    <c:manualLayout>
                      <c:w val="0.27565941519389137"/>
                      <c:h val="0.15272171253822631"/>
                    </c:manualLayout>
                  </c15:layout>
                </c:ext>
                <c:ext xmlns:c16="http://schemas.microsoft.com/office/drawing/2014/chart" uri="{C3380CC4-5D6E-409C-BE32-E72D297353CC}">
                  <c16:uniqueId val="{00000005-B48D-4C57-A3AA-BC5C274B0F00}"/>
                </c:ext>
              </c:extLst>
            </c:dLbl>
            <c:dLbl>
              <c:idx val="3"/>
              <c:layout>
                <c:manualLayout>
                  <c:x val="0.43923865300146414"/>
                  <c:y val="3.1047644468170293E-2"/>
                </c:manualLayout>
              </c:layout>
              <c:dLblPos val="bestFit"/>
              <c:showLegendKey val="1"/>
              <c:showVal val="1"/>
              <c:showCatName val="1"/>
              <c:showSerName val="0"/>
              <c:showPercent val="1"/>
              <c:showBubbleSize val="0"/>
              <c:extLst>
                <c:ext xmlns:c15="http://schemas.microsoft.com/office/drawing/2012/chart" uri="{CE6537A1-D6FC-4f65-9D91-7224C49458BB}">
                  <c15:layout>
                    <c:manualLayout>
                      <c:w val="0.35024221533069705"/>
                      <c:h val="0.21990849767632256"/>
                    </c:manualLayout>
                  </c15:layout>
                </c:ext>
                <c:ext xmlns:c16="http://schemas.microsoft.com/office/drawing/2014/chart" uri="{C3380CC4-5D6E-409C-BE32-E72D297353CC}">
                  <c16:uniqueId val="{00000007-B48D-4C57-A3AA-BC5C274B0F00}"/>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ln>
                      <a:noFill/>
                    </a:ln>
                    <a:solidFill>
                      <a:schemeClr val="tx1">
                        <a:lumMod val="75000"/>
                        <a:lumOff val="25000"/>
                      </a:schemeClr>
                    </a:solidFill>
                    <a:latin typeface="+mn-lt"/>
                    <a:ea typeface="+mn-ea"/>
                    <a:cs typeface="+mn-cs"/>
                  </a:defRPr>
                </a:pPr>
                <a:endParaRPr lang="sk-SK"/>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Hárok1!$A$68:$A$71</c:f>
              <c:strCache>
                <c:ptCount val="4"/>
                <c:pt idx="0">
                  <c:v>daňové príjmy</c:v>
                </c:pt>
                <c:pt idx="1">
                  <c:v>nedaňové príjmy</c:v>
                </c:pt>
                <c:pt idx="2">
                  <c:v>granty a transfery</c:v>
                </c:pt>
                <c:pt idx="3">
                  <c:v>príjmové finančné operácie</c:v>
                </c:pt>
              </c:strCache>
            </c:strRef>
          </c:cat>
          <c:val>
            <c:numRef>
              <c:f>Hárok1!$B$68:$B$71</c:f>
              <c:numCache>
                <c:formatCode>#,##0.00</c:formatCode>
                <c:ptCount val="4"/>
                <c:pt idx="0">
                  <c:v>102856871.86</c:v>
                </c:pt>
                <c:pt idx="1">
                  <c:v>7664680.0600000005</c:v>
                </c:pt>
                <c:pt idx="2">
                  <c:v>69192393.900000051</c:v>
                </c:pt>
                <c:pt idx="3">
                  <c:v>16851529.990000006</c:v>
                </c:pt>
              </c:numCache>
            </c:numRef>
          </c:val>
          <c:extLst>
            <c:ext xmlns:c16="http://schemas.microsoft.com/office/drawing/2014/chart" uri="{C3380CC4-5D6E-409C-BE32-E72D297353CC}">
              <c16:uniqueId val="{00000008-B48D-4C57-A3AA-BC5C274B0F0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solidFill>
                  <a:schemeClr val="accent1">
                    <a:alpha val="64000"/>
                  </a:schemeClr>
                </a:solid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'P+PFO'!$A$195:$A$202</c:f>
              <c:strCache>
                <c:ptCount val="8"/>
                <c:pt idx="0">
                  <c:v>Bankové úvery</c:v>
                </c:pt>
                <c:pt idx="1">
                  <c:v>Iné zdroje (dary, PČ, za stravné, zabezpeky..)</c:v>
                </c:pt>
                <c:pt idx="2">
                  <c:v>NFV MF SR</c:v>
                </c:pt>
                <c:pt idx="3">
                  <c:v>Prostriedky z EÚ</c:v>
                </c:pt>
                <c:pt idx="4">
                  <c:v>Vlastné zdroje</c:v>
                </c:pt>
                <c:pt idx="5">
                  <c:v>Zdroje z iných VUC</c:v>
                </c:pt>
                <c:pt idx="6">
                  <c:v>Zdroje zo ŠR</c:v>
                </c:pt>
                <c:pt idx="7">
                  <c:v>Zdroje z rezervného fondu</c:v>
                </c:pt>
              </c:strCache>
            </c:strRef>
          </c:cat>
          <c:val>
            <c:numRef>
              <c:f>'P+PFO'!$B$195:$B$202</c:f>
              <c:numCache>
                <c:formatCode>#,##0.00</c:formatCode>
                <c:ptCount val="8"/>
                <c:pt idx="0">
                  <c:v>6000000</c:v>
                </c:pt>
                <c:pt idx="1">
                  <c:v>3303530.9200000018</c:v>
                </c:pt>
                <c:pt idx="2">
                  <c:v>5675346</c:v>
                </c:pt>
                <c:pt idx="3">
                  <c:v>5017155.9700000007</c:v>
                </c:pt>
                <c:pt idx="4">
                  <c:v>111544477.44999993</c:v>
                </c:pt>
                <c:pt idx="5">
                  <c:v>272193.13</c:v>
                </c:pt>
                <c:pt idx="6">
                  <c:v>64752772.340000004</c:v>
                </c:pt>
                <c:pt idx="7">
                  <c:v>2400000</c:v>
                </c:pt>
              </c:numCache>
            </c:numRef>
          </c:val>
          <c:extLst>
            <c:ext xmlns:c16="http://schemas.microsoft.com/office/drawing/2014/chart" uri="{C3380CC4-5D6E-409C-BE32-E72D297353CC}">
              <c16:uniqueId val="{00000000-88EC-4A25-88E8-0BBA242D7293}"/>
            </c:ext>
          </c:extLst>
        </c:ser>
        <c:dLbls>
          <c:showLegendKey val="0"/>
          <c:showVal val="0"/>
          <c:showCatName val="0"/>
          <c:showSerName val="0"/>
          <c:showPercent val="0"/>
          <c:showBubbleSize val="0"/>
        </c:dLbls>
        <c:gapWidth val="100"/>
        <c:axId val="62945552"/>
        <c:axId val="314159200"/>
      </c:barChart>
      <c:catAx>
        <c:axId val="62945552"/>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ln>
                  <a:noFill/>
                </a:ln>
                <a:solidFill>
                  <a:schemeClr val="tx2"/>
                </a:solidFill>
                <a:latin typeface="+mn-lt"/>
                <a:ea typeface="+mn-ea"/>
                <a:cs typeface="+mn-cs"/>
              </a:defRPr>
            </a:pPr>
            <a:endParaRPr lang="sk-SK"/>
          </a:p>
        </c:txPr>
        <c:crossAx val="314159200"/>
        <c:crosses val="autoZero"/>
        <c:auto val="1"/>
        <c:lblAlgn val="ctr"/>
        <c:lblOffset val="100"/>
        <c:noMultiLvlLbl val="0"/>
      </c:catAx>
      <c:valAx>
        <c:axId val="314159200"/>
        <c:scaling>
          <c:orientation val="minMax"/>
        </c:scaling>
        <c:delete val="0"/>
        <c:axPos val="b"/>
        <c:majorGridlines>
          <c:spPr>
            <a:ln w="9525" cap="flat" cmpd="sng" algn="ctr">
              <a:solidFill>
                <a:schemeClr val="tx2">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2"/>
                </a:solidFill>
                <a:latin typeface="+mn-lt"/>
                <a:ea typeface="+mn-ea"/>
                <a:cs typeface="+mn-cs"/>
              </a:defRPr>
            </a:pPr>
            <a:endParaRPr lang="sk-SK"/>
          </a:p>
        </c:txPr>
        <c:crossAx val="629455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chemeClr val="tx2"/>
          </a:solidFill>
        </a:defRPr>
      </a:pPr>
      <a:endParaRPr lang="sk-SK"/>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19311697120706"/>
          <c:y val="0.11711754765029549"/>
          <c:w val="0.83490542513473309"/>
          <c:h val="0.78350544408396794"/>
        </c:manualLayout>
      </c:layout>
      <c:barChart>
        <c:barDir val="col"/>
        <c:grouping val="stacked"/>
        <c:varyColors val="0"/>
        <c:ser>
          <c:idx val="0"/>
          <c:order val="0"/>
          <c:tx>
            <c:strRef>
              <c:f>'V+VFO'!$A$40</c:f>
              <c:strCache>
                <c:ptCount val="1"/>
                <c:pt idx="0">
                  <c:v>Bežné výdavky</c:v>
                </c:pt>
              </c:strCache>
            </c:strRef>
          </c:tx>
          <c:spPr>
            <a:solidFill>
              <a:schemeClr val="accent1"/>
            </a:solidFill>
            <a:ln>
              <a:noFill/>
            </a:ln>
            <a:effectLst/>
          </c:spPr>
          <c:invertIfNegative val="0"/>
          <c:dLbls>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'V+VFO'!$B$39:$D$39</c:f>
              <c:strCache>
                <c:ptCount val="3"/>
                <c:pt idx="0">
                  <c:v>Skutočnosť 2018</c:v>
                </c:pt>
                <c:pt idx="1">
                  <c:v>Skutočnosť 2019</c:v>
                </c:pt>
                <c:pt idx="2">
                  <c:v>Skutočnosť 2020</c:v>
                </c:pt>
              </c:strCache>
            </c:strRef>
          </c:cat>
          <c:val>
            <c:numRef>
              <c:f>'V+VFO'!$B$40:$D$40</c:f>
              <c:numCache>
                <c:formatCode>#,##0.00</c:formatCode>
                <c:ptCount val="3"/>
                <c:pt idx="0">
                  <c:v>134035609.8</c:v>
                </c:pt>
                <c:pt idx="1">
                  <c:v>154227381.69999999</c:v>
                </c:pt>
                <c:pt idx="2">
                  <c:v>155827379.05000001</c:v>
                </c:pt>
              </c:numCache>
            </c:numRef>
          </c:val>
          <c:extLst>
            <c:ext xmlns:c16="http://schemas.microsoft.com/office/drawing/2014/chart" uri="{C3380CC4-5D6E-409C-BE32-E72D297353CC}">
              <c16:uniqueId val="{00000000-F318-4797-86E5-15166ECD2424}"/>
            </c:ext>
          </c:extLst>
        </c:ser>
        <c:ser>
          <c:idx val="1"/>
          <c:order val="1"/>
          <c:tx>
            <c:strRef>
              <c:f>'V+VFO'!$A$41</c:f>
              <c:strCache>
                <c:ptCount val="1"/>
                <c:pt idx="0">
                  <c:v>Kapitálové výdavky</c:v>
                </c:pt>
              </c:strCache>
            </c:strRef>
          </c:tx>
          <c:spPr>
            <a:solidFill>
              <a:schemeClr val="accent2"/>
            </a:solidFill>
            <a:ln>
              <a:noFill/>
            </a:ln>
            <a:effectLst/>
          </c:spPr>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318-4797-86E5-15166ECD2424}"/>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318-4797-86E5-15166ECD2424}"/>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318-4797-86E5-15166ECD2424}"/>
                </c:ext>
              </c:extLst>
            </c:dLbl>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'V+VFO'!$B$39:$D$39</c:f>
              <c:strCache>
                <c:ptCount val="3"/>
                <c:pt idx="0">
                  <c:v>Skutočnosť 2018</c:v>
                </c:pt>
                <c:pt idx="1">
                  <c:v>Skutočnosť 2019</c:v>
                </c:pt>
                <c:pt idx="2">
                  <c:v>Skutočnosť 2020</c:v>
                </c:pt>
              </c:strCache>
            </c:strRef>
          </c:cat>
          <c:val>
            <c:numRef>
              <c:f>'V+VFO'!$B$41:$D$41</c:f>
              <c:numCache>
                <c:formatCode>#,##0.00</c:formatCode>
                <c:ptCount val="3"/>
                <c:pt idx="0">
                  <c:v>24435414.02</c:v>
                </c:pt>
                <c:pt idx="1">
                  <c:v>23810769.760000002</c:v>
                </c:pt>
                <c:pt idx="2">
                  <c:v>10064814.060000001</c:v>
                </c:pt>
              </c:numCache>
            </c:numRef>
          </c:val>
          <c:extLst>
            <c:ext xmlns:c16="http://schemas.microsoft.com/office/drawing/2014/chart" uri="{C3380CC4-5D6E-409C-BE32-E72D297353CC}">
              <c16:uniqueId val="{00000004-F318-4797-86E5-15166ECD2424}"/>
            </c:ext>
          </c:extLst>
        </c:ser>
        <c:ser>
          <c:idx val="2"/>
          <c:order val="2"/>
          <c:tx>
            <c:strRef>
              <c:f>'V+VFO'!$A$42</c:f>
              <c:strCache>
                <c:ptCount val="1"/>
                <c:pt idx="0">
                  <c:v>Výdavkové finančné operácie</c:v>
                </c:pt>
              </c:strCache>
            </c:strRef>
          </c:tx>
          <c:spPr>
            <a:solidFill>
              <a:schemeClr val="accent3"/>
            </a:solidFill>
            <a:ln>
              <a:noFill/>
            </a:ln>
            <a:effectLst/>
          </c:spPr>
          <c:invertIfNegative val="0"/>
          <c:dLbls>
            <c:dLbl>
              <c:idx val="0"/>
              <c:layout>
                <c:manualLayout>
                  <c:x val="1.893939393939394E-3"/>
                  <c:y val="-2.8254288597376387E-2"/>
                </c:manualLayout>
              </c:layout>
              <c:showLegendKey val="0"/>
              <c:showVal val="1"/>
              <c:showCatName val="0"/>
              <c:showSerName val="0"/>
              <c:showPercent val="0"/>
              <c:showBubbleSize val="0"/>
              <c:extLst>
                <c:ext xmlns:c15="http://schemas.microsoft.com/office/drawing/2012/chart" uri="{CE6537A1-D6FC-4f65-9D91-7224C49458BB}">
                  <c15:layout>
                    <c:manualLayout>
                      <c:w val="4.1070001193032689E-2"/>
                      <c:h val="6.403648585299189E-2"/>
                    </c:manualLayout>
                  </c15:layout>
                </c:ext>
                <c:ext xmlns:c16="http://schemas.microsoft.com/office/drawing/2014/chart" uri="{C3380CC4-5D6E-409C-BE32-E72D297353CC}">
                  <c16:uniqueId val="{00000009-F318-4797-86E5-15166ECD2424}"/>
                </c:ext>
              </c:extLst>
            </c:dLbl>
            <c:dLbl>
              <c:idx val="1"/>
              <c:layout>
                <c:manualLayout>
                  <c:x val="-6.9443642225563597E-17"/>
                  <c:y val="-3.63269424823410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318-4797-86E5-15166ECD2424}"/>
                </c:ext>
              </c:extLst>
            </c:dLbl>
            <c:dLbl>
              <c:idx val="2"/>
              <c:layout>
                <c:manualLayout>
                  <c:x val="-3.787878787878788E-3"/>
                  <c:y val="-5.65085771947528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318-4797-86E5-15166ECD2424}"/>
                </c:ext>
              </c:extLst>
            </c:dLbl>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'V+VFO'!$B$39:$D$39</c:f>
              <c:strCache>
                <c:ptCount val="3"/>
                <c:pt idx="0">
                  <c:v>Skutočnosť 2018</c:v>
                </c:pt>
                <c:pt idx="1">
                  <c:v>Skutočnosť 2019</c:v>
                </c:pt>
                <c:pt idx="2">
                  <c:v>Skutočnosť 2020</c:v>
                </c:pt>
              </c:strCache>
            </c:strRef>
          </c:cat>
          <c:val>
            <c:numRef>
              <c:f>'V+VFO'!$B$42:$D$42</c:f>
              <c:numCache>
                <c:formatCode>#,##0.00</c:formatCode>
                <c:ptCount val="3"/>
                <c:pt idx="0">
                  <c:v>3793545.27</c:v>
                </c:pt>
                <c:pt idx="1">
                  <c:v>4085016.79</c:v>
                </c:pt>
                <c:pt idx="2">
                  <c:v>4556130.3499999996</c:v>
                </c:pt>
              </c:numCache>
            </c:numRef>
          </c:val>
          <c:extLst>
            <c:ext xmlns:c16="http://schemas.microsoft.com/office/drawing/2014/chart" uri="{C3380CC4-5D6E-409C-BE32-E72D297353CC}">
              <c16:uniqueId val="{00000005-F318-4797-86E5-15166ECD2424}"/>
            </c:ext>
          </c:extLst>
        </c:ser>
        <c:dLbls>
          <c:showLegendKey val="0"/>
          <c:showVal val="0"/>
          <c:showCatName val="0"/>
          <c:showSerName val="0"/>
          <c:showPercent val="0"/>
          <c:showBubbleSize val="0"/>
        </c:dLbls>
        <c:gapWidth val="150"/>
        <c:overlap val="100"/>
        <c:axId val="574376000"/>
        <c:axId val="283947760"/>
      </c:barChart>
      <c:catAx>
        <c:axId val="574376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ln>
                  <a:solidFill>
                    <a:schemeClr val="accent1"/>
                  </a:solidFill>
                </a:ln>
                <a:solidFill>
                  <a:schemeClr val="tx1"/>
                </a:solidFill>
                <a:latin typeface="+mn-lt"/>
                <a:ea typeface="+mn-ea"/>
                <a:cs typeface="+mn-cs"/>
              </a:defRPr>
            </a:pPr>
            <a:endParaRPr lang="sk-SK"/>
          </a:p>
        </c:txPr>
        <c:crossAx val="283947760"/>
        <c:crosses val="autoZero"/>
        <c:auto val="1"/>
        <c:lblAlgn val="ctr"/>
        <c:lblOffset val="100"/>
        <c:noMultiLvlLbl val="0"/>
      </c:catAx>
      <c:valAx>
        <c:axId val="2839477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574376000"/>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dispUnitsLbl>
        </c:dispUnits>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noFill/>
    <a:ln w="9525" cap="flat" cmpd="sng" algn="ctr">
      <a:noFill/>
      <a:round/>
    </a:ln>
    <a:effectLst/>
  </c:spPr>
  <c:txPr>
    <a:bodyPr/>
    <a:lstStyle/>
    <a:p>
      <a:pPr>
        <a:defRPr/>
      </a:pPr>
      <a:endParaRPr lang="sk-SK"/>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'V+VFO'!$B$60</c:f>
              <c:strCache>
                <c:ptCount val="1"/>
                <c:pt idx="0">
                  <c:v>Skutočnosť 2020</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DFE-48A3-85A6-EFCB69FF4EA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DFE-48A3-85A6-EFCB69FF4EA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DFE-48A3-85A6-EFCB69FF4EAC}"/>
              </c:ext>
            </c:extLst>
          </c:dPt>
          <c:dLbls>
            <c:dLbl>
              <c:idx val="0"/>
              <c:layout>
                <c:manualLayout>
                  <c:x val="0.12831902082716407"/>
                  <c:y val="-0.21621621621621623"/>
                </c:manualLayout>
              </c:layout>
              <c:dLblPos val="bestFit"/>
              <c:showLegendKey val="1"/>
              <c:showVal val="0"/>
              <c:showCatName val="1"/>
              <c:showSerName val="0"/>
              <c:showPercent val="1"/>
              <c:showBubbleSize val="0"/>
              <c:extLst>
                <c:ext xmlns:c15="http://schemas.microsoft.com/office/drawing/2012/chart" uri="{CE6537A1-D6FC-4f65-9D91-7224C49458BB}">
                  <c15:layout>
                    <c:manualLayout>
                      <c:w val="0.19044827717530274"/>
                      <c:h val="0.14207681365576103"/>
                    </c:manualLayout>
                  </c15:layout>
                </c:ext>
                <c:ext xmlns:c16="http://schemas.microsoft.com/office/drawing/2014/chart" uri="{C3380CC4-5D6E-409C-BE32-E72D297353CC}">
                  <c16:uniqueId val="{00000001-0DFE-48A3-85A6-EFCB69FF4EAC}"/>
                </c:ext>
              </c:extLst>
            </c:dLbl>
            <c:dLbl>
              <c:idx val="1"/>
              <c:layout>
                <c:manualLayout>
                  <c:x val="-6.9130298600149076E-2"/>
                  <c:y val="7.5470032817732777E-2"/>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bestFit"/>
              <c:showLegendKey val="1"/>
              <c:showVal val="0"/>
              <c:showCatName val="1"/>
              <c:showSerName val="0"/>
              <c:showPercent val="1"/>
              <c:showBubbleSize val="0"/>
              <c:extLst>
                <c:ext xmlns:c15="http://schemas.microsoft.com/office/drawing/2012/chart" uri="{CE6537A1-D6FC-4f65-9D91-7224C49458BB}">
                  <c15:layout>
                    <c:manualLayout>
                      <c:w val="0.26609727529987087"/>
                      <c:h val="0.1932859174964438"/>
                    </c:manualLayout>
                  </c15:layout>
                </c:ext>
                <c:ext xmlns:c16="http://schemas.microsoft.com/office/drawing/2014/chart" uri="{C3380CC4-5D6E-409C-BE32-E72D297353CC}">
                  <c16:uniqueId val="{00000003-0DFE-48A3-85A6-EFCB69FF4EAC}"/>
                </c:ext>
              </c:extLst>
            </c:dLbl>
            <c:dLbl>
              <c:idx val="2"/>
              <c:layout>
                <c:manualLayout>
                  <c:x val="0.27389520121059796"/>
                  <c:y val="8.1496399009867715E-2"/>
                </c:manualLayout>
              </c:layout>
              <c:dLblPos val="bestFit"/>
              <c:showLegendKey val="1"/>
              <c:showVal val="0"/>
              <c:showCatName val="1"/>
              <c:showSerName val="0"/>
              <c:showPercent val="1"/>
              <c:showBubbleSize val="0"/>
              <c:extLst>
                <c:ext xmlns:c15="http://schemas.microsoft.com/office/drawing/2012/chart" uri="{CE6537A1-D6FC-4f65-9D91-7224C49458BB}">
                  <c15:layout>
                    <c:manualLayout>
                      <c:w val="0.22589013062736421"/>
                      <c:h val="0.20458059385535557"/>
                    </c:manualLayout>
                  </c15:layout>
                </c:ext>
                <c:ext xmlns:c16="http://schemas.microsoft.com/office/drawing/2014/chart" uri="{C3380CC4-5D6E-409C-BE32-E72D297353CC}">
                  <c16:uniqueId val="{00000005-0DFE-48A3-85A6-EFCB69FF4EAC}"/>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'V+VFO'!$A$61:$A$63</c:f>
              <c:strCache>
                <c:ptCount val="3"/>
                <c:pt idx="0">
                  <c:v>Bežné výdavky</c:v>
                </c:pt>
                <c:pt idx="1">
                  <c:v>Kapitálové výdavky</c:v>
                </c:pt>
                <c:pt idx="2">
                  <c:v>Výdavkové finančné operácie</c:v>
                </c:pt>
              </c:strCache>
            </c:strRef>
          </c:cat>
          <c:val>
            <c:numRef>
              <c:f>'V+VFO'!$B$61:$B$63</c:f>
              <c:numCache>
                <c:formatCode>#,##0.00</c:formatCode>
                <c:ptCount val="3"/>
                <c:pt idx="0">
                  <c:v>155827379.05000001</c:v>
                </c:pt>
                <c:pt idx="1">
                  <c:v>10064814.060000001</c:v>
                </c:pt>
                <c:pt idx="2">
                  <c:v>4556130.3499999996</c:v>
                </c:pt>
              </c:numCache>
            </c:numRef>
          </c:val>
          <c:extLst>
            <c:ext xmlns:c16="http://schemas.microsoft.com/office/drawing/2014/chart" uri="{C3380CC4-5D6E-409C-BE32-E72D297353CC}">
              <c16:uniqueId val="{00000006-0DFE-48A3-85A6-EFCB69FF4EA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tx2"/>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a:solidFill>
                        <a:schemeClr val="tx2">
                          <a:lumMod val="35000"/>
                          <a:lumOff val="65000"/>
                        </a:schemeClr>
                      </a:solidFill>
                    </a:ln>
                    <a:effectLst/>
                  </c:spPr>
                </c15:leaderLines>
              </c:ext>
            </c:extLst>
          </c:dLbls>
          <c:cat>
            <c:strRef>
              <c:f>'V+VFO'!$A$30:$A$37</c:f>
              <c:strCache>
                <c:ptCount val="8"/>
                <c:pt idx="0">
                  <c:v>Bankové úvery</c:v>
                </c:pt>
                <c:pt idx="1">
                  <c:v>Iné zdroje (dary, PČ, za stravné, zabezpeky..)</c:v>
                </c:pt>
                <c:pt idx="2">
                  <c:v>NFV MF SR</c:v>
                </c:pt>
                <c:pt idx="3">
                  <c:v>Prostriedky z EÚ</c:v>
                </c:pt>
                <c:pt idx="4">
                  <c:v>Vlastné zdroje</c:v>
                </c:pt>
                <c:pt idx="5">
                  <c:v>Zdroje z iných VUC</c:v>
                </c:pt>
                <c:pt idx="6">
                  <c:v>Zdroje z rezervného fondu</c:v>
                </c:pt>
                <c:pt idx="7">
                  <c:v>Zdroje zo ŠR</c:v>
                </c:pt>
              </c:strCache>
            </c:strRef>
          </c:cat>
          <c:val>
            <c:numRef>
              <c:f>'V+VFO'!$B$30:$B$37</c:f>
              <c:numCache>
                <c:formatCode>#,##0.00</c:formatCode>
                <c:ptCount val="8"/>
                <c:pt idx="0">
                  <c:v>6000000</c:v>
                </c:pt>
                <c:pt idx="1">
                  <c:v>2020616.69</c:v>
                </c:pt>
                <c:pt idx="2">
                  <c:v>5675346</c:v>
                </c:pt>
                <c:pt idx="3">
                  <c:v>3669338.7700000028</c:v>
                </c:pt>
                <c:pt idx="4">
                  <c:v>87694081.860000223</c:v>
                </c:pt>
                <c:pt idx="5">
                  <c:v>272193.13</c:v>
                </c:pt>
                <c:pt idx="6">
                  <c:v>2400000</c:v>
                </c:pt>
                <c:pt idx="7">
                  <c:v>62716747.009999931</c:v>
                </c:pt>
              </c:numCache>
            </c:numRef>
          </c:val>
          <c:extLst>
            <c:ext xmlns:c16="http://schemas.microsoft.com/office/drawing/2014/chart" uri="{C3380CC4-5D6E-409C-BE32-E72D297353CC}">
              <c16:uniqueId val="{00000000-6647-4103-A460-6E2F1F6EF227}"/>
            </c:ext>
          </c:extLst>
        </c:ser>
        <c:dLbls>
          <c:showLegendKey val="0"/>
          <c:showVal val="0"/>
          <c:showCatName val="0"/>
          <c:showSerName val="0"/>
          <c:showPercent val="0"/>
          <c:showBubbleSize val="0"/>
        </c:dLbls>
        <c:gapWidth val="100"/>
        <c:axId val="316171696"/>
        <c:axId val="283996016"/>
      </c:barChart>
      <c:catAx>
        <c:axId val="316171696"/>
        <c:scaling>
          <c:orientation val="minMax"/>
        </c:scaling>
        <c:delete val="0"/>
        <c:axPos val="l"/>
        <c:numFmt formatCode="General" sourceLinked="1"/>
        <c:majorTickMark val="none"/>
        <c:minorTickMark val="none"/>
        <c:tickLblPos val="nextTo"/>
        <c:spPr>
          <a:noFill/>
          <a:ln w="9525" cap="flat" cmpd="sng" algn="ctr">
            <a:solidFill>
              <a:schemeClr val="accent1"/>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k-SK"/>
          </a:p>
        </c:txPr>
        <c:crossAx val="283996016"/>
        <c:crosses val="autoZero"/>
        <c:auto val="1"/>
        <c:lblAlgn val="ctr"/>
        <c:lblOffset val="100"/>
        <c:noMultiLvlLbl val="0"/>
      </c:catAx>
      <c:valAx>
        <c:axId val="283996016"/>
        <c:scaling>
          <c:orientation val="minMax"/>
        </c:scaling>
        <c:delete val="0"/>
        <c:axPos val="b"/>
        <c:majorGridlines>
          <c:spPr>
            <a:ln w="9525" cap="flat" cmpd="sng" algn="ctr">
              <a:solidFill>
                <a:schemeClr val="tx2">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k-SK"/>
          </a:p>
        </c:txPr>
        <c:crossAx val="3161716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chemeClr val="tx2"/>
          </a:solidFill>
        </a:defRPr>
      </a:pPr>
      <a:endParaRPr lang="sk-SK"/>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616238543952499"/>
          <c:y val="0.10730631685295958"/>
          <c:w val="0.36499594623797832"/>
          <c:h val="0.80715396827942332"/>
        </c:manualLayout>
      </c:layout>
      <c:doughnutChart>
        <c:varyColors val="1"/>
        <c:ser>
          <c:idx val="0"/>
          <c:order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1-06D3-4240-83AA-9BBBE2A27BEA}"/>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3-06D3-4240-83AA-9BBBE2A27BEA}"/>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5-06D3-4240-83AA-9BBBE2A27BEA}"/>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7-06D3-4240-83AA-9BBBE2A27BEA}"/>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9-06D3-4240-83AA-9BBBE2A27BEA}"/>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B-06D3-4240-83AA-9BBBE2A27BEA}"/>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D-06D3-4240-83AA-9BBBE2A27BEA}"/>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F-06D3-4240-83AA-9BBBE2A27BEA}"/>
              </c:ext>
            </c:extLst>
          </c:dPt>
          <c:dLbls>
            <c:dLbl>
              <c:idx val="0"/>
              <c:layout>
                <c:manualLayout>
                  <c:x val="0.15440373439229105"/>
                  <c:y val="-0.30548759561877575"/>
                </c:manualLayout>
              </c:layout>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2">
                          <a:lumMod val="75000"/>
                        </a:schemeClr>
                      </a:solidFill>
                      <a:latin typeface="+mn-lt"/>
                      <a:ea typeface="+mn-ea"/>
                      <a:cs typeface="+mn-cs"/>
                    </a:defRPr>
                  </a:pPr>
                  <a:endParaRPr lang="sk-SK"/>
                </a:p>
              </c:txPr>
              <c:showLegendKey val="1"/>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15237895640646687"/>
                      <c:h val="0.13837067209775966"/>
                    </c:manualLayout>
                  </c15:layout>
                </c:ext>
                <c:ext xmlns:c16="http://schemas.microsoft.com/office/drawing/2014/chart" uri="{C3380CC4-5D6E-409C-BE32-E72D297353CC}">
                  <c16:uniqueId val="{00000001-06D3-4240-83AA-9BBBE2A27BEA}"/>
                </c:ext>
              </c:extLst>
            </c:dLbl>
            <c:dLbl>
              <c:idx val="1"/>
              <c:layout>
                <c:manualLayout>
                  <c:x val="0.24629831337393374"/>
                  <c:y val="-0.15686290232050931"/>
                </c:manualLayout>
              </c:layout>
              <c:showLegendKey val="1"/>
              <c:showVal val="0"/>
              <c:showCatName val="1"/>
              <c:showSerName val="0"/>
              <c:showPercent val="1"/>
              <c:showBubbleSize val="0"/>
              <c:extLst>
                <c:ext xmlns:c15="http://schemas.microsoft.com/office/drawing/2012/chart" uri="{CE6537A1-D6FC-4f65-9D91-7224C49458BB}">
                  <c15:layout>
                    <c:manualLayout>
                      <c:w val="0.30963635071495593"/>
                      <c:h val="0.1464563721795468"/>
                    </c:manualLayout>
                  </c15:layout>
                </c:ext>
                <c:ext xmlns:c16="http://schemas.microsoft.com/office/drawing/2014/chart" uri="{C3380CC4-5D6E-409C-BE32-E72D297353CC}">
                  <c16:uniqueId val="{00000003-06D3-4240-83AA-9BBBE2A27BEA}"/>
                </c:ext>
              </c:extLst>
            </c:dLbl>
            <c:dLbl>
              <c:idx val="2"/>
              <c:layout>
                <c:manualLayout>
                  <c:x val="0.20130481824787558"/>
                  <c:y val="-6.4060169668200845E-3"/>
                </c:manualLayout>
              </c:layout>
              <c:showLegendKey val="1"/>
              <c:showVal val="0"/>
              <c:showCatName val="1"/>
              <c:showSerName val="0"/>
              <c:showPercent val="1"/>
              <c:showBubbleSize val="0"/>
              <c:extLst>
                <c:ext xmlns:c15="http://schemas.microsoft.com/office/drawing/2012/chart" uri="{CE6537A1-D6FC-4f65-9D91-7224C49458BB}">
                  <c15:layout>
                    <c:manualLayout>
                      <c:w val="0.14709253165052655"/>
                      <c:h val="0.10171079429735234"/>
                    </c:manualLayout>
                  </c15:layout>
                </c:ext>
                <c:ext xmlns:c16="http://schemas.microsoft.com/office/drawing/2014/chart" uri="{C3380CC4-5D6E-409C-BE32-E72D297353CC}">
                  <c16:uniqueId val="{00000005-06D3-4240-83AA-9BBBE2A27BEA}"/>
                </c:ext>
              </c:extLst>
            </c:dLbl>
            <c:dLbl>
              <c:idx val="3"/>
              <c:layout>
                <c:manualLayout>
                  <c:x val="0.16144060114607611"/>
                  <c:y val="0.11064515611719607"/>
                </c:manualLayout>
              </c:layout>
              <c:showLegendKey val="1"/>
              <c:showVal val="0"/>
              <c:showCatName val="1"/>
              <c:showSerName val="0"/>
              <c:showPercent val="1"/>
              <c:showBubbleSize val="0"/>
              <c:extLst>
                <c:ext xmlns:c15="http://schemas.microsoft.com/office/drawing/2012/chart" uri="{CE6537A1-D6FC-4f65-9D91-7224C49458BB}">
                  <c15:layout>
                    <c:manualLayout>
                      <c:w val="0.16454502866640658"/>
                      <c:h val="0.10171079429735234"/>
                    </c:manualLayout>
                  </c15:layout>
                </c:ext>
                <c:ext xmlns:c16="http://schemas.microsoft.com/office/drawing/2014/chart" uri="{C3380CC4-5D6E-409C-BE32-E72D297353CC}">
                  <c16:uniqueId val="{00000007-06D3-4240-83AA-9BBBE2A27BEA}"/>
                </c:ext>
              </c:extLst>
            </c:dLbl>
            <c:dLbl>
              <c:idx val="4"/>
              <c:layout>
                <c:manualLayout>
                  <c:x val="0.20021479862447661"/>
                  <c:y val="0.11715348717866479"/>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6D3-4240-83AA-9BBBE2A27BEA}"/>
                </c:ext>
              </c:extLst>
            </c:dLbl>
            <c:dLbl>
              <c:idx val="5"/>
              <c:layout>
                <c:manualLayout>
                  <c:x val="-0.17017881514120001"/>
                  <c:y val="5.9666116073576345E-2"/>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06D3-4240-83AA-9BBBE2A27BEA}"/>
                </c:ext>
              </c:extLst>
            </c:dLbl>
            <c:dLbl>
              <c:idx val="6"/>
              <c:layout>
                <c:manualLayout>
                  <c:x val="-0.14458340524711993"/>
                  <c:y val="-0.14190066873005436"/>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06D3-4240-83AA-9BBBE2A27BEA}"/>
                </c:ext>
              </c:extLst>
            </c:dLbl>
            <c:dLbl>
              <c:idx val="7"/>
              <c:layout>
                <c:manualLayout>
                  <c:x val="-5.7649137107078779E-2"/>
                  <c:y val="-0.20620331318055712"/>
                </c:manualLayout>
              </c:layout>
              <c:showLegendKey val="1"/>
              <c:showVal val="0"/>
              <c:showCatName val="1"/>
              <c:showSerName val="0"/>
              <c:showPercent val="1"/>
              <c:showBubbleSize val="0"/>
              <c:extLst>
                <c:ext xmlns:c15="http://schemas.microsoft.com/office/drawing/2012/chart" uri="{CE6537A1-D6FC-4f65-9D91-7224C49458BB}">
                  <c15:layout>
                    <c:manualLayout>
                      <c:w val="0.14872273863169941"/>
                      <c:h val="0.10171079429735234"/>
                    </c:manualLayout>
                  </c15:layout>
                </c:ext>
                <c:ext xmlns:c16="http://schemas.microsoft.com/office/drawing/2014/chart" uri="{C3380CC4-5D6E-409C-BE32-E72D297353CC}">
                  <c16:uniqueId val="{0000000F-06D3-4240-83AA-9BBBE2A27BEA}"/>
                </c:ext>
              </c:extLst>
            </c:dLbl>
            <c:numFmt formatCode="0.00%" sourceLinked="0"/>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sk-SK"/>
              </a:p>
            </c:txPr>
            <c:showLegendKey val="1"/>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15:spPr xmlns:c15="http://schemas.microsoft.com/office/drawing/2012/chart">
                  <a:prstGeom prst="rect">
                    <a:avLst/>
                  </a:prstGeom>
                  <a:noFill/>
                  <a:ln>
                    <a:noFill/>
                  </a:ln>
                </c15:spPr>
              </c:ext>
            </c:extLst>
          </c:dLbls>
          <c:cat>
            <c:strRef>
              <c:f>'V+VFO'!$A$30:$A$37</c:f>
              <c:strCache>
                <c:ptCount val="8"/>
                <c:pt idx="0">
                  <c:v>Bankové úvery</c:v>
                </c:pt>
                <c:pt idx="1">
                  <c:v>Iné zdroje (dary, PČ, za stravné, zabezpeky..)</c:v>
                </c:pt>
                <c:pt idx="2">
                  <c:v>NFV MF SR</c:v>
                </c:pt>
                <c:pt idx="3">
                  <c:v>Prostriedky z EÚ</c:v>
                </c:pt>
                <c:pt idx="4">
                  <c:v>Vlastné zdroje</c:v>
                </c:pt>
                <c:pt idx="5">
                  <c:v>Zdroje z iných VUC</c:v>
                </c:pt>
                <c:pt idx="6">
                  <c:v>Zdroje z rezervného fondu</c:v>
                </c:pt>
                <c:pt idx="7">
                  <c:v>Zdroje zo ŠR</c:v>
                </c:pt>
              </c:strCache>
            </c:strRef>
          </c:cat>
          <c:val>
            <c:numRef>
              <c:f>'V+VFO'!$B$30:$B$37</c:f>
              <c:numCache>
                <c:formatCode>#,##0.00</c:formatCode>
                <c:ptCount val="8"/>
                <c:pt idx="0">
                  <c:v>6000000</c:v>
                </c:pt>
                <c:pt idx="1">
                  <c:v>2020616.69</c:v>
                </c:pt>
                <c:pt idx="2">
                  <c:v>5675346</c:v>
                </c:pt>
                <c:pt idx="3">
                  <c:v>3669338.7700000028</c:v>
                </c:pt>
                <c:pt idx="4">
                  <c:v>87694081.860000223</c:v>
                </c:pt>
                <c:pt idx="5">
                  <c:v>272193.13</c:v>
                </c:pt>
                <c:pt idx="6">
                  <c:v>2400000</c:v>
                </c:pt>
                <c:pt idx="7">
                  <c:v>62716747.009999931</c:v>
                </c:pt>
              </c:numCache>
            </c:numRef>
          </c:val>
          <c:extLst>
            <c:ext xmlns:c16="http://schemas.microsoft.com/office/drawing/2014/chart" uri="{C3380CC4-5D6E-409C-BE32-E72D297353CC}">
              <c16:uniqueId val="{00000010-06D3-4240-83AA-9BBBE2A27BEA}"/>
            </c:ext>
          </c:extLst>
        </c:ser>
        <c:dLbls>
          <c:showLegendKey val="0"/>
          <c:showVal val="0"/>
          <c:showCatName val="0"/>
          <c:showSerName val="0"/>
          <c:showPercent val="1"/>
          <c:showBubbleSize val="0"/>
          <c:showLeaderLines val="1"/>
        </c:dLbls>
        <c:firstSliceAng val="69"/>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'V+VFO'!$B$94</c:f>
              <c:strCache>
                <c:ptCount val="1"/>
                <c:pt idx="0">
                  <c:v>Skutočnosť 2019</c:v>
                </c:pt>
              </c:strCache>
            </c:strRef>
          </c:tx>
          <c:spPr>
            <a:solidFill>
              <a:schemeClr val="accent1"/>
            </a:solidFill>
            <a:ln>
              <a:noFill/>
            </a:ln>
            <a:effectLst/>
          </c:spPr>
          <c:invertIfNegative val="0"/>
          <c:dLbls>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'V+VFO'!$A$95:$A$99</c:f>
              <c:strCache>
                <c:ptCount val="5"/>
                <c:pt idx="0">
                  <c:v>610 – mzdy, platy, služ. príjmy</c:v>
                </c:pt>
                <c:pt idx="1">
                  <c:v>620 – poistné do poisťovní</c:v>
                </c:pt>
                <c:pt idx="2">
                  <c:v>630 – tovary a služby</c:v>
                </c:pt>
                <c:pt idx="3">
                  <c:v>640 – bežné transfery</c:v>
                </c:pt>
                <c:pt idx="4">
                  <c:v>650 – splácanie úrokov </c:v>
                </c:pt>
              </c:strCache>
            </c:strRef>
          </c:cat>
          <c:val>
            <c:numRef>
              <c:f>'V+VFO'!$B$95:$B$99</c:f>
              <c:numCache>
                <c:formatCode>#,##0.00</c:formatCode>
                <c:ptCount val="5"/>
                <c:pt idx="0">
                  <c:v>49572402.969999999</c:v>
                </c:pt>
                <c:pt idx="1">
                  <c:v>17746755.699999999</c:v>
                </c:pt>
                <c:pt idx="2">
                  <c:v>31276933.449999999</c:v>
                </c:pt>
                <c:pt idx="3">
                  <c:v>55436366.240000002</c:v>
                </c:pt>
                <c:pt idx="4">
                  <c:v>194923.34</c:v>
                </c:pt>
              </c:numCache>
            </c:numRef>
          </c:val>
          <c:extLst>
            <c:ext xmlns:c16="http://schemas.microsoft.com/office/drawing/2014/chart" uri="{C3380CC4-5D6E-409C-BE32-E72D297353CC}">
              <c16:uniqueId val="{00000000-CAD1-4C96-B5E8-62C11F78EE15}"/>
            </c:ext>
          </c:extLst>
        </c:ser>
        <c:ser>
          <c:idx val="1"/>
          <c:order val="1"/>
          <c:tx>
            <c:strRef>
              <c:f>'V+VFO'!$C$94</c:f>
              <c:strCache>
                <c:ptCount val="1"/>
                <c:pt idx="0">
                  <c:v>Skutočnosť 2020</c:v>
                </c:pt>
              </c:strCache>
            </c:strRef>
          </c:tx>
          <c:spPr>
            <a:solidFill>
              <a:schemeClr val="accent2"/>
            </a:solidFill>
            <a:ln>
              <a:noFill/>
            </a:ln>
            <a:effectLst/>
          </c:spPr>
          <c:invertIfNegative val="0"/>
          <c:dLbls>
            <c:dLbl>
              <c:idx val="3"/>
              <c:layout>
                <c:manualLayout>
                  <c:x val="8.4072761628532748E-17"/>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D1-4C96-B5E8-62C11F78EE15}"/>
                </c:ext>
              </c:extLst>
            </c:dLbl>
            <c:spPr>
              <a:solidFill>
                <a:schemeClr val="lt1"/>
              </a:solidFill>
              <a:ln>
                <a:solidFill>
                  <a:schemeClr val="dk1">
                    <a:lumMod val="25000"/>
                    <a:lumOff val="75000"/>
                  </a:scheme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'V+VFO'!$A$95:$A$99</c:f>
              <c:strCache>
                <c:ptCount val="5"/>
                <c:pt idx="0">
                  <c:v>610 – mzdy, platy, služ. príjmy</c:v>
                </c:pt>
                <c:pt idx="1">
                  <c:v>620 – poistné do poisťovní</c:v>
                </c:pt>
                <c:pt idx="2">
                  <c:v>630 – tovary a služby</c:v>
                </c:pt>
                <c:pt idx="3">
                  <c:v>640 – bežné transfery</c:v>
                </c:pt>
                <c:pt idx="4">
                  <c:v>650 – splácanie úrokov </c:v>
                </c:pt>
              </c:strCache>
            </c:strRef>
          </c:cat>
          <c:val>
            <c:numRef>
              <c:f>'V+VFO'!$C$95:$C$99</c:f>
              <c:numCache>
                <c:formatCode>#,##0.00</c:formatCode>
                <c:ptCount val="5"/>
                <c:pt idx="0">
                  <c:v>53574960.770000003</c:v>
                </c:pt>
                <c:pt idx="1">
                  <c:v>18871008.039999992</c:v>
                </c:pt>
                <c:pt idx="2">
                  <c:v>27305369.349999953</c:v>
                </c:pt>
                <c:pt idx="3">
                  <c:v>55922704.840000056</c:v>
                </c:pt>
                <c:pt idx="4">
                  <c:v>153336.04999999999</c:v>
                </c:pt>
              </c:numCache>
            </c:numRef>
          </c:val>
          <c:extLst>
            <c:ext xmlns:c16="http://schemas.microsoft.com/office/drawing/2014/chart" uri="{C3380CC4-5D6E-409C-BE32-E72D297353CC}">
              <c16:uniqueId val="{00000002-CAD1-4C96-B5E8-62C11F78EE15}"/>
            </c:ext>
          </c:extLst>
        </c:ser>
        <c:dLbls>
          <c:showLegendKey val="0"/>
          <c:showVal val="0"/>
          <c:showCatName val="0"/>
          <c:showSerName val="0"/>
          <c:showPercent val="0"/>
          <c:showBubbleSize val="0"/>
        </c:dLbls>
        <c:gapWidth val="219"/>
        <c:overlap val="-27"/>
        <c:axId val="1657119200"/>
        <c:axId val="1658421424"/>
      </c:barChart>
      <c:catAx>
        <c:axId val="1657119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crossAx val="1658421424"/>
        <c:crosses val="autoZero"/>
        <c:auto val="1"/>
        <c:lblAlgn val="ctr"/>
        <c:lblOffset val="100"/>
        <c:noMultiLvlLbl val="0"/>
      </c:catAx>
      <c:valAx>
        <c:axId val="1658421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657119200"/>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dispUnitsLbl>
        </c:dispUnits>
      </c:valAx>
      <c:spPr>
        <a:noFill/>
        <a:ln>
          <a:noFill/>
        </a:ln>
        <a:effectLst/>
      </c:spPr>
    </c:plotArea>
    <c:legend>
      <c:legendPos val="t"/>
      <c:layout>
        <c:manualLayout>
          <c:xMode val="edge"/>
          <c:yMode val="edge"/>
          <c:x val="0.3033619677446816"/>
          <c:y val="3.0549898167006109E-2"/>
          <c:w val="0.46924747049065541"/>
          <c:h val="8.59221899706528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lumMod val="7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8.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45FEC9D18D8D249A7928735BB81A790" ma:contentTypeVersion="11" ma:contentTypeDescription="Umožňuje vytvoriť nový dokument." ma:contentTypeScope="" ma:versionID="df27d3e9846a1e42e87ebeb55ab37a3c">
  <xsd:schema xmlns:xsd="http://www.w3.org/2001/XMLSchema" xmlns:xs="http://www.w3.org/2001/XMLSchema" xmlns:p="http://schemas.microsoft.com/office/2006/metadata/properties" xmlns:ns2="0014d50b-6f30-4926-8a1c-6def29c85054" xmlns:ns3="d2b3a78c-f50d-4d33-bb34-bf1e0d9854f1" targetNamespace="http://schemas.microsoft.com/office/2006/metadata/properties" ma:root="true" ma:fieldsID="8d1a490a88f3225267e6cf9a8f4d5b18" ns2:_="" ns3:_="">
    <xsd:import namespace="0014d50b-6f30-4926-8a1c-6def29c85054"/>
    <xsd:import namespace="d2b3a78c-f50d-4d33-bb34-bf1e0d9854f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2b3a78c-f50d-4d33-bb34-bf1e0d9854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0014d50b-6f30-4926-8a1c-6def29c85054">XMSUKZJ42ZE7-844373114-10323</_dlc_DocId>
    <_dlc_DocIdUrl xmlns="0014d50b-6f30-4926-8a1c-6def29c85054">
      <Url>https://vucba.sharepoint.com/sites/Dokumenty/KP/oorg/_layouts/15/DocIdRedir.aspx?ID=XMSUKZJ42ZE7-844373114-10323</Url>
      <Description>XMSUKZJ42ZE7-844373114-10323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ECFE23-74D0-4CC7-A09D-E39469AE0F44}">
  <ds:schemaRefs>
    <ds:schemaRef ds:uri="http://schemas.openxmlformats.org/officeDocument/2006/bibliography"/>
  </ds:schemaRefs>
</ds:datastoreItem>
</file>

<file path=customXml/itemProps3.xml><?xml version="1.0" encoding="utf-8"?>
<ds:datastoreItem xmlns:ds="http://schemas.openxmlformats.org/officeDocument/2006/customXml" ds:itemID="{E9C4367A-2B84-4E9B-A1FC-41B230959883}"/>
</file>

<file path=customXml/itemProps4.xml><?xml version="1.0" encoding="utf-8"?>
<ds:datastoreItem xmlns:ds="http://schemas.openxmlformats.org/officeDocument/2006/customXml" ds:itemID="{153446CF-B9F6-46ED-B5E8-46EC6AE136CC}"/>
</file>

<file path=customXml/itemProps5.xml><?xml version="1.0" encoding="utf-8"?>
<ds:datastoreItem xmlns:ds="http://schemas.openxmlformats.org/officeDocument/2006/customXml" ds:itemID="{5BCC8275-33CD-4A08-AC85-7D5BCAD0F113}"/>
</file>

<file path=customXml/itemProps6.xml><?xml version="1.0" encoding="utf-8"?>
<ds:datastoreItem xmlns:ds="http://schemas.openxmlformats.org/officeDocument/2006/customXml" ds:itemID="{F2458A3A-EF11-4EE5-AB9C-915B089BC270}"/>
</file>

<file path=docProps/app.xml><?xml version="1.0" encoding="utf-8"?>
<Properties xmlns="http://schemas.openxmlformats.org/officeDocument/2006/extended-properties" xmlns:vt="http://schemas.openxmlformats.org/officeDocument/2006/docPropsVTypes">
  <Template>Normal</Template>
  <TotalTime>11722</TotalTime>
  <Pages>160</Pages>
  <Words>64223</Words>
  <Characters>372172</Characters>
  <Application>Microsoft Office Word</Application>
  <DocSecurity>0</DocSecurity>
  <Lines>23260</Lines>
  <Paragraphs>18973</Paragraphs>
  <ScaleCrop>false</ScaleCrop>
  <HeadingPairs>
    <vt:vector size="2" baseType="variant">
      <vt:variant>
        <vt:lpstr>Názov</vt:lpstr>
      </vt:variant>
      <vt:variant>
        <vt:i4>1</vt:i4>
      </vt:variant>
    </vt:vector>
  </HeadingPairs>
  <TitlesOfParts>
    <vt:vector size="1" baseType="lpstr">
      <vt:lpstr>Záverečný účet Bratislavského samosprávneho kraja 2020</vt:lpstr>
    </vt:vector>
  </TitlesOfParts>
  <Company>BSK</Company>
  <LinksUpToDate>false</LinksUpToDate>
  <CharactersWithSpaces>417422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Záverečný účet Bratislavského samosprávneho kraja 2020</dc:title>
  <dc:subject/>
  <dc:creator>atúš Hrádela</dc:creator>
  <cp:keywords/>
  <dc:description/>
  <cp:lastModifiedBy>Marek Vlčej</cp:lastModifiedBy>
  <cp:revision>327</cp:revision>
  <cp:lastPrinted>2021-05-06T06:03:00Z</cp:lastPrinted>
  <dcterms:created xsi:type="dcterms:W3CDTF">2020-01-31T08:14:00Z</dcterms:created>
  <dcterms:modified xsi:type="dcterms:W3CDTF">2021-05-10T08:03:00Z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0x010100345FEC9D18D8D249A7928735BB81A790</vt:lpwstr>
  </property>
  <property fmtid="{D5CDD505-2E9C-101B-9397-08002B2CF9AE}" pid="3" name="_dlc_DocIdItemGuid">
    <vt:lpwstr>07312361-74ac-4f68-a741-66758575b433</vt:lpwstr>
  </property>
</Properties>
</file>